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7A9242">
      <w:pPr>
        <w:pStyle w:val="14"/>
        <w:spacing w:before="156" w:after="156"/>
        <w:rPr>
          <w:color w:val="auto"/>
        </w:rPr>
      </w:pPr>
      <w:bookmarkStart w:id="0" w:name="_Toc467498778"/>
      <w:bookmarkStart w:id="1" w:name="_Toc467243251"/>
      <w:bookmarkStart w:id="2" w:name="_Toc394331545"/>
      <w:bookmarkStart w:id="3" w:name="_Toc468030460"/>
      <w:bookmarkStart w:id="4" w:name="_Toc471299201"/>
      <w:bookmarkStart w:id="5" w:name="_Toc467321460"/>
      <w:bookmarkStart w:id="6" w:name="_Toc385933379"/>
      <w:bookmarkStart w:id="7" w:name="_Toc467498540"/>
      <w:bookmarkStart w:id="8" w:name="_Toc467323161"/>
      <w:bookmarkStart w:id="436" w:name="_GoBack"/>
      <w:bookmarkEnd w:id="436"/>
    </w:p>
    <w:p w14:paraId="0249A773">
      <w:pPr>
        <w:ind w:firstLine="480"/>
        <w:jc w:val="center"/>
        <w:rPr>
          <w:rFonts w:eastAsia="楷体_GB2312"/>
          <w:color w:val="auto"/>
        </w:rPr>
      </w:pPr>
      <w:bookmarkStart w:id="9" w:name="_Hlk172301085"/>
      <w:bookmarkEnd w:id="9"/>
    </w:p>
    <w:p w14:paraId="5EA9A677">
      <w:pPr>
        <w:ind w:firstLine="480"/>
        <w:jc w:val="center"/>
        <w:rPr>
          <w:rFonts w:eastAsia="楷体_GB2312"/>
          <w:color w:val="auto"/>
        </w:rPr>
      </w:pPr>
    </w:p>
    <w:p w14:paraId="2D640C35">
      <w:pPr>
        <w:ind w:firstLine="480"/>
        <w:jc w:val="center"/>
        <w:rPr>
          <w:rFonts w:eastAsia="楷体_GB2312"/>
          <w:color w:val="auto"/>
        </w:rPr>
      </w:pPr>
    </w:p>
    <w:p w14:paraId="72352A16">
      <w:pPr>
        <w:ind w:firstLine="480"/>
        <w:jc w:val="right"/>
        <w:rPr>
          <w:rFonts w:eastAsia="楷体_GB2312"/>
          <w:color w:val="auto"/>
        </w:rPr>
      </w:pPr>
    </w:p>
    <w:p w14:paraId="7C9C9037">
      <w:pPr>
        <w:ind w:firstLine="480"/>
        <w:jc w:val="center"/>
        <w:rPr>
          <w:rFonts w:eastAsia="楷体_GB2312"/>
          <w:color w:val="auto"/>
        </w:rPr>
      </w:pPr>
    </w:p>
    <w:p w14:paraId="1D55827F">
      <w:pPr>
        <w:ind w:firstLine="480"/>
        <w:jc w:val="center"/>
        <w:rPr>
          <w:rFonts w:eastAsia="楷体_GB2312"/>
          <w:color w:val="auto"/>
        </w:rPr>
      </w:pPr>
    </w:p>
    <w:p w14:paraId="747C06FE">
      <w:pPr>
        <w:snapToGrid w:val="0"/>
        <w:spacing w:line="300" w:lineRule="auto"/>
        <w:jc w:val="center"/>
        <w:rPr>
          <w:rFonts w:ascii="楷体_GB2312" w:eastAsia="楷体_GB2312"/>
          <w:b/>
          <w:snapToGrid w:val="0"/>
          <w:color w:val="auto"/>
          <w:spacing w:val="-4"/>
          <w:sz w:val="60"/>
          <w:szCs w:val="60"/>
        </w:rPr>
      </w:pPr>
      <w:r>
        <w:rPr>
          <w:rFonts w:hint="eastAsia" w:ascii="楷体_GB2312" w:eastAsia="楷体_GB2312"/>
          <w:b/>
          <w:snapToGrid w:val="0"/>
          <w:color w:val="auto"/>
          <w:spacing w:val="-4"/>
          <w:sz w:val="60"/>
          <w:szCs w:val="60"/>
        </w:rPr>
        <w:t>新疆斯诺环保科技有限公司</w:t>
      </w:r>
    </w:p>
    <w:p w14:paraId="55253BB4">
      <w:pPr>
        <w:snapToGrid w:val="0"/>
        <w:spacing w:line="300" w:lineRule="auto"/>
        <w:jc w:val="center"/>
        <w:rPr>
          <w:rFonts w:ascii="楷体_GB2312" w:eastAsia="楷体_GB2312"/>
          <w:b/>
          <w:snapToGrid w:val="0"/>
          <w:color w:val="auto"/>
          <w:spacing w:val="-4"/>
          <w:sz w:val="60"/>
          <w:szCs w:val="60"/>
        </w:rPr>
      </w:pPr>
      <w:r>
        <w:rPr>
          <w:rFonts w:hint="eastAsia" w:ascii="楷体_GB2312" w:eastAsia="楷体_GB2312"/>
          <w:b/>
          <w:snapToGrid w:val="0"/>
          <w:color w:val="auto"/>
          <w:spacing w:val="-4"/>
          <w:sz w:val="60"/>
          <w:szCs w:val="60"/>
        </w:rPr>
        <w:t>危废处置项目</w:t>
      </w:r>
    </w:p>
    <w:p w14:paraId="107044EE">
      <w:pPr>
        <w:ind w:firstLine="480"/>
        <w:jc w:val="center"/>
        <w:rPr>
          <w:rFonts w:ascii="楷体_GB2312" w:eastAsia="楷体_GB2312"/>
          <w:b/>
          <w:snapToGrid w:val="0"/>
          <w:color w:val="auto"/>
          <w:spacing w:val="-4"/>
          <w:sz w:val="28"/>
          <w:szCs w:val="28"/>
        </w:rPr>
      </w:pPr>
    </w:p>
    <w:p w14:paraId="3E111E73">
      <w:pPr>
        <w:spacing w:line="480" w:lineRule="auto"/>
        <w:jc w:val="center"/>
        <w:rPr>
          <w:rFonts w:hint="eastAsia" w:ascii="华文细黑" w:hAnsi="华文细黑" w:eastAsia="华文细黑"/>
          <w:b/>
          <w:color w:val="auto"/>
          <w:spacing w:val="24"/>
          <w:sz w:val="84"/>
          <w:szCs w:val="84"/>
        </w:rPr>
      </w:pPr>
      <w:r>
        <w:rPr>
          <w:rFonts w:ascii="华文细黑" w:hAnsi="华文细黑" w:eastAsia="华文细黑"/>
          <w:b/>
          <w:color w:val="auto"/>
          <w:spacing w:val="24"/>
          <w:sz w:val="84"/>
          <w:szCs w:val="84"/>
        </w:rPr>
        <w:t>环境影响报告书</w:t>
      </w:r>
    </w:p>
    <w:p w14:paraId="31CA0043">
      <w:pPr>
        <w:jc w:val="center"/>
        <w:rPr>
          <w:rFonts w:hint="eastAsia" w:ascii="楷体_GB2312" w:hAnsi="宋体" w:eastAsia="楷体_GB2312"/>
          <w:color w:val="auto"/>
          <w:sz w:val="30"/>
          <w:szCs w:val="30"/>
        </w:rPr>
      </w:pPr>
      <w:r>
        <w:rPr>
          <w:rFonts w:hint="eastAsia" w:ascii="楷体_GB2312" w:hAnsi="宋体" w:eastAsia="楷体_GB2312"/>
          <w:color w:val="auto"/>
          <w:sz w:val="30"/>
          <w:szCs w:val="30"/>
        </w:rPr>
        <w:t>项目编号：</w:t>
      </w:r>
      <w:r>
        <w:rPr>
          <w:rFonts w:ascii="楷体_GB2312" w:hAnsi="宋体" w:eastAsia="楷体_GB2312"/>
          <w:color w:val="auto"/>
          <w:sz w:val="30"/>
          <w:szCs w:val="30"/>
        </w:rPr>
        <w:t>4dr4kx</w:t>
      </w:r>
    </w:p>
    <w:p w14:paraId="2D78E60E">
      <w:pPr>
        <w:jc w:val="center"/>
        <w:rPr>
          <w:rFonts w:hint="eastAsia" w:ascii="楷体_GB2312" w:hAnsi="宋体" w:eastAsia="楷体_GB2312"/>
          <w:color w:val="auto"/>
          <w:sz w:val="30"/>
          <w:szCs w:val="30"/>
        </w:rPr>
      </w:pPr>
      <w:r>
        <w:rPr>
          <w:rFonts w:hint="eastAsia" w:ascii="楷体_GB2312" w:hAnsi="宋体" w:eastAsia="楷体_GB2312"/>
          <w:color w:val="auto"/>
          <w:sz w:val="30"/>
          <w:szCs w:val="30"/>
        </w:rPr>
        <w:t>（</w:t>
      </w:r>
      <w:r>
        <w:rPr>
          <w:rFonts w:hint="eastAsia" w:ascii="楷体_GB2312" w:hAnsi="宋体" w:eastAsia="楷体_GB2312"/>
          <w:color w:val="auto"/>
          <w:sz w:val="30"/>
          <w:szCs w:val="30"/>
          <w:lang w:val="en-US" w:eastAsia="zh-CN"/>
        </w:rPr>
        <w:t>公示</w:t>
      </w:r>
      <w:r>
        <w:rPr>
          <w:rFonts w:hint="eastAsia" w:ascii="楷体_GB2312" w:hAnsi="宋体" w:eastAsia="楷体_GB2312"/>
          <w:color w:val="auto"/>
          <w:sz w:val="30"/>
          <w:szCs w:val="30"/>
        </w:rPr>
        <w:t>稿）</w:t>
      </w:r>
    </w:p>
    <w:p w14:paraId="121E6727">
      <w:pPr>
        <w:rPr>
          <w:color w:val="auto"/>
        </w:rPr>
      </w:pPr>
    </w:p>
    <w:p w14:paraId="33680242">
      <w:pPr>
        <w:rPr>
          <w:color w:val="auto"/>
        </w:rPr>
      </w:pPr>
    </w:p>
    <w:p w14:paraId="382B7592">
      <w:pPr>
        <w:rPr>
          <w:color w:val="auto"/>
        </w:rPr>
      </w:pPr>
    </w:p>
    <w:p w14:paraId="764A2279">
      <w:pPr>
        <w:rPr>
          <w:color w:val="auto"/>
        </w:rPr>
      </w:pPr>
    </w:p>
    <w:p w14:paraId="15198441">
      <w:pPr>
        <w:rPr>
          <w:color w:val="auto"/>
        </w:rPr>
      </w:pPr>
    </w:p>
    <w:p w14:paraId="0EF374AD">
      <w:pPr>
        <w:rPr>
          <w:color w:val="auto"/>
        </w:rPr>
      </w:pPr>
    </w:p>
    <w:p w14:paraId="2CCFDA21">
      <w:pPr>
        <w:rPr>
          <w:color w:val="auto"/>
        </w:rPr>
      </w:pPr>
    </w:p>
    <w:p w14:paraId="3CEFF031">
      <w:pPr>
        <w:rPr>
          <w:color w:val="auto"/>
        </w:rPr>
      </w:pPr>
    </w:p>
    <w:p w14:paraId="5BDE5739">
      <w:pPr>
        <w:rPr>
          <w:color w:val="auto"/>
        </w:rPr>
      </w:pPr>
    </w:p>
    <w:p w14:paraId="7BC51439">
      <w:pPr>
        <w:tabs>
          <w:tab w:val="left" w:pos="7600"/>
        </w:tabs>
        <w:rPr>
          <w:color w:val="auto"/>
        </w:rPr>
      </w:pPr>
    </w:p>
    <w:p w14:paraId="52A5CBD6">
      <w:pPr>
        <w:rPr>
          <w:color w:val="auto"/>
        </w:rPr>
      </w:pPr>
    </w:p>
    <w:p w14:paraId="3D89B7C5">
      <w:pPr>
        <w:rPr>
          <w:color w:val="auto"/>
        </w:rPr>
      </w:pPr>
    </w:p>
    <w:p w14:paraId="675BD10A">
      <w:pPr>
        <w:rPr>
          <w:color w:val="auto"/>
        </w:rPr>
      </w:pPr>
    </w:p>
    <w:p w14:paraId="486F499E">
      <w:pPr>
        <w:snapToGrid w:val="0"/>
        <w:spacing w:line="300" w:lineRule="auto"/>
        <w:jc w:val="center"/>
        <w:rPr>
          <w:rFonts w:ascii="楷体_GB2312" w:eastAsia="楷体_GB2312"/>
          <w:b/>
          <w:snapToGrid w:val="0"/>
          <w:color w:val="auto"/>
          <w:spacing w:val="-4"/>
          <w:sz w:val="60"/>
          <w:szCs w:val="60"/>
        </w:rPr>
      </w:pPr>
      <w:r>
        <w:rPr>
          <w:rFonts w:hint="eastAsia" w:ascii="楷体_GB2312" w:hAnsi="宋体" w:eastAsia="楷体_GB2312"/>
          <w:bCs/>
          <w:color w:val="auto"/>
          <w:sz w:val="32"/>
        </w:rPr>
        <w:t>建设单位：新疆斯诺环保科技有限公司</w:t>
      </w:r>
    </w:p>
    <w:p w14:paraId="70681C32">
      <w:pPr>
        <w:spacing w:line="300" w:lineRule="auto"/>
        <w:jc w:val="center"/>
        <w:rPr>
          <w:rFonts w:hint="eastAsia" w:ascii="楷体_GB2312" w:hAnsi="宋体" w:eastAsia="楷体_GB2312"/>
          <w:bCs/>
          <w:color w:val="auto"/>
          <w:sz w:val="32"/>
        </w:rPr>
      </w:pPr>
      <w:r>
        <w:rPr>
          <w:rFonts w:hint="eastAsia" w:ascii="楷体_GB2312" w:hAnsi="宋体" w:eastAsia="楷体_GB2312"/>
          <w:bCs/>
          <w:color w:val="auto"/>
          <w:sz w:val="32"/>
        </w:rPr>
        <w:t>编制单位：</w:t>
      </w:r>
      <w:r>
        <w:rPr>
          <w:rFonts w:ascii="楷体_GB2312" w:hAnsi="宋体" w:eastAsia="楷体_GB2312"/>
          <w:bCs/>
          <w:color w:val="auto"/>
          <w:sz w:val="32"/>
        </w:rPr>
        <w:t>新疆化工设计研究院有限责任公司</w:t>
      </w:r>
    </w:p>
    <w:p w14:paraId="650E9649">
      <w:pPr>
        <w:spacing w:line="300" w:lineRule="auto"/>
        <w:jc w:val="center"/>
        <w:rPr>
          <w:rFonts w:hint="eastAsia" w:ascii="楷体_GB2312" w:hAnsi="宋体" w:eastAsia="楷体_GB2312"/>
          <w:bCs/>
          <w:color w:val="auto"/>
          <w:sz w:val="32"/>
        </w:rPr>
      </w:pPr>
      <w:r>
        <w:rPr>
          <w:rFonts w:ascii="楷体_GB2312" w:hAnsi="宋体" w:eastAsia="楷体_GB2312"/>
          <w:bCs/>
          <w:color w:val="auto"/>
          <w:sz w:val="32"/>
        </w:rPr>
        <w:t>二〇二</w:t>
      </w:r>
      <w:r>
        <w:rPr>
          <w:rFonts w:hint="eastAsia" w:ascii="楷体_GB2312" w:hAnsi="宋体" w:eastAsia="楷体_GB2312"/>
          <w:bCs/>
          <w:color w:val="auto"/>
          <w:sz w:val="32"/>
        </w:rPr>
        <w:t>六</w:t>
      </w:r>
      <w:r>
        <w:rPr>
          <w:rFonts w:ascii="楷体_GB2312" w:hAnsi="宋体" w:eastAsia="楷体_GB2312"/>
          <w:bCs/>
          <w:color w:val="auto"/>
          <w:sz w:val="32"/>
        </w:rPr>
        <w:t>年</w:t>
      </w:r>
      <w:r>
        <w:rPr>
          <w:rFonts w:hint="eastAsia" w:ascii="楷体_GB2312" w:hAnsi="宋体" w:eastAsia="楷体_GB2312"/>
          <w:bCs/>
          <w:color w:val="auto"/>
          <w:sz w:val="32"/>
          <w:lang w:val="en-US" w:eastAsia="zh-CN"/>
        </w:rPr>
        <w:t>五</w:t>
      </w:r>
      <w:r>
        <w:rPr>
          <w:rFonts w:ascii="楷体_GB2312" w:hAnsi="宋体" w:eastAsia="楷体_GB2312"/>
          <w:bCs/>
          <w:color w:val="auto"/>
          <w:sz w:val="32"/>
        </w:rPr>
        <w:t>月</w:t>
      </w:r>
    </w:p>
    <w:p w14:paraId="7BA84C8D">
      <w:pPr>
        <w:spacing w:line="300" w:lineRule="auto"/>
        <w:jc w:val="center"/>
        <w:rPr>
          <w:rFonts w:hint="eastAsia" w:ascii="楷体_GB2312" w:hAnsi="宋体" w:eastAsia="楷体_GB2312"/>
          <w:bCs/>
          <w:color w:val="auto"/>
          <w:sz w:val="32"/>
        </w:rPr>
      </w:pPr>
    </w:p>
    <w:p w14:paraId="028DBBDB">
      <w:pPr>
        <w:spacing w:line="300" w:lineRule="auto"/>
        <w:jc w:val="center"/>
        <w:rPr>
          <w:rFonts w:hint="eastAsia" w:ascii="楷体_GB2312" w:hAnsi="宋体" w:eastAsia="楷体_GB2312"/>
          <w:bCs/>
          <w:color w:val="auto"/>
          <w:sz w:val="32"/>
        </w:rPr>
      </w:pPr>
    </w:p>
    <w:p w14:paraId="126C7323">
      <w:pPr>
        <w:spacing w:line="300" w:lineRule="auto"/>
        <w:jc w:val="center"/>
        <w:rPr>
          <w:rFonts w:hint="eastAsia" w:ascii="楷体_GB2312" w:hAnsi="宋体" w:eastAsia="楷体_GB2312"/>
          <w:bCs/>
          <w:color w:val="auto"/>
          <w:sz w:val="32"/>
        </w:rPr>
      </w:pPr>
    </w:p>
    <w:p w14:paraId="6589D07E">
      <w:pPr>
        <w:spacing w:line="300" w:lineRule="auto"/>
        <w:jc w:val="center"/>
        <w:rPr>
          <w:rFonts w:hint="eastAsia" w:ascii="楷体_GB2312" w:hAnsi="宋体" w:eastAsia="楷体_GB2312"/>
          <w:bCs/>
          <w:color w:val="auto"/>
          <w:sz w:val="32"/>
        </w:rPr>
      </w:pPr>
    </w:p>
    <w:p w14:paraId="73106D41">
      <w:pPr>
        <w:spacing w:line="300" w:lineRule="auto"/>
        <w:jc w:val="center"/>
        <w:rPr>
          <w:rFonts w:hint="eastAsia" w:ascii="楷体_GB2312" w:hAnsi="宋体" w:eastAsia="楷体_GB2312"/>
          <w:bCs/>
          <w:color w:val="auto"/>
          <w:sz w:val="32"/>
        </w:rPr>
      </w:pPr>
    </w:p>
    <w:p w14:paraId="583C3DA3">
      <w:pPr>
        <w:spacing w:line="300" w:lineRule="auto"/>
        <w:jc w:val="center"/>
        <w:rPr>
          <w:rFonts w:hint="eastAsia" w:ascii="楷体_GB2312" w:hAnsi="宋体" w:eastAsia="楷体_GB2312"/>
          <w:bCs/>
          <w:color w:val="auto"/>
          <w:sz w:val="32"/>
        </w:rPr>
      </w:pPr>
    </w:p>
    <w:p w14:paraId="1A158D21">
      <w:pPr>
        <w:spacing w:line="300" w:lineRule="auto"/>
        <w:jc w:val="center"/>
        <w:rPr>
          <w:rFonts w:hint="eastAsia" w:ascii="楷体_GB2312" w:hAnsi="宋体" w:eastAsia="楷体_GB2312"/>
          <w:bCs/>
          <w:color w:val="auto"/>
          <w:sz w:val="32"/>
        </w:rPr>
      </w:pPr>
    </w:p>
    <w:p w14:paraId="47D3E894">
      <w:pPr>
        <w:spacing w:line="300" w:lineRule="auto"/>
        <w:jc w:val="center"/>
        <w:rPr>
          <w:rFonts w:hint="eastAsia" w:ascii="楷体_GB2312" w:hAnsi="宋体" w:eastAsia="楷体_GB2312"/>
          <w:bCs/>
          <w:color w:val="auto"/>
          <w:sz w:val="32"/>
        </w:rPr>
      </w:pPr>
    </w:p>
    <w:p w14:paraId="278E5B72">
      <w:pPr>
        <w:spacing w:line="300" w:lineRule="auto"/>
        <w:jc w:val="center"/>
        <w:rPr>
          <w:rFonts w:hint="eastAsia" w:ascii="楷体_GB2312" w:hAnsi="宋体" w:eastAsia="楷体_GB2312"/>
          <w:bCs/>
          <w:color w:val="auto"/>
          <w:sz w:val="32"/>
        </w:rPr>
      </w:pPr>
    </w:p>
    <w:p w14:paraId="1B56EA8D">
      <w:pPr>
        <w:spacing w:line="300" w:lineRule="auto"/>
        <w:jc w:val="center"/>
        <w:rPr>
          <w:rFonts w:hint="eastAsia" w:ascii="楷体_GB2312" w:hAnsi="宋体" w:eastAsia="楷体_GB2312"/>
          <w:bCs/>
          <w:color w:val="auto"/>
          <w:sz w:val="32"/>
        </w:rPr>
      </w:pPr>
    </w:p>
    <w:p w14:paraId="7070D74C">
      <w:pPr>
        <w:spacing w:line="300" w:lineRule="auto"/>
        <w:jc w:val="center"/>
        <w:rPr>
          <w:rFonts w:hint="eastAsia" w:ascii="楷体_GB2312" w:hAnsi="宋体" w:eastAsia="楷体_GB2312"/>
          <w:bCs/>
          <w:color w:val="auto"/>
          <w:sz w:val="32"/>
        </w:rPr>
      </w:pPr>
    </w:p>
    <w:p w14:paraId="340061AA">
      <w:pPr>
        <w:spacing w:line="300" w:lineRule="auto"/>
        <w:jc w:val="center"/>
        <w:rPr>
          <w:rFonts w:hint="eastAsia" w:ascii="楷体_GB2312" w:hAnsi="宋体" w:eastAsia="楷体_GB2312"/>
          <w:bCs/>
          <w:color w:val="auto"/>
          <w:sz w:val="32"/>
        </w:rPr>
      </w:pPr>
    </w:p>
    <w:p w14:paraId="0DAF95B2">
      <w:pPr>
        <w:spacing w:line="300" w:lineRule="auto"/>
        <w:jc w:val="center"/>
        <w:rPr>
          <w:rFonts w:hint="eastAsia" w:ascii="楷体_GB2312" w:hAnsi="宋体" w:eastAsia="楷体_GB2312"/>
          <w:bCs/>
          <w:color w:val="auto"/>
          <w:sz w:val="32"/>
        </w:rPr>
      </w:pPr>
    </w:p>
    <w:p w14:paraId="240E8676">
      <w:pPr>
        <w:spacing w:line="300" w:lineRule="auto"/>
        <w:jc w:val="center"/>
        <w:rPr>
          <w:rFonts w:hint="eastAsia" w:ascii="楷体_GB2312" w:hAnsi="宋体" w:eastAsia="楷体_GB2312"/>
          <w:bCs/>
          <w:color w:val="auto"/>
          <w:sz w:val="32"/>
        </w:rPr>
      </w:pPr>
    </w:p>
    <w:p w14:paraId="5C492A91">
      <w:pPr>
        <w:spacing w:line="300" w:lineRule="auto"/>
        <w:jc w:val="center"/>
        <w:rPr>
          <w:rFonts w:hint="eastAsia" w:ascii="楷体_GB2312" w:hAnsi="宋体" w:eastAsia="楷体_GB2312"/>
          <w:bCs/>
          <w:color w:val="auto"/>
          <w:sz w:val="32"/>
        </w:rPr>
      </w:pPr>
    </w:p>
    <w:p w14:paraId="7DF2E460">
      <w:pPr>
        <w:spacing w:line="300" w:lineRule="auto"/>
        <w:jc w:val="center"/>
        <w:rPr>
          <w:rFonts w:hint="eastAsia" w:ascii="楷体_GB2312" w:hAnsi="宋体" w:eastAsia="楷体_GB2312"/>
          <w:bCs/>
          <w:color w:val="auto"/>
          <w:sz w:val="32"/>
        </w:rPr>
      </w:pPr>
    </w:p>
    <w:p w14:paraId="6A301FB3">
      <w:pPr>
        <w:spacing w:line="300" w:lineRule="auto"/>
        <w:jc w:val="center"/>
        <w:rPr>
          <w:rFonts w:hint="eastAsia" w:ascii="楷体_GB2312" w:hAnsi="宋体" w:eastAsia="楷体_GB2312"/>
          <w:bCs/>
          <w:color w:val="auto"/>
          <w:sz w:val="32"/>
        </w:rPr>
      </w:pPr>
    </w:p>
    <w:p w14:paraId="533CF45C">
      <w:pPr>
        <w:spacing w:line="300" w:lineRule="auto"/>
        <w:jc w:val="center"/>
        <w:rPr>
          <w:rFonts w:hint="eastAsia" w:ascii="楷体_GB2312" w:hAnsi="宋体" w:eastAsia="楷体_GB2312"/>
          <w:bCs/>
          <w:color w:val="auto"/>
          <w:sz w:val="32"/>
        </w:rPr>
      </w:pPr>
    </w:p>
    <w:p w14:paraId="6477618F">
      <w:pPr>
        <w:spacing w:line="300" w:lineRule="auto"/>
        <w:jc w:val="center"/>
        <w:rPr>
          <w:rFonts w:hint="eastAsia" w:ascii="楷体_GB2312" w:hAnsi="宋体" w:eastAsia="楷体_GB2312"/>
          <w:bCs/>
          <w:color w:val="auto"/>
          <w:sz w:val="32"/>
        </w:rPr>
      </w:pPr>
    </w:p>
    <w:p w14:paraId="52E6999E">
      <w:pPr>
        <w:spacing w:line="300" w:lineRule="auto"/>
        <w:jc w:val="center"/>
        <w:rPr>
          <w:rFonts w:hint="eastAsia" w:ascii="楷体_GB2312" w:hAnsi="宋体" w:eastAsia="楷体_GB2312"/>
          <w:bCs/>
          <w:color w:val="auto"/>
          <w:sz w:val="32"/>
        </w:rPr>
      </w:pPr>
    </w:p>
    <w:p w14:paraId="73A02719">
      <w:pPr>
        <w:spacing w:line="300" w:lineRule="auto"/>
        <w:jc w:val="center"/>
        <w:rPr>
          <w:rFonts w:hint="eastAsia" w:ascii="楷体_GB2312" w:hAnsi="宋体" w:eastAsia="楷体_GB2312"/>
          <w:bCs/>
          <w:color w:val="auto"/>
          <w:sz w:val="32"/>
        </w:rPr>
      </w:pPr>
    </w:p>
    <w:p w14:paraId="6208EF14">
      <w:pPr>
        <w:spacing w:line="300" w:lineRule="auto"/>
        <w:jc w:val="center"/>
        <w:rPr>
          <w:rFonts w:hint="eastAsia" w:ascii="楷体_GB2312" w:hAnsi="宋体" w:eastAsia="楷体_GB2312"/>
          <w:bCs/>
          <w:color w:val="auto"/>
          <w:sz w:val="32"/>
        </w:rPr>
      </w:pPr>
    </w:p>
    <w:p w14:paraId="0BC8BBFE">
      <w:pPr>
        <w:ind w:firstLine="480"/>
        <w:jc w:val="center"/>
        <w:rPr>
          <w:rFonts w:eastAsia="楷体_GB2312"/>
          <w:color w:val="auto"/>
        </w:rPr>
      </w:pPr>
    </w:p>
    <w:p w14:paraId="2EE0BE11">
      <w:pPr>
        <w:jc w:val="center"/>
        <w:rPr>
          <w:rFonts w:eastAsia="楷体_GB2312"/>
          <w:bCs/>
          <w:color w:val="auto"/>
          <w:sz w:val="32"/>
        </w:rPr>
        <w:sectPr>
          <w:headerReference r:id="rId3" w:type="default"/>
          <w:type w:val="continuous"/>
          <w:pgSz w:w="11850" w:h="16783"/>
          <w:pgMar w:top="1440" w:right="1588" w:bottom="1389" w:left="1588" w:header="851" w:footer="992" w:gutter="0"/>
          <w:cols w:space="720" w:num="1"/>
          <w:docGrid w:type="linesAndChars" w:linePitch="312" w:charSpace="0"/>
        </w:sectPr>
      </w:pPr>
    </w:p>
    <w:p w14:paraId="7EE84DE4">
      <w:pPr>
        <w:rPr>
          <w:color w:val="auto"/>
        </w:rPr>
      </w:pPr>
      <w:r>
        <w:rPr>
          <w:color w:val="auto"/>
        </w:rPr>
        <mc:AlternateContent>
          <mc:Choice Requires="wps">
            <w:drawing>
              <wp:anchor distT="0" distB="0" distL="114300" distR="114300" simplePos="0" relativeHeight="251662336" behindDoc="0" locked="0" layoutInCell="1" allowOverlap="1">
                <wp:simplePos x="0" y="0"/>
                <wp:positionH relativeFrom="column">
                  <wp:posOffset>-4904105</wp:posOffset>
                </wp:positionH>
                <wp:positionV relativeFrom="paragraph">
                  <wp:posOffset>1194435</wp:posOffset>
                </wp:positionV>
                <wp:extent cx="2933065" cy="720090"/>
                <wp:effectExtent l="0" t="0" r="635" b="3810"/>
                <wp:wrapNone/>
                <wp:docPr id="434748244" name="文本框 10586"/>
                <wp:cNvGraphicFramePr/>
                <a:graphic xmlns:a="http://schemas.openxmlformats.org/drawingml/2006/main">
                  <a:graphicData uri="http://schemas.microsoft.com/office/word/2010/wordprocessingShape">
                    <wps:wsp>
                      <wps:cNvSpPr txBox="1"/>
                      <wps:spPr>
                        <a:xfrm>
                          <a:off x="0" y="0"/>
                          <a:ext cx="2933065" cy="720090"/>
                        </a:xfrm>
                        <a:prstGeom prst="rect">
                          <a:avLst/>
                        </a:prstGeom>
                        <a:solidFill>
                          <a:srgbClr val="FFFFFF">
                            <a:alpha val="0"/>
                          </a:srgbClr>
                        </a:solidFill>
                        <a:ln w="15240" cap="flat" cmpd="sng">
                          <a:solidFill>
                            <a:srgbClr val="FF0000"/>
                          </a:solidFill>
                          <a:prstDash val="solid"/>
                          <a:miter/>
                          <a:headEnd type="none" w="med" len="med"/>
                          <a:tailEnd type="none" w="med" len="med"/>
                        </a:ln>
                      </wps:spPr>
                      <wps:txbx>
                        <w:txbxContent>
                          <w:p w14:paraId="64187817">
                            <w:pPr>
                              <w:snapToGrid w:val="0"/>
                              <w:spacing w:line="288" w:lineRule="auto"/>
                              <w:jc w:val="center"/>
                              <w:rPr>
                                <w:b/>
                                <w:color w:val="FF0000"/>
                              </w:rPr>
                            </w:pPr>
                            <w:r>
                              <w:rPr>
                                <w:b/>
                                <w:color w:val="FF0000"/>
                                <w:szCs w:val="21"/>
                              </w:rPr>
                              <w:t>仅限新疆新冀能源化工有限公司150万</w:t>
                            </w:r>
                            <w:r>
                              <w:rPr>
                                <w:rFonts w:hint="eastAsia"/>
                                <w:b/>
                                <w:color w:val="FF0000"/>
                                <w:szCs w:val="21"/>
                              </w:rPr>
                              <w:t>t/a</w:t>
                            </w:r>
                            <w:r>
                              <w:rPr>
                                <w:b/>
                                <w:color w:val="FF0000"/>
                                <w:szCs w:val="21"/>
                              </w:rPr>
                              <w:t>新型水溶复合肥联产30万</w:t>
                            </w:r>
                            <w:r>
                              <w:rPr>
                                <w:rFonts w:hint="eastAsia"/>
                                <w:b/>
                                <w:color w:val="FF0000"/>
                                <w:szCs w:val="21"/>
                              </w:rPr>
                              <w:t>t/a</w:t>
                            </w:r>
                            <w:r>
                              <w:rPr>
                                <w:b/>
                                <w:color w:val="FF0000"/>
                                <w:szCs w:val="21"/>
                              </w:rPr>
                              <w:t>柴油机尾气处理剂循环经济联合化工项目环境影响报告书</w:t>
                            </w:r>
                            <w:r>
                              <w:rPr>
                                <w:b/>
                                <w:color w:val="FF0000"/>
                              </w:rPr>
                              <w:t>专用</w:t>
                            </w:r>
                          </w:p>
                        </w:txbxContent>
                      </wps:txbx>
                      <wps:bodyPr upright="1"/>
                    </wps:wsp>
                  </a:graphicData>
                </a:graphic>
              </wp:anchor>
            </w:drawing>
          </mc:Choice>
          <mc:Fallback>
            <w:pict>
              <v:shape id="文本框 10586" o:spid="_x0000_s1026" o:spt="202" type="#_x0000_t202" style="position:absolute;left:0pt;margin-left:-386.15pt;margin-top:94.05pt;height:56.7pt;width:230.95pt;z-index:251662336;mso-width-relative:page;mso-height-relative:page;" fillcolor="#FFFFFF" filled="t" stroked="t" coordsize="21600,21600" o:gfxdata="UEsDBAoAAAAAAIdO4kAAAAAAAAAAAAAAAAAEAAAAZHJzL1BLAwQUAAAACACHTuJAsfhKldoAAAAN&#10;AQAADwAAAGRycy9kb3ducmV2LnhtbE2PsU7DMBCGdyTewbpKbKntBNIojdOhUgcmREGI0Y1NYjU+&#10;R7HTlrfnmGA8/d/9912zu/mRXewcXUAFci2AWeyCcdgreH87ZBWwmDQaPQa0Cr5thF17f9fo2oQr&#10;vtrLMfWMSjDWWsGQ0lRzHrvBeh3XYbJI2VeYvU40zj03s75SuR95LkTJvXZIFwY92f1gu/Nx8aQx&#10;Hvg537+U0eWfS/nsOq4/KqUeVlJsgSV7S38w/OrTDrTkdAoLmshGBdlmkxfEUlJVEhghWSHFI7CT&#10;gkLIJ+Btw/9/0f4AUEsDBBQAAAAIAIdO4kD1ArWDJgIAAGAEAAAOAAAAZHJzL2Uyb0RvYy54bWyt&#10;VM2O0zAQviPxDpbvNGmadrtV05WglAsCpIUHcG0nseQ/2W6TvgC8AScu3HmuPseOnbZLl0sP5JCM&#10;5+ebmW/GWT70SqI9d14YXeHxKMeIa2qY0E2Fv33dvJlj5APRjEijeYUP3OOH1etXy84ueGFaIxl3&#10;CEC0X3S2wm0IdpFlnrZcET8ylmsw1sYpEuDomow50gG6klmR57OsM45ZZyj3HrTrwYhPiO4WQFPX&#10;gvK1oTvFdRhQHZckQEu+FdbjVaq2rjkNn+va84BkhaHTkN6QBORtfGerJVk0jthW0FMJ5JYSXvSk&#10;iNCQ9AK1JoGgnRP/QClBnfGmDiNqVDY0khiBLsb5C24eW2J56gWo9vZCuv9/sPTT/otDglW4nJR3&#10;5bwoS4w0UTD4488fx19/jr+/o3E+nc8iVZ31C4h4tBAT+remhwU66z0oIwN97VT8Qm8I7ED04UI0&#10;7wOioCzuJ5N8NsWIgu0OtuI+TSJ7jrbOhw/cKBSFCjsYZOKX7D/6AJWA69klJvNGCrYRUqaDa7bv&#10;pEN7AkPfpGeIlbYlg/aczg+uCe8KQ2rUQXPTooQGKIE9r2G/QFQWuPK6SYhXISesc9ocnsgNVHrl&#10;FsteE98Ofsk0bKESgbu0jy0n7L1mKBwszEHDNcSxGsUZRpLDrY1S8gxEyFs8oQipoZY4wGFQUQr9&#10;tgeYKG4NO8BQd9aJpgXC01iTOyxeauJ0SeJm/31OoM8/ht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fhKldoAAAANAQAADwAAAAAAAAABACAAAAAiAAAAZHJzL2Rvd25yZXYueG1sUEsBAhQAFAAA&#10;AAgAh07iQPUCtYMmAgAAYAQAAA4AAAAAAAAAAQAgAAAAKQEAAGRycy9lMm9Eb2MueG1sUEsFBgAA&#10;AAAGAAYAWQEAAMEFAAAAAA==&#10;">
                <v:fill on="t" opacity="0f" focussize="0,0"/>
                <v:stroke weight="1.2pt" color="#FF0000" joinstyle="miter"/>
                <v:imagedata o:title=""/>
                <o:lock v:ext="edit" aspectratio="f"/>
                <v:textbox>
                  <w:txbxContent>
                    <w:p w14:paraId="64187817">
                      <w:pPr>
                        <w:snapToGrid w:val="0"/>
                        <w:spacing w:line="288" w:lineRule="auto"/>
                        <w:jc w:val="center"/>
                        <w:rPr>
                          <w:b/>
                          <w:color w:val="FF0000"/>
                        </w:rPr>
                      </w:pPr>
                      <w:r>
                        <w:rPr>
                          <w:b/>
                          <w:color w:val="FF0000"/>
                          <w:szCs w:val="21"/>
                        </w:rPr>
                        <w:t>仅限新疆新冀能源化工有限公司150万</w:t>
                      </w:r>
                      <w:r>
                        <w:rPr>
                          <w:rFonts w:hint="eastAsia"/>
                          <w:b/>
                          <w:color w:val="FF0000"/>
                          <w:szCs w:val="21"/>
                        </w:rPr>
                        <w:t>t/a</w:t>
                      </w:r>
                      <w:r>
                        <w:rPr>
                          <w:b/>
                          <w:color w:val="FF0000"/>
                          <w:szCs w:val="21"/>
                        </w:rPr>
                        <w:t>新型水溶复合肥联产30万</w:t>
                      </w:r>
                      <w:r>
                        <w:rPr>
                          <w:rFonts w:hint="eastAsia"/>
                          <w:b/>
                          <w:color w:val="FF0000"/>
                          <w:szCs w:val="21"/>
                        </w:rPr>
                        <w:t>t/a</w:t>
                      </w:r>
                      <w:r>
                        <w:rPr>
                          <w:b/>
                          <w:color w:val="FF0000"/>
                          <w:szCs w:val="21"/>
                        </w:rPr>
                        <w:t>柴油机尾气处理剂循环经济联合化工项目环境影响报告书</w:t>
                      </w:r>
                      <w:r>
                        <w:rPr>
                          <w:b/>
                          <w:color w:val="FF0000"/>
                        </w:rPr>
                        <w:t>专用</w:t>
                      </w:r>
                    </w:p>
                  </w:txbxContent>
                </v:textbox>
              </v:shape>
            </w:pict>
          </mc:Fallback>
        </mc:AlternateContent>
      </w:r>
    </w:p>
    <w:p w14:paraId="31011B1D">
      <w:pPr>
        <w:rPr>
          <w:color w:val="auto"/>
        </w:rPr>
      </w:pPr>
    </w:p>
    <w:p w14:paraId="127A07F9">
      <w:pPr>
        <w:rPr>
          <w:color w:val="auto"/>
          <w:szCs w:val="21"/>
        </w:rPr>
      </w:pPr>
    </w:p>
    <w:p w14:paraId="6E90862A">
      <w:pPr>
        <w:rPr>
          <w:color w:val="auto"/>
          <w:szCs w:val="21"/>
        </w:rPr>
      </w:pPr>
    </w:p>
    <w:p w14:paraId="3977E7A1">
      <w:pPr>
        <w:rPr>
          <w:color w:val="auto"/>
          <w:szCs w:val="21"/>
        </w:rPr>
      </w:pPr>
    </w:p>
    <w:p w14:paraId="47FDD465">
      <w:pPr>
        <w:rPr>
          <w:color w:val="auto"/>
          <w:szCs w:val="21"/>
        </w:rPr>
        <w:sectPr>
          <w:type w:val="continuous"/>
          <w:pgSz w:w="16838" w:h="11906" w:orient="landscape"/>
          <w:pgMar w:top="1440" w:right="1588" w:bottom="1389" w:left="1588" w:header="851" w:footer="992" w:gutter="0"/>
          <w:cols w:space="720" w:num="1"/>
          <w:docGrid w:type="lines" w:linePitch="312" w:charSpace="0"/>
        </w:sectPr>
      </w:pPr>
    </w:p>
    <w:tbl>
      <w:tblPr>
        <w:tblStyle w:val="83"/>
        <w:tblW w:w="4994" w:type="pct"/>
        <w:jc w:val="right"/>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0" w:type="dxa"/>
          <w:bottom w:w="0" w:type="dxa"/>
          <w:right w:w="0" w:type="dxa"/>
        </w:tblCellMar>
      </w:tblPr>
      <w:tblGrid>
        <w:gridCol w:w="4365"/>
        <w:gridCol w:w="4365"/>
      </w:tblGrid>
      <w:tr w14:paraId="39F54842">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Ex>
        <w:trPr>
          <w:jc w:val="right"/>
        </w:trPr>
        <w:tc>
          <w:tcPr>
            <w:tcW w:w="2500" w:type="pct"/>
            <w:vAlign w:val="center"/>
          </w:tcPr>
          <w:p w14:paraId="4F38E194">
            <w:pPr>
              <w:jc w:val="center"/>
              <w:rPr>
                <w:rFonts w:hint="eastAsia" w:ascii="黑体" w:hAnsi="黑体" w:eastAsia="黑体"/>
                <w:color w:val="auto"/>
                <w:sz w:val="24"/>
                <w:szCs w:val="24"/>
              </w:rPr>
            </w:pPr>
          </w:p>
        </w:tc>
        <w:tc>
          <w:tcPr>
            <w:tcW w:w="2500" w:type="pct"/>
            <w:vAlign w:val="center"/>
          </w:tcPr>
          <w:p w14:paraId="5432BFCF">
            <w:pPr>
              <w:jc w:val="center"/>
              <w:rPr>
                <w:rFonts w:hint="eastAsia" w:ascii="黑体" w:hAnsi="黑体" w:eastAsia="黑体"/>
                <w:color w:val="auto"/>
                <w:sz w:val="24"/>
                <w:szCs w:val="24"/>
              </w:rPr>
            </w:pPr>
          </w:p>
        </w:tc>
      </w:tr>
      <w:tr w14:paraId="2FB8257E">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jc w:val="right"/>
        </w:trPr>
        <w:tc>
          <w:tcPr>
            <w:tcW w:w="2500" w:type="pct"/>
            <w:vAlign w:val="center"/>
          </w:tcPr>
          <w:p w14:paraId="0F14F5C9">
            <w:pPr>
              <w:jc w:val="center"/>
              <w:rPr>
                <w:rFonts w:hint="eastAsia" w:ascii="黑体" w:hAnsi="黑体" w:eastAsia="黑体"/>
                <w:color w:val="auto"/>
                <w:sz w:val="24"/>
                <w:szCs w:val="24"/>
              </w:rPr>
            </w:pPr>
          </w:p>
        </w:tc>
        <w:tc>
          <w:tcPr>
            <w:tcW w:w="2500" w:type="pct"/>
            <w:vAlign w:val="center"/>
          </w:tcPr>
          <w:p w14:paraId="73CA374B">
            <w:pPr>
              <w:jc w:val="center"/>
              <w:rPr>
                <w:rFonts w:hint="eastAsia" w:ascii="黑体" w:hAnsi="黑体" w:eastAsia="黑体"/>
                <w:color w:val="auto"/>
                <w:sz w:val="24"/>
                <w:szCs w:val="24"/>
              </w:rPr>
            </w:pPr>
          </w:p>
        </w:tc>
      </w:tr>
      <w:tr w14:paraId="35CABE54">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jc w:val="right"/>
        </w:trPr>
        <w:tc>
          <w:tcPr>
            <w:tcW w:w="2500" w:type="pct"/>
            <w:vAlign w:val="center"/>
          </w:tcPr>
          <w:p w14:paraId="46832652">
            <w:pPr>
              <w:jc w:val="center"/>
              <w:rPr>
                <w:rFonts w:hint="eastAsia" w:ascii="黑体" w:hAnsi="黑体" w:eastAsia="黑体"/>
                <w:color w:val="auto"/>
                <w:sz w:val="24"/>
                <w:szCs w:val="24"/>
              </w:rPr>
            </w:pPr>
          </w:p>
        </w:tc>
        <w:tc>
          <w:tcPr>
            <w:tcW w:w="2500" w:type="pct"/>
            <w:vAlign w:val="center"/>
          </w:tcPr>
          <w:p w14:paraId="3061DF92">
            <w:pPr>
              <w:jc w:val="center"/>
              <w:rPr>
                <w:rFonts w:hint="eastAsia" w:ascii="黑体" w:hAnsi="黑体" w:eastAsia="黑体"/>
                <w:color w:val="auto"/>
                <w:sz w:val="24"/>
                <w:szCs w:val="24"/>
              </w:rPr>
            </w:pPr>
          </w:p>
        </w:tc>
      </w:tr>
      <w:tr w14:paraId="67B79A3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jc w:val="right"/>
        </w:trPr>
        <w:tc>
          <w:tcPr>
            <w:tcW w:w="2500" w:type="pct"/>
            <w:vAlign w:val="center"/>
          </w:tcPr>
          <w:p w14:paraId="3DF471A2">
            <w:pPr>
              <w:jc w:val="center"/>
              <w:rPr>
                <w:rFonts w:hint="eastAsia" w:ascii="黑体" w:hAnsi="黑体" w:eastAsia="黑体"/>
                <w:color w:val="auto"/>
                <w:sz w:val="24"/>
                <w:szCs w:val="24"/>
              </w:rPr>
            </w:pPr>
          </w:p>
        </w:tc>
        <w:tc>
          <w:tcPr>
            <w:tcW w:w="2500" w:type="pct"/>
            <w:vAlign w:val="center"/>
          </w:tcPr>
          <w:p w14:paraId="65B83AE0">
            <w:pPr>
              <w:jc w:val="center"/>
              <w:rPr>
                <w:rFonts w:hint="eastAsia" w:ascii="黑体" w:hAnsi="黑体" w:eastAsia="黑体"/>
                <w:color w:val="auto"/>
                <w:sz w:val="24"/>
                <w:szCs w:val="24"/>
              </w:rPr>
            </w:pPr>
          </w:p>
        </w:tc>
      </w:tr>
      <w:tr w14:paraId="7B47E424">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jc w:val="right"/>
        </w:trPr>
        <w:tc>
          <w:tcPr>
            <w:tcW w:w="2500" w:type="pct"/>
            <w:vAlign w:val="center"/>
          </w:tcPr>
          <w:p w14:paraId="09A3E69B">
            <w:pPr>
              <w:jc w:val="center"/>
              <w:rPr>
                <w:rFonts w:hint="eastAsia" w:ascii="黑体" w:hAnsi="黑体" w:eastAsia="黑体"/>
                <w:color w:val="auto"/>
                <w:sz w:val="24"/>
                <w:szCs w:val="24"/>
              </w:rPr>
            </w:pPr>
          </w:p>
        </w:tc>
        <w:tc>
          <w:tcPr>
            <w:tcW w:w="2500" w:type="pct"/>
            <w:vAlign w:val="center"/>
          </w:tcPr>
          <w:p w14:paraId="6FD28BBE">
            <w:pPr>
              <w:jc w:val="center"/>
              <w:rPr>
                <w:rFonts w:hint="eastAsia" w:ascii="黑体" w:hAnsi="黑体" w:eastAsia="黑体"/>
                <w:color w:val="auto"/>
                <w:sz w:val="24"/>
                <w:szCs w:val="24"/>
              </w:rPr>
            </w:pPr>
          </w:p>
        </w:tc>
      </w:tr>
    </w:tbl>
    <w:p w14:paraId="10083D7B">
      <w:pPr>
        <w:rPr>
          <w:color w:val="auto"/>
          <w:szCs w:val="21"/>
        </w:rPr>
      </w:pPr>
    </w:p>
    <w:p w14:paraId="272B49AA">
      <w:pPr>
        <w:rPr>
          <w:color w:val="auto"/>
          <w:szCs w:val="21"/>
        </w:rPr>
        <w:sectPr>
          <w:headerReference r:id="rId4" w:type="default"/>
          <w:footerReference r:id="rId5" w:type="default"/>
          <w:footerReference r:id="rId6" w:type="even"/>
          <w:type w:val="continuous"/>
          <w:pgSz w:w="11906" w:h="16838"/>
          <w:pgMar w:top="1440" w:right="1588" w:bottom="1389" w:left="1588" w:header="680" w:footer="794" w:gutter="0"/>
          <w:pgNumType w:fmt="upperRoman" w:start="1"/>
          <w:cols w:space="425" w:num="1"/>
          <w:docGrid w:type="lines" w:linePitch="312" w:charSpace="0"/>
        </w:sectPr>
      </w:pPr>
    </w:p>
    <w:p w14:paraId="1F288753">
      <w:pPr>
        <w:keepNext/>
        <w:keepLines/>
        <w:snapToGrid w:val="0"/>
        <w:spacing w:line="360" w:lineRule="auto"/>
        <w:jc w:val="center"/>
        <w:outlineLvl w:val="0"/>
        <w:rPr>
          <w:color w:val="auto"/>
        </w:rPr>
      </w:pPr>
      <w:bookmarkStart w:id="10" w:name="_Toc501029602"/>
      <w:bookmarkStart w:id="11" w:name="_Toc220582746"/>
      <w:bookmarkStart w:id="12" w:name="_Toc228443947"/>
      <w:bookmarkStart w:id="13" w:name="_Toc499712291"/>
      <w:bookmarkStart w:id="14" w:name="_Toc195802157"/>
      <w:bookmarkStart w:id="15" w:name="_Toc23408596"/>
      <w:bookmarkStart w:id="16" w:name="_Toc8837216"/>
      <w:bookmarkStart w:id="17" w:name="_Toc229930106"/>
      <w:bookmarkStart w:id="18" w:name="_Toc220665368"/>
      <w:bookmarkStart w:id="19" w:name="_Toc518058154"/>
      <w:bookmarkStart w:id="20" w:name="_Toc26893088"/>
      <w:bookmarkStart w:id="21" w:name="_Toc54867930"/>
      <w:bookmarkStart w:id="22" w:name="_Toc196333683"/>
      <w:bookmarkStart w:id="23" w:name="_Toc520194544"/>
      <w:bookmarkStart w:id="24" w:name="_Toc5613736"/>
      <w:bookmarkStart w:id="25" w:name="_Toc195085999"/>
      <w:bookmarkStart w:id="26" w:name="_Toc53736381"/>
      <w:bookmarkStart w:id="27" w:name="_Toc169710048"/>
      <w:bookmarkStart w:id="28" w:name="_Toc18344678"/>
      <w:bookmarkStart w:id="29" w:name="_Toc172020355"/>
      <w:bookmarkStart w:id="30" w:name="_Toc54602190"/>
      <w:bookmarkStart w:id="31" w:name="_Toc8309690"/>
      <w:r>
        <w:rPr>
          <w:rFonts w:ascii="黑体" w:hAnsi="黑体" w:eastAsia="黑体"/>
          <w:b/>
          <w:bCs/>
          <w:color w:val="auto"/>
          <w:kern w:val="44"/>
          <w:sz w:val="36"/>
          <w:szCs w:val="36"/>
        </w:rPr>
        <w:t>目  录</w:t>
      </w:r>
      <w:bookmarkEnd w:id="0"/>
      <w:bookmarkEnd w:id="1"/>
      <w:bookmarkEnd w:id="2"/>
      <w:bookmarkEnd w:id="3"/>
      <w:bookmarkEnd w:id="4"/>
      <w:bookmarkEnd w:id="5"/>
      <w:bookmarkEnd w:id="6"/>
      <w:bookmarkEnd w:id="7"/>
      <w:bookmarkEnd w:id="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hint="eastAsia" w:ascii="黑体" w:hAnsi="黑体" w:eastAsia="黑体"/>
          <w:b/>
          <w:bCs/>
          <w:color w:val="auto"/>
          <w:kern w:val="44"/>
          <w:sz w:val="36"/>
          <w:szCs w:val="36"/>
        </w:rPr>
        <w:t xml:space="preserve">  </w:t>
      </w:r>
      <w:r>
        <w:rPr>
          <w:rFonts w:ascii="Calibri" w:hAnsi="Calibri" w:eastAsia="黑体"/>
          <w:b/>
          <w:caps/>
          <w:smallCaps/>
          <w:color w:val="auto"/>
          <w:sz w:val="21"/>
        </w:rPr>
        <w:fldChar w:fldCharType="begin"/>
      </w:r>
      <w:r>
        <w:rPr>
          <w:rFonts w:eastAsia="黑体"/>
          <w:smallCaps/>
          <w:color w:val="auto"/>
        </w:rPr>
        <w:instrText xml:space="preserve"> TOC \o "1-2" \h \z \u </w:instrText>
      </w:r>
      <w:r>
        <w:rPr>
          <w:rFonts w:ascii="Calibri" w:hAnsi="Calibri" w:eastAsia="黑体"/>
          <w:b/>
          <w:caps/>
          <w:smallCaps/>
          <w:color w:val="auto"/>
          <w:sz w:val="21"/>
        </w:rPr>
        <w:fldChar w:fldCharType="separate"/>
      </w:r>
    </w:p>
    <w:p w14:paraId="496BAE5E">
      <w:pPr>
        <w:pStyle w:val="53"/>
        <w:tabs>
          <w:tab w:val="right" w:leader="dot" w:pos="8647"/>
          <w:tab w:val="clear" w:pos="8296"/>
        </w:tabs>
        <w:rPr>
          <w:rFonts w:eastAsia="黑体"/>
          <w:b w:val="0"/>
          <w:caps w:val="0"/>
          <w:color w:val="auto"/>
          <w:kern w:val="2"/>
          <w:szCs w:val="24"/>
          <w14:ligatures w14:val="standardContextual"/>
        </w:rPr>
      </w:pPr>
      <w:bookmarkStart w:id="32" w:name="OLE_LINK155"/>
      <w:r>
        <w:rPr>
          <w:rStyle w:val="119"/>
          <w:rFonts w:eastAsia="黑体"/>
          <w:color w:val="auto"/>
          <w:szCs w:val="24"/>
        </w:rPr>
        <w:fldChar w:fldCharType="begin"/>
      </w:r>
      <w:r>
        <w:rPr>
          <w:rStyle w:val="119"/>
          <w:rFonts w:eastAsia="黑体"/>
          <w:color w:val="auto"/>
          <w:szCs w:val="24"/>
        </w:rPr>
        <w:instrText xml:space="preserve"> </w:instrText>
      </w:r>
      <w:r>
        <w:rPr>
          <w:rFonts w:eastAsia="黑体"/>
          <w:color w:val="auto"/>
          <w:szCs w:val="24"/>
        </w:rPr>
        <w:instrText xml:space="preserve">HYPERLINK \l "_Toc229930107"</w:instrText>
      </w:r>
      <w:r>
        <w:rPr>
          <w:rStyle w:val="119"/>
          <w:rFonts w:eastAsia="黑体"/>
          <w:color w:val="auto"/>
          <w:szCs w:val="24"/>
        </w:rPr>
        <w:instrText xml:space="preserve"> </w:instrText>
      </w:r>
      <w:r>
        <w:rPr>
          <w:rStyle w:val="119"/>
          <w:rFonts w:eastAsia="黑体"/>
          <w:color w:val="auto"/>
          <w:szCs w:val="24"/>
        </w:rPr>
        <w:fldChar w:fldCharType="separate"/>
      </w:r>
      <w:r>
        <w:rPr>
          <w:rStyle w:val="119"/>
          <w:rFonts w:eastAsia="黑体"/>
          <w:color w:val="auto"/>
          <w:szCs w:val="24"/>
        </w:rPr>
        <w:t>第1章 概  述</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_Toc229930107 \h </w:instrText>
      </w:r>
      <w:r>
        <w:rPr>
          <w:rFonts w:eastAsia="黑体"/>
          <w:color w:val="auto"/>
          <w:szCs w:val="24"/>
        </w:rPr>
        <w:fldChar w:fldCharType="separate"/>
      </w:r>
      <w:r>
        <w:rPr>
          <w:rFonts w:eastAsia="黑体"/>
          <w:color w:val="auto"/>
          <w:szCs w:val="24"/>
        </w:rPr>
        <w:t>1</w:t>
      </w:r>
      <w:r>
        <w:rPr>
          <w:rFonts w:eastAsia="黑体"/>
          <w:color w:val="auto"/>
          <w:szCs w:val="24"/>
        </w:rPr>
        <w:fldChar w:fldCharType="end"/>
      </w:r>
      <w:r>
        <w:rPr>
          <w:rStyle w:val="119"/>
          <w:rFonts w:eastAsia="黑体"/>
          <w:color w:val="auto"/>
          <w:szCs w:val="24"/>
        </w:rPr>
        <w:fldChar w:fldCharType="end"/>
      </w:r>
    </w:p>
    <w:p w14:paraId="430D2BAF">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"_Toc229930108" </w:instrText>
      </w:r>
      <w:r>
        <w:rPr>
          <w:color w:val="auto"/>
        </w:rPr>
        <w:fldChar w:fldCharType="separate"/>
      </w:r>
      <w:r>
        <w:rPr>
          <w:rStyle w:val="119"/>
          <w:rFonts w:eastAsia="黑体"/>
          <w:color w:val="auto"/>
          <w:szCs w:val="24"/>
        </w:rPr>
        <w:t>1.1 建设项目背景及其特点</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_Toc229930108 \h </w:instrText>
      </w:r>
      <w:r>
        <w:rPr>
          <w:rFonts w:eastAsia="黑体"/>
          <w:color w:val="auto"/>
          <w:szCs w:val="24"/>
        </w:rPr>
        <w:fldChar w:fldCharType="separate"/>
      </w:r>
      <w:r>
        <w:rPr>
          <w:rFonts w:eastAsia="黑体"/>
          <w:color w:val="auto"/>
          <w:szCs w:val="24"/>
        </w:rPr>
        <w:t>1</w:t>
      </w:r>
      <w:r>
        <w:rPr>
          <w:rFonts w:eastAsia="黑体"/>
          <w:color w:val="auto"/>
          <w:szCs w:val="24"/>
        </w:rPr>
        <w:fldChar w:fldCharType="end"/>
      </w:r>
      <w:r>
        <w:rPr>
          <w:rFonts w:eastAsia="黑体"/>
          <w:color w:val="auto"/>
          <w:szCs w:val="24"/>
        </w:rPr>
        <w:fldChar w:fldCharType="end"/>
      </w:r>
    </w:p>
    <w:p w14:paraId="6B51A2C0">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"_Toc229930109" </w:instrText>
      </w:r>
      <w:r>
        <w:rPr>
          <w:color w:val="auto"/>
        </w:rPr>
        <w:fldChar w:fldCharType="separate"/>
      </w:r>
      <w:r>
        <w:rPr>
          <w:rStyle w:val="119"/>
          <w:rFonts w:eastAsia="黑体"/>
          <w:color w:val="auto"/>
          <w:szCs w:val="24"/>
        </w:rPr>
        <w:t>1.2 环境影响评价工作过程</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_Toc229930109 \h </w:instrText>
      </w:r>
      <w:r>
        <w:rPr>
          <w:rFonts w:eastAsia="黑体"/>
          <w:color w:val="auto"/>
          <w:szCs w:val="24"/>
        </w:rPr>
        <w:fldChar w:fldCharType="separate"/>
      </w:r>
      <w:r>
        <w:rPr>
          <w:rFonts w:eastAsia="黑体"/>
          <w:color w:val="auto"/>
          <w:szCs w:val="24"/>
        </w:rPr>
        <w:t>2</w:t>
      </w:r>
      <w:r>
        <w:rPr>
          <w:rFonts w:eastAsia="黑体"/>
          <w:color w:val="auto"/>
          <w:szCs w:val="24"/>
        </w:rPr>
        <w:fldChar w:fldCharType="end"/>
      </w:r>
      <w:r>
        <w:rPr>
          <w:rFonts w:eastAsia="黑体"/>
          <w:color w:val="auto"/>
          <w:szCs w:val="24"/>
        </w:rPr>
        <w:fldChar w:fldCharType="end"/>
      </w:r>
    </w:p>
    <w:p w14:paraId="35DD9936">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"_Toc229930110" </w:instrText>
      </w:r>
      <w:r>
        <w:rPr>
          <w:color w:val="auto"/>
        </w:rPr>
        <w:fldChar w:fldCharType="separate"/>
      </w:r>
      <w:r>
        <w:rPr>
          <w:rStyle w:val="119"/>
          <w:rFonts w:eastAsia="黑体"/>
          <w:color w:val="auto"/>
          <w:szCs w:val="24"/>
        </w:rPr>
        <w:t>1.3 分析判定相关情况</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_Toc229930110 \h </w:instrText>
      </w:r>
      <w:r>
        <w:rPr>
          <w:rFonts w:eastAsia="黑体"/>
          <w:color w:val="auto"/>
          <w:szCs w:val="24"/>
        </w:rPr>
        <w:fldChar w:fldCharType="separate"/>
      </w:r>
      <w:r>
        <w:rPr>
          <w:rFonts w:eastAsia="黑体"/>
          <w:color w:val="auto"/>
          <w:szCs w:val="24"/>
        </w:rPr>
        <w:t>4</w:t>
      </w:r>
      <w:r>
        <w:rPr>
          <w:rFonts w:eastAsia="黑体"/>
          <w:color w:val="auto"/>
          <w:szCs w:val="24"/>
        </w:rPr>
        <w:fldChar w:fldCharType="end"/>
      </w:r>
      <w:r>
        <w:rPr>
          <w:rFonts w:eastAsia="黑体"/>
          <w:color w:val="auto"/>
          <w:szCs w:val="24"/>
        </w:rPr>
        <w:fldChar w:fldCharType="end"/>
      </w:r>
    </w:p>
    <w:p w14:paraId="114B7108">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"_Toc229930111" </w:instrText>
      </w:r>
      <w:r>
        <w:rPr>
          <w:color w:val="auto"/>
        </w:rPr>
        <w:fldChar w:fldCharType="separate"/>
      </w:r>
      <w:r>
        <w:rPr>
          <w:rStyle w:val="119"/>
          <w:rFonts w:eastAsia="黑体"/>
          <w:color w:val="auto"/>
          <w:szCs w:val="24"/>
        </w:rPr>
        <w:t>1.4 关注的主要环境问题</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_Toc229930111 \h </w:instrText>
      </w:r>
      <w:r>
        <w:rPr>
          <w:rFonts w:eastAsia="黑体"/>
          <w:color w:val="auto"/>
          <w:szCs w:val="24"/>
        </w:rPr>
        <w:fldChar w:fldCharType="separate"/>
      </w:r>
      <w:r>
        <w:rPr>
          <w:rFonts w:eastAsia="黑体"/>
          <w:color w:val="auto"/>
          <w:szCs w:val="24"/>
        </w:rPr>
        <w:t>25</w:t>
      </w:r>
      <w:r>
        <w:rPr>
          <w:rFonts w:eastAsia="黑体"/>
          <w:color w:val="auto"/>
          <w:szCs w:val="24"/>
        </w:rPr>
        <w:fldChar w:fldCharType="end"/>
      </w:r>
      <w:r>
        <w:rPr>
          <w:rFonts w:eastAsia="黑体"/>
          <w:color w:val="auto"/>
          <w:szCs w:val="24"/>
        </w:rPr>
        <w:fldChar w:fldCharType="end"/>
      </w:r>
    </w:p>
    <w:p w14:paraId="163BED2A">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"_Toc229930112" </w:instrText>
      </w:r>
      <w:r>
        <w:rPr>
          <w:color w:val="auto"/>
        </w:rPr>
        <w:fldChar w:fldCharType="separate"/>
      </w:r>
      <w:r>
        <w:rPr>
          <w:rStyle w:val="119"/>
          <w:rFonts w:eastAsia="黑体"/>
          <w:color w:val="auto"/>
          <w:szCs w:val="24"/>
        </w:rPr>
        <w:t>1.5 环境影响报告书的主要结论</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_Toc229930112 \h </w:instrText>
      </w:r>
      <w:r>
        <w:rPr>
          <w:rFonts w:eastAsia="黑体"/>
          <w:color w:val="auto"/>
          <w:szCs w:val="24"/>
        </w:rPr>
        <w:fldChar w:fldCharType="separate"/>
      </w:r>
      <w:r>
        <w:rPr>
          <w:rFonts w:eastAsia="黑体"/>
          <w:color w:val="auto"/>
          <w:szCs w:val="24"/>
        </w:rPr>
        <w:t>25</w:t>
      </w:r>
      <w:r>
        <w:rPr>
          <w:rFonts w:eastAsia="黑体"/>
          <w:color w:val="auto"/>
          <w:szCs w:val="24"/>
        </w:rPr>
        <w:fldChar w:fldCharType="end"/>
      </w:r>
      <w:r>
        <w:rPr>
          <w:rFonts w:eastAsia="黑体"/>
          <w:color w:val="auto"/>
          <w:szCs w:val="24"/>
        </w:rPr>
        <w:fldChar w:fldCharType="end"/>
      </w:r>
    </w:p>
    <w:p w14:paraId="14063303">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"_Toc229930113" </w:instrText>
      </w:r>
      <w:r>
        <w:rPr>
          <w:color w:val="auto"/>
        </w:rPr>
        <w:fldChar w:fldCharType="separate"/>
      </w:r>
      <w:r>
        <w:rPr>
          <w:rStyle w:val="119"/>
          <w:rFonts w:eastAsia="黑体"/>
          <w:color w:val="auto"/>
          <w:szCs w:val="24"/>
        </w:rPr>
        <w:t>第2章 总则</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_Toc229930113 \h </w:instrText>
      </w:r>
      <w:r>
        <w:rPr>
          <w:rFonts w:eastAsia="黑体"/>
          <w:color w:val="auto"/>
          <w:szCs w:val="24"/>
        </w:rPr>
        <w:fldChar w:fldCharType="separate"/>
      </w:r>
      <w:r>
        <w:rPr>
          <w:rFonts w:eastAsia="黑体"/>
          <w:color w:val="auto"/>
          <w:szCs w:val="24"/>
        </w:rPr>
        <w:t>26</w:t>
      </w:r>
      <w:r>
        <w:rPr>
          <w:rFonts w:eastAsia="黑体"/>
          <w:color w:val="auto"/>
          <w:szCs w:val="24"/>
        </w:rPr>
        <w:fldChar w:fldCharType="end"/>
      </w:r>
      <w:r>
        <w:rPr>
          <w:rFonts w:eastAsia="黑体"/>
          <w:color w:val="auto"/>
          <w:szCs w:val="24"/>
        </w:rPr>
        <w:fldChar w:fldCharType="end"/>
      </w:r>
    </w:p>
    <w:p w14:paraId="4CDFA9E5">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"_Toc229930114" </w:instrText>
      </w:r>
      <w:r>
        <w:rPr>
          <w:color w:val="auto"/>
        </w:rPr>
        <w:fldChar w:fldCharType="separate"/>
      </w:r>
      <w:r>
        <w:rPr>
          <w:rStyle w:val="119"/>
          <w:rFonts w:eastAsia="黑体"/>
          <w:color w:val="auto"/>
          <w:szCs w:val="24"/>
        </w:rPr>
        <w:t>2.1 评价目的和工作原则</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_Toc229930114 \h </w:instrText>
      </w:r>
      <w:r>
        <w:rPr>
          <w:rFonts w:eastAsia="黑体"/>
          <w:color w:val="auto"/>
          <w:szCs w:val="24"/>
        </w:rPr>
        <w:fldChar w:fldCharType="separate"/>
      </w:r>
      <w:r>
        <w:rPr>
          <w:rFonts w:eastAsia="黑体"/>
          <w:color w:val="auto"/>
          <w:szCs w:val="24"/>
        </w:rPr>
        <w:t>26</w:t>
      </w:r>
      <w:r>
        <w:rPr>
          <w:rFonts w:eastAsia="黑体"/>
          <w:color w:val="auto"/>
          <w:szCs w:val="24"/>
        </w:rPr>
        <w:fldChar w:fldCharType="end"/>
      </w:r>
      <w:r>
        <w:rPr>
          <w:rFonts w:eastAsia="黑体"/>
          <w:color w:val="auto"/>
          <w:szCs w:val="24"/>
        </w:rPr>
        <w:fldChar w:fldCharType="end"/>
      </w:r>
    </w:p>
    <w:p w14:paraId="3B858BAF">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"_Toc229930115" </w:instrText>
      </w:r>
      <w:r>
        <w:rPr>
          <w:color w:val="auto"/>
        </w:rPr>
        <w:fldChar w:fldCharType="separate"/>
      </w:r>
      <w:r>
        <w:rPr>
          <w:rStyle w:val="119"/>
          <w:rFonts w:eastAsia="黑体"/>
          <w:color w:val="auto"/>
          <w:szCs w:val="24"/>
        </w:rPr>
        <w:t>2.2 编制依据</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_Toc229930115 \h </w:instrText>
      </w:r>
      <w:r>
        <w:rPr>
          <w:rFonts w:eastAsia="黑体"/>
          <w:color w:val="auto"/>
          <w:szCs w:val="24"/>
        </w:rPr>
        <w:fldChar w:fldCharType="separate"/>
      </w:r>
      <w:r>
        <w:rPr>
          <w:rFonts w:eastAsia="黑体"/>
          <w:color w:val="auto"/>
          <w:szCs w:val="24"/>
        </w:rPr>
        <w:t>26</w:t>
      </w:r>
      <w:r>
        <w:rPr>
          <w:rFonts w:eastAsia="黑体"/>
          <w:color w:val="auto"/>
          <w:szCs w:val="24"/>
        </w:rPr>
        <w:fldChar w:fldCharType="end"/>
      </w:r>
      <w:r>
        <w:rPr>
          <w:rFonts w:eastAsia="黑体"/>
          <w:color w:val="auto"/>
          <w:szCs w:val="24"/>
        </w:rPr>
        <w:fldChar w:fldCharType="end"/>
      </w:r>
    </w:p>
    <w:p w14:paraId="0D4C9C15">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"_Toc229930116" </w:instrText>
      </w:r>
      <w:r>
        <w:rPr>
          <w:color w:val="auto"/>
        </w:rPr>
        <w:fldChar w:fldCharType="separate"/>
      </w:r>
      <w:r>
        <w:rPr>
          <w:rStyle w:val="119"/>
          <w:rFonts w:eastAsia="黑体"/>
          <w:color w:val="auto"/>
          <w:szCs w:val="24"/>
        </w:rPr>
        <w:t>2.3 环境影响要素识别及评价因子筛选</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_Toc229930116 \h </w:instrText>
      </w:r>
      <w:r>
        <w:rPr>
          <w:rFonts w:eastAsia="黑体"/>
          <w:color w:val="auto"/>
          <w:szCs w:val="24"/>
        </w:rPr>
        <w:fldChar w:fldCharType="separate"/>
      </w:r>
      <w:r>
        <w:rPr>
          <w:rFonts w:eastAsia="黑体"/>
          <w:color w:val="auto"/>
          <w:szCs w:val="24"/>
        </w:rPr>
        <w:t>31</w:t>
      </w:r>
      <w:r>
        <w:rPr>
          <w:rFonts w:eastAsia="黑体"/>
          <w:color w:val="auto"/>
          <w:szCs w:val="24"/>
        </w:rPr>
        <w:fldChar w:fldCharType="end"/>
      </w:r>
      <w:r>
        <w:rPr>
          <w:rFonts w:eastAsia="黑体"/>
          <w:color w:val="auto"/>
          <w:szCs w:val="24"/>
        </w:rPr>
        <w:fldChar w:fldCharType="end"/>
      </w:r>
    </w:p>
    <w:p w14:paraId="4F0C8D7F">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"_Toc229930117" </w:instrText>
      </w:r>
      <w:r>
        <w:rPr>
          <w:color w:val="auto"/>
        </w:rPr>
        <w:fldChar w:fldCharType="separate"/>
      </w:r>
      <w:r>
        <w:rPr>
          <w:rStyle w:val="119"/>
          <w:rFonts w:eastAsia="黑体"/>
          <w:color w:val="auto"/>
          <w:szCs w:val="24"/>
        </w:rPr>
        <w:t>2.4 评价等级与评价范围</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_Toc229930117 \h </w:instrText>
      </w:r>
      <w:r>
        <w:rPr>
          <w:rFonts w:eastAsia="黑体"/>
          <w:color w:val="auto"/>
          <w:szCs w:val="24"/>
        </w:rPr>
        <w:fldChar w:fldCharType="separate"/>
      </w:r>
      <w:r>
        <w:rPr>
          <w:rFonts w:eastAsia="黑体"/>
          <w:color w:val="auto"/>
          <w:szCs w:val="24"/>
        </w:rPr>
        <w:t>33</w:t>
      </w:r>
      <w:r>
        <w:rPr>
          <w:rFonts w:eastAsia="黑体"/>
          <w:color w:val="auto"/>
          <w:szCs w:val="24"/>
        </w:rPr>
        <w:fldChar w:fldCharType="end"/>
      </w:r>
      <w:r>
        <w:rPr>
          <w:rFonts w:eastAsia="黑体"/>
          <w:color w:val="auto"/>
          <w:szCs w:val="24"/>
        </w:rPr>
        <w:fldChar w:fldCharType="end"/>
      </w:r>
    </w:p>
    <w:p w14:paraId="2F9D1FFF">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"_Toc229930118" </w:instrText>
      </w:r>
      <w:r>
        <w:rPr>
          <w:color w:val="auto"/>
        </w:rPr>
        <w:fldChar w:fldCharType="separate"/>
      </w:r>
      <w:r>
        <w:rPr>
          <w:rStyle w:val="119"/>
          <w:rFonts w:eastAsia="黑体"/>
          <w:color w:val="auto"/>
          <w:szCs w:val="24"/>
        </w:rPr>
        <w:t>2.5 环境功能区划及评价标准</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_Toc229930118 \h </w:instrText>
      </w:r>
      <w:r>
        <w:rPr>
          <w:rFonts w:eastAsia="黑体"/>
          <w:color w:val="auto"/>
          <w:szCs w:val="24"/>
        </w:rPr>
        <w:fldChar w:fldCharType="separate"/>
      </w:r>
      <w:r>
        <w:rPr>
          <w:rFonts w:eastAsia="黑体"/>
          <w:color w:val="auto"/>
          <w:szCs w:val="24"/>
        </w:rPr>
        <w:t>44</w:t>
      </w:r>
      <w:r>
        <w:rPr>
          <w:rFonts w:eastAsia="黑体"/>
          <w:color w:val="auto"/>
          <w:szCs w:val="24"/>
        </w:rPr>
        <w:fldChar w:fldCharType="end"/>
      </w:r>
      <w:r>
        <w:rPr>
          <w:rFonts w:eastAsia="黑体"/>
          <w:color w:val="auto"/>
          <w:szCs w:val="24"/>
        </w:rPr>
        <w:fldChar w:fldCharType="end"/>
      </w:r>
    </w:p>
    <w:p w14:paraId="39E151D4">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"_Toc229930119" </w:instrText>
      </w:r>
      <w:r>
        <w:rPr>
          <w:color w:val="auto"/>
        </w:rPr>
        <w:fldChar w:fldCharType="separate"/>
      </w:r>
      <w:r>
        <w:rPr>
          <w:rStyle w:val="119"/>
          <w:rFonts w:eastAsia="黑体"/>
          <w:snapToGrid w:val="0"/>
          <w:color w:val="auto"/>
          <w:szCs w:val="24"/>
        </w:rPr>
        <w:t>2.6 评价内容、评价重点及评价时段</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_Toc229930119 \h </w:instrText>
      </w:r>
      <w:r>
        <w:rPr>
          <w:rFonts w:eastAsia="黑体"/>
          <w:color w:val="auto"/>
          <w:szCs w:val="24"/>
        </w:rPr>
        <w:fldChar w:fldCharType="separate"/>
      </w:r>
      <w:r>
        <w:rPr>
          <w:rFonts w:eastAsia="黑体"/>
          <w:color w:val="auto"/>
          <w:szCs w:val="24"/>
        </w:rPr>
        <w:t>51</w:t>
      </w:r>
      <w:r>
        <w:rPr>
          <w:rFonts w:eastAsia="黑体"/>
          <w:color w:val="auto"/>
          <w:szCs w:val="24"/>
        </w:rPr>
        <w:fldChar w:fldCharType="end"/>
      </w:r>
      <w:r>
        <w:rPr>
          <w:rFonts w:eastAsia="黑体"/>
          <w:color w:val="auto"/>
          <w:szCs w:val="24"/>
        </w:rPr>
        <w:fldChar w:fldCharType="end"/>
      </w:r>
    </w:p>
    <w:p w14:paraId="140D03D7">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"_Toc229930120" </w:instrText>
      </w:r>
      <w:r>
        <w:rPr>
          <w:color w:val="auto"/>
        </w:rPr>
        <w:fldChar w:fldCharType="separate"/>
      </w:r>
      <w:r>
        <w:rPr>
          <w:rStyle w:val="119"/>
          <w:rFonts w:eastAsia="黑体"/>
          <w:color w:val="auto"/>
          <w:szCs w:val="24"/>
        </w:rPr>
        <w:t>2.7 环境保护目标</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_Toc229930120 \h </w:instrText>
      </w:r>
      <w:r>
        <w:rPr>
          <w:rFonts w:eastAsia="黑体"/>
          <w:color w:val="auto"/>
          <w:szCs w:val="24"/>
        </w:rPr>
        <w:fldChar w:fldCharType="separate"/>
      </w:r>
      <w:r>
        <w:rPr>
          <w:rFonts w:eastAsia="黑体"/>
          <w:color w:val="auto"/>
          <w:szCs w:val="24"/>
        </w:rPr>
        <w:t>51</w:t>
      </w:r>
      <w:r>
        <w:rPr>
          <w:rFonts w:eastAsia="黑体"/>
          <w:color w:val="auto"/>
          <w:szCs w:val="24"/>
        </w:rPr>
        <w:fldChar w:fldCharType="end"/>
      </w:r>
      <w:r>
        <w:rPr>
          <w:rFonts w:eastAsia="黑体"/>
          <w:color w:val="auto"/>
          <w:szCs w:val="24"/>
        </w:rPr>
        <w:fldChar w:fldCharType="end"/>
      </w:r>
    </w:p>
    <w:p w14:paraId="52591011">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"_Toc229930121" </w:instrText>
      </w:r>
      <w:r>
        <w:rPr>
          <w:color w:val="auto"/>
        </w:rPr>
        <w:fldChar w:fldCharType="separate"/>
      </w:r>
      <w:r>
        <w:rPr>
          <w:rStyle w:val="119"/>
          <w:rFonts w:eastAsia="黑体"/>
          <w:color w:val="auto"/>
          <w:szCs w:val="24"/>
        </w:rPr>
        <w:t>第3章 建设项目工程分析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_Toc229930121 \h </w:instrText>
      </w:r>
      <w:r>
        <w:rPr>
          <w:rFonts w:eastAsia="黑体"/>
          <w:color w:val="auto"/>
          <w:szCs w:val="24"/>
        </w:rPr>
        <w:fldChar w:fldCharType="separate"/>
      </w:r>
      <w:r>
        <w:rPr>
          <w:rFonts w:eastAsia="黑体"/>
          <w:color w:val="auto"/>
          <w:szCs w:val="24"/>
        </w:rPr>
        <w:t>53</w:t>
      </w:r>
      <w:r>
        <w:rPr>
          <w:rFonts w:eastAsia="黑体"/>
          <w:color w:val="auto"/>
          <w:szCs w:val="24"/>
        </w:rPr>
        <w:fldChar w:fldCharType="end"/>
      </w:r>
      <w:r>
        <w:rPr>
          <w:rFonts w:eastAsia="黑体"/>
          <w:color w:val="auto"/>
          <w:szCs w:val="24"/>
        </w:rPr>
        <w:fldChar w:fldCharType="end"/>
      </w:r>
    </w:p>
    <w:p w14:paraId="3DCA4886">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"_Toc229930122" </w:instrText>
      </w:r>
      <w:r>
        <w:rPr>
          <w:color w:val="auto"/>
        </w:rPr>
        <w:fldChar w:fldCharType="separate"/>
      </w:r>
      <w:r>
        <w:rPr>
          <w:rStyle w:val="119"/>
          <w:rFonts w:eastAsia="黑体"/>
          <w:color w:val="auto"/>
          <w:szCs w:val="24"/>
        </w:rPr>
        <w:t>3.1 本项目概况</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_Toc229930122 \h </w:instrText>
      </w:r>
      <w:r>
        <w:rPr>
          <w:rFonts w:eastAsia="黑体"/>
          <w:color w:val="auto"/>
          <w:szCs w:val="24"/>
        </w:rPr>
        <w:fldChar w:fldCharType="separate"/>
      </w:r>
      <w:r>
        <w:rPr>
          <w:rFonts w:eastAsia="黑体"/>
          <w:color w:val="auto"/>
          <w:szCs w:val="24"/>
        </w:rPr>
        <w:t>53</w:t>
      </w:r>
      <w:r>
        <w:rPr>
          <w:rFonts w:eastAsia="黑体"/>
          <w:color w:val="auto"/>
          <w:szCs w:val="24"/>
        </w:rPr>
        <w:fldChar w:fldCharType="end"/>
      </w:r>
      <w:r>
        <w:rPr>
          <w:rFonts w:eastAsia="黑体"/>
          <w:color w:val="auto"/>
          <w:szCs w:val="24"/>
        </w:rPr>
        <w:fldChar w:fldCharType="end"/>
      </w:r>
    </w:p>
    <w:p w14:paraId="144D092F">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"_Toc229930123" </w:instrText>
      </w:r>
      <w:r>
        <w:rPr>
          <w:color w:val="auto"/>
        </w:rPr>
        <w:fldChar w:fldCharType="separate"/>
      </w:r>
      <w:r>
        <w:rPr>
          <w:rStyle w:val="119"/>
          <w:rFonts w:eastAsia="黑体"/>
          <w:color w:val="auto"/>
          <w:szCs w:val="24"/>
        </w:rPr>
        <w:t>3.2 厂内工程工艺流程及污染因素分析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_Toc229930123 \h </w:instrText>
      </w:r>
      <w:r>
        <w:rPr>
          <w:rFonts w:eastAsia="黑体"/>
          <w:color w:val="auto"/>
          <w:szCs w:val="24"/>
        </w:rPr>
        <w:fldChar w:fldCharType="separate"/>
      </w:r>
      <w:r>
        <w:rPr>
          <w:rFonts w:eastAsia="黑体"/>
          <w:color w:val="auto"/>
          <w:szCs w:val="24"/>
        </w:rPr>
        <w:t>71</w:t>
      </w:r>
      <w:r>
        <w:rPr>
          <w:rFonts w:eastAsia="黑体"/>
          <w:color w:val="auto"/>
          <w:szCs w:val="24"/>
        </w:rPr>
        <w:fldChar w:fldCharType="end"/>
      </w:r>
      <w:r>
        <w:rPr>
          <w:rFonts w:eastAsia="黑体"/>
          <w:color w:val="auto"/>
          <w:szCs w:val="24"/>
        </w:rPr>
        <w:fldChar w:fldCharType="end"/>
      </w:r>
    </w:p>
    <w:p w14:paraId="6A661502">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"_Toc229930124" </w:instrText>
      </w:r>
      <w:r>
        <w:rPr>
          <w:color w:val="auto"/>
        </w:rPr>
        <w:fldChar w:fldCharType="separate"/>
      </w:r>
      <w:r>
        <w:rPr>
          <w:rStyle w:val="119"/>
          <w:rFonts w:eastAsia="黑体"/>
          <w:color w:val="auto"/>
          <w:szCs w:val="24"/>
        </w:rPr>
        <w:t>3.3 厂内工程污染源源强核算及污染物产排情况</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_Toc229930124 \h </w:instrText>
      </w:r>
      <w:r>
        <w:rPr>
          <w:rFonts w:eastAsia="黑体"/>
          <w:color w:val="auto"/>
          <w:szCs w:val="24"/>
        </w:rPr>
        <w:fldChar w:fldCharType="separate"/>
      </w:r>
      <w:r>
        <w:rPr>
          <w:rFonts w:eastAsia="黑体"/>
          <w:color w:val="auto"/>
          <w:szCs w:val="24"/>
        </w:rPr>
        <w:t>84</w:t>
      </w:r>
      <w:r>
        <w:rPr>
          <w:rFonts w:eastAsia="黑体"/>
          <w:color w:val="auto"/>
          <w:szCs w:val="24"/>
        </w:rPr>
        <w:fldChar w:fldCharType="end"/>
      </w:r>
      <w:r>
        <w:rPr>
          <w:rFonts w:eastAsia="黑体"/>
          <w:color w:val="auto"/>
          <w:szCs w:val="24"/>
        </w:rPr>
        <w:fldChar w:fldCharType="end"/>
      </w:r>
    </w:p>
    <w:p w14:paraId="6940CBC2">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"_Toc229930125" </w:instrText>
      </w:r>
      <w:r>
        <w:rPr>
          <w:color w:val="auto"/>
        </w:rPr>
        <w:fldChar w:fldCharType="separate"/>
      </w:r>
      <w:r>
        <w:rPr>
          <w:rStyle w:val="119"/>
          <w:rFonts w:eastAsia="黑体"/>
          <w:color w:val="auto"/>
          <w:szCs w:val="24"/>
        </w:rPr>
        <w:t>3.4 厂外工程及生态环境影响分析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_Toc229930125 \h </w:instrText>
      </w:r>
      <w:r>
        <w:rPr>
          <w:rFonts w:eastAsia="黑体"/>
          <w:color w:val="auto"/>
          <w:szCs w:val="24"/>
        </w:rPr>
        <w:fldChar w:fldCharType="separate"/>
      </w:r>
      <w:r>
        <w:rPr>
          <w:rFonts w:eastAsia="黑体"/>
          <w:color w:val="auto"/>
          <w:szCs w:val="24"/>
        </w:rPr>
        <w:t>91</w:t>
      </w:r>
      <w:r>
        <w:rPr>
          <w:rFonts w:eastAsia="黑体"/>
          <w:color w:val="auto"/>
          <w:szCs w:val="24"/>
        </w:rPr>
        <w:fldChar w:fldCharType="end"/>
      </w:r>
      <w:r>
        <w:rPr>
          <w:rFonts w:eastAsia="黑体"/>
          <w:color w:val="auto"/>
          <w:szCs w:val="24"/>
        </w:rPr>
        <w:fldChar w:fldCharType="end"/>
      </w:r>
    </w:p>
    <w:p w14:paraId="75D5D01A">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"_Toc229930126" </w:instrText>
      </w:r>
      <w:r>
        <w:rPr>
          <w:color w:val="auto"/>
        </w:rPr>
        <w:fldChar w:fldCharType="separate"/>
      </w:r>
      <w:r>
        <w:rPr>
          <w:rStyle w:val="119"/>
          <w:rFonts w:eastAsia="黑体"/>
          <w:color w:val="auto"/>
          <w:szCs w:val="24"/>
        </w:rPr>
        <w:t>3.5 污染物产排情况汇总</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_Toc229930126 \h </w:instrText>
      </w:r>
      <w:r>
        <w:rPr>
          <w:rFonts w:eastAsia="黑体"/>
          <w:color w:val="auto"/>
          <w:szCs w:val="24"/>
        </w:rPr>
        <w:fldChar w:fldCharType="separate"/>
      </w:r>
      <w:r>
        <w:rPr>
          <w:rFonts w:eastAsia="黑体"/>
          <w:color w:val="auto"/>
          <w:szCs w:val="24"/>
        </w:rPr>
        <w:t>99</w:t>
      </w:r>
      <w:r>
        <w:rPr>
          <w:rFonts w:eastAsia="黑体"/>
          <w:color w:val="auto"/>
          <w:szCs w:val="24"/>
        </w:rPr>
        <w:fldChar w:fldCharType="end"/>
      </w:r>
      <w:r>
        <w:rPr>
          <w:rFonts w:eastAsia="黑体"/>
          <w:color w:val="auto"/>
          <w:szCs w:val="24"/>
        </w:rPr>
        <w:fldChar w:fldCharType="end"/>
      </w:r>
    </w:p>
    <w:p w14:paraId="269D749A">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"_Toc229930127" </w:instrText>
      </w:r>
      <w:r>
        <w:rPr>
          <w:color w:val="auto"/>
        </w:rPr>
        <w:fldChar w:fldCharType="separate"/>
      </w:r>
      <w:r>
        <w:rPr>
          <w:rStyle w:val="119"/>
          <w:rFonts w:eastAsia="黑体"/>
          <w:color w:val="auto"/>
          <w:szCs w:val="24"/>
        </w:rPr>
        <w:t>3.6 碳排放分析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_Toc229930127 \h </w:instrText>
      </w:r>
      <w:r>
        <w:rPr>
          <w:rFonts w:eastAsia="黑体"/>
          <w:color w:val="auto"/>
          <w:szCs w:val="24"/>
        </w:rPr>
        <w:fldChar w:fldCharType="separate"/>
      </w:r>
      <w:r>
        <w:rPr>
          <w:rFonts w:eastAsia="黑体"/>
          <w:color w:val="auto"/>
          <w:szCs w:val="24"/>
        </w:rPr>
        <w:t>100</w:t>
      </w:r>
      <w:r>
        <w:rPr>
          <w:rFonts w:eastAsia="黑体"/>
          <w:color w:val="auto"/>
          <w:szCs w:val="24"/>
        </w:rPr>
        <w:fldChar w:fldCharType="end"/>
      </w:r>
      <w:r>
        <w:rPr>
          <w:rFonts w:eastAsia="黑体"/>
          <w:color w:val="auto"/>
          <w:szCs w:val="24"/>
        </w:rPr>
        <w:fldChar w:fldCharType="end"/>
      </w:r>
    </w:p>
    <w:p w14:paraId="018EF4DE">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"_Toc229930128" </w:instrText>
      </w:r>
      <w:r>
        <w:rPr>
          <w:color w:val="auto"/>
        </w:rPr>
        <w:fldChar w:fldCharType="separate"/>
      </w:r>
      <w:r>
        <w:rPr>
          <w:rStyle w:val="119"/>
          <w:rFonts w:eastAsia="黑体"/>
          <w:color w:val="auto"/>
          <w:szCs w:val="24"/>
        </w:rPr>
        <w:t>3.7 总量控制</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_Toc229930128 \h </w:instrText>
      </w:r>
      <w:r>
        <w:rPr>
          <w:rFonts w:eastAsia="黑体"/>
          <w:color w:val="auto"/>
          <w:szCs w:val="24"/>
        </w:rPr>
        <w:fldChar w:fldCharType="separate"/>
      </w:r>
      <w:r>
        <w:rPr>
          <w:rFonts w:eastAsia="黑体"/>
          <w:color w:val="auto"/>
          <w:szCs w:val="24"/>
        </w:rPr>
        <w:t>104</w:t>
      </w:r>
      <w:r>
        <w:rPr>
          <w:rFonts w:eastAsia="黑体"/>
          <w:color w:val="auto"/>
          <w:szCs w:val="24"/>
        </w:rPr>
        <w:fldChar w:fldCharType="end"/>
      </w:r>
      <w:r>
        <w:rPr>
          <w:rFonts w:eastAsia="黑体"/>
          <w:color w:val="auto"/>
          <w:szCs w:val="24"/>
        </w:rPr>
        <w:fldChar w:fldCharType="end"/>
      </w:r>
    </w:p>
    <w:p w14:paraId="64548F9C">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"_Toc229930129" </w:instrText>
      </w:r>
      <w:r>
        <w:rPr>
          <w:color w:val="auto"/>
        </w:rPr>
        <w:fldChar w:fldCharType="separate"/>
      </w:r>
      <w:r>
        <w:rPr>
          <w:rStyle w:val="119"/>
          <w:rFonts w:eastAsia="黑体"/>
          <w:color w:val="auto"/>
          <w:szCs w:val="24"/>
        </w:rPr>
        <w:t>3.8 清洁生产简析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_Toc229930129 \h </w:instrText>
      </w:r>
      <w:r>
        <w:rPr>
          <w:rFonts w:eastAsia="黑体"/>
          <w:color w:val="auto"/>
          <w:szCs w:val="24"/>
        </w:rPr>
        <w:fldChar w:fldCharType="separate"/>
      </w:r>
      <w:r>
        <w:rPr>
          <w:rFonts w:eastAsia="黑体"/>
          <w:color w:val="auto"/>
          <w:szCs w:val="24"/>
        </w:rPr>
        <w:t>104</w:t>
      </w:r>
      <w:r>
        <w:rPr>
          <w:rFonts w:eastAsia="黑体"/>
          <w:color w:val="auto"/>
          <w:szCs w:val="24"/>
        </w:rPr>
        <w:fldChar w:fldCharType="end"/>
      </w:r>
      <w:r>
        <w:rPr>
          <w:rFonts w:eastAsia="黑体"/>
          <w:color w:val="auto"/>
          <w:szCs w:val="24"/>
        </w:rPr>
        <w:fldChar w:fldCharType="end"/>
      </w:r>
    </w:p>
    <w:p w14:paraId="1B163EE6">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"_Toc229930130" </w:instrText>
      </w:r>
      <w:r>
        <w:rPr>
          <w:color w:val="auto"/>
        </w:rPr>
        <w:fldChar w:fldCharType="separate"/>
      </w:r>
      <w:r>
        <w:rPr>
          <w:rStyle w:val="119"/>
          <w:rFonts w:eastAsia="黑体"/>
          <w:color w:val="auto"/>
          <w:szCs w:val="24"/>
        </w:rPr>
        <w:t>第4章 环境现状调查与评价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_Toc229930130 \h </w:instrText>
      </w:r>
      <w:r>
        <w:rPr>
          <w:rFonts w:eastAsia="黑体"/>
          <w:color w:val="auto"/>
          <w:szCs w:val="24"/>
        </w:rPr>
        <w:fldChar w:fldCharType="separate"/>
      </w:r>
      <w:r>
        <w:rPr>
          <w:rFonts w:eastAsia="黑体"/>
          <w:color w:val="auto"/>
          <w:szCs w:val="24"/>
        </w:rPr>
        <w:t>110</w:t>
      </w:r>
      <w:r>
        <w:rPr>
          <w:rFonts w:eastAsia="黑体"/>
          <w:color w:val="auto"/>
          <w:szCs w:val="24"/>
        </w:rPr>
        <w:fldChar w:fldCharType="end"/>
      </w:r>
      <w:r>
        <w:rPr>
          <w:rFonts w:eastAsia="黑体"/>
          <w:color w:val="auto"/>
          <w:szCs w:val="24"/>
        </w:rPr>
        <w:fldChar w:fldCharType="end"/>
      </w:r>
    </w:p>
    <w:p w14:paraId="3F77B9B9">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"_Toc229930131" </w:instrText>
      </w:r>
      <w:r>
        <w:rPr>
          <w:color w:val="auto"/>
        </w:rPr>
        <w:fldChar w:fldCharType="separate"/>
      </w:r>
      <w:r>
        <w:rPr>
          <w:rStyle w:val="119"/>
          <w:rFonts w:eastAsia="黑体"/>
          <w:color w:val="auto"/>
          <w:szCs w:val="24"/>
        </w:rPr>
        <w:t>4.1 自然环境概况</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_Toc229930131 \h </w:instrText>
      </w:r>
      <w:r>
        <w:rPr>
          <w:rFonts w:eastAsia="黑体"/>
          <w:color w:val="auto"/>
          <w:szCs w:val="24"/>
        </w:rPr>
        <w:fldChar w:fldCharType="separate"/>
      </w:r>
      <w:r>
        <w:rPr>
          <w:rFonts w:eastAsia="黑体"/>
          <w:color w:val="auto"/>
          <w:szCs w:val="24"/>
        </w:rPr>
        <w:t>110</w:t>
      </w:r>
      <w:r>
        <w:rPr>
          <w:rFonts w:eastAsia="黑体"/>
          <w:color w:val="auto"/>
          <w:szCs w:val="24"/>
        </w:rPr>
        <w:fldChar w:fldCharType="end"/>
      </w:r>
      <w:r>
        <w:rPr>
          <w:rFonts w:eastAsia="黑体"/>
          <w:color w:val="auto"/>
          <w:szCs w:val="24"/>
        </w:rPr>
        <w:fldChar w:fldCharType="end"/>
      </w:r>
    </w:p>
    <w:p w14:paraId="6F1CC293">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"_Toc229930132" </w:instrText>
      </w:r>
      <w:r>
        <w:rPr>
          <w:color w:val="auto"/>
        </w:rPr>
        <w:fldChar w:fldCharType="separate"/>
      </w:r>
      <w:r>
        <w:rPr>
          <w:rStyle w:val="119"/>
          <w:rFonts w:eastAsia="黑体"/>
          <w:color w:val="auto"/>
          <w:szCs w:val="24"/>
        </w:rPr>
        <w:t>4.2 甘泉堡工业园区总体规划简介</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_Toc229930132 \h </w:instrText>
      </w:r>
      <w:r>
        <w:rPr>
          <w:rFonts w:eastAsia="黑体"/>
          <w:color w:val="auto"/>
          <w:szCs w:val="24"/>
        </w:rPr>
        <w:fldChar w:fldCharType="separate"/>
      </w:r>
      <w:r>
        <w:rPr>
          <w:rFonts w:eastAsia="黑体"/>
          <w:color w:val="auto"/>
          <w:szCs w:val="24"/>
        </w:rPr>
        <w:t>112</w:t>
      </w:r>
      <w:r>
        <w:rPr>
          <w:rFonts w:eastAsia="黑体"/>
          <w:color w:val="auto"/>
          <w:szCs w:val="24"/>
        </w:rPr>
        <w:fldChar w:fldCharType="end"/>
      </w:r>
      <w:r>
        <w:rPr>
          <w:rFonts w:eastAsia="黑体"/>
          <w:color w:val="auto"/>
          <w:szCs w:val="24"/>
        </w:rPr>
        <w:fldChar w:fldCharType="end"/>
      </w:r>
    </w:p>
    <w:p w14:paraId="3D616F79">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"_Toc229930133" </w:instrText>
      </w:r>
      <w:r>
        <w:rPr>
          <w:color w:val="auto"/>
        </w:rPr>
        <w:fldChar w:fldCharType="separate"/>
      </w:r>
      <w:r>
        <w:rPr>
          <w:rStyle w:val="119"/>
          <w:rFonts w:eastAsia="黑体"/>
          <w:color w:val="auto"/>
          <w:szCs w:val="24"/>
        </w:rPr>
        <w:t>4.3 甘泉堡经济技术开发区（工业区）化工园区简介</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_Toc229930133 \h </w:instrText>
      </w:r>
      <w:r>
        <w:rPr>
          <w:rFonts w:eastAsia="黑体"/>
          <w:color w:val="auto"/>
          <w:szCs w:val="24"/>
        </w:rPr>
        <w:fldChar w:fldCharType="separate"/>
      </w:r>
      <w:r>
        <w:rPr>
          <w:rFonts w:eastAsia="黑体"/>
          <w:color w:val="auto"/>
          <w:szCs w:val="24"/>
        </w:rPr>
        <w:t>116</w:t>
      </w:r>
      <w:r>
        <w:rPr>
          <w:rFonts w:eastAsia="黑体"/>
          <w:color w:val="auto"/>
          <w:szCs w:val="24"/>
        </w:rPr>
        <w:fldChar w:fldCharType="end"/>
      </w:r>
      <w:r>
        <w:rPr>
          <w:rFonts w:eastAsia="黑体"/>
          <w:color w:val="auto"/>
          <w:szCs w:val="24"/>
        </w:rPr>
        <w:fldChar w:fldCharType="end"/>
      </w:r>
    </w:p>
    <w:p w14:paraId="5DFE485A">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"_Toc229930134" </w:instrText>
      </w:r>
      <w:r>
        <w:rPr>
          <w:color w:val="auto"/>
        </w:rPr>
        <w:fldChar w:fldCharType="separate"/>
      </w:r>
      <w:r>
        <w:rPr>
          <w:rStyle w:val="119"/>
          <w:rFonts w:eastAsia="黑体"/>
          <w:color w:val="auto"/>
          <w:szCs w:val="24"/>
        </w:rPr>
        <w:t>4.4 化工园区基础设施建设及运行情况</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_Toc229930134 \h </w:instrText>
      </w:r>
      <w:r>
        <w:rPr>
          <w:rFonts w:eastAsia="黑体"/>
          <w:color w:val="auto"/>
          <w:szCs w:val="24"/>
        </w:rPr>
        <w:fldChar w:fldCharType="separate"/>
      </w:r>
      <w:r>
        <w:rPr>
          <w:rFonts w:eastAsia="黑体"/>
          <w:color w:val="auto"/>
          <w:szCs w:val="24"/>
        </w:rPr>
        <w:t>124</w:t>
      </w:r>
      <w:r>
        <w:rPr>
          <w:rFonts w:eastAsia="黑体"/>
          <w:color w:val="auto"/>
          <w:szCs w:val="24"/>
        </w:rPr>
        <w:fldChar w:fldCharType="end"/>
      </w:r>
      <w:r>
        <w:rPr>
          <w:rFonts w:eastAsia="黑体"/>
          <w:color w:val="auto"/>
          <w:szCs w:val="24"/>
        </w:rPr>
        <w:fldChar w:fldCharType="end"/>
      </w:r>
    </w:p>
    <w:p w14:paraId="1D397473">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"_Toc229930136" </w:instrText>
      </w:r>
      <w:r>
        <w:rPr>
          <w:color w:val="auto"/>
        </w:rPr>
        <w:fldChar w:fldCharType="separate"/>
      </w:r>
      <w:r>
        <w:rPr>
          <w:rStyle w:val="119"/>
          <w:rFonts w:eastAsia="黑体"/>
          <w:color w:val="auto"/>
          <w:szCs w:val="24"/>
        </w:rPr>
        <w:t>4.6 环境空气质量现状调查与评价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_Toc229930136 \h </w:instrText>
      </w:r>
      <w:r>
        <w:rPr>
          <w:rFonts w:eastAsia="黑体"/>
          <w:color w:val="auto"/>
          <w:szCs w:val="24"/>
        </w:rPr>
        <w:fldChar w:fldCharType="separate"/>
      </w:r>
      <w:r>
        <w:rPr>
          <w:rFonts w:eastAsia="黑体"/>
          <w:color w:val="auto"/>
          <w:szCs w:val="24"/>
        </w:rPr>
        <w:t>127</w:t>
      </w:r>
      <w:r>
        <w:rPr>
          <w:rFonts w:eastAsia="黑体"/>
          <w:color w:val="auto"/>
          <w:szCs w:val="24"/>
        </w:rPr>
        <w:fldChar w:fldCharType="end"/>
      </w:r>
      <w:r>
        <w:rPr>
          <w:rFonts w:eastAsia="黑体"/>
          <w:color w:val="auto"/>
          <w:szCs w:val="24"/>
        </w:rPr>
        <w:fldChar w:fldCharType="end"/>
      </w:r>
    </w:p>
    <w:p w14:paraId="40353439">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"_Toc229930137" </w:instrText>
      </w:r>
      <w:r>
        <w:rPr>
          <w:color w:val="auto"/>
        </w:rPr>
        <w:fldChar w:fldCharType="separate"/>
      </w:r>
      <w:r>
        <w:rPr>
          <w:rStyle w:val="119"/>
          <w:rFonts w:eastAsia="黑体"/>
          <w:color w:val="auto"/>
          <w:szCs w:val="24"/>
        </w:rPr>
        <w:t>4.7 地下水环境质量现状调查与评价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_Toc229930137 \h </w:instrText>
      </w:r>
      <w:r>
        <w:rPr>
          <w:rFonts w:eastAsia="黑体"/>
          <w:color w:val="auto"/>
          <w:szCs w:val="24"/>
        </w:rPr>
        <w:fldChar w:fldCharType="separate"/>
      </w:r>
      <w:r>
        <w:rPr>
          <w:rFonts w:eastAsia="黑体"/>
          <w:color w:val="auto"/>
          <w:szCs w:val="24"/>
        </w:rPr>
        <w:t>129</w:t>
      </w:r>
      <w:r>
        <w:rPr>
          <w:rFonts w:eastAsia="黑体"/>
          <w:color w:val="auto"/>
          <w:szCs w:val="24"/>
        </w:rPr>
        <w:fldChar w:fldCharType="end"/>
      </w:r>
      <w:r>
        <w:rPr>
          <w:rFonts w:eastAsia="黑体"/>
          <w:color w:val="auto"/>
          <w:szCs w:val="24"/>
        </w:rPr>
        <w:fldChar w:fldCharType="end"/>
      </w:r>
    </w:p>
    <w:p w14:paraId="54213D61">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"_Toc229930138" </w:instrText>
      </w:r>
      <w:r>
        <w:rPr>
          <w:color w:val="auto"/>
        </w:rPr>
        <w:fldChar w:fldCharType="separate"/>
      </w:r>
      <w:r>
        <w:rPr>
          <w:rStyle w:val="119"/>
          <w:rFonts w:eastAsia="黑体"/>
          <w:color w:val="auto"/>
          <w:szCs w:val="24"/>
        </w:rPr>
        <w:t>4.8 声环境现状调查及评价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_Toc229930138 \h </w:instrText>
      </w:r>
      <w:r>
        <w:rPr>
          <w:rFonts w:eastAsia="黑体"/>
          <w:color w:val="auto"/>
          <w:szCs w:val="24"/>
        </w:rPr>
        <w:fldChar w:fldCharType="separate"/>
      </w:r>
      <w:r>
        <w:rPr>
          <w:rFonts w:eastAsia="黑体"/>
          <w:color w:val="auto"/>
          <w:szCs w:val="24"/>
        </w:rPr>
        <w:t>131</w:t>
      </w:r>
      <w:r>
        <w:rPr>
          <w:rFonts w:eastAsia="黑体"/>
          <w:color w:val="auto"/>
          <w:szCs w:val="24"/>
        </w:rPr>
        <w:fldChar w:fldCharType="end"/>
      </w:r>
      <w:r>
        <w:rPr>
          <w:rFonts w:eastAsia="黑体"/>
          <w:color w:val="auto"/>
          <w:szCs w:val="24"/>
        </w:rPr>
        <w:fldChar w:fldCharType="end"/>
      </w:r>
    </w:p>
    <w:p w14:paraId="1A3CA7CE">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"_Toc229930139" </w:instrText>
      </w:r>
      <w:r>
        <w:rPr>
          <w:color w:val="auto"/>
        </w:rPr>
        <w:fldChar w:fldCharType="separate"/>
      </w:r>
      <w:r>
        <w:rPr>
          <w:rStyle w:val="119"/>
          <w:rFonts w:eastAsia="黑体"/>
          <w:color w:val="auto"/>
          <w:szCs w:val="24"/>
        </w:rPr>
        <w:t>4.9 土壤现状调查与评价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_Toc229930139 \h </w:instrText>
      </w:r>
      <w:r>
        <w:rPr>
          <w:rFonts w:eastAsia="黑体"/>
          <w:color w:val="auto"/>
          <w:szCs w:val="24"/>
        </w:rPr>
        <w:fldChar w:fldCharType="separate"/>
      </w:r>
      <w:r>
        <w:rPr>
          <w:rFonts w:eastAsia="黑体"/>
          <w:color w:val="auto"/>
          <w:szCs w:val="24"/>
        </w:rPr>
        <w:t>132</w:t>
      </w:r>
      <w:r>
        <w:rPr>
          <w:rFonts w:eastAsia="黑体"/>
          <w:color w:val="auto"/>
          <w:szCs w:val="24"/>
        </w:rPr>
        <w:fldChar w:fldCharType="end"/>
      </w:r>
      <w:r>
        <w:rPr>
          <w:rFonts w:eastAsia="黑体"/>
          <w:color w:val="auto"/>
          <w:szCs w:val="24"/>
        </w:rPr>
        <w:fldChar w:fldCharType="end"/>
      </w:r>
    </w:p>
    <w:p w14:paraId="23FE3D17">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"_Toc229930140" </w:instrText>
      </w:r>
      <w:r>
        <w:rPr>
          <w:color w:val="auto"/>
        </w:rPr>
        <w:fldChar w:fldCharType="separate"/>
      </w:r>
      <w:r>
        <w:rPr>
          <w:rStyle w:val="119"/>
          <w:rFonts w:eastAsia="黑体"/>
          <w:color w:val="auto"/>
          <w:szCs w:val="24"/>
        </w:rPr>
        <w:t>4.10 生态环境现状调查及评价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_Toc229930140 \h </w:instrText>
      </w:r>
      <w:r>
        <w:rPr>
          <w:rFonts w:eastAsia="黑体"/>
          <w:color w:val="auto"/>
          <w:szCs w:val="24"/>
        </w:rPr>
        <w:fldChar w:fldCharType="separate"/>
      </w:r>
      <w:r>
        <w:rPr>
          <w:rFonts w:eastAsia="黑体"/>
          <w:color w:val="auto"/>
          <w:szCs w:val="24"/>
        </w:rPr>
        <w:t>134</w:t>
      </w:r>
      <w:r>
        <w:rPr>
          <w:rFonts w:eastAsia="黑体"/>
          <w:color w:val="auto"/>
          <w:szCs w:val="24"/>
        </w:rPr>
        <w:fldChar w:fldCharType="end"/>
      </w:r>
      <w:r>
        <w:rPr>
          <w:rFonts w:eastAsia="黑体"/>
          <w:color w:val="auto"/>
          <w:szCs w:val="24"/>
        </w:rPr>
        <w:fldChar w:fldCharType="end"/>
      </w:r>
    </w:p>
    <w:p w14:paraId="6B7A581F">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"_Toc229930141" </w:instrText>
      </w:r>
      <w:r>
        <w:rPr>
          <w:color w:val="auto"/>
        </w:rPr>
        <w:fldChar w:fldCharType="separate"/>
      </w:r>
      <w:r>
        <w:rPr>
          <w:rStyle w:val="119"/>
          <w:rFonts w:eastAsia="黑体"/>
          <w:color w:val="auto"/>
          <w:szCs w:val="24"/>
        </w:rPr>
        <w:t>第5章 环境影响预测与评价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_Toc229930141 \h </w:instrText>
      </w:r>
      <w:r>
        <w:rPr>
          <w:rFonts w:eastAsia="黑体"/>
          <w:color w:val="auto"/>
          <w:szCs w:val="24"/>
        </w:rPr>
        <w:fldChar w:fldCharType="separate"/>
      </w:r>
      <w:r>
        <w:rPr>
          <w:rFonts w:eastAsia="黑体"/>
          <w:color w:val="auto"/>
          <w:szCs w:val="24"/>
        </w:rPr>
        <w:t>136</w:t>
      </w:r>
      <w:r>
        <w:rPr>
          <w:rFonts w:eastAsia="黑体"/>
          <w:color w:val="auto"/>
          <w:szCs w:val="24"/>
        </w:rPr>
        <w:fldChar w:fldCharType="end"/>
      </w:r>
      <w:r>
        <w:rPr>
          <w:rFonts w:eastAsia="黑体"/>
          <w:color w:val="auto"/>
          <w:szCs w:val="24"/>
        </w:rPr>
        <w:fldChar w:fldCharType="end"/>
      </w:r>
    </w:p>
    <w:p w14:paraId="4F938304">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"_Toc229930142" </w:instrText>
      </w:r>
      <w:r>
        <w:rPr>
          <w:color w:val="auto"/>
        </w:rPr>
        <w:fldChar w:fldCharType="separate"/>
      </w:r>
      <w:r>
        <w:rPr>
          <w:rStyle w:val="119"/>
          <w:rFonts w:eastAsia="黑体"/>
          <w:color w:val="auto"/>
          <w:szCs w:val="24"/>
        </w:rPr>
        <w:t>5.1 施工期环境影响分析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_Toc229930142 \h </w:instrText>
      </w:r>
      <w:r>
        <w:rPr>
          <w:rFonts w:eastAsia="黑体"/>
          <w:color w:val="auto"/>
          <w:szCs w:val="24"/>
        </w:rPr>
        <w:fldChar w:fldCharType="separate"/>
      </w:r>
      <w:r>
        <w:rPr>
          <w:rFonts w:eastAsia="黑体"/>
          <w:color w:val="auto"/>
          <w:szCs w:val="24"/>
        </w:rPr>
        <w:t>136</w:t>
      </w:r>
      <w:r>
        <w:rPr>
          <w:rFonts w:eastAsia="黑体"/>
          <w:color w:val="auto"/>
          <w:szCs w:val="24"/>
        </w:rPr>
        <w:fldChar w:fldCharType="end"/>
      </w:r>
      <w:r>
        <w:rPr>
          <w:rFonts w:eastAsia="黑体"/>
          <w:color w:val="auto"/>
          <w:szCs w:val="24"/>
        </w:rPr>
        <w:fldChar w:fldCharType="end"/>
      </w:r>
    </w:p>
    <w:p w14:paraId="6915FDB4">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"_Toc229930143" </w:instrText>
      </w:r>
      <w:r>
        <w:rPr>
          <w:color w:val="auto"/>
        </w:rPr>
        <w:fldChar w:fldCharType="separate"/>
      </w:r>
      <w:r>
        <w:rPr>
          <w:rStyle w:val="119"/>
          <w:rFonts w:eastAsia="黑体"/>
          <w:color w:val="auto"/>
          <w:szCs w:val="24"/>
        </w:rPr>
        <w:t>5.2 运营期大气环境影响预测与评价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_Toc229930143 \h </w:instrText>
      </w:r>
      <w:r>
        <w:rPr>
          <w:rFonts w:eastAsia="黑体"/>
          <w:color w:val="auto"/>
          <w:szCs w:val="24"/>
        </w:rPr>
        <w:fldChar w:fldCharType="separate"/>
      </w:r>
      <w:r>
        <w:rPr>
          <w:rFonts w:eastAsia="黑体"/>
          <w:color w:val="auto"/>
          <w:szCs w:val="24"/>
        </w:rPr>
        <w:t>142</w:t>
      </w:r>
      <w:r>
        <w:rPr>
          <w:rFonts w:eastAsia="黑体"/>
          <w:color w:val="auto"/>
          <w:szCs w:val="24"/>
        </w:rPr>
        <w:fldChar w:fldCharType="end"/>
      </w:r>
      <w:r>
        <w:rPr>
          <w:rFonts w:eastAsia="黑体"/>
          <w:color w:val="auto"/>
          <w:szCs w:val="24"/>
        </w:rPr>
        <w:fldChar w:fldCharType="end"/>
      </w:r>
    </w:p>
    <w:p w14:paraId="0BB2C6A6">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"_Toc229930144" </w:instrText>
      </w:r>
      <w:r>
        <w:rPr>
          <w:color w:val="auto"/>
        </w:rPr>
        <w:fldChar w:fldCharType="separate"/>
      </w:r>
      <w:r>
        <w:rPr>
          <w:rStyle w:val="119"/>
          <w:rFonts w:eastAsia="黑体"/>
          <w:color w:val="auto"/>
          <w:szCs w:val="24"/>
        </w:rPr>
        <w:t>5.3 运营期地表水环境影响预测与评价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_Toc229930144 \h </w:instrText>
      </w:r>
      <w:r>
        <w:rPr>
          <w:rFonts w:eastAsia="黑体"/>
          <w:color w:val="auto"/>
          <w:szCs w:val="24"/>
        </w:rPr>
        <w:fldChar w:fldCharType="separate"/>
      </w:r>
      <w:r>
        <w:rPr>
          <w:rFonts w:eastAsia="黑体"/>
          <w:color w:val="auto"/>
          <w:szCs w:val="24"/>
        </w:rPr>
        <w:t>167</w:t>
      </w:r>
      <w:r>
        <w:rPr>
          <w:rFonts w:eastAsia="黑体"/>
          <w:color w:val="auto"/>
          <w:szCs w:val="24"/>
        </w:rPr>
        <w:fldChar w:fldCharType="end"/>
      </w:r>
      <w:r>
        <w:rPr>
          <w:rFonts w:eastAsia="黑体"/>
          <w:color w:val="auto"/>
          <w:szCs w:val="24"/>
        </w:rPr>
        <w:fldChar w:fldCharType="end"/>
      </w:r>
    </w:p>
    <w:p w14:paraId="647B8321">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"_Toc229930145" </w:instrText>
      </w:r>
      <w:r>
        <w:rPr>
          <w:color w:val="auto"/>
        </w:rPr>
        <w:fldChar w:fldCharType="separate"/>
      </w:r>
      <w:r>
        <w:rPr>
          <w:rStyle w:val="119"/>
          <w:rFonts w:eastAsia="黑体"/>
          <w:color w:val="auto"/>
          <w:szCs w:val="24"/>
        </w:rPr>
        <w:t>5.4 运营期地下水环境影响预测与评价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_Toc229930145 \h </w:instrText>
      </w:r>
      <w:r>
        <w:rPr>
          <w:rFonts w:eastAsia="黑体"/>
          <w:color w:val="auto"/>
          <w:szCs w:val="24"/>
        </w:rPr>
        <w:fldChar w:fldCharType="separate"/>
      </w:r>
      <w:r>
        <w:rPr>
          <w:rFonts w:eastAsia="黑体"/>
          <w:color w:val="auto"/>
          <w:szCs w:val="24"/>
        </w:rPr>
        <w:t>168</w:t>
      </w:r>
      <w:r>
        <w:rPr>
          <w:rFonts w:eastAsia="黑体"/>
          <w:color w:val="auto"/>
          <w:szCs w:val="24"/>
        </w:rPr>
        <w:fldChar w:fldCharType="end"/>
      </w:r>
      <w:r>
        <w:rPr>
          <w:rFonts w:eastAsia="黑体"/>
          <w:color w:val="auto"/>
          <w:szCs w:val="24"/>
        </w:rPr>
        <w:fldChar w:fldCharType="end"/>
      </w:r>
    </w:p>
    <w:p w14:paraId="716264FF">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"_Toc229930146" </w:instrText>
      </w:r>
      <w:r>
        <w:rPr>
          <w:color w:val="auto"/>
        </w:rPr>
        <w:fldChar w:fldCharType="separate"/>
      </w:r>
      <w:r>
        <w:rPr>
          <w:rStyle w:val="119"/>
          <w:rFonts w:eastAsia="黑体"/>
          <w:color w:val="auto"/>
          <w:szCs w:val="24"/>
        </w:rPr>
        <w:t>5.5 运营期土壤环境影响预测与评价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_Toc229930146 \h </w:instrText>
      </w:r>
      <w:r>
        <w:rPr>
          <w:rFonts w:eastAsia="黑体"/>
          <w:color w:val="auto"/>
          <w:szCs w:val="24"/>
        </w:rPr>
        <w:fldChar w:fldCharType="separate"/>
      </w:r>
      <w:r>
        <w:rPr>
          <w:rFonts w:eastAsia="黑体"/>
          <w:color w:val="auto"/>
          <w:szCs w:val="24"/>
        </w:rPr>
        <w:t>173</w:t>
      </w:r>
      <w:r>
        <w:rPr>
          <w:rFonts w:eastAsia="黑体"/>
          <w:color w:val="auto"/>
          <w:szCs w:val="24"/>
        </w:rPr>
        <w:fldChar w:fldCharType="end"/>
      </w:r>
      <w:r>
        <w:rPr>
          <w:rFonts w:eastAsia="黑体"/>
          <w:color w:val="auto"/>
          <w:szCs w:val="24"/>
        </w:rPr>
        <w:fldChar w:fldCharType="end"/>
      </w:r>
    </w:p>
    <w:p w14:paraId="66C98CEF">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"_Toc229930147" </w:instrText>
      </w:r>
      <w:r>
        <w:rPr>
          <w:color w:val="auto"/>
        </w:rPr>
        <w:fldChar w:fldCharType="separate"/>
      </w:r>
      <w:r>
        <w:rPr>
          <w:rStyle w:val="119"/>
          <w:rFonts w:eastAsia="黑体"/>
          <w:color w:val="auto"/>
          <w:szCs w:val="24"/>
        </w:rPr>
        <w:t>5.6 运营期声环境影响预测与评价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_Toc229930147 \h </w:instrText>
      </w:r>
      <w:r>
        <w:rPr>
          <w:rFonts w:eastAsia="黑体"/>
          <w:color w:val="auto"/>
          <w:szCs w:val="24"/>
        </w:rPr>
        <w:fldChar w:fldCharType="separate"/>
      </w:r>
      <w:r>
        <w:rPr>
          <w:rFonts w:eastAsia="黑体"/>
          <w:color w:val="auto"/>
          <w:szCs w:val="24"/>
        </w:rPr>
        <w:t>178</w:t>
      </w:r>
      <w:r>
        <w:rPr>
          <w:rFonts w:eastAsia="黑体"/>
          <w:color w:val="auto"/>
          <w:szCs w:val="24"/>
        </w:rPr>
        <w:fldChar w:fldCharType="end"/>
      </w:r>
      <w:r>
        <w:rPr>
          <w:rFonts w:eastAsia="黑体"/>
          <w:color w:val="auto"/>
          <w:szCs w:val="24"/>
        </w:rPr>
        <w:fldChar w:fldCharType="end"/>
      </w:r>
    </w:p>
    <w:p w14:paraId="5D30A83B">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"_Toc229930148" </w:instrText>
      </w:r>
      <w:r>
        <w:rPr>
          <w:color w:val="auto"/>
        </w:rPr>
        <w:fldChar w:fldCharType="separate"/>
      </w:r>
      <w:r>
        <w:rPr>
          <w:rStyle w:val="119"/>
          <w:rFonts w:eastAsia="黑体"/>
          <w:color w:val="auto"/>
          <w:szCs w:val="24"/>
        </w:rPr>
        <w:t>5.7 运营期固体废物环境影响分析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_Toc229930148 \h </w:instrText>
      </w:r>
      <w:r>
        <w:rPr>
          <w:rFonts w:eastAsia="黑体"/>
          <w:color w:val="auto"/>
          <w:szCs w:val="24"/>
        </w:rPr>
        <w:fldChar w:fldCharType="separate"/>
      </w:r>
      <w:r>
        <w:rPr>
          <w:rFonts w:eastAsia="黑体"/>
          <w:color w:val="auto"/>
          <w:szCs w:val="24"/>
        </w:rPr>
        <w:t>184</w:t>
      </w:r>
      <w:r>
        <w:rPr>
          <w:rFonts w:eastAsia="黑体"/>
          <w:color w:val="auto"/>
          <w:szCs w:val="24"/>
        </w:rPr>
        <w:fldChar w:fldCharType="end"/>
      </w:r>
      <w:r>
        <w:rPr>
          <w:rFonts w:eastAsia="黑体"/>
          <w:color w:val="auto"/>
          <w:szCs w:val="24"/>
        </w:rPr>
        <w:fldChar w:fldCharType="end"/>
      </w:r>
    </w:p>
    <w:p w14:paraId="2EB2BF7E">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"_Toc229930149" </w:instrText>
      </w:r>
      <w:r>
        <w:rPr>
          <w:color w:val="auto"/>
        </w:rPr>
        <w:fldChar w:fldCharType="separate"/>
      </w:r>
      <w:r>
        <w:rPr>
          <w:rStyle w:val="119"/>
          <w:rFonts w:eastAsia="黑体"/>
          <w:color w:val="auto"/>
          <w:szCs w:val="24"/>
        </w:rPr>
        <w:t>5.8 运营期生态环境影响分析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_Toc229930149 \h </w:instrText>
      </w:r>
      <w:r>
        <w:rPr>
          <w:rFonts w:eastAsia="黑体"/>
          <w:color w:val="auto"/>
          <w:szCs w:val="24"/>
        </w:rPr>
        <w:fldChar w:fldCharType="separate"/>
      </w:r>
      <w:r>
        <w:rPr>
          <w:rFonts w:eastAsia="黑体"/>
          <w:color w:val="auto"/>
          <w:szCs w:val="24"/>
        </w:rPr>
        <w:t>188</w:t>
      </w:r>
      <w:r>
        <w:rPr>
          <w:rFonts w:eastAsia="黑体"/>
          <w:color w:val="auto"/>
          <w:szCs w:val="24"/>
        </w:rPr>
        <w:fldChar w:fldCharType="end"/>
      </w:r>
      <w:r>
        <w:rPr>
          <w:rFonts w:eastAsia="黑体"/>
          <w:color w:val="auto"/>
          <w:szCs w:val="24"/>
        </w:rPr>
        <w:fldChar w:fldCharType="end"/>
      </w:r>
    </w:p>
    <w:p w14:paraId="1A69195F">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"_Toc229930150" </w:instrText>
      </w:r>
      <w:r>
        <w:rPr>
          <w:color w:val="auto"/>
        </w:rPr>
        <w:fldChar w:fldCharType="separate"/>
      </w:r>
      <w:r>
        <w:rPr>
          <w:rStyle w:val="119"/>
          <w:rFonts w:eastAsia="黑体"/>
          <w:color w:val="auto"/>
          <w:szCs w:val="24"/>
        </w:rPr>
        <w:t>第6章 环境保护措施及其可行性论证</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_Toc229930150 \h </w:instrText>
      </w:r>
      <w:r>
        <w:rPr>
          <w:rFonts w:eastAsia="黑体"/>
          <w:color w:val="auto"/>
          <w:szCs w:val="24"/>
        </w:rPr>
        <w:fldChar w:fldCharType="separate"/>
      </w:r>
      <w:r>
        <w:rPr>
          <w:rFonts w:eastAsia="黑体"/>
          <w:color w:val="auto"/>
          <w:szCs w:val="24"/>
        </w:rPr>
        <w:t>191</w:t>
      </w:r>
      <w:r>
        <w:rPr>
          <w:rFonts w:eastAsia="黑体"/>
          <w:color w:val="auto"/>
          <w:szCs w:val="24"/>
        </w:rPr>
        <w:fldChar w:fldCharType="end"/>
      </w:r>
      <w:r>
        <w:rPr>
          <w:rFonts w:eastAsia="黑体"/>
          <w:color w:val="auto"/>
          <w:szCs w:val="24"/>
        </w:rPr>
        <w:fldChar w:fldCharType="end"/>
      </w:r>
    </w:p>
    <w:p w14:paraId="4CFF07C2">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"_Toc229930151" </w:instrText>
      </w:r>
      <w:r>
        <w:rPr>
          <w:color w:val="auto"/>
        </w:rPr>
        <w:fldChar w:fldCharType="separate"/>
      </w:r>
      <w:r>
        <w:rPr>
          <w:rStyle w:val="119"/>
          <w:rFonts w:eastAsia="黑体"/>
          <w:color w:val="auto"/>
          <w:szCs w:val="24"/>
        </w:rPr>
        <w:t>6.1 施工期环境保护措施</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_Toc229930151 \h </w:instrText>
      </w:r>
      <w:r>
        <w:rPr>
          <w:rFonts w:eastAsia="黑体"/>
          <w:color w:val="auto"/>
          <w:szCs w:val="24"/>
        </w:rPr>
        <w:fldChar w:fldCharType="separate"/>
      </w:r>
      <w:r>
        <w:rPr>
          <w:rFonts w:eastAsia="黑体"/>
          <w:color w:val="auto"/>
          <w:szCs w:val="24"/>
        </w:rPr>
        <w:t>191</w:t>
      </w:r>
      <w:r>
        <w:rPr>
          <w:rFonts w:eastAsia="黑体"/>
          <w:color w:val="auto"/>
          <w:szCs w:val="24"/>
        </w:rPr>
        <w:fldChar w:fldCharType="end"/>
      </w:r>
      <w:r>
        <w:rPr>
          <w:rFonts w:eastAsia="黑体"/>
          <w:color w:val="auto"/>
          <w:szCs w:val="24"/>
        </w:rPr>
        <w:fldChar w:fldCharType="end"/>
      </w:r>
    </w:p>
    <w:p w14:paraId="6ED98ACB">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"_Toc229930152" </w:instrText>
      </w:r>
      <w:r>
        <w:rPr>
          <w:color w:val="auto"/>
        </w:rPr>
        <w:fldChar w:fldCharType="separate"/>
      </w:r>
      <w:r>
        <w:rPr>
          <w:rStyle w:val="119"/>
          <w:rFonts w:eastAsia="黑体"/>
          <w:color w:val="auto"/>
          <w:szCs w:val="24"/>
        </w:rPr>
        <w:t>6.2 大气环境保护与防治措施</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_Toc229930152 \h </w:instrText>
      </w:r>
      <w:r>
        <w:rPr>
          <w:rFonts w:eastAsia="黑体"/>
          <w:color w:val="auto"/>
          <w:szCs w:val="24"/>
        </w:rPr>
        <w:fldChar w:fldCharType="separate"/>
      </w:r>
      <w:r>
        <w:rPr>
          <w:rFonts w:eastAsia="黑体"/>
          <w:color w:val="auto"/>
          <w:szCs w:val="24"/>
        </w:rPr>
        <w:t>195</w:t>
      </w:r>
      <w:r>
        <w:rPr>
          <w:rFonts w:eastAsia="黑体"/>
          <w:color w:val="auto"/>
          <w:szCs w:val="24"/>
        </w:rPr>
        <w:fldChar w:fldCharType="end"/>
      </w:r>
      <w:r>
        <w:rPr>
          <w:rFonts w:eastAsia="黑体"/>
          <w:color w:val="auto"/>
          <w:szCs w:val="24"/>
        </w:rPr>
        <w:fldChar w:fldCharType="end"/>
      </w:r>
    </w:p>
    <w:p w14:paraId="2AAE8E79">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"_Toc229930153" </w:instrText>
      </w:r>
      <w:r>
        <w:rPr>
          <w:color w:val="auto"/>
        </w:rPr>
        <w:fldChar w:fldCharType="separate"/>
      </w:r>
      <w:r>
        <w:rPr>
          <w:rStyle w:val="119"/>
          <w:rFonts w:eastAsia="黑体"/>
          <w:color w:val="auto"/>
          <w:szCs w:val="24"/>
        </w:rPr>
        <w:t>6.3 水环境保护与防护措施</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_Toc229930153 \h </w:instrText>
      </w:r>
      <w:r>
        <w:rPr>
          <w:rFonts w:eastAsia="黑体"/>
          <w:color w:val="auto"/>
          <w:szCs w:val="24"/>
        </w:rPr>
        <w:fldChar w:fldCharType="separate"/>
      </w:r>
      <w:r>
        <w:rPr>
          <w:rFonts w:eastAsia="黑体"/>
          <w:color w:val="auto"/>
          <w:szCs w:val="24"/>
        </w:rPr>
        <w:t>201</w:t>
      </w:r>
      <w:r>
        <w:rPr>
          <w:rFonts w:eastAsia="黑体"/>
          <w:color w:val="auto"/>
          <w:szCs w:val="24"/>
        </w:rPr>
        <w:fldChar w:fldCharType="end"/>
      </w:r>
      <w:r>
        <w:rPr>
          <w:rFonts w:eastAsia="黑体"/>
          <w:color w:val="auto"/>
          <w:szCs w:val="24"/>
        </w:rPr>
        <w:fldChar w:fldCharType="end"/>
      </w:r>
    </w:p>
    <w:p w14:paraId="059C9433">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"_Toc229930154" </w:instrText>
      </w:r>
      <w:r>
        <w:rPr>
          <w:color w:val="auto"/>
        </w:rPr>
        <w:fldChar w:fldCharType="separate"/>
      </w:r>
      <w:r>
        <w:rPr>
          <w:rStyle w:val="119"/>
          <w:rFonts w:eastAsia="黑体"/>
          <w:color w:val="auto"/>
          <w:szCs w:val="24"/>
        </w:rPr>
        <w:t>6.4 噪声防治措施</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_Toc229930154 \h </w:instrText>
      </w:r>
      <w:r>
        <w:rPr>
          <w:rFonts w:eastAsia="黑体"/>
          <w:color w:val="auto"/>
          <w:szCs w:val="24"/>
        </w:rPr>
        <w:fldChar w:fldCharType="separate"/>
      </w:r>
      <w:r>
        <w:rPr>
          <w:rFonts w:eastAsia="黑体"/>
          <w:color w:val="auto"/>
          <w:szCs w:val="24"/>
        </w:rPr>
        <w:t>206</w:t>
      </w:r>
      <w:r>
        <w:rPr>
          <w:rFonts w:eastAsia="黑体"/>
          <w:color w:val="auto"/>
          <w:szCs w:val="24"/>
        </w:rPr>
        <w:fldChar w:fldCharType="end"/>
      </w:r>
      <w:r>
        <w:rPr>
          <w:rFonts w:eastAsia="黑体"/>
          <w:color w:val="auto"/>
          <w:szCs w:val="24"/>
        </w:rPr>
        <w:fldChar w:fldCharType="end"/>
      </w:r>
    </w:p>
    <w:p w14:paraId="62EE0CA4">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"_Toc229930155" </w:instrText>
      </w:r>
      <w:r>
        <w:rPr>
          <w:color w:val="auto"/>
        </w:rPr>
        <w:fldChar w:fldCharType="separate"/>
      </w:r>
      <w:r>
        <w:rPr>
          <w:rStyle w:val="119"/>
          <w:rFonts w:eastAsia="黑体"/>
          <w:color w:val="auto"/>
          <w:szCs w:val="24"/>
        </w:rPr>
        <w:t>6.5 固废污染防治措施</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_Toc229930155 \h </w:instrText>
      </w:r>
      <w:r>
        <w:rPr>
          <w:rFonts w:eastAsia="黑体"/>
          <w:color w:val="auto"/>
          <w:szCs w:val="24"/>
        </w:rPr>
        <w:fldChar w:fldCharType="separate"/>
      </w:r>
      <w:r>
        <w:rPr>
          <w:rFonts w:eastAsia="黑体"/>
          <w:color w:val="auto"/>
          <w:szCs w:val="24"/>
        </w:rPr>
        <w:t>207</w:t>
      </w:r>
      <w:r>
        <w:rPr>
          <w:rFonts w:eastAsia="黑体"/>
          <w:color w:val="auto"/>
          <w:szCs w:val="24"/>
        </w:rPr>
        <w:fldChar w:fldCharType="end"/>
      </w:r>
      <w:r>
        <w:rPr>
          <w:rFonts w:eastAsia="黑体"/>
          <w:color w:val="auto"/>
          <w:szCs w:val="24"/>
        </w:rPr>
        <w:fldChar w:fldCharType="end"/>
      </w:r>
    </w:p>
    <w:p w14:paraId="6167DE8C">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"_Toc229930156" </w:instrText>
      </w:r>
      <w:r>
        <w:rPr>
          <w:color w:val="auto"/>
        </w:rPr>
        <w:fldChar w:fldCharType="separate"/>
      </w:r>
      <w:r>
        <w:rPr>
          <w:rStyle w:val="119"/>
          <w:rFonts w:eastAsia="黑体"/>
          <w:color w:val="auto"/>
          <w:szCs w:val="24"/>
        </w:rPr>
        <w:t>6.6 运营期土壤保护措施</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_Toc229930156 \h </w:instrText>
      </w:r>
      <w:r>
        <w:rPr>
          <w:rFonts w:eastAsia="黑体"/>
          <w:color w:val="auto"/>
          <w:szCs w:val="24"/>
        </w:rPr>
        <w:fldChar w:fldCharType="separate"/>
      </w:r>
      <w:r>
        <w:rPr>
          <w:rFonts w:eastAsia="黑体"/>
          <w:color w:val="auto"/>
          <w:szCs w:val="24"/>
        </w:rPr>
        <w:t>209</w:t>
      </w:r>
      <w:r>
        <w:rPr>
          <w:rFonts w:eastAsia="黑体"/>
          <w:color w:val="auto"/>
          <w:szCs w:val="24"/>
        </w:rPr>
        <w:fldChar w:fldCharType="end"/>
      </w:r>
      <w:r>
        <w:rPr>
          <w:rFonts w:eastAsia="黑体"/>
          <w:color w:val="auto"/>
          <w:szCs w:val="24"/>
        </w:rPr>
        <w:fldChar w:fldCharType="end"/>
      </w:r>
    </w:p>
    <w:p w14:paraId="68D17B12">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"_Toc229930157" </w:instrText>
      </w:r>
      <w:r>
        <w:rPr>
          <w:color w:val="auto"/>
        </w:rPr>
        <w:fldChar w:fldCharType="separate"/>
      </w:r>
      <w:r>
        <w:rPr>
          <w:rStyle w:val="119"/>
          <w:rFonts w:eastAsia="黑体"/>
          <w:color w:val="auto"/>
          <w:szCs w:val="24"/>
        </w:rPr>
        <w:t>第7章 环境风险评价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_Toc229930157 \h </w:instrText>
      </w:r>
      <w:r>
        <w:rPr>
          <w:rFonts w:eastAsia="黑体"/>
          <w:color w:val="auto"/>
          <w:szCs w:val="24"/>
        </w:rPr>
        <w:fldChar w:fldCharType="separate"/>
      </w:r>
      <w:r>
        <w:rPr>
          <w:rFonts w:eastAsia="黑体"/>
          <w:color w:val="auto"/>
          <w:szCs w:val="24"/>
        </w:rPr>
        <w:t>212</w:t>
      </w:r>
      <w:r>
        <w:rPr>
          <w:rFonts w:eastAsia="黑体"/>
          <w:color w:val="auto"/>
          <w:szCs w:val="24"/>
        </w:rPr>
        <w:fldChar w:fldCharType="end"/>
      </w:r>
      <w:r>
        <w:rPr>
          <w:rFonts w:eastAsia="黑体"/>
          <w:color w:val="auto"/>
          <w:szCs w:val="24"/>
        </w:rPr>
        <w:fldChar w:fldCharType="end"/>
      </w:r>
    </w:p>
    <w:p w14:paraId="476B560D">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"_Toc229930158" </w:instrText>
      </w:r>
      <w:r>
        <w:rPr>
          <w:color w:val="auto"/>
        </w:rPr>
        <w:fldChar w:fldCharType="separate"/>
      </w:r>
      <w:r>
        <w:rPr>
          <w:rStyle w:val="119"/>
          <w:rFonts w:eastAsia="黑体"/>
          <w:color w:val="auto"/>
          <w:szCs w:val="24"/>
        </w:rPr>
        <w:t>7.1 综述</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_Toc229930158 \h </w:instrText>
      </w:r>
      <w:r>
        <w:rPr>
          <w:rFonts w:eastAsia="黑体"/>
          <w:color w:val="auto"/>
          <w:szCs w:val="24"/>
        </w:rPr>
        <w:fldChar w:fldCharType="separate"/>
      </w:r>
      <w:r>
        <w:rPr>
          <w:rFonts w:eastAsia="黑体"/>
          <w:color w:val="auto"/>
          <w:szCs w:val="24"/>
        </w:rPr>
        <w:t>212</w:t>
      </w:r>
      <w:r>
        <w:rPr>
          <w:rFonts w:eastAsia="黑体"/>
          <w:color w:val="auto"/>
          <w:szCs w:val="24"/>
        </w:rPr>
        <w:fldChar w:fldCharType="end"/>
      </w:r>
      <w:r>
        <w:rPr>
          <w:rFonts w:eastAsia="黑体"/>
          <w:color w:val="auto"/>
          <w:szCs w:val="24"/>
        </w:rPr>
        <w:fldChar w:fldCharType="end"/>
      </w:r>
    </w:p>
    <w:p w14:paraId="7BD11BDE">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"_Toc229930159" </w:instrText>
      </w:r>
      <w:r>
        <w:rPr>
          <w:color w:val="auto"/>
        </w:rPr>
        <w:fldChar w:fldCharType="separate"/>
      </w:r>
      <w:r>
        <w:rPr>
          <w:rStyle w:val="119"/>
          <w:rFonts w:eastAsia="黑体"/>
          <w:color w:val="auto"/>
          <w:szCs w:val="24"/>
        </w:rPr>
        <w:t>7.2 环境风险调查</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_Toc229930159 \h </w:instrText>
      </w:r>
      <w:r>
        <w:rPr>
          <w:rFonts w:eastAsia="黑体"/>
          <w:color w:val="auto"/>
          <w:szCs w:val="24"/>
        </w:rPr>
        <w:fldChar w:fldCharType="separate"/>
      </w:r>
      <w:r>
        <w:rPr>
          <w:rFonts w:eastAsia="黑体"/>
          <w:color w:val="auto"/>
          <w:szCs w:val="24"/>
        </w:rPr>
        <w:t>213</w:t>
      </w:r>
      <w:r>
        <w:rPr>
          <w:rFonts w:eastAsia="黑体"/>
          <w:color w:val="auto"/>
          <w:szCs w:val="24"/>
        </w:rPr>
        <w:fldChar w:fldCharType="end"/>
      </w:r>
      <w:r>
        <w:rPr>
          <w:rFonts w:eastAsia="黑体"/>
          <w:color w:val="auto"/>
          <w:szCs w:val="24"/>
        </w:rPr>
        <w:fldChar w:fldCharType="end"/>
      </w:r>
    </w:p>
    <w:p w14:paraId="20270A1D">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"_Toc229930160" </w:instrText>
      </w:r>
      <w:r>
        <w:rPr>
          <w:color w:val="auto"/>
        </w:rPr>
        <w:fldChar w:fldCharType="separate"/>
      </w:r>
      <w:r>
        <w:rPr>
          <w:rStyle w:val="119"/>
          <w:rFonts w:eastAsia="黑体"/>
          <w:color w:val="auto"/>
          <w:szCs w:val="24"/>
        </w:rPr>
        <w:t>7.3 环境风险潜势初判</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_Toc229930160 \h </w:instrText>
      </w:r>
      <w:r>
        <w:rPr>
          <w:rFonts w:eastAsia="黑体"/>
          <w:color w:val="auto"/>
          <w:szCs w:val="24"/>
        </w:rPr>
        <w:fldChar w:fldCharType="separate"/>
      </w:r>
      <w:r>
        <w:rPr>
          <w:rFonts w:eastAsia="黑体"/>
          <w:color w:val="auto"/>
          <w:szCs w:val="24"/>
        </w:rPr>
        <w:t>216</w:t>
      </w:r>
      <w:r>
        <w:rPr>
          <w:rFonts w:eastAsia="黑体"/>
          <w:color w:val="auto"/>
          <w:szCs w:val="24"/>
        </w:rPr>
        <w:fldChar w:fldCharType="end"/>
      </w:r>
      <w:r>
        <w:rPr>
          <w:rFonts w:eastAsia="黑体"/>
          <w:color w:val="auto"/>
          <w:szCs w:val="24"/>
        </w:rPr>
        <w:fldChar w:fldCharType="end"/>
      </w:r>
    </w:p>
    <w:p w14:paraId="14BBB4C2">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"_Toc229930161" </w:instrText>
      </w:r>
      <w:r>
        <w:rPr>
          <w:color w:val="auto"/>
        </w:rPr>
        <w:fldChar w:fldCharType="separate"/>
      </w:r>
      <w:r>
        <w:rPr>
          <w:rStyle w:val="119"/>
          <w:rFonts w:eastAsia="黑体"/>
          <w:color w:val="auto"/>
          <w:szCs w:val="24"/>
        </w:rPr>
        <w:t>7.4 评价等级及评价范围</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_Toc229930161 \h </w:instrText>
      </w:r>
      <w:r>
        <w:rPr>
          <w:rFonts w:eastAsia="黑体"/>
          <w:color w:val="auto"/>
          <w:szCs w:val="24"/>
        </w:rPr>
        <w:fldChar w:fldCharType="separate"/>
      </w:r>
      <w:r>
        <w:rPr>
          <w:rFonts w:eastAsia="黑体"/>
          <w:color w:val="auto"/>
          <w:szCs w:val="24"/>
        </w:rPr>
        <w:t>222</w:t>
      </w:r>
      <w:r>
        <w:rPr>
          <w:rFonts w:eastAsia="黑体"/>
          <w:color w:val="auto"/>
          <w:szCs w:val="24"/>
        </w:rPr>
        <w:fldChar w:fldCharType="end"/>
      </w:r>
      <w:r>
        <w:rPr>
          <w:rFonts w:eastAsia="黑体"/>
          <w:color w:val="auto"/>
          <w:szCs w:val="24"/>
        </w:rPr>
        <w:fldChar w:fldCharType="end"/>
      </w:r>
    </w:p>
    <w:p w14:paraId="00122F20">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"_Toc229930162" </w:instrText>
      </w:r>
      <w:r>
        <w:rPr>
          <w:color w:val="auto"/>
        </w:rPr>
        <w:fldChar w:fldCharType="separate"/>
      </w:r>
      <w:r>
        <w:rPr>
          <w:rStyle w:val="119"/>
          <w:rFonts w:eastAsia="黑体"/>
          <w:color w:val="auto"/>
          <w:szCs w:val="24"/>
        </w:rPr>
        <w:t>7.5 风险识别</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_Toc229930162 \h </w:instrText>
      </w:r>
      <w:r>
        <w:rPr>
          <w:rFonts w:eastAsia="黑体"/>
          <w:color w:val="auto"/>
          <w:szCs w:val="24"/>
        </w:rPr>
        <w:fldChar w:fldCharType="separate"/>
      </w:r>
      <w:r>
        <w:rPr>
          <w:rFonts w:eastAsia="黑体"/>
          <w:color w:val="auto"/>
          <w:szCs w:val="24"/>
        </w:rPr>
        <w:t>223</w:t>
      </w:r>
      <w:r>
        <w:rPr>
          <w:rFonts w:eastAsia="黑体"/>
          <w:color w:val="auto"/>
          <w:szCs w:val="24"/>
        </w:rPr>
        <w:fldChar w:fldCharType="end"/>
      </w:r>
      <w:r>
        <w:rPr>
          <w:rFonts w:eastAsia="黑体"/>
          <w:color w:val="auto"/>
          <w:szCs w:val="24"/>
        </w:rPr>
        <w:fldChar w:fldCharType="end"/>
      </w:r>
    </w:p>
    <w:p w14:paraId="54A69E63">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"_Toc229930163" </w:instrText>
      </w:r>
      <w:r>
        <w:rPr>
          <w:color w:val="auto"/>
        </w:rPr>
        <w:fldChar w:fldCharType="separate"/>
      </w:r>
      <w:r>
        <w:rPr>
          <w:rStyle w:val="119"/>
          <w:rFonts w:eastAsia="黑体"/>
          <w:color w:val="auto"/>
          <w:szCs w:val="24"/>
        </w:rPr>
        <w:t>7.6 风险事故情形分析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_Toc229930163 \h </w:instrText>
      </w:r>
      <w:r>
        <w:rPr>
          <w:rFonts w:eastAsia="黑体"/>
          <w:color w:val="auto"/>
          <w:szCs w:val="24"/>
        </w:rPr>
        <w:fldChar w:fldCharType="separate"/>
      </w:r>
      <w:r>
        <w:rPr>
          <w:rFonts w:eastAsia="黑体"/>
          <w:color w:val="auto"/>
          <w:szCs w:val="24"/>
        </w:rPr>
        <w:t>230</w:t>
      </w:r>
      <w:r>
        <w:rPr>
          <w:rFonts w:eastAsia="黑体"/>
          <w:color w:val="auto"/>
          <w:szCs w:val="24"/>
        </w:rPr>
        <w:fldChar w:fldCharType="end"/>
      </w:r>
      <w:r>
        <w:rPr>
          <w:rFonts w:eastAsia="黑体"/>
          <w:color w:val="auto"/>
          <w:szCs w:val="24"/>
        </w:rPr>
        <w:fldChar w:fldCharType="end"/>
      </w:r>
    </w:p>
    <w:p w14:paraId="17172BE9">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"_Toc229930164" </w:instrText>
      </w:r>
      <w:r>
        <w:rPr>
          <w:color w:val="auto"/>
        </w:rPr>
        <w:fldChar w:fldCharType="separate"/>
      </w:r>
      <w:r>
        <w:rPr>
          <w:rStyle w:val="119"/>
          <w:rFonts w:eastAsia="黑体"/>
          <w:color w:val="auto"/>
          <w:szCs w:val="24"/>
        </w:rPr>
        <w:t>7.7 环境风险预测与评价</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_Toc229930164 \h </w:instrText>
      </w:r>
      <w:r>
        <w:rPr>
          <w:rFonts w:eastAsia="黑体"/>
          <w:color w:val="auto"/>
          <w:szCs w:val="24"/>
        </w:rPr>
        <w:fldChar w:fldCharType="separate"/>
      </w:r>
      <w:r>
        <w:rPr>
          <w:rFonts w:eastAsia="黑体"/>
          <w:color w:val="auto"/>
          <w:szCs w:val="24"/>
        </w:rPr>
        <w:t>235</w:t>
      </w:r>
      <w:r>
        <w:rPr>
          <w:rFonts w:eastAsia="黑体"/>
          <w:color w:val="auto"/>
          <w:szCs w:val="24"/>
        </w:rPr>
        <w:fldChar w:fldCharType="end"/>
      </w:r>
      <w:r>
        <w:rPr>
          <w:rFonts w:eastAsia="黑体"/>
          <w:color w:val="auto"/>
          <w:szCs w:val="24"/>
        </w:rPr>
        <w:fldChar w:fldCharType="end"/>
      </w:r>
    </w:p>
    <w:p w14:paraId="6EFC58FE">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"_Toc229930165" </w:instrText>
      </w:r>
      <w:r>
        <w:rPr>
          <w:color w:val="auto"/>
        </w:rPr>
        <w:fldChar w:fldCharType="separate"/>
      </w:r>
      <w:r>
        <w:rPr>
          <w:rStyle w:val="119"/>
          <w:rFonts w:eastAsia="黑体"/>
          <w:color w:val="auto"/>
          <w:szCs w:val="24"/>
        </w:rPr>
        <w:t>7.8 环境风险管理及防范措施</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_Toc229930165 \h </w:instrText>
      </w:r>
      <w:r>
        <w:rPr>
          <w:rFonts w:eastAsia="黑体"/>
          <w:color w:val="auto"/>
          <w:szCs w:val="24"/>
        </w:rPr>
        <w:fldChar w:fldCharType="separate"/>
      </w:r>
      <w:r>
        <w:rPr>
          <w:rFonts w:eastAsia="黑体"/>
          <w:color w:val="auto"/>
          <w:szCs w:val="24"/>
        </w:rPr>
        <w:t>242</w:t>
      </w:r>
      <w:r>
        <w:rPr>
          <w:rFonts w:eastAsia="黑体"/>
          <w:color w:val="auto"/>
          <w:szCs w:val="24"/>
        </w:rPr>
        <w:fldChar w:fldCharType="end"/>
      </w:r>
      <w:r>
        <w:rPr>
          <w:rFonts w:eastAsia="黑体"/>
          <w:color w:val="auto"/>
          <w:szCs w:val="24"/>
        </w:rPr>
        <w:fldChar w:fldCharType="end"/>
      </w:r>
    </w:p>
    <w:p w14:paraId="61EEEFD3">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"_Toc229930166" </w:instrText>
      </w:r>
      <w:r>
        <w:rPr>
          <w:color w:val="auto"/>
        </w:rPr>
        <w:fldChar w:fldCharType="separate"/>
      </w:r>
      <w:r>
        <w:rPr>
          <w:rStyle w:val="119"/>
          <w:rFonts w:eastAsia="黑体"/>
          <w:color w:val="auto"/>
          <w:szCs w:val="24"/>
        </w:rPr>
        <w:t>7.9 风险事故应急预案</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_Toc229930166 \h </w:instrText>
      </w:r>
      <w:r>
        <w:rPr>
          <w:rFonts w:eastAsia="黑体"/>
          <w:color w:val="auto"/>
          <w:szCs w:val="24"/>
        </w:rPr>
        <w:fldChar w:fldCharType="separate"/>
      </w:r>
      <w:r>
        <w:rPr>
          <w:rFonts w:eastAsia="黑体"/>
          <w:color w:val="auto"/>
          <w:szCs w:val="24"/>
        </w:rPr>
        <w:t>261</w:t>
      </w:r>
      <w:r>
        <w:rPr>
          <w:rFonts w:eastAsia="黑体"/>
          <w:color w:val="auto"/>
          <w:szCs w:val="24"/>
        </w:rPr>
        <w:fldChar w:fldCharType="end"/>
      </w:r>
      <w:r>
        <w:rPr>
          <w:rFonts w:eastAsia="黑体"/>
          <w:color w:val="auto"/>
          <w:szCs w:val="24"/>
        </w:rPr>
        <w:fldChar w:fldCharType="end"/>
      </w:r>
    </w:p>
    <w:p w14:paraId="26734CB1">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"_Toc229930167" </w:instrText>
      </w:r>
      <w:r>
        <w:rPr>
          <w:color w:val="auto"/>
        </w:rPr>
        <w:fldChar w:fldCharType="separate"/>
      </w:r>
      <w:r>
        <w:rPr>
          <w:rStyle w:val="119"/>
          <w:rFonts w:eastAsia="黑体"/>
          <w:color w:val="auto"/>
          <w:szCs w:val="24"/>
        </w:rPr>
        <w:t>7.10 环境风险评价结论</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_Toc229930167 \h </w:instrText>
      </w:r>
      <w:r>
        <w:rPr>
          <w:rFonts w:eastAsia="黑体"/>
          <w:color w:val="auto"/>
          <w:szCs w:val="24"/>
        </w:rPr>
        <w:fldChar w:fldCharType="separate"/>
      </w:r>
      <w:r>
        <w:rPr>
          <w:rFonts w:eastAsia="黑体"/>
          <w:color w:val="auto"/>
          <w:szCs w:val="24"/>
        </w:rPr>
        <w:t>266</w:t>
      </w:r>
      <w:r>
        <w:rPr>
          <w:rFonts w:eastAsia="黑体"/>
          <w:color w:val="auto"/>
          <w:szCs w:val="24"/>
        </w:rPr>
        <w:fldChar w:fldCharType="end"/>
      </w:r>
      <w:r>
        <w:rPr>
          <w:rFonts w:eastAsia="黑体"/>
          <w:color w:val="auto"/>
          <w:szCs w:val="24"/>
        </w:rPr>
        <w:fldChar w:fldCharType="end"/>
      </w:r>
    </w:p>
    <w:p w14:paraId="3051F061">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"_Toc229930168" </w:instrText>
      </w:r>
      <w:r>
        <w:rPr>
          <w:color w:val="auto"/>
        </w:rPr>
        <w:fldChar w:fldCharType="separate"/>
      </w:r>
      <w:r>
        <w:rPr>
          <w:rStyle w:val="119"/>
          <w:rFonts w:eastAsia="黑体"/>
          <w:color w:val="auto"/>
          <w:szCs w:val="24"/>
        </w:rPr>
        <w:t>第8章 环境经济损益简要分析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_Toc229930168 \h </w:instrText>
      </w:r>
      <w:r>
        <w:rPr>
          <w:rFonts w:eastAsia="黑体"/>
          <w:color w:val="auto"/>
          <w:szCs w:val="24"/>
        </w:rPr>
        <w:fldChar w:fldCharType="separate"/>
      </w:r>
      <w:r>
        <w:rPr>
          <w:rFonts w:eastAsia="黑体"/>
          <w:color w:val="auto"/>
          <w:szCs w:val="24"/>
        </w:rPr>
        <w:t>268</w:t>
      </w:r>
      <w:r>
        <w:rPr>
          <w:rFonts w:eastAsia="黑体"/>
          <w:color w:val="auto"/>
          <w:szCs w:val="24"/>
        </w:rPr>
        <w:fldChar w:fldCharType="end"/>
      </w:r>
      <w:r>
        <w:rPr>
          <w:rFonts w:eastAsia="黑体"/>
          <w:color w:val="auto"/>
          <w:szCs w:val="24"/>
        </w:rPr>
        <w:fldChar w:fldCharType="end"/>
      </w:r>
    </w:p>
    <w:p w14:paraId="527F770E">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"_Toc229930169" </w:instrText>
      </w:r>
      <w:r>
        <w:rPr>
          <w:color w:val="auto"/>
        </w:rPr>
        <w:fldChar w:fldCharType="separate"/>
      </w:r>
      <w:r>
        <w:rPr>
          <w:rStyle w:val="119"/>
          <w:rFonts w:eastAsia="黑体"/>
          <w:color w:val="auto"/>
          <w:szCs w:val="24"/>
        </w:rPr>
        <w:t>8.1 社会效益分析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_Toc229930169 \h </w:instrText>
      </w:r>
      <w:r>
        <w:rPr>
          <w:rFonts w:eastAsia="黑体"/>
          <w:color w:val="auto"/>
          <w:szCs w:val="24"/>
        </w:rPr>
        <w:fldChar w:fldCharType="separate"/>
      </w:r>
      <w:r>
        <w:rPr>
          <w:rFonts w:eastAsia="黑体"/>
          <w:color w:val="auto"/>
          <w:szCs w:val="24"/>
        </w:rPr>
        <w:t>268</w:t>
      </w:r>
      <w:r>
        <w:rPr>
          <w:rFonts w:eastAsia="黑体"/>
          <w:color w:val="auto"/>
          <w:szCs w:val="24"/>
        </w:rPr>
        <w:fldChar w:fldCharType="end"/>
      </w:r>
      <w:r>
        <w:rPr>
          <w:rFonts w:eastAsia="黑体"/>
          <w:color w:val="auto"/>
          <w:szCs w:val="24"/>
        </w:rPr>
        <w:fldChar w:fldCharType="end"/>
      </w:r>
    </w:p>
    <w:p w14:paraId="7F07284D">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"_Toc229930170" </w:instrText>
      </w:r>
      <w:r>
        <w:rPr>
          <w:color w:val="auto"/>
        </w:rPr>
        <w:fldChar w:fldCharType="separate"/>
      </w:r>
      <w:r>
        <w:rPr>
          <w:rStyle w:val="119"/>
          <w:rFonts w:eastAsia="黑体"/>
          <w:color w:val="auto"/>
          <w:szCs w:val="24"/>
        </w:rPr>
        <w:t>8.2 环境效益分析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_Toc229930170 \h </w:instrText>
      </w:r>
      <w:r>
        <w:rPr>
          <w:rFonts w:eastAsia="黑体"/>
          <w:color w:val="auto"/>
          <w:szCs w:val="24"/>
        </w:rPr>
        <w:fldChar w:fldCharType="separate"/>
      </w:r>
      <w:r>
        <w:rPr>
          <w:rFonts w:eastAsia="黑体"/>
          <w:color w:val="auto"/>
          <w:szCs w:val="24"/>
        </w:rPr>
        <w:t>268</w:t>
      </w:r>
      <w:r>
        <w:rPr>
          <w:rFonts w:eastAsia="黑体"/>
          <w:color w:val="auto"/>
          <w:szCs w:val="24"/>
        </w:rPr>
        <w:fldChar w:fldCharType="end"/>
      </w:r>
      <w:r>
        <w:rPr>
          <w:rFonts w:eastAsia="黑体"/>
          <w:color w:val="auto"/>
          <w:szCs w:val="24"/>
        </w:rPr>
        <w:fldChar w:fldCharType="end"/>
      </w:r>
    </w:p>
    <w:p w14:paraId="50A21878">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"_Toc229930171" </w:instrText>
      </w:r>
      <w:r>
        <w:rPr>
          <w:color w:val="auto"/>
        </w:rPr>
        <w:fldChar w:fldCharType="separate"/>
      </w:r>
      <w:r>
        <w:rPr>
          <w:rStyle w:val="119"/>
          <w:rFonts w:eastAsia="黑体"/>
          <w:color w:val="auto"/>
          <w:szCs w:val="24"/>
        </w:rPr>
        <w:t>8.3 经济效益分析</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_Toc229930171 \h </w:instrText>
      </w:r>
      <w:r>
        <w:rPr>
          <w:rFonts w:eastAsia="黑体"/>
          <w:color w:val="auto"/>
          <w:szCs w:val="24"/>
        </w:rPr>
        <w:fldChar w:fldCharType="separate"/>
      </w:r>
      <w:r>
        <w:rPr>
          <w:rFonts w:eastAsia="黑体"/>
          <w:color w:val="auto"/>
          <w:szCs w:val="24"/>
        </w:rPr>
        <w:t>270</w:t>
      </w:r>
      <w:r>
        <w:rPr>
          <w:rFonts w:eastAsia="黑体"/>
          <w:color w:val="auto"/>
          <w:szCs w:val="24"/>
        </w:rPr>
        <w:fldChar w:fldCharType="end"/>
      </w:r>
      <w:r>
        <w:rPr>
          <w:rFonts w:eastAsia="黑体"/>
          <w:color w:val="auto"/>
          <w:szCs w:val="24"/>
        </w:rPr>
        <w:fldChar w:fldCharType="end"/>
      </w:r>
    </w:p>
    <w:p w14:paraId="75918F3A">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"_Toc229930172" </w:instrText>
      </w:r>
      <w:r>
        <w:rPr>
          <w:color w:val="auto"/>
        </w:rPr>
        <w:fldChar w:fldCharType="separate"/>
      </w:r>
      <w:r>
        <w:rPr>
          <w:rStyle w:val="119"/>
          <w:rFonts w:eastAsia="黑体"/>
          <w:color w:val="auto"/>
          <w:szCs w:val="24"/>
        </w:rPr>
        <w:t>第9章 环境管理与监测计划</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_Toc229930172 \h </w:instrText>
      </w:r>
      <w:r>
        <w:rPr>
          <w:rFonts w:eastAsia="黑体"/>
          <w:color w:val="auto"/>
          <w:szCs w:val="24"/>
        </w:rPr>
        <w:fldChar w:fldCharType="separate"/>
      </w:r>
      <w:r>
        <w:rPr>
          <w:rFonts w:eastAsia="黑体"/>
          <w:color w:val="auto"/>
          <w:szCs w:val="24"/>
        </w:rPr>
        <w:t>271</w:t>
      </w:r>
      <w:r>
        <w:rPr>
          <w:rFonts w:eastAsia="黑体"/>
          <w:color w:val="auto"/>
          <w:szCs w:val="24"/>
        </w:rPr>
        <w:fldChar w:fldCharType="end"/>
      </w:r>
      <w:r>
        <w:rPr>
          <w:rFonts w:eastAsia="黑体"/>
          <w:color w:val="auto"/>
          <w:szCs w:val="24"/>
        </w:rPr>
        <w:fldChar w:fldCharType="end"/>
      </w:r>
    </w:p>
    <w:p w14:paraId="6C30A9E4">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"_Toc229930173" </w:instrText>
      </w:r>
      <w:r>
        <w:rPr>
          <w:color w:val="auto"/>
        </w:rPr>
        <w:fldChar w:fldCharType="separate"/>
      </w:r>
      <w:r>
        <w:rPr>
          <w:rStyle w:val="119"/>
          <w:rFonts w:eastAsia="黑体"/>
          <w:color w:val="auto"/>
          <w:szCs w:val="24"/>
        </w:rPr>
        <w:t>9.1 环境管理</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_Toc229930173 \h </w:instrText>
      </w:r>
      <w:r>
        <w:rPr>
          <w:rFonts w:eastAsia="黑体"/>
          <w:color w:val="auto"/>
          <w:szCs w:val="24"/>
        </w:rPr>
        <w:fldChar w:fldCharType="separate"/>
      </w:r>
      <w:r>
        <w:rPr>
          <w:rFonts w:eastAsia="黑体"/>
          <w:color w:val="auto"/>
          <w:szCs w:val="24"/>
        </w:rPr>
        <w:t>271</w:t>
      </w:r>
      <w:r>
        <w:rPr>
          <w:rFonts w:eastAsia="黑体"/>
          <w:color w:val="auto"/>
          <w:szCs w:val="24"/>
        </w:rPr>
        <w:fldChar w:fldCharType="end"/>
      </w:r>
      <w:r>
        <w:rPr>
          <w:rFonts w:eastAsia="黑体"/>
          <w:color w:val="auto"/>
          <w:szCs w:val="24"/>
        </w:rPr>
        <w:fldChar w:fldCharType="end"/>
      </w:r>
    </w:p>
    <w:p w14:paraId="21F2798E">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"_Toc229930174" </w:instrText>
      </w:r>
      <w:r>
        <w:rPr>
          <w:color w:val="auto"/>
        </w:rPr>
        <w:fldChar w:fldCharType="separate"/>
      </w:r>
      <w:r>
        <w:rPr>
          <w:rStyle w:val="119"/>
          <w:rFonts w:eastAsia="黑体"/>
          <w:color w:val="auto"/>
          <w:szCs w:val="24"/>
        </w:rPr>
        <w:t>9.2 各阶段的环境管理要求</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_Toc229930174 \h </w:instrText>
      </w:r>
      <w:r>
        <w:rPr>
          <w:rFonts w:eastAsia="黑体"/>
          <w:color w:val="auto"/>
          <w:szCs w:val="24"/>
        </w:rPr>
        <w:fldChar w:fldCharType="separate"/>
      </w:r>
      <w:r>
        <w:rPr>
          <w:rFonts w:eastAsia="黑体"/>
          <w:color w:val="auto"/>
          <w:szCs w:val="24"/>
        </w:rPr>
        <w:t>273</w:t>
      </w:r>
      <w:r>
        <w:rPr>
          <w:rFonts w:eastAsia="黑体"/>
          <w:color w:val="auto"/>
          <w:szCs w:val="24"/>
        </w:rPr>
        <w:fldChar w:fldCharType="end"/>
      </w:r>
      <w:r>
        <w:rPr>
          <w:rFonts w:eastAsia="黑体"/>
          <w:color w:val="auto"/>
          <w:szCs w:val="24"/>
        </w:rPr>
        <w:fldChar w:fldCharType="end"/>
      </w:r>
    </w:p>
    <w:p w14:paraId="6E2DFB73">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"_Toc229930175" </w:instrText>
      </w:r>
      <w:r>
        <w:rPr>
          <w:color w:val="auto"/>
        </w:rPr>
        <w:fldChar w:fldCharType="separate"/>
      </w:r>
      <w:r>
        <w:rPr>
          <w:rStyle w:val="119"/>
          <w:rFonts w:eastAsia="黑体"/>
          <w:color w:val="auto"/>
          <w:szCs w:val="24"/>
        </w:rPr>
        <w:t>9.3 环境管理制度</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_Toc229930175 \h </w:instrText>
      </w:r>
      <w:r>
        <w:rPr>
          <w:rFonts w:eastAsia="黑体"/>
          <w:color w:val="auto"/>
          <w:szCs w:val="24"/>
        </w:rPr>
        <w:fldChar w:fldCharType="separate"/>
      </w:r>
      <w:r>
        <w:rPr>
          <w:rFonts w:eastAsia="黑体"/>
          <w:color w:val="auto"/>
          <w:szCs w:val="24"/>
        </w:rPr>
        <w:t>275</w:t>
      </w:r>
      <w:r>
        <w:rPr>
          <w:rFonts w:eastAsia="黑体"/>
          <w:color w:val="auto"/>
          <w:szCs w:val="24"/>
        </w:rPr>
        <w:fldChar w:fldCharType="end"/>
      </w:r>
      <w:r>
        <w:rPr>
          <w:rFonts w:eastAsia="黑体"/>
          <w:color w:val="auto"/>
          <w:szCs w:val="24"/>
        </w:rPr>
        <w:fldChar w:fldCharType="end"/>
      </w:r>
    </w:p>
    <w:p w14:paraId="751453D3">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"_Toc229930176" </w:instrText>
      </w:r>
      <w:r>
        <w:rPr>
          <w:color w:val="auto"/>
        </w:rPr>
        <w:fldChar w:fldCharType="separate"/>
      </w:r>
      <w:r>
        <w:rPr>
          <w:rStyle w:val="119"/>
          <w:rFonts w:eastAsia="黑体"/>
          <w:color w:val="auto"/>
          <w:szCs w:val="24"/>
        </w:rPr>
        <w:t>9.4 环境监测</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_Toc229930176 \h </w:instrText>
      </w:r>
      <w:r>
        <w:rPr>
          <w:rFonts w:eastAsia="黑体"/>
          <w:color w:val="auto"/>
          <w:szCs w:val="24"/>
        </w:rPr>
        <w:fldChar w:fldCharType="separate"/>
      </w:r>
      <w:r>
        <w:rPr>
          <w:rFonts w:eastAsia="黑体"/>
          <w:color w:val="auto"/>
          <w:szCs w:val="24"/>
        </w:rPr>
        <w:t>282</w:t>
      </w:r>
      <w:r>
        <w:rPr>
          <w:rFonts w:eastAsia="黑体"/>
          <w:color w:val="auto"/>
          <w:szCs w:val="24"/>
        </w:rPr>
        <w:fldChar w:fldCharType="end"/>
      </w:r>
      <w:r>
        <w:rPr>
          <w:rFonts w:eastAsia="黑体"/>
          <w:color w:val="auto"/>
          <w:szCs w:val="24"/>
        </w:rPr>
        <w:fldChar w:fldCharType="end"/>
      </w:r>
    </w:p>
    <w:p w14:paraId="27E0B8F8">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"_Toc229930177" </w:instrText>
      </w:r>
      <w:r>
        <w:rPr>
          <w:color w:val="auto"/>
        </w:rPr>
        <w:fldChar w:fldCharType="separate"/>
      </w:r>
      <w:r>
        <w:rPr>
          <w:rStyle w:val="119"/>
          <w:rFonts w:eastAsia="黑体"/>
          <w:color w:val="auto"/>
          <w:szCs w:val="24"/>
        </w:rPr>
        <w:t>9.5 竣工验收管理</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_Toc229930177 \h </w:instrText>
      </w:r>
      <w:r>
        <w:rPr>
          <w:rFonts w:eastAsia="黑体"/>
          <w:color w:val="auto"/>
          <w:szCs w:val="24"/>
        </w:rPr>
        <w:fldChar w:fldCharType="separate"/>
      </w:r>
      <w:r>
        <w:rPr>
          <w:rFonts w:eastAsia="黑体"/>
          <w:color w:val="auto"/>
          <w:szCs w:val="24"/>
        </w:rPr>
        <w:t>285</w:t>
      </w:r>
      <w:r>
        <w:rPr>
          <w:rFonts w:eastAsia="黑体"/>
          <w:color w:val="auto"/>
          <w:szCs w:val="24"/>
        </w:rPr>
        <w:fldChar w:fldCharType="end"/>
      </w:r>
      <w:r>
        <w:rPr>
          <w:rFonts w:eastAsia="黑体"/>
          <w:color w:val="auto"/>
          <w:szCs w:val="24"/>
        </w:rPr>
        <w:fldChar w:fldCharType="end"/>
      </w:r>
    </w:p>
    <w:p w14:paraId="7324CA8C">
      <w:pPr>
        <w:pStyle w:val="53"/>
        <w:tabs>
          <w:tab w:val="right" w:leader="dot" w:pos="8647"/>
          <w:tab w:val="clear" w:pos="8296"/>
        </w:tabs>
        <w:rPr>
          <w:rFonts w:eastAsia="黑体"/>
          <w:b w:val="0"/>
          <w:caps w:val="0"/>
          <w:color w:val="auto"/>
          <w:kern w:val="2"/>
          <w:szCs w:val="24"/>
          <w14:ligatures w14:val="standardContextual"/>
        </w:rPr>
      </w:pPr>
      <w:r>
        <w:rPr>
          <w:color w:val="auto"/>
        </w:rPr>
        <w:fldChar w:fldCharType="begin"/>
      </w:r>
      <w:r>
        <w:rPr>
          <w:color w:val="auto"/>
        </w:rPr>
        <w:instrText xml:space="preserve"> HYPERLINK \l "_Toc229930178" </w:instrText>
      </w:r>
      <w:r>
        <w:rPr>
          <w:color w:val="auto"/>
        </w:rPr>
        <w:fldChar w:fldCharType="separate"/>
      </w:r>
      <w:r>
        <w:rPr>
          <w:rStyle w:val="119"/>
          <w:rFonts w:eastAsia="黑体"/>
          <w:color w:val="auto"/>
          <w:szCs w:val="24"/>
        </w:rPr>
        <w:t>第10章 结论与建议</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_Toc229930178 \h </w:instrText>
      </w:r>
      <w:r>
        <w:rPr>
          <w:rFonts w:eastAsia="黑体"/>
          <w:color w:val="auto"/>
          <w:szCs w:val="24"/>
        </w:rPr>
        <w:fldChar w:fldCharType="separate"/>
      </w:r>
      <w:r>
        <w:rPr>
          <w:rFonts w:eastAsia="黑体"/>
          <w:color w:val="auto"/>
          <w:szCs w:val="24"/>
        </w:rPr>
        <w:t>290</w:t>
      </w:r>
      <w:r>
        <w:rPr>
          <w:rFonts w:eastAsia="黑体"/>
          <w:color w:val="auto"/>
          <w:szCs w:val="24"/>
        </w:rPr>
        <w:fldChar w:fldCharType="end"/>
      </w:r>
      <w:r>
        <w:rPr>
          <w:rFonts w:eastAsia="黑体"/>
          <w:color w:val="auto"/>
          <w:szCs w:val="24"/>
        </w:rPr>
        <w:fldChar w:fldCharType="end"/>
      </w:r>
    </w:p>
    <w:p w14:paraId="657B4F7F">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"_Toc229930179" </w:instrText>
      </w:r>
      <w:r>
        <w:rPr>
          <w:color w:val="auto"/>
        </w:rPr>
        <w:fldChar w:fldCharType="separate"/>
      </w:r>
      <w:r>
        <w:rPr>
          <w:rStyle w:val="119"/>
          <w:rFonts w:eastAsia="黑体"/>
          <w:color w:val="auto"/>
          <w:szCs w:val="24"/>
        </w:rPr>
        <w:t>10.1 结论</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_Toc229930179 \h </w:instrText>
      </w:r>
      <w:r>
        <w:rPr>
          <w:rFonts w:eastAsia="黑体"/>
          <w:color w:val="auto"/>
          <w:szCs w:val="24"/>
        </w:rPr>
        <w:fldChar w:fldCharType="separate"/>
      </w:r>
      <w:r>
        <w:rPr>
          <w:rFonts w:eastAsia="黑体"/>
          <w:color w:val="auto"/>
          <w:szCs w:val="24"/>
        </w:rPr>
        <w:t>290</w:t>
      </w:r>
      <w:r>
        <w:rPr>
          <w:rFonts w:eastAsia="黑体"/>
          <w:color w:val="auto"/>
          <w:szCs w:val="24"/>
        </w:rPr>
        <w:fldChar w:fldCharType="end"/>
      </w:r>
      <w:r>
        <w:rPr>
          <w:rFonts w:eastAsia="黑体"/>
          <w:color w:val="auto"/>
          <w:szCs w:val="24"/>
        </w:rPr>
        <w:fldChar w:fldCharType="end"/>
      </w:r>
    </w:p>
    <w:p w14:paraId="46A5B80B">
      <w:pPr>
        <w:pStyle w:val="68"/>
        <w:tabs>
          <w:tab w:val="right" w:leader="dot" w:pos="8647"/>
          <w:tab w:val="clear" w:pos="8296"/>
        </w:tabs>
        <w:rPr>
          <w:rFonts w:eastAsia="黑体"/>
          <w:smallCaps w:val="0"/>
          <w:color w:val="auto"/>
          <w:kern w:val="2"/>
          <w:szCs w:val="24"/>
          <w14:ligatures w14:val="standardContextual"/>
        </w:rPr>
      </w:pPr>
      <w:r>
        <w:rPr>
          <w:color w:val="auto"/>
        </w:rPr>
        <w:fldChar w:fldCharType="begin"/>
      </w:r>
      <w:r>
        <w:rPr>
          <w:color w:val="auto"/>
        </w:rPr>
        <w:instrText xml:space="preserve"> HYPERLINK \l "_Toc229930180" </w:instrText>
      </w:r>
      <w:r>
        <w:rPr>
          <w:color w:val="auto"/>
        </w:rPr>
        <w:fldChar w:fldCharType="separate"/>
      </w:r>
      <w:r>
        <w:rPr>
          <w:rStyle w:val="119"/>
          <w:rFonts w:eastAsia="黑体"/>
          <w:color w:val="auto"/>
          <w:szCs w:val="24"/>
        </w:rPr>
        <w:t>10.2 建议</w:t>
      </w:r>
      <w:r>
        <w:rPr>
          <w:rFonts w:eastAsia="黑体"/>
          <w:color w:val="auto"/>
          <w:szCs w:val="24"/>
        </w:rPr>
        <w:tab/>
      </w:r>
      <w:r>
        <w:rPr>
          <w:rFonts w:eastAsia="黑体"/>
          <w:color w:val="auto"/>
          <w:szCs w:val="24"/>
        </w:rPr>
        <w:fldChar w:fldCharType="begin"/>
      </w:r>
      <w:r>
        <w:rPr>
          <w:rFonts w:eastAsia="黑体"/>
          <w:color w:val="auto"/>
          <w:szCs w:val="24"/>
        </w:rPr>
        <w:instrText xml:space="preserve"> PAGEREF _Toc229930180 \h </w:instrText>
      </w:r>
      <w:r>
        <w:rPr>
          <w:rFonts w:eastAsia="黑体"/>
          <w:color w:val="auto"/>
          <w:szCs w:val="24"/>
        </w:rPr>
        <w:fldChar w:fldCharType="separate"/>
      </w:r>
      <w:r>
        <w:rPr>
          <w:rFonts w:eastAsia="黑体"/>
          <w:color w:val="auto"/>
          <w:szCs w:val="24"/>
        </w:rPr>
        <w:t>296</w:t>
      </w:r>
      <w:r>
        <w:rPr>
          <w:rFonts w:eastAsia="黑体"/>
          <w:color w:val="auto"/>
          <w:szCs w:val="24"/>
        </w:rPr>
        <w:fldChar w:fldCharType="end"/>
      </w:r>
      <w:r>
        <w:rPr>
          <w:rFonts w:eastAsia="黑体"/>
          <w:color w:val="auto"/>
          <w:szCs w:val="24"/>
        </w:rPr>
        <w:fldChar w:fldCharType="end"/>
      </w:r>
    </w:p>
    <w:bookmarkEnd w:id="32"/>
    <w:p w14:paraId="5B000146">
      <w:pPr>
        <w:spacing w:line="440" w:lineRule="exact"/>
        <w:jc w:val="center"/>
        <w:rPr>
          <w:rFonts w:eastAsia="黑体"/>
          <w:smallCaps/>
          <w:color w:val="auto"/>
          <w:sz w:val="24"/>
          <w:szCs w:val="24"/>
        </w:rPr>
      </w:pPr>
      <w:r>
        <w:rPr>
          <w:rFonts w:eastAsia="黑体"/>
          <w:smallCaps/>
          <w:color w:val="auto"/>
          <w:sz w:val="24"/>
          <w:szCs w:val="24"/>
        </w:rPr>
        <w:fldChar w:fldCharType="end"/>
      </w:r>
    </w:p>
    <w:p w14:paraId="2A3DBE9C">
      <w:pPr>
        <w:spacing w:line="440" w:lineRule="exact"/>
        <w:rPr>
          <w:rFonts w:eastAsia="黑体"/>
          <w:b/>
          <w:color w:val="auto"/>
          <w:sz w:val="24"/>
          <w:szCs w:val="24"/>
        </w:rPr>
      </w:pPr>
      <w:r>
        <w:rPr>
          <w:rFonts w:hAnsi="黑体" w:eastAsia="黑体"/>
          <w:b/>
          <w:color w:val="auto"/>
          <w:sz w:val="24"/>
          <w:szCs w:val="24"/>
        </w:rPr>
        <w:t>附件：</w:t>
      </w:r>
    </w:p>
    <w:p w14:paraId="1DC63AE5">
      <w:pPr>
        <w:pStyle w:val="1065"/>
        <w:numPr>
          <w:ilvl w:val="0"/>
          <w:numId w:val="9"/>
        </w:numPr>
        <w:spacing w:line="400" w:lineRule="exact"/>
        <w:ind w:left="284" w:hanging="284" w:firstLineChars="0"/>
        <w:jc w:val="both"/>
        <w:rPr>
          <w:color w:val="auto"/>
          <w:szCs w:val="21"/>
        </w:rPr>
      </w:pPr>
      <w:r>
        <w:rPr>
          <w:color w:val="auto"/>
          <w:szCs w:val="21"/>
        </w:rPr>
        <w:t>环境影响</w:t>
      </w:r>
      <w:r>
        <w:rPr>
          <w:rFonts w:hint="eastAsia"/>
          <w:color w:val="auto"/>
          <w:szCs w:val="21"/>
        </w:rPr>
        <w:t>报告书编制工作</w:t>
      </w:r>
      <w:r>
        <w:rPr>
          <w:color w:val="auto"/>
          <w:szCs w:val="21"/>
        </w:rPr>
        <w:t>委托书，20</w:t>
      </w:r>
      <w:r>
        <w:rPr>
          <w:rFonts w:hint="eastAsia"/>
          <w:color w:val="auto"/>
          <w:szCs w:val="21"/>
        </w:rPr>
        <w:t>25.12</w:t>
      </w:r>
      <w:r>
        <w:rPr>
          <w:color w:val="auto"/>
          <w:szCs w:val="21"/>
        </w:rPr>
        <w:t>；</w:t>
      </w:r>
    </w:p>
    <w:p w14:paraId="58CE1CF6">
      <w:pPr>
        <w:pStyle w:val="1065"/>
        <w:numPr>
          <w:ilvl w:val="0"/>
          <w:numId w:val="9"/>
        </w:numPr>
        <w:spacing w:line="400" w:lineRule="exact"/>
        <w:ind w:left="284" w:hanging="284" w:firstLineChars="0"/>
        <w:jc w:val="both"/>
        <w:rPr>
          <w:color w:val="auto"/>
          <w:szCs w:val="21"/>
        </w:rPr>
      </w:pPr>
      <w:r>
        <w:rPr>
          <w:color w:val="auto"/>
        </w:rPr>
        <w:t>企业投资项目备案证；</w:t>
      </w:r>
    </w:p>
    <w:p w14:paraId="7639E4ED">
      <w:pPr>
        <w:pStyle w:val="1065"/>
        <w:numPr>
          <w:ilvl w:val="0"/>
          <w:numId w:val="9"/>
        </w:numPr>
        <w:spacing w:line="400" w:lineRule="exact"/>
        <w:ind w:left="284" w:hanging="284" w:firstLineChars="0"/>
        <w:jc w:val="both"/>
        <w:rPr>
          <w:color w:val="auto"/>
        </w:rPr>
      </w:pPr>
      <w:r>
        <w:rPr>
          <w:color w:val="auto"/>
        </w:rPr>
        <w:t>关于《乌鲁木齐甘泉堡经济技术开发区（工业区）化工园区总体规划（2023-2035）环境影响报告书</w:t>
      </w:r>
      <w:r>
        <w:rPr>
          <w:rFonts w:hint="eastAsia"/>
          <w:color w:val="auto"/>
        </w:rPr>
        <w:t>》</w:t>
      </w:r>
      <w:r>
        <w:rPr>
          <w:color w:val="auto"/>
        </w:rPr>
        <w:t>审查意见，新环审〔2024〕22号</w:t>
      </w:r>
      <w:r>
        <w:rPr>
          <w:rFonts w:hint="eastAsia"/>
          <w:color w:val="auto"/>
        </w:rPr>
        <w:t>；</w:t>
      </w:r>
    </w:p>
    <w:p w14:paraId="261056F4">
      <w:pPr>
        <w:pStyle w:val="1065"/>
        <w:numPr>
          <w:ilvl w:val="0"/>
          <w:numId w:val="9"/>
        </w:numPr>
        <w:spacing w:line="400" w:lineRule="exact"/>
        <w:ind w:left="284" w:hanging="284" w:firstLineChars="0"/>
        <w:jc w:val="both"/>
        <w:rPr>
          <w:color w:val="auto"/>
        </w:rPr>
      </w:pPr>
      <w:r>
        <w:rPr>
          <w:color w:val="auto"/>
        </w:rPr>
        <w:t>甘泉堡化工园区认定批复</w:t>
      </w:r>
      <w:r>
        <w:rPr>
          <w:rFonts w:hint="eastAsia"/>
          <w:color w:val="auto"/>
        </w:rPr>
        <w:t>；</w:t>
      </w:r>
    </w:p>
    <w:p w14:paraId="5BE4960C">
      <w:pPr>
        <w:pStyle w:val="1065"/>
        <w:numPr>
          <w:ilvl w:val="0"/>
          <w:numId w:val="9"/>
        </w:numPr>
        <w:spacing w:line="400" w:lineRule="exact"/>
        <w:ind w:left="284" w:hanging="284" w:firstLineChars="0"/>
        <w:jc w:val="both"/>
        <w:rPr>
          <w:color w:val="auto"/>
        </w:rPr>
      </w:pPr>
      <w:r>
        <w:rPr>
          <w:rFonts w:hint="eastAsia"/>
          <w:color w:val="auto"/>
        </w:rPr>
        <w:t>原料成分分析报告；</w:t>
      </w:r>
    </w:p>
    <w:p w14:paraId="6B5D282B">
      <w:pPr>
        <w:pStyle w:val="1065"/>
        <w:numPr>
          <w:ilvl w:val="0"/>
          <w:numId w:val="9"/>
        </w:numPr>
        <w:spacing w:line="400" w:lineRule="exact"/>
        <w:ind w:left="284" w:hanging="284" w:firstLineChars="0"/>
        <w:jc w:val="both"/>
        <w:rPr>
          <w:color w:val="auto"/>
        </w:rPr>
      </w:pPr>
      <w:r>
        <w:rPr>
          <w:rFonts w:hint="eastAsia"/>
          <w:color w:val="auto"/>
        </w:rPr>
        <w:t>天然气分析报告；</w:t>
      </w:r>
    </w:p>
    <w:p w14:paraId="6FDAE358">
      <w:pPr>
        <w:pStyle w:val="1065"/>
        <w:numPr>
          <w:ilvl w:val="0"/>
          <w:numId w:val="9"/>
        </w:numPr>
        <w:spacing w:line="400" w:lineRule="exact"/>
        <w:ind w:left="284" w:hanging="284" w:firstLineChars="0"/>
        <w:jc w:val="both"/>
        <w:rPr>
          <w:color w:val="auto"/>
        </w:rPr>
        <w:sectPr>
          <w:pgSz w:w="11906" w:h="16838"/>
          <w:pgMar w:top="1440" w:right="1588" w:bottom="1389" w:left="1588" w:header="680" w:footer="794" w:gutter="0"/>
          <w:pgNumType w:fmt="upperRoman" w:start="1"/>
          <w:cols w:space="425" w:num="1"/>
          <w:docGrid w:type="lines" w:linePitch="312" w:charSpace="0"/>
        </w:sectPr>
      </w:pPr>
      <w:r>
        <w:rPr>
          <w:rFonts w:hint="eastAsia"/>
          <w:color w:val="auto"/>
        </w:rPr>
        <w:t xml:space="preserve">环境质量监测报告。 </w:t>
      </w:r>
    </w:p>
    <w:p w14:paraId="3B508C33">
      <w:pPr>
        <w:pStyle w:val="2"/>
        <w:rPr>
          <w:color w:val="auto"/>
        </w:rPr>
      </w:pPr>
      <w:bookmarkStart w:id="33" w:name="_Toc229930107"/>
      <w:r>
        <w:rPr>
          <w:color w:val="auto"/>
        </w:rPr>
        <w:t>概  述</w:t>
      </w:r>
      <w:bookmarkEnd w:id="33"/>
    </w:p>
    <w:p w14:paraId="1C1F434A">
      <w:pPr>
        <w:pStyle w:val="3"/>
        <w:rPr>
          <w:color w:val="auto"/>
        </w:rPr>
      </w:pPr>
      <w:bookmarkStart w:id="34" w:name="_Toc229930108"/>
      <w:r>
        <w:rPr>
          <w:color w:val="auto"/>
        </w:rPr>
        <w:t>建设项目背景及其特点</w:t>
      </w:r>
      <w:bookmarkEnd w:id="34"/>
    </w:p>
    <w:p w14:paraId="766541A6">
      <w:pPr>
        <w:pStyle w:val="4"/>
        <w:rPr>
          <w:color w:val="auto"/>
        </w:rPr>
      </w:pPr>
      <w:r>
        <w:rPr>
          <w:color w:val="auto"/>
        </w:rPr>
        <w:t>项目背景</w:t>
      </w:r>
    </w:p>
    <w:p w14:paraId="2594805B">
      <w:pPr>
        <w:pStyle w:val="132"/>
        <w:rPr>
          <w:color w:val="auto"/>
        </w:rPr>
      </w:pPr>
      <w:r>
        <w:rPr>
          <w:color w:val="auto"/>
        </w:rPr>
        <w:t>新疆斯诺环保科技有限公司成立于2024年11月18日，公司位于乌鲁木齐甘泉堡经济技术开发区（工业区），公司经营范围广泛，许可项目：危险废物经营；肥料生产。一般项目：污水处理及其再生利用；水环境污染防治服务；环境应急治理服务；水污染治理；大气环境污染防治服务；大气污染治理；环保咨询服务；生物化工产品技术研发；资源再生利用技术研发；技术服务、技术开发、技术咨询、技术交流、技术转让、技术推广；新兴能源技术研发；复合微生物肥料研发；肥料销售；化肥销售；新型金属功能材料销售；新材料技术研发；专用化学产品制造；煤制活性炭及其他煤炭加工；生态环境材料制造；生态环境材料销售；专用化学产品销售；环境保护专用设备制造；生物质燃料加工；化工产品销售</w:t>
      </w:r>
      <w:r>
        <w:rPr>
          <w:rFonts w:hint="eastAsia"/>
          <w:color w:val="auto"/>
        </w:rPr>
        <w:t>等</w:t>
      </w:r>
      <w:r>
        <w:rPr>
          <w:color w:val="auto"/>
        </w:rPr>
        <w:t>。</w:t>
      </w:r>
    </w:p>
    <w:p w14:paraId="4D0CF10F">
      <w:pPr>
        <w:pStyle w:val="132"/>
        <w:rPr>
          <w:color w:val="auto"/>
        </w:rPr>
      </w:pPr>
      <w:r>
        <w:rPr>
          <w:color w:val="auto"/>
        </w:rPr>
        <w:t>新疆斯诺环保科技有限公司拟投资</w:t>
      </w:r>
      <w:r>
        <w:rPr>
          <w:rFonts w:hint="eastAsia"/>
          <w:color w:val="auto"/>
        </w:rPr>
        <w:t>2</w:t>
      </w:r>
      <w:r>
        <w:rPr>
          <w:color w:val="auto"/>
        </w:rPr>
        <w:t>5000万元在乌鲁木齐甘泉堡经济技术开发区（工业区）化工园区建设危险废物处置项目，</w:t>
      </w:r>
      <w:r>
        <w:rPr>
          <w:rFonts w:hint="eastAsia"/>
          <w:color w:val="auto"/>
        </w:rPr>
        <w:t>主要处理乌鲁木齐</w:t>
      </w:r>
      <w:r>
        <w:rPr>
          <w:color w:val="auto"/>
        </w:rPr>
        <w:t>众荣电子材料科技有限公司及疆内</w:t>
      </w:r>
      <w:r>
        <w:rPr>
          <w:rFonts w:hint="eastAsia"/>
          <w:color w:val="auto"/>
        </w:rPr>
        <w:t>其他</w:t>
      </w:r>
      <w:bookmarkStart w:id="35" w:name="OLE_LINK148"/>
      <w:r>
        <w:rPr>
          <w:rFonts w:hint="eastAsia"/>
          <w:color w:val="auto"/>
        </w:rPr>
        <w:t>电极箔生产厂家</w:t>
      </w:r>
      <w:bookmarkEnd w:id="35"/>
      <w:r>
        <w:rPr>
          <w:rFonts w:hint="eastAsia"/>
          <w:color w:val="auto"/>
        </w:rPr>
        <w:t>产生的废酸、废碱液。</w:t>
      </w:r>
    </w:p>
    <w:p w14:paraId="0488A9AA">
      <w:pPr>
        <w:pStyle w:val="132"/>
        <w:rPr>
          <w:color w:val="auto"/>
        </w:rPr>
      </w:pPr>
      <w:r>
        <w:rPr>
          <w:rFonts w:hint="eastAsia"/>
          <w:color w:val="auto"/>
        </w:rPr>
        <w:t>目前铝电极箔生产厂家采用中和方法处理废酸液、废碱液，中和的废渣、污泥需要作为固体废物进一步处理和处置，造成了资源的浪费。腐蚀箔的生产原料为高纯铝光箔，经化学腐蚀后生产腐蚀箔，进一步生产可得到电极箔（化成箔），在生产过程中产生的废酸液、废碱液中主要含有硝酸、盐酸、磷酸、硫酸、偏铝酸钠、偏铝酸钾、氢氧化钾、碳酸钠、硝酸铝、磷酸二氢铝、氯化铝、硫酸铝等成分，重金属及其他杂质含量很少，通过处理，可以“变废为宝”，将</w:t>
      </w:r>
      <w:r>
        <w:rPr>
          <w:color w:val="auto"/>
        </w:rPr>
        <w:t>废酸废碱转化为</w:t>
      </w:r>
      <w:r>
        <w:rPr>
          <w:rFonts w:hint="eastAsia"/>
          <w:color w:val="auto"/>
        </w:rPr>
        <w:t>拟薄水铝石</w:t>
      </w:r>
      <w:r>
        <w:rPr>
          <w:color w:val="auto"/>
        </w:rPr>
        <w:t>、硫酸铵、</w:t>
      </w:r>
      <w:r>
        <w:rPr>
          <w:rFonts w:hint="eastAsia"/>
          <w:color w:val="auto"/>
        </w:rPr>
        <w:t>碳酸钠、液体肥料</w:t>
      </w:r>
      <w:r>
        <w:rPr>
          <w:color w:val="auto"/>
        </w:rPr>
        <w:t>等产品，</w:t>
      </w:r>
      <w:r>
        <w:rPr>
          <w:rFonts w:hint="eastAsia"/>
          <w:color w:val="auto"/>
        </w:rPr>
        <w:t>其中，拟薄水铝石是</w:t>
      </w:r>
      <w:r>
        <w:rPr>
          <w:color w:val="auto"/>
        </w:rPr>
        <w:t>工业催化领域非常重要的前驱体材料</w:t>
      </w:r>
      <w:r>
        <w:rPr>
          <w:rFonts w:hint="eastAsia"/>
          <w:color w:val="auto"/>
        </w:rPr>
        <w:t>，具有高比表面积与高孔容、表面富含羟基、具有良好的胶溶性和热转化特性</w:t>
      </w:r>
      <w:r>
        <w:rPr>
          <w:color w:val="auto"/>
        </w:rPr>
        <w:t>。拟薄水铝石在受热时，经</w:t>
      </w:r>
      <w:r>
        <w:rPr>
          <w:rFonts w:hint="eastAsia"/>
          <w:color w:val="auto"/>
        </w:rPr>
        <w:t>过</w:t>
      </w:r>
      <w:r>
        <w:rPr>
          <w:color w:val="auto"/>
        </w:rPr>
        <w:t>脱水、相变过程</w:t>
      </w:r>
      <w:r>
        <w:rPr>
          <w:rFonts w:hint="eastAsia"/>
          <w:color w:val="auto"/>
        </w:rPr>
        <w:t>转化为γ-氧化铝，</w:t>
      </w:r>
      <w:r>
        <w:rPr>
          <w:color w:val="auto"/>
        </w:rPr>
        <w:t>是工业上最重要的催化剂载体之一，具有极高的比表面积和酸性位点。</w:t>
      </w:r>
      <w:r>
        <w:rPr>
          <w:rFonts w:hint="eastAsia"/>
          <w:color w:val="auto"/>
        </w:rPr>
        <w:t>通过对废酸液、废碱液的资源化利用，</w:t>
      </w:r>
      <w:r>
        <w:rPr>
          <w:color w:val="auto"/>
        </w:rPr>
        <w:t>在高效处置危险废物的同时构建循环经济产业链，实现经济、环境和社会效益的多赢。</w:t>
      </w:r>
    </w:p>
    <w:p w14:paraId="09E190BD">
      <w:pPr>
        <w:pStyle w:val="132"/>
        <w:rPr>
          <w:color w:val="auto"/>
        </w:rPr>
      </w:pPr>
      <w:r>
        <w:rPr>
          <w:rFonts w:hint="eastAsia"/>
          <w:color w:val="auto"/>
        </w:rPr>
        <w:t>本项目是危险废物综合利用的环保型工程，项目设计废酸液年处理能力100万m</w:t>
      </w:r>
      <w:r>
        <w:rPr>
          <w:rFonts w:hint="eastAsia"/>
          <w:color w:val="auto"/>
          <w:vertAlign w:val="superscript"/>
        </w:rPr>
        <w:t>3</w:t>
      </w:r>
      <w:r>
        <w:rPr>
          <w:rFonts w:hint="eastAsia"/>
          <w:color w:val="auto"/>
        </w:rPr>
        <w:t>，废碱液处理能力12万m</w:t>
      </w:r>
      <w:r>
        <w:rPr>
          <w:rFonts w:hint="eastAsia"/>
          <w:color w:val="auto"/>
          <w:vertAlign w:val="superscript"/>
        </w:rPr>
        <w:t>3</w:t>
      </w:r>
      <w:r>
        <w:rPr>
          <w:rFonts w:hint="eastAsia"/>
          <w:color w:val="auto"/>
        </w:rPr>
        <w:t>，</w:t>
      </w:r>
      <w:bookmarkStart w:id="36" w:name="OLE_LINK111"/>
      <w:r>
        <w:rPr>
          <w:rFonts w:hint="eastAsia"/>
          <w:color w:val="auto"/>
        </w:rPr>
        <w:t>通过危险废物资源化利用，副产拟薄水铝石</w:t>
      </w:r>
      <w:r>
        <w:rPr>
          <w:color w:val="auto"/>
        </w:rPr>
        <w:t>、</w:t>
      </w:r>
      <w:r>
        <w:rPr>
          <w:rFonts w:hint="eastAsia"/>
          <w:color w:val="auto"/>
        </w:rPr>
        <w:t>硫酸铵、碳酸钠、液体肥料</w:t>
      </w:r>
      <w:r>
        <w:rPr>
          <w:color w:val="auto"/>
        </w:rPr>
        <w:t>等产品</w:t>
      </w:r>
      <w:r>
        <w:rPr>
          <w:rFonts w:hint="eastAsia"/>
          <w:color w:val="auto"/>
        </w:rPr>
        <w:t>，</w:t>
      </w:r>
      <w:bookmarkEnd w:id="36"/>
      <w:r>
        <w:rPr>
          <w:rFonts w:hint="eastAsia"/>
          <w:color w:val="auto"/>
        </w:rPr>
        <w:t>同时每年可以产生161.25万m</w:t>
      </w:r>
      <w:r>
        <w:rPr>
          <w:rFonts w:hint="eastAsia"/>
          <w:color w:val="auto"/>
          <w:vertAlign w:val="superscript"/>
        </w:rPr>
        <w:t>3</w:t>
      </w:r>
      <w:r>
        <w:rPr>
          <w:rFonts w:hint="eastAsia"/>
          <w:color w:val="auto"/>
        </w:rPr>
        <w:t>冷凝水，通过管道回用于众荣公司，实现固体废物资源化利用。随着近年来多个煤化工企业在新疆落地，工业催化剂的需求量不断增加，斯诺公司进一步延伸产业链，利用危险废物处置中产生的拟薄水铝石生产工业催化剂载体，并制成工业催化剂产品，满足疆内企业对催化剂的需求。本项目是</w:t>
      </w:r>
      <w:r>
        <w:rPr>
          <w:color w:val="auto"/>
        </w:rPr>
        <w:t>乌鲁木齐甘泉堡经济技术开发区（工业区）</w:t>
      </w:r>
      <w:r>
        <w:rPr>
          <w:rFonts w:hint="eastAsia"/>
          <w:color w:val="auto"/>
        </w:rPr>
        <w:t>循环经济产业链的组成部分，也是“三废”循环利用的重要一环，对园区产业链延伸、循环经济、低碳发展具有促进意义。</w:t>
      </w:r>
    </w:p>
    <w:p w14:paraId="2D7A5C0F">
      <w:pPr>
        <w:pStyle w:val="4"/>
        <w:rPr>
          <w:color w:val="auto"/>
        </w:rPr>
      </w:pPr>
      <w:r>
        <w:rPr>
          <w:rFonts w:hint="eastAsia"/>
          <w:color w:val="auto"/>
        </w:rPr>
        <w:t>项目特点</w:t>
      </w:r>
    </w:p>
    <w:p w14:paraId="4A2A642B">
      <w:pPr>
        <w:pStyle w:val="132"/>
        <w:rPr>
          <w:color w:val="auto"/>
        </w:rPr>
      </w:pPr>
      <w:r>
        <w:rPr>
          <w:rFonts w:hint="eastAsia"/>
          <w:color w:val="auto"/>
        </w:rPr>
        <w:t>本项目主要工程特点如下：</w:t>
      </w:r>
    </w:p>
    <w:p w14:paraId="5751B2B7">
      <w:pPr>
        <w:pStyle w:val="132"/>
        <w:rPr>
          <w:color w:val="auto"/>
        </w:rPr>
      </w:pPr>
      <w:r>
        <w:rPr>
          <w:rFonts w:hint="eastAsia"/>
          <w:color w:val="auto"/>
        </w:rPr>
        <w:t>（1）本项目属于危险废物处置和资源化利用项目，</w:t>
      </w:r>
      <w:r>
        <w:rPr>
          <w:color w:val="auto"/>
        </w:rPr>
        <w:t>通过危险废物资源化利用，副产拟薄水铝石、硫酸铵、碳酸钠、液体肥料等产品，</w:t>
      </w:r>
      <w:r>
        <w:rPr>
          <w:rFonts w:hint="eastAsia"/>
          <w:color w:val="auto"/>
        </w:rPr>
        <w:t>危险废物中的有用元素通过处理转化为产品，不产生二次固废。</w:t>
      </w:r>
    </w:p>
    <w:p w14:paraId="7442024D">
      <w:pPr>
        <w:pStyle w:val="132"/>
        <w:rPr>
          <w:color w:val="auto"/>
        </w:rPr>
      </w:pPr>
      <w:r>
        <w:rPr>
          <w:rFonts w:hint="eastAsia"/>
          <w:color w:val="auto"/>
        </w:rPr>
        <w:t>（2）本项目采用先进的危险废物处理工艺及生产装备，采用清洁燃料天然气，由</w:t>
      </w:r>
      <w:r>
        <w:rPr>
          <w:color w:val="auto"/>
        </w:rPr>
        <w:t>兖矿新疆煤化工有限公司</w:t>
      </w:r>
      <w:r>
        <w:rPr>
          <w:rFonts w:hint="eastAsia"/>
          <w:color w:val="auto"/>
        </w:rPr>
        <w:t>提供蒸汽，项目主要物料均通过管道输送，减少运输过程的污染物排放，处理危险废物的同时生产多种副产品和催化剂，实现了废物资源化。</w:t>
      </w:r>
    </w:p>
    <w:p w14:paraId="235F2C6D">
      <w:pPr>
        <w:pStyle w:val="132"/>
        <w:rPr>
          <w:color w:val="auto"/>
        </w:rPr>
      </w:pPr>
      <w:r>
        <w:rPr>
          <w:rFonts w:hint="eastAsia"/>
          <w:color w:val="auto"/>
        </w:rPr>
        <w:t>（3）项目危险废物处理及催化剂制造过程中产生的废气通过布袋除尘、SCR脱硝等措施进行有效处理，大气污染物排放均达到《无机化学工业污染物排放标准》（GB31573-2015）及修改单中特别排放限值要求。生产废水均为冷凝水，水质满足《无机化学工业污染物排放标准》（GB31573-2015）及修改单和《城市污水再生利用  工业用水水质》（GB/T 19923-2024）要求后通过管道送乌鲁木齐众荣电子材料科技有限公司回用，生活污水排入园区下水管网最终送甘泉堡南区污水处理厂处理，全厂废水均可以得到有效处理和利用，不向外环境排放。项目固体废物综合利用，危险废物送有资质的单位委托处置。通过消声减振措施控制噪声。本项目废气、废水、固体废物均可得到有效处理和处置，噪声控制厂界达标。</w:t>
      </w:r>
    </w:p>
    <w:p w14:paraId="15380D2B">
      <w:pPr>
        <w:pStyle w:val="3"/>
        <w:rPr>
          <w:color w:val="auto"/>
        </w:rPr>
      </w:pPr>
      <w:bookmarkStart w:id="37" w:name="_Toc229930109"/>
      <w:r>
        <w:rPr>
          <w:color w:val="auto"/>
        </w:rPr>
        <w:t>环境影响评价工作过程</w:t>
      </w:r>
      <w:bookmarkEnd w:id="37"/>
    </w:p>
    <w:p w14:paraId="225DED9C">
      <w:pPr>
        <w:pStyle w:val="132"/>
        <w:rPr>
          <w:color w:val="auto"/>
        </w:rPr>
      </w:pPr>
      <w:r>
        <w:rPr>
          <w:color w:val="auto"/>
        </w:rPr>
        <w:t>根据《中华人民共和国环境保护法</w:t>
      </w:r>
      <w:r>
        <w:rPr>
          <w:rFonts w:hint="eastAsia"/>
          <w:color w:val="auto"/>
        </w:rPr>
        <w:t>》《</w:t>
      </w:r>
      <w:r>
        <w:rPr>
          <w:color w:val="auto"/>
        </w:rPr>
        <w:t>中华人民共和国环境影响评价法》和中华人民共和国国务院令第682号《建设项目环境保护管理条例》等法律法规的要求，本项目的建设应进行环境影响评价。</w:t>
      </w:r>
    </w:p>
    <w:p w14:paraId="08713BFD">
      <w:pPr>
        <w:pStyle w:val="132"/>
        <w:rPr>
          <w:color w:val="auto"/>
        </w:rPr>
      </w:pPr>
      <w:bookmarkStart w:id="38" w:name="_Hlk197685685"/>
      <w:r>
        <w:rPr>
          <w:rFonts w:hint="eastAsia"/>
          <w:color w:val="auto"/>
        </w:rPr>
        <w:t>本项目处置并综合利用危险废物，属于《国民经济行业分类》（GB/T 4754-2017</w:t>
      </w:r>
      <w:r>
        <w:rPr>
          <w:color w:val="auto"/>
        </w:rPr>
        <w:t>）</w:t>
      </w:r>
      <w:r>
        <w:rPr>
          <w:rFonts w:hint="eastAsia"/>
          <w:color w:val="auto"/>
        </w:rPr>
        <w:t>中“N7724危险废物治理</w:t>
      </w:r>
      <w:r>
        <w:rPr>
          <w:color w:val="auto"/>
        </w:rPr>
        <w:t>”，</w:t>
      </w:r>
      <w:r>
        <w:rPr>
          <w:rFonts w:hint="eastAsia"/>
          <w:color w:val="auto"/>
        </w:rPr>
        <w:t xml:space="preserve"> 催化剂生产属于“C2661 </w:t>
      </w:r>
      <w:r>
        <w:rPr>
          <w:color w:val="auto"/>
        </w:rPr>
        <w:t>化学试剂和助剂制造”</w:t>
      </w:r>
      <w:r>
        <w:rPr>
          <w:rFonts w:hint="eastAsia"/>
          <w:color w:val="auto"/>
        </w:rPr>
        <w:t>；厂外工程管道运输属于“G5720 陆地管道运输”，对照《</w:t>
      </w:r>
      <w:r>
        <w:rPr>
          <w:color w:val="auto"/>
        </w:rPr>
        <w:t>建设项目环境影响评价</w:t>
      </w:r>
      <w:r>
        <w:rPr>
          <w:rFonts w:hint="eastAsia"/>
          <w:color w:val="auto"/>
        </w:rPr>
        <w:t>分类管理名录（2021年版）》，危险废物处置属于“四十七、生态环境保护和治理业、101 危险废物（不含医疗废物）利用及处置”，催化剂制造属于“二十三、化学原料和化学制品制造业 26”中“44 专用化学产品制造266”，厂外工程输送管道属于“五十二、交通运输业、管道运输业”中“148 危险化学品输送管线（不含企业厂区内管线）”综合判定，本项目</w:t>
      </w:r>
      <w:r>
        <w:rPr>
          <w:color w:val="auto"/>
        </w:rPr>
        <w:t>应编制环境影响报告书。</w:t>
      </w:r>
    </w:p>
    <w:bookmarkEnd w:id="38"/>
    <w:p w14:paraId="7B1702DE">
      <w:pPr>
        <w:pStyle w:val="132"/>
        <w:rPr>
          <w:color w:val="auto"/>
        </w:rPr>
      </w:pPr>
      <w:r>
        <w:rPr>
          <w:rFonts w:hint="eastAsia"/>
          <w:color w:val="auto"/>
        </w:rPr>
        <w:t>新疆斯诺环保科技有限公司</w:t>
      </w:r>
      <w:r>
        <w:rPr>
          <w:color w:val="auto"/>
        </w:rPr>
        <w:t>于20</w:t>
      </w:r>
      <w:r>
        <w:rPr>
          <w:rFonts w:hint="eastAsia"/>
          <w:color w:val="auto"/>
        </w:rPr>
        <w:t>25</w:t>
      </w:r>
      <w:r>
        <w:rPr>
          <w:color w:val="auto"/>
        </w:rPr>
        <w:t>年</w:t>
      </w:r>
      <w:r>
        <w:rPr>
          <w:rFonts w:hint="eastAsia"/>
          <w:color w:val="auto"/>
        </w:rPr>
        <w:t>12</w:t>
      </w:r>
      <w:r>
        <w:rPr>
          <w:color w:val="auto"/>
        </w:rPr>
        <w:t>月委托新疆化工设计研究院有限责任公司承担</w:t>
      </w:r>
      <w:r>
        <w:rPr>
          <w:rFonts w:hint="eastAsia"/>
          <w:color w:val="auto"/>
        </w:rPr>
        <w:t>《新疆斯诺环保科技有限公司危废处置项目环境影响报告书》</w:t>
      </w:r>
      <w:r>
        <w:rPr>
          <w:color w:val="auto"/>
        </w:rPr>
        <w:t>的</w:t>
      </w:r>
      <w:r>
        <w:rPr>
          <w:rFonts w:hint="eastAsia"/>
          <w:color w:val="auto"/>
        </w:rPr>
        <w:t>编制</w:t>
      </w:r>
      <w:r>
        <w:rPr>
          <w:color w:val="auto"/>
        </w:rPr>
        <w:t>工作。</w:t>
      </w:r>
    </w:p>
    <w:p w14:paraId="3CD5F410">
      <w:pPr>
        <w:pStyle w:val="132"/>
        <w:rPr>
          <w:color w:val="auto"/>
        </w:rPr>
      </w:pPr>
      <w:r>
        <w:rPr>
          <w:color w:val="auto"/>
        </w:rPr>
        <w:t>本次环境影响评价工作分三个阶段完成，即前期准备、调研分析和工作方案制定阶段，分析论证和预测评价阶段，环境影响报告书编制阶段。</w:t>
      </w:r>
    </w:p>
    <w:p w14:paraId="7700D590">
      <w:pPr>
        <w:pStyle w:val="132"/>
        <w:rPr>
          <w:color w:val="auto"/>
        </w:rPr>
      </w:pPr>
      <w:r>
        <w:rPr>
          <w:rFonts w:hint="eastAsia"/>
          <w:color w:val="auto"/>
        </w:rPr>
        <w:t>接受委托后，报告编制单位组织人员对建设项目厂址、现状进行了现场踏勘和资料收集，结合当地和项目实际情况，国家、自治区环境保护政策以及环评技术导则、规范的要求，</w:t>
      </w:r>
      <w:r>
        <w:rPr>
          <w:color w:val="auto"/>
          <w:lang w:val="zh-CN"/>
        </w:rPr>
        <w:t>在此基础上</w:t>
      </w:r>
      <w:r>
        <w:rPr>
          <w:color w:val="auto"/>
        </w:rPr>
        <w:t>编制完成了</w:t>
      </w:r>
      <w:r>
        <w:rPr>
          <w:rFonts w:hint="eastAsia"/>
          <w:color w:val="auto"/>
        </w:rPr>
        <w:t>《新疆斯诺环保科技有限公司危废处置项目环境影响报告书（征求意见稿）》，建设单位于2025年2月</w:t>
      </w:r>
      <w:r>
        <w:rPr>
          <w:color w:val="auto"/>
        </w:rPr>
        <w:t>在</w:t>
      </w:r>
      <w:r>
        <w:rPr>
          <w:rFonts w:hint="eastAsia"/>
          <w:color w:val="auto"/>
          <w:shd w:val="clear" w:color="auto" w:fill="FFFFFF"/>
          <w:lang w:bidi="ar"/>
        </w:rPr>
        <w:t>乌鲁木齐市生态环境保护产业协会</w:t>
      </w:r>
      <w:r>
        <w:rPr>
          <w:color w:val="auto"/>
        </w:rPr>
        <w:t>网站</w:t>
      </w:r>
      <w:r>
        <w:rPr>
          <w:rFonts w:hint="eastAsia"/>
          <w:color w:val="auto"/>
        </w:rPr>
        <w:t>公示环境影响报告书征求意见稿内容及公众参与调查表的链接，同时在新疆法</w:t>
      </w:r>
      <w:r>
        <w:rPr>
          <w:rFonts w:hint="eastAsia"/>
          <w:color w:val="auto"/>
          <w:lang w:val="en-US" w:eastAsia="zh-CN"/>
        </w:rPr>
        <w:t>制</w:t>
      </w:r>
      <w:r>
        <w:rPr>
          <w:rFonts w:hint="eastAsia"/>
          <w:color w:val="auto"/>
        </w:rPr>
        <w:t>报向公众公示建设项目的建设及征求意见情况。编制单位进一步完善报告后，2026年4月29日。建设单位通过</w:t>
      </w:r>
      <w:r>
        <w:rPr>
          <w:rFonts w:hint="eastAsia"/>
          <w:color w:val="auto"/>
          <w:shd w:val="clear" w:color="auto" w:fill="FFFFFF"/>
          <w:lang w:bidi="ar"/>
        </w:rPr>
        <w:t>乌鲁木齐市生态环境保护产业协会</w:t>
      </w:r>
      <w:r>
        <w:rPr>
          <w:color w:val="auto"/>
        </w:rPr>
        <w:t>网站</w:t>
      </w:r>
      <w:r>
        <w:rPr>
          <w:rFonts w:hint="eastAsia"/>
          <w:color w:val="auto"/>
        </w:rPr>
        <w:t>进行环境影响报告书拟报批公示。公示期后报告书报送</w:t>
      </w:r>
      <w:r>
        <w:rPr>
          <w:color w:val="auto"/>
        </w:rPr>
        <w:t>环境主管部门和专家审查</w:t>
      </w:r>
      <w:r>
        <w:rPr>
          <w:rFonts w:hint="eastAsia"/>
          <w:color w:val="auto"/>
        </w:rPr>
        <w:t>。</w:t>
      </w:r>
    </w:p>
    <w:p w14:paraId="760DE7A6">
      <w:pPr>
        <w:pStyle w:val="132"/>
        <w:rPr>
          <w:color w:val="auto"/>
        </w:rPr>
      </w:pPr>
      <w:r>
        <w:rPr>
          <w:color w:val="auto"/>
        </w:rPr>
        <w:t>本建设项目报告书经环境保护行政主管部门批复后，环境影响评价工作即全部结束，评价工作程序见</w:t>
      </w:r>
      <w:r>
        <w:rPr>
          <w:rFonts w:hint="eastAsia"/>
          <w:color w:val="auto"/>
        </w:rPr>
        <w:t>图1.2-1</w:t>
      </w:r>
      <w:r>
        <w:rPr>
          <w:color w:val="auto"/>
        </w:rPr>
        <w:t>。</w:t>
      </w:r>
    </w:p>
    <w:p w14:paraId="0E7CD2B4">
      <w:pPr>
        <w:pStyle w:val="132"/>
        <w:rPr>
          <w:color w:val="auto"/>
        </w:rPr>
      </w:pPr>
      <w:r>
        <w:rPr>
          <w:color w:val="auto"/>
        </w:rPr>
        <w:t>在</w:t>
      </w:r>
      <w:r>
        <w:rPr>
          <w:rFonts w:hint="eastAsia"/>
          <w:color w:val="auto"/>
        </w:rPr>
        <w:t>本报告书编制</w:t>
      </w:r>
      <w:r>
        <w:rPr>
          <w:color w:val="auto"/>
        </w:rPr>
        <w:t>过程中得到了各级环境保护主管部门</w:t>
      </w:r>
      <w:r>
        <w:rPr>
          <w:rFonts w:hint="eastAsia"/>
          <w:color w:val="auto"/>
        </w:rPr>
        <w:t>、</w:t>
      </w:r>
      <w:r>
        <w:rPr>
          <w:color w:val="auto"/>
        </w:rPr>
        <w:t>建设单位</w:t>
      </w:r>
      <w:r>
        <w:rPr>
          <w:rFonts w:hint="eastAsia"/>
          <w:color w:val="auto"/>
        </w:rPr>
        <w:t>、监测单位及相关专家</w:t>
      </w:r>
      <w:r>
        <w:rPr>
          <w:color w:val="auto"/>
        </w:rPr>
        <w:t>的大力支持和帮助，在此一并致以诚挚的谢意！</w:t>
      </w:r>
    </w:p>
    <w:p w14:paraId="65ABFF8E">
      <w:pPr>
        <w:pStyle w:val="132"/>
        <w:rPr>
          <w:color w:val="auto"/>
        </w:rPr>
      </w:pPr>
    </w:p>
    <w:p w14:paraId="1277E552">
      <w:pPr>
        <w:pStyle w:val="132"/>
        <w:rPr>
          <w:color w:val="auto"/>
        </w:rPr>
      </w:pPr>
    </w:p>
    <w:p w14:paraId="1CA5427F">
      <w:pPr>
        <w:pStyle w:val="132"/>
        <w:rPr>
          <w:color w:val="auto"/>
        </w:rPr>
      </w:pPr>
    </w:p>
    <w:p w14:paraId="0AF4D576">
      <w:pPr>
        <w:pStyle w:val="132"/>
        <w:rPr>
          <w:color w:val="auto"/>
        </w:rPr>
      </w:pPr>
    </w:p>
    <w:p w14:paraId="6DADC2BE">
      <w:pPr>
        <w:pStyle w:val="132"/>
        <w:rPr>
          <w:color w:val="auto"/>
        </w:rPr>
      </w:pPr>
    </w:p>
    <w:p w14:paraId="3E14D9AD">
      <w:pPr>
        <w:pStyle w:val="132"/>
        <w:ind w:right="420" w:firstLine="0" w:firstLineChars="0"/>
        <w:rPr>
          <w:color w:val="auto"/>
        </w:rPr>
      </w:pPr>
      <w:r>
        <w:rPr>
          <w:color w:val="auto"/>
        </w:rPr>
        <mc:AlternateContent>
          <mc:Choice Requires="wpg">
            <w:drawing>
              <wp:inline distT="0" distB="0" distL="0" distR="0">
                <wp:extent cx="5567680" cy="7150735"/>
                <wp:effectExtent l="0" t="0" r="33020" b="0"/>
                <wp:docPr id="538100157" name="Group 372"/>
                <wp:cNvGraphicFramePr/>
                <a:graphic xmlns:a="http://schemas.openxmlformats.org/drawingml/2006/main">
                  <a:graphicData uri="http://schemas.microsoft.com/office/word/2010/wordprocessingGroup">
                    <wpg:wgp>
                      <wpg:cNvGrpSpPr/>
                      <wpg:grpSpPr>
                        <a:xfrm>
                          <a:off x="0" y="0"/>
                          <a:ext cx="5568287" cy="7151298"/>
                          <a:chOff x="1695" y="1765"/>
                          <a:chExt cx="8523" cy="10144"/>
                        </a:xfrm>
                      </wpg:grpSpPr>
                      <wps:wsp>
                        <wps:cNvPr id="1991184060" name="Rectangle 31325"/>
                        <wps:cNvSpPr>
                          <a:spLocks noChangeArrowheads="1"/>
                        </wps:cNvSpPr>
                        <wps:spPr bwMode="auto">
                          <a:xfrm>
                            <a:off x="3736" y="11325"/>
                            <a:ext cx="4860" cy="584"/>
                          </a:xfrm>
                          <a:prstGeom prst="rect">
                            <a:avLst/>
                          </a:prstGeom>
                          <a:solidFill>
                            <a:srgbClr val="FFFFFF"/>
                          </a:solidFill>
                          <a:ln>
                            <a:noFill/>
                          </a:ln>
                        </wps:spPr>
                        <wps:txbx>
                          <w:txbxContent>
                            <w:p w14:paraId="49C5C7E5">
                              <w:pPr>
                                <w:pStyle w:val="106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环境影响评价工作程序</w:t>
                              </w:r>
                            </w:p>
                          </w:txbxContent>
                        </wps:txbx>
                        <wps:bodyPr rot="0" vert="horz" wrap="square" lIns="0" tIns="10800" rIns="0" bIns="0" anchor="t" anchorCtr="0" upright="1">
                          <a:noAutofit/>
                        </wps:bodyPr>
                      </wps:wsp>
                      <wps:wsp>
                        <wps:cNvPr id="562846827" name="Picture 31327"/>
                        <wps:cNvSpPr>
                          <a:spLocks noChangeAspect="1" noChangeArrowheads="1" noTextEdit="1"/>
                        </wps:cNvSpPr>
                        <wps:spPr bwMode="auto">
                          <a:xfrm>
                            <a:off x="1698" y="1765"/>
                            <a:ext cx="8520" cy="9485"/>
                          </a:xfrm>
                          <a:prstGeom prst="rect">
                            <a:avLst/>
                          </a:prstGeom>
                          <a:noFill/>
                          <a:ln w="9525">
                            <a:solidFill>
                              <a:srgbClr val="000000"/>
                            </a:solidFill>
                            <a:prstDash val="sysDot"/>
                            <a:miter lim="800000"/>
                          </a:ln>
                        </wps:spPr>
                        <wps:bodyPr rot="0" vert="horz" wrap="square" lIns="91440" tIns="45720" rIns="91440" bIns="45720" anchor="t" anchorCtr="0" upright="1">
                          <a:noAutofit/>
                        </wps:bodyPr>
                      </wps:wsp>
                      <wps:wsp>
                        <wps:cNvPr id="2117024264" name="Text Box 31328"/>
                        <wps:cNvSpPr txBox="1">
                          <a:spLocks noChangeArrowheads="1"/>
                        </wps:cNvSpPr>
                        <wps:spPr bwMode="auto">
                          <a:xfrm>
                            <a:off x="3811" y="2069"/>
                            <a:ext cx="4133" cy="315"/>
                          </a:xfrm>
                          <a:prstGeom prst="rect">
                            <a:avLst/>
                          </a:prstGeom>
                          <a:solidFill>
                            <a:srgbClr val="FFFFFF"/>
                          </a:solidFill>
                          <a:ln w="9525">
                            <a:solidFill>
                              <a:srgbClr val="000000"/>
                            </a:solidFill>
                            <a:miter lim="800000"/>
                          </a:ln>
                        </wps:spPr>
                        <wps:txbx>
                          <w:txbxContent>
                            <w:p w14:paraId="6539DD67">
                              <w:pPr>
                                <w:jc w:val="center"/>
                                <w:rPr>
                                  <w:rFonts w:hint="eastAsia" w:ascii="宋体" w:hAnsi="宋体" w:cs="宋体-18030"/>
                                  <w:sz w:val="18"/>
                                  <w:szCs w:val="18"/>
                                </w:rPr>
                              </w:pPr>
                              <w:r>
                                <w:rPr>
                                  <w:rFonts w:hint="eastAsia" w:ascii="宋体" w:hAnsi="宋体" w:cs="宋体-18030"/>
                                  <w:sz w:val="18"/>
                                  <w:szCs w:val="18"/>
                                </w:rPr>
                                <w:t>依据相关规定确定环境影响评价文件类型</w:t>
                              </w:r>
                            </w:p>
                          </w:txbxContent>
                        </wps:txbx>
                        <wps:bodyPr rot="0" vert="horz" wrap="square" lIns="0" tIns="0" rIns="0" bIns="0" anchor="t" anchorCtr="0" upright="1">
                          <a:noAutofit/>
                        </wps:bodyPr>
                      </wps:wsp>
                      <wps:wsp>
                        <wps:cNvPr id="238606447" name="Text Box 31330"/>
                        <wps:cNvSpPr txBox="1">
                          <a:spLocks noChangeArrowheads="1"/>
                        </wps:cNvSpPr>
                        <wps:spPr bwMode="auto">
                          <a:xfrm>
                            <a:off x="3821" y="2648"/>
                            <a:ext cx="4123" cy="990"/>
                          </a:xfrm>
                          <a:prstGeom prst="rect">
                            <a:avLst/>
                          </a:prstGeom>
                          <a:solidFill>
                            <a:srgbClr val="FFFFFF"/>
                          </a:solidFill>
                          <a:ln w="9525">
                            <a:solidFill>
                              <a:srgbClr val="000000"/>
                            </a:solidFill>
                            <a:miter lim="800000"/>
                          </a:ln>
                        </wps:spPr>
                        <wps:txbx>
                          <w:txbxContent>
                            <w:p w14:paraId="40C451DE">
                              <w:pPr>
                                <w:rPr>
                                  <w:rFonts w:hint="eastAsia" w:ascii="宋体" w:hAnsi="宋体" w:cs="宋体-18030"/>
                                  <w:sz w:val="18"/>
                                  <w:szCs w:val="18"/>
                                </w:rPr>
                              </w:pPr>
                              <w:r>
                                <w:rPr>
                                  <w:rFonts w:hint="eastAsia" w:ascii="宋体" w:hAnsi="宋体" w:cs="宋体-18030"/>
                                  <w:sz w:val="18"/>
                                  <w:szCs w:val="18"/>
                                </w:rPr>
                                <w:t>1研究相关技术文件和其他有关文件</w:t>
                              </w:r>
                            </w:p>
                            <w:p w14:paraId="468589FD">
                              <w:pPr>
                                <w:rPr>
                                  <w:rFonts w:hint="eastAsia" w:ascii="宋体" w:hAnsi="宋体" w:cs="宋体-18030"/>
                                  <w:sz w:val="18"/>
                                  <w:szCs w:val="18"/>
                                </w:rPr>
                              </w:pPr>
                              <w:r>
                                <w:rPr>
                                  <w:rFonts w:hint="eastAsia" w:ascii="宋体" w:hAnsi="宋体" w:cs="宋体-18030"/>
                                  <w:sz w:val="18"/>
                                  <w:szCs w:val="18"/>
                                </w:rPr>
                                <w:t>2进行初步工程分析</w:t>
                              </w:r>
                            </w:p>
                            <w:p w14:paraId="0C0B8EAC">
                              <w:pPr>
                                <w:rPr>
                                  <w:rFonts w:hint="eastAsia" w:ascii="宋体" w:hAnsi="宋体" w:cs="宋体-18030"/>
                                  <w:sz w:val="18"/>
                                  <w:szCs w:val="18"/>
                                </w:rPr>
                              </w:pPr>
                              <w:r>
                                <w:rPr>
                                  <w:rFonts w:hint="eastAsia" w:ascii="宋体" w:hAnsi="宋体" w:cs="宋体-18030"/>
                                  <w:sz w:val="18"/>
                                  <w:szCs w:val="18"/>
                                </w:rPr>
                                <w:t>3开展初步的环境现状调查</w:t>
                              </w:r>
                            </w:p>
                          </w:txbxContent>
                        </wps:txbx>
                        <wps:bodyPr rot="0" vert="horz" wrap="square" lIns="91440" tIns="45720" rIns="91440" bIns="18000" anchor="t" anchorCtr="0" upright="1">
                          <a:noAutofit/>
                        </wps:bodyPr>
                      </wps:wsp>
                      <wps:wsp>
                        <wps:cNvPr id="214585501" name="Line 31331"/>
                        <wps:cNvCnPr>
                          <a:cxnSpLocks noChangeShapeType="1"/>
                        </wps:cNvCnPr>
                        <wps:spPr bwMode="auto">
                          <a:xfrm>
                            <a:off x="5880" y="2384"/>
                            <a:ext cx="2" cy="283"/>
                          </a:xfrm>
                          <a:prstGeom prst="line">
                            <a:avLst/>
                          </a:prstGeom>
                          <a:noFill/>
                          <a:ln w="9525">
                            <a:solidFill>
                              <a:srgbClr val="000000"/>
                            </a:solidFill>
                            <a:round/>
                            <a:tailEnd type="triangle" w="med" len="med"/>
                          </a:ln>
                        </wps:spPr>
                        <wps:bodyPr/>
                      </wps:wsp>
                      <wps:wsp>
                        <wps:cNvPr id="1130344178" name="Line 31332"/>
                        <wps:cNvCnPr>
                          <a:cxnSpLocks noChangeShapeType="1"/>
                        </wps:cNvCnPr>
                        <wps:spPr bwMode="auto">
                          <a:xfrm>
                            <a:off x="5896" y="3643"/>
                            <a:ext cx="1" cy="283"/>
                          </a:xfrm>
                          <a:prstGeom prst="line">
                            <a:avLst/>
                          </a:prstGeom>
                          <a:noFill/>
                          <a:ln w="9525">
                            <a:solidFill>
                              <a:srgbClr val="000000"/>
                            </a:solidFill>
                            <a:round/>
                            <a:tailEnd type="triangle" w="med" len="med"/>
                          </a:ln>
                        </wps:spPr>
                        <wps:bodyPr/>
                      </wps:wsp>
                      <wps:wsp>
                        <wps:cNvPr id="1678108756" name="Line 31334"/>
                        <wps:cNvCnPr>
                          <a:cxnSpLocks noChangeShapeType="1"/>
                        </wps:cNvCnPr>
                        <wps:spPr bwMode="auto">
                          <a:xfrm>
                            <a:off x="5889" y="4916"/>
                            <a:ext cx="1" cy="283"/>
                          </a:xfrm>
                          <a:prstGeom prst="line">
                            <a:avLst/>
                          </a:prstGeom>
                          <a:noFill/>
                          <a:ln w="9525">
                            <a:solidFill>
                              <a:srgbClr val="000000"/>
                            </a:solidFill>
                            <a:round/>
                            <a:tailEnd type="triangle" w="med" len="med"/>
                          </a:ln>
                        </wps:spPr>
                        <wps:bodyPr/>
                      </wps:wsp>
                      <wps:wsp>
                        <wps:cNvPr id="542351907" name="Line 31335"/>
                        <wps:cNvCnPr>
                          <a:cxnSpLocks noChangeShapeType="1"/>
                        </wps:cNvCnPr>
                        <wps:spPr bwMode="auto">
                          <a:xfrm>
                            <a:off x="5890" y="5541"/>
                            <a:ext cx="0" cy="539"/>
                          </a:xfrm>
                          <a:prstGeom prst="line">
                            <a:avLst/>
                          </a:prstGeom>
                          <a:noFill/>
                          <a:ln w="9525">
                            <a:solidFill>
                              <a:srgbClr val="000000"/>
                            </a:solidFill>
                            <a:round/>
                            <a:tailEnd type="triangle" w="med" len="med"/>
                          </a:ln>
                        </wps:spPr>
                        <wps:bodyPr/>
                      </wps:wsp>
                      <wps:wsp>
                        <wps:cNvPr id="1732223400" name="Line 31336"/>
                        <wps:cNvCnPr>
                          <a:cxnSpLocks noChangeShapeType="1"/>
                        </wps:cNvCnPr>
                        <wps:spPr bwMode="auto">
                          <a:xfrm>
                            <a:off x="1770" y="5775"/>
                            <a:ext cx="8448" cy="0"/>
                          </a:xfrm>
                          <a:prstGeom prst="line">
                            <a:avLst/>
                          </a:prstGeom>
                          <a:noFill/>
                          <a:ln w="9525">
                            <a:solidFill>
                              <a:srgbClr val="000000"/>
                            </a:solidFill>
                            <a:prstDash val="sysDot"/>
                            <a:round/>
                          </a:ln>
                        </wps:spPr>
                        <wps:bodyPr/>
                      </wps:wsp>
                      <wps:wsp>
                        <wps:cNvPr id="1950348841" name="Line 31338"/>
                        <wps:cNvCnPr>
                          <a:cxnSpLocks noChangeShapeType="1"/>
                        </wps:cNvCnPr>
                        <wps:spPr bwMode="auto">
                          <a:xfrm>
                            <a:off x="1695" y="8745"/>
                            <a:ext cx="8516" cy="0"/>
                          </a:xfrm>
                          <a:prstGeom prst="line">
                            <a:avLst/>
                          </a:prstGeom>
                          <a:noFill/>
                          <a:ln w="9525">
                            <a:solidFill>
                              <a:srgbClr val="000000"/>
                            </a:solidFill>
                            <a:prstDash val="sysDot"/>
                            <a:round/>
                          </a:ln>
                        </wps:spPr>
                        <wps:bodyPr/>
                      </wps:wsp>
                      <wps:wsp>
                        <wps:cNvPr id="1420864197" name="Text Box 31339"/>
                        <wps:cNvSpPr txBox="1">
                          <a:spLocks noChangeArrowheads="1"/>
                        </wps:cNvSpPr>
                        <wps:spPr bwMode="auto">
                          <a:xfrm>
                            <a:off x="1785" y="3593"/>
                            <a:ext cx="687" cy="990"/>
                          </a:xfrm>
                          <a:prstGeom prst="rect">
                            <a:avLst/>
                          </a:prstGeom>
                          <a:solidFill>
                            <a:srgbClr val="FFFFFF"/>
                          </a:solidFill>
                          <a:ln>
                            <a:noFill/>
                          </a:ln>
                        </wps:spPr>
                        <wps:txbx>
                          <w:txbxContent>
                            <w:p w14:paraId="1DD358FD">
                              <w:pPr>
                                <w:rPr>
                                  <w:rFonts w:hint="eastAsia" w:ascii="宋体" w:hAnsi="宋体"/>
                                  <w:sz w:val="18"/>
                                  <w:szCs w:val="18"/>
                                </w:rPr>
                              </w:pPr>
                              <w:r>
                                <w:rPr>
                                  <w:rFonts w:hint="eastAsia" w:ascii="宋体" w:hAnsi="宋体"/>
                                  <w:sz w:val="18"/>
                                  <w:szCs w:val="18"/>
                                </w:rPr>
                                <w:t>第一阶段</w:t>
                              </w:r>
                            </w:p>
                          </w:txbxContent>
                        </wps:txbx>
                        <wps:bodyPr rot="0" vert="eaVert" wrap="square" lIns="91440" tIns="45720" rIns="91440" bIns="45720" anchor="t" anchorCtr="0" upright="1">
                          <a:noAutofit/>
                        </wps:bodyPr>
                      </wps:wsp>
                      <wps:wsp>
                        <wps:cNvPr id="1990733226" name="Text Box 31340"/>
                        <wps:cNvSpPr txBox="1">
                          <a:spLocks noChangeArrowheads="1"/>
                        </wps:cNvSpPr>
                        <wps:spPr bwMode="auto">
                          <a:xfrm>
                            <a:off x="1957" y="6569"/>
                            <a:ext cx="530" cy="1132"/>
                          </a:xfrm>
                          <a:prstGeom prst="rect">
                            <a:avLst/>
                          </a:prstGeom>
                          <a:solidFill>
                            <a:srgbClr val="FFFFFF"/>
                          </a:solidFill>
                          <a:ln>
                            <a:noFill/>
                          </a:ln>
                        </wps:spPr>
                        <wps:txbx>
                          <w:txbxContent>
                            <w:p w14:paraId="1D66A99A">
                              <w:pPr>
                                <w:rPr>
                                  <w:rFonts w:hint="eastAsia" w:ascii="宋体" w:hAnsi="宋体"/>
                                  <w:sz w:val="18"/>
                                  <w:szCs w:val="18"/>
                                </w:rPr>
                              </w:pPr>
                              <w:r>
                                <w:rPr>
                                  <w:rFonts w:hint="eastAsia" w:ascii="宋体" w:hAnsi="宋体"/>
                                  <w:sz w:val="18"/>
                                  <w:szCs w:val="18"/>
                                </w:rPr>
                                <w:t>第二阶段</w:t>
                              </w:r>
                            </w:p>
                          </w:txbxContent>
                        </wps:txbx>
                        <wps:bodyPr rot="0" vert="eaVert" wrap="square" lIns="72000" tIns="45720" rIns="91440" bIns="45720" anchor="t" anchorCtr="0" upright="1">
                          <a:noAutofit/>
                        </wps:bodyPr>
                      </wps:wsp>
                      <wps:wsp>
                        <wps:cNvPr id="1743387024" name="Text Box 31341"/>
                        <wps:cNvSpPr txBox="1">
                          <a:spLocks noChangeArrowheads="1"/>
                        </wps:cNvSpPr>
                        <wps:spPr bwMode="auto">
                          <a:xfrm>
                            <a:off x="1972" y="9583"/>
                            <a:ext cx="530" cy="991"/>
                          </a:xfrm>
                          <a:prstGeom prst="rect">
                            <a:avLst/>
                          </a:prstGeom>
                          <a:solidFill>
                            <a:srgbClr val="FFFFFF"/>
                          </a:solidFill>
                          <a:ln>
                            <a:noFill/>
                          </a:ln>
                        </wps:spPr>
                        <wps:txbx>
                          <w:txbxContent>
                            <w:p w14:paraId="3F36AF33">
                              <w:pPr>
                                <w:rPr>
                                  <w:rFonts w:hint="eastAsia" w:ascii="宋体" w:hAnsi="宋体"/>
                                  <w:sz w:val="18"/>
                                  <w:szCs w:val="18"/>
                                </w:rPr>
                              </w:pPr>
                              <w:r>
                                <w:rPr>
                                  <w:rFonts w:hint="eastAsia" w:ascii="宋体" w:hAnsi="宋体"/>
                                  <w:sz w:val="18"/>
                                  <w:szCs w:val="18"/>
                                </w:rPr>
                                <w:t>第三阶段</w:t>
                              </w:r>
                            </w:p>
                          </w:txbxContent>
                        </wps:txbx>
                        <wps:bodyPr rot="0" vert="eaVert" wrap="square" lIns="72000" tIns="45720" rIns="91440" bIns="45720" anchor="t" anchorCtr="0" upright="1">
                          <a:noAutofit/>
                        </wps:bodyPr>
                      </wps:wsp>
                      <wps:wsp>
                        <wps:cNvPr id="418023383" name="Text Box 31344"/>
                        <wps:cNvSpPr txBox="1">
                          <a:spLocks noChangeArrowheads="1"/>
                        </wps:cNvSpPr>
                        <wps:spPr bwMode="auto">
                          <a:xfrm>
                            <a:off x="4688" y="5199"/>
                            <a:ext cx="2405" cy="325"/>
                          </a:xfrm>
                          <a:prstGeom prst="rect">
                            <a:avLst/>
                          </a:prstGeom>
                          <a:solidFill>
                            <a:srgbClr val="FFFFFF"/>
                          </a:solidFill>
                          <a:ln w="9525">
                            <a:solidFill>
                              <a:srgbClr val="000000"/>
                            </a:solidFill>
                            <a:miter lim="800000"/>
                          </a:ln>
                        </wps:spPr>
                        <wps:txbx>
                          <w:txbxContent>
                            <w:p w14:paraId="0C18AF35">
                              <w:pPr>
                                <w:jc w:val="center"/>
                                <w:rPr>
                                  <w:rFonts w:hint="eastAsia" w:ascii="宋体" w:hAnsi="宋体" w:cs="宋体-18030"/>
                                  <w:sz w:val="18"/>
                                  <w:szCs w:val="18"/>
                                </w:rPr>
                              </w:pPr>
                              <w:r>
                                <w:rPr>
                                  <w:rFonts w:hint="eastAsia" w:ascii="宋体" w:hAnsi="宋体" w:cs="宋体-18030"/>
                                  <w:sz w:val="18"/>
                                  <w:szCs w:val="18"/>
                                </w:rPr>
                                <w:t>制定工作方案</w:t>
                              </w:r>
                            </w:p>
                          </w:txbxContent>
                        </wps:txbx>
                        <wps:bodyPr rot="0" vert="horz" wrap="square" lIns="0" tIns="0" rIns="0" bIns="0" anchor="t" anchorCtr="0" upright="1">
                          <a:noAutofit/>
                        </wps:bodyPr>
                      </wps:wsp>
                      <wps:wsp>
                        <wps:cNvPr id="2071609009" name="AutoShape 31346"/>
                        <wps:cNvCnPr>
                          <a:cxnSpLocks noChangeShapeType="1"/>
                        </wps:cNvCnPr>
                        <wps:spPr bwMode="auto">
                          <a:xfrm>
                            <a:off x="4159" y="6080"/>
                            <a:ext cx="3430" cy="0"/>
                          </a:xfrm>
                          <a:prstGeom prst="straightConnector1">
                            <a:avLst/>
                          </a:prstGeom>
                          <a:noFill/>
                          <a:ln w="9525">
                            <a:solidFill>
                              <a:srgbClr val="000000"/>
                            </a:solidFill>
                            <a:round/>
                          </a:ln>
                        </wps:spPr>
                        <wps:bodyPr/>
                      </wps:wsp>
                      <wps:wsp>
                        <wps:cNvPr id="1306913766" name="AutoShape 31347"/>
                        <wps:cNvCnPr>
                          <a:cxnSpLocks noChangeShapeType="1"/>
                        </wps:cNvCnPr>
                        <wps:spPr bwMode="auto">
                          <a:xfrm>
                            <a:off x="4159" y="6080"/>
                            <a:ext cx="0" cy="193"/>
                          </a:xfrm>
                          <a:prstGeom prst="straightConnector1">
                            <a:avLst/>
                          </a:prstGeom>
                          <a:noFill/>
                          <a:ln w="9525">
                            <a:solidFill>
                              <a:srgbClr val="000000"/>
                            </a:solidFill>
                            <a:round/>
                          </a:ln>
                        </wps:spPr>
                        <wps:bodyPr/>
                      </wps:wsp>
                      <wps:wsp>
                        <wps:cNvPr id="1162371574" name="Text Box 31348"/>
                        <wps:cNvSpPr txBox="1">
                          <a:spLocks noChangeArrowheads="1"/>
                        </wps:cNvSpPr>
                        <wps:spPr bwMode="auto">
                          <a:xfrm>
                            <a:off x="3350" y="6273"/>
                            <a:ext cx="1600" cy="756"/>
                          </a:xfrm>
                          <a:prstGeom prst="rect">
                            <a:avLst/>
                          </a:prstGeom>
                          <a:solidFill>
                            <a:srgbClr val="FFFFFF"/>
                          </a:solidFill>
                          <a:ln w="9525">
                            <a:solidFill>
                              <a:srgbClr val="000000"/>
                            </a:solidFill>
                            <a:miter lim="800000"/>
                          </a:ln>
                        </wps:spPr>
                        <wps:txbx>
                          <w:txbxContent>
                            <w:p w14:paraId="4B051912">
                              <w:pPr>
                                <w:jc w:val="center"/>
                                <w:rPr>
                                  <w:rFonts w:hint="eastAsia" w:ascii="宋体" w:hAnsi="宋体" w:cs="宋体-18030"/>
                                  <w:sz w:val="18"/>
                                  <w:szCs w:val="18"/>
                                </w:rPr>
                              </w:pPr>
                              <w:r>
                                <w:rPr>
                                  <w:rFonts w:hint="eastAsia" w:ascii="宋体" w:hAnsi="宋体" w:cs="宋体-18030"/>
                                  <w:sz w:val="18"/>
                                  <w:szCs w:val="18"/>
                                </w:rPr>
                                <w:t>环境现状调查</w:t>
                              </w:r>
                            </w:p>
                            <w:p w14:paraId="1D9FAF2B">
                              <w:pPr>
                                <w:jc w:val="center"/>
                                <w:rPr>
                                  <w:rFonts w:hint="eastAsia" w:ascii="宋体" w:hAnsi="宋体" w:cs="宋体-18030"/>
                                  <w:sz w:val="18"/>
                                  <w:szCs w:val="18"/>
                                </w:rPr>
                              </w:pPr>
                              <w:r>
                                <w:rPr>
                                  <w:rFonts w:hint="eastAsia" w:ascii="宋体" w:hAnsi="宋体" w:cs="宋体-18030"/>
                                  <w:sz w:val="18"/>
                                  <w:szCs w:val="18"/>
                                </w:rPr>
                                <w:t>监测与评价</w:t>
                              </w:r>
                            </w:p>
                          </w:txbxContent>
                        </wps:txbx>
                        <wps:bodyPr rot="0" vert="horz" wrap="square" lIns="91440" tIns="45720" rIns="91440" bIns="45720" anchor="t" anchorCtr="0" upright="1">
                          <a:noAutofit/>
                        </wps:bodyPr>
                      </wps:wsp>
                      <wps:wsp>
                        <wps:cNvPr id="1890034311" name="AutoShape 31349"/>
                        <wps:cNvCnPr>
                          <a:cxnSpLocks noChangeShapeType="1"/>
                        </wps:cNvCnPr>
                        <wps:spPr bwMode="auto">
                          <a:xfrm>
                            <a:off x="4149" y="7029"/>
                            <a:ext cx="0" cy="193"/>
                          </a:xfrm>
                          <a:prstGeom prst="straightConnector1">
                            <a:avLst/>
                          </a:prstGeom>
                          <a:noFill/>
                          <a:ln w="9525">
                            <a:solidFill>
                              <a:srgbClr val="000000"/>
                            </a:solidFill>
                            <a:round/>
                          </a:ln>
                        </wps:spPr>
                        <wps:bodyPr/>
                      </wps:wsp>
                      <wps:wsp>
                        <wps:cNvPr id="244175653" name="Text Box 31350"/>
                        <wps:cNvSpPr txBox="1">
                          <a:spLocks noChangeArrowheads="1"/>
                        </wps:cNvSpPr>
                        <wps:spPr bwMode="auto">
                          <a:xfrm>
                            <a:off x="7053" y="6273"/>
                            <a:ext cx="1051" cy="756"/>
                          </a:xfrm>
                          <a:prstGeom prst="rect">
                            <a:avLst/>
                          </a:prstGeom>
                          <a:solidFill>
                            <a:srgbClr val="FFFFFF"/>
                          </a:solidFill>
                          <a:ln w="9525">
                            <a:solidFill>
                              <a:srgbClr val="000000"/>
                            </a:solidFill>
                            <a:miter lim="800000"/>
                          </a:ln>
                        </wps:spPr>
                        <wps:txbx>
                          <w:txbxContent>
                            <w:p w14:paraId="0149FAEC">
                              <w:pPr>
                                <w:rPr>
                                  <w:rFonts w:hint="eastAsia" w:ascii="宋体" w:hAnsi="宋体" w:cs="宋体-18030"/>
                                  <w:sz w:val="18"/>
                                  <w:szCs w:val="18"/>
                                </w:rPr>
                              </w:pPr>
                              <w:r>
                                <w:rPr>
                                  <w:rFonts w:hint="eastAsia" w:ascii="宋体" w:hAnsi="宋体" w:cs="宋体-18030"/>
                                  <w:sz w:val="18"/>
                                  <w:szCs w:val="18"/>
                                </w:rPr>
                                <w:t>建设项目</w:t>
                              </w:r>
                            </w:p>
                            <w:p w14:paraId="0E2BCFCF">
                              <w:pPr>
                                <w:rPr>
                                  <w:rFonts w:hint="eastAsia" w:ascii="宋体" w:hAnsi="宋体" w:cs="宋体-18030"/>
                                  <w:sz w:val="18"/>
                                  <w:szCs w:val="18"/>
                                </w:rPr>
                              </w:pPr>
                              <w:r>
                                <w:rPr>
                                  <w:rFonts w:hint="eastAsia" w:ascii="宋体" w:hAnsi="宋体" w:cs="宋体-18030"/>
                                  <w:sz w:val="18"/>
                                  <w:szCs w:val="18"/>
                                </w:rPr>
                                <w:t>工程分析</w:t>
                              </w:r>
                            </w:p>
                          </w:txbxContent>
                        </wps:txbx>
                        <wps:bodyPr rot="0" vert="horz" wrap="square" lIns="91440" tIns="45720" rIns="91440" bIns="45720" anchor="t" anchorCtr="0" upright="1">
                          <a:noAutofit/>
                        </wps:bodyPr>
                      </wps:wsp>
                      <wps:wsp>
                        <wps:cNvPr id="1779091147" name="AutoShape 31351"/>
                        <wps:cNvCnPr>
                          <a:cxnSpLocks noChangeShapeType="1"/>
                        </wps:cNvCnPr>
                        <wps:spPr bwMode="auto">
                          <a:xfrm>
                            <a:off x="7589" y="6080"/>
                            <a:ext cx="0" cy="193"/>
                          </a:xfrm>
                          <a:prstGeom prst="straightConnector1">
                            <a:avLst/>
                          </a:prstGeom>
                          <a:noFill/>
                          <a:ln w="9525">
                            <a:solidFill>
                              <a:srgbClr val="000000"/>
                            </a:solidFill>
                            <a:round/>
                          </a:ln>
                        </wps:spPr>
                        <wps:bodyPr/>
                      </wps:wsp>
                      <wps:wsp>
                        <wps:cNvPr id="1309630543" name="AutoShape 31352"/>
                        <wps:cNvCnPr>
                          <a:cxnSpLocks noChangeShapeType="1"/>
                        </wps:cNvCnPr>
                        <wps:spPr bwMode="auto">
                          <a:xfrm>
                            <a:off x="7589" y="7029"/>
                            <a:ext cx="0" cy="193"/>
                          </a:xfrm>
                          <a:prstGeom prst="straightConnector1">
                            <a:avLst/>
                          </a:prstGeom>
                          <a:noFill/>
                          <a:ln w="9525">
                            <a:solidFill>
                              <a:srgbClr val="000000"/>
                            </a:solidFill>
                            <a:round/>
                          </a:ln>
                        </wps:spPr>
                        <wps:bodyPr/>
                      </wps:wsp>
                      <wps:wsp>
                        <wps:cNvPr id="1862807903" name="AutoShape 31353"/>
                        <wps:cNvCnPr>
                          <a:cxnSpLocks noChangeShapeType="1"/>
                        </wps:cNvCnPr>
                        <wps:spPr bwMode="auto">
                          <a:xfrm>
                            <a:off x="4159" y="7222"/>
                            <a:ext cx="3430" cy="0"/>
                          </a:xfrm>
                          <a:prstGeom prst="straightConnector1">
                            <a:avLst/>
                          </a:prstGeom>
                          <a:noFill/>
                          <a:ln w="9525">
                            <a:solidFill>
                              <a:srgbClr val="000000"/>
                            </a:solidFill>
                            <a:round/>
                          </a:ln>
                        </wps:spPr>
                        <wps:bodyPr/>
                      </wps:wsp>
                      <wps:wsp>
                        <wps:cNvPr id="872664354" name="Line 31354"/>
                        <wps:cNvCnPr>
                          <a:cxnSpLocks noChangeShapeType="1"/>
                        </wps:cNvCnPr>
                        <wps:spPr bwMode="auto">
                          <a:xfrm>
                            <a:off x="5890" y="7226"/>
                            <a:ext cx="0" cy="539"/>
                          </a:xfrm>
                          <a:prstGeom prst="line">
                            <a:avLst/>
                          </a:prstGeom>
                          <a:noFill/>
                          <a:ln w="9525">
                            <a:solidFill>
                              <a:srgbClr val="000000"/>
                            </a:solidFill>
                            <a:round/>
                            <a:tailEnd type="triangle" w="med" len="med"/>
                          </a:ln>
                        </wps:spPr>
                        <wps:bodyPr/>
                      </wps:wsp>
                      <wps:wsp>
                        <wps:cNvPr id="130626325" name="Text Box 31355"/>
                        <wps:cNvSpPr txBox="1">
                          <a:spLocks noChangeArrowheads="1"/>
                        </wps:cNvSpPr>
                        <wps:spPr bwMode="auto">
                          <a:xfrm>
                            <a:off x="3828" y="9009"/>
                            <a:ext cx="4123" cy="1026"/>
                          </a:xfrm>
                          <a:prstGeom prst="rect">
                            <a:avLst/>
                          </a:prstGeom>
                          <a:solidFill>
                            <a:srgbClr val="FFFFFF"/>
                          </a:solidFill>
                          <a:ln w="9525">
                            <a:solidFill>
                              <a:srgbClr val="000000"/>
                            </a:solidFill>
                            <a:miter lim="800000"/>
                          </a:ln>
                        </wps:spPr>
                        <wps:txbx>
                          <w:txbxContent>
                            <w:p w14:paraId="5F15BA17">
                              <w:pPr>
                                <w:rPr>
                                  <w:rFonts w:hint="eastAsia" w:ascii="宋体" w:hAnsi="宋体" w:cs="宋体-18030"/>
                                  <w:sz w:val="18"/>
                                  <w:szCs w:val="18"/>
                                </w:rPr>
                              </w:pPr>
                              <w:r>
                                <w:rPr>
                                  <w:rFonts w:hint="eastAsia" w:ascii="宋体" w:hAnsi="宋体" w:cs="宋体-18030"/>
                                  <w:sz w:val="18"/>
                                  <w:szCs w:val="18"/>
                                </w:rPr>
                                <w:t>1提出环境保护措施，进行技术经济论证</w:t>
                              </w:r>
                            </w:p>
                            <w:p w14:paraId="5F90F33F">
                              <w:pPr>
                                <w:rPr>
                                  <w:rFonts w:hint="eastAsia" w:ascii="宋体" w:hAnsi="宋体" w:cs="宋体-18030"/>
                                  <w:sz w:val="18"/>
                                  <w:szCs w:val="18"/>
                                </w:rPr>
                              </w:pPr>
                              <w:r>
                                <w:rPr>
                                  <w:rFonts w:hint="eastAsia" w:ascii="宋体" w:hAnsi="宋体" w:cs="宋体-18030"/>
                                  <w:sz w:val="18"/>
                                  <w:szCs w:val="18"/>
                                </w:rPr>
                                <w:t>2给出污染物排放清单</w:t>
                              </w:r>
                            </w:p>
                            <w:p w14:paraId="56D0B17F">
                              <w:pPr>
                                <w:rPr>
                                  <w:rFonts w:hint="eastAsia" w:ascii="宋体" w:hAnsi="宋体" w:cs="宋体-18030"/>
                                  <w:sz w:val="18"/>
                                  <w:szCs w:val="18"/>
                                </w:rPr>
                              </w:pPr>
                              <w:r>
                                <w:rPr>
                                  <w:rFonts w:hint="eastAsia" w:ascii="宋体" w:hAnsi="宋体" w:cs="宋体-18030"/>
                                  <w:sz w:val="18"/>
                                  <w:szCs w:val="18"/>
                                </w:rPr>
                                <w:t>3给出建设项目环境影响评价结论</w:t>
                              </w:r>
                            </w:p>
                          </w:txbxContent>
                        </wps:txbx>
                        <wps:bodyPr rot="0" vert="horz" wrap="square" lIns="91440" tIns="45720" rIns="91440" bIns="18000" anchor="t" anchorCtr="0" upright="1">
                          <a:noAutofit/>
                        </wps:bodyPr>
                      </wps:wsp>
                      <wps:wsp>
                        <wps:cNvPr id="1872113125" name="Text Box 31356"/>
                        <wps:cNvSpPr txBox="1">
                          <a:spLocks noChangeArrowheads="1"/>
                        </wps:cNvSpPr>
                        <wps:spPr bwMode="auto">
                          <a:xfrm>
                            <a:off x="3859" y="7765"/>
                            <a:ext cx="4085" cy="714"/>
                          </a:xfrm>
                          <a:prstGeom prst="rect">
                            <a:avLst/>
                          </a:prstGeom>
                          <a:solidFill>
                            <a:srgbClr val="FFFFFF"/>
                          </a:solidFill>
                          <a:ln w="9525">
                            <a:solidFill>
                              <a:srgbClr val="000000"/>
                            </a:solidFill>
                            <a:miter lim="800000"/>
                          </a:ln>
                        </wps:spPr>
                        <wps:txbx>
                          <w:txbxContent>
                            <w:p w14:paraId="7B92AB8D">
                              <w:pPr>
                                <w:rPr>
                                  <w:rFonts w:hint="eastAsia" w:ascii="宋体" w:hAnsi="宋体" w:cs="宋体-18030"/>
                                  <w:sz w:val="18"/>
                                  <w:szCs w:val="18"/>
                                </w:rPr>
                              </w:pPr>
                              <w:r>
                                <w:rPr>
                                  <w:rFonts w:hint="eastAsia" w:ascii="宋体" w:hAnsi="宋体" w:cs="宋体-18030"/>
                                  <w:sz w:val="18"/>
                                  <w:szCs w:val="18"/>
                                </w:rPr>
                                <w:t>1各环境要素环境影响预测与评价</w:t>
                              </w:r>
                            </w:p>
                            <w:p w14:paraId="44CC3A35">
                              <w:pPr>
                                <w:rPr>
                                  <w:rFonts w:hint="eastAsia" w:ascii="宋体" w:hAnsi="宋体" w:cs="宋体-18030"/>
                                  <w:sz w:val="18"/>
                                  <w:szCs w:val="18"/>
                                </w:rPr>
                              </w:pPr>
                              <w:r>
                                <w:rPr>
                                  <w:rFonts w:hint="eastAsia" w:ascii="宋体" w:hAnsi="宋体" w:cs="宋体-18030"/>
                                  <w:sz w:val="18"/>
                                  <w:szCs w:val="18"/>
                                </w:rPr>
                                <w:t>2各专题环境影响分析与评价</w:t>
                              </w:r>
                            </w:p>
                          </w:txbxContent>
                        </wps:txbx>
                        <wps:bodyPr rot="0" vert="horz" wrap="square" lIns="91440" tIns="45720" rIns="91440" bIns="18000" anchor="t" anchorCtr="0" upright="1">
                          <a:noAutofit/>
                        </wps:bodyPr>
                      </wps:wsp>
                      <wps:wsp>
                        <wps:cNvPr id="257970800" name="Line 31357"/>
                        <wps:cNvCnPr>
                          <a:cxnSpLocks noChangeShapeType="1"/>
                        </wps:cNvCnPr>
                        <wps:spPr bwMode="auto">
                          <a:xfrm>
                            <a:off x="5897" y="8479"/>
                            <a:ext cx="0" cy="539"/>
                          </a:xfrm>
                          <a:prstGeom prst="line">
                            <a:avLst/>
                          </a:prstGeom>
                          <a:noFill/>
                          <a:ln w="9525">
                            <a:solidFill>
                              <a:srgbClr val="000000"/>
                            </a:solidFill>
                            <a:round/>
                            <a:tailEnd type="triangle" w="med" len="med"/>
                          </a:ln>
                        </wps:spPr>
                        <wps:bodyPr/>
                      </wps:wsp>
                      <wps:wsp>
                        <wps:cNvPr id="740494291" name="Text Box 31358"/>
                        <wps:cNvSpPr txBox="1">
                          <a:spLocks noChangeArrowheads="1"/>
                        </wps:cNvSpPr>
                        <wps:spPr bwMode="auto">
                          <a:xfrm>
                            <a:off x="4675" y="10574"/>
                            <a:ext cx="2405" cy="331"/>
                          </a:xfrm>
                          <a:prstGeom prst="rect">
                            <a:avLst/>
                          </a:prstGeom>
                          <a:solidFill>
                            <a:srgbClr val="FFFFFF"/>
                          </a:solidFill>
                          <a:ln w="9525">
                            <a:solidFill>
                              <a:srgbClr val="000000"/>
                            </a:solidFill>
                            <a:miter lim="800000"/>
                          </a:ln>
                        </wps:spPr>
                        <wps:txbx>
                          <w:txbxContent>
                            <w:p w14:paraId="17424689">
                              <w:pPr>
                                <w:jc w:val="center"/>
                                <w:rPr>
                                  <w:rFonts w:hint="eastAsia" w:ascii="宋体" w:hAnsi="宋体" w:cs="宋体-18030"/>
                                  <w:sz w:val="18"/>
                                  <w:szCs w:val="18"/>
                                </w:rPr>
                              </w:pPr>
                              <w:r>
                                <w:rPr>
                                  <w:rFonts w:hint="eastAsia" w:ascii="宋体" w:hAnsi="宋体" w:cs="宋体-18030"/>
                                  <w:sz w:val="18"/>
                                  <w:szCs w:val="18"/>
                                </w:rPr>
                                <w:t>编制环境影响评价书</w:t>
                              </w:r>
                            </w:p>
                          </w:txbxContent>
                        </wps:txbx>
                        <wps:bodyPr rot="0" vert="horz" wrap="square" lIns="0" tIns="0" rIns="0" bIns="0" anchor="t" anchorCtr="0" upright="1">
                          <a:noAutofit/>
                        </wps:bodyPr>
                      </wps:wsp>
                      <wps:wsp>
                        <wps:cNvPr id="1644152970" name="Text Box 31330"/>
                        <wps:cNvSpPr txBox="1">
                          <a:spLocks noChangeArrowheads="1"/>
                        </wps:cNvSpPr>
                        <wps:spPr bwMode="auto">
                          <a:xfrm>
                            <a:off x="3836" y="3926"/>
                            <a:ext cx="4123" cy="990"/>
                          </a:xfrm>
                          <a:prstGeom prst="rect">
                            <a:avLst/>
                          </a:prstGeom>
                          <a:solidFill>
                            <a:srgbClr val="FFFFFF"/>
                          </a:solidFill>
                          <a:ln w="9525">
                            <a:solidFill>
                              <a:srgbClr val="000000"/>
                            </a:solidFill>
                            <a:miter lim="800000"/>
                          </a:ln>
                        </wps:spPr>
                        <wps:txbx>
                          <w:txbxContent>
                            <w:p w14:paraId="4EFAEF0F">
                              <w:pPr>
                                <w:rPr>
                                  <w:rFonts w:hint="eastAsia" w:ascii="宋体" w:hAnsi="宋体" w:cs="宋体-18030"/>
                                  <w:sz w:val="18"/>
                                  <w:szCs w:val="18"/>
                                </w:rPr>
                              </w:pPr>
                              <w:r>
                                <w:rPr>
                                  <w:rFonts w:hint="eastAsia" w:ascii="宋体" w:hAnsi="宋体" w:cs="宋体-18030"/>
                                  <w:sz w:val="18"/>
                                  <w:szCs w:val="18"/>
                                </w:rPr>
                                <w:t>1环境影响识别和评价因子筛选</w:t>
                              </w:r>
                            </w:p>
                            <w:p w14:paraId="0BB1F4AF">
                              <w:pPr>
                                <w:rPr>
                                  <w:rFonts w:hint="eastAsia" w:ascii="宋体" w:hAnsi="宋体" w:cs="宋体-18030"/>
                                  <w:sz w:val="18"/>
                                  <w:szCs w:val="18"/>
                                </w:rPr>
                              </w:pPr>
                              <w:r>
                                <w:rPr>
                                  <w:rFonts w:hint="eastAsia" w:ascii="宋体" w:hAnsi="宋体" w:cs="宋体-18030"/>
                                  <w:sz w:val="18"/>
                                  <w:szCs w:val="18"/>
                                </w:rPr>
                                <w:t>2明确评价重点和环境保护目标</w:t>
                              </w:r>
                            </w:p>
                            <w:p w14:paraId="45049612">
                              <w:pPr>
                                <w:rPr>
                                  <w:rFonts w:hint="eastAsia" w:ascii="宋体" w:hAnsi="宋体" w:cs="宋体-18030"/>
                                  <w:sz w:val="18"/>
                                  <w:szCs w:val="18"/>
                                </w:rPr>
                              </w:pPr>
                              <w:r>
                                <w:rPr>
                                  <w:rFonts w:hint="eastAsia" w:ascii="宋体" w:hAnsi="宋体" w:cs="宋体-18030"/>
                                  <w:sz w:val="18"/>
                                  <w:szCs w:val="18"/>
                                </w:rPr>
                                <w:t>3确定工作等级、评价范围和评价标准</w:t>
                              </w:r>
                            </w:p>
                          </w:txbxContent>
                        </wps:txbx>
                        <wps:bodyPr rot="0" vert="horz" wrap="square" lIns="91440" tIns="45720" rIns="91440" bIns="18000" anchor="t" anchorCtr="0" upright="1">
                          <a:noAutofit/>
                        </wps:bodyPr>
                      </wps:wsp>
                      <wps:wsp>
                        <wps:cNvPr id="348877694" name="Line 31354"/>
                        <wps:cNvCnPr>
                          <a:cxnSpLocks noChangeShapeType="1"/>
                        </wps:cNvCnPr>
                        <wps:spPr bwMode="auto">
                          <a:xfrm>
                            <a:off x="5880" y="10035"/>
                            <a:ext cx="0" cy="539"/>
                          </a:xfrm>
                          <a:prstGeom prst="line">
                            <a:avLst/>
                          </a:prstGeom>
                          <a:noFill/>
                          <a:ln w="9525">
                            <a:solidFill>
                              <a:srgbClr val="000000"/>
                            </a:solidFill>
                            <a:round/>
                            <a:tailEnd type="triangle" w="med" len="med"/>
                          </a:ln>
                        </wps:spPr>
                        <wps:bodyPr/>
                      </wps:wsp>
                    </wpg:wgp>
                  </a:graphicData>
                </a:graphic>
              </wp:inline>
            </w:drawing>
          </mc:Choice>
          <mc:Fallback>
            <w:pict>
              <v:group id="Group 372" o:spid="_x0000_s1026" o:spt="203" style="height:563.05pt;width:438.4pt;" coordorigin="1695,1765" coordsize="8523,10144" o:gfxdata="UEsDBAoAAAAAAIdO4kAAAAAAAAAAAAAAAAAEAAAAZHJzL1BLAwQUAAAACACHTuJASDqLL9YAAAAG&#10;AQAADwAAAGRycy9kb3ducmV2LnhtbE2PQUvDQBCF74L/YRnBm91sxVhiNkWKeiqCrSDepsk0Cc3O&#10;huw2af+9oxd7GXi8x5vv5cuT69RIQ2g9WzCzBBRx6auWawuf29e7BagQkSvsPJOFMwVYFtdXOWaV&#10;n/iDxk2slZRwyNBCE2OfaR3KhhyGme+Jxdv7wWEUOdS6GnCSctfpeZKk2mHL8qHBnlYNlYfN0Vl4&#10;m3B6vjcv4/qwX52/tw/vX2tD1t7emOQJVKRT/A/DL76gQyFMO3/kKqjOggyJf1e8xWMqM3YSMvPU&#10;gC5yfYlf/ABQSwMEFAAAAAgAh07iQGsZ/J8RCAAArUQAAA4AAABkcnMvZTJvRG9jLnhtbO1cW3Ob&#10;RhR+70z/A8N7I5bdZUETOZPaSaYzaZtp0r5jhCSmCChgS+6v77e7gAQRjpJY2HLRg811tXvOd+5n&#10;9fLVdh0bt2FeRGkyM8kLyzTCJEjnUbKcmX9+evuTaxpF6SdzP06TcGbehYX56uLHH15usmlop6s0&#10;noe5gUGSYrrJZuaqLLPpZFIEq3DtFy/SLExwc5Hma7/Eab6czHN/g9HX8cS2LGeySfN5lqdBWBS4&#10;eqVvmtWI+TEDpotFFIRXaXCzDpNSj5qHsV9iScUqygrzQs12sQiD8vfFoghLI56ZWGmp/uJLcHwt&#10;/04uXvrTZe5nqyiopuAfM4XOmtZ+lOBLm6Gu/NI3bvLos6HWUZCnRbooXwTpeqIXoiiCVRCrQ5t3&#10;eXqTqbUsp5tl1hAdjOpQ/ZuHDX67/ZAb0XxmcuoSyyJcmEbir8F49e0GFbYk0iZbTvHsuzz7mH3I&#10;qwtLfSbXvV3ka/kfKzK2irx3DXnDbWkEuMi549ouxg9wTxBObM/VDAhW4JJ8jzgeNw3cJsLh9b03&#10;1fsut6l+mViEMXl7Un/zRE6wmc8mAzaLHcGK7yPYx5WfhYoPhSRCRTDieYS4zHKAJU2xPwA3P1nG&#10;oUEJtdX85UzwiiSaJE+RvU+DvwsjSS9XeDJ8nefpZhX6c8yQqAW1XpAnBV41rje/pnPwxL8pU4Wz&#10;Dr2poI6mW/3F/rQmO3PlDCXNudsmmj/N8qJ8F6ZrQx7MzBwLUMP7t++LUtO3fkRNP42j+dsojtVJ&#10;vry+jHPj1odsvVWfiiXF/mNxIh9OUvmaHlFeAb/00iS0imm5vd4qUBXT63R+hxXnqZZVaCocrNL8&#10;X9PYQE5nZvHPjZ+HphH/koBqUqjVAbFcCyd5ffW6PvCTAK/PzNI09OFlqRXATZZHyxVGJ2rNSfoa&#10;1F1Eat1yUnom1VwBJz3Vk+OKO7bLICmNIH6IgvIm16ASksRycveBqsjAR7msHpzh8ieg4808Uk9J&#10;rrSGlCdHwQ7iCmvREtcadRDWCnUec5UoNLL61bBrwONP48TYzEyPQ7ruB6SlPocAKQF95RcrDdzi&#10;rrhKS/mcP11HJUxbHK1nJrCET/X6AcB+JUo96KsGqYwLSRuN1OqORmt159wQaxMiLJvZDqs1oYSX&#10;8XO6VYpQKfk9gBnlFrdqsTuZSnQJBADYtC3H0/ytsckIrQwJJd8JzZaqK47ViN+N4a9A6gOo1gas&#10;ODhbtWpT2EGHsUat7mOUKlF/BIzaFUYdVrlCO4zWzo7n1XqoNvq1ST6p1T4PjB6pWInU57X9Px9X&#10;wCaMu5xb0pIrn/x9lCg/gCpnscLrZaKdy2CbfOz4l8pz/XSXwXVsuZf6laPtPHddUE/qUqpdyJ13&#10;aWvX0nZpZSx7QBpj5ve5lg9r4xE4JXNl00s/it8kc6NURCjzSDno8CVn5jqcw4sMEQXLI+kFSf/i&#10;M99Um/raSRrODySEWpQxIuBidbhfhWTKCxyC+54OLqjDFJd33AcwZWAxcr+dBPmqcLwnunQE4nFX&#10;cJC+w30VxA0p+56SfeYRp+1HjdxHBuwkuQXObMqJZzXOSqP497MKg4i+VvycM2VAdqKP6yqnQJVz&#10;3R/cjYo/7E3w9Yi+oLZtUyY9lo7oKwEcTPSJEBX3hVC423HfZXBYFQC+4JwOy/7+2L72CJ6Yjfc4&#10;bLzrQri6rN6Pmk8v6E3i1RWsy2oOvT+y+vi0fY9UM9tyHUa8Rqe3AlClRSvJltniYZIkcC51vp1y&#10;r+PaOXWm/pHizwfIGof+X8geH84bHxk4nmlGDrUJS1CYkcZ73AcbUpEIZ4YHmyeLSwgXHN7NyHEk&#10;YJSKQdCjgpt+f+LJ1ijuQxsSvtKa60rFs8v/EsEodWUKuLZiLbTt5yoGVG0eKpcSbR7XuYmd89Kg&#10;DRW8+7MWI9ieXHmMIZdnA27I4GvnuIW1/dh4OKyhXKfrYIjZOrUGm1mwsDJSqirCQ2u288jjNsoR&#10;B7owhoPzrTVYgjiWZ1nInGiQytKy8gtlRYwNG8YxwnUGx0GJvJ3Boaw2vF8I44oy92Wx/DJNEhSX&#10;01zXzHv6BE6TzH1ioRtFXZFQ4TQuVpvH+5X608dv9/AYgiTVD9EOfr/6GVnc+MR1hw9xbIpGJXHY&#10;r9mP0IezNZRycFR60bbohGzQORWzZdpYFzR6yjGncWzOw9Y889DPhd2BXpfdD4dsz36iYQi9xLTt&#10;QXTQ8YxGvfTlDtDDqSRbVgW5ww+6wNAOjxHcC0tO57BasnhVKRrV0j2djM9cLQnhWWiY3fXftNwl&#10;IGSH2tOrJcHdPpd4VEvfqpbQr+A51OJoEjhkefiwXQsNi0fLU23NeIiuBBfNyRYkuYfFyiEdrD7Z&#10;BD0C9dIxsJXbbx6Ax66wHTT68CboqXsPcGVIHQ0VrQMdcLfTeFLpaD72HrT2Xj0A86HDHduRqcoD&#10;2VW+33wyYMSLXUM6ky8TaoDgLpPPSN0lSywNkv78xhjyfrH+dKZtsgQqC4VD0oPa/WzrkKitsq6i&#10;2crW9HZbsuouk3KCKJ06gvbQ1q4jA6IzBa3NhSf0nrV2kxeK5AObWV2Vd5noaNfRzJ6qv1Mwi3nM&#10;Rvn5kJl9nMQyc9DkJzM4xJIZ75ad3ati6q0Ho8Y6pLEgMLrFAwfnX8Uk2C1FuA0tdQilj7Zlqtrp&#10;TL1uVLBzBh+pZe1ZlT/O1KzKblp4XN7jR6/Vlin8qALtdNT+L+2q+oUG/IqF2mZV/eKG/JmM/XO1&#10;92r3KyMX/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CgAAW0NvbnRlbnRfVHlwZXNdLnhtbFBLAQIUAAoAAAAAAIdO4kAAAAAAAAAAAAAAAAAG&#10;AAAAAAAAAAAAEAAAAGIJAABfcmVscy9QSwECFAAUAAAACACHTuJAihRmPNEAAACUAQAACwAAAAAA&#10;AAABACAAAACGCQAAX3JlbHMvLnJlbHNQSwECFAAKAAAAAACHTuJAAAAAAAAAAAAAAAAABAAAAAAA&#10;AAAAABAAAAAAAAAAZHJzL1BLAQIUABQAAAAIAIdO4kBIOosv1gAAAAYBAAAPAAAAAAAAAAEAIAAA&#10;ACIAAABkcnMvZG93bnJldi54bWxQSwECFAAUAAAACACHTuJAaxn8nxEIAACtRAAADgAAAAAAAAAB&#10;ACAAAAAlAQAAZHJzL2Uyb0RvYy54bWxQSwUGAAAAAAYABgBZAQAAqAsAAAAA&#10;">
                <o:lock v:ext="edit" aspectratio="f"/>
                <v:rect id="Rectangle 31325" o:spid="_x0000_s1026" o:spt="1" style="position:absolute;left:3736;top:11325;height:584;width:4860;" fillcolor="#FFFFFF" filled="t" stroked="f" coordsize="21600,21600" o:gfxdata="UEsDBAoAAAAAAIdO4kAAAAAAAAAAAAAAAAAEAAAAZHJzL1BLAwQUAAAACACHTuJA19k0MMMAAADj&#10;AAAADwAAAGRycy9kb3ducmV2LnhtbEWPQWsCMRCF74X+hzCFXoomKXbVrVFoodBbUfcHhM2YXdxM&#10;liRd9d87h0KPM/PmvfdtdtcwiAlT7iMZ0HMFAqmNridvoDl+zVYgcrHk7BAJDdwww277+LCxtYsX&#10;2uN0KF6wCeXaGuhKGWspc9thsHkeRyS+nWIKtvCYvHTJXtg8DPJVqUoG2xMndHbEzw7b8+E3GKia&#10;KU3Lxf5Nf7SRXpb+VDX+x5jnJ63eQRS8ln/x3/e34/rrtdarhaqYgpl4AXJ7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2TQwwwAAAOMAAAAPAAAAAAAAAAEAIAAAACIAAABkcnMvZG93bnJldi54bWxQSwECFAAUAAAACACH&#10;TuJAMy8FnjsAAAA5AAAAEAAAAAAAAAABACAAAAASAQAAZHJzL3NoYXBleG1sLnhtbFBLBQYAAAAA&#10;BgAGAFsBAAC8AwAAAAA=&#10;">
                  <v:fill on="t" focussize="0,0"/>
                  <v:stroke on="f"/>
                  <v:imagedata o:title=""/>
                  <o:lock v:ext="edit" aspectratio="f"/>
                  <v:textbox inset="0mm,0.3mm,0mm,0mm">
                    <w:txbxContent>
                      <w:p w14:paraId="49C5C7E5">
                        <w:pPr>
                          <w:pStyle w:val="106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环境影响评价工作程序</w:t>
                        </w:r>
                      </w:p>
                    </w:txbxContent>
                  </v:textbox>
                </v:rect>
                <v:rect id="Picture 31327" o:spid="_x0000_s1026" o:spt="1" style="position:absolute;left:1698;top:1765;height:9485;width:8520;" filled="f" stroked="t" coordsize="21600,21600" o:gfxdata="UEsDBAoAAAAAAIdO4kAAAAAAAAAAAAAAAAAEAAAAZHJzL1BLAwQUAAAACACHTuJADFq1XsQAAADi&#10;AAAADwAAAGRycy9kb3ducmV2LnhtbEWPX2vCMBTF3wf7DuEOfBmatm61dEYZE8GHMTYVfL00t01Z&#10;c1OaaN23X4TBHg/nz4+zXF9tJy40+NaxgnSWgCCunG65UXA8bKcFCB+QNXaOScEPeViv7u+WWGo3&#10;8hdd9qERcYR9iQpMCH0ppa8MWfQz1xNHr3aDxRDl0Eg94BjHbSezJMmlxZYjwWBPb4aq7/3ZRkg3&#10;920/P421D+mnqd8PH6+PG6UmD2nyAiLQNfyH/9o7reA5z4qnvMgWcLsU74Bc/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Fq1XsQAAADiAAAADwAAAAAAAAABACAAAAAiAAAAZHJzL2Rvd25yZXYueG1sUEsBAhQAFAAAAAgA&#10;h07iQDMvBZ47AAAAOQAAABAAAAAAAAAAAQAgAAAAEwEAAGRycy9zaGFwZXhtbC54bWxQSwUGAAAA&#10;AAYABgBbAQAAvQMAAAAA&#10;">
                  <v:fill on="f" focussize="0,0"/>
                  <v:stroke color="#000000" miterlimit="8" joinstyle="miter" dashstyle="1 1"/>
                  <v:imagedata o:title=""/>
                  <o:lock v:ext="edit" text="t" aspectratio="t"/>
                </v:rect>
                <v:shape id="Text Box 31328" o:spid="_x0000_s1026" o:spt="202" type="#_x0000_t202" style="position:absolute;left:3811;top:2069;height:315;width:4133;" fillcolor="#FFFFFF" filled="t" stroked="t" coordsize="21600,21600" o:gfxdata="UEsDBAoAAAAAAIdO4kAAAAAAAAAAAAAAAAAEAAAAZHJzL1BLAwQUAAAACACHTuJAGBzzUsMAAADj&#10;AAAADwAAAGRycy9kb3ducmV2LnhtbEWPT0sDMRTE70K/Q3hCbzbZUKquTUsrFCpebCueH5u3f3Tz&#10;siRxW7+9EYQeh5n5DbNcX1wvRgqx82ygmCkQxJW3HTcG3k+7uwcQMSFb7D2TgR+KsF5NbpZYWn/m&#10;A43H1IgM4ViigTaloZQyVi05jDM/EGev9sFhyjI00gY8Z7jrpVZqIR12nBdaHOi5perr+O0MnMZt&#10;3B8+06N9qbdSv9Zv+iNsjJneFuoJRKJLuob/23trQBfFvdJzvZjD36f8B+Tq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HPNS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0mm,0mm,0mm,0mm">
                    <w:txbxContent>
                      <w:p w14:paraId="6539DD67">
                        <w:pPr>
                          <w:jc w:val="center"/>
                          <w:rPr>
                            <w:rFonts w:hint="eastAsia" w:ascii="宋体" w:hAnsi="宋体" w:cs="宋体-18030"/>
                            <w:sz w:val="18"/>
                            <w:szCs w:val="18"/>
                          </w:rPr>
                        </w:pPr>
                        <w:r>
                          <w:rPr>
                            <w:rFonts w:hint="eastAsia" w:ascii="宋体" w:hAnsi="宋体" w:cs="宋体-18030"/>
                            <w:sz w:val="18"/>
                            <w:szCs w:val="18"/>
                          </w:rPr>
                          <w:t>依据相关规定确定环境影响评价文件类型</w:t>
                        </w:r>
                      </w:p>
                    </w:txbxContent>
                  </v:textbox>
                </v:shape>
                <v:shape id="Text Box 31330" o:spid="_x0000_s1026" o:spt="202" type="#_x0000_t202" style="position:absolute;left:3821;top:2648;height:990;width:4123;" fillcolor="#FFFFFF" filled="t" stroked="t" coordsize="21600,21600" o:gfxdata="UEsDBAoAAAAAAIdO4kAAAAAAAAAAAAAAAAAEAAAAZHJzL1BLAwQUAAAACACHTuJA9BWWbMUAAADi&#10;AAAADwAAAGRycy9kb3ducmV2LnhtbEWPQUvDQBSE74L/YXmCN7vbWGKI3fYQKxR60Sil3p7Z5yY0&#10;+zZkt039964geBxm5htmub64XpxpDJ1nDfOZAkHceNOx1fD+9nxXgAgR2WDvmTR8U4D16vpqiaXx&#10;E7/SuY5WJAiHEjW0MQ6llKFpyWGY+YE4eV9+dBiTHK00I04J7nqZKZVLhx2nhRYHqlpqjvXJaair&#10;TbFRu6fT5/bjeNhNe5u9VFbr25u5egQR6RL/w3/trdGQ3Re5yheLB/i9lO6AXP0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QVlmzFAAAA4gAAAA8AAAAAAAAAAQAgAAAAIgAAAGRycy9kb3ducmV2LnhtbFBLAQIUABQAAAAI&#10;AIdO4kAzLwWeOwAAADkAAAAQAAAAAAAAAAEAIAAAABQBAABkcnMvc2hhcGV4bWwueG1sUEsFBgAA&#10;AAAGAAYAWwEAAL4DAAAAAA==&#10;">
                  <v:fill on="t" focussize="0,0"/>
                  <v:stroke color="#000000" miterlimit="8" joinstyle="miter"/>
                  <v:imagedata o:title=""/>
                  <o:lock v:ext="edit" aspectratio="f"/>
                  <v:textbox inset="2.54mm,1.27mm,2.54mm,0.5mm">
                    <w:txbxContent>
                      <w:p w14:paraId="40C451DE">
                        <w:pPr>
                          <w:rPr>
                            <w:rFonts w:hint="eastAsia" w:ascii="宋体" w:hAnsi="宋体" w:cs="宋体-18030"/>
                            <w:sz w:val="18"/>
                            <w:szCs w:val="18"/>
                          </w:rPr>
                        </w:pPr>
                        <w:r>
                          <w:rPr>
                            <w:rFonts w:hint="eastAsia" w:ascii="宋体" w:hAnsi="宋体" w:cs="宋体-18030"/>
                            <w:sz w:val="18"/>
                            <w:szCs w:val="18"/>
                          </w:rPr>
                          <w:t>1研究相关技术文件和其他有关文件</w:t>
                        </w:r>
                      </w:p>
                      <w:p w14:paraId="468589FD">
                        <w:pPr>
                          <w:rPr>
                            <w:rFonts w:hint="eastAsia" w:ascii="宋体" w:hAnsi="宋体" w:cs="宋体-18030"/>
                            <w:sz w:val="18"/>
                            <w:szCs w:val="18"/>
                          </w:rPr>
                        </w:pPr>
                        <w:r>
                          <w:rPr>
                            <w:rFonts w:hint="eastAsia" w:ascii="宋体" w:hAnsi="宋体" w:cs="宋体-18030"/>
                            <w:sz w:val="18"/>
                            <w:szCs w:val="18"/>
                          </w:rPr>
                          <w:t>2进行初步工程分析</w:t>
                        </w:r>
                      </w:p>
                      <w:p w14:paraId="0C0B8EAC">
                        <w:pPr>
                          <w:rPr>
                            <w:rFonts w:hint="eastAsia" w:ascii="宋体" w:hAnsi="宋体" w:cs="宋体-18030"/>
                            <w:sz w:val="18"/>
                            <w:szCs w:val="18"/>
                          </w:rPr>
                        </w:pPr>
                        <w:r>
                          <w:rPr>
                            <w:rFonts w:hint="eastAsia" w:ascii="宋体" w:hAnsi="宋体" w:cs="宋体-18030"/>
                            <w:sz w:val="18"/>
                            <w:szCs w:val="18"/>
                          </w:rPr>
                          <w:t>3开展初步的环境现状调查</w:t>
                        </w:r>
                      </w:p>
                    </w:txbxContent>
                  </v:textbox>
                </v:shape>
                <v:line id="Line 31331" o:spid="_x0000_s1026" o:spt="20" style="position:absolute;left:5880;top:2384;height:283;width:2;" filled="f" stroked="t" coordsize="21600,21600" o:gfxdata="UEsDBAoAAAAAAIdO4kAAAAAAAAAAAAAAAAAEAAAAZHJzL1BLAwQUAAAACACHTuJAO+BCtMQAAADi&#10;AAAADwAAAGRycy9kb3ducmV2LnhtbEWPQUsDMRSE74L/ITzBm01SXFm2TXsQKkKr0lbE3h6b5+7i&#10;5mVJ0nb990YoeBxm5htmvhxdL04UYufZgJ4oEMS1tx03Bt73q7sSREzIFnvPZOCHIiwX11dzrKw/&#10;85ZOu9SIDOFYoYE2paGSMtYtOYwTPxBn78sHhynL0Egb8JzhrpdTpR6kw47zQosDPbZUf++OzsB2&#10;s1qXH+vjWIfDk37dv21ePmNpzO2NVjMQicb0H760n62Bqb4vyqJQGv4u5TsgF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BCt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line>
                <v:line id="Line 31332" o:spid="_x0000_s1026" o:spt="20" style="position:absolute;left:5896;top:3643;height:283;width:1;" filled="f" stroked="t" coordsize="21600,21600" o:gfxdata="UEsDBAoAAAAAAIdO4kAAAAAAAAAAAAAAAAAEAAAAZHJzL1BLAwQUAAAACACHTuJADk2hf8YAAADj&#10;AAAADwAAAGRycy9kb3ducmV2LnhtbEWPQUsDMRCF74L/IYzgzSaxxS5r0x4KFaHV0lZEb2Ez7i7d&#10;TJYkbdd/7xyEHmfem/e+mS0G34kzxtQGMqBHCgRSFVxLtYGPw+qhAJGyJWe7QGjgFxMs5rc3M1u6&#10;cKEdnve5FhxCqbQGmpz7UspUNehtGoUeibWfEL3NPMZaumgvHO47+ajUk/S2JW5obI/LBqvj/uQN&#10;7DardfG5Pg1V/H7R74ft5u0rFcbc32n1DCLjkK/m/+tXx/h6rMaTiZ4yNP/EC5DzP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OTaF/xgAAAOM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line id="Line 31334" o:spid="_x0000_s1026" o:spt="20" style="position:absolute;left:5889;top:4916;height:283;width:1;" filled="f" stroked="t" coordsize="21600,21600" o:gfxdata="UEsDBAoAAAAAAIdO4kAAAAAAAAAAAAAAAAAEAAAAZHJzL1BLAwQUAAAACACHTuJANBCLVMIAAADj&#10;AAAADwAAAGRycy9kb3ducmV2LnhtbEVPX0vDMBB/F/wO4QTfXFLBLnTL9iBMhE1lm4h7O5qzLTaX&#10;kmRb/fZGGPh4v/83X46uFycKsfNsoJgoEMS1tx03Bt73qzsNIiZki71nMvBDEZaL66s5VtafeUun&#10;XWpEDuFYoYE2paGSMtYtOYwTPxBn7ssHhymfoZE24DmHu17eK1VKhx3nhhYHemyp/t4dnYHtZrXW&#10;H+vjWIfDU/G6f9u8fEZtzO1NoWYgEo3pX3xxP9s8v5zqQunpQwl/P2UA5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QQ&#10;i1T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Line 31335" o:spid="_x0000_s1026" o:spt="20" style="position:absolute;left:5890;top:5541;height:539;width:0;" filled="f" stroked="t" coordsize="21600,21600" o:gfxdata="UEsDBAoAAAAAAIdO4kAAAAAAAAAAAAAAAAAEAAAAZHJzL1BLAwQUAAAACACHTuJAaNM6hMYAAADi&#10;AAAADwAAAGRycy9kb3ducmV2LnhtbEWPT0sDMRTE70K/Q3iCN5tstbpum/YgVIRWpX8o9vbYPHeX&#10;bl6WJG3Xb28EweMwM79hpvPetuJMPjSONWRDBYK4dKbhSsNuu7jNQYSIbLB1TBq+KcB8NriaYmHc&#10;hdd03sRKJAiHAjXUMXaFlKGsyWIYuo44eV/OW4xJ+koaj5cEt60cKfUgLTacFmrs6Lmm8rg5WQ3r&#10;1WKZ75envvSHl+x9+7F6+wy51jfXmZqAiNTH//Bf+9VoGN+P7sbZk3qE30vpDsjZ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o0zqE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line id="Line 31336" o:spid="_x0000_s1026" o:spt="20" style="position:absolute;left:1770;top:5775;height:0;width:8448;" filled="f" stroked="t" coordsize="21600,21600" o:gfxdata="UEsDBAoAAAAAAIdO4kAAAAAAAAAAAAAAAAAEAAAAZHJzL1BLAwQUAAAACACHTuJA59mLW8QAAADj&#10;AAAADwAAAGRycy9kb3ducmV2LnhtbEWPS0/DMBCE70j8B2uRuFG7CSpRqNtDJAQnUFo4cFvFmwfE&#10;6xC7r3/PHpA47u7szHzr7dmP6khzHAJbWC4MKOImuIE7C+/7p7sCVEzIDsfAZOFCEbab66s1li6c&#10;uKbjLnVKTDiWaKFPaSq1jk1PHuMiTMRya8PsMck4d9rNeBJzP+rMmJX2OLAk9DhR1VPzvTt4C5/t&#10;c/1VrV4PQ/GW1/jTXooPqqy9vVmaR1CJzulf/Pf94qT+Q55lWX5vhEKYZAF68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9mLW8QAAADjAAAADwAAAAAAAAABACAAAAAiAAAAZHJzL2Rvd25yZXYueG1sUEsBAhQAFAAAAAgA&#10;h07iQDMvBZ47AAAAOQAAABAAAAAAAAAAAQAgAAAAEwEAAGRycy9zaGFwZXhtbC54bWxQSwUGAAAA&#10;AAYABgBbAQAAvQMAAAAA&#10;">
                  <v:fill on="f" focussize="0,0"/>
                  <v:stroke color="#000000" joinstyle="round" dashstyle="1 1"/>
                  <v:imagedata o:title=""/>
                  <o:lock v:ext="edit" aspectratio="f"/>
                </v:line>
                <v:line id="Line 31338" o:spid="_x0000_s1026" o:spt="20" style="position:absolute;left:1695;top:8745;height:0;width:8516;" filled="f" stroked="t" coordsize="21600,21600" o:gfxdata="UEsDBAoAAAAAAIdO4kAAAAAAAAAAAAAAAAAEAAAAZHJzL1BLAwQUAAAACACHTuJAnUFRocEAAADj&#10;AAAADwAAAGRycy9kb3ducmV2LnhtbEVPO0/DMBDekfgP1iGxUTttqUyo2yESggmUtgxsp/jygPic&#10;xu7r32MkpI73vW+5PrteHGkMnWcD2USBIK687bgxsNu+PGgQISJb7D2TgQsFWK9ub5aYW3/iko6b&#10;2IgUwiFHA22MQy5lqFpyGCZ+IE5c7UeHMZ1jI+2IpxTuejlVaiEddpwaWhyoaKn62Rycga/6tfwu&#10;Fu+HTn/MStzXF/1JhTH3d5l6BhHpHK/if/ebTfOfHtVsrvU8g7+fEgB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UFR&#10;ocEAAADjAAAADwAAAAAAAAABACAAAAAiAAAAZHJzL2Rvd25yZXYueG1sUEsBAhQAFAAAAAgAh07i&#10;QDMvBZ47AAAAOQAAABAAAAAAAAAAAQAgAAAAEAEAAGRycy9zaGFwZXhtbC54bWxQSwUGAAAAAAYA&#10;BgBbAQAAugMAAAAA&#10;">
                  <v:fill on="f" focussize="0,0"/>
                  <v:stroke color="#000000" joinstyle="round" dashstyle="1 1"/>
                  <v:imagedata o:title=""/>
                  <o:lock v:ext="edit" aspectratio="f"/>
                </v:line>
                <v:shape id="Text Box 31339" o:spid="_x0000_s1026" o:spt="202" type="#_x0000_t202" style="position:absolute;left:1785;top:3593;height:990;width:687;" fillcolor="#FFFFFF" filled="t" stroked="f" coordsize="21600,21600" o:gfxdata="UEsDBAoAAAAAAIdO4kAAAAAAAAAAAAAAAAAEAAAAZHJzL1BLAwQUAAAACACHTuJAqg8MvcIAAADj&#10;AAAADwAAAGRycy9kb3ducmV2LnhtbEVP3WvCMBB/F/Y/hBvsRWZSFaudUYZsoJQx/Ho/mltb1lxK&#10;k2n335uBsMf7fd9y3dtGXKjztWMNyUiBIC6cqbnUcDq+P89B+IBssHFMGn7Jw3r1MFhiZtyV93Q5&#10;hFLEEPYZaqhCaDMpfVGRRT9yLXHkvlxnMcSzK6Xp8BrDbSPHSs2kxZpjQ4UtbSoqvg8/VsNwkvvX&#10;JO3T8+Rj87nL34b7kJPWT4+JegERqA//4rt7a+L86VjNZ9NkkcLfTxEAub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oP&#10;DL3CAAAA4wAAAA8AAAAAAAAAAQAgAAAAIgAAAGRycy9kb3ducmV2LnhtbFBLAQIUABQAAAAIAIdO&#10;4kAzLwWeOwAAADkAAAAQAAAAAAAAAAEAIAAAABEBAABkcnMvc2hhcGV4bWwueG1sUEsFBgAAAAAG&#10;AAYAWwEAALsDAAAAAA==&#10;">
                  <v:fill on="t" focussize="0,0"/>
                  <v:stroke on="f"/>
                  <v:imagedata o:title=""/>
                  <o:lock v:ext="edit" aspectratio="f"/>
                  <v:textbox style="layout-flow:vertical-ideographic;">
                    <w:txbxContent>
                      <w:p w14:paraId="1DD358FD">
                        <w:pPr>
                          <w:rPr>
                            <w:rFonts w:hint="eastAsia" w:ascii="宋体" w:hAnsi="宋体"/>
                            <w:sz w:val="18"/>
                            <w:szCs w:val="18"/>
                          </w:rPr>
                        </w:pPr>
                        <w:r>
                          <w:rPr>
                            <w:rFonts w:hint="eastAsia" w:ascii="宋体" w:hAnsi="宋体"/>
                            <w:sz w:val="18"/>
                            <w:szCs w:val="18"/>
                          </w:rPr>
                          <w:t>第一阶段</w:t>
                        </w:r>
                      </w:p>
                    </w:txbxContent>
                  </v:textbox>
                </v:shape>
                <v:shape id="Text Box 31340" o:spid="_x0000_s1026" o:spt="202" type="#_x0000_t202" style="position:absolute;left:1957;top:6569;height:1132;width:530;" fillcolor="#FFFFFF" filled="t" stroked="f" coordsize="21600,21600" o:gfxdata="UEsDBAoAAAAAAIdO4kAAAAAAAAAAAAAAAAAEAAAAZHJzL1BLAwQUAAAACACHTuJAhp9atsMAAADj&#10;AAAADwAAAGRycy9kb3ducmV2LnhtbEVPyW7CMBC9V+o/WFOJS1VsgkghYJDK1lScSvmAUTwkUeNx&#10;FJutX18jVepx3j6zxdU24kydrx1rGPQVCOLCmZpLDYevzcsYhA/IBhvHpOFGHhbzx4cZZsZd+JPO&#10;+1CKGMI+Qw1VCG0mpS8qsuj7riWO3NF1FkM8u1KaDi8x3DYyUSqVFmuODRW2tKyo+N6frIZ1sftZ&#10;5c/L8fvo8Lb9SEfb1S63WveeBmoKItA1/Iv/3LmJ8ycT9TocJkkK958iAH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n1q2wwAAAOMAAAAPAAAAAAAAAAEAIAAAACIAAABkcnMvZG93bnJldi54bWxQSwECFAAUAAAACACH&#10;TuJAMy8FnjsAAAA5AAAAEAAAAAAAAAABACAAAAASAQAAZHJzL3NoYXBleG1sLnhtbFBLBQYAAAAA&#10;BgAGAFsBAAC8AwAAAAA=&#10;">
                  <v:fill on="t" focussize="0,0"/>
                  <v:stroke on="f"/>
                  <v:imagedata o:title=""/>
                  <o:lock v:ext="edit" aspectratio="f"/>
                  <v:textbox inset="2mm,1.27mm,2.54mm,1.27mm" style="layout-flow:vertical-ideographic;">
                    <w:txbxContent>
                      <w:p w14:paraId="1D66A99A">
                        <w:pPr>
                          <w:rPr>
                            <w:rFonts w:hint="eastAsia" w:ascii="宋体" w:hAnsi="宋体"/>
                            <w:sz w:val="18"/>
                            <w:szCs w:val="18"/>
                          </w:rPr>
                        </w:pPr>
                        <w:r>
                          <w:rPr>
                            <w:rFonts w:hint="eastAsia" w:ascii="宋体" w:hAnsi="宋体"/>
                            <w:sz w:val="18"/>
                            <w:szCs w:val="18"/>
                          </w:rPr>
                          <w:t>第二阶段</w:t>
                        </w:r>
                      </w:p>
                    </w:txbxContent>
                  </v:textbox>
                </v:shape>
                <v:shape id="Text Box 31341" o:spid="_x0000_s1026" o:spt="202" type="#_x0000_t202" style="position:absolute;left:1972;top:9583;height:991;width:530;" fillcolor="#FFFFFF" filled="t" stroked="f" coordsize="21600,21600" o:gfxdata="UEsDBAoAAAAAAIdO4kAAAAAAAAAAAAAAAAAEAAAAZHJzL1BLAwQUAAAACACHTuJAn6r13MMAAADj&#10;AAAADwAAAGRycy9kb3ducmV2LnhtbEVPzWrCQBC+F/oOyxS8lLrrf0hdharVFE+1PsCQnSah2dmQ&#10;XaP26bsFweN8/zNfXmwtOmp95VjDoK9AEOfOVFxoOH69vyQgfEA2WDsmDVfysFw8PswxNe7Mn9Qd&#10;QiFiCPsUNZQhNKmUPi/Jou+7hjhy3661GOLZFtK0eI7htpZDpabSYsWxocSGViXlP4eT1bDJ97/r&#10;7HmV7CbHt+3HdLJd7zOrde9poF5BBLqEu/jmzkycPxuPRslMDcfw/1MEQC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qvXcwwAAAOMAAAAPAAAAAAAAAAEAIAAAACIAAABkcnMvZG93bnJldi54bWxQSwECFAAUAAAACACH&#10;TuJAMy8FnjsAAAA5AAAAEAAAAAAAAAABACAAAAASAQAAZHJzL3NoYXBleG1sLnhtbFBLBQYAAAAA&#10;BgAGAFsBAAC8AwAAAAA=&#10;">
                  <v:fill on="t" focussize="0,0"/>
                  <v:stroke on="f"/>
                  <v:imagedata o:title=""/>
                  <o:lock v:ext="edit" aspectratio="f"/>
                  <v:textbox inset="2mm,1.27mm,2.54mm,1.27mm" style="layout-flow:vertical-ideographic;">
                    <w:txbxContent>
                      <w:p w14:paraId="3F36AF33">
                        <w:pPr>
                          <w:rPr>
                            <w:rFonts w:hint="eastAsia" w:ascii="宋体" w:hAnsi="宋体"/>
                            <w:sz w:val="18"/>
                            <w:szCs w:val="18"/>
                          </w:rPr>
                        </w:pPr>
                        <w:r>
                          <w:rPr>
                            <w:rFonts w:hint="eastAsia" w:ascii="宋体" w:hAnsi="宋体"/>
                            <w:sz w:val="18"/>
                            <w:szCs w:val="18"/>
                          </w:rPr>
                          <w:t>第三阶段</w:t>
                        </w:r>
                      </w:p>
                    </w:txbxContent>
                  </v:textbox>
                </v:shape>
                <v:shape id="Text Box 31344" o:spid="_x0000_s1026" o:spt="202" type="#_x0000_t202" style="position:absolute;left:4688;top:5199;height:325;width:2405;" fillcolor="#FFFFFF" filled="t" stroked="t" coordsize="21600,21600" o:gfxdata="UEsDBAoAAAAAAIdO4kAAAAAAAAAAAAAAAAAEAAAAZHJzL1BLAwQUAAAACACHTuJAaZOTvcMAAADi&#10;AAAADwAAAGRycy9kb3ducmV2LnhtbEWPT0sDMRTE70K/Q3gFbzbZXZF1bVraglDxYlvx/Ni8/aOb&#10;lyWJ2/rtjSD0OMzMb5jl+mIHMZEPvWMN2UKBIK6d6bnV8H56vitBhIhscHBMGn4owHo1u1liZdyZ&#10;DzQdYysShEOFGroYx0rKUHdkMSzcSJy8xnmLMUnfSuPxnOB2kLlSD9Jiz2mhw5F2HdVfx2+r4TRt&#10;w/7wGR/NS7OV+Wvzln/4jda380w9gYh0idfwf3tvNNxnpcqLoizg71K6A3L1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k5O9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0mm,0mm,0mm,0mm">
                    <w:txbxContent>
                      <w:p w14:paraId="0C18AF35">
                        <w:pPr>
                          <w:jc w:val="center"/>
                          <w:rPr>
                            <w:rFonts w:hint="eastAsia" w:ascii="宋体" w:hAnsi="宋体" w:cs="宋体-18030"/>
                            <w:sz w:val="18"/>
                            <w:szCs w:val="18"/>
                          </w:rPr>
                        </w:pPr>
                        <w:r>
                          <w:rPr>
                            <w:rFonts w:hint="eastAsia" w:ascii="宋体" w:hAnsi="宋体" w:cs="宋体-18030"/>
                            <w:sz w:val="18"/>
                            <w:szCs w:val="18"/>
                          </w:rPr>
                          <w:t>制定工作方案</w:t>
                        </w:r>
                      </w:p>
                    </w:txbxContent>
                  </v:textbox>
                </v:shape>
                <v:shape id="AutoShape 31346" o:spid="_x0000_s1026" o:spt="32" type="#_x0000_t32" style="position:absolute;left:4159;top:6080;height:0;width:3430;" filled="f" stroked="t" coordsize="21600,21600" o:gfxdata="UEsDBAoAAAAAAIdO4kAAAAAAAAAAAAAAAAAEAAAAZHJzL1BLAwQUAAAACACHTuJA5QgZ7MMAAADj&#10;AAAADwAAAGRycy9kb3ducmV2LnhtbEWPQWvCQBSE7wX/w/IKvRTdl0DVpK4ihUJ7rApeH9lnkjb7&#10;NmRXY/313UKhx2FmvmFWm6vr1IWH0HoxkM0QFEvlbSu1gcP+dboEFSKJpc4LG/jmAJv15G5FpfWj&#10;fPBlF2uVIBJKMtDE2Jdah6phR2Hme5bknfzgKCY51NoONCa463SOONeOWkkLDfX80nD1tTs7AxzO&#10;TxluC1cf3m/j4zG/fY793piH+wyfQUW+xv/wX/vNGshxkc2xQCzg91P6A3r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CBns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31347" o:spid="_x0000_s1026" o:spt="32" type="#_x0000_t32" style="position:absolute;left:4159;top:6080;height:193;width:0;" filled="f" stroked="t" coordsize="21600,21600" o:gfxdata="UEsDBAoAAAAAAIdO4kAAAAAAAAAAAAAAAAAEAAAAZHJzL1BLAwQUAAAACACHTuJA3XPnK8AAAADj&#10;AAAADwAAAGRycy9kb3ducmV2LnhtbEVPX2vCMBB/H/gdwgm+DE2qrGo1igjC9jgVfD2as602l9JE&#10;6/z0y2Dg4/3+33L9sLW4U+srxxqSkQJBnDtTcaHheNgNZyB8QDZYOyYNP+Rhveq9LTEzruNvuu9D&#10;IWII+ww1lCE0mZQ+L8miH7mGOHJn11oM8WwLaVrsYrit5VipVFqsODaU2NC2pPy6v1kN5G8fidrM&#10;bXH8enbvp/Hz0jUHrQf9RC1ABHqEl/jf/Wni/IlK58lkmqbw91ME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c+cr&#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Text Box 31348" o:spid="_x0000_s1026" o:spt="202" type="#_x0000_t202" style="position:absolute;left:3350;top:6273;height:756;width:1600;" fillcolor="#FFFFFF" filled="t" stroked="t" coordsize="21600,21600" o:gfxdata="UEsDBAoAAAAAAIdO4kAAAAAAAAAAAAAAAAAEAAAAZHJzL1BLAwQUAAAACACHTuJAH1HwXsIAAADj&#10;AAAADwAAAGRycy9kb3ducmV2LnhtbEVPvW7CMBDeK/UdrKvEUoEToAmkGIZKrehGAcF6io8kanxO&#10;bRPg7XGlSh3v+7/F6mpa0ZPzjWUF6SgBQVxa3XClYL97H85A+ICssbVMCm7kYbV8fFhgoe2Fv6jf&#10;hkrEEPYFKqhD6AopfVmTQT+yHXHkTtYZDPF0ldQOLzHctHKcJJk02HBsqLGjt5rK7+3ZKJhN1/3R&#10;f042hzI7tfPwnPcfP06pwVOavIIIdA3/4j/3Wsf5aTae5OlLPoXfnyIAcnk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9R&#10;8F7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w:txbxContent>
                      <w:p w14:paraId="4B051912">
                        <w:pPr>
                          <w:jc w:val="center"/>
                          <w:rPr>
                            <w:rFonts w:hint="eastAsia" w:ascii="宋体" w:hAnsi="宋体" w:cs="宋体-18030"/>
                            <w:sz w:val="18"/>
                            <w:szCs w:val="18"/>
                          </w:rPr>
                        </w:pPr>
                        <w:r>
                          <w:rPr>
                            <w:rFonts w:hint="eastAsia" w:ascii="宋体" w:hAnsi="宋体" w:cs="宋体-18030"/>
                            <w:sz w:val="18"/>
                            <w:szCs w:val="18"/>
                          </w:rPr>
                          <w:t>环境现状调查</w:t>
                        </w:r>
                      </w:p>
                      <w:p w14:paraId="1D9FAF2B">
                        <w:pPr>
                          <w:jc w:val="center"/>
                          <w:rPr>
                            <w:rFonts w:hint="eastAsia" w:ascii="宋体" w:hAnsi="宋体" w:cs="宋体-18030"/>
                            <w:sz w:val="18"/>
                            <w:szCs w:val="18"/>
                          </w:rPr>
                        </w:pPr>
                        <w:r>
                          <w:rPr>
                            <w:rFonts w:hint="eastAsia" w:ascii="宋体" w:hAnsi="宋体" w:cs="宋体-18030"/>
                            <w:sz w:val="18"/>
                            <w:szCs w:val="18"/>
                          </w:rPr>
                          <w:t>监测与评价</w:t>
                        </w:r>
                      </w:p>
                    </w:txbxContent>
                  </v:textbox>
                </v:shape>
                <v:shape id="AutoShape 31349" o:spid="_x0000_s1026" o:spt="32" type="#_x0000_t32" style="position:absolute;left:4149;top:7029;height:193;width:0;" filled="f" stroked="t" coordsize="21600,21600" o:gfxdata="UEsDBAoAAAAAAIdO4kAAAAAAAAAAAAAAAAAEAAAAZHJzL1BLAwQUAAAACACHTuJAlQf6pL8AAADj&#10;AAAADwAAAGRycy9kb3ducmV2LnhtbEVPzWoCMRC+F3yHMEIvpSbRWnRrFBEKeqwKXofNdHd1M1k2&#10;0VWf3hQKHuf7n9ni6mpxoTZUng3ogQJBnHtbcWFgv/t+n4AIEdli7ZkM3CjAYt57mWFmfcc/dNnG&#10;QqQQDhkaKGNsMilDXpLDMPANceJ+feswprMtpG2xS+GulkOlPqXDilNDiQ2tSspP27MzQOE81mo5&#10;dcV+c+/eDsP7sWt2xrz2tfoCEekan+J/99qm+ZOpUqOPkdbw91MC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H+qS/&#10;AAAA4w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Text Box 31350" o:spid="_x0000_s1026" o:spt="202" type="#_x0000_t202" style="position:absolute;left:7053;top:6273;height:756;width:1051;" fillcolor="#FFFFFF" filled="t" stroked="t" coordsize="21600,21600" o:gfxdata="UEsDBAoAAAAAAIdO4kAAAAAAAAAAAAAAAAAEAAAAZHJzL1BLAwQUAAAACACHTuJAcowMcMQAAADi&#10;AAAADwAAAGRycy9kb3ducmV2LnhtbEWPQWvCQBSE70L/w/KEXkQ30Rht6uqh0KK31opeH9lnEsy+&#10;TXe30f77bkHocZiZb5jV5mZa0ZPzjWUF6SQBQVxa3XCl4PD5Ol6C8AFZY2uZFPyQh836YbDCQtsr&#10;f1C/D5WIEPYFKqhD6AopfVmTQT+xHXH0ztYZDFG6SmqH1wg3rZwmSS4NNhwXauzopabysv82CpbZ&#10;tj/53ez9WObn9imMFv3bl1PqcZgmzyAC3cJ/+N7eagXTLEsX83w+g79L8Q7I9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owMcMQAAADi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w:txbxContent>
                      <w:p w14:paraId="0149FAEC">
                        <w:pPr>
                          <w:rPr>
                            <w:rFonts w:hint="eastAsia" w:ascii="宋体" w:hAnsi="宋体" w:cs="宋体-18030"/>
                            <w:sz w:val="18"/>
                            <w:szCs w:val="18"/>
                          </w:rPr>
                        </w:pPr>
                        <w:r>
                          <w:rPr>
                            <w:rFonts w:hint="eastAsia" w:ascii="宋体" w:hAnsi="宋体" w:cs="宋体-18030"/>
                            <w:sz w:val="18"/>
                            <w:szCs w:val="18"/>
                          </w:rPr>
                          <w:t>建设项目</w:t>
                        </w:r>
                      </w:p>
                      <w:p w14:paraId="0E2BCFCF">
                        <w:pPr>
                          <w:rPr>
                            <w:rFonts w:hint="eastAsia" w:ascii="宋体" w:hAnsi="宋体" w:cs="宋体-18030"/>
                            <w:sz w:val="18"/>
                            <w:szCs w:val="18"/>
                          </w:rPr>
                        </w:pPr>
                        <w:r>
                          <w:rPr>
                            <w:rFonts w:hint="eastAsia" w:ascii="宋体" w:hAnsi="宋体" w:cs="宋体-18030"/>
                            <w:sz w:val="18"/>
                            <w:szCs w:val="18"/>
                          </w:rPr>
                          <w:t>工程分析</w:t>
                        </w:r>
                      </w:p>
                    </w:txbxContent>
                  </v:textbox>
                </v:shape>
                <v:shape id="AutoShape 31351" o:spid="_x0000_s1026" o:spt="32" type="#_x0000_t32" style="position:absolute;left:7589;top:6080;height:193;width:0;" filled="f" stroked="t" coordsize="21600,21600" o:gfxdata="UEsDBAoAAAAAAIdO4kAAAAAAAAAAAAAAAAAEAAAAZHJzL1BLAwQUAAAACACHTuJANq9TYMAAAADj&#10;AAAADwAAAGRycy9kb3ducmV2LnhtbEVPX2vCMBB/H/gdwg18GTOJbKvtjCKCsD1Ohb0ezdl2ay6l&#10;iVb99Isg7PF+/2++PLtWnKgPjWcDeqJAEJfeNlwZ2O82zzMQISJbbD2TgQsFWC5GD3MsrB/4i07b&#10;WIkUwqFAA3WMXSFlKGtyGCa+I07cwfcOYzr7StoehxTuWjlV6k06bDg11NjRuqbyd3t0BigcX7Va&#10;5a7af16Hp+/p9WfodsaMH7V6BxHpHP/Fd/eHTfOzLFe51i8Z3H5KAM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1Ng&#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31352" o:spid="_x0000_s1026" o:spt="32" type="#_x0000_t32" style="position:absolute;left:7589;top:7029;height:193;width:0;" filled="f" stroked="t" coordsize="21600,21600" o:gfxdata="UEsDBAoAAAAAAIdO4kAAAAAAAAAAAAAAAAAEAAAAZHJzL1BLAwQUAAAACACHTuJAjK1WlMAAAADj&#10;AAAADwAAAGRycy9kb3ducmV2LnhtbEVPS4vCMBC+L/gfwgh7WTSpVdFqlGVhQY8+wOvQjG13m0lp&#10;olV/vVlY8Djfe5brm63FlVpfOdaQDBUI4tyZigsNx8P3YAbCB2SDtWPScCcP61XvbYmZcR3v6LoP&#10;hYgh7DPUUIbQZFL6vCSLfuga4sidXWsxxLMtpGmxi+G2liOlptJixbGhxIa+Ssp/9xergfxlkqjP&#10;uS2O20f3cRo9frrmoPV7P1ELEIFu4SX+d29MnJ+q+TRVk3EKfz9FAOTq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VaU&#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31353" o:spid="_x0000_s1026" o:spt="32" type="#_x0000_t32" style="position:absolute;left:4159;top:7222;height:0;width:3430;" filled="f" stroked="t" coordsize="21600,21600" o:gfxdata="UEsDBAoAAAAAAIdO4kAAAAAAAAAAAAAAAAAEAAAAZHJzL1BLAwQUAAAACACHTuJATPaO38EAAADj&#10;AAAADwAAAGRycy9kb3ducmV2LnhtbEVPX2vCMBB/H+w7hBP2MmzSjrlaG2UMBvNxKuz1aM622lxK&#10;E63z05vBwMf7/b9ydbGdONPgW8ca0kSBIK6cabnWsNt+TnMQPiAb7ByThl/ysFo+PpRYGDfyN503&#10;oRYxhH2BGpoQ+kJKXzVk0SeuJ47c3g0WQzyHWpoBxxhuO5kpNZMWW44NDfb00VB13JysBvKn11S9&#10;z229W1/H55/sehj7rdZPk1QtQAS6hLv43/1l4vx8luXqba5e4O+nCI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aO&#10;38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line id="Line 31354" o:spid="_x0000_s1026" o:spt="20" style="position:absolute;left:5890;top:7226;height:539;width:0;" filled="f" stroked="t" coordsize="21600,21600" o:gfxdata="UEsDBAoAAAAAAIdO4kAAAAAAAAAAAAAAAAAEAAAAZHJzL1BLAwQUAAAACACHTuJA4Q5ax8YAAADi&#10;AAAADwAAAGRycy9kb3ducmV2LnhtbEWPT2vCQBTE74V+h+UVvNVNrKYhdfVQsAj+KWop7e2RfU1C&#10;s2/D7qrpt+8KgsdhZn7DTOe9acWJnG8sK0iHCQji0uqGKwUfh8VjDsIHZI2tZVLwRx7ms/u7KRba&#10;nnlHp32oRISwL1BBHUJXSOnLmgz6oe2Io/djncEQpaukdniOcNPKUZJk0mDDcaHGjl5rKn/3R6Ng&#10;t16s8s/VsS/d91u6PbyvN18+V2rwkCYvIAL14Ra+tpdaQf48yrLx02QMl0vxDsjZP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hDlrH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shape id="Text Box 31355" o:spid="_x0000_s1026" o:spt="202" type="#_x0000_t202" style="position:absolute;left:3828;top:9009;height:1026;width:4123;" fillcolor="#FFFFFF" filled="t" stroked="t" coordsize="21600,21600" o:gfxdata="UEsDBAoAAAAAAIdO4kAAAAAAAAAAAAAAAAAEAAAAZHJzL1BLAwQUAAAACACHTuJA0zjdesEAAADi&#10;AAAADwAAAGRycy9kb3ducmV2LnhtbEVPz2vCMBS+D/wfwhvsNhMrK9IZPVQHgpetimy3t+YtLTYv&#10;pYnW/ffLYLDjx/d7ub65TlxpCK1nDbOpAkFce9Oy1XA8vDwuQISIbLDzTBq+KcB6NblbYmH8yG90&#10;raIVKYRDgRqaGPtCylA35DBMfU+cuC8/OIwJDlaaAccU7jqZKZVLhy2nhgZ7Khuqz9XFaajK7WKr&#10;9pvL5+7j/L4fTzZ7La3WD/cz9Qwi0i3+i//cO5Pmz1We5fPsCX4vJQx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zjd&#10;esEAAADi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1.27mm,2.54mm,0.5mm">
                    <w:txbxContent>
                      <w:p w14:paraId="5F15BA17">
                        <w:pPr>
                          <w:rPr>
                            <w:rFonts w:hint="eastAsia" w:ascii="宋体" w:hAnsi="宋体" w:cs="宋体-18030"/>
                            <w:sz w:val="18"/>
                            <w:szCs w:val="18"/>
                          </w:rPr>
                        </w:pPr>
                        <w:r>
                          <w:rPr>
                            <w:rFonts w:hint="eastAsia" w:ascii="宋体" w:hAnsi="宋体" w:cs="宋体-18030"/>
                            <w:sz w:val="18"/>
                            <w:szCs w:val="18"/>
                          </w:rPr>
                          <w:t>1提出环境保护措施，进行技术经济论证</w:t>
                        </w:r>
                      </w:p>
                      <w:p w14:paraId="5F90F33F">
                        <w:pPr>
                          <w:rPr>
                            <w:rFonts w:hint="eastAsia" w:ascii="宋体" w:hAnsi="宋体" w:cs="宋体-18030"/>
                            <w:sz w:val="18"/>
                            <w:szCs w:val="18"/>
                          </w:rPr>
                        </w:pPr>
                        <w:r>
                          <w:rPr>
                            <w:rFonts w:hint="eastAsia" w:ascii="宋体" w:hAnsi="宋体" w:cs="宋体-18030"/>
                            <w:sz w:val="18"/>
                            <w:szCs w:val="18"/>
                          </w:rPr>
                          <w:t>2给出污染物排放清单</w:t>
                        </w:r>
                      </w:p>
                      <w:p w14:paraId="56D0B17F">
                        <w:pPr>
                          <w:rPr>
                            <w:rFonts w:hint="eastAsia" w:ascii="宋体" w:hAnsi="宋体" w:cs="宋体-18030"/>
                            <w:sz w:val="18"/>
                            <w:szCs w:val="18"/>
                          </w:rPr>
                        </w:pPr>
                        <w:r>
                          <w:rPr>
                            <w:rFonts w:hint="eastAsia" w:ascii="宋体" w:hAnsi="宋体" w:cs="宋体-18030"/>
                            <w:sz w:val="18"/>
                            <w:szCs w:val="18"/>
                          </w:rPr>
                          <w:t>3给出建设项目环境影响评价结论</w:t>
                        </w:r>
                      </w:p>
                    </w:txbxContent>
                  </v:textbox>
                </v:shape>
                <v:shape id="Text Box 31356" o:spid="_x0000_s1026" o:spt="202" type="#_x0000_t202" style="position:absolute;left:3859;top:7765;height:714;width:4085;" fillcolor="#FFFFFF" filled="t" stroked="t" coordsize="21600,21600" o:gfxdata="UEsDBAoAAAAAAIdO4kAAAAAAAAAAAAAAAAAEAAAAZHJzL1BLAwQUAAAACACHTuJAsvat2cIAAADj&#10;AAAADwAAAGRycy9kb3ducmV2LnhtbEVPT0vDMBS/C36H8ARvLklFLXXZDnXCYBetInp7Ns+0rHkp&#10;TbbOb28EweP7/X/L9ckP4khT7AMb0AsFgrgNtmdn4PXl8aoEEROyxSEwGfimCOvV+dkSKxtmfqZj&#10;k5zIIRwrNNClNFZSxrYjj3ERRuLMfYXJY8rn5KSdcM7hfpCFUrfSY8+5ocOR6o7afXPwBpp6U27U&#10;7uHwuf3Yv+/mN1c81c6Yywut7kEkOqV/8Z97a/P88q7Q+loXN/D7UwZ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L2&#10;rdn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inset="2.54mm,1.27mm,2.54mm,0.5mm">
                    <w:txbxContent>
                      <w:p w14:paraId="7B92AB8D">
                        <w:pPr>
                          <w:rPr>
                            <w:rFonts w:hint="eastAsia" w:ascii="宋体" w:hAnsi="宋体" w:cs="宋体-18030"/>
                            <w:sz w:val="18"/>
                            <w:szCs w:val="18"/>
                          </w:rPr>
                        </w:pPr>
                        <w:r>
                          <w:rPr>
                            <w:rFonts w:hint="eastAsia" w:ascii="宋体" w:hAnsi="宋体" w:cs="宋体-18030"/>
                            <w:sz w:val="18"/>
                            <w:szCs w:val="18"/>
                          </w:rPr>
                          <w:t>1各环境要素环境影响预测与评价</w:t>
                        </w:r>
                      </w:p>
                      <w:p w14:paraId="44CC3A35">
                        <w:pPr>
                          <w:rPr>
                            <w:rFonts w:hint="eastAsia" w:ascii="宋体" w:hAnsi="宋体" w:cs="宋体-18030"/>
                            <w:sz w:val="18"/>
                            <w:szCs w:val="18"/>
                          </w:rPr>
                        </w:pPr>
                        <w:r>
                          <w:rPr>
                            <w:rFonts w:hint="eastAsia" w:ascii="宋体" w:hAnsi="宋体" w:cs="宋体-18030"/>
                            <w:sz w:val="18"/>
                            <w:szCs w:val="18"/>
                          </w:rPr>
                          <w:t>2各专题环境影响分析与评价</w:t>
                        </w:r>
                      </w:p>
                    </w:txbxContent>
                  </v:textbox>
                </v:shape>
                <v:line id="Line 31357" o:spid="_x0000_s1026" o:spt="20" style="position:absolute;left:5897;top:8479;height:539;width:0;" filled="f" stroked="t" coordsize="21600,21600" o:gfxdata="UEsDBAoAAAAAAIdO4kAAAAAAAAAAAAAAAAAEAAAAZHJzL1BLAwQUAAAACACHTuJAb72Gs8QAAADi&#10;AAAADwAAAGRycy9kb3ducmV2LnhtbEWPy2oCMRSG94W+QzgFdzUZwTqdGl0UFMFLUUtpd4fJ6czQ&#10;ycmQRJ2+vVkILn/+G9903ttWnMmHxrGGbKhAEJfONFxp+DwunnMQISIbbB2Thn8KMJ89PkyxMO7C&#10;ezofYiXSCIcCNdQxdoWUoazJYhi6jjh5v85bjEn6ShqPlzRuWzlS6kVabDg91NjRe03l3+FkNew3&#10;i3X+tT71pf9ZZrvjx2b7HXKtB0+ZegMRqY/38K29MhpG48nrROUqQSSkhANyd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72Gs8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line>
                <v:shape id="Text Box 31358" o:spid="_x0000_s1026" o:spt="202" type="#_x0000_t202" style="position:absolute;left:4675;top:10574;height:331;width:2405;" fillcolor="#FFFFFF" filled="t" stroked="t" coordsize="21600,21600" o:gfxdata="UEsDBAoAAAAAAIdO4kAAAAAAAAAAAAAAAAAEAAAAZHJzL1BLAwQUAAAACACHTuJAEViRJcMAAADi&#10;AAAADwAAAGRycy9kb3ducmV2LnhtbEWPT0sDMRTE70K/Q3gFbzbZZVF3bVraglDxYlvx/Ni8/aOb&#10;lyWJ2/rtjSD0OMzMb5jl+mIHMZEPvWMN2UKBIK6d6bnV8H56vnsEESKywcExafihAOvV7GaJlXFn&#10;PtB0jK1IEA4VauhiHCspQ92RxbBwI3HyGuctxiR9K43Hc4LbQeZK3UuLPaeFDkfadVR/Hb+thtO0&#10;DfvDZyzNS7OV+Wvzln/4jda380w9gYh0idfwf3tvNDwUqiiLvMzg71K6A3L1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WJEl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0mm,0mm,0mm,0mm">
                    <w:txbxContent>
                      <w:p w14:paraId="17424689">
                        <w:pPr>
                          <w:jc w:val="center"/>
                          <w:rPr>
                            <w:rFonts w:hint="eastAsia" w:ascii="宋体" w:hAnsi="宋体" w:cs="宋体-18030"/>
                            <w:sz w:val="18"/>
                            <w:szCs w:val="18"/>
                          </w:rPr>
                        </w:pPr>
                        <w:r>
                          <w:rPr>
                            <w:rFonts w:hint="eastAsia" w:ascii="宋体" w:hAnsi="宋体" w:cs="宋体-18030"/>
                            <w:sz w:val="18"/>
                            <w:szCs w:val="18"/>
                          </w:rPr>
                          <w:t>编制环境影响评价书</w:t>
                        </w:r>
                      </w:p>
                    </w:txbxContent>
                  </v:textbox>
                </v:shape>
                <v:shape id="Text Box 31330" o:spid="_x0000_s1026" o:spt="202" type="#_x0000_t202" style="position:absolute;left:3836;top:3926;height:990;width:4123;" fillcolor="#FFFFFF" filled="t" stroked="t" coordsize="21600,21600" o:gfxdata="UEsDBAoAAAAAAIdO4kAAAAAAAAAAAAAAAAAEAAAAZHJzL1BLAwQUAAAACACHTuJAo8pgtsYAAADj&#10;AAAADwAAAGRycy9kb3ducmV2LnhtbEWPQU/DMAyF70j7D5GRuLGk1RijW7ZDN6RJu0BBCG5ZY9Jq&#10;jVM12Tr+PT4gcbT9/N77Vpur78QFh9gG0pBNFQikOtiWnIb3t+f7BYiYDFnTBUINPxhhs57crExh&#10;w0iveKmSE2xCsTAampT6QspYN+hNnIYeiW/fYfAm8Tg4aQczsrnvZK7UXHrTEic0pseywfpUnb2G&#10;qtwtduqwPR/3X6fPw/jh8pfSaX13m6kliITX9C/++95brj+fzbKH/OmRKZiJFyDX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jymC2xgAAAOMAAAAPAAAAAAAAAAEAIAAAACIAAABkcnMvZG93bnJldi54bWxQSwECFAAUAAAA&#10;CACHTuJAMy8FnjsAAAA5AAAAEAAAAAAAAAABACAAAAAVAQAAZHJzL3NoYXBleG1sLnhtbFBLBQYA&#10;AAAABgAGAFsBAAC/AwAAAAA=&#10;">
                  <v:fill on="t" focussize="0,0"/>
                  <v:stroke color="#000000" miterlimit="8" joinstyle="miter"/>
                  <v:imagedata o:title=""/>
                  <o:lock v:ext="edit" aspectratio="f"/>
                  <v:textbox inset="2.54mm,1.27mm,2.54mm,0.5mm">
                    <w:txbxContent>
                      <w:p w14:paraId="4EFAEF0F">
                        <w:pPr>
                          <w:rPr>
                            <w:rFonts w:hint="eastAsia" w:ascii="宋体" w:hAnsi="宋体" w:cs="宋体-18030"/>
                            <w:sz w:val="18"/>
                            <w:szCs w:val="18"/>
                          </w:rPr>
                        </w:pPr>
                        <w:r>
                          <w:rPr>
                            <w:rFonts w:hint="eastAsia" w:ascii="宋体" w:hAnsi="宋体" w:cs="宋体-18030"/>
                            <w:sz w:val="18"/>
                            <w:szCs w:val="18"/>
                          </w:rPr>
                          <w:t>1环境影响识别和评价因子筛选</w:t>
                        </w:r>
                      </w:p>
                      <w:p w14:paraId="0BB1F4AF">
                        <w:pPr>
                          <w:rPr>
                            <w:rFonts w:hint="eastAsia" w:ascii="宋体" w:hAnsi="宋体" w:cs="宋体-18030"/>
                            <w:sz w:val="18"/>
                            <w:szCs w:val="18"/>
                          </w:rPr>
                        </w:pPr>
                        <w:r>
                          <w:rPr>
                            <w:rFonts w:hint="eastAsia" w:ascii="宋体" w:hAnsi="宋体" w:cs="宋体-18030"/>
                            <w:sz w:val="18"/>
                            <w:szCs w:val="18"/>
                          </w:rPr>
                          <w:t>2明确评价重点和环境保护目标</w:t>
                        </w:r>
                      </w:p>
                      <w:p w14:paraId="45049612">
                        <w:pPr>
                          <w:rPr>
                            <w:rFonts w:hint="eastAsia" w:ascii="宋体" w:hAnsi="宋体" w:cs="宋体-18030"/>
                            <w:sz w:val="18"/>
                            <w:szCs w:val="18"/>
                          </w:rPr>
                        </w:pPr>
                        <w:r>
                          <w:rPr>
                            <w:rFonts w:hint="eastAsia" w:ascii="宋体" w:hAnsi="宋体" w:cs="宋体-18030"/>
                            <w:sz w:val="18"/>
                            <w:szCs w:val="18"/>
                          </w:rPr>
                          <w:t>3确定工作等级、评价范围和评价标准</w:t>
                        </w:r>
                      </w:p>
                    </w:txbxContent>
                  </v:textbox>
                </v:shape>
                <v:line id="Line 31354" o:spid="_x0000_s1026" o:spt="20" style="position:absolute;left:5880;top:10035;height:539;width:0;" filled="f" stroked="t" coordsize="21600,21600" o:gfxdata="UEsDBAoAAAAAAIdO4kAAAAAAAAAAAAAAAAAEAAAAZHJzL1BLAwQUAAAACACHTuJAVwLTpMYAAADi&#10;AAAADwAAAGRycy9kb3ducmV2LnhtbEWPQWsCMRSE70L/Q3iF3jS7rWi6Gj0ULAVti1pEb4/N6+7S&#10;zcuSRN3++6ZQ6HGYmW+Y+bK3rbiQD41jDfkoA0FcOtNwpeFjvxoqECEiG2wdk4ZvCrBc3AzmWBh3&#10;5S1ddrESCcKhQA11jF0hZShrshhGriNO3qfzFmOSvpLG4zXBbSvvs2wiLTacFmrs6Kmm8mt3thq2&#10;m9VaHdbnvvSn5/xt/755PQal9d1tns1AROrjf/iv/WI0PIyVmk4nj2P4vZTugFz8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XAtOk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w10:wrap type="none"/>
                <w10:anchorlock/>
              </v:group>
            </w:pict>
          </mc:Fallback>
        </mc:AlternateContent>
      </w:r>
    </w:p>
    <w:p w14:paraId="134F4A60">
      <w:pPr>
        <w:pStyle w:val="132"/>
        <w:rPr>
          <w:color w:val="auto"/>
        </w:rPr>
      </w:pPr>
      <w:bookmarkStart w:id="39" w:name="_Toc17889827"/>
      <w:bookmarkEnd w:id="39"/>
      <w:bookmarkStart w:id="40" w:name="_Toc8309694"/>
      <w:bookmarkEnd w:id="40"/>
      <w:bookmarkStart w:id="41" w:name="_Toc8837220"/>
      <w:bookmarkEnd w:id="41"/>
      <w:bookmarkStart w:id="42" w:name="_Toc4075573"/>
      <w:bookmarkEnd w:id="42"/>
      <w:bookmarkStart w:id="43" w:name="_Toc18344682"/>
      <w:bookmarkEnd w:id="43"/>
      <w:bookmarkStart w:id="44" w:name="_Toc5613740"/>
      <w:bookmarkEnd w:id="44"/>
      <w:bookmarkStart w:id="45" w:name="_Toc17294576"/>
      <w:bookmarkEnd w:id="45"/>
      <w:bookmarkStart w:id="46" w:name="_Toc18344574"/>
      <w:bookmarkEnd w:id="46"/>
      <w:bookmarkStart w:id="47" w:name="_Toc22026210"/>
      <w:bookmarkEnd w:id="47"/>
    </w:p>
    <w:p w14:paraId="63E4F6A0">
      <w:pPr>
        <w:pStyle w:val="3"/>
        <w:rPr>
          <w:color w:val="auto"/>
        </w:rPr>
      </w:pPr>
      <w:bookmarkStart w:id="48" w:name="_Toc229930110"/>
      <w:r>
        <w:rPr>
          <w:color w:val="auto"/>
        </w:rPr>
        <w:t>分析判定相关情况</w:t>
      </w:r>
      <w:bookmarkEnd w:id="48"/>
    </w:p>
    <w:p w14:paraId="61D64957">
      <w:pPr>
        <w:pStyle w:val="4"/>
        <w:rPr>
          <w:color w:val="auto"/>
        </w:rPr>
      </w:pPr>
      <w:r>
        <w:rPr>
          <w:rFonts w:hint="eastAsia"/>
          <w:color w:val="auto"/>
        </w:rPr>
        <w:t>政策符合性分析</w:t>
      </w:r>
    </w:p>
    <w:p w14:paraId="74C87A0D">
      <w:pPr>
        <w:pStyle w:val="5"/>
        <w:rPr>
          <w:color w:val="auto"/>
        </w:rPr>
      </w:pPr>
      <w:r>
        <w:rPr>
          <w:color w:val="auto"/>
        </w:rPr>
        <w:t>产业政策符合性分析</w:t>
      </w:r>
    </w:p>
    <w:p w14:paraId="49FF30B2">
      <w:pPr>
        <w:pStyle w:val="132"/>
        <w:rPr>
          <w:color w:val="auto"/>
        </w:rPr>
      </w:pPr>
      <w:r>
        <w:rPr>
          <w:rFonts w:hint="eastAsia"/>
          <w:color w:val="auto"/>
        </w:rPr>
        <w:t>项目为危险废物处置项目，属于</w:t>
      </w:r>
      <w:r>
        <w:rPr>
          <w:color w:val="auto"/>
        </w:rPr>
        <w:t>《产业结构调整指导目录（2024 年本）》</w:t>
      </w:r>
      <w:r>
        <w:rPr>
          <w:rFonts w:hint="eastAsia"/>
          <w:color w:val="auto"/>
        </w:rPr>
        <w:t xml:space="preserve">和《西部地区鼓励类产业目录（2025年本）》的鼓励类：“四十二、环境保护与资源节约综合利用 </w:t>
      </w:r>
      <w:r>
        <w:rPr>
          <w:color w:val="auto"/>
        </w:rPr>
        <w:t>6</w:t>
      </w:r>
      <w:r>
        <w:rPr>
          <w:rFonts w:hint="eastAsia"/>
          <w:color w:val="auto"/>
        </w:rPr>
        <w:t>。危险废弃物处置：危险废物（医疗废物）利用处置中心建设和运营”；项目利用废酸、废碱生产催化剂载体材料，进一步生产工业催化剂，属于鼓励类：“四十二、环境保护与资源节约综合利用 10.工业“三废”循环利用：“三废”综合利用于治理技术、装备和工程”；项目未使用</w:t>
      </w:r>
      <w:r>
        <w:rPr>
          <w:color w:val="auto"/>
        </w:rPr>
        <w:t>《产业结构调整指导目录（2024 年本）》</w:t>
      </w:r>
      <w:r>
        <w:rPr>
          <w:rFonts w:hint="eastAsia"/>
          <w:color w:val="auto"/>
        </w:rPr>
        <w:t>中落后的生产工艺装备，生产的工业催化剂均不属于落后产品，符合国家产业政策要求。</w:t>
      </w:r>
    </w:p>
    <w:p w14:paraId="5DFBECC3">
      <w:pPr>
        <w:pStyle w:val="132"/>
        <w:rPr>
          <w:color w:val="auto"/>
        </w:rPr>
      </w:pPr>
      <w:r>
        <w:rPr>
          <w:rFonts w:hint="eastAsia"/>
          <w:color w:val="auto"/>
        </w:rPr>
        <w:t>2025年12月，乌鲁木齐甘泉堡经济技术开发区（工业区）经济发展局对项目进行了备案，备案证号：</w:t>
      </w:r>
      <w:r>
        <w:rPr>
          <w:color w:val="auto"/>
        </w:rPr>
        <w:t>25</w:t>
      </w:r>
      <w:r>
        <w:rPr>
          <w:rFonts w:hint="eastAsia"/>
          <w:color w:val="auto"/>
        </w:rPr>
        <w:t>12021177650108000046。</w:t>
      </w:r>
    </w:p>
    <w:p w14:paraId="24B6D559">
      <w:pPr>
        <w:pStyle w:val="132"/>
        <w:rPr>
          <w:color w:val="auto"/>
        </w:rPr>
      </w:pPr>
      <w:r>
        <w:rPr>
          <w:rFonts w:hint="eastAsia"/>
          <w:color w:val="auto"/>
        </w:rPr>
        <w:t>经对照分析，本项目符合</w:t>
      </w:r>
      <w:r>
        <w:rPr>
          <w:color w:val="auto"/>
        </w:rPr>
        <w:t>《新疆维吾尔自治区新建化工项目准入条件》（新工信石化〔2021〕1号）</w:t>
      </w:r>
      <w:r>
        <w:rPr>
          <w:rFonts w:hint="eastAsia"/>
          <w:color w:val="auto"/>
        </w:rPr>
        <w:t>、《新疆</w:t>
      </w:r>
      <w:r>
        <w:rPr>
          <w:color w:val="auto"/>
        </w:rPr>
        <w:t>维吾尔自治区</w:t>
      </w:r>
      <w:r>
        <w:rPr>
          <w:rFonts w:hint="eastAsia"/>
          <w:color w:val="auto"/>
        </w:rPr>
        <w:t>重点行业生态环境准入条件（2024年）》（新环环评发</w:t>
      </w:r>
      <w:r>
        <w:rPr>
          <w:color w:val="auto"/>
        </w:rPr>
        <w:t>〔202</w:t>
      </w:r>
      <w:r>
        <w:rPr>
          <w:rFonts w:hint="eastAsia"/>
          <w:color w:val="auto"/>
        </w:rPr>
        <w:t>4</w:t>
      </w:r>
      <w:r>
        <w:rPr>
          <w:color w:val="auto"/>
        </w:rPr>
        <w:t>〕</w:t>
      </w:r>
      <w:r>
        <w:rPr>
          <w:rFonts w:hint="eastAsia"/>
          <w:color w:val="auto"/>
        </w:rPr>
        <w:t>93</w:t>
      </w:r>
      <w:r>
        <w:rPr>
          <w:color w:val="auto"/>
        </w:rPr>
        <w:t>号</w:t>
      </w:r>
      <w:r>
        <w:rPr>
          <w:rFonts w:hint="eastAsia"/>
          <w:color w:val="auto"/>
        </w:rPr>
        <w:t>）等政策要求，符合性分析见表1.3-1。</w:t>
      </w:r>
    </w:p>
    <w:p w14:paraId="15238F60">
      <w:pPr>
        <w:pStyle w:val="132"/>
        <w:rPr>
          <w:color w:val="auto"/>
        </w:rPr>
      </w:pPr>
    </w:p>
    <w:p w14:paraId="104019C3">
      <w:pPr>
        <w:pStyle w:val="132"/>
        <w:rPr>
          <w:color w:val="auto"/>
        </w:rPr>
        <w:sectPr>
          <w:type w:val="continuous"/>
          <w:pgSz w:w="11906" w:h="16838"/>
          <w:pgMar w:top="1440" w:right="1588" w:bottom="1389" w:left="1588" w:header="737" w:footer="850" w:gutter="0"/>
          <w:pgNumType w:start="1"/>
          <w:cols w:space="425" w:num="1"/>
          <w:docGrid w:type="lines" w:linePitch="312" w:charSpace="0"/>
        </w:sectPr>
      </w:pPr>
    </w:p>
    <w:p w14:paraId="0629170C">
      <w:pPr>
        <w:pStyle w:val="1060"/>
        <w:rPr>
          <w:color w:val="auto"/>
        </w:rPr>
      </w:pPr>
      <w:bookmarkStart w:id="49" w:name="OLE_LINK3"/>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bookmarkEnd w:id="49"/>
      <w:r>
        <w:rPr>
          <w:color w:val="auto"/>
        </w:rPr>
        <w:t xml:space="preserve">   本项目与相关产业政策的符合性分析</w:t>
      </w:r>
    </w:p>
    <w:tbl>
      <w:tblPr>
        <w:tblStyle w:val="1937"/>
        <w:tblW w:w="5000" w:type="pct"/>
        <w:tblInd w:w="-1"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576"/>
        <w:gridCol w:w="1470"/>
        <w:gridCol w:w="6184"/>
        <w:gridCol w:w="4568"/>
        <w:gridCol w:w="919"/>
      </w:tblGrid>
      <w:tr w14:paraId="310F600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210" w:type="pct"/>
            <w:vAlign w:val="center"/>
          </w:tcPr>
          <w:p w14:paraId="7165EC97">
            <w:pPr>
              <w:pStyle w:val="129"/>
              <w:widowControl w:val="0"/>
              <w:rPr>
                <w:color w:val="auto"/>
              </w:rPr>
            </w:pPr>
            <w:r>
              <w:rPr>
                <w:rFonts w:hint="eastAsia"/>
                <w:color w:val="auto"/>
              </w:rPr>
              <w:t>序号</w:t>
            </w:r>
          </w:p>
        </w:tc>
        <w:tc>
          <w:tcPr>
            <w:tcW w:w="536" w:type="pct"/>
            <w:vAlign w:val="center"/>
          </w:tcPr>
          <w:p w14:paraId="6E3256C3">
            <w:pPr>
              <w:pStyle w:val="129"/>
              <w:widowControl w:val="0"/>
              <w:rPr>
                <w:color w:val="auto"/>
              </w:rPr>
            </w:pPr>
            <w:r>
              <w:rPr>
                <w:color w:val="auto"/>
              </w:rPr>
              <w:t>政策文件</w:t>
            </w:r>
          </w:p>
        </w:tc>
        <w:tc>
          <w:tcPr>
            <w:tcW w:w="2254" w:type="pct"/>
            <w:vAlign w:val="center"/>
          </w:tcPr>
          <w:p w14:paraId="1C376510">
            <w:pPr>
              <w:pStyle w:val="129"/>
              <w:widowControl w:val="0"/>
              <w:rPr>
                <w:color w:val="auto"/>
              </w:rPr>
            </w:pPr>
            <w:r>
              <w:rPr>
                <w:color w:val="auto"/>
              </w:rPr>
              <w:t>具体要求</w:t>
            </w:r>
          </w:p>
        </w:tc>
        <w:tc>
          <w:tcPr>
            <w:tcW w:w="1665" w:type="pct"/>
            <w:vAlign w:val="center"/>
          </w:tcPr>
          <w:p w14:paraId="142CD1C9">
            <w:pPr>
              <w:pStyle w:val="129"/>
              <w:widowControl w:val="0"/>
              <w:rPr>
                <w:color w:val="auto"/>
              </w:rPr>
            </w:pPr>
            <w:r>
              <w:rPr>
                <w:color w:val="auto"/>
              </w:rPr>
              <w:t>本项目情况</w:t>
            </w:r>
          </w:p>
        </w:tc>
        <w:tc>
          <w:tcPr>
            <w:tcW w:w="335" w:type="pct"/>
            <w:vAlign w:val="center"/>
          </w:tcPr>
          <w:p w14:paraId="1678BDA0">
            <w:pPr>
              <w:pStyle w:val="129"/>
              <w:widowControl w:val="0"/>
              <w:rPr>
                <w:color w:val="auto"/>
              </w:rPr>
            </w:pPr>
            <w:r>
              <w:rPr>
                <w:color w:val="auto"/>
              </w:rPr>
              <w:t>符合性</w:t>
            </w:r>
          </w:p>
        </w:tc>
      </w:tr>
      <w:tr w14:paraId="60F4894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0" w:type="pct"/>
            <w:vMerge w:val="restart"/>
            <w:vAlign w:val="center"/>
          </w:tcPr>
          <w:p w14:paraId="35E45353">
            <w:pPr>
              <w:pStyle w:val="129"/>
              <w:widowControl w:val="0"/>
              <w:rPr>
                <w:color w:val="auto"/>
              </w:rPr>
            </w:pPr>
            <w:r>
              <w:rPr>
                <w:rFonts w:hint="eastAsia"/>
                <w:color w:val="auto"/>
              </w:rPr>
              <w:t>1</w:t>
            </w:r>
          </w:p>
        </w:tc>
        <w:tc>
          <w:tcPr>
            <w:tcW w:w="536" w:type="pct"/>
            <w:vMerge w:val="restart"/>
            <w:vAlign w:val="center"/>
          </w:tcPr>
          <w:p w14:paraId="135D5C04">
            <w:pPr>
              <w:pStyle w:val="129"/>
              <w:widowControl w:val="0"/>
              <w:rPr>
                <w:rFonts w:eastAsia="Times New Roman"/>
                <w:color w:val="auto"/>
                <w:spacing w:val="6"/>
              </w:rPr>
            </w:pPr>
            <w:r>
              <w:rPr>
                <w:color w:val="auto"/>
              </w:rPr>
              <w:t>《新疆维吾尔自治区新建化工</w:t>
            </w:r>
            <w:r>
              <w:rPr>
                <w:color w:val="auto"/>
                <w:spacing w:val="6"/>
              </w:rPr>
              <w:t>项目准入条件》（新工信石化〔</w:t>
            </w:r>
            <w:r>
              <w:rPr>
                <w:rFonts w:eastAsia="Times New Roman"/>
                <w:color w:val="auto"/>
                <w:spacing w:val="6"/>
              </w:rPr>
              <w:t>2021</w:t>
            </w:r>
            <w:r>
              <w:rPr>
                <w:color w:val="auto"/>
                <w:spacing w:val="6"/>
              </w:rPr>
              <w:t>〕</w:t>
            </w:r>
            <w:r>
              <w:rPr>
                <w:rFonts w:eastAsia="Times New Roman"/>
                <w:color w:val="auto"/>
                <w:spacing w:val="6"/>
              </w:rPr>
              <w:t>1</w:t>
            </w:r>
            <w:r>
              <w:rPr>
                <w:color w:val="auto"/>
                <w:spacing w:val="6"/>
              </w:rPr>
              <w:t>号）</w:t>
            </w:r>
          </w:p>
          <w:p w14:paraId="7F9FB627">
            <w:pPr>
              <w:widowControl w:val="0"/>
              <w:jc w:val="center"/>
              <w:rPr>
                <w:color w:val="auto"/>
              </w:rPr>
            </w:pPr>
          </w:p>
        </w:tc>
        <w:tc>
          <w:tcPr>
            <w:tcW w:w="2254" w:type="pct"/>
            <w:vAlign w:val="center"/>
          </w:tcPr>
          <w:p w14:paraId="2D1BF8EB">
            <w:pPr>
              <w:pStyle w:val="129"/>
              <w:widowControl w:val="0"/>
              <w:jc w:val="left"/>
              <w:rPr>
                <w:color w:val="auto"/>
              </w:rPr>
            </w:pPr>
            <w:r>
              <w:rPr>
                <w:color w:val="auto"/>
              </w:rPr>
              <w:t>严禁新建国家《产业结构调整指导目录》、自治区《禁止、控制和限制危险化学品目录》中淘汰类、禁止类危险 化学品化工项目。按照国家《产业结构调整指导目录》中限制类产业及自治区《禁止、控制和限制危险化学品目录》控制和限制类危险化学品要求，严格控制过剩行业新增产能，确有必要建设的项目实行等量或减量置换，严格控制涉及有毒气体和爆炸危险性化学品的建设项目。坚决遏制“两高”项目盲目发展，石化、现代煤化工项目应纳入国家产业规划。</w:t>
            </w:r>
          </w:p>
        </w:tc>
        <w:tc>
          <w:tcPr>
            <w:tcW w:w="1665" w:type="pct"/>
            <w:vAlign w:val="center"/>
          </w:tcPr>
          <w:p w14:paraId="252927DD">
            <w:pPr>
              <w:pStyle w:val="129"/>
              <w:widowControl w:val="0"/>
              <w:rPr>
                <w:color w:val="auto"/>
              </w:rPr>
            </w:pPr>
            <w:r>
              <w:rPr>
                <w:color w:val="auto"/>
              </w:rPr>
              <w:t>（1）本项目</w:t>
            </w:r>
            <w:r>
              <w:rPr>
                <w:rFonts w:hint="eastAsia"/>
                <w:color w:val="auto"/>
              </w:rPr>
              <w:t>危险废物处置</w:t>
            </w:r>
            <w:r>
              <w:rPr>
                <w:color w:val="auto"/>
              </w:rPr>
              <w:t>为《产业结构调整指导目录（2024年版）》鼓励类项目，</w:t>
            </w:r>
            <w:r>
              <w:rPr>
                <w:rFonts w:hint="eastAsia"/>
                <w:color w:val="auto"/>
              </w:rPr>
              <w:t>催化剂生产为允许类，未使用</w:t>
            </w:r>
            <w:r>
              <w:rPr>
                <w:color w:val="auto"/>
              </w:rPr>
              <w:t>《产业结构调整指导目录（2024 年本）》</w:t>
            </w:r>
            <w:r>
              <w:rPr>
                <w:rFonts w:hint="eastAsia"/>
                <w:color w:val="auto"/>
              </w:rPr>
              <w:t>中落后的生产工艺装备，生产的工业催化剂均不属于落后产品，符合国家产业政策要求。</w:t>
            </w:r>
          </w:p>
          <w:p w14:paraId="36EB109E">
            <w:pPr>
              <w:pStyle w:val="129"/>
              <w:widowControl w:val="0"/>
              <w:rPr>
                <w:color w:val="auto"/>
              </w:rPr>
            </w:pPr>
            <w:r>
              <w:rPr>
                <w:color w:val="auto"/>
              </w:rPr>
              <w:t>（2）本项目原料、产品及中间产品均不属于自治区《禁止、控制和限制危险化学品目录》中淘汰类、禁止类危险化学品，且未纳入《中国严格限制的有毒化学品名录》（2020年）。</w:t>
            </w:r>
          </w:p>
          <w:p w14:paraId="72E9543D">
            <w:pPr>
              <w:pStyle w:val="129"/>
              <w:widowControl w:val="0"/>
              <w:rPr>
                <w:color w:val="auto"/>
              </w:rPr>
            </w:pPr>
            <w:r>
              <w:rPr>
                <w:color w:val="auto"/>
              </w:rPr>
              <w:t>（</w:t>
            </w:r>
            <w:r>
              <w:rPr>
                <w:rFonts w:hint="eastAsia"/>
                <w:color w:val="auto"/>
              </w:rPr>
              <w:t>3</w:t>
            </w:r>
            <w:r>
              <w:rPr>
                <w:color w:val="auto"/>
              </w:rPr>
              <w:t>）本项目已取得备案文件（见附件）。</w:t>
            </w:r>
          </w:p>
        </w:tc>
        <w:tc>
          <w:tcPr>
            <w:tcW w:w="335" w:type="pct"/>
            <w:vAlign w:val="center"/>
          </w:tcPr>
          <w:p w14:paraId="7C519600">
            <w:pPr>
              <w:pStyle w:val="129"/>
              <w:widowControl w:val="0"/>
              <w:rPr>
                <w:color w:val="auto"/>
              </w:rPr>
            </w:pPr>
            <w:r>
              <w:rPr>
                <w:rFonts w:hint="eastAsia"/>
                <w:color w:val="auto"/>
              </w:rPr>
              <w:t>符合</w:t>
            </w:r>
          </w:p>
        </w:tc>
      </w:tr>
      <w:tr w14:paraId="0F154C7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490" w:hRule="atLeast"/>
        </w:trPr>
        <w:tc>
          <w:tcPr>
            <w:tcW w:w="210" w:type="pct"/>
            <w:vMerge w:val="continue"/>
            <w:vAlign w:val="center"/>
          </w:tcPr>
          <w:p w14:paraId="2043CF80">
            <w:pPr>
              <w:pStyle w:val="129"/>
              <w:widowControl w:val="0"/>
              <w:rPr>
                <w:color w:val="auto"/>
              </w:rPr>
            </w:pPr>
          </w:p>
        </w:tc>
        <w:tc>
          <w:tcPr>
            <w:tcW w:w="536" w:type="pct"/>
            <w:vMerge w:val="continue"/>
            <w:vAlign w:val="center"/>
          </w:tcPr>
          <w:p w14:paraId="647C1F64">
            <w:pPr>
              <w:pStyle w:val="129"/>
              <w:widowControl w:val="0"/>
              <w:rPr>
                <w:color w:val="auto"/>
              </w:rPr>
            </w:pPr>
          </w:p>
        </w:tc>
        <w:tc>
          <w:tcPr>
            <w:tcW w:w="2254" w:type="pct"/>
            <w:vAlign w:val="center"/>
          </w:tcPr>
          <w:p w14:paraId="08CD1A85">
            <w:pPr>
              <w:pStyle w:val="129"/>
              <w:widowControl w:val="0"/>
              <w:jc w:val="left"/>
              <w:rPr>
                <w:color w:val="auto"/>
              </w:rPr>
            </w:pPr>
            <w:r>
              <w:rPr>
                <w:color w:val="auto"/>
              </w:rPr>
              <w:t>严格执行生态保护红线、永久基本农田管控要求，禁止新(改、扩)建化工项目违规占用生态保护红线和永久基本农田。已经建设化工项目涉及违规占用生态保护红线和永久基本农田的，按照有关规定，限期退出。</w:t>
            </w:r>
          </w:p>
        </w:tc>
        <w:tc>
          <w:tcPr>
            <w:tcW w:w="1665" w:type="pct"/>
            <w:vMerge w:val="restart"/>
            <w:vAlign w:val="center"/>
          </w:tcPr>
          <w:p w14:paraId="3F7F15F7">
            <w:pPr>
              <w:pStyle w:val="129"/>
              <w:widowControl w:val="0"/>
              <w:jc w:val="left"/>
              <w:rPr>
                <w:color w:val="auto"/>
              </w:rPr>
            </w:pPr>
            <w:r>
              <w:rPr>
                <w:rFonts w:hint="eastAsia"/>
                <w:color w:val="auto"/>
              </w:rPr>
              <w:t>（1）本项目选址位</w:t>
            </w:r>
            <w:r>
              <w:rPr>
                <w:color w:val="auto"/>
              </w:rPr>
              <w:t>于</w:t>
            </w:r>
            <w:r>
              <w:rPr>
                <w:rFonts w:hint="eastAsia"/>
                <w:color w:val="auto"/>
              </w:rPr>
              <w:t>乌鲁木齐甘泉堡经济技术开发区（工业区）化工园区，</w:t>
            </w:r>
            <w:r>
              <w:rPr>
                <w:color w:val="auto"/>
                <w:lang w:bidi="ar"/>
              </w:rPr>
              <w:t>20</w:t>
            </w:r>
            <w:r>
              <w:rPr>
                <w:rFonts w:hint="eastAsia"/>
                <w:color w:val="auto"/>
                <w:lang w:bidi="ar"/>
              </w:rPr>
              <w:t>24</w:t>
            </w:r>
            <w:r>
              <w:rPr>
                <w:rFonts w:hint="eastAsia" w:ascii="宋体" w:hAnsi="宋体" w:cs="宋体"/>
                <w:color w:val="auto"/>
                <w:lang w:bidi="ar"/>
              </w:rPr>
              <w:t>年</w:t>
            </w:r>
            <w:r>
              <w:rPr>
                <w:rFonts w:hint="eastAsia"/>
                <w:color w:val="auto"/>
                <w:lang w:bidi="ar"/>
              </w:rPr>
              <w:t>2</w:t>
            </w:r>
            <w:r>
              <w:rPr>
                <w:rFonts w:hint="eastAsia" w:ascii="宋体" w:hAnsi="宋体" w:cs="宋体"/>
                <w:color w:val="auto"/>
                <w:lang w:bidi="ar"/>
              </w:rPr>
              <w:t>月获得自治区环保厅《关于</w:t>
            </w:r>
            <w:r>
              <w:rPr>
                <w:rFonts w:hint="eastAsia"/>
                <w:color w:val="auto"/>
                <w:lang w:bidi="ar"/>
              </w:rPr>
              <w:t>〈乌鲁木齐甘泉堡经济技术开发区（工业区）</w:t>
            </w:r>
            <w:r>
              <w:rPr>
                <w:rFonts w:hint="eastAsia"/>
                <w:color w:val="auto"/>
              </w:rPr>
              <w:t>化工园区总体规划环境影响报告书</w:t>
            </w:r>
            <w:r>
              <w:rPr>
                <w:rFonts w:hint="eastAsia"/>
                <w:color w:val="auto"/>
                <w:lang w:bidi="ar"/>
              </w:rPr>
              <w:t>〉的审查意见》</w:t>
            </w:r>
            <w:r>
              <w:rPr>
                <w:rFonts w:hint="eastAsia" w:ascii="宋体" w:hAnsi="宋体" w:cs="宋体"/>
                <w:color w:val="auto"/>
                <w:lang w:bidi="ar"/>
              </w:rPr>
              <w:t>（</w:t>
            </w:r>
            <w:r>
              <w:rPr>
                <w:rFonts w:ascii="宋体" w:hAnsi="宋体" w:cs="宋体"/>
                <w:color w:val="auto"/>
                <w:lang w:bidi="ar"/>
              </w:rPr>
              <w:t>新环审〔2024〕22号</w:t>
            </w:r>
            <w:r>
              <w:rPr>
                <w:rFonts w:hint="eastAsia" w:ascii="宋体" w:hAnsi="宋体" w:cs="宋体"/>
                <w:color w:val="auto"/>
                <w:lang w:bidi="ar"/>
              </w:rPr>
              <w:t>）。</w:t>
            </w:r>
            <w:r>
              <w:rPr>
                <w:rFonts w:hint="eastAsia"/>
                <w:color w:val="auto"/>
                <w:lang w:bidi="ar"/>
              </w:rPr>
              <w:t>2024</w:t>
            </w:r>
            <w:r>
              <w:rPr>
                <w:rFonts w:hint="eastAsia" w:ascii="宋体" w:hAnsi="宋体" w:cs="宋体"/>
                <w:color w:val="auto"/>
                <w:lang w:bidi="ar"/>
              </w:rPr>
              <w:t>年</w:t>
            </w:r>
            <w:r>
              <w:rPr>
                <w:rFonts w:hint="eastAsia"/>
                <w:color w:val="auto"/>
                <w:lang w:bidi="ar"/>
              </w:rPr>
              <w:t>6</w:t>
            </w:r>
            <w:r>
              <w:rPr>
                <w:rFonts w:hint="eastAsia" w:ascii="宋体" w:hAnsi="宋体" w:cs="宋体"/>
                <w:color w:val="auto"/>
                <w:lang w:bidi="ar"/>
              </w:rPr>
              <w:t>月，</w:t>
            </w:r>
            <w:r>
              <w:rPr>
                <w:rFonts w:hint="eastAsia"/>
                <w:color w:val="auto"/>
                <w:lang w:bidi="ar"/>
              </w:rPr>
              <w:t>乌鲁木齐甘泉堡经济技术开发区</w:t>
            </w:r>
            <w:r>
              <w:rPr>
                <w:rFonts w:hint="eastAsia"/>
                <w:color w:val="auto"/>
              </w:rPr>
              <w:t>化工园区（化工产业集中区）通过</w:t>
            </w:r>
            <w:r>
              <w:rPr>
                <w:rFonts w:hint="eastAsia" w:ascii="宋体" w:hAnsi="宋体" w:cs="宋体"/>
                <w:color w:val="auto"/>
                <w:lang w:bidi="ar"/>
              </w:rPr>
              <w:t>新疆维吾尔自治区工业和信息化厅化工园区（化工产业集中区）认定（新工信石化函</w:t>
            </w:r>
            <w:r>
              <w:rPr>
                <w:rFonts w:ascii="宋体" w:hAnsi="宋体" w:cs="宋体"/>
                <w:color w:val="auto"/>
                <w:lang w:bidi="ar"/>
              </w:rPr>
              <w:t>〔2024〕</w:t>
            </w:r>
            <w:r>
              <w:rPr>
                <w:rFonts w:hint="eastAsia" w:ascii="宋体" w:hAnsi="宋体" w:cs="宋体"/>
                <w:color w:val="auto"/>
                <w:lang w:bidi="ar"/>
              </w:rPr>
              <w:t>78</w:t>
            </w:r>
            <w:r>
              <w:rPr>
                <w:rFonts w:ascii="宋体" w:hAnsi="宋体" w:cs="宋体"/>
                <w:color w:val="auto"/>
                <w:lang w:bidi="ar"/>
              </w:rPr>
              <w:t>号</w:t>
            </w:r>
            <w:r>
              <w:rPr>
                <w:rFonts w:hint="eastAsia" w:ascii="宋体" w:hAnsi="宋体" w:cs="宋体"/>
                <w:color w:val="auto"/>
                <w:lang w:bidi="ar"/>
              </w:rPr>
              <w:t>）</w:t>
            </w:r>
            <w:r>
              <w:rPr>
                <w:rFonts w:hint="eastAsia"/>
                <w:color w:val="auto"/>
              </w:rPr>
              <w:t>。</w:t>
            </w:r>
          </w:p>
          <w:p w14:paraId="097A80AC">
            <w:pPr>
              <w:pStyle w:val="129"/>
              <w:widowControl w:val="0"/>
              <w:jc w:val="left"/>
              <w:rPr>
                <w:color w:val="auto"/>
              </w:rPr>
            </w:pPr>
            <w:r>
              <w:rPr>
                <w:rFonts w:hint="eastAsia"/>
                <w:color w:val="auto"/>
              </w:rPr>
              <w:t>（2）</w:t>
            </w:r>
            <w:r>
              <w:rPr>
                <w:color w:val="auto"/>
              </w:rPr>
              <w:t>项目</w:t>
            </w:r>
            <w:r>
              <w:rPr>
                <w:rFonts w:hint="eastAsia"/>
                <w:color w:val="auto"/>
              </w:rPr>
              <w:t>不涉及生态保护红线和永久基本农田，不在岸线管理范围内。</w:t>
            </w:r>
          </w:p>
        </w:tc>
        <w:tc>
          <w:tcPr>
            <w:tcW w:w="335" w:type="pct"/>
            <w:vMerge w:val="restart"/>
            <w:vAlign w:val="center"/>
          </w:tcPr>
          <w:p w14:paraId="3BA6F517">
            <w:pPr>
              <w:pStyle w:val="129"/>
              <w:widowControl w:val="0"/>
              <w:rPr>
                <w:color w:val="auto"/>
              </w:rPr>
            </w:pPr>
            <w:r>
              <w:rPr>
                <w:rFonts w:hint="eastAsia"/>
                <w:color w:val="auto"/>
              </w:rPr>
              <w:t>符合</w:t>
            </w:r>
          </w:p>
        </w:tc>
      </w:tr>
      <w:tr w14:paraId="17CAB09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0" w:type="pct"/>
            <w:vMerge w:val="continue"/>
            <w:vAlign w:val="center"/>
          </w:tcPr>
          <w:p w14:paraId="3F228A21">
            <w:pPr>
              <w:pStyle w:val="129"/>
              <w:widowControl w:val="0"/>
              <w:rPr>
                <w:color w:val="auto"/>
              </w:rPr>
            </w:pPr>
          </w:p>
        </w:tc>
        <w:tc>
          <w:tcPr>
            <w:tcW w:w="536" w:type="pct"/>
            <w:vMerge w:val="continue"/>
            <w:vAlign w:val="center"/>
          </w:tcPr>
          <w:p w14:paraId="2B19F03A">
            <w:pPr>
              <w:pStyle w:val="129"/>
              <w:widowControl w:val="0"/>
              <w:rPr>
                <w:color w:val="auto"/>
              </w:rPr>
            </w:pPr>
          </w:p>
        </w:tc>
        <w:tc>
          <w:tcPr>
            <w:tcW w:w="2254" w:type="pct"/>
            <w:vAlign w:val="center"/>
          </w:tcPr>
          <w:p w14:paraId="1D21AB8D">
            <w:pPr>
              <w:pStyle w:val="129"/>
              <w:widowControl w:val="0"/>
              <w:jc w:val="left"/>
              <w:rPr>
                <w:color w:val="auto"/>
              </w:rPr>
            </w:pPr>
            <w:r>
              <w:rPr>
                <w:rFonts w:hint="eastAsia"/>
                <w:color w:val="auto"/>
              </w:rPr>
              <w:t>推进退城入园。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城市建成区、重点流域内已建成投产化工企业和危险化学品生产企业应加快退城入园，搬入化工园区前企业不应实施改扩建工程扩大生产规模。</w:t>
            </w:r>
          </w:p>
        </w:tc>
        <w:tc>
          <w:tcPr>
            <w:tcW w:w="1665" w:type="pct"/>
            <w:vMerge w:val="continue"/>
            <w:vAlign w:val="center"/>
          </w:tcPr>
          <w:p w14:paraId="2FBF08D4">
            <w:pPr>
              <w:pStyle w:val="129"/>
              <w:widowControl w:val="0"/>
              <w:jc w:val="left"/>
              <w:rPr>
                <w:color w:val="auto"/>
              </w:rPr>
            </w:pPr>
          </w:p>
        </w:tc>
        <w:tc>
          <w:tcPr>
            <w:tcW w:w="335" w:type="pct"/>
            <w:vMerge w:val="continue"/>
            <w:vAlign w:val="center"/>
          </w:tcPr>
          <w:p w14:paraId="4EC2873B">
            <w:pPr>
              <w:pStyle w:val="129"/>
              <w:widowControl w:val="0"/>
              <w:rPr>
                <w:color w:val="auto"/>
              </w:rPr>
            </w:pPr>
          </w:p>
        </w:tc>
      </w:tr>
      <w:tr w14:paraId="791DD92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0" w:type="pct"/>
            <w:vMerge w:val="continue"/>
            <w:vAlign w:val="center"/>
          </w:tcPr>
          <w:p w14:paraId="55E52F46">
            <w:pPr>
              <w:pStyle w:val="129"/>
              <w:widowControl w:val="0"/>
              <w:rPr>
                <w:color w:val="auto"/>
              </w:rPr>
            </w:pPr>
          </w:p>
        </w:tc>
        <w:tc>
          <w:tcPr>
            <w:tcW w:w="536" w:type="pct"/>
            <w:vMerge w:val="continue"/>
            <w:vAlign w:val="center"/>
          </w:tcPr>
          <w:p w14:paraId="545386E4">
            <w:pPr>
              <w:pStyle w:val="129"/>
              <w:widowControl w:val="0"/>
              <w:rPr>
                <w:color w:val="auto"/>
              </w:rPr>
            </w:pPr>
          </w:p>
        </w:tc>
        <w:tc>
          <w:tcPr>
            <w:tcW w:w="2254" w:type="pct"/>
            <w:vAlign w:val="center"/>
          </w:tcPr>
          <w:p w14:paraId="236AB956">
            <w:pPr>
              <w:pStyle w:val="129"/>
              <w:widowControl w:val="0"/>
              <w:jc w:val="left"/>
              <w:rPr>
                <w:color w:val="auto"/>
              </w:rPr>
            </w:pPr>
            <w:r>
              <w:rPr>
                <w:color w:val="auto"/>
              </w:rPr>
              <w:t>新(改、扩)建化工项目应符合“三线一单”(</w:t>
            </w:r>
            <w:r>
              <w:rPr>
                <w:rFonts w:hint="eastAsia"/>
                <w:color w:val="auto"/>
              </w:rPr>
              <w:t>生态保护红线</w:t>
            </w:r>
            <w:r>
              <w:rPr>
                <w:color w:val="auto"/>
              </w:rPr>
              <w:t>、环境质量底线、资源利用上线和生态环境准入清单)</w:t>
            </w:r>
            <w:r>
              <w:rPr>
                <w:rFonts w:hint="eastAsia"/>
                <w:color w:val="auto"/>
              </w:rPr>
              <w:t>生态环境分区管控</w:t>
            </w:r>
            <w:r>
              <w:rPr>
                <w:color w:val="auto"/>
              </w:rPr>
              <w:t>要求，并符合园区产业定位、园区规划及规划环评要求，按照有关规定设置合理的环境防护距离，环境保护距离内不得有居民 区、学校、医院等环境敏感目标，避免邻避效应。新(改、扩)建化工项目应按照国家及自治区相关排放标准，采取有效措施从严控制特征污染物的逸散与排放，无组织排放应达到相应标准，严禁生产废水直接外排，产生的生化污泥或盐泥等固体废物要按照国家及自治区相关标 准收集、贮存、运输、利用和处置，蒸发塘、晾晒池、氧化塘、暂存池等要严格按照相关标准进行建设。新(改、扩)建化工项目满足重点污染物排放总量控制、相应行业建设项目环境准入条件、环评文件审批原则要求，依据区域环境质量改善目标，制定配套污染物削减方案， 采取有效的污染物削减措施，腾出足够的环境容量。</w:t>
            </w:r>
          </w:p>
        </w:tc>
        <w:tc>
          <w:tcPr>
            <w:tcW w:w="1665" w:type="pct"/>
            <w:vAlign w:val="center"/>
          </w:tcPr>
          <w:p w14:paraId="5054F048">
            <w:pPr>
              <w:pStyle w:val="129"/>
              <w:widowControl w:val="0"/>
              <w:jc w:val="left"/>
              <w:rPr>
                <w:color w:val="auto"/>
              </w:rPr>
            </w:pPr>
            <w:r>
              <w:rPr>
                <w:color w:val="auto"/>
                <w:spacing w:val="-6"/>
              </w:rPr>
              <w:t>（</w:t>
            </w:r>
            <w:r>
              <w:rPr>
                <w:rFonts w:hint="eastAsia" w:eastAsiaTheme="minorEastAsia"/>
                <w:color w:val="auto"/>
                <w:spacing w:val="-6"/>
              </w:rPr>
              <w:t>1</w:t>
            </w:r>
            <w:r>
              <w:rPr>
                <w:color w:val="auto"/>
                <w:spacing w:val="-6"/>
              </w:rPr>
              <w:t>）本项目符合</w:t>
            </w:r>
            <w:r>
              <w:rPr>
                <w:rFonts w:hint="eastAsia"/>
                <w:color w:val="auto"/>
                <w:kern w:val="2"/>
              </w:rPr>
              <w:t>《新疆维吾尔自治区“三线一单”生态环境分区管控方案》和《</w:t>
            </w:r>
            <w:r>
              <w:rPr>
                <w:color w:val="auto"/>
              </w:rPr>
              <w:t>关于印发乌鲁木齐市生态环境分区管控动态更新成果的通知》</w:t>
            </w:r>
            <w:r>
              <w:rPr>
                <w:rFonts w:hint="eastAsia"/>
                <w:color w:val="auto"/>
              </w:rPr>
              <w:t>的要求，大气</w:t>
            </w:r>
            <w:r>
              <w:rPr>
                <w:color w:val="auto"/>
                <w:spacing w:val="-6"/>
              </w:rPr>
              <w:t>环境防护距离为</w:t>
            </w:r>
            <w:r>
              <w:rPr>
                <w:rFonts w:hint="eastAsia"/>
                <w:color w:val="auto"/>
                <w:spacing w:val="-6"/>
              </w:rPr>
              <w:t>0</w:t>
            </w:r>
            <w:r>
              <w:rPr>
                <w:color w:val="auto"/>
                <w:spacing w:val="-1"/>
              </w:rPr>
              <w:t>。</w:t>
            </w:r>
          </w:p>
          <w:p w14:paraId="6592E467">
            <w:pPr>
              <w:pStyle w:val="129"/>
              <w:widowControl w:val="0"/>
              <w:jc w:val="left"/>
              <w:rPr>
                <w:color w:val="auto"/>
              </w:rPr>
            </w:pPr>
            <w:r>
              <w:rPr>
                <w:color w:val="auto"/>
                <w:spacing w:val="-2"/>
              </w:rPr>
              <w:t>（</w:t>
            </w:r>
            <w:r>
              <w:rPr>
                <w:rFonts w:hint="eastAsia" w:eastAsiaTheme="minorEastAsia"/>
                <w:color w:val="auto"/>
                <w:spacing w:val="-2"/>
              </w:rPr>
              <w:t>2</w:t>
            </w:r>
            <w:r>
              <w:rPr>
                <w:color w:val="auto"/>
                <w:spacing w:val="-2"/>
              </w:rPr>
              <w:t>）项目按照国家及自治区相关排放标准，</w:t>
            </w:r>
            <w:r>
              <w:rPr>
                <w:color w:val="auto"/>
                <w:spacing w:val="1"/>
              </w:rPr>
              <w:t>采取有效措施从严控制污染物排放，无组织排放应达到相应标准，</w:t>
            </w:r>
            <w:r>
              <w:rPr>
                <w:rFonts w:hint="eastAsia"/>
                <w:color w:val="auto"/>
                <w:spacing w:val="1"/>
              </w:rPr>
              <w:t>生产废水</w:t>
            </w:r>
            <w:r>
              <w:rPr>
                <w:rFonts w:hint="eastAsia"/>
                <w:color w:val="auto"/>
              </w:rPr>
              <w:t>通过管道送乌鲁木齐众荣电子材料科技有限公司回用，生活污水排入园区下水管网最终送甘泉堡南区污水处理厂处理</w:t>
            </w:r>
            <w:r>
              <w:rPr>
                <w:rFonts w:hint="eastAsia"/>
                <w:color w:val="auto"/>
                <w:spacing w:val="1"/>
              </w:rPr>
              <w:t>，</w:t>
            </w:r>
            <w:r>
              <w:rPr>
                <w:color w:val="auto"/>
                <w:spacing w:val="1"/>
              </w:rPr>
              <w:t>产生的固体废物要按照国家及</w:t>
            </w:r>
            <w:r>
              <w:rPr>
                <w:rFonts w:hint="eastAsia"/>
                <w:color w:val="auto"/>
                <w:spacing w:val="1"/>
              </w:rPr>
              <w:t>自治区</w:t>
            </w:r>
            <w:r>
              <w:rPr>
                <w:color w:val="auto"/>
                <w:spacing w:val="1"/>
              </w:rPr>
              <w:t>相关标准收集、贮存、运输、利用和处置。本项目满足重点污染物排放总量控制、相应行业建设项目环境准入条件、环评文件审批原则要求</w:t>
            </w:r>
            <w:r>
              <w:rPr>
                <w:rFonts w:hint="eastAsia"/>
                <w:color w:val="auto"/>
                <w:spacing w:val="1"/>
              </w:rPr>
              <w:t>。</w:t>
            </w:r>
          </w:p>
        </w:tc>
        <w:tc>
          <w:tcPr>
            <w:tcW w:w="335" w:type="pct"/>
            <w:vAlign w:val="center"/>
          </w:tcPr>
          <w:p w14:paraId="4F5132FC">
            <w:pPr>
              <w:pStyle w:val="129"/>
              <w:widowControl w:val="0"/>
              <w:rPr>
                <w:color w:val="auto"/>
              </w:rPr>
            </w:pPr>
            <w:r>
              <w:rPr>
                <w:rFonts w:hint="eastAsia"/>
                <w:color w:val="auto"/>
              </w:rPr>
              <w:t>符合</w:t>
            </w:r>
          </w:p>
        </w:tc>
      </w:tr>
    </w:tbl>
    <w:p w14:paraId="092033FD">
      <w:pPr>
        <w:pStyle w:val="132"/>
        <w:rPr>
          <w:color w:val="auto"/>
        </w:rPr>
        <w:sectPr>
          <w:footerReference r:id="rId7" w:type="default"/>
          <w:type w:val="continuous"/>
          <w:pgSz w:w="16838" w:h="11906" w:orient="landscape"/>
          <w:pgMar w:top="1440" w:right="1588" w:bottom="1389" w:left="1588" w:header="851" w:footer="992" w:gutter="0"/>
          <w:cols w:space="425" w:num="1"/>
          <w:docGrid w:type="lines" w:linePitch="312" w:charSpace="0"/>
        </w:sectPr>
      </w:pPr>
    </w:p>
    <w:p w14:paraId="337738C4">
      <w:pPr>
        <w:pStyle w:val="5"/>
        <w:rPr>
          <w:color w:val="auto"/>
        </w:rPr>
      </w:pPr>
      <w:r>
        <w:rPr>
          <w:color w:val="auto"/>
        </w:rPr>
        <w:t>环境保护政策符合性分析</w:t>
      </w:r>
    </w:p>
    <w:p w14:paraId="7FC99875">
      <w:pPr>
        <w:pStyle w:val="132"/>
        <w:rPr>
          <w:color w:val="auto"/>
        </w:rPr>
      </w:pPr>
      <w:r>
        <w:rPr>
          <w:rFonts w:hint="eastAsia"/>
          <w:color w:val="auto"/>
        </w:rPr>
        <w:t>根据详细论证，本项目的建设符合国家和地方的大气污染防治、水污染防治和土壤污染防治等相关环境保护政策要求。</w:t>
      </w:r>
    </w:p>
    <w:p w14:paraId="73EAB7DD">
      <w:pPr>
        <w:pStyle w:val="132"/>
        <w:rPr>
          <w:color w:val="auto"/>
        </w:rPr>
      </w:pPr>
      <w:r>
        <w:rPr>
          <w:rFonts w:hint="eastAsia"/>
          <w:color w:val="auto"/>
        </w:rPr>
        <w:t>本项目与相关环境保护政策符合性分析见表 1.3.1-2。</w:t>
      </w:r>
    </w:p>
    <w:p w14:paraId="0E9C80C4">
      <w:pPr>
        <w:pStyle w:val="132"/>
        <w:rPr>
          <w:color w:val="auto"/>
        </w:rPr>
      </w:pPr>
      <w:r>
        <w:rPr>
          <w:rFonts w:hint="eastAsia"/>
          <w:color w:val="auto"/>
        </w:rPr>
        <w:t>本项目符合《空气质量持续改善行动计划》（国发〔2023〕4号）、《水污染防治行动计划》（国发〔2015〕17号）、《土壤污染防治行动计划》（国发〔2016〕31号）、</w:t>
      </w:r>
      <w:r>
        <w:rPr>
          <w:color w:val="auto"/>
        </w:rPr>
        <w:t>自治区党委自治区人民政府印发</w:t>
      </w:r>
      <w:r>
        <w:rPr>
          <w:rFonts w:hint="eastAsia"/>
          <w:color w:val="auto"/>
        </w:rPr>
        <w:t>《关于深入打好污染防治攻坚战的意见》《新疆维吾尔自治区2025年空气质量持续改善行动实施方案》（新政办发〔2024〕58号）、</w:t>
      </w:r>
      <w:r>
        <w:rPr>
          <w:rFonts w:hint="eastAsia"/>
          <w:color w:val="auto"/>
          <w:spacing w:val="-8"/>
        </w:rPr>
        <w:t>《新疆维吾尔自治区工业炉窑大气污染综合治理实施方案》《乌鲁木齐市大气污染防治条例》。</w:t>
      </w:r>
    </w:p>
    <w:p w14:paraId="25048CD6">
      <w:pPr>
        <w:pStyle w:val="132"/>
        <w:rPr>
          <w:color w:val="auto"/>
        </w:rPr>
      </w:pPr>
      <w:r>
        <w:rPr>
          <w:rFonts w:hint="eastAsia"/>
          <w:color w:val="auto"/>
        </w:rPr>
        <w:t>综合分析，本项目符合国家及地方的相关环境保护政策。</w:t>
      </w:r>
    </w:p>
    <w:p w14:paraId="3A9BB8F9">
      <w:pPr>
        <w:pStyle w:val="132"/>
        <w:rPr>
          <w:color w:val="auto"/>
        </w:rPr>
        <w:sectPr>
          <w:footerReference r:id="rId8" w:type="default"/>
          <w:type w:val="continuous"/>
          <w:pgSz w:w="11906" w:h="16838"/>
          <w:pgMar w:top="1440" w:right="1588" w:bottom="1389" w:left="1588" w:header="737" w:footer="822" w:gutter="0"/>
          <w:cols w:space="425" w:num="1"/>
          <w:docGrid w:type="lines" w:linePitch="312" w:charSpace="0"/>
        </w:sectPr>
      </w:pPr>
    </w:p>
    <w:p w14:paraId="0313EA06">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本项目与</w:t>
      </w:r>
      <w:r>
        <w:rPr>
          <w:rFonts w:hint="eastAsia"/>
          <w:color w:val="auto"/>
        </w:rPr>
        <w:t>相关</w:t>
      </w:r>
      <w:r>
        <w:rPr>
          <w:color w:val="auto"/>
        </w:rPr>
        <w:t>环境保护政策的符合性分析</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573"/>
        <w:gridCol w:w="1621"/>
        <w:gridCol w:w="6346"/>
        <w:gridCol w:w="4401"/>
        <w:gridCol w:w="777"/>
      </w:tblGrid>
      <w:tr w14:paraId="2A61FDE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Align w:val="center"/>
          </w:tcPr>
          <w:p w14:paraId="2E05992F">
            <w:pPr>
              <w:pStyle w:val="129"/>
              <w:widowControl w:val="0"/>
              <w:rPr>
                <w:color w:val="auto"/>
              </w:rPr>
            </w:pPr>
            <w:r>
              <w:rPr>
                <w:rFonts w:hint="eastAsia"/>
                <w:color w:val="auto"/>
              </w:rPr>
              <w:t>序号</w:t>
            </w:r>
          </w:p>
        </w:tc>
        <w:tc>
          <w:tcPr>
            <w:tcW w:w="591" w:type="pct"/>
            <w:vAlign w:val="center"/>
          </w:tcPr>
          <w:p w14:paraId="27D271FA">
            <w:pPr>
              <w:pStyle w:val="129"/>
              <w:widowControl w:val="0"/>
              <w:rPr>
                <w:color w:val="auto"/>
              </w:rPr>
            </w:pPr>
            <w:r>
              <w:rPr>
                <w:color w:val="auto"/>
              </w:rPr>
              <w:t>政策文件</w:t>
            </w:r>
          </w:p>
        </w:tc>
        <w:tc>
          <w:tcPr>
            <w:tcW w:w="2313" w:type="pct"/>
            <w:vAlign w:val="center"/>
          </w:tcPr>
          <w:p w14:paraId="4F6B3C64">
            <w:pPr>
              <w:pStyle w:val="129"/>
              <w:widowControl w:val="0"/>
              <w:rPr>
                <w:color w:val="auto"/>
              </w:rPr>
            </w:pPr>
            <w:r>
              <w:rPr>
                <w:color w:val="auto"/>
              </w:rPr>
              <w:t>具体要求</w:t>
            </w:r>
          </w:p>
        </w:tc>
        <w:tc>
          <w:tcPr>
            <w:tcW w:w="1604" w:type="pct"/>
            <w:vAlign w:val="center"/>
          </w:tcPr>
          <w:p w14:paraId="5FF8A77C">
            <w:pPr>
              <w:pStyle w:val="129"/>
              <w:widowControl w:val="0"/>
              <w:rPr>
                <w:color w:val="auto"/>
              </w:rPr>
            </w:pPr>
            <w:r>
              <w:rPr>
                <w:color w:val="auto"/>
              </w:rPr>
              <w:t>本项目情况</w:t>
            </w:r>
          </w:p>
        </w:tc>
        <w:tc>
          <w:tcPr>
            <w:tcW w:w="283" w:type="pct"/>
            <w:vAlign w:val="center"/>
          </w:tcPr>
          <w:p w14:paraId="613E341C">
            <w:pPr>
              <w:pStyle w:val="129"/>
              <w:widowControl w:val="0"/>
              <w:rPr>
                <w:color w:val="auto"/>
              </w:rPr>
            </w:pPr>
            <w:r>
              <w:rPr>
                <w:color w:val="auto"/>
              </w:rPr>
              <w:t>符合性</w:t>
            </w:r>
          </w:p>
        </w:tc>
      </w:tr>
      <w:tr w14:paraId="69F3C51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Align w:val="center"/>
          </w:tcPr>
          <w:p w14:paraId="0C553CD7">
            <w:pPr>
              <w:pStyle w:val="129"/>
              <w:widowControl w:val="0"/>
              <w:rPr>
                <w:color w:val="auto"/>
              </w:rPr>
            </w:pPr>
            <w:r>
              <w:rPr>
                <w:color w:val="auto"/>
              </w:rPr>
              <w:t>1</w:t>
            </w:r>
          </w:p>
        </w:tc>
        <w:tc>
          <w:tcPr>
            <w:tcW w:w="591" w:type="pct"/>
            <w:vAlign w:val="center"/>
          </w:tcPr>
          <w:p w14:paraId="3D0BBC01">
            <w:pPr>
              <w:pStyle w:val="129"/>
              <w:widowControl w:val="0"/>
              <w:rPr>
                <w:color w:val="auto"/>
              </w:rPr>
            </w:pPr>
            <w:r>
              <w:rPr>
                <w:color w:val="auto"/>
              </w:rPr>
              <w:t>《空气质量持续改善行动计划》（国发〔2023〕4号）</w:t>
            </w:r>
          </w:p>
        </w:tc>
        <w:tc>
          <w:tcPr>
            <w:tcW w:w="2313" w:type="pct"/>
            <w:vAlign w:val="center"/>
          </w:tcPr>
          <w:p w14:paraId="0638392D">
            <w:pPr>
              <w:pStyle w:val="129"/>
              <w:widowControl w:val="0"/>
              <w:jc w:val="left"/>
              <w:rPr>
                <w:color w:val="auto"/>
              </w:rPr>
            </w:pPr>
            <w:r>
              <w:rPr>
                <w:color w:val="auto"/>
              </w:rPr>
              <w:t>（四）坚决遏制高耗能、高排放、低水平项目盲目上马。新改扩建项目严格落实国家产业规划、产业政策、生态环境分区管控方案、规划环评、项目 环评、节能审查、产能置换、重点污染物总量控制、污染物排放区域削减、碳排放达峰目标等相关要求，原则上采用清洁运输方式。涉及产能置换的项目，被置换产能及其配套设施关停后，新建项目方可投产。</w:t>
            </w:r>
          </w:p>
        </w:tc>
        <w:tc>
          <w:tcPr>
            <w:tcW w:w="1604" w:type="pct"/>
            <w:vAlign w:val="center"/>
          </w:tcPr>
          <w:p w14:paraId="35F6196A">
            <w:pPr>
              <w:pStyle w:val="129"/>
              <w:widowControl w:val="0"/>
              <w:jc w:val="left"/>
              <w:rPr>
                <w:color w:val="auto"/>
              </w:rPr>
            </w:pPr>
            <w:r>
              <w:rPr>
                <w:color w:val="auto"/>
              </w:rPr>
              <w:t>本项目严格落实国家产业规划、产业政策，符合</w:t>
            </w:r>
            <w:r>
              <w:rPr>
                <w:rFonts w:hint="eastAsia" w:eastAsiaTheme="minorEastAsia"/>
                <w:color w:val="auto"/>
                <w:kern w:val="2"/>
              </w:rPr>
              <w:t>《新疆维吾尔自治区“三线一单”生态环境分区管控方案》和</w:t>
            </w:r>
            <w:r>
              <w:rPr>
                <w:rFonts w:hint="eastAsia"/>
                <w:color w:val="auto"/>
              </w:rPr>
              <w:t>《</w:t>
            </w:r>
            <w:r>
              <w:rPr>
                <w:color w:val="auto"/>
              </w:rPr>
              <w:t>关于印发乌鲁木齐市生态环境分区管控动态更新成果的通知》，符合</w:t>
            </w:r>
            <w:r>
              <w:rPr>
                <w:rFonts w:hint="eastAsia"/>
                <w:color w:val="auto"/>
              </w:rPr>
              <w:t>乌鲁木齐甘泉堡经济技术开发区（工业区）化工园区总体规划及规划环评</w:t>
            </w:r>
            <w:r>
              <w:rPr>
                <w:color w:val="auto"/>
              </w:rPr>
              <w:t>的相关要求。</w:t>
            </w:r>
          </w:p>
        </w:tc>
        <w:tc>
          <w:tcPr>
            <w:tcW w:w="283" w:type="pct"/>
            <w:vAlign w:val="center"/>
          </w:tcPr>
          <w:p w14:paraId="3D39B579">
            <w:pPr>
              <w:pStyle w:val="129"/>
              <w:widowControl w:val="0"/>
              <w:rPr>
                <w:color w:val="auto"/>
              </w:rPr>
            </w:pPr>
            <w:r>
              <w:rPr>
                <w:color w:val="auto"/>
              </w:rPr>
              <w:t>符合</w:t>
            </w:r>
          </w:p>
        </w:tc>
      </w:tr>
      <w:tr w14:paraId="3C8A6C8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restart"/>
            <w:vAlign w:val="center"/>
          </w:tcPr>
          <w:p w14:paraId="47DDC16D">
            <w:pPr>
              <w:pStyle w:val="129"/>
              <w:widowControl w:val="0"/>
              <w:rPr>
                <w:color w:val="auto"/>
              </w:rPr>
            </w:pPr>
            <w:r>
              <w:rPr>
                <w:color w:val="auto"/>
              </w:rPr>
              <w:t>2</w:t>
            </w:r>
          </w:p>
        </w:tc>
        <w:tc>
          <w:tcPr>
            <w:tcW w:w="591" w:type="pct"/>
            <w:vMerge w:val="restart"/>
            <w:vAlign w:val="center"/>
          </w:tcPr>
          <w:p w14:paraId="21524EE9">
            <w:pPr>
              <w:pStyle w:val="129"/>
              <w:widowControl w:val="0"/>
              <w:jc w:val="both"/>
              <w:rPr>
                <w:color w:val="auto"/>
              </w:rPr>
            </w:pPr>
            <w:r>
              <w:rPr>
                <w:color w:val="auto"/>
              </w:rPr>
              <w:t>《水污染防治行动计划》（国发〔2015〕17号）</w:t>
            </w:r>
          </w:p>
        </w:tc>
        <w:tc>
          <w:tcPr>
            <w:tcW w:w="2313" w:type="pct"/>
            <w:vAlign w:val="center"/>
          </w:tcPr>
          <w:p w14:paraId="6DAA1217">
            <w:pPr>
              <w:pStyle w:val="129"/>
              <w:widowControl w:val="0"/>
              <w:jc w:val="both"/>
              <w:rPr>
                <w:color w:val="auto"/>
              </w:rPr>
            </w:pPr>
            <w:r>
              <w:rPr>
                <w:color w:val="auto"/>
              </w:rPr>
              <w:t>（五）调整产业结构。</w:t>
            </w:r>
          </w:p>
          <w:p w14:paraId="3084E734">
            <w:pPr>
              <w:pStyle w:val="129"/>
              <w:widowControl w:val="0"/>
              <w:jc w:val="both"/>
              <w:rPr>
                <w:color w:val="auto"/>
              </w:rPr>
            </w:pPr>
            <w:r>
              <w:rPr>
                <w:color w:val="auto"/>
              </w:rPr>
              <w:t>依法淘汰落后产能。自2015年起，各地要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w:t>
            </w:r>
          </w:p>
        </w:tc>
        <w:tc>
          <w:tcPr>
            <w:tcW w:w="1604" w:type="pct"/>
            <w:vAlign w:val="center"/>
          </w:tcPr>
          <w:p w14:paraId="75A690A0">
            <w:pPr>
              <w:pStyle w:val="129"/>
              <w:widowControl w:val="0"/>
              <w:jc w:val="both"/>
              <w:rPr>
                <w:color w:val="auto"/>
              </w:rPr>
            </w:pPr>
            <w:r>
              <w:rPr>
                <w:color w:val="auto"/>
              </w:rPr>
              <w:t>本项目为</w:t>
            </w:r>
            <w:r>
              <w:rPr>
                <w:rFonts w:hint="eastAsia"/>
                <w:color w:val="auto"/>
              </w:rPr>
              <w:t>危险废物处置项目</w:t>
            </w:r>
            <w:r>
              <w:rPr>
                <w:color w:val="auto"/>
              </w:rPr>
              <w:t>，是《产业结构调整指导目录（2024年版）》鼓励类项目。</w:t>
            </w:r>
          </w:p>
        </w:tc>
        <w:tc>
          <w:tcPr>
            <w:tcW w:w="283" w:type="pct"/>
            <w:vAlign w:val="center"/>
          </w:tcPr>
          <w:p w14:paraId="1207490F">
            <w:pPr>
              <w:pStyle w:val="129"/>
              <w:widowControl w:val="0"/>
              <w:rPr>
                <w:color w:val="auto"/>
              </w:rPr>
            </w:pPr>
            <w:r>
              <w:rPr>
                <w:color w:val="auto"/>
              </w:rPr>
              <w:t>符合</w:t>
            </w:r>
          </w:p>
        </w:tc>
      </w:tr>
      <w:tr w14:paraId="667F88E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continue"/>
            <w:vAlign w:val="center"/>
          </w:tcPr>
          <w:p w14:paraId="2572A46E">
            <w:pPr>
              <w:pStyle w:val="129"/>
              <w:widowControl w:val="0"/>
              <w:rPr>
                <w:color w:val="auto"/>
              </w:rPr>
            </w:pPr>
          </w:p>
        </w:tc>
        <w:tc>
          <w:tcPr>
            <w:tcW w:w="591" w:type="pct"/>
            <w:vMerge w:val="continue"/>
            <w:vAlign w:val="center"/>
          </w:tcPr>
          <w:p w14:paraId="3A1ACF93">
            <w:pPr>
              <w:pStyle w:val="129"/>
              <w:widowControl w:val="0"/>
              <w:jc w:val="both"/>
              <w:rPr>
                <w:color w:val="auto"/>
              </w:rPr>
            </w:pPr>
          </w:p>
        </w:tc>
        <w:tc>
          <w:tcPr>
            <w:tcW w:w="2313" w:type="pct"/>
            <w:vAlign w:val="center"/>
          </w:tcPr>
          <w:p w14:paraId="319A1C69">
            <w:pPr>
              <w:pStyle w:val="129"/>
              <w:widowControl w:val="0"/>
              <w:jc w:val="both"/>
              <w:rPr>
                <w:color w:val="auto"/>
              </w:rPr>
            </w:pPr>
            <w:r>
              <w:rPr>
                <w:color w:val="auto"/>
              </w:rPr>
              <w:t>（八）控制用水总量。</w:t>
            </w:r>
          </w:p>
          <w:p w14:paraId="0040B21A">
            <w:pPr>
              <w:pStyle w:val="129"/>
              <w:widowControl w:val="0"/>
              <w:jc w:val="both"/>
              <w:rPr>
                <w:color w:val="auto"/>
              </w:rPr>
            </w:pPr>
            <w:r>
              <w:rPr>
                <w:color w:val="auto"/>
              </w:rPr>
              <w:t>新建、改建、扩建项目用水要达到行业先进水平，节水设施应与主体工程同时设计、同时施工、同时投运。</w:t>
            </w:r>
          </w:p>
        </w:tc>
        <w:tc>
          <w:tcPr>
            <w:tcW w:w="1604" w:type="pct"/>
            <w:vAlign w:val="center"/>
          </w:tcPr>
          <w:p w14:paraId="4CFD4DA3">
            <w:pPr>
              <w:pStyle w:val="129"/>
              <w:widowControl w:val="0"/>
              <w:jc w:val="both"/>
              <w:rPr>
                <w:color w:val="auto"/>
              </w:rPr>
            </w:pPr>
            <w:r>
              <w:rPr>
                <w:color w:val="auto"/>
              </w:rPr>
              <w:t>本项目生产设施、环保设施与节水设施均与主体工程同时设计、同时施工、同时投运。</w:t>
            </w:r>
          </w:p>
        </w:tc>
        <w:tc>
          <w:tcPr>
            <w:tcW w:w="283" w:type="pct"/>
            <w:vAlign w:val="center"/>
          </w:tcPr>
          <w:p w14:paraId="2C9836EA">
            <w:pPr>
              <w:pStyle w:val="129"/>
              <w:widowControl w:val="0"/>
              <w:rPr>
                <w:color w:val="auto"/>
              </w:rPr>
            </w:pPr>
            <w:r>
              <w:rPr>
                <w:color w:val="auto"/>
              </w:rPr>
              <w:t>符合</w:t>
            </w:r>
          </w:p>
        </w:tc>
      </w:tr>
      <w:tr w14:paraId="16310B2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Align w:val="center"/>
          </w:tcPr>
          <w:p w14:paraId="45B49E60">
            <w:pPr>
              <w:pStyle w:val="129"/>
              <w:widowControl w:val="0"/>
              <w:rPr>
                <w:color w:val="auto"/>
              </w:rPr>
            </w:pPr>
            <w:r>
              <w:rPr>
                <w:color w:val="auto"/>
              </w:rPr>
              <w:t>3</w:t>
            </w:r>
          </w:p>
        </w:tc>
        <w:tc>
          <w:tcPr>
            <w:tcW w:w="591" w:type="pct"/>
            <w:vAlign w:val="center"/>
          </w:tcPr>
          <w:p w14:paraId="3D2C9E25">
            <w:pPr>
              <w:pStyle w:val="129"/>
              <w:widowControl w:val="0"/>
              <w:jc w:val="both"/>
              <w:rPr>
                <w:color w:val="auto"/>
              </w:rPr>
            </w:pPr>
            <w:r>
              <w:rPr>
                <w:color w:val="auto"/>
              </w:rPr>
              <w:t>《土壤污染防治行动计划》（国发〔2016〕31号）</w:t>
            </w:r>
          </w:p>
        </w:tc>
        <w:tc>
          <w:tcPr>
            <w:tcW w:w="2313" w:type="pct"/>
            <w:vAlign w:val="center"/>
          </w:tcPr>
          <w:p w14:paraId="73BBC00A">
            <w:pPr>
              <w:pStyle w:val="129"/>
              <w:widowControl w:val="0"/>
              <w:jc w:val="both"/>
              <w:rPr>
                <w:color w:val="auto"/>
              </w:rPr>
            </w:pPr>
            <w:r>
              <w:rPr>
                <w:color w:val="auto"/>
              </w:rPr>
              <w:t>（八）切实加大保护力度。</w:t>
            </w:r>
          </w:p>
          <w:p w14:paraId="04C32E3B">
            <w:pPr>
              <w:pStyle w:val="129"/>
              <w:widowControl w:val="0"/>
              <w:jc w:val="both"/>
              <w:rPr>
                <w:color w:val="auto"/>
              </w:rPr>
            </w:pPr>
            <w:r>
              <w:rPr>
                <w:color w:val="auto"/>
              </w:rPr>
              <w:t>严格控制在优先保护类耕地集中区域新建有色金属冶炼、石油加工、化工、焦化、电镀、制革等行业企业，现有相关行业企业要采用新技术、新工艺，加快提标升级改造步伐。</w:t>
            </w:r>
          </w:p>
        </w:tc>
        <w:tc>
          <w:tcPr>
            <w:tcW w:w="1604" w:type="pct"/>
            <w:vAlign w:val="center"/>
          </w:tcPr>
          <w:p w14:paraId="4ED144CE">
            <w:pPr>
              <w:pStyle w:val="129"/>
              <w:widowControl w:val="0"/>
              <w:jc w:val="both"/>
              <w:rPr>
                <w:color w:val="auto"/>
              </w:rPr>
            </w:pPr>
            <w:r>
              <w:rPr>
                <w:color w:val="auto"/>
              </w:rPr>
              <w:t>（1）本项目位于符合</w:t>
            </w:r>
            <w:r>
              <w:rPr>
                <w:rFonts w:hint="eastAsia"/>
                <w:color w:val="auto"/>
              </w:rPr>
              <w:t>乌鲁木齐甘泉堡经济技术开发区（工业区）化工园区</w:t>
            </w:r>
            <w:r>
              <w:rPr>
                <w:color w:val="auto"/>
              </w:rPr>
              <w:t>，不在生态保护红线范围内，不涉及优先保护类耕地集中区域。（2）本项目为</w:t>
            </w:r>
            <w:r>
              <w:rPr>
                <w:rFonts w:hint="eastAsia"/>
                <w:color w:val="auto"/>
              </w:rPr>
              <w:t>危险废物处置及资源化项目</w:t>
            </w:r>
            <w:r>
              <w:rPr>
                <w:color w:val="auto"/>
              </w:rPr>
              <w:t>，企业打造绿色生产企业化工生产体系，清洁生产水平达到国内先进水平。</w:t>
            </w:r>
          </w:p>
        </w:tc>
        <w:tc>
          <w:tcPr>
            <w:tcW w:w="283" w:type="pct"/>
            <w:vAlign w:val="center"/>
          </w:tcPr>
          <w:p w14:paraId="4D497597">
            <w:pPr>
              <w:pStyle w:val="129"/>
              <w:widowControl w:val="0"/>
              <w:rPr>
                <w:color w:val="auto"/>
              </w:rPr>
            </w:pPr>
            <w:r>
              <w:rPr>
                <w:color w:val="auto"/>
              </w:rPr>
              <w:t>符合</w:t>
            </w:r>
          </w:p>
        </w:tc>
      </w:tr>
      <w:tr w14:paraId="3ADE766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60" w:hRule="atLeast"/>
        </w:trPr>
        <w:tc>
          <w:tcPr>
            <w:tcW w:w="209" w:type="pct"/>
            <w:vMerge w:val="restart"/>
            <w:vAlign w:val="center"/>
          </w:tcPr>
          <w:p w14:paraId="7284D2B1">
            <w:pPr>
              <w:pStyle w:val="129"/>
              <w:widowControl w:val="0"/>
              <w:rPr>
                <w:color w:val="auto"/>
              </w:rPr>
            </w:pPr>
            <w:r>
              <w:rPr>
                <w:rFonts w:hint="eastAsia"/>
                <w:color w:val="auto"/>
              </w:rPr>
              <w:t>4</w:t>
            </w:r>
          </w:p>
        </w:tc>
        <w:tc>
          <w:tcPr>
            <w:tcW w:w="591" w:type="pct"/>
            <w:vMerge w:val="restart"/>
            <w:vAlign w:val="center"/>
          </w:tcPr>
          <w:p w14:paraId="6C93CB1B">
            <w:pPr>
              <w:pStyle w:val="129"/>
              <w:widowControl w:val="0"/>
              <w:jc w:val="both"/>
              <w:rPr>
                <w:color w:val="auto"/>
              </w:rPr>
            </w:pPr>
            <w:r>
              <w:rPr>
                <w:color w:val="auto"/>
              </w:rPr>
              <w:t>自治区党委自治区人民政府印发《关于深入打好污染防治攻坚战的实施方案》（2022年7月26日）</w:t>
            </w:r>
          </w:p>
        </w:tc>
        <w:tc>
          <w:tcPr>
            <w:tcW w:w="2313" w:type="pct"/>
            <w:vAlign w:val="center"/>
          </w:tcPr>
          <w:p w14:paraId="7CE3BFEB">
            <w:pPr>
              <w:pStyle w:val="129"/>
              <w:widowControl w:val="0"/>
              <w:jc w:val="both"/>
              <w:rPr>
                <w:color w:val="auto"/>
              </w:rPr>
            </w:pPr>
            <w:r>
              <w:rPr>
                <w:color w:val="auto"/>
              </w:rPr>
              <w:t>以碳达峰碳中和工作为引领，着力提高能源资源利用效率。引导重点行业 深入实施清洁生产改造，钢铁、建材、石油化工等重点行业以及其他行业 重点用能单位持续开展节能降耗。</w:t>
            </w:r>
          </w:p>
        </w:tc>
        <w:tc>
          <w:tcPr>
            <w:tcW w:w="1604" w:type="pct"/>
            <w:vAlign w:val="center"/>
          </w:tcPr>
          <w:p w14:paraId="484696FA">
            <w:pPr>
              <w:pStyle w:val="129"/>
              <w:widowControl w:val="0"/>
              <w:jc w:val="both"/>
              <w:rPr>
                <w:color w:val="auto"/>
              </w:rPr>
            </w:pPr>
            <w:r>
              <w:rPr>
                <w:color w:val="auto"/>
              </w:rPr>
              <w:t>环评已开展碳排放影响评价，对碳排放的源项进行识别、核算，并提出相应的减碳措施。</w:t>
            </w:r>
          </w:p>
        </w:tc>
        <w:tc>
          <w:tcPr>
            <w:tcW w:w="283" w:type="pct"/>
            <w:vAlign w:val="center"/>
          </w:tcPr>
          <w:p w14:paraId="571AD15B">
            <w:pPr>
              <w:pStyle w:val="129"/>
              <w:widowControl w:val="0"/>
              <w:rPr>
                <w:color w:val="auto"/>
              </w:rPr>
            </w:pPr>
            <w:r>
              <w:rPr>
                <w:rFonts w:hint="eastAsia"/>
                <w:color w:val="auto"/>
              </w:rPr>
              <w:t>符合</w:t>
            </w:r>
          </w:p>
        </w:tc>
      </w:tr>
      <w:tr w14:paraId="38A3593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continue"/>
            <w:vAlign w:val="center"/>
          </w:tcPr>
          <w:p w14:paraId="037178A2">
            <w:pPr>
              <w:pStyle w:val="129"/>
              <w:widowControl w:val="0"/>
              <w:rPr>
                <w:color w:val="auto"/>
              </w:rPr>
            </w:pPr>
          </w:p>
        </w:tc>
        <w:tc>
          <w:tcPr>
            <w:tcW w:w="591" w:type="pct"/>
            <w:vMerge w:val="continue"/>
            <w:vAlign w:val="center"/>
          </w:tcPr>
          <w:p w14:paraId="332D9434">
            <w:pPr>
              <w:pStyle w:val="129"/>
              <w:widowControl w:val="0"/>
              <w:jc w:val="both"/>
              <w:rPr>
                <w:color w:val="auto"/>
              </w:rPr>
            </w:pPr>
          </w:p>
        </w:tc>
        <w:tc>
          <w:tcPr>
            <w:tcW w:w="2313" w:type="pct"/>
            <w:vAlign w:val="center"/>
          </w:tcPr>
          <w:p w14:paraId="769B4EF4">
            <w:pPr>
              <w:pStyle w:val="129"/>
              <w:widowControl w:val="0"/>
              <w:jc w:val="both"/>
              <w:rPr>
                <w:color w:val="auto"/>
              </w:rPr>
            </w:pPr>
            <w:r>
              <w:rPr>
                <w:color w:val="auto"/>
              </w:rPr>
              <w:t>贯彻落实《新疆维吾尔自治区国土空间规划（2021~2035年）》《新疆维吾尔自治区“三线一单”生态环境分区管控方案》相关要求，将生态保护红线、 环境质量底线、资源利用上线的硬约束落实到环境管控单元。建立差别化 的生态环境准入清单，加强“三线一单”成果在政策制定、环境准入、园区 管理、监管执法等方面的应用。</w:t>
            </w:r>
          </w:p>
        </w:tc>
        <w:tc>
          <w:tcPr>
            <w:tcW w:w="1604" w:type="pct"/>
            <w:vAlign w:val="center"/>
          </w:tcPr>
          <w:p w14:paraId="3F30CC18">
            <w:pPr>
              <w:pStyle w:val="129"/>
              <w:widowControl w:val="0"/>
              <w:jc w:val="both"/>
              <w:rPr>
                <w:color w:val="auto"/>
              </w:rPr>
            </w:pPr>
            <w:r>
              <w:rPr>
                <w:color w:val="auto"/>
              </w:rPr>
              <w:t>本项目符合《新疆维吾尔自治区国土空间规划（2021~2035年）》《新疆维吾尔自治区“三线一单”生态环境分区管控方案》</w:t>
            </w:r>
            <w:r>
              <w:rPr>
                <w:rFonts w:hint="eastAsia"/>
                <w:color w:val="auto"/>
              </w:rPr>
              <w:t>《</w:t>
            </w:r>
            <w:r>
              <w:rPr>
                <w:color w:val="auto"/>
              </w:rPr>
              <w:t>关于印发乌鲁木齐市生态环境分区管控动态更新成果的通知</w:t>
            </w:r>
            <w:r>
              <w:rPr>
                <w:rFonts w:hint="eastAsia"/>
                <w:color w:val="auto"/>
              </w:rPr>
              <w:t>》等</w:t>
            </w:r>
            <w:r>
              <w:rPr>
                <w:color w:val="auto"/>
              </w:rPr>
              <w:t>相关要求。</w:t>
            </w:r>
          </w:p>
        </w:tc>
        <w:tc>
          <w:tcPr>
            <w:tcW w:w="283" w:type="pct"/>
            <w:vAlign w:val="center"/>
          </w:tcPr>
          <w:p w14:paraId="4E128C76">
            <w:pPr>
              <w:pStyle w:val="129"/>
              <w:widowControl w:val="0"/>
              <w:rPr>
                <w:color w:val="auto"/>
              </w:rPr>
            </w:pPr>
            <w:r>
              <w:rPr>
                <w:rFonts w:hint="eastAsia"/>
                <w:color w:val="auto"/>
              </w:rPr>
              <w:t>符合</w:t>
            </w:r>
          </w:p>
        </w:tc>
      </w:tr>
      <w:tr w14:paraId="743D16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restart"/>
            <w:vAlign w:val="center"/>
          </w:tcPr>
          <w:p w14:paraId="6DA37936">
            <w:pPr>
              <w:pStyle w:val="129"/>
              <w:widowControl w:val="0"/>
              <w:rPr>
                <w:color w:val="auto"/>
              </w:rPr>
            </w:pPr>
            <w:r>
              <w:rPr>
                <w:rFonts w:hint="eastAsia"/>
                <w:color w:val="auto"/>
              </w:rPr>
              <w:t>5</w:t>
            </w:r>
          </w:p>
        </w:tc>
        <w:tc>
          <w:tcPr>
            <w:tcW w:w="591" w:type="pct"/>
            <w:vMerge w:val="restart"/>
            <w:vAlign w:val="center"/>
          </w:tcPr>
          <w:p w14:paraId="336DF6B7">
            <w:pPr>
              <w:pStyle w:val="129"/>
              <w:widowControl w:val="0"/>
              <w:jc w:val="both"/>
              <w:rPr>
                <w:color w:val="auto"/>
              </w:rPr>
            </w:pPr>
            <w:r>
              <w:rPr>
                <w:rFonts w:hint="eastAsia"/>
                <w:color w:val="auto"/>
              </w:rPr>
              <w:t>《新疆维吾尔自治区2025年空气质量持续改善行动实施方案》</w:t>
            </w:r>
            <w:bookmarkStart w:id="50" w:name="_Hlk197510646"/>
            <w:r>
              <w:rPr>
                <w:rFonts w:hint="eastAsia"/>
                <w:color w:val="auto"/>
              </w:rPr>
              <w:t>（新政办发〔2024〕58号）</w:t>
            </w:r>
            <w:bookmarkEnd w:id="50"/>
          </w:p>
        </w:tc>
        <w:tc>
          <w:tcPr>
            <w:tcW w:w="2313" w:type="pct"/>
            <w:vAlign w:val="center"/>
          </w:tcPr>
          <w:p w14:paraId="1C9EAC1D">
            <w:pPr>
              <w:pStyle w:val="129"/>
              <w:widowControl w:val="0"/>
              <w:jc w:val="both"/>
              <w:rPr>
                <w:color w:val="auto"/>
              </w:rPr>
            </w:pPr>
            <w:r>
              <w:rPr>
                <w:rFonts w:hint="eastAsia"/>
                <w:color w:val="auto"/>
              </w:rPr>
              <w:t>二（一）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tc>
        <w:tc>
          <w:tcPr>
            <w:tcW w:w="1604" w:type="pct"/>
            <w:vAlign w:val="center"/>
          </w:tcPr>
          <w:p w14:paraId="0E3DA204">
            <w:pPr>
              <w:pStyle w:val="129"/>
              <w:widowControl w:val="0"/>
              <w:jc w:val="both"/>
              <w:rPr>
                <w:color w:val="auto"/>
              </w:rPr>
            </w:pPr>
            <w:r>
              <w:rPr>
                <w:color w:val="auto"/>
              </w:rPr>
              <w:t>本项目严格落实国家产业规划、产业政策，符合</w:t>
            </w:r>
            <w:r>
              <w:rPr>
                <w:rFonts w:hint="eastAsia" w:eastAsiaTheme="minorEastAsia"/>
                <w:color w:val="auto"/>
                <w:kern w:val="2"/>
              </w:rPr>
              <w:t>《新疆维吾尔自治区“三线一单”生态环境分区管控方案》和</w:t>
            </w:r>
            <w:r>
              <w:rPr>
                <w:rFonts w:hint="eastAsia"/>
                <w:color w:val="auto"/>
              </w:rPr>
              <w:t>《</w:t>
            </w:r>
            <w:r>
              <w:rPr>
                <w:color w:val="auto"/>
              </w:rPr>
              <w:t>关于印发乌鲁木齐市生态环境分区管控动态更新成果的通知》，符合</w:t>
            </w:r>
            <w:r>
              <w:rPr>
                <w:rFonts w:hint="eastAsia"/>
                <w:color w:val="auto"/>
              </w:rPr>
              <w:t>乌鲁木齐甘泉堡经济技术开发区（工业区）化工园区总体规划及规划环评</w:t>
            </w:r>
            <w:r>
              <w:rPr>
                <w:color w:val="auto"/>
              </w:rPr>
              <w:t>的相关要求。</w:t>
            </w:r>
          </w:p>
        </w:tc>
        <w:tc>
          <w:tcPr>
            <w:tcW w:w="283" w:type="pct"/>
            <w:vAlign w:val="center"/>
          </w:tcPr>
          <w:p w14:paraId="6D7D1FE2">
            <w:pPr>
              <w:pStyle w:val="129"/>
              <w:widowControl w:val="0"/>
              <w:rPr>
                <w:color w:val="auto"/>
              </w:rPr>
            </w:pPr>
            <w:r>
              <w:rPr>
                <w:rFonts w:hint="eastAsia"/>
                <w:color w:val="auto"/>
              </w:rPr>
              <w:t>符合</w:t>
            </w:r>
          </w:p>
        </w:tc>
      </w:tr>
      <w:tr w14:paraId="0017298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continue"/>
            <w:vAlign w:val="center"/>
          </w:tcPr>
          <w:p w14:paraId="668CF204">
            <w:pPr>
              <w:pStyle w:val="129"/>
              <w:widowControl w:val="0"/>
              <w:rPr>
                <w:color w:val="auto"/>
              </w:rPr>
            </w:pPr>
          </w:p>
        </w:tc>
        <w:tc>
          <w:tcPr>
            <w:tcW w:w="591" w:type="pct"/>
            <w:vMerge w:val="continue"/>
            <w:vAlign w:val="center"/>
          </w:tcPr>
          <w:p w14:paraId="482D7B43">
            <w:pPr>
              <w:pStyle w:val="129"/>
              <w:widowControl w:val="0"/>
              <w:jc w:val="both"/>
              <w:rPr>
                <w:color w:val="auto"/>
              </w:rPr>
            </w:pPr>
          </w:p>
        </w:tc>
        <w:tc>
          <w:tcPr>
            <w:tcW w:w="2313" w:type="pct"/>
            <w:vAlign w:val="center"/>
          </w:tcPr>
          <w:p w14:paraId="13DEA431">
            <w:pPr>
              <w:pStyle w:val="129"/>
              <w:widowControl w:val="0"/>
              <w:jc w:val="both"/>
              <w:rPr>
                <w:color w:val="auto"/>
              </w:rPr>
            </w:pPr>
            <w:r>
              <w:rPr>
                <w:rFonts w:hint="eastAsia"/>
                <w:color w:val="auto"/>
              </w:rPr>
              <w:t>二（二）退出重点行业落后产能。严格执行《产业结构调整指导目录》，依法依规淘汰落后产能。</w:t>
            </w:r>
          </w:p>
        </w:tc>
        <w:tc>
          <w:tcPr>
            <w:tcW w:w="1604" w:type="pct"/>
            <w:vAlign w:val="center"/>
          </w:tcPr>
          <w:p w14:paraId="5F4DA006">
            <w:pPr>
              <w:pStyle w:val="129"/>
              <w:widowControl w:val="0"/>
              <w:jc w:val="both"/>
              <w:rPr>
                <w:color w:val="auto"/>
              </w:rPr>
            </w:pPr>
            <w:r>
              <w:rPr>
                <w:color w:val="auto"/>
              </w:rPr>
              <w:t>本项目为</w:t>
            </w:r>
            <w:r>
              <w:rPr>
                <w:rFonts w:hint="eastAsia"/>
                <w:color w:val="auto"/>
              </w:rPr>
              <w:t>危险废物处置项目</w:t>
            </w:r>
            <w:r>
              <w:rPr>
                <w:color w:val="auto"/>
              </w:rPr>
              <w:t>，是《产业结构调整指导目录（2024年版）》鼓励类项目。</w:t>
            </w:r>
          </w:p>
        </w:tc>
        <w:tc>
          <w:tcPr>
            <w:tcW w:w="283" w:type="pct"/>
            <w:vAlign w:val="center"/>
          </w:tcPr>
          <w:p w14:paraId="4000F72C">
            <w:pPr>
              <w:pStyle w:val="129"/>
              <w:widowControl w:val="0"/>
              <w:rPr>
                <w:color w:val="auto"/>
              </w:rPr>
            </w:pPr>
            <w:r>
              <w:rPr>
                <w:rFonts w:hint="eastAsia"/>
                <w:color w:val="auto"/>
              </w:rPr>
              <w:t>符合</w:t>
            </w:r>
          </w:p>
        </w:tc>
      </w:tr>
      <w:tr w14:paraId="261250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continue"/>
            <w:vAlign w:val="center"/>
          </w:tcPr>
          <w:p w14:paraId="13A0F204">
            <w:pPr>
              <w:pStyle w:val="129"/>
              <w:widowControl w:val="0"/>
              <w:rPr>
                <w:color w:val="auto"/>
              </w:rPr>
            </w:pPr>
          </w:p>
        </w:tc>
        <w:tc>
          <w:tcPr>
            <w:tcW w:w="591" w:type="pct"/>
            <w:vMerge w:val="continue"/>
            <w:vAlign w:val="center"/>
          </w:tcPr>
          <w:p w14:paraId="2071525B">
            <w:pPr>
              <w:pStyle w:val="129"/>
              <w:widowControl w:val="0"/>
              <w:jc w:val="both"/>
              <w:rPr>
                <w:color w:val="auto"/>
              </w:rPr>
            </w:pPr>
          </w:p>
        </w:tc>
        <w:tc>
          <w:tcPr>
            <w:tcW w:w="2313" w:type="pct"/>
            <w:vAlign w:val="center"/>
          </w:tcPr>
          <w:p w14:paraId="36713875">
            <w:pPr>
              <w:pStyle w:val="129"/>
              <w:widowControl w:val="0"/>
              <w:jc w:val="both"/>
              <w:rPr>
                <w:color w:val="auto"/>
              </w:rPr>
            </w:pPr>
            <w:r>
              <w:rPr>
                <w:rFonts w:hint="eastAsia"/>
                <w:color w:val="auto"/>
              </w:rPr>
              <w:t>三（七）持续推进工业炉窑清洁能源替代。有序推进以电代煤，稳妥推进以气代煤。</w:t>
            </w:r>
          </w:p>
        </w:tc>
        <w:tc>
          <w:tcPr>
            <w:tcW w:w="1604" w:type="pct"/>
            <w:vAlign w:val="center"/>
          </w:tcPr>
          <w:p w14:paraId="308FA823">
            <w:pPr>
              <w:pStyle w:val="129"/>
              <w:widowControl w:val="0"/>
              <w:jc w:val="both"/>
              <w:rPr>
                <w:color w:val="auto"/>
              </w:rPr>
            </w:pPr>
            <w:r>
              <w:rPr>
                <w:rFonts w:hint="eastAsia"/>
                <w:color w:val="auto"/>
              </w:rPr>
              <w:t>本项目使用的网带烘干炉、焙烧炉均使用天然气作为燃料</w:t>
            </w:r>
          </w:p>
        </w:tc>
        <w:tc>
          <w:tcPr>
            <w:tcW w:w="283" w:type="pct"/>
            <w:vAlign w:val="center"/>
          </w:tcPr>
          <w:p w14:paraId="12321312">
            <w:pPr>
              <w:pStyle w:val="129"/>
              <w:widowControl w:val="0"/>
              <w:rPr>
                <w:color w:val="auto"/>
              </w:rPr>
            </w:pPr>
            <w:r>
              <w:rPr>
                <w:rFonts w:hint="eastAsia"/>
                <w:color w:val="auto"/>
              </w:rPr>
              <w:t>符合</w:t>
            </w:r>
          </w:p>
        </w:tc>
      </w:tr>
      <w:tr w14:paraId="0E1314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restart"/>
            <w:vAlign w:val="center"/>
          </w:tcPr>
          <w:p w14:paraId="27A87E0C">
            <w:pPr>
              <w:pStyle w:val="129"/>
              <w:widowControl w:val="0"/>
              <w:rPr>
                <w:color w:val="auto"/>
              </w:rPr>
            </w:pPr>
            <w:r>
              <w:rPr>
                <w:rFonts w:hint="eastAsia"/>
                <w:color w:val="auto"/>
              </w:rPr>
              <w:t>6</w:t>
            </w:r>
          </w:p>
        </w:tc>
        <w:tc>
          <w:tcPr>
            <w:tcW w:w="591" w:type="pct"/>
            <w:vMerge w:val="restart"/>
            <w:vAlign w:val="center"/>
          </w:tcPr>
          <w:p w14:paraId="05F869E1">
            <w:pPr>
              <w:pStyle w:val="129"/>
              <w:widowControl w:val="0"/>
              <w:jc w:val="both"/>
              <w:rPr>
                <w:color w:val="auto"/>
              </w:rPr>
            </w:pPr>
            <w:r>
              <w:rPr>
                <w:rFonts w:hint="eastAsia"/>
                <w:color w:val="auto"/>
                <w:spacing w:val="-8"/>
              </w:rPr>
              <w:t>《新疆维吾尔自治区工业炉窑大气污染综合治理实施方案》</w:t>
            </w:r>
          </w:p>
        </w:tc>
        <w:tc>
          <w:tcPr>
            <w:tcW w:w="2313" w:type="pct"/>
            <w:vAlign w:val="center"/>
          </w:tcPr>
          <w:p w14:paraId="26029636">
            <w:pPr>
              <w:pStyle w:val="129"/>
              <w:widowControl w:val="0"/>
              <w:jc w:val="both"/>
              <w:rPr>
                <w:color w:val="auto"/>
              </w:rPr>
            </w:pPr>
            <w:r>
              <w:rPr>
                <w:rFonts w:hint="eastAsia"/>
                <w:b/>
                <w:bCs/>
                <w:color w:val="auto"/>
              </w:rPr>
              <w:t>严格建设项目准入。</w:t>
            </w:r>
            <w:r>
              <w:rPr>
                <w:rFonts w:hint="eastAsia"/>
                <w:color w:val="auto"/>
              </w:rPr>
              <w:t>新建涉工业炉</w:t>
            </w:r>
            <w:r>
              <w:rPr>
                <w:rFonts w:hint="eastAsia"/>
                <w:color w:val="auto"/>
                <w:lang w:val="en-US" w:eastAsia="zh-CN"/>
              </w:rPr>
              <w:t>窑</w:t>
            </w:r>
            <w:r>
              <w:rPr>
                <w:rFonts w:hint="eastAsia"/>
                <w:color w:val="auto"/>
              </w:rPr>
              <w:t>的建设项目，原则上要入园区，配套建设高效环保治理设施。重点区域严格控制涉工业炉</w:t>
            </w:r>
            <w:r>
              <w:rPr>
                <w:rFonts w:hint="eastAsia"/>
                <w:color w:val="auto"/>
                <w:lang w:val="en-US" w:eastAsia="zh-CN"/>
              </w:rPr>
              <w:t>窑</w:t>
            </w:r>
            <w:r>
              <w:rPr>
                <w:rFonts w:hint="eastAsia"/>
                <w:color w:val="auto"/>
              </w:rPr>
              <w:t>建设项目，严禁新增钢铁、焦化、电解铝、铸造、水泥和平板玻璃等产能；严格执行钢铁、水泥、平板玻璃等行业产能置换实施办法；原则上禁止新建燃料类煤气发生炉。</w:t>
            </w:r>
          </w:p>
        </w:tc>
        <w:tc>
          <w:tcPr>
            <w:tcW w:w="1604" w:type="pct"/>
            <w:vAlign w:val="center"/>
          </w:tcPr>
          <w:p w14:paraId="4C49554E">
            <w:pPr>
              <w:pStyle w:val="129"/>
              <w:widowControl w:val="0"/>
              <w:jc w:val="both"/>
              <w:rPr>
                <w:color w:val="auto"/>
              </w:rPr>
            </w:pPr>
            <w:r>
              <w:rPr>
                <w:rFonts w:hint="eastAsia"/>
                <w:color w:val="auto"/>
              </w:rPr>
              <w:t>本项目催化剂生产涉及网带烘干炉和焙烧炉，项目位于乌鲁木齐甘泉堡经济技术开发区（工业区）化工园区，符合《乌鲁木齐甘泉堡经济技术开发区（工业区）化工园区总体规划（2023-2035）》</w:t>
            </w:r>
            <w:r>
              <w:rPr>
                <w:color w:val="auto"/>
              </w:rPr>
              <w:t>及其</w:t>
            </w:r>
            <w:r>
              <w:rPr>
                <w:rFonts w:hint="eastAsia"/>
                <w:color w:val="auto"/>
              </w:rPr>
              <w:t>批复、环评文件及其</w:t>
            </w:r>
            <w:r>
              <w:rPr>
                <w:color w:val="auto"/>
              </w:rPr>
              <w:t>审查意见</w:t>
            </w:r>
            <w:r>
              <w:rPr>
                <w:rFonts w:hint="eastAsia"/>
                <w:color w:val="auto"/>
              </w:rPr>
              <w:t>要求，不涉及产能置换，不建设煤气发生炉。</w:t>
            </w:r>
          </w:p>
        </w:tc>
        <w:tc>
          <w:tcPr>
            <w:tcW w:w="283" w:type="pct"/>
            <w:vAlign w:val="center"/>
          </w:tcPr>
          <w:p w14:paraId="345A7A50">
            <w:pPr>
              <w:pStyle w:val="129"/>
              <w:widowControl w:val="0"/>
              <w:rPr>
                <w:color w:val="auto"/>
              </w:rPr>
            </w:pPr>
            <w:r>
              <w:rPr>
                <w:rFonts w:hint="eastAsia"/>
                <w:color w:val="auto"/>
              </w:rPr>
              <w:t>符合</w:t>
            </w:r>
          </w:p>
        </w:tc>
      </w:tr>
      <w:tr w14:paraId="124C4D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continue"/>
            <w:vAlign w:val="center"/>
          </w:tcPr>
          <w:p w14:paraId="0D157A20">
            <w:pPr>
              <w:pStyle w:val="129"/>
              <w:widowControl w:val="0"/>
              <w:jc w:val="both"/>
              <w:rPr>
                <w:color w:val="auto"/>
              </w:rPr>
            </w:pPr>
          </w:p>
        </w:tc>
        <w:tc>
          <w:tcPr>
            <w:tcW w:w="591" w:type="pct"/>
            <w:vMerge w:val="continue"/>
            <w:vAlign w:val="center"/>
          </w:tcPr>
          <w:p w14:paraId="0BFAC471">
            <w:pPr>
              <w:pStyle w:val="129"/>
              <w:widowControl w:val="0"/>
              <w:jc w:val="both"/>
              <w:rPr>
                <w:color w:val="auto"/>
                <w:spacing w:val="-8"/>
              </w:rPr>
            </w:pPr>
          </w:p>
        </w:tc>
        <w:tc>
          <w:tcPr>
            <w:tcW w:w="2313" w:type="pct"/>
            <w:vAlign w:val="center"/>
          </w:tcPr>
          <w:p w14:paraId="2E4ED9FA">
            <w:pPr>
              <w:pStyle w:val="129"/>
              <w:widowControl w:val="0"/>
              <w:jc w:val="both"/>
              <w:rPr>
                <w:color w:val="auto"/>
              </w:rPr>
            </w:pPr>
            <w:r>
              <w:rPr>
                <w:rFonts w:hint="eastAsia"/>
                <w:b/>
                <w:bCs/>
                <w:color w:val="auto"/>
              </w:rPr>
              <w:t>加大落后产能和不达标工业炉窑淘汰力度。</w:t>
            </w:r>
            <w:r>
              <w:rPr>
                <w:rFonts w:hint="eastAsia"/>
                <w:color w:val="auto"/>
              </w:rPr>
              <w:t>分行业清理《产业结构调整指导目录》淘汰类工业炉窑。对热效率低下、敞开未封闭，装备简易落后、自动化程度低，无组织排放突出，以及无治理设施或治理设施工艺落后等严重污染环境的工业炉窑，依法责令停业关闭。</w:t>
            </w:r>
          </w:p>
        </w:tc>
        <w:tc>
          <w:tcPr>
            <w:tcW w:w="1604" w:type="pct"/>
            <w:vAlign w:val="center"/>
          </w:tcPr>
          <w:p w14:paraId="220D04C5">
            <w:pPr>
              <w:pStyle w:val="129"/>
              <w:widowControl w:val="0"/>
              <w:jc w:val="both"/>
              <w:rPr>
                <w:color w:val="auto"/>
              </w:rPr>
            </w:pPr>
            <w:r>
              <w:rPr>
                <w:rFonts w:hint="eastAsia"/>
                <w:color w:val="auto"/>
              </w:rPr>
              <w:t>本项目使用的天然气网带烘干炉，天然气焙烧炉，不属于《产业结构调整指导目录》淘汰类工业炉窑</w:t>
            </w:r>
          </w:p>
        </w:tc>
        <w:tc>
          <w:tcPr>
            <w:tcW w:w="283" w:type="pct"/>
            <w:vAlign w:val="center"/>
          </w:tcPr>
          <w:p w14:paraId="687CAED7">
            <w:pPr>
              <w:pStyle w:val="129"/>
              <w:widowControl w:val="0"/>
              <w:rPr>
                <w:color w:val="auto"/>
              </w:rPr>
            </w:pPr>
            <w:r>
              <w:rPr>
                <w:rFonts w:hint="eastAsia"/>
                <w:color w:val="auto"/>
              </w:rPr>
              <w:t>符合</w:t>
            </w:r>
          </w:p>
        </w:tc>
      </w:tr>
      <w:tr w14:paraId="3788FA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Merge w:val="continue"/>
            <w:vAlign w:val="center"/>
          </w:tcPr>
          <w:p w14:paraId="144876E4">
            <w:pPr>
              <w:pStyle w:val="129"/>
              <w:widowControl w:val="0"/>
              <w:jc w:val="both"/>
              <w:rPr>
                <w:color w:val="auto"/>
              </w:rPr>
            </w:pPr>
          </w:p>
        </w:tc>
        <w:tc>
          <w:tcPr>
            <w:tcW w:w="591" w:type="pct"/>
            <w:vMerge w:val="continue"/>
            <w:vAlign w:val="center"/>
          </w:tcPr>
          <w:p w14:paraId="3B05B9AF">
            <w:pPr>
              <w:pStyle w:val="129"/>
              <w:widowControl w:val="0"/>
              <w:jc w:val="both"/>
              <w:rPr>
                <w:color w:val="auto"/>
                <w:spacing w:val="-8"/>
              </w:rPr>
            </w:pPr>
          </w:p>
        </w:tc>
        <w:tc>
          <w:tcPr>
            <w:tcW w:w="2313" w:type="pct"/>
            <w:vAlign w:val="center"/>
          </w:tcPr>
          <w:p w14:paraId="65B13288">
            <w:pPr>
              <w:pStyle w:val="129"/>
              <w:widowControl w:val="0"/>
              <w:jc w:val="both"/>
              <w:rPr>
                <w:color w:val="auto"/>
              </w:rPr>
            </w:pPr>
            <w:r>
              <w:rPr>
                <w:rFonts w:hint="eastAsia"/>
                <w:b/>
                <w:bCs/>
                <w:color w:val="auto"/>
              </w:rPr>
              <w:t>推进工业炉窑全面达标排放。</w:t>
            </w:r>
            <w:r>
              <w:rPr>
                <w:rFonts w:hint="eastAsia"/>
                <w:color w:val="auto"/>
              </w:rPr>
              <w:t>已有行业排放标准的工业炉</w:t>
            </w:r>
            <w:r>
              <w:rPr>
                <w:rFonts w:hint="eastAsia"/>
                <w:color w:val="auto"/>
                <w:lang w:val="en-US" w:eastAsia="zh-CN"/>
              </w:rPr>
              <w:t>窑</w:t>
            </w:r>
            <w:r>
              <w:rPr>
                <w:rFonts w:hint="eastAsia"/>
                <w:color w:val="auto"/>
              </w:rPr>
              <w:t>严格执行行业排放标准相关规定，配套建设高效脱硫脱硝除尘设施，确保稳定达标排放。重点区域钢铁、水泥、焦化、石化、化工、有色等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w:t>
            </w:r>
          </w:p>
        </w:tc>
        <w:tc>
          <w:tcPr>
            <w:tcW w:w="1604" w:type="pct"/>
            <w:vAlign w:val="center"/>
          </w:tcPr>
          <w:p w14:paraId="59EC81F1">
            <w:pPr>
              <w:pStyle w:val="129"/>
              <w:widowControl w:val="0"/>
              <w:jc w:val="both"/>
              <w:rPr>
                <w:color w:val="auto"/>
              </w:rPr>
            </w:pPr>
            <w:r>
              <w:rPr>
                <w:rFonts w:hint="eastAsia"/>
                <w:color w:val="auto"/>
              </w:rPr>
              <w:t>本项目网带烘干炉、焙烧炉均采用天然气为燃料，废气采用“SCR脱硝+布袋除尘”的颗粒物和氮氧化物控制措施，颗粒物、二氧化硫、氮氧化物满足《无机化学工业污染物排放标准》（GB31573-2015）及修改单特别排放限值，可达到</w:t>
            </w:r>
            <w:r>
              <w:rPr>
                <w:rFonts w:hint="eastAsia"/>
                <w:color w:val="auto"/>
                <w:spacing w:val="-8"/>
              </w:rPr>
              <w:t>《新疆维吾尔自治区工业炉窑大气污染综合治理实施方案》</w:t>
            </w:r>
            <w:r>
              <w:rPr>
                <w:rFonts w:hint="eastAsia"/>
                <w:color w:val="auto"/>
              </w:rPr>
              <w:t>重点区域分别颗粒物、二氧化硫、氮氧化物不高于30、200、300毫克/立方米排放限值要求</w:t>
            </w:r>
          </w:p>
        </w:tc>
        <w:tc>
          <w:tcPr>
            <w:tcW w:w="283" w:type="pct"/>
            <w:vAlign w:val="center"/>
          </w:tcPr>
          <w:p w14:paraId="6141E206">
            <w:pPr>
              <w:pStyle w:val="129"/>
              <w:widowControl w:val="0"/>
              <w:rPr>
                <w:color w:val="auto"/>
              </w:rPr>
            </w:pPr>
            <w:r>
              <w:rPr>
                <w:rFonts w:hint="eastAsia"/>
                <w:color w:val="auto"/>
              </w:rPr>
              <w:t>符合</w:t>
            </w:r>
          </w:p>
        </w:tc>
      </w:tr>
      <w:tr w14:paraId="380665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9" w:type="pct"/>
            <w:vAlign w:val="center"/>
          </w:tcPr>
          <w:p w14:paraId="1CFD6B7E">
            <w:pPr>
              <w:pStyle w:val="129"/>
              <w:widowControl w:val="0"/>
              <w:rPr>
                <w:color w:val="auto"/>
              </w:rPr>
            </w:pPr>
            <w:r>
              <w:rPr>
                <w:rFonts w:hint="eastAsia"/>
                <w:color w:val="auto"/>
              </w:rPr>
              <w:t>7</w:t>
            </w:r>
          </w:p>
        </w:tc>
        <w:tc>
          <w:tcPr>
            <w:tcW w:w="591" w:type="pct"/>
            <w:vAlign w:val="center"/>
          </w:tcPr>
          <w:p w14:paraId="41118675">
            <w:pPr>
              <w:pStyle w:val="129"/>
              <w:widowControl w:val="0"/>
              <w:rPr>
                <w:color w:val="auto"/>
                <w:spacing w:val="-8"/>
              </w:rPr>
            </w:pPr>
            <w:r>
              <w:rPr>
                <w:rFonts w:hint="eastAsia"/>
                <w:color w:val="auto"/>
                <w:spacing w:val="-8"/>
              </w:rPr>
              <w:t>《乌鲁木齐市大气污染防治条例》</w:t>
            </w:r>
          </w:p>
        </w:tc>
        <w:tc>
          <w:tcPr>
            <w:tcW w:w="2313" w:type="pct"/>
            <w:vAlign w:val="center"/>
          </w:tcPr>
          <w:p w14:paraId="58600D7F">
            <w:pPr>
              <w:pStyle w:val="129"/>
              <w:widowControl w:val="0"/>
              <w:jc w:val="left"/>
              <w:rPr>
                <w:color w:val="auto"/>
              </w:rPr>
            </w:pPr>
            <w:r>
              <w:rPr>
                <w:rFonts w:hint="eastAsia"/>
                <w:color w:val="auto"/>
              </w:rPr>
              <w:t>第二十八条钢铁、建材、有色金属、石油、化工等企业生产过程中排放粉尘、硫化物和氮氧化物的，应当采用清洁生产工艺，配套建设除尘、脱硫、脱硝等装置，或者采取技术改造等其他控制大气污染物排放的措施。</w:t>
            </w:r>
          </w:p>
        </w:tc>
        <w:tc>
          <w:tcPr>
            <w:tcW w:w="1604" w:type="pct"/>
            <w:vAlign w:val="center"/>
          </w:tcPr>
          <w:p w14:paraId="77F2968D">
            <w:pPr>
              <w:pStyle w:val="129"/>
              <w:widowControl w:val="0"/>
              <w:jc w:val="both"/>
              <w:rPr>
                <w:color w:val="auto"/>
              </w:rPr>
            </w:pPr>
            <w:r>
              <w:rPr>
                <w:rFonts w:hint="eastAsia"/>
                <w:color w:val="auto"/>
              </w:rPr>
              <w:t>本项目干燥器均采用布袋除尘控制颗粒物排放，网带烘干炉、焙烧炉均采用天然气为燃料，废气采用“SCR脱硝+布袋除尘”的颗粒物和氮氧化物控制措施。</w:t>
            </w:r>
          </w:p>
        </w:tc>
        <w:tc>
          <w:tcPr>
            <w:tcW w:w="283" w:type="pct"/>
            <w:vAlign w:val="center"/>
          </w:tcPr>
          <w:p w14:paraId="3086A220">
            <w:pPr>
              <w:pStyle w:val="129"/>
              <w:widowControl w:val="0"/>
              <w:rPr>
                <w:color w:val="auto"/>
              </w:rPr>
            </w:pPr>
            <w:r>
              <w:rPr>
                <w:rFonts w:hint="eastAsia"/>
                <w:color w:val="auto"/>
              </w:rPr>
              <w:t>符合</w:t>
            </w:r>
          </w:p>
        </w:tc>
      </w:tr>
    </w:tbl>
    <w:p w14:paraId="6877F663">
      <w:pPr>
        <w:pStyle w:val="132"/>
        <w:rPr>
          <w:color w:val="auto"/>
        </w:rPr>
        <w:sectPr>
          <w:footerReference r:id="rId9" w:type="default"/>
          <w:type w:val="continuous"/>
          <w:pgSz w:w="16838" w:h="11906" w:orient="landscape"/>
          <w:pgMar w:top="1440" w:right="1588" w:bottom="1389" w:left="1588" w:header="851" w:footer="992" w:gutter="0"/>
          <w:cols w:space="425" w:num="1"/>
          <w:docGrid w:type="lines" w:linePitch="312" w:charSpace="0"/>
        </w:sectPr>
      </w:pPr>
    </w:p>
    <w:p w14:paraId="5D3431EB">
      <w:pPr>
        <w:pStyle w:val="5"/>
        <w:rPr>
          <w:color w:val="auto"/>
        </w:rPr>
      </w:pPr>
      <w:r>
        <w:rPr>
          <w:rFonts w:hint="eastAsia"/>
          <w:color w:val="auto"/>
        </w:rPr>
        <w:t>危险废物污染防治技术和管理政策符合性</w:t>
      </w:r>
    </w:p>
    <w:p w14:paraId="366BEB2C">
      <w:pPr>
        <w:pStyle w:val="132"/>
        <w:rPr>
          <w:color w:val="auto"/>
        </w:rPr>
      </w:pPr>
      <w:r>
        <w:rPr>
          <w:rFonts w:hint="eastAsia"/>
          <w:color w:val="auto"/>
        </w:rPr>
        <w:t>（1）危险废物污染防治技术政策</w:t>
      </w:r>
    </w:p>
    <w:p w14:paraId="6529D8EA">
      <w:pPr>
        <w:pStyle w:val="132"/>
        <w:rPr>
          <w:color w:val="auto"/>
        </w:rPr>
      </w:pPr>
      <w:r>
        <w:rPr>
          <w:rFonts w:hint="eastAsia"/>
          <w:color w:val="auto"/>
        </w:rPr>
        <w:t>根据《危险废物污染防治技术政策》（环发〔2001〕199号）中“5、危险废物的资源化”中“5.1 已产生的危险废物应首先考虑回收利用，减少后续处理处置的负荷。回收利用过程应达到国家和地方有关规定的要求，避免二次污染”；“</w:t>
      </w:r>
      <w:r>
        <w:rPr>
          <w:color w:val="auto"/>
        </w:rPr>
        <w:t>5</w:t>
      </w:r>
      <w:r>
        <w:rPr>
          <w:rFonts w:hint="eastAsia"/>
          <w:color w:val="auto"/>
        </w:rPr>
        <w:t>.</w:t>
      </w:r>
      <w:r>
        <w:rPr>
          <w:color w:val="auto"/>
        </w:rPr>
        <w:t>2 生产过程中产生的危险废物，应积极推行生产系统内的回收利用。生产系统内无法回收利用的危险废物，通过系统外的危险废物交换、物质转化、再加工、能量转化等措施实现回收利用</w:t>
      </w:r>
      <w:r>
        <w:rPr>
          <w:rFonts w:hint="eastAsia"/>
          <w:color w:val="auto"/>
        </w:rPr>
        <w:t>”。</w:t>
      </w:r>
    </w:p>
    <w:p w14:paraId="1173725C">
      <w:pPr>
        <w:pStyle w:val="132"/>
        <w:rPr>
          <w:color w:val="auto"/>
        </w:rPr>
      </w:pPr>
      <w:r>
        <w:rPr>
          <w:rFonts w:hint="eastAsia"/>
          <w:color w:val="auto"/>
        </w:rPr>
        <w:t>本项目处理废酸液、废碱液等危险废物的，同时产出冷凝水回用于产废单位，生产多种副产品和催化剂，实现了废物资源化和循环利用，符合《危险废物污染防治技术政策》的相关要求。</w:t>
      </w:r>
    </w:p>
    <w:p w14:paraId="14F6F5BD">
      <w:pPr>
        <w:pStyle w:val="132"/>
        <w:rPr>
          <w:color w:val="auto"/>
        </w:rPr>
      </w:pPr>
      <w:r>
        <w:rPr>
          <w:rFonts w:hint="eastAsia"/>
          <w:color w:val="auto"/>
        </w:rPr>
        <w:t>（2）关于进一步加强危险废物环境治理 严密防控环境风险的指导意见</w:t>
      </w:r>
    </w:p>
    <w:p w14:paraId="613DFD9E">
      <w:pPr>
        <w:pStyle w:val="132"/>
        <w:rPr>
          <w:color w:val="auto"/>
        </w:rPr>
      </w:pPr>
      <w:r>
        <w:rPr>
          <w:rFonts w:hint="eastAsia"/>
          <w:color w:val="auto"/>
        </w:rPr>
        <w:t>指导意见指出：“促进再生利用：推广危险废物利用先进技术，推动健全危险废物循环利用体系；逐步降低填埋处置量。强化危险废物填埋处置环境监管，逐步限制通过利用、焚烧等处理方式可减量的危险废物直接填埋。”</w:t>
      </w:r>
    </w:p>
    <w:p w14:paraId="22378BD0">
      <w:pPr>
        <w:pStyle w:val="132"/>
        <w:rPr>
          <w:color w:val="auto"/>
        </w:rPr>
      </w:pPr>
      <w:r>
        <w:rPr>
          <w:rFonts w:hint="eastAsia"/>
          <w:color w:val="auto"/>
        </w:rPr>
        <w:t>本项目处理废酸、废碱液，通过危险废物资源化利用，副产拟薄水铝石</w:t>
      </w:r>
      <w:r>
        <w:rPr>
          <w:color w:val="auto"/>
        </w:rPr>
        <w:t>、</w:t>
      </w:r>
      <w:r>
        <w:rPr>
          <w:rFonts w:hint="eastAsia"/>
          <w:color w:val="auto"/>
        </w:rPr>
        <w:t>碳酸钠、硫酸钠、液体肥料</w:t>
      </w:r>
      <w:r>
        <w:rPr>
          <w:color w:val="auto"/>
        </w:rPr>
        <w:t>等产品</w:t>
      </w:r>
      <w:r>
        <w:rPr>
          <w:rFonts w:hint="eastAsia"/>
          <w:color w:val="auto"/>
        </w:rPr>
        <w:t>，产生的冷凝水通过管道回用于众荣公司，实现固体废物资源化利用，符合《关于进一步加强危险废物环境治理 严密防控环境风险的指导意见》的要求。</w:t>
      </w:r>
    </w:p>
    <w:p w14:paraId="47FB763D">
      <w:pPr>
        <w:pStyle w:val="132"/>
        <w:rPr>
          <w:color w:val="auto"/>
        </w:rPr>
      </w:pPr>
      <w:r>
        <w:rPr>
          <w:color w:val="auto"/>
        </w:rPr>
        <w:t>（</w:t>
      </w:r>
      <w:r>
        <w:rPr>
          <w:rFonts w:hint="eastAsia"/>
          <w:color w:val="auto"/>
        </w:rPr>
        <w:t>3</w:t>
      </w:r>
      <w:r>
        <w:rPr>
          <w:color w:val="auto"/>
        </w:rPr>
        <w:t>）</w:t>
      </w:r>
      <w:r>
        <w:rPr>
          <w:rFonts w:hint="eastAsia"/>
          <w:color w:val="auto"/>
        </w:rPr>
        <w:t>关于新疆维吾尔自治区2025年危险废物利用处置能力建设投资引导性公告</w:t>
      </w:r>
    </w:p>
    <w:p w14:paraId="14F3ED89">
      <w:pPr>
        <w:pStyle w:val="132"/>
        <w:rPr>
          <w:color w:val="auto"/>
        </w:rPr>
      </w:pPr>
      <w:r>
        <w:rPr>
          <w:rFonts w:hint="eastAsia"/>
          <w:color w:val="auto"/>
        </w:rPr>
        <w:t>根据引导性公告（公告〔2025〕1号）中危险废物利用处置项目投资建议指出：“（三）鼓励建设类。焚烧灰渣（含生活垃圾焚烧飞灰）等以填埋为主危险废物的高标准利用项目；现有危险废物经营单位对利用处置落后工艺设备提标升级改造、延伸产业链的改扩建项目；在建设‘无废集团’‘无废园区’‘无废企业’等过程中，减少直接填埋量的资源化利用项目，内部可共享的危险废物利用处置项目。”</w:t>
      </w:r>
    </w:p>
    <w:p w14:paraId="6CEC5F68">
      <w:pPr>
        <w:pStyle w:val="132"/>
        <w:rPr>
          <w:color w:val="auto"/>
        </w:rPr>
      </w:pPr>
      <w:r>
        <w:rPr>
          <w:rFonts w:hint="eastAsia"/>
          <w:color w:val="auto"/>
        </w:rPr>
        <w:t>本项目处理废酸、废碱液，通过危险废物资源化利用，副产拟薄水铝石、碳酸钠、硫酸钠、液体肥料</w:t>
      </w:r>
      <w:r>
        <w:rPr>
          <w:color w:val="auto"/>
        </w:rPr>
        <w:t>等产品</w:t>
      </w:r>
      <w:r>
        <w:rPr>
          <w:rFonts w:hint="eastAsia"/>
          <w:color w:val="auto"/>
        </w:rPr>
        <w:t>，产生的冷凝水通过管道回用于产废企业</w:t>
      </w:r>
      <w:bookmarkStart w:id="51" w:name="OLE_LINK112"/>
      <w:r>
        <w:rPr>
          <w:rFonts w:hint="eastAsia"/>
          <w:color w:val="auto"/>
        </w:rPr>
        <w:t>乌鲁木齐</w:t>
      </w:r>
      <w:r>
        <w:rPr>
          <w:color w:val="auto"/>
        </w:rPr>
        <w:t>众荣电子材料科技有限公司</w:t>
      </w:r>
      <w:bookmarkEnd w:id="51"/>
      <w:r>
        <w:rPr>
          <w:rFonts w:hint="eastAsia"/>
          <w:color w:val="auto"/>
        </w:rPr>
        <w:t>，实现固体废物资源化利用，减少了固体废物直接填埋量，符合引导性公告的要求。</w:t>
      </w:r>
    </w:p>
    <w:p w14:paraId="4315134A">
      <w:pPr>
        <w:pStyle w:val="4"/>
        <w:rPr>
          <w:color w:val="auto"/>
        </w:rPr>
      </w:pPr>
      <w:r>
        <w:rPr>
          <w:color w:val="auto"/>
        </w:rPr>
        <w:t>规划符合性分析</w:t>
      </w:r>
    </w:p>
    <w:p w14:paraId="1A91D720">
      <w:pPr>
        <w:pStyle w:val="5"/>
        <w:rPr>
          <w:color w:val="auto"/>
        </w:rPr>
      </w:pPr>
      <w:r>
        <w:rPr>
          <w:rFonts w:hint="eastAsia"/>
          <w:color w:val="auto"/>
        </w:rPr>
        <w:t>与产业发展、环境保护规划的符合性</w:t>
      </w:r>
    </w:p>
    <w:p w14:paraId="67F6A6E9">
      <w:pPr>
        <w:pStyle w:val="132"/>
        <w:rPr>
          <w:color w:val="auto"/>
        </w:rPr>
      </w:pPr>
      <w:r>
        <w:rPr>
          <w:rFonts w:hint="eastAsia"/>
          <w:color w:val="auto"/>
        </w:rPr>
        <w:t>本项目为危险废物处置和催化剂制造项目，经对照，符合</w:t>
      </w:r>
      <w:r>
        <w:rPr>
          <w:color w:val="auto"/>
        </w:rPr>
        <w:t>《“十四五”工业绿色发展规划》《新疆生态环境保护 “十四五”规划》</w:t>
      </w:r>
      <w:r>
        <w:rPr>
          <w:rFonts w:hint="eastAsia"/>
          <w:color w:val="auto"/>
        </w:rPr>
        <w:t>《乌鲁木齐市生态</w:t>
      </w:r>
      <w:r>
        <w:rPr>
          <w:color w:val="auto"/>
        </w:rPr>
        <w:t>环境保护</w:t>
      </w:r>
      <w:r>
        <w:rPr>
          <w:rFonts w:hint="eastAsia"/>
          <w:color w:val="auto"/>
        </w:rPr>
        <w:t>“十四五”规划》要求，见表1.3-3。</w:t>
      </w:r>
    </w:p>
    <w:p w14:paraId="7C6E3300">
      <w:pPr>
        <w:pStyle w:val="132"/>
        <w:rPr>
          <w:color w:val="auto"/>
        </w:rPr>
      </w:pPr>
    </w:p>
    <w:p w14:paraId="2AA77898">
      <w:pPr>
        <w:pStyle w:val="132"/>
        <w:rPr>
          <w:color w:val="auto"/>
        </w:rPr>
      </w:pPr>
    </w:p>
    <w:p w14:paraId="75CA20C7">
      <w:pPr>
        <w:pStyle w:val="132"/>
        <w:rPr>
          <w:color w:val="auto"/>
        </w:rPr>
      </w:pPr>
    </w:p>
    <w:p w14:paraId="66587005">
      <w:pPr>
        <w:pStyle w:val="132"/>
        <w:rPr>
          <w:color w:val="auto"/>
        </w:rPr>
        <w:sectPr>
          <w:footerReference r:id="rId10" w:type="default"/>
          <w:type w:val="continuous"/>
          <w:pgSz w:w="11906" w:h="16838"/>
          <w:pgMar w:top="1440" w:right="1588" w:bottom="1389" w:left="1588" w:header="851" w:footer="992" w:gutter="0"/>
          <w:cols w:space="425" w:num="1"/>
          <w:docGrid w:type="lines" w:linePitch="312" w:charSpace="0"/>
        </w:sectPr>
      </w:pPr>
    </w:p>
    <w:p w14:paraId="69CE6839">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color w:val="auto"/>
        </w:rPr>
        <w:t xml:space="preserve">   本项目与相关区域及产业发展规划符合性分析一览表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529"/>
        <w:gridCol w:w="2099"/>
        <w:gridCol w:w="6777"/>
        <w:gridCol w:w="3534"/>
        <w:gridCol w:w="779"/>
      </w:tblGrid>
      <w:tr w14:paraId="6A2AF8A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193" w:type="pct"/>
            <w:vAlign w:val="center"/>
          </w:tcPr>
          <w:p w14:paraId="2E814EF1">
            <w:pPr>
              <w:pStyle w:val="129"/>
              <w:widowControl w:val="0"/>
              <w:rPr>
                <w:color w:val="auto"/>
              </w:rPr>
            </w:pPr>
            <w:r>
              <w:rPr>
                <w:color w:val="auto"/>
              </w:rPr>
              <w:t>序号</w:t>
            </w:r>
          </w:p>
        </w:tc>
        <w:tc>
          <w:tcPr>
            <w:tcW w:w="765" w:type="pct"/>
            <w:vAlign w:val="center"/>
          </w:tcPr>
          <w:p w14:paraId="31BE2D2C">
            <w:pPr>
              <w:pStyle w:val="129"/>
              <w:widowControl w:val="0"/>
              <w:rPr>
                <w:color w:val="auto"/>
              </w:rPr>
            </w:pPr>
            <w:r>
              <w:rPr>
                <w:color w:val="auto"/>
                <w:spacing w:val="7"/>
              </w:rPr>
              <w:t>政策文件</w:t>
            </w:r>
          </w:p>
        </w:tc>
        <w:tc>
          <w:tcPr>
            <w:tcW w:w="2470" w:type="pct"/>
            <w:vAlign w:val="center"/>
          </w:tcPr>
          <w:p w14:paraId="67D7BE9C">
            <w:pPr>
              <w:pStyle w:val="129"/>
              <w:widowControl w:val="0"/>
              <w:rPr>
                <w:color w:val="auto"/>
              </w:rPr>
            </w:pPr>
            <w:r>
              <w:rPr>
                <w:color w:val="auto"/>
                <w:spacing w:val="6"/>
              </w:rPr>
              <w:t>具体要求</w:t>
            </w:r>
          </w:p>
        </w:tc>
        <w:tc>
          <w:tcPr>
            <w:tcW w:w="1288" w:type="pct"/>
            <w:vAlign w:val="center"/>
          </w:tcPr>
          <w:p w14:paraId="5AB84767">
            <w:pPr>
              <w:pStyle w:val="129"/>
              <w:widowControl w:val="0"/>
              <w:rPr>
                <w:color w:val="auto"/>
              </w:rPr>
            </w:pPr>
            <w:r>
              <w:rPr>
                <w:color w:val="auto"/>
                <w:spacing w:val="7"/>
              </w:rPr>
              <w:t>本项目情况</w:t>
            </w:r>
          </w:p>
        </w:tc>
        <w:tc>
          <w:tcPr>
            <w:tcW w:w="284" w:type="pct"/>
            <w:vAlign w:val="center"/>
          </w:tcPr>
          <w:p w14:paraId="6A98275D">
            <w:pPr>
              <w:pStyle w:val="129"/>
              <w:widowControl w:val="0"/>
              <w:rPr>
                <w:color w:val="auto"/>
              </w:rPr>
            </w:pPr>
            <w:r>
              <w:rPr>
                <w:color w:val="auto"/>
                <w:spacing w:val="6"/>
              </w:rPr>
              <w:t>符合性</w:t>
            </w:r>
          </w:p>
        </w:tc>
      </w:tr>
      <w:tr w14:paraId="00AE16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3" w:type="pct"/>
            <w:vAlign w:val="center"/>
          </w:tcPr>
          <w:p w14:paraId="0D92A8D1">
            <w:pPr>
              <w:pStyle w:val="129"/>
              <w:widowControl w:val="0"/>
              <w:rPr>
                <w:color w:val="auto"/>
              </w:rPr>
            </w:pPr>
            <w:r>
              <w:rPr>
                <w:rFonts w:hint="eastAsia"/>
                <w:color w:val="auto"/>
              </w:rPr>
              <w:t>1</w:t>
            </w:r>
          </w:p>
        </w:tc>
        <w:tc>
          <w:tcPr>
            <w:tcW w:w="765" w:type="pct"/>
            <w:vAlign w:val="center"/>
          </w:tcPr>
          <w:p w14:paraId="4E631498">
            <w:pPr>
              <w:pStyle w:val="129"/>
              <w:widowControl w:val="0"/>
              <w:rPr>
                <w:color w:val="auto"/>
              </w:rPr>
            </w:pPr>
            <w:r>
              <w:rPr>
                <w:color w:val="auto"/>
              </w:rPr>
              <w:t>《“十四五”工业绿色发展规划》（工信部规〔2021〕178号）</w:t>
            </w:r>
          </w:p>
        </w:tc>
        <w:tc>
          <w:tcPr>
            <w:tcW w:w="2470" w:type="pct"/>
            <w:vAlign w:val="center"/>
          </w:tcPr>
          <w:p w14:paraId="4A19EDAD">
            <w:pPr>
              <w:pStyle w:val="129"/>
              <w:widowControl w:val="0"/>
              <w:jc w:val="both"/>
              <w:rPr>
                <w:color w:val="auto"/>
              </w:rPr>
            </w:pPr>
            <w:r>
              <w:rPr>
                <w:color w:val="auto"/>
              </w:rPr>
              <w:t>第三章之第二节：推进产业结构高端化转型：</w:t>
            </w:r>
            <w:r>
              <w:rPr>
                <w:rFonts w:hint="eastAsia"/>
                <w:color w:val="auto"/>
              </w:rPr>
              <w:t>“</w:t>
            </w:r>
            <w:r>
              <w:rPr>
                <w:color w:val="auto"/>
              </w:rPr>
              <w:t>加快推进产业结构调整，坚决遏制</w:t>
            </w:r>
            <w:r>
              <w:rPr>
                <w:rFonts w:hint="eastAsia"/>
                <w:color w:val="auto"/>
              </w:rPr>
              <w:t>‘</w:t>
            </w:r>
            <w:r>
              <w:rPr>
                <w:color w:val="auto"/>
              </w:rPr>
              <w:t>两高</w:t>
            </w:r>
            <w:r>
              <w:rPr>
                <w:rFonts w:hint="eastAsia"/>
                <w:color w:val="auto"/>
              </w:rPr>
              <w:t>’</w:t>
            </w:r>
            <w:r>
              <w:rPr>
                <w:color w:val="auto"/>
              </w:rPr>
              <w:t>项目盲目发展，依法依规推动落后产能退出，发展战略性新兴产业、高技术产业，持续优化重点区域、流域产业布局，全面推进产业绿色低碳转型</w:t>
            </w:r>
            <w:r>
              <w:rPr>
                <w:rFonts w:hint="eastAsia"/>
                <w:color w:val="auto"/>
              </w:rPr>
              <w:t>。”</w:t>
            </w:r>
          </w:p>
          <w:p w14:paraId="5FBFD33F">
            <w:pPr>
              <w:pStyle w:val="129"/>
              <w:widowControl w:val="0"/>
              <w:jc w:val="both"/>
              <w:rPr>
                <w:color w:val="auto"/>
              </w:rPr>
            </w:pPr>
            <w:r>
              <w:rPr>
                <w:rFonts w:hint="eastAsia"/>
                <w:b/>
                <w:bCs/>
                <w:color w:val="auto"/>
              </w:rPr>
              <w:t>推动传统行业绿色低碳发展。</w:t>
            </w:r>
            <w:r>
              <w:rPr>
                <w:color w:val="auto"/>
              </w:rPr>
              <w:t xml:space="preserve">加快钢铁、有色金属、石化化工、建材、 </w:t>
            </w:r>
          </w:p>
          <w:p w14:paraId="5D180A13">
            <w:pPr>
              <w:pStyle w:val="129"/>
              <w:widowControl w:val="0"/>
              <w:jc w:val="both"/>
              <w:rPr>
                <w:color w:val="auto"/>
              </w:rPr>
            </w:pPr>
            <w:r>
              <w:rPr>
                <w:color w:val="auto"/>
              </w:rPr>
              <w:t>纺织、轻工、机械等行业实施绿色化升级改造，推进城镇人口密集区危险化学品生产企业搬迁改造。落实能耗“双控”目标和碳排放强度控制要求， 推动重化工业减量化、集约化、绿色化发展。对于市场已饱和的“两高” 项目，主要产品设计能效水平要对标行业能耗限额先进值或国际先进水平。严格执行钢铁、水泥、平板玻璃、电解铝等行业产能置换政策，严控尿素、磷铵、电石、烧碱、黄磷等行业新增产能，新建项目应实施产能等量或减量置换。强化环保、能耗、水耗等要素约束，依法依规推动落后产能退出。</w:t>
            </w:r>
          </w:p>
        </w:tc>
        <w:tc>
          <w:tcPr>
            <w:tcW w:w="1288" w:type="pct"/>
            <w:vAlign w:val="center"/>
          </w:tcPr>
          <w:p w14:paraId="7E477435">
            <w:pPr>
              <w:pStyle w:val="129"/>
              <w:widowControl w:val="0"/>
              <w:jc w:val="both"/>
              <w:rPr>
                <w:color w:val="auto"/>
              </w:rPr>
            </w:pPr>
            <w:r>
              <w:rPr>
                <w:rFonts w:hint="eastAsia"/>
                <w:color w:val="auto"/>
              </w:rPr>
              <w:t>本项目处置并综合利用危险废物，属于《国民经济行业分类》（GB/T 4754-2017</w:t>
            </w:r>
            <w:r>
              <w:rPr>
                <w:color w:val="auto"/>
              </w:rPr>
              <w:t>）</w:t>
            </w:r>
            <w:r>
              <w:rPr>
                <w:rFonts w:hint="eastAsia"/>
                <w:color w:val="auto"/>
              </w:rPr>
              <w:t>中“N7724危险废物治理</w:t>
            </w:r>
            <w:r>
              <w:rPr>
                <w:color w:val="auto"/>
              </w:rPr>
              <w:t>”，</w:t>
            </w:r>
            <w:r>
              <w:rPr>
                <w:rFonts w:hint="eastAsia"/>
                <w:color w:val="auto"/>
              </w:rPr>
              <w:t xml:space="preserve"> 催化剂生产属于“C2661 </w:t>
            </w:r>
            <w:r>
              <w:rPr>
                <w:color w:val="auto"/>
              </w:rPr>
              <w:t>化学试剂和助剂制造”</w:t>
            </w:r>
            <w:r>
              <w:rPr>
                <w:rFonts w:hint="eastAsia"/>
                <w:color w:val="auto"/>
              </w:rPr>
              <w:t>； 危险废物处置属于“四十七、生态环境保护和治理业、101 危险废物（不含医疗废物）利用及处置”，催化剂制造属于 “二十三、化学原料和化学制品制造业 26”中“44 专用化学产品制造266”。项目采用成熟可靠处理和生产工艺，项目能耗、水耗均属于国内先进水平，不属于需要进行产能置换的行业。</w:t>
            </w:r>
          </w:p>
        </w:tc>
        <w:tc>
          <w:tcPr>
            <w:tcW w:w="284" w:type="pct"/>
            <w:vAlign w:val="center"/>
          </w:tcPr>
          <w:p w14:paraId="16421862">
            <w:pPr>
              <w:pStyle w:val="129"/>
              <w:widowControl w:val="0"/>
              <w:rPr>
                <w:color w:val="auto"/>
              </w:rPr>
            </w:pPr>
            <w:r>
              <w:rPr>
                <w:color w:val="auto"/>
              </w:rPr>
              <w:t>符合</w:t>
            </w:r>
          </w:p>
        </w:tc>
      </w:tr>
      <w:tr w14:paraId="57BFA23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3" w:type="pct"/>
            <w:vAlign w:val="center"/>
          </w:tcPr>
          <w:p w14:paraId="3199A837">
            <w:pPr>
              <w:pStyle w:val="129"/>
              <w:widowControl w:val="0"/>
              <w:rPr>
                <w:color w:val="auto"/>
              </w:rPr>
            </w:pPr>
            <w:r>
              <w:rPr>
                <w:rFonts w:hint="eastAsia"/>
                <w:color w:val="auto"/>
              </w:rPr>
              <w:t>2</w:t>
            </w:r>
          </w:p>
        </w:tc>
        <w:tc>
          <w:tcPr>
            <w:tcW w:w="765" w:type="pct"/>
            <w:vAlign w:val="center"/>
          </w:tcPr>
          <w:p w14:paraId="6ED71A93">
            <w:pPr>
              <w:pStyle w:val="129"/>
              <w:widowControl w:val="0"/>
              <w:rPr>
                <w:color w:val="auto"/>
              </w:rPr>
            </w:pPr>
            <w:r>
              <w:rPr>
                <w:color w:val="auto"/>
              </w:rPr>
              <w:t>《新疆生态环境保护 “十四五”规划》</w:t>
            </w:r>
          </w:p>
        </w:tc>
        <w:tc>
          <w:tcPr>
            <w:tcW w:w="2470" w:type="pct"/>
            <w:vAlign w:val="center"/>
          </w:tcPr>
          <w:p w14:paraId="4D236184">
            <w:pPr>
              <w:pStyle w:val="129"/>
              <w:widowControl w:val="0"/>
              <w:jc w:val="left"/>
              <w:rPr>
                <w:color w:val="auto"/>
              </w:rPr>
            </w:pPr>
            <w:r>
              <w:rPr>
                <w:color w:val="auto"/>
              </w:rPr>
              <w:t>第一节完善绿色发展机制</w:t>
            </w:r>
          </w:p>
          <w:p w14:paraId="6160DA98">
            <w:pPr>
              <w:pStyle w:val="129"/>
              <w:widowControl w:val="0"/>
              <w:jc w:val="left"/>
              <w:rPr>
                <w:color w:val="auto"/>
              </w:rPr>
            </w:pPr>
            <w:r>
              <w:rPr>
                <w:color w:val="auto"/>
              </w:rPr>
              <w:t>实施最严格的生态保护制度。坚决遏制“两高”项目盲目发展，严格执行能源、矿产资源开发自治区人民政府“一支笔”审批制度、环境保护“一票否决”制度，落实“三线一单”生态环境分区管控要求，守住生态保护红线、环境质量 底线和资源利用上线，实施生态环境准入清单管控。落实最严格的水资源管理制度，科学确定水资源承载能力，严格实行区域用水总量和强度控制，强化节水约束性指标管理。</w:t>
            </w:r>
          </w:p>
        </w:tc>
        <w:tc>
          <w:tcPr>
            <w:tcW w:w="1288" w:type="pct"/>
            <w:vAlign w:val="center"/>
          </w:tcPr>
          <w:p w14:paraId="5BAEEAA9">
            <w:pPr>
              <w:pStyle w:val="129"/>
              <w:widowControl w:val="0"/>
              <w:spacing w:before="156"/>
              <w:jc w:val="left"/>
              <w:rPr>
                <w:color w:val="auto"/>
              </w:rPr>
            </w:pPr>
            <w:r>
              <w:rPr>
                <w:rFonts w:hint="eastAsia"/>
                <w:color w:val="auto"/>
              </w:rPr>
              <w:t>本项目不属于《自治区“两高”项目管理目录（2025年版）》中“两高”项目。符合</w:t>
            </w:r>
            <w:r>
              <w:rPr>
                <w:rFonts w:hint="eastAsia" w:eastAsiaTheme="minorEastAsia"/>
                <w:color w:val="auto"/>
                <w:kern w:val="2"/>
              </w:rPr>
              <w:t>《新疆维吾尔自治区“三线一单”生态环境分区管控方案》和</w:t>
            </w:r>
            <w:r>
              <w:rPr>
                <w:rFonts w:hint="eastAsia"/>
                <w:color w:val="auto"/>
              </w:rPr>
              <w:t>《</w:t>
            </w:r>
            <w:r>
              <w:rPr>
                <w:color w:val="auto"/>
              </w:rPr>
              <w:t>关于印发乌鲁木齐市生态环境分区管控动态更新成果的通知》</w:t>
            </w:r>
            <w:r>
              <w:rPr>
                <w:rFonts w:hint="eastAsia"/>
                <w:color w:val="auto"/>
              </w:rPr>
              <w:t>要求。</w:t>
            </w:r>
          </w:p>
        </w:tc>
        <w:tc>
          <w:tcPr>
            <w:tcW w:w="284" w:type="pct"/>
            <w:vAlign w:val="center"/>
          </w:tcPr>
          <w:p w14:paraId="606D2F62">
            <w:pPr>
              <w:pStyle w:val="129"/>
              <w:widowControl w:val="0"/>
              <w:rPr>
                <w:color w:val="auto"/>
              </w:rPr>
            </w:pPr>
            <w:r>
              <w:rPr>
                <w:rFonts w:hint="eastAsia"/>
                <w:color w:val="auto"/>
              </w:rPr>
              <w:t>符合</w:t>
            </w:r>
          </w:p>
        </w:tc>
      </w:tr>
      <w:tr w14:paraId="4B364B5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3" w:type="pct"/>
            <w:vMerge w:val="restart"/>
            <w:vAlign w:val="center"/>
          </w:tcPr>
          <w:p w14:paraId="6DBEC2C3">
            <w:pPr>
              <w:pStyle w:val="129"/>
              <w:widowControl w:val="0"/>
              <w:rPr>
                <w:color w:val="auto"/>
              </w:rPr>
            </w:pPr>
            <w:r>
              <w:rPr>
                <w:rFonts w:hint="eastAsia"/>
                <w:color w:val="auto"/>
              </w:rPr>
              <w:t>3</w:t>
            </w:r>
          </w:p>
        </w:tc>
        <w:tc>
          <w:tcPr>
            <w:tcW w:w="765" w:type="pct"/>
            <w:vMerge w:val="restart"/>
            <w:vAlign w:val="center"/>
          </w:tcPr>
          <w:p w14:paraId="4A42A82D">
            <w:pPr>
              <w:pStyle w:val="129"/>
              <w:widowControl w:val="0"/>
              <w:rPr>
                <w:color w:val="auto"/>
              </w:rPr>
            </w:pPr>
            <w:r>
              <w:rPr>
                <w:rFonts w:hint="eastAsia"/>
                <w:color w:val="auto"/>
              </w:rPr>
              <w:t>《乌鲁木齐市生态</w:t>
            </w:r>
            <w:r>
              <w:rPr>
                <w:color w:val="auto"/>
              </w:rPr>
              <w:t>环境保护</w:t>
            </w:r>
            <w:r>
              <w:rPr>
                <w:rFonts w:hint="eastAsia"/>
                <w:color w:val="auto"/>
              </w:rPr>
              <w:t>“十四五”规划》</w:t>
            </w:r>
          </w:p>
        </w:tc>
        <w:tc>
          <w:tcPr>
            <w:tcW w:w="2470" w:type="pct"/>
            <w:vAlign w:val="center"/>
          </w:tcPr>
          <w:p w14:paraId="7A3AB191">
            <w:pPr>
              <w:pStyle w:val="129"/>
              <w:widowControl w:val="0"/>
              <w:jc w:val="left"/>
              <w:rPr>
                <w:color w:val="auto"/>
              </w:rPr>
            </w:pPr>
            <w:r>
              <w:rPr>
                <w:color w:val="auto"/>
              </w:rPr>
              <w:t>推动钢铁、建材、石化、化工等重点行业以及其他行业重点用能单位持续开展以减煤为重点的节能工作和以电代煤、以气代煤工作。</w:t>
            </w:r>
          </w:p>
        </w:tc>
        <w:tc>
          <w:tcPr>
            <w:tcW w:w="1288" w:type="pct"/>
            <w:vAlign w:val="center"/>
          </w:tcPr>
          <w:p w14:paraId="38BB051B">
            <w:pPr>
              <w:pStyle w:val="129"/>
              <w:widowControl w:val="0"/>
              <w:jc w:val="left"/>
              <w:rPr>
                <w:color w:val="auto"/>
              </w:rPr>
            </w:pPr>
            <w:r>
              <w:rPr>
                <w:rFonts w:hint="eastAsia"/>
                <w:color w:val="auto"/>
              </w:rPr>
              <w:t>本项目使用天然气作为燃料，不使用煤炭。</w:t>
            </w:r>
          </w:p>
        </w:tc>
        <w:tc>
          <w:tcPr>
            <w:tcW w:w="284" w:type="pct"/>
            <w:vAlign w:val="center"/>
          </w:tcPr>
          <w:p w14:paraId="79BFB958">
            <w:pPr>
              <w:pStyle w:val="129"/>
              <w:widowControl w:val="0"/>
              <w:rPr>
                <w:color w:val="auto"/>
              </w:rPr>
            </w:pPr>
            <w:r>
              <w:rPr>
                <w:rFonts w:hint="eastAsia"/>
                <w:color w:val="auto"/>
              </w:rPr>
              <w:t>符合</w:t>
            </w:r>
          </w:p>
        </w:tc>
      </w:tr>
      <w:tr w14:paraId="0EA0DA7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3" w:type="pct"/>
            <w:vMerge w:val="continue"/>
            <w:vAlign w:val="center"/>
          </w:tcPr>
          <w:p w14:paraId="7CF4676C">
            <w:pPr>
              <w:pStyle w:val="129"/>
              <w:widowControl w:val="0"/>
              <w:rPr>
                <w:color w:val="auto"/>
              </w:rPr>
            </w:pPr>
          </w:p>
        </w:tc>
        <w:tc>
          <w:tcPr>
            <w:tcW w:w="765" w:type="pct"/>
            <w:vMerge w:val="continue"/>
            <w:vAlign w:val="center"/>
          </w:tcPr>
          <w:p w14:paraId="473083E2">
            <w:pPr>
              <w:pStyle w:val="129"/>
              <w:widowControl w:val="0"/>
              <w:rPr>
                <w:color w:val="auto"/>
              </w:rPr>
            </w:pPr>
          </w:p>
        </w:tc>
        <w:tc>
          <w:tcPr>
            <w:tcW w:w="2470" w:type="pct"/>
            <w:vAlign w:val="center"/>
          </w:tcPr>
          <w:p w14:paraId="2B405370">
            <w:pPr>
              <w:pStyle w:val="129"/>
              <w:widowControl w:val="0"/>
              <w:jc w:val="left"/>
              <w:rPr>
                <w:color w:val="auto"/>
              </w:rPr>
            </w:pPr>
            <w:r>
              <w:rPr>
                <w:color w:val="auto"/>
              </w:rPr>
              <w:t>实施大气环境分区管控。严禁新（扩）建“三高”项目及淘汰类、限制类化工项目，禁止新增钢铁、电解铝、水泥、平板玻璃、轮胎等产能严重过剩行业项目。对电力、钢铁、建材、有色、化工、焦化、电镀、氮肥、原料药制造、农药等行业中环保、能耗、安全等不达标或生产使用淘汰类产品的企业和产能，要依法依规有序退出。新建排放大气污染物的工业项目应当进入工业园区。</w:t>
            </w:r>
          </w:p>
        </w:tc>
        <w:tc>
          <w:tcPr>
            <w:tcW w:w="1288" w:type="pct"/>
            <w:vAlign w:val="center"/>
          </w:tcPr>
          <w:p w14:paraId="5DCDBD76">
            <w:pPr>
              <w:pStyle w:val="129"/>
              <w:widowControl w:val="0"/>
              <w:jc w:val="left"/>
              <w:rPr>
                <w:color w:val="auto"/>
              </w:rPr>
            </w:pPr>
            <w:r>
              <w:rPr>
                <w:rFonts w:hint="eastAsia"/>
                <w:color w:val="auto"/>
              </w:rPr>
              <w:t>本项目不属于《自治区“两高”项目管理目录（2025年版）》中“两高”项目。项目位于乌鲁木齐甘泉堡经济技术开发区（工业区）化工园区。</w:t>
            </w:r>
          </w:p>
        </w:tc>
        <w:tc>
          <w:tcPr>
            <w:tcW w:w="284" w:type="pct"/>
            <w:vAlign w:val="center"/>
          </w:tcPr>
          <w:p w14:paraId="38EA4689">
            <w:pPr>
              <w:pStyle w:val="129"/>
              <w:widowControl w:val="0"/>
              <w:rPr>
                <w:color w:val="auto"/>
              </w:rPr>
            </w:pPr>
            <w:r>
              <w:rPr>
                <w:rFonts w:hint="eastAsia"/>
                <w:color w:val="auto"/>
              </w:rPr>
              <w:t>符合</w:t>
            </w:r>
          </w:p>
        </w:tc>
      </w:tr>
      <w:tr w14:paraId="13494E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3" w:type="pct"/>
            <w:vMerge w:val="continue"/>
            <w:vAlign w:val="center"/>
          </w:tcPr>
          <w:p w14:paraId="4BEA3297">
            <w:pPr>
              <w:pStyle w:val="129"/>
              <w:widowControl w:val="0"/>
              <w:rPr>
                <w:color w:val="auto"/>
              </w:rPr>
            </w:pPr>
          </w:p>
        </w:tc>
        <w:tc>
          <w:tcPr>
            <w:tcW w:w="765" w:type="pct"/>
            <w:vMerge w:val="continue"/>
            <w:vAlign w:val="center"/>
          </w:tcPr>
          <w:p w14:paraId="72A3B480">
            <w:pPr>
              <w:pStyle w:val="129"/>
              <w:widowControl w:val="0"/>
              <w:rPr>
                <w:color w:val="auto"/>
              </w:rPr>
            </w:pPr>
          </w:p>
        </w:tc>
        <w:tc>
          <w:tcPr>
            <w:tcW w:w="2470" w:type="pct"/>
            <w:vAlign w:val="center"/>
          </w:tcPr>
          <w:p w14:paraId="0D50970D">
            <w:pPr>
              <w:pStyle w:val="129"/>
              <w:widowControl w:val="0"/>
              <w:jc w:val="left"/>
              <w:rPr>
                <w:color w:val="auto"/>
              </w:rPr>
            </w:pPr>
            <w:r>
              <w:rPr>
                <w:color w:val="auto"/>
              </w:rPr>
              <w:t>认真落实《乌鲁木齐市工业炉窑大气污染综合治理实施方案》，引导企业技术改造升级，淘汰未完成改造的工业炉窑。完善工业窑炉大气污染综合治理体系，以煤、石油焦、渣油、重油等为燃料的工业窑炉，对具备条件的，完成工厂余热、电厂热力清洁能源替代。严格控制工业炉窑生产工艺过程及相关物料储存、输送等无组织排放，在保障生产安全的前提下，采取密闭、封闭等有效措施，有效提高废气收集率，避免可见烟粉尘外逸。减少工业行业二氧化硫、氮氧化物、颗粒物等污染物排放，有效控制钢铁、建材等重点行业二氧化碳排放，持续改善环境空气质量，着力推动产业高质量发展。暂未制订行业排放标准的工业窑炉，应参照相关行业已出台的标准，加大污染治理力度。</w:t>
            </w:r>
          </w:p>
        </w:tc>
        <w:tc>
          <w:tcPr>
            <w:tcW w:w="1288" w:type="pct"/>
            <w:vAlign w:val="center"/>
          </w:tcPr>
          <w:p w14:paraId="67BF8DA2">
            <w:pPr>
              <w:pStyle w:val="129"/>
              <w:widowControl w:val="0"/>
              <w:rPr>
                <w:color w:val="auto"/>
              </w:rPr>
            </w:pPr>
            <w:r>
              <w:rPr>
                <w:rFonts w:hint="eastAsia"/>
                <w:color w:val="auto"/>
              </w:rPr>
              <w:t>本项目符合</w:t>
            </w:r>
            <w:r>
              <w:rPr>
                <w:color w:val="auto"/>
              </w:rPr>
              <w:t>《乌鲁木齐市工业炉窑大气污染综合治理实施方案》要求，</w:t>
            </w:r>
            <w:r>
              <w:rPr>
                <w:rFonts w:hint="eastAsia"/>
                <w:color w:val="auto"/>
              </w:rPr>
              <w:t>网带烘干炉、焙烧炉均采用天然气为燃料，废气采用“SCR脱硝+布袋除尘”的颗粒物和氮氧化物控制措施，颗粒物、二氧化硫、氮氧化物满足《无机化学工业污染物排放标准》（GB31573-2015）及修改单特别排放限值，可达到《</w:t>
            </w:r>
            <w:r>
              <w:rPr>
                <w:color w:val="auto"/>
              </w:rPr>
              <w:t>乌鲁木齐市工业炉窑大气污染综合治理实施方案》</w:t>
            </w:r>
            <w:r>
              <w:rPr>
                <w:rFonts w:hint="eastAsia"/>
                <w:color w:val="auto"/>
              </w:rPr>
              <w:t>颗粒物、二氧化硫、氮氧化物不高于30、200、300毫克/立方米排放限值要求</w:t>
            </w:r>
          </w:p>
        </w:tc>
        <w:tc>
          <w:tcPr>
            <w:tcW w:w="284" w:type="pct"/>
            <w:vAlign w:val="center"/>
          </w:tcPr>
          <w:p w14:paraId="3AA97DBB">
            <w:pPr>
              <w:pStyle w:val="129"/>
              <w:widowControl w:val="0"/>
              <w:rPr>
                <w:color w:val="auto"/>
              </w:rPr>
            </w:pPr>
            <w:r>
              <w:rPr>
                <w:rFonts w:hint="eastAsia"/>
                <w:color w:val="auto"/>
              </w:rPr>
              <w:t>符合</w:t>
            </w:r>
          </w:p>
        </w:tc>
      </w:tr>
    </w:tbl>
    <w:p w14:paraId="7E5F9B41">
      <w:pPr>
        <w:pStyle w:val="132"/>
        <w:rPr>
          <w:color w:val="auto"/>
        </w:rPr>
        <w:sectPr>
          <w:footerReference r:id="rId11" w:type="default"/>
          <w:type w:val="continuous"/>
          <w:pgSz w:w="16838" w:h="11906" w:orient="landscape"/>
          <w:pgMar w:top="1440" w:right="1588" w:bottom="1389" w:left="1588" w:header="737" w:footer="822" w:gutter="0"/>
          <w:cols w:space="425" w:num="1"/>
          <w:docGrid w:type="lines" w:linePitch="312" w:charSpace="0"/>
        </w:sectPr>
      </w:pPr>
    </w:p>
    <w:p w14:paraId="34D3F597">
      <w:pPr>
        <w:pStyle w:val="5"/>
        <w:rPr>
          <w:color w:val="auto"/>
        </w:rPr>
      </w:pPr>
      <w:r>
        <w:rPr>
          <w:rFonts w:hint="eastAsia"/>
          <w:color w:val="auto"/>
        </w:rPr>
        <w:t>与</w:t>
      </w:r>
      <w:bookmarkStart w:id="52" w:name="_Hlk193895047"/>
      <w:r>
        <w:rPr>
          <w:rFonts w:hint="eastAsia"/>
          <w:color w:val="auto"/>
        </w:rPr>
        <w:t>《乌鲁木齐甘泉堡经济技术开发区（工业区）化工园区总体规划（2023-2035）》及规划环评</w:t>
      </w:r>
      <w:bookmarkEnd w:id="52"/>
      <w:r>
        <w:rPr>
          <w:rFonts w:hint="eastAsia"/>
          <w:color w:val="auto"/>
        </w:rPr>
        <w:t>符合性分析</w:t>
      </w:r>
    </w:p>
    <w:p w14:paraId="428167C4">
      <w:pPr>
        <w:pStyle w:val="132"/>
        <w:rPr>
          <w:color w:val="auto"/>
        </w:rPr>
      </w:pPr>
      <w:bookmarkStart w:id="53" w:name="_Hlk202888079"/>
      <w:r>
        <w:rPr>
          <w:rFonts w:hint="eastAsia"/>
          <w:color w:val="auto"/>
        </w:rPr>
        <w:t>乌鲁木齐甘泉堡经济技术开发区（工业区）化工园区“以下简称化工园区”属于乌鲁木齐甘泉堡经济技术开发区（工业区）的“区中园”。</w:t>
      </w:r>
    </w:p>
    <w:p w14:paraId="79768FBC">
      <w:pPr>
        <w:pStyle w:val="132"/>
        <w:rPr>
          <w:color w:val="auto"/>
        </w:rPr>
      </w:pPr>
      <w:r>
        <w:rPr>
          <w:rFonts w:hint="eastAsia"/>
          <w:color w:val="auto"/>
        </w:rPr>
        <w:t>乌鲁木齐甘泉堡经济技术开发区（工业区）化工园区位于甘泉堡经济技术开发区已批准范围内，根据乌鲁木齐甘泉堡经济技术开发区（工业区）化工园区总体规划（2023-2035），规划总面积12.26km</w:t>
      </w:r>
      <w:r>
        <w:rPr>
          <w:rFonts w:hint="eastAsia"/>
          <w:color w:val="auto"/>
          <w:vertAlign w:val="superscript"/>
        </w:rPr>
        <w:t>2</w:t>
      </w:r>
      <w:r>
        <w:rPr>
          <w:rFonts w:hint="eastAsia"/>
          <w:color w:val="auto"/>
        </w:rPr>
        <w:t>，共分为3个片区，其中：</w:t>
      </w:r>
    </w:p>
    <w:p w14:paraId="54750EB7">
      <w:pPr>
        <w:pStyle w:val="132"/>
        <w:rPr>
          <w:color w:val="auto"/>
        </w:rPr>
      </w:pPr>
      <w:r>
        <w:rPr>
          <w:rFonts w:hint="eastAsia"/>
          <w:color w:val="auto"/>
        </w:rPr>
        <w:t>1号片区：硅基新材料产业园，规划用地面积3.59km</w:t>
      </w:r>
      <w:r>
        <w:rPr>
          <w:rFonts w:hint="eastAsia"/>
          <w:color w:val="auto"/>
          <w:vertAlign w:val="superscript"/>
        </w:rPr>
        <w:t>2</w:t>
      </w:r>
      <w:r>
        <w:rPr>
          <w:rFonts w:hint="eastAsia"/>
          <w:color w:val="auto"/>
        </w:rPr>
        <w:t>，规划范围南起中部合盛硅业内部道路（支一路），北至锦泉街，西沿春晓路，东至云帆路。</w:t>
      </w:r>
    </w:p>
    <w:p w14:paraId="29C26038">
      <w:pPr>
        <w:pStyle w:val="132"/>
        <w:rPr>
          <w:color w:val="auto"/>
        </w:rPr>
      </w:pPr>
      <w:r>
        <w:rPr>
          <w:rFonts w:hint="eastAsia"/>
          <w:color w:val="auto"/>
        </w:rPr>
        <w:t>2号片区：煤化工产业园、功能材料产业园，规划用地面积7.44km</w:t>
      </w:r>
      <w:r>
        <w:rPr>
          <w:rFonts w:hint="eastAsia"/>
          <w:color w:val="auto"/>
          <w:vertAlign w:val="superscript"/>
        </w:rPr>
        <w:t>2</w:t>
      </w:r>
      <w:r>
        <w:rPr>
          <w:rFonts w:hint="eastAsia"/>
          <w:color w:val="auto"/>
        </w:rPr>
        <w:t>，规划范围南起祥华路，北邻贤清西街，西临四通路，东沿甘津路—月恒街—甘源路。</w:t>
      </w:r>
    </w:p>
    <w:p w14:paraId="20F200BD">
      <w:pPr>
        <w:pStyle w:val="132"/>
        <w:rPr>
          <w:color w:val="auto"/>
        </w:rPr>
      </w:pPr>
      <w:r>
        <w:rPr>
          <w:rFonts w:hint="eastAsia"/>
          <w:color w:val="auto"/>
        </w:rPr>
        <w:t>3号片区：铝基新材料产业园，规划用地面积</w:t>
      </w:r>
      <w:r>
        <w:rPr>
          <w:color w:val="auto"/>
        </w:rPr>
        <w:t>1</w:t>
      </w:r>
      <w:r>
        <w:rPr>
          <w:rFonts w:hint="eastAsia"/>
          <w:color w:val="auto"/>
        </w:rPr>
        <w:t>.</w:t>
      </w:r>
      <w:r>
        <w:rPr>
          <w:color w:val="auto"/>
        </w:rPr>
        <w:t>2</w:t>
      </w:r>
      <w:r>
        <w:rPr>
          <w:rFonts w:hint="eastAsia"/>
          <w:color w:val="auto"/>
        </w:rPr>
        <w:t>3km</w:t>
      </w:r>
      <w:r>
        <w:rPr>
          <w:rFonts w:hint="eastAsia"/>
          <w:color w:val="auto"/>
          <w:vertAlign w:val="superscript"/>
        </w:rPr>
        <w:t>2</w:t>
      </w:r>
      <w:r>
        <w:rPr>
          <w:rFonts w:hint="eastAsia"/>
          <w:color w:val="auto"/>
        </w:rPr>
        <w:t>，规划范围南起云泉东街，北至净明东街，西临博润路，东靠春晓路。</w:t>
      </w:r>
    </w:p>
    <w:p w14:paraId="7F131591">
      <w:pPr>
        <w:pStyle w:val="132"/>
        <w:rPr>
          <w:color w:val="auto"/>
        </w:rPr>
      </w:pPr>
      <w:r>
        <w:rPr>
          <w:rFonts w:hint="eastAsia"/>
          <w:color w:val="auto"/>
        </w:rPr>
        <w:t>本项目建设位于3号片区：铝基新材料产业园。</w:t>
      </w:r>
    </w:p>
    <w:p w14:paraId="1A2F63C0">
      <w:pPr>
        <w:pStyle w:val="132"/>
        <w:rPr>
          <w:color w:val="auto"/>
        </w:rPr>
      </w:pPr>
      <w:r>
        <w:rPr>
          <w:rFonts w:hint="eastAsia"/>
          <w:color w:val="auto"/>
        </w:rPr>
        <w:t>规划期限为2023—2035年，其中近期2023—2025年，远期2026—2035年。</w:t>
      </w:r>
    </w:p>
    <w:bookmarkEnd w:id="53"/>
    <w:p w14:paraId="27126AD5">
      <w:pPr>
        <w:pStyle w:val="129"/>
        <w:jc w:val="left"/>
        <w:rPr>
          <w:color w:val="auto"/>
        </w:rPr>
      </w:pPr>
      <w:r>
        <w:rPr>
          <w:color w:val="auto"/>
          <w:lang w:bidi="ar"/>
        </w:rPr>
        <w:t>20</w:t>
      </w:r>
      <w:r>
        <w:rPr>
          <w:rFonts w:hint="eastAsia"/>
          <w:color w:val="auto"/>
          <w:lang w:bidi="ar"/>
        </w:rPr>
        <w:t>24</w:t>
      </w:r>
      <w:r>
        <w:rPr>
          <w:rFonts w:hint="eastAsia" w:ascii="宋体" w:hAnsi="宋体" w:cs="宋体"/>
          <w:color w:val="auto"/>
          <w:lang w:bidi="ar"/>
        </w:rPr>
        <w:t>年</w:t>
      </w:r>
      <w:r>
        <w:rPr>
          <w:rFonts w:hint="eastAsia"/>
          <w:color w:val="auto"/>
          <w:lang w:bidi="ar"/>
        </w:rPr>
        <w:t>2</w:t>
      </w:r>
      <w:r>
        <w:rPr>
          <w:rFonts w:hint="eastAsia" w:ascii="宋体" w:hAnsi="宋体" w:cs="宋体"/>
          <w:color w:val="auto"/>
          <w:lang w:bidi="ar"/>
        </w:rPr>
        <w:t>月化工园区获得自治区环保厅《关于</w:t>
      </w:r>
      <w:r>
        <w:rPr>
          <w:rFonts w:hint="eastAsia"/>
          <w:color w:val="auto"/>
          <w:lang w:bidi="ar"/>
        </w:rPr>
        <w:t>〈乌鲁木齐甘泉堡经济技术开发区（工业区）</w:t>
      </w:r>
      <w:r>
        <w:rPr>
          <w:rFonts w:hint="eastAsia"/>
          <w:color w:val="auto"/>
        </w:rPr>
        <w:t>化工园区总体规划环境影响报告书</w:t>
      </w:r>
      <w:r>
        <w:rPr>
          <w:rFonts w:hint="eastAsia"/>
          <w:color w:val="auto"/>
          <w:lang w:bidi="ar"/>
        </w:rPr>
        <w:t>〉的审查意见》</w:t>
      </w:r>
      <w:r>
        <w:rPr>
          <w:rFonts w:hint="eastAsia" w:ascii="宋体" w:hAnsi="宋体" w:cs="宋体"/>
          <w:color w:val="auto"/>
          <w:lang w:bidi="ar"/>
        </w:rPr>
        <w:t>（</w:t>
      </w:r>
      <w:r>
        <w:rPr>
          <w:rFonts w:ascii="宋体" w:hAnsi="宋体" w:cs="宋体"/>
          <w:color w:val="auto"/>
          <w:lang w:bidi="ar"/>
        </w:rPr>
        <w:t>新环审〔2024〕22号</w:t>
      </w:r>
      <w:r>
        <w:rPr>
          <w:rFonts w:hint="eastAsia" w:ascii="宋体" w:hAnsi="宋体" w:cs="宋体"/>
          <w:color w:val="auto"/>
          <w:lang w:bidi="ar"/>
        </w:rPr>
        <w:t>）。</w:t>
      </w:r>
      <w:r>
        <w:rPr>
          <w:rFonts w:hint="eastAsia"/>
          <w:color w:val="auto"/>
          <w:lang w:bidi="ar"/>
        </w:rPr>
        <w:t>2024</w:t>
      </w:r>
      <w:r>
        <w:rPr>
          <w:rFonts w:hint="eastAsia" w:ascii="宋体" w:hAnsi="宋体" w:cs="宋体"/>
          <w:color w:val="auto"/>
          <w:lang w:bidi="ar"/>
        </w:rPr>
        <w:t>年</w:t>
      </w:r>
      <w:r>
        <w:rPr>
          <w:rFonts w:hint="eastAsia"/>
          <w:color w:val="auto"/>
          <w:lang w:bidi="ar"/>
        </w:rPr>
        <w:t>6</w:t>
      </w:r>
      <w:r>
        <w:rPr>
          <w:rFonts w:hint="eastAsia" w:ascii="宋体" w:hAnsi="宋体" w:cs="宋体"/>
          <w:color w:val="auto"/>
          <w:lang w:bidi="ar"/>
        </w:rPr>
        <w:t>月，</w:t>
      </w:r>
      <w:r>
        <w:rPr>
          <w:rFonts w:hint="eastAsia"/>
          <w:color w:val="auto"/>
          <w:lang w:bidi="ar"/>
        </w:rPr>
        <w:t>乌鲁木齐甘泉堡经济技术开发区</w:t>
      </w:r>
      <w:r>
        <w:rPr>
          <w:rFonts w:hint="eastAsia"/>
          <w:color w:val="auto"/>
        </w:rPr>
        <w:t>化工园区（化工产业集中区）通过</w:t>
      </w:r>
      <w:r>
        <w:rPr>
          <w:rFonts w:hint="eastAsia" w:ascii="宋体" w:hAnsi="宋体" w:cs="宋体"/>
          <w:color w:val="auto"/>
          <w:lang w:bidi="ar"/>
        </w:rPr>
        <w:t>新疆维吾尔自治区工业和信息化厅化工园区（化工产业集中区）认定（新工信石化函</w:t>
      </w:r>
      <w:r>
        <w:rPr>
          <w:rFonts w:ascii="宋体" w:hAnsi="宋体" w:cs="宋体"/>
          <w:color w:val="auto"/>
          <w:lang w:bidi="ar"/>
        </w:rPr>
        <w:t>〔2024〕</w:t>
      </w:r>
      <w:r>
        <w:rPr>
          <w:rFonts w:hint="eastAsia" w:ascii="宋体" w:hAnsi="宋体" w:cs="宋体"/>
          <w:color w:val="auto"/>
          <w:lang w:bidi="ar"/>
        </w:rPr>
        <w:t>78</w:t>
      </w:r>
      <w:r>
        <w:rPr>
          <w:rFonts w:ascii="宋体" w:hAnsi="宋体" w:cs="宋体"/>
          <w:color w:val="auto"/>
          <w:lang w:bidi="ar"/>
        </w:rPr>
        <w:t>号</w:t>
      </w:r>
      <w:r>
        <w:rPr>
          <w:rFonts w:hint="eastAsia" w:ascii="宋体" w:hAnsi="宋体" w:cs="宋体"/>
          <w:color w:val="auto"/>
          <w:lang w:bidi="ar"/>
        </w:rPr>
        <w:t>）</w:t>
      </w:r>
      <w:r>
        <w:rPr>
          <w:rFonts w:hint="eastAsia"/>
          <w:color w:val="auto"/>
        </w:rPr>
        <w:t>。</w:t>
      </w:r>
    </w:p>
    <w:p w14:paraId="08993C0F">
      <w:pPr>
        <w:pStyle w:val="132"/>
        <w:rPr>
          <w:color w:val="auto"/>
        </w:rPr>
      </w:pPr>
      <w:r>
        <w:rPr>
          <w:rFonts w:hint="eastAsia"/>
          <w:color w:val="auto"/>
        </w:rPr>
        <w:t>（1）与园区规划发展目标的符合性</w:t>
      </w:r>
    </w:p>
    <w:p w14:paraId="79A1B448">
      <w:pPr>
        <w:pStyle w:val="132"/>
        <w:rPr>
          <w:color w:val="auto"/>
        </w:rPr>
      </w:pPr>
      <w:r>
        <w:rPr>
          <w:rFonts w:hint="eastAsia"/>
          <w:color w:val="auto"/>
        </w:rPr>
        <w:t>《乌鲁木齐甘泉堡经济技术开发区（工业区）化工园区总体规划（2023-2035）》分期建设目标：</w:t>
      </w:r>
    </w:p>
    <w:p w14:paraId="4B8E2E22">
      <w:pPr>
        <w:pStyle w:val="132"/>
        <w:rPr>
          <w:color w:val="auto"/>
        </w:rPr>
      </w:pPr>
      <w:r>
        <w:rPr>
          <w:rFonts w:hint="eastAsia"/>
          <w:color w:val="auto"/>
        </w:rPr>
        <w:t>全力打造甘泉堡经开区化工园区，加快推进重点龙头项目，全面完善园区基础设施规划与建设，提高基础条件支撑能力，使之成为硅基、铝基、煤化工精细化工产业核心集中区。到2026年，初步建成乌昌石地区乃至新疆最重要的产业基地之一：再用5—10年的时间实现全国领先化工新材料产业基地的目标，建成新疆产业链最完整、高新技术数量最多的化工新材料、新能源产业集群，并带动城镇建设与发展。</w:t>
      </w:r>
    </w:p>
    <w:p w14:paraId="288CB17C">
      <w:pPr>
        <w:pStyle w:val="132"/>
        <w:rPr>
          <w:color w:val="auto"/>
        </w:rPr>
      </w:pPr>
      <w:r>
        <w:rPr>
          <w:rFonts w:hint="eastAsia"/>
          <w:color w:val="auto"/>
        </w:rPr>
        <w:t>到2026年，园区形成比较完善的产业链，形成上下游相互配套、一体化的产业体系。</w:t>
      </w:r>
    </w:p>
    <w:p w14:paraId="3881A170">
      <w:pPr>
        <w:pStyle w:val="132"/>
        <w:rPr>
          <w:color w:val="auto"/>
        </w:rPr>
      </w:pPr>
      <w:r>
        <w:rPr>
          <w:rFonts w:hint="eastAsia"/>
          <w:color w:val="auto"/>
        </w:rPr>
        <w:t>到2035年，稳定和提高产量，积极扩大硅基、铝基新材料下游产业，形成带动甘泉堡经济技术开发区整体协调快速发展的化工产业链，建成我国“西北一流”的新兴工业化产业示范基地。</w:t>
      </w:r>
    </w:p>
    <w:p w14:paraId="601B12C9">
      <w:pPr>
        <w:pStyle w:val="132"/>
        <w:rPr>
          <w:color w:val="auto"/>
        </w:rPr>
      </w:pPr>
      <w:r>
        <w:rPr>
          <w:rFonts w:hint="eastAsia"/>
          <w:color w:val="auto"/>
        </w:rPr>
        <w:t>本项目是危险废物综合利用的环保型工程，是</w:t>
      </w:r>
      <w:r>
        <w:rPr>
          <w:color w:val="auto"/>
        </w:rPr>
        <w:t>乌鲁木齐甘泉堡经济技术开发区（工业区）</w:t>
      </w:r>
      <w:r>
        <w:rPr>
          <w:rFonts w:hint="eastAsia"/>
          <w:color w:val="auto"/>
        </w:rPr>
        <w:t>循环经济产业链的组成部分，也是铝“三废”循环利用的重要一环，对园区产业链延伸、低碳发展具有促进意义，符合园区发展目标。</w:t>
      </w:r>
    </w:p>
    <w:p w14:paraId="09ACA5B4">
      <w:pPr>
        <w:pStyle w:val="132"/>
        <w:rPr>
          <w:color w:val="auto"/>
        </w:rPr>
      </w:pPr>
      <w:r>
        <w:rPr>
          <w:rFonts w:hint="eastAsia"/>
          <w:color w:val="auto"/>
        </w:rPr>
        <w:t>（2）与园区产业内容的符合性</w:t>
      </w:r>
    </w:p>
    <w:p w14:paraId="3F5DA775">
      <w:pPr>
        <w:pStyle w:val="132"/>
        <w:rPr>
          <w:color w:val="auto"/>
        </w:rPr>
      </w:pPr>
      <w:bookmarkStart w:id="54" w:name="_Hlk197699363"/>
      <w:r>
        <w:rPr>
          <w:rFonts w:hint="eastAsia"/>
          <w:color w:val="auto"/>
        </w:rPr>
        <w:t>根据化工园区总体规划，园区产业发展定位为：</w:t>
      </w:r>
    </w:p>
    <w:p w14:paraId="06EE0EC5">
      <w:pPr>
        <w:pStyle w:val="132"/>
        <w:rPr>
          <w:color w:val="auto"/>
        </w:rPr>
      </w:pPr>
      <w:r>
        <w:rPr>
          <w:rFonts w:hint="eastAsia"/>
          <w:color w:val="auto"/>
        </w:rPr>
        <w:t>甘泉堡经济技术开发区（工业区）化工园区主要承接硅基新材料、煤化工、铝基新材料产业。化工园依托园内现有大企业为龙头企业，逐步形成以硅基新材料为重点，煤化工精细化工、铝基新材料协同发展。</w:t>
      </w:r>
    </w:p>
    <w:p w14:paraId="75B9582E">
      <w:pPr>
        <w:pStyle w:val="132"/>
        <w:rPr>
          <w:color w:val="auto"/>
        </w:rPr>
      </w:pPr>
      <w:r>
        <w:rPr>
          <w:rFonts w:hint="eastAsia"/>
          <w:color w:val="auto"/>
        </w:rPr>
        <w:t>本项目处理铝腐蚀箔、化成箔生产过程中产生的废酸液、废碱液，通过处理危险废物，可副产γ-氧化铝，属于铝基新材料，符合化工园区产业发展定位。</w:t>
      </w:r>
    </w:p>
    <w:bookmarkEnd w:id="54"/>
    <w:p w14:paraId="6278DAE3">
      <w:pPr>
        <w:pStyle w:val="132"/>
        <w:rPr>
          <w:color w:val="auto"/>
        </w:rPr>
      </w:pPr>
      <w:r>
        <w:rPr>
          <w:rFonts w:hint="eastAsia"/>
          <w:color w:val="auto"/>
        </w:rPr>
        <w:t>（3）用地布局符合性</w:t>
      </w:r>
    </w:p>
    <w:p w14:paraId="5172322C">
      <w:pPr>
        <w:pStyle w:val="132"/>
        <w:rPr>
          <w:color w:val="auto"/>
        </w:rPr>
      </w:pPr>
      <w:r>
        <w:rPr>
          <w:rFonts w:hint="eastAsia"/>
          <w:color w:val="auto"/>
        </w:rPr>
        <w:t>本项目位于甘泉堡经济技术开发区（工业区）化工园区3号片区：铝基新材料产业园，用地属于工业用地，与园区用地布局相符。</w:t>
      </w:r>
    </w:p>
    <w:p w14:paraId="24FB978E">
      <w:pPr>
        <w:pStyle w:val="4"/>
        <w:rPr>
          <w:color w:val="auto"/>
        </w:rPr>
      </w:pPr>
      <w:r>
        <w:rPr>
          <w:rFonts w:hint="eastAsia"/>
          <w:color w:val="auto"/>
        </w:rPr>
        <w:t>生态环境分区管控</w:t>
      </w:r>
    </w:p>
    <w:p w14:paraId="62F1E6B2">
      <w:pPr>
        <w:pStyle w:val="132"/>
        <w:rPr>
          <w:color w:val="auto"/>
        </w:rPr>
      </w:pPr>
      <w:r>
        <w:rPr>
          <w:rFonts w:hint="eastAsia"/>
          <w:color w:val="auto"/>
          <w:kern w:val="2"/>
        </w:rPr>
        <w:t>根据</w:t>
      </w:r>
      <w:r>
        <w:rPr>
          <w:rFonts w:hint="eastAsia"/>
          <w:color w:val="auto"/>
        </w:rPr>
        <w:t>《关于印发〈新疆维吾尔自治区生态环境分区管控动态更新成果〉的通知》（新环环评发〔2024〕157号</w:t>
      </w:r>
      <w:r>
        <w:rPr>
          <w:color w:val="auto"/>
        </w:rPr>
        <w:t>）</w:t>
      </w:r>
      <w:r>
        <w:rPr>
          <w:rFonts w:hint="eastAsia"/>
          <w:color w:val="auto"/>
        </w:rPr>
        <w:t>、</w:t>
      </w:r>
      <w:r>
        <w:rPr>
          <w:color w:val="auto"/>
        </w:rPr>
        <w:t>《关于印发乌鲁木齐市生态环境分区管控动态更新成果的通知》</w:t>
      </w:r>
      <w:r>
        <w:rPr>
          <w:rFonts w:hint="eastAsia"/>
          <w:color w:val="auto"/>
          <w:kern w:val="2"/>
        </w:rPr>
        <w:t>，</w:t>
      </w:r>
      <w:r>
        <w:rPr>
          <w:color w:val="auto"/>
          <w:kern w:val="2"/>
        </w:rPr>
        <w:t>本项目所在区域属于重点管控单元范围内（甘泉堡经济技术开发区重点管控单元，编号ZH65010920013）</w:t>
      </w:r>
      <w:r>
        <w:rPr>
          <w:rFonts w:hint="eastAsia"/>
          <w:color w:val="auto"/>
          <w:kern w:val="2"/>
        </w:rPr>
        <w:t>，项目所在区域不涉及生态保护红线区域。</w:t>
      </w:r>
      <w:r>
        <w:rPr>
          <w:rFonts w:hint="eastAsia"/>
          <w:color w:val="auto"/>
        </w:rPr>
        <w:t>乌鲁木齐环境管控单元分布图见图1.3-1。</w:t>
      </w:r>
    </w:p>
    <w:p w14:paraId="752C18C5">
      <w:pPr>
        <w:pStyle w:val="132"/>
        <w:rPr>
          <w:color w:val="auto"/>
        </w:rPr>
      </w:pPr>
      <w:r>
        <w:rPr>
          <w:rFonts w:hint="eastAsia"/>
          <w:color w:val="auto"/>
        </w:rPr>
        <w:t>本项目与“分区管控”要求的符合性分析见表1.3-4。</w:t>
      </w:r>
    </w:p>
    <w:p w14:paraId="37BF432A">
      <w:pPr>
        <w:rPr>
          <w:color w:val="auto"/>
        </w:rPr>
      </w:pPr>
    </w:p>
    <w:p w14:paraId="3F807701">
      <w:pPr>
        <w:rPr>
          <w:color w:val="auto"/>
        </w:rPr>
        <w:sectPr>
          <w:footerReference r:id="rId12" w:type="default"/>
          <w:type w:val="continuous"/>
          <w:pgSz w:w="11906" w:h="16838"/>
          <w:pgMar w:top="1440" w:right="1588" w:bottom="1389" w:left="1588" w:header="737" w:footer="822" w:gutter="0"/>
          <w:cols w:space="425" w:num="1"/>
          <w:docGrid w:type="lines" w:linePitch="312" w:charSpace="0"/>
        </w:sectPr>
      </w:pPr>
    </w:p>
    <w:p w14:paraId="3E62258C">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color w:val="auto"/>
        </w:rPr>
        <w:t xml:space="preserve">   本项目与乌鲁木齐市“三线一单”生态环境分区管控方案符合性分析表</w:t>
      </w:r>
    </w:p>
    <w:tbl>
      <w:tblPr>
        <w:tblStyle w:val="1937"/>
        <w:tblW w:w="4981"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622"/>
        <w:gridCol w:w="8174"/>
        <w:gridCol w:w="3658"/>
        <w:gridCol w:w="1212"/>
      </w:tblGrid>
      <w:tr w14:paraId="79456E8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761" w:type="dxa"/>
            <w:gridSpan w:val="2"/>
            <w:vAlign w:val="center"/>
          </w:tcPr>
          <w:p w14:paraId="564750F0">
            <w:pPr>
              <w:pStyle w:val="129"/>
              <w:widowControl w:val="0"/>
              <w:rPr>
                <w:color w:val="auto"/>
              </w:rPr>
            </w:pPr>
            <w:r>
              <w:rPr>
                <w:color w:val="auto"/>
              </w:rPr>
              <w:t>生态环境分区管控方案要求</w:t>
            </w:r>
          </w:p>
        </w:tc>
        <w:tc>
          <w:tcPr>
            <w:tcW w:w="3644" w:type="dxa"/>
            <w:vAlign w:val="center"/>
          </w:tcPr>
          <w:p w14:paraId="08F8E24E">
            <w:pPr>
              <w:pStyle w:val="129"/>
              <w:widowControl w:val="0"/>
              <w:rPr>
                <w:color w:val="auto"/>
              </w:rPr>
            </w:pPr>
            <w:r>
              <w:rPr>
                <w:color w:val="auto"/>
              </w:rPr>
              <w:t>项目符合性</w:t>
            </w:r>
          </w:p>
        </w:tc>
        <w:tc>
          <w:tcPr>
            <w:tcW w:w="1207" w:type="dxa"/>
            <w:vAlign w:val="center"/>
          </w:tcPr>
          <w:p w14:paraId="4F0E7904">
            <w:pPr>
              <w:pStyle w:val="129"/>
              <w:widowControl w:val="0"/>
              <w:rPr>
                <w:color w:val="auto"/>
              </w:rPr>
            </w:pPr>
            <w:r>
              <w:rPr>
                <w:color w:val="auto"/>
              </w:rPr>
              <w:t>符合性分析</w:t>
            </w:r>
          </w:p>
        </w:tc>
      </w:tr>
      <w:tr w14:paraId="4CF59BF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restart"/>
            <w:vAlign w:val="center"/>
          </w:tcPr>
          <w:p w14:paraId="77AD6C2E">
            <w:pPr>
              <w:pStyle w:val="129"/>
              <w:widowControl w:val="0"/>
              <w:rPr>
                <w:color w:val="auto"/>
              </w:rPr>
            </w:pPr>
            <w:r>
              <w:rPr>
                <w:color w:val="auto"/>
              </w:rPr>
              <w:t>空间布局</w:t>
            </w:r>
          </w:p>
          <w:p w14:paraId="531C23C2">
            <w:pPr>
              <w:pStyle w:val="129"/>
              <w:widowControl w:val="0"/>
              <w:rPr>
                <w:color w:val="auto"/>
              </w:rPr>
            </w:pPr>
            <w:r>
              <w:rPr>
                <w:color w:val="auto"/>
              </w:rPr>
              <w:t>约束</w:t>
            </w:r>
          </w:p>
        </w:tc>
        <w:tc>
          <w:tcPr>
            <w:tcW w:w="8141" w:type="dxa"/>
            <w:vAlign w:val="center"/>
          </w:tcPr>
          <w:p w14:paraId="7994BDD6">
            <w:pPr>
              <w:pStyle w:val="129"/>
              <w:widowControl w:val="0"/>
              <w:rPr>
                <w:color w:val="auto"/>
              </w:rPr>
            </w:pPr>
            <w:r>
              <w:rPr>
                <w:color w:val="auto"/>
              </w:rPr>
              <w:t>（1.1）甘泉堡经济技术开发区主导产业：新能源、新材料、高端装备和节能环保。培育纺织服装全产业链、生物健康、新能源汽车、通航、大数据、绿色（装配式）建筑六大产业。硅基产业在现有产业基础上进行产业链延伸发展。</w:t>
            </w:r>
          </w:p>
        </w:tc>
        <w:tc>
          <w:tcPr>
            <w:tcW w:w="3644" w:type="dxa"/>
            <w:vAlign w:val="center"/>
          </w:tcPr>
          <w:p w14:paraId="5A43BE51">
            <w:pPr>
              <w:pStyle w:val="129"/>
              <w:widowControl w:val="0"/>
              <w:rPr>
                <w:color w:val="auto"/>
              </w:rPr>
            </w:pPr>
            <w:r>
              <w:rPr>
                <w:color w:val="auto"/>
              </w:rPr>
              <w:t>项目位于甘泉堡经济技术开发区</w:t>
            </w:r>
            <w:r>
              <w:rPr>
                <w:rFonts w:hint="eastAsia"/>
                <w:color w:val="auto"/>
              </w:rPr>
              <w:t>化工园区</w:t>
            </w:r>
            <w:r>
              <w:rPr>
                <w:color w:val="auto"/>
              </w:rPr>
              <w:t>，本项目符合产业定位</w:t>
            </w:r>
          </w:p>
        </w:tc>
        <w:tc>
          <w:tcPr>
            <w:tcW w:w="1207" w:type="dxa"/>
            <w:vAlign w:val="center"/>
          </w:tcPr>
          <w:p w14:paraId="73E901C3">
            <w:pPr>
              <w:pStyle w:val="129"/>
              <w:widowControl w:val="0"/>
              <w:rPr>
                <w:color w:val="auto"/>
              </w:rPr>
            </w:pPr>
            <w:r>
              <w:rPr>
                <w:color w:val="auto"/>
              </w:rPr>
              <w:t>符合</w:t>
            </w:r>
          </w:p>
        </w:tc>
      </w:tr>
      <w:tr w14:paraId="223245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056D0B9B">
            <w:pPr>
              <w:pStyle w:val="129"/>
              <w:widowControl w:val="0"/>
              <w:rPr>
                <w:color w:val="auto"/>
              </w:rPr>
            </w:pPr>
          </w:p>
        </w:tc>
        <w:tc>
          <w:tcPr>
            <w:tcW w:w="8141" w:type="dxa"/>
            <w:vAlign w:val="center"/>
          </w:tcPr>
          <w:p w14:paraId="4362E79D">
            <w:pPr>
              <w:pStyle w:val="129"/>
              <w:widowControl w:val="0"/>
              <w:rPr>
                <w:color w:val="auto"/>
              </w:rPr>
            </w:pPr>
            <w:r>
              <w:rPr>
                <w:color w:val="auto"/>
              </w:rPr>
              <w:t>（1.2）不宜布局电解铝、燃煤纯发电机组、金属硅，碳化硅、氯乙烯（电石法）焦炭（含半焦）等行业的新增产能项目。</w:t>
            </w:r>
          </w:p>
        </w:tc>
        <w:tc>
          <w:tcPr>
            <w:tcW w:w="3644" w:type="dxa"/>
            <w:vAlign w:val="center"/>
          </w:tcPr>
          <w:p w14:paraId="445C559D">
            <w:pPr>
              <w:pStyle w:val="129"/>
              <w:widowControl w:val="0"/>
              <w:rPr>
                <w:color w:val="auto"/>
              </w:rPr>
            </w:pPr>
            <w:r>
              <w:rPr>
                <w:color w:val="auto"/>
              </w:rPr>
              <w:t>项目无以上工艺</w:t>
            </w:r>
          </w:p>
        </w:tc>
        <w:tc>
          <w:tcPr>
            <w:tcW w:w="1207" w:type="dxa"/>
            <w:vAlign w:val="center"/>
          </w:tcPr>
          <w:p w14:paraId="254D513D">
            <w:pPr>
              <w:pStyle w:val="129"/>
              <w:widowControl w:val="0"/>
              <w:rPr>
                <w:color w:val="auto"/>
              </w:rPr>
            </w:pPr>
            <w:r>
              <w:rPr>
                <w:color w:val="auto"/>
              </w:rPr>
              <w:t>符合</w:t>
            </w:r>
          </w:p>
        </w:tc>
      </w:tr>
      <w:tr w14:paraId="4D28C0A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7DA27155">
            <w:pPr>
              <w:pStyle w:val="129"/>
              <w:widowControl w:val="0"/>
              <w:rPr>
                <w:color w:val="auto"/>
              </w:rPr>
            </w:pPr>
          </w:p>
        </w:tc>
        <w:tc>
          <w:tcPr>
            <w:tcW w:w="8141" w:type="dxa"/>
            <w:vAlign w:val="center"/>
          </w:tcPr>
          <w:p w14:paraId="5BE2BE8A">
            <w:pPr>
              <w:pStyle w:val="129"/>
              <w:widowControl w:val="0"/>
              <w:rPr>
                <w:color w:val="auto"/>
              </w:rPr>
            </w:pPr>
            <w:r>
              <w:rPr>
                <w:color w:val="auto"/>
              </w:rPr>
              <w:t>（1.3）执行《甘泉堡经济技术开发区产业目录》和《甘泉堡经济技术开发区产业负面清单》要求，禁止不符合产业准入要求的企业和项目入驻。</w:t>
            </w:r>
          </w:p>
        </w:tc>
        <w:tc>
          <w:tcPr>
            <w:tcW w:w="3644" w:type="dxa"/>
            <w:vAlign w:val="center"/>
          </w:tcPr>
          <w:p w14:paraId="24B4AD4B">
            <w:pPr>
              <w:pStyle w:val="129"/>
              <w:widowControl w:val="0"/>
              <w:rPr>
                <w:color w:val="auto"/>
              </w:rPr>
            </w:pPr>
            <w:r>
              <w:rPr>
                <w:color w:val="auto"/>
              </w:rPr>
              <w:t>项目不属于《甘泉堡经济技术开发区产业负面清单》中第一类限制类、第二类淘汰类项目，同时项目已取得乌鲁木齐甘泉堡经济技术开发区项目登记备案证</w:t>
            </w:r>
          </w:p>
        </w:tc>
        <w:tc>
          <w:tcPr>
            <w:tcW w:w="1207" w:type="dxa"/>
            <w:vAlign w:val="center"/>
          </w:tcPr>
          <w:p w14:paraId="4268E512">
            <w:pPr>
              <w:pStyle w:val="129"/>
              <w:widowControl w:val="0"/>
              <w:rPr>
                <w:color w:val="auto"/>
              </w:rPr>
            </w:pPr>
            <w:r>
              <w:rPr>
                <w:color w:val="auto"/>
              </w:rPr>
              <w:t>符合</w:t>
            </w:r>
          </w:p>
        </w:tc>
      </w:tr>
      <w:tr w14:paraId="01A803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2F747E39">
            <w:pPr>
              <w:pStyle w:val="129"/>
              <w:widowControl w:val="0"/>
              <w:rPr>
                <w:color w:val="auto"/>
              </w:rPr>
            </w:pPr>
          </w:p>
        </w:tc>
        <w:tc>
          <w:tcPr>
            <w:tcW w:w="8141" w:type="dxa"/>
            <w:vAlign w:val="center"/>
          </w:tcPr>
          <w:p w14:paraId="231B0E3A">
            <w:pPr>
              <w:pStyle w:val="129"/>
              <w:widowControl w:val="0"/>
              <w:rPr>
                <w:color w:val="auto"/>
              </w:rPr>
            </w:pPr>
            <w:r>
              <w:rPr>
                <w:color w:val="auto"/>
              </w:rPr>
              <w:t>（1.4）在园区内设置企业准入条件，禁止单位生产总值水耗较高的企业入驻。</w:t>
            </w:r>
          </w:p>
        </w:tc>
        <w:tc>
          <w:tcPr>
            <w:tcW w:w="3644" w:type="dxa"/>
            <w:vAlign w:val="center"/>
          </w:tcPr>
          <w:p w14:paraId="5FFD7F6A">
            <w:pPr>
              <w:pStyle w:val="129"/>
              <w:widowControl w:val="0"/>
              <w:rPr>
                <w:color w:val="auto"/>
              </w:rPr>
            </w:pPr>
            <w:r>
              <w:rPr>
                <w:color w:val="auto"/>
              </w:rPr>
              <w:t>项目生产生活用水消耗较小，水资源消耗较小</w:t>
            </w:r>
          </w:p>
        </w:tc>
        <w:tc>
          <w:tcPr>
            <w:tcW w:w="1207" w:type="dxa"/>
            <w:vAlign w:val="center"/>
          </w:tcPr>
          <w:p w14:paraId="1B0DF621">
            <w:pPr>
              <w:pStyle w:val="129"/>
              <w:widowControl w:val="0"/>
              <w:rPr>
                <w:color w:val="auto"/>
              </w:rPr>
            </w:pPr>
            <w:r>
              <w:rPr>
                <w:color w:val="auto"/>
              </w:rPr>
              <w:t>符合</w:t>
            </w:r>
          </w:p>
        </w:tc>
      </w:tr>
      <w:tr w14:paraId="52C1450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25A25D84">
            <w:pPr>
              <w:pStyle w:val="129"/>
              <w:widowControl w:val="0"/>
              <w:rPr>
                <w:color w:val="auto"/>
              </w:rPr>
            </w:pPr>
          </w:p>
        </w:tc>
        <w:tc>
          <w:tcPr>
            <w:tcW w:w="8141" w:type="dxa"/>
            <w:vAlign w:val="center"/>
          </w:tcPr>
          <w:p w14:paraId="60EA5DFB">
            <w:pPr>
              <w:pStyle w:val="129"/>
              <w:widowControl w:val="0"/>
              <w:rPr>
                <w:color w:val="auto"/>
              </w:rPr>
            </w:pPr>
            <w:r>
              <w:rPr>
                <w:color w:val="auto"/>
              </w:rPr>
              <w:t>（1.5）限制引进烟尘、粉尘排放量较大的项目</w:t>
            </w:r>
            <w:r>
              <w:rPr>
                <w:rFonts w:hint="eastAsia"/>
                <w:color w:val="auto"/>
              </w:rPr>
              <w:t>，以</w:t>
            </w:r>
            <w:r>
              <w:rPr>
                <w:color w:val="auto"/>
              </w:rPr>
              <w:t>及不符合《挥发性有机物（VOC</w:t>
            </w:r>
            <w:r>
              <w:rPr>
                <w:color w:val="auto"/>
                <w:vertAlign w:val="subscript"/>
              </w:rPr>
              <w:t>S</w:t>
            </w:r>
            <w:r>
              <w:rPr>
                <w:color w:val="auto"/>
              </w:rPr>
              <w:t>）污染防治技术政策》的项目。</w:t>
            </w:r>
          </w:p>
        </w:tc>
        <w:tc>
          <w:tcPr>
            <w:tcW w:w="3644" w:type="dxa"/>
            <w:vAlign w:val="center"/>
          </w:tcPr>
          <w:p w14:paraId="1A244109">
            <w:pPr>
              <w:pStyle w:val="129"/>
              <w:widowControl w:val="0"/>
              <w:rPr>
                <w:color w:val="auto"/>
              </w:rPr>
            </w:pPr>
            <w:r>
              <w:rPr>
                <w:rFonts w:hint="eastAsia"/>
                <w:color w:val="auto"/>
              </w:rPr>
              <w:t>本项目使用天然气作为燃料，颗粒物均采用布袋除尘器控制，粉尘、烟尘排放量较小</w:t>
            </w:r>
          </w:p>
        </w:tc>
        <w:tc>
          <w:tcPr>
            <w:tcW w:w="1207" w:type="dxa"/>
            <w:vAlign w:val="center"/>
          </w:tcPr>
          <w:p w14:paraId="7BDFC624">
            <w:pPr>
              <w:pStyle w:val="129"/>
              <w:widowControl w:val="0"/>
              <w:rPr>
                <w:color w:val="auto"/>
              </w:rPr>
            </w:pPr>
            <w:r>
              <w:rPr>
                <w:color w:val="auto"/>
              </w:rPr>
              <w:t>符合</w:t>
            </w:r>
          </w:p>
        </w:tc>
      </w:tr>
      <w:tr w14:paraId="212A1D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5B829B79">
            <w:pPr>
              <w:pStyle w:val="129"/>
              <w:widowControl w:val="0"/>
              <w:rPr>
                <w:color w:val="auto"/>
              </w:rPr>
            </w:pPr>
          </w:p>
        </w:tc>
        <w:tc>
          <w:tcPr>
            <w:tcW w:w="8141" w:type="dxa"/>
            <w:vAlign w:val="center"/>
          </w:tcPr>
          <w:p w14:paraId="3C93610D">
            <w:pPr>
              <w:pStyle w:val="129"/>
              <w:widowControl w:val="0"/>
              <w:rPr>
                <w:color w:val="auto"/>
              </w:rPr>
            </w:pPr>
            <w:r>
              <w:rPr>
                <w:color w:val="auto"/>
              </w:rPr>
              <w:t>（1.6）依据国家新能源监测预警结果有序扩大新能源和可再生能源规模，推进储能产业、风电制氢试点，提高清洁能源供给能力。</w:t>
            </w:r>
          </w:p>
        </w:tc>
        <w:tc>
          <w:tcPr>
            <w:tcW w:w="3644" w:type="dxa"/>
            <w:vAlign w:val="center"/>
          </w:tcPr>
          <w:p w14:paraId="7CFEFF5E">
            <w:pPr>
              <w:pStyle w:val="129"/>
              <w:widowControl w:val="0"/>
              <w:rPr>
                <w:color w:val="auto"/>
              </w:rPr>
            </w:pPr>
            <w:r>
              <w:rPr>
                <w:color w:val="auto"/>
              </w:rPr>
              <w:t>本项目不属于能源类项目</w:t>
            </w:r>
          </w:p>
        </w:tc>
        <w:tc>
          <w:tcPr>
            <w:tcW w:w="1207" w:type="dxa"/>
            <w:vAlign w:val="center"/>
          </w:tcPr>
          <w:p w14:paraId="5D97BC92">
            <w:pPr>
              <w:pStyle w:val="129"/>
              <w:widowControl w:val="0"/>
              <w:rPr>
                <w:color w:val="auto"/>
              </w:rPr>
            </w:pPr>
            <w:r>
              <w:rPr>
                <w:color w:val="auto"/>
              </w:rPr>
              <w:t>符合</w:t>
            </w:r>
          </w:p>
        </w:tc>
      </w:tr>
      <w:tr w14:paraId="57480E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67CC0F93">
            <w:pPr>
              <w:pStyle w:val="129"/>
              <w:widowControl w:val="0"/>
              <w:rPr>
                <w:color w:val="auto"/>
              </w:rPr>
            </w:pPr>
          </w:p>
        </w:tc>
        <w:tc>
          <w:tcPr>
            <w:tcW w:w="8141" w:type="dxa"/>
            <w:vAlign w:val="center"/>
          </w:tcPr>
          <w:p w14:paraId="1A7E76DC">
            <w:pPr>
              <w:pStyle w:val="129"/>
              <w:widowControl w:val="0"/>
              <w:rPr>
                <w:color w:val="auto"/>
              </w:rPr>
            </w:pPr>
            <w:r>
              <w:rPr>
                <w:color w:val="auto"/>
              </w:rPr>
              <w:t>（1.7）高排放区禁止新建、扩建、改建高污染燃料设施。严格控制区域内火电、石化、化工、冶金、钢铁、建材等高耗能行业产能规模。</w:t>
            </w:r>
          </w:p>
        </w:tc>
        <w:tc>
          <w:tcPr>
            <w:tcW w:w="3644" w:type="dxa"/>
            <w:vAlign w:val="center"/>
          </w:tcPr>
          <w:p w14:paraId="00A2A473">
            <w:pPr>
              <w:pStyle w:val="129"/>
              <w:widowControl w:val="0"/>
              <w:rPr>
                <w:color w:val="auto"/>
              </w:rPr>
            </w:pPr>
            <w:r>
              <w:rPr>
                <w:rFonts w:hint="eastAsia"/>
                <w:color w:val="auto"/>
              </w:rPr>
              <w:t>本项目网带干燥炉，焙烧炉均采用天然气作为燃料，不使用高污染燃料</w:t>
            </w:r>
          </w:p>
        </w:tc>
        <w:tc>
          <w:tcPr>
            <w:tcW w:w="1207" w:type="dxa"/>
            <w:vAlign w:val="center"/>
          </w:tcPr>
          <w:p w14:paraId="7A8B9109">
            <w:pPr>
              <w:pStyle w:val="129"/>
              <w:widowControl w:val="0"/>
              <w:rPr>
                <w:color w:val="auto"/>
              </w:rPr>
            </w:pPr>
            <w:r>
              <w:rPr>
                <w:color w:val="auto"/>
              </w:rPr>
              <w:t>符合</w:t>
            </w:r>
          </w:p>
        </w:tc>
      </w:tr>
      <w:tr w14:paraId="49BFD3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restart"/>
            <w:vAlign w:val="center"/>
          </w:tcPr>
          <w:p w14:paraId="0260BF56">
            <w:pPr>
              <w:pStyle w:val="129"/>
              <w:widowControl w:val="0"/>
              <w:rPr>
                <w:color w:val="auto"/>
              </w:rPr>
            </w:pPr>
            <w:r>
              <w:rPr>
                <w:color w:val="auto"/>
              </w:rPr>
              <w:t>污染物排</w:t>
            </w:r>
          </w:p>
          <w:p w14:paraId="5498E543">
            <w:pPr>
              <w:pStyle w:val="129"/>
              <w:widowControl w:val="0"/>
              <w:rPr>
                <w:color w:val="auto"/>
              </w:rPr>
            </w:pPr>
            <w:r>
              <w:rPr>
                <w:color w:val="auto"/>
              </w:rPr>
              <w:t>放管控</w:t>
            </w:r>
          </w:p>
        </w:tc>
        <w:tc>
          <w:tcPr>
            <w:tcW w:w="8141" w:type="dxa"/>
            <w:vAlign w:val="center"/>
          </w:tcPr>
          <w:p w14:paraId="08A01CD4">
            <w:pPr>
              <w:pStyle w:val="129"/>
              <w:widowControl w:val="0"/>
              <w:rPr>
                <w:color w:val="auto"/>
              </w:rPr>
            </w:pPr>
            <w:r>
              <w:rPr>
                <w:color w:val="auto"/>
              </w:rPr>
              <w:t>甘泉堡经济技术开发区区域内执行以下管控要求：</w:t>
            </w:r>
          </w:p>
          <w:p w14:paraId="017EA133">
            <w:pPr>
              <w:pStyle w:val="129"/>
              <w:widowControl w:val="0"/>
              <w:rPr>
                <w:color w:val="auto"/>
              </w:rPr>
            </w:pPr>
            <w:r>
              <w:rPr>
                <w:color w:val="auto"/>
              </w:rPr>
              <w:t>（2.1）大气污染防治措施：</w:t>
            </w:r>
          </w:p>
          <w:p w14:paraId="71FACD22">
            <w:pPr>
              <w:pStyle w:val="129"/>
              <w:widowControl w:val="0"/>
              <w:rPr>
                <w:color w:val="auto"/>
              </w:rPr>
            </w:pPr>
            <w:r>
              <w:rPr>
                <w:rFonts w:ascii="Cambria Math" w:hAnsi="Cambria Math" w:cs="Cambria Math"/>
                <w:color w:val="auto"/>
              </w:rPr>
              <w:t>①</w:t>
            </w:r>
            <w:r>
              <w:rPr>
                <w:color w:val="auto"/>
              </w:rPr>
              <w:t>工业项目采用转化率高，废气排放量少的清洁生产工艺；</w:t>
            </w:r>
            <w:r>
              <w:rPr>
                <w:rFonts w:ascii="Cambria Math" w:hAnsi="Cambria Math" w:cs="Cambria Math"/>
                <w:color w:val="auto"/>
              </w:rPr>
              <w:t>②</w:t>
            </w:r>
            <w:r>
              <w:rPr>
                <w:color w:val="auto"/>
              </w:rPr>
              <w:t>采用火炬或焚烧炉，对生产废气中的有机污染物或恶臭物质等进行焚烧处理；</w:t>
            </w:r>
            <w:r>
              <w:rPr>
                <w:rFonts w:ascii="Cambria Math" w:hAnsi="Cambria Math" w:cs="Cambria Math"/>
                <w:color w:val="auto"/>
              </w:rPr>
              <w:t>③</w:t>
            </w:r>
            <w:r>
              <w:rPr>
                <w:color w:val="auto"/>
              </w:rPr>
              <w:t>对工业废气最大限度的回收，减少排放；</w:t>
            </w:r>
            <w:r>
              <w:rPr>
                <w:rFonts w:ascii="Cambria Math" w:hAnsi="Cambria Math" w:cs="Cambria Math"/>
                <w:color w:val="auto"/>
              </w:rPr>
              <w:t>④</w:t>
            </w:r>
            <w:r>
              <w:rPr>
                <w:color w:val="auto"/>
              </w:rPr>
              <w:t>废气处理：严格控制有毒和有害气体的排放，并对有毒和有害气体排放实施</w:t>
            </w:r>
            <w:r>
              <w:rPr>
                <w:rFonts w:hint="eastAsia"/>
                <w:color w:val="auto"/>
              </w:rPr>
              <w:t>在线</w:t>
            </w:r>
            <w:r>
              <w:rPr>
                <w:color w:val="auto"/>
              </w:rPr>
              <w:t>自动检测仪监控；烟尘控制区覆盖率达到100％，污染物排放达标率达到100％；</w:t>
            </w:r>
            <w:r>
              <w:rPr>
                <w:rFonts w:ascii="Cambria Math" w:hAnsi="Cambria Math" w:cs="Cambria Math"/>
                <w:color w:val="auto"/>
              </w:rPr>
              <w:t>⑤</w:t>
            </w:r>
            <w:r>
              <w:rPr>
                <w:color w:val="auto"/>
              </w:rPr>
              <w:t>严格落实大气污染物达标排放、总量控制、环保设施“三同时”、在线监测、排污许可等环保制度；严格控制区域内火电、石化、化工、冶金、钢铁、建材等高耗能行业产能规模；持续降低工业园区能耗强度、大气污染物排放总量；</w:t>
            </w:r>
            <w:r>
              <w:rPr>
                <w:rFonts w:ascii="Cambria Math" w:hAnsi="Cambria Math" w:cs="Cambria Math"/>
                <w:color w:val="auto"/>
              </w:rPr>
              <w:t>⑥</w:t>
            </w:r>
            <w:r>
              <w:rPr>
                <w:color w:val="auto"/>
              </w:rPr>
              <w:t>全面实施重点行业企业污染物排放深度整治。全面实施各类锅炉深度治理或清洁能源改造，加快完成燃气锅炉低氮改造；</w:t>
            </w:r>
            <w:r>
              <w:rPr>
                <w:rFonts w:ascii="Cambria Math" w:hAnsi="Cambria Math" w:cs="Cambria Math"/>
                <w:color w:val="auto"/>
              </w:rPr>
              <w:t>⑦</w:t>
            </w:r>
            <w:r>
              <w:rPr>
                <w:color w:val="auto"/>
              </w:rPr>
              <w:t>采取道路及时清扫、保湿降尘，控制超载超速、跑冒撒漏，企业粉状物料全密闭、覆盖，增加绿化覆盖率等综合措施；</w:t>
            </w:r>
            <w:r>
              <w:rPr>
                <w:rFonts w:ascii="Cambria Math" w:hAnsi="Cambria Math" w:cs="Cambria Math"/>
                <w:color w:val="auto"/>
              </w:rPr>
              <w:t>⑧</w:t>
            </w:r>
            <w:r>
              <w:rPr>
                <w:color w:val="auto"/>
              </w:rPr>
              <w:t>治理挥发性有机物污染。引导企业实施清洁涂料、溶剂、原料替代。开展化工企业挥发性有机物泄漏检测与修复，全面完成化工企业提标改造；</w:t>
            </w:r>
            <w:r>
              <w:rPr>
                <w:rFonts w:ascii="Cambria Math" w:hAnsi="Cambria Math" w:cs="Cambria Math"/>
                <w:color w:val="auto"/>
              </w:rPr>
              <w:t>⑨</w:t>
            </w:r>
            <w:r>
              <w:rPr>
                <w:color w:val="auto"/>
              </w:rPr>
              <w:t>考虑到园区各企业采暖及生产用蒸汽均自建燃气或电锅炉，园区禁止新增燃煤锅炉。</w:t>
            </w:r>
          </w:p>
        </w:tc>
        <w:tc>
          <w:tcPr>
            <w:tcW w:w="3644" w:type="dxa"/>
            <w:vAlign w:val="center"/>
          </w:tcPr>
          <w:p w14:paraId="3D9C869E">
            <w:pPr>
              <w:pStyle w:val="129"/>
              <w:widowControl w:val="0"/>
              <w:rPr>
                <w:color w:val="auto"/>
              </w:rPr>
            </w:pPr>
            <w:r>
              <w:rPr>
                <w:rFonts w:hint="eastAsia"/>
                <w:color w:val="auto"/>
              </w:rPr>
              <w:t>危险废物处理及催化剂制造过程中产生的废气通过布袋除尘、SCR脱硝等措施进行有效处理，大气污染物排放均达到《无机化学工业污染物排放标准》（GB31573-2015）及修改单中特别排放限值要求，项目正常情况用汽由</w:t>
            </w:r>
            <w:r>
              <w:rPr>
                <w:color w:val="auto"/>
              </w:rPr>
              <w:t>兖矿新疆煤化工有限公司</w:t>
            </w:r>
            <w:r>
              <w:rPr>
                <w:rFonts w:hint="eastAsia"/>
                <w:color w:val="auto"/>
              </w:rPr>
              <w:t>提供，建设2台8t/h燃气蒸汽锅炉作为备用锅炉</w:t>
            </w:r>
          </w:p>
        </w:tc>
        <w:tc>
          <w:tcPr>
            <w:tcW w:w="1207" w:type="dxa"/>
            <w:vAlign w:val="center"/>
          </w:tcPr>
          <w:p w14:paraId="38E524C1">
            <w:pPr>
              <w:pStyle w:val="129"/>
              <w:widowControl w:val="0"/>
              <w:rPr>
                <w:color w:val="auto"/>
              </w:rPr>
            </w:pPr>
            <w:r>
              <w:rPr>
                <w:color w:val="auto"/>
              </w:rPr>
              <w:t>符合</w:t>
            </w:r>
          </w:p>
        </w:tc>
      </w:tr>
      <w:tr w14:paraId="10792D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5F1962D2">
            <w:pPr>
              <w:pStyle w:val="129"/>
              <w:widowControl w:val="0"/>
              <w:rPr>
                <w:color w:val="auto"/>
              </w:rPr>
            </w:pPr>
          </w:p>
        </w:tc>
        <w:tc>
          <w:tcPr>
            <w:tcW w:w="8141" w:type="dxa"/>
            <w:vAlign w:val="center"/>
          </w:tcPr>
          <w:p w14:paraId="6BF1012E">
            <w:pPr>
              <w:pStyle w:val="129"/>
              <w:widowControl w:val="0"/>
              <w:rPr>
                <w:color w:val="auto"/>
              </w:rPr>
            </w:pPr>
            <w:r>
              <w:rPr>
                <w:color w:val="auto"/>
              </w:rPr>
              <w:t>（2.2）废水污染防治措施</w:t>
            </w:r>
          </w:p>
          <w:p w14:paraId="17C73B53">
            <w:pPr>
              <w:pStyle w:val="129"/>
              <w:widowControl w:val="0"/>
              <w:rPr>
                <w:color w:val="auto"/>
              </w:rPr>
            </w:pPr>
            <w:r>
              <w:rPr>
                <w:rFonts w:ascii="Cambria Math" w:hAnsi="Cambria Math" w:cs="Cambria Math"/>
                <w:color w:val="auto"/>
              </w:rPr>
              <w:t>①</w:t>
            </w:r>
            <w:r>
              <w:rPr>
                <w:color w:val="auto"/>
              </w:rPr>
              <w:t>选择节水工艺，鼓励“一水多用”，减少废水排放；</w:t>
            </w:r>
            <w:r>
              <w:rPr>
                <w:rFonts w:ascii="Cambria Math" w:hAnsi="Cambria Math" w:cs="Cambria Math"/>
                <w:color w:val="auto"/>
              </w:rPr>
              <w:t>②</w:t>
            </w:r>
            <w:r>
              <w:rPr>
                <w:color w:val="auto"/>
              </w:rPr>
              <w:t>生产废水、生活污水及污染区域的初期雨水实施集中处理，建设集中污水处理厂，实现达标排放。排入城镇下水道的污水同时应符合《污水排入城镇下水道水质标准》（GB/T31962-2015）；</w:t>
            </w:r>
            <w:r>
              <w:rPr>
                <w:rFonts w:ascii="Cambria Math" w:hAnsi="Cambria Math" w:cs="Cambria Math"/>
                <w:color w:val="auto"/>
              </w:rPr>
              <w:t>③</w:t>
            </w:r>
            <w:r>
              <w:rPr>
                <w:color w:val="auto"/>
              </w:rPr>
              <w:t>区域内所有污水均须由规划的污水排放口排放，禁止在规划的污水排放口外设新的污水排放口；</w:t>
            </w:r>
            <w:r>
              <w:rPr>
                <w:rFonts w:ascii="Cambria Math" w:hAnsi="Cambria Math" w:cs="Cambria Math"/>
                <w:color w:val="auto"/>
              </w:rPr>
              <w:t>④</w:t>
            </w:r>
            <w:r>
              <w:rPr>
                <w:color w:val="auto"/>
              </w:rPr>
              <w:t>集中污水处理厂的排放污水实施监控，按水质水量收费。污水集中处理率80％，污水处理率100％，污水处理达标率100％；</w:t>
            </w:r>
            <w:r>
              <w:rPr>
                <w:rFonts w:ascii="Cambria Math" w:hAnsi="Cambria Math" w:cs="Cambria Math"/>
                <w:color w:val="auto"/>
              </w:rPr>
              <w:t>⑤</w:t>
            </w:r>
            <w:r>
              <w:rPr>
                <w:color w:val="auto"/>
              </w:rPr>
              <w:t>对未达标区域新建、改建和扩建项目提出倍量置换要求，部分区域可实施限批；</w:t>
            </w:r>
            <w:r>
              <w:rPr>
                <w:rFonts w:ascii="Cambria Math" w:hAnsi="Cambria Math" w:cs="Cambria Math"/>
                <w:color w:val="auto"/>
              </w:rPr>
              <w:t>⑥</w:t>
            </w:r>
            <w:r>
              <w:rPr>
                <w:color w:val="auto"/>
              </w:rPr>
              <w:t>水环境工业污染重点管控区强化工业集聚区污染防治，加快推进工业集聚区（园区）污水集中处理设施建设，加强配套管网建设。推进生态园区建设和循环化改造，完善再生水回用系统，不断提高工业用水重复利用率。对污染排放不达标的企业责令停止超标排污，采取限期整改、停产治理等措施，确保全面稳定达标排放；</w:t>
            </w:r>
            <w:r>
              <w:rPr>
                <w:rFonts w:ascii="Cambria Math" w:hAnsi="Cambria Math" w:cs="Cambria Math"/>
                <w:color w:val="auto"/>
              </w:rPr>
              <w:t>⑦</w:t>
            </w:r>
            <w:r>
              <w:rPr>
                <w:color w:val="auto"/>
              </w:rPr>
              <w:t>实施工业污染源全面达标排放整治。推进新材料、新能源、化工等产业污水污染治理，建立企业废水特征污染物名录库；执行接管排放限值、严控进水水质，防止特征污染物对污水处理厂生化系统冲击；加强废水排放企业自行监测。</w:t>
            </w:r>
          </w:p>
        </w:tc>
        <w:tc>
          <w:tcPr>
            <w:tcW w:w="3644" w:type="dxa"/>
            <w:vAlign w:val="center"/>
          </w:tcPr>
          <w:p w14:paraId="513B8B22">
            <w:pPr>
              <w:pStyle w:val="129"/>
              <w:widowControl w:val="0"/>
              <w:rPr>
                <w:color w:val="auto"/>
              </w:rPr>
            </w:pPr>
            <w:r>
              <w:rPr>
                <w:rFonts w:hint="eastAsia"/>
                <w:color w:val="auto"/>
              </w:rPr>
              <w:t>生产废水均为冷凝水，水质满足《无机化学工业污染物排放标准》（GB31573-2015）及修改单和《城市污水再生利用  工业用水水质》（GB/T 19923-2024）要求后通过管道送乌鲁木齐众荣电子材料科技有限公司回用，生活污水排入园区下水管网最终送甘泉堡南区污水处理厂处理，全厂废水均可以得到有效处理和利用，不向外环境排放。</w:t>
            </w:r>
          </w:p>
        </w:tc>
        <w:tc>
          <w:tcPr>
            <w:tcW w:w="1207" w:type="dxa"/>
            <w:vAlign w:val="center"/>
          </w:tcPr>
          <w:p w14:paraId="74558917">
            <w:pPr>
              <w:pStyle w:val="129"/>
              <w:widowControl w:val="0"/>
              <w:rPr>
                <w:color w:val="auto"/>
              </w:rPr>
            </w:pPr>
            <w:r>
              <w:rPr>
                <w:color w:val="auto"/>
              </w:rPr>
              <w:t>符合</w:t>
            </w:r>
          </w:p>
        </w:tc>
      </w:tr>
      <w:tr w14:paraId="054F69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13C88C8C">
            <w:pPr>
              <w:pStyle w:val="129"/>
              <w:widowControl w:val="0"/>
              <w:rPr>
                <w:color w:val="auto"/>
              </w:rPr>
            </w:pPr>
          </w:p>
        </w:tc>
        <w:tc>
          <w:tcPr>
            <w:tcW w:w="8141" w:type="dxa"/>
            <w:vAlign w:val="center"/>
          </w:tcPr>
          <w:p w14:paraId="0FC48A1D">
            <w:pPr>
              <w:pStyle w:val="129"/>
              <w:widowControl w:val="0"/>
              <w:rPr>
                <w:color w:val="auto"/>
              </w:rPr>
            </w:pPr>
            <w:r>
              <w:rPr>
                <w:color w:val="auto"/>
              </w:rPr>
              <w:t>（2.3）固体废弃物污染防治措施：</w:t>
            </w:r>
          </w:p>
          <w:p w14:paraId="01F3374E">
            <w:pPr>
              <w:pStyle w:val="129"/>
              <w:widowControl w:val="0"/>
              <w:rPr>
                <w:color w:val="auto"/>
              </w:rPr>
            </w:pPr>
            <w:r>
              <w:rPr>
                <w:rFonts w:ascii="Cambria Math" w:hAnsi="Cambria Math" w:cs="Cambria Math"/>
                <w:color w:val="auto"/>
              </w:rPr>
              <w:t>①</w:t>
            </w:r>
            <w:r>
              <w:rPr>
                <w:color w:val="auto"/>
              </w:rPr>
              <w:t>实行危险废物有序转移制度，对危险废物进行无害化处理，并进行统一收集、集中控制，集中安全运送危险废物至处理中心进行处置；</w:t>
            </w:r>
            <w:r>
              <w:rPr>
                <w:rFonts w:ascii="Cambria Math" w:hAnsi="Cambria Math" w:cs="Cambria Math"/>
                <w:color w:val="auto"/>
              </w:rPr>
              <w:t>②</w:t>
            </w:r>
            <w:r>
              <w:rPr>
                <w:color w:val="auto"/>
              </w:rPr>
              <w:t>生活固废和工业固废分别收集分别处理；</w:t>
            </w:r>
            <w:r>
              <w:rPr>
                <w:rFonts w:ascii="Cambria Math" w:hAnsi="Cambria Math" w:cs="Cambria Math"/>
                <w:color w:val="auto"/>
              </w:rPr>
              <w:t>③</w:t>
            </w:r>
            <w:r>
              <w:rPr>
                <w:color w:val="auto"/>
              </w:rPr>
              <w:t>推广无废少废生产工艺，鼓励工业固废综合利用，减少废物产生量；</w:t>
            </w:r>
            <w:r>
              <w:rPr>
                <w:rFonts w:ascii="Cambria Math" w:hAnsi="Cambria Math" w:cs="Cambria Math"/>
                <w:color w:val="auto"/>
              </w:rPr>
              <w:t>④</w:t>
            </w:r>
            <w:r>
              <w:rPr>
                <w:color w:val="auto"/>
              </w:rPr>
              <w:t>危险废物和化工残液（渣）回收利用与集中处理；</w:t>
            </w:r>
            <w:r>
              <w:rPr>
                <w:rFonts w:ascii="Cambria Math" w:hAnsi="Cambria Math" w:cs="Cambria Math"/>
                <w:color w:val="auto"/>
              </w:rPr>
              <w:t>⑤</w:t>
            </w:r>
            <w:r>
              <w:rPr>
                <w:color w:val="auto"/>
              </w:rPr>
              <w:t>定期更换的废催化剂，均可回收利用不排放。</w:t>
            </w:r>
          </w:p>
        </w:tc>
        <w:tc>
          <w:tcPr>
            <w:tcW w:w="3644" w:type="dxa"/>
            <w:vAlign w:val="center"/>
          </w:tcPr>
          <w:p w14:paraId="6A9D6AB9">
            <w:pPr>
              <w:pStyle w:val="129"/>
              <w:widowControl w:val="0"/>
              <w:rPr>
                <w:color w:val="auto"/>
              </w:rPr>
            </w:pPr>
            <w:r>
              <w:rPr>
                <w:color w:val="auto"/>
              </w:rPr>
              <w:t>项目生活垃圾委托环卫部门定期清理，危险废物暂存间，委托有资质的单位定期处理。符合相关要求。</w:t>
            </w:r>
          </w:p>
        </w:tc>
        <w:tc>
          <w:tcPr>
            <w:tcW w:w="1207" w:type="dxa"/>
            <w:vAlign w:val="center"/>
          </w:tcPr>
          <w:p w14:paraId="34142EAD">
            <w:pPr>
              <w:pStyle w:val="129"/>
              <w:widowControl w:val="0"/>
              <w:rPr>
                <w:color w:val="auto"/>
              </w:rPr>
            </w:pPr>
            <w:r>
              <w:rPr>
                <w:color w:val="auto"/>
              </w:rPr>
              <w:t>符合</w:t>
            </w:r>
          </w:p>
        </w:tc>
      </w:tr>
      <w:tr w14:paraId="24E80E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Merge w:val="continue"/>
            <w:vAlign w:val="center"/>
          </w:tcPr>
          <w:p w14:paraId="529ADE33">
            <w:pPr>
              <w:pStyle w:val="129"/>
              <w:widowControl w:val="0"/>
              <w:rPr>
                <w:color w:val="auto"/>
              </w:rPr>
            </w:pPr>
          </w:p>
        </w:tc>
        <w:tc>
          <w:tcPr>
            <w:tcW w:w="8141" w:type="dxa"/>
            <w:vAlign w:val="center"/>
          </w:tcPr>
          <w:p w14:paraId="1A4B269E">
            <w:pPr>
              <w:pStyle w:val="129"/>
              <w:widowControl w:val="0"/>
              <w:rPr>
                <w:color w:val="auto"/>
              </w:rPr>
            </w:pPr>
            <w:r>
              <w:rPr>
                <w:color w:val="auto"/>
              </w:rPr>
              <w:t>（2.4）噪声污染防治措施：</w:t>
            </w:r>
          </w:p>
          <w:p w14:paraId="501537F1">
            <w:pPr>
              <w:pStyle w:val="129"/>
              <w:widowControl w:val="0"/>
              <w:rPr>
                <w:color w:val="auto"/>
              </w:rPr>
            </w:pPr>
            <w:r>
              <w:rPr>
                <w:rFonts w:ascii="Cambria Math" w:hAnsi="Cambria Math" w:cs="Cambria Math"/>
                <w:color w:val="auto"/>
              </w:rPr>
              <w:t>①</w:t>
            </w:r>
            <w:r>
              <w:rPr>
                <w:color w:val="auto"/>
              </w:rPr>
              <w:t>选购低噪声设备，根据设备情况，采取降噪措施；</w:t>
            </w:r>
            <w:r>
              <w:rPr>
                <w:rFonts w:ascii="Cambria Math" w:hAnsi="Cambria Math" w:cs="Cambria Math"/>
                <w:color w:val="auto"/>
              </w:rPr>
              <w:t>②</w:t>
            </w:r>
            <w:r>
              <w:rPr>
                <w:color w:val="auto"/>
              </w:rPr>
              <w:t>对生产噪声的设备设计、安装隔噪设施。</w:t>
            </w:r>
          </w:p>
        </w:tc>
        <w:tc>
          <w:tcPr>
            <w:tcW w:w="3644" w:type="dxa"/>
            <w:vAlign w:val="center"/>
          </w:tcPr>
          <w:p w14:paraId="590FE966">
            <w:pPr>
              <w:pStyle w:val="129"/>
              <w:widowControl w:val="0"/>
              <w:rPr>
                <w:color w:val="auto"/>
              </w:rPr>
            </w:pPr>
            <w:r>
              <w:rPr>
                <w:color w:val="auto"/>
              </w:rPr>
              <w:t>项目选用低噪声设备，采取基础</w:t>
            </w:r>
            <w:r>
              <w:rPr>
                <w:rFonts w:hint="eastAsia"/>
                <w:color w:val="auto"/>
              </w:rPr>
              <w:t>减振</w:t>
            </w:r>
            <w:r>
              <w:rPr>
                <w:color w:val="auto"/>
              </w:rPr>
              <w:t>、厂房隔声等措施防治噪声污染。</w:t>
            </w:r>
          </w:p>
        </w:tc>
        <w:tc>
          <w:tcPr>
            <w:tcW w:w="1207" w:type="dxa"/>
            <w:vAlign w:val="center"/>
          </w:tcPr>
          <w:p w14:paraId="5279C785">
            <w:pPr>
              <w:pStyle w:val="129"/>
              <w:widowControl w:val="0"/>
              <w:rPr>
                <w:color w:val="auto"/>
              </w:rPr>
            </w:pPr>
            <w:r>
              <w:rPr>
                <w:color w:val="auto"/>
              </w:rPr>
              <w:t>符合</w:t>
            </w:r>
          </w:p>
        </w:tc>
      </w:tr>
      <w:tr w14:paraId="4A07AF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Align w:val="center"/>
          </w:tcPr>
          <w:p w14:paraId="75817F38">
            <w:pPr>
              <w:pStyle w:val="129"/>
              <w:widowControl w:val="0"/>
              <w:rPr>
                <w:color w:val="auto"/>
              </w:rPr>
            </w:pPr>
            <w:r>
              <w:rPr>
                <w:color w:val="auto"/>
              </w:rPr>
              <w:t>资源利用</w:t>
            </w:r>
          </w:p>
          <w:p w14:paraId="03FA7A10">
            <w:pPr>
              <w:pStyle w:val="129"/>
              <w:widowControl w:val="0"/>
              <w:rPr>
                <w:color w:val="auto"/>
              </w:rPr>
            </w:pPr>
            <w:r>
              <w:rPr>
                <w:color w:val="auto"/>
              </w:rPr>
              <w:t>效率</w:t>
            </w:r>
          </w:p>
        </w:tc>
        <w:tc>
          <w:tcPr>
            <w:tcW w:w="8141" w:type="dxa"/>
            <w:vAlign w:val="center"/>
          </w:tcPr>
          <w:p w14:paraId="3B296EE3">
            <w:pPr>
              <w:pStyle w:val="129"/>
              <w:widowControl w:val="0"/>
              <w:rPr>
                <w:color w:val="auto"/>
              </w:rPr>
            </w:pPr>
            <w:r>
              <w:rPr>
                <w:color w:val="auto"/>
              </w:rPr>
              <w:t>1．甘泉堡经济技术开发区区域内执行以下管控要求：</w:t>
            </w:r>
          </w:p>
          <w:p w14:paraId="3F8FC159">
            <w:pPr>
              <w:pStyle w:val="129"/>
              <w:widowControl w:val="0"/>
              <w:rPr>
                <w:color w:val="auto"/>
              </w:rPr>
            </w:pPr>
            <w:r>
              <w:rPr>
                <w:color w:val="auto"/>
              </w:rPr>
              <w:t>（4.1）实施煤炭消费总量控制。</w:t>
            </w:r>
          </w:p>
          <w:p w14:paraId="08F946BB">
            <w:pPr>
              <w:pStyle w:val="129"/>
              <w:widowControl w:val="0"/>
              <w:rPr>
                <w:color w:val="auto"/>
              </w:rPr>
            </w:pPr>
            <w:r>
              <w:rPr>
                <w:color w:val="auto"/>
              </w:rPr>
              <w:t>（4.2）实施清洁生产，提高资源综合利用水平。引进项目的生产工艺、设备、污染治理技术，以及单位产品能耗、物耗、污染物排放和资源利用率均应达到同行业国际国内先进水平。</w:t>
            </w:r>
          </w:p>
          <w:p w14:paraId="5E1B2DC7">
            <w:pPr>
              <w:pStyle w:val="129"/>
              <w:widowControl w:val="0"/>
              <w:rPr>
                <w:color w:val="auto"/>
              </w:rPr>
            </w:pPr>
            <w:r>
              <w:rPr>
                <w:color w:val="auto"/>
              </w:rPr>
              <w:t>（4.3）在园区间、产业间、企业间、装置间形成“原料</w:t>
            </w:r>
            <w:r>
              <w:rPr>
                <w:rFonts w:hint="eastAsia"/>
                <w:color w:val="auto"/>
              </w:rPr>
              <w:t>－</w:t>
            </w:r>
            <w:r>
              <w:rPr>
                <w:color w:val="auto"/>
              </w:rPr>
              <w:t>产品废弃物</w:t>
            </w:r>
            <w:r>
              <w:rPr>
                <w:rFonts w:hint="eastAsia"/>
                <w:color w:val="auto"/>
              </w:rPr>
              <w:t>－</w:t>
            </w:r>
            <w:r>
              <w:rPr>
                <w:color w:val="auto"/>
              </w:rPr>
              <w:t>再生原料”的循环模式，推动装置间的小循环、企业间的中循环、园区间的大循环，实现资源在生产链条中的循环利用。</w:t>
            </w:r>
          </w:p>
          <w:p w14:paraId="53B80DD3">
            <w:pPr>
              <w:pStyle w:val="129"/>
              <w:widowControl w:val="0"/>
              <w:rPr>
                <w:color w:val="auto"/>
              </w:rPr>
            </w:pPr>
            <w:r>
              <w:rPr>
                <w:color w:val="auto"/>
              </w:rPr>
              <w:t>（4.4）推广水循环利用、重金属污染减量化、有毒有害原料替代化、废渣资源化、脱硫脱硝除尘等绿色工艺技术装备。</w:t>
            </w:r>
          </w:p>
          <w:p w14:paraId="56F72C05">
            <w:pPr>
              <w:pStyle w:val="129"/>
              <w:widowControl w:val="0"/>
              <w:rPr>
                <w:color w:val="auto"/>
              </w:rPr>
            </w:pPr>
            <w:r>
              <w:rPr>
                <w:color w:val="auto"/>
              </w:rPr>
              <w:t>2．水环境工业污染重点管控区区域内执行以下管控要求：</w:t>
            </w:r>
          </w:p>
          <w:p w14:paraId="6360A9E2">
            <w:pPr>
              <w:pStyle w:val="129"/>
              <w:widowControl w:val="0"/>
              <w:rPr>
                <w:color w:val="auto"/>
              </w:rPr>
            </w:pPr>
            <w:r>
              <w:rPr>
                <w:color w:val="auto"/>
              </w:rPr>
              <w:t>（4.5）提高水的重复利用率，促进污水再生回用。中远期项目废水回用率达到50%。</w:t>
            </w:r>
          </w:p>
          <w:p w14:paraId="0E623CCA">
            <w:pPr>
              <w:pStyle w:val="129"/>
              <w:widowControl w:val="0"/>
              <w:rPr>
                <w:color w:val="auto"/>
              </w:rPr>
            </w:pPr>
            <w:r>
              <w:rPr>
                <w:color w:val="auto"/>
              </w:rPr>
              <w:t>（4.6）通过技术改造并使用节水工艺，降低单位产品取水量，提高园区内工业用水回收再利用率等措施，能有效提高水资源利用率。</w:t>
            </w:r>
          </w:p>
        </w:tc>
        <w:tc>
          <w:tcPr>
            <w:tcW w:w="3644" w:type="dxa"/>
            <w:vAlign w:val="center"/>
          </w:tcPr>
          <w:p w14:paraId="69C2C442">
            <w:pPr>
              <w:pStyle w:val="129"/>
              <w:widowControl w:val="0"/>
              <w:rPr>
                <w:color w:val="auto"/>
              </w:rPr>
            </w:pPr>
            <w:r>
              <w:rPr>
                <w:rFonts w:hint="eastAsia"/>
                <w:color w:val="auto"/>
              </w:rPr>
              <w:t>本项目不涉及煤炭使用；</w:t>
            </w:r>
          </w:p>
          <w:p w14:paraId="6FEFFEA0">
            <w:pPr>
              <w:pStyle w:val="129"/>
              <w:widowControl w:val="0"/>
              <w:rPr>
                <w:color w:val="auto"/>
              </w:rPr>
            </w:pPr>
            <w:r>
              <w:rPr>
                <w:rFonts w:hint="eastAsia"/>
                <w:color w:val="auto"/>
              </w:rPr>
              <w:t>项目清洁生产水平属于国内先进水平；</w:t>
            </w:r>
          </w:p>
          <w:p w14:paraId="65083A7B">
            <w:pPr>
              <w:pStyle w:val="129"/>
              <w:widowControl w:val="0"/>
              <w:rPr>
                <w:color w:val="auto"/>
              </w:rPr>
            </w:pPr>
            <w:r>
              <w:rPr>
                <w:rFonts w:hint="eastAsia"/>
                <w:color w:val="auto"/>
              </w:rPr>
              <w:t>项目生产废水均为冷凝水，水质满足《无机化学工业污染物排放标准》（GB31573-2015）及修改单和《城市污水再生利用  工业用水水质》（GB/T 19923-2024）要求后通过管道送乌鲁木齐众荣电子材料科技有限公司回用；</w:t>
            </w:r>
          </w:p>
        </w:tc>
        <w:tc>
          <w:tcPr>
            <w:tcW w:w="1207" w:type="dxa"/>
            <w:vAlign w:val="center"/>
          </w:tcPr>
          <w:p w14:paraId="07B8725B">
            <w:pPr>
              <w:pStyle w:val="129"/>
              <w:widowControl w:val="0"/>
              <w:rPr>
                <w:color w:val="auto"/>
              </w:rPr>
            </w:pPr>
            <w:r>
              <w:rPr>
                <w:color w:val="auto"/>
              </w:rPr>
              <w:t>符合</w:t>
            </w:r>
          </w:p>
        </w:tc>
      </w:tr>
      <w:tr w14:paraId="1C8021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20" w:type="dxa"/>
            <w:vAlign w:val="center"/>
          </w:tcPr>
          <w:p w14:paraId="23DA1751">
            <w:pPr>
              <w:pStyle w:val="129"/>
              <w:widowControl w:val="0"/>
              <w:rPr>
                <w:color w:val="auto"/>
              </w:rPr>
            </w:pPr>
            <w:r>
              <w:rPr>
                <w:color w:val="auto"/>
              </w:rPr>
              <w:t>环境风险防控</w:t>
            </w:r>
          </w:p>
        </w:tc>
        <w:tc>
          <w:tcPr>
            <w:tcW w:w="8141" w:type="dxa"/>
            <w:vAlign w:val="center"/>
          </w:tcPr>
          <w:p w14:paraId="00BD50B4">
            <w:pPr>
              <w:pStyle w:val="129"/>
              <w:widowControl w:val="0"/>
              <w:rPr>
                <w:color w:val="auto"/>
              </w:rPr>
            </w:pPr>
            <w:r>
              <w:rPr>
                <w:color w:val="auto"/>
              </w:rPr>
              <w:t>1．甘泉堡经济技术开发区区域内执行以下管控要求：</w:t>
            </w:r>
          </w:p>
          <w:p w14:paraId="79CDA76F">
            <w:pPr>
              <w:pStyle w:val="129"/>
              <w:widowControl w:val="0"/>
              <w:rPr>
                <w:color w:val="auto"/>
              </w:rPr>
            </w:pPr>
            <w:r>
              <w:rPr>
                <w:color w:val="auto"/>
              </w:rPr>
              <w:t>（3.1）推进风险源全过程管理。加强化学品生产、使用、储运等风险监管与防范，完善并落实危险化学品环境管理制度和企业环境风险分级管理制度。加强危险废物产生和经营单位的规范化管理，严格实施危险废物经营许可证制度，动态调整经营单位名录。加强涉重金属排放行业管理，强化重金属污染防治、事故应急、环境与健康风险评估制度。</w:t>
            </w:r>
          </w:p>
          <w:p w14:paraId="619D474F">
            <w:pPr>
              <w:pStyle w:val="129"/>
              <w:widowControl w:val="0"/>
              <w:rPr>
                <w:color w:val="auto"/>
              </w:rPr>
            </w:pPr>
            <w:r>
              <w:rPr>
                <w:color w:val="auto"/>
              </w:rPr>
              <w:t>2．大气环境高排放重点管控区区域内执行以下管控要求：</w:t>
            </w:r>
          </w:p>
          <w:p w14:paraId="69C57BFC">
            <w:pPr>
              <w:pStyle w:val="129"/>
              <w:widowControl w:val="0"/>
              <w:rPr>
                <w:color w:val="auto"/>
              </w:rPr>
            </w:pPr>
            <w:r>
              <w:rPr>
                <w:color w:val="auto"/>
              </w:rPr>
              <w:t>（3.2）鼓励开展有毒有害气体环境风险预警体系建设。</w:t>
            </w:r>
          </w:p>
          <w:p w14:paraId="58326E07">
            <w:pPr>
              <w:pStyle w:val="129"/>
              <w:widowControl w:val="0"/>
              <w:rPr>
                <w:color w:val="auto"/>
              </w:rPr>
            </w:pPr>
            <w:r>
              <w:rPr>
                <w:color w:val="auto"/>
              </w:rPr>
              <w:t>3．建设用地污染重点管控区区域内执行以下管控要求：</w:t>
            </w:r>
          </w:p>
          <w:p w14:paraId="21B3E992">
            <w:pPr>
              <w:pStyle w:val="129"/>
              <w:widowControl w:val="0"/>
              <w:rPr>
                <w:color w:val="auto"/>
              </w:rPr>
            </w:pPr>
            <w:r>
              <w:rPr>
                <w:color w:val="auto"/>
              </w:rPr>
              <w:t>（3.3）执行高风险地块环境风险防控相关要求。</w:t>
            </w:r>
          </w:p>
          <w:p w14:paraId="0E145684">
            <w:pPr>
              <w:pStyle w:val="129"/>
              <w:widowControl w:val="0"/>
              <w:rPr>
                <w:color w:val="auto"/>
              </w:rPr>
            </w:pPr>
            <w:r>
              <w:rPr>
                <w:color w:val="auto"/>
              </w:rPr>
              <w:t>（3.4）高风险地块提高关注度，企业加强土壤环境监管，如果停产应被列为疑似污染地块进行管理。</w:t>
            </w:r>
          </w:p>
          <w:p w14:paraId="3D47BC94">
            <w:pPr>
              <w:pStyle w:val="129"/>
              <w:widowControl w:val="0"/>
              <w:rPr>
                <w:color w:val="auto"/>
              </w:rPr>
            </w:pPr>
            <w:r>
              <w:rPr>
                <w:color w:val="auto"/>
              </w:rPr>
              <w:t>（3.5）防范建设用地新增污染。严格建设用地准入管理，实施分类别、分用途、分阶段管理，防范建设项目新增污染，形成政府主导、企业担责、公众参与、社会监督的土壤污染防治体系，促进土壤资源永续利用。</w:t>
            </w:r>
          </w:p>
          <w:p w14:paraId="041A3D34">
            <w:pPr>
              <w:pStyle w:val="129"/>
              <w:widowControl w:val="0"/>
              <w:rPr>
                <w:color w:val="auto"/>
              </w:rPr>
            </w:pPr>
            <w:r>
              <w:rPr>
                <w:color w:val="auto"/>
              </w:rPr>
              <w:t>（3.6）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14:paraId="7DAAB9A5">
            <w:pPr>
              <w:pStyle w:val="129"/>
              <w:widowControl w:val="0"/>
              <w:rPr>
                <w:color w:val="auto"/>
              </w:rPr>
            </w:pPr>
            <w:r>
              <w:rPr>
                <w:color w:val="auto"/>
              </w:rPr>
              <w:t>（3.7）土壤污染重点管控园区引入企业时，应充分考虑行业特点、特征污染物排放以及区域环境的状况，避免形成累积污染和叠加影响，严控不符合产业园区总体规划项目入园。加强入园企业风险管理，生产、使用、贮存、运输、回收、处置、排放有毒有害物质的单位应当采取有效措施，防止有毒有害物质渗漏、流失、扬散，避免土壤受到污染；入园企业应按规范强化地下水分区防渗等措施。园区及企业应按相关规范编制突发环境事件应急预案，建立完善突发环境事件应急响应机制。</w:t>
            </w:r>
          </w:p>
        </w:tc>
        <w:tc>
          <w:tcPr>
            <w:tcW w:w="3644" w:type="dxa"/>
            <w:vAlign w:val="center"/>
          </w:tcPr>
          <w:p w14:paraId="19A0F344">
            <w:pPr>
              <w:pStyle w:val="129"/>
              <w:widowControl w:val="0"/>
              <w:rPr>
                <w:color w:val="auto"/>
              </w:rPr>
            </w:pPr>
            <w:r>
              <w:rPr>
                <w:color w:val="auto"/>
              </w:rPr>
              <w:t>本次项目</w:t>
            </w:r>
            <w:r>
              <w:rPr>
                <w:rFonts w:hint="eastAsia"/>
                <w:color w:val="auto"/>
              </w:rPr>
              <w:t>严格大气、地下水、土壤环境风险防控措施，项目不涉及</w:t>
            </w:r>
            <w:r>
              <w:rPr>
                <w:color w:val="auto"/>
              </w:rPr>
              <w:t>铅、汞、镉、铬、砷、铊和锑</w:t>
            </w:r>
            <w:r>
              <w:rPr>
                <w:rFonts w:hint="eastAsia"/>
                <w:color w:val="auto"/>
              </w:rPr>
              <w:t>等重金属排放，全厂采取分区防渗措施</w:t>
            </w:r>
            <w:r>
              <w:rPr>
                <w:color w:val="auto"/>
              </w:rPr>
              <w:t>，对土壤地下水环境影响风险较小。</w:t>
            </w:r>
          </w:p>
        </w:tc>
        <w:tc>
          <w:tcPr>
            <w:tcW w:w="1207" w:type="dxa"/>
            <w:vAlign w:val="center"/>
          </w:tcPr>
          <w:p w14:paraId="4EA14926">
            <w:pPr>
              <w:pStyle w:val="129"/>
              <w:widowControl w:val="0"/>
              <w:rPr>
                <w:color w:val="auto"/>
              </w:rPr>
            </w:pPr>
            <w:r>
              <w:rPr>
                <w:color w:val="auto"/>
              </w:rPr>
              <w:t>符合</w:t>
            </w:r>
          </w:p>
        </w:tc>
      </w:tr>
    </w:tbl>
    <w:p w14:paraId="7A97DE41">
      <w:pPr>
        <w:pStyle w:val="132"/>
        <w:rPr>
          <w:color w:val="auto"/>
        </w:rPr>
      </w:pPr>
      <w:r>
        <w:rPr>
          <w:rFonts w:hint="eastAsia"/>
          <w:color w:val="auto"/>
        </w:rPr>
        <w:t>由表1.3.3-1可知</w:t>
      </w:r>
      <w:r>
        <w:rPr>
          <w:rFonts w:hint="eastAsia" w:cs="宋体"/>
          <w:color w:val="auto"/>
        </w:rPr>
        <w:t>本项目位于</w:t>
      </w:r>
      <w:r>
        <w:rPr>
          <w:color w:val="auto"/>
        </w:rPr>
        <w:t>甘泉堡经济技术开发区</w:t>
      </w:r>
      <w:r>
        <w:rPr>
          <w:rFonts w:hint="eastAsia"/>
          <w:color w:val="auto"/>
        </w:rPr>
        <w:t>化工园区，本项目</w:t>
      </w:r>
      <w:r>
        <w:rPr>
          <w:color w:val="auto"/>
        </w:rPr>
        <w:t>不涉及生态保护红线区域，不属于禁止建设开发区和限制建设开发区</w:t>
      </w:r>
      <w:r>
        <w:rPr>
          <w:rFonts w:hint="eastAsia"/>
          <w:color w:val="auto"/>
        </w:rPr>
        <w:t>，满足</w:t>
      </w:r>
      <w:r>
        <w:rPr>
          <w:color w:val="auto"/>
        </w:rPr>
        <w:t>乌鲁木齐市“三线一单”生态环境分区管控方案</w:t>
      </w:r>
      <w:r>
        <w:rPr>
          <w:rFonts w:hint="eastAsia"/>
          <w:color w:val="auto"/>
        </w:rPr>
        <w:t>总体管控要求。</w:t>
      </w:r>
    </w:p>
    <w:p w14:paraId="2F36549B">
      <w:pPr>
        <w:pStyle w:val="132"/>
        <w:rPr>
          <w:color w:val="auto"/>
        </w:rPr>
        <w:sectPr>
          <w:footerReference r:id="rId13" w:type="default"/>
          <w:type w:val="continuous"/>
          <w:pgSz w:w="16838" w:h="11906" w:orient="landscape"/>
          <w:pgMar w:top="1440" w:right="1588" w:bottom="1389" w:left="1588" w:header="737" w:footer="822" w:gutter="0"/>
          <w:cols w:space="425" w:num="1"/>
          <w:docGrid w:type="lines" w:linePitch="312" w:charSpace="0"/>
        </w:sectPr>
      </w:pPr>
    </w:p>
    <w:p w14:paraId="525894DA">
      <w:pPr>
        <w:pStyle w:val="1060"/>
        <w:rPr>
          <w:color w:val="auto"/>
        </w:rPr>
      </w:pPr>
      <w:r>
        <w:rPr>
          <w:color w:val="auto"/>
        </w:rPr>
        <mc:AlternateContent>
          <mc:Choice Requires="wps">
            <w:drawing>
              <wp:anchor distT="0" distB="0" distL="114300" distR="114300" simplePos="0" relativeHeight="251665408" behindDoc="0" locked="0" layoutInCell="1" allowOverlap="1">
                <wp:simplePos x="0" y="0"/>
                <wp:positionH relativeFrom="column">
                  <wp:posOffset>2841625</wp:posOffset>
                </wp:positionH>
                <wp:positionV relativeFrom="paragraph">
                  <wp:posOffset>2033270</wp:posOffset>
                </wp:positionV>
                <wp:extent cx="687705" cy="236220"/>
                <wp:effectExtent l="381000" t="0" r="17780" b="316230"/>
                <wp:wrapNone/>
                <wp:docPr id="933285723" name="对话气泡: 矩形 92"/>
                <wp:cNvGraphicFramePr/>
                <a:graphic xmlns:a="http://schemas.openxmlformats.org/drawingml/2006/main">
                  <a:graphicData uri="http://schemas.microsoft.com/office/word/2010/wordprocessingShape">
                    <wps:wsp>
                      <wps:cNvSpPr/>
                      <wps:spPr>
                        <a:xfrm>
                          <a:off x="0" y="0"/>
                          <a:ext cx="687506" cy="236220"/>
                        </a:xfrm>
                        <a:prstGeom prst="wedgeRectCallout">
                          <a:avLst>
                            <a:gd name="adj1" fmla="val -103604"/>
                            <a:gd name="adj2" fmla="val 177484"/>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BA1BFC2">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项目厂址</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矩形 92" o:spid="_x0000_s1026" o:spt="61" type="#_x0000_t61" style="position:absolute;left:0pt;margin-left:223.75pt;margin-top:160.1pt;height:18.6pt;width:54.15pt;z-index:251665408;v-text-anchor:middle;mso-width-relative:page;mso-height-relative:page;" filled="f" stroked="t" coordsize="21600,21600" o:gfxdata="UEsDBAoAAAAAAIdO4kAAAAAAAAAAAAAAAAAEAAAAZHJzL1BLAwQUAAAACACHTuJAwQqjkNkAAAAL&#10;AQAADwAAAGRycy9kb3ducmV2LnhtbE2PwU7DMAyG70i8Q2QkbixdaSgqTaeBxJHDNqSJW9aYtlvj&#10;VE3WdW+POcHR9qff31+uZteLCcfQedKwXCQgkGpvO2o0fO7eH55BhGjImt4TarhigFV1e1OawvoL&#10;bXDaxkZwCIXCaGhjHAopQ92iM2HhByS+ffvRmcjj2Eg7mguHu16mSfIknemIP7RmwLcW69P27DQc&#10;P4bXWe6n/Pi1Pl13UtF6Y/Za398tkxcQEef4B8OvPqtDxU4HfyYbRK8hy3LFqIbHNElBMKGU4jIH&#10;3qg8A1mV8n+H6gdQSwMEFAAAAAgAh07iQBuR8Cm6AgAARQUAAA4AAABkcnMvZTJvRG9jLnhtbK1U&#10;zW4TMRC+I/EOlu/tbnabn0bZVFFCEVJFKwri7Hjt7CL/YTvZlOfgihDcOBWJEwcep4XHYOzdtKVw&#10;6IHL7mfP+PPMN56ZHG2lQBtmXa1VgXv7KUZMUV3WalXgVy+P90YYOU9USYRWrMAXzOGj6eNHk8aM&#10;WaYrLUpmEZAoN25MgSvvzThJHK2YJG5fG6bAyLWVxMPSrpLSkgbYpUiyNB0kjbalsZoy52B30Rpx&#10;x2gfQqg5rylbaLqWTPmW1TJBPKTkqto4PI3Rcs6oP+XcMY9EgSFTH79wCeBl+CbTCRmvLDFVTbsQ&#10;yENCuJeTJLWCS2+oFsQTtLb1X1SyplY7zf0+1TJpE4mKQBa99J425xUxLOYCUjtzI7r7f7T0+ebM&#10;oros8GGeZ6P+MMsxUkRC4a8uv/+6/HD99f31t09j9PPjl6sfn9FhFiRrjBvDyXNzZruVAxjy33Ir&#10;wx8yQ9so88WNzGzrEYXNwWjYTwcYUTBl+SDLYhmS28PGOv+UaYkCKHDDyhV7AaWcEyH02kehyebE&#10;+ah42cVLyjc9jLgUUMANEWivl+aD9KAr8R2v7K5Xbzg8GEUnCKAjBbQLIdyg9HEtRHwpQqEGEsj7&#10;8H4ogdfP4dUBlAYUdGqFEREraCvqbYzSaVGX4XTgcXa1nAuLIDhovHmeHzxpnSpSsm63n6Y7NTr3&#10;6QTC+YMnxLYgrmqPRFNIEtyEgl8oTluOgPx2ue1qtNTlBRTb6rYLnKHHNVCdEOfPiAXVICkYDP4U&#10;PlxoSFR3CKNK23f/2g/+8BrBilEDbQQqvF0TyzASzxS809BzO2B3YLkDai3nOogBI8fQCOGA9WIH&#10;udXyNcyLWbgFTERRuKvVt1vMfdvOMHEom82iG/SWIf5EnRsayNsiztZe89oHpYIwrRrdArorCthN&#10;gtC+d9fR63b6T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wQqjkNkAAAALAQAADwAAAAAAAAAB&#10;ACAAAAAiAAAAZHJzL2Rvd25yZXYueG1sUEsBAhQAFAAAAAgAh07iQBuR8Cm6AgAARQUAAA4AAAAA&#10;AAAAAQAgAAAAKAEAAGRycy9lMm9Eb2MueG1sUEsFBgAAAAAGAAYAWQEAAFQGAAAAAA==&#10;" adj="-11578,49137">
                <v:fill on="f" focussize="0,0"/>
                <v:stroke weight="0.5pt" color="#1C334E [3204]" joinstyle="round"/>
                <v:imagedata o:title=""/>
                <o:lock v:ext="edit" aspectratio="f"/>
                <v:textbox inset="0mm,0mm,0mm,0mm">
                  <w:txbxContent>
                    <w:p w14:paraId="3BA1BFC2">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项目厂址</w:t>
                      </w:r>
                    </w:p>
                  </w:txbxContent>
                </v:textbox>
              </v:shap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2479675</wp:posOffset>
                </wp:positionH>
                <wp:positionV relativeFrom="paragraph">
                  <wp:posOffset>2514600</wp:posOffset>
                </wp:positionV>
                <wp:extent cx="81280" cy="80645"/>
                <wp:effectExtent l="19050" t="38100" r="33655" b="33655"/>
                <wp:wrapNone/>
                <wp:docPr id="429848347" name="星形: 五角 91"/>
                <wp:cNvGraphicFramePr/>
                <a:graphic xmlns:a="http://schemas.openxmlformats.org/drawingml/2006/main">
                  <a:graphicData uri="http://schemas.microsoft.com/office/word/2010/wordprocessingShape">
                    <wps:wsp>
                      <wps:cNvSpPr/>
                      <wps:spPr>
                        <a:xfrm>
                          <a:off x="0" y="0"/>
                          <a:ext cx="81158" cy="80898"/>
                        </a:xfrm>
                        <a:prstGeom prst="star5">
                          <a:avLst/>
                        </a:prstGeom>
                        <a:solidFill>
                          <a:srgbClr val="FFFF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91" o:spid="_x0000_s1026" style="position:absolute;left:0pt;margin-left:195.25pt;margin-top:198pt;height:6.35pt;width:6.4pt;z-index:251664384;v-text-anchor:middle;mso-width-relative:page;mso-height-relative:page;" fillcolor="#FFFF00" filled="t" stroked="t" coordsize="81158,80898" o:gfxdata="UEsDBAoAAAAAAIdO4kAAAAAAAAAAAAAAAAAEAAAAZHJzL1BLAwQUAAAACACHTuJAjZBRmdoAAAAL&#10;AQAADwAAAGRycy9kb3ducmV2LnhtbE2PwU7DMBBE70j8g7VIXFBrp6GlhDg9QDmgItQWPmCTmCQi&#10;XkexmxS+ns0JbjPap9mZdHO2rRhM7xtHGqK5AmGocGVDlYaP9+fZGoQPSCW2joyGb+Nhk11epJiU&#10;bqSDGY6hEhxCPkENdQhdIqUvamPRz11niG+frrcY2PaVLHscOdy2cqHUSlpsiD/U2JnH2hRfx5PV&#10;kN+MtN3u9m9yv/h5HYqnJWL0ovX1VaQeQARzDn8wTPW5OmTcKXcnKr1oNcT3asnoJFY8iolbFccg&#10;8kms70Bmqfy/IfsFUEsDBBQAAAAIAIdO4kAfr99gewIAAOsEAAAOAAAAZHJzL2Uyb0RvYy54bWyt&#10;VM1uEzEQviPxDpbvdHfThG6ibqqoURBSRSMVxNnx2llL/sN2simPgThwQ+LCOyDxNoB4DMbebZMU&#10;Dj2wB++MZzwz3+cZn1/slERb5rwwusLFSY4R09TUQq8r/Ob14lmJkQ9E10QazSp8yzy+mD59ct7a&#10;CRuYxsiaOQRBtJ+0tsJNCHaSZZ42TBF/YizTYOTGKRJAdeusdqSF6Epmgzx/nrXG1dYZyryH3Xln&#10;xH1E95iAhnNB2dzQjWI6dFEdkyQAJN8I6/E0Vcs5o+Gac88CkhUGpCGtkATkVVyz6TmZrB2xjaB9&#10;CeQxJTzApIjQkPQ+1JwEgjZO/BVKCeqMNzycUKOyDkhiBFAU+QNubhpiWcICVHt7T7r/f2Hpq+3S&#10;IVFXeDgYl8PydHiGkSYKLv7Xp88/v3+ZoB/fPv7++gGNi0hWa/0EztzYpes1D2JEvuNOxT9gQrtE&#10;8O09wWwXEIXNsihG0F4ULGVejssYMdsftc6HF8woFIUKQxe6UWKVbK986HzvfGIqb6SoF0LKpLj1&#10;6lI6tCVw1Qv48nS7EP7ITWrUVvi0OBtBHQT6l0PfgKgscOD1GiMi1zAYNLiU+uiwP8yRp6+HcOQW&#10;a5wT33S1JFPvJjUAjhx2rEVpZepbuAJnut70li4EnL8iPiyJg2aEVoVxDdewcGmgeNNLGDXGvf/X&#10;fvSHHgErRi00NyB7tyGOYSRfauiecTEcxmlIynB0NgDFHVpWhxa9UZcGSC3gYbA0idE/yDuRO6Pe&#10;wlTPYlYwEU0hd8dhr1yGbujgXaBsNktuMAGWhCt9Y2kMHi9Rm9kmGC7SZe/Z6UmDGUj90s9rHLJD&#10;PXnt36jp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2QUZnaAAAACwEAAA8AAAAAAAAAAQAgAAAA&#10;IgAAAGRycy9kb3ducmV2LnhtbFBLAQIUABQAAAAIAIdO4kAfr99gewIAAOsEAAAOAAAAAAAAAAEA&#10;IAAAACkBAABkcnMvZTJvRG9jLnhtbFBLBQYAAAAABgAGAFkBAAAWBgAAAAA=&#10;" path="m0,30900l30999,30900,40579,0,50158,30900,81157,30900,56078,49997,65658,80897,40579,61800,15499,80897,25079,49997xe">
                <v:path o:connectlocs="40579,0;0,30900;15499,80897;65658,80897;81157,30900" o:connectangles="247,164,82,82,0"/>
                <v:fill on="t" focussize="0,0"/>
                <v:stroke weight="0.25pt" color="#000000 [3213]" joinstyle="round"/>
                <v:imagedata o:title=""/>
                <o:lock v:ext="edit" aspectratio="f"/>
              </v:shape>
            </w:pict>
          </mc:Fallback>
        </mc:AlternateContent>
      </w:r>
      <w:r>
        <w:rPr>
          <w:color w:val="auto"/>
        </w:rPr>
        <w:drawing>
          <wp:inline distT="0" distB="0" distL="0" distR="0">
            <wp:extent cx="5610225" cy="7105650"/>
            <wp:effectExtent l="0" t="0" r="9525" b="0"/>
            <wp:docPr id="36783254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2541" name="图片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10225" cy="7105650"/>
                    </a:xfrm>
                    <a:prstGeom prst="rect">
                      <a:avLst/>
                    </a:prstGeom>
                    <a:noFill/>
                    <a:ln>
                      <a:noFill/>
                    </a:ln>
                  </pic:spPr>
                </pic:pic>
              </a:graphicData>
            </a:graphic>
          </wp:inline>
        </w:drawing>
      </w:r>
    </w:p>
    <w:p w14:paraId="2B53412B">
      <w:pPr>
        <w:pStyle w:val="1060"/>
        <w:rPr>
          <w:color w:val="auto"/>
        </w:rPr>
      </w:pPr>
    </w:p>
    <w:p w14:paraId="33F7DD86">
      <w:pPr>
        <w:pStyle w:val="1060"/>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w:t>
      </w:r>
      <w:r>
        <w:rPr>
          <w:color w:val="auto"/>
        </w:rPr>
        <w:t xml:space="preserve"> </w:t>
      </w:r>
      <w:r>
        <w:rPr>
          <w:rFonts w:hint="eastAsia"/>
          <w:color w:val="auto"/>
        </w:rPr>
        <w:t>乌鲁木齐环境管控单元分布图</w:t>
      </w:r>
    </w:p>
    <w:p w14:paraId="46FA1B6C">
      <w:pPr>
        <w:pStyle w:val="1060"/>
        <w:rPr>
          <w:color w:val="auto"/>
        </w:rPr>
      </w:pPr>
    </w:p>
    <w:p w14:paraId="03FACB7D">
      <w:pPr>
        <w:pStyle w:val="1060"/>
        <w:rPr>
          <w:color w:val="auto"/>
        </w:rPr>
      </w:pPr>
    </w:p>
    <w:p w14:paraId="475D384D">
      <w:pPr>
        <w:pStyle w:val="1060"/>
        <w:rPr>
          <w:color w:val="auto"/>
        </w:rPr>
      </w:pPr>
    </w:p>
    <w:p w14:paraId="5E45BD29">
      <w:pPr>
        <w:pStyle w:val="132"/>
        <w:rPr>
          <w:color w:val="auto"/>
        </w:rPr>
        <w:sectPr>
          <w:type w:val="continuous"/>
          <w:pgSz w:w="11906" w:h="16838"/>
          <w:pgMar w:top="1440" w:right="1588" w:bottom="1389" w:left="1588" w:header="737" w:footer="822" w:gutter="0"/>
          <w:cols w:space="425" w:num="1"/>
          <w:docGrid w:type="lines" w:linePitch="312" w:charSpace="0"/>
        </w:sectPr>
      </w:pPr>
    </w:p>
    <w:p w14:paraId="3476A9E8">
      <w:pPr>
        <w:pStyle w:val="4"/>
        <w:rPr>
          <w:color w:val="auto"/>
        </w:rPr>
      </w:pPr>
      <w:bookmarkStart w:id="55" w:name="_Toc9879"/>
      <w:bookmarkStart w:id="56" w:name="_Toc11908"/>
      <w:bookmarkStart w:id="57" w:name="_Toc1254"/>
      <w:bookmarkStart w:id="58" w:name="_Toc6940"/>
      <w:r>
        <w:rPr>
          <w:color w:val="auto"/>
        </w:rPr>
        <w:t>选址合理性分析</w:t>
      </w:r>
      <w:bookmarkEnd w:id="55"/>
      <w:bookmarkEnd w:id="56"/>
      <w:bookmarkEnd w:id="57"/>
      <w:bookmarkEnd w:id="58"/>
    </w:p>
    <w:p w14:paraId="47610538">
      <w:pPr>
        <w:pStyle w:val="5"/>
        <w:rPr>
          <w:color w:val="auto"/>
        </w:rPr>
      </w:pPr>
      <w:r>
        <w:rPr>
          <w:rFonts w:hint="eastAsia"/>
          <w:color w:val="auto"/>
        </w:rPr>
        <w:t>产业定位符合性</w:t>
      </w:r>
    </w:p>
    <w:p w14:paraId="70120A4F">
      <w:pPr>
        <w:pStyle w:val="132"/>
        <w:rPr>
          <w:color w:val="auto"/>
        </w:rPr>
      </w:pPr>
      <w:bookmarkStart w:id="59" w:name="_Toc152693983"/>
      <w:bookmarkStart w:id="60" w:name="_Toc146217649"/>
      <w:r>
        <w:rPr>
          <w:rFonts w:hint="eastAsia"/>
          <w:color w:val="auto"/>
        </w:rPr>
        <w:t>本项目属于危险废物处置及综合利用项目，通过处理危险废物，可副产γ-氧化铝，属于铝基新材料，符合《乌鲁木齐甘泉堡经济技术开发区（工业区）化工园区总体规划（2023-2035）</w:t>
      </w:r>
      <w:bookmarkEnd w:id="59"/>
      <w:bookmarkEnd w:id="60"/>
      <w:r>
        <w:rPr>
          <w:rFonts w:hint="eastAsia"/>
          <w:color w:val="auto"/>
        </w:rPr>
        <w:t>》中依托园内现有大企业为龙头企业，逐步形成以硅基新材料为重点，煤化工精细化工、铝基新材料协同发展的化工园区产业定位。</w:t>
      </w:r>
    </w:p>
    <w:p w14:paraId="7F227826">
      <w:pPr>
        <w:pStyle w:val="5"/>
        <w:rPr>
          <w:color w:val="auto"/>
        </w:rPr>
      </w:pPr>
      <w:r>
        <w:rPr>
          <w:rFonts w:hint="eastAsia"/>
          <w:color w:val="auto"/>
        </w:rPr>
        <w:t>用地符合性分析</w:t>
      </w:r>
    </w:p>
    <w:p w14:paraId="686848F5">
      <w:pPr>
        <w:pStyle w:val="132"/>
        <w:rPr>
          <w:color w:val="auto"/>
        </w:rPr>
      </w:pPr>
      <w:r>
        <w:rPr>
          <w:color w:val="auto"/>
        </w:rPr>
        <w:t>本项目位于</w:t>
      </w:r>
      <w:r>
        <w:rPr>
          <w:rFonts w:hint="eastAsia"/>
          <w:color w:val="auto"/>
        </w:rPr>
        <w:t>乌鲁木齐甘泉堡经济技术开发区（工业区）化工园区，用</w:t>
      </w:r>
      <w:r>
        <w:rPr>
          <w:color w:val="auto"/>
        </w:rPr>
        <w:t>地为园区规划的工业用地，不属于</w:t>
      </w:r>
      <w:r>
        <w:rPr>
          <w:rFonts w:hint="eastAsia"/>
          <w:color w:val="auto"/>
        </w:rPr>
        <w:t>《</w:t>
      </w:r>
      <w:r>
        <w:rPr>
          <w:color w:val="auto"/>
        </w:rPr>
        <w:t>自然资源要素支撑产业高质量发展指导目录 （2024年本）》</w:t>
      </w:r>
      <w:r>
        <w:rPr>
          <w:rFonts w:hint="eastAsia"/>
          <w:color w:val="auto"/>
        </w:rPr>
        <w:t>（</w:t>
      </w:r>
      <w:r>
        <w:rPr>
          <w:color w:val="auto"/>
        </w:rPr>
        <w:t>自然资发〔2024〕273号</w:t>
      </w:r>
      <w:r>
        <w:rPr>
          <w:rFonts w:hint="eastAsia"/>
          <w:color w:val="auto"/>
        </w:rPr>
        <w:t>）</w:t>
      </w:r>
      <w:r>
        <w:rPr>
          <w:color w:val="auto"/>
        </w:rPr>
        <w:t>中限制类与禁止类项目，也不</w:t>
      </w:r>
      <w:r>
        <w:rPr>
          <w:rFonts w:hint="eastAsia"/>
          <w:color w:val="auto"/>
        </w:rPr>
        <w:t>属于其他</w:t>
      </w:r>
      <w:r>
        <w:rPr>
          <w:color w:val="auto"/>
        </w:rPr>
        <w:t>相关法律法规要求淘汰和限制的产业，符合园区用地规划要求</w:t>
      </w:r>
      <w:r>
        <w:rPr>
          <w:rFonts w:hint="eastAsia"/>
          <w:color w:val="auto"/>
        </w:rPr>
        <w:t>。</w:t>
      </w:r>
    </w:p>
    <w:p w14:paraId="03C3C24A">
      <w:pPr>
        <w:pStyle w:val="5"/>
        <w:rPr>
          <w:color w:val="auto"/>
        </w:rPr>
      </w:pPr>
      <w:r>
        <w:rPr>
          <w:rFonts w:hint="eastAsia"/>
          <w:color w:val="auto"/>
        </w:rPr>
        <w:t>与周边环境相容性分析</w:t>
      </w:r>
    </w:p>
    <w:p w14:paraId="080137D9">
      <w:pPr>
        <w:pStyle w:val="132"/>
        <w:rPr>
          <w:color w:val="auto"/>
        </w:rPr>
      </w:pPr>
      <w:r>
        <w:rPr>
          <w:rFonts w:hint="eastAsia"/>
          <w:color w:val="auto"/>
        </w:rPr>
        <w:t>本项目所在乌鲁木齐甘泉堡经济技术开发区（工业区）化工园区，不在</w:t>
      </w:r>
      <w:r>
        <w:rPr>
          <w:color w:val="auto"/>
        </w:rPr>
        <w:t>国家及省级确定的自然保护区、风景名胜区、饮用水水源地和</w:t>
      </w:r>
      <w:r>
        <w:rPr>
          <w:rFonts w:hint="eastAsia"/>
          <w:color w:val="auto"/>
        </w:rPr>
        <w:t>其他</w:t>
      </w:r>
      <w:r>
        <w:rPr>
          <w:color w:val="auto"/>
        </w:rPr>
        <w:t>需要特殊保护的地区</w:t>
      </w:r>
      <w:r>
        <w:rPr>
          <w:rFonts w:hint="eastAsia"/>
          <w:color w:val="auto"/>
        </w:rPr>
        <w:t>。本项目</w:t>
      </w:r>
      <w:r>
        <w:rPr>
          <w:color w:val="auto"/>
        </w:rPr>
        <w:t>选址于该园区</w:t>
      </w:r>
      <w:r>
        <w:rPr>
          <w:rFonts w:hint="eastAsia"/>
          <w:color w:val="auto"/>
        </w:rPr>
        <w:t>3号片区：铝基新材料产业园，拟建厂址东侧为园区规划甘怡路，南侧为云泉东街，西侧260m为远洋金属材料科技有限公司，北侧420m为甘泉堡消防救援大队，距离厂区最近的环境敏感目标为项目区东北侧</w:t>
      </w:r>
      <w:r>
        <w:rPr>
          <w:color w:val="auto"/>
        </w:rPr>
        <w:t>2.06km</w:t>
      </w:r>
      <w:r>
        <w:rPr>
          <w:rFonts w:hint="eastAsia"/>
          <w:color w:val="auto"/>
        </w:rPr>
        <w:t>的新达社区和东北侧</w:t>
      </w:r>
      <w:r>
        <w:rPr>
          <w:color w:val="auto"/>
        </w:rPr>
        <w:t>1.57km</w:t>
      </w:r>
      <w:r>
        <w:rPr>
          <w:rFonts w:hint="eastAsia"/>
          <w:color w:val="auto"/>
        </w:rPr>
        <w:t>的乌鲁木齐市137中学，</w:t>
      </w:r>
      <w:r>
        <w:rPr>
          <w:color w:val="auto"/>
        </w:rPr>
        <w:t>经预测，</w:t>
      </w:r>
      <w:r>
        <w:rPr>
          <w:rFonts w:hint="eastAsia"/>
          <w:color w:val="auto"/>
        </w:rPr>
        <w:t>项目</w:t>
      </w:r>
      <w:r>
        <w:rPr>
          <w:color w:val="auto"/>
        </w:rPr>
        <w:t>的建设对周围环境敏感点影响</w:t>
      </w:r>
      <w:r>
        <w:rPr>
          <w:rFonts w:hint="eastAsia"/>
          <w:color w:val="auto"/>
        </w:rPr>
        <w:t>较小</w:t>
      </w:r>
      <w:r>
        <w:rPr>
          <w:color w:val="auto"/>
        </w:rPr>
        <w:t>。</w:t>
      </w:r>
    </w:p>
    <w:p w14:paraId="31C844B1">
      <w:pPr>
        <w:pStyle w:val="5"/>
        <w:rPr>
          <w:color w:val="auto"/>
        </w:rPr>
      </w:pPr>
      <w:r>
        <w:rPr>
          <w:rFonts w:hint="eastAsia"/>
          <w:color w:val="auto"/>
        </w:rPr>
        <w:t>项目周围基础设施依托可行性分析</w:t>
      </w:r>
    </w:p>
    <w:p w14:paraId="6B00115D">
      <w:pPr>
        <w:pStyle w:val="132"/>
        <w:rPr>
          <w:color w:val="auto"/>
        </w:rPr>
      </w:pPr>
      <w:r>
        <w:rPr>
          <w:rFonts w:hint="eastAsia"/>
          <w:color w:val="auto"/>
        </w:rPr>
        <w:t>本项目位于乌鲁木齐甘泉堡经济技术开发区（工业区）化工园区内，</w:t>
      </w:r>
      <w:r>
        <w:rPr>
          <w:color w:val="auto"/>
        </w:rPr>
        <w:t>选址地理位置优越，区域交通运输条件较好，</w:t>
      </w:r>
      <w:r>
        <w:rPr>
          <w:rFonts w:hint="eastAsia"/>
          <w:color w:val="auto"/>
        </w:rPr>
        <w:t>园区道路、</w:t>
      </w:r>
      <w:r>
        <w:rPr>
          <w:color w:val="auto"/>
        </w:rPr>
        <w:t>供电、供水、</w:t>
      </w:r>
      <w:r>
        <w:rPr>
          <w:rFonts w:hint="eastAsia"/>
          <w:color w:val="auto"/>
        </w:rPr>
        <w:t>供气、排水、</w:t>
      </w:r>
      <w:r>
        <w:rPr>
          <w:color w:val="auto"/>
        </w:rPr>
        <w:t>通讯等基础设施条件较好。</w:t>
      </w:r>
      <w:r>
        <w:rPr>
          <w:rFonts w:hint="eastAsia"/>
          <w:color w:val="auto"/>
        </w:rPr>
        <w:t>本项目用水、用电及进厂道路等公用设施可充分利用园区现有水、电、天然气供应、道路等基础设施；项目用汽由</w:t>
      </w:r>
      <w:r>
        <w:rPr>
          <w:color w:val="auto"/>
        </w:rPr>
        <w:t>兖矿新疆煤化工有限公司</w:t>
      </w:r>
      <w:r>
        <w:rPr>
          <w:rFonts w:hint="eastAsia"/>
          <w:color w:val="auto"/>
        </w:rPr>
        <w:t>提供，项目办公生活垃圾由环卫部门定期清运；一般固体废物送园区固体废物填埋场处置；产生的废水排入园区下水管网，进入园区污水处理厂进一步处理。可见，项目周围环境基础设施较完善，有利于项目的建设。</w:t>
      </w:r>
    </w:p>
    <w:p w14:paraId="7CA71F88">
      <w:pPr>
        <w:pStyle w:val="5"/>
        <w:rPr>
          <w:color w:val="auto"/>
        </w:rPr>
      </w:pPr>
      <w:r>
        <w:rPr>
          <w:rFonts w:hint="eastAsia"/>
          <w:color w:val="auto"/>
        </w:rPr>
        <w:t>项目选址环境风险可控性分析</w:t>
      </w:r>
    </w:p>
    <w:p w14:paraId="3271A343">
      <w:pPr>
        <w:pStyle w:val="132"/>
        <w:rPr>
          <w:color w:val="auto"/>
        </w:rPr>
      </w:pPr>
      <w:r>
        <w:rPr>
          <w:rFonts w:hint="eastAsia"/>
          <w:color w:val="auto"/>
        </w:rPr>
        <w:t>企业按照化工企业建设要求建设和落实风险应急措施、制定风险应急预案；项目各项污染防治和风险防范措施明确，符合环境风险防范相关要求。</w:t>
      </w:r>
    </w:p>
    <w:p w14:paraId="4C9108BF">
      <w:pPr>
        <w:pStyle w:val="132"/>
        <w:rPr>
          <w:color w:val="auto"/>
        </w:rPr>
      </w:pPr>
      <w:r>
        <w:rPr>
          <w:rFonts w:hint="eastAsia"/>
          <w:color w:val="auto"/>
        </w:rPr>
        <w:t>综上所述，本项目建设符合现行产业政策；项目选址符合当地发展规划要求。项目建设规模、建设性质、选择的工艺路线符合国家产业政策要求，符合自治区重点行业环境准入要求；经与生态保护红线、环境质量底线、资源利用上线和环境准入负面清单分析对照后，判定本项目具备开展环境影响评价工作的前提和基础条件。</w:t>
      </w:r>
    </w:p>
    <w:p w14:paraId="73096532">
      <w:pPr>
        <w:pStyle w:val="3"/>
        <w:rPr>
          <w:color w:val="auto"/>
        </w:rPr>
      </w:pPr>
      <w:bookmarkStart w:id="61" w:name="_Toc229930111"/>
      <w:bookmarkStart w:id="62" w:name="_Toc528242138"/>
      <w:r>
        <w:rPr>
          <w:color w:val="auto"/>
        </w:rPr>
        <w:t>关注的主要环境问题</w:t>
      </w:r>
      <w:bookmarkEnd w:id="61"/>
      <w:bookmarkEnd w:id="62"/>
    </w:p>
    <w:p w14:paraId="4A7C18E3">
      <w:pPr>
        <w:pStyle w:val="132"/>
        <w:rPr>
          <w:color w:val="auto"/>
        </w:rPr>
      </w:pPr>
      <w:bookmarkStart w:id="63" w:name="_Toc528242139"/>
      <w:r>
        <w:rPr>
          <w:rFonts w:hint="eastAsia"/>
          <w:color w:val="auto"/>
        </w:rPr>
        <w:t>通过对本项目工程特点、所在区域的环境特点以及周边环境现状调查，确定本次环评关注的主要环境问题有：</w:t>
      </w:r>
    </w:p>
    <w:p w14:paraId="15D3A1B2">
      <w:pPr>
        <w:pStyle w:val="132"/>
        <w:numPr>
          <w:ilvl w:val="0"/>
          <w:numId w:val="10"/>
        </w:numPr>
        <w:ind w:firstLineChars="0"/>
        <w:rPr>
          <w:color w:val="auto"/>
        </w:rPr>
      </w:pPr>
      <w:r>
        <w:rPr>
          <w:rFonts w:hint="eastAsia"/>
          <w:color w:val="auto"/>
        </w:rPr>
        <w:t>重点进行项目生产工艺及产污环节分析；</w:t>
      </w:r>
    </w:p>
    <w:p w14:paraId="72EEEC59">
      <w:pPr>
        <w:pStyle w:val="132"/>
        <w:numPr>
          <w:ilvl w:val="0"/>
          <w:numId w:val="10"/>
        </w:numPr>
        <w:ind w:firstLineChars="0"/>
        <w:rPr>
          <w:color w:val="auto"/>
        </w:rPr>
      </w:pPr>
      <w:bookmarkStart w:id="64" w:name="_Hlk171417771"/>
      <w:r>
        <w:rPr>
          <w:rFonts w:hint="eastAsia"/>
          <w:color w:val="auto"/>
        </w:rPr>
        <w:t>评价危险废物处置工艺路线的环境合理性</w:t>
      </w:r>
      <w:bookmarkEnd w:id="64"/>
      <w:r>
        <w:rPr>
          <w:rFonts w:hint="eastAsia"/>
          <w:color w:val="auto"/>
        </w:rPr>
        <w:t>；</w:t>
      </w:r>
    </w:p>
    <w:p w14:paraId="52EE057F">
      <w:pPr>
        <w:pStyle w:val="132"/>
        <w:numPr>
          <w:ilvl w:val="0"/>
          <w:numId w:val="10"/>
        </w:numPr>
        <w:ind w:firstLineChars="0"/>
        <w:rPr>
          <w:color w:val="auto"/>
        </w:rPr>
      </w:pPr>
      <w:r>
        <w:rPr>
          <w:rFonts w:hint="eastAsia"/>
          <w:color w:val="auto"/>
        </w:rPr>
        <w:t>将运营期对大气环境的影响评价列为重点，重点分析大气污染防治措施的有效性及可行性；</w:t>
      </w:r>
    </w:p>
    <w:p w14:paraId="1055BA06">
      <w:pPr>
        <w:pStyle w:val="132"/>
        <w:numPr>
          <w:ilvl w:val="0"/>
          <w:numId w:val="10"/>
        </w:numPr>
        <w:ind w:firstLineChars="0"/>
        <w:rPr>
          <w:color w:val="auto"/>
        </w:rPr>
      </w:pPr>
      <w:r>
        <w:rPr>
          <w:rFonts w:hint="eastAsia"/>
          <w:color w:val="auto"/>
        </w:rPr>
        <w:t>分析项目风险防范措施的可行性。</w:t>
      </w:r>
    </w:p>
    <w:p w14:paraId="43CE2656">
      <w:pPr>
        <w:pStyle w:val="3"/>
        <w:rPr>
          <w:color w:val="auto"/>
        </w:rPr>
      </w:pPr>
      <w:bookmarkStart w:id="65" w:name="_Toc229930112"/>
      <w:r>
        <w:rPr>
          <w:color w:val="auto"/>
        </w:rPr>
        <w:t>环境影响报告书的主要结论</w:t>
      </w:r>
      <w:bookmarkEnd w:id="63"/>
      <w:bookmarkEnd w:id="65"/>
    </w:p>
    <w:p w14:paraId="56A186E2">
      <w:pPr>
        <w:pStyle w:val="132"/>
        <w:rPr>
          <w:color w:val="auto"/>
        </w:rPr>
      </w:pPr>
      <w:r>
        <w:rPr>
          <w:rFonts w:hint="eastAsia"/>
          <w:color w:val="auto"/>
        </w:rPr>
        <w:t>本项目符合国家产业政策和环保要求；项目选址于乌鲁木齐甘泉堡经济技术开发区（工业区）化工园区，符合园区规划用地类型和产业布局要求；项目建设遵循清洁生产的发展理念，各项污染治理得当，经有效处理后可使污染物稳定达标排放，项目制定环境风险应急预案，经采取有效的事故防范和减缓措施后，项目环境风险是可防控的；通过公众参与调查，没有收到反对项目建设的意见，因此，在认真落实本项目的各项污染防治措施的前提下，从环保的角度来说，该项目建设是可行的。</w:t>
      </w:r>
    </w:p>
    <w:p w14:paraId="0DC07D8C">
      <w:pPr>
        <w:pStyle w:val="132"/>
        <w:rPr>
          <w:color w:val="auto"/>
        </w:rPr>
      </w:pPr>
    </w:p>
    <w:p w14:paraId="2C9D177D">
      <w:pPr>
        <w:pStyle w:val="132"/>
        <w:rPr>
          <w:color w:val="auto"/>
        </w:rPr>
      </w:pPr>
    </w:p>
    <w:p w14:paraId="219ACFA8">
      <w:pPr>
        <w:pStyle w:val="132"/>
        <w:rPr>
          <w:color w:val="auto"/>
        </w:rPr>
        <w:sectPr>
          <w:footerReference r:id="rId14" w:type="default"/>
          <w:type w:val="continuous"/>
          <w:pgSz w:w="11906" w:h="16838"/>
          <w:pgMar w:top="1440" w:right="1588" w:bottom="1389" w:left="1588" w:header="737" w:footer="822" w:gutter="0"/>
          <w:cols w:space="425" w:num="1"/>
          <w:docGrid w:type="lines" w:linePitch="312" w:charSpace="0"/>
        </w:sectPr>
      </w:pPr>
    </w:p>
    <w:p w14:paraId="4B1D312E">
      <w:pPr>
        <w:pStyle w:val="2"/>
        <w:rPr>
          <w:color w:val="auto"/>
        </w:rPr>
      </w:pPr>
      <w:bookmarkStart w:id="66" w:name="_Toc385933381"/>
      <w:bookmarkStart w:id="67" w:name="_Toc468030462"/>
      <w:bookmarkStart w:id="68" w:name="_Toc467498542"/>
      <w:bookmarkStart w:id="69" w:name="_Toc467243253"/>
      <w:bookmarkStart w:id="70" w:name="_Toc394331547"/>
      <w:bookmarkStart w:id="71" w:name="_Toc467321462"/>
      <w:bookmarkStart w:id="72" w:name="_Toc229930113"/>
      <w:r>
        <w:rPr>
          <w:color w:val="auto"/>
        </w:rPr>
        <w:t>总</w:t>
      </w:r>
      <w:bookmarkEnd w:id="66"/>
      <w:bookmarkEnd w:id="67"/>
      <w:bookmarkEnd w:id="68"/>
      <w:bookmarkEnd w:id="69"/>
      <w:bookmarkEnd w:id="70"/>
      <w:bookmarkEnd w:id="71"/>
      <w:r>
        <w:rPr>
          <w:rFonts w:hint="eastAsia"/>
          <w:color w:val="auto"/>
        </w:rPr>
        <w:t>则</w:t>
      </w:r>
      <w:bookmarkEnd w:id="72"/>
    </w:p>
    <w:p w14:paraId="39F480B0">
      <w:pPr>
        <w:pStyle w:val="3"/>
        <w:rPr>
          <w:color w:val="auto"/>
        </w:rPr>
      </w:pPr>
      <w:bookmarkStart w:id="73" w:name="_Toc195086008"/>
      <w:bookmarkStart w:id="74" w:name="_Toc229930114"/>
      <w:bookmarkStart w:id="75" w:name="_Ref62587655"/>
      <w:bookmarkStart w:id="76" w:name="_Toc81245375"/>
      <w:bookmarkStart w:id="77" w:name="_Toc116777450"/>
      <w:bookmarkStart w:id="78" w:name="_Toc388796693"/>
      <w:bookmarkStart w:id="79" w:name="_Toc112970895"/>
      <w:bookmarkStart w:id="80" w:name="_Toc113254391"/>
      <w:bookmarkStart w:id="81" w:name="_Toc113254121"/>
      <w:bookmarkStart w:id="82" w:name="_Toc112970959"/>
      <w:bookmarkStart w:id="83" w:name="_Toc113278792"/>
      <w:r>
        <w:rPr>
          <w:rFonts w:hint="eastAsia"/>
          <w:color w:val="auto"/>
        </w:rPr>
        <w:t>评价目的和工作原则</w:t>
      </w:r>
      <w:bookmarkEnd w:id="73"/>
      <w:bookmarkEnd w:id="74"/>
    </w:p>
    <w:p w14:paraId="73F9A4A5">
      <w:pPr>
        <w:pStyle w:val="4"/>
        <w:rPr>
          <w:color w:val="auto"/>
        </w:rPr>
      </w:pPr>
      <w:r>
        <w:rPr>
          <w:color w:val="auto"/>
        </w:rPr>
        <w:t>评价目的</w:t>
      </w:r>
    </w:p>
    <w:p w14:paraId="4B2E3D6F">
      <w:pPr>
        <w:pStyle w:val="132"/>
        <w:rPr>
          <w:color w:val="auto"/>
        </w:rPr>
      </w:pPr>
      <w:r>
        <w:rPr>
          <w:color w:val="auto"/>
        </w:rPr>
        <w:t>通过本次环评工作，拟达到如下目的：</w:t>
      </w:r>
    </w:p>
    <w:p w14:paraId="47F7AFF4">
      <w:pPr>
        <w:pStyle w:val="132"/>
        <w:numPr>
          <w:ilvl w:val="0"/>
          <w:numId w:val="11"/>
        </w:numPr>
        <w:ind w:firstLineChars="0"/>
        <w:rPr>
          <w:color w:val="auto"/>
        </w:rPr>
      </w:pPr>
      <w:r>
        <w:rPr>
          <w:color w:val="auto"/>
        </w:rPr>
        <w:t>根据产业政策和区域发展规划，论述项目与产业政策和规划的相符性</w:t>
      </w:r>
      <w:r>
        <w:rPr>
          <w:rFonts w:hint="eastAsia"/>
          <w:color w:val="auto"/>
        </w:rPr>
        <w:t>。</w:t>
      </w:r>
    </w:p>
    <w:p w14:paraId="0425FB50">
      <w:pPr>
        <w:pStyle w:val="132"/>
        <w:numPr>
          <w:ilvl w:val="0"/>
          <w:numId w:val="11"/>
        </w:numPr>
        <w:ind w:firstLineChars="0"/>
        <w:rPr>
          <w:color w:val="auto"/>
        </w:rPr>
      </w:pPr>
      <w:r>
        <w:rPr>
          <w:color w:val="auto"/>
        </w:rPr>
        <w:t>通过环境影响预测，分析项目可能对周围环境的影响程度和范围</w:t>
      </w:r>
      <w:r>
        <w:rPr>
          <w:rFonts w:hint="eastAsia"/>
          <w:color w:val="auto"/>
        </w:rPr>
        <w:t>、</w:t>
      </w:r>
      <w:r>
        <w:rPr>
          <w:color w:val="auto"/>
        </w:rPr>
        <w:t>采取的环保治理措施、污染防治措施的技术经济可行性及替代方案，最大限度降低对周围环境的影响，为项目生产和环境管理提供科学依据</w:t>
      </w:r>
      <w:r>
        <w:rPr>
          <w:rFonts w:hint="eastAsia"/>
          <w:color w:val="auto"/>
        </w:rPr>
        <w:t>。</w:t>
      </w:r>
    </w:p>
    <w:p w14:paraId="4026CD1B">
      <w:pPr>
        <w:pStyle w:val="132"/>
        <w:numPr>
          <w:ilvl w:val="0"/>
          <w:numId w:val="11"/>
        </w:numPr>
        <w:ind w:firstLineChars="0"/>
        <w:rPr>
          <w:color w:val="auto"/>
        </w:rPr>
      </w:pPr>
      <w:r>
        <w:rPr>
          <w:color w:val="auto"/>
        </w:rPr>
        <w:t>通过风险识别和预测，分析项目采取风险防控措施后是否确保环境风险可防可控，</w:t>
      </w:r>
      <w:r>
        <w:rPr>
          <w:rFonts w:hint="eastAsia"/>
          <w:color w:val="auto"/>
        </w:rPr>
        <w:t>提出</w:t>
      </w:r>
      <w:r>
        <w:rPr>
          <w:color w:val="auto"/>
        </w:rPr>
        <w:t>风险防范措施和区域联动应急预案</w:t>
      </w:r>
      <w:r>
        <w:rPr>
          <w:rFonts w:hint="eastAsia"/>
          <w:color w:val="auto"/>
        </w:rPr>
        <w:t>。</w:t>
      </w:r>
    </w:p>
    <w:p w14:paraId="2B97629F">
      <w:pPr>
        <w:pStyle w:val="132"/>
        <w:numPr>
          <w:ilvl w:val="0"/>
          <w:numId w:val="11"/>
        </w:numPr>
        <w:ind w:firstLineChars="0"/>
        <w:rPr>
          <w:color w:val="auto"/>
        </w:rPr>
      </w:pPr>
      <w:r>
        <w:rPr>
          <w:color w:val="auto"/>
        </w:rPr>
        <w:t>从环境保护的角度，分析、论证拟建项目是否可行。</w:t>
      </w:r>
    </w:p>
    <w:p w14:paraId="69AF311F">
      <w:pPr>
        <w:pStyle w:val="4"/>
        <w:rPr>
          <w:color w:val="auto"/>
        </w:rPr>
      </w:pPr>
      <w:r>
        <w:rPr>
          <w:color w:val="auto"/>
        </w:rPr>
        <w:t>评价原则</w:t>
      </w:r>
    </w:p>
    <w:p w14:paraId="00FC576B">
      <w:pPr>
        <w:pStyle w:val="132"/>
        <w:rPr>
          <w:color w:val="auto"/>
        </w:rPr>
      </w:pPr>
      <w:r>
        <w:rPr>
          <w:color w:val="auto"/>
        </w:rPr>
        <w:t>（1）依法评价</w:t>
      </w:r>
    </w:p>
    <w:p w14:paraId="6BB25F96">
      <w:pPr>
        <w:pStyle w:val="132"/>
        <w:rPr>
          <w:color w:val="auto"/>
        </w:rPr>
      </w:pPr>
      <w:r>
        <w:rPr>
          <w:color w:val="auto"/>
        </w:rPr>
        <w:t>贯彻执行我国环境保护相关法律法规、标准、政策和规划等，优化项目建设，服务环境管理。</w:t>
      </w:r>
    </w:p>
    <w:p w14:paraId="3509F4C8">
      <w:pPr>
        <w:pStyle w:val="132"/>
        <w:rPr>
          <w:color w:val="auto"/>
        </w:rPr>
      </w:pPr>
      <w:r>
        <w:rPr>
          <w:color w:val="auto"/>
        </w:rPr>
        <w:t>（2）科学评价</w:t>
      </w:r>
    </w:p>
    <w:p w14:paraId="5A006243">
      <w:pPr>
        <w:pStyle w:val="132"/>
        <w:rPr>
          <w:color w:val="auto"/>
        </w:rPr>
      </w:pPr>
      <w:r>
        <w:rPr>
          <w:color w:val="auto"/>
        </w:rPr>
        <w:t>规范环境影响评价方法，科学分析项目建设对环境质量的影响。</w:t>
      </w:r>
    </w:p>
    <w:p w14:paraId="5BC69ABA">
      <w:pPr>
        <w:pStyle w:val="132"/>
        <w:rPr>
          <w:color w:val="auto"/>
        </w:rPr>
      </w:pPr>
      <w:r>
        <w:rPr>
          <w:color w:val="auto"/>
        </w:rPr>
        <w:t>（3）突出重点</w:t>
      </w:r>
    </w:p>
    <w:p w14:paraId="6D2AAB1B">
      <w:pPr>
        <w:pStyle w:val="132"/>
        <w:rPr>
          <w:color w:val="auto"/>
        </w:rPr>
      </w:pPr>
      <w:r>
        <w:rPr>
          <w:rFonts w:hint="eastAsia"/>
          <w:color w:val="auto"/>
        </w:rPr>
        <w:t>根据建设项目的工程内容及其特点，明确与环境要素间的作用效应关系，根据规划环境影响评价结论和审查意见，充分利用符合时效的数据资料及成果，对建设项目主要环境影响予以重点分析和评价。</w:t>
      </w:r>
    </w:p>
    <w:p w14:paraId="18F32D56">
      <w:pPr>
        <w:pStyle w:val="3"/>
        <w:rPr>
          <w:color w:val="auto"/>
        </w:rPr>
      </w:pPr>
      <w:bookmarkStart w:id="84" w:name="_Toc229930115"/>
      <w:r>
        <w:rPr>
          <w:color w:val="auto"/>
        </w:rPr>
        <w:t>编制依据</w:t>
      </w:r>
      <w:bookmarkEnd w:id="75"/>
      <w:bookmarkEnd w:id="76"/>
      <w:bookmarkEnd w:id="84"/>
    </w:p>
    <w:p w14:paraId="441EFFE7">
      <w:pPr>
        <w:pStyle w:val="4"/>
        <w:rPr>
          <w:color w:val="auto"/>
        </w:rPr>
      </w:pPr>
      <w:bookmarkStart w:id="85" w:name="_Toc81245376"/>
      <w:r>
        <w:rPr>
          <w:rFonts w:hint="eastAsia"/>
          <w:color w:val="auto"/>
        </w:rPr>
        <w:t>国家法律</w:t>
      </w:r>
      <w:bookmarkEnd w:id="85"/>
    </w:p>
    <w:p w14:paraId="744C1B94">
      <w:pPr>
        <w:pStyle w:val="132"/>
        <w:numPr>
          <w:ilvl w:val="0"/>
          <w:numId w:val="12"/>
        </w:numPr>
        <w:ind w:firstLineChars="0"/>
        <w:rPr>
          <w:color w:val="auto"/>
        </w:rPr>
      </w:pPr>
      <w:r>
        <w:rPr>
          <w:rFonts w:hint="eastAsia"/>
          <w:color w:val="auto"/>
        </w:rPr>
        <w:t>《中华人民共和国环境保护法》，2014.4.24修订，2015.1.1施行；</w:t>
      </w:r>
    </w:p>
    <w:p w14:paraId="26CAF4BA">
      <w:pPr>
        <w:pStyle w:val="132"/>
        <w:numPr>
          <w:ilvl w:val="0"/>
          <w:numId w:val="12"/>
        </w:numPr>
        <w:ind w:firstLineChars="0"/>
        <w:rPr>
          <w:color w:val="auto"/>
        </w:rPr>
      </w:pPr>
      <w:r>
        <w:rPr>
          <w:rFonts w:hint="eastAsia"/>
          <w:color w:val="auto"/>
        </w:rPr>
        <w:t>《中华人民共和国大气污染防治法》，2018.10.26修正；</w:t>
      </w:r>
    </w:p>
    <w:p w14:paraId="531B5611">
      <w:pPr>
        <w:pStyle w:val="132"/>
        <w:numPr>
          <w:ilvl w:val="0"/>
          <w:numId w:val="12"/>
        </w:numPr>
        <w:ind w:firstLineChars="0"/>
        <w:rPr>
          <w:color w:val="auto"/>
        </w:rPr>
      </w:pPr>
      <w:r>
        <w:rPr>
          <w:rFonts w:hint="eastAsia"/>
          <w:color w:val="auto"/>
        </w:rPr>
        <w:t>《中华人民共和国水污染防治法》，201</w:t>
      </w:r>
      <w:r>
        <w:rPr>
          <w:color w:val="auto"/>
        </w:rPr>
        <w:t>7</w:t>
      </w:r>
      <w:r>
        <w:rPr>
          <w:rFonts w:hint="eastAsia"/>
          <w:color w:val="auto"/>
        </w:rPr>
        <w:t>.</w:t>
      </w:r>
      <w:r>
        <w:rPr>
          <w:color w:val="auto"/>
        </w:rPr>
        <w:t>6</w:t>
      </w:r>
      <w:r>
        <w:rPr>
          <w:rFonts w:hint="eastAsia"/>
          <w:color w:val="auto"/>
        </w:rPr>
        <w:t>.</w:t>
      </w:r>
      <w:r>
        <w:rPr>
          <w:color w:val="auto"/>
        </w:rPr>
        <w:t>27</w:t>
      </w:r>
      <w:r>
        <w:rPr>
          <w:rFonts w:hint="eastAsia"/>
          <w:color w:val="auto"/>
        </w:rPr>
        <w:t>修正，2018.1.1施行；</w:t>
      </w:r>
    </w:p>
    <w:p w14:paraId="5AC1A37D">
      <w:pPr>
        <w:pStyle w:val="132"/>
        <w:numPr>
          <w:ilvl w:val="0"/>
          <w:numId w:val="12"/>
        </w:numPr>
        <w:ind w:firstLineChars="0"/>
        <w:rPr>
          <w:color w:val="auto"/>
        </w:rPr>
      </w:pPr>
      <w:r>
        <w:rPr>
          <w:rFonts w:hint="eastAsia"/>
          <w:color w:val="auto"/>
        </w:rPr>
        <w:t>《中华人民共和国噪声污染防治法》，20</w:t>
      </w:r>
      <w:r>
        <w:rPr>
          <w:color w:val="auto"/>
        </w:rPr>
        <w:t>21</w:t>
      </w:r>
      <w:r>
        <w:rPr>
          <w:rFonts w:hint="eastAsia"/>
          <w:color w:val="auto"/>
        </w:rPr>
        <w:t>.12.</w:t>
      </w:r>
      <w:r>
        <w:rPr>
          <w:color w:val="auto"/>
        </w:rPr>
        <w:t>24</w:t>
      </w:r>
      <w:r>
        <w:rPr>
          <w:rFonts w:hint="eastAsia"/>
          <w:color w:val="auto"/>
        </w:rPr>
        <w:t>通过，2022.</w:t>
      </w:r>
      <w:r>
        <w:rPr>
          <w:color w:val="auto"/>
        </w:rPr>
        <w:t>6</w:t>
      </w:r>
      <w:r>
        <w:rPr>
          <w:rFonts w:hint="eastAsia"/>
          <w:color w:val="auto"/>
        </w:rPr>
        <w:t>.</w:t>
      </w:r>
      <w:r>
        <w:rPr>
          <w:color w:val="auto"/>
        </w:rPr>
        <w:t>5</w:t>
      </w:r>
      <w:r>
        <w:rPr>
          <w:rFonts w:hint="eastAsia"/>
          <w:color w:val="auto"/>
        </w:rPr>
        <w:t>施行；</w:t>
      </w:r>
    </w:p>
    <w:p w14:paraId="51A9E008">
      <w:pPr>
        <w:pStyle w:val="132"/>
        <w:numPr>
          <w:ilvl w:val="0"/>
          <w:numId w:val="12"/>
        </w:numPr>
        <w:ind w:firstLineChars="0"/>
        <w:rPr>
          <w:color w:val="auto"/>
        </w:rPr>
      </w:pPr>
      <w:r>
        <w:rPr>
          <w:rFonts w:hint="eastAsia"/>
          <w:color w:val="auto"/>
        </w:rPr>
        <w:t>《中华人民共和国固体废物污染环境防治法》，2020.4.29修订，2020.</w:t>
      </w:r>
      <w:r>
        <w:rPr>
          <w:color w:val="auto"/>
        </w:rPr>
        <w:t>9</w:t>
      </w:r>
      <w:r>
        <w:rPr>
          <w:rFonts w:hint="eastAsia"/>
          <w:color w:val="auto"/>
        </w:rPr>
        <w:t>.1施行；</w:t>
      </w:r>
    </w:p>
    <w:p w14:paraId="7D0462C7">
      <w:pPr>
        <w:pStyle w:val="132"/>
        <w:numPr>
          <w:ilvl w:val="0"/>
          <w:numId w:val="12"/>
        </w:numPr>
        <w:ind w:firstLineChars="0"/>
        <w:rPr>
          <w:color w:val="auto"/>
        </w:rPr>
      </w:pPr>
      <w:r>
        <w:rPr>
          <w:rFonts w:hint="eastAsia"/>
          <w:color w:val="auto"/>
        </w:rPr>
        <w:t>《中华人民共和国环境影响评价法》，2018.12.29修正；</w:t>
      </w:r>
    </w:p>
    <w:p w14:paraId="2C4E5E43">
      <w:pPr>
        <w:pStyle w:val="132"/>
        <w:numPr>
          <w:ilvl w:val="0"/>
          <w:numId w:val="12"/>
        </w:numPr>
        <w:ind w:firstLineChars="0"/>
        <w:rPr>
          <w:color w:val="auto"/>
        </w:rPr>
      </w:pPr>
      <w:r>
        <w:rPr>
          <w:rFonts w:hint="eastAsia"/>
          <w:color w:val="auto"/>
        </w:rPr>
        <w:t>《中华人民共和国土壤污染防治法》，20</w:t>
      </w:r>
      <w:r>
        <w:rPr>
          <w:color w:val="auto"/>
        </w:rPr>
        <w:t>18</w:t>
      </w:r>
      <w:r>
        <w:rPr>
          <w:rFonts w:hint="eastAsia"/>
          <w:color w:val="auto"/>
        </w:rPr>
        <w:t>.</w:t>
      </w:r>
      <w:r>
        <w:rPr>
          <w:color w:val="auto"/>
        </w:rPr>
        <w:t>8</w:t>
      </w:r>
      <w:r>
        <w:rPr>
          <w:rFonts w:hint="eastAsia"/>
          <w:color w:val="auto"/>
        </w:rPr>
        <w:t>.</w:t>
      </w:r>
      <w:r>
        <w:rPr>
          <w:color w:val="auto"/>
        </w:rPr>
        <w:t>21</w:t>
      </w:r>
      <w:r>
        <w:rPr>
          <w:rFonts w:hint="eastAsia"/>
          <w:color w:val="auto"/>
        </w:rPr>
        <w:t>通过，2019.1.1施行；</w:t>
      </w:r>
    </w:p>
    <w:p w14:paraId="5582EE74">
      <w:pPr>
        <w:pStyle w:val="132"/>
        <w:numPr>
          <w:ilvl w:val="0"/>
          <w:numId w:val="12"/>
        </w:numPr>
        <w:ind w:firstLineChars="0"/>
        <w:rPr>
          <w:color w:val="auto"/>
        </w:rPr>
      </w:pPr>
      <w:r>
        <w:rPr>
          <w:rFonts w:hint="eastAsia"/>
          <w:color w:val="auto"/>
        </w:rPr>
        <w:t>《中华人民共和国清洁生产促进法》，201</w:t>
      </w:r>
      <w:r>
        <w:rPr>
          <w:color w:val="auto"/>
        </w:rPr>
        <w:t>1</w:t>
      </w:r>
      <w:r>
        <w:rPr>
          <w:rFonts w:hint="eastAsia"/>
          <w:color w:val="auto"/>
        </w:rPr>
        <w:t>.2.2</w:t>
      </w:r>
      <w:r>
        <w:rPr>
          <w:color w:val="auto"/>
        </w:rPr>
        <w:t>9</w:t>
      </w:r>
      <w:r>
        <w:rPr>
          <w:rFonts w:hint="eastAsia"/>
          <w:color w:val="auto"/>
        </w:rPr>
        <w:t>修订，2012.7.1施行；</w:t>
      </w:r>
    </w:p>
    <w:p w14:paraId="1B02C83C">
      <w:pPr>
        <w:pStyle w:val="132"/>
        <w:numPr>
          <w:ilvl w:val="0"/>
          <w:numId w:val="12"/>
        </w:numPr>
        <w:ind w:firstLineChars="0"/>
        <w:rPr>
          <w:color w:val="auto"/>
        </w:rPr>
      </w:pPr>
      <w:r>
        <w:rPr>
          <w:rFonts w:hint="eastAsia"/>
          <w:color w:val="auto"/>
        </w:rPr>
        <w:t>《中华人民共和国循环经济促进法》，20</w:t>
      </w:r>
      <w:r>
        <w:rPr>
          <w:color w:val="auto"/>
        </w:rPr>
        <w:t>18</w:t>
      </w:r>
      <w:r>
        <w:rPr>
          <w:rFonts w:hint="eastAsia"/>
          <w:color w:val="auto"/>
        </w:rPr>
        <w:t>.</w:t>
      </w:r>
      <w:r>
        <w:rPr>
          <w:color w:val="auto"/>
        </w:rPr>
        <w:t>10</w:t>
      </w:r>
      <w:r>
        <w:rPr>
          <w:rFonts w:hint="eastAsia"/>
          <w:color w:val="auto"/>
        </w:rPr>
        <w:t>.</w:t>
      </w:r>
      <w:r>
        <w:rPr>
          <w:color w:val="auto"/>
        </w:rPr>
        <w:t>26</w:t>
      </w:r>
      <w:r>
        <w:rPr>
          <w:rFonts w:hint="eastAsia"/>
          <w:color w:val="auto"/>
        </w:rPr>
        <w:t>修正；</w:t>
      </w:r>
    </w:p>
    <w:p w14:paraId="54C87572">
      <w:pPr>
        <w:pStyle w:val="132"/>
        <w:numPr>
          <w:ilvl w:val="0"/>
          <w:numId w:val="12"/>
        </w:numPr>
        <w:ind w:firstLineChars="0"/>
        <w:rPr>
          <w:color w:val="auto"/>
        </w:rPr>
      </w:pPr>
      <w:r>
        <w:rPr>
          <w:rFonts w:hint="eastAsia"/>
          <w:color w:val="auto"/>
        </w:rPr>
        <w:t>《中华人民共和国水土保持法》，2010.12.25修订，20</w:t>
      </w:r>
      <w:r>
        <w:rPr>
          <w:color w:val="auto"/>
        </w:rPr>
        <w:t>11</w:t>
      </w:r>
      <w:r>
        <w:rPr>
          <w:rFonts w:hint="eastAsia"/>
          <w:color w:val="auto"/>
        </w:rPr>
        <w:t>.</w:t>
      </w:r>
      <w:r>
        <w:rPr>
          <w:color w:val="auto"/>
        </w:rPr>
        <w:t>3</w:t>
      </w:r>
      <w:r>
        <w:rPr>
          <w:rFonts w:hint="eastAsia"/>
          <w:color w:val="auto"/>
        </w:rPr>
        <w:t>.</w:t>
      </w:r>
      <w:r>
        <w:rPr>
          <w:color w:val="auto"/>
        </w:rPr>
        <w:t>1</w:t>
      </w:r>
      <w:r>
        <w:rPr>
          <w:rFonts w:hint="eastAsia"/>
          <w:color w:val="auto"/>
        </w:rPr>
        <w:t>施行；</w:t>
      </w:r>
    </w:p>
    <w:p w14:paraId="294E737A">
      <w:pPr>
        <w:pStyle w:val="132"/>
        <w:numPr>
          <w:ilvl w:val="0"/>
          <w:numId w:val="12"/>
        </w:numPr>
        <w:ind w:firstLineChars="0"/>
        <w:rPr>
          <w:color w:val="auto"/>
        </w:rPr>
      </w:pPr>
      <w:r>
        <w:rPr>
          <w:rFonts w:hint="eastAsia"/>
          <w:color w:val="auto"/>
        </w:rPr>
        <w:t>《中华人民共和国水法》，2016.</w:t>
      </w:r>
      <w:r>
        <w:rPr>
          <w:color w:val="auto"/>
        </w:rPr>
        <w:t>7</w:t>
      </w:r>
      <w:r>
        <w:rPr>
          <w:rFonts w:hint="eastAsia"/>
          <w:color w:val="auto"/>
        </w:rPr>
        <w:t>.</w:t>
      </w:r>
      <w:r>
        <w:rPr>
          <w:color w:val="auto"/>
        </w:rPr>
        <w:t>2</w:t>
      </w:r>
      <w:r>
        <w:rPr>
          <w:rFonts w:hint="eastAsia"/>
          <w:color w:val="auto"/>
        </w:rPr>
        <w:t>修正；</w:t>
      </w:r>
    </w:p>
    <w:p w14:paraId="41B0D9B9">
      <w:pPr>
        <w:pStyle w:val="132"/>
        <w:numPr>
          <w:ilvl w:val="0"/>
          <w:numId w:val="12"/>
        </w:numPr>
        <w:ind w:firstLineChars="0"/>
        <w:rPr>
          <w:color w:val="auto"/>
        </w:rPr>
      </w:pPr>
      <w:r>
        <w:rPr>
          <w:rFonts w:hint="eastAsia"/>
          <w:color w:val="auto"/>
        </w:rPr>
        <w:t>《中华人民共和国节约能源法》，201</w:t>
      </w:r>
      <w:r>
        <w:rPr>
          <w:color w:val="auto"/>
        </w:rPr>
        <w:t>8</w:t>
      </w:r>
      <w:r>
        <w:rPr>
          <w:rFonts w:hint="eastAsia"/>
          <w:color w:val="auto"/>
        </w:rPr>
        <w:t>.</w:t>
      </w:r>
      <w:r>
        <w:rPr>
          <w:color w:val="auto"/>
        </w:rPr>
        <w:t>10</w:t>
      </w:r>
      <w:r>
        <w:rPr>
          <w:rFonts w:hint="eastAsia"/>
          <w:color w:val="auto"/>
        </w:rPr>
        <w:t>.</w:t>
      </w:r>
      <w:r>
        <w:rPr>
          <w:color w:val="auto"/>
        </w:rPr>
        <w:t>26</w:t>
      </w:r>
      <w:r>
        <w:rPr>
          <w:rFonts w:hint="eastAsia"/>
          <w:color w:val="auto"/>
        </w:rPr>
        <w:t>修正；</w:t>
      </w:r>
    </w:p>
    <w:p w14:paraId="389D7635">
      <w:pPr>
        <w:pStyle w:val="132"/>
        <w:numPr>
          <w:ilvl w:val="0"/>
          <w:numId w:val="12"/>
        </w:numPr>
        <w:ind w:firstLineChars="0"/>
        <w:rPr>
          <w:color w:val="auto"/>
        </w:rPr>
      </w:pPr>
      <w:r>
        <w:rPr>
          <w:rFonts w:hint="eastAsia"/>
          <w:color w:val="auto"/>
        </w:rPr>
        <w:t>《</w:t>
      </w:r>
      <w:r>
        <w:rPr>
          <w:color w:val="auto"/>
        </w:rPr>
        <w:t>中华人民共和国野生动物保护法</w:t>
      </w:r>
      <w:r>
        <w:rPr>
          <w:rFonts w:hint="eastAsia"/>
          <w:color w:val="auto"/>
        </w:rPr>
        <w:t>》，2018.10.26修正。</w:t>
      </w:r>
    </w:p>
    <w:p w14:paraId="0BCCAD98">
      <w:pPr>
        <w:pStyle w:val="4"/>
        <w:rPr>
          <w:color w:val="auto"/>
        </w:rPr>
      </w:pPr>
      <w:bookmarkStart w:id="86" w:name="_Toc81245377"/>
      <w:r>
        <w:rPr>
          <w:rFonts w:hint="eastAsia"/>
          <w:color w:val="auto"/>
        </w:rPr>
        <w:t>国务院行政法规及规范性文件</w:t>
      </w:r>
      <w:bookmarkEnd w:id="86"/>
    </w:p>
    <w:p w14:paraId="462C47A2">
      <w:pPr>
        <w:pStyle w:val="132"/>
        <w:numPr>
          <w:ilvl w:val="0"/>
          <w:numId w:val="13"/>
        </w:numPr>
        <w:ind w:firstLineChars="0"/>
        <w:rPr>
          <w:color w:val="auto"/>
        </w:rPr>
      </w:pPr>
      <w:bookmarkStart w:id="87" w:name="_Toc81245378"/>
      <w:r>
        <w:rPr>
          <w:rFonts w:hint="eastAsia"/>
          <w:color w:val="auto"/>
        </w:rPr>
        <w:t>《建设项目环境保护管理条例》（国令第682号），2017.10.1；</w:t>
      </w:r>
    </w:p>
    <w:p w14:paraId="2BC4DA29">
      <w:pPr>
        <w:pStyle w:val="132"/>
        <w:numPr>
          <w:ilvl w:val="0"/>
          <w:numId w:val="13"/>
        </w:numPr>
        <w:ind w:firstLineChars="0"/>
        <w:rPr>
          <w:color w:val="auto"/>
        </w:rPr>
      </w:pPr>
      <w:r>
        <w:rPr>
          <w:rFonts w:hint="eastAsia"/>
          <w:color w:val="auto"/>
        </w:rPr>
        <w:t>《全国主体功能区规划》（国发〔2010〕46号），2010.12.21；</w:t>
      </w:r>
    </w:p>
    <w:p w14:paraId="39F2153C">
      <w:pPr>
        <w:pStyle w:val="132"/>
        <w:numPr>
          <w:ilvl w:val="0"/>
          <w:numId w:val="13"/>
        </w:numPr>
        <w:ind w:firstLineChars="0"/>
        <w:rPr>
          <w:color w:val="auto"/>
        </w:rPr>
      </w:pPr>
      <w:r>
        <w:rPr>
          <w:rFonts w:hint="eastAsia"/>
          <w:color w:val="auto"/>
        </w:rPr>
        <w:t>《危险化学品安全管理条例（2013年修正）》（国令第645号），2013.12.7；</w:t>
      </w:r>
    </w:p>
    <w:p w14:paraId="17257D6F">
      <w:pPr>
        <w:pStyle w:val="132"/>
        <w:numPr>
          <w:ilvl w:val="0"/>
          <w:numId w:val="13"/>
        </w:numPr>
        <w:ind w:firstLineChars="0"/>
        <w:rPr>
          <w:color w:val="auto"/>
        </w:rPr>
      </w:pPr>
      <w:r>
        <w:rPr>
          <w:color w:val="auto"/>
        </w:rPr>
        <w:t>《空气质量持续改善行动计划》（国发〔2023〕4号）</w:t>
      </w:r>
      <w:r>
        <w:rPr>
          <w:rFonts w:hint="eastAsia"/>
          <w:color w:val="auto"/>
        </w:rPr>
        <w:t>，2023.12.7；</w:t>
      </w:r>
    </w:p>
    <w:p w14:paraId="1449CE9D">
      <w:pPr>
        <w:pStyle w:val="132"/>
        <w:numPr>
          <w:ilvl w:val="0"/>
          <w:numId w:val="13"/>
        </w:numPr>
        <w:ind w:firstLineChars="0"/>
        <w:rPr>
          <w:color w:val="auto"/>
        </w:rPr>
      </w:pPr>
      <w:r>
        <w:rPr>
          <w:rFonts w:hint="eastAsia"/>
          <w:color w:val="auto"/>
        </w:rPr>
        <w:t>《水污染防治行动计划》（国发〔2015〕17号），2015.4.2；</w:t>
      </w:r>
    </w:p>
    <w:p w14:paraId="6E8814DB">
      <w:pPr>
        <w:pStyle w:val="132"/>
        <w:numPr>
          <w:ilvl w:val="0"/>
          <w:numId w:val="13"/>
        </w:numPr>
        <w:ind w:firstLineChars="0"/>
        <w:rPr>
          <w:color w:val="auto"/>
        </w:rPr>
      </w:pPr>
      <w:r>
        <w:rPr>
          <w:rFonts w:hint="eastAsia"/>
          <w:color w:val="auto"/>
        </w:rPr>
        <w:t>《土壤污染防治行动计划》（国发〔2016〕31号），2016.5.28；</w:t>
      </w:r>
    </w:p>
    <w:p w14:paraId="7594FBC2">
      <w:pPr>
        <w:pStyle w:val="132"/>
        <w:numPr>
          <w:ilvl w:val="0"/>
          <w:numId w:val="13"/>
        </w:numPr>
        <w:ind w:firstLineChars="0"/>
        <w:rPr>
          <w:color w:val="auto"/>
        </w:rPr>
      </w:pPr>
      <w:r>
        <w:rPr>
          <w:rFonts w:hint="eastAsia"/>
          <w:color w:val="auto"/>
        </w:rPr>
        <w:t>《关于全面加强生态环境保护坚决打好污染防治攻坚战的意见》（中发〔2018〕17号），2018.6.16；</w:t>
      </w:r>
    </w:p>
    <w:p w14:paraId="6F8B3863">
      <w:pPr>
        <w:pStyle w:val="132"/>
        <w:numPr>
          <w:ilvl w:val="0"/>
          <w:numId w:val="13"/>
        </w:numPr>
        <w:ind w:firstLineChars="0"/>
        <w:rPr>
          <w:color w:val="auto"/>
        </w:rPr>
      </w:pPr>
      <w:r>
        <w:rPr>
          <w:rFonts w:hint="eastAsia"/>
          <w:color w:val="auto"/>
        </w:rPr>
        <w:t>《排污许可管理条例》（国令第 736 号），2021.3.1施行。</w:t>
      </w:r>
    </w:p>
    <w:p w14:paraId="4AFF11FE">
      <w:pPr>
        <w:pStyle w:val="132"/>
        <w:numPr>
          <w:ilvl w:val="0"/>
          <w:numId w:val="13"/>
        </w:numPr>
        <w:ind w:firstLineChars="0"/>
        <w:rPr>
          <w:color w:val="auto"/>
        </w:rPr>
      </w:pPr>
      <w:r>
        <w:rPr>
          <w:color w:val="auto"/>
        </w:rPr>
        <w:t>《</w:t>
      </w:r>
      <w:r>
        <w:rPr>
          <w:rFonts w:hint="eastAsia"/>
          <w:color w:val="auto"/>
        </w:rPr>
        <w:t>中共中央 国务院关于深入打好污染防治攻坚战的意见</w:t>
      </w:r>
      <w:r>
        <w:rPr>
          <w:color w:val="auto"/>
        </w:rPr>
        <w:t>》，</w:t>
      </w:r>
      <w:r>
        <w:rPr>
          <w:rFonts w:hint="eastAsia"/>
          <w:color w:val="auto"/>
        </w:rPr>
        <w:t>2</w:t>
      </w:r>
      <w:r>
        <w:rPr>
          <w:color w:val="auto"/>
        </w:rPr>
        <w:t>021.11.2；</w:t>
      </w:r>
    </w:p>
    <w:p w14:paraId="366229FF">
      <w:pPr>
        <w:pStyle w:val="132"/>
        <w:numPr>
          <w:ilvl w:val="0"/>
          <w:numId w:val="13"/>
        </w:numPr>
        <w:ind w:firstLineChars="0"/>
        <w:rPr>
          <w:color w:val="auto"/>
        </w:rPr>
      </w:pPr>
      <w:r>
        <w:rPr>
          <w:color w:val="auto"/>
        </w:rPr>
        <w:t>《地下水管理条例》</w:t>
      </w:r>
      <w:r>
        <w:rPr>
          <w:rFonts w:hint="eastAsia"/>
          <w:color w:val="auto"/>
        </w:rPr>
        <w:t>（</w:t>
      </w:r>
      <w:r>
        <w:rPr>
          <w:color w:val="auto"/>
        </w:rPr>
        <w:t>国务院令第748号</w:t>
      </w:r>
      <w:r>
        <w:rPr>
          <w:rFonts w:hint="eastAsia"/>
          <w:color w:val="auto"/>
        </w:rPr>
        <w:t>）</w:t>
      </w:r>
      <w:r>
        <w:rPr>
          <w:color w:val="auto"/>
        </w:rPr>
        <w:t>，2021.12.1施行；</w:t>
      </w:r>
    </w:p>
    <w:p w14:paraId="6EF1E49D">
      <w:pPr>
        <w:pStyle w:val="132"/>
        <w:numPr>
          <w:ilvl w:val="0"/>
          <w:numId w:val="13"/>
        </w:numPr>
        <w:ind w:firstLineChars="0"/>
        <w:rPr>
          <w:color w:val="auto"/>
        </w:rPr>
      </w:pPr>
      <w:r>
        <w:rPr>
          <w:color w:val="auto"/>
        </w:rPr>
        <w:t>《国务院关于印发“十四五”节能减排综合工作方案的通知》</w:t>
      </w:r>
      <w:r>
        <w:rPr>
          <w:rFonts w:hint="eastAsia"/>
          <w:color w:val="auto"/>
        </w:rPr>
        <w:t>（</w:t>
      </w:r>
      <w:r>
        <w:rPr>
          <w:color w:val="auto"/>
        </w:rPr>
        <w:t>国发</w:t>
      </w:r>
      <w:r>
        <w:rPr>
          <w:rFonts w:hint="eastAsia"/>
          <w:color w:val="auto"/>
        </w:rPr>
        <w:t>〔</w:t>
      </w:r>
      <w:r>
        <w:rPr>
          <w:color w:val="auto"/>
        </w:rPr>
        <w:t>2021</w:t>
      </w:r>
      <w:r>
        <w:rPr>
          <w:rFonts w:hint="eastAsia"/>
          <w:color w:val="auto"/>
        </w:rPr>
        <w:t>〕</w:t>
      </w:r>
      <w:r>
        <w:rPr>
          <w:color w:val="auto"/>
        </w:rPr>
        <w:t>33号</w:t>
      </w:r>
      <w:r>
        <w:rPr>
          <w:rFonts w:hint="eastAsia"/>
          <w:color w:val="auto"/>
        </w:rPr>
        <w:t>）</w:t>
      </w:r>
      <w:r>
        <w:rPr>
          <w:color w:val="auto"/>
        </w:rPr>
        <w:t>，2021.12.28；</w:t>
      </w:r>
    </w:p>
    <w:p w14:paraId="50DC5817">
      <w:pPr>
        <w:pStyle w:val="132"/>
        <w:numPr>
          <w:ilvl w:val="0"/>
          <w:numId w:val="13"/>
        </w:numPr>
        <w:ind w:firstLineChars="0"/>
        <w:rPr>
          <w:color w:val="auto"/>
        </w:rPr>
      </w:pPr>
      <w:r>
        <w:rPr>
          <w:color w:val="auto"/>
        </w:rPr>
        <w:t>《国务院关于印发2030年前碳达峰行动方案的通知》</w:t>
      </w:r>
      <w:r>
        <w:rPr>
          <w:rFonts w:hint="eastAsia"/>
          <w:color w:val="auto"/>
        </w:rPr>
        <w:t>（</w:t>
      </w:r>
      <w:r>
        <w:rPr>
          <w:color w:val="auto"/>
        </w:rPr>
        <w:t>国发</w:t>
      </w:r>
      <w:r>
        <w:rPr>
          <w:rFonts w:hint="eastAsia"/>
          <w:color w:val="auto"/>
        </w:rPr>
        <w:t>〔</w:t>
      </w:r>
      <w:r>
        <w:rPr>
          <w:color w:val="auto"/>
        </w:rPr>
        <w:t>2021</w:t>
      </w:r>
      <w:r>
        <w:rPr>
          <w:rFonts w:hint="eastAsia"/>
          <w:color w:val="auto"/>
        </w:rPr>
        <w:t>〕</w:t>
      </w:r>
      <w:r>
        <w:rPr>
          <w:color w:val="auto"/>
        </w:rPr>
        <w:t>23号</w:t>
      </w:r>
      <w:r>
        <w:rPr>
          <w:rFonts w:hint="eastAsia"/>
          <w:color w:val="auto"/>
        </w:rPr>
        <w:t>），</w:t>
      </w:r>
      <w:r>
        <w:rPr>
          <w:color w:val="auto"/>
        </w:rPr>
        <w:t>2021.10.24；</w:t>
      </w:r>
    </w:p>
    <w:p w14:paraId="302C4A57">
      <w:pPr>
        <w:pStyle w:val="132"/>
        <w:numPr>
          <w:ilvl w:val="0"/>
          <w:numId w:val="13"/>
        </w:numPr>
        <w:ind w:firstLineChars="0"/>
        <w:rPr>
          <w:color w:val="auto"/>
        </w:rPr>
      </w:pPr>
      <w:r>
        <w:rPr>
          <w:rFonts w:hint="eastAsia"/>
          <w:color w:val="auto"/>
        </w:rPr>
        <w:t>《国务院办公厅关于印发新污染物治理行动方案的通知》（国办发〔2022〕15号），2022.5.4。</w:t>
      </w:r>
    </w:p>
    <w:p w14:paraId="2E2CB93C">
      <w:pPr>
        <w:pStyle w:val="4"/>
        <w:rPr>
          <w:color w:val="auto"/>
        </w:rPr>
      </w:pPr>
      <w:bookmarkStart w:id="88" w:name="_Hlk148866815"/>
      <w:r>
        <w:rPr>
          <w:rFonts w:hint="eastAsia"/>
          <w:color w:val="auto"/>
        </w:rPr>
        <w:t>部门规章及规范性文件</w:t>
      </w:r>
      <w:bookmarkEnd w:id="87"/>
    </w:p>
    <w:bookmarkEnd w:id="88"/>
    <w:p w14:paraId="04CAED2C">
      <w:pPr>
        <w:pStyle w:val="132"/>
        <w:numPr>
          <w:ilvl w:val="0"/>
          <w:numId w:val="14"/>
        </w:numPr>
        <w:ind w:firstLineChars="0"/>
        <w:rPr>
          <w:color w:val="auto"/>
        </w:rPr>
      </w:pPr>
      <w:bookmarkStart w:id="89" w:name="_Toc81245379"/>
      <w:r>
        <w:rPr>
          <w:color w:val="auto"/>
        </w:rPr>
        <w:t>《建设项目环境影响评价分类管理名录（2021年版）》</w:t>
      </w:r>
      <w:r>
        <w:rPr>
          <w:rFonts w:hint="eastAsia"/>
          <w:color w:val="auto"/>
        </w:rPr>
        <w:t>（</w:t>
      </w:r>
      <w:r>
        <w:rPr>
          <w:color w:val="auto"/>
        </w:rPr>
        <w:t>生态环境部令第16号</w:t>
      </w:r>
      <w:r>
        <w:rPr>
          <w:rFonts w:hint="eastAsia"/>
          <w:color w:val="auto"/>
        </w:rPr>
        <w:t>）</w:t>
      </w:r>
      <w:r>
        <w:rPr>
          <w:color w:val="auto"/>
        </w:rPr>
        <w:t>，2021.1.1施行</w:t>
      </w:r>
      <w:r>
        <w:rPr>
          <w:rFonts w:hint="eastAsia"/>
          <w:color w:val="auto"/>
        </w:rPr>
        <w:t>；</w:t>
      </w:r>
    </w:p>
    <w:p w14:paraId="77F95133">
      <w:pPr>
        <w:pStyle w:val="132"/>
        <w:numPr>
          <w:ilvl w:val="0"/>
          <w:numId w:val="14"/>
        </w:numPr>
        <w:ind w:firstLineChars="0"/>
        <w:rPr>
          <w:color w:val="auto"/>
        </w:rPr>
      </w:pPr>
      <w:r>
        <w:rPr>
          <w:color w:val="auto"/>
        </w:rPr>
        <w:t>《突发环境事件应急管理办法》</w:t>
      </w:r>
      <w:r>
        <w:rPr>
          <w:rFonts w:hint="eastAsia"/>
          <w:color w:val="auto"/>
        </w:rPr>
        <w:t>（</w:t>
      </w:r>
      <w:r>
        <w:rPr>
          <w:color w:val="auto"/>
        </w:rPr>
        <w:t>环境保护部令第34号</w:t>
      </w:r>
      <w:r>
        <w:rPr>
          <w:rFonts w:hint="eastAsia"/>
          <w:color w:val="auto"/>
        </w:rPr>
        <w:t>）</w:t>
      </w:r>
      <w:r>
        <w:rPr>
          <w:color w:val="auto"/>
        </w:rPr>
        <w:t>，2015.6.5施行；</w:t>
      </w:r>
    </w:p>
    <w:p w14:paraId="32AD15C7">
      <w:pPr>
        <w:pStyle w:val="132"/>
        <w:numPr>
          <w:ilvl w:val="0"/>
          <w:numId w:val="14"/>
        </w:numPr>
        <w:ind w:firstLineChars="0"/>
        <w:rPr>
          <w:color w:val="auto"/>
        </w:rPr>
      </w:pPr>
      <w:r>
        <w:rPr>
          <w:color w:val="auto"/>
        </w:rPr>
        <w:t>《环境影响评价公众参与办法》</w:t>
      </w:r>
      <w:r>
        <w:rPr>
          <w:rFonts w:hint="eastAsia"/>
          <w:color w:val="auto"/>
        </w:rPr>
        <w:t>（</w:t>
      </w:r>
      <w:r>
        <w:rPr>
          <w:color w:val="auto"/>
        </w:rPr>
        <w:t>生态环境部令第4号</w:t>
      </w:r>
      <w:r>
        <w:rPr>
          <w:rFonts w:hint="eastAsia"/>
          <w:color w:val="auto"/>
        </w:rPr>
        <w:t>）</w:t>
      </w:r>
      <w:r>
        <w:rPr>
          <w:color w:val="auto"/>
        </w:rPr>
        <w:t>，2019.1.1施行</w:t>
      </w:r>
      <w:r>
        <w:rPr>
          <w:rFonts w:hint="eastAsia"/>
          <w:color w:val="auto"/>
        </w:rPr>
        <w:t>；</w:t>
      </w:r>
    </w:p>
    <w:p w14:paraId="35293DB3">
      <w:pPr>
        <w:pStyle w:val="132"/>
        <w:numPr>
          <w:ilvl w:val="0"/>
          <w:numId w:val="14"/>
        </w:numPr>
        <w:ind w:firstLineChars="0"/>
        <w:rPr>
          <w:color w:val="auto"/>
        </w:rPr>
      </w:pPr>
      <w:r>
        <w:rPr>
          <w:color w:val="auto"/>
        </w:rPr>
        <w:t>《国家危险废物名录（202</w:t>
      </w:r>
      <w:r>
        <w:rPr>
          <w:rFonts w:hint="eastAsia"/>
          <w:color w:val="auto"/>
        </w:rPr>
        <w:t>5</w:t>
      </w:r>
      <w:r>
        <w:rPr>
          <w:color w:val="auto"/>
        </w:rPr>
        <w:t>年版）》</w:t>
      </w:r>
      <w:r>
        <w:rPr>
          <w:rFonts w:hint="eastAsia"/>
          <w:color w:val="auto"/>
        </w:rPr>
        <w:t>（</w:t>
      </w:r>
      <w:r>
        <w:rPr>
          <w:color w:val="auto"/>
        </w:rPr>
        <w:t>生态环境部令第</w:t>
      </w:r>
      <w:r>
        <w:rPr>
          <w:rFonts w:hint="eastAsia"/>
          <w:color w:val="auto"/>
        </w:rPr>
        <w:t>36</w:t>
      </w:r>
      <w:r>
        <w:rPr>
          <w:color w:val="auto"/>
        </w:rPr>
        <w:t>号</w:t>
      </w:r>
      <w:r>
        <w:rPr>
          <w:rFonts w:hint="eastAsia"/>
          <w:color w:val="auto"/>
        </w:rPr>
        <w:t>）</w:t>
      </w:r>
      <w:r>
        <w:rPr>
          <w:color w:val="auto"/>
        </w:rPr>
        <w:t>，202</w:t>
      </w:r>
      <w:r>
        <w:rPr>
          <w:rFonts w:hint="eastAsia"/>
          <w:color w:val="auto"/>
        </w:rPr>
        <w:t>5</w:t>
      </w:r>
      <w:r>
        <w:rPr>
          <w:color w:val="auto"/>
        </w:rPr>
        <w:t>.1.1施行；</w:t>
      </w:r>
    </w:p>
    <w:p w14:paraId="0A30BDAB">
      <w:pPr>
        <w:pStyle w:val="132"/>
        <w:numPr>
          <w:ilvl w:val="0"/>
          <w:numId w:val="14"/>
        </w:numPr>
        <w:ind w:firstLineChars="0"/>
        <w:rPr>
          <w:color w:val="auto"/>
        </w:rPr>
      </w:pPr>
      <w:r>
        <w:rPr>
          <w:rFonts w:hint="eastAsia"/>
          <w:color w:val="auto"/>
        </w:rPr>
        <w:t>《</w:t>
      </w:r>
      <w:bookmarkStart w:id="90" w:name="OLE_LINK15"/>
      <w:r>
        <w:rPr>
          <w:rFonts w:hint="eastAsia"/>
          <w:color w:val="auto"/>
        </w:rPr>
        <w:t>关于加强危险废物鉴别工作的通知</w:t>
      </w:r>
      <w:bookmarkEnd w:id="90"/>
      <w:r>
        <w:rPr>
          <w:rFonts w:hint="eastAsia"/>
          <w:color w:val="auto"/>
        </w:rPr>
        <w:t>》（环办固体函〔</w:t>
      </w:r>
      <w:r>
        <w:rPr>
          <w:color w:val="auto"/>
        </w:rPr>
        <w:t>2021〕319</w:t>
      </w:r>
      <w:r>
        <w:rPr>
          <w:rFonts w:hint="eastAsia"/>
          <w:color w:val="auto"/>
        </w:rPr>
        <w:t>号），2</w:t>
      </w:r>
      <w:r>
        <w:rPr>
          <w:color w:val="auto"/>
        </w:rPr>
        <w:t>021</w:t>
      </w:r>
      <w:r>
        <w:rPr>
          <w:rFonts w:hint="eastAsia"/>
          <w:color w:val="auto"/>
        </w:rPr>
        <w:t>.9.7；</w:t>
      </w:r>
    </w:p>
    <w:p w14:paraId="0AE90119">
      <w:pPr>
        <w:pStyle w:val="132"/>
        <w:numPr>
          <w:ilvl w:val="0"/>
          <w:numId w:val="14"/>
        </w:numPr>
        <w:ind w:firstLineChars="0"/>
        <w:rPr>
          <w:color w:val="auto"/>
        </w:rPr>
      </w:pPr>
      <w:r>
        <w:rPr>
          <w:color w:val="auto"/>
        </w:rPr>
        <w:t>《危险废物转移管理办法》</w:t>
      </w:r>
      <w:r>
        <w:rPr>
          <w:rFonts w:hint="eastAsia"/>
          <w:color w:val="auto"/>
        </w:rPr>
        <w:t>（</w:t>
      </w:r>
      <w:r>
        <w:rPr>
          <w:color w:val="auto"/>
        </w:rPr>
        <w:t>生态环境部、公安部、交通运输部令第23号</w:t>
      </w:r>
      <w:r>
        <w:rPr>
          <w:rFonts w:hint="eastAsia"/>
          <w:color w:val="auto"/>
        </w:rPr>
        <w:t>）</w:t>
      </w:r>
      <w:r>
        <w:rPr>
          <w:color w:val="auto"/>
        </w:rPr>
        <w:t>，2022.1.1；</w:t>
      </w:r>
    </w:p>
    <w:p w14:paraId="27DBC37F">
      <w:pPr>
        <w:pStyle w:val="132"/>
        <w:numPr>
          <w:ilvl w:val="0"/>
          <w:numId w:val="14"/>
        </w:numPr>
        <w:ind w:firstLineChars="0"/>
        <w:rPr>
          <w:color w:val="auto"/>
        </w:rPr>
      </w:pPr>
      <w:r>
        <w:rPr>
          <w:rFonts w:hint="eastAsia"/>
          <w:color w:val="auto"/>
        </w:rPr>
        <w:t>《关于发布〈建设项目危险废物环境影响评价指南〉的公告》环境保护部2</w:t>
      </w:r>
      <w:r>
        <w:rPr>
          <w:color w:val="auto"/>
        </w:rPr>
        <w:t>017</w:t>
      </w:r>
      <w:r>
        <w:rPr>
          <w:rFonts w:hint="eastAsia"/>
          <w:color w:val="auto"/>
        </w:rPr>
        <w:t>年第4</w:t>
      </w:r>
      <w:r>
        <w:rPr>
          <w:color w:val="auto"/>
        </w:rPr>
        <w:t>3</w:t>
      </w:r>
      <w:r>
        <w:rPr>
          <w:rFonts w:hint="eastAsia"/>
          <w:color w:val="auto"/>
        </w:rPr>
        <w:t>号公告，2</w:t>
      </w:r>
      <w:r>
        <w:rPr>
          <w:color w:val="auto"/>
        </w:rPr>
        <w:t>017</w:t>
      </w:r>
      <w:r>
        <w:rPr>
          <w:rFonts w:hint="eastAsia"/>
          <w:color w:val="auto"/>
        </w:rPr>
        <w:t>.9.1；</w:t>
      </w:r>
    </w:p>
    <w:p w14:paraId="34E7A772">
      <w:pPr>
        <w:pStyle w:val="132"/>
        <w:numPr>
          <w:ilvl w:val="0"/>
          <w:numId w:val="14"/>
        </w:numPr>
        <w:ind w:firstLineChars="0"/>
        <w:rPr>
          <w:color w:val="auto"/>
        </w:rPr>
      </w:pPr>
      <w:r>
        <w:rPr>
          <w:rFonts w:hint="eastAsia"/>
          <w:color w:val="auto"/>
        </w:rPr>
        <w:t>《关于下放危险废物经营许可审批工作的通知》（环办函〔</w:t>
      </w:r>
      <w:r>
        <w:rPr>
          <w:color w:val="auto"/>
        </w:rPr>
        <w:t>2014〕</w:t>
      </w:r>
      <w:r>
        <w:rPr>
          <w:rFonts w:hint="eastAsia"/>
          <w:color w:val="auto"/>
        </w:rPr>
        <w:t>5</w:t>
      </w:r>
      <w:r>
        <w:rPr>
          <w:color w:val="auto"/>
        </w:rPr>
        <w:t>51</w:t>
      </w:r>
      <w:r>
        <w:rPr>
          <w:rFonts w:hint="eastAsia"/>
          <w:color w:val="auto"/>
        </w:rPr>
        <w:t>号</w:t>
      </w:r>
      <w:r>
        <w:rPr>
          <w:rFonts w:hint="eastAsia"/>
          <w:color w:val="auto"/>
          <w:lang w:eastAsia="zh-CN"/>
        </w:rPr>
        <w:t>）</w:t>
      </w:r>
      <w:r>
        <w:rPr>
          <w:rFonts w:hint="eastAsia"/>
          <w:color w:val="auto"/>
        </w:rPr>
        <w:t>，20</w:t>
      </w:r>
      <w:r>
        <w:rPr>
          <w:color w:val="auto"/>
        </w:rPr>
        <w:t>14</w:t>
      </w:r>
      <w:r>
        <w:rPr>
          <w:rFonts w:hint="eastAsia"/>
          <w:color w:val="auto"/>
        </w:rPr>
        <w:t>.</w:t>
      </w:r>
      <w:r>
        <w:rPr>
          <w:color w:val="auto"/>
        </w:rPr>
        <w:t>5</w:t>
      </w:r>
      <w:r>
        <w:rPr>
          <w:rFonts w:hint="eastAsia"/>
          <w:color w:val="auto"/>
        </w:rPr>
        <w:t>.</w:t>
      </w:r>
      <w:r>
        <w:rPr>
          <w:color w:val="auto"/>
        </w:rPr>
        <w:t>12</w:t>
      </w:r>
      <w:r>
        <w:rPr>
          <w:rFonts w:hint="eastAsia"/>
          <w:color w:val="auto"/>
        </w:rPr>
        <w:t>；</w:t>
      </w:r>
    </w:p>
    <w:p w14:paraId="360F7EC1">
      <w:pPr>
        <w:pStyle w:val="132"/>
        <w:numPr>
          <w:ilvl w:val="0"/>
          <w:numId w:val="14"/>
        </w:numPr>
        <w:ind w:firstLineChars="0"/>
        <w:rPr>
          <w:color w:val="auto"/>
        </w:rPr>
      </w:pPr>
      <w:r>
        <w:rPr>
          <w:rFonts w:hint="eastAsia"/>
          <w:color w:val="auto"/>
        </w:rPr>
        <w:t>《危险废物污染防治技术政策》（环发〔</w:t>
      </w:r>
      <w:r>
        <w:rPr>
          <w:color w:val="auto"/>
        </w:rPr>
        <w:t>2001〕199</w:t>
      </w:r>
      <w:r>
        <w:rPr>
          <w:rFonts w:hint="eastAsia"/>
          <w:color w:val="auto"/>
        </w:rPr>
        <w:t>号），2</w:t>
      </w:r>
      <w:r>
        <w:rPr>
          <w:color w:val="auto"/>
        </w:rPr>
        <w:t>001</w:t>
      </w:r>
      <w:r>
        <w:rPr>
          <w:rFonts w:hint="eastAsia"/>
          <w:color w:val="auto"/>
        </w:rPr>
        <w:t>.1</w:t>
      </w:r>
      <w:r>
        <w:rPr>
          <w:color w:val="auto"/>
        </w:rPr>
        <w:t>2</w:t>
      </w:r>
      <w:r>
        <w:rPr>
          <w:rFonts w:hint="eastAsia"/>
          <w:color w:val="auto"/>
        </w:rPr>
        <w:t>.1</w:t>
      </w:r>
      <w:r>
        <w:rPr>
          <w:color w:val="auto"/>
        </w:rPr>
        <w:t>7</w:t>
      </w:r>
      <w:r>
        <w:rPr>
          <w:rFonts w:hint="eastAsia"/>
          <w:color w:val="auto"/>
        </w:rPr>
        <w:t>；</w:t>
      </w:r>
    </w:p>
    <w:p w14:paraId="0B7E90C0">
      <w:pPr>
        <w:pStyle w:val="132"/>
        <w:numPr>
          <w:ilvl w:val="0"/>
          <w:numId w:val="14"/>
        </w:numPr>
        <w:ind w:firstLineChars="0"/>
        <w:rPr>
          <w:color w:val="auto"/>
        </w:rPr>
      </w:pPr>
      <w:r>
        <w:rPr>
          <w:rFonts w:hint="eastAsia"/>
          <w:color w:val="auto"/>
        </w:rPr>
        <w:t>《关于进一步加强危险废物规范化环境管理有关工作的通知》（环办固体〔2023〕17 号）；</w:t>
      </w:r>
    </w:p>
    <w:p w14:paraId="1183D90A">
      <w:pPr>
        <w:pStyle w:val="132"/>
        <w:numPr>
          <w:ilvl w:val="0"/>
          <w:numId w:val="14"/>
        </w:numPr>
        <w:ind w:firstLineChars="0"/>
        <w:rPr>
          <w:color w:val="auto"/>
        </w:rPr>
      </w:pPr>
      <w:r>
        <w:rPr>
          <w:color w:val="auto"/>
        </w:rPr>
        <w:t>《关于印发</w:t>
      </w:r>
      <w:r>
        <w:rPr>
          <w:rFonts w:hint="eastAsia"/>
          <w:color w:val="auto"/>
        </w:rPr>
        <w:t>〈建设项目主要污染物排放总量指标审核及管理暂行办法〉</w:t>
      </w:r>
      <w:r>
        <w:rPr>
          <w:color w:val="auto"/>
        </w:rPr>
        <w:t>的通知》</w:t>
      </w:r>
      <w:r>
        <w:rPr>
          <w:rFonts w:hint="eastAsia"/>
          <w:color w:val="auto"/>
        </w:rPr>
        <w:t>（</w:t>
      </w:r>
      <w:r>
        <w:rPr>
          <w:color w:val="auto"/>
        </w:rPr>
        <w:t>环发</w:t>
      </w:r>
      <w:r>
        <w:rPr>
          <w:rFonts w:hint="eastAsia"/>
          <w:color w:val="auto"/>
        </w:rPr>
        <w:t>〔</w:t>
      </w:r>
      <w:r>
        <w:rPr>
          <w:color w:val="auto"/>
        </w:rPr>
        <w:t>2014</w:t>
      </w:r>
      <w:r>
        <w:rPr>
          <w:rFonts w:hint="eastAsia"/>
          <w:color w:val="auto"/>
        </w:rPr>
        <w:t>〕</w:t>
      </w:r>
      <w:r>
        <w:rPr>
          <w:color w:val="auto"/>
        </w:rPr>
        <w:t>197号</w:t>
      </w:r>
      <w:r>
        <w:rPr>
          <w:rFonts w:hint="eastAsia"/>
          <w:color w:val="auto"/>
        </w:rPr>
        <w:t>）</w:t>
      </w:r>
      <w:r>
        <w:rPr>
          <w:color w:val="auto"/>
        </w:rPr>
        <w:t>，2014.12.30；</w:t>
      </w:r>
    </w:p>
    <w:p w14:paraId="0A2A0C75">
      <w:pPr>
        <w:pStyle w:val="132"/>
        <w:numPr>
          <w:ilvl w:val="0"/>
          <w:numId w:val="14"/>
        </w:numPr>
        <w:ind w:firstLineChars="0"/>
        <w:rPr>
          <w:color w:val="auto"/>
        </w:rPr>
      </w:pPr>
      <w:r>
        <w:rPr>
          <w:color w:val="auto"/>
        </w:rPr>
        <w:t>《关于加强规划环境影响评价与建设项目环境影响评价联动工作的意见》</w:t>
      </w:r>
      <w:r>
        <w:rPr>
          <w:rFonts w:hint="eastAsia"/>
          <w:color w:val="auto"/>
        </w:rPr>
        <w:t>（</w:t>
      </w:r>
      <w:r>
        <w:rPr>
          <w:color w:val="auto"/>
        </w:rPr>
        <w:t>环发</w:t>
      </w:r>
      <w:r>
        <w:rPr>
          <w:rFonts w:hint="eastAsia"/>
          <w:color w:val="auto"/>
        </w:rPr>
        <w:t>〔</w:t>
      </w:r>
      <w:r>
        <w:rPr>
          <w:color w:val="auto"/>
        </w:rPr>
        <w:t>2015</w:t>
      </w:r>
      <w:r>
        <w:rPr>
          <w:rFonts w:hint="eastAsia"/>
          <w:color w:val="auto"/>
        </w:rPr>
        <w:t>〕</w:t>
      </w:r>
      <w:r>
        <w:rPr>
          <w:color w:val="auto"/>
        </w:rPr>
        <w:t>178号</w:t>
      </w:r>
      <w:r>
        <w:rPr>
          <w:rFonts w:hint="eastAsia"/>
          <w:color w:val="auto"/>
        </w:rPr>
        <w:t>）</w:t>
      </w:r>
      <w:r>
        <w:rPr>
          <w:color w:val="auto"/>
        </w:rPr>
        <w:t>，2015.12.30；</w:t>
      </w:r>
    </w:p>
    <w:p w14:paraId="0A2CA459">
      <w:pPr>
        <w:pStyle w:val="132"/>
        <w:numPr>
          <w:ilvl w:val="0"/>
          <w:numId w:val="14"/>
        </w:numPr>
        <w:ind w:firstLineChars="0"/>
        <w:rPr>
          <w:color w:val="auto"/>
        </w:rPr>
      </w:pPr>
      <w:r>
        <w:rPr>
          <w:rFonts w:hint="eastAsia"/>
          <w:color w:val="auto"/>
        </w:rPr>
        <w:t>《</w:t>
      </w:r>
      <w:r>
        <w:rPr>
          <w:color w:val="auto"/>
        </w:rPr>
        <w:t>关于以改善环境质量为核心加强环境影响评价管理的通知</w:t>
      </w:r>
      <w:r>
        <w:rPr>
          <w:rFonts w:hint="eastAsia"/>
          <w:color w:val="auto"/>
        </w:rPr>
        <w:t>》（</w:t>
      </w:r>
      <w:r>
        <w:rPr>
          <w:color w:val="auto"/>
        </w:rPr>
        <w:t>环环评</w:t>
      </w:r>
      <w:r>
        <w:rPr>
          <w:rFonts w:hint="eastAsia"/>
          <w:color w:val="auto"/>
        </w:rPr>
        <w:t>〔</w:t>
      </w:r>
      <w:r>
        <w:rPr>
          <w:color w:val="auto"/>
        </w:rPr>
        <w:t>2016</w:t>
      </w:r>
      <w:r>
        <w:rPr>
          <w:rFonts w:hint="eastAsia"/>
          <w:color w:val="auto"/>
        </w:rPr>
        <w:t>〕</w:t>
      </w:r>
      <w:r>
        <w:rPr>
          <w:color w:val="auto"/>
        </w:rPr>
        <w:t>150号</w:t>
      </w:r>
      <w:r>
        <w:rPr>
          <w:rFonts w:hint="eastAsia"/>
          <w:color w:val="auto"/>
        </w:rPr>
        <w:t>）</w:t>
      </w:r>
      <w:r>
        <w:rPr>
          <w:color w:val="auto"/>
        </w:rPr>
        <w:t>，2016.10.27；</w:t>
      </w:r>
    </w:p>
    <w:p w14:paraId="6DA99484">
      <w:pPr>
        <w:pStyle w:val="132"/>
        <w:numPr>
          <w:ilvl w:val="0"/>
          <w:numId w:val="14"/>
        </w:numPr>
        <w:ind w:firstLineChars="0"/>
        <w:rPr>
          <w:color w:val="auto"/>
        </w:rPr>
      </w:pPr>
      <w:r>
        <w:rPr>
          <w:rFonts w:hint="eastAsia"/>
          <w:color w:val="auto"/>
        </w:rPr>
        <w:t>《关于印发〈全面实行排污许可制实施方案〉的通知》（</w:t>
      </w:r>
      <w:r>
        <w:rPr>
          <w:color w:val="auto"/>
        </w:rPr>
        <w:t>环环评</w:t>
      </w:r>
      <w:r>
        <w:rPr>
          <w:rFonts w:hint="eastAsia"/>
          <w:color w:val="auto"/>
        </w:rPr>
        <w:t>〔2024〕79</w:t>
      </w:r>
      <w:r>
        <w:rPr>
          <w:color w:val="auto"/>
        </w:rPr>
        <w:t>号</w:t>
      </w:r>
      <w:r>
        <w:rPr>
          <w:rFonts w:hint="eastAsia"/>
          <w:color w:val="auto"/>
        </w:rPr>
        <w:t>）</w:t>
      </w:r>
      <w:r>
        <w:rPr>
          <w:color w:val="auto"/>
        </w:rPr>
        <w:t>，20</w:t>
      </w:r>
      <w:r>
        <w:rPr>
          <w:rFonts w:hint="eastAsia"/>
          <w:color w:val="auto"/>
        </w:rPr>
        <w:t>24.11.3</w:t>
      </w:r>
      <w:r>
        <w:rPr>
          <w:color w:val="auto"/>
        </w:rPr>
        <w:t>；</w:t>
      </w:r>
    </w:p>
    <w:p w14:paraId="1DB36FE9">
      <w:pPr>
        <w:pStyle w:val="132"/>
        <w:numPr>
          <w:ilvl w:val="0"/>
          <w:numId w:val="14"/>
        </w:numPr>
        <w:ind w:firstLineChars="0"/>
        <w:rPr>
          <w:color w:val="auto"/>
        </w:rPr>
      </w:pPr>
      <w:r>
        <w:rPr>
          <w:color w:val="auto"/>
        </w:rPr>
        <w:t>《有毒有害大气污染物名录（2018年）》</w:t>
      </w:r>
      <w:r>
        <w:rPr>
          <w:rFonts w:hint="eastAsia"/>
          <w:color w:val="auto"/>
        </w:rPr>
        <w:t>（</w:t>
      </w:r>
      <w:r>
        <w:rPr>
          <w:color w:val="auto"/>
        </w:rPr>
        <w:t>生态环境部、国家卫生健康委员会公告2019年第4号</w:t>
      </w:r>
      <w:r>
        <w:rPr>
          <w:rFonts w:hint="eastAsia"/>
          <w:color w:val="auto"/>
        </w:rPr>
        <w:t>）</w:t>
      </w:r>
      <w:r>
        <w:rPr>
          <w:color w:val="auto"/>
        </w:rPr>
        <w:t>，2019.1.23；</w:t>
      </w:r>
    </w:p>
    <w:p w14:paraId="07D8FD1D">
      <w:pPr>
        <w:pStyle w:val="132"/>
        <w:numPr>
          <w:ilvl w:val="0"/>
          <w:numId w:val="14"/>
        </w:numPr>
        <w:ind w:firstLineChars="0"/>
        <w:rPr>
          <w:color w:val="auto"/>
        </w:rPr>
      </w:pPr>
      <w:r>
        <w:rPr>
          <w:rFonts w:hint="eastAsia"/>
          <w:color w:val="auto"/>
        </w:rPr>
        <w:t>《</w:t>
      </w:r>
      <w:r>
        <w:rPr>
          <w:color w:val="auto"/>
        </w:rPr>
        <w:t>关于加强重点行业建设项目区域削减措施监督管理的通知</w:t>
      </w:r>
      <w:r>
        <w:rPr>
          <w:rFonts w:hint="eastAsia"/>
          <w:color w:val="auto"/>
        </w:rPr>
        <w:t>》（</w:t>
      </w:r>
      <w:r>
        <w:rPr>
          <w:color w:val="auto"/>
        </w:rPr>
        <w:t>环办环评</w:t>
      </w:r>
      <w:r>
        <w:rPr>
          <w:rFonts w:hint="eastAsia"/>
          <w:color w:val="auto"/>
        </w:rPr>
        <w:t>〔</w:t>
      </w:r>
      <w:r>
        <w:rPr>
          <w:color w:val="auto"/>
        </w:rPr>
        <w:t>2020</w:t>
      </w:r>
      <w:r>
        <w:rPr>
          <w:rFonts w:hint="eastAsia"/>
          <w:color w:val="auto"/>
        </w:rPr>
        <w:t>〕</w:t>
      </w:r>
      <w:r>
        <w:rPr>
          <w:color w:val="auto"/>
        </w:rPr>
        <w:t>36号</w:t>
      </w:r>
      <w:r>
        <w:rPr>
          <w:rFonts w:hint="eastAsia"/>
          <w:color w:val="auto"/>
        </w:rPr>
        <w:t>）</w:t>
      </w:r>
      <w:r>
        <w:rPr>
          <w:color w:val="auto"/>
        </w:rPr>
        <w:t>，2020.12.31；</w:t>
      </w:r>
    </w:p>
    <w:p w14:paraId="2A72EF3E">
      <w:pPr>
        <w:pStyle w:val="132"/>
        <w:numPr>
          <w:ilvl w:val="0"/>
          <w:numId w:val="14"/>
        </w:numPr>
        <w:ind w:firstLineChars="0"/>
        <w:rPr>
          <w:color w:val="auto"/>
        </w:rPr>
      </w:pPr>
      <w:r>
        <w:rPr>
          <w:rFonts w:hint="eastAsia"/>
          <w:color w:val="auto"/>
        </w:rPr>
        <w:t>《</w:t>
      </w:r>
      <w:r>
        <w:rPr>
          <w:color w:val="auto"/>
        </w:rPr>
        <w:t>关于开展重点行业建设项目碳排放环境影响评价试点的通知</w:t>
      </w:r>
      <w:r>
        <w:rPr>
          <w:rFonts w:hint="eastAsia"/>
          <w:color w:val="auto"/>
        </w:rPr>
        <w:t>》（</w:t>
      </w:r>
      <w:r>
        <w:rPr>
          <w:color w:val="auto"/>
        </w:rPr>
        <w:t>环办环评函</w:t>
      </w:r>
      <w:r>
        <w:rPr>
          <w:rFonts w:hint="eastAsia"/>
          <w:color w:val="auto"/>
        </w:rPr>
        <w:t>〔</w:t>
      </w:r>
      <w:r>
        <w:rPr>
          <w:color w:val="auto"/>
        </w:rPr>
        <w:t>2021</w:t>
      </w:r>
      <w:r>
        <w:rPr>
          <w:rFonts w:hint="eastAsia"/>
          <w:color w:val="auto"/>
        </w:rPr>
        <w:t>〕</w:t>
      </w:r>
      <w:r>
        <w:rPr>
          <w:color w:val="auto"/>
        </w:rPr>
        <w:t>346号</w:t>
      </w:r>
      <w:r>
        <w:rPr>
          <w:rFonts w:hint="eastAsia"/>
          <w:color w:val="auto"/>
        </w:rPr>
        <w:t>）</w:t>
      </w:r>
      <w:r>
        <w:rPr>
          <w:color w:val="auto"/>
        </w:rPr>
        <w:t>，2021.7.26；</w:t>
      </w:r>
    </w:p>
    <w:p w14:paraId="1650EFB9">
      <w:pPr>
        <w:pStyle w:val="132"/>
        <w:numPr>
          <w:ilvl w:val="0"/>
          <w:numId w:val="14"/>
        </w:numPr>
        <w:ind w:firstLineChars="0"/>
        <w:rPr>
          <w:color w:val="auto"/>
        </w:rPr>
      </w:pPr>
      <w:r>
        <w:rPr>
          <w:color w:val="auto"/>
        </w:rPr>
        <w:t>《关于印发</w:t>
      </w:r>
      <w:r>
        <w:rPr>
          <w:rFonts w:hint="eastAsia"/>
          <w:color w:val="auto"/>
        </w:rPr>
        <w:t>环境影响评价与排污许可领域协同推进碳减排工作方案</w:t>
      </w:r>
      <w:r>
        <w:rPr>
          <w:color w:val="auto"/>
        </w:rPr>
        <w:t>的通知》</w:t>
      </w:r>
      <w:r>
        <w:rPr>
          <w:rFonts w:hint="eastAsia"/>
          <w:color w:val="auto"/>
        </w:rPr>
        <w:t>（</w:t>
      </w:r>
      <w:r>
        <w:rPr>
          <w:color w:val="auto"/>
        </w:rPr>
        <w:t>环办环评函</w:t>
      </w:r>
      <w:r>
        <w:rPr>
          <w:rFonts w:hint="eastAsia"/>
          <w:color w:val="auto"/>
        </w:rPr>
        <w:t>〔</w:t>
      </w:r>
      <w:r>
        <w:rPr>
          <w:color w:val="auto"/>
        </w:rPr>
        <w:t>2021</w:t>
      </w:r>
      <w:r>
        <w:rPr>
          <w:rFonts w:hint="eastAsia"/>
          <w:color w:val="auto"/>
        </w:rPr>
        <w:t>〕</w:t>
      </w:r>
      <w:r>
        <w:rPr>
          <w:color w:val="auto"/>
        </w:rPr>
        <w:t>277号</w:t>
      </w:r>
      <w:r>
        <w:rPr>
          <w:rFonts w:hint="eastAsia"/>
          <w:color w:val="auto"/>
        </w:rPr>
        <w:t>）</w:t>
      </w:r>
      <w:r>
        <w:rPr>
          <w:color w:val="auto"/>
        </w:rPr>
        <w:t>，2021.10.29</w:t>
      </w:r>
      <w:r>
        <w:rPr>
          <w:rFonts w:hint="eastAsia"/>
          <w:color w:val="auto"/>
        </w:rPr>
        <w:t>。</w:t>
      </w:r>
    </w:p>
    <w:p w14:paraId="3A0949A6">
      <w:pPr>
        <w:pStyle w:val="4"/>
        <w:rPr>
          <w:color w:val="auto"/>
        </w:rPr>
      </w:pPr>
      <w:r>
        <w:rPr>
          <w:rFonts w:hint="eastAsia"/>
          <w:color w:val="auto"/>
        </w:rPr>
        <w:t>地方性政策</w:t>
      </w:r>
      <w:bookmarkEnd w:id="89"/>
    </w:p>
    <w:p w14:paraId="115B3D0D">
      <w:pPr>
        <w:pStyle w:val="132"/>
        <w:numPr>
          <w:ilvl w:val="0"/>
          <w:numId w:val="15"/>
        </w:numPr>
        <w:ind w:firstLineChars="0"/>
        <w:rPr>
          <w:color w:val="auto"/>
        </w:rPr>
      </w:pPr>
      <w:bookmarkStart w:id="91" w:name="_Toc81245380"/>
      <w:bookmarkStart w:id="92" w:name="_Hlk148867000"/>
      <w:r>
        <w:rPr>
          <w:rFonts w:hint="eastAsia"/>
          <w:color w:val="auto"/>
        </w:rPr>
        <w:t>《新疆维吾尔自治区环境保护条例》（2018修订），2018.09.21；</w:t>
      </w:r>
    </w:p>
    <w:p w14:paraId="7441C3BB">
      <w:pPr>
        <w:pStyle w:val="132"/>
        <w:numPr>
          <w:ilvl w:val="0"/>
          <w:numId w:val="15"/>
        </w:numPr>
        <w:ind w:firstLineChars="0"/>
        <w:rPr>
          <w:color w:val="auto"/>
        </w:rPr>
      </w:pPr>
      <w:r>
        <w:rPr>
          <w:rFonts w:hint="eastAsia"/>
          <w:color w:val="auto"/>
        </w:rPr>
        <w:t>《新疆</w:t>
      </w:r>
      <w:r>
        <w:rPr>
          <w:color w:val="auto"/>
        </w:rPr>
        <w:t>维吾尔自治区</w:t>
      </w:r>
      <w:r>
        <w:rPr>
          <w:rFonts w:hint="eastAsia"/>
          <w:color w:val="auto"/>
        </w:rPr>
        <w:t>重点行业生态环境准入条件（2024年）》（新环环评发</w:t>
      </w:r>
      <w:r>
        <w:rPr>
          <w:color w:val="auto"/>
        </w:rPr>
        <w:t>〔202</w:t>
      </w:r>
      <w:r>
        <w:rPr>
          <w:rFonts w:hint="eastAsia"/>
          <w:color w:val="auto"/>
        </w:rPr>
        <w:t>4</w:t>
      </w:r>
      <w:r>
        <w:rPr>
          <w:color w:val="auto"/>
        </w:rPr>
        <w:t>〕</w:t>
      </w:r>
      <w:r>
        <w:rPr>
          <w:rFonts w:hint="eastAsia"/>
          <w:color w:val="auto"/>
        </w:rPr>
        <w:t>93</w:t>
      </w:r>
      <w:r>
        <w:rPr>
          <w:color w:val="auto"/>
        </w:rPr>
        <w:t>号</w:t>
      </w:r>
      <w:r>
        <w:rPr>
          <w:rFonts w:hint="eastAsia"/>
          <w:color w:val="auto"/>
        </w:rPr>
        <w:t>）；</w:t>
      </w:r>
    </w:p>
    <w:p w14:paraId="19FEDCFD">
      <w:pPr>
        <w:pStyle w:val="132"/>
        <w:numPr>
          <w:ilvl w:val="0"/>
          <w:numId w:val="15"/>
        </w:numPr>
        <w:ind w:firstLineChars="0"/>
        <w:rPr>
          <w:color w:val="auto"/>
        </w:rPr>
      </w:pPr>
      <w:r>
        <w:rPr>
          <w:rFonts w:hint="eastAsia"/>
          <w:color w:val="auto"/>
        </w:rPr>
        <w:t>《新疆维吾尔自治区水污染防治工作方案》（新疆维吾尔自治区人民政府，2016.1.29）；</w:t>
      </w:r>
    </w:p>
    <w:p w14:paraId="617099B8">
      <w:pPr>
        <w:pStyle w:val="132"/>
        <w:numPr>
          <w:ilvl w:val="0"/>
          <w:numId w:val="15"/>
        </w:numPr>
        <w:ind w:firstLineChars="0"/>
        <w:rPr>
          <w:color w:val="auto"/>
        </w:rPr>
      </w:pPr>
      <w:r>
        <w:rPr>
          <w:rFonts w:hint="eastAsia"/>
          <w:color w:val="auto"/>
        </w:rPr>
        <w:t>《新疆维吾尔自治区土壤污染防治工作方案》（新疆维吾尔自治区人民政府，2017.3.20）；</w:t>
      </w:r>
    </w:p>
    <w:p w14:paraId="37C61072">
      <w:pPr>
        <w:pStyle w:val="132"/>
        <w:numPr>
          <w:ilvl w:val="0"/>
          <w:numId w:val="15"/>
        </w:numPr>
        <w:ind w:firstLineChars="0"/>
        <w:rPr>
          <w:color w:val="auto"/>
        </w:rPr>
      </w:pPr>
      <w:r>
        <w:rPr>
          <w:rFonts w:hint="eastAsia"/>
          <w:color w:val="auto"/>
        </w:rPr>
        <w:t>《新疆维吾尔自治区大气污染防治条例（2019年）》；</w:t>
      </w:r>
    </w:p>
    <w:p w14:paraId="4471AEC5">
      <w:pPr>
        <w:pStyle w:val="132"/>
        <w:numPr>
          <w:ilvl w:val="0"/>
          <w:numId w:val="15"/>
        </w:numPr>
        <w:ind w:firstLineChars="0"/>
        <w:rPr>
          <w:color w:val="auto"/>
        </w:rPr>
      </w:pPr>
      <w:r>
        <w:rPr>
          <w:rFonts w:hint="eastAsia"/>
          <w:color w:val="auto"/>
        </w:rPr>
        <w:t>《关于新疆维吾尔自治区2025年危险废物利用处置能力建设投资引导性公告》（公告〔2025〕1号），2</w:t>
      </w:r>
      <w:r>
        <w:rPr>
          <w:color w:val="auto"/>
        </w:rPr>
        <w:t>02</w:t>
      </w:r>
      <w:r>
        <w:rPr>
          <w:rFonts w:hint="eastAsia"/>
          <w:color w:val="auto"/>
        </w:rPr>
        <w:t>5.1.13；</w:t>
      </w:r>
    </w:p>
    <w:p w14:paraId="584A8EBC">
      <w:pPr>
        <w:pStyle w:val="132"/>
        <w:numPr>
          <w:ilvl w:val="0"/>
          <w:numId w:val="15"/>
        </w:numPr>
        <w:ind w:firstLineChars="0"/>
        <w:rPr>
          <w:color w:val="auto"/>
        </w:rPr>
      </w:pPr>
      <w:r>
        <w:rPr>
          <w:rFonts w:hint="eastAsia"/>
          <w:color w:val="auto"/>
        </w:rPr>
        <w:t>《关于印发〈新疆维吾尔自治区工业能效提升行动计划〉的通知》（新工信节能</w:t>
      </w:r>
      <w:r>
        <w:rPr>
          <w:color w:val="auto"/>
        </w:rPr>
        <w:t>〔202</w:t>
      </w:r>
      <w:r>
        <w:rPr>
          <w:rFonts w:hint="eastAsia"/>
          <w:color w:val="auto"/>
        </w:rPr>
        <w:t>4</w:t>
      </w:r>
      <w:r>
        <w:rPr>
          <w:color w:val="auto"/>
        </w:rPr>
        <w:t>〕</w:t>
      </w:r>
      <w:r>
        <w:rPr>
          <w:rFonts w:hint="eastAsia"/>
          <w:color w:val="auto"/>
        </w:rPr>
        <w:t>6号）；</w:t>
      </w:r>
    </w:p>
    <w:p w14:paraId="3F52B3F7">
      <w:pPr>
        <w:pStyle w:val="132"/>
        <w:numPr>
          <w:ilvl w:val="0"/>
          <w:numId w:val="15"/>
        </w:numPr>
        <w:ind w:firstLineChars="0"/>
        <w:rPr>
          <w:color w:val="auto"/>
        </w:rPr>
      </w:pPr>
      <w:r>
        <w:rPr>
          <w:rFonts w:hint="eastAsia"/>
          <w:color w:val="auto"/>
        </w:rPr>
        <w:t>《关于印发〈新疆维吾尔自治区工业炉窑大气污染综合治理实施方案〉的通知》（新大气发</w:t>
      </w:r>
      <w:r>
        <w:rPr>
          <w:color w:val="auto"/>
        </w:rPr>
        <w:t>〔20</w:t>
      </w:r>
      <w:r>
        <w:rPr>
          <w:rFonts w:hint="eastAsia"/>
          <w:color w:val="auto"/>
        </w:rPr>
        <w:t>19</w:t>
      </w:r>
      <w:r>
        <w:rPr>
          <w:color w:val="auto"/>
        </w:rPr>
        <w:t>〕</w:t>
      </w:r>
      <w:r>
        <w:rPr>
          <w:rFonts w:hint="eastAsia"/>
          <w:color w:val="auto"/>
        </w:rPr>
        <w:t>127</w:t>
      </w:r>
      <w:r>
        <w:rPr>
          <w:color w:val="auto"/>
        </w:rPr>
        <w:t>号</w:t>
      </w:r>
      <w:r>
        <w:rPr>
          <w:rFonts w:hint="eastAsia"/>
          <w:color w:val="auto"/>
        </w:rPr>
        <w:t>）。</w:t>
      </w:r>
    </w:p>
    <w:p w14:paraId="62CED342">
      <w:pPr>
        <w:pStyle w:val="4"/>
        <w:rPr>
          <w:color w:val="auto"/>
        </w:rPr>
      </w:pPr>
      <w:r>
        <w:rPr>
          <w:rFonts w:hint="eastAsia"/>
          <w:color w:val="auto"/>
        </w:rPr>
        <w:t>相关规划文件</w:t>
      </w:r>
      <w:bookmarkEnd w:id="91"/>
    </w:p>
    <w:bookmarkEnd w:id="92"/>
    <w:p w14:paraId="338B8496">
      <w:pPr>
        <w:pStyle w:val="132"/>
        <w:numPr>
          <w:ilvl w:val="0"/>
          <w:numId w:val="16"/>
        </w:numPr>
        <w:ind w:firstLineChars="0"/>
        <w:rPr>
          <w:color w:val="auto"/>
        </w:rPr>
      </w:pPr>
      <w:bookmarkStart w:id="93" w:name="_Toc81245381"/>
      <w:bookmarkStart w:id="94" w:name="_Hlk148867114"/>
      <w:r>
        <w:rPr>
          <w:rFonts w:hint="eastAsia"/>
          <w:color w:val="auto"/>
        </w:rPr>
        <w:t>《工业绿色发展规划（2016—2020年）》；</w:t>
      </w:r>
    </w:p>
    <w:p w14:paraId="0A6A40C4">
      <w:pPr>
        <w:pStyle w:val="132"/>
        <w:numPr>
          <w:ilvl w:val="0"/>
          <w:numId w:val="16"/>
        </w:numPr>
        <w:ind w:firstLineChars="0"/>
        <w:rPr>
          <w:color w:val="auto"/>
        </w:rPr>
      </w:pPr>
      <w:r>
        <w:rPr>
          <w:rFonts w:hint="eastAsia"/>
          <w:color w:val="auto"/>
        </w:rPr>
        <w:t>《新疆维吾尔自治区土地利用总体规划（2006—2020年）》；</w:t>
      </w:r>
    </w:p>
    <w:p w14:paraId="2943639D">
      <w:pPr>
        <w:pStyle w:val="132"/>
        <w:numPr>
          <w:ilvl w:val="0"/>
          <w:numId w:val="16"/>
        </w:numPr>
        <w:ind w:firstLineChars="0"/>
        <w:rPr>
          <w:color w:val="auto"/>
        </w:rPr>
      </w:pPr>
      <w:r>
        <w:rPr>
          <w:rFonts w:hint="eastAsia"/>
          <w:color w:val="auto"/>
        </w:rPr>
        <w:t>《新疆主体功能区规划》（2012版）；</w:t>
      </w:r>
    </w:p>
    <w:p w14:paraId="195151A8">
      <w:pPr>
        <w:pStyle w:val="132"/>
        <w:numPr>
          <w:ilvl w:val="0"/>
          <w:numId w:val="16"/>
        </w:numPr>
        <w:ind w:firstLineChars="0"/>
        <w:rPr>
          <w:color w:val="auto"/>
        </w:rPr>
      </w:pPr>
      <w:r>
        <w:rPr>
          <w:rFonts w:hint="eastAsia"/>
          <w:color w:val="auto"/>
        </w:rPr>
        <w:t>《新疆维吾尔自治区国民经济和社会发展第十四个五年规划和2035年远景目标纲要》；</w:t>
      </w:r>
    </w:p>
    <w:p w14:paraId="5FB668C7">
      <w:pPr>
        <w:pStyle w:val="132"/>
        <w:numPr>
          <w:ilvl w:val="0"/>
          <w:numId w:val="16"/>
        </w:numPr>
        <w:ind w:firstLineChars="0"/>
        <w:rPr>
          <w:color w:val="auto"/>
        </w:rPr>
      </w:pPr>
      <w:r>
        <w:rPr>
          <w:rFonts w:hint="eastAsia"/>
          <w:color w:val="auto"/>
        </w:rPr>
        <w:t>《中国新疆水环境功能区划》（新政函〔2002〕194号），2002.1.16；</w:t>
      </w:r>
    </w:p>
    <w:p w14:paraId="73DE96D2">
      <w:pPr>
        <w:pStyle w:val="132"/>
        <w:numPr>
          <w:ilvl w:val="0"/>
          <w:numId w:val="16"/>
        </w:numPr>
        <w:ind w:firstLineChars="0"/>
        <w:rPr>
          <w:color w:val="auto"/>
        </w:rPr>
      </w:pPr>
      <w:r>
        <w:rPr>
          <w:rFonts w:hint="eastAsia"/>
          <w:color w:val="auto"/>
        </w:rPr>
        <w:t>《新疆维吾尔自治区水土保持规划（2018-2030）》；</w:t>
      </w:r>
    </w:p>
    <w:p w14:paraId="3D4CF225">
      <w:pPr>
        <w:pStyle w:val="132"/>
        <w:numPr>
          <w:ilvl w:val="0"/>
          <w:numId w:val="16"/>
        </w:numPr>
        <w:ind w:firstLineChars="0"/>
        <w:rPr>
          <w:color w:val="auto"/>
        </w:rPr>
      </w:pPr>
      <w:r>
        <w:rPr>
          <w:rFonts w:hint="eastAsia"/>
          <w:color w:val="auto"/>
        </w:rPr>
        <w:t>《新疆生态环境保护“十四五”规划》，</w:t>
      </w:r>
      <w:r>
        <w:rPr>
          <w:color w:val="auto"/>
        </w:rPr>
        <w:t>2021</w:t>
      </w:r>
      <w:r>
        <w:rPr>
          <w:rFonts w:hint="eastAsia"/>
          <w:color w:val="auto"/>
        </w:rPr>
        <w:t>.</w:t>
      </w:r>
      <w:r>
        <w:rPr>
          <w:color w:val="auto"/>
        </w:rPr>
        <w:t>12</w:t>
      </w:r>
      <w:r>
        <w:rPr>
          <w:rFonts w:hint="eastAsia"/>
          <w:color w:val="auto"/>
        </w:rPr>
        <w:t>.</w:t>
      </w:r>
      <w:r>
        <w:rPr>
          <w:color w:val="auto"/>
        </w:rPr>
        <w:t>24</w:t>
      </w:r>
      <w:r>
        <w:rPr>
          <w:rFonts w:hint="eastAsia"/>
          <w:color w:val="auto"/>
        </w:rPr>
        <w:t>；</w:t>
      </w:r>
    </w:p>
    <w:p w14:paraId="4BF25905">
      <w:pPr>
        <w:pStyle w:val="132"/>
        <w:numPr>
          <w:ilvl w:val="0"/>
          <w:numId w:val="16"/>
        </w:numPr>
        <w:ind w:firstLineChars="0"/>
        <w:rPr>
          <w:color w:val="auto"/>
        </w:rPr>
      </w:pPr>
      <w:r>
        <w:rPr>
          <w:rFonts w:hint="eastAsia"/>
          <w:color w:val="auto"/>
        </w:rPr>
        <w:t>《甘泉堡工业园总体规划（2016—2030年）》；</w:t>
      </w:r>
    </w:p>
    <w:p w14:paraId="2B4DFE04">
      <w:pPr>
        <w:pStyle w:val="132"/>
        <w:numPr>
          <w:ilvl w:val="0"/>
          <w:numId w:val="16"/>
        </w:numPr>
        <w:ind w:firstLineChars="0"/>
        <w:rPr>
          <w:color w:val="auto"/>
        </w:rPr>
      </w:pPr>
      <w:r>
        <w:rPr>
          <w:rFonts w:hint="eastAsia"/>
          <w:color w:val="auto"/>
        </w:rPr>
        <w:t>《乌鲁木齐甘泉堡经济技术开发区（工业区）化工园区总体规划（2023-2035）》。</w:t>
      </w:r>
    </w:p>
    <w:p w14:paraId="6A16BA30">
      <w:pPr>
        <w:pStyle w:val="4"/>
        <w:rPr>
          <w:color w:val="auto"/>
        </w:rPr>
      </w:pPr>
      <w:r>
        <w:rPr>
          <w:rFonts w:hint="eastAsia"/>
          <w:color w:val="auto"/>
        </w:rPr>
        <w:t>技术导则、规范</w:t>
      </w:r>
      <w:bookmarkEnd w:id="93"/>
    </w:p>
    <w:p w14:paraId="04F1C25F">
      <w:pPr>
        <w:pStyle w:val="5"/>
        <w:rPr>
          <w:color w:val="auto"/>
        </w:rPr>
      </w:pPr>
      <w:r>
        <w:rPr>
          <w:rFonts w:hint="eastAsia"/>
          <w:color w:val="auto"/>
        </w:rPr>
        <w:t>环评编制导则</w:t>
      </w:r>
    </w:p>
    <w:p w14:paraId="49BA5E73">
      <w:pPr>
        <w:pStyle w:val="132"/>
        <w:numPr>
          <w:ilvl w:val="0"/>
          <w:numId w:val="17"/>
        </w:numPr>
        <w:ind w:firstLineChars="0"/>
        <w:rPr>
          <w:color w:val="auto"/>
        </w:rPr>
      </w:pPr>
      <w:bookmarkStart w:id="95" w:name="_Hlk172291030"/>
      <w:r>
        <w:rPr>
          <w:rFonts w:hint="eastAsia"/>
          <w:color w:val="auto"/>
        </w:rPr>
        <w:t>《建设项目环境影响评价技术导则 总纲》（HJ2.1-2016）；</w:t>
      </w:r>
    </w:p>
    <w:p w14:paraId="0DC63480">
      <w:pPr>
        <w:pStyle w:val="132"/>
        <w:numPr>
          <w:ilvl w:val="0"/>
          <w:numId w:val="17"/>
        </w:numPr>
        <w:ind w:firstLineChars="0"/>
        <w:rPr>
          <w:color w:val="auto"/>
        </w:rPr>
      </w:pPr>
      <w:r>
        <w:rPr>
          <w:rFonts w:hint="eastAsia"/>
          <w:color w:val="auto"/>
        </w:rPr>
        <w:t>《环境影响评价技术导则 大气环境》（HJ2.2-2018）；</w:t>
      </w:r>
    </w:p>
    <w:p w14:paraId="07D8DA5C">
      <w:pPr>
        <w:pStyle w:val="132"/>
        <w:numPr>
          <w:ilvl w:val="0"/>
          <w:numId w:val="17"/>
        </w:numPr>
        <w:ind w:firstLineChars="0"/>
        <w:rPr>
          <w:color w:val="auto"/>
        </w:rPr>
      </w:pPr>
      <w:r>
        <w:rPr>
          <w:rFonts w:hint="eastAsia"/>
          <w:color w:val="auto"/>
        </w:rPr>
        <w:t>《环境影响评价技术导则 地表水环境》（HJ2.3-2018）；</w:t>
      </w:r>
    </w:p>
    <w:p w14:paraId="253DB651">
      <w:pPr>
        <w:pStyle w:val="132"/>
        <w:numPr>
          <w:ilvl w:val="0"/>
          <w:numId w:val="17"/>
        </w:numPr>
        <w:ind w:firstLineChars="0"/>
        <w:rPr>
          <w:color w:val="auto"/>
        </w:rPr>
      </w:pPr>
      <w:r>
        <w:rPr>
          <w:rFonts w:hint="eastAsia"/>
          <w:color w:val="auto"/>
        </w:rPr>
        <w:t>《环境影响评价技术导则 地下水环境》（HJ610-2016）；</w:t>
      </w:r>
    </w:p>
    <w:p w14:paraId="4B88126C">
      <w:pPr>
        <w:pStyle w:val="132"/>
        <w:numPr>
          <w:ilvl w:val="0"/>
          <w:numId w:val="17"/>
        </w:numPr>
        <w:ind w:firstLineChars="0"/>
        <w:rPr>
          <w:color w:val="auto"/>
        </w:rPr>
      </w:pPr>
      <w:r>
        <w:rPr>
          <w:rFonts w:hint="eastAsia"/>
          <w:color w:val="auto"/>
        </w:rPr>
        <w:t>《环境影响评价技术导则 声环境》（HJ2.4-20</w:t>
      </w:r>
      <w:r>
        <w:rPr>
          <w:color w:val="auto"/>
        </w:rPr>
        <w:t>21</w:t>
      </w:r>
      <w:r>
        <w:rPr>
          <w:rFonts w:hint="eastAsia"/>
          <w:color w:val="auto"/>
        </w:rPr>
        <w:t>）；</w:t>
      </w:r>
    </w:p>
    <w:p w14:paraId="3E37A0A3">
      <w:pPr>
        <w:pStyle w:val="132"/>
        <w:numPr>
          <w:ilvl w:val="0"/>
          <w:numId w:val="17"/>
        </w:numPr>
        <w:ind w:firstLineChars="0"/>
        <w:rPr>
          <w:color w:val="auto"/>
        </w:rPr>
      </w:pPr>
      <w:r>
        <w:rPr>
          <w:rFonts w:hint="eastAsia"/>
          <w:color w:val="auto"/>
        </w:rPr>
        <w:t>《环境影响评价技术导则 生态影响》（HJ19-20</w:t>
      </w:r>
      <w:r>
        <w:rPr>
          <w:color w:val="auto"/>
        </w:rPr>
        <w:t>22</w:t>
      </w:r>
      <w:r>
        <w:rPr>
          <w:rFonts w:hint="eastAsia"/>
          <w:color w:val="auto"/>
        </w:rPr>
        <w:t>）；</w:t>
      </w:r>
    </w:p>
    <w:p w14:paraId="771A5A2A">
      <w:pPr>
        <w:pStyle w:val="132"/>
        <w:numPr>
          <w:ilvl w:val="0"/>
          <w:numId w:val="17"/>
        </w:numPr>
        <w:ind w:firstLineChars="0"/>
        <w:rPr>
          <w:color w:val="auto"/>
        </w:rPr>
      </w:pPr>
      <w:r>
        <w:rPr>
          <w:rFonts w:hint="eastAsia"/>
          <w:color w:val="auto"/>
        </w:rPr>
        <w:t>《环境影响评价技术导则 土壤环境（试行）》（HJ964-2018）；</w:t>
      </w:r>
    </w:p>
    <w:p w14:paraId="4901EC00">
      <w:pPr>
        <w:pStyle w:val="132"/>
        <w:numPr>
          <w:ilvl w:val="0"/>
          <w:numId w:val="17"/>
        </w:numPr>
        <w:ind w:firstLineChars="0"/>
        <w:rPr>
          <w:color w:val="auto"/>
        </w:rPr>
      </w:pPr>
      <w:r>
        <w:rPr>
          <w:rFonts w:hint="eastAsia"/>
          <w:color w:val="auto"/>
        </w:rPr>
        <w:t>《建设项目环境风险评价技术导则》（HJ169-2018）；</w:t>
      </w:r>
    </w:p>
    <w:p w14:paraId="69C7A7D2">
      <w:pPr>
        <w:pStyle w:val="132"/>
        <w:numPr>
          <w:ilvl w:val="0"/>
          <w:numId w:val="17"/>
        </w:numPr>
        <w:ind w:firstLineChars="0"/>
        <w:rPr>
          <w:color w:val="auto"/>
        </w:rPr>
      </w:pPr>
      <w:r>
        <w:rPr>
          <w:rFonts w:hint="eastAsia"/>
          <w:color w:val="auto"/>
        </w:rPr>
        <w:t>《固体废物再生利用污染防治技术导则》（H</w:t>
      </w:r>
      <w:r>
        <w:rPr>
          <w:color w:val="auto"/>
        </w:rPr>
        <w:t>J1091-2020</w:t>
      </w:r>
      <w:r>
        <w:rPr>
          <w:rFonts w:hint="eastAsia"/>
          <w:color w:val="auto"/>
        </w:rPr>
        <w:t>）；</w:t>
      </w:r>
    </w:p>
    <w:p w14:paraId="2B7E0BBE">
      <w:pPr>
        <w:pStyle w:val="132"/>
        <w:numPr>
          <w:ilvl w:val="0"/>
          <w:numId w:val="17"/>
        </w:numPr>
        <w:ind w:firstLineChars="0"/>
        <w:rPr>
          <w:color w:val="auto"/>
        </w:rPr>
      </w:pPr>
      <w:r>
        <w:rPr>
          <w:color w:val="auto"/>
        </w:rPr>
        <w:t>《建设项目危险废物环境影响评价指南》</w:t>
      </w:r>
      <w:r>
        <w:rPr>
          <w:rFonts w:hint="eastAsia"/>
          <w:color w:val="auto"/>
        </w:rPr>
        <w:t>（</w:t>
      </w:r>
      <w:r>
        <w:rPr>
          <w:color w:val="auto"/>
        </w:rPr>
        <w:t>环保部公告2017年第43号</w:t>
      </w:r>
      <w:r>
        <w:rPr>
          <w:rFonts w:hint="eastAsia"/>
          <w:color w:val="auto"/>
        </w:rPr>
        <w:t>）</w:t>
      </w:r>
      <w:r>
        <w:rPr>
          <w:color w:val="auto"/>
        </w:rPr>
        <w:t>，2017.08.29</w:t>
      </w:r>
      <w:r>
        <w:rPr>
          <w:rFonts w:hint="eastAsia"/>
          <w:color w:val="auto"/>
        </w:rPr>
        <w:t>。</w:t>
      </w:r>
    </w:p>
    <w:bookmarkEnd w:id="94"/>
    <w:bookmarkEnd w:id="95"/>
    <w:p w14:paraId="1D953372">
      <w:pPr>
        <w:pStyle w:val="5"/>
        <w:rPr>
          <w:color w:val="auto"/>
        </w:rPr>
      </w:pPr>
      <w:r>
        <w:rPr>
          <w:rFonts w:hint="eastAsia"/>
          <w:color w:val="auto"/>
        </w:rPr>
        <w:t>技术规范</w:t>
      </w:r>
    </w:p>
    <w:p w14:paraId="7FE35176">
      <w:pPr>
        <w:pStyle w:val="132"/>
        <w:numPr>
          <w:ilvl w:val="0"/>
          <w:numId w:val="18"/>
        </w:numPr>
        <w:ind w:firstLineChars="0"/>
        <w:rPr>
          <w:color w:val="auto"/>
        </w:rPr>
      </w:pPr>
      <w:bookmarkStart w:id="96" w:name="_Hlk172291127"/>
      <w:r>
        <w:rPr>
          <w:rFonts w:hint="eastAsia"/>
          <w:color w:val="auto"/>
        </w:rPr>
        <w:t>《污染源源强核算技术指南 准则》（HJ884-2018）；</w:t>
      </w:r>
    </w:p>
    <w:p w14:paraId="4EB90CC9">
      <w:pPr>
        <w:pStyle w:val="132"/>
        <w:numPr>
          <w:ilvl w:val="0"/>
          <w:numId w:val="18"/>
        </w:numPr>
        <w:ind w:firstLineChars="0"/>
        <w:rPr>
          <w:color w:val="auto"/>
        </w:rPr>
      </w:pPr>
      <w:r>
        <w:rPr>
          <w:color w:val="auto"/>
        </w:rPr>
        <w:t>《排污单位自行监测技术指南</w:t>
      </w:r>
      <w:r>
        <w:rPr>
          <w:rFonts w:hint="eastAsia"/>
          <w:color w:val="auto"/>
        </w:rPr>
        <w:t xml:space="preserve">  总则</w:t>
      </w:r>
      <w:r>
        <w:rPr>
          <w:color w:val="auto"/>
        </w:rPr>
        <w:t xml:space="preserve">》（HJ </w:t>
      </w:r>
      <w:r>
        <w:rPr>
          <w:rFonts w:hint="eastAsia"/>
          <w:color w:val="auto"/>
        </w:rPr>
        <w:t>819-2017</w:t>
      </w:r>
      <w:r>
        <w:rPr>
          <w:color w:val="auto"/>
        </w:rPr>
        <w:t>）</w:t>
      </w:r>
      <w:r>
        <w:rPr>
          <w:rFonts w:hint="eastAsia"/>
          <w:color w:val="auto"/>
        </w:rPr>
        <w:t>；</w:t>
      </w:r>
    </w:p>
    <w:p w14:paraId="2C2C4AAB">
      <w:pPr>
        <w:pStyle w:val="132"/>
        <w:numPr>
          <w:ilvl w:val="0"/>
          <w:numId w:val="18"/>
        </w:numPr>
        <w:ind w:firstLineChars="0"/>
        <w:rPr>
          <w:color w:val="auto"/>
        </w:rPr>
      </w:pPr>
      <w:r>
        <w:rPr>
          <w:rFonts w:hint="eastAsia"/>
          <w:color w:val="auto"/>
        </w:rPr>
        <w:t>《排污许可证申请与核发技术规范  总则》（</w:t>
      </w:r>
      <w:r>
        <w:rPr>
          <w:color w:val="auto"/>
        </w:rPr>
        <w:t>HJ</w:t>
      </w:r>
      <w:r>
        <w:rPr>
          <w:rFonts w:hint="eastAsia"/>
          <w:color w:val="auto"/>
        </w:rPr>
        <w:t>942-2018）；</w:t>
      </w:r>
    </w:p>
    <w:p w14:paraId="3A395F2F">
      <w:pPr>
        <w:pStyle w:val="132"/>
        <w:numPr>
          <w:ilvl w:val="0"/>
          <w:numId w:val="18"/>
        </w:numPr>
        <w:ind w:firstLineChars="0"/>
        <w:rPr>
          <w:color w:val="auto"/>
        </w:rPr>
      </w:pPr>
      <w:r>
        <w:rPr>
          <w:rFonts w:hint="eastAsia"/>
          <w:color w:val="auto"/>
        </w:rPr>
        <w:t>《污染源源强核算技术指南  锅炉》（HJ991-2018）</w:t>
      </w:r>
    </w:p>
    <w:p w14:paraId="4605587A">
      <w:pPr>
        <w:pStyle w:val="132"/>
        <w:numPr>
          <w:ilvl w:val="0"/>
          <w:numId w:val="18"/>
        </w:numPr>
        <w:ind w:firstLineChars="0"/>
        <w:rPr>
          <w:color w:val="auto"/>
        </w:rPr>
      </w:pPr>
      <w:r>
        <w:rPr>
          <w:rFonts w:hint="eastAsia"/>
          <w:color w:val="auto"/>
        </w:rPr>
        <w:t>《工业企业噪声控制设计规范》（</w:t>
      </w:r>
      <w:r>
        <w:rPr>
          <w:color w:val="auto"/>
        </w:rPr>
        <w:t>GB/T50087-2013</w:t>
      </w:r>
      <w:r>
        <w:rPr>
          <w:rFonts w:hint="eastAsia"/>
          <w:color w:val="auto"/>
        </w:rPr>
        <w:t>）；</w:t>
      </w:r>
    </w:p>
    <w:p w14:paraId="56202852">
      <w:pPr>
        <w:pStyle w:val="132"/>
        <w:numPr>
          <w:ilvl w:val="0"/>
          <w:numId w:val="18"/>
        </w:numPr>
        <w:ind w:firstLineChars="0"/>
        <w:rPr>
          <w:color w:val="auto"/>
        </w:rPr>
      </w:pPr>
      <w:r>
        <w:rPr>
          <w:color w:val="auto"/>
        </w:rPr>
        <w:t>《危险废物收集</w:t>
      </w:r>
      <w:r>
        <w:rPr>
          <w:rFonts w:hint="eastAsia"/>
          <w:color w:val="auto"/>
        </w:rPr>
        <w:t xml:space="preserve"> </w:t>
      </w:r>
      <w:r>
        <w:rPr>
          <w:color w:val="auto"/>
        </w:rPr>
        <w:t>贮存</w:t>
      </w:r>
      <w:r>
        <w:rPr>
          <w:rFonts w:hint="eastAsia"/>
          <w:color w:val="auto"/>
        </w:rPr>
        <w:t xml:space="preserve"> </w:t>
      </w:r>
      <w:r>
        <w:rPr>
          <w:color w:val="auto"/>
        </w:rPr>
        <w:t>运输技术规范》（HJ 2025-2012）</w:t>
      </w:r>
      <w:r>
        <w:rPr>
          <w:rFonts w:hint="eastAsia"/>
          <w:color w:val="auto"/>
        </w:rPr>
        <w:t>；</w:t>
      </w:r>
    </w:p>
    <w:p w14:paraId="2AB7B020">
      <w:pPr>
        <w:pStyle w:val="132"/>
        <w:numPr>
          <w:ilvl w:val="0"/>
          <w:numId w:val="18"/>
        </w:numPr>
        <w:ind w:firstLineChars="0"/>
        <w:rPr>
          <w:color w:val="auto"/>
        </w:rPr>
      </w:pPr>
      <w:r>
        <w:rPr>
          <w:rFonts w:hint="eastAsia"/>
          <w:color w:val="auto"/>
        </w:rPr>
        <w:t>《排污许可申请与核发技术规范 工业固体废物和危险废物治理》（H</w:t>
      </w:r>
      <w:r>
        <w:rPr>
          <w:color w:val="auto"/>
        </w:rPr>
        <w:t>J 1033-2019</w:t>
      </w:r>
      <w:r>
        <w:rPr>
          <w:rFonts w:hint="eastAsia"/>
          <w:color w:val="auto"/>
        </w:rPr>
        <w:t>）；</w:t>
      </w:r>
    </w:p>
    <w:p w14:paraId="63EC8966">
      <w:pPr>
        <w:pStyle w:val="132"/>
        <w:numPr>
          <w:ilvl w:val="0"/>
          <w:numId w:val="18"/>
        </w:numPr>
        <w:ind w:firstLineChars="0"/>
        <w:rPr>
          <w:color w:val="auto"/>
        </w:rPr>
      </w:pPr>
      <w:r>
        <w:rPr>
          <w:rFonts w:hint="eastAsia"/>
          <w:color w:val="auto"/>
        </w:rPr>
        <w:t>《排污许可证申请与核发技术规范 工业炉窑》（HJ1121-2020）；</w:t>
      </w:r>
    </w:p>
    <w:p w14:paraId="045FFCBA">
      <w:pPr>
        <w:pStyle w:val="132"/>
        <w:numPr>
          <w:ilvl w:val="0"/>
          <w:numId w:val="18"/>
        </w:numPr>
        <w:ind w:firstLineChars="0"/>
        <w:rPr>
          <w:color w:val="auto"/>
        </w:rPr>
      </w:pPr>
      <w:r>
        <w:rPr>
          <w:rFonts w:hint="eastAsia"/>
          <w:color w:val="auto"/>
        </w:rPr>
        <w:t>《排污许可申请与核发技术规范 工业固体废物（试行）》（H</w:t>
      </w:r>
      <w:r>
        <w:rPr>
          <w:color w:val="auto"/>
        </w:rPr>
        <w:t>J 1200-2021</w:t>
      </w:r>
      <w:r>
        <w:rPr>
          <w:rFonts w:hint="eastAsia"/>
          <w:color w:val="auto"/>
        </w:rPr>
        <w:t>）；</w:t>
      </w:r>
    </w:p>
    <w:p w14:paraId="716F29E8">
      <w:pPr>
        <w:pStyle w:val="132"/>
        <w:numPr>
          <w:ilvl w:val="0"/>
          <w:numId w:val="18"/>
        </w:numPr>
        <w:ind w:firstLineChars="0"/>
        <w:rPr>
          <w:color w:val="auto"/>
        </w:rPr>
      </w:pPr>
      <w:r>
        <w:rPr>
          <w:rFonts w:hint="eastAsia"/>
          <w:color w:val="auto"/>
        </w:rPr>
        <w:t>《危险废物鉴别标准 通则》（GB5085.7-2019）；</w:t>
      </w:r>
    </w:p>
    <w:p w14:paraId="50A7AE47">
      <w:pPr>
        <w:pStyle w:val="132"/>
        <w:numPr>
          <w:ilvl w:val="0"/>
          <w:numId w:val="18"/>
        </w:numPr>
        <w:ind w:firstLineChars="0"/>
        <w:rPr>
          <w:color w:val="auto"/>
        </w:rPr>
      </w:pPr>
      <w:r>
        <w:rPr>
          <w:color w:val="auto"/>
        </w:rPr>
        <w:t>《</w:t>
      </w:r>
      <w:r>
        <w:rPr>
          <w:rFonts w:hint="eastAsia"/>
          <w:color w:val="auto"/>
        </w:rPr>
        <w:t>碳排放核算与报告要求 第10部分：化工生产企业</w:t>
      </w:r>
      <w:r>
        <w:rPr>
          <w:color w:val="auto"/>
        </w:rPr>
        <w:t>》(GB/T32151.10-20</w:t>
      </w:r>
      <w:r>
        <w:rPr>
          <w:rFonts w:hint="eastAsia"/>
          <w:color w:val="auto"/>
        </w:rPr>
        <w:t>23</w:t>
      </w:r>
      <w:r>
        <w:rPr>
          <w:color w:val="auto"/>
        </w:rPr>
        <w:t>)</w:t>
      </w:r>
      <w:r>
        <w:rPr>
          <w:rFonts w:hint="eastAsia"/>
          <w:color w:val="auto"/>
        </w:rPr>
        <w:t>；</w:t>
      </w:r>
    </w:p>
    <w:p w14:paraId="4BD5C384">
      <w:pPr>
        <w:pStyle w:val="132"/>
        <w:numPr>
          <w:ilvl w:val="0"/>
          <w:numId w:val="18"/>
        </w:numPr>
        <w:ind w:firstLineChars="0"/>
        <w:rPr>
          <w:color w:val="auto"/>
        </w:rPr>
      </w:pPr>
      <w:r>
        <w:rPr>
          <w:rFonts w:hint="eastAsia"/>
          <w:color w:val="auto"/>
        </w:rPr>
        <w:t>《环境保护图形标志-排放口（源）》（</w:t>
      </w:r>
      <w:r>
        <w:rPr>
          <w:color w:val="auto"/>
        </w:rPr>
        <w:t>GB15562.1-1995</w:t>
      </w:r>
      <w:r>
        <w:rPr>
          <w:rFonts w:hint="eastAsia"/>
          <w:color w:val="auto"/>
        </w:rPr>
        <w:t>）</w:t>
      </w:r>
      <w:r>
        <w:rPr>
          <w:color w:val="auto"/>
        </w:rPr>
        <w:t>。</w:t>
      </w:r>
    </w:p>
    <w:bookmarkEnd w:id="96"/>
    <w:p w14:paraId="62BA841B">
      <w:pPr>
        <w:pStyle w:val="4"/>
        <w:rPr>
          <w:color w:val="auto"/>
        </w:rPr>
      </w:pPr>
      <w:r>
        <w:rPr>
          <w:color w:val="auto"/>
        </w:rPr>
        <w:t>项目相关文件及引用资料</w:t>
      </w:r>
    </w:p>
    <w:p w14:paraId="286AE1E4">
      <w:pPr>
        <w:pStyle w:val="132"/>
        <w:numPr>
          <w:ilvl w:val="0"/>
          <w:numId w:val="19"/>
        </w:numPr>
        <w:ind w:firstLineChars="0"/>
        <w:rPr>
          <w:color w:val="auto"/>
        </w:rPr>
      </w:pPr>
      <w:r>
        <w:rPr>
          <w:rFonts w:hint="eastAsia"/>
          <w:color w:val="auto"/>
        </w:rPr>
        <w:t>投资项目备案证；</w:t>
      </w:r>
    </w:p>
    <w:p w14:paraId="2768B8C1">
      <w:pPr>
        <w:pStyle w:val="132"/>
        <w:numPr>
          <w:ilvl w:val="0"/>
          <w:numId w:val="19"/>
        </w:numPr>
        <w:ind w:firstLineChars="0"/>
        <w:rPr>
          <w:color w:val="auto"/>
        </w:rPr>
      </w:pPr>
      <w:r>
        <w:rPr>
          <w:color w:val="auto"/>
        </w:rPr>
        <w:t>环境监测资料报告；</w:t>
      </w:r>
    </w:p>
    <w:p w14:paraId="77847E2E">
      <w:pPr>
        <w:pStyle w:val="132"/>
        <w:numPr>
          <w:ilvl w:val="0"/>
          <w:numId w:val="19"/>
        </w:numPr>
        <w:ind w:firstLineChars="0"/>
        <w:rPr>
          <w:color w:val="auto"/>
        </w:rPr>
      </w:pPr>
      <w:r>
        <w:rPr>
          <w:rFonts w:hint="eastAsia"/>
          <w:color w:val="auto"/>
        </w:rPr>
        <w:t>新疆斯诺环保科技有限公司危废处置项目可行性研究报告；</w:t>
      </w:r>
    </w:p>
    <w:p w14:paraId="30E9A226">
      <w:pPr>
        <w:pStyle w:val="132"/>
        <w:numPr>
          <w:ilvl w:val="0"/>
          <w:numId w:val="19"/>
        </w:numPr>
        <w:ind w:firstLineChars="0"/>
        <w:rPr>
          <w:color w:val="auto"/>
        </w:rPr>
      </w:pPr>
      <w:r>
        <w:rPr>
          <w:rFonts w:hint="eastAsia"/>
          <w:color w:val="auto"/>
        </w:rPr>
        <w:t>其他相关工程资料。</w:t>
      </w:r>
    </w:p>
    <w:bookmarkEnd w:id="77"/>
    <w:bookmarkEnd w:id="78"/>
    <w:bookmarkEnd w:id="79"/>
    <w:bookmarkEnd w:id="80"/>
    <w:bookmarkEnd w:id="81"/>
    <w:bookmarkEnd w:id="82"/>
    <w:bookmarkEnd w:id="83"/>
    <w:p w14:paraId="0DFE53F7">
      <w:pPr>
        <w:pStyle w:val="3"/>
        <w:rPr>
          <w:color w:val="auto"/>
        </w:rPr>
      </w:pPr>
      <w:bookmarkStart w:id="97" w:name="_Toc229930116"/>
      <w:bookmarkStart w:id="98" w:name="_Toc388796696"/>
      <w:r>
        <w:rPr>
          <w:color w:val="auto"/>
        </w:rPr>
        <w:t>环境影响</w:t>
      </w:r>
      <w:r>
        <w:rPr>
          <w:rFonts w:hint="eastAsia"/>
          <w:color w:val="auto"/>
        </w:rPr>
        <w:t>要素</w:t>
      </w:r>
      <w:r>
        <w:rPr>
          <w:color w:val="auto"/>
        </w:rPr>
        <w:t>识别及评价因子筛选</w:t>
      </w:r>
      <w:bookmarkEnd w:id="97"/>
      <w:bookmarkEnd w:id="98"/>
    </w:p>
    <w:p w14:paraId="70E7DB22">
      <w:pPr>
        <w:pStyle w:val="4"/>
        <w:rPr>
          <w:color w:val="auto"/>
        </w:rPr>
      </w:pPr>
      <w:r>
        <w:rPr>
          <w:color w:val="auto"/>
        </w:rPr>
        <w:t>主要环境影响因素识别</w:t>
      </w:r>
    </w:p>
    <w:p w14:paraId="09CE8E3B">
      <w:pPr>
        <w:pStyle w:val="5"/>
        <w:rPr>
          <w:color w:val="auto"/>
        </w:rPr>
      </w:pPr>
      <w:r>
        <w:rPr>
          <w:rFonts w:hint="eastAsia"/>
          <w:color w:val="auto"/>
        </w:rPr>
        <w:t>施工期</w:t>
      </w:r>
    </w:p>
    <w:p w14:paraId="5433300B">
      <w:pPr>
        <w:pStyle w:val="132"/>
        <w:rPr>
          <w:color w:val="auto"/>
        </w:rPr>
      </w:pPr>
      <w:r>
        <w:rPr>
          <w:rFonts w:hint="eastAsia"/>
          <w:color w:val="auto"/>
        </w:rPr>
        <w:t>根据项目所在地和评价范围，结合施工期的主要特点，本项目施工期对环境造成的影响因素主要有：土方开挖、建构筑物砌筑及建筑材料运输、装卸等产生的扬尘；施工机械设备排放的废气；运输车辆排放的尾气；建设过程中产生的生产废水和施工人员产生的生活污水；施工人员生活垃圾；工程建设中打桩机、搅拌机、推土机等各类施工机械运行和作业产生的噪声等，对大气、水、声环境影响较小，均为短期影响；建构筑物永久占用土地，改变土地用途和生态景观，属于局部影响，影响较小。</w:t>
      </w:r>
    </w:p>
    <w:p w14:paraId="4AC70231">
      <w:pPr>
        <w:pStyle w:val="5"/>
        <w:rPr>
          <w:color w:val="auto"/>
        </w:rPr>
      </w:pPr>
      <w:r>
        <w:rPr>
          <w:rFonts w:hint="eastAsia"/>
          <w:color w:val="auto"/>
        </w:rPr>
        <w:t>运营期</w:t>
      </w:r>
    </w:p>
    <w:p w14:paraId="4FABF6BB">
      <w:pPr>
        <w:pStyle w:val="132"/>
        <w:rPr>
          <w:color w:val="auto"/>
        </w:rPr>
      </w:pPr>
      <w:r>
        <w:rPr>
          <w:rFonts w:hint="eastAsia"/>
          <w:color w:val="auto"/>
        </w:rPr>
        <w:t>在工程分析的基础上，结合项目采用的原料、产品输送方式、工艺技术情况、生产装置及辅助设施产污、排污途径及周围环境特点，运营期产生的主要影响有：</w:t>
      </w:r>
    </w:p>
    <w:p w14:paraId="1325311D">
      <w:pPr>
        <w:pStyle w:val="132"/>
        <w:rPr>
          <w:color w:val="auto"/>
        </w:rPr>
      </w:pPr>
      <w:r>
        <w:rPr>
          <w:rFonts w:hint="eastAsia"/>
          <w:color w:val="auto"/>
        </w:rPr>
        <w:t>本工程危险废物处置过程中的废气主要为副产品和中间产物干燥包装过程中产生的颗粒物，具体由碳酸钠、硫酸铵、拟薄水铝石等物料干燥和包装过程产生。催化剂生产废气主要载体干燥废气、载体焙烧废气、浸渍干燥废气、催化剂焙烧废气以及催化剂筛分、干燥废气。废气中污染物涉及NOx、颗粒物、SO</w:t>
      </w:r>
      <w:r>
        <w:rPr>
          <w:rFonts w:hint="eastAsia"/>
          <w:color w:val="auto"/>
          <w:vertAlign w:val="subscript"/>
        </w:rPr>
        <w:t>2</w:t>
      </w:r>
      <w:r>
        <w:rPr>
          <w:rFonts w:hint="eastAsia"/>
          <w:color w:val="auto"/>
        </w:rPr>
        <w:t>、NH</w:t>
      </w:r>
      <w:r>
        <w:rPr>
          <w:rFonts w:hint="eastAsia"/>
          <w:color w:val="auto"/>
          <w:vertAlign w:val="subscript"/>
        </w:rPr>
        <w:t>3</w:t>
      </w:r>
      <w:r>
        <w:rPr>
          <w:rFonts w:hint="eastAsia"/>
          <w:color w:val="auto"/>
        </w:rPr>
        <w:t>等主要污染物，会对当地环境空气质量产生不利影响。此外，周围动植物等生态环境要素也可能受到影响，且该影响具有长期性，影响范围较广。催化剂生产没有废水产生，危险废物处理过程中产生的蒸发冷凝水主要含有COD和TDS，通过管道送乌鲁木齐众荣电子材料科技有限公司回用</w:t>
      </w:r>
      <w:r>
        <w:rPr>
          <w:rFonts w:hint="eastAsia"/>
          <w:color w:val="auto"/>
          <w:sz w:val="23"/>
          <w:szCs w:val="23"/>
        </w:rPr>
        <w:t>，循环排污水、生活污水排入园区下水管网，送园区污水处理厂进一步处理。</w:t>
      </w:r>
      <w:r>
        <w:rPr>
          <w:rFonts w:hint="eastAsia"/>
          <w:color w:val="auto"/>
        </w:rPr>
        <w:t>生产过程中各种设备产生的机械噪声产生的空气动力性噪声将对声环境产生不利影响。生产中产生的各种废渣，如杂盐、废机油、生活垃圾等，如不妥善处置，不仅占用土地资源，破坏景观，也可能因渗漏影响地下水。本项目生产过程中使用、生产、储存、运输易燃、易爆及有毒有害的危险性物质，</w:t>
      </w:r>
      <w:r>
        <w:rPr>
          <w:rFonts w:hint="eastAsia"/>
          <w:color w:val="auto"/>
          <w:lang w:eastAsia="zh-CN"/>
        </w:rPr>
        <w:t>存在</w:t>
      </w:r>
      <w:r>
        <w:rPr>
          <w:rFonts w:hint="eastAsia"/>
          <w:color w:val="auto"/>
        </w:rPr>
        <w:t>发生突发性事故导致环境事件的可能性，具有一定的环境风险。</w:t>
      </w:r>
    </w:p>
    <w:p w14:paraId="14D9DC76">
      <w:pPr>
        <w:pStyle w:val="132"/>
        <w:rPr>
          <w:color w:val="auto"/>
        </w:rPr>
      </w:pPr>
      <w:r>
        <w:rPr>
          <w:rFonts w:hint="eastAsia"/>
          <w:color w:val="auto"/>
        </w:rPr>
        <w:t>以上这些影响在整个生产运营期间都长期存在，需要通过有效的环保治理措施降低其影响程度。</w:t>
      </w:r>
    </w:p>
    <w:p w14:paraId="04EB53D1">
      <w:pPr>
        <w:pStyle w:val="132"/>
        <w:rPr>
          <w:color w:val="auto"/>
        </w:rPr>
      </w:pPr>
      <w:r>
        <w:rPr>
          <w:rFonts w:hint="eastAsia"/>
          <w:color w:val="auto"/>
        </w:rPr>
        <w:t>本项目环境影响主要体现在项目运营期，</w:t>
      </w:r>
      <w:r>
        <w:rPr>
          <w:color w:val="auto"/>
        </w:rPr>
        <w:t>环境影响因素识别结果见表</w:t>
      </w:r>
      <w:r>
        <w:rPr>
          <w:rFonts w:hint="eastAsia"/>
          <w:color w:val="auto"/>
        </w:rPr>
        <w:t>2.3-1</w:t>
      </w:r>
      <w:r>
        <w:rPr>
          <w:color w:val="auto"/>
        </w:rPr>
        <w:t>。</w:t>
      </w:r>
    </w:p>
    <w:p w14:paraId="52FB2E33">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 xml:space="preserve">  主要环境</w:t>
      </w:r>
      <w:r>
        <w:rPr>
          <w:color w:val="auto"/>
        </w:rPr>
        <w:t>影响要素识别矩阵</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49"/>
        <w:gridCol w:w="1058"/>
        <w:gridCol w:w="910"/>
        <w:gridCol w:w="910"/>
        <w:gridCol w:w="914"/>
        <w:gridCol w:w="1058"/>
        <w:gridCol w:w="1061"/>
        <w:gridCol w:w="1065"/>
        <w:gridCol w:w="1061"/>
      </w:tblGrid>
      <w:tr w14:paraId="75B530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028" w:type="pct"/>
            <w:gridSpan w:val="2"/>
            <w:vMerge w:val="restart"/>
            <w:vAlign w:val="center"/>
          </w:tcPr>
          <w:p w14:paraId="092839FD">
            <w:pPr>
              <w:pStyle w:val="2381"/>
              <w:widowControl w:val="0"/>
              <w:spacing w:line="360" w:lineRule="exact"/>
              <w:rPr>
                <w:color w:val="auto"/>
              </w:rPr>
            </w:pPr>
            <w:r>
              <w:rPr>
                <w:rFonts w:hint="eastAsia"/>
                <w:color w:val="auto"/>
              </w:rPr>
              <w:t>项目</w:t>
            </w:r>
          </w:p>
        </w:tc>
        <w:tc>
          <w:tcPr>
            <w:tcW w:w="1556" w:type="pct"/>
            <w:gridSpan w:val="3"/>
            <w:vAlign w:val="center"/>
          </w:tcPr>
          <w:p w14:paraId="6745621E">
            <w:pPr>
              <w:pStyle w:val="2381"/>
              <w:widowControl w:val="0"/>
              <w:spacing w:line="360" w:lineRule="exact"/>
              <w:rPr>
                <w:color w:val="auto"/>
              </w:rPr>
            </w:pPr>
            <w:r>
              <w:rPr>
                <w:rFonts w:hint="eastAsia"/>
                <w:color w:val="auto"/>
              </w:rPr>
              <w:t>施工期</w:t>
            </w:r>
          </w:p>
        </w:tc>
        <w:tc>
          <w:tcPr>
            <w:tcW w:w="2416" w:type="pct"/>
            <w:gridSpan w:val="4"/>
            <w:vAlign w:val="center"/>
          </w:tcPr>
          <w:p w14:paraId="6BD2167A">
            <w:pPr>
              <w:pStyle w:val="2381"/>
              <w:widowControl w:val="0"/>
              <w:spacing w:line="360" w:lineRule="exact"/>
              <w:rPr>
                <w:color w:val="auto"/>
              </w:rPr>
            </w:pPr>
            <w:r>
              <w:rPr>
                <w:rFonts w:hint="eastAsia"/>
                <w:color w:val="auto"/>
              </w:rPr>
              <w:t>运行期</w:t>
            </w:r>
          </w:p>
        </w:tc>
      </w:tr>
      <w:tr w14:paraId="087AAC0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028" w:type="pct"/>
            <w:gridSpan w:val="2"/>
            <w:vMerge w:val="continue"/>
            <w:vAlign w:val="center"/>
          </w:tcPr>
          <w:p w14:paraId="4317FA31">
            <w:pPr>
              <w:pStyle w:val="2381"/>
              <w:widowControl w:val="0"/>
              <w:spacing w:line="360" w:lineRule="exact"/>
              <w:rPr>
                <w:color w:val="auto"/>
              </w:rPr>
            </w:pPr>
          </w:p>
        </w:tc>
        <w:tc>
          <w:tcPr>
            <w:tcW w:w="518" w:type="pct"/>
            <w:vAlign w:val="center"/>
          </w:tcPr>
          <w:p w14:paraId="09E5F1F6">
            <w:pPr>
              <w:pStyle w:val="2381"/>
              <w:widowControl w:val="0"/>
              <w:spacing w:line="360" w:lineRule="exact"/>
              <w:rPr>
                <w:color w:val="auto"/>
              </w:rPr>
            </w:pPr>
            <w:r>
              <w:rPr>
                <w:rFonts w:hint="eastAsia"/>
                <w:color w:val="auto"/>
              </w:rPr>
              <w:t>土石/打桩</w:t>
            </w:r>
          </w:p>
        </w:tc>
        <w:tc>
          <w:tcPr>
            <w:tcW w:w="518" w:type="pct"/>
            <w:vAlign w:val="center"/>
          </w:tcPr>
          <w:p w14:paraId="55801AC5">
            <w:pPr>
              <w:pStyle w:val="2381"/>
              <w:widowControl w:val="0"/>
              <w:spacing w:line="360" w:lineRule="exact"/>
              <w:rPr>
                <w:color w:val="auto"/>
              </w:rPr>
            </w:pPr>
            <w:r>
              <w:rPr>
                <w:rFonts w:hint="eastAsia"/>
                <w:color w:val="auto"/>
              </w:rPr>
              <w:t>基建/设备</w:t>
            </w:r>
            <w:r>
              <w:rPr>
                <w:color w:val="auto"/>
              </w:rPr>
              <w:t>安装</w:t>
            </w:r>
          </w:p>
        </w:tc>
        <w:tc>
          <w:tcPr>
            <w:tcW w:w="520" w:type="pct"/>
            <w:vAlign w:val="center"/>
          </w:tcPr>
          <w:p w14:paraId="2E8FDE72">
            <w:pPr>
              <w:pStyle w:val="2381"/>
              <w:widowControl w:val="0"/>
              <w:spacing w:line="360" w:lineRule="exact"/>
              <w:rPr>
                <w:color w:val="auto"/>
              </w:rPr>
            </w:pPr>
            <w:r>
              <w:rPr>
                <w:rFonts w:hint="eastAsia"/>
                <w:color w:val="auto"/>
              </w:rPr>
              <w:t>材料</w:t>
            </w:r>
            <w:r>
              <w:rPr>
                <w:color w:val="auto"/>
              </w:rPr>
              <w:t>运输</w:t>
            </w:r>
          </w:p>
        </w:tc>
        <w:tc>
          <w:tcPr>
            <w:tcW w:w="602" w:type="pct"/>
            <w:vAlign w:val="center"/>
          </w:tcPr>
          <w:p w14:paraId="60557DF3">
            <w:pPr>
              <w:pStyle w:val="2381"/>
              <w:widowControl w:val="0"/>
              <w:spacing w:line="360" w:lineRule="exact"/>
              <w:rPr>
                <w:color w:val="auto"/>
              </w:rPr>
            </w:pPr>
            <w:r>
              <w:rPr>
                <w:rFonts w:hint="eastAsia"/>
                <w:color w:val="auto"/>
              </w:rPr>
              <w:t>处置/生产装置</w:t>
            </w:r>
          </w:p>
        </w:tc>
        <w:tc>
          <w:tcPr>
            <w:tcW w:w="604" w:type="pct"/>
            <w:vAlign w:val="center"/>
          </w:tcPr>
          <w:p w14:paraId="4ACDB881">
            <w:pPr>
              <w:pStyle w:val="2381"/>
              <w:widowControl w:val="0"/>
              <w:spacing w:line="360" w:lineRule="exact"/>
              <w:rPr>
                <w:color w:val="auto"/>
              </w:rPr>
            </w:pPr>
            <w:r>
              <w:rPr>
                <w:rFonts w:hint="eastAsia"/>
                <w:color w:val="auto"/>
              </w:rPr>
              <w:t>辅助工程</w:t>
            </w:r>
          </w:p>
        </w:tc>
        <w:tc>
          <w:tcPr>
            <w:tcW w:w="606" w:type="pct"/>
            <w:vAlign w:val="center"/>
          </w:tcPr>
          <w:p w14:paraId="512C15E9">
            <w:pPr>
              <w:pStyle w:val="2381"/>
              <w:widowControl w:val="0"/>
              <w:spacing w:line="360" w:lineRule="exact"/>
              <w:rPr>
                <w:color w:val="auto"/>
              </w:rPr>
            </w:pPr>
            <w:r>
              <w:rPr>
                <w:rFonts w:hint="eastAsia"/>
                <w:color w:val="auto"/>
              </w:rPr>
              <w:t>储运</w:t>
            </w:r>
            <w:r>
              <w:rPr>
                <w:color w:val="auto"/>
              </w:rPr>
              <w:t>工程</w:t>
            </w:r>
          </w:p>
        </w:tc>
        <w:tc>
          <w:tcPr>
            <w:tcW w:w="604" w:type="pct"/>
            <w:vAlign w:val="center"/>
          </w:tcPr>
          <w:p w14:paraId="23517ED0">
            <w:pPr>
              <w:pStyle w:val="2381"/>
              <w:widowControl w:val="0"/>
              <w:spacing w:line="360" w:lineRule="exact"/>
              <w:rPr>
                <w:color w:val="auto"/>
              </w:rPr>
            </w:pPr>
            <w:r>
              <w:rPr>
                <w:rFonts w:hint="eastAsia"/>
                <w:color w:val="auto"/>
              </w:rPr>
              <w:t>办公生活</w:t>
            </w:r>
          </w:p>
        </w:tc>
      </w:tr>
      <w:tr w14:paraId="1FFD5B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restart"/>
            <w:vAlign w:val="center"/>
          </w:tcPr>
          <w:p w14:paraId="65259647">
            <w:pPr>
              <w:pStyle w:val="2381"/>
              <w:widowControl w:val="0"/>
              <w:spacing w:line="360" w:lineRule="exact"/>
              <w:rPr>
                <w:color w:val="auto"/>
              </w:rPr>
            </w:pPr>
            <w:r>
              <w:rPr>
                <w:rFonts w:hint="eastAsia"/>
                <w:color w:val="auto"/>
              </w:rPr>
              <w:t>大气环境</w:t>
            </w:r>
          </w:p>
        </w:tc>
        <w:tc>
          <w:tcPr>
            <w:tcW w:w="602" w:type="pct"/>
            <w:vAlign w:val="center"/>
          </w:tcPr>
          <w:p w14:paraId="6E02FB8E">
            <w:pPr>
              <w:pStyle w:val="2381"/>
              <w:widowControl w:val="0"/>
              <w:spacing w:line="360" w:lineRule="exact"/>
              <w:rPr>
                <w:color w:val="auto"/>
              </w:rPr>
            </w:pPr>
            <w:r>
              <w:rPr>
                <w:rFonts w:hint="eastAsia"/>
                <w:color w:val="auto"/>
              </w:rPr>
              <w:t>SO</w:t>
            </w:r>
            <w:r>
              <w:rPr>
                <w:rFonts w:hint="eastAsia"/>
                <w:color w:val="auto"/>
                <w:vertAlign w:val="subscript"/>
              </w:rPr>
              <w:t>2</w:t>
            </w:r>
          </w:p>
        </w:tc>
        <w:tc>
          <w:tcPr>
            <w:tcW w:w="518" w:type="pct"/>
            <w:vAlign w:val="center"/>
          </w:tcPr>
          <w:p w14:paraId="037967A8">
            <w:pPr>
              <w:pStyle w:val="2381"/>
              <w:widowControl w:val="0"/>
              <w:spacing w:line="360" w:lineRule="exact"/>
              <w:rPr>
                <w:color w:val="auto"/>
              </w:rPr>
            </w:pPr>
            <w:r>
              <w:rPr>
                <w:rFonts w:hint="eastAsia"/>
                <w:color w:val="auto"/>
              </w:rPr>
              <w:t>/</w:t>
            </w:r>
          </w:p>
        </w:tc>
        <w:tc>
          <w:tcPr>
            <w:tcW w:w="518" w:type="pct"/>
            <w:vAlign w:val="center"/>
          </w:tcPr>
          <w:p w14:paraId="638A4F40">
            <w:pPr>
              <w:pStyle w:val="2381"/>
              <w:widowControl w:val="0"/>
              <w:spacing w:line="360" w:lineRule="exact"/>
              <w:rPr>
                <w:color w:val="auto"/>
              </w:rPr>
            </w:pPr>
            <w:r>
              <w:rPr>
                <w:rFonts w:hint="eastAsia"/>
                <w:color w:val="auto"/>
              </w:rPr>
              <w:t>/</w:t>
            </w:r>
          </w:p>
        </w:tc>
        <w:tc>
          <w:tcPr>
            <w:tcW w:w="520" w:type="pct"/>
            <w:vAlign w:val="center"/>
          </w:tcPr>
          <w:p w14:paraId="4C0F456F">
            <w:pPr>
              <w:pStyle w:val="2381"/>
              <w:widowControl w:val="0"/>
              <w:spacing w:line="360" w:lineRule="exact"/>
              <w:rPr>
                <w:color w:val="auto"/>
              </w:rPr>
            </w:pPr>
            <w:r>
              <w:rPr>
                <w:rFonts w:hint="eastAsia"/>
                <w:color w:val="auto"/>
              </w:rPr>
              <w:t>/</w:t>
            </w:r>
          </w:p>
        </w:tc>
        <w:tc>
          <w:tcPr>
            <w:tcW w:w="602" w:type="pct"/>
            <w:vAlign w:val="center"/>
          </w:tcPr>
          <w:p w14:paraId="00E77E7B">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4BEBEF47">
            <w:pPr>
              <w:pStyle w:val="2381"/>
              <w:widowControl w:val="0"/>
              <w:spacing w:line="360" w:lineRule="exact"/>
              <w:rPr>
                <w:color w:val="auto"/>
              </w:rPr>
            </w:pPr>
            <w:r>
              <w:rPr>
                <w:rFonts w:hint="eastAsia"/>
                <w:color w:val="auto"/>
              </w:rPr>
              <w:t>/</w:t>
            </w:r>
          </w:p>
        </w:tc>
        <w:tc>
          <w:tcPr>
            <w:tcW w:w="606" w:type="pct"/>
            <w:vAlign w:val="center"/>
          </w:tcPr>
          <w:p w14:paraId="35475248">
            <w:pPr>
              <w:pStyle w:val="2381"/>
              <w:widowControl w:val="0"/>
              <w:spacing w:line="360" w:lineRule="exact"/>
              <w:rPr>
                <w:color w:val="auto"/>
              </w:rPr>
            </w:pPr>
            <w:r>
              <w:rPr>
                <w:rFonts w:hint="eastAsia"/>
                <w:color w:val="auto"/>
              </w:rPr>
              <w:t>/</w:t>
            </w:r>
          </w:p>
        </w:tc>
        <w:tc>
          <w:tcPr>
            <w:tcW w:w="604" w:type="pct"/>
            <w:vAlign w:val="center"/>
          </w:tcPr>
          <w:p w14:paraId="0C2C7125">
            <w:pPr>
              <w:pStyle w:val="2381"/>
              <w:widowControl w:val="0"/>
              <w:spacing w:line="360" w:lineRule="exact"/>
              <w:rPr>
                <w:color w:val="auto"/>
              </w:rPr>
            </w:pPr>
            <w:r>
              <w:rPr>
                <w:rFonts w:hint="eastAsia"/>
                <w:color w:val="auto"/>
              </w:rPr>
              <w:t>/</w:t>
            </w:r>
          </w:p>
        </w:tc>
      </w:tr>
      <w:tr w14:paraId="3325CBD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55BA8C7F">
            <w:pPr>
              <w:pStyle w:val="2381"/>
              <w:widowControl w:val="0"/>
              <w:spacing w:line="360" w:lineRule="exact"/>
              <w:rPr>
                <w:color w:val="auto"/>
              </w:rPr>
            </w:pPr>
          </w:p>
        </w:tc>
        <w:tc>
          <w:tcPr>
            <w:tcW w:w="602" w:type="pct"/>
            <w:vAlign w:val="center"/>
          </w:tcPr>
          <w:p w14:paraId="70ACC218">
            <w:pPr>
              <w:pStyle w:val="2381"/>
              <w:widowControl w:val="0"/>
              <w:spacing w:line="360" w:lineRule="exact"/>
              <w:rPr>
                <w:color w:val="auto"/>
              </w:rPr>
            </w:pPr>
            <w:r>
              <w:rPr>
                <w:rFonts w:hint="eastAsia"/>
                <w:color w:val="auto"/>
              </w:rPr>
              <w:t>N</w:t>
            </w:r>
            <w:r>
              <w:rPr>
                <w:color w:val="auto"/>
              </w:rPr>
              <w:t>O</w:t>
            </w:r>
            <w:r>
              <w:rPr>
                <w:rFonts w:hint="eastAsia"/>
                <w:color w:val="auto"/>
              </w:rPr>
              <w:t>x</w:t>
            </w:r>
          </w:p>
        </w:tc>
        <w:tc>
          <w:tcPr>
            <w:tcW w:w="518" w:type="pct"/>
            <w:vAlign w:val="center"/>
          </w:tcPr>
          <w:p w14:paraId="2E9F0A61">
            <w:pPr>
              <w:pStyle w:val="2381"/>
              <w:widowControl w:val="0"/>
              <w:spacing w:line="360" w:lineRule="exact"/>
              <w:rPr>
                <w:color w:val="auto"/>
              </w:rPr>
            </w:pPr>
            <w:r>
              <w:rPr>
                <w:rFonts w:hint="eastAsia"/>
                <w:color w:val="auto"/>
              </w:rPr>
              <w:t>/</w:t>
            </w:r>
          </w:p>
        </w:tc>
        <w:tc>
          <w:tcPr>
            <w:tcW w:w="518" w:type="pct"/>
            <w:vAlign w:val="center"/>
          </w:tcPr>
          <w:p w14:paraId="265E083A">
            <w:pPr>
              <w:pStyle w:val="2381"/>
              <w:widowControl w:val="0"/>
              <w:spacing w:line="360" w:lineRule="exact"/>
              <w:rPr>
                <w:color w:val="auto"/>
              </w:rPr>
            </w:pPr>
            <w:r>
              <w:rPr>
                <w:rFonts w:hint="eastAsia"/>
                <w:color w:val="auto"/>
              </w:rPr>
              <w:t>/</w:t>
            </w:r>
          </w:p>
        </w:tc>
        <w:tc>
          <w:tcPr>
            <w:tcW w:w="520" w:type="pct"/>
            <w:vAlign w:val="center"/>
          </w:tcPr>
          <w:p w14:paraId="006E5C83">
            <w:pPr>
              <w:pStyle w:val="2381"/>
              <w:widowControl w:val="0"/>
              <w:spacing w:line="360" w:lineRule="exact"/>
              <w:rPr>
                <w:color w:val="auto"/>
              </w:rPr>
            </w:pPr>
            <w:r>
              <w:rPr>
                <w:color w:val="auto"/>
              </w:rPr>
              <w:t>○</w:t>
            </w:r>
            <w:r>
              <w:rPr>
                <w:rFonts w:hint="eastAsia"/>
                <w:color w:val="auto"/>
              </w:rPr>
              <w:t>☆</w:t>
            </w:r>
          </w:p>
        </w:tc>
        <w:tc>
          <w:tcPr>
            <w:tcW w:w="602" w:type="pct"/>
            <w:vAlign w:val="center"/>
          </w:tcPr>
          <w:p w14:paraId="24DFACFD">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33FC1D82">
            <w:pPr>
              <w:pStyle w:val="2381"/>
              <w:widowControl w:val="0"/>
              <w:spacing w:line="360" w:lineRule="exact"/>
              <w:rPr>
                <w:color w:val="auto"/>
              </w:rPr>
            </w:pPr>
            <w:r>
              <w:rPr>
                <w:rFonts w:hint="eastAsia"/>
                <w:color w:val="auto"/>
              </w:rPr>
              <w:t>/</w:t>
            </w:r>
          </w:p>
        </w:tc>
        <w:tc>
          <w:tcPr>
            <w:tcW w:w="606" w:type="pct"/>
            <w:vAlign w:val="center"/>
          </w:tcPr>
          <w:p w14:paraId="6A04E106">
            <w:pPr>
              <w:pStyle w:val="2381"/>
              <w:widowControl w:val="0"/>
              <w:spacing w:line="360" w:lineRule="exact"/>
              <w:rPr>
                <w:color w:val="auto"/>
              </w:rPr>
            </w:pPr>
            <w:r>
              <w:rPr>
                <w:rFonts w:hint="eastAsia"/>
                <w:color w:val="auto"/>
              </w:rPr>
              <w:t>/</w:t>
            </w:r>
          </w:p>
        </w:tc>
        <w:tc>
          <w:tcPr>
            <w:tcW w:w="604" w:type="pct"/>
            <w:vAlign w:val="center"/>
          </w:tcPr>
          <w:p w14:paraId="58398EBD">
            <w:pPr>
              <w:pStyle w:val="2381"/>
              <w:widowControl w:val="0"/>
              <w:spacing w:line="360" w:lineRule="exact"/>
              <w:rPr>
                <w:color w:val="auto"/>
              </w:rPr>
            </w:pPr>
            <w:r>
              <w:rPr>
                <w:rFonts w:hint="eastAsia"/>
                <w:color w:val="auto"/>
              </w:rPr>
              <w:t>/</w:t>
            </w:r>
          </w:p>
        </w:tc>
      </w:tr>
      <w:tr w14:paraId="43B111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4C0ACA01">
            <w:pPr>
              <w:pStyle w:val="2381"/>
              <w:widowControl w:val="0"/>
              <w:spacing w:line="360" w:lineRule="exact"/>
              <w:rPr>
                <w:color w:val="auto"/>
              </w:rPr>
            </w:pPr>
          </w:p>
        </w:tc>
        <w:tc>
          <w:tcPr>
            <w:tcW w:w="602" w:type="pct"/>
            <w:vAlign w:val="center"/>
          </w:tcPr>
          <w:p w14:paraId="54F477B5">
            <w:pPr>
              <w:pStyle w:val="2381"/>
              <w:widowControl w:val="0"/>
              <w:spacing w:line="360" w:lineRule="exact"/>
              <w:rPr>
                <w:color w:val="auto"/>
              </w:rPr>
            </w:pPr>
            <w:r>
              <w:rPr>
                <w:rFonts w:hint="eastAsia"/>
                <w:color w:val="auto"/>
              </w:rPr>
              <w:t>TSP</w:t>
            </w:r>
          </w:p>
        </w:tc>
        <w:tc>
          <w:tcPr>
            <w:tcW w:w="518" w:type="pct"/>
            <w:vAlign w:val="center"/>
          </w:tcPr>
          <w:p w14:paraId="41A13172">
            <w:pPr>
              <w:pStyle w:val="2381"/>
              <w:widowControl w:val="0"/>
              <w:spacing w:line="360" w:lineRule="exact"/>
              <w:rPr>
                <w:rFonts w:eastAsia="MS Mincho"/>
                <w:color w:val="auto"/>
                <w:lang w:eastAsia="ja-JP"/>
              </w:rPr>
            </w:pPr>
            <w:r>
              <w:rPr>
                <w:color w:val="auto"/>
              </w:rPr>
              <w:t>●</w:t>
            </w:r>
            <w:r>
              <w:rPr>
                <w:rFonts w:hint="eastAsia"/>
                <w:color w:val="auto"/>
              </w:rPr>
              <w:t>☆</w:t>
            </w:r>
          </w:p>
        </w:tc>
        <w:tc>
          <w:tcPr>
            <w:tcW w:w="518" w:type="pct"/>
            <w:vAlign w:val="center"/>
          </w:tcPr>
          <w:p w14:paraId="5FF2C252">
            <w:pPr>
              <w:pStyle w:val="2381"/>
              <w:widowControl w:val="0"/>
              <w:spacing w:line="360" w:lineRule="exact"/>
              <w:rPr>
                <w:color w:val="auto"/>
              </w:rPr>
            </w:pPr>
            <w:r>
              <w:rPr>
                <w:color w:val="auto"/>
              </w:rPr>
              <w:t>○</w:t>
            </w:r>
            <w:r>
              <w:rPr>
                <w:rFonts w:hint="eastAsia"/>
                <w:color w:val="auto"/>
              </w:rPr>
              <w:t>☆</w:t>
            </w:r>
          </w:p>
        </w:tc>
        <w:tc>
          <w:tcPr>
            <w:tcW w:w="520" w:type="pct"/>
            <w:vAlign w:val="center"/>
          </w:tcPr>
          <w:p w14:paraId="7F15B0CE">
            <w:pPr>
              <w:pStyle w:val="2381"/>
              <w:widowControl w:val="0"/>
              <w:spacing w:line="360" w:lineRule="exact"/>
              <w:rPr>
                <w:color w:val="auto"/>
              </w:rPr>
            </w:pPr>
            <w:r>
              <w:rPr>
                <w:color w:val="auto"/>
              </w:rPr>
              <w:t>○</w:t>
            </w:r>
            <w:r>
              <w:rPr>
                <w:rFonts w:hint="eastAsia"/>
                <w:color w:val="auto"/>
              </w:rPr>
              <w:t>☆</w:t>
            </w:r>
          </w:p>
        </w:tc>
        <w:tc>
          <w:tcPr>
            <w:tcW w:w="602" w:type="pct"/>
            <w:vAlign w:val="center"/>
          </w:tcPr>
          <w:p w14:paraId="7E2CDA0D">
            <w:pPr>
              <w:pStyle w:val="2381"/>
              <w:widowControl w:val="0"/>
              <w:spacing w:line="360" w:lineRule="exact"/>
              <w:rPr>
                <w:color w:val="auto"/>
              </w:rPr>
            </w:pPr>
            <w:r>
              <w:rPr>
                <w:rFonts w:hint="eastAsia"/>
                <w:color w:val="auto"/>
              </w:rPr>
              <w:t>/</w:t>
            </w:r>
          </w:p>
        </w:tc>
        <w:tc>
          <w:tcPr>
            <w:tcW w:w="604" w:type="pct"/>
            <w:vAlign w:val="center"/>
          </w:tcPr>
          <w:p w14:paraId="19B61172">
            <w:pPr>
              <w:pStyle w:val="2381"/>
              <w:widowControl w:val="0"/>
              <w:spacing w:line="360" w:lineRule="exact"/>
              <w:rPr>
                <w:color w:val="auto"/>
              </w:rPr>
            </w:pPr>
            <w:r>
              <w:rPr>
                <w:rFonts w:hint="eastAsia"/>
                <w:color w:val="auto"/>
              </w:rPr>
              <w:t>/</w:t>
            </w:r>
          </w:p>
        </w:tc>
        <w:tc>
          <w:tcPr>
            <w:tcW w:w="606" w:type="pct"/>
            <w:vAlign w:val="center"/>
          </w:tcPr>
          <w:p w14:paraId="78C80B77">
            <w:pPr>
              <w:pStyle w:val="2381"/>
              <w:widowControl w:val="0"/>
              <w:spacing w:line="360" w:lineRule="exact"/>
              <w:rPr>
                <w:color w:val="auto"/>
              </w:rPr>
            </w:pPr>
            <w:r>
              <w:rPr>
                <w:rFonts w:hint="eastAsia"/>
                <w:color w:val="auto"/>
              </w:rPr>
              <w:t>/</w:t>
            </w:r>
          </w:p>
        </w:tc>
        <w:tc>
          <w:tcPr>
            <w:tcW w:w="604" w:type="pct"/>
            <w:vAlign w:val="center"/>
          </w:tcPr>
          <w:p w14:paraId="2D6CD841">
            <w:pPr>
              <w:pStyle w:val="2381"/>
              <w:widowControl w:val="0"/>
              <w:spacing w:line="360" w:lineRule="exact"/>
              <w:rPr>
                <w:color w:val="auto"/>
              </w:rPr>
            </w:pPr>
            <w:r>
              <w:rPr>
                <w:rFonts w:hint="eastAsia"/>
                <w:color w:val="auto"/>
              </w:rPr>
              <w:t>/</w:t>
            </w:r>
          </w:p>
        </w:tc>
      </w:tr>
      <w:tr w14:paraId="5F7B268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7AFB2330">
            <w:pPr>
              <w:pStyle w:val="2381"/>
              <w:widowControl w:val="0"/>
              <w:spacing w:line="360" w:lineRule="exact"/>
              <w:rPr>
                <w:color w:val="auto"/>
              </w:rPr>
            </w:pPr>
          </w:p>
        </w:tc>
        <w:tc>
          <w:tcPr>
            <w:tcW w:w="602" w:type="pct"/>
            <w:vAlign w:val="center"/>
          </w:tcPr>
          <w:p w14:paraId="0F81E7E5">
            <w:pPr>
              <w:pStyle w:val="2381"/>
              <w:widowControl w:val="0"/>
              <w:spacing w:line="360" w:lineRule="exact"/>
              <w:rPr>
                <w:color w:val="auto"/>
              </w:rPr>
            </w:pPr>
            <w:r>
              <w:rPr>
                <w:rFonts w:hint="eastAsia"/>
                <w:color w:val="auto"/>
              </w:rPr>
              <w:t>PM</w:t>
            </w:r>
            <w:r>
              <w:rPr>
                <w:rFonts w:hint="eastAsia"/>
                <w:color w:val="auto"/>
                <w:vertAlign w:val="subscript"/>
              </w:rPr>
              <w:t>10</w:t>
            </w:r>
          </w:p>
        </w:tc>
        <w:tc>
          <w:tcPr>
            <w:tcW w:w="518" w:type="pct"/>
            <w:vAlign w:val="center"/>
          </w:tcPr>
          <w:p w14:paraId="05A9EE9F">
            <w:pPr>
              <w:pStyle w:val="2381"/>
              <w:widowControl w:val="0"/>
              <w:spacing w:line="360" w:lineRule="exact"/>
              <w:rPr>
                <w:color w:val="auto"/>
              </w:rPr>
            </w:pPr>
            <w:r>
              <w:rPr>
                <w:color w:val="auto"/>
              </w:rPr>
              <w:t>●</w:t>
            </w:r>
            <w:r>
              <w:rPr>
                <w:rFonts w:hint="eastAsia"/>
                <w:color w:val="auto"/>
              </w:rPr>
              <w:t>☆</w:t>
            </w:r>
          </w:p>
        </w:tc>
        <w:tc>
          <w:tcPr>
            <w:tcW w:w="518" w:type="pct"/>
            <w:vAlign w:val="center"/>
          </w:tcPr>
          <w:p w14:paraId="6334069A">
            <w:pPr>
              <w:pStyle w:val="2381"/>
              <w:widowControl w:val="0"/>
              <w:spacing w:line="360" w:lineRule="exact"/>
              <w:rPr>
                <w:color w:val="auto"/>
              </w:rPr>
            </w:pPr>
            <w:r>
              <w:rPr>
                <w:color w:val="auto"/>
              </w:rPr>
              <w:t>○</w:t>
            </w:r>
            <w:r>
              <w:rPr>
                <w:rFonts w:hint="eastAsia"/>
                <w:color w:val="auto"/>
              </w:rPr>
              <w:t>☆</w:t>
            </w:r>
          </w:p>
        </w:tc>
        <w:tc>
          <w:tcPr>
            <w:tcW w:w="520" w:type="pct"/>
            <w:vAlign w:val="center"/>
          </w:tcPr>
          <w:p w14:paraId="5DEE2EAA">
            <w:pPr>
              <w:pStyle w:val="2381"/>
              <w:widowControl w:val="0"/>
              <w:spacing w:line="360" w:lineRule="exact"/>
              <w:rPr>
                <w:color w:val="auto"/>
              </w:rPr>
            </w:pPr>
            <w:r>
              <w:rPr>
                <w:color w:val="auto"/>
              </w:rPr>
              <w:t>○</w:t>
            </w:r>
            <w:r>
              <w:rPr>
                <w:rFonts w:hint="eastAsia"/>
                <w:color w:val="auto"/>
              </w:rPr>
              <w:t>☆</w:t>
            </w:r>
          </w:p>
        </w:tc>
        <w:tc>
          <w:tcPr>
            <w:tcW w:w="602" w:type="pct"/>
            <w:vAlign w:val="center"/>
          </w:tcPr>
          <w:p w14:paraId="15811F1B">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1592FF24">
            <w:pPr>
              <w:pStyle w:val="2381"/>
              <w:widowControl w:val="0"/>
              <w:spacing w:line="360" w:lineRule="exact"/>
              <w:rPr>
                <w:color w:val="auto"/>
              </w:rPr>
            </w:pPr>
            <w:r>
              <w:rPr>
                <w:rFonts w:hint="eastAsia"/>
                <w:color w:val="auto"/>
              </w:rPr>
              <w:t>/</w:t>
            </w:r>
          </w:p>
        </w:tc>
        <w:tc>
          <w:tcPr>
            <w:tcW w:w="606" w:type="pct"/>
            <w:vAlign w:val="center"/>
          </w:tcPr>
          <w:p w14:paraId="4352C1A0">
            <w:pPr>
              <w:pStyle w:val="2381"/>
              <w:widowControl w:val="0"/>
              <w:spacing w:line="360" w:lineRule="exact"/>
              <w:rPr>
                <w:color w:val="auto"/>
              </w:rPr>
            </w:pPr>
            <w:r>
              <w:rPr>
                <w:rFonts w:hint="eastAsia"/>
                <w:color w:val="auto"/>
              </w:rPr>
              <w:t>/</w:t>
            </w:r>
          </w:p>
        </w:tc>
        <w:tc>
          <w:tcPr>
            <w:tcW w:w="604" w:type="pct"/>
            <w:vAlign w:val="center"/>
          </w:tcPr>
          <w:p w14:paraId="58DADDC8">
            <w:pPr>
              <w:pStyle w:val="2381"/>
              <w:widowControl w:val="0"/>
              <w:spacing w:line="360" w:lineRule="exact"/>
              <w:rPr>
                <w:color w:val="auto"/>
              </w:rPr>
            </w:pPr>
            <w:r>
              <w:rPr>
                <w:rFonts w:hint="eastAsia"/>
                <w:color w:val="auto"/>
              </w:rPr>
              <w:t>/</w:t>
            </w:r>
          </w:p>
        </w:tc>
      </w:tr>
      <w:tr w14:paraId="0D038E3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128135CD">
            <w:pPr>
              <w:pStyle w:val="2381"/>
              <w:widowControl w:val="0"/>
              <w:spacing w:line="360" w:lineRule="exact"/>
              <w:rPr>
                <w:color w:val="auto"/>
              </w:rPr>
            </w:pPr>
          </w:p>
        </w:tc>
        <w:tc>
          <w:tcPr>
            <w:tcW w:w="602" w:type="pct"/>
            <w:vAlign w:val="center"/>
          </w:tcPr>
          <w:p w14:paraId="01F9B485">
            <w:pPr>
              <w:pStyle w:val="2381"/>
              <w:widowControl w:val="0"/>
              <w:spacing w:line="360" w:lineRule="exact"/>
              <w:rPr>
                <w:color w:val="auto"/>
              </w:rPr>
            </w:pPr>
            <w:r>
              <w:rPr>
                <w:rFonts w:hint="eastAsia"/>
                <w:color w:val="auto"/>
              </w:rPr>
              <w:t>PM</w:t>
            </w:r>
            <w:r>
              <w:rPr>
                <w:rFonts w:hint="eastAsia"/>
                <w:color w:val="auto"/>
                <w:vertAlign w:val="subscript"/>
              </w:rPr>
              <w:t>2.5</w:t>
            </w:r>
          </w:p>
        </w:tc>
        <w:tc>
          <w:tcPr>
            <w:tcW w:w="518" w:type="pct"/>
            <w:vAlign w:val="center"/>
          </w:tcPr>
          <w:p w14:paraId="638F0AE3">
            <w:pPr>
              <w:pStyle w:val="2381"/>
              <w:widowControl w:val="0"/>
              <w:spacing w:line="360" w:lineRule="exact"/>
              <w:rPr>
                <w:color w:val="auto"/>
              </w:rPr>
            </w:pPr>
            <w:r>
              <w:rPr>
                <w:color w:val="auto"/>
              </w:rPr>
              <w:t>○</w:t>
            </w:r>
            <w:r>
              <w:rPr>
                <w:rFonts w:hint="eastAsia"/>
                <w:color w:val="auto"/>
              </w:rPr>
              <w:t>☆</w:t>
            </w:r>
          </w:p>
        </w:tc>
        <w:tc>
          <w:tcPr>
            <w:tcW w:w="518" w:type="pct"/>
            <w:vAlign w:val="center"/>
          </w:tcPr>
          <w:p w14:paraId="01A185A1">
            <w:pPr>
              <w:pStyle w:val="2381"/>
              <w:widowControl w:val="0"/>
              <w:spacing w:line="360" w:lineRule="exact"/>
              <w:rPr>
                <w:color w:val="auto"/>
              </w:rPr>
            </w:pPr>
            <w:r>
              <w:rPr>
                <w:color w:val="auto"/>
              </w:rPr>
              <w:t>○</w:t>
            </w:r>
            <w:r>
              <w:rPr>
                <w:rFonts w:hint="eastAsia"/>
                <w:color w:val="auto"/>
              </w:rPr>
              <w:t>☆</w:t>
            </w:r>
          </w:p>
        </w:tc>
        <w:tc>
          <w:tcPr>
            <w:tcW w:w="520" w:type="pct"/>
            <w:vAlign w:val="center"/>
          </w:tcPr>
          <w:p w14:paraId="2C902FD5">
            <w:pPr>
              <w:pStyle w:val="2381"/>
              <w:widowControl w:val="0"/>
              <w:spacing w:line="360" w:lineRule="exact"/>
              <w:rPr>
                <w:color w:val="auto"/>
              </w:rPr>
            </w:pPr>
            <w:r>
              <w:rPr>
                <w:color w:val="auto"/>
              </w:rPr>
              <w:t>○</w:t>
            </w:r>
            <w:r>
              <w:rPr>
                <w:rFonts w:hint="eastAsia"/>
                <w:color w:val="auto"/>
              </w:rPr>
              <w:t>☆</w:t>
            </w:r>
          </w:p>
        </w:tc>
        <w:tc>
          <w:tcPr>
            <w:tcW w:w="602" w:type="pct"/>
            <w:vAlign w:val="center"/>
          </w:tcPr>
          <w:p w14:paraId="3287B6A7">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1B76F375">
            <w:pPr>
              <w:pStyle w:val="2381"/>
              <w:widowControl w:val="0"/>
              <w:spacing w:line="360" w:lineRule="exact"/>
              <w:rPr>
                <w:color w:val="auto"/>
              </w:rPr>
            </w:pPr>
            <w:r>
              <w:rPr>
                <w:rFonts w:hint="eastAsia"/>
                <w:color w:val="auto"/>
              </w:rPr>
              <w:t>/</w:t>
            </w:r>
          </w:p>
        </w:tc>
        <w:tc>
          <w:tcPr>
            <w:tcW w:w="606" w:type="pct"/>
            <w:vAlign w:val="center"/>
          </w:tcPr>
          <w:p w14:paraId="3D6695F9">
            <w:pPr>
              <w:pStyle w:val="2381"/>
              <w:widowControl w:val="0"/>
              <w:spacing w:line="360" w:lineRule="exact"/>
              <w:rPr>
                <w:color w:val="auto"/>
              </w:rPr>
            </w:pPr>
            <w:r>
              <w:rPr>
                <w:rFonts w:hint="eastAsia"/>
                <w:color w:val="auto"/>
              </w:rPr>
              <w:t>/</w:t>
            </w:r>
          </w:p>
        </w:tc>
        <w:tc>
          <w:tcPr>
            <w:tcW w:w="604" w:type="pct"/>
            <w:vAlign w:val="center"/>
          </w:tcPr>
          <w:p w14:paraId="23945813">
            <w:pPr>
              <w:pStyle w:val="2381"/>
              <w:widowControl w:val="0"/>
              <w:spacing w:line="360" w:lineRule="exact"/>
              <w:rPr>
                <w:color w:val="auto"/>
              </w:rPr>
            </w:pPr>
            <w:r>
              <w:rPr>
                <w:rFonts w:hint="eastAsia"/>
                <w:color w:val="auto"/>
              </w:rPr>
              <w:t>/</w:t>
            </w:r>
          </w:p>
        </w:tc>
      </w:tr>
      <w:tr w14:paraId="099B35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5C72DDF8">
            <w:pPr>
              <w:pStyle w:val="2381"/>
              <w:widowControl w:val="0"/>
              <w:spacing w:line="360" w:lineRule="exact"/>
              <w:rPr>
                <w:color w:val="auto"/>
              </w:rPr>
            </w:pPr>
          </w:p>
        </w:tc>
        <w:tc>
          <w:tcPr>
            <w:tcW w:w="602" w:type="pct"/>
            <w:vAlign w:val="center"/>
          </w:tcPr>
          <w:p w14:paraId="3DBA49B6">
            <w:pPr>
              <w:pStyle w:val="2381"/>
              <w:widowControl w:val="0"/>
              <w:spacing w:line="360" w:lineRule="exact"/>
              <w:rPr>
                <w:color w:val="auto"/>
              </w:rPr>
            </w:pPr>
            <w:r>
              <w:rPr>
                <w:color w:val="auto"/>
                <w:szCs w:val="21"/>
              </w:rPr>
              <w:t>NH</w:t>
            </w:r>
            <w:r>
              <w:rPr>
                <w:color w:val="auto"/>
                <w:szCs w:val="21"/>
                <w:vertAlign w:val="subscript"/>
              </w:rPr>
              <w:t>3</w:t>
            </w:r>
          </w:p>
        </w:tc>
        <w:tc>
          <w:tcPr>
            <w:tcW w:w="518" w:type="pct"/>
            <w:vAlign w:val="center"/>
          </w:tcPr>
          <w:p w14:paraId="2EAAA40F">
            <w:pPr>
              <w:pStyle w:val="2381"/>
              <w:widowControl w:val="0"/>
              <w:spacing w:line="360" w:lineRule="exact"/>
              <w:rPr>
                <w:color w:val="auto"/>
              </w:rPr>
            </w:pPr>
            <w:r>
              <w:rPr>
                <w:rFonts w:hint="eastAsia"/>
                <w:color w:val="auto"/>
              </w:rPr>
              <w:t>/</w:t>
            </w:r>
          </w:p>
        </w:tc>
        <w:tc>
          <w:tcPr>
            <w:tcW w:w="518" w:type="pct"/>
            <w:vAlign w:val="center"/>
          </w:tcPr>
          <w:p w14:paraId="63649E3A">
            <w:pPr>
              <w:pStyle w:val="2381"/>
              <w:widowControl w:val="0"/>
              <w:spacing w:line="360" w:lineRule="exact"/>
              <w:rPr>
                <w:color w:val="auto"/>
              </w:rPr>
            </w:pPr>
            <w:r>
              <w:rPr>
                <w:rFonts w:hint="eastAsia"/>
                <w:color w:val="auto"/>
              </w:rPr>
              <w:t>/</w:t>
            </w:r>
          </w:p>
        </w:tc>
        <w:tc>
          <w:tcPr>
            <w:tcW w:w="520" w:type="pct"/>
            <w:vAlign w:val="center"/>
          </w:tcPr>
          <w:p w14:paraId="2616FB8D">
            <w:pPr>
              <w:pStyle w:val="2381"/>
              <w:widowControl w:val="0"/>
              <w:spacing w:line="360" w:lineRule="exact"/>
              <w:rPr>
                <w:color w:val="auto"/>
              </w:rPr>
            </w:pPr>
            <w:r>
              <w:rPr>
                <w:rFonts w:hint="eastAsia"/>
                <w:color w:val="auto"/>
              </w:rPr>
              <w:t>/</w:t>
            </w:r>
          </w:p>
        </w:tc>
        <w:tc>
          <w:tcPr>
            <w:tcW w:w="602" w:type="pct"/>
            <w:vAlign w:val="center"/>
          </w:tcPr>
          <w:p w14:paraId="5ABD19F3">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2399754B">
            <w:pPr>
              <w:pStyle w:val="2381"/>
              <w:widowControl w:val="0"/>
              <w:spacing w:line="360" w:lineRule="exact"/>
              <w:rPr>
                <w:color w:val="auto"/>
              </w:rPr>
            </w:pPr>
            <w:r>
              <w:rPr>
                <w:rFonts w:hint="eastAsia"/>
                <w:color w:val="auto"/>
              </w:rPr>
              <w:t>/</w:t>
            </w:r>
          </w:p>
        </w:tc>
        <w:tc>
          <w:tcPr>
            <w:tcW w:w="606" w:type="pct"/>
            <w:vAlign w:val="center"/>
          </w:tcPr>
          <w:p w14:paraId="513574F1">
            <w:pPr>
              <w:pStyle w:val="2381"/>
              <w:widowControl w:val="0"/>
              <w:spacing w:line="360" w:lineRule="exact"/>
              <w:rPr>
                <w:color w:val="auto"/>
              </w:rPr>
            </w:pPr>
            <w:r>
              <w:rPr>
                <w:rFonts w:hint="eastAsia"/>
                <w:color w:val="auto"/>
              </w:rPr>
              <w:t>/</w:t>
            </w:r>
          </w:p>
        </w:tc>
        <w:tc>
          <w:tcPr>
            <w:tcW w:w="604" w:type="pct"/>
            <w:vAlign w:val="center"/>
          </w:tcPr>
          <w:p w14:paraId="0AD43252">
            <w:pPr>
              <w:pStyle w:val="2381"/>
              <w:widowControl w:val="0"/>
              <w:spacing w:line="360" w:lineRule="exact"/>
              <w:rPr>
                <w:color w:val="auto"/>
              </w:rPr>
            </w:pPr>
            <w:r>
              <w:rPr>
                <w:rFonts w:hint="eastAsia"/>
                <w:color w:val="auto"/>
              </w:rPr>
              <w:t>/</w:t>
            </w:r>
          </w:p>
        </w:tc>
      </w:tr>
      <w:tr w14:paraId="6BEC47E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225D74EF">
            <w:pPr>
              <w:pStyle w:val="2381"/>
              <w:widowControl w:val="0"/>
              <w:spacing w:line="360" w:lineRule="exact"/>
              <w:rPr>
                <w:color w:val="auto"/>
              </w:rPr>
            </w:pPr>
          </w:p>
        </w:tc>
        <w:tc>
          <w:tcPr>
            <w:tcW w:w="602" w:type="pct"/>
            <w:vAlign w:val="center"/>
          </w:tcPr>
          <w:p w14:paraId="765BC299">
            <w:pPr>
              <w:pStyle w:val="2381"/>
              <w:widowControl w:val="0"/>
              <w:spacing w:line="360" w:lineRule="exact"/>
              <w:rPr>
                <w:color w:val="auto"/>
                <w:szCs w:val="21"/>
              </w:rPr>
            </w:pPr>
            <w:r>
              <w:rPr>
                <w:rFonts w:hint="eastAsia"/>
                <w:color w:val="auto"/>
                <w:szCs w:val="21"/>
              </w:rPr>
              <w:t>镍</w:t>
            </w:r>
          </w:p>
        </w:tc>
        <w:tc>
          <w:tcPr>
            <w:tcW w:w="518" w:type="pct"/>
            <w:vAlign w:val="center"/>
          </w:tcPr>
          <w:p w14:paraId="39455640">
            <w:pPr>
              <w:pStyle w:val="2381"/>
              <w:widowControl w:val="0"/>
              <w:spacing w:line="360" w:lineRule="exact"/>
              <w:rPr>
                <w:color w:val="auto"/>
              </w:rPr>
            </w:pPr>
            <w:r>
              <w:rPr>
                <w:rFonts w:hint="eastAsia"/>
                <w:color w:val="auto"/>
              </w:rPr>
              <w:t>/</w:t>
            </w:r>
          </w:p>
        </w:tc>
        <w:tc>
          <w:tcPr>
            <w:tcW w:w="518" w:type="pct"/>
            <w:vAlign w:val="center"/>
          </w:tcPr>
          <w:p w14:paraId="340ABA08">
            <w:pPr>
              <w:pStyle w:val="2381"/>
              <w:widowControl w:val="0"/>
              <w:spacing w:line="360" w:lineRule="exact"/>
              <w:rPr>
                <w:color w:val="auto"/>
              </w:rPr>
            </w:pPr>
            <w:r>
              <w:rPr>
                <w:rFonts w:hint="eastAsia"/>
                <w:color w:val="auto"/>
              </w:rPr>
              <w:t>/</w:t>
            </w:r>
          </w:p>
        </w:tc>
        <w:tc>
          <w:tcPr>
            <w:tcW w:w="520" w:type="pct"/>
            <w:vAlign w:val="center"/>
          </w:tcPr>
          <w:p w14:paraId="1A8F8426">
            <w:pPr>
              <w:pStyle w:val="2381"/>
              <w:widowControl w:val="0"/>
              <w:spacing w:line="360" w:lineRule="exact"/>
              <w:rPr>
                <w:color w:val="auto"/>
              </w:rPr>
            </w:pPr>
            <w:r>
              <w:rPr>
                <w:rFonts w:hint="eastAsia"/>
                <w:color w:val="auto"/>
              </w:rPr>
              <w:t>/</w:t>
            </w:r>
          </w:p>
        </w:tc>
        <w:tc>
          <w:tcPr>
            <w:tcW w:w="602" w:type="pct"/>
            <w:vAlign w:val="center"/>
          </w:tcPr>
          <w:p w14:paraId="0ECD64F9">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78A75CA6">
            <w:pPr>
              <w:pStyle w:val="2381"/>
              <w:widowControl w:val="0"/>
              <w:spacing w:line="360" w:lineRule="exact"/>
              <w:rPr>
                <w:color w:val="auto"/>
              </w:rPr>
            </w:pPr>
            <w:r>
              <w:rPr>
                <w:rFonts w:hint="eastAsia"/>
                <w:color w:val="auto"/>
              </w:rPr>
              <w:t>/</w:t>
            </w:r>
          </w:p>
        </w:tc>
        <w:tc>
          <w:tcPr>
            <w:tcW w:w="606" w:type="pct"/>
            <w:vAlign w:val="center"/>
          </w:tcPr>
          <w:p w14:paraId="479A5559">
            <w:pPr>
              <w:pStyle w:val="2381"/>
              <w:widowControl w:val="0"/>
              <w:spacing w:line="360" w:lineRule="exact"/>
              <w:rPr>
                <w:color w:val="auto"/>
              </w:rPr>
            </w:pPr>
            <w:r>
              <w:rPr>
                <w:rFonts w:hint="eastAsia"/>
                <w:color w:val="auto"/>
              </w:rPr>
              <w:t>/</w:t>
            </w:r>
          </w:p>
        </w:tc>
        <w:tc>
          <w:tcPr>
            <w:tcW w:w="604" w:type="pct"/>
            <w:vAlign w:val="center"/>
          </w:tcPr>
          <w:p w14:paraId="06C919B7">
            <w:pPr>
              <w:pStyle w:val="2381"/>
              <w:widowControl w:val="0"/>
              <w:spacing w:line="360" w:lineRule="exact"/>
              <w:rPr>
                <w:color w:val="auto"/>
              </w:rPr>
            </w:pPr>
            <w:r>
              <w:rPr>
                <w:rFonts w:hint="eastAsia"/>
                <w:color w:val="auto"/>
              </w:rPr>
              <w:t>/</w:t>
            </w:r>
          </w:p>
        </w:tc>
      </w:tr>
      <w:tr w14:paraId="720489E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628FABF4">
            <w:pPr>
              <w:pStyle w:val="2381"/>
              <w:widowControl w:val="0"/>
              <w:spacing w:line="360" w:lineRule="exact"/>
              <w:rPr>
                <w:color w:val="auto"/>
              </w:rPr>
            </w:pPr>
          </w:p>
        </w:tc>
        <w:tc>
          <w:tcPr>
            <w:tcW w:w="602" w:type="pct"/>
            <w:vAlign w:val="center"/>
          </w:tcPr>
          <w:p w14:paraId="3CC4A8A6">
            <w:pPr>
              <w:pStyle w:val="2381"/>
              <w:widowControl w:val="0"/>
              <w:spacing w:line="360" w:lineRule="exact"/>
              <w:rPr>
                <w:color w:val="auto"/>
                <w:szCs w:val="21"/>
              </w:rPr>
            </w:pPr>
            <w:r>
              <w:rPr>
                <w:rFonts w:hint="eastAsia"/>
                <w:color w:val="auto"/>
                <w:szCs w:val="21"/>
              </w:rPr>
              <w:t>钴</w:t>
            </w:r>
          </w:p>
        </w:tc>
        <w:tc>
          <w:tcPr>
            <w:tcW w:w="518" w:type="pct"/>
            <w:vAlign w:val="center"/>
          </w:tcPr>
          <w:p w14:paraId="5F86CF8E">
            <w:pPr>
              <w:pStyle w:val="2381"/>
              <w:widowControl w:val="0"/>
              <w:spacing w:line="360" w:lineRule="exact"/>
              <w:rPr>
                <w:color w:val="auto"/>
              </w:rPr>
            </w:pPr>
            <w:r>
              <w:rPr>
                <w:rFonts w:hint="eastAsia"/>
                <w:color w:val="auto"/>
              </w:rPr>
              <w:t>/</w:t>
            </w:r>
          </w:p>
        </w:tc>
        <w:tc>
          <w:tcPr>
            <w:tcW w:w="518" w:type="pct"/>
            <w:vAlign w:val="center"/>
          </w:tcPr>
          <w:p w14:paraId="51D55FF7">
            <w:pPr>
              <w:pStyle w:val="2381"/>
              <w:widowControl w:val="0"/>
              <w:spacing w:line="360" w:lineRule="exact"/>
              <w:rPr>
                <w:color w:val="auto"/>
              </w:rPr>
            </w:pPr>
            <w:r>
              <w:rPr>
                <w:rFonts w:hint="eastAsia"/>
                <w:color w:val="auto"/>
              </w:rPr>
              <w:t>/</w:t>
            </w:r>
          </w:p>
        </w:tc>
        <w:tc>
          <w:tcPr>
            <w:tcW w:w="520" w:type="pct"/>
            <w:vAlign w:val="center"/>
          </w:tcPr>
          <w:p w14:paraId="01CF575C">
            <w:pPr>
              <w:pStyle w:val="2381"/>
              <w:widowControl w:val="0"/>
              <w:spacing w:line="360" w:lineRule="exact"/>
              <w:rPr>
                <w:color w:val="auto"/>
              </w:rPr>
            </w:pPr>
            <w:r>
              <w:rPr>
                <w:rFonts w:hint="eastAsia"/>
                <w:color w:val="auto"/>
              </w:rPr>
              <w:t>/</w:t>
            </w:r>
          </w:p>
        </w:tc>
        <w:tc>
          <w:tcPr>
            <w:tcW w:w="602" w:type="pct"/>
            <w:vAlign w:val="center"/>
          </w:tcPr>
          <w:p w14:paraId="0A57029F">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470C48F5">
            <w:pPr>
              <w:pStyle w:val="2381"/>
              <w:widowControl w:val="0"/>
              <w:spacing w:line="360" w:lineRule="exact"/>
              <w:rPr>
                <w:color w:val="auto"/>
              </w:rPr>
            </w:pPr>
            <w:r>
              <w:rPr>
                <w:rFonts w:hint="eastAsia"/>
                <w:color w:val="auto"/>
              </w:rPr>
              <w:t>/</w:t>
            </w:r>
          </w:p>
        </w:tc>
        <w:tc>
          <w:tcPr>
            <w:tcW w:w="606" w:type="pct"/>
            <w:vAlign w:val="center"/>
          </w:tcPr>
          <w:p w14:paraId="3D57BC81">
            <w:pPr>
              <w:pStyle w:val="2381"/>
              <w:widowControl w:val="0"/>
              <w:spacing w:line="360" w:lineRule="exact"/>
              <w:rPr>
                <w:color w:val="auto"/>
              </w:rPr>
            </w:pPr>
            <w:r>
              <w:rPr>
                <w:rFonts w:hint="eastAsia"/>
                <w:color w:val="auto"/>
              </w:rPr>
              <w:t>/</w:t>
            </w:r>
          </w:p>
        </w:tc>
        <w:tc>
          <w:tcPr>
            <w:tcW w:w="604" w:type="pct"/>
            <w:vAlign w:val="center"/>
          </w:tcPr>
          <w:p w14:paraId="69E785CA">
            <w:pPr>
              <w:pStyle w:val="2381"/>
              <w:widowControl w:val="0"/>
              <w:spacing w:line="360" w:lineRule="exact"/>
              <w:rPr>
                <w:color w:val="auto"/>
              </w:rPr>
            </w:pPr>
            <w:r>
              <w:rPr>
                <w:rFonts w:hint="eastAsia"/>
                <w:color w:val="auto"/>
              </w:rPr>
              <w:t>/</w:t>
            </w:r>
          </w:p>
        </w:tc>
      </w:tr>
      <w:tr w14:paraId="5948E46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332C0005">
            <w:pPr>
              <w:pStyle w:val="2381"/>
              <w:widowControl w:val="0"/>
              <w:spacing w:line="360" w:lineRule="exact"/>
              <w:rPr>
                <w:color w:val="auto"/>
              </w:rPr>
            </w:pPr>
          </w:p>
        </w:tc>
        <w:tc>
          <w:tcPr>
            <w:tcW w:w="602" w:type="pct"/>
            <w:vAlign w:val="center"/>
          </w:tcPr>
          <w:p w14:paraId="3A099F33">
            <w:pPr>
              <w:pStyle w:val="2381"/>
              <w:widowControl w:val="0"/>
              <w:spacing w:line="360" w:lineRule="exact"/>
              <w:rPr>
                <w:color w:val="auto"/>
                <w:szCs w:val="21"/>
              </w:rPr>
            </w:pPr>
            <w:r>
              <w:rPr>
                <w:rFonts w:hint="eastAsia"/>
                <w:color w:val="auto"/>
                <w:szCs w:val="21"/>
              </w:rPr>
              <w:t>钼</w:t>
            </w:r>
          </w:p>
        </w:tc>
        <w:tc>
          <w:tcPr>
            <w:tcW w:w="518" w:type="pct"/>
            <w:vAlign w:val="center"/>
          </w:tcPr>
          <w:p w14:paraId="1E2D4A23">
            <w:pPr>
              <w:pStyle w:val="2381"/>
              <w:widowControl w:val="0"/>
              <w:spacing w:line="360" w:lineRule="exact"/>
              <w:rPr>
                <w:color w:val="auto"/>
              </w:rPr>
            </w:pPr>
            <w:r>
              <w:rPr>
                <w:rFonts w:hint="eastAsia"/>
                <w:color w:val="auto"/>
              </w:rPr>
              <w:t>/</w:t>
            </w:r>
          </w:p>
        </w:tc>
        <w:tc>
          <w:tcPr>
            <w:tcW w:w="518" w:type="pct"/>
            <w:vAlign w:val="center"/>
          </w:tcPr>
          <w:p w14:paraId="4A81D5B0">
            <w:pPr>
              <w:pStyle w:val="2381"/>
              <w:widowControl w:val="0"/>
              <w:spacing w:line="360" w:lineRule="exact"/>
              <w:rPr>
                <w:color w:val="auto"/>
              </w:rPr>
            </w:pPr>
            <w:r>
              <w:rPr>
                <w:rFonts w:hint="eastAsia"/>
                <w:color w:val="auto"/>
              </w:rPr>
              <w:t>/</w:t>
            </w:r>
          </w:p>
        </w:tc>
        <w:tc>
          <w:tcPr>
            <w:tcW w:w="520" w:type="pct"/>
            <w:vAlign w:val="center"/>
          </w:tcPr>
          <w:p w14:paraId="71EFAAE2">
            <w:pPr>
              <w:pStyle w:val="2381"/>
              <w:widowControl w:val="0"/>
              <w:spacing w:line="360" w:lineRule="exact"/>
              <w:rPr>
                <w:color w:val="auto"/>
              </w:rPr>
            </w:pPr>
            <w:r>
              <w:rPr>
                <w:rFonts w:hint="eastAsia"/>
                <w:color w:val="auto"/>
              </w:rPr>
              <w:t>/</w:t>
            </w:r>
          </w:p>
        </w:tc>
        <w:tc>
          <w:tcPr>
            <w:tcW w:w="602" w:type="pct"/>
            <w:vAlign w:val="center"/>
          </w:tcPr>
          <w:p w14:paraId="127B9A2A">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2AD5ECB0">
            <w:pPr>
              <w:pStyle w:val="2381"/>
              <w:widowControl w:val="0"/>
              <w:spacing w:line="360" w:lineRule="exact"/>
              <w:rPr>
                <w:color w:val="auto"/>
              </w:rPr>
            </w:pPr>
            <w:r>
              <w:rPr>
                <w:rFonts w:hint="eastAsia"/>
                <w:color w:val="auto"/>
              </w:rPr>
              <w:t>/</w:t>
            </w:r>
          </w:p>
        </w:tc>
        <w:tc>
          <w:tcPr>
            <w:tcW w:w="606" w:type="pct"/>
            <w:vAlign w:val="center"/>
          </w:tcPr>
          <w:p w14:paraId="6BE5F4F3">
            <w:pPr>
              <w:pStyle w:val="2381"/>
              <w:widowControl w:val="0"/>
              <w:spacing w:line="360" w:lineRule="exact"/>
              <w:rPr>
                <w:color w:val="auto"/>
              </w:rPr>
            </w:pPr>
            <w:r>
              <w:rPr>
                <w:rFonts w:hint="eastAsia"/>
                <w:color w:val="auto"/>
              </w:rPr>
              <w:t>/</w:t>
            </w:r>
          </w:p>
        </w:tc>
        <w:tc>
          <w:tcPr>
            <w:tcW w:w="604" w:type="pct"/>
            <w:vAlign w:val="center"/>
          </w:tcPr>
          <w:p w14:paraId="6FF30663">
            <w:pPr>
              <w:pStyle w:val="2381"/>
              <w:widowControl w:val="0"/>
              <w:spacing w:line="360" w:lineRule="exact"/>
              <w:rPr>
                <w:color w:val="auto"/>
              </w:rPr>
            </w:pPr>
            <w:r>
              <w:rPr>
                <w:rFonts w:hint="eastAsia"/>
                <w:color w:val="auto"/>
              </w:rPr>
              <w:t>/</w:t>
            </w:r>
          </w:p>
        </w:tc>
      </w:tr>
      <w:tr w14:paraId="76542F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5C6EEE33">
            <w:pPr>
              <w:pStyle w:val="2381"/>
              <w:widowControl w:val="0"/>
              <w:spacing w:line="360" w:lineRule="exact"/>
              <w:rPr>
                <w:color w:val="auto"/>
              </w:rPr>
            </w:pPr>
          </w:p>
        </w:tc>
        <w:tc>
          <w:tcPr>
            <w:tcW w:w="602" w:type="pct"/>
            <w:vAlign w:val="center"/>
          </w:tcPr>
          <w:p w14:paraId="26B50FDE">
            <w:pPr>
              <w:pStyle w:val="2381"/>
              <w:widowControl w:val="0"/>
              <w:spacing w:line="360" w:lineRule="exact"/>
              <w:rPr>
                <w:color w:val="auto"/>
                <w:szCs w:val="21"/>
              </w:rPr>
            </w:pPr>
            <w:r>
              <w:rPr>
                <w:rFonts w:hint="eastAsia"/>
                <w:color w:val="auto"/>
                <w:szCs w:val="21"/>
              </w:rPr>
              <w:t>锰</w:t>
            </w:r>
          </w:p>
        </w:tc>
        <w:tc>
          <w:tcPr>
            <w:tcW w:w="518" w:type="pct"/>
            <w:vAlign w:val="center"/>
          </w:tcPr>
          <w:p w14:paraId="0B2E7C5C">
            <w:pPr>
              <w:pStyle w:val="2381"/>
              <w:widowControl w:val="0"/>
              <w:spacing w:line="360" w:lineRule="exact"/>
              <w:rPr>
                <w:color w:val="auto"/>
              </w:rPr>
            </w:pPr>
            <w:r>
              <w:rPr>
                <w:rFonts w:hint="eastAsia"/>
                <w:color w:val="auto"/>
              </w:rPr>
              <w:t>/</w:t>
            </w:r>
          </w:p>
        </w:tc>
        <w:tc>
          <w:tcPr>
            <w:tcW w:w="518" w:type="pct"/>
            <w:vAlign w:val="center"/>
          </w:tcPr>
          <w:p w14:paraId="11659E8E">
            <w:pPr>
              <w:pStyle w:val="2381"/>
              <w:widowControl w:val="0"/>
              <w:spacing w:line="360" w:lineRule="exact"/>
              <w:rPr>
                <w:color w:val="auto"/>
              </w:rPr>
            </w:pPr>
            <w:r>
              <w:rPr>
                <w:rFonts w:hint="eastAsia"/>
                <w:color w:val="auto"/>
              </w:rPr>
              <w:t>/</w:t>
            </w:r>
          </w:p>
        </w:tc>
        <w:tc>
          <w:tcPr>
            <w:tcW w:w="520" w:type="pct"/>
            <w:vAlign w:val="center"/>
          </w:tcPr>
          <w:p w14:paraId="02806BDB">
            <w:pPr>
              <w:pStyle w:val="2381"/>
              <w:widowControl w:val="0"/>
              <w:spacing w:line="360" w:lineRule="exact"/>
              <w:rPr>
                <w:color w:val="auto"/>
              </w:rPr>
            </w:pPr>
            <w:r>
              <w:rPr>
                <w:rFonts w:hint="eastAsia"/>
                <w:color w:val="auto"/>
              </w:rPr>
              <w:t>/</w:t>
            </w:r>
          </w:p>
        </w:tc>
        <w:tc>
          <w:tcPr>
            <w:tcW w:w="602" w:type="pct"/>
            <w:vAlign w:val="center"/>
          </w:tcPr>
          <w:p w14:paraId="13B661DD">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56D522B1">
            <w:pPr>
              <w:pStyle w:val="2381"/>
              <w:widowControl w:val="0"/>
              <w:spacing w:line="360" w:lineRule="exact"/>
              <w:rPr>
                <w:color w:val="auto"/>
              </w:rPr>
            </w:pPr>
            <w:r>
              <w:rPr>
                <w:rFonts w:hint="eastAsia"/>
                <w:color w:val="auto"/>
              </w:rPr>
              <w:t>/</w:t>
            </w:r>
          </w:p>
        </w:tc>
        <w:tc>
          <w:tcPr>
            <w:tcW w:w="606" w:type="pct"/>
            <w:vAlign w:val="center"/>
          </w:tcPr>
          <w:p w14:paraId="49A0D51D">
            <w:pPr>
              <w:pStyle w:val="2381"/>
              <w:widowControl w:val="0"/>
              <w:spacing w:line="360" w:lineRule="exact"/>
              <w:rPr>
                <w:color w:val="auto"/>
              </w:rPr>
            </w:pPr>
            <w:r>
              <w:rPr>
                <w:rFonts w:hint="eastAsia"/>
                <w:color w:val="auto"/>
              </w:rPr>
              <w:t>/</w:t>
            </w:r>
          </w:p>
        </w:tc>
        <w:tc>
          <w:tcPr>
            <w:tcW w:w="604" w:type="pct"/>
            <w:vAlign w:val="center"/>
          </w:tcPr>
          <w:p w14:paraId="3A1C9A31">
            <w:pPr>
              <w:pStyle w:val="2381"/>
              <w:widowControl w:val="0"/>
              <w:spacing w:line="360" w:lineRule="exact"/>
              <w:rPr>
                <w:color w:val="auto"/>
              </w:rPr>
            </w:pPr>
            <w:r>
              <w:rPr>
                <w:rFonts w:hint="eastAsia"/>
                <w:color w:val="auto"/>
              </w:rPr>
              <w:t>/</w:t>
            </w:r>
          </w:p>
        </w:tc>
      </w:tr>
      <w:tr w14:paraId="7A44172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16B9C74D">
            <w:pPr>
              <w:pStyle w:val="2381"/>
              <w:widowControl w:val="0"/>
              <w:spacing w:line="360" w:lineRule="exact"/>
              <w:rPr>
                <w:color w:val="auto"/>
              </w:rPr>
            </w:pPr>
          </w:p>
        </w:tc>
        <w:tc>
          <w:tcPr>
            <w:tcW w:w="602" w:type="pct"/>
            <w:vAlign w:val="center"/>
          </w:tcPr>
          <w:p w14:paraId="701F9EED">
            <w:pPr>
              <w:pStyle w:val="2381"/>
              <w:widowControl w:val="0"/>
              <w:spacing w:line="360" w:lineRule="exact"/>
              <w:rPr>
                <w:color w:val="auto"/>
                <w:szCs w:val="21"/>
              </w:rPr>
            </w:pPr>
            <w:r>
              <w:rPr>
                <w:rFonts w:hint="eastAsia"/>
                <w:color w:val="auto"/>
                <w:szCs w:val="21"/>
              </w:rPr>
              <w:t>铜</w:t>
            </w:r>
          </w:p>
        </w:tc>
        <w:tc>
          <w:tcPr>
            <w:tcW w:w="518" w:type="pct"/>
            <w:vAlign w:val="center"/>
          </w:tcPr>
          <w:p w14:paraId="0820CEA8">
            <w:pPr>
              <w:pStyle w:val="2381"/>
              <w:widowControl w:val="0"/>
              <w:spacing w:line="360" w:lineRule="exact"/>
              <w:rPr>
                <w:color w:val="auto"/>
              </w:rPr>
            </w:pPr>
            <w:r>
              <w:rPr>
                <w:rFonts w:hint="eastAsia"/>
                <w:color w:val="auto"/>
              </w:rPr>
              <w:t>/</w:t>
            </w:r>
          </w:p>
        </w:tc>
        <w:tc>
          <w:tcPr>
            <w:tcW w:w="518" w:type="pct"/>
            <w:vAlign w:val="center"/>
          </w:tcPr>
          <w:p w14:paraId="6DA4AD83">
            <w:pPr>
              <w:pStyle w:val="2381"/>
              <w:widowControl w:val="0"/>
              <w:spacing w:line="360" w:lineRule="exact"/>
              <w:rPr>
                <w:color w:val="auto"/>
              </w:rPr>
            </w:pPr>
            <w:r>
              <w:rPr>
                <w:rFonts w:hint="eastAsia"/>
                <w:color w:val="auto"/>
              </w:rPr>
              <w:t>/</w:t>
            </w:r>
          </w:p>
        </w:tc>
        <w:tc>
          <w:tcPr>
            <w:tcW w:w="520" w:type="pct"/>
            <w:vAlign w:val="center"/>
          </w:tcPr>
          <w:p w14:paraId="61A17A6A">
            <w:pPr>
              <w:pStyle w:val="2381"/>
              <w:widowControl w:val="0"/>
              <w:spacing w:line="360" w:lineRule="exact"/>
              <w:rPr>
                <w:color w:val="auto"/>
              </w:rPr>
            </w:pPr>
            <w:r>
              <w:rPr>
                <w:rFonts w:hint="eastAsia"/>
                <w:color w:val="auto"/>
              </w:rPr>
              <w:t>/</w:t>
            </w:r>
          </w:p>
        </w:tc>
        <w:tc>
          <w:tcPr>
            <w:tcW w:w="602" w:type="pct"/>
            <w:vAlign w:val="center"/>
          </w:tcPr>
          <w:p w14:paraId="0AE23038">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2260838D">
            <w:pPr>
              <w:pStyle w:val="2381"/>
              <w:widowControl w:val="0"/>
              <w:spacing w:line="360" w:lineRule="exact"/>
              <w:rPr>
                <w:color w:val="auto"/>
              </w:rPr>
            </w:pPr>
            <w:r>
              <w:rPr>
                <w:rFonts w:hint="eastAsia"/>
                <w:color w:val="auto"/>
              </w:rPr>
              <w:t>/</w:t>
            </w:r>
          </w:p>
        </w:tc>
        <w:tc>
          <w:tcPr>
            <w:tcW w:w="606" w:type="pct"/>
            <w:vAlign w:val="center"/>
          </w:tcPr>
          <w:p w14:paraId="6BA37C55">
            <w:pPr>
              <w:pStyle w:val="2381"/>
              <w:widowControl w:val="0"/>
              <w:spacing w:line="360" w:lineRule="exact"/>
              <w:rPr>
                <w:color w:val="auto"/>
              </w:rPr>
            </w:pPr>
            <w:r>
              <w:rPr>
                <w:rFonts w:hint="eastAsia"/>
                <w:color w:val="auto"/>
              </w:rPr>
              <w:t>/</w:t>
            </w:r>
          </w:p>
        </w:tc>
        <w:tc>
          <w:tcPr>
            <w:tcW w:w="604" w:type="pct"/>
            <w:vAlign w:val="center"/>
          </w:tcPr>
          <w:p w14:paraId="79E5A6FC">
            <w:pPr>
              <w:pStyle w:val="2381"/>
              <w:widowControl w:val="0"/>
              <w:spacing w:line="360" w:lineRule="exact"/>
              <w:rPr>
                <w:color w:val="auto"/>
              </w:rPr>
            </w:pPr>
            <w:r>
              <w:rPr>
                <w:rFonts w:hint="eastAsia"/>
                <w:color w:val="auto"/>
              </w:rPr>
              <w:t>/</w:t>
            </w:r>
          </w:p>
        </w:tc>
      </w:tr>
      <w:tr w14:paraId="2C118D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2138BB30">
            <w:pPr>
              <w:pStyle w:val="2381"/>
              <w:widowControl w:val="0"/>
              <w:spacing w:line="360" w:lineRule="exact"/>
              <w:rPr>
                <w:color w:val="auto"/>
              </w:rPr>
            </w:pPr>
          </w:p>
        </w:tc>
        <w:tc>
          <w:tcPr>
            <w:tcW w:w="602" w:type="pct"/>
            <w:vAlign w:val="center"/>
          </w:tcPr>
          <w:p w14:paraId="1871E4B3">
            <w:pPr>
              <w:pStyle w:val="2381"/>
              <w:widowControl w:val="0"/>
              <w:spacing w:line="360" w:lineRule="exact"/>
              <w:rPr>
                <w:color w:val="auto"/>
                <w:szCs w:val="21"/>
              </w:rPr>
            </w:pPr>
            <w:r>
              <w:rPr>
                <w:rFonts w:hint="eastAsia"/>
                <w:color w:val="auto"/>
                <w:szCs w:val="21"/>
              </w:rPr>
              <w:t>锆</w:t>
            </w:r>
          </w:p>
        </w:tc>
        <w:tc>
          <w:tcPr>
            <w:tcW w:w="518" w:type="pct"/>
            <w:vAlign w:val="center"/>
          </w:tcPr>
          <w:p w14:paraId="645F6CB5">
            <w:pPr>
              <w:pStyle w:val="2381"/>
              <w:widowControl w:val="0"/>
              <w:spacing w:line="360" w:lineRule="exact"/>
              <w:rPr>
                <w:color w:val="auto"/>
              </w:rPr>
            </w:pPr>
            <w:r>
              <w:rPr>
                <w:rFonts w:hint="eastAsia"/>
                <w:color w:val="auto"/>
              </w:rPr>
              <w:t>/</w:t>
            </w:r>
          </w:p>
        </w:tc>
        <w:tc>
          <w:tcPr>
            <w:tcW w:w="518" w:type="pct"/>
            <w:vAlign w:val="center"/>
          </w:tcPr>
          <w:p w14:paraId="3BDA591C">
            <w:pPr>
              <w:pStyle w:val="2381"/>
              <w:widowControl w:val="0"/>
              <w:spacing w:line="360" w:lineRule="exact"/>
              <w:rPr>
                <w:color w:val="auto"/>
              </w:rPr>
            </w:pPr>
            <w:r>
              <w:rPr>
                <w:rFonts w:hint="eastAsia"/>
                <w:color w:val="auto"/>
              </w:rPr>
              <w:t>/</w:t>
            </w:r>
          </w:p>
        </w:tc>
        <w:tc>
          <w:tcPr>
            <w:tcW w:w="520" w:type="pct"/>
            <w:vAlign w:val="center"/>
          </w:tcPr>
          <w:p w14:paraId="42995C97">
            <w:pPr>
              <w:pStyle w:val="2381"/>
              <w:widowControl w:val="0"/>
              <w:spacing w:line="360" w:lineRule="exact"/>
              <w:rPr>
                <w:color w:val="auto"/>
              </w:rPr>
            </w:pPr>
            <w:r>
              <w:rPr>
                <w:rFonts w:hint="eastAsia"/>
                <w:color w:val="auto"/>
              </w:rPr>
              <w:t>/</w:t>
            </w:r>
          </w:p>
        </w:tc>
        <w:tc>
          <w:tcPr>
            <w:tcW w:w="602" w:type="pct"/>
            <w:vAlign w:val="center"/>
          </w:tcPr>
          <w:p w14:paraId="1081E965">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62E387AE">
            <w:pPr>
              <w:pStyle w:val="2381"/>
              <w:widowControl w:val="0"/>
              <w:spacing w:line="360" w:lineRule="exact"/>
              <w:rPr>
                <w:color w:val="auto"/>
              </w:rPr>
            </w:pPr>
            <w:r>
              <w:rPr>
                <w:rFonts w:hint="eastAsia"/>
                <w:color w:val="auto"/>
              </w:rPr>
              <w:t>/</w:t>
            </w:r>
          </w:p>
        </w:tc>
        <w:tc>
          <w:tcPr>
            <w:tcW w:w="606" w:type="pct"/>
            <w:vAlign w:val="center"/>
          </w:tcPr>
          <w:p w14:paraId="4DD8FCB2">
            <w:pPr>
              <w:pStyle w:val="2381"/>
              <w:widowControl w:val="0"/>
              <w:spacing w:line="360" w:lineRule="exact"/>
              <w:rPr>
                <w:color w:val="auto"/>
              </w:rPr>
            </w:pPr>
            <w:r>
              <w:rPr>
                <w:rFonts w:hint="eastAsia"/>
                <w:color w:val="auto"/>
              </w:rPr>
              <w:t>/</w:t>
            </w:r>
          </w:p>
        </w:tc>
        <w:tc>
          <w:tcPr>
            <w:tcW w:w="604" w:type="pct"/>
            <w:vAlign w:val="center"/>
          </w:tcPr>
          <w:p w14:paraId="18631461">
            <w:pPr>
              <w:pStyle w:val="2381"/>
              <w:widowControl w:val="0"/>
              <w:spacing w:line="360" w:lineRule="exact"/>
              <w:rPr>
                <w:color w:val="auto"/>
              </w:rPr>
            </w:pPr>
            <w:r>
              <w:rPr>
                <w:rFonts w:hint="eastAsia"/>
                <w:color w:val="auto"/>
              </w:rPr>
              <w:t>/</w:t>
            </w:r>
          </w:p>
        </w:tc>
      </w:tr>
      <w:tr w14:paraId="73CAC7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restart"/>
            <w:vAlign w:val="center"/>
          </w:tcPr>
          <w:p w14:paraId="3866A86D">
            <w:pPr>
              <w:pStyle w:val="2381"/>
              <w:widowControl w:val="0"/>
              <w:spacing w:line="360" w:lineRule="exact"/>
              <w:rPr>
                <w:color w:val="auto"/>
              </w:rPr>
            </w:pPr>
            <w:r>
              <w:rPr>
                <w:rFonts w:hint="eastAsia"/>
                <w:color w:val="auto"/>
              </w:rPr>
              <w:t>环境</w:t>
            </w:r>
          </w:p>
          <w:p w14:paraId="55583530">
            <w:pPr>
              <w:widowControl w:val="0"/>
              <w:spacing w:line="360" w:lineRule="exact"/>
              <w:ind w:firstLine="480"/>
              <w:jc w:val="center"/>
              <w:rPr>
                <w:color w:val="auto"/>
              </w:rPr>
            </w:pPr>
          </w:p>
        </w:tc>
        <w:tc>
          <w:tcPr>
            <w:tcW w:w="602" w:type="pct"/>
            <w:vAlign w:val="center"/>
          </w:tcPr>
          <w:p w14:paraId="33FD593D">
            <w:pPr>
              <w:pStyle w:val="2381"/>
              <w:widowControl w:val="0"/>
              <w:spacing w:line="360" w:lineRule="exact"/>
              <w:rPr>
                <w:color w:val="auto"/>
              </w:rPr>
            </w:pPr>
            <w:r>
              <w:rPr>
                <w:rFonts w:hint="eastAsia"/>
                <w:color w:val="auto"/>
              </w:rPr>
              <w:t>COD</w:t>
            </w:r>
          </w:p>
        </w:tc>
        <w:tc>
          <w:tcPr>
            <w:tcW w:w="518" w:type="pct"/>
            <w:vAlign w:val="center"/>
          </w:tcPr>
          <w:p w14:paraId="19555B18">
            <w:pPr>
              <w:pStyle w:val="2381"/>
              <w:widowControl w:val="0"/>
              <w:spacing w:line="360" w:lineRule="exact"/>
              <w:rPr>
                <w:color w:val="auto"/>
              </w:rPr>
            </w:pPr>
            <w:r>
              <w:rPr>
                <w:rFonts w:hint="eastAsia"/>
                <w:color w:val="auto"/>
              </w:rPr>
              <w:t>/</w:t>
            </w:r>
          </w:p>
        </w:tc>
        <w:tc>
          <w:tcPr>
            <w:tcW w:w="518" w:type="pct"/>
            <w:vAlign w:val="center"/>
          </w:tcPr>
          <w:p w14:paraId="7A946AB4">
            <w:pPr>
              <w:pStyle w:val="2381"/>
              <w:widowControl w:val="0"/>
              <w:spacing w:line="360" w:lineRule="exact"/>
              <w:rPr>
                <w:color w:val="auto"/>
              </w:rPr>
            </w:pPr>
            <w:r>
              <w:rPr>
                <w:color w:val="auto"/>
              </w:rPr>
              <w:t>○</w:t>
            </w:r>
            <w:r>
              <w:rPr>
                <w:rFonts w:hint="eastAsia"/>
                <w:color w:val="auto"/>
              </w:rPr>
              <w:t>☆</w:t>
            </w:r>
          </w:p>
        </w:tc>
        <w:tc>
          <w:tcPr>
            <w:tcW w:w="520" w:type="pct"/>
            <w:vAlign w:val="center"/>
          </w:tcPr>
          <w:p w14:paraId="2ACE6411">
            <w:pPr>
              <w:pStyle w:val="2381"/>
              <w:widowControl w:val="0"/>
              <w:spacing w:line="360" w:lineRule="exact"/>
              <w:rPr>
                <w:color w:val="auto"/>
              </w:rPr>
            </w:pPr>
            <w:r>
              <w:rPr>
                <w:rFonts w:hint="eastAsia"/>
                <w:color w:val="auto"/>
              </w:rPr>
              <w:t>/</w:t>
            </w:r>
          </w:p>
        </w:tc>
        <w:tc>
          <w:tcPr>
            <w:tcW w:w="602" w:type="pct"/>
            <w:vAlign w:val="center"/>
          </w:tcPr>
          <w:p w14:paraId="4AE1B093">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4F3FCD6B">
            <w:pPr>
              <w:pStyle w:val="2381"/>
              <w:widowControl w:val="0"/>
              <w:spacing w:line="360" w:lineRule="exact"/>
              <w:rPr>
                <w:color w:val="auto"/>
              </w:rPr>
            </w:pPr>
            <w:r>
              <w:rPr>
                <w:color w:val="auto"/>
              </w:rPr>
              <w:t>○</w:t>
            </w:r>
            <w:r>
              <w:rPr>
                <w:rFonts w:hint="eastAsia"/>
                <w:color w:val="auto"/>
                <w:lang w:eastAsia="ja-JP"/>
              </w:rPr>
              <w:t>★</w:t>
            </w:r>
          </w:p>
        </w:tc>
        <w:tc>
          <w:tcPr>
            <w:tcW w:w="606" w:type="pct"/>
            <w:vAlign w:val="center"/>
          </w:tcPr>
          <w:p w14:paraId="5DB86FCA">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07A58422">
            <w:pPr>
              <w:pStyle w:val="2381"/>
              <w:widowControl w:val="0"/>
              <w:spacing w:line="360" w:lineRule="exact"/>
              <w:rPr>
                <w:color w:val="auto"/>
              </w:rPr>
            </w:pPr>
            <w:r>
              <w:rPr>
                <w:color w:val="auto"/>
              </w:rPr>
              <w:t>○</w:t>
            </w:r>
            <w:r>
              <w:rPr>
                <w:rFonts w:hint="eastAsia"/>
                <w:color w:val="auto"/>
                <w:lang w:eastAsia="ja-JP"/>
              </w:rPr>
              <w:t>★</w:t>
            </w:r>
          </w:p>
        </w:tc>
      </w:tr>
      <w:tr w14:paraId="5F37AB6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45532C7F">
            <w:pPr>
              <w:pStyle w:val="2381"/>
              <w:widowControl w:val="0"/>
              <w:spacing w:line="360" w:lineRule="exact"/>
              <w:rPr>
                <w:color w:val="auto"/>
              </w:rPr>
            </w:pPr>
          </w:p>
        </w:tc>
        <w:tc>
          <w:tcPr>
            <w:tcW w:w="602" w:type="pct"/>
            <w:vAlign w:val="center"/>
          </w:tcPr>
          <w:p w14:paraId="22DEDF2D">
            <w:pPr>
              <w:pStyle w:val="2381"/>
              <w:widowControl w:val="0"/>
              <w:spacing w:line="360" w:lineRule="exact"/>
              <w:rPr>
                <w:color w:val="auto"/>
              </w:rPr>
            </w:pPr>
            <w:r>
              <w:rPr>
                <w:rFonts w:hint="eastAsia"/>
                <w:color w:val="auto"/>
              </w:rPr>
              <w:t>BOD</w:t>
            </w:r>
            <w:r>
              <w:rPr>
                <w:color w:val="auto"/>
                <w:vertAlign w:val="subscript"/>
              </w:rPr>
              <w:t>5</w:t>
            </w:r>
          </w:p>
        </w:tc>
        <w:tc>
          <w:tcPr>
            <w:tcW w:w="518" w:type="pct"/>
            <w:vAlign w:val="center"/>
          </w:tcPr>
          <w:p w14:paraId="5B248F6C">
            <w:pPr>
              <w:pStyle w:val="2381"/>
              <w:widowControl w:val="0"/>
              <w:spacing w:line="360" w:lineRule="exact"/>
              <w:rPr>
                <w:color w:val="auto"/>
              </w:rPr>
            </w:pPr>
            <w:r>
              <w:rPr>
                <w:rFonts w:hint="eastAsia"/>
                <w:color w:val="auto"/>
              </w:rPr>
              <w:t>/</w:t>
            </w:r>
          </w:p>
        </w:tc>
        <w:tc>
          <w:tcPr>
            <w:tcW w:w="518" w:type="pct"/>
            <w:vAlign w:val="center"/>
          </w:tcPr>
          <w:p w14:paraId="249F066A">
            <w:pPr>
              <w:pStyle w:val="2381"/>
              <w:widowControl w:val="0"/>
              <w:spacing w:line="360" w:lineRule="exact"/>
              <w:rPr>
                <w:color w:val="auto"/>
              </w:rPr>
            </w:pPr>
            <w:r>
              <w:rPr>
                <w:color w:val="auto"/>
              </w:rPr>
              <w:t>○</w:t>
            </w:r>
            <w:r>
              <w:rPr>
                <w:rFonts w:hint="eastAsia"/>
                <w:color w:val="auto"/>
              </w:rPr>
              <w:t>☆</w:t>
            </w:r>
          </w:p>
        </w:tc>
        <w:tc>
          <w:tcPr>
            <w:tcW w:w="520" w:type="pct"/>
            <w:vAlign w:val="center"/>
          </w:tcPr>
          <w:p w14:paraId="03C5E4BB">
            <w:pPr>
              <w:pStyle w:val="2381"/>
              <w:widowControl w:val="0"/>
              <w:spacing w:line="360" w:lineRule="exact"/>
              <w:rPr>
                <w:color w:val="auto"/>
              </w:rPr>
            </w:pPr>
            <w:r>
              <w:rPr>
                <w:rFonts w:hint="eastAsia"/>
                <w:color w:val="auto"/>
              </w:rPr>
              <w:t>/</w:t>
            </w:r>
          </w:p>
        </w:tc>
        <w:tc>
          <w:tcPr>
            <w:tcW w:w="602" w:type="pct"/>
            <w:vAlign w:val="center"/>
          </w:tcPr>
          <w:p w14:paraId="59E493B4">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31033BF4">
            <w:pPr>
              <w:pStyle w:val="2381"/>
              <w:widowControl w:val="0"/>
              <w:spacing w:line="360" w:lineRule="exact"/>
              <w:rPr>
                <w:color w:val="auto"/>
              </w:rPr>
            </w:pPr>
            <w:r>
              <w:rPr>
                <w:color w:val="auto"/>
              </w:rPr>
              <w:t>○</w:t>
            </w:r>
            <w:r>
              <w:rPr>
                <w:rFonts w:hint="eastAsia"/>
                <w:color w:val="auto"/>
                <w:lang w:eastAsia="ja-JP"/>
              </w:rPr>
              <w:t>★</w:t>
            </w:r>
          </w:p>
        </w:tc>
        <w:tc>
          <w:tcPr>
            <w:tcW w:w="606" w:type="pct"/>
            <w:vAlign w:val="center"/>
          </w:tcPr>
          <w:p w14:paraId="641FD821">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34B357AF">
            <w:pPr>
              <w:pStyle w:val="2381"/>
              <w:widowControl w:val="0"/>
              <w:spacing w:line="360" w:lineRule="exact"/>
              <w:rPr>
                <w:color w:val="auto"/>
              </w:rPr>
            </w:pPr>
            <w:r>
              <w:rPr>
                <w:color w:val="auto"/>
              </w:rPr>
              <w:t>○</w:t>
            </w:r>
            <w:r>
              <w:rPr>
                <w:rFonts w:hint="eastAsia"/>
                <w:color w:val="auto"/>
                <w:lang w:eastAsia="ja-JP"/>
              </w:rPr>
              <w:t>★</w:t>
            </w:r>
          </w:p>
        </w:tc>
      </w:tr>
      <w:tr w14:paraId="4B9AD76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75B7EF5A">
            <w:pPr>
              <w:pStyle w:val="2381"/>
              <w:widowControl w:val="0"/>
              <w:spacing w:line="360" w:lineRule="exact"/>
              <w:rPr>
                <w:color w:val="auto"/>
              </w:rPr>
            </w:pPr>
          </w:p>
        </w:tc>
        <w:tc>
          <w:tcPr>
            <w:tcW w:w="602" w:type="pct"/>
            <w:vAlign w:val="center"/>
          </w:tcPr>
          <w:p w14:paraId="2C66347A">
            <w:pPr>
              <w:pStyle w:val="2381"/>
              <w:widowControl w:val="0"/>
              <w:spacing w:line="360" w:lineRule="exact"/>
              <w:rPr>
                <w:color w:val="auto"/>
              </w:rPr>
            </w:pPr>
            <w:r>
              <w:rPr>
                <w:rFonts w:hint="eastAsia"/>
                <w:color w:val="auto"/>
              </w:rPr>
              <w:t>SS</w:t>
            </w:r>
          </w:p>
        </w:tc>
        <w:tc>
          <w:tcPr>
            <w:tcW w:w="518" w:type="pct"/>
            <w:vAlign w:val="center"/>
          </w:tcPr>
          <w:p w14:paraId="67F7EBA2">
            <w:pPr>
              <w:pStyle w:val="2381"/>
              <w:widowControl w:val="0"/>
              <w:spacing w:line="360" w:lineRule="exact"/>
              <w:rPr>
                <w:color w:val="auto"/>
              </w:rPr>
            </w:pPr>
            <w:r>
              <w:rPr>
                <w:rFonts w:hint="eastAsia"/>
                <w:color w:val="auto"/>
              </w:rPr>
              <w:t>/</w:t>
            </w:r>
          </w:p>
        </w:tc>
        <w:tc>
          <w:tcPr>
            <w:tcW w:w="518" w:type="pct"/>
            <w:vAlign w:val="center"/>
          </w:tcPr>
          <w:p w14:paraId="2D179259">
            <w:pPr>
              <w:pStyle w:val="2381"/>
              <w:widowControl w:val="0"/>
              <w:spacing w:line="360" w:lineRule="exact"/>
              <w:rPr>
                <w:color w:val="auto"/>
              </w:rPr>
            </w:pPr>
            <w:r>
              <w:rPr>
                <w:color w:val="auto"/>
              </w:rPr>
              <w:t>○</w:t>
            </w:r>
            <w:r>
              <w:rPr>
                <w:rFonts w:hint="eastAsia"/>
                <w:color w:val="auto"/>
              </w:rPr>
              <w:t>☆</w:t>
            </w:r>
          </w:p>
        </w:tc>
        <w:tc>
          <w:tcPr>
            <w:tcW w:w="520" w:type="pct"/>
            <w:vAlign w:val="center"/>
          </w:tcPr>
          <w:p w14:paraId="7C563AC4">
            <w:pPr>
              <w:pStyle w:val="2381"/>
              <w:widowControl w:val="0"/>
              <w:spacing w:line="360" w:lineRule="exact"/>
              <w:rPr>
                <w:color w:val="auto"/>
              </w:rPr>
            </w:pPr>
            <w:r>
              <w:rPr>
                <w:rFonts w:hint="eastAsia"/>
                <w:color w:val="auto"/>
              </w:rPr>
              <w:t>/</w:t>
            </w:r>
          </w:p>
        </w:tc>
        <w:tc>
          <w:tcPr>
            <w:tcW w:w="602" w:type="pct"/>
            <w:vAlign w:val="center"/>
          </w:tcPr>
          <w:p w14:paraId="13197AA0">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538204B2">
            <w:pPr>
              <w:pStyle w:val="2381"/>
              <w:widowControl w:val="0"/>
              <w:spacing w:line="360" w:lineRule="exact"/>
              <w:rPr>
                <w:color w:val="auto"/>
              </w:rPr>
            </w:pPr>
            <w:r>
              <w:rPr>
                <w:color w:val="auto"/>
              </w:rPr>
              <w:t>○</w:t>
            </w:r>
            <w:r>
              <w:rPr>
                <w:rFonts w:hint="eastAsia"/>
                <w:color w:val="auto"/>
                <w:lang w:eastAsia="ja-JP"/>
              </w:rPr>
              <w:t>★</w:t>
            </w:r>
          </w:p>
        </w:tc>
        <w:tc>
          <w:tcPr>
            <w:tcW w:w="606" w:type="pct"/>
            <w:vAlign w:val="center"/>
          </w:tcPr>
          <w:p w14:paraId="3DFAFFD3">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61350F5A">
            <w:pPr>
              <w:pStyle w:val="2381"/>
              <w:widowControl w:val="0"/>
              <w:spacing w:line="360" w:lineRule="exact"/>
              <w:rPr>
                <w:color w:val="auto"/>
              </w:rPr>
            </w:pPr>
            <w:r>
              <w:rPr>
                <w:color w:val="auto"/>
              </w:rPr>
              <w:t>○</w:t>
            </w:r>
            <w:r>
              <w:rPr>
                <w:rFonts w:hint="eastAsia"/>
                <w:color w:val="auto"/>
                <w:lang w:eastAsia="ja-JP"/>
              </w:rPr>
              <w:t>★</w:t>
            </w:r>
          </w:p>
        </w:tc>
      </w:tr>
      <w:tr w14:paraId="38E051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0E462685">
            <w:pPr>
              <w:pStyle w:val="2381"/>
              <w:widowControl w:val="0"/>
              <w:spacing w:line="360" w:lineRule="exact"/>
              <w:rPr>
                <w:color w:val="auto"/>
              </w:rPr>
            </w:pPr>
          </w:p>
        </w:tc>
        <w:tc>
          <w:tcPr>
            <w:tcW w:w="602" w:type="pct"/>
            <w:vAlign w:val="center"/>
          </w:tcPr>
          <w:p w14:paraId="34407437">
            <w:pPr>
              <w:pStyle w:val="2381"/>
              <w:widowControl w:val="0"/>
              <w:spacing w:line="360" w:lineRule="exact"/>
              <w:rPr>
                <w:color w:val="auto"/>
              </w:rPr>
            </w:pPr>
            <w:r>
              <w:rPr>
                <w:rFonts w:hint="eastAsia"/>
                <w:color w:val="auto"/>
              </w:rPr>
              <w:t>NH</w:t>
            </w:r>
            <w:r>
              <w:rPr>
                <w:rFonts w:hint="eastAsia"/>
                <w:color w:val="auto"/>
                <w:vertAlign w:val="subscript"/>
              </w:rPr>
              <w:t>3</w:t>
            </w:r>
            <w:r>
              <w:rPr>
                <w:rFonts w:hint="eastAsia"/>
                <w:color w:val="auto"/>
              </w:rPr>
              <w:t>-N</w:t>
            </w:r>
          </w:p>
        </w:tc>
        <w:tc>
          <w:tcPr>
            <w:tcW w:w="518" w:type="pct"/>
            <w:vAlign w:val="center"/>
          </w:tcPr>
          <w:p w14:paraId="27B728CA">
            <w:pPr>
              <w:pStyle w:val="2381"/>
              <w:widowControl w:val="0"/>
              <w:spacing w:line="360" w:lineRule="exact"/>
              <w:rPr>
                <w:color w:val="auto"/>
              </w:rPr>
            </w:pPr>
            <w:r>
              <w:rPr>
                <w:rFonts w:hint="eastAsia"/>
                <w:color w:val="auto"/>
              </w:rPr>
              <w:t>/</w:t>
            </w:r>
          </w:p>
        </w:tc>
        <w:tc>
          <w:tcPr>
            <w:tcW w:w="518" w:type="pct"/>
            <w:vAlign w:val="center"/>
          </w:tcPr>
          <w:p w14:paraId="38A499CF">
            <w:pPr>
              <w:pStyle w:val="2381"/>
              <w:widowControl w:val="0"/>
              <w:spacing w:line="360" w:lineRule="exact"/>
              <w:rPr>
                <w:color w:val="auto"/>
              </w:rPr>
            </w:pPr>
            <w:r>
              <w:rPr>
                <w:color w:val="auto"/>
              </w:rPr>
              <w:t>○</w:t>
            </w:r>
            <w:r>
              <w:rPr>
                <w:rFonts w:hint="eastAsia"/>
                <w:color w:val="auto"/>
              </w:rPr>
              <w:t>☆</w:t>
            </w:r>
          </w:p>
        </w:tc>
        <w:tc>
          <w:tcPr>
            <w:tcW w:w="520" w:type="pct"/>
            <w:vAlign w:val="center"/>
          </w:tcPr>
          <w:p w14:paraId="1DAD7E88">
            <w:pPr>
              <w:pStyle w:val="2381"/>
              <w:widowControl w:val="0"/>
              <w:spacing w:line="360" w:lineRule="exact"/>
              <w:rPr>
                <w:color w:val="auto"/>
              </w:rPr>
            </w:pPr>
            <w:r>
              <w:rPr>
                <w:rFonts w:hint="eastAsia"/>
                <w:color w:val="auto"/>
              </w:rPr>
              <w:t>/</w:t>
            </w:r>
          </w:p>
        </w:tc>
        <w:tc>
          <w:tcPr>
            <w:tcW w:w="602" w:type="pct"/>
            <w:vAlign w:val="center"/>
          </w:tcPr>
          <w:p w14:paraId="23DBE333">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45A7F36B">
            <w:pPr>
              <w:pStyle w:val="2381"/>
              <w:widowControl w:val="0"/>
              <w:spacing w:line="360" w:lineRule="exact"/>
              <w:rPr>
                <w:color w:val="auto"/>
              </w:rPr>
            </w:pPr>
            <w:r>
              <w:rPr>
                <w:rFonts w:hint="eastAsia"/>
                <w:color w:val="auto"/>
              </w:rPr>
              <w:t>/</w:t>
            </w:r>
          </w:p>
        </w:tc>
        <w:tc>
          <w:tcPr>
            <w:tcW w:w="606" w:type="pct"/>
            <w:vAlign w:val="center"/>
          </w:tcPr>
          <w:p w14:paraId="57322C2F">
            <w:pPr>
              <w:pStyle w:val="2381"/>
              <w:widowControl w:val="0"/>
              <w:spacing w:line="360" w:lineRule="exact"/>
              <w:rPr>
                <w:color w:val="auto"/>
              </w:rPr>
            </w:pPr>
            <w:r>
              <w:rPr>
                <w:rFonts w:hint="eastAsia"/>
                <w:color w:val="auto"/>
              </w:rPr>
              <w:t>/</w:t>
            </w:r>
          </w:p>
        </w:tc>
        <w:tc>
          <w:tcPr>
            <w:tcW w:w="604" w:type="pct"/>
            <w:vAlign w:val="center"/>
          </w:tcPr>
          <w:p w14:paraId="3AD5D886">
            <w:pPr>
              <w:pStyle w:val="2381"/>
              <w:widowControl w:val="0"/>
              <w:spacing w:line="360" w:lineRule="exact"/>
              <w:rPr>
                <w:color w:val="auto"/>
              </w:rPr>
            </w:pPr>
            <w:r>
              <w:rPr>
                <w:color w:val="auto"/>
              </w:rPr>
              <w:t>○</w:t>
            </w:r>
            <w:r>
              <w:rPr>
                <w:rFonts w:hint="eastAsia"/>
                <w:color w:val="auto"/>
                <w:lang w:eastAsia="ja-JP"/>
              </w:rPr>
              <w:t>★</w:t>
            </w:r>
          </w:p>
        </w:tc>
      </w:tr>
      <w:tr w14:paraId="6F646E0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109692D9">
            <w:pPr>
              <w:pStyle w:val="2381"/>
              <w:widowControl w:val="0"/>
              <w:spacing w:line="360" w:lineRule="exact"/>
              <w:rPr>
                <w:color w:val="auto"/>
              </w:rPr>
            </w:pPr>
          </w:p>
        </w:tc>
        <w:tc>
          <w:tcPr>
            <w:tcW w:w="602" w:type="pct"/>
            <w:vAlign w:val="center"/>
          </w:tcPr>
          <w:p w14:paraId="7B8C5975">
            <w:pPr>
              <w:pStyle w:val="2381"/>
              <w:widowControl w:val="0"/>
              <w:spacing w:line="360" w:lineRule="exact"/>
              <w:rPr>
                <w:color w:val="auto"/>
              </w:rPr>
            </w:pPr>
            <w:r>
              <w:rPr>
                <w:rFonts w:hint="eastAsia"/>
                <w:color w:val="auto"/>
              </w:rPr>
              <w:t>总磷</w:t>
            </w:r>
          </w:p>
        </w:tc>
        <w:tc>
          <w:tcPr>
            <w:tcW w:w="518" w:type="pct"/>
            <w:vAlign w:val="center"/>
          </w:tcPr>
          <w:p w14:paraId="5250DA69">
            <w:pPr>
              <w:pStyle w:val="2381"/>
              <w:widowControl w:val="0"/>
              <w:spacing w:line="360" w:lineRule="exact"/>
              <w:rPr>
                <w:color w:val="auto"/>
              </w:rPr>
            </w:pPr>
            <w:r>
              <w:rPr>
                <w:rFonts w:hint="eastAsia"/>
                <w:color w:val="auto"/>
              </w:rPr>
              <w:t>/</w:t>
            </w:r>
          </w:p>
        </w:tc>
        <w:tc>
          <w:tcPr>
            <w:tcW w:w="518" w:type="pct"/>
            <w:vAlign w:val="center"/>
          </w:tcPr>
          <w:p w14:paraId="02D7C032">
            <w:pPr>
              <w:pStyle w:val="2381"/>
              <w:widowControl w:val="0"/>
              <w:spacing w:line="360" w:lineRule="exact"/>
              <w:rPr>
                <w:color w:val="auto"/>
              </w:rPr>
            </w:pPr>
            <w:r>
              <w:rPr>
                <w:color w:val="auto"/>
              </w:rPr>
              <w:t>○</w:t>
            </w:r>
            <w:r>
              <w:rPr>
                <w:rFonts w:hint="eastAsia"/>
                <w:color w:val="auto"/>
              </w:rPr>
              <w:t>☆</w:t>
            </w:r>
          </w:p>
        </w:tc>
        <w:tc>
          <w:tcPr>
            <w:tcW w:w="520" w:type="pct"/>
            <w:vAlign w:val="center"/>
          </w:tcPr>
          <w:p w14:paraId="29F4EDAC">
            <w:pPr>
              <w:pStyle w:val="2381"/>
              <w:widowControl w:val="0"/>
              <w:spacing w:line="360" w:lineRule="exact"/>
              <w:rPr>
                <w:color w:val="auto"/>
              </w:rPr>
            </w:pPr>
            <w:r>
              <w:rPr>
                <w:rFonts w:hint="eastAsia"/>
                <w:color w:val="auto"/>
              </w:rPr>
              <w:t>/</w:t>
            </w:r>
          </w:p>
        </w:tc>
        <w:tc>
          <w:tcPr>
            <w:tcW w:w="602" w:type="pct"/>
            <w:vAlign w:val="center"/>
          </w:tcPr>
          <w:p w14:paraId="344E991C">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46548570">
            <w:pPr>
              <w:pStyle w:val="2381"/>
              <w:widowControl w:val="0"/>
              <w:spacing w:line="360" w:lineRule="exact"/>
              <w:rPr>
                <w:color w:val="auto"/>
              </w:rPr>
            </w:pPr>
            <w:r>
              <w:rPr>
                <w:rFonts w:hint="eastAsia"/>
                <w:color w:val="auto"/>
              </w:rPr>
              <w:t>/</w:t>
            </w:r>
          </w:p>
        </w:tc>
        <w:tc>
          <w:tcPr>
            <w:tcW w:w="606" w:type="pct"/>
            <w:vAlign w:val="center"/>
          </w:tcPr>
          <w:p w14:paraId="338FF15B">
            <w:pPr>
              <w:pStyle w:val="2381"/>
              <w:widowControl w:val="0"/>
              <w:spacing w:line="360" w:lineRule="exact"/>
              <w:rPr>
                <w:color w:val="auto"/>
              </w:rPr>
            </w:pPr>
            <w:r>
              <w:rPr>
                <w:rFonts w:hint="eastAsia"/>
                <w:color w:val="auto"/>
              </w:rPr>
              <w:t>/</w:t>
            </w:r>
          </w:p>
        </w:tc>
        <w:tc>
          <w:tcPr>
            <w:tcW w:w="604" w:type="pct"/>
            <w:vAlign w:val="center"/>
          </w:tcPr>
          <w:p w14:paraId="342AF777">
            <w:pPr>
              <w:pStyle w:val="2381"/>
              <w:widowControl w:val="0"/>
              <w:spacing w:line="360" w:lineRule="exact"/>
              <w:rPr>
                <w:color w:val="auto"/>
              </w:rPr>
            </w:pPr>
            <w:r>
              <w:rPr>
                <w:color w:val="auto"/>
              </w:rPr>
              <w:t>○</w:t>
            </w:r>
            <w:r>
              <w:rPr>
                <w:rFonts w:hint="eastAsia"/>
                <w:color w:val="auto"/>
                <w:lang w:eastAsia="ja-JP"/>
              </w:rPr>
              <w:t>★</w:t>
            </w:r>
          </w:p>
        </w:tc>
      </w:tr>
      <w:tr w14:paraId="373FE24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7ADE5F5A">
            <w:pPr>
              <w:pStyle w:val="2381"/>
              <w:widowControl w:val="0"/>
              <w:spacing w:line="360" w:lineRule="exact"/>
              <w:rPr>
                <w:color w:val="auto"/>
              </w:rPr>
            </w:pPr>
          </w:p>
        </w:tc>
        <w:tc>
          <w:tcPr>
            <w:tcW w:w="602" w:type="pct"/>
            <w:vAlign w:val="center"/>
          </w:tcPr>
          <w:p w14:paraId="3FFD0B49">
            <w:pPr>
              <w:pStyle w:val="2381"/>
              <w:widowControl w:val="0"/>
              <w:spacing w:line="360" w:lineRule="exact"/>
              <w:rPr>
                <w:color w:val="auto"/>
              </w:rPr>
            </w:pPr>
            <w:r>
              <w:rPr>
                <w:rFonts w:hint="eastAsia"/>
                <w:color w:val="auto"/>
              </w:rPr>
              <w:t>总氮</w:t>
            </w:r>
          </w:p>
        </w:tc>
        <w:tc>
          <w:tcPr>
            <w:tcW w:w="518" w:type="pct"/>
            <w:vAlign w:val="center"/>
          </w:tcPr>
          <w:p w14:paraId="69A6D8A4">
            <w:pPr>
              <w:pStyle w:val="2381"/>
              <w:widowControl w:val="0"/>
              <w:spacing w:line="360" w:lineRule="exact"/>
              <w:rPr>
                <w:color w:val="auto"/>
              </w:rPr>
            </w:pPr>
            <w:r>
              <w:rPr>
                <w:rFonts w:hint="eastAsia"/>
                <w:color w:val="auto"/>
              </w:rPr>
              <w:t>/</w:t>
            </w:r>
          </w:p>
        </w:tc>
        <w:tc>
          <w:tcPr>
            <w:tcW w:w="518" w:type="pct"/>
            <w:vAlign w:val="center"/>
          </w:tcPr>
          <w:p w14:paraId="40D205B6">
            <w:pPr>
              <w:pStyle w:val="2381"/>
              <w:widowControl w:val="0"/>
              <w:spacing w:line="360" w:lineRule="exact"/>
              <w:rPr>
                <w:color w:val="auto"/>
              </w:rPr>
            </w:pPr>
            <w:r>
              <w:rPr>
                <w:color w:val="auto"/>
              </w:rPr>
              <w:t>○</w:t>
            </w:r>
            <w:r>
              <w:rPr>
                <w:rFonts w:hint="eastAsia"/>
                <w:color w:val="auto"/>
              </w:rPr>
              <w:t>☆</w:t>
            </w:r>
          </w:p>
        </w:tc>
        <w:tc>
          <w:tcPr>
            <w:tcW w:w="520" w:type="pct"/>
            <w:vAlign w:val="center"/>
          </w:tcPr>
          <w:p w14:paraId="5431F3CD">
            <w:pPr>
              <w:pStyle w:val="2381"/>
              <w:widowControl w:val="0"/>
              <w:spacing w:line="360" w:lineRule="exact"/>
              <w:rPr>
                <w:color w:val="auto"/>
              </w:rPr>
            </w:pPr>
            <w:r>
              <w:rPr>
                <w:rFonts w:hint="eastAsia"/>
                <w:color w:val="auto"/>
              </w:rPr>
              <w:t>/</w:t>
            </w:r>
          </w:p>
        </w:tc>
        <w:tc>
          <w:tcPr>
            <w:tcW w:w="602" w:type="pct"/>
            <w:vAlign w:val="center"/>
          </w:tcPr>
          <w:p w14:paraId="1B62F3C4">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3E2E5615">
            <w:pPr>
              <w:pStyle w:val="2381"/>
              <w:widowControl w:val="0"/>
              <w:spacing w:line="360" w:lineRule="exact"/>
              <w:rPr>
                <w:color w:val="auto"/>
              </w:rPr>
            </w:pPr>
            <w:r>
              <w:rPr>
                <w:rFonts w:hint="eastAsia"/>
                <w:color w:val="auto"/>
              </w:rPr>
              <w:t>/</w:t>
            </w:r>
          </w:p>
        </w:tc>
        <w:tc>
          <w:tcPr>
            <w:tcW w:w="606" w:type="pct"/>
            <w:vAlign w:val="center"/>
          </w:tcPr>
          <w:p w14:paraId="12A94018">
            <w:pPr>
              <w:pStyle w:val="2381"/>
              <w:widowControl w:val="0"/>
              <w:spacing w:line="360" w:lineRule="exact"/>
              <w:rPr>
                <w:color w:val="auto"/>
              </w:rPr>
            </w:pPr>
            <w:r>
              <w:rPr>
                <w:rFonts w:hint="eastAsia"/>
                <w:color w:val="auto"/>
              </w:rPr>
              <w:t>/</w:t>
            </w:r>
          </w:p>
        </w:tc>
        <w:tc>
          <w:tcPr>
            <w:tcW w:w="604" w:type="pct"/>
            <w:vAlign w:val="center"/>
          </w:tcPr>
          <w:p w14:paraId="020C91BE">
            <w:pPr>
              <w:pStyle w:val="2381"/>
              <w:widowControl w:val="0"/>
              <w:spacing w:line="360" w:lineRule="exact"/>
              <w:rPr>
                <w:color w:val="auto"/>
              </w:rPr>
            </w:pPr>
            <w:r>
              <w:rPr>
                <w:color w:val="auto"/>
              </w:rPr>
              <w:t>○</w:t>
            </w:r>
            <w:r>
              <w:rPr>
                <w:rFonts w:hint="eastAsia"/>
                <w:color w:val="auto"/>
                <w:lang w:eastAsia="ja-JP"/>
              </w:rPr>
              <w:t>★</w:t>
            </w:r>
          </w:p>
        </w:tc>
      </w:tr>
      <w:tr w14:paraId="672A21D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28D8260B">
            <w:pPr>
              <w:pStyle w:val="2381"/>
              <w:widowControl w:val="0"/>
              <w:spacing w:line="360" w:lineRule="exact"/>
              <w:rPr>
                <w:color w:val="auto"/>
              </w:rPr>
            </w:pPr>
          </w:p>
        </w:tc>
        <w:tc>
          <w:tcPr>
            <w:tcW w:w="602" w:type="pct"/>
            <w:vAlign w:val="center"/>
          </w:tcPr>
          <w:p w14:paraId="07384E97">
            <w:pPr>
              <w:pStyle w:val="2381"/>
              <w:widowControl w:val="0"/>
              <w:spacing w:line="360" w:lineRule="exact"/>
              <w:rPr>
                <w:color w:val="auto"/>
              </w:rPr>
            </w:pPr>
            <w:r>
              <w:rPr>
                <w:rFonts w:hint="eastAsia"/>
                <w:color w:val="auto"/>
              </w:rPr>
              <w:t>总钴</w:t>
            </w:r>
          </w:p>
        </w:tc>
        <w:tc>
          <w:tcPr>
            <w:tcW w:w="518" w:type="pct"/>
            <w:vAlign w:val="center"/>
          </w:tcPr>
          <w:p w14:paraId="162B9B20">
            <w:pPr>
              <w:pStyle w:val="2381"/>
              <w:widowControl w:val="0"/>
              <w:spacing w:line="360" w:lineRule="exact"/>
              <w:rPr>
                <w:color w:val="auto"/>
              </w:rPr>
            </w:pPr>
            <w:r>
              <w:rPr>
                <w:rFonts w:hint="eastAsia"/>
                <w:color w:val="auto"/>
              </w:rPr>
              <w:t>/</w:t>
            </w:r>
          </w:p>
        </w:tc>
        <w:tc>
          <w:tcPr>
            <w:tcW w:w="518" w:type="pct"/>
            <w:vAlign w:val="center"/>
          </w:tcPr>
          <w:p w14:paraId="21EACACE">
            <w:pPr>
              <w:pStyle w:val="2381"/>
              <w:widowControl w:val="0"/>
              <w:spacing w:line="360" w:lineRule="exact"/>
              <w:rPr>
                <w:color w:val="auto"/>
              </w:rPr>
            </w:pPr>
            <w:r>
              <w:rPr>
                <w:color w:val="auto"/>
              </w:rPr>
              <w:t>○</w:t>
            </w:r>
            <w:r>
              <w:rPr>
                <w:rFonts w:hint="eastAsia"/>
                <w:color w:val="auto"/>
              </w:rPr>
              <w:t>☆</w:t>
            </w:r>
          </w:p>
        </w:tc>
        <w:tc>
          <w:tcPr>
            <w:tcW w:w="520" w:type="pct"/>
            <w:vAlign w:val="center"/>
          </w:tcPr>
          <w:p w14:paraId="477312CF">
            <w:pPr>
              <w:pStyle w:val="2381"/>
              <w:widowControl w:val="0"/>
              <w:spacing w:line="360" w:lineRule="exact"/>
              <w:rPr>
                <w:color w:val="auto"/>
              </w:rPr>
            </w:pPr>
            <w:r>
              <w:rPr>
                <w:rFonts w:hint="eastAsia"/>
                <w:color w:val="auto"/>
              </w:rPr>
              <w:t>/</w:t>
            </w:r>
          </w:p>
        </w:tc>
        <w:tc>
          <w:tcPr>
            <w:tcW w:w="602" w:type="pct"/>
            <w:vAlign w:val="center"/>
          </w:tcPr>
          <w:p w14:paraId="24A55E1A">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7717C92F">
            <w:pPr>
              <w:pStyle w:val="2381"/>
              <w:widowControl w:val="0"/>
              <w:spacing w:line="360" w:lineRule="exact"/>
              <w:rPr>
                <w:color w:val="auto"/>
              </w:rPr>
            </w:pPr>
            <w:r>
              <w:rPr>
                <w:rFonts w:hint="eastAsia"/>
                <w:color w:val="auto"/>
              </w:rPr>
              <w:t>/</w:t>
            </w:r>
          </w:p>
        </w:tc>
        <w:tc>
          <w:tcPr>
            <w:tcW w:w="606" w:type="pct"/>
            <w:vAlign w:val="center"/>
          </w:tcPr>
          <w:p w14:paraId="668E03B0">
            <w:pPr>
              <w:pStyle w:val="2381"/>
              <w:widowControl w:val="0"/>
              <w:spacing w:line="360" w:lineRule="exact"/>
              <w:rPr>
                <w:color w:val="auto"/>
              </w:rPr>
            </w:pPr>
            <w:r>
              <w:rPr>
                <w:rFonts w:hint="eastAsia"/>
                <w:color w:val="auto"/>
              </w:rPr>
              <w:t>/</w:t>
            </w:r>
          </w:p>
        </w:tc>
        <w:tc>
          <w:tcPr>
            <w:tcW w:w="604" w:type="pct"/>
            <w:vAlign w:val="center"/>
          </w:tcPr>
          <w:p w14:paraId="71305B44">
            <w:pPr>
              <w:pStyle w:val="2381"/>
              <w:widowControl w:val="0"/>
              <w:spacing w:line="360" w:lineRule="exact"/>
              <w:rPr>
                <w:color w:val="auto"/>
              </w:rPr>
            </w:pPr>
            <w:r>
              <w:rPr>
                <w:color w:val="auto"/>
              </w:rPr>
              <w:t>/</w:t>
            </w:r>
          </w:p>
        </w:tc>
      </w:tr>
      <w:tr w14:paraId="75E4903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5661CCF6">
            <w:pPr>
              <w:pStyle w:val="2381"/>
              <w:widowControl w:val="0"/>
              <w:spacing w:line="360" w:lineRule="exact"/>
              <w:rPr>
                <w:color w:val="auto"/>
              </w:rPr>
            </w:pPr>
          </w:p>
        </w:tc>
        <w:tc>
          <w:tcPr>
            <w:tcW w:w="602" w:type="pct"/>
            <w:vAlign w:val="center"/>
          </w:tcPr>
          <w:p w14:paraId="0100E39F">
            <w:pPr>
              <w:pStyle w:val="2381"/>
              <w:widowControl w:val="0"/>
              <w:spacing w:line="360" w:lineRule="exact"/>
              <w:rPr>
                <w:color w:val="auto"/>
              </w:rPr>
            </w:pPr>
            <w:r>
              <w:rPr>
                <w:rFonts w:hint="eastAsia"/>
                <w:color w:val="auto"/>
              </w:rPr>
              <w:t>总钼</w:t>
            </w:r>
          </w:p>
        </w:tc>
        <w:tc>
          <w:tcPr>
            <w:tcW w:w="518" w:type="pct"/>
            <w:vAlign w:val="center"/>
          </w:tcPr>
          <w:p w14:paraId="1A28ED9B">
            <w:pPr>
              <w:pStyle w:val="2381"/>
              <w:widowControl w:val="0"/>
              <w:spacing w:line="360" w:lineRule="exact"/>
              <w:rPr>
                <w:color w:val="auto"/>
              </w:rPr>
            </w:pPr>
            <w:r>
              <w:rPr>
                <w:rFonts w:hint="eastAsia"/>
                <w:color w:val="auto"/>
              </w:rPr>
              <w:t>/</w:t>
            </w:r>
          </w:p>
        </w:tc>
        <w:tc>
          <w:tcPr>
            <w:tcW w:w="518" w:type="pct"/>
            <w:vAlign w:val="center"/>
          </w:tcPr>
          <w:p w14:paraId="2F30188B">
            <w:pPr>
              <w:pStyle w:val="2381"/>
              <w:widowControl w:val="0"/>
              <w:spacing w:line="360" w:lineRule="exact"/>
              <w:rPr>
                <w:color w:val="auto"/>
              </w:rPr>
            </w:pPr>
            <w:r>
              <w:rPr>
                <w:color w:val="auto"/>
              </w:rPr>
              <w:t>○</w:t>
            </w:r>
            <w:r>
              <w:rPr>
                <w:rFonts w:hint="eastAsia"/>
                <w:color w:val="auto"/>
              </w:rPr>
              <w:t>☆</w:t>
            </w:r>
          </w:p>
        </w:tc>
        <w:tc>
          <w:tcPr>
            <w:tcW w:w="520" w:type="pct"/>
            <w:vAlign w:val="center"/>
          </w:tcPr>
          <w:p w14:paraId="632A6B8A">
            <w:pPr>
              <w:pStyle w:val="2381"/>
              <w:widowControl w:val="0"/>
              <w:spacing w:line="360" w:lineRule="exact"/>
              <w:rPr>
                <w:color w:val="auto"/>
              </w:rPr>
            </w:pPr>
            <w:r>
              <w:rPr>
                <w:rFonts w:hint="eastAsia"/>
                <w:color w:val="auto"/>
              </w:rPr>
              <w:t>/</w:t>
            </w:r>
          </w:p>
        </w:tc>
        <w:tc>
          <w:tcPr>
            <w:tcW w:w="602" w:type="pct"/>
            <w:vAlign w:val="center"/>
          </w:tcPr>
          <w:p w14:paraId="6D6C89EC">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77F423C2">
            <w:pPr>
              <w:pStyle w:val="2381"/>
              <w:widowControl w:val="0"/>
              <w:spacing w:line="360" w:lineRule="exact"/>
              <w:rPr>
                <w:color w:val="auto"/>
              </w:rPr>
            </w:pPr>
            <w:r>
              <w:rPr>
                <w:rFonts w:hint="eastAsia"/>
                <w:color w:val="auto"/>
              </w:rPr>
              <w:t>/</w:t>
            </w:r>
          </w:p>
        </w:tc>
        <w:tc>
          <w:tcPr>
            <w:tcW w:w="606" w:type="pct"/>
            <w:vAlign w:val="center"/>
          </w:tcPr>
          <w:p w14:paraId="6C0CC196">
            <w:pPr>
              <w:pStyle w:val="2381"/>
              <w:widowControl w:val="0"/>
              <w:spacing w:line="360" w:lineRule="exact"/>
              <w:rPr>
                <w:color w:val="auto"/>
              </w:rPr>
            </w:pPr>
            <w:r>
              <w:rPr>
                <w:rFonts w:hint="eastAsia"/>
                <w:color w:val="auto"/>
              </w:rPr>
              <w:t>/</w:t>
            </w:r>
          </w:p>
        </w:tc>
        <w:tc>
          <w:tcPr>
            <w:tcW w:w="604" w:type="pct"/>
            <w:vAlign w:val="center"/>
          </w:tcPr>
          <w:p w14:paraId="406B77ED">
            <w:pPr>
              <w:pStyle w:val="2381"/>
              <w:widowControl w:val="0"/>
              <w:spacing w:line="360" w:lineRule="exact"/>
              <w:rPr>
                <w:color w:val="auto"/>
              </w:rPr>
            </w:pPr>
            <w:r>
              <w:rPr>
                <w:color w:val="auto"/>
              </w:rPr>
              <w:t>/</w:t>
            </w:r>
          </w:p>
        </w:tc>
      </w:tr>
      <w:tr w14:paraId="79FD1CA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restart"/>
            <w:vAlign w:val="center"/>
          </w:tcPr>
          <w:p w14:paraId="5C7E8FDC">
            <w:pPr>
              <w:pStyle w:val="2381"/>
              <w:widowControl w:val="0"/>
              <w:spacing w:line="360" w:lineRule="exact"/>
              <w:rPr>
                <w:color w:val="auto"/>
              </w:rPr>
            </w:pPr>
            <w:r>
              <w:rPr>
                <w:rFonts w:hint="eastAsia"/>
                <w:color w:val="auto"/>
              </w:rPr>
              <w:t>固体废物</w:t>
            </w:r>
          </w:p>
        </w:tc>
        <w:tc>
          <w:tcPr>
            <w:tcW w:w="602" w:type="pct"/>
            <w:vAlign w:val="center"/>
          </w:tcPr>
          <w:p w14:paraId="7E61D624">
            <w:pPr>
              <w:pStyle w:val="2381"/>
              <w:widowControl w:val="0"/>
              <w:spacing w:line="360" w:lineRule="exact"/>
              <w:rPr>
                <w:color w:val="auto"/>
                <w:spacing w:val="-20"/>
              </w:rPr>
            </w:pPr>
            <w:r>
              <w:rPr>
                <w:rFonts w:hint="eastAsia"/>
                <w:color w:val="auto"/>
                <w:spacing w:val="-20"/>
              </w:rPr>
              <w:t>危险废物</w:t>
            </w:r>
          </w:p>
        </w:tc>
        <w:tc>
          <w:tcPr>
            <w:tcW w:w="518" w:type="pct"/>
            <w:vAlign w:val="center"/>
          </w:tcPr>
          <w:p w14:paraId="0A612083">
            <w:pPr>
              <w:pStyle w:val="2381"/>
              <w:widowControl w:val="0"/>
              <w:spacing w:line="360" w:lineRule="exact"/>
              <w:rPr>
                <w:color w:val="auto"/>
              </w:rPr>
            </w:pPr>
            <w:r>
              <w:rPr>
                <w:rFonts w:hint="eastAsia"/>
                <w:color w:val="auto"/>
              </w:rPr>
              <w:t>/</w:t>
            </w:r>
          </w:p>
        </w:tc>
        <w:tc>
          <w:tcPr>
            <w:tcW w:w="518" w:type="pct"/>
            <w:vAlign w:val="center"/>
          </w:tcPr>
          <w:p w14:paraId="4B28F7C3">
            <w:pPr>
              <w:pStyle w:val="2381"/>
              <w:widowControl w:val="0"/>
              <w:spacing w:line="360" w:lineRule="exact"/>
              <w:rPr>
                <w:color w:val="auto"/>
              </w:rPr>
            </w:pPr>
            <w:r>
              <w:rPr>
                <w:rFonts w:hint="eastAsia"/>
                <w:color w:val="auto"/>
              </w:rPr>
              <w:t>/</w:t>
            </w:r>
          </w:p>
        </w:tc>
        <w:tc>
          <w:tcPr>
            <w:tcW w:w="520" w:type="pct"/>
            <w:vAlign w:val="center"/>
          </w:tcPr>
          <w:p w14:paraId="7DB5DA30">
            <w:pPr>
              <w:pStyle w:val="2381"/>
              <w:widowControl w:val="0"/>
              <w:spacing w:line="360" w:lineRule="exact"/>
              <w:rPr>
                <w:color w:val="auto"/>
              </w:rPr>
            </w:pPr>
            <w:r>
              <w:rPr>
                <w:rFonts w:hint="eastAsia"/>
                <w:color w:val="auto"/>
              </w:rPr>
              <w:t>/</w:t>
            </w:r>
          </w:p>
        </w:tc>
        <w:tc>
          <w:tcPr>
            <w:tcW w:w="602" w:type="pct"/>
            <w:vAlign w:val="center"/>
          </w:tcPr>
          <w:p w14:paraId="44806849">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0D2D944F">
            <w:pPr>
              <w:pStyle w:val="2381"/>
              <w:widowControl w:val="0"/>
              <w:spacing w:line="360" w:lineRule="exact"/>
              <w:rPr>
                <w:color w:val="auto"/>
              </w:rPr>
            </w:pPr>
            <w:r>
              <w:rPr>
                <w:rFonts w:hint="eastAsia"/>
                <w:color w:val="auto"/>
              </w:rPr>
              <w:t>/</w:t>
            </w:r>
          </w:p>
        </w:tc>
        <w:tc>
          <w:tcPr>
            <w:tcW w:w="606" w:type="pct"/>
            <w:vAlign w:val="center"/>
          </w:tcPr>
          <w:p w14:paraId="289F61BC">
            <w:pPr>
              <w:pStyle w:val="2381"/>
              <w:widowControl w:val="0"/>
              <w:spacing w:line="360" w:lineRule="exact"/>
              <w:rPr>
                <w:color w:val="auto"/>
              </w:rPr>
            </w:pPr>
            <w:r>
              <w:rPr>
                <w:rFonts w:hint="eastAsia"/>
                <w:color w:val="auto"/>
              </w:rPr>
              <w:t>/</w:t>
            </w:r>
          </w:p>
        </w:tc>
        <w:tc>
          <w:tcPr>
            <w:tcW w:w="604" w:type="pct"/>
            <w:vAlign w:val="center"/>
          </w:tcPr>
          <w:p w14:paraId="05752445">
            <w:pPr>
              <w:pStyle w:val="2381"/>
              <w:widowControl w:val="0"/>
              <w:spacing w:line="360" w:lineRule="exact"/>
              <w:rPr>
                <w:color w:val="auto"/>
              </w:rPr>
            </w:pPr>
            <w:r>
              <w:rPr>
                <w:color w:val="auto"/>
              </w:rPr>
              <w:t>/</w:t>
            </w:r>
          </w:p>
        </w:tc>
      </w:tr>
      <w:tr w14:paraId="3F075B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Merge w:val="continue"/>
            <w:vAlign w:val="center"/>
          </w:tcPr>
          <w:p w14:paraId="7E41AF66">
            <w:pPr>
              <w:pStyle w:val="2381"/>
              <w:widowControl w:val="0"/>
              <w:spacing w:line="360" w:lineRule="exact"/>
              <w:rPr>
                <w:color w:val="auto"/>
              </w:rPr>
            </w:pPr>
          </w:p>
        </w:tc>
        <w:tc>
          <w:tcPr>
            <w:tcW w:w="602" w:type="pct"/>
            <w:vAlign w:val="center"/>
          </w:tcPr>
          <w:p w14:paraId="38F2CFD2">
            <w:pPr>
              <w:pStyle w:val="2381"/>
              <w:widowControl w:val="0"/>
              <w:spacing w:line="360" w:lineRule="exact"/>
              <w:rPr>
                <w:color w:val="auto"/>
              </w:rPr>
            </w:pPr>
            <w:r>
              <w:rPr>
                <w:rFonts w:hint="eastAsia"/>
                <w:color w:val="auto"/>
                <w:spacing w:val="-20"/>
              </w:rPr>
              <w:t>一般</w:t>
            </w:r>
            <w:r>
              <w:rPr>
                <w:color w:val="auto"/>
                <w:spacing w:val="-20"/>
              </w:rPr>
              <w:t>固废</w:t>
            </w:r>
          </w:p>
        </w:tc>
        <w:tc>
          <w:tcPr>
            <w:tcW w:w="518" w:type="pct"/>
            <w:vAlign w:val="center"/>
          </w:tcPr>
          <w:p w14:paraId="561B7731">
            <w:pPr>
              <w:pStyle w:val="2381"/>
              <w:widowControl w:val="0"/>
              <w:spacing w:line="360" w:lineRule="exact"/>
              <w:rPr>
                <w:color w:val="auto"/>
              </w:rPr>
            </w:pPr>
            <w:r>
              <w:rPr>
                <w:color w:val="auto"/>
              </w:rPr>
              <w:t>○</w:t>
            </w:r>
            <w:r>
              <w:rPr>
                <w:rFonts w:hint="eastAsia"/>
                <w:color w:val="auto"/>
              </w:rPr>
              <w:t>☆</w:t>
            </w:r>
          </w:p>
        </w:tc>
        <w:tc>
          <w:tcPr>
            <w:tcW w:w="518" w:type="pct"/>
            <w:vAlign w:val="center"/>
          </w:tcPr>
          <w:p w14:paraId="76B86CB6">
            <w:pPr>
              <w:pStyle w:val="2381"/>
              <w:widowControl w:val="0"/>
              <w:spacing w:line="360" w:lineRule="exact"/>
              <w:rPr>
                <w:color w:val="auto"/>
              </w:rPr>
            </w:pPr>
            <w:r>
              <w:rPr>
                <w:color w:val="auto"/>
              </w:rPr>
              <w:t>○</w:t>
            </w:r>
            <w:r>
              <w:rPr>
                <w:rFonts w:hint="eastAsia"/>
                <w:color w:val="auto"/>
              </w:rPr>
              <w:t>☆</w:t>
            </w:r>
          </w:p>
        </w:tc>
        <w:tc>
          <w:tcPr>
            <w:tcW w:w="520" w:type="pct"/>
            <w:vAlign w:val="center"/>
          </w:tcPr>
          <w:p w14:paraId="1C2F8120">
            <w:pPr>
              <w:pStyle w:val="2381"/>
              <w:widowControl w:val="0"/>
              <w:spacing w:line="360" w:lineRule="exact"/>
              <w:rPr>
                <w:color w:val="auto"/>
              </w:rPr>
            </w:pPr>
            <w:r>
              <w:rPr>
                <w:color w:val="auto"/>
              </w:rPr>
              <w:t>○</w:t>
            </w:r>
            <w:r>
              <w:rPr>
                <w:rFonts w:hint="eastAsia"/>
                <w:color w:val="auto"/>
              </w:rPr>
              <w:t>☆</w:t>
            </w:r>
          </w:p>
        </w:tc>
        <w:tc>
          <w:tcPr>
            <w:tcW w:w="602" w:type="pct"/>
            <w:vAlign w:val="center"/>
          </w:tcPr>
          <w:p w14:paraId="6579579A">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7B22AAE0">
            <w:pPr>
              <w:pStyle w:val="2381"/>
              <w:widowControl w:val="0"/>
              <w:spacing w:line="360" w:lineRule="exact"/>
              <w:rPr>
                <w:color w:val="auto"/>
              </w:rPr>
            </w:pPr>
            <w:r>
              <w:rPr>
                <w:color w:val="auto"/>
              </w:rPr>
              <w:t>/</w:t>
            </w:r>
          </w:p>
        </w:tc>
        <w:tc>
          <w:tcPr>
            <w:tcW w:w="606" w:type="pct"/>
            <w:vAlign w:val="center"/>
          </w:tcPr>
          <w:p w14:paraId="7C023DD8">
            <w:pPr>
              <w:pStyle w:val="2381"/>
              <w:widowControl w:val="0"/>
              <w:spacing w:line="360" w:lineRule="exact"/>
              <w:rPr>
                <w:color w:val="auto"/>
              </w:rPr>
            </w:pPr>
            <w:r>
              <w:rPr>
                <w:rFonts w:hint="eastAsia"/>
                <w:color w:val="auto"/>
              </w:rPr>
              <w:t>/</w:t>
            </w:r>
          </w:p>
        </w:tc>
        <w:tc>
          <w:tcPr>
            <w:tcW w:w="604" w:type="pct"/>
            <w:vAlign w:val="center"/>
          </w:tcPr>
          <w:p w14:paraId="7D0B8C03">
            <w:pPr>
              <w:pStyle w:val="2381"/>
              <w:widowControl w:val="0"/>
              <w:spacing w:line="360" w:lineRule="exact"/>
              <w:rPr>
                <w:color w:val="auto"/>
              </w:rPr>
            </w:pPr>
            <w:r>
              <w:rPr>
                <w:rFonts w:hint="eastAsia"/>
                <w:color w:val="auto"/>
              </w:rPr>
              <w:t>/</w:t>
            </w:r>
          </w:p>
        </w:tc>
      </w:tr>
      <w:tr w14:paraId="7183ACA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Align w:val="center"/>
          </w:tcPr>
          <w:p w14:paraId="1856EC87">
            <w:pPr>
              <w:pStyle w:val="2381"/>
              <w:widowControl w:val="0"/>
              <w:spacing w:line="360" w:lineRule="exact"/>
              <w:rPr>
                <w:color w:val="auto"/>
              </w:rPr>
            </w:pPr>
          </w:p>
        </w:tc>
        <w:tc>
          <w:tcPr>
            <w:tcW w:w="602" w:type="pct"/>
            <w:vAlign w:val="center"/>
          </w:tcPr>
          <w:p w14:paraId="59BCB77B">
            <w:pPr>
              <w:pStyle w:val="2381"/>
              <w:widowControl w:val="0"/>
              <w:spacing w:line="360" w:lineRule="exact"/>
              <w:rPr>
                <w:color w:val="auto"/>
              </w:rPr>
            </w:pPr>
            <w:r>
              <w:rPr>
                <w:rFonts w:hint="eastAsia"/>
                <w:color w:val="auto"/>
              </w:rPr>
              <w:t>声环境</w:t>
            </w:r>
          </w:p>
        </w:tc>
        <w:tc>
          <w:tcPr>
            <w:tcW w:w="518" w:type="pct"/>
            <w:vAlign w:val="center"/>
          </w:tcPr>
          <w:p w14:paraId="37D7CB9E">
            <w:pPr>
              <w:pStyle w:val="2381"/>
              <w:widowControl w:val="0"/>
              <w:spacing w:line="360" w:lineRule="exact"/>
              <w:rPr>
                <w:color w:val="auto"/>
              </w:rPr>
            </w:pPr>
            <w:r>
              <w:rPr>
                <w:color w:val="auto"/>
              </w:rPr>
              <w:t>○</w:t>
            </w:r>
            <w:r>
              <w:rPr>
                <w:rFonts w:hint="eastAsia"/>
                <w:color w:val="auto"/>
              </w:rPr>
              <w:t>☆</w:t>
            </w:r>
          </w:p>
        </w:tc>
        <w:tc>
          <w:tcPr>
            <w:tcW w:w="518" w:type="pct"/>
            <w:vAlign w:val="center"/>
          </w:tcPr>
          <w:p w14:paraId="6CAB2F62">
            <w:pPr>
              <w:pStyle w:val="2381"/>
              <w:widowControl w:val="0"/>
              <w:spacing w:line="360" w:lineRule="exact"/>
              <w:rPr>
                <w:color w:val="auto"/>
              </w:rPr>
            </w:pPr>
            <w:r>
              <w:rPr>
                <w:color w:val="auto"/>
              </w:rPr>
              <w:t>○</w:t>
            </w:r>
            <w:r>
              <w:rPr>
                <w:rFonts w:hint="eastAsia"/>
                <w:color w:val="auto"/>
              </w:rPr>
              <w:t>☆</w:t>
            </w:r>
          </w:p>
        </w:tc>
        <w:tc>
          <w:tcPr>
            <w:tcW w:w="520" w:type="pct"/>
            <w:vAlign w:val="center"/>
          </w:tcPr>
          <w:p w14:paraId="7E45AB46">
            <w:pPr>
              <w:pStyle w:val="2381"/>
              <w:widowControl w:val="0"/>
              <w:spacing w:line="360" w:lineRule="exact"/>
              <w:rPr>
                <w:color w:val="auto"/>
              </w:rPr>
            </w:pPr>
            <w:r>
              <w:rPr>
                <w:color w:val="auto"/>
              </w:rPr>
              <w:t>○</w:t>
            </w:r>
            <w:r>
              <w:rPr>
                <w:rFonts w:hint="eastAsia"/>
                <w:color w:val="auto"/>
              </w:rPr>
              <w:t>☆</w:t>
            </w:r>
          </w:p>
        </w:tc>
        <w:tc>
          <w:tcPr>
            <w:tcW w:w="602" w:type="pct"/>
            <w:vAlign w:val="center"/>
          </w:tcPr>
          <w:p w14:paraId="51C89331">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16C394E5">
            <w:pPr>
              <w:pStyle w:val="2381"/>
              <w:widowControl w:val="0"/>
              <w:spacing w:line="360" w:lineRule="exact"/>
              <w:rPr>
                <w:color w:val="auto"/>
              </w:rPr>
            </w:pPr>
            <w:r>
              <w:rPr>
                <w:color w:val="auto"/>
              </w:rPr>
              <w:t>○</w:t>
            </w:r>
            <w:r>
              <w:rPr>
                <w:rFonts w:hint="eastAsia"/>
                <w:color w:val="auto"/>
                <w:lang w:eastAsia="ja-JP"/>
              </w:rPr>
              <w:t>★</w:t>
            </w:r>
          </w:p>
        </w:tc>
        <w:tc>
          <w:tcPr>
            <w:tcW w:w="606" w:type="pct"/>
            <w:vAlign w:val="center"/>
          </w:tcPr>
          <w:p w14:paraId="6833E3B7">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29B3CB1C">
            <w:pPr>
              <w:pStyle w:val="2381"/>
              <w:widowControl w:val="0"/>
              <w:spacing w:line="360" w:lineRule="exact"/>
              <w:rPr>
                <w:color w:val="auto"/>
              </w:rPr>
            </w:pPr>
            <w:r>
              <w:rPr>
                <w:color w:val="auto"/>
              </w:rPr>
              <w:t>○</w:t>
            </w:r>
            <w:r>
              <w:rPr>
                <w:rFonts w:hint="eastAsia"/>
                <w:color w:val="auto"/>
              </w:rPr>
              <w:t>★</w:t>
            </w:r>
          </w:p>
        </w:tc>
      </w:tr>
      <w:tr w14:paraId="5C4EF5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Align w:val="center"/>
          </w:tcPr>
          <w:p w14:paraId="6383D823">
            <w:pPr>
              <w:pStyle w:val="2381"/>
              <w:widowControl w:val="0"/>
              <w:spacing w:line="360" w:lineRule="exact"/>
              <w:rPr>
                <w:color w:val="auto"/>
              </w:rPr>
            </w:pPr>
          </w:p>
        </w:tc>
        <w:tc>
          <w:tcPr>
            <w:tcW w:w="602" w:type="pct"/>
            <w:vAlign w:val="center"/>
          </w:tcPr>
          <w:p w14:paraId="5407A396">
            <w:pPr>
              <w:pStyle w:val="2381"/>
              <w:widowControl w:val="0"/>
              <w:spacing w:line="360" w:lineRule="exact"/>
              <w:rPr>
                <w:color w:val="auto"/>
                <w:spacing w:val="-20"/>
              </w:rPr>
            </w:pPr>
            <w:r>
              <w:rPr>
                <w:rFonts w:hint="eastAsia"/>
                <w:color w:val="auto"/>
                <w:spacing w:val="-20"/>
              </w:rPr>
              <w:t>生态环境</w:t>
            </w:r>
          </w:p>
        </w:tc>
        <w:tc>
          <w:tcPr>
            <w:tcW w:w="518" w:type="pct"/>
            <w:vAlign w:val="center"/>
          </w:tcPr>
          <w:p w14:paraId="441B8869">
            <w:pPr>
              <w:pStyle w:val="2381"/>
              <w:widowControl w:val="0"/>
              <w:spacing w:line="360" w:lineRule="exact"/>
              <w:rPr>
                <w:color w:val="auto"/>
              </w:rPr>
            </w:pPr>
            <w:r>
              <w:rPr>
                <w:color w:val="auto"/>
              </w:rPr>
              <w:t>○</w:t>
            </w:r>
            <w:r>
              <w:rPr>
                <w:rFonts w:hint="eastAsia"/>
                <w:color w:val="auto"/>
              </w:rPr>
              <w:t>☆</w:t>
            </w:r>
          </w:p>
        </w:tc>
        <w:tc>
          <w:tcPr>
            <w:tcW w:w="518" w:type="pct"/>
            <w:vAlign w:val="center"/>
          </w:tcPr>
          <w:p w14:paraId="6F4CF298">
            <w:pPr>
              <w:pStyle w:val="2381"/>
              <w:widowControl w:val="0"/>
              <w:spacing w:line="360" w:lineRule="exact"/>
              <w:rPr>
                <w:color w:val="auto"/>
              </w:rPr>
            </w:pPr>
            <w:r>
              <w:rPr>
                <w:color w:val="auto"/>
              </w:rPr>
              <w:t>○</w:t>
            </w:r>
            <w:r>
              <w:rPr>
                <w:rFonts w:hint="eastAsia"/>
                <w:color w:val="auto"/>
              </w:rPr>
              <w:t>☆</w:t>
            </w:r>
          </w:p>
        </w:tc>
        <w:tc>
          <w:tcPr>
            <w:tcW w:w="520" w:type="pct"/>
            <w:vAlign w:val="center"/>
          </w:tcPr>
          <w:p w14:paraId="760391E0">
            <w:pPr>
              <w:pStyle w:val="2381"/>
              <w:widowControl w:val="0"/>
              <w:spacing w:line="360" w:lineRule="exact"/>
              <w:rPr>
                <w:color w:val="auto"/>
              </w:rPr>
            </w:pPr>
            <w:r>
              <w:rPr>
                <w:color w:val="auto"/>
              </w:rPr>
              <w:t>○</w:t>
            </w:r>
            <w:r>
              <w:rPr>
                <w:rFonts w:hint="eastAsia"/>
                <w:color w:val="auto"/>
              </w:rPr>
              <w:t>☆</w:t>
            </w:r>
          </w:p>
        </w:tc>
        <w:tc>
          <w:tcPr>
            <w:tcW w:w="602" w:type="pct"/>
            <w:vAlign w:val="center"/>
          </w:tcPr>
          <w:p w14:paraId="02002482">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5A853284">
            <w:pPr>
              <w:pStyle w:val="2381"/>
              <w:widowControl w:val="0"/>
              <w:spacing w:line="360" w:lineRule="exact"/>
              <w:rPr>
                <w:color w:val="auto"/>
              </w:rPr>
            </w:pPr>
            <w:r>
              <w:rPr>
                <w:color w:val="auto"/>
              </w:rPr>
              <w:t>○</w:t>
            </w:r>
            <w:r>
              <w:rPr>
                <w:rFonts w:hint="eastAsia"/>
                <w:color w:val="auto"/>
                <w:lang w:eastAsia="ja-JP"/>
              </w:rPr>
              <w:t>★</w:t>
            </w:r>
          </w:p>
        </w:tc>
        <w:tc>
          <w:tcPr>
            <w:tcW w:w="606" w:type="pct"/>
            <w:vAlign w:val="center"/>
          </w:tcPr>
          <w:p w14:paraId="42EFE100">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07978ED3">
            <w:pPr>
              <w:pStyle w:val="2381"/>
              <w:widowControl w:val="0"/>
              <w:spacing w:line="360" w:lineRule="exact"/>
              <w:rPr>
                <w:color w:val="auto"/>
              </w:rPr>
            </w:pPr>
            <w:r>
              <w:rPr>
                <w:color w:val="auto"/>
              </w:rPr>
              <w:t>○</w:t>
            </w:r>
            <w:r>
              <w:rPr>
                <w:rFonts w:hint="eastAsia"/>
                <w:color w:val="auto"/>
              </w:rPr>
              <w:t>★</w:t>
            </w:r>
          </w:p>
        </w:tc>
      </w:tr>
      <w:tr w14:paraId="6270AB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Align w:val="center"/>
          </w:tcPr>
          <w:p w14:paraId="5C317461">
            <w:pPr>
              <w:pStyle w:val="2381"/>
              <w:widowControl w:val="0"/>
              <w:spacing w:line="360" w:lineRule="exact"/>
              <w:rPr>
                <w:color w:val="auto"/>
              </w:rPr>
            </w:pPr>
          </w:p>
        </w:tc>
        <w:tc>
          <w:tcPr>
            <w:tcW w:w="602" w:type="pct"/>
            <w:vAlign w:val="center"/>
          </w:tcPr>
          <w:p w14:paraId="704AA01A">
            <w:pPr>
              <w:pStyle w:val="2381"/>
              <w:widowControl w:val="0"/>
              <w:spacing w:line="360" w:lineRule="exact"/>
              <w:rPr>
                <w:color w:val="auto"/>
                <w:spacing w:val="-20"/>
              </w:rPr>
            </w:pPr>
            <w:r>
              <w:rPr>
                <w:rFonts w:hint="eastAsia"/>
                <w:color w:val="auto"/>
                <w:spacing w:val="-20"/>
              </w:rPr>
              <w:t>土壤环境</w:t>
            </w:r>
          </w:p>
        </w:tc>
        <w:tc>
          <w:tcPr>
            <w:tcW w:w="518" w:type="pct"/>
            <w:vAlign w:val="center"/>
          </w:tcPr>
          <w:p w14:paraId="79ECF0BD">
            <w:pPr>
              <w:pStyle w:val="2381"/>
              <w:widowControl w:val="0"/>
              <w:spacing w:line="360" w:lineRule="exact"/>
              <w:rPr>
                <w:color w:val="auto"/>
              </w:rPr>
            </w:pPr>
            <w:r>
              <w:rPr>
                <w:color w:val="auto"/>
              </w:rPr>
              <w:t>○</w:t>
            </w:r>
            <w:r>
              <w:rPr>
                <w:rFonts w:hint="eastAsia"/>
                <w:color w:val="auto"/>
              </w:rPr>
              <w:t>☆</w:t>
            </w:r>
          </w:p>
        </w:tc>
        <w:tc>
          <w:tcPr>
            <w:tcW w:w="518" w:type="pct"/>
            <w:vAlign w:val="center"/>
          </w:tcPr>
          <w:p w14:paraId="11DC8710">
            <w:pPr>
              <w:pStyle w:val="2381"/>
              <w:widowControl w:val="0"/>
              <w:spacing w:line="360" w:lineRule="exact"/>
              <w:rPr>
                <w:color w:val="auto"/>
              </w:rPr>
            </w:pPr>
            <w:r>
              <w:rPr>
                <w:color w:val="auto"/>
              </w:rPr>
              <w:t>○</w:t>
            </w:r>
            <w:r>
              <w:rPr>
                <w:rFonts w:hint="eastAsia"/>
                <w:color w:val="auto"/>
              </w:rPr>
              <w:t>☆</w:t>
            </w:r>
          </w:p>
        </w:tc>
        <w:tc>
          <w:tcPr>
            <w:tcW w:w="520" w:type="pct"/>
            <w:vAlign w:val="center"/>
          </w:tcPr>
          <w:p w14:paraId="543622CA">
            <w:pPr>
              <w:pStyle w:val="2381"/>
              <w:widowControl w:val="0"/>
              <w:spacing w:line="360" w:lineRule="exact"/>
              <w:rPr>
                <w:color w:val="auto"/>
              </w:rPr>
            </w:pPr>
            <w:r>
              <w:rPr>
                <w:color w:val="auto"/>
              </w:rPr>
              <w:t>○</w:t>
            </w:r>
            <w:r>
              <w:rPr>
                <w:rFonts w:hint="eastAsia"/>
                <w:color w:val="auto"/>
              </w:rPr>
              <w:t>☆</w:t>
            </w:r>
          </w:p>
        </w:tc>
        <w:tc>
          <w:tcPr>
            <w:tcW w:w="602" w:type="pct"/>
            <w:vAlign w:val="center"/>
          </w:tcPr>
          <w:p w14:paraId="3BE17F24">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54D76729">
            <w:pPr>
              <w:pStyle w:val="2381"/>
              <w:widowControl w:val="0"/>
              <w:spacing w:line="360" w:lineRule="exact"/>
              <w:rPr>
                <w:color w:val="auto"/>
              </w:rPr>
            </w:pPr>
            <w:r>
              <w:rPr>
                <w:color w:val="auto"/>
              </w:rPr>
              <w:t>○</w:t>
            </w:r>
            <w:r>
              <w:rPr>
                <w:rFonts w:hint="eastAsia"/>
                <w:color w:val="auto"/>
                <w:lang w:eastAsia="ja-JP"/>
              </w:rPr>
              <w:t>★</w:t>
            </w:r>
          </w:p>
        </w:tc>
        <w:tc>
          <w:tcPr>
            <w:tcW w:w="606" w:type="pct"/>
            <w:vAlign w:val="center"/>
          </w:tcPr>
          <w:p w14:paraId="669D7CFD">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42D0E1BB">
            <w:pPr>
              <w:pStyle w:val="2381"/>
              <w:widowControl w:val="0"/>
              <w:spacing w:line="360" w:lineRule="exact"/>
              <w:rPr>
                <w:color w:val="auto"/>
              </w:rPr>
            </w:pPr>
            <w:r>
              <w:rPr>
                <w:color w:val="auto"/>
              </w:rPr>
              <w:t>○</w:t>
            </w:r>
            <w:r>
              <w:rPr>
                <w:rFonts w:hint="eastAsia"/>
                <w:color w:val="auto"/>
              </w:rPr>
              <w:t>★</w:t>
            </w:r>
          </w:p>
        </w:tc>
      </w:tr>
      <w:tr w14:paraId="1D5615F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6" w:type="pct"/>
            <w:vAlign w:val="center"/>
          </w:tcPr>
          <w:p w14:paraId="176BB063">
            <w:pPr>
              <w:pStyle w:val="2381"/>
              <w:widowControl w:val="0"/>
              <w:spacing w:line="360" w:lineRule="exact"/>
              <w:rPr>
                <w:color w:val="auto"/>
              </w:rPr>
            </w:pPr>
          </w:p>
        </w:tc>
        <w:tc>
          <w:tcPr>
            <w:tcW w:w="602" w:type="pct"/>
            <w:vAlign w:val="center"/>
          </w:tcPr>
          <w:p w14:paraId="195A7B04">
            <w:pPr>
              <w:pStyle w:val="2381"/>
              <w:widowControl w:val="0"/>
              <w:spacing w:line="360" w:lineRule="exact"/>
              <w:rPr>
                <w:color w:val="auto"/>
                <w:spacing w:val="-20"/>
              </w:rPr>
            </w:pPr>
            <w:r>
              <w:rPr>
                <w:rFonts w:hint="eastAsia"/>
                <w:color w:val="auto"/>
                <w:spacing w:val="-20"/>
              </w:rPr>
              <w:t>环境</w:t>
            </w:r>
            <w:r>
              <w:rPr>
                <w:color w:val="auto"/>
                <w:spacing w:val="-20"/>
              </w:rPr>
              <w:t>风险</w:t>
            </w:r>
          </w:p>
        </w:tc>
        <w:tc>
          <w:tcPr>
            <w:tcW w:w="518" w:type="pct"/>
            <w:vAlign w:val="center"/>
          </w:tcPr>
          <w:p w14:paraId="3F2E1302">
            <w:pPr>
              <w:pStyle w:val="2381"/>
              <w:widowControl w:val="0"/>
              <w:spacing w:line="360" w:lineRule="exact"/>
              <w:rPr>
                <w:color w:val="auto"/>
              </w:rPr>
            </w:pPr>
            <w:r>
              <w:rPr>
                <w:rFonts w:hint="eastAsia"/>
                <w:color w:val="auto"/>
              </w:rPr>
              <w:t>/</w:t>
            </w:r>
          </w:p>
        </w:tc>
        <w:tc>
          <w:tcPr>
            <w:tcW w:w="518" w:type="pct"/>
            <w:vAlign w:val="center"/>
          </w:tcPr>
          <w:p w14:paraId="659C034C">
            <w:pPr>
              <w:pStyle w:val="2381"/>
              <w:widowControl w:val="0"/>
              <w:spacing w:line="360" w:lineRule="exact"/>
              <w:rPr>
                <w:color w:val="auto"/>
              </w:rPr>
            </w:pPr>
            <w:r>
              <w:rPr>
                <w:rFonts w:hint="eastAsia"/>
                <w:color w:val="auto"/>
              </w:rPr>
              <w:t>/</w:t>
            </w:r>
          </w:p>
        </w:tc>
        <w:tc>
          <w:tcPr>
            <w:tcW w:w="520" w:type="pct"/>
            <w:vAlign w:val="center"/>
          </w:tcPr>
          <w:p w14:paraId="2D377711">
            <w:pPr>
              <w:pStyle w:val="2381"/>
              <w:widowControl w:val="0"/>
              <w:spacing w:line="360" w:lineRule="exact"/>
              <w:rPr>
                <w:color w:val="auto"/>
              </w:rPr>
            </w:pPr>
            <w:r>
              <w:rPr>
                <w:rFonts w:hint="eastAsia"/>
                <w:color w:val="auto"/>
              </w:rPr>
              <w:t>/</w:t>
            </w:r>
          </w:p>
        </w:tc>
        <w:tc>
          <w:tcPr>
            <w:tcW w:w="602" w:type="pct"/>
            <w:vAlign w:val="center"/>
          </w:tcPr>
          <w:p w14:paraId="43DF95B3">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737EDBA6">
            <w:pPr>
              <w:pStyle w:val="2381"/>
              <w:widowControl w:val="0"/>
              <w:spacing w:line="360" w:lineRule="exact"/>
              <w:rPr>
                <w:color w:val="auto"/>
              </w:rPr>
            </w:pPr>
            <w:r>
              <w:rPr>
                <w:color w:val="auto"/>
              </w:rPr>
              <w:t>○</w:t>
            </w:r>
            <w:r>
              <w:rPr>
                <w:rFonts w:hint="eastAsia"/>
                <w:color w:val="auto"/>
                <w:lang w:eastAsia="ja-JP"/>
              </w:rPr>
              <w:t>★</w:t>
            </w:r>
          </w:p>
        </w:tc>
        <w:tc>
          <w:tcPr>
            <w:tcW w:w="606" w:type="pct"/>
            <w:vAlign w:val="center"/>
          </w:tcPr>
          <w:p w14:paraId="64BD7786">
            <w:pPr>
              <w:pStyle w:val="2381"/>
              <w:widowControl w:val="0"/>
              <w:spacing w:line="360" w:lineRule="exact"/>
              <w:rPr>
                <w:color w:val="auto"/>
              </w:rPr>
            </w:pPr>
            <w:r>
              <w:rPr>
                <w:color w:val="auto"/>
              </w:rPr>
              <w:t>○</w:t>
            </w:r>
            <w:r>
              <w:rPr>
                <w:rFonts w:hint="eastAsia"/>
                <w:color w:val="auto"/>
                <w:lang w:eastAsia="ja-JP"/>
              </w:rPr>
              <w:t>★</w:t>
            </w:r>
          </w:p>
        </w:tc>
        <w:tc>
          <w:tcPr>
            <w:tcW w:w="604" w:type="pct"/>
            <w:vAlign w:val="center"/>
          </w:tcPr>
          <w:p w14:paraId="539F3236">
            <w:pPr>
              <w:pStyle w:val="2381"/>
              <w:widowControl w:val="0"/>
              <w:spacing w:line="360" w:lineRule="exact"/>
              <w:rPr>
                <w:color w:val="auto"/>
              </w:rPr>
            </w:pPr>
            <w:r>
              <w:rPr>
                <w:color w:val="auto"/>
              </w:rPr>
              <w:t>○</w:t>
            </w:r>
            <w:r>
              <w:rPr>
                <w:rFonts w:hint="eastAsia"/>
                <w:color w:val="auto"/>
              </w:rPr>
              <w:t>★</w:t>
            </w:r>
          </w:p>
        </w:tc>
      </w:tr>
    </w:tbl>
    <w:p w14:paraId="0A96529F">
      <w:pPr>
        <w:pStyle w:val="2382"/>
        <w:ind w:firstLine="480"/>
        <w:rPr>
          <w:color w:val="auto"/>
        </w:rPr>
      </w:pPr>
      <w:r>
        <w:rPr>
          <w:rFonts w:hint="eastAsia"/>
          <w:color w:val="auto"/>
        </w:rPr>
        <w:t>注</w:t>
      </w:r>
      <w:r>
        <w:rPr>
          <w:color w:val="auto"/>
        </w:rPr>
        <w:t>：●</w:t>
      </w:r>
      <w:r>
        <w:rPr>
          <w:rFonts w:hint="eastAsia"/>
          <w:color w:val="auto"/>
        </w:rPr>
        <w:t>影响较大</w:t>
      </w:r>
      <w:r>
        <w:rPr>
          <w:color w:val="auto"/>
        </w:rPr>
        <w:t>；○</w:t>
      </w:r>
      <w:r>
        <w:rPr>
          <w:rFonts w:hint="eastAsia"/>
          <w:color w:val="auto"/>
        </w:rPr>
        <w:t>影响</w:t>
      </w:r>
      <w:r>
        <w:rPr>
          <w:color w:val="auto"/>
        </w:rPr>
        <w:t>较小；</w:t>
      </w:r>
      <w:r>
        <w:rPr>
          <w:rFonts w:hint="eastAsia"/>
          <w:color w:val="auto"/>
          <w:lang w:eastAsia="ja-JP"/>
        </w:rPr>
        <w:t>★</w:t>
      </w:r>
      <w:r>
        <w:rPr>
          <w:rFonts w:hint="eastAsia"/>
          <w:color w:val="auto"/>
        </w:rPr>
        <w:t>长期影响</w:t>
      </w:r>
      <w:r>
        <w:rPr>
          <w:color w:val="auto"/>
        </w:rPr>
        <w:t>；</w:t>
      </w:r>
      <w:r>
        <w:rPr>
          <w:rFonts w:hint="eastAsia"/>
          <w:color w:val="auto"/>
        </w:rPr>
        <w:t>☆短期</w:t>
      </w:r>
      <w:r>
        <w:rPr>
          <w:color w:val="auto"/>
        </w:rPr>
        <w:t>影响</w:t>
      </w:r>
    </w:p>
    <w:p w14:paraId="43EC4AB8">
      <w:pPr>
        <w:pStyle w:val="4"/>
        <w:rPr>
          <w:color w:val="auto"/>
        </w:rPr>
      </w:pPr>
      <w:bookmarkStart w:id="99" w:name="_Hlk174093649"/>
      <w:r>
        <w:rPr>
          <w:color w:val="auto"/>
        </w:rPr>
        <w:t>评价因子筛选</w:t>
      </w:r>
    </w:p>
    <w:p w14:paraId="5AFB4E15">
      <w:pPr>
        <w:pStyle w:val="132"/>
        <w:rPr>
          <w:color w:val="auto"/>
        </w:rPr>
      </w:pPr>
      <w:r>
        <w:rPr>
          <w:color w:val="auto"/>
        </w:rPr>
        <w:t>根据工程排污特征及</w:t>
      </w:r>
      <w:r>
        <w:rPr>
          <w:rFonts w:hint="eastAsia"/>
          <w:color w:val="auto"/>
        </w:rPr>
        <w:t>厂址</w:t>
      </w:r>
      <w:r>
        <w:rPr>
          <w:color w:val="auto"/>
        </w:rPr>
        <w:t>所在区域的环境状况，选择对环境影响较大以及本工程的特征污染因子，同时考虑区域环境质量状况及各类污染因子的相应控制标准，确定以下因子作为本项目的现状及影响评价因子，见表2.</w:t>
      </w:r>
      <w:r>
        <w:rPr>
          <w:rFonts w:hint="eastAsia"/>
          <w:color w:val="auto"/>
        </w:rPr>
        <w:t>3-2</w:t>
      </w:r>
      <w:r>
        <w:rPr>
          <w:color w:val="auto"/>
        </w:rPr>
        <w:t>。</w:t>
      </w:r>
    </w:p>
    <w:p w14:paraId="75EF6247">
      <w:pPr>
        <w:pStyle w:val="1060"/>
        <w:rPr>
          <w:color w:val="auto"/>
        </w:rPr>
      </w:pPr>
      <w:bookmarkStart w:id="100" w:name="_Hlk197809295"/>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评价因子</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849"/>
        <w:gridCol w:w="2144"/>
        <w:gridCol w:w="5793"/>
      </w:tblGrid>
      <w:tr w14:paraId="6484199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1703" w:type="pct"/>
            <w:gridSpan w:val="2"/>
            <w:vAlign w:val="center"/>
          </w:tcPr>
          <w:p w14:paraId="7B9A3826">
            <w:pPr>
              <w:pStyle w:val="129"/>
              <w:widowControl w:val="0"/>
              <w:rPr>
                <w:color w:val="auto"/>
              </w:rPr>
            </w:pPr>
            <w:r>
              <w:rPr>
                <w:rFonts w:hint="eastAsia" w:ascii="宋体" w:hAnsi="宋体" w:cs="宋体"/>
                <w:color w:val="auto"/>
              </w:rPr>
              <w:t>项</w:t>
            </w:r>
            <w:r>
              <w:rPr>
                <w:color w:val="auto"/>
              </w:rPr>
              <w:t xml:space="preserve">    </w:t>
            </w:r>
            <w:r>
              <w:rPr>
                <w:rFonts w:hint="eastAsia" w:ascii="宋体" w:hAnsi="宋体" w:cs="宋体"/>
                <w:color w:val="auto"/>
              </w:rPr>
              <w:t>目</w:t>
            </w:r>
          </w:p>
        </w:tc>
        <w:tc>
          <w:tcPr>
            <w:tcW w:w="3297" w:type="pct"/>
            <w:vAlign w:val="center"/>
          </w:tcPr>
          <w:p w14:paraId="6668FB78">
            <w:pPr>
              <w:pStyle w:val="129"/>
              <w:widowControl w:val="0"/>
              <w:rPr>
                <w:color w:val="auto"/>
              </w:rPr>
            </w:pPr>
            <w:r>
              <w:rPr>
                <w:rFonts w:hint="eastAsia" w:ascii="宋体" w:hAnsi="宋体" w:cs="宋体"/>
                <w:color w:val="auto"/>
              </w:rPr>
              <w:t>评价因子</w:t>
            </w:r>
          </w:p>
        </w:tc>
      </w:tr>
      <w:tr w14:paraId="4871D46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restart"/>
            <w:vAlign w:val="center"/>
          </w:tcPr>
          <w:p w14:paraId="3AD58387">
            <w:pPr>
              <w:pStyle w:val="129"/>
              <w:widowControl w:val="0"/>
              <w:rPr>
                <w:color w:val="auto"/>
              </w:rPr>
            </w:pPr>
            <w:r>
              <w:rPr>
                <w:rFonts w:hint="eastAsia" w:ascii="宋体" w:hAnsi="宋体" w:cs="宋体"/>
                <w:color w:val="auto"/>
              </w:rPr>
              <w:t>大气</w:t>
            </w:r>
          </w:p>
        </w:tc>
        <w:tc>
          <w:tcPr>
            <w:tcW w:w="1220" w:type="pct"/>
            <w:vAlign w:val="center"/>
          </w:tcPr>
          <w:p w14:paraId="2C23A032">
            <w:pPr>
              <w:pStyle w:val="129"/>
              <w:widowControl w:val="0"/>
              <w:rPr>
                <w:color w:val="auto"/>
              </w:rPr>
            </w:pPr>
            <w:r>
              <w:rPr>
                <w:rFonts w:hint="eastAsia" w:ascii="宋体" w:hAnsi="宋体" w:cs="宋体"/>
                <w:color w:val="auto"/>
              </w:rPr>
              <w:t>施工期污染源分析</w:t>
            </w:r>
          </w:p>
        </w:tc>
        <w:tc>
          <w:tcPr>
            <w:tcW w:w="3297" w:type="pct"/>
            <w:vAlign w:val="center"/>
          </w:tcPr>
          <w:p w14:paraId="6DC562F2">
            <w:pPr>
              <w:pStyle w:val="129"/>
              <w:widowControl w:val="0"/>
              <w:rPr>
                <w:color w:val="auto"/>
              </w:rPr>
            </w:pPr>
            <w:r>
              <w:rPr>
                <w:rFonts w:hint="eastAsia" w:ascii="宋体" w:hAnsi="宋体" w:cs="宋体"/>
                <w:color w:val="auto"/>
              </w:rPr>
              <w:t>施工扬尘</w:t>
            </w:r>
          </w:p>
        </w:tc>
      </w:tr>
      <w:tr w14:paraId="5E07A96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continue"/>
            <w:vAlign w:val="center"/>
          </w:tcPr>
          <w:p w14:paraId="51ED4775">
            <w:pPr>
              <w:pStyle w:val="129"/>
              <w:widowControl w:val="0"/>
              <w:rPr>
                <w:color w:val="auto"/>
              </w:rPr>
            </w:pPr>
          </w:p>
        </w:tc>
        <w:tc>
          <w:tcPr>
            <w:tcW w:w="1220" w:type="pct"/>
            <w:vAlign w:val="center"/>
          </w:tcPr>
          <w:p w14:paraId="16DB3284">
            <w:pPr>
              <w:pStyle w:val="129"/>
              <w:widowControl w:val="0"/>
              <w:rPr>
                <w:color w:val="auto"/>
              </w:rPr>
            </w:pPr>
            <w:r>
              <w:rPr>
                <w:rFonts w:hint="eastAsia" w:ascii="宋体" w:hAnsi="宋体" w:cs="宋体"/>
                <w:color w:val="auto"/>
              </w:rPr>
              <w:t>施工期环境影响分析</w:t>
            </w:r>
          </w:p>
        </w:tc>
        <w:tc>
          <w:tcPr>
            <w:tcW w:w="3297" w:type="pct"/>
            <w:vAlign w:val="center"/>
          </w:tcPr>
          <w:p w14:paraId="722DB1B7">
            <w:pPr>
              <w:pStyle w:val="129"/>
              <w:widowControl w:val="0"/>
              <w:rPr>
                <w:color w:val="auto"/>
              </w:rPr>
            </w:pPr>
            <w:r>
              <w:rPr>
                <w:rFonts w:hint="eastAsia" w:ascii="宋体" w:hAnsi="宋体" w:cs="宋体"/>
                <w:color w:val="auto"/>
              </w:rPr>
              <w:t>颗粒物</w:t>
            </w:r>
          </w:p>
        </w:tc>
      </w:tr>
      <w:tr w14:paraId="5DFA60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continue"/>
            <w:vAlign w:val="center"/>
          </w:tcPr>
          <w:p w14:paraId="66FB7C75">
            <w:pPr>
              <w:pStyle w:val="129"/>
              <w:widowControl w:val="0"/>
              <w:rPr>
                <w:color w:val="auto"/>
              </w:rPr>
            </w:pPr>
          </w:p>
        </w:tc>
        <w:tc>
          <w:tcPr>
            <w:tcW w:w="1220" w:type="pct"/>
            <w:vAlign w:val="center"/>
          </w:tcPr>
          <w:p w14:paraId="58E287BE">
            <w:pPr>
              <w:pStyle w:val="129"/>
              <w:widowControl w:val="0"/>
              <w:rPr>
                <w:color w:val="auto"/>
              </w:rPr>
            </w:pPr>
            <w:r>
              <w:rPr>
                <w:rFonts w:hint="eastAsia" w:ascii="宋体" w:hAnsi="宋体" w:cs="宋体"/>
                <w:color w:val="auto"/>
              </w:rPr>
              <w:t>现状评价</w:t>
            </w:r>
          </w:p>
        </w:tc>
        <w:tc>
          <w:tcPr>
            <w:tcW w:w="3297" w:type="pct"/>
            <w:vAlign w:val="center"/>
          </w:tcPr>
          <w:p w14:paraId="057E6BCE">
            <w:pPr>
              <w:pStyle w:val="129"/>
              <w:widowControl w:val="0"/>
              <w:rPr>
                <w:color w:val="auto"/>
              </w:rPr>
            </w:pPr>
            <w:r>
              <w:rPr>
                <w:rFonts w:hint="eastAsia"/>
                <w:color w:val="auto"/>
              </w:rPr>
              <w:t>PM</w:t>
            </w:r>
            <w:r>
              <w:rPr>
                <w:rFonts w:hint="eastAsia"/>
                <w:color w:val="auto"/>
                <w:vertAlign w:val="subscript"/>
              </w:rPr>
              <w:t>10</w:t>
            </w:r>
            <w:r>
              <w:rPr>
                <w:rFonts w:hint="eastAsia" w:ascii="宋体" w:hAnsi="宋体" w:cs="宋体"/>
                <w:color w:val="auto"/>
              </w:rPr>
              <w:t>、</w:t>
            </w:r>
            <w:r>
              <w:rPr>
                <w:rFonts w:hint="eastAsia"/>
                <w:color w:val="auto"/>
              </w:rPr>
              <w:t>PM</w:t>
            </w:r>
            <w:r>
              <w:rPr>
                <w:rFonts w:hint="eastAsia"/>
                <w:color w:val="auto"/>
                <w:vertAlign w:val="subscript"/>
              </w:rPr>
              <w:t>2.5</w:t>
            </w:r>
            <w:r>
              <w:rPr>
                <w:rFonts w:hint="eastAsia" w:ascii="宋体" w:hAnsi="宋体" w:cs="宋体"/>
                <w:color w:val="auto"/>
              </w:rPr>
              <w:t>、</w:t>
            </w:r>
            <w:r>
              <w:rPr>
                <w:color w:val="auto"/>
              </w:rPr>
              <w:t>SO</w:t>
            </w:r>
            <w:r>
              <w:rPr>
                <w:color w:val="auto"/>
                <w:vertAlign w:val="subscript"/>
              </w:rPr>
              <w:t>2</w:t>
            </w:r>
            <w:r>
              <w:rPr>
                <w:rFonts w:hint="eastAsia" w:ascii="宋体" w:hAnsi="宋体" w:cs="宋体"/>
                <w:color w:val="auto"/>
              </w:rPr>
              <w:t>、</w:t>
            </w:r>
            <w:r>
              <w:rPr>
                <w:color w:val="auto"/>
              </w:rPr>
              <w:t>NO</w:t>
            </w:r>
            <w:r>
              <w:rPr>
                <w:color w:val="auto"/>
                <w:vertAlign w:val="subscript"/>
              </w:rPr>
              <w:t>2</w:t>
            </w:r>
            <w:r>
              <w:rPr>
                <w:rFonts w:hint="eastAsia" w:ascii="宋体" w:hAnsi="宋体" w:cs="宋体"/>
                <w:color w:val="auto"/>
              </w:rPr>
              <w:t>、</w:t>
            </w:r>
            <w:r>
              <w:rPr>
                <w:rFonts w:hint="eastAsia"/>
                <w:color w:val="auto"/>
              </w:rPr>
              <w:t>CO</w:t>
            </w:r>
            <w:r>
              <w:rPr>
                <w:rFonts w:hint="eastAsia" w:ascii="宋体" w:hAnsi="宋体" w:cs="宋体"/>
                <w:color w:val="auto"/>
              </w:rPr>
              <w:t>、</w:t>
            </w:r>
            <w:r>
              <w:rPr>
                <w:rFonts w:hint="eastAsia"/>
                <w:color w:val="auto"/>
              </w:rPr>
              <w:t>O</w:t>
            </w:r>
            <w:r>
              <w:rPr>
                <w:rFonts w:hint="eastAsia"/>
                <w:color w:val="auto"/>
                <w:vertAlign w:val="subscript"/>
              </w:rPr>
              <w:t>3</w:t>
            </w:r>
            <w:r>
              <w:rPr>
                <w:rFonts w:hint="eastAsia" w:ascii="宋体" w:hAnsi="宋体" w:cs="宋体"/>
                <w:color w:val="auto"/>
              </w:rPr>
              <w:t>、</w:t>
            </w:r>
            <w:r>
              <w:rPr>
                <w:color w:val="auto"/>
              </w:rPr>
              <w:t>NH</w:t>
            </w:r>
            <w:r>
              <w:rPr>
                <w:color w:val="auto"/>
                <w:vertAlign w:val="subscript"/>
              </w:rPr>
              <w:t>3</w:t>
            </w:r>
            <w:r>
              <w:rPr>
                <w:rFonts w:hint="eastAsia"/>
                <w:color w:val="auto"/>
              </w:rPr>
              <w:t>、TSP</w:t>
            </w:r>
          </w:p>
        </w:tc>
      </w:tr>
      <w:tr w14:paraId="43C9C33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continue"/>
            <w:vAlign w:val="center"/>
          </w:tcPr>
          <w:p w14:paraId="6964580E">
            <w:pPr>
              <w:pStyle w:val="129"/>
              <w:widowControl w:val="0"/>
              <w:rPr>
                <w:color w:val="auto"/>
              </w:rPr>
            </w:pPr>
          </w:p>
        </w:tc>
        <w:tc>
          <w:tcPr>
            <w:tcW w:w="1220" w:type="pct"/>
            <w:vAlign w:val="center"/>
          </w:tcPr>
          <w:p w14:paraId="4992FEA1">
            <w:pPr>
              <w:pStyle w:val="129"/>
              <w:widowControl w:val="0"/>
              <w:rPr>
                <w:color w:val="auto"/>
              </w:rPr>
            </w:pPr>
            <w:r>
              <w:rPr>
                <w:rFonts w:hint="eastAsia" w:ascii="宋体" w:hAnsi="宋体" w:cs="宋体"/>
                <w:color w:val="auto"/>
              </w:rPr>
              <w:t>运营期污染源分析</w:t>
            </w:r>
          </w:p>
        </w:tc>
        <w:tc>
          <w:tcPr>
            <w:tcW w:w="3297" w:type="pct"/>
            <w:vAlign w:val="center"/>
          </w:tcPr>
          <w:p w14:paraId="273F55C2">
            <w:pPr>
              <w:pStyle w:val="129"/>
              <w:widowControl w:val="0"/>
              <w:rPr>
                <w:color w:val="auto"/>
              </w:rPr>
            </w:pPr>
            <w:r>
              <w:rPr>
                <w:rFonts w:hint="eastAsia" w:ascii="宋体" w:hAnsi="宋体" w:cs="宋体"/>
                <w:color w:val="auto"/>
              </w:rPr>
              <w:t>颗粒物、</w:t>
            </w:r>
            <w:r>
              <w:rPr>
                <w:color w:val="auto"/>
              </w:rPr>
              <w:t>SO</w:t>
            </w:r>
            <w:r>
              <w:rPr>
                <w:color w:val="auto"/>
                <w:vertAlign w:val="subscript"/>
              </w:rPr>
              <w:t>2</w:t>
            </w:r>
            <w:r>
              <w:rPr>
                <w:rFonts w:hint="eastAsia" w:ascii="宋体" w:hAnsi="宋体" w:cs="宋体"/>
                <w:color w:val="auto"/>
              </w:rPr>
              <w:t>、</w:t>
            </w:r>
            <w:r>
              <w:rPr>
                <w:color w:val="auto"/>
              </w:rPr>
              <w:t>NO</w:t>
            </w:r>
            <w:r>
              <w:rPr>
                <w:color w:val="auto"/>
                <w:vertAlign w:val="subscript"/>
              </w:rPr>
              <w:t>2</w:t>
            </w:r>
            <w:r>
              <w:rPr>
                <w:rFonts w:hint="eastAsia" w:ascii="宋体" w:hAnsi="宋体" w:cs="宋体"/>
                <w:color w:val="auto"/>
              </w:rPr>
              <w:t>、</w:t>
            </w:r>
            <w:r>
              <w:rPr>
                <w:color w:val="auto"/>
              </w:rPr>
              <w:t>NH</w:t>
            </w:r>
            <w:r>
              <w:rPr>
                <w:color w:val="auto"/>
                <w:vertAlign w:val="subscript"/>
              </w:rPr>
              <w:t>3</w:t>
            </w:r>
            <w:r>
              <w:rPr>
                <w:rFonts w:hint="eastAsia"/>
                <w:color w:val="auto"/>
              </w:rPr>
              <w:t>、钴及其化合物、钼及其化合物、镍及其化合物、锰及其化合物、铜及其化合物、锆及其化合物</w:t>
            </w:r>
          </w:p>
        </w:tc>
      </w:tr>
      <w:tr w14:paraId="157EF2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continue"/>
            <w:vAlign w:val="center"/>
          </w:tcPr>
          <w:p w14:paraId="2E525F8F">
            <w:pPr>
              <w:pStyle w:val="129"/>
              <w:widowControl w:val="0"/>
              <w:rPr>
                <w:color w:val="auto"/>
              </w:rPr>
            </w:pPr>
          </w:p>
        </w:tc>
        <w:tc>
          <w:tcPr>
            <w:tcW w:w="1220" w:type="pct"/>
            <w:vAlign w:val="center"/>
          </w:tcPr>
          <w:p w14:paraId="2928B73C">
            <w:pPr>
              <w:pStyle w:val="129"/>
              <w:widowControl w:val="0"/>
              <w:rPr>
                <w:color w:val="auto"/>
              </w:rPr>
            </w:pPr>
            <w:r>
              <w:rPr>
                <w:rFonts w:hint="eastAsia" w:ascii="宋体" w:hAnsi="宋体" w:cs="宋体"/>
                <w:color w:val="auto"/>
              </w:rPr>
              <w:t>运营期环境影响分析</w:t>
            </w:r>
          </w:p>
        </w:tc>
        <w:tc>
          <w:tcPr>
            <w:tcW w:w="3297" w:type="pct"/>
            <w:vAlign w:val="center"/>
          </w:tcPr>
          <w:p w14:paraId="1A0A3AD0">
            <w:pPr>
              <w:pStyle w:val="129"/>
              <w:widowControl w:val="0"/>
              <w:rPr>
                <w:color w:val="auto"/>
              </w:rPr>
            </w:pPr>
            <w:r>
              <w:rPr>
                <w:rFonts w:hint="eastAsia" w:ascii="宋体" w:hAnsi="宋体" w:cs="宋体"/>
                <w:color w:val="auto"/>
              </w:rPr>
              <w:t>颗粒物、</w:t>
            </w:r>
            <w:r>
              <w:rPr>
                <w:color w:val="auto"/>
              </w:rPr>
              <w:t>SO</w:t>
            </w:r>
            <w:r>
              <w:rPr>
                <w:color w:val="auto"/>
                <w:vertAlign w:val="subscript"/>
              </w:rPr>
              <w:t>2</w:t>
            </w:r>
            <w:r>
              <w:rPr>
                <w:rFonts w:hint="eastAsia" w:ascii="宋体" w:hAnsi="宋体" w:cs="宋体"/>
                <w:color w:val="auto"/>
              </w:rPr>
              <w:t>、</w:t>
            </w:r>
            <w:r>
              <w:rPr>
                <w:color w:val="auto"/>
              </w:rPr>
              <w:t>NO</w:t>
            </w:r>
            <w:r>
              <w:rPr>
                <w:color w:val="auto"/>
                <w:vertAlign w:val="subscript"/>
              </w:rPr>
              <w:t>2</w:t>
            </w:r>
            <w:r>
              <w:rPr>
                <w:rFonts w:hint="eastAsia" w:ascii="宋体" w:hAnsi="宋体" w:cs="宋体"/>
                <w:color w:val="auto"/>
              </w:rPr>
              <w:t>、</w:t>
            </w:r>
            <w:r>
              <w:rPr>
                <w:color w:val="auto"/>
              </w:rPr>
              <w:t>NH</w:t>
            </w:r>
            <w:r>
              <w:rPr>
                <w:color w:val="auto"/>
                <w:vertAlign w:val="subscript"/>
              </w:rPr>
              <w:t>3</w:t>
            </w:r>
          </w:p>
        </w:tc>
      </w:tr>
      <w:tr w14:paraId="08E1D90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restart"/>
            <w:vAlign w:val="center"/>
          </w:tcPr>
          <w:p w14:paraId="42173CA0">
            <w:pPr>
              <w:pStyle w:val="129"/>
              <w:widowControl w:val="0"/>
              <w:rPr>
                <w:color w:val="auto"/>
              </w:rPr>
            </w:pPr>
            <w:r>
              <w:rPr>
                <w:rFonts w:hint="eastAsia" w:ascii="宋体" w:hAnsi="宋体" w:cs="宋体"/>
                <w:color w:val="auto"/>
              </w:rPr>
              <w:t>地下水</w:t>
            </w:r>
          </w:p>
          <w:p w14:paraId="107D904F">
            <w:pPr>
              <w:pStyle w:val="129"/>
              <w:widowControl w:val="0"/>
              <w:rPr>
                <w:color w:val="auto"/>
              </w:rPr>
            </w:pPr>
            <w:r>
              <w:rPr>
                <w:rFonts w:hint="eastAsia" w:ascii="宋体" w:hAnsi="宋体" w:cs="宋体"/>
                <w:color w:val="auto"/>
              </w:rPr>
              <w:t>环境</w:t>
            </w:r>
          </w:p>
        </w:tc>
        <w:tc>
          <w:tcPr>
            <w:tcW w:w="1220" w:type="pct"/>
            <w:vAlign w:val="center"/>
          </w:tcPr>
          <w:p w14:paraId="3C15D36F">
            <w:pPr>
              <w:pStyle w:val="129"/>
              <w:widowControl w:val="0"/>
              <w:rPr>
                <w:color w:val="auto"/>
              </w:rPr>
            </w:pPr>
            <w:r>
              <w:rPr>
                <w:rFonts w:hint="eastAsia" w:ascii="宋体" w:hAnsi="宋体" w:cs="宋体"/>
                <w:color w:val="auto"/>
              </w:rPr>
              <w:t>现状评价</w:t>
            </w:r>
          </w:p>
        </w:tc>
        <w:tc>
          <w:tcPr>
            <w:tcW w:w="3297" w:type="pct"/>
            <w:vAlign w:val="center"/>
          </w:tcPr>
          <w:p w14:paraId="2C5D0DA9">
            <w:pPr>
              <w:pStyle w:val="129"/>
              <w:widowControl w:val="0"/>
              <w:rPr>
                <w:color w:val="auto"/>
              </w:rPr>
            </w:pPr>
            <w:r>
              <w:rPr>
                <w:rFonts w:hint="eastAsia"/>
                <w:color w:val="auto"/>
                <w:kern w:val="2"/>
              </w:rPr>
              <w:t>pH</w:t>
            </w:r>
            <w:r>
              <w:rPr>
                <w:rFonts w:hint="eastAsia" w:ascii="宋体" w:hAnsi="宋体"/>
                <w:color w:val="auto"/>
                <w:kern w:val="2"/>
              </w:rPr>
              <w:t>、总硬度、溶解性总固体、硫酸盐、氯化物、挥发酚、氟化物、氨氮、耗氧量、硝酸盐氮、亚硝酸盐氮、氰化物、镉、砷、铜、铅、汞、镍、六价铬、总大肠菌群、细菌总数、三氯甲烷、二氯甲烷、</w:t>
            </w:r>
            <w:r>
              <w:rPr>
                <w:color w:val="auto"/>
                <w:kern w:val="2"/>
              </w:rPr>
              <w:t>K</w:t>
            </w:r>
            <w:r>
              <w:rPr>
                <w:color w:val="auto"/>
                <w:kern w:val="2"/>
                <w:vertAlign w:val="superscript"/>
              </w:rPr>
              <w:t>+</w:t>
            </w:r>
            <w:r>
              <w:rPr>
                <w:rFonts w:ascii="宋体" w:hAnsi="宋体"/>
                <w:color w:val="auto"/>
                <w:kern w:val="2"/>
              </w:rPr>
              <w:t>、</w:t>
            </w:r>
            <w:r>
              <w:rPr>
                <w:color w:val="auto"/>
                <w:kern w:val="2"/>
              </w:rPr>
              <w:t>Na</w:t>
            </w:r>
            <w:r>
              <w:rPr>
                <w:color w:val="auto"/>
                <w:kern w:val="2"/>
                <w:vertAlign w:val="superscript"/>
              </w:rPr>
              <w:t>+</w:t>
            </w:r>
            <w:r>
              <w:rPr>
                <w:rFonts w:ascii="宋体" w:hAnsi="宋体"/>
                <w:color w:val="auto"/>
                <w:kern w:val="2"/>
              </w:rPr>
              <w:t>、</w:t>
            </w:r>
            <w:r>
              <w:rPr>
                <w:color w:val="auto"/>
                <w:kern w:val="2"/>
              </w:rPr>
              <w:t>Ca</w:t>
            </w:r>
            <w:r>
              <w:rPr>
                <w:color w:val="auto"/>
                <w:kern w:val="2"/>
                <w:vertAlign w:val="superscript"/>
              </w:rPr>
              <w:t>2+</w:t>
            </w:r>
            <w:r>
              <w:rPr>
                <w:rFonts w:ascii="宋体" w:hAnsi="宋体"/>
                <w:color w:val="auto"/>
                <w:kern w:val="2"/>
              </w:rPr>
              <w:t>、</w:t>
            </w:r>
            <w:r>
              <w:rPr>
                <w:color w:val="auto"/>
                <w:kern w:val="2"/>
              </w:rPr>
              <w:t>Mg</w:t>
            </w:r>
            <w:r>
              <w:rPr>
                <w:color w:val="auto"/>
                <w:kern w:val="2"/>
                <w:vertAlign w:val="superscript"/>
              </w:rPr>
              <w:t>2+</w:t>
            </w:r>
            <w:r>
              <w:rPr>
                <w:rFonts w:ascii="宋体" w:hAnsi="宋体"/>
                <w:color w:val="auto"/>
                <w:kern w:val="2"/>
              </w:rPr>
              <w:t>、</w:t>
            </w:r>
            <w:r>
              <w:rPr>
                <w:color w:val="auto"/>
                <w:kern w:val="2"/>
              </w:rPr>
              <w:t>CO</w:t>
            </w:r>
            <w:r>
              <w:rPr>
                <w:color w:val="auto"/>
                <w:kern w:val="2"/>
                <w:vertAlign w:val="subscript"/>
              </w:rPr>
              <w:t>3</w:t>
            </w:r>
            <w:r>
              <w:rPr>
                <w:color w:val="auto"/>
                <w:kern w:val="2"/>
                <w:vertAlign w:val="superscript"/>
              </w:rPr>
              <w:t>2-</w:t>
            </w:r>
            <w:r>
              <w:rPr>
                <w:rFonts w:ascii="宋体" w:hAnsi="宋体"/>
                <w:color w:val="auto"/>
                <w:kern w:val="2"/>
              </w:rPr>
              <w:t>、</w:t>
            </w:r>
            <w:r>
              <w:rPr>
                <w:color w:val="auto"/>
                <w:kern w:val="2"/>
              </w:rPr>
              <w:t>HCO</w:t>
            </w:r>
            <w:r>
              <w:rPr>
                <w:color w:val="auto"/>
                <w:kern w:val="2"/>
                <w:vertAlign w:val="superscript"/>
              </w:rPr>
              <w:t>3-</w:t>
            </w:r>
            <w:r>
              <w:rPr>
                <w:rFonts w:ascii="宋体" w:hAnsi="宋体"/>
                <w:color w:val="auto"/>
                <w:kern w:val="2"/>
              </w:rPr>
              <w:t>、</w:t>
            </w:r>
            <w:r>
              <w:rPr>
                <w:color w:val="auto"/>
                <w:kern w:val="2"/>
              </w:rPr>
              <w:t>Cl</w:t>
            </w:r>
            <w:r>
              <w:rPr>
                <w:color w:val="auto"/>
                <w:kern w:val="2"/>
                <w:vertAlign w:val="superscript"/>
              </w:rPr>
              <w:t>-</w:t>
            </w:r>
            <w:r>
              <w:rPr>
                <w:rFonts w:ascii="宋体" w:hAnsi="宋体"/>
                <w:color w:val="auto"/>
                <w:kern w:val="2"/>
              </w:rPr>
              <w:t>、</w:t>
            </w:r>
            <w:r>
              <w:rPr>
                <w:color w:val="auto"/>
                <w:kern w:val="2"/>
              </w:rPr>
              <w:t>SO</w:t>
            </w:r>
            <w:r>
              <w:rPr>
                <w:color w:val="auto"/>
                <w:kern w:val="2"/>
                <w:vertAlign w:val="subscript"/>
              </w:rPr>
              <w:t>4</w:t>
            </w:r>
            <w:r>
              <w:rPr>
                <w:color w:val="auto"/>
                <w:kern w:val="2"/>
                <w:vertAlign w:val="superscript"/>
              </w:rPr>
              <w:t>2-</w:t>
            </w:r>
            <w:r>
              <w:rPr>
                <w:color w:val="auto"/>
              </w:rPr>
              <w:t xml:space="preserve"> </w:t>
            </w:r>
          </w:p>
        </w:tc>
      </w:tr>
      <w:tr w14:paraId="3B4F58B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continue"/>
            <w:vAlign w:val="center"/>
          </w:tcPr>
          <w:p w14:paraId="5B50743B">
            <w:pPr>
              <w:pStyle w:val="129"/>
              <w:widowControl w:val="0"/>
              <w:rPr>
                <w:color w:val="auto"/>
              </w:rPr>
            </w:pPr>
          </w:p>
        </w:tc>
        <w:tc>
          <w:tcPr>
            <w:tcW w:w="1220" w:type="pct"/>
            <w:vAlign w:val="center"/>
          </w:tcPr>
          <w:p w14:paraId="3887D13A">
            <w:pPr>
              <w:pStyle w:val="129"/>
              <w:widowControl w:val="0"/>
              <w:rPr>
                <w:color w:val="auto"/>
              </w:rPr>
            </w:pPr>
            <w:r>
              <w:rPr>
                <w:rFonts w:hint="eastAsia" w:ascii="宋体" w:hAnsi="宋体" w:cs="宋体"/>
                <w:color w:val="auto"/>
              </w:rPr>
              <w:t>影响分析</w:t>
            </w:r>
          </w:p>
        </w:tc>
        <w:tc>
          <w:tcPr>
            <w:tcW w:w="3297" w:type="pct"/>
            <w:vAlign w:val="center"/>
          </w:tcPr>
          <w:p w14:paraId="4D727716">
            <w:pPr>
              <w:pStyle w:val="129"/>
              <w:widowControl w:val="0"/>
              <w:rPr>
                <w:color w:val="auto"/>
              </w:rPr>
            </w:pPr>
            <w:r>
              <w:rPr>
                <w:rFonts w:hint="eastAsia"/>
                <w:color w:val="auto"/>
              </w:rPr>
              <w:t>COD</w:t>
            </w:r>
          </w:p>
        </w:tc>
      </w:tr>
      <w:tr w14:paraId="2D6013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restart"/>
            <w:vAlign w:val="center"/>
          </w:tcPr>
          <w:p w14:paraId="6E0C2B04">
            <w:pPr>
              <w:pStyle w:val="129"/>
              <w:widowControl w:val="0"/>
              <w:rPr>
                <w:color w:val="auto"/>
              </w:rPr>
            </w:pPr>
            <w:r>
              <w:rPr>
                <w:rFonts w:hint="eastAsia" w:ascii="宋体" w:hAnsi="宋体" w:cs="宋体"/>
                <w:color w:val="auto"/>
              </w:rPr>
              <w:t>土壤</w:t>
            </w:r>
          </w:p>
        </w:tc>
        <w:tc>
          <w:tcPr>
            <w:tcW w:w="1220" w:type="pct"/>
            <w:vAlign w:val="center"/>
          </w:tcPr>
          <w:p w14:paraId="63DB28EB">
            <w:pPr>
              <w:pStyle w:val="129"/>
              <w:widowControl w:val="0"/>
              <w:rPr>
                <w:color w:val="auto"/>
              </w:rPr>
            </w:pPr>
            <w:r>
              <w:rPr>
                <w:rFonts w:hint="eastAsia" w:ascii="宋体" w:hAnsi="宋体" w:cs="宋体"/>
                <w:color w:val="auto"/>
              </w:rPr>
              <w:t>现状评价</w:t>
            </w:r>
          </w:p>
        </w:tc>
        <w:tc>
          <w:tcPr>
            <w:tcW w:w="3297" w:type="pct"/>
            <w:vAlign w:val="center"/>
          </w:tcPr>
          <w:p w14:paraId="69BDB1EF">
            <w:pPr>
              <w:pStyle w:val="129"/>
              <w:widowControl w:val="0"/>
              <w:rPr>
                <w:color w:val="auto"/>
              </w:rPr>
            </w:pPr>
            <w:r>
              <w:rPr>
                <w:rFonts w:hint="eastAsia" w:ascii="宋体" w:hAnsi="宋体" w:cs="宋体"/>
                <w:color w:val="auto"/>
              </w:rPr>
              <w:t>建设用地土壤污染风险基本项目</w:t>
            </w:r>
          </w:p>
        </w:tc>
      </w:tr>
      <w:tr w14:paraId="2AECB32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continue"/>
            <w:vAlign w:val="center"/>
          </w:tcPr>
          <w:p w14:paraId="59DD3631">
            <w:pPr>
              <w:pStyle w:val="129"/>
              <w:widowControl w:val="0"/>
              <w:rPr>
                <w:rFonts w:hint="eastAsia" w:ascii="宋体" w:hAnsi="宋体" w:cs="宋体"/>
                <w:color w:val="auto"/>
              </w:rPr>
            </w:pPr>
          </w:p>
        </w:tc>
        <w:tc>
          <w:tcPr>
            <w:tcW w:w="1220" w:type="pct"/>
            <w:vAlign w:val="center"/>
          </w:tcPr>
          <w:p w14:paraId="1674CC92">
            <w:pPr>
              <w:pStyle w:val="129"/>
              <w:widowControl w:val="0"/>
              <w:rPr>
                <w:rFonts w:hint="eastAsia" w:ascii="宋体" w:hAnsi="宋体" w:cs="宋体"/>
                <w:color w:val="auto"/>
              </w:rPr>
            </w:pPr>
            <w:r>
              <w:rPr>
                <w:rFonts w:hint="eastAsia" w:ascii="宋体" w:hAnsi="宋体" w:cs="宋体"/>
                <w:color w:val="auto"/>
              </w:rPr>
              <w:t>影响分析</w:t>
            </w:r>
          </w:p>
        </w:tc>
        <w:tc>
          <w:tcPr>
            <w:tcW w:w="3297" w:type="pct"/>
            <w:vAlign w:val="center"/>
          </w:tcPr>
          <w:p w14:paraId="19D8BD8E">
            <w:pPr>
              <w:pStyle w:val="129"/>
              <w:widowControl w:val="0"/>
              <w:rPr>
                <w:rFonts w:hint="eastAsia" w:ascii="宋体" w:hAnsi="宋体" w:cs="宋体"/>
                <w:color w:val="auto"/>
              </w:rPr>
            </w:pPr>
            <w:r>
              <w:rPr>
                <w:rFonts w:hint="eastAsia" w:ascii="宋体" w:hAnsi="宋体" w:cs="宋体"/>
                <w:color w:val="auto"/>
              </w:rPr>
              <w:t>镍及其化合物</w:t>
            </w:r>
          </w:p>
        </w:tc>
      </w:tr>
      <w:tr w14:paraId="1FD1C8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Align w:val="center"/>
          </w:tcPr>
          <w:p w14:paraId="55A0917D">
            <w:pPr>
              <w:pStyle w:val="129"/>
              <w:widowControl w:val="0"/>
              <w:rPr>
                <w:color w:val="auto"/>
              </w:rPr>
            </w:pPr>
            <w:r>
              <w:rPr>
                <w:rFonts w:hint="eastAsia" w:ascii="宋体" w:hAnsi="宋体" w:cs="宋体"/>
                <w:color w:val="auto"/>
              </w:rPr>
              <w:t>固体废物</w:t>
            </w:r>
          </w:p>
        </w:tc>
        <w:tc>
          <w:tcPr>
            <w:tcW w:w="1220" w:type="pct"/>
            <w:vAlign w:val="center"/>
          </w:tcPr>
          <w:p w14:paraId="0BFA5177">
            <w:pPr>
              <w:pStyle w:val="129"/>
              <w:widowControl w:val="0"/>
              <w:rPr>
                <w:color w:val="auto"/>
              </w:rPr>
            </w:pPr>
            <w:r>
              <w:rPr>
                <w:rFonts w:hint="eastAsia" w:ascii="宋体" w:hAnsi="宋体" w:cs="宋体"/>
                <w:color w:val="auto"/>
              </w:rPr>
              <w:t>运营期污染源分析</w:t>
            </w:r>
          </w:p>
        </w:tc>
        <w:tc>
          <w:tcPr>
            <w:tcW w:w="3297" w:type="pct"/>
            <w:vAlign w:val="center"/>
          </w:tcPr>
          <w:p w14:paraId="1D13E8AC">
            <w:pPr>
              <w:pStyle w:val="129"/>
              <w:widowControl w:val="0"/>
              <w:rPr>
                <w:rFonts w:hint="eastAsia" w:ascii="宋体" w:hAnsi="宋体" w:cs="宋体"/>
                <w:color w:val="auto"/>
              </w:rPr>
            </w:pPr>
            <w:r>
              <w:rPr>
                <w:rFonts w:hint="eastAsia" w:ascii="宋体" w:hAnsi="宋体" w:cs="宋体"/>
                <w:color w:val="auto"/>
              </w:rPr>
              <w:t>废膜、废滤袋、废机油、生活垃圾</w:t>
            </w:r>
          </w:p>
        </w:tc>
      </w:tr>
      <w:tr w14:paraId="31CBDFD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restart"/>
            <w:vAlign w:val="center"/>
          </w:tcPr>
          <w:p w14:paraId="4E162003">
            <w:pPr>
              <w:pStyle w:val="129"/>
              <w:widowControl w:val="0"/>
              <w:rPr>
                <w:color w:val="auto"/>
              </w:rPr>
            </w:pPr>
            <w:r>
              <w:rPr>
                <w:rFonts w:hint="eastAsia" w:ascii="宋体" w:hAnsi="宋体" w:cs="宋体"/>
                <w:color w:val="auto"/>
              </w:rPr>
              <w:t>噪声</w:t>
            </w:r>
          </w:p>
        </w:tc>
        <w:tc>
          <w:tcPr>
            <w:tcW w:w="1220" w:type="pct"/>
            <w:vAlign w:val="center"/>
          </w:tcPr>
          <w:p w14:paraId="41D6ECDB">
            <w:pPr>
              <w:pStyle w:val="129"/>
              <w:widowControl w:val="0"/>
              <w:rPr>
                <w:color w:val="auto"/>
              </w:rPr>
            </w:pPr>
            <w:r>
              <w:rPr>
                <w:rFonts w:hint="eastAsia" w:ascii="宋体" w:hAnsi="宋体" w:cs="宋体"/>
                <w:color w:val="auto"/>
              </w:rPr>
              <w:t>现状评价</w:t>
            </w:r>
          </w:p>
        </w:tc>
        <w:tc>
          <w:tcPr>
            <w:tcW w:w="3297" w:type="pct"/>
            <w:vMerge w:val="restart"/>
            <w:vAlign w:val="center"/>
          </w:tcPr>
          <w:p w14:paraId="6D495842">
            <w:pPr>
              <w:pStyle w:val="129"/>
              <w:widowControl w:val="0"/>
              <w:rPr>
                <w:color w:val="auto"/>
              </w:rPr>
            </w:pPr>
            <w:r>
              <w:rPr>
                <w:color w:val="auto"/>
              </w:rPr>
              <w:t>LAeq</w:t>
            </w:r>
          </w:p>
        </w:tc>
      </w:tr>
      <w:tr w14:paraId="7EE88B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continue"/>
            <w:vAlign w:val="center"/>
          </w:tcPr>
          <w:p w14:paraId="75577C0B">
            <w:pPr>
              <w:pStyle w:val="129"/>
              <w:widowControl w:val="0"/>
              <w:rPr>
                <w:color w:val="auto"/>
              </w:rPr>
            </w:pPr>
          </w:p>
        </w:tc>
        <w:tc>
          <w:tcPr>
            <w:tcW w:w="1220" w:type="pct"/>
            <w:vAlign w:val="center"/>
          </w:tcPr>
          <w:p w14:paraId="383EA7A2">
            <w:pPr>
              <w:pStyle w:val="129"/>
              <w:widowControl w:val="0"/>
              <w:rPr>
                <w:color w:val="auto"/>
              </w:rPr>
            </w:pPr>
            <w:r>
              <w:rPr>
                <w:rFonts w:hint="eastAsia" w:ascii="宋体" w:hAnsi="宋体" w:cs="宋体"/>
                <w:color w:val="auto"/>
              </w:rPr>
              <w:t>施工期与运营期污染源分析</w:t>
            </w:r>
          </w:p>
        </w:tc>
        <w:tc>
          <w:tcPr>
            <w:tcW w:w="3297" w:type="pct"/>
            <w:vMerge w:val="continue"/>
            <w:vAlign w:val="center"/>
          </w:tcPr>
          <w:p w14:paraId="56B1D295">
            <w:pPr>
              <w:pStyle w:val="129"/>
              <w:widowControl w:val="0"/>
              <w:rPr>
                <w:color w:val="auto"/>
              </w:rPr>
            </w:pPr>
          </w:p>
        </w:tc>
      </w:tr>
      <w:tr w14:paraId="07DFF92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Merge w:val="continue"/>
            <w:vAlign w:val="center"/>
          </w:tcPr>
          <w:p w14:paraId="3A2C35CA">
            <w:pPr>
              <w:pStyle w:val="129"/>
              <w:widowControl w:val="0"/>
              <w:rPr>
                <w:color w:val="auto"/>
              </w:rPr>
            </w:pPr>
          </w:p>
        </w:tc>
        <w:tc>
          <w:tcPr>
            <w:tcW w:w="1220" w:type="pct"/>
            <w:vAlign w:val="center"/>
          </w:tcPr>
          <w:p w14:paraId="4D1850C9">
            <w:pPr>
              <w:pStyle w:val="129"/>
              <w:widowControl w:val="0"/>
              <w:rPr>
                <w:color w:val="auto"/>
              </w:rPr>
            </w:pPr>
            <w:r>
              <w:rPr>
                <w:rFonts w:hint="eastAsia" w:ascii="宋体" w:hAnsi="宋体" w:cs="宋体"/>
                <w:color w:val="auto"/>
              </w:rPr>
              <w:t>影响分析</w:t>
            </w:r>
          </w:p>
        </w:tc>
        <w:tc>
          <w:tcPr>
            <w:tcW w:w="3297" w:type="pct"/>
            <w:vMerge w:val="continue"/>
            <w:vAlign w:val="center"/>
          </w:tcPr>
          <w:p w14:paraId="38E01705">
            <w:pPr>
              <w:pStyle w:val="129"/>
              <w:widowControl w:val="0"/>
              <w:rPr>
                <w:color w:val="auto"/>
              </w:rPr>
            </w:pPr>
          </w:p>
        </w:tc>
      </w:tr>
      <w:tr w14:paraId="604D1D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Align w:val="center"/>
          </w:tcPr>
          <w:p w14:paraId="36661AF2">
            <w:pPr>
              <w:pStyle w:val="129"/>
              <w:widowControl w:val="0"/>
              <w:rPr>
                <w:color w:val="auto"/>
              </w:rPr>
            </w:pPr>
            <w:r>
              <w:rPr>
                <w:rFonts w:hint="eastAsia" w:ascii="宋体" w:hAnsi="宋体" w:cs="宋体"/>
                <w:color w:val="auto"/>
              </w:rPr>
              <w:t>生态环境</w:t>
            </w:r>
          </w:p>
        </w:tc>
        <w:tc>
          <w:tcPr>
            <w:tcW w:w="1220" w:type="pct"/>
            <w:vAlign w:val="center"/>
          </w:tcPr>
          <w:p w14:paraId="06247E39">
            <w:pPr>
              <w:pStyle w:val="129"/>
              <w:widowControl w:val="0"/>
              <w:rPr>
                <w:color w:val="auto"/>
              </w:rPr>
            </w:pPr>
            <w:r>
              <w:rPr>
                <w:rFonts w:hint="eastAsia" w:ascii="宋体" w:hAnsi="宋体" w:cs="宋体"/>
                <w:color w:val="auto"/>
              </w:rPr>
              <w:t>影响分析</w:t>
            </w:r>
          </w:p>
        </w:tc>
        <w:tc>
          <w:tcPr>
            <w:tcW w:w="3297" w:type="pct"/>
            <w:vAlign w:val="center"/>
          </w:tcPr>
          <w:p w14:paraId="410B0F0C">
            <w:pPr>
              <w:pStyle w:val="129"/>
              <w:widowControl w:val="0"/>
              <w:rPr>
                <w:color w:val="auto"/>
              </w:rPr>
            </w:pPr>
            <w:r>
              <w:rPr>
                <w:rFonts w:hint="eastAsia" w:ascii="宋体" w:hAnsi="宋体" w:cs="宋体"/>
                <w:color w:val="auto"/>
              </w:rPr>
              <w:t>占地、景观、土地利用、植被破坏和水土流失等</w:t>
            </w:r>
          </w:p>
        </w:tc>
      </w:tr>
      <w:tr w14:paraId="507877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0" w:hRule="atLeast"/>
        </w:trPr>
        <w:tc>
          <w:tcPr>
            <w:tcW w:w="483" w:type="pct"/>
            <w:vAlign w:val="center"/>
          </w:tcPr>
          <w:p w14:paraId="098482ED">
            <w:pPr>
              <w:pStyle w:val="129"/>
              <w:widowControl w:val="0"/>
              <w:rPr>
                <w:color w:val="auto"/>
              </w:rPr>
            </w:pPr>
            <w:r>
              <w:rPr>
                <w:rFonts w:hint="eastAsia" w:ascii="宋体" w:hAnsi="宋体" w:cs="宋体"/>
                <w:color w:val="auto"/>
              </w:rPr>
              <w:t>风险评价</w:t>
            </w:r>
          </w:p>
        </w:tc>
        <w:tc>
          <w:tcPr>
            <w:tcW w:w="1220" w:type="pct"/>
            <w:vAlign w:val="center"/>
          </w:tcPr>
          <w:p w14:paraId="3B9F75EB">
            <w:pPr>
              <w:pStyle w:val="129"/>
              <w:widowControl w:val="0"/>
              <w:rPr>
                <w:color w:val="auto"/>
              </w:rPr>
            </w:pPr>
            <w:r>
              <w:rPr>
                <w:color w:val="auto"/>
              </w:rPr>
              <w:t>——</w:t>
            </w:r>
          </w:p>
        </w:tc>
        <w:tc>
          <w:tcPr>
            <w:tcW w:w="3297" w:type="pct"/>
            <w:vAlign w:val="center"/>
          </w:tcPr>
          <w:p w14:paraId="6F7B9E92">
            <w:pPr>
              <w:pStyle w:val="129"/>
              <w:widowControl w:val="0"/>
              <w:rPr>
                <w:color w:val="auto"/>
              </w:rPr>
            </w:pPr>
            <w:r>
              <w:rPr>
                <w:color w:val="auto"/>
              </w:rPr>
              <w:t>大气：天然气输送管道破裂，爆炸，甲烷不完全燃烧产生次生的CO</w:t>
            </w:r>
          </w:p>
          <w:p w14:paraId="747F3DF3">
            <w:pPr>
              <w:pStyle w:val="129"/>
              <w:widowControl w:val="0"/>
              <w:rPr>
                <w:color w:val="auto"/>
              </w:rPr>
            </w:pPr>
            <w:r>
              <w:rPr>
                <w:color w:val="auto"/>
              </w:rPr>
              <w:t>地下水：COD</w:t>
            </w:r>
          </w:p>
        </w:tc>
      </w:tr>
      <w:bookmarkEnd w:id="100"/>
    </w:tbl>
    <w:p w14:paraId="3885D80F">
      <w:pPr>
        <w:pStyle w:val="1251"/>
        <w:ind w:firstLine="420"/>
        <w:rPr>
          <w:rFonts w:hint="eastAsia"/>
          <w:color w:val="auto"/>
        </w:rPr>
      </w:pPr>
    </w:p>
    <w:bookmarkEnd w:id="99"/>
    <w:p w14:paraId="01BE806F">
      <w:pPr>
        <w:pStyle w:val="3"/>
        <w:rPr>
          <w:color w:val="auto"/>
        </w:rPr>
      </w:pPr>
      <w:bookmarkStart w:id="101" w:name="_Toc229930117"/>
      <w:r>
        <w:rPr>
          <w:color w:val="auto"/>
        </w:rPr>
        <w:t>评价等级与评价范围</w:t>
      </w:r>
      <w:bookmarkEnd w:id="101"/>
    </w:p>
    <w:p w14:paraId="0451D2A8">
      <w:pPr>
        <w:pStyle w:val="4"/>
        <w:rPr>
          <w:color w:val="auto"/>
        </w:rPr>
      </w:pPr>
      <w:r>
        <w:rPr>
          <w:color w:val="auto"/>
        </w:rPr>
        <w:t>大气环境</w:t>
      </w:r>
    </w:p>
    <w:p w14:paraId="520B3094">
      <w:pPr>
        <w:pStyle w:val="5"/>
        <w:rPr>
          <w:color w:val="auto"/>
        </w:rPr>
      </w:pPr>
      <w:bookmarkStart w:id="102" w:name="_Toc455068229"/>
      <w:bookmarkStart w:id="103" w:name="_Toc417464784"/>
      <w:r>
        <w:rPr>
          <w:color w:val="auto"/>
        </w:rPr>
        <w:t>评价等级</w:t>
      </w:r>
      <w:bookmarkEnd w:id="102"/>
      <w:bookmarkEnd w:id="103"/>
    </w:p>
    <w:p w14:paraId="12537B6B">
      <w:pPr>
        <w:pStyle w:val="132"/>
        <w:rPr>
          <w:color w:val="auto"/>
        </w:rPr>
      </w:pPr>
      <w:r>
        <w:rPr>
          <w:color w:val="auto"/>
        </w:rPr>
        <w:t>（1）</w:t>
      </w:r>
      <w:r>
        <w:rPr>
          <w:rFonts w:hint="eastAsia"/>
          <w:color w:val="auto"/>
        </w:rPr>
        <w:t>判定</w:t>
      </w:r>
      <w:r>
        <w:rPr>
          <w:color w:val="auto"/>
        </w:rPr>
        <w:t>依据</w:t>
      </w:r>
    </w:p>
    <w:p w14:paraId="27B28460">
      <w:pPr>
        <w:pStyle w:val="132"/>
        <w:rPr>
          <w:color w:val="auto"/>
        </w:rPr>
      </w:pPr>
      <w:r>
        <w:rPr>
          <w:color w:val="auto"/>
        </w:rPr>
        <w:t>根据</w:t>
      </w:r>
      <w:r>
        <w:rPr>
          <w:rFonts w:hint="eastAsia"/>
          <w:color w:val="auto"/>
        </w:rPr>
        <w:t>工程特点和污染特征以及周围环境状况，采用</w:t>
      </w:r>
      <w:r>
        <w:rPr>
          <w:color w:val="auto"/>
        </w:rPr>
        <w:t>《环境影响评价技术导则 大气环境》（HJ2.2-2018）</w:t>
      </w:r>
      <w:r>
        <w:rPr>
          <w:rFonts w:hint="eastAsia"/>
          <w:color w:val="auto"/>
        </w:rPr>
        <w:t>中的推荐模式—</w:t>
      </w:r>
      <w:r>
        <w:rPr>
          <w:color w:val="auto"/>
        </w:rPr>
        <w:t>AERSCREEN，选择本项目排放的</w:t>
      </w:r>
      <w:r>
        <w:rPr>
          <w:rFonts w:hint="eastAsia"/>
          <w:color w:val="auto"/>
        </w:rPr>
        <w:t>颗粒物</w:t>
      </w:r>
      <w:r>
        <w:rPr>
          <w:color w:val="auto"/>
        </w:rPr>
        <w:t>、SO</w:t>
      </w:r>
      <w:r>
        <w:rPr>
          <w:color w:val="auto"/>
          <w:vertAlign w:val="subscript"/>
        </w:rPr>
        <w:t>2</w:t>
      </w:r>
      <w:r>
        <w:rPr>
          <w:color w:val="auto"/>
        </w:rPr>
        <w:t>、NO</w:t>
      </w:r>
      <w:r>
        <w:rPr>
          <w:rFonts w:hint="eastAsia"/>
          <w:color w:val="auto"/>
        </w:rPr>
        <w:t>x</w:t>
      </w:r>
      <w:r>
        <w:rPr>
          <w:color w:val="auto"/>
        </w:rPr>
        <w:t>、</w:t>
      </w:r>
      <w:r>
        <w:rPr>
          <w:rFonts w:hint="eastAsia"/>
          <w:color w:val="auto"/>
        </w:rPr>
        <w:t>NH</w:t>
      </w:r>
      <w:r>
        <w:rPr>
          <w:rFonts w:hint="eastAsia"/>
          <w:color w:val="auto"/>
          <w:vertAlign w:val="subscript"/>
        </w:rPr>
        <w:t>3</w:t>
      </w:r>
      <w:r>
        <w:rPr>
          <w:color w:val="auto"/>
        </w:rPr>
        <w:t>、</w:t>
      </w:r>
      <w:r>
        <w:rPr>
          <w:rFonts w:hint="eastAsia"/>
          <w:color w:val="auto"/>
        </w:rPr>
        <w:t>H</w:t>
      </w:r>
      <w:r>
        <w:rPr>
          <w:rFonts w:hint="eastAsia"/>
          <w:color w:val="auto"/>
          <w:vertAlign w:val="subscript"/>
        </w:rPr>
        <w:t>2</w:t>
      </w:r>
      <w:r>
        <w:rPr>
          <w:rFonts w:hint="eastAsia"/>
          <w:color w:val="auto"/>
        </w:rPr>
        <w:t>S、</w:t>
      </w:r>
      <w:r>
        <w:rPr>
          <w:color w:val="auto"/>
        </w:rPr>
        <w:t>锰及其化合物</w:t>
      </w:r>
      <w:r>
        <w:rPr>
          <w:rFonts w:hint="eastAsia"/>
          <w:color w:val="auto"/>
        </w:rPr>
        <w:t>、</w:t>
      </w:r>
      <w:r>
        <w:rPr>
          <w:color w:val="auto"/>
        </w:rPr>
        <w:t>镍及其化合物、TSP等作为主要污染物</w:t>
      </w:r>
      <w:r>
        <w:rPr>
          <w:rFonts w:hint="eastAsia"/>
          <w:color w:val="auto"/>
        </w:rPr>
        <w:t>，计算</w:t>
      </w:r>
      <w:r>
        <w:rPr>
          <w:color w:val="auto"/>
        </w:rPr>
        <w:t>这些污染物最大地面空气质量浓度占标率Pi及其地面空气质量浓度达到标准值的10%时所对应的最远距离D</w:t>
      </w:r>
      <w:r>
        <w:rPr>
          <w:color w:val="auto"/>
          <w:vertAlign w:val="subscript"/>
        </w:rPr>
        <w:t>10%</w:t>
      </w:r>
      <w:r>
        <w:rPr>
          <w:color w:val="auto"/>
        </w:rPr>
        <w:t>。其中Pi计算公式如下：</w:t>
      </w:r>
    </w:p>
    <w:p w14:paraId="068D1BD0">
      <w:pPr>
        <w:pStyle w:val="132"/>
        <w:rPr>
          <w:color w:val="auto"/>
        </w:rPr>
      </w:pPr>
      <w:r>
        <w:rPr>
          <w:color w:val="auto"/>
        </w:rPr>
        <w:object>
          <v:shape id="_x0000_i1025" o:spt="75" type="#_x0000_t75" style="height:26.9pt;width:77pt;" o:ole="t" filled="f" o:preferrelative="t" stroked="f" coordsize="21600,21600">
            <v:path/>
            <v:fill on="f" focussize="0,0"/>
            <v:stroke on="f" joinstyle="miter"/>
            <v:imagedata r:id="rId29" o:title=""/>
            <o:lock v:ext="edit" aspectratio="t"/>
            <w10:wrap type="none"/>
            <w10:anchorlock/>
          </v:shape>
          <o:OLEObject Type="Embed" ProgID="Equation.DSMT4" ShapeID="_x0000_i1025" DrawAspect="Content" ObjectID="_1468075725" r:id="rId28">
            <o:LockedField>false</o:LockedField>
          </o:OLEObject>
        </w:object>
      </w:r>
    </w:p>
    <w:p w14:paraId="6E70B23B">
      <w:pPr>
        <w:pStyle w:val="132"/>
        <w:ind w:firstLine="0" w:firstLineChars="0"/>
        <w:rPr>
          <w:color w:val="auto"/>
        </w:rPr>
      </w:pPr>
      <w:r>
        <w:rPr>
          <w:color w:val="auto"/>
        </w:rPr>
        <w:t>式中：P</w:t>
      </w:r>
      <w:r>
        <w:rPr>
          <w:color w:val="auto"/>
          <w:vertAlign w:val="subscript"/>
        </w:rPr>
        <w:t>i</w:t>
      </w:r>
      <w:r>
        <w:rPr>
          <w:color w:val="auto"/>
        </w:rPr>
        <w:t>——第i个污染物的最大地面空气质量浓度占标率，%；</w:t>
      </w:r>
    </w:p>
    <w:p w14:paraId="7472800F">
      <w:pPr>
        <w:pStyle w:val="132"/>
        <w:ind w:firstLine="720" w:firstLineChars="300"/>
        <w:rPr>
          <w:color w:val="auto"/>
        </w:rPr>
      </w:pPr>
      <w:r>
        <w:rPr>
          <w:color w:val="auto"/>
        </w:rPr>
        <w:t>C</w:t>
      </w:r>
      <w:r>
        <w:rPr>
          <w:color w:val="auto"/>
          <w:vertAlign w:val="subscript"/>
        </w:rPr>
        <w:t>i</w:t>
      </w:r>
      <w:r>
        <w:rPr>
          <w:color w:val="auto"/>
        </w:rPr>
        <w:t>——采用估算模型计算出的第i个污染物的最大1h地面空气质量浓度，μg/m3；</w:t>
      </w:r>
    </w:p>
    <w:p w14:paraId="67A7BEC0">
      <w:pPr>
        <w:pStyle w:val="132"/>
        <w:ind w:firstLine="720" w:firstLineChars="300"/>
        <w:rPr>
          <w:color w:val="auto"/>
        </w:rPr>
      </w:pPr>
      <w:r>
        <w:rPr>
          <w:color w:val="auto"/>
        </w:rPr>
        <w:t>C</w:t>
      </w:r>
      <w:r>
        <w:rPr>
          <w:color w:val="auto"/>
          <w:vertAlign w:val="subscript"/>
        </w:rPr>
        <w:t>oi</w:t>
      </w:r>
      <w:r>
        <w:rPr>
          <w:color w:val="auto"/>
        </w:rPr>
        <w:t>——第i个污染物环境空气质量标准，μg/m</w:t>
      </w:r>
      <w:r>
        <w:rPr>
          <w:color w:val="auto"/>
          <w:vertAlign w:val="superscript"/>
        </w:rPr>
        <w:t>3</w:t>
      </w:r>
      <w:r>
        <w:rPr>
          <w:color w:val="auto"/>
        </w:rPr>
        <w:t>，一般选用GB3095中1h平均质量浓度的二级浓度限值，如项目位于一类环境空气功能区，应选择相应的一级浓度限值；对该标准中未包含的污染物，使用导则5.2确定的各评价因子1h平均质量浓度限值。对仅有8h平均质量浓度限值、日平均质量浓度限值或年平均质量浓度限值的，可分别按2倍、3 倍、6倍折算为1h平均质量浓度限值。</w:t>
      </w:r>
    </w:p>
    <w:p w14:paraId="294DBCF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大气评价级别判据</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4328"/>
        <w:gridCol w:w="4458"/>
      </w:tblGrid>
      <w:tr w14:paraId="62862ED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2463" w:type="pct"/>
            <w:vAlign w:val="center"/>
          </w:tcPr>
          <w:p w14:paraId="26573B2E">
            <w:pPr>
              <w:pStyle w:val="129"/>
              <w:widowControl w:val="0"/>
              <w:rPr>
                <w:color w:val="auto"/>
              </w:rPr>
            </w:pPr>
            <w:r>
              <w:rPr>
                <w:color w:val="auto"/>
              </w:rPr>
              <w:t>评价工作等级</w:t>
            </w:r>
          </w:p>
        </w:tc>
        <w:tc>
          <w:tcPr>
            <w:tcW w:w="2537" w:type="pct"/>
            <w:vAlign w:val="center"/>
          </w:tcPr>
          <w:p w14:paraId="7B861951">
            <w:pPr>
              <w:pStyle w:val="129"/>
              <w:widowControl w:val="0"/>
              <w:rPr>
                <w:color w:val="auto"/>
              </w:rPr>
            </w:pPr>
            <w:r>
              <w:rPr>
                <w:color w:val="auto"/>
              </w:rPr>
              <w:t>评价工作分级判据</w:t>
            </w:r>
          </w:p>
        </w:tc>
      </w:tr>
      <w:tr w14:paraId="27B0142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2463" w:type="pct"/>
            <w:vAlign w:val="center"/>
          </w:tcPr>
          <w:p w14:paraId="50BEBB1A">
            <w:pPr>
              <w:pStyle w:val="129"/>
              <w:widowControl w:val="0"/>
              <w:rPr>
                <w:color w:val="auto"/>
              </w:rPr>
            </w:pPr>
            <w:r>
              <w:rPr>
                <w:color w:val="auto"/>
              </w:rPr>
              <w:t>一级</w:t>
            </w:r>
          </w:p>
        </w:tc>
        <w:tc>
          <w:tcPr>
            <w:tcW w:w="2537" w:type="pct"/>
            <w:vAlign w:val="center"/>
          </w:tcPr>
          <w:p w14:paraId="401CB09C">
            <w:pPr>
              <w:pStyle w:val="129"/>
              <w:widowControl w:val="0"/>
              <w:rPr>
                <w:color w:val="auto"/>
              </w:rPr>
            </w:pPr>
            <w:r>
              <w:rPr>
                <w:color w:val="auto"/>
              </w:rPr>
              <w:t>Pmax≥10%</w:t>
            </w:r>
          </w:p>
        </w:tc>
      </w:tr>
      <w:tr w14:paraId="14F80BB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2463" w:type="pct"/>
            <w:vAlign w:val="center"/>
          </w:tcPr>
          <w:p w14:paraId="29031BCD">
            <w:pPr>
              <w:pStyle w:val="129"/>
              <w:widowControl w:val="0"/>
              <w:rPr>
                <w:color w:val="auto"/>
              </w:rPr>
            </w:pPr>
            <w:r>
              <w:rPr>
                <w:color w:val="auto"/>
              </w:rPr>
              <w:t>二级</w:t>
            </w:r>
          </w:p>
        </w:tc>
        <w:tc>
          <w:tcPr>
            <w:tcW w:w="2537" w:type="pct"/>
            <w:vAlign w:val="center"/>
          </w:tcPr>
          <w:p w14:paraId="774E614F">
            <w:pPr>
              <w:pStyle w:val="129"/>
              <w:widowControl w:val="0"/>
              <w:rPr>
                <w:color w:val="auto"/>
              </w:rPr>
            </w:pPr>
            <w:r>
              <w:rPr>
                <w:color w:val="auto"/>
              </w:rPr>
              <w:t>1%≤Pmax＜10%</w:t>
            </w:r>
          </w:p>
        </w:tc>
      </w:tr>
      <w:tr w14:paraId="3F05C4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2463" w:type="pct"/>
            <w:vAlign w:val="center"/>
          </w:tcPr>
          <w:p w14:paraId="0AE704D7">
            <w:pPr>
              <w:pStyle w:val="129"/>
              <w:widowControl w:val="0"/>
              <w:rPr>
                <w:color w:val="auto"/>
              </w:rPr>
            </w:pPr>
            <w:r>
              <w:rPr>
                <w:color w:val="auto"/>
              </w:rPr>
              <w:t>三级</w:t>
            </w:r>
          </w:p>
        </w:tc>
        <w:tc>
          <w:tcPr>
            <w:tcW w:w="2537" w:type="pct"/>
            <w:vAlign w:val="center"/>
          </w:tcPr>
          <w:p w14:paraId="5BB161E7">
            <w:pPr>
              <w:pStyle w:val="129"/>
              <w:widowControl w:val="0"/>
              <w:rPr>
                <w:color w:val="auto"/>
              </w:rPr>
            </w:pPr>
            <w:r>
              <w:rPr>
                <w:color w:val="auto"/>
              </w:rPr>
              <w:t>Pmax＜1%</w:t>
            </w:r>
          </w:p>
        </w:tc>
      </w:tr>
    </w:tbl>
    <w:p w14:paraId="5B5B6C79">
      <w:pPr>
        <w:pStyle w:val="1304"/>
        <w:ind w:left="4410"/>
        <w:rPr>
          <w:color w:val="auto"/>
        </w:rPr>
      </w:pPr>
    </w:p>
    <w:p w14:paraId="5D5D37CB">
      <w:pPr>
        <w:pStyle w:val="132"/>
        <w:rPr>
          <w:color w:val="auto"/>
        </w:rPr>
      </w:pPr>
      <w:r>
        <w:rPr>
          <w:color w:val="auto"/>
        </w:rPr>
        <w:t>本项目大气评价等级估算因子及评价标准取值一览表，见表2.</w:t>
      </w:r>
      <w:r>
        <w:rPr>
          <w:rFonts w:hint="eastAsia"/>
          <w:color w:val="auto"/>
        </w:rPr>
        <w:t>4</w:t>
      </w:r>
      <w:r>
        <w:rPr>
          <w:color w:val="auto"/>
        </w:rPr>
        <w:t>-2。</w:t>
      </w:r>
    </w:p>
    <w:p w14:paraId="5C325EC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大气评价等级估算因子及评价标准取值一览表</w:t>
      </w:r>
      <w:r>
        <w:rPr>
          <w:rFonts w:hint="eastAsia"/>
          <w:color w:val="auto"/>
        </w:rPr>
        <w:t xml:space="preserve">  单位：</w:t>
      </w:r>
      <w:r>
        <w:rPr>
          <w:color w:val="auto"/>
        </w:rPr>
        <w:t>µg/m</w:t>
      </w:r>
      <w:r>
        <w:rPr>
          <w:color w:val="auto"/>
          <w:vertAlign w:val="superscript"/>
        </w:rPr>
        <w:t>3</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1643"/>
        <w:gridCol w:w="1956"/>
        <w:gridCol w:w="1653"/>
        <w:gridCol w:w="3534"/>
      </w:tblGrid>
      <w:tr w14:paraId="143F3B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136AF80C">
            <w:pPr>
              <w:pStyle w:val="129"/>
              <w:widowControl w:val="0"/>
              <w:rPr>
                <w:color w:val="auto"/>
              </w:rPr>
            </w:pPr>
            <w:r>
              <w:rPr>
                <w:color w:val="auto"/>
              </w:rPr>
              <w:t>评价因子</w:t>
            </w:r>
          </w:p>
        </w:tc>
        <w:tc>
          <w:tcPr>
            <w:tcW w:w="1113" w:type="pct"/>
            <w:vAlign w:val="center"/>
          </w:tcPr>
          <w:p w14:paraId="09BAB297">
            <w:pPr>
              <w:pStyle w:val="129"/>
              <w:widowControl w:val="0"/>
              <w:rPr>
                <w:color w:val="auto"/>
              </w:rPr>
            </w:pPr>
            <w:r>
              <w:rPr>
                <w:color w:val="auto"/>
              </w:rPr>
              <w:t>平均时段</w:t>
            </w:r>
          </w:p>
        </w:tc>
        <w:tc>
          <w:tcPr>
            <w:tcW w:w="941" w:type="pct"/>
            <w:vAlign w:val="center"/>
          </w:tcPr>
          <w:p w14:paraId="5A61F03E">
            <w:pPr>
              <w:pStyle w:val="129"/>
              <w:widowControl w:val="0"/>
              <w:rPr>
                <w:color w:val="auto"/>
              </w:rPr>
            </w:pPr>
            <w:r>
              <w:rPr>
                <w:color w:val="auto"/>
              </w:rPr>
              <w:t>标准值</w:t>
            </w:r>
          </w:p>
        </w:tc>
        <w:tc>
          <w:tcPr>
            <w:tcW w:w="2011" w:type="pct"/>
            <w:vAlign w:val="center"/>
          </w:tcPr>
          <w:p w14:paraId="7A4A6CDC">
            <w:pPr>
              <w:pStyle w:val="129"/>
              <w:widowControl w:val="0"/>
              <w:rPr>
                <w:color w:val="auto"/>
              </w:rPr>
            </w:pPr>
            <w:r>
              <w:rPr>
                <w:color w:val="auto"/>
              </w:rPr>
              <w:t>标准来源</w:t>
            </w:r>
          </w:p>
        </w:tc>
      </w:tr>
      <w:tr w14:paraId="30141F3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58CDB537">
            <w:pPr>
              <w:pStyle w:val="129"/>
              <w:widowControl w:val="0"/>
              <w:rPr>
                <w:color w:val="auto"/>
              </w:rPr>
            </w:pPr>
            <w:r>
              <w:rPr>
                <w:color w:val="auto"/>
              </w:rPr>
              <w:t>SO</w:t>
            </w:r>
            <w:r>
              <w:rPr>
                <w:color w:val="auto"/>
                <w:vertAlign w:val="subscript"/>
              </w:rPr>
              <w:t>2</w:t>
            </w:r>
          </w:p>
        </w:tc>
        <w:tc>
          <w:tcPr>
            <w:tcW w:w="1113" w:type="pct"/>
            <w:vAlign w:val="center"/>
          </w:tcPr>
          <w:p w14:paraId="66ADDB97">
            <w:pPr>
              <w:pStyle w:val="129"/>
              <w:widowControl w:val="0"/>
              <w:rPr>
                <w:color w:val="auto"/>
              </w:rPr>
            </w:pPr>
            <w:r>
              <w:rPr>
                <w:color w:val="auto"/>
              </w:rPr>
              <w:t>1小时平均</w:t>
            </w:r>
          </w:p>
        </w:tc>
        <w:tc>
          <w:tcPr>
            <w:tcW w:w="941" w:type="pct"/>
            <w:vAlign w:val="center"/>
          </w:tcPr>
          <w:p w14:paraId="36CE1D2D">
            <w:pPr>
              <w:pStyle w:val="129"/>
              <w:widowControl w:val="0"/>
              <w:rPr>
                <w:color w:val="auto"/>
              </w:rPr>
            </w:pPr>
            <w:r>
              <w:rPr>
                <w:color w:val="auto"/>
              </w:rPr>
              <w:t>500</w:t>
            </w:r>
          </w:p>
        </w:tc>
        <w:tc>
          <w:tcPr>
            <w:tcW w:w="2011" w:type="pct"/>
            <w:vMerge w:val="restart"/>
            <w:vAlign w:val="center"/>
          </w:tcPr>
          <w:p w14:paraId="1C4221B7">
            <w:pPr>
              <w:pStyle w:val="129"/>
              <w:widowControl w:val="0"/>
              <w:rPr>
                <w:color w:val="auto"/>
              </w:rPr>
            </w:pPr>
            <w:r>
              <w:rPr>
                <w:rFonts w:ascii="宋体" w:hAnsi="宋体"/>
                <w:color w:val="auto"/>
              </w:rPr>
              <w:t>《环境空气质量标准》（</w:t>
            </w:r>
            <w:r>
              <w:rPr>
                <w:color w:val="auto"/>
              </w:rPr>
              <w:t>GB3095-</w:t>
            </w:r>
            <w:r>
              <w:rPr>
                <w:rFonts w:hint="eastAsia"/>
                <w:color w:val="auto"/>
              </w:rPr>
              <w:t>2026</w:t>
            </w:r>
            <w:r>
              <w:rPr>
                <w:rFonts w:ascii="宋体" w:hAnsi="宋体"/>
                <w:color w:val="auto"/>
              </w:rPr>
              <w:t>）</w:t>
            </w:r>
            <w:r>
              <w:rPr>
                <w:rFonts w:hint="eastAsia" w:ascii="宋体" w:hAnsi="宋体"/>
                <w:color w:val="auto"/>
              </w:rPr>
              <w:t>过渡阶段浓度限值二级</w:t>
            </w:r>
          </w:p>
        </w:tc>
      </w:tr>
      <w:tr w14:paraId="04C0870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0EFDF0CD">
            <w:pPr>
              <w:pStyle w:val="129"/>
              <w:widowControl w:val="0"/>
              <w:rPr>
                <w:color w:val="auto"/>
              </w:rPr>
            </w:pPr>
            <w:r>
              <w:rPr>
                <w:color w:val="auto"/>
              </w:rPr>
              <w:t>NO</w:t>
            </w:r>
            <w:r>
              <w:rPr>
                <w:color w:val="auto"/>
                <w:vertAlign w:val="subscript"/>
              </w:rPr>
              <w:t>2</w:t>
            </w:r>
          </w:p>
        </w:tc>
        <w:tc>
          <w:tcPr>
            <w:tcW w:w="1113" w:type="pct"/>
            <w:vAlign w:val="center"/>
          </w:tcPr>
          <w:p w14:paraId="3F0B92F5">
            <w:pPr>
              <w:pStyle w:val="129"/>
              <w:widowControl w:val="0"/>
              <w:rPr>
                <w:color w:val="auto"/>
              </w:rPr>
            </w:pPr>
            <w:r>
              <w:rPr>
                <w:color w:val="auto"/>
              </w:rPr>
              <w:t>1小时平均</w:t>
            </w:r>
          </w:p>
        </w:tc>
        <w:tc>
          <w:tcPr>
            <w:tcW w:w="941" w:type="pct"/>
            <w:vAlign w:val="center"/>
          </w:tcPr>
          <w:p w14:paraId="3A119A78">
            <w:pPr>
              <w:pStyle w:val="129"/>
              <w:widowControl w:val="0"/>
              <w:rPr>
                <w:color w:val="auto"/>
              </w:rPr>
            </w:pPr>
            <w:r>
              <w:rPr>
                <w:color w:val="auto"/>
              </w:rPr>
              <w:t>200</w:t>
            </w:r>
          </w:p>
        </w:tc>
        <w:tc>
          <w:tcPr>
            <w:tcW w:w="2011" w:type="pct"/>
            <w:vMerge w:val="continue"/>
            <w:vAlign w:val="center"/>
          </w:tcPr>
          <w:p w14:paraId="505FC2C9">
            <w:pPr>
              <w:pStyle w:val="129"/>
              <w:widowControl w:val="0"/>
              <w:rPr>
                <w:color w:val="auto"/>
              </w:rPr>
            </w:pPr>
          </w:p>
        </w:tc>
      </w:tr>
      <w:tr w14:paraId="18DC28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690870CE">
            <w:pPr>
              <w:pStyle w:val="129"/>
              <w:widowControl w:val="0"/>
              <w:rPr>
                <w:color w:val="auto"/>
              </w:rPr>
            </w:pPr>
            <w:r>
              <w:rPr>
                <w:color w:val="auto"/>
              </w:rPr>
              <w:t>NOx</w:t>
            </w:r>
          </w:p>
        </w:tc>
        <w:tc>
          <w:tcPr>
            <w:tcW w:w="1113" w:type="pct"/>
            <w:vAlign w:val="center"/>
          </w:tcPr>
          <w:p w14:paraId="03DC6C33">
            <w:pPr>
              <w:pStyle w:val="129"/>
              <w:widowControl w:val="0"/>
              <w:rPr>
                <w:color w:val="auto"/>
              </w:rPr>
            </w:pPr>
            <w:r>
              <w:rPr>
                <w:color w:val="auto"/>
              </w:rPr>
              <w:t>1小时平均</w:t>
            </w:r>
          </w:p>
        </w:tc>
        <w:tc>
          <w:tcPr>
            <w:tcW w:w="941" w:type="pct"/>
            <w:vAlign w:val="center"/>
          </w:tcPr>
          <w:p w14:paraId="3A2FA071">
            <w:pPr>
              <w:pStyle w:val="129"/>
              <w:widowControl w:val="0"/>
              <w:rPr>
                <w:color w:val="auto"/>
              </w:rPr>
            </w:pPr>
            <w:r>
              <w:rPr>
                <w:color w:val="auto"/>
              </w:rPr>
              <w:t>250</w:t>
            </w:r>
          </w:p>
        </w:tc>
        <w:tc>
          <w:tcPr>
            <w:tcW w:w="2011" w:type="pct"/>
            <w:vMerge w:val="continue"/>
            <w:vAlign w:val="center"/>
          </w:tcPr>
          <w:p w14:paraId="502AE691">
            <w:pPr>
              <w:pStyle w:val="129"/>
              <w:widowControl w:val="0"/>
              <w:rPr>
                <w:color w:val="auto"/>
              </w:rPr>
            </w:pPr>
          </w:p>
        </w:tc>
      </w:tr>
      <w:tr w14:paraId="242DC1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510AE947">
            <w:pPr>
              <w:pStyle w:val="129"/>
              <w:widowControl w:val="0"/>
              <w:rPr>
                <w:color w:val="auto"/>
              </w:rPr>
            </w:pPr>
            <w:r>
              <w:rPr>
                <w:color w:val="auto"/>
              </w:rPr>
              <w:t>PM</w:t>
            </w:r>
            <w:r>
              <w:rPr>
                <w:color w:val="auto"/>
                <w:vertAlign w:val="subscript"/>
              </w:rPr>
              <w:t>10</w:t>
            </w:r>
          </w:p>
        </w:tc>
        <w:tc>
          <w:tcPr>
            <w:tcW w:w="1113" w:type="pct"/>
            <w:vAlign w:val="center"/>
          </w:tcPr>
          <w:p w14:paraId="2AA431C5">
            <w:pPr>
              <w:pStyle w:val="129"/>
              <w:widowControl w:val="0"/>
              <w:rPr>
                <w:color w:val="auto"/>
              </w:rPr>
            </w:pPr>
            <w:r>
              <w:rPr>
                <w:color w:val="auto"/>
              </w:rPr>
              <w:t>1小时平均</w:t>
            </w:r>
          </w:p>
        </w:tc>
        <w:tc>
          <w:tcPr>
            <w:tcW w:w="941" w:type="pct"/>
            <w:vAlign w:val="center"/>
          </w:tcPr>
          <w:p w14:paraId="78161865">
            <w:pPr>
              <w:pStyle w:val="129"/>
              <w:widowControl w:val="0"/>
              <w:rPr>
                <w:color w:val="auto"/>
              </w:rPr>
            </w:pPr>
            <w:r>
              <w:rPr>
                <w:rFonts w:hint="eastAsia"/>
                <w:color w:val="auto"/>
              </w:rPr>
              <w:t>360</w:t>
            </w:r>
          </w:p>
        </w:tc>
        <w:tc>
          <w:tcPr>
            <w:tcW w:w="2011" w:type="pct"/>
            <w:vMerge w:val="continue"/>
            <w:vAlign w:val="center"/>
          </w:tcPr>
          <w:p w14:paraId="02B2E5FD">
            <w:pPr>
              <w:pStyle w:val="129"/>
              <w:widowControl w:val="0"/>
              <w:rPr>
                <w:color w:val="auto"/>
              </w:rPr>
            </w:pPr>
          </w:p>
        </w:tc>
      </w:tr>
      <w:tr w14:paraId="5B0700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0A70935F">
            <w:pPr>
              <w:pStyle w:val="129"/>
              <w:widowControl w:val="0"/>
              <w:rPr>
                <w:color w:val="auto"/>
              </w:rPr>
            </w:pPr>
            <w:r>
              <w:rPr>
                <w:color w:val="auto"/>
              </w:rPr>
              <w:t>PM</w:t>
            </w:r>
            <w:r>
              <w:rPr>
                <w:color w:val="auto"/>
                <w:vertAlign w:val="subscript"/>
              </w:rPr>
              <w:t>2.5</w:t>
            </w:r>
          </w:p>
        </w:tc>
        <w:tc>
          <w:tcPr>
            <w:tcW w:w="1113" w:type="pct"/>
            <w:vAlign w:val="center"/>
          </w:tcPr>
          <w:p w14:paraId="1BD248FA">
            <w:pPr>
              <w:pStyle w:val="129"/>
              <w:widowControl w:val="0"/>
              <w:rPr>
                <w:color w:val="auto"/>
              </w:rPr>
            </w:pPr>
            <w:r>
              <w:rPr>
                <w:color w:val="auto"/>
              </w:rPr>
              <w:t>1小时平均</w:t>
            </w:r>
          </w:p>
        </w:tc>
        <w:tc>
          <w:tcPr>
            <w:tcW w:w="941" w:type="pct"/>
            <w:vAlign w:val="center"/>
          </w:tcPr>
          <w:p w14:paraId="6D4671C3">
            <w:pPr>
              <w:pStyle w:val="129"/>
              <w:widowControl w:val="0"/>
              <w:rPr>
                <w:color w:val="auto"/>
              </w:rPr>
            </w:pPr>
            <w:r>
              <w:rPr>
                <w:rFonts w:hint="eastAsia"/>
                <w:color w:val="auto"/>
              </w:rPr>
              <w:t>180</w:t>
            </w:r>
          </w:p>
        </w:tc>
        <w:tc>
          <w:tcPr>
            <w:tcW w:w="2011" w:type="pct"/>
            <w:vMerge w:val="continue"/>
            <w:vAlign w:val="center"/>
          </w:tcPr>
          <w:p w14:paraId="428748F7">
            <w:pPr>
              <w:pStyle w:val="129"/>
              <w:widowControl w:val="0"/>
              <w:rPr>
                <w:color w:val="auto"/>
              </w:rPr>
            </w:pPr>
          </w:p>
        </w:tc>
      </w:tr>
      <w:tr w14:paraId="0C9E9B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36B58BFD">
            <w:pPr>
              <w:pStyle w:val="129"/>
              <w:widowControl w:val="0"/>
              <w:rPr>
                <w:color w:val="auto"/>
              </w:rPr>
            </w:pPr>
            <w:r>
              <w:rPr>
                <w:rFonts w:hint="eastAsia"/>
                <w:color w:val="auto"/>
              </w:rPr>
              <w:t>TSP</w:t>
            </w:r>
          </w:p>
        </w:tc>
        <w:tc>
          <w:tcPr>
            <w:tcW w:w="1113" w:type="pct"/>
            <w:vAlign w:val="center"/>
          </w:tcPr>
          <w:p w14:paraId="6DC83D80">
            <w:pPr>
              <w:pStyle w:val="129"/>
              <w:widowControl w:val="0"/>
              <w:rPr>
                <w:color w:val="auto"/>
              </w:rPr>
            </w:pPr>
            <w:r>
              <w:rPr>
                <w:color w:val="auto"/>
              </w:rPr>
              <w:t>1小时平均</w:t>
            </w:r>
          </w:p>
        </w:tc>
        <w:tc>
          <w:tcPr>
            <w:tcW w:w="941" w:type="pct"/>
            <w:vAlign w:val="center"/>
          </w:tcPr>
          <w:p w14:paraId="35EC5A7A">
            <w:pPr>
              <w:pStyle w:val="129"/>
              <w:widowControl w:val="0"/>
              <w:rPr>
                <w:color w:val="auto"/>
              </w:rPr>
            </w:pPr>
            <w:r>
              <w:rPr>
                <w:rFonts w:hint="eastAsia"/>
                <w:color w:val="auto"/>
              </w:rPr>
              <w:t>900</w:t>
            </w:r>
          </w:p>
        </w:tc>
        <w:tc>
          <w:tcPr>
            <w:tcW w:w="2011" w:type="pct"/>
            <w:vMerge w:val="continue"/>
            <w:vAlign w:val="center"/>
          </w:tcPr>
          <w:p w14:paraId="4757C147">
            <w:pPr>
              <w:pStyle w:val="129"/>
              <w:widowControl w:val="0"/>
              <w:rPr>
                <w:color w:val="auto"/>
              </w:rPr>
            </w:pPr>
          </w:p>
        </w:tc>
      </w:tr>
      <w:tr w14:paraId="3CA7E95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3BB3299E">
            <w:pPr>
              <w:pStyle w:val="129"/>
              <w:widowControl w:val="0"/>
              <w:rPr>
                <w:color w:val="auto"/>
              </w:rPr>
            </w:pPr>
            <w:r>
              <w:rPr>
                <w:rFonts w:hint="eastAsia"/>
                <w:color w:val="auto"/>
              </w:rPr>
              <w:t>NH</w:t>
            </w:r>
            <w:r>
              <w:rPr>
                <w:rFonts w:hint="eastAsia"/>
                <w:color w:val="auto"/>
                <w:vertAlign w:val="subscript"/>
              </w:rPr>
              <w:t>3</w:t>
            </w:r>
          </w:p>
        </w:tc>
        <w:tc>
          <w:tcPr>
            <w:tcW w:w="1113" w:type="pct"/>
            <w:vAlign w:val="center"/>
          </w:tcPr>
          <w:p w14:paraId="6350754D">
            <w:pPr>
              <w:pStyle w:val="129"/>
              <w:widowControl w:val="0"/>
              <w:rPr>
                <w:color w:val="auto"/>
              </w:rPr>
            </w:pPr>
            <w:r>
              <w:rPr>
                <w:color w:val="auto"/>
              </w:rPr>
              <w:t>1小时平均</w:t>
            </w:r>
          </w:p>
        </w:tc>
        <w:tc>
          <w:tcPr>
            <w:tcW w:w="941" w:type="pct"/>
            <w:vAlign w:val="center"/>
          </w:tcPr>
          <w:p w14:paraId="20B10230">
            <w:pPr>
              <w:pStyle w:val="129"/>
              <w:widowControl w:val="0"/>
              <w:rPr>
                <w:color w:val="auto"/>
              </w:rPr>
            </w:pPr>
            <w:r>
              <w:rPr>
                <w:color w:val="auto"/>
              </w:rPr>
              <w:t>20</w:t>
            </w:r>
            <w:r>
              <w:rPr>
                <w:rFonts w:hint="eastAsia"/>
                <w:color w:val="auto"/>
              </w:rPr>
              <w:t>0</w:t>
            </w:r>
          </w:p>
        </w:tc>
        <w:tc>
          <w:tcPr>
            <w:tcW w:w="2011" w:type="pct"/>
            <w:vMerge w:val="restart"/>
            <w:vAlign w:val="center"/>
          </w:tcPr>
          <w:p w14:paraId="41AD9E8A">
            <w:pPr>
              <w:pStyle w:val="129"/>
              <w:widowControl w:val="0"/>
              <w:rPr>
                <w:color w:val="auto"/>
              </w:rPr>
            </w:pPr>
            <w:r>
              <w:rPr>
                <w:color w:val="auto"/>
              </w:rPr>
              <w:t>《环境影响评价技术导则大气环境》（HJ 2.2-2018）附录D中参考值</w:t>
            </w:r>
          </w:p>
        </w:tc>
      </w:tr>
      <w:tr w14:paraId="470FEC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10AF0326">
            <w:pPr>
              <w:pStyle w:val="129"/>
              <w:widowControl w:val="0"/>
              <w:rPr>
                <w:color w:val="auto"/>
              </w:rPr>
            </w:pPr>
            <w:r>
              <w:rPr>
                <w:rFonts w:hint="eastAsia"/>
                <w:color w:val="auto"/>
              </w:rPr>
              <w:t>H</w:t>
            </w:r>
            <w:r>
              <w:rPr>
                <w:rFonts w:hint="eastAsia"/>
                <w:color w:val="auto"/>
                <w:vertAlign w:val="subscript"/>
              </w:rPr>
              <w:t>2</w:t>
            </w:r>
            <w:r>
              <w:rPr>
                <w:rFonts w:hint="eastAsia"/>
                <w:color w:val="auto"/>
              </w:rPr>
              <w:t>S</w:t>
            </w:r>
          </w:p>
        </w:tc>
        <w:tc>
          <w:tcPr>
            <w:tcW w:w="1113" w:type="pct"/>
            <w:vAlign w:val="center"/>
          </w:tcPr>
          <w:p w14:paraId="25189529">
            <w:pPr>
              <w:pStyle w:val="129"/>
              <w:widowControl w:val="0"/>
              <w:rPr>
                <w:color w:val="auto"/>
              </w:rPr>
            </w:pPr>
            <w:r>
              <w:rPr>
                <w:color w:val="auto"/>
              </w:rPr>
              <w:t>1小时平均</w:t>
            </w:r>
          </w:p>
        </w:tc>
        <w:tc>
          <w:tcPr>
            <w:tcW w:w="941" w:type="pct"/>
            <w:vAlign w:val="center"/>
          </w:tcPr>
          <w:p w14:paraId="3B1EFCE4">
            <w:pPr>
              <w:pStyle w:val="129"/>
              <w:widowControl w:val="0"/>
              <w:rPr>
                <w:color w:val="auto"/>
              </w:rPr>
            </w:pPr>
            <w:r>
              <w:rPr>
                <w:rFonts w:hint="eastAsia"/>
                <w:color w:val="auto"/>
              </w:rPr>
              <w:t>10</w:t>
            </w:r>
          </w:p>
        </w:tc>
        <w:tc>
          <w:tcPr>
            <w:tcW w:w="2011" w:type="pct"/>
            <w:vMerge w:val="continue"/>
            <w:vAlign w:val="center"/>
          </w:tcPr>
          <w:p w14:paraId="2ED89D1B">
            <w:pPr>
              <w:pStyle w:val="129"/>
              <w:widowControl w:val="0"/>
              <w:rPr>
                <w:color w:val="auto"/>
              </w:rPr>
            </w:pPr>
          </w:p>
        </w:tc>
      </w:tr>
      <w:tr w14:paraId="70CFB2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48EA0BFC">
            <w:pPr>
              <w:pStyle w:val="129"/>
              <w:widowControl w:val="0"/>
              <w:rPr>
                <w:color w:val="auto"/>
              </w:rPr>
            </w:pPr>
            <w:r>
              <w:rPr>
                <w:color w:val="auto"/>
              </w:rPr>
              <w:t>锰及其化合物</w:t>
            </w:r>
          </w:p>
        </w:tc>
        <w:tc>
          <w:tcPr>
            <w:tcW w:w="1113" w:type="pct"/>
            <w:vAlign w:val="center"/>
          </w:tcPr>
          <w:p w14:paraId="55DAA899">
            <w:pPr>
              <w:pStyle w:val="129"/>
              <w:widowControl w:val="0"/>
              <w:rPr>
                <w:color w:val="auto"/>
              </w:rPr>
            </w:pPr>
            <w:r>
              <w:rPr>
                <w:color w:val="auto"/>
              </w:rPr>
              <w:t>1小时平均</w:t>
            </w:r>
          </w:p>
        </w:tc>
        <w:tc>
          <w:tcPr>
            <w:tcW w:w="941" w:type="pct"/>
            <w:vAlign w:val="center"/>
          </w:tcPr>
          <w:p w14:paraId="4082DE8F">
            <w:pPr>
              <w:pStyle w:val="129"/>
              <w:widowControl w:val="0"/>
              <w:rPr>
                <w:color w:val="auto"/>
              </w:rPr>
            </w:pPr>
            <w:r>
              <w:rPr>
                <w:rFonts w:hint="eastAsia"/>
                <w:color w:val="auto"/>
              </w:rPr>
              <w:t>30</w:t>
            </w:r>
          </w:p>
        </w:tc>
        <w:tc>
          <w:tcPr>
            <w:tcW w:w="2011" w:type="pct"/>
            <w:vMerge w:val="continue"/>
            <w:vAlign w:val="center"/>
          </w:tcPr>
          <w:p w14:paraId="77A0D9C8">
            <w:pPr>
              <w:pStyle w:val="129"/>
              <w:widowControl w:val="0"/>
              <w:rPr>
                <w:color w:val="auto"/>
              </w:rPr>
            </w:pPr>
          </w:p>
        </w:tc>
      </w:tr>
      <w:tr w14:paraId="3742691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935" w:type="pct"/>
            <w:vAlign w:val="center"/>
          </w:tcPr>
          <w:p w14:paraId="6B02F1BE">
            <w:pPr>
              <w:pStyle w:val="129"/>
              <w:widowControl w:val="0"/>
              <w:rPr>
                <w:color w:val="auto"/>
              </w:rPr>
            </w:pPr>
            <w:r>
              <w:rPr>
                <w:color w:val="auto"/>
              </w:rPr>
              <w:t>镍及其化合物</w:t>
            </w:r>
          </w:p>
        </w:tc>
        <w:tc>
          <w:tcPr>
            <w:tcW w:w="1113" w:type="pct"/>
            <w:vAlign w:val="center"/>
          </w:tcPr>
          <w:p w14:paraId="6B00EA5A">
            <w:pPr>
              <w:pStyle w:val="129"/>
              <w:widowControl w:val="0"/>
              <w:rPr>
                <w:color w:val="auto"/>
              </w:rPr>
            </w:pPr>
            <w:r>
              <w:rPr>
                <w:color w:val="auto"/>
              </w:rPr>
              <w:t>1小时平均</w:t>
            </w:r>
          </w:p>
        </w:tc>
        <w:tc>
          <w:tcPr>
            <w:tcW w:w="941" w:type="pct"/>
            <w:vAlign w:val="center"/>
          </w:tcPr>
          <w:p w14:paraId="1D2B60EE">
            <w:pPr>
              <w:pStyle w:val="129"/>
              <w:widowControl w:val="0"/>
              <w:rPr>
                <w:color w:val="auto"/>
              </w:rPr>
            </w:pPr>
            <w:r>
              <w:rPr>
                <w:rFonts w:hint="eastAsia"/>
                <w:color w:val="auto"/>
              </w:rPr>
              <w:t>30</w:t>
            </w:r>
          </w:p>
        </w:tc>
        <w:tc>
          <w:tcPr>
            <w:tcW w:w="2011" w:type="pct"/>
            <w:vAlign w:val="center"/>
          </w:tcPr>
          <w:p w14:paraId="24324309">
            <w:pPr>
              <w:pStyle w:val="129"/>
              <w:widowControl w:val="0"/>
              <w:rPr>
                <w:color w:val="auto"/>
              </w:rPr>
            </w:pPr>
            <w:r>
              <w:rPr>
                <w:color w:val="auto"/>
              </w:rPr>
              <w:t>《大气污染物综合排放标准详解》（国家环境保护局科技标准司制定，1997年第一版）中的小时值</w:t>
            </w:r>
          </w:p>
        </w:tc>
      </w:tr>
    </w:tbl>
    <w:p w14:paraId="09C57EE1">
      <w:pPr>
        <w:pStyle w:val="132"/>
        <w:rPr>
          <w:color w:val="auto"/>
        </w:rPr>
      </w:pPr>
      <w:r>
        <w:rPr>
          <w:color w:val="auto"/>
        </w:rPr>
        <w:t>（2）判别估算过程</w:t>
      </w:r>
    </w:p>
    <w:p w14:paraId="78A13F13">
      <w:pPr>
        <w:pStyle w:val="132"/>
        <w:rPr>
          <w:color w:val="auto"/>
        </w:rPr>
      </w:pPr>
      <w:r>
        <w:rPr>
          <w:color w:val="auto"/>
        </w:rPr>
        <w:fldChar w:fldCharType="begin"/>
      </w:r>
      <w:r>
        <w:rPr>
          <w:color w:val="auto"/>
        </w:rPr>
        <w:instrText xml:space="preserve"> = 1 \* GB3 </w:instrText>
      </w:r>
      <w:r>
        <w:rPr>
          <w:color w:val="auto"/>
        </w:rPr>
        <w:fldChar w:fldCharType="separate"/>
      </w:r>
      <w:r>
        <w:rPr>
          <w:rFonts w:ascii="Cambria Math" w:hAnsi="Cambria Math" w:cs="Cambria Math"/>
          <w:color w:val="auto"/>
        </w:rPr>
        <w:t>①</w:t>
      </w:r>
      <w:r>
        <w:rPr>
          <w:color w:val="auto"/>
        </w:rPr>
        <w:fldChar w:fldCharType="end"/>
      </w:r>
      <w:r>
        <w:rPr>
          <w:color w:val="auto"/>
        </w:rPr>
        <w:t>估算模型参数</w:t>
      </w:r>
    </w:p>
    <w:p w14:paraId="5CFDA4BA">
      <w:pPr>
        <w:pStyle w:val="132"/>
        <w:rPr>
          <w:color w:val="auto"/>
        </w:rPr>
      </w:pPr>
      <w:r>
        <w:rPr>
          <w:color w:val="auto"/>
        </w:rPr>
        <w:t>估算模型参数表，见表2.</w:t>
      </w:r>
      <w:r>
        <w:rPr>
          <w:rFonts w:hint="eastAsia"/>
          <w:color w:val="auto"/>
        </w:rPr>
        <w:t>4</w:t>
      </w:r>
      <w:r>
        <w:rPr>
          <w:color w:val="auto"/>
        </w:rPr>
        <w:t>-3。</w:t>
      </w:r>
    </w:p>
    <w:p w14:paraId="09A551E9">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color w:val="auto"/>
        </w:rPr>
        <w:t xml:space="preserve">   估算模型参数表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929"/>
        <w:gridCol w:w="2929"/>
        <w:gridCol w:w="2928"/>
      </w:tblGrid>
      <w:tr w14:paraId="2A4F92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3334" w:type="pct"/>
            <w:gridSpan w:val="2"/>
            <w:vAlign w:val="center"/>
          </w:tcPr>
          <w:p w14:paraId="2643FF0F">
            <w:pPr>
              <w:pStyle w:val="129"/>
              <w:widowControl w:val="0"/>
              <w:rPr>
                <w:color w:val="auto"/>
              </w:rPr>
            </w:pPr>
            <w:r>
              <w:rPr>
                <w:color w:val="auto"/>
              </w:rPr>
              <w:t>参数</w:t>
            </w:r>
          </w:p>
        </w:tc>
        <w:tc>
          <w:tcPr>
            <w:tcW w:w="1666" w:type="pct"/>
            <w:vAlign w:val="center"/>
          </w:tcPr>
          <w:p w14:paraId="199CAAC2">
            <w:pPr>
              <w:pStyle w:val="129"/>
              <w:widowControl w:val="0"/>
              <w:rPr>
                <w:color w:val="auto"/>
              </w:rPr>
            </w:pPr>
            <w:r>
              <w:rPr>
                <w:color w:val="auto"/>
              </w:rPr>
              <w:t>取值</w:t>
            </w:r>
          </w:p>
        </w:tc>
      </w:tr>
      <w:tr w14:paraId="448F75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7" w:type="pct"/>
            <w:vMerge w:val="restart"/>
            <w:vAlign w:val="center"/>
          </w:tcPr>
          <w:p w14:paraId="49C03A8F">
            <w:pPr>
              <w:pStyle w:val="129"/>
              <w:widowControl w:val="0"/>
              <w:rPr>
                <w:color w:val="auto"/>
              </w:rPr>
            </w:pPr>
            <w:r>
              <w:rPr>
                <w:color w:val="auto"/>
              </w:rPr>
              <w:t>城市/农村选项</w:t>
            </w:r>
          </w:p>
        </w:tc>
        <w:tc>
          <w:tcPr>
            <w:tcW w:w="1667" w:type="pct"/>
            <w:vAlign w:val="center"/>
          </w:tcPr>
          <w:p w14:paraId="6E936998">
            <w:pPr>
              <w:pStyle w:val="129"/>
              <w:widowControl w:val="0"/>
              <w:rPr>
                <w:color w:val="auto"/>
              </w:rPr>
            </w:pPr>
            <w:r>
              <w:rPr>
                <w:color w:val="auto"/>
              </w:rPr>
              <w:t>城市/农村</w:t>
            </w:r>
          </w:p>
        </w:tc>
        <w:tc>
          <w:tcPr>
            <w:tcW w:w="1666" w:type="pct"/>
            <w:vAlign w:val="center"/>
          </w:tcPr>
          <w:p w14:paraId="2846F0C5">
            <w:pPr>
              <w:pStyle w:val="129"/>
              <w:widowControl w:val="0"/>
              <w:rPr>
                <w:color w:val="auto"/>
              </w:rPr>
            </w:pPr>
            <w:r>
              <w:rPr>
                <w:color w:val="auto"/>
              </w:rPr>
              <w:t>农村</w:t>
            </w:r>
          </w:p>
        </w:tc>
      </w:tr>
      <w:tr w14:paraId="47D824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7" w:type="pct"/>
            <w:vMerge w:val="continue"/>
            <w:vAlign w:val="center"/>
          </w:tcPr>
          <w:p w14:paraId="4E9AC733">
            <w:pPr>
              <w:pStyle w:val="129"/>
              <w:widowControl w:val="0"/>
              <w:rPr>
                <w:color w:val="auto"/>
              </w:rPr>
            </w:pPr>
          </w:p>
        </w:tc>
        <w:tc>
          <w:tcPr>
            <w:tcW w:w="1667" w:type="pct"/>
            <w:vAlign w:val="center"/>
          </w:tcPr>
          <w:p w14:paraId="22D8CF5D">
            <w:pPr>
              <w:pStyle w:val="129"/>
              <w:widowControl w:val="0"/>
              <w:rPr>
                <w:color w:val="auto"/>
              </w:rPr>
            </w:pPr>
            <w:r>
              <w:rPr>
                <w:color w:val="auto"/>
              </w:rPr>
              <w:t>人口数（城市选项时）</w:t>
            </w:r>
          </w:p>
        </w:tc>
        <w:tc>
          <w:tcPr>
            <w:tcW w:w="1666" w:type="pct"/>
            <w:vAlign w:val="center"/>
          </w:tcPr>
          <w:p w14:paraId="7297E279">
            <w:pPr>
              <w:pStyle w:val="129"/>
              <w:widowControl w:val="0"/>
              <w:rPr>
                <w:color w:val="auto"/>
              </w:rPr>
            </w:pPr>
            <w:r>
              <w:rPr>
                <w:color w:val="auto"/>
              </w:rPr>
              <w:t>/</w:t>
            </w:r>
          </w:p>
        </w:tc>
      </w:tr>
      <w:tr w14:paraId="1E0EBB7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3334" w:type="pct"/>
            <w:gridSpan w:val="2"/>
            <w:vAlign w:val="center"/>
          </w:tcPr>
          <w:p w14:paraId="4A0DAABB">
            <w:pPr>
              <w:pStyle w:val="129"/>
              <w:widowControl w:val="0"/>
              <w:rPr>
                <w:color w:val="auto"/>
              </w:rPr>
            </w:pPr>
            <w:r>
              <w:rPr>
                <w:color w:val="auto"/>
              </w:rPr>
              <w:t>最高环境温度/℃</w:t>
            </w:r>
          </w:p>
        </w:tc>
        <w:tc>
          <w:tcPr>
            <w:tcW w:w="1666" w:type="pct"/>
            <w:vAlign w:val="center"/>
          </w:tcPr>
          <w:p w14:paraId="095BB3D6">
            <w:pPr>
              <w:pStyle w:val="129"/>
              <w:widowControl w:val="0"/>
              <w:rPr>
                <w:color w:val="auto"/>
              </w:rPr>
            </w:pPr>
            <w:r>
              <w:rPr>
                <w:color w:val="auto"/>
              </w:rPr>
              <w:t>43.</w:t>
            </w:r>
            <w:r>
              <w:rPr>
                <w:rFonts w:hint="eastAsia"/>
                <w:color w:val="auto"/>
              </w:rPr>
              <w:t>4</w:t>
            </w:r>
          </w:p>
        </w:tc>
      </w:tr>
      <w:tr w14:paraId="0B64CB4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3334" w:type="pct"/>
            <w:gridSpan w:val="2"/>
            <w:vAlign w:val="center"/>
          </w:tcPr>
          <w:p w14:paraId="36396EFC">
            <w:pPr>
              <w:pStyle w:val="129"/>
              <w:widowControl w:val="0"/>
              <w:rPr>
                <w:color w:val="auto"/>
              </w:rPr>
            </w:pPr>
            <w:r>
              <w:rPr>
                <w:color w:val="auto"/>
              </w:rPr>
              <w:t>最低环境温度/℃</w:t>
            </w:r>
          </w:p>
        </w:tc>
        <w:tc>
          <w:tcPr>
            <w:tcW w:w="1666" w:type="pct"/>
            <w:vAlign w:val="center"/>
          </w:tcPr>
          <w:p w14:paraId="54639555">
            <w:pPr>
              <w:pStyle w:val="129"/>
              <w:widowControl w:val="0"/>
              <w:rPr>
                <w:color w:val="auto"/>
              </w:rPr>
            </w:pPr>
            <w:r>
              <w:rPr>
                <w:color w:val="auto"/>
              </w:rPr>
              <w:t>-34</w:t>
            </w:r>
          </w:p>
        </w:tc>
      </w:tr>
      <w:tr w14:paraId="282257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3334" w:type="pct"/>
            <w:gridSpan w:val="2"/>
            <w:vAlign w:val="center"/>
          </w:tcPr>
          <w:p w14:paraId="34D71DC3">
            <w:pPr>
              <w:pStyle w:val="129"/>
              <w:widowControl w:val="0"/>
              <w:rPr>
                <w:color w:val="auto"/>
              </w:rPr>
            </w:pPr>
            <w:r>
              <w:rPr>
                <w:color w:val="auto"/>
              </w:rPr>
              <w:t>土地利用类型</w:t>
            </w:r>
          </w:p>
        </w:tc>
        <w:tc>
          <w:tcPr>
            <w:tcW w:w="1666" w:type="pct"/>
            <w:vAlign w:val="center"/>
          </w:tcPr>
          <w:p w14:paraId="3B9D99CE">
            <w:pPr>
              <w:pStyle w:val="129"/>
              <w:widowControl w:val="0"/>
              <w:rPr>
                <w:color w:val="auto"/>
              </w:rPr>
            </w:pPr>
            <w:r>
              <w:rPr>
                <w:color w:val="auto"/>
              </w:rPr>
              <w:t>沙漠化荒地</w:t>
            </w:r>
          </w:p>
        </w:tc>
      </w:tr>
      <w:tr w14:paraId="2CAE618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3334" w:type="pct"/>
            <w:gridSpan w:val="2"/>
            <w:vAlign w:val="center"/>
          </w:tcPr>
          <w:p w14:paraId="4874E739">
            <w:pPr>
              <w:pStyle w:val="129"/>
              <w:widowControl w:val="0"/>
              <w:rPr>
                <w:color w:val="auto"/>
              </w:rPr>
            </w:pPr>
            <w:r>
              <w:rPr>
                <w:color w:val="auto"/>
              </w:rPr>
              <w:t>区域湿度条件</w:t>
            </w:r>
          </w:p>
        </w:tc>
        <w:tc>
          <w:tcPr>
            <w:tcW w:w="1666" w:type="pct"/>
            <w:vAlign w:val="center"/>
          </w:tcPr>
          <w:p w14:paraId="47D760EE">
            <w:pPr>
              <w:pStyle w:val="129"/>
              <w:widowControl w:val="0"/>
              <w:rPr>
                <w:color w:val="auto"/>
              </w:rPr>
            </w:pPr>
            <w:r>
              <w:rPr>
                <w:color w:val="auto"/>
              </w:rPr>
              <w:t>干燥气候</w:t>
            </w:r>
          </w:p>
        </w:tc>
      </w:tr>
      <w:tr w14:paraId="37F00BE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7" w:type="pct"/>
            <w:vMerge w:val="restart"/>
            <w:vAlign w:val="center"/>
          </w:tcPr>
          <w:p w14:paraId="38E0546E">
            <w:pPr>
              <w:pStyle w:val="129"/>
              <w:widowControl w:val="0"/>
              <w:rPr>
                <w:color w:val="auto"/>
              </w:rPr>
            </w:pPr>
            <w:r>
              <w:rPr>
                <w:color w:val="auto"/>
              </w:rPr>
              <w:t>是否考虑地形</w:t>
            </w:r>
          </w:p>
        </w:tc>
        <w:tc>
          <w:tcPr>
            <w:tcW w:w="1667" w:type="pct"/>
            <w:vAlign w:val="center"/>
          </w:tcPr>
          <w:p w14:paraId="1113D861">
            <w:pPr>
              <w:pStyle w:val="129"/>
              <w:widowControl w:val="0"/>
              <w:rPr>
                <w:color w:val="auto"/>
              </w:rPr>
            </w:pPr>
            <w:r>
              <w:rPr>
                <w:color w:val="auto"/>
              </w:rPr>
              <w:t>考虑地形</w:t>
            </w:r>
          </w:p>
        </w:tc>
        <w:tc>
          <w:tcPr>
            <w:tcW w:w="1666" w:type="pct"/>
            <w:vAlign w:val="center"/>
          </w:tcPr>
          <w:p w14:paraId="4160C19A">
            <w:pPr>
              <w:pStyle w:val="129"/>
              <w:widowControl w:val="0"/>
              <w:rPr>
                <w:color w:val="auto"/>
              </w:rPr>
            </w:pPr>
            <w:r>
              <w:rPr>
                <w:color w:val="auto"/>
              </w:rPr>
              <w:t>是</w:t>
            </w:r>
          </w:p>
        </w:tc>
      </w:tr>
      <w:tr w14:paraId="58B09A5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7" w:type="pct"/>
            <w:vMerge w:val="continue"/>
            <w:vAlign w:val="center"/>
          </w:tcPr>
          <w:p w14:paraId="0F05B0C1">
            <w:pPr>
              <w:pStyle w:val="129"/>
              <w:widowControl w:val="0"/>
              <w:rPr>
                <w:color w:val="auto"/>
              </w:rPr>
            </w:pPr>
          </w:p>
        </w:tc>
        <w:tc>
          <w:tcPr>
            <w:tcW w:w="1667" w:type="pct"/>
            <w:vAlign w:val="center"/>
          </w:tcPr>
          <w:p w14:paraId="685A9E0C">
            <w:pPr>
              <w:pStyle w:val="129"/>
              <w:widowControl w:val="0"/>
              <w:rPr>
                <w:color w:val="auto"/>
              </w:rPr>
            </w:pPr>
            <w:r>
              <w:rPr>
                <w:color w:val="auto"/>
              </w:rPr>
              <w:t>地形数据分辨率/m</w:t>
            </w:r>
          </w:p>
        </w:tc>
        <w:tc>
          <w:tcPr>
            <w:tcW w:w="1666" w:type="pct"/>
            <w:vAlign w:val="center"/>
          </w:tcPr>
          <w:p w14:paraId="776E2C90">
            <w:pPr>
              <w:pStyle w:val="129"/>
              <w:widowControl w:val="0"/>
              <w:rPr>
                <w:color w:val="auto"/>
              </w:rPr>
            </w:pPr>
            <w:r>
              <w:rPr>
                <w:color w:val="auto"/>
              </w:rPr>
              <w:t>90m</w:t>
            </w:r>
          </w:p>
        </w:tc>
      </w:tr>
      <w:tr w14:paraId="30063C3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7" w:type="pct"/>
            <w:vMerge w:val="restart"/>
            <w:vAlign w:val="center"/>
          </w:tcPr>
          <w:p w14:paraId="0A1D78D6">
            <w:pPr>
              <w:pStyle w:val="129"/>
              <w:widowControl w:val="0"/>
              <w:rPr>
                <w:color w:val="auto"/>
              </w:rPr>
            </w:pPr>
            <w:r>
              <w:rPr>
                <w:color w:val="auto"/>
              </w:rPr>
              <w:t>是否考虑岸线熏烟</w:t>
            </w:r>
          </w:p>
        </w:tc>
        <w:tc>
          <w:tcPr>
            <w:tcW w:w="1667" w:type="pct"/>
            <w:vAlign w:val="center"/>
          </w:tcPr>
          <w:p w14:paraId="27B167EF">
            <w:pPr>
              <w:pStyle w:val="129"/>
              <w:widowControl w:val="0"/>
              <w:rPr>
                <w:color w:val="auto"/>
              </w:rPr>
            </w:pPr>
            <w:r>
              <w:rPr>
                <w:color w:val="auto"/>
              </w:rPr>
              <w:t>考虑岸线熏烟</w:t>
            </w:r>
          </w:p>
        </w:tc>
        <w:tc>
          <w:tcPr>
            <w:tcW w:w="1666" w:type="pct"/>
            <w:vAlign w:val="center"/>
          </w:tcPr>
          <w:p w14:paraId="5BED0C85">
            <w:pPr>
              <w:pStyle w:val="129"/>
              <w:widowControl w:val="0"/>
              <w:rPr>
                <w:color w:val="auto"/>
              </w:rPr>
            </w:pPr>
            <w:r>
              <w:rPr>
                <w:color w:val="auto"/>
              </w:rPr>
              <w:t>否</w:t>
            </w:r>
          </w:p>
        </w:tc>
      </w:tr>
      <w:tr w14:paraId="7697B8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7" w:type="pct"/>
            <w:vMerge w:val="continue"/>
            <w:vAlign w:val="center"/>
          </w:tcPr>
          <w:p w14:paraId="7A409AB0">
            <w:pPr>
              <w:pStyle w:val="129"/>
              <w:widowControl w:val="0"/>
              <w:rPr>
                <w:color w:val="auto"/>
              </w:rPr>
            </w:pPr>
          </w:p>
        </w:tc>
        <w:tc>
          <w:tcPr>
            <w:tcW w:w="1667" w:type="pct"/>
            <w:vAlign w:val="center"/>
          </w:tcPr>
          <w:p w14:paraId="1B7B3F2F">
            <w:pPr>
              <w:pStyle w:val="129"/>
              <w:widowControl w:val="0"/>
              <w:rPr>
                <w:color w:val="auto"/>
              </w:rPr>
            </w:pPr>
            <w:r>
              <w:rPr>
                <w:color w:val="auto"/>
              </w:rPr>
              <w:t>岸线距离/km</w:t>
            </w:r>
          </w:p>
        </w:tc>
        <w:tc>
          <w:tcPr>
            <w:tcW w:w="1666" w:type="pct"/>
            <w:vAlign w:val="center"/>
          </w:tcPr>
          <w:p w14:paraId="6233C19E">
            <w:pPr>
              <w:pStyle w:val="129"/>
              <w:widowControl w:val="0"/>
              <w:rPr>
                <w:color w:val="auto"/>
              </w:rPr>
            </w:pPr>
            <w:r>
              <w:rPr>
                <w:color w:val="auto"/>
              </w:rPr>
              <w:t>/</w:t>
            </w:r>
          </w:p>
        </w:tc>
      </w:tr>
      <w:tr w14:paraId="45E056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7" w:type="pct"/>
            <w:vMerge w:val="continue"/>
            <w:vAlign w:val="center"/>
          </w:tcPr>
          <w:p w14:paraId="358F86C9">
            <w:pPr>
              <w:pStyle w:val="129"/>
              <w:widowControl w:val="0"/>
              <w:rPr>
                <w:color w:val="auto"/>
              </w:rPr>
            </w:pPr>
          </w:p>
        </w:tc>
        <w:tc>
          <w:tcPr>
            <w:tcW w:w="1667" w:type="pct"/>
            <w:vAlign w:val="center"/>
          </w:tcPr>
          <w:p w14:paraId="5E32A236">
            <w:pPr>
              <w:pStyle w:val="129"/>
              <w:widowControl w:val="0"/>
              <w:rPr>
                <w:color w:val="auto"/>
              </w:rPr>
            </w:pPr>
            <w:r>
              <w:rPr>
                <w:color w:val="auto"/>
              </w:rPr>
              <w:t>岸线方向/°</w:t>
            </w:r>
          </w:p>
        </w:tc>
        <w:tc>
          <w:tcPr>
            <w:tcW w:w="1666" w:type="pct"/>
            <w:vAlign w:val="center"/>
          </w:tcPr>
          <w:p w14:paraId="5785DF9C">
            <w:pPr>
              <w:pStyle w:val="129"/>
              <w:widowControl w:val="0"/>
              <w:rPr>
                <w:color w:val="auto"/>
              </w:rPr>
            </w:pPr>
            <w:r>
              <w:rPr>
                <w:color w:val="auto"/>
              </w:rPr>
              <w:t>/</w:t>
            </w:r>
          </w:p>
        </w:tc>
      </w:tr>
    </w:tbl>
    <w:p w14:paraId="4A5EF153">
      <w:pPr>
        <w:pStyle w:val="1704"/>
        <w:rPr>
          <w:rFonts w:ascii="Times New Roman" w:hAnsi="Times New Roman"/>
          <w:color w:val="auto"/>
        </w:rPr>
      </w:pPr>
    </w:p>
    <w:p w14:paraId="375CE36E">
      <w:pPr>
        <w:pStyle w:val="132"/>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污染源参数</w:t>
      </w:r>
    </w:p>
    <w:p w14:paraId="018DCA7B">
      <w:pPr>
        <w:pStyle w:val="132"/>
        <w:rPr>
          <w:color w:val="auto"/>
        </w:rPr>
      </w:pPr>
      <w:r>
        <w:rPr>
          <w:color w:val="auto"/>
        </w:rPr>
        <w:t>本项目主要废气污染源排放参数，见表2.</w:t>
      </w:r>
      <w:r>
        <w:rPr>
          <w:rFonts w:hint="eastAsia"/>
          <w:color w:val="auto"/>
        </w:rPr>
        <w:t>4</w:t>
      </w:r>
      <w:r>
        <w:rPr>
          <w:color w:val="auto"/>
        </w:rPr>
        <w:t>-</w:t>
      </w:r>
      <w:r>
        <w:rPr>
          <w:rFonts w:hint="eastAsia"/>
          <w:color w:val="auto"/>
        </w:rPr>
        <w:t>4</w:t>
      </w:r>
      <w:r>
        <w:rPr>
          <w:color w:val="auto"/>
        </w:rPr>
        <w:t>。</w:t>
      </w:r>
    </w:p>
    <w:p w14:paraId="379D8A2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color w:val="auto"/>
        </w:rPr>
        <w:t xml:space="preserve"> </w:t>
      </w:r>
      <w:r>
        <w:rPr>
          <w:rFonts w:hint="eastAsia"/>
          <w:color w:val="auto"/>
        </w:rPr>
        <w:t xml:space="preserve"> </w:t>
      </w:r>
      <w:r>
        <w:rPr>
          <w:color w:val="auto"/>
        </w:rPr>
        <w:t xml:space="preserve"> 项目有组织污染物计算参数选取</w:t>
      </w:r>
      <w:r>
        <w:rPr>
          <w:rFonts w:hint="eastAsia"/>
          <w:color w:val="auto"/>
        </w:rPr>
        <w:t>值一览</w:t>
      </w:r>
      <w:r>
        <w:rPr>
          <w:color w:val="auto"/>
        </w:rPr>
        <w:t>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420"/>
        <w:gridCol w:w="1429"/>
        <w:gridCol w:w="1345"/>
        <w:gridCol w:w="944"/>
        <w:gridCol w:w="859"/>
        <w:gridCol w:w="752"/>
        <w:gridCol w:w="1033"/>
        <w:gridCol w:w="1004"/>
      </w:tblGrid>
      <w:tr w14:paraId="5B1173F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31C9E039">
            <w:pPr>
              <w:pStyle w:val="129"/>
              <w:widowControl w:val="0"/>
              <w:rPr>
                <w:color w:val="auto"/>
              </w:rPr>
            </w:pPr>
            <w:r>
              <w:rPr>
                <w:color w:val="auto"/>
              </w:rPr>
              <w:t>污染源</w:t>
            </w:r>
          </w:p>
        </w:tc>
        <w:tc>
          <w:tcPr>
            <w:tcW w:w="813" w:type="pct"/>
            <w:vMerge w:val="restart"/>
            <w:vAlign w:val="center"/>
          </w:tcPr>
          <w:p w14:paraId="28ABB8C9">
            <w:pPr>
              <w:pStyle w:val="129"/>
              <w:widowControl w:val="0"/>
              <w:rPr>
                <w:color w:val="auto"/>
              </w:rPr>
            </w:pPr>
            <w:r>
              <w:rPr>
                <w:color w:val="auto"/>
              </w:rPr>
              <w:t>污染物</w:t>
            </w:r>
          </w:p>
        </w:tc>
        <w:tc>
          <w:tcPr>
            <w:tcW w:w="765" w:type="pct"/>
            <w:vMerge w:val="restart"/>
            <w:vAlign w:val="center"/>
          </w:tcPr>
          <w:p w14:paraId="5EDCB4D5">
            <w:pPr>
              <w:pStyle w:val="129"/>
              <w:widowControl w:val="0"/>
              <w:rPr>
                <w:color w:val="auto"/>
              </w:rPr>
            </w:pPr>
            <w:r>
              <w:rPr>
                <w:color w:val="auto"/>
              </w:rPr>
              <w:t>污染源强（kg/hr）</w:t>
            </w:r>
          </w:p>
        </w:tc>
        <w:tc>
          <w:tcPr>
            <w:tcW w:w="537" w:type="pct"/>
            <w:vMerge w:val="restart"/>
            <w:vAlign w:val="center"/>
          </w:tcPr>
          <w:p w14:paraId="541249F6">
            <w:pPr>
              <w:pStyle w:val="129"/>
              <w:widowControl w:val="0"/>
              <w:rPr>
                <w:color w:val="auto"/>
              </w:rPr>
            </w:pPr>
            <w:r>
              <w:rPr>
                <w:color w:val="auto"/>
              </w:rPr>
              <w:t>排气温度（℃）</w:t>
            </w:r>
          </w:p>
        </w:tc>
        <w:tc>
          <w:tcPr>
            <w:tcW w:w="917" w:type="pct"/>
            <w:gridSpan w:val="2"/>
            <w:vAlign w:val="center"/>
          </w:tcPr>
          <w:p w14:paraId="5CAC4280">
            <w:pPr>
              <w:pStyle w:val="129"/>
              <w:widowControl w:val="0"/>
              <w:rPr>
                <w:color w:val="auto"/>
              </w:rPr>
            </w:pPr>
            <w:r>
              <w:rPr>
                <w:color w:val="auto"/>
              </w:rPr>
              <w:t>排气筒（m）</w:t>
            </w:r>
          </w:p>
        </w:tc>
        <w:tc>
          <w:tcPr>
            <w:tcW w:w="588" w:type="pct"/>
            <w:vMerge w:val="restart"/>
            <w:vAlign w:val="center"/>
          </w:tcPr>
          <w:p w14:paraId="57800410">
            <w:pPr>
              <w:pStyle w:val="129"/>
              <w:widowControl w:val="0"/>
              <w:rPr>
                <w:color w:val="auto"/>
              </w:rPr>
            </w:pPr>
            <w:r>
              <w:rPr>
                <w:color w:val="auto"/>
              </w:rPr>
              <w:t>排气量</w:t>
            </w:r>
          </w:p>
          <w:p w14:paraId="6528B24D">
            <w:pPr>
              <w:pStyle w:val="129"/>
              <w:widowControl w:val="0"/>
              <w:rPr>
                <w:color w:val="auto"/>
              </w:rPr>
            </w:pPr>
            <w:r>
              <w:rPr>
                <w:color w:val="auto"/>
              </w:rPr>
              <w:t>（Nm</w:t>
            </w:r>
            <w:r>
              <w:rPr>
                <w:color w:val="auto"/>
                <w:vertAlign w:val="superscript"/>
              </w:rPr>
              <w:t>3</w:t>
            </w:r>
            <w:r>
              <w:rPr>
                <w:color w:val="auto"/>
              </w:rPr>
              <w:t>/h）</w:t>
            </w:r>
          </w:p>
        </w:tc>
        <w:tc>
          <w:tcPr>
            <w:tcW w:w="571" w:type="pct"/>
            <w:vMerge w:val="restart"/>
            <w:vAlign w:val="center"/>
          </w:tcPr>
          <w:p w14:paraId="654D21AA">
            <w:pPr>
              <w:pStyle w:val="129"/>
              <w:widowControl w:val="0"/>
              <w:rPr>
                <w:color w:val="auto"/>
              </w:rPr>
            </w:pPr>
            <w:r>
              <w:rPr>
                <w:color w:val="auto"/>
              </w:rPr>
              <w:t>污染源性质</w:t>
            </w:r>
          </w:p>
        </w:tc>
      </w:tr>
      <w:tr w14:paraId="06B953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479A9236">
            <w:pPr>
              <w:pStyle w:val="129"/>
              <w:widowControl w:val="0"/>
              <w:rPr>
                <w:color w:val="auto"/>
              </w:rPr>
            </w:pPr>
          </w:p>
        </w:tc>
        <w:tc>
          <w:tcPr>
            <w:tcW w:w="813" w:type="pct"/>
            <w:vMerge w:val="continue"/>
            <w:vAlign w:val="center"/>
          </w:tcPr>
          <w:p w14:paraId="0FE80666">
            <w:pPr>
              <w:pStyle w:val="129"/>
              <w:widowControl w:val="0"/>
              <w:rPr>
                <w:color w:val="auto"/>
              </w:rPr>
            </w:pPr>
          </w:p>
        </w:tc>
        <w:tc>
          <w:tcPr>
            <w:tcW w:w="765" w:type="pct"/>
            <w:vMerge w:val="continue"/>
            <w:vAlign w:val="center"/>
          </w:tcPr>
          <w:p w14:paraId="534A364B">
            <w:pPr>
              <w:pStyle w:val="129"/>
              <w:widowControl w:val="0"/>
              <w:rPr>
                <w:color w:val="auto"/>
              </w:rPr>
            </w:pPr>
          </w:p>
        </w:tc>
        <w:tc>
          <w:tcPr>
            <w:tcW w:w="537" w:type="pct"/>
            <w:vMerge w:val="continue"/>
            <w:vAlign w:val="center"/>
          </w:tcPr>
          <w:p w14:paraId="6111C0C6">
            <w:pPr>
              <w:pStyle w:val="129"/>
              <w:widowControl w:val="0"/>
              <w:rPr>
                <w:color w:val="auto"/>
              </w:rPr>
            </w:pPr>
          </w:p>
        </w:tc>
        <w:tc>
          <w:tcPr>
            <w:tcW w:w="489" w:type="pct"/>
            <w:vAlign w:val="center"/>
          </w:tcPr>
          <w:p w14:paraId="011D4A7E">
            <w:pPr>
              <w:pStyle w:val="129"/>
              <w:widowControl w:val="0"/>
              <w:rPr>
                <w:color w:val="auto"/>
              </w:rPr>
            </w:pPr>
            <w:r>
              <w:rPr>
                <w:color w:val="auto"/>
              </w:rPr>
              <w:t>内径</w:t>
            </w:r>
          </w:p>
        </w:tc>
        <w:tc>
          <w:tcPr>
            <w:tcW w:w="428" w:type="pct"/>
            <w:vAlign w:val="center"/>
          </w:tcPr>
          <w:p w14:paraId="5BBF8017">
            <w:pPr>
              <w:pStyle w:val="129"/>
              <w:widowControl w:val="0"/>
              <w:rPr>
                <w:color w:val="auto"/>
              </w:rPr>
            </w:pPr>
            <w:r>
              <w:rPr>
                <w:color w:val="auto"/>
              </w:rPr>
              <w:t>高度</w:t>
            </w:r>
          </w:p>
        </w:tc>
        <w:tc>
          <w:tcPr>
            <w:tcW w:w="588" w:type="pct"/>
            <w:vMerge w:val="continue"/>
            <w:vAlign w:val="center"/>
          </w:tcPr>
          <w:p w14:paraId="5CA1D4A9">
            <w:pPr>
              <w:pStyle w:val="129"/>
              <w:widowControl w:val="0"/>
              <w:rPr>
                <w:color w:val="auto"/>
              </w:rPr>
            </w:pPr>
          </w:p>
        </w:tc>
        <w:tc>
          <w:tcPr>
            <w:tcW w:w="571" w:type="pct"/>
            <w:vMerge w:val="continue"/>
            <w:vAlign w:val="center"/>
          </w:tcPr>
          <w:p w14:paraId="476848B0">
            <w:pPr>
              <w:pStyle w:val="129"/>
              <w:widowControl w:val="0"/>
              <w:rPr>
                <w:color w:val="auto"/>
              </w:rPr>
            </w:pPr>
          </w:p>
        </w:tc>
      </w:tr>
      <w:tr w14:paraId="1A8343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Align w:val="center"/>
          </w:tcPr>
          <w:p w14:paraId="0ED7F8C4">
            <w:pPr>
              <w:pStyle w:val="129"/>
              <w:widowControl w:val="0"/>
              <w:rPr>
                <w:color w:val="auto"/>
              </w:rPr>
            </w:pPr>
            <w:r>
              <w:rPr>
                <w:rFonts w:hint="eastAsia" w:ascii="宋体" w:hAnsi="宋体" w:cs="宋体"/>
                <w:color w:val="auto"/>
              </w:rPr>
              <w:t>含氨废气</w:t>
            </w:r>
          </w:p>
        </w:tc>
        <w:tc>
          <w:tcPr>
            <w:tcW w:w="813" w:type="pct"/>
            <w:vAlign w:val="center"/>
          </w:tcPr>
          <w:p w14:paraId="0E6F213E">
            <w:pPr>
              <w:pStyle w:val="129"/>
              <w:widowControl w:val="0"/>
              <w:rPr>
                <w:color w:val="auto"/>
              </w:rPr>
            </w:pPr>
            <w:r>
              <w:rPr>
                <w:color w:val="auto"/>
              </w:rPr>
              <w:t>NH</w:t>
            </w:r>
            <w:r>
              <w:rPr>
                <w:color w:val="auto"/>
                <w:vertAlign w:val="subscript"/>
              </w:rPr>
              <w:t>3</w:t>
            </w:r>
          </w:p>
        </w:tc>
        <w:tc>
          <w:tcPr>
            <w:tcW w:w="765" w:type="pct"/>
            <w:vAlign w:val="center"/>
          </w:tcPr>
          <w:p w14:paraId="585AF72D">
            <w:pPr>
              <w:pStyle w:val="129"/>
              <w:widowControl w:val="0"/>
              <w:rPr>
                <w:color w:val="auto"/>
              </w:rPr>
            </w:pPr>
            <w:r>
              <w:rPr>
                <w:color w:val="auto"/>
              </w:rPr>
              <w:t>0.008</w:t>
            </w:r>
          </w:p>
        </w:tc>
        <w:tc>
          <w:tcPr>
            <w:tcW w:w="537" w:type="pct"/>
            <w:vAlign w:val="center"/>
          </w:tcPr>
          <w:p w14:paraId="34C96745">
            <w:pPr>
              <w:pStyle w:val="129"/>
              <w:widowControl w:val="0"/>
              <w:rPr>
                <w:color w:val="auto"/>
              </w:rPr>
            </w:pPr>
            <w:r>
              <w:rPr>
                <w:color w:val="auto"/>
              </w:rPr>
              <w:t>25</w:t>
            </w:r>
          </w:p>
        </w:tc>
        <w:tc>
          <w:tcPr>
            <w:tcW w:w="489" w:type="pct"/>
            <w:vAlign w:val="center"/>
          </w:tcPr>
          <w:p w14:paraId="2D8B8774">
            <w:pPr>
              <w:pStyle w:val="129"/>
              <w:widowControl w:val="0"/>
              <w:rPr>
                <w:color w:val="auto"/>
              </w:rPr>
            </w:pPr>
            <w:r>
              <w:rPr>
                <w:rFonts w:hint="eastAsia"/>
                <w:color w:val="auto"/>
              </w:rPr>
              <w:t>0.2</w:t>
            </w:r>
          </w:p>
        </w:tc>
        <w:tc>
          <w:tcPr>
            <w:tcW w:w="428" w:type="pct"/>
            <w:vAlign w:val="center"/>
          </w:tcPr>
          <w:p w14:paraId="5CD82842">
            <w:pPr>
              <w:pStyle w:val="129"/>
              <w:widowControl w:val="0"/>
              <w:rPr>
                <w:color w:val="auto"/>
              </w:rPr>
            </w:pPr>
            <w:r>
              <w:rPr>
                <w:rFonts w:hint="eastAsia"/>
                <w:color w:val="auto"/>
              </w:rPr>
              <w:t>17</w:t>
            </w:r>
          </w:p>
        </w:tc>
        <w:tc>
          <w:tcPr>
            <w:tcW w:w="588" w:type="pct"/>
            <w:vAlign w:val="center"/>
          </w:tcPr>
          <w:p w14:paraId="6B8D51E0">
            <w:pPr>
              <w:pStyle w:val="129"/>
              <w:widowControl w:val="0"/>
              <w:rPr>
                <w:color w:val="auto"/>
              </w:rPr>
            </w:pPr>
            <w:r>
              <w:rPr>
                <w:color w:val="auto"/>
              </w:rPr>
              <w:t>1000</w:t>
            </w:r>
          </w:p>
        </w:tc>
        <w:tc>
          <w:tcPr>
            <w:tcW w:w="571" w:type="pct"/>
            <w:vAlign w:val="center"/>
          </w:tcPr>
          <w:p w14:paraId="278AFFC7">
            <w:pPr>
              <w:pStyle w:val="129"/>
              <w:widowControl w:val="0"/>
              <w:rPr>
                <w:color w:val="auto"/>
              </w:rPr>
            </w:pPr>
            <w:r>
              <w:rPr>
                <w:color w:val="auto"/>
              </w:rPr>
              <w:t>连续</w:t>
            </w:r>
          </w:p>
        </w:tc>
      </w:tr>
      <w:tr w14:paraId="0F3D8E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38BF3133">
            <w:pPr>
              <w:pStyle w:val="129"/>
              <w:widowControl w:val="0"/>
              <w:rPr>
                <w:color w:val="auto"/>
              </w:rPr>
            </w:pPr>
            <w:r>
              <w:rPr>
                <w:rFonts w:hint="eastAsia" w:ascii="宋体" w:hAnsi="宋体" w:cs="宋体"/>
                <w:color w:val="auto"/>
              </w:rPr>
              <w:t>硫酸铵干燥包装排口</w:t>
            </w:r>
          </w:p>
        </w:tc>
        <w:tc>
          <w:tcPr>
            <w:tcW w:w="813" w:type="pct"/>
            <w:vAlign w:val="center"/>
          </w:tcPr>
          <w:p w14:paraId="19CF41A1">
            <w:pPr>
              <w:pStyle w:val="129"/>
              <w:widowControl w:val="0"/>
              <w:rPr>
                <w:color w:val="auto"/>
              </w:rPr>
            </w:pPr>
            <w:r>
              <w:rPr>
                <w:rFonts w:hint="eastAsia" w:ascii="宋体" w:hAnsi="宋体" w:cs="宋体"/>
                <w:color w:val="auto"/>
              </w:rPr>
              <w:t>颗粒物</w:t>
            </w:r>
          </w:p>
        </w:tc>
        <w:tc>
          <w:tcPr>
            <w:tcW w:w="765" w:type="pct"/>
            <w:vAlign w:val="center"/>
          </w:tcPr>
          <w:p w14:paraId="3F1577A2">
            <w:pPr>
              <w:pStyle w:val="129"/>
              <w:widowControl w:val="0"/>
              <w:rPr>
                <w:color w:val="auto"/>
              </w:rPr>
            </w:pPr>
            <w:r>
              <w:rPr>
                <w:color w:val="auto"/>
              </w:rPr>
              <w:t>0.29</w:t>
            </w:r>
          </w:p>
        </w:tc>
        <w:tc>
          <w:tcPr>
            <w:tcW w:w="537" w:type="pct"/>
            <w:vMerge w:val="restart"/>
            <w:vAlign w:val="center"/>
          </w:tcPr>
          <w:p w14:paraId="359B59E5">
            <w:pPr>
              <w:pStyle w:val="129"/>
              <w:widowControl w:val="0"/>
              <w:rPr>
                <w:color w:val="auto"/>
              </w:rPr>
            </w:pPr>
            <w:r>
              <w:rPr>
                <w:rFonts w:hint="eastAsia"/>
                <w:color w:val="auto"/>
              </w:rPr>
              <w:t>40</w:t>
            </w:r>
          </w:p>
        </w:tc>
        <w:tc>
          <w:tcPr>
            <w:tcW w:w="489" w:type="pct"/>
            <w:vMerge w:val="restart"/>
            <w:vAlign w:val="center"/>
          </w:tcPr>
          <w:p w14:paraId="23D46A14">
            <w:pPr>
              <w:pStyle w:val="129"/>
              <w:widowControl w:val="0"/>
              <w:rPr>
                <w:color w:val="auto"/>
              </w:rPr>
            </w:pPr>
            <w:r>
              <w:rPr>
                <w:rFonts w:hint="eastAsia"/>
                <w:color w:val="auto"/>
              </w:rPr>
              <w:t>1</w:t>
            </w:r>
          </w:p>
        </w:tc>
        <w:tc>
          <w:tcPr>
            <w:tcW w:w="428" w:type="pct"/>
            <w:vMerge w:val="restart"/>
            <w:vAlign w:val="center"/>
          </w:tcPr>
          <w:p w14:paraId="26F64A79">
            <w:pPr>
              <w:pStyle w:val="129"/>
              <w:widowControl w:val="0"/>
              <w:rPr>
                <w:color w:val="auto"/>
              </w:rPr>
            </w:pPr>
            <w:r>
              <w:rPr>
                <w:rFonts w:hint="eastAsia"/>
                <w:color w:val="auto"/>
              </w:rPr>
              <w:t>17</w:t>
            </w:r>
          </w:p>
        </w:tc>
        <w:tc>
          <w:tcPr>
            <w:tcW w:w="588" w:type="pct"/>
            <w:vMerge w:val="restart"/>
            <w:vAlign w:val="center"/>
          </w:tcPr>
          <w:p w14:paraId="5193C931">
            <w:pPr>
              <w:pStyle w:val="129"/>
              <w:widowControl w:val="0"/>
              <w:rPr>
                <w:color w:val="auto"/>
              </w:rPr>
            </w:pPr>
            <w:r>
              <w:rPr>
                <w:color w:val="auto"/>
              </w:rPr>
              <w:t>41500</w:t>
            </w:r>
          </w:p>
        </w:tc>
        <w:tc>
          <w:tcPr>
            <w:tcW w:w="571" w:type="pct"/>
            <w:vAlign w:val="center"/>
          </w:tcPr>
          <w:p w14:paraId="2D9A3059">
            <w:pPr>
              <w:pStyle w:val="129"/>
              <w:widowControl w:val="0"/>
              <w:rPr>
                <w:color w:val="auto"/>
              </w:rPr>
            </w:pPr>
            <w:r>
              <w:rPr>
                <w:color w:val="auto"/>
              </w:rPr>
              <w:t>连续</w:t>
            </w:r>
          </w:p>
        </w:tc>
      </w:tr>
      <w:tr w14:paraId="43482B9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4781C8D3">
            <w:pPr>
              <w:pStyle w:val="129"/>
              <w:widowControl w:val="0"/>
              <w:rPr>
                <w:color w:val="auto"/>
              </w:rPr>
            </w:pPr>
          </w:p>
        </w:tc>
        <w:tc>
          <w:tcPr>
            <w:tcW w:w="813" w:type="pct"/>
            <w:vAlign w:val="center"/>
          </w:tcPr>
          <w:p w14:paraId="59021BC5">
            <w:pPr>
              <w:pStyle w:val="129"/>
              <w:widowControl w:val="0"/>
              <w:rPr>
                <w:color w:val="auto"/>
              </w:rPr>
            </w:pPr>
            <w:r>
              <w:rPr>
                <w:rStyle w:val="1313"/>
                <w:rFonts w:hint="default" w:ascii="Times New Roman" w:hAnsi="Times New Roman" w:cs="Times New Roman"/>
                <w:color w:val="auto"/>
              </w:rPr>
              <w:t>NH</w:t>
            </w:r>
            <w:r>
              <w:rPr>
                <w:rStyle w:val="1485"/>
                <w:rFonts w:hint="default" w:ascii="Times New Roman" w:hAnsi="Times New Roman"/>
                <w:color w:val="auto"/>
                <w:sz w:val="21"/>
                <w:szCs w:val="21"/>
                <w:vertAlign w:val="subscript"/>
              </w:rPr>
              <w:t>3</w:t>
            </w:r>
          </w:p>
        </w:tc>
        <w:tc>
          <w:tcPr>
            <w:tcW w:w="765" w:type="pct"/>
            <w:vAlign w:val="center"/>
          </w:tcPr>
          <w:p w14:paraId="40F03B98">
            <w:pPr>
              <w:pStyle w:val="129"/>
              <w:widowControl w:val="0"/>
              <w:rPr>
                <w:color w:val="auto"/>
              </w:rPr>
            </w:pPr>
            <w:r>
              <w:rPr>
                <w:color w:val="auto"/>
              </w:rPr>
              <w:t>0.66</w:t>
            </w:r>
          </w:p>
        </w:tc>
        <w:tc>
          <w:tcPr>
            <w:tcW w:w="537" w:type="pct"/>
            <w:vMerge w:val="continue"/>
            <w:vAlign w:val="center"/>
          </w:tcPr>
          <w:p w14:paraId="5B2B06B1">
            <w:pPr>
              <w:pStyle w:val="129"/>
              <w:widowControl w:val="0"/>
              <w:rPr>
                <w:color w:val="auto"/>
              </w:rPr>
            </w:pPr>
          </w:p>
        </w:tc>
        <w:tc>
          <w:tcPr>
            <w:tcW w:w="489" w:type="pct"/>
            <w:vMerge w:val="continue"/>
            <w:vAlign w:val="center"/>
          </w:tcPr>
          <w:p w14:paraId="1CAC914A">
            <w:pPr>
              <w:pStyle w:val="129"/>
              <w:widowControl w:val="0"/>
              <w:rPr>
                <w:color w:val="auto"/>
              </w:rPr>
            </w:pPr>
          </w:p>
        </w:tc>
        <w:tc>
          <w:tcPr>
            <w:tcW w:w="428" w:type="pct"/>
            <w:vMerge w:val="continue"/>
            <w:vAlign w:val="center"/>
          </w:tcPr>
          <w:p w14:paraId="234E8752">
            <w:pPr>
              <w:pStyle w:val="129"/>
              <w:widowControl w:val="0"/>
              <w:rPr>
                <w:color w:val="auto"/>
              </w:rPr>
            </w:pPr>
          </w:p>
        </w:tc>
        <w:tc>
          <w:tcPr>
            <w:tcW w:w="588" w:type="pct"/>
            <w:vMerge w:val="continue"/>
            <w:vAlign w:val="center"/>
          </w:tcPr>
          <w:p w14:paraId="16AA1A8D">
            <w:pPr>
              <w:pStyle w:val="129"/>
              <w:widowControl w:val="0"/>
              <w:rPr>
                <w:color w:val="auto"/>
              </w:rPr>
            </w:pPr>
          </w:p>
        </w:tc>
        <w:tc>
          <w:tcPr>
            <w:tcW w:w="571" w:type="pct"/>
            <w:vAlign w:val="center"/>
          </w:tcPr>
          <w:p w14:paraId="16C94AD3">
            <w:pPr>
              <w:pStyle w:val="129"/>
              <w:widowControl w:val="0"/>
              <w:rPr>
                <w:color w:val="auto"/>
              </w:rPr>
            </w:pPr>
            <w:r>
              <w:rPr>
                <w:color w:val="auto"/>
              </w:rPr>
              <w:t>连续</w:t>
            </w:r>
          </w:p>
        </w:tc>
      </w:tr>
      <w:tr w14:paraId="1EA3125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42BCF667">
            <w:pPr>
              <w:pStyle w:val="129"/>
              <w:widowControl w:val="0"/>
              <w:rPr>
                <w:color w:val="auto"/>
              </w:rPr>
            </w:pPr>
            <w:r>
              <w:rPr>
                <w:rFonts w:hint="eastAsia" w:ascii="宋体" w:hAnsi="宋体" w:cs="宋体"/>
                <w:color w:val="auto"/>
              </w:rPr>
              <w:t>二氧化碳气</w:t>
            </w:r>
          </w:p>
        </w:tc>
        <w:tc>
          <w:tcPr>
            <w:tcW w:w="813" w:type="pct"/>
            <w:vAlign w:val="center"/>
          </w:tcPr>
          <w:p w14:paraId="6645B03F">
            <w:pPr>
              <w:pStyle w:val="129"/>
              <w:widowControl w:val="0"/>
              <w:rPr>
                <w:color w:val="auto"/>
              </w:rPr>
            </w:pPr>
            <w:r>
              <w:rPr>
                <w:rFonts w:hint="eastAsia"/>
                <w:color w:val="auto"/>
              </w:rPr>
              <w:t>CO</w:t>
            </w:r>
            <w:r>
              <w:rPr>
                <w:rFonts w:hint="eastAsia"/>
                <w:color w:val="auto"/>
                <w:vertAlign w:val="subscript"/>
              </w:rPr>
              <w:t>2</w:t>
            </w:r>
          </w:p>
        </w:tc>
        <w:tc>
          <w:tcPr>
            <w:tcW w:w="765" w:type="pct"/>
            <w:vAlign w:val="center"/>
          </w:tcPr>
          <w:p w14:paraId="1A875122">
            <w:pPr>
              <w:pStyle w:val="129"/>
              <w:widowControl w:val="0"/>
              <w:rPr>
                <w:color w:val="auto"/>
              </w:rPr>
            </w:pPr>
            <w:r>
              <w:rPr>
                <w:color w:val="auto"/>
              </w:rPr>
              <w:t>110.89</w:t>
            </w:r>
          </w:p>
        </w:tc>
        <w:tc>
          <w:tcPr>
            <w:tcW w:w="537" w:type="pct"/>
            <w:vMerge w:val="restart"/>
            <w:vAlign w:val="center"/>
          </w:tcPr>
          <w:p w14:paraId="54403C93">
            <w:pPr>
              <w:pStyle w:val="129"/>
              <w:widowControl w:val="0"/>
              <w:rPr>
                <w:color w:val="auto"/>
              </w:rPr>
            </w:pPr>
            <w:r>
              <w:rPr>
                <w:rFonts w:hint="eastAsia"/>
                <w:color w:val="auto"/>
              </w:rPr>
              <w:t>30</w:t>
            </w:r>
          </w:p>
        </w:tc>
        <w:tc>
          <w:tcPr>
            <w:tcW w:w="489" w:type="pct"/>
            <w:vMerge w:val="restart"/>
            <w:vAlign w:val="center"/>
          </w:tcPr>
          <w:p w14:paraId="3F60A839">
            <w:pPr>
              <w:pStyle w:val="129"/>
              <w:widowControl w:val="0"/>
              <w:rPr>
                <w:color w:val="auto"/>
              </w:rPr>
            </w:pPr>
            <w:r>
              <w:rPr>
                <w:rFonts w:hint="eastAsia"/>
                <w:color w:val="auto"/>
              </w:rPr>
              <w:t>0.03</w:t>
            </w:r>
          </w:p>
        </w:tc>
        <w:tc>
          <w:tcPr>
            <w:tcW w:w="428" w:type="pct"/>
            <w:vMerge w:val="restart"/>
            <w:vAlign w:val="center"/>
          </w:tcPr>
          <w:p w14:paraId="7A225DDB">
            <w:pPr>
              <w:pStyle w:val="129"/>
              <w:widowControl w:val="0"/>
              <w:rPr>
                <w:color w:val="auto"/>
              </w:rPr>
            </w:pPr>
            <w:r>
              <w:rPr>
                <w:rFonts w:hint="eastAsia"/>
                <w:color w:val="auto"/>
              </w:rPr>
              <w:t>17</w:t>
            </w:r>
          </w:p>
        </w:tc>
        <w:tc>
          <w:tcPr>
            <w:tcW w:w="588" w:type="pct"/>
            <w:vMerge w:val="restart"/>
            <w:vAlign w:val="center"/>
          </w:tcPr>
          <w:p w14:paraId="1377A1E2">
            <w:pPr>
              <w:pStyle w:val="129"/>
              <w:widowControl w:val="0"/>
              <w:rPr>
                <w:color w:val="auto"/>
              </w:rPr>
            </w:pPr>
            <w:r>
              <w:rPr>
                <w:color w:val="auto"/>
              </w:rPr>
              <w:t>57</w:t>
            </w:r>
          </w:p>
        </w:tc>
        <w:tc>
          <w:tcPr>
            <w:tcW w:w="571" w:type="pct"/>
            <w:vAlign w:val="center"/>
          </w:tcPr>
          <w:p w14:paraId="6F8A105F">
            <w:pPr>
              <w:pStyle w:val="129"/>
              <w:widowControl w:val="0"/>
              <w:rPr>
                <w:color w:val="auto"/>
              </w:rPr>
            </w:pPr>
            <w:r>
              <w:rPr>
                <w:color w:val="auto"/>
              </w:rPr>
              <w:t>连续</w:t>
            </w:r>
          </w:p>
        </w:tc>
      </w:tr>
      <w:tr w14:paraId="6FAD65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7103309A">
            <w:pPr>
              <w:pStyle w:val="129"/>
              <w:widowControl w:val="0"/>
              <w:rPr>
                <w:color w:val="auto"/>
              </w:rPr>
            </w:pPr>
          </w:p>
        </w:tc>
        <w:tc>
          <w:tcPr>
            <w:tcW w:w="813" w:type="pct"/>
            <w:vAlign w:val="center"/>
          </w:tcPr>
          <w:p w14:paraId="226C691A">
            <w:pPr>
              <w:pStyle w:val="129"/>
              <w:widowControl w:val="0"/>
              <w:rPr>
                <w:color w:val="auto"/>
              </w:rPr>
            </w:pPr>
            <w:r>
              <w:rPr>
                <w:rFonts w:hint="eastAsia"/>
                <w:color w:val="auto"/>
              </w:rPr>
              <w:t>H</w:t>
            </w:r>
            <w:r>
              <w:rPr>
                <w:rFonts w:hint="eastAsia"/>
                <w:color w:val="auto"/>
                <w:vertAlign w:val="subscript"/>
              </w:rPr>
              <w:t>2</w:t>
            </w:r>
            <w:r>
              <w:rPr>
                <w:rFonts w:hint="eastAsia"/>
                <w:color w:val="auto"/>
              </w:rPr>
              <w:t>S</w:t>
            </w:r>
          </w:p>
        </w:tc>
        <w:tc>
          <w:tcPr>
            <w:tcW w:w="765" w:type="pct"/>
            <w:vAlign w:val="center"/>
          </w:tcPr>
          <w:p w14:paraId="3408C650">
            <w:pPr>
              <w:pStyle w:val="129"/>
              <w:widowControl w:val="0"/>
              <w:rPr>
                <w:color w:val="auto"/>
              </w:rPr>
            </w:pPr>
            <w:r>
              <w:rPr>
                <w:color w:val="auto"/>
              </w:rPr>
              <w:t>0.000005</w:t>
            </w:r>
          </w:p>
        </w:tc>
        <w:tc>
          <w:tcPr>
            <w:tcW w:w="537" w:type="pct"/>
            <w:vMerge w:val="continue"/>
            <w:vAlign w:val="center"/>
          </w:tcPr>
          <w:p w14:paraId="4FACC9EC">
            <w:pPr>
              <w:pStyle w:val="129"/>
              <w:widowControl w:val="0"/>
              <w:rPr>
                <w:color w:val="auto"/>
              </w:rPr>
            </w:pPr>
          </w:p>
        </w:tc>
        <w:tc>
          <w:tcPr>
            <w:tcW w:w="489" w:type="pct"/>
            <w:vMerge w:val="continue"/>
            <w:vAlign w:val="center"/>
          </w:tcPr>
          <w:p w14:paraId="32CB3AED">
            <w:pPr>
              <w:pStyle w:val="129"/>
              <w:widowControl w:val="0"/>
              <w:rPr>
                <w:color w:val="auto"/>
              </w:rPr>
            </w:pPr>
          </w:p>
        </w:tc>
        <w:tc>
          <w:tcPr>
            <w:tcW w:w="428" w:type="pct"/>
            <w:vMerge w:val="continue"/>
            <w:vAlign w:val="center"/>
          </w:tcPr>
          <w:p w14:paraId="39A067EC">
            <w:pPr>
              <w:pStyle w:val="129"/>
              <w:widowControl w:val="0"/>
              <w:rPr>
                <w:color w:val="auto"/>
              </w:rPr>
            </w:pPr>
          </w:p>
        </w:tc>
        <w:tc>
          <w:tcPr>
            <w:tcW w:w="588" w:type="pct"/>
            <w:vMerge w:val="continue"/>
            <w:vAlign w:val="center"/>
          </w:tcPr>
          <w:p w14:paraId="59BF89B2">
            <w:pPr>
              <w:pStyle w:val="129"/>
              <w:widowControl w:val="0"/>
              <w:rPr>
                <w:color w:val="auto"/>
              </w:rPr>
            </w:pPr>
          </w:p>
        </w:tc>
        <w:tc>
          <w:tcPr>
            <w:tcW w:w="571" w:type="pct"/>
            <w:vAlign w:val="center"/>
          </w:tcPr>
          <w:p w14:paraId="24125E03">
            <w:pPr>
              <w:pStyle w:val="129"/>
              <w:widowControl w:val="0"/>
              <w:rPr>
                <w:color w:val="auto"/>
              </w:rPr>
            </w:pPr>
            <w:r>
              <w:rPr>
                <w:color w:val="auto"/>
              </w:rPr>
              <w:t>连续</w:t>
            </w:r>
          </w:p>
        </w:tc>
      </w:tr>
      <w:tr w14:paraId="63F2965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Align w:val="center"/>
          </w:tcPr>
          <w:p w14:paraId="6A1F3D27">
            <w:pPr>
              <w:pStyle w:val="129"/>
              <w:widowControl w:val="0"/>
              <w:rPr>
                <w:color w:val="auto"/>
              </w:rPr>
            </w:pPr>
            <w:r>
              <w:rPr>
                <w:rFonts w:hint="eastAsia" w:ascii="宋体" w:hAnsi="宋体" w:cs="宋体"/>
                <w:color w:val="auto"/>
              </w:rPr>
              <w:t>碳酸钠干燥包装排口</w:t>
            </w:r>
          </w:p>
        </w:tc>
        <w:tc>
          <w:tcPr>
            <w:tcW w:w="813" w:type="pct"/>
            <w:vAlign w:val="center"/>
          </w:tcPr>
          <w:p w14:paraId="4B79DF34">
            <w:pPr>
              <w:pStyle w:val="129"/>
              <w:widowControl w:val="0"/>
              <w:rPr>
                <w:color w:val="auto"/>
              </w:rPr>
            </w:pPr>
            <w:r>
              <w:rPr>
                <w:rFonts w:hint="eastAsia" w:ascii="宋体" w:hAnsi="宋体" w:cs="宋体"/>
                <w:color w:val="auto"/>
              </w:rPr>
              <w:t>颗粒物</w:t>
            </w:r>
          </w:p>
        </w:tc>
        <w:tc>
          <w:tcPr>
            <w:tcW w:w="765" w:type="pct"/>
            <w:vAlign w:val="center"/>
          </w:tcPr>
          <w:p w14:paraId="1D74A629">
            <w:pPr>
              <w:pStyle w:val="129"/>
              <w:widowControl w:val="0"/>
              <w:rPr>
                <w:color w:val="auto"/>
              </w:rPr>
            </w:pPr>
            <w:r>
              <w:rPr>
                <w:color w:val="auto"/>
              </w:rPr>
              <w:t>0.02</w:t>
            </w:r>
          </w:p>
        </w:tc>
        <w:tc>
          <w:tcPr>
            <w:tcW w:w="537" w:type="pct"/>
            <w:vAlign w:val="center"/>
          </w:tcPr>
          <w:p w14:paraId="1F172553">
            <w:pPr>
              <w:pStyle w:val="129"/>
              <w:widowControl w:val="0"/>
              <w:rPr>
                <w:color w:val="auto"/>
              </w:rPr>
            </w:pPr>
            <w:r>
              <w:rPr>
                <w:rFonts w:hint="eastAsia"/>
                <w:color w:val="auto"/>
              </w:rPr>
              <w:t>40</w:t>
            </w:r>
          </w:p>
        </w:tc>
        <w:tc>
          <w:tcPr>
            <w:tcW w:w="489" w:type="pct"/>
            <w:vAlign w:val="center"/>
          </w:tcPr>
          <w:p w14:paraId="55FF9DFE">
            <w:pPr>
              <w:pStyle w:val="129"/>
              <w:widowControl w:val="0"/>
              <w:rPr>
                <w:color w:val="auto"/>
              </w:rPr>
            </w:pPr>
            <w:r>
              <w:rPr>
                <w:rFonts w:hint="eastAsia"/>
                <w:color w:val="auto"/>
              </w:rPr>
              <w:t>0.3</w:t>
            </w:r>
          </w:p>
        </w:tc>
        <w:tc>
          <w:tcPr>
            <w:tcW w:w="428" w:type="pct"/>
            <w:vAlign w:val="center"/>
          </w:tcPr>
          <w:p w14:paraId="4A5D05FE">
            <w:pPr>
              <w:pStyle w:val="129"/>
              <w:widowControl w:val="0"/>
              <w:rPr>
                <w:color w:val="auto"/>
              </w:rPr>
            </w:pPr>
            <w:r>
              <w:rPr>
                <w:rFonts w:hint="eastAsia"/>
                <w:color w:val="auto"/>
              </w:rPr>
              <w:t>17</w:t>
            </w:r>
          </w:p>
        </w:tc>
        <w:tc>
          <w:tcPr>
            <w:tcW w:w="588" w:type="pct"/>
            <w:vAlign w:val="center"/>
          </w:tcPr>
          <w:p w14:paraId="6DBBD09D">
            <w:pPr>
              <w:pStyle w:val="129"/>
              <w:widowControl w:val="0"/>
              <w:rPr>
                <w:color w:val="auto"/>
              </w:rPr>
            </w:pPr>
            <w:r>
              <w:rPr>
                <w:color w:val="auto"/>
              </w:rPr>
              <w:t>3000</w:t>
            </w:r>
          </w:p>
        </w:tc>
        <w:tc>
          <w:tcPr>
            <w:tcW w:w="571" w:type="pct"/>
            <w:vAlign w:val="center"/>
          </w:tcPr>
          <w:p w14:paraId="593F1417">
            <w:pPr>
              <w:pStyle w:val="129"/>
              <w:widowControl w:val="0"/>
              <w:rPr>
                <w:color w:val="auto"/>
              </w:rPr>
            </w:pPr>
            <w:r>
              <w:rPr>
                <w:color w:val="auto"/>
              </w:rPr>
              <w:t>连续</w:t>
            </w:r>
          </w:p>
        </w:tc>
      </w:tr>
      <w:tr w14:paraId="724EAC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6C7E553B">
            <w:pPr>
              <w:pStyle w:val="129"/>
              <w:widowControl w:val="0"/>
              <w:rPr>
                <w:color w:val="auto"/>
              </w:rPr>
            </w:pPr>
            <w:r>
              <w:rPr>
                <w:rFonts w:hint="eastAsia" w:ascii="宋体" w:hAnsi="宋体" w:cs="宋体"/>
                <w:color w:val="auto"/>
              </w:rPr>
              <w:t>水铝石干燥包装排口</w:t>
            </w:r>
          </w:p>
        </w:tc>
        <w:tc>
          <w:tcPr>
            <w:tcW w:w="813" w:type="pct"/>
            <w:vAlign w:val="center"/>
          </w:tcPr>
          <w:p w14:paraId="4598992A">
            <w:pPr>
              <w:pStyle w:val="129"/>
              <w:widowControl w:val="0"/>
              <w:rPr>
                <w:color w:val="auto"/>
              </w:rPr>
            </w:pPr>
            <w:r>
              <w:rPr>
                <w:rFonts w:hint="eastAsia" w:ascii="宋体" w:hAnsi="宋体" w:cs="宋体"/>
                <w:color w:val="auto"/>
              </w:rPr>
              <w:t>颗粒物</w:t>
            </w:r>
          </w:p>
        </w:tc>
        <w:tc>
          <w:tcPr>
            <w:tcW w:w="765" w:type="pct"/>
            <w:vAlign w:val="center"/>
          </w:tcPr>
          <w:p w14:paraId="0A38CD48">
            <w:pPr>
              <w:pStyle w:val="129"/>
              <w:widowControl w:val="0"/>
              <w:rPr>
                <w:color w:val="auto"/>
              </w:rPr>
            </w:pPr>
            <w:r>
              <w:rPr>
                <w:color w:val="auto"/>
              </w:rPr>
              <w:t>0.12</w:t>
            </w:r>
          </w:p>
        </w:tc>
        <w:tc>
          <w:tcPr>
            <w:tcW w:w="537" w:type="pct"/>
            <w:vMerge w:val="restart"/>
            <w:vAlign w:val="center"/>
          </w:tcPr>
          <w:p w14:paraId="402801A6">
            <w:pPr>
              <w:pStyle w:val="129"/>
              <w:widowControl w:val="0"/>
              <w:rPr>
                <w:color w:val="auto"/>
              </w:rPr>
            </w:pPr>
            <w:r>
              <w:rPr>
                <w:rFonts w:hint="eastAsia"/>
                <w:color w:val="auto"/>
              </w:rPr>
              <w:t>40</w:t>
            </w:r>
          </w:p>
        </w:tc>
        <w:tc>
          <w:tcPr>
            <w:tcW w:w="489" w:type="pct"/>
            <w:vMerge w:val="restart"/>
            <w:vAlign w:val="center"/>
          </w:tcPr>
          <w:p w14:paraId="59D40383">
            <w:pPr>
              <w:pStyle w:val="129"/>
              <w:widowControl w:val="0"/>
              <w:rPr>
                <w:color w:val="auto"/>
              </w:rPr>
            </w:pPr>
            <w:r>
              <w:rPr>
                <w:rFonts w:hint="eastAsia"/>
                <w:color w:val="auto"/>
              </w:rPr>
              <w:t>1</w:t>
            </w:r>
          </w:p>
        </w:tc>
        <w:tc>
          <w:tcPr>
            <w:tcW w:w="428" w:type="pct"/>
            <w:vMerge w:val="restart"/>
            <w:vAlign w:val="center"/>
          </w:tcPr>
          <w:p w14:paraId="359799FF">
            <w:pPr>
              <w:pStyle w:val="129"/>
              <w:widowControl w:val="0"/>
              <w:rPr>
                <w:color w:val="auto"/>
              </w:rPr>
            </w:pPr>
            <w:r>
              <w:rPr>
                <w:rFonts w:hint="eastAsia"/>
                <w:color w:val="auto"/>
              </w:rPr>
              <w:t>17</w:t>
            </w:r>
          </w:p>
        </w:tc>
        <w:tc>
          <w:tcPr>
            <w:tcW w:w="588" w:type="pct"/>
            <w:vMerge w:val="restart"/>
            <w:vAlign w:val="center"/>
          </w:tcPr>
          <w:p w14:paraId="13FBAA93">
            <w:pPr>
              <w:pStyle w:val="129"/>
              <w:widowControl w:val="0"/>
              <w:rPr>
                <w:color w:val="auto"/>
              </w:rPr>
            </w:pPr>
            <w:r>
              <w:rPr>
                <w:color w:val="auto"/>
              </w:rPr>
              <w:t>36000</w:t>
            </w:r>
          </w:p>
        </w:tc>
        <w:tc>
          <w:tcPr>
            <w:tcW w:w="571" w:type="pct"/>
            <w:vAlign w:val="center"/>
          </w:tcPr>
          <w:p w14:paraId="38CB8233">
            <w:pPr>
              <w:pStyle w:val="129"/>
              <w:widowControl w:val="0"/>
              <w:rPr>
                <w:color w:val="auto"/>
              </w:rPr>
            </w:pPr>
            <w:r>
              <w:rPr>
                <w:color w:val="auto"/>
              </w:rPr>
              <w:t>连续</w:t>
            </w:r>
          </w:p>
        </w:tc>
      </w:tr>
      <w:tr w14:paraId="2B78C58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4F3214C5">
            <w:pPr>
              <w:pStyle w:val="129"/>
              <w:widowControl w:val="0"/>
              <w:rPr>
                <w:color w:val="auto"/>
              </w:rPr>
            </w:pPr>
          </w:p>
        </w:tc>
        <w:tc>
          <w:tcPr>
            <w:tcW w:w="813" w:type="pct"/>
            <w:vAlign w:val="center"/>
          </w:tcPr>
          <w:p w14:paraId="4F53B264">
            <w:pPr>
              <w:pStyle w:val="129"/>
              <w:widowControl w:val="0"/>
              <w:rPr>
                <w:color w:val="auto"/>
              </w:rPr>
            </w:pPr>
            <w:r>
              <w:rPr>
                <w:rStyle w:val="1313"/>
                <w:rFonts w:hint="default" w:ascii="Times New Roman" w:hAnsi="Times New Roman" w:cs="Times New Roman"/>
                <w:color w:val="auto"/>
              </w:rPr>
              <w:t>SO</w:t>
            </w:r>
            <w:r>
              <w:rPr>
                <w:rStyle w:val="1485"/>
                <w:rFonts w:hint="default" w:ascii="Times New Roman" w:hAnsi="Times New Roman"/>
                <w:color w:val="auto"/>
                <w:sz w:val="21"/>
                <w:szCs w:val="21"/>
                <w:vertAlign w:val="subscript"/>
              </w:rPr>
              <w:t>2</w:t>
            </w:r>
          </w:p>
        </w:tc>
        <w:tc>
          <w:tcPr>
            <w:tcW w:w="765" w:type="pct"/>
            <w:vAlign w:val="center"/>
          </w:tcPr>
          <w:p w14:paraId="58EF8496">
            <w:pPr>
              <w:pStyle w:val="129"/>
              <w:widowControl w:val="0"/>
              <w:rPr>
                <w:color w:val="auto"/>
              </w:rPr>
            </w:pPr>
            <w:r>
              <w:rPr>
                <w:color w:val="auto"/>
              </w:rPr>
              <w:t>0.01</w:t>
            </w:r>
          </w:p>
        </w:tc>
        <w:tc>
          <w:tcPr>
            <w:tcW w:w="537" w:type="pct"/>
            <w:vMerge w:val="continue"/>
            <w:vAlign w:val="center"/>
          </w:tcPr>
          <w:p w14:paraId="77BE5BA9">
            <w:pPr>
              <w:pStyle w:val="129"/>
              <w:widowControl w:val="0"/>
              <w:rPr>
                <w:color w:val="auto"/>
              </w:rPr>
            </w:pPr>
          </w:p>
        </w:tc>
        <w:tc>
          <w:tcPr>
            <w:tcW w:w="489" w:type="pct"/>
            <w:vMerge w:val="continue"/>
            <w:vAlign w:val="center"/>
          </w:tcPr>
          <w:p w14:paraId="5CCF552F">
            <w:pPr>
              <w:pStyle w:val="129"/>
              <w:widowControl w:val="0"/>
              <w:rPr>
                <w:color w:val="auto"/>
              </w:rPr>
            </w:pPr>
          </w:p>
        </w:tc>
        <w:tc>
          <w:tcPr>
            <w:tcW w:w="428" w:type="pct"/>
            <w:vMerge w:val="continue"/>
            <w:vAlign w:val="center"/>
          </w:tcPr>
          <w:p w14:paraId="1903D068">
            <w:pPr>
              <w:pStyle w:val="129"/>
              <w:widowControl w:val="0"/>
              <w:rPr>
                <w:color w:val="auto"/>
              </w:rPr>
            </w:pPr>
          </w:p>
        </w:tc>
        <w:tc>
          <w:tcPr>
            <w:tcW w:w="588" w:type="pct"/>
            <w:vMerge w:val="continue"/>
            <w:vAlign w:val="center"/>
          </w:tcPr>
          <w:p w14:paraId="425EE193">
            <w:pPr>
              <w:pStyle w:val="129"/>
              <w:widowControl w:val="0"/>
              <w:rPr>
                <w:color w:val="auto"/>
              </w:rPr>
            </w:pPr>
          </w:p>
        </w:tc>
        <w:tc>
          <w:tcPr>
            <w:tcW w:w="571" w:type="pct"/>
            <w:vAlign w:val="center"/>
          </w:tcPr>
          <w:p w14:paraId="4D009C4B">
            <w:pPr>
              <w:pStyle w:val="129"/>
              <w:widowControl w:val="0"/>
              <w:rPr>
                <w:color w:val="auto"/>
              </w:rPr>
            </w:pPr>
            <w:r>
              <w:rPr>
                <w:color w:val="auto"/>
              </w:rPr>
              <w:t>连续</w:t>
            </w:r>
          </w:p>
        </w:tc>
      </w:tr>
      <w:tr w14:paraId="53B2021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533FD065">
            <w:pPr>
              <w:pStyle w:val="129"/>
              <w:widowControl w:val="0"/>
              <w:rPr>
                <w:color w:val="auto"/>
              </w:rPr>
            </w:pPr>
          </w:p>
        </w:tc>
        <w:tc>
          <w:tcPr>
            <w:tcW w:w="813" w:type="pct"/>
            <w:vAlign w:val="center"/>
          </w:tcPr>
          <w:p w14:paraId="522A9D8A">
            <w:pPr>
              <w:pStyle w:val="129"/>
              <w:widowControl w:val="0"/>
              <w:rPr>
                <w:color w:val="auto"/>
              </w:rPr>
            </w:pPr>
            <w:r>
              <w:rPr>
                <w:rStyle w:val="1313"/>
                <w:rFonts w:hint="default" w:ascii="Times New Roman" w:hAnsi="Times New Roman" w:cs="Times New Roman"/>
                <w:color w:val="auto"/>
              </w:rPr>
              <w:t>NO</w:t>
            </w:r>
            <w:r>
              <w:rPr>
                <w:rStyle w:val="1485"/>
                <w:rFonts w:hint="default" w:ascii="Times New Roman" w:hAnsi="Times New Roman"/>
                <w:color w:val="auto"/>
                <w:sz w:val="21"/>
                <w:szCs w:val="21"/>
                <w:vertAlign w:val="subscript"/>
              </w:rPr>
              <w:t>X</w:t>
            </w:r>
          </w:p>
        </w:tc>
        <w:tc>
          <w:tcPr>
            <w:tcW w:w="765" w:type="pct"/>
            <w:vAlign w:val="center"/>
          </w:tcPr>
          <w:p w14:paraId="47EA91B9">
            <w:pPr>
              <w:pStyle w:val="129"/>
              <w:widowControl w:val="0"/>
              <w:rPr>
                <w:color w:val="auto"/>
              </w:rPr>
            </w:pPr>
            <w:r>
              <w:rPr>
                <w:color w:val="auto"/>
              </w:rPr>
              <w:t>0.15</w:t>
            </w:r>
          </w:p>
        </w:tc>
        <w:tc>
          <w:tcPr>
            <w:tcW w:w="537" w:type="pct"/>
            <w:vMerge w:val="continue"/>
            <w:vAlign w:val="center"/>
          </w:tcPr>
          <w:p w14:paraId="0CE530D7">
            <w:pPr>
              <w:pStyle w:val="129"/>
              <w:widowControl w:val="0"/>
              <w:rPr>
                <w:color w:val="auto"/>
              </w:rPr>
            </w:pPr>
          </w:p>
        </w:tc>
        <w:tc>
          <w:tcPr>
            <w:tcW w:w="489" w:type="pct"/>
            <w:vMerge w:val="continue"/>
            <w:vAlign w:val="center"/>
          </w:tcPr>
          <w:p w14:paraId="4F8F5849">
            <w:pPr>
              <w:pStyle w:val="129"/>
              <w:widowControl w:val="0"/>
              <w:rPr>
                <w:color w:val="auto"/>
              </w:rPr>
            </w:pPr>
          </w:p>
        </w:tc>
        <w:tc>
          <w:tcPr>
            <w:tcW w:w="428" w:type="pct"/>
            <w:vMerge w:val="continue"/>
            <w:vAlign w:val="center"/>
          </w:tcPr>
          <w:p w14:paraId="493ABA7E">
            <w:pPr>
              <w:pStyle w:val="129"/>
              <w:widowControl w:val="0"/>
              <w:rPr>
                <w:color w:val="auto"/>
              </w:rPr>
            </w:pPr>
          </w:p>
        </w:tc>
        <w:tc>
          <w:tcPr>
            <w:tcW w:w="588" w:type="pct"/>
            <w:vMerge w:val="continue"/>
            <w:vAlign w:val="center"/>
          </w:tcPr>
          <w:p w14:paraId="6D1142AC">
            <w:pPr>
              <w:pStyle w:val="129"/>
              <w:widowControl w:val="0"/>
              <w:rPr>
                <w:color w:val="auto"/>
              </w:rPr>
            </w:pPr>
          </w:p>
        </w:tc>
        <w:tc>
          <w:tcPr>
            <w:tcW w:w="571" w:type="pct"/>
            <w:vAlign w:val="center"/>
          </w:tcPr>
          <w:p w14:paraId="4A37A497">
            <w:pPr>
              <w:pStyle w:val="129"/>
              <w:widowControl w:val="0"/>
              <w:rPr>
                <w:color w:val="auto"/>
              </w:rPr>
            </w:pPr>
            <w:r>
              <w:rPr>
                <w:color w:val="auto"/>
              </w:rPr>
              <w:t>连续</w:t>
            </w:r>
          </w:p>
        </w:tc>
      </w:tr>
      <w:tr w14:paraId="00C5C1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6F07AA0F">
            <w:pPr>
              <w:pStyle w:val="129"/>
              <w:widowControl w:val="0"/>
              <w:rPr>
                <w:color w:val="auto"/>
              </w:rPr>
            </w:pPr>
            <w:r>
              <w:rPr>
                <w:rFonts w:hint="eastAsia" w:ascii="宋体" w:hAnsi="宋体" w:cs="宋体"/>
                <w:color w:val="auto"/>
              </w:rPr>
              <w:t>催化剂生产干燥废气总排口</w:t>
            </w:r>
          </w:p>
        </w:tc>
        <w:tc>
          <w:tcPr>
            <w:tcW w:w="813" w:type="pct"/>
            <w:vAlign w:val="center"/>
          </w:tcPr>
          <w:p w14:paraId="14140301">
            <w:pPr>
              <w:pStyle w:val="129"/>
              <w:widowControl w:val="0"/>
              <w:rPr>
                <w:color w:val="auto"/>
              </w:rPr>
            </w:pPr>
            <w:r>
              <w:rPr>
                <w:rFonts w:hint="eastAsia"/>
                <w:color w:val="auto"/>
              </w:rPr>
              <w:t>颗粒物</w:t>
            </w:r>
          </w:p>
        </w:tc>
        <w:tc>
          <w:tcPr>
            <w:tcW w:w="765" w:type="pct"/>
            <w:vAlign w:val="center"/>
          </w:tcPr>
          <w:p w14:paraId="5EC3F316">
            <w:pPr>
              <w:pStyle w:val="129"/>
              <w:widowControl w:val="0"/>
              <w:rPr>
                <w:color w:val="auto"/>
              </w:rPr>
            </w:pPr>
            <w:r>
              <w:rPr>
                <w:color w:val="auto"/>
              </w:rPr>
              <w:t>0.44</w:t>
            </w:r>
          </w:p>
        </w:tc>
        <w:tc>
          <w:tcPr>
            <w:tcW w:w="537" w:type="pct"/>
            <w:vMerge w:val="restart"/>
            <w:vAlign w:val="center"/>
          </w:tcPr>
          <w:p w14:paraId="1E5175E6">
            <w:pPr>
              <w:pStyle w:val="129"/>
              <w:widowControl w:val="0"/>
              <w:rPr>
                <w:color w:val="auto"/>
              </w:rPr>
            </w:pPr>
            <w:r>
              <w:rPr>
                <w:rFonts w:hint="eastAsia"/>
                <w:color w:val="auto"/>
              </w:rPr>
              <w:t>65</w:t>
            </w:r>
          </w:p>
        </w:tc>
        <w:tc>
          <w:tcPr>
            <w:tcW w:w="489" w:type="pct"/>
            <w:vMerge w:val="restart"/>
            <w:vAlign w:val="center"/>
          </w:tcPr>
          <w:p w14:paraId="3624C967">
            <w:pPr>
              <w:pStyle w:val="129"/>
              <w:widowControl w:val="0"/>
              <w:rPr>
                <w:color w:val="auto"/>
              </w:rPr>
            </w:pPr>
            <w:r>
              <w:rPr>
                <w:rFonts w:hint="eastAsia"/>
                <w:color w:val="auto"/>
              </w:rPr>
              <w:t>1</w:t>
            </w:r>
          </w:p>
        </w:tc>
        <w:tc>
          <w:tcPr>
            <w:tcW w:w="428" w:type="pct"/>
            <w:vMerge w:val="restart"/>
            <w:vAlign w:val="center"/>
          </w:tcPr>
          <w:p w14:paraId="3C4F4DE2">
            <w:pPr>
              <w:pStyle w:val="129"/>
              <w:widowControl w:val="0"/>
              <w:rPr>
                <w:color w:val="auto"/>
              </w:rPr>
            </w:pPr>
            <w:r>
              <w:rPr>
                <w:rFonts w:hint="eastAsia"/>
                <w:color w:val="auto"/>
              </w:rPr>
              <w:t>17</w:t>
            </w:r>
          </w:p>
        </w:tc>
        <w:tc>
          <w:tcPr>
            <w:tcW w:w="588" w:type="pct"/>
            <w:vMerge w:val="restart"/>
            <w:vAlign w:val="center"/>
          </w:tcPr>
          <w:p w14:paraId="496BAC4B">
            <w:pPr>
              <w:pStyle w:val="129"/>
              <w:widowControl w:val="0"/>
              <w:rPr>
                <w:color w:val="auto"/>
              </w:rPr>
            </w:pPr>
            <w:r>
              <w:rPr>
                <w:color w:val="auto"/>
              </w:rPr>
              <w:t>46396</w:t>
            </w:r>
          </w:p>
        </w:tc>
        <w:tc>
          <w:tcPr>
            <w:tcW w:w="571" w:type="pct"/>
            <w:vAlign w:val="center"/>
          </w:tcPr>
          <w:p w14:paraId="42BDA73E">
            <w:pPr>
              <w:pStyle w:val="129"/>
              <w:widowControl w:val="0"/>
              <w:rPr>
                <w:color w:val="auto"/>
              </w:rPr>
            </w:pPr>
            <w:r>
              <w:rPr>
                <w:color w:val="auto"/>
              </w:rPr>
              <w:t>连续</w:t>
            </w:r>
          </w:p>
        </w:tc>
      </w:tr>
      <w:tr w14:paraId="05451E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3DAB8BBC">
            <w:pPr>
              <w:pStyle w:val="129"/>
              <w:widowControl w:val="0"/>
              <w:rPr>
                <w:color w:val="auto"/>
              </w:rPr>
            </w:pPr>
          </w:p>
        </w:tc>
        <w:tc>
          <w:tcPr>
            <w:tcW w:w="813" w:type="pct"/>
            <w:vAlign w:val="center"/>
          </w:tcPr>
          <w:p w14:paraId="791C9192">
            <w:pPr>
              <w:pStyle w:val="129"/>
              <w:widowControl w:val="0"/>
              <w:rPr>
                <w:color w:val="auto"/>
              </w:rPr>
            </w:pPr>
            <w:r>
              <w:rPr>
                <w:color w:val="auto"/>
              </w:rPr>
              <w:t>SO</w:t>
            </w:r>
            <w:r>
              <w:rPr>
                <w:color w:val="auto"/>
                <w:vertAlign w:val="subscript"/>
              </w:rPr>
              <w:t>2</w:t>
            </w:r>
          </w:p>
        </w:tc>
        <w:tc>
          <w:tcPr>
            <w:tcW w:w="765" w:type="pct"/>
            <w:vAlign w:val="center"/>
          </w:tcPr>
          <w:p w14:paraId="58099762">
            <w:pPr>
              <w:pStyle w:val="129"/>
              <w:widowControl w:val="0"/>
              <w:rPr>
                <w:color w:val="auto"/>
              </w:rPr>
            </w:pPr>
            <w:r>
              <w:rPr>
                <w:color w:val="auto"/>
              </w:rPr>
              <w:t>0.02</w:t>
            </w:r>
          </w:p>
        </w:tc>
        <w:tc>
          <w:tcPr>
            <w:tcW w:w="537" w:type="pct"/>
            <w:vMerge w:val="continue"/>
            <w:vAlign w:val="center"/>
          </w:tcPr>
          <w:p w14:paraId="0301627F">
            <w:pPr>
              <w:pStyle w:val="129"/>
              <w:widowControl w:val="0"/>
              <w:rPr>
                <w:color w:val="auto"/>
              </w:rPr>
            </w:pPr>
          </w:p>
        </w:tc>
        <w:tc>
          <w:tcPr>
            <w:tcW w:w="489" w:type="pct"/>
            <w:vMerge w:val="continue"/>
            <w:vAlign w:val="center"/>
          </w:tcPr>
          <w:p w14:paraId="672C5815">
            <w:pPr>
              <w:pStyle w:val="129"/>
              <w:widowControl w:val="0"/>
              <w:rPr>
                <w:color w:val="auto"/>
              </w:rPr>
            </w:pPr>
          </w:p>
        </w:tc>
        <w:tc>
          <w:tcPr>
            <w:tcW w:w="428" w:type="pct"/>
            <w:vMerge w:val="continue"/>
            <w:vAlign w:val="center"/>
          </w:tcPr>
          <w:p w14:paraId="2B3C1571">
            <w:pPr>
              <w:pStyle w:val="129"/>
              <w:widowControl w:val="0"/>
              <w:rPr>
                <w:color w:val="auto"/>
              </w:rPr>
            </w:pPr>
          </w:p>
        </w:tc>
        <w:tc>
          <w:tcPr>
            <w:tcW w:w="588" w:type="pct"/>
            <w:vMerge w:val="continue"/>
            <w:vAlign w:val="center"/>
          </w:tcPr>
          <w:p w14:paraId="3B0F6B8A">
            <w:pPr>
              <w:pStyle w:val="129"/>
              <w:widowControl w:val="0"/>
              <w:rPr>
                <w:color w:val="auto"/>
              </w:rPr>
            </w:pPr>
          </w:p>
        </w:tc>
        <w:tc>
          <w:tcPr>
            <w:tcW w:w="571" w:type="pct"/>
            <w:vAlign w:val="center"/>
          </w:tcPr>
          <w:p w14:paraId="599D5EA7">
            <w:pPr>
              <w:pStyle w:val="129"/>
              <w:widowControl w:val="0"/>
              <w:rPr>
                <w:color w:val="auto"/>
              </w:rPr>
            </w:pPr>
            <w:r>
              <w:rPr>
                <w:color w:val="auto"/>
              </w:rPr>
              <w:t>连续</w:t>
            </w:r>
          </w:p>
        </w:tc>
      </w:tr>
      <w:tr w14:paraId="312621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47AF5184">
            <w:pPr>
              <w:pStyle w:val="129"/>
              <w:widowControl w:val="0"/>
              <w:rPr>
                <w:color w:val="auto"/>
              </w:rPr>
            </w:pPr>
          </w:p>
        </w:tc>
        <w:tc>
          <w:tcPr>
            <w:tcW w:w="813" w:type="pct"/>
            <w:vAlign w:val="center"/>
          </w:tcPr>
          <w:p w14:paraId="2BD6FFF5">
            <w:pPr>
              <w:pStyle w:val="129"/>
              <w:widowControl w:val="0"/>
              <w:rPr>
                <w:color w:val="auto"/>
              </w:rPr>
            </w:pPr>
            <w:r>
              <w:rPr>
                <w:color w:val="auto"/>
              </w:rPr>
              <w:t>NO</w:t>
            </w:r>
            <w:r>
              <w:rPr>
                <w:color w:val="auto"/>
                <w:vertAlign w:val="subscript"/>
              </w:rPr>
              <w:t>X</w:t>
            </w:r>
          </w:p>
        </w:tc>
        <w:tc>
          <w:tcPr>
            <w:tcW w:w="765" w:type="pct"/>
            <w:vAlign w:val="center"/>
          </w:tcPr>
          <w:p w14:paraId="72262D06">
            <w:pPr>
              <w:pStyle w:val="129"/>
              <w:widowControl w:val="0"/>
              <w:rPr>
                <w:color w:val="auto"/>
              </w:rPr>
            </w:pPr>
            <w:r>
              <w:rPr>
                <w:color w:val="auto"/>
              </w:rPr>
              <w:t>0.24</w:t>
            </w:r>
          </w:p>
        </w:tc>
        <w:tc>
          <w:tcPr>
            <w:tcW w:w="537" w:type="pct"/>
            <w:vMerge w:val="continue"/>
            <w:vAlign w:val="center"/>
          </w:tcPr>
          <w:p w14:paraId="3D9A22E9">
            <w:pPr>
              <w:pStyle w:val="129"/>
              <w:widowControl w:val="0"/>
              <w:rPr>
                <w:color w:val="auto"/>
              </w:rPr>
            </w:pPr>
          </w:p>
        </w:tc>
        <w:tc>
          <w:tcPr>
            <w:tcW w:w="489" w:type="pct"/>
            <w:vMerge w:val="continue"/>
            <w:vAlign w:val="center"/>
          </w:tcPr>
          <w:p w14:paraId="5D3A157E">
            <w:pPr>
              <w:pStyle w:val="129"/>
              <w:widowControl w:val="0"/>
              <w:rPr>
                <w:color w:val="auto"/>
              </w:rPr>
            </w:pPr>
          </w:p>
        </w:tc>
        <w:tc>
          <w:tcPr>
            <w:tcW w:w="428" w:type="pct"/>
            <w:vMerge w:val="continue"/>
            <w:vAlign w:val="center"/>
          </w:tcPr>
          <w:p w14:paraId="18575C3E">
            <w:pPr>
              <w:pStyle w:val="129"/>
              <w:widowControl w:val="0"/>
              <w:rPr>
                <w:color w:val="auto"/>
              </w:rPr>
            </w:pPr>
          </w:p>
        </w:tc>
        <w:tc>
          <w:tcPr>
            <w:tcW w:w="588" w:type="pct"/>
            <w:vMerge w:val="continue"/>
            <w:vAlign w:val="center"/>
          </w:tcPr>
          <w:p w14:paraId="6A7A655A">
            <w:pPr>
              <w:pStyle w:val="129"/>
              <w:widowControl w:val="0"/>
              <w:rPr>
                <w:color w:val="auto"/>
              </w:rPr>
            </w:pPr>
          </w:p>
        </w:tc>
        <w:tc>
          <w:tcPr>
            <w:tcW w:w="571" w:type="pct"/>
            <w:vAlign w:val="center"/>
          </w:tcPr>
          <w:p w14:paraId="748F1BB0">
            <w:pPr>
              <w:pStyle w:val="129"/>
              <w:widowControl w:val="0"/>
              <w:rPr>
                <w:color w:val="auto"/>
              </w:rPr>
            </w:pPr>
            <w:r>
              <w:rPr>
                <w:color w:val="auto"/>
              </w:rPr>
              <w:t>连续</w:t>
            </w:r>
          </w:p>
        </w:tc>
      </w:tr>
      <w:tr w14:paraId="69841C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1EE5E11B">
            <w:pPr>
              <w:pStyle w:val="129"/>
              <w:widowControl w:val="0"/>
              <w:rPr>
                <w:color w:val="auto"/>
              </w:rPr>
            </w:pPr>
            <w:r>
              <w:rPr>
                <w:rFonts w:hint="eastAsia" w:ascii="宋体" w:hAnsi="宋体" w:cs="宋体"/>
                <w:color w:val="auto"/>
              </w:rPr>
              <w:t>催化剂生产焙烧废气总排口</w:t>
            </w:r>
          </w:p>
        </w:tc>
        <w:tc>
          <w:tcPr>
            <w:tcW w:w="813" w:type="pct"/>
            <w:vAlign w:val="center"/>
          </w:tcPr>
          <w:p w14:paraId="73F98FB0">
            <w:pPr>
              <w:pStyle w:val="129"/>
              <w:widowControl w:val="0"/>
              <w:rPr>
                <w:color w:val="auto"/>
              </w:rPr>
            </w:pPr>
            <w:r>
              <w:rPr>
                <w:rFonts w:hint="eastAsia"/>
                <w:color w:val="auto"/>
              </w:rPr>
              <w:t>颗粒物</w:t>
            </w:r>
          </w:p>
        </w:tc>
        <w:tc>
          <w:tcPr>
            <w:tcW w:w="765" w:type="pct"/>
            <w:vAlign w:val="center"/>
          </w:tcPr>
          <w:p w14:paraId="480A4CB2">
            <w:pPr>
              <w:pStyle w:val="129"/>
              <w:widowControl w:val="0"/>
              <w:rPr>
                <w:color w:val="auto"/>
              </w:rPr>
            </w:pPr>
            <w:r>
              <w:rPr>
                <w:color w:val="auto"/>
              </w:rPr>
              <w:t>0.02</w:t>
            </w:r>
          </w:p>
        </w:tc>
        <w:tc>
          <w:tcPr>
            <w:tcW w:w="537" w:type="pct"/>
            <w:vMerge w:val="restart"/>
            <w:vAlign w:val="center"/>
          </w:tcPr>
          <w:p w14:paraId="4E2D28F2">
            <w:pPr>
              <w:pStyle w:val="129"/>
              <w:widowControl w:val="0"/>
              <w:rPr>
                <w:color w:val="auto"/>
              </w:rPr>
            </w:pPr>
            <w:r>
              <w:rPr>
                <w:rFonts w:hint="eastAsia"/>
                <w:color w:val="auto"/>
              </w:rPr>
              <w:t>80</w:t>
            </w:r>
          </w:p>
        </w:tc>
        <w:tc>
          <w:tcPr>
            <w:tcW w:w="489" w:type="pct"/>
            <w:vMerge w:val="restart"/>
            <w:vAlign w:val="center"/>
          </w:tcPr>
          <w:p w14:paraId="3588B56A">
            <w:pPr>
              <w:pStyle w:val="129"/>
              <w:widowControl w:val="0"/>
              <w:rPr>
                <w:color w:val="auto"/>
              </w:rPr>
            </w:pPr>
            <w:r>
              <w:rPr>
                <w:rFonts w:hint="eastAsia"/>
                <w:color w:val="auto"/>
              </w:rPr>
              <w:t>0.4</w:t>
            </w:r>
          </w:p>
        </w:tc>
        <w:tc>
          <w:tcPr>
            <w:tcW w:w="428" w:type="pct"/>
            <w:vMerge w:val="restart"/>
            <w:vAlign w:val="center"/>
          </w:tcPr>
          <w:p w14:paraId="58A473C1">
            <w:pPr>
              <w:pStyle w:val="129"/>
              <w:widowControl w:val="0"/>
              <w:rPr>
                <w:color w:val="auto"/>
              </w:rPr>
            </w:pPr>
            <w:r>
              <w:rPr>
                <w:rFonts w:hint="eastAsia"/>
                <w:color w:val="auto"/>
              </w:rPr>
              <w:t>17</w:t>
            </w:r>
          </w:p>
        </w:tc>
        <w:tc>
          <w:tcPr>
            <w:tcW w:w="588" w:type="pct"/>
            <w:vMerge w:val="restart"/>
            <w:vAlign w:val="center"/>
          </w:tcPr>
          <w:p w14:paraId="37F9A18F">
            <w:pPr>
              <w:pStyle w:val="129"/>
              <w:widowControl w:val="0"/>
              <w:rPr>
                <w:color w:val="auto"/>
              </w:rPr>
            </w:pPr>
            <w:r>
              <w:rPr>
                <w:color w:val="auto"/>
              </w:rPr>
              <w:t>5800</w:t>
            </w:r>
          </w:p>
        </w:tc>
        <w:tc>
          <w:tcPr>
            <w:tcW w:w="571" w:type="pct"/>
            <w:vAlign w:val="center"/>
          </w:tcPr>
          <w:p w14:paraId="7EB7BABF">
            <w:pPr>
              <w:pStyle w:val="129"/>
              <w:widowControl w:val="0"/>
              <w:rPr>
                <w:color w:val="auto"/>
              </w:rPr>
            </w:pPr>
            <w:r>
              <w:rPr>
                <w:color w:val="auto"/>
              </w:rPr>
              <w:t>连续</w:t>
            </w:r>
          </w:p>
        </w:tc>
      </w:tr>
      <w:tr w14:paraId="7EDE28D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0C41C421">
            <w:pPr>
              <w:pStyle w:val="129"/>
              <w:widowControl w:val="0"/>
              <w:rPr>
                <w:color w:val="auto"/>
              </w:rPr>
            </w:pPr>
          </w:p>
        </w:tc>
        <w:tc>
          <w:tcPr>
            <w:tcW w:w="813" w:type="pct"/>
            <w:vAlign w:val="center"/>
          </w:tcPr>
          <w:p w14:paraId="520DE860">
            <w:pPr>
              <w:pStyle w:val="129"/>
              <w:widowControl w:val="0"/>
              <w:rPr>
                <w:color w:val="auto"/>
              </w:rPr>
            </w:pPr>
            <w:r>
              <w:rPr>
                <w:rFonts w:hint="eastAsia"/>
                <w:color w:val="auto"/>
              </w:rPr>
              <w:t>钴及其化合物</w:t>
            </w:r>
          </w:p>
        </w:tc>
        <w:tc>
          <w:tcPr>
            <w:tcW w:w="765" w:type="pct"/>
            <w:vAlign w:val="center"/>
          </w:tcPr>
          <w:p w14:paraId="7A98822A">
            <w:pPr>
              <w:pStyle w:val="129"/>
              <w:widowControl w:val="0"/>
              <w:rPr>
                <w:color w:val="auto"/>
              </w:rPr>
            </w:pPr>
            <w:r>
              <w:rPr>
                <w:color w:val="auto"/>
              </w:rPr>
              <w:t>0.0002</w:t>
            </w:r>
          </w:p>
        </w:tc>
        <w:tc>
          <w:tcPr>
            <w:tcW w:w="537" w:type="pct"/>
            <w:vMerge w:val="continue"/>
            <w:vAlign w:val="center"/>
          </w:tcPr>
          <w:p w14:paraId="47C6768D">
            <w:pPr>
              <w:pStyle w:val="129"/>
              <w:widowControl w:val="0"/>
              <w:rPr>
                <w:color w:val="auto"/>
              </w:rPr>
            </w:pPr>
          </w:p>
        </w:tc>
        <w:tc>
          <w:tcPr>
            <w:tcW w:w="489" w:type="pct"/>
            <w:vMerge w:val="continue"/>
            <w:vAlign w:val="center"/>
          </w:tcPr>
          <w:p w14:paraId="23BECB47">
            <w:pPr>
              <w:pStyle w:val="129"/>
              <w:widowControl w:val="0"/>
              <w:rPr>
                <w:color w:val="auto"/>
              </w:rPr>
            </w:pPr>
          </w:p>
        </w:tc>
        <w:tc>
          <w:tcPr>
            <w:tcW w:w="428" w:type="pct"/>
            <w:vMerge w:val="continue"/>
            <w:vAlign w:val="center"/>
          </w:tcPr>
          <w:p w14:paraId="69892447">
            <w:pPr>
              <w:pStyle w:val="129"/>
              <w:widowControl w:val="0"/>
              <w:rPr>
                <w:color w:val="auto"/>
              </w:rPr>
            </w:pPr>
          </w:p>
        </w:tc>
        <w:tc>
          <w:tcPr>
            <w:tcW w:w="588" w:type="pct"/>
            <w:vMerge w:val="continue"/>
            <w:vAlign w:val="center"/>
          </w:tcPr>
          <w:p w14:paraId="4D41AE8E">
            <w:pPr>
              <w:pStyle w:val="129"/>
              <w:widowControl w:val="0"/>
              <w:rPr>
                <w:color w:val="auto"/>
              </w:rPr>
            </w:pPr>
          </w:p>
        </w:tc>
        <w:tc>
          <w:tcPr>
            <w:tcW w:w="571" w:type="pct"/>
            <w:vAlign w:val="center"/>
          </w:tcPr>
          <w:p w14:paraId="6BD2539A">
            <w:pPr>
              <w:pStyle w:val="129"/>
              <w:widowControl w:val="0"/>
              <w:rPr>
                <w:color w:val="auto"/>
              </w:rPr>
            </w:pPr>
            <w:r>
              <w:rPr>
                <w:color w:val="auto"/>
              </w:rPr>
              <w:t>连续</w:t>
            </w:r>
          </w:p>
        </w:tc>
      </w:tr>
      <w:tr w14:paraId="26CF74F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2BD2921C">
            <w:pPr>
              <w:pStyle w:val="129"/>
              <w:widowControl w:val="0"/>
              <w:rPr>
                <w:color w:val="auto"/>
              </w:rPr>
            </w:pPr>
          </w:p>
        </w:tc>
        <w:tc>
          <w:tcPr>
            <w:tcW w:w="813" w:type="pct"/>
            <w:vAlign w:val="center"/>
          </w:tcPr>
          <w:p w14:paraId="483BFE55">
            <w:pPr>
              <w:pStyle w:val="129"/>
              <w:widowControl w:val="0"/>
              <w:rPr>
                <w:color w:val="auto"/>
              </w:rPr>
            </w:pPr>
            <w:r>
              <w:rPr>
                <w:rFonts w:hint="eastAsia"/>
                <w:color w:val="auto"/>
              </w:rPr>
              <w:t>钼及其化合物</w:t>
            </w:r>
          </w:p>
        </w:tc>
        <w:tc>
          <w:tcPr>
            <w:tcW w:w="765" w:type="pct"/>
            <w:vAlign w:val="center"/>
          </w:tcPr>
          <w:p w14:paraId="4098EBA1">
            <w:pPr>
              <w:pStyle w:val="129"/>
              <w:widowControl w:val="0"/>
              <w:rPr>
                <w:color w:val="auto"/>
              </w:rPr>
            </w:pPr>
            <w:r>
              <w:rPr>
                <w:color w:val="auto"/>
              </w:rPr>
              <w:t>0.00005</w:t>
            </w:r>
          </w:p>
        </w:tc>
        <w:tc>
          <w:tcPr>
            <w:tcW w:w="537" w:type="pct"/>
            <w:vMerge w:val="continue"/>
            <w:vAlign w:val="center"/>
          </w:tcPr>
          <w:p w14:paraId="459456C8">
            <w:pPr>
              <w:pStyle w:val="129"/>
              <w:widowControl w:val="0"/>
              <w:rPr>
                <w:color w:val="auto"/>
              </w:rPr>
            </w:pPr>
          </w:p>
        </w:tc>
        <w:tc>
          <w:tcPr>
            <w:tcW w:w="489" w:type="pct"/>
            <w:vMerge w:val="continue"/>
            <w:vAlign w:val="center"/>
          </w:tcPr>
          <w:p w14:paraId="66D20195">
            <w:pPr>
              <w:pStyle w:val="129"/>
              <w:widowControl w:val="0"/>
              <w:rPr>
                <w:color w:val="auto"/>
              </w:rPr>
            </w:pPr>
          </w:p>
        </w:tc>
        <w:tc>
          <w:tcPr>
            <w:tcW w:w="428" w:type="pct"/>
            <w:vMerge w:val="continue"/>
            <w:vAlign w:val="center"/>
          </w:tcPr>
          <w:p w14:paraId="2193A38C">
            <w:pPr>
              <w:pStyle w:val="129"/>
              <w:widowControl w:val="0"/>
              <w:rPr>
                <w:color w:val="auto"/>
              </w:rPr>
            </w:pPr>
          </w:p>
        </w:tc>
        <w:tc>
          <w:tcPr>
            <w:tcW w:w="588" w:type="pct"/>
            <w:vMerge w:val="continue"/>
            <w:vAlign w:val="center"/>
          </w:tcPr>
          <w:p w14:paraId="37F5F359">
            <w:pPr>
              <w:pStyle w:val="129"/>
              <w:widowControl w:val="0"/>
              <w:rPr>
                <w:color w:val="auto"/>
              </w:rPr>
            </w:pPr>
          </w:p>
        </w:tc>
        <w:tc>
          <w:tcPr>
            <w:tcW w:w="571" w:type="pct"/>
            <w:vAlign w:val="center"/>
          </w:tcPr>
          <w:p w14:paraId="71856DBA">
            <w:pPr>
              <w:pStyle w:val="129"/>
              <w:widowControl w:val="0"/>
              <w:rPr>
                <w:color w:val="auto"/>
              </w:rPr>
            </w:pPr>
            <w:r>
              <w:rPr>
                <w:color w:val="auto"/>
              </w:rPr>
              <w:t>连续</w:t>
            </w:r>
          </w:p>
        </w:tc>
      </w:tr>
      <w:tr w14:paraId="045DC0A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7FC67C32">
            <w:pPr>
              <w:pStyle w:val="129"/>
              <w:widowControl w:val="0"/>
              <w:rPr>
                <w:color w:val="auto"/>
              </w:rPr>
            </w:pPr>
          </w:p>
        </w:tc>
        <w:tc>
          <w:tcPr>
            <w:tcW w:w="813" w:type="pct"/>
            <w:vAlign w:val="center"/>
          </w:tcPr>
          <w:p w14:paraId="7C9775E8">
            <w:pPr>
              <w:pStyle w:val="129"/>
              <w:widowControl w:val="0"/>
              <w:rPr>
                <w:color w:val="auto"/>
              </w:rPr>
            </w:pPr>
            <w:r>
              <w:rPr>
                <w:rFonts w:hint="eastAsia"/>
                <w:color w:val="auto"/>
              </w:rPr>
              <w:t>镍及其化合物</w:t>
            </w:r>
          </w:p>
        </w:tc>
        <w:tc>
          <w:tcPr>
            <w:tcW w:w="765" w:type="pct"/>
            <w:vAlign w:val="center"/>
          </w:tcPr>
          <w:p w14:paraId="59934D46">
            <w:pPr>
              <w:pStyle w:val="129"/>
              <w:widowControl w:val="0"/>
              <w:rPr>
                <w:color w:val="auto"/>
              </w:rPr>
            </w:pPr>
            <w:r>
              <w:rPr>
                <w:color w:val="auto"/>
              </w:rPr>
              <w:t>0.0001</w:t>
            </w:r>
          </w:p>
        </w:tc>
        <w:tc>
          <w:tcPr>
            <w:tcW w:w="537" w:type="pct"/>
            <w:vMerge w:val="continue"/>
            <w:vAlign w:val="center"/>
          </w:tcPr>
          <w:p w14:paraId="03086A59">
            <w:pPr>
              <w:pStyle w:val="129"/>
              <w:widowControl w:val="0"/>
              <w:rPr>
                <w:color w:val="auto"/>
              </w:rPr>
            </w:pPr>
          </w:p>
        </w:tc>
        <w:tc>
          <w:tcPr>
            <w:tcW w:w="489" w:type="pct"/>
            <w:vMerge w:val="continue"/>
            <w:vAlign w:val="center"/>
          </w:tcPr>
          <w:p w14:paraId="74E48BBB">
            <w:pPr>
              <w:pStyle w:val="129"/>
              <w:widowControl w:val="0"/>
              <w:rPr>
                <w:color w:val="auto"/>
              </w:rPr>
            </w:pPr>
          </w:p>
        </w:tc>
        <w:tc>
          <w:tcPr>
            <w:tcW w:w="428" w:type="pct"/>
            <w:vMerge w:val="continue"/>
            <w:vAlign w:val="center"/>
          </w:tcPr>
          <w:p w14:paraId="7ED17600">
            <w:pPr>
              <w:pStyle w:val="129"/>
              <w:widowControl w:val="0"/>
              <w:rPr>
                <w:color w:val="auto"/>
              </w:rPr>
            </w:pPr>
          </w:p>
        </w:tc>
        <w:tc>
          <w:tcPr>
            <w:tcW w:w="588" w:type="pct"/>
            <w:vMerge w:val="continue"/>
            <w:vAlign w:val="center"/>
          </w:tcPr>
          <w:p w14:paraId="44A8D283">
            <w:pPr>
              <w:pStyle w:val="129"/>
              <w:widowControl w:val="0"/>
              <w:rPr>
                <w:color w:val="auto"/>
              </w:rPr>
            </w:pPr>
          </w:p>
        </w:tc>
        <w:tc>
          <w:tcPr>
            <w:tcW w:w="571" w:type="pct"/>
            <w:vAlign w:val="center"/>
          </w:tcPr>
          <w:p w14:paraId="1BA0D6D1">
            <w:pPr>
              <w:pStyle w:val="129"/>
              <w:widowControl w:val="0"/>
              <w:rPr>
                <w:color w:val="auto"/>
              </w:rPr>
            </w:pPr>
            <w:r>
              <w:rPr>
                <w:color w:val="auto"/>
              </w:rPr>
              <w:t>连续</w:t>
            </w:r>
          </w:p>
        </w:tc>
      </w:tr>
      <w:tr w14:paraId="2ED4588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1BB3BCE1">
            <w:pPr>
              <w:pStyle w:val="129"/>
              <w:widowControl w:val="0"/>
              <w:rPr>
                <w:color w:val="auto"/>
              </w:rPr>
            </w:pPr>
          </w:p>
        </w:tc>
        <w:tc>
          <w:tcPr>
            <w:tcW w:w="813" w:type="pct"/>
            <w:vAlign w:val="center"/>
          </w:tcPr>
          <w:p w14:paraId="5961B5CA">
            <w:pPr>
              <w:pStyle w:val="129"/>
              <w:widowControl w:val="0"/>
              <w:rPr>
                <w:color w:val="auto"/>
              </w:rPr>
            </w:pPr>
            <w:r>
              <w:rPr>
                <w:rFonts w:hint="eastAsia"/>
                <w:color w:val="auto"/>
              </w:rPr>
              <w:t>锰及其化合物</w:t>
            </w:r>
          </w:p>
        </w:tc>
        <w:tc>
          <w:tcPr>
            <w:tcW w:w="765" w:type="pct"/>
            <w:vAlign w:val="center"/>
          </w:tcPr>
          <w:p w14:paraId="1487ED1D">
            <w:pPr>
              <w:pStyle w:val="129"/>
              <w:widowControl w:val="0"/>
              <w:rPr>
                <w:color w:val="auto"/>
              </w:rPr>
            </w:pPr>
            <w:r>
              <w:rPr>
                <w:color w:val="auto"/>
              </w:rPr>
              <w:t>0.0001</w:t>
            </w:r>
          </w:p>
        </w:tc>
        <w:tc>
          <w:tcPr>
            <w:tcW w:w="537" w:type="pct"/>
            <w:vMerge w:val="continue"/>
            <w:vAlign w:val="center"/>
          </w:tcPr>
          <w:p w14:paraId="3DA02623">
            <w:pPr>
              <w:pStyle w:val="129"/>
              <w:widowControl w:val="0"/>
              <w:rPr>
                <w:color w:val="auto"/>
              </w:rPr>
            </w:pPr>
          </w:p>
        </w:tc>
        <w:tc>
          <w:tcPr>
            <w:tcW w:w="489" w:type="pct"/>
            <w:vMerge w:val="continue"/>
            <w:vAlign w:val="center"/>
          </w:tcPr>
          <w:p w14:paraId="43E3D3D2">
            <w:pPr>
              <w:pStyle w:val="129"/>
              <w:widowControl w:val="0"/>
              <w:rPr>
                <w:color w:val="auto"/>
              </w:rPr>
            </w:pPr>
          </w:p>
        </w:tc>
        <w:tc>
          <w:tcPr>
            <w:tcW w:w="428" w:type="pct"/>
            <w:vMerge w:val="continue"/>
            <w:vAlign w:val="center"/>
          </w:tcPr>
          <w:p w14:paraId="16420798">
            <w:pPr>
              <w:pStyle w:val="129"/>
              <w:widowControl w:val="0"/>
              <w:rPr>
                <w:color w:val="auto"/>
              </w:rPr>
            </w:pPr>
          </w:p>
        </w:tc>
        <w:tc>
          <w:tcPr>
            <w:tcW w:w="588" w:type="pct"/>
            <w:vMerge w:val="continue"/>
            <w:vAlign w:val="center"/>
          </w:tcPr>
          <w:p w14:paraId="7E29FFB2">
            <w:pPr>
              <w:pStyle w:val="129"/>
              <w:widowControl w:val="0"/>
              <w:rPr>
                <w:color w:val="auto"/>
              </w:rPr>
            </w:pPr>
          </w:p>
        </w:tc>
        <w:tc>
          <w:tcPr>
            <w:tcW w:w="571" w:type="pct"/>
            <w:vAlign w:val="center"/>
          </w:tcPr>
          <w:p w14:paraId="2C4359AF">
            <w:pPr>
              <w:pStyle w:val="129"/>
              <w:widowControl w:val="0"/>
              <w:rPr>
                <w:color w:val="auto"/>
              </w:rPr>
            </w:pPr>
            <w:r>
              <w:rPr>
                <w:color w:val="auto"/>
              </w:rPr>
              <w:t>连续</w:t>
            </w:r>
          </w:p>
        </w:tc>
      </w:tr>
      <w:tr w14:paraId="647DC3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23551799">
            <w:pPr>
              <w:pStyle w:val="129"/>
              <w:widowControl w:val="0"/>
              <w:rPr>
                <w:color w:val="auto"/>
              </w:rPr>
            </w:pPr>
          </w:p>
        </w:tc>
        <w:tc>
          <w:tcPr>
            <w:tcW w:w="813" w:type="pct"/>
            <w:vAlign w:val="center"/>
          </w:tcPr>
          <w:p w14:paraId="12771948">
            <w:pPr>
              <w:pStyle w:val="129"/>
              <w:widowControl w:val="0"/>
              <w:rPr>
                <w:color w:val="auto"/>
              </w:rPr>
            </w:pPr>
            <w:r>
              <w:rPr>
                <w:rFonts w:hint="eastAsia"/>
                <w:color w:val="auto"/>
              </w:rPr>
              <w:t>铜及其化合物</w:t>
            </w:r>
          </w:p>
        </w:tc>
        <w:tc>
          <w:tcPr>
            <w:tcW w:w="765" w:type="pct"/>
            <w:vAlign w:val="center"/>
          </w:tcPr>
          <w:p w14:paraId="7E11AAAE">
            <w:pPr>
              <w:pStyle w:val="129"/>
              <w:widowControl w:val="0"/>
              <w:rPr>
                <w:color w:val="auto"/>
              </w:rPr>
            </w:pPr>
            <w:r>
              <w:rPr>
                <w:color w:val="auto"/>
              </w:rPr>
              <w:t>0.00003</w:t>
            </w:r>
          </w:p>
        </w:tc>
        <w:tc>
          <w:tcPr>
            <w:tcW w:w="537" w:type="pct"/>
            <w:vMerge w:val="continue"/>
            <w:vAlign w:val="center"/>
          </w:tcPr>
          <w:p w14:paraId="06CDD903">
            <w:pPr>
              <w:pStyle w:val="129"/>
              <w:widowControl w:val="0"/>
              <w:rPr>
                <w:color w:val="auto"/>
              </w:rPr>
            </w:pPr>
          </w:p>
        </w:tc>
        <w:tc>
          <w:tcPr>
            <w:tcW w:w="489" w:type="pct"/>
            <w:vMerge w:val="continue"/>
            <w:vAlign w:val="center"/>
          </w:tcPr>
          <w:p w14:paraId="220B0F0D">
            <w:pPr>
              <w:pStyle w:val="129"/>
              <w:widowControl w:val="0"/>
              <w:rPr>
                <w:color w:val="auto"/>
              </w:rPr>
            </w:pPr>
          </w:p>
        </w:tc>
        <w:tc>
          <w:tcPr>
            <w:tcW w:w="428" w:type="pct"/>
            <w:vMerge w:val="continue"/>
            <w:vAlign w:val="center"/>
          </w:tcPr>
          <w:p w14:paraId="1D4D19BA">
            <w:pPr>
              <w:pStyle w:val="129"/>
              <w:widowControl w:val="0"/>
              <w:rPr>
                <w:color w:val="auto"/>
              </w:rPr>
            </w:pPr>
          </w:p>
        </w:tc>
        <w:tc>
          <w:tcPr>
            <w:tcW w:w="588" w:type="pct"/>
            <w:vMerge w:val="continue"/>
            <w:vAlign w:val="center"/>
          </w:tcPr>
          <w:p w14:paraId="31E0AA4C">
            <w:pPr>
              <w:pStyle w:val="129"/>
              <w:widowControl w:val="0"/>
              <w:rPr>
                <w:color w:val="auto"/>
              </w:rPr>
            </w:pPr>
          </w:p>
        </w:tc>
        <w:tc>
          <w:tcPr>
            <w:tcW w:w="571" w:type="pct"/>
            <w:vAlign w:val="center"/>
          </w:tcPr>
          <w:p w14:paraId="12F1E228">
            <w:pPr>
              <w:pStyle w:val="129"/>
              <w:widowControl w:val="0"/>
              <w:rPr>
                <w:color w:val="auto"/>
              </w:rPr>
            </w:pPr>
            <w:r>
              <w:rPr>
                <w:color w:val="auto"/>
              </w:rPr>
              <w:t>连续</w:t>
            </w:r>
          </w:p>
        </w:tc>
      </w:tr>
      <w:tr w14:paraId="5CACC0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47AF49EB">
            <w:pPr>
              <w:pStyle w:val="129"/>
              <w:widowControl w:val="0"/>
              <w:rPr>
                <w:color w:val="auto"/>
              </w:rPr>
            </w:pPr>
          </w:p>
        </w:tc>
        <w:tc>
          <w:tcPr>
            <w:tcW w:w="813" w:type="pct"/>
            <w:vAlign w:val="center"/>
          </w:tcPr>
          <w:p w14:paraId="2AB39191">
            <w:pPr>
              <w:pStyle w:val="129"/>
              <w:widowControl w:val="0"/>
              <w:rPr>
                <w:color w:val="auto"/>
              </w:rPr>
            </w:pPr>
            <w:r>
              <w:rPr>
                <w:rFonts w:hint="eastAsia"/>
                <w:color w:val="auto"/>
              </w:rPr>
              <w:t>锆及其化合物</w:t>
            </w:r>
          </w:p>
        </w:tc>
        <w:tc>
          <w:tcPr>
            <w:tcW w:w="765" w:type="pct"/>
            <w:vAlign w:val="center"/>
          </w:tcPr>
          <w:p w14:paraId="45E42F4F">
            <w:pPr>
              <w:pStyle w:val="129"/>
              <w:widowControl w:val="0"/>
              <w:rPr>
                <w:color w:val="auto"/>
              </w:rPr>
            </w:pPr>
            <w:r>
              <w:rPr>
                <w:color w:val="auto"/>
              </w:rPr>
              <w:t>0.00005</w:t>
            </w:r>
          </w:p>
        </w:tc>
        <w:tc>
          <w:tcPr>
            <w:tcW w:w="537" w:type="pct"/>
            <w:vMerge w:val="continue"/>
            <w:vAlign w:val="center"/>
          </w:tcPr>
          <w:p w14:paraId="5DF7B60D">
            <w:pPr>
              <w:pStyle w:val="129"/>
              <w:widowControl w:val="0"/>
              <w:rPr>
                <w:color w:val="auto"/>
              </w:rPr>
            </w:pPr>
          </w:p>
        </w:tc>
        <w:tc>
          <w:tcPr>
            <w:tcW w:w="489" w:type="pct"/>
            <w:vMerge w:val="continue"/>
            <w:vAlign w:val="center"/>
          </w:tcPr>
          <w:p w14:paraId="030FEE16">
            <w:pPr>
              <w:pStyle w:val="129"/>
              <w:widowControl w:val="0"/>
              <w:rPr>
                <w:color w:val="auto"/>
              </w:rPr>
            </w:pPr>
          </w:p>
        </w:tc>
        <w:tc>
          <w:tcPr>
            <w:tcW w:w="428" w:type="pct"/>
            <w:vMerge w:val="continue"/>
            <w:vAlign w:val="center"/>
          </w:tcPr>
          <w:p w14:paraId="152D81E9">
            <w:pPr>
              <w:pStyle w:val="129"/>
              <w:widowControl w:val="0"/>
              <w:rPr>
                <w:color w:val="auto"/>
              </w:rPr>
            </w:pPr>
          </w:p>
        </w:tc>
        <w:tc>
          <w:tcPr>
            <w:tcW w:w="588" w:type="pct"/>
            <w:vMerge w:val="continue"/>
            <w:vAlign w:val="center"/>
          </w:tcPr>
          <w:p w14:paraId="0DDD78CE">
            <w:pPr>
              <w:pStyle w:val="129"/>
              <w:widowControl w:val="0"/>
              <w:rPr>
                <w:color w:val="auto"/>
              </w:rPr>
            </w:pPr>
          </w:p>
        </w:tc>
        <w:tc>
          <w:tcPr>
            <w:tcW w:w="571" w:type="pct"/>
            <w:vAlign w:val="center"/>
          </w:tcPr>
          <w:p w14:paraId="047020F3">
            <w:pPr>
              <w:pStyle w:val="129"/>
              <w:widowControl w:val="0"/>
              <w:rPr>
                <w:color w:val="auto"/>
              </w:rPr>
            </w:pPr>
            <w:r>
              <w:rPr>
                <w:color w:val="auto"/>
              </w:rPr>
              <w:t>连续</w:t>
            </w:r>
          </w:p>
        </w:tc>
      </w:tr>
      <w:tr w14:paraId="523C1F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6A71215A">
            <w:pPr>
              <w:pStyle w:val="129"/>
              <w:widowControl w:val="0"/>
              <w:rPr>
                <w:color w:val="auto"/>
              </w:rPr>
            </w:pPr>
          </w:p>
        </w:tc>
        <w:tc>
          <w:tcPr>
            <w:tcW w:w="813" w:type="pct"/>
            <w:vAlign w:val="center"/>
          </w:tcPr>
          <w:p w14:paraId="111965D2">
            <w:pPr>
              <w:pStyle w:val="129"/>
              <w:widowControl w:val="0"/>
              <w:rPr>
                <w:color w:val="auto"/>
              </w:rPr>
            </w:pPr>
            <w:r>
              <w:rPr>
                <w:color w:val="auto"/>
              </w:rPr>
              <w:t>NH</w:t>
            </w:r>
            <w:r>
              <w:rPr>
                <w:color w:val="auto"/>
                <w:vertAlign w:val="subscript"/>
              </w:rPr>
              <w:t>3</w:t>
            </w:r>
          </w:p>
        </w:tc>
        <w:tc>
          <w:tcPr>
            <w:tcW w:w="765" w:type="pct"/>
            <w:vAlign w:val="center"/>
          </w:tcPr>
          <w:p w14:paraId="1663E0E4">
            <w:pPr>
              <w:pStyle w:val="129"/>
              <w:widowControl w:val="0"/>
              <w:rPr>
                <w:color w:val="auto"/>
              </w:rPr>
            </w:pPr>
            <w:r>
              <w:rPr>
                <w:color w:val="auto"/>
              </w:rPr>
              <w:t>0.01</w:t>
            </w:r>
          </w:p>
        </w:tc>
        <w:tc>
          <w:tcPr>
            <w:tcW w:w="537" w:type="pct"/>
            <w:vMerge w:val="continue"/>
            <w:vAlign w:val="center"/>
          </w:tcPr>
          <w:p w14:paraId="10B735C4">
            <w:pPr>
              <w:pStyle w:val="129"/>
              <w:widowControl w:val="0"/>
              <w:rPr>
                <w:color w:val="auto"/>
              </w:rPr>
            </w:pPr>
          </w:p>
        </w:tc>
        <w:tc>
          <w:tcPr>
            <w:tcW w:w="489" w:type="pct"/>
            <w:vMerge w:val="continue"/>
            <w:vAlign w:val="center"/>
          </w:tcPr>
          <w:p w14:paraId="5F9656C0">
            <w:pPr>
              <w:pStyle w:val="129"/>
              <w:widowControl w:val="0"/>
              <w:rPr>
                <w:color w:val="auto"/>
              </w:rPr>
            </w:pPr>
          </w:p>
        </w:tc>
        <w:tc>
          <w:tcPr>
            <w:tcW w:w="428" w:type="pct"/>
            <w:vMerge w:val="continue"/>
            <w:vAlign w:val="center"/>
          </w:tcPr>
          <w:p w14:paraId="258AE695">
            <w:pPr>
              <w:pStyle w:val="129"/>
              <w:widowControl w:val="0"/>
              <w:rPr>
                <w:color w:val="auto"/>
              </w:rPr>
            </w:pPr>
          </w:p>
        </w:tc>
        <w:tc>
          <w:tcPr>
            <w:tcW w:w="588" w:type="pct"/>
            <w:vMerge w:val="continue"/>
            <w:vAlign w:val="center"/>
          </w:tcPr>
          <w:p w14:paraId="5CBCAC02">
            <w:pPr>
              <w:pStyle w:val="129"/>
              <w:widowControl w:val="0"/>
              <w:rPr>
                <w:color w:val="auto"/>
              </w:rPr>
            </w:pPr>
          </w:p>
        </w:tc>
        <w:tc>
          <w:tcPr>
            <w:tcW w:w="571" w:type="pct"/>
            <w:vAlign w:val="center"/>
          </w:tcPr>
          <w:p w14:paraId="4D1FA650">
            <w:pPr>
              <w:pStyle w:val="129"/>
              <w:widowControl w:val="0"/>
              <w:rPr>
                <w:color w:val="auto"/>
              </w:rPr>
            </w:pPr>
            <w:r>
              <w:rPr>
                <w:color w:val="auto"/>
              </w:rPr>
              <w:t>连续</w:t>
            </w:r>
          </w:p>
        </w:tc>
      </w:tr>
      <w:tr w14:paraId="11B8AA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679FEC41">
            <w:pPr>
              <w:pStyle w:val="129"/>
              <w:widowControl w:val="0"/>
              <w:rPr>
                <w:color w:val="auto"/>
              </w:rPr>
            </w:pPr>
          </w:p>
        </w:tc>
        <w:tc>
          <w:tcPr>
            <w:tcW w:w="813" w:type="pct"/>
            <w:vAlign w:val="center"/>
          </w:tcPr>
          <w:p w14:paraId="7D375A91">
            <w:pPr>
              <w:pStyle w:val="129"/>
              <w:widowControl w:val="0"/>
              <w:rPr>
                <w:color w:val="auto"/>
              </w:rPr>
            </w:pPr>
            <w:r>
              <w:rPr>
                <w:color w:val="auto"/>
              </w:rPr>
              <w:t>NOx</w:t>
            </w:r>
          </w:p>
        </w:tc>
        <w:tc>
          <w:tcPr>
            <w:tcW w:w="765" w:type="pct"/>
            <w:vAlign w:val="center"/>
          </w:tcPr>
          <w:p w14:paraId="4F9A6E87">
            <w:pPr>
              <w:pStyle w:val="129"/>
              <w:widowControl w:val="0"/>
              <w:rPr>
                <w:color w:val="auto"/>
              </w:rPr>
            </w:pPr>
            <w:r>
              <w:rPr>
                <w:color w:val="auto"/>
              </w:rPr>
              <w:t>0.37</w:t>
            </w:r>
          </w:p>
        </w:tc>
        <w:tc>
          <w:tcPr>
            <w:tcW w:w="537" w:type="pct"/>
            <w:vMerge w:val="continue"/>
            <w:vAlign w:val="center"/>
          </w:tcPr>
          <w:p w14:paraId="728F02A3">
            <w:pPr>
              <w:pStyle w:val="129"/>
              <w:widowControl w:val="0"/>
              <w:rPr>
                <w:color w:val="auto"/>
              </w:rPr>
            </w:pPr>
          </w:p>
        </w:tc>
        <w:tc>
          <w:tcPr>
            <w:tcW w:w="489" w:type="pct"/>
            <w:vMerge w:val="continue"/>
            <w:vAlign w:val="center"/>
          </w:tcPr>
          <w:p w14:paraId="73651FFF">
            <w:pPr>
              <w:pStyle w:val="129"/>
              <w:widowControl w:val="0"/>
              <w:rPr>
                <w:color w:val="auto"/>
              </w:rPr>
            </w:pPr>
          </w:p>
        </w:tc>
        <w:tc>
          <w:tcPr>
            <w:tcW w:w="428" w:type="pct"/>
            <w:vMerge w:val="continue"/>
            <w:vAlign w:val="center"/>
          </w:tcPr>
          <w:p w14:paraId="0989725A">
            <w:pPr>
              <w:pStyle w:val="129"/>
              <w:widowControl w:val="0"/>
              <w:rPr>
                <w:color w:val="auto"/>
              </w:rPr>
            </w:pPr>
          </w:p>
        </w:tc>
        <w:tc>
          <w:tcPr>
            <w:tcW w:w="588" w:type="pct"/>
            <w:vMerge w:val="continue"/>
            <w:vAlign w:val="center"/>
          </w:tcPr>
          <w:p w14:paraId="78F48BC8">
            <w:pPr>
              <w:pStyle w:val="129"/>
              <w:widowControl w:val="0"/>
              <w:rPr>
                <w:color w:val="auto"/>
              </w:rPr>
            </w:pPr>
          </w:p>
        </w:tc>
        <w:tc>
          <w:tcPr>
            <w:tcW w:w="571" w:type="pct"/>
            <w:vAlign w:val="center"/>
          </w:tcPr>
          <w:p w14:paraId="58A3747C">
            <w:pPr>
              <w:pStyle w:val="129"/>
              <w:widowControl w:val="0"/>
              <w:rPr>
                <w:color w:val="auto"/>
              </w:rPr>
            </w:pPr>
            <w:r>
              <w:rPr>
                <w:color w:val="auto"/>
              </w:rPr>
              <w:t>连续</w:t>
            </w:r>
          </w:p>
        </w:tc>
      </w:tr>
      <w:tr w14:paraId="2FDB12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74743744">
            <w:pPr>
              <w:pStyle w:val="129"/>
              <w:widowControl w:val="0"/>
              <w:rPr>
                <w:color w:val="auto"/>
              </w:rPr>
            </w:pPr>
            <w:r>
              <w:rPr>
                <w:rFonts w:hint="eastAsia" w:ascii="宋体" w:hAnsi="宋体" w:cs="宋体"/>
                <w:color w:val="auto"/>
              </w:rPr>
              <w:t>混捏、催化剂、载体筛分包装废气</w:t>
            </w:r>
          </w:p>
        </w:tc>
        <w:tc>
          <w:tcPr>
            <w:tcW w:w="813" w:type="pct"/>
            <w:vAlign w:val="center"/>
          </w:tcPr>
          <w:p w14:paraId="29792D8E">
            <w:pPr>
              <w:pStyle w:val="129"/>
              <w:widowControl w:val="0"/>
              <w:rPr>
                <w:color w:val="auto"/>
              </w:rPr>
            </w:pPr>
            <w:r>
              <w:rPr>
                <w:rFonts w:hint="eastAsia"/>
                <w:color w:val="auto"/>
              </w:rPr>
              <w:t>颗粒物</w:t>
            </w:r>
          </w:p>
        </w:tc>
        <w:tc>
          <w:tcPr>
            <w:tcW w:w="765" w:type="pct"/>
            <w:vAlign w:val="center"/>
          </w:tcPr>
          <w:p w14:paraId="28D5722F">
            <w:pPr>
              <w:pStyle w:val="129"/>
              <w:widowControl w:val="0"/>
              <w:rPr>
                <w:color w:val="auto"/>
              </w:rPr>
            </w:pPr>
            <w:r>
              <w:rPr>
                <w:color w:val="auto"/>
              </w:rPr>
              <w:t>0.02</w:t>
            </w:r>
          </w:p>
        </w:tc>
        <w:tc>
          <w:tcPr>
            <w:tcW w:w="537" w:type="pct"/>
            <w:vMerge w:val="restart"/>
            <w:vAlign w:val="center"/>
          </w:tcPr>
          <w:p w14:paraId="1F8A477F">
            <w:pPr>
              <w:pStyle w:val="129"/>
              <w:widowControl w:val="0"/>
              <w:rPr>
                <w:color w:val="auto"/>
              </w:rPr>
            </w:pPr>
            <w:r>
              <w:rPr>
                <w:rFonts w:hint="eastAsia"/>
                <w:color w:val="auto"/>
              </w:rPr>
              <w:t>25</w:t>
            </w:r>
          </w:p>
        </w:tc>
        <w:tc>
          <w:tcPr>
            <w:tcW w:w="489" w:type="pct"/>
            <w:vMerge w:val="restart"/>
            <w:vAlign w:val="center"/>
          </w:tcPr>
          <w:p w14:paraId="16E5A57C">
            <w:pPr>
              <w:pStyle w:val="129"/>
              <w:widowControl w:val="0"/>
              <w:rPr>
                <w:color w:val="auto"/>
              </w:rPr>
            </w:pPr>
            <w:r>
              <w:rPr>
                <w:rFonts w:hint="eastAsia"/>
                <w:color w:val="auto"/>
              </w:rPr>
              <w:t>0.3</w:t>
            </w:r>
          </w:p>
        </w:tc>
        <w:tc>
          <w:tcPr>
            <w:tcW w:w="428" w:type="pct"/>
            <w:vMerge w:val="restart"/>
            <w:vAlign w:val="center"/>
          </w:tcPr>
          <w:p w14:paraId="030A516E">
            <w:pPr>
              <w:pStyle w:val="129"/>
              <w:widowControl w:val="0"/>
              <w:rPr>
                <w:color w:val="auto"/>
              </w:rPr>
            </w:pPr>
            <w:r>
              <w:rPr>
                <w:rFonts w:hint="eastAsia"/>
                <w:color w:val="auto"/>
              </w:rPr>
              <w:t>17</w:t>
            </w:r>
          </w:p>
        </w:tc>
        <w:tc>
          <w:tcPr>
            <w:tcW w:w="588" w:type="pct"/>
            <w:vMerge w:val="restart"/>
            <w:vAlign w:val="center"/>
          </w:tcPr>
          <w:p w14:paraId="3DE29219">
            <w:pPr>
              <w:pStyle w:val="129"/>
              <w:widowControl w:val="0"/>
              <w:rPr>
                <w:color w:val="auto"/>
              </w:rPr>
            </w:pPr>
            <w:r>
              <w:rPr>
                <w:color w:val="auto"/>
              </w:rPr>
              <w:t>3000</w:t>
            </w:r>
          </w:p>
        </w:tc>
        <w:tc>
          <w:tcPr>
            <w:tcW w:w="571" w:type="pct"/>
            <w:vAlign w:val="center"/>
          </w:tcPr>
          <w:p w14:paraId="380B9836">
            <w:pPr>
              <w:pStyle w:val="129"/>
              <w:widowControl w:val="0"/>
              <w:rPr>
                <w:color w:val="auto"/>
              </w:rPr>
            </w:pPr>
            <w:r>
              <w:rPr>
                <w:color w:val="auto"/>
              </w:rPr>
              <w:t>连续</w:t>
            </w:r>
          </w:p>
        </w:tc>
      </w:tr>
      <w:tr w14:paraId="42B8DBF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0271061B">
            <w:pPr>
              <w:pStyle w:val="129"/>
              <w:widowControl w:val="0"/>
              <w:rPr>
                <w:color w:val="auto"/>
              </w:rPr>
            </w:pPr>
          </w:p>
        </w:tc>
        <w:tc>
          <w:tcPr>
            <w:tcW w:w="813" w:type="pct"/>
            <w:vAlign w:val="center"/>
          </w:tcPr>
          <w:p w14:paraId="4503F9A6">
            <w:pPr>
              <w:pStyle w:val="129"/>
              <w:widowControl w:val="0"/>
              <w:rPr>
                <w:color w:val="auto"/>
              </w:rPr>
            </w:pPr>
            <w:r>
              <w:rPr>
                <w:rFonts w:hint="eastAsia"/>
                <w:color w:val="auto"/>
              </w:rPr>
              <w:t>钴及其化合物</w:t>
            </w:r>
          </w:p>
        </w:tc>
        <w:tc>
          <w:tcPr>
            <w:tcW w:w="765" w:type="pct"/>
            <w:vAlign w:val="center"/>
          </w:tcPr>
          <w:p w14:paraId="448D25DB">
            <w:pPr>
              <w:pStyle w:val="129"/>
              <w:widowControl w:val="0"/>
              <w:rPr>
                <w:color w:val="auto"/>
              </w:rPr>
            </w:pPr>
            <w:r>
              <w:rPr>
                <w:color w:val="auto"/>
              </w:rPr>
              <w:t>0.0004</w:t>
            </w:r>
          </w:p>
        </w:tc>
        <w:tc>
          <w:tcPr>
            <w:tcW w:w="537" w:type="pct"/>
            <w:vMerge w:val="continue"/>
            <w:vAlign w:val="center"/>
          </w:tcPr>
          <w:p w14:paraId="75F21726">
            <w:pPr>
              <w:pStyle w:val="129"/>
              <w:widowControl w:val="0"/>
              <w:rPr>
                <w:color w:val="auto"/>
              </w:rPr>
            </w:pPr>
          </w:p>
        </w:tc>
        <w:tc>
          <w:tcPr>
            <w:tcW w:w="489" w:type="pct"/>
            <w:vMerge w:val="continue"/>
            <w:vAlign w:val="center"/>
          </w:tcPr>
          <w:p w14:paraId="636F0FC7">
            <w:pPr>
              <w:pStyle w:val="129"/>
              <w:widowControl w:val="0"/>
              <w:rPr>
                <w:color w:val="auto"/>
              </w:rPr>
            </w:pPr>
          </w:p>
        </w:tc>
        <w:tc>
          <w:tcPr>
            <w:tcW w:w="428" w:type="pct"/>
            <w:vMerge w:val="continue"/>
            <w:vAlign w:val="center"/>
          </w:tcPr>
          <w:p w14:paraId="36BD329D">
            <w:pPr>
              <w:pStyle w:val="129"/>
              <w:widowControl w:val="0"/>
              <w:rPr>
                <w:color w:val="auto"/>
              </w:rPr>
            </w:pPr>
          </w:p>
        </w:tc>
        <w:tc>
          <w:tcPr>
            <w:tcW w:w="588" w:type="pct"/>
            <w:vMerge w:val="continue"/>
            <w:vAlign w:val="center"/>
          </w:tcPr>
          <w:p w14:paraId="134B8B67">
            <w:pPr>
              <w:pStyle w:val="129"/>
              <w:widowControl w:val="0"/>
              <w:rPr>
                <w:color w:val="auto"/>
              </w:rPr>
            </w:pPr>
          </w:p>
        </w:tc>
        <w:tc>
          <w:tcPr>
            <w:tcW w:w="571" w:type="pct"/>
            <w:vAlign w:val="center"/>
          </w:tcPr>
          <w:p w14:paraId="542FA424">
            <w:pPr>
              <w:pStyle w:val="129"/>
              <w:widowControl w:val="0"/>
              <w:rPr>
                <w:color w:val="auto"/>
              </w:rPr>
            </w:pPr>
            <w:r>
              <w:rPr>
                <w:color w:val="auto"/>
              </w:rPr>
              <w:t>连续</w:t>
            </w:r>
          </w:p>
        </w:tc>
      </w:tr>
      <w:tr w14:paraId="0921CF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48DC2365">
            <w:pPr>
              <w:pStyle w:val="129"/>
              <w:widowControl w:val="0"/>
              <w:rPr>
                <w:color w:val="auto"/>
              </w:rPr>
            </w:pPr>
          </w:p>
        </w:tc>
        <w:tc>
          <w:tcPr>
            <w:tcW w:w="813" w:type="pct"/>
            <w:vAlign w:val="center"/>
          </w:tcPr>
          <w:p w14:paraId="4046B328">
            <w:pPr>
              <w:pStyle w:val="129"/>
              <w:widowControl w:val="0"/>
              <w:rPr>
                <w:color w:val="auto"/>
              </w:rPr>
            </w:pPr>
            <w:r>
              <w:rPr>
                <w:rFonts w:hint="eastAsia"/>
                <w:color w:val="auto"/>
              </w:rPr>
              <w:t>钼及其化合物</w:t>
            </w:r>
          </w:p>
        </w:tc>
        <w:tc>
          <w:tcPr>
            <w:tcW w:w="765" w:type="pct"/>
            <w:vAlign w:val="center"/>
          </w:tcPr>
          <w:p w14:paraId="7353DAB9">
            <w:pPr>
              <w:pStyle w:val="129"/>
              <w:widowControl w:val="0"/>
              <w:rPr>
                <w:color w:val="auto"/>
              </w:rPr>
            </w:pPr>
            <w:r>
              <w:rPr>
                <w:color w:val="auto"/>
              </w:rPr>
              <w:t>0.0001</w:t>
            </w:r>
          </w:p>
        </w:tc>
        <w:tc>
          <w:tcPr>
            <w:tcW w:w="537" w:type="pct"/>
            <w:vMerge w:val="continue"/>
            <w:vAlign w:val="center"/>
          </w:tcPr>
          <w:p w14:paraId="72FAD933">
            <w:pPr>
              <w:pStyle w:val="129"/>
              <w:widowControl w:val="0"/>
              <w:rPr>
                <w:color w:val="auto"/>
              </w:rPr>
            </w:pPr>
          </w:p>
        </w:tc>
        <w:tc>
          <w:tcPr>
            <w:tcW w:w="489" w:type="pct"/>
            <w:vMerge w:val="continue"/>
            <w:vAlign w:val="center"/>
          </w:tcPr>
          <w:p w14:paraId="1C6B6C3F">
            <w:pPr>
              <w:pStyle w:val="129"/>
              <w:widowControl w:val="0"/>
              <w:rPr>
                <w:color w:val="auto"/>
              </w:rPr>
            </w:pPr>
          </w:p>
        </w:tc>
        <w:tc>
          <w:tcPr>
            <w:tcW w:w="428" w:type="pct"/>
            <w:vMerge w:val="continue"/>
            <w:vAlign w:val="center"/>
          </w:tcPr>
          <w:p w14:paraId="602463F5">
            <w:pPr>
              <w:pStyle w:val="129"/>
              <w:widowControl w:val="0"/>
              <w:rPr>
                <w:color w:val="auto"/>
              </w:rPr>
            </w:pPr>
          </w:p>
        </w:tc>
        <w:tc>
          <w:tcPr>
            <w:tcW w:w="588" w:type="pct"/>
            <w:vMerge w:val="continue"/>
            <w:vAlign w:val="center"/>
          </w:tcPr>
          <w:p w14:paraId="6F1B9B3F">
            <w:pPr>
              <w:pStyle w:val="129"/>
              <w:widowControl w:val="0"/>
              <w:rPr>
                <w:color w:val="auto"/>
              </w:rPr>
            </w:pPr>
          </w:p>
        </w:tc>
        <w:tc>
          <w:tcPr>
            <w:tcW w:w="571" w:type="pct"/>
            <w:vAlign w:val="center"/>
          </w:tcPr>
          <w:p w14:paraId="111FB9A6">
            <w:pPr>
              <w:pStyle w:val="129"/>
              <w:widowControl w:val="0"/>
              <w:rPr>
                <w:color w:val="auto"/>
              </w:rPr>
            </w:pPr>
            <w:r>
              <w:rPr>
                <w:color w:val="auto"/>
              </w:rPr>
              <w:t>连续</w:t>
            </w:r>
          </w:p>
        </w:tc>
      </w:tr>
      <w:tr w14:paraId="78578F5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7117A734">
            <w:pPr>
              <w:pStyle w:val="129"/>
              <w:widowControl w:val="0"/>
              <w:rPr>
                <w:color w:val="auto"/>
              </w:rPr>
            </w:pPr>
          </w:p>
        </w:tc>
        <w:tc>
          <w:tcPr>
            <w:tcW w:w="813" w:type="pct"/>
            <w:vAlign w:val="center"/>
          </w:tcPr>
          <w:p w14:paraId="33766C81">
            <w:pPr>
              <w:pStyle w:val="129"/>
              <w:widowControl w:val="0"/>
              <w:rPr>
                <w:color w:val="auto"/>
              </w:rPr>
            </w:pPr>
            <w:r>
              <w:rPr>
                <w:rFonts w:hint="eastAsia"/>
                <w:color w:val="auto"/>
              </w:rPr>
              <w:t>镍及其化合物</w:t>
            </w:r>
          </w:p>
        </w:tc>
        <w:tc>
          <w:tcPr>
            <w:tcW w:w="765" w:type="pct"/>
            <w:vAlign w:val="center"/>
          </w:tcPr>
          <w:p w14:paraId="612D5904">
            <w:pPr>
              <w:pStyle w:val="129"/>
              <w:widowControl w:val="0"/>
              <w:rPr>
                <w:color w:val="auto"/>
              </w:rPr>
            </w:pPr>
            <w:r>
              <w:rPr>
                <w:color w:val="auto"/>
              </w:rPr>
              <w:t>0.0001</w:t>
            </w:r>
          </w:p>
        </w:tc>
        <w:tc>
          <w:tcPr>
            <w:tcW w:w="537" w:type="pct"/>
            <w:vMerge w:val="continue"/>
            <w:vAlign w:val="center"/>
          </w:tcPr>
          <w:p w14:paraId="23BCEB96">
            <w:pPr>
              <w:pStyle w:val="129"/>
              <w:widowControl w:val="0"/>
              <w:rPr>
                <w:color w:val="auto"/>
              </w:rPr>
            </w:pPr>
          </w:p>
        </w:tc>
        <w:tc>
          <w:tcPr>
            <w:tcW w:w="489" w:type="pct"/>
            <w:vMerge w:val="continue"/>
            <w:vAlign w:val="center"/>
          </w:tcPr>
          <w:p w14:paraId="21A69A02">
            <w:pPr>
              <w:pStyle w:val="129"/>
              <w:widowControl w:val="0"/>
              <w:rPr>
                <w:color w:val="auto"/>
              </w:rPr>
            </w:pPr>
          </w:p>
        </w:tc>
        <w:tc>
          <w:tcPr>
            <w:tcW w:w="428" w:type="pct"/>
            <w:vMerge w:val="continue"/>
            <w:vAlign w:val="center"/>
          </w:tcPr>
          <w:p w14:paraId="0F6F0144">
            <w:pPr>
              <w:pStyle w:val="129"/>
              <w:widowControl w:val="0"/>
              <w:rPr>
                <w:color w:val="auto"/>
              </w:rPr>
            </w:pPr>
          </w:p>
        </w:tc>
        <w:tc>
          <w:tcPr>
            <w:tcW w:w="588" w:type="pct"/>
            <w:vMerge w:val="continue"/>
            <w:vAlign w:val="center"/>
          </w:tcPr>
          <w:p w14:paraId="30904C92">
            <w:pPr>
              <w:pStyle w:val="129"/>
              <w:widowControl w:val="0"/>
              <w:rPr>
                <w:color w:val="auto"/>
              </w:rPr>
            </w:pPr>
          </w:p>
        </w:tc>
        <w:tc>
          <w:tcPr>
            <w:tcW w:w="571" w:type="pct"/>
            <w:vAlign w:val="center"/>
          </w:tcPr>
          <w:p w14:paraId="2AD63FBA">
            <w:pPr>
              <w:pStyle w:val="129"/>
              <w:widowControl w:val="0"/>
              <w:rPr>
                <w:color w:val="auto"/>
              </w:rPr>
            </w:pPr>
            <w:r>
              <w:rPr>
                <w:color w:val="auto"/>
              </w:rPr>
              <w:t>连续</w:t>
            </w:r>
          </w:p>
        </w:tc>
      </w:tr>
      <w:tr w14:paraId="7EA211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52241051">
            <w:pPr>
              <w:pStyle w:val="129"/>
              <w:widowControl w:val="0"/>
              <w:rPr>
                <w:color w:val="auto"/>
              </w:rPr>
            </w:pPr>
          </w:p>
        </w:tc>
        <w:tc>
          <w:tcPr>
            <w:tcW w:w="813" w:type="pct"/>
            <w:vAlign w:val="center"/>
          </w:tcPr>
          <w:p w14:paraId="4C92E757">
            <w:pPr>
              <w:pStyle w:val="129"/>
              <w:widowControl w:val="0"/>
              <w:rPr>
                <w:color w:val="auto"/>
              </w:rPr>
            </w:pPr>
            <w:r>
              <w:rPr>
                <w:rFonts w:hint="eastAsia"/>
                <w:color w:val="auto"/>
              </w:rPr>
              <w:t>锰及其化合物</w:t>
            </w:r>
          </w:p>
        </w:tc>
        <w:tc>
          <w:tcPr>
            <w:tcW w:w="765" w:type="pct"/>
            <w:vAlign w:val="center"/>
          </w:tcPr>
          <w:p w14:paraId="3AC1CE5F">
            <w:pPr>
              <w:pStyle w:val="129"/>
              <w:widowControl w:val="0"/>
              <w:rPr>
                <w:color w:val="auto"/>
              </w:rPr>
            </w:pPr>
            <w:r>
              <w:rPr>
                <w:color w:val="auto"/>
              </w:rPr>
              <w:t>0.0002</w:t>
            </w:r>
          </w:p>
        </w:tc>
        <w:tc>
          <w:tcPr>
            <w:tcW w:w="537" w:type="pct"/>
            <w:vMerge w:val="continue"/>
            <w:vAlign w:val="center"/>
          </w:tcPr>
          <w:p w14:paraId="3816DD37">
            <w:pPr>
              <w:pStyle w:val="129"/>
              <w:widowControl w:val="0"/>
              <w:rPr>
                <w:color w:val="auto"/>
              </w:rPr>
            </w:pPr>
          </w:p>
        </w:tc>
        <w:tc>
          <w:tcPr>
            <w:tcW w:w="489" w:type="pct"/>
            <w:vMerge w:val="continue"/>
            <w:vAlign w:val="center"/>
          </w:tcPr>
          <w:p w14:paraId="6031647D">
            <w:pPr>
              <w:pStyle w:val="129"/>
              <w:widowControl w:val="0"/>
              <w:rPr>
                <w:color w:val="auto"/>
              </w:rPr>
            </w:pPr>
          </w:p>
        </w:tc>
        <w:tc>
          <w:tcPr>
            <w:tcW w:w="428" w:type="pct"/>
            <w:vMerge w:val="continue"/>
            <w:vAlign w:val="center"/>
          </w:tcPr>
          <w:p w14:paraId="61E9039F">
            <w:pPr>
              <w:pStyle w:val="129"/>
              <w:widowControl w:val="0"/>
              <w:rPr>
                <w:color w:val="auto"/>
              </w:rPr>
            </w:pPr>
          </w:p>
        </w:tc>
        <w:tc>
          <w:tcPr>
            <w:tcW w:w="588" w:type="pct"/>
            <w:vMerge w:val="continue"/>
            <w:vAlign w:val="center"/>
          </w:tcPr>
          <w:p w14:paraId="433CE066">
            <w:pPr>
              <w:pStyle w:val="129"/>
              <w:widowControl w:val="0"/>
              <w:rPr>
                <w:color w:val="auto"/>
              </w:rPr>
            </w:pPr>
          </w:p>
        </w:tc>
        <w:tc>
          <w:tcPr>
            <w:tcW w:w="571" w:type="pct"/>
            <w:vAlign w:val="center"/>
          </w:tcPr>
          <w:p w14:paraId="117989A4">
            <w:pPr>
              <w:pStyle w:val="129"/>
              <w:widowControl w:val="0"/>
              <w:rPr>
                <w:color w:val="auto"/>
              </w:rPr>
            </w:pPr>
            <w:r>
              <w:rPr>
                <w:color w:val="auto"/>
              </w:rPr>
              <w:t>连续</w:t>
            </w:r>
          </w:p>
        </w:tc>
      </w:tr>
      <w:tr w14:paraId="5CCE51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2A7B9DD6">
            <w:pPr>
              <w:pStyle w:val="129"/>
              <w:widowControl w:val="0"/>
              <w:rPr>
                <w:color w:val="auto"/>
              </w:rPr>
            </w:pPr>
          </w:p>
        </w:tc>
        <w:tc>
          <w:tcPr>
            <w:tcW w:w="813" w:type="pct"/>
            <w:vAlign w:val="center"/>
          </w:tcPr>
          <w:p w14:paraId="6362E465">
            <w:pPr>
              <w:pStyle w:val="129"/>
              <w:widowControl w:val="0"/>
              <w:rPr>
                <w:color w:val="auto"/>
              </w:rPr>
            </w:pPr>
            <w:r>
              <w:rPr>
                <w:rFonts w:hint="eastAsia"/>
                <w:color w:val="auto"/>
              </w:rPr>
              <w:t>铜及其化合物</w:t>
            </w:r>
          </w:p>
        </w:tc>
        <w:tc>
          <w:tcPr>
            <w:tcW w:w="765" w:type="pct"/>
            <w:vAlign w:val="center"/>
          </w:tcPr>
          <w:p w14:paraId="63E0E5BC">
            <w:pPr>
              <w:pStyle w:val="129"/>
              <w:widowControl w:val="0"/>
              <w:rPr>
                <w:color w:val="auto"/>
              </w:rPr>
            </w:pPr>
            <w:r>
              <w:rPr>
                <w:color w:val="auto"/>
              </w:rPr>
              <w:t>0.0001</w:t>
            </w:r>
          </w:p>
        </w:tc>
        <w:tc>
          <w:tcPr>
            <w:tcW w:w="537" w:type="pct"/>
            <w:vMerge w:val="continue"/>
            <w:vAlign w:val="center"/>
          </w:tcPr>
          <w:p w14:paraId="45DA3E7B">
            <w:pPr>
              <w:pStyle w:val="129"/>
              <w:widowControl w:val="0"/>
              <w:rPr>
                <w:color w:val="auto"/>
              </w:rPr>
            </w:pPr>
          </w:p>
        </w:tc>
        <w:tc>
          <w:tcPr>
            <w:tcW w:w="489" w:type="pct"/>
            <w:vMerge w:val="continue"/>
            <w:vAlign w:val="center"/>
          </w:tcPr>
          <w:p w14:paraId="609BBEB6">
            <w:pPr>
              <w:pStyle w:val="129"/>
              <w:widowControl w:val="0"/>
              <w:rPr>
                <w:color w:val="auto"/>
              </w:rPr>
            </w:pPr>
          </w:p>
        </w:tc>
        <w:tc>
          <w:tcPr>
            <w:tcW w:w="428" w:type="pct"/>
            <w:vMerge w:val="continue"/>
            <w:vAlign w:val="center"/>
          </w:tcPr>
          <w:p w14:paraId="51F037A3">
            <w:pPr>
              <w:pStyle w:val="129"/>
              <w:widowControl w:val="0"/>
              <w:rPr>
                <w:color w:val="auto"/>
              </w:rPr>
            </w:pPr>
          </w:p>
        </w:tc>
        <w:tc>
          <w:tcPr>
            <w:tcW w:w="588" w:type="pct"/>
            <w:vMerge w:val="continue"/>
            <w:vAlign w:val="center"/>
          </w:tcPr>
          <w:p w14:paraId="07935B29">
            <w:pPr>
              <w:pStyle w:val="129"/>
              <w:widowControl w:val="0"/>
              <w:rPr>
                <w:color w:val="auto"/>
              </w:rPr>
            </w:pPr>
          </w:p>
        </w:tc>
        <w:tc>
          <w:tcPr>
            <w:tcW w:w="571" w:type="pct"/>
            <w:vAlign w:val="center"/>
          </w:tcPr>
          <w:p w14:paraId="3B1CD96F">
            <w:pPr>
              <w:pStyle w:val="129"/>
              <w:widowControl w:val="0"/>
              <w:rPr>
                <w:color w:val="auto"/>
              </w:rPr>
            </w:pPr>
            <w:r>
              <w:rPr>
                <w:color w:val="auto"/>
              </w:rPr>
              <w:t>连续</w:t>
            </w:r>
          </w:p>
        </w:tc>
      </w:tr>
      <w:tr w14:paraId="4F6049F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720F69CC">
            <w:pPr>
              <w:pStyle w:val="129"/>
              <w:widowControl w:val="0"/>
              <w:rPr>
                <w:color w:val="auto"/>
              </w:rPr>
            </w:pPr>
          </w:p>
        </w:tc>
        <w:tc>
          <w:tcPr>
            <w:tcW w:w="813" w:type="pct"/>
            <w:vAlign w:val="center"/>
          </w:tcPr>
          <w:p w14:paraId="545AB2BD">
            <w:pPr>
              <w:pStyle w:val="129"/>
              <w:widowControl w:val="0"/>
              <w:rPr>
                <w:color w:val="auto"/>
              </w:rPr>
            </w:pPr>
            <w:r>
              <w:rPr>
                <w:rFonts w:hint="eastAsia"/>
                <w:color w:val="auto"/>
              </w:rPr>
              <w:t>锆及其化合物</w:t>
            </w:r>
          </w:p>
        </w:tc>
        <w:tc>
          <w:tcPr>
            <w:tcW w:w="765" w:type="pct"/>
            <w:vAlign w:val="center"/>
          </w:tcPr>
          <w:p w14:paraId="3687F1C6">
            <w:pPr>
              <w:pStyle w:val="129"/>
              <w:widowControl w:val="0"/>
              <w:rPr>
                <w:color w:val="auto"/>
              </w:rPr>
            </w:pPr>
            <w:r>
              <w:rPr>
                <w:color w:val="auto"/>
              </w:rPr>
              <w:t>0.0001</w:t>
            </w:r>
          </w:p>
        </w:tc>
        <w:tc>
          <w:tcPr>
            <w:tcW w:w="537" w:type="pct"/>
            <w:vMerge w:val="continue"/>
            <w:vAlign w:val="center"/>
          </w:tcPr>
          <w:p w14:paraId="18530F1A">
            <w:pPr>
              <w:pStyle w:val="129"/>
              <w:widowControl w:val="0"/>
              <w:rPr>
                <w:color w:val="auto"/>
              </w:rPr>
            </w:pPr>
          </w:p>
        </w:tc>
        <w:tc>
          <w:tcPr>
            <w:tcW w:w="489" w:type="pct"/>
            <w:vMerge w:val="continue"/>
            <w:vAlign w:val="center"/>
          </w:tcPr>
          <w:p w14:paraId="45770793">
            <w:pPr>
              <w:pStyle w:val="129"/>
              <w:widowControl w:val="0"/>
              <w:rPr>
                <w:color w:val="auto"/>
              </w:rPr>
            </w:pPr>
          </w:p>
        </w:tc>
        <w:tc>
          <w:tcPr>
            <w:tcW w:w="428" w:type="pct"/>
            <w:vMerge w:val="continue"/>
            <w:vAlign w:val="center"/>
          </w:tcPr>
          <w:p w14:paraId="026A75E9">
            <w:pPr>
              <w:pStyle w:val="129"/>
              <w:widowControl w:val="0"/>
              <w:rPr>
                <w:color w:val="auto"/>
              </w:rPr>
            </w:pPr>
          </w:p>
        </w:tc>
        <w:tc>
          <w:tcPr>
            <w:tcW w:w="588" w:type="pct"/>
            <w:vMerge w:val="continue"/>
            <w:vAlign w:val="center"/>
          </w:tcPr>
          <w:p w14:paraId="493A2783">
            <w:pPr>
              <w:pStyle w:val="129"/>
              <w:widowControl w:val="0"/>
              <w:rPr>
                <w:color w:val="auto"/>
              </w:rPr>
            </w:pPr>
          </w:p>
        </w:tc>
        <w:tc>
          <w:tcPr>
            <w:tcW w:w="571" w:type="pct"/>
            <w:vAlign w:val="center"/>
          </w:tcPr>
          <w:p w14:paraId="570AAB73">
            <w:pPr>
              <w:pStyle w:val="129"/>
              <w:widowControl w:val="0"/>
              <w:rPr>
                <w:color w:val="auto"/>
              </w:rPr>
            </w:pPr>
            <w:r>
              <w:rPr>
                <w:color w:val="auto"/>
              </w:rPr>
              <w:t>连续</w:t>
            </w:r>
          </w:p>
        </w:tc>
      </w:tr>
      <w:tr w14:paraId="179D90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3C029E37">
            <w:pPr>
              <w:pStyle w:val="129"/>
              <w:widowControl w:val="0"/>
              <w:rPr>
                <w:rFonts w:hint="eastAsia" w:ascii="宋体" w:hAnsi="宋体" w:cs="宋体"/>
                <w:color w:val="auto"/>
              </w:rPr>
            </w:pPr>
            <w:r>
              <w:rPr>
                <w:rFonts w:hint="eastAsia" w:ascii="宋体" w:hAnsi="宋体" w:cs="宋体"/>
                <w:color w:val="auto"/>
              </w:rPr>
              <w:t>燃气锅炉</w:t>
            </w:r>
          </w:p>
          <w:p w14:paraId="4B7C65C4">
            <w:pPr>
              <w:pStyle w:val="129"/>
              <w:widowControl w:val="0"/>
              <w:rPr>
                <w:color w:val="auto"/>
              </w:rPr>
            </w:pPr>
            <w:r>
              <w:rPr>
                <w:rFonts w:hint="eastAsia" w:ascii="宋体" w:hAnsi="宋体" w:cs="宋体"/>
                <w:color w:val="auto"/>
              </w:rPr>
              <w:t>废气</w:t>
            </w:r>
            <w:r>
              <w:rPr>
                <w:rFonts w:hint="eastAsia"/>
                <w:color w:val="auto"/>
              </w:rPr>
              <w:t>1</w:t>
            </w:r>
          </w:p>
        </w:tc>
        <w:tc>
          <w:tcPr>
            <w:tcW w:w="813" w:type="pct"/>
            <w:vAlign w:val="center"/>
          </w:tcPr>
          <w:p w14:paraId="7E58FC79">
            <w:pPr>
              <w:pStyle w:val="129"/>
              <w:widowControl w:val="0"/>
              <w:rPr>
                <w:color w:val="auto"/>
              </w:rPr>
            </w:pPr>
            <w:r>
              <w:rPr>
                <w:rFonts w:hint="eastAsia" w:ascii="宋体" w:hAnsi="宋体" w:cs="宋体"/>
                <w:color w:val="auto"/>
              </w:rPr>
              <w:t>颗粒物</w:t>
            </w:r>
          </w:p>
        </w:tc>
        <w:tc>
          <w:tcPr>
            <w:tcW w:w="765" w:type="pct"/>
            <w:vAlign w:val="center"/>
          </w:tcPr>
          <w:p w14:paraId="36DA99DB">
            <w:pPr>
              <w:pStyle w:val="129"/>
              <w:widowControl w:val="0"/>
              <w:rPr>
                <w:color w:val="auto"/>
              </w:rPr>
            </w:pPr>
            <w:r>
              <w:rPr>
                <w:color w:val="auto"/>
              </w:rPr>
              <w:t>0.066</w:t>
            </w:r>
          </w:p>
        </w:tc>
        <w:tc>
          <w:tcPr>
            <w:tcW w:w="537" w:type="pct"/>
            <w:vMerge w:val="restart"/>
            <w:vAlign w:val="center"/>
          </w:tcPr>
          <w:p w14:paraId="7B4D2F9C">
            <w:pPr>
              <w:pStyle w:val="129"/>
              <w:widowControl w:val="0"/>
              <w:rPr>
                <w:color w:val="auto"/>
              </w:rPr>
            </w:pPr>
            <w:r>
              <w:rPr>
                <w:rFonts w:hint="eastAsia"/>
                <w:color w:val="auto"/>
              </w:rPr>
              <w:t>80</w:t>
            </w:r>
          </w:p>
        </w:tc>
        <w:tc>
          <w:tcPr>
            <w:tcW w:w="489" w:type="pct"/>
            <w:vMerge w:val="restart"/>
            <w:vAlign w:val="center"/>
          </w:tcPr>
          <w:p w14:paraId="5B2877B2">
            <w:pPr>
              <w:pStyle w:val="129"/>
              <w:widowControl w:val="0"/>
              <w:rPr>
                <w:color w:val="auto"/>
              </w:rPr>
            </w:pPr>
            <w:r>
              <w:rPr>
                <w:rFonts w:hint="eastAsia"/>
                <w:color w:val="auto"/>
              </w:rPr>
              <w:t>0.4</w:t>
            </w:r>
          </w:p>
        </w:tc>
        <w:tc>
          <w:tcPr>
            <w:tcW w:w="428" w:type="pct"/>
            <w:vMerge w:val="restart"/>
            <w:vAlign w:val="center"/>
          </w:tcPr>
          <w:p w14:paraId="3A84C39A">
            <w:pPr>
              <w:pStyle w:val="129"/>
              <w:widowControl w:val="0"/>
              <w:rPr>
                <w:color w:val="auto"/>
              </w:rPr>
            </w:pPr>
            <w:r>
              <w:rPr>
                <w:rFonts w:hint="eastAsia"/>
                <w:color w:val="auto"/>
              </w:rPr>
              <w:t>15</w:t>
            </w:r>
          </w:p>
        </w:tc>
        <w:tc>
          <w:tcPr>
            <w:tcW w:w="588" w:type="pct"/>
            <w:vMerge w:val="restart"/>
            <w:vAlign w:val="center"/>
          </w:tcPr>
          <w:p w14:paraId="1250BFEB">
            <w:pPr>
              <w:pStyle w:val="129"/>
              <w:widowControl w:val="0"/>
              <w:rPr>
                <w:color w:val="auto"/>
              </w:rPr>
            </w:pPr>
            <w:r>
              <w:rPr>
                <w:color w:val="auto"/>
              </w:rPr>
              <w:t>6616</w:t>
            </w:r>
          </w:p>
        </w:tc>
        <w:tc>
          <w:tcPr>
            <w:tcW w:w="571" w:type="pct"/>
            <w:vAlign w:val="center"/>
          </w:tcPr>
          <w:p w14:paraId="3EDF4D19">
            <w:pPr>
              <w:pStyle w:val="129"/>
              <w:widowControl w:val="0"/>
              <w:rPr>
                <w:color w:val="auto"/>
              </w:rPr>
            </w:pPr>
            <w:r>
              <w:rPr>
                <w:color w:val="auto"/>
              </w:rPr>
              <w:t>连续</w:t>
            </w:r>
          </w:p>
        </w:tc>
      </w:tr>
      <w:tr w14:paraId="6CF5B9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12C8BE59">
            <w:pPr>
              <w:pStyle w:val="129"/>
              <w:widowControl w:val="0"/>
              <w:rPr>
                <w:color w:val="auto"/>
              </w:rPr>
            </w:pPr>
          </w:p>
        </w:tc>
        <w:tc>
          <w:tcPr>
            <w:tcW w:w="813" w:type="pct"/>
            <w:vAlign w:val="center"/>
          </w:tcPr>
          <w:p w14:paraId="3A3B26D0">
            <w:pPr>
              <w:pStyle w:val="129"/>
              <w:widowControl w:val="0"/>
              <w:rPr>
                <w:color w:val="auto"/>
              </w:rPr>
            </w:pPr>
            <w:r>
              <w:rPr>
                <w:rStyle w:val="1313"/>
                <w:rFonts w:hint="default" w:ascii="Times New Roman" w:hAnsi="Times New Roman" w:cs="Times New Roman"/>
                <w:color w:val="auto"/>
              </w:rPr>
              <w:t>SO</w:t>
            </w:r>
            <w:r>
              <w:rPr>
                <w:rStyle w:val="1485"/>
                <w:rFonts w:hint="default" w:ascii="Times New Roman" w:hAnsi="Times New Roman"/>
                <w:color w:val="auto"/>
                <w:sz w:val="21"/>
                <w:szCs w:val="21"/>
                <w:vertAlign w:val="subscript"/>
              </w:rPr>
              <w:t>2</w:t>
            </w:r>
          </w:p>
        </w:tc>
        <w:tc>
          <w:tcPr>
            <w:tcW w:w="765" w:type="pct"/>
            <w:vAlign w:val="center"/>
          </w:tcPr>
          <w:p w14:paraId="0A4CC22C">
            <w:pPr>
              <w:pStyle w:val="129"/>
              <w:widowControl w:val="0"/>
              <w:rPr>
                <w:color w:val="auto"/>
              </w:rPr>
            </w:pPr>
            <w:r>
              <w:rPr>
                <w:color w:val="auto"/>
              </w:rPr>
              <w:t>0.015</w:t>
            </w:r>
          </w:p>
        </w:tc>
        <w:tc>
          <w:tcPr>
            <w:tcW w:w="537" w:type="pct"/>
            <w:vMerge w:val="continue"/>
            <w:vAlign w:val="center"/>
          </w:tcPr>
          <w:p w14:paraId="3DC1C5D6">
            <w:pPr>
              <w:pStyle w:val="129"/>
              <w:widowControl w:val="0"/>
              <w:rPr>
                <w:color w:val="auto"/>
              </w:rPr>
            </w:pPr>
          </w:p>
        </w:tc>
        <w:tc>
          <w:tcPr>
            <w:tcW w:w="489" w:type="pct"/>
            <w:vMerge w:val="continue"/>
            <w:vAlign w:val="center"/>
          </w:tcPr>
          <w:p w14:paraId="4DCF70E4">
            <w:pPr>
              <w:pStyle w:val="129"/>
              <w:widowControl w:val="0"/>
              <w:rPr>
                <w:color w:val="auto"/>
              </w:rPr>
            </w:pPr>
          </w:p>
        </w:tc>
        <w:tc>
          <w:tcPr>
            <w:tcW w:w="428" w:type="pct"/>
            <w:vMerge w:val="continue"/>
            <w:vAlign w:val="center"/>
          </w:tcPr>
          <w:p w14:paraId="2A2AC5FA">
            <w:pPr>
              <w:pStyle w:val="129"/>
              <w:widowControl w:val="0"/>
              <w:rPr>
                <w:color w:val="auto"/>
              </w:rPr>
            </w:pPr>
          </w:p>
        </w:tc>
        <w:tc>
          <w:tcPr>
            <w:tcW w:w="588" w:type="pct"/>
            <w:vMerge w:val="continue"/>
            <w:vAlign w:val="center"/>
          </w:tcPr>
          <w:p w14:paraId="45F9D7EB">
            <w:pPr>
              <w:pStyle w:val="129"/>
              <w:widowControl w:val="0"/>
              <w:rPr>
                <w:color w:val="auto"/>
              </w:rPr>
            </w:pPr>
          </w:p>
        </w:tc>
        <w:tc>
          <w:tcPr>
            <w:tcW w:w="571" w:type="pct"/>
            <w:vAlign w:val="center"/>
          </w:tcPr>
          <w:p w14:paraId="1CDD32E2">
            <w:pPr>
              <w:pStyle w:val="129"/>
              <w:widowControl w:val="0"/>
              <w:rPr>
                <w:color w:val="auto"/>
              </w:rPr>
            </w:pPr>
            <w:r>
              <w:rPr>
                <w:color w:val="auto"/>
              </w:rPr>
              <w:t>连续</w:t>
            </w:r>
          </w:p>
        </w:tc>
      </w:tr>
      <w:tr w14:paraId="38CD72A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29E4F18B">
            <w:pPr>
              <w:pStyle w:val="129"/>
              <w:widowControl w:val="0"/>
              <w:rPr>
                <w:color w:val="auto"/>
              </w:rPr>
            </w:pPr>
          </w:p>
        </w:tc>
        <w:tc>
          <w:tcPr>
            <w:tcW w:w="813" w:type="pct"/>
            <w:vAlign w:val="center"/>
          </w:tcPr>
          <w:p w14:paraId="4F132ADA">
            <w:pPr>
              <w:pStyle w:val="129"/>
              <w:widowControl w:val="0"/>
              <w:rPr>
                <w:color w:val="auto"/>
              </w:rPr>
            </w:pPr>
            <w:r>
              <w:rPr>
                <w:rStyle w:val="1313"/>
                <w:rFonts w:hint="default" w:ascii="Times New Roman" w:hAnsi="Times New Roman" w:cs="Times New Roman"/>
                <w:color w:val="auto"/>
              </w:rPr>
              <w:t>NO</w:t>
            </w:r>
            <w:r>
              <w:rPr>
                <w:rStyle w:val="1485"/>
                <w:rFonts w:hint="default" w:ascii="Times New Roman" w:hAnsi="Times New Roman"/>
                <w:color w:val="auto"/>
                <w:sz w:val="21"/>
                <w:szCs w:val="21"/>
                <w:vertAlign w:val="subscript"/>
              </w:rPr>
              <w:t>X</w:t>
            </w:r>
          </w:p>
        </w:tc>
        <w:tc>
          <w:tcPr>
            <w:tcW w:w="765" w:type="pct"/>
            <w:vAlign w:val="center"/>
          </w:tcPr>
          <w:p w14:paraId="2D5FC05E">
            <w:pPr>
              <w:pStyle w:val="129"/>
              <w:widowControl w:val="0"/>
              <w:rPr>
                <w:color w:val="auto"/>
              </w:rPr>
            </w:pPr>
            <w:r>
              <w:rPr>
                <w:color w:val="auto"/>
              </w:rPr>
              <w:t>0.186</w:t>
            </w:r>
          </w:p>
        </w:tc>
        <w:tc>
          <w:tcPr>
            <w:tcW w:w="537" w:type="pct"/>
            <w:vMerge w:val="continue"/>
            <w:vAlign w:val="center"/>
          </w:tcPr>
          <w:p w14:paraId="4D63A173">
            <w:pPr>
              <w:pStyle w:val="129"/>
              <w:widowControl w:val="0"/>
              <w:rPr>
                <w:color w:val="auto"/>
              </w:rPr>
            </w:pPr>
          </w:p>
        </w:tc>
        <w:tc>
          <w:tcPr>
            <w:tcW w:w="489" w:type="pct"/>
            <w:vMerge w:val="continue"/>
            <w:vAlign w:val="center"/>
          </w:tcPr>
          <w:p w14:paraId="0235A7AD">
            <w:pPr>
              <w:pStyle w:val="129"/>
              <w:widowControl w:val="0"/>
              <w:rPr>
                <w:color w:val="auto"/>
              </w:rPr>
            </w:pPr>
          </w:p>
        </w:tc>
        <w:tc>
          <w:tcPr>
            <w:tcW w:w="428" w:type="pct"/>
            <w:vMerge w:val="continue"/>
            <w:vAlign w:val="center"/>
          </w:tcPr>
          <w:p w14:paraId="5F6E44BA">
            <w:pPr>
              <w:pStyle w:val="129"/>
              <w:widowControl w:val="0"/>
              <w:rPr>
                <w:color w:val="auto"/>
              </w:rPr>
            </w:pPr>
          </w:p>
        </w:tc>
        <w:tc>
          <w:tcPr>
            <w:tcW w:w="588" w:type="pct"/>
            <w:vMerge w:val="continue"/>
            <w:vAlign w:val="center"/>
          </w:tcPr>
          <w:p w14:paraId="244F8C36">
            <w:pPr>
              <w:pStyle w:val="129"/>
              <w:widowControl w:val="0"/>
              <w:rPr>
                <w:color w:val="auto"/>
              </w:rPr>
            </w:pPr>
          </w:p>
        </w:tc>
        <w:tc>
          <w:tcPr>
            <w:tcW w:w="571" w:type="pct"/>
            <w:vAlign w:val="center"/>
          </w:tcPr>
          <w:p w14:paraId="1AC2A8AB">
            <w:pPr>
              <w:pStyle w:val="129"/>
              <w:widowControl w:val="0"/>
              <w:rPr>
                <w:color w:val="auto"/>
              </w:rPr>
            </w:pPr>
            <w:r>
              <w:rPr>
                <w:color w:val="auto"/>
              </w:rPr>
              <w:t>连续</w:t>
            </w:r>
          </w:p>
        </w:tc>
      </w:tr>
      <w:tr w14:paraId="05BB7D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restart"/>
            <w:vAlign w:val="center"/>
          </w:tcPr>
          <w:p w14:paraId="3CB5266C">
            <w:pPr>
              <w:pStyle w:val="129"/>
              <w:widowControl w:val="0"/>
              <w:rPr>
                <w:rFonts w:hint="eastAsia" w:ascii="宋体" w:hAnsi="宋体" w:cs="宋体"/>
                <w:color w:val="auto"/>
              </w:rPr>
            </w:pPr>
            <w:r>
              <w:rPr>
                <w:rFonts w:hint="eastAsia" w:ascii="宋体" w:hAnsi="宋体" w:cs="宋体"/>
                <w:color w:val="auto"/>
              </w:rPr>
              <w:t>燃气锅炉</w:t>
            </w:r>
          </w:p>
          <w:p w14:paraId="0C8FD355">
            <w:pPr>
              <w:pStyle w:val="129"/>
              <w:widowControl w:val="0"/>
              <w:rPr>
                <w:color w:val="auto"/>
              </w:rPr>
            </w:pPr>
            <w:r>
              <w:rPr>
                <w:rFonts w:hint="eastAsia" w:ascii="宋体" w:hAnsi="宋体" w:cs="宋体"/>
                <w:color w:val="auto"/>
              </w:rPr>
              <w:t>废气</w:t>
            </w:r>
            <w:r>
              <w:rPr>
                <w:rFonts w:hint="eastAsia"/>
                <w:color w:val="auto"/>
              </w:rPr>
              <w:t>2</w:t>
            </w:r>
          </w:p>
        </w:tc>
        <w:tc>
          <w:tcPr>
            <w:tcW w:w="813" w:type="pct"/>
            <w:vAlign w:val="center"/>
          </w:tcPr>
          <w:p w14:paraId="04AB0C0B">
            <w:pPr>
              <w:pStyle w:val="129"/>
              <w:widowControl w:val="0"/>
              <w:rPr>
                <w:color w:val="auto"/>
              </w:rPr>
            </w:pPr>
            <w:r>
              <w:rPr>
                <w:rFonts w:hint="eastAsia" w:ascii="宋体" w:hAnsi="宋体" w:cs="宋体"/>
                <w:color w:val="auto"/>
              </w:rPr>
              <w:t>颗粒物</w:t>
            </w:r>
          </w:p>
        </w:tc>
        <w:tc>
          <w:tcPr>
            <w:tcW w:w="765" w:type="pct"/>
            <w:vAlign w:val="center"/>
          </w:tcPr>
          <w:p w14:paraId="30F9C343">
            <w:pPr>
              <w:pStyle w:val="129"/>
              <w:widowControl w:val="0"/>
              <w:rPr>
                <w:color w:val="auto"/>
              </w:rPr>
            </w:pPr>
            <w:r>
              <w:rPr>
                <w:color w:val="auto"/>
              </w:rPr>
              <w:t>0.066</w:t>
            </w:r>
          </w:p>
        </w:tc>
        <w:tc>
          <w:tcPr>
            <w:tcW w:w="537" w:type="pct"/>
            <w:vMerge w:val="restart"/>
            <w:vAlign w:val="center"/>
          </w:tcPr>
          <w:p w14:paraId="78C49CD4">
            <w:pPr>
              <w:pStyle w:val="129"/>
              <w:widowControl w:val="0"/>
              <w:rPr>
                <w:color w:val="auto"/>
              </w:rPr>
            </w:pPr>
            <w:r>
              <w:rPr>
                <w:rFonts w:hint="eastAsia"/>
                <w:color w:val="auto"/>
              </w:rPr>
              <w:t>80</w:t>
            </w:r>
          </w:p>
        </w:tc>
        <w:tc>
          <w:tcPr>
            <w:tcW w:w="489" w:type="pct"/>
            <w:vMerge w:val="restart"/>
            <w:vAlign w:val="center"/>
          </w:tcPr>
          <w:p w14:paraId="29C179C3">
            <w:pPr>
              <w:pStyle w:val="129"/>
              <w:widowControl w:val="0"/>
              <w:rPr>
                <w:color w:val="auto"/>
              </w:rPr>
            </w:pPr>
            <w:r>
              <w:rPr>
                <w:rFonts w:hint="eastAsia"/>
                <w:color w:val="auto"/>
              </w:rPr>
              <w:t>0.4</w:t>
            </w:r>
          </w:p>
        </w:tc>
        <w:tc>
          <w:tcPr>
            <w:tcW w:w="428" w:type="pct"/>
            <w:vMerge w:val="restart"/>
            <w:vAlign w:val="center"/>
          </w:tcPr>
          <w:p w14:paraId="7E68F458">
            <w:pPr>
              <w:pStyle w:val="129"/>
              <w:widowControl w:val="0"/>
              <w:rPr>
                <w:color w:val="auto"/>
              </w:rPr>
            </w:pPr>
            <w:r>
              <w:rPr>
                <w:rFonts w:hint="eastAsia"/>
                <w:color w:val="auto"/>
              </w:rPr>
              <w:t>15</w:t>
            </w:r>
          </w:p>
        </w:tc>
        <w:tc>
          <w:tcPr>
            <w:tcW w:w="588" w:type="pct"/>
            <w:vMerge w:val="restart"/>
            <w:vAlign w:val="center"/>
          </w:tcPr>
          <w:p w14:paraId="1B72D140">
            <w:pPr>
              <w:pStyle w:val="129"/>
              <w:widowControl w:val="0"/>
              <w:rPr>
                <w:color w:val="auto"/>
              </w:rPr>
            </w:pPr>
            <w:r>
              <w:rPr>
                <w:color w:val="auto"/>
              </w:rPr>
              <w:t>6616</w:t>
            </w:r>
          </w:p>
        </w:tc>
        <w:tc>
          <w:tcPr>
            <w:tcW w:w="571" w:type="pct"/>
            <w:vAlign w:val="center"/>
          </w:tcPr>
          <w:p w14:paraId="1ED252B4">
            <w:pPr>
              <w:pStyle w:val="129"/>
              <w:widowControl w:val="0"/>
              <w:rPr>
                <w:color w:val="auto"/>
              </w:rPr>
            </w:pPr>
            <w:r>
              <w:rPr>
                <w:color w:val="auto"/>
              </w:rPr>
              <w:t>连续</w:t>
            </w:r>
          </w:p>
        </w:tc>
      </w:tr>
      <w:tr w14:paraId="076DF8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04D1888E">
            <w:pPr>
              <w:pStyle w:val="129"/>
              <w:widowControl w:val="0"/>
              <w:rPr>
                <w:color w:val="auto"/>
              </w:rPr>
            </w:pPr>
          </w:p>
        </w:tc>
        <w:tc>
          <w:tcPr>
            <w:tcW w:w="813" w:type="pct"/>
            <w:vAlign w:val="center"/>
          </w:tcPr>
          <w:p w14:paraId="75706B3A">
            <w:pPr>
              <w:pStyle w:val="129"/>
              <w:widowControl w:val="0"/>
              <w:rPr>
                <w:color w:val="auto"/>
              </w:rPr>
            </w:pPr>
            <w:r>
              <w:rPr>
                <w:rStyle w:val="1313"/>
                <w:rFonts w:hint="default" w:ascii="Times New Roman" w:hAnsi="Times New Roman" w:cs="Times New Roman"/>
                <w:color w:val="auto"/>
              </w:rPr>
              <w:t>SO</w:t>
            </w:r>
            <w:r>
              <w:rPr>
                <w:rStyle w:val="1485"/>
                <w:rFonts w:hint="default" w:ascii="Times New Roman" w:hAnsi="Times New Roman"/>
                <w:color w:val="auto"/>
                <w:sz w:val="21"/>
                <w:szCs w:val="21"/>
                <w:vertAlign w:val="subscript"/>
              </w:rPr>
              <w:t>2</w:t>
            </w:r>
          </w:p>
        </w:tc>
        <w:tc>
          <w:tcPr>
            <w:tcW w:w="765" w:type="pct"/>
            <w:vAlign w:val="center"/>
          </w:tcPr>
          <w:p w14:paraId="74CE8063">
            <w:pPr>
              <w:pStyle w:val="129"/>
              <w:widowControl w:val="0"/>
              <w:rPr>
                <w:color w:val="auto"/>
              </w:rPr>
            </w:pPr>
            <w:r>
              <w:rPr>
                <w:color w:val="auto"/>
              </w:rPr>
              <w:t>0.015</w:t>
            </w:r>
          </w:p>
        </w:tc>
        <w:tc>
          <w:tcPr>
            <w:tcW w:w="537" w:type="pct"/>
            <w:vMerge w:val="continue"/>
            <w:vAlign w:val="center"/>
          </w:tcPr>
          <w:p w14:paraId="31203A98">
            <w:pPr>
              <w:pStyle w:val="129"/>
              <w:widowControl w:val="0"/>
              <w:rPr>
                <w:color w:val="auto"/>
              </w:rPr>
            </w:pPr>
          </w:p>
        </w:tc>
        <w:tc>
          <w:tcPr>
            <w:tcW w:w="489" w:type="pct"/>
            <w:vMerge w:val="continue"/>
            <w:vAlign w:val="center"/>
          </w:tcPr>
          <w:p w14:paraId="3C74B0F6">
            <w:pPr>
              <w:pStyle w:val="129"/>
              <w:widowControl w:val="0"/>
              <w:rPr>
                <w:color w:val="auto"/>
              </w:rPr>
            </w:pPr>
          </w:p>
        </w:tc>
        <w:tc>
          <w:tcPr>
            <w:tcW w:w="428" w:type="pct"/>
            <w:vMerge w:val="continue"/>
            <w:vAlign w:val="center"/>
          </w:tcPr>
          <w:p w14:paraId="63B59BBE">
            <w:pPr>
              <w:pStyle w:val="129"/>
              <w:widowControl w:val="0"/>
              <w:rPr>
                <w:color w:val="auto"/>
              </w:rPr>
            </w:pPr>
          </w:p>
        </w:tc>
        <w:tc>
          <w:tcPr>
            <w:tcW w:w="588" w:type="pct"/>
            <w:vMerge w:val="continue"/>
            <w:vAlign w:val="center"/>
          </w:tcPr>
          <w:p w14:paraId="4924A1B6">
            <w:pPr>
              <w:pStyle w:val="129"/>
              <w:widowControl w:val="0"/>
              <w:rPr>
                <w:color w:val="auto"/>
              </w:rPr>
            </w:pPr>
          </w:p>
        </w:tc>
        <w:tc>
          <w:tcPr>
            <w:tcW w:w="571" w:type="pct"/>
            <w:vAlign w:val="center"/>
          </w:tcPr>
          <w:p w14:paraId="1D5CAD38">
            <w:pPr>
              <w:pStyle w:val="129"/>
              <w:widowControl w:val="0"/>
              <w:rPr>
                <w:color w:val="auto"/>
              </w:rPr>
            </w:pPr>
            <w:r>
              <w:rPr>
                <w:color w:val="auto"/>
              </w:rPr>
              <w:t>连续</w:t>
            </w:r>
          </w:p>
        </w:tc>
      </w:tr>
      <w:tr w14:paraId="5F9AAC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08" w:type="pct"/>
            <w:vMerge w:val="continue"/>
            <w:vAlign w:val="center"/>
          </w:tcPr>
          <w:p w14:paraId="20E76C83">
            <w:pPr>
              <w:pStyle w:val="129"/>
              <w:widowControl w:val="0"/>
              <w:rPr>
                <w:color w:val="auto"/>
              </w:rPr>
            </w:pPr>
          </w:p>
        </w:tc>
        <w:tc>
          <w:tcPr>
            <w:tcW w:w="813" w:type="pct"/>
            <w:vAlign w:val="center"/>
          </w:tcPr>
          <w:p w14:paraId="693AB062">
            <w:pPr>
              <w:pStyle w:val="129"/>
              <w:widowControl w:val="0"/>
              <w:rPr>
                <w:color w:val="auto"/>
              </w:rPr>
            </w:pPr>
            <w:r>
              <w:rPr>
                <w:rStyle w:val="1313"/>
                <w:rFonts w:hint="default" w:ascii="Times New Roman" w:hAnsi="Times New Roman" w:cs="Times New Roman"/>
                <w:color w:val="auto"/>
              </w:rPr>
              <w:t>NO</w:t>
            </w:r>
            <w:r>
              <w:rPr>
                <w:rStyle w:val="1485"/>
                <w:rFonts w:hint="default" w:ascii="Times New Roman" w:hAnsi="Times New Roman"/>
                <w:color w:val="auto"/>
                <w:sz w:val="21"/>
                <w:szCs w:val="21"/>
                <w:vertAlign w:val="subscript"/>
              </w:rPr>
              <w:t>X</w:t>
            </w:r>
          </w:p>
        </w:tc>
        <w:tc>
          <w:tcPr>
            <w:tcW w:w="765" w:type="pct"/>
            <w:vAlign w:val="center"/>
          </w:tcPr>
          <w:p w14:paraId="0B8D94CB">
            <w:pPr>
              <w:pStyle w:val="129"/>
              <w:widowControl w:val="0"/>
              <w:rPr>
                <w:color w:val="auto"/>
              </w:rPr>
            </w:pPr>
            <w:r>
              <w:rPr>
                <w:color w:val="auto"/>
              </w:rPr>
              <w:t>0.186</w:t>
            </w:r>
          </w:p>
        </w:tc>
        <w:tc>
          <w:tcPr>
            <w:tcW w:w="537" w:type="pct"/>
            <w:vMerge w:val="continue"/>
            <w:vAlign w:val="center"/>
          </w:tcPr>
          <w:p w14:paraId="5191E685">
            <w:pPr>
              <w:pStyle w:val="129"/>
              <w:widowControl w:val="0"/>
              <w:rPr>
                <w:color w:val="auto"/>
              </w:rPr>
            </w:pPr>
          </w:p>
        </w:tc>
        <w:tc>
          <w:tcPr>
            <w:tcW w:w="489" w:type="pct"/>
            <w:vMerge w:val="continue"/>
            <w:vAlign w:val="center"/>
          </w:tcPr>
          <w:p w14:paraId="65454DB0">
            <w:pPr>
              <w:pStyle w:val="129"/>
              <w:widowControl w:val="0"/>
              <w:rPr>
                <w:color w:val="auto"/>
              </w:rPr>
            </w:pPr>
          </w:p>
        </w:tc>
        <w:tc>
          <w:tcPr>
            <w:tcW w:w="428" w:type="pct"/>
            <w:vMerge w:val="continue"/>
            <w:vAlign w:val="center"/>
          </w:tcPr>
          <w:p w14:paraId="2EC23CD1">
            <w:pPr>
              <w:pStyle w:val="129"/>
              <w:widowControl w:val="0"/>
              <w:rPr>
                <w:color w:val="auto"/>
              </w:rPr>
            </w:pPr>
          </w:p>
        </w:tc>
        <w:tc>
          <w:tcPr>
            <w:tcW w:w="588" w:type="pct"/>
            <w:vMerge w:val="continue"/>
            <w:vAlign w:val="center"/>
          </w:tcPr>
          <w:p w14:paraId="6CA3FCA2">
            <w:pPr>
              <w:pStyle w:val="129"/>
              <w:widowControl w:val="0"/>
              <w:rPr>
                <w:color w:val="auto"/>
              </w:rPr>
            </w:pPr>
          </w:p>
        </w:tc>
        <w:tc>
          <w:tcPr>
            <w:tcW w:w="571" w:type="pct"/>
            <w:vAlign w:val="center"/>
          </w:tcPr>
          <w:p w14:paraId="6A1FC377">
            <w:pPr>
              <w:pStyle w:val="129"/>
              <w:widowControl w:val="0"/>
              <w:rPr>
                <w:color w:val="auto"/>
              </w:rPr>
            </w:pPr>
            <w:r>
              <w:rPr>
                <w:color w:val="auto"/>
              </w:rPr>
              <w:t>连续</w:t>
            </w:r>
          </w:p>
        </w:tc>
      </w:tr>
    </w:tbl>
    <w:p w14:paraId="4BE16F7A">
      <w:pPr>
        <w:pStyle w:val="1262"/>
        <w:ind w:firstLine="480"/>
        <w:rPr>
          <w:rFonts w:asciiTheme="minorHAnsi" w:hAnsiTheme="minorHAnsi"/>
          <w:color w:val="auto"/>
        </w:rPr>
      </w:pPr>
    </w:p>
    <w:p w14:paraId="227E8A97">
      <w:pPr>
        <w:pStyle w:val="132"/>
        <w:rPr>
          <w:color w:val="auto"/>
        </w:rPr>
      </w:pPr>
      <w:r>
        <w:rPr>
          <w:rFonts w:hint="eastAsia"/>
          <w:color w:val="auto"/>
        </w:rPr>
        <w:t>面源排放情况见表2.4-5。</w:t>
      </w:r>
    </w:p>
    <w:p w14:paraId="6B979294">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r>
        <w:rPr>
          <w:rFonts w:hint="eastAsia"/>
          <w:color w:val="auto"/>
        </w:rPr>
        <w:t xml:space="preserve">   项目无组织污染物计算参数选取值一览表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639"/>
        <w:gridCol w:w="1508"/>
        <w:gridCol w:w="1956"/>
        <w:gridCol w:w="1629"/>
        <w:gridCol w:w="2054"/>
      </w:tblGrid>
      <w:tr w14:paraId="18A84B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933" w:type="pct"/>
            <w:vAlign w:val="center"/>
          </w:tcPr>
          <w:p w14:paraId="30DF1BCC">
            <w:pPr>
              <w:pStyle w:val="129"/>
              <w:widowControl w:val="0"/>
              <w:rPr>
                <w:color w:val="auto"/>
              </w:rPr>
            </w:pPr>
            <w:r>
              <w:rPr>
                <w:color w:val="auto"/>
              </w:rPr>
              <w:t>类别</w:t>
            </w:r>
          </w:p>
        </w:tc>
        <w:tc>
          <w:tcPr>
            <w:tcW w:w="858" w:type="pct"/>
            <w:vAlign w:val="center"/>
          </w:tcPr>
          <w:p w14:paraId="7A3A2777">
            <w:pPr>
              <w:pStyle w:val="129"/>
              <w:widowControl w:val="0"/>
              <w:rPr>
                <w:color w:val="auto"/>
              </w:rPr>
            </w:pPr>
            <w:r>
              <w:rPr>
                <w:color w:val="auto"/>
              </w:rPr>
              <w:t>污染物</w:t>
            </w:r>
          </w:p>
        </w:tc>
        <w:tc>
          <w:tcPr>
            <w:tcW w:w="1113" w:type="pct"/>
            <w:vAlign w:val="center"/>
          </w:tcPr>
          <w:p w14:paraId="2408EF93">
            <w:pPr>
              <w:pStyle w:val="129"/>
              <w:widowControl w:val="0"/>
              <w:rPr>
                <w:color w:val="auto"/>
              </w:rPr>
            </w:pPr>
            <w:r>
              <w:rPr>
                <w:color w:val="auto"/>
              </w:rPr>
              <w:t>排放速率（kg/h）</w:t>
            </w:r>
          </w:p>
        </w:tc>
        <w:tc>
          <w:tcPr>
            <w:tcW w:w="927" w:type="pct"/>
            <w:vAlign w:val="center"/>
          </w:tcPr>
          <w:p w14:paraId="05DBB140">
            <w:pPr>
              <w:pStyle w:val="129"/>
              <w:widowControl w:val="0"/>
              <w:rPr>
                <w:color w:val="auto"/>
              </w:rPr>
            </w:pPr>
            <w:r>
              <w:rPr>
                <w:color w:val="auto"/>
              </w:rPr>
              <w:t>长×宽(m)</w:t>
            </w:r>
          </w:p>
        </w:tc>
        <w:tc>
          <w:tcPr>
            <w:tcW w:w="1169" w:type="pct"/>
            <w:vAlign w:val="center"/>
          </w:tcPr>
          <w:p w14:paraId="582B855E">
            <w:pPr>
              <w:pStyle w:val="129"/>
              <w:widowControl w:val="0"/>
              <w:rPr>
                <w:color w:val="auto"/>
              </w:rPr>
            </w:pPr>
            <w:r>
              <w:rPr>
                <w:color w:val="auto"/>
              </w:rPr>
              <w:t>面源高度（m）</w:t>
            </w:r>
          </w:p>
        </w:tc>
      </w:tr>
      <w:tr w14:paraId="5A55878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933" w:type="pct"/>
            <w:vMerge w:val="restart"/>
            <w:vAlign w:val="center"/>
          </w:tcPr>
          <w:p w14:paraId="0B75A8B4">
            <w:pPr>
              <w:pStyle w:val="129"/>
              <w:widowControl w:val="0"/>
              <w:rPr>
                <w:color w:val="auto"/>
              </w:rPr>
            </w:pPr>
            <w:r>
              <w:rPr>
                <w:color w:val="auto"/>
              </w:rPr>
              <w:t>无组织排放</w:t>
            </w:r>
          </w:p>
        </w:tc>
        <w:tc>
          <w:tcPr>
            <w:tcW w:w="858" w:type="pct"/>
            <w:vAlign w:val="center"/>
          </w:tcPr>
          <w:p w14:paraId="3BD5C08E">
            <w:pPr>
              <w:pStyle w:val="129"/>
              <w:widowControl w:val="0"/>
              <w:rPr>
                <w:color w:val="auto"/>
              </w:rPr>
            </w:pPr>
            <w:r>
              <w:rPr>
                <w:color w:val="auto"/>
              </w:rPr>
              <w:t>NH</w:t>
            </w:r>
            <w:r>
              <w:rPr>
                <w:color w:val="auto"/>
                <w:vertAlign w:val="subscript"/>
              </w:rPr>
              <w:t>3</w:t>
            </w:r>
          </w:p>
        </w:tc>
        <w:tc>
          <w:tcPr>
            <w:tcW w:w="1113" w:type="pct"/>
            <w:vAlign w:val="center"/>
          </w:tcPr>
          <w:p w14:paraId="1248E626">
            <w:pPr>
              <w:pStyle w:val="129"/>
              <w:widowControl w:val="0"/>
              <w:rPr>
                <w:color w:val="auto"/>
              </w:rPr>
            </w:pPr>
            <w:r>
              <w:rPr>
                <w:color w:val="auto"/>
              </w:rPr>
              <w:t>0.0</w:t>
            </w:r>
            <w:r>
              <w:rPr>
                <w:rFonts w:hint="eastAsia"/>
                <w:color w:val="auto"/>
              </w:rPr>
              <w:t>62</w:t>
            </w:r>
          </w:p>
        </w:tc>
        <w:tc>
          <w:tcPr>
            <w:tcW w:w="927" w:type="pct"/>
            <w:vMerge w:val="restart"/>
            <w:vAlign w:val="center"/>
          </w:tcPr>
          <w:p w14:paraId="11B1FC20">
            <w:pPr>
              <w:pStyle w:val="129"/>
              <w:widowControl w:val="0"/>
              <w:rPr>
                <w:color w:val="auto"/>
              </w:rPr>
            </w:pPr>
            <w:r>
              <w:rPr>
                <w:rFonts w:hint="eastAsia"/>
                <w:color w:val="auto"/>
              </w:rPr>
              <w:t>99</w:t>
            </w:r>
            <w:r>
              <w:rPr>
                <w:color w:val="auto"/>
              </w:rPr>
              <w:t>×</w:t>
            </w:r>
            <w:r>
              <w:rPr>
                <w:rFonts w:hint="eastAsia"/>
                <w:color w:val="auto"/>
              </w:rPr>
              <w:t>99</w:t>
            </w:r>
          </w:p>
        </w:tc>
        <w:tc>
          <w:tcPr>
            <w:tcW w:w="1169" w:type="pct"/>
            <w:vMerge w:val="restart"/>
            <w:vAlign w:val="center"/>
          </w:tcPr>
          <w:p w14:paraId="74221391">
            <w:pPr>
              <w:pStyle w:val="129"/>
              <w:widowControl w:val="0"/>
              <w:rPr>
                <w:color w:val="auto"/>
              </w:rPr>
            </w:pPr>
            <w:r>
              <w:rPr>
                <w:color w:val="auto"/>
              </w:rPr>
              <w:t>1</w:t>
            </w:r>
            <w:r>
              <w:rPr>
                <w:rFonts w:hint="eastAsia"/>
                <w:color w:val="auto"/>
              </w:rPr>
              <w:t>6</w:t>
            </w:r>
          </w:p>
        </w:tc>
      </w:tr>
      <w:tr w14:paraId="0379B3D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933" w:type="pct"/>
            <w:vMerge w:val="continue"/>
            <w:vAlign w:val="center"/>
          </w:tcPr>
          <w:p w14:paraId="1E3C3403">
            <w:pPr>
              <w:pStyle w:val="129"/>
              <w:widowControl w:val="0"/>
              <w:rPr>
                <w:color w:val="auto"/>
              </w:rPr>
            </w:pPr>
          </w:p>
        </w:tc>
        <w:tc>
          <w:tcPr>
            <w:tcW w:w="858" w:type="pct"/>
            <w:vAlign w:val="center"/>
          </w:tcPr>
          <w:p w14:paraId="06A409E5">
            <w:pPr>
              <w:pStyle w:val="129"/>
              <w:widowControl w:val="0"/>
              <w:rPr>
                <w:color w:val="auto"/>
              </w:rPr>
            </w:pPr>
            <w:r>
              <w:rPr>
                <w:rFonts w:hint="eastAsia"/>
                <w:color w:val="auto"/>
              </w:rPr>
              <w:t>TSP</w:t>
            </w:r>
          </w:p>
        </w:tc>
        <w:tc>
          <w:tcPr>
            <w:tcW w:w="1113" w:type="pct"/>
            <w:vAlign w:val="center"/>
          </w:tcPr>
          <w:p w14:paraId="5E1C4F83">
            <w:pPr>
              <w:pStyle w:val="129"/>
              <w:widowControl w:val="0"/>
              <w:rPr>
                <w:color w:val="auto"/>
              </w:rPr>
            </w:pPr>
            <w:r>
              <w:rPr>
                <w:rFonts w:eastAsiaTheme="minorEastAsia"/>
                <w:color w:val="auto"/>
              </w:rPr>
              <w:t>0.11</w:t>
            </w:r>
          </w:p>
        </w:tc>
        <w:tc>
          <w:tcPr>
            <w:tcW w:w="927" w:type="pct"/>
            <w:vMerge w:val="continue"/>
            <w:vAlign w:val="center"/>
          </w:tcPr>
          <w:p w14:paraId="7F232CB4">
            <w:pPr>
              <w:pStyle w:val="129"/>
              <w:widowControl w:val="0"/>
              <w:rPr>
                <w:color w:val="auto"/>
              </w:rPr>
            </w:pPr>
          </w:p>
        </w:tc>
        <w:tc>
          <w:tcPr>
            <w:tcW w:w="1169" w:type="pct"/>
            <w:vMerge w:val="continue"/>
            <w:vAlign w:val="center"/>
          </w:tcPr>
          <w:p w14:paraId="0376E69C">
            <w:pPr>
              <w:pStyle w:val="129"/>
              <w:widowControl w:val="0"/>
              <w:rPr>
                <w:color w:val="auto"/>
              </w:rPr>
            </w:pPr>
          </w:p>
        </w:tc>
      </w:tr>
    </w:tbl>
    <w:p w14:paraId="6EF4BEF4">
      <w:pPr>
        <w:pStyle w:val="1304"/>
        <w:rPr>
          <w:color w:val="auto"/>
        </w:rPr>
      </w:pPr>
    </w:p>
    <w:p w14:paraId="3E4E88E8">
      <w:pPr>
        <w:pStyle w:val="132"/>
        <w:rPr>
          <w:color w:val="auto"/>
        </w:rPr>
      </w:pPr>
      <w:r>
        <w:rPr>
          <w:rFonts w:ascii="宋体" w:hAnsi="宋体"/>
          <w:color w:val="auto"/>
        </w:rPr>
        <w:t>污染物最大落地浓度的估算结果见表</w:t>
      </w:r>
      <w:r>
        <w:rPr>
          <w:rFonts w:hint="eastAsia"/>
          <w:color w:val="auto"/>
        </w:rPr>
        <w:t>2.4-6</w:t>
      </w:r>
      <w:r>
        <w:rPr>
          <w:rFonts w:ascii="宋体" w:hAnsi="宋体"/>
          <w:color w:val="auto"/>
        </w:rPr>
        <w:t>。</w:t>
      </w:r>
    </w:p>
    <w:p w14:paraId="65E70645">
      <w:pPr>
        <w:pStyle w:val="132"/>
        <w:rPr>
          <w:color w:val="auto"/>
        </w:rPr>
      </w:pPr>
      <w:r>
        <w:rPr>
          <w:rFonts w:ascii="宋体" w:hAnsi="宋体"/>
          <w:color w:val="auto"/>
        </w:rPr>
        <w:t>（</w:t>
      </w:r>
      <w:r>
        <w:rPr>
          <w:color w:val="auto"/>
        </w:rPr>
        <w:t>3</w:t>
      </w:r>
      <w:r>
        <w:rPr>
          <w:rFonts w:ascii="宋体" w:hAnsi="宋体"/>
          <w:color w:val="auto"/>
        </w:rPr>
        <w:t>）估算结果及评价等级的确定</w:t>
      </w:r>
    </w:p>
    <w:p w14:paraId="6AE864AC">
      <w:pPr>
        <w:pStyle w:val="132"/>
        <w:rPr>
          <w:color w:val="auto"/>
        </w:rPr>
      </w:pPr>
      <w:r>
        <w:rPr>
          <w:rFonts w:hint="eastAsia"/>
          <w:color w:val="auto"/>
        </w:rPr>
        <w:t>经估算，项目</w:t>
      </w:r>
      <w:r>
        <w:rPr>
          <w:color w:val="auto"/>
        </w:rPr>
        <w:t>硫酸铵干燥包装排口的PM</w:t>
      </w:r>
      <w:r>
        <w:rPr>
          <w:color w:val="auto"/>
          <w:vertAlign w:val="subscript"/>
        </w:rPr>
        <w:t>2.5</w:t>
      </w:r>
      <w:r>
        <w:rPr>
          <w:rFonts w:hint="eastAsia"/>
          <w:color w:val="auto"/>
        </w:rPr>
        <w:t>为最大占标率6.01%，</w:t>
      </w:r>
      <w:r>
        <w:rPr>
          <w:color w:val="auto"/>
        </w:rPr>
        <w:t>建议评价等级为二级，大气环境影响评价范围边长取5km</w:t>
      </w:r>
      <w:r>
        <w:rPr>
          <w:rFonts w:hint="eastAsia"/>
          <w:color w:val="auto"/>
        </w:rPr>
        <w:t>。</w:t>
      </w:r>
    </w:p>
    <w:p w14:paraId="706B11FE">
      <w:pPr>
        <w:pStyle w:val="132"/>
        <w:rPr>
          <w:color w:val="auto"/>
        </w:rPr>
      </w:pPr>
      <w:r>
        <w:rPr>
          <w:color w:val="auto"/>
        </w:rPr>
        <w:t>根据《环境影响评价技术导则 大气环境》（HJ 2.2-2018），对电力、钢铁、水泥、石化、化工、平板玻璃、有色等高耗能行业的多源项目或以使用高污染燃料为主的多源项目，并且编制环境影响报告书的项目评价等级提高一级。本项目</w:t>
      </w:r>
      <w:r>
        <w:rPr>
          <w:rFonts w:hint="eastAsia"/>
          <w:color w:val="auto"/>
        </w:rPr>
        <w:t>催化剂制造属于专用化学品制造</w:t>
      </w:r>
      <w:r>
        <w:rPr>
          <w:color w:val="auto"/>
        </w:rPr>
        <w:t>，属于化工项目，因此项目大气环境评价等级确定为一级。</w:t>
      </w:r>
    </w:p>
    <w:p w14:paraId="569E32AF">
      <w:pPr>
        <w:spacing w:line="360" w:lineRule="auto"/>
        <w:ind w:firstLine="480" w:firstLineChars="200"/>
        <w:rPr>
          <w:color w:val="auto"/>
          <w:sz w:val="24"/>
        </w:rPr>
        <w:sectPr>
          <w:pgSz w:w="11906" w:h="16838"/>
          <w:pgMar w:top="1440" w:right="1588" w:bottom="1389" w:left="1588" w:header="737" w:footer="822" w:gutter="0"/>
          <w:cols w:space="425" w:num="1"/>
          <w:docGrid w:type="lines" w:linePitch="312" w:charSpace="0"/>
        </w:sectPr>
      </w:pPr>
    </w:p>
    <w:p w14:paraId="0E0B55B2">
      <w:pPr>
        <w:pStyle w:val="5"/>
        <w:rPr>
          <w:color w:val="auto"/>
        </w:rPr>
      </w:pPr>
      <w:r>
        <w:rPr>
          <w:color w:val="auto"/>
        </w:rPr>
        <w:t>评价范围</w:t>
      </w:r>
    </w:p>
    <w:p w14:paraId="63E33347">
      <w:pPr>
        <w:pStyle w:val="132"/>
        <w:rPr>
          <w:color w:val="auto"/>
        </w:rPr>
      </w:pPr>
      <w:r>
        <w:rPr>
          <w:color w:val="auto"/>
        </w:rPr>
        <w:t>二级评价项目可直接引用估算模型预测结果进行评价，大气环境影响评价范围边长取5km</w:t>
      </w:r>
      <w:r>
        <w:rPr>
          <w:rFonts w:hint="eastAsia"/>
          <w:color w:val="auto"/>
        </w:rPr>
        <w:t>，因此，评价范围确定为：以厂区中心为原点，5×5km（东西×南北）的矩形区域</w:t>
      </w:r>
      <w:r>
        <w:rPr>
          <w:color w:val="auto"/>
        </w:rPr>
        <w:t>。评价范围</w:t>
      </w:r>
      <w:r>
        <w:rPr>
          <w:rFonts w:hint="eastAsia"/>
          <w:color w:val="auto"/>
        </w:rPr>
        <w:t>及敏感目标分布图</w:t>
      </w:r>
      <w:r>
        <w:rPr>
          <w:color w:val="auto"/>
        </w:rPr>
        <w:t>见图</w:t>
      </w:r>
      <w:r>
        <w:rPr>
          <w:rFonts w:hint="eastAsia"/>
          <w:color w:val="auto"/>
        </w:rPr>
        <w:t>2.4-6。</w:t>
      </w:r>
    </w:p>
    <w:p w14:paraId="1E330BAD">
      <w:pPr>
        <w:pStyle w:val="1060"/>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6</w:t>
      </w:r>
      <w:r>
        <w:rPr>
          <w:color w:val="auto"/>
        </w:rPr>
        <w:fldChar w:fldCharType="end"/>
      </w:r>
      <w:r>
        <w:rPr>
          <w:color w:val="auto"/>
        </w:rPr>
        <w:t xml:space="preserve">  </w:t>
      </w:r>
      <w:r>
        <w:rPr>
          <w:rFonts w:hint="eastAsia"/>
          <w:color w:val="auto"/>
        </w:rPr>
        <w:t>主要大气污染源</w:t>
      </w:r>
      <w:r>
        <w:rPr>
          <w:color w:val="auto"/>
        </w:rPr>
        <w:t>污染物</w:t>
      </w:r>
      <w:r>
        <w:rPr>
          <w:rFonts w:hint="eastAsia"/>
          <w:color w:val="auto"/>
        </w:rPr>
        <w:t>最大落地小时浓度</w:t>
      </w:r>
      <w:r>
        <w:rPr>
          <w:color w:val="auto"/>
        </w:rPr>
        <w:t>估算结果</w:t>
      </w:r>
      <w:r>
        <w:rPr>
          <w:rFonts w:hint="eastAsia"/>
          <w:color w:val="auto"/>
        </w:rPr>
        <w:t>一览</w:t>
      </w:r>
      <w:r>
        <w:rPr>
          <w:color w:val="auto"/>
        </w:rPr>
        <w:t>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379"/>
        <w:gridCol w:w="1981"/>
        <w:gridCol w:w="1051"/>
        <w:gridCol w:w="1056"/>
        <w:gridCol w:w="922"/>
        <w:gridCol w:w="859"/>
        <w:gridCol w:w="859"/>
        <w:gridCol w:w="859"/>
        <w:gridCol w:w="845"/>
        <w:gridCol w:w="873"/>
        <w:gridCol w:w="856"/>
        <w:gridCol w:w="1284"/>
        <w:gridCol w:w="1138"/>
        <w:gridCol w:w="757"/>
      </w:tblGrid>
      <w:tr w14:paraId="416F50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2753C05E">
            <w:pPr>
              <w:pStyle w:val="129"/>
              <w:widowControl w:val="0"/>
              <w:rPr>
                <w:color w:val="auto"/>
              </w:rPr>
            </w:pPr>
            <w:bookmarkStart w:id="104" w:name="OLE_LINK138"/>
            <w:r>
              <w:rPr>
                <w:rFonts w:hint="eastAsia"/>
                <w:color w:val="auto"/>
              </w:rPr>
              <w:t>序号</w:t>
            </w:r>
          </w:p>
        </w:tc>
        <w:tc>
          <w:tcPr>
            <w:tcW w:w="722" w:type="pct"/>
            <w:noWrap/>
            <w:vAlign w:val="center"/>
          </w:tcPr>
          <w:p w14:paraId="5307ABCA">
            <w:pPr>
              <w:pStyle w:val="129"/>
              <w:widowControl w:val="0"/>
              <w:rPr>
                <w:color w:val="auto"/>
              </w:rPr>
            </w:pPr>
            <w:r>
              <w:rPr>
                <w:rFonts w:hint="eastAsia"/>
                <w:color w:val="auto"/>
              </w:rPr>
              <w:t>污染源名称</w:t>
            </w:r>
          </w:p>
        </w:tc>
        <w:tc>
          <w:tcPr>
            <w:tcW w:w="383" w:type="pct"/>
            <w:noWrap/>
            <w:vAlign w:val="center"/>
          </w:tcPr>
          <w:p w14:paraId="685655D2">
            <w:pPr>
              <w:pStyle w:val="129"/>
              <w:widowControl w:val="0"/>
              <w:rPr>
                <w:color w:val="auto"/>
              </w:rPr>
            </w:pPr>
            <w:r>
              <w:rPr>
                <w:rFonts w:hint="eastAsia"/>
                <w:color w:val="auto"/>
              </w:rPr>
              <w:t>方位角度(度)</w:t>
            </w:r>
          </w:p>
        </w:tc>
        <w:tc>
          <w:tcPr>
            <w:tcW w:w="385" w:type="pct"/>
            <w:noWrap/>
            <w:vAlign w:val="center"/>
          </w:tcPr>
          <w:p w14:paraId="532759A4">
            <w:pPr>
              <w:pStyle w:val="129"/>
              <w:widowControl w:val="0"/>
              <w:rPr>
                <w:color w:val="auto"/>
              </w:rPr>
            </w:pPr>
            <w:r>
              <w:rPr>
                <w:rFonts w:hint="eastAsia"/>
                <w:color w:val="auto"/>
              </w:rPr>
              <w:t>离源距离(m)</w:t>
            </w:r>
          </w:p>
        </w:tc>
        <w:tc>
          <w:tcPr>
            <w:tcW w:w="336" w:type="pct"/>
            <w:noWrap/>
            <w:vAlign w:val="center"/>
          </w:tcPr>
          <w:p w14:paraId="27A6C830">
            <w:pPr>
              <w:pStyle w:val="129"/>
              <w:widowControl w:val="0"/>
              <w:rPr>
                <w:color w:val="auto"/>
              </w:rPr>
            </w:pPr>
            <w:r>
              <w:rPr>
                <w:rFonts w:hint="eastAsia"/>
                <w:color w:val="auto"/>
              </w:rPr>
              <w:t>相对源高(m)</w:t>
            </w:r>
          </w:p>
        </w:tc>
        <w:tc>
          <w:tcPr>
            <w:tcW w:w="313" w:type="pct"/>
            <w:noWrap/>
            <w:vAlign w:val="center"/>
          </w:tcPr>
          <w:p w14:paraId="445AAA96">
            <w:pPr>
              <w:pStyle w:val="129"/>
              <w:widowControl w:val="0"/>
              <w:rPr>
                <w:color w:val="auto"/>
              </w:rPr>
            </w:pPr>
            <w:r>
              <w:rPr>
                <w:rFonts w:hint="eastAsia"/>
                <w:color w:val="auto"/>
              </w:rPr>
              <w:t>SO</w:t>
            </w:r>
            <w:r>
              <w:rPr>
                <w:rFonts w:hint="eastAsia"/>
                <w:color w:val="auto"/>
                <w:vertAlign w:val="subscript"/>
              </w:rPr>
              <w:t>2</w:t>
            </w:r>
            <w:r>
              <w:rPr>
                <w:rFonts w:hint="eastAsia"/>
                <w:color w:val="auto"/>
              </w:rPr>
              <w:t>|</w:t>
            </w:r>
          </w:p>
          <w:p w14:paraId="654F0B77">
            <w:pPr>
              <w:pStyle w:val="129"/>
              <w:widowControl w:val="0"/>
              <w:rPr>
                <w:color w:val="auto"/>
              </w:rPr>
            </w:pPr>
            <w:r>
              <w:rPr>
                <w:rFonts w:hint="eastAsia"/>
                <w:color w:val="auto"/>
              </w:rPr>
              <w:t>D</w:t>
            </w:r>
            <w:r>
              <w:rPr>
                <w:rFonts w:hint="eastAsia"/>
                <w:color w:val="auto"/>
                <w:vertAlign w:val="subscript"/>
              </w:rPr>
              <w:t>10</w:t>
            </w:r>
            <w:r>
              <w:rPr>
                <w:rFonts w:hint="eastAsia"/>
                <w:color w:val="auto"/>
              </w:rPr>
              <w:t>(m)</w:t>
            </w:r>
          </w:p>
        </w:tc>
        <w:tc>
          <w:tcPr>
            <w:tcW w:w="313" w:type="pct"/>
            <w:noWrap/>
            <w:vAlign w:val="center"/>
          </w:tcPr>
          <w:p w14:paraId="2477BF4E">
            <w:pPr>
              <w:pStyle w:val="129"/>
              <w:widowControl w:val="0"/>
              <w:rPr>
                <w:color w:val="auto"/>
              </w:rPr>
            </w:pPr>
            <w:r>
              <w:rPr>
                <w:rFonts w:hint="eastAsia"/>
                <w:color w:val="auto"/>
              </w:rPr>
              <w:t>NO</w:t>
            </w:r>
            <w:r>
              <w:rPr>
                <w:rFonts w:hint="eastAsia"/>
                <w:color w:val="auto"/>
                <w:vertAlign w:val="subscript"/>
              </w:rPr>
              <w:t>2</w:t>
            </w:r>
            <w:r>
              <w:rPr>
                <w:rFonts w:hint="eastAsia"/>
                <w:color w:val="auto"/>
              </w:rPr>
              <w:t>|</w:t>
            </w:r>
          </w:p>
          <w:p w14:paraId="20F2DC78">
            <w:pPr>
              <w:pStyle w:val="129"/>
              <w:widowControl w:val="0"/>
              <w:rPr>
                <w:color w:val="auto"/>
              </w:rPr>
            </w:pPr>
            <w:r>
              <w:rPr>
                <w:rFonts w:hint="eastAsia"/>
                <w:color w:val="auto"/>
              </w:rPr>
              <w:t>D</w:t>
            </w:r>
            <w:r>
              <w:rPr>
                <w:rFonts w:hint="eastAsia"/>
                <w:color w:val="auto"/>
                <w:vertAlign w:val="subscript"/>
              </w:rPr>
              <w:t>10</w:t>
            </w:r>
            <w:r>
              <w:rPr>
                <w:rFonts w:hint="eastAsia"/>
                <w:color w:val="auto"/>
              </w:rPr>
              <w:t>(m)</w:t>
            </w:r>
          </w:p>
        </w:tc>
        <w:tc>
          <w:tcPr>
            <w:tcW w:w="313" w:type="pct"/>
            <w:noWrap/>
            <w:vAlign w:val="center"/>
          </w:tcPr>
          <w:p w14:paraId="2000A5DD">
            <w:pPr>
              <w:pStyle w:val="129"/>
              <w:widowControl w:val="0"/>
              <w:rPr>
                <w:color w:val="auto"/>
              </w:rPr>
            </w:pPr>
            <w:r>
              <w:rPr>
                <w:rFonts w:hint="eastAsia"/>
                <w:color w:val="auto"/>
              </w:rPr>
              <w:t>PM</w:t>
            </w:r>
            <w:r>
              <w:rPr>
                <w:rFonts w:hint="eastAsia"/>
                <w:color w:val="auto"/>
                <w:vertAlign w:val="subscript"/>
              </w:rPr>
              <w:t>10</w:t>
            </w:r>
            <w:r>
              <w:rPr>
                <w:rFonts w:hint="eastAsia"/>
                <w:color w:val="auto"/>
              </w:rPr>
              <w:t>|</w:t>
            </w:r>
          </w:p>
          <w:p w14:paraId="53E7C096">
            <w:pPr>
              <w:pStyle w:val="129"/>
              <w:widowControl w:val="0"/>
              <w:rPr>
                <w:color w:val="auto"/>
              </w:rPr>
            </w:pPr>
            <w:r>
              <w:rPr>
                <w:rFonts w:hint="eastAsia"/>
                <w:color w:val="auto"/>
              </w:rPr>
              <w:t>D</w:t>
            </w:r>
            <w:r>
              <w:rPr>
                <w:rFonts w:hint="eastAsia"/>
                <w:color w:val="auto"/>
                <w:vertAlign w:val="subscript"/>
              </w:rPr>
              <w:t>10</w:t>
            </w:r>
            <w:r>
              <w:rPr>
                <w:rFonts w:hint="eastAsia"/>
                <w:color w:val="auto"/>
              </w:rPr>
              <w:t>(m)</w:t>
            </w:r>
          </w:p>
        </w:tc>
        <w:tc>
          <w:tcPr>
            <w:tcW w:w="308" w:type="pct"/>
            <w:noWrap/>
            <w:vAlign w:val="center"/>
          </w:tcPr>
          <w:p w14:paraId="7CD42842">
            <w:pPr>
              <w:pStyle w:val="129"/>
              <w:widowControl w:val="0"/>
              <w:rPr>
                <w:color w:val="auto"/>
              </w:rPr>
            </w:pPr>
            <w:r>
              <w:rPr>
                <w:rFonts w:hint="eastAsia"/>
                <w:color w:val="auto"/>
              </w:rPr>
              <w:t>PM</w:t>
            </w:r>
            <w:r>
              <w:rPr>
                <w:rFonts w:hint="eastAsia"/>
                <w:color w:val="auto"/>
                <w:vertAlign w:val="subscript"/>
              </w:rPr>
              <w:t>2.5</w:t>
            </w:r>
            <w:r>
              <w:rPr>
                <w:rFonts w:hint="eastAsia"/>
                <w:color w:val="auto"/>
              </w:rPr>
              <w:t>|</w:t>
            </w:r>
          </w:p>
          <w:p w14:paraId="72197026">
            <w:pPr>
              <w:pStyle w:val="129"/>
              <w:widowControl w:val="0"/>
              <w:rPr>
                <w:color w:val="auto"/>
              </w:rPr>
            </w:pPr>
            <w:r>
              <w:rPr>
                <w:rFonts w:hint="eastAsia"/>
                <w:color w:val="auto"/>
              </w:rPr>
              <w:t>D</w:t>
            </w:r>
            <w:r>
              <w:rPr>
                <w:rFonts w:hint="eastAsia"/>
                <w:color w:val="auto"/>
                <w:vertAlign w:val="subscript"/>
              </w:rPr>
              <w:t>10</w:t>
            </w:r>
            <w:r>
              <w:rPr>
                <w:rFonts w:hint="eastAsia"/>
                <w:color w:val="auto"/>
              </w:rPr>
              <w:t>(m)</w:t>
            </w:r>
          </w:p>
        </w:tc>
        <w:tc>
          <w:tcPr>
            <w:tcW w:w="318" w:type="pct"/>
            <w:noWrap/>
            <w:vAlign w:val="center"/>
          </w:tcPr>
          <w:p w14:paraId="54F04B87">
            <w:pPr>
              <w:pStyle w:val="129"/>
              <w:widowControl w:val="0"/>
              <w:rPr>
                <w:color w:val="auto"/>
              </w:rPr>
            </w:pPr>
            <w:r>
              <w:rPr>
                <w:rFonts w:hint="eastAsia"/>
                <w:color w:val="auto"/>
              </w:rPr>
              <w:t>NH</w:t>
            </w:r>
            <w:r>
              <w:rPr>
                <w:rFonts w:hint="eastAsia"/>
                <w:color w:val="auto"/>
                <w:vertAlign w:val="subscript"/>
              </w:rPr>
              <w:t>3</w:t>
            </w:r>
            <w:r>
              <w:rPr>
                <w:rFonts w:hint="eastAsia"/>
                <w:color w:val="auto"/>
              </w:rPr>
              <w:t>|</w:t>
            </w:r>
          </w:p>
          <w:p w14:paraId="218E5F46">
            <w:pPr>
              <w:pStyle w:val="129"/>
              <w:widowControl w:val="0"/>
              <w:rPr>
                <w:color w:val="auto"/>
              </w:rPr>
            </w:pPr>
            <w:r>
              <w:rPr>
                <w:rFonts w:hint="eastAsia"/>
                <w:color w:val="auto"/>
              </w:rPr>
              <w:t>D</w:t>
            </w:r>
            <w:r>
              <w:rPr>
                <w:rFonts w:hint="eastAsia"/>
                <w:color w:val="auto"/>
                <w:vertAlign w:val="subscript"/>
              </w:rPr>
              <w:t>10</w:t>
            </w:r>
            <w:r>
              <w:rPr>
                <w:rFonts w:hint="eastAsia"/>
                <w:color w:val="auto"/>
              </w:rPr>
              <w:t>(m)</w:t>
            </w:r>
          </w:p>
        </w:tc>
        <w:tc>
          <w:tcPr>
            <w:tcW w:w="312" w:type="pct"/>
            <w:vAlign w:val="center"/>
          </w:tcPr>
          <w:p w14:paraId="6DE9C31D">
            <w:pPr>
              <w:pStyle w:val="129"/>
              <w:widowControl w:val="0"/>
              <w:rPr>
                <w:color w:val="auto"/>
              </w:rPr>
            </w:pPr>
            <w:r>
              <w:rPr>
                <w:rFonts w:hint="eastAsia"/>
                <w:color w:val="auto"/>
              </w:rPr>
              <w:t>H</w:t>
            </w:r>
            <w:r>
              <w:rPr>
                <w:rFonts w:hint="eastAsia"/>
                <w:color w:val="auto"/>
                <w:vertAlign w:val="subscript"/>
              </w:rPr>
              <w:t>2</w:t>
            </w:r>
            <w:r>
              <w:rPr>
                <w:rFonts w:hint="eastAsia"/>
                <w:color w:val="auto"/>
              </w:rPr>
              <w:t>S|</w:t>
            </w:r>
          </w:p>
          <w:p w14:paraId="3BEF22B3">
            <w:pPr>
              <w:pStyle w:val="129"/>
              <w:widowControl w:val="0"/>
              <w:rPr>
                <w:color w:val="auto"/>
              </w:rPr>
            </w:pPr>
            <w:r>
              <w:rPr>
                <w:rFonts w:hint="eastAsia"/>
                <w:color w:val="auto"/>
              </w:rPr>
              <w:t>D</w:t>
            </w:r>
            <w:r>
              <w:rPr>
                <w:rFonts w:hint="eastAsia"/>
                <w:color w:val="auto"/>
                <w:vertAlign w:val="subscript"/>
              </w:rPr>
              <w:t>10</w:t>
            </w:r>
            <w:r>
              <w:rPr>
                <w:rFonts w:hint="eastAsia"/>
                <w:color w:val="auto"/>
              </w:rPr>
              <w:t>(m)</w:t>
            </w:r>
          </w:p>
        </w:tc>
        <w:tc>
          <w:tcPr>
            <w:tcW w:w="468" w:type="pct"/>
            <w:noWrap/>
            <w:vAlign w:val="center"/>
          </w:tcPr>
          <w:p w14:paraId="60130DE8">
            <w:pPr>
              <w:pStyle w:val="129"/>
              <w:widowControl w:val="0"/>
              <w:rPr>
                <w:color w:val="auto"/>
              </w:rPr>
            </w:pPr>
            <w:r>
              <w:rPr>
                <w:rFonts w:hint="eastAsia"/>
                <w:color w:val="auto"/>
              </w:rPr>
              <w:t>镍及其化合物|D</w:t>
            </w:r>
            <w:r>
              <w:rPr>
                <w:rFonts w:hint="eastAsia"/>
                <w:color w:val="auto"/>
                <w:vertAlign w:val="subscript"/>
              </w:rPr>
              <w:t>10</w:t>
            </w:r>
            <w:r>
              <w:rPr>
                <w:rFonts w:hint="eastAsia"/>
                <w:color w:val="auto"/>
              </w:rPr>
              <w:t>(m)</w:t>
            </w:r>
          </w:p>
        </w:tc>
        <w:tc>
          <w:tcPr>
            <w:tcW w:w="415" w:type="pct"/>
            <w:vAlign w:val="center"/>
          </w:tcPr>
          <w:p w14:paraId="5609782A">
            <w:pPr>
              <w:pStyle w:val="129"/>
              <w:widowControl w:val="0"/>
              <w:rPr>
                <w:color w:val="auto"/>
              </w:rPr>
            </w:pPr>
            <w:r>
              <w:rPr>
                <w:rFonts w:hint="eastAsia"/>
                <w:color w:val="auto"/>
              </w:rPr>
              <w:t>锰及其化合物|D</w:t>
            </w:r>
            <w:r>
              <w:rPr>
                <w:rFonts w:hint="eastAsia"/>
                <w:color w:val="auto"/>
                <w:vertAlign w:val="subscript"/>
              </w:rPr>
              <w:t>10</w:t>
            </w:r>
            <w:r>
              <w:rPr>
                <w:rFonts w:hint="eastAsia"/>
                <w:color w:val="auto"/>
              </w:rPr>
              <w:t>(m)</w:t>
            </w:r>
          </w:p>
        </w:tc>
        <w:tc>
          <w:tcPr>
            <w:tcW w:w="276" w:type="pct"/>
            <w:vAlign w:val="center"/>
          </w:tcPr>
          <w:p w14:paraId="4453B8E7">
            <w:pPr>
              <w:pStyle w:val="129"/>
              <w:widowControl w:val="0"/>
              <w:rPr>
                <w:color w:val="auto"/>
              </w:rPr>
            </w:pPr>
            <w:r>
              <w:rPr>
                <w:rFonts w:hint="eastAsia"/>
                <w:color w:val="auto"/>
              </w:rPr>
              <w:t>TSP</w:t>
            </w:r>
          </w:p>
          <w:p w14:paraId="5AE940FF">
            <w:pPr>
              <w:pStyle w:val="129"/>
              <w:widowControl w:val="0"/>
              <w:rPr>
                <w:color w:val="auto"/>
              </w:rPr>
            </w:pPr>
            <w:r>
              <w:rPr>
                <w:rFonts w:hint="eastAsia"/>
                <w:color w:val="auto"/>
              </w:rPr>
              <w:t>|D</w:t>
            </w:r>
            <w:r>
              <w:rPr>
                <w:rFonts w:hint="eastAsia"/>
                <w:color w:val="auto"/>
                <w:vertAlign w:val="subscript"/>
              </w:rPr>
              <w:t>10</w:t>
            </w:r>
            <w:r>
              <w:rPr>
                <w:rFonts w:hint="eastAsia"/>
                <w:color w:val="auto"/>
              </w:rPr>
              <w:t>(m)</w:t>
            </w:r>
          </w:p>
        </w:tc>
      </w:tr>
      <w:tr w14:paraId="583DA8F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6674E9BB">
            <w:pPr>
              <w:pStyle w:val="129"/>
              <w:widowControl w:val="0"/>
              <w:rPr>
                <w:color w:val="auto"/>
              </w:rPr>
            </w:pPr>
            <w:r>
              <w:rPr>
                <w:rFonts w:hint="eastAsia"/>
                <w:color w:val="auto"/>
              </w:rPr>
              <w:t>1</w:t>
            </w:r>
          </w:p>
        </w:tc>
        <w:tc>
          <w:tcPr>
            <w:tcW w:w="722" w:type="pct"/>
            <w:noWrap/>
            <w:vAlign w:val="bottom"/>
          </w:tcPr>
          <w:p w14:paraId="2E37A272">
            <w:pPr>
              <w:pStyle w:val="129"/>
              <w:widowControl w:val="0"/>
              <w:rPr>
                <w:color w:val="auto"/>
              </w:rPr>
            </w:pPr>
            <w:r>
              <w:rPr>
                <w:rFonts w:hint="eastAsia"/>
                <w:color w:val="auto"/>
              </w:rPr>
              <w:t>水铝石干燥包装排口</w:t>
            </w:r>
          </w:p>
        </w:tc>
        <w:tc>
          <w:tcPr>
            <w:tcW w:w="383" w:type="pct"/>
            <w:noWrap/>
            <w:vAlign w:val="center"/>
          </w:tcPr>
          <w:p w14:paraId="275FBE64">
            <w:pPr>
              <w:pStyle w:val="129"/>
              <w:widowControl w:val="0"/>
              <w:rPr>
                <w:color w:val="auto"/>
              </w:rPr>
            </w:pPr>
            <w:r>
              <w:rPr>
                <w:rFonts w:hint="eastAsia"/>
                <w:color w:val="auto"/>
              </w:rPr>
              <w:t>170</w:t>
            </w:r>
          </w:p>
        </w:tc>
        <w:tc>
          <w:tcPr>
            <w:tcW w:w="385" w:type="pct"/>
            <w:noWrap/>
            <w:vAlign w:val="center"/>
          </w:tcPr>
          <w:p w14:paraId="1F17C70A">
            <w:pPr>
              <w:pStyle w:val="129"/>
              <w:widowControl w:val="0"/>
              <w:rPr>
                <w:color w:val="auto"/>
              </w:rPr>
            </w:pPr>
            <w:r>
              <w:rPr>
                <w:rFonts w:hint="eastAsia"/>
                <w:color w:val="auto"/>
              </w:rPr>
              <w:t>210</w:t>
            </w:r>
          </w:p>
        </w:tc>
        <w:tc>
          <w:tcPr>
            <w:tcW w:w="336" w:type="pct"/>
            <w:noWrap/>
            <w:vAlign w:val="center"/>
          </w:tcPr>
          <w:p w14:paraId="6E3B93C3">
            <w:pPr>
              <w:pStyle w:val="129"/>
              <w:widowControl w:val="0"/>
              <w:rPr>
                <w:color w:val="auto"/>
              </w:rPr>
            </w:pPr>
            <w:r>
              <w:rPr>
                <w:rFonts w:hint="eastAsia"/>
                <w:color w:val="auto"/>
              </w:rPr>
              <w:t>0.42</w:t>
            </w:r>
          </w:p>
        </w:tc>
        <w:tc>
          <w:tcPr>
            <w:tcW w:w="313" w:type="pct"/>
            <w:noWrap/>
            <w:vAlign w:val="center"/>
          </w:tcPr>
          <w:p w14:paraId="7EA08477">
            <w:pPr>
              <w:pStyle w:val="129"/>
              <w:widowControl w:val="0"/>
              <w:rPr>
                <w:color w:val="auto"/>
              </w:rPr>
            </w:pPr>
            <w:r>
              <w:rPr>
                <w:color w:val="auto"/>
              </w:rPr>
              <w:t>0.15|0</w:t>
            </w:r>
          </w:p>
        </w:tc>
        <w:tc>
          <w:tcPr>
            <w:tcW w:w="313" w:type="pct"/>
            <w:noWrap/>
            <w:vAlign w:val="center"/>
          </w:tcPr>
          <w:p w14:paraId="6F06C755">
            <w:pPr>
              <w:pStyle w:val="129"/>
              <w:widowControl w:val="0"/>
              <w:rPr>
                <w:color w:val="auto"/>
              </w:rPr>
            </w:pPr>
            <w:r>
              <w:rPr>
                <w:color w:val="auto"/>
              </w:rPr>
              <w:t>5.04|0</w:t>
            </w:r>
          </w:p>
        </w:tc>
        <w:tc>
          <w:tcPr>
            <w:tcW w:w="313" w:type="pct"/>
            <w:noWrap/>
            <w:vAlign w:val="center"/>
          </w:tcPr>
          <w:p w14:paraId="7219FCB0">
            <w:pPr>
              <w:pStyle w:val="129"/>
              <w:widowControl w:val="0"/>
              <w:rPr>
                <w:color w:val="auto"/>
              </w:rPr>
            </w:pPr>
            <w:r>
              <w:rPr>
                <w:color w:val="auto"/>
              </w:rPr>
              <w:t>2.49|0</w:t>
            </w:r>
          </w:p>
        </w:tc>
        <w:tc>
          <w:tcPr>
            <w:tcW w:w="308" w:type="pct"/>
            <w:noWrap/>
            <w:vAlign w:val="center"/>
          </w:tcPr>
          <w:p w14:paraId="69FFF308">
            <w:pPr>
              <w:pStyle w:val="129"/>
              <w:widowControl w:val="0"/>
              <w:rPr>
                <w:color w:val="auto"/>
              </w:rPr>
            </w:pPr>
            <w:r>
              <w:rPr>
                <w:color w:val="auto"/>
              </w:rPr>
              <w:t>2.49|0</w:t>
            </w:r>
          </w:p>
        </w:tc>
        <w:tc>
          <w:tcPr>
            <w:tcW w:w="318" w:type="pct"/>
            <w:noWrap/>
            <w:vAlign w:val="center"/>
          </w:tcPr>
          <w:p w14:paraId="1B1B66EE">
            <w:pPr>
              <w:pStyle w:val="129"/>
              <w:widowControl w:val="0"/>
              <w:rPr>
                <w:color w:val="auto"/>
              </w:rPr>
            </w:pPr>
            <w:r>
              <w:rPr>
                <w:color w:val="auto"/>
              </w:rPr>
              <w:t>0.00|0</w:t>
            </w:r>
          </w:p>
        </w:tc>
        <w:tc>
          <w:tcPr>
            <w:tcW w:w="312" w:type="pct"/>
            <w:vAlign w:val="center"/>
          </w:tcPr>
          <w:p w14:paraId="054876F4">
            <w:pPr>
              <w:pStyle w:val="129"/>
              <w:widowControl w:val="0"/>
              <w:rPr>
                <w:color w:val="auto"/>
              </w:rPr>
            </w:pPr>
            <w:r>
              <w:rPr>
                <w:color w:val="auto"/>
              </w:rPr>
              <w:t>0.00|0</w:t>
            </w:r>
          </w:p>
        </w:tc>
        <w:tc>
          <w:tcPr>
            <w:tcW w:w="468" w:type="pct"/>
            <w:noWrap/>
            <w:vAlign w:val="center"/>
          </w:tcPr>
          <w:p w14:paraId="480834D9">
            <w:pPr>
              <w:pStyle w:val="129"/>
              <w:widowControl w:val="0"/>
              <w:rPr>
                <w:color w:val="auto"/>
              </w:rPr>
            </w:pPr>
            <w:r>
              <w:rPr>
                <w:color w:val="auto"/>
              </w:rPr>
              <w:t>0.00|0</w:t>
            </w:r>
          </w:p>
        </w:tc>
        <w:tc>
          <w:tcPr>
            <w:tcW w:w="415" w:type="pct"/>
            <w:vAlign w:val="center"/>
          </w:tcPr>
          <w:p w14:paraId="7DE04A3C">
            <w:pPr>
              <w:pStyle w:val="129"/>
              <w:widowControl w:val="0"/>
              <w:rPr>
                <w:color w:val="auto"/>
              </w:rPr>
            </w:pPr>
            <w:r>
              <w:rPr>
                <w:color w:val="auto"/>
              </w:rPr>
              <w:t>0.00|0</w:t>
            </w:r>
          </w:p>
        </w:tc>
        <w:tc>
          <w:tcPr>
            <w:tcW w:w="276" w:type="pct"/>
            <w:vAlign w:val="center"/>
          </w:tcPr>
          <w:p w14:paraId="208CE519">
            <w:pPr>
              <w:pStyle w:val="129"/>
              <w:widowControl w:val="0"/>
              <w:rPr>
                <w:color w:val="auto"/>
              </w:rPr>
            </w:pPr>
            <w:r>
              <w:rPr>
                <w:color w:val="auto"/>
              </w:rPr>
              <w:t>0.00|0</w:t>
            </w:r>
          </w:p>
        </w:tc>
      </w:tr>
      <w:tr w14:paraId="13FAEAD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50876D4F">
            <w:pPr>
              <w:pStyle w:val="129"/>
              <w:widowControl w:val="0"/>
              <w:rPr>
                <w:color w:val="auto"/>
              </w:rPr>
            </w:pPr>
            <w:r>
              <w:rPr>
                <w:rFonts w:hint="eastAsia"/>
                <w:color w:val="auto"/>
              </w:rPr>
              <w:t>2</w:t>
            </w:r>
          </w:p>
        </w:tc>
        <w:tc>
          <w:tcPr>
            <w:tcW w:w="722" w:type="pct"/>
            <w:noWrap/>
            <w:vAlign w:val="bottom"/>
          </w:tcPr>
          <w:p w14:paraId="76795347">
            <w:pPr>
              <w:pStyle w:val="129"/>
              <w:widowControl w:val="0"/>
              <w:rPr>
                <w:color w:val="auto"/>
              </w:rPr>
            </w:pPr>
            <w:r>
              <w:rPr>
                <w:rFonts w:hint="eastAsia"/>
                <w:color w:val="auto"/>
              </w:rPr>
              <w:t>催化剂生产干燥废气总排口</w:t>
            </w:r>
          </w:p>
        </w:tc>
        <w:tc>
          <w:tcPr>
            <w:tcW w:w="383" w:type="pct"/>
            <w:noWrap/>
            <w:vAlign w:val="center"/>
          </w:tcPr>
          <w:p w14:paraId="277CB3FE">
            <w:pPr>
              <w:pStyle w:val="129"/>
              <w:widowControl w:val="0"/>
              <w:rPr>
                <w:color w:val="auto"/>
              </w:rPr>
            </w:pPr>
            <w:r>
              <w:rPr>
                <w:rFonts w:hint="eastAsia"/>
                <w:color w:val="auto"/>
              </w:rPr>
              <w:t>170</w:t>
            </w:r>
          </w:p>
        </w:tc>
        <w:tc>
          <w:tcPr>
            <w:tcW w:w="385" w:type="pct"/>
            <w:noWrap/>
            <w:vAlign w:val="center"/>
          </w:tcPr>
          <w:p w14:paraId="7611F202">
            <w:pPr>
              <w:pStyle w:val="129"/>
              <w:widowControl w:val="0"/>
              <w:rPr>
                <w:color w:val="auto"/>
              </w:rPr>
            </w:pPr>
            <w:r>
              <w:rPr>
                <w:rFonts w:hint="eastAsia"/>
                <w:color w:val="auto"/>
              </w:rPr>
              <w:t>200</w:t>
            </w:r>
          </w:p>
        </w:tc>
        <w:tc>
          <w:tcPr>
            <w:tcW w:w="336" w:type="pct"/>
            <w:noWrap/>
            <w:vAlign w:val="center"/>
          </w:tcPr>
          <w:p w14:paraId="297E35A8">
            <w:pPr>
              <w:pStyle w:val="129"/>
              <w:widowControl w:val="0"/>
              <w:rPr>
                <w:color w:val="auto"/>
              </w:rPr>
            </w:pPr>
            <w:r>
              <w:rPr>
                <w:rFonts w:hint="eastAsia"/>
                <w:color w:val="auto"/>
              </w:rPr>
              <w:t>0.35</w:t>
            </w:r>
          </w:p>
        </w:tc>
        <w:tc>
          <w:tcPr>
            <w:tcW w:w="313" w:type="pct"/>
            <w:noWrap/>
            <w:vAlign w:val="center"/>
          </w:tcPr>
          <w:p w14:paraId="69DD3C7B">
            <w:pPr>
              <w:pStyle w:val="129"/>
              <w:widowControl w:val="0"/>
              <w:rPr>
                <w:color w:val="auto"/>
              </w:rPr>
            </w:pPr>
            <w:r>
              <w:rPr>
                <w:color w:val="auto"/>
              </w:rPr>
              <w:t>0.04|0</w:t>
            </w:r>
          </w:p>
        </w:tc>
        <w:tc>
          <w:tcPr>
            <w:tcW w:w="313" w:type="pct"/>
            <w:noWrap/>
            <w:vAlign w:val="center"/>
          </w:tcPr>
          <w:p w14:paraId="67661B57">
            <w:pPr>
              <w:pStyle w:val="129"/>
              <w:widowControl w:val="0"/>
              <w:rPr>
                <w:color w:val="auto"/>
              </w:rPr>
            </w:pPr>
            <w:r>
              <w:rPr>
                <w:color w:val="auto"/>
              </w:rPr>
              <w:t>1.15|0</w:t>
            </w:r>
          </w:p>
        </w:tc>
        <w:tc>
          <w:tcPr>
            <w:tcW w:w="313" w:type="pct"/>
            <w:noWrap/>
            <w:vAlign w:val="center"/>
          </w:tcPr>
          <w:p w14:paraId="5333BE95">
            <w:pPr>
              <w:pStyle w:val="129"/>
              <w:widowControl w:val="0"/>
              <w:rPr>
                <w:color w:val="auto"/>
              </w:rPr>
            </w:pPr>
            <w:r>
              <w:rPr>
                <w:color w:val="auto"/>
              </w:rPr>
              <w:t>1.30|0</w:t>
            </w:r>
          </w:p>
        </w:tc>
        <w:tc>
          <w:tcPr>
            <w:tcW w:w="308" w:type="pct"/>
            <w:noWrap/>
            <w:vAlign w:val="center"/>
          </w:tcPr>
          <w:p w14:paraId="03233C24">
            <w:pPr>
              <w:pStyle w:val="129"/>
              <w:widowControl w:val="0"/>
              <w:rPr>
                <w:color w:val="auto"/>
              </w:rPr>
            </w:pPr>
            <w:r>
              <w:rPr>
                <w:color w:val="auto"/>
              </w:rPr>
              <w:t>1.30|0</w:t>
            </w:r>
          </w:p>
        </w:tc>
        <w:tc>
          <w:tcPr>
            <w:tcW w:w="318" w:type="pct"/>
            <w:noWrap/>
            <w:vAlign w:val="center"/>
          </w:tcPr>
          <w:p w14:paraId="79C6D4AA">
            <w:pPr>
              <w:pStyle w:val="129"/>
              <w:widowControl w:val="0"/>
              <w:rPr>
                <w:color w:val="auto"/>
              </w:rPr>
            </w:pPr>
            <w:r>
              <w:rPr>
                <w:color w:val="auto"/>
              </w:rPr>
              <w:t>0.00|0</w:t>
            </w:r>
          </w:p>
        </w:tc>
        <w:tc>
          <w:tcPr>
            <w:tcW w:w="312" w:type="pct"/>
            <w:vAlign w:val="center"/>
          </w:tcPr>
          <w:p w14:paraId="5BD988AD">
            <w:pPr>
              <w:pStyle w:val="129"/>
              <w:widowControl w:val="0"/>
              <w:rPr>
                <w:color w:val="auto"/>
              </w:rPr>
            </w:pPr>
            <w:r>
              <w:rPr>
                <w:color w:val="auto"/>
              </w:rPr>
              <w:t>0.00|0</w:t>
            </w:r>
          </w:p>
        </w:tc>
        <w:tc>
          <w:tcPr>
            <w:tcW w:w="468" w:type="pct"/>
            <w:noWrap/>
            <w:vAlign w:val="center"/>
          </w:tcPr>
          <w:p w14:paraId="435D3CA0">
            <w:pPr>
              <w:pStyle w:val="129"/>
              <w:widowControl w:val="0"/>
              <w:rPr>
                <w:color w:val="auto"/>
              </w:rPr>
            </w:pPr>
            <w:r>
              <w:rPr>
                <w:color w:val="auto"/>
              </w:rPr>
              <w:t>0.00|0</w:t>
            </w:r>
          </w:p>
        </w:tc>
        <w:tc>
          <w:tcPr>
            <w:tcW w:w="415" w:type="pct"/>
            <w:vAlign w:val="center"/>
          </w:tcPr>
          <w:p w14:paraId="6AEB8F8D">
            <w:pPr>
              <w:pStyle w:val="129"/>
              <w:widowControl w:val="0"/>
              <w:rPr>
                <w:color w:val="auto"/>
              </w:rPr>
            </w:pPr>
            <w:r>
              <w:rPr>
                <w:color w:val="auto"/>
              </w:rPr>
              <w:t>0.00|0</w:t>
            </w:r>
          </w:p>
        </w:tc>
        <w:tc>
          <w:tcPr>
            <w:tcW w:w="276" w:type="pct"/>
            <w:vAlign w:val="center"/>
          </w:tcPr>
          <w:p w14:paraId="69EF14B9">
            <w:pPr>
              <w:pStyle w:val="129"/>
              <w:widowControl w:val="0"/>
              <w:rPr>
                <w:color w:val="auto"/>
              </w:rPr>
            </w:pPr>
            <w:r>
              <w:rPr>
                <w:color w:val="auto"/>
              </w:rPr>
              <w:t>0.00|0</w:t>
            </w:r>
          </w:p>
        </w:tc>
      </w:tr>
      <w:tr w14:paraId="44B4BC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1C0F96E4">
            <w:pPr>
              <w:pStyle w:val="129"/>
              <w:widowControl w:val="0"/>
              <w:rPr>
                <w:color w:val="auto"/>
              </w:rPr>
            </w:pPr>
            <w:r>
              <w:rPr>
                <w:rFonts w:hint="eastAsia"/>
                <w:color w:val="auto"/>
              </w:rPr>
              <w:t>3</w:t>
            </w:r>
          </w:p>
        </w:tc>
        <w:tc>
          <w:tcPr>
            <w:tcW w:w="722" w:type="pct"/>
            <w:noWrap/>
            <w:vAlign w:val="bottom"/>
          </w:tcPr>
          <w:p w14:paraId="1D1C746F">
            <w:pPr>
              <w:pStyle w:val="129"/>
              <w:widowControl w:val="0"/>
              <w:rPr>
                <w:color w:val="auto"/>
              </w:rPr>
            </w:pPr>
            <w:r>
              <w:rPr>
                <w:rFonts w:hint="eastAsia"/>
                <w:color w:val="auto"/>
              </w:rPr>
              <w:t>催化剂生产焙烧废气总排口</w:t>
            </w:r>
          </w:p>
        </w:tc>
        <w:tc>
          <w:tcPr>
            <w:tcW w:w="383" w:type="pct"/>
            <w:noWrap/>
            <w:vAlign w:val="center"/>
          </w:tcPr>
          <w:p w14:paraId="67AB845D">
            <w:pPr>
              <w:pStyle w:val="129"/>
              <w:widowControl w:val="0"/>
              <w:rPr>
                <w:color w:val="auto"/>
              </w:rPr>
            </w:pPr>
            <w:r>
              <w:rPr>
                <w:rFonts w:hint="eastAsia"/>
                <w:color w:val="auto"/>
              </w:rPr>
              <w:t>50</w:t>
            </w:r>
          </w:p>
        </w:tc>
        <w:tc>
          <w:tcPr>
            <w:tcW w:w="385" w:type="pct"/>
            <w:noWrap/>
            <w:vAlign w:val="center"/>
          </w:tcPr>
          <w:p w14:paraId="3A01CCE9">
            <w:pPr>
              <w:pStyle w:val="129"/>
              <w:widowControl w:val="0"/>
              <w:rPr>
                <w:color w:val="auto"/>
              </w:rPr>
            </w:pPr>
            <w:r>
              <w:rPr>
                <w:rFonts w:hint="eastAsia"/>
                <w:color w:val="auto"/>
              </w:rPr>
              <w:t>29</w:t>
            </w:r>
          </w:p>
        </w:tc>
        <w:tc>
          <w:tcPr>
            <w:tcW w:w="336" w:type="pct"/>
            <w:noWrap/>
            <w:vAlign w:val="center"/>
          </w:tcPr>
          <w:p w14:paraId="721EDA69">
            <w:pPr>
              <w:pStyle w:val="129"/>
              <w:widowControl w:val="0"/>
              <w:rPr>
                <w:color w:val="auto"/>
              </w:rPr>
            </w:pPr>
            <w:r>
              <w:rPr>
                <w:rFonts w:hint="eastAsia"/>
                <w:color w:val="auto"/>
              </w:rPr>
              <w:t>-0.05</w:t>
            </w:r>
          </w:p>
        </w:tc>
        <w:tc>
          <w:tcPr>
            <w:tcW w:w="313" w:type="pct"/>
            <w:noWrap/>
            <w:vAlign w:val="center"/>
          </w:tcPr>
          <w:p w14:paraId="24ADF132">
            <w:pPr>
              <w:pStyle w:val="129"/>
              <w:widowControl w:val="0"/>
              <w:rPr>
                <w:color w:val="auto"/>
              </w:rPr>
            </w:pPr>
            <w:r>
              <w:rPr>
                <w:color w:val="auto"/>
              </w:rPr>
              <w:t>0.00|0</w:t>
            </w:r>
          </w:p>
        </w:tc>
        <w:tc>
          <w:tcPr>
            <w:tcW w:w="313" w:type="pct"/>
            <w:noWrap/>
            <w:vAlign w:val="center"/>
          </w:tcPr>
          <w:p w14:paraId="400AD92A">
            <w:pPr>
              <w:pStyle w:val="129"/>
              <w:widowControl w:val="0"/>
              <w:rPr>
                <w:color w:val="auto"/>
              </w:rPr>
            </w:pPr>
            <w:r>
              <w:rPr>
                <w:color w:val="auto"/>
              </w:rPr>
              <w:t>4.96|0</w:t>
            </w:r>
          </w:p>
        </w:tc>
        <w:tc>
          <w:tcPr>
            <w:tcW w:w="313" w:type="pct"/>
            <w:noWrap/>
            <w:vAlign w:val="center"/>
          </w:tcPr>
          <w:p w14:paraId="7B39FD77">
            <w:pPr>
              <w:pStyle w:val="129"/>
              <w:widowControl w:val="0"/>
              <w:rPr>
                <w:color w:val="auto"/>
              </w:rPr>
            </w:pPr>
            <w:r>
              <w:rPr>
                <w:color w:val="auto"/>
              </w:rPr>
              <w:t>0.17|0</w:t>
            </w:r>
          </w:p>
        </w:tc>
        <w:tc>
          <w:tcPr>
            <w:tcW w:w="308" w:type="pct"/>
            <w:noWrap/>
            <w:vAlign w:val="center"/>
          </w:tcPr>
          <w:p w14:paraId="7ABDBCEE">
            <w:pPr>
              <w:pStyle w:val="129"/>
              <w:widowControl w:val="0"/>
              <w:rPr>
                <w:color w:val="auto"/>
              </w:rPr>
            </w:pPr>
            <w:r>
              <w:rPr>
                <w:color w:val="auto"/>
              </w:rPr>
              <w:t>0.17|0</w:t>
            </w:r>
          </w:p>
        </w:tc>
        <w:tc>
          <w:tcPr>
            <w:tcW w:w="318" w:type="pct"/>
            <w:noWrap/>
            <w:vAlign w:val="center"/>
          </w:tcPr>
          <w:p w14:paraId="5C05FCA8">
            <w:pPr>
              <w:pStyle w:val="129"/>
              <w:widowControl w:val="0"/>
              <w:rPr>
                <w:color w:val="auto"/>
              </w:rPr>
            </w:pPr>
            <w:r>
              <w:rPr>
                <w:color w:val="auto"/>
              </w:rPr>
              <w:t>0.15|0</w:t>
            </w:r>
          </w:p>
        </w:tc>
        <w:tc>
          <w:tcPr>
            <w:tcW w:w="312" w:type="pct"/>
            <w:vAlign w:val="center"/>
          </w:tcPr>
          <w:p w14:paraId="6CBA9F28">
            <w:pPr>
              <w:pStyle w:val="129"/>
              <w:widowControl w:val="0"/>
              <w:rPr>
                <w:color w:val="auto"/>
              </w:rPr>
            </w:pPr>
            <w:r>
              <w:rPr>
                <w:color w:val="auto"/>
              </w:rPr>
              <w:t>0.00|0</w:t>
            </w:r>
          </w:p>
        </w:tc>
        <w:tc>
          <w:tcPr>
            <w:tcW w:w="468" w:type="pct"/>
            <w:noWrap/>
            <w:vAlign w:val="center"/>
          </w:tcPr>
          <w:p w14:paraId="4E78B179">
            <w:pPr>
              <w:pStyle w:val="129"/>
              <w:widowControl w:val="0"/>
              <w:rPr>
                <w:color w:val="auto"/>
              </w:rPr>
            </w:pPr>
            <w:r>
              <w:rPr>
                <w:color w:val="auto"/>
              </w:rPr>
              <w:t>0.01|0</w:t>
            </w:r>
          </w:p>
        </w:tc>
        <w:tc>
          <w:tcPr>
            <w:tcW w:w="415" w:type="pct"/>
            <w:vAlign w:val="center"/>
          </w:tcPr>
          <w:p w14:paraId="073D5730">
            <w:pPr>
              <w:pStyle w:val="129"/>
              <w:widowControl w:val="0"/>
              <w:rPr>
                <w:color w:val="auto"/>
              </w:rPr>
            </w:pPr>
            <w:r>
              <w:rPr>
                <w:color w:val="auto"/>
              </w:rPr>
              <w:t>0.01|0</w:t>
            </w:r>
          </w:p>
        </w:tc>
        <w:tc>
          <w:tcPr>
            <w:tcW w:w="276" w:type="pct"/>
            <w:vAlign w:val="center"/>
          </w:tcPr>
          <w:p w14:paraId="574672F3">
            <w:pPr>
              <w:pStyle w:val="129"/>
              <w:widowControl w:val="0"/>
              <w:rPr>
                <w:color w:val="auto"/>
              </w:rPr>
            </w:pPr>
            <w:r>
              <w:rPr>
                <w:color w:val="auto"/>
              </w:rPr>
              <w:t>0.00|0</w:t>
            </w:r>
          </w:p>
        </w:tc>
      </w:tr>
      <w:tr w14:paraId="089065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649F2E84">
            <w:pPr>
              <w:pStyle w:val="129"/>
              <w:widowControl w:val="0"/>
              <w:rPr>
                <w:color w:val="auto"/>
              </w:rPr>
            </w:pPr>
            <w:r>
              <w:rPr>
                <w:rFonts w:hint="eastAsia"/>
                <w:color w:val="auto"/>
              </w:rPr>
              <w:t>4</w:t>
            </w:r>
          </w:p>
        </w:tc>
        <w:tc>
          <w:tcPr>
            <w:tcW w:w="722" w:type="pct"/>
            <w:noWrap/>
            <w:vAlign w:val="bottom"/>
          </w:tcPr>
          <w:p w14:paraId="49C85817">
            <w:pPr>
              <w:pStyle w:val="129"/>
              <w:widowControl w:val="0"/>
              <w:rPr>
                <w:color w:val="auto"/>
              </w:rPr>
            </w:pPr>
            <w:r>
              <w:rPr>
                <w:rFonts w:hint="eastAsia"/>
                <w:color w:val="auto"/>
              </w:rPr>
              <w:t>混捏、催化剂、载体筛分包装废气</w:t>
            </w:r>
          </w:p>
        </w:tc>
        <w:tc>
          <w:tcPr>
            <w:tcW w:w="383" w:type="pct"/>
            <w:noWrap/>
            <w:vAlign w:val="center"/>
          </w:tcPr>
          <w:p w14:paraId="25E857E7">
            <w:pPr>
              <w:pStyle w:val="129"/>
              <w:widowControl w:val="0"/>
              <w:rPr>
                <w:color w:val="auto"/>
              </w:rPr>
            </w:pPr>
            <w:r>
              <w:rPr>
                <w:rFonts w:hint="eastAsia"/>
                <w:color w:val="auto"/>
              </w:rPr>
              <w:t>170</w:t>
            </w:r>
          </w:p>
        </w:tc>
        <w:tc>
          <w:tcPr>
            <w:tcW w:w="385" w:type="pct"/>
            <w:noWrap/>
            <w:vAlign w:val="center"/>
          </w:tcPr>
          <w:p w14:paraId="5D8101D2">
            <w:pPr>
              <w:pStyle w:val="129"/>
              <w:widowControl w:val="0"/>
              <w:rPr>
                <w:color w:val="auto"/>
              </w:rPr>
            </w:pPr>
            <w:r>
              <w:rPr>
                <w:rFonts w:hint="eastAsia"/>
                <w:color w:val="auto"/>
              </w:rPr>
              <w:t>210</w:t>
            </w:r>
          </w:p>
        </w:tc>
        <w:tc>
          <w:tcPr>
            <w:tcW w:w="336" w:type="pct"/>
            <w:noWrap/>
            <w:vAlign w:val="center"/>
          </w:tcPr>
          <w:p w14:paraId="392FCB60">
            <w:pPr>
              <w:pStyle w:val="129"/>
              <w:widowControl w:val="0"/>
              <w:rPr>
                <w:color w:val="auto"/>
              </w:rPr>
            </w:pPr>
            <w:r>
              <w:rPr>
                <w:rFonts w:hint="eastAsia"/>
                <w:color w:val="auto"/>
              </w:rPr>
              <w:t>0.42</w:t>
            </w:r>
          </w:p>
        </w:tc>
        <w:tc>
          <w:tcPr>
            <w:tcW w:w="313" w:type="pct"/>
            <w:noWrap/>
            <w:vAlign w:val="center"/>
          </w:tcPr>
          <w:p w14:paraId="799A05E7">
            <w:pPr>
              <w:pStyle w:val="129"/>
              <w:widowControl w:val="0"/>
              <w:rPr>
                <w:color w:val="auto"/>
              </w:rPr>
            </w:pPr>
            <w:r>
              <w:rPr>
                <w:color w:val="auto"/>
              </w:rPr>
              <w:t>0.00|0</w:t>
            </w:r>
          </w:p>
        </w:tc>
        <w:tc>
          <w:tcPr>
            <w:tcW w:w="313" w:type="pct"/>
            <w:noWrap/>
            <w:vAlign w:val="center"/>
          </w:tcPr>
          <w:p w14:paraId="24E15B91">
            <w:pPr>
              <w:pStyle w:val="129"/>
              <w:widowControl w:val="0"/>
              <w:rPr>
                <w:color w:val="auto"/>
              </w:rPr>
            </w:pPr>
            <w:r>
              <w:rPr>
                <w:color w:val="auto"/>
              </w:rPr>
              <w:t>0.00|0</w:t>
            </w:r>
          </w:p>
        </w:tc>
        <w:tc>
          <w:tcPr>
            <w:tcW w:w="313" w:type="pct"/>
            <w:noWrap/>
            <w:vAlign w:val="center"/>
          </w:tcPr>
          <w:p w14:paraId="74828BD6">
            <w:pPr>
              <w:pStyle w:val="129"/>
              <w:widowControl w:val="0"/>
              <w:rPr>
                <w:color w:val="auto"/>
              </w:rPr>
            </w:pPr>
            <w:r>
              <w:rPr>
                <w:color w:val="auto"/>
              </w:rPr>
              <w:t>0.41|0</w:t>
            </w:r>
          </w:p>
        </w:tc>
        <w:tc>
          <w:tcPr>
            <w:tcW w:w="308" w:type="pct"/>
            <w:noWrap/>
            <w:vAlign w:val="center"/>
          </w:tcPr>
          <w:p w14:paraId="4F3B797E">
            <w:pPr>
              <w:pStyle w:val="129"/>
              <w:widowControl w:val="0"/>
              <w:rPr>
                <w:color w:val="auto"/>
              </w:rPr>
            </w:pPr>
            <w:r>
              <w:rPr>
                <w:color w:val="auto"/>
              </w:rPr>
              <w:t>0.41|0</w:t>
            </w:r>
          </w:p>
        </w:tc>
        <w:tc>
          <w:tcPr>
            <w:tcW w:w="318" w:type="pct"/>
            <w:noWrap/>
            <w:vAlign w:val="center"/>
          </w:tcPr>
          <w:p w14:paraId="37B0AE37">
            <w:pPr>
              <w:pStyle w:val="129"/>
              <w:widowControl w:val="0"/>
              <w:rPr>
                <w:color w:val="auto"/>
              </w:rPr>
            </w:pPr>
            <w:r>
              <w:rPr>
                <w:color w:val="auto"/>
              </w:rPr>
              <w:t>0.00|0</w:t>
            </w:r>
          </w:p>
        </w:tc>
        <w:tc>
          <w:tcPr>
            <w:tcW w:w="312" w:type="pct"/>
            <w:vAlign w:val="center"/>
          </w:tcPr>
          <w:p w14:paraId="10184CD9">
            <w:pPr>
              <w:pStyle w:val="129"/>
              <w:widowControl w:val="0"/>
              <w:rPr>
                <w:color w:val="auto"/>
              </w:rPr>
            </w:pPr>
            <w:r>
              <w:rPr>
                <w:color w:val="auto"/>
              </w:rPr>
              <w:t>0.00|0</w:t>
            </w:r>
          </w:p>
        </w:tc>
        <w:tc>
          <w:tcPr>
            <w:tcW w:w="468" w:type="pct"/>
            <w:noWrap/>
            <w:vAlign w:val="center"/>
          </w:tcPr>
          <w:p w14:paraId="0F48E4A5">
            <w:pPr>
              <w:pStyle w:val="129"/>
              <w:widowControl w:val="0"/>
              <w:rPr>
                <w:color w:val="auto"/>
              </w:rPr>
            </w:pPr>
            <w:r>
              <w:rPr>
                <w:color w:val="auto"/>
              </w:rPr>
              <w:t>0.02|0</w:t>
            </w:r>
          </w:p>
        </w:tc>
        <w:tc>
          <w:tcPr>
            <w:tcW w:w="415" w:type="pct"/>
            <w:vAlign w:val="center"/>
          </w:tcPr>
          <w:p w14:paraId="7A78502D">
            <w:pPr>
              <w:pStyle w:val="129"/>
              <w:widowControl w:val="0"/>
              <w:rPr>
                <w:color w:val="auto"/>
              </w:rPr>
            </w:pPr>
            <w:r>
              <w:rPr>
                <w:color w:val="auto"/>
              </w:rPr>
              <w:t>0.05|0</w:t>
            </w:r>
          </w:p>
        </w:tc>
        <w:tc>
          <w:tcPr>
            <w:tcW w:w="276" w:type="pct"/>
            <w:vAlign w:val="center"/>
          </w:tcPr>
          <w:p w14:paraId="74A8BE10">
            <w:pPr>
              <w:pStyle w:val="129"/>
              <w:widowControl w:val="0"/>
              <w:rPr>
                <w:color w:val="auto"/>
              </w:rPr>
            </w:pPr>
            <w:r>
              <w:rPr>
                <w:color w:val="auto"/>
              </w:rPr>
              <w:t>0.00|0</w:t>
            </w:r>
          </w:p>
        </w:tc>
      </w:tr>
      <w:tr w14:paraId="1EF584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268FB295">
            <w:pPr>
              <w:pStyle w:val="129"/>
              <w:widowControl w:val="0"/>
              <w:rPr>
                <w:color w:val="auto"/>
              </w:rPr>
            </w:pPr>
            <w:r>
              <w:rPr>
                <w:rFonts w:hint="eastAsia"/>
                <w:color w:val="auto"/>
              </w:rPr>
              <w:t>5</w:t>
            </w:r>
          </w:p>
        </w:tc>
        <w:tc>
          <w:tcPr>
            <w:tcW w:w="722" w:type="pct"/>
            <w:noWrap/>
            <w:vAlign w:val="bottom"/>
          </w:tcPr>
          <w:p w14:paraId="71C2C981">
            <w:pPr>
              <w:pStyle w:val="129"/>
              <w:widowControl w:val="0"/>
              <w:rPr>
                <w:color w:val="auto"/>
              </w:rPr>
            </w:pPr>
            <w:r>
              <w:rPr>
                <w:rFonts w:hint="eastAsia"/>
                <w:color w:val="auto"/>
              </w:rPr>
              <w:t>无组织排放</w:t>
            </w:r>
          </w:p>
        </w:tc>
        <w:tc>
          <w:tcPr>
            <w:tcW w:w="383" w:type="pct"/>
            <w:noWrap/>
            <w:vAlign w:val="center"/>
          </w:tcPr>
          <w:p w14:paraId="58B94FB9">
            <w:pPr>
              <w:pStyle w:val="129"/>
              <w:widowControl w:val="0"/>
              <w:rPr>
                <w:color w:val="auto"/>
              </w:rPr>
            </w:pPr>
            <w:r>
              <w:rPr>
                <w:rFonts w:hint="eastAsia"/>
                <w:color w:val="auto"/>
              </w:rPr>
              <w:t>45</w:t>
            </w:r>
          </w:p>
        </w:tc>
        <w:tc>
          <w:tcPr>
            <w:tcW w:w="385" w:type="pct"/>
            <w:noWrap/>
            <w:vAlign w:val="center"/>
          </w:tcPr>
          <w:p w14:paraId="583461C5">
            <w:pPr>
              <w:pStyle w:val="129"/>
              <w:widowControl w:val="0"/>
              <w:rPr>
                <w:color w:val="auto"/>
              </w:rPr>
            </w:pPr>
            <w:r>
              <w:rPr>
                <w:rFonts w:hint="eastAsia"/>
                <w:color w:val="auto"/>
              </w:rPr>
              <w:t>75</w:t>
            </w:r>
          </w:p>
        </w:tc>
        <w:tc>
          <w:tcPr>
            <w:tcW w:w="336" w:type="pct"/>
            <w:noWrap/>
            <w:vAlign w:val="center"/>
          </w:tcPr>
          <w:p w14:paraId="6C979C2E">
            <w:pPr>
              <w:pStyle w:val="129"/>
              <w:widowControl w:val="0"/>
              <w:rPr>
                <w:color w:val="auto"/>
              </w:rPr>
            </w:pPr>
            <w:r>
              <w:rPr>
                <w:rFonts w:hint="eastAsia"/>
                <w:color w:val="auto"/>
              </w:rPr>
              <w:t>0</w:t>
            </w:r>
          </w:p>
        </w:tc>
        <w:tc>
          <w:tcPr>
            <w:tcW w:w="313" w:type="pct"/>
            <w:noWrap/>
            <w:vAlign w:val="center"/>
          </w:tcPr>
          <w:p w14:paraId="0F4F73D8">
            <w:pPr>
              <w:pStyle w:val="129"/>
              <w:widowControl w:val="0"/>
              <w:rPr>
                <w:color w:val="auto"/>
              </w:rPr>
            </w:pPr>
            <w:r>
              <w:rPr>
                <w:color w:val="auto"/>
              </w:rPr>
              <w:t>0.00|0</w:t>
            </w:r>
          </w:p>
        </w:tc>
        <w:tc>
          <w:tcPr>
            <w:tcW w:w="313" w:type="pct"/>
            <w:noWrap/>
            <w:vAlign w:val="center"/>
          </w:tcPr>
          <w:p w14:paraId="761BE4EE">
            <w:pPr>
              <w:pStyle w:val="129"/>
              <w:widowControl w:val="0"/>
              <w:rPr>
                <w:color w:val="auto"/>
              </w:rPr>
            </w:pPr>
            <w:r>
              <w:rPr>
                <w:color w:val="auto"/>
              </w:rPr>
              <w:t>0.00|0</w:t>
            </w:r>
          </w:p>
        </w:tc>
        <w:tc>
          <w:tcPr>
            <w:tcW w:w="313" w:type="pct"/>
            <w:noWrap/>
            <w:vAlign w:val="center"/>
          </w:tcPr>
          <w:p w14:paraId="272A78E5">
            <w:pPr>
              <w:pStyle w:val="129"/>
              <w:widowControl w:val="0"/>
              <w:rPr>
                <w:color w:val="auto"/>
              </w:rPr>
            </w:pPr>
            <w:r>
              <w:rPr>
                <w:color w:val="auto"/>
              </w:rPr>
              <w:t>0.00|0</w:t>
            </w:r>
          </w:p>
        </w:tc>
        <w:tc>
          <w:tcPr>
            <w:tcW w:w="308" w:type="pct"/>
            <w:noWrap/>
            <w:vAlign w:val="center"/>
          </w:tcPr>
          <w:p w14:paraId="236CBB8A">
            <w:pPr>
              <w:pStyle w:val="129"/>
              <w:widowControl w:val="0"/>
              <w:rPr>
                <w:color w:val="auto"/>
              </w:rPr>
            </w:pPr>
            <w:r>
              <w:rPr>
                <w:color w:val="auto"/>
              </w:rPr>
              <w:t>0.00|0</w:t>
            </w:r>
          </w:p>
        </w:tc>
        <w:tc>
          <w:tcPr>
            <w:tcW w:w="318" w:type="pct"/>
            <w:noWrap/>
            <w:vAlign w:val="center"/>
          </w:tcPr>
          <w:p w14:paraId="1D636883">
            <w:pPr>
              <w:pStyle w:val="129"/>
              <w:widowControl w:val="0"/>
              <w:rPr>
                <w:color w:val="auto"/>
              </w:rPr>
            </w:pPr>
            <w:r>
              <w:rPr>
                <w:color w:val="auto"/>
              </w:rPr>
              <w:t>5.58|0</w:t>
            </w:r>
          </w:p>
        </w:tc>
        <w:tc>
          <w:tcPr>
            <w:tcW w:w="312" w:type="pct"/>
            <w:vAlign w:val="center"/>
          </w:tcPr>
          <w:p w14:paraId="09AD3918">
            <w:pPr>
              <w:pStyle w:val="129"/>
              <w:widowControl w:val="0"/>
              <w:rPr>
                <w:color w:val="auto"/>
              </w:rPr>
            </w:pPr>
            <w:r>
              <w:rPr>
                <w:color w:val="auto"/>
              </w:rPr>
              <w:t>0.00|0</w:t>
            </w:r>
          </w:p>
        </w:tc>
        <w:tc>
          <w:tcPr>
            <w:tcW w:w="468" w:type="pct"/>
            <w:noWrap/>
            <w:vAlign w:val="center"/>
          </w:tcPr>
          <w:p w14:paraId="5573F67B">
            <w:pPr>
              <w:pStyle w:val="129"/>
              <w:widowControl w:val="0"/>
              <w:rPr>
                <w:color w:val="auto"/>
              </w:rPr>
            </w:pPr>
            <w:r>
              <w:rPr>
                <w:color w:val="auto"/>
              </w:rPr>
              <w:t>0.00|0</w:t>
            </w:r>
          </w:p>
        </w:tc>
        <w:tc>
          <w:tcPr>
            <w:tcW w:w="415" w:type="pct"/>
            <w:vAlign w:val="center"/>
          </w:tcPr>
          <w:p w14:paraId="5CC39F54">
            <w:pPr>
              <w:pStyle w:val="129"/>
              <w:widowControl w:val="0"/>
              <w:rPr>
                <w:color w:val="auto"/>
              </w:rPr>
            </w:pPr>
            <w:r>
              <w:rPr>
                <w:color w:val="auto"/>
              </w:rPr>
              <w:t>0.00|0</w:t>
            </w:r>
          </w:p>
        </w:tc>
        <w:tc>
          <w:tcPr>
            <w:tcW w:w="276" w:type="pct"/>
            <w:vAlign w:val="center"/>
          </w:tcPr>
          <w:p w14:paraId="57C440C4">
            <w:pPr>
              <w:pStyle w:val="129"/>
              <w:widowControl w:val="0"/>
              <w:rPr>
                <w:color w:val="auto"/>
              </w:rPr>
            </w:pPr>
            <w:r>
              <w:rPr>
                <w:color w:val="auto"/>
              </w:rPr>
              <w:t>2.20|0</w:t>
            </w:r>
          </w:p>
        </w:tc>
      </w:tr>
      <w:tr w14:paraId="0CDB60B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4BEC18C0">
            <w:pPr>
              <w:pStyle w:val="129"/>
              <w:widowControl w:val="0"/>
              <w:rPr>
                <w:color w:val="auto"/>
              </w:rPr>
            </w:pPr>
            <w:r>
              <w:rPr>
                <w:rFonts w:hint="eastAsia"/>
                <w:color w:val="auto"/>
              </w:rPr>
              <w:t>6</w:t>
            </w:r>
          </w:p>
        </w:tc>
        <w:tc>
          <w:tcPr>
            <w:tcW w:w="722" w:type="pct"/>
            <w:noWrap/>
            <w:vAlign w:val="bottom"/>
          </w:tcPr>
          <w:p w14:paraId="3B7E68AC">
            <w:pPr>
              <w:pStyle w:val="129"/>
              <w:widowControl w:val="0"/>
              <w:rPr>
                <w:color w:val="auto"/>
              </w:rPr>
            </w:pPr>
            <w:r>
              <w:rPr>
                <w:rFonts w:hint="eastAsia"/>
                <w:color w:val="auto"/>
              </w:rPr>
              <w:t>含氨废气</w:t>
            </w:r>
          </w:p>
        </w:tc>
        <w:tc>
          <w:tcPr>
            <w:tcW w:w="383" w:type="pct"/>
            <w:noWrap/>
            <w:vAlign w:val="center"/>
          </w:tcPr>
          <w:p w14:paraId="7B82700A">
            <w:pPr>
              <w:pStyle w:val="129"/>
              <w:widowControl w:val="0"/>
              <w:rPr>
                <w:color w:val="auto"/>
              </w:rPr>
            </w:pPr>
            <w:r>
              <w:rPr>
                <w:rFonts w:hint="eastAsia"/>
                <w:color w:val="auto"/>
              </w:rPr>
              <w:t>50</w:t>
            </w:r>
          </w:p>
        </w:tc>
        <w:tc>
          <w:tcPr>
            <w:tcW w:w="385" w:type="pct"/>
            <w:noWrap/>
            <w:vAlign w:val="center"/>
          </w:tcPr>
          <w:p w14:paraId="56111C81">
            <w:pPr>
              <w:pStyle w:val="129"/>
              <w:widowControl w:val="0"/>
              <w:rPr>
                <w:color w:val="auto"/>
              </w:rPr>
            </w:pPr>
            <w:r>
              <w:rPr>
                <w:rFonts w:hint="eastAsia"/>
                <w:color w:val="auto"/>
              </w:rPr>
              <w:t>21</w:t>
            </w:r>
          </w:p>
        </w:tc>
        <w:tc>
          <w:tcPr>
            <w:tcW w:w="336" w:type="pct"/>
            <w:noWrap/>
            <w:vAlign w:val="center"/>
          </w:tcPr>
          <w:p w14:paraId="697F57DA">
            <w:pPr>
              <w:pStyle w:val="129"/>
              <w:widowControl w:val="0"/>
              <w:rPr>
                <w:color w:val="auto"/>
              </w:rPr>
            </w:pPr>
            <w:r>
              <w:rPr>
                <w:rFonts w:hint="eastAsia"/>
                <w:color w:val="auto"/>
              </w:rPr>
              <w:t>0</w:t>
            </w:r>
          </w:p>
        </w:tc>
        <w:tc>
          <w:tcPr>
            <w:tcW w:w="313" w:type="pct"/>
            <w:noWrap/>
            <w:vAlign w:val="center"/>
          </w:tcPr>
          <w:p w14:paraId="555A41FA">
            <w:pPr>
              <w:pStyle w:val="129"/>
              <w:widowControl w:val="0"/>
              <w:rPr>
                <w:color w:val="auto"/>
              </w:rPr>
            </w:pPr>
            <w:r>
              <w:rPr>
                <w:color w:val="auto"/>
              </w:rPr>
              <w:t>0.00|0</w:t>
            </w:r>
          </w:p>
        </w:tc>
        <w:tc>
          <w:tcPr>
            <w:tcW w:w="313" w:type="pct"/>
            <w:noWrap/>
            <w:vAlign w:val="center"/>
          </w:tcPr>
          <w:p w14:paraId="02A1F05C">
            <w:pPr>
              <w:pStyle w:val="129"/>
              <w:widowControl w:val="0"/>
              <w:rPr>
                <w:color w:val="auto"/>
              </w:rPr>
            </w:pPr>
            <w:r>
              <w:rPr>
                <w:color w:val="auto"/>
              </w:rPr>
              <w:t>0.00|0</w:t>
            </w:r>
          </w:p>
        </w:tc>
        <w:tc>
          <w:tcPr>
            <w:tcW w:w="313" w:type="pct"/>
            <w:noWrap/>
            <w:vAlign w:val="center"/>
          </w:tcPr>
          <w:p w14:paraId="198EB96A">
            <w:pPr>
              <w:pStyle w:val="129"/>
              <w:widowControl w:val="0"/>
              <w:rPr>
                <w:color w:val="auto"/>
              </w:rPr>
            </w:pPr>
            <w:r>
              <w:rPr>
                <w:color w:val="auto"/>
              </w:rPr>
              <w:t>0.00|0</w:t>
            </w:r>
          </w:p>
        </w:tc>
        <w:tc>
          <w:tcPr>
            <w:tcW w:w="308" w:type="pct"/>
            <w:noWrap/>
            <w:vAlign w:val="center"/>
          </w:tcPr>
          <w:p w14:paraId="136BCFA2">
            <w:pPr>
              <w:pStyle w:val="129"/>
              <w:widowControl w:val="0"/>
              <w:rPr>
                <w:color w:val="auto"/>
              </w:rPr>
            </w:pPr>
            <w:r>
              <w:rPr>
                <w:color w:val="auto"/>
              </w:rPr>
              <w:t>0.00|0</w:t>
            </w:r>
          </w:p>
        </w:tc>
        <w:tc>
          <w:tcPr>
            <w:tcW w:w="318" w:type="pct"/>
            <w:noWrap/>
            <w:vAlign w:val="center"/>
          </w:tcPr>
          <w:p w14:paraId="2A094635">
            <w:pPr>
              <w:pStyle w:val="129"/>
              <w:widowControl w:val="0"/>
              <w:rPr>
                <w:color w:val="auto"/>
              </w:rPr>
            </w:pPr>
            <w:r>
              <w:rPr>
                <w:color w:val="auto"/>
              </w:rPr>
              <w:t>0.34|0</w:t>
            </w:r>
          </w:p>
        </w:tc>
        <w:tc>
          <w:tcPr>
            <w:tcW w:w="312" w:type="pct"/>
            <w:vAlign w:val="center"/>
          </w:tcPr>
          <w:p w14:paraId="40D71640">
            <w:pPr>
              <w:pStyle w:val="129"/>
              <w:widowControl w:val="0"/>
              <w:rPr>
                <w:color w:val="auto"/>
              </w:rPr>
            </w:pPr>
            <w:r>
              <w:rPr>
                <w:color w:val="auto"/>
              </w:rPr>
              <w:t>0.00|0</w:t>
            </w:r>
          </w:p>
        </w:tc>
        <w:tc>
          <w:tcPr>
            <w:tcW w:w="468" w:type="pct"/>
            <w:noWrap/>
            <w:vAlign w:val="center"/>
          </w:tcPr>
          <w:p w14:paraId="167D7B88">
            <w:pPr>
              <w:pStyle w:val="129"/>
              <w:widowControl w:val="0"/>
              <w:rPr>
                <w:color w:val="auto"/>
              </w:rPr>
            </w:pPr>
            <w:r>
              <w:rPr>
                <w:color w:val="auto"/>
              </w:rPr>
              <w:t>0.00|0</w:t>
            </w:r>
          </w:p>
        </w:tc>
        <w:tc>
          <w:tcPr>
            <w:tcW w:w="415" w:type="pct"/>
            <w:vAlign w:val="center"/>
          </w:tcPr>
          <w:p w14:paraId="66F8C18F">
            <w:pPr>
              <w:pStyle w:val="129"/>
              <w:widowControl w:val="0"/>
              <w:rPr>
                <w:color w:val="auto"/>
              </w:rPr>
            </w:pPr>
            <w:r>
              <w:rPr>
                <w:color w:val="auto"/>
              </w:rPr>
              <w:t>0.00|0</w:t>
            </w:r>
          </w:p>
        </w:tc>
        <w:tc>
          <w:tcPr>
            <w:tcW w:w="276" w:type="pct"/>
            <w:vAlign w:val="center"/>
          </w:tcPr>
          <w:p w14:paraId="70266AC8">
            <w:pPr>
              <w:pStyle w:val="129"/>
              <w:widowControl w:val="0"/>
              <w:rPr>
                <w:color w:val="auto"/>
              </w:rPr>
            </w:pPr>
            <w:r>
              <w:rPr>
                <w:color w:val="auto"/>
              </w:rPr>
              <w:t>0.00|0</w:t>
            </w:r>
          </w:p>
        </w:tc>
      </w:tr>
      <w:tr w14:paraId="1DD946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5719E8E1">
            <w:pPr>
              <w:pStyle w:val="129"/>
              <w:widowControl w:val="0"/>
              <w:rPr>
                <w:color w:val="auto"/>
              </w:rPr>
            </w:pPr>
            <w:r>
              <w:rPr>
                <w:rFonts w:hint="eastAsia"/>
                <w:color w:val="auto"/>
              </w:rPr>
              <w:t>7</w:t>
            </w:r>
          </w:p>
        </w:tc>
        <w:tc>
          <w:tcPr>
            <w:tcW w:w="722" w:type="pct"/>
            <w:noWrap/>
            <w:vAlign w:val="bottom"/>
          </w:tcPr>
          <w:p w14:paraId="1807D383">
            <w:pPr>
              <w:pStyle w:val="129"/>
              <w:widowControl w:val="0"/>
              <w:rPr>
                <w:color w:val="auto"/>
              </w:rPr>
            </w:pPr>
            <w:r>
              <w:rPr>
                <w:rFonts w:hint="eastAsia"/>
                <w:color w:val="auto"/>
              </w:rPr>
              <w:t>硫酸铵干燥包装排口</w:t>
            </w:r>
          </w:p>
        </w:tc>
        <w:tc>
          <w:tcPr>
            <w:tcW w:w="383" w:type="pct"/>
            <w:noWrap/>
            <w:vAlign w:val="center"/>
          </w:tcPr>
          <w:p w14:paraId="7F49FEE9">
            <w:pPr>
              <w:pStyle w:val="129"/>
              <w:widowControl w:val="0"/>
              <w:rPr>
                <w:color w:val="auto"/>
              </w:rPr>
            </w:pPr>
            <w:r>
              <w:rPr>
                <w:rFonts w:hint="eastAsia"/>
                <w:color w:val="auto"/>
              </w:rPr>
              <w:t>170</w:t>
            </w:r>
          </w:p>
        </w:tc>
        <w:tc>
          <w:tcPr>
            <w:tcW w:w="385" w:type="pct"/>
            <w:noWrap/>
            <w:vAlign w:val="center"/>
          </w:tcPr>
          <w:p w14:paraId="54C524EF">
            <w:pPr>
              <w:pStyle w:val="129"/>
              <w:widowControl w:val="0"/>
              <w:rPr>
                <w:color w:val="auto"/>
              </w:rPr>
            </w:pPr>
            <w:r>
              <w:rPr>
                <w:rFonts w:hint="eastAsia"/>
                <w:color w:val="auto"/>
              </w:rPr>
              <w:t>210</w:t>
            </w:r>
          </w:p>
        </w:tc>
        <w:tc>
          <w:tcPr>
            <w:tcW w:w="336" w:type="pct"/>
            <w:noWrap/>
            <w:vAlign w:val="center"/>
          </w:tcPr>
          <w:p w14:paraId="2A26BB11">
            <w:pPr>
              <w:pStyle w:val="129"/>
              <w:widowControl w:val="0"/>
              <w:rPr>
                <w:color w:val="auto"/>
              </w:rPr>
            </w:pPr>
            <w:r>
              <w:rPr>
                <w:rFonts w:hint="eastAsia"/>
                <w:color w:val="auto"/>
              </w:rPr>
              <w:t>0.42</w:t>
            </w:r>
          </w:p>
        </w:tc>
        <w:tc>
          <w:tcPr>
            <w:tcW w:w="313" w:type="pct"/>
            <w:noWrap/>
            <w:vAlign w:val="center"/>
          </w:tcPr>
          <w:p w14:paraId="2AE357A4">
            <w:pPr>
              <w:pStyle w:val="129"/>
              <w:widowControl w:val="0"/>
              <w:rPr>
                <w:color w:val="auto"/>
              </w:rPr>
            </w:pPr>
            <w:r>
              <w:rPr>
                <w:color w:val="auto"/>
              </w:rPr>
              <w:t>0.00|0</w:t>
            </w:r>
          </w:p>
        </w:tc>
        <w:tc>
          <w:tcPr>
            <w:tcW w:w="313" w:type="pct"/>
            <w:noWrap/>
            <w:vAlign w:val="center"/>
          </w:tcPr>
          <w:p w14:paraId="6EA5E799">
            <w:pPr>
              <w:pStyle w:val="129"/>
              <w:widowControl w:val="0"/>
              <w:rPr>
                <w:color w:val="auto"/>
              </w:rPr>
            </w:pPr>
            <w:r>
              <w:rPr>
                <w:color w:val="auto"/>
              </w:rPr>
              <w:t>0.00|0</w:t>
            </w:r>
          </w:p>
        </w:tc>
        <w:tc>
          <w:tcPr>
            <w:tcW w:w="313" w:type="pct"/>
            <w:noWrap/>
            <w:vAlign w:val="center"/>
          </w:tcPr>
          <w:p w14:paraId="6DB2BB2F">
            <w:pPr>
              <w:pStyle w:val="129"/>
              <w:widowControl w:val="0"/>
              <w:rPr>
                <w:color w:val="auto"/>
              </w:rPr>
            </w:pPr>
            <w:r>
              <w:rPr>
                <w:color w:val="auto"/>
              </w:rPr>
              <w:t>6.01|0</w:t>
            </w:r>
          </w:p>
        </w:tc>
        <w:tc>
          <w:tcPr>
            <w:tcW w:w="308" w:type="pct"/>
            <w:noWrap/>
            <w:vAlign w:val="center"/>
          </w:tcPr>
          <w:p w14:paraId="7CC3FBC6">
            <w:pPr>
              <w:pStyle w:val="129"/>
              <w:widowControl w:val="0"/>
              <w:rPr>
                <w:color w:val="auto"/>
              </w:rPr>
            </w:pPr>
            <w:r>
              <w:rPr>
                <w:color w:val="auto"/>
              </w:rPr>
              <w:t>6.01|0</w:t>
            </w:r>
          </w:p>
        </w:tc>
        <w:tc>
          <w:tcPr>
            <w:tcW w:w="318" w:type="pct"/>
            <w:noWrap/>
            <w:vAlign w:val="center"/>
          </w:tcPr>
          <w:p w14:paraId="059EC4F5">
            <w:pPr>
              <w:pStyle w:val="129"/>
              <w:widowControl w:val="0"/>
              <w:rPr>
                <w:color w:val="auto"/>
              </w:rPr>
            </w:pPr>
            <w:r>
              <w:rPr>
                <w:color w:val="auto"/>
              </w:rPr>
              <w:t>0.00|0</w:t>
            </w:r>
          </w:p>
        </w:tc>
        <w:tc>
          <w:tcPr>
            <w:tcW w:w="312" w:type="pct"/>
            <w:vAlign w:val="center"/>
          </w:tcPr>
          <w:p w14:paraId="36F69F61">
            <w:pPr>
              <w:pStyle w:val="129"/>
              <w:widowControl w:val="0"/>
              <w:rPr>
                <w:color w:val="auto"/>
              </w:rPr>
            </w:pPr>
            <w:r>
              <w:rPr>
                <w:color w:val="auto"/>
              </w:rPr>
              <w:t>0.00|0</w:t>
            </w:r>
          </w:p>
        </w:tc>
        <w:tc>
          <w:tcPr>
            <w:tcW w:w="468" w:type="pct"/>
            <w:noWrap/>
            <w:vAlign w:val="center"/>
          </w:tcPr>
          <w:p w14:paraId="2E4D24CE">
            <w:pPr>
              <w:pStyle w:val="129"/>
              <w:widowControl w:val="0"/>
              <w:rPr>
                <w:color w:val="auto"/>
              </w:rPr>
            </w:pPr>
            <w:r>
              <w:rPr>
                <w:color w:val="auto"/>
              </w:rPr>
              <w:t>0.00|0</w:t>
            </w:r>
          </w:p>
        </w:tc>
        <w:tc>
          <w:tcPr>
            <w:tcW w:w="415" w:type="pct"/>
            <w:vAlign w:val="center"/>
          </w:tcPr>
          <w:p w14:paraId="6089C122">
            <w:pPr>
              <w:pStyle w:val="129"/>
              <w:widowControl w:val="0"/>
              <w:rPr>
                <w:color w:val="auto"/>
              </w:rPr>
            </w:pPr>
            <w:r>
              <w:rPr>
                <w:color w:val="auto"/>
              </w:rPr>
              <w:t>0.00|0</w:t>
            </w:r>
          </w:p>
        </w:tc>
        <w:tc>
          <w:tcPr>
            <w:tcW w:w="276" w:type="pct"/>
            <w:vAlign w:val="center"/>
          </w:tcPr>
          <w:p w14:paraId="1FC32E70">
            <w:pPr>
              <w:pStyle w:val="129"/>
              <w:widowControl w:val="0"/>
              <w:rPr>
                <w:color w:val="auto"/>
              </w:rPr>
            </w:pPr>
            <w:r>
              <w:rPr>
                <w:color w:val="auto"/>
              </w:rPr>
              <w:t>0.00|0</w:t>
            </w:r>
          </w:p>
        </w:tc>
      </w:tr>
      <w:tr w14:paraId="40E169E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337423C1">
            <w:pPr>
              <w:pStyle w:val="129"/>
              <w:widowControl w:val="0"/>
              <w:rPr>
                <w:color w:val="auto"/>
              </w:rPr>
            </w:pPr>
            <w:r>
              <w:rPr>
                <w:rFonts w:hint="eastAsia"/>
                <w:color w:val="auto"/>
              </w:rPr>
              <w:t>8</w:t>
            </w:r>
          </w:p>
        </w:tc>
        <w:tc>
          <w:tcPr>
            <w:tcW w:w="722" w:type="pct"/>
            <w:noWrap/>
            <w:vAlign w:val="bottom"/>
          </w:tcPr>
          <w:p w14:paraId="098C741D">
            <w:pPr>
              <w:pStyle w:val="129"/>
              <w:widowControl w:val="0"/>
              <w:rPr>
                <w:color w:val="auto"/>
              </w:rPr>
            </w:pPr>
            <w:r>
              <w:rPr>
                <w:rFonts w:hint="eastAsia"/>
                <w:color w:val="auto"/>
              </w:rPr>
              <w:t>二氧化碳气</w:t>
            </w:r>
          </w:p>
        </w:tc>
        <w:tc>
          <w:tcPr>
            <w:tcW w:w="383" w:type="pct"/>
            <w:noWrap/>
            <w:vAlign w:val="center"/>
          </w:tcPr>
          <w:p w14:paraId="6C4F3D92">
            <w:pPr>
              <w:pStyle w:val="129"/>
              <w:widowControl w:val="0"/>
              <w:rPr>
                <w:color w:val="auto"/>
              </w:rPr>
            </w:pPr>
            <w:r>
              <w:rPr>
                <w:rFonts w:hint="eastAsia"/>
                <w:color w:val="auto"/>
              </w:rPr>
              <w:t>100</w:t>
            </w:r>
          </w:p>
        </w:tc>
        <w:tc>
          <w:tcPr>
            <w:tcW w:w="385" w:type="pct"/>
            <w:noWrap/>
            <w:vAlign w:val="center"/>
          </w:tcPr>
          <w:p w14:paraId="36F9FD5B">
            <w:pPr>
              <w:pStyle w:val="129"/>
              <w:widowControl w:val="0"/>
              <w:rPr>
                <w:color w:val="auto"/>
              </w:rPr>
            </w:pPr>
            <w:r>
              <w:rPr>
                <w:rFonts w:hint="eastAsia"/>
                <w:color w:val="auto"/>
              </w:rPr>
              <w:t>45</w:t>
            </w:r>
          </w:p>
        </w:tc>
        <w:tc>
          <w:tcPr>
            <w:tcW w:w="336" w:type="pct"/>
            <w:noWrap/>
            <w:vAlign w:val="center"/>
          </w:tcPr>
          <w:p w14:paraId="2F795484">
            <w:pPr>
              <w:pStyle w:val="129"/>
              <w:widowControl w:val="0"/>
              <w:rPr>
                <w:color w:val="auto"/>
              </w:rPr>
            </w:pPr>
            <w:r>
              <w:rPr>
                <w:rFonts w:hint="eastAsia"/>
                <w:color w:val="auto"/>
              </w:rPr>
              <w:t>0.04</w:t>
            </w:r>
          </w:p>
        </w:tc>
        <w:tc>
          <w:tcPr>
            <w:tcW w:w="313" w:type="pct"/>
            <w:noWrap/>
            <w:vAlign w:val="center"/>
          </w:tcPr>
          <w:p w14:paraId="5CAC183B">
            <w:pPr>
              <w:pStyle w:val="129"/>
              <w:widowControl w:val="0"/>
              <w:rPr>
                <w:color w:val="auto"/>
              </w:rPr>
            </w:pPr>
            <w:r>
              <w:rPr>
                <w:color w:val="auto"/>
              </w:rPr>
              <w:t>0.00|0</w:t>
            </w:r>
          </w:p>
        </w:tc>
        <w:tc>
          <w:tcPr>
            <w:tcW w:w="313" w:type="pct"/>
            <w:noWrap/>
            <w:vAlign w:val="center"/>
          </w:tcPr>
          <w:p w14:paraId="512A65D3">
            <w:pPr>
              <w:pStyle w:val="129"/>
              <w:widowControl w:val="0"/>
              <w:rPr>
                <w:color w:val="auto"/>
              </w:rPr>
            </w:pPr>
            <w:r>
              <w:rPr>
                <w:color w:val="auto"/>
              </w:rPr>
              <w:t>0.00|0</w:t>
            </w:r>
          </w:p>
        </w:tc>
        <w:tc>
          <w:tcPr>
            <w:tcW w:w="313" w:type="pct"/>
            <w:noWrap/>
            <w:vAlign w:val="center"/>
          </w:tcPr>
          <w:p w14:paraId="62913A0C">
            <w:pPr>
              <w:pStyle w:val="129"/>
              <w:widowControl w:val="0"/>
              <w:rPr>
                <w:color w:val="auto"/>
              </w:rPr>
            </w:pPr>
            <w:r>
              <w:rPr>
                <w:color w:val="auto"/>
              </w:rPr>
              <w:t>0.00|0</w:t>
            </w:r>
          </w:p>
        </w:tc>
        <w:tc>
          <w:tcPr>
            <w:tcW w:w="308" w:type="pct"/>
            <w:noWrap/>
            <w:vAlign w:val="center"/>
          </w:tcPr>
          <w:p w14:paraId="786CDBDC">
            <w:pPr>
              <w:pStyle w:val="129"/>
              <w:widowControl w:val="0"/>
              <w:rPr>
                <w:color w:val="auto"/>
              </w:rPr>
            </w:pPr>
            <w:r>
              <w:rPr>
                <w:color w:val="auto"/>
              </w:rPr>
              <w:t>0.00|0</w:t>
            </w:r>
          </w:p>
        </w:tc>
        <w:tc>
          <w:tcPr>
            <w:tcW w:w="318" w:type="pct"/>
            <w:noWrap/>
            <w:vAlign w:val="center"/>
          </w:tcPr>
          <w:p w14:paraId="033B90A5">
            <w:pPr>
              <w:pStyle w:val="129"/>
              <w:widowControl w:val="0"/>
              <w:rPr>
                <w:color w:val="auto"/>
              </w:rPr>
            </w:pPr>
            <w:r>
              <w:rPr>
                <w:color w:val="auto"/>
              </w:rPr>
              <w:t>0.00|0</w:t>
            </w:r>
          </w:p>
        </w:tc>
        <w:tc>
          <w:tcPr>
            <w:tcW w:w="312" w:type="pct"/>
            <w:vAlign w:val="center"/>
          </w:tcPr>
          <w:p w14:paraId="1F28B806">
            <w:pPr>
              <w:pStyle w:val="129"/>
              <w:widowControl w:val="0"/>
              <w:rPr>
                <w:color w:val="auto"/>
              </w:rPr>
            </w:pPr>
            <w:r>
              <w:rPr>
                <w:color w:val="auto"/>
              </w:rPr>
              <w:t>0.01|0</w:t>
            </w:r>
          </w:p>
        </w:tc>
        <w:tc>
          <w:tcPr>
            <w:tcW w:w="468" w:type="pct"/>
            <w:noWrap/>
            <w:vAlign w:val="center"/>
          </w:tcPr>
          <w:p w14:paraId="78288CDB">
            <w:pPr>
              <w:pStyle w:val="129"/>
              <w:widowControl w:val="0"/>
              <w:rPr>
                <w:color w:val="auto"/>
              </w:rPr>
            </w:pPr>
            <w:r>
              <w:rPr>
                <w:color w:val="auto"/>
              </w:rPr>
              <w:t>0.00|0</w:t>
            </w:r>
          </w:p>
        </w:tc>
        <w:tc>
          <w:tcPr>
            <w:tcW w:w="415" w:type="pct"/>
            <w:vAlign w:val="center"/>
          </w:tcPr>
          <w:p w14:paraId="46B093C3">
            <w:pPr>
              <w:pStyle w:val="129"/>
              <w:widowControl w:val="0"/>
              <w:rPr>
                <w:color w:val="auto"/>
              </w:rPr>
            </w:pPr>
            <w:r>
              <w:rPr>
                <w:color w:val="auto"/>
              </w:rPr>
              <w:t>0.00|0</w:t>
            </w:r>
          </w:p>
        </w:tc>
        <w:tc>
          <w:tcPr>
            <w:tcW w:w="276" w:type="pct"/>
            <w:vAlign w:val="center"/>
          </w:tcPr>
          <w:p w14:paraId="7F217062">
            <w:pPr>
              <w:pStyle w:val="129"/>
              <w:widowControl w:val="0"/>
              <w:rPr>
                <w:color w:val="auto"/>
              </w:rPr>
            </w:pPr>
            <w:r>
              <w:rPr>
                <w:color w:val="auto"/>
              </w:rPr>
              <w:t>0.00|0</w:t>
            </w:r>
          </w:p>
        </w:tc>
      </w:tr>
      <w:tr w14:paraId="550EC5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22A94233">
            <w:pPr>
              <w:pStyle w:val="129"/>
              <w:widowControl w:val="0"/>
              <w:rPr>
                <w:color w:val="auto"/>
              </w:rPr>
            </w:pPr>
            <w:r>
              <w:rPr>
                <w:rFonts w:hint="eastAsia"/>
                <w:color w:val="auto"/>
              </w:rPr>
              <w:t>9</w:t>
            </w:r>
          </w:p>
        </w:tc>
        <w:tc>
          <w:tcPr>
            <w:tcW w:w="722" w:type="pct"/>
            <w:noWrap/>
            <w:vAlign w:val="bottom"/>
          </w:tcPr>
          <w:p w14:paraId="525D7299">
            <w:pPr>
              <w:pStyle w:val="129"/>
              <w:widowControl w:val="0"/>
              <w:rPr>
                <w:color w:val="auto"/>
              </w:rPr>
            </w:pPr>
            <w:r>
              <w:rPr>
                <w:rFonts w:hint="eastAsia"/>
                <w:color w:val="auto"/>
              </w:rPr>
              <w:t>碳酸钠干燥包装排口</w:t>
            </w:r>
          </w:p>
        </w:tc>
        <w:tc>
          <w:tcPr>
            <w:tcW w:w="383" w:type="pct"/>
            <w:noWrap/>
            <w:vAlign w:val="center"/>
          </w:tcPr>
          <w:p w14:paraId="660229C7">
            <w:pPr>
              <w:pStyle w:val="129"/>
              <w:widowControl w:val="0"/>
              <w:rPr>
                <w:color w:val="auto"/>
              </w:rPr>
            </w:pPr>
            <w:r>
              <w:rPr>
                <w:rFonts w:hint="eastAsia"/>
                <w:color w:val="auto"/>
              </w:rPr>
              <w:t>170</w:t>
            </w:r>
          </w:p>
        </w:tc>
        <w:tc>
          <w:tcPr>
            <w:tcW w:w="385" w:type="pct"/>
            <w:noWrap/>
            <w:vAlign w:val="center"/>
          </w:tcPr>
          <w:p w14:paraId="7C099B18">
            <w:pPr>
              <w:pStyle w:val="129"/>
              <w:widowControl w:val="0"/>
              <w:rPr>
                <w:color w:val="auto"/>
              </w:rPr>
            </w:pPr>
            <w:r>
              <w:rPr>
                <w:rFonts w:hint="eastAsia"/>
                <w:color w:val="auto"/>
              </w:rPr>
              <w:t>210</w:t>
            </w:r>
          </w:p>
        </w:tc>
        <w:tc>
          <w:tcPr>
            <w:tcW w:w="336" w:type="pct"/>
            <w:noWrap/>
            <w:vAlign w:val="center"/>
          </w:tcPr>
          <w:p w14:paraId="178FE5D3">
            <w:pPr>
              <w:pStyle w:val="129"/>
              <w:widowControl w:val="0"/>
              <w:rPr>
                <w:color w:val="auto"/>
              </w:rPr>
            </w:pPr>
            <w:r>
              <w:rPr>
                <w:rFonts w:hint="eastAsia"/>
                <w:color w:val="auto"/>
              </w:rPr>
              <w:t>0.42</w:t>
            </w:r>
          </w:p>
        </w:tc>
        <w:tc>
          <w:tcPr>
            <w:tcW w:w="313" w:type="pct"/>
            <w:noWrap/>
            <w:vAlign w:val="center"/>
          </w:tcPr>
          <w:p w14:paraId="06709E1B">
            <w:pPr>
              <w:pStyle w:val="129"/>
              <w:widowControl w:val="0"/>
              <w:rPr>
                <w:color w:val="auto"/>
              </w:rPr>
            </w:pPr>
            <w:r>
              <w:rPr>
                <w:color w:val="auto"/>
              </w:rPr>
              <w:t>0.00|0</w:t>
            </w:r>
          </w:p>
        </w:tc>
        <w:tc>
          <w:tcPr>
            <w:tcW w:w="313" w:type="pct"/>
            <w:noWrap/>
            <w:vAlign w:val="center"/>
          </w:tcPr>
          <w:p w14:paraId="296E2C1B">
            <w:pPr>
              <w:pStyle w:val="129"/>
              <w:widowControl w:val="0"/>
              <w:rPr>
                <w:color w:val="auto"/>
              </w:rPr>
            </w:pPr>
            <w:r>
              <w:rPr>
                <w:color w:val="auto"/>
              </w:rPr>
              <w:t>0.00|0</w:t>
            </w:r>
          </w:p>
        </w:tc>
        <w:tc>
          <w:tcPr>
            <w:tcW w:w="313" w:type="pct"/>
            <w:noWrap/>
            <w:vAlign w:val="center"/>
          </w:tcPr>
          <w:p w14:paraId="029EC76D">
            <w:pPr>
              <w:pStyle w:val="129"/>
              <w:widowControl w:val="0"/>
              <w:rPr>
                <w:color w:val="auto"/>
              </w:rPr>
            </w:pPr>
            <w:r>
              <w:rPr>
                <w:color w:val="auto"/>
              </w:rPr>
              <w:t>0.41|0</w:t>
            </w:r>
          </w:p>
        </w:tc>
        <w:tc>
          <w:tcPr>
            <w:tcW w:w="308" w:type="pct"/>
            <w:noWrap/>
            <w:vAlign w:val="center"/>
          </w:tcPr>
          <w:p w14:paraId="20555C3E">
            <w:pPr>
              <w:pStyle w:val="129"/>
              <w:widowControl w:val="0"/>
              <w:rPr>
                <w:color w:val="auto"/>
              </w:rPr>
            </w:pPr>
            <w:r>
              <w:rPr>
                <w:color w:val="auto"/>
              </w:rPr>
              <w:t>0.41|0</w:t>
            </w:r>
          </w:p>
        </w:tc>
        <w:tc>
          <w:tcPr>
            <w:tcW w:w="318" w:type="pct"/>
            <w:noWrap/>
            <w:vAlign w:val="center"/>
          </w:tcPr>
          <w:p w14:paraId="05C0807C">
            <w:pPr>
              <w:pStyle w:val="129"/>
              <w:widowControl w:val="0"/>
              <w:rPr>
                <w:color w:val="auto"/>
              </w:rPr>
            </w:pPr>
            <w:r>
              <w:rPr>
                <w:color w:val="auto"/>
              </w:rPr>
              <w:t>0.00|0</w:t>
            </w:r>
          </w:p>
        </w:tc>
        <w:tc>
          <w:tcPr>
            <w:tcW w:w="312" w:type="pct"/>
            <w:vAlign w:val="center"/>
          </w:tcPr>
          <w:p w14:paraId="450DC3E1">
            <w:pPr>
              <w:pStyle w:val="129"/>
              <w:widowControl w:val="0"/>
              <w:rPr>
                <w:color w:val="auto"/>
              </w:rPr>
            </w:pPr>
            <w:r>
              <w:rPr>
                <w:color w:val="auto"/>
              </w:rPr>
              <w:t>0.00|0</w:t>
            </w:r>
          </w:p>
        </w:tc>
        <w:tc>
          <w:tcPr>
            <w:tcW w:w="468" w:type="pct"/>
            <w:noWrap/>
            <w:vAlign w:val="center"/>
          </w:tcPr>
          <w:p w14:paraId="3C20565F">
            <w:pPr>
              <w:pStyle w:val="129"/>
              <w:widowControl w:val="0"/>
              <w:rPr>
                <w:color w:val="auto"/>
              </w:rPr>
            </w:pPr>
            <w:r>
              <w:rPr>
                <w:color w:val="auto"/>
              </w:rPr>
              <w:t>0.00|0</w:t>
            </w:r>
          </w:p>
        </w:tc>
        <w:tc>
          <w:tcPr>
            <w:tcW w:w="415" w:type="pct"/>
            <w:vAlign w:val="center"/>
          </w:tcPr>
          <w:p w14:paraId="3F9E46DD">
            <w:pPr>
              <w:pStyle w:val="129"/>
              <w:widowControl w:val="0"/>
              <w:rPr>
                <w:color w:val="auto"/>
              </w:rPr>
            </w:pPr>
            <w:r>
              <w:rPr>
                <w:color w:val="auto"/>
              </w:rPr>
              <w:t>0.00|0</w:t>
            </w:r>
          </w:p>
        </w:tc>
        <w:tc>
          <w:tcPr>
            <w:tcW w:w="276" w:type="pct"/>
            <w:vAlign w:val="center"/>
          </w:tcPr>
          <w:p w14:paraId="361169A6">
            <w:pPr>
              <w:pStyle w:val="129"/>
              <w:widowControl w:val="0"/>
              <w:rPr>
                <w:color w:val="auto"/>
              </w:rPr>
            </w:pPr>
            <w:r>
              <w:rPr>
                <w:color w:val="auto"/>
              </w:rPr>
              <w:t>0.00|0</w:t>
            </w:r>
          </w:p>
        </w:tc>
      </w:tr>
      <w:tr w14:paraId="1710CE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32B0CCDC">
            <w:pPr>
              <w:pStyle w:val="129"/>
              <w:widowControl w:val="0"/>
              <w:rPr>
                <w:color w:val="auto"/>
              </w:rPr>
            </w:pPr>
            <w:r>
              <w:rPr>
                <w:rFonts w:hint="eastAsia"/>
                <w:color w:val="auto"/>
              </w:rPr>
              <w:t>10</w:t>
            </w:r>
          </w:p>
        </w:tc>
        <w:tc>
          <w:tcPr>
            <w:tcW w:w="722" w:type="pct"/>
            <w:noWrap/>
            <w:vAlign w:val="bottom"/>
          </w:tcPr>
          <w:p w14:paraId="43AFF3C1">
            <w:pPr>
              <w:pStyle w:val="129"/>
              <w:widowControl w:val="0"/>
              <w:rPr>
                <w:color w:val="auto"/>
              </w:rPr>
            </w:pPr>
            <w:r>
              <w:rPr>
                <w:rFonts w:hint="eastAsia"/>
                <w:color w:val="auto"/>
              </w:rPr>
              <w:t>燃气锅炉废气1</w:t>
            </w:r>
          </w:p>
        </w:tc>
        <w:tc>
          <w:tcPr>
            <w:tcW w:w="383" w:type="pct"/>
            <w:noWrap/>
            <w:vAlign w:val="center"/>
          </w:tcPr>
          <w:p w14:paraId="5027192A">
            <w:pPr>
              <w:pStyle w:val="129"/>
              <w:widowControl w:val="0"/>
              <w:rPr>
                <w:color w:val="auto"/>
              </w:rPr>
            </w:pPr>
            <w:r>
              <w:rPr>
                <w:rFonts w:hint="eastAsia"/>
                <w:color w:val="auto"/>
              </w:rPr>
              <w:t>50</w:t>
            </w:r>
          </w:p>
        </w:tc>
        <w:tc>
          <w:tcPr>
            <w:tcW w:w="385" w:type="pct"/>
            <w:noWrap/>
            <w:vAlign w:val="center"/>
          </w:tcPr>
          <w:p w14:paraId="06FD493C">
            <w:pPr>
              <w:pStyle w:val="129"/>
              <w:widowControl w:val="0"/>
              <w:rPr>
                <w:color w:val="auto"/>
              </w:rPr>
            </w:pPr>
            <w:r>
              <w:rPr>
                <w:rFonts w:hint="eastAsia"/>
                <w:color w:val="auto"/>
              </w:rPr>
              <w:t>30</w:t>
            </w:r>
          </w:p>
        </w:tc>
        <w:tc>
          <w:tcPr>
            <w:tcW w:w="336" w:type="pct"/>
            <w:noWrap/>
            <w:vAlign w:val="center"/>
          </w:tcPr>
          <w:p w14:paraId="3DEF48A1">
            <w:pPr>
              <w:pStyle w:val="129"/>
              <w:widowControl w:val="0"/>
              <w:rPr>
                <w:color w:val="auto"/>
              </w:rPr>
            </w:pPr>
            <w:r>
              <w:rPr>
                <w:rFonts w:hint="eastAsia"/>
                <w:color w:val="auto"/>
              </w:rPr>
              <w:t>-0.07</w:t>
            </w:r>
          </w:p>
        </w:tc>
        <w:tc>
          <w:tcPr>
            <w:tcW w:w="313" w:type="pct"/>
            <w:noWrap/>
            <w:vAlign w:val="center"/>
          </w:tcPr>
          <w:p w14:paraId="1FC22D6B">
            <w:pPr>
              <w:pStyle w:val="129"/>
              <w:widowControl w:val="0"/>
              <w:rPr>
                <w:color w:val="auto"/>
              </w:rPr>
            </w:pPr>
            <w:r>
              <w:rPr>
                <w:color w:val="auto"/>
              </w:rPr>
              <w:t>0.07|0</w:t>
            </w:r>
          </w:p>
        </w:tc>
        <w:tc>
          <w:tcPr>
            <w:tcW w:w="313" w:type="pct"/>
            <w:noWrap/>
            <w:vAlign w:val="center"/>
          </w:tcPr>
          <w:p w14:paraId="77552F0B">
            <w:pPr>
              <w:pStyle w:val="129"/>
              <w:widowControl w:val="0"/>
              <w:rPr>
                <w:color w:val="auto"/>
              </w:rPr>
            </w:pPr>
            <w:r>
              <w:rPr>
                <w:color w:val="auto"/>
              </w:rPr>
              <w:t>2.02|0</w:t>
            </w:r>
          </w:p>
        </w:tc>
        <w:tc>
          <w:tcPr>
            <w:tcW w:w="313" w:type="pct"/>
            <w:noWrap/>
            <w:vAlign w:val="center"/>
          </w:tcPr>
          <w:p w14:paraId="19FABCA6">
            <w:pPr>
              <w:pStyle w:val="129"/>
              <w:widowControl w:val="0"/>
              <w:rPr>
                <w:color w:val="auto"/>
              </w:rPr>
            </w:pPr>
            <w:r>
              <w:rPr>
                <w:color w:val="auto"/>
              </w:rPr>
              <w:t>0.44|0</w:t>
            </w:r>
          </w:p>
        </w:tc>
        <w:tc>
          <w:tcPr>
            <w:tcW w:w="308" w:type="pct"/>
            <w:noWrap/>
            <w:vAlign w:val="center"/>
          </w:tcPr>
          <w:p w14:paraId="4323E553">
            <w:pPr>
              <w:pStyle w:val="129"/>
              <w:widowControl w:val="0"/>
              <w:rPr>
                <w:color w:val="auto"/>
              </w:rPr>
            </w:pPr>
            <w:r>
              <w:rPr>
                <w:color w:val="auto"/>
              </w:rPr>
              <w:t>0.44|0</w:t>
            </w:r>
          </w:p>
        </w:tc>
        <w:tc>
          <w:tcPr>
            <w:tcW w:w="318" w:type="pct"/>
            <w:noWrap/>
            <w:vAlign w:val="center"/>
          </w:tcPr>
          <w:p w14:paraId="532183C2">
            <w:pPr>
              <w:pStyle w:val="129"/>
              <w:widowControl w:val="0"/>
              <w:rPr>
                <w:color w:val="auto"/>
              </w:rPr>
            </w:pPr>
            <w:r>
              <w:rPr>
                <w:color w:val="auto"/>
              </w:rPr>
              <w:t>0.00|0</w:t>
            </w:r>
          </w:p>
        </w:tc>
        <w:tc>
          <w:tcPr>
            <w:tcW w:w="312" w:type="pct"/>
            <w:vAlign w:val="center"/>
          </w:tcPr>
          <w:p w14:paraId="47C884D0">
            <w:pPr>
              <w:pStyle w:val="129"/>
              <w:widowControl w:val="0"/>
              <w:rPr>
                <w:color w:val="auto"/>
              </w:rPr>
            </w:pPr>
            <w:r>
              <w:rPr>
                <w:color w:val="auto"/>
              </w:rPr>
              <w:t>0.00|0</w:t>
            </w:r>
          </w:p>
        </w:tc>
        <w:tc>
          <w:tcPr>
            <w:tcW w:w="468" w:type="pct"/>
            <w:noWrap/>
            <w:vAlign w:val="center"/>
          </w:tcPr>
          <w:p w14:paraId="729C0982">
            <w:pPr>
              <w:pStyle w:val="129"/>
              <w:widowControl w:val="0"/>
              <w:rPr>
                <w:color w:val="auto"/>
              </w:rPr>
            </w:pPr>
            <w:r>
              <w:rPr>
                <w:color w:val="auto"/>
              </w:rPr>
              <w:t>0.00|0</w:t>
            </w:r>
          </w:p>
        </w:tc>
        <w:tc>
          <w:tcPr>
            <w:tcW w:w="415" w:type="pct"/>
            <w:vAlign w:val="center"/>
          </w:tcPr>
          <w:p w14:paraId="6725BA48">
            <w:pPr>
              <w:pStyle w:val="129"/>
              <w:widowControl w:val="0"/>
              <w:rPr>
                <w:color w:val="auto"/>
              </w:rPr>
            </w:pPr>
            <w:r>
              <w:rPr>
                <w:color w:val="auto"/>
              </w:rPr>
              <w:t>0.00|0</w:t>
            </w:r>
          </w:p>
        </w:tc>
        <w:tc>
          <w:tcPr>
            <w:tcW w:w="276" w:type="pct"/>
            <w:vAlign w:val="center"/>
          </w:tcPr>
          <w:p w14:paraId="2D685850">
            <w:pPr>
              <w:pStyle w:val="129"/>
              <w:widowControl w:val="0"/>
              <w:rPr>
                <w:color w:val="auto"/>
              </w:rPr>
            </w:pPr>
            <w:r>
              <w:rPr>
                <w:color w:val="auto"/>
              </w:rPr>
              <w:t>0.00|0</w:t>
            </w:r>
          </w:p>
        </w:tc>
      </w:tr>
      <w:tr w14:paraId="2A0023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138" w:type="pct"/>
            <w:noWrap/>
            <w:vAlign w:val="center"/>
          </w:tcPr>
          <w:p w14:paraId="7ABEA702">
            <w:pPr>
              <w:pStyle w:val="129"/>
              <w:widowControl w:val="0"/>
              <w:rPr>
                <w:color w:val="auto"/>
              </w:rPr>
            </w:pPr>
            <w:r>
              <w:rPr>
                <w:rFonts w:hint="eastAsia"/>
                <w:color w:val="auto"/>
              </w:rPr>
              <w:t>11</w:t>
            </w:r>
          </w:p>
        </w:tc>
        <w:tc>
          <w:tcPr>
            <w:tcW w:w="722" w:type="pct"/>
            <w:noWrap/>
            <w:vAlign w:val="bottom"/>
          </w:tcPr>
          <w:p w14:paraId="7F19FE72">
            <w:pPr>
              <w:pStyle w:val="129"/>
              <w:widowControl w:val="0"/>
              <w:rPr>
                <w:color w:val="auto"/>
              </w:rPr>
            </w:pPr>
            <w:r>
              <w:rPr>
                <w:rFonts w:hint="eastAsia"/>
                <w:color w:val="auto"/>
              </w:rPr>
              <w:t>燃气锅炉废气2</w:t>
            </w:r>
          </w:p>
        </w:tc>
        <w:tc>
          <w:tcPr>
            <w:tcW w:w="383" w:type="pct"/>
            <w:noWrap/>
            <w:vAlign w:val="center"/>
          </w:tcPr>
          <w:p w14:paraId="23434C09">
            <w:pPr>
              <w:pStyle w:val="129"/>
              <w:widowControl w:val="0"/>
              <w:rPr>
                <w:color w:val="auto"/>
              </w:rPr>
            </w:pPr>
            <w:r>
              <w:rPr>
                <w:rFonts w:hint="eastAsia"/>
                <w:color w:val="auto"/>
              </w:rPr>
              <w:t>50</w:t>
            </w:r>
          </w:p>
        </w:tc>
        <w:tc>
          <w:tcPr>
            <w:tcW w:w="385" w:type="pct"/>
            <w:noWrap/>
            <w:vAlign w:val="center"/>
          </w:tcPr>
          <w:p w14:paraId="67C8A90B">
            <w:pPr>
              <w:pStyle w:val="129"/>
              <w:widowControl w:val="0"/>
              <w:rPr>
                <w:color w:val="auto"/>
              </w:rPr>
            </w:pPr>
            <w:r>
              <w:rPr>
                <w:rFonts w:hint="eastAsia"/>
                <w:color w:val="auto"/>
              </w:rPr>
              <w:t>28</w:t>
            </w:r>
          </w:p>
        </w:tc>
        <w:tc>
          <w:tcPr>
            <w:tcW w:w="336" w:type="pct"/>
            <w:noWrap/>
            <w:vAlign w:val="center"/>
          </w:tcPr>
          <w:p w14:paraId="1809F88B">
            <w:pPr>
              <w:pStyle w:val="129"/>
              <w:widowControl w:val="0"/>
              <w:rPr>
                <w:color w:val="auto"/>
              </w:rPr>
            </w:pPr>
            <w:r>
              <w:rPr>
                <w:rFonts w:hint="eastAsia"/>
                <w:color w:val="auto"/>
              </w:rPr>
              <w:t>-0.03</w:t>
            </w:r>
          </w:p>
        </w:tc>
        <w:tc>
          <w:tcPr>
            <w:tcW w:w="313" w:type="pct"/>
            <w:noWrap/>
            <w:vAlign w:val="center"/>
          </w:tcPr>
          <w:p w14:paraId="5190B567">
            <w:pPr>
              <w:pStyle w:val="129"/>
              <w:widowControl w:val="0"/>
              <w:rPr>
                <w:color w:val="auto"/>
              </w:rPr>
            </w:pPr>
            <w:r>
              <w:rPr>
                <w:color w:val="auto"/>
              </w:rPr>
              <w:t>0.09|0</w:t>
            </w:r>
          </w:p>
        </w:tc>
        <w:tc>
          <w:tcPr>
            <w:tcW w:w="313" w:type="pct"/>
            <w:noWrap/>
            <w:vAlign w:val="center"/>
          </w:tcPr>
          <w:p w14:paraId="378C0024">
            <w:pPr>
              <w:pStyle w:val="129"/>
              <w:widowControl w:val="0"/>
              <w:rPr>
                <w:color w:val="auto"/>
              </w:rPr>
            </w:pPr>
            <w:r>
              <w:rPr>
                <w:color w:val="auto"/>
              </w:rPr>
              <w:t>2.53|0</w:t>
            </w:r>
          </w:p>
        </w:tc>
        <w:tc>
          <w:tcPr>
            <w:tcW w:w="313" w:type="pct"/>
            <w:noWrap/>
            <w:vAlign w:val="center"/>
          </w:tcPr>
          <w:p w14:paraId="10EE491C">
            <w:pPr>
              <w:pStyle w:val="129"/>
              <w:widowControl w:val="0"/>
              <w:rPr>
                <w:color w:val="auto"/>
              </w:rPr>
            </w:pPr>
            <w:r>
              <w:rPr>
                <w:color w:val="auto"/>
              </w:rPr>
              <w:t>0.56|0</w:t>
            </w:r>
          </w:p>
        </w:tc>
        <w:tc>
          <w:tcPr>
            <w:tcW w:w="308" w:type="pct"/>
            <w:noWrap/>
            <w:vAlign w:val="center"/>
          </w:tcPr>
          <w:p w14:paraId="20777D75">
            <w:pPr>
              <w:pStyle w:val="129"/>
              <w:widowControl w:val="0"/>
              <w:rPr>
                <w:color w:val="auto"/>
              </w:rPr>
            </w:pPr>
            <w:r>
              <w:rPr>
                <w:color w:val="auto"/>
              </w:rPr>
              <w:t>0.56|0</w:t>
            </w:r>
          </w:p>
        </w:tc>
        <w:tc>
          <w:tcPr>
            <w:tcW w:w="318" w:type="pct"/>
            <w:noWrap/>
            <w:vAlign w:val="center"/>
          </w:tcPr>
          <w:p w14:paraId="2314B385">
            <w:pPr>
              <w:pStyle w:val="129"/>
              <w:widowControl w:val="0"/>
              <w:rPr>
                <w:color w:val="auto"/>
              </w:rPr>
            </w:pPr>
            <w:r>
              <w:rPr>
                <w:color w:val="auto"/>
              </w:rPr>
              <w:t>0.00|0</w:t>
            </w:r>
          </w:p>
        </w:tc>
        <w:tc>
          <w:tcPr>
            <w:tcW w:w="312" w:type="pct"/>
            <w:vAlign w:val="center"/>
          </w:tcPr>
          <w:p w14:paraId="6C37A9C4">
            <w:pPr>
              <w:pStyle w:val="129"/>
              <w:widowControl w:val="0"/>
              <w:rPr>
                <w:color w:val="auto"/>
              </w:rPr>
            </w:pPr>
            <w:r>
              <w:rPr>
                <w:color w:val="auto"/>
              </w:rPr>
              <w:t>0.00|0</w:t>
            </w:r>
          </w:p>
        </w:tc>
        <w:tc>
          <w:tcPr>
            <w:tcW w:w="468" w:type="pct"/>
            <w:noWrap/>
            <w:vAlign w:val="center"/>
          </w:tcPr>
          <w:p w14:paraId="2E78A3BD">
            <w:pPr>
              <w:pStyle w:val="129"/>
              <w:widowControl w:val="0"/>
              <w:rPr>
                <w:color w:val="auto"/>
              </w:rPr>
            </w:pPr>
            <w:r>
              <w:rPr>
                <w:color w:val="auto"/>
              </w:rPr>
              <w:t>0.00|0</w:t>
            </w:r>
          </w:p>
        </w:tc>
        <w:tc>
          <w:tcPr>
            <w:tcW w:w="415" w:type="pct"/>
            <w:vAlign w:val="center"/>
          </w:tcPr>
          <w:p w14:paraId="652E53EA">
            <w:pPr>
              <w:pStyle w:val="129"/>
              <w:widowControl w:val="0"/>
              <w:rPr>
                <w:color w:val="auto"/>
              </w:rPr>
            </w:pPr>
            <w:r>
              <w:rPr>
                <w:color w:val="auto"/>
              </w:rPr>
              <w:t>0.00|0</w:t>
            </w:r>
          </w:p>
        </w:tc>
        <w:tc>
          <w:tcPr>
            <w:tcW w:w="276" w:type="pct"/>
            <w:vAlign w:val="center"/>
          </w:tcPr>
          <w:p w14:paraId="3D561212">
            <w:pPr>
              <w:pStyle w:val="129"/>
              <w:widowControl w:val="0"/>
              <w:rPr>
                <w:color w:val="auto"/>
              </w:rPr>
            </w:pPr>
            <w:r>
              <w:rPr>
                <w:color w:val="auto"/>
              </w:rPr>
              <w:t>0.00|0</w:t>
            </w:r>
          </w:p>
        </w:tc>
      </w:tr>
      <w:tr w14:paraId="015FF6D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0" w:hRule="atLeast"/>
        </w:trPr>
        <w:tc>
          <w:tcPr>
            <w:tcW w:w="860" w:type="pct"/>
            <w:gridSpan w:val="2"/>
            <w:noWrap/>
            <w:vAlign w:val="center"/>
          </w:tcPr>
          <w:p w14:paraId="625002EC">
            <w:pPr>
              <w:pStyle w:val="129"/>
              <w:widowControl w:val="0"/>
              <w:rPr>
                <w:color w:val="auto"/>
              </w:rPr>
            </w:pPr>
            <w:r>
              <w:rPr>
                <w:rFonts w:hint="eastAsia"/>
                <w:color w:val="auto"/>
              </w:rPr>
              <w:t>各源最大值</w:t>
            </w:r>
          </w:p>
        </w:tc>
        <w:tc>
          <w:tcPr>
            <w:tcW w:w="383" w:type="pct"/>
            <w:noWrap/>
            <w:vAlign w:val="center"/>
          </w:tcPr>
          <w:p w14:paraId="328D0D73">
            <w:pPr>
              <w:pStyle w:val="129"/>
              <w:widowControl w:val="0"/>
              <w:rPr>
                <w:color w:val="auto"/>
              </w:rPr>
            </w:pPr>
            <w:r>
              <w:rPr>
                <w:color w:val="auto"/>
              </w:rPr>
              <w:t>-</w:t>
            </w:r>
          </w:p>
        </w:tc>
        <w:tc>
          <w:tcPr>
            <w:tcW w:w="385" w:type="pct"/>
            <w:noWrap/>
            <w:vAlign w:val="center"/>
          </w:tcPr>
          <w:p w14:paraId="6849B5F6">
            <w:pPr>
              <w:pStyle w:val="129"/>
              <w:widowControl w:val="0"/>
              <w:rPr>
                <w:color w:val="auto"/>
              </w:rPr>
            </w:pPr>
            <w:r>
              <w:rPr>
                <w:color w:val="auto"/>
              </w:rPr>
              <w:t>-</w:t>
            </w:r>
          </w:p>
        </w:tc>
        <w:tc>
          <w:tcPr>
            <w:tcW w:w="336" w:type="pct"/>
            <w:noWrap/>
            <w:vAlign w:val="center"/>
          </w:tcPr>
          <w:p w14:paraId="6ED69F9E">
            <w:pPr>
              <w:pStyle w:val="129"/>
              <w:widowControl w:val="0"/>
              <w:rPr>
                <w:color w:val="auto"/>
              </w:rPr>
            </w:pPr>
            <w:r>
              <w:rPr>
                <w:color w:val="auto"/>
              </w:rPr>
              <w:t>-</w:t>
            </w:r>
          </w:p>
        </w:tc>
        <w:tc>
          <w:tcPr>
            <w:tcW w:w="313" w:type="pct"/>
            <w:noWrap/>
            <w:vAlign w:val="center"/>
          </w:tcPr>
          <w:p w14:paraId="3AB656E7">
            <w:pPr>
              <w:pStyle w:val="129"/>
              <w:widowControl w:val="0"/>
              <w:rPr>
                <w:color w:val="auto"/>
              </w:rPr>
            </w:pPr>
            <w:r>
              <w:rPr>
                <w:color w:val="auto"/>
              </w:rPr>
              <w:t>0.15</w:t>
            </w:r>
          </w:p>
        </w:tc>
        <w:tc>
          <w:tcPr>
            <w:tcW w:w="313" w:type="pct"/>
            <w:noWrap/>
            <w:vAlign w:val="center"/>
          </w:tcPr>
          <w:p w14:paraId="0030A1FB">
            <w:pPr>
              <w:pStyle w:val="129"/>
              <w:widowControl w:val="0"/>
              <w:rPr>
                <w:color w:val="auto"/>
              </w:rPr>
            </w:pPr>
            <w:r>
              <w:rPr>
                <w:color w:val="auto"/>
              </w:rPr>
              <w:t>5.04</w:t>
            </w:r>
          </w:p>
        </w:tc>
        <w:tc>
          <w:tcPr>
            <w:tcW w:w="313" w:type="pct"/>
            <w:noWrap/>
            <w:vAlign w:val="center"/>
          </w:tcPr>
          <w:p w14:paraId="64C2C74A">
            <w:pPr>
              <w:pStyle w:val="129"/>
              <w:widowControl w:val="0"/>
              <w:rPr>
                <w:color w:val="auto"/>
              </w:rPr>
            </w:pPr>
            <w:r>
              <w:rPr>
                <w:rFonts w:hint="eastAsia"/>
                <w:color w:val="auto"/>
              </w:rPr>
              <w:t>6.01</w:t>
            </w:r>
          </w:p>
        </w:tc>
        <w:tc>
          <w:tcPr>
            <w:tcW w:w="308" w:type="pct"/>
            <w:noWrap/>
            <w:vAlign w:val="center"/>
          </w:tcPr>
          <w:p w14:paraId="1F644910">
            <w:pPr>
              <w:pStyle w:val="129"/>
              <w:widowControl w:val="0"/>
              <w:rPr>
                <w:color w:val="auto"/>
              </w:rPr>
            </w:pPr>
            <w:r>
              <w:rPr>
                <w:rFonts w:hint="eastAsia"/>
                <w:color w:val="auto"/>
              </w:rPr>
              <w:t>6.01</w:t>
            </w:r>
          </w:p>
        </w:tc>
        <w:tc>
          <w:tcPr>
            <w:tcW w:w="318" w:type="pct"/>
            <w:noWrap/>
            <w:vAlign w:val="center"/>
          </w:tcPr>
          <w:p w14:paraId="6553B13E">
            <w:pPr>
              <w:pStyle w:val="129"/>
              <w:widowControl w:val="0"/>
              <w:rPr>
                <w:color w:val="auto"/>
              </w:rPr>
            </w:pPr>
            <w:r>
              <w:rPr>
                <w:rFonts w:hint="eastAsia"/>
                <w:color w:val="auto"/>
              </w:rPr>
              <w:t>5.58</w:t>
            </w:r>
          </w:p>
        </w:tc>
        <w:tc>
          <w:tcPr>
            <w:tcW w:w="312" w:type="pct"/>
            <w:vAlign w:val="center"/>
          </w:tcPr>
          <w:p w14:paraId="56C38DD6">
            <w:pPr>
              <w:pStyle w:val="129"/>
              <w:widowControl w:val="0"/>
              <w:rPr>
                <w:color w:val="auto"/>
              </w:rPr>
            </w:pPr>
            <w:r>
              <w:rPr>
                <w:color w:val="auto"/>
              </w:rPr>
              <w:t>0.01</w:t>
            </w:r>
          </w:p>
        </w:tc>
        <w:tc>
          <w:tcPr>
            <w:tcW w:w="468" w:type="pct"/>
            <w:noWrap/>
            <w:vAlign w:val="center"/>
          </w:tcPr>
          <w:p w14:paraId="27251D51">
            <w:pPr>
              <w:pStyle w:val="129"/>
              <w:widowControl w:val="0"/>
              <w:rPr>
                <w:color w:val="auto"/>
              </w:rPr>
            </w:pPr>
            <w:r>
              <w:rPr>
                <w:color w:val="auto"/>
              </w:rPr>
              <w:t>0.02</w:t>
            </w:r>
          </w:p>
        </w:tc>
        <w:tc>
          <w:tcPr>
            <w:tcW w:w="415" w:type="pct"/>
            <w:vAlign w:val="center"/>
          </w:tcPr>
          <w:p w14:paraId="55E26658">
            <w:pPr>
              <w:pStyle w:val="129"/>
              <w:widowControl w:val="0"/>
              <w:rPr>
                <w:color w:val="auto"/>
              </w:rPr>
            </w:pPr>
            <w:r>
              <w:rPr>
                <w:color w:val="auto"/>
              </w:rPr>
              <w:t>0.05</w:t>
            </w:r>
          </w:p>
        </w:tc>
        <w:tc>
          <w:tcPr>
            <w:tcW w:w="276" w:type="pct"/>
            <w:vAlign w:val="center"/>
          </w:tcPr>
          <w:p w14:paraId="697D2777">
            <w:pPr>
              <w:pStyle w:val="129"/>
              <w:widowControl w:val="0"/>
              <w:rPr>
                <w:color w:val="auto"/>
              </w:rPr>
            </w:pPr>
            <w:r>
              <w:rPr>
                <w:color w:val="auto"/>
              </w:rPr>
              <w:t>2.20</w:t>
            </w:r>
          </w:p>
        </w:tc>
      </w:tr>
      <w:bookmarkEnd w:id="104"/>
    </w:tbl>
    <w:p w14:paraId="598D848C">
      <w:pPr>
        <w:pStyle w:val="1304"/>
        <w:rPr>
          <w:color w:val="auto"/>
        </w:rPr>
      </w:pPr>
    </w:p>
    <w:p w14:paraId="2522E506">
      <w:pPr>
        <w:jc w:val="center"/>
        <w:rPr>
          <w:color w:val="auto"/>
          <w:sz w:val="24"/>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2406650</wp:posOffset>
                </wp:positionH>
                <wp:positionV relativeFrom="paragraph">
                  <wp:posOffset>5248910</wp:posOffset>
                </wp:positionV>
                <wp:extent cx="3683635" cy="353060"/>
                <wp:effectExtent l="0" t="635" r="0" b="0"/>
                <wp:wrapNone/>
                <wp:docPr id="630159412" name="Rectangle 6845"/>
                <wp:cNvGraphicFramePr/>
                <a:graphic xmlns:a="http://schemas.openxmlformats.org/drawingml/2006/main">
                  <a:graphicData uri="http://schemas.microsoft.com/office/word/2010/wordprocessingShape">
                    <wps:wsp>
                      <wps:cNvSpPr>
                        <a:spLocks noChangeArrowheads="1"/>
                      </wps:cNvSpPr>
                      <wps:spPr bwMode="auto">
                        <a:xfrm>
                          <a:off x="0" y="0"/>
                          <a:ext cx="3683635" cy="353060"/>
                        </a:xfrm>
                        <a:prstGeom prst="rect">
                          <a:avLst/>
                        </a:prstGeom>
                        <a:noFill/>
                        <a:ln>
                          <a:noFill/>
                        </a:ln>
                      </wps:spPr>
                      <wps:txbx>
                        <w:txbxContent>
                          <w:p w14:paraId="6BA35308">
                            <w:pPr>
                              <w:pStyle w:val="1060"/>
                            </w:pPr>
                            <w:r>
                              <w:t>图2.</w:t>
                            </w:r>
                            <w:r>
                              <w:rPr>
                                <w:rFonts w:hint="eastAsia"/>
                              </w:rPr>
                              <w:t>4</w:t>
                            </w:r>
                            <w:r>
                              <w:t>-1   评价范围及敏感点分布图</w:t>
                            </w:r>
                          </w:p>
                        </w:txbxContent>
                      </wps:txbx>
                      <wps:bodyPr rot="0" vert="horz" wrap="square" lIns="0" tIns="18000" rIns="0" bIns="18000" anchor="t" anchorCtr="0" upright="1">
                        <a:noAutofit/>
                      </wps:bodyPr>
                    </wps:wsp>
                  </a:graphicData>
                </a:graphic>
              </wp:anchor>
            </w:drawing>
          </mc:Choice>
          <mc:Fallback>
            <w:pict>
              <v:rect id="Rectangle 6845" o:spid="_x0000_s1026" o:spt="1" style="position:absolute;left:0pt;margin-left:189.5pt;margin-top:413.3pt;height:27.8pt;width:290.05pt;z-index:251663360;mso-width-relative:page;mso-height-relative:page;" filled="f" stroked="f" coordsize="21600,21600" o:gfxdata="UEsDBAoAAAAAAIdO4kAAAAAAAAAAAAAAAAAEAAAAZHJzL1BLAwQUAAAACACHTuJA8Icc1dwAAAAL&#10;AQAADwAAAGRycy9kb3ducmV2LnhtbE2PzU7DMBCE70i8g7VIXFBrJ7QhCXF6AIHghJr2ws2NTRJh&#10;r0Ps/vH0LCc4zs5o9ptqdXKWHcwUBo8SkrkAZrD1esBOwnbzNMuBhahQK+vRSDibAKv68qJSpfZH&#10;XJtDEztGJRhKJaGPcSw5D21vnApzPxok78NPTkWSU8f1pI5U7ixPhci4UwPSh16N5qE37WezdxIW&#10;jwv7dcYiNq9vLzfPYv29fNcbKa+vEnEPLJpT/AvDLz6hQ01MO79HHZiVcHtX0JYoIU+zDBglimWR&#10;ANvRJU9T4HXF/2+ofwBQSwMEFAAAAAgAh07iQJzNx38JAgAADgQAAA4AAABkcnMvZTJvRG9jLnht&#10;bK1TwW7bMAy9D9g/CLovtuPGyIw4RdGgw4BuK9rtAxRZjoXZokYpsbOvHyUnWdtdetjFoCjq8b1H&#10;enU99h07KHQaTMWzWcqZMhJqbXYV//H97sOSM+eFqUUHRlX8qBy/Xr9/txpsqebQQlcrZARiXDnY&#10;irfe2zJJnGxVL9wMrDJ02QD2wtMRd0mNYiD0vkvmaVokA2BtEaRyjrKb6ZKfEPEtgNA0WqoNyH2v&#10;jJ9QUXXCkyTXauv4OrJtGiX9t6ZxyrOu4qTUxy81oXgbvsl6JcodCttqeaIg3kLhlaZeaENNL1Ab&#10;4QXbo/4HqtcSwUHjZxL6ZBISHSEVWfrKm6dWWBW1kNXOXkx3/w9Wfj08INN1xYs8zRYfr7I5Z0b0&#10;NPhHMk+YXadYsbxaBKcG60p68GQfMGh19h7kT8cM3LZUqG4QYWiVqIlfFuqTFw/CwdFTth2+QE0N&#10;xN5DNG1ssA+AZAcb42yOl9mo0TNJybxY5kW+4EzSXb7I0yIOLxHl+bVF5z8p6FkIKo5EP6KLw73z&#10;gY0ozyWhmYE73XVx/p15kaDCkInsA+FJuB+348mDLdRH0oEwrRP9TBS0gL85G2iVKu5+7QUqzrrP&#10;hrwIexeDbJmmdMBzdvs8K4wkiIp7zqbw1k97ureody11yKIcAzfkW6OjpODpxObEl9YkKj2tdNjD&#10;5+dY9fc3X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Icc1dwAAAALAQAADwAAAAAAAAABACAA&#10;AAAiAAAAZHJzL2Rvd25yZXYueG1sUEsBAhQAFAAAAAgAh07iQJzNx38JAgAADgQAAA4AAAAAAAAA&#10;AQAgAAAAKwEAAGRycy9lMm9Eb2MueG1sUEsFBgAAAAAGAAYAWQEAAKYFAAAAAA==&#10;">
                <v:fill on="f" focussize="0,0"/>
                <v:stroke on="f"/>
                <v:imagedata o:title=""/>
                <o:lock v:ext="edit" aspectratio="f"/>
                <v:textbox inset="0mm,0.5mm,0mm,0.5mm">
                  <w:txbxContent>
                    <w:p w14:paraId="6BA35308">
                      <w:pPr>
                        <w:pStyle w:val="1060"/>
                      </w:pPr>
                      <w:r>
                        <w:t>图2.</w:t>
                      </w:r>
                      <w:r>
                        <w:rPr>
                          <w:rFonts w:hint="eastAsia"/>
                        </w:rPr>
                        <w:t>4</w:t>
                      </w:r>
                      <w:r>
                        <w:t>-1   评价范围及敏感点分布图</w:t>
                      </w:r>
                    </w:p>
                  </w:txbxContent>
                </v:textbox>
              </v:rect>
            </w:pict>
          </mc:Fallback>
        </mc:AlternateContent>
      </w:r>
    </w:p>
    <w:p w14:paraId="46B8E747">
      <w:pPr>
        <w:spacing w:line="360" w:lineRule="auto"/>
        <w:rPr>
          <w:color w:val="auto"/>
          <w:sz w:val="24"/>
        </w:rPr>
        <w:sectPr>
          <w:footerReference r:id="rId15" w:type="default"/>
          <w:type w:val="continuous"/>
          <w:pgSz w:w="16838" w:h="11906" w:orient="landscape"/>
          <w:pgMar w:top="1440" w:right="1588" w:bottom="1389" w:left="1588" w:header="737" w:footer="822" w:gutter="0"/>
          <w:cols w:space="425" w:num="1"/>
          <w:docGrid w:type="lines" w:linePitch="312" w:charSpace="0"/>
        </w:sectPr>
      </w:pPr>
    </w:p>
    <w:p w14:paraId="3E8D6F4D">
      <w:pPr>
        <w:pStyle w:val="4"/>
        <w:rPr>
          <w:color w:val="auto"/>
        </w:rPr>
      </w:pPr>
      <w:r>
        <w:rPr>
          <w:rFonts w:hint="eastAsia"/>
          <w:color w:val="auto"/>
        </w:rPr>
        <w:t>地表水环境</w:t>
      </w:r>
    </w:p>
    <w:p w14:paraId="52F3B503">
      <w:pPr>
        <w:pStyle w:val="132"/>
        <w:rPr>
          <w:color w:val="auto"/>
          <w:sz w:val="28"/>
        </w:rPr>
      </w:pPr>
      <w:bookmarkStart w:id="105" w:name="_Toc417464787"/>
      <w:bookmarkStart w:id="106" w:name="_Toc455068232"/>
      <w:r>
        <w:rPr>
          <w:rFonts w:hint="eastAsia"/>
          <w:color w:val="auto"/>
        </w:rPr>
        <w:t>催化剂生产没有废水产生，危险废物处理过程中产生的蒸发冷凝水主要含有COD和TDS，通过管道送乌鲁木齐众荣电子材料科技有限公司回用</w:t>
      </w:r>
      <w:r>
        <w:rPr>
          <w:rFonts w:hint="eastAsia"/>
          <w:color w:val="auto"/>
          <w:sz w:val="23"/>
          <w:szCs w:val="23"/>
        </w:rPr>
        <w:t>，循环排污水、生活污水排入园区下水管网，送园区污水处理厂进一步处理</w:t>
      </w:r>
      <w:r>
        <w:rPr>
          <w:rFonts w:hint="eastAsia"/>
          <w:color w:val="auto"/>
        </w:rPr>
        <w:t>，废水属于间接排放，根据</w:t>
      </w:r>
      <w:r>
        <w:rPr>
          <w:color w:val="auto"/>
        </w:rPr>
        <w:t>《环境影响评价技术导则 地表水环境》（HJ</w:t>
      </w:r>
      <w:r>
        <w:rPr>
          <w:rFonts w:hint="eastAsia"/>
          <w:color w:val="auto"/>
        </w:rPr>
        <w:t xml:space="preserve"> </w:t>
      </w:r>
      <w:r>
        <w:rPr>
          <w:color w:val="auto"/>
        </w:rPr>
        <w:t>2.3-2018），地表水环境评价等级为三级B。本项目仅对地表水环境质量进行现状调查，对</w:t>
      </w:r>
      <w:r>
        <w:rPr>
          <w:rFonts w:hint="eastAsia"/>
          <w:color w:val="auto"/>
        </w:rPr>
        <w:t>依托污水处理设施环境可行性进行分析</w:t>
      </w:r>
      <w:r>
        <w:rPr>
          <w:color w:val="auto"/>
        </w:rPr>
        <w:t>。</w:t>
      </w:r>
    </w:p>
    <w:p w14:paraId="6A741E56">
      <w:pPr>
        <w:pStyle w:val="4"/>
        <w:rPr>
          <w:color w:val="auto"/>
        </w:rPr>
      </w:pPr>
      <w:r>
        <w:rPr>
          <w:color w:val="auto"/>
        </w:rPr>
        <w:t>地下水</w:t>
      </w:r>
      <w:bookmarkEnd w:id="105"/>
      <w:bookmarkEnd w:id="106"/>
      <w:r>
        <w:rPr>
          <w:rFonts w:hint="eastAsia"/>
          <w:color w:val="auto"/>
        </w:rPr>
        <w:t>环境</w:t>
      </w:r>
    </w:p>
    <w:p w14:paraId="03BCB8D0">
      <w:pPr>
        <w:pStyle w:val="5"/>
        <w:rPr>
          <w:color w:val="auto"/>
        </w:rPr>
      </w:pPr>
      <w:r>
        <w:rPr>
          <w:color w:val="auto"/>
        </w:rPr>
        <w:t>评价等级</w:t>
      </w:r>
    </w:p>
    <w:p w14:paraId="7A0AC8CB">
      <w:pPr>
        <w:pStyle w:val="132"/>
        <w:rPr>
          <w:color w:val="auto"/>
        </w:rPr>
      </w:pPr>
      <w:r>
        <w:rPr>
          <w:rFonts w:hint="eastAsia"/>
          <w:color w:val="auto"/>
        </w:rPr>
        <w:t>根据《环境影响评价技术导则 地下水环境》（HJ610-2016），地下水环境影响评价工作级别的划分依据建设项目所属的地下水环境影响评价项目类别和建设项目的地下水环境敏感程度进行综合判定。</w:t>
      </w:r>
    </w:p>
    <w:p w14:paraId="0AC60DA8">
      <w:pPr>
        <w:pStyle w:val="132"/>
        <w:rPr>
          <w:color w:val="auto"/>
        </w:rPr>
      </w:pPr>
      <w:r>
        <w:rPr>
          <w:rFonts w:hint="eastAsia"/>
          <w:color w:val="auto"/>
        </w:rPr>
        <w:t>（1）地下水环境影响评价项目类别</w:t>
      </w:r>
    </w:p>
    <w:p w14:paraId="6B06ADE3">
      <w:pPr>
        <w:pStyle w:val="132"/>
        <w:rPr>
          <w:color w:val="auto"/>
        </w:rPr>
      </w:pPr>
      <w:r>
        <w:rPr>
          <w:color w:val="auto"/>
        </w:rPr>
        <w:t>地下水环境影响评价行业分类表，见表2.</w:t>
      </w:r>
      <w:r>
        <w:rPr>
          <w:rFonts w:hint="eastAsia"/>
          <w:color w:val="auto"/>
        </w:rPr>
        <w:t>4-7</w:t>
      </w:r>
      <w:r>
        <w:rPr>
          <w:color w:val="auto"/>
        </w:rPr>
        <w:t>。</w:t>
      </w:r>
    </w:p>
    <w:p w14:paraId="7A49BEB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r>
        <w:rPr>
          <w:color w:val="auto"/>
        </w:rPr>
        <w:t xml:space="preserve">   地下水环境影响评价行业分类表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3709"/>
        <w:gridCol w:w="1429"/>
        <w:gridCol w:w="1286"/>
        <w:gridCol w:w="1144"/>
        <w:gridCol w:w="1218"/>
      </w:tblGrid>
      <w:tr w14:paraId="12CDC2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45" w:hRule="atLeast"/>
        </w:trPr>
        <w:tc>
          <w:tcPr>
            <w:tcW w:w="2111" w:type="pct"/>
            <w:vMerge w:val="restart"/>
            <w:tcBorders>
              <w:tl2br w:val="single" w:color="auto" w:sz="4" w:space="0"/>
            </w:tcBorders>
            <w:vAlign w:val="center"/>
          </w:tcPr>
          <w:p w14:paraId="7A26905A">
            <w:pPr>
              <w:pStyle w:val="129"/>
              <w:widowControl w:val="0"/>
              <w:rPr>
                <w:color w:val="auto"/>
              </w:rPr>
            </w:pPr>
            <w:r>
              <w:rPr>
                <w:rFonts w:hint="eastAsia"/>
                <w:color w:val="auto"/>
              </w:rPr>
              <w:t xml:space="preserve">                      </w:t>
            </w:r>
            <w:r>
              <w:rPr>
                <w:color w:val="auto"/>
              </w:rPr>
              <w:t>环评类别</w:t>
            </w:r>
          </w:p>
          <w:p w14:paraId="347CC21C">
            <w:pPr>
              <w:pStyle w:val="129"/>
              <w:widowControl w:val="0"/>
              <w:jc w:val="left"/>
              <w:rPr>
                <w:color w:val="auto"/>
              </w:rPr>
            </w:pPr>
            <w:r>
              <w:rPr>
                <w:color w:val="auto"/>
              </w:rPr>
              <w:t>行业类别</w:t>
            </w:r>
          </w:p>
        </w:tc>
        <w:tc>
          <w:tcPr>
            <w:tcW w:w="813" w:type="pct"/>
            <w:vMerge w:val="restart"/>
            <w:vAlign w:val="center"/>
          </w:tcPr>
          <w:p w14:paraId="312F77ED">
            <w:pPr>
              <w:pStyle w:val="129"/>
              <w:widowControl w:val="0"/>
              <w:rPr>
                <w:color w:val="auto"/>
              </w:rPr>
            </w:pPr>
            <w:r>
              <w:rPr>
                <w:color w:val="auto"/>
              </w:rPr>
              <w:t>报告书</w:t>
            </w:r>
          </w:p>
        </w:tc>
        <w:tc>
          <w:tcPr>
            <w:tcW w:w="732" w:type="pct"/>
            <w:vMerge w:val="restart"/>
            <w:vAlign w:val="center"/>
          </w:tcPr>
          <w:p w14:paraId="05188B14">
            <w:pPr>
              <w:pStyle w:val="129"/>
              <w:widowControl w:val="0"/>
              <w:rPr>
                <w:color w:val="auto"/>
              </w:rPr>
            </w:pPr>
            <w:r>
              <w:rPr>
                <w:color w:val="auto"/>
              </w:rPr>
              <w:t>报告表</w:t>
            </w:r>
          </w:p>
        </w:tc>
        <w:tc>
          <w:tcPr>
            <w:tcW w:w="1344" w:type="pct"/>
            <w:gridSpan w:val="2"/>
            <w:vAlign w:val="center"/>
          </w:tcPr>
          <w:p w14:paraId="199C38CA">
            <w:pPr>
              <w:pStyle w:val="129"/>
              <w:widowControl w:val="0"/>
              <w:rPr>
                <w:color w:val="auto"/>
              </w:rPr>
            </w:pPr>
            <w:r>
              <w:rPr>
                <w:color w:val="auto"/>
              </w:rPr>
              <w:t>地下水环境影响</w:t>
            </w:r>
          </w:p>
          <w:p w14:paraId="193B4B8B">
            <w:pPr>
              <w:pStyle w:val="129"/>
              <w:widowControl w:val="0"/>
              <w:rPr>
                <w:color w:val="auto"/>
              </w:rPr>
            </w:pPr>
            <w:r>
              <w:rPr>
                <w:color w:val="auto"/>
              </w:rPr>
              <w:t>评价项目类别</w:t>
            </w:r>
          </w:p>
        </w:tc>
      </w:tr>
      <w:tr w14:paraId="15B50E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11" w:type="pct"/>
            <w:vMerge w:val="continue"/>
            <w:vAlign w:val="center"/>
          </w:tcPr>
          <w:p w14:paraId="7AB6175E">
            <w:pPr>
              <w:pStyle w:val="129"/>
              <w:widowControl w:val="0"/>
              <w:rPr>
                <w:color w:val="auto"/>
              </w:rPr>
            </w:pPr>
          </w:p>
        </w:tc>
        <w:tc>
          <w:tcPr>
            <w:tcW w:w="813" w:type="pct"/>
            <w:vMerge w:val="continue"/>
            <w:vAlign w:val="center"/>
          </w:tcPr>
          <w:p w14:paraId="36AB7180">
            <w:pPr>
              <w:pStyle w:val="129"/>
              <w:widowControl w:val="0"/>
              <w:rPr>
                <w:color w:val="auto"/>
              </w:rPr>
            </w:pPr>
          </w:p>
        </w:tc>
        <w:tc>
          <w:tcPr>
            <w:tcW w:w="732" w:type="pct"/>
            <w:vMerge w:val="continue"/>
            <w:vAlign w:val="center"/>
          </w:tcPr>
          <w:p w14:paraId="6A2E1B2E">
            <w:pPr>
              <w:pStyle w:val="129"/>
              <w:widowControl w:val="0"/>
              <w:rPr>
                <w:color w:val="auto"/>
              </w:rPr>
            </w:pPr>
          </w:p>
        </w:tc>
        <w:tc>
          <w:tcPr>
            <w:tcW w:w="651" w:type="pct"/>
            <w:vAlign w:val="center"/>
          </w:tcPr>
          <w:p w14:paraId="05D5B232">
            <w:pPr>
              <w:pStyle w:val="129"/>
              <w:widowControl w:val="0"/>
              <w:rPr>
                <w:color w:val="auto"/>
              </w:rPr>
            </w:pPr>
            <w:r>
              <w:rPr>
                <w:color w:val="auto"/>
              </w:rPr>
              <w:t>报告书</w:t>
            </w:r>
          </w:p>
        </w:tc>
        <w:tc>
          <w:tcPr>
            <w:tcW w:w="693" w:type="pct"/>
            <w:vAlign w:val="center"/>
          </w:tcPr>
          <w:p w14:paraId="7221CCA7">
            <w:pPr>
              <w:pStyle w:val="129"/>
              <w:widowControl w:val="0"/>
              <w:rPr>
                <w:color w:val="auto"/>
              </w:rPr>
            </w:pPr>
            <w:r>
              <w:rPr>
                <w:color w:val="auto"/>
              </w:rPr>
              <w:t>报告表</w:t>
            </w:r>
          </w:p>
        </w:tc>
      </w:tr>
      <w:tr w14:paraId="2C0C3B0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48" w:hRule="atLeast"/>
        </w:trPr>
        <w:tc>
          <w:tcPr>
            <w:tcW w:w="2111" w:type="pct"/>
            <w:vAlign w:val="center"/>
          </w:tcPr>
          <w:p w14:paraId="5DEB5AA8">
            <w:pPr>
              <w:pStyle w:val="129"/>
              <w:widowControl w:val="0"/>
              <w:rPr>
                <w:color w:val="auto"/>
              </w:rPr>
            </w:pPr>
            <w:r>
              <w:rPr>
                <w:rFonts w:hint="eastAsia"/>
                <w:color w:val="auto"/>
              </w:rPr>
              <w:t>151、危险废物（含医疗废物）集中处置及综合利用</w:t>
            </w:r>
          </w:p>
        </w:tc>
        <w:tc>
          <w:tcPr>
            <w:tcW w:w="813" w:type="pct"/>
            <w:vAlign w:val="center"/>
          </w:tcPr>
          <w:p w14:paraId="2901BCFE">
            <w:pPr>
              <w:pStyle w:val="129"/>
              <w:widowControl w:val="0"/>
              <w:rPr>
                <w:color w:val="auto"/>
              </w:rPr>
            </w:pPr>
            <w:r>
              <w:rPr>
                <w:rFonts w:hint="eastAsia"/>
                <w:color w:val="auto"/>
              </w:rPr>
              <w:t>全部</w:t>
            </w:r>
          </w:p>
        </w:tc>
        <w:tc>
          <w:tcPr>
            <w:tcW w:w="732" w:type="pct"/>
            <w:vAlign w:val="center"/>
          </w:tcPr>
          <w:p w14:paraId="42BC2D92">
            <w:pPr>
              <w:pStyle w:val="129"/>
              <w:widowControl w:val="0"/>
              <w:rPr>
                <w:color w:val="auto"/>
              </w:rPr>
            </w:pPr>
            <w:r>
              <w:rPr>
                <w:rFonts w:hint="eastAsia"/>
                <w:color w:val="auto"/>
              </w:rPr>
              <w:t>/</w:t>
            </w:r>
          </w:p>
        </w:tc>
        <w:tc>
          <w:tcPr>
            <w:tcW w:w="651" w:type="pct"/>
            <w:shd w:val="clear" w:color="auto" w:fill="DDD9C4" w:themeFill="background2" w:themeFillShade="E6"/>
            <w:vAlign w:val="center"/>
          </w:tcPr>
          <w:p w14:paraId="482D16F3">
            <w:pPr>
              <w:pStyle w:val="129"/>
              <w:widowControl w:val="0"/>
              <w:rPr>
                <w:color w:val="auto"/>
              </w:rPr>
            </w:pPr>
            <w:r>
              <w:rPr>
                <w:rFonts w:hint="eastAsia"/>
                <w:color w:val="auto"/>
                <w:spacing w:val="5"/>
              </w:rPr>
              <w:t>I类</w:t>
            </w:r>
          </w:p>
        </w:tc>
        <w:tc>
          <w:tcPr>
            <w:tcW w:w="693" w:type="pct"/>
            <w:vAlign w:val="center"/>
          </w:tcPr>
          <w:p w14:paraId="04D64B1D">
            <w:pPr>
              <w:pStyle w:val="129"/>
              <w:widowControl w:val="0"/>
              <w:rPr>
                <w:color w:val="auto"/>
              </w:rPr>
            </w:pPr>
            <w:r>
              <w:rPr>
                <w:rFonts w:hint="eastAsia"/>
                <w:color w:val="auto"/>
              </w:rPr>
              <w:t>/</w:t>
            </w:r>
          </w:p>
        </w:tc>
      </w:tr>
      <w:tr w14:paraId="6A43EAA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11" w:type="pct"/>
            <w:vAlign w:val="center"/>
          </w:tcPr>
          <w:p w14:paraId="6C423F4E">
            <w:pPr>
              <w:pStyle w:val="129"/>
              <w:widowControl w:val="0"/>
              <w:rPr>
                <w:rFonts w:eastAsiaTheme="minorEastAsia"/>
                <w:color w:val="auto"/>
              </w:rPr>
            </w:pPr>
            <w:r>
              <w:rPr>
                <w:rFonts w:hint="eastAsia" w:eastAsiaTheme="minorEastAsia"/>
                <w:color w:val="auto"/>
              </w:rPr>
              <w:t>85、专用化学品制造</w:t>
            </w:r>
          </w:p>
        </w:tc>
        <w:tc>
          <w:tcPr>
            <w:tcW w:w="813" w:type="pct"/>
            <w:vAlign w:val="center"/>
          </w:tcPr>
          <w:p w14:paraId="44838E85">
            <w:pPr>
              <w:pStyle w:val="129"/>
              <w:widowControl w:val="0"/>
              <w:rPr>
                <w:color w:val="auto"/>
                <w:spacing w:val="6"/>
              </w:rPr>
            </w:pPr>
            <w:r>
              <w:rPr>
                <w:rFonts w:hint="eastAsia"/>
                <w:color w:val="auto"/>
                <w:spacing w:val="6"/>
              </w:rPr>
              <w:t>除单纯混合和分装外的</w:t>
            </w:r>
          </w:p>
        </w:tc>
        <w:tc>
          <w:tcPr>
            <w:tcW w:w="732" w:type="pct"/>
            <w:vAlign w:val="center"/>
          </w:tcPr>
          <w:p w14:paraId="05FF4F79">
            <w:pPr>
              <w:pStyle w:val="129"/>
              <w:widowControl w:val="0"/>
              <w:rPr>
                <w:color w:val="auto"/>
                <w:spacing w:val="7"/>
              </w:rPr>
            </w:pPr>
            <w:r>
              <w:rPr>
                <w:rFonts w:hint="eastAsia"/>
                <w:color w:val="auto"/>
                <w:spacing w:val="7"/>
              </w:rPr>
              <w:t>单纯混合或分装的</w:t>
            </w:r>
          </w:p>
        </w:tc>
        <w:tc>
          <w:tcPr>
            <w:tcW w:w="651" w:type="pct"/>
            <w:shd w:val="clear" w:color="auto" w:fill="DDD9C4" w:themeFill="background2" w:themeFillShade="E6"/>
            <w:vAlign w:val="center"/>
          </w:tcPr>
          <w:p w14:paraId="2E988F8D">
            <w:pPr>
              <w:pStyle w:val="129"/>
              <w:widowControl w:val="0"/>
              <w:rPr>
                <w:color w:val="auto"/>
                <w:spacing w:val="5"/>
              </w:rPr>
            </w:pPr>
            <w:r>
              <w:rPr>
                <w:rFonts w:hint="eastAsia"/>
                <w:color w:val="auto"/>
                <w:spacing w:val="5"/>
              </w:rPr>
              <w:t>I类</w:t>
            </w:r>
          </w:p>
        </w:tc>
        <w:tc>
          <w:tcPr>
            <w:tcW w:w="693" w:type="pct"/>
            <w:vAlign w:val="center"/>
          </w:tcPr>
          <w:p w14:paraId="2DC7EFB6">
            <w:pPr>
              <w:pStyle w:val="129"/>
              <w:widowControl w:val="0"/>
              <w:rPr>
                <w:color w:val="auto"/>
              </w:rPr>
            </w:pPr>
            <w:r>
              <w:rPr>
                <w:rFonts w:hint="eastAsia"/>
                <w:color w:val="auto"/>
              </w:rPr>
              <w:t>Ⅲ类</w:t>
            </w:r>
          </w:p>
        </w:tc>
      </w:tr>
    </w:tbl>
    <w:p w14:paraId="4A8D6108">
      <w:pPr>
        <w:pStyle w:val="1704"/>
        <w:rPr>
          <w:rFonts w:ascii="Times New Roman" w:hAnsi="Times New Roman"/>
          <w:color w:val="auto"/>
        </w:rPr>
      </w:pPr>
    </w:p>
    <w:p w14:paraId="2CD04660">
      <w:pPr>
        <w:pStyle w:val="132"/>
        <w:rPr>
          <w:color w:val="auto"/>
        </w:rPr>
      </w:pPr>
      <w:bookmarkStart w:id="107" w:name="_Hlk197808079"/>
      <w:r>
        <w:rPr>
          <w:color w:val="auto"/>
        </w:rPr>
        <w:t>本</w:t>
      </w:r>
      <w:r>
        <w:rPr>
          <w:rFonts w:hint="eastAsia"/>
          <w:color w:val="auto"/>
        </w:rPr>
        <w:t>项目涉及三个行业，危险废物处置属于“151、危险废物（含医疗废物）集中处置及综合利用”</w:t>
      </w:r>
      <w:r>
        <w:rPr>
          <w:rFonts w:hint="eastAsia" w:ascii="宋体" w:hAnsi="宋体" w:cs="宋体"/>
          <w:color w:val="auto"/>
        </w:rPr>
        <w:t>，</w:t>
      </w:r>
      <w:r>
        <w:rPr>
          <w:rFonts w:hint="eastAsia"/>
          <w:color w:val="auto"/>
          <w:spacing w:val="5"/>
        </w:rPr>
        <w:t>催化剂生产属于“</w:t>
      </w:r>
      <w:r>
        <w:rPr>
          <w:rFonts w:hint="eastAsia" w:eastAsiaTheme="minorEastAsia"/>
          <w:color w:val="auto"/>
        </w:rPr>
        <w:t>85、专用化学品制造”，</w:t>
      </w:r>
      <w:r>
        <w:rPr>
          <w:rFonts w:hint="eastAsia" w:ascii="宋体" w:hAnsi="宋体" w:cs="宋体"/>
          <w:color w:val="auto"/>
        </w:rPr>
        <w:t>编制环境影响报告书，</w:t>
      </w:r>
      <w:r>
        <w:rPr>
          <w:rFonts w:hint="eastAsia"/>
          <w:color w:val="auto"/>
        </w:rPr>
        <w:t>地下水类别均为Ⅰ类，判定地下水类别为Ⅰ类，厂外工程化学品输送管道属于未涉及工程，参照“41、石油、天然气、成品油管线（不含城市天然气管线）”厂外工程不涉及敏感目标，长度3.37km，为Ⅳ类。根据《环境影响评价技术导则 地下水环境》（HJ610-2016），厂外工程不开展地下水环境影响评价。</w:t>
      </w:r>
    </w:p>
    <w:bookmarkEnd w:id="107"/>
    <w:p w14:paraId="4D289BE1">
      <w:pPr>
        <w:pStyle w:val="132"/>
        <w:rPr>
          <w:color w:val="auto"/>
        </w:rPr>
      </w:pPr>
      <w:r>
        <w:rPr>
          <w:rFonts w:hint="eastAsia"/>
          <w:color w:val="auto"/>
        </w:rPr>
        <w:t>（2）</w:t>
      </w:r>
      <w:r>
        <w:rPr>
          <w:color w:val="auto"/>
        </w:rPr>
        <w:t>建设项目场地地下水环境</w:t>
      </w:r>
      <w:r>
        <w:rPr>
          <w:rFonts w:hint="eastAsia"/>
          <w:color w:val="auto"/>
        </w:rPr>
        <w:t>敏感程度</w:t>
      </w:r>
    </w:p>
    <w:p w14:paraId="29F0D9C3">
      <w:pPr>
        <w:pStyle w:val="132"/>
        <w:rPr>
          <w:color w:val="auto"/>
        </w:rPr>
      </w:pPr>
      <w:r>
        <w:rPr>
          <w:rFonts w:hint="eastAsia"/>
          <w:color w:val="auto"/>
        </w:rPr>
        <w:t>地</w:t>
      </w:r>
      <w:r>
        <w:rPr>
          <w:color w:val="auto"/>
        </w:rPr>
        <w:t>下水环境敏感程度分级表，见表</w:t>
      </w:r>
      <w:r>
        <w:rPr>
          <w:rFonts w:hint="eastAsia"/>
          <w:color w:val="auto"/>
        </w:rPr>
        <w:t>2.4-8</w:t>
      </w:r>
      <w:r>
        <w:rPr>
          <w:color w:val="auto"/>
        </w:rPr>
        <w:t>。</w:t>
      </w:r>
    </w:p>
    <w:p w14:paraId="17DECB35">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8</w:t>
      </w:r>
      <w:r>
        <w:rPr>
          <w:color w:val="auto"/>
        </w:rPr>
        <w:fldChar w:fldCharType="end"/>
      </w:r>
      <w:r>
        <w:rPr>
          <w:color w:val="auto"/>
        </w:rPr>
        <w:t xml:space="preserve">    地下水环境敏感程度分级表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149"/>
        <w:gridCol w:w="7637"/>
      </w:tblGrid>
      <w:tr w14:paraId="29AAA4F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654" w:type="pct"/>
            <w:vAlign w:val="center"/>
          </w:tcPr>
          <w:p w14:paraId="59268107">
            <w:pPr>
              <w:pStyle w:val="1701"/>
              <w:widowControl w:val="0"/>
              <w:rPr>
                <w:rFonts w:eastAsia="黑体"/>
                <w:color w:val="auto"/>
              </w:rPr>
            </w:pPr>
            <w:r>
              <w:rPr>
                <w:color w:val="auto"/>
              </w:rPr>
              <w:t>敏感程度</w:t>
            </w:r>
          </w:p>
        </w:tc>
        <w:tc>
          <w:tcPr>
            <w:tcW w:w="4346" w:type="pct"/>
            <w:vAlign w:val="center"/>
          </w:tcPr>
          <w:p w14:paraId="3530BC0A">
            <w:pPr>
              <w:pStyle w:val="1701"/>
              <w:widowControl w:val="0"/>
              <w:rPr>
                <w:rFonts w:eastAsia="黑体"/>
                <w:color w:val="auto"/>
              </w:rPr>
            </w:pPr>
            <w:r>
              <w:rPr>
                <w:color w:val="auto"/>
              </w:rPr>
              <w:t>地下水环境敏感特征</w:t>
            </w:r>
          </w:p>
        </w:tc>
      </w:tr>
      <w:tr w14:paraId="6F6DCD8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54" w:type="pct"/>
            <w:vAlign w:val="center"/>
          </w:tcPr>
          <w:p w14:paraId="1286C58A">
            <w:pPr>
              <w:pStyle w:val="1701"/>
              <w:widowControl w:val="0"/>
              <w:rPr>
                <w:rFonts w:eastAsia="黑体"/>
                <w:color w:val="auto"/>
              </w:rPr>
            </w:pPr>
            <w:r>
              <w:rPr>
                <w:color w:val="auto"/>
              </w:rPr>
              <w:t>敏</w:t>
            </w:r>
            <w:r>
              <w:rPr>
                <w:rFonts w:hint="eastAsia"/>
                <w:color w:val="auto"/>
              </w:rPr>
              <w:t xml:space="preserve">  </w:t>
            </w:r>
            <w:r>
              <w:rPr>
                <w:color w:val="auto"/>
              </w:rPr>
              <w:t>感</w:t>
            </w:r>
          </w:p>
        </w:tc>
        <w:tc>
          <w:tcPr>
            <w:tcW w:w="4346" w:type="pct"/>
            <w:vAlign w:val="center"/>
          </w:tcPr>
          <w:p w14:paraId="5754E8A4">
            <w:pPr>
              <w:pStyle w:val="1701"/>
              <w:widowControl w:val="0"/>
              <w:rPr>
                <w:rFonts w:eastAsia="黑体"/>
                <w:color w:val="auto"/>
              </w:rPr>
            </w:pPr>
            <w:r>
              <w:rPr>
                <w:color w:val="auto"/>
              </w:rPr>
              <w:t>集中式饮用水水源（包括已建成的在用、备用、应急水源，在建和规划的饮用水水源）准保护区；除集中式饮用水水源以外的国家或地方政府设定的与地下水环境</w:t>
            </w:r>
            <w:r>
              <w:rPr>
                <w:rFonts w:hint="eastAsia"/>
                <w:color w:val="auto"/>
              </w:rPr>
              <w:t>相关的其他</w:t>
            </w:r>
            <w:r>
              <w:rPr>
                <w:color w:val="auto"/>
              </w:rPr>
              <w:t>保护区，如热水、矿泉水、温泉等特殊地下水资源保护区。</w:t>
            </w:r>
          </w:p>
        </w:tc>
      </w:tr>
      <w:tr w14:paraId="6A3B3FF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54" w:type="pct"/>
            <w:vAlign w:val="center"/>
          </w:tcPr>
          <w:p w14:paraId="627331E6">
            <w:pPr>
              <w:pStyle w:val="1701"/>
              <w:widowControl w:val="0"/>
              <w:rPr>
                <w:rFonts w:eastAsia="黑体"/>
                <w:color w:val="auto"/>
              </w:rPr>
            </w:pPr>
            <w:r>
              <w:rPr>
                <w:color w:val="auto"/>
              </w:rPr>
              <w:t>较敏感</w:t>
            </w:r>
          </w:p>
        </w:tc>
        <w:tc>
          <w:tcPr>
            <w:tcW w:w="4346" w:type="pct"/>
            <w:vAlign w:val="center"/>
          </w:tcPr>
          <w:p w14:paraId="784E2DAD">
            <w:pPr>
              <w:pStyle w:val="1701"/>
              <w:widowControl w:val="0"/>
              <w:rPr>
                <w:rFonts w:eastAsia="黑体"/>
                <w:color w:val="auto"/>
              </w:rPr>
            </w:pPr>
            <w:r>
              <w:rPr>
                <w:color w:val="auto"/>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a。</w:t>
            </w:r>
          </w:p>
        </w:tc>
      </w:tr>
      <w:tr w14:paraId="622E35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54" w:type="pct"/>
            <w:shd w:val="clear" w:color="auto" w:fill="DDD9C4" w:themeFill="background2" w:themeFillShade="E6"/>
            <w:vAlign w:val="center"/>
          </w:tcPr>
          <w:p w14:paraId="7E125D04">
            <w:pPr>
              <w:pStyle w:val="1701"/>
              <w:widowControl w:val="0"/>
              <w:rPr>
                <w:rFonts w:eastAsia="黑体"/>
                <w:color w:val="auto"/>
              </w:rPr>
            </w:pPr>
            <w:r>
              <w:rPr>
                <w:color w:val="auto"/>
              </w:rPr>
              <w:t>不敏感</w:t>
            </w:r>
          </w:p>
        </w:tc>
        <w:tc>
          <w:tcPr>
            <w:tcW w:w="4346" w:type="pct"/>
            <w:shd w:val="clear" w:color="auto" w:fill="DDD9C4" w:themeFill="background2" w:themeFillShade="E6"/>
            <w:vAlign w:val="center"/>
          </w:tcPr>
          <w:p w14:paraId="218764AE">
            <w:pPr>
              <w:pStyle w:val="1701"/>
              <w:widowControl w:val="0"/>
              <w:rPr>
                <w:rFonts w:eastAsia="黑体"/>
                <w:color w:val="auto"/>
              </w:rPr>
            </w:pPr>
            <w:r>
              <w:rPr>
                <w:color w:val="auto"/>
              </w:rPr>
              <w:t>上述地区之外的其它地区。</w:t>
            </w:r>
          </w:p>
        </w:tc>
      </w:tr>
      <w:tr w14:paraId="28F6B22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2"/>
            <w:vAlign w:val="center"/>
          </w:tcPr>
          <w:p w14:paraId="21C1F592">
            <w:pPr>
              <w:pStyle w:val="1701"/>
              <w:widowControl w:val="0"/>
              <w:rPr>
                <w:rFonts w:eastAsia="黑体"/>
                <w:color w:val="auto"/>
              </w:rPr>
            </w:pPr>
            <w:r>
              <w:rPr>
                <w:color w:val="auto"/>
              </w:rPr>
              <w:t>注：a“环境敏感区”是指《建设项目环境影响评价分类管理名录》中所界定的涉及地下水的环境敏感区。</w:t>
            </w:r>
          </w:p>
        </w:tc>
      </w:tr>
    </w:tbl>
    <w:p w14:paraId="1B1CC93A">
      <w:pPr>
        <w:autoSpaceDE w:val="0"/>
        <w:autoSpaceDN w:val="0"/>
        <w:adjustRightInd w:val="0"/>
        <w:spacing w:line="240" w:lineRule="exact"/>
        <w:ind w:firstLine="482"/>
        <w:rPr>
          <w:color w:val="auto"/>
          <w:sz w:val="24"/>
        </w:rPr>
      </w:pPr>
    </w:p>
    <w:p w14:paraId="3A6067C0">
      <w:pPr>
        <w:pStyle w:val="132"/>
        <w:rPr>
          <w:color w:val="auto"/>
        </w:rPr>
      </w:pPr>
      <w:r>
        <w:rPr>
          <w:color w:val="auto"/>
        </w:rPr>
        <w:t>本项目位于</w:t>
      </w:r>
      <w:r>
        <w:rPr>
          <w:rFonts w:hint="eastAsia"/>
          <w:color w:val="auto"/>
        </w:rPr>
        <w:t>乌鲁木齐甘泉堡经济技术开发区（工业区）化工园区</w:t>
      </w:r>
      <w:r>
        <w:rPr>
          <w:color w:val="auto"/>
        </w:rPr>
        <w:t>内，根据</w:t>
      </w:r>
      <w:r>
        <w:rPr>
          <w:rFonts w:hint="eastAsia"/>
          <w:color w:val="auto"/>
        </w:rPr>
        <w:t>区域水文地质调查</w:t>
      </w:r>
      <w:r>
        <w:rPr>
          <w:color w:val="auto"/>
        </w:rPr>
        <w:t>可知，项目占地为</w:t>
      </w:r>
      <w:r>
        <w:rPr>
          <w:rFonts w:hint="eastAsia"/>
          <w:color w:val="auto"/>
        </w:rPr>
        <w:t>园区规划的</w:t>
      </w:r>
      <w:r>
        <w:rPr>
          <w:color w:val="auto"/>
        </w:rPr>
        <w:t>工业用地，所在地不是集中式饮用水水源（包括</w:t>
      </w:r>
      <w:r>
        <w:rPr>
          <w:rFonts w:hint="eastAsia"/>
          <w:color w:val="auto"/>
        </w:rPr>
        <w:t>：</w:t>
      </w:r>
      <w:r>
        <w:rPr>
          <w:color w:val="auto"/>
        </w:rPr>
        <w:t>已建成的在用、备用、应急水源，在建和规划的饮用水水源）准保护区和补给径流区，周边水井不作为饮用水井，不是分散居民饮用水源地等环境敏感区，对照表</w:t>
      </w:r>
      <w:r>
        <w:rPr>
          <w:rStyle w:val="133"/>
          <w:rFonts w:hint="eastAsia"/>
          <w:color w:val="auto"/>
        </w:rPr>
        <w:t>2.4.3-2</w:t>
      </w:r>
      <w:r>
        <w:rPr>
          <w:color w:val="auto"/>
        </w:rPr>
        <w:t>可知，本项目场地的地下水环境</w:t>
      </w:r>
      <w:r>
        <w:rPr>
          <w:rFonts w:hint="eastAsia"/>
          <w:color w:val="auto"/>
        </w:rPr>
        <w:t>敏感程度为“</w:t>
      </w:r>
      <w:r>
        <w:rPr>
          <w:color w:val="auto"/>
        </w:rPr>
        <w:t>不敏感</w:t>
      </w:r>
      <w:r>
        <w:rPr>
          <w:rFonts w:hint="eastAsia"/>
          <w:color w:val="auto"/>
        </w:rPr>
        <w:t>”</w:t>
      </w:r>
      <w:r>
        <w:rPr>
          <w:color w:val="auto"/>
        </w:rPr>
        <w:t>。</w:t>
      </w:r>
    </w:p>
    <w:p w14:paraId="1F78F4A3">
      <w:pPr>
        <w:autoSpaceDE w:val="0"/>
        <w:autoSpaceDN w:val="0"/>
        <w:adjustRightInd w:val="0"/>
        <w:spacing w:line="360" w:lineRule="auto"/>
        <w:ind w:firstLine="480"/>
        <w:rPr>
          <w:color w:val="auto"/>
          <w:sz w:val="24"/>
        </w:rPr>
      </w:pPr>
      <w:r>
        <w:rPr>
          <w:color w:val="auto"/>
          <w:sz w:val="24"/>
        </w:rPr>
        <w:t>（3）地下水评价等级判定结果</w:t>
      </w:r>
    </w:p>
    <w:p w14:paraId="7E4DDA6B">
      <w:pPr>
        <w:pStyle w:val="132"/>
        <w:rPr>
          <w:color w:val="auto"/>
        </w:rPr>
      </w:pPr>
      <w:r>
        <w:rPr>
          <w:color w:val="auto"/>
        </w:rPr>
        <w:t>地下水评价工作等级分级表，见表</w:t>
      </w:r>
      <w:r>
        <w:rPr>
          <w:rFonts w:hint="eastAsia"/>
          <w:color w:val="auto"/>
        </w:rPr>
        <w:t>2.4-9</w:t>
      </w:r>
      <w:r>
        <w:rPr>
          <w:color w:val="auto"/>
        </w:rPr>
        <w:t>。</w:t>
      </w:r>
    </w:p>
    <w:p w14:paraId="0BC12679">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9</w:t>
      </w:r>
      <w:r>
        <w:rPr>
          <w:color w:val="auto"/>
        </w:rPr>
        <w:fldChar w:fldCharType="end"/>
      </w:r>
      <w:r>
        <w:rPr>
          <w:color w:val="auto"/>
        </w:rPr>
        <w:t xml:space="preserve">   地下水评价工作等级分级表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746"/>
        <w:gridCol w:w="2014"/>
        <w:gridCol w:w="2014"/>
        <w:gridCol w:w="2012"/>
      </w:tblGrid>
      <w:tr w14:paraId="6F45D29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563" w:type="pct"/>
            <w:tcBorders>
              <w:tl2br w:val="single" w:color="auto" w:sz="4" w:space="0"/>
            </w:tcBorders>
            <w:vAlign w:val="center"/>
          </w:tcPr>
          <w:p w14:paraId="0BED9D24">
            <w:pPr>
              <w:pStyle w:val="1701"/>
              <w:widowControl w:val="0"/>
              <w:rPr>
                <w:color w:val="auto"/>
              </w:rPr>
            </w:pPr>
            <w:r>
              <w:rPr>
                <w:rFonts w:hint="eastAsia"/>
                <w:color w:val="auto"/>
              </w:rPr>
              <w:t xml:space="preserve">               </w:t>
            </w:r>
            <w:r>
              <w:rPr>
                <w:color w:val="auto"/>
              </w:rPr>
              <w:t>项目类别</w:t>
            </w:r>
          </w:p>
          <w:p w14:paraId="35B235DC">
            <w:pPr>
              <w:pStyle w:val="1701"/>
              <w:widowControl w:val="0"/>
              <w:jc w:val="both"/>
              <w:rPr>
                <w:color w:val="auto"/>
              </w:rPr>
            </w:pPr>
            <w:r>
              <w:rPr>
                <w:color w:val="auto"/>
              </w:rPr>
              <w:t>环境敏感程度</w:t>
            </w:r>
          </w:p>
        </w:tc>
        <w:tc>
          <w:tcPr>
            <w:tcW w:w="1146" w:type="pct"/>
            <w:vAlign w:val="center"/>
          </w:tcPr>
          <w:p w14:paraId="10C91337">
            <w:pPr>
              <w:pStyle w:val="1701"/>
              <w:widowControl w:val="0"/>
              <w:rPr>
                <w:color w:val="auto"/>
              </w:rPr>
            </w:pPr>
            <w:r>
              <w:rPr>
                <w:color w:val="auto"/>
              </w:rPr>
              <w:t>Ⅰ类项目</w:t>
            </w:r>
          </w:p>
        </w:tc>
        <w:tc>
          <w:tcPr>
            <w:tcW w:w="1146" w:type="pct"/>
            <w:vAlign w:val="center"/>
          </w:tcPr>
          <w:p w14:paraId="0CF2D3BD">
            <w:pPr>
              <w:pStyle w:val="1701"/>
              <w:widowControl w:val="0"/>
              <w:rPr>
                <w:color w:val="auto"/>
              </w:rPr>
            </w:pPr>
            <w:r>
              <w:rPr>
                <w:color w:val="auto"/>
              </w:rPr>
              <w:t>Ⅱ类项目</w:t>
            </w:r>
          </w:p>
        </w:tc>
        <w:tc>
          <w:tcPr>
            <w:tcW w:w="1146" w:type="pct"/>
            <w:vAlign w:val="center"/>
          </w:tcPr>
          <w:p w14:paraId="5AB1BA52">
            <w:pPr>
              <w:pStyle w:val="1701"/>
              <w:widowControl w:val="0"/>
              <w:rPr>
                <w:color w:val="auto"/>
              </w:rPr>
            </w:pPr>
            <w:r>
              <w:rPr>
                <w:color w:val="auto"/>
              </w:rPr>
              <w:t>Ⅲ类项目</w:t>
            </w:r>
          </w:p>
        </w:tc>
      </w:tr>
      <w:tr w14:paraId="5C98CC0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563" w:type="pct"/>
            <w:vAlign w:val="center"/>
          </w:tcPr>
          <w:p w14:paraId="64AE211C">
            <w:pPr>
              <w:pStyle w:val="1701"/>
              <w:widowControl w:val="0"/>
              <w:rPr>
                <w:color w:val="auto"/>
              </w:rPr>
            </w:pPr>
            <w:r>
              <w:rPr>
                <w:color w:val="auto"/>
              </w:rPr>
              <w:t>敏</w:t>
            </w:r>
            <w:r>
              <w:rPr>
                <w:rFonts w:hint="eastAsia"/>
                <w:color w:val="auto"/>
              </w:rPr>
              <w:t xml:space="preserve">  </w:t>
            </w:r>
            <w:r>
              <w:rPr>
                <w:color w:val="auto"/>
              </w:rPr>
              <w:t>感</w:t>
            </w:r>
          </w:p>
        </w:tc>
        <w:tc>
          <w:tcPr>
            <w:tcW w:w="1146" w:type="pct"/>
            <w:vAlign w:val="center"/>
          </w:tcPr>
          <w:p w14:paraId="0739190D">
            <w:pPr>
              <w:pStyle w:val="1701"/>
              <w:widowControl w:val="0"/>
              <w:rPr>
                <w:color w:val="auto"/>
              </w:rPr>
            </w:pPr>
            <w:r>
              <w:rPr>
                <w:color w:val="auto"/>
              </w:rPr>
              <w:t>一</w:t>
            </w:r>
          </w:p>
        </w:tc>
        <w:tc>
          <w:tcPr>
            <w:tcW w:w="1146" w:type="pct"/>
            <w:vAlign w:val="center"/>
          </w:tcPr>
          <w:p w14:paraId="3482AE16">
            <w:pPr>
              <w:pStyle w:val="1701"/>
              <w:widowControl w:val="0"/>
              <w:rPr>
                <w:color w:val="auto"/>
              </w:rPr>
            </w:pPr>
            <w:r>
              <w:rPr>
                <w:color w:val="auto"/>
              </w:rPr>
              <w:t>一</w:t>
            </w:r>
          </w:p>
        </w:tc>
        <w:tc>
          <w:tcPr>
            <w:tcW w:w="1146" w:type="pct"/>
            <w:vAlign w:val="center"/>
          </w:tcPr>
          <w:p w14:paraId="145D5BD6">
            <w:pPr>
              <w:pStyle w:val="1701"/>
              <w:widowControl w:val="0"/>
              <w:rPr>
                <w:color w:val="auto"/>
              </w:rPr>
            </w:pPr>
            <w:r>
              <w:rPr>
                <w:color w:val="auto"/>
              </w:rPr>
              <w:t>二</w:t>
            </w:r>
          </w:p>
        </w:tc>
      </w:tr>
      <w:tr w14:paraId="7537100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563" w:type="pct"/>
            <w:vAlign w:val="center"/>
          </w:tcPr>
          <w:p w14:paraId="6CD8E81C">
            <w:pPr>
              <w:pStyle w:val="1701"/>
              <w:widowControl w:val="0"/>
              <w:rPr>
                <w:color w:val="auto"/>
              </w:rPr>
            </w:pPr>
            <w:r>
              <w:rPr>
                <w:color w:val="auto"/>
              </w:rPr>
              <w:t>较敏感</w:t>
            </w:r>
          </w:p>
        </w:tc>
        <w:tc>
          <w:tcPr>
            <w:tcW w:w="1146" w:type="pct"/>
            <w:vAlign w:val="center"/>
          </w:tcPr>
          <w:p w14:paraId="584D6EC2">
            <w:pPr>
              <w:pStyle w:val="1701"/>
              <w:widowControl w:val="0"/>
              <w:rPr>
                <w:color w:val="auto"/>
              </w:rPr>
            </w:pPr>
            <w:r>
              <w:rPr>
                <w:color w:val="auto"/>
              </w:rPr>
              <w:t>一</w:t>
            </w:r>
          </w:p>
        </w:tc>
        <w:tc>
          <w:tcPr>
            <w:tcW w:w="1146" w:type="pct"/>
            <w:vAlign w:val="center"/>
          </w:tcPr>
          <w:p w14:paraId="2D9EFA98">
            <w:pPr>
              <w:pStyle w:val="1701"/>
              <w:widowControl w:val="0"/>
              <w:rPr>
                <w:color w:val="auto"/>
              </w:rPr>
            </w:pPr>
            <w:r>
              <w:rPr>
                <w:color w:val="auto"/>
              </w:rPr>
              <w:t>二</w:t>
            </w:r>
          </w:p>
        </w:tc>
        <w:tc>
          <w:tcPr>
            <w:tcW w:w="1146" w:type="pct"/>
            <w:vAlign w:val="center"/>
          </w:tcPr>
          <w:p w14:paraId="47006532">
            <w:pPr>
              <w:pStyle w:val="1701"/>
              <w:widowControl w:val="0"/>
              <w:rPr>
                <w:color w:val="auto"/>
              </w:rPr>
            </w:pPr>
            <w:r>
              <w:rPr>
                <w:color w:val="auto"/>
              </w:rPr>
              <w:t>三</w:t>
            </w:r>
          </w:p>
        </w:tc>
      </w:tr>
      <w:tr w14:paraId="4126982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563" w:type="pct"/>
            <w:vAlign w:val="center"/>
          </w:tcPr>
          <w:p w14:paraId="5C6F70E1">
            <w:pPr>
              <w:pStyle w:val="1701"/>
              <w:widowControl w:val="0"/>
              <w:rPr>
                <w:color w:val="auto"/>
              </w:rPr>
            </w:pPr>
            <w:r>
              <w:rPr>
                <w:color w:val="auto"/>
              </w:rPr>
              <w:t>不敏感</w:t>
            </w:r>
          </w:p>
        </w:tc>
        <w:tc>
          <w:tcPr>
            <w:tcW w:w="1146" w:type="pct"/>
            <w:shd w:val="clear" w:color="auto" w:fill="DDD9C4" w:themeFill="background2" w:themeFillShade="E6"/>
            <w:vAlign w:val="center"/>
          </w:tcPr>
          <w:p w14:paraId="3A4A3D62">
            <w:pPr>
              <w:pStyle w:val="1701"/>
              <w:widowControl w:val="0"/>
              <w:rPr>
                <w:color w:val="auto"/>
              </w:rPr>
            </w:pPr>
            <w:r>
              <w:rPr>
                <w:color w:val="auto"/>
              </w:rPr>
              <w:t>二</w:t>
            </w:r>
          </w:p>
        </w:tc>
        <w:tc>
          <w:tcPr>
            <w:tcW w:w="1146" w:type="pct"/>
            <w:vAlign w:val="center"/>
          </w:tcPr>
          <w:p w14:paraId="4D21A3AE">
            <w:pPr>
              <w:pStyle w:val="1701"/>
              <w:widowControl w:val="0"/>
              <w:rPr>
                <w:color w:val="auto"/>
              </w:rPr>
            </w:pPr>
            <w:r>
              <w:rPr>
                <w:color w:val="auto"/>
              </w:rPr>
              <w:t>三</w:t>
            </w:r>
          </w:p>
        </w:tc>
        <w:tc>
          <w:tcPr>
            <w:tcW w:w="1146" w:type="pct"/>
            <w:vAlign w:val="center"/>
          </w:tcPr>
          <w:p w14:paraId="1E912434">
            <w:pPr>
              <w:pStyle w:val="1701"/>
              <w:widowControl w:val="0"/>
              <w:rPr>
                <w:color w:val="auto"/>
              </w:rPr>
            </w:pPr>
            <w:r>
              <w:rPr>
                <w:color w:val="auto"/>
              </w:rPr>
              <w:t>三</w:t>
            </w:r>
          </w:p>
        </w:tc>
      </w:tr>
    </w:tbl>
    <w:p w14:paraId="00A747DE">
      <w:pPr>
        <w:pStyle w:val="1304"/>
        <w:rPr>
          <w:color w:val="auto"/>
        </w:rPr>
      </w:pPr>
    </w:p>
    <w:p w14:paraId="2C7CB843">
      <w:pPr>
        <w:pStyle w:val="132"/>
        <w:rPr>
          <w:color w:val="auto"/>
        </w:rPr>
      </w:pPr>
      <w:r>
        <w:rPr>
          <w:color w:val="auto"/>
        </w:rPr>
        <w:t>综上</w:t>
      </w:r>
      <w:r>
        <w:rPr>
          <w:rFonts w:hint="eastAsia"/>
          <w:color w:val="auto"/>
        </w:rPr>
        <w:t>，</w:t>
      </w:r>
      <w:bookmarkStart w:id="108" w:name="_Hlk197808103"/>
      <w:r>
        <w:rPr>
          <w:color w:val="auto"/>
        </w:rPr>
        <w:t>本项目为地下水环境影响评价</w:t>
      </w:r>
      <w:r>
        <w:rPr>
          <w:rFonts w:hint="eastAsia"/>
          <w:color w:val="auto"/>
        </w:rPr>
        <w:t>Ⅰ</w:t>
      </w:r>
      <w:r>
        <w:rPr>
          <w:color w:val="auto"/>
        </w:rPr>
        <w:t>类项目，建设地点不涉及地下水敏感区，地下水敏感程度为不敏感，对照表</w:t>
      </w:r>
      <w:r>
        <w:rPr>
          <w:rFonts w:hint="eastAsia"/>
          <w:color w:val="auto"/>
        </w:rPr>
        <w:t>2.4-9</w:t>
      </w:r>
      <w:r>
        <w:rPr>
          <w:color w:val="auto"/>
        </w:rPr>
        <w:t>可知，本项目地下水环境影响评价工作等级为</w:t>
      </w:r>
      <w:r>
        <w:rPr>
          <w:rFonts w:hint="eastAsia"/>
          <w:color w:val="auto"/>
        </w:rPr>
        <w:t>二</w:t>
      </w:r>
      <w:r>
        <w:rPr>
          <w:color w:val="auto"/>
        </w:rPr>
        <w:t>级。</w:t>
      </w:r>
    </w:p>
    <w:bookmarkEnd w:id="108"/>
    <w:p w14:paraId="47B5A70D">
      <w:pPr>
        <w:pStyle w:val="5"/>
        <w:rPr>
          <w:color w:val="auto"/>
        </w:rPr>
      </w:pPr>
      <w:r>
        <w:rPr>
          <w:color w:val="auto"/>
        </w:rPr>
        <w:t>评价范围</w:t>
      </w:r>
    </w:p>
    <w:p w14:paraId="1ED6725B">
      <w:pPr>
        <w:pStyle w:val="132"/>
        <w:ind w:right="420"/>
        <w:rPr>
          <w:color w:val="auto"/>
        </w:rPr>
      </w:pPr>
      <w:r>
        <w:rPr>
          <w:color w:val="auto"/>
        </w:rPr>
        <w:t>根据查表法：</w:t>
      </w:r>
    </w:p>
    <w:p w14:paraId="23EDD9F0">
      <w:pPr>
        <w:pStyle w:val="132"/>
        <w:ind w:right="420"/>
        <w:rPr>
          <w:color w:val="auto"/>
        </w:rPr>
      </w:pPr>
    </w:p>
    <w:p w14:paraId="76CE8D99">
      <w:pPr>
        <w:pStyle w:val="132"/>
        <w:ind w:right="420"/>
        <w:rPr>
          <w:color w:val="auto"/>
        </w:rPr>
      </w:pPr>
    </w:p>
    <w:p w14:paraId="6D1B165F">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10</w:t>
      </w:r>
      <w:r>
        <w:rPr>
          <w:color w:val="auto"/>
        </w:rPr>
        <w:fldChar w:fldCharType="end"/>
      </w:r>
      <w:r>
        <w:rPr>
          <w:rFonts w:hint="eastAsia"/>
          <w:color w:val="auto"/>
        </w:rPr>
        <w:t xml:space="preserve">  </w:t>
      </w:r>
      <w:r>
        <w:rPr>
          <w:color w:val="auto"/>
        </w:rPr>
        <w:t>建设项目地下水环境现状调查评价范围参照表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926"/>
        <w:gridCol w:w="2930"/>
        <w:gridCol w:w="2930"/>
      </w:tblGrid>
      <w:tr w14:paraId="786803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665" w:type="pct"/>
            <w:vAlign w:val="center"/>
          </w:tcPr>
          <w:p w14:paraId="43363B04">
            <w:pPr>
              <w:pStyle w:val="129"/>
              <w:widowControl w:val="0"/>
              <w:rPr>
                <w:color w:val="auto"/>
              </w:rPr>
            </w:pPr>
            <w:r>
              <w:rPr>
                <w:color w:val="auto"/>
              </w:rPr>
              <w:t>评价工作等级</w:t>
            </w:r>
          </w:p>
        </w:tc>
        <w:tc>
          <w:tcPr>
            <w:tcW w:w="1667" w:type="pct"/>
            <w:vAlign w:val="center"/>
          </w:tcPr>
          <w:p w14:paraId="1282CFB7">
            <w:pPr>
              <w:pStyle w:val="129"/>
              <w:widowControl w:val="0"/>
              <w:rPr>
                <w:color w:val="auto"/>
              </w:rPr>
            </w:pPr>
            <w:r>
              <w:rPr>
                <w:color w:val="auto"/>
              </w:rPr>
              <w:t>调查评价面积/km</w:t>
            </w:r>
            <w:r>
              <w:rPr>
                <w:color w:val="auto"/>
                <w:vertAlign w:val="superscript"/>
              </w:rPr>
              <w:t>2</w:t>
            </w:r>
          </w:p>
        </w:tc>
        <w:tc>
          <w:tcPr>
            <w:tcW w:w="1667" w:type="pct"/>
            <w:vAlign w:val="center"/>
          </w:tcPr>
          <w:p w14:paraId="3F6748FE">
            <w:pPr>
              <w:pStyle w:val="129"/>
              <w:widowControl w:val="0"/>
              <w:rPr>
                <w:color w:val="auto"/>
              </w:rPr>
            </w:pPr>
            <w:r>
              <w:rPr>
                <w:color w:val="auto"/>
              </w:rPr>
              <w:t>备注</w:t>
            </w:r>
          </w:p>
        </w:tc>
      </w:tr>
      <w:tr w14:paraId="6B54EB6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665" w:type="pct"/>
            <w:vAlign w:val="center"/>
          </w:tcPr>
          <w:p w14:paraId="49698CC7">
            <w:pPr>
              <w:pStyle w:val="129"/>
              <w:widowControl w:val="0"/>
              <w:rPr>
                <w:color w:val="auto"/>
              </w:rPr>
            </w:pPr>
            <w:r>
              <w:rPr>
                <w:color w:val="auto"/>
              </w:rPr>
              <w:t>一级</w:t>
            </w:r>
          </w:p>
        </w:tc>
        <w:tc>
          <w:tcPr>
            <w:tcW w:w="1667" w:type="pct"/>
            <w:vAlign w:val="center"/>
          </w:tcPr>
          <w:p w14:paraId="714A976A">
            <w:pPr>
              <w:pStyle w:val="129"/>
              <w:widowControl w:val="0"/>
              <w:rPr>
                <w:color w:val="auto"/>
              </w:rPr>
            </w:pPr>
            <w:r>
              <w:rPr>
                <w:rFonts w:hint="eastAsia" w:ascii="宋体" w:hAnsi="宋体" w:cs="宋体"/>
                <w:color w:val="auto"/>
              </w:rPr>
              <w:t>≧</w:t>
            </w:r>
            <w:r>
              <w:rPr>
                <w:color w:val="auto"/>
              </w:rPr>
              <w:t>20</w:t>
            </w:r>
          </w:p>
        </w:tc>
        <w:tc>
          <w:tcPr>
            <w:tcW w:w="1667" w:type="pct"/>
            <w:vMerge w:val="restart"/>
            <w:vAlign w:val="center"/>
          </w:tcPr>
          <w:p w14:paraId="559FB7A4">
            <w:pPr>
              <w:pStyle w:val="129"/>
              <w:widowControl w:val="0"/>
              <w:rPr>
                <w:color w:val="auto"/>
              </w:rPr>
            </w:pPr>
            <w:r>
              <w:rPr>
                <w:color w:val="auto"/>
              </w:rPr>
              <w:t>应包括重要的地下水环境保护目标，必要时适当扩大范围</w:t>
            </w:r>
          </w:p>
        </w:tc>
      </w:tr>
      <w:tr w14:paraId="1AB7959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665" w:type="pct"/>
            <w:vAlign w:val="center"/>
          </w:tcPr>
          <w:p w14:paraId="33D81D5F">
            <w:pPr>
              <w:pStyle w:val="129"/>
              <w:widowControl w:val="0"/>
              <w:rPr>
                <w:color w:val="auto"/>
              </w:rPr>
            </w:pPr>
            <w:r>
              <w:rPr>
                <w:color w:val="auto"/>
              </w:rPr>
              <w:t>二级</w:t>
            </w:r>
          </w:p>
        </w:tc>
        <w:tc>
          <w:tcPr>
            <w:tcW w:w="1667" w:type="pct"/>
            <w:vAlign w:val="center"/>
          </w:tcPr>
          <w:p w14:paraId="04EB93AA">
            <w:pPr>
              <w:pStyle w:val="129"/>
              <w:widowControl w:val="0"/>
              <w:rPr>
                <w:color w:val="auto"/>
              </w:rPr>
            </w:pPr>
            <w:r>
              <w:rPr>
                <w:color w:val="auto"/>
              </w:rPr>
              <w:t>6~20</w:t>
            </w:r>
          </w:p>
        </w:tc>
        <w:tc>
          <w:tcPr>
            <w:tcW w:w="1667" w:type="pct"/>
            <w:vMerge w:val="continue"/>
            <w:vAlign w:val="center"/>
          </w:tcPr>
          <w:p w14:paraId="5C8CA58A">
            <w:pPr>
              <w:pStyle w:val="129"/>
              <w:widowControl w:val="0"/>
              <w:rPr>
                <w:color w:val="auto"/>
              </w:rPr>
            </w:pPr>
          </w:p>
        </w:tc>
      </w:tr>
      <w:tr w14:paraId="196BA0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665" w:type="pct"/>
            <w:vAlign w:val="center"/>
          </w:tcPr>
          <w:p w14:paraId="0FF2C8BB">
            <w:pPr>
              <w:pStyle w:val="129"/>
              <w:widowControl w:val="0"/>
              <w:rPr>
                <w:color w:val="auto"/>
              </w:rPr>
            </w:pPr>
            <w:r>
              <w:rPr>
                <w:color w:val="auto"/>
              </w:rPr>
              <w:t>三级</w:t>
            </w:r>
          </w:p>
        </w:tc>
        <w:tc>
          <w:tcPr>
            <w:tcW w:w="1667" w:type="pct"/>
            <w:vAlign w:val="center"/>
          </w:tcPr>
          <w:p w14:paraId="700B5F9C">
            <w:pPr>
              <w:pStyle w:val="129"/>
              <w:widowControl w:val="0"/>
              <w:rPr>
                <w:color w:val="auto"/>
              </w:rPr>
            </w:pPr>
            <w:r>
              <w:rPr>
                <w:rFonts w:hint="eastAsia" w:ascii="宋体" w:hAnsi="宋体" w:cs="宋体"/>
                <w:color w:val="auto"/>
              </w:rPr>
              <w:t>≦</w:t>
            </w:r>
            <w:r>
              <w:rPr>
                <w:color w:val="auto"/>
              </w:rPr>
              <w:t>6</w:t>
            </w:r>
          </w:p>
        </w:tc>
        <w:tc>
          <w:tcPr>
            <w:tcW w:w="1667" w:type="pct"/>
            <w:vMerge w:val="continue"/>
            <w:vAlign w:val="center"/>
          </w:tcPr>
          <w:p w14:paraId="7F5FCDEB">
            <w:pPr>
              <w:pStyle w:val="129"/>
              <w:widowControl w:val="0"/>
              <w:rPr>
                <w:color w:val="auto"/>
              </w:rPr>
            </w:pPr>
          </w:p>
        </w:tc>
      </w:tr>
    </w:tbl>
    <w:p w14:paraId="50E9659A">
      <w:pPr>
        <w:pStyle w:val="1304"/>
        <w:rPr>
          <w:color w:val="auto"/>
        </w:rPr>
      </w:pPr>
    </w:p>
    <w:p w14:paraId="24EB9738">
      <w:pPr>
        <w:pStyle w:val="132"/>
        <w:rPr>
          <w:color w:val="auto"/>
        </w:rPr>
      </w:pPr>
      <w:r>
        <w:rPr>
          <w:rFonts w:hint="eastAsia"/>
          <w:color w:val="auto"/>
        </w:rPr>
        <w:t>拟建项目的地下水评价范围为厂区上游1km，下游2.5km，侧向各1km，面积约7km</w:t>
      </w:r>
      <w:r>
        <w:rPr>
          <w:rFonts w:hint="eastAsia"/>
          <w:color w:val="auto"/>
          <w:vertAlign w:val="superscript"/>
        </w:rPr>
        <w:t>2</w:t>
      </w:r>
      <w:r>
        <w:rPr>
          <w:rFonts w:hint="eastAsia"/>
          <w:color w:val="auto"/>
        </w:rPr>
        <w:t>的矩形区域</w:t>
      </w:r>
      <w:r>
        <w:rPr>
          <w:color w:val="auto"/>
        </w:rPr>
        <w:t>。</w:t>
      </w:r>
    </w:p>
    <w:p w14:paraId="7D1503C0">
      <w:pPr>
        <w:pStyle w:val="4"/>
        <w:rPr>
          <w:color w:val="auto"/>
        </w:rPr>
      </w:pPr>
      <w:r>
        <w:rPr>
          <w:color w:val="auto"/>
        </w:rPr>
        <w:t>声环境</w:t>
      </w:r>
    </w:p>
    <w:p w14:paraId="2A3DD6BC">
      <w:pPr>
        <w:pStyle w:val="5"/>
        <w:rPr>
          <w:color w:val="auto"/>
        </w:rPr>
      </w:pPr>
      <w:bookmarkStart w:id="109" w:name="_Toc455068233"/>
      <w:bookmarkStart w:id="110" w:name="_Toc417464788"/>
      <w:r>
        <w:rPr>
          <w:color w:val="auto"/>
        </w:rPr>
        <w:t>评价等级</w:t>
      </w:r>
      <w:bookmarkEnd w:id="109"/>
      <w:bookmarkEnd w:id="110"/>
    </w:p>
    <w:p w14:paraId="2163B90C">
      <w:pPr>
        <w:pStyle w:val="132"/>
        <w:rPr>
          <w:color w:val="auto"/>
        </w:rPr>
      </w:pPr>
      <w:bookmarkStart w:id="111" w:name="_Toc455068234"/>
      <w:bookmarkStart w:id="112" w:name="_Toc417464789"/>
      <w:r>
        <w:rPr>
          <w:rFonts w:hint="eastAsia"/>
          <w:color w:val="auto"/>
        </w:rPr>
        <w:t>厂址位于乌鲁木齐甘泉堡经济技术开发区（工业区）化工园区</w:t>
      </w:r>
      <w:r>
        <w:rPr>
          <w:rFonts w:hint="eastAsia" w:ascii="宋体" w:hAnsi="宋体"/>
          <w:bCs/>
          <w:color w:val="auto"/>
        </w:rPr>
        <w:t>，</w:t>
      </w:r>
      <w:r>
        <w:rPr>
          <w:rFonts w:hint="eastAsia"/>
          <w:color w:val="auto"/>
        </w:rPr>
        <w:t>属于《声环境质量标准》（GB3096-2008）中的3类区。项目建设会造成厂界附近一定范围内的噪声级增高，但项目厂址周边200m范围内无敏感目标，因此不会造成敏感目标的噪声级增高和受噪声影响人口数量增加。根据《环境影响评价技术导则声环境》（HJ2.4-20</w:t>
      </w:r>
      <w:r>
        <w:rPr>
          <w:color w:val="auto"/>
        </w:rPr>
        <w:t>21</w:t>
      </w:r>
      <w:r>
        <w:rPr>
          <w:rFonts w:hint="eastAsia"/>
          <w:color w:val="auto"/>
        </w:rPr>
        <w:t>）中声环境评价工作等级的划分依据，噪声等级定为三级。</w:t>
      </w:r>
    </w:p>
    <w:p w14:paraId="09BED788">
      <w:pPr>
        <w:pStyle w:val="5"/>
        <w:rPr>
          <w:color w:val="auto"/>
        </w:rPr>
      </w:pPr>
      <w:r>
        <w:rPr>
          <w:color w:val="auto"/>
        </w:rPr>
        <w:t>评价范围</w:t>
      </w:r>
      <w:bookmarkEnd w:id="111"/>
      <w:bookmarkEnd w:id="112"/>
    </w:p>
    <w:p w14:paraId="795F2B88">
      <w:pPr>
        <w:pStyle w:val="132"/>
        <w:rPr>
          <w:color w:val="auto"/>
        </w:rPr>
      </w:pPr>
      <w:r>
        <w:rPr>
          <w:color w:val="auto"/>
        </w:rPr>
        <w:t>评价范围为</w:t>
      </w:r>
      <w:r>
        <w:rPr>
          <w:rFonts w:hint="eastAsia"/>
          <w:color w:val="auto"/>
        </w:rPr>
        <w:t>厂</w:t>
      </w:r>
      <w:r>
        <w:rPr>
          <w:color w:val="auto"/>
        </w:rPr>
        <w:t>界外</w:t>
      </w:r>
      <w:r>
        <w:rPr>
          <w:rFonts w:hint="eastAsia"/>
          <w:color w:val="auto"/>
        </w:rPr>
        <w:t>200</w:t>
      </w:r>
      <w:r>
        <w:rPr>
          <w:color w:val="auto"/>
        </w:rPr>
        <w:t>m范围。</w:t>
      </w:r>
    </w:p>
    <w:p w14:paraId="53160A46">
      <w:pPr>
        <w:pStyle w:val="4"/>
        <w:rPr>
          <w:color w:val="auto"/>
        </w:rPr>
      </w:pPr>
      <w:bookmarkStart w:id="113" w:name="_Hlk174099360"/>
      <w:r>
        <w:rPr>
          <w:color w:val="auto"/>
        </w:rPr>
        <w:t>风险评价</w:t>
      </w:r>
    </w:p>
    <w:p w14:paraId="0F9501AA">
      <w:pPr>
        <w:pStyle w:val="5"/>
        <w:rPr>
          <w:color w:val="auto"/>
        </w:rPr>
      </w:pPr>
      <w:bookmarkStart w:id="114" w:name="_Toc417464792"/>
      <w:bookmarkStart w:id="115" w:name="_Toc455068237"/>
      <w:r>
        <w:rPr>
          <w:color w:val="auto"/>
        </w:rPr>
        <w:t>评价等级</w:t>
      </w:r>
      <w:bookmarkEnd w:id="114"/>
      <w:bookmarkEnd w:id="115"/>
    </w:p>
    <w:p w14:paraId="626D8F41">
      <w:pPr>
        <w:pStyle w:val="132"/>
        <w:rPr>
          <w:color w:val="auto"/>
        </w:rPr>
      </w:pPr>
      <w:r>
        <w:rPr>
          <w:rFonts w:hint="eastAsia"/>
          <w:color w:val="auto"/>
        </w:rPr>
        <w:t>根据《建设项目环境风险评价技术导则》（HJ169-2018）规定：“环境风险评价工作是依据建设项目涉及的物质及工艺系统危险性和所在地的环境敏感性确定环境风险潜势进行分级，环境影响评价工作等级划分为一级、二级、三级”，其具体分级判据见表2.4-11。</w:t>
      </w:r>
    </w:p>
    <w:p w14:paraId="201D88CE">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11</w:t>
      </w:r>
      <w:r>
        <w:rPr>
          <w:color w:val="auto"/>
        </w:rPr>
        <w:fldChar w:fldCharType="end"/>
      </w:r>
      <w:r>
        <w:rPr>
          <w:color w:val="auto"/>
        </w:rPr>
        <w:t xml:space="preserve"> </w:t>
      </w:r>
      <w:r>
        <w:rPr>
          <w:rFonts w:hint="eastAsia"/>
          <w:color w:val="auto"/>
        </w:rPr>
        <w:t xml:space="preserve">  项目环境影响评价等级判据一览表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154"/>
        <w:gridCol w:w="1613"/>
        <w:gridCol w:w="1752"/>
        <w:gridCol w:w="1509"/>
        <w:gridCol w:w="1758"/>
      </w:tblGrid>
      <w:tr w14:paraId="763C1DF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26" w:type="pct"/>
            <w:vAlign w:val="center"/>
          </w:tcPr>
          <w:p w14:paraId="281618A9">
            <w:pPr>
              <w:pStyle w:val="129"/>
              <w:widowControl w:val="0"/>
              <w:rPr>
                <w:color w:val="auto"/>
              </w:rPr>
            </w:pPr>
            <w:r>
              <w:rPr>
                <w:rFonts w:hint="eastAsia"/>
                <w:color w:val="auto"/>
              </w:rPr>
              <w:t>环境风险潜势</w:t>
            </w:r>
          </w:p>
        </w:tc>
        <w:tc>
          <w:tcPr>
            <w:tcW w:w="918" w:type="pct"/>
            <w:vAlign w:val="center"/>
          </w:tcPr>
          <w:p w14:paraId="72BCCC5B">
            <w:pPr>
              <w:pStyle w:val="129"/>
              <w:widowControl w:val="0"/>
              <w:rPr>
                <w:color w:val="auto"/>
              </w:rPr>
            </w:pPr>
            <w:r>
              <w:rPr>
                <w:rFonts w:hint="eastAsia"/>
                <w:color w:val="auto"/>
              </w:rPr>
              <w:t>VI、VI+</w:t>
            </w:r>
          </w:p>
        </w:tc>
        <w:tc>
          <w:tcPr>
            <w:tcW w:w="997" w:type="pct"/>
            <w:vAlign w:val="center"/>
          </w:tcPr>
          <w:p w14:paraId="4FF8AB67">
            <w:pPr>
              <w:pStyle w:val="129"/>
              <w:widowControl w:val="0"/>
              <w:rPr>
                <w:color w:val="auto"/>
              </w:rPr>
            </w:pPr>
            <w:r>
              <w:rPr>
                <w:rFonts w:hint="eastAsia"/>
                <w:color w:val="auto"/>
              </w:rPr>
              <w:t>Ⅲ</w:t>
            </w:r>
          </w:p>
        </w:tc>
        <w:tc>
          <w:tcPr>
            <w:tcW w:w="859" w:type="pct"/>
            <w:vAlign w:val="center"/>
          </w:tcPr>
          <w:p w14:paraId="11D48170">
            <w:pPr>
              <w:pStyle w:val="129"/>
              <w:widowControl w:val="0"/>
              <w:rPr>
                <w:color w:val="auto"/>
              </w:rPr>
            </w:pPr>
            <w:r>
              <w:rPr>
                <w:rFonts w:hint="eastAsia"/>
                <w:color w:val="auto"/>
              </w:rPr>
              <w:t>II</w:t>
            </w:r>
          </w:p>
        </w:tc>
        <w:tc>
          <w:tcPr>
            <w:tcW w:w="1000" w:type="pct"/>
            <w:vAlign w:val="center"/>
          </w:tcPr>
          <w:p w14:paraId="20765232">
            <w:pPr>
              <w:pStyle w:val="129"/>
              <w:widowControl w:val="0"/>
              <w:rPr>
                <w:color w:val="auto"/>
              </w:rPr>
            </w:pPr>
            <w:r>
              <w:rPr>
                <w:rFonts w:hint="eastAsia"/>
                <w:color w:val="auto"/>
              </w:rPr>
              <w:t>I</w:t>
            </w:r>
          </w:p>
        </w:tc>
      </w:tr>
      <w:tr w14:paraId="16C3FDA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26" w:type="pct"/>
            <w:vAlign w:val="center"/>
          </w:tcPr>
          <w:p w14:paraId="7B561904">
            <w:pPr>
              <w:pStyle w:val="129"/>
              <w:widowControl w:val="0"/>
              <w:rPr>
                <w:color w:val="auto"/>
              </w:rPr>
            </w:pPr>
            <w:r>
              <w:rPr>
                <w:rFonts w:hint="eastAsia"/>
                <w:color w:val="auto"/>
              </w:rPr>
              <w:t>环境风险评价等级</w:t>
            </w:r>
          </w:p>
        </w:tc>
        <w:tc>
          <w:tcPr>
            <w:tcW w:w="918" w:type="pct"/>
            <w:shd w:val="clear" w:color="auto" w:fill="C3BD96" w:themeFill="background2" w:themeFillShade="BF"/>
            <w:vAlign w:val="center"/>
          </w:tcPr>
          <w:p w14:paraId="310AA690">
            <w:pPr>
              <w:pStyle w:val="129"/>
              <w:widowControl w:val="0"/>
              <w:rPr>
                <w:color w:val="auto"/>
              </w:rPr>
            </w:pPr>
            <w:r>
              <w:rPr>
                <w:rFonts w:hint="eastAsia"/>
                <w:color w:val="auto"/>
              </w:rPr>
              <w:t>一</w:t>
            </w:r>
          </w:p>
        </w:tc>
        <w:tc>
          <w:tcPr>
            <w:tcW w:w="997" w:type="pct"/>
            <w:shd w:val="clear" w:color="auto" w:fill="FFFFFF" w:themeFill="background1"/>
            <w:vAlign w:val="center"/>
          </w:tcPr>
          <w:p w14:paraId="00A4C2C0">
            <w:pPr>
              <w:pStyle w:val="129"/>
              <w:widowControl w:val="0"/>
              <w:rPr>
                <w:color w:val="auto"/>
              </w:rPr>
            </w:pPr>
            <w:r>
              <w:rPr>
                <w:rFonts w:hint="eastAsia"/>
                <w:color w:val="auto"/>
              </w:rPr>
              <w:t>二</w:t>
            </w:r>
          </w:p>
        </w:tc>
        <w:tc>
          <w:tcPr>
            <w:tcW w:w="859" w:type="pct"/>
            <w:shd w:val="clear" w:color="auto" w:fill="FFFFFF" w:themeFill="background1"/>
            <w:vAlign w:val="center"/>
          </w:tcPr>
          <w:p w14:paraId="4BCFEA75">
            <w:pPr>
              <w:pStyle w:val="129"/>
              <w:widowControl w:val="0"/>
              <w:rPr>
                <w:color w:val="auto"/>
              </w:rPr>
            </w:pPr>
            <w:r>
              <w:rPr>
                <w:rFonts w:hint="eastAsia"/>
                <w:color w:val="auto"/>
              </w:rPr>
              <w:t>三</w:t>
            </w:r>
          </w:p>
        </w:tc>
        <w:tc>
          <w:tcPr>
            <w:tcW w:w="1000" w:type="pct"/>
            <w:vAlign w:val="center"/>
          </w:tcPr>
          <w:p w14:paraId="026278E1">
            <w:pPr>
              <w:pStyle w:val="129"/>
              <w:widowControl w:val="0"/>
              <w:rPr>
                <w:color w:val="auto"/>
              </w:rPr>
            </w:pPr>
            <w:r>
              <w:rPr>
                <w:rFonts w:hint="eastAsia"/>
                <w:color w:val="auto"/>
              </w:rPr>
              <w:t>简单分析</w:t>
            </w:r>
          </w:p>
        </w:tc>
      </w:tr>
    </w:tbl>
    <w:p w14:paraId="77E77039">
      <w:pPr>
        <w:pStyle w:val="1304"/>
        <w:rPr>
          <w:snapToGrid w:val="0"/>
          <w:color w:val="auto"/>
        </w:rPr>
      </w:pPr>
    </w:p>
    <w:p w14:paraId="04C92928">
      <w:pPr>
        <w:pStyle w:val="132"/>
        <w:rPr>
          <w:color w:val="auto"/>
        </w:rPr>
      </w:pPr>
      <w:bookmarkStart w:id="116" w:name="_Toc417464793"/>
      <w:bookmarkStart w:id="117" w:name="_Toc455068238"/>
      <w:r>
        <w:rPr>
          <w:rFonts w:hint="eastAsia"/>
          <w:color w:val="auto"/>
        </w:rPr>
        <w:t>根据第7章分析，项目的大气和地下水环境风险潜势均为</w:t>
      </w:r>
      <w:r>
        <w:rPr>
          <w:color w:val="auto"/>
        </w:rPr>
        <w:t>Ⅳ级</w:t>
      </w:r>
      <w:r>
        <w:rPr>
          <w:rFonts w:hint="eastAsia"/>
          <w:color w:val="auto"/>
        </w:rPr>
        <w:t>，环境风险评价等级为一级。</w:t>
      </w:r>
    </w:p>
    <w:p w14:paraId="343C8D1E">
      <w:pPr>
        <w:pStyle w:val="5"/>
        <w:rPr>
          <w:color w:val="auto"/>
        </w:rPr>
      </w:pPr>
      <w:r>
        <w:rPr>
          <w:rFonts w:hint="eastAsia"/>
          <w:color w:val="auto"/>
        </w:rPr>
        <w:t>评价范围</w:t>
      </w:r>
    </w:p>
    <w:bookmarkEnd w:id="116"/>
    <w:bookmarkEnd w:id="117"/>
    <w:p w14:paraId="11FE8A79">
      <w:pPr>
        <w:pStyle w:val="132"/>
        <w:rPr>
          <w:color w:val="auto"/>
        </w:rPr>
      </w:pPr>
      <w:r>
        <w:rPr>
          <w:rFonts w:hint="eastAsia"/>
          <w:color w:val="auto"/>
        </w:rPr>
        <w:t>（1）大气环境风险评价范围</w:t>
      </w:r>
    </w:p>
    <w:p w14:paraId="6D12FDE0">
      <w:pPr>
        <w:pStyle w:val="132"/>
        <w:rPr>
          <w:color w:val="auto"/>
        </w:rPr>
      </w:pPr>
      <w:r>
        <w:rPr>
          <w:rFonts w:hint="eastAsia"/>
          <w:color w:val="auto"/>
        </w:rPr>
        <w:t>项目大气环境风险评价等级为一级，大气环境风险评价范围：以项目边界为起点，四周外扩5km的评价范围。</w:t>
      </w:r>
    </w:p>
    <w:p w14:paraId="0CA263E1">
      <w:pPr>
        <w:pStyle w:val="132"/>
        <w:rPr>
          <w:color w:val="auto"/>
        </w:rPr>
      </w:pPr>
      <w:r>
        <w:rPr>
          <w:rFonts w:hint="eastAsia"/>
          <w:color w:val="auto"/>
        </w:rPr>
        <w:t>（2）地表水环境风险评价范围</w:t>
      </w:r>
    </w:p>
    <w:p w14:paraId="4CDE589F">
      <w:pPr>
        <w:pStyle w:val="132"/>
        <w:rPr>
          <w:color w:val="auto"/>
        </w:rPr>
      </w:pPr>
      <w:r>
        <w:rPr>
          <w:rFonts w:hint="eastAsia"/>
          <w:color w:val="auto"/>
        </w:rPr>
        <w:t>项目发生事故时含泄漏危险物质的事故水输送到事故水池，不排入地表水体，且项目距离最近的距离地表水体较远，因此不设地表水环境风险评价范围。</w:t>
      </w:r>
    </w:p>
    <w:p w14:paraId="08FABA36">
      <w:pPr>
        <w:pStyle w:val="132"/>
        <w:rPr>
          <w:color w:val="auto"/>
        </w:rPr>
      </w:pPr>
      <w:r>
        <w:rPr>
          <w:rFonts w:hint="eastAsia"/>
          <w:color w:val="auto"/>
        </w:rPr>
        <w:t>（3）地下水环境风险评价范围</w:t>
      </w:r>
    </w:p>
    <w:p w14:paraId="15C6530E">
      <w:pPr>
        <w:pStyle w:val="132"/>
        <w:rPr>
          <w:color w:val="auto"/>
        </w:rPr>
      </w:pPr>
      <w:r>
        <w:rPr>
          <w:rFonts w:hint="eastAsia"/>
          <w:color w:val="auto"/>
        </w:rPr>
        <w:t>项目的地下水环境风险评价等级为一级，根据《建设项目环境风险评价技术导则 》（HJ169-2018）的要求：“地下水环境风险评价范围参照HJ610确定”。</w:t>
      </w:r>
      <w:r>
        <w:rPr>
          <w:color w:val="auto"/>
        </w:rPr>
        <w:t>沿地下水流向南侧上游1km，北侧下游4km，侧向西、东侧各2km，面积约20km</w:t>
      </w:r>
      <w:r>
        <w:rPr>
          <w:color w:val="auto"/>
          <w:vertAlign w:val="superscript"/>
        </w:rPr>
        <w:t>2</w:t>
      </w:r>
      <w:r>
        <w:rPr>
          <w:color w:val="auto"/>
        </w:rPr>
        <w:t>的范围</w:t>
      </w:r>
      <w:r>
        <w:rPr>
          <w:rFonts w:hint="eastAsia"/>
          <w:color w:val="auto"/>
        </w:rPr>
        <w:t>。</w:t>
      </w:r>
    </w:p>
    <w:bookmarkEnd w:id="113"/>
    <w:p w14:paraId="746D04B8">
      <w:pPr>
        <w:pStyle w:val="4"/>
        <w:rPr>
          <w:color w:val="auto"/>
        </w:rPr>
      </w:pPr>
      <w:r>
        <w:rPr>
          <w:rFonts w:hint="eastAsia"/>
          <w:color w:val="auto"/>
        </w:rPr>
        <w:t>生态环境评价等级</w:t>
      </w:r>
    </w:p>
    <w:p w14:paraId="155AEF5F">
      <w:pPr>
        <w:pStyle w:val="132"/>
        <w:rPr>
          <w:color w:val="auto"/>
        </w:rPr>
      </w:pPr>
      <w:r>
        <w:rPr>
          <w:rStyle w:val="1716"/>
          <w:rFonts w:hint="eastAsia"/>
          <w:color w:val="auto"/>
        </w:rPr>
        <w:t>本项目建设地点位于</w:t>
      </w:r>
      <w:r>
        <w:rPr>
          <w:rFonts w:hint="eastAsia"/>
          <w:color w:val="auto"/>
        </w:rPr>
        <w:t>乌鲁木齐甘泉堡经济技术开发区（工业区）化工园区</w:t>
      </w:r>
      <w:r>
        <w:rPr>
          <w:rFonts w:hint="eastAsia" w:ascii="宋体" w:hAnsi="宋体"/>
          <w:bCs/>
          <w:color w:val="auto"/>
        </w:rPr>
        <w:t>，厂内、厂外工程均不涉及生态敏感区，</w:t>
      </w:r>
      <w:r>
        <w:rPr>
          <w:rFonts w:ascii="宋体" w:hAnsi="宋体" w:cs="宋体"/>
          <w:color w:val="auto"/>
        </w:rPr>
        <w:t>根据《环境影响评价技术导则 生态影响》（</w:t>
      </w:r>
      <w:r>
        <w:rPr>
          <w:rFonts w:eastAsia="Times New Roman"/>
          <w:color w:val="auto"/>
        </w:rPr>
        <w:t>HJ19-2022</w:t>
      </w:r>
      <w:r>
        <w:rPr>
          <w:rFonts w:ascii="宋体" w:hAnsi="宋体" w:cs="宋体"/>
          <w:color w:val="auto"/>
          <w:spacing w:val="13"/>
        </w:rPr>
        <w:t>），</w:t>
      </w:r>
      <w:r>
        <w:rPr>
          <w:rFonts w:ascii="宋体" w:hAnsi="宋体" w:cs="宋体"/>
          <w:color w:val="auto"/>
        </w:rPr>
        <w:t>项目建设符合区域生态环境分区管控要求，符合园区规划及规</w:t>
      </w:r>
      <w:r>
        <w:rPr>
          <w:rFonts w:ascii="宋体" w:hAnsi="宋体" w:cs="宋体"/>
          <w:color w:val="auto"/>
          <w:spacing w:val="-1"/>
        </w:rPr>
        <w:t>划环评要求，且不涉及生态敏感区，仅做生态影响简单分析。</w:t>
      </w:r>
    </w:p>
    <w:p w14:paraId="5C9DD1F9">
      <w:pPr>
        <w:pStyle w:val="4"/>
        <w:rPr>
          <w:color w:val="auto"/>
        </w:rPr>
      </w:pPr>
      <w:r>
        <w:rPr>
          <w:rFonts w:hint="eastAsia"/>
          <w:color w:val="auto"/>
        </w:rPr>
        <w:t>土壤环境</w:t>
      </w:r>
    </w:p>
    <w:p w14:paraId="2D8D1BB8">
      <w:pPr>
        <w:pStyle w:val="5"/>
        <w:rPr>
          <w:color w:val="auto"/>
        </w:rPr>
      </w:pPr>
      <w:r>
        <w:rPr>
          <w:color w:val="auto"/>
        </w:rPr>
        <w:t>评价等级</w:t>
      </w:r>
    </w:p>
    <w:p w14:paraId="196D28A7">
      <w:pPr>
        <w:pStyle w:val="132"/>
        <w:rPr>
          <w:color w:val="auto"/>
        </w:rPr>
      </w:pPr>
      <w:r>
        <w:rPr>
          <w:color w:val="auto"/>
        </w:rPr>
        <w:t>根据《环境影响评价技术导则 土壤环境（试行）》（HJ 964-2018），土壤环境影响评价应按本标准划分的评价工作等级开展工作，识别建设项目土壤环境影响类型、影响途径、影响源及影响因子，确定土壤环境影响评价工作等级。</w:t>
      </w:r>
    </w:p>
    <w:p w14:paraId="0BBD5B19">
      <w:pPr>
        <w:pStyle w:val="132"/>
        <w:rPr>
          <w:color w:val="auto"/>
        </w:rPr>
      </w:pPr>
      <w:r>
        <w:rPr>
          <w:color w:val="auto"/>
        </w:rPr>
        <w:t>（1）环境影响评价类别</w:t>
      </w:r>
    </w:p>
    <w:p w14:paraId="7A5C8C0B">
      <w:pPr>
        <w:pStyle w:val="132"/>
        <w:rPr>
          <w:rFonts w:hint="eastAsia" w:ascii="宋体" w:hAnsi="宋体" w:cs="宋体"/>
          <w:color w:val="auto"/>
          <w:spacing w:val="1"/>
        </w:rPr>
      </w:pPr>
      <w:r>
        <w:rPr>
          <w:rFonts w:hint="eastAsia"/>
          <w:color w:val="auto"/>
        </w:rPr>
        <w:t>本项目同时涉及土壤生态影响型和</w:t>
      </w:r>
      <w:r>
        <w:rPr>
          <w:color w:val="auto"/>
        </w:rPr>
        <w:t>污染影响型，</w:t>
      </w:r>
      <w:r>
        <w:rPr>
          <w:rFonts w:hint="eastAsia"/>
          <w:color w:val="auto"/>
        </w:rPr>
        <w:t>厂内工程为污染影响型，</w:t>
      </w:r>
      <w:r>
        <w:rPr>
          <w:rFonts w:hint="eastAsia" w:ascii="宋体" w:hAnsi="宋体" w:cs="宋体"/>
          <w:color w:val="auto"/>
          <w:spacing w:val="1"/>
        </w:rPr>
        <w:t>厂外管线为生态影响型，</w:t>
      </w:r>
      <w:r>
        <w:rPr>
          <w:color w:val="auto"/>
        </w:rPr>
        <w:t>根据《环境影响评价技术导则 土壤环境（试行）》（HJ964-2018）附录 A</w:t>
      </w:r>
      <w:r>
        <w:rPr>
          <w:rFonts w:hint="eastAsia"/>
          <w:color w:val="auto"/>
        </w:rPr>
        <w:t>，本项目危险废物处置属于“环境和公共设施管理业，</w:t>
      </w:r>
      <w:r>
        <w:rPr>
          <w:color w:val="auto"/>
        </w:rPr>
        <w:t>危险废物利用及处置</w:t>
      </w:r>
      <w:r>
        <w:rPr>
          <w:rFonts w:hint="eastAsia"/>
          <w:color w:val="auto"/>
        </w:rPr>
        <w:t>”，催化剂生产属于“制造业，石油、化工，化学原料和化学制品制造”均属于Ⅰ类项目</w:t>
      </w:r>
      <w:r>
        <w:rPr>
          <w:rFonts w:hint="eastAsia" w:ascii="宋体" w:hAnsi="宋体" w:cs="宋体"/>
          <w:color w:val="auto"/>
          <w:spacing w:val="1"/>
        </w:rPr>
        <w:t>。厂外输送管道“其他行业”为Ⅳ类项目，根据</w:t>
      </w:r>
      <w:r>
        <w:rPr>
          <w:color w:val="auto"/>
        </w:rPr>
        <w:t>《环境影响评价技术导则 土壤环境（试行）》（HJ964-2018）</w:t>
      </w:r>
      <w:r>
        <w:rPr>
          <w:rFonts w:hint="eastAsia"/>
          <w:color w:val="auto"/>
        </w:rPr>
        <w:t>，</w:t>
      </w:r>
      <w:r>
        <w:rPr>
          <w:rFonts w:hint="eastAsia" w:ascii="宋体" w:hAnsi="宋体" w:cs="宋体"/>
          <w:color w:val="auto"/>
          <w:spacing w:val="1"/>
        </w:rPr>
        <w:t>Ⅳ类建设项目可不开展土壤环境影响评价。</w:t>
      </w:r>
    </w:p>
    <w:p w14:paraId="4B758A84">
      <w:pPr>
        <w:pStyle w:val="132"/>
        <w:rPr>
          <w:color w:val="auto"/>
        </w:rPr>
      </w:pPr>
      <w:r>
        <w:rPr>
          <w:color w:val="auto"/>
        </w:rPr>
        <w:t>（2）占地规模</w:t>
      </w:r>
    </w:p>
    <w:p w14:paraId="774FC1FE">
      <w:pPr>
        <w:pStyle w:val="132"/>
        <w:rPr>
          <w:color w:val="auto"/>
        </w:rPr>
      </w:pPr>
      <w:r>
        <w:rPr>
          <w:rFonts w:hint="eastAsia"/>
          <w:color w:val="auto"/>
        </w:rPr>
        <w:t>土壤导则中</w:t>
      </w:r>
      <w:r>
        <w:rPr>
          <w:color w:val="auto"/>
        </w:rPr>
        <w:t>将建设项目占地规模分为大型（</w:t>
      </w:r>
      <w:r>
        <w:rPr>
          <w:color w:val="auto"/>
          <w:lang w:val="zh-TW" w:eastAsia="zh-TW"/>
        </w:rPr>
        <w:t>≥50hm</w:t>
      </w:r>
      <w:r>
        <w:rPr>
          <w:color w:val="auto"/>
          <w:vertAlign w:val="superscript"/>
          <w:lang w:val="zh-TW" w:eastAsia="zh-TW"/>
        </w:rPr>
        <w:t>2</w:t>
      </w:r>
      <w:r>
        <w:rPr>
          <w:color w:val="auto"/>
        </w:rPr>
        <w:t>），中型（5~50hm</w:t>
      </w:r>
      <w:r>
        <w:rPr>
          <w:color w:val="auto"/>
          <w:vertAlign w:val="superscript"/>
        </w:rPr>
        <w:t>2</w:t>
      </w:r>
      <w:r>
        <w:rPr>
          <w:color w:val="auto"/>
        </w:rPr>
        <w:t>），小型（</w:t>
      </w:r>
      <w:r>
        <w:rPr>
          <w:color w:val="auto"/>
          <w:lang w:val="zh-TW" w:eastAsia="zh-TW"/>
        </w:rPr>
        <w:t>≤5hm</w:t>
      </w:r>
      <w:r>
        <w:rPr>
          <w:color w:val="auto"/>
          <w:vertAlign w:val="superscript"/>
          <w:lang w:val="zh-TW" w:eastAsia="zh-TW"/>
        </w:rPr>
        <w:t>2</w:t>
      </w:r>
      <w:r>
        <w:rPr>
          <w:color w:val="auto"/>
        </w:rPr>
        <w:t>）</w:t>
      </w:r>
      <w:r>
        <w:rPr>
          <w:rFonts w:hint="eastAsia"/>
          <w:color w:val="auto"/>
        </w:rPr>
        <w:t>。本</w:t>
      </w:r>
      <w:r>
        <w:rPr>
          <w:color w:val="auto"/>
        </w:rPr>
        <w:t>项目占地规模</w:t>
      </w:r>
      <w:r>
        <w:rPr>
          <w:rFonts w:hint="eastAsia"/>
          <w:color w:val="auto"/>
        </w:rPr>
        <w:t>约</w:t>
      </w:r>
      <w:bookmarkStart w:id="118" w:name="OLE_LINK130"/>
      <w:r>
        <w:rPr>
          <w:rFonts w:hint="eastAsia"/>
          <w:color w:val="auto"/>
        </w:rPr>
        <w:t>42694.8</w:t>
      </w:r>
      <w:bookmarkEnd w:id="118"/>
      <w:r>
        <w:rPr>
          <w:color w:val="auto"/>
        </w:rPr>
        <w:t>m</w:t>
      </w:r>
      <w:r>
        <w:rPr>
          <w:color w:val="auto"/>
          <w:vertAlign w:val="superscript"/>
        </w:rPr>
        <w:t>2</w:t>
      </w:r>
      <w:r>
        <w:rPr>
          <w:rFonts w:hint="eastAsia"/>
          <w:color w:val="auto"/>
        </w:rPr>
        <w:t>＜</w:t>
      </w:r>
      <w:r>
        <w:rPr>
          <w:color w:val="auto"/>
        </w:rPr>
        <w:t>5hm</w:t>
      </w:r>
      <w:r>
        <w:rPr>
          <w:color w:val="auto"/>
          <w:vertAlign w:val="superscript"/>
        </w:rPr>
        <w:t>2</w:t>
      </w:r>
      <w:r>
        <w:rPr>
          <w:color w:val="auto"/>
        </w:rPr>
        <w:t>，占地规模为</w:t>
      </w:r>
      <w:r>
        <w:rPr>
          <w:rFonts w:hint="eastAsia"/>
          <w:color w:val="auto"/>
        </w:rPr>
        <w:t>小</w:t>
      </w:r>
      <w:r>
        <w:rPr>
          <w:color w:val="auto"/>
        </w:rPr>
        <w:t>型。</w:t>
      </w:r>
    </w:p>
    <w:p w14:paraId="49D21786">
      <w:pPr>
        <w:pStyle w:val="132"/>
        <w:rPr>
          <w:color w:val="auto"/>
        </w:rPr>
      </w:pPr>
      <w:r>
        <w:rPr>
          <w:color w:val="auto"/>
        </w:rPr>
        <w:t>（</w:t>
      </w:r>
      <w:r>
        <w:rPr>
          <w:rFonts w:hint="eastAsia"/>
          <w:color w:val="auto"/>
        </w:rPr>
        <w:t>3</w:t>
      </w:r>
      <w:r>
        <w:rPr>
          <w:color w:val="auto"/>
        </w:rPr>
        <w:t>）环境敏感程度</w:t>
      </w:r>
    </w:p>
    <w:p w14:paraId="1BDD3909">
      <w:pPr>
        <w:pStyle w:val="132"/>
        <w:rPr>
          <w:color w:val="auto"/>
        </w:rPr>
      </w:pPr>
      <w:r>
        <w:rPr>
          <w:rFonts w:hint="eastAsia"/>
          <w:color w:val="auto"/>
        </w:rPr>
        <w:t>本项目厂内工程为污染影响型，</w:t>
      </w:r>
      <w:r>
        <w:rPr>
          <w:color w:val="auto"/>
        </w:rPr>
        <w:t>建设项目所在地周边的环境影响敏感程度分为敏感、较敏感、不敏感，判别依据详见表</w:t>
      </w:r>
      <w:r>
        <w:rPr>
          <w:rFonts w:hint="eastAsia"/>
          <w:color w:val="auto"/>
        </w:rPr>
        <w:t>2.4-12</w:t>
      </w:r>
      <w:r>
        <w:rPr>
          <w:color w:val="auto"/>
        </w:rPr>
        <w:t>。</w:t>
      </w:r>
    </w:p>
    <w:p w14:paraId="10E1E171">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12</w:t>
      </w:r>
      <w:r>
        <w:rPr>
          <w:color w:val="auto"/>
        </w:rPr>
        <w:fldChar w:fldCharType="end"/>
      </w:r>
      <w:r>
        <w:rPr>
          <w:color w:val="auto"/>
        </w:rPr>
        <w:t xml:space="preserve">  污染影响型敏感程度分级一览表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158"/>
        <w:gridCol w:w="6628"/>
      </w:tblGrid>
      <w:tr w14:paraId="2178C2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28" w:type="pct"/>
            <w:vAlign w:val="center"/>
          </w:tcPr>
          <w:p w14:paraId="4492775B">
            <w:pPr>
              <w:pStyle w:val="1701"/>
              <w:widowControl w:val="0"/>
              <w:rPr>
                <w:color w:val="auto"/>
              </w:rPr>
            </w:pPr>
            <w:r>
              <w:rPr>
                <w:color w:val="auto"/>
              </w:rPr>
              <w:t>敏感程度</w:t>
            </w:r>
          </w:p>
        </w:tc>
        <w:tc>
          <w:tcPr>
            <w:tcW w:w="3772" w:type="pct"/>
            <w:vAlign w:val="center"/>
          </w:tcPr>
          <w:p w14:paraId="41F9A697">
            <w:pPr>
              <w:pStyle w:val="1701"/>
              <w:widowControl w:val="0"/>
              <w:rPr>
                <w:color w:val="auto"/>
              </w:rPr>
            </w:pPr>
            <w:r>
              <w:rPr>
                <w:color w:val="auto"/>
              </w:rPr>
              <w:t>判别依据</w:t>
            </w:r>
          </w:p>
        </w:tc>
      </w:tr>
      <w:tr w14:paraId="7ACEA53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28" w:type="pct"/>
            <w:shd w:val="clear" w:color="auto" w:fill="FFFFFF" w:themeFill="background1"/>
            <w:vAlign w:val="center"/>
          </w:tcPr>
          <w:p w14:paraId="30BB31B8">
            <w:pPr>
              <w:pStyle w:val="1701"/>
              <w:widowControl w:val="0"/>
              <w:rPr>
                <w:color w:val="auto"/>
              </w:rPr>
            </w:pPr>
            <w:r>
              <w:rPr>
                <w:color w:val="auto"/>
              </w:rPr>
              <w:t>敏</w:t>
            </w:r>
            <w:r>
              <w:rPr>
                <w:rFonts w:hint="eastAsia"/>
                <w:color w:val="auto"/>
              </w:rPr>
              <w:t xml:space="preserve">  </w:t>
            </w:r>
            <w:r>
              <w:rPr>
                <w:color w:val="auto"/>
              </w:rPr>
              <w:t>感</w:t>
            </w:r>
          </w:p>
        </w:tc>
        <w:tc>
          <w:tcPr>
            <w:tcW w:w="3772" w:type="pct"/>
            <w:shd w:val="clear" w:color="auto" w:fill="FFFFFF" w:themeFill="background1"/>
            <w:vAlign w:val="center"/>
          </w:tcPr>
          <w:p w14:paraId="186F2442">
            <w:pPr>
              <w:pStyle w:val="1701"/>
              <w:widowControl w:val="0"/>
              <w:rPr>
                <w:color w:val="auto"/>
              </w:rPr>
            </w:pPr>
            <w:r>
              <w:rPr>
                <w:color w:val="auto"/>
              </w:rPr>
              <w:t>建设项目周边存在耕地、园地、牧草地、饮用水水源地或居民区、学校、医院、疗养院、养老院等土壤环境敏感目标的</w:t>
            </w:r>
          </w:p>
        </w:tc>
      </w:tr>
      <w:tr w14:paraId="610A13E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28" w:type="pct"/>
            <w:vAlign w:val="center"/>
          </w:tcPr>
          <w:p w14:paraId="64A5BD8B">
            <w:pPr>
              <w:pStyle w:val="1701"/>
              <w:widowControl w:val="0"/>
              <w:rPr>
                <w:color w:val="auto"/>
              </w:rPr>
            </w:pPr>
            <w:r>
              <w:rPr>
                <w:color w:val="auto"/>
              </w:rPr>
              <w:t>较敏感</w:t>
            </w:r>
          </w:p>
        </w:tc>
        <w:tc>
          <w:tcPr>
            <w:tcW w:w="3772" w:type="pct"/>
            <w:vAlign w:val="center"/>
          </w:tcPr>
          <w:p w14:paraId="45657A1A">
            <w:pPr>
              <w:pStyle w:val="1701"/>
              <w:widowControl w:val="0"/>
              <w:rPr>
                <w:color w:val="auto"/>
              </w:rPr>
            </w:pPr>
            <w:r>
              <w:rPr>
                <w:color w:val="auto"/>
              </w:rPr>
              <w:t>建设项目周边存在其他土壤环境敏感目标的</w:t>
            </w:r>
          </w:p>
        </w:tc>
      </w:tr>
      <w:tr w14:paraId="377A912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70" w:hRule="atLeast"/>
        </w:trPr>
        <w:tc>
          <w:tcPr>
            <w:tcW w:w="1228" w:type="pct"/>
            <w:shd w:val="clear" w:color="auto" w:fill="DDD9C4" w:themeFill="background2" w:themeFillShade="E6"/>
            <w:vAlign w:val="center"/>
          </w:tcPr>
          <w:p w14:paraId="5AAA8AAA">
            <w:pPr>
              <w:pStyle w:val="1701"/>
              <w:widowControl w:val="0"/>
              <w:rPr>
                <w:color w:val="auto"/>
              </w:rPr>
            </w:pPr>
            <w:r>
              <w:rPr>
                <w:color w:val="auto"/>
              </w:rPr>
              <w:t>不敏感</w:t>
            </w:r>
          </w:p>
        </w:tc>
        <w:tc>
          <w:tcPr>
            <w:tcW w:w="3772" w:type="pct"/>
            <w:shd w:val="clear" w:color="auto" w:fill="DDD9C4" w:themeFill="background2" w:themeFillShade="E6"/>
            <w:vAlign w:val="center"/>
          </w:tcPr>
          <w:p w14:paraId="5B967E5D">
            <w:pPr>
              <w:pStyle w:val="1701"/>
              <w:widowControl w:val="0"/>
              <w:rPr>
                <w:color w:val="auto"/>
              </w:rPr>
            </w:pPr>
            <w:r>
              <w:rPr>
                <w:color w:val="auto"/>
              </w:rPr>
              <w:t>其他情况</w:t>
            </w:r>
          </w:p>
        </w:tc>
      </w:tr>
    </w:tbl>
    <w:p w14:paraId="741E3C35">
      <w:pPr>
        <w:pStyle w:val="1704"/>
        <w:rPr>
          <w:rFonts w:ascii="Times New Roman" w:hAnsi="Times New Roman"/>
          <w:color w:val="auto"/>
        </w:rPr>
      </w:pPr>
    </w:p>
    <w:p w14:paraId="46F8B750">
      <w:pPr>
        <w:pStyle w:val="132"/>
        <w:rPr>
          <w:color w:val="auto"/>
        </w:rPr>
      </w:pPr>
      <w:r>
        <w:rPr>
          <w:color w:val="auto"/>
        </w:rPr>
        <w:t>本项目位于</w:t>
      </w:r>
      <w:r>
        <w:rPr>
          <w:rFonts w:hint="eastAsia"/>
          <w:color w:val="auto"/>
        </w:rPr>
        <w:t>乌鲁木齐甘泉堡经济技术开发区（工业区）化工园区</w:t>
      </w:r>
      <w:r>
        <w:rPr>
          <w:color w:val="auto"/>
        </w:rPr>
        <w:t>内，</w:t>
      </w:r>
      <w:r>
        <w:rPr>
          <w:rFonts w:hint="eastAsia"/>
          <w:color w:val="auto"/>
        </w:rPr>
        <w:t>占地为园区规划的工业用地，周边不存在土壤环境敏感目标，根据表2.4-12可知，</w:t>
      </w:r>
      <w:r>
        <w:rPr>
          <w:color w:val="auto"/>
        </w:rPr>
        <w:t>建设项目所在地周边的环境影响敏感程度为</w:t>
      </w:r>
      <w:r>
        <w:rPr>
          <w:rFonts w:hint="eastAsia"/>
          <w:color w:val="auto"/>
        </w:rPr>
        <w:t>“不敏感”。</w:t>
      </w:r>
    </w:p>
    <w:p w14:paraId="4E9D4DDB">
      <w:pPr>
        <w:pStyle w:val="132"/>
        <w:rPr>
          <w:color w:val="auto"/>
        </w:rPr>
      </w:pPr>
      <w:r>
        <w:rPr>
          <w:rFonts w:hint="eastAsia"/>
          <w:color w:val="auto"/>
        </w:rPr>
        <w:t>（4）</w:t>
      </w:r>
      <w:r>
        <w:rPr>
          <w:color w:val="auto"/>
        </w:rPr>
        <w:t>环境影响评价</w:t>
      </w:r>
      <w:r>
        <w:rPr>
          <w:rFonts w:hint="eastAsia"/>
          <w:color w:val="auto"/>
        </w:rPr>
        <w:t>等级确定</w:t>
      </w:r>
    </w:p>
    <w:p w14:paraId="03C0A394">
      <w:pPr>
        <w:pStyle w:val="132"/>
        <w:rPr>
          <w:color w:val="auto"/>
        </w:rPr>
      </w:pPr>
      <w:r>
        <w:rPr>
          <w:color w:val="auto"/>
        </w:rPr>
        <w:t>根据《环境影响评价技术导则 土壤环境（试行）》（HJ 964-2018），通过土壤环境影响评价类别、占地规模与敏感程度划分评价工作等级，见表</w:t>
      </w:r>
      <w:r>
        <w:rPr>
          <w:rFonts w:hint="eastAsia"/>
          <w:color w:val="auto"/>
        </w:rPr>
        <w:t>2.4-13</w:t>
      </w:r>
      <w:r>
        <w:rPr>
          <w:color w:val="auto"/>
        </w:rPr>
        <w:t>。</w:t>
      </w:r>
    </w:p>
    <w:p w14:paraId="10501027">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13</w:t>
      </w:r>
      <w:r>
        <w:rPr>
          <w:color w:val="auto"/>
        </w:rPr>
        <w:fldChar w:fldCharType="end"/>
      </w:r>
      <w:r>
        <w:rPr>
          <w:color w:val="auto"/>
        </w:rPr>
        <w:t xml:space="preserve">   污染影响型评价工作等级划分一览表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256"/>
        <w:gridCol w:w="800"/>
        <w:gridCol w:w="722"/>
        <w:gridCol w:w="724"/>
        <w:gridCol w:w="828"/>
        <w:gridCol w:w="796"/>
        <w:gridCol w:w="736"/>
        <w:gridCol w:w="708"/>
        <w:gridCol w:w="666"/>
        <w:gridCol w:w="550"/>
      </w:tblGrid>
      <w:tr w14:paraId="4A6058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1284" w:type="pct"/>
            <w:vMerge w:val="restart"/>
            <w:vAlign w:val="center"/>
          </w:tcPr>
          <w:p w14:paraId="6A886229">
            <w:pPr>
              <w:pStyle w:val="129"/>
              <w:widowControl w:val="0"/>
              <w:rPr>
                <w:color w:val="auto"/>
              </w:rPr>
            </w:pPr>
            <w:r>
              <w:rPr>
                <w:color w:val="auto"/>
                <w:lang w:eastAsia="en-US"/>
              </w:rPr>
              <mc:AlternateContent>
                <mc:Choice Requires="wps">
                  <w:drawing>
                    <wp:anchor distT="0" distB="0" distL="114300" distR="114300" simplePos="0" relativeHeight="251660288" behindDoc="0" locked="0" layoutInCell="1" allowOverlap="1">
                      <wp:simplePos x="0" y="0"/>
                      <wp:positionH relativeFrom="column">
                        <wp:posOffset>508635</wp:posOffset>
                      </wp:positionH>
                      <wp:positionV relativeFrom="paragraph">
                        <wp:posOffset>-7620</wp:posOffset>
                      </wp:positionV>
                      <wp:extent cx="834390" cy="596900"/>
                      <wp:effectExtent l="13335" t="11430" r="9525" b="10795"/>
                      <wp:wrapNone/>
                      <wp:docPr id="1280467769" name="AutoShape 6594"/>
                      <wp:cNvGraphicFramePr/>
                      <a:graphic xmlns:a="http://schemas.openxmlformats.org/drawingml/2006/main">
                        <a:graphicData uri="http://schemas.microsoft.com/office/word/2010/wordprocessingShape">
                          <wps:wsp>
                            <wps:cNvCnPr>
                              <a:cxnSpLocks noChangeShapeType="1"/>
                            </wps:cNvCnPr>
                            <wps:spPr bwMode="auto">
                              <a:xfrm>
                                <a:off x="0" y="0"/>
                                <a:ext cx="834390" cy="596900"/>
                              </a:xfrm>
                              <a:prstGeom prst="straightConnector1">
                                <a:avLst/>
                              </a:prstGeom>
                              <a:noFill/>
                              <a:ln w="9525">
                                <a:solidFill>
                                  <a:srgbClr val="000000"/>
                                </a:solidFill>
                                <a:round/>
                              </a:ln>
                            </wps:spPr>
                            <wps:bodyPr/>
                          </wps:wsp>
                        </a:graphicData>
                      </a:graphic>
                    </wp:anchor>
                  </w:drawing>
                </mc:Choice>
                <mc:Fallback>
                  <w:pict>
                    <v:shape id="AutoShape 6594" o:spid="_x0000_s1026" o:spt="32" type="#_x0000_t32" style="position:absolute;left:0pt;margin-left:40.05pt;margin-top:-0.6pt;height:47pt;width:65.7pt;z-index:251660288;mso-width-relative:page;mso-height-relative:page;" filled="f" stroked="t" coordsize="21600,21600" o:gfxdata="UEsDBAoAAAAAAIdO4kAAAAAAAAAAAAAAAAAEAAAAZHJzL1BLAwQUAAAACACHTuJAHqigbdcAAAAI&#10;AQAADwAAAGRycy9kb3ducmV2LnhtbE2PwWrDMBBE74X+g9hCLyWRZEhxXK9DKfTQY5NAroq1tZ1Y&#10;K2PJcZqvr3pqj8MMM2/KzdX14kJj6Dwj6KUCQVx723GDsN+9L3IQIRq2pvdMCN8UYFPd35WmsH7m&#10;T7psYyNSCYfCILQxDoWUoW7JmbD0A3HyvvzoTExybKQdzZzKXS8zpZ6lMx2nhdYM9NZSfd5ODoHC&#10;tNLqde2a/cdtfjpkt9M87BAfH7R6ARHpGv/C8Iuf0KFKTEc/sQ2iR8iVTkmEhc5AJD/TegXiiLDO&#10;cpBVKf8fqH4AUEsDBBQAAAAIAIdO4kC/tGeb5gEAAMIDAAAOAAAAZHJzL2Uyb0RvYy54bWytU8tu&#10;2zAQvBfoPxC815Id27EEy0FhI72krYGkH0BTlESU4hJL2rL/vkv6kTS95FAdCJLLmd2ZXS0fjr1h&#10;B4Veg634eJRzpqyEWtu24r9eHr8sOPNB2FoYsKriJ+X5w+rzp+XgSjWBDkytkBGJ9eXgKt6F4Mos&#10;87JTvfAjcMpSsAHsRaAjtlmNYiD23mSTPJ9nA2DtEKTynm435yC/MOJHCKFptFQbkPte2XBmRWVE&#10;IEm+087zVaq2aZQMP5vGq8BMxUlpSCslof0urtlqKcoWheu0vJQgPlLCO0290JaS3qg2Igi2R/0P&#10;Va8lgocmjCT02VlIcoRUjPN33jx3wqmkhaz27ma6/3+08sdhi0zXNAmTRT6d39/PC86s6KnzX/cB&#10;UglsPium0arB+ZIQa7vFKFYe7bN7AvnbMwvrTthWpfcvJ0fwcURkf0HiwTtKuBu+Q01vBKVIvh0b&#10;7CMlOcKOqT2nW3vUMTBJl4u76V1BjZMUmhXzIk/ty0R5BTv04ZuCnsVNxX1AodsurMFaGgTAcUol&#10;Dk8+xNJEeQXEzBYetTFpHoxlQ8WL2WSWAB6MrmMwPvPY7tYG2UHEiUpf0kmRt88Q9rY+JzH2YkNU&#10;fvZwB/Vpi1d7qLWpmssYxtl5e07o119v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eqKBt1wAA&#10;AAgBAAAPAAAAAAAAAAEAIAAAACIAAABkcnMvZG93bnJldi54bWxQSwECFAAUAAAACACHTuJAv7Rn&#10;m+YBAADCAwAADgAAAAAAAAABACAAAAAmAQAAZHJzL2Uyb0RvYy54bWxQSwUGAAAAAAYABgBZAQAA&#10;fgUAAAAA&#10;">
                      <v:fill on="f" focussize="0,0"/>
                      <v:stroke color="#000000" joinstyle="round"/>
                      <v:imagedata o:title=""/>
                      <o:lock v:ext="edit" aspectratio="f"/>
                    </v:shape>
                  </w:pict>
                </mc:Fallback>
              </mc:AlternateContent>
            </w:r>
            <w:r>
              <w:rPr>
                <w:color w:val="auto"/>
              </w:rPr>
              <w:t xml:space="preserve">           占地规模</w:t>
            </w:r>
          </w:p>
          <w:p w14:paraId="0D2AAF5E">
            <w:pPr>
              <w:pStyle w:val="129"/>
              <w:widowControl w:val="0"/>
              <w:rPr>
                <w:color w:val="auto"/>
              </w:rPr>
            </w:pPr>
            <w:r>
              <w:rPr>
                <w:color w:val="auto"/>
                <w:lang w:eastAsia="en-US"/>
              </w:rPr>
              <mc:AlternateContent>
                <mc:Choice Requires="wps">
                  <w:drawing>
                    <wp:anchor distT="0" distB="0" distL="114300" distR="114300" simplePos="0" relativeHeight="251661312" behindDoc="0" locked="0" layoutInCell="1" allowOverlap="1">
                      <wp:simplePos x="0" y="0"/>
                      <wp:positionH relativeFrom="column">
                        <wp:posOffset>-12065</wp:posOffset>
                      </wp:positionH>
                      <wp:positionV relativeFrom="paragraph">
                        <wp:posOffset>133350</wp:posOffset>
                      </wp:positionV>
                      <wp:extent cx="1355090" cy="264160"/>
                      <wp:effectExtent l="6985" t="9525" r="9525" b="12065"/>
                      <wp:wrapNone/>
                      <wp:docPr id="426409688" name="AutoShape 6595"/>
                      <wp:cNvGraphicFramePr/>
                      <a:graphic xmlns:a="http://schemas.openxmlformats.org/drawingml/2006/main">
                        <a:graphicData uri="http://schemas.microsoft.com/office/word/2010/wordprocessingShape">
                          <wps:wsp>
                            <wps:cNvCnPr>
                              <a:cxnSpLocks noChangeShapeType="1"/>
                            </wps:cNvCnPr>
                            <wps:spPr bwMode="auto">
                              <a:xfrm>
                                <a:off x="0" y="0"/>
                                <a:ext cx="1355090" cy="264160"/>
                              </a:xfrm>
                              <a:prstGeom prst="straightConnector1">
                                <a:avLst/>
                              </a:prstGeom>
                              <a:noFill/>
                              <a:ln w="9525">
                                <a:solidFill>
                                  <a:srgbClr val="000000"/>
                                </a:solidFill>
                                <a:round/>
                              </a:ln>
                            </wps:spPr>
                            <wps:bodyPr/>
                          </wps:wsp>
                        </a:graphicData>
                      </a:graphic>
                    </wp:anchor>
                  </w:drawing>
                </mc:Choice>
                <mc:Fallback>
                  <w:pict>
                    <v:shape id="AutoShape 6595" o:spid="_x0000_s1026" o:spt="32" type="#_x0000_t32" style="position:absolute;left:0pt;margin-left:-0.95pt;margin-top:10.5pt;height:20.8pt;width:106.7pt;z-index:251661312;mso-width-relative:page;mso-height-relative:page;" filled="f" stroked="t" coordsize="21600,21600" o:gfxdata="UEsDBAoAAAAAAIdO4kAAAAAAAAAAAAAAAAAEAAAAZHJzL1BLAwQUAAAACACHTuJArdS2s9cAAAAI&#10;AQAADwAAAGRycy9kb3ducmV2LnhtbE2PwWrDMBBE74X+g9hCLyWRZIhpHK9DKfTQY5NAroq1tZ1a&#10;K2PJcZqvr3pqj8MMM2/K7dX14kJj6Dwj6KUCQVx723GDcNi/LZ5BhGjYmt4zIXxTgG11f1eawvqZ&#10;P+iyi41IJRwKg9DGOBRShrolZ8LSD8TJ+/SjMzHJsZF2NHMqd73MlMqlMx2nhdYM9NpS/bWbHAKF&#10;aaXVy9o1h/fb/HTMbud52CM+Pmi1ARHpGv/C8Iuf0KFKTCc/sQ2iR1jodUoiZDpdSn6m9QrECSHP&#10;cpBVKf8fqH4AUEsDBBQAAAAIAIdO4kBc5sII5AEAAMIDAAAOAAAAZHJzL2Uyb0RvYy54bWytU8tu&#10;2zAQvBfoPxC815LcyIgFy0FhI72krYGkH0BTlESU4hJc2pL/vkv60TS95FAdCJLLmd2ZXa0epsGw&#10;o/Kowda8mOWcKSuh0bar+c+Xx0/3nGEQthEGrKr5SSF/WH/8sBpdpebQg2mUZ0RisRpdzfsQXJVl&#10;KHs1CJyBU5aCLfhBBDr6Lmu8GIl9MNk8zxfZCL5xHqRCpNvtOcgvjP49hNC2WqotyMOgbDizemVE&#10;IEnYa4d8naptWyXDj7ZFFZipOSkNaaUktN/HNVuvRNV54XotLyWI95TwRtMgtKWkN6qtCIIdvP6H&#10;atDSA0IbZhKG7CwkOUIqivyNN8+9cCppIavR3UzH/0crvx93numm5nfzxV2+XNxT+60YqPFfDgFS&#10;BWxRLsvo1OiwIsDG7nzUKif77J5A/kJmYdML26n0/uXkCF5ERPYXJB7QUb79+A0aeiMoRbJtav0Q&#10;KckQNqXunG7dUVNgki6Lz2WZL6lxkmJUbLFI7ctEdUU7j+GrgoHFTc0xeKG7PmzAWhoE8EXKJY5P&#10;GGJtoroCYmoLj9qYNA/GsrHmy3JeJgCC0U0Mxmfou/3GeHYUcaLSl4RS5PUzDwfbnJMYe/EhSj+b&#10;uIfmtPNXf6i1qZrLGMbZeX1O6D+/3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dS2s9cAAAAI&#10;AQAADwAAAAAAAAABACAAAAAiAAAAZHJzL2Rvd25yZXYueG1sUEsBAhQAFAAAAAgAh07iQFzmwgjk&#10;AQAAwgMAAA4AAAAAAAAAAQAgAAAAJgEAAGRycy9lMm9Eb2MueG1sUEsFBgAAAAAGAAYAWQEAAHwF&#10;AAAAAA==&#10;">
                      <v:fill on="f" focussize="0,0"/>
                      <v:stroke color="#000000" joinstyle="round"/>
                      <v:imagedata o:title=""/>
                      <o:lock v:ext="edit" aspectratio="f"/>
                    </v:shape>
                  </w:pict>
                </mc:Fallback>
              </mc:AlternateContent>
            </w:r>
            <w:r>
              <w:rPr>
                <w:color w:val="auto"/>
              </w:rPr>
              <w:t>评价工作等级</w:t>
            </w:r>
          </w:p>
          <w:p w14:paraId="39964EEA">
            <w:pPr>
              <w:pStyle w:val="129"/>
              <w:widowControl w:val="0"/>
              <w:jc w:val="both"/>
              <w:rPr>
                <w:color w:val="auto"/>
              </w:rPr>
            </w:pPr>
            <w:r>
              <w:rPr>
                <w:color w:val="auto"/>
              </w:rPr>
              <w:t>敏感程度</w:t>
            </w:r>
          </w:p>
        </w:tc>
        <w:tc>
          <w:tcPr>
            <w:tcW w:w="1278" w:type="pct"/>
            <w:gridSpan w:val="3"/>
            <w:vAlign w:val="center"/>
          </w:tcPr>
          <w:p w14:paraId="565E2F76">
            <w:pPr>
              <w:pStyle w:val="129"/>
              <w:widowControl w:val="0"/>
              <w:rPr>
                <w:color w:val="auto"/>
                <w:lang w:eastAsia="en-US"/>
              </w:rPr>
            </w:pPr>
            <w:r>
              <w:rPr>
                <w:color w:val="auto"/>
                <w:lang w:eastAsia="en-US"/>
              </w:rPr>
              <w:t>Ⅰ类</w:t>
            </w:r>
          </w:p>
        </w:tc>
        <w:tc>
          <w:tcPr>
            <w:tcW w:w="1343" w:type="pct"/>
            <w:gridSpan w:val="3"/>
            <w:vAlign w:val="center"/>
          </w:tcPr>
          <w:p w14:paraId="764FB481">
            <w:pPr>
              <w:pStyle w:val="129"/>
              <w:widowControl w:val="0"/>
              <w:rPr>
                <w:color w:val="auto"/>
                <w:lang w:eastAsia="en-US"/>
              </w:rPr>
            </w:pPr>
            <w:r>
              <w:rPr>
                <w:color w:val="auto"/>
                <w:lang w:eastAsia="en-US"/>
              </w:rPr>
              <w:t>Ⅱ类</w:t>
            </w:r>
          </w:p>
        </w:tc>
        <w:tc>
          <w:tcPr>
            <w:tcW w:w="1095" w:type="pct"/>
            <w:gridSpan w:val="3"/>
            <w:vAlign w:val="center"/>
          </w:tcPr>
          <w:p w14:paraId="6ACCB59E">
            <w:pPr>
              <w:pStyle w:val="129"/>
              <w:widowControl w:val="0"/>
              <w:rPr>
                <w:color w:val="auto"/>
                <w:lang w:eastAsia="en-US"/>
              </w:rPr>
            </w:pPr>
            <w:r>
              <w:rPr>
                <w:color w:val="auto"/>
                <w:lang w:eastAsia="en-US"/>
              </w:rPr>
              <w:t>Ⅲ类</w:t>
            </w:r>
          </w:p>
        </w:tc>
      </w:tr>
      <w:tr w14:paraId="17FF589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1284" w:type="pct"/>
            <w:vMerge w:val="continue"/>
            <w:vAlign w:val="center"/>
          </w:tcPr>
          <w:p w14:paraId="6D3E4132">
            <w:pPr>
              <w:pStyle w:val="129"/>
              <w:widowControl w:val="0"/>
              <w:rPr>
                <w:color w:val="auto"/>
                <w:lang w:eastAsia="en-US"/>
              </w:rPr>
            </w:pPr>
          </w:p>
        </w:tc>
        <w:tc>
          <w:tcPr>
            <w:tcW w:w="455" w:type="pct"/>
            <w:vAlign w:val="center"/>
          </w:tcPr>
          <w:p w14:paraId="0858015F">
            <w:pPr>
              <w:pStyle w:val="129"/>
              <w:widowControl w:val="0"/>
              <w:rPr>
                <w:color w:val="auto"/>
                <w:lang w:eastAsia="en-US"/>
              </w:rPr>
            </w:pPr>
            <w:r>
              <w:rPr>
                <w:color w:val="auto"/>
                <w:lang w:eastAsia="en-US"/>
              </w:rPr>
              <w:t>大</w:t>
            </w:r>
          </w:p>
        </w:tc>
        <w:tc>
          <w:tcPr>
            <w:tcW w:w="411" w:type="pct"/>
            <w:vAlign w:val="center"/>
          </w:tcPr>
          <w:p w14:paraId="333943B3">
            <w:pPr>
              <w:pStyle w:val="129"/>
              <w:widowControl w:val="0"/>
              <w:rPr>
                <w:color w:val="auto"/>
                <w:lang w:eastAsia="en-US"/>
              </w:rPr>
            </w:pPr>
            <w:r>
              <w:rPr>
                <w:color w:val="auto"/>
                <w:lang w:eastAsia="en-US"/>
              </w:rPr>
              <w:t>中</w:t>
            </w:r>
          </w:p>
        </w:tc>
        <w:tc>
          <w:tcPr>
            <w:tcW w:w="412" w:type="pct"/>
            <w:vAlign w:val="center"/>
          </w:tcPr>
          <w:p w14:paraId="36E6E79F">
            <w:pPr>
              <w:pStyle w:val="129"/>
              <w:widowControl w:val="0"/>
              <w:rPr>
                <w:color w:val="auto"/>
                <w:lang w:eastAsia="en-US"/>
              </w:rPr>
            </w:pPr>
            <w:r>
              <w:rPr>
                <w:color w:val="auto"/>
                <w:lang w:eastAsia="en-US"/>
              </w:rPr>
              <w:t>小</w:t>
            </w:r>
          </w:p>
        </w:tc>
        <w:tc>
          <w:tcPr>
            <w:tcW w:w="471" w:type="pct"/>
            <w:vAlign w:val="center"/>
          </w:tcPr>
          <w:p w14:paraId="53507E13">
            <w:pPr>
              <w:pStyle w:val="129"/>
              <w:widowControl w:val="0"/>
              <w:rPr>
                <w:color w:val="auto"/>
                <w:lang w:eastAsia="en-US"/>
              </w:rPr>
            </w:pPr>
            <w:r>
              <w:rPr>
                <w:color w:val="auto"/>
                <w:lang w:eastAsia="en-US"/>
              </w:rPr>
              <w:t>大</w:t>
            </w:r>
          </w:p>
        </w:tc>
        <w:tc>
          <w:tcPr>
            <w:tcW w:w="453" w:type="pct"/>
            <w:vAlign w:val="center"/>
          </w:tcPr>
          <w:p w14:paraId="52018B66">
            <w:pPr>
              <w:pStyle w:val="129"/>
              <w:widowControl w:val="0"/>
              <w:rPr>
                <w:color w:val="auto"/>
                <w:lang w:eastAsia="en-US"/>
              </w:rPr>
            </w:pPr>
            <w:r>
              <w:rPr>
                <w:color w:val="auto"/>
                <w:lang w:eastAsia="en-US"/>
              </w:rPr>
              <w:t>中</w:t>
            </w:r>
          </w:p>
        </w:tc>
        <w:tc>
          <w:tcPr>
            <w:tcW w:w="419" w:type="pct"/>
            <w:vAlign w:val="center"/>
          </w:tcPr>
          <w:p w14:paraId="204DA27F">
            <w:pPr>
              <w:pStyle w:val="129"/>
              <w:widowControl w:val="0"/>
              <w:rPr>
                <w:color w:val="auto"/>
                <w:lang w:eastAsia="en-US"/>
              </w:rPr>
            </w:pPr>
            <w:r>
              <w:rPr>
                <w:color w:val="auto"/>
                <w:lang w:eastAsia="en-US"/>
              </w:rPr>
              <w:t>小</w:t>
            </w:r>
          </w:p>
        </w:tc>
        <w:tc>
          <w:tcPr>
            <w:tcW w:w="403" w:type="pct"/>
            <w:vAlign w:val="center"/>
          </w:tcPr>
          <w:p w14:paraId="5D5F9ED4">
            <w:pPr>
              <w:pStyle w:val="129"/>
              <w:widowControl w:val="0"/>
              <w:rPr>
                <w:color w:val="auto"/>
                <w:lang w:eastAsia="en-US"/>
              </w:rPr>
            </w:pPr>
            <w:r>
              <w:rPr>
                <w:color w:val="auto"/>
                <w:lang w:eastAsia="en-US"/>
              </w:rPr>
              <w:t>大</w:t>
            </w:r>
          </w:p>
        </w:tc>
        <w:tc>
          <w:tcPr>
            <w:tcW w:w="379" w:type="pct"/>
            <w:vAlign w:val="center"/>
          </w:tcPr>
          <w:p w14:paraId="385D09CD">
            <w:pPr>
              <w:pStyle w:val="129"/>
              <w:widowControl w:val="0"/>
              <w:rPr>
                <w:color w:val="auto"/>
                <w:lang w:eastAsia="en-US"/>
              </w:rPr>
            </w:pPr>
            <w:r>
              <w:rPr>
                <w:color w:val="auto"/>
                <w:lang w:eastAsia="en-US"/>
              </w:rPr>
              <w:t>中</w:t>
            </w:r>
          </w:p>
        </w:tc>
        <w:tc>
          <w:tcPr>
            <w:tcW w:w="313" w:type="pct"/>
            <w:vAlign w:val="center"/>
          </w:tcPr>
          <w:p w14:paraId="644DCEB1">
            <w:pPr>
              <w:pStyle w:val="129"/>
              <w:widowControl w:val="0"/>
              <w:rPr>
                <w:color w:val="auto"/>
                <w:lang w:eastAsia="en-US"/>
              </w:rPr>
            </w:pPr>
            <w:r>
              <w:rPr>
                <w:color w:val="auto"/>
                <w:lang w:eastAsia="en-US"/>
              </w:rPr>
              <w:t>小</w:t>
            </w:r>
          </w:p>
        </w:tc>
      </w:tr>
      <w:tr w14:paraId="4B3DF0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1284" w:type="pct"/>
            <w:vAlign w:val="center"/>
          </w:tcPr>
          <w:p w14:paraId="39F71943">
            <w:pPr>
              <w:pStyle w:val="129"/>
              <w:widowControl w:val="0"/>
              <w:rPr>
                <w:color w:val="auto"/>
                <w:lang w:eastAsia="en-US"/>
              </w:rPr>
            </w:pPr>
            <w:r>
              <w:rPr>
                <w:color w:val="auto"/>
                <w:lang w:eastAsia="en-US"/>
              </w:rPr>
              <w:t>敏</w:t>
            </w:r>
            <w:r>
              <w:rPr>
                <w:rFonts w:hint="eastAsia"/>
                <w:color w:val="auto"/>
              </w:rPr>
              <w:t xml:space="preserve">  </w:t>
            </w:r>
            <w:r>
              <w:rPr>
                <w:color w:val="auto"/>
                <w:lang w:eastAsia="en-US"/>
              </w:rPr>
              <w:t>感</w:t>
            </w:r>
          </w:p>
        </w:tc>
        <w:tc>
          <w:tcPr>
            <w:tcW w:w="455" w:type="pct"/>
            <w:vAlign w:val="center"/>
          </w:tcPr>
          <w:p w14:paraId="5790E8D8">
            <w:pPr>
              <w:pStyle w:val="129"/>
              <w:widowControl w:val="0"/>
              <w:rPr>
                <w:color w:val="auto"/>
                <w:lang w:eastAsia="en-US"/>
              </w:rPr>
            </w:pPr>
            <w:r>
              <w:rPr>
                <w:color w:val="auto"/>
                <w:lang w:eastAsia="en-US"/>
              </w:rPr>
              <w:t>一级</w:t>
            </w:r>
          </w:p>
        </w:tc>
        <w:tc>
          <w:tcPr>
            <w:tcW w:w="411" w:type="pct"/>
            <w:vAlign w:val="center"/>
          </w:tcPr>
          <w:p w14:paraId="6D418793">
            <w:pPr>
              <w:pStyle w:val="129"/>
              <w:widowControl w:val="0"/>
              <w:rPr>
                <w:color w:val="auto"/>
                <w:lang w:eastAsia="en-US"/>
              </w:rPr>
            </w:pPr>
            <w:r>
              <w:rPr>
                <w:color w:val="auto"/>
                <w:lang w:eastAsia="en-US"/>
              </w:rPr>
              <w:t>一级</w:t>
            </w:r>
          </w:p>
        </w:tc>
        <w:tc>
          <w:tcPr>
            <w:tcW w:w="412" w:type="pct"/>
            <w:vAlign w:val="center"/>
          </w:tcPr>
          <w:p w14:paraId="05FAFBD5">
            <w:pPr>
              <w:pStyle w:val="129"/>
              <w:widowControl w:val="0"/>
              <w:rPr>
                <w:color w:val="auto"/>
                <w:lang w:eastAsia="en-US"/>
              </w:rPr>
            </w:pPr>
            <w:r>
              <w:rPr>
                <w:color w:val="auto"/>
                <w:lang w:eastAsia="en-US"/>
              </w:rPr>
              <w:t>一级</w:t>
            </w:r>
          </w:p>
        </w:tc>
        <w:tc>
          <w:tcPr>
            <w:tcW w:w="471" w:type="pct"/>
            <w:vAlign w:val="center"/>
          </w:tcPr>
          <w:p w14:paraId="089BBD60">
            <w:pPr>
              <w:pStyle w:val="129"/>
              <w:widowControl w:val="0"/>
              <w:rPr>
                <w:color w:val="auto"/>
                <w:lang w:eastAsia="en-US"/>
              </w:rPr>
            </w:pPr>
            <w:r>
              <w:rPr>
                <w:color w:val="auto"/>
                <w:lang w:eastAsia="en-US"/>
              </w:rPr>
              <w:t>二级</w:t>
            </w:r>
          </w:p>
        </w:tc>
        <w:tc>
          <w:tcPr>
            <w:tcW w:w="453" w:type="pct"/>
            <w:vAlign w:val="center"/>
          </w:tcPr>
          <w:p w14:paraId="59BCB8AE">
            <w:pPr>
              <w:pStyle w:val="129"/>
              <w:widowControl w:val="0"/>
              <w:rPr>
                <w:color w:val="auto"/>
                <w:lang w:eastAsia="en-US"/>
              </w:rPr>
            </w:pPr>
            <w:r>
              <w:rPr>
                <w:color w:val="auto"/>
                <w:lang w:eastAsia="en-US"/>
              </w:rPr>
              <w:t>二级</w:t>
            </w:r>
          </w:p>
        </w:tc>
        <w:tc>
          <w:tcPr>
            <w:tcW w:w="419" w:type="pct"/>
            <w:vAlign w:val="center"/>
          </w:tcPr>
          <w:p w14:paraId="3805DCE1">
            <w:pPr>
              <w:pStyle w:val="129"/>
              <w:widowControl w:val="0"/>
              <w:rPr>
                <w:color w:val="auto"/>
                <w:lang w:eastAsia="en-US"/>
              </w:rPr>
            </w:pPr>
            <w:r>
              <w:rPr>
                <w:color w:val="auto"/>
                <w:lang w:eastAsia="en-US"/>
              </w:rPr>
              <w:t>二级</w:t>
            </w:r>
          </w:p>
        </w:tc>
        <w:tc>
          <w:tcPr>
            <w:tcW w:w="403" w:type="pct"/>
            <w:vAlign w:val="center"/>
          </w:tcPr>
          <w:p w14:paraId="53F76C45">
            <w:pPr>
              <w:pStyle w:val="129"/>
              <w:widowControl w:val="0"/>
              <w:rPr>
                <w:color w:val="auto"/>
                <w:lang w:eastAsia="en-US"/>
              </w:rPr>
            </w:pPr>
            <w:r>
              <w:rPr>
                <w:color w:val="auto"/>
                <w:lang w:eastAsia="en-US"/>
              </w:rPr>
              <w:t>三级</w:t>
            </w:r>
          </w:p>
        </w:tc>
        <w:tc>
          <w:tcPr>
            <w:tcW w:w="379" w:type="pct"/>
            <w:vAlign w:val="center"/>
          </w:tcPr>
          <w:p w14:paraId="56016650">
            <w:pPr>
              <w:pStyle w:val="129"/>
              <w:widowControl w:val="0"/>
              <w:rPr>
                <w:color w:val="auto"/>
                <w:lang w:eastAsia="en-US"/>
              </w:rPr>
            </w:pPr>
            <w:r>
              <w:rPr>
                <w:color w:val="auto"/>
                <w:lang w:eastAsia="en-US"/>
              </w:rPr>
              <w:t>三级</w:t>
            </w:r>
          </w:p>
        </w:tc>
        <w:tc>
          <w:tcPr>
            <w:tcW w:w="313" w:type="pct"/>
            <w:vAlign w:val="center"/>
          </w:tcPr>
          <w:p w14:paraId="0EBEDD56">
            <w:pPr>
              <w:pStyle w:val="129"/>
              <w:widowControl w:val="0"/>
              <w:rPr>
                <w:color w:val="auto"/>
                <w:lang w:eastAsia="en-US"/>
              </w:rPr>
            </w:pPr>
            <w:r>
              <w:rPr>
                <w:color w:val="auto"/>
                <w:lang w:eastAsia="en-US"/>
              </w:rPr>
              <w:t>三级</w:t>
            </w:r>
          </w:p>
        </w:tc>
      </w:tr>
      <w:tr w14:paraId="08B4F47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1284" w:type="pct"/>
            <w:vAlign w:val="center"/>
          </w:tcPr>
          <w:p w14:paraId="22460A4A">
            <w:pPr>
              <w:pStyle w:val="129"/>
              <w:widowControl w:val="0"/>
              <w:rPr>
                <w:color w:val="auto"/>
                <w:lang w:eastAsia="en-US"/>
              </w:rPr>
            </w:pPr>
            <w:r>
              <w:rPr>
                <w:color w:val="auto"/>
                <w:lang w:eastAsia="en-US"/>
              </w:rPr>
              <w:t>较敏感</w:t>
            </w:r>
          </w:p>
        </w:tc>
        <w:tc>
          <w:tcPr>
            <w:tcW w:w="455" w:type="pct"/>
            <w:vAlign w:val="center"/>
          </w:tcPr>
          <w:p w14:paraId="740587A1">
            <w:pPr>
              <w:pStyle w:val="129"/>
              <w:widowControl w:val="0"/>
              <w:rPr>
                <w:color w:val="auto"/>
                <w:lang w:eastAsia="en-US"/>
              </w:rPr>
            </w:pPr>
            <w:r>
              <w:rPr>
                <w:color w:val="auto"/>
                <w:lang w:eastAsia="en-US"/>
              </w:rPr>
              <w:t>一级</w:t>
            </w:r>
          </w:p>
        </w:tc>
        <w:tc>
          <w:tcPr>
            <w:tcW w:w="411" w:type="pct"/>
            <w:vAlign w:val="center"/>
          </w:tcPr>
          <w:p w14:paraId="13312806">
            <w:pPr>
              <w:pStyle w:val="129"/>
              <w:widowControl w:val="0"/>
              <w:rPr>
                <w:color w:val="auto"/>
                <w:lang w:eastAsia="en-US"/>
              </w:rPr>
            </w:pPr>
            <w:r>
              <w:rPr>
                <w:color w:val="auto"/>
                <w:lang w:eastAsia="en-US"/>
              </w:rPr>
              <w:t>一级</w:t>
            </w:r>
          </w:p>
        </w:tc>
        <w:tc>
          <w:tcPr>
            <w:tcW w:w="412" w:type="pct"/>
            <w:vAlign w:val="center"/>
          </w:tcPr>
          <w:p w14:paraId="5FD91D75">
            <w:pPr>
              <w:pStyle w:val="129"/>
              <w:widowControl w:val="0"/>
              <w:rPr>
                <w:color w:val="auto"/>
                <w:lang w:eastAsia="en-US"/>
              </w:rPr>
            </w:pPr>
            <w:r>
              <w:rPr>
                <w:color w:val="auto"/>
                <w:lang w:eastAsia="en-US"/>
              </w:rPr>
              <w:t>二级</w:t>
            </w:r>
          </w:p>
        </w:tc>
        <w:tc>
          <w:tcPr>
            <w:tcW w:w="471" w:type="pct"/>
            <w:vAlign w:val="center"/>
          </w:tcPr>
          <w:p w14:paraId="274C02F2">
            <w:pPr>
              <w:pStyle w:val="129"/>
              <w:widowControl w:val="0"/>
              <w:rPr>
                <w:color w:val="auto"/>
                <w:lang w:eastAsia="en-US"/>
              </w:rPr>
            </w:pPr>
            <w:r>
              <w:rPr>
                <w:color w:val="auto"/>
                <w:lang w:eastAsia="en-US"/>
              </w:rPr>
              <w:t>二级</w:t>
            </w:r>
          </w:p>
        </w:tc>
        <w:tc>
          <w:tcPr>
            <w:tcW w:w="453" w:type="pct"/>
            <w:vAlign w:val="center"/>
          </w:tcPr>
          <w:p w14:paraId="2A19D7E8">
            <w:pPr>
              <w:pStyle w:val="129"/>
              <w:widowControl w:val="0"/>
              <w:rPr>
                <w:color w:val="auto"/>
                <w:lang w:eastAsia="en-US"/>
              </w:rPr>
            </w:pPr>
            <w:r>
              <w:rPr>
                <w:color w:val="auto"/>
                <w:lang w:eastAsia="en-US"/>
              </w:rPr>
              <w:t>二级</w:t>
            </w:r>
          </w:p>
        </w:tc>
        <w:tc>
          <w:tcPr>
            <w:tcW w:w="419" w:type="pct"/>
            <w:vAlign w:val="center"/>
          </w:tcPr>
          <w:p w14:paraId="3C7C9887">
            <w:pPr>
              <w:pStyle w:val="129"/>
              <w:widowControl w:val="0"/>
              <w:rPr>
                <w:color w:val="auto"/>
                <w:lang w:eastAsia="en-US"/>
              </w:rPr>
            </w:pPr>
            <w:r>
              <w:rPr>
                <w:color w:val="auto"/>
                <w:lang w:eastAsia="en-US"/>
              </w:rPr>
              <w:t>三级</w:t>
            </w:r>
          </w:p>
        </w:tc>
        <w:tc>
          <w:tcPr>
            <w:tcW w:w="403" w:type="pct"/>
            <w:vAlign w:val="center"/>
          </w:tcPr>
          <w:p w14:paraId="12F44432">
            <w:pPr>
              <w:pStyle w:val="129"/>
              <w:widowControl w:val="0"/>
              <w:rPr>
                <w:color w:val="auto"/>
                <w:lang w:eastAsia="en-US"/>
              </w:rPr>
            </w:pPr>
            <w:r>
              <w:rPr>
                <w:color w:val="auto"/>
                <w:lang w:eastAsia="en-US"/>
              </w:rPr>
              <w:t>三级</w:t>
            </w:r>
          </w:p>
        </w:tc>
        <w:tc>
          <w:tcPr>
            <w:tcW w:w="379" w:type="pct"/>
            <w:vAlign w:val="center"/>
          </w:tcPr>
          <w:p w14:paraId="3FE8DAC7">
            <w:pPr>
              <w:pStyle w:val="129"/>
              <w:widowControl w:val="0"/>
              <w:rPr>
                <w:color w:val="auto"/>
                <w:lang w:eastAsia="en-US"/>
              </w:rPr>
            </w:pPr>
            <w:r>
              <w:rPr>
                <w:color w:val="auto"/>
                <w:lang w:eastAsia="en-US"/>
              </w:rPr>
              <w:t>三级</w:t>
            </w:r>
          </w:p>
        </w:tc>
        <w:tc>
          <w:tcPr>
            <w:tcW w:w="313" w:type="pct"/>
            <w:vAlign w:val="center"/>
          </w:tcPr>
          <w:p w14:paraId="631DC900">
            <w:pPr>
              <w:pStyle w:val="129"/>
              <w:widowControl w:val="0"/>
              <w:rPr>
                <w:color w:val="auto"/>
                <w:lang w:eastAsia="en-US"/>
              </w:rPr>
            </w:pPr>
            <w:r>
              <w:rPr>
                <w:color w:val="auto"/>
                <w:lang w:eastAsia="en-US"/>
              </w:rPr>
              <w:t>-</w:t>
            </w:r>
          </w:p>
        </w:tc>
      </w:tr>
      <w:tr w14:paraId="088A26C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1284" w:type="pct"/>
            <w:vAlign w:val="center"/>
          </w:tcPr>
          <w:p w14:paraId="21146A68">
            <w:pPr>
              <w:pStyle w:val="129"/>
              <w:widowControl w:val="0"/>
              <w:rPr>
                <w:color w:val="auto"/>
                <w:lang w:eastAsia="en-US"/>
              </w:rPr>
            </w:pPr>
            <w:r>
              <w:rPr>
                <w:color w:val="auto"/>
                <w:lang w:eastAsia="en-US"/>
              </w:rPr>
              <w:t>不敏感</w:t>
            </w:r>
          </w:p>
        </w:tc>
        <w:tc>
          <w:tcPr>
            <w:tcW w:w="455" w:type="pct"/>
            <w:vAlign w:val="center"/>
          </w:tcPr>
          <w:p w14:paraId="2742C916">
            <w:pPr>
              <w:pStyle w:val="129"/>
              <w:widowControl w:val="0"/>
              <w:rPr>
                <w:color w:val="auto"/>
                <w:lang w:eastAsia="en-US"/>
              </w:rPr>
            </w:pPr>
            <w:r>
              <w:rPr>
                <w:color w:val="auto"/>
                <w:lang w:eastAsia="en-US"/>
              </w:rPr>
              <w:t>一级</w:t>
            </w:r>
          </w:p>
        </w:tc>
        <w:tc>
          <w:tcPr>
            <w:tcW w:w="411" w:type="pct"/>
            <w:vAlign w:val="center"/>
          </w:tcPr>
          <w:p w14:paraId="48291866">
            <w:pPr>
              <w:pStyle w:val="129"/>
              <w:widowControl w:val="0"/>
              <w:rPr>
                <w:color w:val="auto"/>
                <w:lang w:eastAsia="en-US"/>
              </w:rPr>
            </w:pPr>
            <w:r>
              <w:rPr>
                <w:color w:val="auto"/>
                <w:lang w:eastAsia="en-US"/>
              </w:rPr>
              <w:t>二级</w:t>
            </w:r>
          </w:p>
        </w:tc>
        <w:tc>
          <w:tcPr>
            <w:tcW w:w="412" w:type="pct"/>
            <w:shd w:val="clear" w:color="auto" w:fill="DDD9C4" w:themeFill="background2" w:themeFillShade="E6"/>
            <w:vAlign w:val="center"/>
          </w:tcPr>
          <w:p w14:paraId="6B99DEDD">
            <w:pPr>
              <w:pStyle w:val="129"/>
              <w:widowControl w:val="0"/>
              <w:rPr>
                <w:color w:val="auto"/>
                <w:lang w:eastAsia="en-US"/>
              </w:rPr>
            </w:pPr>
            <w:r>
              <w:rPr>
                <w:color w:val="auto"/>
                <w:lang w:eastAsia="en-US"/>
              </w:rPr>
              <w:t>二级</w:t>
            </w:r>
          </w:p>
        </w:tc>
        <w:tc>
          <w:tcPr>
            <w:tcW w:w="471" w:type="pct"/>
            <w:vAlign w:val="center"/>
          </w:tcPr>
          <w:p w14:paraId="0907AE03">
            <w:pPr>
              <w:pStyle w:val="129"/>
              <w:widowControl w:val="0"/>
              <w:rPr>
                <w:color w:val="auto"/>
                <w:lang w:eastAsia="en-US"/>
              </w:rPr>
            </w:pPr>
            <w:r>
              <w:rPr>
                <w:color w:val="auto"/>
                <w:lang w:eastAsia="en-US"/>
              </w:rPr>
              <w:t>二级</w:t>
            </w:r>
          </w:p>
        </w:tc>
        <w:tc>
          <w:tcPr>
            <w:tcW w:w="453" w:type="pct"/>
            <w:vAlign w:val="center"/>
          </w:tcPr>
          <w:p w14:paraId="06AB67F5">
            <w:pPr>
              <w:pStyle w:val="129"/>
              <w:widowControl w:val="0"/>
              <w:rPr>
                <w:color w:val="auto"/>
                <w:lang w:eastAsia="en-US"/>
              </w:rPr>
            </w:pPr>
            <w:r>
              <w:rPr>
                <w:color w:val="auto"/>
                <w:lang w:eastAsia="en-US"/>
              </w:rPr>
              <w:t>三级</w:t>
            </w:r>
          </w:p>
        </w:tc>
        <w:tc>
          <w:tcPr>
            <w:tcW w:w="419" w:type="pct"/>
            <w:vAlign w:val="center"/>
          </w:tcPr>
          <w:p w14:paraId="78BFE4B0">
            <w:pPr>
              <w:pStyle w:val="129"/>
              <w:widowControl w:val="0"/>
              <w:rPr>
                <w:color w:val="auto"/>
                <w:lang w:eastAsia="en-US"/>
              </w:rPr>
            </w:pPr>
            <w:r>
              <w:rPr>
                <w:color w:val="auto"/>
                <w:lang w:eastAsia="en-US"/>
              </w:rPr>
              <w:t>三级</w:t>
            </w:r>
          </w:p>
        </w:tc>
        <w:tc>
          <w:tcPr>
            <w:tcW w:w="403" w:type="pct"/>
            <w:vAlign w:val="center"/>
          </w:tcPr>
          <w:p w14:paraId="74B52719">
            <w:pPr>
              <w:pStyle w:val="129"/>
              <w:widowControl w:val="0"/>
              <w:rPr>
                <w:color w:val="auto"/>
                <w:lang w:eastAsia="en-US"/>
              </w:rPr>
            </w:pPr>
            <w:r>
              <w:rPr>
                <w:color w:val="auto"/>
                <w:lang w:eastAsia="en-US"/>
              </w:rPr>
              <w:t>三级</w:t>
            </w:r>
          </w:p>
        </w:tc>
        <w:tc>
          <w:tcPr>
            <w:tcW w:w="379" w:type="pct"/>
            <w:vAlign w:val="center"/>
          </w:tcPr>
          <w:p w14:paraId="64A9F153">
            <w:pPr>
              <w:pStyle w:val="129"/>
              <w:widowControl w:val="0"/>
              <w:rPr>
                <w:color w:val="auto"/>
                <w:lang w:eastAsia="en-US"/>
              </w:rPr>
            </w:pPr>
            <w:r>
              <w:rPr>
                <w:color w:val="auto"/>
                <w:lang w:eastAsia="en-US"/>
              </w:rPr>
              <w:t>-</w:t>
            </w:r>
          </w:p>
        </w:tc>
        <w:tc>
          <w:tcPr>
            <w:tcW w:w="313" w:type="pct"/>
            <w:vAlign w:val="center"/>
          </w:tcPr>
          <w:p w14:paraId="669BF81C">
            <w:pPr>
              <w:pStyle w:val="129"/>
              <w:widowControl w:val="0"/>
              <w:rPr>
                <w:color w:val="auto"/>
                <w:lang w:eastAsia="en-US"/>
              </w:rPr>
            </w:pPr>
            <w:r>
              <w:rPr>
                <w:color w:val="auto"/>
                <w:lang w:eastAsia="en-US"/>
              </w:rPr>
              <w:t>-</w:t>
            </w:r>
          </w:p>
        </w:tc>
      </w:tr>
      <w:tr w14:paraId="644B582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5000" w:type="pct"/>
            <w:gridSpan w:val="10"/>
            <w:vAlign w:val="center"/>
          </w:tcPr>
          <w:p w14:paraId="36FEB3FA">
            <w:pPr>
              <w:pStyle w:val="129"/>
              <w:widowControl w:val="0"/>
              <w:rPr>
                <w:color w:val="auto"/>
              </w:rPr>
            </w:pPr>
            <w:r>
              <w:rPr>
                <w:color w:val="auto"/>
              </w:rPr>
              <w:t>注：“</w:t>
            </w:r>
            <w:r>
              <w:rPr>
                <w:color w:val="auto"/>
                <w:spacing w:val="-2"/>
              </w:rPr>
              <w:t>-</w:t>
            </w:r>
            <w:r>
              <w:rPr>
                <w:color w:val="auto"/>
              </w:rPr>
              <w:t>”表示可不开展土壤环境影响评价工作</w:t>
            </w:r>
          </w:p>
        </w:tc>
      </w:tr>
    </w:tbl>
    <w:p w14:paraId="3982DF29">
      <w:pPr>
        <w:pStyle w:val="1704"/>
        <w:rPr>
          <w:rFonts w:ascii="Times New Roman" w:hAnsi="Times New Roman"/>
          <w:color w:val="auto"/>
        </w:rPr>
      </w:pPr>
    </w:p>
    <w:p w14:paraId="6CB80ACC">
      <w:pPr>
        <w:pStyle w:val="132"/>
        <w:rPr>
          <w:color w:val="auto"/>
        </w:rPr>
      </w:pPr>
      <w:bookmarkStart w:id="119" w:name="_Hlk197808141"/>
      <w:r>
        <w:rPr>
          <w:color w:val="auto"/>
        </w:rPr>
        <w:t>本项目</w:t>
      </w:r>
      <w:r>
        <w:rPr>
          <w:rFonts w:hint="eastAsia"/>
          <w:color w:val="auto"/>
        </w:rPr>
        <w:t>厂外工程不需要开展土壤环境影响评价，厂内工程</w:t>
      </w:r>
      <w:r>
        <w:rPr>
          <w:color w:val="auto"/>
        </w:rPr>
        <w:t>为污染影响型，由表</w:t>
      </w:r>
      <w:r>
        <w:rPr>
          <w:rFonts w:hint="eastAsia"/>
          <w:color w:val="auto"/>
        </w:rPr>
        <w:t>2.4-13</w:t>
      </w:r>
      <w:r>
        <w:rPr>
          <w:color w:val="auto"/>
        </w:rPr>
        <w:t>判定，本项目区土壤环境影响评价工作等级为</w:t>
      </w:r>
      <w:r>
        <w:rPr>
          <w:rFonts w:hint="eastAsia"/>
          <w:color w:val="auto"/>
        </w:rPr>
        <w:t>二</w:t>
      </w:r>
      <w:r>
        <w:rPr>
          <w:color w:val="auto"/>
        </w:rPr>
        <w:t>级。</w:t>
      </w:r>
    </w:p>
    <w:bookmarkEnd w:id="119"/>
    <w:p w14:paraId="6B832B51">
      <w:pPr>
        <w:pStyle w:val="5"/>
        <w:rPr>
          <w:color w:val="auto"/>
        </w:rPr>
      </w:pPr>
      <w:r>
        <w:rPr>
          <w:color w:val="auto"/>
        </w:rPr>
        <w:t>评价范围</w:t>
      </w:r>
    </w:p>
    <w:p w14:paraId="2221C255">
      <w:pPr>
        <w:spacing w:line="360" w:lineRule="auto"/>
        <w:ind w:firstLine="480" w:firstLineChars="200"/>
        <w:jc w:val="both"/>
        <w:rPr>
          <w:rStyle w:val="133"/>
          <w:color w:val="auto"/>
        </w:rPr>
      </w:pPr>
      <w:r>
        <w:rPr>
          <w:rStyle w:val="133"/>
          <w:color w:val="auto"/>
        </w:rPr>
        <w:t>本项目土壤环境调查评价范围为项目</w:t>
      </w:r>
      <w:r>
        <w:rPr>
          <w:rStyle w:val="133"/>
          <w:rFonts w:hint="eastAsia"/>
          <w:color w:val="auto"/>
        </w:rPr>
        <w:t>厂区</w:t>
      </w:r>
      <w:r>
        <w:rPr>
          <w:rStyle w:val="133"/>
          <w:color w:val="auto"/>
        </w:rPr>
        <w:t>占地范围内及占地范围外</w:t>
      </w:r>
      <w:r>
        <w:rPr>
          <w:rStyle w:val="133"/>
          <w:rFonts w:hint="eastAsia"/>
          <w:color w:val="auto"/>
        </w:rPr>
        <w:t>200</w:t>
      </w:r>
      <w:r>
        <w:rPr>
          <w:rStyle w:val="133"/>
          <w:color w:val="auto"/>
        </w:rPr>
        <w:t>m范围内。</w:t>
      </w:r>
    </w:p>
    <w:p w14:paraId="0428ECC2">
      <w:pPr>
        <w:pStyle w:val="4"/>
        <w:rPr>
          <w:color w:val="auto"/>
        </w:rPr>
      </w:pPr>
      <w:r>
        <w:rPr>
          <w:color w:val="auto"/>
        </w:rPr>
        <w:t>评价等级及评价范围汇总表</w:t>
      </w:r>
    </w:p>
    <w:p w14:paraId="310F7298">
      <w:pPr>
        <w:pStyle w:val="132"/>
        <w:ind w:right="420"/>
        <w:rPr>
          <w:color w:val="auto"/>
        </w:rPr>
      </w:pPr>
      <w:r>
        <w:rPr>
          <w:color w:val="auto"/>
        </w:rPr>
        <w:t>本项目环境影响评价等级及评价范围汇总见表</w:t>
      </w:r>
      <w:r>
        <w:rPr>
          <w:rFonts w:hint="eastAsia"/>
          <w:color w:val="auto"/>
        </w:rPr>
        <w:t>2.4-14</w:t>
      </w:r>
      <w:r>
        <w:rPr>
          <w:color w:val="auto"/>
        </w:rPr>
        <w:t>，评价范围图见图</w:t>
      </w:r>
      <w:r>
        <w:rPr>
          <w:rFonts w:hint="eastAsia"/>
          <w:color w:val="auto"/>
        </w:rPr>
        <w:t>2.4</w:t>
      </w:r>
      <w:r>
        <w:rPr>
          <w:color w:val="auto"/>
        </w:rPr>
        <w:t>-1。</w:t>
      </w:r>
    </w:p>
    <w:p w14:paraId="38ABF9D3">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14</w:t>
      </w:r>
      <w:r>
        <w:rPr>
          <w:color w:val="auto"/>
        </w:rPr>
        <w:fldChar w:fldCharType="end"/>
      </w:r>
      <w:r>
        <w:rPr>
          <w:color w:val="auto"/>
        </w:rPr>
        <w:t xml:space="preserve">   </w:t>
      </w:r>
      <w:r>
        <w:rPr>
          <w:rFonts w:hint="eastAsia"/>
          <w:color w:val="auto"/>
        </w:rPr>
        <w:t>本</w:t>
      </w:r>
      <w:r>
        <w:rPr>
          <w:color w:val="auto"/>
        </w:rPr>
        <w:t>项目评价等级及评价范围</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50"/>
        <w:gridCol w:w="1202"/>
        <w:gridCol w:w="1195"/>
        <w:gridCol w:w="5639"/>
      </w:tblGrid>
      <w:tr w14:paraId="7413196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Align w:val="center"/>
          </w:tcPr>
          <w:p w14:paraId="389BEDDE">
            <w:pPr>
              <w:pStyle w:val="129"/>
              <w:widowControl w:val="0"/>
              <w:rPr>
                <w:color w:val="auto"/>
              </w:rPr>
            </w:pPr>
            <w:r>
              <w:rPr>
                <w:color w:val="auto"/>
              </w:rPr>
              <w:t>序号</w:t>
            </w:r>
          </w:p>
        </w:tc>
        <w:tc>
          <w:tcPr>
            <w:tcW w:w="684" w:type="pct"/>
            <w:vAlign w:val="center"/>
          </w:tcPr>
          <w:p w14:paraId="51012BCC">
            <w:pPr>
              <w:pStyle w:val="129"/>
              <w:widowControl w:val="0"/>
              <w:rPr>
                <w:color w:val="auto"/>
              </w:rPr>
            </w:pPr>
            <w:r>
              <w:rPr>
                <w:color w:val="auto"/>
              </w:rPr>
              <w:t>环境要素</w:t>
            </w:r>
          </w:p>
        </w:tc>
        <w:tc>
          <w:tcPr>
            <w:tcW w:w="680" w:type="pct"/>
            <w:vAlign w:val="center"/>
          </w:tcPr>
          <w:p w14:paraId="34FA1C42">
            <w:pPr>
              <w:pStyle w:val="129"/>
              <w:widowControl w:val="0"/>
              <w:rPr>
                <w:color w:val="auto"/>
              </w:rPr>
            </w:pPr>
            <w:r>
              <w:rPr>
                <w:color w:val="auto"/>
              </w:rPr>
              <w:t>评价等级</w:t>
            </w:r>
          </w:p>
        </w:tc>
        <w:tc>
          <w:tcPr>
            <w:tcW w:w="3209" w:type="pct"/>
            <w:vAlign w:val="center"/>
          </w:tcPr>
          <w:p w14:paraId="7A1AE012">
            <w:pPr>
              <w:pStyle w:val="129"/>
              <w:widowControl w:val="0"/>
              <w:rPr>
                <w:color w:val="auto"/>
              </w:rPr>
            </w:pPr>
            <w:r>
              <w:rPr>
                <w:color w:val="auto"/>
              </w:rPr>
              <w:t>评  价  范  围</w:t>
            </w:r>
          </w:p>
        </w:tc>
      </w:tr>
      <w:tr w14:paraId="7EC569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Align w:val="center"/>
          </w:tcPr>
          <w:p w14:paraId="1BC2A930">
            <w:pPr>
              <w:pStyle w:val="129"/>
              <w:widowControl w:val="0"/>
              <w:rPr>
                <w:color w:val="auto"/>
              </w:rPr>
            </w:pPr>
            <w:r>
              <w:rPr>
                <w:color w:val="auto"/>
              </w:rPr>
              <w:t>1</w:t>
            </w:r>
          </w:p>
        </w:tc>
        <w:tc>
          <w:tcPr>
            <w:tcW w:w="684" w:type="pct"/>
            <w:vAlign w:val="center"/>
          </w:tcPr>
          <w:p w14:paraId="15E15A66">
            <w:pPr>
              <w:pStyle w:val="129"/>
              <w:widowControl w:val="0"/>
              <w:rPr>
                <w:color w:val="auto"/>
              </w:rPr>
            </w:pPr>
            <w:r>
              <w:rPr>
                <w:color w:val="auto"/>
              </w:rPr>
              <w:t>环境空气</w:t>
            </w:r>
          </w:p>
        </w:tc>
        <w:tc>
          <w:tcPr>
            <w:tcW w:w="680" w:type="pct"/>
            <w:vAlign w:val="center"/>
          </w:tcPr>
          <w:p w14:paraId="0155CB3B">
            <w:pPr>
              <w:pStyle w:val="129"/>
              <w:widowControl w:val="0"/>
              <w:rPr>
                <w:color w:val="auto"/>
              </w:rPr>
            </w:pPr>
            <w:r>
              <w:rPr>
                <w:color w:val="auto"/>
              </w:rPr>
              <w:t>一级</w:t>
            </w:r>
          </w:p>
        </w:tc>
        <w:tc>
          <w:tcPr>
            <w:tcW w:w="3209" w:type="pct"/>
            <w:vAlign w:val="center"/>
          </w:tcPr>
          <w:p w14:paraId="5362578C">
            <w:pPr>
              <w:pStyle w:val="129"/>
              <w:widowControl w:val="0"/>
              <w:rPr>
                <w:color w:val="auto"/>
              </w:rPr>
            </w:pPr>
            <w:r>
              <w:rPr>
                <w:rFonts w:hint="eastAsia"/>
                <w:color w:val="auto"/>
              </w:rPr>
              <w:t>以厂区中心为原点，5</w:t>
            </w:r>
            <w:r>
              <w:rPr>
                <w:rFonts w:hint="eastAsia" w:ascii="宋体" w:hAnsi="宋体"/>
                <w:color w:val="auto"/>
              </w:rPr>
              <w:t>×</w:t>
            </w:r>
            <w:r>
              <w:rPr>
                <w:rFonts w:hint="eastAsia"/>
                <w:color w:val="auto"/>
              </w:rPr>
              <w:t>5km</w:t>
            </w:r>
            <w:r>
              <w:rPr>
                <w:rFonts w:hint="eastAsia" w:ascii="宋体" w:hAnsi="宋体"/>
                <w:color w:val="auto"/>
              </w:rPr>
              <w:t>（东西×南北）</w:t>
            </w:r>
            <w:r>
              <w:rPr>
                <w:rFonts w:hint="eastAsia"/>
                <w:color w:val="auto"/>
              </w:rPr>
              <w:t>的矩形区域</w:t>
            </w:r>
          </w:p>
        </w:tc>
      </w:tr>
      <w:tr w14:paraId="23B12D5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Align w:val="center"/>
          </w:tcPr>
          <w:p w14:paraId="7677ED61">
            <w:pPr>
              <w:pStyle w:val="129"/>
              <w:widowControl w:val="0"/>
              <w:rPr>
                <w:color w:val="auto"/>
              </w:rPr>
            </w:pPr>
            <w:r>
              <w:rPr>
                <w:rFonts w:hint="eastAsia"/>
                <w:color w:val="auto"/>
              </w:rPr>
              <w:t>2</w:t>
            </w:r>
          </w:p>
        </w:tc>
        <w:tc>
          <w:tcPr>
            <w:tcW w:w="684" w:type="pct"/>
            <w:vAlign w:val="center"/>
          </w:tcPr>
          <w:p w14:paraId="71DA8644">
            <w:pPr>
              <w:pStyle w:val="129"/>
              <w:widowControl w:val="0"/>
              <w:rPr>
                <w:color w:val="auto"/>
              </w:rPr>
            </w:pPr>
            <w:r>
              <w:rPr>
                <w:color w:val="auto"/>
              </w:rPr>
              <w:t>地表水环境</w:t>
            </w:r>
          </w:p>
        </w:tc>
        <w:tc>
          <w:tcPr>
            <w:tcW w:w="680" w:type="pct"/>
            <w:vAlign w:val="center"/>
          </w:tcPr>
          <w:p w14:paraId="675DCB6C">
            <w:pPr>
              <w:pStyle w:val="129"/>
              <w:widowControl w:val="0"/>
              <w:rPr>
                <w:color w:val="auto"/>
              </w:rPr>
            </w:pPr>
            <w:r>
              <w:rPr>
                <w:color w:val="auto"/>
              </w:rPr>
              <w:t>三级</w:t>
            </w:r>
            <w:r>
              <w:rPr>
                <w:rFonts w:hint="eastAsia"/>
                <w:color w:val="auto"/>
              </w:rPr>
              <w:t>B</w:t>
            </w:r>
          </w:p>
        </w:tc>
        <w:tc>
          <w:tcPr>
            <w:tcW w:w="3209" w:type="pct"/>
            <w:vAlign w:val="center"/>
          </w:tcPr>
          <w:p w14:paraId="1451DDA8">
            <w:pPr>
              <w:pStyle w:val="129"/>
              <w:widowControl w:val="0"/>
              <w:rPr>
                <w:color w:val="auto"/>
              </w:rPr>
            </w:pPr>
            <w:r>
              <w:rPr>
                <w:rFonts w:hint="eastAsia"/>
                <w:color w:val="auto"/>
              </w:rPr>
              <w:t>/</w:t>
            </w:r>
          </w:p>
        </w:tc>
      </w:tr>
      <w:tr w14:paraId="27962E9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Align w:val="center"/>
          </w:tcPr>
          <w:p w14:paraId="5F24CB4D">
            <w:pPr>
              <w:pStyle w:val="129"/>
              <w:widowControl w:val="0"/>
              <w:rPr>
                <w:color w:val="auto"/>
              </w:rPr>
            </w:pPr>
            <w:r>
              <w:rPr>
                <w:rFonts w:hint="eastAsia"/>
                <w:color w:val="auto"/>
              </w:rPr>
              <w:t>3</w:t>
            </w:r>
          </w:p>
        </w:tc>
        <w:tc>
          <w:tcPr>
            <w:tcW w:w="684" w:type="pct"/>
            <w:vAlign w:val="center"/>
          </w:tcPr>
          <w:p w14:paraId="2198365F">
            <w:pPr>
              <w:pStyle w:val="129"/>
              <w:widowControl w:val="0"/>
              <w:rPr>
                <w:color w:val="auto"/>
              </w:rPr>
            </w:pPr>
            <w:r>
              <w:rPr>
                <w:color w:val="auto"/>
              </w:rPr>
              <w:t>地下水环境</w:t>
            </w:r>
          </w:p>
        </w:tc>
        <w:tc>
          <w:tcPr>
            <w:tcW w:w="680" w:type="pct"/>
            <w:vAlign w:val="center"/>
          </w:tcPr>
          <w:p w14:paraId="676A957A">
            <w:pPr>
              <w:pStyle w:val="129"/>
              <w:widowControl w:val="0"/>
              <w:rPr>
                <w:color w:val="auto"/>
              </w:rPr>
            </w:pPr>
            <w:r>
              <w:rPr>
                <w:rFonts w:hint="eastAsia"/>
                <w:color w:val="auto"/>
              </w:rPr>
              <w:t>二</w:t>
            </w:r>
            <w:r>
              <w:rPr>
                <w:color w:val="auto"/>
              </w:rPr>
              <w:t>级</w:t>
            </w:r>
          </w:p>
        </w:tc>
        <w:tc>
          <w:tcPr>
            <w:tcW w:w="3209" w:type="pct"/>
            <w:vAlign w:val="center"/>
          </w:tcPr>
          <w:p w14:paraId="7EF567A5">
            <w:pPr>
              <w:pStyle w:val="129"/>
              <w:widowControl w:val="0"/>
              <w:rPr>
                <w:color w:val="auto"/>
              </w:rPr>
            </w:pPr>
            <w:r>
              <w:rPr>
                <w:rFonts w:hint="eastAsia"/>
                <w:color w:val="auto"/>
              </w:rPr>
              <w:t>厂区上游1km，下游2.5km，侧向各1km，面积约7km</w:t>
            </w:r>
            <w:r>
              <w:rPr>
                <w:rFonts w:hint="eastAsia"/>
                <w:color w:val="auto"/>
                <w:vertAlign w:val="superscript"/>
              </w:rPr>
              <w:t>2</w:t>
            </w:r>
            <w:r>
              <w:rPr>
                <w:rFonts w:hint="eastAsia"/>
                <w:color w:val="auto"/>
              </w:rPr>
              <w:t>的矩形区域</w:t>
            </w:r>
          </w:p>
        </w:tc>
      </w:tr>
      <w:tr w14:paraId="13C229B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Align w:val="center"/>
          </w:tcPr>
          <w:p w14:paraId="4785FDE5">
            <w:pPr>
              <w:pStyle w:val="129"/>
              <w:widowControl w:val="0"/>
              <w:rPr>
                <w:color w:val="auto"/>
              </w:rPr>
            </w:pPr>
            <w:r>
              <w:rPr>
                <w:rFonts w:hint="eastAsia"/>
                <w:color w:val="auto"/>
              </w:rPr>
              <w:t>4</w:t>
            </w:r>
          </w:p>
        </w:tc>
        <w:tc>
          <w:tcPr>
            <w:tcW w:w="684" w:type="pct"/>
            <w:vAlign w:val="center"/>
          </w:tcPr>
          <w:p w14:paraId="7A6A0604">
            <w:pPr>
              <w:pStyle w:val="129"/>
              <w:widowControl w:val="0"/>
              <w:rPr>
                <w:color w:val="auto"/>
              </w:rPr>
            </w:pPr>
            <w:r>
              <w:rPr>
                <w:color w:val="auto"/>
              </w:rPr>
              <w:t>声环境</w:t>
            </w:r>
          </w:p>
        </w:tc>
        <w:tc>
          <w:tcPr>
            <w:tcW w:w="680" w:type="pct"/>
            <w:vAlign w:val="center"/>
          </w:tcPr>
          <w:p w14:paraId="5075C0C3">
            <w:pPr>
              <w:pStyle w:val="129"/>
              <w:widowControl w:val="0"/>
              <w:rPr>
                <w:color w:val="auto"/>
              </w:rPr>
            </w:pPr>
            <w:r>
              <w:rPr>
                <w:rFonts w:hint="eastAsia"/>
                <w:color w:val="auto"/>
              </w:rPr>
              <w:t>三</w:t>
            </w:r>
            <w:r>
              <w:rPr>
                <w:color w:val="auto"/>
              </w:rPr>
              <w:t>级</w:t>
            </w:r>
          </w:p>
        </w:tc>
        <w:tc>
          <w:tcPr>
            <w:tcW w:w="3209" w:type="pct"/>
            <w:vAlign w:val="center"/>
          </w:tcPr>
          <w:p w14:paraId="5070D5AD">
            <w:pPr>
              <w:pStyle w:val="129"/>
              <w:widowControl w:val="0"/>
              <w:rPr>
                <w:color w:val="auto"/>
              </w:rPr>
            </w:pPr>
            <w:r>
              <w:rPr>
                <w:rFonts w:hint="eastAsia"/>
                <w:color w:val="auto"/>
              </w:rPr>
              <w:t>厂</w:t>
            </w:r>
            <w:r>
              <w:rPr>
                <w:color w:val="auto"/>
              </w:rPr>
              <w:t>界外</w:t>
            </w:r>
            <w:r>
              <w:rPr>
                <w:rFonts w:hint="eastAsia"/>
                <w:color w:val="auto"/>
              </w:rPr>
              <w:t>200</w:t>
            </w:r>
            <w:r>
              <w:rPr>
                <w:color w:val="auto"/>
              </w:rPr>
              <w:t>m范围内</w:t>
            </w:r>
          </w:p>
        </w:tc>
      </w:tr>
      <w:tr w14:paraId="09A9016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Merge w:val="restart"/>
            <w:vAlign w:val="center"/>
          </w:tcPr>
          <w:p w14:paraId="1AC6F91F">
            <w:pPr>
              <w:pStyle w:val="129"/>
              <w:widowControl w:val="0"/>
              <w:rPr>
                <w:color w:val="auto"/>
              </w:rPr>
            </w:pPr>
            <w:r>
              <w:rPr>
                <w:rFonts w:hint="eastAsia"/>
                <w:color w:val="auto"/>
              </w:rPr>
              <w:t>5</w:t>
            </w:r>
          </w:p>
        </w:tc>
        <w:tc>
          <w:tcPr>
            <w:tcW w:w="684" w:type="pct"/>
            <w:vMerge w:val="restart"/>
            <w:vAlign w:val="center"/>
          </w:tcPr>
          <w:p w14:paraId="5E4FD11C">
            <w:pPr>
              <w:pStyle w:val="129"/>
              <w:widowControl w:val="0"/>
              <w:rPr>
                <w:color w:val="auto"/>
              </w:rPr>
            </w:pPr>
            <w:r>
              <w:rPr>
                <w:color w:val="auto"/>
              </w:rPr>
              <w:t>环境风险</w:t>
            </w:r>
          </w:p>
        </w:tc>
        <w:tc>
          <w:tcPr>
            <w:tcW w:w="680" w:type="pct"/>
            <w:vMerge w:val="restart"/>
            <w:vAlign w:val="center"/>
          </w:tcPr>
          <w:p w14:paraId="3715F783">
            <w:pPr>
              <w:pStyle w:val="129"/>
              <w:widowControl w:val="0"/>
              <w:rPr>
                <w:color w:val="auto"/>
              </w:rPr>
            </w:pPr>
            <w:r>
              <w:rPr>
                <w:rFonts w:hint="eastAsia"/>
                <w:color w:val="auto"/>
              </w:rPr>
              <w:t>一</w:t>
            </w:r>
            <w:r>
              <w:rPr>
                <w:color w:val="auto"/>
              </w:rPr>
              <w:t>级</w:t>
            </w:r>
          </w:p>
        </w:tc>
        <w:tc>
          <w:tcPr>
            <w:tcW w:w="3209" w:type="pct"/>
            <w:vAlign w:val="center"/>
          </w:tcPr>
          <w:p w14:paraId="60C53C59">
            <w:pPr>
              <w:pStyle w:val="129"/>
              <w:widowControl w:val="0"/>
              <w:rPr>
                <w:color w:val="auto"/>
              </w:rPr>
            </w:pPr>
            <w:r>
              <w:rPr>
                <w:rFonts w:hint="eastAsia"/>
                <w:color w:val="auto"/>
              </w:rPr>
              <w:t>大气环境风险评价范围：以项目边界为起点，四周外扩5km的评价范围。</w:t>
            </w:r>
          </w:p>
        </w:tc>
      </w:tr>
      <w:tr w14:paraId="45DC053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Merge w:val="continue"/>
            <w:vAlign w:val="center"/>
          </w:tcPr>
          <w:p w14:paraId="33A82C9B">
            <w:pPr>
              <w:pStyle w:val="129"/>
              <w:widowControl w:val="0"/>
              <w:rPr>
                <w:color w:val="auto"/>
              </w:rPr>
            </w:pPr>
          </w:p>
        </w:tc>
        <w:tc>
          <w:tcPr>
            <w:tcW w:w="684" w:type="pct"/>
            <w:vMerge w:val="continue"/>
            <w:vAlign w:val="center"/>
          </w:tcPr>
          <w:p w14:paraId="55C3FBC4">
            <w:pPr>
              <w:pStyle w:val="129"/>
              <w:widowControl w:val="0"/>
              <w:rPr>
                <w:color w:val="auto"/>
              </w:rPr>
            </w:pPr>
          </w:p>
        </w:tc>
        <w:tc>
          <w:tcPr>
            <w:tcW w:w="680" w:type="pct"/>
            <w:vMerge w:val="continue"/>
            <w:vAlign w:val="center"/>
          </w:tcPr>
          <w:p w14:paraId="5A9E76A7">
            <w:pPr>
              <w:pStyle w:val="129"/>
              <w:widowControl w:val="0"/>
              <w:rPr>
                <w:color w:val="auto"/>
              </w:rPr>
            </w:pPr>
          </w:p>
        </w:tc>
        <w:tc>
          <w:tcPr>
            <w:tcW w:w="3209" w:type="pct"/>
            <w:vAlign w:val="center"/>
          </w:tcPr>
          <w:p w14:paraId="0C3AC674">
            <w:pPr>
              <w:pStyle w:val="129"/>
              <w:widowControl w:val="0"/>
              <w:rPr>
                <w:color w:val="auto"/>
              </w:rPr>
            </w:pPr>
            <w:r>
              <w:rPr>
                <w:color w:val="auto"/>
              </w:rPr>
              <w:t>沿地下水流向南侧上游1km，北侧下游4km，侧向西、东侧各2km，面积约20km</w:t>
            </w:r>
            <w:r>
              <w:rPr>
                <w:color w:val="auto"/>
                <w:vertAlign w:val="superscript"/>
              </w:rPr>
              <w:t>2</w:t>
            </w:r>
            <w:r>
              <w:rPr>
                <w:color w:val="auto"/>
              </w:rPr>
              <w:t>的范围</w:t>
            </w:r>
          </w:p>
        </w:tc>
      </w:tr>
      <w:tr w14:paraId="207DB33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Align w:val="center"/>
          </w:tcPr>
          <w:p w14:paraId="24BFF35B">
            <w:pPr>
              <w:pStyle w:val="129"/>
              <w:widowControl w:val="0"/>
              <w:rPr>
                <w:color w:val="auto"/>
              </w:rPr>
            </w:pPr>
            <w:r>
              <w:rPr>
                <w:rFonts w:hint="eastAsia"/>
                <w:color w:val="auto"/>
              </w:rPr>
              <w:t>6</w:t>
            </w:r>
          </w:p>
        </w:tc>
        <w:tc>
          <w:tcPr>
            <w:tcW w:w="684" w:type="pct"/>
            <w:vAlign w:val="center"/>
          </w:tcPr>
          <w:p w14:paraId="72E7B9A1">
            <w:pPr>
              <w:pStyle w:val="129"/>
              <w:widowControl w:val="0"/>
              <w:rPr>
                <w:color w:val="auto"/>
              </w:rPr>
            </w:pPr>
            <w:r>
              <w:rPr>
                <w:color w:val="auto"/>
              </w:rPr>
              <w:t>生态</w:t>
            </w:r>
          </w:p>
        </w:tc>
        <w:tc>
          <w:tcPr>
            <w:tcW w:w="680" w:type="pct"/>
            <w:vAlign w:val="center"/>
          </w:tcPr>
          <w:p w14:paraId="3EC951F2">
            <w:pPr>
              <w:pStyle w:val="129"/>
              <w:widowControl w:val="0"/>
              <w:rPr>
                <w:color w:val="auto"/>
              </w:rPr>
            </w:pPr>
            <w:r>
              <w:rPr>
                <w:rFonts w:hint="eastAsia"/>
                <w:color w:val="auto"/>
              </w:rPr>
              <w:t>三级</w:t>
            </w:r>
          </w:p>
        </w:tc>
        <w:tc>
          <w:tcPr>
            <w:tcW w:w="3209" w:type="pct"/>
            <w:vAlign w:val="center"/>
          </w:tcPr>
          <w:p w14:paraId="4C597F83">
            <w:pPr>
              <w:pStyle w:val="129"/>
              <w:widowControl w:val="0"/>
              <w:rPr>
                <w:color w:val="auto"/>
              </w:rPr>
            </w:pPr>
            <w:r>
              <w:rPr>
                <w:rFonts w:hint="eastAsia"/>
                <w:color w:val="auto"/>
              </w:rPr>
              <w:t>简单分析</w:t>
            </w:r>
          </w:p>
        </w:tc>
      </w:tr>
      <w:tr w14:paraId="256ACDE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7" w:type="pct"/>
            <w:vAlign w:val="center"/>
          </w:tcPr>
          <w:p w14:paraId="114FEFD0">
            <w:pPr>
              <w:pStyle w:val="129"/>
              <w:widowControl w:val="0"/>
              <w:rPr>
                <w:color w:val="auto"/>
              </w:rPr>
            </w:pPr>
            <w:r>
              <w:rPr>
                <w:rFonts w:hint="eastAsia"/>
                <w:color w:val="auto"/>
              </w:rPr>
              <w:t>7</w:t>
            </w:r>
          </w:p>
        </w:tc>
        <w:tc>
          <w:tcPr>
            <w:tcW w:w="684" w:type="pct"/>
            <w:vAlign w:val="center"/>
          </w:tcPr>
          <w:p w14:paraId="42AFBAF4">
            <w:pPr>
              <w:pStyle w:val="129"/>
              <w:widowControl w:val="0"/>
              <w:rPr>
                <w:color w:val="auto"/>
              </w:rPr>
            </w:pPr>
            <w:r>
              <w:rPr>
                <w:rFonts w:hint="eastAsia"/>
                <w:color w:val="auto"/>
              </w:rPr>
              <w:t>土壤</w:t>
            </w:r>
          </w:p>
        </w:tc>
        <w:tc>
          <w:tcPr>
            <w:tcW w:w="680" w:type="pct"/>
            <w:vAlign w:val="center"/>
          </w:tcPr>
          <w:p w14:paraId="6AA40BEA">
            <w:pPr>
              <w:pStyle w:val="129"/>
              <w:widowControl w:val="0"/>
              <w:rPr>
                <w:color w:val="auto"/>
              </w:rPr>
            </w:pPr>
            <w:r>
              <w:rPr>
                <w:rFonts w:hint="eastAsia"/>
                <w:color w:val="auto"/>
              </w:rPr>
              <w:t>二级</w:t>
            </w:r>
          </w:p>
        </w:tc>
        <w:tc>
          <w:tcPr>
            <w:tcW w:w="3209" w:type="pct"/>
            <w:vAlign w:val="center"/>
          </w:tcPr>
          <w:p w14:paraId="3269F1B7">
            <w:pPr>
              <w:pStyle w:val="129"/>
              <w:widowControl w:val="0"/>
              <w:rPr>
                <w:color w:val="auto"/>
              </w:rPr>
            </w:pPr>
            <w:r>
              <w:rPr>
                <w:color w:val="auto"/>
              </w:rPr>
              <w:t>项目占地范围内及占地范围外</w:t>
            </w:r>
            <w:r>
              <w:rPr>
                <w:rFonts w:hint="eastAsia"/>
                <w:color w:val="auto"/>
              </w:rPr>
              <w:t>20</w:t>
            </w:r>
            <w:r>
              <w:rPr>
                <w:color w:val="auto"/>
              </w:rPr>
              <w:t>0m范围内</w:t>
            </w:r>
          </w:p>
        </w:tc>
      </w:tr>
    </w:tbl>
    <w:p w14:paraId="0D6ACBC7">
      <w:pPr>
        <w:pStyle w:val="1251"/>
        <w:ind w:firstLine="420"/>
        <w:rPr>
          <w:rFonts w:hint="eastAsia"/>
          <w:color w:val="auto"/>
        </w:rPr>
      </w:pPr>
      <w:bookmarkStart w:id="120" w:name="_Toc455068239"/>
      <w:bookmarkStart w:id="121" w:name="_Toc417464794"/>
      <w:bookmarkStart w:id="122" w:name="_Toc415615301"/>
    </w:p>
    <w:p w14:paraId="55183A21">
      <w:pPr>
        <w:pStyle w:val="1251"/>
        <w:ind w:firstLine="420"/>
        <w:rPr>
          <w:rFonts w:hint="eastAsia"/>
          <w:color w:val="auto"/>
        </w:rPr>
      </w:pPr>
    </w:p>
    <w:p w14:paraId="1D7ADD9B">
      <w:pPr>
        <w:pStyle w:val="1251"/>
        <w:ind w:firstLine="420"/>
        <w:rPr>
          <w:rFonts w:hint="eastAsia"/>
          <w:color w:val="auto"/>
        </w:rPr>
        <w:sectPr>
          <w:footerReference r:id="rId16" w:type="default"/>
          <w:type w:val="continuous"/>
          <w:pgSz w:w="11906" w:h="16838"/>
          <w:pgMar w:top="1440" w:right="1588" w:bottom="1389" w:left="1588" w:header="737" w:footer="822" w:gutter="0"/>
          <w:cols w:space="425" w:num="1"/>
          <w:docGrid w:type="lines" w:linePitch="312" w:charSpace="0"/>
        </w:sectPr>
      </w:pPr>
    </w:p>
    <w:p w14:paraId="6582C0DA">
      <w:pPr>
        <w:pStyle w:val="3"/>
        <w:rPr>
          <w:color w:val="auto"/>
        </w:rPr>
      </w:pPr>
      <w:bookmarkStart w:id="123" w:name="_Toc229930118"/>
      <w:r>
        <w:rPr>
          <w:color w:val="auto"/>
        </w:rPr>
        <w:t>环境功能区划及</w:t>
      </w:r>
      <w:bookmarkEnd w:id="120"/>
      <w:bookmarkEnd w:id="121"/>
      <w:bookmarkEnd w:id="122"/>
      <w:r>
        <w:rPr>
          <w:rFonts w:hint="eastAsia"/>
          <w:color w:val="auto"/>
        </w:rPr>
        <w:t>评价标准</w:t>
      </w:r>
      <w:bookmarkEnd w:id="123"/>
    </w:p>
    <w:p w14:paraId="642D4E53">
      <w:pPr>
        <w:pStyle w:val="4"/>
        <w:rPr>
          <w:color w:val="auto"/>
        </w:rPr>
      </w:pPr>
      <w:r>
        <w:rPr>
          <w:color w:val="auto"/>
        </w:rPr>
        <w:t>环境功能区划</w:t>
      </w:r>
    </w:p>
    <w:p w14:paraId="3922ABE8">
      <w:pPr>
        <w:pStyle w:val="5"/>
        <w:rPr>
          <w:color w:val="auto"/>
        </w:rPr>
      </w:pPr>
      <w:r>
        <w:rPr>
          <w:color w:val="auto"/>
        </w:rPr>
        <w:t>环境空气质量功能区划</w:t>
      </w:r>
    </w:p>
    <w:p w14:paraId="0229B063">
      <w:pPr>
        <w:pStyle w:val="132"/>
        <w:rPr>
          <w:rStyle w:val="1716"/>
          <w:color w:val="auto"/>
        </w:rPr>
      </w:pPr>
      <w:r>
        <w:rPr>
          <w:rStyle w:val="1716"/>
          <w:rFonts w:hint="eastAsia"/>
          <w:color w:val="auto"/>
        </w:rPr>
        <w:t>本项目位于</w:t>
      </w:r>
      <w:r>
        <w:rPr>
          <w:rFonts w:hint="eastAsia"/>
          <w:color w:val="auto"/>
        </w:rPr>
        <w:t>乌鲁木齐甘泉堡经济技术开发区（工业区）化工园区</w:t>
      </w:r>
      <w:r>
        <w:rPr>
          <w:rStyle w:val="1716"/>
          <w:rFonts w:hint="eastAsia"/>
          <w:color w:val="auto"/>
        </w:rPr>
        <w:t>，所在区域环境空气功能区划为二类。</w:t>
      </w:r>
      <w:r>
        <w:rPr>
          <w:rStyle w:val="1716"/>
          <w:color w:val="auto"/>
        </w:rPr>
        <w:t>环境空气质量执行《环境空气质量标准》（GB3095-20</w:t>
      </w:r>
      <w:r>
        <w:rPr>
          <w:rStyle w:val="1716"/>
          <w:rFonts w:hint="eastAsia"/>
          <w:color w:val="auto"/>
        </w:rPr>
        <w:t>26</w:t>
      </w:r>
      <w:r>
        <w:rPr>
          <w:rStyle w:val="1716"/>
          <w:color w:val="auto"/>
        </w:rPr>
        <w:t>）二级标准。</w:t>
      </w:r>
    </w:p>
    <w:p w14:paraId="146075EC">
      <w:pPr>
        <w:pStyle w:val="5"/>
        <w:rPr>
          <w:color w:val="auto"/>
        </w:rPr>
      </w:pPr>
      <w:r>
        <w:rPr>
          <w:color w:val="auto"/>
        </w:rPr>
        <w:t>地表水环境质量功能</w:t>
      </w:r>
    </w:p>
    <w:p w14:paraId="53989BCD">
      <w:pPr>
        <w:pStyle w:val="132"/>
        <w:rPr>
          <w:color w:val="auto"/>
        </w:rPr>
      </w:pPr>
      <w:r>
        <w:rPr>
          <w:rFonts w:hint="eastAsia"/>
          <w:color w:val="auto"/>
        </w:rPr>
        <w:t>项目周边最近地表水体为西延干渠，位于项目区南侧321m，西延干渠</w:t>
      </w:r>
      <w:r>
        <w:rPr>
          <w:color w:val="auto"/>
        </w:rPr>
        <w:t>水环境质量达到《地表水环境质量标准》（GB3838-2002）</w:t>
      </w:r>
      <w:r>
        <w:rPr>
          <w:rFonts w:hint="eastAsia"/>
          <w:color w:val="auto"/>
        </w:rPr>
        <w:t>Ⅳ</w:t>
      </w:r>
      <w:r>
        <w:rPr>
          <w:color w:val="auto"/>
        </w:rPr>
        <w:t>类标准。</w:t>
      </w:r>
    </w:p>
    <w:p w14:paraId="209DF9BE">
      <w:pPr>
        <w:pStyle w:val="5"/>
        <w:rPr>
          <w:color w:val="auto"/>
        </w:rPr>
      </w:pPr>
      <w:r>
        <w:rPr>
          <w:color w:val="auto"/>
        </w:rPr>
        <w:t>地下水环境</w:t>
      </w:r>
    </w:p>
    <w:p w14:paraId="6782A192">
      <w:pPr>
        <w:pStyle w:val="132"/>
        <w:rPr>
          <w:color w:val="auto"/>
        </w:rPr>
      </w:pPr>
      <w:r>
        <w:rPr>
          <w:rFonts w:hint="eastAsia"/>
          <w:color w:val="auto"/>
        </w:rPr>
        <w:t>根据《地下水质量标准》</w:t>
      </w:r>
      <w:r>
        <w:rPr>
          <w:color w:val="auto"/>
        </w:rPr>
        <w:t>(GB/T14848-2017)</w:t>
      </w:r>
      <w:r>
        <w:rPr>
          <w:rFonts w:hint="eastAsia"/>
          <w:color w:val="auto"/>
        </w:rPr>
        <w:t>地下水质量分类</w:t>
      </w:r>
      <w:r>
        <w:rPr>
          <w:rStyle w:val="1716"/>
          <w:rFonts w:hint="eastAsia"/>
          <w:color w:val="auto"/>
        </w:rPr>
        <w:t>，项目区域</w:t>
      </w:r>
      <w:r>
        <w:rPr>
          <w:rFonts w:hint="eastAsia"/>
          <w:color w:val="auto"/>
        </w:rPr>
        <w:t>地下水环境质量按《地下水质量标准》</w:t>
      </w:r>
      <w:r>
        <w:rPr>
          <w:color w:val="auto"/>
        </w:rPr>
        <w:t>(GB/T14848</w:t>
      </w:r>
      <w:r>
        <w:rPr>
          <w:rFonts w:hint="eastAsia"/>
          <w:color w:val="auto"/>
        </w:rPr>
        <w:t>－</w:t>
      </w:r>
      <w:r>
        <w:rPr>
          <w:color w:val="auto"/>
        </w:rPr>
        <w:t>2017)</w:t>
      </w:r>
      <w:r>
        <w:rPr>
          <w:rFonts w:hint="eastAsia"/>
          <w:color w:val="auto"/>
        </w:rPr>
        <w:t>中Ⅲ类标准进行评价</w:t>
      </w:r>
      <w:r>
        <w:rPr>
          <w:color w:val="auto"/>
        </w:rPr>
        <w:t>。</w:t>
      </w:r>
    </w:p>
    <w:p w14:paraId="197D5D0C">
      <w:pPr>
        <w:pStyle w:val="5"/>
        <w:rPr>
          <w:color w:val="auto"/>
        </w:rPr>
      </w:pPr>
      <w:r>
        <w:rPr>
          <w:color w:val="auto"/>
        </w:rPr>
        <w:t>声环境功能区划</w:t>
      </w:r>
    </w:p>
    <w:p w14:paraId="79674443">
      <w:pPr>
        <w:pStyle w:val="132"/>
        <w:rPr>
          <w:rStyle w:val="1716"/>
          <w:color w:val="auto"/>
        </w:rPr>
      </w:pPr>
      <w:r>
        <w:rPr>
          <w:rStyle w:val="1716"/>
          <w:rFonts w:hint="eastAsia"/>
          <w:color w:val="auto"/>
        </w:rPr>
        <w:t>根据《声环境质量标准》（GB3096-2008），拟建项目用地为工业建设用地，为声环境3类区。</w:t>
      </w:r>
    </w:p>
    <w:p w14:paraId="09B2B34E">
      <w:pPr>
        <w:pStyle w:val="5"/>
        <w:rPr>
          <w:color w:val="auto"/>
        </w:rPr>
      </w:pPr>
      <w:r>
        <w:rPr>
          <w:color w:val="auto"/>
        </w:rPr>
        <w:t>生态功能区划</w:t>
      </w:r>
    </w:p>
    <w:p w14:paraId="27957FA5">
      <w:pPr>
        <w:pStyle w:val="132"/>
        <w:rPr>
          <w:rStyle w:val="1716"/>
          <w:color w:val="auto"/>
        </w:rPr>
      </w:pPr>
      <w:bookmarkStart w:id="124" w:name="_Toc287434091"/>
      <w:bookmarkStart w:id="125" w:name="_Toc287433889"/>
      <w:bookmarkStart w:id="126" w:name="_Toc287433019"/>
      <w:r>
        <w:rPr>
          <w:rStyle w:val="1716"/>
          <w:rFonts w:hint="eastAsia"/>
          <w:color w:val="auto"/>
        </w:rPr>
        <w:t>根据《新疆生态功能区划》，规划区所在区域属于Ⅱ 准噶尔盆地温性荒漠与绿洲农业生态区--Ⅱ5 准噶尔盆地南部荒漠绿洲农业生态亚区--27．乌鲁木齐城市及城郊农业生态功能区。</w:t>
      </w:r>
    </w:p>
    <w:p w14:paraId="2D4E9B49">
      <w:pPr>
        <w:pStyle w:val="5"/>
        <w:rPr>
          <w:color w:val="auto"/>
        </w:rPr>
      </w:pPr>
      <w:r>
        <w:rPr>
          <w:rFonts w:hint="eastAsia"/>
          <w:color w:val="auto"/>
        </w:rPr>
        <w:t>土壤环境</w:t>
      </w:r>
    </w:p>
    <w:p w14:paraId="3BA7F7CB">
      <w:pPr>
        <w:pStyle w:val="132"/>
        <w:rPr>
          <w:color w:val="auto"/>
        </w:rPr>
      </w:pPr>
      <w:r>
        <w:rPr>
          <w:color w:val="auto"/>
        </w:rPr>
        <w:t>项目位于</w:t>
      </w:r>
      <w:r>
        <w:rPr>
          <w:rFonts w:hint="eastAsia"/>
          <w:color w:val="auto"/>
        </w:rPr>
        <w:t>乌鲁木齐甘泉堡经济技术开发区（工业区）化工园区</w:t>
      </w:r>
      <w:r>
        <w:rPr>
          <w:color w:val="auto"/>
        </w:rPr>
        <w:t>，</w:t>
      </w:r>
      <w:r>
        <w:rPr>
          <w:rFonts w:hint="eastAsia"/>
          <w:color w:val="auto"/>
        </w:rPr>
        <w:t>占地类型为园区规划的工业用地，</w:t>
      </w:r>
      <w:r>
        <w:rPr>
          <w:color w:val="auto"/>
        </w:rPr>
        <w:t>土壤</w:t>
      </w:r>
      <w:r>
        <w:rPr>
          <w:rFonts w:hint="eastAsia"/>
          <w:color w:val="auto"/>
        </w:rPr>
        <w:t>环境质量</w:t>
      </w:r>
      <w:r>
        <w:rPr>
          <w:color w:val="auto"/>
        </w:rPr>
        <w:t>执行《土壤环境质量</w:t>
      </w:r>
      <w:r>
        <w:rPr>
          <w:rFonts w:hint="eastAsia"/>
          <w:color w:val="auto"/>
        </w:rPr>
        <w:t xml:space="preserve">  </w:t>
      </w:r>
      <w:r>
        <w:rPr>
          <w:color w:val="auto"/>
        </w:rPr>
        <w:t>建设用地土壤污染风险管控标准（试行）》（GB36600-2018）</w:t>
      </w:r>
      <w:r>
        <w:rPr>
          <w:rFonts w:hint="eastAsia"/>
          <w:color w:val="auto"/>
        </w:rPr>
        <w:t>第二类用地</w:t>
      </w:r>
      <w:r>
        <w:rPr>
          <w:color w:val="auto"/>
        </w:rPr>
        <w:t>标准。</w:t>
      </w:r>
    </w:p>
    <w:p w14:paraId="35D9EA08">
      <w:pPr>
        <w:pStyle w:val="4"/>
        <w:rPr>
          <w:color w:val="auto"/>
        </w:rPr>
      </w:pPr>
      <w:r>
        <w:rPr>
          <w:color w:val="auto"/>
        </w:rPr>
        <w:t>环境质量标准</w:t>
      </w:r>
      <w:bookmarkEnd w:id="124"/>
      <w:bookmarkEnd w:id="125"/>
      <w:bookmarkEnd w:id="126"/>
    </w:p>
    <w:p w14:paraId="03F41318">
      <w:pPr>
        <w:pStyle w:val="5"/>
        <w:rPr>
          <w:color w:val="auto"/>
        </w:rPr>
      </w:pPr>
      <w:r>
        <w:rPr>
          <w:color w:val="auto"/>
        </w:rPr>
        <w:t>环境空气质量标准</w:t>
      </w:r>
    </w:p>
    <w:p w14:paraId="458D3F8F">
      <w:pPr>
        <w:pStyle w:val="132"/>
        <w:rPr>
          <w:color w:val="auto"/>
        </w:rPr>
      </w:pPr>
      <w:r>
        <w:rPr>
          <w:rFonts w:hint="eastAsia"/>
          <w:color w:val="auto"/>
        </w:rPr>
        <w:t>评价区</w:t>
      </w:r>
      <w:r>
        <w:rPr>
          <w:color w:val="auto"/>
        </w:rPr>
        <w:t>环境空气中</w:t>
      </w:r>
      <w:r>
        <w:rPr>
          <w:rFonts w:hint="eastAsia"/>
          <w:color w:val="auto"/>
        </w:rPr>
        <w:t>基本</w:t>
      </w:r>
      <w:r>
        <w:rPr>
          <w:color w:val="auto"/>
        </w:rPr>
        <w:t>因子执行《环境空气质量标准》（GB3095-20</w:t>
      </w:r>
      <w:r>
        <w:rPr>
          <w:rFonts w:hint="eastAsia"/>
          <w:color w:val="auto"/>
        </w:rPr>
        <w:t>26</w:t>
      </w:r>
      <w:r>
        <w:rPr>
          <w:color w:val="auto"/>
        </w:rPr>
        <w:t>）中二级标准</w:t>
      </w:r>
      <w:r>
        <w:rPr>
          <w:rFonts w:hint="eastAsia"/>
          <w:color w:val="auto"/>
        </w:rPr>
        <w:t>；氨</w:t>
      </w:r>
      <w:r>
        <w:rPr>
          <w:color w:val="auto"/>
        </w:rPr>
        <w:t>执行《环境影响评价技术导则</w:t>
      </w:r>
      <w:r>
        <w:rPr>
          <w:rFonts w:hint="eastAsia"/>
          <w:color w:val="auto"/>
        </w:rPr>
        <w:t xml:space="preserve"> </w:t>
      </w:r>
      <w:r>
        <w:rPr>
          <w:color w:val="auto"/>
        </w:rPr>
        <w:t>大气环境》（HJ 2.2-2018）附录D中其他污染物空气质量浓度参考限值</w:t>
      </w:r>
      <w:r>
        <w:rPr>
          <w:rFonts w:hint="eastAsia"/>
          <w:color w:val="auto"/>
        </w:rPr>
        <w:t>。</w:t>
      </w:r>
      <w:r>
        <w:rPr>
          <w:color w:val="auto"/>
        </w:rPr>
        <w:t>环境空气污染物基本项目及其他污染项目浓度限值，见表</w:t>
      </w:r>
      <w:r>
        <w:rPr>
          <w:rFonts w:hint="eastAsia"/>
          <w:color w:val="auto"/>
        </w:rPr>
        <w:t>2.5-2</w:t>
      </w:r>
      <w:r>
        <w:rPr>
          <w:color w:val="auto"/>
        </w:rPr>
        <w:t>。</w:t>
      </w:r>
    </w:p>
    <w:p w14:paraId="56CC217F">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环境空气污染物基本项目及其他污染项目浓度限值</w:t>
      </w:r>
      <w:r>
        <w:rPr>
          <w:rFonts w:hint="eastAsia"/>
          <w:color w:val="auto"/>
        </w:rPr>
        <w:t xml:space="preserve">   </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693"/>
        <w:gridCol w:w="991"/>
        <w:gridCol w:w="1251"/>
        <w:gridCol w:w="1501"/>
        <w:gridCol w:w="1227"/>
        <w:gridCol w:w="1023"/>
        <w:gridCol w:w="2100"/>
      </w:tblGrid>
      <w:tr w14:paraId="20B8930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Merge w:val="restart"/>
            <w:vAlign w:val="center"/>
          </w:tcPr>
          <w:p w14:paraId="702DE917">
            <w:pPr>
              <w:pStyle w:val="129"/>
              <w:widowControl w:val="0"/>
              <w:rPr>
                <w:color w:val="auto"/>
              </w:rPr>
            </w:pPr>
            <w:r>
              <w:rPr>
                <w:color w:val="auto"/>
              </w:rPr>
              <w:t>序号</w:t>
            </w:r>
          </w:p>
        </w:tc>
        <w:tc>
          <w:tcPr>
            <w:tcW w:w="564" w:type="pct"/>
            <w:vMerge w:val="restart"/>
            <w:vAlign w:val="center"/>
          </w:tcPr>
          <w:p w14:paraId="2C53FD09">
            <w:pPr>
              <w:pStyle w:val="129"/>
              <w:widowControl w:val="0"/>
              <w:rPr>
                <w:color w:val="auto"/>
              </w:rPr>
            </w:pPr>
            <w:r>
              <w:rPr>
                <w:color w:val="auto"/>
              </w:rPr>
              <w:t>污染物名称</w:t>
            </w:r>
          </w:p>
        </w:tc>
        <w:tc>
          <w:tcPr>
            <w:tcW w:w="2264" w:type="pct"/>
            <w:gridSpan w:val="3"/>
            <w:vAlign w:val="center"/>
          </w:tcPr>
          <w:p w14:paraId="2D1F087B">
            <w:pPr>
              <w:pStyle w:val="129"/>
              <w:widowControl w:val="0"/>
              <w:rPr>
                <w:color w:val="auto"/>
              </w:rPr>
            </w:pPr>
            <w:r>
              <w:rPr>
                <w:color w:val="auto"/>
              </w:rPr>
              <w:t>浓度限值</w:t>
            </w:r>
          </w:p>
        </w:tc>
        <w:tc>
          <w:tcPr>
            <w:tcW w:w="582" w:type="pct"/>
            <w:vMerge w:val="restart"/>
            <w:vAlign w:val="center"/>
          </w:tcPr>
          <w:p w14:paraId="1A9511BB">
            <w:pPr>
              <w:pStyle w:val="129"/>
              <w:widowControl w:val="0"/>
              <w:rPr>
                <w:color w:val="auto"/>
              </w:rPr>
            </w:pPr>
            <w:r>
              <w:rPr>
                <w:rFonts w:hint="eastAsia"/>
                <w:color w:val="auto"/>
              </w:rPr>
              <w:t>单位</w:t>
            </w:r>
          </w:p>
        </w:tc>
        <w:tc>
          <w:tcPr>
            <w:tcW w:w="1195" w:type="pct"/>
            <w:vMerge w:val="restart"/>
            <w:vAlign w:val="center"/>
          </w:tcPr>
          <w:p w14:paraId="63D5EB81">
            <w:pPr>
              <w:pStyle w:val="129"/>
              <w:widowControl w:val="0"/>
              <w:rPr>
                <w:color w:val="auto"/>
              </w:rPr>
            </w:pPr>
            <w:r>
              <w:rPr>
                <w:color w:val="auto"/>
              </w:rPr>
              <w:t>标准来源</w:t>
            </w:r>
          </w:p>
        </w:tc>
      </w:tr>
      <w:tr w14:paraId="0B037E4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Merge w:val="continue"/>
            <w:vAlign w:val="center"/>
          </w:tcPr>
          <w:p w14:paraId="63ED1AE1">
            <w:pPr>
              <w:pStyle w:val="129"/>
              <w:widowControl w:val="0"/>
              <w:rPr>
                <w:color w:val="auto"/>
              </w:rPr>
            </w:pPr>
          </w:p>
        </w:tc>
        <w:tc>
          <w:tcPr>
            <w:tcW w:w="564" w:type="pct"/>
            <w:vMerge w:val="continue"/>
            <w:vAlign w:val="center"/>
          </w:tcPr>
          <w:p w14:paraId="1A2D1171">
            <w:pPr>
              <w:pStyle w:val="129"/>
              <w:widowControl w:val="0"/>
              <w:rPr>
                <w:color w:val="auto"/>
              </w:rPr>
            </w:pPr>
          </w:p>
        </w:tc>
        <w:tc>
          <w:tcPr>
            <w:tcW w:w="712" w:type="pct"/>
            <w:vAlign w:val="center"/>
          </w:tcPr>
          <w:p w14:paraId="4E02DE83">
            <w:pPr>
              <w:pStyle w:val="129"/>
              <w:widowControl w:val="0"/>
              <w:rPr>
                <w:color w:val="auto"/>
              </w:rPr>
            </w:pPr>
            <w:r>
              <w:rPr>
                <w:color w:val="auto"/>
              </w:rPr>
              <w:t>1小时平均</w:t>
            </w:r>
          </w:p>
        </w:tc>
        <w:tc>
          <w:tcPr>
            <w:tcW w:w="854" w:type="pct"/>
            <w:vAlign w:val="center"/>
          </w:tcPr>
          <w:p w14:paraId="5F1F25D9">
            <w:pPr>
              <w:pStyle w:val="129"/>
              <w:widowControl w:val="0"/>
              <w:rPr>
                <w:color w:val="auto"/>
              </w:rPr>
            </w:pPr>
            <w:r>
              <w:rPr>
                <w:color w:val="auto"/>
              </w:rPr>
              <w:t>24小时平均</w:t>
            </w:r>
          </w:p>
        </w:tc>
        <w:tc>
          <w:tcPr>
            <w:tcW w:w="698" w:type="pct"/>
            <w:vAlign w:val="center"/>
          </w:tcPr>
          <w:p w14:paraId="48FBE301">
            <w:pPr>
              <w:pStyle w:val="129"/>
              <w:widowControl w:val="0"/>
              <w:rPr>
                <w:color w:val="auto"/>
              </w:rPr>
            </w:pPr>
            <w:r>
              <w:rPr>
                <w:color w:val="auto"/>
              </w:rPr>
              <w:t>年平均</w:t>
            </w:r>
          </w:p>
        </w:tc>
        <w:tc>
          <w:tcPr>
            <w:tcW w:w="582" w:type="pct"/>
            <w:vMerge w:val="continue"/>
            <w:vAlign w:val="center"/>
          </w:tcPr>
          <w:p w14:paraId="024069CB">
            <w:pPr>
              <w:pStyle w:val="129"/>
              <w:widowControl w:val="0"/>
              <w:rPr>
                <w:color w:val="auto"/>
              </w:rPr>
            </w:pPr>
          </w:p>
        </w:tc>
        <w:tc>
          <w:tcPr>
            <w:tcW w:w="1195" w:type="pct"/>
            <w:vMerge w:val="continue"/>
            <w:vAlign w:val="center"/>
          </w:tcPr>
          <w:p w14:paraId="7C274EB5">
            <w:pPr>
              <w:pStyle w:val="129"/>
              <w:widowControl w:val="0"/>
              <w:rPr>
                <w:color w:val="auto"/>
              </w:rPr>
            </w:pPr>
          </w:p>
        </w:tc>
      </w:tr>
      <w:tr w14:paraId="530F5B6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Align w:val="center"/>
          </w:tcPr>
          <w:p w14:paraId="20103267">
            <w:pPr>
              <w:pStyle w:val="129"/>
              <w:widowControl w:val="0"/>
              <w:rPr>
                <w:color w:val="auto"/>
              </w:rPr>
            </w:pPr>
            <w:r>
              <w:rPr>
                <w:color w:val="auto"/>
              </w:rPr>
              <w:t>1</w:t>
            </w:r>
          </w:p>
        </w:tc>
        <w:tc>
          <w:tcPr>
            <w:tcW w:w="564" w:type="pct"/>
            <w:vAlign w:val="center"/>
          </w:tcPr>
          <w:p w14:paraId="286A4D45">
            <w:pPr>
              <w:pStyle w:val="129"/>
              <w:widowControl w:val="0"/>
              <w:rPr>
                <w:color w:val="auto"/>
              </w:rPr>
            </w:pPr>
            <w:r>
              <w:rPr>
                <w:color w:val="auto"/>
              </w:rPr>
              <w:t>SO</w:t>
            </w:r>
            <w:r>
              <w:rPr>
                <w:color w:val="auto"/>
                <w:vertAlign w:val="subscript"/>
              </w:rPr>
              <w:t>2</w:t>
            </w:r>
          </w:p>
        </w:tc>
        <w:tc>
          <w:tcPr>
            <w:tcW w:w="712" w:type="pct"/>
            <w:vAlign w:val="center"/>
          </w:tcPr>
          <w:p w14:paraId="11231E38">
            <w:pPr>
              <w:pStyle w:val="129"/>
              <w:widowControl w:val="0"/>
              <w:rPr>
                <w:color w:val="auto"/>
              </w:rPr>
            </w:pPr>
            <w:r>
              <w:rPr>
                <w:rFonts w:hint="eastAsia"/>
                <w:color w:val="auto"/>
              </w:rPr>
              <w:t>500</w:t>
            </w:r>
          </w:p>
        </w:tc>
        <w:tc>
          <w:tcPr>
            <w:tcW w:w="854" w:type="pct"/>
            <w:vAlign w:val="center"/>
          </w:tcPr>
          <w:p w14:paraId="0B4B0F22">
            <w:pPr>
              <w:pStyle w:val="129"/>
              <w:widowControl w:val="0"/>
              <w:rPr>
                <w:color w:val="auto"/>
              </w:rPr>
            </w:pPr>
            <w:r>
              <w:rPr>
                <w:rFonts w:hint="eastAsia"/>
                <w:color w:val="auto"/>
              </w:rPr>
              <w:t>150</w:t>
            </w:r>
          </w:p>
        </w:tc>
        <w:tc>
          <w:tcPr>
            <w:tcW w:w="698" w:type="pct"/>
            <w:vAlign w:val="center"/>
          </w:tcPr>
          <w:p w14:paraId="59903516">
            <w:pPr>
              <w:pStyle w:val="129"/>
              <w:widowControl w:val="0"/>
              <w:rPr>
                <w:color w:val="auto"/>
              </w:rPr>
            </w:pPr>
            <w:r>
              <w:rPr>
                <w:rFonts w:hint="eastAsia"/>
                <w:color w:val="auto"/>
              </w:rPr>
              <w:t>60</w:t>
            </w:r>
          </w:p>
        </w:tc>
        <w:tc>
          <w:tcPr>
            <w:tcW w:w="582" w:type="pct"/>
            <w:vMerge w:val="restart"/>
            <w:vAlign w:val="center"/>
          </w:tcPr>
          <w:p w14:paraId="0C516D81">
            <w:pPr>
              <w:pStyle w:val="129"/>
              <w:widowControl w:val="0"/>
              <w:rPr>
                <w:color w:val="auto"/>
              </w:rPr>
            </w:pPr>
            <w:r>
              <w:rPr>
                <w:rFonts w:hint="eastAsia"/>
                <w:color w:val="auto"/>
              </w:rPr>
              <w:t>μg/m3</w:t>
            </w:r>
          </w:p>
        </w:tc>
        <w:tc>
          <w:tcPr>
            <w:tcW w:w="1195" w:type="pct"/>
            <w:vMerge w:val="restart"/>
            <w:vAlign w:val="center"/>
          </w:tcPr>
          <w:p w14:paraId="2AE29F8B">
            <w:pPr>
              <w:pStyle w:val="129"/>
              <w:widowControl w:val="0"/>
              <w:rPr>
                <w:color w:val="auto"/>
              </w:rPr>
            </w:pPr>
            <w:r>
              <w:rPr>
                <w:color w:val="auto"/>
              </w:rPr>
              <w:t>GB3095-20</w:t>
            </w:r>
            <w:r>
              <w:rPr>
                <w:rFonts w:hint="eastAsia"/>
                <w:color w:val="auto"/>
              </w:rPr>
              <w:t>26过渡阶段浓度限值</w:t>
            </w:r>
          </w:p>
        </w:tc>
      </w:tr>
      <w:tr w14:paraId="042243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Align w:val="center"/>
          </w:tcPr>
          <w:p w14:paraId="0F3187CF">
            <w:pPr>
              <w:pStyle w:val="129"/>
              <w:widowControl w:val="0"/>
              <w:rPr>
                <w:color w:val="auto"/>
              </w:rPr>
            </w:pPr>
            <w:r>
              <w:rPr>
                <w:color w:val="auto"/>
              </w:rPr>
              <w:t>2</w:t>
            </w:r>
          </w:p>
        </w:tc>
        <w:tc>
          <w:tcPr>
            <w:tcW w:w="564" w:type="pct"/>
            <w:vAlign w:val="center"/>
          </w:tcPr>
          <w:p w14:paraId="7A33D56E">
            <w:pPr>
              <w:pStyle w:val="129"/>
              <w:widowControl w:val="0"/>
              <w:rPr>
                <w:color w:val="auto"/>
              </w:rPr>
            </w:pPr>
            <w:r>
              <w:rPr>
                <w:color w:val="auto"/>
              </w:rPr>
              <w:t>NO</w:t>
            </w:r>
            <w:r>
              <w:rPr>
                <w:color w:val="auto"/>
                <w:vertAlign w:val="subscript"/>
              </w:rPr>
              <w:t>2</w:t>
            </w:r>
          </w:p>
        </w:tc>
        <w:tc>
          <w:tcPr>
            <w:tcW w:w="712" w:type="pct"/>
            <w:vAlign w:val="center"/>
          </w:tcPr>
          <w:p w14:paraId="318FD6DF">
            <w:pPr>
              <w:pStyle w:val="129"/>
              <w:widowControl w:val="0"/>
              <w:rPr>
                <w:color w:val="auto"/>
              </w:rPr>
            </w:pPr>
            <w:r>
              <w:rPr>
                <w:rFonts w:hint="eastAsia"/>
                <w:color w:val="auto"/>
              </w:rPr>
              <w:t>200</w:t>
            </w:r>
          </w:p>
        </w:tc>
        <w:tc>
          <w:tcPr>
            <w:tcW w:w="854" w:type="pct"/>
            <w:vAlign w:val="center"/>
          </w:tcPr>
          <w:p w14:paraId="7632F0DD">
            <w:pPr>
              <w:pStyle w:val="129"/>
              <w:widowControl w:val="0"/>
              <w:rPr>
                <w:color w:val="auto"/>
              </w:rPr>
            </w:pPr>
            <w:r>
              <w:rPr>
                <w:rFonts w:hint="eastAsia"/>
                <w:color w:val="auto"/>
              </w:rPr>
              <w:t>80</w:t>
            </w:r>
          </w:p>
        </w:tc>
        <w:tc>
          <w:tcPr>
            <w:tcW w:w="698" w:type="pct"/>
            <w:vAlign w:val="center"/>
          </w:tcPr>
          <w:p w14:paraId="1B4F55E8">
            <w:pPr>
              <w:pStyle w:val="129"/>
              <w:widowControl w:val="0"/>
              <w:rPr>
                <w:color w:val="auto"/>
              </w:rPr>
            </w:pPr>
            <w:r>
              <w:rPr>
                <w:rFonts w:hint="eastAsia"/>
                <w:color w:val="auto"/>
              </w:rPr>
              <w:t>40</w:t>
            </w:r>
          </w:p>
        </w:tc>
        <w:tc>
          <w:tcPr>
            <w:tcW w:w="582" w:type="pct"/>
            <w:vMerge w:val="continue"/>
            <w:vAlign w:val="center"/>
          </w:tcPr>
          <w:p w14:paraId="4D9F766E">
            <w:pPr>
              <w:pStyle w:val="129"/>
              <w:widowControl w:val="0"/>
              <w:rPr>
                <w:color w:val="auto"/>
              </w:rPr>
            </w:pPr>
          </w:p>
        </w:tc>
        <w:tc>
          <w:tcPr>
            <w:tcW w:w="1195" w:type="pct"/>
            <w:vMerge w:val="continue"/>
            <w:vAlign w:val="center"/>
          </w:tcPr>
          <w:p w14:paraId="798F28EF">
            <w:pPr>
              <w:pStyle w:val="129"/>
              <w:widowControl w:val="0"/>
              <w:rPr>
                <w:color w:val="auto"/>
              </w:rPr>
            </w:pPr>
          </w:p>
        </w:tc>
      </w:tr>
      <w:tr w14:paraId="43EC33C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Align w:val="center"/>
          </w:tcPr>
          <w:p w14:paraId="319397C3">
            <w:pPr>
              <w:pStyle w:val="129"/>
              <w:widowControl w:val="0"/>
              <w:rPr>
                <w:color w:val="auto"/>
              </w:rPr>
            </w:pPr>
            <w:r>
              <w:rPr>
                <w:color w:val="auto"/>
              </w:rPr>
              <w:t>3</w:t>
            </w:r>
          </w:p>
        </w:tc>
        <w:tc>
          <w:tcPr>
            <w:tcW w:w="564" w:type="pct"/>
            <w:vAlign w:val="center"/>
          </w:tcPr>
          <w:p w14:paraId="0631D914">
            <w:pPr>
              <w:pStyle w:val="129"/>
              <w:widowControl w:val="0"/>
              <w:rPr>
                <w:color w:val="auto"/>
              </w:rPr>
            </w:pPr>
            <w:r>
              <w:rPr>
                <w:color w:val="auto"/>
              </w:rPr>
              <w:t>PM</w:t>
            </w:r>
            <w:r>
              <w:rPr>
                <w:color w:val="auto"/>
                <w:vertAlign w:val="subscript"/>
              </w:rPr>
              <w:t>10</w:t>
            </w:r>
          </w:p>
        </w:tc>
        <w:tc>
          <w:tcPr>
            <w:tcW w:w="712" w:type="pct"/>
            <w:vAlign w:val="center"/>
          </w:tcPr>
          <w:p w14:paraId="41618173">
            <w:pPr>
              <w:pStyle w:val="129"/>
              <w:widowControl w:val="0"/>
              <w:rPr>
                <w:color w:val="auto"/>
              </w:rPr>
            </w:pPr>
            <w:r>
              <w:rPr>
                <w:color w:val="auto"/>
              </w:rPr>
              <w:t>-</w:t>
            </w:r>
          </w:p>
        </w:tc>
        <w:tc>
          <w:tcPr>
            <w:tcW w:w="854" w:type="pct"/>
            <w:vAlign w:val="center"/>
          </w:tcPr>
          <w:p w14:paraId="54AFE08F">
            <w:pPr>
              <w:pStyle w:val="129"/>
              <w:widowControl w:val="0"/>
              <w:rPr>
                <w:color w:val="auto"/>
              </w:rPr>
            </w:pPr>
            <w:r>
              <w:rPr>
                <w:rFonts w:hint="eastAsia"/>
                <w:color w:val="auto"/>
              </w:rPr>
              <w:t>120</w:t>
            </w:r>
          </w:p>
        </w:tc>
        <w:tc>
          <w:tcPr>
            <w:tcW w:w="698" w:type="pct"/>
            <w:vAlign w:val="center"/>
          </w:tcPr>
          <w:p w14:paraId="7A46A83C">
            <w:pPr>
              <w:pStyle w:val="129"/>
              <w:widowControl w:val="0"/>
              <w:rPr>
                <w:color w:val="auto"/>
              </w:rPr>
            </w:pPr>
            <w:r>
              <w:rPr>
                <w:rFonts w:hint="eastAsia"/>
                <w:color w:val="auto"/>
              </w:rPr>
              <w:t>60</w:t>
            </w:r>
          </w:p>
        </w:tc>
        <w:tc>
          <w:tcPr>
            <w:tcW w:w="582" w:type="pct"/>
            <w:vMerge w:val="continue"/>
            <w:vAlign w:val="center"/>
          </w:tcPr>
          <w:p w14:paraId="03B10148">
            <w:pPr>
              <w:pStyle w:val="129"/>
              <w:widowControl w:val="0"/>
              <w:rPr>
                <w:color w:val="auto"/>
              </w:rPr>
            </w:pPr>
          </w:p>
        </w:tc>
        <w:tc>
          <w:tcPr>
            <w:tcW w:w="1195" w:type="pct"/>
            <w:vMerge w:val="continue"/>
            <w:vAlign w:val="center"/>
          </w:tcPr>
          <w:p w14:paraId="388AE7D2">
            <w:pPr>
              <w:pStyle w:val="129"/>
              <w:widowControl w:val="0"/>
              <w:rPr>
                <w:color w:val="auto"/>
              </w:rPr>
            </w:pPr>
          </w:p>
        </w:tc>
      </w:tr>
      <w:tr w14:paraId="59EEB0D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Align w:val="center"/>
          </w:tcPr>
          <w:p w14:paraId="578A9CD3">
            <w:pPr>
              <w:pStyle w:val="129"/>
              <w:widowControl w:val="0"/>
              <w:rPr>
                <w:color w:val="auto"/>
              </w:rPr>
            </w:pPr>
            <w:r>
              <w:rPr>
                <w:color w:val="auto"/>
              </w:rPr>
              <w:t>4</w:t>
            </w:r>
          </w:p>
        </w:tc>
        <w:tc>
          <w:tcPr>
            <w:tcW w:w="564" w:type="pct"/>
            <w:vAlign w:val="center"/>
          </w:tcPr>
          <w:p w14:paraId="7BAF3473">
            <w:pPr>
              <w:pStyle w:val="129"/>
              <w:widowControl w:val="0"/>
              <w:rPr>
                <w:color w:val="auto"/>
              </w:rPr>
            </w:pPr>
            <w:r>
              <w:rPr>
                <w:color w:val="auto"/>
              </w:rPr>
              <w:t>PM</w:t>
            </w:r>
            <w:r>
              <w:rPr>
                <w:color w:val="auto"/>
                <w:vertAlign w:val="subscript"/>
              </w:rPr>
              <w:t>2.5</w:t>
            </w:r>
          </w:p>
        </w:tc>
        <w:tc>
          <w:tcPr>
            <w:tcW w:w="712" w:type="pct"/>
            <w:vAlign w:val="center"/>
          </w:tcPr>
          <w:p w14:paraId="0B7C0BE7">
            <w:pPr>
              <w:pStyle w:val="129"/>
              <w:widowControl w:val="0"/>
              <w:rPr>
                <w:color w:val="auto"/>
              </w:rPr>
            </w:pPr>
            <w:r>
              <w:rPr>
                <w:color w:val="auto"/>
              </w:rPr>
              <w:t>-</w:t>
            </w:r>
          </w:p>
        </w:tc>
        <w:tc>
          <w:tcPr>
            <w:tcW w:w="854" w:type="pct"/>
            <w:vAlign w:val="center"/>
          </w:tcPr>
          <w:p w14:paraId="30E15497">
            <w:pPr>
              <w:pStyle w:val="129"/>
              <w:widowControl w:val="0"/>
              <w:rPr>
                <w:color w:val="auto"/>
              </w:rPr>
            </w:pPr>
            <w:r>
              <w:rPr>
                <w:rFonts w:hint="eastAsia"/>
                <w:color w:val="auto"/>
              </w:rPr>
              <w:t>60</w:t>
            </w:r>
          </w:p>
        </w:tc>
        <w:tc>
          <w:tcPr>
            <w:tcW w:w="698" w:type="pct"/>
            <w:vAlign w:val="center"/>
          </w:tcPr>
          <w:p w14:paraId="4F76FD1F">
            <w:pPr>
              <w:pStyle w:val="129"/>
              <w:widowControl w:val="0"/>
              <w:rPr>
                <w:color w:val="auto"/>
              </w:rPr>
            </w:pPr>
            <w:r>
              <w:rPr>
                <w:rFonts w:hint="eastAsia"/>
                <w:color w:val="auto"/>
              </w:rPr>
              <w:t>30</w:t>
            </w:r>
          </w:p>
        </w:tc>
        <w:tc>
          <w:tcPr>
            <w:tcW w:w="582" w:type="pct"/>
            <w:vMerge w:val="continue"/>
            <w:vAlign w:val="center"/>
          </w:tcPr>
          <w:p w14:paraId="22D9670E">
            <w:pPr>
              <w:pStyle w:val="129"/>
              <w:widowControl w:val="0"/>
              <w:rPr>
                <w:color w:val="auto"/>
              </w:rPr>
            </w:pPr>
          </w:p>
        </w:tc>
        <w:tc>
          <w:tcPr>
            <w:tcW w:w="1195" w:type="pct"/>
            <w:vMerge w:val="continue"/>
            <w:vAlign w:val="center"/>
          </w:tcPr>
          <w:p w14:paraId="095340EE">
            <w:pPr>
              <w:pStyle w:val="129"/>
              <w:widowControl w:val="0"/>
              <w:rPr>
                <w:color w:val="auto"/>
              </w:rPr>
            </w:pPr>
          </w:p>
        </w:tc>
      </w:tr>
      <w:tr w14:paraId="4640CD6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Align w:val="center"/>
          </w:tcPr>
          <w:p w14:paraId="35023145">
            <w:pPr>
              <w:pStyle w:val="129"/>
              <w:widowControl w:val="0"/>
              <w:rPr>
                <w:color w:val="auto"/>
              </w:rPr>
            </w:pPr>
            <w:r>
              <w:rPr>
                <w:color w:val="auto"/>
              </w:rPr>
              <w:t>5</w:t>
            </w:r>
          </w:p>
        </w:tc>
        <w:tc>
          <w:tcPr>
            <w:tcW w:w="564" w:type="pct"/>
            <w:vAlign w:val="center"/>
          </w:tcPr>
          <w:p w14:paraId="3028FAC2">
            <w:pPr>
              <w:pStyle w:val="129"/>
              <w:widowControl w:val="0"/>
              <w:rPr>
                <w:color w:val="auto"/>
              </w:rPr>
            </w:pPr>
            <w:r>
              <w:rPr>
                <w:color w:val="auto"/>
              </w:rPr>
              <w:t>O</w:t>
            </w:r>
            <w:r>
              <w:rPr>
                <w:color w:val="auto"/>
                <w:vertAlign w:val="subscript"/>
              </w:rPr>
              <w:t>3</w:t>
            </w:r>
          </w:p>
        </w:tc>
        <w:tc>
          <w:tcPr>
            <w:tcW w:w="712" w:type="pct"/>
            <w:vAlign w:val="center"/>
          </w:tcPr>
          <w:p w14:paraId="2F28C463">
            <w:pPr>
              <w:pStyle w:val="129"/>
              <w:widowControl w:val="0"/>
              <w:rPr>
                <w:color w:val="auto"/>
              </w:rPr>
            </w:pPr>
            <w:r>
              <w:rPr>
                <w:rFonts w:hint="eastAsia"/>
                <w:color w:val="auto"/>
              </w:rPr>
              <w:t>200</w:t>
            </w:r>
          </w:p>
        </w:tc>
        <w:tc>
          <w:tcPr>
            <w:tcW w:w="854" w:type="pct"/>
            <w:vAlign w:val="center"/>
          </w:tcPr>
          <w:p w14:paraId="4A02D09F">
            <w:pPr>
              <w:pStyle w:val="129"/>
              <w:widowControl w:val="0"/>
              <w:rPr>
                <w:color w:val="auto"/>
              </w:rPr>
            </w:pPr>
            <w:r>
              <w:rPr>
                <w:color w:val="auto"/>
              </w:rPr>
              <w:t>-</w:t>
            </w:r>
          </w:p>
        </w:tc>
        <w:tc>
          <w:tcPr>
            <w:tcW w:w="698" w:type="pct"/>
            <w:vAlign w:val="center"/>
          </w:tcPr>
          <w:p w14:paraId="690A489D">
            <w:pPr>
              <w:pStyle w:val="129"/>
              <w:widowControl w:val="0"/>
              <w:rPr>
                <w:color w:val="auto"/>
              </w:rPr>
            </w:pPr>
            <w:r>
              <w:rPr>
                <w:color w:val="auto"/>
              </w:rPr>
              <w:t>-</w:t>
            </w:r>
          </w:p>
        </w:tc>
        <w:tc>
          <w:tcPr>
            <w:tcW w:w="582" w:type="pct"/>
            <w:vMerge w:val="continue"/>
            <w:vAlign w:val="center"/>
          </w:tcPr>
          <w:p w14:paraId="4A909B9B">
            <w:pPr>
              <w:pStyle w:val="129"/>
              <w:widowControl w:val="0"/>
              <w:rPr>
                <w:color w:val="auto"/>
              </w:rPr>
            </w:pPr>
          </w:p>
        </w:tc>
        <w:tc>
          <w:tcPr>
            <w:tcW w:w="1195" w:type="pct"/>
            <w:vMerge w:val="continue"/>
            <w:vAlign w:val="center"/>
          </w:tcPr>
          <w:p w14:paraId="28AE6AB8">
            <w:pPr>
              <w:pStyle w:val="129"/>
              <w:widowControl w:val="0"/>
              <w:rPr>
                <w:color w:val="auto"/>
              </w:rPr>
            </w:pPr>
          </w:p>
        </w:tc>
      </w:tr>
      <w:tr w14:paraId="50FCFA3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Align w:val="center"/>
          </w:tcPr>
          <w:p w14:paraId="3F153AAB">
            <w:pPr>
              <w:pStyle w:val="129"/>
              <w:widowControl w:val="0"/>
              <w:rPr>
                <w:color w:val="auto"/>
              </w:rPr>
            </w:pPr>
            <w:r>
              <w:rPr>
                <w:color w:val="auto"/>
              </w:rPr>
              <w:t>6</w:t>
            </w:r>
          </w:p>
        </w:tc>
        <w:tc>
          <w:tcPr>
            <w:tcW w:w="564" w:type="pct"/>
            <w:vAlign w:val="center"/>
          </w:tcPr>
          <w:p w14:paraId="2C787FD3">
            <w:pPr>
              <w:pStyle w:val="129"/>
              <w:widowControl w:val="0"/>
              <w:rPr>
                <w:color w:val="auto"/>
              </w:rPr>
            </w:pPr>
            <w:r>
              <w:rPr>
                <w:color w:val="auto"/>
              </w:rPr>
              <w:t>CO</w:t>
            </w:r>
          </w:p>
        </w:tc>
        <w:tc>
          <w:tcPr>
            <w:tcW w:w="712" w:type="pct"/>
            <w:vAlign w:val="center"/>
          </w:tcPr>
          <w:p w14:paraId="25CC82FE">
            <w:pPr>
              <w:pStyle w:val="129"/>
              <w:widowControl w:val="0"/>
              <w:rPr>
                <w:color w:val="auto"/>
              </w:rPr>
            </w:pPr>
            <w:r>
              <w:rPr>
                <w:color w:val="auto"/>
              </w:rPr>
              <w:t>10</w:t>
            </w:r>
          </w:p>
        </w:tc>
        <w:tc>
          <w:tcPr>
            <w:tcW w:w="854" w:type="pct"/>
            <w:vAlign w:val="center"/>
          </w:tcPr>
          <w:p w14:paraId="31CA0CBC">
            <w:pPr>
              <w:pStyle w:val="129"/>
              <w:widowControl w:val="0"/>
              <w:rPr>
                <w:color w:val="auto"/>
              </w:rPr>
            </w:pPr>
            <w:r>
              <w:rPr>
                <w:color w:val="auto"/>
              </w:rPr>
              <w:t>4</w:t>
            </w:r>
          </w:p>
        </w:tc>
        <w:tc>
          <w:tcPr>
            <w:tcW w:w="698" w:type="pct"/>
            <w:vAlign w:val="center"/>
          </w:tcPr>
          <w:p w14:paraId="2F57668F">
            <w:pPr>
              <w:pStyle w:val="129"/>
              <w:widowControl w:val="0"/>
              <w:rPr>
                <w:color w:val="auto"/>
              </w:rPr>
            </w:pPr>
            <w:r>
              <w:rPr>
                <w:color w:val="auto"/>
              </w:rPr>
              <w:t>-</w:t>
            </w:r>
          </w:p>
        </w:tc>
        <w:tc>
          <w:tcPr>
            <w:tcW w:w="582" w:type="pct"/>
            <w:vAlign w:val="center"/>
          </w:tcPr>
          <w:p w14:paraId="470642C2">
            <w:pPr>
              <w:pStyle w:val="129"/>
              <w:widowControl w:val="0"/>
              <w:rPr>
                <w:color w:val="auto"/>
              </w:rPr>
            </w:pPr>
            <w:r>
              <w:rPr>
                <w:color w:val="auto"/>
              </w:rPr>
              <w:t>mg/m</w:t>
            </w:r>
            <w:r>
              <w:rPr>
                <w:color w:val="auto"/>
                <w:vertAlign w:val="superscript"/>
              </w:rPr>
              <w:t>3</w:t>
            </w:r>
          </w:p>
        </w:tc>
        <w:tc>
          <w:tcPr>
            <w:tcW w:w="1195" w:type="pct"/>
            <w:vMerge w:val="continue"/>
            <w:vAlign w:val="center"/>
          </w:tcPr>
          <w:p w14:paraId="563BD8E7">
            <w:pPr>
              <w:pStyle w:val="129"/>
              <w:widowControl w:val="0"/>
              <w:rPr>
                <w:color w:val="auto"/>
              </w:rPr>
            </w:pPr>
          </w:p>
        </w:tc>
      </w:tr>
      <w:tr w14:paraId="72A8E92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95" w:type="pct"/>
            <w:vAlign w:val="center"/>
          </w:tcPr>
          <w:p w14:paraId="1419250C">
            <w:pPr>
              <w:pStyle w:val="129"/>
              <w:widowControl w:val="0"/>
              <w:rPr>
                <w:color w:val="auto"/>
              </w:rPr>
            </w:pPr>
            <w:r>
              <w:rPr>
                <w:rFonts w:hint="eastAsia"/>
                <w:color w:val="auto"/>
              </w:rPr>
              <w:t>8</w:t>
            </w:r>
          </w:p>
        </w:tc>
        <w:tc>
          <w:tcPr>
            <w:tcW w:w="564" w:type="pct"/>
            <w:vAlign w:val="center"/>
          </w:tcPr>
          <w:p w14:paraId="23AEEEE4">
            <w:pPr>
              <w:pStyle w:val="129"/>
              <w:widowControl w:val="0"/>
              <w:rPr>
                <w:color w:val="auto"/>
              </w:rPr>
            </w:pPr>
            <w:r>
              <w:rPr>
                <w:color w:val="auto"/>
              </w:rPr>
              <w:t>NH</w:t>
            </w:r>
            <w:r>
              <w:rPr>
                <w:color w:val="auto"/>
                <w:vertAlign w:val="subscript"/>
              </w:rPr>
              <w:t>3</w:t>
            </w:r>
          </w:p>
        </w:tc>
        <w:tc>
          <w:tcPr>
            <w:tcW w:w="712" w:type="pct"/>
            <w:vAlign w:val="center"/>
          </w:tcPr>
          <w:p w14:paraId="090F56C8">
            <w:pPr>
              <w:pStyle w:val="129"/>
              <w:widowControl w:val="0"/>
              <w:rPr>
                <w:color w:val="auto"/>
              </w:rPr>
            </w:pPr>
            <w:r>
              <w:rPr>
                <w:rFonts w:hint="eastAsia"/>
                <w:color w:val="auto"/>
              </w:rPr>
              <w:t>200</w:t>
            </w:r>
          </w:p>
        </w:tc>
        <w:tc>
          <w:tcPr>
            <w:tcW w:w="854" w:type="pct"/>
            <w:vAlign w:val="center"/>
          </w:tcPr>
          <w:p w14:paraId="2C80E1BE">
            <w:pPr>
              <w:pStyle w:val="129"/>
              <w:widowControl w:val="0"/>
              <w:rPr>
                <w:color w:val="auto"/>
              </w:rPr>
            </w:pPr>
            <w:r>
              <w:rPr>
                <w:color w:val="auto"/>
              </w:rPr>
              <w:t>-</w:t>
            </w:r>
          </w:p>
        </w:tc>
        <w:tc>
          <w:tcPr>
            <w:tcW w:w="698" w:type="pct"/>
            <w:vAlign w:val="center"/>
          </w:tcPr>
          <w:p w14:paraId="6760FA81">
            <w:pPr>
              <w:pStyle w:val="129"/>
              <w:widowControl w:val="0"/>
              <w:rPr>
                <w:color w:val="auto"/>
              </w:rPr>
            </w:pPr>
            <w:r>
              <w:rPr>
                <w:color w:val="auto"/>
              </w:rPr>
              <w:t>-</w:t>
            </w:r>
          </w:p>
        </w:tc>
        <w:tc>
          <w:tcPr>
            <w:tcW w:w="582" w:type="pct"/>
            <w:vAlign w:val="center"/>
          </w:tcPr>
          <w:p w14:paraId="0E7727D1">
            <w:pPr>
              <w:pStyle w:val="129"/>
              <w:widowControl w:val="0"/>
              <w:rPr>
                <w:color w:val="auto"/>
              </w:rPr>
            </w:pPr>
            <w:r>
              <w:rPr>
                <w:rFonts w:hint="eastAsia"/>
                <w:color w:val="auto"/>
              </w:rPr>
              <w:t>μg/m</w:t>
            </w:r>
            <w:r>
              <w:rPr>
                <w:rFonts w:hint="eastAsia"/>
                <w:color w:val="auto"/>
                <w:vertAlign w:val="superscript"/>
              </w:rPr>
              <w:t>3</w:t>
            </w:r>
          </w:p>
        </w:tc>
        <w:tc>
          <w:tcPr>
            <w:tcW w:w="1195" w:type="pct"/>
            <w:vAlign w:val="center"/>
          </w:tcPr>
          <w:p w14:paraId="0C3F478F">
            <w:pPr>
              <w:pStyle w:val="129"/>
              <w:widowControl w:val="0"/>
              <w:rPr>
                <w:color w:val="auto"/>
              </w:rPr>
            </w:pPr>
            <w:r>
              <w:rPr>
                <w:rFonts w:eastAsia="Times New Roman"/>
                <w:color w:val="auto"/>
              </w:rPr>
              <w:t>HJ 2.2</w:t>
            </w:r>
            <w:r>
              <w:rPr>
                <w:color w:val="auto"/>
              </w:rPr>
              <w:t>-</w:t>
            </w:r>
            <w:r>
              <w:rPr>
                <w:rFonts w:eastAsia="Times New Roman"/>
                <w:color w:val="auto"/>
              </w:rPr>
              <w:t>20</w:t>
            </w:r>
            <w:r>
              <w:rPr>
                <w:color w:val="auto"/>
              </w:rPr>
              <w:t>1</w:t>
            </w:r>
            <w:r>
              <w:rPr>
                <w:rFonts w:eastAsia="Times New Roman"/>
                <w:color w:val="auto"/>
              </w:rPr>
              <w:t>8</w:t>
            </w:r>
            <w:r>
              <w:rPr>
                <w:color w:val="auto"/>
              </w:rPr>
              <w:t>附录D</w:t>
            </w:r>
          </w:p>
        </w:tc>
      </w:tr>
    </w:tbl>
    <w:p w14:paraId="550468F5">
      <w:pPr>
        <w:pStyle w:val="1304"/>
        <w:rPr>
          <w:color w:val="auto"/>
        </w:rPr>
      </w:pPr>
    </w:p>
    <w:p w14:paraId="253B746B">
      <w:pPr>
        <w:pStyle w:val="5"/>
        <w:rPr>
          <w:color w:val="auto"/>
        </w:rPr>
      </w:pPr>
      <w:r>
        <w:rPr>
          <w:rFonts w:hint="eastAsia"/>
          <w:color w:val="auto"/>
        </w:rPr>
        <w:t>地下水环境质量标准</w:t>
      </w:r>
    </w:p>
    <w:p w14:paraId="74EDF88C">
      <w:pPr>
        <w:pStyle w:val="132"/>
        <w:rPr>
          <w:color w:val="auto"/>
        </w:rPr>
      </w:pPr>
      <w:r>
        <w:rPr>
          <w:color w:val="auto"/>
        </w:rPr>
        <w:t>地下水水质</w:t>
      </w:r>
      <w:r>
        <w:rPr>
          <w:rFonts w:hint="eastAsia"/>
          <w:color w:val="auto"/>
        </w:rPr>
        <w:t>参照</w:t>
      </w:r>
      <w:r>
        <w:rPr>
          <w:color w:val="auto"/>
        </w:rPr>
        <w:t>《地下水质量标准》（GB/T 14848-2017）中的Ⅲ类标准</w:t>
      </w:r>
      <w:r>
        <w:rPr>
          <w:rFonts w:hint="eastAsia"/>
          <w:color w:val="auto"/>
        </w:rPr>
        <w:t>进行评价</w:t>
      </w:r>
      <w:r>
        <w:rPr>
          <w:color w:val="auto"/>
        </w:rPr>
        <w:t>，标准值见表2.</w:t>
      </w:r>
      <w:r>
        <w:rPr>
          <w:rFonts w:hint="eastAsia"/>
          <w:color w:val="auto"/>
        </w:rPr>
        <w:t>5-3</w:t>
      </w:r>
      <w:r>
        <w:rPr>
          <w:color w:val="auto"/>
        </w:rPr>
        <w:t>。</w:t>
      </w:r>
    </w:p>
    <w:p w14:paraId="1E468A51">
      <w:pPr>
        <w:pStyle w:val="132"/>
        <w:rPr>
          <w:color w:val="auto"/>
        </w:rPr>
      </w:pPr>
    </w:p>
    <w:p w14:paraId="5153A2A7">
      <w:pPr>
        <w:pStyle w:val="132"/>
        <w:rPr>
          <w:color w:val="auto"/>
        </w:rPr>
      </w:pPr>
    </w:p>
    <w:p w14:paraId="7C7FCDDB">
      <w:pPr>
        <w:pStyle w:val="132"/>
        <w:rPr>
          <w:color w:val="auto"/>
        </w:rPr>
      </w:pPr>
    </w:p>
    <w:p w14:paraId="6864FE3B">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color w:val="auto"/>
        </w:rPr>
        <w:t xml:space="preserve">   地下水水质评价标准     单位：mg/L（pH除外）</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851"/>
        <w:gridCol w:w="2044"/>
        <w:gridCol w:w="1299"/>
        <w:gridCol w:w="742"/>
        <w:gridCol w:w="2599"/>
        <w:gridCol w:w="1251"/>
      </w:tblGrid>
      <w:tr w14:paraId="2B2BA5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057A0284">
            <w:pPr>
              <w:pStyle w:val="129"/>
              <w:widowControl w:val="0"/>
              <w:rPr>
                <w:color w:val="auto"/>
              </w:rPr>
            </w:pPr>
            <w:r>
              <w:rPr>
                <w:rFonts w:hint="eastAsia"/>
                <w:color w:val="auto"/>
              </w:rPr>
              <w:t>序号</w:t>
            </w:r>
          </w:p>
        </w:tc>
        <w:tc>
          <w:tcPr>
            <w:tcW w:w="1163" w:type="pct"/>
            <w:vAlign w:val="center"/>
          </w:tcPr>
          <w:p w14:paraId="34BF36B4">
            <w:pPr>
              <w:pStyle w:val="129"/>
              <w:widowControl w:val="0"/>
              <w:rPr>
                <w:color w:val="auto"/>
              </w:rPr>
            </w:pPr>
            <w:r>
              <w:rPr>
                <w:rFonts w:hint="eastAsia"/>
                <w:color w:val="auto"/>
              </w:rPr>
              <w:t>项目</w:t>
            </w:r>
          </w:p>
        </w:tc>
        <w:tc>
          <w:tcPr>
            <w:tcW w:w="739" w:type="pct"/>
            <w:vAlign w:val="center"/>
          </w:tcPr>
          <w:p w14:paraId="26A26C70">
            <w:pPr>
              <w:pStyle w:val="129"/>
              <w:widowControl w:val="0"/>
              <w:rPr>
                <w:color w:val="auto"/>
              </w:rPr>
            </w:pPr>
            <w:r>
              <w:rPr>
                <w:rFonts w:hint="eastAsia"/>
                <w:color w:val="auto"/>
              </w:rPr>
              <w:t>标准值</w:t>
            </w:r>
          </w:p>
        </w:tc>
        <w:tc>
          <w:tcPr>
            <w:tcW w:w="422" w:type="pct"/>
            <w:vAlign w:val="center"/>
          </w:tcPr>
          <w:p w14:paraId="4026BE62">
            <w:pPr>
              <w:pStyle w:val="129"/>
              <w:widowControl w:val="0"/>
              <w:rPr>
                <w:color w:val="auto"/>
              </w:rPr>
            </w:pPr>
            <w:r>
              <w:rPr>
                <w:rFonts w:hint="eastAsia"/>
                <w:color w:val="auto"/>
              </w:rPr>
              <w:t>序号</w:t>
            </w:r>
          </w:p>
        </w:tc>
        <w:tc>
          <w:tcPr>
            <w:tcW w:w="1479" w:type="pct"/>
            <w:vAlign w:val="center"/>
          </w:tcPr>
          <w:p w14:paraId="29628A33">
            <w:pPr>
              <w:pStyle w:val="129"/>
              <w:widowControl w:val="0"/>
              <w:rPr>
                <w:color w:val="auto"/>
              </w:rPr>
            </w:pPr>
            <w:r>
              <w:rPr>
                <w:rFonts w:hint="eastAsia"/>
                <w:color w:val="auto"/>
              </w:rPr>
              <w:t>项目</w:t>
            </w:r>
          </w:p>
        </w:tc>
        <w:tc>
          <w:tcPr>
            <w:tcW w:w="712" w:type="pct"/>
            <w:vAlign w:val="center"/>
          </w:tcPr>
          <w:p w14:paraId="445C7CC7">
            <w:pPr>
              <w:pStyle w:val="129"/>
              <w:widowControl w:val="0"/>
              <w:rPr>
                <w:color w:val="auto"/>
              </w:rPr>
            </w:pPr>
            <w:r>
              <w:rPr>
                <w:rFonts w:hint="eastAsia"/>
                <w:color w:val="auto"/>
              </w:rPr>
              <w:t>标准值</w:t>
            </w:r>
          </w:p>
        </w:tc>
      </w:tr>
      <w:tr w14:paraId="2500629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4" w:hRule="atLeast"/>
        </w:trPr>
        <w:tc>
          <w:tcPr>
            <w:tcW w:w="485" w:type="pct"/>
            <w:vAlign w:val="center"/>
          </w:tcPr>
          <w:p w14:paraId="446F629D">
            <w:pPr>
              <w:pStyle w:val="129"/>
              <w:widowControl w:val="0"/>
              <w:rPr>
                <w:color w:val="auto"/>
              </w:rPr>
            </w:pPr>
            <w:r>
              <w:rPr>
                <w:color w:val="auto"/>
              </w:rPr>
              <w:t>1</w:t>
            </w:r>
          </w:p>
        </w:tc>
        <w:tc>
          <w:tcPr>
            <w:tcW w:w="1163" w:type="pct"/>
            <w:vAlign w:val="center"/>
          </w:tcPr>
          <w:p w14:paraId="0026FD20">
            <w:pPr>
              <w:pStyle w:val="129"/>
              <w:widowControl w:val="0"/>
              <w:rPr>
                <w:color w:val="auto"/>
              </w:rPr>
            </w:pPr>
            <w:r>
              <w:rPr>
                <w:color w:val="auto"/>
              </w:rPr>
              <w:t>pH</w:t>
            </w:r>
            <w:r>
              <w:rPr>
                <w:rFonts w:hint="eastAsia"/>
                <w:color w:val="auto"/>
              </w:rPr>
              <w:t>（无量纲）</w:t>
            </w:r>
          </w:p>
        </w:tc>
        <w:tc>
          <w:tcPr>
            <w:tcW w:w="739" w:type="pct"/>
            <w:vAlign w:val="center"/>
          </w:tcPr>
          <w:p w14:paraId="72C9712A">
            <w:pPr>
              <w:pStyle w:val="129"/>
              <w:widowControl w:val="0"/>
              <w:rPr>
                <w:color w:val="auto"/>
              </w:rPr>
            </w:pPr>
            <w:r>
              <w:rPr>
                <w:rFonts w:hint="eastAsia"/>
                <w:color w:val="auto"/>
              </w:rPr>
              <w:t>6.5≤</w:t>
            </w:r>
            <w:r>
              <w:rPr>
                <w:color w:val="auto"/>
              </w:rPr>
              <w:t>pH</w:t>
            </w:r>
            <w:r>
              <w:rPr>
                <w:rFonts w:hint="eastAsia"/>
                <w:color w:val="auto"/>
              </w:rPr>
              <w:t>≤8.5</w:t>
            </w:r>
          </w:p>
        </w:tc>
        <w:tc>
          <w:tcPr>
            <w:tcW w:w="422" w:type="pct"/>
            <w:vAlign w:val="center"/>
          </w:tcPr>
          <w:p w14:paraId="35074F79">
            <w:pPr>
              <w:pStyle w:val="129"/>
              <w:widowControl w:val="0"/>
              <w:rPr>
                <w:color w:val="auto"/>
              </w:rPr>
            </w:pPr>
            <w:r>
              <w:rPr>
                <w:rFonts w:hint="eastAsia"/>
                <w:color w:val="auto"/>
              </w:rPr>
              <w:t>15</w:t>
            </w:r>
          </w:p>
        </w:tc>
        <w:tc>
          <w:tcPr>
            <w:tcW w:w="1479" w:type="pct"/>
            <w:vAlign w:val="center"/>
          </w:tcPr>
          <w:p w14:paraId="74809684">
            <w:pPr>
              <w:pStyle w:val="129"/>
              <w:widowControl w:val="0"/>
              <w:rPr>
                <w:color w:val="auto"/>
              </w:rPr>
            </w:pPr>
            <w:r>
              <w:rPr>
                <w:color w:val="auto"/>
              </w:rPr>
              <w:t>总大肠菌群</w:t>
            </w:r>
            <w:r>
              <w:rPr>
                <w:rFonts w:hint="eastAsia"/>
                <w:color w:val="auto"/>
              </w:rPr>
              <w:t>（</w:t>
            </w:r>
            <w:r>
              <w:rPr>
                <w:color w:val="auto"/>
              </w:rPr>
              <w:t>MPN</w:t>
            </w:r>
            <w:r>
              <w:rPr>
                <w:color w:val="auto"/>
                <w:vertAlign w:val="superscript"/>
              </w:rPr>
              <w:t>b</w:t>
            </w:r>
            <w:r>
              <w:rPr>
                <w:color w:val="auto"/>
              </w:rPr>
              <w:t>/100mL</w:t>
            </w:r>
            <w:r>
              <w:rPr>
                <w:rFonts w:hint="eastAsia"/>
                <w:color w:val="auto"/>
              </w:rPr>
              <w:t>或CFU</w:t>
            </w:r>
            <w:r>
              <w:rPr>
                <w:color w:val="auto"/>
                <w:vertAlign w:val="superscript"/>
              </w:rPr>
              <w:t>c</w:t>
            </w:r>
            <w:r>
              <w:rPr>
                <w:rFonts w:hint="eastAsia"/>
                <w:color w:val="auto"/>
              </w:rPr>
              <w:t>/100m</w:t>
            </w:r>
            <w:r>
              <w:rPr>
                <w:color w:val="auto"/>
              </w:rPr>
              <w:t>L</w:t>
            </w:r>
            <w:r>
              <w:rPr>
                <w:rFonts w:hint="eastAsia"/>
                <w:color w:val="auto"/>
              </w:rPr>
              <w:t>）</w:t>
            </w:r>
          </w:p>
        </w:tc>
        <w:tc>
          <w:tcPr>
            <w:tcW w:w="712" w:type="pct"/>
            <w:vAlign w:val="center"/>
          </w:tcPr>
          <w:p w14:paraId="041B43B0">
            <w:pPr>
              <w:pStyle w:val="129"/>
              <w:widowControl w:val="0"/>
              <w:rPr>
                <w:color w:val="auto"/>
              </w:rPr>
            </w:pPr>
            <w:r>
              <w:rPr>
                <w:rFonts w:hint="eastAsia"/>
                <w:color w:val="auto"/>
              </w:rPr>
              <w:t>≤3</w:t>
            </w:r>
          </w:p>
        </w:tc>
      </w:tr>
      <w:tr w14:paraId="34715E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4" w:hRule="atLeast"/>
        </w:trPr>
        <w:tc>
          <w:tcPr>
            <w:tcW w:w="485" w:type="pct"/>
            <w:vAlign w:val="center"/>
          </w:tcPr>
          <w:p w14:paraId="1AD443A2">
            <w:pPr>
              <w:pStyle w:val="129"/>
              <w:widowControl w:val="0"/>
              <w:rPr>
                <w:color w:val="auto"/>
              </w:rPr>
            </w:pPr>
            <w:r>
              <w:rPr>
                <w:color w:val="auto"/>
              </w:rPr>
              <w:t>2</w:t>
            </w:r>
          </w:p>
        </w:tc>
        <w:tc>
          <w:tcPr>
            <w:tcW w:w="1163" w:type="pct"/>
            <w:vAlign w:val="center"/>
          </w:tcPr>
          <w:p w14:paraId="5C335778">
            <w:pPr>
              <w:pStyle w:val="129"/>
              <w:widowControl w:val="0"/>
              <w:rPr>
                <w:color w:val="auto"/>
              </w:rPr>
            </w:pPr>
            <w:r>
              <w:rPr>
                <w:rFonts w:hint="eastAsia"/>
                <w:color w:val="auto"/>
              </w:rPr>
              <w:t>总硬度</w:t>
            </w:r>
          </w:p>
        </w:tc>
        <w:tc>
          <w:tcPr>
            <w:tcW w:w="739" w:type="pct"/>
            <w:vAlign w:val="center"/>
          </w:tcPr>
          <w:p w14:paraId="38AF8A95">
            <w:pPr>
              <w:pStyle w:val="129"/>
              <w:widowControl w:val="0"/>
              <w:rPr>
                <w:color w:val="auto"/>
              </w:rPr>
            </w:pPr>
            <w:r>
              <w:rPr>
                <w:rFonts w:hint="eastAsia"/>
                <w:color w:val="auto"/>
              </w:rPr>
              <w:t>≤450</w:t>
            </w:r>
          </w:p>
        </w:tc>
        <w:tc>
          <w:tcPr>
            <w:tcW w:w="422" w:type="pct"/>
            <w:vAlign w:val="center"/>
          </w:tcPr>
          <w:p w14:paraId="416456DD">
            <w:pPr>
              <w:pStyle w:val="129"/>
              <w:widowControl w:val="0"/>
              <w:rPr>
                <w:color w:val="auto"/>
              </w:rPr>
            </w:pPr>
            <w:r>
              <w:rPr>
                <w:rFonts w:hint="eastAsia"/>
                <w:color w:val="auto"/>
              </w:rPr>
              <w:t>16</w:t>
            </w:r>
          </w:p>
        </w:tc>
        <w:tc>
          <w:tcPr>
            <w:tcW w:w="1479" w:type="pct"/>
            <w:vAlign w:val="center"/>
          </w:tcPr>
          <w:p w14:paraId="416522DE">
            <w:pPr>
              <w:pStyle w:val="129"/>
              <w:widowControl w:val="0"/>
              <w:rPr>
                <w:color w:val="auto"/>
              </w:rPr>
            </w:pPr>
            <w:r>
              <w:rPr>
                <w:rFonts w:hint="eastAsia"/>
                <w:color w:val="auto"/>
              </w:rPr>
              <w:t>细菌总数（CFU/100m</w:t>
            </w:r>
            <w:r>
              <w:rPr>
                <w:color w:val="auto"/>
              </w:rPr>
              <w:t>L</w:t>
            </w:r>
            <w:r>
              <w:rPr>
                <w:rFonts w:hint="eastAsia"/>
                <w:color w:val="auto"/>
              </w:rPr>
              <w:t>）</w:t>
            </w:r>
          </w:p>
        </w:tc>
        <w:tc>
          <w:tcPr>
            <w:tcW w:w="712" w:type="pct"/>
            <w:vAlign w:val="center"/>
          </w:tcPr>
          <w:p w14:paraId="5FF77C88">
            <w:pPr>
              <w:pStyle w:val="129"/>
              <w:widowControl w:val="0"/>
              <w:rPr>
                <w:color w:val="auto"/>
              </w:rPr>
            </w:pPr>
            <w:r>
              <w:rPr>
                <w:rFonts w:hint="eastAsia"/>
                <w:color w:val="auto"/>
              </w:rPr>
              <w:t>≤100</w:t>
            </w:r>
          </w:p>
        </w:tc>
      </w:tr>
      <w:tr w14:paraId="2A32FE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4" w:hRule="atLeast"/>
        </w:trPr>
        <w:tc>
          <w:tcPr>
            <w:tcW w:w="485" w:type="pct"/>
            <w:vAlign w:val="center"/>
          </w:tcPr>
          <w:p w14:paraId="7C33C61C">
            <w:pPr>
              <w:pStyle w:val="129"/>
              <w:widowControl w:val="0"/>
              <w:rPr>
                <w:color w:val="auto"/>
              </w:rPr>
            </w:pPr>
            <w:r>
              <w:rPr>
                <w:color w:val="auto"/>
              </w:rPr>
              <w:t>3</w:t>
            </w:r>
          </w:p>
        </w:tc>
        <w:tc>
          <w:tcPr>
            <w:tcW w:w="1163" w:type="pct"/>
            <w:vAlign w:val="center"/>
          </w:tcPr>
          <w:p w14:paraId="694428FD">
            <w:pPr>
              <w:pStyle w:val="129"/>
              <w:widowControl w:val="0"/>
              <w:rPr>
                <w:color w:val="auto"/>
              </w:rPr>
            </w:pPr>
            <w:r>
              <w:rPr>
                <w:rFonts w:hint="eastAsia"/>
                <w:color w:val="auto"/>
              </w:rPr>
              <w:t>溶解性总固体</w:t>
            </w:r>
          </w:p>
        </w:tc>
        <w:tc>
          <w:tcPr>
            <w:tcW w:w="739" w:type="pct"/>
            <w:vAlign w:val="center"/>
          </w:tcPr>
          <w:p w14:paraId="76E565D2">
            <w:pPr>
              <w:pStyle w:val="129"/>
              <w:widowControl w:val="0"/>
              <w:rPr>
                <w:color w:val="auto"/>
              </w:rPr>
            </w:pPr>
            <w:r>
              <w:rPr>
                <w:rFonts w:hint="eastAsia"/>
                <w:color w:val="auto"/>
              </w:rPr>
              <w:t>≤1000</w:t>
            </w:r>
          </w:p>
        </w:tc>
        <w:tc>
          <w:tcPr>
            <w:tcW w:w="422" w:type="pct"/>
            <w:vAlign w:val="center"/>
          </w:tcPr>
          <w:p w14:paraId="5980296A">
            <w:pPr>
              <w:pStyle w:val="129"/>
              <w:widowControl w:val="0"/>
              <w:rPr>
                <w:color w:val="auto"/>
              </w:rPr>
            </w:pPr>
            <w:r>
              <w:rPr>
                <w:rFonts w:hint="eastAsia"/>
                <w:color w:val="auto"/>
              </w:rPr>
              <w:t>17</w:t>
            </w:r>
          </w:p>
        </w:tc>
        <w:tc>
          <w:tcPr>
            <w:tcW w:w="1479" w:type="pct"/>
            <w:vAlign w:val="center"/>
          </w:tcPr>
          <w:p w14:paraId="24C1B8BA">
            <w:pPr>
              <w:pStyle w:val="129"/>
              <w:widowControl w:val="0"/>
              <w:rPr>
                <w:color w:val="auto"/>
              </w:rPr>
            </w:pPr>
            <w:r>
              <w:rPr>
                <w:rFonts w:hint="eastAsia"/>
                <w:color w:val="auto"/>
              </w:rPr>
              <w:t>亚硝酸盐氮</w:t>
            </w:r>
          </w:p>
        </w:tc>
        <w:tc>
          <w:tcPr>
            <w:tcW w:w="712" w:type="pct"/>
            <w:vAlign w:val="center"/>
          </w:tcPr>
          <w:p w14:paraId="36D87CA8">
            <w:pPr>
              <w:pStyle w:val="129"/>
              <w:widowControl w:val="0"/>
              <w:rPr>
                <w:color w:val="auto"/>
              </w:rPr>
            </w:pPr>
            <w:r>
              <w:rPr>
                <w:rFonts w:hint="eastAsia"/>
                <w:color w:val="auto"/>
              </w:rPr>
              <w:t>≤1</w:t>
            </w:r>
          </w:p>
        </w:tc>
      </w:tr>
      <w:tr w14:paraId="078718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4" w:hRule="atLeast"/>
        </w:trPr>
        <w:tc>
          <w:tcPr>
            <w:tcW w:w="485" w:type="pct"/>
            <w:vAlign w:val="center"/>
          </w:tcPr>
          <w:p w14:paraId="015FA99B">
            <w:pPr>
              <w:pStyle w:val="129"/>
              <w:widowControl w:val="0"/>
              <w:rPr>
                <w:color w:val="auto"/>
              </w:rPr>
            </w:pPr>
            <w:r>
              <w:rPr>
                <w:color w:val="auto"/>
              </w:rPr>
              <w:t>4</w:t>
            </w:r>
          </w:p>
        </w:tc>
        <w:tc>
          <w:tcPr>
            <w:tcW w:w="1163" w:type="pct"/>
            <w:vAlign w:val="center"/>
          </w:tcPr>
          <w:p w14:paraId="4DFA527C">
            <w:pPr>
              <w:pStyle w:val="129"/>
              <w:widowControl w:val="0"/>
              <w:rPr>
                <w:color w:val="auto"/>
              </w:rPr>
            </w:pPr>
            <w:r>
              <w:rPr>
                <w:rFonts w:hint="eastAsia"/>
                <w:color w:val="auto"/>
              </w:rPr>
              <w:t>硫酸盐</w:t>
            </w:r>
          </w:p>
        </w:tc>
        <w:tc>
          <w:tcPr>
            <w:tcW w:w="739" w:type="pct"/>
            <w:vAlign w:val="center"/>
          </w:tcPr>
          <w:p w14:paraId="173B3B36">
            <w:pPr>
              <w:pStyle w:val="129"/>
              <w:widowControl w:val="0"/>
              <w:rPr>
                <w:color w:val="auto"/>
              </w:rPr>
            </w:pPr>
            <w:r>
              <w:rPr>
                <w:rFonts w:hint="eastAsia"/>
                <w:color w:val="auto"/>
              </w:rPr>
              <w:t>≤250</w:t>
            </w:r>
          </w:p>
        </w:tc>
        <w:tc>
          <w:tcPr>
            <w:tcW w:w="422" w:type="pct"/>
            <w:vAlign w:val="center"/>
          </w:tcPr>
          <w:p w14:paraId="565B5597">
            <w:pPr>
              <w:pStyle w:val="129"/>
              <w:widowControl w:val="0"/>
              <w:rPr>
                <w:color w:val="auto"/>
              </w:rPr>
            </w:pPr>
            <w:r>
              <w:rPr>
                <w:rFonts w:hint="eastAsia"/>
                <w:color w:val="auto"/>
              </w:rPr>
              <w:t>18</w:t>
            </w:r>
          </w:p>
        </w:tc>
        <w:tc>
          <w:tcPr>
            <w:tcW w:w="1479" w:type="pct"/>
            <w:vAlign w:val="center"/>
          </w:tcPr>
          <w:p w14:paraId="08EF6CEF">
            <w:pPr>
              <w:pStyle w:val="129"/>
              <w:widowControl w:val="0"/>
              <w:rPr>
                <w:color w:val="auto"/>
              </w:rPr>
            </w:pPr>
            <w:r>
              <w:rPr>
                <w:rFonts w:hint="eastAsia"/>
                <w:color w:val="auto"/>
              </w:rPr>
              <w:t>硝酸盐氮</w:t>
            </w:r>
          </w:p>
        </w:tc>
        <w:tc>
          <w:tcPr>
            <w:tcW w:w="712" w:type="pct"/>
            <w:vAlign w:val="center"/>
          </w:tcPr>
          <w:p w14:paraId="6432AF97">
            <w:pPr>
              <w:pStyle w:val="129"/>
              <w:widowControl w:val="0"/>
              <w:rPr>
                <w:color w:val="auto"/>
              </w:rPr>
            </w:pPr>
            <w:r>
              <w:rPr>
                <w:rFonts w:hint="eastAsia"/>
                <w:color w:val="auto"/>
              </w:rPr>
              <w:t>≤20</w:t>
            </w:r>
          </w:p>
        </w:tc>
      </w:tr>
      <w:tr w14:paraId="2755E9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64C324B6">
            <w:pPr>
              <w:pStyle w:val="129"/>
              <w:widowControl w:val="0"/>
              <w:rPr>
                <w:color w:val="auto"/>
              </w:rPr>
            </w:pPr>
            <w:r>
              <w:rPr>
                <w:color w:val="auto"/>
              </w:rPr>
              <w:t>5</w:t>
            </w:r>
          </w:p>
        </w:tc>
        <w:tc>
          <w:tcPr>
            <w:tcW w:w="1163" w:type="pct"/>
            <w:vAlign w:val="center"/>
          </w:tcPr>
          <w:p w14:paraId="2D6447E3">
            <w:pPr>
              <w:pStyle w:val="129"/>
              <w:widowControl w:val="0"/>
              <w:rPr>
                <w:color w:val="auto"/>
              </w:rPr>
            </w:pPr>
            <w:r>
              <w:rPr>
                <w:rFonts w:hint="eastAsia"/>
                <w:color w:val="auto"/>
              </w:rPr>
              <w:t>氯化物</w:t>
            </w:r>
          </w:p>
        </w:tc>
        <w:tc>
          <w:tcPr>
            <w:tcW w:w="739" w:type="pct"/>
            <w:vAlign w:val="center"/>
          </w:tcPr>
          <w:p w14:paraId="7B26AD46">
            <w:pPr>
              <w:pStyle w:val="129"/>
              <w:widowControl w:val="0"/>
              <w:rPr>
                <w:color w:val="auto"/>
              </w:rPr>
            </w:pPr>
            <w:r>
              <w:rPr>
                <w:rFonts w:hint="eastAsia"/>
                <w:color w:val="auto"/>
              </w:rPr>
              <w:t>≤250</w:t>
            </w:r>
          </w:p>
        </w:tc>
        <w:tc>
          <w:tcPr>
            <w:tcW w:w="422" w:type="pct"/>
            <w:vAlign w:val="center"/>
          </w:tcPr>
          <w:p w14:paraId="15D24028">
            <w:pPr>
              <w:pStyle w:val="129"/>
              <w:widowControl w:val="0"/>
              <w:rPr>
                <w:color w:val="auto"/>
              </w:rPr>
            </w:pPr>
            <w:r>
              <w:rPr>
                <w:rFonts w:hint="eastAsia"/>
                <w:color w:val="auto"/>
              </w:rPr>
              <w:t>19</w:t>
            </w:r>
          </w:p>
        </w:tc>
        <w:tc>
          <w:tcPr>
            <w:tcW w:w="1479" w:type="pct"/>
            <w:vAlign w:val="center"/>
          </w:tcPr>
          <w:p w14:paraId="3DF3FD66">
            <w:pPr>
              <w:pStyle w:val="129"/>
              <w:widowControl w:val="0"/>
              <w:rPr>
                <w:color w:val="auto"/>
              </w:rPr>
            </w:pPr>
            <w:r>
              <w:rPr>
                <w:rFonts w:hint="eastAsia"/>
                <w:color w:val="auto"/>
              </w:rPr>
              <w:t>氰化物</w:t>
            </w:r>
          </w:p>
        </w:tc>
        <w:tc>
          <w:tcPr>
            <w:tcW w:w="712" w:type="pct"/>
            <w:vAlign w:val="center"/>
          </w:tcPr>
          <w:p w14:paraId="544CF4BD">
            <w:pPr>
              <w:pStyle w:val="129"/>
              <w:widowControl w:val="0"/>
              <w:rPr>
                <w:color w:val="auto"/>
              </w:rPr>
            </w:pPr>
            <w:r>
              <w:rPr>
                <w:rFonts w:hint="eastAsia"/>
                <w:color w:val="auto"/>
              </w:rPr>
              <w:t>≤0.05</w:t>
            </w:r>
          </w:p>
        </w:tc>
      </w:tr>
      <w:tr w14:paraId="6A0417E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25F82476">
            <w:pPr>
              <w:pStyle w:val="129"/>
              <w:widowControl w:val="0"/>
              <w:rPr>
                <w:color w:val="auto"/>
              </w:rPr>
            </w:pPr>
            <w:r>
              <w:rPr>
                <w:rFonts w:hint="eastAsia"/>
                <w:color w:val="auto"/>
              </w:rPr>
              <w:t>6</w:t>
            </w:r>
          </w:p>
        </w:tc>
        <w:tc>
          <w:tcPr>
            <w:tcW w:w="1163" w:type="pct"/>
            <w:vAlign w:val="center"/>
          </w:tcPr>
          <w:p w14:paraId="3B9B906B">
            <w:pPr>
              <w:pStyle w:val="129"/>
              <w:widowControl w:val="0"/>
              <w:rPr>
                <w:color w:val="auto"/>
              </w:rPr>
            </w:pPr>
            <w:r>
              <w:rPr>
                <w:rFonts w:hint="eastAsia"/>
                <w:color w:val="auto"/>
              </w:rPr>
              <w:t>铁</w:t>
            </w:r>
          </w:p>
        </w:tc>
        <w:tc>
          <w:tcPr>
            <w:tcW w:w="739" w:type="pct"/>
            <w:vAlign w:val="center"/>
          </w:tcPr>
          <w:p w14:paraId="5A0032A2">
            <w:pPr>
              <w:pStyle w:val="129"/>
              <w:widowControl w:val="0"/>
              <w:rPr>
                <w:color w:val="auto"/>
              </w:rPr>
            </w:pPr>
            <w:r>
              <w:rPr>
                <w:rFonts w:hint="eastAsia"/>
                <w:color w:val="auto"/>
              </w:rPr>
              <w:t>≤0.3</w:t>
            </w:r>
          </w:p>
        </w:tc>
        <w:tc>
          <w:tcPr>
            <w:tcW w:w="422" w:type="pct"/>
            <w:vAlign w:val="center"/>
          </w:tcPr>
          <w:p w14:paraId="54A361EB">
            <w:pPr>
              <w:pStyle w:val="129"/>
              <w:widowControl w:val="0"/>
              <w:rPr>
                <w:color w:val="auto"/>
              </w:rPr>
            </w:pPr>
            <w:r>
              <w:rPr>
                <w:rFonts w:hint="eastAsia"/>
                <w:color w:val="auto"/>
              </w:rPr>
              <w:t>20</w:t>
            </w:r>
          </w:p>
        </w:tc>
        <w:tc>
          <w:tcPr>
            <w:tcW w:w="1479" w:type="pct"/>
            <w:vAlign w:val="center"/>
          </w:tcPr>
          <w:p w14:paraId="1AF051E2">
            <w:pPr>
              <w:pStyle w:val="129"/>
              <w:widowControl w:val="0"/>
              <w:rPr>
                <w:color w:val="auto"/>
              </w:rPr>
            </w:pPr>
            <w:r>
              <w:rPr>
                <w:rFonts w:hint="eastAsia"/>
                <w:color w:val="auto"/>
              </w:rPr>
              <w:t>氟化物</w:t>
            </w:r>
          </w:p>
        </w:tc>
        <w:tc>
          <w:tcPr>
            <w:tcW w:w="712" w:type="pct"/>
            <w:vAlign w:val="center"/>
          </w:tcPr>
          <w:p w14:paraId="108218F5">
            <w:pPr>
              <w:pStyle w:val="129"/>
              <w:widowControl w:val="0"/>
              <w:rPr>
                <w:color w:val="auto"/>
              </w:rPr>
            </w:pPr>
            <w:r>
              <w:rPr>
                <w:rFonts w:hint="eastAsia"/>
                <w:color w:val="auto"/>
              </w:rPr>
              <w:t>≤</w:t>
            </w:r>
            <w:r>
              <w:rPr>
                <w:rFonts w:hint="eastAsia" w:cs="Calibri"/>
                <w:color w:val="auto"/>
              </w:rPr>
              <w:t>1</w:t>
            </w:r>
          </w:p>
        </w:tc>
      </w:tr>
      <w:tr w14:paraId="6D8084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3A164C97">
            <w:pPr>
              <w:pStyle w:val="129"/>
              <w:widowControl w:val="0"/>
              <w:rPr>
                <w:color w:val="auto"/>
              </w:rPr>
            </w:pPr>
            <w:r>
              <w:rPr>
                <w:rFonts w:hint="eastAsia"/>
                <w:color w:val="auto"/>
              </w:rPr>
              <w:t>7</w:t>
            </w:r>
          </w:p>
        </w:tc>
        <w:tc>
          <w:tcPr>
            <w:tcW w:w="1163" w:type="pct"/>
            <w:vAlign w:val="center"/>
          </w:tcPr>
          <w:p w14:paraId="04851BDE">
            <w:pPr>
              <w:pStyle w:val="129"/>
              <w:widowControl w:val="0"/>
              <w:rPr>
                <w:color w:val="auto"/>
              </w:rPr>
            </w:pPr>
            <w:r>
              <w:rPr>
                <w:rFonts w:hint="eastAsia"/>
                <w:color w:val="auto"/>
              </w:rPr>
              <w:t>锰</w:t>
            </w:r>
          </w:p>
        </w:tc>
        <w:tc>
          <w:tcPr>
            <w:tcW w:w="739" w:type="pct"/>
            <w:vAlign w:val="center"/>
          </w:tcPr>
          <w:p w14:paraId="018AD36B">
            <w:pPr>
              <w:pStyle w:val="129"/>
              <w:widowControl w:val="0"/>
              <w:rPr>
                <w:color w:val="auto"/>
              </w:rPr>
            </w:pPr>
            <w:r>
              <w:rPr>
                <w:rFonts w:hint="eastAsia"/>
                <w:color w:val="auto"/>
              </w:rPr>
              <w:t>≤0.1</w:t>
            </w:r>
          </w:p>
        </w:tc>
        <w:tc>
          <w:tcPr>
            <w:tcW w:w="422" w:type="pct"/>
            <w:vAlign w:val="center"/>
          </w:tcPr>
          <w:p w14:paraId="45DD5316">
            <w:pPr>
              <w:pStyle w:val="129"/>
              <w:widowControl w:val="0"/>
              <w:rPr>
                <w:color w:val="auto"/>
              </w:rPr>
            </w:pPr>
            <w:r>
              <w:rPr>
                <w:rFonts w:hint="eastAsia"/>
                <w:color w:val="auto"/>
              </w:rPr>
              <w:t>2</w:t>
            </w:r>
            <w:r>
              <w:rPr>
                <w:color w:val="auto"/>
              </w:rPr>
              <w:t>1</w:t>
            </w:r>
          </w:p>
        </w:tc>
        <w:tc>
          <w:tcPr>
            <w:tcW w:w="1479" w:type="pct"/>
            <w:vAlign w:val="center"/>
          </w:tcPr>
          <w:p w14:paraId="56C95B11">
            <w:pPr>
              <w:pStyle w:val="129"/>
              <w:widowControl w:val="0"/>
              <w:rPr>
                <w:color w:val="auto"/>
              </w:rPr>
            </w:pPr>
            <w:r>
              <w:rPr>
                <w:rFonts w:hint="eastAsia"/>
                <w:color w:val="auto"/>
              </w:rPr>
              <w:t>汞</w:t>
            </w:r>
          </w:p>
        </w:tc>
        <w:tc>
          <w:tcPr>
            <w:tcW w:w="712" w:type="pct"/>
            <w:vAlign w:val="center"/>
          </w:tcPr>
          <w:p w14:paraId="05B78BF2">
            <w:pPr>
              <w:pStyle w:val="129"/>
              <w:widowControl w:val="0"/>
              <w:rPr>
                <w:color w:val="auto"/>
              </w:rPr>
            </w:pPr>
            <w:r>
              <w:rPr>
                <w:rFonts w:hint="eastAsia"/>
                <w:color w:val="auto"/>
              </w:rPr>
              <w:t>≤0.001</w:t>
            </w:r>
          </w:p>
        </w:tc>
      </w:tr>
      <w:tr w14:paraId="699C845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7669F38E">
            <w:pPr>
              <w:pStyle w:val="129"/>
              <w:widowControl w:val="0"/>
              <w:rPr>
                <w:color w:val="auto"/>
              </w:rPr>
            </w:pPr>
            <w:r>
              <w:rPr>
                <w:rFonts w:hint="eastAsia"/>
                <w:color w:val="auto"/>
              </w:rPr>
              <w:t>8</w:t>
            </w:r>
          </w:p>
        </w:tc>
        <w:tc>
          <w:tcPr>
            <w:tcW w:w="1163" w:type="pct"/>
            <w:vAlign w:val="center"/>
          </w:tcPr>
          <w:p w14:paraId="59B182CC">
            <w:pPr>
              <w:pStyle w:val="129"/>
              <w:widowControl w:val="0"/>
              <w:rPr>
                <w:color w:val="auto"/>
              </w:rPr>
            </w:pPr>
            <w:r>
              <w:rPr>
                <w:rFonts w:hint="eastAsia"/>
                <w:color w:val="auto"/>
              </w:rPr>
              <w:t>铜</w:t>
            </w:r>
          </w:p>
        </w:tc>
        <w:tc>
          <w:tcPr>
            <w:tcW w:w="739" w:type="pct"/>
            <w:vAlign w:val="center"/>
          </w:tcPr>
          <w:p w14:paraId="09F3C1D3">
            <w:pPr>
              <w:pStyle w:val="129"/>
              <w:widowControl w:val="0"/>
              <w:rPr>
                <w:color w:val="auto"/>
              </w:rPr>
            </w:pPr>
            <w:r>
              <w:rPr>
                <w:rFonts w:hint="eastAsia"/>
                <w:color w:val="auto"/>
              </w:rPr>
              <w:t>≤1</w:t>
            </w:r>
          </w:p>
        </w:tc>
        <w:tc>
          <w:tcPr>
            <w:tcW w:w="422" w:type="pct"/>
            <w:vAlign w:val="center"/>
          </w:tcPr>
          <w:p w14:paraId="675F7CD6">
            <w:pPr>
              <w:pStyle w:val="129"/>
              <w:widowControl w:val="0"/>
              <w:rPr>
                <w:color w:val="auto"/>
              </w:rPr>
            </w:pPr>
            <w:r>
              <w:rPr>
                <w:rFonts w:hint="eastAsia"/>
                <w:color w:val="auto"/>
              </w:rPr>
              <w:t>22</w:t>
            </w:r>
          </w:p>
        </w:tc>
        <w:tc>
          <w:tcPr>
            <w:tcW w:w="1479" w:type="pct"/>
            <w:vAlign w:val="center"/>
          </w:tcPr>
          <w:p w14:paraId="55451EFE">
            <w:pPr>
              <w:pStyle w:val="129"/>
              <w:widowControl w:val="0"/>
              <w:rPr>
                <w:color w:val="auto"/>
              </w:rPr>
            </w:pPr>
            <w:r>
              <w:rPr>
                <w:rFonts w:hint="eastAsia"/>
                <w:color w:val="auto"/>
              </w:rPr>
              <w:t>砷</w:t>
            </w:r>
          </w:p>
        </w:tc>
        <w:tc>
          <w:tcPr>
            <w:tcW w:w="712" w:type="pct"/>
            <w:vAlign w:val="center"/>
          </w:tcPr>
          <w:p w14:paraId="57C2DCC6">
            <w:pPr>
              <w:pStyle w:val="129"/>
              <w:widowControl w:val="0"/>
              <w:rPr>
                <w:color w:val="auto"/>
              </w:rPr>
            </w:pPr>
            <w:r>
              <w:rPr>
                <w:rFonts w:hint="eastAsia"/>
                <w:color w:val="auto"/>
              </w:rPr>
              <w:t>≤0.01</w:t>
            </w:r>
          </w:p>
        </w:tc>
      </w:tr>
      <w:tr w14:paraId="7190D27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90" w:hRule="atLeast"/>
        </w:trPr>
        <w:tc>
          <w:tcPr>
            <w:tcW w:w="485" w:type="pct"/>
            <w:vAlign w:val="center"/>
          </w:tcPr>
          <w:p w14:paraId="348E442B">
            <w:pPr>
              <w:pStyle w:val="129"/>
              <w:widowControl w:val="0"/>
              <w:rPr>
                <w:color w:val="auto"/>
              </w:rPr>
            </w:pPr>
            <w:r>
              <w:rPr>
                <w:rFonts w:hint="eastAsia"/>
                <w:color w:val="auto"/>
              </w:rPr>
              <w:t>9</w:t>
            </w:r>
          </w:p>
        </w:tc>
        <w:tc>
          <w:tcPr>
            <w:tcW w:w="1163" w:type="pct"/>
            <w:vAlign w:val="center"/>
          </w:tcPr>
          <w:p w14:paraId="50D9E66F">
            <w:pPr>
              <w:pStyle w:val="129"/>
              <w:widowControl w:val="0"/>
              <w:rPr>
                <w:color w:val="auto"/>
              </w:rPr>
            </w:pPr>
            <w:r>
              <w:rPr>
                <w:rFonts w:hint="eastAsia"/>
                <w:color w:val="auto"/>
              </w:rPr>
              <w:t>锌</w:t>
            </w:r>
          </w:p>
        </w:tc>
        <w:tc>
          <w:tcPr>
            <w:tcW w:w="739" w:type="pct"/>
            <w:vAlign w:val="center"/>
          </w:tcPr>
          <w:p w14:paraId="526A0EBC">
            <w:pPr>
              <w:pStyle w:val="129"/>
              <w:widowControl w:val="0"/>
              <w:rPr>
                <w:color w:val="auto"/>
              </w:rPr>
            </w:pPr>
            <w:r>
              <w:rPr>
                <w:rFonts w:hint="eastAsia"/>
                <w:color w:val="auto"/>
              </w:rPr>
              <w:t>≤1</w:t>
            </w:r>
          </w:p>
        </w:tc>
        <w:tc>
          <w:tcPr>
            <w:tcW w:w="422" w:type="pct"/>
            <w:vAlign w:val="center"/>
          </w:tcPr>
          <w:p w14:paraId="49C4170A">
            <w:pPr>
              <w:pStyle w:val="129"/>
              <w:widowControl w:val="0"/>
              <w:rPr>
                <w:color w:val="auto"/>
              </w:rPr>
            </w:pPr>
            <w:r>
              <w:rPr>
                <w:rFonts w:hint="eastAsia"/>
                <w:color w:val="auto"/>
              </w:rPr>
              <w:t>23</w:t>
            </w:r>
          </w:p>
        </w:tc>
        <w:tc>
          <w:tcPr>
            <w:tcW w:w="1479" w:type="pct"/>
            <w:vAlign w:val="center"/>
          </w:tcPr>
          <w:p w14:paraId="02B4C52F">
            <w:pPr>
              <w:pStyle w:val="129"/>
              <w:widowControl w:val="0"/>
              <w:rPr>
                <w:color w:val="auto"/>
              </w:rPr>
            </w:pPr>
            <w:r>
              <w:rPr>
                <w:rFonts w:hint="eastAsia"/>
                <w:color w:val="auto"/>
              </w:rPr>
              <w:t>镉</w:t>
            </w:r>
          </w:p>
        </w:tc>
        <w:tc>
          <w:tcPr>
            <w:tcW w:w="712" w:type="pct"/>
            <w:vAlign w:val="center"/>
          </w:tcPr>
          <w:p w14:paraId="6BFD5AC9">
            <w:pPr>
              <w:pStyle w:val="129"/>
              <w:widowControl w:val="0"/>
              <w:rPr>
                <w:color w:val="auto"/>
              </w:rPr>
            </w:pPr>
            <w:r>
              <w:rPr>
                <w:rFonts w:hint="eastAsia"/>
                <w:color w:val="auto"/>
              </w:rPr>
              <w:t>≤0.005</w:t>
            </w:r>
          </w:p>
        </w:tc>
      </w:tr>
      <w:tr w14:paraId="78E27C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5BE83E42">
            <w:pPr>
              <w:pStyle w:val="129"/>
              <w:widowControl w:val="0"/>
              <w:rPr>
                <w:color w:val="auto"/>
              </w:rPr>
            </w:pPr>
            <w:r>
              <w:rPr>
                <w:rFonts w:hint="eastAsia"/>
                <w:color w:val="auto"/>
              </w:rPr>
              <w:t>10</w:t>
            </w:r>
          </w:p>
        </w:tc>
        <w:tc>
          <w:tcPr>
            <w:tcW w:w="1163" w:type="pct"/>
            <w:vAlign w:val="center"/>
          </w:tcPr>
          <w:p w14:paraId="77A94802">
            <w:pPr>
              <w:pStyle w:val="129"/>
              <w:widowControl w:val="0"/>
              <w:rPr>
                <w:color w:val="auto"/>
              </w:rPr>
            </w:pPr>
            <w:r>
              <w:rPr>
                <w:rFonts w:hint="eastAsia"/>
                <w:color w:val="auto"/>
              </w:rPr>
              <w:t>挥发性酚类</w:t>
            </w:r>
          </w:p>
        </w:tc>
        <w:tc>
          <w:tcPr>
            <w:tcW w:w="739" w:type="pct"/>
            <w:vAlign w:val="center"/>
          </w:tcPr>
          <w:p w14:paraId="343C735B">
            <w:pPr>
              <w:pStyle w:val="129"/>
              <w:widowControl w:val="0"/>
              <w:rPr>
                <w:color w:val="auto"/>
              </w:rPr>
            </w:pPr>
            <w:r>
              <w:rPr>
                <w:rFonts w:hint="eastAsia"/>
                <w:color w:val="auto"/>
              </w:rPr>
              <w:t>≤0.002</w:t>
            </w:r>
          </w:p>
        </w:tc>
        <w:tc>
          <w:tcPr>
            <w:tcW w:w="422" w:type="pct"/>
            <w:vAlign w:val="center"/>
          </w:tcPr>
          <w:p w14:paraId="0E224300">
            <w:pPr>
              <w:pStyle w:val="129"/>
              <w:widowControl w:val="0"/>
              <w:rPr>
                <w:color w:val="auto"/>
              </w:rPr>
            </w:pPr>
            <w:r>
              <w:rPr>
                <w:rFonts w:hint="eastAsia"/>
                <w:color w:val="auto"/>
              </w:rPr>
              <w:t>24</w:t>
            </w:r>
          </w:p>
        </w:tc>
        <w:tc>
          <w:tcPr>
            <w:tcW w:w="1479" w:type="pct"/>
            <w:vAlign w:val="center"/>
          </w:tcPr>
          <w:p w14:paraId="537121C7">
            <w:pPr>
              <w:pStyle w:val="129"/>
              <w:widowControl w:val="0"/>
              <w:rPr>
                <w:color w:val="auto"/>
              </w:rPr>
            </w:pPr>
            <w:r>
              <w:rPr>
                <w:rFonts w:hint="eastAsia"/>
                <w:color w:val="auto"/>
              </w:rPr>
              <w:t>铬（六价）</w:t>
            </w:r>
          </w:p>
        </w:tc>
        <w:tc>
          <w:tcPr>
            <w:tcW w:w="712" w:type="pct"/>
            <w:vAlign w:val="center"/>
          </w:tcPr>
          <w:p w14:paraId="3629B3C6">
            <w:pPr>
              <w:pStyle w:val="129"/>
              <w:widowControl w:val="0"/>
              <w:rPr>
                <w:color w:val="auto"/>
              </w:rPr>
            </w:pPr>
            <w:r>
              <w:rPr>
                <w:rFonts w:hint="eastAsia"/>
                <w:color w:val="auto"/>
              </w:rPr>
              <w:t>≤0.05</w:t>
            </w:r>
          </w:p>
        </w:tc>
      </w:tr>
      <w:tr w14:paraId="5BB28D0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23D52F0C">
            <w:pPr>
              <w:pStyle w:val="129"/>
              <w:widowControl w:val="0"/>
              <w:rPr>
                <w:color w:val="auto"/>
              </w:rPr>
            </w:pPr>
            <w:r>
              <w:rPr>
                <w:rFonts w:hint="eastAsia"/>
                <w:color w:val="auto"/>
              </w:rPr>
              <w:t>11</w:t>
            </w:r>
          </w:p>
        </w:tc>
        <w:tc>
          <w:tcPr>
            <w:tcW w:w="1163" w:type="pct"/>
            <w:vAlign w:val="center"/>
          </w:tcPr>
          <w:p w14:paraId="447A9622">
            <w:pPr>
              <w:pStyle w:val="129"/>
              <w:widowControl w:val="0"/>
              <w:rPr>
                <w:color w:val="auto"/>
              </w:rPr>
            </w:pPr>
            <w:r>
              <w:rPr>
                <w:rFonts w:hint="eastAsia"/>
                <w:color w:val="auto"/>
              </w:rPr>
              <w:t>阴离子表面活性剂</w:t>
            </w:r>
          </w:p>
        </w:tc>
        <w:tc>
          <w:tcPr>
            <w:tcW w:w="739" w:type="pct"/>
            <w:vAlign w:val="center"/>
          </w:tcPr>
          <w:p w14:paraId="2DDE67BA">
            <w:pPr>
              <w:pStyle w:val="129"/>
              <w:widowControl w:val="0"/>
              <w:rPr>
                <w:color w:val="auto"/>
              </w:rPr>
            </w:pPr>
            <w:r>
              <w:rPr>
                <w:rFonts w:hint="eastAsia"/>
                <w:color w:val="auto"/>
              </w:rPr>
              <w:t>≤0.3</w:t>
            </w:r>
          </w:p>
        </w:tc>
        <w:tc>
          <w:tcPr>
            <w:tcW w:w="422" w:type="pct"/>
            <w:vAlign w:val="center"/>
          </w:tcPr>
          <w:p w14:paraId="483E0816">
            <w:pPr>
              <w:pStyle w:val="129"/>
              <w:widowControl w:val="0"/>
              <w:rPr>
                <w:color w:val="auto"/>
              </w:rPr>
            </w:pPr>
            <w:r>
              <w:rPr>
                <w:rFonts w:hint="eastAsia"/>
                <w:color w:val="auto"/>
              </w:rPr>
              <w:t>25</w:t>
            </w:r>
          </w:p>
        </w:tc>
        <w:tc>
          <w:tcPr>
            <w:tcW w:w="1479" w:type="pct"/>
            <w:vAlign w:val="center"/>
          </w:tcPr>
          <w:p w14:paraId="0EC912B4">
            <w:pPr>
              <w:pStyle w:val="129"/>
              <w:widowControl w:val="0"/>
              <w:rPr>
                <w:color w:val="auto"/>
              </w:rPr>
            </w:pPr>
            <w:r>
              <w:rPr>
                <w:rFonts w:hint="eastAsia"/>
                <w:color w:val="auto"/>
              </w:rPr>
              <w:t>铅</w:t>
            </w:r>
          </w:p>
        </w:tc>
        <w:tc>
          <w:tcPr>
            <w:tcW w:w="712" w:type="pct"/>
            <w:vAlign w:val="center"/>
          </w:tcPr>
          <w:p w14:paraId="52DF4DA5">
            <w:pPr>
              <w:pStyle w:val="129"/>
              <w:widowControl w:val="0"/>
              <w:rPr>
                <w:color w:val="auto"/>
              </w:rPr>
            </w:pPr>
            <w:r>
              <w:rPr>
                <w:rFonts w:hint="eastAsia"/>
                <w:color w:val="auto"/>
              </w:rPr>
              <w:t>≤0.01</w:t>
            </w:r>
          </w:p>
        </w:tc>
      </w:tr>
      <w:tr w14:paraId="463678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6BD845F0">
            <w:pPr>
              <w:pStyle w:val="129"/>
              <w:widowControl w:val="0"/>
              <w:rPr>
                <w:color w:val="auto"/>
              </w:rPr>
            </w:pPr>
            <w:r>
              <w:rPr>
                <w:rFonts w:hint="eastAsia"/>
                <w:color w:val="auto"/>
              </w:rPr>
              <w:t>12</w:t>
            </w:r>
          </w:p>
        </w:tc>
        <w:tc>
          <w:tcPr>
            <w:tcW w:w="1163" w:type="pct"/>
            <w:vAlign w:val="center"/>
          </w:tcPr>
          <w:p w14:paraId="62FFFB93">
            <w:pPr>
              <w:pStyle w:val="129"/>
              <w:widowControl w:val="0"/>
              <w:rPr>
                <w:color w:val="auto"/>
              </w:rPr>
            </w:pPr>
            <w:r>
              <w:rPr>
                <w:rFonts w:hint="eastAsia"/>
                <w:color w:val="auto"/>
              </w:rPr>
              <w:t>耗氧量</w:t>
            </w:r>
          </w:p>
        </w:tc>
        <w:tc>
          <w:tcPr>
            <w:tcW w:w="739" w:type="pct"/>
            <w:vAlign w:val="center"/>
          </w:tcPr>
          <w:p w14:paraId="11632C1E">
            <w:pPr>
              <w:pStyle w:val="129"/>
              <w:widowControl w:val="0"/>
              <w:rPr>
                <w:color w:val="auto"/>
              </w:rPr>
            </w:pPr>
            <w:r>
              <w:rPr>
                <w:rFonts w:hint="eastAsia"/>
                <w:color w:val="auto"/>
              </w:rPr>
              <w:t>≤3</w:t>
            </w:r>
          </w:p>
        </w:tc>
        <w:tc>
          <w:tcPr>
            <w:tcW w:w="422" w:type="pct"/>
            <w:vAlign w:val="center"/>
          </w:tcPr>
          <w:p w14:paraId="24A03C17">
            <w:pPr>
              <w:pStyle w:val="129"/>
              <w:widowControl w:val="0"/>
              <w:rPr>
                <w:color w:val="auto"/>
              </w:rPr>
            </w:pPr>
            <w:r>
              <w:rPr>
                <w:rFonts w:hint="eastAsia"/>
                <w:color w:val="auto"/>
              </w:rPr>
              <w:t>26</w:t>
            </w:r>
          </w:p>
        </w:tc>
        <w:tc>
          <w:tcPr>
            <w:tcW w:w="1479" w:type="pct"/>
            <w:vAlign w:val="center"/>
          </w:tcPr>
          <w:p w14:paraId="322DF2E2">
            <w:pPr>
              <w:pStyle w:val="129"/>
              <w:widowControl w:val="0"/>
              <w:rPr>
                <w:color w:val="auto"/>
              </w:rPr>
            </w:pPr>
            <w:r>
              <w:rPr>
                <w:rFonts w:hint="eastAsia"/>
                <w:color w:val="auto"/>
              </w:rPr>
              <w:t>镍</w:t>
            </w:r>
          </w:p>
        </w:tc>
        <w:tc>
          <w:tcPr>
            <w:tcW w:w="712" w:type="pct"/>
            <w:vAlign w:val="center"/>
          </w:tcPr>
          <w:p w14:paraId="27CB883E">
            <w:pPr>
              <w:pStyle w:val="129"/>
              <w:widowControl w:val="0"/>
              <w:rPr>
                <w:color w:val="auto"/>
              </w:rPr>
            </w:pPr>
            <w:r>
              <w:rPr>
                <w:rFonts w:hint="eastAsia"/>
                <w:color w:val="auto"/>
              </w:rPr>
              <w:t>≤0.02</w:t>
            </w:r>
          </w:p>
        </w:tc>
      </w:tr>
      <w:tr w14:paraId="0B5685B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32BCBF9A">
            <w:pPr>
              <w:pStyle w:val="129"/>
              <w:widowControl w:val="0"/>
              <w:rPr>
                <w:color w:val="auto"/>
              </w:rPr>
            </w:pPr>
            <w:r>
              <w:rPr>
                <w:rFonts w:hint="eastAsia"/>
                <w:color w:val="auto"/>
              </w:rPr>
              <w:t>13</w:t>
            </w:r>
          </w:p>
        </w:tc>
        <w:tc>
          <w:tcPr>
            <w:tcW w:w="1163" w:type="pct"/>
            <w:vAlign w:val="center"/>
          </w:tcPr>
          <w:p w14:paraId="0E0F37C3">
            <w:pPr>
              <w:pStyle w:val="129"/>
              <w:widowControl w:val="0"/>
              <w:rPr>
                <w:color w:val="auto"/>
              </w:rPr>
            </w:pPr>
            <w:r>
              <w:rPr>
                <w:rFonts w:hint="eastAsia"/>
                <w:color w:val="auto"/>
              </w:rPr>
              <w:t>氨氮</w:t>
            </w:r>
          </w:p>
        </w:tc>
        <w:tc>
          <w:tcPr>
            <w:tcW w:w="739" w:type="pct"/>
            <w:vAlign w:val="center"/>
          </w:tcPr>
          <w:p w14:paraId="78DAEBE2">
            <w:pPr>
              <w:pStyle w:val="129"/>
              <w:widowControl w:val="0"/>
              <w:rPr>
                <w:color w:val="auto"/>
              </w:rPr>
            </w:pPr>
            <w:r>
              <w:rPr>
                <w:rFonts w:hint="eastAsia"/>
                <w:color w:val="auto"/>
              </w:rPr>
              <w:t>≤0.5</w:t>
            </w:r>
          </w:p>
        </w:tc>
        <w:tc>
          <w:tcPr>
            <w:tcW w:w="422" w:type="pct"/>
            <w:vAlign w:val="center"/>
          </w:tcPr>
          <w:p w14:paraId="01983836">
            <w:pPr>
              <w:pStyle w:val="129"/>
              <w:widowControl w:val="0"/>
              <w:rPr>
                <w:color w:val="auto"/>
              </w:rPr>
            </w:pPr>
            <w:r>
              <w:rPr>
                <w:rFonts w:hint="eastAsia"/>
                <w:color w:val="auto"/>
              </w:rPr>
              <w:t>27</w:t>
            </w:r>
          </w:p>
        </w:tc>
        <w:tc>
          <w:tcPr>
            <w:tcW w:w="1479" w:type="pct"/>
            <w:vAlign w:val="center"/>
          </w:tcPr>
          <w:p w14:paraId="47B133E0">
            <w:pPr>
              <w:pStyle w:val="129"/>
              <w:widowControl w:val="0"/>
              <w:rPr>
                <w:color w:val="auto"/>
              </w:rPr>
            </w:pPr>
            <w:r>
              <w:rPr>
                <w:rFonts w:hint="eastAsia"/>
                <w:color w:val="auto"/>
                <w:lang w:bidi="ar"/>
              </w:rPr>
              <w:t>三氯甲烷</w:t>
            </w:r>
          </w:p>
        </w:tc>
        <w:tc>
          <w:tcPr>
            <w:tcW w:w="712" w:type="pct"/>
            <w:vAlign w:val="center"/>
          </w:tcPr>
          <w:p w14:paraId="7420046B">
            <w:pPr>
              <w:pStyle w:val="129"/>
              <w:widowControl w:val="0"/>
              <w:rPr>
                <w:color w:val="auto"/>
              </w:rPr>
            </w:pPr>
            <w:r>
              <w:rPr>
                <w:rFonts w:hint="eastAsia"/>
                <w:color w:val="auto"/>
              </w:rPr>
              <w:t>0.06</w:t>
            </w:r>
          </w:p>
        </w:tc>
      </w:tr>
      <w:tr w14:paraId="3B557B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485" w:type="pct"/>
            <w:vAlign w:val="center"/>
          </w:tcPr>
          <w:p w14:paraId="1153A4DB">
            <w:pPr>
              <w:pStyle w:val="129"/>
              <w:widowControl w:val="0"/>
              <w:rPr>
                <w:color w:val="auto"/>
              </w:rPr>
            </w:pPr>
            <w:r>
              <w:rPr>
                <w:rFonts w:hint="eastAsia"/>
                <w:color w:val="auto"/>
              </w:rPr>
              <w:t>14</w:t>
            </w:r>
          </w:p>
        </w:tc>
        <w:tc>
          <w:tcPr>
            <w:tcW w:w="1163" w:type="pct"/>
            <w:vAlign w:val="center"/>
          </w:tcPr>
          <w:p w14:paraId="50E818F5">
            <w:pPr>
              <w:pStyle w:val="129"/>
              <w:widowControl w:val="0"/>
              <w:rPr>
                <w:color w:val="auto"/>
              </w:rPr>
            </w:pPr>
            <w:r>
              <w:rPr>
                <w:rFonts w:hint="eastAsia"/>
                <w:color w:val="auto"/>
              </w:rPr>
              <w:t>钠</w:t>
            </w:r>
          </w:p>
        </w:tc>
        <w:tc>
          <w:tcPr>
            <w:tcW w:w="739" w:type="pct"/>
            <w:vAlign w:val="center"/>
          </w:tcPr>
          <w:p w14:paraId="73126011">
            <w:pPr>
              <w:pStyle w:val="129"/>
              <w:widowControl w:val="0"/>
              <w:rPr>
                <w:color w:val="auto"/>
              </w:rPr>
            </w:pPr>
            <w:r>
              <w:rPr>
                <w:rFonts w:hint="eastAsia"/>
                <w:color w:val="auto"/>
              </w:rPr>
              <w:t>≤200</w:t>
            </w:r>
          </w:p>
        </w:tc>
        <w:tc>
          <w:tcPr>
            <w:tcW w:w="422" w:type="pct"/>
            <w:vAlign w:val="center"/>
          </w:tcPr>
          <w:p w14:paraId="22FC700D">
            <w:pPr>
              <w:pStyle w:val="129"/>
              <w:widowControl w:val="0"/>
              <w:rPr>
                <w:color w:val="auto"/>
              </w:rPr>
            </w:pPr>
            <w:r>
              <w:rPr>
                <w:rFonts w:hint="eastAsia"/>
                <w:color w:val="auto"/>
              </w:rPr>
              <w:t>28</w:t>
            </w:r>
          </w:p>
        </w:tc>
        <w:tc>
          <w:tcPr>
            <w:tcW w:w="1479" w:type="pct"/>
            <w:vAlign w:val="center"/>
          </w:tcPr>
          <w:p w14:paraId="49637093">
            <w:pPr>
              <w:pStyle w:val="129"/>
              <w:widowControl w:val="0"/>
              <w:rPr>
                <w:color w:val="auto"/>
              </w:rPr>
            </w:pPr>
            <w:r>
              <w:rPr>
                <w:rFonts w:hint="eastAsia"/>
                <w:color w:val="auto"/>
                <w:lang w:bidi="ar"/>
              </w:rPr>
              <w:t>二氯甲烷</w:t>
            </w:r>
          </w:p>
        </w:tc>
        <w:tc>
          <w:tcPr>
            <w:tcW w:w="712" w:type="pct"/>
            <w:vAlign w:val="center"/>
          </w:tcPr>
          <w:p w14:paraId="06E286AE">
            <w:pPr>
              <w:pStyle w:val="129"/>
              <w:widowControl w:val="0"/>
              <w:rPr>
                <w:color w:val="auto"/>
              </w:rPr>
            </w:pPr>
            <w:r>
              <w:rPr>
                <w:rFonts w:hint="eastAsia"/>
                <w:color w:val="auto"/>
              </w:rPr>
              <w:t>0.02</w:t>
            </w:r>
          </w:p>
        </w:tc>
      </w:tr>
    </w:tbl>
    <w:p w14:paraId="596D09F8">
      <w:pPr>
        <w:pStyle w:val="1304"/>
        <w:rPr>
          <w:color w:val="auto"/>
        </w:rPr>
      </w:pPr>
    </w:p>
    <w:p w14:paraId="47245539">
      <w:pPr>
        <w:pStyle w:val="5"/>
        <w:rPr>
          <w:color w:val="auto"/>
        </w:rPr>
      </w:pPr>
      <w:r>
        <w:rPr>
          <w:color w:val="auto"/>
        </w:rPr>
        <w:t>声环境评价标准</w:t>
      </w:r>
    </w:p>
    <w:p w14:paraId="57E63549">
      <w:pPr>
        <w:pStyle w:val="132"/>
        <w:rPr>
          <w:color w:val="auto"/>
        </w:rPr>
      </w:pPr>
      <w:r>
        <w:rPr>
          <w:color w:val="auto"/>
        </w:rPr>
        <w:t>根据项目所在区域环境功能区划分，声环境采用《声环境质量标准》（GB3096-2008）中的</w:t>
      </w:r>
      <w:r>
        <w:rPr>
          <w:rFonts w:hint="eastAsia"/>
          <w:color w:val="auto"/>
        </w:rPr>
        <w:t>3</w:t>
      </w:r>
      <w:r>
        <w:rPr>
          <w:color w:val="auto"/>
        </w:rPr>
        <w:t>类环境噪声限值，</w:t>
      </w:r>
      <w:r>
        <w:rPr>
          <w:rFonts w:hint="eastAsia"/>
          <w:color w:val="auto"/>
        </w:rPr>
        <w:t>限值</w:t>
      </w:r>
      <w:r>
        <w:rPr>
          <w:color w:val="auto"/>
        </w:rPr>
        <w:t>见表2.</w:t>
      </w:r>
      <w:r>
        <w:rPr>
          <w:rFonts w:hint="eastAsia"/>
          <w:color w:val="auto"/>
        </w:rPr>
        <w:t>5-4</w:t>
      </w:r>
      <w:r>
        <w:rPr>
          <w:color w:val="auto"/>
        </w:rPr>
        <w:t>。</w:t>
      </w:r>
    </w:p>
    <w:p w14:paraId="35971999">
      <w:pPr>
        <w:pStyle w:val="132"/>
        <w:rPr>
          <w:color w:val="auto"/>
        </w:rPr>
      </w:pPr>
    </w:p>
    <w:p w14:paraId="00BDC187">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color w:val="auto"/>
        </w:rPr>
        <w:t xml:space="preserve">  环境噪声限值</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999"/>
        <w:gridCol w:w="2197"/>
        <w:gridCol w:w="2107"/>
        <w:gridCol w:w="2483"/>
      </w:tblGrid>
      <w:tr w14:paraId="38AFED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38" w:type="pct"/>
            <w:vMerge w:val="restart"/>
            <w:vAlign w:val="center"/>
          </w:tcPr>
          <w:p w14:paraId="0AB5FB56">
            <w:pPr>
              <w:pStyle w:val="129"/>
              <w:widowControl w:val="0"/>
              <w:rPr>
                <w:color w:val="auto"/>
              </w:rPr>
            </w:pPr>
            <w:r>
              <w:rPr>
                <w:color w:val="auto"/>
              </w:rPr>
              <w:t>适用区域</w:t>
            </w:r>
          </w:p>
        </w:tc>
        <w:tc>
          <w:tcPr>
            <w:tcW w:w="2449" w:type="pct"/>
            <w:gridSpan w:val="2"/>
            <w:vAlign w:val="center"/>
          </w:tcPr>
          <w:p w14:paraId="0277DAEE">
            <w:pPr>
              <w:pStyle w:val="129"/>
              <w:widowControl w:val="0"/>
              <w:rPr>
                <w:color w:val="auto"/>
              </w:rPr>
            </w:pPr>
            <w:r>
              <w:rPr>
                <w:color w:val="auto"/>
              </w:rPr>
              <w:t>标准值dB(A)</w:t>
            </w:r>
          </w:p>
        </w:tc>
        <w:tc>
          <w:tcPr>
            <w:tcW w:w="1413" w:type="pct"/>
            <w:vMerge w:val="restart"/>
            <w:vAlign w:val="center"/>
          </w:tcPr>
          <w:p w14:paraId="4B167C6B">
            <w:pPr>
              <w:pStyle w:val="129"/>
              <w:widowControl w:val="0"/>
              <w:rPr>
                <w:color w:val="auto"/>
              </w:rPr>
            </w:pPr>
            <w:r>
              <w:rPr>
                <w:color w:val="auto"/>
              </w:rPr>
              <w:t>标准来源</w:t>
            </w:r>
          </w:p>
        </w:tc>
      </w:tr>
      <w:tr w14:paraId="0E9E690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38" w:type="pct"/>
            <w:vMerge w:val="continue"/>
            <w:vAlign w:val="center"/>
          </w:tcPr>
          <w:p w14:paraId="503916C2">
            <w:pPr>
              <w:pStyle w:val="129"/>
              <w:widowControl w:val="0"/>
              <w:rPr>
                <w:color w:val="auto"/>
              </w:rPr>
            </w:pPr>
          </w:p>
        </w:tc>
        <w:tc>
          <w:tcPr>
            <w:tcW w:w="1250" w:type="pct"/>
            <w:vAlign w:val="center"/>
          </w:tcPr>
          <w:p w14:paraId="392AF6D4">
            <w:pPr>
              <w:pStyle w:val="129"/>
              <w:widowControl w:val="0"/>
              <w:rPr>
                <w:color w:val="auto"/>
              </w:rPr>
            </w:pPr>
            <w:r>
              <w:rPr>
                <w:color w:val="auto"/>
              </w:rPr>
              <w:t>昼间</w:t>
            </w:r>
          </w:p>
        </w:tc>
        <w:tc>
          <w:tcPr>
            <w:tcW w:w="1199" w:type="pct"/>
            <w:vAlign w:val="center"/>
          </w:tcPr>
          <w:p w14:paraId="404C0180">
            <w:pPr>
              <w:pStyle w:val="129"/>
              <w:widowControl w:val="0"/>
              <w:rPr>
                <w:color w:val="auto"/>
              </w:rPr>
            </w:pPr>
            <w:r>
              <w:rPr>
                <w:color w:val="auto"/>
              </w:rPr>
              <w:t>夜间</w:t>
            </w:r>
          </w:p>
        </w:tc>
        <w:tc>
          <w:tcPr>
            <w:tcW w:w="1413" w:type="pct"/>
            <w:vMerge w:val="continue"/>
            <w:vAlign w:val="center"/>
          </w:tcPr>
          <w:p w14:paraId="3EE26736">
            <w:pPr>
              <w:pStyle w:val="129"/>
              <w:widowControl w:val="0"/>
              <w:rPr>
                <w:color w:val="auto"/>
              </w:rPr>
            </w:pPr>
          </w:p>
        </w:tc>
      </w:tr>
      <w:tr w14:paraId="2FC5CB7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38" w:type="pct"/>
            <w:vAlign w:val="center"/>
          </w:tcPr>
          <w:p w14:paraId="6E30B072">
            <w:pPr>
              <w:pStyle w:val="129"/>
              <w:widowControl w:val="0"/>
              <w:rPr>
                <w:color w:val="auto"/>
              </w:rPr>
            </w:pPr>
            <w:r>
              <w:rPr>
                <w:color w:val="auto"/>
              </w:rPr>
              <w:t>环境噪声</w:t>
            </w:r>
          </w:p>
        </w:tc>
        <w:tc>
          <w:tcPr>
            <w:tcW w:w="1250" w:type="pct"/>
            <w:vAlign w:val="center"/>
          </w:tcPr>
          <w:p w14:paraId="5CEE035E">
            <w:pPr>
              <w:pStyle w:val="129"/>
              <w:widowControl w:val="0"/>
              <w:rPr>
                <w:color w:val="auto"/>
              </w:rPr>
            </w:pPr>
            <w:r>
              <w:rPr>
                <w:color w:val="auto"/>
              </w:rPr>
              <w:t>6</w:t>
            </w:r>
            <w:r>
              <w:rPr>
                <w:rFonts w:hint="eastAsia"/>
                <w:color w:val="auto"/>
              </w:rPr>
              <w:t>5</w:t>
            </w:r>
          </w:p>
        </w:tc>
        <w:tc>
          <w:tcPr>
            <w:tcW w:w="1199" w:type="pct"/>
            <w:vAlign w:val="center"/>
          </w:tcPr>
          <w:p w14:paraId="32041407">
            <w:pPr>
              <w:pStyle w:val="129"/>
              <w:widowControl w:val="0"/>
              <w:rPr>
                <w:color w:val="auto"/>
              </w:rPr>
            </w:pPr>
            <w:r>
              <w:rPr>
                <w:color w:val="auto"/>
              </w:rPr>
              <w:t>5</w:t>
            </w:r>
            <w:r>
              <w:rPr>
                <w:rFonts w:hint="eastAsia"/>
                <w:color w:val="auto"/>
              </w:rPr>
              <w:t>5</w:t>
            </w:r>
          </w:p>
        </w:tc>
        <w:tc>
          <w:tcPr>
            <w:tcW w:w="1413" w:type="pct"/>
            <w:vAlign w:val="center"/>
          </w:tcPr>
          <w:p w14:paraId="61811314">
            <w:pPr>
              <w:pStyle w:val="129"/>
              <w:widowControl w:val="0"/>
              <w:rPr>
                <w:color w:val="auto"/>
              </w:rPr>
            </w:pPr>
            <w:r>
              <w:rPr>
                <w:color w:val="auto"/>
              </w:rPr>
              <w:t>GB3096-2008</w:t>
            </w:r>
            <w:r>
              <w:rPr>
                <w:rFonts w:hint="eastAsia"/>
                <w:color w:val="auto"/>
              </w:rPr>
              <w:t xml:space="preserve"> </w:t>
            </w:r>
            <w:r>
              <w:rPr>
                <w:color w:val="auto"/>
              </w:rPr>
              <w:t xml:space="preserve"> </w:t>
            </w:r>
            <w:r>
              <w:rPr>
                <w:rFonts w:hint="eastAsia"/>
                <w:color w:val="auto"/>
              </w:rPr>
              <w:t>3</w:t>
            </w:r>
            <w:r>
              <w:rPr>
                <w:color w:val="auto"/>
              </w:rPr>
              <w:t>类</w:t>
            </w:r>
          </w:p>
        </w:tc>
      </w:tr>
    </w:tbl>
    <w:p w14:paraId="521C89D2">
      <w:pPr>
        <w:pStyle w:val="1704"/>
        <w:rPr>
          <w:rFonts w:ascii="Times New Roman" w:hAnsi="Times New Roman"/>
          <w:color w:val="auto"/>
        </w:rPr>
      </w:pPr>
    </w:p>
    <w:p w14:paraId="2BE03075">
      <w:pPr>
        <w:pStyle w:val="5"/>
        <w:rPr>
          <w:color w:val="auto"/>
        </w:rPr>
      </w:pPr>
      <w:r>
        <w:rPr>
          <w:color w:val="auto"/>
        </w:rPr>
        <w:t>土壤评价标准</w:t>
      </w:r>
    </w:p>
    <w:p w14:paraId="52AFB2F2">
      <w:pPr>
        <w:pStyle w:val="132"/>
        <w:rPr>
          <w:color w:val="auto"/>
        </w:rPr>
      </w:pPr>
      <w:r>
        <w:rPr>
          <w:color w:val="auto"/>
        </w:rPr>
        <w:t>本项目用地范围内土壤环境现状评价执行《</w:t>
      </w:r>
      <w:r>
        <w:rPr>
          <w:rFonts w:hint="eastAsia"/>
          <w:color w:val="auto"/>
        </w:rPr>
        <w:t>土壤环境质量 建设用地土壤污染风险管控标准（试行）</w:t>
      </w:r>
      <w:r>
        <w:rPr>
          <w:color w:val="auto"/>
        </w:rPr>
        <w:t>》（GB36600-2018）表1中建设用地（第二类用地）土壤污染风险筛选值和管控值（基本项目及其他项目），见表</w:t>
      </w:r>
      <w:r>
        <w:rPr>
          <w:rFonts w:hint="eastAsia"/>
          <w:color w:val="auto"/>
        </w:rPr>
        <w:t>2.5-5</w:t>
      </w:r>
      <w:r>
        <w:rPr>
          <w:color w:val="auto"/>
        </w:rPr>
        <w:t>；</w:t>
      </w:r>
    </w:p>
    <w:p w14:paraId="3970E1D4">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r>
        <w:rPr>
          <w:color w:val="auto"/>
        </w:rPr>
        <w:t xml:space="preserve"> </w:t>
      </w:r>
      <w:r>
        <w:rPr>
          <w:rStyle w:val="1716"/>
          <w:rFonts w:eastAsia="黑体"/>
          <w:color w:val="auto"/>
        </w:rPr>
        <w:t>建设用地土壤污染风险</w:t>
      </w:r>
      <w:r>
        <w:rPr>
          <w:rStyle w:val="1716"/>
          <w:rFonts w:hint="eastAsia" w:eastAsia="黑体"/>
          <w:color w:val="auto"/>
        </w:rPr>
        <w:t>筛选值</w:t>
      </w:r>
      <w:r>
        <w:rPr>
          <w:rStyle w:val="1716"/>
          <w:rFonts w:eastAsia="黑体"/>
          <w:color w:val="auto"/>
        </w:rPr>
        <w:t>和管制值</w:t>
      </w:r>
      <w:r>
        <w:rPr>
          <w:rStyle w:val="1716"/>
          <w:rFonts w:hint="eastAsia" w:eastAsia="黑体"/>
          <w:color w:val="auto"/>
        </w:rPr>
        <w:t>（基本项目）</w:t>
      </w:r>
      <w:r>
        <w:rPr>
          <w:color w:val="auto"/>
        </w:rPr>
        <w:t>单位：mg/kg</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538"/>
        <w:gridCol w:w="1415"/>
        <w:gridCol w:w="898"/>
        <w:gridCol w:w="597"/>
        <w:gridCol w:w="1351"/>
        <w:gridCol w:w="845"/>
        <w:gridCol w:w="661"/>
        <w:gridCol w:w="1655"/>
        <w:gridCol w:w="826"/>
      </w:tblGrid>
      <w:tr w14:paraId="54E66A2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3A945BC8">
            <w:pPr>
              <w:pStyle w:val="129"/>
              <w:widowControl w:val="0"/>
              <w:spacing w:line="340" w:lineRule="exact"/>
              <w:rPr>
                <w:color w:val="auto"/>
              </w:rPr>
            </w:pPr>
            <w:r>
              <w:rPr>
                <w:rFonts w:hint="eastAsia"/>
                <w:color w:val="auto"/>
              </w:rPr>
              <w:t>序号</w:t>
            </w:r>
          </w:p>
        </w:tc>
        <w:tc>
          <w:tcPr>
            <w:tcW w:w="805" w:type="pct"/>
            <w:vAlign w:val="center"/>
          </w:tcPr>
          <w:p w14:paraId="6891D25C">
            <w:pPr>
              <w:pStyle w:val="129"/>
              <w:widowControl w:val="0"/>
              <w:spacing w:line="340" w:lineRule="exact"/>
              <w:rPr>
                <w:color w:val="auto"/>
              </w:rPr>
            </w:pPr>
            <w:r>
              <w:rPr>
                <w:rFonts w:hint="eastAsia"/>
                <w:color w:val="auto"/>
              </w:rPr>
              <w:t>监测项目</w:t>
            </w:r>
          </w:p>
        </w:tc>
        <w:tc>
          <w:tcPr>
            <w:tcW w:w="511" w:type="pct"/>
            <w:vAlign w:val="center"/>
          </w:tcPr>
          <w:p w14:paraId="3D3FF0EF">
            <w:pPr>
              <w:pStyle w:val="129"/>
              <w:widowControl w:val="0"/>
              <w:spacing w:line="340" w:lineRule="exact"/>
              <w:rPr>
                <w:color w:val="auto"/>
              </w:rPr>
            </w:pPr>
            <w:r>
              <w:rPr>
                <w:color w:val="auto"/>
              </w:rPr>
              <w:t>第二类筛选值</w:t>
            </w:r>
          </w:p>
        </w:tc>
        <w:tc>
          <w:tcPr>
            <w:tcW w:w="340" w:type="pct"/>
            <w:vAlign w:val="center"/>
          </w:tcPr>
          <w:p w14:paraId="590ACEAC">
            <w:pPr>
              <w:pStyle w:val="129"/>
              <w:widowControl w:val="0"/>
              <w:spacing w:line="340" w:lineRule="exact"/>
              <w:rPr>
                <w:color w:val="auto"/>
              </w:rPr>
            </w:pPr>
            <w:r>
              <w:rPr>
                <w:rFonts w:hint="eastAsia"/>
                <w:color w:val="auto"/>
              </w:rPr>
              <w:t>序号</w:t>
            </w:r>
          </w:p>
        </w:tc>
        <w:tc>
          <w:tcPr>
            <w:tcW w:w="769" w:type="pct"/>
            <w:vAlign w:val="center"/>
          </w:tcPr>
          <w:p w14:paraId="0EA79220">
            <w:pPr>
              <w:pStyle w:val="129"/>
              <w:widowControl w:val="0"/>
              <w:spacing w:line="340" w:lineRule="exact"/>
              <w:rPr>
                <w:color w:val="auto"/>
              </w:rPr>
            </w:pPr>
            <w:r>
              <w:rPr>
                <w:rFonts w:hint="eastAsia"/>
                <w:color w:val="auto"/>
              </w:rPr>
              <w:t>监测项目</w:t>
            </w:r>
          </w:p>
        </w:tc>
        <w:tc>
          <w:tcPr>
            <w:tcW w:w="481" w:type="pct"/>
            <w:vAlign w:val="center"/>
          </w:tcPr>
          <w:p w14:paraId="4D9D8FD8">
            <w:pPr>
              <w:pStyle w:val="129"/>
              <w:widowControl w:val="0"/>
              <w:spacing w:line="340" w:lineRule="exact"/>
              <w:rPr>
                <w:color w:val="auto"/>
              </w:rPr>
            </w:pPr>
            <w:r>
              <w:rPr>
                <w:color w:val="auto"/>
              </w:rPr>
              <w:t>第二类筛选值</w:t>
            </w:r>
          </w:p>
        </w:tc>
        <w:tc>
          <w:tcPr>
            <w:tcW w:w="376" w:type="pct"/>
            <w:vAlign w:val="center"/>
          </w:tcPr>
          <w:p w14:paraId="30A4307B">
            <w:pPr>
              <w:pStyle w:val="129"/>
              <w:widowControl w:val="0"/>
              <w:spacing w:line="340" w:lineRule="exact"/>
              <w:rPr>
                <w:color w:val="auto"/>
              </w:rPr>
            </w:pPr>
            <w:r>
              <w:rPr>
                <w:rFonts w:hint="eastAsia"/>
                <w:color w:val="auto"/>
              </w:rPr>
              <w:t>序号</w:t>
            </w:r>
          </w:p>
        </w:tc>
        <w:tc>
          <w:tcPr>
            <w:tcW w:w="942" w:type="pct"/>
            <w:vAlign w:val="center"/>
          </w:tcPr>
          <w:p w14:paraId="25E49E73">
            <w:pPr>
              <w:pStyle w:val="129"/>
              <w:widowControl w:val="0"/>
              <w:spacing w:line="340" w:lineRule="exact"/>
              <w:rPr>
                <w:color w:val="auto"/>
              </w:rPr>
            </w:pPr>
            <w:r>
              <w:rPr>
                <w:rFonts w:hint="eastAsia"/>
                <w:color w:val="auto"/>
              </w:rPr>
              <w:t>监测项目</w:t>
            </w:r>
          </w:p>
        </w:tc>
        <w:tc>
          <w:tcPr>
            <w:tcW w:w="470" w:type="pct"/>
            <w:vAlign w:val="center"/>
          </w:tcPr>
          <w:p w14:paraId="4E9F6B5B">
            <w:pPr>
              <w:pStyle w:val="129"/>
              <w:widowControl w:val="0"/>
              <w:spacing w:line="340" w:lineRule="exact"/>
              <w:rPr>
                <w:color w:val="auto"/>
              </w:rPr>
            </w:pPr>
            <w:r>
              <w:rPr>
                <w:color w:val="auto"/>
              </w:rPr>
              <w:t>第二类筛选值</w:t>
            </w:r>
          </w:p>
        </w:tc>
      </w:tr>
      <w:tr w14:paraId="2996208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26827FA8">
            <w:pPr>
              <w:pStyle w:val="129"/>
              <w:widowControl w:val="0"/>
              <w:spacing w:line="340" w:lineRule="exact"/>
              <w:rPr>
                <w:color w:val="auto"/>
              </w:rPr>
            </w:pPr>
            <w:r>
              <w:rPr>
                <w:rFonts w:hint="eastAsia"/>
                <w:color w:val="auto"/>
              </w:rPr>
              <w:t>1</w:t>
            </w:r>
          </w:p>
        </w:tc>
        <w:tc>
          <w:tcPr>
            <w:tcW w:w="805" w:type="pct"/>
            <w:vAlign w:val="center"/>
          </w:tcPr>
          <w:p w14:paraId="776819AF">
            <w:pPr>
              <w:pStyle w:val="129"/>
              <w:widowControl w:val="0"/>
              <w:spacing w:line="340" w:lineRule="exact"/>
              <w:rPr>
                <w:color w:val="auto"/>
              </w:rPr>
            </w:pPr>
            <w:r>
              <w:rPr>
                <w:color w:val="auto"/>
              </w:rPr>
              <w:t>pH</w:t>
            </w:r>
            <w:r>
              <w:rPr>
                <w:rFonts w:hint="eastAsia"/>
                <w:color w:val="auto"/>
              </w:rPr>
              <w:t>值</w:t>
            </w:r>
          </w:p>
        </w:tc>
        <w:tc>
          <w:tcPr>
            <w:tcW w:w="511" w:type="pct"/>
            <w:vAlign w:val="center"/>
          </w:tcPr>
          <w:p w14:paraId="6FAE3D9E">
            <w:pPr>
              <w:pStyle w:val="129"/>
              <w:widowControl w:val="0"/>
              <w:spacing w:line="340" w:lineRule="exact"/>
              <w:rPr>
                <w:color w:val="auto"/>
              </w:rPr>
            </w:pPr>
            <w:r>
              <w:rPr>
                <w:rFonts w:hint="eastAsia"/>
                <w:color w:val="auto"/>
              </w:rPr>
              <w:t>-</w:t>
            </w:r>
          </w:p>
        </w:tc>
        <w:tc>
          <w:tcPr>
            <w:tcW w:w="340" w:type="pct"/>
            <w:vAlign w:val="center"/>
          </w:tcPr>
          <w:p w14:paraId="0A7EB7BC">
            <w:pPr>
              <w:pStyle w:val="129"/>
              <w:widowControl w:val="0"/>
              <w:spacing w:line="340" w:lineRule="exact"/>
              <w:rPr>
                <w:color w:val="auto"/>
              </w:rPr>
            </w:pPr>
            <w:r>
              <w:rPr>
                <w:color w:val="auto"/>
              </w:rPr>
              <w:t>17</w:t>
            </w:r>
          </w:p>
        </w:tc>
        <w:tc>
          <w:tcPr>
            <w:tcW w:w="769" w:type="pct"/>
            <w:vAlign w:val="center"/>
          </w:tcPr>
          <w:p w14:paraId="3A5B58FA">
            <w:pPr>
              <w:pStyle w:val="129"/>
              <w:widowControl w:val="0"/>
              <w:spacing w:line="340" w:lineRule="exact"/>
              <w:rPr>
                <w:color w:val="auto"/>
              </w:rPr>
            </w:pPr>
            <w:r>
              <w:rPr>
                <w:rFonts w:hint="eastAsia"/>
                <w:color w:val="auto"/>
              </w:rPr>
              <w:t>二氯甲烷</w:t>
            </w:r>
          </w:p>
        </w:tc>
        <w:tc>
          <w:tcPr>
            <w:tcW w:w="481" w:type="pct"/>
            <w:vAlign w:val="center"/>
          </w:tcPr>
          <w:p w14:paraId="5D7132B4">
            <w:pPr>
              <w:pStyle w:val="129"/>
              <w:widowControl w:val="0"/>
              <w:spacing w:line="340" w:lineRule="exact"/>
              <w:rPr>
                <w:color w:val="auto"/>
              </w:rPr>
            </w:pPr>
            <w:r>
              <w:rPr>
                <w:color w:val="auto"/>
              </w:rPr>
              <w:t>616</w:t>
            </w:r>
          </w:p>
        </w:tc>
        <w:tc>
          <w:tcPr>
            <w:tcW w:w="376" w:type="pct"/>
            <w:vAlign w:val="center"/>
          </w:tcPr>
          <w:p w14:paraId="5AB312F5">
            <w:pPr>
              <w:pStyle w:val="129"/>
              <w:widowControl w:val="0"/>
              <w:spacing w:line="340" w:lineRule="exact"/>
              <w:rPr>
                <w:color w:val="auto"/>
              </w:rPr>
            </w:pPr>
            <w:r>
              <w:rPr>
                <w:color w:val="auto"/>
              </w:rPr>
              <w:t>33</w:t>
            </w:r>
          </w:p>
        </w:tc>
        <w:tc>
          <w:tcPr>
            <w:tcW w:w="942" w:type="pct"/>
            <w:vAlign w:val="center"/>
          </w:tcPr>
          <w:p w14:paraId="22EB2C9A">
            <w:pPr>
              <w:pStyle w:val="129"/>
              <w:widowControl w:val="0"/>
              <w:spacing w:line="340" w:lineRule="exact"/>
              <w:rPr>
                <w:color w:val="auto"/>
              </w:rPr>
            </w:pPr>
            <w:r>
              <w:rPr>
                <w:rFonts w:hint="eastAsia"/>
                <w:color w:val="auto"/>
              </w:rPr>
              <w:t>甲苯</w:t>
            </w:r>
          </w:p>
        </w:tc>
        <w:tc>
          <w:tcPr>
            <w:tcW w:w="470" w:type="pct"/>
            <w:vAlign w:val="center"/>
          </w:tcPr>
          <w:p w14:paraId="331AE37E">
            <w:pPr>
              <w:pStyle w:val="129"/>
              <w:widowControl w:val="0"/>
              <w:spacing w:line="340" w:lineRule="exact"/>
              <w:rPr>
                <w:color w:val="auto"/>
              </w:rPr>
            </w:pPr>
            <w:r>
              <w:rPr>
                <w:color w:val="auto"/>
              </w:rPr>
              <w:t>1200</w:t>
            </w:r>
          </w:p>
        </w:tc>
      </w:tr>
      <w:tr w14:paraId="6EF6CF9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7F6BC1DF">
            <w:pPr>
              <w:pStyle w:val="129"/>
              <w:widowControl w:val="0"/>
              <w:spacing w:line="340" w:lineRule="exact"/>
              <w:rPr>
                <w:color w:val="auto"/>
              </w:rPr>
            </w:pPr>
            <w:r>
              <w:rPr>
                <w:rFonts w:hint="eastAsia"/>
                <w:color w:val="auto"/>
              </w:rPr>
              <w:t>2</w:t>
            </w:r>
          </w:p>
        </w:tc>
        <w:tc>
          <w:tcPr>
            <w:tcW w:w="805" w:type="pct"/>
            <w:vAlign w:val="center"/>
          </w:tcPr>
          <w:p w14:paraId="63F9837E">
            <w:pPr>
              <w:pStyle w:val="129"/>
              <w:widowControl w:val="0"/>
              <w:spacing w:line="340" w:lineRule="exact"/>
              <w:rPr>
                <w:color w:val="auto"/>
              </w:rPr>
            </w:pPr>
            <w:r>
              <w:rPr>
                <w:rFonts w:hint="eastAsia"/>
                <w:color w:val="auto"/>
              </w:rPr>
              <w:t>砷</w:t>
            </w:r>
          </w:p>
        </w:tc>
        <w:tc>
          <w:tcPr>
            <w:tcW w:w="511" w:type="pct"/>
            <w:vAlign w:val="center"/>
          </w:tcPr>
          <w:p w14:paraId="76365FCC">
            <w:pPr>
              <w:pStyle w:val="129"/>
              <w:widowControl w:val="0"/>
              <w:spacing w:line="340" w:lineRule="exact"/>
              <w:rPr>
                <w:color w:val="auto"/>
              </w:rPr>
            </w:pPr>
            <w:r>
              <w:rPr>
                <w:color w:val="auto"/>
              </w:rPr>
              <w:t>60</w:t>
            </w:r>
          </w:p>
        </w:tc>
        <w:tc>
          <w:tcPr>
            <w:tcW w:w="340" w:type="pct"/>
            <w:vAlign w:val="center"/>
          </w:tcPr>
          <w:p w14:paraId="1F060BF3">
            <w:pPr>
              <w:pStyle w:val="129"/>
              <w:widowControl w:val="0"/>
              <w:spacing w:line="340" w:lineRule="exact"/>
              <w:rPr>
                <w:color w:val="auto"/>
              </w:rPr>
            </w:pPr>
            <w:r>
              <w:rPr>
                <w:color w:val="auto"/>
              </w:rPr>
              <w:t>18</w:t>
            </w:r>
          </w:p>
        </w:tc>
        <w:tc>
          <w:tcPr>
            <w:tcW w:w="769" w:type="pct"/>
            <w:vAlign w:val="center"/>
          </w:tcPr>
          <w:p w14:paraId="4605200D">
            <w:pPr>
              <w:pStyle w:val="129"/>
              <w:widowControl w:val="0"/>
              <w:spacing w:line="340" w:lineRule="exact"/>
              <w:rPr>
                <w:color w:val="auto"/>
              </w:rPr>
            </w:pPr>
            <w:r>
              <w:rPr>
                <w:color w:val="auto"/>
              </w:rPr>
              <w:t>1,2-</w:t>
            </w:r>
            <w:r>
              <w:rPr>
                <w:rFonts w:hint="eastAsia"/>
                <w:color w:val="auto"/>
              </w:rPr>
              <w:t>二氯丙烷</w:t>
            </w:r>
          </w:p>
        </w:tc>
        <w:tc>
          <w:tcPr>
            <w:tcW w:w="481" w:type="pct"/>
            <w:vAlign w:val="center"/>
          </w:tcPr>
          <w:p w14:paraId="4DAB6418">
            <w:pPr>
              <w:pStyle w:val="129"/>
              <w:widowControl w:val="0"/>
              <w:spacing w:line="340" w:lineRule="exact"/>
              <w:rPr>
                <w:color w:val="auto"/>
              </w:rPr>
            </w:pPr>
            <w:r>
              <w:rPr>
                <w:color w:val="auto"/>
              </w:rPr>
              <w:t>5</w:t>
            </w:r>
          </w:p>
        </w:tc>
        <w:tc>
          <w:tcPr>
            <w:tcW w:w="376" w:type="pct"/>
            <w:vAlign w:val="center"/>
          </w:tcPr>
          <w:p w14:paraId="432BD099">
            <w:pPr>
              <w:pStyle w:val="129"/>
              <w:widowControl w:val="0"/>
              <w:spacing w:line="340" w:lineRule="exact"/>
              <w:rPr>
                <w:color w:val="auto"/>
              </w:rPr>
            </w:pPr>
            <w:r>
              <w:rPr>
                <w:color w:val="auto"/>
              </w:rPr>
              <w:t>34</w:t>
            </w:r>
          </w:p>
        </w:tc>
        <w:tc>
          <w:tcPr>
            <w:tcW w:w="942" w:type="pct"/>
            <w:vAlign w:val="center"/>
          </w:tcPr>
          <w:p w14:paraId="02EE5C4C">
            <w:pPr>
              <w:pStyle w:val="129"/>
              <w:widowControl w:val="0"/>
              <w:spacing w:line="340" w:lineRule="exact"/>
              <w:rPr>
                <w:color w:val="auto"/>
              </w:rPr>
            </w:pPr>
            <w:r>
              <w:rPr>
                <w:rFonts w:hint="eastAsia"/>
                <w:color w:val="auto"/>
              </w:rPr>
              <w:t>间二甲苯</w:t>
            </w:r>
            <w:r>
              <w:rPr>
                <w:color w:val="auto"/>
              </w:rPr>
              <w:t>+</w:t>
            </w:r>
            <w:r>
              <w:rPr>
                <w:rFonts w:hint="eastAsia"/>
                <w:color w:val="auto"/>
              </w:rPr>
              <w:t>对二甲苯</w:t>
            </w:r>
          </w:p>
        </w:tc>
        <w:tc>
          <w:tcPr>
            <w:tcW w:w="470" w:type="pct"/>
            <w:vAlign w:val="center"/>
          </w:tcPr>
          <w:p w14:paraId="0D577381">
            <w:pPr>
              <w:pStyle w:val="129"/>
              <w:widowControl w:val="0"/>
              <w:spacing w:line="340" w:lineRule="exact"/>
              <w:rPr>
                <w:color w:val="auto"/>
              </w:rPr>
            </w:pPr>
            <w:r>
              <w:rPr>
                <w:color w:val="auto"/>
              </w:rPr>
              <w:t>570</w:t>
            </w:r>
          </w:p>
        </w:tc>
      </w:tr>
      <w:tr w14:paraId="3CA4874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0D85C4E3">
            <w:pPr>
              <w:pStyle w:val="129"/>
              <w:widowControl w:val="0"/>
              <w:spacing w:line="340" w:lineRule="exact"/>
              <w:rPr>
                <w:color w:val="auto"/>
              </w:rPr>
            </w:pPr>
            <w:r>
              <w:rPr>
                <w:rFonts w:hint="eastAsia"/>
                <w:color w:val="auto"/>
              </w:rPr>
              <w:t>3</w:t>
            </w:r>
          </w:p>
        </w:tc>
        <w:tc>
          <w:tcPr>
            <w:tcW w:w="805" w:type="pct"/>
            <w:vAlign w:val="center"/>
          </w:tcPr>
          <w:p w14:paraId="5FDEED4A">
            <w:pPr>
              <w:pStyle w:val="129"/>
              <w:widowControl w:val="0"/>
              <w:spacing w:line="340" w:lineRule="exact"/>
              <w:rPr>
                <w:color w:val="auto"/>
              </w:rPr>
            </w:pPr>
            <w:r>
              <w:rPr>
                <w:rFonts w:hint="eastAsia"/>
                <w:color w:val="auto"/>
              </w:rPr>
              <w:t>镉</w:t>
            </w:r>
          </w:p>
        </w:tc>
        <w:tc>
          <w:tcPr>
            <w:tcW w:w="511" w:type="pct"/>
            <w:vAlign w:val="center"/>
          </w:tcPr>
          <w:p w14:paraId="06420BE6">
            <w:pPr>
              <w:pStyle w:val="129"/>
              <w:widowControl w:val="0"/>
              <w:spacing w:line="340" w:lineRule="exact"/>
              <w:rPr>
                <w:color w:val="auto"/>
              </w:rPr>
            </w:pPr>
            <w:r>
              <w:rPr>
                <w:color w:val="auto"/>
              </w:rPr>
              <w:t>65</w:t>
            </w:r>
          </w:p>
        </w:tc>
        <w:tc>
          <w:tcPr>
            <w:tcW w:w="340" w:type="pct"/>
            <w:vAlign w:val="center"/>
          </w:tcPr>
          <w:p w14:paraId="2ECF2C21">
            <w:pPr>
              <w:pStyle w:val="129"/>
              <w:widowControl w:val="0"/>
              <w:spacing w:line="340" w:lineRule="exact"/>
              <w:rPr>
                <w:color w:val="auto"/>
              </w:rPr>
            </w:pPr>
            <w:r>
              <w:rPr>
                <w:color w:val="auto"/>
              </w:rPr>
              <w:t>19</w:t>
            </w:r>
          </w:p>
        </w:tc>
        <w:tc>
          <w:tcPr>
            <w:tcW w:w="769" w:type="pct"/>
            <w:vAlign w:val="center"/>
          </w:tcPr>
          <w:p w14:paraId="5CDCC2F5">
            <w:pPr>
              <w:pStyle w:val="129"/>
              <w:widowControl w:val="0"/>
              <w:spacing w:line="340" w:lineRule="exact"/>
              <w:rPr>
                <w:color w:val="auto"/>
              </w:rPr>
            </w:pPr>
            <w:r>
              <w:rPr>
                <w:color w:val="auto"/>
              </w:rPr>
              <w:t>1,1,1,2-</w:t>
            </w:r>
            <w:r>
              <w:rPr>
                <w:rFonts w:hint="eastAsia"/>
                <w:color w:val="auto"/>
              </w:rPr>
              <w:t>四氯乙烷</w:t>
            </w:r>
          </w:p>
        </w:tc>
        <w:tc>
          <w:tcPr>
            <w:tcW w:w="481" w:type="pct"/>
            <w:vAlign w:val="center"/>
          </w:tcPr>
          <w:p w14:paraId="1C300A19">
            <w:pPr>
              <w:pStyle w:val="129"/>
              <w:widowControl w:val="0"/>
              <w:spacing w:line="340" w:lineRule="exact"/>
              <w:rPr>
                <w:color w:val="auto"/>
              </w:rPr>
            </w:pPr>
            <w:r>
              <w:rPr>
                <w:color w:val="auto"/>
              </w:rPr>
              <w:t>10</w:t>
            </w:r>
          </w:p>
        </w:tc>
        <w:tc>
          <w:tcPr>
            <w:tcW w:w="376" w:type="pct"/>
            <w:vAlign w:val="center"/>
          </w:tcPr>
          <w:p w14:paraId="7A00136E">
            <w:pPr>
              <w:pStyle w:val="129"/>
              <w:widowControl w:val="0"/>
              <w:spacing w:line="340" w:lineRule="exact"/>
              <w:rPr>
                <w:color w:val="auto"/>
              </w:rPr>
            </w:pPr>
            <w:r>
              <w:rPr>
                <w:color w:val="auto"/>
              </w:rPr>
              <w:t>35</w:t>
            </w:r>
          </w:p>
        </w:tc>
        <w:tc>
          <w:tcPr>
            <w:tcW w:w="942" w:type="pct"/>
            <w:vAlign w:val="center"/>
          </w:tcPr>
          <w:p w14:paraId="6FF6658F">
            <w:pPr>
              <w:pStyle w:val="129"/>
              <w:widowControl w:val="0"/>
              <w:spacing w:line="340" w:lineRule="exact"/>
              <w:rPr>
                <w:color w:val="auto"/>
              </w:rPr>
            </w:pPr>
            <w:r>
              <w:rPr>
                <w:rFonts w:hint="eastAsia"/>
                <w:color w:val="auto"/>
              </w:rPr>
              <w:t>邻二甲苯</w:t>
            </w:r>
          </w:p>
        </w:tc>
        <w:tc>
          <w:tcPr>
            <w:tcW w:w="470" w:type="pct"/>
            <w:vAlign w:val="center"/>
          </w:tcPr>
          <w:p w14:paraId="5AA30FDD">
            <w:pPr>
              <w:pStyle w:val="129"/>
              <w:widowControl w:val="0"/>
              <w:spacing w:line="340" w:lineRule="exact"/>
              <w:rPr>
                <w:color w:val="auto"/>
              </w:rPr>
            </w:pPr>
            <w:r>
              <w:rPr>
                <w:color w:val="auto"/>
              </w:rPr>
              <w:t>640</w:t>
            </w:r>
          </w:p>
        </w:tc>
      </w:tr>
      <w:tr w14:paraId="6971E3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0EE74BAC">
            <w:pPr>
              <w:pStyle w:val="129"/>
              <w:widowControl w:val="0"/>
              <w:spacing w:line="340" w:lineRule="exact"/>
              <w:rPr>
                <w:color w:val="auto"/>
              </w:rPr>
            </w:pPr>
            <w:r>
              <w:rPr>
                <w:rFonts w:hint="eastAsia"/>
                <w:color w:val="auto"/>
              </w:rPr>
              <w:t>4</w:t>
            </w:r>
          </w:p>
        </w:tc>
        <w:tc>
          <w:tcPr>
            <w:tcW w:w="805" w:type="pct"/>
            <w:vAlign w:val="center"/>
          </w:tcPr>
          <w:p w14:paraId="5A4ECFE3">
            <w:pPr>
              <w:pStyle w:val="129"/>
              <w:widowControl w:val="0"/>
              <w:spacing w:line="340" w:lineRule="exact"/>
              <w:rPr>
                <w:color w:val="auto"/>
              </w:rPr>
            </w:pPr>
            <w:r>
              <w:rPr>
                <w:rFonts w:hint="eastAsia"/>
                <w:color w:val="auto"/>
              </w:rPr>
              <w:t>六价铬</w:t>
            </w:r>
          </w:p>
        </w:tc>
        <w:tc>
          <w:tcPr>
            <w:tcW w:w="511" w:type="pct"/>
            <w:vAlign w:val="center"/>
          </w:tcPr>
          <w:p w14:paraId="1C8A1F78">
            <w:pPr>
              <w:pStyle w:val="129"/>
              <w:widowControl w:val="0"/>
              <w:spacing w:line="340" w:lineRule="exact"/>
              <w:rPr>
                <w:color w:val="auto"/>
              </w:rPr>
            </w:pPr>
            <w:r>
              <w:rPr>
                <w:color w:val="auto"/>
              </w:rPr>
              <w:t>5.7</w:t>
            </w:r>
          </w:p>
        </w:tc>
        <w:tc>
          <w:tcPr>
            <w:tcW w:w="340" w:type="pct"/>
            <w:vAlign w:val="center"/>
          </w:tcPr>
          <w:p w14:paraId="79E5F690">
            <w:pPr>
              <w:pStyle w:val="129"/>
              <w:widowControl w:val="0"/>
              <w:spacing w:line="340" w:lineRule="exact"/>
              <w:rPr>
                <w:color w:val="auto"/>
              </w:rPr>
            </w:pPr>
            <w:r>
              <w:rPr>
                <w:color w:val="auto"/>
              </w:rPr>
              <w:t>20</w:t>
            </w:r>
          </w:p>
        </w:tc>
        <w:tc>
          <w:tcPr>
            <w:tcW w:w="769" w:type="pct"/>
            <w:vAlign w:val="center"/>
          </w:tcPr>
          <w:p w14:paraId="0630E675">
            <w:pPr>
              <w:pStyle w:val="129"/>
              <w:widowControl w:val="0"/>
              <w:spacing w:line="340" w:lineRule="exact"/>
              <w:rPr>
                <w:color w:val="auto"/>
              </w:rPr>
            </w:pPr>
            <w:r>
              <w:rPr>
                <w:color w:val="auto"/>
              </w:rPr>
              <w:t>1,1,2,2-</w:t>
            </w:r>
            <w:r>
              <w:rPr>
                <w:rFonts w:hint="eastAsia"/>
                <w:color w:val="auto"/>
              </w:rPr>
              <w:t>四氯乙烷</w:t>
            </w:r>
          </w:p>
        </w:tc>
        <w:tc>
          <w:tcPr>
            <w:tcW w:w="481" w:type="pct"/>
            <w:vAlign w:val="center"/>
          </w:tcPr>
          <w:p w14:paraId="1D05B899">
            <w:pPr>
              <w:pStyle w:val="129"/>
              <w:widowControl w:val="0"/>
              <w:spacing w:line="340" w:lineRule="exact"/>
              <w:rPr>
                <w:color w:val="auto"/>
              </w:rPr>
            </w:pPr>
            <w:r>
              <w:rPr>
                <w:color w:val="auto"/>
              </w:rPr>
              <w:t>6.8</w:t>
            </w:r>
          </w:p>
        </w:tc>
        <w:tc>
          <w:tcPr>
            <w:tcW w:w="376" w:type="pct"/>
            <w:vAlign w:val="center"/>
          </w:tcPr>
          <w:p w14:paraId="7F8791DB">
            <w:pPr>
              <w:pStyle w:val="129"/>
              <w:widowControl w:val="0"/>
              <w:spacing w:line="340" w:lineRule="exact"/>
              <w:rPr>
                <w:color w:val="auto"/>
              </w:rPr>
            </w:pPr>
            <w:r>
              <w:rPr>
                <w:rFonts w:hint="eastAsia"/>
                <w:color w:val="auto"/>
              </w:rPr>
              <w:t>36</w:t>
            </w:r>
          </w:p>
        </w:tc>
        <w:tc>
          <w:tcPr>
            <w:tcW w:w="942" w:type="pct"/>
            <w:vAlign w:val="center"/>
          </w:tcPr>
          <w:p w14:paraId="0EF37B51">
            <w:pPr>
              <w:pStyle w:val="129"/>
              <w:widowControl w:val="0"/>
              <w:spacing w:line="340" w:lineRule="exact"/>
              <w:rPr>
                <w:color w:val="auto"/>
              </w:rPr>
            </w:pPr>
            <w:r>
              <w:rPr>
                <w:rFonts w:hint="eastAsia"/>
                <w:color w:val="auto"/>
              </w:rPr>
              <w:t>硝基苯</w:t>
            </w:r>
          </w:p>
        </w:tc>
        <w:tc>
          <w:tcPr>
            <w:tcW w:w="470" w:type="pct"/>
            <w:vAlign w:val="center"/>
          </w:tcPr>
          <w:p w14:paraId="2DCE9689">
            <w:pPr>
              <w:pStyle w:val="129"/>
              <w:widowControl w:val="0"/>
              <w:spacing w:line="340" w:lineRule="exact"/>
              <w:rPr>
                <w:color w:val="auto"/>
              </w:rPr>
            </w:pPr>
            <w:r>
              <w:rPr>
                <w:rFonts w:hint="eastAsia"/>
                <w:color w:val="auto"/>
              </w:rPr>
              <w:t>76</w:t>
            </w:r>
          </w:p>
        </w:tc>
      </w:tr>
      <w:tr w14:paraId="36A7E7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51400DF9">
            <w:pPr>
              <w:pStyle w:val="129"/>
              <w:widowControl w:val="0"/>
              <w:spacing w:line="340" w:lineRule="exact"/>
              <w:rPr>
                <w:color w:val="auto"/>
              </w:rPr>
            </w:pPr>
            <w:r>
              <w:rPr>
                <w:rFonts w:hint="eastAsia"/>
                <w:color w:val="auto"/>
              </w:rPr>
              <w:t>5</w:t>
            </w:r>
          </w:p>
        </w:tc>
        <w:tc>
          <w:tcPr>
            <w:tcW w:w="805" w:type="pct"/>
            <w:vAlign w:val="center"/>
          </w:tcPr>
          <w:p w14:paraId="2164DE21">
            <w:pPr>
              <w:pStyle w:val="129"/>
              <w:widowControl w:val="0"/>
              <w:spacing w:line="340" w:lineRule="exact"/>
              <w:rPr>
                <w:color w:val="auto"/>
              </w:rPr>
            </w:pPr>
            <w:r>
              <w:rPr>
                <w:rFonts w:hint="eastAsia"/>
                <w:color w:val="auto"/>
              </w:rPr>
              <w:t>铜</w:t>
            </w:r>
          </w:p>
        </w:tc>
        <w:tc>
          <w:tcPr>
            <w:tcW w:w="511" w:type="pct"/>
            <w:vAlign w:val="center"/>
          </w:tcPr>
          <w:p w14:paraId="35AA5535">
            <w:pPr>
              <w:pStyle w:val="129"/>
              <w:widowControl w:val="0"/>
              <w:spacing w:line="340" w:lineRule="exact"/>
              <w:rPr>
                <w:color w:val="auto"/>
              </w:rPr>
            </w:pPr>
            <w:r>
              <w:rPr>
                <w:color w:val="auto"/>
              </w:rPr>
              <w:t>18000</w:t>
            </w:r>
          </w:p>
        </w:tc>
        <w:tc>
          <w:tcPr>
            <w:tcW w:w="340" w:type="pct"/>
            <w:vAlign w:val="center"/>
          </w:tcPr>
          <w:p w14:paraId="62939517">
            <w:pPr>
              <w:pStyle w:val="129"/>
              <w:widowControl w:val="0"/>
              <w:spacing w:line="340" w:lineRule="exact"/>
              <w:rPr>
                <w:color w:val="auto"/>
              </w:rPr>
            </w:pPr>
            <w:r>
              <w:rPr>
                <w:color w:val="auto"/>
              </w:rPr>
              <w:t>21</w:t>
            </w:r>
          </w:p>
        </w:tc>
        <w:tc>
          <w:tcPr>
            <w:tcW w:w="769" w:type="pct"/>
            <w:vAlign w:val="center"/>
          </w:tcPr>
          <w:p w14:paraId="52CB6E18">
            <w:pPr>
              <w:pStyle w:val="129"/>
              <w:widowControl w:val="0"/>
              <w:spacing w:line="340" w:lineRule="exact"/>
              <w:rPr>
                <w:color w:val="auto"/>
              </w:rPr>
            </w:pPr>
            <w:r>
              <w:rPr>
                <w:rFonts w:hint="eastAsia"/>
                <w:color w:val="auto"/>
              </w:rPr>
              <w:t>四氯乙烯</w:t>
            </w:r>
          </w:p>
        </w:tc>
        <w:tc>
          <w:tcPr>
            <w:tcW w:w="481" w:type="pct"/>
            <w:vAlign w:val="center"/>
          </w:tcPr>
          <w:p w14:paraId="614B6748">
            <w:pPr>
              <w:pStyle w:val="129"/>
              <w:widowControl w:val="0"/>
              <w:spacing w:line="340" w:lineRule="exact"/>
              <w:rPr>
                <w:color w:val="auto"/>
              </w:rPr>
            </w:pPr>
            <w:r>
              <w:rPr>
                <w:color w:val="auto"/>
              </w:rPr>
              <w:t>53</w:t>
            </w:r>
          </w:p>
        </w:tc>
        <w:tc>
          <w:tcPr>
            <w:tcW w:w="376" w:type="pct"/>
            <w:vAlign w:val="center"/>
          </w:tcPr>
          <w:p w14:paraId="24C629D2">
            <w:pPr>
              <w:pStyle w:val="129"/>
              <w:widowControl w:val="0"/>
              <w:spacing w:line="340" w:lineRule="exact"/>
              <w:rPr>
                <w:color w:val="auto"/>
              </w:rPr>
            </w:pPr>
            <w:r>
              <w:rPr>
                <w:rFonts w:hint="eastAsia"/>
                <w:color w:val="auto"/>
              </w:rPr>
              <w:t>37</w:t>
            </w:r>
          </w:p>
        </w:tc>
        <w:tc>
          <w:tcPr>
            <w:tcW w:w="942" w:type="pct"/>
            <w:vAlign w:val="center"/>
          </w:tcPr>
          <w:p w14:paraId="613F3002">
            <w:pPr>
              <w:pStyle w:val="129"/>
              <w:widowControl w:val="0"/>
              <w:spacing w:line="340" w:lineRule="exact"/>
              <w:rPr>
                <w:color w:val="auto"/>
              </w:rPr>
            </w:pPr>
            <w:r>
              <w:rPr>
                <w:rFonts w:hint="eastAsia"/>
                <w:color w:val="auto"/>
              </w:rPr>
              <w:t>苯胺</w:t>
            </w:r>
          </w:p>
        </w:tc>
        <w:tc>
          <w:tcPr>
            <w:tcW w:w="470" w:type="pct"/>
            <w:vAlign w:val="center"/>
          </w:tcPr>
          <w:p w14:paraId="5021AAF2">
            <w:pPr>
              <w:pStyle w:val="129"/>
              <w:widowControl w:val="0"/>
              <w:spacing w:line="340" w:lineRule="exact"/>
              <w:rPr>
                <w:color w:val="auto"/>
              </w:rPr>
            </w:pPr>
            <w:r>
              <w:rPr>
                <w:rFonts w:hint="eastAsia"/>
                <w:color w:val="auto"/>
              </w:rPr>
              <w:t>260</w:t>
            </w:r>
          </w:p>
        </w:tc>
      </w:tr>
      <w:tr w14:paraId="1B5B6F5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625C53FB">
            <w:pPr>
              <w:pStyle w:val="129"/>
              <w:widowControl w:val="0"/>
              <w:spacing w:line="340" w:lineRule="exact"/>
              <w:rPr>
                <w:color w:val="auto"/>
              </w:rPr>
            </w:pPr>
            <w:r>
              <w:rPr>
                <w:rFonts w:hint="eastAsia"/>
                <w:color w:val="auto"/>
              </w:rPr>
              <w:t>6</w:t>
            </w:r>
          </w:p>
        </w:tc>
        <w:tc>
          <w:tcPr>
            <w:tcW w:w="805" w:type="pct"/>
            <w:vAlign w:val="center"/>
          </w:tcPr>
          <w:p w14:paraId="0B0EAB97">
            <w:pPr>
              <w:pStyle w:val="129"/>
              <w:widowControl w:val="0"/>
              <w:spacing w:line="340" w:lineRule="exact"/>
              <w:rPr>
                <w:color w:val="auto"/>
              </w:rPr>
            </w:pPr>
            <w:r>
              <w:rPr>
                <w:rFonts w:hint="eastAsia"/>
                <w:color w:val="auto"/>
              </w:rPr>
              <w:t>铅</w:t>
            </w:r>
          </w:p>
        </w:tc>
        <w:tc>
          <w:tcPr>
            <w:tcW w:w="511" w:type="pct"/>
            <w:vAlign w:val="center"/>
          </w:tcPr>
          <w:p w14:paraId="4CD96671">
            <w:pPr>
              <w:pStyle w:val="129"/>
              <w:widowControl w:val="0"/>
              <w:spacing w:line="340" w:lineRule="exact"/>
              <w:rPr>
                <w:color w:val="auto"/>
              </w:rPr>
            </w:pPr>
            <w:r>
              <w:rPr>
                <w:color w:val="auto"/>
              </w:rPr>
              <w:t>800</w:t>
            </w:r>
          </w:p>
        </w:tc>
        <w:tc>
          <w:tcPr>
            <w:tcW w:w="340" w:type="pct"/>
            <w:vAlign w:val="center"/>
          </w:tcPr>
          <w:p w14:paraId="4B3BEBCB">
            <w:pPr>
              <w:pStyle w:val="129"/>
              <w:widowControl w:val="0"/>
              <w:spacing w:line="340" w:lineRule="exact"/>
              <w:rPr>
                <w:color w:val="auto"/>
              </w:rPr>
            </w:pPr>
            <w:r>
              <w:rPr>
                <w:color w:val="auto"/>
              </w:rPr>
              <w:t>22</w:t>
            </w:r>
          </w:p>
        </w:tc>
        <w:tc>
          <w:tcPr>
            <w:tcW w:w="769" w:type="pct"/>
            <w:vAlign w:val="center"/>
          </w:tcPr>
          <w:p w14:paraId="54D1B66B">
            <w:pPr>
              <w:pStyle w:val="129"/>
              <w:widowControl w:val="0"/>
              <w:spacing w:line="340" w:lineRule="exact"/>
              <w:rPr>
                <w:color w:val="auto"/>
              </w:rPr>
            </w:pPr>
            <w:r>
              <w:rPr>
                <w:color w:val="auto"/>
              </w:rPr>
              <w:t>1,1,1-</w:t>
            </w:r>
            <w:r>
              <w:rPr>
                <w:rFonts w:hint="eastAsia"/>
                <w:color w:val="auto"/>
              </w:rPr>
              <w:t>三氯乙烷</w:t>
            </w:r>
          </w:p>
        </w:tc>
        <w:tc>
          <w:tcPr>
            <w:tcW w:w="481" w:type="pct"/>
            <w:vAlign w:val="center"/>
          </w:tcPr>
          <w:p w14:paraId="0C500163">
            <w:pPr>
              <w:pStyle w:val="129"/>
              <w:widowControl w:val="0"/>
              <w:spacing w:line="340" w:lineRule="exact"/>
              <w:rPr>
                <w:color w:val="auto"/>
              </w:rPr>
            </w:pPr>
            <w:r>
              <w:rPr>
                <w:color w:val="auto"/>
              </w:rPr>
              <w:t>840</w:t>
            </w:r>
          </w:p>
        </w:tc>
        <w:tc>
          <w:tcPr>
            <w:tcW w:w="376" w:type="pct"/>
            <w:vAlign w:val="center"/>
          </w:tcPr>
          <w:p w14:paraId="7451F69F">
            <w:pPr>
              <w:pStyle w:val="129"/>
              <w:widowControl w:val="0"/>
              <w:spacing w:line="340" w:lineRule="exact"/>
              <w:rPr>
                <w:color w:val="auto"/>
              </w:rPr>
            </w:pPr>
            <w:r>
              <w:rPr>
                <w:rFonts w:hint="eastAsia"/>
                <w:color w:val="auto"/>
              </w:rPr>
              <w:t>38</w:t>
            </w:r>
          </w:p>
        </w:tc>
        <w:tc>
          <w:tcPr>
            <w:tcW w:w="942" w:type="pct"/>
            <w:vAlign w:val="center"/>
          </w:tcPr>
          <w:p w14:paraId="076F32CB">
            <w:pPr>
              <w:pStyle w:val="129"/>
              <w:widowControl w:val="0"/>
              <w:spacing w:line="340" w:lineRule="exact"/>
              <w:rPr>
                <w:color w:val="auto"/>
              </w:rPr>
            </w:pPr>
            <w:r>
              <w:rPr>
                <w:rFonts w:hint="eastAsia"/>
                <w:color w:val="auto"/>
              </w:rPr>
              <w:t>2-氯酚</w:t>
            </w:r>
          </w:p>
        </w:tc>
        <w:tc>
          <w:tcPr>
            <w:tcW w:w="470" w:type="pct"/>
            <w:vAlign w:val="center"/>
          </w:tcPr>
          <w:p w14:paraId="4FFC4121">
            <w:pPr>
              <w:pStyle w:val="129"/>
              <w:widowControl w:val="0"/>
              <w:spacing w:line="340" w:lineRule="exact"/>
              <w:rPr>
                <w:color w:val="auto"/>
              </w:rPr>
            </w:pPr>
            <w:r>
              <w:rPr>
                <w:rFonts w:hint="eastAsia"/>
                <w:color w:val="auto"/>
              </w:rPr>
              <w:t>2256</w:t>
            </w:r>
          </w:p>
        </w:tc>
      </w:tr>
      <w:tr w14:paraId="5E0B0E9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1DCB7370">
            <w:pPr>
              <w:pStyle w:val="129"/>
              <w:widowControl w:val="0"/>
              <w:spacing w:line="340" w:lineRule="exact"/>
              <w:rPr>
                <w:color w:val="auto"/>
              </w:rPr>
            </w:pPr>
            <w:r>
              <w:rPr>
                <w:rFonts w:hint="eastAsia"/>
                <w:color w:val="auto"/>
              </w:rPr>
              <w:t>7</w:t>
            </w:r>
          </w:p>
        </w:tc>
        <w:tc>
          <w:tcPr>
            <w:tcW w:w="805" w:type="pct"/>
            <w:vAlign w:val="center"/>
          </w:tcPr>
          <w:p w14:paraId="21185BD1">
            <w:pPr>
              <w:pStyle w:val="129"/>
              <w:widowControl w:val="0"/>
              <w:spacing w:line="340" w:lineRule="exact"/>
              <w:rPr>
                <w:color w:val="auto"/>
              </w:rPr>
            </w:pPr>
            <w:r>
              <w:rPr>
                <w:rFonts w:hint="eastAsia"/>
                <w:color w:val="auto"/>
              </w:rPr>
              <w:t>汞</w:t>
            </w:r>
          </w:p>
        </w:tc>
        <w:tc>
          <w:tcPr>
            <w:tcW w:w="511" w:type="pct"/>
            <w:vAlign w:val="center"/>
          </w:tcPr>
          <w:p w14:paraId="3E872962">
            <w:pPr>
              <w:pStyle w:val="129"/>
              <w:widowControl w:val="0"/>
              <w:spacing w:line="340" w:lineRule="exact"/>
              <w:rPr>
                <w:color w:val="auto"/>
              </w:rPr>
            </w:pPr>
            <w:r>
              <w:rPr>
                <w:color w:val="auto"/>
              </w:rPr>
              <w:t>38</w:t>
            </w:r>
          </w:p>
        </w:tc>
        <w:tc>
          <w:tcPr>
            <w:tcW w:w="340" w:type="pct"/>
            <w:vAlign w:val="center"/>
          </w:tcPr>
          <w:p w14:paraId="624B60E0">
            <w:pPr>
              <w:pStyle w:val="129"/>
              <w:widowControl w:val="0"/>
              <w:spacing w:line="340" w:lineRule="exact"/>
              <w:rPr>
                <w:color w:val="auto"/>
              </w:rPr>
            </w:pPr>
            <w:r>
              <w:rPr>
                <w:color w:val="auto"/>
              </w:rPr>
              <w:t>23</w:t>
            </w:r>
          </w:p>
        </w:tc>
        <w:tc>
          <w:tcPr>
            <w:tcW w:w="769" w:type="pct"/>
            <w:vAlign w:val="center"/>
          </w:tcPr>
          <w:p w14:paraId="00D06E23">
            <w:pPr>
              <w:pStyle w:val="129"/>
              <w:widowControl w:val="0"/>
              <w:spacing w:line="340" w:lineRule="exact"/>
              <w:rPr>
                <w:color w:val="auto"/>
              </w:rPr>
            </w:pPr>
            <w:r>
              <w:rPr>
                <w:color w:val="auto"/>
              </w:rPr>
              <w:t>1,1,2-</w:t>
            </w:r>
            <w:r>
              <w:rPr>
                <w:rFonts w:hint="eastAsia"/>
                <w:color w:val="auto"/>
              </w:rPr>
              <w:t>三氯乙烷</w:t>
            </w:r>
          </w:p>
        </w:tc>
        <w:tc>
          <w:tcPr>
            <w:tcW w:w="481" w:type="pct"/>
            <w:vAlign w:val="center"/>
          </w:tcPr>
          <w:p w14:paraId="571DD263">
            <w:pPr>
              <w:pStyle w:val="129"/>
              <w:widowControl w:val="0"/>
              <w:spacing w:line="340" w:lineRule="exact"/>
              <w:rPr>
                <w:color w:val="auto"/>
              </w:rPr>
            </w:pPr>
            <w:r>
              <w:rPr>
                <w:color w:val="auto"/>
              </w:rPr>
              <w:t>2.8</w:t>
            </w:r>
          </w:p>
        </w:tc>
        <w:tc>
          <w:tcPr>
            <w:tcW w:w="376" w:type="pct"/>
            <w:vAlign w:val="center"/>
          </w:tcPr>
          <w:p w14:paraId="2E1CF71C">
            <w:pPr>
              <w:pStyle w:val="129"/>
              <w:widowControl w:val="0"/>
              <w:spacing w:line="340" w:lineRule="exact"/>
              <w:rPr>
                <w:color w:val="auto"/>
              </w:rPr>
            </w:pPr>
            <w:r>
              <w:rPr>
                <w:rFonts w:hint="eastAsia"/>
                <w:color w:val="auto"/>
              </w:rPr>
              <w:t>39</w:t>
            </w:r>
          </w:p>
        </w:tc>
        <w:tc>
          <w:tcPr>
            <w:tcW w:w="942" w:type="pct"/>
            <w:vAlign w:val="center"/>
          </w:tcPr>
          <w:p w14:paraId="2840B5A1">
            <w:pPr>
              <w:pStyle w:val="129"/>
              <w:widowControl w:val="0"/>
              <w:spacing w:line="340" w:lineRule="exact"/>
              <w:rPr>
                <w:color w:val="auto"/>
              </w:rPr>
            </w:pPr>
            <w:r>
              <w:rPr>
                <w:rFonts w:hint="eastAsia"/>
                <w:color w:val="auto"/>
              </w:rPr>
              <w:t>苯并</w:t>
            </w:r>
            <w:r>
              <w:rPr>
                <w:color w:val="auto"/>
              </w:rPr>
              <w:t>[a]</w:t>
            </w:r>
            <w:r>
              <w:rPr>
                <w:rFonts w:hint="eastAsia"/>
                <w:color w:val="auto"/>
              </w:rPr>
              <w:t>蒽</w:t>
            </w:r>
          </w:p>
        </w:tc>
        <w:tc>
          <w:tcPr>
            <w:tcW w:w="470" w:type="pct"/>
            <w:vAlign w:val="center"/>
          </w:tcPr>
          <w:p w14:paraId="5584ADC4">
            <w:pPr>
              <w:pStyle w:val="129"/>
              <w:widowControl w:val="0"/>
              <w:spacing w:line="340" w:lineRule="exact"/>
              <w:rPr>
                <w:color w:val="auto"/>
              </w:rPr>
            </w:pPr>
            <w:r>
              <w:rPr>
                <w:rFonts w:hint="eastAsia"/>
                <w:color w:val="auto"/>
              </w:rPr>
              <w:t>15</w:t>
            </w:r>
          </w:p>
        </w:tc>
      </w:tr>
      <w:tr w14:paraId="799C241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693BC79D">
            <w:pPr>
              <w:pStyle w:val="129"/>
              <w:widowControl w:val="0"/>
              <w:spacing w:line="340" w:lineRule="exact"/>
              <w:rPr>
                <w:color w:val="auto"/>
              </w:rPr>
            </w:pPr>
            <w:r>
              <w:rPr>
                <w:rFonts w:hint="eastAsia"/>
                <w:color w:val="auto"/>
              </w:rPr>
              <w:t>8</w:t>
            </w:r>
          </w:p>
        </w:tc>
        <w:tc>
          <w:tcPr>
            <w:tcW w:w="805" w:type="pct"/>
            <w:vAlign w:val="center"/>
          </w:tcPr>
          <w:p w14:paraId="3565CF8A">
            <w:pPr>
              <w:pStyle w:val="129"/>
              <w:widowControl w:val="0"/>
              <w:spacing w:line="340" w:lineRule="exact"/>
              <w:rPr>
                <w:color w:val="auto"/>
              </w:rPr>
            </w:pPr>
            <w:r>
              <w:rPr>
                <w:rFonts w:hint="eastAsia"/>
                <w:color w:val="auto"/>
              </w:rPr>
              <w:t>镍</w:t>
            </w:r>
          </w:p>
        </w:tc>
        <w:tc>
          <w:tcPr>
            <w:tcW w:w="511" w:type="pct"/>
            <w:vAlign w:val="center"/>
          </w:tcPr>
          <w:p w14:paraId="1DD7C47D">
            <w:pPr>
              <w:pStyle w:val="129"/>
              <w:widowControl w:val="0"/>
              <w:spacing w:line="340" w:lineRule="exact"/>
              <w:rPr>
                <w:color w:val="auto"/>
              </w:rPr>
            </w:pPr>
            <w:r>
              <w:rPr>
                <w:color w:val="auto"/>
              </w:rPr>
              <w:t>900</w:t>
            </w:r>
          </w:p>
        </w:tc>
        <w:tc>
          <w:tcPr>
            <w:tcW w:w="340" w:type="pct"/>
            <w:vAlign w:val="center"/>
          </w:tcPr>
          <w:p w14:paraId="7999C3B4">
            <w:pPr>
              <w:pStyle w:val="129"/>
              <w:widowControl w:val="0"/>
              <w:spacing w:line="340" w:lineRule="exact"/>
              <w:rPr>
                <w:color w:val="auto"/>
              </w:rPr>
            </w:pPr>
            <w:r>
              <w:rPr>
                <w:color w:val="auto"/>
              </w:rPr>
              <w:t>24</w:t>
            </w:r>
          </w:p>
        </w:tc>
        <w:tc>
          <w:tcPr>
            <w:tcW w:w="769" w:type="pct"/>
            <w:vAlign w:val="center"/>
          </w:tcPr>
          <w:p w14:paraId="1AF5B77F">
            <w:pPr>
              <w:pStyle w:val="129"/>
              <w:widowControl w:val="0"/>
              <w:spacing w:line="340" w:lineRule="exact"/>
              <w:rPr>
                <w:color w:val="auto"/>
              </w:rPr>
            </w:pPr>
            <w:r>
              <w:rPr>
                <w:rFonts w:hint="eastAsia"/>
                <w:color w:val="auto"/>
              </w:rPr>
              <w:t>三氯乙烯</w:t>
            </w:r>
          </w:p>
        </w:tc>
        <w:tc>
          <w:tcPr>
            <w:tcW w:w="481" w:type="pct"/>
            <w:vAlign w:val="center"/>
          </w:tcPr>
          <w:p w14:paraId="5F8D3437">
            <w:pPr>
              <w:pStyle w:val="129"/>
              <w:widowControl w:val="0"/>
              <w:spacing w:line="340" w:lineRule="exact"/>
              <w:rPr>
                <w:color w:val="auto"/>
              </w:rPr>
            </w:pPr>
            <w:r>
              <w:rPr>
                <w:color w:val="auto"/>
              </w:rPr>
              <w:t>2.8</w:t>
            </w:r>
          </w:p>
        </w:tc>
        <w:tc>
          <w:tcPr>
            <w:tcW w:w="376" w:type="pct"/>
            <w:vAlign w:val="center"/>
          </w:tcPr>
          <w:p w14:paraId="4718FAD8">
            <w:pPr>
              <w:pStyle w:val="129"/>
              <w:widowControl w:val="0"/>
              <w:spacing w:line="340" w:lineRule="exact"/>
              <w:rPr>
                <w:color w:val="auto"/>
              </w:rPr>
            </w:pPr>
            <w:r>
              <w:rPr>
                <w:rFonts w:hint="eastAsia"/>
                <w:color w:val="auto"/>
              </w:rPr>
              <w:t>40</w:t>
            </w:r>
          </w:p>
        </w:tc>
        <w:tc>
          <w:tcPr>
            <w:tcW w:w="942" w:type="pct"/>
            <w:vAlign w:val="center"/>
          </w:tcPr>
          <w:p w14:paraId="245C1AA5">
            <w:pPr>
              <w:pStyle w:val="129"/>
              <w:widowControl w:val="0"/>
              <w:spacing w:line="340" w:lineRule="exact"/>
              <w:rPr>
                <w:color w:val="auto"/>
              </w:rPr>
            </w:pPr>
            <w:r>
              <w:rPr>
                <w:rFonts w:hint="eastAsia"/>
                <w:color w:val="auto"/>
              </w:rPr>
              <w:t>苯并</w:t>
            </w:r>
            <w:r>
              <w:rPr>
                <w:color w:val="auto"/>
              </w:rPr>
              <w:t>[a]</w:t>
            </w:r>
            <w:r>
              <w:rPr>
                <w:rFonts w:hint="eastAsia"/>
                <w:color w:val="auto"/>
              </w:rPr>
              <w:t>芘</w:t>
            </w:r>
          </w:p>
        </w:tc>
        <w:tc>
          <w:tcPr>
            <w:tcW w:w="470" w:type="pct"/>
            <w:vAlign w:val="center"/>
          </w:tcPr>
          <w:p w14:paraId="7C76EE2D">
            <w:pPr>
              <w:pStyle w:val="129"/>
              <w:widowControl w:val="0"/>
              <w:spacing w:line="340" w:lineRule="exact"/>
              <w:rPr>
                <w:color w:val="auto"/>
              </w:rPr>
            </w:pPr>
            <w:r>
              <w:rPr>
                <w:rFonts w:hint="eastAsia"/>
                <w:color w:val="auto"/>
              </w:rPr>
              <w:t>1.5</w:t>
            </w:r>
          </w:p>
        </w:tc>
      </w:tr>
      <w:tr w14:paraId="597691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7620736B">
            <w:pPr>
              <w:pStyle w:val="129"/>
              <w:widowControl w:val="0"/>
              <w:spacing w:line="340" w:lineRule="exact"/>
              <w:rPr>
                <w:color w:val="auto"/>
              </w:rPr>
            </w:pPr>
            <w:r>
              <w:rPr>
                <w:rFonts w:hint="eastAsia"/>
                <w:color w:val="auto"/>
              </w:rPr>
              <w:t>9</w:t>
            </w:r>
          </w:p>
        </w:tc>
        <w:tc>
          <w:tcPr>
            <w:tcW w:w="805" w:type="pct"/>
            <w:vAlign w:val="center"/>
          </w:tcPr>
          <w:p w14:paraId="55F8C894">
            <w:pPr>
              <w:pStyle w:val="129"/>
              <w:widowControl w:val="0"/>
              <w:spacing w:line="340" w:lineRule="exact"/>
              <w:rPr>
                <w:color w:val="auto"/>
              </w:rPr>
            </w:pPr>
            <w:r>
              <w:rPr>
                <w:rFonts w:hint="eastAsia"/>
                <w:color w:val="auto"/>
              </w:rPr>
              <w:t>四氯化碳</w:t>
            </w:r>
          </w:p>
        </w:tc>
        <w:tc>
          <w:tcPr>
            <w:tcW w:w="511" w:type="pct"/>
            <w:vAlign w:val="center"/>
          </w:tcPr>
          <w:p w14:paraId="4433C795">
            <w:pPr>
              <w:pStyle w:val="129"/>
              <w:widowControl w:val="0"/>
              <w:spacing w:line="340" w:lineRule="exact"/>
              <w:rPr>
                <w:color w:val="auto"/>
              </w:rPr>
            </w:pPr>
            <w:r>
              <w:rPr>
                <w:color w:val="auto"/>
              </w:rPr>
              <w:t>2.8</w:t>
            </w:r>
          </w:p>
        </w:tc>
        <w:tc>
          <w:tcPr>
            <w:tcW w:w="340" w:type="pct"/>
            <w:vAlign w:val="center"/>
          </w:tcPr>
          <w:p w14:paraId="117C7599">
            <w:pPr>
              <w:pStyle w:val="129"/>
              <w:widowControl w:val="0"/>
              <w:spacing w:line="340" w:lineRule="exact"/>
              <w:rPr>
                <w:color w:val="auto"/>
              </w:rPr>
            </w:pPr>
            <w:r>
              <w:rPr>
                <w:color w:val="auto"/>
              </w:rPr>
              <w:t>25</w:t>
            </w:r>
          </w:p>
        </w:tc>
        <w:tc>
          <w:tcPr>
            <w:tcW w:w="769" w:type="pct"/>
            <w:vAlign w:val="center"/>
          </w:tcPr>
          <w:p w14:paraId="6EB83995">
            <w:pPr>
              <w:pStyle w:val="129"/>
              <w:widowControl w:val="0"/>
              <w:spacing w:line="340" w:lineRule="exact"/>
              <w:rPr>
                <w:color w:val="auto"/>
              </w:rPr>
            </w:pPr>
            <w:r>
              <w:rPr>
                <w:color w:val="auto"/>
              </w:rPr>
              <w:t>1,2,3-</w:t>
            </w:r>
            <w:r>
              <w:rPr>
                <w:rFonts w:hint="eastAsia"/>
                <w:color w:val="auto"/>
              </w:rPr>
              <w:t>三氯丙烷</w:t>
            </w:r>
          </w:p>
        </w:tc>
        <w:tc>
          <w:tcPr>
            <w:tcW w:w="481" w:type="pct"/>
            <w:vAlign w:val="center"/>
          </w:tcPr>
          <w:p w14:paraId="2C860284">
            <w:pPr>
              <w:pStyle w:val="129"/>
              <w:widowControl w:val="0"/>
              <w:spacing w:line="340" w:lineRule="exact"/>
              <w:rPr>
                <w:color w:val="auto"/>
              </w:rPr>
            </w:pPr>
            <w:r>
              <w:rPr>
                <w:color w:val="auto"/>
              </w:rPr>
              <w:t>0.5</w:t>
            </w:r>
          </w:p>
        </w:tc>
        <w:tc>
          <w:tcPr>
            <w:tcW w:w="376" w:type="pct"/>
            <w:vAlign w:val="center"/>
          </w:tcPr>
          <w:p w14:paraId="2C1B3F52">
            <w:pPr>
              <w:pStyle w:val="129"/>
              <w:widowControl w:val="0"/>
              <w:spacing w:line="340" w:lineRule="exact"/>
              <w:rPr>
                <w:color w:val="auto"/>
              </w:rPr>
            </w:pPr>
            <w:r>
              <w:rPr>
                <w:rFonts w:hint="eastAsia"/>
                <w:color w:val="auto"/>
              </w:rPr>
              <w:t>41</w:t>
            </w:r>
          </w:p>
        </w:tc>
        <w:tc>
          <w:tcPr>
            <w:tcW w:w="942" w:type="pct"/>
            <w:vAlign w:val="center"/>
          </w:tcPr>
          <w:p w14:paraId="2C58FD90">
            <w:pPr>
              <w:pStyle w:val="129"/>
              <w:widowControl w:val="0"/>
              <w:spacing w:line="340" w:lineRule="exact"/>
              <w:rPr>
                <w:color w:val="auto"/>
              </w:rPr>
            </w:pPr>
            <w:r>
              <w:rPr>
                <w:rFonts w:hint="eastAsia"/>
                <w:color w:val="auto"/>
              </w:rPr>
              <w:t>苯并</w:t>
            </w:r>
            <w:r>
              <w:rPr>
                <w:color w:val="auto"/>
              </w:rPr>
              <w:t>[b]</w:t>
            </w:r>
            <w:r>
              <w:rPr>
                <w:rFonts w:hint="eastAsia"/>
                <w:color w:val="auto"/>
              </w:rPr>
              <w:t>荧蒽</w:t>
            </w:r>
          </w:p>
        </w:tc>
        <w:tc>
          <w:tcPr>
            <w:tcW w:w="470" w:type="pct"/>
            <w:vAlign w:val="center"/>
          </w:tcPr>
          <w:p w14:paraId="6D044FCE">
            <w:pPr>
              <w:pStyle w:val="129"/>
              <w:widowControl w:val="0"/>
              <w:spacing w:line="340" w:lineRule="exact"/>
              <w:rPr>
                <w:color w:val="auto"/>
              </w:rPr>
            </w:pPr>
            <w:r>
              <w:rPr>
                <w:rFonts w:hint="eastAsia"/>
                <w:color w:val="auto"/>
              </w:rPr>
              <w:t>15</w:t>
            </w:r>
          </w:p>
        </w:tc>
      </w:tr>
      <w:tr w14:paraId="646D3FE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34B93C36">
            <w:pPr>
              <w:pStyle w:val="129"/>
              <w:widowControl w:val="0"/>
              <w:spacing w:line="340" w:lineRule="exact"/>
              <w:rPr>
                <w:color w:val="auto"/>
              </w:rPr>
            </w:pPr>
            <w:r>
              <w:rPr>
                <w:rFonts w:hint="eastAsia"/>
                <w:color w:val="auto"/>
              </w:rPr>
              <w:t>10</w:t>
            </w:r>
          </w:p>
        </w:tc>
        <w:tc>
          <w:tcPr>
            <w:tcW w:w="805" w:type="pct"/>
            <w:vAlign w:val="center"/>
          </w:tcPr>
          <w:p w14:paraId="4147B37E">
            <w:pPr>
              <w:pStyle w:val="129"/>
              <w:widowControl w:val="0"/>
              <w:spacing w:line="340" w:lineRule="exact"/>
              <w:rPr>
                <w:color w:val="auto"/>
              </w:rPr>
            </w:pPr>
            <w:r>
              <w:rPr>
                <w:rFonts w:hint="eastAsia"/>
                <w:color w:val="auto"/>
              </w:rPr>
              <w:t>氯仿</w:t>
            </w:r>
          </w:p>
        </w:tc>
        <w:tc>
          <w:tcPr>
            <w:tcW w:w="511" w:type="pct"/>
            <w:vAlign w:val="center"/>
          </w:tcPr>
          <w:p w14:paraId="76BDB460">
            <w:pPr>
              <w:pStyle w:val="129"/>
              <w:widowControl w:val="0"/>
              <w:spacing w:line="340" w:lineRule="exact"/>
              <w:rPr>
                <w:color w:val="auto"/>
              </w:rPr>
            </w:pPr>
            <w:r>
              <w:rPr>
                <w:color w:val="auto"/>
              </w:rPr>
              <w:t>0.9</w:t>
            </w:r>
          </w:p>
        </w:tc>
        <w:tc>
          <w:tcPr>
            <w:tcW w:w="340" w:type="pct"/>
            <w:vAlign w:val="center"/>
          </w:tcPr>
          <w:p w14:paraId="66BDAB47">
            <w:pPr>
              <w:pStyle w:val="129"/>
              <w:widowControl w:val="0"/>
              <w:spacing w:line="340" w:lineRule="exact"/>
              <w:rPr>
                <w:color w:val="auto"/>
              </w:rPr>
            </w:pPr>
            <w:r>
              <w:rPr>
                <w:color w:val="auto"/>
              </w:rPr>
              <w:t>26</w:t>
            </w:r>
          </w:p>
        </w:tc>
        <w:tc>
          <w:tcPr>
            <w:tcW w:w="769" w:type="pct"/>
            <w:vAlign w:val="center"/>
          </w:tcPr>
          <w:p w14:paraId="1560ABEC">
            <w:pPr>
              <w:pStyle w:val="129"/>
              <w:widowControl w:val="0"/>
              <w:spacing w:line="340" w:lineRule="exact"/>
              <w:rPr>
                <w:color w:val="auto"/>
              </w:rPr>
            </w:pPr>
            <w:r>
              <w:rPr>
                <w:rFonts w:hint="eastAsia"/>
                <w:color w:val="auto"/>
              </w:rPr>
              <w:t>氯乙烯</w:t>
            </w:r>
          </w:p>
        </w:tc>
        <w:tc>
          <w:tcPr>
            <w:tcW w:w="481" w:type="pct"/>
            <w:vAlign w:val="center"/>
          </w:tcPr>
          <w:p w14:paraId="38B02A24">
            <w:pPr>
              <w:pStyle w:val="129"/>
              <w:widowControl w:val="0"/>
              <w:spacing w:line="340" w:lineRule="exact"/>
              <w:rPr>
                <w:color w:val="auto"/>
              </w:rPr>
            </w:pPr>
            <w:r>
              <w:rPr>
                <w:color w:val="auto"/>
              </w:rPr>
              <w:t>0.43</w:t>
            </w:r>
          </w:p>
        </w:tc>
        <w:tc>
          <w:tcPr>
            <w:tcW w:w="376" w:type="pct"/>
            <w:vAlign w:val="center"/>
          </w:tcPr>
          <w:p w14:paraId="594D83C3">
            <w:pPr>
              <w:pStyle w:val="129"/>
              <w:widowControl w:val="0"/>
              <w:spacing w:line="340" w:lineRule="exact"/>
              <w:rPr>
                <w:color w:val="auto"/>
              </w:rPr>
            </w:pPr>
            <w:r>
              <w:rPr>
                <w:rFonts w:hint="eastAsia"/>
                <w:color w:val="auto"/>
              </w:rPr>
              <w:t>42</w:t>
            </w:r>
          </w:p>
        </w:tc>
        <w:tc>
          <w:tcPr>
            <w:tcW w:w="942" w:type="pct"/>
            <w:vAlign w:val="center"/>
          </w:tcPr>
          <w:p w14:paraId="0DC4C422">
            <w:pPr>
              <w:pStyle w:val="129"/>
              <w:widowControl w:val="0"/>
              <w:spacing w:line="340" w:lineRule="exact"/>
              <w:rPr>
                <w:color w:val="auto"/>
              </w:rPr>
            </w:pPr>
            <w:r>
              <w:rPr>
                <w:rFonts w:hint="eastAsia"/>
                <w:color w:val="auto"/>
              </w:rPr>
              <w:t>苯并</w:t>
            </w:r>
            <w:r>
              <w:rPr>
                <w:color w:val="auto"/>
              </w:rPr>
              <w:t>[k]</w:t>
            </w:r>
            <w:r>
              <w:rPr>
                <w:rFonts w:hint="eastAsia"/>
                <w:color w:val="auto"/>
              </w:rPr>
              <w:t>荧蒽</w:t>
            </w:r>
          </w:p>
        </w:tc>
        <w:tc>
          <w:tcPr>
            <w:tcW w:w="470" w:type="pct"/>
            <w:vAlign w:val="center"/>
          </w:tcPr>
          <w:p w14:paraId="50A4FC3B">
            <w:pPr>
              <w:pStyle w:val="129"/>
              <w:widowControl w:val="0"/>
              <w:spacing w:line="340" w:lineRule="exact"/>
              <w:rPr>
                <w:color w:val="auto"/>
              </w:rPr>
            </w:pPr>
            <w:r>
              <w:rPr>
                <w:rFonts w:hint="eastAsia"/>
                <w:color w:val="auto"/>
              </w:rPr>
              <w:t>151</w:t>
            </w:r>
          </w:p>
        </w:tc>
      </w:tr>
      <w:tr w14:paraId="0147A9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4E391393">
            <w:pPr>
              <w:pStyle w:val="129"/>
              <w:widowControl w:val="0"/>
              <w:spacing w:line="340" w:lineRule="exact"/>
              <w:rPr>
                <w:color w:val="auto"/>
              </w:rPr>
            </w:pPr>
            <w:r>
              <w:rPr>
                <w:rFonts w:hint="eastAsia"/>
                <w:color w:val="auto"/>
              </w:rPr>
              <w:t>11</w:t>
            </w:r>
          </w:p>
        </w:tc>
        <w:tc>
          <w:tcPr>
            <w:tcW w:w="805" w:type="pct"/>
            <w:vAlign w:val="center"/>
          </w:tcPr>
          <w:p w14:paraId="7EB0D101">
            <w:pPr>
              <w:pStyle w:val="129"/>
              <w:widowControl w:val="0"/>
              <w:spacing w:line="340" w:lineRule="exact"/>
              <w:rPr>
                <w:color w:val="auto"/>
              </w:rPr>
            </w:pPr>
            <w:r>
              <w:rPr>
                <w:rFonts w:hint="eastAsia"/>
                <w:color w:val="auto"/>
              </w:rPr>
              <w:t>氯甲烷</w:t>
            </w:r>
          </w:p>
        </w:tc>
        <w:tc>
          <w:tcPr>
            <w:tcW w:w="511" w:type="pct"/>
            <w:vAlign w:val="center"/>
          </w:tcPr>
          <w:p w14:paraId="604F1510">
            <w:pPr>
              <w:pStyle w:val="129"/>
              <w:widowControl w:val="0"/>
              <w:spacing w:line="340" w:lineRule="exact"/>
              <w:rPr>
                <w:color w:val="auto"/>
              </w:rPr>
            </w:pPr>
            <w:r>
              <w:rPr>
                <w:color w:val="auto"/>
              </w:rPr>
              <w:t>37</w:t>
            </w:r>
          </w:p>
        </w:tc>
        <w:tc>
          <w:tcPr>
            <w:tcW w:w="340" w:type="pct"/>
            <w:vAlign w:val="center"/>
          </w:tcPr>
          <w:p w14:paraId="54E7F0D6">
            <w:pPr>
              <w:pStyle w:val="129"/>
              <w:widowControl w:val="0"/>
              <w:spacing w:line="340" w:lineRule="exact"/>
              <w:rPr>
                <w:color w:val="auto"/>
              </w:rPr>
            </w:pPr>
            <w:r>
              <w:rPr>
                <w:color w:val="auto"/>
              </w:rPr>
              <w:t>27</w:t>
            </w:r>
          </w:p>
        </w:tc>
        <w:tc>
          <w:tcPr>
            <w:tcW w:w="769" w:type="pct"/>
            <w:vAlign w:val="center"/>
          </w:tcPr>
          <w:p w14:paraId="610F1C67">
            <w:pPr>
              <w:pStyle w:val="129"/>
              <w:widowControl w:val="0"/>
              <w:spacing w:line="340" w:lineRule="exact"/>
              <w:rPr>
                <w:color w:val="auto"/>
              </w:rPr>
            </w:pPr>
            <w:r>
              <w:rPr>
                <w:rFonts w:hint="eastAsia"/>
                <w:color w:val="auto"/>
              </w:rPr>
              <w:t>苯</w:t>
            </w:r>
          </w:p>
        </w:tc>
        <w:tc>
          <w:tcPr>
            <w:tcW w:w="481" w:type="pct"/>
            <w:vAlign w:val="center"/>
          </w:tcPr>
          <w:p w14:paraId="1BC19361">
            <w:pPr>
              <w:pStyle w:val="129"/>
              <w:widowControl w:val="0"/>
              <w:spacing w:line="340" w:lineRule="exact"/>
              <w:rPr>
                <w:color w:val="auto"/>
              </w:rPr>
            </w:pPr>
            <w:r>
              <w:rPr>
                <w:color w:val="auto"/>
              </w:rPr>
              <w:t>4</w:t>
            </w:r>
          </w:p>
        </w:tc>
        <w:tc>
          <w:tcPr>
            <w:tcW w:w="376" w:type="pct"/>
            <w:vAlign w:val="center"/>
          </w:tcPr>
          <w:p w14:paraId="6C3FC2A8">
            <w:pPr>
              <w:pStyle w:val="129"/>
              <w:widowControl w:val="0"/>
              <w:spacing w:line="340" w:lineRule="exact"/>
              <w:rPr>
                <w:color w:val="auto"/>
              </w:rPr>
            </w:pPr>
            <w:r>
              <w:rPr>
                <w:rFonts w:hint="eastAsia"/>
                <w:color w:val="auto"/>
              </w:rPr>
              <w:t>43</w:t>
            </w:r>
          </w:p>
        </w:tc>
        <w:tc>
          <w:tcPr>
            <w:tcW w:w="942" w:type="pct"/>
            <w:vAlign w:val="center"/>
          </w:tcPr>
          <w:p w14:paraId="651B9FBD">
            <w:pPr>
              <w:pStyle w:val="129"/>
              <w:widowControl w:val="0"/>
              <w:spacing w:line="340" w:lineRule="exact"/>
              <w:rPr>
                <w:color w:val="auto"/>
              </w:rPr>
            </w:pPr>
            <w:r>
              <w:rPr>
                <w:rFonts w:hint="eastAsia"/>
                <w:color w:val="auto"/>
              </w:rPr>
              <w:t>䓛</w:t>
            </w:r>
          </w:p>
        </w:tc>
        <w:tc>
          <w:tcPr>
            <w:tcW w:w="470" w:type="pct"/>
            <w:vAlign w:val="center"/>
          </w:tcPr>
          <w:p w14:paraId="6FCC0779">
            <w:pPr>
              <w:pStyle w:val="129"/>
              <w:widowControl w:val="0"/>
              <w:spacing w:line="340" w:lineRule="exact"/>
              <w:rPr>
                <w:color w:val="auto"/>
              </w:rPr>
            </w:pPr>
            <w:r>
              <w:rPr>
                <w:rFonts w:hint="eastAsia"/>
                <w:color w:val="auto"/>
              </w:rPr>
              <w:t>1293</w:t>
            </w:r>
          </w:p>
        </w:tc>
      </w:tr>
      <w:tr w14:paraId="758196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35497589">
            <w:pPr>
              <w:pStyle w:val="129"/>
              <w:widowControl w:val="0"/>
              <w:spacing w:line="340" w:lineRule="exact"/>
              <w:rPr>
                <w:color w:val="auto"/>
              </w:rPr>
            </w:pPr>
            <w:r>
              <w:rPr>
                <w:rFonts w:hint="eastAsia"/>
                <w:color w:val="auto"/>
              </w:rPr>
              <w:t>12</w:t>
            </w:r>
          </w:p>
        </w:tc>
        <w:tc>
          <w:tcPr>
            <w:tcW w:w="805" w:type="pct"/>
            <w:vAlign w:val="center"/>
          </w:tcPr>
          <w:p w14:paraId="5E2EE9BA">
            <w:pPr>
              <w:pStyle w:val="129"/>
              <w:widowControl w:val="0"/>
              <w:spacing w:line="340" w:lineRule="exact"/>
              <w:rPr>
                <w:color w:val="auto"/>
              </w:rPr>
            </w:pPr>
            <w:r>
              <w:rPr>
                <w:color w:val="auto"/>
              </w:rPr>
              <w:t>1,1-</w:t>
            </w:r>
            <w:r>
              <w:rPr>
                <w:rFonts w:hint="eastAsia"/>
                <w:color w:val="auto"/>
              </w:rPr>
              <w:t>二氯乙烷</w:t>
            </w:r>
          </w:p>
        </w:tc>
        <w:tc>
          <w:tcPr>
            <w:tcW w:w="511" w:type="pct"/>
            <w:vAlign w:val="center"/>
          </w:tcPr>
          <w:p w14:paraId="48C96B8F">
            <w:pPr>
              <w:pStyle w:val="129"/>
              <w:widowControl w:val="0"/>
              <w:spacing w:line="340" w:lineRule="exact"/>
              <w:rPr>
                <w:color w:val="auto"/>
              </w:rPr>
            </w:pPr>
            <w:r>
              <w:rPr>
                <w:color w:val="auto"/>
              </w:rPr>
              <w:t>9</w:t>
            </w:r>
          </w:p>
        </w:tc>
        <w:tc>
          <w:tcPr>
            <w:tcW w:w="340" w:type="pct"/>
            <w:vAlign w:val="center"/>
          </w:tcPr>
          <w:p w14:paraId="72302D28">
            <w:pPr>
              <w:pStyle w:val="129"/>
              <w:widowControl w:val="0"/>
              <w:spacing w:line="340" w:lineRule="exact"/>
              <w:rPr>
                <w:color w:val="auto"/>
              </w:rPr>
            </w:pPr>
            <w:r>
              <w:rPr>
                <w:color w:val="auto"/>
              </w:rPr>
              <w:t>28</w:t>
            </w:r>
          </w:p>
        </w:tc>
        <w:tc>
          <w:tcPr>
            <w:tcW w:w="769" w:type="pct"/>
            <w:vAlign w:val="center"/>
          </w:tcPr>
          <w:p w14:paraId="3D413A10">
            <w:pPr>
              <w:pStyle w:val="129"/>
              <w:widowControl w:val="0"/>
              <w:spacing w:line="340" w:lineRule="exact"/>
              <w:rPr>
                <w:color w:val="auto"/>
              </w:rPr>
            </w:pPr>
            <w:r>
              <w:rPr>
                <w:rFonts w:hint="eastAsia"/>
                <w:color w:val="auto"/>
              </w:rPr>
              <w:t>氯苯</w:t>
            </w:r>
          </w:p>
        </w:tc>
        <w:tc>
          <w:tcPr>
            <w:tcW w:w="481" w:type="pct"/>
            <w:vAlign w:val="center"/>
          </w:tcPr>
          <w:p w14:paraId="0A5D4C43">
            <w:pPr>
              <w:pStyle w:val="129"/>
              <w:widowControl w:val="0"/>
              <w:spacing w:line="340" w:lineRule="exact"/>
              <w:rPr>
                <w:color w:val="auto"/>
              </w:rPr>
            </w:pPr>
            <w:r>
              <w:rPr>
                <w:color w:val="auto"/>
              </w:rPr>
              <w:t>270</w:t>
            </w:r>
          </w:p>
        </w:tc>
        <w:tc>
          <w:tcPr>
            <w:tcW w:w="376" w:type="pct"/>
            <w:vAlign w:val="center"/>
          </w:tcPr>
          <w:p w14:paraId="38434EA7">
            <w:pPr>
              <w:pStyle w:val="129"/>
              <w:widowControl w:val="0"/>
              <w:spacing w:line="340" w:lineRule="exact"/>
              <w:rPr>
                <w:color w:val="auto"/>
              </w:rPr>
            </w:pPr>
            <w:r>
              <w:rPr>
                <w:rFonts w:hint="eastAsia"/>
                <w:color w:val="auto"/>
              </w:rPr>
              <w:t>44</w:t>
            </w:r>
          </w:p>
        </w:tc>
        <w:tc>
          <w:tcPr>
            <w:tcW w:w="942" w:type="pct"/>
            <w:vAlign w:val="center"/>
          </w:tcPr>
          <w:p w14:paraId="092D2BDF">
            <w:pPr>
              <w:pStyle w:val="129"/>
              <w:widowControl w:val="0"/>
              <w:spacing w:line="340" w:lineRule="exact"/>
              <w:rPr>
                <w:color w:val="auto"/>
              </w:rPr>
            </w:pPr>
            <w:r>
              <w:rPr>
                <w:rFonts w:hint="eastAsia"/>
                <w:color w:val="auto"/>
              </w:rPr>
              <w:t>二苯并</w:t>
            </w:r>
            <w:r>
              <w:rPr>
                <w:color w:val="auto"/>
              </w:rPr>
              <w:t>[a</w:t>
            </w:r>
            <w:r>
              <w:rPr>
                <w:rFonts w:hint="eastAsia"/>
                <w:color w:val="auto"/>
              </w:rPr>
              <w:t>，</w:t>
            </w:r>
            <w:r>
              <w:rPr>
                <w:color w:val="auto"/>
              </w:rPr>
              <w:t>h]</w:t>
            </w:r>
            <w:r>
              <w:rPr>
                <w:rFonts w:hint="eastAsia"/>
                <w:color w:val="auto"/>
              </w:rPr>
              <w:t>蒽</w:t>
            </w:r>
          </w:p>
        </w:tc>
        <w:tc>
          <w:tcPr>
            <w:tcW w:w="470" w:type="pct"/>
            <w:vAlign w:val="center"/>
          </w:tcPr>
          <w:p w14:paraId="24F8BD44">
            <w:pPr>
              <w:pStyle w:val="129"/>
              <w:widowControl w:val="0"/>
              <w:spacing w:line="340" w:lineRule="exact"/>
              <w:rPr>
                <w:color w:val="auto"/>
              </w:rPr>
            </w:pPr>
            <w:r>
              <w:rPr>
                <w:rFonts w:hint="eastAsia"/>
                <w:color w:val="auto"/>
              </w:rPr>
              <w:t>1.5</w:t>
            </w:r>
          </w:p>
        </w:tc>
      </w:tr>
      <w:tr w14:paraId="331807F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07765F5A">
            <w:pPr>
              <w:pStyle w:val="129"/>
              <w:widowControl w:val="0"/>
              <w:spacing w:line="340" w:lineRule="exact"/>
              <w:rPr>
                <w:color w:val="auto"/>
              </w:rPr>
            </w:pPr>
            <w:r>
              <w:rPr>
                <w:rFonts w:hint="eastAsia"/>
                <w:color w:val="auto"/>
              </w:rPr>
              <w:t>13</w:t>
            </w:r>
          </w:p>
        </w:tc>
        <w:tc>
          <w:tcPr>
            <w:tcW w:w="805" w:type="pct"/>
            <w:vAlign w:val="center"/>
          </w:tcPr>
          <w:p w14:paraId="6334A695">
            <w:pPr>
              <w:pStyle w:val="129"/>
              <w:widowControl w:val="0"/>
              <w:spacing w:line="340" w:lineRule="exact"/>
              <w:rPr>
                <w:color w:val="auto"/>
              </w:rPr>
            </w:pPr>
            <w:r>
              <w:rPr>
                <w:color w:val="auto"/>
              </w:rPr>
              <w:t>1,2-</w:t>
            </w:r>
            <w:r>
              <w:rPr>
                <w:rFonts w:hint="eastAsia"/>
                <w:color w:val="auto"/>
              </w:rPr>
              <w:t>二氯乙烷</w:t>
            </w:r>
          </w:p>
        </w:tc>
        <w:tc>
          <w:tcPr>
            <w:tcW w:w="511" w:type="pct"/>
            <w:vAlign w:val="center"/>
          </w:tcPr>
          <w:p w14:paraId="75E78661">
            <w:pPr>
              <w:pStyle w:val="129"/>
              <w:widowControl w:val="0"/>
              <w:spacing w:line="340" w:lineRule="exact"/>
              <w:rPr>
                <w:color w:val="auto"/>
              </w:rPr>
            </w:pPr>
            <w:r>
              <w:rPr>
                <w:color w:val="auto"/>
              </w:rPr>
              <w:t>5</w:t>
            </w:r>
          </w:p>
        </w:tc>
        <w:tc>
          <w:tcPr>
            <w:tcW w:w="340" w:type="pct"/>
            <w:vAlign w:val="center"/>
          </w:tcPr>
          <w:p w14:paraId="4E1B38CA">
            <w:pPr>
              <w:pStyle w:val="129"/>
              <w:widowControl w:val="0"/>
              <w:spacing w:line="340" w:lineRule="exact"/>
              <w:rPr>
                <w:color w:val="auto"/>
              </w:rPr>
            </w:pPr>
            <w:r>
              <w:rPr>
                <w:color w:val="auto"/>
              </w:rPr>
              <w:t>29</w:t>
            </w:r>
          </w:p>
        </w:tc>
        <w:tc>
          <w:tcPr>
            <w:tcW w:w="769" w:type="pct"/>
            <w:vAlign w:val="center"/>
          </w:tcPr>
          <w:p w14:paraId="055E7979">
            <w:pPr>
              <w:pStyle w:val="129"/>
              <w:widowControl w:val="0"/>
              <w:spacing w:line="340" w:lineRule="exact"/>
              <w:rPr>
                <w:color w:val="auto"/>
              </w:rPr>
            </w:pPr>
            <w:r>
              <w:rPr>
                <w:color w:val="auto"/>
              </w:rPr>
              <w:t>1,2-</w:t>
            </w:r>
            <w:r>
              <w:rPr>
                <w:rFonts w:hint="eastAsia"/>
                <w:color w:val="auto"/>
              </w:rPr>
              <w:t>二氯苯</w:t>
            </w:r>
          </w:p>
        </w:tc>
        <w:tc>
          <w:tcPr>
            <w:tcW w:w="481" w:type="pct"/>
            <w:vAlign w:val="center"/>
          </w:tcPr>
          <w:p w14:paraId="1466D381">
            <w:pPr>
              <w:pStyle w:val="129"/>
              <w:widowControl w:val="0"/>
              <w:spacing w:line="340" w:lineRule="exact"/>
              <w:rPr>
                <w:color w:val="auto"/>
              </w:rPr>
            </w:pPr>
            <w:r>
              <w:rPr>
                <w:color w:val="auto"/>
              </w:rPr>
              <w:t>560</w:t>
            </w:r>
          </w:p>
        </w:tc>
        <w:tc>
          <w:tcPr>
            <w:tcW w:w="376" w:type="pct"/>
            <w:vAlign w:val="center"/>
          </w:tcPr>
          <w:p w14:paraId="47CCA659">
            <w:pPr>
              <w:pStyle w:val="129"/>
              <w:widowControl w:val="0"/>
              <w:spacing w:line="340" w:lineRule="exact"/>
              <w:rPr>
                <w:color w:val="auto"/>
              </w:rPr>
            </w:pPr>
            <w:r>
              <w:rPr>
                <w:rFonts w:hint="eastAsia"/>
                <w:color w:val="auto"/>
              </w:rPr>
              <w:t>45</w:t>
            </w:r>
          </w:p>
        </w:tc>
        <w:tc>
          <w:tcPr>
            <w:tcW w:w="942" w:type="pct"/>
            <w:vAlign w:val="center"/>
          </w:tcPr>
          <w:p w14:paraId="11167DCD">
            <w:pPr>
              <w:pStyle w:val="129"/>
              <w:widowControl w:val="0"/>
              <w:spacing w:line="340" w:lineRule="exact"/>
              <w:rPr>
                <w:color w:val="auto"/>
              </w:rPr>
            </w:pPr>
            <w:r>
              <w:rPr>
                <w:rFonts w:hint="eastAsia"/>
                <w:color w:val="auto"/>
              </w:rPr>
              <w:t>茚并</w:t>
            </w:r>
            <w:r>
              <w:rPr>
                <w:color w:val="auto"/>
              </w:rPr>
              <w:t>[1,2,3-cd]</w:t>
            </w:r>
            <w:r>
              <w:rPr>
                <w:rFonts w:hint="eastAsia"/>
                <w:color w:val="auto"/>
              </w:rPr>
              <w:t>芘</w:t>
            </w:r>
          </w:p>
        </w:tc>
        <w:tc>
          <w:tcPr>
            <w:tcW w:w="470" w:type="pct"/>
            <w:vAlign w:val="center"/>
          </w:tcPr>
          <w:p w14:paraId="26E4D04E">
            <w:pPr>
              <w:pStyle w:val="129"/>
              <w:widowControl w:val="0"/>
              <w:spacing w:line="340" w:lineRule="exact"/>
              <w:rPr>
                <w:color w:val="auto"/>
              </w:rPr>
            </w:pPr>
            <w:r>
              <w:rPr>
                <w:rFonts w:hint="eastAsia"/>
                <w:color w:val="auto"/>
              </w:rPr>
              <w:t>15</w:t>
            </w:r>
          </w:p>
        </w:tc>
      </w:tr>
      <w:tr w14:paraId="2D6E01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3BF68172">
            <w:pPr>
              <w:pStyle w:val="129"/>
              <w:widowControl w:val="0"/>
              <w:spacing w:line="340" w:lineRule="exact"/>
              <w:rPr>
                <w:color w:val="auto"/>
              </w:rPr>
            </w:pPr>
            <w:r>
              <w:rPr>
                <w:rFonts w:hint="eastAsia"/>
                <w:color w:val="auto"/>
              </w:rPr>
              <w:t>14</w:t>
            </w:r>
          </w:p>
        </w:tc>
        <w:tc>
          <w:tcPr>
            <w:tcW w:w="805" w:type="pct"/>
            <w:vAlign w:val="center"/>
          </w:tcPr>
          <w:p w14:paraId="7AD0CFC5">
            <w:pPr>
              <w:pStyle w:val="129"/>
              <w:widowControl w:val="0"/>
              <w:spacing w:line="340" w:lineRule="exact"/>
              <w:rPr>
                <w:color w:val="auto"/>
              </w:rPr>
            </w:pPr>
            <w:r>
              <w:rPr>
                <w:color w:val="auto"/>
              </w:rPr>
              <w:t>1,1-</w:t>
            </w:r>
            <w:r>
              <w:rPr>
                <w:rFonts w:hint="eastAsia"/>
                <w:color w:val="auto"/>
              </w:rPr>
              <w:t>二氯乙烯</w:t>
            </w:r>
          </w:p>
        </w:tc>
        <w:tc>
          <w:tcPr>
            <w:tcW w:w="511" w:type="pct"/>
            <w:vAlign w:val="center"/>
          </w:tcPr>
          <w:p w14:paraId="37BFC535">
            <w:pPr>
              <w:pStyle w:val="129"/>
              <w:widowControl w:val="0"/>
              <w:spacing w:line="340" w:lineRule="exact"/>
              <w:rPr>
                <w:color w:val="auto"/>
              </w:rPr>
            </w:pPr>
            <w:r>
              <w:rPr>
                <w:color w:val="auto"/>
              </w:rPr>
              <w:t>66</w:t>
            </w:r>
          </w:p>
        </w:tc>
        <w:tc>
          <w:tcPr>
            <w:tcW w:w="340" w:type="pct"/>
            <w:vAlign w:val="center"/>
          </w:tcPr>
          <w:p w14:paraId="52FD59D8">
            <w:pPr>
              <w:pStyle w:val="129"/>
              <w:widowControl w:val="0"/>
              <w:spacing w:line="340" w:lineRule="exact"/>
              <w:rPr>
                <w:color w:val="auto"/>
              </w:rPr>
            </w:pPr>
            <w:r>
              <w:rPr>
                <w:color w:val="auto"/>
              </w:rPr>
              <w:t>30</w:t>
            </w:r>
          </w:p>
        </w:tc>
        <w:tc>
          <w:tcPr>
            <w:tcW w:w="769" w:type="pct"/>
            <w:vAlign w:val="center"/>
          </w:tcPr>
          <w:p w14:paraId="5C6C9A45">
            <w:pPr>
              <w:pStyle w:val="129"/>
              <w:widowControl w:val="0"/>
              <w:spacing w:line="340" w:lineRule="exact"/>
              <w:rPr>
                <w:color w:val="auto"/>
              </w:rPr>
            </w:pPr>
            <w:r>
              <w:rPr>
                <w:color w:val="auto"/>
              </w:rPr>
              <w:t>1,4-</w:t>
            </w:r>
            <w:r>
              <w:rPr>
                <w:rFonts w:hint="eastAsia"/>
                <w:color w:val="auto"/>
              </w:rPr>
              <w:t>二氯苯</w:t>
            </w:r>
          </w:p>
        </w:tc>
        <w:tc>
          <w:tcPr>
            <w:tcW w:w="481" w:type="pct"/>
            <w:vAlign w:val="center"/>
          </w:tcPr>
          <w:p w14:paraId="4D672AFF">
            <w:pPr>
              <w:pStyle w:val="129"/>
              <w:widowControl w:val="0"/>
              <w:spacing w:line="340" w:lineRule="exact"/>
              <w:rPr>
                <w:color w:val="auto"/>
              </w:rPr>
            </w:pPr>
            <w:r>
              <w:rPr>
                <w:color w:val="auto"/>
              </w:rPr>
              <w:t>20</w:t>
            </w:r>
          </w:p>
        </w:tc>
        <w:tc>
          <w:tcPr>
            <w:tcW w:w="376" w:type="pct"/>
            <w:vAlign w:val="center"/>
          </w:tcPr>
          <w:p w14:paraId="09E961FD">
            <w:pPr>
              <w:pStyle w:val="129"/>
              <w:widowControl w:val="0"/>
              <w:spacing w:line="340" w:lineRule="exact"/>
              <w:rPr>
                <w:color w:val="auto"/>
              </w:rPr>
            </w:pPr>
            <w:r>
              <w:rPr>
                <w:rFonts w:hint="eastAsia"/>
                <w:color w:val="auto"/>
              </w:rPr>
              <w:t>46</w:t>
            </w:r>
          </w:p>
        </w:tc>
        <w:tc>
          <w:tcPr>
            <w:tcW w:w="942" w:type="pct"/>
            <w:vAlign w:val="center"/>
          </w:tcPr>
          <w:p w14:paraId="5960E938">
            <w:pPr>
              <w:pStyle w:val="129"/>
              <w:widowControl w:val="0"/>
              <w:spacing w:line="340" w:lineRule="exact"/>
              <w:rPr>
                <w:color w:val="auto"/>
              </w:rPr>
            </w:pPr>
            <w:r>
              <w:rPr>
                <w:rFonts w:hint="eastAsia"/>
                <w:color w:val="auto"/>
              </w:rPr>
              <w:t>萘</w:t>
            </w:r>
          </w:p>
        </w:tc>
        <w:tc>
          <w:tcPr>
            <w:tcW w:w="470" w:type="pct"/>
            <w:vAlign w:val="center"/>
          </w:tcPr>
          <w:p w14:paraId="75E00007">
            <w:pPr>
              <w:pStyle w:val="129"/>
              <w:widowControl w:val="0"/>
              <w:spacing w:line="340" w:lineRule="exact"/>
              <w:rPr>
                <w:color w:val="auto"/>
              </w:rPr>
            </w:pPr>
            <w:r>
              <w:rPr>
                <w:rFonts w:hint="eastAsia"/>
                <w:color w:val="auto"/>
              </w:rPr>
              <w:t>70</w:t>
            </w:r>
          </w:p>
        </w:tc>
      </w:tr>
      <w:tr w14:paraId="3775A7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704DDFC1">
            <w:pPr>
              <w:pStyle w:val="129"/>
              <w:widowControl w:val="0"/>
              <w:spacing w:line="340" w:lineRule="exact"/>
              <w:rPr>
                <w:color w:val="auto"/>
              </w:rPr>
            </w:pPr>
            <w:r>
              <w:rPr>
                <w:rFonts w:hint="eastAsia"/>
                <w:color w:val="auto"/>
              </w:rPr>
              <w:t>15</w:t>
            </w:r>
          </w:p>
        </w:tc>
        <w:tc>
          <w:tcPr>
            <w:tcW w:w="805" w:type="pct"/>
            <w:vAlign w:val="center"/>
          </w:tcPr>
          <w:p w14:paraId="768DE173">
            <w:pPr>
              <w:pStyle w:val="129"/>
              <w:widowControl w:val="0"/>
              <w:spacing w:line="340" w:lineRule="exact"/>
              <w:rPr>
                <w:color w:val="auto"/>
              </w:rPr>
            </w:pPr>
            <w:r>
              <w:rPr>
                <w:rFonts w:hint="eastAsia"/>
                <w:color w:val="auto"/>
              </w:rPr>
              <w:t>顺</w:t>
            </w:r>
            <w:r>
              <w:rPr>
                <w:color w:val="auto"/>
              </w:rPr>
              <w:t>-1,2-</w:t>
            </w:r>
            <w:r>
              <w:rPr>
                <w:rFonts w:hint="eastAsia"/>
                <w:color w:val="auto"/>
              </w:rPr>
              <w:t>二氯乙烯</w:t>
            </w:r>
          </w:p>
        </w:tc>
        <w:tc>
          <w:tcPr>
            <w:tcW w:w="511" w:type="pct"/>
            <w:vAlign w:val="center"/>
          </w:tcPr>
          <w:p w14:paraId="3C0F002C">
            <w:pPr>
              <w:pStyle w:val="129"/>
              <w:widowControl w:val="0"/>
              <w:spacing w:line="340" w:lineRule="exact"/>
              <w:rPr>
                <w:color w:val="auto"/>
              </w:rPr>
            </w:pPr>
            <w:r>
              <w:rPr>
                <w:color w:val="auto"/>
              </w:rPr>
              <w:t>596</w:t>
            </w:r>
          </w:p>
        </w:tc>
        <w:tc>
          <w:tcPr>
            <w:tcW w:w="340" w:type="pct"/>
            <w:vAlign w:val="center"/>
          </w:tcPr>
          <w:p w14:paraId="26867A84">
            <w:pPr>
              <w:pStyle w:val="129"/>
              <w:widowControl w:val="0"/>
              <w:spacing w:line="340" w:lineRule="exact"/>
              <w:rPr>
                <w:color w:val="auto"/>
              </w:rPr>
            </w:pPr>
            <w:r>
              <w:rPr>
                <w:color w:val="auto"/>
              </w:rPr>
              <w:t>31</w:t>
            </w:r>
          </w:p>
        </w:tc>
        <w:tc>
          <w:tcPr>
            <w:tcW w:w="769" w:type="pct"/>
            <w:vAlign w:val="center"/>
          </w:tcPr>
          <w:p w14:paraId="1016EE53">
            <w:pPr>
              <w:pStyle w:val="129"/>
              <w:widowControl w:val="0"/>
              <w:spacing w:line="340" w:lineRule="exact"/>
              <w:rPr>
                <w:color w:val="auto"/>
              </w:rPr>
            </w:pPr>
            <w:r>
              <w:rPr>
                <w:rFonts w:hint="eastAsia"/>
                <w:color w:val="auto"/>
              </w:rPr>
              <w:t>乙苯</w:t>
            </w:r>
          </w:p>
        </w:tc>
        <w:tc>
          <w:tcPr>
            <w:tcW w:w="481" w:type="pct"/>
            <w:vAlign w:val="center"/>
          </w:tcPr>
          <w:p w14:paraId="5AC1ADDB">
            <w:pPr>
              <w:pStyle w:val="129"/>
              <w:widowControl w:val="0"/>
              <w:spacing w:line="340" w:lineRule="exact"/>
              <w:rPr>
                <w:color w:val="auto"/>
              </w:rPr>
            </w:pPr>
            <w:r>
              <w:rPr>
                <w:color w:val="auto"/>
              </w:rPr>
              <w:t>28</w:t>
            </w:r>
          </w:p>
        </w:tc>
        <w:tc>
          <w:tcPr>
            <w:tcW w:w="376" w:type="pct"/>
            <w:vAlign w:val="center"/>
          </w:tcPr>
          <w:p w14:paraId="5337A43E">
            <w:pPr>
              <w:pStyle w:val="129"/>
              <w:widowControl w:val="0"/>
              <w:spacing w:line="340" w:lineRule="exact"/>
              <w:rPr>
                <w:color w:val="auto"/>
              </w:rPr>
            </w:pPr>
          </w:p>
        </w:tc>
        <w:tc>
          <w:tcPr>
            <w:tcW w:w="942" w:type="pct"/>
            <w:vAlign w:val="center"/>
          </w:tcPr>
          <w:p w14:paraId="18A4B7C4">
            <w:pPr>
              <w:pStyle w:val="129"/>
              <w:widowControl w:val="0"/>
              <w:spacing w:line="340" w:lineRule="exact"/>
              <w:rPr>
                <w:color w:val="auto"/>
              </w:rPr>
            </w:pPr>
          </w:p>
        </w:tc>
        <w:tc>
          <w:tcPr>
            <w:tcW w:w="470" w:type="pct"/>
            <w:vAlign w:val="center"/>
          </w:tcPr>
          <w:p w14:paraId="022A9A7F">
            <w:pPr>
              <w:pStyle w:val="129"/>
              <w:widowControl w:val="0"/>
              <w:spacing w:line="340" w:lineRule="exact"/>
              <w:rPr>
                <w:color w:val="auto"/>
              </w:rPr>
            </w:pPr>
          </w:p>
        </w:tc>
      </w:tr>
      <w:tr w14:paraId="53F466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6" w:type="pct"/>
            <w:vAlign w:val="center"/>
          </w:tcPr>
          <w:p w14:paraId="37B1FBCC">
            <w:pPr>
              <w:pStyle w:val="129"/>
              <w:widowControl w:val="0"/>
              <w:spacing w:line="340" w:lineRule="exact"/>
              <w:rPr>
                <w:color w:val="auto"/>
              </w:rPr>
            </w:pPr>
            <w:r>
              <w:rPr>
                <w:rFonts w:hint="eastAsia"/>
                <w:color w:val="auto"/>
              </w:rPr>
              <w:t>16</w:t>
            </w:r>
          </w:p>
        </w:tc>
        <w:tc>
          <w:tcPr>
            <w:tcW w:w="805" w:type="pct"/>
            <w:vAlign w:val="center"/>
          </w:tcPr>
          <w:p w14:paraId="421599AD">
            <w:pPr>
              <w:pStyle w:val="129"/>
              <w:widowControl w:val="0"/>
              <w:spacing w:line="340" w:lineRule="exact"/>
              <w:rPr>
                <w:color w:val="auto"/>
              </w:rPr>
            </w:pPr>
            <w:r>
              <w:rPr>
                <w:rFonts w:hint="eastAsia"/>
                <w:color w:val="auto"/>
              </w:rPr>
              <w:t>反</w:t>
            </w:r>
            <w:r>
              <w:rPr>
                <w:color w:val="auto"/>
              </w:rPr>
              <w:t>-1,2-</w:t>
            </w:r>
            <w:r>
              <w:rPr>
                <w:rFonts w:hint="eastAsia"/>
                <w:color w:val="auto"/>
              </w:rPr>
              <w:t>二氯乙烯</w:t>
            </w:r>
          </w:p>
        </w:tc>
        <w:tc>
          <w:tcPr>
            <w:tcW w:w="511" w:type="pct"/>
            <w:vAlign w:val="center"/>
          </w:tcPr>
          <w:p w14:paraId="51B55026">
            <w:pPr>
              <w:pStyle w:val="129"/>
              <w:widowControl w:val="0"/>
              <w:spacing w:line="340" w:lineRule="exact"/>
              <w:rPr>
                <w:color w:val="auto"/>
              </w:rPr>
            </w:pPr>
            <w:r>
              <w:rPr>
                <w:color w:val="auto"/>
              </w:rPr>
              <w:t>54</w:t>
            </w:r>
          </w:p>
        </w:tc>
        <w:tc>
          <w:tcPr>
            <w:tcW w:w="340" w:type="pct"/>
            <w:vAlign w:val="center"/>
          </w:tcPr>
          <w:p w14:paraId="33D09487">
            <w:pPr>
              <w:pStyle w:val="129"/>
              <w:widowControl w:val="0"/>
              <w:spacing w:line="340" w:lineRule="exact"/>
              <w:rPr>
                <w:color w:val="auto"/>
              </w:rPr>
            </w:pPr>
            <w:r>
              <w:rPr>
                <w:color w:val="auto"/>
              </w:rPr>
              <w:t>32</w:t>
            </w:r>
          </w:p>
        </w:tc>
        <w:tc>
          <w:tcPr>
            <w:tcW w:w="769" w:type="pct"/>
            <w:vAlign w:val="center"/>
          </w:tcPr>
          <w:p w14:paraId="63DEC6E6">
            <w:pPr>
              <w:pStyle w:val="129"/>
              <w:widowControl w:val="0"/>
              <w:spacing w:line="340" w:lineRule="exact"/>
              <w:rPr>
                <w:color w:val="auto"/>
              </w:rPr>
            </w:pPr>
            <w:r>
              <w:rPr>
                <w:rFonts w:hint="eastAsia"/>
                <w:color w:val="auto"/>
              </w:rPr>
              <w:t>苯乙烯</w:t>
            </w:r>
          </w:p>
        </w:tc>
        <w:tc>
          <w:tcPr>
            <w:tcW w:w="481" w:type="pct"/>
            <w:vAlign w:val="center"/>
          </w:tcPr>
          <w:p w14:paraId="748146CF">
            <w:pPr>
              <w:pStyle w:val="129"/>
              <w:widowControl w:val="0"/>
              <w:spacing w:line="340" w:lineRule="exact"/>
              <w:rPr>
                <w:color w:val="auto"/>
              </w:rPr>
            </w:pPr>
            <w:r>
              <w:rPr>
                <w:color w:val="auto"/>
              </w:rPr>
              <w:t>1290</w:t>
            </w:r>
          </w:p>
        </w:tc>
        <w:tc>
          <w:tcPr>
            <w:tcW w:w="376" w:type="pct"/>
            <w:vAlign w:val="center"/>
          </w:tcPr>
          <w:p w14:paraId="1E866A90">
            <w:pPr>
              <w:pStyle w:val="129"/>
              <w:widowControl w:val="0"/>
              <w:spacing w:line="340" w:lineRule="exact"/>
              <w:rPr>
                <w:color w:val="auto"/>
              </w:rPr>
            </w:pPr>
          </w:p>
        </w:tc>
        <w:tc>
          <w:tcPr>
            <w:tcW w:w="942" w:type="pct"/>
            <w:vAlign w:val="center"/>
          </w:tcPr>
          <w:p w14:paraId="25B2D76D">
            <w:pPr>
              <w:pStyle w:val="129"/>
              <w:widowControl w:val="0"/>
              <w:spacing w:line="340" w:lineRule="exact"/>
              <w:rPr>
                <w:color w:val="auto"/>
              </w:rPr>
            </w:pPr>
          </w:p>
        </w:tc>
        <w:tc>
          <w:tcPr>
            <w:tcW w:w="470" w:type="pct"/>
            <w:vAlign w:val="center"/>
          </w:tcPr>
          <w:p w14:paraId="58FF4484">
            <w:pPr>
              <w:pStyle w:val="129"/>
              <w:widowControl w:val="0"/>
              <w:spacing w:line="340" w:lineRule="exact"/>
              <w:rPr>
                <w:color w:val="auto"/>
              </w:rPr>
            </w:pPr>
          </w:p>
        </w:tc>
      </w:tr>
    </w:tbl>
    <w:p w14:paraId="62100172">
      <w:pPr>
        <w:adjustRightInd w:val="0"/>
        <w:spacing w:line="240" w:lineRule="exact"/>
        <w:jc w:val="center"/>
        <w:rPr>
          <w:rFonts w:eastAsia="黑体"/>
          <w:color w:val="auto"/>
          <w:sz w:val="24"/>
        </w:rPr>
      </w:pPr>
    </w:p>
    <w:p w14:paraId="1B146FC6">
      <w:pPr>
        <w:adjustRightInd w:val="0"/>
        <w:spacing w:line="240" w:lineRule="exact"/>
        <w:jc w:val="center"/>
        <w:rPr>
          <w:rFonts w:eastAsia="黑体"/>
          <w:color w:val="auto"/>
          <w:sz w:val="24"/>
        </w:rPr>
      </w:pPr>
    </w:p>
    <w:p w14:paraId="7A10ADFB">
      <w:pPr>
        <w:adjustRightInd w:val="0"/>
        <w:spacing w:line="240" w:lineRule="exact"/>
        <w:jc w:val="center"/>
        <w:rPr>
          <w:rFonts w:eastAsia="黑体"/>
          <w:color w:val="auto"/>
          <w:sz w:val="24"/>
        </w:rPr>
      </w:pPr>
    </w:p>
    <w:p w14:paraId="6CEF7915">
      <w:pPr>
        <w:pStyle w:val="4"/>
        <w:rPr>
          <w:color w:val="auto"/>
        </w:rPr>
      </w:pPr>
      <w:bookmarkStart w:id="127" w:name="_Toc287433020"/>
      <w:bookmarkStart w:id="128" w:name="_Toc287434092"/>
      <w:bookmarkStart w:id="129" w:name="_Toc287433890"/>
      <w:r>
        <w:rPr>
          <w:color w:val="auto"/>
        </w:rPr>
        <w:t>污染物排放标准</w:t>
      </w:r>
      <w:bookmarkEnd w:id="127"/>
      <w:bookmarkEnd w:id="128"/>
      <w:bookmarkEnd w:id="129"/>
    </w:p>
    <w:p w14:paraId="3A05010E">
      <w:pPr>
        <w:pStyle w:val="5"/>
        <w:rPr>
          <w:color w:val="auto"/>
        </w:rPr>
      </w:pPr>
      <w:bookmarkStart w:id="130" w:name="_Hlk174094113"/>
      <w:r>
        <w:rPr>
          <w:color w:val="auto"/>
        </w:rPr>
        <w:t>废气</w:t>
      </w:r>
    </w:p>
    <w:bookmarkEnd w:id="130"/>
    <w:p w14:paraId="6D065B9D">
      <w:pPr>
        <w:pStyle w:val="132"/>
        <w:rPr>
          <w:color w:val="auto"/>
        </w:rPr>
      </w:pPr>
      <w:r>
        <w:rPr>
          <w:rFonts w:hint="eastAsia"/>
          <w:color w:val="auto"/>
        </w:rPr>
        <w:t>（1）有组织废气</w:t>
      </w:r>
    </w:p>
    <w:p w14:paraId="27F57499">
      <w:pPr>
        <w:pStyle w:val="132"/>
        <w:rPr>
          <w:color w:val="auto"/>
        </w:rPr>
      </w:pPr>
      <w:r>
        <w:rPr>
          <w:rFonts w:hint="eastAsia"/>
          <w:color w:val="auto"/>
        </w:rPr>
        <w:t>本项目涉及 “危险废物（不含医疗废物）利用及处置”和“专用化学产品制造”，本项目采用非焚烧法处置废酸液、废碱液，项目位于乌鲁木齐甘泉堡经济技术开发区（工业区）化工园区，属于大气污染物重点控制区域。</w:t>
      </w:r>
    </w:p>
    <w:p w14:paraId="0E86CE0D">
      <w:pPr>
        <w:pStyle w:val="132"/>
        <w:rPr>
          <w:color w:val="auto"/>
        </w:rPr>
      </w:pPr>
      <w:bookmarkStart w:id="131" w:name="OLE_LINK113"/>
      <w:r>
        <w:rPr>
          <w:rFonts w:hint="eastAsia"/>
          <w:color w:val="auto"/>
        </w:rPr>
        <w:t>危险废物处置过程中的废气主要为副产品和中间产物干燥包装过程中产生的颗粒物，具体由硫酸铵、碳酸钠、拟薄水铝石等物料干燥和包装过程产生。废气中颗粒物、二氧化硫、氮氧化物执行</w:t>
      </w:r>
      <w:bookmarkStart w:id="132" w:name="OLE_LINK95"/>
      <w:r>
        <w:rPr>
          <w:rFonts w:hint="eastAsia"/>
          <w:color w:val="auto"/>
        </w:rPr>
        <w:t>《无机化学工业污染物排放标准》（GB31573-2015）及修改单 表4 大气污染物特别排放限值</w:t>
      </w:r>
      <w:bookmarkEnd w:id="132"/>
      <w:r>
        <w:rPr>
          <w:rFonts w:hint="eastAsia"/>
          <w:color w:val="auto"/>
        </w:rPr>
        <w:t>。</w:t>
      </w:r>
    </w:p>
    <w:p w14:paraId="649B929A">
      <w:pPr>
        <w:pStyle w:val="132"/>
        <w:rPr>
          <w:color w:val="auto"/>
        </w:rPr>
      </w:pPr>
      <w:r>
        <w:rPr>
          <w:rFonts w:hint="eastAsia"/>
          <w:color w:val="auto"/>
        </w:rPr>
        <w:t>催化剂生产干燥废气主要含有颗粒物、二氧化硫、氮氧化物，载体焙烧废气和催化剂焙烧废气主要含有颗粒物、氮氧化物、钴及其化合物、钼及其化合物、镍及其化合物、锰及其化合物、铜及其化合物、锆及其化合物，执行</w:t>
      </w:r>
      <w:bookmarkStart w:id="133" w:name="OLE_LINK141"/>
      <w:r>
        <w:rPr>
          <w:rFonts w:hint="eastAsia"/>
          <w:color w:val="auto"/>
        </w:rPr>
        <w:t>《无机化学工业污染物排放标准》（GB31573-2015）及修改单 表4 大气污染物特别排放限值</w:t>
      </w:r>
      <w:bookmarkEnd w:id="133"/>
      <w:r>
        <w:rPr>
          <w:rFonts w:hint="eastAsia"/>
          <w:color w:val="auto"/>
        </w:rPr>
        <w:t>，同时需满足关于印发《新疆维吾尔自治区工业炉窑大气污染综合治理实施方案》的通知要求。</w:t>
      </w:r>
    </w:p>
    <w:p w14:paraId="3F53FB88">
      <w:pPr>
        <w:pStyle w:val="132"/>
        <w:rPr>
          <w:color w:val="auto"/>
        </w:rPr>
      </w:pPr>
      <w:bookmarkStart w:id="134" w:name="_Hlk202259501"/>
      <w:r>
        <w:rPr>
          <w:rFonts w:hint="eastAsia"/>
          <w:color w:val="auto"/>
        </w:rPr>
        <w:t>备用燃气锅炉排放的</w:t>
      </w:r>
      <w:r>
        <w:rPr>
          <w:color w:val="auto"/>
        </w:rPr>
        <w:t>颗粒物、二氧化硫</w:t>
      </w:r>
      <w:r>
        <w:rPr>
          <w:rFonts w:hint="eastAsia"/>
          <w:color w:val="auto"/>
        </w:rPr>
        <w:t>、氮氧化物执行《</w:t>
      </w:r>
      <w:r>
        <w:rPr>
          <w:color w:val="auto"/>
        </w:rPr>
        <w:t>燃气锅炉大气污染物排放标准</w:t>
      </w:r>
      <w:r>
        <w:rPr>
          <w:rFonts w:hint="eastAsia"/>
          <w:color w:val="auto"/>
        </w:rPr>
        <w:t>》（DB6501/T 001-2018）表1 燃气锅炉大气污染物排放浓度限值。</w:t>
      </w:r>
    </w:p>
    <w:bookmarkEnd w:id="131"/>
    <w:bookmarkEnd w:id="134"/>
    <w:p w14:paraId="13E5653A">
      <w:pPr>
        <w:pStyle w:val="132"/>
        <w:rPr>
          <w:color w:val="auto"/>
        </w:rPr>
      </w:pPr>
      <w:r>
        <w:rPr>
          <w:rFonts w:hint="eastAsia"/>
          <w:color w:val="auto"/>
        </w:rPr>
        <w:t>（2）无组织废气</w:t>
      </w:r>
    </w:p>
    <w:p w14:paraId="62692D39">
      <w:pPr>
        <w:pStyle w:val="132"/>
        <w:rPr>
          <w:color w:val="auto"/>
        </w:rPr>
      </w:pPr>
      <w:r>
        <w:rPr>
          <w:rFonts w:hint="eastAsia"/>
          <w:color w:val="auto"/>
        </w:rPr>
        <w:t>氨执行《无机化学工业污染物排放标准》（GB31573-2015）及修改单 表5 企业边界大气污染物排放限值。</w:t>
      </w:r>
    </w:p>
    <w:p w14:paraId="77F8C4A9">
      <w:pPr>
        <w:pStyle w:val="132"/>
        <w:rPr>
          <w:color w:val="auto"/>
        </w:rPr>
      </w:pPr>
      <w:r>
        <w:rPr>
          <w:rFonts w:hint="eastAsia"/>
          <w:color w:val="auto"/>
        </w:rPr>
        <w:t>本项目废气污染物排放标准限值一览表，见表2.5-5、表2.5-6。</w:t>
      </w:r>
    </w:p>
    <w:p w14:paraId="1D9D893F">
      <w:pPr>
        <w:pStyle w:val="1060"/>
        <w:rPr>
          <w:color w:val="auto"/>
        </w:rPr>
      </w:pPr>
      <w:bookmarkStart w:id="135" w:name="OLE_LINK1"/>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r>
        <w:rPr>
          <w:rFonts w:hint="eastAsia"/>
          <w:color w:val="auto"/>
        </w:rPr>
        <w:t xml:space="preserve">  </w:t>
      </w:r>
      <w:r>
        <w:rPr>
          <w:color w:val="auto"/>
        </w:rPr>
        <w:t xml:space="preserve"> 废气污染物排放</w:t>
      </w:r>
      <w:r>
        <w:rPr>
          <w:rFonts w:hint="eastAsia"/>
          <w:color w:val="auto"/>
        </w:rPr>
        <w:t>标准（工艺废气）</w:t>
      </w:r>
    </w:p>
    <w:bookmarkEnd w:id="135"/>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1278"/>
        <w:gridCol w:w="3716"/>
        <w:gridCol w:w="2290"/>
        <w:gridCol w:w="1502"/>
      </w:tblGrid>
      <w:tr w14:paraId="3A2F70F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727" w:type="pct"/>
            <w:vAlign w:val="center"/>
          </w:tcPr>
          <w:p w14:paraId="3FA7077C">
            <w:pPr>
              <w:pStyle w:val="129"/>
              <w:widowControl w:val="0"/>
              <w:rPr>
                <w:color w:val="auto"/>
              </w:rPr>
            </w:pPr>
            <w:bookmarkStart w:id="136" w:name="OLE_LINK119"/>
            <w:r>
              <w:rPr>
                <w:color w:val="auto"/>
              </w:rPr>
              <w:t>序号</w:t>
            </w:r>
          </w:p>
        </w:tc>
        <w:tc>
          <w:tcPr>
            <w:tcW w:w="2115" w:type="pct"/>
            <w:vAlign w:val="center"/>
          </w:tcPr>
          <w:p w14:paraId="05D6F279">
            <w:pPr>
              <w:pStyle w:val="129"/>
              <w:widowControl w:val="0"/>
              <w:rPr>
                <w:color w:val="auto"/>
              </w:rPr>
            </w:pPr>
            <w:r>
              <w:rPr>
                <w:color w:val="auto"/>
              </w:rPr>
              <w:t>污染物项目</w:t>
            </w:r>
          </w:p>
        </w:tc>
        <w:tc>
          <w:tcPr>
            <w:tcW w:w="1303" w:type="pct"/>
            <w:vAlign w:val="center"/>
          </w:tcPr>
          <w:p w14:paraId="2220B7F1">
            <w:pPr>
              <w:pStyle w:val="129"/>
              <w:widowControl w:val="0"/>
              <w:rPr>
                <w:color w:val="auto"/>
              </w:rPr>
            </w:pPr>
            <w:r>
              <w:rPr>
                <w:rFonts w:hint="eastAsia"/>
                <w:color w:val="auto"/>
              </w:rPr>
              <w:t>限值</w:t>
            </w:r>
          </w:p>
        </w:tc>
        <w:tc>
          <w:tcPr>
            <w:tcW w:w="855" w:type="pct"/>
            <w:vAlign w:val="center"/>
          </w:tcPr>
          <w:p w14:paraId="5C3D63ED">
            <w:pPr>
              <w:pStyle w:val="129"/>
              <w:widowControl w:val="0"/>
              <w:rPr>
                <w:color w:val="auto"/>
              </w:rPr>
            </w:pPr>
            <w:r>
              <w:rPr>
                <w:rFonts w:hint="eastAsia"/>
                <w:color w:val="auto"/>
              </w:rPr>
              <w:t>污染物排放控制位置</w:t>
            </w:r>
          </w:p>
        </w:tc>
      </w:tr>
      <w:tr w14:paraId="6E13963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490D5C7E">
            <w:pPr>
              <w:pStyle w:val="129"/>
              <w:widowControl w:val="0"/>
              <w:rPr>
                <w:color w:val="auto"/>
                <w:spacing w:val="-4"/>
              </w:rPr>
            </w:pPr>
            <w:r>
              <w:rPr>
                <w:rFonts w:hint="eastAsia"/>
                <w:color w:val="auto"/>
                <w:spacing w:val="-4"/>
              </w:rPr>
              <w:t>1</w:t>
            </w:r>
          </w:p>
        </w:tc>
        <w:tc>
          <w:tcPr>
            <w:tcW w:w="2115" w:type="pct"/>
            <w:vAlign w:val="center"/>
          </w:tcPr>
          <w:p w14:paraId="20A2206C">
            <w:pPr>
              <w:pStyle w:val="129"/>
              <w:widowControl w:val="0"/>
              <w:rPr>
                <w:color w:val="auto"/>
              </w:rPr>
            </w:pPr>
            <w:r>
              <w:rPr>
                <w:rFonts w:hint="eastAsia"/>
                <w:color w:val="auto"/>
              </w:rPr>
              <w:t>颗粒物</w:t>
            </w:r>
          </w:p>
        </w:tc>
        <w:tc>
          <w:tcPr>
            <w:tcW w:w="1303" w:type="pct"/>
            <w:vAlign w:val="center"/>
          </w:tcPr>
          <w:p w14:paraId="06C29020">
            <w:pPr>
              <w:pStyle w:val="129"/>
              <w:widowControl w:val="0"/>
              <w:rPr>
                <w:color w:val="auto"/>
              </w:rPr>
            </w:pPr>
            <w:r>
              <w:rPr>
                <w:rFonts w:hint="eastAsia"/>
                <w:color w:val="auto"/>
              </w:rPr>
              <w:t>10</w:t>
            </w:r>
          </w:p>
        </w:tc>
        <w:tc>
          <w:tcPr>
            <w:tcW w:w="855" w:type="pct"/>
            <w:vMerge w:val="restart"/>
            <w:vAlign w:val="center"/>
          </w:tcPr>
          <w:p w14:paraId="711FDAA3">
            <w:pPr>
              <w:pStyle w:val="129"/>
              <w:widowControl w:val="0"/>
              <w:rPr>
                <w:color w:val="auto"/>
              </w:rPr>
            </w:pPr>
            <w:r>
              <w:rPr>
                <w:rFonts w:hint="eastAsia"/>
                <w:color w:val="auto"/>
              </w:rPr>
              <w:t>车间或生产设施排气筒</w:t>
            </w:r>
          </w:p>
        </w:tc>
      </w:tr>
      <w:tr w14:paraId="703515F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00760D74">
            <w:pPr>
              <w:pStyle w:val="129"/>
              <w:widowControl w:val="0"/>
              <w:rPr>
                <w:color w:val="auto"/>
              </w:rPr>
            </w:pPr>
            <w:r>
              <w:rPr>
                <w:rFonts w:hint="eastAsia"/>
                <w:color w:val="auto"/>
              </w:rPr>
              <w:t>2</w:t>
            </w:r>
          </w:p>
        </w:tc>
        <w:tc>
          <w:tcPr>
            <w:tcW w:w="2115" w:type="pct"/>
            <w:vAlign w:val="center"/>
          </w:tcPr>
          <w:p w14:paraId="4BEED669">
            <w:pPr>
              <w:pStyle w:val="129"/>
              <w:widowControl w:val="0"/>
              <w:rPr>
                <w:color w:val="auto"/>
              </w:rPr>
            </w:pPr>
            <w:r>
              <w:rPr>
                <w:rFonts w:hint="eastAsia"/>
                <w:color w:val="auto"/>
              </w:rPr>
              <w:t>氮氧化物</w:t>
            </w:r>
          </w:p>
        </w:tc>
        <w:tc>
          <w:tcPr>
            <w:tcW w:w="1303" w:type="pct"/>
            <w:vAlign w:val="center"/>
          </w:tcPr>
          <w:p w14:paraId="24A447A0">
            <w:pPr>
              <w:pStyle w:val="129"/>
              <w:widowControl w:val="0"/>
              <w:rPr>
                <w:color w:val="auto"/>
              </w:rPr>
            </w:pPr>
            <w:r>
              <w:rPr>
                <w:rFonts w:hint="eastAsia"/>
                <w:color w:val="auto"/>
              </w:rPr>
              <w:t>100</w:t>
            </w:r>
          </w:p>
        </w:tc>
        <w:tc>
          <w:tcPr>
            <w:tcW w:w="855" w:type="pct"/>
            <w:vMerge w:val="continue"/>
            <w:vAlign w:val="center"/>
          </w:tcPr>
          <w:p w14:paraId="4D5C7D05">
            <w:pPr>
              <w:pStyle w:val="129"/>
              <w:widowControl w:val="0"/>
              <w:rPr>
                <w:color w:val="auto"/>
              </w:rPr>
            </w:pPr>
          </w:p>
        </w:tc>
      </w:tr>
      <w:tr w14:paraId="19A7F82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3F995756">
            <w:pPr>
              <w:pStyle w:val="129"/>
              <w:widowControl w:val="0"/>
              <w:rPr>
                <w:color w:val="auto"/>
              </w:rPr>
            </w:pPr>
            <w:r>
              <w:rPr>
                <w:rFonts w:hint="eastAsia"/>
                <w:color w:val="auto"/>
              </w:rPr>
              <w:t>3</w:t>
            </w:r>
          </w:p>
        </w:tc>
        <w:tc>
          <w:tcPr>
            <w:tcW w:w="2115" w:type="pct"/>
            <w:vAlign w:val="center"/>
          </w:tcPr>
          <w:p w14:paraId="78B86291">
            <w:pPr>
              <w:pStyle w:val="129"/>
              <w:widowControl w:val="0"/>
              <w:rPr>
                <w:color w:val="auto"/>
              </w:rPr>
            </w:pPr>
            <w:r>
              <w:rPr>
                <w:rFonts w:hint="eastAsia"/>
                <w:color w:val="auto"/>
              </w:rPr>
              <w:t>二氧化硫</w:t>
            </w:r>
          </w:p>
        </w:tc>
        <w:tc>
          <w:tcPr>
            <w:tcW w:w="1303" w:type="pct"/>
            <w:vAlign w:val="center"/>
          </w:tcPr>
          <w:p w14:paraId="54AA5D32">
            <w:pPr>
              <w:pStyle w:val="129"/>
              <w:widowControl w:val="0"/>
              <w:rPr>
                <w:color w:val="auto"/>
              </w:rPr>
            </w:pPr>
            <w:r>
              <w:rPr>
                <w:rFonts w:hint="eastAsia"/>
                <w:color w:val="auto"/>
              </w:rPr>
              <w:t>100</w:t>
            </w:r>
          </w:p>
        </w:tc>
        <w:tc>
          <w:tcPr>
            <w:tcW w:w="855" w:type="pct"/>
            <w:vMerge w:val="continue"/>
            <w:vAlign w:val="center"/>
          </w:tcPr>
          <w:p w14:paraId="26C61F35">
            <w:pPr>
              <w:pStyle w:val="129"/>
              <w:widowControl w:val="0"/>
              <w:rPr>
                <w:color w:val="auto"/>
              </w:rPr>
            </w:pPr>
          </w:p>
        </w:tc>
      </w:tr>
      <w:tr w14:paraId="57900DA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5BE74648">
            <w:pPr>
              <w:pStyle w:val="129"/>
              <w:widowControl w:val="0"/>
              <w:rPr>
                <w:color w:val="auto"/>
              </w:rPr>
            </w:pPr>
            <w:r>
              <w:rPr>
                <w:rFonts w:hint="eastAsia"/>
                <w:color w:val="auto"/>
              </w:rPr>
              <w:t>4</w:t>
            </w:r>
          </w:p>
        </w:tc>
        <w:tc>
          <w:tcPr>
            <w:tcW w:w="2115" w:type="pct"/>
            <w:vAlign w:val="center"/>
          </w:tcPr>
          <w:p w14:paraId="528023C1">
            <w:pPr>
              <w:pStyle w:val="129"/>
              <w:widowControl w:val="0"/>
              <w:rPr>
                <w:color w:val="auto"/>
              </w:rPr>
            </w:pPr>
            <w:r>
              <w:rPr>
                <w:rFonts w:hint="eastAsia"/>
                <w:color w:val="auto"/>
              </w:rPr>
              <w:t>镍及其化合物（以镍计）</w:t>
            </w:r>
          </w:p>
        </w:tc>
        <w:tc>
          <w:tcPr>
            <w:tcW w:w="1303" w:type="pct"/>
            <w:vAlign w:val="center"/>
          </w:tcPr>
          <w:p w14:paraId="18E876A9">
            <w:pPr>
              <w:pStyle w:val="129"/>
              <w:widowControl w:val="0"/>
              <w:rPr>
                <w:color w:val="auto"/>
              </w:rPr>
            </w:pPr>
            <w:r>
              <w:rPr>
                <w:rFonts w:hint="eastAsia"/>
                <w:color w:val="auto"/>
              </w:rPr>
              <w:t>4.0</w:t>
            </w:r>
          </w:p>
        </w:tc>
        <w:tc>
          <w:tcPr>
            <w:tcW w:w="855" w:type="pct"/>
            <w:vMerge w:val="continue"/>
            <w:vAlign w:val="center"/>
          </w:tcPr>
          <w:p w14:paraId="291CF92D">
            <w:pPr>
              <w:pStyle w:val="129"/>
              <w:widowControl w:val="0"/>
              <w:rPr>
                <w:color w:val="auto"/>
              </w:rPr>
            </w:pPr>
          </w:p>
        </w:tc>
      </w:tr>
      <w:tr w14:paraId="106CFB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4C67FB55">
            <w:pPr>
              <w:pStyle w:val="129"/>
              <w:widowControl w:val="0"/>
              <w:rPr>
                <w:color w:val="auto"/>
              </w:rPr>
            </w:pPr>
            <w:r>
              <w:rPr>
                <w:rFonts w:hint="eastAsia"/>
                <w:color w:val="auto"/>
              </w:rPr>
              <w:t>5</w:t>
            </w:r>
          </w:p>
        </w:tc>
        <w:tc>
          <w:tcPr>
            <w:tcW w:w="2115" w:type="pct"/>
            <w:vAlign w:val="center"/>
          </w:tcPr>
          <w:p w14:paraId="4C21D2E8">
            <w:pPr>
              <w:pStyle w:val="129"/>
              <w:widowControl w:val="0"/>
              <w:rPr>
                <w:color w:val="auto"/>
              </w:rPr>
            </w:pPr>
            <w:r>
              <w:rPr>
                <w:rFonts w:hint="eastAsia"/>
                <w:color w:val="auto"/>
              </w:rPr>
              <w:t>锰及其化合物（以锰计）</w:t>
            </w:r>
          </w:p>
        </w:tc>
        <w:tc>
          <w:tcPr>
            <w:tcW w:w="1303" w:type="pct"/>
            <w:vAlign w:val="center"/>
          </w:tcPr>
          <w:p w14:paraId="48A4DEC1">
            <w:pPr>
              <w:pStyle w:val="129"/>
              <w:widowControl w:val="0"/>
              <w:rPr>
                <w:color w:val="auto"/>
              </w:rPr>
            </w:pPr>
            <w:r>
              <w:rPr>
                <w:rFonts w:hint="eastAsia"/>
                <w:color w:val="auto"/>
              </w:rPr>
              <w:t>5</w:t>
            </w:r>
          </w:p>
        </w:tc>
        <w:tc>
          <w:tcPr>
            <w:tcW w:w="855" w:type="pct"/>
            <w:vMerge w:val="continue"/>
            <w:vAlign w:val="center"/>
          </w:tcPr>
          <w:p w14:paraId="78026F19">
            <w:pPr>
              <w:pStyle w:val="129"/>
              <w:widowControl w:val="0"/>
              <w:rPr>
                <w:color w:val="auto"/>
              </w:rPr>
            </w:pPr>
          </w:p>
        </w:tc>
      </w:tr>
      <w:tr w14:paraId="12F159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4007D2DC">
            <w:pPr>
              <w:pStyle w:val="129"/>
              <w:widowControl w:val="0"/>
              <w:rPr>
                <w:color w:val="auto"/>
              </w:rPr>
            </w:pPr>
            <w:r>
              <w:rPr>
                <w:rFonts w:hint="eastAsia"/>
                <w:color w:val="auto"/>
              </w:rPr>
              <w:t>6</w:t>
            </w:r>
          </w:p>
        </w:tc>
        <w:tc>
          <w:tcPr>
            <w:tcW w:w="2115" w:type="pct"/>
            <w:vAlign w:val="center"/>
          </w:tcPr>
          <w:p w14:paraId="07311FE3">
            <w:pPr>
              <w:pStyle w:val="129"/>
              <w:widowControl w:val="0"/>
              <w:rPr>
                <w:color w:val="auto"/>
              </w:rPr>
            </w:pPr>
            <w:r>
              <w:rPr>
                <w:rFonts w:hint="eastAsia"/>
                <w:color w:val="auto"/>
              </w:rPr>
              <w:t>铜及其化合物（以铜计）</w:t>
            </w:r>
          </w:p>
        </w:tc>
        <w:tc>
          <w:tcPr>
            <w:tcW w:w="1303" w:type="pct"/>
            <w:vAlign w:val="center"/>
          </w:tcPr>
          <w:p w14:paraId="02A0F267">
            <w:pPr>
              <w:pStyle w:val="129"/>
              <w:widowControl w:val="0"/>
              <w:rPr>
                <w:color w:val="auto"/>
              </w:rPr>
            </w:pPr>
            <w:r>
              <w:rPr>
                <w:rFonts w:hint="eastAsia"/>
                <w:color w:val="auto"/>
              </w:rPr>
              <w:t>5</w:t>
            </w:r>
          </w:p>
        </w:tc>
        <w:tc>
          <w:tcPr>
            <w:tcW w:w="855" w:type="pct"/>
            <w:vMerge w:val="continue"/>
            <w:vAlign w:val="center"/>
          </w:tcPr>
          <w:p w14:paraId="73800FF7">
            <w:pPr>
              <w:pStyle w:val="129"/>
              <w:widowControl w:val="0"/>
              <w:rPr>
                <w:color w:val="auto"/>
              </w:rPr>
            </w:pPr>
          </w:p>
        </w:tc>
      </w:tr>
      <w:tr w14:paraId="55FC67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5005CA32">
            <w:pPr>
              <w:pStyle w:val="129"/>
              <w:widowControl w:val="0"/>
              <w:rPr>
                <w:color w:val="auto"/>
              </w:rPr>
            </w:pPr>
            <w:r>
              <w:rPr>
                <w:rFonts w:hint="eastAsia"/>
                <w:color w:val="auto"/>
              </w:rPr>
              <w:t>7</w:t>
            </w:r>
          </w:p>
        </w:tc>
        <w:tc>
          <w:tcPr>
            <w:tcW w:w="2115" w:type="pct"/>
            <w:vAlign w:val="center"/>
          </w:tcPr>
          <w:p w14:paraId="092AB4B0">
            <w:pPr>
              <w:pStyle w:val="129"/>
              <w:widowControl w:val="0"/>
              <w:rPr>
                <w:color w:val="auto"/>
              </w:rPr>
            </w:pPr>
            <w:r>
              <w:rPr>
                <w:rFonts w:hint="eastAsia"/>
                <w:color w:val="auto"/>
              </w:rPr>
              <w:t>钴及其化合物（以钴计）</w:t>
            </w:r>
          </w:p>
        </w:tc>
        <w:tc>
          <w:tcPr>
            <w:tcW w:w="1303" w:type="pct"/>
            <w:vAlign w:val="center"/>
          </w:tcPr>
          <w:p w14:paraId="46627338">
            <w:pPr>
              <w:pStyle w:val="129"/>
              <w:widowControl w:val="0"/>
              <w:rPr>
                <w:color w:val="auto"/>
              </w:rPr>
            </w:pPr>
            <w:r>
              <w:rPr>
                <w:rFonts w:hint="eastAsia"/>
                <w:color w:val="auto"/>
              </w:rPr>
              <w:t>5</w:t>
            </w:r>
          </w:p>
        </w:tc>
        <w:tc>
          <w:tcPr>
            <w:tcW w:w="855" w:type="pct"/>
            <w:vMerge w:val="continue"/>
            <w:vAlign w:val="center"/>
          </w:tcPr>
          <w:p w14:paraId="49EAF66C">
            <w:pPr>
              <w:pStyle w:val="129"/>
              <w:widowControl w:val="0"/>
              <w:rPr>
                <w:color w:val="auto"/>
              </w:rPr>
            </w:pPr>
          </w:p>
        </w:tc>
      </w:tr>
      <w:tr w14:paraId="466FDB6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4F10D551">
            <w:pPr>
              <w:pStyle w:val="129"/>
              <w:widowControl w:val="0"/>
              <w:rPr>
                <w:color w:val="auto"/>
              </w:rPr>
            </w:pPr>
            <w:r>
              <w:rPr>
                <w:rFonts w:hint="eastAsia"/>
                <w:color w:val="auto"/>
              </w:rPr>
              <w:t>8</w:t>
            </w:r>
          </w:p>
        </w:tc>
        <w:tc>
          <w:tcPr>
            <w:tcW w:w="2115" w:type="pct"/>
            <w:vAlign w:val="center"/>
          </w:tcPr>
          <w:p w14:paraId="53D45592">
            <w:pPr>
              <w:pStyle w:val="129"/>
              <w:widowControl w:val="0"/>
              <w:rPr>
                <w:color w:val="auto"/>
              </w:rPr>
            </w:pPr>
            <w:r>
              <w:rPr>
                <w:rFonts w:hint="eastAsia"/>
                <w:color w:val="auto"/>
              </w:rPr>
              <w:t>钼及其化合物（以钼计）</w:t>
            </w:r>
          </w:p>
        </w:tc>
        <w:tc>
          <w:tcPr>
            <w:tcW w:w="1303" w:type="pct"/>
            <w:vAlign w:val="center"/>
          </w:tcPr>
          <w:p w14:paraId="13E3B761">
            <w:pPr>
              <w:pStyle w:val="129"/>
              <w:widowControl w:val="0"/>
              <w:rPr>
                <w:color w:val="auto"/>
              </w:rPr>
            </w:pPr>
            <w:r>
              <w:rPr>
                <w:rFonts w:hint="eastAsia"/>
                <w:color w:val="auto"/>
              </w:rPr>
              <w:t>5</w:t>
            </w:r>
          </w:p>
        </w:tc>
        <w:tc>
          <w:tcPr>
            <w:tcW w:w="855" w:type="pct"/>
            <w:vMerge w:val="continue"/>
            <w:vAlign w:val="center"/>
          </w:tcPr>
          <w:p w14:paraId="21FEC8F3">
            <w:pPr>
              <w:pStyle w:val="129"/>
              <w:widowControl w:val="0"/>
              <w:rPr>
                <w:color w:val="auto"/>
              </w:rPr>
            </w:pPr>
          </w:p>
        </w:tc>
      </w:tr>
      <w:tr w14:paraId="4DB22C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4C410969">
            <w:pPr>
              <w:pStyle w:val="129"/>
              <w:widowControl w:val="0"/>
              <w:rPr>
                <w:color w:val="auto"/>
              </w:rPr>
            </w:pPr>
            <w:r>
              <w:rPr>
                <w:rFonts w:hint="eastAsia"/>
                <w:color w:val="auto"/>
              </w:rPr>
              <w:t>9</w:t>
            </w:r>
          </w:p>
        </w:tc>
        <w:tc>
          <w:tcPr>
            <w:tcW w:w="2115" w:type="pct"/>
            <w:vAlign w:val="center"/>
          </w:tcPr>
          <w:p w14:paraId="7612D8CF">
            <w:pPr>
              <w:pStyle w:val="129"/>
              <w:widowControl w:val="0"/>
              <w:rPr>
                <w:color w:val="auto"/>
              </w:rPr>
            </w:pPr>
            <w:r>
              <w:rPr>
                <w:rFonts w:hint="eastAsia"/>
                <w:color w:val="auto"/>
              </w:rPr>
              <w:t>锆及其化合物（以锆计）</w:t>
            </w:r>
            <w:r>
              <w:rPr>
                <w:rFonts w:hint="eastAsia"/>
                <w:color w:val="auto"/>
                <w:vertAlign w:val="superscript"/>
              </w:rPr>
              <w:t>(1)</w:t>
            </w:r>
          </w:p>
        </w:tc>
        <w:tc>
          <w:tcPr>
            <w:tcW w:w="1303" w:type="pct"/>
            <w:vAlign w:val="center"/>
          </w:tcPr>
          <w:p w14:paraId="4C146AF8">
            <w:pPr>
              <w:pStyle w:val="129"/>
              <w:widowControl w:val="0"/>
              <w:rPr>
                <w:color w:val="auto"/>
              </w:rPr>
            </w:pPr>
            <w:r>
              <w:rPr>
                <w:rFonts w:hint="eastAsia"/>
                <w:color w:val="auto"/>
              </w:rPr>
              <w:t>5</w:t>
            </w:r>
          </w:p>
        </w:tc>
        <w:tc>
          <w:tcPr>
            <w:tcW w:w="855" w:type="pct"/>
            <w:vMerge w:val="continue"/>
            <w:vAlign w:val="center"/>
          </w:tcPr>
          <w:p w14:paraId="465889FB">
            <w:pPr>
              <w:pStyle w:val="129"/>
              <w:widowControl w:val="0"/>
              <w:rPr>
                <w:color w:val="auto"/>
              </w:rPr>
            </w:pPr>
          </w:p>
        </w:tc>
      </w:tr>
      <w:tr w14:paraId="76D5D4E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47627E9F">
            <w:pPr>
              <w:pStyle w:val="129"/>
              <w:widowControl w:val="0"/>
              <w:rPr>
                <w:color w:val="auto"/>
              </w:rPr>
            </w:pPr>
            <w:r>
              <w:rPr>
                <w:rFonts w:hint="eastAsia"/>
                <w:color w:val="auto"/>
              </w:rPr>
              <w:t>10</w:t>
            </w:r>
          </w:p>
        </w:tc>
        <w:tc>
          <w:tcPr>
            <w:tcW w:w="2115" w:type="pct"/>
            <w:vAlign w:val="center"/>
          </w:tcPr>
          <w:p w14:paraId="28A07C38">
            <w:pPr>
              <w:pStyle w:val="129"/>
              <w:widowControl w:val="0"/>
              <w:rPr>
                <w:color w:val="auto"/>
              </w:rPr>
            </w:pPr>
            <w:r>
              <w:rPr>
                <w:rFonts w:hint="eastAsia"/>
                <w:color w:val="auto"/>
              </w:rPr>
              <w:t>氨</w:t>
            </w:r>
          </w:p>
        </w:tc>
        <w:tc>
          <w:tcPr>
            <w:tcW w:w="1303" w:type="pct"/>
            <w:vAlign w:val="center"/>
          </w:tcPr>
          <w:p w14:paraId="2FCA3DBF">
            <w:pPr>
              <w:pStyle w:val="129"/>
              <w:widowControl w:val="0"/>
              <w:rPr>
                <w:color w:val="auto"/>
              </w:rPr>
            </w:pPr>
            <w:r>
              <w:rPr>
                <w:rFonts w:hint="eastAsia"/>
                <w:color w:val="auto"/>
              </w:rPr>
              <w:t>10</w:t>
            </w:r>
          </w:p>
        </w:tc>
        <w:tc>
          <w:tcPr>
            <w:tcW w:w="855" w:type="pct"/>
            <w:vMerge w:val="continue"/>
            <w:vAlign w:val="center"/>
          </w:tcPr>
          <w:p w14:paraId="7CAF9436">
            <w:pPr>
              <w:pStyle w:val="129"/>
              <w:widowControl w:val="0"/>
              <w:rPr>
                <w:color w:val="auto"/>
              </w:rPr>
            </w:pPr>
          </w:p>
        </w:tc>
      </w:tr>
      <w:tr w14:paraId="2EAFD6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045664F0">
            <w:pPr>
              <w:pStyle w:val="129"/>
              <w:widowControl w:val="0"/>
              <w:rPr>
                <w:color w:val="auto"/>
              </w:rPr>
            </w:pPr>
            <w:r>
              <w:rPr>
                <w:rFonts w:hint="eastAsia"/>
                <w:color w:val="auto"/>
              </w:rPr>
              <w:t>11</w:t>
            </w:r>
          </w:p>
        </w:tc>
        <w:tc>
          <w:tcPr>
            <w:tcW w:w="2115" w:type="pct"/>
            <w:vAlign w:val="center"/>
          </w:tcPr>
          <w:p w14:paraId="016B00C4">
            <w:pPr>
              <w:pStyle w:val="129"/>
              <w:widowControl w:val="0"/>
              <w:rPr>
                <w:color w:val="auto"/>
              </w:rPr>
            </w:pPr>
            <w:r>
              <w:rPr>
                <w:rFonts w:hint="eastAsia"/>
                <w:color w:val="auto"/>
              </w:rPr>
              <w:t>氨</w:t>
            </w:r>
          </w:p>
        </w:tc>
        <w:tc>
          <w:tcPr>
            <w:tcW w:w="1303" w:type="pct"/>
            <w:vAlign w:val="center"/>
          </w:tcPr>
          <w:p w14:paraId="01090DD0">
            <w:pPr>
              <w:pStyle w:val="129"/>
              <w:widowControl w:val="0"/>
              <w:rPr>
                <w:color w:val="auto"/>
              </w:rPr>
            </w:pPr>
            <w:r>
              <w:rPr>
                <w:rFonts w:hint="eastAsia"/>
                <w:color w:val="auto"/>
              </w:rPr>
              <w:t>0.3</w:t>
            </w:r>
          </w:p>
        </w:tc>
        <w:tc>
          <w:tcPr>
            <w:tcW w:w="855" w:type="pct"/>
            <w:vAlign w:val="center"/>
          </w:tcPr>
          <w:p w14:paraId="5363974A">
            <w:pPr>
              <w:pStyle w:val="129"/>
              <w:widowControl w:val="0"/>
              <w:rPr>
                <w:color w:val="auto"/>
              </w:rPr>
            </w:pPr>
            <w:r>
              <w:rPr>
                <w:rFonts w:hint="eastAsia"/>
                <w:color w:val="auto"/>
              </w:rPr>
              <w:t>企业边界</w:t>
            </w:r>
          </w:p>
        </w:tc>
      </w:tr>
      <w:tr w14:paraId="08F157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4"/>
            <w:vAlign w:val="center"/>
          </w:tcPr>
          <w:p w14:paraId="2AB55101">
            <w:pPr>
              <w:pStyle w:val="129"/>
              <w:widowControl w:val="0"/>
              <w:rPr>
                <w:color w:val="auto"/>
              </w:rPr>
            </w:pPr>
            <w:r>
              <w:rPr>
                <w:color w:val="auto"/>
              </w:rPr>
              <w:t>注：（1）待国家污染物监测分析方法标准发布后实施</w:t>
            </w:r>
          </w:p>
        </w:tc>
      </w:tr>
      <w:bookmarkEnd w:id="136"/>
    </w:tbl>
    <w:p w14:paraId="2DBB5ACF">
      <w:pPr>
        <w:pStyle w:val="1304"/>
        <w:rPr>
          <w:color w:val="auto"/>
        </w:rPr>
      </w:pPr>
    </w:p>
    <w:p w14:paraId="07978E32">
      <w:pPr>
        <w:pStyle w:val="1060"/>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6</w:t>
      </w:r>
      <w:r>
        <w:rPr>
          <w:color w:val="auto"/>
          <w:lang w:val="zh-CN"/>
        </w:rPr>
        <w:fldChar w:fldCharType="end"/>
      </w:r>
      <w:r>
        <w:rPr>
          <w:color w:val="auto"/>
        </w:rPr>
        <w:t xml:space="preserve">   废气污染物排放标准（</w:t>
      </w:r>
      <w:r>
        <w:rPr>
          <w:rFonts w:hint="eastAsia"/>
          <w:color w:val="auto"/>
        </w:rPr>
        <w:t>燃气备用锅炉</w:t>
      </w:r>
      <w:r>
        <w:rPr>
          <w:color w:val="auto"/>
        </w:rPr>
        <w:t>）</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277"/>
        <w:gridCol w:w="3718"/>
        <w:gridCol w:w="3791"/>
      </w:tblGrid>
      <w:tr w14:paraId="68CCC5D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727" w:type="pct"/>
            <w:vAlign w:val="center"/>
          </w:tcPr>
          <w:p w14:paraId="5C36C338">
            <w:pPr>
              <w:pStyle w:val="129"/>
              <w:widowControl w:val="0"/>
              <w:rPr>
                <w:color w:val="auto"/>
              </w:rPr>
            </w:pPr>
            <w:r>
              <w:rPr>
                <w:color w:val="auto"/>
              </w:rPr>
              <w:t>序号</w:t>
            </w:r>
          </w:p>
        </w:tc>
        <w:tc>
          <w:tcPr>
            <w:tcW w:w="2116" w:type="pct"/>
            <w:vAlign w:val="center"/>
          </w:tcPr>
          <w:p w14:paraId="3BEC17E1">
            <w:pPr>
              <w:pStyle w:val="129"/>
              <w:widowControl w:val="0"/>
              <w:rPr>
                <w:color w:val="auto"/>
              </w:rPr>
            </w:pPr>
            <w:r>
              <w:rPr>
                <w:color w:val="auto"/>
              </w:rPr>
              <w:t>污染物项目</w:t>
            </w:r>
          </w:p>
        </w:tc>
        <w:tc>
          <w:tcPr>
            <w:tcW w:w="2157" w:type="pct"/>
            <w:vAlign w:val="center"/>
          </w:tcPr>
          <w:p w14:paraId="6B5CF917">
            <w:pPr>
              <w:pStyle w:val="129"/>
              <w:widowControl w:val="0"/>
              <w:rPr>
                <w:color w:val="auto"/>
              </w:rPr>
            </w:pPr>
            <w:r>
              <w:rPr>
                <w:rFonts w:hint="eastAsia"/>
                <w:color w:val="auto"/>
              </w:rPr>
              <w:t>新建燃气锅炉</w:t>
            </w:r>
          </w:p>
        </w:tc>
      </w:tr>
      <w:tr w14:paraId="1EB99F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12CEA4E5">
            <w:pPr>
              <w:pStyle w:val="129"/>
              <w:widowControl w:val="0"/>
              <w:rPr>
                <w:color w:val="auto"/>
                <w:spacing w:val="-4"/>
              </w:rPr>
            </w:pPr>
            <w:r>
              <w:rPr>
                <w:rFonts w:hint="eastAsia"/>
                <w:color w:val="auto"/>
                <w:spacing w:val="-4"/>
              </w:rPr>
              <w:t>1</w:t>
            </w:r>
          </w:p>
        </w:tc>
        <w:tc>
          <w:tcPr>
            <w:tcW w:w="2116" w:type="pct"/>
            <w:vAlign w:val="center"/>
          </w:tcPr>
          <w:p w14:paraId="1C98AC3A">
            <w:pPr>
              <w:pStyle w:val="129"/>
              <w:widowControl w:val="0"/>
              <w:rPr>
                <w:color w:val="auto"/>
              </w:rPr>
            </w:pPr>
            <w:r>
              <w:rPr>
                <w:rFonts w:hint="eastAsia"/>
                <w:color w:val="auto"/>
              </w:rPr>
              <w:t>二氧化硫</w:t>
            </w:r>
          </w:p>
        </w:tc>
        <w:tc>
          <w:tcPr>
            <w:tcW w:w="2157" w:type="pct"/>
            <w:vAlign w:val="center"/>
          </w:tcPr>
          <w:p w14:paraId="2813E80A">
            <w:pPr>
              <w:pStyle w:val="129"/>
              <w:widowControl w:val="0"/>
              <w:rPr>
                <w:color w:val="auto"/>
              </w:rPr>
            </w:pPr>
            <w:r>
              <w:rPr>
                <w:rFonts w:hint="eastAsia"/>
                <w:color w:val="auto"/>
              </w:rPr>
              <w:t>10</w:t>
            </w:r>
          </w:p>
        </w:tc>
      </w:tr>
      <w:tr w14:paraId="03C3C9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522C93DC">
            <w:pPr>
              <w:pStyle w:val="129"/>
              <w:widowControl w:val="0"/>
              <w:rPr>
                <w:color w:val="auto"/>
              </w:rPr>
            </w:pPr>
            <w:r>
              <w:rPr>
                <w:rFonts w:hint="eastAsia"/>
                <w:color w:val="auto"/>
              </w:rPr>
              <w:t>2</w:t>
            </w:r>
          </w:p>
        </w:tc>
        <w:tc>
          <w:tcPr>
            <w:tcW w:w="2116" w:type="pct"/>
            <w:vAlign w:val="center"/>
          </w:tcPr>
          <w:p w14:paraId="1331529D">
            <w:pPr>
              <w:pStyle w:val="129"/>
              <w:widowControl w:val="0"/>
              <w:rPr>
                <w:color w:val="auto"/>
              </w:rPr>
            </w:pPr>
            <w:r>
              <w:rPr>
                <w:rFonts w:hint="eastAsia"/>
                <w:color w:val="auto"/>
              </w:rPr>
              <w:t>氮氧化物</w:t>
            </w:r>
          </w:p>
        </w:tc>
        <w:tc>
          <w:tcPr>
            <w:tcW w:w="2157" w:type="pct"/>
            <w:vAlign w:val="center"/>
          </w:tcPr>
          <w:p w14:paraId="663B15E4">
            <w:pPr>
              <w:pStyle w:val="129"/>
              <w:widowControl w:val="0"/>
              <w:rPr>
                <w:color w:val="auto"/>
              </w:rPr>
            </w:pPr>
            <w:r>
              <w:rPr>
                <w:rFonts w:hint="eastAsia"/>
                <w:color w:val="auto"/>
              </w:rPr>
              <w:t>40</w:t>
            </w:r>
          </w:p>
        </w:tc>
      </w:tr>
      <w:tr w14:paraId="4A05F8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090CC55E">
            <w:pPr>
              <w:pStyle w:val="129"/>
              <w:widowControl w:val="0"/>
              <w:rPr>
                <w:color w:val="auto"/>
              </w:rPr>
            </w:pPr>
            <w:r>
              <w:rPr>
                <w:rFonts w:hint="eastAsia"/>
                <w:color w:val="auto"/>
              </w:rPr>
              <w:t>3</w:t>
            </w:r>
          </w:p>
        </w:tc>
        <w:tc>
          <w:tcPr>
            <w:tcW w:w="2116" w:type="pct"/>
            <w:vAlign w:val="center"/>
          </w:tcPr>
          <w:p w14:paraId="49FC5933">
            <w:pPr>
              <w:pStyle w:val="129"/>
              <w:widowControl w:val="0"/>
              <w:rPr>
                <w:color w:val="auto"/>
              </w:rPr>
            </w:pPr>
            <w:r>
              <w:rPr>
                <w:rFonts w:hint="eastAsia"/>
                <w:color w:val="auto"/>
              </w:rPr>
              <w:t>一氧化碳</w:t>
            </w:r>
          </w:p>
        </w:tc>
        <w:tc>
          <w:tcPr>
            <w:tcW w:w="2157" w:type="pct"/>
            <w:vAlign w:val="center"/>
          </w:tcPr>
          <w:p w14:paraId="70F6E040">
            <w:pPr>
              <w:pStyle w:val="129"/>
              <w:widowControl w:val="0"/>
              <w:rPr>
                <w:color w:val="auto"/>
              </w:rPr>
            </w:pPr>
            <w:r>
              <w:rPr>
                <w:rFonts w:hint="eastAsia"/>
                <w:color w:val="auto"/>
              </w:rPr>
              <w:t>95</w:t>
            </w:r>
          </w:p>
        </w:tc>
      </w:tr>
      <w:tr w14:paraId="68483F5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Align w:val="center"/>
          </w:tcPr>
          <w:p w14:paraId="621E0D05">
            <w:pPr>
              <w:pStyle w:val="129"/>
              <w:widowControl w:val="0"/>
              <w:rPr>
                <w:color w:val="auto"/>
              </w:rPr>
            </w:pPr>
            <w:r>
              <w:rPr>
                <w:rFonts w:hint="eastAsia"/>
                <w:color w:val="auto"/>
              </w:rPr>
              <w:t>4</w:t>
            </w:r>
          </w:p>
        </w:tc>
        <w:tc>
          <w:tcPr>
            <w:tcW w:w="2116" w:type="pct"/>
            <w:vAlign w:val="center"/>
          </w:tcPr>
          <w:p w14:paraId="35E66F0E">
            <w:pPr>
              <w:pStyle w:val="129"/>
              <w:widowControl w:val="0"/>
              <w:rPr>
                <w:color w:val="auto"/>
              </w:rPr>
            </w:pPr>
            <w:r>
              <w:rPr>
                <w:rFonts w:hint="eastAsia"/>
                <w:color w:val="auto"/>
              </w:rPr>
              <w:t>烟气黑度（林格曼，级）</w:t>
            </w:r>
          </w:p>
        </w:tc>
        <w:tc>
          <w:tcPr>
            <w:tcW w:w="2157" w:type="pct"/>
            <w:vAlign w:val="center"/>
          </w:tcPr>
          <w:p w14:paraId="643F37B0">
            <w:pPr>
              <w:pStyle w:val="129"/>
              <w:widowControl w:val="0"/>
              <w:rPr>
                <w:color w:val="auto"/>
              </w:rPr>
            </w:pPr>
            <w:r>
              <w:rPr>
                <w:rFonts w:hint="eastAsia"/>
                <w:color w:val="auto"/>
              </w:rPr>
              <w:t>≤1</w:t>
            </w:r>
          </w:p>
        </w:tc>
      </w:tr>
    </w:tbl>
    <w:p w14:paraId="36B2D5BB">
      <w:pPr>
        <w:pStyle w:val="1060"/>
        <w:rPr>
          <w:color w:val="auto"/>
        </w:rPr>
      </w:pPr>
    </w:p>
    <w:p w14:paraId="05BE3AB5">
      <w:pPr>
        <w:pStyle w:val="5"/>
        <w:rPr>
          <w:color w:val="auto"/>
        </w:rPr>
      </w:pPr>
      <w:r>
        <w:rPr>
          <w:color w:val="auto"/>
        </w:rPr>
        <w:t>废水</w:t>
      </w:r>
    </w:p>
    <w:p w14:paraId="6DDEE813">
      <w:pPr>
        <w:pStyle w:val="132"/>
        <w:rPr>
          <w:color w:val="auto"/>
        </w:rPr>
      </w:pPr>
      <w:r>
        <w:rPr>
          <w:color w:val="auto"/>
        </w:rPr>
        <w:t>根据</w:t>
      </w:r>
      <w:r>
        <w:rPr>
          <w:rFonts w:hint="eastAsia"/>
          <w:color w:val="auto"/>
        </w:rPr>
        <w:t>《乌鲁木齐甘泉堡经济技术开发区（工业区）化工园区总体规划（2023-2035）》园区内企业工业废水排放，有行业标准的，优先执行行业排放标准，无行业排放标准的应执行《污水综合排放标准》（GB/8978-1996）中的三级标准。</w:t>
      </w:r>
    </w:p>
    <w:p w14:paraId="1B7A1532">
      <w:pPr>
        <w:pStyle w:val="132"/>
        <w:rPr>
          <w:color w:val="auto"/>
        </w:rPr>
      </w:pPr>
      <w:r>
        <w:rPr>
          <w:rFonts w:hint="eastAsia"/>
          <w:color w:val="auto"/>
        </w:rPr>
        <w:t>本项目危险废物处理废水主要为各类副产盐产品的冷凝水，包括硝酸铝废酸液处理冷凝水、硫酸铵蒸发冷凝水、液体肥料2蒸发浓缩冷凝水、碳酸钠浓缩冷凝水、水铝石蒸发冷凝水、氢氧化钠浓缩冷凝水，主要含有少量的盐分，</w:t>
      </w:r>
      <w:bookmarkStart w:id="137" w:name="OLE_LINK110"/>
      <w:r>
        <w:rPr>
          <w:rFonts w:hint="eastAsia"/>
          <w:color w:val="auto"/>
        </w:rPr>
        <w:t>水质满足</w:t>
      </w:r>
      <w:bookmarkStart w:id="138" w:name="OLE_LINK83"/>
      <w:r>
        <w:rPr>
          <w:rFonts w:hint="eastAsia"/>
          <w:color w:val="auto"/>
        </w:rPr>
        <w:t>《无机化学工业污染物排放标准》（GB31573-2015）及修改单和</w:t>
      </w:r>
      <w:bookmarkStart w:id="139" w:name="OLE_LINK84"/>
      <w:r>
        <w:rPr>
          <w:rFonts w:hint="eastAsia"/>
          <w:color w:val="auto"/>
        </w:rPr>
        <w:t>《城市污水再生利用  工业用水水质》（GB/T 19923-2024）</w:t>
      </w:r>
      <w:bookmarkEnd w:id="138"/>
      <w:bookmarkEnd w:id="139"/>
      <w:r>
        <w:rPr>
          <w:rFonts w:hint="eastAsia"/>
          <w:color w:val="auto"/>
        </w:rPr>
        <w:t>要求后通过管道送乌鲁木齐众荣电子材料科技有限公司回用。</w:t>
      </w:r>
      <w:bookmarkEnd w:id="137"/>
    </w:p>
    <w:p w14:paraId="358BCF0B">
      <w:pPr>
        <w:pStyle w:val="132"/>
        <w:rPr>
          <w:color w:val="auto"/>
        </w:rPr>
      </w:pPr>
      <w:r>
        <w:rPr>
          <w:rFonts w:hint="eastAsia"/>
          <w:color w:val="auto"/>
        </w:rPr>
        <w:t>循环排污水、生活</w:t>
      </w:r>
      <w:r>
        <w:rPr>
          <w:color w:val="auto"/>
        </w:rPr>
        <w:t>污水满足《污水综合排放标准》（GB/8978-1996）中的三级标准后排入园区下水管网最终送甘泉</w:t>
      </w:r>
      <w:r>
        <w:rPr>
          <w:rFonts w:hint="eastAsia"/>
          <w:color w:val="auto"/>
        </w:rPr>
        <w:t>堡南区污水处理厂处理。</w:t>
      </w:r>
    </w:p>
    <w:p w14:paraId="4F92B575">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r>
        <w:rPr>
          <w:rFonts w:hint="eastAsia"/>
          <w:color w:val="auto"/>
        </w:rPr>
        <w:t xml:space="preserve"> 再生水用作工业用水水质基本控制项目及限值</w:t>
      </w:r>
    </w:p>
    <w:tbl>
      <w:tblPr>
        <w:tblStyle w:val="239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705"/>
        <w:gridCol w:w="3287"/>
        <w:gridCol w:w="3005"/>
        <w:gridCol w:w="1788"/>
      </w:tblGrid>
      <w:tr w14:paraId="0CEFD2D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4A4828E3">
            <w:pPr>
              <w:widowControl w:val="0"/>
              <w:spacing w:line="360" w:lineRule="exact"/>
              <w:jc w:val="center"/>
              <w:rPr>
                <w:rFonts w:eastAsia="Times New Roman"/>
                <w:color w:val="auto"/>
              </w:rPr>
            </w:pPr>
            <w:r>
              <w:rPr>
                <w:rFonts w:hint="eastAsia" w:ascii="宋体" w:hAnsi="宋体" w:eastAsia="Times New Roman" w:cs="宋体"/>
                <w:color w:val="auto"/>
              </w:rPr>
              <w:t>序</w:t>
            </w:r>
            <w:r>
              <w:rPr>
                <w:rFonts w:hint="eastAsia" w:eastAsia="Times New Roman"/>
                <w:color w:val="auto"/>
              </w:rPr>
              <w:t>号</w:t>
            </w:r>
          </w:p>
        </w:tc>
        <w:tc>
          <w:tcPr>
            <w:tcW w:w="1871" w:type="pct"/>
            <w:vAlign w:val="center"/>
          </w:tcPr>
          <w:p w14:paraId="4D556F12">
            <w:pPr>
              <w:widowControl w:val="0"/>
              <w:spacing w:line="360" w:lineRule="exact"/>
              <w:jc w:val="center"/>
              <w:rPr>
                <w:rFonts w:eastAsia="Times New Roman"/>
                <w:color w:val="auto"/>
              </w:rPr>
            </w:pPr>
            <w:r>
              <w:rPr>
                <w:rFonts w:hint="eastAsia" w:eastAsia="Times New Roman"/>
                <w:color w:val="auto"/>
              </w:rPr>
              <w:t>控制项目</w:t>
            </w:r>
          </w:p>
        </w:tc>
        <w:tc>
          <w:tcPr>
            <w:tcW w:w="1710" w:type="pct"/>
            <w:vAlign w:val="center"/>
          </w:tcPr>
          <w:p w14:paraId="6192E0E0">
            <w:pPr>
              <w:widowControl w:val="0"/>
              <w:spacing w:line="360" w:lineRule="exact"/>
              <w:jc w:val="center"/>
              <w:rPr>
                <w:rFonts w:eastAsia="Times New Roman"/>
                <w:color w:val="auto"/>
              </w:rPr>
            </w:pPr>
            <w:r>
              <w:rPr>
                <w:rFonts w:hint="eastAsia" w:eastAsia="Times New Roman"/>
                <w:color w:val="auto"/>
              </w:rPr>
              <w:t>间冷开式循环冷却水补充水、锅炉补给水、工艺用水、产品用水</w:t>
            </w:r>
          </w:p>
        </w:tc>
        <w:tc>
          <w:tcPr>
            <w:tcW w:w="1018" w:type="pct"/>
            <w:vAlign w:val="center"/>
          </w:tcPr>
          <w:p w14:paraId="5AC9DB53">
            <w:pPr>
              <w:widowControl w:val="0"/>
              <w:spacing w:line="360" w:lineRule="exact"/>
              <w:jc w:val="center"/>
              <w:rPr>
                <w:rFonts w:eastAsia="Times New Roman"/>
                <w:color w:val="auto"/>
              </w:rPr>
            </w:pPr>
            <w:r>
              <w:rPr>
                <w:rFonts w:hint="eastAsia" w:eastAsia="Times New Roman"/>
                <w:color w:val="auto"/>
              </w:rPr>
              <w:t>直流冷却水、洗涤用水</w:t>
            </w:r>
          </w:p>
        </w:tc>
      </w:tr>
      <w:tr w14:paraId="7FADABC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6778A48C">
            <w:pPr>
              <w:widowControl w:val="0"/>
              <w:spacing w:line="360" w:lineRule="exact"/>
              <w:jc w:val="center"/>
              <w:rPr>
                <w:rFonts w:eastAsia="Times New Roman"/>
                <w:color w:val="auto"/>
              </w:rPr>
            </w:pPr>
            <w:r>
              <w:rPr>
                <w:rFonts w:hint="eastAsia" w:eastAsia="Times New Roman"/>
                <w:color w:val="auto"/>
              </w:rPr>
              <w:t>1</w:t>
            </w:r>
          </w:p>
        </w:tc>
        <w:tc>
          <w:tcPr>
            <w:tcW w:w="1871" w:type="pct"/>
            <w:vAlign w:val="center"/>
          </w:tcPr>
          <w:p w14:paraId="1A4D8746">
            <w:pPr>
              <w:widowControl w:val="0"/>
              <w:spacing w:line="360" w:lineRule="exact"/>
              <w:jc w:val="center"/>
              <w:rPr>
                <w:rFonts w:eastAsia="Times New Roman"/>
                <w:color w:val="auto"/>
              </w:rPr>
            </w:pPr>
            <w:bookmarkStart w:id="140" w:name="OLE_LINK146"/>
            <w:r>
              <w:rPr>
                <w:rFonts w:hint="eastAsia" w:eastAsia="Times New Roman"/>
                <w:color w:val="auto"/>
              </w:rPr>
              <w:t>pH</w:t>
            </w:r>
            <w:bookmarkEnd w:id="140"/>
            <w:r>
              <w:rPr>
                <w:rFonts w:hint="eastAsia" w:eastAsia="Times New Roman"/>
                <w:color w:val="auto"/>
              </w:rPr>
              <w:t>（无量纲）</w:t>
            </w:r>
          </w:p>
        </w:tc>
        <w:tc>
          <w:tcPr>
            <w:tcW w:w="2727" w:type="pct"/>
            <w:gridSpan w:val="2"/>
            <w:vAlign w:val="center"/>
          </w:tcPr>
          <w:p w14:paraId="2B4B37F0">
            <w:pPr>
              <w:widowControl w:val="0"/>
              <w:spacing w:line="360" w:lineRule="exact"/>
              <w:jc w:val="center"/>
              <w:rPr>
                <w:rFonts w:eastAsia="Times New Roman"/>
                <w:color w:val="auto"/>
              </w:rPr>
            </w:pPr>
            <w:r>
              <w:rPr>
                <w:rFonts w:hint="eastAsia" w:eastAsia="Times New Roman"/>
                <w:color w:val="auto"/>
              </w:rPr>
              <w:t>6.0 ~ 9.0</w:t>
            </w:r>
          </w:p>
        </w:tc>
      </w:tr>
      <w:tr w14:paraId="5484F0B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44A4F1D3">
            <w:pPr>
              <w:widowControl w:val="0"/>
              <w:spacing w:line="360" w:lineRule="exact"/>
              <w:jc w:val="center"/>
              <w:rPr>
                <w:rFonts w:eastAsia="Times New Roman"/>
                <w:color w:val="auto"/>
              </w:rPr>
            </w:pPr>
            <w:r>
              <w:rPr>
                <w:rFonts w:hint="eastAsia" w:eastAsia="Times New Roman"/>
                <w:color w:val="auto"/>
              </w:rPr>
              <w:t>2</w:t>
            </w:r>
          </w:p>
        </w:tc>
        <w:tc>
          <w:tcPr>
            <w:tcW w:w="1871" w:type="pct"/>
            <w:vAlign w:val="center"/>
          </w:tcPr>
          <w:p w14:paraId="06DE0C63">
            <w:pPr>
              <w:widowControl w:val="0"/>
              <w:spacing w:line="360" w:lineRule="exact"/>
              <w:jc w:val="center"/>
              <w:rPr>
                <w:rFonts w:eastAsia="Times New Roman"/>
                <w:color w:val="auto"/>
              </w:rPr>
            </w:pPr>
            <w:r>
              <w:rPr>
                <w:rFonts w:hint="eastAsia" w:eastAsia="Times New Roman"/>
                <w:color w:val="auto"/>
              </w:rPr>
              <w:t>色度/度</w:t>
            </w:r>
          </w:p>
        </w:tc>
        <w:tc>
          <w:tcPr>
            <w:tcW w:w="2727" w:type="pct"/>
            <w:gridSpan w:val="2"/>
            <w:vAlign w:val="center"/>
          </w:tcPr>
          <w:p w14:paraId="0F8DF88D">
            <w:pPr>
              <w:widowControl w:val="0"/>
              <w:spacing w:line="360" w:lineRule="exact"/>
              <w:jc w:val="center"/>
              <w:rPr>
                <w:rFonts w:eastAsia="Times New Roman"/>
                <w:color w:val="auto"/>
              </w:rPr>
            </w:pPr>
            <w:r>
              <w:rPr>
                <w:rFonts w:hint="eastAsia" w:eastAsia="Times New Roman"/>
                <w:color w:val="auto"/>
              </w:rPr>
              <w:t>20</w:t>
            </w:r>
          </w:p>
        </w:tc>
      </w:tr>
      <w:tr w14:paraId="547AA7A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0B1499B8">
            <w:pPr>
              <w:widowControl w:val="0"/>
              <w:spacing w:line="360" w:lineRule="exact"/>
              <w:jc w:val="center"/>
              <w:rPr>
                <w:rFonts w:eastAsia="Times New Roman"/>
                <w:color w:val="auto"/>
              </w:rPr>
            </w:pPr>
            <w:r>
              <w:rPr>
                <w:rFonts w:hint="eastAsia" w:eastAsia="Times New Roman"/>
                <w:color w:val="auto"/>
              </w:rPr>
              <w:t>3</w:t>
            </w:r>
          </w:p>
        </w:tc>
        <w:tc>
          <w:tcPr>
            <w:tcW w:w="1871" w:type="pct"/>
            <w:vAlign w:val="center"/>
          </w:tcPr>
          <w:p w14:paraId="3059E284">
            <w:pPr>
              <w:widowControl w:val="0"/>
              <w:spacing w:line="360" w:lineRule="exact"/>
              <w:jc w:val="center"/>
              <w:rPr>
                <w:rFonts w:eastAsia="Times New Roman"/>
                <w:color w:val="auto"/>
              </w:rPr>
            </w:pPr>
            <w:r>
              <w:rPr>
                <w:rFonts w:hint="eastAsia" w:eastAsia="Times New Roman"/>
                <w:color w:val="auto"/>
              </w:rPr>
              <w:t>浊度/NTU</w:t>
            </w:r>
          </w:p>
        </w:tc>
        <w:tc>
          <w:tcPr>
            <w:tcW w:w="1710" w:type="pct"/>
            <w:vAlign w:val="center"/>
          </w:tcPr>
          <w:p w14:paraId="03539E0D">
            <w:pPr>
              <w:widowControl w:val="0"/>
              <w:spacing w:line="360" w:lineRule="exact"/>
              <w:jc w:val="center"/>
              <w:rPr>
                <w:rFonts w:eastAsia="Times New Roman"/>
                <w:color w:val="auto"/>
              </w:rPr>
            </w:pPr>
            <w:r>
              <w:rPr>
                <w:rFonts w:hint="eastAsia" w:eastAsia="Times New Roman"/>
                <w:color w:val="auto"/>
              </w:rPr>
              <w:t>5</w:t>
            </w:r>
          </w:p>
        </w:tc>
        <w:tc>
          <w:tcPr>
            <w:tcW w:w="1018" w:type="pct"/>
            <w:vAlign w:val="center"/>
          </w:tcPr>
          <w:p w14:paraId="39E2FFC3">
            <w:pPr>
              <w:widowControl w:val="0"/>
              <w:spacing w:line="360" w:lineRule="exact"/>
              <w:jc w:val="center"/>
              <w:rPr>
                <w:rFonts w:eastAsia="Times New Roman"/>
                <w:color w:val="auto"/>
              </w:rPr>
            </w:pPr>
            <w:r>
              <w:rPr>
                <w:rFonts w:hint="eastAsia" w:eastAsia="Times New Roman"/>
                <w:color w:val="auto"/>
              </w:rPr>
              <w:t>—</w:t>
            </w:r>
          </w:p>
        </w:tc>
      </w:tr>
      <w:tr w14:paraId="71628B8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007F3513">
            <w:pPr>
              <w:widowControl w:val="0"/>
              <w:spacing w:line="360" w:lineRule="exact"/>
              <w:jc w:val="center"/>
              <w:rPr>
                <w:rFonts w:eastAsia="Times New Roman"/>
                <w:color w:val="auto"/>
              </w:rPr>
            </w:pPr>
            <w:r>
              <w:rPr>
                <w:rFonts w:hint="eastAsia" w:eastAsia="Times New Roman"/>
                <w:color w:val="auto"/>
              </w:rPr>
              <w:t>4</w:t>
            </w:r>
          </w:p>
        </w:tc>
        <w:tc>
          <w:tcPr>
            <w:tcW w:w="1871" w:type="pct"/>
            <w:vAlign w:val="center"/>
          </w:tcPr>
          <w:p w14:paraId="2B23C73C">
            <w:pPr>
              <w:widowControl w:val="0"/>
              <w:spacing w:line="360" w:lineRule="exact"/>
              <w:jc w:val="center"/>
              <w:rPr>
                <w:rFonts w:eastAsia="Times New Roman"/>
                <w:color w:val="auto"/>
              </w:rPr>
            </w:pPr>
            <w:r>
              <w:rPr>
                <w:rFonts w:hint="eastAsia" w:eastAsia="Times New Roman"/>
                <w:color w:val="auto"/>
              </w:rPr>
              <w:t>五日生化需氧量（BOD</w:t>
            </w:r>
            <w:r>
              <w:rPr>
                <w:rFonts w:hint="eastAsia" w:eastAsia="Times New Roman"/>
                <w:color w:val="auto"/>
                <w:vertAlign w:val="subscript"/>
              </w:rPr>
              <w:t>5</w:t>
            </w:r>
            <w:r>
              <w:rPr>
                <w:rFonts w:hint="eastAsia" w:eastAsia="Times New Roman"/>
                <w:color w:val="auto"/>
              </w:rPr>
              <w:t>）/（mg/L）</w:t>
            </w:r>
          </w:p>
        </w:tc>
        <w:tc>
          <w:tcPr>
            <w:tcW w:w="2727" w:type="pct"/>
            <w:gridSpan w:val="2"/>
            <w:vAlign w:val="center"/>
          </w:tcPr>
          <w:p w14:paraId="169F1E85">
            <w:pPr>
              <w:widowControl w:val="0"/>
              <w:spacing w:line="360" w:lineRule="exact"/>
              <w:jc w:val="center"/>
              <w:rPr>
                <w:rFonts w:eastAsia="Times New Roman"/>
                <w:color w:val="auto"/>
              </w:rPr>
            </w:pPr>
            <w:r>
              <w:rPr>
                <w:rFonts w:hint="eastAsia" w:eastAsia="Times New Roman"/>
                <w:color w:val="auto"/>
              </w:rPr>
              <w:t>10</w:t>
            </w:r>
          </w:p>
        </w:tc>
      </w:tr>
      <w:tr w14:paraId="3C87920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6C8E9204">
            <w:pPr>
              <w:widowControl w:val="0"/>
              <w:spacing w:line="360" w:lineRule="exact"/>
              <w:jc w:val="center"/>
              <w:rPr>
                <w:rFonts w:eastAsia="Times New Roman"/>
                <w:color w:val="auto"/>
              </w:rPr>
            </w:pPr>
            <w:r>
              <w:rPr>
                <w:rFonts w:hint="eastAsia" w:eastAsia="Times New Roman"/>
                <w:color w:val="auto"/>
              </w:rPr>
              <w:t>5</w:t>
            </w:r>
          </w:p>
        </w:tc>
        <w:tc>
          <w:tcPr>
            <w:tcW w:w="1871" w:type="pct"/>
            <w:vAlign w:val="center"/>
          </w:tcPr>
          <w:p w14:paraId="348483E3">
            <w:pPr>
              <w:widowControl w:val="0"/>
              <w:spacing w:line="360" w:lineRule="exact"/>
              <w:jc w:val="center"/>
              <w:rPr>
                <w:rFonts w:eastAsia="Times New Roman"/>
                <w:color w:val="auto"/>
              </w:rPr>
            </w:pPr>
            <w:r>
              <w:rPr>
                <w:rFonts w:hint="eastAsia" w:eastAsia="Times New Roman"/>
                <w:color w:val="auto"/>
              </w:rPr>
              <w:t>化学需氧量（COD）/（mg/L）</w:t>
            </w:r>
          </w:p>
        </w:tc>
        <w:tc>
          <w:tcPr>
            <w:tcW w:w="2727" w:type="pct"/>
            <w:gridSpan w:val="2"/>
            <w:vAlign w:val="center"/>
          </w:tcPr>
          <w:p w14:paraId="5AC46C9C">
            <w:pPr>
              <w:widowControl w:val="0"/>
              <w:spacing w:line="360" w:lineRule="exact"/>
              <w:jc w:val="center"/>
              <w:rPr>
                <w:rFonts w:eastAsia="Times New Roman"/>
                <w:color w:val="auto"/>
              </w:rPr>
            </w:pPr>
            <w:r>
              <w:rPr>
                <w:rFonts w:hint="eastAsia" w:eastAsia="Times New Roman"/>
                <w:color w:val="auto"/>
              </w:rPr>
              <w:t>50</w:t>
            </w:r>
          </w:p>
        </w:tc>
      </w:tr>
      <w:tr w14:paraId="660F852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37F941CD">
            <w:pPr>
              <w:widowControl w:val="0"/>
              <w:spacing w:line="360" w:lineRule="exact"/>
              <w:jc w:val="center"/>
              <w:rPr>
                <w:rFonts w:eastAsia="Times New Roman"/>
                <w:color w:val="auto"/>
              </w:rPr>
            </w:pPr>
            <w:r>
              <w:rPr>
                <w:rFonts w:hint="eastAsia" w:eastAsia="Times New Roman"/>
                <w:color w:val="auto"/>
              </w:rPr>
              <w:t>6</w:t>
            </w:r>
          </w:p>
        </w:tc>
        <w:tc>
          <w:tcPr>
            <w:tcW w:w="1871" w:type="pct"/>
            <w:vAlign w:val="center"/>
          </w:tcPr>
          <w:p w14:paraId="705E1E9A">
            <w:pPr>
              <w:widowControl w:val="0"/>
              <w:spacing w:line="360" w:lineRule="exact"/>
              <w:jc w:val="center"/>
              <w:rPr>
                <w:rFonts w:eastAsia="Times New Roman"/>
                <w:color w:val="auto"/>
              </w:rPr>
            </w:pPr>
            <w:r>
              <w:rPr>
                <w:rFonts w:hint="eastAsia" w:eastAsia="Times New Roman"/>
                <w:color w:val="auto"/>
              </w:rPr>
              <w:t>氨氮（以N计）/（mg/L）</w:t>
            </w:r>
          </w:p>
        </w:tc>
        <w:tc>
          <w:tcPr>
            <w:tcW w:w="2727" w:type="pct"/>
            <w:gridSpan w:val="2"/>
            <w:vAlign w:val="center"/>
          </w:tcPr>
          <w:p w14:paraId="65C8DE92">
            <w:pPr>
              <w:widowControl w:val="0"/>
              <w:spacing w:line="360" w:lineRule="exact"/>
              <w:jc w:val="center"/>
              <w:rPr>
                <w:rFonts w:eastAsia="Times New Roman"/>
                <w:color w:val="auto"/>
              </w:rPr>
            </w:pPr>
            <w:r>
              <w:rPr>
                <w:rFonts w:hint="eastAsia" w:eastAsia="Times New Roman"/>
                <w:color w:val="auto"/>
              </w:rPr>
              <w:t>5</w:t>
            </w:r>
            <w:r>
              <w:rPr>
                <w:rFonts w:hint="eastAsia" w:eastAsia="Times New Roman"/>
                <w:color w:val="auto"/>
                <w:vertAlign w:val="superscript"/>
              </w:rPr>
              <w:t>a</w:t>
            </w:r>
          </w:p>
        </w:tc>
      </w:tr>
      <w:tr w14:paraId="4F96FBE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7C73AAD0">
            <w:pPr>
              <w:widowControl w:val="0"/>
              <w:spacing w:line="360" w:lineRule="exact"/>
              <w:jc w:val="center"/>
              <w:rPr>
                <w:rFonts w:eastAsia="Times New Roman"/>
                <w:color w:val="auto"/>
              </w:rPr>
            </w:pPr>
            <w:r>
              <w:rPr>
                <w:rFonts w:hint="eastAsia" w:eastAsia="Times New Roman"/>
                <w:color w:val="auto"/>
              </w:rPr>
              <w:t>7</w:t>
            </w:r>
          </w:p>
        </w:tc>
        <w:tc>
          <w:tcPr>
            <w:tcW w:w="1871" w:type="pct"/>
            <w:vAlign w:val="center"/>
          </w:tcPr>
          <w:p w14:paraId="7C6CED9D">
            <w:pPr>
              <w:widowControl w:val="0"/>
              <w:spacing w:line="360" w:lineRule="exact"/>
              <w:jc w:val="center"/>
              <w:rPr>
                <w:rFonts w:eastAsia="Times New Roman"/>
                <w:color w:val="auto"/>
              </w:rPr>
            </w:pPr>
            <w:r>
              <w:rPr>
                <w:rFonts w:hint="eastAsia" w:eastAsia="Times New Roman"/>
                <w:color w:val="auto"/>
              </w:rPr>
              <w:t>总氮（以N计）/（mg/L）</w:t>
            </w:r>
          </w:p>
        </w:tc>
        <w:tc>
          <w:tcPr>
            <w:tcW w:w="2727" w:type="pct"/>
            <w:gridSpan w:val="2"/>
            <w:vAlign w:val="center"/>
          </w:tcPr>
          <w:p w14:paraId="79E48A35">
            <w:pPr>
              <w:widowControl w:val="0"/>
              <w:spacing w:line="360" w:lineRule="exact"/>
              <w:jc w:val="center"/>
              <w:rPr>
                <w:rFonts w:eastAsia="Times New Roman"/>
                <w:color w:val="auto"/>
              </w:rPr>
            </w:pPr>
            <w:r>
              <w:rPr>
                <w:rFonts w:hint="eastAsia" w:eastAsia="Times New Roman"/>
                <w:color w:val="auto"/>
              </w:rPr>
              <w:t>15</w:t>
            </w:r>
          </w:p>
        </w:tc>
      </w:tr>
      <w:tr w14:paraId="66A36A8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6E4BA9DB">
            <w:pPr>
              <w:widowControl w:val="0"/>
              <w:spacing w:line="360" w:lineRule="exact"/>
              <w:jc w:val="center"/>
              <w:rPr>
                <w:rFonts w:eastAsia="Times New Roman"/>
                <w:color w:val="auto"/>
              </w:rPr>
            </w:pPr>
            <w:r>
              <w:rPr>
                <w:rFonts w:hint="eastAsia" w:eastAsia="Times New Roman"/>
                <w:color w:val="auto"/>
              </w:rPr>
              <w:t>8</w:t>
            </w:r>
          </w:p>
        </w:tc>
        <w:tc>
          <w:tcPr>
            <w:tcW w:w="1871" w:type="pct"/>
            <w:vAlign w:val="center"/>
          </w:tcPr>
          <w:p w14:paraId="67C032F0">
            <w:pPr>
              <w:widowControl w:val="0"/>
              <w:spacing w:line="360" w:lineRule="exact"/>
              <w:jc w:val="center"/>
              <w:rPr>
                <w:rFonts w:eastAsia="Times New Roman"/>
                <w:color w:val="auto"/>
              </w:rPr>
            </w:pPr>
            <w:r>
              <w:rPr>
                <w:rFonts w:hint="eastAsia" w:eastAsia="Times New Roman"/>
                <w:color w:val="auto"/>
              </w:rPr>
              <w:t>总磷（以P计）/（mg/L）</w:t>
            </w:r>
          </w:p>
        </w:tc>
        <w:tc>
          <w:tcPr>
            <w:tcW w:w="2727" w:type="pct"/>
            <w:gridSpan w:val="2"/>
            <w:vAlign w:val="center"/>
          </w:tcPr>
          <w:p w14:paraId="536F0F1B">
            <w:pPr>
              <w:widowControl w:val="0"/>
              <w:spacing w:line="360" w:lineRule="exact"/>
              <w:jc w:val="center"/>
              <w:rPr>
                <w:rFonts w:eastAsia="Times New Roman"/>
                <w:color w:val="auto"/>
              </w:rPr>
            </w:pPr>
            <w:r>
              <w:rPr>
                <w:rFonts w:hint="eastAsia" w:eastAsia="Times New Roman"/>
                <w:color w:val="auto"/>
              </w:rPr>
              <w:t>0.5</w:t>
            </w:r>
          </w:p>
        </w:tc>
      </w:tr>
      <w:tr w14:paraId="4C43896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263BAB12">
            <w:pPr>
              <w:widowControl w:val="0"/>
              <w:spacing w:line="360" w:lineRule="exact"/>
              <w:jc w:val="center"/>
              <w:rPr>
                <w:rFonts w:eastAsia="Times New Roman"/>
                <w:color w:val="auto"/>
              </w:rPr>
            </w:pPr>
            <w:r>
              <w:rPr>
                <w:rFonts w:hint="eastAsia" w:eastAsia="Times New Roman"/>
                <w:color w:val="auto"/>
              </w:rPr>
              <w:t>9</w:t>
            </w:r>
          </w:p>
        </w:tc>
        <w:tc>
          <w:tcPr>
            <w:tcW w:w="1871" w:type="pct"/>
            <w:vAlign w:val="center"/>
          </w:tcPr>
          <w:p w14:paraId="5A1E9114">
            <w:pPr>
              <w:widowControl w:val="0"/>
              <w:spacing w:line="360" w:lineRule="exact"/>
              <w:jc w:val="center"/>
              <w:rPr>
                <w:rFonts w:eastAsia="Times New Roman"/>
                <w:color w:val="auto"/>
              </w:rPr>
            </w:pPr>
            <w:r>
              <w:rPr>
                <w:rFonts w:hint="eastAsia" w:eastAsia="Times New Roman"/>
                <w:color w:val="auto"/>
              </w:rPr>
              <w:t>阴离子表面活性剂/（mg/L）</w:t>
            </w:r>
          </w:p>
        </w:tc>
        <w:tc>
          <w:tcPr>
            <w:tcW w:w="2727" w:type="pct"/>
            <w:gridSpan w:val="2"/>
            <w:vAlign w:val="center"/>
          </w:tcPr>
          <w:p w14:paraId="61B0874D">
            <w:pPr>
              <w:widowControl w:val="0"/>
              <w:spacing w:line="360" w:lineRule="exact"/>
              <w:jc w:val="center"/>
              <w:rPr>
                <w:rFonts w:eastAsia="Times New Roman"/>
                <w:color w:val="auto"/>
              </w:rPr>
            </w:pPr>
            <w:r>
              <w:rPr>
                <w:rFonts w:hint="eastAsia" w:eastAsia="Times New Roman"/>
                <w:color w:val="auto"/>
              </w:rPr>
              <w:t>0.5</w:t>
            </w:r>
          </w:p>
        </w:tc>
      </w:tr>
      <w:tr w14:paraId="78021E8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55FB6553">
            <w:pPr>
              <w:widowControl w:val="0"/>
              <w:spacing w:line="360" w:lineRule="exact"/>
              <w:jc w:val="center"/>
              <w:rPr>
                <w:rFonts w:eastAsia="Times New Roman"/>
                <w:color w:val="auto"/>
              </w:rPr>
            </w:pPr>
            <w:r>
              <w:rPr>
                <w:rFonts w:hint="eastAsia" w:eastAsia="Times New Roman"/>
                <w:color w:val="auto"/>
              </w:rPr>
              <w:t>10</w:t>
            </w:r>
          </w:p>
        </w:tc>
        <w:tc>
          <w:tcPr>
            <w:tcW w:w="1871" w:type="pct"/>
            <w:vAlign w:val="center"/>
          </w:tcPr>
          <w:p w14:paraId="286AF560">
            <w:pPr>
              <w:widowControl w:val="0"/>
              <w:spacing w:line="360" w:lineRule="exact"/>
              <w:jc w:val="center"/>
              <w:rPr>
                <w:rFonts w:eastAsia="Times New Roman"/>
                <w:color w:val="auto"/>
              </w:rPr>
            </w:pPr>
            <w:r>
              <w:rPr>
                <w:rFonts w:hint="eastAsia" w:eastAsia="Times New Roman"/>
                <w:color w:val="auto"/>
              </w:rPr>
              <w:t>石油类/（mg/L）</w:t>
            </w:r>
          </w:p>
        </w:tc>
        <w:tc>
          <w:tcPr>
            <w:tcW w:w="2727" w:type="pct"/>
            <w:gridSpan w:val="2"/>
            <w:vAlign w:val="center"/>
          </w:tcPr>
          <w:p w14:paraId="2A541DA5">
            <w:pPr>
              <w:widowControl w:val="0"/>
              <w:spacing w:line="360" w:lineRule="exact"/>
              <w:jc w:val="center"/>
              <w:rPr>
                <w:rFonts w:eastAsia="Times New Roman"/>
                <w:color w:val="auto"/>
              </w:rPr>
            </w:pPr>
            <w:r>
              <w:rPr>
                <w:rFonts w:hint="eastAsia" w:eastAsia="Times New Roman"/>
                <w:color w:val="auto"/>
              </w:rPr>
              <w:t>1.0</w:t>
            </w:r>
          </w:p>
        </w:tc>
      </w:tr>
      <w:tr w14:paraId="375C09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0459135C">
            <w:pPr>
              <w:widowControl w:val="0"/>
              <w:spacing w:line="360" w:lineRule="exact"/>
              <w:jc w:val="center"/>
              <w:rPr>
                <w:rFonts w:eastAsia="Times New Roman"/>
                <w:color w:val="auto"/>
              </w:rPr>
            </w:pPr>
            <w:r>
              <w:rPr>
                <w:rFonts w:hint="eastAsia" w:eastAsia="Times New Roman"/>
                <w:color w:val="auto"/>
              </w:rPr>
              <w:t>11</w:t>
            </w:r>
          </w:p>
        </w:tc>
        <w:tc>
          <w:tcPr>
            <w:tcW w:w="1871" w:type="pct"/>
            <w:vAlign w:val="center"/>
          </w:tcPr>
          <w:p w14:paraId="68485177">
            <w:pPr>
              <w:widowControl w:val="0"/>
              <w:spacing w:line="360" w:lineRule="exact"/>
              <w:jc w:val="center"/>
              <w:rPr>
                <w:rFonts w:eastAsia="Times New Roman"/>
                <w:color w:val="auto"/>
              </w:rPr>
            </w:pPr>
            <w:r>
              <w:rPr>
                <w:rFonts w:hint="eastAsia" w:eastAsia="Times New Roman"/>
                <w:color w:val="auto"/>
              </w:rPr>
              <w:t>总碱度（以CaCO</w:t>
            </w:r>
            <w:r>
              <w:rPr>
                <w:rFonts w:hint="eastAsia" w:eastAsia="Times New Roman"/>
                <w:color w:val="auto"/>
                <w:vertAlign w:val="subscript"/>
              </w:rPr>
              <w:t>3</w:t>
            </w:r>
            <w:r>
              <w:rPr>
                <w:rFonts w:hint="eastAsia" w:eastAsia="Times New Roman"/>
                <w:color w:val="auto"/>
              </w:rPr>
              <w:t>计）/（mg/L）</w:t>
            </w:r>
          </w:p>
        </w:tc>
        <w:tc>
          <w:tcPr>
            <w:tcW w:w="2727" w:type="pct"/>
            <w:gridSpan w:val="2"/>
            <w:vAlign w:val="center"/>
          </w:tcPr>
          <w:p w14:paraId="396A200B">
            <w:pPr>
              <w:widowControl w:val="0"/>
              <w:spacing w:line="360" w:lineRule="exact"/>
              <w:jc w:val="center"/>
              <w:rPr>
                <w:rFonts w:eastAsia="Times New Roman"/>
                <w:color w:val="auto"/>
              </w:rPr>
            </w:pPr>
            <w:r>
              <w:rPr>
                <w:rFonts w:hint="eastAsia" w:eastAsia="Times New Roman"/>
                <w:color w:val="auto"/>
              </w:rPr>
              <w:t>350</w:t>
            </w:r>
          </w:p>
        </w:tc>
      </w:tr>
      <w:tr w14:paraId="149D03B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60DFCD36">
            <w:pPr>
              <w:widowControl w:val="0"/>
              <w:spacing w:line="360" w:lineRule="exact"/>
              <w:jc w:val="center"/>
              <w:rPr>
                <w:rFonts w:eastAsia="Times New Roman"/>
                <w:color w:val="auto"/>
              </w:rPr>
            </w:pPr>
            <w:r>
              <w:rPr>
                <w:rFonts w:hint="eastAsia" w:eastAsia="Times New Roman"/>
                <w:color w:val="auto"/>
              </w:rPr>
              <w:t>12</w:t>
            </w:r>
          </w:p>
        </w:tc>
        <w:tc>
          <w:tcPr>
            <w:tcW w:w="1871" w:type="pct"/>
            <w:vAlign w:val="center"/>
          </w:tcPr>
          <w:p w14:paraId="04D072B4">
            <w:pPr>
              <w:widowControl w:val="0"/>
              <w:spacing w:line="360" w:lineRule="exact"/>
              <w:jc w:val="center"/>
              <w:rPr>
                <w:rFonts w:eastAsia="Times New Roman"/>
                <w:color w:val="auto"/>
              </w:rPr>
            </w:pPr>
            <w:r>
              <w:rPr>
                <w:rFonts w:hint="eastAsia" w:eastAsia="Times New Roman"/>
                <w:color w:val="auto"/>
              </w:rPr>
              <w:t>总硬度（以CaCO</w:t>
            </w:r>
            <w:r>
              <w:rPr>
                <w:rFonts w:hint="eastAsia" w:eastAsia="Times New Roman"/>
                <w:color w:val="auto"/>
                <w:vertAlign w:val="subscript"/>
              </w:rPr>
              <w:t>3</w:t>
            </w:r>
            <w:r>
              <w:rPr>
                <w:rFonts w:hint="eastAsia" w:eastAsia="Times New Roman"/>
                <w:color w:val="auto"/>
              </w:rPr>
              <w:t>计）/（mg/L）</w:t>
            </w:r>
          </w:p>
        </w:tc>
        <w:tc>
          <w:tcPr>
            <w:tcW w:w="2727" w:type="pct"/>
            <w:gridSpan w:val="2"/>
            <w:vAlign w:val="center"/>
          </w:tcPr>
          <w:p w14:paraId="4BCD0DF3">
            <w:pPr>
              <w:widowControl w:val="0"/>
              <w:spacing w:line="360" w:lineRule="exact"/>
              <w:jc w:val="center"/>
              <w:rPr>
                <w:rFonts w:eastAsia="Times New Roman"/>
                <w:color w:val="auto"/>
              </w:rPr>
            </w:pPr>
            <w:r>
              <w:rPr>
                <w:rFonts w:hint="eastAsia" w:eastAsia="Times New Roman"/>
                <w:color w:val="auto"/>
              </w:rPr>
              <w:t>450</w:t>
            </w:r>
          </w:p>
        </w:tc>
      </w:tr>
      <w:tr w14:paraId="481F518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66A42E30">
            <w:pPr>
              <w:widowControl w:val="0"/>
              <w:spacing w:line="360" w:lineRule="exact"/>
              <w:jc w:val="center"/>
              <w:rPr>
                <w:rFonts w:eastAsia="Times New Roman"/>
                <w:color w:val="auto"/>
              </w:rPr>
            </w:pPr>
            <w:r>
              <w:rPr>
                <w:rFonts w:hint="eastAsia" w:eastAsia="Times New Roman"/>
                <w:color w:val="auto"/>
              </w:rPr>
              <w:t>13</w:t>
            </w:r>
          </w:p>
        </w:tc>
        <w:tc>
          <w:tcPr>
            <w:tcW w:w="1871" w:type="pct"/>
            <w:vAlign w:val="center"/>
          </w:tcPr>
          <w:p w14:paraId="438CD5CF">
            <w:pPr>
              <w:widowControl w:val="0"/>
              <w:spacing w:line="360" w:lineRule="exact"/>
              <w:jc w:val="center"/>
              <w:rPr>
                <w:rFonts w:eastAsia="Times New Roman"/>
                <w:color w:val="auto"/>
              </w:rPr>
            </w:pPr>
            <w:r>
              <w:rPr>
                <w:rFonts w:hint="eastAsia" w:eastAsia="Times New Roman"/>
                <w:color w:val="auto"/>
              </w:rPr>
              <w:t>溶解性总固体/（mg/L）</w:t>
            </w:r>
          </w:p>
        </w:tc>
        <w:tc>
          <w:tcPr>
            <w:tcW w:w="1710" w:type="pct"/>
            <w:vAlign w:val="center"/>
          </w:tcPr>
          <w:p w14:paraId="0CF32F08">
            <w:pPr>
              <w:widowControl w:val="0"/>
              <w:spacing w:line="360" w:lineRule="exact"/>
              <w:jc w:val="center"/>
              <w:rPr>
                <w:rFonts w:eastAsia="Times New Roman"/>
                <w:color w:val="auto"/>
              </w:rPr>
            </w:pPr>
            <w:r>
              <w:rPr>
                <w:rFonts w:hint="eastAsia" w:eastAsia="Times New Roman"/>
                <w:color w:val="auto"/>
              </w:rPr>
              <w:t>1000</w:t>
            </w:r>
          </w:p>
        </w:tc>
        <w:tc>
          <w:tcPr>
            <w:tcW w:w="1018" w:type="pct"/>
            <w:vAlign w:val="center"/>
          </w:tcPr>
          <w:p w14:paraId="68600EA9">
            <w:pPr>
              <w:widowControl w:val="0"/>
              <w:spacing w:line="360" w:lineRule="exact"/>
              <w:jc w:val="center"/>
              <w:rPr>
                <w:rFonts w:eastAsia="Times New Roman"/>
                <w:color w:val="auto"/>
              </w:rPr>
            </w:pPr>
            <w:r>
              <w:rPr>
                <w:rFonts w:hint="eastAsia" w:eastAsia="Times New Roman"/>
                <w:color w:val="auto"/>
              </w:rPr>
              <w:t>1500</w:t>
            </w:r>
          </w:p>
        </w:tc>
      </w:tr>
      <w:tr w14:paraId="0AC12EA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74882DC4">
            <w:pPr>
              <w:widowControl w:val="0"/>
              <w:spacing w:line="360" w:lineRule="exact"/>
              <w:jc w:val="center"/>
              <w:rPr>
                <w:rFonts w:eastAsia="Times New Roman"/>
                <w:color w:val="auto"/>
              </w:rPr>
            </w:pPr>
            <w:r>
              <w:rPr>
                <w:rFonts w:hint="eastAsia" w:eastAsia="Times New Roman"/>
                <w:color w:val="auto"/>
              </w:rPr>
              <w:t>14</w:t>
            </w:r>
          </w:p>
        </w:tc>
        <w:tc>
          <w:tcPr>
            <w:tcW w:w="1871" w:type="pct"/>
            <w:vAlign w:val="center"/>
          </w:tcPr>
          <w:p w14:paraId="2750A41A">
            <w:pPr>
              <w:widowControl w:val="0"/>
              <w:spacing w:line="360" w:lineRule="exact"/>
              <w:jc w:val="center"/>
              <w:rPr>
                <w:rFonts w:eastAsia="Times New Roman"/>
                <w:color w:val="auto"/>
              </w:rPr>
            </w:pPr>
            <w:r>
              <w:rPr>
                <w:rFonts w:hint="eastAsia" w:eastAsia="Times New Roman"/>
                <w:color w:val="auto"/>
              </w:rPr>
              <w:t>氯化物/（mg/L）</w:t>
            </w:r>
          </w:p>
        </w:tc>
        <w:tc>
          <w:tcPr>
            <w:tcW w:w="1710" w:type="pct"/>
            <w:vAlign w:val="center"/>
          </w:tcPr>
          <w:p w14:paraId="5BB44280">
            <w:pPr>
              <w:widowControl w:val="0"/>
              <w:spacing w:line="360" w:lineRule="exact"/>
              <w:jc w:val="center"/>
              <w:rPr>
                <w:rFonts w:eastAsia="Times New Roman"/>
                <w:color w:val="auto"/>
              </w:rPr>
            </w:pPr>
            <w:r>
              <w:rPr>
                <w:rFonts w:hint="eastAsia" w:eastAsia="Times New Roman"/>
                <w:color w:val="auto"/>
              </w:rPr>
              <w:t>250</w:t>
            </w:r>
          </w:p>
        </w:tc>
        <w:tc>
          <w:tcPr>
            <w:tcW w:w="1018" w:type="pct"/>
            <w:vAlign w:val="center"/>
          </w:tcPr>
          <w:p w14:paraId="2D680629">
            <w:pPr>
              <w:widowControl w:val="0"/>
              <w:spacing w:line="360" w:lineRule="exact"/>
              <w:jc w:val="center"/>
              <w:rPr>
                <w:rFonts w:eastAsia="Times New Roman"/>
                <w:color w:val="auto"/>
              </w:rPr>
            </w:pPr>
            <w:r>
              <w:rPr>
                <w:rFonts w:hint="eastAsia" w:eastAsia="Times New Roman"/>
                <w:color w:val="auto"/>
              </w:rPr>
              <w:t>400</w:t>
            </w:r>
          </w:p>
        </w:tc>
      </w:tr>
      <w:tr w14:paraId="2D373AB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3028B69C">
            <w:pPr>
              <w:widowControl w:val="0"/>
              <w:spacing w:line="360" w:lineRule="exact"/>
              <w:jc w:val="center"/>
              <w:rPr>
                <w:rFonts w:eastAsia="Times New Roman"/>
                <w:color w:val="auto"/>
              </w:rPr>
            </w:pPr>
            <w:r>
              <w:rPr>
                <w:rFonts w:hint="eastAsia" w:eastAsia="Times New Roman"/>
                <w:color w:val="auto"/>
              </w:rPr>
              <w:t>15</w:t>
            </w:r>
          </w:p>
        </w:tc>
        <w:tc>
          <w:tcPr>
            <w:tcW w:w="1871" w:type="pct"/>
            <w:vAlign w:val="center"/>
          </w:tcPr>
          <w:p w14:paraId="24F239A4">
            <w:pPr>
              <w:widowControl w:val="0"/>
              <w:spacing w:line="360" w:lineRule="exact"/>
              <w:jc w:val="center"/>
              <w:rPr>
                <w:rFonts w:eastAsia="Times New Roman"/>
                <w:color w:val="auto"/>
              </w:rPr>
            </w:pPr>
            <w:r>
              <w:rPr>
                <w:rFonts w:hint="eastAsia" w:eastAsia="Times New Roman"/>
                <w:color w:val="auto"/>
              </w:rPr>
              <w:t>硫酸盐（以SO</w:t>
            </w:r>
            <w:r>
              <w:rPr>
                <w:rFonts w:hint="eastAsia" w:eastAsia="Times New Roman"/>
                <w:color w:val="auto"/>
                <w:vertAlign w:val="subscript"/>
              </w:rPr>
              <w:t>4</w:t>
            </w:r>
            <w:r>
              <w:rPr>
                <w:rFonts w:hint="eastAsia" w:eastAsia="Times New Roman"/>
                <w:color w:val="auto"/>
                <w:vertAlign w:val="superscript"/>
              </w:rPr>
              <w:t>2-</w:t>
            </w:r>
            <w:r>
              <w:rPr>
                <w:rFonts w:hint="eastAsia" w:eastAsia="Times New Roman"/>
                <w:color w:val="auto"/>
              </w:rPr>
              <w:t>计）/（mg/L）</w:t>
            </w:r>
          </w:p>
        </w:tc>
        <w:tc>
          <w:tcPr>
            <w:tcW w:w="1710" w:type="pct"/>
            <w:vAlign w:val="center"/>
          </w:tcPr>
          <w:p w14:paraId="7B9A208A">
            <w:pPr>
              <w:widowControl w:val="0"/>
              <w:spacing w:line="360" w:lineRule="exact"/>
              <w:jc w:val="center"/>
              <w:rPr>
                <w:rFonts w:eastAsia="Times New Roman"/>
                <w:color w:val="auto"/>
              </w:rPr>
            </w:pPr>
            <w:r>
              <w:rPr>
                <w:rFonts w:hint="eastAsia" w:eastAsia="Times New Roman"/>
                <w:color w:val="auto"/>
              </w:rPr>
              <w:t>250</w:t>
            </w:r>
          </w:p>
        </w:tc>
        <w:tc>
          <w:tcPr>
            <w:tcW w:w="1018" w:type="pct"/>
            <w:vAlign w:val="center"/>
          </w:tcPr>
          <w:p w14:paraId="62DF57C6">
            <w:pPr>
              <w:widowControl w:val="0"/>
              <w:spacing w:line="360" w:lineRule="exact"/>
              <w:jc w:val="center"/>
              <w:rPr>
                <w:rFonts w:eastAsia="Times New Roman"/>
                <w:color w:val="auto"/>
              </w:rPr>
            </w:pPr>
            <w:r>
              <w:rPr>
                <w:rFonts w:hint="eastAsia" w:eastAsia="Times New Roman"/>
                <w:color w:val="auto"/>
              </w:rPr>
              <w:t>600</w:t>
            </w:r>
          </w:p>
        </w:tc>
      </w:tr>
      <w:tr w14:paraId="5A92651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3AD38A7E">
            <w:pPr>
              <w:widowControl w:val="0"/>
              <w:spacing w:line="360" w:lineRule="exact"/>
              <w:jc w:val="center"/>
              <w:rPr>
                <w:rFonts w:eastAsia="Times New Roman"/>
                <w:color w:val="auto"/>
              </w:rPr>
            </w:pPr>
            <w:r>
              <w:rPr>
                <w:rFonts w:hint="eastAsia" w:eastAsia="Times New Roman"/>
                <w:color w:val="auto"/>
              </w:rPr>
              <w:t>16</w:t>
            </w:r>
          </w:p>
        </w:tc>
        <w:tc>
          <w:tcPr>
            <w:tcW w:w="1871" w:type="pct"/>
            <w:vAlign w:val="center"/>
          </w:tcPr>
          <w:p w14:paraId="6074D6B8">
            <w:pPr>
              <w:widowControl w:val="0"/>
              <w:spacing w:line="360" w:lineRule="exact"/>
              <w:jc w:val="center"/>
              <w:rPr>
                <w:rFonts w:eastAsia="Times New Roman"/>
                <w:color w:val="auto"/>
              </w:rPr>
            </w:pPr>
            <w:r>
              <w:rPr>
                <w:rFonts w:hint="eastAsia" w:eastAsia="Times New Roman"/>
                <w:color w:val="auto"/>
              </w:rPr>
              <w:t>铁/（mg/L）</w:t>
            </w:r>
          </w:p>
        </w:tc>
        <w:tc>
          <w:tcPr>
            <w:tcW w:w="1710" w:type="pct"/>
            <w:vAlign w:val="center"/>
          </w:tcPr>
          <w:p w14:paraId="7D5E2D9A">
            <w:pPr>
              <w:widowControl w:val="0"/>
              <w:spacing w:line="360" w:lineRule="exact"/>
              <w:jc w:val="center"/>
              <w:rPr>
                <w:rFonts w:eastAsia="Times New Roman"/>
                <w:color w:val="auto"/>
              </w:rPr>
            </w:pPr>
            <w:r>
              <w:rPr>
                <w:rFonts w:hint="eastAsia" w:eastAsia="Times New Roman"/>
                <w:color w:val="auto"/>
              </w:rPr>
              <w:t>0.3</w:t>
            </w:r>
          </w:p>
        </w:tc>
        <w:tc>
          <w:tcPr>
            <w:tcW w:w="1018" w:type="pct"/>
            <w:vAlign w:val="center"/>
          </w:tcPr>
          <w:p w14:paraId="21086834">
            <w:pPr>
              <w:widowControl w:val="0"/>
              <w:spacing w:line="360" w:lineRule="exact"/>
              <w:jc w:val="center"/>
              <w:rPr>
                <w:rFonts w:eastAsia="Times New Roman"/>
                <w:color w:val="auto"/>
              </w:rPr>
            </w:pPr>
            <w:r>
              <w:rPr>
                <w:rFonts w:hint="eastAsia" w:eastAsia="Times New Roman"/>
                <w:color w:val="auto"/>
              </w:rPr>
              <w:t>0.5</w:t>
            </w:r>
          </w:p>
        </w:tc>
      </w:tr>
      <w:tr w14:paraId="481F49A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3D3CE0CC">
            <w:pPr>
              <w:widowControl w:val="0"/>
              <w:spacing w:line="360" w:lineRule="exact"/>
              <w:jc w:val="center"/>
              <w:rPr>
                <w:rFonts w:eastAsia="Times New Roman"/>
                <w:color w:val="auto"/>
              </w:rPr>
            </w:pPr>
            <w:r>
              <w:rPr>
                <w:rFonts w:hint="eastAsia" w:eastAsia="Times New Roman"/>
                <w:color w:val="auto"/>
              </w:rPr>
              <w:t>17</w:t>
            </w:r>
          </w:p>
        </w:tc>
        <w:tc>
          <w:tcPr>
            <w:tcW w:w="1871" w:type="pct"/>
            <w:vAlign w:val="center"/>
          </w:tcPr>
          <w:p w14:paraId="6388C9D9">
            <w:pPr>
              <w:widowControl w:val="0"/>
              <w:spacing w:line="360" w:lineRule="exact"/>
              <w:jc w:val="center"/>
              <w:rPr>
                <w:rFonts w:eastAsia="Times New Roman"/>
                <w:color w:val="auto"/>
              </w:rPr>
            </w:pPr>
            <w:r>
              <w:rPr>
                <w:rFonts w:hint="eastAsia" w:eastAsia="Times New Roman"/>
                <w:color w:val="auto"/>
              </w:rPr>
              <w:t>锰/（mg/L）</w:t>
            </w:r>
          </w:p>
        </w:tc>
        <w:tc>
          <w:tcPr>
            <w:tcW w:w="1710" w:type="pct"/>
            <w:vAlign w:val="center"/>
          </w:tcPr>
          <w:p w14:paraId="11B47E93">
            <w:pPr>
              <w:widowControl w:val="0"/>
              <w:spacing w:line="360" w:lineRule="exact"/>
              <w:jc w:val="center"/>
              <w:rPr>
                <w:rFonts w:eastAsia="Times New Roman"/>
                <w:color w:val="auto"/>
              </w:rPr>
            </w:pPr>
            <w:r>
              <w:rPr>
                <w:rFonts w:hint="eastAsia" w:eastAsia="Times New Roman"/>
                <w:color w:val="auto"/>
              </w:rPr>
              <w:t>0.1</w:t>
            </w:r>
          </w:p>
        </w:tc>
        <w:tc>
          <w:tcPr>
            <w:tcW w:w="1018" w:type="pct"/>
            <w:vAlign w:val="center"/>
          </w:tcPr>
          <w:p w14:paraId="546880BA">
            <w:pPr>
              <w:widowControl w:val="0"/>
              <w:spacing w:line="360" w:lineRule="exact"/>
              <w:jc w:val="center"/>
              <w:rPr>
                <w:rFonts w:eastAsia="Times New Roman"/>
                <w:color w:val="auto"/>
              </w:rPr>
            </w:pPr>
            <w:r>
              <w:rPr>
                <w:rFonts w:hint="eastAsia" w:eastAsia="Times New Roman"/>
                <w:color w:val="auto"/>
              </w:rPr>
              <w:t>0.2</w:t>
            </w:r>
          </w:p>
        </w:tc>
      </w:tr>
      <w:tr w14:paraId="7A06C1B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735A06C0">
            <w:pPr>
              <w:widowControl w:val="0"/>
              <w:spacing w:line="360" w:lineRule="exact"/>
              <w:jc w:val="center"/>
              <w:rPr>
                <w:rFonts w:eastAsia="Times New Roman"/>
                <w:color w:val="auto"/>
              </w:rPr>
            </w:pPr>
            <w:r>
              <w:rPr>
                <w:rFonts w:hint="eastAsia" w:eastAsia="Times New Roman"/>
                <w:color w:val="auto"/>
              </w:rPr>
              <w:t>18</w:t>
            </w:r>
          </w:p>
        </w:tc>
        <w:tc>
          <w:tcPr>
            <w:tcW w:w="1871" w:type="pct"/>
            <w:vAlign w:val="center"/>
          </w:tcPr>
          <w:p w14:paraId="5FC1E796">
            <w:pPr>
              <w:widowControl w:val="0"/>
              <w:spacing w:line="360" w:lineRule="exact"/>
              <w:jc w:val="center"/>
              <w:rPr>
                <w:rFonts w:eastAsia="Times New Roman"/>
                <w:color w:val="auto"/>
              </w:rPr>
            </w:pPr>
            <w:r>
              <w:rPr>
                <w:rFonts w:hint="eastAsia" w:eastAsia="Times New Roman"/>
                <w:color w:val="auto"/>
              </w:rPr>
              <w:t>二氧化硅/（mg/L）</w:t>
            </w:r>
          </w:p>
        </w:tc>
        <w:tc>
          <w:tcPr>
            <w:tcW w:w="1710" w:type="pct"/>
            <w:vAlign w:val="center"/>
          </w:tcPr>
          <w:p w14:paraId="2CDE5ECD">
            <w:pPr>
              <w:widowControl w:val="0"/>
              <w:spacing w:line="360" w:lineRule="exact"/>
              <w:jc w:val="center"/>
              <w:rPr>
                <w:rFonts w:eastAsia="Times New Roman"/>
                <w:color w:val="auto"/>
              </w:rPr>
            </w:pPr>
            <w:r>
              <w:rPr>
                <w:rFonts w:hint="eastAsia" w:eastAsia="Times New Roman"/>
                <w:color w:val="auto"/>
              </w:rPr>
              <w:t>30</w:t>
            </w:r>
          </w:p>
        </w:tc>
        <w:tc>
          <w:tcPr>
            <w:tcW w:w="1018" w:type="pct"/>
            <w:vAlign w:val="center"/>
          </w:tcPr>
          <w:p w14:paraId="69E7BB3B">
            <w:pPr>
              <w:widowControl w:val="0"/>
              <w:spacing w:line="360" w:lineRule="exact"/>
              <w:jc w:val="center"/>
              <w:rPr>
                <w:rFonts w:eastAsia="Times New Roman"/>
                <w:color w:val="auto"/>
              </w:rPr>
            </w:pPr>
            <w:r>
              <w:rPr>
                <w:rFonts w:hint="eastAsia" w:eastAsia="Times New Roman"/>
                <w:color w:val="auto"/>
              </w:rPr>
              <w:t>50</w:t>
            </w:r>
          </w:p>
        </w:tc>
      </w:tr>
      <w:tr w14:paraId="3233684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7041756B">
            <w:pPr>
              <w:widowControl w:val="0"/>
              <w:spacing w:line="360" w:lineRule="exact"/>
              <w:jc w:val="center"/>
              <w:rPr>
                <w:rFonts w:eastAsia="Times New Roman"/>
                <w:color w:val="auto"/>
              </w:rPr>
            </w:pPr>
            <w:r>
              <w:rPr>
                <w:rFonts w:hint="eastAsia" w:eastAsia="Times New Roman"/>
                <w:color w:val="auto"/>
              </w:rPr>
              <w:t>19</w:t>
            </w:r>
          </w:p>
        </w:tc>
        <w:tc>
          <w:tcPr>
            <w:tcW w:w="1871" w:type="pct"/>
            <w:vAlign w:val="center"/>
          </w:tcPr>
          <w:p w14:paraId="1A428D13">
            <w:pPr>
              <w:widowControl w:val="0"/>
              <w:spacing w:line="360" w:lineRule="exact"/>
              <w:jc w:val="center"/>
              <w:rPr>
                <w:rFonts w:eastAsia="Times New Roman"/>
                <w:color w:val="auto"/>
              </w:rPr>
            </w:pPr>
            <w:r>
              <w:rPr>
                <w:rFonts w:hint="eastAsia" w:eastAsia="Times New Roman"/>
                <w:color w:val="auto"/>
              </w:rPr>
              <w:t>粪大肠菌群/（MPN/L）</w:t>
            </w:r>
          </w:p>
        </w:tc>
        <w:tc>
          <w:tcPr>
            <w:tcW w:w="2727" w:type="pct"/>
            <w:gridSpan w:val="2"/>
            <w:vAlign w:val="center"/>
          </w:tcPr>
          <w:p w14:paraId="062AC77B">
            <w:pPr>
              <w:widowControl w:val="0"/>
              <w:spacing w:line="360" w:lineRule="exact"/>
              <w:jc w:val="center"/>
              <w:rPr>
                <w:rFonts w:eastAsia="Times New Roman"/>
                <w:color w:val="auto"/>
              </w:rPr>
            </w:pPr>
            <w:r>
              <w:rPr>
                <w:rFonts w:hint="eastAsia" w:eastAsia="Times New Roman"/>
                <w:color w:val="auto"/>
              </w:rPr>
              <w:t>1000</w:t>
            </w:r>
          </w:p>
        </w:tc>
      </w:tr>
      <w:tr w14:paraId="30053D4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01" w:type="pct"/>
            <w:vAlign w:val="center"/>
          </w:tcPr>
          <w:p w14:paraId="7934B7F8">
            <w:pPr>
              <w:widowControl w:val="0"/>
              <w:spacing w:line="360" w:lineRule="exact"/>
              <w:jc w:val="center"/>
              <w:rPr>
                <w:rFonts w:eastAsia="Times New Roman"/>
                <w:color w:val="auto"/>
              </w:rPr>
            </w:pPr>
            <w:r>
              <w:rPr>
                <w:rFonts w:hint="eastAsia" w:eastAsia="Times New Roman"/>
                <w:color w:val="auto"/>
              </w:rPr>
              <w:t>20</w:t>
            </w:r>
          </w:p>
        </w:tc>
        <w:tc>
          <w:tcPr>
            <w:tcW w:w="1871" w:type="pct"/>
            <w:vAlign w:val="center"/>
          </w:tcPr>
          <w:p w14:paraId="7682A42B">
            <w:pPr>
              <w:widowControl w:val="0"/>
              <w:spacing w:line="360" w:lineRule="exact"/>
              <w:jc w:val="center"/>
              <w:rPr>
                <w:rFonts w:eastAsia="Times New Roman"/>
                <w:color w:val="auto"/>
              </w:rPr>
            </w:pPr>
            <w:r>
              <w:rPr>
                <w:rFonts w:hint="eastAsia" w:eastAsia="Times New Roman"/>
                <w:color w:val="auto"/>
              </w:rPr>
              <w:t>总余氯</w:t>
            </w:r>
            <w:r>
              <w:rPr>
                <w:rFonts w:hint="eastAsia" w:eastAsia="Times New Roman"/>
                <w:color w:val="auto"/>
                <w:vertAlign w:val="superscript"/>
              </w:rPr>
              <w:t>b</w:t>
            </w:r>
            <w:r>
              <w:rPr>
                <w:rFonts w:hint="eastAsia" w:eastAsia="Times New Roman"/>
                <w:color w:val="auto"/>
              </w:rPr>
              <w:t>（mg/L）</w:t>
            </w:r>
          </w:p>
        </w:tc>
        <w:tc>
          <w:tcPr>
            <w:tcW w:w="2727" w:type="pct"/>
            <w:gridSpan w:val="2"/>
            <w:vAlign w:val="center"/>
          </w:tcPr>
          <w:p w14:paraId="0CE10839">
            <w:pPr>
              <w:widowControl w:val="0"/>
              <w:spacing w:line="360" w:lineRule="exact"/>
              <w:jc w:val="center"/>
              <w:rPr>
                <w:rFonts w:eastAsia="Times New Roman"/>
                <w:color w:val="auto"/>
              </w:rPr>
            </w:pPr>
            <w:r>
              <w:rPr>
                <w:rFonts w:hint="eastAsia" w:eastAsia="Times New Roman"/>
                <w:color w:val="auto"/>
              </w:rPr>
              <w:t>0.1 ~ 0.2</w:t>
            </w:r>
          </w:p>
        </w:tc>
      </w:tr>
      <w:tr w14:paraId="6BD8A11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00" w:type="pct"/>
            <w:gridSpan w:val="4"/>
            <w:vAlign w:val="center"/>
          </w:tcPr>
          <w:p w14:paraId="540C02EA">
            <w:pPr>
              <w:widowControl w:val="0"/>
              <w:spacing w:line="360" w:lineRule="exact"/>
              <w:jc w:val="center"/>
              <w:rPr>
                <w:rFonts w:eastAsia="Times New Roman"/>
                <w:color w:val="auto"/>
              </w:rPr>
            </w:pPr>
            <w:r>
              <w:rPr>
                <w:rFonts w:hint="eastAsia" w:eastAsia="Times New Roman"/>
                <w:b/>
                <w:bCs/>
                <w:color w:val="auto"/>
              </w:rPr>
              <w:t>注</w:t>
            </w:r>
            <w:r>
              <w:rPr>
                <w:rFonts w:hint="eastAsia" w:eastAsia="Times New Roman"/>
                <w:color w:val="auto"/>
              </w:rPr>
              <w:t>：“—”表示对此项无要求。</w:t>
            </w:r>
          </w:p>
        </w:tc>
      </w:tr>
      <w:tr w14:paraId="182551C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00" w:type="pct"/>
            <w:gridSpan w:val="4"/>
            <w:vAlign w:val="center"/>
          </w:tcPr>
          <w:p w14:paraId="70A930F8">
            <w:pPr>
              <w:widowControl w:val="0"/>
              <w:spacing w:line="360" w:lineRule="exact"/>
              <w:jc w:val="center"/>
              <w:rPr>
                <w:rFonts w:eastAsia="Times New Roman"/>
                <w:color w:val="auto"/>
              </w:rPr>
            </w:pPr>
            <w:r>
              <w:rPr>
                <w:rFonts w:hint="eastAsia" w:eastAsia="Times New Roman"/>
                <w:color w:val="auto"/>
                <w:vertAlign w:val="superscript"/>
              </w:rPr>
              <w:t>a</w:t>
            </w:r>
            <w:r>
              <w:rPr>
                <w:rFonts w:hint="eastAsia" w:eastAsia="Times New Roman"/>
                <w:color w:val="auto"/>
              </w:rPr>
              <w:t>用于间冷开式循环冷却水系统补充水，且换热器为铜合金材质时，氨氮指标应小于1 mg/L。</w:t>
            </w:r>
          </w:p>
          <w:p w14:paraId="25C881B9">
            <w:pPr>
              <w:widowControl w:val="0"/>
              <w:spacing w:line="360" w:lineRule="exact"/>
              <w:jc w:val="center"/>
              <w:rPr>
                <w:rFonts w:eastAsia="Times New Roman"/>
                <w:color w:val="auto"/>
              </w:rPr>
            </w:pPr>
            <w:r>
              <w:rPr>
                <w:rFonts w:hint="eastAsia" w:eastAsia="Times New Roman"/>
                <w:color w:val="auto"/>
                <w:vertAlign w:val="superscript"/>
              </w:rPr>
              <w:t>b</w:t>
            </w:r>
            <w:r>
              <w:rPr>
                <w:rFonts w:hint="eastAsia" w:eastAsia="Times New Roman"/>
                <w:color w:val="auto"/>
              </w:rPr>
              <w:t>与用户管道连接处再生水中总余氯值。</w:t>
            </w:r>
          </w:p>
        </w:tc>
      </w:tr>
    </w:tbl>
    <w:p w14:paraId="6ABF0247">
      <w:pPr>
        <w:rPr>
          <w:color w:val="auto"/>
        </w:rPr>
      </w:pPr>
    </w:p>
    <w:p w14:paraId="3CC74678">
      <w:pPr>
        <w:pStyle w:val="132"/>
        <w:rPr>
          <w:bCs/>
          <w:color w:val="auto"/>
        </w:rPr>
      </w:pPr>
      <w:r>
        <w:rPr>
          <w:color w:val="auto"/>
        </w:rPr>
        <w:t>《污水综合排放标准》（GB/8978-1996）中的三级标准</w:t>
      </w:r>
      <w:r>
        <w:rPr>
          <w:rFonts w:hint="eastAsia"/>
          <w:bCs/>
          <w:color w:val="auto"/>
        </w:rPr>
        <w:t>详见表2.5-8。</w:t>
      </w:r>
    </w:p>
    <w:p w14:paraId="43E739EB">
      <w:pPr>
        <w:pStyle w:val="1060"/>
        <w:rPr>
          <w:rFonts w:hint="eastAsia" w:ascii="黑体" w:hAnsi="黑体"/>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8</w:t>
      </w:r>
      <w:r>
        <w:rPr>
          <w:color w:val="auto"/>
        </w:rPr>
        <w:fldChar w:fldCharType="end"/>
      </w:r>
      <w:r>
        <w:rPr>
          <w:rStyle w:val="1669"/>
          <w:b/>
          <w:color w:val="auto"/>
        </w:rPr>
        <w:t xml:space="preserve"> </w:t>
      </w:r>
      <w:r>
        <w:rPr>
          <w:rFonts w:hint="eastAsia"/>
          <w:color w:val="auto"/>
        </w:rPr>
        <w:t xml:space="preserve">  </w:t>
      </w:r>
      <w:r>
        <w:rPr>
          <w:rFonts w:hint="eastAsia" w:ascii="黑体" w:hAnsi="黑体"/>
          <w:color w:val="auto"/>
        </w:rPr>
        <w:t>废水污染物排放标准限值   单位mg/L（</w:t>
      </w:r>
      <w:r>
        <w:rPr>
          <w:rFonts w:hint="eastAsia"/>
          <w:color w:val="auto"/>
        </w:rPr>
        <w:t>pH值除外）</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343"/>
        <w:gridCol w:w="2254"/>
        <w:gridCol w:w="1504"/>
        <w:gridCol w:w="1654"/>
        <w:gridCol w:w="2031"/>
      </w:tblGrid>
      <w:tr w14:paraId="0B712D4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18A5BB6C">
            <w:pPr>
              <w:pStyle w:val="129"/>
              <w:widowControl w:val="0"/>
              <w:spacing w:line="340" w:lineRule="exact"/>
              <w:rPr>
                <w:color w:val="auto"/>
              </w:rPr>
            </w:pPr>
            <w:r>
              <w:rPr>
                <w:rFonts w:hint="eastAsia"/>
                <w:color w:val="auto"/>
              </w:rPr>
              <w:t>废水</w:t>
            </w:r>
          </w:p>
        </w:tc>
        <w:tc>
          <w:tcPr>
            <w:tcW w:w="1283" w:type="pct"/>
            <w:vAlign w:val="center"/>
          </w:tcPr>
          <w:p w14:paraId="2913E9EA">
            <w:pPr>
              <w:pStyle w:val="129"/>
              <w:widowControl w:val="0"/>
              <w:spacing w:line="340" w:lineRule="exact"/>
              <w:rPr>
                <w:color w:val="auto"/>
              </w:rPr>
            </w:pPr>
            <w:r>
              <w:rPr>
                <w:color w:val="auto"/>
              </w:rPr>
              <w:t>污染物</w:t>
            </w:r>
          </w:p>
        </w:tc>
        <w:tc>
          <w:tcPr>
            <w:tcW w:w="856" w:type="pct"/>
            <w:vAlign w:val="center"/>
          </w:tcPr>
          <w:p w14:paraId="7C017B03">
            <w:pPr>
              <w:pStyle w:val="129"/>
              <w:widowControl w:val="0"/>
              <w:spacing w:line="340" w:lineRule="exact"/>
              <w:rPr>
                <w:color w:val="auto"/>
              </w:rPr>
            </w:pPr>
            <w:r>
              <w:rPr>
                <w:color w:val="auto"/>
              </w:rPr>
              <w:t>标准值</w:t>
            </w:r>
            <w:r>
              <w:rPr>
                <w:rFonts w:hint="eastAsia"/>
                <w:color w:val="auto"/>
              </w:rPr>
              <w:t>（</w:t>
            </w:r>
            <w:r>
              <w:rPr>
                <w:color w:val="auto"/>
              </w:rPr>
              <w:t>mg/L</w:t>
            </w:r>
            <w:r>
              <w:rPr>
                <w:rFonts w:hint="eastAsia"/>
                <w:color w:val="auto"/>
              </w:rPr>
              <w:t>）</w:t>
            </w:r>
          </w:p>
        </w:tc>
        <w:tc>
          <w:tcPr>
            <w:tcW w:w="941" w:type="pct"/>
            <w:vAlign w:val="center"/>
          </w:tcPr>
          <w:p w14:paraId="5FD92D74">
            <w:pPr>
              <w:pStyle w:val="129"/>
              <w:widowControl w:val="0"/>
              <w:spacing w:line="340" w:lineRule="exact"/>
              <w:rPr>
                <w:color w:val="auto"/>
              </w:rPr>
            </w:pPr>
            <w:r>
              <w:rPr>
                <w:rFonts w:hint="eastAsia"/>
                <w:color w:val="auto"/>
              </w:rPr>
              <w:t>污染物排放</w:t>
            </w:r>
          </w:p>
          <w:p w14:paraId="29B1B5A6">
            <w:pPr>
              <w:pStyle w:val="129"/>
              <w:widowControl w:val="0"/>
              <w:spacing w:line="340" w:lineRule="exact"/>
              <w:rPr>
                <w:color w:val="auto"/>
              </w:rPr>
            </w:pPr>
            <w:r>
              <w:rPr>
                <w:rFonts w:hint="eastAsia"/>
                <w:color w:val="auto"/>
              </w:rPr>
              <w:t>监控位置</w:t>
            </w:r>
          </w:p>
        </w:tc>
        <w:tc>
          <w:tcPr>
            <w:tcW w:w="1156" w:type="pct"/>
            <w:vAlign w:val="center"/>
          </w:tcPr>
          <w:p w14:paraId="21927A79">
            <w:pPr>
              <w:pStyle w:val="129"/>
              <w:widowControl w:val="0"/>
              <w:spacing w:line="340" w:lineRule="exact"/>
              <w:rPr>
                <w:color w:val="auto"/>
              </w:rPr>
            </w:pPr>
            <w:r>
              <w:rPr>
                <w:rFonts w:hint="eastAsia"/>
                <w:color w:val="auto"/>
              </w:rPr>
              <w:t>执行标准</w:t>
            </w:r>
          </w:p>
        </w:tc>
      </w:tr>
      <w:tr w14:paraId="2AE79E2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Merge w:val="restart"/>
            <w:vAlign w:val="center"/>
          </w:tcPr>
          <w:p w14:paraId="0FE2D4E9">
            <w:pPr>
              <w:pStyle w:val="129"/>
              <w:widowControl w:val="0"/>
              <w:spacing w:line="340" w:lineRule="exact"/>
              <w:rPr>
                <w:color w:val="auto"/>
              </w:rPr>
            </w:pPr>
            <w:r>
              <w:rPr>
                <w:rFonts w:hint="eastAsia"/>
                <w:color w:val="auto"/>
              </w:rPr>
              <w:t>生活污水、清净下水</w:t>
            </w:r>
          </w:p>
        </w:tc>
        <w:tc>
          <w:tcPr>
            <w:tcW w:w="1283" w:type="pct"/>
            <w:vAlign w:val="center"/>
          </w:tcPr>
          <w:p w14:paraId="0C0EB980">
            <w:pPr>
              <w:pStyle w:val="129"/>
              <w:widowControl w:val="0"/>
              <w:spacing w:line="340" w:lineRule="exact"/>
              <w:rPr>
                <w:color w:val="auto"/>
              </w:rPr>
            </w:pPr>
            <w:r>
              <w:rPr>
                <w:rFonts w:hint="eastAsia"/>
                <w:color w:val="auto"/>
              </w:rPr>
              <w:t>pH</w:t>
            </w:r>
          </w:p>
        </w:tc>
        <w:tc>
          <w:tcPr>
            <w:tcW w:w="856" w:type="pct"/>
            <w:vAlign w:val="center"/>
          </w:tcPr>
          <w:p w14:paraId="2BEF2896">
            <w:pPr>
              <w:pStyle w:val="129"/>
              <w:widowControl w:val="0"/>
              <w:spacing w:line="340" w:lineRule="exact"/>
              <w:rPr>
                <w:color w:val="auto"/>
              </w:rPr>
            </w:pPr>
            <w:r>
              <w:rPr>
                <w:rFonts w:hint="eastAsia"/>
                <w:color w:val="auto"/>
              </w:rPr>
              <w:t>6～9</w:t>
            </w:r>
          </w:p>
        </w:tc>
        <w:tc>
          <w:tcPr>
            <w:tcW w:w="941" w:type="pct"/>
            <w:vMerge w:val="restart"/>
            <w:vAlign w:val="center"/>
          </w:tcPr>
          <w:p w14:paraId="10F4C81B">
            <w:pPr>
              <w:pStyle w:val="129"/>
              <w:widowControl w:val="0"/>
              <w:spacing w:line="340" w:lineRule="exact"/>
              <w:rPr>
                <w:color w:val="auto"/>
              </w:rPr>
            </w:pPr>
            <w:r>
              <w:rPr>
                <w:rFonts w:hint="eastAsia"/>
                <w:color w:val="auto"/>
              </w:rPr>
              <w:t>企业废水总排放口</w:t>
            </w:r>
          </w:p>
        </w:tc>
        <w:tc>
          <w:tcPr>
            <w:tcW w:w="1156" w:type="pct"/>
            <w:vMerge w:val="restart"/>
            <w:vAlign w:val="center"/>
          </w:tcPr>
          <w:p w14:paraId="19AD5D79">
            <w:pPr>
              <w:pStyle w:val="129"/>
              <w:widowControl w:val="0"/>
              <w:spacing w:line="340" w:lineRule="exact"/>
              <w:rPr>
                <w:color w:val="auto"/>
              </w:rPr>
            </w:pPr>
            <w:bookmarkStart w:id="141" w:name="_Hlk202460184"/>
            <w:r>
              <w:rPr>
                <w:rFonts w:hint="eastAsia"/>
                <w:color w:val="auto"/>
              </w:rPr>
              <w:t>《污水综合排放标准》（</w:t>
            </w:r>
            <w:r>
              <w:rPr>
                <w:color w:val="auto"/>
              </w:rPr>
              <w:t>GB8978-1996</w:t>
            </w:r>
            <w:r>
              <w:rPr>
                <w:rFonts w:hint="eastAsia"/>
                <w:color w:val="auto"/>
              </w:rPr>
              <w:t>）三级标准</w:t>
            </w:r>
            <w:bookmarkEnd w:id="141"/>
          </w:p>
        </w:tc>
      </w:tr>
      <w:tr w14:paraId="6483B0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Merge w:val="continue"/>
            <w:vAlign w:val="center"/>
          </w:tcPr>
          <w:p w14:paraId="12AA5A84">
            <w:pPr>
              <w:pStyle w:val="129"/>
              <w:widowControl w:val="0"/>
              <w:spacing w:line="340" w:lineRule="exact"/>
              <w:rPr>
                <w:color w:val="auto"/>
              </w:rPr>
            </w:pPr>
          </w:p>
        </w:tc>
        <w:tc>
          <w:tcPr>
            <w:tcW w:w="1283" w:type="pct"/>
            <w:vAlign w:val="center"/>
          </w:tcPr>
          <w:p w14:paraId="2C5F3D77">
            <w:pPr>
              <w:pStyle w:val="129"/>
              <w:widowControl w:val="0"/>
              <w:spacing w:line="340" w:lineRule="exact"/>
              <w:rPr>
                <w:color w:val="auto"/>
              </w:rPr>
            </w:pPr>
            <w:r>
              <w:rPr>
                <w:color w:val="auto"/>
              </w:rPr>
              <w:t>COD</w:t>
            </w:r>
          </w:p>
        </w:tc>
        <w:tc>
          <w:tcPr>
            <w:tcW w:w="856" w:type="pct"/>
            <w:vAlign w:val="center"/>
          </w:tcPr>
          <w:p w14:paraId="5CC5CAF5">
            <w:pPr>
              <w:pStyle w:val="129"/>
              <w:widowControl w:val="0"/>
              <w:spacing w:line="340" w:lineRule="exact"/>
              <w:rPr>
                <w:color w:val="auto"/>
              </w:rPr>
            </w:pPr>
            <w:r>
              <w:rPr>
                <w:rFonts w:hint="eastAsia"/>
                <w:color w:val="auto"/>
              </w:rPr>
              <w:t>500</w:t>
            </w:r>
          </w:p>
        </w:tc>
        <w:tc>
          <w:tcPr>
            <w:tcW w:w="941" w:type="pct"/>
            <w:vMerge w:val="continue"/>
            <w:vAlign w:val="center"/>
          </w:tcPr>
          <w:p w14:paraId="2B07F2D8">
            <w:pPr>
              <w:pStyle w:val="129"/>
              <w:widowControl w:val="0"/>
              <w:spacing w:line="340" w:lineRule="exact"/>
              <w:rPr>
                <w:color w:val="auto"/>
              </w:rPr>
            </w:pPr>
          </w:p>
        </w:tc>
        <w:tc>
          <w:tcPr>
            <w:tcW w:w="1156" w:type="pct"/>
            <w:vMerge w:val="continue"/>
            <w:vAlign w:val="center"/>
          </w:tcPr>
          <w:p w14:paraId="6AFC1A23">
            <w:pPr>
              <w:pStyle w:val="129"/>
              <w:widowControl w:val="0"/>
              <w:spacing w:line="340" w:lineRule="exact"/>
              <w:rPr>
                <w:color w:val="auto"/>
              </w:rPr>
            </w:pPr>
          </w:p>
        </w:tc>
      </w:tr>
      <w:tr w14:paraId="7EB56B1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Merge w:val="continue"/>
            <w:vAlign w:val="center"/>
          </w:tcPr>
          <w:p w14:paraId="2B15B9E5">
            <w:pPr>
              <w:pStyle w:val="129"/>
              <w:widowControl w:val="0"/>
              <w:spacing w:line="340" w:lineRule="exact"/>
              <w:rPr>
                <w:color w:val="auto"/>
              </w:rPr>
            </w:pPr>
          </w:p>
        </w:tc>
        <w:tc>
          <w:tcPr>
            <w:tcW w:w="1283" w:type="pct"/>
            <w:vAlign w:val="center"/>
          </w:tcPr>
          <w:p w14:paraId="7B8958E9">
            <w:pPr>
              <w:pStyle w:val="129"/>
              <w:widowControl w:val="0"/>
              <w:spacing w:line="340" w:lineRule="exact"/>
              <w:rPr>
                <w:color w:val="auto"/>
              </w:rPr>
            </w:pPr>
            <w:r>
              <w:rPr>
                <w:color w:val="auto"/>
              </w:rPr>
              <w:t>SS</w:t>
            </w:r>
          </w:p>
        </w:tc>
        <w:tc>
          <w:tcPr>
            <w:tcW w:w="856" w:type="pct"/>
            <w:vAlign w:val="center"/>
          </w:tcPr>
          <w:p w14:paraId="5F24D0DD">
            <w:pPr>
              <w:pStyle w:val="129"/>
              <w:widowControl w:val="0"/>
              <w:spacing w:line="340" w:lineRule="exact"/>
              <w:rPr>
                <w:color w:val="auto"/>
              </w:rPr>
            </w:pPr>
            <w:r>
              <w:rPr>
                <w:color w:val="auto"/>
              </w:rPr>
              <w:t>400</w:t>
            </w:r>
          </w:p>
        </w:tc>
        <w:tc>
          <w:tcPr>
            <w:tcW w:w="941" w:type="pct"/>
            <w:vMerge w:val="continue"/>
            <w:vAlign w:val="center"/>
          </w:tcPr>
          <w:p w14:paraId="226D8F9E">
            <w:pPr>
              <w:pStyle w:val="129"/>
              <w:widowControl w:val="0"/>
              <w:spacing w:line="340" w:lineRule="exact"/>
              <w:rPr>
                <w:color w:val="auto"/>
              </w:rPr>
            </w:pPr>
          </w:p>
        </w:tc>
        <w:tc>
          <w:tcPr>
            <w:tcW w:w="1156" w:type="pct"/>
            <w:vMerge w:val="continue"/>
            <w:vAlign w:val="center"/>
          </w:tcPr>
          <w:p w14:paraId="602B785D">
            <w:pPr>
              <w:pStyle w:val="129"/>
              <w:widowControl w:val="0"/>
              <w:spacing w:line="340" w:lineRule="exact"/>
              <w:rPr>
                <w:color w:val="auto"/>
              </w:rPr>
            </w:pPr>
          </w:p>
        </w:tc>
      </w:tr>
      <w:tr w14:paraId="13BEF8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Merge w:val="continue"/>
            <w:vAlign w:val="center"/>
          </w:tcPr>
          <w:p w14:paraId="10D93881">
            <w:pPr>
              <w:pStyle w:val="129"/>
              <w:widowControl w:val="0"/>
              <w:spacing w:line="340" w:lineRule="exact"/>
              <w:rPr>
                <w:color w:val="auto"/>
              </w:rPr>
            </w:pPr>
          </w:p>
        </w:tc>
        <w:tc>
          <w:tcPr>
            <w:tcW w:w="1283" w:type="pct"/>
            <w:vAlign w:val="center"/>
          </w:tcPr>
          <w:p w14:paraId="785971B8">
            <w:pPr>
              <w:pStyle w:val="129"/>
              <w:widowControl w:val="0"/>
              <w:spacing w:line="340" w:lineRule="exact"/>
              <w:rPr>
                <w:color w:val="auto"/>
              </w:rPr>
            </w:pPr>
            <w:r>
              <w:rPr>
                <w:color w:val="auto"/>
              </w:rPr>
              <w:t>BOD</w:t>
            </w:r>
            <w:r>
              <w:rPr>
                <w:color w:val="auto"/>
                <w:vertAlign w:val="subscript"/>
              </w:rPr>
              <w:t>5</w:t>
            </w:r>
          </w:p>
        </w:tc>
        <w:tc>
          <w:tcPr>
            <w:tcW w:w="856" w:type="pct"/>
            <w:vAlign w:val="center"/>
          </w:tcPr>
          <w:p w14:paraId="1A6C9D47">
            <w:pPr>
              <w:pStyle w:val="129"/>
              <w:widowControl w:val="0"/>
              <w:spacing w:line="340" w:lineRule="exact"/>
              <w:rPr>
                <w:color w:val="auto"/>
              </w:rPr>
            </w:pPr>
            <w:r>
              <w:rPr>
                <w:rFonts w:hint="eastAsia"/>
                <w:color w:val="auto"/>
              </w:rPr>
              <w:t>300</w:t>
            </w:r>
          </w:p>
        </w:tc>
        <w:tc>
          <w:tcPr>
            <w:tcW w:w="941" w:type="pct"/>
            <w:vMerge w:val="continue"/>
            <w:vAlign w:val="center"/>
          </w:tcPr>
          <w:p w14:paraId="53DA62F7">
            <w:pPr>
              <w:pStyle w:val="129"/>
              <w:widowControl w:val="0"/>
              <w:spacing w:line="340" w:lineRule="exact"/>
              <w:rPr>
                <w:color w:val="auto"/>
              </w:rPr>
            </w:pPr>
          </w:p>
        </w:tc>
        <w:tc>
          <w:tcPr>
            <w:tcW w:w="1156" w:type="pct"/>
            <w:vMerge w:val="continue"/>
            <w:vAlign w:val="center"/>
          </w:tcPr>
          <w:p w14:paraId="7C138414">
            <w:pPr>
              <w:pStyle w:val="129"/>
              <w:widowControl w:val="0"/>
              <w:spacing w:line="340" w:lineRule="exact"/>
              <w:rPr>
                <w:color w:val="auto"/>
              </w:rPr>
            </w:pPr>
          </w:p>
        </w:tc>
      </w:tr>
    </w:tbl>
    <w:p w14:paraId="20414C53">
      <w:pPr>
        <w:pStyle w:val="1304"/>
        <w:rPr>
          <w:color w:val="auto"/>
        </w:rPr>
      </w:pPr>
    </w:p>
    <w:p w14:paraId="0419D330">
      <w:pPr>
        <w:pStyle w:val="5"/>
        <w:rPr>
          <w:color w:val="auto"/>
        </w:rPr>
      </w:pPr>
      <w:r>
        <w:rPr>
          <w:color w:val="auto"/>
        </w:rPr>
        <w:t>噪声</w:t>
      </w:r>
    </w:p>
    <w:p w14:paraId="6DC79367">
      <w:pPr>
        <w:pStyle w:val="132"/>
        <w:rPr>
          <w:color w:val="auto"/>
        </w:rPr>
      </w:pPr>
      <w:r>
        <w:rPr>
          <w:color w:val="auto"/>
        </w:rPr>
        <w:t>施工期</w:t>
      </w:r>
      <w:r>
        <w:rPr>
          <w:rFonts w:hint="eastAsia"/>
          <w:color w:val="auto"/>
        </w:rPr>
        <w:t>产生</w:t>
      </w:r>
      <w:r>
        <w:rPr>
          <w:color w:val="auto"/>
        </w:rPr>
        <w:t>的噪声执行《建筑施工噪声排放标准》（GB12523-</w:t>
      </w:r>
      <w:r>
        <w:rPr>
          <w:rFonts w:hint="eastAsia"/>
          <w:color w:val="auto"/>
        </w:rPr>
        <w:t>2025</w:t>
      </w:r>
      <w:r>
        <w:rPr>
          <w:color w:val="auto"/>
        </w:rPr>
        <w:t>）标准，建筑施工场界环境噪声排放限值，见表</w:t>
      </w:r>
      <w:r>
        <w:rPr>
          <w:rFonts w:hint="eastAsia"/>
          <w:color w:val="auto"/>
        </w:rPr>
        <w:t>2.5-9</w:t>
      </w:r>
      <w:r>
        <w:rPr>
          <w:color w:val="auto"/>
        </w:rPr>
        <w:t>；运营期厂界噪声执行《工业企业厂界环境噪声排放标准》（GB12348-2008）中的</w:t>
      </w:r>
      <w:r>
        <w:rPr>
          <w:rFonts w:hint="eastAsia"/>
          <w:color w:val="auto"/>
        </w:rPr>
        <w:t>3</w:t>
      </w:r>
      <w:r>
        <w:rPr>
          <w:color w:val="auto"/>
        </w:rPr>
        <w:t>类标准，工业企业厂界环境噪声排放限值，见表</w:t>
      </w:r>
      <w:r>
        <w:rPr>
          <w:rFonts w:hint="eastAsia"/>
          <w:color w:val="auto"/>
        </w:rPr>
        <w:t>2.5-10</w:t>
      </w:r>
      <w:r>
        <w:rPr>
          <w:color w:val="auto"/>
        </w:rPr>
        <w:t>。</w:t>
      </w:r>
    </w:p>
    <w:p w14:paraId="7414DB30">
      <w:pPr>
        <w:pStyle w:val="1060"/>
        <w:rPr>
          <w:color w:val="auto"/>
          <w:szCs w:val="21"/>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9</w:t>
      </w:r>
      <w:r>
        <w:rPr>
          <w:color w:val="auto"/>
        </w:rPr>
        <w:fldChar w:fldCharType="end"/>
      </w:r>
      <w:r>
        <w:rPr>
          <w:color w:val="auto"/>
        </w:rPr>
        <w:t xml:space="preserve">   建筑施工场界环境噪声排放限值    单位：dB（A）</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4498"/>
        <w:gridCol w:w="4288"/>
      </w:tblGrid>
      <w:tr w14:paraId="4FEF702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2560" w:type="pct"/>
            <w:vAlign w:val="center"/>
          </w:tcPr>
          <w:p w14:paraId="5F29A36B">
            <w:pPr>
              <w:pStyle w:val="129"/>
              <w:widowControl w:val="0"/>
              <w:rPr>
                <w:color w:val="auto"/>
              </w:rPr>
            </w:pPr>
            <w:r>
              <w:rPr>
                <w:color w:val="auto"/>
              </w:rPr>
              <w:t>昼间</w:t>
            </w:r>
          </w:p>
        </w:tc>
        <w:tc>
          <w:tcPr>
            <w:tcW w:w="2440" w:type="pct"/>
            <w:vAlign w:val="center"/>
          </w:tcPr>
          <w:p w14:paraId="5B6F17C3">
            <w:pPr>
              <w:pStyle w:val="129"/>
              <w:widowControl w:val="0"/>
              <w:rPr>
                <w:color w:val="auto"/>
              </w:rPr>
            </w:pPr>
            <w:r>
              <w:rPr>
                <w:color w:val="auto"/>
              </w:rPr>
              <w:t>夜间</w:t>
            </w:r>
          </w:p>
        </w:tc>
      </w:tr>
      <w:tr w14:paraId="6ECAA6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99" w:hRule="atLeast"/>
        </w:trPr>
        <w:tc>
          <w:tcPr>
            <w:tcW w:w="2560" w:type="pct"/>
            <w:vAlign w:val="center"/>
          </w:tcPr>
          <w:p w14:paraId="2FAE599E">
            <w:pPr>
              <w:pStyle w:val="129"/>
              <w:widowControl w:val="0"/>
              <w:rPr>
                <w:color w:val="auto"/>
              </w:rPr>
            </w:pPr>
            <w:r>
              <w:rPr>
                <w:color w:val="auto"/>
              </w:rPr>
              <w:t>70</w:t>
            </w:r>
          </w:p>
        </w:tc>
        <w:tc>
          <w:tcPr>
            <w:tcW w:w="2440" w:type="pct"/>
            <w:vAlign w:val="center"/>
          </w:tcPr>
          <w:p w14:paraId="4EB0C6E2">
            <w:pPr>
              <w:pStyle w:val="129"/>
              <w:widowControl w:val="0"/>
              <w:rPr>
                <w:color w:val="auto"/>
              </w:rPr>
            </w:pPr>
            <w:r>
              <w:rPr>
                <w:color w:val="auto"/>
              </w:rPr>
              <w:t>55</w:t>
            </w:r>
          </w:p>
        </w:tc>
      </w:tr>
    </w:tbl>
    <w:p w14:paraId="6F699EED">
      <w:pPr>
        <w:pStyle w:val="1060"/>
        <w:rPr>
          <w:color w:val="auto"/>
          <w:szCs w:val="21"/>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10</w:t>
      </w:r>
      <w:r>
        <w:rPr>
          <w:color w:val="auto"/>
        </w:rPr>
        <w:fldChar w:fldCharType="end"/>
      </w:r>
      <w:r>
        <w:rPr>
          <w:color w:val="auto"/>
        </w:rPr>
        <w:t xml:space="preserve">  工业企业厂界环境噪声排放限值    单位：dB（A）</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918"/>
        <w:gridCol w:w="2935"/>
        <w:gridCol w:w="2933"/>
      </w:tblGrid>
      <w:tr w14:paraId="2D7509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1" w:type="pct"/>
            <w:vMerge w:val="restart"/>
            <w:vAlign w:val="center"/>
          </w:tcPr>
          <w:p w14:paraId="4202E701">
            <w:pPr>
              <w:pStyle w:val="129"/>
              <w:widowControl w:val="0"/>
              <w:rPr>
                <w:color w:val="auto"/>
              </w:rPr>
            </w:pPr>
            <w:r>
              <w:rPr>
                <w:color w:val="auto"/>
              </w:rPr>
              <w:t>类  别</w:t>
            </w:r>
          </w:p>
        </w:tc>
        <w:tc>
          <w:tcPr>
            <w:tcW w:w="3339" w:type="pct"/>
            <w:gridSpan w:val="2"/>
            <w:vAlign w:val="center"/>
          </w:tcPr>
          <w:p w14:paraId="0464E36A">
            <w:pPr>
              <w:pStyle w:val="129"/>
              <w:widowControl w:val="0"/>
              <w:rPr>
                <w:color w:val="auto"/>
              </w:rPr>
            </w:pPr>
            <w:r>
              <w:rPr>
                <w:color w:val="auto"/>
              </w:rPr>
              <w:t>标</w:t>
            </w:r>
            <w:r>
              <w:rPr>
                <w:rFonts w:hint="eastAsia"/>
                <w:color w:val="auto"/>
              </w:rPr>
              <w:t xml:space="preserve">   </w:t>
            </w:r>
            <w:r>
              <w:rPr>
                <w:color w:val="auto"/>
              </w:rPr>
              <w:t>准   值</w:t>
            </w:r>
          </w:p>
        </w:tc>
      </w:tr>
      <w:tr w14:paraId="3350B5E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661" w:type="pct"/>
            <w:vMerge w:val="continue"/>
            <w:vAlign w:val="center"/>
          </w:tcPr>
          <w:p w14:paraId="7DE79812">
            <w:pPr>
              <w:pStyle w:val="129"/>
              <w:widowControl w:val="0"/>
              <w:rPr>
                <w:color w:val="auto"/>
              </w:rPr>
            </w:pPr>
          </w:p>
        </w:tc>
        <w:tc>
          <w:tcPr>
            <w:tcW w:w="1670" w:type="pct"/>
            <w:vAlign w:val="center"/>
          </w:tcPr>
          <w:p w14:paraId="38C1DE87">
            <w:pPr>
              <w:pStyle w:val="129"/>
              <w:widowControl w:val="0"/>
              <w:rPr>
                <w:color w:val="auto"/>
              </w:rPr>
            </w:pPr>
            <w:r>
              <w:rPr>
                <w:color w:val="auto"/>
              </w:rPr>
              <w:t>昼  间</w:t>
            </w:r>
          </w:p>
        </w:tc>
        <w:tc>
          <w:tcPr>
            <w:tcW w:w="1670" w:type="pct"/>
            <w:vAlign w:val="center"/>
          </w:tcPr>
          <w:p w14:paraId="0082C1C8">
            <w:pPr>
              <w:pStyle w:val="129"/>
              <w:widowControl w:val="0"/>
              <w:rPr>
                <w:color w:val="auto"/>
              </w:rPr>
            </w:pPr>
            <w:r>
              <w:rPr>
                <w:color w:val="auto"/>
              </w:rPr>
              <w:t>夜  间</w:t>
            </w:r>
          </w:p>
        </w:tc>
      </w:tr>
      <w:tr w14:paraId="633409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45" w:hRule="atLeast"/>
        </w:trPr>
        <w:tc>
          <w:tcPr>
            <w:tcW w:w="1661" w:type="pct"/>
            <w:vAlign w:val="center"/>
          </w:tcPr>
          <w:p w14:paraId="3A5E3043">
            <w:pPr>
              <w:pStyle w:val="129"/>
              <w:widowControl w:val="0"/>
              <w:rPr>
                <w:color w:val="auto"/>
              </w:rPr>
            </w:pPr>
            <w:r>
              <w:rPr>
                <w:rFonts w:hint="eastAsia"/>
                <w:color w:val="auto"/>
              </w:rPr>
              <w:t>3</w:t>
            </w:r>
            <w:r>
              <w:rPr>
                <w:color w:val="auto"/>
              </w:rPr>
              <w:t>类</w:t>
            </w:r>
          </w:p>
        </w:tc>
        <w:tc>
          <w:tcPr>
            <w:tcW w:w="1670" w:type="pct"/>
            <w:vAlign w:val="center"/>
          </w:tcPr>
          <w:p w14:paraId="4A6E502B">
            <w:pPr>
              <w:pStyle w:val="129"/>
              <w:widowControl w:val="0"/>
              <w:rPr>
                <w:color w:val="auto"/>
              </w:rPr>
            </w:pPr>
            <w:r>
              <w:rPr>
                <w:rFonts w:hint="eastAsia"/>
                <w:color w:val="auto"/>
              </w:rPr>
              <w:t>65</w:t>
            </w:r>
          </w:p>
        </w:tc>
        <w:tc>
          <w:tcPr>
            <w:tcW w:w="1670" w:type="pct"/>
            <w:vAlign w:val="center"/>
          </w:tcPr>
          <w:p w14:paraId="05067145">
            <w:pPr>
              <w:pStyle w:val="129"/>
              <w:widowControl w:val="0"/>
              <w:rPr>
                <w:color w:val="auto"/>
              </w:rPr>
            </w:pPr>
            <w:r>
              <w:rPr>
                <w:rFonts w:hint="eastAsia"/>
                <w:color w:val="auto"/>
              </w:rPr>
              <w:t>55</w:t>
            </w:r>
          </w:p>
        </w:tc>
      </w:tr>
    </w:tbl>
    <w:p w14:paraId="5E6CD8B4">
      <w:pPr>
        <w:pStyle w:val="1251"/>
        <w:ind w:firstLine="420"/>
        <w:rPr>
          <w:rFonts w:hint="eastAsia"/>
          <w:color w:val="auto"/>
        </w:rPr>
      </w:pPr>
    </w:p>
    <w:p w14:paraId="10C25FEA">
      <w:pPr>
        <w:pStyle w:val="5"/>
        <w:spacing w:line="480" w:lineRule="exact"/>
        <w:rPr>
          <w:color w:val="auto"/>
        </w:rPr>
      </w:pPr>
      <w:r>
        <w:rPr>
          <w:rFonts w:hint="eastAsia"/>
          <w:color w:val="auto"/>
        </w:rPr>
        <w:t>固体废物</w:t>
      </w:r>
    </w:p>
    <w:p w14:paraId="0BE6446A">
      <w:pPr>
        <w:pStyle w:val="132"/>
        <w:spacing w:line="480" w:lineRule="exact"/>
        <w:rPr>
          <w:color w:val="auto"/>
        </w:rPr>
      </w:pPr>
      <w:r>
        <w:rPr>
          <w:rFonts w:hint="eastAsia"/>
          <w:color w:val="auto"/>
        </w:rPr>
        <w:t>（1）《危险废物贮存污染控制标准》(GB 18597-2023)；</w:t>
      </w:r>
    </w:p>
    <w:p w14:paraId="1BDB5706">
      <w:pPr>
        <w:pStyle w:val="132"/>
        <w:spacing w:line="480" w:lineRule="exact"/>
        <w:rPr>
          <w:color w:val="auto"/>
        </w:rPr>
      </w:pPr>
      <w:r>
        <w:rPr>
          <w:rFonts w:hint="eastAsia"/>
          <w:color w:val="auto"/>
        </w:rPr>
        <w:t>（2）《一般工业固体废物贮存和填埋污染控制标准》(GB18599-2020)</w:t>
      </w:r>
      <w:r>
        <w:rPr>
          <w:color w:val="auto"/>
        </w:rPr>
        <w:t>。</w:t>
      </w:r>
    </w:p>
    <w:p w14:paraId="48A643B7">
      <w:pPr>
        <w:pStyle w:val="4"/>
        <w:spacing w:line="480" w:lineRule="exact"/>
        <w:rPr>
          <w:color w:val="auto"/>
        </w:rPr>
      </w:pPr>
      <w:r>
        <w:rPr>
          <w:rFonts w:hint="eastAsia"/>
          <w:color w:val="auto"/>
        </w:rPr>
        <w:t>其他标准</w:t>
      </w:r>
    </w:p>
    <w:p w14:paraId="2D80A8B6">
      <w:pPr>
        <w:pStyle w:val="132"/>
        <w:spacing w:line="480" w:lineRule="exact"/>
        <w:rPr>
          <w:color w:val="auto"/>
        </w:rPr>
      </w:pPr>
      <w:bookmarkStart w:id="142" w:name="_Toc278707077"/>
      <w:bookmarkStart w:id="143" w:name="_Toc287434093"/>
      <w:bookmarkStart w:id="144" w:name="_Toc455068241"/>
      <w:bookmarkStart w:id="145" w:name="_Toc278712110"/>
      <w:bookmarkStart w:id="146" w:name="_Toc287433021"/>
      <w:bookmarkStart w:id="147" w:name="_Toc292967379"/>
      <w:bookmarkStart w:id="148" w:name="_Toc287433891"/>
      <w:bookmarkStart w:id="149" w:name="_Toc415615303"/>
      <w:bookmarkStart w:id="150" w:name="_Toc251086918"/>
      <w:bookmarkStart w:id="151" w:name="_Toc417464796"/>
      <w:r>
        <w:rPr>
          <w:color w:val="auto"/>
        </w:rPr>
        <w:t>（</w:t>
      </w:r>
      <w:r>
        <w:rPr>
          <w:rFonts w:hint="eastAsia"/>
          <w:color w:val="auto"/>
        </w:rPr>
        <w:t>1</w:t>
      </w:r>
      <w:r>
        <w:rPr>
          <w:color w:val="auto"/>
        </w:rPr>
        <w:t>）《</w:t>
      </w:r>
      <w:r>
        <w:rPr>
          <w:rFonts w:hint="eastAsia"/>
          <w:color w:val="auto"/>
        </w:rPr>
        <w:t>环境保护图形标志-排放口（源）</w:t>
      </w:r>
      <w:r>
        <w:rPr>
          <w:color w:val="auto"/>
        </w:rPr>
        <w:t>》（GB15562.1-1995）；</w:t>
      </w:r>
    </w:p>
    <w:p w14:paraId="3BD510CE">
      <w:pPr>
        <w:pStyle w:val="132"/>
        <w:spacing w:line="480" w:lineRule="exact"/>
        <w:rPr>
          <w:color w:val="auto"/>
        </w:rPr>
      </w:pPr>
      <w:r>
        <w:rPr>
          <w:color w:val="auto"/>
        </w:rPr>
        <w:t>（</w:t>
      </w:r>
      <w:r>
        <w:rPr>
          <w:rFonts w:hint="eastAsia"/>
          <w:color w:val="auto"/>
        </w:rPr>
        <w:t>2</w:t>
      </w:r>
      <w:r>
        <w:rPr>
          <w:color w:val="auto"/>
        </w:rPr>
        <w:t>）《环境保护图形标志 固体废物贮存（处置）场》（GB155562.2-1995）</w:t>
      </w:r>
      <w:r>
        <w:rPr>
          <w:rFonts w:hint="eastAsia"/>
          <w:color w:val="auto"/>
        </w:rPr>
        <w:t>及修改单</w:t>
      </w:r>
      <w:r>
        <w:rPr>
          <w:color w:val="auto"/>
        </w:rPr>
        <w:t>。</w:t>
      </w:r>
    </w:p>
    <w:p w14:paraId="77F27BA2">
      <w:pPr>
        <w:pStyle w:val="3"/>
        <w:spacing w:line="480" w:lineRule="exact"/>
        <w:rPr>
          <w:snapToGrid w:val="0"/>
          <w:color w:val="auto"/>
        </w:rPr>
      </w:pPr>
      <w:bookmarkStart w:id="152" w:name="_Toc81245399"/>
      <w:bookmarkStart w:id="153" w:name="_Toc229930119"/>
      <w:r>
        <w:rPr>
          <w:rFonts w:hint="eastAsia"/>
          <w:snapToGrid w:val="0"/>
          <w:color w:val="auto"/>
        </w:rPr>
        <w:t>评价内容、评价重点及评价时段</w:t>
      </w:r>
      <w:bookmarkEnd w:id="152"/>
      <w:bookmarkEnd w:id="153"/>
    </w:p>
    <w:p w14:paraId="2C7DFD06">
      <w:pPr>
        <w:pStyle w:val="4"/>
        <w:spacing w:line="480" w:lineRule="exact"/>
        <w:rPr>
          <w:color w:val="auto"/>
        </w:rPr>
      </w:pPr>
      <w:bookmarkStart w:id="154" w:name="_Toc81245400"/>
      <w:r>
        <w:rPr>
          <w:rFonts w:hint="eastAsia"/>
          <w:color w:val="auto"/>
        </w:rPr>
        <w:t>评价内容</w:t>
      </w:r>
      <w:bookmarkEnd w:id="154"/>
    </w:p>
    <w:p w14:paraId="78609CBA">
      <w:pPr>
        <w:pStyle w:val="1691"/>
        <w:spacing w:line="480" w:lineRule="exact"/>
        <w:ind w:firstLine="480"/>
        <w:rPr>
          <w:rFonts w:hint="eastAsia" w:ascii="宋体" w:hAnsi="宋体"/>
          <w:color w:val="auto"/>
        </w:rPr>
      </w:pPr>
      <w:r>
        <w:rPr>
          <w:rFonts w:hint="eastAsia" w:ascii="宋体" w:hAnsi="宋体"/>
          <w:color w:val="auto"/>
        </w:rPr>
        <w:t>本次评价主要工作内容包括：拟建工程概况、工程分析、环境现状调查与评价、环境影响预测与分析、环境风险分析、环保措施可行性论证、环境影响经济损益分析、环境管理计划等。</w:t>
      </w:r>
    </w:p>
    <w:p w14:paraId="2D698BB3">
      <w:pPr>
        <w:pStyle w:val="4"/>
        <w:spacing w:line="480" w:lineRule="exact"/>
        <w:rPr>
          <w:color w:val="auto"/>
        </w:rPr>
      </w:pPr>
      <w:bookmarkStart w:id="155" w:name="_Toc81245401"/>
      <w:r>
        <w:rPr>
          <w:rFonts w:hint="eastAsia"/>
          <w:color w:val="auto"/>
        </w:rPr>
        <w:t>评价重点</w:t>
      </w:r>
      <w:bookmarkEnd w:id="155"/>
    </w:p>
    <w:p w14:paraId="45211CE1">
      <w:pPr>
        <w:pStyle w:val="1691"/>
        <w:spacing w:line="480" w:lineRule="exact"/>
        <w:ind w:firstLine="480"/>
        <w:rPr>
          <w:rFonts w:hint="eastAsia" w:ascii="宋体" w:hAnsi="宋体"/>
          <w:color w:val="auto"/>
        </w:rPr>
      </w:pPr>
      <w:r>
        <w:rPr>
          <w:rFonts w:hint="eastAsia" w:ascii="宋体" w:hAnsi="宋体"/>
          <w:color w:val="auto"/>
        </w:rPr>
        <w:t>本次评价重点包括：拟建项目工程分析、大气环境影响评价、环境风险影响分析、环境保护措施可行性论证等。</w:t>
      </w:r>
    </w:p>
    <w:p w14:paraId="225DCF30">
      <w:pPr>
        <w:pStyle w:val="4"/>
        <w:spacing w:line="480" w:lineRule="exact"/>
        <w:rPr>
          <w:color w:val="auto"/>
        </w:rPr>
      </w:pPr>
      <w:bookmarkStart w:id="156" w:name="_Toc81245402"/>
      <w:r>
        <w:rPr>
          <w:rFonts w:hint="eastAsia"/>
          <w:color w:val="auto"/>
        </w:rPr>
        <w:t>评价时段</w:t>
      </w:r>
      <w:bookmarkEnd w:id="156"/>
    </w:p>
    <w:p w14:paraId="03E22A0D">
      <w:pPr>
        <w:pStyle w:val="132"/>
        <w:spacing w:line="480" w:lineRule="exact"/>
        <w:rPr>
          <w:color w:val="auto"/>
        </w:rPr>
      </w:pPr>
      <w:r>
        <w:rPr>
          <w:rFonts w:hint="eastAsia" w:ascii="宋体" w:hAnsi="宋体"/>
          <w:color w:val="auto"/>
        </w:rPr>
        <w:t>本项目评价时段分为施工期、运行期两个时段。</w:t>
      </w:r>
    </w:p>
    <w:p w14:paraId="1673DE63">
      <w:pPr>
        <w:pStyle w:val="3"/>
        <w:spacing w:line="480" w:lineRule="exact"/>
        <w:rPr>
          <w:color w:val="auto"/>
        </w:rPr>
      </w:pPr>
      <w:bookmarkStart w:id="157" w:name="_Toc229930120"/>
      <w:bookmarkStart w:id="158" w:name="_Hlk174094401"/>
      <w:r>
        <w:rPr>
          <w:color w:val="auto"/>
        </w:rPr>
        <w:t>环境保护目标</w:t>
      </w:r>
      <w:bookmarkEnd w:id="142"/>
      <w:bookmarkEnd w:id="143"/>
      <w:bookmarkEnd w:id="144"/>
      <w:bookmarkEnd w:id="145"/>
      <w:bookmarkEnd w:id="146"/>
      <w:bookmarkEnd w:id="147"/>
      <w:bookmarkEnd w:id="148"/>
      <w:bookmarkEnd w:id="149"/>
      <w:bookmarkEnd w:id="150"/>
      <w:bookmarkEnd w:id="151"/>
      <w:bookmarkEnd w:id="157"/>
    </w:p>
    <w:p w14:paraId="76272F23">
      <w:pPr>
        <w:spacing w:line="480" w:lineRule="exact"/>
        <w:ind w:firstLine="480" w:firstLineChars="200"/>
        <w:jc w:val="both"/>
        <w:rPr>
          <w:color w:val="auto"/>
          <w:sz w:val="24"/>
        </w:rPr>
      </w:pPr>
      <w:r>
        <w:rPr>
          <w:color w:val="auto"/>
          <w:sz w:val="24"/>
        </w:rPr>
        <w:t>根据现场踏勘情况及相关资料，了解</w:t>
      </w:r>
      <w:r>
        <w:rPr>
          <w:rFonts w:hint="eastAsia"/>
          <w:color w:val="auto"/>
          <w:sz w:val="24"/>
        </w:rPr>
        <w:t>本项目</w:t>
      </w:r>
      <w:r>
        <w:rPr>
          <w:color w:val="auto"/>
          <w:sz w:val="24"/>
        </w:rPr>
        <w:t>厂址周围环境敏感点分布情况，确定本次评价的环境保护目标。本项目</w:t>
      </w:r>
      <w:r>
        <w:rPr>
          <w:rFonts w:hint="eastAsia"/>
          <w:color w:val="auto"/>
          <w:sz w:val="24"/>
        </w:rPr>
        <w:t>位于</w:t>
      </w:r>
      <w:r>
        <w:rPr>
          <w:rFonts w:hint="eastAsia"/>
          <w:color w:val="auto"/>
        </w:rPr>
        <w:t>乌</w:t>
      </w:r>
      <w:r>
        <w:rPr>
          <w:rFonts w:hint="eastAsia"/>
          <w:color w:val="auto"/>
          <w:sz w:val="24"/>
        </w:rPr>
        <w:t>鲁木齐甘泉堡经济技术开发区（工业区）化工园区内</w:t>
      </w:r>
      <w:r>
        <w:rPr>
          <w:color w:val="auto"/>
          <w:sz w:val="24"/>
        </w:rPr>
        <w:t>，</w:t>
      </w:r>
      <w:r>
        <w:rPr>
          <w:rFonts w:hint="eastAsia"/>
          <w:color w:val="auto"/>
          <w:sz w:val="24"/>
        </w:rPr>
        <w:t>经现场踏勘可知，项目所在区域</w:t>
      </w:r>
      <w:r>
        <w:rPr>
          <w:color w:val="auto"/>
          <w:sz w:val="24"/>
        </w:rPr>
        <w:t>及周边无自然保护区、风景名胜区、饮用水源地等需特殊保护区域。评价</w:t>
      </w:r>
      <w:r>
        <w:rPr>
          <w:rFonts w:hint="eastAsia"/>
          <w:color w:val="auto"/>
          <w:sz w:val="24"/>
        </w:rPr>
        <w:t>范围</w:t>
      </w:r>
      <w:r>
        <w:rPr>
          <w:color w:val="auto"/>
          <w:sz w:val="24"/>
        </w:rPr>
        <w:t>内主要</w:t>
      </w:r>
      <w:r>
        <w:rPr>
          <w:rFonts w:hint="eastAsia"/>
          <w:color w:val="auto"/>
          <w:sz w:val="24"/>
        </w:rPr>
        <w:t>环境敏感</w:t>
      </w:r>
      <w:r>
        <w:rPr>
          <w:color w:val="auto"/>
          <w:sz w:val="24"/>
        </w:rPr>
        <w:t>保护目标</w:t>
      </w:r>
      <w:r>
        <w:rPr>
          <w:rFonts w:hint="eastAsia"/>
          <w:color w:val="auto"/>
          <w:sz w:val="24"/>
        </w:rPr>
        <w:t>包括：</w:t>
      </w:r>
      <w:r>
        <w:rPr>
          <w:color w:val="auto"/>
          <w:sz w:val="24"/>
        </w:rPr>
        <w:t>厂址附近的零散居民</w:t>
      </w:r>
      <w:r>
        <w:rPr>
          <w:rFonts w:hint="eastAsia"/>
          <w:color w:val="auto"/>
          <w:sz w:val="24"/>
        </w:rPr>
        <w:t>、地表水、地下水等。</w:t>
      </w:r>
    </w:p>
    <w:p w14:paraId="5848543D">
      <w:pPr>
        <w:pStyle w:val="132"/>
        <w:spacing w:line="480" w:lineRule="exact"/>
        <w:rPr>
          <w:color w:val="auto"/>
        </w:rPr>
      </w:pPr>
      <w:r>
        <w:rPr>
          <w:color w:val="auto"/>
        </w:rPr>
        <w:t>本项目评价范围内主要环境敏感保护</w:t>
      </w:r>
      <w:r>
        <w:rPr>
          <w:rFonts w:hint="eastAsia"/>
          <w:color w:val="auto"/>
        </w:rPr>
        <w:t>目标一览表，</w:t>
      </w:r>
      <w:r>
        <w:rPr>
          <w:color w:val="auto"/>
        </w:rPr>
        <w:t>见表</w:t>
      </w:r>
      <w:r>
        <w:rPr>
          <w:rFonts w:hint="eastAsia"/>
          <w:color w:val="auto"/>
        </w:rPr>
        <w:t>2.7-1、表2.7-2和图2.4-1</w:t>
      </w:r>
      <w:r>
        <w:rPr>
          <w:color w:val="auto"/>
        </w:rPr>
        <w:t>。</w:t>
      </w:r>
    </w:p>
    <w:p w14:paraId="69D4922E">
      <w:pPr>
        <w:pStyle w:val="1060"/>
        <w:rPr>
          <w:color w:val="auto"/>
        </w:rPr>
      </w:pPr>
      <w:bookmarkStart w:id="159" w:name="_Hlk197807909"/>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 xml:space="preserve">  本项目</w:t>
      </w:r>
      <w:r>
        <w:rPr>
          <w:color w:val="auto"/>
        </w:rPr>
        <w:t>主要环境敏感保护目标</w:t>
      </w:r>
      <w:bookmarkStart w:id="160" w:name="_Toc151272187"/>
      <w:bookmarkStart w:id="161" w:name="_Toc151378085"/>
      <w:bookmarkStart w:id="162" w:name="_Toc178768375"/>
      <w:bookmarkStart w:id="163" w:name="_Toc150591280"/>
      <w:bookmarkStart w:id="164" w:name="_Toc175661852"/>
      <w:bookmarkStart w:id="165" w:name="_Toc180743072"/>
      <w:bookmarkStart w:id="166" w:name="_Toc150266518"/>
      <w:bookmarkStart w:id="167" w:name="_Toc150266362"/>
      <w:bookmarkStart w:id="168" w:name="_Toc167105576"/>
      <w:bookmarkStart w:id="169" w:name="_Toc241825797"/>
      <w:bookmarkStart w:id="170" w:name="_Toc150771780"/>
      <w:bookmarkStart w:id="171" w:name="_Toc175657065"/>
      <w:bookmarkStart w:id="172" w:name="_Toc181247549"/>
      <w:bookmarkStart w:id="173" w:name="_Toc167509127"/>
      <w:bookmarkStart w:id="174" w:name="_Toc167103130"/>
      <w:bookmarkStart w:id="175" w:name="_Toc167103057"/>
      <w:bookmarkStart w:id="176" w:name="_Toc150608648"/>
      <w:bookmarkStart w:id="177" w:name="_Toc137098527"/>
      <w:bookmarkStart w:id="178" w:name="_Toc245100620"/>
      <w:bookmarkStart w:id="179" w:name="_Toc150588420"/>
      <w:r>
        <w:rPr>
          <w:color w:val="auto"/>
        </w:rPr>
        <w:t>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529"/>
        <w:gridCol w:w="891"/>
        <w:gridCol w:w="1887"/>
        <w:gridCol w:w="972"/>
        <w:gridCol w:w="973"/>
        <w:gridCol w:w="3534"/>
      </w:tblGrid>
      <w:tr w14:paraId="71B6BE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301" w:type="pct"/>
            <w:vAlign w:val="center"/>
          </w:tcPr>
          <w:p w14:paraId="1AF8EFBD">
            <w:pPr>
              <w:pStyle w:val="129"/>
              <w:widowControl w:val="0"/>
              <w:spacing w:line="320" w:lineRule="exact"/>
              <w:rPr>
                <w:color w:val="auto"/>
                <w:lang w:val="zh-CN"/>
              </w:rPr>
            </w:pPr>
            <w:r>
              <w:rPr>
                <w:color w:val="auto"/>
                <w:lang w:val="zh-CN"/>
              </w:rPr>
              <w:t>序号</w:t>
            </w:r>
          </w:p>
        </w:tc>
        <w:tc>
          <w:tcPr>
            <w:tcW w:w="507" w:type="pct"/>
            <w:vAlign w:val="center"/>
          </w:tcPr>
          <w:p w14:paraId="5B11F741">
            <w:pPr>
              <w:pStyle w:val="129"/>
              <w:widowControl w:val="0"/>
              <w:spacing w:line="320" w:lineRule="exact"/>
              <w:rPr>
                <w:color w:val="auto"/>
                <w:lang w:val="zh-CN"/>
              </w:rPr>
            </w:pPr>
            <w:r>
              <w:rPr>
                <w:color w:val="auto"/>
                <w:lang w:val="zh-CN"/>
              </w:rPr>
              <w:t>保护</w:t>
            </w:r>
          </w:p>
          <w:p w14:paraId="5B477165">
            <w:pPr>
              <w:pStyle w:val="129"/>
              <w:widowControl w:val="0"/>
              <w:spacing w:line="320" w:lineRule="exact"/>
              <w:rPr>
                <w:color w:val="auto"/>
                <w:lang w:val="zh-CN"/>
              </w:rPr>
            </w:pPr>
            <w:r>
              <w:rPr>
                <w:color w:val="auto"/>
                <w:lang w:val="zh-CN"/>
              </w:rPr>
              <w:t>类型</w:t>
            </w:r>
          </w:p>
        </w:tc>
        <w:tc>
          <w:tcPr>
            <w:tcW w:w="1074" w:type="pct"/>
            <w:vAlign w:val="center"/>
          </w:tcPr>
          <w:p w14:paraId="5ED62866">
            <w:pPr>
              <w:pStyle w:val="129"/>
              <w:widowControl w:val="0"/>
              <w:spacing w:line="320" w:lineRule="exact"/>
              <w:rPr>
                <w:color w:val="auto"/>
                <w:lang w:val="zh-CN"/>
              </w:rPr>
            </w:pPr>
            <w:r>
              <w:rPr>
                <w:color w:val="auto"/>
                <w:lang w:val="zh-CN"/>
              </w:rPr>
              <w:t>环境敏感目标</w:t>
            </w:r>
          </w:p>
        </w:tc>
        <w:tc>
          <w:tcPr>
            <w:tcW w:w="1107" w:type="pct"/>
            <w:gridSpan w:val="2"/>
            <w:vAlign w:val="center"/>
          </w:tcPr>
          <w:p w14:paraId="58D8C2CB">
            <w:pPr>
              <w:pStyle w:val="129"/>
              <w:widowControl w:val="0"/>
              <w:spacing w:line="320" w:lineRule="exact"/>
              <w:rPr>
                <w:color w:val="auto"/>
                <w:lang w:val="zh-CN"/>
              </w:rPr>
            </w:pPr>
            <w:r>
              <w:rPr>
                <w:color w:val="auto"/>
              </w:rPr>
              <w:t>与项目的相对位置及距离</w:t>
            </w:r>
          </w:p>
        </w:tc>
        <w:tc>
          <w:tcPr>
            <w:tcW w:w="2011" w:type="pct"/>
            <w:vAlign w:val="center"/>
          </w:tcPr>
          <w:p w14:paraId="0EB5DB9D">
            <w:pPr>
              <w:pStyle w:val="129"/>
              <w:widowControl w:val="0"/>
              <w:spacing w:line="320" w:lineRule="exact"/>
              <w:rPr>
                <w:color w:val="auto"/>
                <w:lang w:val="zh-CN"/>
              </w:rPr>
            </w:pPr>
            <w:r>
              <w:rPr>
                <w:color w:val="auto"/>
              </w:rPr>
              <w:t>环境保护要求</w:t>
            </w:r>
          </w:p>
        </w:tc>
      </w:tr>
      <w:tr w14:paraId="76C16A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1" w:type="pct"/>
            <w:vMerge w:val="restart"/>
            <w:vAlign w:val="center"/>
          </w:tcPr>
          <w:p w14:paraId="0AC26AC2">
            <w:pPr>
              <w:pStyle w:val="129"/>
              <w:widowControl w:val="0"/>
              <w:spacing w:line="320" w:lineRule="exact"/>
              <w:rPr>
                <w:color w:val="auto"/>
                <w:lang w:val="zh-CN"/>
              </w:rPr>
            </w:pPr>
            <w:r>
              <w:rPr>
                <w:color w:val="auto"/>
                <w:lang w:val="zh-CN"/>
              </w:rPr>
              <w:t>1</w:t>
            </w:r>
          </w:p>
        </w:tc>
        <w:tc>
          <w:tcPr>
            <w:tcW w:w="507" w:type="pct"/>
            <w:vMerge w:val="restart"/>
            <w:vAlign w:val="center"/>
          </w:tcPr>
          <w:p w14:paraId="5F865570">
            <w:pPr>
              <w:pStyle w:val="129"/>
              <w:widowControl w:val="0"/>
              <w:spacing w:line="320" w:lineRule="exact"/>
              <w:rPr>
                <w:color w:val="auto"/>
                <w:lang w:val="zh-CN"/>
              </w:rPr>
            </w:pPr>
            <w:r>
              <w:rPr>
                <w:color w:val="auto"/>
                <w:lang w:val="zh-CN"/>
              </w:rPr>
              <w:t>环境</w:t>
            </w:r>
          </w:p>
          <w:p w14:paraId="3F889609">
            <w:pPr>
              <w:pStyle w:val="129"/>
              <w:widowControl w:val="0"/>
              <w:spacing w:line="320" w:lineRule="exact"/>
              <w:rPr>
                <w:color w:val="auto"/>
                <w:lang w:val="zh-CN"/>
              </w:rPr>
            </w:pPr>
            <w:r>
              <w:rPr>
                <w:color w:val="auto"/>
                <w:lang w:val="zh-CN"/>
              </w:rPr>
              <w:t>空气</w:t>
            </w:r>
          </w:p>
        </w:tc>
        <w:tc>
          <w:tcPr>
            <w:tcW w:w="1074" w:type="pct"/>
            <w:vAlign w:val="center"/>
          </w:tcPr>
          <w:p w14:paraId="75F0A3C5">
            <w:pPr>
              <w:pStyle w:val="129"/>
              <w:widowControl w:val="0"/>
              <w:spacing w:line="320" w:lineRule="exact"/>
              <w:rPr>
                <w:color w:val="auto"/>
              </w:rPr>
            </w:pPr>
            <w:r>
              <w:rPr>
                <w:color w:val="auto"/>
              </w:rPr>
              <w:t>新达社区</w:t>
            </w:r>
          </w:p>
        </w:tc>
        <w:tc>
          <w:tcPr>
            <w:tcW w:w="553" w:type="pct"/>
            <w:vAlign w:val="center"/>
          </w:tcPr>
          <w:p w14:paraId="2BC7A7DE">
            <w:pPr>
              <w:pStyle w:val="129"/>
              <w:widowControl w:val="0"/>
              <w:spacing w:line="320" w:lineRule="exact"/>
              <w:rPr>
                <w:color w:val="auto"/>
              </w:rPr>
            </w:pPr>
            <w:r>
              <w:rPr>
                <w:color w:val="auto"/>
              </w:rPr>
              <w:t>东北</w:t>
            </w:r>
          </w:p>
        </w:tc>
        <w:tc>
          <w:tcPr>
            <w:tcW w:w="554" w:type="pct"/>
            <w:vAlign w:val="center"/>
          </w:tcPr>
          <w:p w14:paraId="257FA752">
            <w:pPr>
              <w:pStyle w:val="129"/>
              <w:widowControl w:val="0"/>
              <w:spacing w:line="320" w:lineRule="exact"/>
              <w:rPr>
                <w:color w:val="auto"/>
              </w:rPr>
            </w:pPr>
            <w:r>
              <w:rPr>
                <w:color w:val="auto"/>
              </w:rPr>
              <w:t>2.</w:t>
            </w:r>
            <w:r>
              <w:rPr>
                <w:rFonts w:hint="eastAsia"/>
                <w:color w:val="auto"/>
              </w:rPr>
              <w:t>06km</w:t>
            </w:r>
          </w:p>
        </w:tc>
        <w:tc>
          <w:tcPr>
            <w:tcW w:w="2011" w:type="pct"/>
            <w:vMerge w:val="restart"/>
            <w:vAlign w:val="center"/>
          </w:tcPr>
          <w:p w14:paraId="2D42CD0E">
            <w:pPr>
              <w:pStyle w:val="129"/>
              <w:widowControl w:val="0"/>
              <w:spacing w:line="320" w:lineRule="exact"/>
              <w:rPr>
                <w:color w:val="auto"/>
              </w:rPr>
            </w:pPr>
            <w:r>
              <w:rPr>
                <w:color w:val="auto"/>
              </w:rPr>
              <w:t>《环境空气质量标准》（</w:t>
            </w:r>
            <w:r>
              <w:rPr>
                <w:rFonts w:hint="eastAsia"/>
                <w:color w:val="auto"/>
              </w:rPr>
              <w:t>GB 3095-2026</w:t>
            </w:r>
            <w:r>
              <w:rPr>
                <w:color w:val="auto"/>
              </w:rPr>
              <w:t>）</w:t>
            </w:r>
          </w:p>
        </w:tc>
      </w:tr>
      <w:tr w14:paraId="22ADDD7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1" w:type="pct"/>
            <w:vMerge w:val="continue"/>
            <w:vAlign w:val="center"/>
          </w:tcPr>
          <w:p w14:paraId="752DF694">
            <w:pPr>
              <w:pStyle w:val="129"/>
              <w:widowControl w:val="0"/>
              <w:spacing w:line="320" w:lineRule="exact"/>
              <w:rPr>
                <w:color w:val="auto"/>
                <w:lang w:val="zh-CN"/>
              </w:rPr>
            </w:pPr>
          </w:p>
        </w:tc>
        <w:tc>
          <w:tcPr>
            <w:tcW w:w="507" w:type="pct"/>
            <w:vMerge w:val="continue"/>
            <w:vAlign w:val="center"/>
          </w:tcPr>
          <w:p w14:paraId="7F59787C">
            <w:pPr>
              <w:pStyle w:val="129"/>
              <w:widowControl w:val="0"/>
              <w:spacing w:line="320" w:lineRule="exact"/>
              <w:rPr>
                <w:color w:val="auto"/>
                <w:lang w:val="zh-CN"/>
              </w:rPr>
            </w:pPr>
          </w:p>
        </w:tc>
        <w:tc>
          <w:tcPr>
            <w:tcW w:w="1074" w:type="pct"/>
            <w:vAlign w:val="center"/>
          </w:tcPr>
          <w:p w14:paraId="26701C78">
            <w:pPr>
              <w:pStyle w:val="129"/>
              <w:widowControl w:val="0"/>
              <w:spacing w:line="320" w:lineRule="exact"/>
              <w:rPr>
                <w:color w:val="auto"/>
              </w:rPr>
            </w:pPr>
            <w:r>
              <w:rPr>
                <w:color w:val="auto"/>
              </w:rPr>
              <w:t>乌鲁木齐市第137中学</w:t>
            </w:r>
          </w:p>
        </w:tc>
        <w:tc>
          <w:tcPr>
            <w:tcW w:w="553" w:type="pct"/>
            <w:vAlign w:val="center"/>
          </w:tcPr>
          <w:p w14:paraId="3600DEF7">
            <w:pPr>
              <w:pStyle w:val="129"/>
              <w:widowControl w:val="0"/>
              <w:spacing w:line="320" w:lineRule="exact"/>
              <w:rPr>
                <w:color w:val="auto"/>
              </w:rPr>
            </w:pPr>
            <w:r>
              <w:rPr>
                <w:color w:val="auto"/>
              </w:rPr>
              <w:t>东北</w:t>
            </w:r>
          </w:p>
        </w:tc>
        <w:tc>
          <w:tcPr>
            <w:tcW w:w="554" w:type="pct"/>
            <w:vAlign w:val="center"/>
          </w:tcPr>
          <w:p w14:paraId="5A768C7C">
            <w:pPr>
              <w:pStyle w:val="129"/>
              <w:widowControl w:val="0"/>
              <w:spacing w:line="320" w:lineRule="exact"/>
              <w:rPr>
                <w:color w:val="auto"/>
              </w:rPr>
            </w:pPr>
            <w:r>
              <w:rPr>
                <w:rFonts w:hint="eastAsia"/>
                <w:color w:val="auto"/>
              </w:rPr>
              <w:t>1.57km</w:t>
            </w:r>
          </w:p>
        </w:tc>
        <w:tc>
          <w:tcPr>
            <w:tcW w:w="2011" w:type="pct"/>
            <w:vMerge w:val="continue"/>
            <w:vAlign w:val="center"/>
          </w:tcPr>
          <w:p w14:paraId="10F85A53">
            <w:pPr>
              <w:pStyle w:val="129"/>
              <w:widowControl w:val="0"/>
              <w:spacing w:line="320" w:lineRule="exact"/>
              <w:rPr>
                <w:color w:val="auto"/>
              </w:rPr>
            </w:pPr>
          </w:p>
        </w:tc>
      </w:tr>
      <w:tr w14:paraId="4EF8819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1" w:type="pct"/>
            <w:vAlign w:val="center"/>
          </w:tcPr>
          <w:p w14:paraId="03172596">
            <w:pPr>
              <w:pStyle w:val="129"/>
              <w:widowControl w:val="0"/>
              <w:spacing w:line="320" w:lineRule="exact"/>
              <w:rPr>
                <w:color w:val="auto"/>
                <w:lang w:val="zh-CN"/>
              </w:rPr>
            </w:pPr>
            <w:r>
              <w:rPr>
                <w:color w:val="auto"/>
                <w:lang w:val="zh-CN"/>
              </w:rPr>
              <w:t>2</w:t>
            </w:r>
          </w:p>
        </w:tc>
        <w:tc>
          <w:tcPr>
            <w:tcW w:w="507" w:type="pct"/>
            <w:vAlign w:val="center"/>
          </w:tcPr>
          <w:p w14:paraId="2A0993CE">
            <w:pPr>
              <w:pStyle w:val="129"/>
              <w:widowControl w:val="0"/>
              <w:spacing w:line="320" w:lineRule="exact"/>
              <w:rPr>
                <w:color w:val="auto"/>
                <w:lang w:val="zh-CN"/>
              </w:rPr>
            </w:pPr>
            <w:r>
              <w:rPr>
                <w:color w:val="auto"/>
                <w:lang w:val="zh-CN"/>
              </w:rPr>
              <w:t>地表水环境</w:t>
            </w:r>
          </w:p>
        </w:tc>
        <w:tc>
          <w:tcPr>
            <w:tcW w:w="1074" w:type="pct"/>
            <w:vAlign w:val="center"/>
          </w:tcPr>
          <w:p w14:paraId="4C781509">
            <w:pPr>
              <w:pStyle w:val="129"/>
              <w:widowControl w:val="0"/>
              <w:spacing w:line="320" w:lineRule="exact"/>
              <w:rPr>
                <w:color w:val="auto"/>
                <w:lang w:val="zh-CN"/>
              </w:rPr>
            </w:pPr>
            <w:r>
              <w:rPr>
                <w:rFonts w:hint="eastAsia"/>
                <w:color w:val="auto"/>
                <w:lang w:val="zh-CN"/>
              </w:rPr>
              <w:t>西延干渠</w:t>
            </w:r>
          </w:p>
        </w:tc>
        <w:tc>
          <w:tcPr>
            <w:tcW w:w="1107" w:type="pct"/>
            <w:gridSpan w:val="2"/>
            <w:vAlign w:val="center"/>
          </w:tcPr>
          <w:p w14:paraId="35CBEAE3">
            <w:pPr>
              <w:pStyle w:val="129"/>
              <w:widowControl w:val="0"/>
              <w:spacing w:line="320" w:lineRule="exact"/>
              <w:rPr>
                <w:color w:val="auto"/>
              </w:rPr>
            </w:pPr>
            <w:r>
              <w:rPr>
                <w:rFonts w:hint="eastAsia"/>
                <w:color w:val="auto"/>
              </w:rPr>
              <w:t>南</w:t>
            </w:r>
            <w:r>
              <w:rPr>
                <w:color w:val="auto"/>
              </w:rPr>
              <w:t>约</w:t>
            </w:r>
            <w:r>
              <w:rPr>
                <w:rFonts w:hint="eastAsia"/>
                <w:color w:val="auto"/>
              </w:rPr>
              <w:t>321</w:t>
            </w:r>
            <w:r>
              <w:rPr>
                <w:color w:val="auto"/>
              </w:rPr>
              <w:t>m</w:t>
            </w:r>
          </w:p>
        </w:tc>
        <w:tc>
          <w:tcPr>
            <w:tcW w:w="2011" w:type="pct"/>
            <w:vAlign w:val="center"/>
          </w:tcPr>
          <w:p w14:paraId="6AFEE087">
            <w:pPr>
              <w:pStyle w:val="129"/>
              <w:widowControl w:val="0"/>
              <w:spacing w:line="320" w:lineRule="exact"/>
              <w:rPr>
                <w:color w:val="auto"/>
                <w:lang w:val="zh-CN"/>
              </w:rPr>
            </w:pPr>
            <w:r>
              <w:rPr>
                <w:color w:val="auto"/>
              </w:rPr>
              <w:t>《地表水环境质量标准》（GB3838-2002）中</w:t>
            </w:r>
            <w:r>
              <w:rPr>
                <w:rFonts w:ascii="宋体" w:hAnsi="宋体" w:cs="宋体"/>
                <w:color w:val="auto"/>
              </w:rPr>
              <w:t>IV</w:t>
            </w:r>
            <w:r>
              <w:rPr>
                <w:color w:val="auto"/>
                <w:lang w:val="zh-CN"/>
              </w:rPr>
              <w:t>标准</w:t>
            </w:r>
          </w:p>
        </w:tc>
      </w:tr>
      <w:tr w14:paraId="16A5EF7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1" w:type="pct"/>
            <w:vAlign w:val="center"/>
          </w:tcPr>
          <w:p w14:paraId="2E917DDD">
            <w:pPr>
              <w:pStyle w:val="129"/>
              <w:widowControl w:val="0"/>
              <w:spacing w:line="320" w:lineRule="exact"/>
              <w:rPr>
                <w:color w:val="auto"/>
                <w:lang w:val="zh-CN"/>
              </w:rPr>
            </w:pPr>
            <w:r>
              <w:rPr>
                <w:color w:val="auto"/>
                <w:lang w:val="zh-CN"/>
              </w:rPr>
              <w:t>3</w:t>
            </w:r>
          </w:p>
        </w:tc>
        <w:tc>
          <w:tcPr>
            <w:tcW w:w="507" w:type="pct"/>
            <w:vAlign w:val="center"/>
          </w:tcPr>
          <w:p w14:paraId="1E965D9B">
            <w:pPr>
              <w:pStyle w:val="129"/>
              <w:widowControl w:val="0"/>
              <w:spacing w:line="320" w:lineRule="exact"/>
              <w:rPr>
                <w:color w:val="auto"/>
                <w:lang w:val="zh-CN"/>
              </w:rPr>
            </w:pPr>
            <w:r>
              <w:rPr>
                <w:color w:val="auto"/>
                <w:lang w:val="zh-CN"/>
              </w:rPr>
              <w:t>地下水环境</w:t>
            </w:r>
          </w:p>
        </w:tc>
        <w:tc>
          <w:tcPr>
            <w:tcW w:w="1074" w:type="pct"/>
            <w:vAlign w:val="center"/>
          </w:tcPr>
          <w:p w14:paraId="0991C061">
            <w:pPr>
              <w:pStyle w:val="129"/>
              <w:widowControl w:val="0"/>
              <w:spacing w:line="320" w:lineRule="exact"/>
              <w:rPr>
                <w:color w:val="auto"/>
                <w:lang w:val="zh-CN"/>
              </w:rPr>
            </w:pPr>
            <w:r>
              <w:rPr>
                <w:color w:val="auto"/>
                <w:lang w:val="zh-CN"/>
              </w:rPr>
              <w:t>项目区</w:t>
            </w:r>
            <w:r>
              <w:rPr>
                <w:rFonts w:hint="eastAsia"/>
                <w:color w:val="auto"/>
                <w:lang w:val="zh-CN"/>
              </w:rPr>
              <w:t>潜水含水层</w:t>
            </w:r>
          </w:p>
        </w:tc>
        <w:tc>
          <w:tcPr>
            <w:tcW w:w="1107" w:type="pct"/>
            <w:gridSpan w:val="2"/>
            <w:vAlign w:val="center"/>
          </w:tcPr>
          <w:p w14:paraId="378DFE23">
            <w:pPr>
              <w:pStyle w:val="129"/>
              <w:widowControl w:val="0"/>
              <w:spacing w:line="320" w:lineRule="exact"/>
              <w:rPr>
                <w:color w:val="auto"/>
              </w:rPr>
            </w:pPr>
            <w:r>
              <w:rPr>
                <w:color w:val="auto"/>
                <w:lang w:val="zh-CN"/>
              </w:rPr>
              <w:t>---</w:t>
            </w:r>
          </w:p>
        </w:tc>
        <w:tc>
          <w:tcPr>
            <w:tcW w:w="2011" w:type="pct"/>
            <w:vAlign w:val="center"/>
          </w:tcPr>
          <w:p w14:paraId="5D5B67B2">
            <w:pPr>
              <w:pStyle w:val="129"/>
              <w:widowControl w:val="0"/>
              <w:spacing w:line="320" w:lineRule="exact"/>
              <w:rPr>
                <w:color w:val="auto"/>
                <w:spacing w:val="-20"/>
                <w:lang w:val="zh-CN"/>
              </w:rPr>
            </w:pPr>
            <w:r>
              <w:rPr>
                <w:rFonts w:hint="eastAsia"/>
                <w:color w:val="auto"/>
              </w:rPr>
              <w:t>参照</w:t>
            </w:r>
            <w:r>
              <w:rPr>
                <w:color w:val="auto"/>
              </w:rPr>
              <w:t>《地下水质量标准》（GB/T14848-2017）中Ⅲ类标准</w:t>
            </w:r>
          </w:p>
        </w:tc>
      </w:tr>
      <w:tr w14:paraId="05ADCA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1" w:type="pct"/>
            <w:vAlign w:val="center"/>
          </w:tcPr>
          <w:p w14:paraId="76E11706">
            <w:pPr>
              <w:pStyle w:val="129"/>
              <w:widowControl w:val="0"/>
              <w:spacing w:line="320" w:lineRule="exact"/>
              <w:rPr>
                <w:color w:val="auto"/>
                <w:lang w:val="zh-CN"/>
              </w:rPr>
            </w:pPr>
            <w:r>
              <w:rPr>
                <w:color w:val="auto"/>
                <w:lang w:val="zh-CN"/>
              </w:rPr>
              <w:t>4</w:t>
            </w:r>
          </w:p>
        </w:tc>
        <w:tc>
          <w:tcPr>
            <w:tcW w:w="507" w:type="pct"/>
            <w:vAlign w:val="center"/>
          </w:tcPr>
          <w:p w14:paraId="343D3D1D">
            <w:pPr>
              <w:pStyle w:val="129"/>
              <w:widowControl w:val="0"/>
              <w:spacing w:line="320" w:lineRule="exact"/>
              <w:rPr>
                <w:color w:val="auto"/>
                <w:lang w:val="zh-CN"/>
              </w:rPr>
            </w:pPr>
            <w:r>
              <w:rPr>
                <w:color w:val="auto"/>
                <w:lang w:val="zh-CN"/>
              </w:rPr>
              <w:t>声环境</w:t>
            </w:r>
          </w:p>
        </w:tc>
        <w:tc>
          <w:tcPr>
            <w:tcW w:w="1074" w:type="pct"/>
            <w:vAlign w:val="center"/>
          </w:tcPr>
          <w:p w14:paraId="2C5E45CC">
            <w:pPr>
              <w:pStyle w:val="129"/>
              <w:widowControl w:val="0"/>
              <w:spacing w:line="320" w:lineRule="exact"/>
              <w:rPr>
                <w:color w:val="auto"/>
                <w:lang w:val="zh-CN"/>
              </w:rPr>
            </w:pPr>
            <w:r>
              <w:rPr>
                <w:color w:val="auto"/>
                <w:lang w:val="zh-CN"/>
              </w:rPr>
              <w:t>评价范围内无声环境敏感目标</w:t>
            </w:r>
          </w:p>
        </w:tc>
        <w:tc>
          <w:tcPr>
            <w:tcW w:w="1107" w:type="pct"/>
            <w:gridSpan w:val="2"/>
            <w:vAlign w:val="center"/>
          </w:tcPr>
          <w:p w14:paraId="37A868CB">
            <w:pPr>
              <w:pStyle w:val="129"/>
              <w:widowControl w:val="0"/>
              <w:spacing w:line="320" w:lineRule="exact"/>
              <w:rPr>
                <w:color w:val="auto"/>
                <w:lang w:val="zh-CN"/>
              </w:rPr>
            </w:pPr>
            <w:r>
              <w:rPr>
                <w:color w:val="auto"/>
                <w:lang w:val="zh-CN"/>
              </w:rPr>
              <w:t>---</w:t>
            </w:r>
          </w:p>
        </w:tc>
        <w:tc>
          <w:tcPr>
            <w:tcW w:w="2011" w:type="pct"/>
            <w:vAlign w:val="center"/>
          </w:tcPr>
          <w:p w14:paraId="52C90ABD">
            <w:pPr>
              <w:pStyle w:val="129"/>
              <w:widowControl w:val="0"/>
              <w:spacing w:line="320" w:lineRule="exact"/>
              <w:rPr>
                <w:color w:val="auto"/>
                <w:lang w:val="zh-CN"/>
              </w:rPr>
            </w:pPr>
            <w:r>
              <w:rPr>
                <w:color w:val="auto"/>
              </w:rPr>
              <w:t>《声环境质量标准》（GB3096-2008）中3类标准</w:t>
            </w:r>
          </w:p>
        </w:tc>
      </w:tr>
      <w:tr w14:paraId="62E48A0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1" w:type="pct"/>
            <w:vAlign w:val="center"/>
          </w:tcPr>
          <w:p w14:paraId="772E3DCD">
            <w:pPr>
              <w:pStyle w:val="129"/>
              <w:widowControl w:val="0"/>
              <w:spacing w:line="320" w:lineRule="exact"/>
              <w:rPr>
                <w:color w:val="auto"/>
                <w:lang w:val="zh-CN"/>
              </w:rPr>
            </w:pPr>
            <w:r>
              <w:rPr>
                <w:color w:val="auto"/>
                <w:lang w:val="zh-CN"/>
              </w:rPr>
              <w:t>5</w:t>
            </w:r>
          </w:p>
        </w:tc>
        <w:tc>
          <w:tcPr>
            <w:tcW w:w="507" w:type="pct"/>
            <w:vAlign w:val="center"/>
          </w:tcPr>
          <w:p w14:paraId="4405C7D3">
            <w:pPr>
              <w:pStyle w:val="129"/>
              <w:widowControl w:val="0"/>
              <w:spacing w:line="320" w:lineRule="exact"/>
              <w:rPr>
                <w:color w:val="auto"/>
                <w:lang w:val="zh-CN"/>
              </w:rPr>
            </w:pPr>
            <w:r>
              <w:rPr>
                <w:color w:val="auto"/>
                <w:lang w:val="zh-CN"/>
              </w:rPr>
              <w:t>生态</w:t>
            </w:r>
          </w:p>
          <w:p w14:paraId="2CCFC84A">
            <w:pPr>
              <w:pStyle w:val="129"/>
              <w:widowControl w:val="0"/>
              <w:spacing w:line="320" w:lineRule="exact"/>
              <w:rPr>
                <w:color w:val="auto"/>
                <w:lang w:val="zh-CN"/>
              </w:rPr>
            </w:pPr>
            <w:r>
              <w:rPr>
                <w:color w:val="auto"/>
                <w:lang w:val="zh-CN"/>
              </w:rPr>
              <w:t>环境</w:t>
            </w:r>
          </w:p>
        </w:tc>
        <w:tc>
          <w:tcPr>
            <w:tcW w:w="2181" w:type="pct"/>
            <w:gridSpan w:val="3"/>
            <w:vAlign w:val="center"/>
          </w:tcPr>
          <w:p w14:paraId="3A43822B">
            <w:pPr>
              <w:pStyle w:val="129"/>
              <w:widowControl w:val="0"/>
              <w:spacing w:line="320" w:lineRule="exact"/>
              <w:rPr>
                <w:color w:val="auto"/>
                <w:lang w:val="zh-CN"/>
              </w:rPr>
            </w:pPr>
            <w:r>
              <w:rPr>
                <w:color w:val="auto"/>
              </w:rPr>
              <w:t>厂址区域</w:t>
            </w:r>
          </w:p>
        </w:tc>
        <w:tc>
          <w:tcPr>
            <w:tcW w:w="2011" w:type="pct"/>
            <w:vAlign w:val="center"/>
          </w:tcPr>
          <w:p w14:paraId="4AE589CE">
            <w:pPr>
              <w:pStyle w:val="129"/>
              <w:widowControl w:val="0"/>
              <w:spacing w:line="320" w:lineRule="exact"/>
              <w:rPr>
                <w:color w:val="auto"/>
                <w:spacing w:val="-4"/>
              </w:rPr>
            </w:pPr>
            <w:r>
              <w:rPr>
                <w:color w:val="auto"/>
                <w:spacing w:val="-4"/>
              </w:rPr>
              <w:t>植被恢复、控制水土流失</w:t>
            </w:r>
          </w:p>
        </w:tc>
      </w:tr>
      <w:tr w14:paraId="7C19580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1" w:type="pct"/>
            <w:vAlign w:val="center"/>
          </w:tcPr>
          <w:p w14:paraId="7490722E">
            <w:pPr>
              <w:pStyle w:val="129"/>
              <w:widowControl w:val="0"/>
              <w:spacing w:line="320" w:lineRule="exact"/>
              <w:rPr>
                <w:color w:val="auto"/>
                <w:lang w:val="zh-CN"/>
              </w:rPr>
            </w:pPr>
            <w:r>
              <w:rPr>
                <w:color w:val="auto"/>
                <w:lang w:val="zh-CN"/>
              </w:rPr>
              <w:t>6</w:t>
            </w:r>
          </w:p>
        </w:tc>
        <w:tc>
          <w:tcPr>
            <w:tcW w:w="507" w:type="pct"/>
            <w:vAlign w:val="center"/>
          </w:tcPr>
          <w:p w14:paraId="647932AA">
            <w:pPr>
              <w:pStyle w:val="129"/>
              <w:widowControl w:val="0"/>
              <w:spacing w:line="320" w:lineRule="exact"/>
              <w:rPr>
                <w:color w:val="auto"/>
                <w:lang w:val="zh-CN"/>
              </w:rPr>
            </w:pPr>
            <w:r>
              <w:rPr>
                <w:color w:val="auto"/>
                <w:lang w:val="zh-CN"/>
              </w:rPr>
              <w:t>土壤</w:t>
            </w:r>
          </w:p>
          <w:p w14:paraId="18998997">
            <w:pPr>
              <w:pStyle w:val="129"/>
              <w:widowControl w:val="0"/>
              <w:spacing w:line="320" w:lineRule="exact"/>
              <w:rPr>
                <w:color w:val="auto"/>
                <w:lang w:val="zh-CN"/>
              </w:rPr>
            </w:pPr>
            <w:r>
              <w:rPr>
                <w:color w:val="auto"/>
                <w:lang w:val="zh-CN"/>
              </w:rPr>
              <w:t>环境</w:t>
            </w:r>
          </w:p>
        </w:tc>
        <w:tc>
          <w:tcPr>
            <w:tcW w:w="2181" w:type="pct"/>
            <w:gridSpan w:val="3"/>
            <w:vAlign w:val="center"/>
          </w:tcPr>
          <w:p w14:paraId="55401390">
            <w:pPr>
              <w:pStyle w:val="129"/>
              <w:widowControl w:val="0"/>
              <w:spacing w:line="320" w:lineRule="exact"/>
              <w:rPr>
                <w:color w:val="auto"/>
              </w:rPr>
            </w:pPr>
            <w:r>
              <w:rPr>
                <w:color w:val="auto"/>
              </w:rPr>
              <w:t>厂址</w:t>
            </w:r>
            <w:r>
              <w:rPr>
                <w:rFonts w:hint="eastAsia"/>
                <w:color w:val="auto"/>
              </w:rPr>
              <w:t>及周边区域耕地</w:t>
            </w:r>
          </w:p>
        </w:tc>
        <w:tc>
          <w:tcPr>
            <w:tcW w:w="2011" w:type="pct"/>
            <w:vAlign w:val="center"/>
          </w:tcPr>
          <w:p w14:paraId="163B4D83">
            <w:pPr>
              <w:pStyle w:val="129"/>
              <w:widowControl w:val="0"/>
              <w:spacing w:line="320" w:lineRule="exact"/>
              <w:rPr>
                <w:color w:val="auto"/>
                <w:spacing w:val="-4"/>
              </w:rPr>
            </w:pPr>
            <w:r>
              <w:rPr>
                <w:color w:val="auto"/>
              </w:rPr>
              <w:t>开展场地土壤环境调查、监测、评估等工作，保护周边农田土壤质量</w:t>
            </w:r>
          </w:p>
        </w:tc>
      </w:tr>
    </w:tbl>
    <w:p w14:paraId="735302A5">
      <w:pPr>
        <w:pStyle w:val="1304"/>
        <w:rPr>
          <w:color w:val="auto"/>
        </w:rPr>
      </w:pPr>
    </w:p>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14:paraId="529968C1">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 xml:space="preserve"> 环境风险敏感目标调查一览表</w:t>
      </w:r>
    </w:p>
    <w:bookmarkEnd w:id="158"/>
    <w:tbl>
      <w:tblPr>
        <w:tblStyle w:val="2399"/>
        <w:tblW w:w="5017"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848"/>
        <w:gridCol w:w="1112"/>
        <w:gridCol w:w="1954"/>
        <w:gridCol w:w="1352"/>
        <w:gridCol w:w="1201"/>
        <w:gridCol w:w="1201"/>
        <w:gridCol w:w="1148"/>
      </w:tblGrid>
      <w:tr w14:paraId="455F336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Align w:val="center"/>
          </w:tcPr>
          <w:p w14:paraId="625494D8">
            <w:pPr>
              <w:pStyle w:val="129"/>
              <w:widowControl w:val="0"/>
              <w:spacing w:line="320" w:lineRule="exact"/>
              <w:rPr>
                <w:rFonts w:eastAsia="Times New Roman"/>
                <w:color w:val="auto"/>
              </w:rPr>
            </w:pPr>
            <w:r>
              <w:rPr>
                <w:rFonts w:hint="eastAsia" w:ascii="宋体" w:hAnsi="宋体" w:eastAsia="Times New Roman" w:cs="宋体"/>
                <w:color w:val="auto"/>
              </w:rPr>
              <w:t>类别</w:t>
            </w:r>
          </w:p>
        </w:tc>
        <w:tc>
          <w:tcPr>
            <w:tcW w:w="7899" w:type="dxa"/>
            <w:gridSpan w:val="6"/>
            <w:vAlign w:val="center"/>
          </w:tcPr>
          <w:p w14:paraId="61DF0F6A">
            <w:pPr>
              <w:pStyle w:val="129"/>
              <w:widowControl w:val="0"/>
              <w:spacing w:line="320" w:lineRule="exact"/>
              <w:rPr>
                <w:rFonts w:eastAsia="Times New Roman"/>
                <w:color w:val="auto"/>
              </w:rPr>
            </w:pPr>
            <w:r>
              <w:rPr>
                <w:rFonts w:hint="eastAsia" w:ascii="宋体" w:hAnsi="宋体" w:eastAsia="Times New Roman" w:cs="宋体"/>
                <w:color w:val="auto"/>
              </w:rPr>
              <w:t>环境敏感特征</w:t>
            </w:r>
          </w:p>
        </w:tc>
      </w:tr>
      <w:tr w14:paraId="727A9B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restart"/>
            <w:vAlign w:val="center"/>
          </w:tcPr>
          <w:p w14:paraId="70437405">
            <w:pPr>
              <w:pStyle w:val="129"/>
              <w:widowControl w:val="0"/>
              <w:spacing w:line="320" w:lineRule="exact"/>
              <w:rPr>
                <w:rFonts w:eastAsia="Times New Roman"/>
                <w:color w:val="auto"/>
              </w:rPr>
            </w:pPr>
            <w:r>
              <w:rPr>
                <w:rFonts w:hint="eastAsia" w:ascii="宋体" w:hAnsi="宋体" w:eastAsia="Times New Roman" w:cs="宋体"/>
                <w:color w:val="auto"/>
              </w:rPr>
              <w:t>大气环境</w:t>
            </w:r>
          </w:p>
        </w:tc>
        <w:tc>
          <w:tcPr>
            <w:tcW w:w="7899" w:type="dxa"/>
            <w:gridSpan w:val="6"/>
            <w:vAlign w:val="center"/>
          </w:tcPr>
          <w:p w14:paraId="66C6C4D9">
            <w:pPr>
              <w:pStyle w:val="129"/>
              <w:widowControl w:val="0"/>
              <w:spacing w:line="320" w:lineRule="exact"/>
              <w:rPr>
                <w:rFonts w:eastAsia="Times New Roman"/>
                <w:color w:val="auto"/>
              </w:rPr>
            </w:pPr>
            <w:r>
              <w:rPr>
                <w:rFonts w:hint="eastAsia" w:ascii="宋体" w:hAnsi="宋体" w:eastAsia="Times New Roman" w:cs="宋体"/>
                <w:color w:val="auto"/>
              </w:rPr>
              <w:t>厂址周边</w:t>
            </w:r>
            <w:r>
              <w:rPr>
                <w:rFonts w:hint="eastAsia" w:eastAsia="Times New Roman"/>
                <w:color w:val="auto"/>
              </w:rPr>
              <w:t>5km</w:t>
            </w:r>
            <w:r>
              <w:rPr>
                <w:rFonts w:hint="eastAsia" w:ascii="宋体" w:hAnsi="宋体" w:eastAsia="Times New Roman" w:cs="宋体"/>
                <w:color w:val="auto"/>
              </w:rPr>
              <w:t>范围内</w:t>
            </w:r>
          </w:p>
        </w:tc>
      </w:tr>
      <w:tr w14:paraId="3831723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64A71327">
            <w:pPr>
              <w:pStyle w:val="129"/>
              <w:widowControl w:val="0"/>
              <w:spacing w:line="320" w:lineRule="exact"/>
              <w:rPr>
                <w:rFonts w:eastAsia="Times New Roman"/>
                <w:color w:val="auto"/>
              </w:rPr>
            </w:pPr>
          </w:p>
        </w:tc>
        <w:tc>
          <w:tcPr>
            <w:tcW w:w="1102" w:type="dxa"/>
            <w:vAlign w:val="center"/>
          </w:tcPr>
          <w:p w14:paraId="7896AD62">
            <w:pPr>
              <w:pStyle w:val="129"/>
              <w:widowControl w:val="0"/>
              <w:spacing w:line="320" w:lineRule="exact"/>
              <w:rPr>
                <w:rFonts w:eastAsia="Times New Roman"/>
                <w:color w:val="auto"/>
              </w:rPr>
            </w:pPr>
            <w:r>
              <w:rPr>
                <w:rFonts w:hint="eastAsia" w:ascii="宋体" w:hAnsi="宋体" w:eastAsia="Times New Roman" w:cs="宋体"/>
                <w:color w:val="auto"/>
              </w:rPr>
              <w:t>序号</w:t>
            </w:r>
          </w:p>
        </w:tc>
        <w:tc>
          <w:tcPr>
            <w:tcW w:w="1937" w:type="dxa"/>
            <w:vAlign w:val="center"/>
          </w:tcPr>
          <w:p w14:paraId="47869039">
            <w:pPr>
              <w:pStyle w:val="129"/>
              <w:widowControl w:val="0"/>
              <w:spacing w:line="320" w:lineRule="exact"/>
              <w:rPr>
                <w:rFonts w:eastAsia="Times New Roman"/>
                <w:color w:val="auto"/>
              </w:rPr>
            </w:pPr>
            <w:r>
              <w:rPr>
                <w:rFonts w:hint="eastAsia" w:ascii="宋体" w:hAnsi="宋体" w:eastAsia="Times New Roman" w:cs="宋体"/>
                <w:color w:val="auto"/>
              </w:rPr>
              <w:t>敏感目标名称</w:t>
            </w:r>
          </w:p>
        </w:tc>
        <w:tc>
          <w:tcPr>
            <w:tcW w:w="1340" w:type="dxa"/>
            <w:vAlign w:val="center"/>
          </w:tcPr>
          <w:p w14:paraId="1057ABDC">
            <w:pPr>
              <w:pStyle w:val="129"/>
              <w:widowControl w:val="0"/>
              <w:spacing w:line="320" w:lineRule="exact"/>
              <w:rPr>
                <w:rFonts w:eastAsia="Times New Roman"/>
                <w:color w:val="auto"/>
              </w:rPr>
            </w:pPr>
            <w:r>
              <w:rPr>
                <w:rFonts w:hint="eastAsia" w:ascii="宋体" w:hAnsi="宋体" w:eastAsia="Times New Roman" w:cs="宋体"/>
                <w:color w:val="auto"/>
              </w:rPr>
              <w:t>相对方位</w:t>
            </w:r>
          </w:p>
        </w:tc>
        <w:tc>
          <w:tcPr>
            <w:tcW w:w="1191" w:type="dxa"/>
            <w:vAlign w:val="center"/>
          </w:tcPr>
          <w:p w14:paraId="0E68BF89">
            <w:pPr>
              <w:pStyle w:val="129"/>
              <w:widowControl w:val="0"/>
              <w:spacing w:line="320" w:lineRule="exact"/>
              <w:rPr>
                <w:rFonts w:eastAsia="Times New Roman"/>
                <w:color w:val="auto"/>
              </w:rPr>
            </w:pPr>
            <w:r>
              <w:rPr>
                <w:rFonts w:hint="eastAsia" w:ascii="宋体" w:hAnsi="宋体" w:eastAsia="Times New Roman" w:cs="宋体"/>
                <w:color w:val="auto"/>
              </w:rPr>
              <w:t>距离</w:t>
            </w:r>
            <w:r>
              <w:rPr>
                <w:rFonts w:hint="eastAsia" w:eastAsia="Times New Roman"/>
                <w:color w:val="auto"/>
              </w:rPr>
              <w:t>/</w:t>
            </w:r>
            <w:r>
              <w:rPr>
                <w:rFonts w:hint="eastAsia" w:eastAsiaTheme="minorEastAsia"/>
                <w:color w:val="auto"/>
              </w:rPr>
              <w:t>k</w:t>
            </w:r>
            <w:r>
              <w:rPr>
                <w:rFonts w:hint="eastAsia" w:eastAsia="Times New Roman"/>
                <w:color w:val="auto"/>
              </w:rPr>
              <w:t>m</w:t>
            </w:r>
          </w:p>
        </w:tc>
        <w:tc>
          <w:tcPr>
            <w:tcW w:w="1191" w:type="dxa"/>
            <w:vAlign w:val="center"/>
          </w:tcPr>
          <w:p w14:paraId="6388AF7A">
            <w:pPr>
              <w:pStyle w:val="129"/>
              <w:widowControl w:val="0"/>
              <w:spacing w:line="320" w:lineRule="exact"/>
              <w:rPr>
                <w:rFonts w:eastAsia="Times New Roman"/>
                <w:color w:val="auto"/>
              </w:rPr>
            </w:pPr>
            <w:r>
              <w:rPr>
                <w:rFonts w:hint="eastAsia" w:ascii="宋体" w:hAnsi="宋体" w:eastAsia="Times New Roman" w:cs="宋体"/>
                <w:color w:val="auto"/>
              </w:rPr>
              <w:t>属性</w:t>
            </w:r>
          </w:p>
        </w:tc>
        <w:tc>
          <w:tcPr>
            <w:tcW w:w="1138" w:type="dxa"/>
            <w:vAlign w:val="center"/>
          </w:tcPr>
          <w:p w14:paraId="0DC0CAD1">
            <w:pPr>
              <w:pStyle w:val="129"/>
              <w:widowControl w:val="0"/>
              <w:spacing w:line="320" w:lineRule="exact"/>
              <w:rPr>
                <w:rFonts w:eastAsia="Times New Roman"/>
                <w:color w:val="auto"/>
              </w:rPr>
            </w:pPr>
            <w:r>
              <w:rPr>
                <w:rFonts w:hint="eastAsia" w:ascii="宋体" w:hAnsi="宋体" w:eastAsia="Times New Roman" w:cs="宋体"/>
                <w:color w:val="auto"/>
              </w:rPr>
              <w:t>人口数</w:t>
            </w:r>
          </w:p>
        </w:tc>
      </w:tr>
      <w:tr w14:paraId="17B8474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5BF69977">
            <w:pPr>
              <w:pStyle w:val="129"/>
              <w:widowControl w:val="0"/>
              <w:spacing w:line="320" w:lineRule="exact"/>
              <w:rPr>
                <w:rFonts w:eastAsia="Times New Roman"/>
                <w:color w:val="auto"/>
              </w:rPr>
            </w:pPr>
          </w:p>
        </w:tc>
        <w:tc>
          <w:tcPr>
            <w:tcW w:w="1102" w:type="dxa"/>
            <w:vAlign w:val="center"/>
          </w:tcPr>
          <w:p w14:paraId="1E6A5801">
            <w:pPr>
              <w:pStyle w:val="129"/>
              <w:widowControl w:val="0"/>
              <w:spacing w:line="320" w:lineRule="exact"/>
              <w:rPr>
                <w:rFonts w:eastAsia="Times New Roman"/>
                <w:color w:val="auto"/>
              </w:rPr>
            </w:pPr>
            <w:r>
              <w:rPr>
                <w:rFonts w:hint="eastAsia" w:eastAsia="Times New Roman"/>
                <w:color w:val="auto"/>
              </w:rPr>
              <w:t>1</w:t>
            </w:r>
          </w:p>
        </w:tc>
        <w:tc>
          <w:tcPr>
            <w:tcW w:w="1937" w:type="dxa"/>
            <w:vAlign w:val="center"/>
          </w:tcPr>
          <w:p w14:paraId="70BED5CF">
            <w:pPr>
              <w:pStyle w:val="129"/>
              <w:widowControl w:val="0"/>
              <w:spacing w:line="320" w:lineRule="exact"/>
              <w:rPr>
                <w:rFonts w:eastAsia="Times New Roman"/>
                <w:color w:val="auto"/>
              </w:rPr>
            </w:pPr>
            <w:r>
              <w:rPr>
                <w:rFonts w:hint="eastAsia" w:eastAsia="Times New Roman"/>
                <w:color w:val="auto"/>
              </w:rPr>
              <w:t>137</w:t>
            </w:r>
            <w:r>
              <w:rPr>
                <w:rFonts w:hint="eastAsia" w:ascii="宋体" w:hAnsi="宋体" w:eastAsia="Times New Roman" w:cs="宋体"/>
                <w:color w:val="auto"/>
              </w:rPr>
              <w:t>中</w:t>
            </w:r>
          </w:p>
        </w:tc>
        <w:tc>
          <w:tcPr>
            <w:tcW w:w="1340" w:type="dxa"/>
            <w:vAlign w:val="center"/>
          </w:tcPr>
          <w:p w14:paraId="641D4FEC">
            <w:pPr>
              <w:pStyle w:val="129"/>
              <w:widowControl w:val="0"/>
              <w:spacing w:line="320" w:lineRule="exact"/>
              <w:rPr>
                <w:rFonts w:eastAsia="Times New Roman"/>
                <w:color w:val="auto"/>
              </w:rPr>
            </w:pPr>
            <w:r>
              <w:rPr>
                <w:rFonts w:hint="eastAsia" w:eastAsia="Times New Roman"/>
                <w:color w:val="auto"/>
              </w:rPr>
              <w:t>N</w:t>
            </w:r>
          </w:p>
        </w:tc>
        <w:tc>
          <w:tcPr>
            <w:tcW w:w="1191" w:type="dxa"/>
            <w:vAlign w:val="center"/>
          </w:tcPr>
          <w:p w14:paraId="538FF5F6">
            <w:pPr>
              <w:pStyle w:val="129"/>
              <w:widowControl w:val="0"/>
              <w:spacing w:line="320" w:lineRule="exact"/>
              <w:rPr>
                <w:rFonts w:eastAsia="Times New Roman"/>
                <w:color w:val="auto"/>
              </w:rPr>
            </w:pPr>
            <w:r>
              <w:rPr>
                <w:rFonts w:hint="eastAsia" w:eastAsiaTheme="minorEastAsia"/>
                <w:color w:val="auto"/>
              </w:rPr>
              <w:t>1.57</w:t>
            </w:r>
          </w:p>
        </w:tc>
        <w:tc>
          <w:tcPr>
            <w:tcW w:w="1191" w:type="dxa"/>
            <w:vAlign w:val="center"/>
          </w:tcPr>
          <w:p w14:paraId="54DBC76A">
            <w:pPr>
              <w:pStyle w:val="129"/>
              <w:widowControl w:val="0"/>
              <w:spacing w:line="320" w:lineRule="exact"/>
              <w:rPr>
                <w:rFonts w:eastAsia="Times New Roman"/>
                <w:color w:val="auto"/>
              </w:rPr>
            </w:pPr>
            <w:r>
              <w:rPr>
                <w:rFonts w:hint="eastAsia" w:ascii="宋体" w:hAnsi="宋体" w:eastAsia="Times New Roman" w:cs="宋体"/>
                <w:color w:val="auto"/>
              </w:rPr>
              <w:t>学校</w:t>
            </w:r>
          </w:p>
        </w:tc>
        <w:tc>
          <w:tcPr>
            <w:tcW w:w="1138" w:type="dxa"/>
            <w:vAlign w:val="center"/>
          </w:tcPr>
          <w:p w14:paraId="0E7E20AD">
            <w:pPr>
              <w:pStyle w:val="129"/>
              <w:widowControl w:val="0"/>
              <w:spacing w:line="320" w:lineRule="exact"/>
              <w:rPr>
                <w:rFonts w:eastAsia="Times New Roman"/>
                <w:color w:val="auto"/>
              </w:rPr>
            </w:pPr>
            <w:r>
              <w:rPr>
                <w:rFonts w:hint="eastAsia" w:eastAsia="Times New Roman"/>
                <w:color w:val="auto"/>
              </w:rPr>
              <w:t>1200</w:t>
            </w:r>
          </w:p>
        </w:tc>
      </w:tr>
      <w:tr w14:paraId="12CBBBE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1393D5CD">
            <w:pPr>
              <w:pStyle w:val="129"/>
              <w:widowControl w:val="0"/>
              <w:spacing w:line="320" w:lineRule="exact"/>
              <w:rPr>
                <w:rFonts w:eastAsia="Times New Roman"/>
                <w:color w:val="auto"/>
              </w:rPr>
            </w:pPr>
          </w:p>
        </w:tc>
        <w:tc>
          <w:tcPr>
            <w:tcW w:w="1102" w:type="dxa"/>
            <w:vAlign w:val="center"/>
          </w:tcPr>
          <w:p w14:paraId="297DCCE0">
            <w:pPr>
              <w:pStyle w:val="129"/>
              <w:widowControl w:val="0"/>
              <w:spacing w:line="320" w:lineRule="exact"/>
              <w:rPr>
                <w:rFonts w:eastAsia="Times New Roman"/>
                <w:color w:val="auto"/>
              </w:rPr>
            </w:pPr>
            <w:r>
              <w:rPr>
                <w:rFonts w:hint="eastAsia" w:eastAsia="Times New Roman"/>
                <w:color w:val="auto"/>
              </w:rPr>
              <w:t>2</w:t>
            </w:r>
          </w:p>
        </w:tc>
        <w:tc>
          <w:tcPr>
            <w:tcW w:w="1937" w:type="dxa"/>
            <w:vAlign w:val="center"/>
          </w:tcPr>
          <w:p w14:paraId="5A297814">
            <w:pPr>
              <w:pStyle w:val="129"/>
              <w:widowControl w:val="0"/>
              <w:spacing w:line="320" w:lineRule="exact"/>
              <w:rPr>
                <w:rFonts w:eastAsia="Times New Roman"/>
                <w:color w:val="auto"/>
              </w:rPr>
            </w:pPr>
            <w:r>
              <w:rPr>
                <w:rFonts w:hint="eastAsia" w:ascii="宋体" w:hAnsi="宋体" w:eastAsia="Times New Roman" w:cs="宋体"/>
                <w:color w:val="auto"/>
              </w:rPr>
              <w:t>新达社区</w:t>
            </w:r>
          </w:p>
        </w:tc>
        <w:tc>
          <w:tcPr>
            <w:tcW w:w="1340" w:type="dxa"/>
            <w:vAlign w:val="center"/>
          </w:tcPr>
          <w:p w14:paraId="03F074C8">
            <w:pPr>
              <w:pStyle w:val="129"/>
              <w:widowControl w:val="0"/>
              <w:spacing w:line="320" w:lineRule="exact"/>
              <w:rPr>
                <w:rFonts w:eastAsia="Times New Roman"/>
                <w:color w:val="auto"/>
              </w:rPr>
            </w:pPr>
            <w:r>
              <w:rPr>
                <w:rFonts w:hint="eastAsia" w:eastAsia="Times New Roman"/>
                <w:color w:val="auto"/>
              </w:rPr>
              <w:t>NE</w:t>
            </w:r>
          </w:p>
        </w:tc>
        <w:tc>
          <w:tcPr>
            <w:tcW w:w="1191" w:type="dxa"/>
            <w:vAlign w:val="center"/>
          </w:tcPr>
          <w:p w14:paraId="3ABCC425">
            <w:pPr>
              <w:pStyle w:val="129"/>
              <w:widowControl w:val="0"/>
              <w:spacing w:line="320" w:lineRule="exact"/>
              <w:rPr>
                <w:rFonts w:eastAsia="Times New Roman"/>
                <w:color w:val="auto"/>
              </w:rPr>
            </w:pPr>
            <w:r>
              <w:rPr>
                <w:rFonts w:hint="eastAsia" w:eastAsia="Times New Roman"/>
                <w:color w:val="auto"/>
              </w:rPr>
              <w:t>2</w:t>
            </w:r>
            <w:r>
              <w:rPr>
                <w:rFonts w:hint="eastAsia" w:eastAsiaTheme="minorEastAsia"/>
                <w:color w:val="auto"/>
              </w:rPr>
              <w:t>.06</w:t>
            </w:r>
          </w:p>
        </w:tc>
        <w:tc>
          <w:tcPr>
            <w:tcW w:w="1191" w:type="dxa"/>
            <w:vAlign w:val="center"/>
          </w:tcPr>
          <w:p w14:paraId="76BD8EB6">
            <w:pPr>
              <w:pStyle w:val="129"/>
              <w:widowControl w:val="0"/>
              <w:spacing w:line="320" w:lineRule="exact"/>
              <w:rPr>
                <w:rFonts w:eastAsia="Times New Roman"/>
                <w:color w:val="auto"/>
              </w:rPr>
            </w:pPr>
            <w:r>
              <w:rPr>
                <w:rFonts w:hint="eastAsia" w:ascii="宋体" w:hAnsi="宋体" w:eastAsia="Times New Roman" w:cs="宋体"/>
                <w:color w:val="auto"/>
              </w:rPr>
              <w:t>人群聚集区</w:t>
            </w:r>
          </w:p>
        </w:tc>
        <w:tc>
          <w:tcPr>
            <w:tcW w:w="1138" w:type="dxa"/>
            <w:vAlign w:val="center"/>
          </w:tcPr>
          <w:p w14:paraId="6118E310">
            <w:pPr>
              <w:pStyle w:val="129"/>
              <w:widowControl w:val="0"/>
              <w:spacing w:line="320" w:lineRule="exact"/>
              <w:rPr>
                <w:rFonts w:eastAsia="Times New Roman"/>
                <w:color w:val="auto"/>
              </w:rPr>
            </w:pPr>
            <w:r>
              <w:rPr>
                <w:rFonts w:hint="eastAsia" w:eastAsia="Times New Roman"/>
                <w:color w:val="auto"/>
              </w:rPr>
              <w:t>1512</w:t>
            </w:r>
          </w:p>
        </w:tc>
      </w:tr>
      <w:tr w14:paraId="0F7C81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90" w:hRule="atLeast"/>
        </w:trPr>
        <w:tc>
          <w:tcPr>
            <w:tcW w:w="841" w:type="dxa"/>
            <w:vMerge w:val="continue"/>
            <w:vAlign w:val="center"/>
          </w:tcPr>
          <w:p w14:paraId="2CF42D4A">
            <w:pPr>
              <w:pStyle w:val="129"/>
              <w:widowControl w:val="0"/>
              <w:spacing w:line="320" w:lineRule="exact"/>
              <w:rPr>
                <w:rFonts w:eastAsia="Times New Roman"/>
                <w:color w:val="auto"/>
              </w:rPr>
            </w:pPr>
          </w:p>
        </w:tc>
        <w:tc>
          <w:tcPr>
            <w:tcW w:w="6761" w:type="dxa"/>
            <w:gridSpan w:val="5"/>
            <w:vAlign w:val="center"/>
          </w:tcPr>
          <w:p w14:paraId="2E7A3558">
            <w:pPr>
              <w:pStyle w:val="129"/>
              <w:widowControl w:val="0"/>
              <w:spacing w:line="320" w:lineRule="exact"/>
              <w:rPr>
                <w:rFonts w:eastAsia="Times New Roman"/>
                <w:color w:val="auto"/>
              </w:rPr>
            </w:pPr>
            <w:r>
              <w:rPr>
                <w:rFonts w:hint="eastAsia" w:ascii="宋体" w:hAnsi="宋体" w:eastAsia="Times New Roman" w:cs="宋体"/>
                <w:color w:val="auto"/>
              </w:rPr>
              <w:t>厂址周边</w:t>
            </w:r>
            <w:r>
              <w:rPr>
                <w:rFonts w:hint="eastAsia" w:eastAsia="Times New Roman"/>
                <w:color w:val="auto"/>
              </w:rPr>
              <w:t>500m</w:t>
            </w:r>
            <w:r>
              <w:rPr>
                <w:rFonts w:hint="eastAsia" w:ascii="宋体" w:hAnsi="宋体" w:eastAsia="Times New Roman" w:cs="宋体"/>
                <w:color w:val="auto"/>
              </w:rPr>
              <w:t>范围内人口数小计</w:t>
            </w:r>
          </w:p>
        </w:tc>
        <w:tc>
          <w:tcPr>
            <w:tcW w:w="1138" w:type="dxa"/>
            <w:vAlign w:val="center"/>
          </w:tcPr>
          <w:p w14:paraId="215D330F">
            <w:pPr>
              <w:pStyle w:val="129"/>
              <w:widowControl w:val="0"/>
              <w:spacing w:line="320" w:lineRule="exact"/>
              <w:rPr>
                <w:rFonts w:eastAsia="Times New Roman"/>
                <w:color w:val="auto"/>
              </w:rPr>
            </w:pPr>
            <w:r>
              <w:rPr>
                <w:rFonts w:hint="eastAsia" w:eastAsia="Times New Roman"/>
                <w:color w:val="auto"/>
              </w:rPr>
              <w:t>0</w:t>
            </w:r>
          </w:p>
        </w:tc>
      </w:tr>
      <w:tr w14:paraId="04BB614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368EFD10">
            <w:pPr>
              <w:pStyle w:val="129"/>
              <w:widowControl w:val="0"/>
              <w:spacing w:line="320" w:lineRule="exact"/>
              <w:rPr>
                <w:rFonts w:eastAsia="Times New Roman"/>
                <w:color w:val="auto"/>
              </w:rPr>
            </w:pPr>
          </w:p>
        </w:tc>
        <w:tc>
          <w:tcPr>
            <w:tcW w:w="6761" w:type="dxa"/>
            <w:gridSpan w:val="5"/>
            <w:vAlign w:val="center"/>
          </w:tcPr>
          <w:p w14:paraId="268F195E">
            <w:pPr>
              <w:pStyle w:val="129"/>
              <w:widowControl w:val="0"/>
              <w:spacing w:line="320" w:lineRule="exact"/>
              <w:rPr>
                <w:rFonts w:eastAsia="Times New Roman"/>
                <w:color w:val="auto"/>
              </w:rPr>
            </w:pPr>
            <w:r>
              <w:rPr>
                <w:rFonts w:hint="eastAsia" w:ascii="宋体" w:hAnsi="宋体" w:eastAsia="Times New Roman" w:cs="宋体"/>
                <w:color w:val="auto"/>
              </w:rPr>
              <w:t>厂址周边</w:t>
            </w:r>
            <w:r>
              <w:rPr>
                <w:rFonts w:hint="eastAsia" w:eastAsia="Times New Roman"/>
                <w:color w:val="auto"/>
              </w:rPr>
              <w:t>5000m</w:t>
            </w:r>
            <w:r>
              <w:rPr>
                <w:rFonts w:hint="eastAsia" w:ascii="宋体" w:hAnsi="宋体" w:eastAsia="Times New Roman" w:cs="宋体"/>
                <w:color w:val="auto"/>
              </w:rPr>
              <w:t>范围内人口数小计</w:t>
            </w:r>
          </w:p>
        </w:tc>
        <w:tc>
          <w:tcPr>
            <w:tcW w:w="1138" w:type="dxa"/>
            <w:vAlign w:val="center"/>
          </w:tcPr>
          <w:p w14:paraId="5ACCFAB9">
            <w:pPr>
              <w:pStyle w:val="129"/>
              <w:widowControl w:val="0"/>
              <w:spacing w:line="320" w:lineRule="exact"/>
              <w:rPr>
                <w:rFonts w:eastAsia="Times New Roman"/>
                <w:color w:val="auto"/>
              </w:rPr>
            </w:pPr>
            <w:r>
              <w:rPr>
                <w:rFonts w:hint="eastAsia" w:eastAsia="Times New Roman"/>
                <w:color w:val="auto"/>
              </w:rPr>
              <w:t>2712</w:t>
            </w:r>
          </w:p>
        </w:tc>
      </w:tr>
      <w:tr w14:paraId="5F0F913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23909580">
            <w:pPr>
              <w:pStyle w:val="129"/>
              <w:widowControl w:val="0"/>
              <w:spacing w:line="320" w:lineRule="exact"/>
              <w:rPr>
                <w:rFonts w:eastAsia="Times New Roman"/>
                <w:color w:val="auto"/>
              </w:rPr>
            </w:pPr>
          </w:p>
        </w:tc>
        <w:tc>
          <w:tcPr>
            <w:tcW w:w="6761" w:type="dxa"/>
            <w:gridSpan w:val="5"/>
            <w:vAlign w:val="center"/>
          </w:tcPr>
          <w:p w14:paraId="7CC410C2">
            <w:pPr>
              <w:pStyle w:val="129"/>
              <w:widowControl w:val="0"/>
              <w:spacing w:line="320" w:lineRule="exact"/>
              <w:rPr>
                <w:rFonts w:eastAsia="Times New Roman"/>
                <w:color w:val="auto"/>
              </w:rPr>
            </w:pPr>
            <w:r>
              <w:rPr>
                <w:rFonts w:hint="eastAsia" w:ascii="宋体" w:hAnsi="宋体" w:eastAsia="Times New Roman" w:cs="宋体"/>
                <w:color w:val="auto"/>
              </w:rPr>
              <w:t>大气环境敏感程度</w:t>
            </w:r>
            <w:r>
              <w:rPr>
                <w:rFonts w:hint="eastAsia" w:eastAsia="Times New Roman"/>
                <w:color w:val="auto"/>
              </w:rPr>
              <w:t>E</w:t>
            </w:r>
            <w:r>
              <w:rPr>
                <w:rFonts w:hint="eastAsia" w:ascii="宋体" w:hAnsi="宋体" w:eastAsia="Times New Roman" w:cs="宋体"/>
                <w:color w:val="auto"/>
              </w:rPr>
              <w:t>值</w:t>
            </w:r>
          </w:p>
        </w:tc>
        <w:tc>
          <w:tcPr>
            <w:tcW w:w="1138" w:type="dxa"/>
            <w:vAlign w:val="center"/>
          </w:tcPr>
          <w:p w14:paraId="08C3EAB3">
            <w:pPr>
              <w:pStyle w:val="129"/>
              <w:widowControl w:val="0"/>
              <w:spacing w:line="320" w:lineRule="exact"/>
              <w:rPr>
                <w:rFonts w:eastAsia="Times New Roman"/>
                <w:color w:val="auto"/>
              </w:rPr>
            </w:pPr>
            <w:r>
              <w:rPr>
                <w:rFonts w:eastAsia="Times New Roman"/>
                <w:color w:val="auto"/>
              </w:rPr>
              <w:t>E</w:t>
            </w:r>
            <w:r>
              <w:rPr>
                <w:rFonts w:hint="eastAsia" w:eastAsia="Times New Roman"/>
                <w:color w:val="auto"/>
              </w:rPr>
              <w:t>2</w:t>
            </w:r>
          </w:p>
        </w:tc>
      </w:tr>
      <w:tr w14:paraId="610705B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restart"/>
            <w:vAlign w:val="center"/>
          </w:tcPr>
          <w:p w14:paraId="7341FF88">
            <w:pPr>
              <w:pStyle w:val="129"/>
              <w:widowControl w:val="0"/>
              <w:spacing w:line="320" w:lineRule="exact"/>
              <w:rPr>
                <w:rFonts w:eastAsia="Times New Roman"/>
                <w:color w:val="auto"/>
              </w:rPr>
            </w:pPr>
            <w:r>
              <w:rPr>
                <w:rFonts w:hint="eastAsia" w:ascii="宋体" w:hAnsi="宋体" w:eastAsia="Times New Roman" w:cs="宋体"/>
                <w:color w:val="auto"/>
              </w:rPr>
              <w:t>地表水</w:t>
            </w:r>
          </w:p>
        </w:tc>
        <w:tc>
          <w:tcPr>
            <w:tcW w:w="7899" w:type="dxa"/>
            <w:gridSpan w:val="6"/>
            <w:vAlign w:val="center"/>
          </w:tcPr>
          <w:p w14:paraId="45F4F27A">
            <w:pPr>
              <w:pStyle w:val="129"/>
              <w:widowControl w:val="0"/>
              <w:spacing w:line="320" w:lineRule="exact"/>
              <w:rPr>
                <w:rFonts w:eastAsia="Times New Roman"/>
                <w:color w:val="auto"/>
              </w:rPr>
            </w:pPr>
            <w:r>
              <w:rPr>
                <w:rFonts w:hint="eastAsia" w:ascii="宋体" w:hAnsi="宋体" w:eastAsia="Times New Roman" w:cs="宋体"/>
                <w:color w:val="auto"/>
              </w:rPr>
              <w:t>受纳水体</w:t>
            </w:r>
          </w:p>
        </w:tc>
      </w:tr>
      <w:tr w14:paraId="03B8FAF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65731DB0">
            <w:pPr>
              <w:pStyle w:val="129"/>
              <w:widowControl w:val="0"/>
              <w:spacing w:line="320" w:lineRule="exact"/>
              <w:rPr>
                <w:rFonts w:eastAsia="Times New Roman"/>
                <w:color w:val="auto"/>
              </w:rPr>
            </w:pPr>
          </w:p>
        </w:tc>
        <w:tc>
          <w:tcPr>
            <w:tcW w:w="1102" w:type="dxa"/>
            <w:vAlign w:val="center"/>
          </w:tcPr>
          <w:p w14:paraId="0C46CB79">
            <w:pPr>
              <w:pStyle w:val="129"/>
              <w:widowControl w:val="0"/>
              <w:spacing w:line="320" w:lineRule="exact"/>
              <w:rPr>
                <w:rFonts w:eastAsia="Times New Roman"/>
                <w:color w:val="auto"/>
              </w:rPr>
            </w:pPr>
            <w:r>
              <w:rPr>
                <w:rFonts w:hint="eastAsia" w:ascii="宋体" w:hAnsi="宋体" w:eastAsia="Times New Roman" w:cs="宋体"/>
                <w:color w:val="auto"/>
              </w:rPr>
              <w:t>序号</w:t>
            </w:r>
          </w:p>
        </w:tc>
        <w:tc>
          <w:tcPr>
            <w:tcW w:w="1937" w:type="dxa"/>
            <w:vAlign w:val="center"/>
          </w:tcPr>
          <w:p w14:paraId="12F88EF7">
            <w:pPr>
              <w:pStyle w:val="129"/>
              <w:widowControl w:val="0"/>
              <w:spacing w:line="320" w:lineRule="exact"/>
              <w:rPr>
                <w:rFonts w:eastAsia="Times New Roman"/>
                <w:color w:val="auto"/>
              </w:rPr>
            </w:pPr>
            <w:r>
              <w:rPr>
                <w:rFonts w:hint="eastAsia" w:ascii="宋体" w:hAnsi="宋体" w:eastAsia="Times New Roman" w:cs="宋体"/>
                <w:color w:val="auto"/>
              </w:rPr>
              <w:t>受纳水体名称</w:t>
            </w:r>
          </w:p>
        </w:tc>
        <w:tc>
          <w:tcPr>
            <w:tcW w:w="2531" w:type="dxa"/>
            <w:gridSpan w:val="2"/>
            <w:vAlign w:val="center"/>
          </w:tcPr>
          <w:p w14:paraId="6491616F">
            <w:pPr>
              <w:pStyle w:val="129"/>
              <w:widowControl w:val="0"/>
              <w:spacing w:line="320" w:lineRule="exact"/>
              <w:rPr>
                <w:rFonts w:eastAsia="Times New Roman"/>
                <w:color w:val="auto"/>
              </w:rPr>
            </w:pPr>
            <w:r>
              <w:rPr>
                <w:rFonts w:hint="eastAsia" w:ascii="宋体" w:hAnsi="宋体" w:eastAsia="Times New Roman" w:cs="宋体"/>
                <w:color w:val="auto"/>
              </w:rPr>
              <w:t>排放点水域环境功能</w:t>
            </w:r>
          </w:p>
        </w:tc>
        <w:tc>
          <w:tcPr>
            <w:tcW w:w="2329" w:type="dxa"/>
            <w:gridSpan w:val="2"/>
            <w:vAlign w:val="center"/>
          </w:tcPr>
          <w:p w14:paraId="3853D902">
            <w:pPr>
              <w:pStyle w:val="129"/>
              <w:widowControl w:val="0"/>
              <w:spacing w:line="320" w:lineRule="exact"/>
              <w:rPr>
                <w:rFonts w:eastAsia="Times New Roman"/>
                <w:color w:val="auto"/>
              </w:rPr>
            </w:pPr>
            <w:r>
              <w:rPr>
                <w:rFonts w:hint="eastAsia" w:eastAsia="Times New Roman"/>
                <w:color w:val="auto"/>
              </w:rPr>
              <w:t>24 h</w:t>
            </w:r>
            <w:r>
              <w:rPr>
                <w:rFonts w:hint="eastAsia" w:ascii="宋体" w:hAnsi="宋体" w:eastAsia="Times New Roman" w:cs="宋体"/>
                <w:color w:val="auto"/>
              </w:rPr>
              <w:t>内流经范围</w:t>
            </w:r>
            <w:r>
              <w:rPr>
                <w:rFonts w:hint="eastAsia" w:eastAsia="Times New Roman"/>
                <w:color w:val="auto"/>
              </w:rPr>
              <w:t>/km</w:t>
            </w:r>
          </w:p>
        </w:tc>
      </w:tr>
      <w:tr w14:paraId="3AFB480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6A80BC61">
            <w:pPr>
              <w:pStyle w:val="129"/>
              <w:widowControl w:val="0"/>
              <w:spacing w:line="320" w:lineRule="exact"/>
              <w:rPr>
                <w:rFonts w:eastAsia="Times New Roman"/>
                <w:color w:val="auto"/>
              </w:rPr>
            </w:pPr>
          </w:p>
        </w:tc>
        <w:tc>
          <w:tcPr>
            <w:tcW w:w="1102" w:type="dxa"/>
            <w:vAlign w:val="center"/>
          </w:tcPr>
          <w:p w14:paraId="67C7CF98">
            <w:pPr>
              <w:pStyle w:val="129"/>
              <w:widowControl w:val="0"/>
              <w:spacing w:line="320" w:lineRule="exact"/>
              <w:rPr>
                <w:rFonts w:eastAsia="Times New Roman"/>
                <w:color w:val="auto"/>
              </w:rPr>
            </w:pPr>
            <w:r>
              <w:rPr>
                <w:rFonts w:hint="eastAsia" w:eastAsia="Times New Roman"/>
                <w:color w:val="auto"/>
              </w:rPr>
              <w:t>1</w:t>
            </w:r>
          </w:p>
        </w:tc>
        <w:tc>
          <w:tcPr>
            <w:tcW w:w="1937" w:type="dxa"/>
            <w:vAlign w:val="center"/>
          </w:tcPr>
          <w:p w14:paraId="7773EBCF">
            <w:pPr>
              <w:pStyle w:val="129"/>
              <w:widowControl w:val="0"/>
              <w:spacing w:line="320" w:lineRule="exact"/>
              <w:rPr>
                <w:rFonts w:eastAsia="Times New Roman"/>
                <w:color w:val="auto"/>
              </w:rPr>
            </w:pPr>
            <w:r>
              <w:rPr>
                <w:rFonts w:hint="eastAsia" w:ascii="宋体" w:hAnsi="宋体" w:eastAsia="Times New Roman" w:cs="宋体"/>
                <w:color w:val="auto"/>
              </w:rPr>
              <w:t>不涉及</w:t>
            </w:r>
          </w:p>
        </w:tc>
        <w:tc>
          <w:tcPr>
            <w:tcW w:w="2531" w:type="dxa"/>
            <w:gridSpan w:val="2"/>
            <w:vAlign w:val="center"/>
          </w:tcPr>
          <w:p w14:paraId="352A4C20">
            <w:pPr>
              <w:pStyle w:val="129"/>
              <w:widowControl w:val="0"/>
              <w:spacing w:line="320" w:lineRule="exact"/>
              <w:rPr>
                <w:rFonts w:eastAsia="Times New Roman"/>
                <w:color w:val="auto"/>
              </w:rPr>
            </w:pPr>
            <w:r>
              <w:rPr>
                <w:rFonts w:hint="eastAsia" w:eastAsia="Times New Roman"/>
                <w:color w:val="auto"/>
              </w:rPr>
              <w:t>/</w:t>
            </w:r>
          </w:p>
        </w:tc>
        <w:tc>
          <w:tcPr>
            <w:tcW w:w="2329" w:type="dxa"/>
            <w:gridSpan w:val="2"/>
            <w:vAlign w:val="center"/>
          </w:tcPr>
          <w:p w14:paraId="32B73F11">
            <w:pPr>
              <w:pStyle w:val="129"/>
              <w:widowControl w:val="0"/>
              <w:spacing w:line="320" w:lineRule="exact"/>
              <w:rPr>
                <w:rFonts w:eastAsia="Times New Roman"/>
                <w:color w:val="auto"/>
              </w:rPr>
            </w:pPr>
            <w:r>
              <w:rPr>
                <w:rFonts w:hint="eastAsia" w:eastAsia="Times New Roman"/>
                <w:color w:val="auto"/>
              </w:rPr>
              <w:t>/</w:t>
            </w:r>
          </w:p>
        </w:tc>
      </w:tr>
      <w:tr w14:paraId="018CB60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550791CE">
            <w:pPr>
              <w:pStyle w:val="129"/>
              <w:widowControl w:val="0"/>
              <w:spacing w:line="320" w:lineRule="exact"/>
              <w:rPr>
                <w:rFonts w:eastAsia="Times New Roman"/>
                <w:color w:val="auto"/>
              </w:rPr>
            </w:pPr>
          </w:p>
        </w:tc>
        <w:tc>
          <w:tcPr>
            <w:tcW w:w="7899" w:type="dxa"/>
            <w:gridSpan w:val="6"/>
            <w:vAlign w:val="center"/>
          </w:tcPr>
          <w:p w14:paraId="1E717470">
            <w:pPr>
              <w:pStyle w:val="129"/>
              <w:widowControl w:val="0"/>
              <w:spacing w:line="320" w:lineRule="exact"/>
              <w:rPr>
                <w:rFonts w:eastAsia="Times New Roman"/>
                <w:color w:val="auto"/>
              </w:rPr>
            </w:pPr>
            <w:r>
              <w:rPr>
                <w:rFonts w:hint="eastAsia" w:ascii="宋体" w:hAnsi="宋体" w:eastAsia="Times New Roman" w:cs="宋体"/>
                <w:color w:val="auto"/>
              </w:rPr>
              <w:t>内陆水体排放点下游</w:t>
            </w:r>
            <w:r>
              <w:rPr>
                <w:rFonts w:hint="eastAsia" w:eastAsia="Times New Roman"/>
                <w:color w:val="auto"/>
              </w:rPr>
              <w:t>10km</w:t>
            </w:r>
            <w:r>
              <w:rPr>
                <w:rFonts w:hint="eastAsia" w:ascii="宋体" w:hAnsi="宋体" w:eastAsia="Times New Roman" w:cs="宋体"/>
                <w:color w:val="auto"/>
              </w:rPr>
              <w:t>范围内敏感目标</w:t>
            </w:r>
          </w:p>
        </w:tc>
      </w:tr>
      <w:tr w14:paraId="7625398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0E30972B">
            <w:pPr>
              <w:pStyle w:val="129"/>
              <w:widowControl w:val="0"/>
              <w:spacing w:line="320" w:lineRule="exact"/>
              <w:rPr>
                <w:rFonts w:eastAsia="Times New Roman"/>
                <w:color w:val="auto"/>
              </w:rPr>
            </w:pPr>
          </w:p>
        </w:tc>
        <w:tc>
          <w:tcPr>
            <w:tcW w:w="1102" w:type="dxa"/>
            <w:vAlign w:val="center"/>
          </w:tcPr>
          <w:p w14:paraId="792417EC">
            <w:pPr>
              <w:pStyle w:val="129"/>
              <w:widowControl w:val="0"/>
              <w:spacing w:line="320" w:lineRule="exact"/>
              <w:rPr>
                <w:rFonts w:eastAsia="Times New Roman"/>
                <w:color w:val="auto"/>
              </w:rPr>
            </w:pPr>
            <w:r>
              <w:rPr>
                <w:rFonts w:hint="eastAsia" w:ascii="宋体" w:hAnsi="宋体" w:eastAsia="Times New Roman" w:cs="宋体"/>
                <w:color w:val="auto"/>
              </w:rPr>
              <w:t>序号</w:t>
            </w:r>
          </w:p>
        </w:tc>
        <w:tc>
          <w:tcPr>
            <w:tcW w:w="1937" w:type="dxa"/>
            <w:vAlign w:val="center"/>
          </w:tcPr>
          <w:p w14:paraId="78B6B320">
            <w:pPr>
              <w:pStyle w:val="129"/>
              <w:widowControl w:val="0"/>
              <w:spacing w:line="320" w:lineRule="exact"/>
              <w:rPr>
                <w:rFonts w:eastAsia="Times New Roman"/>
                <w:color w:val="auto"/>
              </w:rPr>
            </w:pPr>
            <w:r>
              <w:rPr>
                <w:rFonts w:hint="eastAsia" w:ascii="宋体" w:hAnsi="宋体" w:eastAsia="Times New Roman" w:cs="宋体"/>
                <w:color w:val="auto"/>
              </w:rPr>
              <w:t>敏感目标名称</w:t>
            </w:r>
          </w:p>
        </w:tc>
        <w:tc>
          <w:tcPr>
            <w:tcW w:w="1340" w:type="dxa"/>
            <w:vAlign w:val="center"/>
          </w:tcPr>
          <w:p w14:paraId="1402DAEC">
            <w:pPr>
              <w:pStyle w:val="129"/>
              <w:widowControl w:val="0"/>
              <w:spacing w:line="320" w:lineRule="exact"/>
              <w:rPr>
                <w:rFonts w:eastAsia="Times New Roman"/>
                <w:color w:val="auto"/>
              </w:rPr>
            </w:pPr>
            <w:r>
              <w:rPr>
                <w:rFonts w:hint="eastAsia" w:ascii="宋体" w:hAnsi="宋体" w:eastAsia="Times New Roman" w:cs="宋体"/>
                <w:color w:val="auto"/>
              </w:rPr>
              <w:t>环境敏感特征</w:t>
            </w:r>
          </w:p>
        </w:tc>
        <w:tc>
          <w:tcPr>
            <w:tcW w:w="1191" w:type="dxa"/>
            <w:vAlign w:val="center"/>
          </w:tcPr>
          <w:p w14:paraId="4C9552CB">
            <w:pPr>
              <w:pStyle w:val="129"/>
              <w:widowControl w:val="0"/>
              <w:spacing w:line="320" w:lineRule="exact"/>
              <w:rPr>
                <w:rFonts w:eastAsia="Times New Roman"/>
                <w:color w:val="auto"/>
              </w:rPr>
            </w:pPr>
            <w:r>
              <w:rPr>
                <w:rFonts w:hint="eastAsia" w:ascii="宋体" w:hAnsi="宋体" w:eastAsia="Times New Roman" w:cs="宋体"/>
                <w:color w:val="auto"/>
              </w:rPr>
              <w:t>水质目标</w:t>
            </w:r>
          </w:p>
        </w:tc>
        <w:tc>
          <w:tcPr>
            <w:tcW w:w="2329" w:type="dxa"/>
            <w:gridSpan w:val="2"/>
            <w:vAlign w:val="center"/>
          </w:tcPr>
          <w:p w14:paraId="17962564">
            <w:pPr>
              <w:pStyle w:val="129"/>
              <w:widowControl w:val="0"/>
              <w:spacing w:line="320" w:lineRule="exact"/>
              <w:rPr>
                <w:rFonts w:eastAsia="Times New Roman"/>
                <w:color w:val="auto"/>
              </w:rPr>
            </w:pPr>
            <w:r>
              <w:rPr>
                <w:rFonts w:hint="eastAsia" w:ascii="宋体" w:hAnsi="宋体" w:eastAsia="Times New Roman" w:cs="宋体"/>
                <w:color w:val="auto"/>
              </w:rPr>
              <w:t>与排放点的距离</w:t>
            </w:r>
            <w:r>
              <w:rPr>
                <w:rFonts w:hint="eastAsia" w:eastAsia="Times New Roman"/>
                <w:color w:val="auto"/>
              </w:rPr>
              <w:t>/m</w:t>
            </w:r>
          </w:p>
        </w:tc>
      </w:tr>
      <w:tr w14:paraId="2750590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0D1CE5D5">
            <w:pPr>
              <w:pStyle w:val="129"/>
              <w:widowControl w:val="0"/>
              <w:spacing w:line="320" w:lineRule="exact"/>
              <w:rPr>
                <w:rFonts w:eastAsia="Times New Roman"/>
                <w:color w:val="auto"/>
              </w:rPr>
            </w:pPr>
          </w:p>
        </w:tc>
        <w:tc>
          <w:tcPr>
            <w:tcW w:w="1102" w:type="dxa"/>
            <w:vAlign w:val="center"/>
          </w:tcPr>
          <w:p w14:paraId="28A9E489">
            <w:pPr>
              <w:pStyle w:val="129"/>
              <w:widowControl w:val="0"/>
              <w:spacing w:line="320" w:lineRule="exact"/>
              <w:rPr>
                <w:rFonts w:eastAsia="Times New Roman"/>
                <w:color w:val="auto"/>
              </w:rPr>
            </w:pPr>
            <w:r>
              <w:rPr>
                <w:rFonts w:hint="eastAsia" w:eastAsia="Times New Roman"/>
                <w:color w:val="auto"/>
              </w:rPr>
              <w:t>1</w:t>
            </w:r>
          </w:p>
        </w:tc>
        <w:tc>
          <w:tcPr>
            <w:tcW w:w="1937" w:type="dxa"/>
            <w:vAlign w:val="center"/>
          </w:tcPr>
          <w:p w14:paraId="18B1328A">
            <w:pPr>
              <w:pStyle w:val="129"/>
              <w:widowControl w:val="0"/>
              <w:spacing w:line="320" w:lineRule="exact"/>
              <w:rPr>
                <w:rFonts w:eastAsia="Times New Roman"/>
                <w:color w:val="auto"/>
              </w:rPr>
            </w:pPr>
            <w:r>
              <w:rPr>
                <w:rFonts w:hint="eastAsia" w:ascii="宋体" w:hAnsi="宋体" w:eastAsia="Times New Roman" w:cs="宋体"/>
                <w:color w:val="auto"/>
              </w:rPr>
              <w:t>不涉及</w:t>
            </w:r>
          </w:p>
        </w:tc>
        <w:tc>
          <w:tcPr>
            <w:tcW w:w="1340" w:type="dxa"/>
            <w:vAlign w:val="center"/>
          </w:tcPr>
          <w:p w14:paraId="60EC98A5">
            <w:pPr>
              <w:pStyle w:val="129"/>
              <w:widowControl w:val="0"/>
              <w:spacing w:line="320" w:lineRule="exact"/>
              <w:rPr>
                <w:rFonts w:eastAsia="Times New Roman"/>
                <w:color w:val="auto"/>
              </w:rPr>
            </w:pPr>
            <w:r>
              <w:rPr>
                <w:rFonts w:hint="eastAsia" w:eastAsia="Times New Roman"/>
                <w:color w:val="auto"/>
              </w:rPr>
              <w:t>/</w:t>
            </w:r>
          </w:p>
        </w:tc>
        <w:tc>
          <w:tcPr>
            <w:tcW w:w="1191" w:type="dxa"/>
            <w:vAlign w:val="center"/>
          </w:tcPr>
          <w:p w14:paraId="6FA8DAD7">
            <w:pPr>
              <w:pStyle w:val="129"/>
              <w:widowControl w:val="0"/>
              <w:spacing w:line="320" w:lineRule="exact"/>
              <w:rPr>
                <w:rFonts w:eastAsia="Times New Roman"/>
                <w:color w:val="auto"/>
              </w:rPr>
            </w:pPr>
            <w:r>
              <w:rPr>
                <w:rFonts w:hint="eastAsia" w:eastAsia="Times New Roman"/>
                <w:color w:val="auto"/>
              </w:rPr>
              <w:t>/</w:t>
            </w:r>
          </w:p>
        </w:tc>
        <w:tc>
          <w:tcPr>
            <w:tcW w:w="2329" w:type="dxa"/>
            <w:gridSpan w:val="2"/>
            <w:vAlign w:val="center"/>
          </w:tcPr>
          <w:p w14:paraId="3BE04F56">
            <w:pPr>
              <w:pStyle w:val="129"/>
              <w:widowControl w:val="0"/>
              <w:spacing w:line="320" w:lineRule="exact"/>
              <w:rPr>
                <w:rFonts w:eastAsia="Times New Roman"/>
                <w:color w:val="auto"/>
              </w:rPr>
            </w:pPr>
            <w:r>
              <w:rPr>
                <w:rFonts w:hint="eastAsia" w:eastAsia="Times New Roman"/>
                <w:color w:val="auto"/>
              </w:rPr>
              <w:t>/</w:t>
            </w:r>
          </w:p>
        </w:tc>
      </w:tr>
      <w:tr w14:paraId="21B5253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50734F22">
            <w:pPr>
              <w:pStyle w:val="129"/>
              <w:widowControl w:val="0"/>
              <w:spacing w:line="320" w:lineRule="exact"/>
              <w:rPr>
                <w:rFonts w:eastAsia="Times New Roman"/>
                <w:color w:val="auto"/>
              </w:rPr>
            </w:pPr>
          </w:p>
        </w:tc>
        <w:tc>
          <w:tcPr>
            <w:tcW w:w="6761" w:type="dxa"/>
            <w:gridSpan w:val="5"/>
            <w:vAlign w:val="center"/>
          </w:tcPr>
          <w:p w14:paraId="72AFA809">
            <w:pPr>
              <w:pStyle w:val="129"/>
              <w:widowControl w:val="0"/>
              <w:spacing w:line="320" w:lineRule="exact"/>
              <w:rPr>
                <w:rFonts w:eastAsia="Times New Roman"/>
                <w:color w:val="auto"/>
              </w:rPr>
            </w:pPr>
            <w:r>
              <w:rPr>
                <w:rFonts w:hint="eastAsia" w:ascii="宋体" w:hAnsi="宋体" w:eastAsia="Times New Roman" w:cs="宋体"/>
                <w:color w:val="auto"/>
              </w:rPr>
              <w:t>地表水环境敏感程度</w:t>
            </w:r>
            <w:r>
              <w:rPr>
                <w:rFonts w:hint="eastAsia" w:eastAsia="Times New Roman"/>
                <w:color w:val="auto"/>
              </w:rPr>
              <w:t>E</w:t>
            </w:r>
            <w:r>
              <w:rPr>
                <w:rFonts w:hint="eastAsia" w:ascii="宋体" w:hAnsi="宋体" w:eastAsia="Times New Roman" w:cs="宋体"/>
                <w:color w:val="auto"/>
              </w:rPr>
              <w:t>值</w:t>
            </w:r>
          </w:p>
        </w:tc>
        <w:tc>
          <w:tcPr>
            <w:tcW w:w="1138" w:type="dxa"/>
            <w:vAlign w:val="center"/>
          </w:tcPr>
          <w:p w14:paraId="57CE558F">
            <w:pPr>
              <w:pStyle w:val="129"/>
              <w:widowControl w:val="0"/>
              <w:spacing w:line="320" w:lineRule="exact"/>
              <w:rPr>
                <w:rFonts w:eastAsia="Times New Roman"/>
                <w:color w:val="auto"/>
              </w:rPr>
            </w:pPr>
            <w:r>
              <w:rPr>
                <w:rFonts w:hint="eastAsia" w:eastAsia="Times New Roman"/>
                <w:color w:val="auto"/>
              </w:rPr>
              <w:t>/</w:t>
            </w:r>
          </w:p>
        </w:tc>
      </w:tr>
      <w:tr w14:paraId="117F156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restart"/>
            <w:vAlign w:val="center"/>
          </w:tcPr>
          <w:p w14:paraId="3D60A543">
            <w:pPr>
              <w:pStyle w:val="129"/>
              <w:widowControl w:val="0"/>
              <w:spacing w:line="320" w:lineRule="exact"/>
              <w:rPr>
                <w:rFonts w:eastAsia="Times New Roman"/>
                <w:color w:val="auto"/>
              </w:rPr>
            </w:pPr>
            <w:r>
              <w:rPr>
                <w:rFonts w:hint="eastAsia" w:ascii="宋体" w:hAnsi="宋体" w:eastAsia="Times New Roman" w:cs="宋体"/>
                <w:color w:val="auto"/>
              </w:rPr>
              <w:t>地下水</w:t>
            </w:r>
          </w:p>
        </w:tc>
        <w:tc>
          <w:tcPr>
            <w:tcW w:w="1102" w:type="dxa"/>
            <w:vAlign w:val="center"/>
          </w:tcPr>
          <w:p w14:paraId="3FB0DAB9">
            <w:pPr>
              <w:pStyle w:val="129"/>
              <w:widowControl w:val="0"/>
              <w:spacing w:line="320" w:lineRule="exact"/>
              <w:rPr>
                <w:rFonts w:eastAsia="Times New Roman"/>
                <w:color w:val="auto"/>
              </w:rPr>
            </w:pPr>
            <w:r>
              <w:rPr>
                <w:rFonts w:hint="eastAsia" w:ascii="宋体" w:hAnsi="宋体" w:eastAsia="Times New Roman" w:cs="宋体"/>
                <w:color w:val="auto"/>
              </w:rPr>
              <w:t>序号</w:t>
            </w:r>
          </w:p>
        </w:tc>
        <w:tc>
          <w:tcPr>
            <w:tcW w:w="1937" w:type="dxa"/>
            <w:vAlign w:val="center"/>
          </w:tcPr>
          <w:p w14:paraId="7EC3CDCF">
            <w:pPr>
              <w:pStyle w:val="129"/>
              <w:widowControl w:val="0"/>
              <w:spacing w:line="320" w:lineRule="exact"/>
              <w:rPr>
                <w:rFonts w:eastAsia="Times New Roman"/>
                <w:color w:val="auto"/>
              </w:rPr>
            </w:pPr>
            <w:r>
              <w:rPr>
                <w:rFonts w:hint="eastAsia" w:ascii="宋体" w:hAnsi="宋体" w:eastAsia="Times New Roman" w:cs="宋体"/>
                <w:color w:val="auto"/>
              </w:rPr>
              <w:t>环境敏感区名称</w:t>
            </w:r>
          </w:p>
        </w:tc>
        <w:tc>
          <w:tcPr>
            <w:tcW w:w="1340" w:type="dxa"/>
            <w:vAlign w:val="center"/>
          </w:tcPr>
          <w:p w14:paraId="38BB7FE7">
            <w:pPr>
              <w:pStyle w:val="129"/>
              <w:widowControl w:val="0"/>
              <w:spacing w:line="320" w:lineRule="exact"/>
              <w:rPr>
                <w:rFonts w:eastAsia="Times New Roman"/>
                <w:color w:val="auto"/>
              </w:rPr>
            </w:pPr>
            <w:r>
              <w:rPr>
                <w:rFonts w:hint="eastAsia" w:ascii="宋体" w:hAnsi="宋体" w:eastAsia="Times New Roman" w:cs="宋体"/>
                <w:color w:val="auto"/>
              </w:rPr>
              <w:t>环境敏感特征</w:t>
            </w:r>
          </w:p>
        </w:tc>
        <w:tc>
          <w:tcPr>
            <w:tcW w:w="1191" w:type="dxa"/>
            <w:vAlign w:val="center"/>
          </w:tcPr>
          <w:p w14:paraId="0C268495">
            <w:pPr>
              <w:pStyle w:val="129"/>
              <w:widowControl w:val="0"/>
              <w:spacing w:line="320" w:lineRule="exact"/>
              <w:rPr>
                <w:rFonts w:eastAsia="Times New Roman"/>
                <w:color w:val="auto"/>
              </w:rPr>
            </w:pPr>
            <w:r>
              <w:rPr>
                <w:rFonts w:hint="eastAsia" w:ascii="宋体" w:hAnsi="宋体" w:eastAsia="Times New Roman" w:cs="宋体"/>
                <w:color w:val="auto"/>
              </w:rPr>
              <w:t>水质目标</w:t>
            </w:r>
          </w:p>
        </w:tc>
        <w:tc>
          <w:tcPr>
            <w:tcW w:w="1191" w:type="dxa"/>
            <w:vAlign w:val="center"/>
          </w:tcPr>
          <w:p w14:paraId="3CB8FC6E">
            <w:pPr>
              <w:pStyle w:val="129"/>
              <w:widowControl w:val="0"/>
              <w:spacing w:line="320" w:lineRule="exact"/>
              <w:rPr>
                <w:rFonts w:eastAsia="Times New Roman"/>
                <w:color w:val="auto"/>
              </w:rPr>
            </w:pPr>
            <w:r>
              <w:rPr>
                <w:rFonts w:hint="eastAsia" w:ascii="宋体" w:hAnsi="宋体" w:eastAsia="Times New Roman" w:cs="宋体"/>
                <w:color w:val="auto"/>
              </w:rPr>
              <w:t>包</w:t>
            </w:r>
            <w:r>
              <w:rPr>
                <w:rFonts w:hint="eastAsia" w:eastAsia="Times New Roman"/>
                <w:color w:val="auto"/>
              </w:rPr>
              <w:t>气带</w:t>
            </w:r>
            <w:r>
              <w:rPr>
                <w:rFonts w:hint="eastAsia" w:ascii="宋体" w:hAnsi="宋体" w:eastAsia="Times New Roman" w:cs="宋体"/>
                <w:color w:val="auto"/>
              </w:rPr>
              <w:t>防污性能</w:t>
            </w:r>
          </w:p>
        </w:tc>
        <w:tc>
          <w:tcPr>
            <w:tcW w:w="1138" w:type="dxa"/>
            <w:vAlign w:val="center"/>
          </w:tcPr>
          <w:p w14:paraId="1FB8D98F">
            <w:pPr>
              <w:pStyle w:val="129"/>
              <w:widowControl w:val="0"/>
              <w:spacing w:line="320" w:lineRule="exact"/>
              <w:rPr>
                <w:rFonts w:eastAsia="Times New Roman"/>
                <w:color w:val="auto"/>
              </w:rPr>
            </w:pPr>
            <w:r>
              <w:rPr>
                <w:rFonts w:hint="eastAsia" w:ascii="宋体" w:hAnsi="宋体" w:eastAsia="Times New Roman" w:cs="宋体"/>
                <w:color w:val="auto"/>
              </w:rPr>
              <w:t>与下游厂界距离</w:t>
            </w:r>
            <w:r>
              <w:rPr>
                <w:rFonts w:eastAsia="Times New Roman"/>
                <w:color w:val="auto"/>
              </w:rPr>
              <w:t>/m</w:t>
            </w:r>
          </w:p>
        </w:tc>
      </w:tr>
      <w:tr w14:paraId="29D9DB8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5363AFDB">
            <w:pPr>
              <w:pStyle w:val="129"/>
              <w:widowControl w:val="0"/>
              <w:spacing w:line="320" w:lineRule="exact"/>
              <w:rPr>
                <w:rFonts w:eastAsia="Times New Roman"/>
                <w:color w:val="auto"/>
              </w:rPr>
            </w:pPr>
          </w:p>
        </w:tc>
        <w:tc>
          <w:tcPr>
            <w:tcW w:w="1102" w:type="dxa"/>
            <w:vAlign w:val="center"/>
          </w:tcPr>
          <w:p w14:paraId="325E564D">
            <w:pPr>
              <w:pStyle w:val="129"/>
              <w:widowControl w:val="0"/>
              <w:spacing w:line="320" w:lineRule="exact"/>
              <w:rPr>
                <w:rFonts w:eastAsia="Times New Roman"/>
                <w:color w:val="auto"/>
              </w:rPr>
            </w:pPr>
            <w:r>
              <w:rPr>
                <w:rFonts w:hint="eastAsia" w:eastAsia="Times New Roman"/>
                <w:color w:val="auto"/>
              </w:rPr>
              <w:t>1</w:t>
            </w:r>
          </w:p>
        </w:tc>
        <w:tc>
          <w:tcPr>
            <w:tcW w:w="1937" w:type="dxa"/>
            <w:vAlign w:val="center"/>
          </w:tcPr>
          <w:p w14:paraId="68219778">
            <w:pPr>
              <w:pStyle w:val="129"/>
              <w:widowControl w:val="0"/>
              <w:spacing w:line="320" w:lineRule="exact"/>
              <w:rPr>
                <w:rFonts w:eastAsia="Times New Roman"/>
                <w:color w:val="auto"/>
              </w:rPr>
            </w:pPr>
            <w:r>
              <w:rPr>
                <w:rFonts w:hint="eastAsia" w:eastAsia="Times New Roman"/>
                <w:color w:val="auto"/>
              </w:rPr>
              <w:t>/</w:t>
            </w:r>
          </w:p>
        </w:tc>
        <w:tc>
          <w:tcPr>
            <w:tcW w:w="1340" w:type="dxa"/>
            <w:vAlign w:val="center"/>
          </w:tcPr>
          <w:p w14:paraId="6BBCCC14">
            <w:pPr>
              <w:pStyle w:val="129"/>
              <w:widowControl w:val="0"/>
              <w:spacing w:line="320" w:lineRule="exact"/>
              <w:rPr>
                <w:rFonts w:eastAsia="Times New Roman"/>
                <w:color w:val="auto"/>
              </w:rPr>
            </w:pPr>
            <w:r>
              <w:rPr>
                <w:rFonts w:hint="eastAsia" w:eastAsia="Times New Roman"/>
                <w:color w:val="auto"/>
              </w:rPr>
              <w:t>G3</w:t>
            </w:r>
          </w:p>
        </w:tc>
        <w:tc>
          <w:tcPr>
            <w:tcW w:w="1191" w:type="dxa"/>
            <w:vAlign w:val="center"/>
          </w:tcPr>
          <w:p w14:paraId="44EE1446">
            <w:pPr>
              <w:pStyle w:val="129"/>
              <w:widowControl w:val="0"/>
              <w:spacing w:line="320" w:lineRule="exact"/>
              <w:rPr>
                <w:rFonts w:eastAsia="Times New Roman"/>
                <w:color w:val="auto"/>
              </w:rPr>
            </w:pPr>
            <w:r>
              <w:rPr>
                <w:rFonts w:hint="eastAsia" w:ascii="宋体" w:hAnsi="宋体" w:eastAsia="Times New Roman" w:cs="宋体"/>
                <w:color w:val="auto"/>
              </w:rPr>
              <w:t>三类</w:t>
            </w:r>
          </w:p>
        </w:tc>
        <w:tc>
          <w:tcPr>
            <w:tcW w:w="1191" w:type="dxa"/>
            <w:vAlign w:val="center"/>
          </w:tcPr>
          <w:p w14:paraId="7C8CA8C1">
            <w:pPr>
              <w:pStyle w:val="129"/>
              <w:widowControl w:val="0"/>
              <w:spacing w:line="320" w:lineRule="exact"/>
              <w:rPr>
                <w:rFonts w:eastAsia="Times New Roman"/>
                <w:color w:val="auto"/>
              </w:rPr>
            </w:pPr>
            <w:r>
              <w:rPr>
                <w:rFonts w:eastAsia="Times New Roman"/>
                <w:color w:val="auto"/>
              </w:rPr>
              <w:t>D</w:t>
            </w:r>
            <w:r>
              <w:rPr>
                <w:rFonts w:hint="eastAsia" w:eastAsia="Times New Roman"/>
                <w:color w:val="auto"/>
              </w:rPr>
              <w:t>1</w:t>
            </w:r>
          </w:p>
        </w:tc>
        <w:tc>
          <w:tcPr>
            <w:tcW w:w="1138" w:type="dxa"/>
            <w:vAlign w:val="center"/>
          </w:tcPr>
          <w:p w14:paraId="3B32E076">
            <w:pPr>
              <w:pStyle w:val="129"/>
              <w:widowControl w:val="0"/>
              <w:spacing w:line="320" w:lineRule="exact"/>
              <w:rPr>
                <w:rFonts w:eastAsia="Times New Roman"/>
                <w:color w:val="auto"/>
              </w:rPr>
            </w:pPr>
            <w:r>
              <w:rPr>
                <w:rFonts w:hint="eastAsia" w:eastAsia="Times New Roman"/>
                <w:color w:val="auto"/>
              </w:rPr>
              <w:t>/</w:t>
            </w:r>
          </w:p>
        </w:tc>
      </w:tr>
      <w:tr w14:paraId="52680C8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841" w:type="dxa"/>
            <w:vMerge w:val="continue"/>
            <w:vAlign w:val="center"/>
          </w:tcPr>
          <w:p w14:paraId="25C75030">
            <w:pPr>
              <w:pStyle w:val="129"/>
              <w:widowControl w:val="0"/>
              <w:spacing w:line="320" w:lineRule="exact"/>
              <w:rPr>
                <w:rFonts w:eastAsia="Times New Roman"/>
                <w:color w:val="auto"/>
              </w:rPr>
            </w:pPr>
          </w:p>
        </w:tc>
        <w:tc>
          <w:tcPr>
            <w:tcW w:w="6761" w:type="dxa"/>
            <w:gridSpan w:val="5"/>
            <w:vAlign w:val="center"/>
          </w:tcPr>
          <w:p w14:paraId="6A5C173A">
            <w:pPr>
              <w:pStyle w:val="129"/>
              <w:widowControl w:val="0"/>
              <w:spacing w:line="320" w:lineRule="exact"/>
              <w:rPr>
                <w:rFonts w:eastAsia="Times New Roman"/>
                <w:color w:val="auto"/>
              </w:rPr>
            </w:pPr>
            <w:r>
              <w:rPr>
                <w:rFonts w:hint="eastAsia" w:ascii="宋体" w:hAnsi="宋体" w:eastAsia="Times New Roman" w:cs="宋体"/>
                <w:color w:val="auto"/>
              </w:rPr>
              <w:t>地下水环境敏感程度</w:t>
            </w:r>
            <w:r>
              <w:rPr>
                <w:rFonts w:hint="eastAsia" w:eastAsia="Times New Roman"/>
                <w:color w:val="auto"/>
              </w:rPr>
              <w:t>E</w:t>
            </w:r>
            <w:r>
              <w:rPr>
                <w:rFonts w:hint="eastAsia" w:ascii="宋体" w:hAnsi="宋体" w:eastAsia="Times New Roman" w:cs="宋体"/>
                <w:color w:val="auto"/>
              </w:rPr>
              <w:t>值</w:t>
            </w:r>
          </w:p>
        </w:tc>
        <w:tc>
          <w:tcPr>
            <w:tcW w:w="1138" w:type="dxa"/>
            <w:vAlign w:val="center"/>
          </w:tcPr>
          <w:p w14:paraId="69F40B72">
            <w:pPr>
              <w:pStyle w:val="129"/>
              <w:widowControl w:val="0"/>
              <w:spacing w:line="320" w:lineRule="exact"/>
              <w:rPr>
                <w:rFonts w:eastAsia="Times New Roman"/>
                <w:color w:val="auto"/>
              </w:rPr>
            </w:pPr>
            <w:r>
              <w:rPr>
                <w:rFonts w:eastAsia="Times New Roman"/>
                <w:color w:val="auto"/>
              </w:rPr>
              <w:t>E</w:t>
            </w:r>
            <w:r>
              <w:rPr>
                <w:rFonts w:hint="eastAsia" w:eastAsia="Times New Roman"/>
                <w:color w:val="auto"/>
              </w:rPr>
              <w:t>2</w:t>
            </w:r>
          </w:p>
        </w:tc>
      </w:tr>
    </w:tbl>
    <w:p w14:paraId="7CB55109">
      <w:pPr>
        <w:rPr>
          <w:color w:val="auto"/>
        </w:rPr>
        <w:sectPr>
          <w:footerReference r:id="rId17" w:type="default"/>
          <w:type w:val="continuous"/>
          <w:pgSz w:w="11906" w:h="16838"/>
          <w:pgMar w:top="1440" w:right="1588" w:bottom="1389" w:left="1588" w:header="737" w:footer="822" w:gutter="0"/>
          <w:cols w:space="425" w:num="1"/>
          <w:docGrid w:type="lines" w:linePitch="312" w:charSpace="0"/>
        </w:sectPr>
      </w:pPr>
    </w:p>
    <w:p w14:paraId="52F2B6BC">
      <w:pPr>
        <w:pStyle w:val="2"/>
        <w:rPr>
          <w:color w:val="auto"/>
        </w:rPr>
      </w:pPr>
      <w:bookmarkStart w:id="180" w:name="_Toc229930121"/>
      <w:r>
        <w:rPr>
          <w:rFonts w:hint="eastAsia"/>
          <w:color w:val="auto"/>
        </w:rPr>
        <w:t>建设项目</w:t>
      </w:r>
      <w:r>
        <w:rPr>
          <w:color w:val="auto"/>
        </w:rPr>
        <w:t>工程分析</w:t>
      </w:r>
      <w:bookmarkEnd w:id="180"/>
    </w:p>
    <w:p w14:paraId="44593CDD">
      <w:pPr>
        <w:pStyle w:val="3"/>
        <w:rPr>
          <w:color w:val="auto"/>
        </w:rPr>
      </w:pPr>
      <w:bookmarkStart w:id="181" w:name="_Toc229930122"/>
      <w:r>
        <w:rPr>
          <w:rFonts w:hint="eastAsia"/>
          <w:color w:val="auto"/>
        </w:rPr>
        <w:t>本项目概况</w:t>
      </w:r>
      <w:bookmarkEnd w:id="181"/>
    </w:p>
    <w:p w14:paraId="2E80B9B6">
      <w:pPr>
        <w:pStyle w:val="4"/>
        <w:rPr>
          <w:color w:val="auto"/>
        </w:rPr>
      </w:pPr>
      <w:r>
        <w:rPr>
          <w:rFonts w:hint="eastAsia"/>
          <w:color w:val="auto"/>
        </w:rPr>
        <w:t>建设项目基本情况</w:t>
      </w:r>
    </w:p>
    <w:p w14:paraId="1B614347">
      <w:pPr>
        <w:pStyle w:val="132"/>
        <w:spacing w:line="520" w:lineRule="exact"/>
        <w:rPr>
          <w:color w:val="auto"/>
        </w:rPr>
      </w:pPr>
      <w:r>
        <w:rPr>
          <w:rFonts w:hint="eastAsia"/>
          <w:color w:val="auto"/>
        </w:rPr>
        <w:t>项目名称：</w:t>
      </w:r>
      <w:bookmarkStart w:id="182" w:name="_Hlk196317135"/>
      <w:r>
        <w:rPr>
          <w:rFonts w:hint="eastAsia"/>
          <w:color w:val="auto"/>
        </w:rPr>
        <w:t>新疆</w:t>
      </w:r>
      <w:bookmarkEnd w:id="182"/>
      <w:r>
        <w:rPr>
          <w:rFonts w:hint="eastAsia"/>
          <w:color w:val="auto"/>
        </w:rPr>
        <w:t>斯诺环保科技有限公司危废处置项目。</w:t>
      </w:r>
    </w:p>
    <w:p w14:paraId="7D5EAB31">
      <w:pPr>
        <w:pStyle w:val="132"/>
        <w:spacing w:line="520" w:lineRule="exact"/>
        <w:rPr>
          <w:color w:val="auto"/>
        </w:rPr>
      </w:pPr>
      <w:r>
        <w:rPr>
          <w:rFonts w:hint="eastAsia"/>
          <w:color w:val="auto"/>
        </w:rPr>
        <w:t>建设性质：新建。</w:t>
      </w:r>
    </w:p>
    <w:p w14:paraId="33DA840B">
      <w:pPr>
        <w:pStyle w:val="132"/>
        <w:spacing w:line="520" w:lineRule="exact"/>
        <w:rPr>
          <w:color w:val="auto"/>
        </w:rPr>
      </w:pPr>
      <w:r>
        <w:rPr>
          <w:rFonts w:hint="eastAsia"/>
          <w:color w:val="auto"/>
        </w:rPr>
        <w:t>行业类别：对照《国民经济行业分类》（GB/T 4754-2017</w:t>
      </w:r>
      <w:r>
        <w:rPr>
          <w:color w:val="auto"/>
        </w:rPr>
        <w:t>）</w:t>
      </w:r>
      <w:r>
        <w:rPr>
          <w:rFonts w:hint="eastAsia"/>
          <w:color w:val="auto"/>
        </w:rPr>
        <w:t>，本项目危险废物处置属于“N7724危险废物治理</w:t>
      </w:r>
      <w:r>
        <w:rPr>
          <w:color w:val="auto"/>
        </w:rPr>
        <w:t>”</w:t>
      </w:r>
      <w:r>
        <w:rPr>
          <w:rFonts w:hint="eastAsia"/>
          <w:color w:val="auto"/>
        </w:rPr>
        <w:t xml:space="preserve">，催化剂生产属于“C2661 </w:t>
      </w:r>
      <w:r>
        <w:rPr>
          <w:color w:val="auto"/>
        </w:rPr>
        <w:t>化学试剂和助剂制造”</w:t>
      </w:r>
      <w:r>
        <w:rPr>
          <w:rFonts w:hint="eastAsia"/>
          <w:color w:val="auto"/>
        </w:rPr>
        <w:t>；对照《</w:t>
      </w:r>
      <w:r>
        <w:rPr>
          <w:color w:val="auto"/>
        </w:rPr>
        <w:t>建设项目环境影响评价</w:t>
      </w:r>
      <w:r>
        <w:rPr>
          <w:rFonts w:hint="eastAsia"/>
          <w:color w:val="auto"/>
        </w:rPr>
        <w:t>分类管理名录（2021年版）》，危险废物处置属于“四十七、生态环境保护和治理业、101 危险废物（不含医疗废物）利用及处置”，催化剂制造属于 “二十三、化学原料和化学制品制造业 26”中“44 专用化学产品制造266”。</w:t>
      </w:r>
    </w:p>
    <w:p w14:paraId="61085C9B">
      <w:pPr>
        <w:pStyle w:val="132"/>
        <w:spacing w:line="520" w:lineRule="exact"/>
        <w:rPr>
          <w:color w:val="auto"/>
        </w:rPr>
      </w:pPr>
      <w:r>
        <w:rPr>
          <w:rFonts w:hint="eastAsia"/>
          <w:color w:val="auto"/>
        </w:rPr>
        <w:t>建设单位：新疆斯诺环保科技有限公司。</w:t>
      </w:r>
    </w:p>
    <w:p w14:paraId="18D59282">
      <w:pPr>
        <w:pStyle w:val="132"/>
        <w:spacing w:line="520" w:lineRule="exact"/>
        <w:rPr>
          <w:color w:val="auto"/>
        </w:rPr>
      </w:pPr>
      <w:r>
        <w:rPr>
          <w:rFonts w:hint="eastAsia"/>
          <w:color w:val="auto"/>
        </w:rPr>
        <w:t>建设地点：拟建厂址位于乌鲁木齐甘泉堡经济技术开发区（工业区）化工园区</w:t>
      </w:r>
      <w:r>
        <w:rPr>
          <w:color w:val="auto"/>
        </w:rPr>
        <w:t>。</w:t>
      </w:r>
      <w:r>
        <w:rPr>
          <w:rFonts w:hint="eastAsia"/>
          <w:color w:val="auto"/>
        </w:rPr>
        <w:t>拟建厂址东侧为园区规划甘怡路，南侧为云泉东街，西侧260m为远洋金属材料科技有限公司，北侧420m为甘泉堡消防救援大队。</w:t>
      </w:r>
    </w:p>
    <w:p w14:paraId="546243CA">
      <w:pPr>
        <w:pStyle w:val="132"/>
        <w:spacing w:line="520" w:lineRule="exact"/>
        <w:rPr>
          <w:color w:val="auto"/>
        </w:rPr>
      </w:pPr>
      <w:r>
        <w:rPr>
          <w:rFonts w:hint="eastAsia"/>
          <w:color w:val="auto"/>
        </w:rPr>
        <w:t>工程占地：总占地</w:t>
      </w:r>
      <w:r>
        <w:rPr>
          <w:color w:val="auto"/>
        </w:rPr>
        <w:t>42694.8</w:t>
      </w:r>
      <w:r>
        <w:rPr>
          <w:rFonts w:hint="eastAsia"/>
          <w:color w:val="auto"/>
        </w:rPr>
        <w:t xml:space="preserve"> m</w:t>
      </w:r>
      <w:r>
        <w:rPr>
          <w:rFonts w:hint="eastAsia"/>
          <w:color w:val="auto"/>
          <w:vertAlign w:val="superscript"/>
        </w:rPr>
        <w:t>2</w:t>
      </w:r>
      <w:r>
        <w:rPr>
          <w:rFonts w:hint="eastAsia"/>
          <w:color w:val="auto"/>
        </w:rPr>
        <w:t>，均为乌鲁木齐甘泉堡经济技术开发区（工业区）化工园区</w:t>
      </w:r>
      <w:r>
        <w:rPr>
          <w:rFonts w:hint="eastAsia" w:ascii="宋体" w:hAnsi="宋体" w:cs="宋体"/>
          <w:color w:val="auto"/>
        </w:rPr>
        <w:t>工业用地</w:t>
      </w:r>
      <w:r>
        <w:rPr>
          <w:rFonts w:hint="eastAsia"/>
          <w:color w:val="auto"/>
        </w:rPr>
        <w:t>。</w:t>
      </w:r>
    </w:p>
    <w:p w14:paraId="58CF8FEC">
      <w:pPr>
        <w:pStyle w:val="132"/>
        <w:spacing w:line="520" w:lineRule="exact"/>
        <w:rPr>
          <w:color w:val="auto"/>
        </w:rPr>
      </w:pPr>
      <w:bookmarkStart w:id="183" w:name="_Hlk174465125"/>
      <w:r>
        <w:rPr>
          <w:rFonts w:hint="eastAsia"/>
          <w:color w:val="auto"/>
        </w:rPr>
        <w:t>生产制度与定员：劳动定员90人，</w:t>
      </w:r>
      <w:r>
        <w:rPr>
          <w:color w:val="auto"/>
        </w:rPr>
        <w:t>生产部门人员实行四班三运转制</w:t>
      </w:r>
      <w:r>
        <w:rPr>
          <w:rFonts w:hint="eastAsia"/>
          <w:color w:val="auto"/>
        </w:rPr>
        <w:t>，</w:t>
      </w:r>
      <w:r>
        <w:rPr>
          <w:color w:val="auto"/>
        </w:rPr>
        <w:t>年工作日为</w:t>
      </w:r>
      <w:r>
        <w:rPr>
          <w:rFonts w:hint="eastAsia"/>
          <w:color w:val="auto"/>
        </w:rPr>
        <w:t>333</w:t>
      </w:r>
      <w:r>
        <w:rPr>
          <w:color w:val="auto"/>
        </w:rPr>
        <w:t>天（</w:t>
      </w:r>
      <w:r>
        <w:rPr>
          <w:rFonts w:hint="eastAsia"/>
          <w:color w:val="auto"/>
        </w:rPr>
        <w:t>80</w:t>
      </w:r>
      <w:r>
        <w:rPr>
          <w:color w:val="auto"/>
        </w:rPr>
        <w:t>00小时）</w:t>
      </w:r>
      <w:r>
        <w:rPr>
          <w:rFonts w:hint="eastAsia"/>
          <w:color w:val="auto"/>
        </w:rPr>
        <w:t>。</w:t>
      </w:r>
    </w:p>
    <w:bookmarkEnd w:id="183"/>
    <w:p w14:paraId="2DD12E06">
      <w:pPr>
        <w:pStyle w:val="132"/>
        <w:spacing w:line="520" w:lineRule="exact"/>
        <w:rPr>
          <w:color w:val="auto"/>
        </w:rPr>
      </w:pPr>
      <w:r>
        <w:rPr>
          <w:rFonts w:hint="eastAsia"/>
          <w:color w:val="auto"/>
        </w:rPr>
        <w:t>项目投资：项目估算总投资为2</w:t>
      </w:r>
      <w:r>
        <w:rPr>
          <w:color w:val="auto"/>
        </w:rPr>
        <w:t>5000.00</w:t>
      </w:r>
      <w:r>
        <w:rPr>
          <w:rFonts w:hint="eastAsia"/>
          <w:color w:val="auto"/>
        </w:rPr>
        <w:t>万元，其中工程费用2</w:t>
      </w:r>
      <w:r>
        <w:rPr>
          <w:color w:val="auto"/>
        </w:rPr>
        <w:t>0792.74</w:t>
      </w:r>
      <w:r>
        <w:rPr>
          <w:rFonts w:hint="eastAsia"/>
          <w:color w:val="auto"/>
        </w:rPr>
        <w:t>万元，工程建设其他费用</w:t>
      </w:r>
      <w:r>
        <w:rPr>
          <w:color w:val="auto"/>
        </w:rPr>
        <w:t>2636.01</w:t>
      </w:r>
      <w:r>
        <w:rPr>
          <w:rFonts w:hint="eastAsia"/>
          <w:color w:val="auto"/>
        </w:rPr>
        <w:t>万元，预备费用</w:t>
      </w:r>
      <w:r>
        <w:rPr>
          <w:color w:val="auto"/>
        </w:rPr>
        <w:t>1571.25</w:t>
      </w:r>
      <w:r>
        <w:rPr>
          <w:rFonts w:hint="eastAsia"/>
          <w:color w:val="auto"/>
        </w:rPr>
        <w:t>万元，项目资金来源为企业自筹。</w:t>
      </w:r>
    </w:p>
    <w:p w14:paraId="4CDF5520">
      <w:pPr>
        <w:pStyle w:val="132"/>
        <w:spacing w:line="520" w:lineRule="exact"/>
        <w:rPr>
          <w:color w:val="auto"/>
        </w:rPr>
      </w:pPr>
      <w:r>
        <w:rPr>
          <w:rFonts w:hint="eastAsia"/>
          <w:color w:val="auto"/>
        </w:rPr>
        <w:t>建设计划：工程拟定建设周期12个月，计划2026年7月开工，2027年7月建成。</w:t>
      </w:r>
    </w:p>
    <w:p w14:paraId="2ED18844">
      <w:pPr>
        <w:pStyle w:val="132"/>
        <w:rPr>
          <w:color w:val="auto"/>
        </w:rPr>
      </w:pPr>
    </w:p>
    <w:p w14:paraId="376551CD">
      <w:pPr>
        <w:pStyle w:val="132"/>
        <w:rPr>
          <w:color w:val="auto"/>
        </w:rPr>
        <w:sectPr>
          <w:pgSz w:w="11906" w:h="16838"/>
          <w:pgMar w:top="1440" w:right="1588" w:bottom="1389" w:left="1588" w:header="737" w:footer="822" w:gutter="0"/>
          <w:cols w:space="425" w:num="1"/>
          <w:docGrid w:type="lines" w:linePitch="312" w:charSpace="0"/>
        </w:sectPr>
      </w:pPr>
    </w:p>
    <w:p w14:paraId="44FFE8AF">
      <w:pPr>
        <w:pStyle w:val="4"/>
        <w:rPr>
          <w:color w:val="auto"/>
        </w:rPr>
      </w:pPr>
      <w:r>
        <w:rPr>
          <w:rFonts w:hint="eastAsia"/>
          <w:color w:val="auto"/>
        </w:rPr>
        <w:t>处置、生产规模</w:t>
      </w:r>
    </w:p>
    <w:p w14:paraId="288E58CB">
      <w:pPr>
        <w:pStyle w:val="5"/>
        <w:rPr>
          <w:color w:val="auto"/>
        </w:rPr>
      </w:pPr>
      <w:r>
        <w:rPr>
          <w:rFonts w:hint="eastAsia"/>
          <w:color w:val="auto"/>
        </w:rPr>
        <w:t>危险废物处置规模</w:t>
      </w:r>
    </w:p>
    <w:p w14:paraId="77F127B4">
      <w:pPr>
        <w:pStyle w:val="132"/>
        <w:rPr>
          <w:color w:val="auto"/>
        </w:rPr>
      </w:pPr>
      <w:r>
        <w:rPr>
          <w:rFonts w:hint="eastAsia"/>
          <w:color w:val="auto"/>
        </w:rPr>
        <w:t>项目设计年处置HW34类废酸100万m</w:t>
      </w:r>
      <w:r>
        <w:rPr>
          <w:rFonts w:hint="eastAsia"/>
          <w:color w:val="auto"/>
          <w:vertAlign w:val="superscript"/>
        </w:rPr>
        <w:t>3</w:t>
      </w:r>
      <w:r>
        <w:rPr>
          <w:rFonts w:hint="eastAsia"/>
          <w:color w:val="auto"/>
        </w:rPr>
        <w:t>/a，HW35类废碱12万m</w:t>
      </w:r>
      <w:r>
        <w:rPr>
          <w:rFonts w:hint="eastAsia"/>
          <w:color w:val="auto"/>
          <w:vertAlign w:val="superscript"/>
        </w:rPr>
        <w:t>3</w:t>
      </w:r>
      <w:r>
        <w:rPr>
          <w:rFonts w:hint="eastAsia"/>
          <w:color w:val="auto"/>
        </w:rPr>
        <w:t>/a，废酸主要来自铝电极箔生产厂家表面处理产生，废碱主要来自铝化成箔公司表面处理产生，对危险废物处置并进行资源化，生产工业催化剂制造所需的载体原料拟薄水铝石，项目危险废物处置规模详见表3.1-1</w:t>
      </w:r>
      <w:r>
        <w:rPr>
          <w:color w:val="auto"/>
        </w:rPr>
        <w:t>。</w:t>
      </w:r>
    </w:p>
    <w:p w14:paraId="798D1AED">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color w:val="auto"/>
        </w:rPr>
        <w:t xml:space="preserve"> </w:t>
      </w:r>
      <w:r>
        <w:rPr>
          <w:rFonts w:hint="eastAsia"/>
          <w:color w:val="auto"/>
        </w:rPr>
        <w:t xml:space="preserve">  项目生产规模一览表（万m</w:t>
      </w:r>
      <w:r>
        <w:rPr>
          <w:rFonts w:hint="eastAsia"/>
          <w:color w:val="auto"/>
          <w:vertAlign w:val="superscript"/>
        </w:rPr>
        <w:t>3</w:t>
      </w:r>
      <w:r>
        <w:rPr>
          <w:rFonts w:hint="eastAsia"/>
          <w:color w:val="auto"/>
        </w:rPr>
        <w:t>/a）</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39"/>
        <w:gridCol w:w="1052"/>
        <w:gridCol w:w="1204"/>
        <w:gridCol w:w="2557"/>
        <w:gridCol w:w="1051"/>
        <w:gridCol w:w="1202"/>
        <w:gridCol w:w="981"/>
      </w:tblGrid>
      <w:tr w14:paraId="183CBDD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758" w:type="pct"/>
            <w:gridSpan w:val="5"/>
            <w:vAlign w:val="center"/>
          </w:tcPr>
          <w:p w14:paraId="354EDDB9">
            <w:pPr>
              <w:pStyle w:val="129"/>
              <w:widowControl w:val="0"/>
              <w:rPr>
                <w:color w:val="auto"/>
              </w:rPr>
            </w:pPr>
            <w:r>
              <w:rPr>
                <w:rFonts w:hint="eastAsia"/>
                <w:color w:val="auto"/>
              </w:rPr>
              <w:t>危险废物</w:t>
            </w:r>
          </w:p>
        </w:tc>
        <w:tc>
          <w:tcPr>
            <w:tcW w:w="684" w:type="pct"/>
            <w:vMerge w:val="restart"/>
            <w:vAlign w:val="center"/>
          </w:tcPr>
          <w:p w14:paraId="2D9CE424">
            <w:pPr>
              <w:pStyle w:val="129"/>
              <w:widowControl w:val="0"/>
              <w:rPr>
                <w:color w:val="auto"/>
              </w:rPr>
            </w:pPr>
            <w:r>
              <w:rPr>
                <w:rFonts w:hint="eastAsia"/>
                <w:color w:val="auto"/>
              </w:rPr>
              <w:t>处置能力</w:t>
            </w:r>
          </w:p>
          <w:p w14:paraId="76E8FC10">
            <w:pPr>
              <w:pStyle w:val="129"/>
              <w:widowControl w:val="0"/>
              <w:rPr>
                <w:color w:val="auto"/>
              </w:rPr>
            </w:pPr>
            <w:r>
              <w:rPr>
                <w:rFonts w:hint="eastAsia"/>
                <w:color w:val="auto"/>
              </w:rPr>
              <w:t>（万m</w:t>
            </w:r>
            <w:r>
              <w:rPr>
                <w:rFonts w:hint="eastAsia"/>
                <w:color w:val="auto"/>
                <w:vertAlign w:val="superscript"/>
              </w:rPr>
              <w:t>3</w:t>
            </w:r>
            <w:r>
              <w:rPr>
                <w:rFonts w:hint="eastAsia"/>
                <w:color w:val="auto"/>
              </w:rPr>
              <w:t>/a）</w:t>
            </w:r>
          </w:p>
        </w:tc>
        <w:tc>
          <w:tcPr>
            <w:tcW w:w="558" w:type="pct"/>
            <w:vMerge w:val="restart"/>
            <w:vAlign w:val="center"/>
          </w:tcPr>
          <w:p w14:paraId="631ADA7C">
            <w:pPr>
              <w:pStyle w:val="129"/>
              <w:widowControl w:val="0"/>
              <w:rPr>
                <w:color w:val="auto"/>
              </w:rPr>
            </w:pPr>
            <w:r>
              <w:rPr>
                <w:rFonts w:hint="eastAsia"/>
                <w:color w:val="auto"/>
              </w:rPr>
              <w:t>主要来源</w:t>
            </w:r>
          </w:p>
        </w:tc>
      </w:tr>
      <w:tr w14:paraId="444F3C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1" w:type="pct"/>
            <w:vAlign w:val="center"/>
          </w:tcPr>
          <w:p w14:paraId="6D4A8437">
            <w:pPr>
              <w:pStyle w:val="129"/>
              <w:widowControl w:val="0"/>
              <w:rPr>
                <w:color w:val="auto"/>
              </w:rPr>
            </w:pPr>
            <w:r>
              <w:rPr>
                <w:rFonts w:hint="eastAsia"/>
                <w:color w:val="auto"/>
              </w:rPr>
              <w:t>类别</w:t>
            </w:r>
          </w:p>
        </w:tc>
        <w:tc>
          <w:tcPr>
            <w:tcW w:w="599" w:type="pct"/>
            <w:vAlign w:val="center"/>
          </w:tcPr>
          <w:p w14:paraId="5EBF1FE6">
            <w:pPr>
              <w:pStyle w:val="129"/>
              <w:widowControl w:val="0"/>
              <w:rPr>
                <w:color w:val="auto"/>
              </w:rPr>
            </w:pPr>
            <w:r>
              <w:rPr>
                <w:rFonts w:hint="eastAsia"/>
                <w:color w:val="auto"/>
              </w:rPr>
              <w:t>行业来源</w:t>
            </w:r>
          </w:p>
        </w:tc>
        <w:tc>
          <w:tcPr>
            <w:tcW w:w="685" w:type="pct"/>
            <w:vAlign w:val="center"/>
          </w:tcPr>
          <w:p w14:paraId="6537A660">
            <w:pPr>
              <w:pStyle w:val="129"/>
              <w:widowControl w:val="0"/>
              <w:rPr>
                <w:color w:val="auto"/>
              </w:rPr>
            </w:pPr>
            <w:r>
              <w:rPr>
                <w:rFonts w:hint="eastAsia"/>
                <w:color w:val="auto"/>
              </w:rPr>
              <w:t>废物代码</w:t>
            </w:r>
          </w:p>
        </w:tc>
        <w:tc>
          <w:tcPr>
            <w:tcW w:w="1455" w:type="pct"/>
            <w:vAlign w:val="center"/>
          </w:tcPr>
          <w:p w14:paraId="22F69954">
            <w:pPr>
              <w:pStyle w:val="129"/>
              <w:widowControl w:val="0"/>
              <w:rPr>
                <w:color w:val="auto"/>
              </w:rPr>
            </w:pPr>
            <w:r>
              <w:rPr>
                <w:rFonts w:hint="eastAsia"/>
                <w:color w:val="auto"/>
              </w:rPr>
              <w:t>危险废物</w:t>
            </w:r>
          </w:p>
        </w:tc>
        <w:tc>
          <w:tcPr>
            <w:tcW w:w="598" w:type="pct"/>
            <w:vAlign w:val="center"/>
          </w:tcPr>
          <w:p w14:paraId="6964E6EE">
            <w:pPr>
              <w:pStyle w:val="129"/>
              <w:widowControl w:val="0"/>
              <w:rPr>
                <w:color w:val="auto"/>
              </w:rPr>
            </w:pPr>
            <w:r>
              <w:rPr>
                <w:rFonts w:hint="eastAsia"/>
                <w:color w:val="auto"/>
              </w:rPr>
              <w:t>危险特性</w:t>
            </w:r>
          </w:p>
        </w:tc>
        <w:tc>
          <w:tcPr>
            <w:tcW w:w="684" w:type="pct"/>
            <w:vMerge w:val="continue"/>
            <w:vAlign w:val="center"/>
          </w:tcPr>
          <w:p w14:paraId="5EFC3A3C">
            <w:pPr>
              <w:pStyle w:val="129"/>
              <w:widowControl w:val="0"/>
              <w:rPr>
                <w:color w:val="auto"/>
              </w:rPr>
            </w:pPr>
          </w:p>
        </w:tc>
        <w:tc>
          <w:tcPr>
            <w:tcW w:w="558" w:type="pct"/>
            <w:vMerge w:val="continue"/>
            <w:vAlign w:val="center"/>
          </w:tcPr>
          <w:p w14:paraId="0D5300B8">
            <w:pPr>
              <w:pStyle w:val="129"/>
              <w:widowControl w:val="0"/>
              <w:rPr>
                <w:color w:val="auto"/>
              </w:rPr>
            </w:pPr>
          </w:p>
        </w:tc>
      </w:tr>
      <w:tr w14:paraId="6EF9ED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1" w:type="pct"/>
            <w:vMerge w:val="restart"/>
            <w:vAlign w:val="center"/>
          </w:tcPr>
          <w:p w14:paraId="2EBFBB2E">
            <w:pPr>
              <w:pStyle w:val="129"/>
              <w:widowControl w:val="0"/>
              <w:rPr>
                <w:color w:val="auto"/>
              </w:rPr>
            </w:pPr>
            <w:r>
              <w:rPr>
                <w:color w:val="auto"/>
              </w:rPr>
              <w:t>HW34</w:t>
            </w:r>
          </w:p>
          <w:p w14:paraId="0C7CA23D">
            <w:pPr>
              <w:pStyle w:val="129"/>
              <w:widowControl w:val="0"/>
              <w:rPr>
                <w:color w:val="auto"/>
              </w:rPr>
            </w:pPr>
            <w:r>
              <w:rPr>
                <w:rFonts w:hint="eastAsia"/>
                <w:color w:val="auto"/>
              </w:rPr>
              <w:t>废酸</w:t>
            </w:r>
          </w:p>
        </w:tc>
        <w:tc>
          <w:tcPr>
            <w:tcW w:w="599" w:type="pct"/>
            <w:vMerge w:val="restart"/>
            <w:vAlign w:val="center"/>
          </w:tcPr>
          <w:p w14:paraId="2468BF6D">
            <w:pPr>
              <w:pStyle w:val="129"/>
              <w:widowControl w:val="0"/>
              <w:rPr>
                <w:color w:val="auto"/>
              </w:rPr>
            </w:pPr>
            <w:r>
              <w:rPr>
                <w:rFonts w:hint="eastAsia"/>
                <w:color w:val="auto"/>
              </w:rPr>
              <w:t>电子元件及电子专用材料制造</w:t>
            </w:r>
          </w:p>
        </w:tc>
        <w:tc>
          <w:tcPr>
            <w:tcW w:w="685" w:type="pct"/>
            <w:vAlign w:val="center"/>
          </w:tcPr>
          <w:p w14:paraId="61847417">
            <w:pPr>
              <w:pStyle w:val="129"/>
              <w:widowControl w:val="0"/>
              <w:rPr>
                <w:color w:val="auto"/>
              </w:rPr>
            </w:pPr>
            <w:r>
              <w:rPr>
                <w:color w:val="auto"/>
              </w:rPr>
              <w:t>398-005-34</w:t>
            </w:r>
          </w:p>
        </w:tc>
        <w:tc>
          <w:tcPr>
            <w:tcW w:w="1455" w:type="pct"/>
            <w:vAlign w:val="center"/>
          </w:tcPr>
          <w:p w14:paraId="316678BD">
            <w:pPr>
              <w:pStyle w:val="129"/>
              <w:widowControl w:val="0"/>
              <w:rPr>
                <w:color w:val="auto"/>
              </w:rPr>
            </w:pPr>
            <w:r>
              <w:rPr>
                <w:rFonts w:hint="eastAsia"/>
                <w:color w:val="auto"/>
              </w:rPr>
              <w:t>使用酸进行电解除油、酸蚀、活化前表面敏化、催化、浸亮产生的废酸液</w:t>
            </w:r>
          </w:p>
        </w:tc>
        <w:tc>
          <w:tcPr>
            <w:tcW w:w="598" w:type="pct"/>
            <w:vAlign w:val="center"/>
          </w:tcPr>
          <w:p w14:paraId="4332B118">
            <w:pPr>
              <w:pStyle w:val="129"/>
              <w:widowControl w:val="0"/>
              <w:rPr>
                <w:color w:val="auto"/>
              </w:rPr>
            </w:pPr>
            <w:r>
              <w:rPr>
                <w:color w:val="auto"/>
              </w:rPr>
              <w:t>C</w:t>
            </w:r>
            <w:r>
              <w:rPr>
                <w:rFonts w:hint="eastAsia"/>
                <w:color w:val="auto"/>
              </w:rPr>
              <w:t xml:space="preserve">, </w:t>
            </w:r>
            <w:r>
              <w:rPr>
                <w:color w:val="auto"/>
              </w:rPr>
              <w:t>T</w:t>
            </w:r>
          </w:p>
        </w:tc>
        <w:tc>
          <w:tcPr>
            <w:tcW w:w="684" w:type="pct"/>
            <w:vMerge w:val="restart"/>
            <w:vAlign w:val="center"/>
          </w:tcPr>
          <w:p w14:paraId="0AC0B5AC">
            <w:pPr>
              <w:pStyle w:val="129"/>
              <w:widowControl w:val="0"/>
              <w:rPr>
                <w:color w:val="auto"/>
              </w:rPr>
            </w:pPr>
            <w:r>
              <w:rPr>
                <w:rFonts w:hint="eastAsia"/>
                <w:color w:val="auto"/>
              </w:rPr>
              <w:t>100</w:t>
            </w:r>
          </w:p>
        </w:tc>
        <w:tc>
          <w:tcPr>
            <w:tcW w:w="558" w:type="pct"/>
            <w:vMerge w:val="restart"/>
            <w:vAlign w:val="center"/>
          </w:tcPr>
          <w:p w14:paraId="1E0633B2">
            <w:pPr>
              <w:pStyle w:val="129"/>
              <w:widowControl w:val="0"/>
              <w:rPr>
                <w:color w:val="auto"/>
              </w:rPr>
            </w:pPr>
            <w:r>
              <w:rPr>
                <w:rFonts w:hint="eastAsia"/>
                <w:color w:val="auto"/>
              </w:rPr>
              <w:t>铝腐蚀箔生产厂家</w:t>
            </w:r>
          </w:p>
        </w:tc>
      </w:tr>
      <w:tr w14:paraId="7AF4B4A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1" w:type="pct"/>
            <w:vMerge w:val="continue"/>
            <w:vAlign w:val="center"/>
          </w:tcPr>
          <w:p w14:paraId="051C56A2">
            <w:pPr>
              <w:pStyle w:val="129"/>
              <w:widowControl w:val="0"/>
              <w:rPr>
                <w:color w:val="auto"/>
              </w:rPr>
            </w:pPr>
          </w:p>
        </w:tc>
        <w:tc>
          <w:tcPr>
            <w:tcW w:w="599" w:type="pct"/>
            <w:vMerge w:val="continue"/>
            <w:vAlign w:val="center"/>
          </w:tcPr>
          <w:p w14:paraId="2B342EBD">
            <w:pPr>
              <w:pStyle w:val="129"/>
              <w:widowControl w:val="0"/>
              <w:rPr>
                <w:color w:val="auto"/>
              </w:rPr>
            </w:pPr>
          </w:p>
        </w:tc>
        <w:tc>
          <w:tcPr>
            <w:tcW w:w="685" w:type="pct"/>
            <w:vAlign w:val="center"/>
          </w:tcPr>
          <w:p w14:paraId="0BF1D0BF">
            <w:pPr>
              <w:pStyle w:val="129"/>
              <w:widowControl w:val="0"/>
              <w:rPr>
                <w:color w:val="auto"/>
              </w:rPr>
            </w:pPr>
            <w:r>
              <w:rPr>
                <w:color w:val="auto"/>
              </w:rPr>
              <w:t>398-006-34</w:t>
            </w:r>
          </w:p>
        </w:tc>
        <w:tc>
          <w:tcPr>
            <w:tcW w:w="1455" w:type="pct"/>
            <w:vAlign w:val="center"/>
          </w:tcPr>
          <w:p w14:paraId="56E1D8D2">
            <w:pPr>
              <w:pStyle w:val="129"/>
              <w:widowControl w:val="0"/>
              <w:rPr>
                <w:color w:val="auto"/>
              </w:rPr>
            </w:pPr>
            <w:r>
              <w:rPr>
                <w:color w:val="auto"/>
              </w:rPr>
              <w:t>使用硝酸进行钻孔蚀胶处理产生的废酸液</w:t>
            </w:r>
          </w:p>
        </w:tc>
        <w:tc>
          <w:tcPr>
            <w:tcW w:w="598" w:type="pct"/>
            <w:vAlign w:val="center"/>
          </w:tcPr>
          <w:p w14:paraId="3147DB4A">
            <w:pPr>
              <w:pStyle w:val="129"/>
              <w:widowControl w:val="0"/>
              <w:rPr>
                <w:color w:val="auto"/>
              </w:rPr>
            </w:pPr>
            <w:r>
              <w:rPr>
                <w:color w:val="auto"/>
              </w:rPr>
              <w:t>C</w:t>
            </w:r>
            <w:r>
              <w:rPr>
                <w:rFonts w:hint="eastAsia"/>
                <w:color w:val="auto"/>
              </w:rPr>
              <w:t xml:space="preserve">, </w:t>
            </w:r>
            <w:r>
              <w:rPr>
                <w:color w:val="auto"/>
              </w:rPr>
              <w:t>T</w:t>
            </w:r>
          </w:p>
        </w:tc>
        <w:tc>
          <w:tcPr>
            <w:tcW w:w="684" w:type="pct"/>
            <w:vMerge w:val="continue"/>
            <w:vAlign w:val="center"/>
          </w:tcPr>
          <w:p w14:paraId="2CB4680C">
            <w:pPr>
              <w:pStyle w:val="129"/>
              <w:widowControl w:val="0"/>
              <w:rPr>
                <w:color w:val="auto"/>
              </w:rPr>
            </w:pPr>
          </w:p>
        </w:tc>
        <w:tc>
          <w:tcPr>
            <w:tcW w:w="558" w:type="pct"/>
            <w:vMerge w:val="continue"/>
            <w:vAlign w:val="center"/>
          </w:tcPr>
          <w:p w14:paraId="200856C0">
            <w:pPr>
              <w:pStyle w:val="129"/>
              <w:widowControl w:val="0"/>
              <w:rPr>
                <w:color w:val="auto"/>
              </w:rPr>
            </w:pPr>
          </w:p>
        </w:tc>
      </w:tr>
      <w:tr w14:paraId="395E6A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1" w:type="pct"/>
            <w:vMerge w:val="continue"/>
            <w:vAlign w:val="center"/>
          </w:tcPr>
          <w:p w14:paraId="18C44224">
            <w:pPr>
              <w:pStyle w:val="129"/>
              <w:widowControl w:val="0"/>
              <w:rPr>
                <w:color w:val="auto"/>
              </w:rPr>
            </w:pPr>
          </w:p>
        </w:tc>
        <w:tc>
          <w:tcPr>
            <w:tcW w:w="599" w:type="pct"/>
            <w:vMerge w:val="continue"/>
            <w:vAlign w:val="center"/>
          </w:tcPr>
          <w:p w14:paraId="3C2A2B22">
            <w:pPr>
              <w:pStyle w:val="129"/>
              <w:widowControl w:val="0"/>
              <w:rPr>
                <w:color w:val="auto"/>
              </w:rPr>
            </w:pPr>
          </w:p>
        </w:tc>
        <w:tc>
          <w:tcPr>
            <w:tcW w:w="685" w:type="pct"/>
            <w:vAlign w:val="center"/>
          </w:tcPr>
          <w:p w14:paraId="38C578D7">
            <w:pPr>
              <w:pStyle w:val="129"/>
              <w:widowControl w:val="0"/>
              <w:rPr>
                <w:color w:val="auto"/>
              </w:rPr>
            </w:pPr>
            <w:r>
              <w:rPr>
                <w:color w:val="auto"/>
              </w:rPr>
              <w:t>398-007-34</w:t>
            </w:r>
          </w:p>
        </w:tc>
        <w:tc>
          <w:tcPr>
            <w:tcW w:w="1455" w:type="pct"/>
            <w:vAlign w:val="center"/>
          </w:tcPr>
          <w:p w14:paraId="0AB9A082">
            <w:pPr>
              <w:pStyle w:val="129"/>
              <w:widowControl w:val="0"/>
              <w:rPr>
                <w:color w:val="auto"/>
              </w:rPr>
            </w:pPr>
            <w:r>
              <w:rPr>
                <w:rFonts w:hint="eastAsia"/>
                <w:color w:val="auto"/>
              </w:rPr>
              <w:t>液晶显示板或者集成电路板的生产过程中使用酸浸蚀剂进行氧化物浸蚀产生的废酸液</w:t>
            </w:r>
          </w:p>
        </w:tc>
        <w:tc>
          <w:tcPr>
            <w:tcW w:w="598" w:type="pct"/>
            <w:vAlign w:val="center"/>
          </w:tcPr>
          <w:p w14:paraId="0E4F4AE2">
            <w:pPr>
              <w:pStyle w:val="129"/>
              <w:widowControl w:val="0"/>
              <w:rPr>
                <w:color w:val="auto"/>
              </w:rPr>
            </w:pPr>
            <w:r>
              <w:rPr>
                <w:color w:val="auto"/>
              </w:rPr>
              <w:t>C</w:t>
            </w:r>
            <w:r>
              <w:rPr>
                <w:rFonts w:hint="eastAsia"/>
                <w:color w:val="auto"/>
              </w:rPr>
              <w:t xml:space="preserve">, </w:t>
            </w:r>
            <w:r>
              <w:rPr>
                <w:color w:val="auto"/>
              </w:rPr>
              <w:t>T</w:t>
            </w:r>
          </w:p>
        </w:tc>
        <w:tc>
          <w:tcPr>
            <w:tcW w:w="684" w:type="pct"/>
            <w:vMerge w:val="continue"/>
            <w:vAlign w:val="center"/>
          </w:tcPr>
          <w:p w14:paraId="12F887A9">
            <w:pPr>
              <w:pStyle w:val="129"/>
              <w:widowControl w:val="0"/>
              <w:rPr>
                <w:color w:val="auto"/>
              </w:rPr>
            </w:pPr>
          </w:p>
        </w:tc>
        <w:tc>
          <w:tcPr>
            <w:tcW w:w="558" w:type="pct"/>
            <w:vMerge w:val="continue"/>
            <w:vAlign w:val="center"/>
          </w:tcPr>
          <w:p w14:paraId="637923C7">
            <w:pPr>
              <w:pStyle w:val="129"/>
              <w:widowControl w:val="0"/>
              <w:rPr>
                <w:color w:val="auto"/>
              </w:rPr>
            </w:pPr>
          </w:p>
        </w:tc>
      </w:tr>
      <w:tr w14:paraId="38479F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1" w:type="pct"/>
            <w:vMerge w:val="continue"/>
            <w:vAlign w:val="center"/>
          </w:tcPr>
          <w:p w14:paraId="763313D4">
            <w:pPr>
              <w:pStyle w:val="129"/>
              <w:widowControl w:val="0"/>
              <w:rPr>
                <w:color w:val="auto"/>
              </w:rPr>
            </w:pPr>
          </w:p>
        </w:tc>
        <w:tc>
          <w:tcPr>
            <w:tcW w:w="599" w:type="pct"/>
            <w:vAlign w:val="center"/>
          </w:tcPr>
          <w:p w14:paraId="208CAD6B">
            <w:pPr>
              <w:pStyle w:val="129"/>
              <w:widowControl w:val="0"/>
              <w:rPr>
                <w:color w:val="auto"/>
              </w:rPr>
            </w:pPr>
            <w:r>
              <w:rPr>
                <w:color w:val="auto"/>
              </w:rPr>
              <w:t>非特定行业</w:t>
            </w:r>
          </w:p>
        </w:tc>
        <w:tc>
          <w:tcPr>
            <w:tcW w:w="685" w:type="pct"/>
            <w:vAlign w:val="center"/>
          </w:tcPr>
          <w:p w14:paraId="4FE5B005">
            <w:pPr>
              <w:pStyle w:val="129"/>
              <w:widowControl w:val="0"/>
              <w:rPr>
                <w:color w:val="auto"/>
              </w:rPr>
            </w:pPr>
            <w:r>
              <w:rPr>
                <w:color w:val="auto"/>
              </w:rPr>
              <w:t>900-303-34</w:t>
            </w:r>
          </w:p>
        </w:tc>
        <w:tc>
          <w:tcPr>
            <w:tcW w:w="1455" w:type="pct"/>
            <w:vAlign w:val="center"/>
          </w:tcPr>
          <w:p w14:paraId="399E9AF7">
            <w:pPr>
              <w:pStyle w:val="129"/>
              <w:widowControl w:val="0"/>
              <w:rPr>
                <w:color w:val="auto"/>
              </w:rPr>
            </w:pPr>
            <w:r>
              <w:rPr>
                <w:color w:val="auto"/>
              </w:rPr>
              <w:t>使用磷酸进行磷化产生的废酸液</w:t>
            </w:r>
          </w:p>
        </w:tc>
        <w:tc>
          <w:tcPr>
            <w:tcW w:w="598" w:type="pct"/>
            <w:vAlign w:val="center"/>
          </w:tcPr>
          <w:p w14:paraId="14ABC5D5">
            <w:pPr>
              <w:pStyle w:val="129"/>
              <w:widowControl w:val="0"/>
              <w:rPr>
                <w:color w:val="auto"/>
              </w:rPr>
            </w:pPr>
            <w:r>
              <w:rPr>
                <w:color w:val="auto"/>
              </w:rPr>
              <w:t>C</w:t>
            </w:r>
            <w:r>
              <w:rPr>
                <w:rFonts w:hint="eastAsia"/>
                <w:color w:val="auto"/>
              </w:rPr>
              <w:t xml:space="preserve">, </w:t>
            </w:r>
            <w:r>
              <w:rPr>
                <w:color w:val="auto"/>
              </w:rPr>
              <w:t>T</w:t>
            </w:r>
          </w:p>
        </w:tc>
        <w:tc>
          <w:tcPr>
            <w:tcW w:w="684" w:type="pct"/>
            <w:vMerge w:val="continue"/>
            <w:vAlign w:val="center"/>
          </w:tcPr>
          <w:p w14:paraId="1CD13687">
            <w:pPr>
              <w:pStyle w:val="129"/>
              <w:widowControl w:val="0"/>
              <w:rPr>
                <w:color w:val="auto"/>
              </w:rPr>
            </w:pPr>
          </w:p>
        </w:tc>
        <w:tc>
          <w:tcPr>
            <w:tcW w:w="558" w:type="pct"/>
            <w:vMerge w:val="continue"/>
            <w:vAlign w:val="center"/>
          </w:tcPr>
          <w:p w14:paraId="21258AB9">
            <w:pPr>
              <w:pStyle w:val="129"/>
              <w:widowControl w:val="0"/>
              <w:rPr>
                <w:color w:val="auto"/>
              </w:rPr>
            </w:pPr>
          </w:p>
        </w:tc>
      </w:tr>
      <w:tr w14:paraId="7BD582F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1" w:type="pct"/>
            <w:vMerge w:val="restart"/>
            <w:vAlign w:val="center"/>
          </w:tcPr>
          <w:p w14:paraId="2EAF24ED">
            <w:pPr>
              <w:pStyle w:val="129"/>
              <w:widowControl w:val="0"/>
              <w:rPr>
                <w:color w:val="auto"/>
              </w:rPr>
            </w:pPr>
            <w:r>
              <w:rPr>
                <w:color w:val="auto"/>
              </w:rPr>
              <w:t>HW3</w:t>
            </w:r>
            <w:r>
              <w:rPr>
                <w:rFonts w:hint="eastAsia"/>
                <w:color w:val="auto"/>
              </w:rPr>
              <w:t>5</w:t>
            </w:r>
          </w:p>
          <w:p w14:paraId="10285D56">
            <w:pPr>
              <w:pStyle w:val="129"/>
              <w:widowControl w:val="0"/>
              <w:rPr>
                <w:color w:val="auto"/>
              </w:rPr>
            </w:pPr>
            <w:r>
              <w:rPr>
                <w:rFonts w:hint="eastAsia"/>
                <w:color w:val="auto"/>
              </w:rPr>
              <w:t>废碱</w:t>
            </w:r>
          </w:p>
        </w:tc>
        <w:tc>
          <w:tcPr>
            <w:tcW w:w="599" w:type="pct"/>
            <w:vMerge w:val="restart"/>
            <w:vAlign w:val="center"/>
          </w:tcPr>
          <w:p w14:paraId="7791596C">
            <w:pPr>
              <w:pStyle w:val="129"/>
              <w:widowControl w:val="0"/>
              <w:rPr>
                <w:color w:val="auto"/>
              </w:rPr>
            </w:pPr>
            <w:r>
              <w:rPr>
                <w:color w:val="auto"/>
              </w:rPr>
              <w:t>非特定行业</w:t>
            </w:r>
          </w:p>
        </w:tc>
        <w:tc>
          <w:tcPr>
            <w:tcW w:w="685" w:type="pct"/>
            <w:vAlign w:val="center"/>
          </w:tcPr>
          <w:p w14:paraId="1E207262">
            <w:pPr>
              <w:pStyle w:val="129"/>
              <w:widowControl w:val="0"/>
              <w:rPr>
                <w:color w:val="auto"/>
              </w:rPr>
            </w:pPr>
            <w:r>
              <w:rPr>
                <w:color w:val="auto"/>
              </w:rPr>
              <w:t>900-352-35</w:t>
            </w:r>
          </w:p>
        </w:tc>
        <w:tc>
          <w:tcPr>
            <w:tcW w:w="1455" w:type="pct"/>
            <w:vAlign w:val="center"/>
          </w:tcPr>
          <w:p w14:paraId="5DD0CDAD">
            <w:pPr>
              <w:pStyle w:val="129"/>
              <w:widowControl w:val="0"/>
              <w:rPr>
                <w:color w:val="auto"/>
              </w:rPr>
            </w:pPr>
            <w:r>
              <w:rPr>
                <w:color w:val="auto"/>
              </w:rPr>
              <w:t>使用碱进行清洗产生的废碱液</w:t>
            </w:r>
          </w:p>
        </w:tc>
        <w:tc>
          <w:tcPr>
            <w:tcW w:w="598" w:type="pct"/>
            <w:vAlign w:val="center"/>
          </w:tcPr>
          <w:p w14:paraId="2E6F48E7">
            <w:pPr>
              <w:pStyle w:val="129"/>
              <w:widowControl w:val="0"/>
              <w:rPr>
                <w:color w:val="auto"/>
              </w:rPr>
            </w:pPr>
            <w:r>
              <w:rPr>
                <w:color w:val="auto"/>
              </w:rPr>
              <w:t>C</w:t>
            </w:r>
            <w:r>
              <w:rPr>
                <w:rFonts w:hint="eastAsia"/>
                <w:color w:val="auto"/>
              </w:rPr>
              <w:t xml:space="preserve">, </w:t>
            </w:r>
            <w:r>
              <w:rPr>
                <w:color w:val="auto"/>
              </w:rPr>
              <w:t>T</w:t>
            </w:r>
          </w:p>
        </w:tc>
        <w:tc>
          <w:tcPr>
            <w:tcW w:w="684" w:type="pct"/>
            <w:vMerge w:val="restart"/>
            <w:vAlign w:val="center"/>
          </w:tcPr>
          <w:p w14:paraId="7E4CA4B3">
            <w:pPr>
              <w:pStyle w:val="129"/>
              <w:widowControl w:val="0"/>
              <w:rPr>
                <w:color w:val="auto"/>
              </w:rPr>
            </w:pPr>
            <w:r>
              <w:rPr>
                <w:rFonts w:hint="eastAsia"/>
                <w:color w:val="auto"/>
              </w:rPr>
              <w:t>12</w:t>
            </w:r>
          </w:p>
        </w:tc>
        <w:tc>
          <w:tcPr>
            <w:tcW w:w="558" w:type="pct"/>
            <w:vMerge w:val="restart"/>
            <w:vAlign w:val="center"/>
          </w:tcPr>
          <w:p w14:paraId="5D575E9D">
            <w:pPr>
              <w:pStyle w:val="129"/>
              <w:widowControl w:val="0"/>
              <w:rPr>
                <w:color w:val="auto"/>
              </w:rPr>
            </w:pPr>
            <w:r>
              <w:rPr>
                <w:rFonts w:hint="eastAsia"/>
                <w:color w:val="auto"/>
              </w:rPr>
              <w:t>铝化成箔生产厂家</w:t>
            </w:r>
          </w:p>
        </w:tc>
      </w:tr>
      <w:tr w14:paraId="0E90012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1" w:type="pct"/>
            <w:vMerge w:val="continue"/>
            <w:vAlign w:val="center"/>
          </w:tcPr>
          <w:p w14:paraId="490E97C6">
            <w:pPr>
              <w:pStyle w:val="129"/>
              <w:widowControl w:val="0"/>
              <w:rPr>
                <w:color w:val="auto"/>
              </w:rPr>
            </w:pPr>
          </w:p>
        </w:tc>
        <w:tc>
          <w:tcPr>
            <w:tcW w:w="599" w:type="pct"/>
            <w:vMerge w:val="continue"/>
            <w:vAlign w:val="center"/>
          </w:tcPr>
          <w:p w14:paraId="4FE15095">
            <w:pPr>
              <w:pStyle w:val="129"/>
              <w:widowControl w:val="0"/>
              <w:rPr>
                <w:color w:val="auto"/>
              </w:rPr>
            </w:pPr>
          </w:p>
        </w:tc>
        <w:tc>
          <w:tcPr>
            <w:tcW w:w="685" w:type="pct"/>
            <w:vAlign w:val="center"/>
          </w:tcPr>
          <w:p w14:paraId="11DD532D">
            <w:pPr>
              <w:pStyle w:val="129"/>
              <w:widowControl w:val="0"/>
              <w:rPr>
                <w:color w:val="auto"/>
              </w:rPr>
            </w:pPr>
            <w:r>
              <w:rPr>
                <w:color w:val="auto"/>
              </w:rPr>
              <w:t>900-353-35</w:t>
            </w:r>
          </w:p>
        </w:tc>
        <w:tc>
          <w:tcPr>
            <w:tcW w:w="1455" w:type="pct"/>
            <w:vAlign w:val="center"/>
          </w:tcPr>
          <w:p w14:paraId="72CCA02A">
            <w:pPr>
              <w:pStyle w:val="129"/>
              <w:widowControl w:val="0"/>
              <w:rPr>
                <w:color w:val="auto"/>
              </w:rPr>
            </w:pPr>
            <w:r>
              <w:rPr>
                <w:rFonts w:hint="eastAsia"/>
                <w:color w:val="auto"/>
              </w:rPr>
              <w:t>使用碱进行清洗除蜡、碱性除油、电解除油</w:t>
            </w:r>
          </w:p>
          <w:p w14:paraId="2F295BA7">
            <w:pPr>
              <w:pStyle w:val="129"/>
              <w:widowControl w:val="0"/>
              <w:rPr>
                <w:color w:val="auto"/>
              </w:rPr>
            </w:pPr>
            <w:r>
              <w:rPr>
                <w:rFonts w:hint="eastAsia"/>
                <w:color w:val="auto"/>
              </w:rPr>
              <w:t>产生的废碱液</w:t>
            </w:r>
          </w:p>
        </w:tc>
        <w:tc>
          <w:tcPr>
            <w:tcW w:w="598" w:type="pct"/>
            <w:vAlign w:val="center"/>
          </w:tcPr>
          <w:p w14:paraId="60ADDAD3">
            <w:pPr>
              <w:pStyle w:val="129"/>
              <w:widowControl w:val="0"/>
              <w:rPr>
                <w:color w:val="auto"/>
              </w:rPr>
            </w:pPr>
            <w:r>
              <w:rPr>
                <w:color w:val="auto"/>
              </w:rPr>
              <w:t>C</w:t>
            </w:r>
            <w:r>
              <w:rPr>
                <w:rFonts w:hint="eastAsia"/>
                <w:color w:val="auto"/>
              </w:rPr>
              <w:t xml:space="preserve">, </w:t>
            </w:r>
            <w:r>
              <w:rPr>
                <w:color w:val="auto"/>
              </w:rPr>
              <w:t>T</w:t>
            </w:r>
          </w:p>
        </w:tc>
        <w:tc>
          <w:tcPr>
            <w:tcW w:w="684" w:type="pct"/>
            <w:vMerge w:val="continue"/>
            <w:vAlign w:val="center"/>
          </w:tcPr>
          <w:p w14:paraId="08B0C399">
            <w:pPr>
              <w:pStyle w:val="129"/>
              <w:widowControl w:val="0"/>
              <w:rPr>
                <w:color w:val="auto"/>
              </w:rPr>
            </w:pPr>
          </w:p>
        </w:tc>
        <w:tc>
          <w:tcPr>
            <w:tcW w:w="558" w:type="pct"/>
            <w:vMerge w:val="continue"/>
            <w:vAlign w:val="center"/>
          </w:tcPr>
          <w:p w14:paraId="004C6A20">
            <w:pPr>
              <w:pStyle w:val="129"/>
              <w:widowControl w:val="0"/>
              <w:rPr>
                <w:color w:val="auto"/>
              </w:rPr>
            </w:pPr>
          </w:p>
        </w:tc>
      </w:tr>
    </w:tbl>
    <w:p w14:paraId="4589F3FD">
      <w:pPr>
        <w:pStyle w:val="1304"/>
        <w:rPr>
          <w:color w:val="auto"/>
        </w:rPr>
      </w:pPr>
    </w:p>
    <w:p w14:paraId="5862148B">
      <w:pPr>
        <w:pStyle w:val="5"/>
        <w:rPr>
          <w:color w:val="auto"/>
        </w:rPr>
      </w:pPr>
      <w:r>
        <w:rPr>
          <w:rFonts w:hint="eastAsia"/>
          <w:color w:val="auto"/>
        </w:rPr>
        <w:t>危险废物来源分析</w:t>
      </w:r>
    </w:p>
    <w:p w14:paraId="45BB1088">
      <w:pPr>
        <w:pStyle w:val="132"/>
        <w:rPr>
          <w:color w:val="auto"/>
        </w:rPr>
      </w:pPr>
      <w:r>
        <w:rPr>
          <w:rFonts w:hint="eastAsia"/>
          <w:color w:val="auto"/>
        </w:rPr>
        <w:t>本项目废酸废碱液主要来自</w:t>
      </w:r>
      <w:r>
        <w:rPr>
          <w:color w:val="auto"/>
        </w:rPr>
        <w:t>新疆众和股份有限公司</w:t>
      </w:r>
      <w:r>
        <w:rPr>
          <w:rFonts w:hint="eastAsia"/>
          <w:color w:val="auto"/>
        </w:rPr>
        <w:t>下属乌鲁木齐</w:t>
      </w:r>
      <w:r>
        <w:rPr>
          <w:color w:val="auto"/>
        </w:rPr>
        <w:t>众荣电子材料科技有限公司</w:t>
      </w:r>
      <w:r>
        <w:rPr>
          <w:rFonts w:hint="eastAsia"/>
          <w:color w:val="auto"/>
        </w:rPr>
        <w:t>，</w:t>
      </w:r>
      <w:bookmarkStart w:id="184" w:name="OLE_LINK152"/>
      <w:r>
        <w:rPr>
          <w:rFonts w:hint="eastAsia"/>
          <w:color w:val="auto"/>
        </w:rPr>
        <w:t>以及石河子、准东等地同类企业，</w:t>
      </w:r>
      <w:r>
        <w:rPr>
          <w:color w:val="auto"/>
        </w:rPr>
        <w:t>新疆众和股份有限公司</w:t>
      </w:r>
      <w:bookmarkEnd w:id="184"/>
      <w:r>
        <w:rPr>
          <w:color w:val="auto"/>
        </w:rPr>
        <w:t>是铝基新材料产业的技术引领者和全球供应商，现已形成了以“能源</w:t>
      </w:r>
      <w:r>
        <w:rPr>
          <w:rFonts w:hint="eastAsia"/>
          <w:color w:val="auto"/>
        </w:rPr>
        <w:t>－</w:t>
      </w:r>
      <w:r>
        <w:rPr>
          <w:color w:val="auto"/>
        </w:rPr>
        <w:t>氧化铝</w:t>
      </w:r>
      <w:r>
        <w:rPr>
          <w:rFonts w:hint="eastAsia"/>
          <w:color w:val="auto"/>
        </w:rPr>
        <w:t>－</w:t>
      </w:r>
      <w:r>
        <w:rPr>
          <w:color w:val="auto"/>
        </w:rPr>
        <w:t>电解铝-高纯铝-电子铝箔-电极箔”铝基新材料循环经济产业链为主体，集冶金技术服务、智慧物流、镁基资源开发协同发展的产业格局。公司可生产纯度为99.9%至99.9999%的高纯铝及合金产品，设备和工艺技术居行业先进水平。乌鲁木齐众荣电子材料科技有限公司腐蚀箔生产线年产生废酸液约68万m</w:t>
      </w:r>
      <w:r>
        <w:rPr>
          <w:color w:val="auto"/>
          <w:vertAlign w:val="superscript"/>
        </w:rPr>
        <w:t>3</w:t>
      </w:r>
      <w:r>
        <w:rPr>
          <w:color w:val="auto"/>
        </w:rPr>
        <w:t>，废碱液约8.8万m</w:t>
      </w:r>
      <w:r>
        <w:rPr>
          <w:color w:val="auto"/>
          <w:vertAlign w:val="superscript"/>
        </w:rPr>
        <w:t>3</w:t>
      </w:r>
      <w:r>
        <w:rPr>
          <w:rFonts w:hint="eastAsia"/>
          <w:color w:val="auto"/>
        </w:rPr>
        <w:t>，本项目修建管道直接输送废碱液、废酸液入厂进行处理，石河子、准东等地同类企业可拉运入厂处置。</w:t>
      </w:r>
    </w:p>
    <w:p w14:paraId="34760ACC">
      <w:pPr>
        <w:pStyle w:val="5"/>
        <w:rPr>
          <w:color w:val="auto"/>
        </w:rPr>
      </w:pPr>
      <w:r>
        <w:rPr>
          <w:rFonts w:hint="eastAsia"/>
          <w:color w:val="auto"/>
        </w:rPr>
        <w:t>设计处置量</w:t>
      </w:r>
    </w:p>
    <w:p w14:paraId="2F890256">
      <w:pPr>
        <w:pStyle w:val="132"/>
        <w:rPr>
          <w:color w:val="auto"/>
        </w:rPr>
      </w:pPr>
      <w:r>
        <w:rPr>
          <w:rFonts w:hint="eastAsia"/>
          <w:color w:val="auto"/>
        </w:rPr>
        <w:t>本项目设计废酸液、废碱液的处置量见表3.1-2。</w:t>
      </w:r>
    </w:p>
    <w:p w14:paraId="362B68FF">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color w:val="auto"/>
        </w:rPr>
        <w:t xml:space="preserve"> </w:t>
      </w:r>
      <w:r>
        <w:rPr>
          <w:rFonts w:hint="eastAsia"/>
          <w:color w:val="auto"/>
        </w:rPr>
        <w:t xml:space="preserve"> 危险废物处置量</w:t>
      </w:r>
    </w:p>
    <w:tbl>
      <w:tblPr>
        <w:tblStyle w:val="2399"/>
        <w:tblW w:w="0" w:type="auto"/>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990"/>
        <w:gridCol w:w="2636"/>
        <w:gridCol w:w="1093"/>
        <w:gridCol w:w="2077"/>
        <w:gridCol w:w="1914"/>
      </w:tblGrid>
      <w:tr w14:paraId="09397D0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58" w:hRule="atLeast"/>
        </w:trPr>
        <w:tc>
          <w:tcPr>
            <w:tcW w:w="990" w:type="dxa"/>
            <w:vMerge w:val="restart"/>
            <w:vAlign w:val="center"/>
          </w:tcPr>
          <w:p w14:paraId="3A67CA9D">
            <w:pPr>
              <w:pStyle w:val="129"/>
              <w:widowControl w:val="0"/>
              <w:rPr>
                <w:rFonts w:eastAsia="Times New Roman"/>
                <w:color w:val="auto"/>
              </w:rPr>
            </w:pPr>
            <w:r>
              <w:rPr>
                <w:rFonts w:hint="eastAsia" w:ascii="宋体" w:hAnsi="宋体" w:eastAsia="Times New Roman" w:cs="宋体"/>
                <w:color w:val="auto"/>
              </w:rPr>
              <w:t>序号</w:t>
            </w:r>
          </w:p>
        </w:tc>
        <w:tc>
          <w:tcPr>
            <w:tcW w:w="2636" w:type="dxa"/>
            <w:vMerge w:val="restart"/>
            <w:vAlign w:val="center"/>
          </w:tcPr>
          <w:p w14:paraId="3AD4C9EB">
            <w:pPr>
              <w:pStyle w:val="129"/>
              <w:widowControl w:val="0"/>
              <w:rPr>
                <w:rFonts w:eastAsia="Times New Roman"/>
                <w:color w:val="auto"/>
              </w:rPr>
            </w:pPr>
            <w:r>
              <w:rPr>
                <w:rFonts w:hint="eastAsia" w:ascii="宋体" w:hAnsi="宋体" w:eastAsia="Times New Roman" w:cs="宋体"/>
                <w:color w:val="auto"/>
              </w:rPr>
              <w:t>危险废物</w:t>
            </w:r>
          </w:p>
        </w:tc>
        <w:tc>
          <w:tcPr>
            <w:tcW w:w="1093" w:type="dxa"/>
            <w:vMerge w:val="restart"/>
            <w:vAlign w:val="center"/>
          </w:tcPr>
          <w:p w14:paraId="105310E5">
            <w:pPr>
              <w:pStyle w:val="129"/>
              <w:widowControl w:val="0"/>
              <w:rPr>
                <w:rFonts w:eastAsia="Times New Roman"/>
                <w:color w:val="auto"/>
              </w:rPr>
            </w:pPr>
            <w:r>
              <w:rPr>
                <w:rFonts w:hint="eastAsia" w:ascii="宋体" w:hAnsi="宋体" w:eastAsia="Times New Roman" w:cs="宋体"/>
                <w:color w:val="auto"/>
              </w:rPr>
              <w:t>类别</w:t>
            </w:r>
          </w:p>
        </w:tc>
        <w:tc>
          <w:tcPr>
            <w:tcW w:w="3991" w:type="dxa"/>
            <w:gridSpan w:val="2"/>
            <w:vAlign w:val="center"/>
          </w:tcPr>
          <w:p w14:paraId="5DBBD078">
            <w:pPr>
              <w:pStyle w:val="129"/>
              <w:widowControl w:val="0"/>
              <w:rPr>
                <w:rFonts w:ascii="宋体" w:hAnsi="宋体" w:eastAsia="Times New Roman" w:cs="宋体"/>
                <w:color w:val="auto"/>
              </w:rPr>
            </w:pPr>
            <w:r>
              <w:rPr>
                <w:rFonts w:hint="eastAsia" w:ascii="宋体" w:hAnsi="宋体" w:eastAsia="Times New Roman" w:cs="宋体"/>
                <w:color w:val="auto"/>
              </w:rPr>
              <w:t>设计处置量</w:t>
            </w:r>
          </w:p>
        </w:tc>
      </w:tr>
      <w:tr w14:paraId="3C51FAA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58" w:hRule="atLeast"/>
        </w:trPr>
        <w:tc>
          <w:tcPr>
            <w:tcW w:w="990" w:type="dxa"/>
            <w:vMerge w:val="continue"/>
            <w:vAlign w:val="center"/>
          </w:tcPr>
          <w:p w14:paraId="7D7E9C41">
            <w:pPr>
              <w:pStyle w:val="129"/>
              <w:widowControl w:val="0"/>
              <w:rPr>
                <w:rFonts w:ascii="宋体" w:hAnsi="宋体" w:eastAsia="Times New Roman" w:cs="宋体"/>
                <w:color w:val="auto"/>
              </w:rPr>
            </w:pPr>
          </w:p>
        </w:tc>
        <w:tc>
          <w:tcPr>
            <w:tcW w:w="2636" w:type="dxa"/>
            <w:vMerge w:val="continue"/>
            <w:vAlign w:val="center"/>
          </w:tcPr>
          <w:p w14:paraId="7D3D6F95">
            <w:pPr>
              <w:pStyle w:val="129"/>
              <w:widowControl w:val="0"/>
              <w:rPr>
                <w:rFonts w:ascii="宋体" w:hAnsi="宋体" w:eastAsia="Times New Roman" w:cs="宋体"/>
                <w:color w:val="auto"/>
              </w:rPr>
            </w:pPr>
          </w:p>
        </w:tc>
        <w:tc>
          <w:tcPr>
            <w:tcW w:w="1093" w:type="dxa"/>
            <w:vMerge w:val="continue"/>
            <w:vAlign w:val="center"/>
          </w:tcPr>
          <w:p w14:paraId="38EE9EA4">
            <w:pPr>
              <w:pStyle w:val="129"/>
              <w:widowControl w:val="0"/>
              <w:rPr>
                <w:rFonts w:ascii="宋体" w:hAnsi="宋体" w:eastAsia="Times New Roman" w:cs="宋体"/>
                <w:color w:val="auto"/>
              </w:rPr>
            </w:pPr>
          </w:p>
        </w:tc>
        <w:tc>
          <w:tcPr>
            <w:tcW w:w="2077" w:type="dxa"/>
            <w:vAlign w:val="center"/>
          </w:tcPr>
          <w:p w14:paraId="3548C8A1">
            <w:pPr>
              <w:pStyle w:val="129"/>
              <w:widowControl w:val="0"/>
              <w:rPr>
                <w:rFonts w:ascii="宋体" w:hAnsi="宋体" w:eastAsia="Times New Roman" w:cs="宋体"/>
                <w:color w:val="auto"/>
              </w:rPr>
            </w:pPr>
            <w:r>
              <w:rPr>
                <w:rFonts w:hint="eastAsia" w:ascii="宋体" w:hAnsi="宋体" w:eastAsia="Times New Roman" w:cs="宋体"/>
                <w:color w:val="auto"/>
              </w:rPr>
              <w:t>万</w:t>
            </w:r>
            <w:r>
              <w:rPr>
                <w:rFonts w:eastAsia="Times New Roman"/>
                <w:color w:val="auto"/>
              </w:rPr>
              <w:t>m</w:t>
            </w:r>
            <w:r>
              <w:rPr>
                <w:rFonts w:eastAsia="Times New Roman"/>
                <w:color w:val="auto"/>
                <w:vertAlign w:val="superscript"/>
              </w:rPr>
              <w:t>3</w:t>
            </w:r>
            <w:r>
              <w:rPr>
                <w:rFonts w:eastAsia="Times New Roman"/>
                <w:color w:val="auto"/>
              </w:rPr>
              <w:t>/a</w:t>
            </w:r>
          </w:p>
        </w:tc>
        <w:tc>
          <w:tcPr>
            <w:tcW w:w="1914" w:type="dxa"/>
            <w:vAlign w:val="center"/>
          </w:tcPr>
          <w:p w14:paraId="4445942A">
            <w:pPr>
              <w:pStyle w:val="129"/>
              <w:widowControl w:val="0"/>
              <w:rPr>
                <w:rFonts w:eastAsia="Times New Roman"/>
                <w:color w:val="auto"/>
              </w:rPr>
            </w:pPr>
            <w:r>
              <w:rPr>
                <w:rFonts w:hint="eastAsia" w:eastAsiaTheme="minorEastAsia"/>
                <w:color w:val="auto"/>
              </w:rPr>
              <w:t>t/a</w:t>
            </w:r>
          </w:p>
        </w:tc>
      </w:tr>
      <w:tr w14:paraId="242BBFD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90" w:type="dxa"/>
            <w:vAlign w:val="center"/>
          </w:tcPr>
          <w:p w14:paraId="3008D77E">
            <w:pPr>
              <w:pStyle w:val="129"/>
              <w:widowControl w:val="0"/>
              <w:rPr>
                <w:rFonts w:eastAsiaTheme="minorEastAsia"/>
                <w:color w:val="auto"/>
              </w:rPr>
            </w:pPr>
            <w:r>
              <w:rPr>
                <w:rFonts w:hint="eastAsia" w:eastAsiaTheme="minorEastAsia"/>
                <w:color w:val="auto"/>
              </w:rPr>
              <w:t>1</w:t>
            </w:r>
          </w:p>
        </w:tc>
        <w:tc>
          <w:tcPr>
            <w:tcW w:w="2636" w:type="dxa"/>
            <w:vAlign w:val="center"/>
          </w:tcPr>
          <w:p w14:paraId="5E3FD0EB">
            <w:pPr>
              <w:pStyle w:val="129"/>
              <w:widowControl w:val="0"/>
              <w:rPr>
                <w:rFonts w:eastAsia="Times New Roman"/>
                <w:color w:val="auto"/>
              </w:rPr>
            </w:pPr>
            <w:r>
              <w:rPr>
                <w:rFonts w:hint="eastAsia" w:ascii="宋体" w:hAnsi="宋体" w:eastAsia="Times New Roman" w:cs="宋体"/>
                <w:color w:val="auto"/>
              </w:rPr>
              <w:t>含硝酸铝废酸液</w:t>
            </w:r>
          </w:p>
        </w:tc>
        <w:tc>
          <w:tcPr>
            <w:tcW w:w="1093" w:type="dxa"/>
            <w:vMerge w:val="restart"/>
            <w:vAlign w:val="center"/>
          </w:tcPr>
          <w:p w14:paraId="513EA089">
            <w:pPr>
              <w:pStyle w:val="129"/>
              <w:widowControl w:val="0"/>
              <w:rPr>
                <w:rFonts w:eastAsia="Times New Roman"/>
                <w:color w:val="auto"/>
              </w:rPr>
            </w:pPr>
            <w:r>
              <w:rPr>
                <w:rFonts w:eastAsia="Times New Roman"/>
                <w:color w:val="auto"/>
              </w:rPr>
              <w:t>HW34</w:t>
            </w:r>
          </w:p>
        </w:tc>
        <w:tc>
          <w:tcPr>
            <w:tcW w:w="2077" w:type="dxa"/>
            <w:vAlign w:val="center"/>
          </w:tcPr>
          <w:p w14:paraId="6AA18773">
            <w:pPr>
              <w:pStyle w:val="129"/>
              <w:widowControl w:val="0"/>
              <w:rPr>
                <w:rFonts w:eastAsia="Times New Roman"/>
                <w:color w:val="auto"/>
              </w:rPr>
            </w:pPr>
            <w:r>
              <w:rPr>
                <w:rFonts w:eastAsia="Times New Roman"/>
                <w:color w:val="auto"/>
              </w:rPr>
              <w:t>51.3</w:t>
            </w:r>
          </w:p>
        </w:tc>
        <w:tc>
          <w:tcPr>
            <w:tcW w:w="1914" w:type="dxa"/>
            <w:vAlign w:val="center"/>
          </w:tcPr>
          <w:p w14:paraId="51D64541">
            <w:pPr>
              <w:pStyle w:val="129"/>
              <w:widowControl w:val="0"/>
              <w:rPr>
                <w:rFonts w:eastAsiaTheme="minorEastAsia"/>
                <w:color w:val="auto"/>
              </w:rPr>
            </w:pPr>
            <w:r>
              <w:rPr>
                <w:rFonts w:hint="eastAsia" w:eastAsia="Times New Roman"/>
                <w:color w:val="auto"/>
              </w:rPr>
              <w:t>552768</w:t>
            </w:r>
          </w:p>
        </w:tc>
      </w:tr>
      <w:tr w14:paraId="2285CBB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90" w:type="dxa"/>
            <w:vAlign w:val="center"/>
          </w:tcPr>
          <w:p w14:paraId="3D6B1377">
            <w:pPr>
              <w:pStyle w:val="129"/>
              <w:widowControl w:val="0"/>
              <w:rPr>
                <w:rFonts w:eastAsiaTheme="minorEastAsia"/>
                <w:color w:val="auto"/>
              </w:rPr>
            </w:pPr>
            <w:r>
              <w:rPr>
                <w:rFonts w:hint="eastAsia" w:eastAsiaTheme="minorEastAsia"/>
                <w:color w:val="auto"/>
              </w:rPr>
              <w:t>2</w:t>
            </w:r>
          </w:p>
        </w:tc>
        <w:tc>
          <w:tcPr>
            <w:tcW w:w="2636" w:type="dxa"/>
            <w:vAlign w:val="center"/>
          </w:tcPr>
          <w:p w14:paraId="4FD681D7">
            <w:pPr>
              <w:pStyle w:val="129"/>
              <w:widowControl w:val="0"/>
              <w:rPr>
                <w:rFonts w:eastAsia="Times New Roman"/>
                <w:color w:val="auto"/>
              </w:rPr>
            </w:pPr>
            <w:r>
              <w:rPr>
                <w:rFonts w:hint="eastAsia" w:ascii="宋体" w:hAnsi="宋体" w:eastAsia="Times New Roman" w:cs="宋体"/>
                <w:color w:val="auto"/>
              </w:rPr>
              <w:t>含硫酸铝废酸液</w:t>
            </w:r>
          </w:p>
        </w:tc>
        <w:tc>
          <w:tcPr>
            <w:tcW w:w="1093" w:type="dxa"/>
            <w:vMerge w:val="continue"/>
            <w:vAlign w:val="center"/>
          </w:tcPr>
          <w:p w14:paraId="733FE520">
            <w:pPr>
              <w:pStyle w:val="129"/>
              <w:widowControl w:val="0"/>
              <w:rPr>
                <w:rFonts w:eastAsia="Times New Roman"/>
                <w:color w:val="auto"/>
              </w:rPr>
            </w:pPr>
          </w:p>
        </w:tc>
        <w:tc>
          <w:tcPr>
            <w:tcW w:w="2077" w:type="dxa"/>
            <w:vAlign w:val="center"/>
          </w:tcPr>
          <w:p w14:paraId="7545FC86">
            <w:pPr>
              <w:pStyle w:val="129"/>
              <w:widowControl w:val="0"/>
              <w:rPr>
                <w:rFonts w:eastAsia="Times New Roman"/>
                <w:color w:val="auto"/>
              </w:rPr>
            </w:pPr>
            <w:r>
              <w:rPr>
                <w:rFonts w:eastAsia="Times New Roman"/>
                <w:color w:val="auto"/>
              </w:rPr>
              <w:t>42.3</w:t>
            </w:r>
          </w:p>
        </w:tc>
        <w:tc>
          <w:tcPr>
            <w:tcW w:w="1914" w:type="dxa"/>
            <w:vAlign w:val="center"/>
          </w:tcPr>
          <w:p w14:paraId="18F5A348">
            <w:pPr>
              <w:pStyle w:val="129"/>
              <w:widowControl w:val="0"/>
              <w:rPr>
                <w:rFonts w:eastAsiaTheme="minorEastAsia"/>
                <w:color w:val="auto"/>
              </w:rPr>
            </w:pPr>
            <w:r>
              <w:rPr>
                <w:rFonts w:hint="eastAsia" w:eastAsia="Times New Roman"/>
                <w:color w:val="auto"/>
              </w:rPr>
              <w:t>471712</w:t>
            </w:r>
          </w:p>
        </w:tc>
      </w:tr>
      <w:tr w14:paraId="7137781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90" w:type="dxa"/>
            <w:vAlign w:val="center"/>
          </w:tcPr>
          <w:p w14:paraId="01E4D4B2">
            <w:pPr>
              <w:pStyle w:val="129"/>
              <w:widowControl w:val="0"/>
              <w:rPr>
                <w:rFonts w:eastAsiaTheme="minorEastAsia"/>
                <w:color w:val="auto"/>
              </w:rPr>
            </w:pPr>
            <w:r>
              <w:rPr>
                <w:rFonts w:hint="eastAsia" w:eastAsiaTheme="minorEastAsia"/>
                <w:color w:val="auto"/>
              </w:rPr>
              <w:t>3</w:t>
            </w:r>
          </w:p>
        </w:tc>
        <w:tc>
          <w:tcPr>
            <w:tcW w:w="2636" w:type="dxa"/>
            <w:vAlign w:val="center"/>
          </w:tcPr>
          <w:p w14:paraId="42C06065">
            <w:pPr>
              <w:pStyle w:val="129"/>
              <w:widowControl w:val="0"/>
              <w:rPr>
                <w:rFonts w:eastAsia="Times New Roman"/>
                <w:color w:val="auto"/>
              </w:rPr>
            </w:pPr>
            <w:r>
              <w:rPr>
                <w:rFonts w:hint="eastAsia" w:ascii="宋体" w:hAnsi="宋体" w:eastAsia="Times New Roman" w:cs="宋体"/>
                <w:color w:val="auto"/>
              </w:rPr>
              <w:t>含磷酸二氢铝废酸液</w:t>
            </w:r>
          </w:p>
        </w:tc>
        <w:tc>
          <w:tcPr>
            <w:tcW w:w="1093" w:type="dxa"/>
            <w:vMerge w:val="continue"/>
            <w:vAlign w:val="center"/>
          </w:tcPr>
          <w:p w14:paraId="693ED137">
            <w:pPr>
              <w:pStyle w:val="129"/>
              <w:widowControl w:val="0"/>
              <w:rPr>
                <w:rFonts w:eastAsia="Times New Roman"/>
                <w:color w:val="auto"/>
              </w:rPr>
            </w:pPr>
          </w:p>
        </w:tc>
        <w:tc>
          <w:tcPr>
            <w:tcW w:w="2077" w:type="dxa"/>
            <w:vAlign w:val="center"/>
          </w:tcPr>
          <w:p w14:paraId="29ED299C">
            <w:pPr>
              <w:pStyle w:val="129"/>
              <w:widowControl w:val="0"/>
              <w:rPr>
                <w:rFonts w:eastAsia="Times New Roman"/>
                <w:color w:val="auto"/>
              </w:rPr>
            </w:pPr>
            <w:r>
              <w:rPr>
                <w:rFonts w:eastAsia="Times New Roman"/>
                <w:color w:val="auto"/>
              </w:rPr>
              <w:t>4.8</w:t>
            </w:r>
          </w:p>
        </w:tc>
        <w:tc>
          <w:tcPr>
            <w:tcW w:w="1914" w:type="dxa"/>
            <w:vAlign w:val="center"/>
          </w:tcPr>
          <w:p w14:paraId="0A621E77">
            <w:pPr>
              <w:pStyle w:val="129"/>
              <w:widowControl w:val="0"/>
              <w:rPr>
                <w:rFonts w:eastAsiaTheme="minorEastAsia"/>
                <w:color w:val="auto"/>
              </w:rPr>
            </w:pPr>
            <w:r>
              <w:rPr>
                <w:rFonts w:hint="eastAsia" w:eastAsia="Times New Roman"/>
                <w:color w:val="auto"/>
              </w:rPr>
              <w:t>49620</w:t>
            </w:r>
          </w:p>
        </w:tc>
      </w:tr>
      <w:tr w14:paraId="2747E2C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90" w:type="dxa"/>
            <w:vAlign w:val="center"/>
          </w:tcPr>
          <w:p w14:paraId="78063742">
            <w:pPr>
              <w:pStyle w:val="129"/>
              <w:widowControl w:val="0"/>
              <w:rPr>
                <w:rFonts w:eastAsiaTheme="minorEastAsia"/>
                <w:color w:val="auto"/>
              </w:rPr>
            </w:pPr>
            <w:r>
              <w:rPr>
                <w:rFonts w:hint="eastAsia" w:eastAsiaTheme="minorEastAsia"/>
                <w:color w:val="auto"/>
              </w:rPr>
              <w:t>4</w:t>
            </w:r>
          </w:p>
        </w:tc>
        <w:tc>
          <w:tcPr>
            <w:tcW w:w="2636" w:type="dxa"/>
            <w:vAlign w:val="center"/>
          </w:tcPr>
          <w:p w14:paraId="2182CE66">
            <w:pPr>
              <w:pStyle w:val="129"/>
              <w:widowControl w:val="0"/>
              <w:rPr>
                <w:rFonts w:eastAsia="Times New Roman"/>
                <w:color w:val="auto"/>
              </w:rPr>
            </w:pPr>
            <w:r>
              <w:rPr>
                <w:rFonts w:hint="eastAsia" w:ascii="宋体" w:hAnsi="宋体" w:eastAsia="Times New Roman" w:cs="宋体"/>
                <w:color w:val="auto"/>
              </w:rPr>
              <w:t>含氯化铝废酸液</w:t>
            </w:r>
          </w:p>
        </w:tc>
        <w:tc>
          <w:tcPr>
            <w:tcW w:w="1093" w:type="dxa"/>
            <w:vMerge w:val="continue"/>
            <w:vAlign w:val="center"/>
          </w:tcPr>
          <w:p w14:paraId="3234D66E">
            <w:pPr>
              <w:pStyle w:val="129"/>
              <w:widowControl w:val="0"/>
              <w:rPr>
                <w:rFonts w:eastAsia="Times New Roman"/>
                <w:color w:val="auto"/>
              </w:rPr>
            </w:pPr>
          </w:p>
        </w:tc>
        <w:tc>
          <w:tcPr>
            <w:tcW w:w="2077" w:type="dxa"/>
            <w:vAlign w:val="center"/>
          </w:tcPr>
          <w:p w14:paraId="3012F65B">
            <w:pPr>
              <w:pStyle w:val="129"/>
              <w:widowControl w:val="0"/>
              <w:rPr>
                <w:rFonts w:eastAsia="Times New Roman"/>
                <w:color w:val="auto"/>
              </w:rPr>
            </w:pPr>
            <w:r>
              <w:rPr>
                <w:rFonts w:eastAsia="Times New Roman"/>
                <w:color w:val="auto"/>
              </w:rPr>
              <w:t>1.6</w:t>
            </w:r>
          </w:p>
        </w:tc>
        <w:tc>
          <w:tcPr>
            <w:tcW w:w="1914" w:type="dxa"/>
            <w:vAlign w:val="center"/>
          </w:tcPr>
          <w:p w14:paraId="6281C3F8">
            <w:pPr>
              <w:pStyle w:val="129"/>
              <w:widowControl w:val="0"/>
              <w:rPr>
                <w:rFonts w:eastAsiaTheme="minorEastAsia"/>
                <w:color w:val="auto"/>
              </w:rPr>
            </w:pPr>
            <w:r>
              <w:rPr>
                <w:rFonts w:hint="eastAsia" w:eastAsia="Times New Roman"/>
                <w:color w:val="auto"/>
              </w:rPr>
              <w:t>17105</w:t>
            </w:r>
          </w:p>
        </w:tc>
      </w:tr>
      <w:tr w14:paraId="106C8AA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19" w:type="dxa"/>
            <w:gridSpan w:val="3"/>
            <w:vAlign w:val="center"/>
          </w:tcPr>
          <w:p w14:paraId="0BD4A6EC">
            <w:pPr>
              <w:pStyle w:val="129"/>
              <w:widowControl w:val="0"/>
              <w:rPr>
                <w:rFonts w:eastAsia="Times New Roman"/>
                <w:color w:val="auto"/>
              </w:rPr>
            </w:pPr>
            <w:r>
              <w:rPr>
                <w:rFonts w:hint="eastAsia" w:ascii="宋体" w:hAnsi="宋体" w:eastAsia="Times New Roman" w:cs="宋体"/>
                <w:color w:val="auto"/>
              </w:rPr>
              <w:t>合计</w:t>
            </w:r>
          </w:p>
        </w:tc>
        <w:tc>
          <w:tcPr>
            <w:tcW w:w="2077" w:type="dxa"/>
            <w:vAlign w:val="center"/>
          </w:tcPr>
          <w:p w14:paraId="7814540B">
            <w:pPr>
              <w:pStyle w:val="129"/>
              <w:widowControl w:val="0"/>
              <w:rPr>
                <w:rFonts w:eastAsiaTheme="minorEastAsia"/>
                <w:color w:val="auto"/>
              </w:rPr>
            </w:pPr>
            <w:r>
              <w:rPr>
                <w:rFonts w:hint="eastAsia" w:eastAsiaTheme="minorEastAsia"/>
                <w:color w:val="auto"/>
              </w:rPr>
              <w:t>100.0</w:t>
            </w:r>
          </w:p>
        </w:tc>
        <w:tc>
          <w:tcPr>
            <w:tcW w:w="1914" w:type="dxa"/>
            <w:vAlign w:val="center"/>
          </w:tcPr>
          <w:p w14:paraId="3EE91F8F">
            <w:pPr>
              <w:pStyle w:val="129"/>
              <w:widowControl w:val="0"/>
              <w:rPr>
                <w:rFonts w:eastAsiaTheme="minorEastAsia"/>
                <w:color w:val="auto"/>
              </w:rPr>
            </w:pPr>
            <w:r>
              <w:rPr>
                <w:rFonts w:hint="eastAsia" w:eastAsiaTheme="minorEastAsia"/>
                <w:color w:val="auto"/>
              </w:rPr>
              <w:t>1091205</w:t>
            </w:r>
          </w:p>
        </w:tc>
      </w:tr>
      <w:tr w14:paraId="7086097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90" w:type="dxa"/>
            <w:vAlign w:val="center"/>
          </w:tcPr>
          <w:p w14:paraId="2F0F7951">
            <w:pPr>
              <w:pStyle w:val="129"/>
              <w:widowControl w:val="0"/>
              <w:rPr>
                <w:rFonts w:eastAsiaTheme="minorEastAsia"/>
                <w:color w:val="auto"/>
              </w:rPr>
            </w:pPr>
            <w:r>
              <w:rPr>
                <w:rFonts w:hint="eastAsia" w:eastAsiaTheme="minorEastAsia"/>
                <w:color w:val="auto"/>
              </w:rPr>
              <w:t>5</w:t>
            </w:r>
          </w:p>
        </w:tc>
        <w:tc>
          <w:tcPr>
            <w:tcW w:w="2636" w:type="dxa"/>
            <w:vAlign w:val="center"/>
          </w:tcPr>
          <w:p w14:paraId="7FADD3B1">
            <w:pPr>
              <w:pStyle w:val="129"/>
              <w:widowControl w:val="0"/>
              <w:rPr>
                <w:rFonts w:eastAsia="Times New Roman"/>
                <w:color w:val="auto"/>
              </w:rPr>
            </w:pPr>
            <w:r>
              <w:rPr>
                <w:rFonts w:ascii="宋体" w:hAnsi="宋体" w:eastAsia="Times New Roman" w:cs="宋体"/>
                <w:color w:val="auto"/>
              </w:rPr>
              <w:t>含偏铝酸钠废碱液</w:t>
            </w:r>
          </w:p>
        </w:tc>
        <w:tc>
          <w:tcPr>
            <w:tcW w:w="1093" w:type="dxa"/>
            <w:vMerge w:val="restart"/>
            <w:vAlign w:val="center"/>
          </w:tcPr>
          <w:p w14:paraId="4A9F2124">
            <w:pPr>
              <w:pStyle w:val="129"/>
              <w:widowControl w:val="0"/>
              <w:rPr>
                <w:rFonts w:eastAsiaTheme="minorEastAsia"/>
                <w:color w:val="auto"/>
              </w:rPr>
            </w:pPr>
            <w:r>
              <w:rPr>
                <w:rFonts w:hint="eastAsia" w:eastAsiaTheme="minorEastAsia"/>
                <w:color w:val="auto"/>
              </w:rPr>
              <w:t>HW35</w:t>
            </w:r>
          </w:p>
        </w:tc>
        <w:tc>
          <w:tcPr>
            <w:tcW w:w="2077" w:type="dxa"/>
            <w:vAlign w:val="center"/>
          </w:tcPr>
          <w:p w14:paraId="55C73506">
            <w:pPr>
              <w:pStyle w:val="129"/>
              <w:widowControl w:val="0"/>
              <w:rPr>
                <w:rFonts w:eastAsia="Times New Roman"/>
                <w:color w:val="auto"/>
              </w:rPr>
            </w:pPr>
            <w:r>
              <w:rPr>
                <w:rFonts w:eastAsia="Times New Roman"/>
                <w:color w:val="auto"/>
              </w:rPr>
              <w:t>6.0</w:t>
            </w:r>
          </w:p>
        </w:tc>
        <w:tc>
          <w:tcPr>
            <w:tcW w:w="1914" w:type="dxa"/>
            <w:vAlign w:val="center"/>
          </w:tcPr>
          <w:p w14:paraId="564A03F1">
            <w:pPr>
              <w:pStyle w:val="129"/>
              <w:widowControl w:val="0"/>
              <w:rPr>
                <w:rFonts w:eastAsiaTheme="minorEastAsia"/>
                <w:color w:val="auto"/>
              </w:rPr>
            </w:pPr>
            <w:r>
              <w:rPr>
                <w:rFonts w:hint="eastAsia" w:eastAsia="Times New Roman"/>
                <w:color w:val="auto"/>
              </w:rPr>
              <w:t>62292</w:t>
            </w:r>
          </w:p>
        </w:tc>
      </w:tr>
      <w:tr w14:paraId="033905B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90" w:type="dxa"/>
            <w:vAlign w:val="center"/>
          </w:tcPr>
          <w:p w14:paraId="61252C89">
            <w:pPr>
              <w:pStyle w:val="129"/>
              <w:widowControl w:val="0"/>
              <w:rPr>
                <w:rFonts w:eastAsiaTheme="minorEastAsia"/>
                <w:color w:val="auto"/>
              </w:rPr>
            </w:pPr>
            <w:r>
              <w:rPr>
                <w:rFonts w:hint="eastAsia" w:eastAsiaTheme="minorEastAsia"/>
                <w:color w:val="auto"/>
              </w:rPr>
              <w:t>6</w:t>
            </w:r>
          </w:p>
        </w:tc>
        <w:tc>
          <w:tcPr>
            <w:tcW w:w="2636" w:type="dxa"/>
            <w:vAlign w:val="center"/>
          </w:tcPr>
          <w:p w14:paraId="6A2A609A">
            <w:pPr>
              <w:pStyle w:val="129"/>
              <w:widowControl w:val="0"/>
              <w:rPr>
                <w:rFonts w:eastAsia="Times New Roman"/>
                <w:color w:val="auto"/>
              </w:rPr>
            </w:pPr>
            <w:r>
              <w:rPr>
                <w:rFonts w:hint="eastAsia" w:ascii="宋体" w:hAnsi="宋体" w:eastAsia="Times New Roman" w:cs="宋体"/>
                <w:color w:val="auto"/>
              </w:rPr>
              <w:t>含碳酸钠废碱液</w:t>
            </w:r>
          </w:p>
        </w:tc>
        <w:tc>
          <w:tcPr>
            <w:tcW w:w="1093" w:type="dxa"/>
            <w:vMerge w:val="continue"/>
            <w:vAlign w:val="center"/>
          </w:tcPr>
          <w:p w14:paraId="76C8F62B">
            <w:pPr>
              <w:pStyle w:val="129"/>
              <w:widowControl w:val="0"/>
              <w:rPr>
                <w:rFonts w:eastAsia="Times New Roman"/>
                <w:color w:val="auto"/>
              </w:rPr>
            </w:pPr>
          </w:p>
        </w:tc>
        <w:tc>
          <w:tcPr>
            <w:tcW w:w="2077" w:type="dxa"/>
            <w:vAlign w:val="center"/>
          </w:tcPr>
          <w:p w14:paraId="1698C3FD">
            <w:pPr>
              <w:pStyle w:val="129"/>
              <w:widowControl w:val="0"/>
              <w:rPr>
                <w:rFonts w:eastAsia="Times New Roman"/>
                <w:color w:val="auto"/>
              </w:rPr>
            </w:pPr>
            <w:r>
              <w:rPr>
                <w:rFonts w:eastAsia="Times New Roman"/>
                <w:color w:val="auto"/>
              </w:rPr>
              <w:t>6.0</w:t>
            </w:r>
          </w:p>
        </w:tc>
        <w:tc>
          <w:tcPr>
            <w:tcW w:w="1914" w:type="dxa"/>
            <w:vAlign w:val="center"/>
          </w:tcPr>
          <w:p w14:paraId="7DA377D4">
            <w:pPr>
              <w:pStyle w:val="129"/>
              <w:widowControl w:val="0"/>
              <w:rPr>
                <w:rFonts w:eastAsiaTheme="minorEastAsia"/>
                <w:color w:val="auto"/>
              </w:rPr>
            </w:pPr>
            <w:r>
              <w:rPr>
                <w:rFonts w:hint="eastAsia" w:eastAsia="Times New Roman"/>
                <w:color w:val="auto"/>
              </w:rPr>
              <w:t>61406</w:t>
            </w:r>
          </w:p>
        </w:tc>
      </w:tr>
      <w:tr w14:paraId="7B43E6A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19" w:type="dxa"/>
            <w:gridSpan w:val="3"/>
            <w:vAlign w:val="center"/>
          </w:tcPr>
          <w:p w14:paraId="3D9C0C93">
            <w:pPr>
              <w:pStyle w:val="129"/>
              <w:widowControl w:val="0"/>
              <w:rPr>
                <w:rFonts w:eastAsiaTheme="minorEastAsia"/>
                <w:color w:val="auto"/>
              </w:rPr>
            </w:pPr>
            <w:r>
              <w:rPr>
                <w:rFonts w:hint="eastAsia" w:eastAsiaTheme="minorEastAsia"/>
                <w:color w:val="auto"/>
              </w:rPr>
              <w:t>合计</w:t>
            </w:r>
          </w:p>
        </w:tc>
        <w:tc>
          <w:tcPr>
            <w:tcW w:w="2077" w:type="dxa"/>
            <w:vAlign w:val="center"/>
          </w:tcPr>
          <w:p w14:paraId="269B42DD">
            <w:pPr>
              <w:pStyle w:val="129"/>
              <w:widowControl w:val="0"/>
              <w:rPr>
                <w:rFonts w:eastAsiaTheme="minorEastAsia"/>
                <w:color w:val="auto"/>
              </w:rPr>
            </w:pPr>
            <w:r>
              <w:rPr>
                <w:rFonts w:hint="eastAsia" w:eastAsiaTheme="minorEastAsia"/>
                <w:color w:val="auto"/>
              </w:rPr>
              <w:t>12.0</w:t>
            </w:r>
          </w:p>
        </w:tc>
        <w:tc>
          <w:tcPr>
            <w:tcW w:w="1914" w:type="dxa"/>
            <w:vAlign w:val="center"/>
          </w:tcPr>
          <w:p w14:paraId="2D60F280">
            <w:pPr>
              <w:pStyle w:val="129"/>
              <w:widowControl w:val="0"/>
              <w:rPr>
                <w:rFonts w:eastAsiaTheme="minorEastAsia"/>
                <w:color w:val="auto"/>
              </w:rPr>
            </w:pPr>
            <w:r>
              <w:rPr>
                <w:rFonts w:hint="eastAsia" w:eastAsiaTheme="minorEastAsia"/>
                <w:color w:val="auto"/>
              </w:rPr>
              <w:t>123698</w:t>
            </w:r>
          </w:p>
        </w:tc>
      </w:tr>
    </w:tbl>
    <w:p w14:paraId="76F45973">
      <w:pPr>
        <w:pStyle w:val="1304"/>
        <w:rPr>
          <w:color w:val="auto"/>
        </w:rPr>
      </w:pPr>
    </w:p>
    <w:p w14:paraId="17188764">
      <w:pPr>
        <w:pStyle w:val="5"/>
        <w:rPr>
          <w:color w:val="auto"/>
        </w:rPr>
      </w:pPr>
      <w:r>
        <w:rPr>
          <w:rFonts w:hint="eastAsia"/>
          <w:color w:val="auto"/>
        </w:rPr>
        <w:t>危险废物组成分析</w:t>
      </w:r>
    </w:p>
    <w:p w14:paraId="230ECF7C">
      <w:pPr>
        <w:pStyle w:val="132"/>
        <w:rPr>
          <w:color w:val="auto"/>
        </w:rPr>
      </w:pPr>
      <w:r>
        <w:rPr>
          <w:rFonts w:hint="eastAsia"/>
          <w:color w:val="auto"/>
        </w:rPr>
        <w:t>本项目拟处置的废碱液主要含有偏铝酸钠、偏铝酸钾、氢氧化钠、碳酸钠等，废碱液的主要组成分析见表3.1-3～3.1-4。各废酸液主要含硝酸、硝酸铝、磷酸、硫酸、硫酸铝、盐酸、氯化铝、磷酸二氢铝等，废酸液的组成分析见表3.1-5～3.1-8。</w:t>
      </w:r>
    </w:p>
    <w:p w14:paraId="0A3A9ED1">
      <w:pPr>
        <w:pStyle w:val="1060"/>
        <w:rPr>
          <w:rStyle w:val="1062"/>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rFonts w:hint="eastAsia"/>
          <w:color w:val="auto"/>
        </w:rPr>
        <w:t xml:space="preserve">  </w:t>
      </w:r>
      <w:r>
        <w:rPr>
          <w:rStyle w:val="1062"/>
          <w:rFonts w:hint="eastAsia"/>
          <w:color w:val="auto"/>
        </w:rPr>
        <w:t>含</w:t>
      </w:r>
      <w:r>
        <w:rPr>
          <w:rStyle w:val="1062"/>
          <w:color w:val="auto"/>
        </w:rPr>
        <w:t>偏铝酸钠</w:t>
      </w:r>
      <w:r>
        <w:rPr>
          <w:rStyle w:val="1062"/>
          <w:rFonts w:hint="eastAsia"/>
          <w:color w:val="auto"/>
        </w:rPr>
        <w:t>废碱液</w:t>
      </w:r>
      <w:r>
        <w:rPr>
          <w:rStyle w:val="1062"/>
          <w:color w:val="auto"/>
        </w:rPr>
        <w:t>（</w:t>
      </w:r>
      <w:r>
        <w:rPr>
          <w:rStyle w:val="1062"/>
          <w:rFonts w:hint="eastAsia"/>
          <w:color w:val="auto"/>
          <w:lang w:val="en-US" w:eastAsia="zh-CN"/>
        </w:rPr>
        <w:t>略</w:t>
      </w:r>
      <w:r>
        <w:rPr>
          <w:rStyle w:val="1062"/>
          <w:color w:val="auto"/>
        </w:rPr>
        <w:t>）</w:t>
      </w:r>
    </w:p>
    <w:p w14:paraId="1624695C">
      <w:pPr>
        <w:pStyle w:val="1304"/>
        <w:rPr>
          <w:color w:val="auto"/>
        </w:rPr>
      </w:pPr>
    </w:p>
    <w:p w14:paraId="0DEAA26E">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4</w:t>
      </w:r>
      <w:r>
        <w:rPr>
          <w:color w:val="auto"/>
        </w:rPr>
        <w:fldChar w:fldCharType="end"/>
      </w:r>
      <w:r>
        <w:rPr>
          <w:color w:val="auto"/>
        </w:rPr>
        <w:t xml:space="preserve"> </w:t>
      </w:r>
      <w:r>
        <w:rPr>
          <w:rFonts w:hint="eastAsia"/>
          <w:color w:val="auto"/>
        </w:rPr>
        <w:t xml:space="preserve">  含碳酸钠废碱液</w:t>
      </w:r>
      <w:r>
        <w:rPr>
          <w:rStyle w:val="1062"/>
          <w:color w:val="auto"/>
        </w:rPr>
        <w:t>（</w:t>
      </w:r>
      <w:r>
        <w:rPr>
          <w:rStyle w:val="1062"/>
          <w:rFonts w:hint="eastAsia"/>
          <w:color w:val="auto"/>
          <w:lang w:val="en-US" w:eastAsia="zh-CN"/>
        </w:rPr>
        <w:t>略</w:t>
      </w:r>
      <w:r>
        <w:rPr>
          <w:rStyle w:val="1062"/>
          <w:color w:val="auto"/>
        </w:rPr>
        <w:t>）</w:t>
      </w:r>
    </w:p>
    <w:p w14:paraId="3452A572">
      <w:pPr>
        <w:pStyle w:val="1304"/>
        <w:rPr>
          <w:color w:val="auto"/>
        </w:rPr>
      </w:pPr>
    </w:p>
    <w:p w14:paraId="61A1C3A1">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5</w:t>
      </w:r>
      <w:r>
        <w:rPr>
          <w:color w:val="auto"/>
        </w:rPr>
        <w:fldChar w:fldCharType="end"/>
      </w:r>
      <w:r>
        <w:rPr>
          <w:color w:val="auto"/>
        </w:rPr>
        <w:t xml:space="preserve"> </w:t>
      </w:r>
      <w:r>
        <w:rPr>
          <w:rFonts w:hint="eastAsia"/>
          <w:color w:val="auto"/>
        </w:rPr>
        <w:t xml:space="preserve">  含硝酸铝废酸液</w:t>
      </w:r>
      <w:r>
        <w:rPr>
          <w:rStyle w:val="1062"/>
          <w:color w:val="auto"/>
        </w:rPr>
        <w:t>（</w:t>
      </w:r>
      <w:r>
        <w:rPr>
          <w:rStyle w:val="1062"/>
          <w:rFonts w:hint="eastAsia"/>
          <w:color w:val="auto"/>
          <w:lang w:val="en-US" w:eastAsia="zh-CN"/>
        </w:rPr>
        <w:t>略</w:t>
      </w:r>
      <w:r>
        <w:rPr>
          <w:rStyle w:val="1062"/>
          <w:color w:val="auto"/>
        </w:rPr>
        <w:t>）</w:t>
      </w:r>
    </w:p>
    <w:p w14:paraId="529B4516">
      <w:pPr>
        <w:rPr>
          <w:color w:val="auto"/>
          <w:szCs w:val="21"/>
        </w:rPr>
      </w:pPr>
    </w:p>
    <w:p w14:paraId="29B63542">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6</w:t>
      </w:r>
      <w:r>
        <w:rPr>
          <w:color w:val="auto"/>
        </w:rPr>
        <w:fldChar w:fldCharType="end"/>
      </w:r>
      <w:r>
        <w:rPr>
          <w:rFonts w:hint="eastAsia"/>
          <w:color w:val="auto"/>
        </w:rPr>
        <w:t xml:space="preserve">  含硫酸铝废酸液</w:t>
      </w:r>
      <w:r>
        <w:rPr>
          <w:rStyle w:val="1062"/>
          <w:color w:val="auto"/>
        </w:rPr>
        <w:t>（</w:t>
      </w:r>
      <w:r>
        <w:rPr>
          <w:rStyle w:val="1062"/>
          <w:rFonts w:hint="eastAsia"/>
          <w:color w:val="auto"/>
          <w:lang w:val="en-US" w:eastAsia="zh-CN"/>
        </w:rPr>
        <w:t>略</w:t>
      </w:r>
      <w:r>
        <w:rPr>
          <w:rStyle w:val="1062"/>
          <w:color w:val="auto"/>
        </w:rPr>
        <w:t>）</w:t>
      </w:r>
    </w:p>
    <w:p w14:paraId="1BD078CC">
      <w:pPr>
        <w:pStyle w:val="1304"/>
        <w:rPr>
          <w:color w:val="auto"/>
        </w:rPr>
      </w:pPr>
    </w:p>
    <w:p w14:paraId="11D4C580">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7</w:t>
      </w:r>
      <w:r>
        <w:rPr>
          <w:color w:val="auto"/>
        </w:rPr>
        <w:fldChar w:fldCharType="end"/>
      </w:r>
      <w:r>
        <w:rPr>
          <w:rFonts w:hint="eastAsia"/>
          <w:color w:val="auto"/>
        </w:rPr>
        <w:t xml:space="preserve"> </w:t>
      </w:r>
      <w:r>
        <w:rPr>
          <w:color w:val="auto"/>
        </w:rPr>
        <w:t>含磷酸二氢铝废酸液（</w:t>
      </w:r>
      <w:r>
        <w:rPr>
          <w:rStyle w:val="1062"/>
          <w:rFonts w:hint="eastAsia"/>
          <w:color w:val="auto"/>
          <w:lang w:val="en-US" w:eastAsia="zh-CN"/>
        </w:rPr>
        <w:t>略</w:t>
      </w:r>
      <w:r>
        <w:rPr>
          <w:color w:val="auto"/>
        </w:rPr>
        <w:t>）</w:t>
      </w:r>
    </w:p>
    <w:p w14:paraId="252E5DFB">
      <w:pPr>
        <w:pStyle w:val="1304"/>
        <w:rPr>
          <w:color w:val="auto"/>
        </w:rPr>
      </w:pPr>
    </w:p>
    <w:p w14:paraId="7ED83C93">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8</w:t>
      </w:r>
      <w:r>
        <w:rPr>
          <w:color w:val="auto"/>
        </w:rPr>
        <w:fldChar w:fldCharType="end"/>
      </w:r>
      <w:r>
        <w:rPr>
          <w:color w:val="auto"/>
        </w:rPr>
        <w:t xml:space="preserve"> </w:t>
      </w:r>
      <w:r>
        <w:rPr>
          <w:rFonts w:hint="eastAsia"/>
          <w:color w:val="auto"/>
        </w:rPr>
        <w:t xml:space="preserve">  </w:t>
      </w:r>
      <w:r>
        <w:rPr>
          <w:color w:val="auto"/>
        </w:rPr>
        <w:t>含氯化铝废酸液（</w:t>
      </w:r>
      <w:r>
        <w:rPr>
          <w:rStyle w:val="1062"/>
          <w:rFonts w:hint="eastAsia"/>
          <w:color w:val="auto"/>
          <w:lang w:val="en-US" w:eastAsia="zh-CN"/>
        </w:rPr>
        <w:t>略</w:t>
      </w:r>
      <w:r>
        <w:rPr>
          <w:color w:val="auto"/>
        </w:rPr>
        <w:t>）</w:t>
      </w:r>
    </w:p>
    <w:p w14:paraId="6F3C71E4">
      <w:pPr>
        <w:pStyle w:val="1304"/>
        <w:rPr>
          <w:color w:val="auto"/>
        </w:rPr>
      </w:pPr>
    </w:p>
    <w:p w14:paraId="7CEA3CE6">
      <w:pPr>
        <w:pStyle w:val="5"/>
        <w:rPr>
          <w:color w:val="auto"/>
        </w:rPr>
      </w:pPr>
      <w:r>
        <w:rPr>
          <w:rFonts w:hint="eastAsia"/>
          <w:color w:val="auto"/>
        </w:rPr>
        <w:t>催化剂生产规模</w:t>
      </w:r>
    </w:p>
    <w:p w14:paraId="412F342C">
      <w:pPr>
        <w:pStyle w:val="132"/>
        <w:rPr>
          <w:color w:val="auto"/>
        </w:rPr>
      </w:pPr>
      <w:r>
        <w:rPr>
          <w:rFonts w:hint="eastAsia"/>
          <w:color w:val="auto"/>
        </w:rPr>
        <w:t>利用危险废物资源化产生的拟薄水铝石，生产3种工业催化剂3000t/a，催化剂生产规模详见表3.1-9</w:t>
      </w:r>
      <w:r>
        <w:rPr>
          <w:color w:val="auto"/>
        </w:rPr>
        <w:t>。</w:t>
      </w:r>
    </w:p>
    <w:p w14:paraId="69481469">
      <w:pPr>
        <w:pStyle w:val="132"/>
        <w:rPr>
          <w:color w:val="auto"/>
        </w:rPr>
      </w:pPr>
    </w:p>
    <w:p w14:paraId="519D64C3">
      <w:pPr>
        <w:pStyle w:val="132"/>
        <w:rPr>
          <w:color w:val="auto"/>
        </w:rPr>
      </w:pPr>
    </w:p>
    <w:p w14:paraId="4AF1561F">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9</w:t>
      </w:r>
      <w:r>
        <w:rPr>
          <w:color w:val="auto"/>
        </w:rPr>
        <w:fldChar w:fldCharType="end"/>
      </w:r>
      <w:r>
        <w:rPr>
          <w:color w:val="auto"/>
        </w:rPr>
        <w:t xml:space="preserve"> </w:t>
      </w:r>
      <w:r>
        <w:rPr>
          <w:rFonts w:hint="eastAsia"/>
          <w:color w:val="auto"/>
        </w:rPr>
        <w:t xml:space="preserve">  催化剂生产规模</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3145"/>
        <w:gridCol w:w="3007"/>
        <w:gridCol w:w="2634"/>
      </w:tblGrid>
      <w:tr w14:paraId="6F46A26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90" w:type="pct"/>
            <w:vAlign w:val="center"/>
          </w:tcPr>
          <w:p w14:paraId="2781D0CF">
            <w:pPr>
              <w:pStyle w:val="129"/>
              <w:widowControl w:val="0"/>
              <w:rPr>
                <w:color w:val="auto"/>
              </w:rPr>
            </w:pPr>
            <w:r>
              <w:rPr>
                <w:rFonts w:hint="eastAsia"/>
                <w:color w:val="auto"/>
              </w:rPr>
              <w:t>催化剂类型</w:t>
            </w:r>
          </w:p>
        </w:tc>
        <w:tc>
          <w:tcPr>
            <w:tcW w:w="1711" w:type="pct"/>
            <w:vAlign w:val="center"/>
          </w:tcPr>
          <w:p w14:paraId="3A345E1B">
            <w:pPr>
              <w:pStyle w:val="129"/>
              <w:widowControl w:val="0"/>
              <w:rPr>
                <w:color w:val="auto"/>
              </w:rPr>
            </w:pPr>
            <w:r>
              <w:rPr>
                <w:rFonts w:hint="eastAsia"/>
                <w:color w:val="auto"/>
              </w:rPr>
              <w:t>生产能力（t/a）</w:t>
            </w:r>
          </w:p>
        </w:tc>
        <w:tc>
          <w:tcPr>
            <w:tcW w:w="1499" w:type="pct"/>
            <w:vAlign w:val="center"/>
          </w:tcPr>
          <w:p w14:paraId="060B0189">
            <w:pPr>
              <w:pStyle w:val="129"/>
              <w:widowControl w:val="0"/>
              <w:rPr>
                <w:color w:val="auto"/>
              </w:rPr>
            </w:pPr>
            <w:r>
              <w:rPr>
                <w:rFonts w:hint="eastAsia"/>
                <w:color w:val="auto"/>
              </w:rPr>
              <w:t>生产时长（h）</w:t>
            </w:r>
          </w:p>
        </w:tc>
      </w:tr>
      <w:tr w14:paraId="519731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90" w:type="pct"/>
            <w:vAlign w:val="center"/>
          </w:tcPr>
          <w:p w14:paraId="03D268F9">
            <w:pPr>
              <w:pStyle w:val="129"/>
              <w:widowControl w:val="0"/>
              <w:rPr>
                <w:color w:val="auto"/>
              </w:rPr>
            </w:pPr>
            <w:r>
              <w:rPr>
                <w:rFonts w:hint="eastAsia"/>
                <w:color w:val="auto"/>
              </w:rPr>
              <w:t>加氢催化剂</w:t>
            </w:r>
          </w:p>
        </w:tc>
        <w:tc>
          <w:tcPr>
            <w:tcW w:w="1711" w:type="pct"/>
            <w:vAlign w:val="center"/>
          </w:tcPr>
          <w:p w14:paraId="3A11DA9F">
            <w:pPr>
              <w:pStyle w:val="129"/>
              <w:widowControl w:val="0"/>
              <w:rPr>
                <w:color w:val="auto"/>
              </w:rPr>
            </w:pPr>
            <w:r>
              <w:rPr>
                <w:rFonts w:hint="eastAsia"/>
                <w:color w:val="auto"/>
              </w:rPr>
              <w:t>1500</w:t>
            </w:r>
          </w:p>
        </w:tc>
        <w:tc>
          <w:tcPr>
            <w:tcW w:w="1499" w:type="pct"/>
            <w:vAlign w:val="center"/>
          </w:tcPr>
          <w:p w14:paraId="59FCC826">
            <w:pPr>
              <w:pStyle w:val="129"/>
              <w:widowControl w:val="0"/>
              <w:rPr>
                <w:color w:val="auto"/>
              </w:rPr>
            </w:pPr>
            <w:r>
              <w:rPr>
                <w:rFonts w:hint="eastAsia"/>
                <w:color w:val="auto"/>
              </w:rPr>
              <w:t>4000</w:t>
            </w:r>
          </w:p>
        </w:tc>
      </w:tr>
      <w:tr w14:paraId="705040D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90" w:type="pct"/>
            <w:vAlign w:val="center"/>
          </w:tcPr>
          <w:p w14:paraId="30435703">
            <w:pPr>
              <w:pStyle w:val="129"/>
              <w:widowControl w:val="0"/>
              <w:rPr>
                <w:color w:val="auto"/>
              </w:rPr>
            </w:pPr>
            <w:r>
              <w:rPr>
                <w:rFonts w:hint="eastAsia"/>
                <w:color w:val="auto"/>
              </w:rPr>
              <w:t>脱硝催化剂</w:t>
            </w:r>
          </w:p>
        </w:tc>
        <w:tc>
          <w:tcPr>
            <w:tcW w:w="1711" w:type="pct"/>
            <w:vAlign w:val="center"/>
          </w:tcPr>
          <w:p w14:paraId="226DDA25">
            <w:pPr>
              <w:pStyle w:val="129"/>
              <w:widowControl w:val="0"/>
              <w:rPr>
                <w:color w:val="auto"/>
              </w:rPr>
            </w:pPr>
            <w:r>
              <w:rPr>
                <w:rFonts w:hint="eastAsia"/>
                <w:color w:val="auto"/>
              </w:rPr>
              <w:t>900</w:t>
            </w:r>
          </w:p>
        </w:tc>
        <w:tc>
          <w:tcPr>
            <w:tcW w:w="1499" w:type="pct"/>
            <w:vAlign w:val="center"/>
          </w:tcPr>
          <w:p w14:paraId="6B567EED">
            <w:pPr>
              <w:pStyle w:val="129"/>
              <w:widowControl w:val="0"/>
              <w:rPr>
                <w:color w:val="auto"/>
              </w:rPr>
            </w:pPr>
            <w:r>
              <w:rPr>
                <w:rFonts w:hint="eastAsia"/>
                <w:color w:val="auto"/>
              </w:rPr>
              <w:t>2400</w:t>
            </w:r>
          </w:p>
        </w:tc>
      </w:tr>
      <w:tr w14:paraId="764EAC2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90" w:type="pct"/>
            <w:vAlign w:val="center"/>
          </w:tcPr>
          <w:p w14:paraId="51D50E04">
            <w:pPr>
              <w:pStyle w:val="129"/>
              <w:widowControl w:val="0"/>
              <w:rPr>
                <w:color w:val="auto"/>
              </w:rPr>
            </w:pPr>
            <w:r>
              <w:rPr>
                <w:rFonts w:hint="eastAsia"/>
                <w:color w:val="auto"/>
              </w:rPr>
              <w:t>一氧化碳转换催化剂</w:t>
            </w:r>
          </w:p>
        </w:tc>
        <w:tc>
          <w:tcPr>
            <w:tcW w:w="1711" w:type="pct"/>
            <w:vAlign w:val="center"/>
          </w:tcPr>
          <w:p w14:paraId="75877E0D">
            <w:pPr>
              <w:pStyle w:val="129"/>
              <w:widowControl w:val="0"/>
              <w:rPr>
                <w:color w:val="auto"/>
              </w:rPr>
            </w:pPr>
            <w:r>
              <w:rPr>
                <w:rFonts w:hint="eastAsia"/>
                <w:color w:val="auto"/>
              </w:rPr>
              <w:t>600</w:t>
            </w:r>
          </w:p>
        </w:tc>
        <w:tc>
          <w:tcPr>
            <w:tcW w:w="1499" w:type="pct"/>
            <w:vAlign w:val="center"/>
          </w:tcPr>
          <w:p w14:paraId="69FBA751">
            <w:pPr>
              <w:pStyle w:val="129"/>
              <w:widowControl w:val="0"/>
              <w:rPr>
                <w:color w:val="auto"/>
              </w:rPr>
            </w:pPr>
            <w:r>
              <w:rPr>
                <w:rFonts w:hint="eastAsia"/>
                <w:color w:val="auto"/>
              </w:rPr>
              <w:t>1600</w:t>
            </w:r>
          </w:p>
        </w:tc>
      </w:tr>
      <w:tr w14:paraId="1BF79D2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90" w:type="pct"/>
            <w:vAlign w:val="center"/>
          </w:tcPr>
          <w:p w14:paraId="432F83A6">
            <w:pPr>
              <w:pStyle w:val="129"/>
              <w:widowControl w:val="0"/>
              <w:rPr>
                <w:color w:val="auto"/>
              </w:rPr>
            </w:pPr>
            <w:r>
              <w:rPr>
                <w:rFonts w:hint="eastAsia"/>
                <w:color w:val="auto"/>
              </w:rPr>
              <w:t>合计</w:t>
            </w:r>
          </w:p>
        </w:tc>
        <w:tc>
          <w:tcPr>
            <w:tcW w:w="1711" w:type="pct"/>
            <w:vAlign w:val="center"/>
          </w:tcPr>
          <w:p w14:paraId="10DA60BB">
            <w:pPr>
              <w:pStyle w:val="129"/>
              <w:widowControl w:val="0"/>
              <w:rPr>
                <w:color w:val="auto"/>
              </w:rPr>
            </w:pPr>
            <w:r>
              <w:rPr>
                <w:rFonts w:hint="eastAsia"/>
                <w:color w:val="auto"/>
              </w:rPr>
              <w:t>3000</w:t>
            </w:r>
          </w:p>
        </w:tc>
        <w:tc>
          <w:tcPr>
            <w:tcW w:w="1499" w:type="pct"/>
            <w:vAlign w:val="center"/>
          </w:tcPr>
          <w:p w14:paraId="24BDAF37">
            <w:pPr>
              <w:pStyle w:val="129"/>
              <w:widowControl w:val="0"/>
              <w:rPr>
                <w:color w:val="auto"/>
              </w:rPr>
            </w:pPr>
            <w:r>
              <w:rPr>
                <w:rFonts w:hint="eastAsia"/>
                <w:color w:val="auto"/>
              </w:rPr>
              <w:t>8000</w:t>
            </w:r>
          </w:p>
        </w:tc>
      </w:tr>
    </w:tbl>
    <w:p w14:paraId="0555E381">
      <w:pPr>
        <w:pStyle w:val="1304"/>
        <w:rPr>
          <w:color w:val="auto"/>
        </w:rPr>
      </w:pPr>
    </w:p>
    <w:p w14:paraId="4B056DA8">
      <w:pPr>
        <w:pStyle w:val="4"/>
        <w:rPr>
          <w:color w:val="auto"/>
        </w:rPr>
      </w:pPr>
      <w:r>
        <w:rPr>
          <w:rFonts w:hint="eastAsia"/>
          <w:color w:val="auto"/>
        </w:rPr>
        <w:t>项目工程组成</w:t>
      </w:r>
    </w:p>
    <w:p w14:paraId="2A4C9CCD">
      <w:pPr>
        <w:pStyle w:val="132"/>
        <w:rPr>
          <w:color w:val="auto"/>
        </w:rPr>
      </w:pPr>
      <w:r>
        <w:rPr>
          <w:rFonts w:hint="eastAsia"/>
          <w:color w:val="auto"/>
        </w:rPr>
        <w:t>本项目分为厂内工程和厂外工程两个部分，其中厂内工程包括：主体工程建设1个车间，进行危险废物处置和资源化利用，生产工业催化剂，同时建设与主体工程配套的储运工程、辅助工程、公用工程、环保工程等。</w:t>
      </w:r>
      <w:bookmarkStart w:id="185" w:name="_Hlk174442108"/>
      <w:r>
        <w:rPr>
          <w:rFonts w:hint="eastAsia"/>
          <w:color w:val="auto"/>
        </w:rPr>
        <w:t>工程组成详见表3.1-11，厂外工程主要为厂外管道，工程组成详见表3.1-12。</w:t>
      </w:r>
    </w:p>
    <w:bookmarkEnd w:id="185"/>
    <w:p w14:paraId="171FC073">
      <w:pPr>
        <w:pStyle w:val="1060"/>
        <w:rPr>
          <w:color w:val="auto"/>
        </w:rPr>
      </w:pPr>
      <w:bookmarkStart w:id="186" w:name="_Hlk173836507"/>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10</w:t>
      </w:r>
      <w:r>
        <w:rPr>
          <w:color w:val="auto"/>
        </w:rPr>
        <w:fldChar w:fldCharType="end"/>
      </w:r>
      <w:r>
        <w:rPr>
          <w:rFonts w:hint="eastAsia"/>
          <w:color w:val="auto"/>
        </w:rPr>
        <w:t xml:space="preserve">  工程组成及主要建设工程内容一览表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626"/>
        <w:gridCol w:w="1014"/>
        <w:gridCol w:w="924"/>
        <w:gridCol w:w="1430"/>
        <w:gridCol w:w="1000"/>
        <w:gridCol w:w="2146"/>
        <w:gridCol w:w="715"/>
        <w:gridCol w:w="931"/>
      </w:tblGrid>
      <w:tr w14:paraId="1BBC0E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blHeader/>
        </w:trPr>
        <w:tc>
          <w:tcPr>
            <w:tcW w:w="356" w:type="pct"/>
            <w:vAlign w:val="center"/>
          </w:tcPr>
          <w:p w14:paraId="3826BAA5">
            <w:pPr>
              <w:pStyle w:val="129"/>
              <w:widowControl w:val="0"/>
              <w:rPr>
                <w:color w:val="auto"/>
              </w:rPr>
            </w:pPr>
            <w:r>
              <w:rPr>
                <w:color w:val="auto"/>
              </w:rPr>
              <w:t>工程</w:t>
            </w:r>
          </w:p>
        </w:tc>
        <w:tc>
          <w:tcPr>
            <w:tcW w:w="577" w:type="pct"/>
            <w:vAlign w:val="center"/>
          </w:tcPr>
          <w:p w14:paraId="40D30EA1">
            <w:pPr>
              <w:pStyle w:val="129"/>
              <w:widowControl w:val="0"/>
              <w:rPr>
                <w:color w:val="auto"/>
              </w:rPr>
            </w:pPr>
            <w:r>
              <w:rPr>
                <w:color w:val="auto"/>
              </w:rPr>
              <w:t>项目组成</w:t>
            </w:r>
          </w:p>
        </w:tc>
        <w:tc>
          <w:tcPr>
            <w:tcW w:w="4067" w:type="pct"/>
            <w:gridSpan w:val="6"/>
            <w:vAlign w:val="center"/>
          </w:tcPr>
          <w:p w14:paraId="7BE50349">
            <w:pPr>
              <w:pStyle w:val="129"/>
              <w:widowControl w:val="0"/>
              <w:rPr>
                <w:color w:val="auto"/>
              </w:rPr>
            </w:pPr>
            <w:r>
              <w:rPr>
                <w:color w:val="auto"/>
              </w:rPr>
              <w:t>主要工程内容</w:t>
            </w:r>
          </w:p>
        </w:tc>
      </w:tr>
      <w:tr w14:paraId="25FF45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restart"/>
            <w:vAlign w:val="center"/>
          </w:tcPr>
          <w:p w14:paraId="188C69DB">
            <w:pPr>
              <w:pStyle w:val="129"/>
              <w:widowControl w:val="0"/>
              <w:rPr>
                <w:color w:val="auto"/>
              </w:rPr>
            </w:pPr>
            <w:bookmarkStart w:id="187" w:name="_Hlk226628279"/>
            <w:r>
              <w:rPr>
                <w:color w:val="auto"/>
              </w:rPr>
              <w:t>主体工程</w:t>
            </w:r>
          </w:p>
        </w:tc>
        <w:tc>
          <w:tcPr>
            <w:tcW w:w="577" w:type="pct"/>
            <w:vMerge w:val="restart"/>
            <w:vAlign w:val="center"/>
          </w:tcPr>
          <w:p w14:paraId="5DC5A9F5">
            <w:pPr>
              <w:pStyle w:val="129"/>
              <w:widowControl w:val="0"/>
              <w:rPr>
                <w:color w:val="auto"/>
              </w:rPr>
            </w:pPr>
            <w:r>
              <w:rPr>
                <w:color w:val="auto"/>
              </w:rPr>
              <w:t>危险废物处置</w:t>
            </w:r>
          </w:p>
        </w:tc>
        <w:tc>
          <w:tcPr>
            <w:tcW w:w="526" w:type="pct"/>
            <w:vAlign w:val="center"/>
          </w:tcPr>
          <w:p w14:paraId="03160D13">
            <w:pPr>
              <w:pStyle w:val="129"/>
              <w:widowControl w:val="0"/>
              <w:snapToGrid w:val="0"/>
              <w:rPr>
                <w:color w:val="auto"/>
              </w:rPr>
            </w:pPr>
            <w:r>
              <w:rPr>
                <w:rFonts w:hint="eastAsia"/>
                <w:color w:val="auto"/>
              </w:rPr>
              <w:t>车间</w:t>
            </w:r>
          </w:p>
        </w:tc>
        <w:tc>
          <w:tcPr>
            <w:tcW w:w="3541" w:type="pct"/>
            <w:gridSpan w:val="5"/>
            <w:vAlign w:val="center"/>
          </w:tcPr>
          <w:p w14:paraId="0000490E">
            <w:pPr>
              <w:pStyle w:val="129"/>
              <w:widowControl w:val="0"/>
              <w:snapToGrid w:val="0"/>
              <w:rPr>
                <w:color w:val="auto"/>
              </w:rPr>
            </w:pPr>
            <w:r>
              <w:rPr>
                <w:rFonts w:hint="eastAsia"/>
                <w:color w:val="auto"/>
              </w:rPr>
              <w:t>建设内容</w:t>
            </w:r>
          </w:p>
        </w:tc>
      </w:tr>
      <w:bookmarkEnd w:id="187"/>
      <w:tr w14:paraId="4948BA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4D1CFEAC">
            <w:pPr>
              <w:pStyle w:val="129"/>
              <w:widowControl w:val="0"/>
              <w:rPr>
                <w:color w:val="auto"/>
              </w:rPr>
            </w:pPr>
          </w:p>
        </w:tc>
        <w:tc>
          <w:tcPr>
            <w:tcW w:w="577" w:type="pct"/>
            <w:vMerge w:val="continue"/>
            <w:vAlign w:val="center"/>
          </w:tcPr>
          <w:p w14:paraId="6C62F98A">
            <w:pPr>
              <w:pStyle w:val="129"/>
              <w:widowControl w:val="0"/>
              <w:rPr>
                <w:color w:val="auto"/>
              </w:rPr>
            </w:pPr>
          </w:p>
        </w:tc>
        <w:tc>
          <w:tcPr>
            <w:tcW w:w="526" w:type="pct"/>
            <w:vMerge w:val="restart"/>
            <w:vAlign w:val="center"/>
          </w:tcPr>
          <w:p w14:paraId="2C0C1E9E">
            <w:pPr>
              <w:pStyle w:val="129"/>
              <w:widowControl w:val="0"/>
              <w:snapToGrid w:val="0"/>
              <w:rPr>
                <w:color w:val="auto"/>
              </w:rPr>
            </w:pPr>
            <w:r>
              <w:rPr>
                <w:rFonts w:hint="eastAsia"/>
                <w:color w:val="auto"/>
              </w:rPr>
              <w:t>建设9900m</w:t>
            </w:r>
            <w:r>
              <w:rPr>
                <w:rFonts w:hint="eastAsia"/>
                <w:color w:val="auto"/>
                <w:vertAlign w:val="superscript"/>
              </w:rPr>
              <w:t>2</w:t>
            </w:r>
            <w:r>
              <w:rPr>
                <w:rFonts w:hint="eastAsia"/>
                <w:color w:val="auto"/>
              </w:rPr>
              <w:t>车间1座，内设4套废酸、废碱液处理装置，2条生产线</w:t>
            </w:r>
          </w:p>
        </w:tc>
        <w:tc>
          <w:tcPr>
            <w:tcW w:w="3541" w:type="pct"/>
            <w:gridSpan w:val="5"/>
            <w:vAlign w:val="center"/>
          </w:tcPr>
          <w:p w14:paraId="67FF540F">
            <w:pPr>
              <w:pStyle w:val="129"/>
              <w:widowControl w:val="0"/>
              <w:snapToGrid w:val="0"/>
              <w:rPr>
                <w:color w:val="auto"/>
              </w:rPr>
            </w:pPr>
            <w:r>
              <w:rPr>
                <w:rFonts w:hint="eastAsia"/>
                <w:color w:val="auto"/>
              </w:rPr>
              <w:t>建设含</w:t>
            </w:r>
            <w:r>
              <w:rPr>
                <w:color w:val="auto"/>
              </w:rPr>
              <w:t>硝酸铝废酸液处理</w:t>
            </w:r>
            <w:r>
              <w:rPr>
                <w:rFonts w:hint="eastAsia"/>
                <w:color w:val="auto"/>
              </w:rPr>
              <w:t>装置1套，主要包括中和、真空压滤、蒸发结晶、复配等工序</w:t>
            </w:r>
          </w:p>
        </w:tc>
      </w:tr>
      <w:tr w14:paraId="2DFDEF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061F5F82">
            <w:pPr>
              <w:pStyle w:val="129"/>
              <w:widowControl w:val="0"/>
              <w:rPr>
                <w:color w:val="auto"/>
              </w:rPr>
            </w:pPr>
          </w:p>
        </w:tc>
        <w:tc>
          <w:tcPr>
            <w:tcW w:w="577" w:type="pct"/>
            <w:vMerge w:val="continue"/>
            <w:vAlign w:val="center"/>
          </w:tcPr>
          <w:p w14:paraId="7C9FC1A9">
            <w:pPr>
              <w:pStyle w:val="129"/>
              <w:widowControl w:val="0"/>
              <w:rPr>
                <w:color w:val="auto"/>
              </w:rPr>
            </w:pPr>
          </w:p>
        </w:tc>
        <w:tc>
          <w:tcPr>
            <w:tcW w:w="526" w:type="pct"/>
            <w:vMerge w:val="continue"/>
            <w:vAlign w:val="center"/>
          </w:tcPr>
          <w:p w14:paraId="17D55C85">
            <w:pPr>
              <w:pStyle w:val="129"/>
              <w:widowControl w:val="0"/>
              <w:snapToGrid w:val="0"/>
              <w:rPr>
                <w:color w:val="auto"/>
              </w:rPr>
            </w:pPr>
            <w:bookmarkStart w:id="188" w:name="OLE_LINK45"/>
          </w:p>
          <w:bookmarkEnd w:id="188"/>
        </w:tc>
        <w:tc>
          <w:tcPr>
            <w:tcW w:w="3541" w:type="pct"/>
            <w:gridSpan w:val="5"/>
            <w:vAlign w:val="center"/>
          </w:tcPr>
          <w:p w14:paraId="6F4B11FC">
            <w:pPr>
              <w:pStyle w:val="129"/>
              <w:widowControl w:val="0"/>
              <w:snapToGrid w:val="0"/>
              <w:rPr>
                <w:color w:val="auto"/>
              </w:rPr>
            </w:pPr>
            <w:r>
              <w:rPr>
                <w:rFonts w:hint="eastAsia"/>
                <w:color w:val="auto"/>
              </w:rPr>
              <w:t>建设含磷酸二氢铝废酸液处理装置1套，主要包括树脂吸附、离子再生等工序</w:t>
            </w:r>
          </w:p>
        </w:tc>
      </w:tr>
      <w:tr w14:paraId="711180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01CD6A4B">
            <w:pPr>
              <w:pStyle w:val="129"/>
              <w:widowControl w:val="0"/>
              <w:rPr>
                <w:color w:val="auto"/>
              </w:rPr>
            </w:pPr>
          </w:p>
        </w:tc>
        <w:tc>
          <w:tcPr>
            <w:tcW w:w="577" w:type="pct"/>
            <w:vMerge w:val="continue"/>
            <w:vAlign w:val="center"/>
          </w:tcPr>
          <w:p w14:paraId="407363A9">
            <w:pPr>
              <w:pStyle w:val="129"/>
              <w:widowControl w:val="0"/>
              <w:rPr>
                <w:color w:val="auto"/>
              </w:rPr>
            </w:pPr>
          </w:p>
        </w:tc>
        <w:tc>
          <w:tcPr>
            <w:tcW w:w="526" w:type="pct"/>
            <w:vMerge w:val="continue"/>
            <w:vAlign w:val="center"/>
          </w:tcPr>
          <w:p w14:paraId="25C32EE1">
            <w:pPr>
              <w:pStyle w:val="129"/>
              <w:widowControl w:val="0"/>
              <w:snapToGrid w:val="0"/>
              <w:rPr>
                <w:color w:val="auto"/>
              </w:rPr>
            </w:pPr>
            <w:bookmarkStart w:id="189" w:name="OLE_LINK46"/>
          </w:p>
          <w:bookmarkEnd w:id="189"/>
        </w:tc>
        <w:tc>
          <w:tcPr>
            <w:tcW w:w="3541" w:type="pct"/>
            <w:gridSpan w:val="5"/>
            <w:vAlign w:val="center"/>
          </w:tcPr>
          <w:p w14:paraId="4BEA281B">
            <w:pPr>
              <w:pStyle w:val="129"/>
              <w:widowControl w:val="0"/>
              <w:snapToGrid w:val="0"/>
              <w:rPr>
                <w:color w:val="auto"/>
              </w:rPr>
            </w:pPr>
            <w:bookmarkStart w:id="190" w:name="OLE_LINK47"/>
            <w:r>
              <w:rPr>
                <w:rFonts w:hint="eastAsia"/>
                <w:color w:val="auto"/>
              </w:rPr>
              <w:t>建设含硫酸铝、氯化铝废酸液处理装置1套，主要包括混合反应、冷冻结晶、纳滤、氢氧化铝生成、压滤、蒸发浓缩、干燥等</w:t>
            </w:r>
            <w:bookmarkEnd w:id="190"/>
            <w:r>
              <w:rPr>
                <w:rFonts w:hint="eastAsia"/>
                <w:color w:val="auto"/>
              </w:rPr>
              <w:t>工序</w:t>
            </w:r>
          </w:p>
        </w:tc>
      </w:tr>
      <w:tr w14:paraId="2501550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47854A00">
            <w:pPr>
              <w:pStyle w:val="129"/>
              <w:widowControl w:val="0"/>
              <w:rPr>
                <w:color w:val="auto"/>
              </w:rPr>
            </w:pPr>
          </w:p>
        </w:tc>
        <w:tc>
          <w:tcPr>
            <w:tcW w:w="577" w:type="pct"/>
            <w:vMerge w:val="continue"/>
            <w:vAlign w:val="center"/>
          </w:tcPr>
          <w:p w14:paraId="5F74AC67">
            <w:pPr>
              <w:pStyle w:val="129"/>
              <w:widowControl w:val="0"/>
              <w:rPr>
                <w:color w:val="auto"/>
              </w:rPr>
            </w:pPr>
          </w:p>
        </w:tc>
        <w:tc>
          <w:tcPr>
            <w:tcW w:w="526" w:type="pct"/>
            <w:vMerge w:val="continue"/>
            <w:vAlign w:val="center"/>
          </w:tcPr>
          <w:p w14:paraId="1A06D36C">
            <w:pPr>
              <w:pStyle w:val="129"/>
              <w:widowControl w:val="0"/>
              <w:snapToGrid w:val="0"/>
              <w:rPr>
                <w:color w:val="auto"/>
              </w:rPr>
            </w:pPr>
          </w:p>
        </w:tc>
        <w:tc>
          <w:tcPr>
            <w:tcW w:w="3541" w:type="pct"/>
            <w:gridSpan w:val="5"/>
            <w:vAlign w:val="center"/>
          </w:tcPr>
          <w:p w14:paraId="12E98E35">
            <w:pPr>
              <w:pStyle w:val="129"/>
              <w:widowControl w:val="0"/>
              <w:snapToGrid w:val="0"/>
              <w:rPr>
                <w:color w:val="auto"/>
              </w:rPr>
            </w:pPr>
            <w:bookmarkStart w:id="191" w:name="OLE_LINK48"/>
            <w:r>
              <w:rPr>
                <w:rFonts w:hint="eastAsia"/>
                <w:color w:val="auto"/>
              </w:rPr>
              <w:t>建设含偏铝酸钠废碱液、碳酸钠废碱液处理装置1套，主要包括鼓泡反应、压滤、结晶浓缩、干燥等工序</w:t>
            </w:r>
            <w:bookmarkEnd w:id="191"/>
          </w:p>
        </w:tc>
      </w:tr>
      <w:tr w14:paraId="30F344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3F27DC36">
            <w:pPr>
              <w:pStyle w:val="129"/>
              <w:widowControl w:val="0"/>
              <w:rPr>
                <w:color w:val="auto"/>
              </w:rPr>
            </w:pPr>
          </w:p>
        </w:tc>
        <w:tc>
          <w:tcPr>
            <w:tcW w:w="577" w:type="pct"/>
            <w:vMerge w:val="continue"/>
            <w:vAlign w:val="center"/>
          </w:tcPr>
          <w:p w14:paraId="7737E851">
            <w:pPr>
              <w:pStyle w:val="129"/>
              <w:widowControl w:val="0"/>
              <w:rPr>
                <w:color w:val="auto"/>
              </w:rPr>
            </w:pPr>
          </w:p>
        </w:tc>
        <w:tc>
          <w:tcPr>
            <w:tcW w:w="526" w:type="pct"/>
            <w:vMerge w:val="continue"/>
            <w:vAlign w:val="center"/>
          </w:tcPr>
          <w:p w14:paraId="36D8706D">
            <w:pPr>
              <w:pStyle w:val="129"/>
              <w:widowControl w:val="0"/>
              <w:snapToGrid w:val="0"/>
              <w:rPr>
                <w:color w:val="auto"/>
              </w:rPr>
            </w:pPr>
          </w:p>
        </w:tc>
        <w:tc>
          <w:tcPr>
            <w:tcW w:w="3541" w:type="pct"/>
            <w:gridSpan w:val="5"/>
            <w:vAlign w:val="center"/>
          </w:tcPr>
          <w:p w14:paraId="285DC8F6">
            <w:pPr>
              <w:pStyle w:val="129"/>
              <w:widowControl w:val="0"/>
              <w:snapToGrid w:val="0"/>
              <w:rPr>
                <w:color w:val="auto"/>
              </w:rPr>
            </w:pPr>
            <w:r>
              <w:rPr>
                <w:rFonts w:hint="eastAsia"/>
                <w:color w:val="auto"/>
              </w:rPr>
              <w:t>建设拟薄水铝石生产线1条，主要包括硫酸铝生成、偏铝酸钠生成、熟化、压滤、MVR蒸发浓缩、干燥、电渗析等工序</w:t>
            </w:r>
          </w:p>
        </w:tc>
      </w:tr>
      <w:tr w14:paraId="7B67C2D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7F8A949C">
            <w:pPr>
              <w:pStyle w:val="129"/>
              <w:widowControl w:val="0"/>
              <w:rPr>
                <w:color w:val="auto"/>
                <w:lang w:val="zh-CN"/>
              </w:rPr>
            </w:pPr>
          </w:p>
        </w:tc>
        <w:tc>
          <w:tcPr>
            <w:tcW w:w="577" w:type="pct"/>
            <w:vAlign w:val="center"/>
          </w:tcPr>
          <w:p w14:paraId="02741BF6">
            <w:pPr>
              <w:pStyle w:val="129"/>
              <w:widowControl w:val="0"/>
              <w:rPr>
                <w:color w:val="auto"/>
              </w:rPr>
            </w:pPr>
            <w:r>
              <w:rPr>
                <w:rFonts w:hint="eastAsia"/>
                <w:color w:val="auto"/>
              </w:rPr>
              <w:t>催化剂生产</w:t>
            </w:r>
          </w:p>
        </w:tc>
        <w:tc>
          <w:tcPr>
            <w:tcW w:w="526" w:type="pct"/>
            <w:vMerge w:val="continue"/>
            <w:vAlign w:val="center"/>
          </w:tcPr>
          <w:p w14:paraId="3B616670">
            <w:pPr>
              <w:pStyle w:val="129"/>
              <w:widowControl w:val="0"/>
              <w:rPr>
                <w:color w:val="auto"/>
              </w:rPr>
            </w:pPr>
          </w:p>
        </w:tc>
        <w:tc>
          <w:tcPr>
            <w:tcW w:w="3541" w:type="pct"/>
            <w:gridSpan w:val="5"/>
            <w:vAlign w:val="center"/>
          </w:tcPr>
          <w:p w14:paraId="22A3A7C4">
            <w:pPr>
              <w:pStyle w:val="129"/>
              <w:widowControl w:val="0"/>
              <w:rPr>
                <w:color w:val="auto"/>
              </w:rPr>
            </w:pPr>
            <w:r>
              <w:rPr>
                <w:rFonts w:hint="eastAsia"/>
                <w:color w:val="auto"/>
              </w:rPr>
              <w:t>建设3000t/a催化剂生产线1条，主要包括载体制备（载体混合液制备、挤压成型、烘干、焙烧）和催化剂制备（浸渍、烘干、焙烧）等生产工序。</w:t>
            </w:r>
          </w:p>
        </w:tc>
      </w:tr>
      <w:tr w14:paraId="31B7A24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restart"/>
            <w:vAlign w:val="center"/>
          </w:tcPr>
          <w:p w14:paraId="56AAE4F5">
            <w:pPr>
              <w:pStyle w:val="129"/>
              <w:widowControl w:val="0"/>
              <w:rPr>
                <w:color w:val="auto"/>
                <w:lang w:val="zh-CN"/>
              </w:rPr>
            </w:pPr>
            <w:r>
              <w:rPr>
                <w:rFonts w:hint="eastAsia"/>
                <w:color w:val="auto"/>
                <w:lang w:val="zh-CN"/>
              </w:rPr>
              <w:t>辅助工程</w:t>
            </w:r>
          </w:p>
        </w:tc>
        <w:tc>
          <w:tcPr>
            <w:tcW w:w="577" w:type="pct"/>
            <w:vAlign w:val="center"/>
          </w:tcPr>
          <w:p w14:paraId="751E7B05">
            <w:pPr>
              <w:pStyle w:val="129"/>
              <w:widowControl w:val="0"/>
              <w:rPr>
                <w:color w:val="auto"/>
              </w:rPr>
            </w:pPr>
            <w:r>
              <w:rPr>
                <w:rFonts w:hint="eastAsia"/>
                <w:color w:val="auto"/>
              </w:rPr>
              <w:t>厂内管线</w:t>
            </w:r>
          </w:p>
        </w:tc>
        <w:tc>
          <w:tcPr>
            <w:tcW w:w="4067" w:type="pct"/>
            <w:gridSpan w:val="6"/>
            <w:vAlign w:val="center"/>
          </w:tcPr>
          <w:p w14:paraId="2D625DDD">
            <w:pPr>
              <w:pStyle w:val="129"/>
              <w:widowControl w:val="0"/>
              <w:rPr>
                <w:color w:val="auto"/>
              </w:rPr>
            </w:pPr>
            <w:r>
              <w:rPr>
                <w:rFonts w:hint="eastAsia"/>
                <w:color w:val="auto"/>
              </w:rPr>
              <w:t>建设厂内物料输送管线</w:t>
            </w:r>
          </w:p>
        </w:tc>
      </w:tr>
      <w:tr w14:paraId="2F351DA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6CD86F94">
            <w:pPr>
              <w:pStyle w:val="129"/>
              <w:widowControl w:val="0"/>
              <w:rPr>
                <w:color w:val="auto"/>
                <w:lang w:val="zh-CN"/>
              </w:rPr>
            </w:pPr>
          </w:p>
        </w:tc>
        <w:tc>
          <w:tcPr>
            <w:tcW w:w="577" w:type="pct"/>
            <w:vAlign w:val="center"/>
          </w:tcPr>
          <w:p w14:paraId="463D640C">
            <w:pPr>
              <w:pStyle w:val="129"/>
              <w:widowControl w:val="0"/>
              <w:rPr>
                <w:color w:val="auto"/>
              </w:rPr>
            </w:pPr>
            <w:r>
              <w:rPr>
                <w:rFonts w:hint="eastAsia"/>
                <w:color w:val="auto"/>
              </w:rPr>
              <w:t>办公楼</w:t>
            </w:r>
          </w:p>
        </w:tc>
        <w:tc>
          <w:tcPr>
            <w:tcW w:w="4067" w:type="pct"/>
            <w:gridSpan w:val="6"/>
            <w:vAlign w:val="center"/>
          </w:tcPr>
          <w:p w14:paraId="3C33EDC3">
            <w:pPr>
              <w:pStyle w:val="129"/>
              <w:widowControl w:val="0"/>
              <w:rPr>
                <w:color w:val="auto"/>
              </w:rPr>
            </w:pPr>
            <w:r>
              <w:rPr>
                <w:rFonts w:hint="eastAsia"/>
                <w:color w:val="auto"/>
              </w:rPr>
              <w:t>建设692m</w:t>
            </w:r>
            <w:r>
              <w:rPr>
                <w:rFonts w:hint="eastAsia"/>
                <w:color w:val="auto"/>
                <w:vertAlign w:val="superscript"/>
              </w:rPr>
              <w:t>2</w:t>
            </w:r>
            <w:r>
              <w:rPr>
                <w:rFonts w:hint="eastAsia"/>
                <w:color w:val="auto"/>
              </w:rPr>
              <w:t>办公楼1座</w:t>
            </w:r>
          </w:p>
        </w:tc>
      </w:tr>
      <w:tr w14:paraId="5492A7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restart"/>
            <w:vAlign w:val="center"/>
          </w:tcPr>
          <w:p w14:paraId="23BFFC12">
            <w:pPr>
              <w:pStyle w:val="129"/>
              <w:widowControl w:val="0"/>
              <w:rPr>
                <w:color w:val="auto"/>
              </w:rPr>
            </w:pPr>
            <w:r>
              <w:rPr>
                <w:rFonts w:hint="eastAsia"/>
                <w:color w:val="auto"/>
              </w:rPr>
              <w:t>公用工程</w:t>
            </w:r>
          </w:p>
        </w:tc>
        <w:tc>
          <w:tcPr>
            <w:tcW w:w="577" w:type="pct"/>
            <w:vAlign w:val="center"/>
          </w:tcPr>
          <w:p w14:paraId="1735F4F1">
            <w:pPr>
              <w:pStyle w:val="129"/>
              <w:widowControl w:val="0"/>
              <w:rPr>
                <w:color w:val="auto"/>
                <w:lang w:val="zh-CN"/>
              </w:rPr>
            </w:pPr>
            <w:r>
              <w:rPr>
                <w:rFonts w:hint="eastAsia"/>
                <w:color w:val="auto"/>
                <w:sz w:val="20"/>
              </w:rPr>
              <w:t>给水</w:t>
            </w:r>
          </w:p>
        </w:tc>
        <w:tc>
          <w:tcPr>
            <w:tcW w:w="4067" w:type="pct"/>
            <w:gridSpan w:val="6"/>
            <w:vAlign w:val="center"/>
          </w:tcPr>
          <w:p w14:paraId="0C027016">
            <w:pPr>
              <w:pStyle w:val="129"/>
              <w:widowControl w:val="0"/>
              <w:rPr>
                <w:color w:val="auto"/>
              </w:rPr>
            </w:pPr>
            <w:r>
              <w:rPr>
                <w:color w:val="auto"/>
                <w:sz w:val="20"/>
              </w:rPr>
              <w:t>新鲜水用水由工业园区给水管网供给，厂区内给水主要包括生产生活给水</w:t>
            </w:r>
            <w:r>
              <w:rPr>
                <w:rFonts w:hint="eastAsia"/>
                <w:color w:val="auto"/>
                <w:sz w:val="20"/>
              </w:rPr>
              <w:t>系统</w:t>
            </w:r>
            <w:r>
              <w:rPr>
                <w:color w:val="auto"/>
                <w:sz w:val="20"/>
              </w:rPr>
              <w:t>、循环冷却水</w:t>
            </w:r>
            <w:r>
              <w:rPr>
                <w:rFonts w:hint="eastAsia"/>
                <w:color w:val="auto"/>
                <w:sz w:val="20"/>
              </w:rPr>
              <w:t>系统</w:t>
            </w:r>
            <w:r>
              <w:rPr>
                <w:color w:val="auto"/>
                <w:sz w:val="20"/>
              </w:rPr>
              <w:t>、消防给水</w:t>
            </w:r>
            <w:r>
              <w:rPr>
                <w:rFonts w:hint="eastAsia"/>
                <w:color w:val="auto"/>
                <w:sz w:val="20"/>
              </w:rPr>
              <w:t>系统</w:t>
            </w:r>
          </w:p>
        </w:tc>
      </w:tr>
      <w:tr w14:paraId="70F830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193A4D97">
            <w:pPr>
              <w:pStyle w:val="129"/>
              <w:widowControl w:val="0"/>
              <w:rPr>
                <w:color w:val="auto"/>
              </w:rPr>
            </w:pPr>
          </w:p>
        </w:tc>
        <w:tc>
          <w:tcPr>
            <w:tcW w:w="577" w:type="pct"/>
            <w:vAlign w:val="center"/>
          </w:tcPr>
          <w:p w14:paraId="6CBF4F5A">
            <w:pPr>
              <w:pStyle w:val="129"/>
              <w:widowControl w:val="0"/>
              <w:rPr>
                <w:color w:val="auto"/>
              </w:rPr>
            </w:pPr>
            <w:r>
              <w:rPr>
                <w:rFonts w:hint="eastAsia"/>
                <w:color w:val="auto"/>
                <w:sz w:val="20"/>
              </w:rPr>
              <w:t>循环水</w:t>
            </w:r>
          </w:p>
        </w:tc>
        <w:tc>
          <w:tcPr>
            <w:tcW w:w="4067" w:type="pct"/>
            <w:gridSpan w:val="6"/>
            <w:vAlign w:val="center"/>
          </w:tcPr>
          <w:p w14:paraId="02542410">
            <w:pPr>
              <w:pStyle w:val="129"/>
              <w:widowControl w:val="0"/>
              <w:rPr>
                <w:color w:val="auto"/>
              </w:rPr>
            </w:pPr>
            <w:r>
              <w:rPr>
                <w:rFonts w:hint="eastAsia"/>
                <w:color w:val="auto"/>
                <w:sz w:val="20"/>
              </w:rPr>
              <w:t>全厂循环水总量正常7100m</w:t>
            </w:r>
            <w:r>
              <w:rPr>
                <w:rFonts w:hint="eastAsia"/>
                <w:color w:val="auto"/>
                <w:sz w:val="20"/>
                <w:vertAlign w:val="superscript"/>
              </w:rPr>
              <w:t>3</w:t>
            </w:r>
            <w:r>
              <w:rPr>
                <w:rFonts w:hint="eastAsia"/>
                <w:color w:val="auto"/>
                <w:sz w:val="20"/>
              </w:rPr>
              <w:t>/h，采用闭式循环水系统</w:t>
            </w:r>
          </w:p>
        </w:tc>
      </w:tr>
      <w:tr w14:paraId="510B074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7C727B9B">
            <w:pPr>
              <w:pStyle w:val="129"/>
              <w:widowControl w:val="0"/>
              <w:rPr>
                <w:color w:val="auto"/>
              </w:rPr>
            </w:pPr>
          </w:p>
        </w:tc>
        <w:tc>
          <w:tcPr>
            <w:tcW w:w="577" w:type="pct"/>
            <w:vAlign w:val="center"/>
          </w:tcPr>
          <w:p w14:paraId="4EFCDC06">
            <w:pPr>
              <w:pStyle w:val="129"/>
              <w:widowControl w:val="0"/>
              <w:rPr>
                <w:color w:val="auto"/>
              </w:rPr>
            </w:pPr>
            <w:r>
              <w:rPr>
                <w:rFonts w:hint="eastAsia"/>
                <w:color w:val="auto"/>
                <w:sz w:val="20"/>
              </w:rPr>
              <w:t>排水</w:t>
            </w:r>
          </w:p>
        </w:tc>
        <w:tc>
          <w:tcPr>
            <w:tcW w:w="4067" w:type="pct"/>
            <w:gridSpan w:val="6"/>
            <w:vAlign w:val="center"/>
          </w:tcPr>
          <w:p w14:paraId="5591AF9D">
            <w:pPr>
              <w:pStyle w:val="129"/>
              <w:widowControl w:val="0"/>
              <w:rPr>
                <w:color w:val="auto"/>
              </w:rPr>
            </w:pPr>
            <w:r>
              <w:rPr>
                <w:rFonts w:hint="eastAsia"/>
                <w:color w:val="auto"/>
                <w:sz w:val="20"/>
              </w:rPr>
              <w:t>全厂排水系统按清污分流原则，包括生产废水系统、生活污水系统、雨水系统、事故水系统</w:t>
            </w:r>
          </w:p>
        </w:tc>
      </w:tr>
      <w:tr w14:paraId="531E6D3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2F23288E">
            <w:pPr>
              <w:pStyle w:val="129"/>
              <w:widowControl w:val="0"/>
              <w:rPr>
                <w:color w:val="auto"/>
              </w:rPr>
            </w:pPr>
          </w:p>
        </w:tc>
        <w:tc>
          <w:tcPr>
            <w:tcW w:w="577" w:type="pct"/>
            <w:vAlign w:val="center"/>
          </w:tcPr>
          <w:p w14:paraId="72D7896E">
            <w:pPr>
              <w:pStyle w:val="129"/>
              <w:widowControl w:val="0"/>
              <w:rPr>
                <w:color w:val="auto"/>
              </w:rPr>
            </w:pPr>
            <w:r>
              <w:rPr>
                <w:rFonts w:hint="eastAsia"/>
                <w:color w:val="auto"/>
              </w:rPr>
              <w:t>供电</w:t>
            </w:r>
          </w:p>
        </w:tc>
        <w:tc>
          <w:tcPr>
            <w:tcW w:w="4067" w:type="pct"/>
            <w:gridSpan w:val="6"/>
            <w:vAlign w:val="center"/>
          </w:tcPr>
          <w:p w14:paraId="51C0237E">
            <w:pPr>
              <w:pStyle w:val="129"/>
              <w:widowControl w:val="0"/>
              <w:rPr>
                <w:color w:val="auto"/>
              </w:rPr>
            </w:pPr>
            <w:r>
              <w:rPr>
                <w:rFonts w:hint="eastAsia"/>
                <w:color w:val="auto"/>
              </w:rPr>
              <w:t>采用2路10kV供电，10kV电源由园区电网提供，总装机负荷约10744.96kW</w:t>
            </w:r>
            <w:r>
              <w:rPr>
                <w:color w:val="auto"/>
              </w:rPr>
              <w:t xml:space="preserve"> </w:t>
            </w:r>
            <w:r>
              <w:rPr>
                <w:rFonts w:hint="eastAsia"/>
                <w:color w:val="auto"/>
              </w:rPr>
              <w:t>。项目设10kV配电室负责向附近高、低压用电设备及照明供电</w:t>
            </w:r>
          </w:p>
        </w:tc>
      </w:tr>
      <w:tr w14:paraId="393079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5150CC05">
            <w:pPr>
              <w:pStyle w:val="129"/>
              <w:widowControl w:val="0"/>
              <w:rPr>
                <w:color w:val="auto"/>
              </w:rPr>
            </w:pPr>
          </w:p>
        </w:tc>
        <w:tc>
          <w:tcPr>
            <w:tcW w:w="577" w:type="pct"/>
            <w:vAlign w:val="center"/>
          </w:tcPr>
          <w:p w14:paraId="23AFAB05">
            <w:pPr>
              <w:pStyle w:val="129"/>
              <w:widowControl w:val="0"/>
              <w:rPr>
                <w:color w:val="auto"/>
              </w:rPr>
            </w:pPr>
            <w:r>
              <w:rPr>
                <w:rFonts w:hint="eastAsia"/>
                <w:color w:val="auto"/>
              </w:rPr>
              <w:t>供汽/供热</w:t>
            </w:r>
          </w:p>
        </w:tc>
        <w:tc>
          <w:tcPr>
            <w:tcW w:w="4067" w:type="pct"/>
            <w:gridSpan w:val="6"/>
            <w:vAlign w:val="center"/>
          </w:tcPr>
          <w:p w14:paraId="25409212">
            <w:pPr>
              <w:pStyle w:val="129"/>
              <w:widowControl w:val="0"/>
              <w:rPr>
                <w:color w:val="auto"/>
              </w:rPr>
            </w:pPr>
            <w:r>
              <w:rPr>
                <w:rFonts w:hint="eastAsia"/>
                <w:color w:val="auto"/>
              </w:rPr>
              <w:t>项目生产用汽由兖矿新疆煤化工有限公司提供，项目建设2台8t/h天然气燃气蒸汽锅炉作为备用锅炉，在蒸汽不能正常外供时使用。</w:t>
            </w:r>
          </w:p>
        </w:tc>
      </w:tr>
      <w:tr w14:paraId="6659AFB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13AA8B17">
            <w:pPr>
              <w:pStyle w:val="129"/>
              <w:widowControl w:val="0"/>
              <w:rPr>
                <w:color w:val="auto"/>
              </w:rPr>
            </w:pPr>
          </w:p>
        </w:tc>
        <w:tc>
          <w:tcPr>
            <w:tcW w:w="577" w:type="pct"/>
            <w:vAlign w:val="center"/>
          </w:tcPr>
          <w:p w14:paraId="10A6BE76">
            <w:pPr>
              <w:pStyle w:val="129"/>
              <w:widowControl w:val="0"/>
              <w:rPr>
                <w:color w:val="auto"/>
              </w:rPr>
            </w:pPr>
            <w:r>
              <w:rPr>
                <w:rFonts w:hint="eastAsia"/>
                <w:color w:val="auto"/>
              </w:rPr>
              <w:t>采暖、通风</w:t>
            </w:r>
          </w:p>
        </w:tc>
        <w:tc>
          <w:tcPr>
            <w:tcW w:w="4067" w:type="pct"/>
            <w:gridSpan w:val="6"/>
            <w:vAlign w:val="center"/>
          </w:tcPr>
          <w:p w14:paraId="67E564D2">
            <w:pPr>
              <w:pStyle w:val="129"/>
              <w:widowControl w:val="0"/>
              <w:rPr>
                <w:color w:val="auto"/>
              </w:rPr>
            </w:pPr>
            <w:r>
              <w:rPr>
                <w:rFonts w:hint="eastAsia"/>
                <w:color w:val="auto"/>
              </w:rPr>
              <w:t>本项目采用兖矿新疆煤化工有限公司提供的蒸汽进行采暖和生活用热，</w:t>
            </w:r>
            <w:r>
              <w:rPr>
                <w:color w:val="auto"/>
              </w:rPr>
              <w:t>各建筑物设置值班室、操作室等有人长期停留的区域和有温度要求的房间设置供暖系统</w:t>
            </w:r>
          </w:p>
        </w:tc>
      </w:tr>
      <w:tr w14:paraId="7E67E5D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19B7011C">
            <w:pPr>
              <w:pStyle w:val="129"/>
              <w:widowControl w:val="0"/>
              <w:rPr>
                <w:color w:val="auto"/>
              </w:rPr>
            </w:pPr>
          </w:p>
        </w:tc>
        <w:tc>
          <w:tcPr>
            <w:tcW w:w="577" w:type="pct"/>
            <w:vAlign w:val="center"/>
          </w:tcPr>
          <w:p w14:paraId="1CB24BCB">
            <w:pPr>
              <w:pStyle w:val="129"/>
              <w:widowControl w:val="0"/>
              <w:rPr>
                <w:color w:val="auto"/>
              </w:rPr>
            </w:pPr>
            <w:r>
              <w:rPr>
                <w:rFonts w:hint="eastAsia"/>
                <w:color w:val="auto"/>
              </w:rPr>
              <w:t>电信</w:t>
            </w:r>
          </w:p>
        </w:tc>
        <w:tc>
          <w:tcPr>
            <w:tcW w:w="4067" w:type="pct"/>
            <w:gridSpan w:val="6"/>
            <w:vAlign w:val="center"/>
          </w:tcPr>
          <w:p w14:paraId="7F125C32">
            <w:pPr>
              <w:pStyle w:val="129"/>
              <w:widowControl w:val="0"/>
              <w:rPr>
                <w:color w:val="auto"/>
              </w:rPr>
            </w:pPr>
            <w:r>
              <w:rPr>
                <w:rFonts w:hint="eastAsia"/>
                <w:color w:val="auto"/>
              </w:rPr>
              <w:t>建设电话及计算机网络、火灾自动报警系统、扩音对讲系统、工业电视监控系统</w:t>
            </w:r>
          </w:p>
        </w:tc>
      </w:tr>
      <w:tr w14:paraId="50974D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restart"/>
            <w:vAlign w:val="center"/>
          </w:tcPr>
          <w:p w14:paraId="72EA71A7">
            <w:pPr>
              <w:pStyle w:val="129"/>
              <w:widowControl w:val="0"/>
              <w:rPr>
                <w:color w:val="auto"/>
              </w:rPr>
            </w:pPr>
            <w:r>
              <w:rPr>
                <w:rFonts w:hint="eastAsia"/>
                <w:color w:val="auto"/>
              </w:rPr>
              <w:t>环保工程</w:t>
            </w:r>
          </w:p>
        </w:tc>
        <w:tc>
          <w:tcPr>
            <w:tcW w:w="577" w:type="pct"/>
            <w:vMerge w:val="restart"/>
            <w:vAlign w:val="center"/>
          </w:tcPr>
          <w:p w14:paraId="27170530">
            <w:pPr>
              <w:pStyle w:val="129"/>
              <w:widowControl w:val="0"/>
              <w:rPr>
                <w:color w:val="auto"/>
              </w:rPr>
            </w:pPr>
            <w:r>
              <w:rPr>
                <w:rFonts w:hint="eastAsia"/>
                <w:color w:val="auto"/>
              </w:rPr>
              <w:t>废气处理设施</w:t>
            </w:r>
          </w:p>
        </w:tc>
        <w:tc>
          <w:tcPr>
            <w:tcW w:w="526" w:type="pct"/>
            <w:vMerge w:val="restart"/>
            <w:vAlign w:val="center"/>
          </w:tcPr>
          <w:p w14:paraId="392EBD1B">
            <w:pPr>
              <w:pStyle w:val="129"/>
              <w:widowControl w:val="0"/>
              <w:rPr>
                <w:color w:val="auto"/>
              </w:rPr>
            </w:pPr>
            <w:r>
              <w:rPr>
                <w:rFonts w:hint="eastAsia"/>
                <w:color w:val="auto"/>
              </w:rPr>
              <w:t>危险废物处置</w:t>
            </w:r>
          </w:p>
        </w:tc>
        <w:tc>
          <w:tcPr>
            <w:tcW w:w="1383" w:type="pct"/>
            <w:gridSpan w:val="2"/>
            <w:vAlign w:val="center"/>
          </w:tcPr>
          <w:p w14:paraId="51199743">
            <w:pPr>
              <w:pStyle w:val="129"/>
              <w:widowControl w:val="0"/>
              <w:rPr>
                <w:color w:val="auto"/>
              </w:rPr>
            </w:pPr>
            <w:r>
              <w:rPr>
                <w:rFonts w:hint="eastAsia"/>
                <w:color w:val="auto"/>
              </w:rPr>
              <w:t>氨水使用过程中含氨废气及蒸发不凝气</w:t>
            </w:r>
          </w:p>
          <w:p w14:paraId="5DCCD91A">
            <w:pPr>
              <w:pStyle w:val="129"/>
              <w:widowControl w:val="0"/>
              <w:rPr>
                <w:color w:val="auto"/>
              </w:rPr>
            </w:pPr>
            <w:r>
              <w:rPr>
                <w:rFonts w:hint="eastAsia"/>
                <w:color w:val="auto"/>
              </w:rPr>
              <w:t>（</w:t>
            </w:r>
            <w:r>
              <w:rPr>
                <w:color w:val="auto"/>
              </w:rPr>
              <w:t>G</w:t>
            </w:r>
            <w:r>
              <w:rPr>
                <w:color w:val="auto"/>
                <w:vertAlign w:val="subscript"/>
              </w:rPr>
              <w:t>1</w:t>
            </w:r>
            <w:r>
              <w:rPr>
                <w:rFonts w:hint="eastAsia"/>
                <w:color w:val="auto"/>
                <w:vertAlign w:val="superscript"/>
              </w:rPr>
              <w:t>①</w:t>
            </w:r>
            <w:r>
              <w:rPr>
                <w:rFonts w:hint="eastAsia"/>
                <w:color w:val="auto"/>
              </w:rPr>
              <w:t>～</w:t>
            </w:r>
            <w:r>
              <w:rPr>
                <w:color w:val="auto"/>
              </w:rPr>
              <w:t>G</w:t>
            </w:r>
            <w:r>
              <w:rPr>
                <w:color w:val="auto"/>
                <w:vertAlign w:val="subscript"/>
              </w:rPr>
              <w:t>1</w:t>
            </w:r>
            <w:r>
              <w:rPr>
                <w:rFonts w:hint="eastAsia"/>
                <w:color w:val="auto"/>
                <w:vertAlign w:val="superscript"/>
              </w:rPr>
              <w:t>⑦</w:t>
            </w:r>
            <w:r>
              <w:rPr>
                <w:rFonts w:hint="eastAsia"/>
                <w:color w:val="auto"/>
              </w:rPr>
              <w:t>）</w:t>
            </w:r>
          </w:p>
        </w:tc>
        <w:tc>
          <w:tcPr>
            <w:tcW w:w="1221" w:type="pct"/>
            <w:vAlign w:val="center"/>
          </w:tcPr>
          <w:p w14:paraId="16B1ACA4">
            <w:pPr>
              <w:pStyle w:val="129"/>
              <w:widowControl w:val="0"/>
              <w:rPr>
                <w:color w:val="auto"/>
              </w:rPr>
            </w:pPr>
            <w:r>
              <w:rPr>
                <w:rFonts w:hint="eastAsia"/>
                <w:color w:val="auto"/>
              </w:rPr>
              <w:t>水吸收</w:t>
            </w:r>
          </w:p>
        </w:tc>
        <w:tc>
          <w:tcPr>
            <w:tcW w:w="937" w:type="pct"/>
            <w:gridSpan w:val="2"/>
            <w:vAlign w:val="center"/>
          </w:tcPr>
          <w:p w14:paraId="3938BC29">
            <w:pPr>
              <w:pStyle w:val="129"/>
              <w:widowControl w:val="0"/>
              <w:rPr>
                <w:color w:val="auto"/>
              </w:rPr>
            </w:pPr>
            <w:r>
              <w:rPr>
                <w:rFonts w:hint="eastAsia"/>
                <w:color w:val="auto"/>
              </w:rPr>
              <w:t>通过</w:t>
            </w:r>
            <w:r>
              <w:rPr>
                <w:color w:val="auto"/>
              </w:rPr>
              <w:t>DA001</w:t>
            </w:r>
            <w:r>
              <w:rPr>
                <w:rFonts w:hint="eastAsia"/>
                <w:color w:val="auto"/>
              </w:rPr>
              <w:t>排口排放</w:t>
            </w:r>
          </w:p>
        </w:tc>
      </w:tr>
      <w:tr w14:paraId="0FCCAAD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578AFAED">
            <w:pPr>
              <w:pStyle w:val="129"/>
              <w:widowControl w:val="0"/>
              <w:rPr>
                <w:color w:val="auto"/>
              </w:rPr>
            </w:pPr>
          </w:p>
        </w:tc>
        <w:tc>
          <w:tcPr>
            <w:tcW w:w="577" w:type="pct"/>
            <w:vMerge w:val="continue"/>
            <w:vAlign w:val="center"/>
          </w:tcPr>
          <w:p w14:paraId="09C92839">
            <w:pPr>
              <w:pStyle w:val="129"/>
              <w:widowControl w:val="0"/>
              <w:rPr>
                <w:color w:val="auto"/>
              </w:rPr>
            </w:pPr>
          </w:p>
        </w:tc>
        <w:tc>
          <w:tcPr>
            <w:tcW w:w="526" w:type="pct"/>
            <w:vMerge w:val="continue"/>
            <w:vAlign w:val="center"/>
          </w:tcPr>
          <w:p w14:paraId="0518C92F">
            <w:pPr>
              <w:pStyle w:val="129"/>
              <w:widowControl w:val="0"/>
              <w:rPr>
                <w:color w:val="auto"/>
              </w:rPr>
            </w:pPr>
          </w:p>
        </w:tc>
        <w:tc>
          <w:tcPr>
            <w:tcW w:w="1383" w:type="pct"/>
            <w:gridSpan w:val="2"/>
            <w:vAlign w:val="center"/>
          </w:tcPr>
          <w:p w14:paraId="22EAC593">
            <w:pPr>
              <w:pStyle w:val="129"/>
              <w:widowControl w:val="0"/>
              <w:rPr>
                <w:color w:val="auto"/>
              </w:rPr>
            </w:pPr>
            <w:r>
              <w:rPr>
                <w:rFonts w:hint="eastAsia"/>
                <w:color w:val="auto"/>
              </w:rPr>
              <w:t>硫酸铵干燥废气（</w:t>
            </w:r>
            <w:r>
              <w:rPr>
                <w:color w:val="auto"/>
              </w:rPr>
              <w:t>G</w:t>
            </w:r>
            <w:r>
              <w:rPr>
                <w:color w:val="auto"/>
                <w:vertAlign w:val="subscript"/>
              </w:rPr>
              <w:t>2</w:t>
            </w:r>
            <w:r>
              <w:rPr>
                <w:rFonts w:hint="eastAsia"/>
                <w:color w:val="auto"/>
              </w:rPr>
              <w:t>）</w:t>
            </w:r>
          </w:p>
        </w:tc>
        <w:tc>
          <w:tcPr>
            <w:tcW w:w="1221" w:type="pct"/>
            <w:vAlign w:val="center"/>
          </w:tcPr>
          <w:p w14:paraId="23AA6668">
            <w:pPr>
              <w:pStyle w:val="129"/>
              <w:widowControl w:val="0"/>
              <w:rPr>
                <w:color w:val="auto"/>
              </w:rPr>
            </w:pPr>
            <w:r>
              <w:rPr>
                <w:rFonts w:hint="eastAsia"/>
                <w:color w:val="auto"/>
              </w:rPr>
              <w:t>布袋除尘器</w:t>
            </w:r>
          </w:p>
        </w:tc>
        <w:tc>
          <w:tcPr>
            <w:tcW w:w="937" w:type="pct"/>
            <w:gridSpan w:val="2"/>
            <w:vMerge w:val="restart"/>
            <w:vAlign w:val="center"/>
          </w:tcPr>
          <w:p w14:paraId="5B275AA1">
            <w:pPr>
              <w:pStyle w:val="129"/>
              <w:widowControl w:val="0"/>
              <w:rPr>
                <w:color w:val="auto"/>
              </w:rPr>
            </w:pPr>
            <w:r>
              <w:rPr>
                <w:rFonts w:hint="eastAsia"/>
                <w:color w:val="auto"/>
              </w:rPr>
              <w:t>汇合通过</w:t>
            </w:r>
            <w:r>
              <w:rPr>
                <w:color w:val="auto"/>
              </w:rPr>
              <w:t>DA00</w:t>
            </w:r>
            <w:r>
              <w:rPr>
                <w:rFonts w:hint="eastAsia"/>
                <w:color w:val="auto"/>
              </w:rPr>
              <w:t>2排口排放</w:t>
            </w:r>
          </w:p>
        </w:tc>
      </w:tr>
      <w:tr w14:paraId="0FB479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39C266C6">
            <w:pPr>
              <w:pStyle w:val="129"/>
              <w:widowControl w:val="0"/>
              <w:rPr>
                <w:color w:val="auto"/>
              </w:rPr>
            </w:pPr>
          </w:p>
        </w:tc>
        <w:tc>
          <w:tcPr>
            <w:tcW w:w="577" w:type="pct"/>
            <w:vMerge w:val="continue"/>
            <w:vAlign w:val="center"/>
          </w:tcPr>
          <w:p w14:paraId="71ED9903">
            <w:pPr>
              <w:pStyle w:val="129"/>
              <w:widowControl w:val="0"/>
              <w:rPr>
                <w:color w:val="auto"/>
              </w:rPr>
            </w:pPr>
          </w:p>
        </w:tc>
        <w:tc>
          <w:tcPr>
            <w:tcW w:w="526" w:type="pct"/>
            <w:vMerge w:val="continue"/>
            <w:vAlign w:val="center"/>
          </w:tcPr>
          <w:p w14:paraId="4313F530">
            <w:pPr>
              <w:pStyle w:val="129"/>
              <w:widowControl w:val="0"/>
              <w:rPr>
                <w:color w:val="auto"/>
              </w:rPr>
            </w:pPr>
          </w:p>
        </w:tc>
        <w:tc>
          <w:tcPr>
            <w:tcW w:w="1383" w:type="pct"/>
            <w:gridSpan w:val="2"/>
            <w:vAlign w:val="center"/>
          </w:tcPr>
          <w:p w14:paraId="6FB1F7E5">
            <w:pPr>
              <w:pStyle w:val="129"/>
              <w:widowControl w:val="0"/>
              <w:rPr>
                <w:color w:val="auto"/>
              </w:rPr>
            </w:pPr>
            <w:r>
              <w:rPr>
                <w:rFonts w:hint="eastAsia"/>
                <w:color w:val="auto"/>
              </w:rPr>
              <w:t>硫酸铵包装废气（</w:t>
            </w:r>
            <w:r>
              <w:rPr>
                <w:color w:val="auto"/>
              </w:rPr>
              <w:t>G</w:t>
            </w:r>
            <w:r>
              <w:rPr>
                <w:color w:val="auto"/>
                <w:vertAlign w:val="subscript"/>
              </w:rPr>
              <w:t>3</w:t>
            </w:r>
            <w:r>
              <w:rPr>
                <w:rFonts w:hint="eastAsia"/>
                <w:color w:val="auto"/>
              </w:rPr>
              <w:t>）</w:t>
            </w:r>
          </w:p>
        </w:tc>
        <w:tc>
          <w:tcPr>
            <w:tcW w:w="1221" w:type="pct"/>
            <w:vAlign w:val="center"/>
          </w:tcPr>
          <w:p w14:paraId="197FF4A5">
            <w:pPr>
              <w:pStyle w:val="129"/>
              <w:widowControl w:val="0"/>
              <w:rPr>
                <w:color w:val="auto"/>
              </w:rPr>
            </w:pPr>
            <w:r>
              <w:rPr>
                <w:rFonts w:hint="eastAsia"/>
                <w:color w:val="auto"/>
              </w:rPr>
              <w:t>布袋除尘器</w:t>
            </w:r>
          </w:p>
        </w:tc>
        <w:tc>
          <w:tcPr>
            <w:tcW w:w="937" w:type="pct"/>
            <w:gridSpan w:val="2"/>
            <w:vMerge w:val="continue"/>
            <w:vAlign w:val="center"/>
          </w:tcPr>
          <w:p w14:paraId="5CD91982">
            <w:pPr>
              <w:pStyle w:val="129"/>
              <w:widowControl w:val="0"/>
              <w:rPr>
                <w:color w:val="auto"/>
              </w:rPr>
            </w:pPr>
          </w:p>
        </w:tc>
      </w:tr>
      <w:tr w14:paraId="3537AC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19A8E514">
            <w:pPr>
              <w:pStyle w:val="129"/>
              <w:widowControl w:val="0"/>
              <w:rPr>
                <w:color w:val="auto"/>
              </w:rPr>
            </w:pPr>
          </w:p>
        </w:tc>
        <w:tc>
          <w:tcPr>
            <w:tcW w:w="577" w:type="pct"/>
            <w:vMerge w:val="continue"/>
            <w:vAlign w:val="center"/>
          </w:tcPr>
          <w:p w14:paraId="7F690096">
            <w:pPr>
              <w:pStyle w:val="129"/>
              <w:widowControl w:val="0"/>
              <w:rPr>
                <w:color w:val="auto"/>
              </w:rPr>
            </w:pPr>
          </w:p>
        </w:tc>
        <w:tc>
          <w:tcPr>
            <w:tcW w:w="526" w:type="pct"/>
            <w:vMerge w:val="continue"/>
            <w:vAlign w:val="center"/>
          </w:tcPr>
          <w:p w14:paraId="7A486FE7">
            <w:pPr>
              <w:pStyle w:val="129"/>
              <w:widowControl w:val="0"/>
              <w:rPr>
                <w:color w:val="auto"/>
              </w:rPr>
            </w:pPr>
          </w:p>
        </w:tc>
        <w:tc>
          <w:tcPr>
            <w:tcW w:w="1383" w:type="pct"/>
            <w:gridSpan w:val="2"/>
            <w:vAlign w:val="center"/>
          </w:tcPr>
          <w:p w14:paraId="47F9E309">
            <w:pPr>
              <w:pStyle w:val="129"/>
              <w:widowControl w:val="0"/>
              <w:rPr>
                <w:color w:val="auto"/>
              </w:rPr>
            </w:pPr>
            <w:r>
              <w:rPr>
                <w:rFonts w:hint="eastAsia"/>
                <w:color w:val="auto"/>
              </w:rPr>
              <w:t>二氧化碳气（</w:t>
            </w:r>
            <w:r>
              <w:rPr>
                <w:color w:val="auto"/>
              </w:rPr>
              <w:t>G</w:t>
            </w:r>
            <w:r>
              <w:rPr>
                <w:color w:val="auto"/>
                <w:vertAlign w:val="subscript"/>
              </w:rPr>
              <w:t>4</w:t>
            </w:r>
            <w:r>
              <w:rPr>
                <w:rFonts w:hint="eastAsia"/>
                <w:color w:val="auto"/>
                <w:vertAlign w:val="superscript"/>
              </w:rPr>
              <w:t>①</w:t>
            </w:r>
            <w:r>
              <w:rPr>
                <w:rFonts w:hint="eastAsia"/>
                <w:color w:val="auto"/>
              </w:rPr>
              <w:t>、G</w:t>
            </w:r>
            <w:r>
              <w:rPr>
                <w:rFonts w:hint="eastAsia"/>
                <w:color w:val="auto"/>
                <w:vertAlign w:val="subscript"/>
              </w:rPr>
              <w:t>4</w:t>
            </w:r>
            <w:r>
              <w:rPr>
                <w:rFonts w:hint="eastAsia"/>
                <w:color w:val="auto"/>
                <w:vertAlign w:val="superscript"/>
              </w:rPr>
              <w:t>②</w:t>
            </w:r>
            <w:r>
              <w:rPr>
                <w:rFonts w:hint="eastAsia"/>
                <w:color w:val="auto"/>
              </w:rPr>
              <w:t>）</w:t>
            </w:r>
          </w:p>
        </w:tc>
        <w:tc>
          <w:tcPr>
            <w:tcW w:w="1221" w:type="pct"/>
            <w:vAlign w:val="center"/>
          </w:tcPr>
          <w:p w14:paraId="58879C52">
            <w:pPr>
              <w:pStyle w:val="129"/>
              <w:widowControl w:val="0"/>
              <w:rPr>
                <w:color w:val="auto"/>
              </w:rPr>
            </w:pPr>
            <w:r>
              <w:rPr>
                <w:rFonts w:hint="eastAsia"/>
                <w:color w:val="auto"/>
              </w:rPr>
              <w:t>/</w:t>
            </w:r>
          </w:p>
        </w:tc>
        <w:tc>
          <w:tcPr>
            <w:tcW w:w="937" w:type="pct"/>
            <w:gridSpan w:val="2"/>
            <w:vAlign w:val="center"/>
          </w:tcPr>
          <w:p w14:paraId="6584DDA3">
            <w:pPr>
              <w:pStyle w:val="129"/>
              <w:widowControl w:val="0"/>
              <w:rPr>
                <w:color w:val="auto"/>
              </w:rPr>
            </w:pPr>
            <w:r>
              <w:rPr>
                <w:rFonts w:hint="eastAsia"/>
                <w:color w:val="auto"/>
              </w:rPr>
              <w:t>通过</w:t>
            </w:r>
            <w:r>
              <w:rPr>
                <w:color w:val="auto"/>
              </w:rPr>
              <w:t>DA00</w:t>
            </w:r>
            <w:r>
              <w:rPr>
                <w:rFonts w:hint="eastAsia"/>
                <w:color w:val="auto"/>
              </w:rPr>
              <w:t>3排口排放</w:t>
            </w:r>
          </w:p>
        </w:tc>
      </w:tr>
      <w:tr w14:paraId="4F960C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33F3C8D7">
            <w:pPr>
              <w:pStyle w:val="129"/>
              <w:widowControl w:val="0"/>
              <w:rPr>
                <w:color w:val="auto"/>
              </w:rPr>
            </w:pPr>
          </w:p>
        </w:tc>
        <w:tc>
          <w:tcPr>
            <w:tcW w:w="577" w:type="pct"/>
            <w:vMerge w:val="continue"/>
            <w:vAlign w:val="center"/>
          </w:tcPr>
          <w:p w14:paraId="2A6CA7AA">
            <w:pPr>
              <w:pStyle w:val="129"/>
              <w:widowControl w:val="0"/>
              <w:rPr>
                <w:color w:val="auto"/>
              </w:rPr>
            </w:pPr>
          </w:p>
        </w:tc>
        <w:tc>
          <w:tcPr>
            <w:tcW w:w="526" w:type="pct"/>
            <w:vMerge w:val="continue"/>
            <w:vAlign w:val="center"/>
          </w:tcPr>
          <w:p w14:paraId="2568EA25">
            <w:pPr>
              <w:pStyle w:val="129"/>
              <w:widowControl w:val="0"/>
              <w:rPr>
                <w:color w:val="auto"/>
              </w:rPr>
            </w:pPr>
          </w:p>
        </w:tc>
        <w:tc>
          <w:tcPr>
            <w:tcW w:w="1383" w:type="pct"/>
            <w:gridSpan w:val="2"/>
            <w:vAlign w:val="center"/>
          </w:tcPr>
          <w:p w14:paraId="44EB488F">
            <w:pPr>
              <w:pStyle w:val="129"/>
              <w:widowControl w:val="0"/>
              <w:rPr>
                <w:color w:val="auto"/>
              </w:rPr>
            </w:pPr>
            <w:r>
              <w:rPr>
                <w:rFonts w:hint="eastAsia"/>
                <w:color w:val="auto"/>
              </w:rPr>
              <w:t>碳酸钠干燥废气（</w:t>
            </w:r>
            <w:r>
              <w:rPr>
                <w:color w:val="auto"/>
              </w:rPr>
              <w:t>G</w:t>
            </w:r>
            <w:r>
              <w:rPr>
                <w:rFonts w:hint="eastAsia"/>
                <w:color w:val="auto"/>
                <w:vertAlign w:val="subscript"/>
              </w:rPr>
              <w:t>5</w:t>
            </w:r>
            <w:r>
              <w:rPr>
                <w:rFonts w:hint="eastAsia"/>
                <w:color w:val="auto"/>
              </w:rPr>
              <w:t>）</w:t>
            </w:r>
          </w:p>
        </w:tc>
        <w:tc>
          <w:tcPr>
            <w:tcW w:w="1221" w:type="pct"/>
            <w:vAlign w:val="center"/>
          </w:tcPr>
          <w:p w14:paraId="114B7BDB">
            <w:pPr>
              <w:pStyle w:val="129"/>
              <w:widowControl w:val="0"/>
              <w:rPr>
                <w:color w:val="auto"/>
              </w:rPr>
            </w:pPr>
            <w:r>
              <w:rPr>
                <w:rFonts w:hint="eastAsia"/>
                <w:color w:val="auto"/>
              </w:rPr>
              <w:t>布袋除尘器</w:t>
            </w:r>
          </w:p>
        </w:tc>
        <w:tc>
          <w:tcPr>
            <w:tcW w:w="937" w:type="pct"/>
            <w:gridSpan w:val="2"/>
            <w:vMerge w:val="restart"/>
            <w:vAlign w:val="center"/>
          </w:tcPr>
          <w:p w14:paraId="17DB353C">
            <w:pPr>
              <w:pStyle w:val="129"/>
              <w:widowControl w:val="0"/>
              <w:rPr>
                <w:color w:val="auto"/>
              </w:rPr>
            </w:pPr>
            <w:r>
              <w:rPr>
                <w:rFonts w:hint="eastAsia"/>
                <w:color w:val="auto"/>
              </w:rPr>
              <w:t>汇合通过</w:t>
            </w:r>
            <w:r>
              <w:rPr>
                <w:color w:val="auto"/>
              </w:rPr>
              <w:t>DA00</w:t>
            </w:r>
            <w:r>
              <w:rPr>
                <w:rFonts w:hint="eastAsia"/>
                <w:color w:val="auto"/>
              </w:rPr>
              <w:t>4排口排放</w:t>
            </w:r>
          </w:p>
        </w:tc>
      </w:tr>
      <w:tr w14:paraId="16BD72D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4A78AB31">
            <w:pPr>
              <w:pStyle w:val="129"/>
              <w:widowControl w:val="0"/>
              <w:rPr>
                <w:color w:val="auto"/>
              </w:rPr>
            </w:pPr>
          </w:p>
        </w:tc>
        <w:tc>
          <w:tcPr>
            <w:tcW w:w="577" w:type="pct"/>
            <w:vMerge w:val="continue"/>
            <w:vAlign w:val="center"/>
          </w:tcPr>
          <w:p w14:paraId="124C4B06">
            <w:pPr>
              <w:pStyle w:val="129"/>
              <w:widowControl w:val="0"/>
              <w:rPr>
                <w:color w:val="auto"/>
              </w:rPr>
            </w:pPr>
          </w:p>
        </w:tc>
        <w:tc>
          <w:tcPr>
            <w:tcW w:w="526" w:type="pct"/>
            <w:vMerge w:val="continue"/>
            <w:vAlign w:val="center"/>
          </w:tcPr>
          <w:p w14:paraId="13E6DEF4">
            <w:pPr>
              <w:pStyle w:val="129"/>
              <w:widowControl w:val="0"/>
              <w:rPr>
                <w:color w:val="auto"/>
              </w:rPr>
            </w:pPr>
          </w:p>
        </w:tc>
        <w:tc>
          <w:tcPr>
            <w:tcW w:w="1383" w:type="pct"/>
            <w:gridSpan w:val="2"/>
            <w:vAlign w:val="center"/>
          </w:tcPr>
          <w:p w14:paraId="1B03EBD8">
            <w:pPr>
              <w:pStyle w:val="129"/>
              <w:widowControl w:val="0"/>
              <w:rPr>
                <w:color w:val="auto"/>
              </w:rPr>
            </w:pPr>
            <w:r>
              <w:rPr>
                <w:rFonts w:hint="eastAsia"/>
                <w:color w:val="auto"/>
              </w:rPr>
              <w:t>碳酸钠包装废气（</w:t>
            </w:r>
            <w:r>
              <w:rPr>
                <w:color w:val="auto"/>
              </w:rPr>
              <w:t>G</w:t>
            </w:r>
            <w:r>
              <w:rPr>
                <w:rFonts w:hint="eastAsia"/>
                <w:color w:val="auto"/>
                <w:vertAlign w:val="subscript"/>
              </w:rPr>
              <w:t>6</w:t>
            </w:r>
            <w:r>
              <w:rPr>
                <w:rFonts w:hint="eastAsia"/>
                <w:color w:val="auto"/>
              </w:rPr>
              <w:t>）</w:t>
            </w:r>
          </w:p>
        </w:tc>
        <w:tc>
          <w:tcPr>
            <w:tcW w:w="1221" w:type="pct"/>
            <w:vAlign w:val="center"/>
          </w:tcPr>
          <w:p w14:paraId="007B6F9A">
            <w:pPr>
              <w:pStyle w:val="129"/>
              <w:widowControl w:val="0"/>
              <w:rPr>
                <w:color w:val="auto"/>
              </w:rPr>
            </w:pPr>
            <w:r>
              <w:rPr>
                <w:rFonts w:hint="eastAsia"/>
                <w:color w:val="auto"/>
              </w:rPr>
              <w:t>布袋除尘器</w:t>
            </w:r>
          </w:p>
        </w:tc>
        <w:tc>
          <w:tcPr>
            <w:tcW w:w="937" w:type="pct"/>
            <w:gridSpan w:val="2"/>
            <w:vMerge w:val="continue"/>
            <w:vAlign w:val="center"/>
          </w:tcPr>
          <w:p w14:paraId="1A7507EB">
            <w:pPr>
              <w:pStyle w:val="129"/>
              <w:widowControl w:val="0"/>
              <w:rPr>
                <w:color w:val="auto"/>
              </w:rPr>
            </w:pPr>
          </w:p>
        </w:tc>
      </w:tr>
      <w:tr w14:paraId="1800C34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7CEBE82D">
            <w:pPr>
              <w:pStyle w:val="129"/>
              <w:widowControl w:val="0"/>
              <w:rPr>
                <w:color w:val="auto"/>
              </w:rPr>
            </w:pPr>
          </w:p>
        </w:tc>
        <w:tc>
          <w:tcPr>
            <w:tcW w:w="577" w:type="pct"/>
            <w:vMerge w:val="continue"/>
            <w:vAlign w:val="center"/>
          </w:tcPr>
          <w:p w14:paraId="0136F9C7">
            <w:pPr>
              <w:pStyle w:val="129"/>
              <w:widowControl w:val="0"/>
              <w:rPr>
                <w:color w:val="auto"/>
              </w:rPr>
            </w:pPr>
          </w:p>
        </w:tc>
        <w:tc>
          <w:tcPr>
            <w:tcW w:w="526" w:type="pct"/>
            <w:vMerge w:val="continue"/>
            <w:vAlign w:val="center"/>
          </w:tcPr>
          <w:p w14:paraId="3519070F">
            <w:pPr>
              <w:pStyle w:val="129"/>
              <w:widowControl w:val="0"/>
              <w:rPr>
                <w:color w:val="auto"/>
              </w:rPr>
            </w:pPr>
          </w:p>
        </w:tc>
        <w:tc>
          <w:tcPr>
            <w:tcW w:w="1383" w:type="pct"/>
            <w:gridSpan w:val="2"/>
            <w:vAlign w:val="center"/>
          </w:tcPr>
          <w:p w14:paraId="1C309408">
            <w:pPr>
              <w:pStyle w:val="129"/>
              <w:widowControl w:val="0"/>
              <w:rPr>
                <w:color w:val="auto"/>
              </w:rPr>
            </w:pPr>
            <w:r>
              <w:rPr>
                <w:rFonts w:hint="eastAsia"/>
                <w:color w:val="auto"/>
              </w:rPr>
              <w:t>水铝石干燥废气（</w:t>
            </w:r>
            <w:r>
              <w:rPr>
                <w:color w:val="auto"/>
              </w:rPr>
              <w:t>G</w:t>
            </w:r>
            <w:r>
              <w:rPr>
                <w:rFonts w:hint="eastAsia"/>
                <w:color w:val="auto"/>
                <w:vertAlign w:val="subscript"/>
              </w:rPr>
              <w:t>7</w:t>
            </w:r>
            <w:r>
              <w:rPr>
                <w:rFonts w:hint="eastAsia"/>
                <w:color w:val="auto"/>
              </w:rPr>
              <w:t>）</w:t>
            </w:r>
          </w:p>
        </w:tc>
        <w:tc>
          <w:tcPr>
            <w:tcW w:w="1221" w:type="pct"/>
            <w:vAlign w:val="center"/>
          </w:tcPr>
          <w:p w14:paraId="0EABC420">
            <w:pPr>
              <w:pStyle w:val="129"/>
              <w:widowControl w:val="0"/>
              <w:rPr>
                <w:color w:val="auto"/>
              </w:rPr>
            </w:pPr>
            <w:r>
              <w:rPr>
                <w:rFonts w:hint="eastAsia"/>
                <w:color w:val="auto"/>
              </w:rPr>
              <w:t>布袋除尘器</w:t>
            </w:r>
          </w:p>
        </w:tc>
        <w:tc>
          <w:tcPr>
            <w:tcW w:w="937" w:type="pct"/>
            <w:gridSpan w:val="2"/>
            <w:vMerge w:val="restart"/>
            <w:vAlign w:val="center"/>
          </w:tcPr>
          <w:p w14:paraId="6E8FA6D9">
            <w:pPr>
              <w:pStyle w:val="129"/>
              <w:widowControl w:val="0"/>
              <w:rPr>
                <w:color w:val="auto"/>
              </w:rPr>
            </w:pPr>
            <w:r>
              <w:rPr>
                <w:rFonts w:hint="eastAsia"/>
                <w:color w:val="auto"/>
              </w:rPr>
              <w:t>汇合通过</w:t>
            </w:r>
            <w:r>
              <w:rPr>
                <w:color w:val="auto"/>
              </w:rPr>
              <w:t>DA00</w:t>
            </w:r>
            <w:r>
              <w:rPr>
                <w:rFonts w:hint="eastAsia"/>
                <w:color w:val="auto"/>
              </w:rPr>
              <w:t>5排口排放</w:t>
            </w:r>
          </w:p>
        </w:tc>
      </w:tr>
      <w:tr w14:paraId="32AB36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704FBD46">
            <w:pPr>
              <w:pStyle w:val="129"/>
              <w:widowControl w:val="0"/>
              <w:rPr>
                <w:color w:val="auto"/>
              </w:rPr>
            </w:pPr>
          </w:p>
        </w:tc>
        <w:tc>
          <w:tcPr>
            <w:tcW w:w="577" w:type="pct"/>
            <w:vMerge w:val="continue"/>
            <w:vAlign w:val="center"/>
          </w:tcPr>
          <w:p w14:paraId="3E1D21C3">
            <w:pPr>
              <w:pStyle w:val="129"/>
              <w:widowControl w:val="0"/>
              <w:rPr>
                <w:color w:val="auto"/>
              </w:rPr>
            </w:pPr>
          </w:p>
        </w:tc>
        <w:tc>
          <w:tcPr>
            <w:tcW w:w="526" w:type="pct"/>
            <w:vMerge w:val="continue"/>
            <w:vAlign w:val="center"/>
          </w:tcPr>
          <w:p w14:paraId="7EA50F13">
            <w:pPr>
              <w:pStyle w:val="129"/>
              <w:widowControl w:val="0"/>
              <w:rPr>
                <w:color w:val="auto"/>
              </w:rPr>
            </w:pPr>
          </w:p>
        </w:tc>
        <w:tc>
          <w:tcPr>
            <w:tcW w:w="1383" w:type="pct"/>
            <w:gridSpan w:val="2"/>
            <w:vAlign w:val="center"/>
          </w:tcPr>
          <w:p w14:paraId="1D4058EB">
            <w:pPr>
              <w:pStyle w:val="129"/>
              <w:widowControl w:val="0"/>
              <w:rPr>
                <w:color w:val="auto"/>
              </w:rPr>
            </w:pPr>
            <w:r>
              <w:rPr>
                <w:rFonts w:hint="eastAsia"/>
                <w:color w:val="auto"/>
              </w:rPr>
              <w:t>水铝石包装废气（</w:t>
            </w:r>
            <w:r>
              <w:rPr>
                <w:color w:val="auto"/>
              </w:rPr>
              <w:t>G</w:t>
            </w:r>
            <w:r>
              <w:rPr>
                <w:rFonts w:hint="eastAsia"/>
                <w:color w:val="auto"/>
                <w:vertAlign w:val="subscript"/>
              </w:rPr>
              <w:t>8</w:t>
            </w:r>
            <w:r>
              <w:rPr>
                <w:rFonts w:hint="eastAsia"/>
                <w:color w:val="auto"/>
              </w:rPr>
              <w:t>）</w:t>
            </w:r>
          </w:p>
        </w:tc>
        <w:tc>
          <w:tcPr>
            <w:tcW w:w="1221" w:type="pct"/>
            <w:vAlign w:val="center"/>
          </w:tcPr>
          <w:p w14:paraId="48A00384">
            <w:pPr>
              <w:pStyle w:val="129"/>
              <w:widowControl w:val="0"/>
              <w:rPr>
                <w:color w:val="auto"/>
              </w:rPr>
            </w:pPr>
            <w:r>
              <w:rPr>
                <w:rFonts w:hint="eastAsia"/>
                <w:color w:val="auto"/>
              </w:rPr>
              <w:t>布袋除尘器</w:t>
            </w:r>
          </w:p>
        </w:tc>
        <w:tc>
          <w:tcPr>
            <w:tcW w:w="937" w:type="pct"/>
            <w:gridSpan w:val="2"/>
            <w:vMerge w:val="continue"/>
            <w:vAlign w:val="center"/>
          </w:tcPr>
          <w:p w14:paraId="3DB3B81E">
            <w:pPr>
              <w:pStyle w:val="129"/>
              <w:widowControl w:val="0"/>
              <w:rPr>
                <w:color w:val="auto"/>
              </w:rPr>
            </w:pPr>
          </w:p>
        </w:tc>
      </w:tr>
      <w:tr w14:paraId="5EED074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6D59CA3E">
            <w:pPr>
              <w:pStyle w:val="129"/>
              <w:widowControl w:val="0"/>
              <w:rPr>
                <w:color w:val="auto"/>
              </w:rPr>
            </w:pPr>
          </w:p>
        </w:tc>
        <w:tc>
          <w:tcPr>
            <w:tcW w:w="577" w:type="pct"/>
            <w:vMerge w:val="continue"/>
            <w:vAlign w:val="center"/>
          </w:tcPr>
          <w:p w14:paraId="28B09DBE">
            <w:pPr>
              <w:pStyle w:val="129"/>
              <w:widowControl w:val="0"/>
              <w:rPr>
                <w:color w:val="auto"/>
              </w:rPr>
            </w:pPr>
          </w:p>
        </w:tc>
        <w:tc>
          <w:tcPr>
            <w:tcW w:w="526" w:type="pct"/>
            <w:vMerge w:val="restart"/>
            <w:vAlign w:val="center"/>
          </w:tcPr>
          <w:p w14:paraId="1AA0472F">
            <w:pPr>
              <w:pStyle w:val="129"/>
              <w:widowControl w:val="0"/>
              <w:rPr>
                <w:color w:val="auto"/>
              </w:rPr>
            </w:pPr>
            <w:r>
              <w:rPr>
                <w:rFonts w:hint="eastAsia"/>
                <w:color w:val="auto"/>
              </w:rPr>
              <w:t>催化剂生产</w:t>
            </w:r>
          </w:p>
        </w:tc>
        <w:tc>
          <w:tcPr>
            <w:tcW w:w="1383" w:type="pct"/>
            <w:gridSpan w:val="2"/>
            <w:vAlign w:val="center"/>
          </w:tcPr>
          <w:p w14:paraId="11D7A2A7">
            <w:pPr>
              <w:pStyle w:val="129"/>
              <w:widowControl w:val="0"/>
              <w:rPr>
                <w:color w:val="auto"/>
              </w:rPr>
            </w:pPr>
            <w:r>
              <w:rPr>
                <w:color w:val="auto"/>
              </w:rPr>
              <w:t>载体干燥烟气</w:t>
            </w:r>
            <w:r>
              <w:rPr>
                <w:rFonts w:hint="eastAsia"/>
                <w:color w:val="auto"/>
              </w:rPr>
              <w:t>（</w:t>
            </w:r>
            <w:r>
              <w:rPr>
                <w:color w:val="auto"/>
              </w:rPr>
              <w:t>G</w:t>
            </w:r>
            <w:r>
              <w:rPr>
                <w:rFonts w:hint="eastAsia"/>
                <w:color w:val="auto"/>
                <w:vertAlign w:val="subscript"/>
              </w:rPr>
              <w:t>10</w:t>
            </w:r>
            <w:r>
              <w:rPr>
                <w:rFonts w:hint="eastAsia"/>
                <w:color w:val="auto"/>
              </w:rPr>
              <w:t>）</w:t>
            </w:r>
          </w:p>
        </w:tc>
        <w:tc>
          <w:tcPr>
            <w:tcW w:w="1221" w:type="pct"/>
            <w:vAlign w:val="center"/>
          </w:tcPr>
          <w:p w14:paraId="1887AC93">
            <w:pPr>
              <w:pStyle w:val="129"/>
              <w:widowControl w:val="0"/>
              <w:rPr>
                <w:color w:val="auto"/>
                <w:spacing w:val="-10"/>
              </w:rPr>
            </w:pPr>
            <w:r>
              <w:rPr>
                <w:rFonts w:hint="eastAsia"/>
                <w:color w:val="auto"/>
                <w:spacing w:val="-10"/>
              </w:rPr>
              <w:t>燃用清燃料+低氮燃烧器</w:t>
            </w:r>
          </w:p>
        </w:tc>
        <w:tc>
          <w:tcPr>
            <w:tcW w:w="937" w:type="pct"/>
            <w:gridSpan w:val="2"/>
            <w:vMerge w:val="restart"/>
            <w:vAlign w:val="center"/>
          </w:tcPr>
          <w:p w14:paraId="27F436F4">
            <w:pPr>
              <w:pStyle w:val="129"/>
              <w:widowControl w:val="0"/>
              <w:rPr>
                <w:color w:val="auto"/>
              </w:rPr>
            </w:pPr>
            <w:r>
              <w:rPr>
                <w:rFonts w:hint="eastAsia"/>
                <w:color w:val="auto"/>
              </w:rPr>
              <w:t>汇合通过</w:t>
            </w:r>
            <w:r>
              <w:rPr>
                <w:color w:val="auto"/>
              </w:rPr>
              <w:t>DA00</w:t>
            </w:r>
            <w:r>
              <w:rPr>
                <w:rFonts w:hint="eastAsia"/>
                <w:color w:val="auto"/>
              </w:rPr>
              <w:t>6排口排放</w:t>
            </w:r>
          </w:p>
        </w:tc>
      </w:tr>
      <w:tr w14:paraId="76CB6F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463D2A6D">
            <w:pPr>
              <w:pStyle w:val="129"/>
              <w:widowControl w:val="0"/>
              <w:rPr>
                <w:color w:val="auto"/>
              </w:rPr>
            </w:pPr>
          </w:p>
        </w:tc>
        <w:tc>
          <w:tcPr>
            <w:tcW w:w="577" w:type="pct"/>
            <w:vMerge w:val="continue"/>
            <w:vAlign w:val="center"/>
          </w:tcPr>
          <w:p w14:paraId="33916633">
            <w:pPr>
              <w:pStyle w:val="129"/>
              <w:widowControl w:val="0"/>
              <w:rPr>
                <w:color w:val="auto"/>
              </w:rPr>
            </w:pPr>
          </w:p>
        </w:tc>
        <w:tc>
          <w:tcPr>
            <w:tcW w:w="526" w:type="pct"/>
            <w:vMerge w:val="continue"/>
            <w:vAlign w:val="center"/>
          </w:tcPr>
          <w:p w14:paraId="6C0A7AC1">
            <w:pPr>
              <w:pStyle w:val="129"/>
              <w:widowControl w:val="0"/>
              <w:rPr>
                <w:color w:val="auto"/>
              </w:rPr>
            </w:pPr>
          </w:p>
        </w:tc>
        <w:tc>
          <w:tcPr>
            <w:tcW w:w="1383" w:type="pct"/>
            <w:gridSpan w:val="2"/>
            <w:vAlign w:val="center"/>
          </w:tcPr>
          <w:p w14:paraId="69144236">
            <w:pPr>
              <w:pStyle w:val="129"/>
              <w:widowControl w:val="0"/>
              <w:rPr>
                <w:color w:val="auto"/>
              </w:rPr>
            </w:pPr>
            <w:r>
              <w:rPr>
                <w:color w:val="auto"/>
              </w:rPr>
              <w:t>载体焙烧炉燃烧器废气（燃料燃烧）</w:t>
            </w:r>
            <w:r>
              <w:rPr>
                <w:rFonts w:hint="eastAsia"/>
                <w:color w:val="auto"/>
              </w:rPr>
              <w:t>（</w:t>
            </w:r>
            <w:r>
              <w:rPr>
                <w:color w:val="auto"/>
              </w:rPr>
              <w:t>G</w:t>
            </w:r>
            <w:r>
              <w:rPr>
                <w:rFonts w:hint="eastAsia"/>
                <w:color w:val="auto"/>
                <w:vertAlign w:val="subscript"/>
              </w:rPr>
              <w:t>11</w:t>
            </w:r>
            <w:r>
              <w:rPr>
                <w:rFonts w:hint="eastAsia"/>
                <w:color w:val="auto"/>
              </w:rPr>
              <w:t>）</w:t>
            </w:r>
          </w:p>
        </w:tc>
        <w:tc>
          <w:tcPr>
            <w:tcW w:w="1221" w:type="pct"/>
            <w:vAlign w:val="center"/>
          </w:tcPr>
          <w:p w14:paraId="493CF473">
            <w:pPr>
              <w:pStyle w:val="129"/>
              <w:widowControl w:val="0"/>
              <w:rPr>
                <w:color w:val="auto"/>
                <w:spacing w:val="-10"/>
              </w:rPr>
            </w:pPr>
            <w:r>
              <w:rPr>
                <w:rFonts w:hint="eastAsia"/>
                <w:color w:val="auto"/>
                <w:spacing w:val="-10"/>
              </w:rPr>
              <w:t>燃用清燃料+低氮燃烧器</w:t>
            </w:r>
          </w:p>
        </w:tc>
        <w:tc>
          <w:tcPr>
            <w:tcW w:w="937" w:type="pct"/>
            <w:gridSpan w:val="2"/>
            <w:vMerge w:val="continue"/>
            <w:vAlign w:val="center"/>
          </w:tcPr>
          <w:p w14:paraId="427AA9A8">
            <w:pPr>
              <w:pStyle w:val="129"/>
              <w:widowControl w:val="0"/>
              <w:rPr>
                <w:color w:val="auto"/>
              </w:rPr>
            </w:pPr>
          </w:p>
        </w:tc>
      </w:tr>
      <w:tr w14:paraId="351A75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7585D537">
            <w:pPr>
              <w:pStyle w:val="129"/>
              <w:widowControl w:val="0"/>
              <w:rPr>
                <w:color w:val="auto"/>
              </w:rPr>
            </w:pPr>
          </w:p>
        </w:tc>
        <w:tc>
          <w:tcPr>
            <w:tcW w:w="577" w:type="pct"/>
            <w:vMerge w:val="continue"/>
            <w:vAlign w:val="center"/>
          </w:tcPr>
          <w:p w14:paraId="2A519080">
            <w:pPr>
              <w:pStyle w:val="129"/>
              <w:widowControl w:val="0"/>
              <w:rPr>
                <w:color w:val="auto"/>
              </w:rPr>
            </w:pPr>
          </w:p>
        </w:tc>
        <w:tc>
          <w:tcPr>
            <w:tcW w:w="526" w:type="pct"/>
            <w:vMerge w:val="continue"/>
            <w:vAlign w:val="center"/>
          </w:tcPr>
          <w:p w14:paraId="1621392C">
            <w:pPr>
              <w:pStyle w:val="129"/>
              <w:widowControl w:val="0"/>
              <w:rPr>
                <w:color w:val="auto"/>
              </w:rPr>
            </w:pPr>
          </w:p>
        </w:tc>
        <w:tc>
          <w:tcPr>
            <w:tcW w:w="1383" w:type="pct"/>
            <w:gridSpan w:val="2"/>
            <w:vAlign w:val="center"/>
          </w:tcPr>
          <w:p w14:paraId="139B0914">
            <w:pPr>
              <w:pStyle w:val="129"/>
              <w:widowControl w:val="0"/>
              <w:rPr>
                <w:color w:val="auto"/>
              </w:rPr>
            </w:pPr>
            <w:r>
              <w:rPr>
                <w:rFonts w:hint="eastAsia"/>
                <w:color w:val="auto"/>
              </w:rPr>
              <w:t>浸渍干燥烟气（</w:t>
            </w:r>
            <w:r>
              <w:rPr>
                <w:color w:val="auto"/>
              </w:rPr>
              <w:t>G</w:t>
            </w:r>
            <w:r>
              <w:rPr>
                <w:rFonts w:hint="eastAsia"/>
                <w:color w:val="auto"/>
                <w:vertAlign w:val="subscript"/>
              </w:rPr>
              <w:t>12</w:t>
            </w:r>
            <w:r>
              <w:rPr>
                <w:rFonts w:hint="eastAsia"/>
                <w:color w:val="auto"/>
              </w:rPr>
              <w:t>）</w:t>
            </w:r>
          </w:p>
        </w:tc>
        <w:tc>
          <w:tcPr>
            <w:tcW w:w="1221" w:type="pct"/>
            <w:vAlign w:val="center"/>
          </w:tcPr>
          <w:p w14:paraId="3DB811AB">
            <w:pPr>
              <w:pStyle w:val="129"/>
              <w:widowControl w:val="0"/>
              <w:rPr>
                <w:color w:val="auto"/>
              </w:rPr>
            </w:pPr>
            <w:r>
              <w:rPr>
                <w:rFonts w:hint="eastAsia"/>
                <w:color w:val="auto"/>
              </w:rPr>
              <w:t>SCR脱硝+布袋除尘</w:t>
            </w:r>
          </w:p>
        </w:tc>
        <w:tc>
          <w:tcPr>
            <w:tcW w:w="937" w:type="pct"/>
            <w:gridSpan w:val="2"/>
            <w:vMerge w:val="continue"/>
            <w:vAlign w:val="center"/>
          </w:tcPr>
          <w:p w14:paraId="598A98F3">
            <w:pPr>
              <w:pStyle w:val="129"/>
              <w:widowControl w:val="0"/>
              <w:rPr>
                <w:color w:val="auto"/>
              </w:rPr>
            </w:pPr>
          </w:p>
        </w:tc>
      </w:tr>
      <w:tr w14:paraId="44C779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530FE878">
            <w:pPr>
              <w:pStyle w:val="129"/>
              <w:widowControl w:val="0"/>
              <w:rPr>
                <w:color w:val="auto"/>
              </w:rPr>
            </w:pPr>
          </w:p>
        </w:tc>
        <w:tc>
          <w:tcPr>
            <w:tcW w:w="577" w:type="pct"/>
            <w:vMerge w:val="continue"/>
            <w:vAlign w:val="center"/>
          </w:tcPr>
          <w:p w14:paraId="2456187D">
            <w:pPr>
              <w:pStyle w:val="129"/>
              <w:widowControl w:val="0"/>
              <w:rPr>
                <w:color w:val="auto"/>
              </w:rPr>
            </w:pPr>
          </w:p>
        </w:tc>
        <w:tc>
          <w:tcPr>
            <w:tcW w:w="526" w:type="pct"/>
            <w:vMerge w:val="continue"/>
            <w:vAlign w:val="center"/>
          </w:tcPr>
          <w:p w14:paraId="15F64589">
            <w:pPr>
              <w:pStyle w:val="129"/>
              <w:widowControl w:val="0"/>
              <w:rPr>
                <w:color w:val="auto"/>
              </w:rPr>
            </w:pPr>
          </w:p>
        </w:tc>
        <w:tc>
          <w:tcPr>
            <w:tcW w:w="1383" w:type="pct"/>
            <w:gridSpan w:val="2"/>
            <w:vAlign w:val="center"/>
          </w:tcPr>
          <w:p w14:paraId="23D64F3F">
            <w:pPr>
              <w:pStyle w:val="129"/>
              <w:widowControl w:val="0"/>
              <w:rPr>
                <w:color w:val="auto"/>
              </w:rPr>
            </w:pPr>
            <w:r>
              <w:rPr>
                <w:rFonts w:hint="eastAsia"/>
                <w:color w:val="auto"/>
              </w:rPr>
              <w:t>催化剂焙烧炉燃烧器废气（燃料燃烧）（</w:t>
            </w:r>
            <w:r>
              <w:rPr>
                <w:color w:val="auto"/>
              </w:rPr>
              <w:t>G</w:t>
            </w:r>
            <w:r>
              <w:rPr>
                <w:rFonts w:hint="eastAsia"/>
                <w:color w:val="auto"/>
                <w:vertAlign w:val="subscript"/>
              </w:rPr>
              <w:t>13</w:t>
            </w:r>
            <w:r>
              <w:rPr>
                <w:rFonts w:hint="eastAsia"/>
                <w:color w:val="auto"/>
              </w:rPr>
              <w:t>）</w:t>
            </w:r>
          </w:p>
        </w:tc>
        <w:tc>
          <w:tcPr>
            <w:tcW w:w="1221" w:type="pct"/>
            <w:vAlign w:val="center"/>
          </w:tcPr>
          <w:p w14:paraId="6FAAD962">
            <w:pPr>
              <w:pStyle w:val="129"/>
              <w:widowControl w:val="0"/>
              <w:rPr>
                <w:color w:val="auto"/>
                <w:spacing w:val="-10"/>
              </w:rPr>
            </w:pPr>
            <w:r>
              <w:rPr>
                <w:rFonts w:hint="eastAsia"/>
                <w:color w:val="auto"/>
                <w:spacing w:val="-10"/>
              </w:rPr>
              <w:t>燃用清燃料+低氮燃烧器</w:t>
            </w:r>
          </w:p>
        </w:tc>
        <w:tc>
          <w:tcPr>
            <w:tcW w:w="937" w:type="pct"/>
            <w:gridSpan w:val="2"/>
            <w:vMerge w:val="continue"/>
            <w:vAlign w:val="center"/>
          </w:tcPr>
          <w:p w14:paraId="086278F8">
            <w:pPr>
              <w:pStyle w:val="129"/>
              <w:widowControl w:val="0"/>
              <w:rPr>
                <w:color w:val="auto"/>
              </w:rPr>
            </w:pPr>
          </w:p>
        </w:tc>
      </w:tr>
      <w:tr w14:paraId="39FE934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337A6DC3">
            <w:pPr>
              <w:pStyle w:val="129"/>
              <w:widowControl w:val="0"/>
              <w:rPr>
                <w:color w:val="auto"/>
              </w:rPr>
            </w:pPr>
          </w:p>
        </w:tc>
        <w:tc>
          <w:tcPr>
            <w:tcW w:w="577" w:type="pct"/>
            <w:vMerge w:val="continue"/>
            <w:vAlign w:val="center"/>
          </w:tcPr>
          <w:p w14:paraId="7AD1AD79">
            <w:pPr>
              <w:pStyle w:val="129"/>
              <w:widowControl w:val="0"/>
              <w:rPr>
                <w:color w:val="auto"/>
              </w:rPr>
            </w:pPr>
          </w:p>
        </w:tc>
        <w:tc>
          <w:tcPr>
            <w:tcW w:w="526" w:type="pct"/>
            <w:vMerge w:val="continue"/>
            <w:vAlign w:val="center"/>
          </w:tcPr>
          <w:p w14:paraId="58F900C7">
            <w:pPr>
              <w:pStyle w:val="129"/>
              <w:widowControl w:val="0"/>
              <w:rPr>
                <w:color w:val="auto"/>
              </w:rPr>
            </w:pPr>
          </w:p>
        </w:tc>
        <w:tc>
          <w:tcPr>
            <w:tcW w:w="1383" w:type="pct"/>
            <w:gridSpan w:val="2"/>
            <w:vAlign w:val="center"/>
          </w:tcPr>
          <w:p w14:paraId="639FBC04">
            <w:pPr>
              <w:pStyle w:val="129"/>
              <w:widowControl w:val="0"/>
              <w:rPr>
                <w:color w:val="auto"/>
              </w:rPr>
            </w:pPr>
            <w:r>
              <w:rPr>
                <w:rFonts w:hint="eastAsia"/>
                <w:color w:val="auto"/>
              </w:rPr>
              <w:t>载体焙烧烟气（</w:t>
            </w:r>
            <w:r>
              <w:rPr>
                <w:color w:val="auto"/>
              </w:rPr>
              <w:t>G</w:t>
            </w:r>
            <w:r>
              <w:rPr>
                <w:rFonts w:hint="eastAsia"/>
                <w:color w:val="auto"/>
                <w:vertAlign w:val="subscript"/>
              </w:rPr>
              <w:t>14</w:t>
            </w:r>
            <w:r>
              <w:rPr>
                <w:rFonts w:hint="eastAsia"/>
                <w:color w:val="auto"/>
              </w:rPr>
              <w:t>）</w:t>
            </w:r>
          </w:p>
        </w:tc>
        <w:tc>
          <w:tcPr>
            <w:tcW w:w="1221" w:type="pct"/>
            <w:vAlign w:val="center"/>
          </w:tcPr>
          <w:p w14:paraId="01FCCA9C">
            <w:pPr>
              <w:pStyle w:val="129"/>
              <w:widowControl w:val="0"/>
              <w:rPr>
                <w:color w:val="auto"/>
                <w:spacing w:val="-10"/>
              </w:rPr>
            </w:pPr>
            <w:r>
              <w:rPr>
                <w:rFonts w:hint="eastAsia"/>
                <w:color w:val="auto"/>
                <w:spacing w:val="-10"/>
              </w:rPr>
              <w:t>燃用清燃料+低氮燃烧器</w:t>
            </w:r>
          </w:p>
        </w:tc>
        <w:tc>
          <w:tcPr>
            <w:tcW w:w="937" w:type="pct"/>
            <w:gridSpan w:val="2"/>
            <w:vMerge w:val="restart"/>
            <w:vAlign w:val="center"/>
          </w:tcPr>
          <w:p w14:paraId="59F57E63">
            <w:pPr>
              <w:pStyle w:val="129"/>
              <w:widowControl w:val="0"/>
              <w:rPr>
                <w:color w:val="auto"/>
              </w:rPr>
            </w:pPr>
            <w:r>
              <w:rPr>
                <w:rFonts w:hint="eastAsia"/>
                <w:color w:val="auto"/>
              </w:rPr>
              <w:t>汇合通过</w:t>
            </w:r>
            <w:r>
              <w:rPr>
                <w:color w:val="auto"/>
              </w:rPr>
              <w:t>DA00</w:t>
            </w:r>
            <w:r>
              <w:rPr>
                <w:rFonts w:hint="eastAsia"/>
                <w:color w:val="auto"/>
              </w:rPr>
              <w:t>7排口排放</w:t>
            </w:r>
          </w:p>
        </w:tc>
      </w:tr>
      <w:tr w14:paraId="660A77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7663F5AF">
            <w:pPr>
              <w:pStyle w:val="129"/>
              <w:widowControl w:val="0"/>
              <w:rPr>
                <w:color w:val="auto"/>
              </w:rPr>
            </w:pPr>
          </w:p>
        </w:tc>
        <w:tc>
          <w:tcPr>
            <w:tcW w:w="577" w:type="pct"/>
            <w:vMerge w:val="continue"/>
            <w:vAlign w:val="center"/>
          </w:tcPr>
          <w:p w14:paraId="73D528F1">
            <w:pPr>
              <w:pStyle w:val="129"/>
              <w:widowControl w:val="0"/>
              <w:rPr>
                <w:color w:val="auto"/>
              </w:rPr>
            </w:pPr>
          </w:p>
        </w:tc>
        <w:tc>
          <w:tcPr>
            <w:tcW w:w="526" w:type="pct"/>
            <w:vMerge w:val="continue"/>
            <w:vAlign w:val="center"/>
          </w:tcPr>
          <w:p w14:paraId="539094D2">
            <w:pPr>
              <w:pStyle w:val="129"/>
              <w:widowControl w:val="0"/>
              <w:rPr>
                <w:color w:val="auto"/>
              </w:rPr>
            </w:pPr>
          </w:p>
        </w:tc>
        <w:tc>
          <w:tcPr>
            <w:tcW w:w="1383" w:type="pct"/>
            <w:gridSpan w:val="2"/>
            <w:vAlign w:val="center"/>
          </w:tcPr>
          <w:p w14:paraId="6CAA0C16">
            <w:pPr>
              <w:pStyle w:val="129"/>
              <w:widowControl w:val="0"/>
              <w:rPr>
                <w:color w:val="auto"/>
              </w:rPr>
            </w:pPr>
            <w:r>
              <w:rPr>
                <w:rFonts w:hint="eastAsia"/>
                <w:color w:val="auto"/>
              </w:rPr>
              <w:t>催化剂焙烧烟气（</w:t>
            </w:r>
            <w:r>
              <w:rPr>
                <w:color w:val="auto"/>
              </w:rPr>
              <w:t>G</w:t>
            </w:r>
            <w:r>
              <w:rPr>
                <w:rFonts w:hint="eastAsia"/>
                <w:color w:val="auto"/>
                <w:vertAlign w:val="subscript"/>
              </w:rPr>
              <w:t>15</w:t>
            </w:r>
            <w:r>
              <w:rPr>
                <w:rFonts w:hint="eastAsia"/>
                <w:color w:val="auto"/>
              </w:rPr>
              <w:t>）</w:t>
            </w:r>
          </w:p>
        </w:tc>
        <w:tc>
          <w:tcPr>
            <w:tcW w:w="1221" w:type="pct"/>
            <w:vAlign w:val="center"/>
          </w:tcPr>
          <w:p w14:paraId="529E92FD">
            <w:pPr>
              <w:pStyle w:val="129"/>
              <w:widowControl w:val="0"/>
              <w:rPr>
                <w:color w:val="auto"/>
              </w:rPr>
            </w:pPr>
            <w:r>
              <w:rPr>
                <w:rFonts w:hint="eastAsia"/>
                <w:color w:val="auto"/>
              </w:rPr>
              <w:t>SCR脱硝+布袋除尘</w:t>
            </w:r>
          </w:p>
        </w:tc>
        <w:tc>
          <w:tcPr>
            <w:tcW w:w="937" w:type="pct"/>
            <w:gridSpan w:val="2"/>
            <w:vMerge w:val="continue"/>
            <w:vAlign w:val="center"/>
          </w:tcPr>
          <w:p w14:paraId="2879DC70">
            <w:pPr>
              <w:pStyle w:val="129"/>
              <w:widowControl w:val="0"/>
              <w:rPr>
                <w:color w:val="auto"/>
              </w:rPr>
            </w:pPr>
          </w:p>
        </w:tc>
      </w:tr>
      <w:tr w14:paraId="171F1A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3A86EB32">
            <w:pPr>
              <w:pStyle w:val="129"/>
              <w:widowControl w:val="0"/>
              <w:rPr>
                <w:color w:val="auto"/>
              </w:rPr>
            </w:pPr>
          </w:p>
        </w:tc>
        <w:tc>
          <w:tcPr>
            <w:tcW w:w="577" w:type="pct"/>
            <w:vMerge w:val="continue"/>
            <w:vAlign w:val="center"/>
          </w:tcPr>
          <w:p w14:paraId="64F9A817">
            <w:pPr>
              <w:pStyle w:val="129"/>
              <w:widowControl w:val="0"/>
              <w:rPr>
                <w:color w:val="auto"/>
              </w:rPr>
            </w:pPr>
          </w:p>
        </w:tc>
        <w:tc>
          <w:tcPr>
            <w:tcW w:w="526" w:type="pct"/>
            <w:vMerge w:val="continue"/>
            <w:vAlign w:val="center"/>
          </w:tcPr>
          <w:p w14:paraId="58B26CC5">
            <w:pPr>
              <w:pStyle w:val="129"/>
              <w:widowControl w:val="0"/>
              <w:rPr>
                <w:color w:val="auto"/>
              </w:rPr>
            </w:pPr>
          </w:p>
        </w:tc>
        <w:tc>
          <w:tcPr>
            <w:tcW w:w="1383" w:type="pct"/>
            <w:gridSpan w:val="2"/>
            <w:vAlign w:val="center"/>
          </w:tcPr>
          <w:p w14:paraId="5003A96B">
            <w:pPr>
              <w:pStyle w:val="129"/>
              <w:widowControl w:val="0"/>
              <w:rPr>
                <w:color w:val="auto"/>
              </w:rPr>
            </w:pPr>
            <w:r>
              <w:rPr>
                <w:rFonts w:hint="eastAsia"/>
                <w:color w:val="auto"/>
              </w:rPr>
              <w:t>混捏废气（</w:t>
            </w:r>
            <w:r>
              <w:rPr>
                <w:color w:val="auto"/>
              </w:rPr>
              <w:t>G</w:t>
            </w:r>
            <w:r>
              <w:rPr>
                <w:rFonts w:hint="eastAsia"/>
                <w:color w:val="auto"/>
                <w:vertAlign w:val="subscript"/>
              </w:rPr>
              <w:t>15</w:t>
            </w:r>
            <w:r>
              <w:rPr>
                <w:rFonts w:hint="eastAsia"/>
                <w:color w:val="auto"/>
              </w:rPr>
              <w:t>）</w:t>
            </w:r>
          </w:p>
        </w:tc>
        <w:tc>
          <w:tcPr>
            <w:tcW w:w="1221" w:type="pct"/>
            <w:vAlign w:val="center"/>
          </w:tcPr>
          <w:p w14:paraId="37873E45">
            <w:pPr>
              <w:pStyle w:val="129"/>
              <w:widowControl w:val="0"/>
              <w:rPr>
                <w:color w:val="auto"/>
              </w:rPr>
            </w:pPr>
            <w:r>
              <w:rPr>
                <w:rFonts w:hint="eastAsia"/>
                <w:color w:val="auto"/>
              </w:rPr>
              <w:t>布袋除尘器</w:t>
            </w:r>
          </w:p>
        </w:tc>
        <w:tc>
          <w:tcPr>
            <w:tcW w:w="937" w:type="pct"/>
            <w:gridSpan w:val="2"/>
            <w:vMerge w:val="restart"/>
            <w:vAlign w:val="center"/>
          </w:tcPr>
          <w:p w14:paraId="5A6CB315">
            <w:pPr>
              <w:pStyle w:val="129"/>
              <w:widowControl w:val="0"/>
              <w:rPr>
                <w:color w:val="auto"/>
              </w:rPr>
            </w:pPr>
            <w:r>
              <w:rPr>
                <w:rFonts w:hint="eastAsia"/>
                <w:color w:val="auto"/>
              </w:rPr>
              <w:t>汇合通过</w:t>
            </w:r>
            <w:r>
              <w:rPr>
                <w:color w:val="auto"/>
              </w:rPr>
              <w:t>DA00</w:t>
            </w:r>
            <w:r>
              <w:rPr>
                <w:rFonts w:hint="eastAsia"/>
                <w:color w:val="auto"/>
              </w:rPr>
              <w:t>8排口排放</w:t>
            </w:r>
          </w:p>
        </w:tc>
      </w:tr>
      <w:tr w14:paraId="1954C11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1F4A589C">
            <w:pPr>
              <w:pStyle w:val="129"/>
              <w:widowControl w:val="0"/>
              <w:rPr>
                <w:color w:val="auto"/>
              </w:rPr>
            </w:pPr>
          </w:p>
        </w:tc>
        <w:tc>
          <w:tcPr>
            <w:tcW w:w="577" w:type="pct"/>
            <w:vMerge w:val="continue"/>
            <w:vAlign w:val="center"/>
          </w:tcPr>
          <w:p w14:paraId="023613CB">
            <w:pPr>
              <w:pStyle w:val="129"/>
              <w:widowControl w:val="0"/>
              <w:rPr>
                <w:color w:val="auto"/>
              </w:rPr>
            </w:pPr>
          </w:p>
        </w:tc>
        <w:tc>
          <w:tcPr>
            <w:tcW w:w="526" w:type="pct"/>
            <w:vMerge w:val="continue"/>
            <w:vAlign w:val="center"/>
          </w:tcPr>
          <w:p w14:paraId="6FA21248">
            <w:pPr>
              <w:pStyle w:val="129"/>
              <w:widowControl w:val="0"/>
              <w:rPr>
                <w:color w:val="auto"/>
              </w:rPr>
            </w:pPr>
          </w:p>
        </w:tc>
        <w:tc>
          <w:tcPr>
            <w:tcW w:w="1383" w:type="pct"/>
            <w:gridSpan w:val="2"/>
            <w:vAlign w:val="center"/>
          </w:tcPr>
          <w:p w14:paraId="37A45590">
            <w:pPr>
              <w:pStyle w:val="129"/>
              <w:widowControl w:val="0"/>
              <w:rPr>
                <w:color w:val="auto"/>
              </w:rPr>
            </w:pPr>
            <w:r>
              <w:rPr>
                <w:rFonts w:hint="eastAsia"/>
                <w:color w:val="auto"/>
              </w:rPr>
              <w:t>催化剂、载体筛分包装废气（</w:t>
            </w:r>
            <w:r>
              <w:rPr>
                <w:color w:val="auto"/>
              </w:rPr>
              <w:t>G</w:t>
            </w:r>
            <w:r>
              <w:rPr>
                <w:rFonts w:hint="eastAsia"/>
                <w:color w:val="auto"/>
                <w:vertAlign w:val="subscript"/>
              </w:rPr>
              <w:t>16</w:t>
            </w:r>
            <w:r>
              <w:rPr>
                <w:rFonts w:hint="eastAsia"/>
                <w:color w:val="auto"/>
              </w:rPr>
              <w:t>）</w:t>
            </w:r>
          </w:p>
        </w:tc>
        <w:tc>
          <w:tcPr>
            <w:tcW w:w="1221" w:type="pct"/>
            <w:vAlign w:val="center"/>
          </w:tcPr>
          <w:p w14:paraId="36733407">
            <w:pPr>
              <w:pStyle w:val="129"/>
              <w:widowControl w:val="0"/>
              <w:rPr>
                <w:color w:val="auto"/>
              </w:rPr>
            </w:pPr>
            <w:r>
              <w:rPr>
                <w:rFonts w:hint="eastAsia"/>
                <w:color w:val="auto"/>
              </w:rPr>
              <w:t>布袋除尘器</w:t>
            </w:r>
          </w:p>
        </w:tc>
        <w:tc>
          <w:tcPr>
            <w:tcW w:w="937" w:type="pct"/>
            <w:gridSpan w:val="2"/>
            <w:vMerge w:val="continue"/>
            <w:vAlign w:val="center"/>
          </w:tcPr>
          <w:p w14:paraId="7C9FCBA7">
            <w:pPr>
              <w:pStyle w:val="129"/>
              <w:widowControl w:val="0"/>
              <w:rPr>
                <w:color w:val="auto"/>
              </w:rPr>
            </w:pPr>
          </w:p>
        </w:tc>
      </w:tr>
      <w:tr w14:paraId="1BC905D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637FD609">
            <w:pPr>
              <w:pStyle w:val="129"/>
              <w:widowControl w:val="0"/>
              <w:rPr>
                <w:color w:val="auto"/>
              </w:rPr>
            </w:pPr>
          </w:p>
        </w:tc>
        <w:tc>
          <w:tcPr>
            <w:tcW w:w="577" w:type="pct"/>
            <w:vMerge w:val="continue"/>
            <w:vAlign w:val="center"/>
          </w:tcPr>
          <w:p w14:paraId="3A42F2D5">
            <w:pPr>
              <w:pStyle w:val="129"/>
              <w:widowControl w:val="0"/>
              <w:rPr>
                <w:color w:val="auto"/>
              </w:rPr>
            </w:pPr>
          </w:p>
        </w:tc>
        <w:tc>
          <w:tcPr>
            <w:tcW w:w="1909" w:type="pct"/>
            <w:gridSpan w:val="3"/>
            <w:vAlign w:val="center"/>
          </w:tcPr>
          <w:p w14:paraId="356AADDF">
            <w:pPr>
              <w:pStyle w:val="129"/>
              <w:widowControl w:val="0"/>
              <w:rPr>
                <w:color w:val="auto"/>
              </w:rPr>
            </w:pPr>
            <w:r>
              <w:rPr>
                <w:rFonts w:hint="eastAsia"/>
                <w:color w:val="auto"/>
              </w:rPr>
              <w:t>备用燃气锅炉废气（G</w:t>
            </w:r>
            <w:r>
              <w:rPr>
                <w:rFonts w:hint="eastAsia"/>
                <w:color w:val="auto"/>
                <w:vertAlign w:val="subscript"/>
              </w:rPr>
              <w:t>17</w:t>
            </w:r>
            <w:r>
              <w:rPr>
                <w:rFonts w:hint="eastAsia"/>
                <w:color w:val="auto"/>
              </w:rPr>
              <w:t>）</w:t>
            </w:r>
          </w:p>
        </w:tc>
        <w:tc>
          <w:tcPr>
            <w:tcW w:w="2158" w:type="pct"/>
            <w:gridSpan w:val="3"/>
            <w:vAlign w:val="center"/>
          </w:tcPr>
          <w:p w14:paraId="589D0B58">
            <w:pPr>
              <w:pStyle w:val="129"/>
              <w:widowControl w:val="0"/>
              <w:rPr>
                <w:color w:val="auto"/>
              </w:rPr>
            </w:pPr>
            <w:r>
              <w:rPr>
                <w:rFonts w:hint="eastAsia"/>
                <w:color w:val="auto"/>
              </w:rPr>
              <w:t>燃用天然气，通过15m高排气筒排放，排口DA009（备用）</w:t>
            </w:r>
          </w:p>
        </w:tc>
      </w:tr>
      <w:tr w14:paraId="74A8AC6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09F0C40C">
            <w:pPr>
              <w:pStyle w:val="129"/>
              <w:widowControl w:val="0"/>
              <w:rPr>
                <w:color w:val="auto"/>
              </w:rPr>
            </w:pPr>
          </w:p>
        </w:tc>
        <w:tc>
          <w:tcPr>
            <w:tcW w:w="577" w:type="pct"/>
            <w:vMerge w:val="continue"/>
            <w:vAlign w:val="center"/>
          </w:tcPr>
          <w:p w14:paraId="749DBEC6">
            <w:pPr>
              <w:pStyle w:val="129"/>
              <w:widowControl w:val="0"/>
              <w:rPr>
                <w:color w:val="auto"/>
              </w:rPr>
            </w:pPr>
          </w:p>
        </w:tc>
        <w:tc>
          <w:tcPr>
            <w:tcW w:w="1909" w:type="pct"/>
            <w:gridSpan w:val="3"/>
            <w:vAlign w:val="center"/>
          </w:tcPr>
          <w:p w14:paraId="62AC9788">
            <w:pPr>
              <w:pStyle w:val="129"/>
              <w:widowControl w:val="0"/>
              <w:rPr>
                <w:color w:val="auto"/>
              </w:rPr>
            </w:pPr>
            <w:r>
              <w:rPr>
                <w:rFonts w:hint="eastAsia"/>
                <w:color w:val="auto"/>
              </w:rPr>
              <w:t>备用燃气锅炉废气（G</w:t>
            </w:r>
            <w:r>
              <w:rPr>
                <w:rFonts w:hint="eastAsia"/>
                <w:color w:val="auto"/>
                <w:vertAlign w:val="subscript"/>
              </w:rPr>
              <w:t>18</w:t>
            </w:r>
            <w:r>
              <w:rPr>
                <w:rFonts w:hint="eastAsia"/>
                <w:color w:val="auto"/>
              </w:rPr>
              <w:t>）</w:t>
            </w:r>
          </w:p>
        </w:tc>
        <w:tc>
          <w:tcPr>
            <w:tcW w:w="2158" w:type="pct"/>
            <w:gridSpan w:val="3"/>
            <w:vAlign w:val="center"/>
          </w:tcPr>
          <w:p w14:paraId="123E21F0">
            <w:pPr>
              <w:pStyle w:val="129"/>
              <w:widowControl w:val="0"/>
              <w:rPr>
                <w:color w:val="auto"/>
              </w:rPr>
            </w:pPr>
            <w:r>
              <w:rPr>
                <w:rFonts w:hint="eastAsia"/>
                <w:color w:val="auto"/>
              </w:rPr>
              <w:t>燃用天然气，通过15m高排气筒排放，排口DA0010（备用）</w:t>
            </w:r>
          </w:p>
        </w:tc>
      </w:tr>
      <w:tr w14:paraId="039600A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05EA0E49">
            <w:pPr>
              <w:pStyle w:val="129"/>
              <w:widowControl w:val="0"/>
              <w:rPr>
                <w:color w:val="auto"/>
              </w:rPr>
            </w:pPr>
          </w:p>
        </w:tc>
        <w:tc>
          <w:tcPr>
            <w:tcW w:w="577" w:type="pct"/>
            <w:vAlign w:val="center"/>
          </w:tcPr>
          <w:p w14:paraId="7F32C289">
            <w:pPr>
              <w:pStyle w:val="129"/>
              <w:widowControl w:val="0"/>
              <w:rPr>
                <w:color w:val="auto"/>
              </w:rPr>
            </w:pPr>
            <w:r>
              <w:rPr>
                <w:rFonts w:hint="eastAsia"/>
                <w:color w:val="auto"/>
              </w:rPr>
              <w:t>废水处理设施</w:t>
            </w:r>
          </w:p>
        </w:tc>
        <w:tc>
          <w:tcPr>
            <w:tcW w:w="4067" w:type="pct"/>
            <w:gridSpan w:val="6"/>
            <w:vAlign w:val="center"/>
          </w:tcPr>
          <w:p w14:paraId="595DEE90">
            <w:pPr>
              <w:pStyle w:val="129"/>
              <w:widowControl w:val="0"/>
              <w:rPr>
                <w:color w:val="auto"/>
              </w:rPr>
            </w:pPr>
            <w:r>
              <w:rPr>
                <w:rFonts w:hint="eastAsia"/>
                <w:color w:val="auto"/>
              </w:rPr>
              <w:t>危险废物处置冷凝水经管道送乌鲁木齐众荣电子材料科技有限公司回用，生活污水排入园区下水管网，送园区污水处理厂进一步处理</w:t>
            </w:r>
          </w:p>
        </w:tc>
      </w:tr>
      <w:tr w14:paraId="739EF3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2CA2CCB3">
            <w:pPr>
              <w:pStyle w:val="129"/>
              <w:widowControl w:val="0"/>
              <w:rPr>
                <w:color w:val="auto"/>
              </w:rPr>
            </w:pPr>
          </w:p>
        </w:tc>
        <w:tc>
          <w:tcPr>
            <w:tcW w:w="577" w:type="pct"/>
            <w:vAlign w:val="center"/>
          </w:tcPr>
          <w:p w14:paraId="7C93A8F2">
            <w:pPr>
              <w:pStyle w:val="129"/>
              <w:widowControl w:val="0"/>
              <w:rPr>
                <w:color w:val="auto"/>
              </w:rPr>
            </w:pPr>
            <w:r>
              <w:rPr>
                <w:rFonts w:hint="eastAsia"/>
                <w:color w:val="auto"/>
              </w:rPr>
              <w:t>固体废物</w:t>
            </w:r>
          </w:p>
        </w:tc>
        <w:tc>
          <w:tcPr>
            <w:tcW w:w="4067" w:type="pct"/>
            <w:gridSpan w:val="6"/>
            <w:vAlign w:val="center"/>
          </w:tcPr>
          <w:p w14:paraId="47C5356A">
            <w:pPr>
              <w:pStyle w:val="129"/>
              <w:widowControl w:val="0"/>
              <w:rPr>
                <w:color w:val="auto"/>
              </w:rPr>
            </w:pPr>
            <w:r>
              <w:rPr>
                <w:rFonts w:hint="eastAsia"/>
                <w:color w:val="auto"/>
              </w:rPr>
              <w:t>建设106m</w:t>
            </w:r>
            <w:r>
              <w:rPr>
                <w:rFonts w:hint="eastAsia"/>
                <w:color w:val="auto"/>
                <w:vertAlign w:val="superscript"/>
              </w:rPr>
              <w:t>2</w:t>
            </w:r>
            <w:r>
              <w:rPr>
                <w:rFonts w:hint="eastAsia"/>
                <w:color w:val="auto"/>
              </w:rPr>
              <w:t>危险废物暂存库一座</w:t>
            </w:r>
          </w:p>
        </w:tc>
      </w:tr>
      <w:tr w14:paraId="38D117E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33FA218F">
            <w:pPr>
              <w:pStyle w:val="129"/>
              <w:widowControl w:val="0"/>
              <w:rPr>
                <w:color w:val="auto"/>
              </w:rPr>
            </w:pPr>
          </w:p>
        </w:tc>
        <w:tc>
          <w:tcPr>
            <w:tcW w:w="577" w:type="pct"/>
            <w:vAlign w:val="center"/>
          </w:tcPr>
          <w:p w14:paraId="1DE63AE6">
            <w:pPr>
              <w:pStyle w:val="129"/>
              <w:widowControl w:val="0"/>
              <w:rPr>
                <w:color w:val="auto"/>
              </w:rPr>
            </w:pPr>
            <w:r>
              <w:rPr>
                <w:rFonts w:hint="eastAsia"/>
                <w:color w:val="auto"/>
              </w:rPr>
              <w:t>环境风险</w:t>
            </w:r>
          </w:p>
        </w:tc>
        <w:tc>
          <w:tcPr>
            <w:tcW w:w="4067" w:type="pct"/>
            <w:gridSpan w:val="6"/>
            <w:vAlign w:val="center"/>
          </w:tcPr>
          <w:p w14:paraId="246E5C21">
            <w:pPr>
              <w:pStyle w:val="129"/>
              <w:widowControl w:val="0"/>
              <w:rPr>
                <w:color w:val="auto"/>
              </w:rPr>
            </w:pPr>
            <w:r>
              <w:rPr>
                <w:rFonts w:hint="eastAsia"/>
                <w:color w:val="auto"/>
              </w:rPr>
              <w:t>地面硬化、分区防渗，建设700m</w:t>
            </w:r>
            <w:r>
              <w:rPr>
                <w:rFonts w:hint="eastAsia"/>
                <w:color w:val="auto"/>
                <w:vertAlign w:val="superscript"/>
              </w:rPr>
              <w:t>3</w:t>
            </w:r>
            <w:r>
              <w:rPr>
                <w:rFonts w:hint="eastAsia"/>
                <w:color w:val="auto"/>
              </w:rPr>
              <w:t>消防事故水池一座</w:t>
            </w:r>
          </w:p>
        </w:tc>
      </w:tr>
      <w:tr w14:paraId="6D72CB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488F08C8">
            <w:pPr>
              <w:pStyle w:val="129"/>
              <w:widowControl w:val="0"/>
              <w:rPr>
                <w:color w:val="auto"/>
              </w:rPr>
            </w:pPr>
          </w:p>
        </w:tc>
        <w:tc>
          <w:tcPr>
            <w:tcW w:w="577" w:type="pct"/>
            <w:vAlign w:val="center"/>
          </w:tcPr>
          <w:p w14:paraId="3250B0E8">
            <w:pPr>
              <w:pStyle w:val="129"/>
              <w:widowControl w:val="0"/>
              <w:rPr>
                <w:color w:val="auto"/>
              </w:rPr>
            </w:pPr>
            <w:r>
              <w:rPr>
                <w:rFonts w:hint="eastAsia"/>
                <w:color w:val="auto"/>
              </w:rPr>
              <w:t>噪声</w:t>
            </w:r>
          </w:p>
        </w:tc>
        <w:tc>
          <w:tcPr>
            <w:tcW w:w="4067" w:type="pct"/>
            <w:gridSpan w:val="6"/>
            <w:vAlign w:val="center"/>
          </w:tcPr>
          <w:p w14:paraId="5C9F7C5C">
            <w:pPr>
              <w:pStyle w:val="129"/>
              <w:widowControl w:val="0"/>
              <w:rPr>
                <w:color w:val="auto"/>
              </w:rPr>
            </w:pPr>
            <w:r>
              <w:rPr>
                <w:color w:val="auto"/>
              </w:rPr>
              <w:t>选用低噪声设备、减振、隔声、消声等</w:t>
            </w:r>
          </w:p>
        </w:tc>
      </w:tr>
      <w:tr w14:paraId="38DF50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restart"/>
            <w:vAlign w:val="center"/>
          </w:tcPr>
          <w:p w14:paraId="67F8FE20">
            <w:pPr>
              <w:pStyle w:val="129"/>
              <w:widowControl w:val="0"/>
              <w:rPr>
                <w:color w:val="auto"/>
              </w:rPr>
            </w:pPr>
            <w:r>
              <w:rPr>
                <w:rFonts w:hint="eastAsia"/>
                <w:color w:val="auto"/>
              </w:rPr>
              <w:t>储运工程</w:t>
            </w:r>
          </w:p>
        </w:tc>
        <w:tc>
          <w:tcPr>
            <w:tcW w:w="577" w:type="pct"/>
            <w:vMerge w:val="restart"/>
            <w:vAlign w:val="center"/>
          </w:tcPr>
          <w:p w14:paraId="5639FA26">
            <w:pPr>
              <w:pStyle w:val="129"/>
              <w:widowControl w:val="0"/>
              <w:rPr>
                <w:color w:val="auto"/>
              </w:rPr>
            </w:pPr>
            <w:r>
              <w:rPr>
                <w:rFonts w:hint="eastAsia"/>
                <w:color w:val="auto"/>
              </w:rPr>
              <w:t>液体物料存储</w:t>
            </w:r>
          </w:p>
        </w:tc>
        <w:tc>
          <w:tcPr>
            <w:tcW w:w="1340" w:type="pct"/>
            <w:gridSpan w:val="2"/>
            <w:vAlign w:val="center"/>
          </w:tcPr>
          <w:p w14:paraId="093E6C8F">
            <w:pPr>
              <w:pStyle w:val="129"/>
              <w:widowControl w:val="0"/>
              <w:rPr>
                <w:color w:val="auto"/>
              </w:rPr>
            </w:pPr>
            <w:r>
              <w:rPr>
                <w:rFonts w:hint="eastAsia"/>
                <w:color w:val="auto"/>
              </w:rPr>
              <w:t>含</w:t>
            </w:r>
            <w:r>
              <w:rPr>
                <w:color w:val="auto"/>
              </w:rPr>
              <w:t>硝酸铝废酸液</w:t>
            </w:r>
          </w:p>
        </w:tc>
        <w:tc>
          <w:tcPr>
            <w:tcW w:w="2197" w:type="pct"/>
            <w:gridSpan w:val="3"/>
            <w:vAlign w:val="center"/>
          </w:tcPr>
          <w:p w14:paraId="3AD75AE1">
            <w:pPr>
              <w:pStyle w:val="129"/>
              <w:widowControl w:val="0"/>
              <w:rPr>
                <w:color w:val="auto"/>
              </w:rPr>
            </w:pPr>
            <w:r>
              <w:rPr>
                <w:rFonts w:hint="eastAsia"/>
                <w:color w:val="auto"/>
                <w:sz w:val="20"/>
              </w:rPr>
              <w:t>建设固定顶储罐1座，容积1000m</w:t>
            </w:r>
            <w:r>
              <w:rPr>
                <w:rFonts w:hint="eastAsia"/>
                <w:color w:val="auto"/>
                <w:sz w:val="20"/>
                <w:vertAlign w:val="superscript"/>
              </w:rPr>
              <w:t>3</w:t>
            </w:r>
          </w:p>
        </w:tc>
        <w:tc>
          <w:tcPr>
            <w:tcW w:w="530" w:type="pct"/>
            <w:vMerge w:val="restart"/>
            <w:vAlign w:val="center"/>
          </w:tcPr>
          <w:p w14:paraId="72C634AA">
            <w:pPr>
              <w:pStyle w:val="129"/>
              <w:widowControl w:val="0"/>
              <w:rPr>
                <w:color w:val="auto"/>
              </w:rPr>
            </w:pPr>
            <w:r>
              <w:rPr>
                <w:rFonts w:hint="eastAsia"/>
                <w:color w:val="auto"/>
              </w:rPr>
              <w:t>布置于生产车间内部</w:t>
            </w:r>
          </w:p>
        </w:tc>
      </w:tr>
      <w:tr w14:paraId="60453B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6A138FE8">
            <w:pPr>
              <w:pStyle w:val="129"/>
              <w:widowControl w:val="0"/>
              <w:rPr>
                <w:color w:val="auto"/>
              </w:rPr>
            </w:pPr>
          </w:p>
        </w:tc>
        <w:tc>
          <w:tcPr>
            <w:tcW w:w="577" w:type="pct"/>
            <w:vMerge w:val="continue"/>
            <w:vAlign w:val="center"/>
          </w:tcPr>
          <w:p w14:paraId="0B84B504">
            <w:pPr>
              <w:pStyle w:val="129"/>
              <w:widowControl w:val="0"/>
              <w:rPr>
                <w:color w:val="auto"/>
              </w:rPr>
            </w:pPr>
          </w:p>
        </w:tc>
        <w:tc>
          <w:tcPr>
            <w:tcW w:w="1340" w:type="pct"/>
            <w:gridSpan w:val="2"/>
            <w:vAlign w:val="center"/>
          </w:tcPr>
          <w:p w14:paraId="7D2105FC">
            <w:pPr>
              <w:pStyle w:val="129"/>
              <w:widowControl w:val="0"/>
              <w:rPr>
                <w:color w:val="auto"/>
              </w:rPr>
            </w:pPr>
            <w:r>
              <w:rPr>
                <w:rFonts w:hint="eastAsia"/>
                <w:color w:val="auto"/>
              </w:rPr>
              <w:t>含磷酸二氢铝废酸液</w:t>
            </w:r>
          </w:p>
        </w:tc>
        <w:tc>
          <w:tcPr>
            <w:tcW w:w="2197" w:type="pct"/>
            <w:gridSpan w:val="3"/>
            <w:vAlign w:val="center"/>
          </w:tcPr>
          <w:p w14:paraId="76EF82D7">
            <w:pPr>
              <w:pStyle w:val="129"/>
              <w:widowControl w:val="0"/>
              <w:rPr>
                <w:color w:val="auto"/>
              </w:rPr>
            </w:pPr>
            <w:r>
              <w:rPr>
                <w:rFonts w:hint="eastAsia"/>
                <w:color w:val="auto"/>
                <w:sz w:val="20"/>
              </w:rPr>
              <w:t>建设固定顶储罐1座，容积150m</w:t>
            </w:r>
            <w:r>
              <w:rPr>
                <w:rFonts w:hint="eastAsia"/>
                <w:color w:val="auto"/>
                <w:sz w:val="20"/>
                <w:vertAlign w:val="superscript"/>
              </w:rPr>
              <w:t>3</w:t>
            </w:r>
          </w:p>
        </w:tc>
        <w:tc>
          <w:tcPr>
            <w:tcW w:w="530" w:type="pct"/>
            <w:vMerge w:val="continue"/>
            <w:vAlign w:val="center"/>
          </w:tcPr>
          <w:p w14:paraId="5D7B5A54">
            <w:pPr>
              <w:pStyle w:val="129"/>
              <w:widowControl w:val="0"/>
              <w:rPr>
                <w:color w:val="auto"/>
              </w:rPr>
            </w:pPr>
          </w:p>
        </w:tc>
      </w:tr>
      <w:tr w14:paraId="135387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5B1522C2">
            <w:pPr>
              <w:pStyle w:val="129"/>
              <w:widowControl w:val="0"/>
              <w:rPr>
                <w:color w:val="auto"/>
              </w:rPr>
            </w:pPr>
          </w:p>
        </w:tc>
        <w:tc>
          <w:tcPr>
            <w:tcW w:w="577" w:type="pct"/>
            <w:vMerge w:val="continue"/>
            <w:vAlign w:val="center"/>
          </w:tcPr>
          <w:p w14:paraId="54E35826">
            <w:pPr>
              <w:pStyle w:val="129"/>
              <w:widowControl w:val="0"/>
              <w:rPr>
                <w:color w:val="auto"/>
              </w:rPr>
            </w:pPr>
          </w:p>
        </w:tc>
        <w:tc>
          <w:tcPr>
            <w:tcW w:w="1340" w:type="pct"/>
            <w:gridSpan w:val="2"/>
            <w:vAlign w:val="center"/>
          </w:tcPr>
          <w:p w14:paraId="30B98452">
            <w:pPr>
              <w:pStyle w:val="129"/>
              <w:widowControl w:val="0"/>
              <w:rPr>
                <w:color w:val="auto"/>
              </w:rPr>
            </w:pPr>
            <w:r>
              <w:rPr>
                <w:rFonts w:hint="eastAsia"/>
                <w:color w:val="auto"/>
              </w:rPr>
              <w:t>含硫酸铝废酸液</w:t>
            </w:r>
          </w:p>
        </w:tc>
        <w:tc>
          <w:tcPr>
            <w:tcW w:w="2197" w:type="pct"/>
            <w:gridSpan w:val="3"/>
            <w:vAlign w:val="center"/>
          </w:tcPr>
          <w:p w14:paraId="58160173">
            <w:pPr>
              <w:pStyle w:val="129"/>
              <w:widowControl w:val="0"/>
              <w:rPr>
                <w:color w:val="auto"/>
              </w:rPr>
            </w:pPr>
            <w:r>
              <w:rPr>
                <w:rFonts w:hint="eastAsia"/>
                <w:color w:val="auto"/>
                <w:sz w:val="20"/>
              </w:rPr>
              <w:t>建设固定顶储罐1座，容积1000m</w:t>
            </w:r>
            <w:r>
              <w:rPr>
                <w:rFonts w:hint="eastAsia"/>
                <w:color w:val="auto"/>
                <w:sz w:val="20"/>
                <w:vertAlign w:val="superscript"/>
              </w:rPr>
              <w:t>3</w:t>
            </w:r>
          </w:p>
        </w:tc>
        <w:tc>
          <w:tcPr>
            <w:tcW w:w="530" w:type="pct"/>
            <w:vMerge w:val="continue"/>
            <w:vAlign w:val="center"/>
          </w:tcPr>
          <w:p w14:paraId="5F427370">
            <w:pPr>
              <w:pStyle w:val="129"/>
              <w:widowControl w:val="0"/>
              <w:rPr>
                <w:color w:val="auto"/>
              </w:rPr>
            </w:pPr>
          </w:p>
        </w:tc>
      </w:tr>
      <w:tr w14:paraId="026EC48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0687BDBB">
            <w:pPr>
              <w:pStyle w:val="129"/>
              <w:widowControl w:val="0"/>
              <w:rPr>
                <w:color w:val="auto"/>
              </w:rPr>
            </w:pPr>
          </w:p>
        </w:tc>
        <w:tc>
          <w:tcPr>
            <w:tcW w:w="577" w:type="pct"/>
            <w:vMerge w:val="continue"/>
            <w:vAlign w:val="center"/>
          </w:tcPr>
          <w:p w14:paraId="20865AEB">
            <w:pPr>
              <w:pStyle w:val="129"/>
              <w:widowControl w:val="0"/>
              <w:rPr>
                <w:color w:val="auto"/>
              </w:rPr>
            </w:pPr>
          </w:p>
        </w:tc>
        <w:tc>
          <w:tcPr>
            <w:tcW w:w="1340" w:type="pct"/>
            <w:gridSpan w:val="2"/>
            <w:vAlign w:val="center"/>
          </w:tcPr>
          <w:p w14:paraId="5D5AB4BF">
            <w:pPr>
              <w:pStyle w:val="129"/>
              <w:widowControl w:val="0"/>
              <w:rPr>
                <w:color w:val="auto"/>
              </w:rPr>
            </w:pPr>
            <w:r>
              <w:rPr>
                <w:rFonts w:hint="eastAsia"/>
                <w:color w:val="auto"/>
              </w:rPr>
              <w:t>含氯化铝废酸液</w:t>
            </w:r>
          </w:p>
        </w:tc>
        <w:tc>
          <w:tcPr>
            <w:tcW w:w="2197" w:type="pct"/>
            <w:gridSpan w:val="3"/>
            <w:vAlign w:val="center"/>
          </w:tcPr>
          <w:p w14:paraId="7BD4F93F">
            <w:pPr>
              <w:pStyle w:val="129"/>
              <w:widowControl w:val="0"/>
              <w:rPr>
                <w:color w:val="auto"/>
              </w:rPr>
            </w:pPr>
            <w:r>
              <w:rPr>
                <w:rFonts w:hint="eastAsia"/>
                <w:color w:val="auto"/>
                <w:sz w:val="20"/>
              </w:rPr>
              <w:t>建设固定顶储罐1座，容积50m</w:t>
            </w:r>
            <w:r>
              <w:rPr>
                <w:rFonts w:hint="eastAsia"/>
                <w:color w:val="auto"/>
                <w:sz w:val="20"/>
                <w:vertAlign w:val="superscript"/>
              </w:rPr>
              <w:t>3</w:t>
            </w:r>
          </w:p>
        </w:tc>
        <w:tc>
          <w:tcPr>
            <w:tcW w:w="530" w:type="pct"/>
            <w:vMerge w:val="continue"/>
            <w:vAlign w:val="center"/>
          </w:tcPr>
          <w:p w14:paraId="346ADB60">
            <w:pPr>
              <w:pStyle w:val="129"/>
              <w:widowControl w:val="0"/>
              <w:rPr>
                <w:color w:val="auto"/>
              </w:rPr>
            </w:pPr>
          </w:p>
        </w:tc>
      </w:tr>
      <w:tr w14:paraId="64F8BC8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6E760991">
            <w:pPr>
              <w:pStyle w:val="129"/>
              <w:widowControl w:val="0"/>
              <w:rPr>
                <w:color w:val="auto"/>
              </w:rPr>
            </w:pPr>
          </w:p>
        </w:tc>
        <w:tc>
          <w:tcPr>
            <w:tcW w:w="577" w:type="pct"/>
            <w:vMerge w:val="continue"/>
            <w:vAlign w:val="center"/>
          </w:tcPr>
          <w:p w14:paraId="4159E50E">
            <w:pPr>
              <w:pStyle w:val="129"/>
              <w:widowControl w:val="0"/>
              <w:rPr>
                <w:color w:val="auto"/>
              </w:rPr>
            </w:pPr>
          </w:p>
        </w:tc>
        <w:tc>
          <w:tcPr>
            <w:tcW w:w="1340" w:type="pct"/>
            <w:gridSpan w:val="2"/>
            <w:vAlign w:val="center"/>
          </w:tcPr>
          <w:p w14:paraId="30B531B7">
            <w:pPr>
              <w:pStyle w:val="129"/>
              <w:widowControl w:val="0"/>
              <w:rPr>
                <w:color w:val="auto"/>
              </w:rPr>
            </w:pPr>
            <w:r>
              <w:rPr>
                <w:rFonts w:hint="eastAsia"/>
                <w:color w:val="auto"/>
              </w:rPr>
              <w:t>偏铝酸钠废碱液</w:t>
            </w:r>
          </w:p>
        </w:tc>
        <w:tc>
          <w:tcPr>
            <w:tcW w:w="2197" w:type="pct"/>
            <w:gridSpan w:val="3"/>
            <w:vAlign w:val="center"/>
          </w:tcPr>
          <w:p w14:paraId="3240F4FA">
            <w:pPr>
              <w:pStyle w:val="129"/>
              <w:widowControl w:val="0"/>
              <w:rPr>
                <w:color w:val="auto"/>
              </w:rPr>
            </w:pPr>
            <w:r>
              <w:rPr>
                <w:rFonts w:hint="eastAsia"/>
                <w:color w:val="auto"/>
                <w:sz w:val="20"/>
              </w:rPr>
              <w:t>建设固定顶储罐1座，容积150m</w:t>
            </w:r>
            <w:r>
              <w:rPr>
                <w:rFonts w:hint="eastAsia"/>
                <w:color w:val="auto"/>
                <w:sz w:val="20"/>
                <w:vertAlign w:val="superscript"/>
              </w:rPr>
              <w:t>3</w:t>
            </w:r>
          </w:p>
        </w:tc>
        <w:tc>
          <w:tcPr>
            <w:tcW w:w="530" w:type="pct"/>
            <w:vMerge w:val="continue"/>
            <w:vAlign w:val="center"/>
          </w:tcPr>
          <w:p w14:paraId="0102D6D8">
            <w:pPr>
              <w:pStyle w:val="129"/>
              <w:widowControl w:val="0"/>
              <w:rPr>
                <w:color w:val="auto"/>
              </w:rPr>
            </w:pPr>
          </w:p>
        </w:tc>
      </w:tr>
      <w:tr w14:paraId="01F0465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3565CA15">
            <w:pPr>
              <w:pStyle w:val="129"/>
              <w:widowControl w:val="0"/>
              <w:rPr>
                <w:color w:val="auto"/>
              </w:rPr>
            </w:pPr>
          </w:p>
        </w:tc>
        <w:tc>
          <w:tcPr>
            <w:tcW w:w="577" w:type="pct"/>
            <w:vMerge w:val="continue"/>
            <w:vAlign w:val="center"/>
          </w:tcPr>
          <w:p w14:paraId="1D0665AB">
            <w:pPr>
              <w:pStyle w:val="129"/>
              <w:widowControl w:val="0"/>
              <w:rPr>
                <w:color w:val="auto"/>
              </w:rPr>
            </w:pPr>
          </w:p>
        </w:tc>
        <w:tc>
          <w:tcPr>
            <w:tcW w:w="1340" w:type="pct"/>
            <w:gridSpan w:val="2"/>
            <w:vAlign w:val="center"/>
          </w:tcPr>
          <w:p w14:paraId="19770307">
            <w:pPr>
              <w:pStyle w:val="129"/>
              <w:widowControl w:val="0"/>
              <w:rPr>
                <w:color w:val="auto"/>
              </w:rPr>
            </w:pPr>
            <w:r>
              <w:rPr>
                <w:rFonts w:hint="eastAsia"/>
                <w:color w:val="auto"/>
              </w:rPr>
              <w:t>含碳酸钠废碱液</w:t>
            </w:r>
          </w:p>
        </w:tc>
        <w:tc>
          <w:tcPr>
            <w:tcW w:w="2197" w:type="pct"/>
            <w:gridSpan w:val="3"/>
            <w:vAlign w:val="center"/>
          </w:tcPr>
          <w:p w14:paraId="05BBD5F9">
            <w:pPr>
              <w:pStyle w:val="129"/>
              <w:widowControl w:val="0"/>
              <w:rPr>
                <w:color w:val="auto"/>
              </w:rPr>
            </w:pPr>
            <w:r>
              <w:rPr>
                <w:rFonts w:hint="eastAsia"/>
                <w:color w:val="auto"/>
                <w:sz w:val="20"/>
              </w:rPr>
              <w:t>建设固定顶储罐1座，容积150m</w:t>
            </w:r>
            <w:r>
              <w:rPr>
                <w:rFonts w:hint="eastAsia"/>
                <w:color w:val="auto"/>
                <w:sz w:val="20"/>
                <w:vertAlign w:val="superscript"/>
              </w:rPr>
              <w:t>3</w:t>
            </w:r>
          </w:p>
        </w:tc>
        <w:tc>
          <w:tcPr>
            <w:tcW w:w="530" w:type="pct"/>
            <w:vMerge w:val="continue"/>
            <w:vAlign w:val="center"/>
          </w:tcPr>
          <w:p w14:paraId="120C6E4D">
            <w:pPr>
              <w:pStyle w:val="129"/>
              <w:widowControl w:val="0"/>
              <w:rPr>
                <w:color w:val="auto"/>
              </w:rPr>
            </w:pPr>
          </w:p>
        </w:tc>
      </w:tr>
      <w:tr w14:paraId="01C5D3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79C6F3DB">
            <w:pPr>
              <w:pStyle w:val="129"/>
              <w:widowControl w:val="0"/>
              <w:rPr>
                <w:color w:val="auto"/>
              </w:rPr>
            </w:pPr>
          </w:p>
        </w:tc>
        <w:tc>
          <w:tcPr>
            <w:tcW w:w="577" w:type="pct"/>
            <w:vMerge w:val="continue"/>
            <w:vAlign w:val="center"/>
          </w:tcPr>
          <w:p w14:paraId="6086159D">
            <w:pPr>
              <w:pStyle w:val="129"/>
              <w:widowControl w:val="0"/>
              <w:rPr>
                <w:color w:val="auto"/>
              </w:rPr>
            </w:pPr>
          </w:p>
        </w:tc>
        <w:tc>
          <w:tcPr>
            <w:tcW w:w="1340" w:type="pct"/>
            <w:gridSpan w:val="2"/>
            <w:vAlign w:val="center"/>
          </w:tcPr>
          <w:p w14:paraId="12F81EF3">
            <w:pPr>
              <w:pStyle w:val="129"/>
              <w:widowControl w:val="0"/>
              <w:rPr>
                <w:color w:val="auto"/>
              </w:rPr>
            </w:pPr>
            <w:r>
              <w:rPr>
                <w:rFonts w:hint="eastAsia"/>
                <w:color w:val="auto"/>
              </w:rPr>
              <w:t>尿素溶液</w:t>
            </w:r>
          </w:p>
        </w:tc>
        <w:tc>
          <w:tcPr>
            <w:tcW w:w="2197" w:type="pct"/>
            <w:gridSpan w:val="3"/>
            <w:vAlign w:val="center"/>
          </w:tcPr>
          <w:p w14:paraId="53C80DDE">
            <w:pPr>
              <w:pStyle w:val="129"/>
              <w:widowControl w:val="0"/>
              <w:rPr>
                <w:color w:val="auto"/>
              </w:rPr>
            </w:pPr>
            <w:r>
              <w:rPr>
                <w:rFonts w:hint="eastAsia"/>
                <w:color w:val="auto"/>
                <w:sz w:val="20"/>
              </w:rPr>
              <w:t>建设固定顶储罐1座，容积100m</w:t>
            </w:r>
            <w:r>
              <w:rPr>
                <w:rFonts w:hint="eastAsia"/>
                <w:color w:val="auto"/>
                <w:sz w:val="20"/>
                <w:vertAlign w:val="superscript"/>
              </w:rPr>
              <w:t>3</w:t>
            </w:r>
          </w:p>
        </w:tc>
        <w:tc>
          <w:tcPr>
            <w:tcW w:w="530" w:type="pct"/>
            <w:vMerge w:val="continue"/>
            <w:vAlign w:val="center"/>
          </w:tcPr>
          <w:p w14:paraId="3CC8E354">
            <w:pPr>
              <w:pStyle w:val="129"/>
              <w:widowControl w:val="0"/>
              <w:rPr>
                <w:color w:val="auto"/>
              </w:rPr>
            </w:pPr>
          </w:p>
        </w:tc>
      </w:tr>
      <w:tr w14:paraId="5C9A55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1D5561BF">
            <w:pPr>
              <w:pStyle w:val="129"/>
              <w:widowControl w:val="0"/>
              <w:rPr>
                <w:color w:val="auto"/>
              </w:rPr>
            </w:pPr>
          </w:p>
        </w:tc>
        <w:tc>
          <w:tcPr>
            <w:tcW w:w="577" w:type="pct"/>
            <w:vMerge w:val="continue"/>
            <w:vAlign w:val="center"/>
          </w:tcPr>
          <w:p w14:paraId="6F939914">
            <w:pPr>
              <w:pStyle w:val="129"/>
              <w:widowControl w:val="0"/>
              <w:rPr>
                <w:color w:val="auto"/>
              </w:rPr>
            </w:pPr>
          </w:p>
        </w:tc>
        <w:tc>
          <w:tcPr>
            <w:tcW w:w="1340" w:type="pct"/>
            <w:gridSpan w:val="2"/>
            <w:vAlign w:val="center"/>
          </w:tcPr>
          <w:p w14:paraId="0C648A0E">
            <w:pPr>
              <w:pStyle w:val="129"/>
              <w:widowControl w:val="0"/>
              <w:rPr>
                <w:color w:val="auto"/>
              </w:rPr>
            </w:pPr>
            <w:r>
              <w:rPr>
                <w:rFonts w:hint="eastAsia"/>
                <w:color w:val="auto"/>
              </w:rPr>
              <w:t>冷凝水（回用水）</w:t>
            </w:r>
          </w:p>
        </w:tc>
        <w:tc>
          <w:tcPr>
            <w:tcW w:w="2197" w:type="pct"/>
            <w:gridSpan w:val="3"/>
            <w:vAlign w:val="center"/>
          </w:tcPr>
          <w:p w14:paraId="0811033F">
            <w:pPr>
              <w:pStyle w:val="129"/>
              <w:widowControl w:val="0"/>
              <w:rPr>
                <w:color w:val="auto"/>
              </w:rPr>
            </w:pPr>
            <w:r>
              <w:rPr>
                <w:rFonts w:hint="eastAsia"/>
                <w:color w:val="auto"/>
                <w:sz w:val="20"/>
              </w:rPr>
              <w:t>建设固定顶储罐1座，容积1000m</w:t>
            </w:r>
            <w:r>
              <w:rPr>
                <w:rFonts w:hint="eastAsia"/>
                <w:color w:val="auto"/>
                <w:sz w:val="20"/>
                <w:vertAlign w:val="superscript"/>
              </w:rPr>
              <w:t>3</w:t>
            </w:r>
          </w:p>
        </w:tc>
        <w:tc>
          <w:tcPr>
            <w:tcW w:w="530" w:type="pct"/>
            <w:vMerge w:val="continue"/>
            <w:vAlign w:val="center"/>
          </w:tcPr>
          <w:p w14:paraId="0FB6384B">
            <w:pPr>
              <w:pStyle w:val="129"/>
              <w:widowControl w:val="0"/>
              <w:rPr>
                <w:color w:val="auto"/>
              </w:rPr>
            </w:pPr>
          </w:p>
        </w:tc>
      </w:tr>
      <w:tr w14:paraId="6E320D2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27D8DC61">
            <w:pPr>
              <w:pStyle w:val="129"/>
              <w:widowControl w:val="0"/>
              <w:rPr>
                <w:color w:val="auto"/>
              </w:rPr>
            </w:pPr>
          </w:p>
        </w:tc>
        <w:tc>
          <w:tcPr>
            <w:tcW w:w="577" w:type="pct"/>
            <w:vMerge w:val="continue"/>
            <w:vAlign w:val="center"/>
          </w:tcPr>
          <w:p w14:paraId="458B341A">
            <w:pPr>
              <w:pStyle w:val="129"/>
              <w:widowControl w:val="0"/>
              <w:rPr>
                <w:color w:val="auto"/>
              </w:rPr>
            </w:pPr>
          </w:p>
        </w:tc>
        <w:tc>
          <w:tcPr>
            <w:tcW w:w="1340" w:type="pct"/>
            <w:gridSpan w:val="2"/>
            <w:vAlign w:val="center"/>
          </w:tcPr>
          <w:p w14:paraId="085AB280">
            <w:pPr>
              <w:pStyle w:val="129"/>
              <w:widowControl w:val="0"/>
              <w:rPr>
                <w:color w:val="auto"/>
              </w:rPr>
            </w:pPr>
            <w:r>
              <w:rPr>
                <w:rFonts w:hint="eastAsia"/>
                <w:color w:val="auto"/>
              </w:rPr>
              <w:t>氨水（15%）</w:t>
            </w:r>
          </w:p>
        </w:tc>
        <w:tc>
          <w:tcPr>
            <w:tcW w:w="2197" w:type="pct"/>
            <w:gridSpan w:val="3"/>
            <w:vAlign w:val="center"/>
          </w:tcPr>
          <w:p w14:paraId="1A7E7EF1">
            <w:pPr>
              <w:pStyle w:val="129"/>
              <w:widowControl w:val="0"/>
              <w:rPr>
                <w:color w:val="auto"/>
              </w:rPr>
            </w:pPr>
            <w:r>
              <w:rPr>
                <w:rFonts w:hint="eastAsia"/>
                <w:color w:val="auto"/>
                <w:sz w:val="20"/>
              </w:rPr>
              <w:t>建设固定顶储罐1座，容积1000m</w:t>
            </w:r>
            <w:r>
              <w:rPr>
                <w:rFonts w:hint="eastAsia"/>
                <w:color w:val="auto"/>
                <w:sz w:val="20"/>
                <w:vertAlign w:val="superscript"/>
              </w:rPr>
              <w:t>3</w:t>
            </w:r>
          </w:p>
        </w:tc>
        <w:tc>
          <w:tcPr>
            <w:tcW w:w="530" w:type="pct"/>
            <w:vMerge w:val="continue"/>
            <w:vAlign w:val="center"/>
          </w:tcPr>
          <w:p w14:paraId="01D89E00">
            <w:pPr>
              <w:pStyle w:val="129"/>
              <w:widowControl w:val="0"/>
              <w:rPr>
                <w:color w:val="auto"/>
              </w:rPr>
            </w:pPr>
          </w:p>
        </w:tc>
      </w:tr>
      <w:tr w14:paraId="3804A9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1130C435">
            <w:pPr>
              <w:pStyle w:val="129"/>
              <w:widowControl w:val="0"/>
              <w:rPr>
                <w:color w:val="auto"/>
              </w:rPr>
            </w:pPr>
          </w:p>
        </w:tc>
        <w:tc>
          <w:tcPr>
            <w:tcW w:w="577" w:type="pct"/>
            <w:vMerge w:val="continue"/>
            <w:vAlign w:val="center"/>
          </w:tcPr>
          <w:p w14:paraId="16E3E0AD">
            <w:pPr>
              <w:pStyle w:val="129"/>
              <w:widowControl w:val="0"/>
              <w:rPr>
                <w:color w:val="auto"/>
              </w:rPr>
            </w:pPr>
          </w:p>
        </w:tc>
        <w:tc>
          <w:tcPr>
            <w:tcW w:w="1340" w:type="pct"/>
            <w:gridSpan w:val="2"/>
            <w:vAlign w:val="center"/>
          </w:tcPr>
          <w:p w14:paraId="3F2F01E6">
            <w:pPr>
              <w:pStyle w:val="129"/>
              <w:widowControl w:val="0"/>
              <w:rPr>
                <w:color w:val="auto"/>
              </w:rPr>
            </w:pPr>
            <w:r>
              <w:rPr>
                <w:rFonts w:hint="eastAsia"/>
                <w:color w:val="auto"/>
              </w:rPr>
              <w:t>硫酸（10%）</w:t>
            </w:r>
          </w:p>
        </w:tc>
        <w:tc>
          <w:tcPr>
            <w:tcW w:w="2197" w:type="pct"/>
            <w:gridSpan w:val="3"/>
            <w:vAlign w:val="center"/>
          </w:tcPr>
          <w:p w14:paraId="09689F1D">
            <w:pPr>
              <w:pStyle w:val="129"/>
              <w:widowControl w:val="0"/>
              <w:rPr>
                <w:color w:val="auto"/>
              </w:rPr>
            </w:pPr>
            <w:r>
              <w:rPr>
                <w:rFonts w:hint="eastAsia"/>
                <w:color w:val="auto"/>
                <w:sz w:val="20"/>
              </w:rPr>
              <w:t>建设固定顶储罐1座，容积1000m</w:t>
            </w:r>
            <w:r>
              <w:rPr>
                <w:rFonts w:hint="eastAsia"/>
                <w:color w:val="auto"/>
                <w:sz w:val="20"/>
                <w:vertAlign w:val="superscript"/>
              </w:rPr>
              <w:t>3</w:t>
            </w:r>
          </w:p>
        </w:tc>
        <w:tc>
          <w:tcPr>
            <w:tcW w:w="530" w:type="pct"/>
            <w:vMerge w:val="continue"/>
            <w:vAlign w:val="center"/>
          </w:tcPr>
          <w:p w14:paraId="0DACC4C0">
            <w:pPr>
              <w:pStyle w:val="129"/>
              <w:widowControl w:val="0"/>
              <w:rPr>
                <w:color w:val="auto"/>
              </w:rPr>
            </w:pPr>
          </w:p>
        </w:tc>
      </w:tr>
      <w:tr w14:paraId="1E1E6B0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25E6A236">
            <w:pPr>
              <w:pStyle w:val="129"/>
              <w:widowControl w:val="0"/>
              <w:rPr>
                <w:color w:val="auto"/>
              </w:rPr>
            </w:pPr>
          </w:p>
        </w:tc>
        <w:tc>
          <w:tcPr>
            <w:tcW w:w="577" w:type="pct"/>
            <w:vMerge w:val="continue"/>
            <w:vAlign w:val="center"/>
          </w:tcPr>
          <w:p w14:paraId="1BE9B2E2">
            <w:pPr>
              <w:pStyle w:val="129"/>
              <w:widowControl w:val="0"/>
              <w:rPr>
                <w:color w:val="auto"/>
              </w:rPr>
            </w:pPr>
          </w:p>
        </w:tc>
        <w:tc>
          <w:tcPr>
            <w:tcW w:w="1340" w:type="pct"/>
            <w:gridSpan w:val="2"/>
            <w:vAlign w:val="center"/>
          </w:tcPr>
          <w:p w14:paraId="6F804398">
            <w:pPr>
              <w:pStyle w:val="129"/>
              <w:widowControl w:val="0"/>
              <w:rPr>
                <w:color w:val="auto"/>
              </w:rPr>
            </w:pPr>
            <w:r>
              <w:rPr>
                <w:rFonts w:hint="eastAsia"/>
                <w:color w:val="auto"/>
              </w:rPr>
              <w:t>硝酸（0.58%）</w:t>
            </w:r>
          </w:p>
        </w:tc>
        <w:tc>
          <w:tcPr>
            <w:tcW w:w="2197" w:type="pct"/>
            <w:gridSpan w:val="3"/>
            <w:vAlign w:val="center"/>
          </w:tcPr>
          <w:p w14:paraId="26AE009A">
            <w:pPr>
              <w:pStyle w:val="129"/>
              <w:widowControl w:val="0"/>
              <w:rPr>
                <w:color w:val="auto"/>
              </w:rPr>
            </w:pPr>
            <w:r>
              <w:rPr>
                <w:rFonts w:hint="eastAsia"/>
                <w:color w:val="auto"/>
                <w:sz w:val="20"/>
              </w:rPr>
              <w:t>建设固定顶储罐1座，容积50m</w:t>
            </w:r>
            <w:r>
              <w:rPr>
                <w:rFonts w:hint="eastAsia"/>
                <w:color w:val="auto"/>
                <w:sz w:val="20"/>
                <w:vertAlign w:val="superscript"/>
              </w:rPr>
              <w:t>3</w:t>
            </w:r>
          </w:p>
        </w:tc>
        <w:tc>
          <w:tcPr>
            <w:tcW w:w="530" w:type="pct"/>
            <w:vMerge w:val="continue"/>
            <w:vAlign w:val="center"/>
          </w:tcPr>
          <w:p w14:paraId="7C59DA73">
            <w:pPr>
              <w:pStyle w:val="129"/>
              <w:widowControl w:val="0"/>
              <w:rPr>
                <w:color w:val="auto"/>
              </w:rPr>
            </w:pPr>
          </w:p>
        </w:tc>
      </w:tr>
      <w:tr w14:paraId="3D656FB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0FFDECE7">
            <w:pPr>
              <w:pStyle w:val="129"/>
              <w:widowControl w:val="0"/>
              <w:rPr>
                <w:color w:val="auto"/>
              </w:rPr>
            </w:pPr>
          </w:p>
        </w:tc>
        <w:tc>
          <w:tcPr>
            <w:tcW w:w="577" w:type="pct"/>
            <w:vMerge w:val="continue"/>
            <w:vAlign w:val="center"/>
          </w:tcPr>
          <w:p w14:paraId="1B761437">
            <w:pPr>
              <w:pStyle w:val="129"/>
              <w:widowControl w:val="0"/>
              <w:rPr>
                <w:color w:val="auto"/>
              </w:rPr>
            </w:pPr>
          </w:p>
        </w:tc>
        <w:tc>
          <w:tcPr>
            <w:tcW w:w="1340" w:type="pct"/>
            <w:gridSpan w:val="2"/>
            <w:vAlign w:val="center"/>
          </w:tcPr>
          <w:p w14:paraId="1BF24199">
            <w:pPr>
              <w:pStyle w:val="129"/>
              <w:widowControl w:val="0"/>
              <w:rPr>
                <w:color w:val="auto"/>
              </w:rPr>
            </w:pPr>
            <w:r>
              <w:rPr>
                <w:rFonts w:hint="eastAsia"/>
                <w:color w:val="auto"/>
              </w:rPr>
              <w:t>氢氧化钠（32%）</w:t>
            </w:r>
          </w:p>
        </w:tc>
        <w:tc>
          <w:tcPr>
            <w:tcW w:w="2197" w:type="pct"/>
            <w:gridSpan w:val="3"/>
            <w:vAlign w:val="center"/>
          </w:tcPr>
          <w:p w14:paraId="37CB463A">
            <w:pPr>
              <w:pStyle w:val="129"/>
              <w:widowControl w:val="0"/>
              <w:rPr>
                <w:color w:val="auto"/>
              </w:rPr>
            </w:pPr>
            <w:r>
              <w:rPr>
                <w:rFonts w:hint="eastAsia"/>
                <w:color w:val="auto"/>
                <w:sz w:val="20"/>
              </w:rPr>
              <w:t>建设固定顶储罐1座，容积80m</w:t>
            </w:r>
            <w:r>
              <w:rPr>
                <w:rFonts w:hint="eastAsia"/>
                <w:color w:val="auto"/>
                <w:sz w:val="20"/>
                <w:vertAlign w:val="superscript"/>
              </w:rPr>
              <w:t>3</w:t>
            </w:r>
          </w:p>
        </w:tc>
        <w:tc>
          <w:tcPr>
            <w:tcW w:w="530" w:type="pct"/>
            <w:vMerge w:val="continue"/>
            <w:vAlign w:val="center"/>
          </w:tcPr>
          <w:p w14:paraId="0C51E907">
            <w:pPr>
              <w:pStyle w:val="129"/>
              <w:widowControl w:val="0"/>
              <w:rPr>
                <w:color w:val="auto"/>
              </w:rPr>
            </w:pPr>
          </w:p>
        </w:tc>
      </w:tr>
      <w:tr w14:paraId="3344B5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777C4FFE">
            <w:pPr>
              <w:pStyle w:val="129"/>
              <w:widowControl w:val="0"/>
              <w:rPr>
                <w:color w:val="auto"/>
              </w:rPr>
            </w:pPr>
          </w:p>
        </w:tc>
        <w:tc>
          <w:tcPr>
            <w:tcW w:w="577" w:type="pct"/>
            <w:vMerge w:val="continue"/>
            <w:vAlign w:val="center"/>
          </w:tcPr>
          <w:p w14:paraId="7715B529">
            <w:pPr>
              <w:pStyle w:val="129"/>
              <w:widowControl w:val="0"/>
              <w:rPr>
                <w:color w:val="auto"/>
              </w:rPr>
            </w:pPr>
          </w:p>
        </w:tc>
        <w:tc>
          <w:tcPr>
            <w:tcW w:w="1340" w:type="pct"/>
            <w:gridSpan w:val="2"/>
            <w:vAlign w:val="center"/>
          </w:tcPr>
          <w:p w14:paraId="16D3E9B2">
            <w:pPr>
              <w:pStyle w:val="129"/>
              <w:widowControl w:val="0"/>
              <w:rPr>
                <w:color w:val="auto"/>
                <w:spacing w:val="-20"/>
              </w:rPr>
            </w:pPr>
            <w:r>
              <w:rPr>
                <w:rFonts w:hint="eastAsia"/>
                <w:color w:val="auto"/>
                <w:spacing w:val="-20"/>
              </w:rPr>
              <w:t>液体复合肥1（液体氮肥）</w:t>
            </w:r>
          </w:p>
        </w:tc>
        <w:tc>
          <w:tcPr>
            <w:tcW w:w="2197" w:type="pct"/>
            <w:gridSpan w:val="3"/>
            <w:vAlign w:val="center"/>
          </w:tcPr>
          <w:p w14:paraId="5AB9189F">
            <w:pPr>
              <w:pStyle w:val="129"/>
              <w:widowControl w:val="0"/>
              <w:rPr>
                <w:color w:val="auto"/>
              </w:rPr>
            </w:pPr>
            <w:r>
              <w:rPr>
                <w:color w:val="auto"/>
              </w:rPr>
              <w:t>200L</w:t>
            </w:r>
            <w:r>
              <w:rPr>
                <w:rFonts w:hint="eastAsia"/>
                <w:color w:val="auto"/>
              </w:rPr>
              <w:t>产品桶装，满足20天的产品存储量</w:t>
            </w:r>
          </w:p>
        </w:tc>
        <w:tc>
          <w:tcPr>
            <w:tcW w:w="530" w:type="pct"/>
            <w:vMerge w:val="restart"/>
            <w:vAlign w:val="center"/>
          </w:tcPr>
          <w:p w14:paraId="09F26621">
            <w:pPr>
              <w:pStyle w:val="129"/>
              <w:widowControl w:val="0"/>
              <w:rPr>
                <w:color w:val="auto"/>
              </w:rPr>
            </w:pPr>
            <w:r>
              <w:rPr>
                <w:rFonts w:hint="eastAsia"/>
                <w:color w:val="auto"/>
              </w:rPr>
              <w:t>存于2#仓库</w:t>
            </w:r>
          </w:p>
        </w:tc>
      </w:tr>
      <w:tr w14:paraId="6E2D7D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6DFBEA05">
            <w:pPr>
              <w:pStyle w:val="129"/>
              <w:widowControl w:val="0"/>
              <w:rPr>
                <w:color w:val="auto"/>
              </w:rPr>
            </w:pPr>
          </w:p>
        </w:tc>
        <w:tc>
          <w:tcPr>
            <w:tcW w:w="577" w:type="pct"/>
            <w:vMerge w:val="continue"/>
            <w:vAlign w:val="center"/>
          </w:tcPr>
          <w:p w14:paraId="744DB906">
            <w:pPr>
              <w:pStyle w:val="129"/>
              <w:widowControl w:val="0"/>
              <w:rPr>
                <w:color w:val="auto"/>
              </w:rPr>
            </w:pPr>
          </w:p>
        </w:tc>
        <w:tc>
          <w:tcPr>
            <w:tcW w:w="1340" w:type="pct"/>
            <w:gridSpan w:val="2"/>
            <w:vAlign w:val="center"/>
          </w:tcPr>
          <w:p w14:paraId="64C01B15">
            <w:pPr>
              <w:pStyle w:val="129"/>
              <w:widowControl w:val="0"/>
              <w:rPr>
                <w:color w:val="auto"/>
                <w:spacing w:val="-20"/>
              </w:rPr>
            </w:pPr>
            <w:r>
              <w:rPr>
                <w:rFonts w:hint="eastAsia"/>
                <w:color w:val="auto"/>
                <w:spacing w:val="-20"/>
              </w:rPr>
              <w:t>液体复合肥2（大量元素水溶肥）</w:t>
            </w:r>
          </w:p>
        </w:tc>
        <w:tc>
          <w:tcPr>
            <w:tcW w:w="2197" w:type="pct"/>
            <w:gridSpan w:val="3"/>
            <w:vAlign w:val="center"/>
          </w:tcPr>
          <w:p w14:paraId="38DBD0DE">
            <w:pPr>
              <w:pStyle w:val="129"/>
              <w:widowControl w:val="0"/>
              <w:rPr>
                <w:color w:val="auto"/>
              </w:rPr>
            </w:pPr>
            <w:r>
              <w:rPr>
                <w:color w:val="auto"/>
              </w:rPr>
              <w:t>200L</w:t>
            </w:r>
            <w:r>
              <w:rPr>
                <w:rFonts w:hint="eastAsia"/>
                <w:color w:val="auto"/>
              </w:rPr>
              <w:t>产品桶装，满足20天的产品存储量</w:t>
            </w:r>
          </w:p>
        </w:tc>
        <w:tc>
          <w:tcPr>
            <w:tcW w:w="530" w:type="pct"/>
            <w:vMerge w:val="continue"/>
            <w:vAlign w:val="center"/>
          </w:tcPr>
          <w:p w14:paraId="63E89F20">
            <w:pPr>
              <w:pStyle w:val="129"/>
              <w:widowControl w:val="0"/>
              <w:rPr>
                <w:color w:val="auto"/>
              </w:rPr>
            </w:pPr>
          </w:p>
        </w:tc>
      </w:tr>
      <w:tr w14:paraId="01D197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Pr>
        <w:tc>
          <w:tcPr>
            <w:tcW w:w="356" w:type="pct"/>
            <w:vMerge w:val="continue"/>
            <w:vAlign w:val="center"/>
          </w:tcPr>
          <w:p w14:paraId="62380A6E">
            <w:pPr>
              <w:pStyle w:val="129"/>
              <w:widowControl w:val="0"/>
              <w:rPr>
                <w:color w:val="auto"/>
              </w:rPr>
            </w:pPr>
          </w:p>
        </w:tc>
        <w:tc>
          <w:tcPr>
            <w:tcW w:w="577" w:type="pct"/>
            <w:vAlign w:val="center"/>
          </w:tcPr>
          <w:p w14:paraId="1AF5127A">
            <w:pPr>
              <w:pStyle w:val="129"/>
              <w:widowControl w:val="0"/>
              <w:rPr>
                <w:color w:val="auto"/>
              </w:rPr>
            </w:pPr>
            <w:r>
              <w:rPr>
                <w:rFonts w:hint="eastAsia"/>
                <w:color w:val="auto"/>
              </w:rPr>
              <w:t>固体物料存储</w:t>
            </w:r>
          </w:p>
        </w:tc>
        <w:tc>
          <w:tcPr>
            <w:tcW w:w="4067" w:type="pct"/>
            <w:gridSpan w:val="6"/>
            <w:vAlign w:val="center"/>
          </w:tcPr>
          <w:p w14:paraId="46D2971B">
            <w:pPr>
              <w:pStyle w:val="129"/>
              <w:widowControl w:val="0"/>
              <w:rPr>
                <w:color w:val="auto"/>
              </w:rPr>
            </w:pPr>
            <w:r>
              <w:rPr>
                <w:rFonts w:hint="eastAsia"/>
                <w:color w:val="auto"/>
              </w:rPr>
              <w:t>建设1#仓库，占地面积建设3431</w:t>
            </w:r>
            <w:r>
              <w:rPr>
                <w:color w:val="auto"/>
              </w:rPr>
              <w:t>m</w:t>
            </w:r>
            <w:r>
              <w:rPr>
                <w:rFonts w:hint="eastAsia"/>
                <w:color w:val="auto"/>
                <w:vertAlign w:val="superscript"/>
              </w:rPr>
              <w:t>2</w:t>
            </w:r>
            <w:r>
              <w:rPr>
                <w:rFonts w:hint="eastAsia"/>
                <w:color w:val="auto"/>
              </w:rPr>
              <w:t>，存储催化剂产品。</w:t>
            </w:r>
          </w:p>
          <w:p w14:paraId="17FBB6E9">
            <w:pPr>
              <w:pStyle w:val="129"/>
              <w:widowControl w:val="0"/>
              <w:rPr>
                <w:color w:val="auto"/>
              </w:rPr>
            </w:pPr>
            <w:r>
              <w:rPr>
                <w:rFonts w:hint="eastAsia"/>
                <w:color w:val="auto"/>
              </w:rPr>
              <w:t>建设2#仓库，占地面积建设5787</w:t>
            </w:r>
            <w:r>
              <w:rPr>
                <w:color w:val="auto"/>
              </w:rPr>
              <w:t>m</w:t>
            </w:r>
            <w:r>
              <w:rPr>
                <w:rFonts w:hint="eastAsia"/>
                <w:color w:val="auto"/>
                <w:vertAlign w:val="superscript"/>
              </w:rPr>
              <w:t>2</w:t>
            </w:r>
            <w:r>
              <w:rPr>
                <w:rFonts w:hint="eastAsia"/>
                <w:color w:val="auto"/>
              </w:rPr>
              <w:t>，存储液体肥料、拟薄水铝石产品，仓库内东南角隔出289</w:t>
            </w:r>
            <w:r>
              <w:rPr>
                <w:color w:val="auto"/>
              </w:rPr>
              <w:t xml:space="preserve"> m</w:t>
            </w:r>
            <w:r>
              <w:rPr>
                <w:rFonts w:hint="eastAsia"/>
                <w:color w:val="auto"/>
                <w:vertAlign w:val="superscript"/>
              </w:rPr>
              <w:t>2</w:t>
            </w:r>
            <w:r>
              <w:rPr>
                <w:rFonts w:hint="eastAsia"/>
                <w:color w:val="auto"/>
              </w:rPr>
              <w:t>仓库存储醋酸锰、醋酸钴、醋酸镍、醋酸锆、醋酸铜、醋酸钨、醋酸铁、醋酸钯、醋酸铂、醋酸铑、钼酸等原料。</w:t>
            </w:r>
          </w:p>
          <w:p w14:paraId="2EA4C2CA">
            <w:pPr>
              <w:pStyle w:val="129"/>
              <w:widowControl w:val="0"/>
              <w:rPr>
                <w:color w:val="auto"/>
              </w:rPr>
            </w:pPr>
            <w:r>
              <w:rPr>
                <w:rFonts w:hint="eastAsia"/>
                <w:color w:val="auto"/>
              </w:rPr>
              <w:t>建设2#仓库，占地面积建设5787</w:t>
            </w:r>
            <w:r>
              <w:rPr>
                <w:color w:val="auto"/>
              </w:rPr>
              <w:t>m</w:t>
            </w:r>
            <w:r>
              <w:rPr>
                <w:rFonts w:hint="eastAsia"/>
                <w:color w:val="auto"/>
                <w:vertAlign w:val="superscript"/>
              </w:rPr>
              <w:t>2</w:t>
            </w:r>
            <w:r>
              <w:rPr>
                <w:rFonts w:hint="eastAsia"/>
                <w:color w:val="auto"/>
              </w:rPr>
              <w:t>，存储硫酸铵、碳酸钠等产品。</w:t>
            </w:r>
          </w:p>
        </w:tc>
      </w:tr>
    </w:tbl>
    <w:p w14:paraId="60AAF47B">
      <w:pPr>
        <w:pStyle w:val="1304"/>
        <w:ind w:firstLine="480"/>
        <w:rPr>
          <w:color w:val="auto"/>
        </w:rPr>
      </w:pPr>
    </w:p>
    <w:p w14:paraId="19720242">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11</w:t>
      </w:r>
      <w:r>
        <w:rPr>
          <w:color w:val="auto"/>
        </w:rPr>
        <w:fldChar w:fldCharType="end"/>
      </w:r>
      <w:r>
        <w:rPr>
          <w:rFonts w:hint="eastAsia"/>
          <w:color w:val="auto"/>
        </w:rPr>
        <w:t xml:space="preserve">    厂外工程组成及主要建设工程内容一览表（管线部分）</w:t>
      </w:r>
    </w:p>
    <w:bookmarkEnd w:id="186"/>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621"/>
        <w:gridCol w:w="462"/>
        <w:gridCol w:w="552"/>
        <w:gridCol w:w="644"/>
        <w:gridCol w:w="615"/>
        <w:gridCol w:w="540"/>
        <w:gridCol w:w="847"/>
        <w:gridCol w:w="692"/>
        <w:gridCol w:w="736"/>
        <w:gridCol w:w="1135"/>
        <w:gridCol w:w="1012"/>
        <w:gridCol w:w="930"/>
      </w:tblGrid>
      <w:tr w14:paraId="16F8796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354" w:type="pct"/>
            <w:vAlign w:val="center"/>
          </w:tcPr>
          <w:p w14:paraId="45CD53DA">
            <w:pPr>
              <w:widowControl/>
              <w:spacing w:line="360" w:lineRule="exact"/>
              <w:jc w:val="center"/>
              <w:rPr>
                <w:color w:val="auto"/>
                <w:sz w:val="21"/>
                <w:szCs w:val="21"/>
                <w:lang w:val="zh-CN"/>
              </w:rPr>
            </w:pPr>
            <w:r>
              <w:rPr>
                <w:rFonts w:hint="eastAsia"/>
                <w:color w:val="auto"/>
                <w:sz w:val="21"/>
                <w:szCs w:val="21"/>
                <w:lang w:val="zh-CN"/>
              </w:rPr>
              <w:t>工程</w:t>
            </w:r>
          </w:p>
        </w:tc>
        <w:tc>
          <w:tcPr>
            <w:tcW w:w="577" w:type="pct"/>
            <w:gridSpan w:val="2"/>
            <w:vAlign w:val="center"/>
          </w:tcPr>
          <w:p w14:paraId="71169CAC">
            <w:pPr>
              <w:widowControl/>
              <w:spacing w:line="360" w:lineRule="exact"/>
              <w:jc w:val="center"/>
              <w:rPr>
                <w:color w:val="auto"/>
                <w:sz w:val="21"/>
                <w:szCs w:val="21"/>
                <w:lang w:val="zh-CN"/>
              </w:rPr>
            </w:pPr>
            <w:r>
              <w:rPr>
                <w:rFonts w:hint="eastAsia"/>
                <w:color w:val="auto"/>
                <w:sz w:val="21"/>
                <w:szCs w:val="21"/>
                <w:lang w:val="zh-CN"/>
              </w:rPr>
              <w:t>项目组成</w:t>
            </w:r>
          </w:p>
        </w:tc>
        <w:tc>
          <w:tcPr>
            <w:tcW w:w="4069" w:type="pct"/>
            <w:gridSpan w:val="9"/>
            <w:vAlign w:val="center"/>
          </w:tcPr>
          <w:p w14:paraId="0B856175">
            <w:pPr>
              <w:widowControl/>
              <w:spacing w:line="360" w:lineRule="exact"/>
              <w:jc w:val="center"/>
              <w:rPr>
                <w:color w:val="auto"/>
                <w:sz w:val="21"/>
                <w:szCs w:val="21"/>
                <w:lang w:val="zh-CN"/>
              </w:rPr>
            </w:pPr>
            <w:r>
              <w:rPr>
                <w:rFonts w:hint="eastAsia"/>
                <w:color w:val="auto"/>
                <w:sz w:val="21"/>
                <w:szCs w:val="21"/>
              </w:rPr>
              <w:t>主要工程内容</w:t>
            </w:r>
          </w:p>
        </w:tc>
      </w:tr>
      <w:tr w14:paraId="423BDAE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restart"/>
            <w:vAlign w:val="center"/>
          </w:tcPr>
          <w:p w14:paraId="55574614">
            <w:pPr>
              <w:widowControl/>
              <w:spacing w:line="360" w:lineRule="exact"/>
              <w:jc w:val="center"/>
              <w:rPr>
                <w:color w:val="auto"/>
                <w:sz w:val="21"/>
                <w:szCs w:val="21"/>
                <w:lang w:val="zh-CN"/>
              </w:rPr>
            </w:pPr>
            <w:r>
              <w:rPr>
                <w:rFonts w:hint="eastAsia"/>
                <w:color w:val="auto"/>
                <w:sz w:val="21"/>
                <w:szCs w:val="21"/>
                <w:lang w:val="zh-CN"/>
              </w:rPr>
              <w:t>主体工程</w:t>
            </w:r>
          </w:p>
        </w:tc>
        <w:tc>
          <w:tcPr>
            <w:tcW w:w="577" w:type="pct"/>
            <w:gridSpan w:val="2"/>
            <w:vMerge w:val="restart"/>
            <w:vAlign w:val="center"/>
          </w:tcPr>
          <w:p w14:paraId="1028544C">
            <w:pPr>
              <w:widowControl/>
              <w:spacing w:line="360" w:lineRule="exact"/>
              <w:jc w:val="center"/>
              <w:rPr>
                <w:color w:val="auto"/>
                <w:sz w:val="21"/>
                <w:szCs w:val="21"/>
              </w:rPr>
            </w:pPr>
            <w:r>
              <w:rPr>
                <w:rFonts w:hint="eastAsia"/>
                <w:color w:val="auto"/>
                <w:sz w:val="21"/>
                <w:szCs w:val="21"/>
              </w:rPr>
              <w:t>线路工程</w:t>
            </w:r>
          </w:p>
        </w:tc>
        <w:tc>
          <w:tcPr>
            <w:tcW w:w="4069" w:type="pct"/>
            <w:gridSpan w:val="9"/>
            <w:vAlign w:val="center"/>
          </w:tcPr>
          <w:p w14:paraId="763691B7">
            <w:pPr>
              <w:widowControl/>
              <w:spacing w:line="360" w:lineRule="exact"/>
              <w:jc w:val="center"/>
              <w:rPr>
                <w:color w:val="auto"/>
                <w:sz w:val="21"/>
                <w:szCs w:val="21"/>
              </w:rPr>
            </w:pPr>
            <w:r>
              <w:rPr>
                <w:rFonts w:hint="eastAsia"/>
                <w:color w:val="auto"/>
                <w:sz w:val="21"/>
                <w:szCs w:val="21"/>
              </w:rPr>
              <w:t>对</w:t>
            </w:r>
            <w:r>
              <w:rPr>
                <w:color w:val="auto"/>
                <w:sz w:val="21"/>
                <w:szCs w:val="21"/>
              </w:rPr>
              <w:t>新疆众和股份有限公司旗下电极箔公司所排放的</w:t>
            </w:r>
            <w:bookmarkStart w:id="192" w:name="OLE_LINK18"/>
            <w:r>
              <w:rPr>
                <w:color w:val="auto"/>
                <w:sz w:val="21"/>
                <w:szCs w:val="21"/>
              </w:rPr>
              <w:t>危险废酸和危险废碱以及新疆兖矿</w:t>
            </w:r>
            <w:r>
              <w:rPr>
                <w:rFonts w:hint="eastAsia"/>
                <w:color w:val="auto"/>
                <w:sz w:val="21"/>
                <w:szCs w:val="21"/>
              </w:rPr>
              <w:t>化工有限公司排放的</w:t>
            </w:r>
            <w:r>
              <w:rPr>
                <w:color w:val="auto"/>
                <w:sz w:val="21"/>
                <w:szCs w:val="21"/>
              </w:rPr>
              <w:t>二氧化碳废气</w:t>
            </w:r>
            <w:r>
              <w:rPr>
                <w:rFonts w:hint="eastAsia"/>
                <w:color w:val="auto"/>
                <w:sz w:val="21"/>
                <w:szCs w:val="21"/>
              </w:rPr>
              <w:t>、氨水和蒸汽采用管道</w:t>
            </w:r>
            <w:r>
              <w:rPr>
                <w:color w:val="auto"/>
                <w:sz w:val="21"/>
                <w:szCs w:val="21"/>
              </w:rPr>
              <w:t>进行</w:t>
            </w:r>
            <w:r>
              <w:rPr>
                <w:rFonts w:hint="eastAsia"/>
                <w:color w:val="auto"/>
                <w:sz w:val="21"/>
                <w:szCs w:val="21"/>
              </w:rPr>
              <w:t>输送</w:t>
            </w:r>
            <w:bookmarkEnd w:id="192"/>
            <w:r>
              <w:rPr>
                <w:color w:val="auto"/>
                <w:sz w:val="21"/>
                <w:szCs w:val="21"/>
              </w:rPr>
              <w:t>。主要</w:t>
            </w:r>
            <w:r>
              <w:rPr>
                <w:rFonts w:hint="eastAsia"/>
                <w:color w:val="auto"/>
                <w:sz w:val="21"/>
                <w:szCs w:val="21"/>
              </w:rPr>
              <w:t>输送</w:t>
            </w:r>
            <w:r>
              <w:rPr>
                <w:color w:val="auto"/>
                <w:sz w:val="21"/>
                <w:szCs w:val="21"/>
              </w:rPr>
              <w:t>的危废种</w:t>
            </w:r>
            <w:r>
              <w:rPr>
                <w:rFonts w:hint="eastAsia"/>
                <w:color w:val="auto"/>
                <w:sz w:val="21"/>
                <w:szCs w:val="21"/>
              </w:rPr>
              <w:t>类有：含硫酸铝</w:t>
            </w:r>
            <w:r>
              <w:rPr>
                <w:color w:val="auto"/>
                <w:sz w:val="21"/>
                <w:szCs w:val="21"/>
              </w:rPr>
              <w:t>废水、含硝酸铝废水、含氯化铝废水、含磷酸二氢铝废水、</w:t>
            </w:r>
            <w:r>
              <w:rPr>
                <w:rFonts w:hint="eastAsia"/>
                <w:color w:val="auto"/>
                <w:sz w:val="21"/>
                <w:szCs w:val="21"/>
              </w:rPr>
              <w:t>含偏铝酸钠废水、</w:t>
            </w:r>
            <w:r>
              <w:rPr>
                <w:color w:val="auto"/>
                <w:sz w:val="21"/>
                <w:szCs w:val="21"/>
              </w:rPr>
              <w:t>含碳酸钠废水、氨水</w:t>
            </w:r>
            <w:r>
              <w:rPr>
                <w:rFonts w:hint="eastAsia"/>
                <w:color w:val="auto"/>
                <w:sz w:val="21"/>
                <w:szCs w:val="21"/>
              </w:rPr>
              <w:t>、</w:t>
            </w:r>
            <w:r>
              <w:rPr>
                <w:color w:val="auto"/>
                <w:sz w:val="21"/>
                <w:szCs w:val="21"/>
              </w:rPr>
              <w:t>二氧化碳</w:t>
            </w:r>
            <w:r>
              <w:rPr>
                <w:rFonts w:hint="eastAsia"/>
                <w:color w:val="auto"/>
                <w:sz w:val="21"/>
                <w:szCs w:val="21"/>
              </w:rPr>
              <w:t>和蒸汽</w:t>
            </w:r>
            <w:r>
              <w:rPr>
                <w:color w:val="auto"/>
                <w:sz w:val="21"/>
                <w:szCs w:val="21"/>
              </w:rPr>
              <w:t>。根据上游企业废水排出量和工艺需要，设计污水、</w:t>
            </w:r>
            <w:r>
              <w:rPr>
                <w:rFonts w:hint="eastAsia"/>
                <w:color w:val="auto"/>
                <w:sz w:val="21"/>
                <w:szCs w:val="21"/>
              </w:rPr>
              <w:t>回用</w:t>
            </w:r>
            <w:r>
              <w:rPr>
                <w:color w:val="auto"/>
                <w:sz w:val="21"/>
                <w:szCs w:val="21"/>
              </w:rPr>
              <w:t>水和二氧化碳管道共计1</w:t>
            </w:r>
            <w:r>
              <w:rPr>
                <w:rFonts w:hint="eastAsia"/>
                <w:color w:val="auto"/>
                <w:sz w:val="21"/>
                <w:szCs w:val="21"/>
              </w:rPr>
              <w:t>1</w:t>
            </w:r>
            <w:r>
              <w:rPr>
                <w:color w:val="auto"/>
                <w:sz w:val="21"/>
                <w:szCs w:val="21"/>
              </w:rPr>
              <w:t>根</w:t>
            </w:r>
            <w:r>
              <w:rPr>
                <w:rFonts w:hint="eastAsia"/>
                <w:color w:val="auto"/>
                <w:sz w:val="21"/>
                <w:szCs w:val="21"/>
              </w:rPr>
              <w:t>，预留1根</w:t>
            </w:r>
            <w:r>
              <w:rPr>
                <w:color w:val="auto"/>
                <w:sz w:val="21"/>
                <w:szCs w:val="21"/>
              </w:rPr>
              <w:t>。</w:t>
            </w:r>
          </w:p>
          <w:p w14:paraId="26811CD5">
            <w:pPr>
              <w:widowControl/>
              <w:spacing w:line="360" w:lineRule="exact"/>
              <w:jc w:val="center"/>
              <w:rPr>
                <w:color w:val="auto"/>
                <w:sz w:val="21"/>
                <w:szCs w:val="21"/>
              </w:rPr>
            </w:pPr>
            <w:r>
              <w:rPr>
                <w:color w:val="auto"/>
                <w:sz w:val="21"/>
                <w:szCs w:val="21"/>
              </w:rPr>
              <w:t>污水管道之间的管间距按照0.2m布置，二氧化碳管道与污水管道之间按照0.5m布置，加上沟底加宽裕量，沟底开挖宽度不小于4.5m</w:t>
            </w:r>
            <w:r>
              <w:rPr>
                <w:rFonts w:hint="eastAsia"/>
                <w:color w:val="auto"/>
                <w:sz w:val="21"/>
                <w:szCs w:val="21"/>
              </w:rPr>
              <w:t>。</w:t>
            </w:r>
          </w:p>
        </w:tc>
      </w:tr>
      <w:tr w14:paraId="234679A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0D49298F">
            <w:pPr>
              <w:widowControl/>
              <w:spacing w:line="360" w:lineRule="exact"/>
              <w:jc w:val="center"/>
              <w:rPr>
                <w:color w:val="auto"/>
                <w:sz w:val="21"/>
                <w:szCs w:val="21"/>
                <w:lang w:val="zh-CN"/>
              </w:rPr>
            </w:pPr>
          </w:p>
        </w:tc>
        <w:tc>
          <w:tcPr>
            <w:tcW w:w="577" w:type="pct"/>
            <w:gridSpan w:val="2"/>
            <w:vMerge w:val="continue"/>
            <w:vAlign w:val="center"/>
          </w:tcPr>
          <w:p w14:paraId="4ACC066D">
            <w:pPr>
              <w:widowControl/>
              <w:spacing w:line="360" w:lineRule="exact"/>
              <w:jc w:val="center"/>
              <w:rPr>
                <w:color w:val="auto"/>
                <w:sz w:val="21"/>
                <w:szCs w:val="21"/>
              </w:rPr>
            </w:pPr>
          </w:p>
        </w:tc>
        <w:tc>
          <w:tcPr>
            <w:tcW w:w="366" w:type="pct"/>
            <w:vAlign w:val="center"/>
          </w:tcPr>
          <w:p w14:paraId="101F5546">
            <w:pPr>
              <w:widowControl/>
              <w:spacing w:line="360" w:lineRule="exact"/>
              <w:jc w:val="center"/>
              <w:rPr>
                <w:color w:val="auto"/>
                <w:sz w:val="21"/>
                <w:szCs w:val="21"/>
              </w:rPr>
            </w:pPr>
            <w:r>
              <w:rPr>
                <w:rFonts w:hint="eastAsia"/>
                <w:color w:val="auto"/>
                <w:sz w:val="21"/>
                <w:szCs w:val="21"/>
              </w:rPr>
              <w:t>序号</w:t>
            </w:r>
          </w:p>
        </w:tc>
        <w:tc>
          <w:tcPr>
            <w:tcW w:w="657" w:type="pct"/>
            <w:gridSpan w:val="2"/>
            <w:vAlign w:val="center"/>
          </w:tcPr>
          <w:p w14:paraId="1D171175">
            <w:pPr>
              <w:widowControl/>
              <w:spacing w:line="360" w:lineRule="exact"/>
              <w:jc w:val="center"/>
              <w:rPr>
                <w:color w:val="auto"/>
                <w:sz w:val="21"/>
                <w:szCs w:val="21"/>
              </w:rPr>
            </w:pPr>
            <w:r>
              <w:rPr>
                <w:rFonts w:hint="eastAsia"/>
                <w:color w:val="auto"/>
                <w:sz w:val="21"/>
                <w:szCs w:val="21"/>
              </w:rPr>
              <w:t>管线名称</w:t>
            </w:r>
          </w:p>
        </w:tc>
        <w:tc>
          <w:tcPr>
            <w:tcW w:w="482" w:type="pct"/>
            <w:vAlign w:val="center"/>
          </w:tcPr>
          <w:p w14:paraId="190583BB">
            <w:pPr>
              <w:widowControl/>
              <w:spacing w:line="360" w:lineRule="exact"/>
              <w:jc w:val="center"/>
              <w:rPr>
                <w:color w:val="auto"/>
                <w:sz w:val="21"/>
                <w:szCs w:val="21"/>
              </w:rPr>
            </w:pPr>
            <w:r>
              <w:rPr>
                <w:rFonts w:hint="eastAsia"/>
                <w:color w:val="auto"/>
                <w:sz w:val="21"/>
                <w:szCs w:val="21"/>
              </w:rPr>
              <w:t>管径</w:t>
            </w:r>
          </w:p>
        </w:tc>
        <w:tc>
          <w:tcPr>
            <w:tcW w:w="394" w:type="pct"/>
            <w:vAlign w:val="center"/>
          </w:tcPr>
          <w:p w14:paraId="039B68B1">
            <w:pPr>
              <w:widowControl/>
              <w:spacing w:line="360" w:lineRule="exact"/>
              <w:jc w:val="center"/>
              <w:rPr>
                <w:color w:val="auto"/>
                <w:sz w:val="21"/>
                <w:szCs w:val="21"/>
              </w:rPr>
            </w:pPr>
            <w:r>
              <w:rPr>
                <w:rFonts w:hint="eastAsia"/>
                <w:color w:val="auto"/>
                <w:sz w:val="21"/>
                <w:szCs w:val="21"/>
              </w:rPr>
              <w:t>材质</w:t>
            </w:r>
          </w:p>
        </w:tc>
        <w:tc>
          <w:tcPr>
            <w:tcW w:w="419" w:type="pct"/>
            <w:vAlign w:val="center"/>
          </w:tcPr>
          <w:p w14:paraId="7C0BF3E9">
            <w:pPr>
              <w:widowControl/>
              <w:spacing w:line="360" w:lineRule="exact"/>
              <w:jc w:val="center"/>
              <w:rPr>
                <w:color w:val="auto"/>
                <w:sz w:val="21"/>
                <w:szCs w:val="21"/>
              </w:rPr>
            </w:pPr>
            <w:r>
              <w:rPr>
                <w:rFonts w:hint="eastAsia"/>
                <w:color w:val="auto"/>
                <w:sz w:val="21"/>
                <w:szCs w:val="21"/>
              </w:rPr>
              <w:t>输量（根）</w:t>
            </w:r>
          </w:p>
        </w:tc>
        <w:tc>
          <w:tcPr>
            <w:tcW w:w="646" w:type="pct"/>
            <w:vAlign w:val="center"/>
          </w:tcPr>
          <w:p w14:paraId="719938E3">
            <w:pPr>
              <w:widowControl/>
              <w:spacing w:line="360" w:lineRule="exact"/>
              <w:jc w:val="center"/>
              <w:rPr>
                <w:color w:val="auto"/>
                <w:sz w:val="21"/>
                <w:szCs w:val="21"/>
              </w:rPr>
            </w:pPr>
            <w:r>
              <w:rPr>
                <w:rFonts w:hint="eastAsia"/>
                <w:color w:val="auto"/>
                <w:sz w:val="21"/>
                <w:szCs w:val="21"/>
              </w:rPr>
              <w:t>长度（m）</w:t>
            </w:r>
          </w:p>
        </w:tc>
        <w:tc>
          <w:tcPr>
            <w:tcW w:w="576" w:type="pct"/>
            <w:vAlign w:val="center"/>
          </w:tcPr>
          <w:p w14:paraId="1E28576D">
            <w:pPr>
              <w:widowControl/>
              <w:spacing w:line="360" w:lineRule="exact"/>
              <w:jc w:val="center"/>
              <w:rPr>
                <w:color w:val="auto"/>
                <w:sz w:val="21"/>
                <w:szCs w:val="21"/>
                <w:highlight w:val="yellow"/>
              </w:rPr>
            </w:pPr>
            <w:r>
              <w:rPr>
                <w:rFonts w:hint="eastAsia"/>
                <w:color w:val="auto"/>
                <w:sz w:val="21"/>
                <w:szCs w:val="21"/>
              </w:rPr>
              <w:t>压力（MPa）</w:t>
            </w:r>
          </w:p>
        </w:tc>
        <w:tc>
          <w:tcPr>
            <w:tcW w:w="530" w:type="pct"/>
            <w:vAlign w:val="center"/>
          </w:tcPr>
          <w:p w14:paraId="0CAEA6ED">
            <w:pPr>
              <w:widowControl/>
              <w:spacing w:line="360" w:lineRule="exact"/>
              <w:jc w:val="center"/>
              <w:rPr>
                <w:color w:val="auto"/>
                <w:sz w:val="21"/>
                <w:szCs w:val="21"/>
              </w:rPr>
            </w:pPr>
            <w:r>
              <w:rPr>
                <w:rFonts w:hint="eastAsia"/>
                <w:color w:val="auto"/>
                <w:sz w:val="21"/>
                <w:szCs w:val="21"/>
              </w:rPr>
              <w:t>输送能力（t/h）</w:t>
            </w:r>
          </w:p>
        </w:tc>
      </w:tr>
      <w:tr w14:paraId="3E4DAFD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61B61EA3">
            <w:pPr>
              <w:widowControl/>
              <w:spacing w:line="360" w:lineRule="exact"/>
              <w:jc w:val="center"/>
              <w:rPr>
                <w:color w:val="auto"/>
                <w:sz w:val="21"/>
                <w:szCs w:val="21"/>
                <w:lang w:val="zh-CN"/>
              </w:rPr>
            </w:pPr>
          </w:p>
        </w:tc>
        <w:tc>
          <w:tcPr>
            <w:tcW w:w="577" w:type="pct"/>
            <w:gridSpan w:val="2"/>
            <w:vMerge w:val="continue"/>
            <w:vAlign w:val="center"/>
          </w:tcPr>
          <w:p w14:paraId="22C22FAE">
            <w:pPr>
              <w:widowControl/>
              <w:spacing w:line="360" w:lineRule="exact"/>
              <w:jc w:val="center"/>
              <w:rPr>
                <w:color w:val="auto"/>
                <w:sz w:val="21"/>
                <w:szCs w:val="21"/>
              </w:rPr>
            </w:pPr>
          </w:p>
        </w:tc>
        <w:tc>
          <w:tcPr>
            <w:tcW w:w="366" w:type="pct"/>
            <w:vAlign w:val="center"/>
          </w:tcPr>
          <w:p w14:paraId="0EABDF3C">
            <w:pPr>
              <w:widowControl/>
              <w:spacing w:line="360" w:lineRule="exact"/>
              <w:jc w:val="center"/>
              <w:rPr>
                <w:color w:val="auto"/>
                <w:sz w:val="21"/>
                <w:szCs w:val="21"/>
              </w:rPr>
            </w:pPr>
            <w:r>
              <w:rPr>
                <w:rFonts w:hint="eastAsia"/>
                <w:color w:val="auto"/>
                <w:sz w:val="21"/>
                <w:szCs w:val="21"/>
              </w:rPr>
              <w:t>1</w:t>
            </w:r>
          </w:p>
        </w:tc>
        <w:tc>
          <w:tcPr>
            <w:tcW w:w="657" w:type="pct"/>
            <w:gridSpan w:val="2"/>
            <w:vAlign w:val="center"/>
          </w:tcPr>
          <w:p w14:paraId="729FBD09">
            <w:pPr>
              <w:widowControl/>
              <w:spacing w:line="360" w:lineRule="exact"/>
              <w:jc w:val="center"/>
              <w:rPr>
                <w:color w:val="auto"/>
                <w:sz w:val="21"/>
                <w:szCs w:val="21"/>
              </w:rPr>
            </w:pPr>
            <w:r>
              <w:rPr>
                <w:rFonts w:hint="eastAsia"/>
                <w:color w:val="auto"/>
                <w:sz w:val="21"/>
                <w:szCs w:val="21"/>
              </w:rPr>
              <w:t>含硝酸铝废酸液</w:t>
            </w:r>
          </w:p>
        </w:tc>
        <w:tc>
          <w:tcPr>
            <w:tcW w:w="482" w:type="pct"/>
            <w:vAlign w:val="center"/>
          </w:tcPr>
          <w:p w14:paraId="752403F8">
            <w:pPr>
              <w:widowControl/>
              <w:spacing w:line="360" w:lineRule="exact"/>
              <w:jc w:val="center"/>
              <w:rPr>
                <w:color w:val="auto"/>
                <w:sz w:val="21"/>
                <w:szCs w:val="21"/>
              </w:rPr>
            </w:pPr>
            <w:r>
              <w:rPr>
                <w:color w:val="auto"/>
                <w:sz w:val="21"/>
                <w:szCs w:val="21"/>
              </w:rPr>
              <w:t>DN100</w:t>
            </w:r>
          </w:p>
        </w:tc>
        <w:tc>
          <w:tcPr>
            <w:tcW w:w="394" w:type="pct"/>
            <w:vAlign w:val="center"/>
          </w:tcPr>
          <w:p w14:paraId="01B92B1F">
            <w:pPr>
              <w:widowControl/>
              <w:spacing w:line="360" w:lineRule="exact"/>
              <w:jc w:val="center"/>
              <w:rPr>
                <w:color w:val="auto"/>
                <w:sz w:val="21"/>
                <w:szCs w:val="21"/>
              </w:rPr>
            </w:pPr>
            <w:r>
              <w:rPr>
                <w:color w:val="auto"/>
                <w:sz w:val="21"/>
                <w:szCs w:val="21"/>
              </w:rPr>
              <w:t>PE</w:t>
            </w:r>
          </w:p>
        </w:tc>
        <w:tc>
          <w:tcPr>
            <w:tcW w:w="419" w:type="pct"/>
            <w:vAlign w:val="center"/>
          </w:tcPr>
          <w:p w14:paraId="37B7F8A3">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27CA5DC9">
            <w:pPr>
              <w:widowControl/>
              <w:spacing w:line="360" w:lineRule="exact"/>
              <w:jc w:val="center"/>
              <w:rPr>
                <w:color w:val="auto"/>
                <w:sz w:val="21"/>
                <w:szCs w:val="21"/>
              </w:rPr>
            </w:pPr>
            <w:r>
              <w:rPr>
                <w:rFonts w:hint="eastAsia"/>
                <w:color w:val="auto"/>
                <w:sz w:val="21"/>
                <w:szCs w:val="21"/>
              </w:rPr>
              <w:t>2704.842</w:t>
            </w:r>
          </w:p>
        </w:tc>
        <w:tc>
          <w:tcPr>
            <w:tcW w:w="576" w:type="pct"/>
            <w:vAlign w:val="center"/>
          </w:tcPr>
          <w:p w14:paraId="197CA6F6">
            <w:pPr>
              <w:widowControl/>
              <w:spacing w:line="360" w:lineRule="exact"/>
              <w:jc w:val="center"/>
              <w:rPr>
                <w:color w:val="auto"/>
                <w:sz w:val="21"/>
                <w:szCs w:val="21"/>
              </w:rPr>
            </w:pPr>
            <w:r>
              <w:rPr>
                <w:color w:val="auto"/>
                <w:sz w:val="21"/>
                <w:szCs w:val="21"/>
              </w:rPr>
              <w:t>0.2~0.4</w:t>
            </w:r>
          </w:p>
        </w:tc>
        <w:tc>
          <w:tcPr>
            <w:tcW w:w="530" w:type="pct"/>
            <w:vAlign w:val="center"/>
          </w:tcPr>
          <w:p w14:paraId="5E1DF505">
            <w:pPr>
              <w:widowControl/>
              <w:spacing w:line="360" w:lineRule="exact"/>
              <w:jc w:val="center"/>
              <w:rPr>
                <w:color w:val="auto"/>
                <w:sz w:val="21"/>
                <w:szCs w:val="21"/>
              </w:rPr>
            </w:pPr>
            <w:r>
              <w:rPr>
                <w:rFonts w:hint="eastAsia"/>
                <w:color w:val="auto"/>
                <w:sz w:val="21"/>
                <w:szCs w:val="21"/>
              </w:rPr>
              <w:t>50</w:t>
            </w:r>
          </w:p>
        </w:tc>
      </w:tr>
      <w:tr w14:paraId="53A80D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45606C1B">
            <w:pPr>
              <w:widowControl/>
              <w:spacing w:line="360" w:lineRule="exact"/>
              <w:jc w:val="center"/>
              <w:rPr>
                <w:color w:val="auto"/>
                <w:sz w:val="21"/>
                <w:szCs w:val="21"/>
                <w:lang w:val="zh-CN"/>
              </w:rPr>
            </w:pPr>
          </w:p>
        </w:tc>
        <w:tc>
          <w:tcPr>
            <w:tcW w:w="577" w:type="pct"/>
            <w:gridSpan w:val="2"/>
            <w:vMerge w:val="continue"/>
            <w:vAlign w:val="center"/>
          </w:tcPr>
          <w:p w14:paraId="1F2011D7">
            <w:pPr>
              <w:widowControl/>
              <w:spacing w:line="360" w:lineRule="exact"/>
              <w:jc w:val="center"/>
              <w:rPr>
                <w:color w:val="auto"/>
                <w:sz w:val="21"/>
                <w:szCs w:val="21"/>
              </w:rPr>
            </w:pPr>
          </w:p>
        </w:tc>
        <w:tc>
          <w:tcPr>
            <w:tcW w:w="366" w:type="pct"/>
            <w:vAlign w:val="center"/>
          </w:tcPr>
          <w:p w14:paraId="2C592A44">
            <w:pPr>
              <w:widowControl/>
              <w:spacing w:line="360" w:lineRule="exact"/>
              <w:jc w:val="center"/>
              <w:rPr>
                <w:color w:val="auto"/>
                <w:sz w:val="21"/>
                <w:szCs w:val="21"/>
              </w:rPr>
            </w:pPr>
            <w:r>
              <w:rPr>
                <w:rFonts w:hint="eastAsia"/>
                <w:color w:val="auto"/>
                <w:sz w:val="21"/>
                <w:szCs w:val="21"/>
              </w:rPr>
              <w:t>2</w:t>
            </w:r>
          </w:p>
        </w:tc>
        <w:tc>
          <w:tcPr>
            <w:tcW w:w="657" w:type="pct"/>
            <w:gridSpan w:val="2"/>
            <w:vAlign w:val="center"/>
          </w:tcPr>
          <w:p w14:paraId="73B73F47">
            <w:pPr>
              <w:widowControl/>
              <w:spacing w:line="360" w:lineRule="exact"/>
              <w:jc w:val="center"/>
              <w:rPr>
                <w:color w:val="auto"/>
                <w:sz w:val="21"/>
                <w:szCs w:val="21"/>
              </w:rPr>
            </w:pPr>
            <w:r>
              <w:rPr>
                <w:rFonts w:hint="eastAsia"/>
                <w:color w:val="auto"/>
                <w:sz w:val="21"/>
                <w:szCs w:val="21"/>
              </w:rPr>
              <w:t>含硫酸铝废酸液</w:t>
            </w:r>
          </w:p>
        </w:tc>
        <w:tc>
          <w:tcPr>
            <w:tcW w:w="482" w:type="pct"/>
            <w:vAlign w:val="center"/>
          </w:tcPr>
          <w:p w14:paraId="5803790F">
            <w:pPr>
              <w:widowControl/>
              <w:spacing w:line="360" w:lineRule="exact"/>
              <w:jc w:val="center"/>
              <w:rPr>
                <w:color w:val="auto"/>
                <w:sz w:val="21"/>
                <w:szCs w:val="21"/>
              </w:rPr>
            </w:pPr>
            <w:r>
              <w:rPr>
                <w:color w:val="auto"/>
                <w:sz w:val="21"/>
                <w:szCs w:val="21"/>
              </w:rPr>
              <w:t>DN100</w:t>
            </w:r>
          </w:p>
        </w:tc>
        <w:tc>
          <w:tcPr>
            <w:tcW w:w="394" w:type="pct"/>
            <w:vAlign w:val="center"/>
          </w:tcPr>
          <w:p w14:paraId="18480E71">
            <w:pPr>
              <w:widowControl/>
              <w:spacing w:line="360" w:lineRule="exact"/>
              <w:jc w:val="center"/>
              <w:rPr>
                <w:color w:val="auto"/>
                <w:sz w:val="21"/>
                <w:szCs w:val="21"/>
              </w:rPr>
            </w:pPr>
            <w:r>
              <w:rPr>
                <w:color w:val="auto"/>
                <w:sz w:val="21"/>
                <w:szCs w:val="21"/>
              </w:rPr>
              <w:t>PE</w:t>
            </w:r>
          </w:p>
        </w:tc>
        <w:tc>
          <w:tcPr>
            <w:tcW w:w="419" w:type="pct"/>
            <w:vAlign w:val="center"/>
          </w:tcPr>
          <w:p w14:paraId="1F5EBE4C">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10B73AC3">
            <w:pPr>
              <w:widowControl/>
              <w:spacing w:line="360" w:lineRule="exact"/>
              <w:jc w:val="center"/>
              <w:rPr>
                <w:color w:val="auto"/>
                <w:sz w:val="21"/>
                <w:szCs w:val="21"/>
              </w:rPr>
            </w:pPr>
            <w:r>
              <w:rPr>
                <w:rFonts w:hint="eastAsia"/>
                <w:color w:val="auto"/>
                <w:sz w:val="21"/>
                <w:szCs w:val="21"/>
              </w:rPr>
              <w:t>2704.842</w:t>
            </w:r>
          </w:p>
        </w:tc>
        <w:tc>
          <w:tcPr>
            <w:tcW w:w="576" w:type="pct"/>
            <w:vAlign w:val="center"/>
          </w:tcPr>
          <w:p w14:paraId="6055F373">
            <w:pPr>
              <w:widowControl/>
              <w:spacing w:line="360" w:lineRule="exact"/>
              <w:jc w:val="center"/>
              <w:rPr>
                <w:color w:val="auto"/>
                <w:sz w:val="21"/>
                <w:szCs w:val="21"/>
              </w:rPr>
            </w:pPr>
            <w:r>
              <w:rPr>
                <w:color w:val="auto"/>
                <w:sz w:val="21"/>
                <w:szCs w:val="21"/>
              </w:rPr>
              <w:t>0.2~0.4</w:t>
            </w:r>
          </w:p>
        </w:tc>
        <w:tc>
          <w:tcPr>
            <w:tcW w:w="530" w:type="pct"/>
            <w:vAlign w:val="center"/>
          </w:tcPr>
          <w:p w14:paraId="5C696DD9">
            <w:pPr>
              <w:widowControl/>
              <w:spacing w:line="360" w:lineRule="exact"/>
              <w:jc w:val="center"/>
              <w:rPr>
                <w:color w:val="auto"/>
                <w:sz w:val="21"/>
                <w:szCs w:val="21"/>
              </w:rPr>
            </w:pPr>
            <w:r>
              <w:rPr>
                <w:rFonts w:hint="eastAsia"/>
                <w:color w:val="auto"/>
                <w:sz w:val="21"/>
                <w:szCs w:val="21"/>
              </w:rPr>
              <w:t>50</w:t>
            </w:r>
          </w:p>
        </w:tc>
      </w:tr>
      <w:tr w14:paraId="531B7B7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71140DC7">
            <w:pPr>
              <w:widowControl/>
              <w:spacing w:line="360" w:lineRule="exact"/>
              <w:jc w:val="center"/>
              <w:rPr>
                <w:color w:val="auto"/>
                <w:sz w:val="21"/>
                <w:szCs w:val="21"/>
                <w:lang w:val="zh-CN"/>
              </w:rPr>
            </w:pPr>
          </w:p>
        </w:tc>
        <w:tc>
          <w:tcPr>
            <w:tcW w:w="577" w:type="pct"/>
            <w:gridSpan w:val="2"/>
            <w:vMerge w:val="continue"/>
            <w:vAlign w:val="center"/>
          </w:tcPr>
          <w:p w14:paraId="29618953">
            <w:pPr>
              <w:widowControl/>
              <w:spacing w:line="360" w:lineRule="exact"/>
              <w:jc w:val="center"/>
              <w:rPr>
                <w:color w:val="auto"/>
                <w:sz w:val="21"/>
                <w:szCs w:val="21"/>
              </w:rPr>
            </w:pPr>
          </w:p>
        </w:tc>
        <w:tc>
          <w:tcPr>
            <w:tcW w:w="366" w:type="pct"/>
            <w:vAlign w:val="center"/>
          </w:tcPr>
          <w:p w14:paraId="1DDDFCB6">
            <w:pPr>
              <w:widowControl/>
              <w:spacing w:line="360" w:lineRule="exact"/>
              <w:jc w:val="center"/>
              <w:rPr>
                <w:color w:val="auto"/>
                <w:sz w:val="21"/>
                <w:szCs w:val="21"/>
              </w:rPr>
            </w:pPr>
            <w:r>
              <w:rPr>
                <w:rFonts w:hint="eastAsia"/>
                <w:color w:val="auto"/>
                <w:sz w:val="21"/>
                <w:szCs w:val="21"/>
              </w:rPr>
              <w:t>3</w:t>
            </w:r>
          </w:p>
        </w:tc>
        <w:tc>
          <w:tcPr>
            <w:tcW w:w="657" w:type="pct"/>
            <w:gridSpan w:val="2"/>
            <w:vAlign w:val="center"/>
          </w:tcPr>
          <w:p w14:paraId="68349780">
            <w:pPr>
              <w:widowControl/>
              <w:spacing w:line="360" w:lineRule="exact"/>
              <w:jc w:val="center"/>
              <w:rPr>
                <w:color w:val="auto"/>
                <w:sz w:val="21"/>
                <w:szCs w:val="21"/>
              </w:rPr>
            </w:pPr>
            <w:r>
              <w:rPr>
                <w:rFonts w:hint="eastAsia"/>
                <w:color w:val="auto"/>
                <w:sz w:val="21"/>
                <w:szCs w:val="21"/>
              </w:rPr>
              <w:t>含磷酸二氢铝废酸液</w:t>
            </w:r>
          </w:p>
        </w:tc>
        <w:tc>
          <w:tcPr>
            <w:tcW w:w="482" w:type="pct"/>
            <w:vAlign w:val="center"/>
          </w:tcPr>
          <w:p w14:paraId="44A4EAFB">
            <w:pPr>
              <w:widowControl/>
              <w:spacing w:line="360" w:lineRule="exact"/>
              <w:jc w:val="center"/>
              <w:rPr>
                <w:color w:val="auto"/>
                <w:sz w:val="21"/>
                <w:szCs w:val="21"/>
              </w:rPr>
            </w:pPr>
            <w:r>
              <w:rPr>
                <w:color w:val="auto"/>
                <w:sz w:val="21"/>
                <w:szCs w:val="21"/>
              </w:rPr>
              <w:t>DN40</w:t>
            </w:r>
          </w:p>
        </w:tc>
        <w:tc>
          <w:tcPr>
            <w:tcW w:w="394" w:type="pct"/>
            <w:vAlign w:val="center"/>
          </w:tcPr>
          <w:p w14:paraId="05D78517">
            <w:pPr>
              <w:widowControl/>
              <w:spacing w:line="360" w:lineRule="exact"/>
              <w:jc w:val="center"/>
              <w:rPr>
                <w:color w:val="auto"/>
                <w:sz w:val="21"/>
                <w:szCs w:val="21"/>
              </w:rPr>
            </w:pPr>
            <w:r>
              <w:rPr>
                <w:color w:val="auto"/>
                <w:sz w:val="21"/>
                <w:szCs w:val="21"/>
              </w:rPr>
              <w:t>PE</w:t>
            </w:r>
          </w:p>
        </w:tc>
        <w:tc>
          <w:tcPr>
            <w:tcW w:w="419" w:type="pct"/>
            <w:vAlign w:val="center"/>
          </w:tcPr>
          <w:p w14:paraId="38197808">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441E98FB">
            <w:pPr>
              <w:widowControl/>
              <w:spacing w:line="360" w:lineRule="exact"/>
              <w:jc w:val="center"/>
              <w:rPr>
                <w:color w:val="auto"/>
                <w:sz w:val="21"/>
                <w:szCs w:val="21"/>
              </w:rPr>
            </w:pPr>
            <w:r>
              <w:rPr>
                <w:rFonts w:hint="eastAsia"/>
                <w:color w:val="auto"/>
                <w:sz w:val="21"/>
                <w:szCs w:val="21"/>
              </w:rPr>
              <w:t>2704.842</w:t>
            </w:r>
          </w:p>
        </w:tc>
        <w:tc>
          <w:tcPr>
            <w:tcW w:w="576" w:type="pct"/>
            <w:vAlign w:val="center"/>
          </w:tcPr>
          <w:p w14:paraId="64DFB95C">
            <w:pPr>
              <w:widowControl/>
              <w:spacing w:line="360" w:lineRule="exact"/>
              <w:jc w:val="center"/>
              <w:rPr>
                <w:color w:val="auto"/>
                <w:sz w:val="21"/>
                <w:szCs w:val="21"/>
              </w:rPr>
            </w:pPr>
            <w:r>
              <w:rPr>
                <w:color w:val="auto"/>
                <w:sz w:val="21"/>
                <w:szCs w:val="21"/>
              </w:rPr>
              <w:t>0.2~0.4</w:t>
            </w:r>
          </w:p>
        </w:tc>
        <w:tc>
          <w:tcPr>
            <w:tcW w:w="530" w:type="pct"/>
            <w:vAlign w:val="center"/>
          </w:tcPr>
          <w:p w14:paraId="75D6F900">
            <w:pPr>
              <w:widowControl/>
              <w:spacing w:line="360" w:lineRule="exact"/>
              <w:jc w:val="center"/>
              <w:rPr>
                <w:color w:val="auto"/>
                <w:sz w:val="21"/>
                <w:szCs w:val="21"/>
              </w:rPr>
            </w:pPr>
            <w:r>
              <w:rPr>
                <w:rFonts w:hint="eastAsia"/>
                <w:color w:val="auto"/>
                <w:sz w:val="21"/>
                <w:szCs w:val="21"/>
              </w:rPr>
              <w:t>5</w:t>
            </w:r>
          </w:p>
        </w:tc>
      </w:tr>
      <w:tr w14:paraId="355CFF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605D92C6">
            <w:pPr>
              <w:widowControl/>
              <w:spacing w:line="360" w:lineRule="exact"/>
              <w:jc w:val="center"/>
              <w:rPr>
                <w:color w:val="auto"/>
                <w:sz w:val="21"/>
                <w:szCs w:val="21"/>
                <w:lang w:val="zh-CN"/>
              </w:rPr>
            </w:pPr>
          </w:p>
        </w:tc>
        <w:tc>
          <w:tcPr>
            <w:tcW w:w="577" w:type="pct"/>
            <w:gridSpan w:val="2"/>
            <w:vMerge w:val="continue"/>
            <w:vAlign w:val="center"/>
          </w:tcPr>
          <w:p w14:paraId="00D49564">
            <w:pPr>
              <w:widowControl/>
              <w:spacing w:line="360" w:lineRule="exact"/>
              <w:jc w:val="center"/>
              <w:rPr>
                <w:color w:val="auto"/>
                <w:sz w:val="21"/>
                <w:szCs w:val="21"/>
              </w:rPr>
            </w:pPr>
          </w:p>
        </w:tc>
        <w:tc>
          <w:tcPr>
            <w:tcW w:w="366" w:type="pct"/>
            <w:vAlign w:val="center"/>
          </w:tcPr>
          <w:p w14:paraId="7673E089">
            <w:pPr>
              <w:widowControl/>
              <w:spacing w:line="360" w:lineRule="exact"/>
              <w:jc w:val="center"/>
              <w:rPr>
                <w:color w:val="auto"/>
                <w:sz w:val="21"/>
                <w:szCs w:val="21"/>
              </w:rPr>
            </w:pPr>
            <w:r>
              <w:rPr>
                <w:rFonts w:hint="eastAsia"/>
                <w:color w:val="auto"/>
                <w:sz w:val="21"/>
                <w:szCs w:val="21"/>
              </w:rPr>
              <w:t>4</w:t>
            </w:r>
          </w:p>
        </w:tc>
        <w:tc>
          <w:tcPr>
            <w:tcW w:w="657" w:type="pct"/>
            <w:gridSpan w:val="2"/>
            <w:vAlign w:val="center"/>
          </w:tcPr>
          <w:p w14:paraId="5679E559">
            <w:pPr>
              <w:widowControl/>
              <w:spacing w:line="360" w:lineRule="exact"/>
              <w:jc w:val="center"/>
              <w:rPr>
                <w:color w:val="auto"/>
                <w:sz w:val="21"/>
                <w:szCs w:val="21"/>
              </w:rPr>
            </w:pPr>
            <w:r>
              <w:rPr>
                <w:rFonts w:hint="eastAsia"/>
                <w:color w:val="auto"/>
                <w:sz w:val="21"/>
                <w:szCs w:val="21"/>
              </w:rPr>
              <w:t>含氯化铝废酸液</w:t>
            </w:r>
          </w:p>
        </w:tc>
        <w:tc>
          <w:tcPr>
            <w:tcW w:w="482" w:type="pct"/>
            <w:vAlign w:val="center"/>
          </w:tcPr>
          <w:p w14:paraId="1D607D32">
            <w:pPr>
              <w:widowControl/>
              <w:spacing w:line="360" w:lineRule="exact"/>
              <w:jc w:val="center"/>
              <w:rPr>
                <w:color w:val="auto"/>
                <w:sz w:val="21"/>
                <w:szCs w:val="21"/>
              </w:rPr>
            </w:pPr>
            <w:r>
              <w:rPr>
                <w:color w:val="auto"/>
                <w:sz w:val="21"/>
                <w:szCs w:val="21"/>
              </w:rPr>
              <w:t>DN40</w:t>
            </w:r>
          </w:p>
        </w:tc>
        <w:tc>
          <w:tcPr>
            <w:tcW w:w="394" w:type="pct"/>
            <w:vAlign w:val="center"/>
          </w:tcPr>
          <w:p w14:paraId="19AFB64A">
            <w:pPr>
              <w:widowControl/>
              <w:spacing w:line="360" w:lineRule="exact"/>
              <w:jc w:val="center"/>
              <w:rPr>
                <w:color w:val="auto"/>
                <w:sz w:val="21"/>
                <w:szCs w:val="21"/>
              </w:rPr>
            </w:pPr>
            <w:r>
              <w:rPr>
                <w:color w:val="auto"/>
                <w:sz w:val="21"/>
                <w:szCs w:val="21"/>
              </w:rPr>
              <w:t>PE</w:t>
            </w:r>
          </w:p>
        </w:tc>
        <w:tc>
          <w:tcPr>
            <w:tcW w:w="419" w:type="pct"/>
            <w:vAlign w:val="center"/>
          </w:tcPr>
          <w:p w14:paraId="04F10788">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2DBAAD4C">
            <w:pPr>
              <w:widowControl/>
              <w:spacing w:line="360" w:lineRule="exact"/>
              <w:jc w:val="center"/>
              <w:rPr>
                <w:color w:val="auto"/>
                <w:sz w:val="21"/>
                <w:szCs w:val="21"/>
              </w:rPr>
            </w:pPr>
            <w:r>
              <w:rPr>
                <w:rFonts w:hint="eastAsia"/>
                <w:color w:val="auto"/>
                <w:sz w:val="21"/>
                <w:szCs w:val="21"/>
              </w:rPr>
              <w:t>2704.842</w:t>
            </w:r>
          </w:p>
        </w:tc>
        <w:tc>
          <w:tcPr>
            <w:tcW w:w="576" w:type="pct"/>
            <w:vAlign w:val="center"/>
          </w:tcPr>
          <w:p w14:paraId="6D96FB9F">
            <w:pPr>
              <w:widowControl/>
              <w:spacing w:line="360" w:lineRule="exact"/>
              <w:jc w:val="center"/>
              <w:rPr>
                <w:color w:val="auto"/>
                <w:sz w:val="21"/>
                <w:szCs w:val="21"/>
              </w:rPr>
            </w:pPr>
            <w:r>
              <w:rPr>
                <w:color w:val="auto"/>
                <w:sz w:val="21"/>
                <w:szCs w:val="21"/>
              </w:rPr>
              <w:t>0.2~0.4</w:t>
            </w:r>
          </w:p>
        </w:tc>
        <w:tc>
          <w:tcPr>
            <w:tcW w:w="530" w:type="pct"/>
            <w:vAlign w:val="center"/>
          </w:tcPr>
          <w:p w14:paraId="543FF9BF">
            <w:pPr>
              <w:widowControl/>
              <w:spacing w:line="360" w:lineRule="exact"/>
              <w:jc w:val="center"/>
              <w:rPr>
                <w:color w:val="auto"/>
                <w:sz w:val="21"/>
                <w:szCs w:val="21"/>
              </w:rPr>
            </w:pPr>
            <w:r>
              <w:rPr>
                <w:rFonts w:hint="eastAsia"/>
                <w:color w:val="auto"/>
                <w:sz w:val="21"/>
                <w:szCs w:val="21"/>
              </w:rPr>
              <w:t>5</w:t>
            </w:r>
          </w:p>
        </w:tc>
      </w:tr>
      <w:tr w14:paraId="40BE6C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4BBB5B41">
            <w:pPr>
              <w:widowControl/>
              <w:spacing w:line="360" w:lineRule="exact"/>
              <w:jc w:val="center"/>
              <w:rPr>
                <w:color w:val="auto"/>
                <w:sz w:val="21"/>
                <w:szCs w:val="21"/>
                <w:lang w:val="zh-CN"/>
              </w:rPr>
            </w:pPr>
          </w:p>
        </w:tc>
        <w:tc>
          <w:tcPr>
            <w:tcW w:w="577" w:type="pct"/>
            <w:gridSpan w:val="2"/>
            <w:vMerge w:val="continue"/>
            <w:vAlign w:val="center"/>
          </w:tcPr>
          <w:p w14:paraId="6DA8B97B">
            <w:pPr>
              <w:widowControl/>
              <w:spacing w:line="360" w:lineRule="exact"/>
              <w:jc w:val="center"/>
              <w:rPr>
                <w:color w:val="auto"/>
                <w:sz w:val="21"/>
                <w:szCs w:val="21"/>
              </w:rPr>
            </w:pPr>
          </w:p>
        </w:tc>
        <w:tc>
          <w:tcPr>
            <w:tcW w:w="366" w:type="pct"/>
            <w:vAlign w:val="center"/>
          </w:tcPr>
          <w:p w14:paraId="7CE0A0F6">
            <w:pPr>
              <w:widowControl/>
              <w:spacing w:line="360" w:lineRule="exact"/>
              <w:jc w:val="center"/>
              <w:rPr>
                <w:color w:val="auto"/>
                <w:sz w:val="21"/>
                <w:szCs w:val="21"/>
              </w:rPr>
            </w:pPr>
            <w:r>
              <w:rPr>
                <w:rFonts w:hint="eastAsia"/>
                <w:color w:val="auto"/>
                <w:sz w:val="21"/>
                <w:szCs w:val="21"/>
              </w:rPr>
              <w:t>5</w:t>
            </w:r>
          </w:p>
        </w:tc>
        <w:tc>
          <w:tcPr>
            <w:tcW w:w="657" w:type="pct"/>
            <w:gridSpan w:val="2"/>
            <w:vAlign w:val="center"/>
          </w:tcPr>
          <w:p w14:paraId="508BF22E">
            <w:pPr>
              <w:widowControl/>
              <w:spacing w:line="360" w:lineRule="exact"/>
              <w:jc w:val="center"/>
              <w:rPr>
                <w:color w:val="auto"/>
                <w:sz w:val="21"/>
                <w:szCs w:val="21"/>
              </w:rPr>
            </w:pPr>
            <w:r>
              <w:rPr>
                <w:rFonts w:hint="eastAsia"/>
                <w:color w:val="auto"/>
                <w:sz w:val="21"/>
                <w:szCs w:val="21"/>
              </w:rPr>
              <w:t>含偏铝酸钠废碱液</w:t>
            </w:r>
          </w:p>
        </w:tc>
        <w:tc>
          <w:tcPr>
            <w:tcW w:w="482" w:type="pct"/>
            <w:vAlign w:val="center"/>
          </w:tcPr>
          <w:p w14:paraId="23D6AF72">
            <w:pPr>
              <w:widowControl/>
              <w:spacing w:line="360" w:lineRule="exact"/>
              <w:jc w:val="center"/>
              <w:rPr>
                <w:color w:val="auto"/>
                <w:sz w:val="21"/>
                <w:szCs w:val="21"/>
              </w:rPr>
            </w:pPr>
            <w:r>
              <w:rPr>
                <w:color w:val="auto"/>
                <w:sz w:val="21"/>
                <w:szCs w:val="21"/>
              </w:rPr>
              <w:t>DN50</w:t>
            </w:r>
          </w:p>
        </w:tc>
        <w:tc>
          <w:tcPr>
            <w:tcW w:w="394" w:type="pct"/>
            <w:vAlign w:val="center"/>
          </w:tcPr>
          <w:p w14:paraId="7E156EFE">
            <w:pPr>
              <w:widowControl/>
              <w:spacing w:line="360" w:lineRule="exact"/>
              <w:jc w:val="center"/>
              <w:rPr>
                <w:color w:val="auto"/>
                <w:sz w:val="21"/>
                <w:szCs w:val="21"/>
              </w:rPr>
            </w:pPr>
            <w:r>
              <w:rPr>
                <w:color w:val="auto"/>
                <w:sz w:val="21"/>
                <w:szCs w:val="21"/>
              </w:rPr>
              <w:t>PE</w:t>
            </w:r>
          </w:p>
        </w:tc>
        <w:tc>
          <w:tcPr>
            <w:tcW w:w="419" w:type="pct"/>
            <w:vAlign w:val="center"/>
          </w:tcPr>
          <w:p w14:paraId="17500A86">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74B08115">
            <w:pPr>
              <w:widowControl/>
              <w:spacing w:line="360" w:lineRule="exact"/>
              <w:jc w:val="center"/>
              <w:rPr>
                <w:color w:val="auto"/>
                <w:sz w:val="21"/>
                <w:szCs w:val="21"/>
              </w:rPr>
            </w:pPr>
            <w:r>
              <w:rPr>
                <w:rFonts w:hint="eastAsia"/>
                <w:color w:val="auto"/>
                <w:sz w:val="21"/>
                <w:szCs w:val="21"/>
              </w:rPr>
              <w:t>2704.842</w:t>
            </w:r>
          </w:p>
        </w:tc>
        <w:tc>
          <w:tcPr>
            <w:tcW w:w="576" w:type="pct"/>
            <w:vAlign w:val="center"/>
          </w:tcPr>
          <w:p w14:paraId="3254EAA1">
            <w:pPr>
              <w:widowControl/>
              <w:spacing w:line="360" w:lineRule="exact"/>
              <w:jc w:val="center"/>
              <w:rPr>
                <w:color w:val="auto"/>
                <w:sz w:val="21"/>
                <w:szCs w:val="21"/>
              </w:rPr>
            </w:pPr>
            <w:r>
              <w:rPr>
                <w:color w:val="auto"/>
                <w:sz w:val="21"/>
                <w:szCs w:val="21"/>
              </w:rPr>
              <w:t>0.2~0.4</w:t>
            </w:r>
          </w:p>
        </w:tc>
        <w:tc>
          <w:tcPr>
            <w:tcW w:w="530" w:type="pct"/>
            <w:vAlign w:val="center"/>
          </w:tcPr>
          <w:p w14:paraId="7EBA00D2">
            <w:pPr>
              <w:widowControl/>
              <w:spacing w:line="360" w:lineRule="exact"/>
              <w:jc w:val="center"/>
              <w:rPr>
                <w:color w:val="auto"/>
                <w:sz w:val="21"/>
                <w:szCs w:val="21"/>
              </w:rPr>
            </w:pPr>
            <w:r>
              <w:rPr>
                <w:rFonts w:hint="eastAsia"/>
                <w:color w:val="auto"/>
                <w:sz w:val="21"/>
                <w:szCs w:val="21"/>
              </w:rPr>
              <w:t>6</w:t>
            </w:r>
          </w:p>
        </w:tc>
      </w:tr>
      <w:tr w14:paraId="7916057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6452806A">
            <w:pPr>
              <w:widowControl/>
              <w:spacing w:line="360" w:lineRule="exact"/>
              <w:jc w:val="center"/>
              <w:rPr>
                <w:color w:val="auto"/>
                <w:sz w:val="21"/>
                <w:szCs w:val="21"/>
                <w:lang w:val="zh-CN"/>
              </w:rPr>
            </w:pPr>
          </w:p>
        </w:tc>
        <w:tc>
          <w:tcPr>
            <w:tcW w:w="577" w:type="pct"/>
            <w:gridSpan w:val="2"/>
            <w:vMerge w:val="continue"/>
            <w:vAlign w:val="center"/>
          </w:tcPr>
          <w:p w14:paraId="4C155526">
            <w:pPr>
              <w:widowControl/>
              <w:spacing w:line="360" w:lineRule="exact"/>
              <w:jc w:val="center"/>
              <w:rPr>
                <w:color w:val="auto"/>
                <w:sz w:val="21"/>
                <w:szCs w:val="21"/>
              </w:rPr>
            </w:pPr>
          </w:p>
        </w:tc>
        <w:tc>
          <w:tcPr>
            <w:tcW w:w="366" w:type="pct"/>
            <w:vAlign w:val="center"/>
          </w:tcPr>
          <w:p w14:paraId="69706932">
            <w:pPr>
              <w:widowControl/>
              <w:spacing w:line="360" w:lineRule="exact"/>
              <w:jc w:val="center"/>
              <w:rPr>
                <w:color w:val="auto"/>
                <w:sz w:val="21"/>
                <w:szCs w:val="21"/>
              </w:rPr>
            </w:pPr>
            <w:r>
              <w:rPr>
                <w:rFonts w:hint="eastAsia"/>
                <w:color w:val="auto"/>
                <w:sz w:val="21"/>
                <w:szCs w:val="21"/>
              </w:rPr>
              <w:t>6</w:t>
            </w:r>
          </w:p>
        </w:tc>
        <w:tc>
          <w:tcPr>
            <w:tcW w:w="657" w:type="pct"/>
            <w:gridSpan w:val="2"/>
            <w:vAlign w:val="center"/>
          </w:tcPr>
          <w:p w14:paraId="18808D91">
            <w:pPr>
              <w:widowControl/>
              <w:spacing w:line="360" w:lineRule="exact"/>
              <w:jc w:val="center"/>
              <w:rPr>
                <w:color w:val="auto"/>
                <w:sz w:val="21"/>
                <w:szCs w:val="21"/>
              </w:rPr>
            </w:pPr>
            <w:r>
              <w:rPr>
                <w:rFonts w:hint="eastAsia"/>
                <w:color w:val="auto"/>
                <w:sz w:val="21"/>
                <w:szCs w:val="21"/>
              </w:rPr>
              <w:t>含碳酸钠废酸液</w:t>
            </w:r>
          </w:p>
        </w:tc>
        <w:tc>
          <w:tcPr>
            <w:tcW w:w="482" w:type="pct"/>
            <w:vAlign w:val="center"/>
          </w:tcPr>
          <w:p w14:paraId="16C3A475">
            <w:pPr>
              <w:widowControl/>
              <w:spacing w:line="360" w:lineRule="exact"/>
              <w:jc w:val="center"/>
              <w:rPr>
                <w:color w:val="auto"/>
                <w:sz w:val="21"/>
                <w:szCs w:val="21"/>
              </w:rPr>
            </w:pPr>
            <w:r>
              <w:rPr>
                <w:color w:val="auto"/>
                <w:sz w:val="21"/>
                <w:szCs w:val="21"/>
              </w:rPr>
              <w:t>DN</w:t>
            </w:r>
            <w:r>
              <w:rPr>
                <w:rFonts w:hint="eastAsia"/>
                <w:color w:val="auto"/>
                <w:sz w:val="21"/>
                <w:szCs w:val="21"/>
              </w:rPr>
              <w:t>4</w:t>
            </w:r>
            <w:r>
              <w:rPr>
                <w:color w:val="auto"/>
                <w:sz w:val="21"/>
                <w:szCs w:val="21"/>
              </w:rPr>
              <w:t>0</w:t>
            </w:r>
          </w:p>
        </w:tc>
        <w:tc>
          <w:tcPr>
            <w:tcW w:w="394" w:type="pct"/>
            <w:vAlign w:val="center"/>
          </w:tcPr>
          <w:p w14:paraId="6A88D97E">
            <w:pPr>
              <w:widowControl/>
              <w:spacing w:line="360" w:lineRule="exact"/>
              <w:jc w:val="center"/>
              <w:rPr>
                <w:color w:val="auto"/>
                <w:sz w:val="21"/>
                <w:szCs w:val="21"/>
              </w:rPr>
            </w:pPr>
            <w:r>
              <w:rPr>
                <w:color w:val="auto"/>
                <w:sz w:val="21"/>
                <w:szCs w:val="21"/>
              </w:rPr>
              <w:t>PE</w:t>
            </w:r>
          </w:p>
        </w:tc>
        <w:tc>
          <w:tcPr>
            <w:tcW w:w="419" w:type="pct"/>
            <w:vAlign w:val="center"/>
          </w:tcPr>
          <w:p w14:paraId="1F0CB16F">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44FFB010">
            <w:pPr>
              <w:widowControl/>
              <w:spacing w:line="360" w:lineRule="exact"/>
              <w:jc w:val="center"/>
              <w:rPr>
                <w:color w:val="auto"/>
                <w:sz w:val="21"/>
                <w:szCs w:val="21"/>
              </w:rPr>
            </w:pPr>
            <w:r>
              <w:rPr>
                <w:rFonts w:hint="eastAsia"/>
                <w:color w:val="auto"/>
                <w:sz w:val="21"/>
                <w:szCs w:val="21"/>
              </w:rPr>
              <w:t>2704.842</w:t>
            </w:r>
          </w:p>
        </w:tc>
        <w:tc>
          <w:tcPr>
            <w:tcW w:w="576" w:type="pct"/>
            <w:vAlign w:val="center"/>
          </w:tcPr>
          <w:p w14:paraId="20122D42">
            <w:pPr>
              <w:widowControl/>
              <w:spacing w:line="360" w:lineRule="exact"/>
              <w:jc w:val="center"/>
              <w:rPr>
                <w:color w:val="auto"/>
                <w:sz w:val="21"/>
                <w:szCs w:val="21"/>
              </w:rPr>
            </w:pPr>
            <w:r>
              <w:rPr>
                <w:color w:val="auto"/>
                <w:sz w:val="21"/>
                <w:szCs w:val="21"/>
              </w:rPr>
              <w:t>0.2~0.4</w:t>
            </w:r>
          </w:p>
        </w:tc>
        <w:tc>
          <w:tcPr>
            <w:tcW w:w="530" w:type="pct"/>
            <w:vAlign w:val="center"/>
          </w:tcPr>
          <w:p w14:paraId="745EEF7A">
            <w:pPr>
              <w:widowControl/>
              <w:spacing w:line="360" w:lineRule="exact"/>
              <w:jc w:val="center"/>
              <w:rPr>
                <w:color w:val="auto"/>
                <w:sz w:val="21"/>
                <w:szCs w:val="21"/>
              </w:rPr>
            </w:pPr>
            <w:r>
              <w:rPr>
                <w:rFonts w:hint="eastAsia"/>
                <w:color w:val="auto"/>
                <w:sz w:val="21"/>
                <w:szCs w:val="21"/>
              </w:rPr>
              <w:t>7</w:t>
            </w:r>
          </w:p>
        </w:tc>
      </w:tr>
      <w:tr w14:paraId="052AC82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5CDD9B72">
            <w:pPr>
              <w:widowControl/>
              <w:spacing w:line="360" w:lineRule="exact"/>
              <w:jc w:val="center"/>
              <w:rPr>
                <w:color w:val="auto"/>
                <w:sz w:val="21"/>
                <w:szCs w:val="21"/>
                <w:lang w:val="zh-CN"/>
              </w:rPr>
            </w:pPr>
          </w:p>
        </w:tc>
        <w:tc>
          <w:tcPr>
            <w:tcW w:w="577" w:type="pct"/>
            <w:gridSpan w:val="2"/>
            <w:vMerge w:val="continue"/>
            <w:vAlign w:val="center"/>
          </w:tcPr>
          <w:p w14:paraId="3CA15B2D">
            <w:pPr>
              <w:widowControl/>
              <w:spacing w:line="360" w:lineRule="exact"/>
              <w:jc w:val="center"/>
              <w:rPr>
                <w:color w:val="auto"/>
                <w:sz w:val="21"/>
                <w:szCs w:val="21"/>
              </w:rPr>
            </w:pPr>
          </w:p>
        </w:tc>
        <w:tc>
          <w:tcPr>
            <w:tcW w:w="366" w:type="pct"/>
            <w:vAlign w:val="center"/>
          </w:tcPr>
          <w:p w14:paraId="1533A35E">
            <w:pPr>
              <w:widowControl/>
              <w:spacing w:line="360" w:lineRule="exact"/>
              <w:jc w:val="center"/>
              <w:rPr>
                <w:color w:val="auto"/>
                <w:sz w:val="21"/>
                <w:szCs w:val="21"/>
              </w:rPr>
            </w:pPr>
            <w:r>
              <w:rPr>
                <w:rFonts w:hint="eastAsia"/>
                <w:color w:val="auto"/>
                <w:sz w:val="21"/>
                <w:szCs w:val="21"/>
              </w:rPr>
              <w:t>7</w:t>
            </w:r>
          </w:p>
        </w:tc>
        <w:tc>
          <w:tcPr>
            <w:tcW w:w="657" w:type="pct"/>
            <w:gridSpan w:val="2"/>
            <w:vAlign w:val="center"/>
          </w:tcPr>
          <w:p w14:paraId="790F14B4">
            <w:pPr>
              <w:widowControl/>
              <w:spacing w:line="360" w:lineRule="exact"/>
              <w:jc w:val="center"/>
              <w:rPr>
                <w:color w:val="auto"/>
                <w:sz w:val="21"/>
                <w:szCs w:val="21"/>
              </w:rPr>
            </w:pPr>
            <w:r>
              <w:rPr>
                <w:rFonts w:hint="eastAsia"/>
                <w:color w:val="auto"/>
                <w:sz w:val="21"/>
                <w:szCs w:val="21"/>
              </w:rPr>
              <w:t>二氧化碳气</w:t>
            </w:r>
          </w:p>
        </w:tc>
        <w:tc>
          <w:tcPr>
            <w:tcW w:w="482" w:type="pct"/>
            <w:vAlign w:val="center"/>
          </w:tcPr>
          <w:p w14:paraId="529A2923">
            <w:pPr>
              <w:widowControl/>
              <w:spacing w:line="360" w:lineRule="exact"/>
              <w:jc w:val="center"/>
              <w:rPr>
                <w:color w:val="auto"/>
                <w:sz w:val="21"/>
                <w:szCs w:val="21"/>
              </w:rPr>
            </w:pPr>
            <w:r>
              <w:rPr>
                <w:color w:val="auto"/>
                <w:sz w:val="21"/>
                <w:szCs w:val="21"/>
              </w:rPr>
              <w:t>DN300</w:t>
            </w:r>
          </w:p>
        </w:tc>
        <w:tc>
          <w:tcPr>
            <w:tcW w:w="394" w:type="pct"/>
            <w:vAlign w:val="center"/>
          </w:tcPr>
          <w:p w14:paraId="7F290558">
            <w:pPr>
              <w:widowControl/>
              <w:spacing w:line="360" w:lineRule="exact"/>
              <w:jc w:val="center"/>
              <w:rPr>
                <w:color w:val="auto"/>
                <w:sz w:val="21"/>
                <w:szCs w:val="21"/>
              </w:rPr>
            </w:pPr>
            <w:r>
              <w:rPr>
                <w:rFonts w:hint="eastAsia"/>
                <w:color w:val="auto"/>
                <w:sz w:val="21"/>
                <w:szCs w:val="21"/>
              </w:rPr>
              <w:t>无缝钢管</w:t>
            </w:r>
          </w:p>
        </w:tc>
        <w:tc>
          <w:tcPr>
            <w:tcW w:w="419" w:type="pct"/>
            <w:vAlign w:val="center"/>
          </w:tcPr>
          <w:p w14:paraId="63BEF4CE">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2FC27C25">
            <w:pPr>
              <w:widowControl/>
              <w:spacing w:line="360" w:lineRule="exact"/>
              <w:jc w:val="center"/>
              <w:rPr>
                <w:color w:val="auto"/>
                <w:sz w:val="21"/>
                <w:szCs w:val="21"/>
              </w:rPr>
            </w:pPr>
            <w:r>
              <w:rPr>
                <w:rFonts w:hint="eastAsia"/>
                <w:color w:val="auto"/>
                <w:sz w:val="21"/>
                <w:szCs w:val="21"/>
              </w:rPr>
              <w:t>3367.53</w:t>
            </w:r>
          </w:p>
        </w:tc>
        <w:tc>
          <w:tcPr>
            <w:tcW w:w="576" w:type="pct"/>
            <w:vAlign w:val="center"/>
          </w:tcPr>
          <w:p w14:paraId="53217434">
            <w:pPr>
              <w:widowControl/>
              <w:spacing w:line="360" w:lineRule="exact"/>
              <w:jc w:val="center"/>
              <w:rPr>
                <w:color w:val="auto"/>
                <w:sz w:val="21"/>
                <w:szCs w:val="21"/>
              </w:rPr>
            </w:pPr>
            <w:r>
              <w:rPr>
                <w:rFonts w:hint="eastAsia"/>
                <w:color w:val="auto"/>
                <w:sz w:val="21"/>
                <w:szCs w:val="21"/>
              </w:rPr>
              <w:t>0.2</w:t>
            </w:r>
          </w:p>
        </w:tc>
        <w:tc>
          <w:tcPr>
            <w:tcW w:w="530" w:type="pct"/>
            <w:vAlign w:val="center"/>
          </w:tcPr>
          <w:p w14:paraId="4573C3C9">
            <w:pPr>
              <w:widowControl/>
              <w:spacing w:line="360" w:lineRule="exact"/>
              <w:jc w:val="center"/>
              <w:rPr>
                <w:color w:val="auto"/>
                <w:sz w:val="21"/>
                <w:szCs w:val="21"/>
              </w:rPr>
            </w:pPr>
            <w:r>
              <w:rPr>
                <w:rFonts w:hint="eastAsia"/>
                <w:color w:val="auto"/>
                <w:sz w:val="21"/>
                <w:szCs w:val="21"/>
              </w:rPr>
              <w:t>700m</w:t>
            </w:r>
            <w:r>
              <w:rPr>
                <w:rFonts w:hint="eastAsia"/>
                <w:color w:val="auto"/>
                <w:sz w:val="21"/>
                <w:szCs w:val="21"/>
                <w:vertAlign w:val="superscript"/>
              </w:rPr>
              <w:t>3</w:t>
            </w:r>
            <w:r>
              <w:rPr>
                <w:rFonts w:hint="eastAsia"/>
                <w:color w:val="auto"/>
                <w:sz w:val="21"/>
                <w:szCs w:val="21"/>
              </w:rPr>
              <w:t>/h</w:t>
            </w:r>
          </w:p>
        </w:tc>
      </w:tr>
      <w:tr w14:paraId="3B9BEF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554CE9EA">
            <w:pPr>
              <w:widowControl/>
              <w:spacing w:line="360" w:lineRule="exact"/>
              <w:jc w:val="center"/>
              <w:rPr>
                <w:color w:val="auto"/>
                <w:sz w:val="21"/>
                <w:szCs w:val="21"/>
                <w:lang w:val="zh-CN"/>
              </w:rPr>
            </w:pPr>
          </w:p>
        </w:tc>
        <w:tc>
          <w:tcPr>
            <w:tcW w:w="577" w:type="pct"/>
            <w:gridSpan w:val="2"/>
            <w:vMerge w:val="continue"/>
            <w:vAlign w:val="center"/>
          </w:tcPr>
          <w:p w14:paraId="02B691E0">
            <w:pPr>
              <w:widowControl/>
              <w:spacing w:line="360" w:lineRule="exact"/>
              <w:jc w:val="center"/>
              <w:rPr>
                <w:color w:val="auto"/>
                <w:sz w:val="21"/>
                <w:szCs w:val="21"/>
              </w:rPr>
            </w:pPr>
          </w:p>
        </w:tc>
        <w:tc>
          <w:tcPr>
            <w:tcW w:w="366" w:type="pct"/>
            <w:vAlign w:val="center"/>
          </w:tcPr>
          <w:p w14:paraId="3106E603">
            <w:pPr>
              <w:widowControl/>
              <w:spacing w:line="360" w:lineRule="exact"/>
              <w:jc w:val="center"/>
              <w:rPr>
                <w:color w:val="auto"/>
                <w:sz w:val="21"/>
                <w:szCs w:val="21"/>
              </w:rPr>
            </w:pPr>
            <w:r>
              <w:rPr>
                <w:rFonts w:hint="eastAsia"/>
                <w:color w:val="auto"/>
                <w:sz w:val="21"/>
                <w:szCs w:val="21"/>
              </w:rPr>
              <w:t>8</w:t>
            </w:r>
          </w:p>
        </w:tc>
        <w:tc>
          <w:tcPr>
            <w:tcW w:w="657" w:type="pct"/>
            <w:gridSpan w:val="2"/>
            <w:vAlign w:val="center"/>
          </w:tcPr>
          <w:p w14:paraId="70B2DE4D">
            <w:pPr>
              <w:widowControl/>
              <w:spacing w:line="360" w:lineRule="exact"/>
              <w:jc w:val="center"/>
              <w:rPr>
                <w:color w:val="auto"/>
                <w:sz w:val="21"/>
                <w:szCs w:val="21"/>
              </w:rPr>
            </w:pPr>
            <w:r>
              <w:rPr>
                <w:rFonts w:hint="eastAsia"/>
                <w:color w:val="auto"/>
                <w:sz w:val="21"/>
                <w:szCs w:val="21"/>
              </w:rPr>
              <w:t>蒸汽</w:t>
            </w:r>
          </w:p>
        </w:tc>
        <w:tc>
          <w:tcPr>
            <w:tcW w:w="482" w:type="pct"/>
            <w:vAlign w:val="center"/>
          </w:tcPr>
          <w:p w14:paraId="19071F52">
            <w:pPr>
              <w:widowControl/>
              <w:spacing w:line="360" w:lineRule="exact"/>
              <w:jc w:val="center"/>
              <w:rPr>
                <w:color w:val="auto"/>
                <w:sz w:val="21"/>
                <w:szCs w:val="21"/>
              </w:rPr>
            </w:pPr>
            <w:r>
              <w:rPr>
                <w:rFonts w:hint="eastAsia"/>
                <w:color w:val="auto"/>
                <w:sz w:val="21"/>
                <w:szCs w:val="21"/>
              </w:rPr>
              <w:t>DM300</w:t>
            </w:r>
          </w:p>
        </w:tc>
        <w:tc>
          <w:tcPr>
            <w:tcW w:w="394" w:type="pct"/>
            <w:vAlign w:val="center"/>
          </w:tcPr>
          <w:p w14:paraId="41493D45">
            <w:pPr>
              <w:widowControl/>
              <w:spacing w:line="360" w:lineRule="exact"/>
              <w:jc w:val="center"/>
              <w:rPr>
                <w:color w:val="auto"/>
                <w:sz w:val="21"/>
                <w:szCs w:val="21"/>
              </w:rPr>
            </w:pPr>
            <w:r>
              <w:rPr>
                <w:rFonts w:hint="eastAsia"/>
                <w:color w:val="auto"/>
                <w:sz w:val="21"/>
                <w:szCs w:val="21"/>
              </w:rPr>
              <w:t>PE</w:t>
            </w:r>
          </w:p>
        </w:tc>
        <w:tc>
          <w:tcPr>
            <w:tcW w:w="419" w:type="pct"/>
            <w:vAlign w:val="center"/>
          </w:tcPr>
          <w:p w14:paraId="31C0478D">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3885AAA4">
            <w:pPr>
              <w:widowControl/>
              <w:spacing w:line="360" w:lineRule="exact"/>
              <w:jc w:val="center"/>
              <w:rPr>
                <w:color w:val="auto"/>
                <w:sz w:val="21"/>
                <w:szCs w:val="21"/>
              </w:rPr>
            </w:pPr>
            <w:r>
              <w:rPr>
                <w:rFonts w:hint="eastAsia"/>
                <w:color w:val="auto"/>
                <w:sz w:val="21"/>
                <w:szCs w:val="21"/>
              </w:rPr>
              <w:t>3367.53</w:t>
            </w:r>
          </w:p>
        </w:tc>
        <w:tc>
          <w:tcPr>
            <w:tcW w:w="576" w:type="pct"/>
            <w:vAlign w:val="center"/>
          </w:tcPr>
          <w:p w14:paraId="7AF014D0">
            <w:pPr>
              <w:widowControl/>
              <w:spacing w:line="360" w:lineRule="exact"/>
              <w:jc w:val="center"/>
              <w:rPr>
                <w:color w:val="auto"/>
                <w:sz w:val="21"/>
                <w:szCs w:val="21"/>
              </w:rPr>
            </w:pPr>
            <w:r>
              <w:rPr>
                <w:color w:val="auto"/>
                <w:sz w:val="21"/>
                <w:szCs w:val="21"/>
              </w:rPr>
              <w:t>0.2~0.4</w:t>
            </w:r>
          </w:p>
        </w:tc>
        <w:tc>
          <w:tcPr>
            <w:tcW w:w="530" w:type="pct"/>
            <w:vAlign w:val="center"/>
          </w:tcPr>
          <w:p w14:paraId="675B7B74">
            <w:pPr>
              <w:widowControl/>
              <w:spacing w:line="360" w:lineRule="exact"/>
              <w:jc w:val="center"/>
              <w:rPr>
                <w:color w:val="auto"/>
                <w:sz w:val="21"/>
                <w:szCs w:val="21"/>
              </w:rPr>
            </w:pPr>
            <w:r>
              <w:rPr>
                <w:rFonts w:hint="eastAsia"/>
                <w:color w:val="auto"/>
                <w:sz w:val="21"/>
                <w:szCs w:val="21"/>
              </w:rPr>
              <w:t>25</w:t>
            </w:r>
          </w:p>
        </w:tc>
      </w:tr>
      <w:tr w14:paraId="0CAF0E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684A6894">
            <w:pPr>
              <w:widowControl/>
              <w:spacing w:line="360" w:lineRule="exact"/>
              <w:jc w:val="center"/>
              <w:rPr>
                <w:color w:val="auto"/>
                <w:sz w:val="21"/>
                <w:szCs w:val="21"/>
                <w:lang w:val="zh-CN"/>
              </w:rPr>
            </w:pPr>
          </w:p>
        </w:tc>
        <w:tc>
          <w:tcPr>
            <w:tcW w:w="577" w:type="pct"/>
            <w:gridSpan w:val="2"/>
            <w:vMerge w:val="continue"/>
            <w:vAlign w:val="center"/>
          </w:tcPr>
          <w:p w14:paraId="099AD3F4">
            <w:pPr>
              <w:widowControl/>
              <w:spacing w:line="360" w:lineRule="exact"/>
              <w:jc w:val="center"/>
              <w:rPr>
                <w:color w:val="auto"/>
                <w:sz w:val="21"/>
                <w:szCs w:val="21"/>
              </w:rPr>
            </w:pPr>
          </w:p>
        </w:tc>
        <w:tc>
          <w:tcPr>
            <w:tcW w:w="366" w:type="pct"/>
            <w:vAlign w:val="center"/>
          </w:tcPr>
          <w:p w14:paraId="13C1F77C">
            <w:pPr>
              <w:widowControl/>
              <w:spacing w:line="360" w:lineRule="exact"/>
              <w:jc w:val="center"/>
              <w:rPr>
                <w:color w:val="auto"/>
                <w:sz w:val="21"/>
                <w:szCs w:val="21"/>
              </w:rPr>
            </w:pPr>
            <w:r>
              <w:rPr>
                <w:rFonts w:hint="eastAsia"/>
                <w:color w:val="auto"/>
                <w:sz w:val="21"/>
                <w:szCs w:val="21"/>
              </w:rPr>
              <w:t>9</w:t>
            </w:r>
          </w:p>
        </w:tc>
        <w:tc>
          <w:tcPr>
            <w:tcW w:w="657" w:type="pct"/>
            <w:gridSpan w:val="2"/>
            <w:vAlign w:val="center"/>
          </w:tcPr>
          <w:p w14:paraId="133FFA3C">
            <w:pPr>
              <w:widowControl/>
              <w:spacing w:line="360" w:lineRule="exact"/>
              <w:jc w:val="center"/>
              <w:rPr>
                <w:color w:val="auto"/>
                <w:sz w:val="21"/>
                <w:szCs w:val="21"/>
              </w:rPr>
            </w:pPr>
            <w:r>
              <w:rPr>
                <w:rFonts w:hint="eastAsia"/>
                <w:color w:val="auto"/>
                <w:sz w:val="21"/>
                <w:szCs w:val="21"/>
              </w:rPr>
              <w:t>氨水</w:t>
            </w:r>
          </w:p>
        </w:tc>
        <w:tc>
          <w:tcPr>
            <w:tcW w:w="482" w:type="pct"/>
            <w:vAlign w:val="center"/>
          </w:tcPr>
          <w:p w14:paraId="186F8D64">
            <w:pPr>
              <w:widowControl/>
              <w:spacing w:line="360" w:lineRule="exact"/>
              <w:jc w:val="center"/>
              <w:rPr>
                <w:color w:val="auto"/>
                <w:sz w:val="21"/>
                <w:szCs w:val="21"/>
              </w:rPr>
            </w:pPr>
            <w:r>
              <w:rPr>
                <w:color w:val="auto"/>
                <w:sz w:val="21"/>
                <w:szCs w:val="21"/>
              </w:rPr>
              <w:t>DN40</w:t>
            </w:r>
          </w:p>
        </w:tc>
        <w:tc>
          <w:tcPr>
            <w:tcW w:w="394" w:type="pct"/>
            <w:vAlign w:val="center"/>
          </w:tcPr>
          <w:p w14:paraId="0A8FF4A5">
            <w:pPr>
              <w:widowControl/>
              <w:spacing w:line="360" w:lineRule="exact"/>
              <w:jc w:val="center"/>
              <w:rPr>
                <w:color w:val="auto"/>
                <w:sz w:val="21"/>
                <w:szCs w:val="21"/>
              </w:rPr>
            </w:pPr>
            <w:r>
              <w:rPr>
                <w:rFonts w:hint="eastAsia"/>
                <w:color w:val="auto"/>
                <w:sz w:val="21"/>
                <w:szCs w:val="21"/>
              </w:rPr>
              <w:t>S304不锈钢</w:t>
            </w:r>
          </w:p>
        </w:tc>
        <w:tc>
          <w:tcPr>
            <w:tcW w:w="419" w:type="pct"/>
            <w:vAlign w:val="center"/>
          </w:tcPr>
          <w:p w14:paraId="4FA92413">
            <w:pPr>
              <w:widowControl/>
              <w:spacing w:line="360" w:lineRule="exact"/>
              <w:jc w:val="center"/>
              <w:rPr>
                <w:color w:val="auto"/>
                <w:sz w:val="21"/>
                <w:szCs w:val="21"/>
              </w:rPr>
            </w:pPr>
            <w:r>
              <w:rPr>
                <w:rFonts w:hint="eastAsia"/>
                <w:color w:val="auto"/>
                <w:sz w:val="21"/>
                <w:szCs w:val="21"/>
              </w:rPr>
              <w:t>2</w:t>
            </w:r>
          </w:p>
        </w:tc>
        <w:tc>
          <w:tcPr>
            <w:tcW w:w="646" w:type="pct"/>
            <w:vAlign w:val="center"/>
          </w:tcPr>
          <w:p w14:paraId="26D9C758">
            <w:pPr>
              <w:widowControl/>
              <w:spacing w:line="360" w:lineRule="exact"/>
              <w:jc w:val="center"/>
              <w:rPr>
                <w:color w:val="auto"/>
                <w:sz w:val="21"/>
                <w:szCs w:val="21"/>
              </w:rPr>
            </w:pPr>
            <w:r>
              <w:rPr>
                <w:rFonts w:hint="eastAsia"/>
                <w:color w:val="auto"/>
                <w:sz w:val="21"/>
                <w:szCs w:val="21"/>
              </w:rPr>
              <w:t>3367.53</w:t>
            </w:r>
          </w:p>
        </w:tc>
        <w:tc>
          <w:tcPr>
            <w:tcW w:w="576" w:type="pct"/>
            <w:vAlign w:val="center"/>
          </w:tcPr>
          <w:p w14:paraId="0BC137AA">
            <w:pPr>
              <w:widowControl/>
              <w:spacing w:line="360" w:lineRule="exact"/>
              <w:jc w:val="center"/>
              <w:rPr>
                <w:color w:val="auto"/>
                <w:sz w:val="21"/>
                <w:szCs w:val="21"/>
              </w:rPr>
            </w:pPr>
            <w:r>
              <w:rPr>
                <w:color w:val="auto"/>
                <w:sz w:val="21"/>
                <w:szCs w:val="21"/>
              </w:rPr>
              <w:t>0.2~0.4</w:t>
            </w:r>
          </w:p>
        </w:tc>
        <w:tc>
          <w:tcPr>
            <w:tcW w:w="530" w:type="pct"/>
            <w:vAlign w:val="center"/>
          </w:tcPr>
          <w:p w14:paraId="0E812D2F">
            <w:pPr>
              <w:widowControl/>
              <w:spacing w:line="360" w:lineRule="exact"/>
              <w:jc w:val="center"/>
              <w:rPr>
                <w:color w:val="auto"/>
                <w:sz w:val="21"/>
                <w:szCs w:val="21"/>
              </w:rPr>
            </w:pPr>
            <w:r>
              <w:rPr>
                <w:rFonts w:hint="eastAsia"/>
                <w:color w:val="auto"/>
                <w:sz w:val="21"/>
                <w:szCs w:val="21"/>
              </w:rPr>
              <w:t>10/根</w:t>
            </w:r>
          </w:p>
        </w:tc>
      </w:tr>
      <w:tr w14:paraId="492558E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32DCBCC5">
            <w:pPr>
              <w:widowControl/>
              <w:spacing w:line="360" w:lineRule="exact"/>
              <w:jc w:val="center"/>
              <w:rPr>
                <w:color w:val="auto"/>
                <w:sz w:val="21"/>
                <w:szCs w:val="21"/>
                <w:lang w:val="zh-CN"/>
              </w:rPr>
            </w:pPr>
          </w:p>
        </w:tc>
        <w:tc>
          <w:tcPr>
            <w:tcW w:w="577" w:type="pct"/>
            <w:gridSpan w:val="2"/>
            <w:vMerge w:val="continue"/>
            <w:vAlign w:val="center"/>
          </w:tcPr>
          <w:p w14:paraId="59429227">
            <w:pPr>
              <w:widowControl/>
              <w:spacing w:line="360" w:lineRule="exact"/>
              <w:jc w:val="center"/>
              <w:rPr>
                <w:color w:val="auto"/>
                <w:sz w:val="21"/>
                <w:szCs w:val="21"/>
              </w:rPr>
            </w:pPr>
          </w:p>
        </w:tc>
        <w:tc>
          <w:tcPr>
            <w:tcW w:w="366" w:type="pct"/>
            <w:vAlign w:val="center"/>
          </w:tcPr>
          <w:p w14:paraId="69EDD209">
            <w:pPr>
              <w:widowControl/>
              <w:spacing w:line="360" w:lineRule="exact"/>
              <w:jc w:val="center"/>
              <w:rPr>
                <w:color w:val="auto"/>
                <w:sz w:val="21"/>
                <w:szCs w:val="21"/>
              </w:rPr>
            </w:pPr>
            <w:r>
              <w:rPr>
                <w:rFonts w:hint="eastAsia"/>
                <w:color w:val="auto"/>
                <w:sz w:val="21"/>
                <w:szCs w:val="21"/>
              </w:rPr>
              <w:t>10</w:t>
            </w:r>
          </w:p>
        </w:tc>
        <w:tc>
          <w:tcPr>
            <w:tcW w:w="657" w:type="pct"/>
            <w:gridSpan w:val="2"/>
            <w:vAlign w:val="center"/>
          </w:tcPr>
          <w:p w14:paraId="639F8460">
            <w:pPr>
              <w:widowControl/>
              <w:spacing w:line="360" w:lineRule="exact"/>
              <w:jc w:val="center"/>
              <w:rPr>
                <w:color w:val="auto"/>
                <w:sz w:val="21"/>
                <w:szCs w:val="21"/>
              </w:rPr>
            </w:pPr>
            <w:r>
              <w:rPr>
                <w:rFonts w:hint="eastAsia"/>
                <w:color w:val="auto"/>
                <w:sz w:val="21"/>
                <w:szCs w:val="21"/>
              </w:rPr>
              <w:t>回用水</w:t>
            </w:r>
          </w:p>
        </w:tc>
        <w:tc>
          <w:tcPr>
            <w:tcW w:w="482" w:type="pct"/>
            <w:vAlign w:val="center"/>
          </w:tcPr>
          <w:p w14:paraId="79A6404C">
            <w:pPr>
              <w:widowControl/>
              <w:spacing w:line="360" w:lineRule="exact"/>
              <w:jc w:val="center"/>
              <w:rPr>
                <w:color w:val="auto"/>
                <w:sz w:val="21"/>
                <w:szCs w:val="21"/>
              </w:rPr>
            </w:pPr>
            <w:r>
              <w:rPr>
                <w:color w:val="auto"/>
                <w:sz w:val="21"/>
                <w:szCs w:val="21"/>
              </w:rPr>
              <w:t>DN150</w:t>
            </w:r>
          </w:p>
        </w:tc>
        <w:tc>
          <w:tcPr>
            <w:tcW w:w="394" w:type="pct"/>
            <w:vAlign w:val="center"/>
          </w:tcPr>
          <w:p w14:paraId="79FD9340">
            <w:pPr>
              <w:widowControl/>
              <w:spacing w:line="360" w:lineRule="exact"/>
              <w:jc w:val="center"/>
              <w:rPr>
                <w:color w:val="auto"/>
                <w:sz w:val="21"/>
                <w:szCs w:val="21"/>
              </w:rPr>
            </w:pPr>
            <w:r>
              <w:rPr>
                <w:color w:val="auto"/>
                <w:sz w:val="21"/>
                <w:szCs w:val="21"/>
              </w:rPr>
              <w:t>PE</w:t>
            </w:r>
          </w:p>
        </w:tc>
        <w:tc>
          <w:tcPr>
            <w:tcW w:w="419" w:type="pct"/>
            <w:vAlign w:val="center"/>
          </w:tcPr>
          <w:p w14:paraId="1006F0F8">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7557112A">
            <w:pPr>
              <w:widowControl/>
              <w:spacing w:line="360" w:lineRule="exact"/>
              <w:jc w:val="center"/>
              <w:rPr>
                <w:color w:val="auto"/>
                <w:sz w:val="21"/>
                <w:szCs w:val="21"/>
              </w:rPr>
            </w:pPr>
            <w:r>
              <w:rPr>
                <w:rFonts w:hint="eastAsia"/>
                <w:color w:val="auto"/>
                <w:sz w:val="21"/>
                <w:szCs w:val="21"/>
              </w:rPr>
              <w:t>2704.842</w:t>
            </w:r>
          </w:p>
        </w:tc>
        <w:tc>
          <w:tcPr>
            <w:tcW w:w="576" w:type="pct"/>
            <w:vAlign w:val="center"/>
          </w:tcPr>
          <w:p w14:paraId="283A6581">
            <w:pPr>
              <w:widowControl/>
              <w:spacing w:line="360" w:lineRule="exact"/>
              <w:jc w:val="center"/>
              <w:rPr>
                <w:color w:val="auto"/>
                <w:sz w:val="21"/>
                <w:szCs w:val="21"/>
              </w:rPr>
            </w:pPr>
            <w:r>
              <w:rPr>
                <w:color w:val="auto"/>
                <w:sz w:val="21"/>
                <w:szCs w:val="21"/>
              </w:rPr>
              <w:t>0.2~0.4</w:t>
            </w:r>
          </w:p>
        </w:tc>
        <w:tc>
          <w:tcPr>
            <w:tcW w:w="530" w:type="pct"/>
            <w:vAlign w:val="center"/>
          </w:tcPr>
          <w:p w14:paraId="6354D968">
            <w:pPr>
              <w:widowControl/>
              <w:spacing w:line="360" w:lineRule="exact"/>
              <w:jc w:val="center"/>
              <w:rPr>
                <w:color w:val="auto"/>
                <w:sz w:val="21"/>
                <w:szCs w:val="21"/>
              </w:rPr>
            </w:pPr>
            <w:r>
              <w:rPr>
                <w:rFonts w:hint="eastAsia"/>
                <w:color w:val="auto"/>
                <w:sz w:val="21"/>
                <w:szCs w:val="21"/>
              </w:rPr>
              <w:t>/</w:t>
            </w:r>
          </w:p>
        </w:tc>
      </w:tr>
      <w:tr w14:paraId="60C670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38D15663">
            <w:pPr>
              <w:widowControl/>
              <w:spacing w:line="360" w:lineRule="exact"/>
              <w:jc w:val="center"/>
              <w:rPr>
                <w:color w:val="auto"/>
                <w:sz w:val="21"/>
                <w:szCs w:val="21"/>
                <w:lang w:val="zh-CN"/>
              </w:rPr>
            </w:pPr>
          </w:p>
        </w:tc>
        <w:tc>
          <w:tcPr>
            <w:tcW w:w="577" w:type="pct"/>
            <w:gridSpan w:val="2"/>
            <w:vMerge w:val="continue"/>
            <w:vAlign w:val="center"/>
          </w:tcPr>
          <w:p w14:paraId="51EBE915">
            <w:pPr>
              <w:widowControl/>
              <w:spacing w:line="360" w:lineRule="exact"/>
              <w:jc w:val="center"/>
              <w:rPr>
                <w:color w:val="auto"/>
                <w:sz w:val="21"/>
                <w:szCs w:val="21"/>
              </w:rPr>
            </w:pPr>
          </w:p>
        </w:tc>
        <w:tc>
          <w:tcPr>
            <w:tcW w:w="366" w:type="pct"/>
            <w:vAlign w:val="center"/>
          </w:tcPr>
          <w:p w14:paraId="6259B1A7">
            <w:pPr>
              <w:widowControl/>
              <w:spacing w:line="360" w:lineRule="exact"/>
              <w:jc w:val="center"/>
              <w:rPr>
                <w:color w:val="auto"/>
                <w:sz w:val="21"/>
                <w:szCs w:val="21"/>
              </w:rPr>
            </w:pPr>
            <w:r>
              <w:rPr>
                <w:rFonts w:hint="eastAsia"/>
                <w:color w:val="auto"/>
                <w:sz w:val="21"/>
                <w:szCs w:val="21"/>
              </w:rPr>
              <w:t>11</w:t>
            </w:r>
          </w:p>
        </w:tc>
        <w:tc>
          <w:tcPr>
            <w:tcW w:w="657" w:type="pct"/>
            <w:gridSpan w:val="2"/>
            <w:vAlign w:val="center"/>
          </w:tcPr>
          <w:p w14:paraId="26014A82">
            <w:pPr>
              <w:widowControl/>
              <w:spacing w:line="360" w:lineRule="exact"/>
              <w:jc w:val="center"/>
              <w:rPr>
                <w:color w:val="auto"/>
                <w:sz w:val="21"/>
                <w:szCs w:val="21"/>
              </w:rPr>
            </w:pPr>
            <w:r>
              <w:rPr>
                <w:rFonts w:hint="eastAsia"/>
                <w:color w:val="auto"/>
                <w:sz w:val="21"/>
                <w:szCs w:val="21"/>
              </w:rPr>
              <w:t>预留</w:t>
            </w:r>
          </w:p>
        </w:tc>
        <w:tc>
          <w:tcPr>
            <w:tcW w:w="482" w:type="pct"/>
            <w:vAlign w:val="center"/>
          </w:tcPr>
          <w:p w14:paraId="1A9413DA">
            <w:pPr>
              <w:widowControl/>
              <w:spacing w:line="360" w:lineRule="exact"/>
              <w:jc w:val="center"/>
              <w:rPr>
                <w:color w:val="auto"/>
                <w:sz w:val="21"/>
                <w:szCs w:val="21"/>
              </w:rPr>
            </w:pPr>
            <w:r>
              <w:rPr>
                <w:rFonts w:hint="eastAsia"/>
                <w:color w:val="auto"/>
                <w:sz w:val="21"/>
                <w:szCs w:val="21"/>
              </w:rPr>
              <w:t>DN100</w:t>
            </w:r>
          </w:p>
        </w:tc>
        <w:tc>
          <w:tcPr>
            <w:tcW w:w="394" w:type="pct"/>
            <w:vAlign w:val="center"/>
          </w:tcPr>
          <w:p w14:paraId="3DCA55A2">
            <w:pPr>
              <w:widowControl/>
              <w:spacing w:line="360" w:lineRule="exact"/>
              <w:jc w:val="center"/>
              <w:rPr>
                <w:color w:val="auto"/>
                <w:sz w:val="21"/>
                <w:szCs w:val="21"/>
              </w:rPr>
            </w:pPr>
            <w:r>
              <w:rPr>
                <w:rFonts w:hint="eastAsia"/>
                <w:color w:val="auto"/>
                <w:sz w:val="21"/>
                <w:szCs w:val="21"/>
              </w:rPr>
              <w:t>PE</w:t>
            </w:r>
          </w:p>
        </w:tc>
        <w:tc>
          <w:tcPr>
            <w:tcW w:w="419" w:type="pct"/>
            <w:vAlign w:val="center"/>
          </w:tcPr>
          <w:p w14:paraId="1643ED9D">
            <w:pPr>
              <w:widowControl/>
              <w:spacing w:line="360" w:lineRule="exact"/>
              <w:jc w:val="center"/>
              <w:rPr>
                <w:color w:val="auto"/>
                <w:sz w:val="21"/>
                <w:szCs w:val="21"/>
              </w:rPr>
            </w:pPr>
            <w:r>
              <w:rPr>
                <w:rFonts w:hint="eastAsia"/>
                <w:color w:val="auto"/>
                <w:sz w:val="21"/>
                <w:szCs w:val="21"/>
              </w:rPr>
              <w:t>1</w:t>
            </w:r>
          </w:p>
        </w:tc>
        <w:tc>
          <w:tcPr>
            <w:tcW w:w="646" w:type="pct"/>
            <w:vAlign w:val="center"/>
          </w:tcPr>
          <w:p w14:paraId="46FF57A2">
            <w:pPr>
              <w:widowControl/>
              <w:spacing w:line="360" w:lineRule="exact"/>
              <w:jc w:val="center"/>
              <w:rPr>
                <w:color w:val="auto"/>
                <w:sz w:val="21"/>
                <w:szCs w:val="21"/>
              </w:rPr>
            </w:pPr>
            <w:r>
              <w:rPr>
                <w:rFonts w:hint="eastAsia"/>
                <w:color w:val="auto"/>
                <w:sz w:val="21"/>
                <w:szCs w:val="21"/>
              </w:rPr>
              <w:t>2704.842</w:t>
            </w:r>
          </w:p>
        </w:tc>
        <w:tc>
          <w:tcPr>
            <w:tcW w:w="576" w:type="pct"/>
            <w:vAlign w:val="center"/>
          </w:tcPr>
          <w:p w14:paraId="4CD1B326">
            <w:pPr>
              <w:widowControl/>
              <w:spacing w:line="360" w:lineRule="exact"/>
              <w:jc w:val="center"/>
              <w:rPr>
                <w:color w:val="auto"/>
                <w:sz w:val="21"/>
                <w:szCs w:val="21"/>
              </w:rPr>
            </w:pPr>
            <w:r>
              <w:rPr>
                <w:color w:val="auto"/>
                <w:sz w:val="21"/>
                <w:szCs w:val="21"/>
              </w:rPr>
              <w:t>0.2~0.4</w:t>
            </w:r>
          </w:p>
        </w:tc>
        <w:tc>
          <w:tcPr>
            <w:tcW w:w="530" w:type="pct"/>
            <w:vAlign w:val="center"/>
          </w:tcPr>
          <w:p w14:paraId="23D295B8">
            <w:pPr>
              <w:widowControl/>
              <w:spacing w:line="360" w:lineRule="exact"/>
              <w:jc w:val="center"/>
              <w:rPr>
                <w:color w:val="auto"/>
                <w:sz w:val="21"/>
                <w:szCs w:val="21"/>
              </w:rPr>
            </w:pPr>
            <w:r>
              <w:rPr>
                <w:rFonts w:hint="eastAsia"/>
                <w:color w:val="auto"/>
                <w:sz w:val="21"/>
                <w:szCs w:val="21"/>
              </w:rPr>
              <w:t>/</w:t>
            </w:r>
          </w:p>
        </w:tc>
      </w:tr>
      <w:tr w14:paraId="0A79D1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37CF76F1">
            <w:pPr>
              <w:widowControl/>
              <w:spacing w:line="360" w:lineRule="exact"/>
              <w:jc w:val="center"/>
              <w:rPr>
                <w:color w:val="auto"/>
                <w:sz w:val="21"/>
                <w:szCs w:val="21"/>
                <w:lang w:val="zh-CN"/>
              </w:rPr>
            </w:pPr>
          </w:p>
        </w:tc>
        <w:tc>
          <w:tcPr>
            <w:tcW w:w="577" w:type="pct"/>
            <w:gridSpan w:val="2"/>
            <w:vMerge w:val="restart"/>
            <w:vAlign w:val="center"/>
          </w:tcPr>
          <w:p w14:paraId="2D12D923">
            <w:pPr>
              <w:widowControl/>
              <w:spacing w:line="360" w:lineRule="exact"/>
              <w:jc w:val="center"/>
              <w:rPr>
                <w:color w:val="auto"/>
                <w:sz w:val="21"/>
                <w:szCs w:val="21"/>
              </w:rPr>
            </w:pPr>
            <w:r>
              <w:rPr>
                <w:rFonts w:hint="eastAsia"/>
                <w:color w:val="auto"/>
                <w:sz w:val="21"/>
                <w:szCs w:val="21"/>
              </w:rPr>
              <w:t>管线路由</w:t>
            </w:r>
          </w:p>
        </w:tc>
        <w:tc>
          <w:tcPr>
            <w:tcW w:w="716" w:type="pct"/>
            <w:gridSpan w:val="2"/>
            <w:vAlign w:val="center"/>
          </w:tcPr>
          <w:p w14:paraId="4720E889">
            <w:pPr>
              <w:widowControl/>
              <w:spacing w:line="360" w:lineRule="exact"/>
              <w:jc w:val="center"/>
              <w:rPr>
                <w:color w:val="auto"/>
                <w:sz w:val="21"/>
                <w:szCs w:val="21"/>
              </w:rPr>
            </w:pPr>
            <w:r>
              <w:rPr>
                <w:rFonts w:hint="eastAsia"/>
                <w:color w:val="auto"/>
                <w:sz w:val="21"/>
                <w:szCs w:val="21"/>
              </w:rPr>
              <w:t>管线</w:t>
            </w:r>
          </w:p>
        </w:tc>
        <w:tc>
          <w:tcPr>
            <w:tcW w:w="1602" w:type="pct"/>
            <w:gridSpan w:val="4"/>
            <w:vAlign w:val="center"/>
          </w:tcPr>
          <w:p w14:paraId="54859AEC">
            <w:pPr>
              <w:widowControl/>
              <w:spacing w:line="360" w:lineRule="exact"/>
              <w:jc w:val="center"/>
              <w:rPr>
                <w:color w:val="auto"/>
                <w:sz w:val="21"/>
                <w:szCs w:val="21"/>
              </w:rPr>
            </w:pPr>
            <w:r>
              <w:rPr>
                <w:rFonts w:hint="eastAsia"/>
                <w:color w:val="auto"/>
                <w:sz w:val="21"/>
                <w:szCs w:val="21"/>
              </w:rPr>
              <w:t>路由</w:t>
            </w:r>
          </w:p>
        </w:tc>
        <w:tc>
          <w:tcPr>
            <w:tcW w:w="1751" w:type="pct"/>
            <w:gridSpan w:val="3"/>
            <w:vAlign w:val="center"/>
          </w:tcPr>
          <w:p w14:paraId="249530B2">
            <w:pPr>
              <w:widowControl/>
              <w:spacing w:line="360" w:lineRule="exact"/>
              <w:jc w:val="center"/>
              <w:rPr>
                <w:color w:val="auto"/>
                <w:sz w:val="21"/>
                <w:szCs w:val="21"/>
              </w:rPr>
            </w:pPr>
            <w:r>
              <w:rPr>
                <w:rFonts w:hint="eastAsia"/>
                <w:color w:val="auto"/>
                <w:sz w:val="21"/>
                <w:szCs w:val="21"/>
              </w:rPr>
              <w:t>坐标</w:t>
            </w:r>
          </w:p>
        </w:tc>
      </w:tr>
      <w:tr w14:paraId="6BCBE4E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7E7203E7">
            <w:pPr>
              <w:widowControl/>
              <w:spacing w:line="360" w:lineRule="exact"/>
              <w:jc w:val="center"/>
              <w:rPr>
                <w:color w:val="auto"/>
                <w:sz w:val="21"/>
                <w:szCs w:val="21"/>
                <w:lang w:val="zh-CN"/>
              </w:rPr>
            </w:pPr>
          </w:p>
        </w:tc>
        <w:tc>
          <w:tcPr>
            <w:tcW w:w="577" w:type="pct"/>
            <w:gridSpan w:val="2"/>
            <w:vMerge w:val="continue"/>
            <w:vAlign w:val="center"/>
          </w:tcPr>
          <w:p w14:paraId="770CA6BB">
            <w:pPr>
              <w:widowControl/>
              <w:spacing w:line="360" w:lineRule="exact"/>
              <w:jc w:val="center"/>
              <w:rPr>
                <w:color w:val="auto"/>
                <w:sz w:val="21"/>
                <w:szCs w:val="21"/>
              </w:rPr>
            </w:pPr>
          </w:p>
        </w:tc>
        <w:tc>
          <w:tcPr>
            <w:tcW w:w="716" w:type="pct"/>
            <w:gridSpan w:val="2"/>
            <w:vAlign w:val="center"/>
          </w:tcPr>
          <w:p w14:paraId="3B6550D7">
            <w:pPr>
              <w:widowControl/>
              <w:spacing w:line="360" w:lineRule="exact"/>
              <w:jc w:val="center"/>
              <w:rPr>
                <w:color w:val="auto"/>
                <w:sz w:val="21"/>
                <w:szCs w:val="21"/>
              </w:rPr>
            </w:pPr>
            <w:r>
              <w:rPr>
                <w:rFonts w:hint="eastAsia"/>
                <w:color w:val="auto"/>
                <w:sz w:val="21"/>
                <w:szCs w:val="21"/>
              </w:rPr>
              <w:t>氨水、二氧化碳、蒸汽</w:t>
            </w:r>
          </w:p>
        </w:tc>
        <w:tc>
          <w:tcPr>
            <w:tcW w:w="1602" w:type="pct"/>
            <w:gridSpan w:val="4"/>
            <w:vAlign w:val="center"/>
          </w:tcPr>
          <w:p w14:paraId="38DB1A27">
            <w:pPr>
              <w:widowControl/>
              <w:spacing w:line="360" w:lineRule="exact"/>
              <w:jc w:val="center"/>
              <w:rPr>
                <w:color w:val="auto"/>
                <w:sz w:val="21"/>
                <w:szCs w:val="21"/>
              </w:rPr>
            </w:pPr>
            <w:r>
              <w:rPr>
                <w:rFonts w:hint="eastAsia"/>
                <w:color w:val="auto"/>
                <w:sz w:val="21"/>
                <w:szCs w:val="21"/>
              </w:rPr>
              <w:t>从</w:t>
            </w:r>
            <w:r>
              <w:rPr>
                <w:color w:val="auto"/>
                <w:sz w:val="21"/>
                <w:szCs w:val="21"/>
              </w:rPr>
              <w:t>新疆兖矿化工有限公司</w:t>
            </w:r>
            <w:r>
              <w:rPr>
                <w:rFonts w:hint="eastAsia"/>
                <w:color w:val="auto"/>
                <w:sz w:val="21"/>
                <w:szCs w:val="21"/>
              </w:rPr>
              <w:t>北厂界为管廊起点埋地敷设，</w:t>
            </w:r>
            <w:r>
              <w:rPr>
                <w:color w:val="auto"/>
                <w:sz w:val="21"/>
                <w:szCs w:val="21"/>
              </w:rPr>
              <w:t>顶管穿越厂外道路后敷设</w:t>
            </w:r>
            <w:r>
              <w:rPr>
                <w:rFonts w:hint="eastAsia"/>
                <w:color w:val="auto"/>
                <w:sz w:val="21"/>
                <w:szCs w:val="21"/>
              </w:rPr>
              <w:t>65.341m至拐点1，</w:t>
            </w:r>
            <w:r>
              <w:rPr>
                <w:color w:val="auto"/>
                <w:sz w:val="21"/>
                <w:szCs w:val="21"/>
              </w:rPr>
              <w:t>自东向西敷设</w:t>
            </w:r>
            <w:r>
              <w:rPr>
                <w:rFonts w:hint="eastAsia"/>
                <w:color w:val="auto"/>
                <w:sz w:val="21"/>
                <w:szCs w:val="21"/>
              </w:rPr>
              <w:t>732.779</w:t>
            </w:r>
            <w:r>
              <w:rPr>
                <w:color w:val="auto"/>
                <w:sz w:val="21"/>
                <w:szCs w:val="21"/>
              </w:rPr>
              <w:t>m</w:t>
            </w:r>
            <w:r>
              <w:rPr>
                <w:rFonts w:hint="eastAsia"/>
                <w:color w:val="auto"/>
                <w:sz w:val="21"/>
                <w:szCs w:val="21"/>
              </w:rPr>
              <w:t>后</w:t>
            </w:r>
            <w:r>
              <w:rPr>
                <w:color w:val="auto"/>
                <w:sz w:val="21"/>
                <w:szCs w:val="21"/>
              </w:rPr>
              <w:t>与自新疆众和股份有限公司电极箔公司接出的污水管道汇合后同沟敷设</w:t>
            </w:r>
          </w:p>
        </w:tc>
        <w:tc>
          <w:tcPr>
            <w:tcW w:w="1751" w:type="pct"/>
            <w:gridSpan w:val="3"/>
            <w:vAlign w:val="center"/>
          </w:tcPr>
          <w:p w14:paraId="48872009">
            <w:pPr>
              <w:widowControl/>
              <w:spacing w:line="360" w:lineRule="exact"/>
              <w:jc w:val="center"/>
              <w:rPr>
                <w:color w:val="auto"/>
                <w:sz w:val="21"/>
                <w:szCs w:val="21"/>
              </w:rPr>
            </w:pPr>
            <w:r>
              <w:rPr>
                <w:rFonts w:hint="eastAsia"/>
                <w:color w:val="auto"/>
                <w:sz w:val="21"/>
                <w:szCs w:val="21"/>
              </w:rPr>
              <w:t>起点：</w:t>
            </w:r>
            <w:r>
              <w:rPr>
                <w:color w:val="auto"/>
                <w:sz w:val="21"/>
                <w:szCs w:val="21"/>
              </w:rPr>
              <w:t>87.77323677</w:t>
            </w:r>
            <w:r>
              <w:rPr>
                <w:rFonts w:hint="eastAsia"/>
                <w:color w:val="auto"/>
                <w:sz w:val="21"/>
                <w:szCs w:val="21"/>
              </w:rPr>
              <w:t>E</w:t>
            </w:r>
            <w:r>
              <w:rPr>
                <w:color w:val="auto"/>
                <w:sz w:val="21"/>
                <w:szCs w:val="21"/>
              </w:rPr>
              <w:t>，44.15124128</w:t>
            </w:r>
            <w:r>
              <w:rPr>
                <w:rFonts w:hint="eastAsia"/>
                <w:color w:val="auto"/>
                <w:sz w:val="21"/>
                <w:szCs w:val="21"/>
              </w:rPr>
              <w:t>N</w:t>
            </w:r>
          </w:p>
          <w:p w14:paraId="02E4D942">
            <w:pPr>
              <w:widowControl/>
              <w:spacing w:line="360" w:lineRule="exact"/>
              <w:jc w:val="center"/>
              <w:rPr>
                <w:color w:val="auto"/>
                <w:sz w:val="21"/>
                <w:szCs w:val="21"/>
              </w:rPr>
            </w:pPr>
            <w:r>
              <w:rPr>
                <w:rFonts w:hint="eastAsia"/>
                <w:color w:val="auto"/>
                <w:sz w:val="21"/>
                <w:szCs w:val="21"/>
              </w:rPr>
              <w:t>拐点1：</w:t>
            </w:r>
            <w:r>
              <w:rPr>
                <w:color w:val="auto"/>
                <w:sz w:val="21"/>
                <w:szCs w:val="21"/>
              </w:rPr>
              <w:t>87.77283311</w:t>
            </w:r>
            <w:r>
              <w:rPr>
                <w:rFonts w:hint="eastAsia"/>
                <w:color w:val="auto"/>
                <w:sz w:val="21"/>
                <w:szCs w:val="21"/>
              </w:rPr>
              <w:t>E</w:t>
            </w:r>
            <w:r>
              <w:rPr>
                <w:color w:val="auto"/>
                <w:sz w:val="21"/>
                <w:szCs w:val="21"/>
              </w:rPr>
              <w:t>，44.15169344</w:t>
            </w:r>
            <w:r>
              <w:rPr>
                <w:rFonts w:hint="eastAsia"/>
                <w:color w:val="auto"/>
                <w:sz w:val="21"/>
                <w:szCs w:val="21"/>
              </w:rPr>
              <w:t>N</w:t>
            </w:r>
          </w:p>
          <w:p w14:paraId="206F603E">
            <w:pPr>
              <w:widowControl/>
              <w:spacing w:line="360" w:lineRule="exact"/>
              <w:jc w:val="center"/>
              <w:rPr>
                <w:color w:val="auto"/>
                <w:sz w:val="21"/>
                <w:szCs w:val="21"/>
              </w:rPr>
            </w:pPr>
            <w:r>
              <w:rPr>
                <w:rFonts w:hint="eastAsia"/>
                <w:color w:val="auto"/>
                <w:sz w:val="21"/>
                <w:szCs w:val="21"/>
              </w:rPr>
              <w:t>终点：</w:t>
            </w:r>
            <w:r>
              <w:rPr>
                <w:color w:val="auto"/>
                <w:sz w:val="21"/>
                <w:szCs w:val="21"/>
              </w:rPr>
              <w:t>87.76554286</w:t>
            </w:r>
            <w:r>
              <w:rPr>
                <w:rFonts w:hint="eastAsia"/>
                <w:color w:val="auto"/>
                <w:sz w:val="21"/>
                <w:szCs w:val="21"/>
              </w:rPr>
              <w:t>E</w:t>
            </w:r>
            <w:r>
              <w:rPr>
                <w:color w:val="auto"/>
                <w:sz w:val="21"/>
                <w:szCs w:val="21"/>
              </w:rPr>
              <w:t>，44.14775005</w:t>
            </w:r>
            <w:r>
              <w:rPr>
                <w:rFonts w:hint="eastAsia"/>
                <w:color w:val="auto"/>
                <w:sz w:val="21"/>
                <w:szCs w:val="21"/>
              </w:rPr>
              <w:t>N</w:t>
            </w:r>
          </w:p>
        </w:tc>
      </w:tr>
      <w:tr w14:paraId="47E215C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081902C8">
            <w:pPr>
              <w:widowControl/>
              <w:spacing w:line="360" w:lineRule="exact"/>
              <w:jc w:val="center"/>
              <w:rPr>
                <w:color w:val="auto"/>
                <w:sz w:val="21"/>
                <w:szCs w:val="21"/>
                <w:lang w:val="zh-CN"/>
              </w:rPr>
            </w:pPr>
          </w:p>
        </w:tc>
        <w:tc>
          <w:tcPr>
            <w:tcW w:w="577" w:type="pct"/>
            <w:gridSpan w:val="2"/>
            <w:vMerge w:val="continue"/>
            <w:vAlign w:val="center"/>
          </w:tcPr>
          <w:p w14:paraId="428C6130">
            <w:pPr>
              <w:widowControl/>
              <w:spacing w:line="360" w:lineRule="exact"/>
              <w:jc w:val="center"/>
              <w:rPr>
                <w:color w:val="auto"/>
                <w:sz w:val="21"/>
                <w:szCs w:val="21"/>
              </w:rPr>
            </w:pPr>
          </w:p>
        </w:tc>
        <w:tc>
          <w:tcPr>
            <w:tcW w:w="716" w:type="pct"/>
            <w:gridSpan w:val="2"/>
            <w:vAlign w:val="center"/>
          </w:tcPr>
          <w:p w14:paraId="1E794090">
            <w:pPr>
              <w:widowControl/>
              <w:spacing w:line="360" w:lineRule="exact"/>
              <w:jc w:val="center"/>
              <w:rPr>
                <w:color w:val="auto"/>
                <w:sz w:val="21"/>
                <w:szCs w:val="21"/>
              </w:rPr>
            </w:pPr>
            <w:r>
              <w:rPr>
                <w:rFonts w:hint="eastAsia"/>
                <w:color w:val="auto"/>
                <w:sz w:val="21"/>
                <w:szCs w:val="21"/>
              </w:rPr>
              <w:t>含硫酸铝</w:t>
            </w:r>
            <w:r>
              <w:rPr>
                <w:color w:val="auto"/>
                <w:sz w:val="21"/>
                <w:szCs w:val="21"/>
              </w:rPr>
              <w:t>废水、含硝酸铝废水、含氯化铝废水、含磷酸二氢铝废水、</w:t>
            </w:r>
            <w:r>
              <w:rPr>
                <w:rFonts w:hint="eastAsia"/>
                <w:color w:val="auto"/>
                <w:sz w:val="21"/>
                <w:szCs w:val="21"/>
              </w:rPr>
              <w:t>含偏铝酸钠废水、</w:t>
            </w:r>
            <w:r>
              <w:rPr>
                <w:color w:val="auto"/>
                <w:sz w:val="21"/>
                <w:szCs w:val="21"/>
              </w:rPr>
              <w:t>含碳酸钠废水</w:t>
            </w:r>
            <w:r>
              <w:rPr>
                <w:rFonts w:hint="eastAsia"/>
                <w:color w:val="auto"/>
                <w:sz w:val="21"/>
                <w:szCs w:val="21"/>
              </w:rPr>
              <w:t>、回用水</w:t>
            </w:r>
          </w:p>
        </w:tc>
        <w:tc>
          <w:tcPr>
            <w:tcW w:w="1602" w:type="pct"/>
            <w:gridSpan w:val="4"/>
            <w:vAlign w:val="center"/>
          </w:tcPr>
          <w:p w14:paraId="2CAE8AC9">
            <w:pPr>
              <w:widowControl/>
              <w:spacing w:line="360" w:lineRule="exact"/>
              <w:jc w:val="center"/>
              <w:rPr>
                <w:color w:val="auto"/>
                <w:sz w:val="21"/>
                <w:szCs w:val="21"/>
              </w:rPr>
            </w:pPr>
            <w:r>
              <w:rPr>
                <w:rFonts w:hint="eastAsia"/>
                <w:color w:val="auto"/>
                <w:sz w:val="21"/>
                <w:szCs w:val="21"/>
              </w:rPr>
              <w:t>从</w:t>
            </w:r>
            <w:r>
              <w:rPr>
                <w:color w:val="auto"/>
                <w:sz w:val="21"/>
                <w:szCs w:val="21"/>
              </w:rPr>
              <w:t>新疆众和股份有限公司电极箔公司</w:t>
            </w:r>
            <w:r>
              <w:rPr>
                <w:rFonts w:hint="eastAsia"/>
                <w:color w:val="auto"/>
                <w:sz w:val="21"/>
                <w:szCs w:val="21"/>
              </w:rPr>
              <w:t>北厂界为管廊起点埋地敷设，</w:t>
            </w:r>
            <w:r>
              <w:rPr>
                <w:color w:val="auto"/>
                <w:sz w:val="21"/>
                <w:szCs w:val="21"/>
              </w:rPr>
              <w:t>顶管穿越厂外道路后敷设</w:t>
            </w:r>
            <w:r>
              <w:rPr>
                <w:rFonts w:hint="eastAsia"/>
                <w:color w:val="auto"/>
                <w:sz w:val="21"/>
                <w:szCs w:val="21"/>
              </w:rPr>
              <w:t>66.842m至拐点2，</w:t>
            </w:r>
            <w:r>
              <w:rPr>
                <w:color w:val="auto"/>
                <w:sz w:val="21"/>
                <w:szCs w:val="21"/>
              </w:rPr>
              <w:t>自</w:t>
            </w:r>
            <w:r>
              <w:rPr>
                <w:rFonts w:hint="eastAsia"/>
                <w:color w:val="auto"/>
                <w:sz w:val="21"/>
                <w:szCs w:val="21"/>
              </w:rPr>
              <w:t>东向西</w:t>
            </w:r>
            <w:r>
              <w:rPr>
                <w:color w:val="auto"/>
                <w:sz w:val="21"/>
                <w:szCs w:val="21"/>
              </w:rPr>
              <w:t>敷设</w:t>
            </w:r>
            <w:r>
              <w:rPr>
                <w:rFonts w:hint="eastAsia"/>
                <w:color w:val="auto"/>
                <w:sz w:val="21"/>
                <w:szCs w:val="21"/>
              </w:rPr>
              <w:t>661.44</w:t>
            </w:r>
            <w:r>
              <w:rPr>
                <w:color w:val="auto"/>
                <w:sz w:val="21"/>
                <w:szCs w:val="21"/>
              </w:rPr>
              <w:t>m</w:t>
            </w:r>
            <w:r>
              <w:rPr>
                <w:rFonts w:hint="eastAsia"/>
                <w:color w:val="auto"/>
                <w:sz w:val="21"/>
                <w:szCs w:val="21"/>
              </w:rPr>
              <w:t>至拐点3，</w:t>
            </w:r>
            <w:r>
              <w:rPr>
                <w:color w:val="auto"/>
                <w:sz w:val="21"/>
                <w:szCs w:val="21"/>
              </w:rPr>
              <w:t>自南向北敷设</w:t>
            </w:r>
            <w:r>
              <w:rPr>
                <w:rFonts w:hint="eastAsia"/>
                <w:color w:val="auto"/>
                <w:sz w:val="21"/>
                <w:szCs w:val="21"/>
              </w:rPr>
              <w:t>约209.32m后</w:t>
            </w:r>
            <w:r>
              <w:rPr>
                <w:color w:val="auto"/>
                <w:sz w:val="21"/>
                <w:szCs w:val="21"/>
              </w:rPr>
              <w:t>垂直穿越</w:t>
            </w:r>
            <w:r>
              <w:rPr>
                <w:rFonts w:hint="eastAsia"/>
                <w:color w:val="auto"/>
                <w:sz w:val="21"/>
                <w:szCs w:val="21"/>
              </w:rPr>
              <w:t>西延干渠</w:t>
            </w:r>
            <w:r>
              <w:rPr>
                <w:color w:val="auto"/>
                <w:sz w:val="21"/>
                <w:szCs w:val="21"/>
              </w:rPr>
              <w:t>预留涵洞</w:t>
            </w:r>
            <w:r>
              <w:rPr>
                <w:rFonts w:hint="eastAsia"/>
                <w:color w:val="auto"/>
                <w:sz w:val="21"/>
                <w:szCs w:val="21"/>
              </w:rPr>
              <w:t>（西延干渠</w:t>
            </w:r>
            <w:r>
              <w:rPr>
                <w:color w:val="auto"/>
                <w:sz w:val="21"/>
                <w:szCs w:val="21"/>
              </w:rPr>
              <w:t>预留涵洞</w:t>
            </w:r>
            <w:r>
              <w:rPr>
                <w:rFonts w:hint="eastAsia"/>
                <w:color w:val="auto"/>
                <w:sz w:val="21"/>
                <w:szCs w:val="21"/>
              </w:rPr>
              <w:t>长约133.54m）165m至拐点4，</w:t>
            </w:r>
            <w:r>
              <w:rPr>
                <w:color w:val="auto"/>
                <w:sz w:val="21"/>
                <w:szCs w:val="21"/>
              </w:rPr>
              <w:t>自西向东</w:t>
            </w:r>
            <w:r>
              <w:rPr>
                <w:rFonts w:hint="eastAsia"/>
                <w:color w:val="auto"/>
                <w:sz w:val="21"/>
                <w:szCs w:val="21"/>
              </w:rPr>
              <w:t>1156</w:t>
            </w:r>
            <w:r>
              <w:rPr>
                <w:color w:val="auto"/>
                <w:sz w:val="21"/>
                <w:szCs w:val="21"/>
              </w:rPr>
              <w:t>m后</w:t>
            </w:r>
            <w:r>
              <w:rPr>
                <w:rFonts w:hint="eastAsia"/>
                <w:color w:val="auto"/>
                <w:sz w:val="21"/>
                <w:szCs w:val="21"/>
              </w:rPr>
              <w:t>至拐点5，</w:t>
            </w:r>
            <w:r>
              <w:rPr>
                <w:color w:val="auto"/>
                <w:sz w:val="21"/>
                <w:szCs w:val="21"/>
              </w:rPr>
              <w:t>自南向北敷设约</w:t>
            </w:r>
            <w:r>
              <w:rPr>
                <w:rFonts w:hint="eastAsia"/>
                <w:color w:val="auto"/>
                <w:sz w:val="21"/>
                <w:szCs w:val="21"/>
              </w:rPr>
              <w:t>313</w:t>
            </w:r>
            <w:r>
              <w:rPr>
                <w:color w:val="auto"/>
                <w:sz w:val="21"/>
                <w:szCs w:val="21"/>
              </w:rPr>
              <w:t>m</w:t>
            </w:r>
            <w:r>
              <w:rPr>
                <w:rFonts w:hint="eastAsia"/>
                <w:color w:val="auto"/>
                <w:sz w:val="21"/>
                <w:szCs w:val="21"/>
              </w:rPr>
              <w:t>至终点。</w:t>
            </w:r>
          </w:p>
        </w:tc>
        <w:tc>
          <w:tcPr>
            <w:tcW w:w="1751" w:type="pct"/>
            <w:gridSpan w:val="3"/>
            <w:vAlign w:val="center"/>
          </w:tcPr>
          <w:p w14:paraId="3F0F1CE2">
            <w:pPr>
              <w:widowControl/>
              <w:spacing w:line="360" w:lineRule="exact"/>
              <w:jc w:val="center"/>
              <w:rPr>
                <w:color w:val="auto"/>
                <w:sz w:val="21"/>
                <w:szCs w:val="21"/>
              </w:rPr>
            </w:pPr>
            <w:r>
              <w:rPr>
                <w:rFonts w:hint="eastAsia"/>
                <w:color w:val="auto"/>
                <w:sz w:val="21"/>
                <w:szCs w:val="21"/>
              </w:rPr>
              <w:t>起点：</w:t>
            </w:r>
            <w:r>
              <w:rPr>
                <w:color w:val="auto"/>
                <w:sz w:val="21"/>
                <w:szCs w:val="21"/>
              </w:rPr>
              <w:t>87.76613687</w:t>
            </w:r>
            <w:r>
              <w:rPr>
                <w:rFonts w:hint="eastAsia"/>
                <w:color w:val="auto"/>
                <w:sz w:val="21"/>
                <w:szCs w:val="21"/>
              </w:rPr>
              <w:t>E</w:t>
            </w:r>
            <w:r>
              <w:rPr>
                <w:color w:val="auto"/>
                <w:sz w:val="21"/>
                <w:szCs w:val="21"/>
              </w:rPr>
              <w:t>，44.14732747</w:t>
            </w:r>
            <w:r>
              <w:rPr>
                <w:rFonts w:hint="eastAsia"/>
                <w:color w:val="auto"/>
                <w:sz w:val="21"/>
                <w:szCs w:val="21"/>
              </w:rPr>
              <w:t>N</w:t>
            </w:r>
          </w:p>
          <w:p w14:paraId="41D3D81A">
            <w:pPr>
              <w:widowControl/>
              <w:spacing w:line="360" w:lineRule="exact"/>
              <w:jc w:val="center"/>
              <w:rPr>
                <w:color w:val="auto"/>
                <w:sz w:val="21"/>
                <w:szCs w:val="21"/>
              </w:rPr>
            </w:pPr>
            <w:r>
              <w:rPr>
                <w:rFonts w:hint="eastAsia"/>
                <w:color w:val="auto"/>
                <w:sz w:val="21"/>
                <w:szCs w:val="21"/>
              </w:rPr>
              <w:t>拐点2：</w:t>
            </w:r>
            <w:r>
              <w:rPr>
                <w:color w:val="auto"/>
                <w:sz w:val="21"/>
                <w:szCs w:val="21"/>
              </w:rPr>
              <w:t>87.76554286</w:t>
            </w:r>
            <w:r>
              <w:rPr>
                <w:rFonts w:hint="eastAsia"/>
                <w:color w:val="auto"/>
                <w:sz w:val="21"/>
                <w:szCs w:val="21"/>
              </w:rPr>
              <w:t>E</w:t>
            </w:r>
            <w:r>
              <w:rPr>
                <w:color w:val="auto"/>
                <w:sz w:val="21"/>
                <w:szCs w:val="21"/>
              </w:rPr>
              <w:t>，44.14775005</w:t>
            </w:r>
            <w:r>
              <w:rPr>
                <w:rFonts w:hint="eastAsia"/>
                <w:color w:val="auto"/>
                <w:sz w:val="21"/>
                <w:szCs w:val="21"/>
              </w:rPr>
              <w:t>N</w:t>
            </w:r>
          </w:p>
          <w:p w14:paraId="77163AA7">
            <w:pPr>
              <w:widowControl/>
              <w:spacing w:line="360" w:lineRule="exact"/>
              <w:jc w:val="center"/>
              <w:rPr>
                <w:color w:val="auto"/>
                <w:sz w:val="21"/>
                <w:szCs w:val="21"/>
              </w:rPr>
            </w:pPr>
            <w:r>
              <w:rPr>
                <w:rFonts w:hint="eastAsia"/>
                <w:color w:val="auto"/>
                <w:sz w:val="21"/>
                <w:szCs w:val="21"/>
              </w:rPr>
              <w:t>拐点3：</w:t>
            </w:r>
            <w:r>
              <w:rPr>
                <w:color w:val="auto"/>
                <w:sz w:val="21"/>
                <w:szCs w:val="21"/>
              </w:rPr>
              <w:t>87.75929332</w:t>
            </w:r>
            <w:r>
              <w:rPr>
                <w:rFonts w:hint="eastAsia"/>
                <w:color w:val="auto"/>
                <w:sz w:val="21"/>
                <w:szCs w:val="21"/>
              </w:rPr>
              <w:t>E</w:t>
            </w:r>
            <w:r>
              <w:rPr>
                <w:color w:val="auto"/>
                <w:sz w:val="21"/>
                <w:szCs w:val="21"/>
              </w:rPr>
              <w:t>，44.14386222</w:t>
            </w:r>
            <w:r>
              <w:rPr>
                <w:rFonts w:hint="eastAsia"/>
                <w:color w:val="auto"/>
                <w:sz w:val="21"/>
                <w:szCs w:val="21"/>
              </w:rPr>
              <w:t>N</w:t>
            </w:r>
          </w:p>
          <w:p w14:paraId="2AD51760">
            <w:pPr>
              <w:widowControl/>
              <w:spacing w:line="360" w:lineRule="exact"/>
              <w:jc w:val="center"/>
              <w:rPr>
                <w:color w:val="auto"/>
                <w:sz w:val="21"/>
                <w:szCs w:val="21"/>
              </w:rPr>
            </w:pPr>
            <w:r>
              <w:rPr>
                <w:rFonts w:hint="eastAsia"/>
                <w:color w:val="auto"/>
                <w:sz w:val="21"/>
                <w:szCs w:val="21"/>
              </w:rPr>
              <w:t>拐点4：</w:t>
            </w:r>
            <w:r>
              <w:rPr>
                <w:color w:val="auto"/>
                <w:sz w:val="21"/>
                <w:szCs w:val="21"/>
              </w:rPr>
              <w:t>87.75526196</w:t>
            </w:r>
            <w:r>
              <w:rPr>
                <w:rFonts w:hint="eastAsia"/>
                <w:color w:val="auto"/>
                <w:sz w:val="21"/>
                <w:szCs w:val="21"/>
              </w:rPr>
              <w:t>E</w:t>
            </w:r>
            <w:r>
              <w:rPr>
                <w:color w:val="auto"/>
                <w:sz w:val="21"/>
                <w:szCs w:val="21"/>
              </w:rPr>
              <w:t>，44.14733241</w:t>
            </w:r>
            <w:r>
              <w:rPr>
                <w:rFonts w:hint="eastAsia"/>
                <w:color w:val="auto"/>
                <w:sz w:val="21"/>
                <w:szCs w:val="21"/>
              </w:rPr>
              <w:t>N</w:t>
            </w:r>
          </w:p>
          <w:p w14:paraId="4BEE7758">
            <w:pPr>
              <w:widowControl/>
              <w:spacing w:line="360" w:lineRule="exact"/>
              <w:jc w:val="center"/>
              <w:rPr>
                <w:color w:val="auto"/>
                <w:sz w:val="21"/>
                <w:szCs w:val="21"/>
              </w:rPr>
            </w:pPr>
            <w:r>
              <w:rPr>
                <w:rFonts w:hint="eastAsia"/>
                <w:color w:val="auto"/>
                <w:sz w:val="21"/>
                <w:szCs w:val="21"/>
              </w:rPr>
              <w:t>拐点5：</w:t>
            </w:r>
            <w:r>
              <w:rPr>
                <w:color w:val="auto"/>
                <w:sz w:val="21"/>
                <w:szCs w:val="21"/>
              </w:rPr>
              <w:t>87.76638508</w:t>
            </w:r>
            <w:r>
              <w:rPr>
                <w:rFonts w:hint="eastAsia"/>
                <w:color w:val="auto"/>
                <w:sz w:val="21"/>
                <w:szCs w:val="21"/>
              </w:rPr>
              <w:t>E</w:t>
            </w:r>
            <w:r>
              <w:rPr>
                <w:color w:val="auto"/>
                <w:sz w:val="21"/>
                <w:szCs w:val="21"/>
              </w:rPr>
              <w:t>，44.15396044</w:t>
            </w:r>
            <w:r>
              <w:rPr>
                <w:rFonts w:hint="eastAsia"/>
                <w:color w:val="auto"/>
                <w:sz w:val="21"/>
                <w:szCs w:val="21"/>
              </w:rPr>
              <w:t>N</w:t>
            </w:r>
          </w:p>
          <w:p w14:paraId="16655106">
            <w:pPr>
              <w:widowControl/>
              <w:spacing w:line="360" w:lineRule="exact"/>
              <w:jc w:val="center"/>
              <w:rPr>
                <w:color w:val="auto"/>
                <w:sz w:val="21"/>
                <w:szCs w:val="21"/>
              </w:rPr>
            </w:pPr>
            <w:r>
              <w:rPr>
                <w:rFonts w:hint="eastAsia"/>
                <w:color w:val="auto"/>
                <w:sz w:val="21"/>
                <w:szCs w:val="21"/>
              </w:rPr>
              <w:t>终点：</w:t>
            </w:r>
            <w:r>
              <w:rPr>
                <w:color w:val="auto"/>
                <w:sz w:val="21"/>
                <w:szCs w:val="21"/>
              </w:rPr>
              <w:t>87.76468456</w:t>
            </w:r>
            <w:r>
              <w:rPr>
                <w:rFonts w:hint="eastAsia"/>
                <w:color w:val="auto"/>
                <w:sz w:val="21"/>
                <w:szCs w:val="21"/>
              </w:rPr>
              <w:t>E</w:t>
            </w:r>
            <w:r>
              <w:rPr>
                <w:color w:val="auto"/>
                <w:sz w:val="21"/>
                <w:szCs w:val="21"/>
              </w:rPr>
              <w:t>，44.15649675</w:t>
            </w:r>
            <w:r>
              <w:rPr>
                <w:rFonts w:hint="eastAsia"/>
                <w:color w:val="auto"/>
                <w:sz w:val="21"/>
                <w:szCs w:val="21"/>
              </w:rPr>
              <w:t>N</w:t>
            </w:r>
          </w:p>
        </w:tc>
      </w:tr>
      <w:tr w14:paraId="6473466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476AD294">
            <w:pPr>
              <w:widowControl/>
              <w:spacing w:line="360" w:lineRule="exact"/>
              <w:jc w:val="center"/>
              <w:rPr>
                <w:color w:val="auto"/>
                <w:sz w:val="21"/>
                <w:szCs w:val="21"/>
                <w:lang w:val="zh-CN"/>
              </w:rPr>
            </w:pPr>
          </w:p>
        </w:tc>
        <w:tc>
          <w:tcPr>
            <w:tcW w:w="577" w:type="pct"/>
            <w:gridSpan w:val="2"/>
            <w:vAlign w:val="center"/>
          </w:tcPr>
          <w:p w14:paraId="681D5CB1">
            <w:pPr>
              <w:widowControl/>
              <w:spacing w:line="360" w:lineRule="exact"/>
              <w:jc w:val="center"/>
              <w:rPr>
                <w:color w:val="auto"/>
                <w:sz w:val="21"/>
                <w:szCs w:val="21"/>
              </w:rPr>
            </w:pPr>
            <w:r>
              <w:rPr>
                <w:rFonts w:hint="eastAsia"/>
                <w:color w:val="auto"/>
                <w:sz w:val="21"/>
                <w:szCs w:val="21"/>
              </w:rPr>
              <w:t>穿越工程</w:t>
            </w:r>
          </w:p>
        </w:tc>
        <w:tc>
          <w:tcPr>
            <w:tcW w:w="4069" w:type="pct"/>
            <w:gridSpan w:val="9"/>
            <w:vAlign w:val="center"/>
          </w:tcPr>
          <w:p w14:paraId="4979E5D7">
            <w:pPr>
              <w:widowControl/>
              <w:spacing w:line="360" w:lineRule="exact"/>
              <w:jc w:val="center"/>
              <w:rPr>
                <w:color w:val="auto"/>
                <w:sz w:val="21"/>
                <w:szCs w:val="21"/>
              </w:rPr>
            </w:pPr>
            <w:r>
              <w:rPr>
                <w:color w:val="auto"/>
                <w:sz w:val="21"/>
                <w:szCs w:val="21"/>
              </w:rPr>
              <w:t>新疆兖矿</w:t>
            </w:r>
            <w:r>
              <w:rPr>
                <w:rFonts w:hint="eastAsia"/>
                <w:color w:val="auto"/>
                <w:sz w:val="21"/>
                <w:szCs w:val="21"/>
              </w:rPr>
              <w:t>化工有限公司和</w:t>
            </w:r>
            <w:r>
              <w:rPr>
                <w:color w:val="auto"/>
                <w:sz w:val="21"/>
                <w:szCs w:val="21"/>
              </w:rPr>
              <w:t>新疆众和股份有限公司电极箔公司</w:t>
            </w:r>
            <w:r>
              <w:rPr>
                <w:rFonts w:hint="eastAsia"/>
                <w:color w:val="auto"/>
                <w:sz w:val="21"/>
                <w:szCs w:val="21"/>
              </w:rPr>
              <w:t>采用</w:t>
            </w:r>
            <w:r>
              <w:rPr>
                <w:color w:val="auto"/>
                <w:sz w:val="21"/>
                <w:szCs w:val="21"/>
              </w:rPr>
              <w:t>顶管穿越厂外道路</w:t>
            </w:r>
            <w:r>
              <w:rPr>
                <w:rFonts w:hint="eastAsia"/>
                <w:color w:val="auto"/>
                <w:sz w:val="21"/>
                <w:szCs w:val="21"/>
              </w:rPr>
              <w:t>，穿越长度分别为65.341m和66.842m；含硫酸铝废水、含硝酸铝废水、含氯化铝废水、含磷酸二氢铝废水、含偏铝酸钠废水、含碳酸钠废水、回用水管道</w:t>
            </w:r>
            <w:r>
              <w:rPr>
                <w:color w:val="auto"/>
                <w:sz w:val="21"/>
                <w:szCs w:val="21"/>
              </w:rPr>
              <w:t>自南向北</w:t>
            </w:r>
            <w:r>
              <w:rPr>
                <w:rFonts w:hint="eastAsia"/>
                <w:color w:val="auto"/>
                <w:sz w:val="21"/>
                <w:szCs w:val="21"/>
              </w:rPr>
              <w:t>采用</w:t>
            </w:r>
            <w:r>
              <w:rPr>
                <w:color w:val="auto"/>
                <w:sz w:val="21"/>
                <w:szCs w:val="21"/>
              </w:rPr>
              <w:t>垂直穿越预留涵洞</w:t>
            </w:r>
            <w:r>
              <w:rPr>
                <w:rFonts w:hint="eastAsia"/>
                <w:color w:val="auto"/>
                <w:sz w:val="21"/>
                <w:szCs w:val="21"/>
              </w:rPr>
              <w:t>的方式穿越西延干渠，穿越长度为133.54m；其他地段采用埋地敷设的方式，自上游企业敷设至本项目新建场地</w:t>
            </w:r>
            <w:r>
              <w:rPr>
                <w:color w:val="auto"/>
                <w:sz w:val="21"/>
                <w:szCs w:val="21"/>
              </w:rPr>
              <w:t>。</w:t>
            </w:r>
          </w:p>
        </w:tc>
      </w:tr>
      <w:tr w14:paraId="3A84073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356049A3">
            <w:pPr>
              <w:widowControl/>
              <w:spacing w:line="360" w:lineRule="exact"/>
              <w:jc w:val="center"/>
              <w:rPr>
                <w:color w:val="auto"/>
                <w:sz w:val="21"/>
                <w:szCs w:val="21"/>
                <w:lang w:val="zh-CN"/>
              </w:rPr>
            </w:pPr>
          </w:p>
        </w:tc>
        <w:tc>
          <w:tcPr>
            <w:tcW w:w="577" w:type="pct"/>
            <w:gridSpan w:val="2"/>
            <w:vAlign w:val="center"/>
          </w:tcPr>
          <w:p w14:paraId="49F5CDDA">
            <w:pPr>
              <w:widowControl/>
              <w:spacing w:line="360" w:lineRule="exact"/>
              <w:jc w:val="center"/>
              <w:rPr>
                <w:color w:val="auto"/>
                <w:sz w:val="21"/>
                <w:szCs w:val="21"/>
              </w:rPr>
            </w:pPr>
            <w:r>
              <w:rPr>
                <w:color w:val="auto"/>
                <w:sz w:val="21"/>
                <w:szCs w:val="21"/>
              </w:rPr>
              <w:t>恢复工程</w:t>
            </w:r>
          </w:p>
        </w:tc>
        <w:tc>
          <w:tcPr>
            <w:tcW w:w="4069" w:type="pct"/>
            <w:gridSpan w:val="9"/>
            <w:vAlign w:val="center"/>
          </w:tcPr>
          <w:p w14:paraId="75E703A7">
            <w:pPr>
              <w:widowControl/>
              <w:spacing w:line="360" w:lineRule="exact"/>
              <w:jc w:val="center"/>
              <w:rPr>
                <w:color w:val="auto"/>
                <w:sz w:val="21"/>
                <w:szCs w:val="21"/>
              </w:rPr>
            </w:pPr>
            <w:r>
              <w:rPr>
                <w:rFonts w:hint="eastAsia"/>
                <w:color w:val="auto"/>
                <w:sz w:val="21"/>
                <w:szCs w:val="21"/>
              </w:rPr>
              <w:t>管道施工作业带只进行临时性占用土地，施工完毕后应立即恢复原地貌。</w:t>
            </w:r>
          </w:p>
        </w:tc>
      </w:tr>
      <w:tr w14:paraId="25554B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restart"/>
            <w:vAlign w:val="center"/>
          </w:tcPr>
          <w:p w14:paraId="7616ACD0">
            <w:pPr>
              <w:widowControl/>
              <w:spacing w:line="360" w:lineRule="exact"/>
              <w:jc w:val="center"/>
              <w:rPr>
                <w:color w:val="auto"/>
                <w:sz w:val="21"/>
                <w:szCs w:val="21"/>
              </w:rPr>
            </w:pPr>
            <w:r>
              <w:rPr>
                <w:rFonts w:hint="eastAsia"/>
                <w:color w:val="auto"/>
                <w:sz w:val="21"/>
                <w:szCs w:val="21"/>
              </w:rPr>
              <w:t>环保工程</w:t>
            </w:r>
          </w:p>
        </w:tc>
        <w:tc>
          <w:tcPr>
            <w:tcW w:w="263" w:type="pct"/>
            <w:vMerge w:val="restart"/>
            <w:vAlign w:val="center"/>
          </w:tcPr>
          <w:p w14:paraId="5EF098DA">
            <w:pPr>
              <w:widowControl/>
              <w:spacing w:line="360" w:lineRule="exact"/>
              <w:jc w:val="center"/>
              <w:rPr>
                <w:color w:val="auto"/>
                <w:sz w:val="21"/>
                <w:szCs w:val="21"/>
              </w:rPr>
            </w:pPr>
            <w:r>
              <w:rPr>
                <w:rFonts w:hint="eastAsia"/>
                <w:color w:val="auto"/>
                <w:sz w:val="21"/>
                <w:szCs w:val="21"/>
              </w:rPr>
              <w:t>施工期</w:t>
            </w:r>
          </w:p>
        </w:tc>
        <w:tc>
          <w:tcPr>
            <w:tcW w:w="314" w:type="pct"/>
            <w:vAlign w:val="center"/>
          </w:tcPr>
          <w:p w14:paraId="4F24D59C">
            <w:pPr>
              <w:widowControl/>
              <w:spacing w:line="360" w:lineRule="exact"/>
              <w:jc w:val="center"/>
              <w:rPr>
                <w:color w:val="auto"/>
                <w:sz w:val="21"/>
                <w:szCs w:val="21"/>
              </w:rPr>
            </w:pPr>
            <w:r>
              <w:rPr>
                <w:rFonts w:hint="eastAsia"/>
                <w:color w:val="auto"/>
                <w:sz w:val="21"/>
                <w:szCs w:val="21"/>
              </w:rPr>
              <w:t>生态环境</w:t>
            </w:r>
          </w:p>
        </w:tc>
        <w:tc>
          <w:tcPr>
            <w:tcW w:w="4069" w:type="pct"/>
            <w:gridSpan w:val="9"/>
            <w:vAlign w:val="center"/>
          </w:tcPr>
          <w:p w14:paraId="5323A986">
            <w:pPr>
              <w:widowControl/>
              <w:spacing w:line="360" w:lineRule="exact"/>
              <w:jc w:val="center"/>
              <w:rPr>
                <w:color w:val="auto"/>
                <w:sz w:val="21"/>
                <w:szCs w:val="21"/>
              </w:rPr>
            </w:pPr>
            <w:r>
              <w:rPr>
                <w:rFonts w:hint="eastAsia"/>
                <w:color w:val="auto"/>
                <w:sz w:val="21"/>
                <w:szCs w:val="21"/>
              </w:rPr>
              <w:t>（1）施工期少占地，缩小施工范围，施工活动严格控制在施工区域内，并将临时占地面积控制在最低限度。</w:t>
            </w:r>
          </w:p>
          <w:p w14:paraId="1A2B4A15">
            <w:pPr>
              <w:widowControl/>
              <w:spacing w:line="360" w:lineRule="exact"/>
              <w:jc w:val="center"/>
              <w:rPr>
                <w:color w:val="auto"/>
                <w:sz w:val="21"/>
                <w:szCs w:val="21"/>
              </w:rPr>
            </w:pPr>
            <w:r>
              <w:rPr>
                <w:rFonts w:hint="eastAsia"/>
                <w:color w:val="auto"/>
                <w:sz w:val="21"/>
                <w:szCs w:val="21"/>
              </w:rPr>
              <w:t>（2）管道施工过程中管沟区土壤分层剥离、分层开挖、分层堆放和循序分层回填。</w:t>
            </w:r>
          </w:p>
          <w:p w14:paraId="09C5B749">
            <w:pPr>
              <w:widowControl/>
              <w:spacing w:line="360" w:lineRule="exact"/>
              <w:jc w:val="center"/>
              <w:rPr>
                <w:color w:val="auto"/>
                <w:sz w:val="21"/>
                <w:szCs w:val="21"/>
              </w:rPr>
            </w:pPr>
            <w:r>
              <w:rPr>
                <w:rFonts w:hint="eastAsia"/>
                <w:color w:val="auto"/>
                <w:sz w:val="21"/>
                <w:szCs w:val="21"/>
              </w:rPr>
              <w:t>（3）妥善处置施工期间产生的各类污染物，防止其对生态环境特别是对水体的环境影响。杜绝将施工垃圾随意丢弃，施工后及时清理现场，减少土壤污染。</w:t>
            </w:r>
          </w:p>
          <w:p w14:paraId="01153315">
            <w:pPr>
              <w:widowControl/>
              <w:spacing w:line="360" w:lineRule="exact"/>
              <w:jc w:val="center"/>
              <w:rPr>
                <w:color w:val="auto"/>
                <w:sz w:val="21"/>
                <w:szCs w:val="21"/>
              </w:rPr>
            </w:pPr>
            <w:r>
              <w:rPr>
                <w:rFonts w:hint="eastAsia"/>
                <w:color w:val="auto"/>
                <w:sz w:val="21"/>
                <w:szCs w:val="21"/>
              </w:rPr>
              <w:t>（4）施工结束后，进行及时恢复原有地貌。</w:t>
            </w:r>
          </w:p>
        </w:tc>
      </w:tr>
      <w:tr w14:paraId="1B654A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544400C9">
            <w:pPr>
              <w:widowControl/>
              <w:spacing w:line="360" w:lineRule="exact"/>
              <w:jc w:val="center"/>
              <w:rPr>
                <w:color w:val="auto"/>
                <w:sz w:val="21"/>
                <w:szCs w:val="21"/>
              </w:rPr>
            </w:pPr>
          </w:p>
        </w:tc>
        <w:tc>
          <w:tcPr>
            <w:tcW w:w="263" w:type="pct"/>
            <w:vMerge w:val="continue"/>
            <w:vAlign w:val="center"/>
          </w:tcPr>
          <w:p w14:paraId="4FDF106C">
            <w:pPr>
              <w:widowControl/>
              <w:spacing w:line="360" w:lineRule="exact"/>
              <w:jc w:val="center"/>
              <w:rPr>
                <w:color w:val="auto"/>
                <w:sz w:val="21"/>
                <w:szCs w:val="21"/>
              </w:rPr>
            </w:pPr>
          </w:p>
        </w:tc>
        <w:tc>
          <w:tcPr>
            <w:tcW w:w="314" w:type="pct"/>
            <w:vAlign w:val="center"/>
          </w:tcPr>
          <w:p w14:paraId="3B85E8E2">
            <w:pPr>
              <w:widowControl/>
              <w:spacing w:line="360" w:lineRule="exact"/>
              <w:jc w:val="center"/>
              <w:rPr>
                <w:color w:val="auto"/>
                <w:sz w:val="21"/>
                <w:szCs w:val="21"/>
              </w:rPr>
            </w:pPr>
            <w:r>
              <w:rPr>
                <w:rFonts w:hint="eastAsia"/>
                <w:color w:val="auto"/>
                <w:sz w:val="21"/>
                <w:szCs w:val="21"/>
              </w:rPr>
              <w:t>废水</w:t>
            </w:r>
          </w:p>
        </w:tc>
        <w:tc>
          <w:tcPr>
            <w:tcW w:w="4069" w:type="pct"/>
            <w:gridSpan w:val="9"/>
            <w:vAlign w:val="center"/>
          </w:tcPr>
          <w:p w14:paraId="1B44044A">
            <w:pPr>
              <w:widowControl/>
              <w:spacing w:line="360" w:lineRule="exact"/>
              <w:jc w:val="center"/>
              <w:rPr>
                <w:color w:val="auto"/>
                <w:sz w:val="21"/>
                <w:szCs w:val="21"/>
              </w:rPr>
            </w:pPr>
            <w:r>
              <w:rPr>
                <w:rFonts w:hint="eastAsia"/>
                <w:color w:val="auto"/>
                <w:sz w:val="21"/>
                <w:szCs w:val="21"/>
              </w:rPr>
              <w:t>管道试压废水就地排放。</w:t>
            </w:r>
          </w:p>
        </w:tc>
      </w:tr>
      <w:tr w14:paraId="25E3738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17F06BC2">
            <w:pPr>
              <w:widowControl/>
              <w:spacing w:line="360" w:lineRule="exact"/>
              <w:jc w:val="center"/>
              <w:rPr>
                <w:color w:val="auto"/>
                <w:sz w:val="21"/>
                <w:szCs w:val="21"/>
              </w:rPr>
            </w:pPr>
          </w:p>
        </w:tc>
        <w:tc>
          <w:tcPr>
            <w:tcW w:w="263" w:type="pct"/>
            <w:vMerge w:val="continue"/>
            <w:vAlign w:val="center"/>
          </w:tcPr>
          <w:p w14:paraId="7D62AF10">
            <w:pPr>
              <w:widowControl/>
              <w:spacing w:line="360" w:lineRule="exact"/>
              <w:jc w:val="center"/>
              <w:rPr>
                <w:color w:val="auto"/>
                <w:sz w:val="21"/>
                <w:szCs w:val="21"/>
              </w:rPr>
            </w:pPr>
          </w:p>
        </w:tc>
        <w:tc>
          <w:tcPr>
            <w:tcW w:w="314" w:type="pct"/>
            <w:vAlign w:val="center"/>
          </w:tcPr>
          <w:p w14:paraId="4DE304DA">
            <w:pPr>
              <w:widowControl/>
              <w:spacing w:line="360" w:lineRule="exact"/>
              <w:jc w:val="center"/>
              <w:rPr>
                <w:color w:val="auto"/>
                <w:sz w:val="21"/>
                <w:szCs w:val="21"/>
              </w:rPr>
            </w:pPr>
            <w:r>
              <w:rPr>
                <w:rFonts w:hint="eastAsia"/>
                <w:color w:val="auto"/>
                <w:sz w:val="21"/>
                <w:szCs w:val="21"/>
              </w:rPr>
              <w:t>废气</w:t>
            </w:r>
          </w:p>
        </w:tc>
        <w:tc>
          <w:tcPr>
            <w:tcW w:w="4069" w:type="pct"/>
            <w:gridSpan w:val="9"/>
            <w:vAlign w:val="center"/>
          </w:tcPr>
          <w:p w14:paraId="193E0BC5">
            <w:pPr>
              <w:widowControl/>
              <w:spacing w:line="360" w:lineRule="exact"/>
              <w:jc w:val="center"/>
              <w:rPr>
                <w:color w:val="auto"/>
                <w:sz w:val="21"/>
                <w:szCs w:val="21"/>
              </w:rPr>
            </w:pPr>
            <w:r>
              <w:rPr>
                <w:rFonts w:hint="eastAsia"/>
                <w:color w:val="auto"/>
                <w:sz w:val="21"/>
                <w:szCs w:val="21"/>
              </w:rPr>
              <w:t>（1）运输车辆采取篷布进行覆盖，对车辆实施限速、定期洒水降尘，对洒落地面的泥土和建材要及时清扫，加强车辆保养和定期维护；</w:t>
            </w:r>
          </w:p>
          <w:p w14:paraId="7C563F9B">
            <w:pPr>
              <w:widowControl/>
              <w:spacing w:line="360" w:lineRule="exact"/>
              <w:jc w:val="center"/>
              <w:rPr>
                <w:color w:val="auto"/>
                <w:sz w:val="21"/>
                <w:szCs w:val="21"/>
              </w:rPr>
            </w:pPr>
            <w:r>
              <w:rPr>
                <w:rFonts w:hint="eastAsia"/>
                <w:color w:val="auto"/>
                <w:sz w:val="21"/>
                <w:szCs w:val="21"/>
              </w:rPr>
              <w:t>（2）土方开挖、调运、装卸等极易产生扬尘的施工环节避免在大风干燥季节实施；车辆装卸应降低操作高度，粉粒物料严禁抛洒；细颗粒散装建筑材料应储存于库房内或密闭存放，运输采用密闭式罐车运输。</w:t>
            </w:r>
          </w:p>
          <w:p w14:paraId="13D3229C">
            <w:pPr>
              <w:widowControl/>
              <w:spacing w:line="360" w:lineRule="exact"/>
              <w:jc w:val="center"/>
              <w:rPr>
                <w:color w:val="auto"/>
                <w:sz w:val="21"/>
                <w:szCs w:val="21"/>
              </w:rPr>
            </w:pPr>
            <w:r>
              <w:rPr>
                <w:rFonts w:hint="eastAsia"/>
                <w:color w:val="auto"/>
                <w:sz w:val="21"/>
                <w:szCs w:val="21"/>
              </w:rPr>
              <w:t>（3）施工过程中采用分段施工，管沟开挖产生的土方待管道敷设完毕后应及时回填，缩短其堆存时间，减少扬尘产生量。</w:t>
            </w:r>
          </w:p>
        </w:tc>
      </w:tr>
      <w:tr w14:paraId="5663A7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21D4702B">
            <w:pPr>
              <w:widowControl/>
              <w:spacing w:line="360" w:lineRule="exact"/>
              <w:jc w:val="center"/>
              <w:rPr>
                <w:color w:val="auto"/>
                <w:sz w:val="21"/>
                <w:szCs w:val="21"/>
              </w:rPr>
            </w:pPr>
          </w:p>
        </w:tc>
        <w:tc>
          <w:tcPr>
            <w:tcW w:w="263" w:type="pct"/>
            <w:vMerge w:val="continue"/>
            <w:vAlign w:val="center"/>
          </w:tcPr>
          <w:p w14:paraId="6DDFDED6">
            <w:pPr>
              <w:widowControl/>
              <w:spacing w:line="360" w:lineRule="exact"/>
              <w:jc w:val="center"/>
              <w:rPr>
                <w:color w:val="auto"/>
                <w:sz w:val="21"/>
                <w:szCs w:val="21"/>
              </w:rPr>
            </w:pPr>
          </w:p>
        </w:tc>
        <w:tc>
          <w:tcPr>
            <w:tcW w:w="314" w:type="pct"/>
            <w:vAlign w:val="center"/>
          </w:tcPr>
          <w:p w14:paraId="4074A0F1">
            <w:pPr>
              <w:widowControl/>
              <w:spacing w:line="360" w:lineRule="exact"/>
              <w:jc w:val="center"/>
              <w:rPr>
                <w:color w:val="auto"/>
                <w:sz w:val="21"/>
                <w:szCs w:val="21"/>
              </w:rPr>
            </w:pPr>
            <w:r>
              <w:rPr>
                <w:rFonts w:hint="eastAsia"/>
                <w:color w:val="auto"/>
                <w:sz w:val="21"/>
                <w:szCs w:val="21"/>
              </w:rPr>
              <w:t>噪声</w:t>
            </w:r>
          </w:p>
        </w:tc>
        <w:tc>
          <w:tcPr>
            <w:tcW w:w="4069" w:type="pct"/>
            <w:gridSpan w:val="9"/>
            <w:vAlign w:val="center"/>
          </w:tcPr>
          <w:p w14:paraId="554F184A">
            <w:pPr>
              <w:widowControl/>
              <w:spacing w:line="360" w:lineRule="exact"/>
              <w:jc w:val="center"/>
              <w:rPr>
                <w:color w:val="auto"/>
                <w:sz w:val="21"/>
                <w:szCs w:val="21"/>
              </w:rPr>
            </w:pPr>
            <w:r>
              <w:rPr>
                <w:color w:val="auto"/>
                <w:sz w:val="21"/>
                <w:szCs w:val="21"/>
              </w:rPr>
              <w:t>选用低噪设备，加强施工机械维修、保养</w:t>
            </w:r>
            <w:r>
              <w:rPr>
                <w:rFonts w:hint="eastAsia"/>
                <w:color w:val="auto"/>
                <w:sz w:val="21"/>
                <w:szCs w:val="21"/>
              </w:rPr>
              <w:t>；</w:t>
            </w:r>
            <w:r>
              <w:rPr>
                <w:color w:val="auto"/>
                <w:sz w:val="21"/>
                <w:szCs w:val="21"/>
              </w:rPr>
              <w:t>合理安排施工机械操作时间</w:t>
            </w:r>
            <w:r>
              <w:rPr>
                <w:rFonts w:hint="eastAsia"/>
                <w:color w:val="auto"/>
                <w:sz w:val="21"/>
                <w:szCs w:val="21"/>
              </w:rPr>
              <w:t>。</w:t>
            </w:r>
          </w:p>
        </w:tc>
      </w:tr>
      <w:tr w14:paraId="7C610FA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481BB514">
            <w:pPr>
              <w:widowControl/>
              <w:spacing w:line="360" w:lineRule="exact"/>
              <w:jc w:val="center"/>
              <w:rPr>
                <w:color w:val="auto"/>
                <w:sz w:val="21"/>
                <w:szCs w:val="21"/>
              </w:rPr>
            </w:pPr>
          </w:p>
        </w:tc>
        <w:tc>
          <w:tcPr>
            <w:tcW w:w="263" w:type="pct"/>
            <w:vMerge w:val="continue"/>
            <w:vAlign w:val="center"/>
          </w:tcPr>
          <w:p w14:paraId="69FE92FC">
            <w:pPr>
              <w:widowControl/>
              <w:spacing w:line="360" w:lineRule="exact"/>
              <w:jc w:val="center"/>
              <w:rPr>
                <w:color w:val="auto"/>
                <w:sz w:val="21"/>
                <w:szCs w:val="21"/>
              </w:rPr>
            </w:pPr>
          </w:p>
        </w:tc>
        <w:tc>
          <w:tcPr>
            <w:tcW w:w="314" w:type="pct"/>
            <w:vAlign w:val="center"/>
          </w:tcPr>
          <w:p w14:paraId="6659BBC4">
            <w:pPr>
              <w:widowControl/>
              <w:spacing w:line="360" w:lineRule="exact"/>
              <w:jc w:val="center"/>
              <w:rPr>
                <w:color w:val="auto"/>
                <w:sz w:val="21"/>
                <w:szCs w:val="21"/>
              </w:rPr>
            </w:pPr>
            <w:r>
              <w:rPr>
                <w:color w:val="auto"/>
                <w:sz w:val="21"/>
                <w:szCs w:val="21"/>
              </w:rPr>
              <w:t>固废</w:t>
            </w:r>
          </w:p>
        </w:tc>
        <w:tc>
          <w:tcPr>
            <w:tcW w:w="4069" w:type="pct"/>
            <w:gridSpan w:val="9"/>
            <w:vAlign w:val="center"/>
          </w:tcPr>
          <w:p w14:paraId="1B852F76">
            <w:pPr>
              <w:widowControl/>
              <w:spacing w:line="360" w:lineRule="exact"/>
              <w:jc w:val="center"/>
              <w:rPr>
                <w:color w:val="auto"/>
                <w:sz w:val="21"/>
                <w:szCs w:val="21"/>
              </w:rPr>
            </w:pPr>
            <w:r>
              <w:rPr>
                <w:color w:val="auto"/>
                <w:sz w:val="21"/>
                <w:szCs w:val="21"/>
              </w:rPr>
              <w:t>（1）施工废料：施工过程产生的施工废料量约为0.64t，部分回收利用，剩余废料依托当地职能部门进行有偿清运处理。</w:t>
            </w:r>
          </w:p>
          <w:p w14:paraId="5F7A92DD">
            <w:pPr>
              <w:widowControl/>
              <w:spacing w:line="360" w:lineRule="exact"/>
              <w:jc w:val="center"/>
              <w:rPr>
                <w:color w:val="auto"/>
                <w:sz w:val="21"/>
                <w:szCs w:val="21"/>
              </w:rPr>
            </w:pPr>
            <w:r>
              <w:rPr>
                <w:rFonts w:hint="eastAsia"/>
                <w:color w:val="auto"/>
                <w:sz w:val="21"/>
                <w:szCs w:val="21"/>
              </w:rPr>
              <w:t>（2）工程弃土、弃渣：开挖敷设、阀井修筑产生的土石方全部回填，回填后管沟上方留有自然沉降余量，多余土石方就地平整。</w:t>
            </w:r>
          </w:p>
        </w:tc>
      </w:tr>
      <w:tr w14:paraId="06140A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4" w:type="pct"/>
            <w:vMerge w:val="continue"/>
            <w:vAlign w:val="center"/>
          </w:tcPr>
          <w:p w14:paraId="32A39FE4">
            <w:pPr>
              <w:widowControl/>
              <w:spacing w:line="360" w:lineRule="exact"/>
              <w:jc w:val="center"/>
              <w:rPr>
                <w:color w:val="auto"/>
                <w:sz w:val="21"/>
                <w:szCs w:val="21"/>
              </w:rPr>
            </w:pPr>
          </w:p>
        </w:tc>
        <w:tc>
          <w:tcPr>
            <w:tcW w:w="263" w:type="pct"/>
            <w:vAlign w:val="center"/>
          </w:tcPr>
          <w:p w14:paraId="4A39B649">
            <w:pPr>
              <w:widowControl/>
              <w:spacing w:line="360" w:lineRule="exact"/>
              <w:jc w:val="center"/>
              <w:rPr>
                <w:color w:val="auto"/>
                <w:sz w:val="21"/>
                <w:szCs w:val="21"/>
              </w:rPr>
            </w:pPr>
            <w:r>
              <w:rPr>
                <w:rFonts w:hint="eastAsia"/>
                <w:color w:val="auto"/>
                <w:sz w:val="21"/>
                <w:szCs w:val="21"/>
              </w:rPr>
              <w:t>运营期</w:t>
            </w:r>
          </w:p>
        </w:tc>
        <w:tc>
          <w:tcPr>
            <w:tcW w:w="314" w:type="pct"/>
            <w:vAlign w:val="center"/>
          </w:tcPr>
          <w:p w14:paraId="2312DACC">
            <w:pPr>
              <w:widowControl/>
              <w:spacing w:line="360" w:lineRule="exact"/>
              <w:jc w:val="center"/>
              <w:rPr>
                <w:color w:val="auto"/>
                <w:sz w:val="21"/>
                <w:szCs w:val="21"/>
              </w:rPr>
            </w:pPr>
            <w:r>
              <w:rPr>
                <w:rFonts w:hint="eastAsia"/>
                <w:color w:val="auto"/>
                <w:sz w:val="21"/>
                <w:szCs w:val="21"/>
              </w:rPr>
              <w:t>环境风险</w:t>
            </w:r>
          </w:p>
        </w:tc>
        <w:tc>
          <w:tcPr>
            <w:tcW w:w="4069" w:type="pct"/>
            <w:gridSpan w:val="9"/>
            <w:vAlign w:val="center"/>
          </w:tcPr>
          <w:p w14:paraId="25609A81">
            <w:pPr>
              <w:widowControl/>
              <w:spacing w:line="360" w:lineRule="exact"/>
              <w:jc w:val="center"/>
              <w:rPr>
                <w:color w:val="auto"/>
                <w:sz w:val="21"/>
                <w:szCs w:val="21"/>
              </w:rPr>
            </w:pPr>
            <w:r>
              <w:rPr>
                <w:rFonts w:hint="eastAsia" w:hAnsi="宋体"/>
                <w:color w:val="auto"/>
                <w:sz w:val="21"/>
                <w:szCs w:val="21"/>
              </w:rPr>
              <w:t>自动控制系统、泄压阀，定期巡检</w:t>
            </w:r>
          </w:p>
        </w:tc>
      </w:tr>
    </w:tbl>
    <w:p w14:paraId="49F2F0B2">
      <w:pPr>
        <w:pStyle w:val="1304"/>
        <w:rPr>
          <w:color w:val="auto"/>
          <w:lang w:val="en-US"/>
        </w:rPr>
      </w:pPr>
    </w:p>
    <w:p w14:paraId="0808C006">
      <w:pPr>
        <w:pStyle w:val="4"/>
        <w:rPr>
          <w:color w:val="auto"/>
        </w:rPr>
      </w:pPr>
      <w:r>
        <w:rPr>
          <w:rFonts w:hint="eastAsia"/>
          <w:color w:val="auto"/>
        </w:rPr>
        <w:t>厂内</w:t>
      </w:r>
      <w:r>
        <w:rPr>
          <w:color w:val="auto"/>
        </w:rPr>
        <w:t>公用工程及辅助生产设施</w:t>
      </w:r>
    </w:p>
    <w:p w14:paraId="52BB541C">
      <w:pPr>
        <w:pStyle w:val="5"/>
        <w:rPr>
          <w:color w:val="auto"/>
        </w:rPr>
      </w:pPr>
      <w:r>
        <w:rPr>
          <w:rFonts w:hint="eastAsia"/>
          <w:color w:val="auto"/>
        </w:rPr>
        <w:t>给排水</w:t>
      </w:r>
    </w:p>
    <w:p w14:paraId="77969D45">
      <w:pPr>
        <w:pStyle w:val="132"/>
        <w:rPr>
          <w:color w:val="auto"/>
        </w:rPr>
      </w:pPr>
      <w:bookmarkStart w:id="193" w:name="_Hlk197716730"/>
      <w:r>
        <w:rPr>
          <w:rFonts w:hint="eastAsia"/>
          <w:color w:val="auto"/>
        </w:rPr>
        <w:t>（1）用水</w:t>
      </w:r>
    </w:p>
    <w:p w14:paraId="681C5DDE">
      <w:pPr>
        <w:pStyle w:val="132"/>
        <w:rPr>
          <w:color w:val="auto"/>
        </w:rPr>
      </w:pPr>
      <w:r>
        <w:rPr>
          <w:color w:val="auto"/>
        </w:rPr>
        <w:t>项目用水</w:t>
      </w:r>
      <w:r>
        <w:rPr>
          <w:rFonts w:hint="eastAsia"/>
          <w:color w:val="auto"/>
        </w:rPr>
        <w:t>主要包括催化剂生产用水、循环水系统补水、未预见水、道路浇洒和绿化用水、生活用水以及备用锅炉用水等，其中催化剂生产用水为项目危险废物处理自产的冷凝水，其余为新鲜水、项目合计新鲜水用量602760m</w:t>
      </w:r>
      <w:r>
        <w:rPr>
          <w:rFonts w:hint="eastAsia"/>
          <w:color w:val="auto"/>
          <w:vertAlign w:val="superscript"/>
        </w:rPr>
        <w:t>3</w:t>
      </w:r>
      <w:r>
        <w:rPr>
          <w:rFonts w:hint="eastAsia"/>
          <w:color w:val="auto"/>
        </w:rPr>
        <w:t>/a（79.35m</w:t>
      </w:r>
      <w:r>
        <w:rPr>
          <w:rFonts w:hint="eastAsia"/>
          <w:color w:val="auto"/>
          <w:vertAlign w:val="superscript"/>
        </w:rPr>
        <w:t>3</w:t>
      </w:r>
      <w:r>
        <w:rPr>
          <w:rFonts w:hint="eastAsia"/>
          <w:color w:val="auto"/>
        </w:rPr>
        <w:t>/h）。</w:t>
      </w:r>
      <w:r>
        <w:rPr>
          <w:color w:val="auto"/>
        </w:rPr>
        <w:t>项目</w:t>
      </w:r>
      <w:r>
        <w:rPr>
          <w:rFonts w:hint="eastAsia"/>
          <w:color w:val="auto"/>
        </w:rPr>
        <w:t>用水</w:t>
      </w:r>
      <w:r>
        <w:rPr>
          <w:color w:val="auto"/>
        </w:rPr>
        <w:t>见表</w:t>
      </w:r>
      <w:r>
        <w:rPr>
          <w:rFonts w:hint="eastAsia"/>
          <w:color w:val="auto"/>
        </w:rPr>
        <w:t>3.1-13。</w:t>
      </w:r>
    </w:p>
    <w:p w14:paraId="234A0CF4">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12</w:t>
      </w:r>
      <w:r>
        <w:rPr>
          <w:color w:val="auto"/>
        </w:rPr>
        <w:fldChar w:fldCharType="end"/>
      </w:r>
      <w:r>
        <w:rPr>
          <w:color w:val="auto"/>
        </w:rPr>
        <w:t xml:space="preserve"> </w:t>
      </w:r>
      <w:r>
        <w:rPr>
          <w:rFonts w:hint="eastAsia"/>
          <w:color w:val="auto"/>
        </w:rPr>
        <w:t xml:space="preserve">  项目用排水量表     单位：m</w:t>
      </w:r>
      <w:r>
        <w:rPr>
          <w:rFonts w:hint="eastAsia"/>
          <w:color w:val="auto"/>
          <w:vertAlign w:val="superscript"/>
        </w:rPr>
        <w:t>3</w:t>
      </w:r>
      <w:r>
        <w:rPr>
          <w:rFonts w:hint="eastAsia"/>
          <w:color w:val="auto"/>
        </w:rPr>
        <w:t>/h</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209"/>
        <w:gridCol w:w="1425"/>
        <w:gridCol w:w="1680"/>
        <w:gridCol w:w="1560"/>
        <w:gridCol w:w="1912"/>
      </w:tblGrid>
      <w:tr w14:paraId="71E4D0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88" w:hRule="atLeast"/>
        </w:trPr>
        <w:tc>
          <w:tcPr>
            <w:tcW w:w="1257" w:type="pct"/>
            <w:noWrap/>
            <w:vAlign w:val="center"/>
          </w:tcPr>
          <w:p w14:paraId="6ADFB76B">
            <w:pPr>
              <w:pStyle w:val="129"/>
              <w:widowControl w:val="0"/>
              <w:rPr>
                <w:color w:val="auto"/>
              </w:rPr>
            </w:pPr>
            <w:r>
              <w:rPr>
                <w:color w:val="auto"/>
              </w:rPr>
              <w:t>工序</w:t>
            </w:r>
          </w:p>
        </w:tc>
        <w:tc>
          <w:tcPr>
            <w:tcW w:w="811" w:type="pct"/>
            <w:noWrap/>
            <w:vAlign w:val="center"/>
          </w:tcPr>
          <w:p w14:paraId="238C685A">
            <w:pPr>
              <w:pStyle w:val="129"/>
              <w:widowControl w:val="0"/>
              <w:rPr>
                <w:color w:val="auto"/>
              </w:rPr>
            </w:pPr>
            <w:r>
              <w:rPr>
                <w:color w:val="auto"/>
              </w:rPr>
              <w:t>新鲜水</w:t>
            </w:r>
          </w:p>
        </w:tc>
        <w:tc>
          <w:tcPr>
            <w:tcW w:w="956" w:type="pct"/>
            <w:vAlign w:val="center"/>
          </w:tcPr>
          <w:p w14:paraId="5C8C0E80">
            <w:pPr>
              <w:pStyle w:val="129"/>
              <w:widowControl w:val="0"/>
              <w:rPr>
                <w:color w:val="auto"/>
              </w:rPr>
            </w:pPr>
            <w:r>
              <w:rPr>
                <w:color w:val="auto"/>
              </w:rPr>
              <w:t>脱盐水(冷凝水）</w:t>
            </w:r>
          </w:p>
        </w:tc>
        <w:tc>
          <w:tcPr>
            <w:tcW w:w="888" w:type="pct"/>
            <w:noWrap/>
            <w:vAlign w:val="center"/>
          </w:tcPr>
          <w:p w14:paraId="04151B1F">
            <w:pPr>
              <w:pStyle w:val="129"/>
              <w:widowControl w:val="0"/>
              <w:rPr>
                <w:color w:val="auto"/>
              </w:rPr>
            </w:pPr>
            <w:r>
              <w:rPr>
                <w:color w:val="auto"/>
              </w:rPr>
              <w:t>循环水</w:t>
            </w:r>
          </w:p>
        </w:tc>
        <w:tc>
          <w:tcPr>
            <w:tcW w:w="1088" w:type="pct"/>
            <w:noWrap/>
            <w:vAlign w:val="center"/>
          </w:tcPr>
          <w:p w14:paraId="38BE26D7">
            <w:pPr>
              <w:pStyle w:val="129"/>
              <w:widowControl w:val="0"/>
              <w:rPr>
                <w:color w:val="auto"/>
              </w:rPr>
            </w:pPr>
            <w:r>
              <w:rPr>
                <w:color w:val="auto"/>
              </w:rPr>
              <w:t>备注</w:t>
            </w:r>
          </w:p>
        </w:tc>
      </w:tr>
      <w:tr w14:paraId="46C439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0" w:hRule="atLeast"/>
        </w:trPr>
        <w:tc>
          <w:tcPr>
            <w:tcW w:w="1257" w:type="pct"/>
            <w:noWrap/>
            <w:vAlign w:val="center"/>
          </w:tcPr>
          <w:p w14:paraId="722E5294">
            <w:pPr>
              <w:pStyle w:val="129"/>
              <w:widowControl w:val="0"/>
              <w:rPr>
                <w:color w:val="auto"/>
              </w:rPr>
            </w:pPr>
            <w:r>
              <w:rPr>
                <w:color w:val="auto"/>
              </w:rPr>
              <w:t>循环水系统</w:t>
            </w:r>
          </w:p>
        </w:tc>
        <w:tc>
          <w:tcPr>
            <w:tcW w:w="811" w:type="pct"/>
            <w:noWrap/>
            <w:vAlign w:val="center"/>
          </w:tcPr>
          <w:p w14:paraId="7622E7EE">
            <w:pPr>
              <w:pStyle w:val="129"/>
              <w:widowControl w:val="0"/>
              <w:rPr>
                <w:color w:val="auto"/>
              </w:rPr>
            </w:pPr>
            <w:r>
              <w:rPr>
                <w:color w:val="auto"/>
              </w:rPr>
              <w:t xml:space="preserve">71.57 </w:t>
            </w:r>
          </w:p>
        </w:tc>
        <w:tc>
          <w:tcPr>
            <w:tcW w:w="956" w:type="pct"/>
            <w:noWrap/>
            <w:vAlign w:val="center"/>
          </w:tcPr>
          <w:p w14:paraId="34289284">
            <w:pPr>
              <w:pStyle w:val="129"/>
              <w:widowControl w:val="0"/>
              <w:rPr>
                <w:color w:val="auto"/>
              </w:rPr>
            </w:pPr>
          </w:p>
        </w:tc>
        <w:tc>
          <w:tcPr>
            <w:tcW w:w="888" w:type="pct"/>
            <w:noWrap/>
            <w:vAlign w:val="center"/>
          </w:tcPr>
          <w:p w14:paraId="1389B1F0">
            <w:pPr>
              <w:pStyle w:val="129"/>
              <w:widowControl w:val="0"/>
              <w:rPr>
                <w:color w:val="auto"/>
              </w:rPr>
            </w:pPr>
            <w:r>
              <w:rPr>
                <w:color w:val="auto"/>
              </w:rPr>
              <w:t xml:space="preserve">7100.00 </w:t>
            </w:r>
          </w:p>
        </w:tc>
        <w:tc>
          <w:tcPr>
            <w:tcW w:w="1088" w:type="pct"/>
            <w:noWrap/>
            <w:vAlign w:val="center"/>
          </w:tcPr>
          <w:p w14:paraId="247C11D1">
            <w:pPr>
              <w:pStyle w:val="129"/>
              <w:widowControl w:val="0"/>
              <w:rPr>
                <w:color w:val="auto"/>
              </w:rPr>
            </w:pPr>
          </w:p>
        </w:tc>
      </w:tr>
      <w:tr w14:paraId="6E7A6C9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0" w:hRule="atLeast"/>
        </w:trPr>
        <w:tc>
          <w:tcPr>
            <w:tcW w:w="1257" w:type="pct"/>
            <w:noWrap/>
            <w:vAlign w:val="center"/>
          </w:tcPr>
          <w:p w14:paraId="70D6DF30">
            <w:pPr>
              <w:pStyle w:val="129"/>
              <w:widowControl w:val="0"/>
              <w:rPr>
                <w:color w:val="auto"/>
              </w:rPr>
            </w:pPr>
            <w:r>
              <w:rPr>
                <w:color w:val="auto"/>
              </w:rPr>
              <w:t>未预见水</w:t>
            </w:r>
          </w:p>
        </w:tc>
        <w:tc>
          <w:tcPr>
            <w:tcW w:w="811" w:type="pct"/>
            <w:noWrap/>
            <w:vAlign w:val="center"/>
          </w:tcPr>
          <w:p w14:paraId="7E3D38AF">
            <w:pPr>
              <w:pStyle w:val="129"/>
              <w:widowControl w:val="0"/>
              <w:rPr>
                <w:color w:val="auto"/>
              </w:rPr>
            </w:pPr>
            <w:r>
              <w:rPr>
                <w:color w:val="auto"/>
              </w:rPr>
              <w:t xml:space="preserve">3.00 </w:t>
            </w:r>
          </w:p>
        </w:tc>
        <w:tc>
          <w:tcPr>
            <w:tcW w:w="956" w:type="pct"/>
            <w:noWrap/>
            <w:vAlign w:val="center"/>
          </w:tcPr>
          <w:p w14:paraId="0DB48258">
            <w:pPr>
              <w:pStyle w:val="129"/>
              <w:widowControl w:val="0"/>
              <w:rPr>
                <w:color w:val="auto"/>
              </w:rPr>
            </w:pPr>
          </w:p>
        </w:tc>
        <w:tc>
          <w:tcPr>
            <w:tcW w:w="888" w:type="pct"/>
            <w:noWrap/>
            <w:vAlign w:val="center"/>
          </w:tcPr>
          <w:p w14:paraId="60F92BAE">
            <w:pPr>
              <w:pStyle w:val="129"/>
              <w:widowControl w:val="0"/>
              <w:rPr>
                <w:rFonts w:eastAsia="Times New Roman"/>
                <w:color w:val="auto"/>
              </w:rPr>
            </w:pPr>
          </w:p>
        </w:tc>
        <w:tc>
          <w:tcPr>
            <w:tcW w:w="1088" w:type="pct"/>
            <w:noWrap/>
            <w:vAlign w:val="center"/>
          </w:tcPr>
          <w:p w14:paraId="520D9783">
            <w:pPr>
              <w:pStyle w:val="129"/>
              <w:widowControl w:val="0"/>
              <w:rPr>
                <w:color w:val="auto"/>
              </w:rPr>
            </w:pPr>
          </w:p>
        </w:tc>
      </w:tr>
      <w:tr w14:paraId="4864B5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0" w:hRule="atLeast"/>
        </w:trPr>
        <w:tc>
          <w:tcPr>
            <w:tcW w:w="1257" w:type="pct"/>
            <w:noWrap/>
            <w:vAlign w:val="center"/>
          </w:tcPr>
          <w:p w14:paraId="69A5655A">
            <w:pPr>
              <w:pStyle w:val="129"/>
              <w:widowControl w:val="0"/>
              <w:rPr>
                <w:color w:val="auto"/>
              </w:rPr>
            </w:pPr>
            <w:r>
              <w:rPr>
                <w:color w:val="auto"/>
              </w:rPr>
              <w:t>浇洒道路和绿化</w:t>
            </w:r>
          </w:p>
        </w:tc>
        <w:tc>
          <w:tcPr>
            <w:tcW w:w="811" w:type="pct"/>
            <w:noWrap/>
            <w:vAlign w:val="center"/>
          </w:tcPr>
          <w:p w14:paraId="092E0F08">
            <w:pPr>
              <w:pStyle w:val="129"/>
              <w:widowControl w:val="0"/>
              <w:rPr>
                <w:color w:val="auto"/>
              </w:rPr>
            </w:pPr>
            <w:r>
              <w:rPr>
                <w:color w:val="auto"/>
              </w:rPr>
              <w:t xml:space="preserve">0.40 </w:t>
            </w:r>
          </w:p>
        </w:tc>
        <w:tc>
          <w:tcPr>
            <w:tcW w:w="956" w:type="pct"/>
            <w:noWrap/>
            <w:vAlign w:val="center"/>
          </w:tcPr>
          <w:p w14:paraId="47035782">
            <w:pPr>
              <w:pStyle w:val="129"/>
              <w:widowControl w:val="0"/>
              <w:rPr>
                <w:color w:val="auto"/>
              </w:rPr>
            </w:pPr>
          </w:p>
        </w:tc>
        <w:tc>
          <w:tcPr>
            <w:tcW w:w="888" w:type="pct"/>
            <w:noWrap/>
            <w:vAlign w:val="center"/>
          </w:tcPr>
          <w:p w14:paraId="6640F981">
            <w:pPr>
              <w:pStyle w:val="129"/>
              <w:widowControl w:val="0"/>
              <w:rPr>
                <w:rFonts w:eastAsia="Times New Roman"/>
                <w:color w:val="auto"/>
              </w:rPr>
            </w:pPr>
          </w:p>
        </w:tc>
        <w:tc>
          <w:tcPr>
            <w:tcW w:w="1088" w:type="pct"/>
            <w:noWrap/>
            <w:vAlign w:val="center"/>
          </w:tcPr>
          <w:p w14:paraId="65B0BD8D">
            <w:pPr>
              <w:pStyle w:val="129"/>
              <w:widowControl w:val="0"/>
              <w:rPr>
                <w:color w:val="auto"/>
              </w:rPr>
            </w:pPr>
          </w:p>
        </w:tc>
      </w:tr>
      <w:tr w14:paraId="0A1231A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0" w:hRule="atLeast"/>
        </w:trPr>
        <w:tc>
          <w:tcPr>
            <w:tcW w:w="1257" w:type="pct"/>
            <w:noWrap/>
            <w:vAlign w:val="center"/>
          </w:tcPr>
          <w:p w14:paraId="5A91AD7B">
            <w:pPr>
              <w:pStyle w:val="129"/>
              <w:widowControl w:val="0"/>
              <w:rPr>
                <w:color w:val="auto"/>
              </w:rPr>
            </w:pPr>
            <w:r>
              <w:rPr>
                <w:color w:val="auto"/>
              </w:rPr>
              <w:t>生活用水</w:t>
            </w:r>
          </w:p>
        </w:tc>
        <w:tc>
          <w:tcPr>
            <w:tcW w:w="811" w:type="pct"/>
            <w:noWrap/>
            <w:vAlign w:val="center"/>
          </w:tcPr>
          <w:p w14:paraId="21B92413">
            <w:pPr>
              <w:pStyle w:val="129"/>
              <w:widowControl w:val="0"/>
              <w:rPr>
                <w:color w:val="auto"/>
              </w:rPr>
            </w:pPr>
            <w:r>
              <w:rPr>
                <w:color w:val="auto"/>
              </w:rPr>
              <w:t xml:space="preserve">0.38 </w:t>
            </w:r>
          </w:p>
        </w:tc>
        <w:tc>
          <w:tcPr>
            <w:tcW w:w="956" w:type="pct"/>
            <w:noWrap/>
            <w:vAlign w:val="center"/>
          </w:tcPr>
          <w:p w14:paraId="56A99EF4">
            <w:pPr>
              <w:pStyle w:val="129"/>
              <w:widowControl w:val="0"/>
              <w:rPr>
                <w:color w:val="auto"/>
              </w:rPr>
            </w:pPr>
          </w:p>
        </w:tc>
        <w:tc>
          <w:tcPr>
            <w:tcW w:w="888" w:type="pct"/>
            <w:noWrap/>
            <w:vAlign w:val="center"/>
          </w:tcPr>
          <w:p w14:paraId="4443DD5E">
            <w:pPr>
              <w:pStyle w:val="129"/>
              <w:widowControl w:val="0"/>
              <w:rPr>
                <w:rFonts w:eastAsia="Times New Roman"/>
                <w:color w:val="auto"/>
              </w:rPr>
            </w:pPr>
          </w:p>
        </w:tc>
        <w:tc>
          <w:tcPr>
            <w:tcW w:w="1088" w:type="pct"/>
            <w:noWrap/>
            <w:vAlign w:val="center"/>
          </w:tcPr>
          <w:p w14:paraId="7A903A1C">
            <w:pPr>
              <w:pStyle w:val="129"/>
              <w:widowControl w:val="0"/>
              <w:rPr>
                <w:color w:val="auto"/>
              </w:rPr>
            </w:pPr>
          </w:p>
        </w:tc>
      </w:tr>
      <w:tr w14:paraId="0972BB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0" w:hRule="atLeast"/>
        </w:trPr>
        <w:tc>
          <w:tcPr>
            <w:tcW w:w="1257" w:type="pct"/>
            <w:noWrap/>
            <w:vAlign w:val="center"/>
          </w:tcPr>
          <w:p w14:paraId="770748F3">
            <w:pPr>
              <w:pStyle w:val="129"/>
              <w:widowControl w:val="0"/>
              <w:rPr>
                <w:color w:val="auto"/>
              </w:rPr>
            </w:pPr>
            <w:r>
              <w:rPr>
                <w:color w:val="auto"/>
              </w:rPr>
              <w:t>锅炉</w:t>
            </w:r>
          </w:p>
        </w:tc>
        <w:tc>
          <w:tcPr>
            <w:tcW w:w="811" w:type="pct"/>
            <w:noWrap/>
            <w:vAlign w:val="center"/>
          </w:tcPr>
          <w:p w14:paraId="6D869374">
            <w:pPr>
              <w:pStyle w:val="129"/>
              <w:widowControl w:val="0"/>
              <w:rPr>
                <w:color w:val="auto"/>
              </w:rPr>
            </w:pPr>
            <w:r>
              <w:rPr>
                <w:color w:val="auto"/>
              </w:rPr>
              <w:t xml:space="preserve">4.00 </w:t>
            </w:r>
          </w:p>
        </w:tc>
        <w:tc>
          <w:tcPr>
            <w:tcW w:w="956" w:type="pct"/>
            <w:noWrap/>
            <w:vAlign w:val="center"/>
          </w:tcPr>
          <w:p w14:paraId="5ED3A8AC">
            <w:pPr>
              <w:pStyle w:val="129"/>
              <w:widowControl w:val="0"/>
              <w:rPr>
                <w:color w:val="auto"/>
              </w:rPr>
            </w:pPr>
          </w:p>
        </w:tc>
        <w:tc>
          <w:tcPr>
            <w:tcW w:w="888" w:type="pct"/>
            <w:noWrap/>
            <w:vAlign w:val="center"/>
          </w:tcPr>
          <w:p w14:paraId="78FABF19">
            <w:pPr>
              <w:pStyle w:val="129"/>
              <w:widowControl w:val="0"/>
              <w:rPr>
                <w:rFonts w:eastAsia="Times New Roman"/>
                <w:color w:val="auto"/>
              </w:rPr>
            </w:pPr>
          </w:p>
        </w:tc>
        <w:tc>
          <w:tcPr>
            <w:tcW w:w="1088" w:type="pct"/>
            <w:noWrap/>
            <w:vAlign w:val="center"/>
          </w:tcPr>
          <w:p w14:paraId="46822282">
            <w:pPr>
              <w:pStyle w:val="129"/>
              <w:widowControl w:val="0"/>
              <w:rPr>
                <w:color w:val="auto"/>
              </w:rPr>
            </w:pPr>
            <w:r>
              <w:rPr>
                <w:color w:val="auto"/>
              </w:rPr>
              <w:t>备用</w:t>
            </w:r>
          </w:p>
        </w:tc>
      </w:tr>
      <w:tr w14:paraId="780CEB6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0" w:hRule="atLeast"/>
        </w:trPr>
        <w:tc>
          <w:tcPr>
            <w:tcW w:w="1257" w:type="pct"/>
            <w:noWrap/>
            <w:vAlign w:val="center"/>
          </w:tcPr>
          <w:p w14:paraId="11A15A9B">
            <w:pPr>
              <w:pStyle w:val="129"/>
              <w:widowControl w:val="0"/>
              <w:rPr>
                <w:color w:val="auto"/>
              </w:rPr>
            </w:pPr>
            <w:r>
              <w:rPr>
                <w:color w:val="auto"/>
              </w:rPr>
              <w:t>压滤冲洗</w:t>
            </w:r>
          </w:p>
        </w:tc>
        <w:tc>
          <w:tcPr>
            <w:tcW w:w="811" w:type="pct"/>
            <w:noWrap/>
            <w:vAlign w:val="center"/>
          </w:tcPr>
          <w:p w14:paraId="761DB36A">
            <w:pPr>
              <w:pStyle w:val="129"/>
              <w:widowControl w:val="0"/>
              <w:rPr>
                <w:rFonts w:eastAsia="Times New Roman"/>
                <w:color w:val="auto"/>
              </w:rPr>
            </w:pPr>
          </w:p>
        </w:tc>
        <w:tc>
          <w:tcPr>
            <w:tcW w:w="956" w:type="pct"/>
            <w:noWrap/>
            <w:vAlign w:val="center"/>
          </w:tcPr>
          <w:p w14:paraId="6C78D1CE">
            <w:pPr>
              <w:pStyle w:val="129"/>
              <w:widowControl w:val="0"/>
              <w:rPr>
                <w:color w:val="auto"/>
              </w:rPr>
            </w:pPr>
            <w:r>
              <w:rPr>
                <w:color w:val="auto"/>
              </w:rPr>
              <w:t xml:space="preserve">124.64 </w:t>
            </w:r>
          </w:p>
        </w:tc>
        <w:tc>
          <w:tcPr>
            <w:tcW w:w="888" w:type="pct"/>
            <w:noWrap/>
            <w:vAlign w:val="center"/>
          </w:tcPr>
          <w:p w14:paraId="7215C60B">
            <w:pPr>
              <w:pStyle w:val="129"/>
              <w:widowControl w:val="0"/>
              <w:rPr>
                <w:rFonts w:eastAsia="Times New Roman"/>
                <w:color w:val="auto"/>
              </w:rPr>
            </w:pPr>
          </w:p>
        </w:tc>
        <w:tc>
          <w:tcPr>
            <w:tcW w:w="1088" w:type="pct"/>
            <w:noWrap/>
            <w:vAlign w:val="center"/>
          </w:tcPr>
          <w:p w14:paraId="485B77BA">
            <w:pPr>
              <w:pStyle w:val="129"/>
              <w:widowControl w:val="0"/>
              <w:rPr>
                <w:color w:val="auto"/>
              </w:rPr>
            </w:pPr>
            <w:r>
              <w:rPr>
                <w:color w:val="auto"/>
              </w:rPr>
              <w:t>冲洗水循环</w:t>
            </w:r>
          </w:p>
        </w:tc>
      </w:tr>
      <w:tr w14:paraId="6DC0D2B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0" w:hRule="atLeast"/>
        </w:trPr>
        <w:tc>
          <w:tcPr>
            <w:tcW w:w="1257" w:type="pct"/>
            <w:noWrap/>
            <w:vAlign w:val="center"/>
          </w:tcPr>
          <w:p w14:paraId="22B04156">
            <w:pPr>
              <w:pStyle w:val="129"/>
              <w:widowControl w:val="0"/>
              <w:rPr>
                <w:color w:val="auto"/>
              </w:rPr>
            </w:pPr>
            <w:r>
              <w:rPr>
                <w:color w:val="auto"/>
              </w:rPr>
              <w:t>冷凝水回用</w:t>
            </w:r>
          </w:p>
        </w:tc>
        <w:tc>
          <w:tcPr>
            <w:tcW w:w="811" w:type="pct"/>
            <w:noWrap/>
            <w:vAlign w:val="center"/>
          </w:tcPr>
          <w:p w14:paraId="5EC75595">
            <w:pPr>
              <w:pStyle w:val="129"/>
              <w:widowControl w:val="0"/>
              <w:rPr>
                <w:rFonts w:eastAsia="Times New Roman"/>
                <w:color w:val="auto"/>
              </w:rPr>
            </w:pPr>
          </w:p>
        </w:tc>
        <w:tc>
          <w:tcPr>
            <w:tcW w:w="956" w:type="pct"/>
            <w:noWrap/>
            <w:vAlign w:val="center"/>
          </w:tcPr>
          <w:p w14:paraId="202B3110">
            <w:pPr>
              <w:pStyle w:val="129"/>
              <w:widowControl w:val="0"/>
              <w:rPr>
                <w:rFonts w:eastAsia="Times New Roman"/>
                <w:color w:val="auto"/>
              </w:rPr>
            </w:pPr>
          </w:p>
        </w:tc>
        <w:tc>
          <w:tcPr>
            <w:tcW w:w="888" w:type="pct"/>
            <w:noWrap/>
            <w:vAlign w:val="center"/>
          </w:tcPr>
          <w:p w14:paraId="3405F6EC">
            <w:pPr>
              <w:pStyle w:val="129"/>
              <w:widowControl w:val="0"/>
              <w:rPr>
                <w:rFonts w:eastAsia="Times New Roman"/>
                <w:color w:val="auto"/>
              </w:rPr>
            </w:pPr>
          </w:p>
        </w:tc>
        <w:tc>
          <w:tcPr>
            <w:tcW w:w="1088" w:type="pct"/>
            <w:noWrap/>
            <w:vAlign w:val="center"/>
          </w:tcPr>
          <w:p w14:paraId="63DE99D8">
            <w:pPr>
              <w:pStyle w:val="129"/>
              <w:widowControl w:val="0"/>
              <w:rPr>
                <w:rFonts w:eastAsia="Times New Roman"/>
                <w:color w:val="auto"/>
              </w:rPr>
            </w:pPr>
          </w:p>
        </w:tc>
      </w:tr>
      <w:tr w14:paraId="539CDE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0" w:hRule="atLeast"/>
        </w:trPr>
        <w:tc>
          <w:tcPr>
            <w:tcW w:w="1257" w:type="pct"/>
            <w:noWrap/>
            <w:vAlign w:val="center"/>
          </w:tcPr>
          <w:p w14:paraId="19601810">
            <w:pPr>
              <w:pStyle w:val="129"/>
              <w:widowControl w:val="0"/>
              <w:rPr>
                <w:color w:val="auto"/>
              </w:rPr>
            </w:pPr>
            <w:r>
              <w:rPr>
                <w:color w:val="auto"/>
              </w:rPr>
              <w:t>合计</w:t>
            </w:r>
          </w:p>
        </w:tc>
        <w:tc>
          <w:tcPr>
            <w:tcW w:w="811" w:type="pct"/>
            <w:noWrap/>
            <w:vAlign w:val="center"/>
          </w:tcPr>
          <w:p w14:paraId="1687DB2E">
            <w:pPr>
              <w:pStyle w:val="129"/>
              <w:widowControl w:val="0"/>
              <w:rPr>
                <w:color w:val="auto"/>
              </w:rPr>
            </w:pPr>
            <w:r>
              <w:rPr>
                <w:color w:val="auto"/>
              </w:rPr>
              <w:t xml:space="preserve">79.35 </w:t>
            </w:r>
          </w:p>
        </w:tc>
        <w:tc>
          <w:tcPr>
            <w:tcW w:w="956" w:type="pct"/>
            <w:noWrap/>
            <w:vAlign w:val="center"/>
          </w:tcPr>
          <w:p w14:paraId="74F0447B">
            <w:pPr>
              <w:pStyle w:val="129"/>
              <w:widowControl w:val="0"/>
              <w:rPr>
                <w:color w:val="auto"/>
              </w:rPr>
            </w:pPr>
            <w:r>
              <w:rPr>
                <w:color w:val="auto"/>
              </w:rPr>
              <w:t xml:space="preserve">3.20 </w:t>
            </w:r>
          </w:p>
        </w:tc>
        <w:tc>
          <w:tcPr>
            <w:tcW w:w="888" w:type="pct"/>
            <w:noWrap/>
            <w:vAlign w:val="center"/>
          </w:tcPr>
          <w:p w14:paraId="40801B8B">
            <w:pPr>
              <w:pStyle w:val="129"/>
              <w:widowControl w:val="0"/>
              <w:rPr>
                <w:color w:val="auto"/>
              </w:rPr>
            </w:pPr>
            <w:r>
              <w:rPr>
                <w:color w:val="auto"/>
              </w:rPr>
              <w:t xml:space="preserve">7100.00 </w:t>
            </w:r>
          </w:p>
        </w:tc>
        <w:tc>
          <w:tcPr>
            <w:tcW w:w="1088" w:type="pct"/>
            <w:noWrap/>
            <w:vAlign w:val="center"/>
          </w:tcPr>
          <w:p w14:paraId="0DAD7CE4">
            <w:pPr>
              <w:pStyle w:val="129"/>
              <w:widowControl w:val="0"/>
              <w:rPr>
                <w:rFonts w:eastAsia="Times New Roman"/>
                <w:color w:val="auto"/>
              </w:rPr>
            </w:pPr>
          </w:p>
        </w:tc>
      </w:tr>
    </w:tbl>
    <w:p w14:paraId="4417F80E">
      <w:pPr>
        <w:pStyle w:val="1304"/>
        <w:rPr>
          <w:color w:val="auto"/>
        </w:rPr>
      </w:pPr>
    </w:p>
    <w:bookmarkEnd w:id="193"/>
    <w:p w14:paraId="6693FD10">
      <w:pPr>
        <w:pStyle w:val="132"/>
        <w:rPr>
          <w:color w:val="auto"/>
        </w:rPr>
      </w:pPr>
      <w:r>
        <w:rPr>
          <w:rFonts w:hint="eastAsia"/>
          <w:color w:val="auto"/>
        </w:rPr>
        <w:t>（2）给水工程</w:t>
      </w:r>
    </w:p>
    <w:p w14:paraId="56602FB2">
      <w:pPr>
        <w:pStyle w:val="132"/>
        <w:rPr>
          <w:color w:val="auto"/>
        </w:rPr>
      </w:pPr>
      <w:r>
        <w:rPr>
          <w:rFonts w:hint="eastAsia"/>
          <w:color w:val="auto"/>
        </w:rPr>
        <w:t>①供水水源</w:t>
      </w:r>
    </w:p>
    <w:p w14:paraId="4312942F">
      <w:pPr>
        <w:pStyle w:val="132"/>
        <w:rPr>
          <w:color w:val="auto"/>
        </w:rPr>
      </w:pPr>
      <w:r>
        <w:rPr>
          <w:color w:val="auto"/>
        </w:rPr>
        <w:t>本项目在</w:t>
      </w:r>
      <w:r>
        <w:rPr>
          <w:rFonts w:hint="eastAsia"/>
          <w:color w:val="auto"/>
        </w:rPr>
        <w:t>乌鲁木齐甘泉堡经济技术开发区</w:t>
      </w:r>
      <w:r>
        <w:rPr>
          <w:color w:val="auto"/>
        </w:rPr>
        <w:t>建设，厂区新鲜水用水由工业园区给水管网供给。</w:t>
      </w:r>
    </w:p>
    <w:p w14:paraId="3ACBA4B8">
      <w:pPr>
        <w:spacing w:line="360" w:lineRule="auto"/>
        <w:ind w:firstLine="480" w:firstLineChars="200"/>
        <w:rPr>
          <w:color w:val="auto"/>
          <w:sz w:val="24"/>
          <w:szCs w:val="24"/>
        </w:rPr>
      </w:pPr>
      <w:r>
        <w:rPr>
          <w:rFonts w:hint="eastAsia"/>
          <w:color w:val="auto"/>
          <w:sz w:val="24"/>
          <w:szCs w:val="24"/>
        </w:rPr>
        <w:t>②生产生活给水系统</w:t>
      </w:r>
    </w:p>
    <w:p w14:paraId="317AF1EC">
      <w:pPr>
        <w:spacing w:line="360" w:lineRule="auto"/>
        <w:ind w:firstLine="480" w:firstLineChars="200"/>
        <w:rPr>
          <w:color w:val="auto"/>
          <w:sz w:val="24"/>
          <w:szCs w:val="24"/>
        </w:rPr>
      </w:pPr>
      <w:r>
        <w:rPr>
          <w:rFonts w:hint="eastAsia"/>
          <w:color w:val="auto"/>
          <w:sz w:val="24"/>
          <w:szCs w:val="24"/>
        </w:rPr>
        <w:t>项目生产生活给水系统主要供本项目生活用水、洗眼器用水、循环水系统补水等。本项目自园区市政给水管网上接出一根DN200给水主管引入本界区，可满足本项目用水需求。</w:t>
      </w:r>
    </w:p>
    <w:p w14:paraId="549FC4B9">
      <w:pPr>
        <w:spacing w:line="360" w:lineRule="auto"/>
        <w:ind w:firstLine="480" w:firstLineChars="200"/>
        <w:rPr>
          <w:color w:val="auto"/>
          <w:sz w:val="24"/>
          <w:szCs w:val="24"/>
        </w:rPr>
      </w:pPr>
      <w:bookmarkStart w:id="194" w:name="OLE_LINK121"/>
      <w:r>
        <w:rPr>
          <w:rFonts w:hint="eastAsia"/>
          <w:color w:val="auto"/>
          <w:sz w:val="24"/>
          <w:szCs w:val="24"/>
        </w:rPr>
        <w:t>③消防水系统</w:t>
      </w:r>
    </w:p>
    <w:p w14:paraId="104ACCD2">
      <w:pPr>
        <w:spacing w:line="360" w:lineRule="auto"/>
        <w:ind w:firstLine="480" w:firstLineChars="200"/>
        <w:rPr>
          <w:color w:val="auto"/>
          <w:sz w:val="24"/>
          <w:szCs w:val="24"/>
        </w:rPr>
      </w:pPr>
      <w:r>
        <w:rPr>
          <w:rFonts w:hint="eastAsia"/>
          <w:color w:val="auto"/>
          <w:sz w:val="24"/>
          <w:szCs w:val="24"/>
        </w:rPr>
        <w:t>消防给水系统主要是为各工艺生产装置及生产辅助设施、公用工程以及消防车提供所需的消防用水。全厂消防水系统采用稳高压消防给水系统。稳高压消防水系统的补充水由生产水供给，生产消防水池的充满时间不超过48小时。</w:t>
      </w:r>
    </w:p>
    <w:p w14:paraId="20A03F13">
      <w:pPr>
        <w:spacing w:line="360" w:lineRule="auto"/>
        <w:ind w:firstLine="480" w:firstLineChars="200"/>
        <w:rPr>
          <w:color w:val="auto"/>
          <w:sz w:val="24"/>
          <w:szCs w:val="24"/>
        </w:rPr>
      </w:pPr>
      <w:r>
        <w:rPr>
          <w:rFonts w:hint="eastAsia"/>
          <w:color w:val="auto"/>
          <w:sz w:val="24"/>
          <w:szCs w:val="24"/>
        </w:rPr>
        <w:t>根据相关消防规范规定，本项目占地面积不大于100ha，全厂同一时间内火灾起数按1起计算。一次最大消防用水量为一号仓库，室内消防用水量25L/s，室外消防用水量35L/s，火灾延续时间3h；自动喷水灭火系统设计流量25L/s，持续喷水时间1.5h；火灾延续时间内总消防用水量783m³。</w:t>
      </w:r>
    </w:p>
    <w:p w14:paraId="3EA08AE1">
      <w:pPr>
        <w:spacing w:line="360" w:lineRule="auto"/>
        <w:ind w:firstLine="480" w:firstLineChars="200"/>
        <w:rPr>
          <w:color w:val="auto"/>
          <w:sz w:val="24"/>
          <w:szCs w:val="24"/>
        </w:rPr>
      </w:pPr>
      <w:r>
        <w:rPr>
          <w:rFonts w:hint="eastAsia"/>
          <w:color w:val="auto"/>
          <w:sz w:val="24"/>
          <w:szCs w:val="24"/>
        </w:rPr>
        <w:t xml:space="preserve">本工程新建一套稳高压消防给水系统。设置消防泵房一座，在泵房内设消防泵2台，1用1备，备用泵为柴油泵，单泵参数：Q=360m </w:t>
      </w:r>
      <w:r>
        <w:rPr>
          <w:rFonts w:hint="eastAsia"/>
          <w:color w:val="auto"/>
          <w:sz w:val="24"/>
          <w:szCs w:val="24"/>
          <w:vertAlign w:val="superscript"/>
        </w:rPr>
        <w:t>3</w:t>
      </w:r>
      <w:r>
        <w:rPr>
          <w:rFonts w:hint="eastAsia"/>
          <w:color w:val="auto"/>
          <w:sz w:val="24"/>
          <w:szCs w:val="24"/>
        </w:rPr>
        <w:t>/h，H=100m。设稳压泵 2 台，设消防水池2座，单座有效容积800m</w:t>
      </w:r>
      <w:r>
        <w:rPr>
          <w:rFonts w:hint="eastAsia"/>
          <w:color w:val="auto"/>
          <w:sz w:val="24"/>
          <w:szCs w:val="24"/>
          <w:vertAlign w:val="superscript"/>
        </w:rPr>
        <w:t>3</w:t>
      </w:r>
      <w:r>
        <w:rPr>
          <w:rFonts w:hint="eastAsia"/>
          <w:color w:val="auto"/>
          <w:sz w:val="24"/>
          <w:szCs w:val="24"/>
        </w:rPr>
        <w:t>。</w:t>
      </w:r>
    </w:p>
    <w:p w14:paraId="2FFC9E73">
      <w:pPr>
        <w:spacing w:line="360" w:lineRule="auto"/>
        <w:ind w:firstLine="480" w:firstLineChars="200"/>
        <w:rPr>
          <w:color w:val="auto"/>
          <w:sz w:val="24"/>
          <w:szCs w:val="24"/>
        </w:rPr>
      </w:pPr>
      <w:r>
        <w:rPr>
          <w:rFonts w:hint="eastAsia"/>
          <w:color w:val="auto"/>
          <w:sz w:val="24"/>
          <w:szCs w:val="24"/>
        </w:rPr>
        <w:t xml:space="preserve">④循环水系统 </w:t>
      </w:r>
    </w:p>
    <w:p w14:paraId="09576AE9">
      <w:pPr>
        <w:spacing w:line="360" w:lineRule="auto"/>
        <w:ind w:firstLine="480" w:firstLineChars="200"/>
        <w:rPr>
          <w:color w:val="auto"/>
          <w:sz w:val="24"/>
          <w:szCs w:val="24"/>
        </w:rPr>
      </w:pPr>
      <w:r>
        <w:rPr>
          <w:rFonts w:hint="eastAsia"/>
          <w:color w:val="auto"/>
          <w:sz w:val="24"/>
          <w:szCs w:val="24"/>
        </w:rPr>
        <w:t>根据全厂水平衡，全厂循环水总量正常7100m</w:t>
      </w:r>
      <w:r>
        <w:rPr>
          <w:rFonts w:hint="eastAsia"/>
          <w:color w:val="auto"/>
          <w:sz w:val="24"/>
          <w:szCs w:val="24"/>
          <w:vertAlign w:val="superscript"/>
        </w:rPr>
        <w:t>3</w:t>
      </w:r>
      <w:r>
        <w:rPr>
          <w:rFonts w:hint="eastAsia"/>
          <w:color w:val="auto"/>
          <w:sz w:val="24"/>
          <w:szCs w:val="24"/>
        </w:rPr>
        <w:t>/h；</w:t>
      </w:r>
    </w:p>
    <w:p w14:paraId="79AD2AE8">
      <w:pPr>
        <w:spacing w:line="360" w:lineRule="auto"/>
        <w:ind w:firstLine="480" w:firstLineChars="200"/>
        <w:rPr>
          <w:color w:val="auto"/>
          <w:sz w:val="24"/>
          <w:szCs w:val="24"/>
        </w:rPr>
      </w:pPr>
      <w:r>
        <w:rPr>
          <w:rFonts w:hint="eastAsia"/>
          <w:color w:val="auto"/>
          <w:sz w:val="24"/>
          <w:szCs w:val="24"/>
        </w:rPr>
        <w:t>循环给水温度：35℃循环回水温度：45℃ ；</w:t>
      </w:r>
    </w:p>
    <w:p w14:paraId="03540451">
      <w:pPr>
        <w:spacing w:line="360" w:lineRule="auto"/>
        <w:ind w:firstLine="480" w:firstLineChars="200"/>
        <w:rPr>
          <w:color w:val="auto"/>
          <w:sz w:val="24"/>
          <w:szCs w:val="24"/>
        </w:rPr>
      </w:pPr>
      <w:r>
        <w:rPr>
          <w:rFonts w:hint="eastAsia"/>
          <w:color w:val="auto"/>
          <w:sz w:val="24"/>
          <w:szCs w:val="24"/>
        </w:rPr>
        <w:t>循环水给水压力：0.35~0.4MPa 循环水回水压力：0.20~0.25MPa 控制系统浓缩倍数：N=5~6；</w:t>
      </w:r>
    </w:p>
    <w:p w14:paraId="4936389E">
      <w:pPr>
        <w:spacing w:line="360" w:lineRule="auto"/>
        <w:ind w:firstLine="480" w:firstLineChars="200"/>
        <w:rPr>
          <w:color w:val="auto"/>
          <w:sz w:val="24"/>
          <w:szCs w:val="24"/>
        </w:rPr>
      </w:pPr>
      <w:r>
        <w:rPr>
          <w:rFonts w:hint="eastAsia"/>
          <w:color w:val="auto"/>
          <w:sz w:val="24"/>
          <w:szCs w:val="24"/>
        </w:rPr>
        <w:t>本项目循环水站采用闭式冷却塔，该种塔具有初期投资小，建设工期短，布置紧凑，冷却后水温较低，冷却效果稳定等特点。</w:t>
      </w:r>
    </w:p>
    <w:p w14:paraId="4026F126">
      <w:pPr>
        <w:spacing w:line="360" w:lineRule="auto"/>
        <w:ind w:firstLine="480" w:firstLineChars="200"/>
        <w:rPr>
          <w:color w:val="auto"/>
          <w:sz w:val="24"/>
          <w:szCs w:val="24"/>
        </w:rPr>
      </w:pPr>
      <w:r>
        <w:rPr>
          <w:rFonts w:hint="eastAsia"/>
          <w:color w:val="auto"/>
          <w:sz w:val="24"/>
          <w:szCs w:val="24"/>
        </w:rPr>
        <w:t>（3）排水工程</w:t>
      </w:r>
    </w:p>
    <w:bookmarkEnd w:id="194"/>
    <w:p w14:paraId="30FE10ED">
      <w:pPr>
        <w:spacing w:line="360" w:lineRule="auto"/>
        <w:ind w:firstLine="480" w:firstLineChars="200"/>
        <w:rPr>
          <w:color w:val="auto"/>
          <w:sz w:val="24"/>
          <w:szCs w:val="24"/>
        </w:rPr>
      </w:pPr>
      <w:r>
        <w:rPr>
          <w:rFonts w:hint="eastAsia"/>
          <w:color w:val="auto"/>
          <w:sz w:val="24"/>
          <w:szCs w:val="24"/>
        </w:rPr>
        <w:t>①厂区排水系统</w:t>
      </w:r>
    </w:p>
    <w:p w14:paraId="1DDC30F0">
      <w:pPr>
        <w:spacing w:line="360" w:lineRule="auto"/>
        <w:ind w:firstLine="480" w:firstLineChars="200"/>
        <w:rPr>
          <w:color w:val="auto"/>
          <w:sz w:val="24"/>
          <w:szCs w:val="24"/>
        </w:rPr>
      </w:pPr>
      <w:r>
        <w:rPr>
          <w:rFonts w:hint="eastAsia"/>
          <w:color w:val="auto"/>
          <w:sz w:val="24"/>
          <w:szCs w:val="24"/>
        </w:rPr>
        <w:t>全厂排水系统按清污分流原则，划分为生产废水系统、生活污水系统、雨水系统、事故水系统。</w:t>
      </w:r>
    </w:p>
    <w:p w14:paraId="234E1CB0">
      <w:pPr>
        <w:spacing w:line="360" w:lineRule="auto"/>
        <w:ind w:firstLine="480" w:firstLineChars="200"/>
        <w:rPr>
          <w:color w:val="auto"/>
          <w:sz w:val="24"/>
          <w:szCs w:val="24"/>
        </w:rPr>
      </w:pPr>
      <w:r>
        <w:rPr>
          <w:rFonts w:hint="eastAsia"/>
          <w:color w:val="auto"/>
          <w:sz w:val="24"/>
          <w:szCs w:val="24"/>
        </w:rPr>
        <w:t>②生活污水排水系统</w:t>
      </w:r>
    </w:p>
    <w:p w14:paraId="06AF59F1">
      <w:pPr>
        <w:spacing w:line="360" w:lineRule="auto"/>
        <w:ind w:firstLine="480" w:firstLineChars="200"/>
        <w:rPr>
          <w:color w:val="auto"/>
          <w:sz w:val="24"/>
          <w:szCs w:val="24"/>
        </w:rPr>
      </w:pPr>
      <w:r>
        <w:rPr>
          <w:rFonts w:hint="eastAsia"/>
          <w:color w:val="auto"/>
          <w:sz w:val="24"/>
          <w:szCs w:val="24"/>
        </w:rPr>
        <w:t xml:space="preserve">本工程生活污水系统独立设置，厂区生活污水排至园区排水管网送园区污水处理厂处理。 </w:t>
      </w:r>
    </w:p>
    <w:p w14:paraId="101A2967">
      <w:pPr>
        <w:spacing w:line="360" w:lineRule="auto"/>
        <w:ind w:firstLine="480" w:firstLineChars="200"/>
        <w:rPr>
          <w:color w:val="auto"/>
          <w:sz w:val="24"/>
          <w:szCs w:val="24"/>
        </w:rPr>
      </w:pPr>
      <w:r>
        <w:rPr>
          <w:rFonts w:hint="eastAsia"/>
          <w:color w:val="auto"/>
          <w:sz w:val="24"/>
          <w:szCs w:val="24"/>
        </w:rPr>
        <w:t xml:space="preserve">③生产污水排水系统 </w:t>
      </w:r>
    </w:p>
    <w:p w14:paraId="56B30665">
      <w:pPr>
        <w:spacing w:line="360" w:lineRule="auto"/>
        <w:ind w:firstLine="480" w:firstLineChars="200"/>
        <w:rPr>
          <w:color w:val="auto"/>
          <w:sz w:val="24"/>
          <w:szCs w:val="24"/>
        </w:rPr>
      </w:pPr>
      <w:r>
        <w:rPr>
          <w:rFonts w:hint="eastAsia"/>
          <w:color w:val="auto"/>
          <w:sz w:val="24"/>
          <w:szCs w:val="24"/>
        </w:rPr>
        <w:t>本项目工艺冷凝水部分回用，部分</w:t>
      </w:r>
      <w:r>
        <w:rPr>
          <w:color w:val="auto"/>
          <w:sz w:val="24"/>
          <w:szCs w:val="24"/>
        </w:rPr>
        <w:t>送乌鲁木齐众荣电子材料科技有限公司回用</w:t>
      </w:r>
      <w:r>
        <w:rPr>
          <w:rFonts w:hint="eastAsia"/>
          <w:color w:val="auto"/>
          <w:sz w:val="24"/>
          <w:szCs w:val="24"/>
        </w:rPr>
        <w:t>，排水主要为循环冷却水，</w:t>
      </w:r>
      <w:r>
        <w:rPr>
          <w:color w:val="auto"/>
          <w:sz w:val="24"/>
          <w:szCs w:val="24"/>
        </w:rPr>
        <w:t>满足《污水综合排放标准》（GB/8978-1996）中的三级标准后排入园区下水管网最终送甘泉堡南区污水处理厂处理。</w:t>
      </w:r>
    </w:p>
    <w:p w14:paraId="2D093074">
      <w:pPr>
        <w:spacing w:line="360" w:lineRule="auto"/>
        <w:ind w:firstLine="480" w:firstLineChars="200"/>
        <w:rPr>
          <w:color w:val="auto"/>
          <w:sz w:val="24"/>
          <w:szCs w:val="24"/>
        </w:rPr>
      </w:pPr>
      <w:r>
        <w:rPr>
          <w:rFonts w:hint="eastAsia"/>
          <w:color w:val="auto"/>
          <w:sz w:val="24"/>
          <w:szCs w:val="24"/>
        </w:rPr>
        <w:t>⑤事故水系统</w:t>
      </w:r>
    </w:p>
    <w:p w14:paraId="54948ADC">
      <w:pPr>
        <w:spacing w:line="360" w:lineRule="auto"/>
        <w:ind w:firstLine="480" w:firstLineChars="200"/>
        <w:rPr>
          <w:color w:val="auto"/>
          <w:sz w:val="24"/>
          <w:szCs w:val="24"/>
        </w:rPr>
      </w:pPr>
      <w:r>
        <w:rPr>
          <w:rFonts w:hint="eastAsia"/>
          <w:color w:val="auto"/>
          <w:sz w:val="24"/>
          <w:szCs w:val="24"/>
        </w:rPr>
        <w:t>厂区沿道路设置雨水口及雨水管网，初期污染雨水经室外雨水管网（兼做事故水管网）收集后排入新建初雨收集池，后期清净雨水切入雨水管外排。初期污染的雨水量按15mm降水深度乘以污染区面积计算。</w:t>
      </w:r>
    </w:p>
    <w:p w14:paraId="61A00704">
      <w:pPr>
        <w:spacing w:line="360" w:lineRule="auto"/>
        <w:ind w:firstLine="480" w:firstLineChars="200"/>
        <w:rPr>
          <w:color w:val="auto"/>
          <w:sz w:val="24"/>
          <w:szCs w:val="24"/>
        </w:rPr>
      </w:pPr>
      <w:r>
        <w:rPr>
          <w:rFonts w:hint="eastAsia"/>
          <w:color w:val="auto"/>
          <w:sz w:val="24"/>
          <w:szCs w:val="24"/>
        </w:rPr>
        <w:t>消防排水：消防排水系统与雨水排水系统合建，消防事故排水经室外事故雨水管网收集后排入场内新建事故水池。</w:t>
      </w:r>
    </w:p>
    <w:p w14:paraId="533A1046">
      <w:pPr>
        <w:spacing w:line="360" w:lineRule="auto"/>
        <w:ind w:firstLine="480" w:firstLineChars="200"/>
        <w:rPr>
          <w:color w:val="auto"/>
          <w:sz w:val="24"/>
          <w:szCs w:val="24"/>
        </w:rPr>
      </w:pPr>
      <w:r>
        <w:rPr>
          <w:rFonts w:hint="eastAsia"/>
          <w:color w:val="auto"/>
          <w:sz w:val="24"/>
          <w:szCs w:val="24"/>
        </w:rPr>
        <w:t>厂区设置雨水监控池、初雨收集池及事故水池合用水池一座，有效容积700m³，收集厂区的消防事故水和雨水，防止受污染事故水排出厂外。厂区雨水排水管道主管管径DN400，采用无缝钢管，连接方式均采用焊接连接。</w:t>
      </w:r>
    </w:p>
    <w:p w14:paraId="758F35E0">
      <w:pPr>
        <w:pStyle w:val="5"/>
        <w:rPr>
          <w:color w:val="auto"/>
        </w:rPr>
      </w:pPr>
      <w:r>
        <w:rPr>
          <w:rFonts w:hint="eastAsia"/>
          <w:color w:val="auto"/>
        </w:rPr>
        <w:t>供配电</w:t>
      </w:r>
    </w:p>
    <w:p w14:paraId="1212DA86">
      <w:pPr>
        <w:pStyle w:val="132"/>
        <w:rPr>
          <w:color w:val="auto"/>
        </w:rPr>
      </w:pPr>
      <w:r>
        <w:rPr>
          <w:rFonts w:hint="eastAsia"/>
          <w:color w:val="auto"/>
        </w:rPr>
        <w:t>（1）电力供应和资源状况</w:t>
      </w:r>
    </w:p>
    <w:p w14:paraId="7855FBCD">
      <w:pPr>
        <w:spacing w:line="360" w:lineRule="auto"/>
        <w:ind w:left="100" w:leftChars="50" w:firstLine="360" w:firstLineChars="150"/>
        <w:rPr>
          <w:color w:val="auto"/>
          <w:sz w:val="24"/>
          <w:szCs w:val="24"/>
        </w:rPr>
      </w:pPr>
      <w:r>
        <w:rPr>
          <w:rFonts w:hint="eastAsia"/>
          <w:color w:val="auto"/>
          <w:sz w:val="24"/>
          <w:szCs w:val="24"/>
        </w:rPr>
        <w:t>本工程位于乌鲁木齐甘泉堡经济技术开发区内，园区电网可以满足项目供电需要。本项目采用2路10kV供电，10kV电源由园区电网提供，满足本项目用电需求。</w:t>
      </w:r>
    </w:p>
    <w:p w14:paraId="15A9DF5C">
      <w:pPr>
        <w:spacing w:line="360" w:lineRule="auto"/>
        <w:ind w:firstLine="480" w:firstLineChars="200"/>
        <w:rPr>
          <w:color w:val="auto"/>
          <w:sz w:val="24"/>
          <w:szCs w:val="24"/>
        </w:rPr>
      </w:pPr>
      <w:r>
        <w:rPr>
          <w:rFonts w:hint="eastAsia"/>
          <w:color w:val="auto"/>
          <w:sz w:val="24"/>
          <w:szCs w:val="24"/>
        </w:rPr>
        <w:t>（2）负荷等级及用电负荷</w:t>
      </w:r>
    </w:p>
    <w:p w14:paraId="30EA97E0">
      <w:pPr>
        <w:spacing w:line="360" w:lineRule="auto"/>
        <w:ind w:firstLine="480" w:firstLineChars="200"/>
        <w:rPr>
          <w:color w:val="auto"/>
          <w:sz w:val="24"/>
          <w:szCs w:val="24"/>
        </w:rPr>
      </w:pPr>
      <w:r>
        <w:rPr>
          <w:rFonts w:hint="eastAsia"/>
          <w:color w:val="auto"/>
          <w:sz w:val="24"/>
          <w:szCs w:val="24"/>
        </w:rPr>
        <w:t>①负荷等级</w:t>
      </w:r>
    </w:p>
    <w:p w14:paraId="32D142D8">
      <w:pPr>
        <w:spacing w:line="360" w:lineRule="auto"/>
        <w:ind w:firstLine="480" w:firstLineChars="200"/>
        <w:rPr>
          <w:color w:val="auto"/>
          <w:sz w:val="24"/>
          <w:szCs w:val="24"/>
        </w:rPr>
      </w:pPr>
      <w:r>
        <w:rPr>
          <w:rFonts w:hint="eastAsia"/>
          <w:color w:val="auto"/>
          <w:sz w:val="24"/>
          <w:szCs w:val="24"/>
        </w:rPr>
        <w:t xml:space="preserve">本项目对供电的可靠性要求较高，主要为三级负荷，少量为一级和二级负荷。 </w:t>
      </w:r>
    </w:p>
    <w:p w14:paraId="20FE2379">
      <w:pPr>
        <w:spacing w:line="360" w:lineRule="auto"/>
        <w:ind w:firstLine="480" w:firstLineChars="200"/>
        <w:rPr>
          <w:color w:val="auto"/>
          <w:sz w:val="24"/>
          <w:szCs w:val="24"/>
        </w:rPr>
      </w:pPr>
      <w:r>
        <w:rPr>
          <w:rFonts w:hint="eastAsia"/>
          <w:color w:val="auto"/>
          <w:sz w:val="24"/>
          <w:szCs w:val="24"/>
        </w:rPr>
        <w:t xml:space="preserve">本项目所有用电负荷电压等级为10kV、0.4kV。本项目消防泵等消防负荷按照一级负荷供电；DCS控制系统、火灾自动报警系统、工业电视监控系统按照一级负荷中特别重要的负荷供电。其余生产与辅助用电负荷均为三级负荷。 </w:t>
      </w:r>
    </w:p>
    <w:p w14:paraId="50A3ABFA">
      <w:pPr>
        <w:spacing w:line="360" w:lineRule="auto"/>
        <w:ind w:firstLine="480" w:firstLineChars="200"/>
        <w:rPr>
          <w:color w:val="auto"/>
          <w:sz w:val="24"/>
          <w:szCs w:val="24"/>
        </w:rPr>
      </w:pPr>
      <w:r>
        <w:rPr>
          <w:rFonts w:hint="eastAsia"/>
          <w:color w:val="auto"/>
          <w:sz w:val="24"/>
          <w:szCs w:val="24"/>
        </w:rPr>
        <w:t>②用电负荷</w:t>
      </w:r>
    </w:p>
    <w:p w14:paraId="3209798D">
      <w:pPr>
        <w:spacing w:line="360" w:lineRule="auto"/>
        <w:ind w:left="100" w:leftChars="50" w:firstLine="360" w:firstLineChars="150"/>
        <w:rPr>
          <w:color w:val="auto"/>
          <w:sz w:val="24"/>
          <w:szCs w:val="24"/>
        </w:rPr>
      </w:pPr>
      <w:r>
        <w:rPr>
          <w:rFonts w:hint="eastAsia"/>
          <w:color w:val="auto"/>
          <w:sz w:val="24"/>
          <w:szCs w:val="24"/>
        </w:rPr>
        <w:t>本项目10kV设备装机功率约5890kW，使用功率约3630kW；0.4kV设备装机功率约12378.2kW，使用功率约9801.2kW；总的计算功率约为10744.96kW。</w:t>
      </w:r>
    </w:p>
    <w:p w14:paraId="3088E6FF">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13</w:t>
      </w:r>
      <w:r>
        <w:rPr>
          <w:color w:val="auto"/>
        </w:rPr>
        <w:fldChar w:fldCharType="end"/>
      </w:r>
      <w:r>
        <w:rPr>
          <w:color w:val="auto"/>
        </w:rPr>
        <w:t xml:space="preserve"> </w:t>
      </w:r>
      <w:r>
        <w:rPr>
          <w:rFonts w:hint="eastAsia"/>
          <w:color w:val="auto"/>
        </w:rPr>
        <w:t xml:space="preserve">   项目用电负荷表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643"/>
        <w:gridCol w:w="2639"/>
        <w:gridCol w:w="1179"/>
        <w:gridCol w:w="1211"/>
        <w:gridCol w:w="1211"/>
        <w:gridCol w:w="1903"/>
      </w:tblGrid>
      <w:tr w14:paraId="5EF8542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0" w:hRule="atLeast"/>
        </w:trPr>
        <w:tc>
          <w:tcPr>
            <w:tcW w:w="366" w:type="pct"/>
            <w:vMerge w:val="restart"/>
            <w:vAlign w:val="center"/>
          </w:tcPr>
          <w:p w14:paraId="0F129723">
            <w:pPr>
              <w:pStyle w:val="129"/>
              <w:widowControl w:val="0"/>
              <w:rPr>
                <w:color w:val="auto"/>
              </w:rPr>
            </w:pPr>
            <w:r>
              <w:rPr>
                <w:color w:val="auto"/>
              </w:rPr>
              <w:t>序号</w:t>
            </w:r>
          </w:p>
        </w:tc>
        <w:tc>
          <w:tcPr>
            <w:tcW w:w="1502" w:type="pct"/>
            <w:vMerge w:val="restart"/>
            <w:vAlign w:val="center"/>
          </w:tcPr>
          <w:p w14:paraId="573CCCAA">
            <w:pPr>
              <w:pStyle w:val="129"/>
              <w:widowControl w:val="0"/>
              <w:rPr>
                <w:color w:val="auto"/>
              </w:rPr>
            </w:pPr>
            <w:r>
              <w:rPr>
                <w:color w:val="auto"/>
              </w:rPr>
              <w:t>用电名称</w:t>
            </w:r>
          </w:p>
        </w:tc>
        <w:tc>
          <w:tcPr>
            <w:tcW w:w="1360" w:type="pct"/>
            <w:gridSpan w:val="2"/>
            <w:vAlign w:val="center"/>
          </w:tcPr>
          <w:p w14:paraId="52848361">
            <w:pPr>
              <w:pStyle w:val="129"/>
              <w:widowControl w:val="0"/>
              <w:rPr>
                <w:color w:val="auto"/>
              </w:rPr>
            </w:pPr>
            <w:r>
              <w:rPr>
                <w:color w:val="auto"/>
              </w:rPr>
              <w:t>用电负荷常用</w:t>
            </w:r>
          </w:p>
        </w:tc>
        <w:tc>
          <w:tcPr>
            <w:tcW w:w="1773" w:type="pct"/>
            <w:gridSpan w:val="2"/>
            <w:vAlign w:val="center"/>
          </w:tcPr>
          <w:p w14:paraId="40B0F01D">
            <w:pPr>
              <w:pStyle w:val="129"/>
              <w:widowControl w:val="0"/>
              <w:rPr>
                <w:color w:val="auto"/>
              </w:rPr>
            </w:pPr>
            <w:r>
              <w:rPr>
                <w:color w:val="auto"/>
              </w:rPr>
              <w:t>计算负荷</w:t>
            </w:r>
          </w:p>
        </w:tc>
      </w:tr>
      <w:tr w14:paraId="2BAA5F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0" w:hRule="atLeast"/>
        </w:trPr>
        <w:tc>
          <w:tcPr>
            <w:tcW w:w="366" w:type="pct"/>
            <w:vMerge w:val="continue"/>
            <w:vAlign w:val="center"/>
          </w:tcPr>
          <w:p w14:paraId="77C0A71E">
            <w:pPr>
              <w:pStyle w:val="129"/>
              <w:widowControl w:val="0"/>
              <w:rPr>
                <w:color w:val="auto"/>
              </w:rPr>
            </w:pPr>
          </w:p>
        </w:tc>
        <w:tc>
          <w:tcPr>
            <w:tcW w:w="1502" w:type="pct"/>
            <w:vMerge w:val="continue"/>
            <w:vAlign w:val="center"/>
          </w:tcPr>
          <w:p w14:paraId="34D81306">
            <w:pPr>
              <w:pStyle w:val="129"/>
              <w:widowControl w:val="0"/>
              <w:rPr>
                <w:color w:val="auto"/>
              </w:rPr>
            </w:pPr>
          </w:p>
        </w:tc>
        <w:tc>
          <w:tcPr>
            <w:tcW w:w="671" w:type="pct"/>
            <w:vAlign w:val="center"/>
          </w:tcPr>
          <w:p w14:paraId="605EA106">
            <w:pPr>
              <w:pStyle w:val="129"/>
              <w:widowControl w:val="0"/>
              <w:rPr>
                <w:color w:val="auto"/>
              </w:rPr>
            </w:pPr>
            <w:r>
              <w:rPr>
                <w:color w:val="auto"/>
              </w:rPr>
              <w:t>10KV</w:t>
            </w:r>
            <w:r>
              <w:rPr>
                <w:rFonts w:hint="eastAsia"/>
                <w:color w:val="auto"/>
              </w:rPr>
              <w:t>(</w:t>
            </w:r>
            <w:r>
              <w:rPr>
                <w:color w:val="auto"/>
              </w:rPr>
              <w:t>kW</w:t>
            </w:r>
            <w:r>
              <w:rPr>
                <w:rFonts w:hint="eastAsia"/>
                <w:color w:val="auto"/>
              </w:rPr>
              <w:t>)</w:t>
            </w:r>
          </w:p>
        </w:tc>
        <w:tc>
          <w:tcPr>
            <w:tcW w:w="689" w:type="pct"/>
            <w:vAlign w:val="center"/>
          </w:tcPr>
          <w:p w14:paraId="295446D6">
            <w:pPr>
              <w:pStyle w:val="129"/>
              <w:widowControl w:val="0"/>
              <w:rPr>
                <w:color w:val="auto"/>
              </w:rPr>
            </w:pPr>
            <w:r>
              <w:rPr>
                <w:color w:val="auto"/>
              </w:rPr>
              <w:t>380V</w:t>
            </w:r>
            <w:r>
              <w:rPr>
                <w:rFonts w:hint="eastAsia"/>
                <w:color w:val="auto"/>
              </w:rPr>
              <w:t>(</w:t>
            </w:r>
            <w:r>
              <w:rPr>
                <w:color w:val="auto"/>
              </w:rPr>
              <w:t>kW</w:t>
            </w:r>
            <w:r>
              <w:rPr>
                <w:rFonts w:hint="eastAsia"/>
                <w:color w:val="auto"/>
              </w:rPr>
              <w:t>)</w:t>
            </w:r>
          </w:p>
        </w:tc>
        <w:tc>
          <w:tcPr>
            <w:tcW w:w="689" w:type="pct"/>
            <w:vAlign w:val="center"/>
          </w:tcPr>
          <w:p w14:paraId="212E498C">
            <w:pPr>
              <w:pStyle w:val="129"/>
              <w:widowControl w:val="0"/>
              <w:rPr>
                <w:color w:val="auto"/>
              </w:rPr>
            </w:pPr>
            <w:r>
              <w:rPr>
                <w:color w:val="auto"/>
              </w:rPr>
              <w:t>有功（kW）</w:t>
            </w:r>
          </w:p>
        </w:tc>
        <w:tc>
          <w:tcPr>
            <w:tcW w:w="1084" w:type="pct"/>
            <w:vAlign w:val="center"/>
          </w:tcPr>
          <w:p w14:paraId="07C8567B">
            <w:pPr>
              <w:pStyle w:val="129"/>
              <w:widowControl w:val="0"/>
              <w:rPr>
                <w:color w:val="auto"/>
              </w:rPr>
            </w:pPr>
            <w:r>
              <w:rPr>
                <w:color w:val="auto"/>
              </w:rPr>
              <w:t>无功（kVar）</w:t>
            </w:r>
          </w:p>
        </w:tc>
      </w:tr>
      <w:tr w14:paraId="23605C6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5" w:hRule="atLeast"/>
        </w:trPr>
        <w:tc>
          <w:tcPr>
            <w:tcW w:w="366" w:type="pct"/>
            <w:vAlign w:val="center"/>
          </w:tcPr>
          <w:p w14:paraId="4215581E">
            <w:pPr>
              <w:pStyle w:val="129"/>
              <w:widowControl w:val="0"/>
              <w:rPr>
                <w:color w:val="auto"/>
              </w:rPr>
            </w:pPr>
            <w:r>
              <w:rPr>
                <w:color w:val="auto"/>
              </w:rPr>
              <w:t>1</w:t>
            </w:r>
          </w:p>
        </w:tc>
        <w:tc>
          <w:tcPr>
            <w:tcW w:w="1502" w:type="pct"/>
            <w:vAlign w:val="center"/>
          </w:tcPr>
          <w:p w14:paraId="47E25B61">
            <w:pPr>
              <w:pStyle w:val="129"/>
              <w:widowControl w:val="0"/>
              <w:rPr>
                <w:color w:val="auto"/>
              </w:rPr>
            </w:pPr>
            <w:r>
              <w:rPr>
                <w:rFonts w:hint="eastAsia"/>
                <w:color w:val="auto"/>
              </w:rPr>
              <w:t>硝酸铝处理工序</w:t>
            </w:r>
          </w:p>
        </w:tc>
        <w:tc>
          <w:tcPr>
            <w:tcW w:w="671" w:type="pct"/>
            <w:vAlign w:val="center"/>
          </w:tcPr>
          <w:p w14:paraId="51D861F8">
            <w:pPr>
              <w:pStyle w:val="129"/>
              <w:widowControl w:val="0"/>
              <w:rPr>
                <w:color w:val="auto"/>
              </w:rPr>
            </w:pPr>
          </w:p>
        </w:tc>
        <w:tc>
          <w:tcPr>
            <w:tcW w:w="689" w:type="pct"/>
            <w:vAlign w:val="center"/>
          </w:tcPr>
          <w:p w14:paraId="753336BD">
            <w:pPr>
              <w:pStyle w:val="129"/>
              <w:widowControl w:val="0"/>
              <w:rPr>
                <w:color w:val="auto"/>
              </w:rPr>
            </w:pPr>
            <w:r>
              <w:rPr>
                <w:rFonts w:hint="eastAsia"/>
                <w:color w:val="auto"/>
              </w:rPr>
              <w:t xml:space="preserve">1585.0 </w:t>
            </w:r>
          </w:p>
        </w:tc>
        <w:tc>
          <w:tcPr>
            <w:tcW w:w="689" w:type="pct"/>
            <w:vAlign w:val="center"/>
          </w:tcPr>
          <w:p w14:paraId="48C7F416">
            <w:pPr>
              <w:pStyle w:val="129"/>
              <w:widowControl w:val="0"/>
              <w:rPr>
                <w:color w:val="auto"/>
              </w:rPr>
            </w:pPr>
            <w:r>
              <w:rPr>
                <w:rFonts w:hint="eastAsia"/>
                <w:color w:val="auto"/>
              </w:rPr>
              <w:t xml:space="preserve">1268.00 </w:t>
            </w:r>
          </w:p>
        </w:tc>
        <w:tc>
          <w:tcPr>
            <w:tcW w:w="1084" w:type="pct"/>
            <w:vAlign w:val="center"/>
          </w:tcPr>
          <w:p w14:paraId="39EBBA8C">
            <w:pPr>
              <w:pStyle w:val="129"/>
              <w:widowControl w:val="0"/>
              <w:rPr>
                <w:color w:val="auto"/>
              </w:rPr>
            </w:pPr>
            <w:r>
              <w:rPr>
                <w:rFonts w:hint="eastAsia"/>
                <w:color w:val="auto"/>
              </w:rPr>
              <w:t xml:space="preserve">785.84 </w:t>
            </w:r>
          </w:p>
        </w:tc>
      </w:tr>
      <w:tr w14:paraId="59A64C9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5" w:hRule="atLeast"/>
        </w:trPr>
        <w:tc>
          <w:tcPr>
            <w:tcW w:w="366" w:type="pct"/>
            <w:vAlign w:val="center"/>
          </w:tcPr>
          <w:p w14:paraId="42C6E46B">
            <w:pPr>
              <w:pStyle w:val="129"/>
              <w:widowControl w:val="0"/>
              <w:rPr>
                <w:color w:val="auto"/>
              </w:rPr>
            </w:pPr>
            <w:r>
              <w:rPr>
                <w:color w:val="auto"/>
              </w:rPr>
              <w:t>2</w:t>
            </w:r>
          </w:p>
        </w:tc>
        <w:tc>
          <w:tcPr>
            <w:tcW w:w="1502" w:type="pct"/>
            <w:vAlign w:val="center"/>
          </w:tcPr>
          <w:p w14:paraId="6335AB65">
            <w:pPr>
              <w:pStyle w:val="129"/>
              <w:widowControl w:val="0"/>
              <w:rPr>
                <w:color w:val="auto"/>
              </w:rPr>
            </w:pPr>
            <w:r>
              <w:rPr>
                <w:rFonts w:hint="eastAsia"/>
                <w:color w:val="auto"/>
              </w:rPr>
              <w:t>磷酸二氢铝处理工序</w:t>
            </w:r>
          </w:p>
        </w:tc>
        <w:tc>
          <w:tcPr>
            <w:tcW w:w="671" w:type="pct"/>
            <w:vAlign w:val="center"/>
          </w:tcPr>
          <w:p w14:paraId="1CFD2952">
            <w:pPr>
              <w:pStyle w:val="129"/>
              <w:widowControl w:val="0"/>
              <w:rPr>
                <w:color w:val="auto"/>
              </w:rPr>
            </w:pPr>
          </w:p>
        </w:tc>
        <w:tc>
          <w:tcPr>
            <w:tcW w:w="689" w:type="pct"/>
            <w:vAlign w:val="center"/>
          </w:tcPr>
          <w:p w14:paraId="3726EA48">
            <w:pPr>
              <w:pStyle w:val="129"/>
              <w:widowControl w:val="0"/>
              <w:rPr>
                <w:color w:val="auto"/>
              </w:rPr>
            </w:pPr>
            <w:r>
              <w:rPr>
                <w:rFonts w:hint="eastAsia"/>
                <w:color w:val="auto"/>
              </w:rPr>
              <w:t xml:space="preserve">2.2 </w:t>
            </w:r>
          </w:p>
        </w:tc>
        <w:tc>
          <w:tcPr>
            <w:tcW w:w="689" w:type="pct"/>
            <w:vAlign w:val="center"/>
          </w:tcPr>
          <w:p w14:paraId="6AF6AE89">
            <w:pPr>
              <w:pStyle w:val="129"/>
              <w:widowControl w:val="0"/>
              <w:rPr>
                <w:color w:val="auto"/>
              </w:rPr>
            </w:pPr>
            <w:r>
              <w:rPr>
                <w:rFonts w:hint="eastAsia"/>
                <w:color w:val="auto"/>
              </w:rPr>
              <w:t xml:space="preserve">1.76 </w:t>
            </w:r>
          </w:p>
        </w:tc>
        <w:tc>
          <w:tcPr>
            <w:tcW w:w="1084" w:type="pct"/>
            <w:vAlign w:val="center"/>
          </w:tcPr>
          <w:p w14:paraId="1492AA92">
            <w:pPr>
              <w:pStyle w:val="129"/>
              <w:widowControl w:val="0"/>
              <w:rPr>
                <w:color w:val="auto"/>
              </w:rPr>
            </w:pPr>
            <w:r>
              <w:rPr>
                <w:rFonts w:hint="eastAsia"/>
                <w:color w:val="auto"/>
              </w:rPr>
              <w:t xml:space="preserve">1.09 </w:t>
            </w:r>
          </w:p>
        </w:tc>
      </w:tr>
      <w:tr w14:paraId="3B32D8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5" w:hRule="atLeast"/>
        </w:trPr>
        <w:tc>
          <w:tcPr>
            <w:tcW w:w="366" w:type="pct"/>
            <w:vAlign w:val="center"/>
          </w:tcPr>
          <w:p w14:paraId="5BD668B2">
            <w:pPr>
              <w:pStyle w:val="129"/>
              <w:widowControl w:val="0"/>
              <w:rPr>
                <w:color w:val="auto"/>
              </w:rPr>
            </w:pPr>
            <w:r>
              <w:rPr>
                <w:color w:val="auto"/>
              </w:rPr>
              <w:t>3</w:t>
            </w:r>
          </w:p>
        </w:tc>
        <w:tc>
          <w:tcPr>
            <w:tcW w:w="1502" w:type="pct"/>
            <w:vAlign w:val="center"/>
          </w:tcPr>
          <w:p w14:paraId="4B7B54F2">
            <w:pPr>
              <w:pStyle w:val="129"/>
              <w:widowControl w:val="0"/>
              <w:rPr>
                <w:color w:val="auto"/>
              </w:rPr>
            </w:pPr>
            <w:r>
              <w:rPr>
                <w:rFonts w:hint="eastAsia"/>
                <w:color w:val="auto"/>
              </w:rPr>
              <w:t>催化剂生产</w:t>
            </w:r>
          </w:p>
        </w:tc>
        <w:tc>
          <w:tcPr>
            <w:tcW w:w="671" w:type="pct"/>
            <w:vAlign w:val="center"/>
          </w:tcPr>
          <w:p w14:paraId="5576B16A">
            <w:pPr>
              <w:pStyle w:val="129"/>
              <w:widowControl w:val="0"/>
              <w:rPr>
                <w:color w:val="auto"/>
              </w:rPr>
            </w:pPr>
          </w:p>
        </w:tc>
        <w:tc>
          <w:tcPr>
            <w:tcW w:w="689" w:type="pct"/>
            <w:vAlign w:val="center"/>
          </w:tcPr>
          <w:p w14:paraId="4580FFC2">
            <w:pPr>
              <w:pStyle w:val="129"/>
              <w:widowControl w:val="0"/>
              <w:rPr>
                <w:color w:val="auto"/>
              </w:rPr>
            </w:pPr>
            <w:r>
              <w:rPr>
                <w:rFonts w:hint="eastAsia"/>
                <w:color w:val="auto"/>
              </w:rPr>
              <w:t xml:space="preserve">905.0 </w:t>
            </w:r>
          </w:p>
        </w:tc>
        <w:tc>
          <w:tcPr>
            <w:tcW w:w="689" w:type="pct"/>
            <w:vAlign w:val="center"/>
          </w:tcPr>
          <w:p w14:paraId="00E07D90">
            <w:pPr>
              <w:pStyle w:val="129"/>
              <w:widowControl w:val="0"/>
              <w:rPr>
                <w:color w:val="auto"/>
              </w:rPr>
            </w:pPr>
            <w:r>
              <w:rPr>
                <w:rFonts w:hint="eastAsia"/>
                <w:color w:val="auto"/>
              </w:rPr>
              <w:t xml:space="preserve">724.00 </w:t>
            </w:r>
          </w:p>
        </w:tc>
        <w:tc>
          <w:tcPr>
            <w:tcW w:w="1084" w:type="pct"/>
            <w:vAlign w:val="center"/>
          </w:tcPr>
          <w:p w14:paraId="3F3DA6C0">
            <w:pPr>
              <w:pStyle w:val="129"/>
              <w:widowControl w:val="0"/>
              <w:rPr>
                <w:color w:val="auto"/>
              </w:rPr>
            </w:pPr>
            <w:r>
              <w:rPr>
                <w:rFonts w:hint="eastAsia"/>
                <w:color w:val="auto"/>
              </w:rPr>
              <w:t xml:space="preserve">448.69 </w:t>
            </w:r>
          </w:p>
        </w:tc>
      </w:tr>
      <w:tr w14:paraId="6A485C1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5" w:hRule="atLeast"/>
        </w:trPr>
        <w:tc>
          <w:tcPr>
            <w:tcW w:w="366" w:type="pct"/>
            <w:vAlign w:val="center"/>
          </w:tcPr>
          <w:p w14:paraId="28A41B98">
            <w:pPr>
              <w:pStyle w:val="129"/>
              <w:widowControl w:val="0"/>
              <w:rPr>
                <w:color w:val="auto"/>
              </w:rPr>
            </w:pPr>
            <w:r>
              <w:rPr>
                <w:color w:val="auto"/>
              </w:rPr>
              <w:t>4</w:t>
            </w:r>
          </w:p>
        </w:tc>
        <w:tc>
          <w:tcPr>
            <w:tcW w:w="1502" w:type="pct"/>
            <w:vAlign w:val="center"/>
          </w:tcPr>
          <w:p w14:paraId="3AC35097">
            <w:pPr>
              <w:pStyle w:val="129"/>
              <w:widowControl w:val="0"/>
              <w:rPr>
                <w:color w:val="auto"/>
              </w:rPr>
            </w:pPr>
            <w:r>
              <w:rPr>
                <w:rFonts w:hint="eastAsia"/>
                <w:color w:val="auto"/>
              </w:rPr>
              <w:t>硫酸铝和氯化铝处理工序</w:t>
            </w:r>
          </w:p>
        </w:tc>
        <w:tc>
          <w:tcPr>
            <w:tcW w:w="671" w:type="pct"/>
            <w:vAlign w:val="center"/>
          </w:tcPr>
          <w:p w14:paraId="71F7776F">
            <w:pPr>
              <w:pStyle w:val="129"/>
              <w:widowControl w:val="0"/>
              <w:rPr>
                <w:color w:val="auto"/>
              </w:rPr>
            </w:pPr>
          </w:p>
        </w:tc>
        <w:tc>
          <w:tcPr>
            <w:tcW w:w="689" w:type="pct"/>
            <w:vAlign w:val="center"/>
          </w:tcPr>
          <w:p w14:paraId="3DADE193">
            <w:pPr>
              <w:pStyle w:val="129"/>
              <w:widowControl w:val="0"/>
              <w:rPr>
                <w:color w:val="auto"/>
              </w:rPr>
            </w:pPr>
            <w:r>
              <w:rPr>
                <w:rFonts w:hint="eastAsia"/>
                <w:color w:val="auto"/>
              </w:rPr>
              <w:t xml:space="preserve">3529.4 </w:t>
            </w:r>
          </w:p>
        </w:tc>
        <w:tc>
          <w:tcPr>
            <w:tcW w:w="689" w:type="pct"/>
            <w:vAlign w:val="center"/>
          </w:tcPr>
          <w:p w14:paraId="52B38ECE">
            <w:pPr>
              <w:pStyle w:val="129"/>
              <w:widowControl w:val="0"/>
              <w:rPr>
                <w:color w:val="auto"/>
              </w:rPr>
            </w:pPr>
            <w:r>
              <w:rPr>
                <w:rFonts w:hint="eastAsia"/>
                <w:color w:val="auto"/>
              </w:rPr>
              <w:t xml:space="preserve">2823.48 </w:t>
            </w:r>
          </w:p>
        </w:tc>
        <w:tc>
          <w:tcPr>
            <w:tcW w:w="1084" w:type="pct"/>
            <w:vAlign w:val="center"/>
          </w:tcPr>
          <w:p w14:paraId="4D7A5CD6">
            <w:pPr>
              <w:pStyle w:val="129"/>
              <w:widowControl w:val="0"/>
              <w:rPr>
                <w:color w:val="auto"/>
              </w:rPr>
            </w:pPr>
            <w:r>
              <w:rPr>
                <w:rFonts w:hint="eastAsia"/>
                <w:color w:val="auto"/>
              </w:rPr>
              <w:t xml:space="preserve">1749.84 </w:t>
            </w:r>
          </w:p>
        </w:tc>
      </w:tr>
      <w:tr w14:paraId="2AB3B6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5" w:hRule="atLeast"/>
        </w:trPr>
        <w:tc>
          <w:tcPr>
            <w:tcW w:w="366" w:type="pct"/>
            <w:vAlign w:val="center"/>
          </w:tcPr>
          <w:p w14:paraId="7501390A">
            <w:pPr>
              <w:pStyle w:val="129"/>
              <w:widowControl w:val="0"/>
              <w:rPr>
                <w:color w:val="auto"/>
              </w:rPr>
            </w:pPr>
            <w:r>
              <w:rPr>
                <w:color w:val="auto"/>
              </w:rPr>
              <w:t>5</w:t>
            </w:r>
          </w:p>
        </w:tc>
        <w:tc>
          <w:tcPr>
            <w:tcW w:w="1502" w:type="pct"/>
            <w:vAlign w:val="center"/>
          </w:tcPr>
          <w:p w14:paraId="4AF6234D">
            <w:pPr>
              <w:pStyle w:val="129"/>
              <w:widowControl w:val="0"/>
              <w:rPr>
                <w:color w:val="auto"/>
              </w:rPr>
            </w:pPr>
            <w:r>
              <w:rPr>
                <w:rFonts w:hint="eastAsia"/>
                <w:color w:val="auto"/>
              </w:rPr>
              <w:t>偏铝酸钠和碳酸钠处理工序</w:t>
            </w:r>
          </w:p>
        </w:tc>
        <w:tc>
          <w:tcPr>
            <w:tcW w:w="671" w:type="pct"/>
            <w:vAlign w:val="center"/>
          </w:tcPr>
          <w:p w14:paraId="5FB525C0">
            <w:pPr>
              <w:pStyle w:val="129"/>
              <w:widowControl w:val="0"/>
              <w:rPr>
                <w:color w:val="auto"/>
              </w:rPr>
            </w:pPr>
          </w:p>
        </w:tc>
        <w:tc>
          <w:tcPr>
            <w:tcW w:w="689" w:type="pct"/>
            <w:vAlign w:val="center"/>
          </w:tcPr>
          <w:p w14:paraId="43761C5A">
            <w:pPr>
              <w:pStyle w:val="129"/>
              <w:widowControl w:val="0"/>
              <w:rPr>
                <w:color w:val="auto"/>
              </w:rPr>
            </w:pPr>
            <w:r>
              <w:rPr>
                <w:rFonts w:hint="eastAsia"/>
                <w:color w:val="auto"/>
              </w:rPr>
              <w:t xml:space="preserve">1160.0 </w:t>
            </w:r>
          </w:p>
        </w:tc>
        <w:tc>
          <w:tcPr>
            <w:tcW w:w="689" w:type="pct"/>
            <w:vAlign w:val="center"/>
          </w:tcPr>
          <w:p w14:paraId="252A8E3A">
            <w:pPr>
              <w:pStyle w:val="129"/>
              <w:widowControl w:val="0"/>
              <w:rPr>
                <w:color w:val="auto"/>
              </w:rPr>
            </w:pPr>
            <w:r>
              <w:rPr>
                <w:rFonts w:hint="eastAsia"/>
                <w:color w:val="auto"/>
              </w:rPr>
              <w:t xml:space="preserve">927.96 </w:t>
            </w:r>
          </w:p>
        </w:tc>
        <w:tc>
          <w:tcPr>
            <w:tcW w:w="1084" w:type="pct"/>
            <w:vAlign w:val="center"/>
          </w:tcPr>
          <w:p w14:paraId="6C9EFF44">
            <w:pPr>
              <w:pStyle w:val="129"/>
              <w:widowControl w:val="0"/>
              <w:rPr>
                <w:color w:val="auto"/>
              </w:rPr>
            </w:pPr>
            <w:r>
              <w:rPr>
                <w:rFonts w:hint="eastAsia"/>
                <w:color w:val="auto"/>
              </w:rPr>
              <w:t xml:space="preserve">575.10 </w:t>
            </w:r>
          </w:p>
        </w:tc>
      </w:tr>
      <w:tr w14:paraId="6A09C3E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5" w:hRule="atLeast"/>
        </w:trPr>
        <w:tc>
          <w:tcPr>
            <w:tcW w:w="366" w:type="pct"/>
            <w:vAlign w:val="center"/>
          </w:tcPr>
          <w:p w14:paraId="4B68AFFB">
            <w:pPr>
              <w:pStyle w:val="129"/>
              <w:widowControl w:val="0"/>
              <w:rPr>
                <w:color w:val="auto"/>
              </w:rPr>
            </w:pPr>
            <w:r>
              <w:rPr>
                <w:color w:val="auto"/>
              </w:rPr>
              <w:t>6</w:t>
            </w:r>
          </w:p>
        </w:tc>
        <w:tc>
          <w:tcPr>
            <w:tcW w:w="1502" w:type="pct"/>
            <w:vAlign w:val="center"/>
          </w:tcPr>
          <w:p w14:paraId="0A341CFC">
            <w:pPr>
              <w:pStyle w:val="129"/>
              <w:widowControl w:val="0"/>
              <w:rPr>
                <w:color w:val="auto"/>
              </w:rPr>
            </w:pPr>
            <w:r>
              <w:rPr>
                <w:rFonts w:hint="eastAsia"/>
                <w:color w:val="auto"/>
              </w:rPr>
              <w:t>氢氧化铝处理工艺</w:t>
            </w:r>
          </w:p>
        </w:tc>
        <w:tc>
          <w:tcPr>
            <w:tcW w:w="671" w:type="pct"/>
            <w:vAlign w:val="center"/>
          </w:tcPr>
          <w:p w14:paraId="0C489923">
            <w:pPr>
              <w:pStyle w:val="129"/>
              <w:widowControl w:val="0"/>
              <w:rPr>
                <w:color w:val="auto"/>
              </w:rPr>
            </w:pPr>
            <w:r>
              <w:rPr>
                <w:rFonts w:hint="eastAsia"/>
                <w:color w:val="auto"/>
              </w:rPr>
              <w:t xml:space="preserve">3630.0 </w:t>
            </w:r>
          </w:p>
        </w:tc>
        <w:tc>
          <w:tcPr>
            <w:tcW w:w="689" w:type="pct"/>
            <w:vAlign w:val="center"/>
          </w:tcPr>
          <w:p w14:paraId="58277FEC">
            <w:pPr>
              <w:pStyle w:val="129"/>
              <w:widowControl w:val="0"/>
              <w:rPr>
                <w:color w:val="auto"/>
              </w:rPr>
            </w:pPr>
            <w:r>
              <w:rPr>
                <w:rFonts w:hint="eastAsia"/>
                <w:color w:val="auto"/>
              </w:rPr>
              <w:t xml:space="preserve">1619.7 </w:t>
            </w:r>
          </w:p>
        </w:tc>
        <w:tc>
          <w:tcPr>
            <w:tcW w:w="689" w:type="pct"/>
            <w:vAlign w:val="center"/>
          </w:tcPr>
          <w:p w14:paraId="7E636104">
            <w:pPr>
              <w:pStyle w:val="129"/>
              <w:widowControl w:val="0"/>
              <w:rPr>
                <w:color w:val="auto"/>
              </w:rPr>
            </w:pPr>
            <w:r>
              <w:rPr>
                <w:rFonts w:hint="eastAsia"/>
                <w:color w:val="auto"/>
              </w:rPr>
              <w:t xml:space="preserve">4199.76 </w:t>
            </w:r>
          </w:p>
        </w:tc>
        <w:tc>
          <w:tcPr>
            <w:tcW w:w="1084" w:type="pct"/>
            <w:vAlign w:val="center"/>
          </w:tcPr>
          <w:p w14:paraId="458DBFF4">
            <w:pPr>
              <w:pStyle w:val="129"/>
              <w:widowControl w:val="0"/>
              <w:rPr>
                <w:color w:val="auto"/>
              </w:rPr>
            </w:pPr>
            <w:r>
              <w:rPr>
                <w:rFonts w:hint="eastAsia"/>
                <w:color w:val="auto"/>
              </w:rPr>
              <w:t xml:space="preserve">2602.78 </w:t>
            </w:r>
          </w:p>
        </w:tc>
      </w:tr>
      <w:tr w14:paraId="7BD0876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5" w:hRule="atLeast"/>
        </w:trPr>
        <w:tc>
          <w:tcPr>
            <w:tcW w:w="366" w:type="pct"/>
            <w:vAlign w:val="center"/>
          </w:tcPr>
          <w:p w14:paraId="13ACC9EA">
            <w:pPr>
              <w:pStyle w:val="129"/>
              <w:widowControl w:val="0"/>
              <w:rPr>
                <w:color w:val="auto"/>
              </w:rPr>
            </w:pPr>
            <w:r>
              <w:rPr>
                <w:rFonts w:hint="eastAsia"/>
                <w:color w:val="auto"/>
              </w:rPr>
              <w:t>7</w:t>
            </w:r>
          </w:p>
        </w:tc>
        <w:tc>
          <w:tcPr>
            <w:tcW w:w="1502" w:type="pct"/>
            <w:vAlign w:val="center"/>
          </w:tcPr>
          <w:p w14:paraId="66CABF71">
            <w:pPr>
              <w:pStyle w:val="129"/>
              <w:widowControl w:val="0"/>
              <w:rPr>
                <w:color w:val="auto"/>
              </w:rPr>
            </w:pPr>
            <w:r>
              <w:rPr>
                <w:rFonts w:hint="eastAsia"/>
                <w:color w:val="auto"/>
              </w:rPr>
              <w:t>照明用电</w:t>
            </w:r>
          </w:p>
        </w:tc>
        <w:tc>
          <w:tcPr>
            <w:tcW w:w="671" w:type="pct"/>
            <w:vAlign w:val="center"/>
          </w:tcPr>
          <w:p w14:paraId="0B1F3D0D">
            <w:pPr>
              <w:pStyle w:val="129"/>
              <w:widowControl w:val="0"/>
              <w:rPr>
                <w:color w:val="auto"/>
              </w:rPr>
            </w:pPr>
          </w:p>
        </w:tc>
        <w:tc>
          <w:tcPr>
            <w:tcW w:w="689" w:type="pct"/>
            <w:vAlign w:val="center"/>
          </w:tcPr>
          <w:p w14:paraId="4875DDE2">
            <w:pPr>
              <w:pStyle w:val="129"/>
              <w:widowControl w:val="0"/>
              <w:rPr>
                <w:color w:val="auto"/>
              </w:rPr>
            </w:pPr>
            <w:r>
              <w:rPr>
                <w:rFonts w:hint="eastAsia"/>
                <w:color w:val="auto"/>
              </w:rPr>
              <w:t xml:space="preserve">500.0 </w:t>
            </w:r>
          </w:p>
        </w:tc>
        <w:tc>
          <w:tcPr>
            <w:tcW w:w="689" w:type="pct"/>
            <w:vAlign w:val="center"/>
          </w:tcPr>
          <w:p w14:paraId="6CCE0FD9">
            <w:pPr>
              <w:pStyle w:val="129"/>
              <w:widowControl w:val="0"/>
              <w:rPr>
                <w:color w:val="auto"/>
              </w:rPr>
            </w:pPr>
            <w:r>
              <w:rPr>
                <w:rFonts w:hint="eastAsia"/>
                <w:color w:val="auto"/>
              </w:rPr>
              <w:t xml:space="preserve">400.00 </w:t>
            </w:r>
          </w:p>
        </w:tc>
        <w:tc>
          <w:tcPr>
            <w:tcW w:w="1084" w:type="pct"/>
            <w:vAlign w:val="center"/>
          </w:tcPr>
          <w:p w14:paraId="3842F57D">
            <w:pPr>
              <w:pStyle w:val="129"/>
              <w:widowControl w:val="0"/>
              <w:rPr>
                <w:color w:val="auto"/>
              </w:rPr>
            </w:pPr>
            <w:r>
              <w:rPr>
                <w:rFonts w:hint="eastAsia"/>
                <w:color w:val="auto"/>
              </w:rPr>
              <w:t xml:space="preserve">247.90 </w:t>
            </w:r>
          </w:p>
        </w:tc>
      </w:tr>
      <w:tr w14:paraId="3472690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15" w:hRule="atLeast"/>
        </w:trPr>
        <w:tc>
          <w:tcPr>
            <w:tcW w:w="366" w:type="pct"/>
            <w:vAlign w:val="center"/>
          </w:tcPr>
          <w:p w14:paraId="09E7C088">
            <w:pPr>
              <w:pStyle w:val="129"/>
              <w:widowControl w:val="0"/>
              <w:rPr>
                <w:color w:val="auto"/>
              </w:rPr>
            </w:pPr>
            <w:r>
              <w:rPr>
                <w:rFonts w:hint="eastAsia"/>
                <w:color w:val="auto"/>
              </w:rPr>
              <w:t>8</w:t>
            </w:r>
          </w:p>
        </w:tc>
        <w:tc>
          <w:tcPr>
            <w:tcW w:w="1502" w:type="pct"/>
            <w:vAlign w:val="center"/>
          </w:tcPr>
          <w:p w14:paraId="1AD1DEC6">
            <w:pPr>
              <w:pStyle w:val="129"/>
              <w:widowControl w:val="0"/>
              <w:rPr>
                <w:color w:val="auto"/>
              </w:rPr>
            </w:pPr>
            <w:r>
              <w:rPr>
                <w:rFonts w:hint="eastAsia"/>
                <w:color w:val="auto"/>
              </w:rPr>
              <w:t>其他</w:t>
            </w:r>
          </w:p>
        </w:tc>
        <w:tc>
          <w:tcPr>
            <w:tcW w:w="671" w:type="pct"/>
            <w:vAlign w:val="center"/>
          </w:tcPr>
          <w:p w14:paraId="005C22B5">
            <w:pPr>
              <w:pStyle w:val="129"/>
              <w:widowControl w:val="0"/>
              <w:rPr>
                <w:color w:val="auto"/>
              </w:rPr>
            </w:pPr>
          </w:p>
        </w:tc>
        <w:tc>
          <w:tcPr>
            <w:tcW w:w="689" w:type="pct"/>
            <w:vAlign w:val="center"/>
          </w:tcPr>
          <w:p w14:paraId="69AC25E2">
            <w:pPr>
              <w:pStyle w:val="129"/>
              <w:widowControl w:val="0"/>
              <w:rPr>
                <w:color w:val="auto"/>
              </w:rPr>
            </w:pPr>
            <w:r>
              <w:rPr>
                <w:rFonts w:hint="eastAsia"/>
                <w:color w:val="auto"/>
              </w:rPr>
              <w:t xml:space="preserve">500.0 </w:t>
            </w:r>
          </w:p>
        </w:tc>
        <w:tc>
          <w:tcPr>
            <w:tcW w:w="689" w:type="pct"/>
            <w:vAlign w:val="center"/>
          </w:tcPr>
          <w:p w14:paraId="0C364EC9">
            <w:pPr>
              <w:pStyle w:val="129"/>
              <w:widowControl w:val="0"/>
              <w:rPr>
                <w:color w:val="auto"/>
              </w:rPr>
            </w:pPr>
            <w:r>
              <w:rPr>
                <w:rFonts w:hint="eastAsia"/>
                <w:color w:val="auto"/>
              </w:rPr>
              <w:t xml:space="preserve">400.00 </w:t>
            </w:r>
          </w:p>
        </w:tc>
        <w:tc>
          <w:tcPr>
            <w:tcW w:w="1084" w:type="pct"/>
            <w:vAlign w:val="center"/>
          </w:tcPr>
          <w:p w14:paraId="1A79244D">
            <w:pPr>
              <w:pStyle w:val="129"/>
              <w:widowControl w:val="0"/>
              <w:rPr>
                <w:color w:val="auto"/>
              </w:rPr>
            </w:pPr>
            <w:r>
              <w:rPr>
                <w:rFonts w:hint="eastAsia"/>
                <w:color w:val="auto"/>
              </w:rPr>
              <w:t xml:space="preserve">247.90 </w:t>
            </w:r>
          </w:p>
        </w:tc>
      </w:tr>
    </w:tbl>
    <w:p w14:paraId="2434F1B7">
      <w:pPr>
        <w:pStyle w:val="1304"/>
        <w:rPr>
          <w:color w:val="auto"/>
        </w:rPr>
      </w:pPr>
    </w:p>
    <w:p w14:paraId="1E29B2BA">
      <w:pPr>
        <w:spacing w:line="360" w:lineRule="auto"/>
        <w:ind w:firstLine="480" w:firstLineChars="200"/>
        <w:rPr>
          <w:color w:val="auto"/>
          <w:sz w:val="24"/>
          <w:szCs w:val="24"/>
        </w:rPr>
      </w:pPr>
      <w:r>
        <w:rPr>
          <w:rFonts w:hint="eastAsia"/>
          <w:color w:val="auto"/>
          <w:sz w:val="24"/>
          <w:szCs w:val="24"/>
        </w:rPr>
        <w:t>（3）供配电方案</w:t>
      </w:r>
    </w:p>
    <w:p w14:paraId="40BA5AB8">
      <w:pPr>
        <w:spacing w:line="360" w:lineRule="auto"/>
        <w:ind w:firstLine="480" w:firstLineChars="200"/>
        <w:rPr>
          <w:color w:val="auto"/>
          <w:sz w:val="24"/>
          <w:szCs w:val="24"/>
        </w:rPr>
      </w:pPr>
      <w:r>
        <w:rPr>
          <w:rFonts w:hint="eastAsia"/>
          <w:color w:val="auto"/>
          <w:sz w:val="24"/>
          <w:szCs w:val="24"/>
        </w:rPr>
        <w:t>①供电系统</w:t>
      </w:r>
    </w:p>
    <w:p w14:paraId="483713D1">
      <w:pPr>
        <w:spacing w:line="360" w:lineRule="auto"/>
        <w:ind w:firstLine="480" w:firstLineChars="200"/>
        <w:rPr>
          <w:color w:val="auto"/>
          <w:sz w:val="24"/>
          <w:szCs w:val="24"/>
        </w:rPr>
      </w:pPr>
      <w:r>
        <w:rPr>
          <w:rFonts w:hint="eastAsia"/>
          <w:color w:val="auto"/>
          <w:sz w:val="24"/>
          <w:szCs w:val="24"/>
        </w:rPr>
        <w:t>本项目设10kV配电室，采用2路10kV电源进线，内设10kV配电装置、2台10kV/0.4kV  800kVA干式变压器，0.4kV开关柜、直流电源、综合自动化系统等配电及控制设备，负责向附近高、低压用电设备及照明供电。</w:t>
      </w:r>
    </w:p>
    <w:p w14:paraId="04002401">
      <w:pPr>
        <w:spacing w:line="360" w:lineRule="auto"/>
        <w:ind w:firstLine="480" w:firstLineChars="200"/>
        <w:rPr>
          <w:color w:val="auto"/>
          <w:sz w:val="24"/>
          <w:szCs w:val="24"/>
        </w:rPr>
      </w:pPr>
      <w:r>
        <w:rPr>
          <w:rFonts w:hint="eastAsia"/>
          <w:color w:val="auto"/>
          <w:sz w:val="24"/>
          <w:szCs w:val="24"/>
        </w:rPr>
        <w:t>在生产车间设置4台10kV/0.4kV，2500kVA干式变压器及0.4kV开关柜，负责向生产车间内及周边低压用电设备及照明供电。</w:t>
      </w:r>
    </w:p>
    <w:p w14:paraId="1471DD22">
      <w:pPr>
        <w:spacing w:line="360" w:lineRule="auto"/>
        <w:ind w:firstLine="480" w:firstLineChars="200"/>
        <w:rPr>
          <w:color w:val="auto"/>
          <w:sz w:val="24"/>
          <w:szCs w:val="24"/>
        </w:rPr>
      </w:pPr>
      <w:r>
        <w:rPr>
          <w:rFonts w:hint="eastAsia"/>
          <w:color w:val="auto"/>
          <w:sz w:val="24"/>
          <w:szCs w:val="24"/>
        </w:rPr>
        <w:t xml:space="preserve">本项目10kV配电系统采用单母线分段接线方式，0.4kV配电系统采用单母线分段接线方式。 </w:t>
      </w:r>
    </w:p>
    <w:p w14:paraId="6F3D1F9D">
      <w:pPr>
        <w:spacing w:line="360" w:lineRule="auto"/>
        <w:ind w:firstLine="480" w:firstLineChars="200"/>
        <w:rPr>
          <w:color w:val="auto"/>
          <w:sz w:val="24"/>
          <w:szCs w:val="24"/>
        </w:rPr>
      </w:pPr>
      <w:r>
        <w:rPr>
          <w:rFonts w:hint="eastAsia"/>
          <w:color w:val="auto"/>
          <w:sz w:val="24"/>
          <w:szCs w:val="24"/>
        </w:rPr>
        <w:t xml:space="preserve">②配电系统 </w:t>
      </w:r>
    </w:p>
    <w:p w14:paraId="16F2C811">
      <w:pPr>
        <w:spacing w:line="360" w:lineRule="auto"/>
        <w:ind w:firstLine="480" w:firstLineChars="200"/>
        <w:rPr>
          <w:color w:val="auto"/>
          <w:sz w:val="24"/>
          <w:szCs w:val="24"/>
        </w:rPr>
      </w:pPr>
      <w:r>
        <w:rPr>
          <w:rFonts w:hint="eastAsia"/>
          <w:color w:val="auto"/>
          <w:sz w:val="24"/>
          <w:szCs w:val="24"/>
        </w:rPr>
        <w:t>由10kV及0.4kV配电系统向各用电设备放射式供电，设置电气火灾监控系统，消防电源监控系统。</w:t>
      </w:r>
    </w:p>
    <w:p w14:paraId="7AF1FBBB">
      <w:pPr>
        <w:pStyle w:val="1304"/>
        <w:rPr>
          <w:color w:val="auto"/>
          <w:lang w:val="en-US"/>
        </w:rPr>
      </w:pPr>
    </w:p>
    <w:p w14:paraId="305320AF">
      <w:pPr>
        <w:pStyle w:val="5"/>
        <w:rPr>
          <w:color w:val="auto"/>
        </w:rPr>
      </w:pPr>
      <w:r>
        <w:rPr>
          <w:color w:val="auto"/>
        </w:rPr>
        <w:t>采暖、通风</w:t>
      </w:r>
    </w:p>
    <w:p w14:paraId="001994D9">
      <w:pPr>
        <w:pStyle w:val="132"/>
        <w:rPr>
          <w:color w:val="auto"/>
        </w:rPr>
      </w:pPr>
      <w:r>
        <w:rPr>
          <w:rFonts w:hint="eastAsia"/>
          <w:color w:val="auto"/>
        </w:rPr>
        <w:t>本项目采用兖矿新疆煤化工有限公司提供的蒸汽进行采暖和生活用热，</w:t>
      </w:r>
      <w:r>
        <w:rPr>
          <w:color w:val="auto"/>
        </w:rPr>
        <w:t>各建筑物设置值班室、操作室等有人长期停留的区域和有温度要求的房间设置供暖系统。热媒拟采用采暖水，供回水温度为95/70℃。在库房、设备用房、生产车间等场所设置通风系统。通风系统采用自然通风、局部排风系统与全面通风相结合的方法</w:t>
      </w:r>
      <w:r>
        <w:rPr>
          <w:rFonts w:hint="eastAsia"/>
          <w:color w:val="auto"/>
        </w:rPr>
        <w:t>。</w:t>
      </w:r>
    </w:p>
    <w:p w14:paraId="706FEFF1">
      <w:pPr>
        <w:pStyle w:val="4"/>
        <w:rPr>
          <w:color w:val="auto"/>
        </w:rPr>
      </w:pPr>
      <w:r>
        <w:rPr>
          <w:rFonts w:hint="eastAsia"/>
          <w:color w:val="auto"/>
        </w:rPr>
        <w:t>产品方案和规格</w:t>
      </w:r>
    </w:p>
    <w:p w14:paraId="1154E9B7">
      <w:pPr>
        <w:pStyle w:val="5"/>
        <w:rPr>
          <w:color w:val="auto"/>
        </w:rPr>
      </w:pPr>
      <w:bookmarkStart w:id="195" w:name="_Toc81245419"/>
      <w:r>
        <w:rPr>
          <w:color w:val="auto"/>
        </w:rPr>
        <w:t>产品方案</w:t>
      </w:r>
      <w:bookmarkEnd w:id="195"/>
    </w:p>
    <w:p w14:paraId="0196C7A8">
      <w:pPr>
        <w:pStyle w:val="132"/>
        <w:rPr>
          <w:color w:val="auto"/>
        </w:rPr>
      </w:pPr>
      <w:r>
        <w:rPr>
          <w:rFonts w:hint="eastAsia"/>
          <w:color w:val="auto"/>
        </w:rPr>
        <w:t>本项目为危险废物处置及资源化利用，利用铝电极箔厂和化成箔厂产生废酸、废碱生产拟薄水铝石产品，采用拟薄水铝石作为工业催化剂载体原料，进一步生产工业催化剂，处理危险废物过程中可副产磷酸锆、磷酸二氢钾、硫酸铵、氯化铵、拟薄水铝石、碳酸钠等。产品方案情况见表3.1-15</w:t>
      </w:r>
      <w:r>
        <w:rPr>
          <w:color w:val="auto"/>
        </w:rPr>
        <w:t>。</w:t>
      </w:r>
    </w:p>
    <w:p w14:paraId="10763806">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14</w:t>
      </w:r>
      <w:r>
        <w:rPr>
          <w:color w:val="auto"/>
        </w:rPr>
        <w:fldChar w:fldCharType="end"/>
      </w:r>
      <w:r>
        <w:rPr>
          <w:color w:val="auto"/>
        </w:rPr>
        <w:t xml:space="preserve"> </w:t>
      </w:r>
      <w:r>
        <w:rPr>
          <w:rFonts w:hint="eastAsia"/>
          <w:color w:val="auto"/>
        </w:rPr>
        <w:t xml:space="preserve">   本项目产品</w:t>
      </w:r>
      <w:r>
        <w:rPr>
          <w:color w:val="auto"/>
        </w:rPr>
        <w:t>方案</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642"/>
        <w:gridCol w:w="2638"/>
        <w:gridCol w:w="2288"/>
        <w:gridCol w:w="2218"/>
      </w:tblGrid>
      <w:tr w14:paraId="6FB41EC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3" w:hRule="atLeast"/>
        </w:trPr>
        <w:tc>
          <w:tcPr>
            <w:tcW w:w="2436" w:type="pct"/>
            <w:gridSpan w:val="2"/>
            <w:vAlign w:val="center"/>
          </w:tcPr>
          <w:p w14:paraId="224FF64E">
            <w:pPr>
              <w:pStyle w:val="129"/>
              <w:widowControl w:val="0"/>
              <w:rPr>
                <w:color w:val="auto"/>
              </w:rPr>
            </w:pPr>
            <w:r>
              <w:rPr>
                <w:color w:val="auto"/>
              </w:rPr>
              <w:t>产品</w:t>
            </w:r>
          </w:p>
        </w:tc>
        <w:tc>
          <w:tcPr>
            <w:tcW w:w="1302" w:type="pct"/>
            <w:vAlign w:val="center"/>
          </w:tcPr>
          <w:p w14:paraId="70A8CF2F">
            <w:pPr>
              <w:pStyle w:val="129"/>
              <w:widowControl w:val="0"/>
              <w:rPr>
                <w:color w:val="auto"/>
              </w:rPr>
            </w:pPr>
            <w:r>
              <w:rPr>
                <w:color w:val="auto"/>
              </w:rPr>
              <w:t>数量</w:t>
            </w:r>
            <w:r>
              <w:rPr>
                <w:rFonts w:hint="eastAsia"/>
                <w:color w:val="auto"/>
              </w:rPr>
              <w:t>（</w:t>
            </w:r>
            <w:r>
              <w:rPr>
                <w:color w:val="auto"/>
              </w:rPr>
              <w:t>t/a</w:t>
            </w:r>
            <w:r>
              <w:rPr>
                <w:rFonts w:hint="eastAsia"/>
                <w:color w:val="auto"/>
              </w:rPr>
              <w:t>）</w:t>
            </w:r>
          </w:p>
        </w:tc>
        <w:tc>
          <w:tcPr>
            <w:tcW w:w="1262" w:type="pct"/>
            <w:vAlign w:val="center"/>
          </w:tcPr>
          <w:p w14:paraId="17213327">
            <w:pPr>
              <w:pStyle w:val="129"/>
              <w:widowControl w:val="0"/>
              <w:rPr>
                <w:color w:val="auto"/>
              </w:rPr>
            </w:pPr>
            <w:r>
              <w:rPr>
                <w:rFonts w:hint="eastAsia"/>
                <w:color w:val="auto"/>
              </w:rPr>
              <w:t>备注</w:t>
            </w:r>
          </w:p>
        </w:tc>
      </w:tr>
      <w:tr w14:paraId="16C314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3" w:hRule="atLeast"/>
        </w:trPr>
        <w:tc>
          <w:tcPr>
            <w:tcW w:w="2436" w:type="pct"/>
            <w:gridSpan w:val="2"/>
            <w:vMerge w:val="restart"/>
            <w:vAlign w:val="center"/>
          </w:tcPr>
          <w:p w14:paraId="6C0DC0A9">
            <w:pPr>
              <w:pStyle w:val="129"/>
              <w:widowControl w:val="0"/>
              <w:rPr>
                <w:color w:val="auto"/>
              </w:rPr>
            </w:pPr>
            <w:r>
              <w:rPr>
                <w:rFonts w:hint="eastAsia"/>
                <w:color w:val="auto"/>
              </w:rPr>
              <w:t>拟薄水铝石</w:t>
            </w:r>
          </w:p>
        </w:tc>
        <w:tc>
          <w:tcPr>
            <w:tcW w:w="1302" w:type="pct"/>
            <w:vAlign w:val="center"/>
          </w:tcPr>
          <w:p w14:paraId="66A503B6">
            <w:pPr>
              <w:pStyle w:val="129"/>
              <w:widowControl w:val="0"/>
              <w:rPr>
                <w:color w:val="auto"/>
              </w:rPr>
            </w:pPr>
            <w:r>
              <w:rPr>
                <w:rFonts w:hint="eastAsia"/>
                <w:color w:val="auto"/>
              </w:rPr>
              <w:t>23849.5（外售）</w:t>
            </w:r>
          </w:p>
        </w:tc>
        <w:tc>
          <w:tcPr>
            <w:tcW w:w="1262" w:type="pct"/>
            <w:vMerge w:val="restart"/>
            <w:vAlign w:val="center"/>
          </w:tcPr>
          <w:p w14:paraId="638C41BE">
            <w:pPr>
              <w:pStyle w:val="129"/>
              <w:widowControl w:val="0"/>
              <w:rPr>
                <w:color w:val="auto"/>
              </w:rPr>
            </w:pPr>
            <w:r>
              <w:rPr>
                <w:rFonts w:hint="eastAsia"/>
                <w:color w:val="auto"/>
              </w:rPr>
              <w:t>主产品</w:t>
            </w:r>
          </w:p>
        </w:tc>
      </w:tr>
      <w:tr w14:paraId="4792646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3" w:hRule="atLeast"/>
        </w:trPr>
        <w:tc>
          <w:tcPr>
            <w:tcW w:w="2436" w:type="pct"/>
            <w:gridSpan w:val="2"/>
            <w:vMerge w:val="continue"/>
            <w:vAlign w:val="center"/>
          </w:tcPr>
          <w:p w14:paraId="54E5247E">
            <w:pPr>
              <w:pStyle w:val="129"/>
              <w:widowControl w:val="0"/>
              <w:rPr>
                <w:color w:val="auto"/>
              </w:rPr>
            </w:pPr>
          </w:p>
        </w:tc>
        <w:tc>
          <w:tcPr>
            <w:tcW w:w="1302" w:type="pct"/>
            <w:vAlign w:val="center"/>
          </w:tcPr>
          <w:p w14:paraId="75B5D395">
            <w:pPr>
              <w:pStyle w:val="129"/>
              <w:widowControl w:val="0"/>
              <w:rPr>
                <w:color w:val="auto"/>
              </w:rPr>
            </w:pPr>
            <w:r>
              <w:rPr>
                <w:rFonts w:hint="eastAsia"/>
                <w:color w:val="auto"/>
              </w:rPr>
              <w:t>4371（自用）</w:t>
            </w:r>
          </w:p>
        </w:tc>
        <w:tc>
          <w:tcPr>
            <w:tcW w:w="1262" w:type="pct"/>
            <w:vMerge w:val="continue"/>
            <w:vAlign w:val="center"/>
          </w:tcPr>
          <w:p w14:paraId="5B82E4DA">
            <w:pPr>
              <w:pStyle w:val="129"/>
              <w:widowControl w:val="0"/>
              <w:rPr>
                <w:color w:val="auto"/>
              </w:rPr>
            </w:pPr>
          </w:p>
        </w:tc>
      </w:tr>
      <w:tr w14:paraId="6310B81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3" w:hRule="atLeast"/>
        </w:trPr>
        <w:tc>
          <w:tcPr>
            <w:tcW w:w="935" w:type="pct"/>
            <w:vMerge w:val="restart"/>
            <w:vAlign w:val="center"/>
          </w:tcPr>
          <w:p w14:paraId="56236C48">
            <w:pPr>
              <w:pStyle w:val="129"/>
              <w:widowControl w:val="0"/>
              <w:rPr>
                <w:color w:val="auto"/>
              </w:rPr>
            </w:pPr>
            <w:r>
              <w:rPr>
                <w:rFonts w:hint="eastAsia"/>
                <w:color w:val="auto"/>
              </w:rPr>
              <w:t>工业催化剂</w:t>
            </w:r>
          </w:p>
        </w:tc>
        <w:tc>
          <w:tcPr>
            <w:tcW w:w="1501" w:type="pct"/>
            <w:vAlign w:val="center"/>
          </w:tcPr>
          <w:p w14:paraId="27FDF953">
            <w:pPr>
              <w:pStyle w:val="129"/>
              <w:widowControl w:val="0"/>
              <w:rPr>
                <w:color w:val="auto"/>
              </w:rPr>
            </w:pPr>
            <w:r>
              <w:rPr>
                <w:rFonts w:hint="eastAsia"/>
                <w:color w:val="auto"/>
              </w:rPr>
              <w:t>加氢催化剂</w:t>
            </w:r>
          </w:p>
        </w:tc>
        <w:tc>
          <w:tcPr>
            <w:tcW w:w="1302" w:type="pct"/>
            <w:vAlign w:val="center"/>
          </w:tcPr>
          <w:p w14:paraId="55529F98">
            <w:pPr>
              <w:pStyle w:val="129"/>
              <w:widowControl w:val="0"/>
              <w:rPr>
                <w:color w:val="auto"/>
              </w:rPr>
            </w:pPr>
            <w:r>
              <w:rPr>
                <w:rFonts w:hint="eastAsia"/>
                <w:color w:val="auto"/>
              </w:rPr>
              <w:t>1500</w:t>
            </w:r>
          </w:p>
        </w:tc>
        <w:tc>
          <w:tcPr>
            <w:tcW w:w="1262" w:type="pct"/>
            <w:vAlign w:val="center"/>
          </w:tcPr>
          <w:p w14:paraId="5DC17E22">
            <w:pPr>
              <w:pStyle w:val="129"/>
              <w:widowControl w:val="0"/>
              <w:rPr>
                <w:color w:val="auto"/>
              </w:rPr>
            </w:pPr>
            <w:r>
              <w:rPr>
                <w:rFonts w:hint="eastAsia"/>
                <w:color w:val="auto"/>
              </w:rPr>
              <w:t>主产品</w:t>
            </w:r>
          </w:p>
        </w:tc>
      </w:tr>
      <w:tr w14:paraId="350233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3" w:hRule="atLeast"/>
        </w:trPr>
        <w:tc>
          <w:tcPr>
            <w:tcW w:w="935" w:type="pct"/>
            <w:vMerge w:val="continue"/>
            <w:vAlign w:val="center"/>
          </w:tcPr>
          <w:p w14:paraId="1374219B">
            <w:pPr>
              <w:pStyle w:val="129"/>
              <w:widowControl w:val="0"/>
              <w:rPr>
                <w:color w:val="auto"/>
              </w:rPr>
            </w:pPr>
          </w:p>
        </w:tc>
        <w:tc>
          <w:tcPr>
            <w:tcW w:w="1501" w:type="pct"/>
            <w:vAlign w:val="center"/>
          </w:tcPr>
          <w:p w14:paraId="6939EE74">
            <w:pPr>
              <w:pStyle w:val="129"/>
              <w:widowControl w:val="0"/>
              <w:rPr>
                <w:color w:val="auto"/>
              </w:rPr>
            </w:pPr>
            <w:r>
              <w:rPr>
                <w:rFonts w:hint="eastAsia"/>
                <w:color w:val="auto"/>
              </w:rPr>
              <w:t>脱硝催化剂</w:t>
            </w:r>
          </w:p>
        </w:tc>
        <w:tc>
          <w:tcPr>
            <w:tcW w:w="1302" w:type="pct"/>
            <w:vAlign w:val="center"/>
          </w:tcPr>
          <w:p w14:paraId="6E7DCC5A">
            <w:pPr>
              <w:pStyle w:val="129"/>
              <w:widowControl w:val="0"/>
              <w:rPr>
                <w:color w:val="auto"/>
              </w:rPr>
            </w:pPr>
            <w:r>
              <w:rPr>
                <w:rFonts w:hint="eastAsia"/>
                <w:color w:val="auto"/>
              </w:rPr>
              <w:t>900</w:t>
            </w:r>
          </w:p>
        </w:tc>
        <w:tc>
          <w:tcPr>
            <w:tcW w:w="1262" w:type="pct"/>
            <w:vAlign w:val="center"/>
          </w:tcPr>
          <w:p w14:paraId="6B158E55">
            <w:pPr>
              <w:pStyle w:val="129"/>
              <w:widowControl w:val="0"/>
              <w:rPr>
                <w:color w:val="auto"/>
              </w:rPr>
            </w:pPr>
            <w:r>
              <w:rPr>
                <w:rFonts w:hint="eastAsia"/>
                <w:color w:val="auto"/>
              </w:rPr>
              <w:t>主产品</w:t>
            </w:r>
          </w:p>
        </w:tc>
      </w:tr>
      <w:tr w14:paraId="31A75E1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73" w:hRule="atLeast"/>
        </w:trPr>
        <w:tc>
          <w:tcPr>
            <w:tcW w:w="935" w:type="pct"/>
            <w:vMerge w:val="continue"/>
            <w:vAlign w:val="center"/>
          </w:tcPr>
          <w:p w14:paraId="3082D4B2">
            <w:pPr>
              <w:pStyle w:val="129"/>
              <w:widowControl w:val="0"/>
              <w:rPr>
                <w:color w:val="auto"/>
              </w:rPr>
            </w:pPr>
          </w:p>
        </w:tc>
        <w:tc>
          <w:tcPr>
            <w:tcW w:w="1501" w:type="pct"/>
            <w:vAlign w:val="center"/>
          </w:tcPr>
          <w:p w14:paraId="26266F28">
            <w:pPr>
              <w:pStyle w:val="129"/>
              <w:widowControl w:val="0"/>
              <w:rPr>
                <w:color w:val="auto"/>
              </w:rPr>
            </w:pPr>
            <w:r>
              <w:rPr>
                <w:rFonts w:hint="eastAsia"/>
                <w:color w:val="auto"/>
              </w:rPr>
              <w:t>一氧化碳转换催化剂</w:t>
            </w:r>
          </w:p>
        </w:tc>
        <w:tc>
          <w:tcPr>
            <w:tcW w:w="1302" w:type="pct"/>
            <w:vAlign w:val="center"/>
          </w:tcPr>
          <w:p w14:paraId="2B8317BE">
            <w:pPr>
              <w:pStyle w:val="129"/>
              <w:widowControl w:val="0"/>
              <w:rPr>
                <w:color w:val="auto"/>
              </w:rPr>
            </w:pPr>
            <w:r>
              <w:rPr>
                <w:rFonts w:hint="eastAsia"/>
                <w:color w:val="auto"/>
              </w:rPr>
              <w:t>600</w:t>
            </w:r>
          </w:p>
        </w:tc>
        <w:tc>
          <w:tcPr>
            <w:tcW w:w="1262" w:type="pct"/>
            <w:vAlign w:val="center"/>
          </w:tcPr>
          <w:p w14:paraId="5F328F11">
            <w:pPr>
              <w:pStyle w:val="129"/>
              <w:widowControl w:val="0"/>
              <w:rPr>
                <w:color w:val="auto"/>
              </w:rPr>
            </w:pPr>
            <w:r>
              <w:rPr>
                <w:rFonts w:hint="eastAsia"/>
                <w:color w:val="auto"/>
              </w:rPr>
              <w:t>主产品</w:t>
            </w:r>
          </w:p>
        </w:tc>
      </w:tr>
      <w:tr w14:paraId="4400ABE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436" w:type="pct"/>
            <w:gridSpan w:val="2"/>
            <w:vAlign w:val="center"/>
          </w:tcPr>
          <w:p w14:paraId="7CD23754">
            <w:pPr>
              <w:pStyle w:val="129"/>
              <w:widowControl w:val="0"/>
              <w:rPr>
                <w:color w:val="auto"/>
              </w:rPr>
            </w:pPr>
            <w:r>
              <w:rPr>
                <w:rFonts w:hint="eastAsia"/>
                <w:color w:val="auto"/>
              </w:rPr>
              <w:t>水溶肥料1（液体氮肥）</w:t>
            </w:r>
          </w:p>
        </w:tc>
        <w:tc>
          <w:tcPr>
            <w:tcW w:w="1302" w:type="pct"/>
            <w:vAlign w:val="center"/>
          </w:tcPr>
          <w:p w14:paraId="27A18595">
            <w:pPr>
              <w:pStyle w:val="129"/>
              <w:widowControl w:val="0"/>
              <w:rPr>
                <w:color w:val="auto"/>
              </w:rPr>
            </w:pPr>
            <w:r>
              <w:rPr>
                <w:color w:val="auto"/>
              </w:rPr>
              <w:t>80014</w:t>
            </w:r>
          </w:p>
        </w:tc>
        <w:tc>
          <w:tcPr>
            <w:tcW w:w="1262" w:type="pct"/>
            <w:vAlign w:val="center"/>
          </w:tcPr>
          <w:p w14:paraId="7A8E668A">
            <w:pPr>
              <w:pStyle w:val="129"/>
              <w:widowControl w:val="0"/>
              <w:rPr>
                <w:color w:val="auto"/>
              </w:rPr>
            </w:pPr>
            <w:r>
              <w:rPr>
                <w:rFonts w:hint="eastAsia"/>
                <w:color w:val="auto"/>
              </w:rPr>
              <w:t>副产品</w:t>
            </w:r>
          </w:p>
        </w:tc>
      </w:tr>
      <w:tr w14:paraId="0ADC6D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436" w:type="pct"/>
            <w:gridSpan w:val="2"/>
            <w:vAlign w:val="center"/>
          </w:tcPr>
          <w:p w14:paraId="68D07D3C">
            <w:pPr>
              <w:pStyle w:val="129"/>
              <w:widowControl w:val="0"/>
              <w:rPr>
                <w:color w:val="auto"/>
              </w:rPr>
            </w:pPr>
            <w:r>
              <w:rPr>
                <w:rFonts w:hint="eastAsia"/>
                <w:color w:val="auto"/>
              </w:rPr>
              <w:t>水溶肥料2（大量元素液体肥）</w:t>
            </w:r>
          </w:p>
        </w:tc>
        <w:tc>
          <w:tcPr>
            <w:tcW w:w="1302" w:type="pct"/>
            <w:vAlign w:val="center"/>
          </w:tcPr>
          <w:p w14:paraId="21615458">
            <w:pPr>
              <w:pStyle w:val="129"/>
              <w:widowControl w:val="0"/>
              <w:rPr>
                <w:color w:val="auto"/>
              </w:rPr>
            </w:pPr>
            <w:r>
              <w:rPr>
                <w:color w:val="auto"/>
              </w:rPr>
              <w:t>174185</w:t>
            </w:r>
          </w:p>
        </w:tc>
        <w:tc>
          <w:tcPr>
            <w:tcW w:w="1262" w:type="pct"/>
            <w:vAlign w:val="center"/>
          </w:tcPr>
          <w:p w14:paraId="2DED7CE0">
            <w:pPr>
              <w:pStyle w:val="129"/>
              <w:widowControl w:val="0"/>
              <w:rPr>
                <w:color w:val="auto"/>
              </w:rPr>
            </w:pPr>
            <w:r>
              <w:rPr>
                <w:rFonts w:hint="eastAsia"/>
                <w:color w:val="auto"/>
              </w:rPr>
              <w:t>副产品</w:t>
            </w:r>
          </w:p>
        </w:tc>
      </w:tr>
      <w:tr w14:paraId="5DD730D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436" w:type="pct"/>
            <w:gridSpan w:val="2"/>
            <w:vAlign w:val="center"/>
          </w:tcPr>
          <w:p w14:paraId="45523C1C">
            <w:pPr>
              <w:pStyle w:val="129"/>
              <w:widowControl w:val="0"/>
              <w:rPr>
                <w:color w:val="auto"/>
              </w:rPr>
            </w:pPr>
            <w:r>
              <w:rPr>
                <w:rFonts w:hint="eastAsia"/>
                <w:color w:val="auto"/>
              </w:rPr>
              <w:t>硫酸铵</w:t>
            </w:r>
          </w:p>
        </w:tc>
        <w:tc>
          <w:tcPr>
            <w:tcW w:w="1302" w:type="pct"/>
            <w:vAlign w:val="center"/>
          </w:tcPr>
          <w:p w14:paraId="7ED8EAD0">
            <w:pPr>
              <w:pStyle w:val="129"/>
              <w:widowControl w:val="0"/>
              <w:rPr>
                <w:color w:val="auto"/>
              </w:rPr>
            </w:pPr>
            <w:r>
              <w:rPr>
                <w:color w:val="auto"/>
              </w:rPr>
              <w:t>91144</w:t>
            </w:r>
          </w:p>
        </w:tc>
        <w:tc>
          <w:tcPr>
            <w:tcW w:w="1262" w:type="pct"/>
            <w:vAlign w:val="center"/>
          </w:tcPr>
          <w:p w14:paraId="62B53C4D">
            <w:pPr>
              <w:pStyle w:val="129"/>
              <w:widowControl w:val="0"/>
              <w:rPr>
                <w:color w:val="auto"/>
              </w:rPr>
            </w:pPr>
            <w:r>
              <w:rPr>
                <w:rFonts w:hint="eastAsia"/>
                <w:color w:val="auto"/>
              </w:rPr>
              <w:t>副产品</w:t>
            </w:r>
          </w:p>
        </w:tc>
      </w:tr>
      <w:tr w14:paraId="100ACE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436" w:type="pct"/>
            <w:gridSpan w:val="2"/>
            <w:vAlign w:val="center"/>
          </w:tcPr>
          <w:p w14:paraId="237A4E6D">
            <w:pPr>
              <w:pStyle w:val="129"/>
              <w:widowControl w:val="0"/>
              <w:rPr>
                <w:color w:val="auto"/>
              </w:rPr>
            </w:pPr>
            <w:r>
              <w:rPr>
                <w:rFonts w:hint="eastAsia"/>
                <w:color w:val="auto"/>
              </w:rPr>
              <w:t>碳酸钠</w:t>
            </w:r>
          </w:p>
        </w:tc>
        <w:tc>
          <w:tcPr>
            <w:tcW w:w="1302" w:type="pct"/>
            <w:vAlign w:val="center"/>
          </w:tcPr>
          <w:p w14:paraId="261F71A8">
            <w:pPr>
              <w:pStyle w:val="129"/>
              <w:widowControl w:val="0"/>
              <w:rPr>
                <w:color w:val="auto"/>
              </w:rPr>
            </w:pPr>
            <w:r>
              <w:rPr>
                <w:color w:val="auto"/>
              </w:rPr>
              <w:t>22713</w:t>
            </w:r>
          </w:p>
        </w:tc>
        <w:tc>
          <w:tcPr>
            <w:tcW w:w="1262" w:type="pct"/>
            <w:vAlign w:val="center"/>
          </w:tcPr>
          <w:p w14:paraId="1F580D81">
            <w:pPr>
              <w:pStyle w:val="129"/>
              <w:widowControl w:val="0"/>
              <w:rPr>
                <w:color w:val="auto"/>
              </w:rPr>
            </w:pPr>
            <w:r>
              <w:rPr>
                <w:rFonts w:hint="eastAsia"/>
                <w:color w:val="auto"/>
              </w:rPr>
              <w:t>副产品</w:t>
            </w:r>
          </w:p>
        </w:tc>
      </w:tr>
      <w:tr w14:paraId="271BE78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436" w:type="pct"/>
            <w:gridSpan w:val="2"/>
            <w:vAlign w:val="center"/>
          </w:tcPr>
          <w:p w14:paraId="09A7A143">
            <w:pPr>
              <w:pStyle w:val="129"/>
              <w:widowControl w:val="0"/>
              <w:rPr>
                <w:color w:val="auto"/>
              </w:rPr>
            </w:pPr>
            <w:r>
              <w:rPr>
                <w:rFonts w:hint="eastAsia"/>
                <w:color w:val="auto"/>
              </w:rPr>
              <w:t>回用水</w:t>
            </w:r>
          </w:p>
        </w:tc>
        <w:tc>
          <w:tcPr>
            <w:tcW w:w="1302" w:type="pct"/>
            <w:vAlign w:val="center"/>
          </w:tcPr>
          <w:p w14:paraId="7EE235B8">
            <w:pPr>
              <w:pStyle w:val="129"/>
              <w:widowControl w:val="0"/>
              <w:rPr>
                <w:color w:val="auto"/>
              </w:rPr>
            </w:pPr>
            <w:r>
              <w:rPr>
                <w:rFonts w:hint="eastAsia"/>
                <w:color w:val="auto"/>
              </w:rPr>
              <w:t>161.25m</w:t>
            </w:r>
            <w:r>
              <w:rPr>
                <w:rFonts w:hint="eastAsia"/>
                <w:color w:val="auto"/>
                <w:vertAlign w:val="superscript"/>
              </w:rPr>
              <w:t>3</w:t>
            </w:r>
            <w:r>
              <w:rPr>
                <w:rFonts w:hint="eastAsia"/>
                <w:color w:val="auto"/>
              </w:rPr>
              <w:t>/a</w:t>
            </w:r>
          </w:p>
        </w:tc>
        <w:tc>
          <w:tcPr>
            <w:tcW w:w="1262" w:type="pct"/>
            <w:vAlign w:val="center"/>
          </w:tcPr>
          <w:p w14:paraId="4733BE64">
            <w:pPr>
              <w:pStyle w:val="129"/>
              <w:widowControl w:val="0"/>
              <w:rPr>
                <w:color w:val="auto"/>
              </w:rPr>
            </w:pPr>
            <w:r>
              <w:rPr>
                <w:rFonts w:hint="eastAsia"/>
                <w:color w:val="auto"/>
              </w:rPr>
              <w:t>副产品</w:t>
            </w:r>
          </w:p>
        </w:tc>
      </w:tr>
    </w:tbl>
    <w:p w14:paraId="748F1BA2">
      <w:pPr>
        <w:pStyle w:val="1304"/>
        <w:rPr>
          <w:color w:val="auto"/>
        </w:rPr>
      </w:pPr>
    </w:p>
    <w:p w14:paraId="31240905">
      <w:pPr>
        <w:pStyle w:val="5"/>
        <w:rPr>
          <w:color w:val="auto"/>
        </w:rPr>
      </w:pPr>
      <w:r>
        <w:rPr>
          <w:rFonts w:hint="eastAsia"/>
          <w:color w:val="auto"/>
        </w:rPr>
        <w:t>质量规格</w:t>
      </w:r>
    </w:p>
    <w:p w14:paraId="4E7ABF56">
      <w:pPr>
        <w:pStyle w:val="132"/>
        <w:ind w:left="480" w:firstLine="0" w:firstLineChars="0"/>
        <w:rPr>
          <w:color w:val="auto"/>
        </w:rPr>
      </w:pPr>
      <w:bookmarkStart w:id="196" w:name="_Hlk173837436"/>
      <w:r>
        <w:rPr>
          <w:rFonts w:hint="eastAsia"/>
          <w:color w:val="auto"/>
        </w:rPr>
        <w:t>（1）拟薄水铝石</w:t>
      </w:r>
    </w:p>
    <w:p w14:paraId="560B1AC3">
      <w:pPr>
        <w:pStyle w:val="132"/>
        <w:rPr>
          <w:color w:val="auto"/>
        </w:rPr>
      </w:pPr>
      <w:r>
        <w:rPr>
          <w:color w:val="auto"/>
        </w:rPr>
        <w:t>拟薄水铝石</w:t>
      </w:r>
      <w:r>
        <w:rPr>
          <w:rFonts w:hint="eastAsia"/>
          <w:color w:val="auto"/>
        </w:rPr>
        <w:t>质量满足《拟薄水铝石》（Q/Chalco A020-2004）要求，详见表3.1-15、表3.1-16。</w:t>
      </w:r>
    </w:p>
    <w:p w14:paraId="030E807D">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15</w:t>
      </w:r>
      <w:r>
        <w:rPr>
          <w:color w:val="auto"/>
        </w:rPr>
        <w:fldChar w:fldCharType="end"/>
      </w:r>
      <w:r>
        <w:rPr>
          <w:rFonts w:hint="eastAsia"/>
          <w:color w:val="auto"/>
        </w:rPr>
        <w:t xml:space="preserve"> 普通拟薄水铝石质量要求</w:t>
      </w:r>
      <w:r>
        <w:rPr>
          <w:color w:val="auto"/>
        </w:rPr>
        <w:t>（</w:t>
      </w:r>
      <w:r>
        <w:rPr>
          <w:rStyle w:val="1062"/>
          <w:rFonts w:hint="eastAsia"/>
          <w:color w:val="auto"/>
          <w:lang w:val="en-US" w:eastAsia="zh-CN"/>
        </w:rPr>
        <w:t>略</w:t>
      </w:r>
      <w:r>
        <w:rPr>
          <w:color w:val="auto"/>
        </w:rPr>
        <w:t>）</w:t>
      </w:r>
    </w:p>
    <w:p w14:paraId="7DD991BA">
      <w:pPr>
        <w:pStyle w:val="1304"/>
        <w:rPr>
          <w:color w:val="auto"/>
        </w:rPr>
      </w:pPr>
    </w:p>
    <w:p w14:paraId="1EB88103">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16</w:t>
      </w:r>
      <w:r>
        <w:rPr>
          <w:color w:val="auto"/>
        </w:rPr>
        <w:fldChar w:fldCharType="end"/>
      </w:r>
      <w:r>
        <w:rPr>
          <w:rFonts w:hint="eastAsia"/>
          <w:color w:val="auto"/>
        </w:rPr>
        <w:t xml:space="preserve"> 特种拟薄水铝石质量要求</w:t>
      </w:r>
      <w:r>
        <w:rPr>
          <w:color w:val="auto"/>
        </w:rPr>
        <w:t>（</w:t>
      </w:r>
      <w:r>
        <w:rPr>
          <w:rStyle w:val="1062"/>
          <w:rFonts w:hint="eastAsia"/>
          <w:color w:val="auto"/>
          <w:lang w:val="en-US" w:eastAsia="zh-CN"/>
        </w:rPr>
        <w:t>略</w:t>
      </w:r>
      <w:r>
        <w:rPr>
          <w:color w:val="auto"/>
        </w:rPr>
        <w:t>）</w:t>
      </w:r>
    </w:p>
    <w:p w14:paraId="4E9230B1">
      <w:pPr>
        <w:pStyle w:val="132"/>
        <w:rPr>
          <w:color w:val="auto"/>
        </w:rPr>
      </w:pPr>
    </w:p>
    <w:p w14:paraId="5962CF50">
      <w:pPr>
        <w:pStyle w:val="132"/>
        <w:rPr>
          <w:color w:val="auto"/>
        </w:rPr>
      </w:pPr>
      <w:r>
        <w:rPr>
          <w:rFonts w:hint="eastAsia"/>
          <w:color w:val="auto"/>
        </w:rPr>
        <w:t>（2）水溶肥料</w:t>
      </w:r>
    </w:p>
    <w:p w14:paraId="3EB8282C">
      <w:pPr>
        <w:pStyle w:val="132"/>
        <w:rPr>
          <w:color w:val="auto"/>
        </w:rPr>
      </w:pPr>
      <w:r>
        <w:rPr>
          <w:rFonts w:hint="eastAsia"/>
          <w:color w:val="auto"/>
        </w:rPr>
        <w:t>本项目水溶肥料1、2均满足《大量元素水溶肥料》（NY/T 1107-2020），碳酸钠质量满足《工业碳酸钠》（GB/T 210-2022）要求，详见表3.1-17。</w:t>
      </w:r>
    </w:p>
    <w:p w14:paraId="39EA005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17</w:t>
      </w:r>
      <w:r>
        <w:rPr>
          <w:color w:val="auto"/>
        </w:rPr>
        <w:fldChar w:fldCharType="end"/>
      </w:r>
      <w:r>
        <w:rPr>
          <w:rFonts w:hint="eastAsia"/>
          <w:color w:val="auto"/>
        </w:rPr>
        <w:t xml:space="preserve">  水溶肥料质量要求</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276"/>
        <w:gridCol w:w="3005"/>
        <w:gridCol w:w="2430"/>
        <w:gridCol w:w="2075"/>
      </w:tblGrid>
      <w:tr w14:paraId="38665A1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2436" w:type="pct"/>
            <w:gridSpan w:val="2"/>
            <w:vAlign w:val="center"/>
          </w:tcPr>
          <w:p w14:paraId="611BFA12">
            <w:pPr>
              <w:pStyle w:val="129"/>
              <w:widowControl w:val="0"/>
              <w:rPr>
                <w:color w:val="auto"/>
              </w:rPr>
            </w:pPr>
            <w:r>
              <w:rPr>
                <w:rFonts w:hint="eastAsia"/>
                <w:color w:val="auto"/>
              </w:rPr>
              <w:t>项目</w:t>
            </w:r>
          </w:p>
        </w:tc>
        <w:tc>
          <w:tcPr>
            <w:tcW w:w="1383" w:type="pct"/>
            <w:vAlign w:val="center"/>
          </w:tcPr>
          <w:p w14:paraId="09557708">
            <w:pPr>
              <w:pStyle w:val="129"/>
              <w:widowControl w:val="0"/>
              <w:rPr>
                <w:color w:val="auto"/>
              </w:rPr>
            </w:pPr>
            <w:r>
              <w:rPr>
                <w:rFonts w:hint="eastAsia"/>
                <w:color w:val="auto"/>
              </w:rPr>
              <w:t>固体产品</w:t>
            </w:r>
          </w:p>
        </w:tc>
        <w:tc>
          <w:tcPr>
            <w:tcW w:w="1181" w:type="pct"/>
            <w:vAlign w:val="center"/>
          </w:tcPr>
          <w:p w14:paraId="2EC4365D">
            <w:pPr>
              <w:pStyle w:val="129"/>
              <w:widowControl w:val="0"/>
              <w:rPr>
                <w:color w:val="auto"/>
              </w:rPr>
            </w:pPr>
            <w:r>
              <w:rPr>
                <w:rFonts w:hint="eastAsia"/>
                <w:color w:val="auto"/>
              </w:rPr>
              <w:t>液体产品</w:t>
            </w:r>
          </w:p>
        </w:tc>
      </w:tr>
      <w:tr w14:paraId="73E8028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2436" w:type="pct"/>
            <w:gridSpan w:val="2"/>
            <w:vAlign w:val="center"/>
          </w:tcPr>
          <w:p w14:paraId="4999EE34">
            <w:pPr>
              <w:pStyle w:val="129"/>
              <w:widowControl w:val="0"/>
              <w:rPr>
                <w:color w:val="auto"/>
              </w:rPr>
            </w:pPr>
            <w:r>
              <w:rPr>
                <w:rFonts w:hint="eastAsia"/>
                <w:color w:val="auto"/>
              </w:rPr>
              <w:t>大量元素含量ᵃ</w:t>
            </w:r>
          </w:p>
        </w:tc>
        <w:tc>
          <w:tcPr>
            <w:tcW w:w="1383" w:type="pct"/>
            <w:vAlign w:val="center"/>
          </w:tcPr>
          <w:p w14:paraId="31542B4A">
            <w:pPr>
              <w:pStyle w:val="129"/>
              <w:widowControl w:val="0"/>
              <w:rPr>
                <w:color w:val="auto"/>
              </w:rPr>
            </w:pPr>
            <w:r>
              <w:rPr>
                <w:rFonts w:hint="eastAsia"/>
                <w:color w:val="auto"/>
              </w:rPr>
              <w:t>≥50.0%</w:t>
            </w:r>
          </w:p>
        </w:tc>
        <w:tc>
          <w:tcPr>
            <w:tcW w:w="1181" w:type="pct"/>
            <w:vAlign w:val="center"/>
          </w:tcPr>
          <w:p w14:paraId="050D8D07">
            <w:pPr>
              <w:pStyle w:val="129"/>
              <w:widowControl w:val="0"/>
              <w:rPr>
                <w:color w:val="auto"/>
              </w:rPr>
            </w:pPr>
            <w:r>
              <w:rPr>
                <w:rFonts w:hint="eastAsia"/>
                <w:color w:val="auto"/>
              </w:rPr>
              <w:t>≥400 g/L</w:t>
            </w:r>
          </w:p>
        </w:tc>
      </w:tr>
      <w:tr w14:paraId="6918E08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2436" w:type="pct"/>
            <w:gridSpan w:val="2"/>
            <w:vAlign w:val="center"/>
          </w:tcPr>
          <w:p w14:paraId="26B61611">
            <w:pPr>
              <w:pStyle w:val="129"/>
              <w:widowControl w:val="0"/>
              <w:rPr>
                <w:color w:val="auto"/>
              </w:rPr>
            </w:pPr>
            <w:r>
              <w:rPr>
                <w:rFonts w:hint="eastAsia"/>
                <w:color w:val="auto"/>
              </w:rPr>
              <w:t>水不溶物含量</w:t>
            </w:r>
          </w:p>
        </w:tc>
        <w:tc>
          <w:tcPr>
            <w:tcW w:w="1383" w:type="pct"/>
            <w:vAlign w:val="center"/>
          </w:tcPr>
          <w:p w14:paraId="32794AFD">
            <w:pPr>
              <w:pStyle w:val="129"/>
              <w:widowControl w:val="0"/>
              <w:rPr>
                <w:color w:val="auto"/>
              </w:rPr>
            </w:pPr>
            <w:r>
              <w:rPr>
                <w:rFonts w:hint="eastAsia"/>
                <w:color w:val="auto"/>
              </w:rPr>
              <w:t>≤1.0%</w:t>
            </w:r>
          </w:p>
        </w:tc>
        <w:tc>
          <w:tcPr>
            <w:tcW w:w="1181" w:type="pct"/>
            <w:vAlign w:val="center"/>
          </w:tcPr>
          <w:p w14:paraId="723EAA51">
            <w:pPr>
              <w:pStyle w:val="129"/>
              <w:widowControl w:val="0"/>
              <w:rPr>
                <w:color w:val="auto"/>
              </w:rPr>
            </w:pPr>
            <w:r>
              <w:rPr>
                <w:rFonts w:hint="eastAsia"/>
                <w:color w:val="auto"/>
              </w:rPr>
              <w:t>≤10 g/L</w:t>
            </w:r>
          </w:p>
        </w:tc>
      </w:tr>
      <w:tr w14:paraId="4F4468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2436" w:type="pct"/>
            <w:gridSpan w:val="2"/>
            <w:vAlign w:val="center"/>
          </w:tcPr>
          <w:p w14:paraId="7A6AAC07">
            <w:pPr>
              <w:pStyle w:val="129"/>
              <w:widowControl w:val="0"/>
              <w:rPr>
                <w:color w:val="auto"/>
              </w:rPr>
            </w:pPr>
            <w:r>
              <w:rPr>
                <w:rFonts w:hint="eastAsia"/>
                <w:color w:val="auto"/>
              </w:rPr>
              <w:t>水分 (H</w:t>
            </w:r>
            <w:r>
              <w:rPr>
                <w:rFonts w:ascii="Cambria Math" w:hAnsi="Cambria Math" w:cs="Cambria Math"/>
                <w:color w:val="auto"/>
              </w:rPr>
              <w:t>₂</w:t>
            </w:r>
            <w:r>
              <w:rPr>
                <w:rFonts w:hint="eastAsia"/>
                <w:color w:val="auto"/>
              </w:rPr>
              <w:t>O) 含量</w:t>
            </w:r>
          </w:p>
        </w:tc>
        <w:tc>
          <w:tcPr>
            <w:tcW w:w="1383" w:type="pct"/>
            <w:vAlign w:val="center"/>
          </w:tcPr>
          <w:p w14:paraId="69567496">
            <w:pPr>
              <w:pStyle w:val="129"/>
              <w:widowControl w:val="0"/>
              <w:rPr>
                <w:color w:val="auto"/>
              </w:rPr>
            </w:pPr>
            <w:r>
              <w:rPr>
                <w:rFonts w:hint="eastAsia"/>
                <w:color w:val="auto"/>
              </w:rPr>
              <w:t>≤3.0%</w:t>
            </w:r>
          </w:p>
        </w:tc>
        <w:tc>
          <w:tcPr>
            <w:tcW w:w="1181" w:type="pct"/>
            <w:vAlign w:val="center"/>
          </w:tcPr>
          <w:p w14:paraId="34C39C00">
            <w:pPr>
              <w:pStyle w:val="129"/>
              <w:widowControl w:val="0"/>
              <w:rPr>
                <w:color w:val="auto"/>
              </w:rPr>
            </w:pPr>
            <w:r>
              <w:rPr>
                <w:rFonts w:hint="eastAsia"/>
                <w:color w:val="auto"/>
              </w:rPr>
              <w:t>/</w:t>
            </w:r>
          </w:p>
        </w:tc>
      </w:tr>
      <w:tr w14:paraId="598432B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2436" w:type="pct"/>
            <w:gridSpan w:val="2"/>
            <w:vAlign w:val="center"/>
          </w:tcPr>
          <w:p w14:paraId="0E7CAC92">
            <w:pPr>
              <w:pStyle w:val="129"/>
              <w:widowControl w:val="0"/>
              <w:rPr>
                <w:color w:val="auto"/>
              </w:rPr>
            </w:pPr>
            <w:r>
              <w:rPr>
                <w:rFonts w:hint="eastAsia"/>
                <w:color w:val="auto"/>
              </w:rPr>
              <w:t>缩二脲含量</w:t>
            </w:r>
          </w:p>
        </w:tc>
        <w:tc>
          <w:tcPr>
            <w:tcW w:w="2564" w:type="pct"/>
            <w:gridSpan w:val="2"/>
            <w:vAlign w:val="center"/>
          </w:tcPr>
          <w:p w14:paraId="5FF51DC7">
            <w:pPr>
              <w:pStyle w:val="129"/>
              <w:widowControl w:val="0"/>
              <w:rPr>
                <w:color w:val="auto"/>
              </w:rPr>
            </w:pPr>
            <w:r>
              <w:rPr>
                <w:rFonts w:hint="eastAsia"/>
                <w:color w:val="auto"/>
              </w:rPr>
              <w:t>≤0.9%</w:t>
            </w:r>
          </w:p>
        </w:tc>
      </w:tr>
      <w:tr w14:paraId="0619C0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726" w:type="pct"/>
            <w:vMerge w:val="restart"/>
            <w:vAlign w:val="center"/>
          </w:tcPr>
          <w:p w14:paraId="3F9B2F2A">
            <w:pPr>
              <w:pStyle w:val="129"/>
              <w:widowControl w:val="0"/>
              <w:rPr>
                <w:color w:val="auto"/>
              </w:rPr>
            </w:pPr>
            <w:r>
              <w:rPr>
                <w:rFonts w:hint="eastAsia"/>
                <w:color w:val="auto"/>
              </w:rPr>
              <w:t>氯离子含量ᵇ</w:t>
            </w:r>
          </w:p>
        </w:tc>
        <w:tc>
          <w:tcPr>
            <w:tcW w:w="1710" w:type="pct"/>
            <w:vAlign w:val="center"/>
          </w:tcPr>
          <w:p w14:paraId="3F6D2211">
            <w:pPr>
              <w:pStyle w:val="129"/>
              <w:widowControl w:val="0"/>
              <w:rPr>
                <w:color w:val="auto"/>
              </w:rPr>
            </w:pPr>
            <w:r>
              <w:rPr>
                <w:rFonts w:hint="eastAsia"/>
                <w:color w:val="auto"/>
              </w:rPr>
              <w:t>未标 “含氯” 的产品</w:t>
            </w:r>
          </w:p>
        </w:tc>
        <w:tc>
          <w:tcPr>
            <w:tcW w:w="1383" w:type="pct"/>
            <w:vAlign w:val="center"/>
          </w:tcPr>
          <w:p w14:paraId="58C0CEC6">
            <w:pPr>
              <w:pStyle w:val="129"/>
              <w:widowControl w:val="0"/>
              <w:rPr>
                <w:color w:val="auto"/>
              </w:rPr>
            </w:pPr>
            <w:r>
              <w:rPr>
                <w:rFonts w:hint="eastAsia"/>
                <w:color w:val="auto"/>
              </w:rPr>
              <w:t>≤3.0%</w:t>
            </w:r>
          </w:p>
        </w:tc>
        <w:tc>
          <w:tcPr>
            <w:tcW w:w="1181" w:type="pct"/>
            <w:vAlign w:val="center"/>
          </w:tcPr>
          <w:p w14:paraId="77C971A5">
            <w:pPr>
              <w:pStyle w:val="129"/>
              <w:widowControl w:val="0"/>
              <w:rPr>
                <w:color w:val="auto"/>
              </w:rPr>
            </w:pPr>
            <w:r>
              <w:rPr>
                <w:rFonts w:hint="eastAsia"/>
                <w:color w:val="auto"/>
              </w:rPr>
              <w:t>≤30 g/L</w:t>
            </w:r>
          </w:p>
        </w:tc>
      </w:tr>
      <w:tr w14:paraId="1352EA5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726" w:type="pct"/>
            <w:vMerge w:val="continue"/>
            <w:vAlign w:val="center"/>
          </w:tcPr>
          <w:p w14:paraId="24F9D3C6">
            <w:pPr>
              <w:pStyle w:val="129"/>
              <w:widowControl w:val="0"/>
              <w:rPr>
                <w:color w:val="auto"/>
              </w:rPr>
            </w:pPr>
          </w:p>
        </w:tc>
        <w:tc>
          <w:tcPr>
            <w:tcW w:w="1710" w:type="pct"/>
            <w:vAlign w:val="center"/>
          </w:tcPr>
          <w:p w14:paraId="1F3E2966">
            <w:pPr>
              <w:pStyle w:val="129"/>
              <w:widowControl w:val="0"/>
              <w:rPr>
                <w:color w:val="auto"/>
              </w:rPr>
            </w:pPr>
            <w:r>
              <w:rPr>
                <w:rFonts w:hint="eastAsia"/>
                <w:color w:val="auto"/>
              </w:rPr>
              <w:t>标识 “含氯 (低氯)” 的产品</w:t>
            </w:r>
          </w:p>
        </w:tc>
        <w:tc>
          <w:tcPr>
            <w:tcW w:w="1383" w:type="pct"/>
            <w:vAlign w:val="center"/>
          </w:tcPr>
          <w:p w14:paraId="2EC6F90F">
            <w:pPr>
              <w:pStyle w:val="129"/>
              <w:widowControl w:val="0"/>
              <w:rPr>
                <w:color w:val="auto"/>
              </w:rPr>
            </w:pPr>
            <w:r>
              <w:rPr>
                <w:rFonts w:hint="eastAsia"/>
                <w:color w:val="auto"/>
              </w:rPr>
              <w:t>≤15.0%</w:t>
            </w:r>
          </w:p>
        </w:tc>
        <w:tc>
          <w:tcPr>
            <w:tcW w:w="1181" w:type="pct"/>
            <w:vAlign w:val="center"/>
          </w:tcPr>
          <w:p w14:paraId="224D8779">
            <w:pPr>
              <w:pStyle w:val="129"/>
              <w:widowControl w:val="0"/>
              <w:rPr>
                <w:color w:val="auto"/>
              </w:rPr>
            </w:pPr>
            <w:r>
              <w:rPr>
                <w:rFonts w:hint="eastAsia"/>
                <w:color w:val="auto"/>
              </w:rPr>
              <w:t>≤150 g/L</w:t>
            </w:r>
          </w:p>
        </w:tc>
      </w:tr>
      <w:tr w14:paraId="1B5A29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726" w:type="pct"/>
            <w:vMerge w:val="continue"/>
            <w:vAlign w:val="center"/>
          </w:tcPr>
          <w:p w14:paraId="6EF442EC">
            <w:pPr>
              <w:pStyle w:val="129"/>
              <w:widowControl w:val="0"/>
              <w:rPr>
                <w:color w:val="auto"/>
              </w:rPr>
            </w:pPr>
          </w:p>
        </w:tc>
        <w:tc>
          <w:tcPr>
            <w:tcW w:w="1710" w:type="pct"/>
            <w:vAlign w:val="center"/>
          </w:tcPr>
          <w:p w14:paraId="2BB85098">
            <w:pPr>
              <w:pStyle w:val="129"/>
              <w:widowControl w:val="0"/>
              <w:rPr>
                <w:color w:val="auto"/>
              </w:rPr>
            </w:pPr>
            <w:r>
              <w:rPr>
                <w:rFonts w:hint="eastAsia"/>
                <w:color w:val="auto"/>
              </w:rPr>
              <w:t>标识 “含氯 (中氯)” 的产品</w:t>
            </w:r>
          </w:p>
        </w:tc>
        <w:tc>
          <w:tcPr>
            <w:tcW w:w="1383" w:type="pct"/>
            <w:vAlign w:val="center"/>
          </w:tcPr>
          <w:p w14:paraId="58F8B09B">
            <w:pPr>
              <w:pStyle w:val="129"/>
              <w:widowControl w:val="0"/>
              <w:rPr>
                <w:color w:val="auto"/>
              </w:rPr>
            </w:pPr>
            <w:r>
              <w:rPr>
                <w:rFonts w:hint="eastAsia"/>
                <w:color w:val="auto"/>
              </w:rPr>
              <w:t>≤30.0%</w:t>
            </w:r>
          </w:p>
        </w:tc>
        <w:tc>
          <w:tcPr>
            <w:tcW w:w="1181" w:type="pct"/>
            <w:vAlign w:val="center"/>
          </w:tcPr>
          <w:p w14:paraId="579C1EE5">
            <w:pPr>
              <w:pStyle w:val="129"/>
              <w:widowControl w:val="0"/>
              <w:rPr>
                <w:color w:val="auto"/>
              </w:rPr>
            </w:pPr>
            <w:r>
              <w:rPr>
                <w:rFonts w:hint="eastAsia"/>
                <w:color w:val="auto"/>
              </w:rPr>
              <w:t>≤300 g/L</w:t>
            </w:r>
          </w:p>
        </w:tc>
      </w:tr>
      <w:tr w14:paraId="526B528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cantSplit/>
          <w:trHeight w:val="20" w:hRule="atLeast"/>
        </w:trPr>
        <w:tc>
          <w:tcPr>
            <w:tcW w:w="5000" w:type="pct"/>
            <w:gridSpan w:val="4"/>
            <w:vAlign w:val="center"/>
          </w:tcPr>
          <w:p w14:paraId="6CEF87AD">
            <w:pPr>
              <w:pStyle w:val="129"/>
              <w:widowControl w:val="0"/>
              <w:ind w:left="410" w:leftChars="100" w:hanging="210" w:hangingChars="100"/>
              <w:jc w:val="left"/>
              <w:rPr>
                <w:color w:val="auto"/>
              </w:rPr>
            </w:pPr>
            <w:r>
              <w:rPr>
                <w:rFonts w:hint="eastAsia"/>
                <w:color w:val="auto"/>
              </w:rPr>
              <w:t>a 大量元素含量指总N、P</w:t>
            </w:r>
            <w:r>
              <w:rPr>
                <w:rFonts w:hint="eastAsia"/>
                <w:color w:val="auto"/>
                <w:vertAlign w:val="subscript"/>
              </w:rPr>
              <w:t>2</w:t>
            </w:r>
            <w:r>
              <w:rPr>
                <w:rFonts w:hint="eastAsia"/>
                <w:color w:val="auto"/>
              </w:rPr>
              <w:t>O</w:t>
            </w:r>
            <w:r>
              <w:rPr>
                <w:rFonts w:hint="eastAsia"/>
                <w:color w:val="auto"/>
                <w:vertAlign w:val="subscript"/>
              </w:rPr>
              <w:t>5</w:t>
            </w:r>
            <w:r>
              <w:rPr>
                <w:rFonts w:hint="eastAsia"/>
                <w:color w:val="auto"/>
              </w:rPr>
              <w:t>、K</w:t>
            </w:r>
            <w:r>
              <w:rPr>
                <w:rFonts w:hint="eastAsia"/>
                <w:color w:val="auto"/>
                <w:vertAlign w:val="subscript"/>
              </w:rPr>
              <w:t>2</w:t>
            </w:r>
            <w:r>
              <w:rPr>
                <w:rFonts w:hint="eastAsia"/>
                <w:color w:val="auto"/>
              </w:rPr>
              <w:t>O含量之和，产品应至少包含其中2种大量元素。单一大量元素含量不低于4.0%或40 g/L。各单一大量元素测定值与标明值负偏差的绝对值应不大于1.5%或15 g/L。</w:t>
            </w:r>
          </w:p>
          <w:p w14:paraId="3C34D8BB">
            <w:pPr>
              <w:pStyle w:val="129"/>
              <w:widowControl w:val="0"/>
              <w:ind w:left="315" w:hanging="315" w:hangingChars="150"/>
              <w:jc w:val="left"/>
              <w:rPr>
                <w:color w:val="auto"/>
              </w:rPr>
            </w:pPr>
            <w:r>
              <w:rPr>
                <w:rFonts w:hint="eastAsia"/>
                <w:color w:val="auto"/>
              </w:rPr>
              <w:t xml:space="preserve">  b 氯离子含量大于30.0%或300 g/L的产品，应在包装袋上标明“含氯(高氯)”，标识“含氯(高氯)”的产品，氯离子含量可不作检验和判定。</w:t>
            </w:r>
          </w:p>
        </w:tc>
      </w:tr>
    </w:tbl>
    <w:p w14:paraId="7A49E1A7">
      <w:pPr>
        <w:pStyle w:val="1304"/>
        <w:rPr>
          <w:color w:val="auto"/>
        </w:rPr>
      </w:pPr>
    </w:p>
    <w:p w14:paraId="7F62B0FC">
      <w:pPr>
        <w:pStyle w:val="132"/>
        <w:rPr>
          <w:color w:val="auto"/>
        </w:rPr>
      </w:pPr>
      <w:r>
        <w:rPr>
          <w:rFonts w:hint="eastAsia"/>
          <w:color w:val="auto"/>
        </w:rPr>
        <w:t>（3）硫酸铵</w:t>
      </w:r>
    </w:p>
    <w:p w14:paraId="082CB45A">
      <w:pPr>
        <w:pStyle w:val="132"/>
        <w:rPr>
          <w:color w:val="auto"/>
        </w:rPr>
      </w:pPr>
      <w:r>
        <w:rPr>
          <w:rFonts w:hint="eastAsia"/>
          <w:color w:val="auto"/>
        </w:rPr>
        <w:t>硫酸铵质量满足《肥料级硫酸铵》（GB/T 535-2020）要求，详见表3.1-18。</w:t>
      </w:r>
    </w:p>
    <w:p w14:paraId="360F9D77">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18</w:t>
      </w:r>
      <w:r>
        <w:rPr>
          <w:color w:val="auto"/>
        </w:rPr>
        <w:fldChar w:fldCharType="end"/>
      </w:r>
      <w:r>
        <w:rPr>
          <w:rFonts w:hint="eastAsia"/>
          <w:color w:val="auto"/>
        </w:rPr>
        <w:t xml:space="preserve">  硫酸铵质量要求</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993"/>
        <w:gridCol w:w="2864"/>
        <w:gridCol w:w="2929"/>
      </w:tblGrid>
      <w:tr w14:paraId="597859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03" w:type="pct"/>
            <w:vMerge w:val="restart"/>
            <w:vAlign w:val="center"/>
          </w:tcPr>
          <w:p w14:paraId="10189DA0">
            <w:pPr>
              <w:pStyle w:val="129"/>
              <w:widowControl w:val="0"/>
              <w:rPr>
                <w:color w:val="auto"/>
              </w:rPr>
            </w:pPr>
            <w:r>
              <w:rPr>
                <w:color w:val="auto"/>
              </w:rPr>
              <w:t>项目</w:t>
            </w:r>
          </w:p>
        </w:tc>
        <w:tc>
          <w:tcPr>
            <w:tcW w:w="3297" w:type="pct"/>
            <w:gridSpan w:val="2"/>
            <w:vAlign w:val="center"/>
          </w:tcPr>
          <w:p w14:paraId="1B63A9DE">
            <w:pPr>
              <w:pStyle w:val="129"/>
              <w:widowControl w:val="0"/>
              <w:rPr>
                <w:color w:val="auto"/>
              </w:rPr>
            </w:pPr>
            <w:r>
              <w:rPr>
                <w:color w:val="auto"/>
              </w:rPr>
              <w:t>指标</w:t>
            </w:r>
          </w:p>
        </w:tc>
      </w:tr>
      <w:tr w14:paraId="158E6B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03" w:type="pct"/>
            <w:vMerge w:val="continue"/>
            <w:vAlign w:val="center"/>
          </w:tcPr>
          <w:p w14:paraId="79124C5F">
            <w:pPr>
              <w:pStyle w:val="129"/>
              <w:widowControl w:val="0"/>
              <w:rPr>
                <w:color w:val="auto"/>
              </w:rPr>
            </w:pPr>
          </w:p>
        </w:tc>
        <w:tc>
          <w:tcPr>
            <w:tcW w:w="1630" w:type="pct"/>
            <w:vAlign w:val="center"/>
          </w:tcPr>
          <w:p w14:paraId="4E08DA23">
            <w:pPr>
              <w:pStyle w:val="129"/>
              <w:widowControl w:val="0"/>
              <w:rPr>
                <w:color w:val="auto"/>
              </w:rPr>
            </w:pPr>
            <w:r>
              <w:rPr>
                <w:color w:val="auto"/>
              </w:rPr>
              <w:t>Ⅰ型</w:t>
            </w:r>
          </w:p>
        </w:tc>
        <w:tc>
          <w:tcPr>
            <w:tcW w:w="1667" w:type="pct"/>
            <w:vAlign w:val="center"/>
          </w:tcPr>
          <w:p w14:paraId="44A553D8">
            <w:pPr>
              <w:pStyle w:val="129"/>
              <w:widowControl w:val="0"/>
              <w:rPr>
                <w:color w:val="auto"/>
              </w:rPr>
            </w:pPr>
            <w:r>
              <w:rPr>
                <w:color w:val="auto"/>
              </w:rPr>
              <w:t>Ⅱ型</w:t>
            </w:r>
          </w:p>
        </w:tc>
      </w:tr>
      <w:tr w14:paraId="192EAAD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03" w:type="pct"/>
            <w:vAlign w:val="center"/>
          </w:tcPr>
          <w:p w14:paraId="13B436D0">
            <w:pPr>
              <w:pStyle w:val="129"/>
              <w:widowControl w:val="0"/>
              <w:rPr>
                <w:color w:val="auto"/>
              </w:rPr>
            </w:pPr>
            <w:r>
              <w:rPr>
                <w:color w:val="auto"/>
              </w:rPr>
              <w:t xml:space="preserve">氮（N）/%         </w:t>
            </w:r>
            <w:r>
              <w:rPr>
                <w:rFonts w:hint="eastAsia"/>
                <w:color w:val="auto"/>
              </w:rPr>
              <w:t xml:space="preserve"> </w:t>
            </w:r>
            <w:r>
              <w:rPr>
                <w:color w:val="auto"/>
              </w:rPr>
              <w:t xml:space="preserve">    ≥</w:t>
            </w:r>
          </w:p>
        </w:tc>
        <w:tc>
          <w:tcPr>
            <w:tcW w:w="1630" w:type="pct"/>
            <w:vAlign w:val="center"/>
          </w:tcPr>
          <w:p w14:paraId="03A77985">
            <w:pPr>
              <w:pStyle w:val="129"/>
              <w:widowControl w:val="0"/>
              <w:rPr>
                <w:color w:val="auto"/>
              </w:rPr>
            </w:pPr>
            <w:r>
              <w:rPr>
                <w:color w:val="auto"/>
              </w:rPr>
              <w:t>20.5</w:t>
            </w:r>
          </w:p>
        </w:tc>
        <w:tc>
          <w:tcPr>
            <w:tcW w:w="1667" w:type="pct"/>
            <w:vAlign w:val="center"/>
          </w:tcPr>
          <w:p w14:paraId="4AEDA062">
            <w:pPr>
              <w:pStyle w:val="129"/>
              <w:widowControl w:val="0"/>
              <w:rPr>
                <w:color w:val="auto"/>
              </w:rPr>
            </w:pPr>
            <w:r>
              <w:rPr>
                <w:color w:val="auto"/>
              </w:rPr>
              <w:t>19.0</w:t>
            </w:r>
          </w:p>
        </w:tc>
      </w:tr>
      <w:tr w14:paraId="722916F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03" w:type="pct"/>
            <w:vAlign w:val="center"/>
          </w:tcPr>
          <w:p w14:paraId="2E5DC344">
            <w:pPr>
              <w:pStyle w:val="129"/>
              <w:widowControl w:val="0"/>
              <w:rPr>
                <w:color w:val="auto"/>
              </w:rPr>
            </w:pPr>
            <w:r>
              <w:rPr>
                <w:color w:val="auto"/>
              </w:rPr>
              <w:t xml:space="preserve">硫（S）/%          </w:t>
            </w:r>
            <w:r>
              <w:rPr>
                <w:rFonts w:hint="eastAsia"/>
                <w:color w:val="auto"/>
              </w:rPr>
              <w:t xml:space="preserve"> </w:t>
            </w:r>
            <w:r>
              <w:rPr>
                <w:color w:val="auto"/>
              </w:rPr>
              <w:t xml:space="preserve">   ≥</w:t>
            </w:r>
          </w:p>
        </w:tc>
        <w:tc>
          <w:tcPr>
            <w:tcW w:w="1630" w:type="pct"/>
            <w:vAlign w:val="center"/>
          </w:tcPr>
          <w:p w14:paraId="5E18DF84">
            <w:pPr>
              <w:pStyle w:val="129"/>
              <w:widowControl w:val="0"/>
              <w:rPr>
                <w:color w:val="auto"/>
              </w:rPr>
            </w:pPr>
            <w:r>
              <w:rPr>
                <w:color w:val="auto"/>
              </w:rPr>
              <w:t>24.0</w:t>
            </w:r>
          </w:p>
        </w:tc>
        <w:tc>
          <w:tcPr>
            <w:tcW w:w="1667" w:type="pct"/>
            <w:vAlign w:val="center"/>
          </w:tcPr>
          <w:p w14:paraId="7B43C6A8">
            <w:pPr>
              <w:pStyle w:val="129"/>
              <w:widowControl w:val="0"/>
              <w:rPr>
                <w:color w:val="auto"/>
              </w:rPr>
            </w:pPr>
            <w:r>
              <w:rPr>
                <w:color w:val="auto"/>
              </w:rPr>
              <w:t>21.0</w:t>
            </w:r>
          </w:p>
        </w:tc>
      </w:tr>
      <w:tr w14:paraId="7E67C4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03" w:type="pct"/>
            <w:vAlign w:val="center"/>
          </w:tcPr>
          <w:p w14:paraId="2D62C5FE">
            <w:pPr>
              <w:pStyle w:val="129"/>
              <w:widowControl w:val="0"/>
              <w:rPr>
                <w:color w:val="auto"/>
              </w:rPr>
            </w:pPr>
            <w:r>
              <w:rPr>
                <w:color w:val="auto"/>
              </w:rPr>
              <w:t>游离酸（H</w:t>
            </w:r>
            <w:r>
              <w:rPr>
                <w:color w:val="auto"/>
                <w:vertAlign w:val="subscript"/>
              </w:rPr>
              <w:t>2</w:t>
            </w:r>
            <w:r>
              <w:rPr>
                <w:color w:val="auto"/>
              </w:rPr>
              <w:t xml:space="preserve">SO4）/%  </w:t>
            </w:r>
            <w:r>
              <w:rPr>
                <w:rFonts w:hint="eastAsia"/>
                <w:color w:val="auto"/>
              </w:rPr>
              <w:t xml:space="preserve"> </w:t>
            </w:r>
            <w:r>
              <w:rPr>
                <w:color w:val="auto"/>
              </w:rPr>
              <w:t xml:space="preserve">  ≤</w:t>
            </w:r>
          </w:p>
        </w:tc>
        <w:tc>
          <w:tcPr>
            <w:tcW w:w="1630" w:type="pct"/>
            <w:vAlign w:val="center"/>
          </w:tcPr>
          <w:p w14:paraId="41526708">
            <w:pPr>
              <w:pStyle w:val="129"/>
              <w:widowControl w:val="0"/>
              <w:rPr>
                <w:color w:val="auto"/>
              </w:rPr>
            </w:pPr>
            <w:r>
              <w:rPr>
                <w:color w:val="auto"/>
              </w:rPr>
              <w:t>0.05</w:t>
            </w:r>
          </w:p>
        </w:tc>
        <w:tc>
          <w:tcPr>
            <w:tcW w:w="1667" w:type="pct"/>
            <w:vAlign w:val="center"/>
          </w:tcPr>
          <w:p w14:paraId="11477BDF">
            <w:pPr>
              <w:pStyle w:val="129"/>
              <w:widowControl w:val="0"/>
              <w:rPr>
                <w:color w:val="auto"/>
              </w:rPr>
            </w:pPr>
            <w:r>
              <w:rPr>
                <w:color w:val="auto"/>
              </w:rPr>
              <w:t>0.20</w:t>
            </w:r>
          </w:p>
        </w:tc>
      </w:tr>
      <w:tr w14:paraId="4943548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03" w:type="pct"/>
            <w:vAlign w:val="center"/>
          </w:tcPr>
          <w:p w14:paraId="6DFB54D3">
            <w:pPr>
              <w:pStyle w:val="129"/>
              <w:widowControl w:val="0"/>
              <w:rPr>
                <w:color w:val="auto"/>
              </w:rPr>
            </w:pPr>
            <w:r>
              <w:rPr>
                <w:color w:val="auto"/>
              </w:rPr>
              <w:t xml:space="preserve">水分（H2O）/%      </w:t>
            </w:r>
            <w:r>
              <w:rPr>
                <w:rFonts w:hint="eastAsia"/>
                <w:color w:val="auto"/>
              </w:rPr>
              <w:t xml:space="preserve"> </w:t>
            </w:r>
            <w:r>
              <w:rPr>
                <w:color w:val="auto"/>
              </w:rPr>
              <w:t xml:space="preserve">  ≤</w:t>
            </w:r>
          </w:p>
        </w:tc>
        <w:tc>
          <w:tcPr>
            <w:tcW w:w="1630" w:type="pct"/>
            <w:vAlign w:val="center"/>
          </w:tcPr>
          <w:p w14:paraId="5DF2057B">
            <w:pPr>
              <w:pStyle w:val="129"/>
              <w:widowControl w:val="0"/>
              <w:rPr>
                <w:color w:val="auto"/>
              </w:rPr>
            </w:pPr>
            <w:r>
              <w:rPr>
                <w:color w:val="auto"/>
              </w:rPr>
              <w:t>0.5</w:t>
            </w:r>
          </w:p>
        </w:tc>
        <w:tc>
          <w:tcPr>
            <w:tcW w:w="1667" w:type="pct"/>
            <w:vAlign w:val="center"/>
          </w:tcPr>
          <w:p w14:paraId="28C93001">
            <w:pPr>
              <w:pStyle w:val="129"/>
              <w:widowControl w:val="0"/>
              <w:rPr>
                <w:color w:val="auto"/>
              </w:rPr>
            </w:pPr>
            <w:r>
              <w:rPr>
                <w:color w:val="auto"/>
              </w:rPr>
              <w:t>2.0</w:t>
            </w:r>
          </w:p>
        </w:tc>
      </w:tr>
      <w:tr w14:paraId="053166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03" w:type="pct"/>
            <w:vAlign w:val="center"/>
          </w:tcPr>
          <w:p w14:paraId="370F9C49">
            <w:pPr>
              <w:pStyle w:val="129"/>
              <w:widowControl w:val="0"/>
              <w:rPr>
                <w:color w:val="auto"/>
              </w:rPr>
            </w:pPr>
            <w:r>
              <w:rPr>
                <w:color w:val="auto"/>
              </w:rPr>
              <w:t xml:space="preserve">水不溶物/%         </w:t>
            </w:r>
            <w:r>
              <w:rPr>
                <w:rFonts w:hint="eastAsia"/>
                <w:color w:val="auto"/>
              </w:rPr>
              <w:t xml:space="preserve"> </w:t>
            </w:r>
            <w:r>
              <w:rPr>
                <w:color w:val="auto"/>
              </w:rPr>
              <w:t xml:space="preserve">   ≤</w:t>
            </w:r>
          </w:p>
        </w:tc>
        <w:tc>
          <w:tcPr>
            <w:tcW w:w="1630" w:type="pct"/>
            <w:vAlign w:val="center"/>
          </w:tcPr>
          <w:p w14:paraId="6CEB680B">
            <w:pPr>
              <w:pStyle w:val="129"/>
              <w:widowControl w:val="0"/>
              <w:rPr>
                <w:color w:val="auto"/>
              </w:rPr>
            </w:pPr>
            <w:r>
              <w:rPr>
                <w:color w:val="auto"/>
              </w:rPr>
              <w:t>0.5</w:t>
            </w:r>
          </w:p>
        </w:tc>
        <w:tc>
          <w:tcPr>
            <w:tcW w:w="1667" w:type="pct"/>
            <w:vAlign w:val="center"/>
          </w:tcPr>
          <w:p w14:paraId="1E0371CC">
            <w:pPr>
              <w:pStyle w:val="129"/>
              <w:widowControl w:val="0"/>
              <w:rPr>
                <w:color w:val="auto"/>
              </w:rPr>
            </w:pPr>
            <w:r>
              <w:rPr>
                <w:color w:val="auto"/>
              </w:rPr>
              <w:t>2.0</w:t>
            </w:r>
          </w:p>
        </w:tc>
      </w:tr>
      <w:tr w14:paraId="1EEDD1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703" w:type="pct"/>
            <w:vAlign w:val="center"/>
          </w:tcPr>
          <w:p w14:paraId="5325748A">
            <w:pPr>
              <w:pStyle w:val="129"/>
              <w:widowControl w:val="0"/>
              <w:rPr>
                <w:color w:val="auto"/>
              </w:rPr>
            </w:pPr>
            <w:r>
              <w:rPr>
                <w:color w:val="auto"/>
              </w:rPr>
              <w:t xml:space="preserve">氯离子（Cl-）/%     </w:t>
            </w:r>
            <w:r>
              <w:rPr>
                <w:rFonts w:hint="eastAsia"/>
                <w:color w:val="auto"/>
              </w:rPr>
              <w:t xml:space="preserve"> </w:t>
            </w:r>
            <w:r>
              <w:rPr>
                <w:color w:val="auto"/>
              </w:rPr>
              <w:t xml:space="preserve">  ≤</w:t>
            </w:r>
          </w:p>
        </w:tc>
        <w:tc>
          <w:tcPr>
            <w:tcW w:w="1630" w:type="pct"/>
            <w:vAlign w:val="center"/>
          </w:tcPr>
          <w:p w14:paraId="5EF4AE38">
            <w:pPr>
              <w:pStyle w:val="129"/>
              <w:widowControl w:val="0"/>
              <w:rPr>
                <w:color w:val="auto"/>
              </w:rPr>
            </w:pPr>
            <w:r>
              <w:rPr>
                <w:color w:val="auto"/>
              </w:rPr>
              <w:t>1.0</w:t>
            </w:r>
          </w:p>
        </w:tc>
        <w:tc>
          <w:tcPr>
            <w:tcW w:w="1667" w:type="pct"/>
            <w:vAlign w:val="center"/>
          </w:tcPr>
          <w:p w14:paraId="6BCC7D3F">
            <w:pPr>
              <w:pStyle w:val="129"/>
              <w:widowControl w:val="0"/>
              <w:rPr>
                <w:color w:val="auto"/>
              </w:rPr>
            </w:pPr>
            <w:r>
              <w:rPr>
                <w:color w:val="auto"/>
              </w:rPr>
              <w:t>2.0</w:t>
            </w:r>
          </w:p>
        </w:tc>
      </w:tr>
    </w:tbl>
    <w:p w14:paraId="247B85A0">
      <w:pPr>
        <w:pStyle w:val="1304"/>
        <w:rPr>
          <w:color w:val="auto"/>
          <w:lang w:val="en-US"/>
        </w:rPr>
      </w:pPr>
    </w:p>
    <w:p w14:paraId="31C200ED">
      <w:pPr>
        <w:pStyle w:val="132"/>
        <w:rPr>
          <w:color w:val="auto"/>
        </w:rPr>
      </w:pPr>
      <w:r>
        <w:rPr>
          <w:rFonts w:hint="eastAsia"/>
          <w:color w:val="auto"/>
        </w:rPr>
        <w:t>（4）碳酸钠</w:t>
      </w:r>
    </w:p>
    <w:p w14:paraId="7AAA479B">
      <w:pPr>
        <w:pStyle w:val="132"/>
        <w:rPr>
          <w:color w:val="auto"/>
        </w:rPr>
      </w:pPr>
      <w:r>
        <w:rPr>
          <w:rFonts w:hint="eastAsia"/>
          <w:color w:val="auto"/>
        </w:rPr>
        <w:t>碳酸钠质量满足《工业碳酸钠》（GB/T 210-2022）</w:t>
      </w:r>
      <w:r>
        <w:rPr>
          <w:color w:val="auto"/>
        </w:rPr>
        <w:t>Ⅱ类</w:t>
      </w:r>
      <w:r>
        <w:rPr>
          <w:rFonts w:hint="eastAsia"/>
          <w:color w:val="auto"/>
        </w:rPr>
        <w:t>指标要求，详见表3.1-19。</w:t>
      </w:r>
    </w:p>
    <w:p w14:paraId="7189F865">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19</w:t>
      </w:r>
      <w:r>
        <w:rPr>
          <w:color w:val="auto"/>
        </w:rPr>
        <w:fldChar w:fldCharType="end"/>
      </w:r>
      <w:r>
        <w:rPr>
          <w:color w:val="auto"/>
        </w:rPr>
        <w:t xml:space="preserve"> </w:t>
      </w:r>
      <w:r>
        <w:rPr>
          <w:rFonts w:hint="eastAsia"/>
          <w:color w:val="auto"/>
        </w:rPr>
        <w:t xml:space="preserve">  工业碳酸钠质量要求</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277"/>
        <w:gridCol w:w="2718"/>
        <w:gridCol w:w="571"/>
        <w:gridCol w:w="1286"/>
        <w:gridCol w:w="1000"/>
        <w:gridCol w:w="1002"/>
        <w:gridCol w:w="932"/>
      </w:tblGrid>
      <w:tr w14:paraId="4FFEBB8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599" w:type="pct"/>
            <w:gridSpan w:val="3"/>
            <w:vMerge w:val="restart"/>
            <w:vAlign w:val="center"/>
          </w:tcPr>
          <w:p w14:paraId="550B3AE5">
            <w:pPr>
              <w:pStyle w:val="129"/>
              <w:widowControl w:val="0"/>
              <w:rPr>
                <w:color w:val="auto"/>
              </w:rPr>
            </w:pPr>
            <w:r>
              <w:rPr>
                <w:color w:val="auto"/>
              </w:rPr>
              <w:t>项目</w:t>
            </w:r>
          </w:p>
        </w:tc>
        <w:tc>
          <w:tcPr>
            <w:tcW w:w="2401" w:type="pct"/>
            <w:gridSpan w:val="4"/>
            <w:vAlign w:val="center"/>
          </w:tcPr>
          <w:p w14:paraId="2ADF34F1">
            <w:pPr>
              <w:pStyle w:val="129"/>
              <w:widowControl w:val="0"/>
              <w:rPr>
                <w:color w:val="auto"/>
              </w:rPr>
            </w:pPr>
            <w:r>
              <w:rPr>
                <w:color w:val="auto"/>
              </w:rPr>
              <w:t>指标</w:t>
            </w:r>
          </w:p>
        </w:tc>
      </w:tr>
      <w:tr w14:paraId="77251B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599" w:type="pct"/>
            <w:gridSpan w:val="3"/>
            <w:vMerge w:val="continue"/>
            <w:vAlign w:val="center"/>
          </w:tcPr>
          <w:p w14:paraId="7A6DB3F6">
            <w:pPr>
              <w:pStyle w:val="129"/>
              <w:widowControl w:val="0"/>
              <w:rPr>
                <w:color w:val="auto"/>
              </w:rPr>
            </w:pPr>
          </w:p>
        </w:tc>
        <w:tc>
          <w:tcPr>
            <w:tcW w:w="732" w:type="pct"/>
            <w:vMerge w:val="restart"/>
            <w:vAlign w:val="center"/>
          </w:tcPr>
          <w:p w14:paraId="5D9DD6DB">
            <w:pPr>
              <w:pStyle w:val="129"/>
              <w:widowControl w:val="0"/>
              <w:rPr>
                <w:color w:val="auto"/>
              </w:rPr>
            </w:pPr>
            <w:r>
              <w:rPr>
                <w:color w:val="auto"/>
              </w:rPr>
              <w:t>Ⅰ 类</w:t>
            </w:r>
          </w:p>
        </w:tc>
        <w:tc>
          <w:tcPr>
            <w:tcW w:w="1669" w:type="pct"/>
            <w:gridSpan w:val="3"/>
            <w:vAlign w:val="center"/>
          </w:tcPr>
          <w:p w14:paraId="0B487E62">
            <w:pPr>
              <w:pStyle w:val="129"/>
              <w:widowControl w:val="0"/>
              <w:rPr>
                <w:color w:val="auto"/>
              </w:rPr>
            </w:pPr>
            <w:r>
              <w:rPr>
                <w:color w:val="auto"/>
              </w:rPr>
              <w:t>Ⅱ 类</w:t>
            </w:r>
          </w:p>
        </w:tc>
      </w:tr>
      <w:tr w14:paraId="482D469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599" w:type="pct"/>
            <w:gridSpan w:val="3"/>
            <w:vMerge w:val="continue"/>
            <w:vAlign w:val="center"/>
          </w:tcPr>
          <w:p w14:paraId="659D6D58">
            <w:pPr>
              <w:pStyle w:val="129"/>
              <w:widowControl w:val="0"/>
              <w:rPr>
                <w:color w:val="auto"/>
              </w:rPr>
            </w:pPr>
          </w:p>
        </w:tc>
        <w:tc>
          <w:tcPr>
            <w:tcW w:w="732" w:type="pct"/>
            <w:vMerge w:val="continue"/>
            <w:vAlign w:val="center"/>
          </w:tcPr>
          <w:p w14:paraId="6378B371">
            <w:pPr>
              <w:pStyle w:val="129"/>
              <w:widowControl w:val="0"/>
              <w:rPr>
                <w:color w:val="auto"/>
              </w:rPr>
            </w:pPr>
          </w:p>
        </w:tc>
        <w:tc>
          <w:tcPr>
            <w:tcW w:w="569" w:type="pct"/>
            <w:vAlign w:val="center"/>
          </w:tcPr>
          <w:p w14:paraId="2888D42A">
            <w:pPr>
              <w:pStyle w:val="129"/>
              <w:widowControl w:val="0"/>
              <w:rPr>
                <w:color w:val="auto"/>
              </w:rPr>
            </w:pPr>
            <w:r>
              <w:rPr>
                <w:color w:val="auto"/>
              </w:rPr>
              <w:t>优等品</w:t>
            </w:r>
          </w:p>
        </w:tc>
        <w:tc>
          <w:tcPr>
            <w:tcW w:w="570" w:type="pct"/>
            <w:vAlign w:val="center"/>
          </w:tcPr>
          <w:p w14:paraId="24400821">
            <w:pPr>
              <w:pStyle w:val="129"/>
              <w:widowControl w:val="0"/>
              <w:rPr>
                <w:color w:val="auto"/>
              </w:rPr>
            </w:pPr>
            <w:r>
              <w:rPr>
                <w:color w:val="auto"/>
              </w:rPr>
              <w:t>一等品</w:t>
            </w:r>
          </w:p>
        </w:tc>
        <w:tc>
          <w:tcPr>
            <w:tcW w:w="530" w:type="pct"/>
            <w:vAlign w:val="center"/>
          </w:tcPr>
          <w:p w14:paraId="4784AEA8">
            <w:pPr>
              <w:pStyle w:val="129"/>
              <w:widowControl w:val="0"/>
              <w:rPr>
                <w:color w:val="auto"/>
              </w:rPr>
            </w:pPr>
            <w:r>
              <w:rPr>
                <w:color w:val="auto"/>
              </w:rPr>
              <w:t>合格品</w:t>
            </w:r>
          </w:p>
        </w:tc>
      </w:tr>
      <w:tr w14:paraId="7FE4CCB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74" w:type="pct"/>
            <w:gridSpan w:val="2"/>
            <w:vAlign w:val="center"/>
          </w:tcPr>
          <w:p w14:paraId="0BFAB7E0">
            <w:pPr>
              <w:pStyle w:val="129"/>
              <w:widowControl w:val="0"/>
              <w:jc w:val="left"/>
              <w:rPr>
                <w:color w:val="auto"/>
              </w:rPr>
            </w:pPr>
            <w:r>
              <w:rPr>
                <w:color w:val="auto"/>
              </w:rPr>
              <w:t>总碱量 (以 Na₂CO₃计，以干基计) w/%</w:t>
            </w:r>
          </w:p>
        </w:tc>
        <w:tc>
          <w:tcPr>
            <w:tcW w:w="325" w:type="pct"/>
            <w:vAlign w:val="center"/>
          </w:tcPr>
          <w:p w14:paraId="2C6CC0C0">
            <w:pPr>
              <w:pStyle w:val="129"/>
              <w:widowControl w:val="0"/>
              <w:rPr>
                <w:color w:val="auto"/>
              </w:rPr>
            </w:pPr>
            <w:r>
              <w:rPr>
                <w:color w:val="auto"/>
              </w:rPr>
              <w:t>≥</w:t>
            </w:r>
          </w:p>
        </w:tc>
        <w:tc>
          <w:tcPr>
            <w:tcW w:w="732" w:type="pct"/>
            <w:vAlign w:val="center"/>
          </w:tcPr>
          <w:p w14:paraId="632B5E50">
            <w:pPr>
              <w:pStyle w:val="129"/>
              <w:widowControl w:val="0"/>
              <w:rPr>
                <w:color w:val="auto"/>
              </w:rPr>
            </w:pPr>
            <w:r>
              <w:rPr>
                <w:color w:val="auto"/>
              </w:rPr>
              <w:t>99.4</w:t>
            </w:r>
          </w:p>
        </w:tc>
        <w:tc>
          <w:tcPr>
            <w:tcW w:w="569" w:type="pct"/>
            <w:vAlign w:val="center"/>
          </w:tcPr>
          <w:p w14:paraId="11CE17BB">
            <w:pPr>
              <w:pStyle w:val="129"/>
              <w:widowControl w:val="0"/>
              <w:rPr>
                <w:color w:val="auto"/>
              </w:rPr>
            </w:pPr>
            <w:r>
              <w:rPr>
                <w:color w:val="auto"/>
              </w:rPr>
              <w:t>99.2</w:t>
            </w:r>
          </w:p>
        </w:tc>
        <w:tc>
          <w:tcPr>
            <w:tcW w:w="570" w:type="pct"/>
            <w:vAlign w:val="center"/>
          </w:tcPr>
          <w:p w14:paraId="2A710D4B">
            <w:pPr>
              <w:pStyle w:val="129"/>
              <w:widowControl w:val="0"/>
              <w:rPr>
                <w:color w:val="auto"/>
              </w:rPr>
            </w:pPr>
            <w:r>
              <w:rPr>
                <w:color w:val="auto"/>
              </w:rPr>
              <w:t>98.8</w:t>
            </w:r>
          </w:p>
        </w:tc>
        <w:tc>
          <w:tcPr>
            <w:tcW w:w="530" w:type="pct"/>
            <w:vAlign w:val="center"/>
          </w:tcPr>
          <w:p w14:paraId="4E17BE1A">
            <w:pPr>
              <w:pStyle w:val="129"/>
              <w:widowControl w:val="0"/>
              <w:rPr>
                <w:color w:val="auto"/>
              </w:rPr>
            </w:pPr>
            <w:r>
              <w:rPr>
                <w:color w:val="auto"/>
              </w:rPr>
              <w:t>98.0</w:t>
            </w:r>
          </w:p>
        </w:tc>
      </w:tr>
      <w:tr w14:paraId="158C05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74" w:type="pct"/>
            <w:gridSpan w:val="2"/>
            <w:vAlign w:val="center"/>
          </w:tcPr>
          <w:p w14:paraId="078DE664">
            <w:pPr>
              <w:pStyle w:val="129"/>
              <w:widowControl w:val="0"/>
              <w:jc w:val="left"/>
              <w:rPr>
                <w:color w:val="auto"/>
              </w:rPr>
            </w:pPr>
            <w:r>
              <w:rPr>
                <w:color w:val="auto"/>
              </w:rPr>
              <w:t>总碱量 (以 Na₂CO₃计，以湿基计)</w:t>
            </w:r>
            <w:r>
              <w:rPr>
                <w:rFonts w:hint="eastAsia"/>
                <w:color w:val="auto"/>
              </w:rPr>
              <w:t>“</w:t>
            </w:r>
            <w:r>
              <w:rPr>
                <w:color w:val="auto"/>
              </w:rPr>
              <w:t xml:space="preserve"> w/%</w:t>
            </w:r>
          </w:p>
        </w:tc>
        <w:tc>
          <w:tcPr>
            <w:tcW w:w="325" w:type="pct"/>
            <w:vAlign w:val="center"/>
          </w:tcPr>
          <w:p w14:paraId="69CC4B70">
            <w:pPr>
              <w:pStyle w:val="129"/>
              <w:widowControl w:val="0"/>
              <w:rPr>
                <w:color w:val="auto"/>
              </w:rPr>
            </w:pPr>
            <w:r>
              <w:rPr>
                <w:color w:val="auto"/>
              </w:rPr>
              <w:t>≥</w:t>
            </w:r>
          </w:p>
        </w:tc>
        <w:tc>
          <w:tcPr>
            <w:tcW w:w="732" w:type="pct"/>
            <w:vAlign w:val="center"/>
          </w:tcPr>
          <w:p w14:paraId="5D7701F8">
            <w:pPr>
              <w:pStyle w:val="129"/>
              <w:widowControl w:val="0"/>
              <w:rPr>
                <w:color w:val="auto"/>
              </w:rPr>
            </w:pPr>
            <w:r>
              <w:rPr>
                <w:color w:val="auto"/>
              </w:rPr>
              <w:t>98.1</w:t>
            </w:r>
          </w:p>
        </w:tc>
        <w:tc>
          <w:tcPr>
            <w:tcW w:w="569" w:type="pct"/>
            <w:vAlign w:val="center"/>
          </w:tcPr>
          <w:p w14:paraId="399371B8">
            <w:pPr>
              <w:pStyle w:val="129"/>
              <w:widowControl w:val="0"/>
              <w:rPr>
                <w:color w:val="auto"/>
              </w:rPr>
            </w:pPr>
            <w:r>
              <w:rPr>
                <w:color w:val="auto"/>
              </w:rPr>
              <w:t>97.9</w:t>
            </w:r>
          </w:p>
        </w:tc>
        <w:tc>
          <w:tcPr>
            <w:tcW w:w="570" w:type="pct"/>
            <w:vAlign w:val="center"/>
          </w:tcPr>
          <w:p w14:paraId="687E6586">
            <w:pPr>
              <w:pStyle w:val="129"/>
              <w:widowControl w:val="0"/>
              <w:rPr>
                <w:color w:val="auto"/>
              </w:rPr>
            </w:pPr>
            <w:r>
              <w:rPr>
                <w:color w:val="auto"/>
              </w:rPr>
              <w:t>97.5</w:t>
            </w:r>
          </w:p>
        </w:tc>
        <w:tc>
          <w:tcPr>
            <w:tcW w:w="530" w:type="pct"/>
            <w:vAlign w:val="center"/>
          </w:tcPr>
          <w:p w14:paraId="5409C309">
            <w:pPr>
              <w:pStyle w:val="129"/>
              <w:widowControl w:val="0"/>
              <w:rPr>
                <w:color w:val="auto"/>
              </w:rPr>
            </w:pPr>
            <w:r>
              <w:rPr>
                <w:color w:val="auto"/>
              </w:rPr>
              <w:t>96.7</w:t>
            </w:r>
          </w:p>
        </w:tc>
      </w:tr>
      <w:tr w14:paraId="12F1AB3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74" w:type="pct"/>
            <w:gridSpan w:val="2"/>
            <w:vAlign w:val="center"/>
          </w:tcPr>
          <w:p w14:paraId="37C30D7A">
            <w:pPr>
              <w:pStyle w:val="129"/>
              <w:widowControl w:val="0"/>
              <w:jc w:val="left"/>
              <w:rPr>
                <w:color w:val="auto"/>
              </w:rPr>
            </w:pPr>
            <w:r>
              <w:rPr>
                <w:color w:val="auto"/>
              </w:rPr>
              <w:t>氯化钠 (以 NaCl 计，以干基计) w/%</w:t>
            </w:r>
          </w:p>
        </w:tc>
        <w:tc>
          <w:tcPr>
            <w:tcW w:w="325" w:type="pct"/>
            <w:vAlign w:val="center"/>
          </w:tcPr>
          <w:p w14:paraId="50E8C14F">
            <w:pPr>
              <w:pStyle w:val="129"/>
              <w:widowControl w:val="0"/>
              <w:rPr>
                <w:color w:val="auto"/>
              </w:rPr>
            </w:pPr>
            <w:r>
              <w:rPr>
                <w:color w:val="auto"/>
              </w:rPr>
              <w:t>≤</w:t>
            </w:r>
          </w:p>
        </w:tc>
        <w:tc>
          <w:tcPr>
            <w:tcW w:w="732" w:type="pct"/>
            <w:vAlign w:val="center"/>
          </w:tcPr>
          <w:p w14:paraId="0C4CD230">
            <w:pPr>
              <w:pStyle w:val="129"/>
              <w:widowControl w:val="0"/>
              <w:rPr>
                <w:color w:val="auto"/>
              </w:rPr>
            </w:pPr>
            <w:r>
              <w:rPr>
                <w:color w:val="auto"/>
              </w:rPr>
              <w:t>0.30</w:t>
            </w:r>
          </w:p>
        </w:tc>
        <w:tc>
          <w:tcPr>
            <w:tcW w:w="569" w:type="pct"/>
            <w:vAlign w:val="center"/>
          </w:tcPr>
          <w:p w14:paraId="7A2830C9">
            <w:pPr>
              <w:pStyle w:val="129"/>
              <w:widowControl w:val="0"/>
              <w:rPr>
                <w:color w:val="auto"/>
              </w:rPr>
            </w:pPr>
            <w:r>
              <w:rPr>
                <w:color w:val="auto"/>
              </w:rPr>
              <w:t>0.70</w:t>
            </w:r>
          </w:p>
        </w:tc>
        <w:tc>
          <w:tcPr>
            <w:tcW w:w="570" w:type="pct"/>
            <w:vAlign w:val="center"/>
          </w:tcPr>
          <w:p w14:paraId="72E47572">
            <w:pPr>
              <w:pStyle w:val="129"/>
              <w:widowControl w:val="0"/>
              <w:rPr>
                <w:color w:val="auto"/>
              </w:rPr>
            </w:pPr>
            <w:r>
              <w:rPr>
                <w:color w:val="auto"/>
              </w:rPr>
              <w:t>0.90</w:t>
            </w:r>
          </w:p>
        </w:tc>
        <w:tc>
          <w:tcPr>
            <w:tcW w:w="530" w:type="pct"/>
            <w:vAlign w:val="center"/>
          </w:tcPr>
          <w:p w14:paraId="417A7BF1">
            <w:pPr>
              <w:pStyle w:val="129"/>
              <w:widowControl w:val="0"/>
              <w:rPr>
                <w:color w:val="auto"/>
              </w:rPr>
            </w:pPr>
            <w:r>
              <w:rPr>
                <w:color w:val="auto"/>
              </w:rPr>
              <w:t>1.20</w:t>
            </w:r>
          </w:p>
        </w:tc>
      </w:tr>
      <w:tr w14:paraId="7406EA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74" w:type="pct"/>
            <w:gridSpan w:val="2"/>
            <w:vAlign w:val="center"/>
          </w:tcPr>
          <w:p w14:paraId="5C4113B9">
            <w:pPr>
              <w:pStyle w:val="129"/>
              <w:widowControl w:val="0"/>
              <w:jc w:val="left"/>
              <w:rPr>
                <w:color w:val="auto"/>
              </w:rPr>
            </w:pPr>
            <w:r>
              <w:rPr>
                <w:color w:val="auto"/>
              </w:rPr>
              <w:t>铁 (Fe, 以干基计) w/%</w:t>
            </w:r>
          </w:p>
        </w:tc>
        <w:tc>
          <w:tcPr>
            <w:tcW w:w="325" w:type="pct"/>
            <w:vAlign w:val="center"/>
          </w:tcPr>
          <w:p w14:paraId="479E7E64">
            <w:pPr>
              <w:pStyle w:val="129"/>
              <w:widowControl w:val="0"/>
              <w:rPr>
                <w:color w:val="auto"/>
              </w:rPr>
            </w:pPr>
            <w:r>
              <w:rPr>
                <w:color w:val="auto"/>
              </w:rPr>
              <w:t>≤</w:t>
            </w:r>
          </w:p>
        </w:tc>
        <w:tc>
          <w:tcPr>
            <w:tcW w:w="732" w:type="pct"/>
            <w:vAlign w:val="center"/>
          </w:tcPr>
          <w:p w14:paraId="2663A888">
            <w:pPr>
              <w:pStyle w:val="129"/>
              <w:widowControl w:val="0"/>
              <w:rPr>
                <w:color w:val="auto"/>
              </w:rPr>
            </w:pPr>
            <w:r>
              <w:rPr>
                <w:color w:val="auto"/>
              </w:rPr>
              <w:t>0.0025</w:t>
            </w:r>
          </w:p>
        </w:tc>
        <w:tc>
          <w:tcPr>
            <w:tcW w:w="569" w:type="pct"/>
            <w:vAlign w:val="center"/>
          </w:tcPr>
          <w:p w14:paraId="584539F4">
            <w:pPr>
              <w:pStyle w:val="129"/>
              <w:widowControl w:val="0"/>
              <w:rPr>
                <w:color w:val="auto"/>
              </w:rPr>
            </w:pPr>
            <w:r>
              <w:rPr>
                <w:color w:val="auto"/>
              </w:rPr>
              <w:t>0.0035</w:t>
            </w:r>
          </w:p>
        </w:tc>
        <w:tc>
          <w:tcPr>
            <w:tcW w:w="570" w:type="pct"/>
            <w:vAlign w:val="center"/>
          </w:tcPr>
          <w:p w14:paraId="72CD2998">
            <w:pPr>
              <w:pStyle w:val="129"/>
              <w:widowControl w:val="0"/>
              <w:rPr>
                <w:color w:val="auto"/>
              </w:rPr>
            </w:pPr>
            <w:r>
              <w:rPr>
                <w:color w:val="auto"/>
              </w:rPr>
              <w:t>0.0055</w:t>
            </w:r>
          </w:p>
        </w:tc>
        <w:tc>
          <w:tcPr>
            <w:tcW w:w="530" w:type="pct"/>
            <w:vAlign w:val="center"/>
          </w:tcPr>
          <w:p w14:paraId="43C191E6">
            <w:pPr>
              <w:pStyle w:val="129"/>
              <w:widowControl w:val="0"/>
              <w:rPr>
                <w:color w:val="auto"/>
              </w:rPr>
            </w:pPr>
            <w:r>
              <w:rPr>
                <w:color w:val="auto"/>
              </w:rPr>
              <w:t>0.0085</w:t>
            </w:r>
          </w:p>
        </w:tc>
      </w:tr>
      <w:tr w14:paraId="14793CD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74" w:type="pct"/>
            <w:gridSpan w:val="2"/>
            <w:vAlign w:val="center"/>
          </w:tcPr>
          <w:p w14:paraId="48691C3F">
            <w:pPr>
              <w:pStyle w:val="129"/>
              <w:widowControl w:val="0"/>
              <w:jc w:val="left"/>
              <w:rPr>
                <w:color w:val="auto"/>
              </w:rPr>
            </w:pPr>
            <w:r>
              <w:rPr>
                <w:color w:val="auto"/>
              </w:rPr>
              <w:t>硫酸盐 (以 SO₄计，以干基计) w/%</w:t>
            </w:r>
          </w:p>
        </w:tc>
        <w:tc>
          <w:tcPr>
            <w:tcW w:w="325" w:type="pct"/>
            <w:vAlign w:val="center"/>
          </w:tcPr>
          <w:p w14:paraId="036D7BD3">
            <w:pPr>
              <w:pStyle w:val="129"/>
              <w:widowControl w:val="0"/>
              <w:rPr>
                <w:color w:val="auto"/>
              </w:rPr>
            </w:pPr>
            <w:r>
              <w:rPr>
                <w:color w:val="auto"/>
              </w:rPr>
              <w:t>≤</w:t>
            </w:r>
          </w:p>
        </w:tc>
        <w:tc>
          <w:tcPr>
            <w:tcW w:w="732" w:type="pct"/>
            <w:vAlign w:val="center"/>
          </w:tcPr>
          <w:p w14:paraId="1A340673">
            <w:pPr>
              <w:pStyle w:val="129"/>
              <w:widowControl w:val="0"/>
              <w:rPr>
                <w:color w:val="auto"/>
              </w:rPr>
            </w:pPr>
            <w:r>
              <w:rPr>
                <w:color w:val="auto"/>
              </w:rPr>
              <w:t>0.03</w:t>
            </w:r>
          </w:p>
        </w:tc>
        <w:tc>
          <w:tcPr>
            <w:tcW w:w="569" w:type="pct"/>
            <w:vAlign w:val="center"/>
          </w:tcPr>
          <w:p w14:paraId="58E8377A">
            <w:pPr>
              <w:pStyle w:val="129"/>
              <w:widowControl w:val="0"/>
              <w:rPr>
                <w:color w:val="auto"/>
              </w:rPr>
            </w:pPr>
            <w:r>
              <w:rPr>
                <w:color w:val="auto"/>
              </w:rPr>
              <w:t>—</w:t>
            </w:r>
          </w:p>
        </w:tc>
        <w:tc>
          <w:tcPr>
            <w:tcW w:w="570" w:type="pct"/>
            <w:vAlign w:val="center"/>
          </w:tcPr>
          <w:p w14:paraId="5FA52B05">
            <w:pPr>
              <w:pStyle w:val="129"/>
              <w:widowControl w:val="0"/>
              <w:rPr>
                <w:color w:val="auto"/>
              </w:rPr>
            </w:pPr>
            <w:r>
              <w:rPr>
                <w:color w:val="auto"/>
              </w:rPr>
              <w:t>—</w:t>
            </w:r>
          </w:p>
        </w:tc>
        <w:tc>
          <w:tcPr>
            <w:tcW w:w="530" w:type="pct"/>
            <w:vAlign w:val="center"/>
          </w:tcPr>
          <w:p w14:paraId="5E7047A4">
            <w:pPr>
              <w:pStyle w:val="129"/>
              <w:widowControl w:val="0"/>
              <w:rPr>
                <w:color w:val="auto"/>
              </w:rPr>
            </w:pPr>
            <w:r>
              <w:rPr>
                <w:color w:val="auto"/>
              </w:rPr>
              <w:t>—</w:t>
            </w:r>
          </w:p>
        </w:tc>
      </w:tr>
      <w:tr w14:paraId="7D82B6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74" w:type="pct"/>
            <w:gridSpan w:val="2"/>
            <w:vAlign w:val="center"/>
          </w:tcPr>
          <w:p w14:paraId="0A1FCAEB">
            <w:pPr>
              <w:pStyle w:val="129"/>
              <w:widowControl w:val="0"/>
              <w:jc w:val="left"/>
              <w:rPr>
                <w:color w:val="auto"/>
              </w:rPr>
            </w:pPr>
            <w:r>
              <w:rPr>
                <w:color w:val="auto"/>
              </w:rPr>
              <w:t>水不溶物 w / %</w:t>
            </w:r>
          </w:p>
        </w:tc>
        <w:tc>
          <w:tcPr>
            <w:tcW w:w="325" w:type="pct"/>
            <w:vAlign w:val="center"/>
          </w:tcPr>
          <w:p w14:paraId="00B83F70">
            <w:pPr>
              <w:pStyle w:val="129"/>
              <w:widowControl w:val="0"/>
              <w:rPr>
                <w:color w:val="auto"/>
              </w:rPr>
            </w:pPr>
            <w:r>
              <w:rPr>
                <w:color w:val="auto"/>
              </w:rPr>
              <w:t>≤</w:t>
            </w:r>
          </w:p>
        </w:tc>
        <w:tc>
          <w:tcPr>
            <w:tcW w:w="732" w:type="pct"/>
            <w:vAlign w:val="center"/>
          </w:tcPr>
          <w:p w14:paraId="376669A7">
            <w:pPr>
              <w:pStyle w:val="129"/>
              <w:widowControl w:val="0"/>
              <w:rPr>
                <w:color w:val="auto"/>
              </w:rPr>
            </w:pPr>
            <w:r>
              <w:rPr>
                <w:color w:val="auto"/>
              </w:rPr>
              <w:t>0.02</w:t>
            </w:r>
          </w:p>
        </w:tc>
        <w:tc>
          <w:tcPr>
            <w:tcW w:w="569" w:type="pct"/>
            <w:vAlign w:val="center"/>
          </w:tcPr>
          <w:p w14:paraId="6EF00DD3">
            <w:pPr>
              <w:pStyle w:val="129"/>
              <w:widowControl w:val="0"/>
              <w:rPr>
                <w:color w:val="auto"/>
              </w:rPr>
            </w:pPr>
            <w:r>
              <w:rPr>
                <w:color w:val="auto"/>
              </w:rPr>
              <w:t>0.03</w:t>
            </w:r>
          </w:p>
        </w:tc>
        <w:tc>
          <w:tcPr>
            <w:tcW w:w="570" w:type="pct"/>
            <w:vAlign w:val="center"/>
          </w:tcPr>
          <w:p w14:paraId="0A4F3B03">
            <w:pPr>
              <w:pStyle w:val="129"/>
              <w:widowControl w:val="0"/>
              <w:rPr>
                <w:color w:val="auto"/>
              </w:rPr>
            </w:pPr>
            <w:r>
              <w:rPr>
                <w:color w:val="auto"/>
              </w:rPr>
              <w:t>0.10</w:t>
            </w:r>
          </w:p>
        </w:tc>
        <w:tc>
          <w:tcPr>
            <w:tcW w:w="530" w:type="pct"/>
            <w:vAlign w:val="center"/>
          </w:tcPr>
          <w:p w14:paraId="1C97902C">
            <w:pPr>
              <w:pStyle w:val="129"/>
              <w:widowControl w:val="0"/>
              <w:rPr>
                <w:color w:val="auto"/>
              </w:rPr>
            </w:pPr>
            <w:r>
              <w:rPr>
                <w:color w:val="auto"/>
              </w:rPr>
              <w:t>0.15</w:t>
            </w:r>
          </w:p>
        </w:tc>
      </w:tr>
      <w:tr w14:paraId="4C40CE1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74" w:type="pct"/>
            <w:gridSpan w:val="2"/>
            <w:vAlign w:val="center"/>
          </w:tcPr>
          <w:p w14:paraId="1AA64099">
            <w:pPr>
              <w:pStyle w:val="129"/>
              <w:widowControl w:val="0"/>
              <w:jc w:val="left"/>
              <w:rPr>
                <w:color w:val="auto"/>
              </w:rPr>
            </w:pPr>
            <w:r>
              <w:rPr>
                <w:color w:val="auto"/>
              </w:rPr>
              <w:t>堆积密度</w:t>
            </w:r>
            <w:r>
              <w:rPr>
                <w:rFonts w:hint="eastAsia"/>
                <w:color w:val="auto"/>
              </w:rPr>
              <w:t>’</w:t>
            </w:r>
            <w:r>
              <w:rPr>
                <w:color w:val="auto"/>
              </w:rPr>
              <w:t>/(g/mL)</w:t>
            </w:r>
          </w:p>
        </w:tc>
        <w:tc>
          <w:tcPr>
            <w:tcW w:w="325" w:type="pct"/>
            <w:vAlign w:val="center"/>
          </w:tcPr>
          <w:p w14:paraId="7708E0E8">
            <w:pPr>
              <w:pStyle w:val="129"/>
              <w:widowControl w:val="0"/>
              <w:rPr>
                <w:color w:val="auto"/>
              </w:rPr>
            </w:pPr>
            <w:r>
              <w:rPr>
                <w:color w:val="auto"/>
              </w:rPr>
              <w:t>≥</w:t>
            </w:r>
          </w:p>
        </w:tc>
        <w:tc>
          <w:tcPr>
            <w:tcW w:w="732" w:type="pct"/>
            <w:vAlign w:val="center"/>
          </w:tcPr>
          <w:p w14:paraId="2AA90E62">
            <w:pPr>
              <w:pStyle w:val="129"/>
              <w:widowControl w:val="0"/>
              <w:rPr>
                <w:color w:val="auto"/>
              </w:rPr>
            </w:pPr>
            <w:r>
              <w:rPr>
                <w:color w:val="auto"/>
              </w:rPr>
              <w:t>0.85</w:t>
            </w:r>
          </w:p>
        </w:tc>
        <w:tc>
          <w:tcPr>
            <w:tcW w:w="569" w:type="pct"/>
            <w:vAlign w:val="center"/>
          </w:tcPr>
          <w:p w14:paraId="329980DF">
            <w:pPr>
              <w:pStyle w:val="129"/>
              <w:widowControl w:val="0"/>
              <w:rPr>
                <w:color w:val="auto"/>
              </w:rPr>
            </w:pPr>
            <w:r>
              <w:rPr>
                <w:color w:val="auto"/>
              </w:rPr>
              <w:t>0.90</w:t>
            </w:r>
          </w:p>
        </w:tc>
        <w:tc>
          <w:tcPr>
            <w:tcW w:w="570" w:type="pct"/>
            <w:vAlign w:val="center"/>
          </w:tcPr>
          <w:p w14:paraId="45F1B87D">
            <w:pPr>
              <w:pStyle w:val="129"/>
              <w:widowControl w:val="0"/>
              <w:rPr>
                <w:color w:val="auto"/>
              </w:rPr>
            </w:pPr>
            <w:r>
              <w:rPr>
                <w:color w:val="auto"/>
              </w:rPr>
              <w:t>0.90</w:t>
            </w:r>
          </w:p>
        </w:tc>
        <w:tc>
          <w:tcPr>
            <w:tcW w:w="530" w:type="pct"/>
            <w:vAlign w:val="center"/>
          </w:tcPr>
          <w:p w14:paraId="653F6634">
            <w:pPr>
              <w:pStyle w:val="129"/>
              <w:widowControl w:val="0"/>
              <w:rPr>
                <w:color w:val="auto"/>
              </w:rPr>
            </w:pPr>
            <w:r>
              <w:rPr>
                <w:color w:val="auto"/>
              </w:rPr>
              <w:t>0.90</w:t>
            </w:r>
          </w:p>
        </w:tc>
      </w:tr>
      <w:tr w14:paraId="0ECC1E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Merge w:val="restart"/>
            <w:vAlign w:val="center"/>
          </w:tcPr>
          <w:p w14:paraId="6D2EB266">
            <w:pPr>
              <w:pStyle w:val="129"/>
              <w:widowControl w:val="0"/>
              <w:rPr>
                <w:color w:val="auto"/>
              </w:rPr>
            </w:pPr>
            <w:r>
              <w:rPr>
                <w:color w:val="auto"/>
              </w:rPr>
              <w:t>粒度</w:t>
            </w:r>
          </w:p>
        </w:tc>
        <w:tc>
          <w:tcPr>
            <w:tcW w:w="1547" w:type="pct"/>
            <w:vAlign w:val="center"/>
          </w:tcPr>
          <w:p w14:paraId="337EEACB">
            <w:pPr>
              <w:pStyle w:val="129"/>
              <w:widowControl w:val="0"/>
              <w:rPr>
                <w:color w:val="auto"/>
              </w:rPr>
            </w:pPr>
            <w:r>
              <w:rPr>
                <w:color w:val="auto"/>
              </w:rPr>
              <w:t>180 μm 筛余物 w/%</w:t>
            </w:r>
          </w:p>
        </w:tc>
        <w:tc>
          <w:tcPr>
            <w:tcW w:w="325" w:type="pct"/>
            <w:vAlign w:val="center"/>
          </w:tcPr>
          <w:p w14:paraId="27022B6A">
            <w:pPr>
              <w:pStyle w:val="129"/>
              <w:widowControl w:val="0"/>
              <w:rPr>
                <w:color w:val="auto"/>
              </w:rPr>
            </w:pPr>
            <w:r>
              <w:rPr>
                <w:color w:val="auto"/>
              </w:rPr>
              <w:t>≥</w:t>
            </w:r>
          </w:p>
        </w:tc>
        <w:tc>
          <w:tcPr>
            <w:tcW w:w="732" w:type="pct"/>
            <w:vAlign w:val="center"/>
          </w:tcPr>
          <w:p w14:paraId="194847CB">
            <w:pPr>
              <w:pStyle w:val="129"/>
              <w:widowControl w:val="0"/>
              <w:rPr>
                <w:color w:val="auto"/>
              </w:rPr>
            </w:pPr>
            <w:r>
              <w:rPr>
                <w:color w:val="auto"/>
              </w:rPr>
              <w:t>75.0</w:t>
            </w:r>
          </w:p>
        </w:tc>
        <w:tc>
          <w:tcPr>
            <w:tcW w:w="569" w:type="pct"/>
            <w:vAlign w:val="center"/>
          </w:tcPr>
          <w:p w14:paraId="04F6F8C3">
            <w:pPr>
              <w:pStyle w:val="129"/>
              <w:widowControl w:val="0"/>
              <w:rPr>
                <w:color w:val="auto"/>
              </w:rPr>
            </w:pPr>
            <w:r>
              <w:rPr>
                <w:color w:val="auto"/>
              </w:rPr>
              <w:t>70.0</w:t>
            </w:r>
          </w:p>
        </w:tc>
        <w:tc>
          <w:tcPr>
            <w:tcW w:w="570" w:type="pct"/>
            <w:vAlign w:val="center"/>
          </w:tcPr>
          <w:p w14:paraId="11B2054B">
            <w:pPr>
              <w:pStyle w:val="129"/>
              <w:widowControl w:val="0"/>
              <w:rPr>
                <w:color w:val="auto"/>
              </w:rPr>
            </w:pPr>
            <w:r>
              <w:rPr>
                <w:color w:val="auto"/>
              </w:rPr>
              <w:t>65.0</w:t>
            </w:r>
          </w:p>
        </w:tc>
        <w:tc>
          <w:tcPr>
            <w:tcW w:w="530" w:type="pct"/>
            <w:vAlign w:val="center"/>
          </w:tcPr>
          <w:p w14:paraId="7581C76A">
            <w:pPr>
              <w:pStyle w:val="129"/>
              <w:widowControl w:val="0"/>
              <w:rPr>
                <w:color w:val="auto"/>
              </w:rPr>
            </w:pPr>
            <w:r>
              <w:rPr>
                <w:color w:val="auto"/>
              </w:rPr>
              <w:t>60.0</w:t>
            </w:r>
          </w:p>
        </w:tc>
      </w:tr>
      <w:tr w14:paraId="2392D1F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27" w:type="pct"/>
            <w:vMerge w:val="continue"/>
            <w:vAlign w:val="center"/>
          </w:tcPr>
          <w:p w14:paraId="47A9ABF8">
            <w:pPr>
              <w:pStyle w:val="129"/>
              <w:widowControl w:val="0"/>
              <w:rPr>
                <w:color w:val="auto"/>
              </w:rPr>
            </w:pPr>
          </w:p>
        </w:tc>
        <w:tc>
          <w:tcPr>
            <w:tcW w:w="1547" w:type="pct"/>
            <w:vAlign w:val="center"/>
          </w:tcPr>
          <w:p w14:paraId="53371B5D">
            <w:pPr>
              <w:pStyle w:val="129"/>
              <w:widowControl w:val="0"/>
              <w:rPr>
                <w:color w:val="auto"/>
              </w:rPr>
            </w:pPr>
            <w:r>
              <w:rPr>
                <w:color w:val="auto"/>
              </w:rPr>
              <w:t>1.18 mm 筛余物 w/%</w:t>
            </w:r>
          </w:p>
        </w:tc>
        <w:tc>
          <w:tcPr>
            <w:tcW w:w="325" w:type="pct"/>
            <w:vAlign w:val="center"/>
          </w:tcPr>
          <w:p w14:paraId="0421A990">
            <w:pPr>
              <w:pStyle w:val="129"/>
              <w:widowControl w:val="0"/>
              <w:rPr>
                <w:color w:val="auto"/>
              </w:rPr>
            </w:pPr>
            <w:r>
              <w:rPr>
                <w:color w:val="auto"/>
              </w:rPr>
              <w:t>≤</w:t>
            </w:r>
          </w:p>
        </w:tc>
        <w:tc>
          <w:tcPr>
            <w:tcW w:w="732" w:type="pct"/>
            <w:vAlign w:val="center"/>
          </w:tcPr>
          <w:p w14:paraId="1A72A692">
            <w:pPr>
              <w:pStyle w:val="129"/>
              <w:widowControl w:val="0"/>
              <w:rPr>
                <w:color w:val="auto"/>
              </w:rPr>
            </w:pPr>
            <w:r>
              <w:rPr>
                <w:color w:val="auto"/>
              </w:rPr>
              <w:t>2.0</w:t>
            </w:r>
          </w:p>
        </w:tc>
        <w:tc>
          <w:tcPr>
            <w:tcW w:w="569" w:type="pct"/>
            <w:vAlign w:val="center"/>
          </w:tcPr>
          <w:p w14:paraId="3B6CFDCA">
            <w:pPr>
              <w:pStyle w:val="129"/>
              <w:widowControl w:val="0"/>
              <w:rPr>
                <w:color w:val="auto"/>
              </w:rPr>
            </w:pPr>
          </w:p>
        </w:tc>
        <w:tc>
          <w:tcPr>
            <w:tcW w:w="570" w:type="pct"/>
            <w:vAlign w:val="center"/>
          </w:tcPr>
          <w:p w14:paraId="5F51048C">
            <w:pPr>
              <w:pStyle w:val="129"/>
              <w:widowControl w:val="0"/>
              <w:rPr>
                <w:color w:val="auto"/>
              </w:rPr>
            </w:pPr>
          </w:p>
        </w:tc>
        <w:tc>
          <w:tcPr>
            <w:tcW w:w="530" w:type="pct"/>
            <w:vAlign w:val="center"/>
          </w:tcPr>
          <w:p w14:paraId="42286AB7">
            <w:pPr>
              <w:pStyle w:val="129"/>
              <w:widowControl w:val="0"/>
              <w:rPr>
                <w:color w:val="auto"/>
              </w:rPr>
            </w:pPr>
          </w:p>
        </w:tc>
      </w:tr>
      <w:tr w14:paraId="51959F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7"/>
            <w:vAlign w:val="center"/>
          </w:tcPr>
          <w:p w14:paraId="528E92C7">
            <w:pPr>
              <w:pStyle w:val="129"/>
              <w:widowControl w:val="0"/>
              <w:ind w:left="210" w:hanging="210" w:hangingChars="100"/>
              <w:jc w:val="left"/>
              <w:rPr>
                <w:color w:val="auto"/>
              </w:rPr>
            </w:pPr>
            <w:r>
              <w:rPr>
                <w:rFonts w:hint="eastAsia"/>
                <w:color w:val="auto"/>
              </w:rPr>
              <w:t>“</w:t>
            </w:r>
            <w:r>
              <w:rPr>
                <w:color w:val="auto"/>
              </w:rPr>
              <w:t>为包装时含量，交货时产品中总碱量乘以交货产品的质量再除以交货清单上产品的质量之值不应低于此数值。</w:t>
            </w:r>
          </w:p>
          <w:p w14:paraId="42A1BB27">
            <w:pPr>
              <w:pStyle w:val="129"/>
              <w:widowControl w:val="0"/>
              <w:jc w:val="left"/>
              <w:rPr>
                <w:color w:val="auto"/>
              </w:rPr>
            </w:pPr>
            <w:r>
              <w:rPr>
                <w:rFonts w:hint="eastAsia"/>
                <w:color w:val="auto"/>
              </w:rPr>
              <w:t>’</w:t>
            </w:r>
            <w:r>
              <w:rPr>
                <w:color w:val="auto"/>
              </w:rPr>
              <w:t>为重质碳酸钠控制指标。</w:t>
            </w:r>
          </w:p>
        </w:tc>
      </w:tr>
      <w:bookmarkEnd w:id="196"/>
    </w:tbl>
    <w:p w14:paraId="740F5E3E">
      <w:pPr>
        <w:pStyle w:val="4"/>
        <w:rPr>
          <w:color w:val="auto"/>
        </w:rPr>
      </w:pPr>
      <w:bookmarkStart w:id="197" w:name="_Toc9802"/>
      <w:bookmarkStart w:id="198" w:name="_Toc32193"/>
      <w:bookmarkStart w:id="199" w:name="_Toc337821207"/>
      <w:bookmarkStart w:id="200" w:name="_Hlk174089633"/>
      <w:r>
        <w:rPr>
          <w:rFonts w:hint="eastAsia"/>
          <w:color w:val="auto"/>
        </w:rPr>
        <w:t>厂区平面布置</w:t>
      </w:r>
      <w:bookmarkEnd w:id="197"/>
      <w:bookmarkEnd w:id="198"/>
      <w:bookmarkEnd w:id="199"/>
    </w:p>
    <w:p w14:paraId="0C9F57DA">
      <w:pPr>
        <w:pStyle w:val="5"/>
        <w:rPr>
          <w:color w:val="auto"/>
        </w:rPr>
      </w:pPr>
      <w:r>
        <w:rPr>
          <w:rFonts w:hint="eastAsia"/>
          <w:color w:val="auto"/>
        </w:rPr>
        <w:t>总平面布置</w:t>
      </w:r>
    </w:p>
    <w:p w14:paraId="57FA0C41">
      <w:pPr>
        <w:pStyle w:val="132"/>
        <w:rPr>
          <w:color w:val="auto"/>
        </w:rPr>
      </w:pPr>
      <w:r>
        <w:rPr>
          <w:rFonts w:hint="eastAsia"/>
          <w:color w:val="auto"/>
        </w:rPr>
        <w:t xml:space="preserve">（1）总平面布置原则 </w:t>
      </w:r>
    </w:p>
    <w:p w14:paraId="2EB4ED16">
      <w:pPr>
        <w:pStyle w:val="132"/>
        <w:rPr>
          <w:color w:val="auto"/>
        </w:rPr>
      </w:pPr>
      <w:r>
        <w:rPr>
          <w:rFonts w:hint="eastAsia"/>
          <w:color w:val="auto"/>
        </w:rPr>
        <w:t xml:space="preserve">满足工艺生产要求，做到流程顺畅、管道便捷；功能分区明确、布置紧凑、节约用地、平衡土方量；符合当地区域规划，遵守有关安全、防火设计规范。 </w:t>
      </w:r>
    </w:p>
    <w:p w14:paraId="6DF825CD">
      <w:pPr>
        <w:pStyle w:val="132"/>
        <w:rPr>
          <w:color w:val="auto"/>
        </w:rPr>
      </w:pPr>
      <w:r>
        <w:rPr>
          <w:rFonts w:hint="eastAsia"/>
          <w:color w:val="auto"/>
        </w:rPr>
        <w:t xml:space="preserve">（2）总平面布置方案 </w:t>
      </w:r>
    </w:p>
    <w:p w14:paraId="63CF2E3E">
      <w:pPr>
        <w:pStyle w:val="132"/>
        <w:rPr>
          <w:color w:val="auto"/>
        </w:rPr>
      </w:pPr>
      <w:r>
        <w:rPr>
          <w:rFonts w:hint="eastAsia"/>
          <w:color w:val="auto"/>
        </w:rPr>
        <w:t xml:space="preserve">1）主要组成 </w:t>
      </w:r>
    </w:p>
    <w:p w14:paraId="1E2DFBA2">
      <w:pPr>
        <w:pStyle w:val="132"/>
        <w:rPr>
          <w:color w:val="auto"/>
        </w:rPr>
      </w:pPr>
      <w:r>
        <w:rPr>
          <w:rFonts w:hint="eastAsia"/>
          <w:color w:val="auto"/>
        </w:rPr>
        <w:t>本项目总图布置主要由生产车间、循环水站、配电室、仓库一、仓库二、仓库三、危险废物暂存间、锅炉房、综合楼、消防水池等组成。</w:t>
      </w:r>
    </w:p>
    <w:p w14:paraId="651B3A09">
      <w:pPr>
        <w:pStyle w:val="132"/>
        <w:rPr>
          <w:color w:val="auto"/>
        </w:rPr>
      </w:pPr>
      <w:r>
        <w:rPr>
          <w:rFonts w:hint="eastAsia"/>
          <w:color w:val="auto"/>
        </w:rPr>
        <w:t xml:space="preserve">2）总图方案说明 </w:t>
      </w:r>
    </w:p>
    <w:p w14:paraId="608E5059">
      <w:pPr>
        <w:pStyle w:val="132"/>
        <w:rPr>
          <w:color w:val="auto"/>
        </w:rPr>
      </w:pPr>
      <w:r>
        <w:rPr>
          <w:rFonts w:hint="eastAsia"/>
          <w:color w:val="auto"/>
        </w:rPr>
        <w:t xml:space="preserve">厂前区位于厂区的南侧，由综合楼、锅炉房和消防泵房组成，与生产车间保持一定的距离。循环水站和配电室位于生产厂房北侧，与生产厂房相邻，三座仓库由南向北依次布置。 </w:t>
      </w:r>
    </w:p>
    <w:p w14:paraId="4EAD4172">
      <w:pPr>
        <w:pStyle w:val="132"/>
        <w:rPr>
          <w:color w:val="auto"/>
        </w:rPr>
      </w:pPr>
      <w:r>
        <w:rPr>
          <w:rFonts w:hint="eastAsia"/>
          <w:color w:val="auto"/>
        </w:rPr>
        <w:t xml:space="preserve">本项目设置1个出入口，位于厂区南侧，满足消防救援的要求。 </w:t>
      </w:r>
    </w:p>
    <w:p w14:paraId="67B48775">
      <w:pPr>
        <w:pStyle w:val="132"/>
        <w:rPr>
          <w:color w:val="auto"/>
        </w:rPr>
      </w:pPr>
      <w:r>
        <w:rPr>
          <w:rFonts w:hint="eastAsia"/>
          <w:color w:val="auto"/>
        </w:rPr>
        <w:t xml:space="preserve">本项目总平面布置各装置之间的防火间距符合《石油化工企业设计防火标准》（2018年版）（GB50160-2008）及《建筑设计防火规范》（GB 50016-2014[2018年版]）的要求。 </w:t>
      </w:r>
    </w:p>
    <w:p w14:paraId="13BD7391">
      <w:pPr>
        <w:pStyle w:val="5"/>
        <w:rPr>
          <w:color w:val="auto"/>
        </w:rPr>
      </w:pPr>
      <w:r>
        <w:rPr>
          <w:rFonts w:hint="eastAsia"/>
          <w:color w:val="auto"/>
        </w:rPr>
        <w:t xml:space="preserve">竖向布置 </w:t>
      </w:r>
    </w:p>
    <w:p w14:paraId="66072FE8">
      <w:pPr>
        <w:pStyle w:val="132"/>
        <w:rPr>
          <w:color w:val="auto"/>
        </w:rPr>
      </w:pPr>
      <w:r>
        <w:rPr>
          <w:rFonts w:hint="eastAsia"/>
          <w:color w:val="auto"/>
        </w:rPr>
        <w:t xml:space="preserve">（1）竖向布置原则 </w:t>
      </w:r>
    </w:p>
    <w:p w14:paraId="3CC5B3E5">
      <w:pPr>
        <w:pStyle w:val="132"/>
        <w:rPr>
          <w:color w:val="auto"/>
        </w:rPr>
      </w:pPr>
      <w:r>
        <w:rPr>
          <w:rFonts w:hint="eastAsia"/>
          <w:color w:val="auto"/>
        </w:rPr>
        <w:t xml:space="preserve">合理确定竖向布置方案，减少土石方工程量，力求土石方平衡；保障雨水排出顺畅，同时力争利用夏季雨水保持水土植被；保证厂内道路系统与外部道路衔接顺畅；满足车辆进出厂房要求；满足防洪排涝要求；与周边场地相协调。 </w:t>
      </w:r>
    </w:p>
    <w:p w14:paraId="07931F27">
      <w:pPr>
        <w:pStyle w:val="132"/>
        <w:rPr>
          <w:color w:val="auto"/>
        </w:rPr>
      </w:pPr>
      <w:r>
        <w:rPr>
          <w:rFonts w:hint="eastAsia"/>
          <w:color w:val="auto"/>
        </w:rPr>
        <w:t>（2）本项目竖向布置采用平坡式，场地的清净雨水采用暗管形式接入园区下水管网。</w:t>
      </w:r>
    </w:p>
    <w:p w14:paraId="321ECF2B">
      <w:pPr>
        <w:pStyle w:val="5"/>
        <w:rPr>
          <w:color w:val="auto"/>
        </w:rPr>
      </w:pPr>
      <w:r>
        <w:rPr>
          <w:rFonts w:hint="eastAsia"/>
          <w:color w:val="auto"/>
        </w:rPr>
        <w:t>总图主要技术指标</w:t>
      </w:r>
    </w:p>
    <w:p w14:paraId="62FE80B5">
      <w:pPr>
        <w:pStyle w:val="132"/>
        <w:rPr>
          <w:color w:val="auto"/>
        </w:rPr>
      </w:pPr>
      <w:r>
        <w:rPr>
          <w:rFonts w:hint="eastAsia"/>
          <w:color w:val="auto"/>
        </w:rPr>
        <w:t>总图主要技术指标见表3.1-20。</w:t>
      </w:r>
    </w:p>
    <w:bookmarkEnd w:id="200"/>
    <w:p w14:paraId="589C82A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20</w:t>
      </w:r>
      <w:r>
        <w:rPr>
          <w:color w:val="auto"/>
        </w:rPr>
        <w:fldChar w:fldCharType="end"/>
      </w:r>
      <w:r>
        <w:rPr>
          <w:color w:val="auto"/>
        </w:rPr>
        <w:t xml:space="preserve"> </w:t>
      </w:r>
      <w:r>
        <w:rPr>
          <w:rFonts w:hint="eastAsia"/>
          <w:color w:val="auto"/>
        </w:rPr>
        <w:t xml:space="preserve">  总图运输主要经济技术指标表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343"/>
        <w:gridCol w:w="3307"/>
        <w:gridCol w:w="1351"/>
        <w:gridCol w:w="2785"/>
      </w:tblGrid>
      <w:tr w14:paraId="4529C66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074D5E3F">
            <w:pPr>
              <w:pStyle w:val="129"/>
              <w:widowControl w:val="0"/>
              <w:rPr>
                <w:color w:val="auto"/>
              </w:rPr>
            </w:pPr>
            <w:r>
              <w:rPr>
                <w:rFonts w:hint="eastAsia"/>
                <w:color w:val="auto"/>
              </w:rPr>
              <w:t>序号</w:t>
            </w:r>
          </w:p>
        </w:tc>
        <w:tc>
          <w:tcPr>
            <w:tcW w:w="1882" w:type="pct"/>
            <w:vAlign w:val="center"/>
          </w:tcPr>
          <w:p w14:paraId="3E2549FD">
            <w:pPr>
              <w:pStyle w:val="129"/>
              <w:widowControl w:val="0"/>
              <w:rPr>
                <w:color w:val="auto"/>
              </w:rPr>
            </w:pPr>
            <w:r>
              <w:rPr>
                <w:rFonts w:hint="eastAsia"/>
                <w:color w:val="auto"/>
              </w:rPr>
              <w:t>项目</w:t>
            </w:r>
          </w:p>
        </w:tc>
        <w:tc>
          <w:tcPr>
            <w:tcW w:w="769" w:type="pct"/>
            <w:vAlign w:val="center"/>
          </w:tcPr>
          <w:p w14:paraId="3794441B">
            <w:pPr>
              <w:pStyle w:val="129"/>
              <w:widowControl w:val="0"/>
              <w:rPr>
                <w:color w:val="auto"/>
              </w:rPr>
            </w:pPr>
            <w:r>
              <w:rPr>
                <w:rFonts w:hint="eastAsia"/>
                <w:color w:val="auto"/>
              </w:rPr>
              <w:t>单位</w:t>
            </w:r>
          </w:p>
        </w:tc>
        <w:tc>
          <w:tcPr>
            <w:tcW w:w="1585" w:type="pct"/>
            <w:vAlign w:val="center"/>
          </w:tcPr>
          <w:p w14:paraId="4E058771">
            <w:pPr>
              <w:pStyle w:val="129"/>
              <w:widowControl w:val="0"/>
              <w:rPr>
                <w:color w:val="auto"/>
              </w:rPr>
            </w:pPr>
            <w:r>
              <w:rPr>
                <w:rFonts w:hint="eastAsia"/>
                <w:color w:val="auto"/>
              </w:rPr>
              <w:t>数量</w:t>
            </w:r>
          </w:p>
        </w:tc>
      </w:tr>
      <w:tr w14:paraId="0C07EDD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6EAD3AC7">
            <w:pPr>
              <w:pStyle w:val="129"/>
              <w:widowControl w:val="0"/>
              <w:rPr>
                <w:color w:val="auto"/>
              </w:rPr>
            </w:pPr>
            <w:r>
              <w:rPr>
                <w:rFonts w:hint="eastAsia"/>
                <w:color w:val="auto"/>
              </w:rPr>
              <w:t>1</w:t>
            </w:r>
          </w:p>
        </w:tc>
        <w:tc>
          <w:tcPr>
            <w:tcW w:w="1882" w:type="pct"/>
            <w:vAlign w:val="center"/>
          </w:tcPr>
          <w:p w14:paraId="06B4CA93">
            <w:pPr>
              <w:pStyle w:val="129"/>
              <w:widowControl w:val="0"/>
              <w:rPr>
                <w:color w:val="auto"/>
              </w:rPr>
            </w:pPr>
            <w:r>
              <w:rPr>
                <w:rFonts w:hint="eastAsia"/>
                <w:color w:val="auto"/>
              </w:rPr>
              <w:t>总用地面积</w:t>
            </w:r>
          </w:p>
        </w:tc>
        <w:tc>
          <w:tcPr>
            <w:tcW w:w="769" w:type="pct"/>
            <w:vAlign w:val="center"/>
          </w:tcPr>
          <w:p w14:paraId="60CC1AA1">
            <w:pPr>
              <w:pStyle w:val="129"/>
              <w:widowControl w:val="0"/>
              <w:rPr>
                <w:color w:val="auto"/>
              </w:rPr>
            </w:pPr>
            <w:r>
              <w:rPr>
                <w:color w:val="auto"/>
              </w:rPr>
              <w:t>m</w:t>
            </w:r>
            <w:r>
              <w:rPr>
                <w:rFonts w:hint="eastAsia"/>
                <w:color w:val="auto"/>
                <w:vertAlign w:val="superscript"/>
              </w:rPr>
              <w:t>2</w:t>
            </w:r>
          </w:p>
        </w:tc>
        <w:tc>
          <w:tcPr>
            <w:tcW w:w="1585" w:type="pct"/>
            <w:vAlign w:val="center"/>
          </w:tcPr>
          <w:p w14:paraId="1126794B">
            <w:pPr>
              <w:pStyle w:val="129"/>
              <w:widowControl w:val="0"/>
              <w:rPr>
                <w:color w:val="auto"/>
              </w:rPr>
            </w:pPr>
            <w:r>
              <w:rPr>
                <w:rFonts w:hint="eastAsia"/>
                <w:color w:val="auto"/>
              </w:rPr>
              <w:t>42691.81</w:t>
            </w:r>
          </w:p>
        </w:tc>
      </w:tr>
      <w:tr w14:paraId="7541B72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273B2DEA">
            <w:pPr>
              <w:pStyle w:val="129"/>
              <w:widowControl w:val="0"/>
              <w:rPr>
                <w:color w:val="auto"/>
              </w:rPr>
            </w:pPr>
            <w:r>
              <w:rPr>
                <w:rFonts w:hint="eastAsia"/>
                <w:color w:val="auto"/>
              </w:rPr>
              <w:t>2</w:t>
            </w:r>
          </w:p>
        </w:tc>
        <w:tc>
          <w:tcPr>
            <w:tcW w:w="1882" w:type="pct"/>
            <w:vAlign w:val="center"/>
          </w:tcPr>
          <w:p w14:paraId="245D2C52">
            <w:pPr>
              <w:pStyle w:val="129"/>
              <w:widowControl w:val="0"/>
              <w:rPr>
                <w:color w:val="auto"/>
              </w:rPr>
            </w:pPr>
            <w:r>
              <w:rPr>
                <w:rFonts w:hint="eastAsia"/>
                <w:color w:val="auto"/>
              </w:rPr>
              <w:t>总建筑面积</w:t>
            </w:r>
          </w:p>
        </w:tc>
        <w:tc>
          <w:tcPr>
            <w:tcW w:w="769" w:type="pct"/>
            <w:vAlign w:val="center"/>
          </w:tcPr>
          <w:p w14:paraId="257A161D">
            <w:pPr>
              <w:pStyle w:val="129"/>
              <w:widowControl w:val="0"/>
              <w:rPr>
                <w:color w:val="auto"/>
              </w:rPr>
            </w:pPr>
            <w:r>
              <w:rPr>
                <w:color w:val="auto"/>
              </w:rPr>
              <w:t>m</w:t>
            </w:r>
            <w:r>
              <w:rPr>
                <w:rFonts w:hint="eastAsia"/>
                <w:color w:val="auto"/>
                <w:vertAlign w:val="superscript"/>
              </w:rPr>
              <w:t>2</w:t>
            </w:r>
          </w:p>
        </w:tc>
        <w:tc>
          <w:tcPr>
            <w:tcW w:w="1585" w:type="pct"/>
            <w:vAlign w:val="center"/>
          </w:tcPr>
          <w:p w14:paraId="57AF2595">
            <w:pPr>
              <w:pStyle w:val="129"/>
              <w:widowControl w:val="0"/>
              <w:rPr>
                <w:color w:val="auto"/>
              </w:rPr>
            </w:pPr>
            <w:r>
              <w:rPr>
                <w:rFonts w:hint="eastAsia"/>
                <w:color w:val="auto"/>
              </w:rPr>
              <w:t>35760.48</w:t>
            </w:r>
          </w:p>
        </w:tc>
      </w:tr>
      <w:tr w14:paraId="6B06455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751CD7FE">
            <w:pPr>
              <w:pStyle w:val="129"/>
              <w:widowControl w:val="0"/>
              <w:rPr>
                <w:color w:val="auto"/>
              </w:rPr>
            </w:pPr>
            <w:r>
              <w:rPr>
                <w:rFonts w:hint="eastAsia"/>
                <w:color w:val="auto"/>
              </w:rPr>
              <w:t>3</w:t>
            </w:r>
          </w:p>
        </w:tc>
        <w:tc>
          <w:tcPr>
            <w:tcW w:w="1882" w:type="pct"/>
            <w:vAlign w:val="center"/>
          </w:tcPr>
          <w:p w14:paraId="6E971059">
            <w:pPr>
              <w:pStyle w:val="129"/>
              <w:widowControl w:val="0"/>
              <w:rPr>
                <w:color w:val="auto"/>
              </w:rPr>
            </w:pPr>
            <w:r>
              <w:rPr>
                <w:rFonts w:hint="eastAsia"/>
                <w:color w:val="auto"/>
              </w:rPr>
              <w:t>计算容积率面积</w:t>
            </w:r>
          </w:p>
        </w:tc>
        <w:tc>
          <w:tcPr>
            <w:tcW w:w="769" w:type="pct"/>
            <w:vAlign w:val="center"/>
          </w:tcPr>
          <w:p w14:paraId="345B27E2">
            <w:pPr>
              <w:pStyle w:val="129"/>
              <w:widowControl w:val="0"/>
              <w:rPr>
                <w:color w:val="auto"/>
              </w:rPr>
            </w:pPr>
            <w:r>
              <w:rPr>
                <w:color w:val="auto"/>
              </w:rPr>
              <w:t>m</w:t>
            </w:r>
            <w:r>
              <w:rPr>
                <w:rFonts w:hint="eastAsia"/>
                <w:color w:val="auto"/>
                <w:vertAlign w:val="superscript"/>
              </w:rPr>
              <w:t>2</w:t>
            </w:r>
          </w:p>
        </w:tc>
        <w:tc>
          <w:tcPr>
            <w:tcW w:w="1585" w:type="pct"/>
            <w:vAlign w:val="center"/>
          </w:tcPr>
          <w:p w14:paraId="2815E531">
            <w:pPr>
              <w:pStyle w:val="129"/>
              <w:widowControl w:val="0"/>
              <w:rPr>
                <w:color w:val="auto"/>
              </w:rPr>
            </w:pPr>
            <w:r>
              <w:rPr>
                <w:rFonts w:hint="eastAsia"/>
                <w:color w:val="auto"/>
              </w:rPr>
              <w:t>52915.95</w:t>
            </w:r>
          </w:p>
        </w:tc>
      </w:tr>
      <w:tr w14:paraId="414F96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6A9F11D0">
            <w:pPr>
              <w:pStyle w:val="129"/>
              <w:widowControl w:val="0"/>
              <w:rPr>
                <w:color w:val="auto"/>
              </w:rPr>
            </w:pPr>
            <w:r>
              <w:rPr>
                <w:rFonts w:hint="eastAsia"/>
                <w:color w:val="auto"/>
              </w:rPr>
              <w:t>4</w:t>
            </w:r>
          </w:p>
        </w:tc>
        <w:tc>
          <w:tcPr>
            <w:tcW w:w="1882" w:type="pct"/>
            <w:vAlign w:val="center"/>
          </w:tcPr>
          <w:p w14:paraId="737B5876">
            <w:pPr>
              <w:pStyle w:val="129"/>
              <w:widowControl w:val="0"/>
              <w:rPr>
                <w:color w:val="auto"/>
              </w:rPr>
            </w:pPr>
            <w:r>
              <w:rPr>
                <w:rFonts w:hint="eastAsia"/>
                <w:color w:val="auto"/>
              </w:rPr>
              <w:t>容积率</w:t>
            </w:r>
          </w:p>
        </w:tc>
        <w:tc>
          <w:tcPr>
            <w:tcW w:w="769" w:type="pct"/>
            <w:vAlign w:val="center"/>
          </w:tcPr>
          <w:p w14:paraId="5DFDA964">
            <w:pPr>
              <w:pStyle w:val="129"/>
              <w:widowControl w:val="0"/>
              <w:rPr>
                <w:color w:val="auto"/>
              </w:rPr>
            </w:pPr>
            <w:r>
              <w:rPr>
                <w:rFonts w:hint="eastAsia"/>
                <w:color w:val="auto"/>
              </w:rPr>
              <w:t>--</w:t>
            </w:r>
          </w:p>
        </w:tc>
        <w:tc>
          <w:tcPr>
            <w:tcW w:w="1585" w:type="pct"/>
            <w:vAlign w:val="center"/>
          </w:tcPr>
          <w:p w14:paraId="67584B59">
            <w:pPr>
              <w:pStyle w:val="129"/>
              <w:widowControl w:val="0"/>
              <w:rPr>
                <w:color w:val="auto"/>
              </w:rPr>
            </w:pPr>
            <w:r>
              <w:rPr>
                <w:rFonts w:hint="eastAsia"/>
                <w:color w:val="auto"/>
              </w:rPr>
              <w:t>1.24</w:t>
            </w:r>
          </w:p>
        </w:tc>
      </w:tr>
      <w:tr w14:paraId="4E5CE0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25481905">
            <w:pPr>
              <w:pStyle w:val="129"/>
              <w:widowControl w:val="0"/>
              <w:rPr>
                <w:color w:val="auto"/>
              </w:rPr>
            </w:pPr>
            <w:r>
              <w:rPr>
                <w:rFonts w:hint="eastAsia"/>
                <w:color w:val="auto"/>
              </w:rPr>
              <w:t>5</w:t>
            </w:r>
          </w:p>
        </w:tc>
        <w:tc>
          <w:tcPr>
            <w:tcW w:w="1882" w:type="pct"/>
            <w:vAlign w:val="center"/>
          </w:tcPr>
          <w:p w14:paraId="59F4A73C">
            <w:pPr>
              <w:pStyle w:val="129"/>
              <w:widowControl w:val="0"/>
              <w:rPr>
                <w:color w:val="auto"/>
              </w:rPr>
            </w:pPr>
            <w:r>
              <w:rPr>
                <w:rFonts w:hint="eastAsia"/>
                <w:color w:val="auto"/>
              </w:rPr>
              <w:t>建筑系数</w:t>
            </w:r>
          </w:p>
        </w:tc>
        <w:tc>
          <w:tcPr>
            <w:tcW w:w="769" w:type="pct"/>
            <w:vAlign w:val="center"/>
          </w:tcPr>
          <w:p w14:paraId="19C0A182">
            <w:pPr>
              <w:pStyle w:val="129"/>
              <w:widowControl w:val="0"/>
              <w:rPr>
                <w:color w:val="auto"/>
              </w:rPr>
            </w:pPr>
            <w:r>
              <w:rPr>
                <w:rFonts w:hint="eastAsia"/>
                <w:color w:val="auto"/>
              </w:rPr>
              <w:t>%</w:t>
            </w:r>
          </w:p>
        </w:tc>
        <w:tc>
          <w:tcPr>
            <w:tcW w:w="1585" w:type="pct"/>
            <w:vAlign w:val="center"/>
          </w:tcPr>
          <w:p w14:paraId="0E00C39C">
            <w:pPr>
              <w:pStyle w:val="129"/>
              <w:widowControl w:val="0"/>
              <w:rPr>
                <w:color w:val="auto"/>
              </w:rPr>
            </w:pPr>
            <w:r>
              <w:rPr>
                <w:rFonts w:hint="eastAsia"/>
                <w:color w:val="auto"/>
              </w:rPr>
              <w:t>67.68</w:t>
            </w:r>
          </w:p>
        </w:tc>
      </w:tr>
      <w:tr w14:paraId="18C57E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5C293452">
            <w:pPr>
              <w:pStyle w:val="129"/>
              <w:widowControl w:val="0"/>
              <w:rPr>
                <w:color w:val="auto"/>
              </w:rPr>
            </w:pPr>
            <w:r>
              <w:rPr>
                <w:rFonts w:hint="eastAsia"/>
                <w:color w:val="auto"/>
              </w:rPr>
              <w:t>6</w:t>
            </w:r>
          </w:p>
        </w:tc>
        <w:tc>
          <w:tcPr>
            <w:tcW w:w="1882" w:type="pct"/>
            <w:vAlign w:val="center"/>
          </w:tcPr>
          <w:p w14:paraId="33C926CD">
            <w:pPr>
              <w:pStyle w:val="129"/>
              <w:widowControl w:val="0"/>
              <w:rPr>
                <w:color w:val="auto"/>
              </w:rPr>
            </w:pPr>
            <w:r>
              <w:rPr>
                <w:rFonts w:hint="eastAsia"/>
                <w:color w:val="auto"/>
              </w:rPr>
              <w:t>绿地面积</w:t>
            </w:r>
          </w:p>
        </w:tc>
        <w:tc>
          <w:tcPr>
            <w:tcW w:w="769" w:type="pct"/>
            <w:vAlign w:val="center"/>
          </w:tcPr>
          <w:p w14:paraId="46E2475C">
            <w:pPr>
              <w:pStyle w:val="129"/>
              <w:widowControl w:val="0"/>
              <w:rPr>
                <w:color w:val="auto"/>
              </w:rPr>
            </w:pPr>
            <w:r>
              <w:rPr>
                <w:color w:val="auto"/>
              </w:rPr>
              <w:t>m</w:t>
            </w:r>
            <w:r>
              <w:rPr>
                <w:rFonts w:hint="eastAsia"/>
                <w:color w:val="auto"/>
                <w:vertAlign w:val="superscript"/>
              </w:rPr>
              <w:t>2</w:t>
            </w:r>
          </w:p>
        </w:tc>
        <w:tc>
          <w:tcPr>
            <w:tcW w:w="1585" w:type="pct"/>
            <w:vAlign w:val="center"/>
          </w:tcPr>
          <w:p w14:paraId="71D879CC">
            <w:pPr>
              <w:pStyle w:val="129"/>
              <w:widowControl w:val="0"/>
              <w:rPr>
                <w:color w:val="auto"/>
              </w:rPr>
            </w:pPr>
            <w:r>
              <w:rPr>
                <w:rFonts w:hint="eastAsia"/>
                <w:color w:val="auto"/>
              </w:rPr>
              <w:t>3566.60</w:t>
            </w:r>
          </w:p>
        </w:tc>
      </w:tr>
      <w:tr w14:paraId="3763A85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64" w:type="pct"/>
            <w:vAlign w:val="center"/>
          </w:tcPr>
          <w:p w14:paraId="6B8349A4">
            <w:pPr>
              <w:pStyle w:val="129"/>
              <w:widowControl w:val="0"/>
              <w:rPr>
                <w:color w:val="auto"/>
              </w:rPr>
            </w:pPr>
            <w:r>
              <w:rPr>
                <w:rFonts w:hint="eastAsia"/>
                <w:color w:val="auto"/>
              </w:rPr>
              <w:t>7</w:t>
            </w:r>
          </w:p>
        </w:tc>
        <w:tc>
          <w:tcPr>
            <w:tcW w:w="1882" w:type="pct"/>
            <w:vAlign w:val="center"/>
          </w:tcPr>
          <w:p w14:paraId="26ACFA23">
            <w:pPr>
              <w:pStyle w:val="129"/>
              <w:widowControl w:val="0"/>
              <w:rPr>
                <w:color w:val="auto"/>
              </w:rPr>
            </w:pPr>
            <w:r>
              <w:rPr>
                <w:rFonts w:hint="eastAsia"/>
                <w:color w:val="auto"/>
              </w:rPr>
              <w:t>绿地率</w:t>
            </w:r>
          </w:p>
        </w:tc>
        <w:tc>
          <w:tcPr>
            <w:tcW w:w="769" w:type="pct"/>
            <w:vAlign w:val="center"/>
          </w:tcPr>
          <w:p w14:paraId="5504D75F">
            <w:pPr>
              <w:pStyle w:val="129"/>
              <w:widowControl w:val="0"/>
              <w:rPr>
                <w:color w:val="auto"/>
              </w:rPr>
            </w:pPr>
            <w:r>
              <w:rPr>
                <w:rFonts w:hint="eastAsia"/>
                <w:color w:val="auto"/>
              </w:rPr>
              <w:t>%</w:t>
            </w:r>
          </w:p>
        </w:tc>
        <w:tc>
          <w:tcPr>
            <w:tcW w:w="1585" w:type="pct"/>
            <w:vAlign w:val="center"/>
          </w:tcPr>
          <w:p w14:paraId="35C73C5E">
            <w:pPr>
              <w:pStyle w:val="129"/>
              <w:widowControl w:val="0"/>
              <w:rPr>
                <w:color w:val="auto"/>
              </w:rPr>
            </w:pPr>
            <w:r>
              <w:rPr>
                <w:rFonts w:hint="eastAsia"/>
                <w:color w:val="auto"/>
              </w:rPr>
              <w:t>8.35</w:t>
            </w:r>
          </w:p>
        </w:tc>
      </w:tr>
    </w:tbl>
    <w:p w14:paraId="053E8C78">
      <w:pPr>
        <w:pStyle w:val="132"/>
        <w:rPr>
          <w:color w:val="auto"/>
        </w:rPr>
      </w:pPr>
    </w:p>
    <w:p w14:paraId="4B9F902A">
      <w:pPr>
        <w:pStyle w:val="132"/>
        <w:rPr>
          <w:color w:val="auto"/>
        </w:rPr>
        <w:sectPr>
          <w:type w:val="continuous"/>
          <w:pgSz w:w="11906" w:h="16838"/>
          <w:pgMar w:top="1440" w:right="1588" w:bottom="1389" w:left="1588" w:header="737" w:footer="822" w:gutter="0"/>
          <w:cols w:space="425" w:num="1"/>
          <w:docGrid w:type="lines" w:linePitch="312" w:charSpace="0"/>
        </w:sectPr>
      </w:pPr>
    </w:p>
    <w:p w14:paraId="436A7A6B">
      <w:pPr>
        <w:pStyle w:val="132"/>
        <w:ind w:firstLine="0" w:firstLineChars="0"/>
        <w:rPr>
          <w:color w:val="auto"/>
        </w:rPr>
      </w:pPr>
    </w:p>
    <w:p w14:paraId="66E72892">
      <w:pPr>
        <w:pStyle w:val="132"/>
        <w:ind w:firstLine="0" w:firstLineChars="0"/>
        <w:jc w:val="center"/>
        <w:rPr>
          <w:color w:val="auto"/>
        </w:rPr>
      </w:pPr>
      <w:r>
        <w:rPr>
          <w:color w:val="auto"/>
        </w:rPr>
        <w:drawing>
          <wp:inline distT="0" distB="0" distL="0" distR="0">
            <wp:extent cx="5450840" cy="7549515"/>
            <wp:effectExtent l="19050" t="19050" r="16510" b="13335"/>
            <wp:docPr id="18674015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01515" name="图片 56"/>
                    <pic:cNvPicPr>
                      <a:picLocks noChangeAspect="1" noChangeArrowheads="1"/>
                    </pic:cNvPicPr>
                  </pic:nvPicPr>
                  <pic:blipFill>
                    <a:blip r:embed="rId30" cstate="print">
                      <a:extLst>
                        <a:ext uri="{28A0092B-C50C-407E-A947-70E740481C1C}">
                          <a14:useLocalDpi xmlns:a14="http://schemas.microsoft.com/office/drawing/2010/main" val="0"/>
                        </a:ext>
                      </a:extLst>
                    </a:blip>
                    <a:srcRect l="7140" t="7312" r="3350" b="5019"/>
                    <a:stretch>
                      <a:fillRect/>
                    </a:stretch>
                  </pic:blipFill>
                  <pic:spPr>
                    <a:xfrm>
                      <a:off x="0" y="0"/>
                      <a:ext cx="5465234" cy="7568808"/>
                    </a:xfrm>
                    <a:prstGeom prst="rect">
                      <a:avLst/>
                    </a:prstGeom>
                    <a:noFill/>
                    <a:ln w="12700">
                      <a:solidFill>
                        <a:schemeClr val="tx1"/>
                      </a:solidFill>
                    </a:ln>
                  </pic:spPr>
                </pic:pic>
              </a:graphicData>
            </a:graphic>
          </wp:inline>
        </w:drawing>
      </w:r>
    </w:p>
    <w:p w14:paraId="4D0C50BD">
      <w:pPr>
        <w:pStyle w:val="132"/>
        <w:ind w:firstLine="0" w:firstLineChars="0"/>
        <w:rPr>
          <w:color w:val="auto"/>
        </w:rPr>
      </w:pPr>
    </w:p>
    <w:p w14:paraId="6C824B7C">
      <w:pPr>
        <w:pStyle w:val="1060"/>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总平面布置图</w:t>
      </w:r>
    </w:p>
    <w:p w14:paraId="5D96B24E">
      <w:pPr>
        <w:pStyle w:val="132"/>
        <w:rPr>
          <w:color w:val="auto"/>
        </w:rPr>
        <w:sectPr>
          <w:type w:val="continuous"/>
          <w:pgSz w:w="11906" w:h="16838"/>
          <w:pgMar w:top="1440" w:right="1588" w:bottom="1389" w:left="1588" w:header="851" w:footer="992" w:gutter="0"/>
          <w:cols w:space="425" w:num="1"/>
          <w:docGrid w:type="lines" w:linePitch="312" w:charSpace="0"/>
        </w:sectPr>
      </w:pPr>
    </w:p>
    <w:p w14:paraId="794347A7">
      <w:pPr>
        <w:pStyle w:val="5"/>
        <w:rPr>
          <w:color w:val="auto"/>
        </w:rPr>
      </w:pPr>
      <w:r>
        <w:rPr>
          <w:rFonts w:hint="eastAsia"/>
          <w:color w:val="auto"/>
        </w:rPr>
        <w:t>平面布置的合理性</w:t>
      </w:r>
    </w:p>
    <w:p w14:paraId="2520D266">
      <w:pPr>
        <w:pStyle w:val="132"/>
        <w:rPr>
          <w:color w:val="auto"/>
        </w:rPr>
      </w:pPr>
      <w:r>
        <w:rPr>
          <w:rFonts w:hint="eastAsia"/>
          <w:color w:val="auto"/>
        </w:rPr>
        <w:t>通过图3.1-1可以看到，项目总平面布置功能区划分合理，物流畅通，合理利用资源，公用工程对接方便，物流和人流分开，符合《工业企业总平面设计规范》（GB50187-2012）要求。项目厂区的总体布置紧凑，联系紧密，充分利用了土地资源，生产区的布置符合物料的流动方向。因此，从环境保护的角度分析，本项目的总体布局合理。</w:t>
      </w:r>
    </w:p>
    <w:p w14:paraId="773448ED">
      <w:pPr>
        <w:pStyle w:val="5"/>
        <w:rPr>
          <w:color w:val="auto"/>
        </w:rPr>
      </w:pPr>
      <w:r>
        <w:rPr>
          <w:rFonts w:hint="eastAsia"/>
          <w:color w:val="auto"/>
        </w:rPr>
        <w:t>运输</w:t>
      </w:r>
    </w:p>
    <w:p w14:paraId="2BDE9CF1">
      <w:pPr>
        <w:pStyle w:val="132"/>
        <w:rPr>
          <w:color w:val="auto"/>
        </w:rPr>
      </w:pPr>
      <w:r>
        <w:rPr>
          <w:rFonts w:hint="eastAsia"/>
          <w:color w:val="auto"/>
        </w:rPr>
        <w:t>本项目货物运输厂外主要采用公路、管道、铁路三种方式，厂内运输主要采用铲车、装载机、自卸汽车、管道输送等方式。</w:t>
      </w:r>
    </w:p>
    <w:p w14:paraId="1637924F">
      <w:pPr>
        <w:pStyle w:val="4"/>
        <w:rPr>
          <w:color w:val="auto"/>
        </w:rPr>
      </w:pPr>
      <w:r>
        <w:rPr>
          <w:rFonts w:hint="eastAsia"/>
          <w:color w:val="auto"/>
        </w:rPr>
        <w:t>工程技术指标</w:t>
      </w:r>
    </w:p>
    <w:p w14:paraId="6CF4A27C">
      <w:pPr>
        <w:pStyle w:val="132"/>
        <w:rPr>
          <w:color w:val="auto"/>
        </w:rPr>
      </w:pPr>
      <w:r>
        <w:rPr>
          <w:rFonts w:hint="eastAsia"/>
          <w:color w:val="auto"/>
        </w:rPr>
        <w:t>本项目主要经济技术指标见表3.1-21。</w:t>
      </w:r>
    </w:p>
    <w:p w14:paraId="000A5B53">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21</w:t>
      </w:r>
      <w:r>
        <w:rPr>
          <w:color w:val="auto"/>
        </w:rPr>
        <w:fldChar w:fldCharType="end"/>
      </w:r>
      <w:r>
        <w:rPr>
          <w:rFonts w:hint="eastAsia"/>
          <w:color w:val="auto"/>
        </w:rPr>
        <w:t xml:space="preserve"> 主要技术经济指标表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67"/>
        <w:gridCol w:w="3369"/>
        <w:gridCol w:w="1146"/>
        <w:gridCol w:w="1715"/>
        <w:gridCol w:w="1789"/>
      </w:tblGrid>
      <w:tr w14:paraId="309384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437" w:type="pct"/>
            <w:vAlign w:val="center"/>
          </w:tcPr>
          <w:p w14:paraId="285E1E66">
            <w:pPr>
              <w:widowControl w:val="0"/>
              <w:spacing w:line="360" w:lineRule="exact"/>
              <w:jc w:val="center"/>
              <w:rPr>
                <w:rFonts w:cs="宋体"/>
                <w:color w:val="auto"/>
                <w:sz w:val="21"/>
                <w:szCs w:val="21"/>
              </w:rPr>
            </w:pPr>
            <w:r>
              <w:rPr>
                <w:rFonts w:hint="eastAsia" w:cs="宋体"/>
                <w:color w:val="auto"/>
                <w:sz w:val="21"/>
                <w:szCs w:val="21"/>
              </w:rPr>
              <w:t>序号</w:t>
            </w:r>
          </w:p>
        </w:tc>
        <w:tc>
          <w:tcPr>
            <w:tcW w:w="1917" w:type="pct"/>
            <w:vAlign w:val="center"/>
          </w:tcPr>
          <w:p w14:paraId="3DC0FF14">
            <w:pPr>
              <w:widowControl w:val="0"/>
              <w:spacing w:line="360" w:lineRule="exact"/>
              <w:jc w:val="center"/>
              <w:rPr>
                <w:rFonts w:cs="宋体"/>
                <w:color w:val="auto"/>
                <w:sz w:val="21"/>
                <w:szCs w:val="21"/>
              </w:rPr>
            </w:pPr>
            <w:r>
              <w:rPr>
                <w:rFonts w:hint="eastAsia" w:cs="宋体"/>
                <w:color w:val="auto"/>
                <w:sz w:val="21"/>
                <w:szCs w:val="21"/>
              </w:rPr>
              <w:t>项目名称</w:t>
            </w:r>
          </w:p>
        </w:tc>
        <w:tc>
          <w:tcPr>
            <w:tcW w:w="652" w:type="pct"/>
            <w:vAlign w:val="center"/>
          </w:tcPr>
          <w:p w14:paraId="30068971">
            <w:pPr>
              <w:widowControl w:val="0"/>
              <w:spacing w:line="360" w:lineRule="exact"/>
              <w:jc w:val="center"/>
              <w:rPr>
                <w:rFonts w:cs="宋体"/>
                <w:color w:val="auto"/>
                <w:sz w:val="21"/>
                <w:szCs w:val="21"/>
              </w:rPr>
            </w:pPr>
            <w:r>
              <w:rPr>
                <w:rFonts w:hint="eastAsia" w:cs="宋体"/>
                <w:color w:val="auto"/>
                <w:sz w:val="21"/>
                <w:szCs w:val="21"/>
              </w:rPr>
              <w:t>单位</w:t>
            </w:r>
          </w:p>
        </w:tc>
        <w:tc>
          <w:tcPr>
            <w:tcW w:w="976" w:type="pct"/>
            <w:vAlign w:val="center"/>
          </w:tcPr>
          <w:p w14:paraId="05D39277">
            <w:pPr>
              <w:widowControl w:val="0"/>
              <w:spacing w:line="360" w:lineRule="exact"/>
              <w:jc w:val="center"/>
              <w:rPr>
                <w:rFonts w:cs="宋体"/>
                <w:color w:val="auto"/>
                <w:sz w:val="21"/>
                <w:szCs w:val="21"/>
              </w:rPr>
            </w:pPr>
            <w:r>
              <w:rPr>
                <w:rFonts w:hint="eastAsia" w:cs="宋体"/>
                <w:color w:val="auto"/>
                <w:sz w:val="21"/>
                <w:szCs w:val="21"/>
              </w:rPr>
              <w:t>数量</w:t>
            </w:r>
          </w:p>
        </w:tc>
        <w:tc>
          <w:tcPr>
            <w:tcW w:w="1018" w:type="pct"/>
            <w:vAlign w:val="center"/>
          </w:tcPr>
          <w:p w14:paraId="20A68D9D">
            <w:pPr>
              <w:widowControl w:val="0"/>
              <w:spacing w:line="360" w:lineRule="exact"/>
              <w:jc w:val="center"/>
              <w:rPr>
                <w:rFonts w:cs="宋体"/>
                <w:color w:val="auto"/>
                <w:sz w:val="21"/>
                <w:szCs w:val="21"/>
              </w:rPr>
            </w:pPr>
            <w:r>
              <w:rPr>
                <w:rFonts w:hint="eastAsia" w:cs="宋体"/>
                <w:color w:val="auto"/>
                <w:sz w:val="21"/>
                <w:szCs w:val="21"/>
              </w:rPr>
              <w:t>备注</w:t>
            </w:r>
          </w:p>
        </w:tc>
      </w:tr>
      <w:tr w14:paraId="563622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6443D6D">
            <w:pPr>
              <w:widowControl w:val="0"/>
              <w:spacing w:line="360" w:lineRule="exact"/>
              <w:jc w:val="center"/>
              <w:rPr>
                <w:rFonts w:cs="宋体"/>
                <w:color w:val="auto"/>
                <w:sz w:val="21"/>
                <w:szCs w:val="21"/>
              </w:rPr>
            </w:pPr>
            <w:r>
              <w:rPr>
                <w:rFonts w:hint="eastAsia" w:cs="宋体"/>
                <w:color w:val="auto"/>
                <w:sz w:val="21"/>
                <w:szCs w:val="21"/>
              </w:rPr>
              <w:t>一</w:t>
            </w:r>
          </w:p>
        </w:tc>
        <w:tc>
          <w:tcPr>
            <w:tcW w:w="1917" w:type="pct"/>
            <w:vAlign w:val="center"/>
          </w:tcPr>
          <w:p w14:paraId="22F53359">
            <w:pPr>
              <w:widowControl w:val="0"/>
              <w:spacing w:line="360" w:lineRule="exact"/>
              <w:jc w:val="center"/>
              <w:rPr>
                <w:rFonts w:cs="宋体"/>
                <w:color w:val="auto"/>
                <w:sz w:val="21"/>
                <w:szCs w:val="21"/>
              </w:rPr>
            </w:pPr>
            <w:r>
              <w:rPr>
                <w:rFonts w:hint="eastAsia" w:cs="宋体"/>
                <w:color w:val="auto"/>
                <w:sz w:val="21"/>
                <w:szCs w:val="21"/>
              </w:rPr>
              <w:t>生产（危险废物处置）规模</w:t>
            </w:r>
          </w:p>
        </w:tc>
        <w:tc>
          <w:tcPr>
            <w:tcW w:w="652" w:type="pct"/>
            <w:vAlign w:val="center"/>
          </w:tcPr>
          <w:p w14:paraId="33BFB260">
            <w:pPr>
              <w:widowControl w:val="0"/>
              <w:spacing w:line="360" w:lineRule="exact"/>
              <w:jc w:val="center"/>
              <w:rPr>
                <w:rFonts w:cs="宋体"/>
                <w:color w:val="auto"/>
                <w:sz w:val="21"/>
                <w:szCs w:val="21"/>
              </w:rPr>
            </w:pPr>
          </w:p>
        </w:tc>
        <w:tc>
          <w:tcPr>
            <w:tcW w:w="976" w:type="pct"/>
            <w:vAlign w:val="center"/>
          </w:tcPr>
          <w:p w14:paraId="5C2AECEF">
            <w:pPr>
              <w:widowControl w:val="0"/>
              <w:spacing w:line="360" w:lineRule="exact"/>
              <w:jc w:val="center"/>
              <w:rPr>
                <w:rFonts w:cs="宋体"/>
                <w:color w:val="auto"/>
                <w:sz w:val="21"/>
                <w:szCs w:val="21"/>
              </w:rPr>
            </w:pPr>
          </w:p>
        </w:tc>
        <w:tc>
          <w:tcPr>
            <w:tcW w:w="1018" w:type="pct"/>
            <w:vAlign w:val="center"/>
          </w:tcPr>
          <w:p w14:paraId="75D0616A">
            <w:pPr>
              <w:widowControl w:val="0"/>
              <w:spacing w:line="360" w:lineRule="exact"/>
              <w:jc w:val="center"/>
              <w:rPr>
                <w:rFonts w:cs="宋体"/>
                <w:color w:val="auto"/>
                <w:sz w:val="21"/>
                <w:szCs w:val="21"/>
              </w:rPr>
            </w:pPr>
          </w:p>
        </w:tc>
      </w:tr>
      <w:tr w14:paraId="630C26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5D5B600">
            <w:pPr>
              <w:widowControl w:val="0"/>
              <w:spacing w:line="360" w:lineRule="exact"/>
              <w:jc w:val="center"/>
              <w:rPr>
                <w:rFonts w:cs="宋体"/>
                <w:color w:val="auto"/>
                <w:sz w:val="21"/>
                <w:szCs w:val="21"/>
              </w:rPr>
            </w:pPr>
            <w:r>
              <w:rPr>
                <w:rFonts w:hint="eastAsia" w:cs="宋体"/>
                <w:color w:val="auto"/>
                <w:sz w:val="21"/>
                <w:szCs w:val="21"/>
              </w:rPr>
              <w:t>1</w:t>
            </w:r>
          </w:p>
        </w:tc>
        <w:tc>
          <w:tcPr>
            <w:tcW w:w="1917" w:type="pct"/>
            <w:vAlign w:val="center"/>
          </w:tcPr>
          <w:p w14:paraId="22B41EBB">
            <w:pPr>
              <w:widowControl w:val="0"/>
              <w:spacing w:line="360" w:lineRule="exact"/>
              <w:jc w:val="center"/>
              <w:rPr>
                <w:rFonts w:cs="宋体"/>
                <w:color w:val="auto"/>
                <w:sz w:val="21"/>
                <w:szCs w:val="21"/>
              </w:rPr>
            </w:pPr>
            <w:r>
              <w:rPr>
                <w:rFonts w:hint="eastAsia" w:cs="宋体"/>
                <w:color w:val="auto"/>
                <w:sz w:val="21"/>
                <w:szCs w:val="21"/>
              </w:rPr>
              <w:t>废酸液（HW34）</w:t>
            </w:r>
          </w:p>
        </w:tc>
        <w:tc>
          <w:tcPr>
            <w:tcW w:w="652" w:type="pct"/>
            <w:vAlign w:val="center"/>
          </w:tcPr>
          <w:p w14:paraId="730BA1CE">
            <w:pPr>
              <w:pStyle w:val="129"/>
              <w:widowControl w:val="0"/>
              <w:rPr>
                <w:color w:val="auto"/>
              </w:rPr>
            </w:pPr>
            <w:r>
              <w:rPr>
                <w:rFonts w:hint="eastAsia"/>
                <w:color w:val="auto"/>
              </w:rPr>
              <w:t>万m</w:t>
            </w:r>
            <w:r>
              <w:rPr>
                <w:rFonts w:hint="eastAsia"/>
                <w:color w:val="auto"/>
                <w:vertAlign w:val="superscript"/>
              </w:rPr>
              <w:t>3</w:t>
            </w:r>
            <w:r>
              <w:rPr>
                <w:rFonts w:hint="eastAsia"/>
                <w:color w:val="auto"/>
              </w:rPr>
              <w:t>/a</w:t>
            </w:r>
          </w:p>
        </w:tc>
        <w:tc>
          <w:tcPr>
            <w:tcW w:w="976" w:type="pct"/>
            <w:vAlign w:val="center"/>
          </w:tcPr>
          <w:p w14:paraId="204B4CAE">
            <w:pPr>
              <w:pStyle w:val="129"/>
              <w:widowControl w:val="0"/>
              <w:rPr>
                <w:color w:val="auto"/>
              </w:rPr>
            </w:pPr>
            <w:r>
              <w:rPr>
                <w:rFonts w:hint="eastAsia"/>
                <w:color w:val="auto"/>
              </w:rPr>
              <w:t>100</w:t>
            </w:r>
          </w:p>
        </w:tc>
        <w:tc>
          <w:tcPr>
            <w:tcW w:w="1018" w:type="pct"/>
            <w:vAlign w:val="center"/>
          </w:tcPr>
          <w:p w14:paraId="03C977F8">
            <w:pPr>
              <w:widowControl w:val="0"/>
              <w:spacing w:line="360" w:lineRule="exact"/>
              <w:jc w:val="center"/>
              <w:rPr>
                <w:rFonts w:cs="宋体"/>
                <w:color w:val="auto"/>
                <w:sz w:val="21"/>
                <w:szCs w:val="21"/>
              </w:rPr>
            </w:pPr>
          </w:p>
        </w:tc>
      </w:tr>
      <w:tr w14:paraId="0A93D5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43C7202">
            <w:pPr>
              <w:widowControl w:val="0"/>
              <w:spacing w:line="360" w:lineRule="exact"/>
              <w:jc w:val="center"/>
              <w:rPr>
                <w:rFonts w:cs="宋体"/>
                <w:color w:val="auto"/>
                <w:sz w:val="21"/>
                <w:szCs w:val="21"/>
              </w:rPr>
            </w:pPr>
            <w:r>
              <w:rPr>
                <w:rFonts w:hint="eastAsia" w:cs="宋体"/>
                <w:color w:val="auto"/>
                <w:sz w:val="21"/>
                <w:szCs w:val="21"/>
              </w:rPr>
              <w:t>2</w:t>
            </w:r>
          </w:p>
        </w:tc>
        <w:tc>
          <w:tcPr>
            <w:tcW w:w="1917" w:type="pct"/>
            <w:vAlign w:val="center"/>
          </w:tcPr>
          <w:p w14:paraId="7DEEA29F">
            <w:pPr>
              <w:widowControl w:val="0"/>
              <w:spacing w:line="360" w:lineRule="exact"/>
              <w:jc w:val="center"/>
              <w:rPr>
                <w:rFonts w:cs="宋体"/>
                <w:color w:val="auto"/>
                <w:sz w:val="21"/>
                <w:szCs w:val="21"/>
              </w:rPr>
            </w:pPr>
            <w:r>
              <w:rPr>
                <w:rFonts w:hint="eastAsia" w:cs="宋体"/>
                <w:color w:val="auto"/>
                <w:sz w:val="21"/>
                <w:szCs w:val="21"/>
              </w:rPr>
              <w:t>废碱液（HW35）</w:t>
            </w:r>
          </w:p>
        </w:tc>
        <w:tc>
          <w:tcPr>
            <w:tcW w:w="652" w:type="pct"/>
            <w:vAlign w:val="center"/>
          </w:tcPr>
          <w:p w14:paraId="46E19D2E">
            <w:pPr>
              <w:pStyle w:val="129"/>
              <w:widowControl w:val="0"/>
              <w:rPr>
                <w:color w:val="auto"/>
              </w:rPr>
            </w:pPr>
            <w:r>
              <w:rPr>
                <w:rFonts w:hint="eastAsia"/>
                <w:color w:val="auto"/>
              </w:rPr>
              <w:t>万m</w:t>
            </w:r>
            <w:r>
              <w:rPr>
                <w:rFonts w:hint="eastAsia"/>
                <w:color w:val="auto"/>
                <w:vertAlign w:val="superscript"/>
              </w:rPr>
              <w:t>3</w:t>
            </w:r>
            <w:r>
              <w:rPr>
                <w:rFonts w:hint="eastAsia"/>
                <w:color w:val="auto"/>
              </w:rPr>
              <w:t>/a</w:t>
            </w:r>
          </w:p>
        </w:tc>
        <w:tc>
          <w:tcPr>
            <w:tcW w:w="976" w:type="pct"/>
            <w:vAlign w:val="center"/>
          </w:tcPr>
          <w:p w14:paraId="5857CB72">
            <w:pPr>
              <w:pStyle w:val="129"/>
              <w:widowControl w:val="0"/>
              <w:rPr>
                <w:color w:val="auto"/>
              </w:rPr>
            </w:pPr>
            <w:r>
              <w:rPr>
                <w:rFonts w:hint="eastAsia"/>
                <w:color w:val="auto"/>
              </w:rPr>
              <w:t>12</w:t>
            </w:r>
          </w:p>
        </w:tc>
        <w:tc>
          <w:tcPr>
            <w:tcW w:w="1018" w:type="pct"/>
            <w:vAlign w:val="center"/>
          </w:tcPr>
          <w:p w14:paraId="3B24B72C">
            <w:pPr>
              <w:widowControl w:val="0"/>
              <w:spacing w:line="360" w:lineRule="exact"/>
              <w:jc w:val="center"/>
              <w:rPr>
                <w:rFonts w:cs="宋体"/>
                <w:color w:val="auto"/>
                <w:sz w:val="21"/>
                <w:szCs w:val="21"/>
              </w:rPr>
            </w:pPr>
          </w:p>
        </w:tc>
      </w:tr>
      <w:tr w14:paraId="7381E99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48193E5">
            <w:pPr>
              <w:widowControl w:val="0"/>
              <w:spacing w:line="360" w:lineRule="exact"/>
              <w:jc w:val="center"/>
              <w:rPr>
                <w:rFonts w:cs="宋体"/>
                <w:color w:val="auto"/>
                <w:sz w:val="21"/>
                <w:szCs w:val="21"/>
              </w:rPr>
            </w:pPr>
            <w:r>
              <w:rPr>
                <w:rFonts w:hint="eastAsia" w:cs="宋体"/>
                <w:color w:val="auto"/>
                <w:sz w:val="21"/>
                <w:szCs w:val="21"/>
              </w:rPr>
              <w:t>二</w:t>
            </w:r>
          </w:p>
        </w:tc>
        <w:tc>
          <w:tcPr>
            <w:tcW w:w="1917" w:type="pct"/>
            <w:vAlign w:val="center"/>
          </w:tcPr>
          <w:p w14:paraId="5A13B2FF">
            <w:pPr>
              <w:widowControl w:val="0"/>
              <w:spacing w:line="360" w:lineRule="exact"/>
              <w:jc w:val="center"/>
              <w:rPr>
                <w:rFonts w:cs="宋体"/>
                <w:color w:val="auto"/>
                <w:sz w:val="21"/>
                <w:szCs w:val="21"/>
              </w:rPr>
            </w:pPr>
            <w:r>
              <w:rPr>
                <w:rFonts w:hint="eastAsia" w:cs="宋体"/>
                <w:color w:val="auto"/>
                <w:sz w:val="21"/>
                <w:szCs w:val="21"/>
              </w:rPr>
              <w:t>产品方案</w:t>
            </w:r>
          </w:p>
        </w:tc>
        <w:tc>
          <w:tcPr>
            <w:tcW w:w="652" w:type="pct"/>
            <w:vAlign w:val="center"/>
          </w:tcPr>
          <w:p w14:paraId="40C6D5AD">
            <w:pPr>
              <w:widowControl w:val="0"/>
              <w:spacing w:line="360" w:lineRule="exact"/>
              <w:jc w:val="center"/>
              <w:rPr>
                <w:rFonts w:cs="宋体"/>
                <w:color w:val="auto"/>
                <w:sz w:val="21"/>
                <w:szCs w:val="21"/>
              </w:rPr>
            </w:pPr>
          </w:p>
        </w:tc>
        <w:tc>
          <w:tcPr>
            <w:tcW w:w="976" w:type="pct"/>
            <w:vAlign w:val="center"/>
          </w:tcPr>
          <w:p w14:paraId="27001D0C">
            <w:pPr>
              <w:widowControl w:val="0"/>
              <w:spacing w:line="360" w:lineRule="exact"/>
              <w:jc w:val="center"/>
              <w:rPr>
                <w:rFonts w:cs="宋体"/>
                <w:color w:val="auto"/>
                <w:sz w:val="21"/>
                <w:szCs w:val="21"/>
              </w:rPr>
            </w:pPr>
          </w:p>
        </w:tc>
        <w:tc>
          <w:tcPr>
            <w:tcW w:w="1018" w:type="pct"/>
            <w:vAlign w:val="center"/>
          </w:tcPr>
          <w:p w14:paraId="4A672EF9">
            <w:pPr>
              <w:widowControl w:val="0"/>
              <w:spacing w:line="360" w:lineRule="exact"/>
              <w:jc w:val="center"/>
              <w:rPr>
                <w:rFonts w:cs="宋体"/>
                <w:color w:val="auto"/>
                <w:sz w:val="21"/>
                <w:szCs w:val="21"/>
              </w:rPr>
            </w:pPr>
          </w:p>
        </w:tc>
      </w:tr>
      <w:tr w14:paraId="3C8A718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Merge w:val="restart"/>
            <w:vAlign w:val="center"/>
          </w:tcPr>
          <w:p w14:paraId="59EB053E">
            <w:pPr>
              <w:widowControl w:val="0"/>
              <w:spacing w:line="360" w:lineRule="exact"/>
              <w:jc w:val="center"/>
              <w:rPr>
                <w:rFonts w:cs="宋体"/>
                <w:color w:val="auto"/>
                <w:sz w:val="21"/>
                <w:szCs w:val="21"/>
              </w:rPr>
            </w:pPr>
            <w:r>
              <w:rPr>
                <w:rFonts w:hint="eastAsia" w:cs="宋体"/>
                <w:color w:val="auto"/>
                <w:sz w:val="21"/>
                <w:szCs w:val="21"/>
              </w:rPr>
              <w:t>1</w:t>
            </w:r>
          </w:p>
        </w:tc>
        <w:tc>
          <w:tcPr>
            <w:tcW w:w="1917" w:type="pct"/>
            <w:vMerge w:val="restart"/>
            <w:vAlign w:val="center"/>
          </w:tcPr>
          <w:p w14:paraId="28350F24">
            <w:pPr>
              <w:widowControl w:val="0"/>
              <w:spacing w:line="360" w:lineRule="exact"/>
              <w:jc w:val="center"/>
              <w:rPr>
                <w:rFonts w:cs="宋体"/>
                <w:color w:val="auto"/>
                <w:sz w:val="21"/>
                <w:szCs w:val="21"/>
              </w:rPr>
            </w:pPr>
            <w:r>
              <w:rPr>
                <w:rFonts w:hint="eastAsia"/>
                <w:color w:val="auto"/>
                <w:sz w:val="21"/>
                <w:szCs w:val="21"/>
              </w:rPr>
              <w:t>拟薄水铝石</w:t>
            </w:r>
          </w:p>
        </w:tc>
        <w:tc>
          <w:tcPr>
            <w:tcW w:w="652" w:type="pct"/>
            <w:vAlign w:val="center"/>
          </w:tcPr>
          <w:p w14:paraId="169295F9">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10902649">
            <w:pPr>
              <w:widowControl w:val="0"/>
              <w:spacing w:line="360" w:lineRule="exact"/>
              <w:jc w:val="center"/>
              <w:rPr>
                <w:rFonts w:cs="宋体"/>
                <w:color w:val="auto"/>
                <w:sz w:val="21"/>
                <w:szCs w:val="21"/>
              </w:rPr>
            </w:pPr>
            <w:r>
              <w:rPr>
                <w:rFonts w:hint="eastAsia"/>
                <w:color w:val="auto"/>
                <w:sz w:val="21"/>
                <w:szCs w:val="21"/>
              </w:rPr>
              <w:t>23849.5（外售）</w:t>
            </w:r>
          </w:p>
        </w:tc>
        <w:tc>
          <w:tcPr>
            <w:tcW w:w="1018" w:type="pct"/>
            <w:vAlign w:val="center"/>
          </w:tcPr>
          <w:p w14:paraId="0519742C">
            <w:pPr>
              <w:widowControl w:val="0"/>
              <w:spacing w:line="360" w:lineRule="exact"/>
              <w:jc w:val="center"/>
              <w:rPr>
                <w:rFonts w:cs="宋体"/>
                <w:color w:val="auto"/>
                <w:sz w:val="21"/>
                <w:szCs w:val="21"/>
              </w:rPr>
            </w:pPr>
            <w:r>
              <w:rPr>
                <w:rFonts w:hint="eastAsia"/>
                <w:color w:val="auto"/>
                <w:sz w:val="21"/>
                <w:szCs w:val="21"/>
              </w:rPr>
              <w:t>主产品</w:t>
            </w:r>
          </w:p>
        </w:tc>
      </w:tr>
      <w:tr w14:paraId="767DAEF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Merge w:val="continue"/>
            <w:vAlign w:val="center"/>
          </w:tcPr>
          <w:p w14:paraId="26334FEB">
            <w:pPr>
              <w:widowControl w:val="0"/>
              <w:spacing w:line="360" w:lineRule="exact"/>
              <w:jc w:val="center"/>
              <w:rPr>
                <w:rFonts w:cs="宋体"/>
                <w:color w:val="auto"/>
                <w:sz w:val="21"/>
                <w:szCs w:val="21"/>
              </w:rPr>
            </w:pPr>
          </w:p>
        </w:tc>
        <w:tc>
          <w:tcPr>
            <w:tcW w:w="1917" w:type="pct"/>
            <w:vMerge w:val="continue"/>
            <w:vAlign w:val="center"/>
          </w:tcPr>
          <w:p w14:paraId="198DC377">
            <w:pPr>
              <w:widowControl w:val="0"/>
              <w:spacing w:line="360" w:lineRule="exact"/>
              <w:jc w:val="center"/>
              <w:rPr>
                <w:color w:val="auto"/>
                <w:sz w:val="21"/>
                <w:szCs w:val="21"/>
              </w:rPr>
            </w:pPr>
          </w:p>
        </w:tc>
        <w:tc>
          <w:tcPr>
            <w:tcW w:w="652" w:type="pct"/>
            <w:vAlign w:val="center"/>
          </w:tcPr>
          <w:p w14:paraId="6E905E94">
            <w:pPr>
              <w:widowControl w:val="0"/>
              <w:spacing w:line="360" w:lineRule="exact"/>
              <w:jc w:val="center"/>
              <w:rPr>
                <w:color w:val="auto"/>
                <w:sz w:val="21"/>
                <w:szCs w:val="21"/>
              </w:rPr>
            </w:pPr>
            <w:r>
              <w:rPr>
                <w:color w:val="auto"/>
                <w:sz w:val="21"/>
                <w:szCs w:val="21"/>
              </w:rPr>
              <w:t>t/a</w:t>
            </w:r>
          </w:p>
        </w:tc>
        <w:tc>
          <w:tcPr>
            <w:tcW w:w="976" w:type="pct"/>
            <w:vAlign w:val="center"/>
          </w:tcPr>
          <w:p w14:paraId="3389565E">
            <w:pPr>
              <w:widowControl w:val="0"/>
              <w:spacing w:line="360" w:lineRule="exact"/>
              <w:jc w:val="center"/>
              <w:rPr>
                <w:rFonts w:cs="宋体"/>
                <w:color w:val="auto"/>
                <w:sz w:val="21"/>
                <w:szCs w:val="21"/>
              </w:rPr>
            </w:pPr>
            <w:r>
              <w:rPr>
                <w:rFonts w:hint="eastAsia"/>
                <w:color w:val="auto"/>
                <w:sz w:val="21"/>
                <w:szCs w:val="21"/>
              </w:rPr>
              <w:t>4371（自用）</w:t>
            </w:r>
          </w:p>
        </w:tc>
        <w:tc>
          <w:tcPr>
            <w:tcW w:w="1018" w:type="pct"/>
            <w:vAlign w:val="center"/>
          </w:tcPr>
          <w:p w14:paraId="36C31EB4">
            <w:pPr>
              <w:widowControl w:val="0"/>
              <w:spacing w:line="360" w:lineRule="exact"/>
              <w:jc w:val="center"/>
              <w:rPr>
                <w:rFonts w:cs="宋体"/>
                <w:color w:val="auto"/>
                <w:sz w:val="21"/>
                <w:szCs w:val="21"/>
              </w:rPr>
            </w:pPr>
          </w:p>
        </w:tc>
      </w:tr>
      <w:tr w14:paraId="4CC7113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EAE0FD3">
            <w:pPr>
              <w:widowControl w:val="0"/>
              <w:spacing w:line="360" w:lineRule="exact"/>
              <w:jc w:val="center"/>
              <w:rPr>
                <w:rFonts w:cs="宋体"/>
                <w:color w:val="auto"/>
                <w:sz w:val="21"/>
                <w:szCs w:val="21"/>
              </w:rPr>
            </w:pPr>
            <w:r>
              <w:rPr>
                <w:rFonts w:hint="eastAsia" w:cs="宋体"/>
                <w:color w:val="auto"/>
                <w:sz w:val="21"/>
                <w:szCs w:val="21"/>
              </w:rPr>
              <w:t>2</w:t>
            </w:r>
          </w:p>
        </w:tc>
        <w:tc>
          <w:tcPr>
            <w:tcW w:w="1917" w:type="pct"/>
            <w:vAlign w:val="center"/>
          </w:tcPr>
          <w:p w14:paraId="06A1E042">
            <w:pPr>
              <w:widowControl w:val="0"/>
              <w:spacing w:line="360" w:lineRule="exact"/>
              <w:jc w:val="center"/>
              <w:rPr>
                <w:rFonts w:cs="宋体"/>
                <w:color w:val="auto"/>
                <w:sz w:val="21"/>
                <w:szCs w:val="21"/>
              </w:rPr>
            </w:pPr>
            <w:r>
              <w:rPr>
                <w:rFonts w:hint="eastAsia"/>
                <w:color w:val="auto"/>
                <w:sz w:val="21"/>
                <w:szCs w:val="21"/>
              </w:rPr>
              <w:t>工业催化剂</w:t>
            </w:r>
          </w:p>
        </w:tc>
        <w:tc>
          <w:tcPr>
            <w:tcW w:w="652" w:type="pct"/>
            <w:vAlign w:val="center"/>
          </w:tcPr>
          <w:p w14:paraId="0B24E5D9">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21926D35">
            <w:pPr>
              <w:widowControl w:val="0"/>
              <w:spacing w:line="360" w:lineRule="exact"/>
              <w:jc w:val="center"/>
              <w:rPr>
                <w:rFonts w:cs="宋体"/>
                <w:color w:val="auto"/>
                <w:sz w:val="21"/>
                <w:szCs w:val="21"/>
              </w:rPr>
            </w:pPr>
            <w:r>
              <w:rPr>
                <w:rFonts w:hint="eastAsia" w:cs="宋体"/>
                <w:color w:val="auto"/>
                <w:sz w:val="21"/>
                <w:szCs w:val="21"/>
              </w:rPr>
              <w:t>3000</w:t>
            </w:r>
          </w:p>
        </w:tc>
        <w:tc>
          <w:tcPr>
            <w:tcW w:w="1018" w:type="pct"/>
            <w:vAlign w:val="center"/>
          </w:tcPr>
          <w:p w14:paraId="097446A6">
            <w:pPr>
              <w:widowControl w:val="0"/>
              <w:spacing w:line="360" w:lineRule="exact"/>
              <w:jc w:val="center"/>
              <w:rPr>
                <w:rFonts w:cs="宋体"/>
                <w:color w:val="auto"/>
                <w:sz w:val="21"/>
                <w:szCs w:val="21"/>
              </w:rPr>
            </w:pPr>
            <w:r>
              <w:rPr>
                <w:rFonts w:hint="eastAsia"/>
                <w:color w:val="auto"/>
                <w:sz w:val="21"/>
                <w:szCs w:val="21"/>
              </w:rPr>
              <w:t>主产品</w:t>
            </w:r>
          </w:p>
        </w:tc>
      </w:tr>
      <w:tr w14:paraId="37C1CCE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0BEC4CB1">
            <w:pPr>
              <w:widowControl w:val="0"/>
              <w:spacing w:line="360" w:lineRule="exact"/>
              <w:jc w:val="center"/>
              <w:rPr>
                <w:rFonts w:cs="宋体"/>
                <w:color w:val="auto"/>
                <w:sz w:val="21"/>
                <w:szCs w:val="21"/>
              </w:rPr>
            </w:pPr>
            <w:r>
              <w:rPr>
                <w:rFonts w:hint="eastAsia" w:cs="宋体"/>
                <w:color w:val="auto"/>
                <w:sz w:val="21"/>
                <w:szCs w:val="21"/>
              </w:rPr>
              <w:t>3</w:t>
            </w:r>
          </w:p>
        </w:tc>
        <w:tc>
          <w:tcPr>
            <w:tcW w:w="1917" w:type="pct"/>
            <w:vAlign w:val="center"/>
          </w:tcPr>
          <w:p w14:paraId="0346D063">
            <w:pPr>
              <w:widowControl w:val="0"/>
              <w:spacing w:line="360" w:lineRule="exact"/>
              <w:jc w:val="center"/>
              <w:rPr>
                <w:rFonts w:cs="宋体"/>
                <w:color w:val="auto"/>
                <w:sz w:val="21"/>
                <w:szCs w:val="21"/>
              </w:rPr>
            </w:pPr>
            <w:r>
              <w:rPr>
                <w:rFonts w:hint="eastAsia"/>
                <w:color w:val="auto"/>
                <w:sz w:val="21"/>
                <w:szCs w:val="21"/>
              </w:rPr>
              <w:t>水溶肥料1（液体氮肥）</w:t>
            </w:r>
          </w:p>
        </w:tc>
        <w:tc>
          <w:tcPr>
            <w:tcW w:w="652" w:type="pct"/>
            <w:vAlign w:val="center"/>
          </w:tcPr>
          <w:p w14:paraId="4EB50E47">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12F188FF">
            <w:pPr>
              <w:widowControl w:val="0"/>
              <w:spacing w:line="360" w:lineRule="exact"/>
              <w:jc w:val="center"/>
              <w:rPr>
                <w:rFonts w:cs="宋体"/>
                <w:color w:val="auto"/>
                <w:sz w:val="21"/>
                <w:szCs w:val="21"/>
              </w:rPr>
            </w:pPr>
            <w:r>
              <w:rPr>
                <w:color w:val="auto"/>
                <w:sz w:val="21"/>
                <w:szCs w:val="21"/>
              </w:rPr>
              <w:t>80014</w:t>
            </w:r>
          </w:p>
        </w:tc>
        <w:tc>
          <w:tcPr>
            <w:tcW w:w="1018" w:type="pct"/>
            <w:vAlign w:val="center"/>
          </w:tcPr>
          <w:p w14:paraId="572168E4">
            <w:pPr>
              <w:widowControl w:val="0"/>
              <w:spacing w:line="360" w:lineRule="exact"/>
              <w:jc w:val="center"/>
              <w:rPr>
                <w:rFonts w:cs="宋体"/>
                <w:color w:val="auto"/>
                <w:sz w:val="21"/>
                <w:szCs w:val="21"/>
              </w:rPr>
            </w:pPr>
            <w:r>
              <w:rPr>
                <w:rFonts w:hint="eastAsia"/>
                <w:color w:val="auto"/>
                <w:sz w:val="21"/>
                <w:szCs w:val="21"/>
              </w:rPr>
              <w:t>副产品</w:t>
            </w:r>
          </w:p>
        </w:tc>
      </w:tr>
      <w:tr w14:paraId="1E20356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0DE2D68">
            <w:pPr>
              <w:widowControl w:val="0"/>
              <w:spacing w:line="360" w:lineRule="exact"/>
              <w:jc w:val="center"/>
              <w:rPr>
                <w:rFonts w:cs="宋体"/>
                <w:color w:val="auto"/>
                <w:sz w:val="21"/>
                <w:szCs w:val="21"/>
              </w:rPr>
            </w:pPr>
            <w:r>
              <w:rPr>
                <w:rFonts w:hint="eastAsia" w:cs="宋体"/>
                <w:color w:val="auto"/>
                <w:sz w:val="21"/>
                <w:szCs w:val="21"/>
              </w:rPr>
              <w:t>4</w:t>
            </w:r>
          </w:p>
        </w:tc>
        <w:tc>
          <w:tcPr>
            <w:tcW w:w="1917" w:type="pct"/>
            <w:vAlign w:val="center"/>
          </w:tcPr>
          <w:p w14:paraId="0680BBD0">
            <w:pPr>
              <w:widowControl w:val="0"/>
              <w:spacing w:line="360" w:lineRule="exact"/>
              <w:jc w:val="center"/>
              <w:rPr>
                <w:rFonts w:cs="宋体"/>
                <w:color w:val="auto"/>
                <w:sz w:val="21"/>
                <w:szCs w:val="21"/>
              </w:rPr>
            </w:pPr>
            <w:r>
              <w:rPr>
                <w:rFonts w:hint="eastAsia"/>
                <w:color w:val="auto"/>
                <w:sz w:val="21"/>
                <w:szCs w:val="21"/>
              </w:rPr>
              <w:t>水溶肥料2（大量元素液体肥）</w:t>
            </w:r>
          </w:p>
        </w:tc>
        <w:tc>
          <w:tcPr>
            <w:tcW w:w="652" w:type="pct"/>
            <w:vAlign w:val="center"/>
          </w:tcPr>
          <w:p w14:paraId="13B1C38D">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25A7B96A">
            <w:pPr>
              <w:widowControl w:val="0"/>
              <w:spacing w:line="360" w:lineRule="exact"/>
              <w:jc w:val="center"/>
              <w:rPr>
                <w:rFonts w:cs="宋体"/>
                <w:color w:val="auto"/>
                <w:sz w:val="21"/>
                <w:szCs w:val="21"/>
              </w:rPr>
            </w:pPr>
            <w:r>
              <w:rPr>
                <w:color w:val="auto"/>
                <w:sz w:val="21"/>
                <w:szCs w:val="21"/>
              </w:rPr>
              <w:t>174185</w:t>
            </w:r>
          </w:p>
        </w:tc>
        <w:tc>
          <w:tcPr>
            <w:tcW w:w="1018" w:type="pct"/>
            <w:vAlign w:val="center"/>
          </w:tcPr>
          <w:p w14:paraId="2E80CC09">
            <w:pPr>
              <w:widowControl w:val="0"/>
              <w:spacing w:line="360" w:lineRule="exact"/>
              <w:jc w:val="center"/>
              <w:rPr>
                <w:rFonts w:cs="宋体"/>
                <w:color w:val="auto"/>
                <w:sz w:val="21"/>
                <w:szCs w:val="21"/>
              </w:rPr>
            </w:pPr>
            <w:r>
              <w:rPr>
                <w:rFonts w:hint="eastAsia"/>
                <w:color w:val="auto"/>
                <w:sz w:val="21"/>
                <w:szCs w:val="21"/>
              </w:rPr>
              <w:t>副产品</w:t>
            </w:r>
          </w:p>
        </w:tc>
      </w:tr>
      <w:tr w14:paraId="5E000D0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4ADC334">
            <w:pPr>
              <w:widowControl w:val="0"/>
              <w:spacing w:line="360" w:lineRule="exact"/>
              <w:jc w:val="center"/>
              <w:rPr>
                <w:rFonts w:cs="宋体"/>
                <w:color w:val="auto"/>
                <w:sz w:val="21"/>
                <w:szCs w:val="21"/>
              </w:rPr>
            </w:pPr>
            <w:r>
              <w:rPr>
                <w:rFonts w:hint="eastAsia" w:cs="宋体"/>
                <w:color w:val="auto"/>
                <w:sz w:val="21"/>
                <w:szCs w:val="21"/>
              </w:rPr>
              <w:t>5</w:t>
            </w:r>
          </w:p>
        </w:tc>
        <w:tc>
          <w:tcPr>
            <w:tcW w:w="1917" w:type="pct"/>
            <w:vAlign w:val="center"/>
          </w:tcPr>
          <w:p w14:paraId="2926755D">
            <w:pPr>
              <w:widowControl w:val="0"/>
              <w:spacing w:line="360" w:lineRule="exact"/>
              <w:jc w:val="center"/>
              <w:rPr>
                <w:rFonts w:cs="宋体"/>
                <w:color w:val="auto"/>
                <w:sz w:val="21"/>
                <w:szCs w:val="21"/>
              </w:rPr>
            </w:pPr>
            <w:r>
              <w:rPr>
                <w:rFonts w:hint="eastAsia"/>
                <w:color w:val="auto"/>
                <w:sz w:val="21"/>
                <w:szCs w:val="21"/>
              </w:rPr>
              <w:t>硫酸铵</w:t>
            </w:r>
          </w:p>
        </w:tc>
        <w:tc>
          <w:tcPr>
            <w:tcW w:w="652" w:type="pct"/>
            <w:vAlign w:val="center"/>
          </w:tcPr>
          <w:p w14:paraId="43713199">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688898FD">
            <w:pPr>
              <w:widowControl w:val="0"/>
              <w:spacing w:line="360" w:lineRule="exact"/>
              <w:jc w:val="center"/>
              <w:rPr>
                <w:rFonts w:cs="宋体"/>
                <w:color w:val="auto"/>
                <w:sz w:val="21"/>
                <w:szCs w:val="21"/>
              </w:rPr>
            </w:pPr>
            <w:r>
              <w:rPr>
                <w:color w:val="auto"/>
                <w:sz w:val="21"/>
                <w:szCs w:val="21"/>
              </w:rPr>
              <w:t>91144</w:t>
            </w:r>
          </w:p>
        </w:tc>
        <w:tc>
          <w:tcPr>
            <w:tcW w:w="1018" w:type="pct"/>
            <w:vAlign w:val="center"/>
          </w:tcPr>
          <w:p w14:paraId="5B621D04">
            <w:pPr>
              <w:widowControl w:val="0"/>
              <w:spacing w:line="360" w:lineRule="exact"/>
              <w:jc w:val="center"/>
              <w:rPr>
                <w:rFonts w:cs="宋体"/>
                <w:color w:val="auto"/>
                <w:sz w:val="21"/>
                <w:szCs w:val="21"/>
              </w:rPr>
            </w:pPr>
            <w:r>
              <w:rPr>
                <w:rFonts w:hint="eastAsia"/>
                <w:color w:val="auto"/>
                <w:sz w:val="21"/>
                <w:szCs w:val="21"/>
              </w:rPr>
              <w:t>副产品</w:t>
            </w:r>
          </w:p>
        </w:tc>
      </w:tr>
      <w:tr w14:paraId="64DFBD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2FF9E14">
            <w:pPr>
              <w:widowControl w:val="0"/>
              <w:spacing w:line="360" w:lineRule="exact"/>
              <w:jc w:val="center"/>
              <w:rPr>
                <w:rFonts w:cs="宋体"/>
                <w:color w:val="auto"/>
                <w:sz w:val="21"/>
                <w:szCs w:val="21"/>
              </w:rPr>
            </w:pPr>
            <w:r>
              <w:rPr>
                <w:rFonts w:hint="eastAsia" w:cs="宋体"/>
                <w:color w:val="auto"/>
                <w:sz w:val="21"/>
                <w:szCs w:val="21"/>
              </w:rPr>
              <w:t>6</w:t>
            </w:r>
          </w:p>
        </w:tc>
        <w:tc>
          <w:tcPr>
            <w:tcW w:w="1917" w:type="pct"/>
            <w:vAlign w:val="center"/>
          </w:tcPr>
          <w:p w14:paraId="63604060">
            <w:pPr>
              <w:widowControl w:val="0"/>
              <w:spacing w:line="360" w:lineRule="exact"/>
              <w:jc w:val="center"/>
              <w:rPr>
                <w:rFonts w:cs="宋体"/>
                <w:color w:val="auto"/>
                <w:sz w:val="21"/>
                <w:szCs w:val="21"/>
              </w:rPr>
            </w:pPr>
            <w:r>
              <w:rPr>
                <w:rFonts w:hint="eastAsia"/>
                <w:color w:val="auto"/>
                <w:sz w:val="21"/>
                <w:szCs w:val="21"/>
              </w:rPr>
              <w:t>碳酸钠</w:t>
            </w:r>
          </w:p>
        </w:tc>
        <w:tc>
          <w:tcPr>
            <w:tcW w:w="652" w:type="pct"/>
            <w:vAlign w:val="center"/>
          </w:tcPr>
          <w:p w14:paraId="7E929E47">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59CF1037">
            <w:pPr>
              <w:widowControl w:val="0"/>
              <w:spacing w:line="360" w:lineRule="exact"/>
              <w:jc w:val="center"/>
              <w:rPr>
                <w:rFonts w:cs="宋体"/>
                <w:color w:val="auto"/>
                <w:sz w:val="21"/>
                <w:szCs w:val="21"/>
              </w:rPr>
            </w:pPr>
            <w:r>
              <w:rPr>
                <w:color w:val="auto"/>
                <w:sz w:val="21"/>
                <w:szCs w:val="21"/>
              </w:rPr>
              <w:t>22713</w:t>
            </w:r>
          </w:p>
        </w:tc>
        <w:tc>
          <w:tcPr>
            <w:tcW w:w="1018" w:type="pct"/>
            <w:vAlign w:val="center"/>
          </w:tcPr>
          <w:p w14:paraId="77ADE2B9">
            <w:pPr>
              <w:widowControl w:val="0"/>
              <w:spacing w:line="360" w:lineRule="exact"/>
              <w:jc w:val="center"/>
              <w:rPr>
                <w:rFonts w:cs="宋体"/>
                <w:color w:val="auto"/>
                <w:sz w:val="21"/>
                <w:szCs w:val="21"/>
              </w:rPr>
            </w:pPr>
            <w:r>
              <w:rPr>
                <w:rFonts w:hint="eastAsia"/>
                <w:color w:val="auto"/>
                <w:sz w:val="21"/>
                <w:szCs w:val="21"/>
              </w:rPr>
              <w:t>副产品</w:t>
            </w:r>
          </w:p>
        </w:tc>
      </w:tr>
      <w:tr w14:paraId="07FEF6D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67F7A57">
            <w:pPr>
              <w:widowControl w:val="0"/>
              <w:spacing w:line="360" w:lineRule="exact"/>
              <w:jc w:val="center"/>
              <w:rPr>
                <w:rFonts w:cs="宋体"/>
                <w:color w:val="auto"/>
                <w:sz w:val="21"/>
                <w:szCs w:val="21"/>
              </w:rPr>
            </w:pPr>
            <w:r>
              <w:rPr>
                <w:rFonts w:hint="eastAsia" w:cs="宋体"/>
                <w:color w:val="auto"/>
                <w:sz w:val="21"/>
                <w:szCs w:val="21"/>
              </w:rPr>
              <w:t>7</w:t>
            </w:r>
          </w:p>
        </w:tc>
        <w:tc>
          <w:tcPr>
            <w:tcW w:w="1917" w:type="pct"/>
            <w:vAlign w:val="center"/>
          </w:tcPr>
          <w:p w14:paraId="138544A8">
            <w:pPr>
              <w:widowControl w:val="0"/>
              <w:spacing w:line="360" w:lineRule="exact"/>
              <w:jc w:val="center"/>
              <w:rPr>
                <w:rFonts w:cs="宋体"/>
                <w:color w:val="auto"/>
                <w:sz w:val="21"/>
                <w:szCs w:val="21"/>
              </w:rPr>
            </w:pPr>
            <w:r>
              <w:rPr>
                <w:rFonts w:hint="eastAsia" w:cs="宋体"/>
                <w:color w:val="auto"/>
                <w:sz w:val="21"/>
                <w:szCs w:val="21"/>
              </w:rPr>
              <w:t>回用水</w:t>
            </w:r>
          </w:p>
        </w:tc>
        <w:tc>
          <w:tcPr>
            <w:tcW w:w="652" w:type="pct"/>
            <w:vAlign w:val="center"/>
          </w:tcPr>
          <w:p w14:paraId="7AA7ADFB">
            <w:pPr>
              <w:widowControl w:val="0"/>
              <w:spacing w:line="360" w:lineRule="exact"/>
              <w:jc w:val="center"/>
              <w:rPr>
                <w:rFonts w:cs="宋体"/>
                <w:color w:val="auto"/>
                <w:sz w:val="21"/>
                <w:szCs w:val="21"/>
              </w:rPr>
            </w:pPr>
            <w:r>
              <w:rPr>
                <w:rFonts w:hint="eastAsia"/>
                <w:color w:val="auto"/>
                <w:sz w:val="21"/>
                <w:szCs w:val="21"/>
              </w:rPr>
              <w:t>万m</w:t>
            </w:r>
            <w:r>
              <w:rPr>
                <w:rFonts w:hint="eastAsia"/>
                <w:color w:val="auto"/>
                <w:sz w:val="21"/>
                <w:szCs w:val="21"/>
                <w:vertAlign w:val="superscript"/>
              </w:rPr>
              <w:t>3</w:t>
            </w:r>
            <w:r>
              <w:rPr>
                <w:rFonts w:hint="eastAsia"/>
                <w:color w:val="auto"/>
                <w:sz w:val="21"/>
                <w:szCs w:val="21"/>
              </w:rPr>
              <w:t>/a</w:t>
            </w:r>
          </w:p>
        </w:tc>
        <w:tc>
          <w:tcPr>
            <w:tcW w:w="976" w:type="pct"/>
            <w:vAlign w:val="center"/>
          </w:tcPr>
          <w:p w14:paraId="0DCA64EE">
            <w:pPr>
              <w:pStyle w:val="129"/>
              <w:widowControl w:val="0"/>
              <w:rPr>
                <w:color w:val="auto"/>
              </w:rPr>
            </w:pPr>
            <w:r>
              <w:rPr>
                <w:rFonts w:hint="eastAsia"/>
                <w:color w:val="auto"/>
              </w:rPr>
              <w:t>161.25</w:t>
            </w:r>
          </w:p>
        </w:tc>
        <w:tc>
          <w:tcPr>
            <w:tcW w:w="1018" w:type="pct"/>
            <w:vAlign w:val="center"/>
          </w:tcPr>
          <w:p w14:paraId="288EC3EC">
            <w:pPr>
              <w:widowControl w:val="0"/>
              <w:spacing w:line="360" w:lineRule="exact"/>
              <w:jc w:val="center"/>
              <w:rPr>
                <w:rFonts w:cs="宋体"/>
                <w:color w:val="auto"/>
                <w:sz w:val="21"/>
                <w:szCs w:val="21"/>
              </w:rPr>
            </w:pPr>
            <w:r>
              <w:rPr>
                <w:rFonts w:hint="eastAsia"/>
                <w:color w:val="auto"/>
                <w:sz w:val="21"/>
                <w:szCs w:val="21"/>
              </w:rPr>
              <w:t>副产品</w:t>
            </w:r>
          </w:p>
        </w:tc>
      </w:tr>
      <w:tr w14:paraId="7D3FF3B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B4FB812">
            <w:pPr>
              <w:widowControl w:val="0"/>
              <w:spacing w:line="360" w:lineRule="exact"/>
              <w:jc w:val="center"/>
              <w:rPr>
                <w:rFonts w:cs="宋体"/>
                <w:color w:val="auto"/>
                <w:sz w:val="21"/>
                <w:szCs w:val="21"/>
              </w:rPr>
            </w:pPr>
            <w:r>
              <w:rPr>
                <w:color w:val="auto"/>
                <w:sz w:val="21"/>
                <w:szCs w:val="21"/>
              </w:rPr>
              <w:t>三</w:t>
            </w:r>
          </w:p>
        </w:tc>
        <w:tc>
          <w:tcPr>
            <w:tcW w:w="1917" w:type="pct"/>
            <w:vAlign w:val="center"/>
          </w:tcPr>
          <w:p w14:paraId="1C5565F4">
            <w:pPr>
              <w:widowControl w:val="0"/>
              <w:spacing w:line="360" w:lineRule="exact"/>
              <w:jc w:val="center"/>
              <w:rPr>
                <w:rFonts w:cs="宋体"/>
                <w:color w:val="auto"/>
                <w:sz w:val="21"/>
                <w:szCs w:val="21"/>
              </w:rPr>
            </w:pPr>
            <w:r>
              <w:rPr>
                <w:color w:val="auto"/>
                <w:sz w:val="21"/>
                <w:szCs w:val="21"/>
              </w:rPr>
              <w:t>年操作时间</w:t>
            </w:r>
          </w:p>
        </w:tc>
        <w:tc>
          <w:tcPr>
            <w:tcW w:w="652" w:type="pct"/>
            <w:vAlign w:val="center"/>
          </w:tcPr>
          <w:p w14:paraId="13350C33">
            <w:pPr>
              <w:widowControl w:val="0"/>
              <w:spacing w:line="360" w:lineRule="exact"/>
              <w:jc w:val="center"/>
              <w:rPr>
                <w:rFonts w:cs="宋体"/>
                <w:color w:val="auto"/>
                <w:sz w:val="21"/>
                <w:szCs w:val="21"/>
              </w:rPr>
            </w:pPr>
            <w:r>
              <w:rPr>
                <w:color w:val="auto"/>
                <w:sz w:val="21"/>
                <w:szCs w:val="21"/>
              </w:rPr>
              <w:t>小时</w:t>
            </w:r>
          </w:p>
        </w:tc>
        <w:tc>
          <w:tcPr>
            <w:tcW w:w="976" w:type="pct"/>
            <w:vAlign w:val="center"/>
          </w:tcPr>
          <w:p w14:paraId="7521A9BC">
            <w:pPr>
              <w:widowControl w:val="0"/>
              <w:spacing w:line="360" w:lineRule="exact"/>
              <w:jc w:val="center"/>
              <w:rPr>
                <w:rFonts w:cs="宋体"/>
                <w:color w:val="auto"/>
                <w:sz w:val="21"/>
                <w:szCs w:val="21"/>
              </w:rPr>
            </w:pPr>
            <w:r>
              <w:rPr>
                <w:rFonts w:hint="eastAsia"/>
                <w:color w:val="auto"/>
                <w:sz w:val="21"/>
                <w:szCs w:val="21"/>
              </w:rPr>
              <w:t>8000</w:t>
            </w:r>
          </w:p>
        </w:tc>
        <w:tc>
          <w:tcPr>
            <w:tcW w:w="1018" w:type="pct"/>
            <w:vAlign w:val="center"/>
          </w:tcPr>
          <w:p w14:paraId="27798DC1">
            <w:pPr>
              <w:widowControl w:val="0"/>
              <w:spacing w:line="360" w:lineRule="exact"/>
              <w:jc w:val="center"/>
              <w:rPr>
                <w:rFonts w:cs="宋体"/>
                <w:color w:val="auto"/>
                <w:sz w:val="21"/>
                <w:szCs w:val="21"/>
              </w:rPr>
            </w:pPr>
            <w:r>
              <w:rPr>
                <w:color w:val="auto"/>
                <w:sz w:val="21"/>
                <w:szCs w:val="21"/>
              </w:rPr>
              <w:t>折333天</w:t>
            </w:r>
          </w:p>
        </w:tc>
      </w:tr>
      <w:tr w14:paraId="2CD776D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9757BB7">
            <w:pPr>
              <w:widowControl w:val="0"/>
              <w:spacing w:line="360" w:lineRule="exact"/>
              <w:jc w:val="center"/>
              <w:rPr>
                <w:rFonts w:cs="宋体"/>
                <w:color w:val="auto"/>
                <w:sz w:val="21"/>
                <w:szCs w:val="21"/>
              </w:rPr>
            </w:pPr>
            <w:r>
              <w:rPr>
                <w:color w:val="auto"/>
                <w:sz w:val="21"/>
                <w:szCs w:val="21"/>
              </w:rPr>
              <w:t>四</w:t>
            </w:r>
          </w:p>
        </w:tc>
        <w:tc>
          <w:tcPr>
            <w:tcW w:w="1917" w:type="pct"/>
            <w:vAlign w:val="center"/>
          </w:tcPr>
          <w:p w14:paraId="4B17D2DA">
            <w:pPr>
              <w:widowControl w:val="0"/>
              <w:spacing w:line="360" w:lineRule="exact"/>
              <w:jc w:val="center"/>
              <w:rPr>
                <w:rFonts w:cs="宋体"/>
                <w:color w:val="auto"/>
                <w:sz w:val="21"/>
                <w:szCs w:val="21"/>
              </w:rPr>
            </w:pPr>
            <w:r>
              <w:rPr>
                <w:color w:val="auto"/>
                <w:sz w:val="21"/>
                <w:szCs w:val="21"/>
              </w:rPr>
              <w:t>主要原辅材料、燃料用量</w:t>
            </w:r>
          </w:p>
        </w:tc>
        <w:tc>
          <w:tcPr>
            <w:tcW w:w="652" w:type="pct"/>
            <w:vAlign w:val="center"/>
          </w:tcPr>
          <w:p w14:paraId="6C00D7F3">
            <w:pPr>
              <w:widowControl w:val="0"/>
              <w:spacing w:line="360" w:lineRule="exact"/>
              <w:jc w:val="center"/>
              <w:rPr>
                <w:rFonts w:cs="宋体"/>
                <w:color w:val="auto"/>
                <w:sz w:val="21"/>
                <w:szCs w:val="21"/>
              </w:rPr>
            </w:pPr>
          </w:p>
        </w:tc>
        <w:tc>
          <w:tcPr>
            <w:tcW w:w="976" w:type="pct"/>
            <w:vAlign w:val="center"/>
          </w:tcPr>
          <w:p w14:paraId="77696E8C">
            <w:pPr>
              <w:widowControl w:val="0"/>
              <w:spacing w:line="360" w:lineRule="exact"/>
              <w:jc w:val="center"/>
              <w:rPr>
                <w:rFonts w:cs="宋体"/>
                <w:color w:val="auto"/>
                <w:sz w:val="21"/>
                <w:szCs w:val="21"/>
              </w:rPr>
            </w:pPr>
          </w:p>
        </w:tc>
        <w:tc>
          <w:tcPr>
            <w:tcW w:w="1018" w:type="pct"/>
            <w:vAlign w:val="center"/>
          </w:tcPr>
          <w:p w14:paraId="22C2F902">
            <w:pPr>
              <w:widowControl w:val="0"/>
              <w:spacing w:line="360" w:lineRule="exact"/>
              <w:jc w:val="center"/>
              <w:rPr>
                <w:rFonts w:cs="宋体"/>
                <w:color w:val="auto"/>
                <w:sz w:val="21"/>
                <w:szCs w:val="21"/>
              </w:rPr>
            </w:pPr>
          </w:p>
        </w:tc>
      </w:tr>
      <w:tr w14:paraId="03E43D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0F75AB7">
            <w:pPr>
              <w:widowControl w:val="0"/>
              <w:spacing w:line="360" w:lineRule="exact"/>
              <w:jc w:val="center"/>
              <w:rPr>
                <w:rFonts w:cs="宋体"/>
                <w:color w:val="auto"/>
                <w:sz w:val="21"/>
                <w:szCs w:val="21"/>
              </w:rPr>
            </w:pPr>
            <w:r>
              <w:rPr>
                <w:rFonts w:hint="eastAsia" w:cs="宋体"/>
                <w:color w:val="auto"/>
                <w:sz w:val="21"/>
                <w:szCs w:val="21"/>
              </w:rPr>
              <w:t>1</w:t>
            </w:r>
          </w:p>
        </w:tc>
        <w:tc>
          <w:tcPr>
            <w:tcW w:w="1917" w:type="pct"/>
            <w:vAlign w:val="center"/>
          </w:tcPr>
          <w:p w14:paraId="0C60104D">
            <w:pPr>
              <w:widowControl w:val="0"/>
              <w:spacing w:line="360" w:lineRule="exact"/>
              <w:jc w:val="center"/>
              <w:rPr>
                <w:rFonts w:cs="宋体"/>
                <w:color w:val="auto"/>
                <w:sz w:val="21"/>
                <w:szCs w:val="21"/>
              </w:rPr>
            </w:pPr>
            <w:r>
              <w:rPr>
                <w:rFonts w:hint="eastAsia" w:cs="宋体"/>
                <w:color w:val="auto"/>
                <w:sz w:val="21"/>
                <w:szCs w:val="21"/>
              </w:rPr>
              <w:t>危险废物处置原辅材料</w:t>
            </w:r>
          </w:p>
        </w:tc>
        <w:tc>
          <w:tcPr>
            <w:tcW w:w="652" w:type="pct"/>
            <w:vAlign w:val="center"/>
          </w:tcPr>
          <w:p w14:paraId="5C5E0A13">
            <w:pPr>
              <w:widowControl w:val="0"/>
              <w:spacing w:line="360" w:lineRule="exact"/>
              <w:jc w:val="center"/>
              <w:rPr>
                <w:rFonts w:cs="宋体"/>
                <w:color w:val="auto"/>
                <w:sz w:val="21"/>
                <w:szCs w:val="21"/>
              </w:rPr>
            </w:pPr>
          </w:p>
        </w:tc>
        <w:tc>
          <w:tcPr>
            <w:tcW w:w="976" w:type="pct"/>
            <w:vAlign w:val="center"/>
          </w:tcPr>
          <w:p w14:paraId="1EB56C45">
            <w:pPr>
              <w:widowControl w:val="0"/>
              <w:spacing w:line="360" w:lineRule="exact"/>
              <w:jc w:val="center"/>
              <w:rPr>
                <w:rFonts w:cs="宋体"/>
                <w:color w:val="auto"/>
                <w:sz w:val="21"/>
                <w:szCs w:val="21"/>
              </w:rPr>
            </w:pPr>
          </w:p>
        </w:tc>
        <w:tc>
          <w:tcPr>
            <w:tcW w:w="1018" w:type="pct"/>
            <w:vAlign w:val="center"/>
          </w:tcPr>
          <w:p w14:paraId="31076617">
            <w:pPr>
              <w:widowControl w:val="0"/>
              <w:spacing w:line="360" w:lineRule="exact"/>
              <w:jc w:val="center"/>
              <w:rPr>
                <w:rFonts w:cs="宋体"/>
                <w:color w:val="auto"/>
                <w:sz w:val="21"/>
                <w:szCs w:val="21"/>
              </w:rPr>
            </w:pPr>
          </w:p>
        </w:tc>
      </w:tr>
      <w:tr w14:paraId="17953C7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620B2FA">
            <w:pPr>
              <w:widowControl w:val="0"/>
              <w:spacing w:line="360" w:lineRule="exact"/>
              <w:jc w:val="center"/>
              <w:rPr>
                <w:rFonts w:cs="宋体"/>
                <w:color w:val="auto"/>
                <w:sz w:val="21"/>
                <w:szCs w:val="21"/>
              </w:rPr>
            </w:pPr>
            <w:r>
              <w:rPr>
                <w:rFonts w:hint="eastAsia" w:cs="宋体"/>
                <w:color w:val="auto"/>
                <w:sz w:val="21"/>
                <w:szCs w:val="21"/>
              </w:rPr>
              <w:t>1.1</w:t>
            </w:r>
          </w:p>
        </w:tc>
        <w:tc>
          <w:tcPr>
            <w:tcW w:w="1917" w:type="pct"/>
            <w:vAlign w:val="center"/>
          </w:tcPr>
          <w:p w14:paraId="0F7F19AF">
            <w:pPr>
              <w:widowControl w:val="0"/>
              <w:spacing w:line="360" w:lineRule="exact"/>
              <w:jc w:val="center"/>
              <w:rPr>
                <w:rFonts w:cs="宋体"/>
                <w:color w:val="auto"/>
                <w:sz w:val="21"/>
                <w:szCs w:val="21"/>
              </w:rPr>
            </w:pPr>
            <w:r>
              <w:rPr>
                <w:rFonts w:hint="eastAsia" w:cs="宋体"/>
                <w:color w:val="auto"/>
                <w:sz w:val="21"/>
                <w:szCs w:val="21"/>
              </w:rPr>
              <w:t>废酸液（HW34）</w:t>
            </w:r>
          </w:p>
        </w:tc>
        <w:tc>
          <w:tcPr>
            <w:tcW w:w="652" w:type="pct"/>
            <w:vAlign w:val="center"/>
          </w:tcPr>
          <w:p w14:paraId="1A090187">
            <w:pPr>
              <w:widowControl w:val="0"/>
              <w:spacing w:line="360" w:lineRule="exact"/>
              <w:jc w:val="center"/>
              <w:rPr>
                <w:rFonts w:cs="宋体"/>
                <w:color w:val="auto"/>
                <w:sz w:val="21"/>
                <w:szCs w:val="21"/>
              </w:rPr>
            </w:pPr>
            <w:r>
              <w:rPr>
                <w:rFonts w:hint="eastAsia"/>
                <w:color w:val="auto"/>
                <w:sz w:val="21"/>
                <w:szCs w:val="21"/>
              </w:rPr>
              <w:t>万m</w:t>
            </w:r>
            <w:r>
              <w:rPr>
                <w:rFonts w:hint="eastAsia"/>
                <w:color w:val="auto"/>
                <w:sz w:val="21"/>
                <w:szCs w:val="21"/>
                <w:vertAlign w:val="superscript"/>
              </w:rPr>
              <w:t>3</w:t>
            </w:r>
            <w:r>
              <w:rPr>
                <w:rFonts w:hint="eastAsia"/>
                <w:color w:val="auto"/>
                <w:sz w:val="21"/>
                <w:szCs w:val="21"/>
              </w:rPr>
              <w:t>/a</w:t>
            </w:r>
          </w:p>
        </w:tc>
        <w:tc>
          <w:tcPr>
            <w:tcW w:w="976" w:type="pct"/>
            <w:vAlign w:val="center"/>
          </w:tcPr>
          <w:p w14:paraId="668C5F4C">
            <w:pPr>
              <w:widowControl w:val="0"/>
              <w:spacing w:line="360" w:lineRule="exact"/>
              <w:jc w:val="center"/>
              <w:rPr>
                <w:rFonts w:cs="宋体"/>
                <w:color w:val="auto"/>
                <w:sz w:val="21"/>
                <w:szCs w:val="21"/>
              </w:rPr>
            </w:pPr>
            <w:r>
              <w:rPr>
                <w:rFonts w:hint="eastAsia"/>
                <w:color w:val="auto"/>
                <w:sz w:val="21"/>
                <w:szCs w:val="21"/>
              </w:rPr>
              <w:t>100</w:t>
            </w:r>
          </w:p>
        </w:tc>
        <w:tc>
          <w:tcPr>
            <w:tcW w:w="1018" w:type="pct"/>
            <w:vAlign w:val="center"/>
          </w:tcPr>
          <w:p w14:paraId="3230DCD9">
            <w:pPr>
              <w:widowControl w:val="0"/>
              <w:spacing w:line="360" w:lineRule="exact"/>
              <w:jc w:val="center"/>
              <w:rPr>
                <w:rFonts w:cs="宋体"/>
                <w:color w:val="auto"/>
                <w:sz w:val="21"/>
                <w:szCs w:val="21"/>
              </w:rPr>
            </w:pPr>
          </w:p>
        </w:tc>
      </w:tr>
      <w:tr w14:paraId="480875B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33C52BA">
            <w:pPr>
              <w:widowControl w:val="0"/>
              <w:spacing w:line="360" w:lineRule="exact"/>
              <w:jc w:val="center"/>
              <w:rPr>
                <w:rFonts w:cs="宋体"/>
                <w:color w:val="auto"/>
                <w:sz w:val="21"/>
                <w:szCs w:val="21"/>
              </w:rPr>
            </w:pPr>
            <w:r>
              <w:rPr>
                <w:rFonts w:hint="eastAsia" w:cs="宋体"/>
                <w:color w:val="auto"/>
                <w:sz w:val="21"/>
                <w:szCs w:val="21"/>
              </w:rPr>
              <w:t>1.2</w:t>
            </w:r>
          </w:p>
        </w:tc>
        <w:tc>
          <w:tcPr>
            <w:tcW w:w="1917" w:type="pct"/>
            <w:vAlign w:val="center"/>
          </w:tcPr>
          <w:p w14:paraId="4C3E92B2">
            <w:pPr>
              <w:widowControl w:val="0"/>
              <w:spacing w:line="360" w:lineRule="exact"/>
              <w:jc w:val="center"/>
              <w:rPr>
                <w:rFonts w:cs="宋体"/>
                <w:color w:val="auto"/>
                <w:sz w:val="21"/>
                <w:szCs w:val="21"/>
              </w:rPr>
            </w:pPr>
            <w:r>
              <w:rPr>
                <w:rFonts w:hint="eastAsia" w:cs="宋体"/>
                <w:color w:val="auto"/>
                <w:sz w:val="21"/>
                <w:szCs w:val="21"/>
              </w:rPr>
              <w:t>废碱液（HW35）</w:t>
            </w:r>
          </w:p>
        </w:tc>
        <w:tc>
          <w:tcPr>
            <w:tcW w:w="652" w:type="pct"/>
            <w:vAlign w:val="center"/>
          </w:tcPr>
          <w:p w14:paraId="178E8A70">
            <w:pPr>
              <w:widowControl w:val="0"/>
              <w:spacing w:line="360" w:lineRule="exact"/>
              <w:jc w:val="center"/>
              <w:rPr>
                <w:rFonts w:cs="宋体"/>
                <w:color w:val="auto"/>
                <w:sz w:val="21"/>
                <w:szCs w:val="21"/>
              </w:rPr>
            </w:pPr>
            <w:r>
              <w:rPr>
                <w:rFonts w:hint="eastAsia"/>
                <w:color w:val="auto"/>
                <w:sz w:val="21"/>
                <w:szCs w:val="21"/>
              </w:rPr>
              <w:t>万m</w:t>
            </w:r>
            <w:r>
              <w:rPr>
                <w:rFonts w:hint="eastAsia"/>
                <w:color w:val="auto"/>
                <w:sz w:val="21"/>
                <w:szCs w:val="21"/>
                <w:vertAlign w:val="superscript"/>
              </w:rPr>
              <w:t>3</w:t>
            </w:r>
            <w:r>
              <w:rPr>
                <w:rFonts w:hint="eastAsia"/>
                <w:color w:val="auto"/>
                <w:sz w:val="21"/>
                <w:szCs w:val="21"/>
              </w:rPr>
              <w:t>/a</w:t>
            </w:r>
          </w:p>
        </w:tc>
        <w:tc>
          <w:tcPr>
            <w:tcW w:w="976" w:type="pct"/>
            <w:vAlign w:val="center"/>
          </w:tcPr>
          <w:p w14:paraId="5261A102">
            <w:pPr>
              <w:widowControl w:val="0"/>
              <w:spacing w:line="360" w:lineRule="exact"/>
              <w:jc w:val="center"/>
              <w:rPr>
                <w:rFonts w:cs="宋体"/>
                <w:color w:val="auto"/>
                <w:sz w:val="21"/>
                <w:szCs w:val="21"/>
              </w:rPr>
            </w:pPr>
            <w:r>
              <w:rPr>
                <w:rFonts w:hint="eastAsia"/>
                <w:color w:val="auto"/>
                <w:sz w:val="21"/>
                <w:szCs w:val="21"/>
              </w:rPr>
              <w:t>12</w:t>
            </w:r>
          </w:p>
        </w:tc>
        <w:tc>
          <w:tcPr>
            <w:tcW w:w="1018" w:type="pct"/>
            <w:vAlign w:val="center"/>
          </w:tcPr>
          <w:p w14:paraId="066ABE05">
            <w:pPr>
              <w:widowControl w:val="0"/>
              <w:spacing w:line="360" w:lineRule="exact"/>
              <w:jc w:val="center"/>
              <w:rPr>
                <w:rFonts w:cs="宋体"/>
                <w:color w:val="auto"/>
                <w:sz w:val="21"/>
                <w:szCs w:val="21"/>
              </w:rPr>
            </w:pPr>
          </w:p>
        </w:tc>
      </w:tr>
      <w:tr w14:paraId="4B46C9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07980A21">
            <w:pPr>
              <w:widowControl w:val="0"/>
              <w:spacing w:line="360" w:lineRule="exact"/>
              <w:jc w:val="center"/>
              <w:rPr>
                <w:rFonts w:cs="宋体"/>
                <w:color w:val="auto"/>
                <w:sz w:val="21"/>
                <w:szCs w:val="21"/>
              </w:rPr>
            </w:pPr>
            <w:r>
              <w:rPr>
                <w:rFonts w:hint="eastAsia" w:cs="宋体"/>
                <w:color w:val="auto"/>
                <w:sz w:val="21"/>
                <w:szCs w:val="21"/>
              </w:rPr>
              <w:t>1.3</w:t>
            </w:r>
          </w:p>
        </w:tc>
        <w:tc>
          <w:tcPr>
            <w:tcW w:w="1917" w:type="pct"/>
            <w:vAlign w:val="center"/>
          </w:tcPr>
          <w:p w14:paraId="6EC94D02">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氨水</w:t>
            </w:r>
          </w:p>
        </w:tc>
        <w:tc>
          <w:tcPr>
            <w:tcW w:w="652" w:type="pct"/>
            <w:vAlign w:val="center"/>
          </w:tcPr>
          <w:p w14:paraId="3B9C2855">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70C42037">
            <w:pPr>
              <w:widowControl w:val="0"/>
              <w:spacing w:line="360" w:lineRule="exact"/>
              <w:jc w:val="center"/>
              <w:rPr>
                <w:rFonts w:cs="宋体"/>
                <w:color w:val="auto"/>
                <w:sz w:val="21"/>
                <w:szCs w:val="21"/>
              </w:rPr>
            </w:pPr>
            <w:r>
              <w:rPr>
                <w:rFonts w:eastAsia="Times New Roman"/>
                <w:color w:val="auto"/>
                <w:sz w:val="21"/>
                <w:szCs w:val="21"/>
              </w:rPr>
              <w:t xml:space="preserve">328162.8 </w:t>
            </w:r>
          </w:p>
        </w:tc>
        <w:tc>
          <w:tcPr>
            <w:tcW w:w="1018" w:type="pct"/>
            <w:vAlign w:val="center"/>
          </w:tcPr>
          <w:p w14:paraId="2F14C7EE">
            <w:pPr>
              <w:widowControl w:val="0"/>
              <w:spacing w:line="360" w:lineRule="exact"/>
              <w:jc w:val="center"/>
              <w:rPr>
                <w:rFonts w:cs="宋体"/>
                <w:color w:val="auto"/>
                <w:sz w:val="21"/>
                <w:szCs w:val="21"/>
              </w:rPr>
            </w:pPr>
          </w:p>
        </w:tc>
      </w:tr>
      <w:tr w14:paraId="1843848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5A598FD">
            <w:pPr>
              <w:widowControl w:val="0"/>
              <w:spacing w:line="360" w:lineRule="exact"/>
              <w:jc w:val="center"/>
              <w:rPr>
                <w:rFonts w:cs="宋体"/>
                <w:color w:val="auto"/>
                <w:sz w:val="21"/>
                <w:szCs w:val="21"/>
              </w:rPr>
            </w:pPr>
            <w:r>
              <w:rPr>
                <w:rFonts w:hint="eastAsia" w:cs="宋体"/>
                <w:color w:val="auto"/>
                <w:sz w:val="21"/>
                <w:szCs w:val="21"/>
              </w:rPr>
              <w:t>1.4</w:t>
            </w:r>
          </w:p>
        </w:tc>
        <w:tc>
          <w:tcPr>
            <w:tcW w:w="1917" w:type="pct"/>
            <w:vAlign w:val="center"/>
          </w:tcPr>
          <w:p w14:paraId="6CEB1213">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树脂</w:t>
            </w:r>
          </w:p>
        </w:tc>
        <w:tc>
          <w:tcPr>
            <w:tcW w:w="652" w:type="pct"/>
            <w:vAlign w:val="center"/>
          </w:tcPr>
          <w:p w14:paraId="11215FF6">
            <w:pPr>
              <w:widowControl w:val="0"/>
              <w:spacing w:line="360" w:lineRule="exact"/>
              <w:jc w:val="center"/>
              <w:rPr>
                <w:rFonts w:cs="宋体"/>
                <w:color w:val="auto"/>
                <w:sz w:val="21"/>
                <w:szCs w:val="21"/>
              </w:rPr>
            </w:pPr>
          </w:p>
        </w:tc>
        <w:tc>
          <w:tcPr>
            <w:tcW w:w="976" w:type="pct"/>
            <w:vAlign w:val="center"/>
          </w:tcPr>
          <w:p w14:paraId="486B19FD">
            <w:pPr>
              <w:widowControl w:val="0"/>
              <w:spacing w:line="360" w:lineRule="exact"/>
              <w:jc w:val="center"/>
              <w:rPr>
                <w:rFonts w:cs="宋体"/>
                <w:color w:val="auto"/>
                <w:sz w:val="21"/>
                <w:szCs w:val="21"/>
              </w:rPr>
            </w:pPr>
            <w:r>
              <w:rPr>
                <w:rFonts w:eastAsia="Times New Roman"/>
                <w:color w:val="auto"/>
                <w:sz w:val="21"/>
                <w:szCs w:val="21"/>
              </w:rPr>
              <w:t>10t/10a</w:t>
            </w:r>
          </w:p>
        </w:tc>
        <w:tc>
          <w:tcPr>
            <w:tcW w:w="1018" w:type="pct"/>
            <w:vAlign w:val="center"/>
          </w:tcPr>
          <w:p w14:paraId="4FD0CC89">
            <w:pPr>
              <w:widowControl w:val="0"/>
              <w:spacing w:line="360" w:lineRule="exact"/>
              <w:jc w:val="center"/>
              <w:rPr>
                <w:rFonts w:cs="宋体"/>
                <w:color w:val="auto"/>
                <w:sz w:val="21"/>
                <w:szCs w:val="21"/>
              </w:rPr>
            </w:pPr>
          </w:p>
        </w:tc>
      </w:tr>
      <w:tr w14:paraId="31466AE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13F0F71">
            <w:pPr>
              <w:widowControl w:val="0"/>
              <w:spacing w:line="360" w:lineRule="exact"/>
              <w:jc w:val="center"/>
              <w:rPr>
                <w:rFonts w:cs="宋体"/>
                <w:color w:val="auto"/>
                <w:sz w:val="21"/>
                <w:szCs w:val="21"/>
              </w:rPr>
            </w:pPr>
            <w:r>
              <w:rPr>
                <w:rFonts w:hint="eastAsia" w:cs="宋体"/>
                <w:color w:val="auto"/>
                <w:sz w:val="21"/>
                <w:szCs w:val="21"/>
              </w:rPr>
              <w:t>1.5</w:t>
            </w:r>
          </w:p>
        </w:tc>
        <w:tc>
          <w:tcPr>
            <w:tcW w:w="1917" w:type="pct"/>
            <w:vAlign w:val="center"/>
          </w:tcPr>
          <w:p w14:paraId="1B40664D">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硫酸</w:t>
            </w:r>
          </w:p>
        </w:tc>
        <w:tc>
          <w:tcPr>
            <w:tcW w:w="652" w:type="pct"/>
            <w:vAlign w:val="center"/>
          </w:tcPr>
          <w:p w14:paraId="10A16261">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1A47E4E1">
            <w:pPr>
              <w:widowControl w:val="0"/>
              <w:spacing w:line="360" w:lineRule="exact"/>
              <w:jc w:val="center"/>
              <w:rPr>
                <w:rFonts w:cs="宋体"/>
                <w:color w:val="auto"/>
                <w:sz w:val="21"/>
                <w:szCs w:val="21"/>
              </w:rPr>
            </w:pPr>
            <w:r>
              <w:rPr>
                <w:rFonts w:eastAsia="Times New Roman"/>
                <w:color w:val="auto"/>
                <w:sz w:val="21"/>
                <w:szCs w:val="21"/>
              </w:rPr>
              <w:t>174414.3</w:t>
            </w:r>
          </w:p>
        </w:tc>
        <w:tc>
          <w:tcPr>
            <w:tcW w:w="1018" w:type="pct"/>
            <w:vAlign w:val="center"/>
          </w:tcPr>
          <w:p w14:paraId="532443B5">
            <w:pPr>
              <w:widowControl w:val="0"/>
              <w:spacing w:line="360" w:lineRule="exact"/>
              <w:jc w:val="center"/>
              <w:rPr>
                <w:rFonts w:cs="宋体"/>
                <w:color w:val="auto"/>
                <w:sz w:val="21"/>
                <w:szCs w:val="21"/>
              </w:rPr>
            </w:pPr>
          </w:p>
        </w:tc>
      </w:tr>
      <w:tr w14:paraId="5D97DD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57F9B7F">
            <w:pPr>
              <w:widowControl w:val="0"/>
              <w:spacing w:line="360" w:lineRule="exact"/>
              <w:jc w:val="center"/>
              <w:rPr>
                <w:rFonts w:cs="宋体"/>
                <w:color w:val="auto"/>
                <w:sz w:val="21"/>
                <w:szCs w:val="21"/>
              </w:rPr>
            </w:pPr>
            <w:r>
              <w:rPr>
                <w:rFonts w:hint="eastAsia" w:cs="宋体"/>
                <w:color w:val="auto"/>
                <w:sz w:val="21"/>
                <w:szCs w:val="21"/>
              </w:rPr>
              <w:t>1.6</w:t>
            </w:r>
          </w:p>
        </w:tc>
        <w:tc>
          <w:tcPr>
            <w:tcW w:w="1917" w:type="pct"/>
            <w:vAlign w:val="center"/>
          </w:tcPr>
          <w:p w14:paraId="3B7D3BD7">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二氧化碳</w:t>
            </w:r>
          </w:p>
        </w:tc>
        <w:tc>
          <w:tcPr>
            <w:tcW w:w="652" w:type="pct"/>
            <w:vAlign w:val="center"/>
          </w:tcPr>
          <w:p w14:paraId="4E6D85BD">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5AB08D4F">
            <w:pPr>
              <w:widowControl w:val="0"/>
              <w:spacing w:line="360" w:lineRule="exact"/>
              <w:jc w:val="center"/>
              <w:rPr>
                <w:rFonts w:cs="宋体"/>
                <w:color w:val="auto"/>
                <w:sz w:val="21"/>
                <w:szCs w:val="21"/>
              </w:rPr>
            </w:pPr>
            <w:r>
              <w:rPr>
                <w:rFonts w:eastAsia="Times New Roman"/>
                <w:color w:val="auto"/>
                <w:sz w:val="21"/>
                <w:szCs w:val="21"/>
              </w:rPr>
              <w:t xml:space="preserve">1779.0 </w:t>
            </w:r>
          </w:p>
        </w:tc>
        <w:tc>
          <w:tcPr>
            <w:tcW w:w="1018" w:type="pct"/>
            <w:vAlign w:val="center"/>
          </w:tcPr>
          <w:p w14:paraId="4229EDE2">
            <w:pPr>
              <w:widowControl w:val="0"/>
              <w:spacing w:line="360" w:lineRule="exact"/>
              <w:jc w:val="center"/>
              <w:rPr>
                <w:rFonts w:cs="宋体"/>
                <w:color w:val="auto"/>
                <w:sz w:val="21"/>
                <w:szCs w:val="21"/>
              </w:rPr>
            </w:pPr>
          </w:p>
        </w:tc>
      </w:tr>
      <w:tr w14:paraId="16FF194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611C9E3">
            <w:pPr>
              <w:widowControl w:val="0"/>
              <w:spacing w:line="360" w:lineRule="exact"/>
              <w:jc w:val="center"/>
              <w:rPr>
                <w:rFonts w:cs="宋体"/>
                <w:color w:val="auto"/>
                <w:sz w:val="21"/>
                <w:szCs w:val="21"/>
              </w:rPr>
            </w:pPr>
            <w:r>
              <w:rPr>
                <w:rFonts w:hint="eastAsia" w:cs="宋体"/>
                <w:color w:val="auto"/>
                <w:sz w:val="21"/>
                <w:szCs w:val="21"/>
              </w:rPr>
              <w:t>2</w:t>
            </w:r>
          </w:p>
        </w:tc>
        <w:tc>
          <w:tcPr>
            <w:tcW w:w="1917" w:type="pct"/>
            <w:vAlign w:val="center"/>
          </w:tcPr>
          <w:p w14:paraId="137AC70F">
            <w:pPr>
              <w:widowControl w:val="0"/>
              <w:spacing w:line="360" w:lineRule="exact"/>
              <w:jc w:val="center"/>
              <w:rPr>
                <w:rFonts w:cs="宋体"/>
                <w:color w:val="auto"/>
                <w:sz w:val="21"/>
                <w:szCs w:val="21"/>
              </w:rPr>
            </w:pPr>
            <w:r>
              <w:rPr>
                <w:rFonts w:hint="eastAsia" w:cs="宋体"/>
                <w:color w:val="auto"/>
                <w:sz w:val="21"/>
                <w:szCs w:val="21"/>
              </w:rPr>
              <w:t>工业催化剂生产</w:t>
            </w:r>
          </w:p>
        </w:tc>
        <w:tc>
          <w:tcPr>
            <w:tcW w:w="652" w:type="pct"/>
            <w:vAlign w:val="center"/>
          </w:tcPr>
          <w:p w14:paraId="683349C3">
            <w:pPr>
              <w:widowControl w:val="0"/>
              <w:spacing w:line="360" w:lineRule="exact"/>
              <w:jc w:val="center"/>
              <w:rPr>
                <w:rFonts w:cs="宋体"/>
                <w:color w:val="auto"/>
                <w:sz w:val="21"/>
                <w:szCs w:val="21"/>
              </w:rPr>
            </w:pPr>
          </w:p>
        </w:tc>
        <w:tc>
          <w:tcPr>
            <w:tcW w:w="976" w:type="pct"/>
            <w:vAlign w:val="center"/>
          </w:tcPr>
          <w:p w14:paraId="12A1AA57">
            <w:pPr>
              <w:widowControl w:val="0"/>
              <w:spacing w:line="360" w:lineRule="exact"/>
              <w:jc w:val="center"/>
              <w:rPr>
                <w:rFonts w:cs="宋体"/>
                <w:color w:val="auto"/>
                <w:sz w:val="21"/>
                <w:szCs w:val="21"/>
              </w:rPr>
            </w:pPr>
          </w:p>
        </w:tc>
        <w:tc>
          <w:tcPr>
            <w:tcW w:w="1018" w:type="pct"/>
            <w:vAlign w:val="center"/>
          </w:tcPr>
          <w:p w14:paraId="5F107FAE">
            <w:pPr>
              <w:widowControl w:val="0"/>
              <w:spacing w:line="360" w:lineRule="exact"/>
              <w:jc w:val="center"/>
              <w:rPr>
                <w:rFonts w:cs="宋体"/>
                <w:color w:val="auto"/>
                <w:sz w:val="21"/>
                <w:szCs w:val="21"/>
              </w:rPr>
            </w:pPr>
          </w:p>
        </w:tc>
      </w:tr>
      <w:tr w14:paraId="7D853C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379247D">
            <w:pPr>
              <w:widowControl w:val="0"/>
              <w:spacing w:line="360" w:lineRule="exact"/>
              <w:jc w:val="center"/>
              <w:rPr>
                <w:rFonts w:cs="宋体"/>
                <w:color w:val="auto"/>
                <w:sz w:val="21"/>
                <w:szCs w:val="21"/>
              </w:rPr>
            </w:pPr>
            <w:r>
              <w:rPr>
                <w:rFonts w:hint="eastAsia" w:cs="宋体"/>
                <w:color w:val="auto"/>
                <w:sz w:val="21"/>
                <w:szCs w:val="21"/>
              </w:rPr>
              <w:t>2.1</w:t>
            </w:r>
          </w:p>
        </w:tc>
        <w:tc>
          <w:tcPr>
            <w:tcW w:w="1917" w:type="pct"/>
            <w:vAlign w:val="center"/>
          </w:tcPr>
          <w:p w14:paraId="6979A0A1">
            <w:pPr>
              <w:widowControl w:val="0"/>
              <w:spacing w:line="360" w:lineRule="exact"/>
              <w:jc w:val="center"/>
              <w:rPr>
                <w:rFonts w:cs="宋体"/>
                <w:color w:val="auto"/>
                <w:sz w:val="21"/>
                <w:szCs w:val="21"/>
              </w:rPr>
            </w:pPr>
            <w:r>
              <w:rPr>
                <w:rFonts w:hint="eastAsia" w:cs="宋体"/>
                <w:color w:val="auto"/>
                <w:sz w:val="21"/>
                <w:szCs w:val="21"/>
              </w:rPr>
              <w:t>拟薄水铝石</w:t>
            </w:r>
          </w:p>
        </w:tc>
        <w:tc>
          <w:tcPr>
            <w:tcW w:w="652" w:type="pct"/>
            <w:vAlign w:val="center"/>
          </w:tcPr>
          <w:p w14:paraId="7A143CCB">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756D1EB2">
            <w:pPr>
              <w:widowControl w:val="0"/>
              <w:spacing w:line="360" w:lineRule="exact"/>
              <w:jc w:val="center"/>
              <w:rPr>
                <w:rFonts w:cs="宋体"/>
                <w:color w:val="auto"/>
                <w:sz w:val="21"/>
                <w:szCs w:val="21"/>
              </w:rPr>
            </w:pPr>
            <w:r>
              <w:rPr>
                <w:color w:val="auto"/>
                <w:sz w:val="21"/>
                <w:szCs w:val="21"/>
              </w:rPr>
              <w:t xml:space="preserve">4371.07 </w:t>
            </w:r>
          </w:p>
        </w:tc>
        <w:tc>
          <w:tcPr>
            <w:tcW w:w="1018" w:type="pct"/>
            <w:vAlign w:val="center"/>
          </w:tcPr>
          <w:p w14:paraId="763F82AE">
            <w:pPr>
              <w:widowControl w:val="0"/>
              <w:spacing w:line="360" w:lineRule="exact"/>
              <w:jc w:val="center"/>
              <w:rPr>
                <w:rFonts w:cs="宋体"/>
                <w:color w:val="auto"/>
                <w:sz w:val="21"/>
                <w:szCs w:val="21"/>
              </w:rPr>
            </w:pPr>
          </w:p>
        </w:tc>
      </w:tr>
      <w:tr w14:paraId="0EEE68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B684ABD">
            <w:pPr>
              <w:widowControl w:val="0"/>
              <w:spacing w:line="360" w:lineRule="exact"/>
              <w:jc w:val="center"/>
              <w:rPr>
                <w:rFonts w:cs="宋体"/>
                <w:color w:val="auto"/>
                <w:sz w:val="21"/>
                <w:szCs w:val="21"/>
              </w:rPr>
            </w:pPr>
            <w:r>
              <w:rPr>
                <w:rFonts w:hint="eastAsia" w:cs="宋体"/>
                <w:color w:val="auto"/>
                <w:sz w:val="21"/>
                <w:szCs w:val="21"/>
              </w:rPr>
              <w:t>2.2</w:t>
            </w:r>
          </w:p>
        </w:tc>
        <w:tc>
          <w:tcPr>
            <w:tcW w:w="1917" w:type="pct"/>
            <w:vAlign w:val="center"/>
          </w:tcPr>
          <w:p w14:paraId="6B0827F9">
            <w:pPr>
              <w:widowControl w:val="0"/>
              <w:spacing w:line="360" w:lineRule="exact"/>
              <w:jc w:val="center"/>
              <w:rPr>
                <w:rFonts w:cs="宋体"/>
                <w:color w:val="auto"/>
                <w:sz w:val="21"/>
                <w:szCs w:val="21"/>
              </w:rPr>
            </w:pPr>
            <w:r>
              <w:rPr>
                <w:rFonts w:hint="eastAsia" w:cs="宋体"/>
                <w:color w:val="auto"/>
                <w:sz w:val="21"/>
                <w:szCs w:val="21"/>
              </w:rPr>
              <w:t>硝酸</w:t>
            </w:r>
          </w:p>
        </w:tc>
        <w:tc>
          <w:tcPr>
            <w:tcW w:w="652" w:type="pct"/>
            <w:vAlign w:val="center"/>
          </w:tcPr>
          <w:p w14:paraId="32F26A47">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18E3F226">
            <w:pPr>
              <w:widowControl w:val="0"/>
              <w:spacing w:line="360" w:lineRule="exact"/>
              <w:jc w:val="center"/>
              <w:rPr>
                <w:rFonts w:cs="宋体"/>
                <w:color w:val="auto"/>
                <w:sz w:val="21"/>
                <w:szCs w:val="21"/>
              </w:rPr>
            </w:pPr>
            <w:r>
              <w:rPr>
                <w:color w:val="auto"/>
                <w:sz w:val="21"/>
                <w:szCs w:val="21"/>
              </w:rPr>
              <w:t>48.43</w:t>
            </w:r>
          </w:p>
        </w:tc>
        <w:tc>
          <w:tcPr>
            <w:tcW w:w="1018" w:type="pct"/>
            <w:vAlign w:val="center"/>
          </w:tcPr>
          <w:p w14:paraId="7BCD52CC">
            <w:pPr>
              <w:widowControl w:val="0"/>
              <w:spacing w:line="360" w:lineRule="exact"/>
              <w:jc w:val="center"/>
              <w:rPr>
                <w:rFonts w:cs="宋体"/>
                <w:color w:val="auto"/>
                <w:sz w:val="21"/>
                <w:szCs w:val="21"/>
              </w:rPr>
            </w:pPr>
          </w:p>
        </w:tc>
      </w:tr>
      <w:tr w14:paraId="07CC528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B356557">
            <w:pPr>
              <w:widowControl w:val="0"/>
              <w:spacing w:line="360" w:lineRule="exact"/>
              <w:jc w:val="center"/>
              <w:rPr>
                <w:rFonts w:cs="宋体"/>
                <w:color w:val="auto"/>
                <w:sz w:val="21"/>
                <w:szCs w:val="21"/>
              </w:rPr>
            </w:pPr>
            <w:r>
              <w:rPr>
                <w:rFonts w:hint="eastAsia" w:cs="宋体"/>
                <w:color w:val="auto"/>
                <w:sz w:val="21"/>
                <w:szCs w:val="21"/>
              </w:rPr>
              <w:t>2.3</w:t>
            </w:r>
          </w:p>
        </w:tc>
        <w:tc>
          <w:tcPr>
            <w:tcW w:w="1917" w:type="pct"/>
            <w:vAlign w:val="center"/>
          </w:tcPr>
          <w:p w14:paraId="7A7DA167">
            <w:pPr>
              <w:widowControl w:val="0"/>
              <w:spacing w:line="360" w:lineRule="exact"/>
              <w:jc w:val="center"/>
              <w:rPr>
                <w:rFonts w:cs="宋体"/>
                <w:color w:val="auto"/>
                <w:sz w:val="21"/>
                <w:szCs w:val="21"/>
              </w:rPr>
            </w:pPr>
            <w:r>
              <w:rPr>
                <w:rFonts w:hint="eastAsia" w:cs="宋体"/>
                <w:color w:val="auto"/>
                <w:sz w:val="21"/>
                <w:szCs w:val="21"/>
              </w:rPr>
              <w:t>田菁胶</w:t>
            </w:r>
          </w:p>
        </w:tc>
        <w:tc>
          <w:tcPr>
            <w:tcW w:w="652" w:type="pct"/>
            <w:vAlign w:val="center"/>
          </w:tcPr>
          <w:p w14:paraId="40A5F4B6">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39A9D38B">
            <w:pPr>
              <w:widowControl w:val="0"/>
              <w:spacing w:line="360" w:lineRule="exact"/>
              <w:jc w:val="center"/>
              <w:rPr>
                <w:rFonts w:cs="宋体"/>
                <w:color w:val="auto"/>
                <w:sz w:val="21"/>
                <w:szCs w:val="21"/>
              </w:rPr>
            </w:pPr>
            <w:r>
              <w:rPr>
                <w:color w:val="auto"/>
                <w:sz w:val="21"/>
                <w:szCs w:val="21"/>
              </w:rPr>
              <w:t>98.77</w:t>
            </w:r>
          </w:p>
        </w:tc>
        <w:tc>
          <w:tcPr>
            <w:tcW w:w="1018" w:type="pct"/>
            <w:vAlign w:val="center"/>
          </w:tcPr>
          <w:p w14:paraId="432544C7">
            <w:pPr>
              <w:widowControl w:val="0"/>
              <w:spacing w:line="360" w:lineRule="exact"/>
              <w:jc w:val="center"/>
              <w:rPr>
                <w:rFonts w:cs="宋体"/>
                <w:color w:val="auto"/>
                <w:sz w:val="21"/>
                <w:szCs w:val="21"/>
              </w:rPr>
            </w:pPr>
          </w:p>
        </w:tc>
      </w:tr>
      <w:tr w14:paraId="05CD6F7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485A190">
            <w:pPr>
              <w:widowControl w:val="0"/>
              <w:spacing w:line="360" w:lineRule="exact"/>
              <w:jc w:val="center"/>
              <w:rPr>
                <w:rFonts w:cs="宋体"/>
                <w:color w:val="auto"/>
                <w:sz w:val="21"/>
                <w:szCs w:val="21"/>
              </w:rPr>
            </w:pPr>
            <w:r>
              <w:rPr>
                <w:rFonts w:hint="eastAsia" w:cs="宋体"/>
                <w:color w:val="auto"/>
                <w:sz w:val="21"/>
                <w:szCs w:val="21"/>
              </w:rPr>
              <w:t>2.4</w:t>
            </w:r>
          </w:p>
        </w:tc>
        <w:tc>
          <w:tcPr>
            <w:tcW w:w="1917" w:type="pct"/>
            <w:vAlign w:val="center"/>
          </w:tcPr>
          <w:p w14:paraId="5593D978">
            <w:pPr>
              <w:widowControl w:val="0"/>
              <w:spacing w:line="360" w:lineRule="exact"/>
              <w:jc w:val="center"/>
              <w:rPr>
                <w:rFonts w:cs="宋体"/>
                <w:color w:val="auto"/>
                <w:sz w:val="21"/>
                <w:szCs w:val="21"/>
              </w:rPr>
            </w:pPr>
            <w:r>
              <w:rPr>
                <w:rFonts w:hint="eastAsia" w:cs="宋体"/>
                <w:color w:val="auto"/>
                <w:sz w:val="21"/>
                <w:szCs w:val="21"/>
              </w:rPr>
              <w:t>醋酸钴</w:t>
            </w:r>
          </w:p>
        </w:tc>
        <w:tc>
          <w:tcPr>
            <w:tcW w:w="652" w:type="pct"/>
            <w:vAlign w:val="center"/>
          </w:tcPr>
          <w:p w14:paraId="240AA75D">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47C35B4C">
            <w:pPr>
              <w:widowControl w:val="0"/>
              <w:spacing w:line="360" w:lineRule="exact"/>
              <w:jc w:val="center"/>
              <w:rPr>
                <w:rFonts w:cs="宋体"/>
                <w:color w:val="auto"/>
                <w:sz w:val="21"/>
                <w:szCs w:val="21"/>
              </w:rPr>
            </w:pPr>
            <w:r>
              <w:rPr>
                <w:color w:val="auto"/>
                <w:sz w:val="21"/>
                <w:szCs w:val="21"/>
              </w:rPr>
              <w:t>155.76</w:t>
            </w:r>
          </w:p>
        </w:tc>
        <w:tc>
          <w:tcPr>
            <w:tcW w:w="1018" w:type="pct"/>
            <w:vAlign w:val="center"/>
          </w:tcPr>
          <w:p w14:paraId="2C925B83">
            <w:pPr>
              <w:widowControl w:val="0"/>
              <w:spacing w:line="360" w:lineRule="exact"/>
              <w:jc w:val="center"/>
              <w:rPr>
                <w:rFonts w:cs="宋体"/>
                <w:color w:val="auto"/>
                <w:sz w:val="21"/>
                <w:szCs w:val="21"/>
              </w:rPr>
            </w:pPr>
          </w:p>
        </w:tc>
      </w:tr>
      <w:tr w14:paraId="3B56B5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35399E31">
            <w:pPr>
              <w:widowControl w:val="0"/>
              <w:spacing w:line="360" w:lineRule="exact"/>
              <w:jc w:val="center"/>
              <w:rPr>
                <w:rFonts w:cs="宋体"/>
                <w:color w:val="auto"/>
                <w:sz w:val="21"/>
                <w:szCs w:val="21"/>
              </w:rPr>
            </w:pPr>
            <w:r>
              <w:rPr>
                <w:rFonts w:hint="eastAsia" w:cs="宋体"/>
                <w:color w:val="auto"/>
                <w:sz w:val="21"/>
                <w:szCs w:val="21"/>
              </w:rPr>
              <w:t>2.5</w:t>
            </w:r>
          </w:p>
        </w:tc>
        <w:tc>
          <w:tcPr>
            <w:tcW w:w="1917" w:type="pct"/>
            <w:vAlign w:val="center"/>
          </w:tcPr>
          <w:p w14:paraId="7E768A99">
            <w:pPr>
              <w:widowControl w:val="0"/>
              <w:spacing w:line="360" w:lineRule="exact"/>
              <w:jc w:val="center"/>
              <w:rPr>
                <w:rFonts w:cs="宋体"/>
                <w:color w:val="auto"/>
                <w:sz w:val="21"/>
                <w:szCs w:val="21"/>
              </w:rPr>
            </w:pPr>
            <w:r>
              <w:rPr>
                <w:rFonts w:hint="eastAsia"/>
                <w:color w:val="auto"/>
                <w:sz w:val="21"/>
                <w:szCs w:val="21"/>
              </w:rPr>
              <w:t>硝酸钨</w:t>
            </w:r>
          </w:p>
        </w:tc>
        <w:tc>
          <w:tcPr>
            <w:tcW w:w="652" w:type="pct"/>
            <w:vAlign w:val="center"/>
          </w:tcPr>
          <w:p w14:paraId="24B016C1">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1265B7AB">
            <w:pPr>
              <w:widowControl w:val="0"/>
              <w:spacing w:line="360" w:lineRule="exact"/>
              <w:jc w:val="center"/>
              <w:rPr>
                <w:rFonts w:cs="宋体"/>
                <w:color w:val="auto"/>
                <w:sz w:val="21"/>
                <w:szCs w:val="21"/>
              </w:rPr>
            </w:pPr>
            <w:r>
              <w:rPr>
                <w:color w:val="auto"/>
                <w:sz w:val="21"/>
                <w:szCs w:val="21"/>
              </w:rPr>
              <w:t>27.22</w:t>
            </w:r>
          </w:p>
        </w:tc>
        <w:tc>
          <w:tcPr>
            <w:tcW w:w="1018" w:type="pct"/>
            <w:vAlign w:val="center"/>
          </w:tcPr>
          <w:p w14:paraId="6343CE85">
            <w:pPr>
              <w:widowControl w:val="0"/>
              <w:spacing w:line="360" w:lineRule="exact"/>
              <w:jc w:val="center"/>
              <w:rPr>
                <w:rFonts w:cs="宋体"/>
                <w:color w:val="auto"/>
                <w:sz w:val="21"/>
                <w:szCs w:val="21"/>
              </w:rPr>
            </w:pPr>
          </w:p>
        </w:tc>
      </w:tr>
      <w:tr w14:paraId="6DB1AA0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08794E1E">
            <w:pPr>
              <w:widowControl w:val="0"/>
              <w:spacing w:line="360" w:lineRule="exact"/>
              <w:jc w:val="center"/>
              <w:rPr>
                <w:rFonts w:cs="宋体"/>
                <w:color w:val="auto"/>
                <w:sz w:val="21"/>
                <w:szCs w:val="21"/>
              </w:rPr>
            </w:pPr>
            <w:r>
              <w:rPr>
                <w:rFonts w:hint="eastAsia" w:cs="宋体"/>
                <w:color w:val="auto"/>
                <w:sz w:val="21"/>
                <w:szCs w:val="21"/>
              </w:rPr>
              <w:t>2.6</w:t>
            </w:r>
          </w:p>
        </w:tc>
        <w:tc>
          <w:tcPr>
            <w:tcW w:w="1917" w:type="pct"/>
            <w:vAlign w:val="center"/>
          </w:tcPr>
          <w:p w14:paraId="30B67C63">
            <w:pPr>
              <w:widowControl w:val="0"/>
              <w:spacing w:line="360" w:lineRule="exact"/>
              <w:jc w:val="center"/>
              <w:rPr>
                <w:rFonts w:cs="宋体"/>
                <w:color w:val="auto"/>
                <w:sz w:val="21"/>
                <w:szCs w:val="21"/>
              </w:rPr>
            </w:pPr>
            <w:r>
              <w:rPr>
                <w:rFonts w:hint="eastAsia"/>
                <w:color w:val="auto"/>
                <w:sz w:val="21"/>
                <w:szCs w:val="21"/>
              </w:rPr>
              <w:t>醋酸锆</w:t>
            </w:r>
          </w:p>
        </w:tc>
        <w:tc>
          <w:tcPr>
            <w:tcW w:w="652" w:type="pct"/>
            <w:vAlign w:val="center"/>
          </w:tcPr>
          <w:p w14:paraId="63CEB13D">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0B7251BF">
            <w:pPr>
              <w:widowControl w:val="0"/>
              <w:spacing w:line="360" w:lineRule="exact"/>
              <w:jc w:val="center"/>
              <w:rPr>
                <w:rFonts w:cs="宋体"/>
                <w:color w:val="auto"/>
                <w:sz w:val="21"/>
                <w:szCs w:val="21"/>
              </w:rPr>
            </w:pPr>
            <w:r>
              <w:rPr>
                <w:color w:val="auto"/>
                <w:sz w:val="21"/>
                <w:szCs w:val="21"/>
              </w:rPr>
              <w:t>39.88</w:t>
            </w:r>
          </w:p>
        </w:tc>
        <w:tc>
          <w:tcPr>
            <w:tcW w:w="1018" w:type="pct"/>
            <w:vAlign w:val="center"/>
          </w:tcPr>
          <w:p w14:paraId="3BB6C508">
            <w:pPr>
              <w:widowControl w:val="0"/>
              <w:spacing w:line="360" w:lineRule="exact"/>
              <w:jc w:val="center"/>
              <w:rPr>
                <w:rFonts w:cs="宋体"/>
                <w:color w:val="auto"/>
                <w:sz w:val="21"/>
                <w:szCs w:val="21"/>
              </w:rPr>
            </w:pPr>
          </w:p>
        </w:tc>
      </w:tr>
      <w:tr w14:paraId="411E67F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3D4E4D9">
            <w:pPr>
              <w:widowControl w:val="0"/>
              <w:spacing w:line="360" w:lineRule="exact"/>
              <w:jc w:val="center"/>
              <w:rPr>
                <w:rFonts w:cs="宋体"/>
                <w:color w:val="auto"/>
                <w:sz w:val="21"/>
                <w:szCs w:val="21"/>
              </w:rPr>
            </w:pPr>
            <w:r>
              <w:rPr>
                <w:rFonts w:hint="eastAsia" w:cs="宋体"/>
                <w:color w:val="auto"/>
                <w:sz w:val="21"/>
                <w:szCs w:val="21"/>
              </w:rPr>
              <w:t>2.7</w:t>
            </w:r>
          </w:p>
        </w:tc>
        <w:tc>
          <w:tcPr>
            <w:tcW w:w="1917" w:type="pct"/>
            <w:vAlign w:val="center"/>
          </w:tcPr>
          <w:p w14:paraId="295C410F">
            <w:pPr>
              <w:widowControl w:val="0"/>
              <w:spacing w:line="360" w:lineRule="exact"/>
              <w:jc w:val="center"/>
              <w:rPr>
                <w:rFonts w:cs="宋体"/>
                <w:color w:val="auto"/>
                <w:sz w:val="21"/>
                <w:szCs w:val="21"/>
              </w:rPr>
            </w:pPr>
            <w:r>
              <w:rPr>
                <w:rFonts w:hint="eastAsia"/>
                <w:color w:val="auto"/>
                <w:sz w:val="21"/>
                <w:szCs w:val="21"/>
              </w:rPr>
              <w:t>钼酸</w:t>
            </w:r>
          </w:p>
        </w:tc>
        <w:tc>
          <w:tcPr>
            <w:tcW w:w="652" w:type="pct"/>
            <w:vAlign w:val="center"/>
          </w:tcPr>
          <w:p w14:paraId="5338A953">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3FC4BCEE">
            <w:pPr>
              <w:widowControl w:val="0"/>
              <w:spacing w:line="360" w:lineRule="exact"/>
              <w:jc w:val="center"/>
              <w:rPr>
                <w:rFonts w:cs="宋体"/>
                <w:color w:val="auto"/>
                <w:sz w:val="21"/>
                <w:szCs w:val="21"/>
              </w:rPr>
            </w:pPr>
            <w:r>
              <w:rPr>
                <w:color w:val="auto"/>
                <w:sz w:val="21"/>
                <w:szCs w:val="21"/>
              </w:rPr>
              <w:t>16.88</w:t>
            </w:r>
          </w:p>
        </w:tc>
        <w:tc>
          <w:tcPr>
            <w:tcW w:w="1018" w:type="pct"/>
            <w:vAlign w:val="center"/>
          </w:tcPr>
          <w:p w14:paraId="7990BFE3">
            <w:pPr>
              <w:widowControl w:val="0"/>
              <w:spacing w:line="360" w:lineRule="exact"/>
              <w:jc w:val="center"/>
              <w:rPr>
                <w:rFonts w:cs="宋体"/>
                <w:color w:val="auto"/>
                <w:sz w:val="21"/>
                <w:szCs w:val="21"/>
              </w:rPr>
            </w:pPr>
          </w:p>
        </w:tc>
      </w:tr>
      <w:tr w14:paraId="10965B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6875C5A">
            <w:pPr>
              <w:widowControl w:val="0"/>
              <w:spacing w:line="360" w:lineRule="exact"/>
              <w:jc w:val="center"/>
              <w:rPr>
                <w:rFonts w:cs="宋体"/>
                <w:color w:val="auto"/>
                <w:sz w:val="21"/>
                <w:szCs w:val="21"/>
              </w:rPr>
            </w:pPr>
            <w:r>
              <w:rPr>
                <w:rFonts w:hint="eastAsia" w:cs="宋体"/>
                <w:color w:val="auto"/>
                <w:sz w:val="21"/>
                <w:szCs w:val="21"/>
              </w:rPr>
              <w:t>2.8</w:t>
            </w:r>
          </w:p>
        </w:tc>
        <w:tc>
          <w:tcPr>
            <w:tcW w:w="1917" w:type="pct"/>
            <w:vAlign w:val="center"/>
          </w:tcPr>
          <w:p w14:paraId="51EEB891">
            <w:pPr>
              <w:widowControl w:val="0"/>
              <w:spacing w:line="360" w:lineRule="exact"/>
              <w:jc w:val="center"/>
              <w:rPr>
                <w:rFonts w:cs="宋体"/>
                <w:color w:val="auto"/>
                <w:sz w:val="21"/>
                <w:szCs w:val="21"/>
              </w:rPr>
            </w:pPr>
            <w:r>
              <w:rPr>
                <w:rFonts w:hint="eastAsia"/>
                <w:color w:val="auto"/>
                <w:sz w:val="21"/>
                <w:szCs w:val="21"/>
              </w:rPr>
              <w:t>醋酸铁</w:t>
            </w:r>
          </w:p>
        </w:tc>
        <w:tc>
          <w:tcPr>
            <w:tcW w:w="652" w:type="pct"/>
            <w:vAlign w:val="center"/>
          </w:tcPr>
          <w:p w14:paraId="4E2B84A4">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768C6BFB">
            <w:pPr>
              <w:widowControl w:val="0"/>
              <w:spacing w:line="360" w:lineRule="exact"/>
              <w:jc w:val="center"/>
              <w:rPr>
                <w:rFonts w:cs="宋体"/>
                <w:color w:val="auto"/>
                <w:sz w:val="21"/>
                <w:szCs w:val="21"/>
              </w:rPr>
            </w:pPr>
            <w:r>
              <w:rPr>
                <w:color w:val="auto"/>
                <w:sz w:val="21"/>
                <w:szCs w:val="21"/>
              </w:rPr>
              <w:t>643.82</w:t>
            </w:r>
          </w:p>
        </w:tc>
        <w:tc>
          <w:tcPr>
            <w:tcW w:w="1018" w:type="pct"/>
            <w:vAlign w:val="center"/>
          </w:tcPr>
          <w:p w14:paraId="04176550">
            <w:pPr>
              <w:widowControl w:val="0"/>
              <w:spacing w:line="360" w:lineRule="exact"/>
              <w:jc w:val="center"/>
              <w:rPr>
                <w:rFonts w:cs="宋体"/>
                <w:color w:val="auto"/>
                <w:sz w:val="21"/>
                <w:szCs w:val="21"/>
              </w:rPr>
            </w:pPr>
          </w:p>
        </w:tc>
      </w:tr>
      <w:tr w14:paraId="2B44F29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342C726">
            <w:pPr>
              <w:widowControl w:val="0"/>
              <w:spacing w:line="360" w:lineRule="exact"/>
              <w:jc w:val="center"/>
              <w:rPr>
                <w:rFonts w:cs="宋体"/>
                <w:color w:val="auto"/>
                <w:sz w:val="21"/>
                <w:szCs w:val="21"/>
              </w:rPr>
            </w:pPr>
            <w:r>
              <w:rPr>
                <w:rFonts w:hint="eastAsia" w:cs="宋体"/>
                <w:color w:val="auto"/>
                <w:sz w:val="21"/>
                <w:szCs w:val="21"/>
              </w:rPr>
              <w:t>2.9</w:t>
            </w:r>
          </w:p>
        </w:tc>
        <w:tc>
          <w:tcPr>
            <w:tcW w:w="1917" w:type="pct"/>
            <w:vAlign w:val="center"/>
          </w:tcPr>
          <w:p w14:paraId="63DEECF8">
            <w:pPr>
              <w:widowControl w:val="0"/>
              <w:spacing w:line="360" w:lineRule="exact"/>
              <w:jc w:val="center"/>
              <w:rPr>
                <w:rFonts w:cs="宋体"/>
                <w:color w:val="auto"/>
                <w:sz w:val="21"/>
                <w:szCs w:val="21"/>
              </w:rPr>
            </w:pPr>
            <w:r>
              <w:rPr>
                <w:rFonts w:hint="eastAsia"/>
                <w:color w:val="auto"/>
                <w:sz w:val="21"/>
                <w:szCs w:val="21"/>
              </w:rPr>
              <w:t>醋酸镍</w:t>
            </w:r>
          </w:p>
        </w:tc>
        <w:tc>
          <w:tcPr>
            <w:tcW w:w="652" w:type="pct"/>
            <w:vAlign w:val="center"/>
          </w:tcPr>
          <w:p w14:paraId="7A35E325">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005808B8">
            <w:pPr>
              <w:widowControl w:val="0"/>
              <w:spacing w:line="360" w:lineRule="exact"/>
              <w:jc w:val="center"/>
              <w:rPr>
                <w:rFonts w:cs="宋体"/>
                <w:color w:val="auto"/>
                <w:sz w:val="21"/>
                <w:szCs w:val="21"/>
              </w:rPr>
            </w:pPr>
            <w:r>
              <w:rPr>
                <w:color w:val="auto"/>
                <w:sz w:val="21"/>
                <w:szCs w:val="21"/>
              </w:rPr>
              <w:t>42.48</w:t>
            </w:r>
          </w:p>
        </w:tc>
        <w:tc>
          <w:tcPr>
            <w:tcW w:w="1018" w:type="pct"/>
            <w:vAlign w:val="center"/>
          </w:tcPr>
          <w:p w14:paraId="4C531B23">
            <w:pPr>
              <w:widowControl w:val="0"/>
              <w:spacing w:line="360" w:lineRule="exact"/>
              <w:jc w:val="center"/>
              <w:rPr>
                <w:rFonts w:cs="宋体"/>
                <w:color w:val="auto"/>
                <w:sz w:val="21"/>
                <w:szCs w:val="21"/>
              </w:rPr>
            </w:pPr>
          </w:p>
        </w:tc>
      </w:tr>
      <w:tr w14:paraId="501389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0F1A9FA3">
            <w:pPr>
              <w:widowControl w:val="0"/>
              <w:spacing w:line="360" w:lineRule="exact"/>
              <w:jc w:val="center"/>
              <w:rPr>
                <w:rFonts w:cs="宋体"/>
                <w:color w:val="auto"/>
                <w:sz w:val="21"/>
                <w:szCs w:val="21"/>
              </w:rPr>
            </w:pPr>
            <w:r>
              <w:rPr>
                <w:rFonts w:hint="eastAsia" w:cs="宋体"/>
                <w:color w:val="auto"/>
                <w:sz w:val="21"/>
                <w:szCs w:val="21"/>
              </w:rPr>
              <w:t>2.10</w:t>
            </w:r>
          </w:p>
        </w:tc>
        <w:tc>
          <w:tcPr>
            <w:tcW w:w="1917" w:type="pct"/>
            <w:vAlign w:val="center"/>
          </w:tcPr>
          <w:p w14:paraId="0B6AE677">
            <w:pPr>
              <w:widowControl w:val="0"/>
              <w:spacing w:line="360" w:lineRule="exact"/>
              <w:jc w:val="center"/>
              <w:rPr>
                <w:rFonts w:cs="宋体"/>
                <w:color w:val="auto"/>
                <w:sz w:val="21"/>
                <w:szCs w:val="21"/>
              </w:rPr>
            </w:pPr>
            <w:r>
              <w:rPr>
                <w:rFonts w:hint="eastAsia"/>
                <w:color w:val="auto"/>
                <w:sz w:val="21"/>
                <w:szCs w:val="21"/>
              </w:rPr>
              <w:t>醋酸铜</w:t>
            </w:r>
          </w:p>
        </w:tc>
        <w:tc>
          <w:tcPr>
            <w:tcW w:w="652" w:type="pct"/>
            <w:vAlign w:val="center"/>
          </w:tcPr>
          <w:p w14:paraId="1F182A31">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7D174DCC">
            <w:pPr>
              <w:widowControl w:val="0"/>
              <w:spacing w:line="360" w:lineRule="exact"/>
              <w:jc w:val="center"/>
              <w:rPr>
                <w:rFonts w:cs="宋体"/>
                <w:color w:val="auto"/>
                <w:sz w:val="21"/>
                <w:szCs w:val="21"/>
              </w:rPr>
            </w:pPr>
            <w:r>
              <w:rPr>
                <w:color w:val="auto"/>
                <w:sz w:val="21"/>
                <w:szCs w:val="21"/>
              </w:rPr>
              <w:t>20.48</w:t>
            </w:r>
          </w:p>
        </w:tc>
        <w:tc>
          <w:tcPr>
            <w:tcW w:w="1018" w:type="pct"/>
            <w:vAlign w:val="center"/>
          </w:tcPr>
          <w:p w14:paraId="02108D90">
            <w:pPr>
              <w:widowControl w:val="0"/>
              <w:spacing w:line="360" w:lineRule="exact"/>
              <w:jc w:val="center"/>
              <w:rPr>
                <w:rFonts w:cs="宋体"/>
                <w:color w:val="auto"/>
                <w:sz w:val="21"/>
                <w:szCs w:val="21"/>
              </w:rPr>
            </w:pPr>
          </w:p>
        </w:tc>
      </w:tr>
      <w:tr w14:paraId="521695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89F4748">
            <w:pPr>
              <w:widowControl w:val="0"/>
              <w:spacing w:line="360" w:lineRule="exact"/>
              <w:jc w:val="center"/>
              <w:rPr>
                <w:rFonts w:cs="宋体"/>
                <w:color w:val="auto"/>
                <w:sz w:val="21"/>
                <w:szCs w:val="21"/>
              </w:rPr>
            </w:pPr>
            <w:r>
              <w:rPr>
                <w:rFonts w:hint="eastAsia" w:cs="宋体"/>
                <w:color w:val="auto"/>
                <w:sz w:val="21"/>
                <w:szCs w:val="21"/>
              </w:rPr>
              <w:t>2.11</w:t>
            </w:r>
          </w:p>
        </w:tc>
        <w:tc>
          <w:tcPr>
            <w:tcW w:w="1917" w:type="pct"/>
            <w:vAlign w:val="center"/>
          </w:tcPr>
          <w:p w14:paraId="317E5B24">
            <w:pPr>
              <w:widowControl w:val="0"/>
              <w:spacing w:line="360" w:lineRule="exact"/>
              <w:jc w:val="center"/>
              <w:rPr>
                <w:rFonts w:cs="宋体"/>
                <w:color w:val="auto"/>
                <w:sz w:val="21"/>
                <w:szCs w:val="21"/>
              </w:rPr>
            </w:pPr>
            <w:r>
              <w:rPr>
                <w:rFonts w:hint="eastAsia"/>
                <w:color w:val="auto"/>
                <w:sz w:val="21"/>
                <w:szCs w:val="21"/>
              </w:rPr>
              <w:t>硝酸钯</w:t>
            </w:r>
          </w:p>
        </w:tc>
        <w:tc>
          <w:tcPr>
            <w:tcW w:w="652" w:type="pct"/>
            <w:vAlign w:val="center"/>
          </w:tcPr>
          <w:p w14:paraId="577B4094">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2E695910">
            <w:pPr>
              <w:widowControl w:val="0"/>
              <w:spacing w:line="360" w:lineRule="exact"/>
              <w:jc w:val="center"/>
              <w:rPr>
                <w:rFonts w:cs="宋体"/>
                <w:color w:val="auto"/>
                <w:sz w:val="21"/>
                <w:szCs w:val="21"/>
              </w:rPr>
            </w:pPr>
            <w:r>
              <w:rPr>
                <w:color w:val="auto"/>
                <w:sz w:val="21"/>
                <w:szCs w:val="21"/>
              </w:rPr>
              <w:t>2.26</w:t>
            </w:r>
          </w:p>
        </w:tc>
        <w:tc>
          <w:tcPr>
            <w:tcW w:w="1018" w:type="pct"/>
            <w:vAlign w:val="center"/>
          </w:tcPr>
          <w:p w14:paraId="1A8A98DA">
            <w:pPr>
              <w:widowControl w:val="0"/>
              <w:spacing w:line="360" w:lineRule="exact"/>
              <w:jc w:val="center"/>
              <w:rPr>
                <w:rFonts w:cs="宋体"/>
                <w:color w:val="auto"/>
                <w:sz w:val="21"/>
                <w:szCs w:val="21"/>
              </w:rPr>
            </w:pPr>
          </w:p>
        </w:tc>
      </w:tr>
      <w:tr w14:paraId="491BBBE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762B8DF">
            <w:pPr>
              <w:widowControl w:val="0"/>
              <w:spacing w:line="360" w:lineRule="exact"/>
              <w:jc w:val="center"/>
              <w:rPr>
                <w:rFonts w:cs="宋体"/>
                <w:color w:val="auto"/>
                <w:sz w:val="21"/>
                <w:szCs w:val="21"/>
              </w:rPr>
            </w:pPr>
            <w:r>
              <w:rPr>
                <w:rFonts w:hint="eastAsia" w:cs="宋体"/>
                <w:color w:val="auto"/>
                <w:sz w:val="21"/>
                <w:szCs w:val="21"/>
              </w:rPr>
              <w:t>2.12</w:t>
            </w:r>
          </w:p>
        </w:tc>
        <w:tc>
          <w:tcPr>
            <w:tcW w:w="1917" w:type="pct"/>
            <w:vAlign w:val="center"/>
          </w:tcPr>
          <w:p w14:paraId="315B2638">
            <w:pPr>
              <w:widowControl w:val="0"/>
              <w:spacing w:line="360" w:lineRule="exact"/>
              <w:jc w:val="center"/>
              <w:rPr>
                <w:rFonts w:cs="宋体"/>
                <w:color w:val="auto"/>
                <w:sz w:val="21"/>
                <w:szCs w:val="21"/>
              </w:rPr>
            </w:pPr>
            <w:r>
              <w:rPr>
                <w:rFonts w:hint="eastAsia"/>
                <w:color w:val="auto"/>
                <w:sz w:val="21"/>
                <w:szCs w:val="21"/>
              </w:rPr>
              <w:t>硝酸铂</w:t>
            </w:r>
          </w:p>
        </w:tc>
        <w:tc>
          <w:tcPr>
            <w:tcW w:w="652" w:type="pct"/>
            <w:vAlign w:val="center"/>
          </w:tcPr>
          <w:p w14:paraId="10D5F8B4">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7BB2DA5E">
            <w:pPr>
              <w:widowControl w:val="0"/>
              <w:spacing w:line="360" w:lineRule="exact"/>
              <w:jc w:val="center"/>
              <w:rPr>
                <w:rFonts w:cs="宋体"/>
                <w:color w:val="auto"/>
                <w:sz w:val="21"/>
                <w:szCs w:val="21"/>
              </w:rPr>
            </w:pPr>
            <w:r>
              <w:rPr>
                <w:color w:val="auto"/>
                <w:sz w:val="21"/>
                <w:szCs w:val="21"/>
              </w:rPr>
              <w:t>2.53</w:t>
            </w:r>
          </w:p>
        </w:tc>
        <w:tc>
          <w:tcPr>
            <w:tcW w:w="1018" w:type="pct"/>
            <w:vAlign w:val="center"/>
          </w:tcPr>
          <w:p w14:paraId="17704535">
            <w:pPr>
              <w:widowControl w:val="0"/>
              <w:spacing w:line="360" w:lineRule="exact"/>
              <w:jc w:val="center"/>
              <w:rPr>
                <w:rFonts w:cs="宋体"/>
                <w:color w:val="auto"/>
                <w:sz w:val="21"/>
                <w:szCs w:val="21"/>
              </w:rPr>
            </w:pPr>
          </w:p>
        </w:tc>
      </w:tr>
      <w:tr w14:paraId="2DFC44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8034E00">
            <w:pPr>
              <w:widowControl w:val="0"/>
              <w:spacing w:line="360" w:lineRule="exact"/>
              <w:jc w:val="center"/>
              <w:rPr>
                <w:rFonts w:cs="宋体"/>
                <w:color w:val="auto"/>
                <w:sz w:val="21"/>
                <w:szCs w:val="21"/>
              </w:rPr>
            </w:pPr>
            <w:r>
              <w:rPr>
                <w:rFonts w:hint="eastAsia" w:cs="宋体"/>
                <w:color w:val="auto"/>
                <w:sz w:val="21"/>
                <w:szCs w:val="21"/>
              </w:rPr>
              <w:t>2.13</w:t>
            </w:r>
          </w:p>
        </w:tc>
        <w:tc>
          <w:tcPr>
            <w:tcW w:w="1917" w:type="pct"/>
            <w:vAlign w:val="center"/>
          </w:tcPr>
          <w:p w14:paraId="41D436BC">
            <w:pPr>
              <w:widowControl w:val="0"/>
              <w:spacing w:line="360" w:lineRule="exact"/>
              <w:jc w:val="center"/>
              <w:rPr>
                <w:rFonts w:cs="宋体"/>
                <w:color w:val="auto"/>
                <w:sz w:val="21"/>
                <w:szCs w:val="21"/>
              </w:rPr>
            </w:pPr>
            <w:r>
              <w:rPr>
                <w:rFonts w:hint="eastAsia"/>
                <w:color w:val="auto"/>
                <w:sz w:val="21"/>
                <w:szCs w:val="21"/>
              </w:rPr>
              <w:t>醋酸铑</w:t>
            </w:r>
          </w:p>
        </w:tc>
        <w:tc>
          <w:tcPr>
            <w:tcW w:w="652" w:type="pct"/>
            <w:vAlign w:val="center"/>
          </w:tcPr>
          <w:p w14:paraId="054490E2">
            <w:pPr>
              <w:widowControl w:val="0"/>
              <w:spacing w:line="360" w:lineRule="exact"/>
              <w:jc w:val="center"/>
              <w:rPr>
                <w:rFonts w:cs="宋体"/>
                <w:color w:val="auto"/>
                <w:sz w:val="21"/>
                <w:szCs w:val="21"/>
              </w:rPr>
            </w:pPr>
            <w:r>
              <w:rPr>
                <w:color w:val="auto"/>
                <w:sz w:val="21"/>
                <w:szCs w:val="21"/>
              </w:rPr>
              <w:t>t/a</w:t>
            </w:r>
          </w:p>
        </w:tc>
        <w:tc>
          <w:tcPr>
            <w:tcW w:w="976" w:type="pct"/>
            <w:vAlign w:val="center"/>
          </w:tcPr>
          <w:p w14:paraId="3276E5A0">
            <w:pPr>
              <w:widowControl w:val="0"/>
              <w:spacing w:line="360" w:lineRule="exact"/>
              <w:jc w:val="center"/>
              <w:rPr>
                <w:rFonts w:cs="宋体"/>
                <w:color w:val="auto"/>
                <w:sz w:val="21"/>
                <w:szCs w:val="21"/>
              </w:rPr>
            </w:pPr>
            <w:r>
              <w:rPr>
                <w:color w:val="auto"/>
                <w:sz w:val="21"/>
                <w:szCs w:val="21"/>
              </w:rPr>
              <w:t>3.16</w:t>
            </w:r>
          </w:p>
        </w:tc>
        <w:tc>
          <w:tcPr>
            <w:tcW w:w="1018" w:type="pct"/>
            <w:vAlign w:val="center"/>
          </w:tcPr>
          <w:p w14:paraId="1653F575">
            <w:pPr>
              <w:widowControl w:val="0"/>
              <w:spacing w:line="360" w:lineRule="exact"/>
              <w:jc w:val="center"/>
              <w:rPr>
                <w:rFonts w:cs="宋体"/>
                <w:color w:val="auto"/>
                <w:sz w:val="21"/>
                <w:szCs w:val="21"/>
              </w:rPr>
            </w:pPr>
          </w:p>
        </w:tc>
      </w:tr>
      <w:tr w14:paraId="752FFB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1D02E71">
            <w:pPr>
              <w:widowControl w:val="0"/>
              <w:spacing w:line="360" w:lineRule="exact"/>
              <w:jc w:val="center"/>
              <w:rPr>
                <w:rFonts w:cs="宋体"/>
                <w:color w:val="auto"/>
                <w:sz w:val="21"/>
                <w:szCs w:val="21"/>
              </w:rPr>
            </w:pPr>
            <w:r>
              <w:rPr>
                <w:rFonts w:hint="eastAsia" w:cs="宋体"/>
                <w:color w:val="auto"/>
                <w:sz w:val="21"/>
                <w:szCs w:val="21"/>
              </w:rPr>
              <w:t>3</w:t>
            </w:r>
          </w:p>
        </w:tc>
        <w:tc>
          <w:tcPr>
            <w:tcW w:w="1917" w:type="pct"/>
            <w:vAlign w:val="center"/>
          </w:tcPr>
          <w:p w14:paraId="6A927273">
            <w:pPr>
              <w:widowControl w:val="0"/>
              <w:spacing w:line="360" w:lineRule="exact"/>
              <w:jc w:val="center"/>
              <w:rPr>
                <w:rFonts w:cs="宋体"/>
                <w:color w:val="auto"/>
                <w:sz w:val="21"/>
                <w:szCs w:val="21"/>
              </w:rPr>
            </w:pPr>
            <w:r>
              <w:rPr>
                <w:rFonts w:hint="eastAsia" w:cs="宋体"/>
                <w:color w:val="auto"/>
                <w:sz w:val="21"/>
                <w:szCs w:val="21"/>
              </w:rPr>
              <w:t>燃料</w:t>
            </w:r>
          </w:p>
        </w:tc>
        <w:tc>
          <w:tcPr>
            <w:tcW w:w="652" w:type="pct"/>
            <w:vAlign w:val="center"/>
          </w:tcPr>
          <w:p w14:paraId="0F3D97F9">
            <w:pPr>
              <w:widowControl w:val="0"/>
              <w:spacing w:line="360" w:lineRule="exact"/>
              <w:jc w:val="center"/>
              <w:rPr>
                <w:rFonts w:cs="宋体"/>
                <w:color w:val="auto"/>
                <w:sz w:val="21"/>
                <w:szCs w:val="21"/>
              </w:rPr>
            </w:pPr>
          </w:p>
        </w:tc>
        <w:tc>
          <w:tcPr>
            <w:tcW w:w="976" w:type="pct"/>
            <w:vAlign w:val="center"/>
          </w:tcPr>
          <w:p w14:paraId="48FBD80A">
            <w:pPr>
              <w:widowControl w:val="0"/>
              <w:spacing w:line="360" w:lineRule="exact"/>
              <w:jc w:val="center"/>
              <w:rPr>
                <w:rFonts w:cs="宋体"/>
                <w:color w:val="auto"/>
                <w:sz w:val="21"/>
                <w:szCs w:val="21"/>
              </w:rPr>
            </w:pPr>
          </w:p>
        </w:tc>
        <w:tc>
          <w:tcPr>
            <w:tcW w:w="1018" w:type="pct"/>
            <w:vAlign w:val="center"/>
          </w:tcPr>
          <w:p w14:paraId="009BD466">
            <w:pPr>
              <w:widowControl w:val="0"/>
              <w:spacing w:line="360" w:lineRule="exact"/>
              <w:jc w:val="center"/>
              <w:rPr>
                <w:rFonts w:cs="宋体"/>
                <w:color w:val="auto"/>
                <w:sz w:val="21"/>
                <w:szCs w:val="21"/>
              </w:rPr>
            </w:pPr>
          </w:p>
        </w:tc>
      </w:tr>
      <w:tr w14:paraId="06019A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CD37B9D">
            <w:pPr>
              <w:widowControl w:val="0"/>
              <w:spacing w:line="360" w:lineRule="exact"/>
              <w:jc w:val="center"/>
              <w:rPr>
                <w:rFonts w:cs="宋体"/>
                <w:color w:val="auto"/>
                <w:sz w:val="21"/>
                <w:szCs w:val="21"/>
              </w:rPr>
            </w:pPr>
            <w:r>
              <w:rPr>
                <w:rFonts w:hint="eastAsia" w:cs="宋体"/>
                <w:color w:val="auto"/>
                <w:sz w:val="21"/>
                <w:szCs w:val="21"/>
              </w:rPr>
              <w:t>3.1</w:t>
            </w:r>
          </w:p>
        </w:tc>
        <w:tc>
          <w:tcPr>
            <w:tcW w:w="1917" w:type="pct"/>
            <w:vAlign w:val="center"/>
          </w:tcPr>
          <w:p w14:paraId="683A1E68">
            <w:pPr>
              <w:widowControl w:val="0"/>
              <w:spacing w:line="360" w:lineRule="exact"/>
              <w:jc w:val="center"/>
              <w:rPr>
                <w:rFonts w:cs="宋体"/>
                <w:color w:val="auto"/>
                <w:sz w:val="21"/>
                <w:szCs w:val="21"/>
              </w:rPr>
            </w:pPr>
            <w:r>
              <w:rPr>
                <w:rFonts w:hint="eastAsia" w:cs="宋体"/>
                <w:color w:val="auto"/>
                <w:sz w:val="21"/>
                <w:szCs w:val="21"/>
              </w:rPr>
              <w:t>天然气</w:t>
            </w:r>
          </w:p>
        </w:tc>
        <w:tc>
          <w:tcPr>
            <w:tcW w:w="652" w:type="pct"/>
            <w:vAlign w:val="center"/>
          </w:tcPr>
          <w:p w14:paraId="18AD7CF6">
            <w:pPr>
              <w:widowControl w:val="0"/>
              <w:spacing w:line="360" w:lineRule="exact"/>
              <w:jc w:val="center"/>
              <w:rPr>
                <w:rFonts w:cs="宋体"/>
                <w:color w:val="auto"/>
                <w:sz w:val="21"/>
                <w:szCs w:val="21"/>
              </w:rPr>
            </w:pPr>
            <w:r>
              <w:rPr>
                <w:rFonts w:hint="eastAsia"/>
                <w:color w:val="auto"/>
                <w:sz w:val="21"/>
                <w:szCs w:val="21"/>
              </w:rPr>
              <w:t>万Nm</w:t>
            </w:r>
            <w:r>
              <w:rPr>
                <w:rFonts w:hint="eastAsia"/>
                <w:color w:val="auto"/>
                <w:sz w:val="21"/>
                <w:szCs w:val="21"/>
                <w:vertAlign w:val="superscript"/>
              </w:rPr>
              <w:t>3</w:t>
            </w:r>
            <w:r>
              <w:rPr>
                <w:rFonts w:hint="eastAsia"/>
                <w:color w:val="auto"/>
                <w:sz w:val="21"/>
                <w:szCs w:val="21"/>
              </w:rPr>
              <w:t>/a</w:t>
            </w:r>
          </w:p>
        </w:tc>
        <w:tc>
          <w:tcPr>
            <w:tcW w:w="976" w:type="pct"/>
            <w:vAlign w:val="center"/>
          </w:tcPr>
          <w:p w14:paraId="529FA289">
            <w:pPr>
              <w:widowControl w:val="0"/>
              <w:spacing w:line="360" w:lineRule="exact"/>
              <w:jc w:val="center"/>
              <w:rPr>
                <w:rFonts w:cs="宋体"/>
                <w:color w:val="auto"/>
                <w:sz w:val="21"/>
                <w:szCs w:val="21"/>
              </w:rPr>
            </w:pPr>
            <w:r>
              <w:rPr>
                <w:rFonts w:hint="eastAsia"/>
                <w:color w:val="auto"/>
                <w:sz w:val="21"/>
                <w:szCs w:val="21"/>
              </w:rPr>
              <w:t>118.816</w:t>
            </w:r>
          </w:p>
        </w:tc>
        <w:tc>
          <w:tcPr>
            <w:tcW w:w="1018" w:type="pct"/>
            <w:vAlign w:val="center"/>
          </w:tcPr>
          <w:p w14:paraId="512B5250">
            <w:pPr>
              <w:widowControl w:val="0"/>
              <w:spacing w:line="360" w:lineRule="exact"/>
              <w:jc w:val="center"/>
              <w:rPr>
                <w:rFonts w:cs="宋体"/>
                <w:color w:val="auto"/>
                <w:sz w:val="21"/>
                <w:szCs w:val="21"/>
              </w:rPr>
            </w:pPr>
          </w:p>
        </w:tc>
      </w:tr>
      <w:tr w14:paraId="7B6EE0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0683DB3C">
            <w:pPr>
              <w:widowControl w:val="0"/>
              <w:spacing w:line="360" w:lineRule="exact"/>
              <w:jc w:val="center"/>
              <w:rPr>
                <w:rFonts w:cs="宋体"/>
                <w:color w:val="auto"/>
                <w:sz w:val="21"/>
                <w:szCs w:val="21"/>
              </w:rPr>
            </w:pPr>
            <w:r>
              <w:rPr>
                <w:color w:val="auto"/>
                <w:sz w:val="21"/>
                <w:szCs w:val="21"/>
              </w:rPr>
              <w:t>五</w:t>
            </w:r>
          </w:p>
        </w:tc>
        <w:tc>
          <w:tcPr>
            <w:tcW w:w="1917" w:type="pct"/>
            <w:vAlign w:val="center"/>
          </w:tcPr>
          <w:p w14:paraId="0B7E3317">
            <w:pPr>
              <w:widowControl w:val="0"/>
              <w:spacing w:line="360" w:lineRule="exact"/>
              <w:jc w:val="center"/>
              <w:rPr>
                <w:rFonts w:cs="宋体"/>
                <w:color w:val="auto"/>
                <w:sz w:val="21"/>
                <w:szCs w:val="21"/>
              </w:rPr>
            </w:pPr>
            <w:r>
              <w:rPr>
                <w:color w:val="auto"/>
                <w:sz w:val="21"/>
                <w:szCs w:val="21"/>
              </w:rPr>
              <w:t>动力消耗量</w:t>
            </w:r>
          </w:p>
        </w:tc>
        <w:tc>
          <w:tcPr>
            <w:tcW w:w="652" w:type="pct"/>
            <w:vAlign w:val="center"/>
          </w:tcPr>
          <w:p w14:paraId="037AA5DE">
            <w:pPr>
              <w:widowControl w:val="0"/>
              <w:spacing w:line="360" w:lineRule="exact"/>
              <w:jc w:val="center"/>
              <w:rPr>
                <w:rFonts w:cs="宋体"/>
                <w:color w:val="auto"/>
                <w:sz w:val="21"/>
                <w:szCs w:val="21"/>
              </w:rPr>
            </w:pPr>
          </w:p>
        </w:tc>
        <w:tc>
          <w:tcPr>
            <w:tcW w:w="976" w:type="pct"/>
            <w:vAlign w:val="center"/>
          </w:tcPr>
          <w:p w14:paraId="1339E515">
            <w:pPr>
              <w:widowControl w:val="0"/>
              <w:spacing w:line="360" w:lineRule="exact"/>
              <w:jc w:val="center"/>
              <w:rPr>
                <w:rFonts w:cs="宋体"/>
                <w:color w:val="auto"/>
                <w:sz w:val="21"/>
                <w:szCs w:val="21"/>
              </w:rPr>
            </w:pPr>
          </w:p>
        </w:tc>
        <w:tc>
          <w:tcPr>
            <w:tcW w:w="1018" w:type="pct"/>
            <w:vAlign w:val="center"/>
          </w:tcPr>
          <w:p w14:paraId="2F160948">
            <w:pPr>
              <w:widowControl w:val="0"/>
              <w:spacing w:line="360" w:lineRule="exact"/>
              <w:jc w:val="center"/>
              <w:rPr>
                <w:rFonts w:cs="宋体"/>
                <w:color w:val="auto"/>
                <w:sz w:val="21"/>
                <w:szCs w:val="21"/>
              </w:rPr>
            </w:pPr>
          </w:p>
        </w:tc>
      </w:tr>
      <w:tr w14:paraId="14824AD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7B6DE46">
            <w:pPr>
              <w:widowControl w:val="0"/>
              <w:spacing w:line="360" w:lineRule="exact"/>
              <w:jc w:val="center"/>
              <w:rPr>
                <w:rFonts w:cs="宋体"/>
                <w:color w:val="auto"/>
                <w:sz w:val="21"/>
                <w:szCs w:val="21"/>
              </w:rPr>
            </w:pPr>
            <w:r>
              <w:rPr>
                <w:rFonts w:hint="eastAsia" w:cs="宋体"/>
                <w:color w:val="auto"/>
                <w:sz w:val="21"/>
                <w:szCs w:val="21"/>
              </w:rPr>
              <w:t>1</w:t>
            </w:r>
          </w:p>
        </w:tc>
        <w:tc>
          <w:tcPr>
            <w:tcW w:w="1917" w:type="pct"/>
            <w:vAlign w:val="center"/>
          </w:tcPr>
          <w:p w14:paraId="6D7A140B">
            <w:pPr>
              <w:widowControl w:val="0"/>
              <w:spacing w:line="360" w:lineRule="exact"/>
              <w:jc w:val="center"/>
              <w:rPr>
                <w:rFonts w:cs="宋体"/>
                <w:color w:val="auto"/>
                <w:sz w:val="21"/>
                <w:szCs w:val="21"/>
              </w:rPr>
            </w:pPr>
            <w:r>
              <w:rPr>
                <w:rFonts w:hint="eastAsia" w:cs="宋体"/>
                <w:color w:val="auto"/>
                <w:sz w:val="21"/>
                <w:szCs w:val="21"/>
              </w:rPr>
              <w:t>新鲜水</w:t>
            </w:r>
          </w:p>
        </w:tc>
        <w:tc>
          <w:tcPr>
            <w:tcW w:w="652" w:type="pct"/>
            <w:vAlign w:val="center"/>
          </w:tcPr>
          <w:p w14:paraId="7F5FEA6B">
            <w:pPr>
              <w:widowControl w:val="0"/>
              <w:spacing w:line="360" w:lineRule="exact"/>
              <w:jc w:val="center"/>
              <w:rPr>
                <w:rFonts w:cs="宋体"/>
                <w:color w:val="auto"/>
                <w:sz w:val="21"/>
                <w:szCs w:val="21"/>
              </w:rPr>
            </w:pPr>
            <w:r>
              <w:rPr>
                <w:rFonts w:hint="eastAsia"/>
                <w:color w:val="auto"/>
                <w:sz w:val="21"/>
                <w:szCs w:val="21"/>
              </w:rPr>
              <w:t>m</w:t>
            </w:r>
            <w:r>
              <w:rPr>
                <w:rFonts w:hint="eastAsia"/>
                <w:color w:val="auto"/>
                <w:sz w:val="21"/>
                <w:szCs w:val="21"/>
                <w:vertAlign w:val="superscript"/>
              </w:rPr>
              <w:t>3</w:t>
            </w:r>
            <w:r>
              <w:rPr>
                <w:rFonts w:hint="eastAsia"/>
                <w:color w:val="auto"/>
                <w:sz w:val="21"/>
                <w:szCs w:val="21"/>
              </w:rPr>
              <w:t>/a</w:t>
            </w:r>
          </w:p>
        </w:tc>
        <w:tc>
          <w:tcPr>
            <w:tcW w:w="976" w:type="pct"/>
            <w:vAlign w:val="center"/>
          </w:tcPr>
          <w:p w14:paraId="1DB117F7">
            <w:pPr>
              <w:widowControl w:val="0"/>
              <w:spacing w:line="360" w:lineRule="exact"/>
              <w:jc w:val="center"/>
              <w:rPr>
                <w:rFonts w:cs="宋体"/>
                <w:color w:val="auto"/>
                <w:sz w:val="21"/>
                <w:szCs w:val="21"/>
              </w:rPr>
            </w:pPr>
            <w:r>
              <w:rPr>
                <w:rFonts w:hint="eastAsia"/>
                <w:color w:val="auto"/>
                <w:sz w:val="21"/>
                <w:szCs w:val="21"/>
              </w:rPr>
              <w:t>602760</w:t>
            </w:r>
          </w:p>
        </w:tc>
        <w:tc>
          <w:tcPr>
            <w:tcW w:w="1018" w:type="pct"/>
            <w:vAlign w:val="center"/>
          </w:tcPr>
          <w:p w14:paraId="2DF11368">
            <w:pPr>
              <w:widowControl w:val="0"/>
              <w:spacing w:line="360" w:lineRule="exact"/>
              <w:jc w:val="center"/>
              <w:rPr>
                <w:rFonts w:cs="宋体"/>
                <w:color w:val="auto"/>
                <w:sz w:val="21"/>
                <w:szCs w:val="21"/>
              </w:rPr>
            </w:pPr>
          </w:p>
        </w:tc>
      </w:tr>
      <w:tr w14:paraId="4BCFD58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57E97BC">
            <w:pPr>
              <w:widowControl w:val="0"/>
              <w:spacing w:line="360" w:lineRule="exact"/>
              <w:jc w:val="center"/>
              <w:rPr>
                <w:rFonts w:cs="宋体"/>
                <w:color w:val="auto"/>
                <w:sz w:val="21"/>
                <w:szCs w:val="21"/>
              </w:rPr>
            </w:pPr>
            <w:r>
              <w:rPr>
                <w:rFonts w:hint="eastAsia" w:cs="宋体"/>
                <w:color w:val="auto"/>
                <w:sz w:val="21"/>
                <w:szCs w:val="21"/>
              </w:rPr>
              <w:t>2</w:t>
            </w:r>
          </w:p>
        </w:tc>
        <w:tc>
          <w:tcPr>
            <w:tcW w:w="1917" w:type="pct"/>
            <w:vAlign w:val="center"/>
          </w:tcPr>
          <w:p w14:paraId="449001E1">
            <w:pPr>
              <w:widowControl w:val="0"/>
              <w:spacing w:line="360" w:lineRule="exact"/>
              <w:jc w:val="center"/>
              <w:rPr>
                <w:color w:val="auto"/>
                <w:sz w:val="21"/>
                <w:szCs w:val="21"/>
              </w:rPr>
            </w:pPr>
            <w:r>
              <w:rPr>
                <w:rFonts w:hint="eastAsia"/>
                <w:color w:val="auto"/>
                <w:sz w:val="21"/>
                <w:szCs w:val="21"/>
              </w:rPr>
              <w:t>电力</w:t>
            </w:r>
          </w:p>
        </w:tc>
        <w:tc>
          <w:tcPr>
            <w:tcW w:w="652" w:type="pct"/>
            <w:vAlign w:val="center"/>
          </w:tcPr>
          <w:p w14:paraId="63A4F4DF">
            <w:pPr>
              <w:widowControl w:val="0"/>
              <w:spacing w:line="360" w:lineRule="exact"/>
              <w:jc w:val="center"/>
              <w:rPr>
                <w:color w:val="auto"/>
                <w:sz w:val="21"/>
                <w:szCs w:val="21"/>
              </w:rPr>
            </w:pPr>
            <w:r>
              <w:rPr>
                <w:rFonts w:hint="eastAsia"/>
                <w:color w:val="auto"/>
                <w:sz w:val="21"/>
                <w:szCs w:val="21"/>
              </w:rPr>
              <w:t>kW</w:t>
            </w:r>
          </w:p>
        </w:tc>
        <w:tc>
          <w:tcPr>
            <w:tcW w:w="976" w:type="pct"/>
            <w:vAlign w:val="center"/>
          </w:tcPr>
          <w:p w14:paraId="4A52EA93">
            <w:pPr>
              <w:widowControl w:val="0"/>
              <w:spacing w:line="360" w:lineRule="exact"/>
              <w:jc w:val="center"/>
              <w:rPr>
                <w:color w:val="auto"/>
                <w:sz w:val="21"/>
                <w:szCs w:val="21"/>
              </w:rPr>
            </w:pPr>
            <w:r>
              <w:rPr>
                <w:rFonts w:hint="eastAsia"/>
                <w:color w:val="auto"/>
                <w:sz w:val="21"/>
                <w:szCs w:val="21"/>
              </w:rPr>
              <w:t>10744.96</w:t>
            </w:r>
          </w:p>
        </w:tc>
        <w:tc>
          <w:tcPr>
            <w:tcW w:w="1018" w:type="pct"/>
            <w:vAlign w:val="center"/>
          </w:tcPr>
          <w:p w14:paraId="69FDE1E4">
            <w:pPr>
              <w:widowControl w:val="0"/>
              <w:spacing w:line="360" w:lineRule="exact"/>
              <w:jc w:val="center"/>
              <w:rPr>
                <w:rFonts w:cs="宋体"/>
                <w:color w:val="auto"/>
                <w:sz w:val="21"/>
                <w:szCs w:val="21"/>
              </w:rPr>
            </w:pPr>
          </w:p>
        </w:tc>
      </w:tr>
      <w:tr w14:paraId="31626B4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F3F4C85">
            <w:pPr>
              <w:widowControl w:val="0"/>
              <w:spacing w:line="360" w:lineRule="exact"/>
              <w:jc w:val="center"/>
              <w:rPr>
                <w:rFonts w:cs="宋体"/>
                <w:color w:val="auto"/>
                <w:sz w:val="21"/>
                <w:szCs w:val="21"/>
              </w:rPr>
            </w:pPr>
            <w:r>
              <w:rPr>
                <w:rFonts w:hint="eastAsia" w:cs="宋体"/>
                <w:color w:val="auto"/>
                <w:sz w:val="21"/>
                <w:szCs w:val="21"/>
              </w:rPr>
              <w:t>3</w:t>
            </w:r>
          </w:p>
        </w:tc>
        <w:tc>
          <w:tcPr>
            <w:tcW w:w="1917" w:type="pct"/>
            <w:vAlign w:val="center"/>
          </w:tcPr>
          <w:p w14:paraId="3A677829">
            <w:pPr>
              <w:widowControl w:val="0"/>
              <w:spacing w:line="360" w:lineRule="exact"/>
              <w:jc w:val="center"/>
              <w:rPr>
                <w:rFonts w:cs="宋体"/>
                <w:color w:val="auto"/>
                <w:sz w:val="21"/>
                <w:szCs w:val="21"/>
              </w:rPr>
            </w:pPr>
            <w:r>
              <w:rPr>
                <w:rFonts w:hint="eastAsia" w:cs="宋体"/>
                <w:color w:val="auto"/>
                <w:sz w:val="21"/>
                <w:szCs w:val="21"/>
              </w:rPr>
              <w:t>蒸汽</w:t>
            </w:r>
          </w:p>
        </w:tc>
        <w:tc>
          <w:tcPr>
            <w:tcW w:w="652" w:type="pct"/>
            <w:vAlign w:val="center"/>
          </w:tcPr>
          <w:p w14:paraId="2E79A1D3">
            <w:pPr>
              <w:widowControl w:val="0"/>
              <w:spacing w:line="360" w:lineRule="exact"/>
              <w:jc w:val="center"/>
              <w:rPr>
                <w:rFonts w:cs="宋体"/>
                <w:color w:val="auto"/>
                <w:sz w:val="21"/>
                <w:szCs w:val="21"/>
              </w:rPr>
            </w:pPr>
            <w:r>
              <w:rPr>
                <w:rFonts w:hint="eastAsia"/>
                <w:color w:val="auto"/>
                <w:sz w:val="21"/>
                <w:szCs w:val="21"/>
              </w:rPr>
              <w:t>t/a</w:t>
            </w:r>
          </w:p>
        </w:tc>
        <w:tc>
          <w:tcPr>
            <w:tcW w:w="976" w:type="pct"/>
            <w:vAlign w:val="center"/>
          </w:tcPr>
          <w:p w14:paraId="0B41E8D5">
            <w:pPr>
              <w:widowControl w:val="0"/>
              <w:spacing w:line="360" w:lineRule="exact"/>
              <w:jc w:val="center"/>
              <w:rPr>
                <w:rFonts w:cs="宋体"/>
                <w:color w:val="auto"/>
                <w:sz w:val="21"/>
                <w:szCs w:val="21"/>
              </w:rPr>
            </w:pPr>
            <w:r>
              <w:rPr>
                <w:color w:val="auto"/>
                <w:sz w:val="21"/>
                <w:szCs w:val="21"/>
              </w:rPr>
              <w:t>154800</w:t>
            </w:r>
          </w:p>
        </w:tc>
        <w:tc>
          <w:tcPr>
            <w:tcW w:w="1018" w:type="pct"/>
            <w:vAlign w:val="center"/>
          </w:tcPr>
          <w:p w14:paraId="7A8DEA4C">
            <w:pPr>
              <w:widowControl w:val="0"/>
              <w:spacing w:line="360" w:lineRule="exact"/>
              <w:jc w:val="center"/>
              <w:rPr>
                <w:rFonts w:cs="宋体"/>
                <w:color w:val="auto"/>
                <w:sz w:val="21"/>
                <w:szCs w:val="21"/>
              </w:rPr>
            </w:pPr>
            <w:r>
              <w:rPr>
                <w:rFonts w:hint="eastAsia" w:cs="宋体"/>
                <w:color w:val="auto"/>
                <w:sz w:val="21"/>
                <w:szCs w:val="21"/>
              </w:rPr>
              <w:t>来自兖矿</w:t>
            </w:r>
          </w:p>
        </w:tc>
      </w:tr>
      <w:tr w14:paraId="2F22C4D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7BA84CC">
            <w:pPr>
              <w:widowControl w:val="0"/>
              <w:spacing w:line="360" w:lineRule="exact"/>
              <w:jc w:val="center"/>
              <w:rPr>
                <w:rFonts w:cs="宋体"/>
                <w:color w:val="auto"/>
                <w:sz w:val="21"/>
                <w:szCs w:val="21"/>
              </w:rPr>
            </w:pPr>
            <w:r>
              <w:rPr>
                <w:color w:val="auto"/>
                <w:sz w:val="21"/>
                <w:szCs w:val="21"/>
              </w:rPr>
              <w:t>六</w:t>
            </w:r>
          </w:p>
        </w:tc>
        <w:tc>
          <w:tcPr>
            <w:tcW w:w="1917" w:type="pct"/>
            <w:vAlign w:val="center"/>
          </w:tcPr>
          <w:p w14:paraId="39853F35">
            <w:pPr>
              <w:widowControl w:val="0"/>
              <w:spacing w:line="360" w:lineRule="exact"/>
              <w:jc w:val="center"/>
              <w:rPr>
                <w:rFonts w:cs="宋体"/>
                <w:color w:val="auto"/>
                <w:sz w:val="21"/>
                <w:szCs w:val="21"/>
              </w:rPr>
            </w:pPr>
            <w:r>
              <w:rPr>
                <w:color w:val="auto"/>
                <w:sz w:val="21"/>
                <w:szCs w:val="21"/>
              </w:rPr>
              <w:t>三废排放</w:t>
            </w:r>
          </w:p>
        </w:tc>
        <w:tc>
          <w:tcPr>
            <w:tcW w:w="652" w:type="pct"/>
            <w:vAlign w:val="center"/>
          </w:tcPr>
          <w:p w14:paraId="47D69777">
            <w:pPr>
              <w:widowControl w:val="0"/>
              <w:spacing w:line="360" w:lineRule="exact"/>
              <w:jc w:val="center"/>
              <w:rPr>
                <w:rFonts w:cs="宋体"/>
                <w:color w:val="auto"/>
                <w:sz w:val="21"/>
                <w:szCs w:val="21"/>
              </w:rPr>
            </w:pPr>
          </w:p>
        </w:tc>
        <w:tc>
          <w:tcPr>
            <w:tcW w:w="976" w:type="pct"/>
            <w:vAlign w:val="center"/>
          </w:tcPr>
          <w:p w14:paraId="0E7D8773">
            <w:pPr>
              <w:widowControl w:val="0"/>
              <w:spacing w:line="360" w:lineRule="exact"/>
              <w:jc w:val="center"/>
              <w:rPr>
                <w:rFonts w:cs="宋体"/>
                <w:color w:val="auto"/>
                <w:sz w:val="21"/>
                <w:szCs w:val="21"/>
              </w:rPr>
            </w:pPr>
          </w:p>
        </w:tc>
        <w:tc>
          <w:tcPr>
            <w:tcW w:w="1018" w:type="pct"/>
            <w:vAlign w:val="center"/>
          </w:tcPr>
          <w:p w14:paraId="00C20ABE">
            <w:pPr>
              <w:widowControl w:val="0"/>
              <w:spacing w:line="360" w:lineRule="exact"/>
              <w:jc w:val="center"/>
              <w:rPr>
                <w:rFonts w:cs="宋体"/>
                <w:color w:val="auto"/>
                <w:sz w:val="21"/>
                <w:szCs w:val="21"/>
              </w:rPr>
            </w:pPr>
          </w:p>
        </w:tc>
      </w:tr>
      <w:tr w14:paraId="08DA39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3E606DB">
            <w:pPr>
              <w:widowControl w:val="0"/>
              <w:spacing w:line="360" w:lineRule="exact"/>
              <w:jc w:val="center"/>
              <w:rPr>
                <w:rFonts w:cs="宋体"/>
                <w:color w:val="auto"/>
                <w:sz w:val="21"/>
                <w:szCs w:val="21"/>
              </w:rPr>
            </w:pPr>
            <w:r>
              <w:rPr>
                <w:rFonts w:hint="eastAsia" w:cs="宋体"/>
                <w:color w:val="auto"/>
                <w:sz w:val="21"/>
                <w:szCs w:val="21"/>
              </w:rPr>
              <w:t>1</w:t>
            </w:r>
          </w:p>
        </w:tc>
        <w:tc>
          <w:tcPr>
            <w:tcW w:w="1917" w:type="pct"/>
            <w:vAlign w:val="center"/>
          </w:tcPr>
          <w:p w14:paraId="0AA1DEFC">
            <w:pPr>
              <w:widowControl w:val="0"/>
              <w:spacing w:line="360" w:lineRule="exact"/>
              <w:jc w:val="center"/>
              <w:rPr>
                <w:rFonts w:cs="宋体"/>
                <w:color w:val="auto"/>
                <w:sz w:val="21"/>
                <w:szCs w:val="21"/>
              </w:rPr>
            </w:pPr>
            <w:r>
              <w:rPr>
                <w:rFonts w:hint="eastAsia" w:cs="宋体"/>
                <w:color w:val="auto"/>
                <w:sz w:val="21"/>
                <w:szCs w:val="21"/>
              </w:rPr>
              <w:t>废气</w:t>
            </w:r>
          </w:p>
        </w:tc>
        <w:tc>
          <w:tcPr>
            <w:tcW w:w="652" w:type="pct"/>
            <w:vAlign w:val="center"/>
          </w:tcPr>
          <w:p w14:paraId="7EF4160D">
            <w:pPr>
              <w:widowControl w:val="0"/>
              <w:spacing w:line="360" w:lineRule="exact"/>
              <w:jc w:val="center"/>
              <w:rPr>
                <w:rFonts w:cs="宋体"/>
                <w:color w:val="auto"/>
                <w:sz w:val="21"/>
                <w:szCs w:val="21"/>
              </w:rPr>
            </w:pPr>
          </w:p>
        </w:tc>
        <w:tc>
          <w:tcPr>
            <w:tcW w:w="976" w:type="pct"/>
            <w:vAlign w:val="center"/>
          </w:tcPr>
          <w:p w14:paraId="74FEECE0">
            <w:pPr>
              <w:widowControl w:val="0"/>
              <w:spacing w:line="360" w:lineRule="exact"/>
              <w:jc w:val="center"/>
              <w:rPr>
                <w:rFonts w:cs="宋体"/>
                <w:color w:val="auto"/>
                <w:sz w:val="21"/>
                <w:szCs w:val="21"/>
              </w:rPr>
            </w:pPr>
          </w:p>
        </w:tc>
        <w:tc>
          <w:tcPr>
            <w:tcW w:w="1018" w:type="pct"/>
            <w:vAlign w:val="center"/>
          </w:tcPr>
          <w:p w14:paraId="72D24CD3">
            <w:pPr>
              <w:widowControl w:val="0"/>
              <w:spacing w:line="360" w:lineRule="exact"/>
              <w:jc w:val="center"/>
              <w:rPr>
                <w:rFonts w:cs="宋体"/>
                <w:color w:val="auto"/>
                <w:sz w:val="21"/>
                <w:szCs w:val="21"/>
              </w:rPr>
            </w:pPr>
          </w:p>
        </w:tc>
      </w:tr>
      <w:tr w14:paraId="7DFF785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36E8771E">
            <w:pPr>
              <w:widowControl w:val="0"/>
              <w:spacing w:line="360" w:lineRule="exact"/>
              <w:jc w:val="center"/>
              <w:rPr>
                <w:rFonts w:cs="宋体"/>
                <w:color w:val="auto"/>
                <w:sz w:val="21"/>
                <w:szCs w:val="21"/>
              </w:rPr>
            </w:pPr>
            <w:r>
              <w:rPr>
                <w:rFonts w:hint="eastAsia" w:cs="宋体"/>
                <w:color w:val="auto"/>
                <w:sz w:val="21"/>
                <w:szCs w:val="21"/>
              </w:rPr>
              <w:t>1.1</w:t>
            </w:r>
          </w:p>
        </w:tc>
        <w:tc>
          <w:tcPr>
            <w:tcW w:w="1917" w:type="pct"/>
            <w:vAlign w:val="center"/>
          </w:tcPr>
          <w:p w14:paraId="0F2E873A">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废气量</w:t>
            </w:r>
          </w:p>
        </w:tc>
        <w:tc>
          <w:tcPr>
            <w:tcW w:w="652" w:type="pct"/>
            <w:vAlign w:val="center"/>
          </w:tcPr>
          <w:p w14:paraId="070680EF">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万</w:t>
            </w:r>
            <w:r>
              <w:rPr>
                <w:rFonts w:eastAsia="Times New Roman"/>
                <w:color w:val="auto"/>
                <w:sz w:val="21"/>
                <w:szCs w:val="21"/>
              </w:rPr>
              <w:t>m</w:t>
            </w:r>
            <w:r>
              <w:rPr>
                <w:rFonts w:eastAsia="Times New Roman"/>
                <w:color w:val="auto"/>
                <w:sz w:val="21"/>
                <w:szCs w:val="21"/>
                <w:vertAlign w:val="superscript"/>
              </w:rPr>
              <w:t>3</w:t>
            </w:r>
            <w:r>
              <w:rPr>
                <w:rFonts w:eastAsia="Times New Roman"/>
                <w:color w:val="auto"/>
                <w:sz w:val="21"/>
                <w:szCs w:val="21"/>
              </w:rPr>
              <w:t>/a</w:t>
            </w:r>
          </w:p>
        </w:tc>
        <w:tc>
          <w:tcPr>
            <w:tcW w:w="976" w:type="pct"/>
            <w:vAlign w:val="center"/>
          </w:tcPr>
          <w:p w14:paraId="1F8D0188">
            <w:pPr>
              <w:widowControl w:val="0"/>
              <w:spacing w:line="360" w:lineRule="exact"/>
              <w:jc w:val="center"/>
              <w:rPr>
                <w:rFonts w:cs="宋体"/>
                <w:color w:val="auto"/>
                <w:sz w:val="21"/>
                <w:szCs w:val="21"/>
              </w:rPr>
            </w:pPr>
            <w:r>
              <w:rPr>
                <w:color w:val="auto"/>
                <w:sz w:val="21"/>
                <w:szCs w:val="21"/>
              </w:rPr>
              <w:t>109402.4</w:t>
            </w:r>
          </w:p>
        </w:tc>
        <w:tc>
          <w:tcPr>
            <w:tcW w:w="1018" w:type="pct"/>
            <w:vAlign w:val="center"/>
          </w:tcPr>
          <w:p w14:paraId="7F80746D">
            <w:pPr>
              <w:widowControl w:val="0"/>
              <w:spacing w:line="360" w:lineRule="exact"/>
              <w:jc w:val="center"/>
              <w:rPr>
                <w:rFonts w:cs="宋体"/>
                <w:color w:val="auto"/>
                <w:sz w:val="21"/>
                <w:szCs w:val="21"/>
              </w:rPr>
            </w:pPr>
          </w:p>
        </w:tc>
      </w:tr>
      <w:tr w14:paraId="145411B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CB9E19A">
            <w:pPr>
              <w:widowControl w:val="0"/>
              <w:spacing w:line="360" w:lineRule="exact"/>
              <w:jc w:val="center"/>
              <w:rPr>
                <w:rFonts w:cs="宋体"/>
                <w:color w:val="auto"/>
                <w:sz w:val="21"/>
                <w:szCs w:val="21"/>
              </w:rPr>
            </w:pPr>
            <w:r>
              <w:rPr>
                <w:rFonts w:hint="eastAsia" w:cs="宋体"/>
                <w:color w:val="auto"/>
                <w:sz w:val="21"/>
                <w:szCs w:val="21"/>
              </w:rPr>
              <w:t>1.2</w:t>
            </w:r>
          </w:p>
        </w:tc>
        <w:tc>
          <w:tcPr>
            <w:tcW w:w="1917" w:type="pct"/>
            <w:vAlign w:val="center"/>
          </w:tcPr>
          <w:p w14:paraId="1210ABFC">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颗粒物</w:t>
            </w:r>
          </w:p>
        </w:tc>
        <w:tc>
          <w:tcPr>
            <w:tcW w:w="652" w:type="pct"/>
            <w:vAlign w:val="center"/>
          </w:tcPr>
          <w:p w14:paraId="24A2B0A0">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105EA7F2">
            <w:pPr>
              <w:widowControl w:val="0"/>
              <w:spacing w:line="360" w:lineRule="exact"/>
              <w:jc w:val="center"/>
              <w:rPr>
                <w:rFonts w:cs="宋体"/>
                <w:color w:val="auto"/>
                <w:sz w:val="21"/>
                <w:szCs w:val="21"/>
              </w:rPr>
            </w:pPr>
            <w:r>
              <w:rPr>
                <w:rFonts w:hint="eastAsia"/>
                <w:color w:val="auto"/>
                <w:sz w:val="21"/>
                <w:szCs w:val="21"/>
              </w:rPr>
              <w:t>8.258</w:t>
            </w:r>
            <w:r>
              <w:rPr>
                <w:color w:val="auto"/>
                <w:sz w:val="21"/>
                <w:szCs w:val="21"/>
              </w:rPr>
              <w:t xml:space="preserve"> </w:t>
            </w:r>
          </w:p>
        </w:tc>
        <w:tc>
          <w:tcPr>
            <w:tcW w:w="1018" w:type="pct"/>
            <w:vAlign w:val="center"/>
          </w:tcPr>
          <w:p w14:paraId="1A5D9CC6">
            <w:pPr>
              <w:widowControl w:val="0"/>
              <w:spacing w:line="360" w:lineRule="exact"/>
              <w:jc w:val="center"/>
              <w:rPr>
                <w:rFonts w:cs="宋体"/>
                <w:color w:val="auto"/>
                <w:sz w:val="21"/>
                <w:szCs w:val="21"/>
              </w:rPr>
            </w:pPr>
          </w:p>
        </w:tc>
      </w:tr>
      <w:tr w14:paraId="247002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837DB96">
            <w:pPr>
              <w:widowControl w:val="0"/>
              <w:spacing w:line="360" w:lineRule="exact"/>
              <w:jc w:val="center"/>
              <w:rPr>
                <w:rFonts w:cs="宋体"/>
                <w:color w:val="auto"/>
                <w:sz w:val="21"/>
                <w:szCs w:val="21"/>
              </w:rPr>
            </w:pPr>
            <w:r>
              <w:rPr>
                <w:rFonts w:hint="eastAsia" w:cs="宋体"/>
                <w:color w:val="auto"/>
                <w:sz w:val="21"/>
                <w:szCs w:val="21"/>
              </w:rPr>
              <w:t>1.3</w:t>
            </w:r>
          </w:p>
        </w:tc>
        <w:tc>
          <w:tcPr>
            <w:tcW w:w="1917" w:type="pct"/>
            <w:vAlign w:val="center"/>
          </w:tcPr>
          <w:p w14:paraId="11F00859">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NOx</w:t>
            </w:r>
          </w:p>
        </w:tc>
        <w:tc>
          <w:tcPr>
            <w:tcW w:w="652" w:type="pct"/>
            <w:vAlign w:val="center"/>
          </w:tcPr>
          <w:p w14:paraId="407D05BD">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17520179">
            <w:pPr>
              <w:widowControl w:val="0"/>
              <w:spacing w:line="360" w:lineRule="exact"/>
              <w:jc w:val="center"/>
              <w:rPr>
                <w:rFonts w:cs="宋体"/>
                <w:color w:val="auto"/>
                <w:sz w:val="21"/>
                <w:szCs w:val="21"/>
              </w:rPr>
            </w:pPr>
            <w:r>
              <w:rPr>
                <w:color w:val="auto"/>
                <w:sz w:val="21"/>
                <w:szCs w:val="21"/>
              </w:rPr>
              <w:t xml:space="preserve">6.354 </w:t>
            </w:r>
          </w:p>
        </w:tc>
        <w:tc>
          <w:tcPr>
            <w:tcW w:w="1018" w:type="pct"/>
            <w:vAlign w:val="center"/>
          </w:tcPr>
          <w:p w14:paraId="400F4251">
            <w:pPr>
              <w:widowControl w:val="0"/>
              <w:spacing w:line="360" w:lineRule="exact"/>
              <w:jc w:val="center"/>
              <w:rPr>
                <w:rFonts w:cs="宋体"/>
                <w:color w:val="auto"/>
                <w:sz w:val="21"/>
                <w:szCs w:val="21"/>
              </w:rPr>
            </w:pPr>
          </w:p>
        </w:tc>
      </w:tr>
      <w:tr w14:paraId="61840EF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81FC9D8">
            <w:pPr>
              <w:widowControl w:val="0"/>
              <w:spacing w:line="360" w:lineRule="exact"/>
              <w:jc w:val="center"/>
              <w:rPr>
                <w:rFonts w:cs="宋体"/>
                <w:color w:val="auto"/>
                <w:sz w:val="21"/>
                <w:szCs w:val="21"/>
              </w:rPr>
            </w:pPr>
            <w:r>
              <w:rPr>
                <w:rFonts w:hint="eastAsia" w:cs="宋体"/>
                <w:color w:val="auto"/>
                <w:sz w:val="21"/>
                <w:szCs w:val="21"/>
              </w:rPr>
              <w:t>1.4</w:t>
            </w:r>
          </w:p>
        </w:tc>
        <w:tc>
          <w:tcPr>
            <w:tcW w:w="1917" w:type="pct"/>
            <w:vAlign w:val="center"/>
          </w:tcPr>
          <w:p w14:paraId="768F5AC0">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SO</w:t>
            </w:r>
            <w:r>
              <w:rPr>
                <w:rFonts w:hint="eastAsia" w:ascii="宋体" w:hAnsi="宋体" w:eastAsia="Times New Roman" w:cs="宋体"/>
                <w:color w:val="auto"/>
                <w:sz w:val="21"/>
                <w:szCs w:val="21"/>
                <w:vertAlign w:val="subscript"/>
              </w:rPr>
              <w:t>2</w:t>
            </w:r>
          </w:p>
        </w:tc>
        <w:tc>
          <w:tcPr>
            <w:tcW w:w="652" w:type="pct"/>
            <w:vAlign w:val="center"/>
          </w:tcPr>
          <w:p w14:paraId="74997E8B">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3F989202">
            <w:pPr>
              <w:widowControl w:val="0"/>
              <w:spacing w:line="360" w:lineRule="exact"/>
              <w:jc w:val="center"/>
              <w:rPr>
                <w:rFonts w:cs="宋体"/>
                <w:color w:val="auto"/>
                <w:sz w:val="21"/>
                <w:szCs w:val="21"/>
              </w:rPr>
            </w:pPr>
            <w:r>
              <w:rPr>
                <w:color w:val="auto"/>
                <w:sz w:val="21"/>
                <w:szCs w:val="21"/>
              </w:rPr>
              <w:t xml:space="preserve">0.277 </w:t>
            </w:r>
          </w:p>
        </w:tc>
        <w:tc>
          <w:tcPr>
            <w:tcW w:w="1018" w:type="pct"/>
            <w:vAlign w:val="center"/>
          </w:tcPr>
          <w:p w14:paraId="5B2625C6">
            <w:pPr>
              <w:widowControl w:val="0"/>
              <w:spacing w:line="360" w:lineRule="exact"/>
              <w:jc w:val="center"/>
              <w:rPr>
                <w:rFonts w:cs="宋体"/>
                <w:color w:val="auto"/>
                <w:sz w:val="21"/>
                <w:szCs w:val="21"/>
              </w:rPr>
            </w:pPr>
          </w:p>
        </w:tc>
      </w:tr>
      <w:tr w14:paraId="54040D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23F2B78">
            <w:pPr>
              <w:widowControl w:val="0"/>
              <w:spacing w:line="360" w:lineRule="exact"/>
              <w:jc w:val="center"/>
              <w:rPr>
                <w:rFonts w:cs="宋体"/>
                <w:color w:val="auto"/>
                <w:sz w:val="21"/>
                <w:szCs w:val="21"/>
              </w:rPr>
            </w:pPr>
            <w:r>
              <w:rPr>
                <w:rFonts w:hint="eastAsia" w:cs="宋体"/>
                <w:color w:val="auto"/>
                <w:sz w:val="21"/>
                <w:szCs w:val="21"/>
              </w:rPr>
              <w:t>1.5</w:t>
            </w:r>
          </w:p>
        </w:tc>
        <w:tc>
          <w:tcPr>
            <w:tcW w:w="1917" w:type="pct"/>
            <w:vAlign w:val="center"/>
          </w:tcPr>
          <w:p w14:paraId="6C73593B">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钴及其化合物</w:t>
            </w:r>
          </w:p>
        </w:tc>
        <w:tc>
          <w:tcPr>
            <w:tcW w:w="652" w:type="pct"/>
            <w:vAlign w:val="center"/>
          </w:tcPr>
          <w:p w14:paraId="203326F2">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6569C4CA">
            <w:pPr>
              <w:widowControl w:val="0"/>
              <w:spacing w:line="360" w:lineRule="exact"/>
              <w:jc w:val="center"/>
              <w:rPr>
                <w:rFonts w:cs="宋体"/>
                <w:color w:val="auto"/>
                <w:sz w:val="21"/>
                <w:szCs w:val="21"/>
              </w:rPr>
            </w:pPr>
            <w:r>
              <w:rPr>
                <w:color w:val="auto"/>
                <w:sz w:val="21"/>
                <w:szCs w:val="21"/>
              </w:rPr>
              <w:t>0.005</w:t>
            </w:r>
          </w:p>
        </w:tc>
        <w:tc>
          <w:tcPr>
            <w:tcW w:w="1018" w:type="pct"/>
            <w:vAlign w:val="center"/>
          </w:tcPr>
          <w:p w14:paraId="25AF6009">
            <w:pPr>
              <w:widowControl w:val="0"/>
              <w:spacing w:line="360" w:lineRule="exact"/>
              <w:jc w:val="center"/>
              <w:rPr>
                <w:rFonts w:cs="宋体"/>
                <w:color w:val="auto"/>
                <w:sz w:val="21"/>
                <w:szCs w:val="21"/>
              </w:rPr>
            </w:pPr>
          </w:p>
        </w:tc>
      </w:tr>
      <w:tr w14:paraId="6CF919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3A7DB4EF">
            <w:pPr>
              <w:widowControl w:val="0"/>
              <w:spacing w:line="360" w:lineRule="exact"/>
              <w:jc w:val="center"/>
              <w:rPr>
                <w:rFonts w:cs="宋体"/>
                <w:color w:val="auto"/>
                <w:sz w:val="21"/>
                <w:szCs w:val="21"/>
              </w:rPr>
            </w:pPr>
            <w:r>
              <w:rPr>
                <w:rFonts w:hint="eastAsia" w:cs="宋体"/>
                <w:color w:val="auto"/>
                <w:sz w:val="21"/>
                <w:szCs w:val="21"/>
              </w:rPr>
              <w:t>1.6</w:t>
            </w:r>
          </w:p>
        </w:tc>
        <w:tc>
          <w:tcPr>
            <w:tcW w:w="1917" w:type="pct"/>
            <w:vAlign w:val="center"/>
          </w:tcPr>
          <w:p w14:paraId="0392F664">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钼及其化合物</w:t>
            </w:r>
          </w:p>
        </w:tc>
        <w:tc>
          <w:tcPr>
            <w:tcW w:w="652" w:type="pct"/>
            <w:vAlign w:val="center"/>
          </w:tcPr>
          <w:p w14:paraId="38030B55">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67D68DC6">
            <w:pPr>
              <w:widowControl w:val="0"/>
              <w:spacing w:line="360" w:lineRule="exact"/>
              <w:jc w:val="center"/>
              <w:rPr>
                <w:rFonts w:cs="宋体"/>
                <w:color w:val="auto"/>
                <w:sz w:val="21"/>
                <w:szCs w:val="21"/>
              </w:rPr>
            </w:pPr>
            <w:r>
              <w:rPr>
                <w:color w:val="auto"/>
                <w:sz w:val="21"/>
                <w:szCs w:val="21"/>
              </w:rPr>
              <w:t>0.001</w:t>
            </w:r>
          </w:p>
        </w:tc>
        <w:tc>
          <w:tcPr>
            <w:tcW w:w="1018" w:type="pct"/>
            <w:vAlign w:val="center"/>
          </w:tcPr>
          <w:p w14:paraId="2D09D33A">
            <w:pPr>
              <w:widowControl w:val="0"/>
              <w:spacing w:line="360" w:lineRule="exact"/>
              <w:jc w:val="center"/>
              <w:rPr>
                <w:rFonts w:cs="宋体"/>
                <w:color w:val="auto"/>
                <w:sz w:val="21"/>
                <w:szCs w:val="21"/>
              </w:rPr>
            </w:pPr>
          </w:p>
        </w:tc>
      </w:tr>
      <w:tr w14:paraId="1614B55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B64B2B4">
            <w:pPr>
              <w:widowControl w:val="0"/>
              <w:spacing w:line="360" w:lineRule="exact"/>
              <w:jc w:val="center"/>
              <w:rPr>
                <w:rFonts w:cs="宋体"/>
                <w:color w:val="auto"/>
                <w:sz w:val="21"/>
                <w:szCs w:val="21"/>
              </w:rPr>
            </w:pPr>
            <w:r>
              <w:rPr>
                <w:rFonts w:hint="eastAsia" w:cs="宋体"/>
                <w:color w:val="auto"/>
                <w:sz w:val="21"/>
                <w:szCs w:val="21"/>
              </w:rPr>
              <w:t>1.7</w:t>
            </w:r>
          </w:p>
        </w:tc>
        <w:tc>
          <w:tcPr>
            <w:tcW w:w="1917" w:type="pct"/>
            <w:vAlign w:val="center"/>
          </w:tcPr>
          <w:p w14:paraId="512864F4">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镍及其化合物</w:t>
            </w:r>
          </w:p>
        </w:tc>
        <w:tc>
          <w:tcPr>
            <w:tcW w:w="652" w:type="pct"/>
            <w:vAlign w:val="center"/>
          </w:tcPr>
          <w:p w14:paraId="15B5BC03">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77FA6A9F">
            <w:pPr>
              <w:widowControl w:val="0"/>
              <w:spacing w:line="360" w:lineRule="exact"/>
              <w:jc w:val="center"/>
              <w:rPr>
                <w:rFonts w:cs="宋体"/>
                <w:color w:val="auto"/>
                <w:sz w:val="21"/>
                <w:szCs w:val="21"/>
              </w:rPr>
            </w:pPr>
            <w:r>
              <w:rPr>
                <w:color w:val="auto"/>
                <w:sz w:val="21"/>
                <w:szCs w:val="21"/>
              </w:rPr>
              <w:t>0.001</w:t>
            </w:r>
          </w:p>
        </w:tc>
        <w:tc>
          <w:tcPr>
            <w:tcW w:w="1018" w:type="pct"/>
            <w:vAlign w:val="center"/>
          </w:tcPr>
          <w:p w14:paraId="5CD9440E">
            <w:pPr>
              <w:widowControl w:val="0"/>
              <w:spacing w:line="360" w:lineRule="exact"/>
              <w:jc w:val="center"/>
              <w:rPr>
                <w:rFonts w:cs="宋体"/>
                <w:color w:val="auto"/>
                <w:sz w:val="21"/>
                <w:szCs w:val="21"/>
              </w:rPr>
            </w:pPr>
          </w:p>
        </w:tc>
      </w:tr>
      <w:tr w14:paraId="0029033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337C8AF1">
            <w:pPr>
              <w:widowControl w:val="0"/>
              <w:spacing w:line="360" w:lineRule="exact"/>
              <w:jc w:val="center"/>
              <w:rPr>
                <w:rFonts w:cs="宋体"/>
                <w:color w:val="auto"/>
                <w:sz w:val="21"/>
                <w:szCs w:val="21"/>
              </w:rPr>
            </w:pPr>
            <w:r>
              <w:rPr>
                <w:rFonts w:hint="eastAsia" w:cs="宋体"/>
                <w:color w:val="auto"/>
                <w:sz w:val="21"/>
                <w:szCs w:val="21"/>
              </w:rPr>
              <w:t>1.8</w:t>
            </w:r>
          </w:p>
        </w:tc>
        <w:tc>
          <w:tcPr>
            <w:tcW w:w="1917" w:type="pct"/>
            <w:vAlign w:val="center"/>
          </w:tcPr>
          <w:p w14:paraId="4BEB00F6">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锰及其化合物</w:t>
            </w:r>
          </w:p>
        </w:tc>
        <w:tc>
          <w:tcPr>
            <w:tcW w:w="652" w:type="pct"/>
            <w:vAlign w:val="center"/>
          </w:tcPr>
          <w:p w14:paraId="1190CD2A">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7B1B7808">
            <w:pPr>
              <w:widowControl w:val="0"/>
              <w:spacing w:line="360" w:lineRule="exact"/>
              <w:jc w:val="center"/>
              <w:rPr>
                <w:rFonts w:cs="宋体"/>
                <w:color w:val="auto"/>
                <w:sz w:val="21"/>
                <w:szCs w:val="21"/>
              </w:rPr>
            </w:pPr>
            <w:r>
              <w:rPr>
                <w:color w:val="auto"/>
                <w:sz w:val="21"/>
                <w:szCs w:val="21"/>
              </w:rPr>
              <w:t>0.003</w:t>
            </w:r>
          </w:p>
        </w:tc>
        <w:tc>
          <w:tcPr>
            <w:tcW w:w="1018" w:type="pct"/>
            <w:vAlign w:val="center"/>
          </w:tcPr>
          <w:p w14:paraId="67D8B873">
            <w:pPr>
              <w:widowControl w:val="0"/>
              <w:spacing w:line="360" w:lineRule="exact"/>
              <w:jc w:val="center"/>
              <w:rPr>
                <w:rFonts w:cs="宋体"/>
                <w:color w:val="auto"/>
                <w:sz w:val="21"/>
                <w:szCs w:val="21"/>
              </w:rPr>
            </w:pPr>
          </w:p>
        </w:tc>
      </w:tr>
      <w:tr w14:paraId="3C8CF0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06C72D3">
            <w:pPr>
              <w:widowControl w:val="0"/>
              <w:spacing w:line="360" w:lineRule="exact"/>
              <w:jc w:val="center"/>
              <w:rPr>
                <w:rFonts w:cs="宋体"/>
                <w:color w:val="auto"/>
                <w:sz w:val="21"/>
                <w:szCs w:val="21"/>
              </w:rPr>
            </w:pPr>
            <w:r>
              <w:rPr>
                <w:rFonts w:hint="eastAsia" w:cs="宋体"/>
                <w:color w:val="auto"/>
                <w:sz w:val="21"/>
                <w:szCs w:val="21"/>
              </w:rPr>
              <w:t>1.9</w:t>
            </w:r>
          </w:p>
        </w:tc>
        <w:tc>
          <w:tcPr>
            <w:tcW w:w="1917" w:type="pct"/>
            <w:vAlign w:val="center"/>
          </w:tcPr>
          <w:p w14:paraId="1B7DE472">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铜及其化合物</w:t>
            </w:r>
          </w:p>
        </w:tc>
        <w:tc>
          <w:tcPr>
            <w:tcW w:w="652" w:type="pct"/>
            <w:vAlign w:val="center"/>
          </w:tcPr>
          <w:p w14:paraId="47B19878">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03331022">
            <w:pPr>
              <w:widowControl w:val="0"/>
              <w:spacing w:line="360" w:lineRule="exact"/>
              <w:jc w:val="center"/>
              <w:rPr>
                <w:rFonts w:cs="宋体"/>
                <w:color w:val="auto"/>
                <w:sz w:val="21"/>
                <w:szCs w:val="21"/>
              </w:rPr>
            </w:pPr>
            <w:r>
              <w:rPr>
                <w:color w:val="auto"/>
                <w:sz w:val="21"/>
                <w:szCs w:val="21"/>
              </w:rPr>
              <w:t>0.001</w:t>
            </w:r>
          </w:p>
        </w:tc>
        <w:tc>
          <w:tcPr>
            <w:tcW w:w="1018" w:type="pct"/>
            <w:vAlign w:val="center"/>
          </w:tcPr>
          <w:p w14:paraId="58FEA857">
            <w:pPr>
              <w:widowControl w:val="0"/>
              <w:spacing w:line="360" w:lineRule="exact"/>
              <w:jc w:val="center"/>
              <w:rPr>
                <w:rFonts w:cs="宋体"/>
                <w:color w:val="auto"/>
                <w:sz w:val="21"/>
                <w:szCs w:val="21"/>
              </w:rPr>
            </w:pPr>
          </w:p>
        </w:tc>
      </w:tr>
      <w:tr w14:paraId="60C56C3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05E39513">
            <w:pPr>
              <w:widowControl w:val="0"/>
              <w:spacing w:line="360" w:lineRule="exact"/>
              <w:jc w:val="center"/>
              <w:rPr>
                <w:rFonts w:cs="宋体"/>
                <w:color w:val="auto"/>
                <w:sz w:val="21"/>
                <w:szCs w:val="21"/>
              </w:rPr>
            </w:pPr>
            <w:r>
              <w:rPr>
                <w:rFonts w:hint="eastAsia" w:cs="宋体"/>
                <w:color w:val="auto"/>
                <w:sz w:val="21"/>
                <w:szCs w:val="21"/>
              </w:rPr>
              <w:t>1.10</w:t>
            </w:r>
          </w:p>
        </w:tc>
        <w:tc>
          <w:tcPr>
            <w:tcW w:w="1917" w:type="pct"/>
            <w:vAlign w:val="center"/>
          </w:tcPr>
          <w:p w14:paraId="06DAB0E7">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锆及其化合物</w:t>
            </w:r>
          </w:p>
        </w:tc>
        <w:tc>
          <w:tcPr>
            <w:tcW w:w="652" w:type="pct"/>
            <w:vAlign w:val="center"/>
          </w:tcPr>
          <w:p w14:paraId="0EC14DD6">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28D3BBE6">
            <w:pPr>
              <w:widowControl w:val="0"/>
              <w:spacing w:line="360" w:lineRule="exact"/>
              <w:jc w:val="center"/>
              <w:rPr>
                <w:rFonts w:cs="宋体"/>
                <w:color w:val="auto"/>
                <w:sz w:val="21"/>
                <w:szCs w:val="21"/>
              </w:rPr>
            </w:pPr>
            <w:r>
              <w:rPr>
                <w:color w:val="auto"/>
                <w:sz w:val="21"/>
                <w:szCs w:val="21"/>
              </w:rPr>
              <w:t>0.001</w:t>
            </w:r>
          </w:p>
        </w:tc>
        <w:tc>
          <w:tcPr>
            <w:tcW w:w="1018" w:type="pct"/>
            <w:vAlign w:val="center"/>
          </w:tcPr>
          <w:p w14:paraId="5DDC2006">
            <w:pPr>
              <w:widowControl w:val="0"/>
              <w:spacing w:line="360" w:lineRule="exact"/>
              <w:jc w:val="center"/>
              <w:rPr>
                <w:rFonts w:cs="宋体"/>
                <w:color w:val="auto"/>
                <w:sz w:val="21"/>
                <w:szCs w:val="21"/>
              </w:rPr>
            </w:pPr>
          </w:p>
        </w:tc>
      </w:tr>
      <w:tr w14:paraId="28333BC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0D5FC69">
            <w:pPr>
              <w:widowControl w:val="0"/>
              <w:spacing w:line="360" w:lineRule="exact"/>
              <w:jc w:val="center"/>
              <w:rPr>
                <w:rFonts w:cs="宋体"/>
                <w:color w:val="auto"/>
                <w:sz w:val="21"/>
                <w:szCs w:val="21"/>
              </w:rPr>
            </w:pPr>
            <w:r>
              <w:rPr>
                <w:rFonts w:hint="eastAsia" w:cs="宋体"/>
                <w:color w:val="auto"/>
                <w:sz w:val="21"/>
                <w:szCs w:val="21"/>
              </w:rPr>
              <w:t>1.11</w:t>
            </w:r>
          </w:p>
        </w:tc>
        <w:tc>
          <w:tcPr>
            <w:tcW w:w="1917" w:type="pct"/>
            <w:vAlign w:val="center"/>
          </w:tcPr>
          <w:p w14:paraId="7C410DF9">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NH</w:t>
            </w:r>
            <w:r>
              <w:rPr>
                <w:rFonts w:hint="eastAsia" w:ascii="宋体" w:hAnsi="宋体" w:eastAsia="Times New Roman" w:cs="宋体"/>
                <w:color w:val="auto"/>
                <w:sz w:val="21"/>
                <w:szCs w:val="21"/>
                <w:vertAlign w:val="subscript"/>
              </w:rPr>
              <w:t>3</w:t>
            </w:r>
          </w:p>
        </w:tc>
        <w:tc>
          <w:tcPr>
            <w:tcW w:w="652" w:type="pct"/>
            <w:vAlign w:val="center"/>
          </w:tcPr>
          <w:p w14:paraId="66C214BF">
            <w:pPr>
              <w:widowControl w:val="0"/>
              <w:spacing w:line="360" w:lineRule="exact"/>
              <w:jc w:val="center"/>
              <w:rPr>
                <w:rFonts w:cs="宋体"/>
                <w:color w:val="auto"/>
                <w:sz w:val="21"/>
                <w:szCs w:val="21"/>
              </w:rPr>
            </w:pPr>
            <w:r>
              <w:rPr>
                <w:rFonts w:eastAsia="Times New Roman"/>
                <w:color w:val="auto"/>
                <w:sz w:val="21"/>
                <w:szCs w:val="21"/>
              </w:rPr>
              <w:t xml:space="preserve">t/a </w:t>
            </w:r>
          </w:p>
        </w:tc>
        <w:tc>
          <w:tcPr>
            <w:tcW w:w="976" w:type="pct"/>
            <w:vAlign w:val="center"/>
          </w:tcPr>
          <w:p w14:paraId="3EA2D700">
            <w:pPr>
              <w:widowControl w:val="0"/>
              <w:spacing w:line="360" w:lineRule="exact"/>
              <w:jc w:val="center"/>
              <w:rPr>
                <w:rFonts w:cs="宋体"/>
                <w:color w:val="auto"/>
                <w:sz w:val="21"/>
                <w:szCs w:val="21"/>
              </w:rPr>
            </w:pPr>
            <w:r>
              <w:rPr>
                <w:color w:val="auto"/>
                <w:sz w:val="21"/>
                <w:szCs w:val="21"/>
              </w:rPr>
              <w:t>0.</w:t>
            </w:r>
            <w:r>
              <w:rPr>
                <w:rFonts w:hint="eastAsia"/>
                <w:color w:val="auto"/>
                <w:sz w:val="21"/>
                <w:szCs w:val="21"/>
              </w:rPr>
              <w:t>632</w:t>
            </w:r>
          </w:p>
        </w:tc>
        <w:tc>
          <w:tcPr>
            <w:tcW w:w="1018" w:type="pct"/>
            <w:vAlign w:val="center"/>
          </w:tcPr>
          <w:p w14:paraId="081EFF42">
            <w:pPr>
              <w:widowControl w:val="0"/>
              <w:spacing w:line="360" w:lineRule="exact"/>
              <w:jc w:val="center"/>
              <w:rPr>
                <w:rFonts w:cs="宋体"/>
                <w:color w:val="auto"/>
                <w:sz w:val="21"/>
                <w:szCs w:val="21"/>
              </w:rPr>
            </w:pPr>
          </w:p>
        </w:tc>
      </w:tr>
      <w:tr w14:paraId="2E0E60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08A037C">
            <w:pPr>
              <w:widowControl w:val="0"/>
              <w:spacing w:line="360" w:lineRule="exact"/>
              <w:jc w:val="center"/>
              <w:rPr>
                <w:rFonts w:cs="宋体"/>
                <w:color w:val="auto"/>
                <w:sz w:val="21"/>
                <w:szCs w:val="21"/>
              </w:rPr>
            </w:pPr>
            <w:r>
              <w:rPr>
                <w:rFonts w:hint="eastAsia" w:cs="宋体"/>
                <w:color w:val="auto"/>
                <w:sz w:val="21"/>
                <w:szCs w:val="21"/>
              </w:rPr>
              <w:t>2</w:t>
            </w:r>
          </w:p>
        </w:tc>
        <w:tc>
          <w:tcPr>
            <w:tcW w:w="1917" w:type="pct"/>
            <w:vAlign w:val="center"/>
          </w:tcPr>
          <w:p w14:paraId="59B487FC">
            <w:pPr>
              <w:widowControl w:val="0"/>
              <w:spacing w:line="360" w:lineRule="exact"/>
              <w:jc w:val="center"/>
              <w:rPr>
                <w:rFonts w:cs="宋体"/>
                <w:color w:val="auto"/>
                <w:sz w:val="21"/>
                <w:szCs w:val="21"/>
              </w:rPr>
            </w:pPr>
            <w:r>
              <w:rPr>
                <w:rFonts w:hint="eastAsia" w:cs="宋体"/>
                <w:color w:val="auto"/>
                <w:sz w:val="21"/>
                <w:szCs w:val="21"/>
              </w:rPr>
              <w:t>废水</w:t>
            </w:r>
          </w:p>
        </w:tc>
        <w:tc>
          <w:tcPr>
            <w:tcW w:w="652" w:type="pct"/>
            <w:vAlign w:val="center"/>
          </w:tcPr>
          <w:p w14:paraId="7DD1A383">
            <w:pPr>
              <w:widowControl w:val="0"/>
              <w:spacing w:line="360" w:lineRule="exact"/>
              <w:jc w:val="center"/>
              <w:rPr>
                <w:rFonts w:cs="宋体"/>
                <w:color w:val="auto"/>
                <w:sz w:val="21"/>
                <w:szCs w:val="21"/>
              </w:rPr>
            </w:pPr>
          </w:p>
        </w:tc>
        <w:tc>
          <w:tcPr>
            <w:tcW w:w="976" w:type="pct"/>
            <w:vAlign w:val="center"/>
          </w:tcPr>
          <w:p w14:paraId="6E7AD80A">
            <w:pPr>
              <w:widowControl w:val="0"/>
              <w:spacing w:line="360" w:lineRule="exact"/>
              <w:jc w:val="center"/>
              <w:rPr>
                <w:rFonts w:cs="宋体"/>
                <w:color w:val="auto"/>
                <w:sz w:val="21"/>
                <w:szCs w:val="21"/>
              </w:rPr>
            </w:pPr>
          </w:p>
        </w:tc>
        <w:tc>
          <w:tcPr>
            <w:tcW w:w="1018" w:type="pct"/>
            <w:vAlign w:val="center"/>
          </w:tcPr>
          <w:p w14:paraId="79BEF6C8">
            <w:pPr>
              <w:widowControl w:val="0"/>
              <w:spacing w:line="360" w:lineRule="exact"/>
              <w:jc w:val="center"/>
              <w:rPr>
                <w:rFonts w:cs="宋体"/>
                <w:color w:val="auto"/>
                <w:sz w:val="21"/>
                <w:szCs w:val="21"/>
              </w:rPr>
            </w:pPr>
          </w:p>
        </w:tc>
      </w:tr>
      <w:tr w14:paraId="0CFB83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7891375F">
            <w:pPr>
              <w:widowControl w:val="0"/>
              <w:spacing w:line="360" w:lineRule="exact"/>
              <w:jc w:val="center"/>
              <w:rPr>
                <w:rFonts w:cs="宋体"/>
                <w:color w:val="auto"/>
                <w:sz w:val="21"/>
                <w:szCs w:val="21"/>
              </w:rPr>
            </w:pPr>
            <w:r>
              <w:rPr>
                <w:rFonts w:hint="eastAsia" w:cs="宋体"/>
                <w:color w:val="auto"/>
                <w:sz w:val="21"/>
                <w:szCs w:val="21"/>
              </w:rPr>
              <w:t>2.1</w:t>
            </w:r>
          </w:p>
        </w:tc>
        <w:tc>
          <w:tcPr>
            <w:tcW w:w="1917" w:type="pct"/>
            <w:vAlign w:val="center"/>
          </w:tcPr>
          <w:p w14:paraId="760629B3">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废水量</w:t>
            </w:r>
          </w:p>
        </w:tc>
        <w:tc>
          <w:tcPr>
            <w:tcW w:w="652" w:type="pct"/>
            <w:vAlign w:val="center"/>
          </w:tcPr>
          <w:p w14:paraId="657AB156">
            <w:pPr>
              <w:widowControl w:val="0"/>
              <w:spacing w:line="360" w:lineRule="exact"/>
              <w:jc w:val="center"/>
              <w:rPr>
                <w:rFonts w:cs="宋体"/>
                <w:color w:val="auto"/>
                <w:sz w:val="21"/>
                <w:szCs w:val="21"/>
              </w:rPr>
            </w:pPr>
            <w:r>
              <w:rPr>
                <w:rFonts w:eastAsia="Times New Roman"/>
                <w:color w:val="auto"/>
                <w:sz w:val="21"/>
                <w:szCs w:val="21"/>
              </w:rPr>
              <w:t>m</w:t>
            </w:r>
            <w:r>
              <w:rPr>
                <w:rFonts w:eastAsia="Times New Roman"/>
                <w:color w:val="auto"/>
                <w:sz w:val="21"/>
                <w:szCs w:val="21"/>
                <w:vertAlign w:val="superscript"/>
              </w:rPr>
              <w:t>3</w:t>
            </w:r>
            <w:r>
              <w:rPr>
                <w:rFonts w:eastAsia="Times New Roman"/>
                <w:color w:val="auto"/>
                <w:sz w:val="21"/>
                <w:szCs w:val="21"/>
              </w:rPr>
              <w:t>/a</w:t>
            </w:r>
          </w:p>
        </w:tc>
        <w:tc>
          <w:tcPr>
            <w:tcW w:w="976" w:type="pct"/>
            <w:vAlign w:val="center"/>
          </w:tcPr>
          <w:p w14:paraId="2EF20D14">
            <w:pPr>
              <w:widowControl w:val="0"/>
              <w:spacing w:line="360" w:lineRule="exact"/>
              <w:jc w:val="center"/>
              <w:rPr>
                <w:rFonts w:cs="宋体"/>
                <w:color w:val="auto"/>
                <w:sz w:val="21"/>
                <w:szCs w:val="21"/>
              </w:rPr>
            </w:pPr>
            <w:r>
              <w:rPr>
                <w:rFonts w:eastAsia="Times New Roman"/>
                <w:color w:val="auto"/>
                <w:sz w:val="21"/>
                <w:szCs w:val="21"/>
              </w:rPr>
              <w:t>38960</w:t>
            </w:r>
          </w:p>
        </w:tc>
        <w:tc>
          <w:tcPr>
            <w:tcW w:w="1018" w:type="pct"/>
            <w:vAlign w:val="center"/>
          </w:tcPr>
          <w:p w14:paraId="16EC9421">
            <w:pPr>
              <w:widowControl w:val="0"/>
              <w:spacing w:line="360" w:lineRule="exact"/>
              <w:jc w:val="center"/>
              <w:rPr>
                <w:rFonts w:cs="宋体"/>
                <w:color w:val="auto"/>
                <w:sz w:val="21"/>
                <w:szCs w:val="21"/>
              </w:rPr>
            </w:pPr>
          </w:p>
        </w:tc>
      </w:tr>
      <w:tr w14:paraId="0795BB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8035E1F">
            <w:pPr>
              <w:widowControl w:val="0"/>
              <w:spacing w:line="360" w:lineRule="exact"/>
              <w:jc w:val="center"/>
              <w:rPr>
                <w:rFonts w:cs="宋体"/>
                <w:color w:val="auto"/>
                <w:sz w:val="21"/>
                <w:szCs w:val="21"/>
              </w:rPr>
            </w:pPr>
            <w:r>
              <w:rPr>
                <w:rFonts w:hint="eastAsia" w:cs="宋体"/>
                <w:color w:val="auto"/>
                <w:sz w:val="21"/>
                <w:szCs w:val="21"/>
              </w:rPr>
              <w:t>2.2</w:t>
            </w:r>
          </w:p>
        </w:tc>
        <w:tc>
          <w:tcPr>
            <w:tcW w:w="1917" w:type="pct"/>
            <w:vAlign w:val="center"/>
          </w:tcPr>
          <w:p w14:paraId="243EA39B">
            <w:pPr>
              <w:widowControl w:val="0"/>
              <w:spacing w:line="360" w:lineRule="exact"/>
              <w:jc w:val="center"/>
              <w:rPr>
                <w:rFonts w:cs="宋体"/>
                <w:color w:val="auto"/>
                <w:sz w:val="21"/>
                <w:szCs w:val="21"/>
              </w:rPr>
            </w:pPr>
            <w:r>
              <w:rPr>
                <w:rFonts w:eastAsia="Times New Roman"/>
                <w:color w:val="auto"/>
                <w:sz w:val="21"/>
                <w:szCs w:val="21"/>
              </w:rPr>
              <w:t>COD</w:t>
            </w:r>
          </w:p>
        </w:tc>
        <w:tc>
          <w:tcPr>
            <w:tcW w:w="652" w:type="pct"/>
            <w:vAlign w:val="center"/>
          </w:tcPr>
          <w:p w14:paraId="12172AB5">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1DCE1A7A">
            <w:pPr>
              <w:widowControl w:val="0"/>
              <w:spacing w:line="360" w:lineRule="exact"/>
              <w:jc w:val="center"/>
              <w:rPr>
                <w:rFonts w:cs="宋体"/>
                <w:color w:val="auto"/>
                <w:sz w:val="21"/>
                <w:szCs w:val="21"/>
              </w:rPr>
            </w:pPr>
            <w:r>
              <w:rPr>
                <w:rFonts w:eastAsia="Times New Roman"/>
                <w:color w:val="auto"/>
                <w:sz w:val="21"/>
                <w:szCs w:val="21"/>
              </w:rPr>
              <w:t>1.451</w:t>
            </w:r>
          </w:p>
        </w:tc>
        <w:tc>
          <w:tcPr>
            <w:tcW w:w="1018" w:type="pct"/>
            <w:vAlign w:val="center"/>
          </w:tcPr>
          <w:p w14:paraId="06DA810E">
            <w:pPr>
              <w:widowControl w:val="0"/>
              <w:spacing w:line="360" w:lineRule="exact"/>
              <w:jc w:val="center"/>
              <w:rPr>
                <w:rFonts w:cs="宋体"/>
                <w:color w:val="auto"/>
                <w:sz w:val="21"/>
                <w:szCs w:val="21"/>
              </w:rPr>
            </w:pPr>
          </w:p>
        </w:tc>
      </w:tr>
      <w:tr w14:paraId="3E79D3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648ABF3">
            <w:pPr>
              <w:widowControl w:val="0"/>
              <w:spacing w:line="360" w:lineRule="exact"/>
              <w:jc w:val="center"/>
              <w:rPr>
                <w:rFonts w:cs="宋体"/>
                <w:color w:val="auto"/>
                <w:sz w:val="21"/>
                <w:szCs w:val="21"/>
              </w:rPr>
            </w:pPr>
            <w:r>
              <w:rPr>
                <w:rFonts w:hint="eastAsia" w:cs="宋体"/>
                <w:color w:val="auto"/>
                <w:sz w:val="21"/>
                <w:szCs w:val="21"/>
              </w:rPr>
              <w:t>2.3</w:t>
            </w:r>
          </w:p>
        </w:tc>
        <w:tc>
          <w:tcPr>
            <w:tcW w:w="1917" w:type="pct"/>
            <w:vAlign w:val="center"/>
          </w:tcPr>
          <w:p w14:paraId="7CF944B1">
            <w:pPr>
              <w:widowControl w:val="0"/>
              <w:spacing w:line="360" w:lineRule="exact"/>
              <w:jc w:val="center"/>
              <w:rPr>
                <w:rFonts w:cs="宋体"/>
                <w:color w:val="auto"/>
                <w:sz w:val="21"/>
                <w:szCs w:val="21"/>
              </w:rPr>
            </w:pPr>
            <w:r>
              <w:rPr>
                <w:rFonts w:eastAsia="Times New Roman"/>
                <w:color w:val="auto"/>
                <w:sz w:val="21"/>
                <w:szCs w:val="21"/>
              </w:rPr>
              <w:t>BOD</w:t>
            </w:r>
          </w:p>
        </w:tc>
        <w:tc>
          <w:tcPr>
            <w:tcW w:w="652" w:type="pct"/>
            <w:vAlign w:val="center"/>
          </w:tcPr>
          <w:p w14:paraId="01CD3C15">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398695D2">
            <w:pPr>
              <w:widowControl w:val="0"/>
              <w:spacing w:line="360" w:lineRule="exact"/>
              <w:jc w:val="center"/>
              <w:rPr>
                <w:rFonts w:cs="宋体"/>
                <w:color w:val="auto"/>
                <w:sz w:val="21"/>
                <w:szCs w:val="21"/>
              </w:rPr>
            </w:pPr>
            <w:r>
              <w:rPr>
                <w:rFonts w:eastAsia="Times New Roman"/>
                <w:color w:val="auto"/>
                <w:sz w:val="21"/>
                <w:szCs w:val="21"/>
              </w:rPr>
              <w:t>0.36</w:t>
            </w:r>
          </w:p>
        </w:tc>
        <w:tc>
          <w:tcPr>
            <w:tcW w:w="1018" w:type="pct"/>
            <w:vAlign w:val="center"/>
          </w:tcPr>
          <w:p w14:paraId="7B2E68DD">
            <w:pPr>
              <w:widowControl w:val="0"/>
              <w:spacing w:line="360" w:lineRule="exact"/>
              <w:jc w:val="center"/>
              <w:rPr>
                <w:rFonts w:cs="宋体"/>
                <w:color w:val="auto"/>
                <w:sz w:val="21"/>
                <w:szCs w:val="21"/>
              </w:rPr>
            </w:pPr>
          </w:p>
        </w:tc>
      </w:tr>
      <w:tr w14:paraId="008C1CF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2AF1C0F">
            <w:pPr>
              <w:widowControl w:val="0"/>
              <w:spacing w:line="360" w:lineRule="exact"/>
              <w:jc w:val="center"/>
              <w:rPr>
                <w:rFonts w:cs="宋体"/>
                <w:color w:val="auto"/>
                <w:sz w:val="21"/>
                <w:szCs w:val="21"/>
              </w:rPr>
            </w:pPr>
            <w:r>
              <w:rPr>
                <w:rFonts w:hint="eastAsia" w:cs="宋体"/>
                <w:color w:val="auto"/>
                <w:sz w:val="21"/>
                <w:szCs w:val="21"/>
              </w:rPr>
              <w:t>2.4</w:t>
            </w:r>
          </w:p>
        </w:tc>
        <w:tc>
          <w:tcPr>
            <w:tcW w:w="1917" w:type="pct"/>
            <w:vAlign w:val="center"/>
          </w:tcPr>
          <w:p w14:paraId="72D453E5">
            <w:pPr>
              <w:widowControl w:val="0"/>
              <w:spacing w:line="360" w:lineRule="exact"/>
              <w:jc w:val="center"/>
              <w:rPr>
                <w:rFonts w:cs="宋体"/>
                <w:color w:val="auto"/>
                <w:sz w:val="21"/>
                <w:szCs w:val="21"/>
              </w:rPr>
            </w:pPr>
            <w:r>
              <w:rPr>
                <w:rFonts w:eastAsia="Times New Roman"/>
                <w:color w:val="auto"/>
                <w:sz w:val="21"/>
                <w:szCs w:val="21"/>
              </w:rPr>
              <w:t>SS</w:t>
            </w:r>
          </w:p>
        </w:tc>
        <w:tc>
          <w:tcPr>
            <w:tcW w:w="652" w:type="pct"/>
            <w:vAlign w:val="center"/>
          </w:tcPr>
          <w:p w14:paraId="56A38056">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597F3EBA">
            <w:pPr>
              <w:widowControl w:val="0"/>
              <w:spacing w:line="360" w:lineRule="exact"/>
              <w:jc w:val="center"/>
              <w:rPr>
                <w:rFonts w:cs="宋体"/>
                <w:color w:val="auto"/>
                <w:sz w:val="21"/>
                <w:szCs w:val="21"/>
              </w:rPr>
            </w:pPr>
            <w:r>
              <w:rPr>
                <w:rFonts w:eastAsia="Times New Roman"/>
                <w:color w:val="auto"/>
                <w:sz w:val="21"/>
                <w:szCs w:val="21"/>
              </w:rPr>
              <w:t>1.20</w:t>
            </w:r>
          </w:p>
        </w:tc>
        <w:tc>
          <w:tcPr>
            <w:tcW w:w="1018" w:type="pct"/>
            <w:vAlign w:val="center"/>
          </w:tcPr>
          <w:p w14:paraId="01965D76">
            <w:pPr>
              <w:widowControl w:val="0"/>
              <w:spacing w:line="360" w:lineRule="exact"/>
              <w:jc w:val="center"/>
              <w:rPr>
                <w:rFonts w:cs="宋体"/>
                <w:color w:val="auto"/>
                <w:sz w:val="21"/>
                <w:szCs w:val="21"/>
              </w:rPr>
            </w:pPr>
          </w:p>
        </w:tc>
      </w:tr>
      <w:tr w14:paraId="76CE2B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A3FB97A">
            <w:pPr>
              <w:widowControl w:val="0"/>
              <w:spacing w:line="360" w:lineRule="exact"/>
              <w:jc w:val="center"/>
              <w:rPr>
                <w:rFonts w:cs="宋体"/>
                <w:color w:val="auto"/>
                <w:sz w:val="21"/>
                <w:szCs w:val="21"/>
              </w:rPr>
            </w:pPr>
            <w:r>
              <w:rPr>
                <w:rFonts w:hint="eastAsia" w:cs="宋体"/>
                <w:color w:val="auto"/>
                <w:sz w:val="21"/>
                <w:szCs w:val="21"/>
              </w:rPr>
              <w:t>2.5</w:t>
            </w:r>
          </w:p>
        </w:tc>
        <w:tc>
          <w:tcPr>
            <w:tcW w:w="1917" w:type="pct"/>
            <w:vAlign w:val="center"/>
          </w:tcPr>
          <w:p w14:paraId="19BB2D76">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氨氮</w:t>
            </w:r>
          </w:p>
        </w:tc>
        <w:tc>
          <w:tcPr>
            <w:tcW w:w="652" w:type="pct"/>
            <w:vAlign w:val="center"/>
          </w:tcPr>
          <w:p w14:paraId="3CCBD289">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7258989D">
            <w:pPr>
              <w:widowControl w:val="0"/>
              <w:spacing w:line="360" w:lineRule="exact"/>
              <w:jc w:val="center"/>
              <w:rPr>
                <w:rFonts w:cs="宋体"/>
                <w:color w:val="auto"/>
                <w:sz w:val="21"/>
                <w:szCs w:val="21"/>
              </w:rPr>
            </w:pPr>
            <w:r>
              <w:rPr>
                <w:rFonts w:eastAsia="Times New Roman"/>
                <w:color w:val="auto"/>
                <w:sz w:val="21"/>
                <w:szCs w:val="21"/>
              </w:rPr>
              <w:t>0.07</w:t>
            </w:r>
          </w:p>
        </w:tc>
        <w:tc>
          <w:tcPr>
            <w:tcW w:w="1018" w:type="pct"/>
            <w:vAlign w:val="center"/>
          </w:tcPr>
          <w:p w14:paraId="4BE3A217">
            <w:pPr>
              <w:widowControl w:val="0"/>
              <w:spacing w:line="360" w:lineRule="exact"/>
              <w:jc w:val="center"/>
              <w:rPr>
                <w:rFonts w:cs="宋体"/>
                <w:color w:val="auto"/>
                <w:sz w:val="21"/>
                <w:szCs w:val="21"/>
              </w:rPr>
            </w:pPr>
          </w:p>
        </w:tc>
      </w:tr>
      <w:tr w14:paraId="33BC1C5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E5F950A">
            <w:pPr>
              <w:widowControl w:val="0"/>
              <w:spacing w:line="360" w:lineRule="exact"/>
              <w:jc w:val="center"/>
              <w:rPr>
                <w:rFonts w:cs="宋体"/>
                <w:color w:val="auto"/>
                <w:sz w:val="21"/>
                <w:szCs w:val="21"/>
              </w:rPr>
            </w:pPr>
            <w:r>
              <w:rPr>
                <w:rFonts w:hint="eastAsia" w:cs="宋体"/>
                <w:color w:val="auto"/>
                <w:sz w:val="21"/>
                <w:szCs w:val="21"/>
              </w:rPr>
              <w:t>2.6</w:t>
            </w:r>
          </w:p>
        </w:tc>
        <w:tc>
          <w:tcPr>
            <w:tcW w:w="1917" w:type="pct"/>
            <w:vAlign w:val="center"/>
          </w:tcPr>
          <w:p w14:paraId="13E594D9">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总磷</w:t>
            </w:r>
          </w:p>
        </w:tc>
        <w:tc>
          <w:tcPr>
            <w:tcW w:w="652" w:type="pct"/>
            <w:vAlign w:val="center"/>
          </w:tcPr>
          <w:p w14:paraId="698C181B">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3E85A464">
            <w:pPr>
              <w:widowControl w:val="0"/>
              <w:spacing w:line="360" w:lineRule="exact"/>
              <w:jc w:val="center"/>
              <w:rPr>
                <w:rFonts w:cs="宋体"/>
                <w:color w:val="auto"/>
                <w:sz w:val="21"/>
                <w:szCs w:val="21"/>
              </w:rPr>
            </w:pPr>
            <w:r>
              <w:rPr>
                <w:rFonts w:eastAsia="Times New Roman"/>
                <w:color w:val="auto"/>
                <w:sz w:val="21"/>
                <w:szCs w:val="21"/>
              </w:rPr>
              <w:t>0.01</w:t>
            </w:r>
          </w:p>
        </w:tc>
        <w:tc>
          <w:tcPr>
            <w:tcW w:w="1018" w:type="pct"/>
            <w:vAlign w:val="center"/>
          </w:tcPr>
          <w:p w14:paraId="28006F57">
            <w:pPr>
              <w:widowControl w:val="0"/>
              <w:spacing w:line="360" w:lineRule="exact"/>
              <w:jc w:val="center"/>
              <w:rPr>
                <w:rFonts w:cs="宋体"/>
                <w:color w:val="auto"/>
                <w:sz w:val="21"/>
                <w:szCs w:val="21"/>
              </w:rPr>
            </w:pPr>
          </w:p>
        </w:tc>
      </w:tr>
      <w:tr w14:paraId="7675C3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2993217">
            <w:pPr>
              <w:widowControl w:val="0"/>
              <w:spacing w:line="360" w:lineRule="exact"/>
              <w:jc w:val="center"/>
              <w:rPr>
                <w:rFonts w:cs="宋体"/>
                <w:color w:val="auto"/>
                <w:sz w:val="21"/>
                <w:szCs w:val="21"/>
              </w:rPr>
            </w:pPr>
            <w:r>
              <w:rPr>
                <w:rFonts w:hint="eastAsia" w:cs="宋体"/>
                <w:color w:val="auto"/>
                <w:sz w:val="21"/>
                <w:szCs w:val="21"/>
              </w:rPr>
              <w:t>2.7</w:t>
            </w:r>
          </w:p>
        </w:tc>
        <w:tc>
          <w:tcPr>
            <w:tcW w:w="1917" w:type="pct"/>
            <w:vAlign w:val="center"/>
          </w:tcPr>
          <w:p w14:paraId="5A23846E">
            <w:pPr>
              <w:widowControl w:val="0"/>
              <w:spacing w:line="360" w:lineRule="exact"/>
              <w:jc w:val="center"/>
              <w:rPr>
                <w:rFonts w:cs="宋体"/>
                <w:color w:val="auto"/>
                <w:sz w:val="21"/>
                <w:szCs w:val="21"/>
              </w:rPr>
            </w:pPr>
            <w:r>
              <w:rPr>
                <w:rFonts w:hint="eastAsia" w:ascii="宋体" w:hAnsi="宋体" w:eastAsia="Times New Roman" w:cs="宋体"/>
                <w:color w:val="auto"/>
                <w:sz w:val="21"/>
                <w:szCs w:val="21"/>
              </w:rPr>
              <w:t>总氮</w:t>
            </w:r>
          </w:p>
        </w:tc>
        <w:tc>
          <w:tcPr>
            <w:tcW w:w="652" w:type="pct"/>
            <w:vAlign w:val="center"/>
          </w:tcPr>
          <w:p w14:paraId="1F9C5544">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4B7FDB5B">
            <w:pPr>
              <w:widowControl w:val="0"/>
              <w:spacing w:line="360" w:lineRule="exact"/>
              <w:jc w:val="center"/>
              <w:rPr>
                <w:rFonts w:cs="宋体"/>
                <w:color w:val="auto"/>
                <w:sz w:val="21"/>
                <w:szCs w:val="21"/>
              </w:rPr>
            </w:pPr>
            <w:r>
              <w:rPr>
                <w:rFonts w:eastAsia="Times New Roman"/>
                <w:color w:val="auto"/>
                <w:sz w:val="21"/>
                <w:szCs w:val="21"/>
              </w:rPr>
              <w:t>0.12</w:t>
            </w:r>
          </w:p>
        </w:tc>
        <w:tc>
          <w:tcPr>
            <w:tcW w:w="1018" w:type="pct"/>
            <w:vAlign w:val="center"/>
          </w:tcPr>
          <w:p w14:paraId="030F211B">
            <w:pPr>
              <w:widowControl w:val="0"/>
              <w:spacing w:line="360" w:lineRule="exact"/>
              <w:jc w:val="center"/>
              <w:rPr>
                <w:rFonts w:cs="宋体"/>
                <w:color w:val="auto"/>
                <w:sz w:val="21"/>
                <w:szCs w:val="21"/>
              </w:rPr>
            </w:pPr>
          </w:p>
        </w:tc>
      </w:tr>
      <w:tr w14:paraId="7BAF68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EDEC186">
            <w:pPr>
              <w:widowControl w:val="0"/>
              <w:spacing w:line="360" w:lineRule="exact"/>
              <w:jc w:val="center"/>
              <w:rPr>
                <w:rFonts w:cs="宋体"/>
                <w:color w:val="auto"/>
                <w:sz w:val="21"/>
                <w:szCs w:val="21"/>
              </w:rPr>
            </w:pPr>
            <w:r>
              <w:rPr>
                <w:rFonts w:hint="eastAsia" w:cs="宋体"/>
                <w:color w:val="auto"/>
                <w:sz w:val="21"/>
                <w:szCs w:val="21"/>
              </w:rPr>
              <w:t>3</w:t>
            </w:r>
          </w:p>
        </w:tc>
        <w:tc>
          <w:tcPr>
            <w:tcW w:w="1917" w:type="pct"/>
            <w:vAlign w:val="center"/>
          </w:tcPr>
          <w:p w14:paraId="62B2E78D">
            <w:pPr>
              <w:widowControl w:val="0"/>
              <w:spacing w:line="360" w:lineRule="exact"/>
              <w:jc w:val="center"/>
              <w:rPr>
                <w:rFonts w:cs="宋体"/>
                <w:color w:val="auto"/>
                <w:sz w:val="21"/>
                <w:szCs w:val="21"/>
              </w:rPr>
            </w:pPr>
            <w:r>
              <w:rPr>
                <w:rFonts w:hint="eastAsia" w:cs="宋体"/>
                <w:color w:val="auto"/>
                <w:sz w:val="21"/>
                <w:szCs w:val="21"/>
              </w:rPr>
              <w:t>固体废物（产生量）</w:t>
            </w:r>
          </w:p>
        </w:tc>
        <w:tc>
          <w:tcPr>
            <w:tcW w:w="652" w:type="pct"/>
            <w:vAlign w:val="center"/>
          </w:tcPr>
          <w:p w14:paraId="0469FD12">
            <w:pPr>
              <w:widowControl w:val="0"/>
              <w:spacing w:line="360" w:lineRule="exact"/>
              <w:jc w:val="center"/>
              <w:rPr>
                <w:rFonts w:cs="宋体"/>
                <w:color w:val="auto"/>
                <w:sz w:val="21"/>
                <w:szCs w:val="21"/>
              </w:rPr>
            </w:pPr>
            <w:r>
              <w:rPr>
                <w:rFonts w:eastAsia="Times New Roman"/>
                <w:color w:val="auto"/>
                <w:sz w:val="21"/>
                <w:szCs w:val="21"/>
              </w:rPr>
              <w:t>t/a</w:t>
            </w:r>
          </w:p>
        </w:tc>
        <w:tc>
          <w:tcPr>
            <w:tcW w:w="976" w:type="pct"/>
            <w:vAlign w:val="center"/>
          </w:tcPr>
          <w:p w14:paraId="711E3DC7">
            <w:pPr>
              <w:widowControl w:val="0"/>
              <w:spacing w:line="360" w:lineRule="exact"/>
              <w:jc w:val="center"/>
              <w:rPr>
                <w:rFonts w:cs="宋体"/>
                <w:color w:val="auto"/>
                <w:sz w:val="21"/>
                <w:szCs w:val="21"/>
              </w:rPr>
            </w:pPr>
            <w:r>
              <w:rPr>
                <w:rFonts w:hint="eastAsia" w:cs="宋体"/>
                <w:color w:val="auto"/>
                <w:sz w:val="21"/>
                <w:szCs w:val="21"/>
              </w:rPr>
              <w:t>33.55</w:t>
            </w:r>
          </w:p>
        </w:tc>
        <w:tc>
          <w:tcPr>
            <w:tcW w:w="1018" w:type="pct"/>
            <w:vAlign w:val="center"/>
          </w:tcPr>
          <w:p w14:paraId="3034FBDF">
            <w:pPr>
              <w:widowControl w:val="0"/>
              <w:spacing w:line="360" w:lineRule="exact"/>
              <w:jc w:val="center"/>
              <w:rPr>
                <w:rFonts w:cs="宋体"/>
                <w:color w:val="auto"/>
                <w:sz w:val="21"/>
                <w:szCs w:val="21"/>
              </w:rPr>
            </w:pPr>
          </w:p>
        </w:tc>
      </w:tr>
      <w:tr w14:paraId="1F81E2F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33BD80C">
            <w:pPr>
              <w:widowControl w:val="0"/>
              <w:spacing w:line="360" w:lineRule="exact"/>
              <w:jc w:val="center"/>
              <w:rPr>
                <w:rFonts w:cs="宋体"/>
                <w:color w:val="auto"/>
                <w:sz w:val="21"/>
                <w:szCs w:val="21"/>
              </w:rPr>
            </w:pPr>
            <w:r>
              <w:rPr>
                <w:color w:val="auto"/>
                <w:sz w:val="21"/>
                <w:szCs w:val="21"/>
              </w:rPr>
              <w:t>八</w:t>
            </w:r>
          </w:p>
        </w:tc>
        <w:tc>
          <w:tcPr>
            <w:tcW w:w="1917" w:type="pct"/>
            <w:vAlign w:val="center"/>
          </w:tcPr>
          <w:p w14:paraId="79DBEE3E">
            <w:pPr>
              <w:widowControl w:val="0"/>
              <w:spacing w:line="360" w:lineRule="exact"/>
              <w:jc w:val="center"/>
              <w:rPr>
                <w:rFonts w:cs="宋体"/>
                <w:color w:val="auto"/>
                <w:sz w:val="21"/>
                <w:szCs w:val="21"/>
              </w:rPr>
            </w:pPr>
            <w:r>
              <w:rPr>
                <w:color w:val="auto"/>
                <w:sz w:val="21"/>
                <w:szCs w:val="21"/>
              </w:rPr>
              <w:t>全厂定员</w:t>
            </w:r>
          </w:p>
        </w:tc>
        <w:tc>
          <w:tcPr>
            <w:tcW w:w="652" w:type="pct"/>
            <w:vAlign w:val="center"/>
          </w:tcPr>
          <w:p w14:paraId="054FAEF9">
            <w:pPr>
              <w:widowControl w:val="0"/>
              <w:spacing w:line="360" w:lineRule="exact"/>
              <w:jc w:val="center"/>
              <w:rPr>
                <w:rFonts w:cs="宋体"/>
                <w:color w:val="auto"/>
                <w:sz w:val="21"/>
                <w:szCs w:val="21"/>
              </w:rPr>
            </w:pPr>
          </w:p>
        </w:tc>
        <w:tc>
          <w:tcPr>
            <w:tcW w:w="976" w:type="pct"/>
            <w:vAlign w:val="center"/>
          </w:tcPr>
          <w:p w14:paraId="5CF8300A">
            <w:pPr>
              <w:widowControl w:val="0"/>
              <w:spacing w:line="360" w:lineRule="exact"/>
              <w:jc w:val="center"/>
              <w:rPr>
                <w:rFonts w:cs="宋体"/>
                <w:color w:val="auto"/>
                <w:sz w:val="21"/>
                <w:szCs w:val="21"/>
              </w:rPr>
            </w:pPr>
            <w:r>
              <w:rPr>
                <w:rFonts w:hint="eastAsia" w:cs="宋体"/>
                <w:color w:val="auto"/>
                <w:sz w:val="21"/>
                <w:szCs w:val="21"/>
              </w:rPr>
              <w:t>90</w:t>
            </w:r>
          </w:p>
        </w:tc>
        <w:tc>
          <w:tcPr>
            <w:tcW w:w="1018" w:type="pct"/>
            <w:vAlign w:val="center"/>
          </w:tcPr>
          <w:p w14:paraId="3857E891">
            <w:pPr>
              <w:widowControl w:val="0"/>
              <w:spacing w:line="360" w:lineRule="exact"/>
              <w:jc w:val="center"/>
              <w:rPr>
                <w:rFonts w:cs="宋体"/>
                <w:color w:val="auto"/>
                <w:sz w:val="21"/>
                <w:szCs w:val="21"/>
              </w:rPr>
            </w:pPr>
          </w:p>
        </w:tc>
      </w:tr>
      <w:tr w14:paraId="5C3C3E4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4ECBA81">
            <w:pPr>
              <w:widowControl w:val="0"/>
              <w:spacing w:line="360" w:lineRule="exact"/>
              <w:jc w:val="center"/>
              <w:rPr>
                <w:rFonts w:cs="宋体"/>
                <w:color w:val="auto"/>
                <w:sz w:val="21"/>
                <w:szCs w:val="21"/>
              </w:rPr>
            </w:pPr>
            <w:r>
              <w:rPr>
                <w:color w:val="auto"/>
                <w:sz w:val="21"/>
                <w:szCs w:val="21"/>
              </w:rPr>
              <w:t>九</w:t>
            </w:r>
          </w:p>
        </w:tc>
        <w:tc>
          <w:tcPr>
            <w:tcW w:w="1917" w:type="pct"/>
            <w:vAlign w:val="center"/>
          </w:tcPr>
          <w:p w14:paraId="18BBB71D">
            <w:pPr>
              <w:widowControl w:val="0"/>
              <w:spacing w:line="360" w:lineRule="exact"/>
              <w:jc w:val="center"/>
              <w:rPr>
                <w:rFonts w:cs="宋体"/>
                <w:color w:val="auto"/>
                <w:sz w:val="21"/>
                <w:szCs w:val="21"/>
              </w:rPr>
            </w:pPr>
            <w:r>
              <w:rPr>
                <w:color w:val="auto"/>
                <w:sz w:val="21"/>
                <w:szCs w:val="21"/>
              </w:rPr>
              <w:t>总占地面积</w:t>
            </w:r>
          </w:p>
        </w:tc>
        <w:tc>
          <w:tcPr>
            <w:tcW w:w="652" w:type="pct"/>
            <w:vAlign w:val="center"/>
          </w:tcPr>
          <w:p w14:paraId="746C9B9D">
            <w:pPr>
              <w:widowControl w:val="0"/>
              <w:spacing w:line="360" w:lineRule="exact"/>
              <w:jc w:val="center"/>
              <w:rPr>
                <w:rFonts w:cs="宋体"/>
                <w:color w:val="auto"/>
                <w:sz w:val="21"/>
                <w:szCs w:val="21"/>
              </w:rPr>
            </w:pPr>
          </w:p>
        </w:tc>
        <w:tc>
          <w:tcPr>
            <w:tcW w:w="976" w:type="pct"/>
            <w:vAlign w:val="center"/>
          </w:tcPr>
          <w:p w14:paraId="059ACC33">
            <w:pPr>
              <w:widowControl w:val="0"/>
              <w:spacing w:line="360" w:lineRule="exact"/>
              <w:jc w:val="center"/>
              <w:rPr>
                <w:rFonts w:cs="宋体"/>
                <w:color w:val="auto"/>
                <w:sz w:val="21"/>
                <w:szCs w:val="21"/>
              </w:rPr>
            </w:pPr>
          </w:p>
        </w:tc>
        <w:tc>
          <w:tcPr>
            <w:tcW w:w="1018" w:type="pct"/>
            <w:vAlign w:val="center"/>
          </w:tcPr>
          <w:p w14:paraId="1E98853D">
            <w:pPr>
              <w:widowControl w:val="0"/>
              <w:spacing w:line="360" w:lineRule="exact"/>
              <w:jc w:val="center"/>
              <w:rPr>
                <w:rFonts w:cs="宋体"/>
                <w:color w:val="auto"/>
                <w:sz w:val="21"/>
                <w:szCs w:val="21"/>
              </w:rPr>
            </w:pPr>
          </w:p>
        </w:tc>
      </w:tr>
      <w:tr w14:paraId="01D35CC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0E2E8184">
            <w:pPr>
              <w:widowControl w:val="0"/>
              <w:spacing w:line="360" w:lineRule="exact"/>
              <w:jc w:val="center"/>
              <w:rPr>
                <w:rFonts w:cs="宋体"/>
                <w:color w:val="auto"/>
                <w:sz w:val="21"/>
                <w:szCs w:val="21"/>
              </w:rPr>
            </w:pPr>
            <w:r>
              <w:rPr>
                <w:rFonts w:hint="eastAsia"/>
                <w:color w:val="auto"/>
                <w:sz w:val="21"/>
                <w:szCs w:val="21"/>
              </w:rPr>
              <w:t>1</w:t>
            </w:r>
          </w:p>
        </w:tc>
        <w:tc>
          <w:tcPr>
            <w:tcW w:w="1917" w:type="pct"/>
            <w:vAlign w:val="center"/>
          </w:tcPr>
          <w:p w14:paraId="292B5642">
            <w:pPr>
              <w:widowControl w:val="0"/>
              <w:spacing w:line="360" w:lineRule="exact"/>
              <w:jc w:val="center"/>
              <w:rPr>
                <w:rFonts w:cs="宋体"/>
                <w:color w:val="auto"/>
                <w:sz w:val="21"/>
                <w:szCs w:val="21"/>
              </w:rPr>
            </w:pPr>
            <w:r>
              <w:rPr>
                <w:rFonts w:hint="eastAsia"/>
                <w:color w:val="auto"/>
                <w:sz w:val="21"/>
                <w:szCs w:val="21"/>
              </w:rPr>
              <w:t>总用地面积</w:t>
            </w:r>
          </w:p>
        </w:tc>
        <w:tc>
          <w:tcPr>
            <w:tcW w:w="652" w:type="pct"/>
            <w:vAlign w:val="center"/>
          </w:tcPr>
          <w:p w14:paraId="7E98E961">
            <w:pPr>
              <w:widowControl w:val="0"/>
              <w:spacing w:line="360" w:lineRule="exact"/>
              <w:jc w:val="center"/>
              <w:rPr>
                <w:rFonts w:cs="宋体"/>
                <w:color w:val="auto"/>
                <w:sz w:val="21"/>
                <w:szCs w:val="21"/>
              </w:rPr>
            </w:pPr>
            <w:r>
              <w:rPr>
                <w:color w:val="auto"/>
                <w:sz w:val="21"/>
                <w:szCs w:val="21"/>
              </w:rPr>
              <w:t>m</w:t>
            </w:r>
            <w:r>
              <w:rPr>
                <w:rFonts w:hint="eastAsia"/>
                <w:color w:val="auto"/>
                <w:sz w:val="21"/>
                <w:szCs w:val="21"/>
                <w:vertAlign w:val="superscript"/>
              </w:rPr>
              <w:t>2</w:t>
            </w:r>
          </w:p>
        </w:tc>
        <w:tc>
          <w:tcPr>
            <w:tcW w:w="976" w:type="pct"/>
            <w:vAlign w:val="center"/>
          </w:tcPr>
          <w:p w14:paraId="4B3E3269">
            <w:pPr>
              <w:widowControl w:val="0"/>
              <w:spacing w:line="360" w:lineRule="exact"/>
              <w:jc w:val="center"/>
              <w:rPr>
                <w:rFonts w:cs="宋体"/>
                <w:color w:val="auto"/>
                <w:sz w:val="21"/>
                <w:szCs w:val="21"/>
              </w:rPr>
            </w:pPr>
            <w:r>
              <w:rPr>
                <w:rFonts w:hint="eastAsia"/>
                <w:color w:val="auto"/>
                <w:sz w:val="21"/>
                <w:szCs w:val="21"/>
              </w:rPr>
              <w:t>42691.81</w:t>
            </w:r>
          </w:p>
        </w:tc>
        <w:tc>
          <w:tcPr>
            <w:tcW w:w="1018" w:type="pct"/>
            <w:vAlign w:val="center"/>
          </w:tcPr>
          <w:p w14:paraId="2C20CFDF">
            <w:pPr>
              <w:widowControl w:val="0"/>
              <w:spacing w:line="360" w:lineRule="exact"/>
              <w:jc w:val="center"/>
              <w:rPr>
                <w:rFonts w:cs="宋体"/>
                <w:color w:val="auto"/>
                <w:sz w:val="21"/>
                <w:szCs w:val="21"/>
              </w:rPr>
            </w:pPr>
          </w:p>
        </w:tc>
      </w:tr>
      <w:tr w14:paraId="0B60F2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49C068E">
            <w:pPr>
              <w:widowControl w:val="0"/>
              <w:spacing w:line="360" w:lineRule="exact"/>
              <w:jc w:val="center"/>
              <w:rPr>
                <w:rFonts w:cs="宋体"/>
                <w:color w:val="auto"/>
                <w:sz w:val="21"/>
                <w:szCs w:val="21"/>
              </w:rPr>
            </w:pPr>
            <w:r>
              <w:rPr>
                <w:rFonts w:hint="eastAsia"/>
                <w:color w:val="auto"/>
                <w:sz w:val="21"/>
                <w:szCs w:val="21"/>
              </w:rPr>
              <w:t>2</w:t>
            </w:r>
          </w:p>
        </w:tc>
        <w:tc>
          <w:tcPr>
            <w:tcW w:w="1917" w:type="pct"/>
            <w:vAlign w:val="center"/>
          </w:tcPr>
          <w:p w14:paraId="10B44684">
            <w:pPr>
              <w:widowControl w:val="0"/>
              <w:spacing w:line="360" w:lineRule="exact"/>
              <w:jc w:val="center"/>
              <w:rPr>
                <w:rFonts w:cs="宋体"/>
                <w:color w:val="auto"/>
                <w:sz w:val="21"/>
                <w:szCs w:val="21"/>
              </w:rPr>
            </w:pPr>
            <w:r>
              <w:rPr>
                <w:rFonts w:hint="eastAsia"/>
                <w:color w:val="auto"/>
                <w:sz w:val="21"/>
                <w:szCs w:val="21"/>
              </w:rPr>
              <w:t>总建筑面积</w:t>
            </w:r>
          </w:p>
        </w:tc>
        <w:tc>
          <w:tcPr>
            <w:tcW w:w="652" w:type="pct"/>
            <w:vAlign w:val="center"/>
          </w:tcPr>
          <w:p w14:paraId="6F01E0A9">
            <w:pPr>
              <w:widowControl w:val="0"/>
              <w:spacing w:line="360" w:lineRule="exact"/>
              <w:jc w:val="center"/>
              <w:rPr>
                <w:rFonts w:cs="宋体"/>
                <w:color w:val="auto"/>
                <w:sz w:val="21"/>
                <w:szCs w:val="21"/>
              </w:rPr>
            </w:pPr>
            <w:r>
              <w:rPr>
                <w:color w:val="auto"/>
                <w:sz w:val="21"/>
                <w:szCs w:val="21"/>
              </w:rPr>
              <w:t>m</w:t>
            </w:r>
            <w:r>
              <w:rPr>
                <w:rFonts w:hint="eastAsia"/>
                <w:color w:val="auto"/>
                <w:sz w:val="21"/>
                <w:szCs w:val="21"/>
                <w:vertAlign w:val="superscript"/>
              </w:rPr>
              <w:t>2</w:t>
            </w:r>
          </w:p>
        </w:tc>
        <w:tc>
          <w:tcPr>
            <w:tcW w:w="976" w:type="pct"/>
            <w:vAlign w:val="center"/>
          </w:tcPr>
          <w:p w14:paraId="3614A1C4">
            <w:pPr>
              <w:widowControl w:val="0"/>
              <w:spacing w:line="360" w:lineRule="exact"/>
              <w:jc w:val="center"/>
              <w:rPr>
                <w:rFonts w:cs="宋体"/>
                <w:color w:val="auto"/>
                <w:sz w:val="21"/>
                <w:szCs w:val="21"/>
              </w:rPr>
            </w:pPr>
            <w:r>
              <w:rPr>
                <w:rFonts w:hint="eastAsia"/>
                <w:color w:val="auto"/>
                <w:sz w:val="21"/>
                <w:szCs w:val="21"/>
              </w:rPr>
              <w:t>35760.48</w:t>
            </w:r>
          </w:p>
        </w:tc>
        <w:tc>
          <w:tcPr>
            <w:tcW w:w="1018" w:type="pct"/>
            <w:vAlign w:val="center"/>
          </w:tcPr>
          <w:p w14:paraId="508EA51C">
            <w:pPr>
              <w:widowControl w:val="0"/>
              <w:spacing w:line="360" w:lineRule="exact"/>
              <w:jc w:val="center"/>
              <w:rPr>
                <w:rFonts w:cs="宋体"/>
                <w:color w:val="auto"/>
                <w:sz w:val="21"/>
                <w:szCs w:val="21"/>
              </w:rPr>
            </w:pPr>
          </w:p>
        </w:tc>
      </w:tr>
      <w:tr w14:paraId="047BD8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1531F39">
            <w:pPr>
              <w:widowControl w:val="0"/>
              <w:spacing w:line="360" w:lineRule="exact"/>
              <w:jc w:val="center"/>
              <w:rPr>
                <w:rFonts w:cs="宋体"/>
                <w:color w:val="auto"/>
                <w:sz w:val="21"/>
                <w:szCs w:val="21"/>
              </w:rPr>
            </w:pPr>
            <w:r>
              <w:rPr>
                <w:rFonts w:hint="eastAsia"/>
                <w:color w:val="auto"/>
                <w:sz w:val="21"/>
                <w:szCs w:val="21"/>
              </w:rPr>
              <w:t>3</w:t>
            </w:r>
          </w:p>
        </w:tc>
        <w:tc>
          <w:tcPr>
            <w:tcW w:w="1917" w:type="pct"/>
            <w:vAlign w:val="center"/>
          </w:tcPr>
          <w:p w14:paraId="0CE193FE">
            <w:pPr>
              <w:widowControl w:val="0"/>
              <w:spacing w:line="360" w:lineRule="exact"/>
              <w:jc w:val="center"/>
              <w:rPr>
                <w:rFonts w:cs="宋体"/>
                <w:color w:val="auto"/>
                <w:sz w:val="21"/>
                <w:szCs w:val="21"/>
              </w:rPr>
            </w:pPr>
            <w:r>
              <w:rPr>
                <w:rFonts w:hint="eastAsia"/>
                <w:color w:val="auto"/>
                <w:sz w:val="21"/>
                <w:szCs w:val="21"/>
              </w:rPr>
              <w:t>计算容积率面积</w:t>
            </w:r>
          </w:p>
        </w:tc>
        <w:tc>
          <w:tcPr>
            <w:tcW w:w="652" w:type="pct"/>
            <w:vAlign w:val="center"/>
          </w:tcPr>
          <w:p w14:paraId="44F73949">
            <w:pPr>
              <w:widowControl w:val="0"/>
              <w:spacing w:line="360" w:lineRule="exact"/>
              <w:jc w:val="center"/>
              <w:rPr>
                <w:rFonts w:cs="宋体"/>
                <w:color w:val="auto"/>
                <w:sz w:val="21"/>
                <w:szCs w:val="21"/>
              </w:rPr>
            </w:pPr>
            <w:r>
              <w:rPr>
                <w:color w:val="auto"/>
                <w:sz w:val="21"/>
                <w:szCs w:val="21"/>
              </w:rPr>
              <w:t>m</w:t>
            </w:r>
            <w:r>
              <w:rPr>
                <w:rFonts w:hint="eastAsia"/>
                <w:color w:val="auto"/>
                <w:sz w:val="21"/>
                <w:szCs w:val="21"/>
                <w:vertAlign w:val="superscript"/>
              </w:rPr>
              <w:t>2</w:t>
            </w:r>
          </w:p>
        </w:tc>
        <w:tc>
          <w:tcPr>
            <w:tcW w:w="976" w:type="pct"/>
            <w:vAlign w:val="center"/>
          </w:tcPr>
          <w:p w14:paraId="5B5D8055">
            <w:pPr>
              <w:widowControl w:val="0"/>
              <w:spacing w:line="360" w:lineRule="exact"/>
              <w:jc w:val="center"/>
              <w:rPr>
                <w:rFonts w:cs="宋体"/>
                <w:color w:val="auto"/>
                <w:sz w:val="21"/>
                <w:szCs w:val="21"/>
              </w:rPr>
            </w:pPr>
            <w:r>
              <w:rPr>
                <w:rFonts w:hint="eastAsia"/>
                <w:color w:val="auto"/>
                <w:sz w:val="21"/>
                <w:szCs w:val="21"/>
              </w:rPr>
              <w:t>52915.95</w:t>
            </w:r>
          </w:p>
        </w:tc>
        <w:tc>
          <w:tcPr>
            <w:tcW w:w="1018" w:type="pct"/>
            <w:vAlign w:val="center"/>
          </w:tcPr>
          <w:p w14:paraId="2D111C6A">
            <w:pPr>
              <w:widowControl w:val="0"/>
              <w:spacing w:line="360" w:lineRule="exact"/>
              <w:jc w:val="center"/>
              <w:rPr>
                <w:rFonts w:cs="宋体"/>
                <w:color w:val="auto"/>
                <w:sz w:val="21"/>
                <w:szCs w:val="21"/>
              </w:rPr>
            </w:pPr>
          </w:p>
        </w:tc>
      </w:tr>
      <w:tr w14:paraId="6F0128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E34AB09">
            <w:pPr>
              <w:widowControl w:val="0"/>
              <w:spacing w:line="360" w:lineRule="exact"/>
              <w:jc w:val="center"/>
              <w:rPr>
                <w:rFonts w:cs="宋体"/>
                <w:color w:val="auto"/>
                <w:sz w:val="21"/>
                <w:szCs w:val="21"/>
              </w:rPr>
            </w:pPr>
            <w:r>
              <w:rPr>
                <w:rFonts w:hint="eastAsia"/>
                <w:color w:val="auto"/>
                <w:sz w:val="21"/>
                <w:szCs w:val="21"/>
              </w:rPr>
              <w:t>4</w:t>
            </w:r>
          </w:p>
        </w:tc>
        <w:tc>
          <w:tcPr>
            <w:tcW w:w="1917" w:type="pct"/>
            <w:vAlign w:val="center"/>
          </w:tcPr>
          <w:p w14:paraId="65923C9A">
            <w:pPr>
              <w:widowControl w:val="0"/>
              <w:spacing w:line="360" w:lineRule="exact"/>
              <w:jc w:val="center"/>
              <w:rPr>
                <w:rFonts w:cs="宋体"/>
                <w:color w:val="auto"/>
                <w:sz w:val="21"/>
                <w:szCs w:val="21"/>
              </w:rPr>
            </w:pPr>
            <w:r>
              <w:rPr>
                <w:rFonts w:hint="eastAsia"/>
                <w:color w:val="auto"/>
                <w:sz w:val="21"/>
                <w:szCs w:val="21"/>
              </w:rPr>
              <w:t>容积率</w:t>
            </w:r>
          </w:p>
        </w:tc>
        <w:tc>
          <w:tcPr>
            <w:tcW w:w="652" w:type="pct"/>
            <w:vAlign w:val="center"/>
          </w:tcPr>
          <w:p w14:paraId="362BD2F6">
            <w:pPr>
              <w:widowControl w:val="0"/>
              <w:spacing w:line="360" w:lineRule="exact"/>
              <w:jc w:val="center"/>
              <w:rPr>
                <w:rFonts w:cs="宋体"/>
                <w:color w:val="auto"/>
                <w:sz w:val="21"/>
                <w:szCs w:val="21"/>
              </w:rPr>
            </w:pPr>
            <w:r>
              <w:rPr>
                <w:rFonts w:hint="eastAsia"/>
                <w:color w:val="auto"/>
                <w:sz w:val="21"/>
                <w:szCs w:val="21"/>
              </w:rPr>
              <w:t>--</w:t>
            </w:r>
          </w:p>
        </w:tc>
        <w:tc>
          <w:tcPr>
            <w:tcW w:w="976" w:type="pct"/>
            <w:vAlign w:val="center"/>
          </w:tcPr>
          <w:p w14:paraId="4A48FA3D">
            <w:pPr>
              <w:widowControl w:val="0"/>
              <w:spacing w:line="360" w:lineRule="exact"/>
              <w:jc w:val="center"/>
              <w:rPr>
                <w:rFonts w:cs="宋体"/>
                <w:color w:val="auto"/>
                <w:sz w:val="21"/>
                <w:szCs w:val="21"/>
              </w:rPr>
            </w:pPr>
            <w:r>
              <w:rPr>
                <w:rFonts w:hint="eastAsia"/>
                <w:color w:val="auto"/>
                <w:sz w:val="21"/>
                <w:szCs w:val="21"/>
              </w:rPr>
              <w:t>1.24</w:t>
            </w:r>
          </w:p>
        </w:tc>
        <w:tc>
          <w:tcPr>
            <w:tcW w:w="1018" w:type="pct"/>
            <w:vAlign w:val="center"/>
          </w:tcPr>
          <w:p w14:paraId="6CB4CBF3">
            <w:pPr>
              <w:widowControl w:val="0"/>
              <w:spacing w:line="360" w:lineRule="exact"/>
              <w:jc w:val="center"/>
              <w:rPr>
                <w:rFonts w:cs="宋体"/>
                <w:color w:val="auto"/>
                <w:sz w:val="21"/>
                <w:szCs w:val="21"/>
              </w:rPr>
            </w:pPr>
          </w:p>
        </w:tc>
      </w:tr>
      <w:tr w14:paraId="1ED46EB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A8186C8">
            <w:pPr>
              <w:widowControl w:val="0"/>
              <w:spacing w:line="360" w:lineRule="exact"/>
              <w:jc w:val="center"/>
              <w:rPr>
                <w:rFonts w:cs="宋体"/>
                <w:color w:val="auto"/>
                <w:sz w:val="21"/>
                <w:szCs w:val="21"/>
              </w:rPr>
            </w:pPr>
            <w:r>
              <w:rPr>
                <w:rFonts w:hint="eastAsia"/>
                <w:color w:val="auto"/>
                <w:sz w:val="21"/>
                <w:szCs w:val="21"/>
              </w:rPr>
              <w:t>5</w:t>
            </w:r>
          </w:p>
        </w:tc>
        <w:tc>
          <w:tcPr>
            <w:tcW w:w="1917" w:type="pct"/>
            <w:vAlign w:val="center"/>
          </w:tcPr>
          <w:p w14:paraId="761C60B9">
            <w:pPr>
              <w:widowControl w:val="0"/>
              <w:spacing w:line="360" w:lineRule="exact"/>
              <w:jc w:val="center"/>
              <w:rPr>
                <w:rFonts w:cs="宋体"/>
                <w:color w:val="auto"/>
                <w:sz w:val="21"/>
                <w:szCs w:val="21"/>
              </w:rPr>
            </w:pPr>
            <w:r>
              <w:rPr>
                <w:rFonts w:hint="eastAsia"/>
                <w:color w:val="auto"/>
                <w:sz w:val="21"/>
                <w:szCs w:val="21"/>
              </w:rPr>
              <w:t>建筑系数</w:t>
            </w:r>
          </w:p>
        </w:tc>
        <w:tc>
          <w:tcPr>
            <w:tcW w:w="652" w:type="pct"/>
            <w:vAlign w:val="center"/>
          </w:tcPr>
          <w:p w14:paraId="39B790A5">
            <w:pPr>
              <w:widowControl w:val="0"/>
              <w:spacing w:line="360" w:lineRule="exact"/>
              <w:jc w:val="center"/>
              <w:rPr>
                <w:rFonts w:cs="宋体"/>
                <w:color w:val="auto"/>
                <w:sz w:val="21"/>
                <w:szCs w:val="21"/>
              </w:rPr>
            </w:pPr>
            <w:r>
              <w:rPr>
                <w:rFonts w:hint="eastAsia"/>
                <w:color w:val="auto"/>
                <w:sz w:val="21"/>
                <w:szCs w:val="21"/>
              </w:rPr>
              <w:t>%</w:t>
            </w:r>
          </w:p>
        </w:tc>
        <w:tc>
          <w:tcPr>
            <w:tcW w:w="976" w:type="pct"/>
            <w:vAlign w:val="center"/>
          </w:tcPr>
          <w:p w14:paraId="5234D219">
            <w:pPr>
              <w:widowControl w:val="0"/>
              <w:spacing w:line="360" w:lineRule="exact"/>
              <w:jc w:val="center"/>
              <w:rPr>
                <w:rFonts w:cs="宋体"/>
                <w:color w:val="auto"/>
                <w:sz w:val="21"/>
                <w:szCs w:val="21"/>
              </w:rPr>
            </w:pPr>
            <w:r>
              <w:rPr>
                <w:rFonts w:hint="eastAsia"/>
                <w:color w:val="auto"/>
                <w:sz w:val="21"/>
                <w:szCs w:val="21"/>
              </w:rPr>
              <w:t>67.68</w:t>
            </w:r>
          </w:p>
        </w:tc>
        <w:tc>
          <w:tcPr>
            <w:tcW w:w="1018" w:type="pct"/>
            <w:vAlign w:val="center"/>
          </w:tcPr>
          <w:p w14:paraId="4F6CDFD9">
            <w:pPr>
              <w:widowControl w:val="0"/>
              <w:spacing w:line="360" w:lineRule="exact"/>
              <w:jc w:val="center"/>
              <w:rPr>
                <w:rFonts w:cs="宋体"/>
                <w:color w:val="auto"/>
                <w:sz w:val="21"/>
                <w:szCs w:val="21"/>
              </w:rPr>
            </w:pPr>
          </w:p>
        </w:tc>
      </w:tr>
      <w:tr w14:paraId="3462ECE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6A7FEA7">
            <w:pPr>
              <w:widowControl w:val="0"/>
              <w:spacing w:line="360" w:lineRule="exact"/>
              <w:jc w:val="center"/>
              <w:rPr>
                <w:rFonts w:cs="宋体"/>
                <w:color w:val="auto"/>
                <w:sz w:val="21"/>
                <w:szCs w:val="21"/>
              </w:rPr>
            </w:pPr>
            <w:r>
              <w:rPr>
                <w:rFonts w:hint="eastAsia"/>
                <w:color w:val="auto"/>
                <w:sz w:val="21"/>
                <w:szCs w:val="21"/>
              </w:rPr>
              <w:t>6</w:t>
            </w:r>
          </w:p>
        </w:tc>
        <w:tc>
          <w:tcPr>
            <w:tcW w:w="1917" w:type="pct"/>
            <w:vAlign w:val="center"/>
          </w:tcPr>
          <w:p w14:paraId="05E131E6">
            <w:pPr>
              <w:widowControl w:val="0"/>
              <w:spacing w:line="360" w:lineRule="exact"/>
              <w:jc w:val="center"/>
              <w:rPr>
                <w:rFonts w:cs="宋体"/>
                <w:color w:val="auto"/>
                <w:sz w:val="21"/>
                <w:szCs w:val="21"/>
              </w:rPr>
            </w:pPr>
            <w:r>
              <w:rPr>
                <w:rFonts w:hint="eastAsia"/>
                <w:color w:val="auto"/>
                <w:sz w:val="21"/>
                <w:szCs w:val="21"/>
              </w:rPr>
              <w:t>绿地面积</w:t>
            </w:r>
          </w:p>
        </w:tc>
        <w:tc>
          <w:tcPr>
            <w:tcW w:w="652" w:type="pct"/>
            <w:vAlign w:val="center"/>
          </w:tcPr>
          <w:p w14:paraId="2B44073E">
            <w:pPr>
              <w:widowControl w:val="0"/>
              <w:spacing w:line="360" w:lineRule="exact"/>
              <w:jc w:val="center"/>
              <w:rPr>
                <w:rFonts w:cs="宋体"/>
                <w:color w:val="auto"/>
                <w:sz w:val="21"/>
                <w:szCs w:val="21"/>
              </w:rPr>
            </w:pPr>
            <w:r>
              <w:rPr>
                <w:color w:val="auto"/>
                <w:sz w:val="21"/>
                <w:szCs w:val="21"/>
              </w:rPr>
              <w:t>m</w:t>
            </w:r>
            <w:r>
              <w:rPr>
                <w:rFonts w:hint="eastAsia"/>
                <w:color w:val="auto"/>
                <w:sz w:val="21"/>
                <w:szCs w:val="21"/>
                <w:vertAlign w:val="superscript"/>
              </w:rPr>
              <w:t>2</w:t>
            </w:r>
          </w:p>
        </w:tc>
        <w:tc>
          <w:tcPr>
            <w:tcW w:w="976" w:type="pct"/>
            <w:vAlign w:val="center"/>
          </w:tcPr>
          <w:p w14:paraId="6BD6A253">
            <w:pPr>
              <w:widowControl w:val="0"/>
              <w:spacing w:line="360" w:lineRule="exact"/>
              <w:jc w:val="center"/>
              <w:rPr>
                <w:rFonts w:cs="宋体"/>
                <w:color w:val="auto"/>
                <w:sz w:val="21"/>
                <w:szCs w:val="21"/>
              </w:rPr>
            </w:pPr>
            <w:r>
              <w:rPr>
                <w:rFonts w:hint="eastAsia"/>
                <w:color w:val="auto"/>
                <w:sz w:val="21"/>
                <w:szCs w:val="21"/>
              </w:rPr>
              <w:t>3566.60</w:t>
            </w:r>
          </w:p>
        </w:tc>
        <w:tc>
          <w:tcPr>
            <w:tcW w:w="1018" w:type="pct"/>
            <w:vAlign w:val="center"/>
          </w:tcPr>
          <w:p w14:paraId="241E2AF6">
            <w:pPr>
              <w:widowControl w:val="0"/>
              <w:spacing w:line="360" w:lineRule="exact"/>
              <w:jc w:val="center"/>
              <w:rPr>
                <w:rFonts w:cs="宋体"/>
                <w:color w:val="auto"/>
                <w:sz w:val="21"/>
                <w:szCs w:val="21"/>
              </w:rPr>
            </w:pPr>
          </w:p>
        </w:tc>
      </w:tr>
      <w:tr w14:paraId="0F3934F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227CD22">
            <w:pPr>
              <w:widowControl w:val="0"/>
              <w:spacing w:line="360" w:lineRule="exact"/>
              <w:jc w:val="center"/>
              <w:rPr>
                <w:rFonts w:cs="宋体"/>
                <w:color w:val="auto"/>
                <w:sz w:val="21"/>
                <w:szCs w:val="21"/>
              </w:rPr>
            </w:pPr>
            <w:r>
              <w:rPr>
                <w:color w:val="auto"/>
                <w:sz w:val="21"/>
                <w:szCs w:val="21"/>
              </w:rPr>
              <w:t>十</w:t>
            </w:r>
          </w:p>
        </w:tc>
        <w:tc>
          <w:tcPr>
            <w:tcW w:w="1917" w:type="pct"/>
            <w:vAlign w:val="center"/>
          </w:tcPr>
          <w:p w14:paraId="5BF5826B">
            <w:pPr>
              <w:widowControl w:val="0"/>
              <w:spacing w:line="360" w:lineRule="exact"/>
              <w:jc w:val="center"/>
              <w:rPr>
                <w:rFonts w:cs="宋体"/>
                <w:color w:val="auto"/>
                <w:sz w:val="21"/>
                <w:szCs w:val="21"/>
              </w:rPr>
            </w:pPr>
            <w:r>
              <w:rPr>
                <w:color w:val="auto"/>
                <w:sz w:val="21"/>
                <w:szCs w:val="21"/>
              </w:rPr>
              <w:t>碳排放指标</w:t>
            </w:r>
          </w:p>
        </w:tc>
        <w:tc>
          <w:tcPr>
            <w:tcW w:w="652" w:type="pct"/>
            <w:vAlign w:val="center"/>
          </w:tcPr>
          <w:p w14:paraId="74992061">
            <w:pPr>
              <w:widowControl w:val="0"/>
              <w:spacing w:line="360" w:lineRule="exact"/>
              <w:jc w:val="center"/>
              <w:rPr>
                <w:rFonts w:cs="宋体"/>
                <w:color w:val="auto"/>
                <w:sz w:val="21"/>
                <w:szCs w:val="21"/>
              </w:rPr>
            </w:pPr>
          </w:p>
        </w:tc>
        <w:tc>
          <w:tcPr>
            <w:tcW w:w="976" w:type="pct"/>
            <w:vAlign w:val="center"/>
          </w:tcPr>
          <w:p w14:paraId="317C1D74">
            <w:pPr>
              <w:widowControl w:val="0"/>
              <w:spacing w:line="360" w:lineRule="exact"/>
              <w:jc w:val="center"/>
              <w:rPr>
                <w:rFonts w:cs="宋体"/>
                <w:color w:val="auto"/>
                <w:sz w:val="21"/>
                <w:szCs w:val="21"/>
              </w:rPr>
            </w:pPr>
          </w:p>
        </w:tc>
        <w:tc>
          <w:tcPr>
            <w:tcW w:w="1018" w:type="pct"/>
            <w:vAlign w:val="center"/>
          </w:tcPr>
          <w:p w14:paraId="0182BA7E">
            <w:pPr>
              <w:widowControl w:val="0"/>
              <w:spacing w:line="360" w:lineRule="exact"/>
              <w:jc w:val="center"/>
              <w:rPr>
                <w:rFonts w:cs="宋体"/>
                <w:color w:val="auto"/>
                <w:sz w:val="21"/>
                <w:szCs w:val="21"/>
              </w:rPr>
            </w:pPr>
          </w:p>
        </w:tc>
      </w:tr>
      <w:tr w14:paraId="28F591E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0B19C42">
            <w:pPr>
              <w:widowControl w:val="0"/>
              <w:spacing w:line="360" w:lineRule="exact"/>
              <w:jc w:val="center"/>
              <w:rPr>
                <w:rFonts w:cs="宋体"/>
                <w:color w:val="auto"/>
                <w:sz w:val="21"/>
                <w:szCs w:val="21"/>
              </w:rPr>
            </w:pPr>
            <w:r>
              <w:rPr>
                <w:color w:val="auto"/>
                <w:sz w:val="21"/>
                <w:szCs w:val="21"/>
              </w:rPr>
              <w:t>1</w:t>
            </w:r>
          </w:p>
        </w:tc>
        <w:tc>
          <w:tcPr>
            <w:tcW w:w="1917" w:type="pct"/>
            <w:vAlign w:val="center"/>
          </w:tcPr>
          <w:p w14:paraId="58C45B9E">
            <w:pPr>
              <w:widowControl w:val="0"/>
              <w:spacing w:line="360" w:lineRule="exact"/>
              <w:jc w:val="center"/>
              <w:rPr>
                <w:rFonts w:cs="宋体"/>
                <w:color w:val="auto"/>
                <w:sz w:val="21"/>
                <w:szCs w:val="21"/>
              </w:rPr>
            </w:pPr>
            <w:r>
              <w:rPr>
                <w:color w:val="auto"/>
                <w:sz w:val="21"/>
                <w:szCs w:val="21"/>
              </w:rPr>
              <w:t>CO</w:t>
            </w:r>
            <w:r>
              <w:rPr>
                <w:color w:val="auto"/>
                <w:sz w:val="21"/>
                <w:szCs w:val="21"/>
                <w:vertAlign w:val="subscript"/>
              </w:rPr>
              <w:t>2</w:t>
            </w:r>
            <w:r>
              <w:rPr>
                <w:color w:val="auto"/>
                <w:sz w:val="21"/>
                <w:szCs w:val="21"/>
              </w:rPr>
              <w:t>年排放总量</w:t>
            </w:r>
          </w:p>
        </w:tc>
        <w:tc>
          <w:tcPr>
            <w:tcW w:w="652" w:type="pct"/>
            <w:vAlign w:val="center"/>
          </w:tcPr>
          <w:p w14:paraId="7FFB911A">
            <w:pPr>
              <w:widowControl w:val="0"/>
              <w:spacing w:line="360" w:lineRule="exact"/>
              <w:jc w:val="center"/>
              <w:rPr>
                <w:rFonts w:cs="宋体"/>
                <w:color w:val="auto"/>
                <w:sz w:val="21"/>
                <w:szCs w:val="21"/>
              </w:rPr>
            </w:pPr>
          </w:p>
        </w:tc>
        <w:tc>
          <w:tcPr>
            <w:tcW w:w="976" w:type="pct"/>
            <w:vAlign w:val="center"/>
          </w:tcPr>
          <w:p w14:paraId="70FA8CBA">
            <w:pPr>
              <w:widowControl w:val="0"/>
              <w:spacing w:line="360" w:lineRule="exact"/>
              <w:jc w:val="center"/>
              <w:rPr>
                <w:rFonts w:cs="宋体"/>
                <w:color w:val="auto"/>
                <w:sz w:val="21"/>
                <w:szCs w:val="21"/>
              </w:rPr>
            </w:pPr>
          </w:p>
        </w:tc>
        <w:tc>
          <w:tcPr>
            <w:tcW w:w="1018" w:type="pct"/>
            <w:vAlign w:val="center"/>
          </w:tcPr>
          <w:p w14:paraId="56F5A631">
            <w:pPr>
              <w:widowControl w:val="0"/>
              <w:spacing w:line="360" w:lineRule="exact"/>
              <w:jc w:val="center"/>
              <w:rPr>
                <w:rFonts w:cs="宋体"/>
                <w:color w:val="auto"/>
                <w:sz w:val="21"/>
                <w:szCs w:val="21"/>
              </w:rPr>
            </w:pPr>
          </w:p>
        </w:tc>
      </w:tr>
      <w:tr w14:paraId="76C935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FEBE8B1">
            <w:pPr>
              <w:widowControl w:val="0"/>
              <w:spacing w:line="360" w:lineRule="exact"/>
              <w:jc w:val="center"/>
              <w:rPr>
                <w:rFonts w:cs="宋体"/>
                <w:color w:val="auto"/>
                <w:sz w:val="21"/>
                <w:szCs w:val="21"/>
              </w:rPr>
            </w:pPr>
            <w:r>
              <w:rPr>
                <w:rFonts w:hint="eastAsia" w:cs="宋体"/>
                <w:color w:val="auto"/>
                <w:sz w:val="21"/>
                <w:szCs w:val="21"/>
              </w:rPr>
              <w:t>十一</w:t>
            </w:r>
          </w:p>
        </w:tc>
        <w:tc>
          <w:tcPr>
            <w:tcW w:w="1917" w:type="pct"/>
            <w:vAlign w:val="center"/>
          </w:tcPr>
          <w:p w14:paraId="484AC5F6">
            <w:pPr>
              <w:widowControl w:val="0"/>
              <w:spacing w:line="360" w:lineRule="exact"/>
              <w:jc w:val="center"/>
              <w:rPr>
                <w:rFonts w:cs="宋体"/>
                <w:color w:val="auto"/>
                <w:sz w:val="21"/>
                <w:szCs w:val="21"/>
              </w:rPr>
            </w:pPr>
            <w:r>
              <w:rPr>
                <w:rFonts w:hint="eastAsia" w:cs="宋体"/>
                <w:color w:val="auto"/>
                <w:sz w:val="21"/>
                <w:szCs w:val="21"/>
              </w:rPr>
              <w:t>经济指标</w:t>
            </w:r>
          </w:p>
        </w:tc>
        <w:tc>
          <w:tcPr>
            <w:tcW w:w="652" w:type="pct"/>
            <w:vAlign w:val="center"/>
          </w:tcPr>
          <w:p w14:paraId="77994B5A">
            <w:pPr>
              <w:widowControl w:val="0"/>
              <w:spacing w:line="360" w:lineRule="exact"/>
              <w:jc w:val="center"/>
              <w:rPr>
                <w:rFonts w:cs="宋体"/>
                <w:color w:val="auto"/>
                <w:sz w:val="21"/>
                <w:szCs w:val="21"/>
              </w:rPr>
            </w:pPr>
          </w:p>
        </w:tc>
        <w:tc>
          <w:tcPr>
            <w:tcW w:w="976" w:type="pct"/>
            <w:vAlign w:val="center"/>
          </w:tcPr>
          <w:p w14:paraId="4EECA57E">
            <w:pPr>
              <w:widowControl w:val="0"/>
              <w:spacing w:line="360" w:lineRule="exact"/>
              <w:jc w:val="center"/>
              <w:rPr>
                <w:rFonts w:cs="宋体"/>
                <w:color w:val="auto"/>
                <w:sz w:val="21"/>
                <w:szCs w:val="21"/>
              </w:rPr>
            </w:pPr>
          </w:p>
        </w:tc>
        <w:tc>
          <w:tcPr>
            <w:tcW w:w="1018" w:type="pct"/>
            <w:vAlign w:val="center"/>
          </w:tcPr>
          <w:p w14:paraId="6795BEE5">
            <w:pPr>
              <w:widowControl w:val="0"/>
              <w:spacing w:line="360" w:lineRule="exact"/>
              <w:jc w:val="center"/>
              <w:rPr>
                <w:rFonts w:cs="宋体"/>
                <w:color w:val="auto"/>
                <w:sz w:val="21"/>
                <w:szCs w:val="21"/>
              </w:rPr>
            </w:pPr>
          </w:p>
        </w:tc>
      </w:tr>
      <w:tr w14:paraId="0E8D71E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008EA78">
            <w:pPr>
              <w:widowControl w:val="0"/>
              <w:spacing w:line="360" w:lineRule="exact"/>
              <w:jc w:val="center"/>
              <w:rPr>
                <w:rFonts w:cs="宋体"/>
                <w:color w:val="auto"/>
                <w:sz w:val="21"/>
                <w:szCs w:val="21"/>
              </w:rPr>
            </w:pPr>
            <w:r>
              <w:rPr>
                <w:rFonts w:hint="eastAsia" w:cs="宋体"/>
                <w:color w:val="auto"/>
                <w:sz w:val="21"/>
                <w:szCs w:val="21"/>
              </w:rPr>
              <w:t>1</w:t>
            </w:r>
          </w:p>
        </w:tc>
        <w:tc>
          <w:tcPr>
            <w:tcW w:w="1917" w:type="pct"/>
            <w:vAlign w:val="center"/>
          </w:tcPr>
          <w:p w14:paraId="1117B438">
            <w:pPr>
              <w:widowControl w:val="0"/>
              <w:spacing w:line="360" w:lineRule="exact"/>
              <w:jc w:val="center"/>
              <w:rPr>
                <w:rFonts w:cs="宋体"/>
                <w:color w:val="auto"/>
                <w:sz w:val="21"/>
                <w:szCs w:val="21"/>
              </w:rPr>
            </w:pPr>
            <w:r>
              <w:rPr>
                <w:rFonts w:hint="eastAsia" w:cs="宋体"/>
                <w:color w:val="auto"/>
                <w:sz w:val="21"/>
                <w:szCs w:val="21"/>
              </w:rPr>
              <w:t>总投资</w:t>
            </w:r>
          </w:p>
        </w:tc>
        <w:tc>
          <w:tcPr>
            <w:tcW w:w="652" w:type="pct"/>
            <w:vAlign w:val="center"/>
          </w:tcPr>
          <w:p w14:paraId="55698BC7">
            <w:pPr>
              <w:widowControl w:val="0"/>
              <w:spacing w:line="360" w:lineRule="exact"/>
              <w:jc w:val="center"/>
              <w:rPr>
                <w:rFonts w:cs="宋体"/>
                <w:color w:val="auto"/>
                <w:sz w:val="21"/>
                <w:szCs w:val="21"/>
              </w:rPr>
            </w:pPr>
            <w:r>
              <w:rPr>
                <w:rFonts w:hint="eastAsia" w:cs="宋体"/>
                <w:color w:val="auto"/>
                <w:sz w:val="21"/>
                <w:szCs w:val="21"/>
              </w:rPr>
              <w:t>万元</w:t>
            </w:r>
          </w:p>
        </w:tc>
        <w:tc>
          <w:tcPr>
            <w:tcW w:w="976" w:type="pct"/>
            <w:vAlign w:val="center"/>
          </w:tcPr>
          <w:p w14:paraId="4D243D6A">
            <w:pPr>
              <w:widowControl w:val="0"/>
              <w:spacing w:line="360" w:lineRule="exact"/>
              <w:jc w:val="center"/>
              <w:rPr>
                <w:rFonts w:cs="宋体"/>
                <w:color w:val="auto"/>
                <w:sz w:val="21"/>
                <w:szCs w:val="21"/>
              </w:rPr>
            </w:pPr>
            <w:r>
              <w:rPr>
                <w:rFonts w:hint="eastAsia" w:cs="宋体"/>
                <w:color w:val="auto"/>
                <w:sz w:val="21"/>
                <w:szCs w:val="21"/>
              </w:rPr>
              <w:t>25000.00</w:t>
            </w:r>
          </w:p>
        </w:tc>
        <w:tc>
          <w:tcPr>
            <w:tcW w:w="1018" w:type="pct"/>
            <w:vAlign w:val="center"/>
          </w:tcPr>
          <w:p w14:paraId="0254E979">
            <w:pPr>
              <w:widowControl w:val="0"/>
              <w:spacing w:line="360" w:lineRule="exact"/>
              <w:jc w:val="center"/>
              <w:rPr>
                <w:rFonts w:cs="宋体"/>
                <w:color w:val="auto"/>
                <w:sz w:val="21"/>
                <w:szCs w:val="21"/>
              </w:rPr>
            </w:pPr>
          </w:p>
        </w:tc>
      </w:tr>
      <w:tr w14:paraId="3E6DE1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635714BD">
            <w:pPr>
              <w:widowControl w:val="0"/>
              <w:spacing w:line="360" w:lineRule="exact"/>
              <w:jc w:val="center"/>
              <w:rPr>
                <w:rFonts w:cs="宋体"/>
                <w:color w:val="auto"/>
                <w:sz w:val="21"/>
                <w:szCs w:val="21"/>
              </w:rPr>
            </w:pPr>
            <w:r>
              <w:rPr>
                <w:rFonts w:hint="eastAsia" w:cs="宋体"/>
                <w:color w:val="auto"/>
                <w:sz w:val="21"/>
                <w:szCs w:val="21"/>
              </w:rPr>
              <w:t>1.1</w:t>
            </w:r>
          </w:p>
        </w:tc>
        <w:tc>
          <w:tcPr>
            <w:tcW w:w="1917" w:type="pct"/>
            <w:vAlign w:val="center"/>
          </w:tcPr>
          <w:p w14:paraId="1EC3907F">
            <w:pPr>
              <w:widowControl w:val="0"/>
              <w:spacing w:line="360" w:lineRule="exact"/>
              <w:jc w:val="center"/>
              <w:rPr>
                <w:rFonts w:cs="宋体"/>
                <w:color w:val="auto"/>
                <w:sz w:val="21"/>
                <w:szCs w:val="21"/>
              </w:rPr>
            </w:pPr>
            <w:r>
              <w:rPr>
                <w:rFonts w:hint="eastAsia" w:cs="宋体"/>
                <w:color w:val="auto"/>
                <w:sz w:val="21"/>
                <w:szCs w:val="21"/>
              </w:rPr>
              <w:t>工程费用</w:t>
            </w:r>
          </w:p>
        </w:tc>
        <w:tc>
          <w:tcPr>
            <w:tcW w:w="652" w:type="pct"/>
            <w:vAlign w:val="center"/>
          </w:tcPr>
          <w:p w14:paraId="4F8B18F3">
            <w:pPr>
              <w:widowControl w:val="0"/>
              <w:spacing w:line="360" w:lineRule="exact"/>
              <w:jc w:val="center"/>
              <w:rPr>
                <w:rFonts w:cs="宋体"/>
                <w:color w:val="auto"/>
                <w:sz w:val="21"/>
                <w:szCs w:val="21"/>
              </w:rPr>
            </w:pPr>
            <w:r>
              <w:rPr>
                <w:rFonts w:hint="eastAsia" w:cs="宋体"/>
                <w:color w:val="auto"/>
                <w:sz w:val="21"/>
                <w:szCs w:val="21"/>
              </w:rPr>
              <w:t>万元</w:t>
            </w:r>
          </w:p>
        </w:tc>
        <w:tc>
          <w:tcPr>
            <w:tcW w:w="976" w:type="pct"/>
            <w:vAlign w:val="center"/>
          </w:tcPr>
          <w:p w14:paraId="264900B0">
            <w:pPr>
              <w:widowControl w:val="0"/>
              <w:spacing w:line="360" w:lineRule="exact"/>
              <w:jc w:val="center"/>
              <w:rPr>
                <w:rFonts w:cs="宋体"/>
                <w:color w:val="auto"/>
                <w:sz w:val="21"/>
                <w:szCs w:val="21"/>
              </w:rPr>
            </w:pPr>
            <w:r>
              <w:rPr>
                <w:rFonts w:hint="eastAsia" w:cs="宋体"/>
                <w:color w:val="auto"/>
                <w:sz w:val="21"/>
                <w:szCs w:val="21"/>
              </w:rPr>
              <w:t>10729.74</w:t>
            </w:r>
          </w:p>
        </w:tc>
        <w:tc>
          <w:tcPr>
            <w:tcW w:w="1018" w:type="pct"/>
            <w:vAlign w:val="center"/>
          </w:tcPr>
          <w:p w14:paraId="59AC34AE">
            <w:pPr>
              <w:widowControl w:val="0"/>
              <w:spacing w:line="360" w:lineRule="exact"/>
              <w:jc w:val="center"/>
              <w:rPr>
                <w:rFonts w:cs="宋体"/>
                <w:color w:val="auto"/>
                <w:sz w:val="21"/>
                <w:szCs w:val="21"/>
              </w:rPr>
            </w:pPr>
          </w:p>
        </w:tc>
      </w:tr>
      <w:tr w14:paraId="2D3B650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187AB48F">
            <w:pPr>
              <w:widowControl w:val="0"/>
              <w:spacing w:line="360" w:lineRule="exact"/>
              <w:jc w:val="center"/>
              <w:rPr>
                <w:rFonts w:cs="宋体"/>
                <w:color w:val="auto"/>
                <w:sz w:val="21"/>
                <w:szCs w:val="21"/>
              </w:rPr>
            </w:pPr>
            <w:r>
              <w:rPr>
                <w:rFonts w:hint="eastAsia" w:cs="宋体"/>
                <w:color w:val="auto"/>
                <w:sz w:val="21"/>
                <w:szCs w:val="21"/>
              </w:rPr>
              <w:t>1.2</w:t>
            </w:r>
          </w:p>
        </w:tc>
        <w:tc>
          <w:tcPr>
            <w:tcW w:w="1917" w:type="pct"/>
            <w:vAlign w:val="center"/>
          </w:tcPr>
          <w:p w14:paraId="366D86B3">
            <w:pPr>
              <w:widowControl w:val="0"/>
              <w:spacing w:line="360" w:lineRule="exact"/>
              <w:jc w:val="center"/>
              <w:rPr>
                <w:rFonts w:cs="宋体"/>
                <w:color w:val="auto"/>
                <w:sz w:val="21"/>
                <w:szCs w:val="21"/>
              </w:rPr>
            </w:pPr>
            <w:r>
              <w:rPr>
                <w:rFonts w:hint="eastAsia" w:cs="宋体"/>
                <w:color w:val="auto"/>
                <w:sz w:val="21"/>
                <w:szCs w:val="21"/>
              </w:rPr>
              <w:t>工程建设及其他费</w:t>
            </w:r>
          </w:p>
        </w:tc>
        <w:tc>
          <w:tcPr>
            <w:tcW w:w="652" w:type="pct"/>
            <w:vAlign w:val="center"/>
          </w:tcPr>
          <w:p w14:paraId="22D55613">
            <w:pPr>
              <w:widowControl w:val="0"/>
              <w:spacing w:line="360" w:lineRule="exact"/>
              <w:jc w:val="center"/>
              <w:rPr>
                <w:rFonts w:cs="宋体"/>
                <w:color w:val="auto"/>
                <w:sz w:val="21"/>
                <w:szCs w:val="21"/>
              </w:rPr>
            </w:pPr>
            <w:r>
              <w:rPr>
                <w:rFonts w:hint="eastAsia" w:cs="宋体"/>
                <w:color w:val="auto"/>
                <w:sz w:val="21"/>
                <w:szCs w:val="21"/>
              </w:rPr>
              <w:t>万元</w:t>
            </w:r>
          </w:p>
        </w:tc>
        <w:tc>
          <w:tcPr>
            <w:tcW w:w="976" w:type="pct"/>
            <w:vAlign w:val="center"/>
          </w:tcPr>
          <w:p w14:paraId="6D53D098">
            <w:pPr>
              <w:widowControl w:val="0"/>
              <w:spacing w:line="360" w:lineRule="exact"/>
              <w:jc w:val="center"/>
              <w:rPr>
                <w:rFonts w:cs="宋体"/>
                <w:color w:val="auto"/>
                <w:sz w:val="21"/>
                <w:szCs w:val="21"/>
              </w:rPr>
            </w:pPr>
            <w:r>
              <w:rPr>
                <w:rFonts w:hint="eastAsia" w:cs="宋体"/>
                <w:color w:val="auto"/>
                <w:sz w:val="21"/>
                <w:szCs w:val="21"/>
              </w:rPr>
              <w:t>2636.01</w:t>
            </w:r>
          </w:p>
        </w:tc>
        <w:tc>
          <w:tcPr>
            <w:tcW w:w="1018" w:type="pct"/>
            <w:vAlign w:val="center"/>
          </w:tcPr>
          <w:p w14:paraId="4376522D">
            <w:pPr>
              <w:widowControl w:val="0"/>
              <w:spacing w:line="360" w:lineRule="exact"/>
              <w:jc w:val="center"/>
              <w:rPr>
                <w:rFonts w:cs="宋体"/>
                <w:color w:val="auto"/>
                <w:sz w:val="21"/>
                <w:szCs w:val="21"/>
              </w:rPr>
            </w:pPr>
          </w:p>
        </w:tc>
      </w:tr>
      <w:tr w14:paraId="5E6B24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A9FD832">
            <w:pPr>
              <w:widowControl w:val="0"/>
              <w:spacing w:line="360" w:lineRule="exact"/>
              <w:jc w:val="center"/>
              <w:rPr>
                <w:rFonts w:cs="宋体"/>
                <w:color w:val="auto"/>
                <w:sz w:val="21"/>
                <w:szCs w:val="21"/>
              </w:rPr>
            </w:pPr>
            <w:r>
              <w:rPr>
                <w:rFonts w:hint="eastAsia" w:cs="宋体"/>
                <w:color w:val="auto"/>
                <w:sz w:val="21"/>
                <w:szCs w:val="21"/>
              </w:rPr>
              <w:t>2.1</w:t>
            </w:r>
          </w:p>
        </w:tc>
        <w:tc>
          <w:tcPr>
            <w:tcW w:w="1917" w:type="pct"/>
            <w:vAlign w:val="center"/>
          </w:tcPr>
          <w:p w14:paraId="4135CC68">
            <w:pPr>
              <w:widowControl w:val="0"/>
              <w:spacing w:line="360" w:lineRule="exact"/>
              <w:jc w:val="center"/>
              <w:rPr>
                <w:rFonts w:cs="宋体"/>
                <w:color w:val="auto"/>
                <w:sz w:val="21"/>
                <w:szCs w:val="21"/>
              </w:rPr>
            </w:pPr>
            <w:r>
              <w:rPr>
                <w:rFonts w:hint="eastAsia" w:cs="宋体"/>
                <w:color w:val="auto"/>
                <w:sz w:val="21"/>
                <w:szCs w:val="21"/>
              </w:rPr>
              <w:t>企业自筹资金</w:t>
            </w:r>
          </w:p>
        </w:tc>
        <w:tc>
          <w:tcPr>
            <w:tcW w:w="652" w:type="pct"/>
            <w:vAlign w:val="center"/>
          </w:tcPr>
          <w:p w14:paraId="47EF8E3E">
            <w:pPr>
              <w:widowControl w:val="0"/>
              <w:spacing w:line="360" w:lineRule="exact"/>
              <w:jc w:val="center"/>
              <w:rPr>
                <w:rFonts w:cs="宋体"/>
                <w:color w:val="auto"/>
                <w:sz w:val="21"/>
                <w:szCs w:val="21"/>
              </w:rPr>
            </w:pPr>
            <w:r>
              <w:rPr>
                <w:rFonts w:hint="eastAsia" w:cs="宋体"/>
                <w:color w:val="auto"/>
                <w:sz w:val="21"/>
                <w:szCs w:val="21"/>
              </w:rPr>
              <w:t>万元</w:t>
            </w:r>
          </w:p>
        </w:tc>
        <w:tc>
          <w:tcPr>
            <w:tcW w:w="976" w:type="pct"/>
            <w:vAlign w:val="center"/>
          </w:tcPr>
          <w:p w14:paraId="4C30BFE8">
            <w:pPr>
              <w:widowControl w:val="0"/>
              <w:spacing w:line="360" w:lineRule="exact"/>
              <w:jc w:val="center"/>
              <w:rPr>
                <w:rFonts w:cs="宋体"/>
                <w:color w:val="auto"/>
                <w:sz w:val="21"/>
                <w:szCs w:val="21"/>
              </w:rPr>
            </w:pPr>
            <w:r>
              <w:rPr>
                <w:rFonts w:hint="eastAsia" w:cs="宋体"/>
                <w:color w:val="auto"/>
                <w:sz w:val="21"/>
                <w:szCs w:val="21"/>
              </w:rPr>
              <w:t>25000.00</w:t>
            </w:r>
          </w:p>
        </w:tc>
        <w:tc>
          <w:tcPr>
            <w:tcW w:w="1018" w:type="pct"/>
            <w:vAlign w:val="center"/>
          </w:tcPr>
          <w:p w14:paraId="053F09E4">
            <w:pPr>
              <w:widowControl w:val="0"/>
              <w:spacing w:line="360" w:lineRule="exact"/>
              <w:jc w:val="center"/>
              <w:rPr>
                <w:rFonts w:cs="宋体"/>
                <w:color w:val="auto"/>
                <w:sz w:val="21"/>
                <w:szCs w:val="21"/>
              </w:rPr>
            </w:pPr>
          </w:p>
        </w:tc>
      </w:tr>
      <w:tr w14:paraId="0E1DDD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4F6FB66C">
            <w:pPr>
              <w:widowControl w:val="0"/>
              <w:spacing w:line="360" w:lineRule="exact"/>
              <w:jc w:val="center"/>
              <w:rPr>
                <w:rFonts w:cs="宋体"/>
                <w:color w:val="auto"/>
                <w:sz w:val="21"/>
                <w:szCs w:val="21"/>
              </w:rPr>
            </w:pPr>
            <w:r>
              <w:rPr>
                <w:rFonts w:hint="eastAsia" w:cs="宋体"/>
                <w:color w:val="auto"/>
                <w:sz w:val="21"/>
                <w:szCs w:val="21"/>
              </w:rPr>
              <w:t>3</w:t>
            </w:r>
          </w:p>
        </w:tc>
        <w:tc>
          <w:tcPr>
            <w:tcW w:w="1917" w:type="pct"/>
            <w:vAlign w:val="center"/>
          </w:tcPr>
          <w:p w14:paraId="0BB620EF">
            <w:pPr>
              <w:widowControl w:val="0"/>
              <w:spacing w:line="360" w:lineRule="exact"/>
              <w:jc w:val="center"/>
              <w:rPr>
                <w:rFonts w:cs="宋体"/>
                <w:color w:val="auto"/>
                <w:sz w:val="21"/>
                <w:szCs w:val="21"/>
              </w:rPr>
            </w:pPr>
            <w:r>
              <w:rPr>
                <w:rFonts w:hint="eastAsia" w:cs="宋体"/>
                <w:color w:val="auto"/>
                <w:sz w:val="21"/>
                <w:szCs w:val="21"/>
              </w:rPr>
              <w:t>年均销售收入</w:t>
            </w:r>
          </w:p>
        </w:tc>
        <w:tc>
          <w:tcPr>
            <w:tcW w:w="652" w:type="pct"/>
            <w:vAlign w:val="center"/>
          </w:tcPr>
          <w:p w14:paraId="651A202D">
            <w:pPr>
              <w:widowControl w:val="0"/>
              <w:spacing w:line="360" w:lineRule="exact"/>
              <w:jc w:val="center"/>
              <w:rPr>
                <w:rFonts w:cs="宋体"/>
                <w:color w:val="auto"/>
                <w:sz w:val="21"/>
                <w:szCs w:val="21"/>
              </w:rPr>
            </w:pPr>
            <w:r>
              <w:rPr>
                <w:rFonts w:hint="eastAsia" w:cs="宋体"/>
                <w:color w:val="auto"/>
                <w:sz w:val="21"/>
                <w:szCs w:val="21"/>
              </w:rPr>
              <w:t>万元</w:t>
            </w:r>
          </w:p>
        </w:tc>
        <w:tc>
          <w:tcPr>
            <w:tcW w:w="976" w:type="pct"/>
            <w:vAlign w:val="center"/>
          </w:tcPr>
          <w:p w14:paraId="365156C2">
            <w:pPr>
              <w:widowControl w:val="0"/>
              <w:spacing w:line="360" w:lineRule="exact"/>
              <w:jc w:val="center"/>
              <w:rPr>
                <w:rFonts w:cs="宋体"/>
                <w:color w:val="auto"/>
                <w:sz w:val="21"/>
                <w:szCs w:val="21"/>
              </w:rPr>
            </w:pPr>
            <w:r>
              <w:rPr>
                <w:rFonts w:hint="eastAsia" w:cs="宋体"/>
                <w:color w:val="auto"/>
                <w:sz w:val="21"/>
                <w:szCs w:val="21"/>
              </w:rPr>
              <w:t>22550.00</w:t>
            </w:r>
          </w:p>
        </w:tc>
        <w:tc>
          <w:tcPr>
            <w:tcW w:w="1018" w:type="pct"/>
            <w:vAlign w:val="center"/>
          </w:tcPr>
          <w:p w14:paraId="697A2658">
            <w:pPr>
              <w:widowControl w:val="0"/>
              <w:spacing w:line="360" w:lineRule="exact"/>
              <w:jc w:val="center"/>
              <w:rPr>
                <w:rFonts w:cs="宋体"/>
                <w:color w:val="auto"/>
                <w:sz w:val="21"/>
                <w:szCs w:val="21"/>
              </w:rPr>
            </w:pPr>
          </w:p>
        </w:tc>
      </w:tr>
      <w:tr w14:paraId="4B45D82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2AD8A745">
            <w:pPr>
              <w:widowControl w:val="0"/>
              <w:spacing w:line="360" w:lineRule="exact"/>
              <w:jc w:val="center"/>
              <w:rPr>
                <w:rFonts w:cs="宋体"/>
                <w:color w:val="auto"/>
                <w:sz w:val="21"/>
                <w:szCs w:val="21"/>
              </w:rPr>
            </w:pPr>
            <w:r>
              <w:rPr>
                <w:rFonts w:hint="eastAsia" w:cs="宋体"/>
                <w:color w:val="auto"/>
                <w:sz w:val="21"/>
                <w:szCs w:val="21"/>
              </w:rPr>
              <w:t>4</w:t>
            </w:r>
          </w:p>
        </w:tc>
        <w:tc>
          <w:tcPr>
            <w:tcW w:w="1917" w:type="pct"/>
            <w:vAlign w:val="center"/>
          </w:tcPr>
          <w:p w14:paraId="5495BC6F">
            <w:pPr>
              <w:widowControl w:val="0"/>
              <w:spacing w:line="360" w:lineRule="exact"/>
              <w:jc w:val="center"/>
              <w:rPr>
                <w:rFonts w:cs="宋体"/>
                <w:color w:val="auto"/>
                <w:sz w:val="21"/>
                <w:szCs w:val="21"/>
              </w:rPr>
            </w:pPr>
            <w:r>
              <w:rPr>
                <w:rFonts w:hint="eastAsia" w:cs="宋体"/>
                <w:color w:val="auto"/>
                <w:sz w:val="21"/>
                <w:szCs w:val="21"/>
              </w:rPr>
              <w:t>年均总成本</w:t>
            </w:r>
          </w:p>
        </w:tc>
        <w:tc>
          <w:tcPr>
            <w:tcW w:w="652" w:type="pct"/>
            <w:vAlign w:val="center"/>
          </w:tcPr>
          <w:p w14:paraId="0F6ADB46">
            <w:pPr>
              <w:widowControl w:val="0"/>
              <w:spacing w:line="360" w:lineRule="exact"/>
              <w:jc w:val="center"/>
              <w:rPr>
                <w:rFonts w:cs="宋体"/>
                <w:color w:val="auto"/>
                <w:sz w:val="21"/>
                <w:szCs w:val="21"/>
              </w:rPr>
            </w:pPr>
            <w:r>
              <w:rPr>
                <w:rFonts w:hint="eastAsia" w:cs="宋体"/>
                <w:color w:val="auto"/>
                <w:sz w:val="21"/>
                <w:szCs w:val="21"/>
              </w:rPr>
              <w:t>万元</w:t>
            </w:r>
          </w:p>
        </w:tc>
        <w:tc>
          <w:tcPr>
            <w:tcW w:w="976" w:type="pct"/>
            <w:vAlign w:val="center"/>
          </w:tcPr>
          <w:p w14:paraId="116AC3F4">
            <w:pPr>
              <w:widowControl w:val="0"/>
              <w:spacing w:line="360" w:lineRule="exact"/>
              <w:jc w:val="center"/>
              <w:rPr>
                <w:rFonts w:cs="宋体"/>
                <w:color w:val="auto"/>
                <w:sz w:val="21"/>
                <w:szCs w:val="21"/>
              </w:rPr>
            </w:pPr>
            <w:r>
              <w:rPr>
                <w:rFonts w:hint="eastAsia" w:cs="宋体"/>
                <w:color w:val="auto"/>
                <w:sz w:val="21"/>
                <w:szCs w:val="21"/>
              </w:rPr>
              <w:t>14875.97</w:t>
            </w:r>
          </w:p>
        </w:tc>
        <w:tc>
          <w:tcPr>
            <w:tcW w:w="1018" w:type="pct"/>
            <w:vAlign w:val="center"/>
          </w:tcPr>
          <w:p w14:paraId="47EC31F8">
            <w:pPr>
              <w:widowControl w:val="0"/>
              <w:spacing w:line="360" w:lineRule="exact"/>
              <w:jc w:val="center"/>
              <w:rPr>
                <w:rFonts w:cs="宋体"/>
                <w:color w:val="auto"/>
                <w:sz w:val="21"/>
                <w:szCs w:val="21"/>
              </w:rPr>
            </w:pPr>
          </w:p>
        </w:tc>
      </w:tr>
      <w:tr w14:paraId="675C8E4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37" w:type="pct"/>
            <w:vAlign w:val="center"/>
          </w:tcPr>
          <w:p w14:paraId="51812614">
            <w:pPr>
              <w:widowControl w:val="0"/>
              <w:spacing w:line="360" w:lineRule="exact"/>
              <w:jc w:val="center"/>
              <w:rPr>
                <w:rFonts w:cs="宋体"/>
                <w:color w:val="auto"/>
                <w:sz w:val="21"/>
                <w:szCs w:val="21"/>
              </w:rPr>
            </w:pPr>
            <w:r>
              <w:rPr>
                <w:rFonts w:hint="eastAsia" w:cs="宋体"/>
                <w:color w:val="auto"/>
                <w:sz w:val="21"/>
                <w:szCs w:val="21"/>
              </w:rPr>
              <w:t>5</w:t>
            </w:r>
          </w:p>
        </w:tc>
        <w:tc>
          <w:tcPr>
            <w:tcW w:w="1917" w:type="pct"/>
            <w:vAlign w:val="center"/>
          </w:tcPr>
          <w:p w14:paraId="629EC107">
            <w:pPr>
              <w:widowControl w:val="0"/>
              <w:spacing w:line="360" w:lineRule="exact"/>
              <w:jc w:val="center"/>
              <w:rPr>
                <w:rFonts w:cs="宋体"/>
                <w:color w:val="auto"/>
                <w:sz w:val="21"/>
                <w:szCs w:val="21"/>
              </w:rPr>
            </w:pPr>
            <w:r>
              <w:rPr>
                <w:rFonts w:hint="eastAsia" w:cs="宋体"/>
                <w:color w:val="auto"/>
                <w:sz w:val="21"/>
                <w:szCs w:val="21"/>
              </w:rPr>
              <w:t>税后静态投资回收期</w:t>
            </w:r>
          </w:p>
        </w:tc>
        <w:tc>
          <w:tcPr>
            <w:tcW w:w="652" w:type="pct"/>
            <w:vAlign w:val="center"/>
          </w:tcPr>
          <w:p w14:paraId="7F601BBB">
            <w:pPr>
              <w:widowControl w:val="0"/>
              <w:spacing w:line="360" w:lineRule="exact"/>
              <w:jc w:val="center"/>
              <w:rPr>
                <w:rFonts w:cs="宋体"/>
                <w:color w:val="auto"/>
                <w:sz w:val="21"/>
                <w:szCs w:val="21"/>
              </w:rPr>
            </w:pPr>
            <w:r>
              <w:rPr>
                <w:rFonts w:hint="eastAsia" w:cs="宋体"/>
                <w:color w:val="auto"/>
                <w:sz w:val="21"/>
                <w:szCs w:val="21"/>
              </w:rPr>
              <w:t>年</w:t>
            </w:r>
          </w:p>
        </w:tc>
        <w:tc>
          <w:tcPr>
            <w:tcW w:w="976" w:type="pct"/>
            <w:vAlign w:val="center"/>
          </w:tcPr>
          <w:p w14:paraId="2514CE3F">
            <w:pPr>
              <w:widowControl w:val="0"/>
              <w:spacing w:line="360" w:lineRule="exact"/>
              <w:jc w:val="center"/>
              <w:rPr>
                <w:rFonts w:cs="宋体"/>
                <w:color w:val="auto"/>
                <w:sz w:val="21"/>
                <w:szCs w:val="21"/>
              </w:rPr>
            </w:pPr>
            <w:r>
              <w:rPr>
                <w:rFonts w:hint="eastAsia" w:cs="宋体"/>
                <w:color w:val="auto"/>
                <w:sz w:val="21"/>
                <w:szCs w:val="21"/>
              </w:rPr>
              <w:t>4.23</w:t>
            </w:r>
          </w:p>
        </w:tc>
        <w:tc>
          <w:tcPr>
            <w:tcW w:w="1018" w:type="pct"/>
            <w:vAlign w:val="center"/>
          </w:tcPr>
          <w:p w14:paraId="2A38FD5C">
            <w:pPr>
              <w:widowControl w:val="0"/>
              <w:spacing w:line="360" w:lineRule="exact"/>
              <w:jc w:val="center"/>
              <w:rPr>
                <w:rFonts w:cs="宋体"/>
                <w:color w:val="auto"/>
                <w:sz w:val="21"/>
                <w:szCs w:val="21"/>
              </w:rPr>
            </w:pPr>
            <w:r>
              <w:rPr>
                <w:rFonts w:hint="eastAsia" w:cs="宋体"/>
                <w:color w:val="auto"/>
                <w:sz w:val="21"/>
                <w:szCs w:val="21"/>
              </w:rPr>
              <w:t>含1年建设期</w:t>
            </w:r>
          </w:p>
        </w:tc>
      </w:tr>
    </w:tbl>
    <w:p w14:paraId="64CB5485">
      <w:pPr>
        <w:pStyle w:val="1304"/>
        <w:rPr>
          <w:color w:val="auto"/>
        </w:rPr>
      </w:pPr>
    </w:p>
    <w:p w14:paraId="67764F86">
      <w:pPr>
        <w:pStyle w:val="3"/>
        <w:rPr>
          <w:color w:val="auto"/>
        </w:rPr>
      </w:pPr>
      <w:bookmarkStart w:id="201" w:name="_Toc229930123"/>
      <w:r>
        <w:rPr>
          <w:rFonts w:hint="eastAsia"/>
          <w:color w:val="auto"/>
        </w:rPr>
        <w:t>厂内工程工艺流程及污染因素分析</w:t>
      </w:r>
      <w:bookmarkEnd w:id="201"/>
    </w:p>
    <w:p w14:paraId="40D5C662">
      <w:pPr>
        <w:pStyle w:val="4"/>
        <w:rPr>
          <w:color w:val="auto"/>
        </w:rPr>
      </w:pPr>
      <w:r>
        <w:rPr>
          <w:rFonts w:hint="eastAsia"/>
          <w:color w:val="auto"/>
        </w:rPr>
        <w:t>工艺原理及危险废物处理技术可行性分析</w:t>
      </w:r>
    </w:p>
    <w:p w14:paraId="0F73E503">
      <w:pPr>
        <w:pStyle w:val="132"/>
        <w:rPr>
          <w:rFonts w:hint="eastAsia"/>
          <w:color w:val="auto"/>
          <w:lang w:eastAsia="zh-CN"/>
        </w:rPr>
      </w:pPr>
      <w:r>
        <w:rPr>
          <w:rFonts w:hint="eastAsia"/>
          <w:color w:val="auto"/>
          <w:lang w:eastAsia="zh-CN"/>
        </w:rPr>
        <w:t>（</w:t>
      </w:r>
      <w:r>
        <w:rPr>
          <w:rFonts w:hint="eastAsia"/>
          <w:color w:val="auto"/>
          <w:lang w:val="en-US" w:eastAsia="zh-CN"/>
        </w:rPr>
        <w:t>略</w:t>
      </w:r>
      <w:r>
        <w:rPr>
          <w:rFonts w:hint="eastAsia"/>
          <w:color w:val="auto"/>
          <w:lang w:eastAsia="zh-CN"/>
        </w:rPr>
        <w:t>）</w:t>
      </w:r>
    </w:p>
    <w:p w14:paraId="6C25559D">
      <w:pPr>
        <w:pStyle w:val="4"/>
        <w:rPr>
          <w:color w:val="auto"/>
        </w:rPr>
      </w:pPr>
      <w:r>
        <w:rPr>
          <w:rFonts w:hint="eastAsia"/>
          <w:color w:val="auto"/>
        </w:rPr>
        <w:t>危险废物处置</w:t>
      </w:r>
      <w:r>
        <w:rPr>
          <w:color w:val="auto"/>
        </w:rPr>
        <w:t>流程及产污节点</w:t>
      </w:r>
    </w:p>
    <w:p w14:paraId="6F526AB5">
      <w:pPr>
        <w:pStyle w:val="5"/>
        <w:rPr>
          <w:color w:val="auto"/>
        </w:rPr>
      </w:pPr>
      <w:r>
        <w:rPr>
          <w:rFonts w:hint="eastAsia"/>
          <w:color w:val="auto"/>
        </w:rPr>
        <w:t>危险废物处置工艺流程简述</w:t>
      </w:r>
    </w:p>
    <w:p w14:paraId="48D2EEE6">
      <w:pPr>
        <w:pStyle w:val="132"/>
        <w:rPr>
          <w:rFonts w:hint="eastAsia" w:eastAsia="宋体"/>
          <w:color w:val="auto"/>
          <w:lang w:eastAsia="zh-CN"/>
        </w:rPr>
      </w:pPr>
      <w:r>
        <w:rPr>
          <w:rFonts w:hint="eastAsia"/>
          <w:color w:val="auto"/>
          <w:lang w:eastAsia="zh-CN"/>
        </w:rPr>
        <w:t>（</w:t>
      </w:r>
      <w:r>
        <w:rPr>
          <w:rFonts w:hint="eastAsia"/>
          <w:color w:val="auto"/>
          <w:lang w:val="en-US" w:eastAsia="zh-CN"/>
        </w:rPr>
        <w:t>略</w:t>
      </w:r>
      <w:r>
        <w:rPr>
          <w:rFonts w:hint="eastAsia"/>
          <w:color w:val="auto"/>
          <w:lang w:eastAsia="zh-CN"/>
        </w:rPr>
        <w:t>）</w:t>
      </w:r>
    </w:p>
    <w:p w14:paraId="0E5FFD7F">
      <w:pPr>
        <w:pStyle w:val="5"/>
        <w:rPr>
          <w:color w:val="auto"/>
        </w:rPr>
      </w:pPr>
      <w:r>
        <w:rPr>
          <w:rFonts w:hint="eastAsia"/>
          <w:color w:val="auto"/>
        </w:rPr>
        <w:t>危险废物处置</w:t>
      </w:r>
      <w:r>
        <w:rPr>
          <w:color w:val="auto"/>
        </w:rPr>
        <w:t>产污环节及</w:t>
      </w:r>
      <w:r>
        <w:rPr>
          <w:rFonts w:hint="eastAsia"/>
          <w:color w:val="auto"/>
        </w:rPr>
        <w:t>环境保护措施</w:t>
      </w:r>
    </w:p>
    <w:p w14:paraId="138CB626">
      <w:pPr>
        <w:pStyle w:val="132"/>
        <w:rPr>
          <w:color w:val="auto"/>
        </w:rPr>
      </w:pPr>
      <w:r>
        <w:rPr>
          <w:rFonts w:hint="eastAsia"/>
          <w:color w:val="auto"/>
        </w:rPr>
        <w:t>（1）</w:t>
      </w:r>
      <w:r>
        <w:rPr>
          <w:color w:val="auto"/>
        </w:rPr>
        <w:t>废气</w:t>
      </w:r>
    </w:p>
    <w:p w14:paraId="18348E73">
      <w:pPr>
        <w:pStyle w:val="132"/>
        <w:rPr>
          <w:color w:val="auto"/>
        </w:rPr>
      </w:pPr>
      <w:bookmarkStart w:id="202" w:name="OLE_LINK115"/>
      <w:r>
        <w:rPr>
          <w:rFonts w:hint="eastAsia"/>
          <w:color w:val="auto"/>
        </w:rPr>
        <w:t>危险废物处置废气主要来自氨水使用过程中含氨废气（</w:t>
      </w:r>
      <w:r>
        <w:rPr>
          <w:color w:val="auto"/>
        </w:rPr>
        <w:t>G</w:t>
      </w:r>
      <w:r>
        <w:rPr>
          <w:color w:val="auto"/>
          <w:vertAlign w:val="subscript"/>
        </w:rPr>
        <w:t>1</w:t>
      </w:r>
      <w:r>
        <w:rPr>
          <w:rFonts w:hint="eastAsia"/>
          <w:color w:val="auto"/>
          <w:vertAlign w:val="superscript"/>
        </w:rPr>
        <w:t>①</w:t>
      </w:r>
      <w:r>
        <w:rPr>
          <w:rFonts w:hint="eastAsia"/>
          <w:color w:val="auto"/>
        </w:rPr>
        <w:t>～</w:t>
      </w:r>
      <w:r>
        <w:rPr>
          <w:color w:val="auto"/>
        </w:rPr>
        <w:t>G</w:t>
      </w:r>
      <w:r>
        <w:rPr>
          <w:color w:val="auto"/>
          <w:vertAlign w:val="subscript"/>
        </w:rPr>
        <w:t>1</w:t>
      </w:r>
      <w:r>
        <w:rPr>
          <w:rFonts w:hint="eastAsia"/>
          <w:color w:val="auto"/>
          <w:vertAlign w:val="superscript"/>
        </w:rPr>
        <w:t>⑦</w:t>
      </w:r>
      <w:r>
        <w:rPr>
          <w:rFonts w:hint="eastAsia"/>
          <w:color w:val="auto"/>
        </w:rPr>
        <w:t>）统一收集后通过水洗处理，通过DA001排放口排放；</w:t>
      </w:r>
      <w:bookmarkStart w:id="203" w:name="OLE_LINK7"/>
      <w:r>
        <w:rPr>
          <w:rFonts w:hint="eastAsia"/>
          <w:color w:val="auto"/>
        </w:rPr>
        <w:t>硫酸铵干燥废气（G2）和硫酸铵包装废气（G</w:t>
      </w:r>
      <w:r>
        <w:rPr>
          <w:rFonts w:hint="eastAsia"/>
          <w:color w:val="auto"/>
          <w:vertAlign w:val="subscript"/>
        </w:rPr>
        <w:t>3</w:t>
      </w:r>
      <w:r>
        <w:rPr>
          <w:rFonts w:hint="eastAsia"/>
          <w:color w:val="auto"/>
        </w:rPr>
        <w:t>）主要含有颗粒物和氨，分别采用布袋除尘器处理，处理后废气合并经过DA002排气筒排放；鼓泡反应器产生的少量二氧化碳气（</w:t>
      </w:r>
      <w:r>
        <w:rPr>
          <w:color w:val="auto"/>
        </w:rPr>
        <w:t>G</w:t>
      </w:r>
      <w:r>
        <w:rPr>
          <w:color w:val="auto"/>
          <w:vertAlign w:val="subscript"/>
        </w:rPr>
        <w:t>4</w:t>
      </w:r>
      <w:r>
        <w:rPr>
          <w:rFonts w:hint="eastAsia"/>
          <w:color w:val="auto"/>
          <w:vertAlign w:val="superscript"/>
        </w:rPr>
        <w:t>①</w:t>
      </w:r>
      <w:r>
        <w:rPr>
          <w:rFonts w:hint="eastAsia"/>
          <w:color w:val="auto"/>
        </w:rPr>
        <w:t>、G</w:t>
      </w:r>
      <w:r>
        <w:rPr>
          <w:rFonts w:hint="eastAsia"/>
          <w:color w:val="auto"/>
          <w:vertAlign w:val="subscript"/>
        </w:rPr>
        <w:t>4</w:t>
      </w:r>
      <w:r>
        <w:rPr>
          <w:rFonts w:hint="eastAsia"/>
          <w:color w:val="auto"/>
          <w:vertAlign w:val="superscript"/>
        </w:rPr>
        <w:t>②</w:t>
      </w:r>
      <w:r>
        <w:rPr>
          <w:rFonts w:hint="eastAsia"/>
          <w:color w:val="auto"/>
        </w:rPr>
        <w:t>）含有微量的硫化氢，收集后通过DA003排放口排放，碳酸钠干燥废气（G</w:t>
      </w:r>
      <w:r>
        <w:rPr>
          <w:rFonts w:hint="eastAsia"/>
          <w:color w:val="auto"/>
          <w:vertAlign w:val="subscript"/>
        </w:rPr>
        <w:t>5</w:t>
      </w:r>
      <w:r>
        <w:rPr>
          <w:rFonts w:hint="eastAsia"/>
          <w:color w:val="auto"/>
        </w:rPr>
        <w:t>）和碳酸钠包装废气（G</w:t>
      </w:r>
      <w:r>
        <w:rPr>
          <w:rFonts w:hint="eastAsia"/>
          <w:color w:val="auto"/>
          <w:vertAlign w:val="subscript"/>
        </w:rPr>
        <w:t>6</w:t>
      </w:r>
      <w:r>
        <w:rPr>
          <w:rFonts w:hint="eastAsia"/>
          <w:color w:val="auto"/>
        </w:rPr>
        <w:t>）主要含有颗粒物，分别采用布袋除尘器处理，处理后废气合并经过DA004排放口排放；水铝石干燥废气（G</w:t>
      </w:r>
      <w:r>
        <w:rPr>
          <w:rFonts w:hint="eastAsia"/>
          <w:color w:val="auto"/>
          <w:vertAlign w:val="subscript"/>
        </w:rPr>
        <w:t>7</w:t>
      </w:r>
      <w:r>
        <w:rPr>
          <w:rFonts w:hint="eastAsia"/>
          <w:color w:val="auto"/>
        </w:rPr>
        <w:t>）和水铝石包装废气（G</w:t>
      </w:r>
      <w:r>
        <w:rPr>
          <w:rFonts w:hint="eastAsia"/>
          <w:color w:val="auto"/>
          <w:vertAlign w:val="subscript"/>
        </w:rPr>
        <w:t>8</w:t>
      </w:r>
      <w:r>
        <w:rPr>
          <w:rFonts w:hint="eastAsia"/>
          <w:color w:val="auto"/>
        </w:rPr>
        <w:t>），主要含有颗粒物，分别经过布袋除尘器处理后通过DA005排放口排放。</w:t>
      </w:r>
    </w:p>
    <w:bookmarkEnd w:id="202"/>
    <w:bookmarkEnd w:id="203"/>
    <w:p w14:paraId="33497F8F">
      <w:pPr>
        <w:pStyle w:val="132"/>
        <w:rPr>
          <w:color w:val="auto"/>
        </w:rPr>
      </w:pPr>
      <w:r>
        <w:rPr>
          <w:rFonts w:hint="eastAsia"/>
          <w:color w:val="auto"/>
        </w:rPr>
        <w:t>（2）废水</w:t>
      </w:r>
    </w:p>
    <w:p w14:paraId="25AF6A1E">
      <w:pPr>
        <w:pStyle w:val="132"/>
        <w:rPr>
          <w:color w:val="auto"/>
        </w:rPr>
      </w:pPr>
      <w:r>
        <w:rPr>
          <w:rFonts w:hint="eastAsia"/>
          <w:color w:val="auto"/>
        </w:rPr>
        <w:t>项目废水主要为含硝酸铝废酸液处理RO膜和MVR蒸发器产生的冷凝水（W</w:t>
      </w:r>
      <w:r>
        <w:rPr>
          <w:rFonts w:hint="eastAsia"/>
          <w:color w:val="auto"/>
          <w:vertAlign w:val="subscript"/>
        </w:rPr>
        <w:t>1</w:t>
      </w:r>
      <w:r>
        <w:rPr>
          <w:rFonts w:hint="eastAsia"/>
          <w:color w:val="auto"/>
        </w:rPr>
        <w:t>），硫酸铵三效蒸发器蒸发冷凝水（W</w:t>
      </w:r>
      <w:r>
        <w:rPr>
          <w:rFonts w:hint="eastAsia"/>
          <w:color w:val="auto"/>
          <w:vertAlign w:val="subscript"/>
        </w:rPr>
        <w:t>2</w:t>
      </w:r>
      <w:r>
        <w:rPr>
          <w:rFonts w:hint="eastAsia"/>
          <w:color w:val="auto"/>
        </w:rPr>
        <w:t>），液体肥料2MVR蒸发器蒸发冷凝水（W</w:t>
      </w:r>
      <w:r>
        <w:rPr>
          <w:rFonts w:hint="eastAsia"/>
          <w:color w:val="auto"/>
          <w:vertAlign w:val="subscript"/>
        </w:rPr>
        <w:t>3</w:t>
      </w:r>
      <w:r>
        <w:rPr>
          <w:rFonts w:hint="eastAsia"/>
          <w:color w:val="auto"/>
        </w:rPr>
        <w:t>），碳酸钠RO膜浓缩冷凝水（W</w:t>
      </w:r>
      <w:r>
        <w:rPr>
          <w:rFonts w:hint="eastAsia"/>
          <w:color w:val="auto"/>
          <w:vertAlign w:val="subscript"/>
        </w:rPr>
        <w:t>4</w:t>
      </w:r>
      <w:r>
        <w:rPr>
          <w:rFonts w:hint="eastAsia"/>
          <w:color w:val="auto"/>
        </w:rPr>
        <w:t>），水铝石MVR蒸发冷凝水（W</w:t>
      </w:r>
      <w:r>
        <w:rPr>
          <w:rFonts w:hint="eastAsia"/>
          <w:color w:val="auto"/>
          <w:vertAlign w:val="subscript"/>
        </w:rPr>
        <w:t>5</w:t>
      </w:r>
      <w:r>
        <w:rPr>
          <w:rFonts w:hint="eastAsia"/>
          <w:color w:val="auto"/>
        </w:rPr>
        <w:t>），氢氧化钠浓缩冷凝水（W</w:t>
      </w:r>
      <w:r>
        <w:rPr>
          <w:rFonts w:hint="eastAsia"/>
          <w:color w:val="auto"/>
          <w:vertAlign w:val="subscript"/>
        </w:rPr>
        <w:t>6</w:t>
      </w:r>
      <w:r>
        <w:rPr>
          <w:rFonts w:hint="eastAsia"/>
          <w:color w:val="auto"/>
        </w:rPr>
        <w:t>），以上冷凝水均属于清静水，主要含有少量COD、氨氮、盐类，达到《城市污水再生利用</w:t>
      </w:r>
      <w:r>
        <w:rPr>
          <w:color w:val="auto"/>
        </w:rPr>
        <w:t xml:space="preserve">  </w:t>
      </w:r>
      <w:r>
        <w:rPr>
          <w:rFonts w:hint="eastAsia"/>
          <w:color w:val="auto"/>
        </w:rPr>
        <w:t>工业用水水质》（</w:t>
      </w:r>
      <w:r>
        <w:rPr>
          <w:color w:val="auto"/>
        </w:rPr>
        <w:t>GB/T 19923-2024</w:t>
      </w:r>
      <w:r>
        <w:rPr>
          <w:rFonts w:hint="eastAsia"/>
          <w:color w:val="auto"/>
        </w:rPr>
        <w:t>）后送乌鲁木齐众荣电子材料科技有限公司进行回用。</w:t>
      </w:r>
    </w:p>
    <w:p w14:paraId="5586BA38">
      <w:pPr>
        <w:pStyle w:val="132"/>
        <w:rPr>
          <w:color w:val="auto"/>
        </w:rPr>
      </w:pPr>
      <w:r>
        <w:rPr>
          <w:rFonts w:hint="eastAsia"/>
          <w:color w:val="auto"/>
        </w:rPr>
        <w:t>（3）固体废物</w:t>
      </w:r>
    </w:p>
    <w:p w14:paraId="2CA2CE76">
      <w:pPr>
        <w:pStyle w:val="132"/>
        <w:rPr>
          <w:color w:val="auto"/>
        </w:rPr>
      </w:pPr>
      <w:r>
        <w:rPr>
          <w:rFonts w:hint="eastAsia"/>
          <w:color w:val="auto"/>
        </w:rPr>
        <w:t>项目固体废物主要为废RO膜，废真空滤袋。除尘器收集的粉尘主要是副产品，收集后与副产品一同出售。</w:t>
      </w:r>
    </w:p>
    <w:p w14:paraId="7CD74FB8">
      <w:pPr>
        <w:pStyle w:val="132"/>
        <w:rPr>
          <w:color w:val="auto"/>
        </w:rPr>
      </w:pPr>
      <w:r>
        <w:rPr>
          <w:rFonts w:hint="eastAsia"/>
          <w:color w:val="auto"/>
        </w:rPr>
        <w:t>（4）</w:t>
      </w:r>
      <w:r>
        <w:rPr>
          <w:color w:val="auto"/>
        </w:rPr>
        <w:t>噪声</w:t>
      </w:r>
    </w:p>
    <w:p w14:paraId="6B1A314A">
      <w:pPr>
        <w:pStyle w:val="132"/>
        <w:rPr>
          <w:color w:val="auto"/>
        </w:rPr>
      </w:pPr>
      <w:r>
        <w:rPr>
          <w:rFonts w:hint="eastAsia"/>
          <w:color w:val="auto"/>
        </w:rPr>
        <w:t>工程噪声主要为机械噪声，机械噪声源为干燥器、包装机、泵类等，主要采取消声减振措施。</w:t>
      </w:r>
    </w:p>
    <w:p w14:paraId="66E1D001">
      <w:pPr>
        <w:pStyle w:val="132"/>
        <w:rPr>
          <w:color w:val="auto"/>
        </w:rPr>
      </w:pPr>
      <w:r>
        <w:rPr>
          <w:rFonts w:hint="eastAsia"/>
          <w:color w:val="auto"/>
        </w:rPr>
        <w:t>产污环节及治理措施见表3.2.3-1</w:t>
      </w:r>
      <w:r>
        <w:rPr>
          <w:color w:val="auto"/>
        </w:rPr>
        <w:t>。</w:t>
      </w:r>
    </w:p>
    <w:p w14:paraId="7FF59465">
      <w:pPr>
        <w:pStyle w:val="132"/>
        <w:rPr>
          <w:color w:val="auto"/>
        </w:rPr>
      </w:pPr>
    </w:p>
    <w:p w14:paraId="0B4AE553">
      <w:pPr>
        <w:pStyle w:val="132"/>
        <w:rPr>
          <w:color w:val="auto"/>
        </w:rPr>
      </w:pPr>
    </w:p>
    <w:p w14:paraId="534C53BA">
      <w:pPr>
        <w:pStyle w:val="132"/>
        <w:rPr>
          <w:color w:val="auto"/>
        </w:rPr>
        <w:sectPr>
          <w:type w:val="continuous"/>
          <w:pgSz w:w="11906" w:h="16838"/>
          <w:pgMar w:top="1440" w:right="1588" w:bottom="1389" w:left="1588" w:header="737" w:footer="822" w:gutter="0"/>
          <w:cols w:space="425" w:num="1"/>
          <w:docGrid w:type="lines" w:linePitch="312" w:charSpace="0"/>
        </w:sectPr>
      </w:pPr>
    </w:p>
    <w:p w14:paraId="3234F7B7">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color w:val="auto"/>
        </w:rPr>
        <w:t xml:space="preserve">   产污环节</w:t>
      </w:r>
      <w:r>
        <w:rPr>
          <w:rFonts w:hint="eastAsia"/>
          <w:color w:val="auto"/>
        </w:rPr>
        <w:t>及治理措施</w:t>
      </w:r>
      <w:r>
        <w:rPr>
          <w:color w:val="auto"/>
        </w:rPr>
        <w:t>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828"/>
        <w:gridCol w:w="730"/>
        <w:gridCol w:w="2338"/>
        <w:gridCol w:w="1797"/>
        <w:gridCol w:w="1695"/>
        <w:gridCol w:w="1811"/>
        <w:gridCol w:w="1673"/>
        <w:gridCol w:w="979"/>
        <w:gridCol w:w="933"/>
        <w:gridCol w:w="933"/>
      </w:tblGrid>
      <w:tr w14:paraId="6C7DBAE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302" w:type="pct"/>
            <w:vAlign w:val="center"/>
          </w:tcPr>
          <w:p w14:paraId="350FE599">
            <w:pPr>
              <w:pStyle w:val="129"/>
              <w:widowControl w:val="0"/>
              <w:rPr>
                <w:color w:val="auto"/>
              </w:rPr>
            </w:pPr>
            <w:r>
              <w:rPr>
                <w:color w:val="auto"/>
              </w:rPr>
              <w:t>类别</w:t>
            </w:r>
          </w:p>
        </w:tc>
        <w:tc>
          <w:tcPr>
            <w:tcW w:w="266" w:type="pct"/>
            <w:vAlign w:val="center"/>
          </w:tcPr>
          <w:p w14:paraId="3DE7E850">
            <w:pPr>
              <w:pStyle w:val="129"/>
              <w:widowControl w:val="0"/>
              <w:rPr>
                <w:color w:val="auto"/>
              </w:rPr>
            </w:pPr>
            <w:r>
              <w:rPr>
                <w:color w:val="auto"/>
              </w:rPr>
              <w:t>编号</w:t>
            </w:r>
          </w:p>
        </w:tc>
        <w:tc>
          <w:tcPr>
            <w:tcW w:w="852" w:type="pct"/>
            <w:vAlign w:val="center"/>
          </w:tcPr>
          <w:p w14:paraId="04C814B7">
            <w:pPr>
              <w:pStyle w:val="129"/>
              <w:widowControl w:val="0"/>
              <w:rPr>
                <w:color w:val="auto"/>
              </w:rPr>
            </w:pPr>
            <w:r>
              <w:rPr>
                <w:color w:val="auto"/>
              </w:rPr>
              <w:t>污染源名称</w:t>
            </w:r>
          </w:p>
        </w:tc>
        <w:tc>
          <w:tcPr>
            <w:tcW w:w="655" w:type="pct"/>
            <w:vAlign w:val="center"/>
          </w:tcPr>
          <w:p w14:paraId="0ACF672F">
            <w:pPr>
              <w:pStyle w:val="129"/>
              <w:widowControl w:val="0"/>
              <w:rPr>
                <w:color w:val="auto"/>
              </w:rPr>
            </w:pPr>
            <w:r>
              <w:rPr>
                <w:color w:val="auto"/>
              </w:rPr>
              <w:t>生产设施</w:t>
            </w:r>
          </w:p>
        </w:tc>
        <w:tc>
          <w:tcPr>
            <w:tcW w:w="618" w:type="pct"/>
            <w:vAlign w:val="center"/>
          </w:tcPr>
          <w:p w14:paraId="51B61A1D">
            <w:pPr>
              <w:pStyle w:val="129"/>
              <w:widowControl w:val="0"/>
              <w:rPr>
                <w:color w:val="auto"/>
              </w:rPr>
            </w:pPr>
            <w:r>
              <w:rPr>
                <w:color w:val="auto"/>
              </w:rPr>
              <w:t xml:space="preserve">污染物 </w:t>
            </w:r>
          </w:p>
        </w:tc>
        <w:tc>
          <w:tcPr>
            <w:tcW w:w="660" w:type="pct"/>
            <w:vAlign w:val="center"/>
          </w:tcPr>
          <w:p w14:paraId="5214B289">
            <w:pPr>
              <w:pStyle w:val="129"/>
              <w:widowControl w:val="0"/>
              <w:rPr>
                <w:color w:val="auto"/>
              </w:rPr>
            </w:pPr>
            <w:r>
              <w:rPr>
                <w:rFonts w:hint="eastAsia"/>
                <w:color w:val="auto"/>
              </w:rPr>
              <w:t>治理措施</w:t>
            </w:r>
          </w:p>
        </w:tc>
        <w:tc>
          <w:tcPr>
            <w:tcW w:w="610" w:type="pct"/>
            <w:vAlign w:val="center"/>
          </w:tcPr>
          <w:p w14:paraId="7F12101A">
            <w:pPr>
              <w:pStyle w:val="129"/>
              <w:widowControl w:val="0"/>
              <w:rPr>
                <w:color w:val="auto"/>
              </w:rPr>
            </w:pPr>
            <w:r>
              <w:rPr>
                <w:rFonts w:hint="eastAsia"/>
                <w:color w:val="auto"/>
              </w:rPr>
              <w:t>执行标准</w:t>
            </w:r>
          </w:p>
        </w:tc>
        <w:tc>
          <w:tcPr>
            <w:tcW w:w="357" w:type="pct"/>
            <w:vAlign w:val="center"/>
          </w:tcPr>
          <w:p w14:paraId="7300A995">
            <w:pPr>
              <w:pStyle w:val="129"/>
              <w:widowControl w:val="0"/>
              <w:rPr>
                <w:color w:val="auto"/>
              </w:rPr>
            </w:pPr>
            <w:r>
              <w:rPr>
                <w:color w:val="auto"/>
              </w:rPr>
              <w:t>排口数</w:t>
            </w:r>
          </w:p>
        </w:tc>
        <w:tc>
          <w:tcPr>
            <w:tcW w:w="340" w:type="pct"/>
            <w:vAlign w:val="center"/>
          </w:tcPr>
          <w:p w14:paraId="7B76A7F2">
            <w:pPr>
              <w:pStyle w:val="129"/>
              <w:widowControl w:val="0"/>
              <w:rPr>
                <w:color w:val="auto"/>
              </w:rPr>
            </w:pPr>
            <w:r>
              <w:rPr>
                <w:color w:val="auto"/>
              </w:rPr>
              <w:t>排口</w:t>
            </w:r>
            <w:r>
              <w:rPr>
                <w:rFonts w:hint="eastAsia"/>
                <w:color w:val="auto"/>
              </w:rPr>
              <w:t>编号</w:t>
            </w:r>
          </w:p>
        </w:tc>
        <w:tc>
          <w:tcPr>
            <w:tcW w:w="340" w:type="pct"/>
            <w:vAlign w:val="center"/>
          </w:tcPr>
          <w:p w14:paraId="1215E1A2">
            <w:pPr>
              <w:pStyle w:val="129"/>
              <w:widowControl w:val="0"/>
              <w:rPr>
                <w:color w:val="auto"/>
              </w:rPr>
            </w:pPr>
            <w:r>
              <w:rPr>
                <w:rFonts w:hint="eastAsia"/>
                <w:color w:val="auto"/>
              </w:rPr>
              <w:t>备注</w:t>
            </w:r>
          </w:p>
        </w:tc>
      </w:tr>
      <w:tr w14:paraId="5E96808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restart"/>
            <w:vAlign w:val="center"/>
          </w:tcPr>
          <w:p w14:paraId="2E78DCFB">
            <w:pPr>
              <w:pStyle w:val="129"/>
              <w:widowControl w:val="0"/>
              <w:rPr>
                <w:color w:val="auto"/>
              </w:rPr>
            </w:pPr>
            <w:r>
              <w:rPr>
                <w:color w:val="auto"/>
              </w:rPr>
              <w:t>废气</w:t>
            </w:r>
          </w:p>
        </w:tc>
        <w:tc>
          <w:tcPr>
            <w:tcW w:w="266" w:type="pct"/>
            <w:vAlign w:val="center"/>
          </w:tcPr>
          <w:p w14:paraId="6DC25CBA">
            <w:pPr>
              <w:pStyle w:val="129"/>
              <w:widowControl w:val="0"/>
              <w:rPr>
                <w:color w:val="auto"/>
              </w:rPr>
            </w:pPr>
            <w:bookmarkStart w:id="204" w:name="OLE_LINK67"/>
            <w:bookmarkStart w:id="205" w:name="OLE_LINK92"/>
            <w:r>
              <w:rPr>
                <w:color w:val="auto"/>
              </w:rPr>
              <w:t>G</w:t>
            </w:r>
            <w:r>
              <w:rPr>
                <w:color w:val="auto"/>
                <w:vertAlign w:val="subscript"/>
              </w:rPr>
              <w:t>1</w:t>
            </w:r>
            <w:r>
              <w:rPr>
                <w:rFonts w:hint="eastAsia"/>
                <w:color w:val="auto"/>
                <w:vertAlign w:val="superscript"/>
              </w:rPr>
              <w:t>①</w:t>
            </w:r>
            <w:bookmarkEnd w:id="204"/>
            <w:r>
              <w:rPr>
                <w:rFonts w:hint="eastAsia"/>
                <w:color w:val="auto"/>
              </w:rPr>
              <w:t>～</w:t>
            </w:r>
            <w:r>
              <w:rPr>
                <w:color w:val="auto"/>
              </w:rPr>
              <w:t>G</w:t>
            </w:r>
            <w:r>
              <w:rPr>
                <w:color w:val="auto"/>
                <w:vertAlign w:val="subscript"/>
              </w:rPr>
              <w:t>1</w:t>
            </w:r>
            <w:r>
              <w:rPr>
                <w:rFonts w:hint="eastAsia"/>
                <w:color w:val="auto"/>
                <w:vertAlign w:val="superscript"/>
              </w:rPr>
              <w:t>⑦</w:t>
            </w:r>
            <w:bookmarkEnd w:id="205"/>
          </w:p>
        </w:tc>
        <w:tc>
          <w:tcPr>
            <w:tcW w:w="852" w:type="pct"/>
            <w:vAlign w:val="center"/>
          </w:tcPr>
          <w:p w14:paraId="546C39B7">
            <w:pPr>
              <w:pStyle w:val="129"/>
              <w:widowControl w:val="0"/>
              <w:rPr>
                <w:color w:val="auto"/>
              </w:rPr>
            </w:pPr>
            <w:r>
              <w:rPr>
                <w:rFonts w:hint="eastAsia"/>
                <w:color w:val="auto"/>
              </w:rPr>
              <w:t>氨水使用过程中含氨废气及蒸发不凝气</w:t>
            </w:r>
          </w:p>
        </w:tc>
        <w:tc>
          <w:tcPr>
            <w:tcW w:w="655" w:type="pct"/>
            <w:vAlign w:val="center"/>
          </w:tcPr>
          <w:p w14:paraId="56EEFBEB">
            <w:pPr>
              <w:pStyle w:val="129"/>
              <w:widowControl w:val="0"/>
              <w:rPr>
                <w:color w:val="auto"/>
              </w:rPr>
            </w:pPr>
            <w:r>
              <w:rPr>
                <w:rFonts w:hint="eastAsia"/>
                <w:color w:val="auto"/>
              </w:rPr>
              <w:t>反应釜、MVR蒸发器、三效蒸发器</w:t>
            </w:r>
          </w:p>
        </w:tc>
        <w:tc>
          <w:tcPr>
            <w:tcW w:w="618" w:type="pct"/>
            <w:vAlign w:val="center"/>
          </w:tcPr>
          <w:p w14:paraId="2943496E">
            <w:pPr>
              <w:pStyle w:val="129"/>
              <w:widowControl w:val="0"/>
              <w:rPr>
                <w:color w:val="auto"/>
              </w:rPr>
            </w:pPr>
            <w:r>
              <w:rPr>
                <w:rFonts w:hint="eastAsia"/>
                <w:color w:val="auto"/>
              </w:rPr>
              <w:t>NH</w:t>
            </w:r>
            <w:r>
              <w:rPr>
                <w:rFonts w:hint="eastAsia"/>
                <w:color w:val="auto"/>
                <w:vertAlign w:val="subscript"/>
              </w:rPr>
              <w:t>3</w:t>
            </w:r>
          </w:p>
        </w:tc>
        <w:tc>
          <w:tcPr>
            <w:tcW w:w="660" w:type="pct"/>
            <w:vAlign w:val="center"/>
          </w:tcPr>
          <w:p w14:paraId="1564B963">
            <w:pPr>
              <w:pStyle w:val="129"/>
              <w:widowControl w:val="0"/>
              <w:rPr>
                <w:color w:val="auto"/>
              </w:rPr>
            </w:pPr>
            <w:r>
              <w:rPr>
                <w:rFonts w:hint="eastAsia"/>
                <w:color w:val="auto"/>
              </w:rPr>
              <w:t>水吸收</w:t>
            </w:r>
          </w:p>
        </w:tc>
        <w:tc>
          <w:tcPr>
            <w:tcW w:w="610" w:type="pct"/>
            <w:vMerge w:val="restart"/>
            <w:vAlign w:val="center"/>
          </w:tcPr>
          <w:p w14:paraId="5428B5D3">
            <w:pPr>
              <w:pStyle w:val="129"/>
              <w:widowControl w:val="0"/>
              <w:rPr>
                <w:color w:val="auto"/>
              </w:rPr>
            </w:pPr>
            <w:r>
              <w:rPr>
                <w:rFonts w:hint="eastAsia"/>
                <w:color w:val="auto"/>
              </w:rPr>
              <w:t>《无机化学工业污染物排放标准》（GB31573-2015）及修改单</w:t>
            </w:r>
          </w:p>
        </w:tc>
        <w:tc>
          <w:tcPr>
            <w:tcW w:w="357" w:type="pct"/>
            <w:vAlign w:val="center"/>
          </w:tcPr>
          <w:p w14:paraId="38D43599">
            <w:pPr>
              <w:pStyle w:val="129"/>
              <w:widowControl w:val="0"/>
              <w:rPr>
                <w:color w:val="auto"/>
              </w:rPr>
            </w:pPr>
            <w:r>
              <w:rPr>
                <w:rFonts w:hint="eastAsia"/>
                <w:color w:val="auto"/>
              </w:rPr>
              <w:t>1</w:t>
            </w:r>
          </w:p>
        </w:tc>
        <w:tc>
          <w:tcPr>
            <w:tcW w:w="340" w:type="pct"/>
            <w:vAlign w:val="center"/>
          </w:tcPr>
          <w:p w14:paraId="4018EF2C">
            <w:pPr>
              <w:pStyle w:val="129"/>
              <w:widowControl w:val="0"/>
              <w:rPr>
                <w:color w:val="auto"/>
              </w:rPr>
            </w:pPr>
            <w:bookmarkStart w:id="206" w:name="OLE_LINK78"/>
            <w:r>
              <w:rPr>
                <w:rFonts w:hint="eastAsia"/>
                <w:color w:val="auto"/>
              </w:rPr>
              <w:t>DA00</w:t>
            </w:r>
            <w:bookmarkEnd w:id="206"/>
            <w:r>
              <w:rPr>
                <w:rFonts w:hint="eastAsia"/>
                <w:color w:val="auto"/>
              </w:rPr>
              <w:t>1</w:t>
            </w:r>
          </w:p>
        </w:tc>
        <w:tc>
          <w:tcPr>
            <w:tcW w:w="340" w:type="pct"/>
            <w:vMerge w:val="restart"/>
            <w:vAlign w:val="center"/>
          </w:tcPr>
          <w:p w14:paraId="179C347E">
            <w:pPr>
              <w:pStyle w:val="129"/>
              <w:widowControl w:val="0"/>
              <w:rPr>
                <w:color w:val="auto"/>
              </w:rPr>
            </w:pPr>
          </w:p>
        </w:tc>
      </w:tr>
      <w:tr w14:paraId="6D1A296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4ECD3160">
            <w:pPr>
              <w:pStyle w:val="129"/>
              <w:widowControl w:val="0"/>
              <w:rPr>
                <w:color w:val="auto"/>
              </w:rPr>
            </w:pPr>
            <w:bookmarkStart w:id="207" w:name="_Hlk226910222"/>
          </w:p>
        </w:tc>
        <w:tc>
          <w:tcPr>
            <w:tcW w:w="266" w:type="pct"/>
            <w:vAlign w:val="center"/>
          </w:tcPr>
          <w:p w14:paraId="30EC1F85">
            <w:pPr>
              <w:pStyle w:val="129"/>
              <w:widowControl w:val="0"/>
              <w:rPr>
                <w:color w:val="auto"/>
              </w:rPr>
            </w:pPr>
            <w:bookmarkStart w:id="208" w:name="OLE_LINK76"/>
            <w:r>
              <w:rPr>
                <w:color w:val="auto"/>
              </w:rPr>
              <w:t>G</w:t>
            </w:r>
            <w:r>
              <w:rPr>
                <w:color w:val="auto"/>
                <w:vertAlign w:val="subscript"/>
              </w:rPr>
              <w:t>2</w:t>
            </w:r>
            <w:bookmarkEnd w:id="208"/>
          </w:p>
        </w:tc>
        <w:tc>
          <w:tcPr>
            <w:tcW w:w="852" w:type="pct"/>
            <w:vAlign w:val="center"/>
          </w:tcPr>
          <w:p w14:paraId="6D81FD84">
            <w:pPr>
              <w:pStyle w:val="129"/>
              <w:widowControl w:val="0"/>
              <w:rPr>
                <w:color w:val="auto"/>
              </w:rPr>
            </w:pPr>
            <w:r>
              <w:rPr>
                <w:rFonts w:hint="eastAsia"/>
                <w:color w:val="auto"/>
              </w:rPr>
              <w:t>硫酸铵干燥废气</w:t>
            </w:r>
          </w:p>
        </w:tc>
        <w:tc>
          <w:tcPr>
            <w:tcW w:w="655" w:type="pct"/>
            <w:vAlign w:val="center"/>
          </w:tcPr>
          <w:p w14:paraId="2EE7A6BE">
            <w:pPr>
              <w:pStyle w:val="129"/>
              <w:widowControl w:val="0"/>
              <w:rPr>
                <w:color w:val="auto"/>
              </w:rPr>
            </w:pPr>
            <w:bookmarkStart w:id="209" w:name="OLE_LINK75"/>
            <w:r>
              <w:rPr>
                <w:rFonts w:hint="eastAsia"/>
                <w:color w:val="auto"/>
              </w:rPr>
              <w:t>闪蒸干燥器</w:t>
            </w:r>
            <w:bookmarkEnd w:id="209"/>
          </w:p>
        </w:tc>
        <w:tc>
          <w:tcPr>
            <w:tcW w:w="618" w:type="pct"/>
            <w:vAlign w:val="center"/>
          </w:tcPr>
          <w:p w14:paraId="07F48F2F">
            <w:pPr>
              <w:pStyle w:val="129"/>
              <w:widowControl w:val="0"/>
              <w:rPr>
                <w:color w:val="auto"/>
              </w:rPr>
            </w:pPr>
            <w:r>
              <w:rPr>
                <w:rFonts w:hint="eastAsia"/>
                <w:color w:val="auto"/>
              </w:rPr>
              <w:t>颗粒物、NH</w:t>
            </w:r>
            <w:r>
              <w:rPr>
                <w:rFonts w:hint="eastAsia"/>
                <w:color w:val="auto"/>
                <w:vertAlign w:val="subscript"/>
              </w:rPr>
              <w:t>3</w:t>
            </w:r>
          </w:p>
        </w:tc>
        <w:tc>
          <w:tcPr>
            <w:tcW w:w="660" w:type="pct"/>
            <w:vAlign w:val="center"/>
          </w:tcPr>
          <w:p w14:paraId="4C25AE7A">
            <w:pPr>
              <w:pStyle w:val="129"/>
              <w:widowControl w:val="0"/>
              <w:rPr>
                <w:color w:val="auto"/>
              </w:rPr>
            </w:pPr>
            <w:r>
              <w:rPr>
                <w:rFonts w:hint="eastAsia"/>
                <w:color w:val="auto"/>
              </w:rPr>
              <w:t>布袋除尘器</w:t>
            </w:r>
          </w:p>
        </w:tc>
        <w:tc>
          <w:tcPr>
            <w:tcW w:w="610" w:type="pct"/>
            <w:vMerge w:val="continue"/>
            <w:vAlign w:val="center"/>
          </w:tcPr>
          <w:p w14:paraId="5CA36532">
            <w:pPr>
              <w:pStyle w:val="129"/>
              <w:widowControl w:val="0"/>
              <w:rPr>
                <w:color w:val="auto"/>
              </w:rPr>
            </w:pPr>
          </w:p>
        </w:tc>
        <w:tc>
          <w:tcPr>
            <w:tcW w:w="357" w:type="pct"/>
            <w:vMerge w:val="restart"/>
            <w:vAlign w:val="center"/>
          </w:tcPr>
          <w:p w14:paraId="036E1811">
            <w:pPr>
              <w:pStyle w:val="129"/>
              <w:widowControl w:val="0"/>
              <w:rPr>
                <w:color w:val="auto"/>
              </w:rPr>
            </w:pPr>
            <w:r>
              <w:rPr>
                <w:rFonts w:hint="eastAsia"/>
                <w:color w:val="auto"/>
              </w:rPr>
              <w:t>1</w:t>
            </w:r>
          </w:p>
        </w:tc>
        <w:tc>
          <w:tcPr>
            <w:tcW w:w="340" w:type="pct"/>
            <w:vMerge w:val="restart"/>
            <w:vAlign w:val="center"/>
          </w:tcPr>
          <w:p w14:paraId="319E030B">
            <w:pPr>
              <w:pStyle w:val="129"/>
              <w:widowControl w:val="0"/>
              <w:rPr>
                <w:color w:val="auto"/>
              </w:rPr>
            </w:pPr>
            <w:r>
              <w:rPr>
                <w:rFonts w:hint="eastAsia"/>
                <w:color w:val="auto"/>
              </w:rPr>
              <w:t>DA002</w:t>
            </w:r>
          </w:p>
        </w:tc>
        <w:tc>
          <w:tcPr>
            <w:tcW w:w="340" w:type="pct"/>
            <w:vMerge w:val="continue"/>
            <w:vAlign w:val="center"/>
          </w:tcPr>
          <w:p w14:paraId="15E77FAF">
            <w:pPr>
              <w:pStyle w:val="129"/>
              <w:widowControl w:val="0"/>
              <w:rPr>
                <w:color w:val="auto"/>
              </w:rPr>
            </w:pPr>
          </w:p>
        </w:tc>
      </w:tr>
      <w:bookmarkEnd w:id="207"/>
      <w:tr w14:paraId="060329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1FB228AF">
            <w:pPr>
              <w:pStyle w:val="129"/>
              <w:widowControl w:val="0"/>
              <w:rPr>
                <w:color w:val="auto"/>
              </w:rPr>
            </w:pPr>
          </w:p>
        </w:tc>
        <w:tc>
          <w:tcPr>
            <w:tcW w:w="266" w:type="pct"/>
            <w:vAlign w:val="center"/>
          </w:tcPr>
          <w:p w14:paraId="10CF8F21">
            <w:pPr>
              <w:pStyle w:val="129"/>
              <w:widowControl w:val="0"/>
              <w:rPr>
                <w:color w:val="auto"/>
              </w:rPr>
            </w:pPr>
            <w:r>
              <w:rPr>
                <w:color w:val="auto"/>
              </w:rPr>
              <w:t>G</w:t>
            </w:r>
            <w:r>
              <w:rPr>
                <w:color w:val="auto"/>
                <w:vertAlign w:val="subscript"/>
              </w:rPr>
              <w:t>3</w:t>
            </w:r>
          </w:p>
        </w:tc>
        <w:tc>
          <w:tcPr>
            <w:tcW w:w="852" w:type="pct"/>
            <w:vAlign w:val="center"/>
          </w:tcPr>
          <w:p w14:paraId="05B29865">
            <w:pPr>
              <w:pStyle w:val="129"/>
              <w:widowControl w:val="0"/>
              <w:rPr>
                <w:color w:val="auto"/>
              </w:rPr>
            </w:pPr>
            <w:bookmarkStart w:id="210" w:name="OLE_LINK74"/>
            <w:r>
              <w:rPr>
                <w:rFonts w:hint="eastAsia"/>
                <w:color w:val="auto"/>
              </w:rPr>
              <w:t>硫酸铵包装废气</w:t>
            </w:r>
            <w:bookmarkEnd w:id="210"/>
          </w:p>
        </w:tc>
        <w:tc>
          <w:tcPr>
            <w:tcW w:w="655" w:type="pct"/>
            <w:vAlign w:val="center"/>
          </w:tcPr>
          <w:p w14:paraId="2F8CFF08">
            <w:pPr>
              <w:pStyle w:val="129"/>
              <w:widowControl w:val="0"/>
              <w:rPr>
                <w:color w:val="auto"/>
              </w:rPr>
            </w:pPr>
            <w:r>
              <w:rPr>
                <w:rFonts w:hint="eastAsia"/>
                <w:color w:val="auto"/>
              </w:rPr>
              <w:t>包装机</w:t>
            </w:r>
          </w:p>
        </w:tc>
        <w:tc>
          <w:tcPr>
            <w:tcW w:w="618" w:type="pct"/>
            <w:vAlign w:val="center"/>
          </w:tcPr>
          <w:p w14:paraId="4F20B36B">
            <w:pPr>
              <w:pStyle w:val="129"/>
              <w:widowControl w:val="0"/>
              <w:rPr>
                <w:color w:val="auto"/>
              </w:rPr>
            </w:pPr>
            <w:r>
              <w:rPr>
                <w:rFonts w:hint="eastAsia"/>
                <w:color w:val="auto"/>
              </w:rPr>
              <w:t>颗粒物</w:t>
            </w:r>
          </w:p>
        </w:tc>
        <w:tc>
          <w:tcPr>
            <w:tcW w:w="660" w:type="pct"/>
            <w:vAlign w:val="center"/>
          </w:tcPr>
          <w:p w14:paraId="348FDDB9">
            <w:pPr>
              <w:pStyle w:val="129"/>
              <w:widowControl w:val="0"/>
              <w:rPr>
                <w:color w:val="auto"/>
              </w:rPr>
            </w:pPr>
            <w:r>
              <w:rPr>
                <w:rFonts w:hint="eastAsia"/>
                <w:color w:val="auto"/>
              </w:rPr>
              <w:t>布袋除尘器</w:t>
            </w:r>
          </w:p>
        </w:tc>
        <w:tc>
          <w:tcPr>
            <w:tcW w:w="610" w:type="pct"/>
            <w:vMerge w:val="continue"/>
            <w:vAlign w:val="center"/>
          </w:tcPr>
          <w:p w14:paraId="0E39D17C">
            <w:pPr>
              <w:pStyle w:val="129"/>
              <w:widowControl w:val="0"/>
              <w:rPr>
                <w:color w:val="auto"/>
              </w:rPr>
            </w:pPr>
          </w:p>
        </w:tc>
        <w:tc>
          <w:tcPr>
            <w:tcW w:w="357" w:type="pct"/>
            <w:vMerge w:val="continue"/>
            <w:vAlign w:val="center"/>
          </w:tcPr>
          <w:p w14:paraId="5B263C44">
            <w:pPr>
              <w:pStyle w:val="129"/>
              <w:widowControl w:val="0"/>
              <w:rPr>
                <w:color w:val="auto"/>
              </w:rPr>
            </w:pPr>
          </w:p>
        </w:tc>
        <w:tc>
          <w:tcPr>
            <w:tcW w:w="340" w:type="pct"/>
            <w:vMerge w:val="continue"/>
            <w:vAlign w:val="center"/>
          </w:tcPr>
          <w:p w14:paraId="64E2DBB6">
            <w:pPr>
              <w:pStyle w:val="129"/>
              <w:widowControl w:val="0"/>
              <w:rPr>
                <w:color w:val="auto"/>
              </w:rPr>
            </w:pPr>
          </w:p>
        </w:tc>
        <w:tc>
          <w:tcPr>
            <w:tcW w:w="340" w:type="pct"/>
            <w:vMerge w:val="continue"/>
            <w:vAlign w:val="center"/>
          </w:tcPr>
          <w:p w14:paraId="6E13BB3E">
            <w:pPr>
              <w:pStyle w:val="129"/>
              <w:widowControl w:val="0"/>
              <w:rPr>
                <w:color w:val="auto"/>
              </w:rPr>
            </w:pPr>
          </w:p>
        </w:tc>
      </w:tr>
      <w:tr w14:paraId="4ACE6C0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425AA275">
            <w:pPr>
              <w:pStyle w:val="129"/>
              <w:widowControl w:val="0"/>
              <w:rPr>
                <w:color w:val="auto"/>
              </w:rPr>
            </w:pPr>
          </w:p>
        </w:tc>
        <w:tc>
          <w:tcPr>
            <w:tcW w:w="266" w:type="pct"/>
            <w:vAlign w:val="center"/>
          </w:tcPr>
          <w:p w14:paraId="2A172F62">
            <w:pPr>
              <w:pStyle w:val="129"/>
              <w:widowControl w:val="0"/>
              <w:rPr>
                <w:color w:val="auto"/>
              </w:rPr>
            </w:pPr>
            <w:r>
              <w:rPr>
                <w:color w:val="auto"/>
              </w:rPr>
              <w:t>G</w:t>
            </w:r>
            <w:r>
              <w:rPr>
                <w:color w:val="auto"/>
                <w:vertAlign w:val="subscript"/>
              </w:rPr>
              <w:t>4</w:t>
            </w:r>
            <w:r>
              <w:rPr>
                <w:rFonts w:hint="eastAsia"/>
                <w:color w:val="auto"/>
                <w:vertAlign w:val="superscript"/>
              </w:rPr>
              <w:t>①</w:t>
            </w:r>
            <w:r>
              <w:rPr>
                <w:rFonts w:hint="eastAsia"/>
                <w:color w:val="auto"/>
              </w:rPr>
              <w:t>、G</w:t>
            </w:r>
            <w:r>
              <w:rPr>
                <w:rFonts w:hint="eastAsia"/>
                <w:color w:val="auto"/>
                <w:vertAlign w:val="subscript"/>
              </w:rPr>
              <w:t>4</w:t>
            </w:r>
            <w:r>
              <w:rPr>
                <w:rFonts w:hint="eastAsia"/>
                <w:color w:val="auto"/>
                <w:vertAlign w:val="superscript"/>
              </w:rPr>
              <w:t>②</w:t>
            </w:r>
          </w:p>
        </w:tc>
        <w:tc>
          <w:tcPr>
            <w:tcW w:w="852" w:type="pct"/>
            <w:vAlign w:val="center"/>
          </w:tcPr>
          <w:p w14:paraId="56818403">
            <w:pPr>
              <w:pStyle w:val="129"/>
              <w:widowControl w:val="0"/>
              <w:rPr>
                <w:color w:val="auto"/>
              </w:rPr>
            </w:pPr>
            <w:r>
              <w:rPr>
                <w:rFonts w:hint="eastAsia"/>
                <w:color w:val="auto"/>
              </w:rPr>
              <w:t>二氧化碳气</w:t>
            </w:r>
          </w:p>
        </w:tc>
        <w:tc>
          <w:tcPr>
            <w:tcW w:w="655" w:type="pct"/>
            <w:vAlign w:val="center"/>
          </w:tcPr>
          <w:p w14:paraId="41B256E2">
            <w:pPr>
              <w:pStyle w:val="129"/>
              <w:widowControl w:val="0"/>
              <w:rPr>
                <w:color w:val="auto"/>
              </w:rPr>
            </w:pPr>
            <w:r>
              <w:rPr>
                <w:rFonts w:hint="eastAsia"/>
                <w:color w:val="auto"/>
              </w:rPr>
              <w:t>鼓泡反应器</w:t>
            </w:r>
          </w:p>
        </w:tc>
        <w:tc>
          <w:tcPr>
            <w:tcW w:w="618" w:type="pct"/>
            <w:vAlign w:val="center"/>
          </w:tcPr>
          <w:p w14:paraId="71BBF63D">
            <w:pPr>
              <w:pStyle w:val="129"/>
              <w:widowControl w:val="0"/>
              <w:rPr>
                <w:color w:val="auto"/>
              </w:rPr>
            </w:pPr>
            <w:r>
              <w:rPr>
                <w:rFonts w:hint="eastAsia"/>
                <w:color w:val="auto"/>
              </w:rPr>
              <w:t>二氧化碳、硫化氢</w:t>
            </w:r>
          </w:p>
        </w:tc>
        <w:tc>
          <w:tcPr>
            <w:tcW w:w="660" w:type="pct"/>
            <w:vAlign w:val="center"/>
          </w:tcPr>
          <w:p w14:paraId="52E26FB4">
            <w:pPr>
              <w:pStyle w:val="129"/>
              <w:widowControl w:val="0"/>
              <w:rPr>
                <w:color w:val="auto"/>
              </w:rPr>
            </w:pPr>
            <w:r>
              <w:rPr>
                <w:rFonts w:hint="eastAsia"/>
                <w:color w:val="auto"/>
              </w:rPr>
              <w:t>/</w:t>
            </w:r>
          </w:p>
        </w:tc>
        <w:tc>
          <w:tcPr>
            <w:tcW w:w="610" w:type="pct"/>
            <w:vMerge w:val="continue"/>
            <w:vAlign w:val="center"/>
          </w:tcPr>
          <w:p w14:paraId="53E43BCF">
            <w:pPr>
              <w:pStyle w:val="129"/>
              <w:widowControl w:val="0"/>
              <w:rPr>
                <w:color w:val="auto"/>
              </w:rPr>
            </w:pPr>
          </w:p>
        </w:tc>
        <w:tc>
          <w:tcPr>
            <w:tcW w:w="357" w:type="pct"/>
            <w:vAlign w:val="center"/>
          </w:tcPr>
          <w:p w14:paraId="75D751DB">
            <w:pPr>
              <w:pStyle w:val="129"/>
              <w:widowControl w:val="0"/>
              <w:rPr>
                <w:color w:val="auto"/>
              </w:rPr>
            </w:pPr>
            <w:r>
              <w:rPr>
                <w:rFonts w:hint="eastAsia"/>
                <w:color w:val="auto"/>
              </w:rPr>
              <w:t>1</w:t>
            </w:r>
          </w:p>
        </w:tc>
        <w:tc>
          <w:tcPr>
            <w:tcW w:w="340" w:type="pct"/>
            <w:vAlign w:val="center"/>
          </w:tcPr>
          <w:p w14:paraId="606C40B5">
            <w:pPr>
              <w:pStyle w:val="129"/>
              <w:widowControl w:val="0"/>
              <w:rPr>
                <w:color w:val="auto"/>
              </w:rPr>
            </w:pPr>
            <w:r>
              <w:rPr>
                <w:color w:val="auto"/>
              </w:rPr>
              <w:t>DA00</w:t>
            </w:r>
            <w:r>
              <w:rPr>
                <w:rFonts w:hint="eastAsia"/>
                <w:color w:val="auto"/>
              </w:rPr>
              <w:t>3</w:t>
            </w:r>
          </w:p>
        </w:tc>
        <w:tc>
          <w:tcPr>
            <w:tcW w:w="340" w:type="pct"/>
            <w:vMerge w:val="continue"/>
            <w:vAlign w:val="center"/>
          </w:tcPr>
          <w:p w14:paraId="33FB4D3A">
            <w:pPr>
              <w:pStyle w:val="129"/>
              <w:widowControl w:val="0"/>
              <w:rPr>
                <w:color w:val="auto"/>
              </w:rPr>
            </w:pPr>
          </w:p>
        </w:tc>
      </w:tr>
      <w:tr w14:paraId="44F595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6C125C92">
            <w:pPr>
              <w:pStyle w:val="129"/>
              <w:widowControl w:val="0"/>
              <w:rPr>
                <w:color w:val="auto"/>
              </w:rPr>
            </w:pPr>
            <w:bookmarkStart w:id="211" w:name="_Hlk226909972"/>
          </w:p>
        </w:tc>
        <w:tc>
          <w:tcPr>
            <w:tcW w:w="266" w:type="pct"/>
            <w:vAlign w:val="center"/>
          </w:tcPr>
          <w:p w14:paraId="177630B2">
            <w:pPr>
              <w:pStyle w:val="129"/>
              <w:widowControl w:val="0"/>
              <w:rPr>
                <w:color w:val="auto"/>
              </w:rPr>
            </w:pPr>
            <w:bookmarkStart w:id="212" w:name="OLE_LINK77"/>
            <w:r>
              <w:rPr>
                <w:color w:val="auto"/>
              </w:rPr>
              <w:t>G</w:t>
            </w:r>
            <w:bookmarkEnd w:id="212"/>
            <w:r>
              <w:rPr>
                <w:rFonts w:hint="eastAsia"/>
                <w:color w:val="auto"/>
                <w:vertAlign w:val="subscript"/>
              </w:rPr>
              <w:t>5</w:t>
            </w:r>
          </w:p>
        </w:tc>
        <w:tc>
          <w:tcPr>
            <w:tcW w:w="852" w:type="pct"/>
            <w:vAlign w:val="center"/>
          </w:tcPr>
          <w:p w14:paraId="2C36E69F">
            <w:pPr>
              <w:pStyle w:val="129"/>
              <w:widowControl w:val="0"/>
              <w:rPr>
                <w:color w:val="auto"/>
              </w:rPr>
            </w:pPr>
            <w:r>
              <w:rPr>
                <w:rFonts w:hint="eastAsia"/>
                <w:color w:val="auto"/>
              </w:rPr>
              <w:t>碳酸钠干燥废气</w:t>
            </w:r>
          </w:p>
        </w:tc>
        <w:tc>
          <w:tcPr>
            <w:tcW w:w="655" w:type="pct"/>
            <w:vAlign w:val="center"/>
          </w:tcPr>
          <w:p w14:paraId="513A1FF4">
            <w:pPr>
              <w:pStyle w:val="129"/>
              <w:widowControl w:val="0"/>
              <w:rPr>
                <w:color w:val="auto"/>
              </w:rPr>
            </w:pPr>
            <w:r>
              <w:rPr>
                <w:rFonts w:hint="eastAsia"/>
                <w:color w:val="auto"/>
              </w:rPr>
              <w:t>闪蒸干燥器</w:t>
            </w:r>
          </w:p>
        </w:tc>
        <w:tc>
          <w:tcPr>
            <w:tcW w:w="618" w:type="pct"/>
            <w:vAlign w:val="center"/>
          </w:tcPr>
          <w:p w14:paraId="3DE8A457">
            <w:pPr>
              <w:pStyle w:val="129"/>
              <w:widowControl w:val="0"/>
              <w:rPr>
                <w:color w:val="auto"/>
              </w:rPr>
            </w:pPr>
            <w:r>
              <w:rPr>
                <w:rFonts w:hint="eastAsia"/>
                <w:color w:val="auto"/>
              </w:rPr>
              <w:t>颗粒物</w:t>
            </w:r>
          </w:p>
        </w:tc>
        <w:tc>
          <w:tcPr>
            <w:tcW w:w="660" w:type="pct"/>
            <w:vAlign w:val="center"/>
          </w:tcPr>
          <w:p w14:paraId="20F56923">
            <w:pPr>
              <w:pStyle w:val="129"/>
              <w:widowControl w:val="0"/>
              <w:rPr>
                <w:color w:val="auto"/>
              </w:rPr>
            </w:pPr>
            <w:r>
              <w:rPr>
                <w:rFonts w:hint="eastAsia"/>
                <w:color w:val="auto"/>
              </w:rPr>
              <w:t>布袋除尘器</w:t>
            </w:r>
          </w:p>
        </w:tc>
        <w:tc>
          <w:tcPr>
            <w:tcW w:w="610" w:type="pct"/>
            <w:vMerge w:val="continue"/>
            <w:vAlign w:val="center"/>
          </w:tcPr>
          <w:p w14:paraId="01CF1ACB">
            <w:pPr>
              <w:pStyle w:val="129"/>
              <w:widowControl w:val="0"/>
              <w:rPr>
                <w:color w:val="auto"/>
              </w:rPr>
            </w:pPr>
          </w:p>
        </w:tc>
        <w:tc>
          <w:tcPr>
            <w:tcW w:w="357" w:type="pct"/>
            <w:vMerge w:val="restart"/>
            <w:vAlign w:val="center"/>
          </w:tcPr>
          <w:p w14:paraId="01437E45">
            <w:pPr>
              <w:pStyle w:val="129"/>
              <w:widowControl w:val="0"/>
              <w:rPr>
                <w:color w:val="auto"/>
              </w:rPr>
            </w:pPr>
            <w:r>
              <w:rPr>
                <w:rFonts w:hint="eastAsia"/>
                <w:color w:val="auto"/>
              </w:rPr>
              <w:t>1</w:t>
            </w:r>
          </w:p>
        </w:tc>
        <w:tc>
          <w:tcPr>
            <w:tcW w:w="340" w:type="pct"/>
            <w:vMerge w:val="restart"/>
            <w:vAlign w:val="center"/>
          </w:tcPr>
          <w:p w14:paraId="154FCA1B">
            <w:pPr>
              <w:pStyle w:val="129"/>
              <w:widowControl w:val="0"/>
              <w:rPr>
                <w:color w:val="auto"/>
              </w:rPr>
            </w:pPr>
            <w:r>
              <w:rPr>
                <w:color w:val="auto"/>
              </w:rPr>
              <w:t>DA00</w:t>
            </w:r>
            <w:r>
              <w:rPr>
                <w:rFonts w:hint="eastAsia"/>
                <w:color w:val="auto"/>
              </w:rPr>
              <w:t>4</w:t>
            </w:r>
          </w:p>
        </w:tc>
        <w:tc>
          <w:tcPr>
            <w:tcW w:w="340" w:type="pct"/>
            <w:vMerge w:val="continue"/>
            <w:vAlign w:val="center"/>
          </w:tcPr>
          <w:p w14:paraId="3109184A">
            <w:pPr>
              <w:pStyle w:val="129"/>
              <w:widowControl w:val="0"/>
              <w:rPr>
                <w:color w:val="auto"/>
              </w:rPr>
            </w:pPr>
          </w:p>
        </w:tc>
      </w:tr>
      <w:bookmarkEnd w:id="211"/>
      <w:tr w14:paraId="20263C8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1C6A7C8F">
            <w:pPr>
              <w:pStyle w:val="129"/>
              <w:widowControl w:val="0"/>
              <w:rPr>
                <w:color w:val="auto"/>
              </w:rPr>
            </w:pPr>
          </w:p>
        </w:tc>
        <w:tc>
          <w:tcPr>
            <w:tcW w:w="266" w:type="pct"/>
            <w:vAlign w:val="center"/>
          </w:tcPr>
          <w:p w14:paraId="3C392D0D">
            <w:pPr>
              <w:pStyle w:val="129"/>
              <w:widowControl w:val="0"/>
              <w:rPr>
                <w:color w:val="auto"/>
              </w:rPr>
            </w:pPr>
            <w:r>
              <w:rPr>
                <w:color w:val="auto"/>
              </w:rPr>
              <w:t>G</w:t>
            </w:r>
            <w:r>
              <w:rPr>
                <w:rFonts w:hint="eastAsia"/>
                <w:color w:val="auto"/>
                <w:vertAlign w:val="subscript"/>
              </w:rPr>
              <w:t>6</w:t>
            </w:r>
          </w:p>
        </w:tc>
        <w:tc>
          <w:tcPr>
            <w:tcW w:w="852" w:type="pct"/>
            <w:vAlign w:val="center"/>
          </w:tcPr>
          <w:p w14:paraId="788220EA">
            <w:pPr>
              <w:pStyle w:val="129"/>
              <w:widowControl w:val="0"/>
              <w:rPr>
                <w:color w:val="auto"/>
              </w:rPr>
            </w:pPr>
            <w:r>
              <w:rPr>
                <w:rFonts w:hint="eastAsia"/>
                <w:color w:val="auto"/>
              </w:rPr>
              <w:t>碳酸钠包装废气</w:t>
            </w:r>
          </w:p>
        </w:tc>
        <w:tc>
          <w:tcPr>
            <w:tcW w:w="655" w:type="pct"/>
            <w:vAlign w:val="center"/>
          </w:tcPr>
          <w:p w14:paraId="33359F01">
            <w:pPr>
              <w:pStyle w:val="129"/>
              <w:widowControl w:val="0"/>
              <w:rPr>
                <w:color w:val="auto"/>
              </w:rPr>
            </w:pPr>
            <w:r>
              <w:rPr>
                <w:rFonts w:hint="eastAsia"/>
                <w:color w:val="auto"/>
              </w:rPr>
              <w:t>包装机</w:t>
            </w:r>
          </w:p>
        </w:tc>
        <w:tc>
          <w:tcPr>
            <w:tcW w:w="618" w:type="pct"/>
            <w:vAlign w:val="center"/>
          </w:tcPr>
          <w:p w14:paraId="2B21B5B8">
            <w:pPr>
              <w:pStyle w:val="129"/>
              <w:widowControl w:val="0"/>
              <w:rPr>
                <w:color w:val="auto"/>
              </w:rPr>
            </w:pPr>
            <w:r>
              <w:rPr>
                <w:rFonts w:hint="eastAsia"/>
                <w:color w:val="auto"/>
              </w:rPr>
              <w:t>颗粒物</w:t>
            </w:r>
          </w:p>
        </w:tc>
        <w:tc>
          <w:tcPr>
            <w:tcW w:w="660" w:type="pct"/>
            <w:vAlign w:val="center"/>
          </w:tcPr>
          <w:p w14:paraId="47450AD7">
            <w:pPr>
              <w:pStyle w:val="129"/>
              <w:widowControl w:val="0"/>
              <w:rPr>
                <w:color w:val="auto"/>
              </w:rPr>
            </w:pPr>
            <w:r>
              <w:rPr>
                <w:rFonts w:hint="eastAsia"/>
                <w:color w:val="auto"/>
              </w:rPr>
              <w:t>布袋除尘器</w:t>
            </w:r>
          </w:p>
        </w:tc>
        <w:tc>
          <w:tcPr>
            <w:tcW w:w="610" w:type="pct"/>
            <w:vMerge w:val="continue"/>
            <w:vAlign w:val="center"/>
          </w:tcPr>
          <w:p w14:paraId="3EBDC062">
            <w:pPr>
              <w:pStyle w:val="129"/>
              <w:widowControl w:val="0"/>
              <w:rPr>
                <w:color w:val="auto"/>
              </w:rPr>
            </w:pPr>
          </w:p>
        </w:tc>
        <w:tc>
          <w:tcPr>
            <w:tcW w:w="357" w:type="pct"/>
            <w:vMerge w:val="continue"/>
            <w:vAlign w:val="center"/>
          </w:tcPr>
          <w:p w14:paraId="108A471F">
            <w:pPr>
              <w:pStyle w:val="129"/>
              <w:widowControl w:val="0"/>
              <w:rPr>
                <w:color w:val="auto"/>
              </w:rPr>
            </w:pPr>
          </w:p>
        </w:tc>
        <w:tc>
          <w:tcPr>
            <w:tcW w:w="340" w:type="pct"/>
            <w:vMerge w:val="continue"/>
            <w:vAlign w:val="center"/>
          </w:tcPr>
          <w:p w14:paraId="23D729BC">
            <w:pPr>
              <w:pStyle w:val="129"/>
              <w:widowControl w:val="0"/>
              <w:rPr>
                <w:color w:val="auto"/>
              </w:rPr>
            </w:pPr>
          </w:p>
        </w:tc>
        <w:tc>
          <w:tcPr>
            <w:tcW w:w="340" w:type="pct"/>
            <w:vMerge w:val="continue"/>
            <w:vAlign w:val="center"/>
          </w:tcPr>
          <w:p w14:paraId="1068D0FD">
            <w:pPr>
              <w:pStyle w:val="129"/>
              <w:widowControl w:val="0"/>
              <w:rPr>
                <w:color w:val="auto"/>
              </w:rPr>
            </w:pPr>
          </w:p>
        </w:tc>
      </w:tr>
      <w:tr w14:paraId="5F4B55F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75ECA683">
            <w:pPr>
              <w:pStyle w:val="129"/>
              <w:widowControl w:val="0"/>
              <w:rPr>
                <w:color w:val="auto"/>
              </w:rPr>
            </w:pPr>
          </w:p>
        </w:tc>
        <w:tc>
          <w:tcPr>
            <w:tcW w:w="266" w:type="pct"/>
            <w:vAlign w:val="center"/>
          </w:tcPr>
          <w:p w14:paraId="12BCD485">
            <w:pPr>
              <w:pStyle w:val="129"/>
              <w:widowControl w:val="0"/>
              <w:rPr>
                <w:color w:val="auto"/>
              </w:rPr>
            </w:pPr>
            <w:r>
              <w:rPr>
                <w:color w:val="auto"/>
              </w:rPr>
              <w:t>G</w:t>
            </w:r>
            <w:r>
              <w:rPr>
                <w:rFonts w:hint="eastAsia"/>
                <w:color w:val="auto"/>
                <w:vertAlign w:val="subscript"/>
              </w:rPr>
              <w:t>7</w:t>
            </w:r>
          </w:p>
        </w:tc>
        <w:tc>
          <w:tcPr>
            <w:tcW w:w="852" w:type="pct"/>
            <w:vAlign w:val="center"/>
          </w:tcPr>
          <w:p w14:paraId="7131BF91">
            <w:pPr>
              <w:pStyle w:val="129"/>
              <w:widowControl w:val="0"/>
              <w:rPr>
                <w:color w:val="auto"/>
              </w:rPr>
            </w:pPr>
            <w:r>
              <w:rPr>
                <w:rFonts w:hint="eastAsia"/>
                <w:color w:val="auto"/>
              </w:rPr>
              <w:t>水铝石干燥废气</w:t>
            </w:r>
          </w:p>
        </w:tc>
        <w:tc>
          <w:tcPr>
            <w:tcW w:w="655" w:type="pct"/>
            <w:vAlign w:val="center"/>
          </w:tcPr>
          <w:p w14:paraId="1C8F01EF">
            <w:pPr>
              <w:pStyle w:val="129"/>
              <w:widowControl w:val="0"/>
              <w:rPr>
                <w:color w:val="auto"/>
              </w:rPr>
            </w:pPr>
            <w:r>
              <w:rPr>
                <w:rFonts w:hint="eastAsia"/>
                <w:color w:val="auto"/>
              </w:rPr>
              <w:t>气流干燥器</w:t>
            </w:r>
          </w:p>
        </w:tc>
        <w:tc>
          <w:tcPr>
            <w:tcW w:w="618" w:type="pct"/>
            <w:vAlign w:val="center"/>
          </w:tcPr>
          <w:p w14:paraId="3549E2CD">
            <w:pPr>
              <w:pStyle w:val="129"/>
              <w:widowControl w:val="0"/>
              <w:rPr>
                <w:color w:val="auto"/>
              </w:rPr>
            </w:pPr>
            <w:r>
              <w:rPr>
                <w:rFonts w:hint="eastAsia"/>
                <w:color w:val="auto"/>
              </w:rPr>
              <w:t>颗粒物</w:t>
            </w:r>
          </w:p>
        </w:tc>
        <w:tc>
          <w:tcPr>
            <w:tcW w:w="660" w:type="pct"/>
            <w:vAlign w:val="center"/>
          </w:tcPr>
          <w:p w14:paraId="6E8E960E">
            <w:pPr>
              <w:pStyle w:val="129"/>
              <w:widowControl w:val="0"/>
              <w:rPr>
                <w:color w:val="auto"/>
              </w:rPr>
            </w:pPr>
            <w:r>
              <w:rPr>
                <w:rFonts w:hint="eastAsia"/>
                <w:color w:val="auto"/>
              </w:rPr>
              <w:t>布袋除尘器</w:t>
            </w:r>
          </w:p>
        </w:tc>
        <w:tc>
          <w:tcPr>
            <w:tcW w:w="610" w:type="pct"/>
            <w:vMerge w:val="continue"/>
            <w:vAlign w:val="center"/>
          </w:tcPr>
          <w:p w14:paraId="6F1F9124">
            <w:pPr>
              <w:pStyle w:val="129"/>
              <w:widowControl w:val="0"/>
              <w:rPr>
                <w:color w:val="auto"/>
              </w:rPr>
            </w:pPr>
          </w:p>
        </w:tc>
        <w:tc>
          <w:tcPr>
            <w:tcW w:w="357" w:type="pct"/>
            <w:vMerge w:val="restart"/>
            <w:vAlign w:val="center"/>
          </w:tcPr>
          <w:p w14:paraId="29100E3C">
            <w:pPr>
              <w:pStyle w:val="129"/>
              <w:widowControl w:val="0"/>
              <w:rPr>
                <w:color w:val="auto"/>
              </w:rPr>
            </w:pPr>
            <w:r>
              <w:rPr>
                <w:rFonts w:hint="eastAsia"/>
                <w:color w:val="auto"/>
              </w:rPr>
              <w:t>1</w:t>
            </w:r>
          </w:p>
        </w:tc>
        <w:tc>
          <w:tcPr>
            <w:tcW w:w="340" w:type="pct"/>
            <w:vMerge w:val="restart"/>
            <w:vAlign w:val="center"/>
          </w:tcPr>
          <w:p w14:paraId="67FEECE2">
            <w:pPr>
              <w:pStyle w:val="129"/>
              <w:widowControl w:val="0"/>
              <w:rPr>
                <w:color w:val="auto"/>
              </w:rPr>
            </w:pPr>
            <w:r>
              <w:rPr>
                <w:color w:val="auto"/>
              </w:rPr>
              <w:t>DA00</w:t>
            </w:r>
            <w:r>
              <w:rPr>
                <w:rFonts w:hint="eastAsia"/>
                <w:color w:val="auto"/>
              </w:rPr>
              <w:t>5</w:t>
            </w:r>
          </w:p>
        </w:tc>
        <w:tc>
          <w:tcPr>
            <w:tcW w:w="340" w:type="pct"/>
            <w:vMerge w:val="continue"/>
            <w:vAlign w:val="center"/>
          </w:tcPr>
          <w:p w14:paraId="39D2992E">
            <w:pPr>
              <w:pStyle w:val="129"/>
              <w:widowControl w:val="0"/>
              <w:rPr>
                <w:color w:val="auto"/>
              </w:rPr>
            </w:pPr>
          </w:p>
        </w:tc>
      </w:tr>
      <w:tr w14:paraId="4C8FBA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682D15C1">
            <w:pPr>
              <w:pStyle w:val="129"/>
              <w:widowControl w:val="0"/>
              <w:rPr>
                <w:color w:val="auto"/>
              </w:rPr>
            </w:pPr>
          </w:p>
        </w:tc>
        <w:tc>
          <w:tcPr>
            <w:tcW w:w="266" w:type="pct"/>
            <w:vAlign w:val="center"/>
          </w:tcPr>
          <w:p w14:paraId="24A87C16">
            <w:pPr>
              <w:pStyle w:val="129"/>
              <w:widowControl w:val="0"/>
              <w:rPr>
                <w:color w:val="auto"/>
              </w:rPr>
            </w:pPr>
            <w:r>
              <w:rPr>
                <w:color w:val="auto"/>
              </w:rPr>
              <w:t>G</w:t>
            </w:r>
            <w:r>
              <w:rPr>
                <w:rFonts w:hint="eastAsia"/>
                <w:color w:val="auto"/>
                <w:vertAlign w:val="subscript"/>
              </w:rPr>
              <w:t>8</w:t>
            </w:r>
          </w:p>
        </w:tc>
        <w:tc>
          <w:tcPr>
            <w:tcW w:w="852" w:type="pct"/>
            <w:vAlign w:val="center"/>
          </w:tcPr>
          <w:p w14:paraId="6EAD0BD7">
            <w:pPr>
              <w:pStyle w:val="129"/>
              <w:widowControl w:val="0"/>
              <w:rPr>
                <w:color w:val="auto"/>
              </w:rPr>
            </w:pPr>
            <w:r>
              <w:rPr>
                <w:rFonts w:hint="eastAsia"/>
                <w:color w:val="auto"/>
              </w:rPr>
              <w:t>水铝石包装废气</w:t>
            </w:r>
          </w:p>
        </w:tc>
        <w:tc>
          <w:tcPr>
            <w:tcW w:w="655" w:type="pct"/>
            <w:vAlign w:val="center"/>
          </w:tcPr>
          <w:p w14:paraId="7FAC2B9E">
            <w:pPr>
              <w:pStyle w:val="129"/>
              <w:widowControl w:val="0"/>
              <w:rPr>
                <w:color w:val="auto"/>
              </w:rPr>
            </w:pPr>
            <w:r>
              <w:rPr>
                <w:rFonts w:hint="eastAsia"/>
                <w:color w:val="auto"/>
              </w:rPr>
              <w:t>包装机</w:t>
            </w:r>
          </w:p>
        </w:tc>
        <w:tc>
          <w:tcPr>
            <w:tcW w:w="618" w:type="pct"/>
            <w:vAlign w:val="center"/>
          </w:tcPr>
          <w:p w14:paraId="0B1237A0">
            <w:pPr>
              <w:pStyle w:val="129"/>
              <w:widowControl w:val="0"/>
              <w:rPr>
                <w:color w:val="auto"/>
              </w:rPr>
            </w:pPr>
            <w:r>
              <w:rPr>
                <w:rFonts w:hint="eastAsia"/>
                <w:color w:val="auto"/>
              </w:rPr>
              <w:t>颗粒物</w:t>
            </w:r>
          </w:p>
        </w:tc>
        <w:tc>
          <w:tcPr>
            <w:tcW w:w="660" w:type="pct"/>
            <w:vAlign w:val="center"/>
          </w:tcPr>
          <w:p w14:paraId="54ECA5E7">
            <w:pPr>
              <w:pStyle w:val="129"/>
              <w:widowControl w:val="0"/>
              <w:rPr>
                <w:color w:val="auto"/>
              </w:rPr>
            </w:pPr>
            <w:r>
              <w:rPr>
                <w:rFonts w:hint="eastAsia"/>
                <w:color w:val="auto"/>
              </w:rPr>
              <w:t>布袋除尘器</w:t>
            </w:r>
          </w:p>
        </w:tc>
        <w:tc>
          <w:tcPr>
            <w:tcW w:w="610" w:type="pct"/>
            <w:vMerge w:val="continue"/>
            <w:vAlign w:val="center"/>
          </w:tcPr>
          <w:p w14:paraId="15A57247">
            <w:pPr>
              <w:pStyle w:val="129"/>
              <w:widowControl w:val="0"/>
              <w:rPr>
                <w:color w:val="auto"/>
              </w:rPr>
            </w:pPr>
          </w:p>
        </w:tc>
        <w:tc>
          <w:tcPr>
            <w:tcW w:w="357" w:type="pct"/>
            <w:vMerge w:val="continue"/>
            <w:vAlign w:val="center"/>
          </w:tcPr>
          <w:p w14:paraId="071DBBBA">
            <w:pPr>
              <w:pStyle w:val="129"/>
              <w:widowControl w:val="0"/>
              <w:rPr>
                <w:color w:val="auto"/>
              </w:rPr>
            </w:pPr>
          </w:p>
        </w:tc>
        <w:tc>
          <w:tcPr>
            <w:tcW w:w="340" w:type="pct"/>
            <w:vMerge w:val="continue"/>
            <w:vAlign w:val="center"/>
          </w:tcPr>
          <w:p w14:paraId="1AB78F50">
            <w:pPr>
              <w:pStyle w:val="129"/>
              <w:widowControl w:val="0"/>
              <w:rPr>
                <w:color w:val="auto"/>
              </w:rPr>
            </w:pPr>
          </w:p>
        </w:tc>
        <w:tc>
          <w:tcPr>
            <w:tcW w:w="340" w:type="pct"/>
            <w:vMerge w:val="continue"/>
            <w:vAlign w:val="center"/>
          </w:tcPr>
          <w:p w14:paraId="0F01A125">
            <w:pPr>
              <w:pStyle w:val="129"/>
              <w:widowControl w:val="0"/>
              <w:rPr>
                <w:color w:val="auto"/>
              </w:rPr>
            </w:pPr>
          </w:p>
        </w:tc>
      </w:tr>
      <w:tr w14:paraId="539A5C3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restart"/>
            <w:vAlign w:val="center"/>
          </w:tcPr>
          <w:p w14:paraId="410399B9">
            <w:pPr>
              <w:pStyle w:val="129"/>
              <w:widowControl w:val="0"/>
              <w:rPr>
                <w:color w:val="auto"/>
              </w:rPr>
            </w:pPr>
            <w:r>
              <w:rPr>
                <w:rFonts w:hint="eastAsia"/>
                <w:color w:val="auto"/>
              </w:rPr>
              <w:t>废水</w:t>
            </w:r>
          </w:p>
        </w:tc>
        <w:tc>
          <w:tcPr>
            <w:tcW w:w="266" w:type="pct"/>
            <w:vAlign w:val="center"/>
          </w:tcPr>
          <w:p w14:paraId="422D36CF">
            <w:pPr>
              <w:pStyle w:val="129"/>
              <w:widowControl w:val="0"/>
              <w:rPr>
                <w:color w:val="auto"/>
              </w:rPr>
            </w:pPr>
            <w:r>
              <w:rPr>
                <w:color w:val="auto"/>
              </w:rPr>
              <w:t>W</w:t>
            </w:r>
            <w:r>
              <w:rPr>
                <w:color w:val="auto"/>
                <w:vertAlign w:val="subscript"/>
              </w:rPr>
              <w:t>1</w:t>
            </w:r>
          </w:p>
        </w:tc>
        <w:tc>
          <w:tcPr>
            <w:tcW w:w="852" w:type="pct"/>
            <w:vAlign w:val="center"/>
          </w:tcPr>
          <w:p w14:paraId="5B9C6C8D">
            <w:pPr>
              <w:pStyle w:val="129"/>
              <w:widowControl w:val="0"/>
              <w:rPr>
                <w:color w:val="auto"/>
              </w:rPr>
            </w:pPr>
            <w:r>
              <w:rPr>
                <w:rFonts w:hint="eastAsia"/>
                <w:color w:val="auto"/>
              </w:rPr>
              <w:t>含硝酸铝废酸液处理冷凝水</w:t>
            </w:r>
          </w:p>
        </w:tc>
        <w:tc>
          <w:tcPr>
            <w:tcW w:w="655" w:type="pct"/>
            <w:vAlign w:val="center"/>
          </w:tcPr>
          <w:p w14:paraId="1AFD56C2">
            <w:pPr>
              <w:pStyle w:val="129"/>
              <w:widowControl w:val="0"/>
              <w:rPr>
                <w:color w:val="auto"/>
              </w:rPr>
            </w:pPr>
            <w:bookmarkStart w:id="213" w:name="OLE_LINK79"/>
            <w:r>
              <w:rPr>
                <w:rFonts w:hint="eastAsia"/>
                <w:color w:val="auto"/>
              </w:rPr>
              <w:t>RO膜</w:t>
            </w:r>
            <w:bookmarkEnd w:id="213"/>
            <w:r>
              <w:rPr>
                <w:rFonts w:hint="eastAsia"/>
                <w:color w:val="auto"/>
              </w:rPr>
              <w:t>、MVR蒸发结晶</w:t>
            </w:r>
          </w:p>
        </w:tc>
        <w:tc>
          <w:tcPr>
            <w:tcW w:w="618" w:type="pct"/>
            <w:vMerge w:val="restart"/>
            <w:vAlign w:val="center"/>
          </w:tcPr>
          <w:p w14:paraId="03F61BC9">
            <w:pPr>
              <w:pStyle w:val="129"/>
              <w:widowControl w:val="0"/>
              <w:rPr>
                <w:color w:val="auto"/>
              </w:rPr>
            </w:pPr>
            <w:r>
              <w:rPr>
                <w:color w:val="auto"/>
              </w:rPr>
              <w:t>COD、</w:t>
            </w:r>
            <w:r>
              <w:rPr>
                <w:rFonts w:hint="eastAsia"/>
                <w:color w:val="auto"/>
              </w:rPr>
              <w:t>TDS、氨氮</w:t>
            </w:r>
          </w:p>
        </w:tc>
        <w:tc>
          <w:tcPr>
            <w:tcW w:w="660" w:type="pct"/>
            <w:vMerge w:val="restart"/>
            <w:vAlign w:val="center"/>
          </w:tcPr>
          <w:p w14:paraId="13949031">
            <w:pPr>
              <w:pStyle w:val="129"/>
              <w:widowControl w:val="0"/>
              <w:rPr>
                <w:color w:val="auto"/>
              </w:rPr>
            </w:pPr>
            <w:r>
              <w:rPr>
                <w:rFonts w:hint="eastAsia"/>
                <w:color w:val="auto"/>
              </w:rPr>
              <w:t>返回众荣公司回用</w:t>
            </w:r>
          </w:p>
        </w:tc>
        <w:tc>
          <w:tcPr>
            <w:tcW w:w="610" w:type="pct"/>
            <w:vMerge w:val="restart"/>
            <w:vAlign w:val="center"/>
          </w:tcPr>
          <w:p w14:paraId="456C54AF">
            <w:pPr>
              <w:pStyle w:val="129"/>
              <w:widowControl w:val="0"/>
              <w:rPr>
                <w:color w:val="auto"/>
              </w:rPr>
            </w:pPr>
            <w:r>
              <w:rPr>
                <w:rFonts w:hint="eastAsia"/>
                <w:color w:val="auto"/>
              </w:rPr>
              <w:t>《城市污水再生利用</w:t>
            </w:r>
            <w:r>
              <w:rPr>
                <w:color w:val="auto"/>
              </w:rPr>
              <w:t xml:space="preserve">  </w:t>
            </w:r>
            <w:r>
              <w:rPr>
                <w:rFonts w:hint="eastAsia"/>
                <w:color w:val="auto"/>
              </w:rPr>
              <w:t>工业用水水质》（</w:t>
            </w:r>
            <w:r>
              <w:rPr>
                <w:color w:val="auto"/>
              </w:rPr>
              <w:t>GB/T 19923-2024</w:t>
            </w:r>
            <w:r>
              <w:rPr>
                <w:rFonts w:hint="eastAsia"/>
                <w:color w:val="auto"/>
              </w:rPr>
              <w:t>）</w:t>
            </w:r>
          </w:p>
        </w:tc>
        <w:tc>
          <w:tcPr>
            <w:tcW w:w="357" w:type="pct"/>
            <w:vMerge w:val="restart"/>
            <w:vAlign w:val="center"/>
          </w:tcPr>
          <w:p w14:paraId="67F98FD8">
            <w:pPr>
              <w:pStyle w:val="129"/>
              <w:widowControl w:val="0"/>
              <w:rPr>
                <w:color w:val="auto"/>
              </w:rPr>
            </w:pPr>
            <w:r>
              <w:rPr>
                <w:rFonts w:hint="eastAsia"/>
                <w:color w:val="auto"/>
              </w:rPr>
              <w:t>/</w:t>
            </w:r>
          </w:p>
        </w:tc>
        <w:tc>
          <w:tcPr>
            <w:tcW w:w="340" w:type="pct"/>
            <w:vMerge w:val="restart"/>
            <w:vAlign w:val="center"/>
          </w:tcPr>
          <w:p w14:paraId="6C103C3D">
            <w:pPr>
              <w:pStyle w:val="129"/>
              <w:widowControl w:val="0"/>
              <w:rPr>
                <w:color w:val="auto"/>
              </w:rPr>
            </w:pPr>
            <w:r>
              <w:rPr>
                <w:rFonts w:hint="eastAsia"/>
                <w:color w:val="auto"/>
              </w:rPr>
              <w:t>/</w:t>
            </w:r>
          </w:p>
        </w:tc>
        <w:tc>
          <w:tcPr>
            <w:tcW w:w="340" w:type="pct"/>
            <w:vMerge w:val="restart"/>
            <w:vAlign w:val="center"/>
          </w:tcPr>
          <w:p w14:paraId="45E3EA25">
            <w:pPr>
              <w:pStyle w:val="129"/>
              <w:widowControl w:val="0"/>
              <w:rPr>
                <w:color w:val="auto"/>
              </w:rPr>
            </w:pPr>
            <w:r>
              <w:rPr>
                <w:rFonts w:hint="eastAsia"/>
                <w:color w:val="auto"/>
              </w:rPr>
              <w:t>送众荣公司回用</w:t>
            </w:r>
          </w:p>
        </w:tc>
      </w:tr>
      <w:tr w14:paraId="44C61B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63CF99F7">
            <w:pPr>
              <w:pStyle w:val="129"/>
              <w:widowControl w:val="0"/>
              <w:rPr>
                <w:color w:val="auto"/>
              </w:rPr>
            </w:pPr>
          </w:p>
        </w:tc>
        <w:tc>
          <w:tcPr>
            <w:tcW w:w="266" w:type="pct"/>
            <w:vAlign w:val="center"/>
          </w:tcPr>
          <w:p w14:paraId="2E529497">
            <w:pPr>
              <w:pStyle w:val="129"/>
              <w:widowControl w:val="0"/>
              <w:rPr>
                <w:color w:val="auto"/>
              </w:rPr>
            </w:pPr>
            <w:r>
              <w:rPr>
                <w:color w:val="auto"/>
              </w:rPr>
              <w:t>W</w:t>
            </w:r>
            <w:r>
              <w:rPr>
                <w:rFonts w:hint="eastAsia"/>
                <w:color w:val="auto"/>
                <w:vertAlign w:val="subscript"/>
              </w:rPr>
              <w:t>2</w:t>
            </w:r>
          </w:p>
        </w:tc>
        <w:tc>
          <w:tcPr>
            <w:tcW w:w="852" w:type="pct"/>
            <w:vAlign w:val="center"/>
          </w:tcPr>
          <w:p w14:paraId="311B2200">
            <w:pPr>
              <w:pStyle w:val="129"/>
              <w:widowControl w:val="0"/>
              <w:rPr>
                <w:color w:val="auto"/>
              </w:rPr>
            </w:pPr>
            <w:r>
              <w:rPr>
                <w:rFonts w:hint="eastAsia"/>
                <w:color w:val="auto"/>
              </w:rPr>
              <w:t>硫酸铵蒸发冷凝水</w:t>
            </w:r>
          </w:p>
        </w:tc>
        <w:tc>
          <w:tcPr>
            <w:tcW w:w="655" w:type="pct"/>
            <w:vAlign w:val="center"/>
          </w:tcPr>
          <w:p w14:paraId="78F415DD">
            <w:pPr>
              <w:pStyle w:val="129"/>
              <w:widowControl w:val="0"/>
              <w:rPr>
                <w:color w:val="auto"/>
              </w:rPr>
            </w:pPr>
            <w:r>
              <w:rPr>
                <w:rFonts w:hint="eastAsia"/>
                <w:color w:val="auto"/>
              </w:rPr>
              <w:t>三效蒸发器</w:t>
            </w:r>
          </w:p>
        </w:tc>
        <w:tc>
          <w:tcPr>
            <w:tcW w:w="618" w:type="pct"/>
            <w:vMerge w:val="continue"/>
            <w:vAlign w:val="center"/>
          </w:tcPr>
          <w:p w14:paraId="46F7C482">
            <w:pPr>
              <w:pStyle w:val="129"/>
              <w:widowControl w:val="0"/>
              <w:rPr>
                <w:color w:val="auto"/>
              </w:rPr>
            </w:pPr>
          </w:p>
        </w:tc>
        <w:tc>
          <w:tcPr>
            <w:tcW w:w="660" w:type="pct"/>
            <w:vMerge w:val="continue"/>
            <w:vAlign w:val="center"/>
          </w:tcPr>
          <w:p w14:paraId="2A3A8792">
            <w:pPr>
              <w:pStyle w:val="129"/>
              <w:widowControl w:val="0"/>
              <w:rPr>
                <w:color w:val="auto"/>
              </w:rPr>
            </w:pPr>
          </w:p>
        </w:tc>
        <w:tc>
          <w:tcPr>
            <w:tcW w:w="610" w:type="pct"/>
            <w:vMerge w:val="continue"/>
            <w:vAlign w:val="center"/>
          </w:tcPr>
          <w:p w14:paraId="226FA570">
            <w:pPr>
              <w:pStyle w:val="129"/>
              <w:widowControl w:val="0"/>
              <w:rPr>
                <w:color w:val="auto"/>
              </w:rPr>
            </w:pPr>
          </w:p>
        </w:tc>
        <w:tc>
          <w:tcPr>
            <w:tcW w:w="357" w:type="pct"/>
            <w:vMerge w:val="continue"/>
            <w:vAlign w:val="center"/>
          </w:tcPr>
          <w:p w14:paraId="302A7269">
            <w:pPr>
              <w:pStyle w:val="129"/>
              <w:widowControl w:val="0"/>
              <w:rPr>
                <w:color w:val="auto"/>
              </w:rPr>
            </w:pPr>
          </w:p>
        </w:tc>
        <w:tc>
          <w:tcPr>
            <w:tcW w:w="340" w:type="pct"/>
            <w:vMerge w:val="continue"/>
            <w:vAlign w:val="center"/>
          </w:tcPr>
          <w:p w14:paraId="6773ECE0">
            <w:pPr>
              <w:pStyle w:val="129"/>
              <w:widowControl w:val="0"/>
              <w:rPr>
                <w:color w:val="auto"/>
              </w:rPr>
            </w:pPr>
          </w:p>
        </w:tc>
        <w:tc>
          <w:tcPr>
            <w:tcW w:w="340" w:type="pct"/>
            <w:vMerge w:val="continue"/>
            <w:vAlign w:val="center"/>
          </w:tcPr>
          <w:p w14:paraId="65533932">
            <w:pPr>
              <w:pStyle w:val="129"/>
              <w:widowControl w:val="0"/>
              <w:rPr>
                <w:color w:val="auto"/>
              </w:rPr>
            </w:pPr>
          </w:p>
        </w:tc>
      </w:tr>
      <w:tr w14:paraId="4C491C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7F1E37D0">
            <w:pPr>
              <w:pStyle w:val="129"/>
              <w:widowControl w:val="0"/>
              <w:rPr>
                <w:color w:val="auto"/>
              </w:rPr>
            </w:pPr>
          </w:p>
        </w:tc>
        <w:tc>
          <w:tcPr>
            <w:tcW w:w="266" w:type="pct"/>
            <w:vAlign w:val="center"/>
          </w:tcPr>
          <w:p w14:paraId="45502857">
            <w:pPr>
              <w:pStyle w:val="129"/>
              <w:widowControl w:val="0"/>
              <w:rPr>
                <w:color w:val="auto"/>
              </w:rPr>
            </w:pPr>
            <w:r>
              <w:rPr>
                <w:color w:val="auto"/>
              </w:rPr>
              <w:t>W</w:t>
            </w:r>
            <w:r>
              <w:rPr>
                <w:rFonts w:hint="eastAsia"/>
                <w:color w:val="auto"/>
                <w:vertAlign w:val="subscript"/>
              </w:rPr>
              <w:t>3</w:t>
            </w:r>
          </w:p>
        </w:tc>
        <w:tc>
          <w:tcPr>
            <w:tcW w:w="852" w:type="pct"/>
            <w:vAlign w:val="center"/>
          </w:tcPr>
          <w:p w14:paraId="2F285C29">
            <w:pPr>
              <w:pStyle w:val="129"/>
              <w:widowControl w:val="0"/>
              <w:rPr>
                <w:color w:val="auto"/>
              </w:rPr>
            </w:pPr>
            <w:r>
              <w:rPr>
                <w:rFonts w:hint="eastAsia"/>
                <w:color w:val="auto"/>
              </w:rPr>
              <w:t>液体肥料2蒸发浓缩冷凝水</w:t>
            </w:r>
          </w:p>
        </w:tc>
        <w:tc>
          <w:tcPr>
            <w:tcW w:w="655" w:type="pct"/>
            <w:vAlign w:val="center"/>
          </w:tcPr>
          <w:p w14:paraId="3A646078">
            <w:pPr>
              <w:pStyle w:val="129"/>
              <w:widowControl w:val="0"/>
              <w:rPr>
                <w:color w:val="auto"/>
              </w:rPr>
            </w:pPr>
            <w:bookmarkStart w:id="214" w:name="OLE_LINK82"/>
            <w:r>
              <w:rPr>
                <w:rFonts w:hint="eastAsia"/>
                <w:color w:val="auto"/>
              </w:rPr>
              <w:t>MVR蒸发</w:t>
            </w:r>
            <w:bookmarkEnd w:id="214"/>
          </w:p>
        </w:tc>
        <w:tc>
          <w:tcPr>
            <w:tcW w:w="618" w:type="pct"/>
            <w:vMerge w:val="continue"/>
            <w:vAlign w:val="center"/>
          </w:tcPr>
          <w:p w14:paraId="37D5B1B0">
            <w:pPr>
              <w:pStyle w:val="129"/>
              <w:widowControl w:val="0"/>
              <w:rPr>
                <w:color w:val="auto"/>
              </w:rPr>
            </w:pPr>
          </w:p>
        </w:tc>
        <w:tc>
          <w:tcPr>
            <w:tcW w:w="660" w:type="pct"/>
            <w:vMerge w:val="continue"/>
            <w:vAlign w:val="center"/>
          </w:tcPr>
          <w:p w14:paraId="1C0E7B77">
            <w:pPr>
              <w:pStyle w:val="129"/>
              <w:widowControl w:val="0"/>
              <w:rPr>
                <w:color w:val="auto"/>
              </w:rPr>
            </w:pPr>
          </w:p>
        </w:tc>
        <w:tc>
          <w:tcPr>
            <w:tcW w:w="610" w:type="pct"/>
            <w:vMerge w:val="continue"/>
            <w:vAlign w:val="center"/>
          </w:tcPr>
          <w:p w14:paraId="72A3457E">
            <w:pPr>
              <w:pStyle w:val="129"/>
              <w:widowControl w:val="0"/>
              <w:rPr>
                <w:color w:val="auto"/>
              </w:rPr>
            </w:pPr>
          </w:p>
        </w:tc>
        <w:tc>
          <w:tcPr>
            <w:tcW w:w="357" w:type="pct"/>
            <w:vMerge w:val="continue"/>
            <w:vAlign w:val="center"/>
          </w:tcPr>
          <w:p w14:paraId="7CADD4A0">
            <w:pPr>
              <w:pStyle w:val="129"/>
              <w:widowControl w:val="0"/>
              <w:rPr>
                <w:color w:val="auto"/>
              </w:rPr>
            </w:pPr>
          </w:p>
        </w:tc>
        <w:tc>
          <w:tcPr>
            <w:tcW w:w="340" w:type="pct"/>
            <w:vMerge w:val="continue"/>
            <w:vAlign w:val="center"/>
          </w:tcPr>
          <w:p w14:paraId="33C30705">
            <w:pPr>
              <w:pStyle w:val="129"/>
              <w:widowControl w:val="0"/>
              <w:rPr>
                <w:color w:val="auto"/>
              </w:rPr>
            </w:pPr>
          </w:p>
        </w:tc>
        <w:tc>
          <w:tcPr>
            <w:tcW w:w="340" w:type="pct"/>
            <w:vMerge w:val="continue"/>
            <w:vAlign w:val="center"/>
          </w:tcPr>
          <w:p w14:paraId="5BF11F42">
            <w:pPr>
              <w:pStyle w:val="129"/>
              <w:widowControl w:val="0"/>
              <w:rPr>
                <w:color w:val="auto"/>
              </w:rPr>
            </w:pPr>
          </w:p>
        </w:tc>
      </w:tr>
      <w:tr w14:paraId="2E0AB9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2BC494A7">
            <w:pPr>
              <w:pStyle w:val="129"/>
              <w:widowControl w:val="0"/>
              <w:rPr>
                <w:color w:val="auto"/>
              </w:rPr>
            </w:pPr>
          </w:p>
        </w:tc>
        <w:tc>
          <w:tcPr>
            <w:tcW w:w="266" w:type="pct"/>
            <w:vAlign w:val="center"/>
          </w:tcPr>
          <w:p w14:paraId="2F87A449">
            <w:pPr>
              <w:pStyle w:val="129"/>
              <w:widowControl w:val="0"/>
              <w:rPr>
                <w:color w:val="auto"/>
              </w:rPr>
            </w:pPr>
            <w:bookmarkStart w:id="215" w:name="OLE_LINK80"/>
            <w:r>
              <w:rPr>
                <w:color w:val="auto"/>
              </w:rPr>
              <w:t>W</w:t>
            </w:r>
            <w:r>
              <w:rPr>
                <w:rFonts w:hint="eastAsia"/>
                <w:color w:val="auto"/>
                <w:vertAlign w:val="subscript"/>
              </w:rPr>
              <w:t>4</w:t>
            </w:r>
            <w:bookmarkEnd w:id="215"/>
          </w:p>
        </w:tc>
        <w:tc>
          <w:tcPr>
            <w:tcW w:w="852" w:type="pct"/>
            <w:vAlign w:val="center"/>
          </w:tcPr>
          <w:p w14:paraId="01B6414A">
            <w:pPr>
              <w:pStyle w:val="129"/>
              <w:widowControl w:val="0"/>
              <w:rPr>
                <w:color w:val="auto"/>
              </w:rPr>
            </w:pPr>
            <w:r>
              <w:rPr>
                <w:rFonts w:hint="eastAsia"/>
                <w:color w:val="auto"/>
              </w:rPr>
              <w:t>碳酸钠浓缩冷凝水</w:t>
            </w:r>
          </w:p>
        </w:tc>
        <w:tc>
          <w:tcPr>
            <w:tcW w:w="655" w:type="pct"/>
            <w:vAlign w:val="center"/>
          </w:tcPr>
          <w:p w14:paraId="47F37346">
            <w:pPr>
              <w:pStyle w:val="129"/>
              <w:widowControl w:val="0"/>
              <w:rPr>
                <w:color w:val="auto"/>
              </w:rPr>
            </w:pPr>
            <w:r>
              <w:rPr>
                <w:rFonts w:hint="eastAsia"/>
                <w:color w:val="auto"/>
              </w:rPr>
              <w:t>RO膜</w:t>
            </w:r>
          </w:p>
        </w:tc>
        <w:tc>
          <w:tcPr>
            <w:tcW w:w="618" w:type="pct"/>
            <w:vMerge w:val="continue"/>
            <w:vAlign w:val="center"/>
          </w:tcPr>
          <w:p w14:paraId="619A1188">
            <w:pPr>
              <w:pStyle w:val="129"/>
              <w:widowControl w:val="0"/>
              <w:rPr>
                <w:color w:val="auto"/>
              </w:rPr>
            </w:pPr>
          </w:p>
        </w:tc>
        <w:tc>
          <w:tcPr>
            <w:tcW w:w="660" w:type="pct"/>
            <w:vMerge w:val="continue"/>
            <w:vAlign w:val="center"/>
          </w:tcPr>
          <w:p w14:paraId="6E9F7BB9">
            <w:pPr>
              <w:pStyle w:val="129"/>
              <w:widowControl w:val="0"/>
              <w:rPr>
                <w:color w:val="auto"/>
              </w:rPr>
            </w:pPr>
          </w:p>
        </w:tc>
        <w:tc>
          <w:tcPr>
            <w:tcW w:w="610" w:type="pct"/>
            <w:vMerge w:val="continue"/>
            <w:vAlign w:val="center"/>
          </w:tcPr>
          <w:p w14:paraId="775A68EE">
            <w:pPr>
              <w:pStyle w:val="129"/>
              <w:widowControl w:val="0"/>
              <w:rPr>
                <w:color w:val="auto"/>
              </w:rPr>
            </w:pPr>
          </w:p>
        </w:tc>
        <w:tc>
          <w:tcPr>
            <w:tcW w:w="357" w:type="pct"/>
            <w:vMerge w:val="continue"/>
            <w:vAlign w:val="center"/>
          </w:tcPr>
          <w:p w14:paraId="6278750F">
            <w:pPr>
              <w:pStyle w:val="129"/>
              <w:widowControl w:val="0"/>
              <w:rPr>
                <w:color w:val="auto"/>
              </w:rPr>
            </w:pPr>
          </w:p>
        </w:tc>
        <w:tc>
          <w:tcPr>
            <w:tcW w:w="340" w:type="pct"/>
            <w:vMerge w:val="continue"/>
            <w:vAlign w:val="center"/>
          </w:tcPr>
          <w:p w14:paraId="422FB15E">
            <w:pPr>
              <w:pStyle w:val="129"/>
              <w:widowControl w:val="0"/>
              <w:rPr>
                <w:color w:val="auto"/>
              </w:rPr>
            </w:pPr>
          </w:p>
        </w:tc>
        <w:tc>
          <w:tcPr>
            <w:tcW w:w="340" w:type="pct"/>
            <w:vMerge w:val="continue"/>
            <w:vAlign w:val="center"/>
          </w:tcPr>
          <w:p w14:paraId="3AB432B9">
            <w:pPr>
              <w:pStyle w:val="129"/>
              <w:widowControl w:val="0"/>
              <w:rPr>
                <w:color w:val="auto"/>
              </w:rPr>
            </w:pPr>
          </w:p>
        </w:tc>
      </w:tr>
      <w:tr w14:paraId="76ADCE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6C738D7F">
            <w:pPr>
              <w:pStyle w:val="129"/>
              <w:widowControl w:val="0"/>
              <w:rPr>
                <w:color w:val="auto"/>
              </w:rPr>
            </w:pPr>
          </w:p>
        </w:tc>
        <w:tc>
          <w:tcPr>
            <w:tcW w:w="266" w:type="pct"/>
            <w:vAlign w:val="center"/>
          </w:tcPr>
          <w:p w14:paraId="280828C4">
            <w:pPr>
              <w:pStyle w:val="129"/>
              <w:widowControl w:val="0"/>
              <w:rPr>
                <w:color w:val="auto"/>
              </w:rPr>
            </w:pPr>
            <w:r>
              <w:rPr>
                <w:color w:val="auto"/>
              </w:rPr>
              <w:t>W</w:t>
            </w:r>
            <w:r>
              <w:rPr>
                <w:rFonts w:hint="eastAsia"/>
                <w:color w:val="auto"/>
                <w:vertAlign w:val="subscript"/>
              </w:rPr>
              <w:t>5</w:t>
            </w:r>
          </w:p>
        </w:tc>
        <w:tc>
          <w:tcPr>
            <w:tcW w:w="852" w:type="pct"/>
            <w:vAlign w:val="center"/>
          </w:tcPr>
          <w:p w14:paraId="5C10A2C5">
            <w:pPr>
              <w:pStyle w:val="129"/>
              <w:widowControl w:val="0"/>
              <w:rPr>
                <w:color w:val="auto"/>
              </w:rPr>
            </w:pPr>
            <w:r>
              <w:rPr>
                <w:rFonts w:hint="eastAsia"/>
                <w:color w:val="auto"/>
              </w:rPr>
              <w:t>水铝石蒸发冷凝水</w:t>
            </w:r>
          </w:p>
        </w:tc>
        <w:tc>
          <w:tcPr>
            <w:tcW w:w="655" w:type="pct"/>
            <w:vAlign w:val="center"/>
          </w:tcPr>
          <w:p w14:paraId="054148EB">
            <w:pPr>
              <w:pStyle w:val="129"/>
              <w:widowControl w:val="0"/>
              <w:rPr>
                <w:color w:val="auto"/>
              </w:rPr>
            </w:pPr>
            <w:r>
              <w:rPr>
                <w:rFonts w:hint="eastAsia"/>
                <w:color w:val="auto"/>
              </w:rPr>
              <w:t>MVR蒸发</w:t>
            </w:r>
          </w:p>
        </w:tc>
        <w:tc>
          <w:tcPr>
            <w:tcW w:w="618" w:type="pct"/>
            <w:vMerge w:val="continue"/>
            <w:vAlign w:val="center"/>
          </w:tcPr>
          <w:p w14:paraId="349721AF">
            <w:pPr>
              <w:pStyle w:val="129"/>
              <w:widowControl w:val="0"/>
              <w:rPr>
                <w:color w:val="auto"/>
              </w:rPr>
            </w:pPr>
          </w:p>
        </w:tc>
        <w:tc>
          <w:tcPr>
            <w:tcW w:w="660" w:type="pct"/>
            <w:vMerge w:val="continue"/>
            <w:vAlign w:val="center"/>
          </w:tcPr>
          <w:p w14:paraId="24F406E6">
            <w:pPr>
              <w:pStyle w:val="129"/>
              <w:widowControl w:val="0"/>
              <w:rPr>
                <w:color w:val="auto"/>
              </w:rPr>
            </w:pPr>
          </w:p>
        </w:tc>
        <w:tc>
          <w:tcPr>
            <w:tcW w:w="610" w:type="pct"/>
            <w:vMerge w:val="continue"/>
            <w:vAlign w:val="center"/>
          </w:tcPr>
          <w:p w14:paraId="40B9749B">
            <w:pPr>
              <w:pStyle w:val="129"/>
              <w:widowControl w:val="0"/>
              <w:rPr>
                <w:color w:val="auto"/>
              </w:rPr>
            </w:pPr>
          </w:p>
        </w:tc>
        <w:tc>
          <w:tcPr>
            <w:tcW w:w="357" w:type="pct"/>
            <w:vMerge w:val="continue"/>
            <w:vAlign w:val="center"/>
          </w:tcPr>
          <w:p w14:paraId="25BB29FD">
            <w:pPr>
              <w:pStyle w:val="129"/>
              <w:widowControl w:val="0"/>
              <w:rPr>
                <w:color w:val="auto"/>
              </w:rPr>
            </w:pPr>
          </w:p>
        </w:tc>
        <w:tc>
          <w:tcPr>
            <w:tcW w:w="340" w:type="pct"/>
            <w:vMerge w:val="continue"/>
            <w:vAlign w:val="center"/>
          </w:tcPr>
          <w:p w14:paraId="184693EC">
            <w:pPr>
              <w:pStyle w:val="129"/>
              <w:widowControl w:val="0"/>
              <w:rPr>
                <w:color w:val="auto"/>
              </w:rPr>
            </w:pPr>
          </w:p>
        </w:tc>
        <w:tc>
          <w:tcPr>
            <w:tcW w:w="340" w:type="pct"/>
            <w:vMerge w:val="continue"/>
            <w:vAlign w:val="center"/>
          </w:tcPr>
          <w:p w14:paraId="66A5835F">
            <w:pPr>
              <w:pStyle w:val="129"/>
              <w:widowControl w:val="0"/>
              <w:rPr>
                <w:color w:val="auto"/>
              </w:rPr>
            </w:pPr>
          </w:p>
        </w:tc>
      </w:tr>
      <w:tr w14:paraId="054406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04C56EFC">
            <w:pPr>
              <w:pStyle w:val="129"/>
              <w:widowControl w:val="0"/>
              <w:rPr>
                <w:color w:val="auto"/>
              </w:rPr>
            </w:pPr>
          </w:p>
        </w:tc>
        <w:tc>
          <w:tcPr>
            <w:tcW w:w="266" w:type="pct"/>
            <w:vAlign w:val="center"/>
          </w:tcPr>
          <w:p w14:paraId="253F7305">
            <w:pPr>
              <w:pStyle w:val="129"/>
              <w:widowControl w:val="0"/>
              <w:rPr>
                <w:color w:val="auto"/>
              </w:rPr>
            </w:pPr>
            <w:bookmarkStart w:id="216" w:name="OLE_LINK81"/>
            <w:r>
              <w:rPr>
                <w:color w:val="auto"/>
              </w:rPr>
              <w:t>W</w:t>
            </w:r>
            <w:r>
              <w:rPr>
                <w:rFonts w:hint="eastAsia"/>
                <w:color w:val="auto"/>
                <w:vertAlign w:val="subscript"/>
              </w:rPr>
              <w:t>6</w:t>
            </w:r>
            <w:bookmarkEnd w:id="216"/>
          </w:p>
        </w:tc>
        <w:tc>
          <w:tcPr>
            <w:tcW w:w="852" w:type="pct"/>
            <w:vAlign w:val="center"/>
          </w:tcPr>
          <w:p w14:paraId="0E2C4682">
            <w:pPr>
              <w:pStyle w:val="129"/>
              <w:widowControl w:val="0"/>
              <w:rPr>
                <w:color w:val="auto"/>
              </w:rPr>
            </w:pPr>
            <w:r>
              <w:rPr>
                <w:rFonts w:hint="eastAsia"/>
                <w:color w:val="auto"/>
              </w:rPr>
              <w:t>氢氧化钠浓缩冷凝水</w:t>
            </w:r>
          </w:p>
        </w:tc>
        <w:tc>
          <w:tcPr>
            <w:tcW w:w="655" w:type="pct"/>
            <w:vAlign w:val="center"/>
          </w:tcPr>
          <w:p w14:paraId="5399ABD6">
            <w:pPr>
              <w:pStyle w:val="129"/>
              <w:widowControl w:val="0"/>
              <w:rPr>
                <w:color w:val="auto"/>
              </w:rPr>
            </w:pPr>
            <w:r>
              <w:rPr>
                <w:rFonts w:hint="eastAsia"/>
                <w:color w:val="auto"/>
              </w:rPr>
              <w:t>RO膜、MVR蒸发结晶</w:t>
            </w:r>
          </w:p>
        </w:tc>
        <w:tc>
          <w:tcPr>
            <w:tcW w:w="618" w:type="pct"/>
            <w:vMerge w:val="continue"/>
            <w:vAlign w:val="center"/>
          </w:tcPr>
          <w:p w14:paraId="49621CF0">
            <w:pPr>
              <w:pStyle w:val="129"/>
              <w:widowControl w:val="0"/>
              <w:rPr>
                <w:color w:val="auto"/>
              </w:rPr>
            </w:pPr>
          </w:p>
        </w:tc>
        <w:tc>
          <w:tcPr>
            <w:tcW w:w="660" w:type="pct"/>
            <w:vMerge w:val="continue"/>
            <w:vAlign w:val="center"/>
          </w:tcPr>
          <w:p w14:paraId="53FD081D">
            <w:pPr>
              <w:pStyle w:val="129"/>
              <w:widowControl w:val="0"/>
              <w:rPr>
                <w:color w:val="auto"/>
              </w:rPr>
            </w:pPr>
          </w:p>
        </w:tc>
        <w:tc>
          <w:tcPr>
            <w:tcW w:w="610" w:type="pct"/>
            <w:vMerge w:val="continue"/>
            <w:vAlign w:val="center"/>
          </w:tcPr>
          <w:p w14:paraId="2D2D3413">
            <w:pPr>
              <w:pStyle w:val="129"/>
              <w:widowControl w:val="0"/>
              <w:rPr>
                <w:color w:val="auto"/>
              </w:rPr>
            </w:pPr>
          </w:p>
        </w:tc>
        <w:tc>
          <w:tcPr>
            <w:tcW w:w="357" w:type="pct"/>
            <w:vMerge w:val="continue"/>
            <w:vAlign w:val="center"/>
          </w:tcPr>
          <w:p w14:paraId="3A339A30">
            <w:pPr>
              <w:pStyle w:val="129"/>
              <w:widowControl w:val="0"/>
              <w:rPr>
                <w:color w:val="auto"/>
              </w:rPr>
            </w:pPr>
          </w:p>
        </w:tc>
        <w:tc>
          <w:tcPr>
            <w:tcW w:w="340" w:type="pct"/>
            <w:vMerge w:val="continue"/>
            <w:vAlign w:val="center"/>
          </w:tcPr>
          <w:p w14:paraId="68AF02BE">
            <w:pPr>
              <w:pStyle w:val="129"/>
              <w:widowControl w:val="0"/>
              <w:rPr>
                <w:color w:val="auto"/>
              </w:rPr>
            </w:pPr>
          </w:p>
        </w:tc>
        <w:tc>
          <w:tcPr>
            <w:tcW w:w="340" w:type="pct"/>
            <w:vMerge w:val="continue"/>
            <w:vAlign w:val="center"/>
          </w:tcPr>
          <w:p w14:paraId="1D093507">
            <w:pPr>
              <w:pStyle w:val="129"/>
              <w:widowControl w:val="0"/>
              <w:rPr>
                <w:color w:val="auto"/>
              </w:rPr>
            </w:pPr>
          </w:p>
        </w:tc>
      </w:tr>
      <w:tr w14:paraId="352697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restart"/>
            <w:vAlign w:val="center"/>
          </w:tcPr>
          <w:p w14:paraId="1DBF84CB">
            <w:pPr>
              <w:pStyle w:val="129"/>
              <w:widowControl w:val="0"/>
              <w:rPr>
                <w:color w:val="auto"/>
              </w:rPr>
            </w:pPr>
            <w:r>
              <w:rPr>
                <w:color w:val="auto"/>
              </w:rPr>
              <w:t>固废</w:t>
            </w:r>
          </w:p>
        </w:tc>
        <w:tc>
          <w:tcPr>
            <w:tcW w:w="266" w:type="pct"/>
            <w:vAlign w:val="center"/>
          </w:tcPr>
          <w:p w14:paraId="57561099">
            <w:pPr>
              <w:pStyle w:val="129"/>
              <w:widowControl w:val="0"/>
              <w:rPr>
                <w:color w:val="auto"/>
              </w:rPr>
            </w:pPr>
            <w:r>
              <w:rPr>
                <w:color w:val="auto"/>
              </w:rPr>
              <w:t>S</w:t>
            </w:r>
            <w:r>
              <w:rPr>
                <w:rFonts w:hint="eastAsia"/>
                <w:color w:val="auto"/>
                <w:vertAlign w:val="subscript"/>
              </w:rPr>
              <w:t>1</w:t>
            </w:r>
          </w:p>
        </w:tc>
        <w:tc>
          <w:tcPr>
            <w:tcW w:w="852" w:type="pct"/>
            <w:vAlign w:val="center"/>
          </w:tcPr>
          <w:p w14:paraId="1BC7A7E8">
            <w:pPr>
              <w:pStyle w:val="129"/>
              <w:widowControl w:val="0"/>
              <w:rPr>
                <w:color w:val="auto"/>
              </w:rPr>
            </w:pPr>
            <w:r>
              <w:rPr>
                <w:rFonts w:hint="eastAsia"/>
                <w:color w:val="auto"/>
              </w:rPr>
              <w:t>废滤膜</w:t>
            </w:r>
          </w:p>
        </w:tc>
        <w:tc>
          <w:tcPr>
            <w:tcW w:w="655" w:type="pct"/>
            <w:vAlign w:val="center"/>
          </w:tcPr>
          <w:p w14:paraId="55813F74">
            <w:pPr>
              <w:pStyle w:val="129"/>
              <w:widowControl w:val="0"/>
              <w:rPr>
                <w:color w:val="auto"/>
              </w:rPr>
            </w:pPr>
            <w:r>
              <w:rPr>
                <w:rFonts w:hint="eastAsia"/>
                <w:color w:val="auto"/>
              </w:rPr>
              <w:t>RO膜</w:t>
            </w:r>
          </w:p>
        </w:tc>
        <w:tc>
          <w:tcPr>
            <w:tcW w:w="618" w:type="pct"/>
            <w:vAlign w:val="center"/>
          </w:tcPr>
          <w:p w14:paraId="5A6C2C9E">
            <w:pPr>
              <w:pStyle w:val="129"/>
              <w:widowControl w:val="0"/>
              <w:rPr>
                <w:color w:val="auto"/>
              </w:rPr>
            </w:pPr>
            <w:r>
              <w:rPr>
                <w:rFonts w:hint="eastAsia"/>
                <w:color w:val="auto"/>
              </w:rPr>
              <w:t>废膜</w:t>
            </w:r>
          </w:p>
        </w:tc>
        <w:tc>
          <w:tcPr>
            <w:tcW w:w="660" w:type="pct"/>
            <w:vAlign w:val="center"/>
          </w:tcPr>
          <w:p w14:paraId="02F87D52">
            <w:pPr>
              <w:pStyle w:val="129"/>
              <w:widowControl w:val="0"/>
              <w:rPr>
                <w:color w:val="auto"/>
              </w:rPr>
            </w:pPr>
            <w:r>
              <w:rPr>
                <w:rFonts w:hint="eastAsia"/>
                <w:color w:val="auto"/>
              </w:rPr>
              <w:t>交由有资质的单位处理</w:t>
            </w:r>
          </w:p>
        </w:tc>
        <w:tc>
          <w:tcPr>
            <w:tcW w:w="610" w:type="pct"/>
            <w:vAlign w:val="center"/>
          </w:tcPr>
          <w:p w14:paraId="11EC770D">
            <w:pPr>
              <w:pStyle w:val="129"/>
              <w:widowControl w:val="0"/>
              <w:rPr>
                <w:color w:val="auto"/>
              </w:rPr>
            </w:pPr>
            <w:r>
              <w:rPr>
                <w:rFonts w:hint="eastAsia"/>
                <w:color w:val="auto"/>
              </w:rPr>
              <w:t>/</w:t>
            </w:r>
          </w:p>
        </w:tc>
        <w:tc>
          <w:tcPr>
            <w:tcW w:w="357" w:type="pct"/>
            <w:vAlign w:val="center"/>
          </w:tcPr>
          <w:p w14:paraId="379FF369">
            <w:pPr>
              <w:pStyle w:val="129"/>
              <w:widowControl w:val="0"/>
              <w:rPr>
                <w:color w:val="auto"/>
              </w:rPr>
            </w:pPr>
            <w:r>
              <w:rPr>
                <w:rFonts w:hint="eastAsia"/>
                <w:color w:val="auto"/>
              </w:rPr>
              <w:t>/</w:t>
            </w:r>
          </w:p>
        </w:tc>
        <w:tc>
          <w:tcPr>
            <w:tcW w:w="340" w:type="pct"/>
            <w:vAlign w:val="center"/>
          </w:tcPr>
          <w:p w14:paraId="0E49CAC8">
            <w:pPr>
              <w:pStyle w:val="129"/>
              <w:widowControl w:val="0"/>
              <w:rPr>
                <w:color w:val="auto"/>
              </w:rPr>
            </w:pPr>
            <w:r>
              <w:rPr>
                <w:rFonts w:hint="eastAsia"/>
                <w:color w:val="auto"/>
              </w:rPr>
              <w:t>/</w:t>
            </w:r>
          </w:p>
        </w:tc>
        <w:tc>
          <w:tcPr>
            <w:tcW w:w="340" w:type="pct"/>
            <w:vAlign w:val="center"/>
          </w:tcPr>
          <w:p w14:paraId="3FF500A5">
            <w:pPr>
              <w:pStyle w:val="129"/>
              <w:widowControl w:val="0"/>
              <w:rPr>
                <w:color w:val="auto"/>
              </w:rPr>
            </w:pPr>
            <w:r>
              <w:rPr>
                <w:rFonts w:hint="eastAsia"/>
                <w:color w:val="auto"/>
              </w:rPr>
              <w:t>危险废物</w:t>
            </w:r>
          </w:p>
        </w:tc>
      </w:tr>
      <w:tr w14:paraId="7137C7D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24874B40">
            <w:pPr>
              <w:pStyle w:val="129"/>
              <w:widowControl w:val="0"/>
              <w:rPr>
                <w:color w:val="auto"/>
              </w:rPr>
            </w:pPr>
          </w:p>
        </w:tc>
        <w:tc>
          <w:tcPr>
            <w:tcW w:w="266" w:type="pct"/>
            <w:vAlign w:val="center"/>
          </w:tcPr>
          <w:p w14:paraId="755EADC3">
            <w:pPr>
              <w:pStyle w:val="129"/>
              <w:widowControl w:val="0"/>
              <w:rPr>
                <w:color w:val="auto"/>
              </w:rPr>
            </w:pPr>
            <w:r>
              <w:rPr>
                <w:color w:val="auto"/>
              </w:rPr>
              <w:t>S</w:t>
            </w:r>
            <w:r>
              <w:rPr>
                <w:rFonts w:hint="eastAsia"/>
                <w:color w:val="auto"/>
                <w:vertAlign w:val="subscript"/>
              </w:rPr>
              <w:t>2</w:t>
            </w:r>
          </w:p>
        </w:tc>
        <w:tc>
          <w:tcPr>
            <w:tcW w:w="852" w:type="pct"/>
            <w:vAlign w:val="center"/>
          </w:tcPr>
          <w:p w14:paraId="4C3D1809">
            <w:pPr>
              <w:pStyle w:val="129"/>
              <w:widowControl w:val="0"/>
              <w:rPr>
                <w:color w:val="auto"/>
              </w:rPr>
            </w:pPr>
            <w:r>
              <w:rPr>
                <w:rFonts w:hint="eastAsia"/>
                <w:color w:val="auto"/>
              </w:rPr>
              <w:t>废滤袋</w:t>
            </w:r>
          </w:p>
        </w:tc>
        <w:tc>
          <w:tcPr>
            <w:tcW w:w="655" w:type="pct"/>
            <w:vAlign w:val="center"/>
          </w:tcPr>
          <w:p w14:paraId="5ECFF765">
            <w:pPr>
              <w:pStyle w:val="129"/>
              <w:widowControl w:val="0"/>
              <w:rPr>
                <w:color w:val="auto"/>
              </w:rPr>
            </w:pPr>
            <w:r>
              <w:rPr>
                <w:rFonts w:hint="eastAsia"/>
                <w:color w:val="auto"/>
              </w:rPr>
              <w:t>真空压滤</w:t>
            </w:r>
          </w:p>
        </w:tc>
        <w:tc>
          <w:tcPr>
            <w:tcW w:w="618" w:type="pct"/>
            <w:vAlign w:val="center"/>
          </w:tcPr>
          <w:p w14:paraId="6B52CDA2">
            <w:pPr>
              <w:pStyle w:val="129"/>
              <w:widowControl w:val="0"/>
              <w:rPr>
                <w:color w:val="auto"/>
              </w:rPr>
            </w:pPr>
            <w:r>
              <w:rPr>
                <w:rFonts w:hint="eastAsia"/>
                <w:color w:val="auto"/>
              </w:rPr>
              <w:t>废滤袋</w:t>
            </w:r>
          </w:p>
        </w:tc>
        <w:tc>
          <w:tcPr>
            <w:tcW w:w="660" w:type="pct"/>
            <w:vAlign w:val="center"/>
          </w:tcPr>
          <w:p w14:paraId="62A7A7ED">
            <w:pPr>
              <w:pStyle w:val="129"/>
              <w:widowControl w:val="0"/>
              <w:rPr>
                <w:color w:val="auto"/>
              </w:rPr>
            </w:pPr>
            <w:r>
              <w:rPr>
                <w:rFonts w:hint="eastAsia"/>
                <w:color w:val="auto"/>
              </w:rPr>
              <w:t>厂家回收</w:t>
            </w:r>
          </w:p>
        </w:tc>
        <w:tc>
          <w:tcPr>
            <w:tcW w:w="610" w:type="pct"/>
            <w:vAlign w:val="center"/>
          </w:tcPr>
          <w:p w14:paraId="54E2147A">
            <w:pPr>
              <w:pStyle w:val="129"/>
              <w:widowControl w:val="0"/>
              <w:rPr>
                <w:color w:val="auto"/>
              </w:rPr>
            </w:pPr>
            <w:r>
              <w:rPr>
                <w:rFonts w:hint="eastAsia"/>
                <w:color w:val="auto"/>
              </w:rPr>
              <w:t>/</w:t>
            </w:r>
          </w:p>
        </w:tc>
        <w:tc>
          <w:tcPr>
            <w:tcW w:w="357" w:type="pct"/>
            <w:vAlign w:val="center"/>
          </w:tcPr>
          <w:p w14:paraId="00385CF3">
            <w:pPr>
              <w:pStyle w:val="129"/>
              <w:widowControl w:val="0"/>
              <w:rPr>
                <w:color w:val="auto"/>
              </w:rPr>
            </w:pPr>
            <w:r>
              <w:rPr>
                <w:rFonts w:hint="eastAsia"/>
                <w:color w:val="auto"/>
              </w:rPr>
              <w:t>/</w:t>
            </w:r>
          </w:p>
        </w:tc>
        <w:tc>
          <w:tcPr>
            <w:tcW w:w="340" w:type="pct"/>
            <w:vAlign w:val="center"/>
          </w:tcPr>
          <w:p w14:paraId="0D52747A">
            <w:pPr>
              <w:pStyle w:val="129"/>
              <w:widowControl w:val="0"/>
              <w:rPr>
                <w:color w:val="auto"/>
              </w:rPr>
            </w:pPr>
            <w:r>
              <w:rPr>
                <w:rFonts w:hint="eastAsia"/>
                <w:color w:val="auto"/>
              </w:rPr>
              <w:t>/</w:t>
            </w:r>
          </w:p>
        </w:tc>
        <w:tc>
          <w:tcPr>
            <w:tcW w:w="340" w:type="pct"/>
            <w:vAlign w:val="center"/>
          </w:tcPr>
          <w:p w14:paraId="2F4B2784">
            <w:pPr>
              <w:pStyle w:val="129"/>
              <w:widowControl w:val="0"/>
              <w:rPr>
                <w:color w:val="auto"/>
              </w:rPr>
            </w:pPr>
            <w:r>
              <w:rPr>
                <w:rFonts w:hint="eastAsia"/>
                <w:color w:val="auto"/>
              </w:rPr>
              <w:t>一般工业固废</w:t>
            </w:r>
          </w:p>
        </w:tc>
      </w:tr>
      <w:tr w14:paraId="590CC2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restart"/>
            <w:vAlign w:val="center"/>
          </w:tcPr>
          <w:p w14:paraId="03FA45FC">
            <w:pPr>
              <w:pStyle w:val="129"/>
              <w:widowControl w:val="0"/>
              <w:rPr>
                <w:color w:val="auto"/>
              </w:rPr>
            </w:pPr>
            <w:r>
              <w:rPr>
                <w:color w:val="auto"/>
              </w:rPr>
              <w:t>噪声</w:t>
            </w:r>
          </w:p>
        </w:tc>
        <w:tc>
          <w:tcPr>
            <w:tcW w:w="266" w:type="pct"/>
            <w:vAlign w:val="center"/>
          </w:tcPr>
          <w:p w14:paraId="335B7956">
            <w:pPr>
              <w:pStyle w:val="129"/>
              <w:widowControl w:val="0"/>
              <w:rPr>
                <w:color w:val="auto"/>
              </w:rPr>
            </w:pPr>
            <w:r>
              <w:rPr>
                <w:color w:val="auto"/>
              </w:rPr>
              <w:t>N</w:t>
            </w:r>
            <w:r>
              <w:rPr>
                <w:color w:val="auto"/>
                <w:vertAlign w:val="subscript"/>
              </w:rPr>
              <w:t>1</w:t>
            </w:r>
          </w:p>
        </w:tc>
        <w:tc>
          <w:tcPr>
            <w:tcW w:w="852" w:type="pct"/>
            <w:vAlign w:val="center"/>
          </w:tcPr>
          <w:p w14:paraId="574AB933">
            <w:pPr>
              <w:pStyle w:val="129"/>
              <w:widowControl w:val="0"/>
              <w:rPr>
                <w:color w:val="auto"/>
              </w:rPr>
            </w:pPr>
            <w:r>
              <w:rPr>
                <w:rFonts w:hint="eastAsia"/>
                <w:color w:val="auto"/>
              </w:rPr>
              <w:t>干燥器</w:t>
            </w:r>
          </w:p>
        </w:tc>
        <w:tc>
          <w:tcPr>
            <w:tcW w:w="655" w:type="pct"/>
            <w:vAlign w:val="center"/>
          </w:tcPr>
          <w:p w14:paraId="68AFB503">
            <w:pPr>
              <w:pStyle w:val="129"/>
              <w:widowControl w:val="0"/>
              <w:rPr>
                <w:color w:val="auto"/>
              </w:rPr>
            </w:pPr>
            <w:r>
              <w:rPr>
                <w:color w:val="auto"/>
              </w:rPr>
              <w:t>泵类</w:t>
            </w:r>
          </w:p>
        </w:tc>
        <w:tc>
          <w:tcPr>
            <w:tcW w:w="618" w:type="pct"/>
            <w:vMerge w:val="restart"/>
            <w:vAlign w:val="center"/>
          </w:tcPr>
          <w:p w14:paraId="37C02BFA">
            <w:pPr>
              <w:pStyle w:val="129"/>
              <w:widowControl w:val="0"/>
              <w:rPr>
                <w:color w:val="auto"/>
              </w:rPr>
            </w:pPr>
            <w:r>
              <w:rPr>
                <w:color w:val="auto"/>
              </w:rPr>
              <w:t>噪声</w:t>
            </w:r>
          </w:p>
        </w:tc>
        <w:tc>
          <w:tcPr>
            <w:tcW w:w="660" w:type="pct"/>
            <w:vMerge w:val="restart"/>
            <w:vAlign w:val="center"/>
          </w:tcPr>
          <w:p w14:paraId="6263E145">
            <w:pPr>
              <w:pStyle w:val="129"/>
              <w:widowControl w:val="0"/>
              <w:rPr>
                <w:color w:val="auto"/>
              </w:rPr>
            </w:pPr>
            <w:r>
              <w:rPr>
                <w:rFonts w:hint="eastAsia"/>
                <w:color w:val="auto"/>
              </w:rPr>
              <w:t>减振基础、室内布置</w:t>
            </w:r>
          </w:p>
        </w:tc>
        <w:tc>
          <w:tcPr>
            <w:tcW w:w="610" w:type="pct"/>
            <w:vAlign w:val="center"/>
          </w:tcPr>
          <w:p w14:paraId="2CC610E6">
            <w:pPr>
              <w:pStyle w:val="129"/>
              <w:widowControl w:val="0"/>
              <w:rPr>
                <w:color w:val="auto"/>
              </w:rPr>
            </w:pPr>
            <w:r>
              <w:rPr>
                <w:rFonts w:hint="eastAsia"/>
                <w:color w:val="auto"/>
              </w:rPr>
              <w:t>/</w:t>
            </w:r>
          </w:p>
        </w:tc>
        <w:tc>
          <w:tcPr>
            <w:tcW w:w="357" w:type="pct"/>
            <w:vAlign w:val="center"/>
          </w:tcPr>
          <w:p w14:paraId="4583128F">
            <w:pPr>
              <w:pStyle w:val="129"/>
              <w:widowControl w:val="0"/>
              <w:rPr>
                <w:color w:val="auto"/>
              </w:rPr>
            </w:pPr>
          </w:p>
        </w:tc>
        <w:tc>
          <w:tcPr>
            <w:tcW w:w="340" w:type="pct"/>
            <w:vAlign w:val="center"/>
          </w:tcPr>
          <w:p w14:paraId="506BCAF8">
            <w:pPr>
              <w:pStyle w:val="129"/>
              <w:widowControl w:val="0"/>
              <w:rPr>
                <w:color w:val="auto"/>
              </w:rPr>
            </w:pPr>
          </w:p>
        </w:tc>
        <w:tc>
          <w:tcPr>
            <w:tcW w:w="340" w:type="pct"/>
            <w:vAlign w:val="center"/>
          </w:tcPr>
          <w:p w14:paraId="52566FD3">
            <w:pPr>
              <w:pStyle w:val="129"/>
              <w:widowControl w:val="0"/>
              <w:rPr>
                <w:color w:val="auto"/>
              </w:rPr>
            </w:pPr>
            <w:r>
              <w:rPr>
                <w:color w:val="auto"/>
              </w:rPr>
              <w:t>频发</w:t>
            </w:r>
          </w:p>
        </w:tc>
      </w:tr>
      <w:tr w14:paraId="519907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598BA218">
            <w:pPr>
              <w:pStyle w:val="129"/>
              <w:widowControl w:val="0"/>
              <w:rPr>
                <w:color w:val="auto"/>
              </w:rPr>
            </w:pPr>
          </w:p>
        </w:tc>
        <w:tc>
          <w:tcPr>
            <w:tcW w:w="266" w:type="pct"/>
            <w:vAlign w:val="center"/>
          </w:tcPr>
          <w:p w14:paraId="5CD64C08">
            <w:pPr>
              <w:pStyle w:val="129"/>
              <w:widowControl w:val="0"/>
              <w:rPr>
                <w:color w:val="auto"/>
              </w:rPr>
            </w:pPr>
            <w:r>
              <w:rPr>
                <w:color w:val="auto"/>
              </w:rPr>
              <w:t>N</w:t>
            </w:r>
            <w:r>
              <w:rPr>
                <w:rFonts w:hint="eastAsia"/>
                <w:color w:val="auto"/>
                <w:vertAlign w:val="subscript"/>
              </w:rPr>
              <w:t>2</w:t>
            </w:r>
          </w:p>
        </w:tc>
        <w:tc>
          <w:tcPr>
            <w:tcW w:w="852" w:type="pct"/>
            <w:vAlign w:val="center"/>
          </w:tcPr>
          <w:p w14:paraId="242FBC87">
            <w:pPr>
              <w:pStyle w:val="129"/>
              <w:widowControl w:val="0"/>
              <w:rPr>
                <w:color w:val="auto"/>
              </w:rPr>
            </w:pPr>
            <w:r>
              <w:rPr>
                <w:rFonts w:hint="eastAsia"/>
                <w:color w:val="auto"/>
              </w:rPr>
              <w:t>包装机</w:t>
            </w:r>
          </w:p>
        </w:tc>
        <w:tc>
          <w:tcPr>
            <w:tcW w:w="655" w:type="pct"/>
            <w:vAlign w:val="center"/>
          </w:tcPr>
          <w:p w14:paraId="566056EA">
            <w:pPr>
              <w:pStyle w:val="129"/>
              <w:widowControl w:val="0"/>
              <w:rPr>
                <w:color w:val="auto"/>
              </w:rPr>
            </w:pPr>
            <w:r>
              <w:rPr>
                <w:rFonts w:hint="eastAsia"/>
                <w:color w:val="auto"/>
              </w:rPr>
              <w:t>包装机</w:t>
            </w:r>
          </w:p>
        </w:tc>
        <w:tc>
          <w:tcPr>
            <w:tcW w:w="618" w:type="pct"/>
            <w:vMerge w:val="continue"/>
            <w:vAlign w:val="center"/>
          </w:tcPr>
          <w:p w14:paraId="48F340F9">
            <w:pPr>
              <w:pStyle w:val="129"/>
              <w:widowControl w:val="0"/>
              <w:rPr>
                <w:color w:val="auto"/>
              </w:rPr>
            </w:pPr>
          </w:p>
        </w:tc>
        <w:tc>
          <w:tcPr>
            <w:tcW w:w="660" w:type="pct"/>
            <w:vMerge w:val="continue"/>
            <w:vAlign w:val="center"/>
          </w:tcPr>
          <w:p w14:paraId="371074DD">
            <w:pPr>
              <w:pStyle w:val="129"/>
              <w:widowControl w:val="0"/>
              <w:rPr>
                <w:color w:val="auto"/>
              </w:rPr>
            </w:pPr>
          </w:p>
        </w:tc>
        <w:tc>
          <w:tcPr>
            <w:tcW w:w="610" w:type="pct"/>
            <w:vAlign w:val="center"/>
          </w:tcPr>
          <w:p w14:paraId="0D60050D">
            <w:pPr>
              <w:pStyle w:val="129"/>
              <w:widowControl w:val="0"/>
              <w:rPr>
                <w:color w:val="auto"/>
              </w:rPr>
            </w:pPr>
            <w:r>
              <w:rPr>
                <w:rFonts w:hint="eastAsia"/>
                <w:color w:val="auto"/>
              </w:rPr>
              <w:t>/</w:t>
            </w:r>
          </w:p>
        </w:tc>
        <w:tc>
          <w:tcPr>
            <w:tcW w:w="357" w:type="pct"/>
            <w:vAlign w:val="center"/>
          </w:tcPr>
          <w:p w14:paraId="37AE7121">
            <w:pPr>
              <w:pStyle w:val="129"/>
              <w:widowControl w:val="0"/>
              <w:rPr>
                <w:color w:val="auto"/>
              </w:rPr>
            </w:pPr>
          </w:p>
        </w:tc>
        <w:tc>
          <w:tcPr>
            <w:tcW w:w="340" w:type="pct"/>
            <w:vAlign w:val="center"/>
          </w:tcPr>
          <w:p w14:paraId="3A36DBAD">
            <w:pPr>
              <w:pStyle w:val="129"/>
              <w:widowControl w:val="0"/>
              <w:rPr>
                <w:color w:val="auto"/>
              </w:rPr>
            </w:pPr>
          </w:p>
        </w:tc>
        <w:tc>
          <w:tcPr>
            <w:tcW w:w="340" w:type="pct"/>
            <w:vAlign w:val="center"/>
          </w:tcPr>
          <w:p w14:paraId="659649C5">
            <w:pPr>
              <w:pStyle w:val="129"/>
              <w:widowControl w:val="0"/>
              <w:rPr>
                <w:color w:val="auto"/>
              </w:rPr>
            </w:pPr>
            <w:r>
              <w:rPr>
                <w:color w:val="auto"/>
              </w:rPr>
              <w:t>频发</w:t>
            </w:r>
          </w:p>
        </w:tc>
      </w:tr>
      <w:tr w14:paraId="0196712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76B4FF71">
            <w:pPr>
              <w:pStyle w:val="129"/>
              <w:widowControl w:val="0"/>
              <w:rPr>
                <w:color w:val="auto"/>
              </w:rPr>
            </w:pPr>
          </w:p>
        </w:tc>
        <w:tc>
          <w:tcPr>
            <w:tcW w:w="266" w:type="pct"/>
            <w:vAlign w:val="center"/>
          </w:tcPr>
          <w:p w14:paraId="18B897CD">
            <w:pPr>
              <w:pStyle w:val="129"/>
              <w:widowControl w:val="0"/>
              <w:rPr>
                <w:color w:val="auto"/>
              </w:rPr>
            </w:pPr>
            <w:r>
              <w:rPr>
                <w:color w:val="auto"/>
              </w:rPr>
              <w:t>N</w:t>
            </w:r>
            <w:r>
              <w:rPr>
                <w:rFonts w:hint="eastAsia"/>
                <w:color w:val="auto"/>
                <w:vertAlign w:val="subscript"/>
              </w:rPr>
              <w:t>3</w:t>
            </w:r>
          </w:p>
        </w:tc>
        <w:tc>
          <w:tcPr>
            <w:tcW w:w="852" w:type="pct"/>
            <w:vAlign w:val="center"/>
          </w:tcPr>
          <w:p w14:paraId="7CA44FC9">
            <w:pPr>
              <w:pStyle w:val="129"/>
              <w:widowControl w:val="0"/>
              <w:rPr>
                <w:color w:val="auto"/>
              </w:rPr>
            </w:pPr>
            <w:r>
              <w:rPr>
                <w:color w:val="auto"/>
              </w:rPr>
              <w:t>风机</w:t>
            </w:r>
          </w:p>
        </w:tc>
        <w:tc>
          <w:tcPr>
            <w:tcW w:w="655" w:type="pct"/>
            <w:vAlign w:val="center"/>
          </w:tcPr>
          <w:p w14:paraId="4695DAB0">
            <w:pPr>
              <w:pStyle w:val="129"/>
              <w:widowControl w:val="0"/>
              <w:rPr>
                <w:color w:val="auto"/>
              </w:rPr>
            </w:pPr>
            <w:r>
              <w:rPr>
                <w:color w:val="auto"/>
              </w:rPr>
              <w:t>风机</w:t>
            </w:r>
          </w:p>
        </w:tc>
        <w:tc>
          <w:tcPr>
            <w:tcW w:w="618" w:type="pct"/>
            <w:vMerge w:val="continue"/>
            <w:vAlign w:val="center"/>
          </w:tcPr>
          <w:p w14:paraId="7DF377C3">
            <w:pPr>
              <w:pStyle w:val="129"/>
              <w:widowControl w:val="0"/>
              <w:rPr>
                <w:color w:val="auto"/>
              </w:rPr>
            </w:pPr>
          </w:p>
        </w:tc>
        <w:tc>
          <w:tcPr>
            <w:tcW w:w="660" w:type="pct"/>
            <w:vMerge w:val="restart"/>
            <w:vAlign w:val="center"/>
          </w:tcPr>
          <w:p w14:paraId="00466E47">
            <w:pPr>
              <w:pStyle w:val="129"/>
              <w:widowControl w:val="0"/>
              <w:rPr>
                <w:color w:val="auto"/>
              </w:rPr>
            </w:pPr>
            <w:r>
              <w:rPr>
                <w:rFonts w:hint="eastAsia"/>
                <w:color w:val="auto"/>
              </w:rPr>
              <w:t>减振基础、室内布置、安装消声器</w:t>
            </w:r>
          </w:p>
        </w:tc>
        <w:tc>
          <w:tcPr>
            <w:tcW w:w="610" w:type="pct"/>
            <w:vAlign w:val="center"/>
          </w:tcPr>
          <w:p w14:paraId="290145C7">
            <w:pPr>
              <w:pStyle w:val="129"/>
              <w:widowControl w:val="0"/>
              <w:rPr>
                <w:color w:val="auto"/>
              </w:rPr>
            </w:pPr>
            <w:r>
              <w:rPr>
                <w:rFonts w:hint="eastAsia"/>
                <w:color w:val="auto"/>
              </w:rPr>
              <w:t>/</w:t>
            </w:r>
          </w:p>
        </w:tc>
        <w:tc>
          <w:tcPr>
            <w:tcW w:w="357" w:type="pct"/>
            <w:vAlign w:val="center"/>
          </w:tcPr>
          <w:p w14:paraId="30DEAEAC">
            <w:pPr>
              <w:pStyle w:val="129"/>
              <w:widowControl w:val="0"/>
              <w:rPr>
                <w:color w:val="auto"/>
              </w:rPr>
            </w:pPr>
          </w:p>
        </w:tc>
        <w:tc>
          <w:tcPr>
            <w:tcW w:w="340" w:type="pct"/>
            <w:vAlign w:val="center"/>
          </w:tcPr>
          <w:p w14:paraId="69DFDA5E">
            <w:pPr>
              <w:pStyle w:val="129"/>
              <w:widowControl w:val="0"/>
              <w:rPr>
                <w:color w:val="auto"/>
              </w:rPr>
            </w:pPr>
          </w:p>
        </w:tc>
        <w:tc>
          <w:tcPr>
            <w:tcW w:w="340" w:type="pct"/>
            <w:vAlign w:val="center"/>
          </w:tcPr>
          <w:p w14:paraId="4BC938D7">
            <w:pPr>
              <w:pStyle w:val="129"/>
              <w:widowControl w:val="0"/>
              <w:rPr>
                <w:color w:val="auto"/>
              </w:rPr>
            </w:pPr>
            <w:r>
              <w:rPr>
                <w:color w:val="auto"/>
              </w:rPr>
              <w:t>频发</w:t>
            </w:r>
          </w:p>
        </w:tc>
      </w:tr>
      <w:tr w14:paraId="671430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02" w:type="pct"/>
            <w:vMerge w:val="continue"/>
            <w:vAlign w:val="center"/>
          </w:tcPr>
          <w:p w14:paraId="037F2E2D">
            <w:pPr>
              <w:pStyle w:val="129"/>
              <w:widowControl w:val="0"/>
              <w:rPr>
                <w:color w:val="auto"/>
              </w:rPr>
            </w:pPr>
          </w:p>
        </w:tc>
        <w:tc>
          <w:tcPr>
            <w:tcW w:w="266" w:type="pct"/>
            <w:vAlign w:val="center"/>
          </w:tcPr>
          <w:p w14:paraId="411B1B63">
            <w:pPr>
              <w:pStyle w:val="129"/>
              <w:widowControl w:val="0"/>
              <w:rPr>
                <w:color w:val="auto"/>
              </w:rPr>
            </w:pPr>
            <w:r>
              <w:rPr>
                <w:color w:val="auto"/>
              </w:rPr>
              <w:t>N</w:t>
            </w:r>
            <w:r>
              <w:rPr>
                <w:rFonts w:hint="eastAsia"/>
                <w:color w:val="auto"/>
                <w:vertAlign w:val="subscript"/>
              </w:rPr>
              <w:t>4</w:t>
            </w:r>
          </w:p>
        </w:tc>
        <w:tc>
          <w:tcPr>
            <w:tcW w:w="852" w:type="pct"/>
            <w:vAlign w:val="center"/>
          </w:tcPr>
          <w:p w14:paraId="47F67C4A">
            <w:pPr>
              <w:pStyle w:val="129"/>
              <w:widowControl w:val="0"/>
              <w:rPr>
                <w:color w:val="auto"/>
              </w:rPr>
            </w:pPr>
            <w:r>
              <w:rPr>
                <w:rFonts w:hint="eastAsia"/>
                <w:color w:val="auto"/>
              </w:rPr>
              <w:t>泵类</w:t>
            </w:r>
          </w:p>
        </w:tc>
        <w:tc>
          <w:tcPr>
            <w:tcW w:w="655" w:type="pct"/>
            <w:vAlign w:val="center"/>
          </w:tcPr>
          <w:p w14:paraId="560AFCDF">
            <w:pPr>
              <w:pStyle w:val="129"/>
              <w:widowControl w:val="0"/>
              <w:rPr>
                <w:color w:val="auto"/>
              </w:rPr>
            </w:pPr>
            <w:r>
              <w:rPr>
                <w:rFonts w:hint="eastAsia"/>
                <w:color w:val="auto"/>
              </w:rPr>
              <w:t>泵类</w:t>
            </w:r>
          </w:p>
        </w:tc>
        <w:tc>
          <w:tcPr>
            <w:tcW w:w="618" w:type="pct"/>
            <w:vMerge w:val="continue"/>
            <w:vAlign w:val="center"/>
          </w:tcPr>
          <w:p w14:paraId="7E93D69E">
            <w:pPr>
              <w:pStyle w:val="129"/>
              <w:widowControl w:val="0"/>
              <w:rPr>
                <w:color w:val="auto"/>
              </w:rPr>
            </w:pPr>
          </w:p>
        </w:tc>
        <w:tc>
          <w:tcPr>
            <w:tcW w:w="660" w:type="pct"/>
            <w:vMerge w:val="continue"/>
            <w:vAlign w:val="center"/>
          </w:tcPr>
          <w:p w14:paraId="089D62EA">
            <w:pPr>
              <w:pStyle w:val="129"/>
              <w:widowControl w:val="0"/>
              <w:rPr>
                <w:color w:val="auto"/>
              </w:rPr>
            </w:pPr>
          </w:p>
        </w:tc>
        <w:tc>
          <w:tcPr>
            <w:tcW w:w="610" w:type="pct"/>
            <w:vAlign w:val="center"/>
          </w:tcPr>
          <w:p w14:paraId="18E853B2">
            <w:pPr>
              <w:pStyle w:val="129"/>
              <w:widowControl w:val="0"/>
              <w:rPr>
                <w:color w:val="auto"/>
              </w:rPr>
            </w:pPr>
            <w:r>
              <w:rPr>
                <w:rFonts w:hint="eastAsia"/>
                <w:color w:val="auto"/>
              </w:rPr>
              <w:t>/</w:t>
            </w:r>
          </w:p>
        </w:tc>
        <w:tc>
          <w:tcPr>
            <w:tcW w:w="357" w:type="pct"/>
            <w:vAlign w:val="center"/>
          </w:tcPr>
          <w:p w14:paraId="23DF9F58">
            <w:pPr>
              <w:pStyle w:val="129"/>
              <w:widowControl w:val="0"/>
              <w:rPr>
                <w:color w:val="auto"/>
              </w:rPr>
            </w:pPr>
          </w:p>
        </w:tc>
        <w:tc>
          <w:tcPr>
            <w:tcW w:w="340" w:type="pct"/>
            <w:vAlign w:val="center"/>
          </w:tcPr>
          <w:p w14:paraId="54F0B7FA">
            <w:pPr>
              <w:pStyle w:val="129"/>
              <w:widowControl w:val="0"/>
              <w:rPr>
                <w:color w:val="auto"/>
              </w:rPr>
            </w:pPr>
          </w:p>
        </w:tc>
        <w:tc>
          <w:tcPr>
            <w:tcW w:w="340" w:type="pct"/>
            <w:vAlign w:val="center"/>
          </w:tcPr>
          <w:p w14:paraId="31CED6D3">
            <w:pPr>
              <w:pStyle w:val="129"/>
              <w:widowControl w:val="0"/>
              <w:rPr>
                <w:color w:val="auto"/>
              </w:rPr>
            </w:pPr>
            <w:r>
              <w:rPr>
                <w:color w:val="auto"/>
              </w:rPr>
              <w:t>频发</w:t>
            </w:r>
          </w:p>
        </w:tc>
      </w:tr>
    </w:tbl>
    <w:p w14:paraId="0CA0DB47">
      <w:pPr>
        <w:pStyle w:val="132"/>
        <w:rPr>
          <w:color w:val="auto"/>
        </w:rPr>
      </w:pPr>
    </w:p>
    <w:p w14:paraId="1208EC1E">
      <w:pPr>
        <w:rPr>
          <w:color w:val="auto"/>
          <w:szCs w:val="21"/>
          <w:shd w:val="clear" w:color="auto" w:fill="FFFFFF"/>
        </w:rPr>
      </w:pPr>
    </w:p>
    <w:p w14:paraId="7B56ECA6">
      <w:pPr>
        <w:rPr>
          <w:color w:val="auto"/>
          <w:szCs w:val="21"/>
          <w:shd w:val="clear" w:color="auto" w:fill="FFFFFF"/>
        </w:rPr>
      </w:pPr>
    </w:p>
    <w:p w14:paraId="50C18D85">
      <w:pPr>
        <w:rPr>
          <w:color w:val="auto"/>
          <w:szCs w:val="21"/>
          <w:shd w:val="clear" w:color="auto" w:fill="FFFFFF"/>
        </w:rPr>
        <w:sectPr>
          <w:type w:val="continuous"/>
          <w:pgSz w:w="16838" w:h="11906" w:orient="landscape"/>
          <w:pgMar w:top="1440" w:right="1588" w:bottom="1389" w:left="1588" w:header="851" w:footer="992" w:gutter="0"/>
          <w:cols w:space="425" w:num="1"/>
          <w:docGrid w:type="lines" w:linePitch="312" w:charSpace="0"/>
        </w:sectPr>
      </w:pPr>
    </w:p>
    <w:p w14:paraId="2C5F12D7">
      <w:pPr>
        <w:pStyle w:val="4"/>
        <w:rPr>
          <w:color w:val="auto"/>
        </w:rPr>
      </w:pPr>
      <w:r>
        <w:rPr>
          <w:color w:val="auto"/>
        </w:rPr>
        <w:t>催化剂生产工艺流程及产污节点</w:t>
      </w:r>
    </w:p>
    <w:p w14:paraId="56628EAE">
      <w:pPr>
        <w:pStyle w:val="5"/>
        <w:rPr>
          <w:color w:val="auto"/>
        </w:rPr>
      </w:pPr>
      <w:r>
        <w:rPr>
          <w:rFonts w:hint="eastAsia"/>
          <w:color w:val="auto"/>
        </w:rPr>
        <w:t>催化剂生产工艺流程简述</w:t>
      </w:r>
    </w:p>
    <w:p w14:paraId="7C0B726F">
      <w:pPr>
        <w:pStyle w:val="132"/>
        <w:rPr>
          <w:rFonts w:hint="eastAsia" w:eastAsia="宋体"/>
          <w:color w:val="auto"/>
          <w:lang w:eastAsia="zh-CN"/>
        </w:rPr>
      </w:pPr>
      <w:r>
        <w:rPr>
          <w:rFonts w:hint="eastAsia"/>
          <w:color w:val="auto"/>
          <w:lang w:eastAsia="zh-CN"/>
        </w:rPr>
        <w:t>（</w:t>
      </w:r>
      <w:r>
        <w:rPr>
          <w:rFonts w:hint="eastAsia"/>
          <w:color w:val="auto"/>
          <w:lang w:val="en-US" w:eastAsia="zh-CN"/>
        </w:rPr>
        <w:t>略</w:t>
      </w:r>
      <w:r>
        <w:rPr>
          <w:rFonts w:hint="eastAsia"/>
          <w:color w:val="auto"/>
          <w:lang w:eastAsia="zh-CN"/>
        </w:rPr>
        <w:t>）</w:t>
      </w:r>
    </w:p>
    <w:p w14:paraId="5E3200C3">
      <w:pPr>
        <w:rPr>
          <w:color w:val="auto"/>
        </w:rPr>
      </w:pPr>
    </w:p>
    <w:p w14:paraId="3F541D2B">
      <w:pPr>
        <w:rPr>
          <w:color w:val="auto"/>
        </w:rPr>
        <w:sectPr>
          <w:type w:val="continuous"/>
          <w:pgSz w:w="11906" w:h="16838"/>
          <w:pgMar w:top="1440" w:right="1588" w:bottom="1389" w:left="1588" w:header="737" w:footer="822" w:gutter="0"/>
          <w:cols w:space="425" w:num="1"/>
          <w:docGrid w:type="lines" w:linePitch="312" w:charSpace="0"/>
        </w:sectPr>
      </w:pPr>
    </w:p>
    <w:p w14:paraId="18EFDCC8">
      <w:pPr>
        <w:pStyle w:val="1060"/>
        <w:rPr>
          <w:color w:val="auto"/>
        </w:rPr>
      </w:pPr>
    </w:p>
    <w:p w14:paraId="44315869">
      <w:pPr>
        <w:pStyle w:val="5"/>
        <w:rPr>
          <w:color w:val="auto"/>
        </w:rPr>
      </w:pPr>
      <w:r>
        <w:rPr>
          <w:rFonts w:hint="eastAsia"/>
          <w:color w:val="auto"/>
          <w:lang w:val="en-US" w:eastAsia="zh-CN"/>
        </w:rPr>
        <w:t>催</w:t>
      </w:r>
      <w:r>
        <w:rPr>
          <w:rFonts w:hint="eastAsia"/>
          <w:color w:val="auto"/>
        </w:rPr>
        <w:t>化剂生产</w:t>
      </w:r>
      <w:r>
        <w:rPr>
          <w:color w:val="auto"/>
        </w:rPr>
        <w:t>产污环节及</w:t>
      </w:r>
      <w:r>
        <w:rPr>
          <w:rFonts w:hint="eastAsia"/>
          <w:color w:val="auto"/>
        </w:rPr>
        <w:t>环境保护措施</w:t>
      </w:r>
    </w:p>
    <w:p w14:paraId="34199EFE">
      <w:pPr>
        <w:pStyle w:val="132"/>
        <w:numPr>
          <w:ilvl w:val="0"/>
          <w:numId w:val="20"/>
        </w:numPr>
        <w:ind w:firstLineChars="0"/>
        <w:rPr>
          <w:color w:val="auto"/>
        </w:rPr>
      </w:pPr>
      <w:r>
        <w:rPr>
          <w:rFonts w:hint="eastAsia"/>
          <w:color w:val="auto"/>
        </w:rPr>
        <w:t>废气</w:t>
      </w:r>
    </w:p>
    <w:p w14:paraId="55F550DC">
      <w:pPr>
        <w:pStyle w:val="132"/>
        <w:numPr>
          <w:ilvl w:val="0"/>
          <w:numId w:val="21"/>
        </w:numPr>
        <w:ind w:firstLineChars="0"/>
        <w:rPr>
          <w:color w:val="auto"/>
        </w:rPr>
      </w:pPr>
      <w:bookmarkStart w:id="217" w:name="OLE_LINK116"/>
      <w:r>
        <w:rPr>
          <w:rFonts w:hint="eastAsia"/>
          <w:color w:val="auto"/>
        </w:rPr>
        <w:t>催化剂生产干燥废气（G</w:t>
      </w:r>
      <w:r>
        <w:rPr>
          <w:rFonts w:hint="eastAsia"/>
          <w:color w:val="auto"/>
          <w:vertAlign w:val="subscript"/>
        </w:rPr>
        <w:t>10</w:t>
      </w:r>
      <w:r>
        <w:rPr>
          <w:rFonts w:hint="eastAsia"/>
          <w:color w:val="auto"/>
        </w:rPr>
        <w:t>、G</w:t>
      </w:r>
      <w:r>
        <w:rPr>
          <w:rFonts w:hint="eastAsia"/>
          <w:color w:val="auto"/>
          <w:vertAlign w:val="subscript"/>
        </w:rPr>
        <w:t>11</w:t>
      </w:r>
      <w:r>
        <w:rPr>
          <w:rFonts w:hint="eastAsia"/>
          <w:color w:val="auto"/>
        </w:rPr>
        <w:t>、G</w:t>
      </w:r>
      <w:r>
        <w:rPr>
          <w:rFonts w:hint="eastAsia"/>
          <w:color w:val="auto"/>
          <w:vertAlign w:val="subscript"/>
        </w:rPr>
        <w:t>12</w:t>
      </w:r>
      <w:r>
        <w:rPr>
          <w:rFonts w:hint="eastAsia"/>
          <w:color w:val="auto"/>
        </w:rPr>
        <w:t>、G</w:t>
      </w:r>
      <w:r>
        <w:rPr>
          <w:rFonts w:hint="eastAsia"/>
          <w:color w:val="auto"/>
          <w:vertAlign w:val="subscript"/>
        </w:rPr>
        <w:t>13</w:t>
      </w:r>
      <w:r>
        <w:rPr>
          <w:rFonts w:hint="eastAsia"/>
          <w:color w:val="auto"/>
        </w:rPr>
        <w:t>）</w:t>
      </w:r>
    </w:p>
    <w:p w14:paraId="3F2BF8EA">
      <w:pPr>
        <w:pStyle w:val="132"/>
        <w:rPr>
          <w:color w:val="auto"/>
        </w:rPr>
      </w:pPr>
      <w:r>
        <w:rPr>
          <w:rFonts w:hint="eastAsia"/>
          <w:color w:val="auto"/>
        </w:rPr>
        <w:t>催化剂生产干燥废气主要包括载体干燥废气（G</w:t>
      </w:r>
      <w:r>
        <w:rPr>
          <w:rFonts w:hint="eastAsia"/>
          <w:color w:val="auto"/>
          <w:vertAlign w:val="subscript"/>
        </w:rPr>
        <w:t>10</w:t>
      </w:r>
      <w:r>
        <w:rPr>
          <w:rFonts w:hint="eastAsia"/>
          <w:color w:val="auto"/>
        </w:rPr>
        <w:t>）、浸渍干燥废气（G</w:t>
      </w:r>
      <w:r>
        <w:rPr>
          <w:rFonts w:hint="eastAsia"/>
          <w:color w:val="auto"/>
          <w:vertAlign w:val="subscript"/>
        </w:rPr>
        <w:t>12</w:t>
      </w:r>
      <w:r>
        <w:rPr>
          <w:rFonts w:hint="eastAsia"/>
          <w:color w:val="auto"/>
        </w:rPr>
        <w:t>），同时干燥利用载体焙烧和催化剂焙烧燃烧器燃烧过程中的燃烧废气（G</w:t>
      </w:r>
      <w:r>
        <w:rPr>
          <w:rFonts w:hint="eastAsia"/>
          <w:color w:val="auto"/>
          <w:vertAlign w:val="subscript"/>
        </w:rPr>
        <w:t>11</w:t>
      </w:r>
      <w:r>
        <w:rPr>
          <w:rFonts w:hint="eastAsia"/>
          <w:color w:val="auto"/>
        </w:rPr>
        <w:t>、G</w:t>
      </w:r>
      <w:r>
        <w:rPr>
          <w:rFonts w:hint="eastAsia"/>
          <w:color w:val="auto"/>
          <w:vertAlign w:val="subscript"/>
        </w:rPr>
        <w:t>13</w:t>
      </w:r>
      <w:r>
        <w:rPr>
          <w:rFonts w:hint="eastAsia"/>
          <w:color w:val="auto"/>
        </w:rPr>
        <w:t>），废气中主要是水汽，含有少量的颗粒物、二氧化硫、氮氧化物，汇集后通过DA006排放口排放。</w:t>
      </w:r>
    </w:p>
    <w:p w14:paraId="14F8FF8E">
      <w:pPr>
        <w:pStyle w:val="132"/>
        <w:numPr>
          <w:ilvl w:val="0"/>
          <w:numId w:val="21"/>
        </w:numPr>
        <w:ind w:firstLineChars="0"/>
        <w:rPr>
          <w:color w:val="auto"/>
        </w:rPr>
      </w:pPr>
      <w:r>
        <w:rPr>
          <w:rFonts w:hint="eastAsia"/>
          <w:color w:val="auto"/>
        </w:rPr>
        <w:t>催化剂生产焙烧废气（G</w:t>
      </w:r>
      <w:r>
        <w:rPr>
          <w:rFonts w:hint="eastAsia"/>
          <w:color w:val="auto"/>
          <w:vertAlign w:val="subscript"/>
        </w:rPr>
        <w:t>14</w:t>
      </w:r>
      <w:r>
        <w:rPr>
          <w:rFonts w:hint="eastAsia"/>
          <w:color w:val="auto"/>
        </w:rPr>
        <w:t>、G</w:t>
      </w:r>
      <w:r>
        <w:rPr>
          <w:rFonts w:hint="eastAsia"/>
          <w:color w:val="auto"/>
          <w:vertAlign w:val="subscript"/>
        </w:rPr>
        <w:t>15</w:t>
      </w:r>
      <w:r>
        <w:rPr>
          <w:rFonts w:hint="eastAsia"/>
          <w:color w:val="auto"/>
        </w:rPr>
        <w:t>）</w:t>
      </w:r>
    </w:p>
    <w:p w14:paraId="2F709632">
      <w:pPr>
        <w:pStyle w:val="132"/>
        <w:rPr>
          <w:color w:val="auto"/>
        </w:rPr>
      </w:pPr>
      <w:r>
        <w:rPr>
          <w:rFonts w:hint="eastAsia"/>
          <w:color w:val="auto"/>
        </w:rPr>
        <w:t>催化剂生产焙烧废气主要包括载体焙烧废气和催化剂焙烧废气，焙烧废气存在化学反应，废气中含有颗粒物、氮氧化物、钴及其化合物、钼及其化合物、镍及其化合物、锰及其化合物、铜及其化合物、锆及其化合物，经过SCR脱硝处理后再经过布袋除尘处理，通过DA007排放后排放。</w:t>
      </w:r>
    </w:p>
    <w:p w14:paraId="0D3ECB11">
      <w:pPr>
        <w:pStyle w:val="132"/>
        <w:numPr>
          <w:ilvl w:val="0"/>
          <w:numId w:val="21"/>
        </w:numPr>
        <w:ind w:firstLineChars="0"/>
        <w:rPr>
          <w:color w:val="auto"/>
        </w:rPr>
      </w:pPr>
      <w:r>
        <w:rPr>
          <w:rFonts w:hint="eastAsia"/>
          <w:color w:val="auto"/>
        </w:rPr>
        <w:t>催化剂生产筛分包装废气（G</w:t>
      </w:r>
      <w:r>
        <w:rPr>
          <w:rFonts w:hint="eastAsia"/>
          <w:color w:val="auto"/>
          <w:vertAlign w:val="subscript"/>
        </w:rPr>
        <w:t>9</w:t>
      </w:r>
      <w:r>
        <w:rPr>
          <w:rFonts w:hint="eastAsia"/>
          <w:color w:val="auto"/>
        </w:rPr>
        <w:t>、G</w:t>
      </w:r>
      <w:r>
        <w:rPr>
          <w:rFonts w:hint="eastAsia"/>
          <w:color w:val="auto"/>
          <w:vertAlign w:val="subscript"/>
        </w:rPr>
        <w:t>16</w:t>
      </w:r>
      <w:r>
        <w:rPr>
          <w:rFonts w:hint="eastAsia"/>
          <w:color w:val="auto"/>
        </w:rPr>
        <w:t>）</w:t>
      </w:r>
    </w:p>
    <w:p w14:paraId="3D0108EB">
      <w:pPr>
        <w:pStyle w:val="132"/>
        <w:rPr>
          <w:color w:val="auto"/>
        </w:rPr>
      </w:pPr>
      <w:r>
        <w:rPr>
          <w:rFonts w:hint="eastAsia"/>
          <w:color w:val="auto"/>
        </w:rPr>
        <w:t>催化剂生产载体筛分、催化剂筛分包装过程中产生颗粒物，均通过布袋除尘器处理后通过DA005排放口排放。</w:t>
      </w:r>
    </w:p>
    <w:bookmarkEnd w:id="217"/>
    <w:p w14:paraId="6BBFEC9F">
      <w:pPr>
        <w:pStyle w:val="132"/>
        <w:numPr>
          <w:ilvl w:val="0"/>
          <w:numId w:val="20"/>
        </w:numPr>
        <w:ind w:firstLineChars="0"/>
        <w:rPr>
          <w:color w:val="auto"/>
        </w:rPr>
      </w:pPr>
      <w:r>
        <w:rPr>
          <w:rFonts w:hint="eastAsia"/>
          <w:color w:val="auto"/>
        </w:rPr>
        <w:t>废水</w:t>
      </w:r>
    </w:p>
    <w:p w14:paraId="3CE57404">
      <w:pPr>
        <w:pStyle w:val="132"/>
        <w:ind w:left="480" w:firstLine="0" w:firstLineChars="0"/>
        <w:rPr>
          <w:color w:val="auto"/>
        </w:rPr>
      </w:pPr>
      <w:r>
        <w:rPr>
          <w:rFonts w:hint="eastAsia"/>
          <w:color w:val="auto"/>
        </w:rPr>
        <w:t>催化剂生产过程中没有废水排放。</w:t>
      </w:r>
    </w:p>
    <w:p w14:paraId="49A098CA">
      <w:pPr>
        <w:pStyle w:val="132"/>
        <w:numPr>
          <w:ilvl w:val="0"/>
          <w:numId w:val="20"/>
        </w:numPr>
        <w:ind w:firstLineChars="0"/>
        <w:rPr>
          <w:color w:val="auto"/>
        </w:rPr>
      </w:pPr>
      <w:r>
        <w:rPr>
          <w:rFonts w:hint="eastAsia"/>
          <w:color w:val="auto"/>
        </w:rPr>
        <w:t>固废</w:t>
      </w:r>
    </w:p>
    <w:p w14:paraId="31126755">
      <w:pPr>
        <w:pStyle w:val="132"/>
        <w:rPr>
          <w:color w:val="auto"/>
        </w:rPr>
      </w:pPr>
      <w:r>
        <w:rPr>
          <w:color w:val="auto"/>
        </w:rPr>
        <w:t>催化剂生产过程中的固体废物主要为布袋除尘器收集的除尘灰，可直接进入产品外售。</w:t>
      </w:r>
    </w:p>
    <w:p w14:paraId="2A12FB93">
      <w:pPr>
        <w:pStyle w:val="132"/>
        <w:ind w:left="480" w:firstLine="0" w:firstLineChars="0"/>
        <w:rPr>
          <w:color w:val="auto"/>
        </w:rPr>
      </w:pPr>
      <w:r>
        <w:rPr>
          <w:color w:val="auto"/>
        </w:rPr>
        <w:t>产污环节</w:t>
      </w:r>
      <w:r>
        <w:rPr>
          <w:rFonts w:hint="eastAsia"/>
          <w:color w:val="auto"/>
        </w:rPr>
        <w:t>及治理措施见表3.2-4。</w:t>
      </w:r>
    </w:p>
    <w:p w14:paraId="354A0C1F">
      <w:pPr>
        <w:pStyle w:val="1060"/>
        <w:rPr>
          <w:color w:val="auto"/>
        </w:rPr>
      </w:pPr>
    </w:p>
    <w:p w14:paraId="74BFD34E">
      <w:pPr>
        <w:pStyle w:val="1060"/>
        <w:rPr>
          <w:color w:val="auto"/>
        </w:rPr>
      </w:pPr>
    </w:p>
    <w:p w14:paraId="7E1A5390">
      <w:pPr>
        <w:pStyle w:val="1060"/>
        <w:rPr>
          <w:color w:val="auto"/>
        </w:rPr>
      </w:pPr>
    </w:p>
    <w:p w14:paraId="5304C1CF">
      <w:pPr>
        <w:pStyle w:val="1060"/>
        <w:rPr>
          <w:color w:val="auto"/>
        </w:rPr>
        <w:sectPr>
          <w:pgSz w:w="11906" w:h="16838"/>
          <w:pgMar w:top="1588" w:right="1440" w:bottom="1588" w:left="1389" w:header="851" w:footer="992" w:gutter="0"/>
          <w:cols w:space="425" w:num="1"/>
          <w:docGrid w:type="lines" w:linePitch="312" w:charSpace="0"/>
        </w:sectPr>
      </w:pPr>
    </w:p>
    <w:p w14:paraId="788BFDD5">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color w:val="auto"/>
        </w:rPr>
        <w:t xml:space="preserve">  产污环节</w:t>
      </w:r>
      <w:r>
        <w:rPr>
          <w:rFonts w:hint="eastAsia"/>
          <w:color w:val="auto"/>
        </w:rPr>
        <w:t>及治理措施</w:t>
      </w:r>
      <w:r>
        <w:rPr>
          <w:color w:val="auto"/>
        </w:rPr>
        <w:t>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725"/>
        <w:gridCol w:w="738"/>
        <w:gridCol w:w="2206"/>
        <w:gridCol w:w="1470"/>
        <w:gridCol w:w="2208"/>
        <w:gridCol w:w="2057"/>
        <w:gridCol w:w="1470"/>
        <w:gridCol w:w="884"/>
        <w:gridCol w:w="1026"/>
        <w:gridCol w:w="933"/>
      </w:tblGrid>
      <w:tr w14:paraId="4DBF4E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Align w:val="center"/>
          </w:tcPr>
          <w:p w14:paraId="2D95DA34">
            <w:pPr>
              <w:pStyle w:val="129"/>
              <w:widowControl w:val="0"/>
              <w:rPr>
                <w:color w:val="auto"/>
              </w:rPr>
            </w:pPr>
            <w:r>
              <w:rPr>
                <w:color w:val="auto"/>
              </w:rPr>
              <w:t>类别</w:t>
            </w:r>
          </w:p>
        </w:tc>
        <w:tc>
          <w:tcPr>
            <w:tcW w:w="269" w:type="pct"/>
            <w:vAlign w:val="center"/>
          </w:tcPr>
          <w:p w14:paraId="68E0C040">
            <w:pPr>
              <w:pStyle w:val="129"/>
              <w:widowControl w:val="0"/>
              <w:rPr>
                <w:color w:val="auto"/>
              </w:rPr>
            </w:pPr>
            <w:r>
              <w:rPr>
                <w:color w:val="auto"/>
              </w:rPr>
              <w:t>编号</w:t>
            </w:r>
          </w:p>
        </w:tc>
        <w:tc>
          <w:tcPr>
            <w:tcW w:w="804" w:type="pct"/>
            <w:vAlign w:val="center"/>
          </w:tcPr>
          <w:p w14:paraId="113C3C68">
            <w:pPr>
              <w:pStyle w:val="129"/>
              <w:widowControl w:val="0"/>
              <w:rPr>
                <w:color w:val="auto"/>
              </w:rPr>
            </w:pPr>
            <w:r>
              <w:rPr>
                <w:color w:val="auto"/>
              </w:rPr>
              <w:t>污染源名称</w:t>
            </w:r>
          </w:p>
        </w:tc>
        <w:tc>
          <w:tcPr>
            <w:tcW w:w="536" w:type="pct"/>
            <w:vAlign w:val="center"/>
          </w:tcPr>
          <w:p w14:paraId="4EE61D80">
            <w:pPr>
              <w:pStyle w:val="129"/>
              <w:widowControl w:val="0"/>
              <w:rPr>
                <w:color w:val="auto"/>
              </w:rPr>
            </w:pPr>
            <w:r>
              <w:rPr>
                <w:color w:val="auto"/>
              </w:rPr>
              <w:t>生产设施</w:t>
            </w:r>
          </w:p>
        </w:tc>
        <w:tc>
          <w:tcPr>
            <w:tcW w:w="805" w:type="pct"/>
            <w:vAlign w:val="center"/>
          </w:tcPr>
          <w:p w14:paraId="6D06886C">
            <w:pPr>
              <w:pStyle w:val="129"/>
              <w:widowControl w:val="0"/>
              <w:rPr>
                <w:color w:val="auto"/>
              </w:rPr>
            </w:pPr>
            <w:r>
              <w:rPr>
                <w:color w:val="auto"/>
              </w:rPr>
              <w:t xml:space="preserve">污染物 </w:t>
            </w:r>
          </w:p>
        </w:tc>
        <w:tc>
          <w:tcPr>
            <w:tcW w:w="750" w:type="pct"/>
            <w:vAlign w:val="center"/>
          </w:tcPr>
          <w:p w14:paraId="2EAC77AB">
            <w:pPr>
              <w:pStyle w:val="129"/>
              <w:widowControl w:val="0"/>
              <w:rPr>
                <w:color w:val="auto"/>
              </w:rPr>
            </w:pPr>
            <w:r>
              <w:rPr>
                <w:rFonts w:hint="eastAsia"/>
                <w:color w:val="auto"/>
              </w:rPr>
              <w:t>治理措施</w:t>
            </w:r>
          </w:p>
        </w:tc>
        <w:tc>
          <w:tcPr>
            <w:tcW w:w="536" w:type="pct"/>
            <w:vAlign w:val="center"/>
          </w:tcPr>
          <w:p w14:paraId="2977AC45">
            <w:pPr>
              <w:pStyle w:val="129"/>
              <w:widowControl w:val="0"/>
              <w:rPr>
                <w:color w:val="auto"/>
              </w:rPr>
            </w:pPr>
            <w:r>
              <w:rPr>
                <w:rFonts w:hint="eastAsia"/>
                <w:color w:val="auto"/>
              </w:rPr>
              <w:t>执行标准</w:t>
            </w:r>
          </w:p>
        </w:tc>
        <w:tc>
          <w:tcPr>
            <w:tcW w:w="322" w:type="pct"/>
            <w:vAlign w:val="center"/>
          </w:tcPr>
          <w:p w14:paraId="6F18A20A">
            <w:pPr>
              <w:pStyle w:val="129"/>
              <w:widowControl w:val="0"/>
              <w:rPr>
                <w:color w:val="auto"/>
              </w:rPr>
            </w:pPr>
            <w:r>
              <w:rPr>
                <w:color w:val="auto"/>
              </w:rPr>
              <w:t>排口数</w:t>
            </w:r>
          </w:p>
        </w:tc>
        <w:tc>
          <w:tcPr>
            <w:tcW w:w="374" w:type="pct"/>
            <w:vAlign w:val="center"/>
          </w:tcPr>
          <w:p w14:paraId="1F0D44B5">
            <w:pPr>
              <w:pStyle w:val="129"/>
              <w:widowControl w:val="0"/>
              <w:rPr>
                <w:color w:val="auto"/>
              </w:rPr>
            </w:pPr>
            <w:r>
              <w:rPr>
                <w:color w:val="auto"/>
              </w:rPr>
              <w:t>排口</w:t>
            </w:r>
            <w:r>
              <w:rPr>
                <w:rFonts w:hint="eastAsia"/>
                <w:color w:val="auto"/>
              </w:rPr>
              <w:t>编号</w:t>
            </w:r>
          </w:p>
        </w:tc>
        <w:tc>
          <w:tcPr>
            <w:tcW w:w="340" w:type="pct"/>
            <w:vAlign w:val="center"/>
          </w:tcPr>
          <w:p w14:paraId="5B119CF5">
            <w:pPr>
              <w:pStyle w:val="129"/>
              <w:widowControl w:val="0"/>
              <w:rPr>
                <w:color w:val="auto"/>
              </w:rPr>
            </w:pPr>
            <w:r>
              <w:rPr>
                <w:rFonts w:hint="eastAsia"/>
                <w:color w:val="auto"/>
              </w:rPr>
              <w:t>备注</w:t>
            </w:r>
          </w:p>
        </w:tc>
      </w:tr>
      <w:tr w14:paraId="1229C0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restart"/>
            <w:vAlign w:val="center"/>
          </w:tcPr>
          <w:p w14:paraId="3F373D7E">
            <w:pPr>
              <w:pStyle w:val="129"/>
              <w:widowControl w:val="0"/>
              <w:rPr>
                <w:color w:val="auto"/>
              </w:rPr>
            </w:pPr>
            <w:r>
              <w:rPr>
                <w:color w:val="auto"/>
              </w:rPr>
              <w:t>废气</w:t>
            </w:r>
          </w:p>
        </w:tc>
        <w:tc>
          <w:tcPr>
            <w:tcW w:w="269" w:type="pct"/>
            <w:vAlign w:val="center"/>
          </w:tcPr>
          <w:p w14:paraId="453ED28E">
            <w:pPr>
              <w:pStyle w:val="129"/>
              <w:widowControl w:val="0"/>
              <w:rPr>
                <w:color w:val="auto"/>
              </w:rPr>
            </w:pPr>
            <w:bookmarkStart w:id="218" w:name="OLE_LINK87"/>
            <w:r>
              <w:rPr>
                <w:color w:val="auto"/>
              </w:rPr>
              <w:t>G</w:t>
            </w:r>
            <w:bookmarkEnd w:id="218"/>
            <w:r>
              <w:rPr>
                <w:rFonts w:hint="eastAsia"/>
                <w:color w:val="auto"/>
                <w:vertAlign w:val="subscript"/>
              </w:rPr>
              <w:t>9</w:t>
            </w:r>
          </w:p>
        </w:tc>
        <w:tc>
          <w:tcPr>
            <w:tcW w:w="804" w:type="pct"/>
            <w:vAlign w:val="center"/>
          </w:tcPr>
          <w:p w14:paraId="16206BE1">
            <w:pPr>
              <w:pStyle w:val="129"/>
              <w:widowControl w:val="0"/>
              <w:rPr>
                <w:color w:val="auto"/>
              </w:rPr>
            </w:pPr>
            <w:r>
              <w:rPr>
                <w:rFonts w:hint="eastAsia"/>
                <w:color w:val="auto"/>
              </w:rPr>
              <w:t>混捏废气</w:t>
            </w:r>
          </w:p>
        </w:tc>
        <w:tc>
          <w:tcPr>
            <w:tcW w:w="536" w:type="pct"/>
            <w:vAlign w:val="center"/>
          </w:tcPr>
          <w:p w14:paraId="74D7457E">
            <w:pPr>
              <w:pStyle w:val="129"/>
              <w:widowControl w:val="0"/>
              <w:rPr>
                <w:color w:val="auto"/>
              </w:rPr>
            </w:pPr>
            <w:r>
              <w:rPr>
                <w:rFonts w:hint="eastAsia"/>
                <w:color w:val="auto"/>
              </w:rPr>
              <w:t>混捏机</w:t>
            </w:r>
          </w:p>
        </w:tc>
        <w:tc>
          <w:tcPr>
            <w:tcW w:w="805" w:type="pct"/>
            <w:vAlign w:val="center"/>
          </w:tcPr>
          <w:p w14:paraId="0191D9CE">
            <w:pPr>
              <w:pStyle w:val="129"/>
              <w:widowControl w:val="0"/>
              <w:rPr>
                <w:color w:val="auto"/>
              </w:rPr>
            </w:pPr>
            <w:r>
              <w:rPr>
                <w:rFonts w:hint="eastAsia"/>
                <w:color w:val="auto"/>
              </w:rPr>
              <w:t>颗粒物</w:t>
            </w:r>
          </w:p>
        </w:tc>
        <w:tc>
          <w:tcPr>
            <w:tcW w:w="750" w:type="pct"/>
            <w:vAlign w:val="center"/>
          </w:tcPr>
          <w:p w14:paraId="535D5E05">
            <w:pPr>
              <w:pStyle w:val="129"/>
              <w:widowControl w:val="0"/>
              <w:rPr>
                <w:color w:val="auto"/>
              </w:rPr>
            </w:pPr>
            <w:r>
              <w:rPr>
                <w:rFonts w:hint="eastAsia"/>
                <w:color w:val="auto"/>
              </w:rPr>
              <w:t>布袋除尘器</w:t>
            </w:r>
          </w:p>
        </w:tc>
        <w:tc>
          <w:tcPr>
            <w:tcW w:w="536" w:type="pct"/>
            <w:vMerge w:val="restart"/>
            <w:vAlign w:val="center"/>
          </w:tcPr>
          <w:p w14:paraId="3FECC9C6">
            <w:pPr>
              <w:pStyle w:val="129"/>
              <w:widowControl w:val="0"/>
              <w:rPr>
                <w:color w:val="auto"/>
              </w:rPr>
            </w:pPr>
            <w:r>
              <w:rPr>
                <w:rFonts w:hint="eastAsia"/>
                <w:color w:val="auto"/>
              </w:rPr>
              <w:t>《无机化学工业污染物排放标准》（GB31573-2015）及修改单</w:t>
            </w:r>
          </w:p>
        </w:tc>
        <w:tc>
          <w:tcPr>
            <w:tcW w:w="322" w:type="pct"/>
            <w:vMerge w:val="restart"/>
            <w:vAlign w:val="center"/>
          </w:tcPr>
          <w:p w14:paraId="7A057BB4">
            <w:pPr>
              <w:pStyle w:val="129"/>
              <w:widowControl w:val="0"/>
              <w:rPr>
                <w:color w:val="auto"/>
              </w:rPr>
            </w:pPr>
            <w:r>
              <w:rPr>
                <w:rFonts w:hint="eastAsia"/>
                <w:color w:val="auto"/>
              </w:rPr>
              <w:t>1</w:t>
            </w:r>
          </w:p>
        </w:tc>
        <w:tc>
          <w:tcPr>
            <w:tcW w:w="374" w:type="pct"/>
            <w:vMerge w:val="restart"/>
            <w:vAlign w:val="center"/>
          </w:tcPr>
          <w:p w14:paraId="3F67B33C">
            <w:pPr>
              <w:pStyle w:val="129"/>
              <w:widowControl w:val="0"/>
              <w:rPr>
                <w:color w:val="auto"/>
              </w:rPr>
            </w:pPr>
            <w:r>
              <w:rPr>
                <w:rFonts w:hint="eastAsia"/>
                <w:color w:val="auto"/>
              </w:rPr>
              <w:t>DA008</w:t>
            </w:r>
          </w:p>
        </w:tc>
        <w:tc>
          <w:tcPr>
            <w:tcW w:w="340" w:type="pct"/>
            <w:vMerge w:val="restart"/>
            <w:vAlign w:val="center"/>
          </w:tcPr>
          <w:p w14:paraId="0853CE9B">
            <w:pPr>
              <w:pStyle w:val="129"/>
              <w:widowControl w:val="0"/>
              <w:rPr>
                <w:color w:val="auto"/>
              </w:rPr>
            </w:pPr>
            <w:r>
              <w:rPr>
                <w:rFonts w:hint="eastAsia"/>
                <w:color w:val="auto"/>
              </w:rPr>
              <w:t>汇集后送</w:t>
            </w:r>
            <w:r>
              <w:rPr>
                <w:color w:val="auto"/>
              </w:rPr>
              <w:t>DA00</w:t>
            </w:r>
            <w:r>
              <w:rPr>
                <w:rFonts w:hint="eastAsia"/>
                <w:color w:val="auto"/>
              </w:rPr>
              <w:t>8达标排放</w:t>
            </w:r>
          </w:p>
        </w:tc>
      </w:tr>
      <w:tr w14:paraId="3B5A11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66CD2D40">
            <w:pPr>
              <w:pStyle w:val="129"/>
              <w:widowControl w:val="0"/>
              <w:rPr>
                <w:color w:val="auto"/>
              </w:rPr>
            </w:pPr>
          </w:p>
        </w:tc>
        <w:tc>
          <w:tcPr>
            <w:tcW w:w="269" w:type="pct"/>
            <w:vAlign w:val="center"/>
          </w:tcPr>
          <w:p w14:paraId="684DE164">
            <w:pPr>
              <w:pStyle w:val="129"/>
              <w:widowControl w:val="0"/>
              <w:rPr>
                <w:color w:val="auto"/>
              </w:rPr>
            </w:pPr>
            <w:r>
              <w:rPr>
                <w:color w:val="auto"/>
              </w:rPr>
              <w:t>G</w:t>
            </w:r>
            <w:r>
              <w:rPr>
                <w:rFonts w:hint="eastAsia"/>
                <w:color w:val="auto"/>
                <w:vertAlign w:val="subscript"/>
              </w:rPr>
              <w:t>16</w:t>
            </w:r>
          </w:p>
        </w:tc>
        <w:tc>
          <w:tcPr>
            <w:tcW w:w="804" w:type="pct"/>
            <w:vAlign w:val="center"/>
          </w:tcPr>
          <w:p w14:paraId="0ECC9DCF">
            <w:pPr>
              <w:pStyle w:val="129"/>
              <w:widowControl w:val="0"/>
              <w:rPr>
                <w:color w:val="auto"/>
              </w:rPr>
            </w:pPr>
            <w:r>
              <w:rPr>
                <w:rFonts w:hint="eastAsia"/>
                <w:color w:val="auto"/>
              </w:rPr>
              <w:t>催化剂、载体筛分包装废气</w:t>
            </w:r>
          </w:p>
        </w:tc>
        <w:tc>
          <w:tcPr>
            <w:tcW w:w="536" w:type="pct"/>
            <w:vAlign w:val="center"/>
          </w:tcPr>
          <w:p w14:paraId="5ACED7ED">
            <w:pPr>
              <w:pStyle w:val="129"/>
              <w:widowControl w:val="0"/>
              <w:rPr>
                <w:color w:val="auto"/>
              </w:rPr>
            </w:pPr>
            <w:r>
              <w:rPr>
                <w:rFonts w:hint="eastAsia"/>
                <w:color w:val="auto"/>
              </w:rPr>
              <w:t>载体筛分机、催化剂包装机</w:t>
            </w:r>
          </w:p>
        </w:tc>
        <w:tc>
          <w:tcPr>
            <w:tcW w:w="805" w:type="pct"/>
            <w:vAlign w:val="center"/>
          </w:tcPr>
          <w:p w14:paraId="4C3E951C">
            <w:pPr>
              <w:pStyle w:val="129"/>
              <w:widowControl w:val="0"/>
              <w:rPr>
                <w:color w:val="auto"/>
              </w:rPr>
            </w:pPr>
            <w:r>
              <w:rPr>
                <w:rFonts w:hint="eastAsia"/>
                <w:color w:val="auto"/>
              </w:rPr>
              <w:t>颗粒物</w:t>
            </w:r>
          </w:p>
        </w:tc>
        <w:tc>
          <w:tcPr>
            <w:tcW w:w="750" w:type="pct"/>
            <w:vAlign w:val="center"/>
          </w:tcPr>
          <w:p w14:paraId="17EB303C">
            <w:pPr>
              <w:pStyle w:val="129"/>
              <w:widowControl w:val="0"/>
              <w:rPr>
                <w:color w:val="auto"/>
              </w:rPr>
            </w:pPr>
            <w:r>
              <w:rPr>
                <w:rFonts w:hint="eastAsia"/>
                <w:color w:val="auto"/>
              </w:rPr>
              <w:t>布袋除尘器</w:t>
            </w:r>
          </w:p>
        </w:tc>
        <w:tc>
          <w:tcPr>
            <w:tcW w:w="536" w:type="pct"/>
            <w:vMerge w:val="continue"/>
            <w:vAlign w:val="center"/>
          </w:tcPr>
          <w:p w14:paraId="34A63834">
            <w:pPr>
              <w:pStyle w:val="129"/>
              <w:widowControl w:val="0"/>
              <w:rPr>
                <w:color w:val="auto"/>
              </w:rPr>
            </w:pPr>
          </w:p>
        </w:tc>
        <w:tc>
          <w:tcPr>
            <w:tcW w:w="322" w:type="pct"/>
            <w:vMerge w:val="continue"/>
            <w:vAlign w:val="center"/>
          </w:tcPr>
          <w:p w14:paraId="67C6E487">
            <w:pPr>
              <w:pStyle w:val="129"/>
              <w:widowControl w:val="0"/>
              <w:rPr>
                <w:color w:val="auto"/>
              </w:rPr>
            </w:pPr>
          </w:p>
        </w:tc>
        <w:tc>
          <w:tcPr>
            <w:tcW w:w="374" w:type="pct"/>
            <w:vMerge w:val="continue"/>
            <w:vAlign w:val="center"/>
          </w:tcPr>
          <w:p w14:paraId="5439ED60">
            <w:pPr>
              <w:pStyle w:val="129"/>
              <w:widowControl w:val="0"/>
              <w:rPr>
                <w:color w:val="auto"/>
              </w:rPr>
            </w:pPr>
          </w:p>
        </w:tc>
        <w:tc>
          <w:tcPr>
            <w:tcW w:w="340" w:type="pct"/>
            <w:vMerge w:val="continue"/>
            <w:vAlign w:val="center"/>
          </w:tcPr>
          <w:p w14:paraId="4D547003">
            <w:pPr>
              <w:pStyle w:val="129"/>
              <w:widowControl w:val="0"/>
              <w:rPr>
                <w:color w:val="auto"/>
              </w:rPr>
            </w:pPr>
          </w:p>
        </w:tc>
      </w:tr>
      <w:tr w14:paraId="06C8507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0968242F">
            <w:pPr>
              <w:pStyle w:val="129"/>
              <w:widowControl w:val="0"/>
              <w:rPr>
                <w:color w:val="auto"/>
              </w:rPr>
            </w:pPr>
          </w:p>
        </w:tc>
        <w:tc>
          <w:tcPr>
            <w:tcW w:w="269" w:type="pct"/>
            <w:vAlign w:val="center"/>
          </w:tcPr>
          <w:p w14:paraId="7B40D758">
            <w:pPr>
              <w:pStyle w:val="129"/>
              <w:widowControl w:val="0"/>
              <w:rPr>
                <w:color w:val="auto"/>
              </w:rPr>
            </w:pPr>
            <w:bookmarkStart w:id="219" w:name="OLE_LINK85"/>
            <w:r>
              <w:rPr>
                <w:color w:val="auto"/>
              </w:rPr>
              <w:t>G</w:t>
            </w:r>
            <w:bookmarkEnd w:id="219"/>
            <w:r>
              <w:rPr>
                <w:rFonts w:hint="eastAsia"/>
                <w:color w:val="auto"/>
                <w:vertAlign w:val="subscript"/>
              </w:rPr>
              <w:t>10</w:t>
            </w:r>
          </w:p>
        </w:tc>
        <w:tc>
          <w:tcPr>
            <w:tcW w:w="804" w:type="pct"/>
            <w:vAlign w:val="center"/>
          </w:tcPr>
          <w:p w14:paraId="0192349F">
            <w:pPr>
              <w:pStyle w:val="129"/>
              <w:widowControl w:val="0"/>
              <w:rPr>
                <w:color w:val="auto"/>
              </w:rPr>
            </w:pPr>
            <w:r>
              <w:rPr>
                <w:color w:val="auto"/>
              </w:rPr>
              <w:t>载体干燥烟气</w:t>
            </w:r>
          </w:p>
        </w:tc>
        <w:tc>
          <w:tcPr>
            <w:tcW w:w="536" w:type="pct"/>
            <w:vAlign w:val="center"/>
          </w:tcPr>
          <w:p w14:paraId="60F96FBB">
            <w:pPr>
              <w:pStyle w:val="129"/>
              <w:widowControl w:val="0"/>
              <w:rPr>
                <w:color w:val="auto"/>
              </w:rPr>
            </w:pPr>
            <w:r>
              <w:rPr>
                <w:rFonts w:hint="eastAsia"/>
                <w:color w:val="auto"/>
              </w:rPr>
              <w:t>载体网带干燥机</w:t>
            </w:r>
          </w:p>
        </w:tc>
        <w:tc>
          <w:tcPr>
            <w:tcW w:w="805" w:type="pct"/>
            <w:vAlign w:val="center"/>
          </w:tcPr>
          <w:p w14:paraId="5C404D12">
            <w:pPr>
              <w:pStyle w:val="129"/>
              <w:widowControl w:val="0"/>
              <w:rPr>
                <w:color w:val="auto"/>
              </w:rPr>
            </w:pPr>
            <w:r>
              <w:rPr>
                <w:rFonts w:hint="eastAsia"/>
                <w:color w:val="auto"/>
              </w:rPr>
              <w:t>颗粒物、SO</w:t>
            </w:r>
            <w:r>
              <w:rPr>
                <w:rFonts w:hint="eastAsia"/>
                <w:color w:val="auto"/>
                <w:vertAlign w:val="subscript"/>
              </w:rPr>
              <w:t>2</w:t>
            </w:r>
            <w:r>
              <w:rPr>
                <w:rFonts w:hint="eastAsia"/>
                <w:color w:val="auto"/>
              </w:rPr>
              <w:t>、NOx</w:t>
            </w:r>
          </w:p>
        </w:tc>
        <w:tc>
          <w:tcPr>
            <w:tcW w:w="750" w:type="pct"/>
            <w:vAlign w:val="center"/>
          </w:tcPr>
          <w:p w14:paraId="29D9A5AD">
            <w:pPr>
              <w:pStyle w:val="129"/>
              <w:widowControl w:val="0"/>
              <w:rPr>
                <w:color w:val="auto"/>
              </w:rPr>
            </w:pPr>
            <w:r>
              <w:rPr>
                <w:rFonts w:hint="eastAsia"/>
                <w:color w:val="auto"/>
              </w:rPr>
              <w:t>燃用清洁燃烧+低氮燃烧器</w:t>
            </w:r>
          </w:p>
        </w:tc>
        <w:tc>
          <w:tcPr>
            <w:tcW w:w="536" w:type="pct"/>
            <w:vMerge w:val="continue"/>
            <w:vAlign w:val="center"/>
          </w:tcPr>
          <w:p w14:paraId="1DB5942C">
            <w:pPr>
              <w:pStyle w:val="129"/>
              <w:widowControl w:val="0"/>
              <w:rPr>
                <w:color w:val="auto"/>
              </w:rPr>
            </w:pPr>
          </w:p>
        </w:tc>
        <w:tc>
          <w:tcPr>
            <w:tcW w:w="322" w:type="pct"/>
            <w:vMerge w:val="restart"/>
            <w:vAlign w:val="center"/>
          </w:tcPr>
          <w:p w14:paraId="5A0229E9">
            <w:pPr>
              <w:pStyle w:val="129"/>
              <w:widowControl w:val="0"/>
              <w:rPr>
                <w:color w:val="auto"/>
              </w:rPr>
            </w:pPr>
            <w:r>
              <w:rPr>
                <w:rFonts w:hint="eastAsia"/>
                <w:color w:val="auto"/>
              </w:rPr>
              <w:t>1</w:t>
            </w:r>
          </w:p>
        </w:tc>
        <w:tc>
          <w:tcPr>
            <w:tcW w:w="374" w:type="pct"/>
            <w:vMerge w:val="restart"/>
            <w:vAlign w:val="center"/>
          </w:tcPr>
          <w:p w14:paraId="200EA5E4">
            <w:pPr>
              <w:pStyle w:val="129"/>
              <w:widowControl w:val="0"/>
              <w:rPr>
                <w:color w:val="auto"/>
              </w:rPr>
            </w:pPr>
            <w:r>
              <w:rPr>
                <w:rFonts w:hint="eastAsia"/>
                <w:color w:val="auto"/>
              </w:rPr>
              <w:t>DA006</w:t>
            </w:r>
          </w:p>
        </w:tc>
        <w:tc>
          <w:tcPr>
            <w:tcW w:w="340" w:type="pct"/>
            <w:vMerge w:val="restart"/>
            <w:vAlign w:val="center"/>
          </w:tcPr>
          <w:p w14:paraId="6CFED1ED">
            <w:pPr>
              <w:pStyle w:val="129"/>
              <w:widowControl w:val="0"/>
              <w:rPr>
                <w:color w:val="auto"/>
              </w:rPr>
            </w:pPr>
            <w:r>
              <w:rPr>
                <w:rFonts w:hint="eastAsia"/>
                <w:color w:val="auto"/>
              </w:rPr>
              <w:t>汇集后送DA006达标排放</w:t>
            </w:r>
          </w:p>
        </w:tc>
      </w:tr>
      <w:tr w14:paraId="275041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4DC4615D">
            <w:pPr>
              <w:pStyle w:val="129"/>
              <w:widowControl w:val="0"/>
              <w:rPr>
                <w:color w:val="auto"/>
              </w:rPr>
            </w:pPr>
          </w:p>
        </w:tc>
        <w:tc>
          <w:tcPr>
            <w:tcW w:w="269" w:type="pct"/>
            <w:vAlign w:val="center"/>
          </w:tcPr>
          <w:p w14:paraId="01D80F18">
            <w:pPr>
              <w:pStyle w:val="129"/>
              <w:widowControl w:val="0"/>
              <w:rPr>
                <w:color w:val="auto"/>
              </w:rPr>
            </w:pPr>
            <w:r>
              <w:rPr>
                <w:color w:val="auto"/>
              </w:rPr>
              <w:t>G</w:t>
            </w:r>
            <w:r>
              <w:rPr>
                <w:rFonts w:hint="eastAsia"/>
                <w:color w:val="auto"/>
                <w:vertAlign w:val="subscript"/>
              </w:rPr>
              <w:t>11</w:t>
            </w:r>
          </w:p>
        </w:tc>
        <w:tc>
          <w:tcPr>
            <w:tcW w:w="804" w:type="pct"/>
            <w:vAlign w:val="center"/>
          </w:tcPr>
          <w:p w14:paraId="58C7CB2F">
            <w:pPr>
              <w:pStyle w:val="129"/>
              <w:widowControl w:val="0"/>
              <w:rPr>
                <w:color w:val="auto"/>
              </w:rPr>
            </w:pPr>
            <w:r>
              <w:rPr>
                <w:color w:val="auto"/>
              </w:rPr>
              <w:t>载体焙烧炉燃烧器废气（燃料燃烧）</w:t>
            </w:r>
          </w:p>
        </w:tc>
        <w:tc>
          <w:tcPr>
            <w:tcW w:w="536" w:type="pct"/>
            <w:vAlign w:val="center"/>
          </w:tcPr>
          <w:p w14:paraId="03CA9E26">
            <w:pPr>
              <w:pStyle w:val="129"/>
              <w:widowControl w:val="0"/>
              <w:rPr>
                <w:color w:val="auto"/>
              </w:rPr>
            </w:pPr>
            <w:r>
              <w:rPr>
                <w:rFonts w:hint="eastAsia"/>
                <w:color w:val="auto"/>
              </w:rPr>
              <w:t>载体焙烧炉燃烧器</w:t>
            </w:r>
          </w:p>
        </w:tc>
        <w:tc>
          <w:tcPr>
            <w:tcW w:w="805" w:type="pct"/>
            <w:vAlign w:val="center"/>
          </w:tcPr>
          <w:p w14:paraId="0F21DAA5">
            <w:pPr>
              <w:pStyle w:val="129"/>
              <w:widowControl w:val="0"/>
              <w:rPr>
                <w:color w:val="auto"/>
              </w:rPr>
            </w:pPr>
            <w:r>
              <w:rPr>
                <w:rFonts w:hint="eastAsia"/>
                <w:color w:val="auto"/>
              </w:rPr>
              <w:t>颗粒物、SO</w:t>
            </w:r>
            <w:r>
              <w:rPr>
                <w:rFonts w:hint="eastAsia"/>
                <w:color w:val="auto"/>
                <w:vertAlign w:val="subscript"/>
              </w:rPr>
              <w:t>2</w:t>
            </w:r>
            <w:r>
              <w:rPr>
                <w:rFonts w:hint="eastAsia"/>
                <w:color w:val="auto"/>
              </w:rPr>
              <w:t>、NOx</w:t>
            </w:r>
          </w:p>
        </w:tc>
        <w:tc>
          <w:tcPr>
            <w:tcW w:w="750" w:type="pct"/>
            <w:vAlign w:val="center"/>
          </w:tcPr>
          <w:p w14:paraId="20CDA052">
            <w:pPr>
              <w:pStyle w:val="129"/>
              <w:widowControl w:val="0"/>
              <w:rPr>
                <w:color w:val="auto"/>
              </w:rPr>
            </w:pPr>
            <w:r>
              <w:rPr>
                <w:rFonts w:hint="eastAsia"/>
                <w:color w:val="auto"/>
              </w:rPr>
              <w:t>燃用清洁燃烧+低氮燃烧器</w:t>
            </w:r>
          </w:p>
        </w:tc>
        <w:tc>
          <w:tcPr>
            <w:tcW w:w="536" w:type="pct"/>
            <w:vMerge w:val="continue"/>
            <w:vAlign w:val="center"/>
          </w:tcPr>
          <w:p w14:paraId="0B8C1BFF">
            <w:pPr>
              <w:pStyle w:val="129"/>
              <w:widowControl w:val="0"/>
              <w:rPr>
                <w:color w:val="auto"/>
                <w:spacing w:val="-8"/>
              </w:rPr>
            </w:pPr>
          </w:p>
        </w:tc>
        <w:tc>
          <w:tcPr>
            <w:tcW w:w="322" w:type="pct"/>
            <w:vMerge w:val="continue"/>
            <w:vAlign w:val="center"/>
          </w:tcPr>
          <w:p w14:paraId="191AAD94">
            <w:pPr>
              <w:pStyle w:val="129"/>
              <w:widowControl w:val="0"/>
              <w:rPr>
                <w:color w:val="auto"/>
              </w:rPr>
            </w:pPr>
          </w:p>
        </w:tc>
        <w:tc>
          <w:tcPr>
            <w:tcW w:w="374" w:type="pct"/>
            <w:vMerge w:val="continue"/>
            <w:vAlign w:val="center"/>
          </w:tcPr>
          <w:p w14:paraId="2F81B320">
            <w:pPr>
              <w:pStyle w:val="129"/>
              <w:widowControl w:val="0"/>
              <w:rPr>
                <w:color w:val="auto"/>
              </w:rPr>
            </w:pPr>
          </w:p>
        </w:tc>
        <w:tc>
          <w:tcPr>
            <w:tcW w:w="340" w:type="pct"/>
            <w:vMerge w:val="continue"/>
            <w:vAlign w:val="center"/>
          </w:tcPr>
          <w:p w14:paraId="1DC19A7C">
            <w:pPr>
              <w:pStyle w:val="129"/>
              <w:widowControl w:val="0"/>
              <w:rPr>
                <w:color w:val="auto"/>
              </w:rPr>
            </w:pPr>
          </w:p>
        </w:tc>
      </w:tr>
      <w:tr w14:paraId="20EA5D5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4CFE8B8C">
            <w:pPr>
              <w:pStyle w:val="129"/>
              <w:widowControl w:val="0"/>
              <w:rPr>
                <w:color w:val="auto"/>
              </w:rPr>
            </w:pPr>
          </w:p>
        </w:tc>
        <w:tc>
          <w:tcPr>
            <w:tcW w:w="269" w:type="pct"/>
            <w:vAlign w:val="center"/>
          </w:tcPr>
          <w:p w14:paraId="5C3C6142">
            <w:pPr>
              <w:pStyle w:val="129"/>
              <w:widowControl w:val="0"/>
              <w:rPr>
                <w:color w:val="auto"/>
              </w:rPr>
            </w:pPr>
            <w:r>
              <w:rPr>
                <w:color w:val="auto"/>
              </w:rPr>
              <w:t>G</w:t>
            </w:r>
            <w:r>
              <w:rPr>
                <w:rFonts w:hint="eastAsia"/>
                <w:color w:val="auto"/>
                <w:vertAlign w:val="subscript"/>
              </w:rPr>
              <w:t>12</w:t>
            </w:r>
          </w:p>
        </w:tc>
        <w:tc>
          <w:tcPr>
            <w:tcW w:w="804" w:type="pct"/>
            <w:vAlign w:val="center"/>
          </w:tcPr>
          <w:p w14:paraId="136C144B">
            <w:pPr>
              <w:pStyle w:val="129"/>
              <w:widowControl w:val="0"/>
              <w:rPr>
                <w:color w:val="auto"/>
              </w:rPr>
            </w:pPr>
            <w:r>
              <w:rPr>
                <w:rFonts w:hint="eastAsia"/>
                <w:color w:val="auto"/>
              </w:rPr>
              <w:t>浸渍干燥烟气</w:t>
            </w:r>
          </w:p>
        </w:tc>
        <w:tc>
          <w:tcPr>
            <w:tcW w:w="536" w:type="pct"/>
            <w:vAlign w:val="center"/>
          </w:tcPr>
          <w:p w14:paraId="345349A1">
            <w:pPr>
              <w:pStyle w:val="129"/>
              <w:widowControl w:val="0"/>
              <w:rPr>
                <w:color w:val="auto"/>
              </w:rPr>
            </w:pPr>
            <w:r>
              <w:rPr>
                <w:rFonts w:hint="eastAsia"/>
                <w:color w:val="auto"/>
              </w:rPr>
              <w:t>催化剂网带干燥机</w:t>
            </w:r>
          </w:p>
        </w:tc>
        <w:tc>
          <w:tcPr>
            <w:tcW w:w="805" w:type="pct"/>
            <w:vAlign w:val="center"/>
          </w:tcPr>
          <w:p w14:paraId="7A3C6ACB">
            <w:pPr>
              <w:pStyle w:val="129"/>
              <w:widowControl w:val="0"/>
              <w:rPr>
                <w:color w:val="auto"/>
              </w:rPr>
            </w:pPr>
            <w:r>
              <w:rPr>
                <w:rFonts w:hint="eastAsia"/>
                <w:color w:val="auto"/>
              </w:rPr>
              <w:t>颗粒物、SO</w:t>
            </w:r>
            <w:r>
              <w:rPr>
                <w:rFonts w:hint="eastAsia"/>
                <w:color w:val="auto"/>
                <w:vertAlign w:val="subscript"/>
              </w:rPr>
              <w:t>2</w:t>
            </w:r>
            <w:r>
              <w:rPr>
                <w:rFonts w:hint="eastAsia"/>
                <w:color w:val="auto"/>
              </w:rPr>
              <w:t>、NOx</w:t>
            </w:r>
          </w:p>
        </w:tc>
        <w:tc>
          <w:tcPr>
            <w:tcW w:w="750" w:type="pct"/>
            <w:vAlign w:val="center"/>
          </w:tcPr>
          <w:p w14:paraId="7AD9EE9F">
            <w:pPr>
              <w:pStyle w:val="129"/>
              <w:widowControl w:val="0"/>
              <w:rPr>
                <w:color w:val="auto"/>
              </w:rPr>
            </w:pPr>
            <w:r>
              <w:rPr>
                <w:rFonts w:hint="eastAsia"/>
                <w:color w:val="auto"/>
              </w:rPr>
              <w:t>燃用清洁燃烧+低氮燃烧器</w:t>
            </w:r>
          </w:p>
        </w:tc>
        <w:tc>
          <w:tcPr>
            <w:tcW w:w="536" w:type="pct"/>
            <w:vMerge w:val="continue"/>
            <w:vAlign w:val="center"/>
          </w:tcPr>
          <w:p w14:paraId="15A433CA">
            <w:pPr>
              <w:pStyle w:val="129"/>
              <w:widowControl w:val="0"/>
              <w:rPr>
                <w:color w:val="auto"/>
                <w:spacing w:val="-8"/>
              </w:rPr>
            </w:pPr>
          </w:p>
        </w:tc>
        <w:tc>
          <w:tcPr>
            <w:tcW w:w="322" w:type="pct"/>
            <w:vMerge w:val="continue"/>
            <w:vAlign w:val="center"/>
          </w:tcPr>
          <w:p w14:paraId="576380C2">
            <w:pPr>
              <w:pStyle w:val="129"/>
              <w:widowControl w:val="0"/>
              <w:rPr>
                <w:color w:val="auto"/>
              </w:rPr>
            </w:pPr>
          </w:p>
        </w:tc>
        <w:tc>
          <w:tcPr>
            <w:tcW w:w="374" w:type="pct"/>
            <w:vMerge w:val="continue"/>
            <w:vAlign w:val="center"/>
          </w:tcPr>
          <w:p w14:paraId="1F4F6B0B">
            <w:pPr>
              <w:pStyle w:val="129"/>
              <w:widowControl w:val="0"/>
              <w:rPr>
                <w:color w:val="auto"/>
              </w:rPr>
            </w:pPr>
          </w:p>
        </w:tc>
        <w:tc>
          <w:tcPr>
            <w:tcW w:w="340" w:type="pct"/>
            <w:vMerge w:val="continue"/>
            <w:vAlign w:val="center"/>
          </w:tcPr>
          <w:p w14:paraId="44CA534C">
            <w:pPr>
              <w:pStyle w:val="129"/>
              <w:widowControl w:val="0"/>
              <w:rPr>
                <w:color w:val="auto"/>
              </w:rPr>
            </w:pPr>
          </w:p>
        </w:tc>
      </w:tr>
      <w:tr w14:paraId="7F5570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5A0B4DBC">
            <w:pPr>
              <w:pStyle w:val="129"/>
              <w:widowControl w:val="0"/>
              <w:rPr>
                <w:color w:val="auto"/>
              </w:rPr>
            </w:pPr>
          </w:p>
        </w:tc>
        <w:tc>
          <w:tcPr>
            <w:tcW w:w="269" w:type="pct"/>
            <w:vAlign w:val="center"/>
          </w:tcPr>
          <w:p w14:paraId="7EB2068D">
            <w:pPr>
              <w:pStyle w:val="129"/>
              <w:widowControl w:val="0"/>
              <w:rPr>
                <w:color w:val="auto"/>
              </w:rPr>
            </w:pPr>
            <w:r>
              <w:rPr>
                <w:color w:val="auto"/>
              </w:rPr>
              <w:t>G</w:t>
            </w:r>
            <w:r>
              <w:rPr>
                <w:rFonts w:hint="eastAsia"/>
                <w:color w:val="auto"/>
                <w:vertAlign w:val="subscript"/>
              </w:rPr>
              <w:t>13</w:t>
            </w:r>
          </w:p>
        </w:tc>
        <w:tc>
          <w:tcPr>
            <w:tcW w:w="804" w:type="pct"/>
            <w:vAlign w:val="center"/>
          </w:tcPr>
          <w:p w14:paraId="0EB24696">
            <w:pPr>
              <w:pStyle w:val="129"/>
              <w:widowControl w:val="0"/>
              <w:rPr>
                <w:color w:val="auto"/>
              </w:rPr>
            </w:pPr>
            <w:r>
              <w:rPr>
                <w:rFonts w:hint="eastAsia"/>
                <w:color w:val="auto"/>
              </w:rPr>
              <w:t>催化剂焙烧炉燃烧器废气（燃料燃烧）</w:t>
            </w:r>
          </w:p>
        </w:tc>
        <w:tc>
          <w:tcPr>
            <w:tcW w:w="536" w:type="pct"/>
            <w:vAlign w:val="center"/>
          </w:tcPr>
          <w:p w14:paraId="684AA99A">
            <w:pPr>
              <w:pStyle w:val="129"/>
              <w:widowControl w:val="0"/>
              <w:rPr>
                <w:color w:val="auto"/>
              </w:rPr>
            </w:pPr>
            <w:r>
              <w:rPr>
                <w:rFonts w:hint="eastAsia"/>
                <w:color w:val="auto"/>
              </w:rPr>
              <w:t>催化剂焙烧炉燃烧器</w:t>
            </w:r>
          </w:p>
        </w:tc>
        <w:tc>
          <w:tcPr>
            <w:tcW w:w="805" w:type="pct"/>
            <w:vAlign w:val="center"/>
          </w:tcPr>
          <w:p w14:paraId="1359733B">
            <w:pPr>
              <w:pStyle w:val="129"/>
              <w:widowControl w:val="0"/>
              <w:rPr>
                <w:color w:val="auto"/>
              </w:rPr>
            </w:pPr>
            <w:r>
              <w:rPr>
                <w:rFonts w:hint="eastAsia"/>
                <w:color w:val="auto"/>
              </w:rPr>
              <w:t>颗粒物、SO</w:t>
            </w:r>
            <w:r>
              <w:rPr>
                <w:rFonts w:hint="eastAsia"/>
                <w:color w:val="auto"/>
                <w:vertAlign w:val="subscript"/>
              </w:rPr>
              <w:t>2</w:t>
            </w:r>
            <w:r>
              <w:rPr>
                <w:rFonts w:hint="eastAsia"/>
                <w:color w:val="auto"/>
              </w:rPr>
              <w:t>、NOx</w:t>
            </w:r>
          </w:p>
        </w:tc>
        <w:tc>
          <w:tcPr>
            <w:tcW w:w="750" w:type="pct"/>
            <w:vAlign w:val="center"/>
          </w:tcPr>
          <w:p w14:paraId="69A662B1">
            <w:pPr>
              <w:pStyle w:val="129"/>
              <w:widowControl w:val="0"/>
              <w:rPr>
                <w:color w:val="auto"/>
              </w:rPr>
            </w:pPr>
            <w:r>
              <w:rPr>
                <w:rFonts w:hint="eastAsia"/>
                <w:color w:val="auto"/>
              </w:rPr>
              <w:t>燃用清洁燃烧+低氮燃烧器</w:t>
            </w:r>
          </w:p>
        </w:tc>
        <w:tc>
          <w:tcPr>
            <w:tcW w:w="536" w:type="pct"/>
            <w:vMerge w:val="continue"/>
            <w:vAlign w:val="center"/>
          </w:tcPr>
          <w:p w14:paraId="2F250C59">
            <w:pPr>
              <w:pStyle w:val="129"/>
              <w:widowControl w:val="0"/>
              <w:rPr>
                <w:color w:val="auto"/>
                <w:spacing w:val="-8"/>
              </w:rPr>
            </w:pPr>
          </w:p>
        </w:tc>
        <w:tc>
          <w:tcPr>
            <w:tcW w:w="322" w:type="pct"/>
            <w:vMerge w:val="continue"/>
            <w:vAlign w:val="center"/>
          </w:tcPr>
          <w:p w14:paraId="3B578953">
            <w:pPr>
              <w:pStyle w:val="129"/>
              <w:widowControl w:val="0"/>
              <w:rPr>
                <w:color w:val="auto"/>
              </w:rPr>
            </w:pPr>
          </w:p>
        </w:tc>
        <w:tc>
          <w:tcPr>
            <w:tcW w:w="374" w:type="pct"/>
            <w:vMerge w:val="continue"/>
            <w:vAlign w:val="center"/>
          </w:tcPr>
          <w:p w14:paraId="283C0A93">
            <w:pPr>
              <w:pStyle w:val="129"/>
              <w:widowControl w:val="0"/>
              <w:rPr>
                <w:color w:val="auto"/>
              </w:rPr>
            </w:pPr>
          </w:p>
        </w:tc>
        <w:tc>
          <w:tcPr>
            <w:tcW w:w="340" w:type="pct"/>
            <w:vMerge w:val="continue"/>
            <w:vAlign w:val="center"/>
          </w:tcPr>
          <w:p w14:paraId="226E5F94">
            <w:pPr>
              <w:pStyle w:val="129"/>
              <w:widowControl w:val="0"/>
              <w:rPr>
                <w:color w:val="auto"/>
              </w:rPr>
            </w:pPr>
          </w:p>
        </w:tc>
      </w:tr>
      <w:tr w14:paraId="74C70CA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0BD37A9A">
            <w:pPr>
              <w:pStyle w:val="129"/>
              <w:widowControl w:val="0"/>
              <w:rPr>
                <w:color w:val="auto"/>
              </w:rPr>
            </w:pPr>
          </w:p>
        </w:tc>
        <w:tc>
          <w:tcPr>
            <w:tcW w:w="269" w:type="pct"/>
            <w:vAlign w:val="center"/>
          </w:tcPr>
          <w:p w14:paraId="4B131B5E">
            <w:pPr>
              <w:pStyle w:val="129"/>
              <w:widowControl w:val="0"/>
              <w:rPr>
                <w:color w:val="auto"/>
              </w:rPr>
            </w:pPr>
            <w:r>
              <w:rPr>
                <w:color w:val="auto"/>
              </w:rPr>
              <w:t>G</w:t>
            </w:r>
            <w:r>
              <w:rPr>
                <w:rFonts w:hint="eastAsia"/>
                <w:color w:val="auto"/>
                <w:vertAlign w:val="subscript"/>
              </w:rPr>
              <w:t>14</w:t>
            </w:r>
          </w:p>
        </w:tc>
        <w:tc>
          <w:tcPr>
            <w:tcW w:w="804" w:type="pct"/>
            <w:vAlign w:val="center"/>
          </w:tcPr>
          <w:p w14:paraId="370DD28B">
            <w:pPr>
              <w:pStyle w:val="129"/>
              <w:widowControl w:val="0"/>
              <w:rPr>
                <w:color w:val="auto"/>
              </w:rPr>
            </w:pPr>
            <w:r>
              <w:rPr>
                <w:rFonts w:hint="eastAsia"/>
                <w:color w:val="auto"/>
              </w:rPr>
              <w:t>载体焙烧烟气</w:t>
            </w:r>
          </w:p>
        </w:tc>
        <w:tc>
          <w:tcPr>
            <w:tcW w:w="536" w:type="pct"/>
            <w:vAlign w:val="center"/>
          </w:tcPr>
          <w:p w14:paraId="2852FFD4">
            <w:pPr>
              <w:pStyle w:val="129"/>
              <w:widowControl w:val="0"/>
              <w:rPr>
                <w:color w:val="auto"/>
              </w:rPr>
            </w:pPr>
            <w:r>
              <w:rPr>
                <w:rFonts w:hint="eastAsia"/>
                <w:color w:val="auto"/>
              </w:rPr>
              <w:t>载体焙烧炉</w:t>
            </w:r>
          </w:p>
        </w:tc>
        <w:tc>
          <w:tcPr>
            <w:tcW w:w="805" w:type="pct"/>
            <w:vAlign w:val="center"/>
          </w:tcPr>
          <w:p w14:paraId="132D3FFC">
            <w:pPr>
              <w:pStyle w:val="129"/>
              <w:widowControl w:val="0"/>
              <w:rPr>
                <w:color w:val="auto"/>
              </w:rPr>
            </w:pPr>
            <w:r>
              <w:rPr>
                <w:rFonts w:hint="eastAsia"/>
                <w:color w:val="auto"/>
              </w:rPr>
              <w:t>颗粒物、SO</w:t>
            </w:r>
            <w:r>
              <w:rPr>
                <w:rFonts w:hint="eastAsia"/>
                <w:color w:val="auto"/>
                <w:vertAlign w:val="subscript"/>
              </w:rPr>
              <w:t>2</w:t>
            </w:r>
            <w:r>
              <w:rPr>
                <w:rFonts w:hint="eastAsia"/>
                <w:color w:val="auto"/>
              </w:rPr>
              <w:t>、NOx</w:t>
            </w:r>
          </w:p>
        </w:tc>
        <w:tc>
          <w:tcPr>
            <w:tcW w:w="750" w:type="pct"/>
            <w:vAlign w:val="center"/>
          </w:tcPr>
          <w:p w14:paraId="49FC6377">
            <w:pPr>
              <w:pStyle w:val="129"/>
              <w:widowControl w:val="0"/>
              <w:rPr>
                <w:color w:val="auto"/>
              </w:rPr>
            </w:pPr>
            <w:r>
              <w:rPr>
                <w:rFonts w:hint="eastAsia"/>
                <w:color w:val="auto"/>
              </w:rPr>
              <w:t>SCR脱硝+布袋除尘</w:t>
            </w:r>
          </w:p>
        </w:tc>
        <w:tc>
          <w:tcPr>
            <w:tcW w:w="536" w:type="pct"/>
            <w:vMerge w:val="continue"/>
            <w:vAlign w:val="center"/>
          </w:tcPr>
          <w:p w14:paraId="7280998E">
            <w:pPr>
              <w:pStyle w:val="129"/>
              <w:widowControl w:val="0"/>
              <w:rPr>
                <w:color w:val="auto"/>
                <w:spacing w:val="-8"/>
              </w:rPr>
            </w:pPr>
          </w:p>
        </w:tc>
        <w:tc>
          <w:tcPr>
            <w:tcW w:w="322" w:type="pct"/>
            <w:vMerge w:val="restart"/>
            <w:vAlign w:val="center"/>
          </w:tcPr>
          <w:p w14:paraId="4A8FC7CF">
            <w:pPr>
              <w:pStyle w:val="129"/>
              <w:widowControl w:val="0"/>
              <w:rPr>
                <w:color w:val="auto"/>
              </w:rPr>
            </w:pPr>
            <w:r>
              <w:rPr>
                <w:rFonts w:hint="eastAsia"/>
                <w:color w:val="auto"/>
              </w:rPr>
              <w:t>1</w:t>
            </w:r>
          </w:p>
        </w:tc>
        <w:tc>
          <w:tcPr>
            <w:tcW w:w="374" w:type="pct"/>
            <w:vMerge w:val="restart"/>
            <w:vAlign w:val="center"/>
          </w:tcPr>
          <w:p w14:paraId="08F12758">
            <w:pPr>
              <w:pStyle w:val="129"/>
              <w:widowControl w:val="0"/>
              <w:rPr>
                <w:color w:val="auto"/>
              </w:rPr>
            </w:pPr>
            <w:r>
              <w:rPr>
                <w:rFonts w:hint="eastAsia"/>
                <w:color w:val="auto"/>
              </w:rPr>
              <w:t>DA007</w:t>
            </w:r>
          </w:p>
        </w:tc>
        <w:tc>
          <w:tcPr>
            <w:tcW w:w="340" w:type="pct"/>
            <w:vMerge w:val="restart"/>
            <w:vAlign w:val="center"/>
          </w:tcPr>
          <w:p w14:paraId="267F17F6">
            <w:pPr>
              <w:pStyle w:val="129"/>
              <w:widowControl w:val="0"/>
              <w:rPr>
                <w:color w:val="auto"/>
              </w:rPr>
            </w:pPr>
            <w:r>
              <w:rPr>
                <w:rFonts w:hint="eastAsia"/>
                <w:color w:val="auto"/>
              </w:rPr>
              <w:t>汇集后送DA007达标排放</w:t>
            </w:r>
          </w:p>
        </w:tc>
      </w:tr>
      <w:tr w14:paraId="2ADDB2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133D9680">
            <w:pPr>
              <w:pStyle w:val="129"/>
              <w:widowControl w:val="0"/>
              <w:rPr>
                <w:color w:val="auto"/>
              </w:rPr>
            </w:pPr>
          </w:p>
        </w:tc>
        <w:tc>
          <w:tcPr>
            <w:tcW w:w="269" w:type="pct"/>
            <w:vAlign w:val="center"/>
          </w:tcPr>
          <w:p w14:paraId="3CC35D94">
            <w:pPr>
              <w:pStyle w:val="129"/>
              <w:widowControl w:val="0"/>
              <w:rPr>
                <w:color w:val="auto"/>
              </w:rPr>
            </w:pPr>
            <w:r>
              <w:rPr>
                <w:color w:val="auto"/>
              </w:rPr>
              <w:t>G</w:t>
            </w:r>
            <w:r>
              <w:rPr>
                <w:rFonts w:hint="eastAsia"/>
                <w:color w:val="auto"/>
                <w:vertAlign w:val="subscript"/>
              </w:rPr>
              <w:t>15</w:t>
            </w:r>
          </w:p>
        </w:tc>
        <w:tc>
          <w:tcPr>
            <w:tcW w:w="804" w:type="pct"/>
            <w:vAlign w:val="center"/>
          </w:tcPr>
          <w:p w14:paraId="2DE9CFA2">
            <w:pPr>
              <w:pStyle w:val="129"/>
              <w:widowControl w:val="0"/>
              <w:rPr>
                <w:color w:val="auto"/>
              </w:rPr>
            </w:pPr>
            <w:r>
              <w:rPr>
                <w:rFonts w:hint="eastAsia"/>
                <w:color w:val="auto"/>
              </w:rPr>
              <w:t>催化剂焙烧烟气</w:t>
            </w:r>
          </w:p>
        </w:tc>
        <w:tc>
          <w:tcPr>
            <w:tcW w:w="536" w:type="pct"/>
            <w:vAlign w:val="center"/>
          </w:tcPr>
          <w:p w14:paraId="7DCF3DA9">
            <w:pPr>
              <w:pStyle w:val="129"/>
              <w:widowControl w:val="0"/>
              <w:rPr>
                <w:color w:val="auto"/>
              </w:rPr>
            </w:pPr>
            <w:r>
              <w:rPr>
                <w:rFonts w:hint="eastAsia"/>
                <w:color w:val="auto"/>
              </w:rPr>
              <w:t>催化剂焙烧炉</w:t>
            </w:r>
          </w:p>
        </w:tc>
        <w:tc>
          <w:tcPr>
            <w:tcW w:w="805" w:type="pct"/>
            <w:vAlign w:val="center"/>
          </w:tcPr>
          <w:p w14:paraId="127D64FF">
            <w:pPr>
              <w:pStyle w:val="129"/>
              <w:widowControl w:val="0"/>
              <w:rPr>
                <w:color w:val="auto"/>
              </w:rPr>
            </w:pPr>
            <w:r>
              <w:rPr>
                <w:rFonts w:hint="eastAsia"/>
                <w:color w:val="auto"/>
              </w:rPr>
              <w:t>颗粒物、SO</w:t>
            </w:r>
            <w:r>
              <w:rPr>
                <w:rFonts w:hint="eastAsia"/>
                <w:color w:val="auto"/>
                <w:vertAlign w:val="subscript"/>
              </w:rPr>
              <w:t>2</w:t>
            </w:r>
            <w:r>
              <w:rPr>
                <w:rFonts w:hint="eastAsia"/>
                <w:color w:val="auto"/>
              </w:rPr>
              <w:t>、NOx</w:t>
            </w:r>
          </w:p>
        </w:tc>
        <w:tc>
          <w:tcPr>
            <w:tcW w:w="750" w:type="pct"/>
            <w:vAlign w:val="center"/>
          </w:tcPr>
          <w:p w14:paraId="6F9853FD">
            <w:pPr>
              <w:pStyle w:val="129"/>
              <w:widowControl w:val="0"/>
              <w:rPr>
                <w:color w:val="auto"/>
              </w:rPr>
            </w:pPr>
            <w:r>
              <w:rPr>
                <w:rFonts w:hint="eastAsia"/>
                <w:color w:val="auto"/>
              </w:rPr>
              <w:t>SCR脱硝+布袋除尘</w:t>
            </w:r>
          </w:p>
        </w:tc>
        <w:tc>
          <w:tcPr>
            <w:tcW w:w="536" w:type="pct"/>
            <w:vMerge w:val="continue"/>
            <w:vAlign w:val="center"/>
          </w:tcPr>
          <w:p w14:paraId="41DB0A72">
            <w:pPr>
              <w:pStyle w:val="129"/>
              <w:widowControl w:val="0"/>
              <w:rPr>
                <w:color w:val="auto"/>
                <w:spacing w:val="-8"/>
              </w:rPr>
            </w:pPr>
          </w:p>
        </w:tc>
        <w:tc>
          <w:tcPr>
            <w:tcW w:w="322" w:type="pct"/>
            <w:vMerge w:val="continue"/>
            <w:vAlign w:val="center"/>
          </w:tcPr>
          <w:p w14:paraId="0B2C82DF">
            <w:pPr>
              <w:pStyle w:val="129"/>
              <w:widowControl w:val="0"/>
              <w:rPr>
                <w:color w:val="auto"/>
              </w:rPr>
            </w:pPr>
          </w:p>
        </w:tc>
        <w:tc>
          <w:tcPr>
            <w:tcW w:w="374" w:type="pct"/>
            <w:vMerge w:val="continue"/>
            <w:vAlign w:val="center"/>
          </w:tcPr>
          <w:p w14:paraId="45A5551E">
            <w:pPr>
              <w:pStyle w:val="129"/>
              <w:widowControl w:val="0"/>
              <w:rPr>
                <w:color w:val="auto"/>
              </w:rPr>
            </w:pPr>
          </w:p>
        </w:tc>
        <w:tc>
          <w:tcPr>
            <w:tcW w:w="340" w:type="pct"/>
            <w:vMerge w:val="continue"/>
            <w:vAlign w:val="center"/>
          </w:tcPr>
          <w:p w14:paraId="72BF2AE6">
            <w:pPr>
              <w:pStyle w:val="129"/>
              <w:widowControl w:val="0"/>
              <w:rPr>
                <w:color w:val="auto"/>
              </w:rPr>
            </w:pPr>
          </w:p>
        </w:tc>
      </w:tr>
      <w:tr w14:paraId="3CD54A8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Align w:val="center"/>
          </w:tcPr>
          <w:p w14:paraId="162684EC">
            <w:pPr>
              <w:pStyle w:val="129"/>
              <w:widowControl w:val="0"/>
              <w:rPr>
                <w:color w:val="auto"/>
              </w:rPr>
            </w:pPr>
            <w:r>
              <w:rPr>
                <w:color w:val="auto"/>
              </w:rPr>
              <w:t>固废</w:t>
            </w:r>
          </w:p>
        </w:tc>
        <w:tc>
          <w:tcPr>
            <w:tcW w:w="269" w:type="pct"/>
            <w:vAlign w:val="center"/>
          </w:tcPr>
          <w:p w14:paraId="5EC5FC24">
            <w:pPr>
              <w:pStyle w:val="129"/>
              <w:widowControl w:val="0"/>
              <w:rPr>
                <w:color w:val="auto"/>
              </w:rPr>
            </w:pPr>
            <w:r>
              <w:rPr>
                <w:color w:val="auto"/>
              </w:rPr>
              <w:t>S</w:t>
            </w:r>
            <w:r>
              <w:rPr>
                <w:rFonts w:hint="eastAsia"/>
                <w:color w:val="auto"/>
                <w:vertAlign w:val="subscript"/>
              </w:rPr>
              <w:t>2</w:t>
            </w:r>
          </w:p>
        </w:tc>
        <w:tc>
          <w:tcPr>
            <w:tcW w:w="804" w:type="pct"/>
            <w:vAlign w:val="center"/>
          </w:tcPr>
          <w:p w14:paraId="6C66E9EF">
            <w:pPr>
              <w:pStyle w:val="129"/>
              <w:widowControl w:val="0"/>
              <w:rPr>
                <w:color w:val="auto"/>
              </w:rPr>
            </w:pPr>
            <w:r>
              <w:rPr>
                <w:rFonts w:hint="eastAsia"/>
                <w:color w:val="auto"/>
              </w:rPr>
              <w:t>焙烧除尘灰</w:t>
            </w:r>
          </w:p>
        </w:tc>
        <w:tc>
          <w:tcPr>
            <w:tcW w:w="536" w:type="pct"/>
            <w:vAlign w:val="center"/>
          </w:tcPr>
          <w:p w14:paraId="43297581">
            <w:pPr>
              <w:pStyle w:val="129"/>
              <w:widowControl w:val="0"/>
              <w:rPr>
                <w:color w:val="auto"/>
              </w:rPr>
            </w:pPr>
            <w:r>
              <w:rPr>
                <w:rFonts w:hint="eastAsia"/>
                <w:color w:val="auto"/>
              </w:rPr>
              <w:t>载体、催化剂焙烧炉</w:t>
            </w:r>
          </w:p>
        </w:tc>
        <w:tc>
          <w:tcPr>
            <w:tcW w:w="805" w:type="pct"/>
            <w:vAlign w:val="center"/>
          </w:tcPr>
          <w:p w14:paraId="288D9D1F">
            <w:pPr>
              <w:pStyle w:val="129"/>
              <w:widowControl w:val="0"/>
              <w:rPr>
                <w:color w:val="auto"/>
              </w:rPr>
            </w:pPr>
            <w:r>
              <w:rPr>
                <w:rFonts w:hint="eastAsia" w:ascii="Arial" w:hAnsi="Arial" w:cs="Arial"/>
                <w:color w:val="auto"/>
                <w:spacing w:val="-20"/>
              </w:rPr>
              <w:t>/</w:t>
            </w:r>
          </w:p>
        </w:tc>
        <w:tc>
          <w:tcPr>
            <w:tcW w:w="750" w:type="pct"/>
            <w:vAlign w:val="center"/>
          </w:tcPr>
          <w:p w14:paraId="5BD17E22">
            <w:pPr>
              <w:pStyle w:val="129"/>
              <w:widowControl w:val="0"/>
              <w:rPr>
                <w:color w:val="auto"/>
              </w:rPr>
            </w:pPr>
            <w:r>
              <w:rPr>
                <w:rFonts w:hint="eastAsia"/>
                <w:color w:val="auto"/>
              </w:rPr>
              <w:t>返回混捏备料</w:t>
            </w:r>
          </w:p>
        </w:tc>
        <w:tc>
          <w:tcPr>
            <w:tcW w:w="536" w:type="pct"/>
            <w:vAlign w:val="center"/>
          </w:tcPr>
          <w:p w14:paraId="0EE0D052">
            <w:pPr>
              <w:pStyle w:val="129"/>
              <w:widowControl w:val="0"/>
              <w:rPr>
                <w:color w:val="auto"/>
              </w:rPr>
            </w:pPr>
            <w:r>
              <w:rPr>
                <w:rFonts w:hint="eastAsia"/>
                <w:color w:val="auto"/>
              </w:rPr>
              <w:t>/</w:t>
            </w:r>
          </w:p>
        </w:tc>
        <w:tc>
          <w:tcPr>
            <w:tcW w:w="322" w:type="pct"/>
            <w:vAlign w:val="center"/>
          </w:tcPr>
          <w:p w14:paraId="61A497D4">
            <w:pPr>
              <w:pStyle w:val="129"/>
              <w:widowControl w:val="0"/>
              <w:rPr>
                <w:color w:val="auto"/>
              </w:rPr>
            </w:pPr>
          </w:p>
        </w:tc>
        <w:tc>
          <w:tcPr>
            <w:tcW w:w="374" w:type="pct"/>
            <w:vAlign w:val="center"/>
          </w:tcPr>
          <w:p w14:paraId="02618925">
            <w:pPr>
              <w:pStyle w:val="129"/>
              <w:widowControl w:val="0"/>
              <w:rPr>
                <w:color w:val="auto"/>
              </w:rPr>
            </w:pPr>
            <w:r>
              <w:rPr>
                <w:rFonts w:hint="eastAsia"/>
                <w:color w:val="auto"/>
              </w:rPr>
              <w:t>/</w:t>
            </w:r>
          </w:p>
        </w:tc>
        <w:tc>
          <w:tcPr>
            <w:tcW w:w="340" w:type="pct"/>
            <w:vAlign w:val="center"/>
          </w:tcPr>
          <w:p w14:paraId="72D6FDD8">
            <w:pPr>
              <w:pStyle w:val="129"/>
              <w:widowControl w:val="0"/>
              <w:rPr>
                <w:color w:val="auto"/>
              </w:rPr>
            </w:pPr>
          </w:p>
        </w:tc>
      </w:tr>
      <w:tr w14:paraId="3B9AC50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restart"/>
            <w:vAlign w:val="center"/>
          </w:tcPr>
          <w:p w14:paraId="5D98B53E">
            <w:pPr>
              <w:pStyle w:val="129"/>
              <w:widowControl w:val="0"/>
              <w:rPr>
                <w:color w:val="auto"/>
              </w:rPr>
            </w:pPr>
            <w:r>
              <w:rPr>
                <w:color w:val="auto"/>
              </w:rPr>
              <w:t>噪声</w:t>
            </w:r>
          </w:p>
        </w:tc>
        <w:tc>
          <w:tcPr>
            <w:tcW w:w="269" w:type="pct"/>
            <w:vAlign w:val="center"/>
          </w:tcPr>
          <w:p w14:paraId="466DFF10">
            <w:pPr>
              <w:pStyle w:val="129"/>
              <w:widowControl w:val="0"/>
              <w:rPr>
                <w:color w:val="auto"/>
              </w:rPr>
            </w:pPr>
            <w:r>
              <w:rPr>
                <w:color w:val="auto"/>
              </w:rPr>
              <w:t>N</w:t>
            </w:r>
            <w:r>
              <w:rPr>
                <w:color w:val="auto"/>
                <w:vertAlign w:val="subscript"/>
              </w:rPr>
              <w:t>1</w:t>
            </w:r>
          </w:p>
        </w:tc>
        <w:tc>
          <w:tcPr>
            <w:tcW w:w="804" w:type="pct"/>
            <w:vAlign w:val="center"/>
          </w:tcPr>
          <w:p w14:paraId="04DEE61A">
            <w:pPr>
              <w:pStyle w:val="129"/>
              <w:widowControl w:val="0"/>
              <w:rPr>
                <w:color w:val="auto"/>
              </w:rPr>
            </w:pPr>
            <w:r>
              <w:rPr>
                <w:rFonts w:hint="eastAsia"/>
                <w:color w:val="auto"/>
              </w:rPr>
              <w:t>筛分机</w:t>
            </w:r>
          </w:p>
        </w:tc>
        <w:tc>
          <w:tcPr>
            <w:tcW w:w="536" w:type="pct"/>
            <w:vAlign w:val="center"/>
          </w:tcPr>
          <w:p w14:paraId="762E2C63">
            <w:pPr>
              <w:pStyle w:val="129"/>
              <w:widowControl w:val="0"/>
              <w:rPr>
                <w:color w:val="auto"/>
              </w:rPr>
            </w:pPr>
            <w:r>
              <w:rPr>
                <w:color w:val="auto"/>
              </w:rPr>
              <w:t>泵类</w:t>
            </w:r>
          </w:p>
        </w:tc>
        <w:tc>
          <w:tcPr>
            <w:tcW w:w="805" w:type="pct"/>
            <w:vMerge w:val="restart"/>
            <w:vAlign w:val="center"/>
          </w:tcPr>
          <w:p w14:paraId="6469D3F7">
            <w:pPr>
              <w:pStyle w:val="129"/>
              <w:widowControl w:val="0"/>
              <w:rPr>
                <w:color w:val="auto"/>
              </w:rPr>
            </w:pPr>
            <w:r>
              <w:rPr>
                <w:color w:val="auto"/>
              </w:rPr>
              <w:t>噪声</w:t>
            </w:r>
          </w:p>
        </w:tc>
        <w:tc>
          <w:tcPr>
            <w:tcW w:w="750" w:type="pct"/>
            <w:vMerge w:val="restart"/>
            <w:vAlign w:val="center"/>
          </w:tcPr>
          <w:p w14:paraId="4AF58A44">
            <w:pPr>
              <w:pStyle w:val="129"/>
              <w:widowControl w:val="0"/>
              <w:rPr>
                <w:color w:val="auto"/>
              </w:rPr>
            </w:pPr>
            <w:r>
              <w:rPr>
                <w:rFonts w:hint="eastAsia"/>
                <w:color w:val="auto"/>
              </w:rPr>
              <w:t>减振基础、室内布置</w:t>
            </w:r>
          </w:p>
        </w:tc>
        <w:tc>
          <w:tcPr>
            <w:tcW w:w="536" w:type="pct"/>
            <w:vAlign w:val="center"/>
          </w:tcPr>
          <w:p w14:paraId="48C61CE2">
            <w:pPr>
              <w:pStyle w:val="129"/>
              <w:widowControl w:val="0"/>
              <w:rPr>
                <w:color w:val="auto"/>
              </w:rPr>
            </w:pPr>
            <w:r>
              <w:rPr>
                <w:rFonts w:hint="eastAsia"/>
                <w:color w:val="auto"/>
              </w:rPr>
              <w:t>/</w:t>
            </w:r>
          </w:p>
        </w:tc>
        <w:tc>
          <w:tcPr>
            <w:tcW w:w="322" w:type="pct"/>
            <w:vAlign w:val="center"/>
          </w:tcPr>
          <w:p w14:paraId="734EDD32">
            <w:pPr>
              <w:pStyle w:val="129"/>
              <w:widowControl w:val="0"/>
              <w:rPr>
                <w:color w:val="auto"/>
              </w:rPr>
            </w:pPr>
          </w:p>
        </w:tc>
        <w:tc>
          <w:tcPr>
            <w:tcW w:w="374" w:type="pct"/>
            <w:vAlign w:val="center"/>
          </w:tcPr>
          <w:p w14:paraId="3388B1DD">
            <w:pPr>
              <w:pStyle w:val="129"/>
              <w:widowControl w:val="0"/>
              <w:rPr>
                <w:color w:val="auto"/>
              </w:rPr>
            </w:pPr>
            <w:r>
              <w:rPr>
                <w:rFonts w:hint="eastAsia"/>
                <w:color w:val="auto"/>
              </w:rPr>
              <w:t>4</w:t>
            </w:r>
          </w:p>
        </w:tc>
        <w:tc>
          <w:tcPr>
            <w:tcW w:w="340" w:type="pct"/>
            <w:vAlign w:val="center"/>
          </w:tcPr>
          <w:p w14:paraId="1E1C37F0">
            <w:pPr>
              <w:pStyle w:val="129"/>
              <w:widowControl w:val="0"/>
              <w:rPr>
                <w:color w:val="auto"/>
              </w:rPr>
            </w:pPr>
            <w:r>
              <w:rPr>
                <w:color w:val="auto"/>
              </w:rPr>
              <w:t>频发</w:t>
            </w:r>
          </w:p>
        </w:tc>
      </w:tr>
      <w:tr w14:paraId="57A17A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3B86A63E">
            <w:pPr>
              <w:pStyle w:val="129"/>
              <w:widowControl w:val="0"/>
              <w:rPr>
                <w:color w:val="auto"/>
              </w:rPr>
            </w:pPr>
          </w:p>
        </w:tc>
        <w:tc>
          <w:tcPr>
            <w:tcW w:w="269" w:type="pct"/>
            <w:vAlign w:val="center"/>
          </w:tcPr>
          <w:p w14:paraId="37A4718A">
            <w:pPr>
              <w:pStyle w:val="129"/>
              <w:widowControl w:val="0"/>
              <w:rPr>
                <w:color w:val="auto"/>
              </w:rPr>
            </w:pPr>
            <w:r>
              <w:rPr>
                <w:color w:val="auto"/>
              </w:rPr>
              <w:t>N</w:t>
            </w:r>
            <w:r>
              <w:rPr>
                <w:rFonts w:hint="eastAsia"/>
                <w:color w:val="auto"/>
                <w:vertAlign w:val="subscript"/>
              </w:rPr>
              <w:t>2</w:t>
            </w:r>
          </w:p>
        </w:tc>
        <w:tc>
          <w:tcPr>
            <w:tcW w:w="804" w:type="pct"/>
            <w:vAlign w:val="center"/>
          </w:tcPr>
          <w:p w14:paraId="3AA48CE1">
            <w:pPr>
              <w:pStyle w:val="129"/>
              <w:widowControl w:val="0"/>
              <w:rPr>
                <w:color w:val="auto"/>
              </w:rPr>
            </w:pPr>
            <w:r>
              <w:rPr>
                <w:rFonts w:hint="eastAsia"/>
                <w:color w:val="auto"/>
              </w:rPr>
              <w:t>包装机</w:t>
            </w:r>
          </w:p>
        </w:tc>
        <w:tc>
          <w:tcPr>
            <w:tcW w:w="536" w:type="pct"/>
            <w:vAlign w:val="center"/>
          </w:tcPr>
          <w:p w14:paraId="55BD7418">
            <w:pPr>
              <w:pStyle w:val="129"/>
              <w:widowControl w:val="0"/>
              <w:rPr>
                <w:color w:val="auto"/>
              </w:rPr>
            </w:pPr>
            <w:r>
              <w:rPr>
                <w:rFonts w:hint="eastAsia"/>
                <w:color w:val="auto"/>
              </w:rPr>
              <w:t>包装机</w:t>
            </w:r>
          </w:p>
        </w:tc>
        <w:tc>
          <w:tcPr>
            <w:tcW w:w="805" w:type="pct"/>
            <w:vMerge w:val="continue"/>
            <w:vAlign w:val="center"/>
          </w:tcPr>
          <w:p w14:paraId="601BAD2F">
            <w:pPr>
              <w:pStyle w:val="129"/>
              <w:widowControl w:val="0"/>
              <w:rPr>
                <w:color w:val="auto"/>
              </w:rPr>
            </w:pPr>
          </w:p>
        </w:tc>
        <w:tc>
          <w:tcPr>
            <w:tcW w:w="750" w:type="pct"/>
            <w:vMerge w:val="continue"/>
            <w:vAlign w:val="center"/>
          </w:tcPr>
          <w:p w14:paraId="20CFD691">
            <w:pPr>
              <w:pStyle w:val="129"/>
              <w:widowControl w:val="0"/>
              <w:rPr>
                <w:color w:val="auto"/>
              </w:rPr>
            </w:pPr>
          </w:p>
        </w:tc>
        <w:tc>
          <w:tcPr>
            <w:tcW w:w="536" w:type="pct"/>
            <w:vAlign w:val="center"/>
          </w:tcPr>
          <w:p w14:paraId="60674121">
            <w:pPr>
              <w:pStyle w:val="129"/>
              <w:widowControl w:val="0"/>
              <w:rPr>
                <w:color w:val="auto"/>
              </w:rPr>
            </w:pPr>
            <w:r>
              <w:rPr>
                <w:rFonts w:hint="eastAsia"/>
                <w:color w:val="auto"/>
              </w:rPr>
              <w:t>/</w:t>
            </w:r>
          </w:p>
        </w:tc>
        <w:tc>
          <w:tcPr>
            <w:tcW w:w="322" w:type="pct"/>
            <w:vAlign w:val="center"/>
          </w:tcPr>
          <w:p w14:paraId="743A81A0">
            <w:pPr>
              <w:pStyle w:val="129"/>
              <w:widowControl w:val="0"/>
              <w:rPr>
                <w:color w:val="auto"/>
              </w:rPr>
            </w:pPr>
          </w:p>
        </w:tc>
        <w:tc>
          <w:tcPr>
            <w:tcW w:w="374" w:type="pct"/>
            <w:vAlign w:val="center"/>
          </w:tcPr>
          <w:p w14:paraId="038BD3E2">
            <w:pPr>
              <w:pStyle w:val="129"/>
              <w:widowControl w:val="0"/>
              <w:rPr>
                <w:color w:val="auto"/>
              </w:rPr>
            </w:pPr>
            <w:r>
              <w:rPr>
                <w:rFonts w:hint="eastAsia"/>
                <w:color w:val="auto"/>
              </w:rPr>
              <w:t>2</w:t>
            </w:r>
          </w:p>
        </w:tc>
        <w:tc>
          <w:tcPr>
            <w:tcW w:w="340" w:type="pct"/>
            <w:vAlign w:val="center"/>
          </w:tcPr>
          <w:p w14:paraId="264C4937">
            <w:pPr>
              <w:pStyle w:val="129"/>
              <w:widowControl w:val="0"/>
              <w:rPr>
                <w:color w:val="auto"/>
              </w:rPr>
            </w:pPr>
            <w:r>
              <w:rPr>
                <w:color w:val="auto"/>
              </w:rPr>
              <w:t>频发</w:t>
            </w:r>
          </w:p>
        </w:tc>
      </w:tr>
      <w:tr w14:paraId="36E3AC5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68EE10CD">
            <w:pPr>
              <w:pStyle w:val="129"/>
              <w:widowControl w:val="0"/>
              <w:rPr>
                <w:color w:val="auto"/>
              </w:rPr>
            </w:pPr>
          </w:p>
        </w:tc>
        <w:tc>
          <w:tcPr>
            <w:tcW w:w="269" w:type="pct"/>
            <w:vAlign w:val="center"/>
          </w:tcPr>
          <w:p w14:paraId="10078382">
            <w:pPr>
              <w:pStyle w:val="129"/>
              <w:widowControl w:val="0"/>
              <w:rPr>
                <w:color w:val="auto"/>
              </w:rPr>
            </w:pPr>
            <w:r>
              <w:rPr>
                <w:color w:val="auto"/>
              </w:rPr>
              <w:t>N</w:t>
            </w:r>
            <w:r>
              <w:rPr>
                <w:rFonts w:hint="eastAsia"/>
                <w:color w:val="auto"/>
                <w:vertAlign w:val="subscript"/>
              </w:rPr>
              <w:t>3</w:t>
            </w:r>
          </w:p>
        </w:tc>
        <w:tc>
          <w:tcPr>
            <w:tcW w:w="804" w:type="pct"/>
            <w:vAlign w:val="center"/>
          </w:tcPr>
          <w:p w14:paraId="0B4CCF72">
            <w:pPr>
              <w:pStyle w:val="129"/>
              <w:widowControl w:val="0"/>
              <w:rPr>
                <w:color w:val="auto"/>
              </w:rPr>
            </w:pPr>
            <w:r>
              <w:rPr>
                <w:color w:val="auto"/>
              </w:rPr>
              <w:t>风机</w:t>
            </w:r>
          </w:p>
        </w:tc>
        <w:tc>
          <w:tcPr>
            <w:tcW w:w="536" w:type="pct"/>
            <w:vAlign w:val="center"/>
          </w:tcPr>
          <w:p w14:paraId="1CBF0B41">
            <w:pPr>
              <w:pStyle w:val="129"/>
              <w:widowControl w:val="0"/>
              <w:rPr>
                <w:color w:val="auto"/>
              </w:rPr>
            </w:pPr>
            <w:r>
              <w:rPr>
                <w:color w:val="auto"/>
              </w:rPr>
              <w:t>风机</w:t>
            </w:r>
          </w:p>
        </w:tc>
        <w:tc>
          <w:tcPr>
            <w:tcW w:w="805" w:type="pct"/>
            <w:vMerge w:val="continue"/>
            <w:vAlign w:val="center"/>
          </w:tcPr>
          <w:p w14:paraId="681F70FC">
            <w:pPr>
              <w:pStyle w:val="129"/>
              <w:widowControl w:val="0"/>
              <w:rPr>
                <w:color w:val="auto"/>
              </w:rPr>
            </w:pPr>
          </w:p>
        </w:tc>
        <w:tc>
          <w:tcPr>
            <w:tcW w:w="750" w:type="pct"/>
            <w:vAlign w:val="center"/>
          </w:tcPr>
          <w:p w14:paraId="193E727A">
            <w:pPr>
              <w:pStyle w:val="129"/>
              <w:widowControl w:val="0"/>
              <w:rPr>
                <w:color w:val="auto"/>
              </w:rPr>
            </w:pPr>
            <w:r>
              <w:rPr>
                <w:rFonts w:hint="eastAsia"/>
                <w:color w:val="auto"/>
              </w:rPr>
              <w:t>减振基础、安装消声器</w:t>
            </w:r>
          </w:p>
        </w:tc>
        <w:tc>
          <w:tcPr>
            <w:tcW w:w="536" w:type="pct"/>
            <w:vAlign w:val="center"/>
          </w:tcPr>
          <w:p w14:paraId="0BBA80A0">
            <w:pPr>
              <w:pStyle w:val="129"/>
              <w:widowControl w:val="0"/>
              <w:rPr>
                <w:color w:val="auto"/>
              </w:rPr>
            </w:pPr>
            <w:r>
              <w:rPr>
                <w:rFonts w:hint="eastAsia"/>
                <w:color w:val="auto"/>
              </w:rPr>
              <w:t>/</w:t>
            </w:r>
          </w:p>
        </w:tc>
        <w:tc>
          <w:tcPr>
            <w:tcW w:w="322" w:type="pct"/>
            <w:vAlign w:val="center"/>
          </w:tcPr>
          <w:p w14:paraId="0CE5267C">
            <w:pPr>
              <w:pStyle w:val="129"/>
              <w:widowControl w:val="0"/>
              <w:rPr>
                <w:color w:val="auto"/>
              </w:rPr>
            </w:pPr>
          </w:p>
        </w:tc>
        <w:tc>
          <w:tcPr>
            <w:tcW w:w="374" w:type="pct"/>
            <w:vAlign w:val="center"/>
          </w:tcPr>
          <w:p w14:paraId="4E022AE7">
            <w:pPr>
              <w:pStyle w:val="129"/>
              <w:widowControl w:val="0"/>
              <w:rPr>
                <w:color w:val="auto"/>
              </w:rPr>
            </w:pPr>
            <w:r>
              <w:rPr>
                <w:rFonts w:hint="eastAsia"/>
                <w:color w:val="auto"/>
              </w:rPr>
              <w:t>3</w:t>
            </w:r>
          </w:p>
        </w:tc>
        <w:tc>
          <w:tcPr>
            <w:tcW w:w="340" w:type="pct"/>
            <w:vAlign w:val="center"/>
          </w:tcPr>
          <w:p w14:paraId="4434C12D">
            <w:pPr>
              <w:pStyle w:val="129"/>
              <w:widowControl w:val="0"/>
              <w:rPr>
                <w:color w:val="auto"/>
              </w:rPr>
            </w:pPr>
            <w:r>
              <w:rPr>
                <w:color w:val="auto"/>
              </w:rPr>
              <w:t>频发</w:t>
            </w:r>
          </w:p>
        </w:tc>
      </w:tr>
      <w:tr w14:paraId="66C297D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64" w:type="pct"/>
            <w:vMerge w:val="continue"/>
            <w:vAlign w:val="center"/>
          </w:tcPr>
          <w:p w14:paraId="5757935E">
            <w:pPr>
              <w:pStyle w:val="129"/>
              <w:widowControl w:val="0"/>
              <w:rPr>
                <w:color w:val="auto"/>
              </w:rPr>
            </w:pPr>
          </w:p>
        </w:tc>
        <w:tc>
          <w:tcPr>
            <w:tcW w:w="269" w:type="pct"/>
            <w:vAlign w:val="center"/>
          </w:tcPr>
          <w:p w14:paraId="55BD7076">
            <w:pPr>
              <w:pStyle w:val="129"/>
              <w:widowControl w:val="0"/>
              <w:rPr>
                <w:color w:val="auto"/>
              </w:rPr>
            </w:pPr>
            <w:r>
              <w:rPr>
                <w:color w:val="auto"/>
              </w:rPr>
              <w:t>N</w:t>
            </w:r>
          </w:p>
        </w:tc>
        <w:tc>
          <w:tcPr>
            <w:tcW w:w="804" w:type="pct"/>
            <w:vAlign w:val="center"/>
          </w:tcPr>
          <w:p w14:paraId="5F904D9C">
            <w:pPr>
              <w:pStyle w:val="129"/>
              <w:widowControl w:val="0"/>
              <w:rPr>
                <w:color w:val="auto"/>
              </w:rPr>
            </w:pPr>
            <w:r>
              <w:rPr>
                <w:rFonts w:hint="eastAsia"/>
                <w:color w:val="auto"/>
              </w:rPr>
              <w:t>泵类</w:t>
            </w:r>
          </w:p>
        </w:tc>
        <w:tc>
          <w:tcPr>
            <w:tcW w:w="536" w:type="pct"/>
            <w:vAlign w:val="center"/>
          </w:tcPr>
          <w:p w14:paraId="3DFE4558">
            <w:pPr>
              <w:pStyle w:val="129"/>
              <w:widowControl w:val="0"/>
              <w:rPr>
                <w:color w:val="auto"/>
              </w:rPr>
            </w:pPr>
            <w:r>
              <w:rPr>
                <w:rFonts w:hint="eastAsia"/>
                <w:color w:val="auto"/>
              </w:rPr>
              <w:t>泵类</w:t>
            </w:r>
          </w:p>
        </w:tc>
        <w:tc>
          <w:tcPr>
            <w:tcW w:w="805" w:type="pct"/>
            <w:vAlign w:val="center"/>
          </w:tcPr>
          <w:p w14:paraId="5EB71B7B">
            <w:pPr>
              <w:pStyle w:val="129"/>
              <w:widowControl w:val="0"/>
              <w:rPr>
                <w:color w:val="auto"/>
              </w:rPr>
            </w:pPr>
          </w:p>
        </w:tc>
        <w:tc>
          <w:tcPr>
            <w:tcW w:w="750" w:type="pct"/>
            <w:vAlign w:val="center"/>
          </w:tcPr>
          <w:p w14:paraId="31A627B5">
            <w:pPr>
              <w:pStyle w:val="129"/>
              <w:widowControl w:val="0"/>
              <w:rPr>
                <w:color w:val="auto"/>
              </w:rPr>
            </w:pPr>
            <w:r>
              <w:rPr>
                <w:rFonts w:hint="eastAsia"/>
                <w:color w:val="auto"/>
              </w:rPr>
              <w:t>减振基础、室内布置</w:t>
            </w:r>
          </w:p>
        </w:tc>
        <w:tc>
          <w:tcPr>
            <w:tcW w:w="536" w:type="pct"/>
            <w:vAlign w:val="center"/>
          </w:tcPr>
          <w:p w14:paraId="4E4E256B">
            <w:pPr>
              <w:pStyle w:val="129"/>
              <w:widowControl w:val="0"/>
              <w:rPr>
                <w:color w:val="auto"/>
              </w:rPr>
            </w:pPr>
          </w:p>
        </w:tc>
        <w:tc>
          <w:tcPr>
            <w:tcW w:w="322" w:type="pct"/>
            <w:vAlign w:val="center"/>
          </w:tcPr>
          <w:p w14:paraId="26FE4B78">
            <w:pPr>
              <w:pStyle w:val="129"/>
              <w:widowControl w:val="0"/>
              <w:rPr>
                <w:color w:val="auto"/>
              </w:rPr>
            </w:pPr>
          </w:p>
        </w:tc>
        <w:tc>
          <w:tcPr>
            <w:tcW w:w="374" w:type="pct"/>
            <w:vAlign w:val="center"/>
          </w:tcPr>
          <w:p w14:paraId="04A20D05">
            <w:pPr>
              <w:pStyle w:val="129"/>
              <w:widowControl w:val="0"/>
              <w:rPr>
                <w:color w:val="auto"/>
              </w:rPr>
            </w:pPr>
            <w:r>
              <w:rPr>
                <w:rFonts w:hint="eastAsia"/>
                <w:color w:val="auto"/>
              </w:rPr>
              <w:t>10</w:t>
            </w:r>
          </w:p>
        </w:tc>
        <w:tc>
          <w:tcPr>
            <w:tcW w:w="340" w:type="pct"/>
            <w:vAlign w:val="center"/>
          </w:tcPr>
          <w:p w14:paraId="57DA24CC">
            <w:pPr>
              <w:pStyle w:val="129"/>
              <w:widowControl w:val="0"/>
              <w:rPr>
                <w:color w:val="auto"/>
              </w:rPr>
            </w:pPr>
            <w:r>
              <w:rPr>
                <w:color w:val="auto"/>
              </w:rPr>
              <w:t>频发</w:t>
            </w:r>
          </w:p>
        </w:tc>
      </w:tr>
    </w:tbl>
    <w:p w14:paraId="524855B2">
      <w:pPr>
        <w:rPr>
          <w:color w:val="auto"/>
        </w:rPr>
      </w:pPr>
    </w:p>
    <w:p w14:paraId="3C0C5CCA">
      <w:pPr>
        <w:rPr>
          <w:color w:val="auto"/>
        </w:rPr>
        <w:sectPr>
          <w:pgSz w:w="16838" w:h="11906" w:orient="landscape"/>
          <w:pgMar w:top="1440" w:right="1588" w:bottom="1389" w:left="1588" w:header="851" w:footer="992" w:gutter="0"/>
          <w:cols w:space="425" w:num="1"/>
          <w:docGrid w:type="lines" w:linePitch="312" w:charSpace="0"/>
        </w:sectPr>
      </w:pPr>
    </w:p>
    <w:p w14:paraId="41508407">
      <w:pPr>
        <w:pStyle w:val="4"/>
        <w:rPr>
          <w:color w:val="auto"/>
        </w:rPr>
      </w:pPr>
      <w:r>
        <w:rPr>
          <w:rFonts w:hint="eastAsia"/>
          <w:color w:val="auto"/>
        </w:rPr>
        <w:t>原辅材料及能源消耗</w:t>
      </w:r>
    </w:p>
    <w:p w14:paraId="48E5E7CB">
      <w:pPr>
        <w:pStyle w:val="5"/>
        <w:rPr>
          <w:color w:val="auto"/>
        </w:rPr>
      </w:pPr>
      <w:r>
        <w:rPr>
          <w:rFonts w:hint="eastAsia"/>
          <w:color w:val="auto"/>
        </w:rPr>
        <w:t>危险废物处置原辅材料消耗</w:t>
      </w:r>
    </w:p>
    <w:p w14:paraId="36FA3C20">
      <w:pPr>
        <w:pStyle w:val="132"/>
        <w:rPr>
          <w:color w:val="auto"/>
        </w:rPr>
      </w:pPr>
      <w:r>
        <w:rPr>
          <w:rFonts w:hint="eastAsia"/>
          <w:color w:val="auto"/>
        </w:rPr>
        <w:t>本项目年处置废酸100万m</w:t>
      </w:r>
      <w:r>
        <w:rPr>
          <w:rFonts w:hint="eastAsia"/>
          <w:color w:val="auto"/>
          <w:vertAlign w:val="superscript"/>
        </w:rPr>
        <w:t>3</w:t>
      </w:r>
      <w:r>
        <w:rPr>
          <w:rFonts w:hint="eastAsia"/>
          <w:color w:val="auto"/>
        </w:rPr>
        <w:t>/a，废碱液12万m</w:t>
      </w:r>
      <w:r>
        <w:rPr>
          <w:rFonts w:hint="eastAsia"/>
          <w:color w:val="auto"/>
          <w:vertAlign w:val="superscript"/>
        </w:rPr>
        <w:t>3</w:t>
      </w:r>
      <w:r>
        <w:rPr>
          <w:rFonts w:hint="eastAsia"/>
          <w:color w:val="auto"/>
        </w:rPr>
        <w:t>/a，处理需要的辅助材料主要为硝酸锆、树脂、氢氧化钾、硫酸、硫酸铝、氨水、氢氧化铝、氢氧化钠、二氧化碳等。</w:t>
      </w:r>
    </w:p>
    <w:p w14:paraId="38E16840">
      <w:pPr>
        <w:pStyle w:val="132"/>
        <w:rPr>
          <w:color w:val="auto"/>
        </w:rPr>
      </w:pPr>
      <w:r>
        <w:rPr>
          <w:rFonts w:hint="eastAsia"/>
          <w:color w:val="auto"/>
        </w:rPr>
        <w:t>消耗情况见表3.2-5。</w:t>
      </w:r>
    </w:p>
    <w:p w14:paraId="3A6923CF">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color w:val="auto"/>
        </w:rPr>
        <w:t xml:space="preserve">   </w:t>
      </w:r>
      <w:r>
        <w:rPr>
          <w:rFonts w:hint="eastAsia"/>
          <w:color w:val="auto"/>
        </w:rPr>
        <w:t>原辅材料消耗</w:t>
      </w:r>
    </w:p>
    <w:tbl>
      <w:tblPr>
        <w:tblStyle w:val="239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969"/>
        <w:gridCol w:w="1594"/>
        <w:gridCol w:w="1717"/>
        <w:gridCol w:w="2144"/>
        <w:gridCol w:w="2362"/>
      </w:tblGrid>
      <w:tr w14:paraId="53B66FD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52" w:type="pct"/>
            <w:vAlign w:val="center"/>
          </w:tcPr>
          <w:p w14:paraId="6E8F9DC1">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序号</w:t>
            </w:r>
          </w:p>
        </w:tc>
        <w:tc>
          <w:tcPr>
            <w:tcW w:w="907" w:type="pct"/>
            <w:vAlign w:val="center"/>
          </w:tcPr>
          <w:p w14:paraId="16A3E1FD">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项目</w:t>
            </w:r>
          </w:p>
        </w:tc>
        <w:tc>
          <w:tcPr>
            <w:tcW w:w="977" w:type="pct"/>
            <w:vAlign w:val="center"/>
          </w:tcPr>
          <w:p w14:paraId="2821578A">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规格</w:t>
            </w:r>
          </w:p>
        </w:tc>
        <w:tc>
          <w:tcPr>
            <w:tcW w:w="1220" w:type="pct"/>
            <w:vAlign w:val="center"/>
          </w:tcPr>
          <w:p w14:paraId="22281E8E">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年消耗量（</w:t>
            </w:r>
            <w:r>
              <w:rPr>
                <w:rFonts w:eastAsia="Times New Roman"/>
                <w:color w:val="auto"/>
                <w:sz w:val="21"/>
                <w:szCs w:val="21"/>
              </w:rPr>
              <w:t>t</w:t>
            </w:r>
            <w:r>
              <w:rPr>
                <w:rFonts w:hint="eastAsia" w:ascii="宋体" w:hAnsi="宋体" w:eastAsia="Times New Roman" w:cs="宋体"/>
                <w:color w:val="auto"/>
                <w:sz w:val="21"/>
                <w:szCs w:val="21"/>
              </w:rPr>
              <w:t>）</w:t>
            </w:r>
          </w:p>
        </w:tc>
        <w:tc>
          <w:tcPr>
            <w:tcW w:w="1344" w:type="pct"/>
            <w:vAlign w:val="center"/>
          </w:tcPr>
          <w:p w14:paraId="7828E3C2">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备注</w:t>
            </w:r>
          </w:p>
        </w:tc>
      </w:tr>
      <w:tr w14:paraId="09BF6AC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52" w:type="pct"/>
            <w:vAlign w:val="center"/>
          </w:tcPr>
          <w:p w14:paraId="18ECF6A7">
            <w:pPr>
              <w:widowControl w:val="0"/>
              <w:spacing w:line="360" w:lineRule="exact"/>
              <w:jc w:val="center"/>
              <w:rPr>
                <w:rFonts w:eastAsia="Times New Roman"/>
                <w:color w:val="auto"/>
                <w:sz w:val="21"/>
                <w:szCs w:val="21"/>
              </w:rPr>
            </w:pPr>
            <w:r>
              <w:rPr>
                <w:rFonts w:eastAsia="Times New Roman"/>
                <w:color w:val="auto"/>
                <w:sz w:val="21"/>
                <w:szCs w:val="21"/>
              </w:rPr>
              <w:t>1</w:t>
            </w:r>
          </w:p>
        </w:tc>
        <w:tc>
          <w:tcPr>
            <w:tcW w:w="907" w:type="pct"/>
            <w:vAlign w:val="center"/>
          </w:tcPr>
          <w:p w14:paraId="55BF27F4">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氨水</w:t>
            </w:r>
          </w:p>
        </w:tc>
        <w:tc>
          <w:tcPr>
            <w:tcW w:w="977" w:type="pct"/>
            <w:vAlign w:val="center"/>
          </w:tcPr>
          <w:p w14:paraId="216C99D4">
            <w:pPr>
              <w:widowControl w:val="0"/>
              <w:spacing w:line="360" w:lineRule="exact"/>
              <w:jc w:val="center"/>
              <w:rPr>
                <w:rFonts w:eastAsia="Times New Roman"/>
                <w:color w:val="auto"/>
                <w:sz w:val="21"/>
                <w:szCs w:val="21"/>
              </w:rPr>
            </w:pPr>
            <w:r>
              <w:rPr>
                <w:rFonts w:eastAsia="Times New Roman"/>
                <w:color w:val="auto"/>
                <w:sz w:val="21"/>
                <w:szCs w:val="21"/>
              </w:rPr>
              <w:t>15%</w:t>
            </w:r>
          </w:p>
        </w:tc>
        <w:tc>
          <w:tcPr>
            <w:tcW w:w="1220" w:type="pct"/>
            <w:vAlign w:val="center"/>
          </w:tcPr>
          <w:p w14:paraId="5E5619DA">
            <w:pPr>
              <w:widowControl w:val="0"/>
              <w:spacing w:line="360" w:lineRule="exact"/>
              <w:jc w:val="center"/>
              <w:rPr>
                <w:rFonts w:eastAsia="Times New Roman"/>
                <w:color w:val="auto"/>
                <w:sz w:val="21"/>
                <w:szCs w:val="21"/>
              </w:rPr>
            </w:pPr>
          </w:p>
        </w:tc>
        <w:tc>
          <w:tcPr>
            <w:tcW w:w="1344" w:type="pct"/>
            <w:vAlign w:val="center"/>
          </w:tcPr>
          <w:p w14:paraId="282AB71C">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外购兖矿，管道输送</w:t>
            </w:r>
          </w:p>
        </w:tc>
      </w:tr>
      <w:tr w14:paraId="0439AD5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52" w:type="pct"/>
            <w:vAlign w:val="center"/>
          </w:tcPr>
          <w:p w14:paraId="0F6FA085">
            <w:pPr>
              <w:widowControl w:val="0"/>
              <w:spacing w:line="360" w:lineRule="exact"/>
              <w:jc w:val="center"/>
              <w:rPr>
                <w:rFonts w:eastAsia="Times New Roman"/>
                <w:color w:val="auto"/>
                <w:sz w:val="21"/>
                <w:szCs w:val="21"/>
              </w:rPr>
            </w:pPr>
            <w:r>
              <w:rPr>
                <w:rFonts w:eastAsia="Times New Roman"/>
                <w:color w:val="auto"/>
                <w:sz w:val="21"/>
                <w:szCs w:val="21"/>
              </w:rPr>
              <w:t>2</w:t>
            </w:r>
          </w:p>
        </w:tc>
        <w:tc>
          <w:tcPr>
            <w:tcW w:w="907" w:type="pct"/>
            <w:vAlign w:val="center"/>
          </w:tcPr>
          <w:p w14:paraId="486DD473">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树脂</w:t>
            </w:r>
          </w:p>
        </w:tc>
        <w:tc>
          <w:tcPr>
            <w:tcW w:w="977" w:type="pct"/>
            <w:vAlign w:val="center"/>
          </w:tcPr>
          <w:p w14:paraId="387C1A37">
            <w:pPr>
              <w:widowControl w:val="0"/>
              <w:spacing w:line="360" w:lineRule="exact"/>
              <w:jc w:val="center"/>
              <w:rPr>
                <w:rFonts w:eastAsia="Times New Roman"/>
                <w:color w:val="auto"/>
                <w:sz w:val="21"/>
                <w:szCs w:val="21"/>
              </w:rPr>
            </w:pPr>
            <w:r>
              <w:rPr>
                <w:rFonts w:eastAsia="Times New Roman"/>
                <w:color w:val="auto"/>
                <w:sz w:val="21"/>
                <w:szCs w:val="21"/>
              </w:rPr>
              <w:t>/</w:t>
            </w:r>
          </w:p>
        </w:tc>
        <w:tc>
          <w:tcPr>
            <w:tcW w:w="1220" w:type="pct"/>
            <w:vAlign w:val="center"/>
          </w:tcPr>
          <w:p w14:paraId="0C06930A">
            <w:pPr>
              <w:widowControl w:val="0"/>
              <w:spacing w:line="360" w:lineRule="exact"/>
              <w:jc w:val="center"/>
              <w:rPr>
                <w:rFonts w:eastAsia="Times New Roman"/>
                <w:color w:val="auto"/>
                <w:sz w:val="21"/>
                <w:szCs w:val="21"/>
              </w:rPr>
            </w:pPr>
          </w:p>
        </w:tc>
        <w:tc>
          <w:tcPr>
            <w:tcW w:w="1344" w:type="pct"/>
            <w:vAlign w:val="center"/>
          </w:tcPr>
          <w:p w14:paraId="73439F0D">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外购</w:t>
            </w:r>
          </w:p>
        </w:tc>
      </w:tr>
      <w:tr w14:paraId="0F150AA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52" w:type="pct"/>
            <w:vAlign w:val="center"/>
          </w:tcPr>
          <w:p w14:paraId="33BA85A5">
            <w:pPr>
              <w:widowControl w:val="0"/>
              <w:spacing w:line="360" w:lineRule="exact"/>
              <w:jc w:val="center"/>
              <w:rPr>
                <w:rFonts w:eastAsia="Times New Roman"/>
                <w:color w:val="auto"/>
                <w:sz w:val="21"/>
                <w:szCs w:val="21"/>
              </w:rPr>
            </w:pPr>
            <w:r>
              <w:rPr>
                <w:rFonts w:eastAsia="Times New Roman"/>
                <w:color w:val="auto"/>
                <w:sz w:val="21"/>
                <w:szCs w:val="21"/>
              </w:rPr>
              <w:t>4</w:t>
            </w:r>
          </w:p>
        </w:tc>
        <w:tc>
          <w:tcPr>
            <w:tcW w:w="907" w:type="pct"/>
            <w:vAlign w:val="center"/>
          </w:tcPr>
          <w:p w14:paraId="15A5CB88">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硫酸</w:t>
            </w:r>
          </w:p>
        </w:tc>
        <w:tc>
          <w:tcPr>
            <w:tcW w:w="977" w:type="pct"/>
            <w:vAlign w:val="center"/>
          </w:tcPr>
          <w:p w14:paraId="147DE9EA">
            <w:pPr>
              <w:widowControl w:val="0"/>
              <w:spacing w:line="360" w:lineRule="exact"/>
              <w:jc w:val="center"/>
              <w:rPr>
                <w:rFonts w:eastAsia="Times New Roman"/>
                <w:color w:val="auto"/>
                <w:sz w:val="21"/>
                <w:szCs w:val="21"/>
              </w:rPr>
            </w:pPr>
            <w:r>
              <w:rPr>
                <w:rFonts w:eastAsia="Times New Roman"/>
                <w:color w:val="auto"/>
                <w:sz w:val="21"/>
                <w:szCs w:val="21"/>
              </w:rPr>
              <w:t>10%</w:t>
            </w:r>
          </w:p>
        </w:tc>
        <w:tc>
          <w:tcPr>
            <w:tcW w:w="1220" w:type="pct"/>
            <w:vAlign w:val="center"/>
          </w:tcPr>
          <w:p w14:paraId="3D8370C1">
            <w:pPr>
              <w:widowControl w:val="0"/>
              <w:spacing w:line="360" w:lineRule="exact"/>
              <w:jc w:val="center"/>
              <w:rPr>
                <w:rFonts w:eastAsia="Times New Roman"/>
                <w:color w:val="auto"/>
                <w:sz w:val="21"/>
                <w:szCs w:val="21"/>
              </w:rPr>
            </w:pPr>
          </w:p>
        </w:tc>
        <w:tc>
          <w:tcPr>
            <w:tcW w:w="1344" w:type="pct"/>
            <w:vAlign w:val="center"/>
          </w:tcPr>
          <w:p w14:paraId="76895F2C">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外购</w:t>
            </w:r>
          </w:p>
        </w:tc>
      </w:tr>
      <w:tr w14:paraId="7ACC539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52" w:type="pct"/>
            <w:vAlign w:val="center"/>
          </w:tcPr>
          <w:p w14:paraId="35458ED7">
            <w:pPr>
              <w:widowControl w:val="0"/>
              <w:spacing w:line="360" w:lineRule="exact"/>
              <w:jc w:val="center"/>
              <w:rPr>
                <w:rFonts w:eastAsia="Times New Roman"/>
                <w:color w:val="auto"/>
                <w:sz w:val="21"/>
                <w:szCs w:val="21"/>
              </w:rPr>
            </w:pPr>
            <w:r>
              <w:rPr>
                <w:rFonts w:eastAsia="Times New Roman"/>
                <w:color w:val="auto"/>
                <w:sz w:val="21"/>
                <w:szCs w:val="21"/>
              </w:rPr>
              <w:t>5</w:t>
            </w:r>
          </w:p>
        </w:tc>
        <w:tc>
          <w:tcPr>
            <w:tcW w:w="907" w:type="pct"/>
            <w:vAlign w:val="center"/>
          </w:tcPr>
          <w:p w14:paraId="4885AB77">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二氧化碳</w:t>
            </w:r>
          </w:p>
        </w:tc>
        <w:tc>
          <w:tcPr>
            <w:tcW w:w="977" w:type="pct"/>
            <w:vAlign w:val="center"/>
          </w:tcPr>
          <w:p w14:paraId="4B0FDA82">
            <w:pPr>
              <w:widowControl w:val="0"/>
              <w:spacing w:line="360" w:lineRule="exact"/>
              <w:jc w:val="center"/>
              <w:rPr>
                <w:rFonts w:eastAsia="Times New Roman"/>
                <w:color w:val="auto"/>
                <w:sz w:val="21"/>
                <w:szCs w:val="21"/>
              </w:rPr>
            </w:pPr>
            <w:r>
              <w:rPr>
                <w:rFonts w:eastAsia="Times New Roman"/>
                <w:color w:val="auto"/>
                <w:sz w:val="21"/>
                <w:szCs w:val="21"/>
              </w:rPr>
              <w:t>99.48%</w:t>
            </w:r>
          </w:p>
        </w:tc>
        <w:tc>
          <w:tcPr>
            <w:tcW w:w="1220" w:type="pct"/>
            <w:vAlign w:val="center"/>
          </w:tcPr>
          <w:p w14:paraId="3A3E84BE">
            <w:pPr>
              <w:widowControl w:val="0"/>
              <w:spacing w:line="360" w:lineRule="exact"/>
              <w:jc w:val="center"/>
              <w:rPr>
                <w:rFonts w:eastAsia="Times New Roman"/>
                <w:color w:val="auto"/>
                <w:sz w:val="21"/>
                <w:szCs w:val="21"/>
              </w:rPr>
            </w:pPr>
          </w:p>
        </w:tc>
        <w:tc>
          <w:tcPr>
            <w:tcW w:w="1344" w:type="pct"/>
            <w:vAlign w:val="center"/>
          </w:tcPr>
          <w:p w14:paraId="0B774CDC">
            <w:pPr>
              <w:widowControl w:val="0"/>
              <w:spacing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外购</w:t>
            </w:r>
          </w:p>
        </w:tc>
      </w:tr>
    </w:tbl>
    <w:p w14:paraId="0BB070A6">
      <w:pPr>
        <w:pStyle w:val="5"/>
        <w:rPr>
          <w:color w:val="auto"/>
        </w:rPr>
      </w:pPr>
      <w:r>
        <w:rPr>
          <w:rFonts w:hint="eastAsia"/>
          <w:color w:val="auto"/>
        </w:rPr>
        <w:t>CO</w:t>
      </w:r>
      <w:r>
        <w:rPr>
          <w:rFonts w:hint="eastAsia"/>
          <w:color w:val="auto"/>
          <w:vertAlign w:val="subscript"/>
        </w:rPr>
        <w:t>2</w:t>
      </w:r>
      <w:r>
        <w:rPr>
          <w:rFonts w:hint="eastAsia"/>
          <w:color w:val="auto"/>
        </w:rPr>
        <w:t>气组分</w:t>
      </w:r>
    </w:p>
    <w:p w14:paraId="0ADE5637">
      <w:pPr>
        <w:pStyle w:val="132"/>
        <w:rPr>
          <w:color w:val="auto"/>
        </w:rPr>
      </w:pPr>
      <w:r>
        <w:rPr>
          <w:rFonts w:hint="eastAsia"/>
          <w:color w:val="auto"/>
        </w:rPr>
        <w:t>兖矿新疆煤化工有限公司醇氨联产项目低温甲醇洗装置为本项目提供高浓度CO</w:t>
      </w:r>
      <w:r>
        <w:rPr>
          <w:rFonts w:hint="eastAsia"/>
          <w:color w:val="auto"/>
          <w:vertAlign w:val="subscript"/>
        </w:rPr>
        <w:t xml:space="preserve">2 </w:t>
      </w:r>
      <w:bookmarkStart w:id="220" w:name="OLE_LINK43"/>
      <w:r>
        <w:rPr>
          <w:rFonts w:hint="eastAsia"/>
          <w:color w:val="auto"/>
        </w:rPr>
        <w:t>113.47Nm</w:t>
      </w:r>
      <w:r>
        <w:rPr>
          <w:rFonts w:hint="eastAsia"/>
          <w:color w:val="auto"/>
          <w:vertAlign w:val="superscript"/>
        </w:rPr>
        <w:t>3</w:t>
      </w:r>
      <w:r>
        <w:rPr>
          <w:rFonts w:hint="eastAsia"/>
          <w:color w:val="auto"/>
        </w:rPr>
        <w:t>/h</w:t>
      </w:r>
      <w:bookmarkEnd w:id="220"/>
      <w:r>
        <w:rPr>
          <w:rFonts w:hint="eastAsia"/>
          <w:color w:val="auto"/>
        </w:rPr>
        <w:t>（</w:t>
      </w:r>
      <w:bookmarkStart w:id="221" w:name="OLE_LINK44"/>
      <w:r>
        <w:rPr>
          <w:rFonts w:hint="eastAsia"/>
          <w:color w:val="auto"/>
        </w:rPr>
        <w:t>907735.9Nm</w:t>
      </w:r>
      <w:r>
        <w:rPr>
          <w:rFonts w:hint="eastAsia"/>
          <w:color w:val="auto"/>
          <w:vertAlign w:val="superscript"/>
        </w:rPr>
        <w:t>3</w:t>
      </w:r>
      <w:r>
        <w:rPr>
          <w:rFonts w:hint="eastAsia"/>
          <w:color w:val="auto"/>
        </w:rPr>
        <w:t>/a</w:t>
      </w:r>
      <w:bookmarkEnd w:id="221"/>
      <w:r>
        <w:rPr>
          <w:rFonts w:hint="eastAsia"/>
          <w:color w:val="auto"/>
        </w:rPr>
        <w:t>）。</w:t>
      </w:r>
    </w:p>
    <w:p w14:paraId="0E9E4184">
      <w:pPr>
        <w:pStyle w:val="132"/>
        <w:rPr>
          <w:color w:val="auto"/>
        </w:rPr>
      </w:pPr>
      <w:r>
        <w:rPr>
          <w:color w:val="auto"/>
        </w:rPr>
        <w:t>甘泉堡经济开发区</w:t>
      </w:r>
      <w:r>
        <w:rPr>
          <w:rFonts w:hint="eastAsia"/>
          <w:color w:val="auto"/>
        </w:rPr>
        <w:t>内</w:t>
      </w:r>
      <w:r>
        <w:rPr>
          <w:color w:val="auto"/>
        </w:rPr>
        <w:t>兖矿新疆煤化工有限公司成立于2009年3月，主要从事甲醇、尿素等化工产品生产，兖矿新疆能化有限公司年产60万吨醇氨联产项目一期60万吨醇</w:t>
      </w:r>
      <w:r>
        <w:rPr>
          <w:rFonts w:hint="eastAsia"/>
          <w:color w:val="auto"/>
        </w:rPr>
        <w:t>于2016年建成投产，</w:t>
      </w:r>
      <w:r>
        <w:rPr>
          <w:color w:val="auto"/>
        </w:rPr>
        <w:t>设计规模为年产30万吨合成氨、52 万吨/年尿素、30万吨/年甲醇，主要建设内容包括：空分、气化装置、耐硫变换、净化、氨合成、CO</w:t>
      </w:r>
      <w:r>
        <w:rPr>
          <w:color w:val="auto"/>
          <w:vertAlign w:val="subscript"/>
        </w:rPr>
        <w:t>2</w:t>
      </w:r>
      <w:r>
        <w:rPr>
          <w:color w:val="auto"/>
        </w:rPr>
        <w:t xml:space="preserve"> 压缩、尿素装置、甲醇合成</w:t>
      </w:r>
      <w:r>
        <w:rPr>
          <w:rFonts w:hint="eastAsia"/>
          <w:color w:val="auto"/>
        </w:rPr>
        <w:t>、</w:t>
      </w:r>
      <w:r>
        <w:rPr>
          <w:color w:val="auto"/>
        </w:rPr>
        <w:t>硫回收等装置，配套建设动力站、冷冻站、变配电所、火炬、污水处理站、生活管理区等。</w:t>
      </w:r>
      <w:r>
        <w:rPr>
          <w:rFonts w:hint="eastAsia"/>
          <w:color w:val="auto"/>
        </w:rPr>
        <w:t>兖矿公司可为本项目提供危险废物处置所需要的蒸汽和二氧化碳气。</w:t>
      </w:r>
    </w:p>
    <w:p w14:paraId="68442E02">
      <w:pPr>
        <w:pStyle w:val="132"/>
        <w:rPr>
          <w:color w:val="auto"/>
        </w:rPr>
      </w:pPr>
      <w:r>
        <w:rPr>
          <w:rFonts w:hint="eastAsia"/>
          <w:color w:val="auto"/>
        </w:rPr>
        <w:t>根据兖矿新疆煤化工有限公司提供的二氧化碳气成分分析，二氧化碳气组成见表3.1-10。</w:t>
      </w:r>
    </w:p>
    <w:p w14:paraId="1AA5E064">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4</w:t>
      </w:r>
      <w:r>
        <w:rPr>
          <w:color w:val="auto"/>
        </w:rPr>
        <w:fldChar w:fldCharType="end"/>
      </w:r>
      <w:r>
        <w:rPr>
          <w:rFonts w:hint="eastAsia"/>
          <w:color w:val="auto"/>
        </w:rPr>
        <w:t xml:space="preserve">  二氧化碳气组成及规格</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218"/>
        <w:gridCol w:w="1980"/>
        <w:gridCol w:w="2295"/>
        <w:gridCol w:w="2293"/>
      </w:tblGrid>
      <w:tr w14:paraId="7ED0F7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62" w:type="pct"/>
            <w:vAlign w:val="center"/>
          </w:tcPr>
          <w:p w14:paraId="689E11C0">
            <w:pPr>
              <w:pStyle w:val="129"/>
              <w:widowControl w:val="0"/>
              <w:rPr>
                <w:color w:val="auto"/>
              </w:rPr>
            </w:pPr>
            <w:r>
              <w:rPr>
                <w:color w:val="auto"/>
              </w:rPr>
              <w:t>组分</w:t>
            </w:r>
          </w:p>
        </w:tc>
        <w:tc>
          <w:tcPr>
            <w:tcW w:w="1127" w:type="pct"/>
            <w:vAlign w:val="center"/>
          </w:tcPr>
          <w:p w14:paraId="131BE026">
            <w:pPr>
              <w:pStyle w:val="129"/>
              <w:widowControl w:val="0"/>
              <w:rPr>
                <w:color w:val="auto"/>
              </w:rPr>
            </w:pPr>
            <w:r>
              <w:rPr>
                <w:color w:val="auto"/>
              </w:rPr>
              <w:t>分子式</w:t>
            </w:r>
          </w:p>
        </w:tc>
        <w:tc>
          <w:tcPr>
            <w:tcW w:w="1306" w:type="pct"/>
            <w:vAlign w:val="center"/>
          </w:tcPr>
          <w:p w14:paraId="2F72CCC6">
            <w:pPr>
              <w:pStyle w:val="129"/>
              <w:widowControl w:val="0"/>
              <w:rPr>
                <w:color w:val="auto"/>
              </w:rPr>
            </w:pPr>
            <w:r>
              <w:rPr>
                <w:color w:val="auto"/>
              </w:rPr>
              <w:t>分子量</w:t>
            </w:r>
          </w:p>
        </w:tc>
        <w:tc>
          <w:tcPr>
            <w:tcW w:w="1305" w:type="pct"/>
            <w:vAlign w:val="center"/>
          </w:tcPr>
          <w:p w14:paraId="62269FE5">
            <w:pPr>
              <w:pStyle w:val="129"/>
              <w:widowControl w:val="0"/>
              <w:rPr>
                <w:color w:val="auto"/>
              </w:rPr>
            </w:pPr>
            <w:r>
              <w:rPr>
                <w:color w:val="auto"/>
              </w:rPr>
              <w:t>V%(mol)</w:t>
            </w:r>
          </w:p>
        </w:tc>
      </w:tr>
      <w:tr w14:paraId="275B20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62" w:type="pct"/>
            <w:vAlign w:val="center"/>
          </w:tcPr>
          <w:p w14:paraId="31B2AA49">
            <w:pPr>
              <w:pStyle w:val="129"/>
              <w:widowControl w:val="0"/>
              <w:rPr>
                <w:color w:val="auto"/>
              </w:rPr>
            </w:pPr>
            <w:r>
              <w:rPr>
                <w:color w:val="auto"/>
              </w:rPr>
              <w:t>一氧化碳</w:t>
            </w:r>
          </w:p>
        </w:tc>
        <w:tc>
          <w:tcPr>
            <w:tcW w:w="1127" w:type="pct"/>
            <w:vAlign w:val="center"/>
          </w:tcPr>
          <w:p w14:paraId="2E3B7761">
            <w:pPr>
              <w:pStyle w:val="129"/>
              <w:widowControl w:val="0"/>
              <w:rPr>
                <w:color w:val="auto"/>
              </w:rPr>
            </w:pPr>
            <w:r>
              <w:rPr>
                <w:color w:val="auto"/>
              </w:rPr>
              <w:t>CO</w:t>
            </w:r>
          </w:p>
        </w:tc>
        <w:tc>
          <w:tcPr>
            <w:tcW w:w="1306" w:type="pct"/>
            <w:vAlign w:val="center"/>
          </w:tcPr>
          <w:p w14:paraId="3A5F9B4E">
            <w:pPr>
              <w:pStyle w:val="129"/>
              <w:widowControl w:val="0"/>
              <w:rPr>
                <w:color w:val="auto"/>
              </w:rPr>
            </w:pPr>
            <w:r>
              <w:rPr>
                <w:color w:val="auto"/>
              </w:rPr>
              <w:t>28.01</w:t>
            </w:r>
          </w:p>
        </w:tc>
        <w:tc>
          <w:tcPr>
            <w:tcW w:w="1305" w:type="pct"/>
            <w:vAlign w:val="center"/>
          </w:tcPr>
          <w:p w14:paraId="00D5DBBA">
            <w:pPr>
              <w:pStyle w:val="129"/>
              <w:widowControl w:val="0"/>
              <w:rPr>
                <w:color w:val="auto"/>
              </w:rPr>
            </w:pPr>
            <w:r>
              <w:rPr>
                <w:rFonts w:hint="eastAsia"/>
                <w:color w:val="auto"/>
              </w:rPr>
              <w:t>0.25</w:t>
            </w:r>
          </w:p>
        </w:tc>
      </w:tr>
      <w:tr w14:paraId="7BB47E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62" w:type="pct"/>
            <w:vAlign w:val="center"/>
          </w:tcPr>
          <w:p w14:paraId="6DFF5A7D">
            <w:pPr>
              <w:pStyle w:val="129"/>
              <w:widowControl w:val="0"/>
              <w:rPr>
                <w:color w:val="auto"/>
              </w:rPr>
            </w:pPr>
            <w:r>
              <w:rPr>
                <w:color w:val="auto"/>
              </w:rPr>
              <w:t>氢气</w:t>
            </w:r>
          </w:p>
        </w:tc>
        <w:tc>
          <w:tcPr>
            <w:tcW w:w="1127" w:type="pct"/>
            <w:vAlign w:val="center"/>
          </w:tcPr>
          <w:p w14:paraId="783F53DF">
            <w:pPr>
              <w:pStyle w:val="129"/>
              <w:widowControl w:val="0"/>
              <w:rPr>
                <w:color w:val="auto"/>
              </w:rPr>
            </w:pPr>
            <w:r>
              <w:rPr>
                <w:color w:val="auto"/>
              </w:rPr>
              <w:t>H</w:t>
            </w:r>
            <w:r>
              <w:rPr>
                <w:color w:val="auto"/>
                <w:vertAlign w:val="subscript"/>
              </w:rPr>
              <w:t>2</w:t>
            </w:r>
          </w:p>
        </w:tc>
        <w:tc>
          <w:tcPr>
            <w:tcW w:w="1306" w:type="pct"/>
            <w:vAlign w:val="center"/>
          </w:tcPr>
          <w:p w14:paraId="30818E2B">
            <w:pPr>
              <w:pStyle w:val="129"/>
              <w:widowControl w:val="0"/>
              <w:rPr>
                <w:color w:val="auto"/>
              </w:rPr>
            </w:pPr>
            <w:r>
              <w:rPr>
                <w:color w:val="auto"/>
              </w:rPr>
              <w:t>2.016</w:t>
            </w:r>
          </w:p>
        </w:tc>
        <w:tc>
          <w:tcPr>
            <w:tcW w:w="1305" w:type="pct"/>
            <w:vAlign w:val="center"/>
          </w:tcPr>
          <w:p w14:paraId="7537E0B5">
            <w:pPr>
              <w:pStyle w:val="129"/>
              <w:widowControl w:val="0"/>
              <w:rPr>
                <w:color w:val="auto"/>
              </w:rPr>
            </w:pPr>
            <w:r>
              <w:rPr>
                <w:rFonts w:hint="eastAsia"/>
                <w:color w:val="auto"/>
              </w:rPr>
              <w:t>0.10</w:t>
            </w:r>
          </w:p>
        </w:tc>
      </w:tr>
      <w:tr w14:paraId="6442BB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62" w:type="pct"/>
            <w:vAlign w:val="center"/>
          </w:tcPr>
          <w:p w14:paraId="56728D9D">
            <w:pPr>
              <w:pStyle w:val="129"/>
              <w:widowControl w:val="0"/>
              <w:rPr>
                <w:color w:val="auto"/>
              </w:rPr>
            </w:pPr>
            <w:r>
              <w:rPr>
                <w:color w:val="auto"/>
              </w:rPr>
              <w:t>二氧化碳</w:t>
            </w:r>
          </w:p>
        </w:tc>
        <w:tc>
          <w:tcPr>
            <w:tcW w:w="1127" w:type="pct"/>
            <w:vAlign w:val="center"/>
          </w:tcPr>
          <w:p w14:paraId="03AFB0F5">
            <w:pPr>
              <w:pStyle w:val="129"/>
              <w:widowControl w:val="0"/>
              <w:rPr>
                <w:color w:val="auto"/>
              </w:rPr>
            </w:pPr>
            <w:r>
              <w:rPr>
                <w:color w:val="auto"/>
              </w:rPr>
              <w:t>CO</w:t>
            </w:r>
            <w:r>
              <w:rPr>
                <w:color w:val="auto"/>
                <w:vertAlign w:val="subscript"/>
              </w:rPr>
              <w:t>2</w:t>
            </w:r>
          </w:p>
        </w:tc>
        <w:tc>
          <w:tcPr>
            <w:tcW w:w="1306" w:type="pct"/>
            <w:vAlign w:val="center"/>
          </w:tcPr>
          <w:p w14:paraId="06245038">
            <w:pPr>
              <w:pStyle w:val="129"/>
              <w:widowControl w:val="0"/>
              <w:rPr>
                <w:color w:val="auto"/>
              </w:rPr>
            </w:pPr>
            <w:r>
              <w:rPr>
                <w:color w:val="auto"/>
              </w:rPr>
              <w:t>44.01</w:t>
            </w:r>
          </w:p>
        </w:tc>
        <w:tc>
          <w:tcPr>
            <w:tcW w:w="1305" w:type="pct"/>
            <w:vAlign w:val="center"/>
          </w:tcPr>
          <w:p w14:paraId="3A262413">
            <w:pPr>
              <w:pStyle w:val="129"/>
              <w:widowControl w:val="0"/>
              <w:rPr>
                <w:color w:val="auto"/>
              </w:rPr>
            </w:pPr>
            <w:r>
              <w:rPr>
                <w:rFonts w:hint="eastAsia"/>
                <w:color w:val="auto"/>
              </w:rPr>
              <w:t>99.48</w:t>
            </w:r>
          </w:p>
        </w:tc>
      </w:tr>
      <w:tr w14:paraId="3480D7D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62" w:type="pct"/>
            <w:vAlign w:val="center"/>
          </w:tcPr>
          <w:p w14:paraId="6F1D2C39">
            <w:pPr>
              <w:pStyle w:val="129"/>
              <w:widowControl w:val="0"/>
              <w:rPr>
                <w:color w:val="auto"/>
              </w:rPr>
            </w:pPr>
            <w:r>
              <w:rPr>
                <w:color w:val="auto"/>
              </w:rPr>
              <w:t>氮气</w:t>
            </w:r>
          </w:p>
        </w:tc>
        <w:tc>
          <w:tcPr>
            <w:tcW w:w="1127" w:type="pct"/>
            <w:vAlign w:val="center"/>
          </w:tcPr>
          <w:p w14:paraId="4D366890">
            <w:pPr>
              <w:pStyle w:val="129"/>
              <w:widowControl w:val="0"/>
              <w:rPr>
                <w:color w:val="auto"/>
              </w:rPr>
            </w:pPr>
            <w:r>
              <w:rPr>
                <w:color w:val="auto"/>
              </w:rPr>
              <w:t>N</w:t>
            </w:r>
            <w:r>
              <w:rPr>
                <w:color w:val="auto"/>
                <w:vertAlign w:val="subscript"/>
              </w:rPr>
              <w:t>2</w:t>
            </w:r>
          </w:p>
        </w:tc>
        <w:tc>
          <w:tcPr>
            <w:tcW w:w="1306" w:type="pct"/>
            <w:vAlign w:val="center"/>
          </w:tcPr>
          <w:p w14:paraId="3B563ED8">
            <w:pPr>
              <w:pStyle w:val="129"/>
              <w:widowControl w:val="0"/>
              <w:rPr>
                <w:color w:val="auto"/>
              </w:rPr>
            </w:pPr>
            <w:r>
              <w:rPr>
                <w:color w:val="auto"/>
              </w:rPr>
              <w:t>28.01</w:t>
            </w:r>
          </w:p>
        </w:tc>
        <w:tc>
          <w:tcPr>
            <w:tcW w:w="1305" w:type="pct"/>
            <w:vAlign w:val="center"/>
          </w:tcPr>
          <w:p w14:paraId="76B5B8D6">
            <w:pPr>
              <w:pStyle w:val="129"/>
              <w:widowControl w:val="0"/>
              <w:rPr>
                <w:color w:val="auto"/>
              </w:rPr>
            </w:pPr>
            <w:r>
              <w:rPr>
                <w:rFonts w:hint="eastAsia"/>
                <w:color w:val="auto"/>
              </w:rPr>
              <w:t>0.16</w:t>
            </w:r>
          </w:p>
        </w:tc>
      </w:tr>
      <w:tr w14:paraId="2EF3DA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62" w:type="pct"/>
            <w:vAlign w:val="center"/>
          </w:tcPr>
          <w:p w14:paraId="4DE419F5">
            <w:pPr>
              <w:pStyle w:val="129"/>
              <w:widowControl w:val="0"/>
              <w:rPr>
                <w:color w:val="auto"/>
              </w:rPr>
            </w:pPr>
            <w:r>
              <w:rPr>
                <w:color w:val="auto"/>
              </w:rPr>
              <w:t>氧气</w:t>
            </w:r>
          </w:p>
        </w:tc>
        <w:tc>
          <w:tcPr>
            <w:tcW w:w="1127" w:type="pct"/>
            <w:vAlign w:val="center"/>
          </w:tcPr>
          <w:p w14:paraId="42C4AC36">
            <w:pPr>
              <w:pStyle w:val="129"/>
              <w:widowControl w:val="0"/>
              <w:rPr>
                <w:color w:val="auto"/>
              </w:rPr>
            </w:pPr>
            <w:r>
              <w:rPr>
                <w:color w:val="auto"/>
              </w:rPr>
              <w:t>O</w:t>
            </w:r>
            <w:r>
              <w:rPr>
                <w:color w:val="auto"/>
                <w:vertAlign w:val="subscript"/>
              </w:rPr>
              <w:t>2</w:t>
            </w:r>
          </w:p>
        </w:tc>
        <w:tc>
          <w:tcPr>
            <w:tcW w:w="1306" w:type="pct"/>
            <w:vAlign w:val="center"/>
          </w:tcPr>
          <w:p w14:paraId="0E0F7627">
            <w:pPr>
              <w:pStyle w:val="129"/>
              <w:widowControl w:val="0"/>
              <w:rPr>
                <w:color w:val="auto"/>
              </w:rPr>
            </w:pPr>
            <w:r>
              <w:rPr>
                <w:color w:val="auto"/>
              </w:rPr>
              <w:t>32.00</w:t>
            </w:r>
          </w:p>
        </w:tc>
        <w:tc>
          <w:tcPr>
            <w:tcW w:w="1305" w:type="pct"/>
            <w:vAlign w:val="center"/>
          </w:tcPr>
          <w:p w14:paraId="0234642E">
            <w:pPr>
              <w:pStyle w:val="129"/>
              <w:widowControl w:val="0"/>
              <w:rPr>
                <w:color w:val="auto"/>
              </w:rPr>
            </w:pPr>
            <w:r>
              <w:rPr>
                <w:rFonts w:hint="eastAsia"/>
                <w:color w:val="auto"/>
              </w:rPr>
              <w:t>0.01</w:t>
            </w:r>
          </w:p>
        </w:tc>
      </w:tr>
      <w:tr w14:paraId="3319CC5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62" w:type="pct"/>
            <w:vAlign w:val="center"/>
          </w:tcPr>
          <w:p w14:paraId="5C011E68">
            <w:pPr>
              <w:pStyle w:val="129"/>
              <w:widowControl w:val="0"/>
              <w:rPr>
                <w:color w:val="auto"/>
              </w:rPr>
            </w:pPr>
            <w:r>
              <w:rPr>
                <w:color w:val="auto"/>
              </w:rPr>
              <w:t>硫化氢</w:t>
            </w:r>
          </w:p>
        </w:tc>
        <w:tc>
          <w:tcPr>
            <w:tcW w:w="1127" w:type="pct"/>
            <w:vAlign w:val="center"/>
          </w:tcPr>
          <w:p w14:paraId="31F86C06">
            <w:pPr>
              <w:pStyle w:val="129"/>
              <w:widowControl w:val="0"/>
              <w:rPr>
                <w:color w:val="auto"/>
              </w:rPr>
            </w:pPr>
            <w:r>
              <w:rPr>
                <w:color w:val="auto"/>
              </w:rPr>
              <w:t>H</w:t>
            </w:r>
            <w:r>
              <w:rPr>
                <w:color w:val="auto"/>
                <w:vertAlign w:val="subscript"/>
              </w:rPr>
              <w:t>2</w:t>
            </w:r>
            <w:r>
              <w:rPr>
                <w:color w:val="auto"/>
              </w:rPr>
              <w:t>S</w:t>
            </w:r>
          </w:p>
        </w:tc>
        <w:tc>
          <w:tcPr>
            <w:tcW w:w="1306" w:type="pct"/>
            <w:vAlign w:val="center"/>
          </w:tcPr>
          <w:p w14:paraId="2254FFC4">
            <w:pPr>
              <w:pStyle w:val="129"/>
              <w:widowControl w:val="0"/>
              <w:rPr>
                <w:color w:val="auto"/>
              </w:rPr>
            </w:pPr>
            <w:r>
              <w:rPr>
                <w:color w:val="auto"/>
              </w:rPr>
              <w:t>34.076</w:t>
            </w:r>
          </w:p>
        </w:tc>
        <w:tc>
          <w:tcPr>
            <w:tcW w:w="1305" w:type="pct"/>
            <w:vAlign w:val="center"/>
          </w:tcPr>
          <w:p w14:paraId="31E4D706">
            <w:pPr>
              <w:pStyle w:val="129"/>
              <w:widowControl w:val="0"/>
              <w:rPr>
                <w:color w:val="auto"/>
              </w:rPr>
            </w:pPr>
            <w:r>
              <w:rPr>
                <w:rFonts w:hint="eastAsia"/>
                <w:color w:val="auto"/>
              </w:rPr>
              <w:t>0.0003</w:t>
            </w:r>
          </w:p>
        </w:tc>
      </w:tr>
      <w:tr w14:paraId="4B8494D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62" w:type="pct"/>
            <w:vAlign w:val="center"/>
          </w:tcPr>
          <w:p w14:paraId="7FC0B9D5">
            <w:pPr>
              <w:pStyle w:val="129"/>
              <w:widowControl w:val="0"/>
              <w:rPr>
                <w:color w:val="auto"/>
              </w:rPr>
            </w:pPr>
            <w:r>
              <w:rPr>
                <w:color w:val="auto"/>
              </w:rPr>
              <w:t>合计</w:t>
            </w:r>
          </w:p>
        </w:tc>
        <w:tc>
          <w:tcPr>
            <w:tcW w:w="1127" w:type="pct"/>
            <w:vAlign w:val="center"/>
          </w:tcPr>
          <w:p w14:paraId="1FA6223B">
            <w:pPr>
              <w:pStyle w:val="129"/>
              <w:widowControl w:val="0"/>
              <w:rPr>
                <w:color w:val="auto"/>
              </w:rPr>
            </w:pPr>
          </w:p>
        </w:tc>
        <w:tc>
          <w:tcPr>
            <w:tcW w:w="1306" w:type="pct"/>
            <w:vAlign w:val="center"/>
          </w:tcPr>
          <w:p w14:paraId="437C0308">
            <w:pPr>
              <w:pStyle w:val="129"/>
              <w:widowControl w:val="0"/>
              <w:rPr>
                <w:color w:val="auto"/>
              </w:rPr>
            </w:pPr>
          </w:p>
        </w:tc>
        <w:tc>
          <w:tcPr>
            <w:tcW w:w="1305" w:type="pct"/>
            <w:vAlign w:val="center"/>
          </w:tcPr>
          <w:p w14:paraId="078D1C55">
            <w:pPr>
              <w:pStyle w:val="129"/>
              <w:widowControl w:val="0"/>
              <w:rPr>
                <w:color w:val="auto"/>
              </w:rPr>
            </w:pPr>
            <w:r>
              <w:rPr>
                <w:rFonts w:hint="eastAsia"/>
                <w:color w:val="auto"/>
              </w:rPr>
              <w:t>100.00</w:t>
            </w:r>
          </w:p>
        </w:tc>
      </w:tr>
    </w:tbl>
    <w:p w14:paraId="384FADAA">
      <w:pPr>
        <w:pStyle w:val="5"/>
        <w:rPr>
          <w:color w:val="auto"/>
        </w:rPr>
      </w:pPr>
      <w:r>
        <w:rPr>
          <w:rFonts w:hint="eastAsia"/>
          <w:color w:val="auto"/>
        </w:rPr>
        <w:t>工业催化剂生产原辅材料消耗</w:t>
      </w:r>
    </w:p>
    <w:p w14:paraId="63C62241">
      <w:pPr>
        <w:pStyle w:val="132"/>
        <w:rPr>
          <w:color w:val="auto"/>
        </w:rPr>
      </w:pPr>
      <w:r>
        <w:rPr>
          <w:rFonts w:hint="eastAsia"/>
          <w:color w:val="auto"/>
        </w:rPr>
        <w:t>本项目工业催化剂生产主要原辅材料包括：拟薄水铝石、硝酸、田菁胶、醋酸钴、硝酸钨、醋酸锆、钼酸、醋酸铁、醋酸镍、醋酸铜、硝酸钯、硝酸铂、醋酸铑等，消耗情况详见表3.2-</w:t>
      </w:r>
      <w:r>
        <w:rPr>
          <w:rFonts w:hint="eastAsia"/>
          <w:color w:val="auto"/>
          <w:lang w:val="en-US" w:eastAsia="zh-CN"/>
        </w:rPr>
        <w:t>5</w:t>
      </w:r>
      <w:r>
        <w:rPr>
          <w:rFonts w:hint="eastAsia"/>
          <w:color w:val="auto"/>
        </w:rPr>
        <w:t>。各原辅材料均采用袋装存放于原料库房中。</w:t>
      </w:r>
    </w:p>
    <w:p w14:paraId="431D0D1A">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5</w:t>
      </w:r>
      <w:r>
        <w:rPr>
          <w:color w:val="auto"/>
        </w:rPr>
        <w:fldChar w:fldCharType="end"/>
      </w:r>
      <w:r>
        <w:rPr>
          <w:color w:val="auto"/>
        </w:rPr>
        <w:t xml:space="preserve"> </w:t>
      </w:r>
      <w:r>
        <w:rPr>
          <w:rFonts w:hint="eastAsia"/>
          <w:color w:val="auto"/>
        </w:rPr>
        <w:t xml:space="preserve">  工业催化剂原辅材料消耗</w:t>
      </w:r>
    </w:p>
    <w:tbl>
      <w:tblPr>
        <w:tblStyle w:val="1937"/>
        <w:tblW w:w="4988"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075"/>
        <w:gridCol w:w="1777"/>
        <w:gridCol w:w="2085"/>
        <w:gridCol w:w="2101"/>
        <w:gridCol w:w="1727"/>
      </w:tblGrid>
      <w:tr w14:paraId="0801D59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4C8C7117">
            <w:pPr>
              <w:pStyle w:val="129"/>
              <w:widowControl w:val="0"/>
              <w:rPr>
                <w:color w:val="auto"/>
              </w:rPr>
            </w:pPr>
            <w:r>
              <w:rPr>
                <w:rFonts w:hint="eastAsia"/>
                <w:color w:val="auto"/>
              </w:rPr>
              <w:t>序号</w:t>
            </w:r>
          </w:p>
        </w:tc>
        <w:tc>
          <w:tcPr>
            <w:tcW w:w="1013" w:type="pct"/>
            <w:vAlign w:val="center"/>
          </w:tcPr>
          <w:p w14:paraId="42DB669B">
            <w:pPr>
              <w:pStyle w:val="129"/>
              <w:widowControl w:val="0"/>
              <w:rPr>
                <w:color w:val="auto"/>
              </w:rPr>
            </w:pPr>
            <w:r>
              <w:rPr>
                <w:rFonts w:hint="eastAsia"/>
                <w:color w:val="auto"/>
              </w:rPr>
              <w:t>项目</w:t>
            </w:r>
          </w:p>
        </w:tc>
        <w:tc>
          <w:tcPr>
            <w:tcW w:w="1189" w:type="pct"/>
            <w:vAlign w:val="center"/>
          </w:tcPr>
          <w:p w14:paraId="75FC2DAF">
            <w:pPr>
              <w:pStyle w:val="129"/>
              <w:widowControl w:val="0"/>
              <w:rPr>
                <w:color w:val="auto"/>
              </w:rPr>
            </w:pPr>
            <w:r>
              <w:rPr>
                <w:rFonts w:hint="eastAsia"/>
                <w:color w:val="auto"/>
              </w:rPr>
              <w:t>规格</w:t>
            </w:r>
          </w:p>
        </w:tc>
        <w:tc>
          <w:tcPr>
            <w:tcW w:w="1198" w:type="pct"/>
            <w:vAlign w:val="center"/>
          </w:tcPr>
          <w:p w14:paraId="6671898F">
            <w:pPr>
              <w:pStyle w:val="129"/>
              <w:widowControl w:val="0"/>
              <w:rPr>
                <w:color w:val="auto"/>
              </w:rPr>
            </w:pPr>
            <w:r>
              <w:rPr>
                <w:rFonts w:hint="eastAsia"/>
                <w:color w:val="auto"/>
              </w:rPr>
              <w:t>年消耗量（t）</w:t>
            </w:r>
          </w:p>
        </w:tc>
        <w:tc>
          <w:tcPr>
            <w:tcW w:w="985" w:type="pct"/>
            <w:vAlign w:val="center"/>
          </w:tcPr>
          <w:p w14:paraId="2CB71DE0">
            <w:pPr>
              <w:pStyle w:val="129"/>
              <w:widowControl w:val="0"/>
              <w:rPr>
                <w:color w:val="auto"/>
              </w:rPr>
            </w:pPr>
            <w:r>
              <w:rPr>
                <w:rFonts w:hint="eastAsia"/>
                <w:color w:val="auto"/>
              </w:rPr>
              <w:t>备注</w:t>
            </w:r>
          </w:p>
        </w:tc>
      </w:tr>
      <w:tr w14:paraId="1ADC92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496B088C">
            <w:pPr>
              <w:pStyle w:val="129"/>
              <w:widowControl w:val="0"/>
              <w:rPr>
                <w:color w:val="auto"/>
              </w:rPr>
            </w:pPr>
            <w:r>
              <w:rPr>
                <w:rFonts w:hint="eastAsia"/>
                <w:color w:val="auto"/>
              </w:rPr>
              <w:t>1</w:t>
            </w:r>
          </w:p>
        </w:tc>
        <w:tc>
          <w:tcPr>
            <w:tcW w:w="1013" w:type="pct"/>
            <w:vAlign w:val="center"/>
          </w:tcPr>
          <w:p w14:paraId="2A33B9C7">
            <w:pPr>
              <w:pStyle w:val="129"/>
              <w:widowControl w:val="0"/>
              <w:rPr>
                <w:color w:val="auto"/>
              </w:rPr>
            </w:pPr>
            <w:r>
              <w:rPr>
                <w:rFonts w:hint="eastAsia"/>
                <w:color w:val="auto"/>
              </w:rPr>
              <w:t>拟薄水铝石</w:t>
            </w:r>
          </w:p>
        </w:tc>
        <w:tc>
          <w:tcPr>
            <w:tcW w:w="1189" w:type="pct"/>
            <w:vAlign w:val="center"/>
          </w:tcPr>
          <w:p w14:paraId="1D6AD5BF">
            <w:pPr>
              <w:pStyle w:val="129"/>
              <w:widowControl w:val="0"/>
              <w:rPr>
                <w:color w:val="auto"/>
              </w:rPr>
            </w:pPr>
            <w:r>
              <w:rPr>
                <w:rFonts w:hint="eastAsia"/>
                <w:color w:val="auto"/>
              </w:rPr>
              <w:t>/</w:t>
            </w:r>
          </w:p>
        </w:tc>
        <w:tc>
          <w:tcPr>
            <w:tcW w:w="1198" w:type="pct"/>
            <w:vAlign w:val="center"/>
          </w:tcPr>
          <w:p w14:paraId="2696BAAF">
            <w:pPr>
              <w:pStyle w:val="129"/>
              <w:widowControl w:val="0"/>
              <w:rPr>
                <w:color w:val="auto"/>
              </w:rPr>
            </w:pPr>
          </w:p>
        </w:tc>
        <w:tc>
          <w:tcPr>
            <w:tcW w:w="985" w:type="pct"/>
            <w:vAlign w:val="center"/>
          </w:tcPr>
          <w:p w14:paraId="7F848B2F">
            <w:pPr>
              <w:pStyle w:val="129"/>
              <w:widowControl w:val="0"/>
              <w:rPr>
                <w:color w:val="auto"/>
              </w:rPr>
            </w:pPr>
            <w:r>
              <w:rPr>
                <w:rFonts w:hint="eastAsia"/>
                <w:color w:val="auto"/>
              </w:rPr>
              <w:t>危险废物处理自身副产</w:t>
            </w:r>
          </w:p>
        </w:tc>
      </w:tr>
      <w:tr w14:paraId="4E6F0A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1AEAE95F">
            <w:pPr>
              <w:pStyle w:val="129"/>
              <w:widowControl w:val="0"/>
              <w:rPr>
                <w:color w:val="auto"/>
              </w:rPr>
            </w:pPr>
            <w:r>
              <w:rPr>
                <w:rFonts w:hint="eastAsia"/>
                <w:color w:val="auto"/>
              </w:rPr>
              <w:t>2</w:t>
            </w:r>
          </w:p>
        </w:tc>
        <w:tc>
          <w:tcPr>
            <w:tcW w:w="1013" w:type="pct"/>
            <w:vAlign w:val="center"/>
          </w:tcPr>
          <w:p w14:paraId="41079FB4">
            <w:pPr>
              <w:pStyle w:val="129"/>
              <w:widowControl w:val="0"/>
              <w:rPr>
                <w:color w:val="auto"/>
              </w:rPr>
            </w:pPr>
            <w:r>
              <w:rPr>
                <w:rFonts w:hint="eastAsia"/>
                <w:color w:val="auto"/>
              </w:rPr>
              <w:t>硝酸</w:t>
            </w:r>
          </w:p>
        </w:tc>
        <w:tc>
          <w:tcPr>
            <w:tcW w:w="1189" w:type="pct"/>
            <w:vAlign w:val="center"/>
          </w:tcPr>
          <w:p w14:paraId="5C868D16">
            <w:pPr>
              <w:pStyle w:val="129"/>
              <w:widowControl w:val="0"/>
              <w:rPr>
                <w:color w:val="auto"/>
              </w:rPr>
            </w:pPr>
            <w:r>
              <w:rPr>
                <w:rFonts w:hint="eastAsia"/>
                <w:color w:val="auto"/>
              </w:rPr>
              <w:t>68%</w:t>
            </w:r>
          </w:p>
        </w:tc>
        <w:tc>
          <w:tcPr>
            <w:tcW w:w="1198" w:type="pct"/>
            <w:vAlign w:val="center"/>
          </w:tcPr>
          <w:p w14:paraId="30DF76E2">
            <w:pPr>
              <w:pStyle w:val="129"/>
              <w:widowControl w:val="0"/>
              <w:rPr>
                <w:color w:val="auto"/>
              </w:rPr>
            </w:pPr>
          </w:p>
        </w:tc>
        <w:tc>
          <w:tcPr>
            <w:tcW w:w="985" w:type="pct"/>
            <w:vAlign w:val="center"/>
          </w:tcPr>
          <w:p w14:paraId="07E0998A">
            <w:pPr>
              <w:pStyle w:val="129"/>
              <w:widowControl w:val="0"/>
              <w:rPr>
                <w:color w:val="auto"/>
              </w:rPr>
            </w:pPr>
            <w:r>
              <w:rPr>
                <w:rFonts w:hint="eastAsia"/>
                <w:color w:val="auto"/>
              </w:rPr>
              <w:t>外购</w:t>
            </w:r>
          </w:p>
        </w:tc>
      </w:tr>
      <w:tr w14:paraId="605B8F3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14E00EDA">
            <w:pPr>
              <w:pStyle w:val="129"/>
              <w:widowControl w:val="0"/>
              <w:rPr>
                <w:color w:val="auto"/>
              </w:rPr>
            </w:pPr>
            <w:r>
              <w:rPr>
                <w:rFonts w:hint="eastAsia"/>
                <w:color w:val="auto"/>
              </w:rPr>
              <w:t>3</w:t>
            </w:r>
          </w:p>
        </w:tc>
        <w:tc>
          <w:tcPr>
            <w:tcW w:w="1013" w:type="pct"/>
            <w:vAlign w:val="center"/>
          </w:tcPr>
          <w:p w14:paraId="72A67B0A">
            <w:pPr>
              <w:pStyle w:val="129"/>
              <w:widowControl w:val="0"/>
              <w:rPr>
                <w:color w:val="auto"/>
              </w:rPr>
            </w:pPr>
            <w:r>
              <w:rPr>
                <w:rFonts w:hint="eastAsia"/>
                <w:color w:val="auto"/>
              </w:rPr>
              <w:t>田菁胶</w:t>
            </w:r>
          </w:p>
        </w:tc>
        <w:tc>
          <w:tcPr>
            <w:tcW w:w="1189" w:type="pct"/>
            <w:vAlign w:val="center"/>
          </w:tcPr>
          <w:p w14:paraId="77CB1129">
            <w:pPr>
              <w:pStyle w:val="129"/>
              <w:widowControl w:val="0"/>
              <w:rPr>
                <w:color w:val="auto"/>
              </w:rPr>
            </w:pPr>
            <w:r>
              <w:rPr>
                <w:color w:val="auto"/>
              </w:rPr>
              <w:t>GB 1886.188</w:t>
            </w:r>
            <w:r>
              <w:rPr>
                <w:rFonts w:hint="eastAsia"/>
                <w:color w:val="auto"/>
              </w:rPr>
              <w:t>-</w:t>
            </w:r>
            <w:r>
              <w:rPr>
                <w:color w:val="auto"/>
              </w:rPr>
              <w:t>2016</w:t>
            </w:r>
          </w:p>
        </w:tc>
        <w:tc>
          <w:tcPr>
            <w:tcW w:w="1198" w:type="pct"/>
            <w:vAlign w:val="center"/>
          </w:tcPr>
          <w:p w14:paraId="445E4CB4">
            <w:pPr>
              <w:pStyle w:val="129"/>
              <w:widowControl w:val="0"/>
              <w:rPr>
                <w:color w:val="auto"/>
              </w:rPr>
            </w:pPr>
          </w:p>
        </w:tc>
        <w:tc>
          <w:tcPr>
            <w:tcW w:w="985" w:type="pct"/>
            <w:vAlign w:val="center"/>
          </w:tcPr>
          <w:p w14:paraId="70B16423">
            <w:pPr>
              <w:pStyle w:val="129"/>
              <w:widowControl w:val="0"/>
              <w:rPr>
                <w:color w:val="auto"/>
              </w:rPr>
            </w:pPr>
            <w:r>
              <w:rPr>
                <w:rFonts w:hint="eastAsia"/>
                <w:color w:val="auto"/>
              </w:rPr>
              <w:t>外购</w:t>
            </w:r>
          </w:p>
        </w:tc>
      </w:tr>
      <w:tr w14:paraId="160E0F7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33933988">
            <w:pPr>
              <w:pStyle w:val="129"/>
              <w:widowControl w:val="0"/>
              <w:rPr>
                <w:color w:val="auto"/>
              </w:rPr>
            </w:pPr>
            <w:r>
              <w:rPr>
                <w:rFonts w:hint="eastAsia"/>
                <w:color w:val="auto"/>
              </w:rPr>
              <w:t>4</w:t>
            </w:r>
          </w:p>
        </w:tc>
        <w:tc>
          <w:tcPr>
            <w:tcW w:w="1013" w:type="pct"/>
            <w:vAlign w:val="center"/>
          </w:tcPr>
          <w:p w14:paraId="3212E17C">
            <w:pPr>
              <w:pStyle w:val="129"/>
              <w:widowControl w:val="0"/>
              <w:rPr>
                <w:color w:val="auto"/>
              </w:rPr>
            </w:pPr>
            <w:r>
              <w:rPr>
                <w:rFonts w:hint="eastAsia"/>
                <w:color w:val="auto"/>
                <w:sz w:val="22"/>
                <w:szCs w:val="22"/>
              </w:rPr>
              <w:t>醋酸钴</w:t>
            </w:r>
          </w:p>
        </w:tc>
        <w:tc>
          <w:tcPr>
            <w:tcW w:w="1189" w:type="pct"/>
            <w:vAlign w:val="center"/>
          </w:tcPr>
          <w:p w14:paraId="19612C0A">
            <w:pPr>
              <w:pStyle w:val="129"/>
              <w:widowControl w:val="0"/>
              <w:rPr>
                <w:color w:val="auto"/>
              </w:rPr>
            </w:pPr>
            <w:r>
              <w:rPr>
                <w:rFonts w:hint="eastAsia"/>
                <w:color w:val="auto"/>
              </w:rPr>
              <w:t>HG/T 2032-2025</w:t>
            </w:r>
          </w:p>
        </w:tc>
        <w:tc>
          <w:tcPr>
            <w:tcW w:w="1198" w:type="pct"/>
            <w:vAlign w:val="center"/>
          </w:tcPr>
          <w:p w14:paraId="3FE334E1">
            <w:pPr>
              <w:pStyle w:val="129"/>
              <w:widowControl w:val="0"/>
              <w:rPr>
                <w:color w:val="auto"/>
              </w:rPr>
            </w:pPr>
          </w:p>
        </w:tc>
        <w:tc>
          <w:tcPr>
            <w:tcW w:w="985" w:type="pct"/>
            <w:vAlign w:val="center"/>
          </w:tcPr>
          <w:p w14:paraId="0A706CE4">
            <w:pPr>
              <w:pStyle w:val="129"/>
              <w:widowControl w:val="0"/>
              <w:rPr>
                <w:color w:val="auto"/>
              </w:rPr>
            </w:pPr>
            <w:r>
              <w:rPr>
                <w:rFonts w:hint="eastAsia"/>
                <w:color w:val="auto"/>
              </w:rPr>
              <w:t>外购</w:t>
            </w:r>
          </w:p>
        </w:tc>
      </w:tr>
      <w:tr w14:paraId="645823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347326C3">
            <w:pPr>
              <w:pStyle w:val="129"/>
              <w:widowControl w:val="0"/>
              <w:rPr>
                <w:color w:val="auto"/>
              </w:rPr>
            </w:pPr>
            <w:r>
              <w:rPr>
                <w:rFonts w:hint="eastAsia"/>
                <w:color w:val="auto"/>
              </w:rPr>
              <w:t>5</w:t>
            </w:r>
          </w:p>
        </w:tc>
        <w:tc>
          <w:tcPr>
            <w:tcW w:w="1013" w:type="pct"/>
            <w:vAlign w:val="center"/>
          </w:tcPr>
          <w:p w14:paraId="40A2CFF8">
            <w:pPr>
              <w:pStyle w:val="129"/>
              <w:widowControl w:val="0"/>
              <w:rPr>
                <w:color w:val="auto"/>
              </w:rPr>
            </w:pPr>
            <w:r>
              <w:rPr>
                <w:rFonts w:hint="eastAsia"/>
                <w:color w:val="auto"/>
                <w:sz w:val="22"/>
                <w:szCs w:val="22"/>
              </w:rPr>
              <w:t>硝酸钨</w:t>
            </w:r>
          </w:p>
        </w:tc>
        <w:tc>
          <w:tcPr>
            <w:tcW w:w="1189" w:type="pct"/>
            <w:vAlign w:val="center"/>
          </w:tcPr>
          <w:p w14:paraId="411141B9">
            <w:pPr>
              <w:pStyle w:val="129"/>
              <w:widowControl w:val="0"/>
              <w:rPr>
                <w:color w:val="auto"/>
              </w:rPr>
            </w:pPr>
            <w:r>
              <w:rPr>
                <w:rFonts w:hint="eastAsia"/>
                <w:color w:val="auto"/>
              </w:rPr>
              <w:t>/</w:t>
            </w:r>
          </w:p>
        </w:tc>
        <w:tc>
          <w:tcPr>
            <w:tcW w:w="1198" w:type="pct"/>
            <w:vAlign w:val="center"/>
          </w:tcPr>
          <w:p w14:paraId="4E132DDF">
            <w:pPr>
              <w:pStyle w:val="129"/>
              <w:widowControl w:val="0"/>
              <w:rPr>
                <w:color w:val="auto"/>
              </w:rPr>
            </w:pPr>
          </w:p>
        </w:tc>
        <w:tc>
          <w:tcPr>
            <w:tcW w:w="985" w:type="pct"/>
            <w:vAlign w:val="center"/>
          </w:tcPr>
          <w:p w14:paraId="50D3B1C8">
            <w:pPr>
              <w:pStyle w:val="129"/>
              <w:widowControl w:val="0"/>
              <w:rPr>
                <w:color w:val="auto"/>
              </w:rPr>
            </w:pPr>
            <w:r>
              <w:rPr>
                <w:rFonts w:hint="eastAsia"/>
                <w:color w:val="auto"/>
              </w:rPr>
              <w:t>外购</w:t>
            </w:r>
          </w:p>
        </w:tc>
      </w:tr>
      <w:tr w14:paraId="0C927D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245575F5">
            <w:pPr>
              <w:pStyle w:val="129"/>
              <w:widowControl w:val="0"/>
              <w:rPr>
                <w:color w:val="auto"/>
              </w:rPr>
            </w:pPr>
            <w:r>
              <w:rPr>
                <w:rFonts w:hint="eastAsia"/>
                <w:color w:val="auto"/>
              </w:rPr>
              <w:t>6</w:t>
            </w:r>
          </w:p>
        </w:tc>
        <w:tc>
          <w:tcPr>
            <w:tcW w:w="1013" w:type="pct"/>
            <w:vAlign w:val="center"/>
          </w:tcPr>
          <w:p w14:paraId="7D9AF6CA">
            <w:pPr>
              <w:pStyle w:val="129"/>
              <w:widowControl w:val="0"/>
              <w:rPr>
                <w:color w:val="auto"/>
              </w:rPr>
            </w:pPr>
            <w:r>
              <w:rPr>
                <w:rFonts w:hint="eastAsia"/>
                <w:color w:val="auto"/>
                <w:sz w:val="22"/>
                <w:szCs w:val="22"/>
              </w:rPr>
              <w:t>醋酸锆</w:t>
            </w:r>
          </w:p>
        </w:tc>
        <w:tc>
          <w:tcPr>
            <w:tcW w:w="1189" w:type="pct"/>
            <w:vAlign w:val="center"/>
          </w:tcPr>
          <w:p w14:paraId="3CFAABD4">
            <w:pPr>
              <w:pStyle w:val="129"/>
              <w:widowControl w:val="0"/>
              <w:rPr>
                <w:color w:val="auto"/>
              </w:rPr>
            </w:pPr>
            <w:r>
              <w:rPr>
                <w:rFonts w:hint="eastAsia"/>
                <w:color w:val="auto"/>
              </w:rPr>
              <w:t>/</w:t>
            </w:r>
          </w:p>
        </w:tc>
        <w:tc>
          <w:tcPr>
            <w:tcW w:w="1198" w:type="pct"/>
            <w:vAlign w:val="center"/>
          </w:tcPr>
          <w:p w14:paraId="779EB503">
            <w:pPr>
              <w:pStyle w:val="129"/>
              <w:widowControl w:val="0"/>
              <w:rPr>
                <w:color w:val="auto"/>
              </w:rPr>
            </w:pPr>
          </w:p>
        </w:tc>
        <w:tc>
          <w:tcPr>
            <w:tcW w:w="985" w:type="pct"/>
            <w:vAlign w:val="center"/>
          </w:tcPr>
          <w:p w14:paraId="1E931B7E">
            <w:pPr>
              <w:pStyle w:val="129"/>
              <w:widowControl w:val="0"/>
              <w:rPr>
                <w:color w:val="auto"/>
              </w:rPr>
            </w:pPr>
            <w:r>
              <w:rPr>
                <w:rFonts w:hint="eastAsia"/>
                <w:color w:val="auto"/>
              </w:rPr>
              <w:t>外购</w:t>
            </w:r>
          </w:p>
        </w:tc>
      </w:tr>
      <w:tr w14:paraId="67AE573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6AEE10F3">
            <w:pPr>
              <w:pStyle w:val="129"/>
              <w:widowControl w:val="0"/>
              <w:rPr>
                <w:color w:val="auto"/>
              </w:rPr>
            </w:pPr>
            <w:r>
              <w:rPr>
                <w:rFonts w:hint="eastAsia"/>
                <w:color w:val="auto"/>
              </w:rPr>
              <w:t>7</w:t>
            </w:r>
          </w:p>
        </w:tc>
        <w:tc>
          <w:tcPr>
            <w:tcW w:w="1013" w:type="pct"/>
            <w:vAlign w:val="center"/>
          </w:tcPr>
          <w:p w14:paraId="4A0D25F3">
            <w:pPr>
              <w:pStyle w:val="129"/>
              <w:widowControl w:val="0"/>
              <w:rPr>
                <w:color w:val="auto"/>
              </w:rPr>
            </w:pPr>
            <w:r>
              <w:rPr>
                <w:rFonts w:hint="eastAsia"/>
                <w:color w:val="auto"/>
                <w:sz w:val="22"/>
                <w:szCs w:val="22"/>
              </w:rPr>
              <w:t>钼酸</w:t>
            </w:r>
          </w:p>
        </w:tc>
        <w:tc>
          <w:tcPr>
            <w:tcW w:w="1189" w:type="pct"/>
            <w:vAlign w:val="center"/>
          </w:tcPr>
          <w:p w14:paraId="7575B5DD">
            <w:pPr>
              <w:pStyle w:val="129"/>
              <w:widowControl w:val="0"/>
              <w:rPr>
                <w:color w:val="auto"/>
              </w:rPr>
            </w:pPr>
            <w:r>
              <w:rPr>
                <w:color w:val="auto"/>
              </w:rPr>
              <w:t>GB/T 3460-2023</w:t>
            </w:r>
          </w:p>
        </w:tc>
        <w:tc>
          <w:tcPr>
            <w:tcW w:w="1198" w:type="pct"/>
            <w:vAlign w:val="center"/>
          </w:tcPr>
          <w:p w14:paraId="3FCED047">
            <w:pPr>
              <w:pStyle w:val="129"/>
              <w:widowControl w:val="0"/>
              <w:rPr>
                <w:color w:val="auto"/>
              </w:rPr>
            </w:pPr>
          </w:p>
        </w:tc>
        <w:tc>
          <w:tcPr>
            <w:tcW w:w="985" w:type="pct"/>
            <w:vAlign w:val="center"/>
          </w:tcPr>
          <w:p w14:paraId="7C190A55">
            <w:pPr>
              <w:pStyle w:val="129"/>
              <w:widowControl w:val="0"/>
              <w:rPr>
                <w:color w:val="auto"/>
              </w:rPr>
            </w:pPr>
            <w:r>
              <w:rPr>
                <w:rFonts w:hint="eastAsia"/>
                <w:color w:val="auto"/>
              </w:rPr>
              <w:t>外购</w:t>
            </w:r>
          </w:p>
        </w:tc>
      </w:tr>
      <w:tr w14:paraId="304E16E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2654A808">
            <w:pPr>
              <w:pStyle w:val="129"/>
              <w:widowControl w:val="0"/>
              <w:rPr>
                <w:color w:val="auto"/>
              </w:rPr>
            </w:pPr>
            <w:r>
              <w:rPr>
                <w:rFonts w:hint="eastAsia"/>
                <w:color w:val="auto"/>
              </w:rPr>
              <w:t>8</w:t>
            </w:r>
          </w:p>
        </w:tc>
        <w:tc>
          <w:tcPr>
            <w:tcW w:w="1013" w:type="pct"/>
            <w:vAlign w:val="center"/>
          </w:tcPr>
          <w:p w14:paraId="18BF0696">
            <w:pPr>
              <w:pStyle w:val="129"/>
              <w:widowControl w:val="0"/>
              <w:rPr>
                <w:color w:val="auto"/>
              </w:rPr>
            </w:pPr>
            <w:r>
              <w:rPr>
                <w:rFonts w:hint="eastAsia"/>
                <w:color w:val="auto"/>
                <w:sz w:val="22"/>
                <w:szCs w:val="22"/>
              </w:rPr>
              <w:t>醋酸铁</w:t>
            </w:r>
          </w:p>
        </w:tc>
        <w:tc>
          <w:tcPr>
            <w:tcW w:w="1189" w:type="pct"/>
            <w:vAlign w:val="center"/>
          </w:tcPr>
          <w:p w14:paraId="736C6D80">
            <w:pPr>
              <w:pStyle w:val="129"/>
              <w:widowControl w:val="0"/>
              <w:rPr>
                <w:color w:val="auto"/>
              </w:rPr>
            </w:pPr>
            <w:r>
              <w:rPr>
                <w:color w:val="auto"/>
              </w:rPr>
              <w:t>GB 29216-2012</w:t>
            </w:r>
          </w:p>
        </w:tc>
        <w:tc>
          <w:tcPr>
            <w:tcW w:w="1198" w:type="pct"/>
            <w:vAlign w:val="center"/>
          </w:tcPr>
          <w:p w14:paraId="21B1AC81">
            <w:pPr>
              <w:pStyle w:val="129"/>
              <w:widowControl w:val="0"/>
              <w:rPr>
                <w:color w:val="auto"/>
              </w:rPr>
            </w:pPr>
          </w:p>
        </w:tc>
        <w:tc>
          <w:tcPr>
            <w:tcW w:w="985" w:type="pct"/>
            <w:vAlign w:val="center"/>
          </w:tcPr>
          <w:p w14:paraId="3833A502">
            <w:pPr>
              <w:pStyle w:val="129"/>
              <w:widowControl w:val="0"/>
              <w:rPr>
                <w:color w:val="auto"/>
              </w:rPr>
            </w:pPr>
            <w:r>
              <w:rPr>
                <w:rFonts w:hint="eastAsia"/>
                <w:color w:val="auto"/>
              </w:rPr>
              <w:t>外购</w:t>
            </w:r>
          </w:p>
        </w:tc>
      </w:tr>
      <w:tr w14:paraId="3B79CDE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3ED10883">
            <w:pPr>
              <w:pStyle w:val="129"/>
              <w:widowControl w:val="0"/>
              <w:rPr>
                <w:color w:val="auto"/>
              </w:rPr>
            </w:pPr>
            <w:r>
              <w:rPr>
                <w:rFonts w:hint="eastAsia"/>
                <w:color w:val="auto"/>
              </w:rPr>
              <w:t>9</w:t>
            </w:r>
          </w:p>
        </w:tc>
        <w:tc>
          <w:tcPr>
            <w:tcW w:w="1013" w:type="pct"/>
            <w:vAlign w:val="center"/>
          </w:tcPr>
          <w:p w14:paraId="744061B4">
            <w:pPr>
              <w:pStyle w:val="129"/>
              <w:widowControl w:val="0"/>
              <w:rPr>
                <w:color w:val="auto"/>
              </w:rPr>
            </w:pPr>
            <w:r>
              <w:rPr>
                <w:rFonts w:hint="eastAsia"/>
                <w:color w:val="auto"/>
                <w:sz w:val="22"/>
                <w:szCs w:val="22"/>
              </w:rPr>
              <w:t>醋酸镍</w:t>
            </w:r>
          </w:p>
        </w:tc>
        <w:tc>
          <w:tcPr>
            <w:tcW w:w="1189" w:type="pct"/>
            <w:vAlign w:val="center"/>
          </w:tcPr>
          <w:p w14:paraId="64F1279B">
            <w:pPr>
              <w:pStyle w:val="129"/>
              <w:widowControl w:val="0"/>
              <w:rPr>
                <w:color w:val="auto"/>
              </w:rPr>
            </w:pPr>
            <w:r>
              <w:rPr>
                <w:color w:val="auto"/>
              </w:rPr>
              <w:t>GB/T 15905-2023</w:t>
            </w:r>
          </w:p>
        </w:tc>
        <w:tc>
          <w:tcPr>
            <w:tcW w:w="1198" w:type="pct"/>
            <w:vAlign w:val="center"/>
          </w:tcPr>
          <w:p w14:paraId="128950D5">
            <w:pPr>
              <w:pStyle w:val="129"/>
              <w:widowControl w:val="0"/>
              <w:rPr>
                <w:color w:val="auto"/>
              </w:rPr>
            </w:pPr>
          </w:p>
        </w:tc>
        <w:tc>
          <w:tcPr>
            <w:tcW w:w="985" w:type="pct"/>
            <w:vAlign w:val="center"/>
          </w:tcPr>
          <w:p w14:paraId="38EEC7F5">
            <w:pPr>
              <w:pStyle w:val="129"/>
              <w:widowControl w:val="0"/>
              <w:rPr>
                <w:color w:val="auto"/>
              </w:rPr>
            </w:pPr>
            <w:r>
              <w:rPr>
                <w:rFonts w:hint="eastAsia"/>
                <w:color w:val="auto"/>
              </w:rPr>
              <w:t>外购</w:t>
            </w:r>
          </w:p>
        </w:tc>
      </w:tr>
      <w:tr w14:paraId="677D639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4ADD1732">
            <w:pPr>
              <w:pStyle w:val="129"/>
              <w:widowControl w:val="0"/>
              <w:rPr>
                <w:color w:val="auto"/>
              </w:rPr>
            </w:pPr>
            <w:r>
              <w:rPr>
                <w:rFonts w:hint="eastAsia"/>
                <w:color w:val="auto"/>
              </w:rPr>
              <w:t>10</w:t>
            </w:r>
          </w:p>
        </w:tc>
        <w:tc>
          <w:tcPr>
            <w:tcW w:w="1013" w:type="pct"/>
            <w:vAlign w:val="center"/>
          </w:tcPr>
          <w:p w14:paraId="1ECFB1CE">
            <w:pPr>
              <w:pStyle w:val="129"/>
              <w:widowControl w:val="0"/>
              <w:rPr>
                <w:color w:val="auto"/>
              </w:rPr>
            </w:pPr>
            <w:r>
              <w:rPr>
                <w:rFonts w:hint="eastAsia"/>
                <w:color w:val="auto"/>
                <w:sz w:val="22"/>
                <w:szCs w:val="22"/>
              </w:rPr>
              <w:t>醋酸铜</w:t>
            </w:r>
          </w:p>
        </w:tc>
        <w:tc>
          <w:tcPr>
            <w:tcW w:w="1189" w:type="pct"/>
            <w:vAlign w:val="center"/>
          </w:tcPr>
          <w:p w14:paraId="20E5011B">
            <w:pPr>
              <w:pStyle w:val="129"/>
              <w:widowControl w:val="0"/>
              <w:rPr>
                <w:color w:val="auto"/>
              </w:rPr>
            </w:pPr>
            <w:r>
              <w:rPr>
                <w:color w:val="auto"/>
              </w:rPr>
              <w:t>GB/T 15901-2021</w:t>
            </w:r>
          </w:p>
        </w:tc>
        <w:tc>
          <w:tcPr>
            <w:tcW w:w="1198" w:type="pct"/>
            <w:vAlign w:val="center"/>
          </w:tcPr>
          <w:p w14:paraId="0C683769">
            <w:pPr>
              <w:pStyle w:val="129"/>
              <w:widowControl w:val="0"/>
              <w:rPr>
                <w:color w:val="auto"/>
              </w:rPr>
            </w:pPr>
          </w:p>
        </w:tc>
        <w:tc>
          <w:tcPr>
            <w:tcW w:w="985" w:type="pct"/>
            <w:vAlign w:val="center"/>
          </w:tcPr>
          <w:p w14:paraId="15227F61">
            <w:pPr>
              <w:pStyle w:val="129"/>
              <w:widowControl w:val="0"/>
              <w:rPr>
                <w:color w:val="auto"/>
              </w:rPr>
            </w:pPr>
            <w:r>
              <w:rPr>
                <w:rFonts w:hint="eastAsia"/>
                <w:color w:val="auto"/>
              </w:rPr>
              <w:t>外购</w:t>
            </w:r>
          </w:p>
        </w:tc>
      </w:tr>
      <w:tr w14:paraId="3322F90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50633A6D">
            <w:pPr>
              <w:pStyle w:val="129"/>
              <w:widowControl w:val="0"/>
              <w:rPr>
                <w:color w:val="auto"/>
              </w:rPr>
            </w:pPr>
            <w:r>
              <w:rPr>
                <w:rFonts w:hint="eastAsia"/>
                <w:color w:val="auto"/>
                <w:sz w:val="22"/>
                <w:szCs w:val="22"/>
              </w:rPr>
              <w:t>11</w:t>
            </w:r>
          </w:p>
        </w:tc>
        <w:tc>
          <w:tcPr>
            <w:tcW w:w="1013" w:type="pct"/>
            <w:vAlign w:val="center"/>
          </w:tcPr>
          <w:p w14:paraId="09C550E0">
            <w:pPr>
              <w:pStyle w:val="129"/>
              <w:widowControl w:val="0"/>
              <w:rPr>
                <w:color w:val="auto"/>
                <w:sz w:val="22"/>
                <w:szCs w:val="22"/>
              </w:rPr>
            </w:pPr>
            <w:r>
              <w:rPr>
                <w:rFonts w:hint="eastAsia"/>
                <w:color w:val="auto"/>
                <w:sz w:val="22"/>
                <w:szCs w:val="22"/>
              </w:rPr>
              <w:t>硝酸钯</w:t>
            </w:r>
          </w:p>
        </w:tc>
        <w:tc>
          <w:tcPr>
            <w:tcW w:w="1189" w:type="pct"/>
            <w:vAlign w:val="center"/>
          </w:tcPr>
          <w:p w14:paraId="71BC5CB7">
            <w:pPr>
              <w:pStyle w:val="129"/>
              <w:widowControl w:val="0"/>
              <w:rPr>
                <w:color w:val="auto"/>
              </w:rPr>
            </w:pPr>
            <w:r>
              <w:rPr>
                <w:color w:val="auto"/>
              </w:rPr>
              <w:t>GB/T 23365-2009</w:t>
            </w:r>
          </w:p>
        </w:tc>
        <w:tc>
          <w:tcPr>
            <w:tcW w:w="1198" w:type="pct"/>
            <w:vAlign w:val="center"/>
          </w:tcPr>
          <w:p w14:paraId="623DD349">
            <w:pPr>
              <w:pStyle w:val="129"/>
              <w:widowControl w:val="0"/>
              <w:rPr>
                <w:color w:val="auto"/>
              </w:rPr>
            </w:pPr>
          </w:p>
        </w:tc>
        <w:tc>
          <w:tcPr>
            <w:tcW w:w="985" w:type="pct"/>
            <w:vAlign w:val="center"/>
          </w:tcPr>
          <w:p w14:paraId="78DF8CA1">
            <w:pPr>
              <w:pStyle w:val="129"/>
              <w:widowControl w:val="0"/>
              <w:rPr>
                <w:color w:val="auto"/>
              </w:rPr>
            </w:pPr>
            <w:r>
              <w:rPr>
                <w:rFonts w:hint="eastAsia"/>
                <w:color w:val="auto"/>
              </w:rPr>
              <w:t>外购</w:t>
            </w:r>
          </w:p>
        </w:tc>
      </w:tr>
      <w:tr w14:paraId="6D5643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5FB80A75">
            <w:pPr>
              <w:pStyle w:val="129"/>
              <w:widowControl w:val="0"/>
              <w:rPr>
                <w:color w:val="auto"/>
              </w:rPr>
            </w:pPr>
            <w:r>
              <w:rPr>
                <w:rFonts w:hint="eastAsia"/>
                <w:color w:val="auto"/>
                <w:sz w:val="22"/>
                <w:szCs w:val="22"/>
              </w:rPr>
              <w:t>12</w:t>
            </w:r>
          </w:p>
        </w:tc>
        <w:tc>
          <w:tcPr>
            <w:tcW w:w="1013" w:type="pct"/>
            <w:vAlign w:val="center"/>
          </w:tcPr>
          <w:p w14:paraId="32761BF2">
            <w:pPr>
              <w:pStyle w:val="129"/>
              <w:widowControl w:val="0"/>
              <w:rPr>
                <w:color w:val="auto"/>
                <w:sz w:val="22"/>
                <w:szCs w:val="22"/>
              </w:rPr>
            </w:pPr>
            <w:r>
              <w:rPr>
                <w:rFonts w:hint="eastAsia"/>
                <w:color w:val="auto"/>
                <w:sz w:val="22"/>
                <w:szCs w:val="22"/>
              </w:rPr>
              <w:t>硝酸铂</w:t>
            </w:r>
          </w:p>
        </w:tc>
        <w:tc>
          <w:tcPr>
            <w:tcW w:w="1189" w:type="pct"/>
            <w:vAlign w:val="center"/>
          </w:tcPr>
          <w:p w14:paraId="781AECE6">
            <w:pPr>
              <w:pStyle w:val="129"/>
              <w:widowControl w:val="0"/>
              <w:rPr>
                <w:color w:val="auto"/>
              </w:rPr>
            </w:pPr>
            <w:r>
              <w:rPr>
                <w:color w:val="auto"/>
              </w:rPr>
              <w:t>YS/T 1195-2017</w:t>
            </w:r>
          </w:p>
        </w:tc>
        <w:tc>
          <w:tcPr>
            <w:tcW w:w="1198" w:type="pct"/>
            <w:vAlign w:val="center"/>
          </w:tcPr>
          <w:p w14:paraId="3BFF3987">
            <w:pPr>
              <w:pStyle w:val="129"/>
              <w:widowControl w:val="0"/>
              <w:rPr>
                <w:color w:val="auto"/>
              </w:rPr>
            </w:pPr>
          </w:p>
        </w:tc>
        <w:tc>
          <w:tcPr>
            <w:tcW w:w="985" w:type="pct"/>
            <w:vAlign w:val="center"/>
          </w:tcPr>
          <w:p w14:paraId="494EC131">
            <w:pPr>
              <w:pStyle w:val="129"/>
              <w:widowControl w:val="0"/>
              <w:rPr>
                <w:color w:val="auto"/>
              </w:rPr>
            </w:pPr>
            <w:r>
              <w:rPr>
                <w:rFonts w:hint="eastAsia"/>
                <w:color w:val="auto"/>
              </w:rPr>
              <w:t>外购</w:t>
            </w:r>
          </w:p>
        </w:tc>
      </w:tr>
      <w:tr w14:paraId="5439F73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13" w:type="pct"/>
            <w:vAlign w:val="center"/>
          </w:tcPr>
          <w:p w14:paraId="2172EE01">
            <w:pPr>
              <w:pStyle w:val="129"/>
              <w:widowControl w:val="0"/>
              <w:rPr>
                <w:color w:val="auto"/>
              </w:rPr>
            </w:pPr>
            <w:r>
              <w:rPr>
                <w:rFonts w:hint="eastAsia"/>
                <w:color w:val="auto"/>
                <w:sz w:val="22"/>
                <w:szCs w:val="22"/>
              </w:rPr>
              <w:t>13</w:t>
            </w:r>
          </w:p>
        </w:tc>
        <w:tc>
          <w:tcPr>
            <w:tcW w:w="1013" w:type="pct"/>
            <w:vAlign w:val="center"/>
          </w:tcPr>
          <w:p w14:paraId="51216591">
            <w:pPr>
              <w:pStyle w:val="129"/>
              <w:widowControl w:val="0"/>
              <w:rPr>
                <w:color w:val="auto"/>
                <w:sz w:val="22"/>
                <w:szCs w:val="22"/>
              </w:rPr>
            </w:pPr>
            <w:r>
              <w:rPr>
                <w:rFonts w:hint="eastAsia"/>
                <w:color w:val="auto"/>
                <w:sz w:val="22"/>
                <w:szCs w:val="22"/>
              </w:rPr>
              <w:t>醋酸铑</w:t>
            </w:r>
          </w:p>
        </w:tc>
        <w:tc>
          <w:tcPr>
            <w:tcW w:w="1189" w:type="pct"/>
            <w:vAlign w:val="center"/>
          </w:tcPr>
          <w:p w14:paraId="09425747">
            <w:pPr>
              <w:pStyle w:val="129"/>
              <w:widowControl w:val="0"/>
              <w:rPr>
                <w:color w:val="auto"/>
              </w:rPr>
            </w:pPr>
            <w:r>
              <w:rPr>
                <w:color w:val="auto"/>
              </w:rPr>
              <w:t>YS/T 1164-2016</w:t>
            </w:r>
          </w:p>
        </w:tc>
        <w:tc>
          <w:tcPr>
            <w:tcW w:w="1198" w:type="pct"/>
            <w:vAlign w:val="center"/>
          </w:tcPr>
          <w:p w14:paraId="511AEBF9">
            <w:pPr>
              <w:pStyle w:val="129"/>
              <w:widowControl w:val="0"/>
              <w:rPr>
                <w:color w:val="auto"/>
              </w:rPr>
            </w:pPr>
          </w:p>
        </w:tc>
        <w:tc>
          <w:tcPr>
            <w:tcW w:w="985" w:type="pct"/>
            <w:vAlign w:val="center"/>
          </w:tcPr>
          <w:p w14:paraId="10DB9D9B">
            <w:pPr>
              <w:pStyle w:val="129"/>
              <w:widowControl w:val="0"/>
              <w:rPr>
                <w:color w:val="auto"/>
              </w:rPr>
            </w:pPr>
            <w:r>
              <w:rPr>
                <w:rFonts w:hint="eastAsia"/>
                <w:color w:val="auto"/>
              </w:rPr>
              <w:t>外购</w:t>
            </w:r>
          </w:p>
        </w:tc>
      </w:tr>
    </w:tbl>
    <w:p w14:paraId="4ECE8DEA">
      <w:pPr>
        <w:pStyle w:val="1304"/>
        <w:rPr>
          <w:color w:val="auto"/>
        </w:rPr>
      </w:pPr>
    </w:p>
    <w:p w14:paraId="65273108">
      <w:pPr>
        <w:pStyle w:val="5"/>
        <w:rPr>
          <w:color w:val="auto"/>
        </w:rPr>
      </w:pPr>
      <w:r>
        <w:rPr>
          <w:rFonts w:hint="eastAsia"/>
          <w:color w:val="auto"/>
        </w:rPr>
        <w:t>能源消耗</w:t>
      </w:r>
    </w:p>
    <w:p w14:paraId="2B90F6BE">
      <w:pPr>
        <w:pStyle w:val="132"/>
        <w:rPr>
          <w:color w:val="auto"/>
        </w:rPr>
      </w:pPr>
      <w:r>
        <w:rPr>
          <w:rFonts w:hint="eastAsia"/>
          <w:color w:val="auto"/>
        </w:rPr>
        <w:t>本项目网带干燥炉、焙烧炉、磷酸锆干燥器、水铝石干燥器均采用天然气燃烧作为干燥、焙烧热源，其他物料干燥、生产用热均采用蒸汽换热。</w:t>
      </w:r>
    </w:p>
    <w:p w14:paraId="7356B402">
      <w:pPr>
        <w:pStyle w:val="132"/>
        <w:rPr>
          <w:color w:val="auto"/>
        </w:rPr>
      </w:pPr>
      <w:r>
        <w:rPr>
          <w:rFonts w:hint="eastAsia"/>
          <w:color w:val="auto"/>
        </w:rPr>
        <w:t>消耗能源主要包括天然气、蒸汽和电力，组成见表3.2-</w:t>
      </w:r>
      <w:r>
        <w:rPr>
          <w:rFonts w:hint="eastAsia"/>
          <w:color w:val="auto"/>
          <w:lang w:val="en-US" w:eastAsia="zh-CN"/>
        </w:rPr>
        <w:t>6</w:t>
      </w:r>
      <w:r>
        <w:rPr>
          <w:rFonts w:hint="eastAsia"/>
          <w:color w:val="auto"/>
        </w:rPr>
        <w:t>。</w:t>
      </w:r>
    </w:p>
    <w:p w14:paraId="60449A86">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6</w:t>
      </w:r>
      <w:r>
        <w:rPr>
          <w:color w:val="auto"/>
        </w:rPr>
        <w:fldChar w:fldCharType="end"/>
      </w:r>
      <w:r>
        <w:rPr>
          <w:color w:val="auto"/>
        </w:rPr>
        <w:t xml:space="preserve">   </w:t>
      </w:r>
      <w:r>
        <w:rPr>
          <w:rFonts w:hint="eastAsia"/>
          <w:color w:val="auto"/>
        </w:rPr>
        <w:t>原辅材料消耗</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042"/>
        <w:gridCol w:w="2103"/>
        <w:gridCol w:w="2218"/>
        <w:gridCol w:w="1903"/>
        <w:gridCol w:w="1520"/>
      </w:tblGrid>
      <w:tr w14:paraId="22F9AB3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93" w:type="pct"/>
            <w:vAlign w:val="center"/>
          </w:tcPr>
          <w:p w14:paraId="42E8F2CD">
            <w:pPr>
              <w:pStyle w:val="129"/>
              <w:widowControl w:val="0"/>
              <w:rPr>
                <w:color w:val="auto"/>
              </w:rPr>
            </w:pPr>
            <w:r>
              <w:rPr>
                <w:rFonts w:hint="eastAsia"/>
                <w:color w:val="auto"/>
              </w:rPr>
              <w:t>序号</w:t>
            </w:r>
          </w:p>
        </w:tc>
        <w:tc>
          <w:tcPr>
            <w:tcW w:w="1197" w:type="pct"/>
            <w:vAlign w:val="center"/>
          </w:tcPr>
          <w:p w14:paraId="7DB7806E">
            <w:pPr>
              <w:pStyle w:val="129"/>
              <w:widowControl w:val="0"/>
              <w:rPr>
                <w:color w:val="auto"/>
              </w:rPr>
            </w:pPr>
            <w:r>
              <w:rPr>
                <w:rFonts w:hint="eastAsia"/>
                <w:color w:val="auto"/>
              </w:rPr>
              <w:t>项目</w:t>
            </w:r>
          </w:p>
        </w:tc>
        <w:tc>
          <w:tcPr>
            <w:tcW w:w="1262" w:type="pct"/>
            <w:vAlign w:val="center"/>
          </w:tcPr>
          <w:p w14:paraId="03C6F3A0">
            <w:pPr>
              <w:pStyle w:val="129"/>
              <w:widowControl w:val="0"/>
              <w:rPr>
                <w:color w:val="auto"/>
              </w:rPr>
            </w:pPr>
            <w:r>
              <w:rPr>
                <w:rFonts w:hint="eastAsia"/>
                <w:color w:val="auto"/>
              </w:rPr>
              <w:t>单位</w:t>
            </w:r>
          </w:p>
        </w:tc>
        <w:tc>
          <w:tcPr>
            <w:tcW w:w="1083" w:type="pct"/>
            <w:vAlign w:val="center"/>
          </w:tcPr>
          <w:p w14:paraId="027CF7C0">
            <w:pPr>
              <w:pStyle w:val="129"/>
              <w:widowControl w:val="0"/>
              <w:rPr>
                <w:color w:val="auto"/>
              </w:rPr>
            </w:pPr>
            <w:r>
              <w:rPr>
                <w:rFonts w:hint="eastAsia"/>
                <w:color w:val="auto"/>
              </w:rPr>
              <w:t>年消耗量</w:t>
            </w:r>
          </w:p>
        </w:tc>
        <w:tc>
          <w:tcPr>
            <w:tcW w:w="865" w:type="pct"/>
            <w:vAlign w:val="center"/>
          </w:tcPr>
          <w:p w14:paraId="0F394430">
            <w:pPr>
              <w:pStyle w:val="129"/>
              <w:widowControl w:val="0"/>
              <w:rPr>
                <w:color w:val="auto"/>
              </w:rPr>
            </w:pPr>
            <w:r>
              <w:rPr>
                <w:rFonts w:hint="eastAsia"/>
                <w:color w:val="auto"/>
              </w:rPr>
              <w:t>备注</w:t>
            </w:r>
          </w:p>
        </w:tc>
      </w:tr>
      <w:tr w14:paraId="6E6C790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93" w:type="pct"/>
            <w:vAlign w:val="center"/>
          </w:tcPr>
          <w:p w14:paraId="5F299220">
            <w:pPr>
              <w:pStyle w:val="129"/>
              <w:widowControl w:val="0"/>
              <w:rPr>
                <w:color w:val="auto"/>
              </w:rPr>
            </w:pPr>
            <w:r>
              <w:rPr>
                <w:rFonts w:hint="eastAsia"/>
                <w:color w:val="auto"/>
              </w:rPr>
              <w:t>1</w:t>
            </w:r>
          </w:p>
        </w:tc>
        <w:tc>
          <w:tcPr>
            <w:tcW w:w="1197" w:type="pct"/>
            <w:vAlign w:val="center"/>
          </w:tcPr>
          <w:p w14:paraId="58D7C438">
            <w:pPr>
              <w:pStyle w:val="129"/>
              <w:widowControl w:val="0"/>
              <w:rPr>
                <w:color w:val="auto"/>
              </w:rPr>
            </w:pPr>
            <w:r>
              <w:rPr>
                <w:rFonts w:hint="eastAsia"/>
                <w:color w:val="auto"/>
              </w:rPr>
              <w:t>电力</w:t>
            </w:r>
          </w:p>
        </w:tc>
        <w:tc>
          <w:tcPr>
            <w:tcW w:w="1262" w:type="pct"/>
            <w:vAlign w:val="center"/>
          </w:tcPr>
          <w:p w14:paraId="688F7614">
            <w:pPr>
              <w:pStyle w:val="129"/>
              <w:widowControl w:val="0"/>
              <w:rPr>
                <w:color w:val="auto"/>
              </w:rPr>
            </w:pPr>
            <w:r>
              <w:rPr>
                <w:rFonts w:hint="eastAsia"/>
                <w:color w:val="auto"/>
              </w:rPr>
              <w:t>kW</w:t>
            </w:r>
            <w:r>
              <w:rPr>
                <w:rFonts w:asciiTheme="minorHAnsi" w:hAnsiTheme="minorHAnsi" w:cstheme="minorHAnsi"/>
                <w:color w:val="auto"/>
              </w:rPr>
              <w:t>·</w:t>
            </w:r>
            <w:r>
              <w:rPr>
                <w:rFonts w:hint="eastAsia"/>
                <w:color w:val="auto"/>
              </w:rPr>
              <w:t>h</w:t>
            </w:r>
          </w:p>
        </w:tc>
        <w:tc>
          <w:tcPr>
            <w:tcW w:w="1083" w:type="pct"/>
            <w:vAlign w:val="center"/>
          </w:tcPr>
          <w:p w14:paraId="62B1C005">
            <w:pPr>
              <w:pStyle w:val="129"/>
              <w:widowControl w:val="0"/>
              <w:rPr>
                <w:color w:val="auto"/>
              </w:rPr>
            </w:pPr>
          </w:p>
        </w:tc>
        <w:tc>
          <w:tcPr>
            <w:tcW w:w="865" w:type="pct"/>
            <w:vAlign w:val="center"/>
          </w:tcPr>
          <w:p w14:paraId="58206917">
            <w:pPr>
              <w:pStyle w:val="129"/>
              <w:widowControl w:val="0"/>
              <w:rPr>
                <w:color w:val="auto"/>
              </w:rPr>
            </w:pPr>
            <w:r>
              <w:rPr>
                <w:rFonts w:hint="eastAsia"/>
                <w:color w:val="auto"/>
              </w:rPr>
              <w:t>外购</w:t>
            </w:r>
          </w:p>
        </w:tc>
      </w:tr>
      <w:tr w14:paraId="39805D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93" w:type="pct"/>
            <w:vAlign w:val="center"/>
          </w:tcPr>
          <w:p w14:paraId="526D2F42">
            <w:pPr>
              <w:pStyle w:val="129"/>
              <w:widowControl w:val="0"/>
              <w:rPr>
                <w:color w:val="auto"/>
              </w:rPr>
            </w:pPr>
            <w:r>
              <w:rPr>
                <w:rFonts w:hint="eastAsia"/>
                <w:color w:val="auto"/>
              </w:rPr>
              <w:t>2</w:t>
            </w:r>
          </w:p>
        </w:tc>
        <w:tc>
          <w:tcPr>
            <w:tcW w:w="1197" w:type="pct"/>
            <w:vAlign w:val="center"/>
          </w:tcPr>
          <w:p w14:paraId="41BAC5BA">
            <w:pPr>
              <w:pStyle w:val="129"/>
              <w:widowControl w:val="0"/>
              <w:rPr>
                <w:color w:val="auto"/>
              </w:rPr>
            </w:pPr>
            <w:r>
              <w:rPr>
                <w:rFonts w:hint="eastAsia"/>
                <w:color w:val="auto"/>
              </w:rPr>
              <w:t>天然气</w:t>
            </w:r>
          </w:p>
        </w:tc>
        <w:tc>
          <w:tcPr>
            <w:tcW w:w="1262" w:type="pct"/>
            <w:vAlign w:val="center"/>
          </w:tcPr>
          <w:p w14:paraId="354046BD">
            <w:pPr>
              <w:pStyle w:val="129"/>
              <w:widowControl w:val="0"/>
              <w:rPr>
                <w:color w:val="auto"/>
              </w:rPr>
            </w:pPr>
            <w:r>
              <w:rPr>
                <w:rFonts w:hint="eastAsia"/>
                <w:color w:val="auto"/>
              </w:rPr>
              <w:t>万Nm</w:t>
            </w:r>
            <w:r>
              <w:rPr>
                <w:rFonts w:hint="eastAsia"/>
                <w:color w:val="auto"/>
                <w:vertAlign w:val="superscript"/>
              </w:rPr>
              <w:t>3</w:t>
            </w:r>
            <w:r>
              <w:rPr>
                <w:rFonts w:hint="eastAsia"/>
                <w:color w:val="auto"/>
              </w:rPr>
              <w:t>/a</w:t>
            </w:r>
          </w:p>
        </w:tc>
        <w:tc>
          <w:tcPr>
            <w:tcW w:w="1083" w:type="pct"/>
            <w:vAlign w:val="center"/>
          </w:tcPr>
          <w:p w14:paraId="7DE69626">
            <w:pPr>
              <w:pStyle w:val="129"/>
              <w:widowControl w:val="0"/>
              <w:rPr>
                <w:color w:val="auto"/>
              </w:rPr>
            </w:pPr>
          </w:p>
        </w:tc>
        <w:tc>
          <w:tcPr>
            <w:tcW w:w="865" w:type="pct"/>
            <w:vAlign w:val="center"/>
          </w:tcPr>
          <w:p w14:paraId="121B39AD">
            <w:pPr>
              <w:pStyle w:val="129"/>
              <w:widowControl w:val="0"/>
              <w:rPr>
                <w:color w:val="auto"/>
              </w:rPr>
            </w:pPr>
            <w:r>
              <w:rPr>
                <w:rFonts w:hint="eastAsia"/>
                <w:color w:val="auto"/>
              </w:rPr>
              <w:t>外购</w:t>
            </w:r>
          </w:p>
        </w:tc>
      </w:tr>
      <w:tr w14:paraId="5FE1DEA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PrEx>
        <w:tc>
          <w:tcPr>
            <w:tcW w:w="593" w:type="pct"/>
            <w:vAlign w:val="center"/>
          </w:tcPr>
          <w:p w14:paraId="0C981458">
            <w:pPr>
              <w:pStyle w:val="129"/>
              <w:widowControl w:val="0"/>
              <w:rPr>
                <w:color w:val="auto"/>
              </w:rPr>
            </w:pPr>
            <w:r>
              <w:rPr>
                <w:rFonts w:hint="eastAsia"/>
                <w:color w:val="auto"/>
              </w:rPr>
              <w:t>3</w:t>
            </w:r>
          </w:p>
        </w:tc>
        <w:tc>
          <w:tcPr>
            <w:tcW w:w="1197" w:type="pct"/>
            <w:vAlign w:val="center"/>
          </w:tcPr>
          <w:p w14:paraId="415125CC">
            <w:pPr>
              <w:pStyle w:val="129"/>
              <w:widowControl w:val="0"/>
              <w:rPr>
                <w:color w:val="auto"/>
              </w:rPr>
            </w:pPr>
            <w:r>
              <w:rPr>
                <w:rFonts w:hint="eastAsia"/>
                <w:color w:val="auto"/>
              </w:rPr>
              <w:t>蒸汽</w:t>
            </w:r>
          </w:p>
        </w:tc>
        <w:tc>
          <w:tcPr>
            <w:tcW w:w="1262" w:type="pct"/>
            <w:vAlign w:val="center"/>
          </w:tcPr>
          <w:p w14:paraId="6123D4EE">
            <w:pPr>
              <w:pStyle w:val="129"/>
              <w:widowControl w:val="0"/>
              <w:rPr>
                <w:color w:val="auto"/>
              </w:rPr>
            </w:pPr>
            <w:r>
              <w:rPr>
                <w:rFonts w:hint="eastAsia"/>
                <w:color w:val="auto"/>
              </w:rPr>
              <w:t>t/a</w:t>
            </w:r>
          </w:p>
        </w:tc>
        <w:tc>
          <w:tcPr>
            <w:tcW w:w="1083" w:type="pct"/>
            <w:vAlign w:val="center"/>
          </w:tcPr>
          <w:p w14:paraId="36AC95CA">
            <w:pPr>
              <w:pStyle w:val="129"/>
              <w:widowControl w:val="0"/>
              <w:rPr>
                <w:color w:val="auto"/>
              </w:rPr>
            </w:pPr>
          </w:p>
        </w:tc>
        <w:tc>
          <w:tcPr>
            <w:tcW w:w="865" w:type="pct"/>
            <w:vAlign w:val="center"/>
          </w:tcPr>
          <w:p w14:paraId="15FB2C5E">
            <w:pPr>
              <w:pStyle w:val="129"/>
              <w:widowControl w:val="0"/>
              <w:rPr>
                <w:color w:val="auto"/>
              </w:rPr>
            </w:pPr>
            <w:r>
              <w:rPr>
                <w:rFonts w:hint="eastAsia"/>
                <w:color w:val="auto"/>
              </w:rPr>
              <w:t>兖矿提供</w:t>
            </w:r>
          </w:p>
        </w:tc>
      </w:tr>
    </w:tbl>
    <w:p w14:paraId="77277199">
      <w:pPr>
        <w:pStyle w:val="1304"/>
        <w:rPr>
          <w:color w:val="auto"/>
        </w:rPr>
      </w:pPr>
    </w:p>
    <w:p w14:paraId="3F3DFEFB">
      <w:pPr>
        <w:pStyle w:val="132"/>
        <w:rPr>
          <w:color w:val="auto"/>
          <w:lang w:bidi="en-US"/>
        </w:rPr>
      </w:pPr>
      <w:r>
        <w:rPr>
          <w:rFonts w:hint="eastAsia"/>
          <w:color w:val="auto"/>
          <w:lang w:bidi="en-US"/>
        </w:rPr>
        <w:t>本项目天然气由甘泉堡工业园区天然气管网提供，根据中国石油天然气股份有限公司新疆油田分公司监督中心对彩乌线天然气分析，本项目使用的燃料天然气分析数据见表3.2-8。</w:t>
      </w:r>
    </w:p>
    <w:p w14:paraId="486BBB86">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rFonts w:hint="eastAsia"/>
          <w:color w:val="auto"/>
          <w:lang w:val="en-US" w:eastAsia="zh-CN"/>
        </w:rPr>
        <w:t>8</w:t>
      </w:r>
      <w:r>
        <w:rPr>
          <w:color w:val="auto"/>
        </w:rPr>
        <w:t xml:space="preserve">   </w:t>
      </w:r>
      <w:r>
        <w:rPr>
          <w:rFonts w:hint="eastAsia"/>
          <w:color w:val="auto"/>
        </w:rPr>
        <w:t>天然气分析数据表</w:t>
      </w:r>
    </w:p>
    <w:tbl>
      <w:tblPr>
        <w:tblStyle w:val="1937"/>
        <w:tblW w:w="4978"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492"/>
        <w:gridCol w:w="1051"/>
        <w:gridCol w:w="1571"/>
        <w:gridCol w:w="1515"/>
        <w:gridCol w:w="1573"/>
        <w:gridCol w:w="1545"/>
      </w:tblGrid>
      <w:tr w14:paraId="600121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6805E370">
            <w:pPr>
              <w:pStyle w:val="129"/>
              <w:widowControl w:val="0"/>
              <w:rPr>
                <w:color w:val="auto"/>
              </w:rPr>
            </w:pPr>
            <w:r>
              <w:rPr>
                <w:rFonts w:hint="eastAsia"/>
                <w:color w:val="auto"/>
              </w:rPr>
              <w:t>组分名称</w:t>
            </w:r>
          </w:p>
        </w:tc>
        <w:tc>
          <w:tcPr>
            <w:tcW w:w="1499" w:type="pct"/>
            <w:gridSpan w:val="2"/>
            <w:vAlign w:val="center"/>
          </w:tcPr>
          <w:p w14:paraId="44F31EC6">
            <w:pPr>
              <w:pStyle w:val="129"/>
              <w:widowControl w:val="0"/>
              <w:rPr>
                <w:color w:val="auto"/>
              </w:rPr>
            </w:pPr>
            <w:r>
              <w:rPr>
                <w:rFonts w:hint="eastAsia"/>
                <w:color w:val="auto"/>
              </w:rPr>
              <w:t>含量（mol/mol）%</w:t>
            </w:r>
          </w:p>
        </w:tc>
        <w:tc>
          <w:tcPr>
            <w:tcW w:w="866" w:type="pct"/>
            <w:vAlign w:val="center"/>
          </w:tcPr>
          <w:p w14:paraId="3DF058AA">
            <w:pPr>
              <w:pStyle w:val="129"/>
              <w:widowControl w:val="0"/>
              <w:rPr>
                <w:color w:val="auto"/>
              </w:rPr>
            </w:pPr>
            <w:r>
              <w:rPr>
                <w:rFonts w:hint="eastAsia"/>
                <w:color w:val="auto"/>
              </w:rPr>
              <w:t>组分名称</w:t>
            </w:r>
          </w:p>
        </w:tc>
        <w:tc>
          <w:tcPr>
            <w:tcW w:w="1782" w:type="pct"/>
            <w:gridSpan w:val="2"/>
            <w:vAlign w:val="center"/>
          </w:tcPr>
          <w:p w14:paraId="48863737">
            <w:pPr>
              <w:pStyle w:val="129"/>
              <w:widowControl w:val="0"/>
              <w:rPr>
                <w:color w:val="auto"/>
              </w:rPr>
            </w:pPr>
            <w:r>
              <w:rPr>
                <w:rFonts w:hint="eastAsia"/>
                <w:color w:val="auto"/>
              </w:rPr>
              <w:t>含量（mol/mol）%</w:t>
            </w:r>
          </w:p>
        </w:tc>
      </w:tr>
      <w:tr w14:paraId="4ACD90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266C5ABF">
            <w:pPr>
              <w:pStyle w:val="129"/>
              <w:widowControl w:val="0"/>
              <w:rPr>
                <w:color w:val="auto"/>
              </w:rPr>
            </w:pPr>
            <w:r>
              <w:rPr>
                <w:rFonts w:hint="eastAsia"/>
                <w:color w:val="auto"/>
              </w:rPr>
              <w:t>氧气</w:t>
            </w:r>
          </w:p>
        </w:tc>
        <w:tc>
          <w:tcPr>
            <w:tcW w:w="1499" w:type="pct"/>
            <w:gridSpan w:val="2"/>
            <w:vAlign w:val="center"/>
          </w:tcPr>
          <w:p w14:paraId="25E20670">
            <w:pPr>
              <w:pStyle w:val="129"/>
              <w:widowControl w:val="0"/>
              <w:rPr>
                <w:color w:val="auto"/>
              </w:rPr>
            </w:pPr>
            <w:r>
              <w:rPr>
                <w:rFonts w:hint="eastAsia"/>
                <w:color w:val="auto"/>
              </w:rPr>
              <w:t>/</w:t>
            </w:r>
          </w:p>
        </w:tc>
        <w:tc>
          <w:tcPr>
            <w:tcW w:w="866" w:type="pct"/>
            <w:vAlign w:val="center"/>
          </w:tcPr>
          <w:p w14:paraId="6B1DC13D">
            <w:pPr>
              <w:pStyle w:val="129"/>
              <w:widowControl w:val="0"/>
              <w:rPr>
                <w:color w:val="auto"/>
              </w:rPr>
            </w:pPr>
            <w:r>
              <w:rPr>
                <w:rFonts w:hint="eastAsia"/>
                <w:color w:val="auto"/>
              </w:rPr>
              <w:t>异丁烷</w:t>
            </w:r>
          </w:p>
        </w:tc>
        <w:tc>
          <w:tcPr>
            <w:tcW w:w="1782" w:type="pct"/>
            <w:gridSpan w:val="2"/>
            <w:vAlign w:val="center"/>
          </w:tcPr>
          <w:p w14:paraId="6F8B3718">
            <w:pPr>
              <w:pStyle w:val="129"/>
              <w:widowControl w:val="0"/>
              <w:rPr>
                <w:color w:val="auto"/>
              </w:rPr>
            </w:pPr>
            <w:r>
              <w:rPr>
                <w:rFonts w:hint="eastAsia"/>
                <w:color w:val="auto"/>
              </w:rPr>
              <w:t>0.09</w:t>
            </w:r>
          </w:p>
        </w:tc>
      </w:tr>
      <w:tr w14:paraId="002B82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4B269CB0">
            <w:pPr>
              <w:pStyle w:val="129"/>
              <w:widowControl w:val="0"/>
              <w:rPr>
                <w:color w:val="auto"/>
              </w:rPr>
            </w:pPr>
            <w:r>
              <w:rPr>
                <w:rFonts w:hint="eastAsia"/>
                <w:color w:val="auto"/>
              </w:rPr>
              <w:t>氮气</w:t>
            </w:r>
          </w:p>
        </w:tc>
        <w:tc>
          <w:tcPr>
            <w:tcW w:w="1499" w:type="pct"/>
            <w:gridSpan w:val="2"/>
            <w:vAlign w:val="center"/>
          </w:tcPr>
          <w:p w14:paraId="2355F24B">
            <w:pPr>
              <w:pStyle w:val="129"/>
              <w:widowControl w:val="0"/>
              <w:rPr>
                <w:color w:val="auto"/>
              </w:rPr>
            </w:pPr>
            <w:r>
              <w:rPr>
                <w:rFonts w:hint="eastAsia"/>
                <w:color w:val="auto"/>
              </w:rPr>
              <w:t>0.38</w:t>
            </w:r>
          </w:p>
        </w:tc>
        <w:tc>
          <w:tcPr>
            <w:tcW w:w="866" w:type="pct"/>
            <w:vAlign w:val="center"/>
          </w:tcPr>
          <w:p w14:paraId="333CDF5E">
            <w:pPr>
              <w:pStyle w:val="129"/>
              <w:widowControl w:val="0"/>
              <w:rPr>
                <w:color w:val="auto"/>
              </w:rPr>
            </w:pPr>
            <w:r>
              <w:rPr>
                <w:rFonts w:hint="eastAsia"/>
                <w:color w:val="auto"/>
              </w:rPr>
              <w:t>正丁烷</w:t>
            </w:r>
          </w:p>
        </w:tc>
        <w:tc>
          <w:tcPr>
            <w:tcW w:w="1782" w:type="pct"/>
            <w:gridSpan w:val="2"/>
            <w:vAlign w:val="center"/>
          </w:tcPr>
          <w:p w14:paraId="4151F4DC">
            <w:pPr>
              <w:pStyle w:val="129"/>
              <w:widowControl w:val="0"/>
              <w:rPr>
                <w:color w:val="auto"/>
              </w:rPr>
            </w:pPr>
            <w:r>
              <w:rPr>
                <w:rFonts w:hint="eastAsia"/>
                <w:color w:val="auto"/>
              </w:rPr>
              <w:t>0.09</w:t>
            </w:r>
          </w:p>
        </w:tc>
      </w:tr>
      <w:tr w14:paraId="358881D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203475CA">
            <w:pPr>
              <w:pStyle w:val="129"/>
              <w:widowControl w:val="0"/>
              <w:rPr>
                <w:color w:val="auto"/>
              </w:rPr>
            </w:pPr>
            <w:r>
              <w:rPr>
                <w:rFonts w:hint="eastAsia"/>
                <w:color w:val="auto"/>
              </w:rPr>
              <w:t>二氧化碳</w:t>
            </w:r>
          </w:p>
        </w:tc>
        <w:tc>
          <w:tcPr>
            <w:tcW w:w="1499" w:type="pct"/>
            <w:gridSpan w:val="2"/>
            <w:vAlign w:val="center"/>
          </w:tcPr>
          <w:p w14:paraId="1797779D">
            <w:pPr>
              <w:pStyle w:val="129"/>
              <w:widowControl w:val="0"/>
              <w:rPr>
                <w:color w:val="auto"/>
              </w:rPr>
            </w:pPr>
            <w:r>
              <w:rPr>
                <w:rFonts w:hint="eastAsia"/>
                <w:color w:val="auto"/>
              </w:rPr>
              <w:t>0.72</w:t>
            </w:r>
          </w:p>
        </w:tc>
        <w:tc>
          <w:tcPr>
            <w:tcW w:w="866" w:type="pct"/>
            <w:vAlign w:val="center"/>
          </w:tcPr>
          <w:p w14:paraId="28D490DD">
            <w:pPr>
              <w:pStyle w:val="129"/>
              <w:widowControl w:val="0"/>
              <w:rPr>
                <w:color w:val="auto"/>
              </w:rPr>
            </w:pPr>
            <w:r>
              <w:rPr>
                <w:rFonts w:hint="eastAsia"/>
                <w:color w:val="auto"/>
              </w:rPr>
              <w:t>异戊烷</w:t>
            </w:r>
          </w:p>
        </w:tc>
        <w:tc>
          <w:tcPr>
            <w:tcW w:w="1782" w:type="pct"/>
            <w:gridSpan w:val="2"/>
            <w:vAlign w:val="center"/>
          </w:tcPr>
          <w:p w14:paraId="7DC6250E">
            <w:pPr>
              <w:pStyle w:val="129"/>
              <w:widowControl w:val="0"/>
              <w:rPr>
                <w:color w:val="auto"/>
              </w:rPr>
            </w:pPr>
            <w:r>
              <w:rPr>
                <w:rFonts w:hint="eastAsia"/>
                <w:color w:val="auto"/>
              </w:rPr>
              <w:t>0.03</w:t>
            </w:r>
          </w:p>
        </w:tc>
      </w:tr>
      <w:tr w14:paraId="12BC79D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50E93951">
            <w:pPr>
              <w:pStyle w:val="129"/>
              <w:widowControl w:val="0"/>
              <w:rPr>
                <w:color w:val="auto"/>
              </w:rPr>
            </w:pPr>
            <w:r>
              <w:rPr>
                <w:rFonts w:hint="eastAsia"/>
                <w:color w:val="auto"/>
              </w:rPr>
              <w:t>一氧化碳</w:t>
            </w:r>
          </w:p>
        </w:tc>
        <w:tc>
          <w:tcPr>
            <w:tcW w:w="1499" w:type="pct"/>
            <w:gridSpan w:val="2"/>
            <w:vAlign w:val="center"/>
          </w:tcPr>
          <w:p w14:paraId="1E48C513">
            <w:pPr>
              <w:pStyle w:val="129"/>
              <w:widowControl w:val="0"/>
              <w:rPr>
                <w:color w:val="auto"/>
              </w:rPr>
            </w:pPr>
            <w:r>
              <w:rPr>
                <w:rFonts w:hint="eastAsia"/>
                <w:color w:val="auto"/>
              </w:rPr>
              <w:t>/</w:t>
            </w:r>
          </w:p>
        </w:tc>
        <w:tc>
          <w:tcPr>
            <w:tcW w:w="866" w:type="pct"/>
            <w:vAlign w:val="center"/>
          </w:tcPr>
          <w:p w14:paraId="68BD2BE9">
            <w:pPr>
              <w:pStyle w:val="129"/>
              <w:widowControl w:val="0"/>
              <w:rPr>
                <w:color w:val="auto"/>
              </w:rPr>
            </w:pPr>
            <w:r>
              <w:rPr>
                <w:rFonts w:hint="eastAsia"/>
                <w:color w:val="auto"/>
              </w:rPr>
              <w:t>正戊烷</w:t>
            </w:r>
          </w:p>
        </w:tc>
        <w:tc>
          <w:tcPr>
            <w:tcW w:w="1782" w:type="pct"/>
            <w:gridSpan w:val="2"/>
            <w:vAlign w:val="center"/>
          </w:tcPr>
          <w:p w14:paraId="3C4A8AD2">
            <w:pPr>
              <w:pStyle w:val="129"/>
              <w:widowControl w:val="0"/>
              <w:rPr>
                <w:color w:val="auto"/>
              </w:rPr>
            </w:pPr>
            <w:r>
              <w:rPr>
                <w:rFonts w:hint="eastAsia"/>
                <w:color w:val="auto"/>
              </w:rPr>
              <w:t>0.02</w:t>
            </w:r>
          </w:p>
        </w:tc>
      </w:tr>
      <w:tr w14:paraId="68E5907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639A5DD4">
            <w:pPr>
              <w:pStyle w:val="129"/>
              <w:widowControl w:val="0"/>
              <w:rPr>
                <w:color w:val="auto"/>
              </w:rPr>
            </w:pPr>
            <w:r>
              <w:rPr>
                <w:rFonts w:hint="eastAsia"/>
                <w:color w:val="auto"/>
              </w:rPr>
              <w:t>甲烷</w:t>
            </w:r>
          </w:p>
        </w:tc>
        <w:tc>
          <w:tcPr>
            <w:tcW w:w="1499" w:type="pct"/>
            <w:gridSpan w:val="2"/>
            <w:vAlign w:val="center"/>
          </w:tcPr>
          <w:p w14:paraId="340E877A">
            <w:pPr>
              <w:pStyle w:val="129"/>
              <w:widowControl w:val="0"/>
              <w:rPr>
                <w:color w:val="auto"/>
              </w:rPr>
            </w:pPr>
            <w:r>
              <w:rPr>
                <w:rFonts w:hint="eastAsia"/>
                <w:color w:val="auto"/>
              </w:rPr>
              <w:t>94.66</w:t>
            </w:r>
          </w:p>
        </w:tc>
        <w:tc>
          <w:tcPr>
            <w:tcW w:w="866" w:type="pct"/>
            <w:vAlign w:val="center"/>
          </w:tcPr>
          <w:p w14:paraId="2C7017A8">
            <w:pPr>
              <w:pStyle w:val="129"/>
              <w:widowControl w:val="0"/>
              <w:rPr>
                <w:color w:val="auto"/>
              </w:rPr>
            </w:pPr>
            <w:r>
              <w:rPr>
                <w:rFonts w:hint="eastAsia"/>
                <w:color w:val="auto"/>
              </w:rPr>
              <w:t>己烷</w:t>
            </w:r>
          </w:p>
        </w:tc>
        <w:tc>
          <w:tcPr>
            <w:tcW w:w="1782" w:type="pct"/>
            <w:gridSpan w:val="2"/>
            <w:vAlign w:val="center"/>
          </w:tcPr>
          <w:p w14:paraId="634854AE">
            <w:pPr>
              <w:pStyle w:val="129"/>
              <w:widowControl w:val="0"/>
              <w:rPr>
                <w:color w:val="auto"/>
              </w:rPr>
            </w:pPr>
            <w:r>
              <w:rPr>
                <w:rFonts w:hint="eastAsia"/>
                <w:color w:val="auto"/>
              </w:rPr>
              <w:t>0.03</w:t>
            </w:r>
          </w:p>
        </w:tc>
      </w:tr>
      <w:tr w14:paraId="1C00ABD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49E33B35">
            <w:pPr>
              <w:pStyle w:val="129"/>
              <w:widowControl w:val="0"/>
              <w:rPr>
                <w:color w:val="auto"/>
              </w:rPr>
            </w:pPr>
            <w:r>
              <w:rPr>
                <w:rFonts w:hint="eastAsia"/>
                <w:color w:val="auto"/>
              </w:rPr>
              <w:t>乙烷</w:t>
            </w:r>
          </w:p>
        </w:tc>
        <w:tc>
          <w:tcPr>
            <w:tcW w:w="1499" w:type="pct"/>
            <w:gridSpan w:val="2"/>
            <w:vAlign w:val="center"/>
          </w:tcPr>
          <w:p w14:paraId="2D633945">
            <w:pPr>
              <w:pStyle w:val="129"/>
              <w:widowControl w:val="0"/>
              <w:rPr>
                <w:color w:val="auto"/>
              </w:rPr>
            </w:pPr>
            <w:r>
              <w:rPr>
                <w:rFonts w:hint="eastAsia"/>
                <w:color w:val="auto"/>
              </w:rPr>
              <w:t>3.30</w:t>
            </w:r>
          </w:p>
        </w:tc>
        <w:tc>
          <w:tcPr>
            <w:tcW w:w="866" w:type="pct"/>
            <w:vAlign w:val="center"/>
          </w:tcPr>
          <w:p w14:paraId="5298DDD0">
            <w:pPr>
              <w:pStyle w:val="129"/>
              <w:widowControl w:val="0"/>
              <w:rPr>
                <w:color w:val="auto"/>
              </w:rPr>
            </w:pPr>
            <w:r>
              <w:rPr>
                <w:rFonts w:hint="eastAsia"/>
                <w:color w:val="auto"/>
              </w:rPr>
              <w:t>庚烷</w:t>
            </w:r>
          </w:p>
        </w:tc>
        <w:tc>
          <w:tcPr>
            <w:tcW w:w="1782" w:type="pct"/>
            <w:gridSpan w:val="2"/>
            <w:vAlign w:val="center"/>
          </w:tcPr>
          <w:p w14:paraId="4D8254EB">
            <w:pPr>
              <w:pStyle w:val="129"/>
              <w:widowControl w:val="0"/>
              <w:rPr>
                <w:color w:val="auto"/>
              </w:rPr>
            </w:pPr>
            <w:r>
              <w:rPr>
                <w:rFonts w:hint="eastAsia"/>
                <w:color w:val="auto"/>
              </w:rPr>
              <w:t>0.01</w:t>
            </w:r>
          </w:p>
        </w:tc>
      </w:tr>
      <w:tr w14:paraId="40D0ADB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60CD233B">
            <w:pPr>
              <w:pStyle w:val="129"/>
              <w:widowControl w:val="0"/>
              <w:rPr>
                <w:color w:val="auto"/>
              </w:rPr>
            </w:pPr>
            <w:r>
              <w:rPr>
                <w:rFonts w:hint="eastAsia"/>
                <w:color w:val="auto"/>
              </w:rPr>
              <w:t>丙烷</w:t>
            </w:r>
          </w:p>
        </w:tc>
        <w:tc>
          <w:tcPr>
            <w:tcW w:w="1499" w:type="pct"/>
            <w:gridSpan w:val="2"/>
            <w:vAlign w:val="center"/>
          </w:tcPr>
          <w:p w14:paraId="38CD7D41">
            <w:pPr>
              <w:pStyle w:val="129"/>
              <w:widowControl w:val="0"/>
              <w:rPr>
                <w:color w:val="auto"/>
              </w:rPr>
            </w:pPr>
            <w:r>
              <w:rPr>
                <w:rFonts w:hint="eastAsia"/>
                <w:color w:val="auto"/>
              </w:rPr>
              <w:t>0.68</w:t>
            </w:r>
          </w:p>
        </w:tc>
        <w:tc>
          <w:tcPr>
            <w:tcW w:w="866" w:type="pct"/>
            <w:vAlign w:val="center"/>
          </w:tcPr>
          <w:p w14:paraId="3E4AF2E4">
            <w:pPr>
              <w:pStyle w:val="129"/>
              <w:widowControl w:val="0"/>
              <w:rPr>
                <w:color w:val="auto"/>
              </w:rPr>
            </w:pPr>
            <w:r>
              <w:rPr>
                <w:rFonts w:hint="eastAsia"/>
                <w:color w:val="auto"/>
              </w:rPr>
              <w:t>辛烷</w:t>
            </w:r>
          </w:p>
        </w:tc>
        <w:tc>
          <w:tcPr>
            <w:tcW w:w="1782" w:type="pct"/>
            <w:gridSpan w:val="2"/>
            <w:vAlign w:val="center"/>
          </w:tcPr>
          <w:p w14:paraId="5C54EB38">
            <w:pPr>
              <w:pStyle w:val="129"/>
              <w:widowControl w:val="0"/>
              <w:rPr>
                <w:color w:val="auto"/>
              </w:rPr>
            </w:pPr>
            <w:r>
              <w:rPr>
                <w:rFonts w:hint="eastAsia"/>
                <w:color w:val="auto"/>
              </w:rPr>
              <w:t>/</w:t>
            </w:r>
          </w:p>
        </w:tc>
      </w:tr>
      <w:tr w14:paraId="7696DB4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20A6292B">
            <w:pPr>
              <w:pStyle w:val="129"/>
              <w:widowControl w:val="0"/>
              <w:rPr>
                <w:color w:val="auto"/>
              </w:rPr>
            </w:pPr>
            <w:r>
              <w:rPr>
                <w:rFonts w:hint="eastAsia"/>
                <w:color w:val="auto"/>
              </w:rPr>
              <w:t>相对密度</w:t>
            </w:r>
          </w:p>
        </w:tc>
        <w:tc>
          <w:tcPr>
            <w:tcW w:w="601" w:type="pct"/>
            <w:vAlign w:val="center"/>
          </w:tcPr>
          <w:p w14:paraId="2186139D">
            <w:pPr>
              <w:pStyle w:val="129"/>
              <w:widowControl w:val="0"/>
              <w:rPr>
                <w:color w:val="auto"/>
              </w:rPr>
            </w:pPr>
            <w:r>
              <w:rPr>
                <w:rFonts w:hint="eastAsia"/>
                <w:color w:val="auto"/>
              </w:rPr>
              <w:t>0.5904</w:t>
            </w:r>
          </w:p>
        </w:tc>
        <w:tc>
          <w:tcPr>
            <w:tcW w:w="898" w:type="pct"/>
            <w:vAlign w:val="center"/>
          </w:tcPr>
          <w:p w14:paraId="2FAB4255">
            <w:pPr>
              <w:pStyle w:val="129"/>
              <w:widowControl w:val="0"/>
              <w:rPr>
                <w:color w:val="auto"/>
              </w:rPr>
            </w:pPr>
            <w:r>
              <w:rPr>
                <w:rFonts w:hint="eastAsia"/>
                <w:color w:val="auto"/>
              </w:rPr>
              <w:t>高位发热量MJ/m</w:t>
            </w:r>
            <w:r>
              <w:rPr>
                <w:rFonts w:hint="eastAsia"/>
                <w:color w:val="auto"/>
                <w:vertAlign w:val="superscript"/>
              </w:rPr>
              <w:t>3</w:t>
            </w:r>
          </w:p>
        </w:tc>
        <w:tc>
          <w:tcPr>
            <w:tcW w:w="866" w:type="pct"/>
            <w:vAlign w:val="center"/>
          </w:tcPr>
          <w:p w14:paraId="581C779E">
            <w:pPr>
              <w:pStyle w:val="129"/>
              <w:widowControl w:val="0"/>
              <w:rPr>
                <w:color w:val="auto"/>
              </w:rPr>
            </w:pPr>
            <w:r>
              <w:rPr>
                <w:rFonts w:hint="eastAsia"/>
                <w:color w:val="auto"/>
              </w:rPr>
              <w:t>38.26</w:t>
            </w:r>
          </w:p>
        </w:tc>
        <w:tc>
          <w:tcPr>
            <w:tcW w:w="899" w:type="pct"/>
            <w:vAlign w:val="center"/>
          </w:tcPr>
          <w:p w14:paraId="5725BFD7">
            <w:pPr>
              <w:pStyle w:val="129"/>
              <w:widowControl w:val="0"/>
              <w:rPr>
                <w:color w:val="auto"/>
              </w:rPr>
            </w:pPr>
            <w:r>
              <w:rPr>
                <w:rFonts w:hint="eastAsia"/>
                <w:color w:val="auto"/>
              </w:rPr>
              <w:t>低位发热量MJ/m</w:t>
            </w:r>
            <w:r>
              <w:rPr>
                <w:rFonts w:hint="eastAsia"/>
                <w:color w:val="auto"/>
                <w:vertAlign w:val="superscript"/>
              </w:rPr>
              <w:t>3</w:t>
            </w:r>
          </w:p>
        </w:tc>
        <w:tc>
          <w:tcPr>
            <w:tcW w:w="883" w:type="pct"/>
            <w:vAlign w:val="center"/>
          </w:tcPr>
          <w:p w14:paraId="5E3D73F8">
            <w:pPr>
              <w:pStyle w:val="129"/>
              <w:widowControl w:val="0"/>
              <w:rPr>
                <w:color w:val="auto"/>
              </w:rPr>
            </w:pPr>
            <w:r>
              <w:rPr>
                <w:rFonts w:hint="eastAsia"/>
                <w:color w:val="auto"/>
              </w:rPr>
              <w:t>34.52</w:t>
            </w:r>
          </w:p>
        </w:tc>
      </w:tr>
      <w:tr w14:paraId="46C7D53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1466A84E">
            <w:pPr>
              <w:pStyle w:val="129"/>
              <w:widowControl w:val="0"/>
              <w:rPr>
                <w:color w:val="auto"/>
              </w:rPr>
            </w:pPr>
            <w:r>
              <w:rPr>
                <w:rFonts w:hint="eastAsia"/>
                <w:color w:val="auto"/>
              </w:rPr>
              <w:t>水露点℃</w:t>
            </w:r>
          </w:p>
        </w:tc>
        <w:tc>
          <w:tcPr>
            <w:tcW w:w="601" w:type="pct"/>
            <w:vAlign w:val="center"/>
          </w:tcPr>
          <w:p w14:paraId="415381B1">
            <w:pPr>
              <w:pStyle w:val="129"/>
              <w:widowControl w:val="0"/>
              <w:rPr>
                <w:color w:val="auto"/>
              </w:rPr>
            </w:pPr>
            <w:r>
              <w:rPr>
                <w:rFonts w:hint="eastAsia"/>
                <w:color w:val="auto"/>
              </w:rPr>
              <w:t>10.4</w:t>
            </w:r>
          </w:p>
        </w:tc>
        <w:tc>
          <w:tcPr>
            <w:tcW w:w="898" w:type="pct"/>
            <w:vAlign w:val="center"/>
          </w:tcPr>
          <w:p w14:paraId="3BA33679">
            <w:pPr>
              <w:pStyle w:val="129"/>
              <w:widowControl w:val="0"/>
              <w:rPr>
                <w:color w:val="auto"/>
              </w:rPr>
            </w:pPr>
            <w:r>
              <w:rPr>
                <w:rFonts w:hint="eastAsia"/>
                <w:color w:val="auto"/>
              </w:rPr>
              <w:t>水露点压力MPa</w:t>
            </w:r>
          </w:p>
        </w:tc>
        <w:tc>
          <w:tcPr>
            <w:tcW w:w="866" w:type="pct"/>
            <w:vAlign w:val="center"/>
          </w:tcPr>
          <w:p w14:paraId="7F6D8B42">
            <w:pPr>
              <w:pStyle w:val="129"/>
              <w:widowControl w:val="0"/>
              <w:rPr>
                <w:color w:val="auto"/>
              </w:rPr>
            </w:pPr>
            <w:r>
              <w:rPr>
                <w:rFonts w:hint="eastAsia"/>
                <w:color w:val="auto"/>
              </w:rPr>
              <w:t>1.20</w:t>
            </w:r>
          </w:p>
        </w:tc>
        <w:tc>
          <w:tcPr>
            <w:tcW w:w="899" w:type="pct"/>
            <w:vAlign w:val="center"/>
          </w:tcPr>
          <w:p w14:paraId="288451DF">
            <w:pPr>
              <w:pStyle w:val="129"/>
              <w:widowControl w:val="0"/>
              <w:rPr>
                <w:color w:val="auto"/>
              </w:rPr>
            </w:pPr>
            <w:r>
              <w:rPr>
                <w:rFonts w:hint="eastAsia"/>
                <w:color w:val="auto"/>
              </w:rPr>
              <w:t>水露点分析日期</w:t>
            </w:r>
          </w:p>
        </w:tc>
        <w:tc>
          <w:tcPr>
            <w:tcW w:w="883" w:type="pct"/>
            <w:vAlign w:val="center"/>
          </w:tcPr>
          <w:p w14:paraId="7745AB41">
            <w:pPr>
              <w:pStyle w:val="129"/>
              <w:widowControl w:val="0"/>
              <w:rPr>
                <w:color w:val="auto"/>
              </w:rPr>
            </w:pPr>
            <w:r>
              <w:rPr>
                <w:rFonts w:hint="eastAsia"/>
                <w:color w:val="auto"/>
              </w:rPr>
              <w:t>2025-05-13</w:t>
            </w:r>
          </w:p>
        </w:tc>
      </w:tr>
      <w:tr w14:paraId="2B10FB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7B4CBCCE">
            <w:pPr>
              <w:pStyle w:val="129"/>
              <w:widowControl w:val="0"/>
              <w:rPr>
                <w:color w:val="auto"/>
              </w:rPr>
            </w:pPr>
            <w:r>
              <w:rPr>
                <w:rFonts w:hint="eastAsia"/>
                <w:color w:val="auto"/>
              </w:rPr>
              <w:t>H</w:t>
            </w:r>
            <w:r>
              <w:rPr>
                <w:rFonts w:hint="eastAsia"/>
                <w:color w:val="auto"/>
                <w:vertAlign w:val="subscript"/>
              </w:rPr>
              <w:t>2</w:t>
            </w:r>
            <w:r>
              <w:rPr>
                <w:rFonts w:hint="eastAsia"/>
                <w:color w:val="auto"/>
              </w:rPr>
              <w:t>S  mg/m</w:t>
            </w:r>
            <w:r>
              <w:rPr>
                <w:rFonts w:hint="eastAsia"/>
                <w:color w:val="auto"/>
                <w:vertAlign w:val="superscript"/>
              </w:rPr>
              <w:t>3</w:t>
            </w:r>
          </w:p>
        </w:tc>
        <w:tc>
          <w:tcPr>
            <w:tcW w:w="1499" w:type="pct"/>
            <w:gridSpan w:val="2"/>
            <w:vAlign w:val="center"/>
          </w:tcPr>
          <w:p w14:paraId="49F432C1">
            <w:pPr>
              <w:pStyle w:val="129"/>
              <w:widowControl w:val="0"/>
              <w:rPr>
                <w:color w:val="auto"/>
              </w:rPr>
            </w:pPr>
            <w:r>
              <w:rPr>
                <w:rFonts w:hint="eastAsia"/>
                <w:color w:val="auto"/>
              </w:rPr>
              <w:t>0.46</w:t>
            </w:r>
          </w:p>
        </w:tc>
        <w:tc>
          <w:tcPr>
            <w:tcW w:w="866" w:type="pct"/>
            <w:vAlign w:val="center"/>
          </w:tcPr>
          <w:p w14:paraId="384C0322">
            <w:pPr>
              <w:pStyle w:val="129"/>
              <w:widowControl w:val="0"/>
              <w:rPr>
                <w:color w:val="auto"/>
              </w:rPr>
            </w:pPr>
            <w:r>
              <w:rPr>
                <w:rFonts w:hint="eastAsia"/>
                <w:color w:val="auto"/>
              </w:rPr>
              <w:t>H</w:t>
            </w:r>
            <w:r>
              <w:rPr>
                <w:rFonts w:hint="eastAsia"/>
                <w:color w:val="auto"/>
                <w:vertAlign w:val="subscript"/>
              </w:rPr>
              <w:t>2</w:t>
            </w:r>
            <w:r>
              <w:rPr>
                <w:rFonts w:hint="eastAsia"/>
                <w:color w:val="auto"/>
              </w:rPr>
              <w:t>S分析日期</w:t>
            </w:r>
          </w:p>
        </w:tc>
        <w:tc>
          <w:tcPr>
            <w:tcW w:w="1782" w:type="pct"/>
            <w:gridSpan w:val="2"/>
            <w:vAlign w:val="center"/>
          </w:tcPr>
          <w:p w14:paraId="57211434">
            <w:pPr>
              <w:pStyle w:val="129"/>
              <w:widowControl w:val="0"/>
              <w:rPr>
                <w:color w:val="auto"/>
              </w:rPr>
            </w:pPr>
            <w:r>
              <w:rPr>
                <w:rFonts w:hint="eastAsia"/>
                <w:color w:val="auto"/>
              </w:rPr>
              <w:t>2025-05-13</w:t>
            </w:r>
          </w:p>
        </w:tc>
      </w:tr>
      <w:tr w14:paraId="04E414B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3" w:type="pct"/>
            <w:vAlign w:val="center"/>
          </w:tcPr>
          <w:p w14:paraId="458BBF46">
            <w:pPr>
              <w:pStyle w:val="129"/>
              <w:widowControl w:val="0"/>
              <w:rPr>
                <w:color w:val="auto"/>
              </w:rPr>
            </w:pPr>
            <w:r>
              <w:rPr>
                <w:rFonts w:hint="eastAsia"/>
                <w:color w:val="auto"/>
              </w:rPr>
              <w:t>总硫（以硫计）mg/m</w:t>
            </w:r>
            <w:r>
              <w:rPr>
                <w:rFonts w:hint="eastAsia"/>
                <w:color w:val="auto"/>
                <w:vertAlign w:val="superscript"/>
              </w:rPr>
              <w:t>3</w:t>
            </w:r>
          </w:p>
        </w:tc>
        <w:tc>
          <w:tcPr>
            <w:tcW w:w="1499" w:type="pct"/>
            <w:gridSpan w:val="2"/>
            <w:vAlign w:val="center"/>
          </w:tcPr>
          <w:p w14:paraId="1D35BF5E">
            <w:pPr>
              <w:pStyle w:val="129"/>
              <w:widowControl w:val="0"/>
              <w:rPr>
                <w:color w:val="auto"/>
              </w:rPr>
            </w:pPr>
            <w:r>
              <w:rPr>
                <w:rFonts w:hint="eastAsia"/>
                <w:color w:val="auto"/>
              </w:rPr>
              <w:t>12.4</w:t>
            </w:r>
          </w:p>
        </w:tc>
        <w:tc>
          <w:tcPr>
            <w:tcW w:w="866" w:type="pct"/>
            <w:vAlign w:val="center"/>
          </w:tcPr>
          <w:p w14:paraId="31FB31F2">
            <w:pPr>
              <w:pStyle w:val="129"/>
              <w:widowControl w:val="0"/>
              <w:rPr>
                <w:color w:val="auto"/>
              </w:rPr>
            </w:pPr>
            <w:r>
              <w:rPr>
                <w:rFonts w:hint="eastAsia"/>
                <w:color w:val="auto"/>
              </w:rPr>
              <w:t>总硫分析日期</w:t>
            </w:r>
          </w:p>
        </w:tc>
        <w:tc>
          <w:tcPr>
            <w:tcW w:w="1782" w:type="pct"/>
            <w:gridSpan w:val="2"/>
            <w:vAlign w:val="center"/>
          </w:tcPr>
          <w:p w14:paraId="0CB7DE9E">
            <w:pPr>
              <w:pStyle w:val="129"/>
              <w:widowControl w:val="0"/>
              <w:rPr>
                <w:color w:val="auto"/>
              </w:rPr>
            </w:pPr>
            <w:r>
              <w:rPr>
                <w:rFonts w:hint="eastAsia"/>
                <w:color w:val="auto"/>
              </w:rPr>
              <w:t>2025-05-15</w:t>
            </w:r>
          </w:p>
        </w:tc>
      </w:tr>
      <w:tr w14:paraId="37F3D88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6"/>
            <w:vAlign w:val="center"/>
          </w:tcPr>
          <w:p w14:paraId="3CFC591F">
            <w:pPr>
              <w:pStyle w:val="129"/>
              <w:widowControl w:val="0"/>
              <w:rPr>
                <w:color w:val="auto"/>
              </w:rPr>
            </w:pPr>
            <w:r>
              <w:rPr>
                <w:rFonts w:hint="eastAsia"/>
                <w:color w:val="auto"/>
              </w:rPr>
              <w:t>上述相对密度、高位发热量、H</w:t>
            </w:r>
            <w:r>
              <w:rPr>
                <w:rFonts w:hint="eastAsia"/>
                <w:color w:val="auto"/>
                <w:vertAlign w:val="subscript"/>
              </w:rPr>
              <w:t>2</w:t>
            </w:r>
            <w:r>
              <w:rPr>
                <w:rFonts w:hint="eastAsia"/>
                <w:color w:val="auto"/>
              </w:rPr>
              <w:t>S、总硫的结果均为20℃，101.325kPa条件下的值。</w:t>
            </w:r>
          </w:p>
        </w:tc>
      </w:tr>
    </w:tbl>
    <w:p w14:paraId="20C6537D">
      <w:pPr>
        <w:pStyle w:val="1304"/>
        <w:rPr>
          <w:color w:val="auto"/>
          <w:lang w:bidi="en-US"/>
        </w:rPr>
      </w:pPr>
    </w:p>
    <w:p w14:paraId="737DAED6">
      <w:pPr>
        <w:pStyle w:val="5"/>
        <w:rPr>
          <w:color w:val="auto"/>
          <w:lang w:bidi="en-US"/>
        </w:rPr>
      </w:pPr>
      <w:r>
        <w:rPr>
          <w:rFonts w:hint="eastAsia"/>
          <w:color w:val="auto"/>
          <w:lang w:bidi="en-US"/>
        </w:rPr>
        <w:t>主要理化性质</w:t>
      </w:r>
    </w:p>
    <w:p w14:paraId="37A92C12">
      <w:pPr>
        <w:pStyle w:val="132"/>
        <w:rPr>
          <w:color w:val="auto"/>
          <w:lang w:bidi="en-US"/>
        </w:rPr>
      </w:pPr>
      <w:r>
        <w:rPr>
          <w:rFonts w:hint="eastAsia"/>
          <w:color w:val="auto"/>
          <w:lang w:bidi="en-US"/>
        </w:rPr>
        <w:t xml:space="preserve">项目涉及的主要化学品理化性质见表3.2-9。 </w:t>
      </w:r>
    </w:p>
    <w:p w14:paraId="700C90C4">
      <w:pPr>
        <w:pStyle w:val="1304"/>
        <w:rPr>
          <w:color w:val="auto"/>
          <w:lang w:bidi="en-US"/>
        </w:rPr>
      </w:pPr>
    </w:p>
    <w:p w14:paraId="2D1AB46D">
      <w:pPr>
        <w:pStyle w:val="1304"/>
        <w:rPr>
          <w:color w:val="auto"/>
          <w:lang w:bidi="en-US"/>
        </w:rPr>
        <w:sectPr>
          <w:type w:val="continuous"/>
          <w:pgSz w:w="11906" w:h="16838"/>
          <w:pgMar w:top="1440" w:right="1588" w:bottom="1389" w:left="1588" w:header="737" w:footer="822" w:gutter="0"/>
          <w:cols w:space="425" w:num="1"/>
          <w:docGrid w:type="lines" w:linePitch="312" w:charSpace="0"/>
        </w:sectPr>
      </w:pPr>
    </w:p>
    <w:p w14:paraId="748891EF">
      <w:pPr>
        <w:pStyle w:val="1060"/>
        <w:rPr>
          <w:color w:val="auto"/>
          <w:lang w:bidi="en-US"/>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rFonts w:hint="eastAsia"/>
          <w:color w:val="auto"/>
          <w:lang w:val="en-US" w:eastAsia="zh-CN"/>
        </w:rPr>
        <w:t>9</w:t>
      </w:r>
      <w:r>
        <w:rPr>
          <w:rFonts w:hint="eastAsia"/>
          <w:color w:val="auto"/>
          <w:lang w:bidi="en-US"/>
        </w:rPr>
        <w:t xml:space="preserve">  主要物料理化性质表</w:t>
      </w:r>
    </w:p>
    <w:tbl>
      <w:tblPr>
        <w:tblStyle w:val="1937"/>
        <w:tblW w:w="4996"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358"/>
        <w:gridCol w:w="730"/>
        <w:gridCol w:w="550"/>
        <w:gridCol w:w="820"/>
        <w:gridCol w:w="548"/>
        <w:gridCol w:w="2284"/>
        <w:gridCol w:w="3489"/>
      </w:tblGrid>
      <w:tr w14:paraId="552D8A3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365383F2">
            <w:pPr>
              <w:widowControl w:val="0"/>
              <w:spacing w:line="360" w:lineRule="exact"/>
              <w:jc w:val="center"/>
              <w:rPr>
                <w:rFonts w:cs="宋体"/>
                <w:color w:val="auto"/>
                <w:szCs w:val="21"/>
              </w:rPr>
            </w:pPr>
            <w:r>
              <w:rPr>
                <w:rFonts w:hint="eastAsia" w:cs="宋体"/>
                <w:color w:val="auto"/>
                <w:kern w:val="2"/>
                <w:sz w:val="21"/>
                <w:szCs w:val="21"/>
              </w:rPr>
              <w:t>序号</w:t>
            </w:r>
          </w:p>
        </w:tc>
        <w:tc>
          <w:tcPr>
            <w:tcW w:w="416" w:type="pct"/>
            <w:vAlign w:val="center"/>
          </w:tcPr>
          <w:p w14:paraId="3CF9BA26">
            <w:pPr>
              <w:widowControl w:val="0"/>
              <w:spacing w:line="360" w:lineRule="exact"/>
              <w:jc w:val="center"/>
              <w:rPr>
                <w:rFonts w:cs="宋体"/>
                <w:color w:val="auto"/>
                <w:szCs w:val="21"/>
              </w:rPr>
            </w:pPr>
            <w:r>
              <w:rPr>
                <w:rFonts w:hint="eastAsia" w:cs="宋体"/>
                <w:color w:val="auto"/>
                <w:kern w:val="2"/>
                <w:sz w:val="21"/>
                <w:szCs w:val="21"/>
              </w:rPr>
              <w:t>危险物质</w:t>
            </w:r>
          </w:p>
        </w:tc>
        <w:tc>
          <w:tcPr>
            <w:tcW w:w="313" w:type="pct"/>
            <w:vAlign w:val="center"/>
          </w:tcPr>
          <w:p w14:paraId="53671879">
            <w:pPr>
              <w:widowControl w:val="0"/>
              <w:spacing w:line="360" w:lineRule="exact"/>
              <w:jc w:val="center"/>
              <w:rPr>
                <w:rFonts w:cs="宋体"/>
                <w:color w:val="auto"/>
                <w:szCs w:val="21"/>
              </w:rPr>
            </w:pPr>
            <w:r>
              <w:rPr>
                <w:rFonts w:hint="eastAsia" w:cs="宋体"/>
                <w:color w:val="auto"/>
                <w:kern w:val="2"/>
                <w:sz w:val="21"/>
                <w:szCs w:val="21"/>
              </w:rPr>
              <w:t>相态</w:t>
            </w:r>
          </w:p>
        </w:tc>
        <w:tc>
          <w:tcPr>
            <w:tcW w:w="467" w:type="pct"/>
            <w:vAlign w:val="center"/>
          </w:tcPr>
          <w:p w14:paraId="3522BD8A">
            <w:pPr>
              <w:widowControl w:val="0"/>
              <w:spacing w:line="360" w:lineRule="exact"/>
              <w:jc w:val="center"/>
              <w:rPr>
                <w:rFonts w:cs="宋体"/>
                <w:color w:val="auto"/>
                <w:szCs w:val="21"/>
              </w:rPr>
            </w:pPr>
            <w:r>
              <w:rPr>
                <w:rFonts w:hint="eastAsia" w:cs="宋体"/>
                <w:color w:val="auto"/>
                <w:kern w:val="2"/>
                <w:sz w:val="21"/>
                <w:szCs w:val="21"/>
              </w:rPr>
              <w:t>水溶解性</w:t>
            </w:r>
          </w:p>
        </w:tc>
        <w:tc>
          <w:tcPr>
            <w:tcW w:w="312" w:type="pct"/>
            <w:vAlign w:val="center"/>
          </w:tcPr>
          <w:p w14:paraId="10CE19F9">
            <w:pPr>
              <w:widowControl w:val="0"/>
              <w:spacing w:line="360" w:lineRule="exact"/>
              <w:jc w:val="center"/>
              <w:rPr>
                <w:rFonts w:cs="宋体"/>
                <w:color w:val="auto"/>
                <w:szCs w:val="21"/>
              </w:rPr>
            </w:pPr>
            <w:r>
              <w:rPr>
                <w:rFonts w:hint="eastAsia" w:cs="宋体"/>
                <w:color w:val="auto"/>
                <w:kern w:val="2"/>
                <w:sz w:val="21"/>
                <w:szCs w:val="21"/>
              </w:rPr>
              <w:t>毒理性</w:t>
            </w:r>
          </w:p>
        </w:tc>
        <w:tc>
          <w:tcPr>
            <w:tcW w:w="1301" w:type="pct"/>
            <w:vAlign w:val="center"/>
          </w:tcPr>
          <w:p w14:paraId="4DC719D5">
            <w:pPr>
              <w:widowControl w:val="0"/>
              <w:spacing w:line="360" w:lineRule="exact"/>
              <w:jc w:val="center"/>
              <w:rPr>
                <w:rFonts w:cs="宋体"/>
                <w:color w:val="auto"/>
                <w:szCs w:val="21"/>
              </w:rPr>
            </w:pPr>
            <w:r>
              <w:rPr>
                <w:rFonts w:hint="eastAsia" w:cs="宋体"/>
                <w:color w:val="auto"/>
                <w:kern w:val="2"/>
                <w:sz w:val="21"/>
                <w:szCs w:val="21"/>
              </w:rPr>
              <w:t>危险特性</w:t>
            </w:r>
          </w:p>
        </w:tc>
        <w:tc>
          <w:tcPr>
            <w:tcW w:w="1987" w:type="pct"/>
            <w:vAlign w:val="center"/>
          </w:tcPr>
          <w:p w14:paraId="6A36D8F1">
            <w:pPr>
              <w:widowControl w:val="0"/>
              <w:spacing w:line="360" w:lineRule="exact"/>
              <w:jc w:val="center"/>
              <w:rPr>
                <w:rFonts w:cs="宋体"/>
                <w:color w:val="auto"/>
                <w:szCs w:val="21"/>
              </w:rPr>
            </w:pPr>
            <w:r>
              <w:rPr>
                <w:rFonts w:hint="eastAsia" w:cs="宋体"/>
                <w:color w:val="auto"/>
                <w:kern w:val="2"/>
                <w:sz w:val="21"/>
                <w:szCs w:val="21"/>
              </w:rPr>
              <w:t>理化性质</w:t>
            </w:r>
          </w:p>
        </w:tc>
      </w:tr>
      <w:tr w14:paraId="3D4A6D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4F1C32B3">
            <w:pPr>
              <w:widowControl w:val="0"/>
              <w:tabs>
                <w:tab w:val="left" w:pos="630"/>
              </w:tabs>
              <w:spacing w:line="360" w:lineRule="exact"/>
              <w:jc w:val="center"/>
              <w:rPr>
                <w:rFonts w:cs="宋体"/>
                <w:color w:val="auto"/>
                <w:szCs w:val="21"/>
              </w:rPr>
            </w:pPr>
            <w:r>
              <w:rPr>
                <w:rFonts w:hint="eastAsia" w:cs="宋体"/>
                <w:color w:val="auto"/>
                <w:szCs w:val="21"/>
              </w:rPr>
              <w:t>1</w:t>
            </w:r>
          </w:p>
        </w:tc>
        <w:tc>
          <w:tcPr>
            <w:tcW w:w="416" w:type="pct"/>
            <w:vAlign w:val="center"/>
          </w:tcPr>
          <w:p w14:paraId="07D1EB40">
            <w:pPr>
              <w:widowControl w:val="0"/>
              <w:spacing w:line="360" w:lineRule="exact"/>
              <w:jc w:val="center"/>
              <w:rPr>
                <w:rFonts w:cs="宋体"/>
                <w:color w:val="auto"/>
                <w:szCs w:val="21"/>
              </w:rPr>
            </w:pPr>
            <w:r>
              <w:rPr>
                <w:rFonts w:hint="eastAsia" w:cs="宋体"/>
                <w:color w:val="auto"/>
                <w:kern w:val="2"/>
                <w:sz w:val="21"/>
                <w:szCs w:val="21"/>
              </w:rPr>
              <w:t>硫酸铵</w:t>
            </w:r>
          </w:p>
        </w:tc>
        <w:tc>
          <w:tcPr>
            <w:tcW w:w="313" w:type="pct"/>
            <w:vAlign w:val="center"/>
          </w:tcPr>
          <w:p w14:paraId="1B3AB125">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35AAA971">
            <w:pPr>
              <w:widowControl w:val="0"/>
              <w:spacing w:line="360" w:lineRule="exact"/>
              <w:jc w:val="center"/>
              <w:rPr>
                <w:rFonts w:cs="宋体"/>
                <w:color w:val="auto"/>
                <w:szCs w:val="21"/>
              </w:rPr>
            </w:pPr>
            <w:r>
              <w:rPr>
                <w:rFonts w:hint="eastAsia" w:cs="宋体"/>
                <w:color w:val="auto"/>
                <w:kern w:val="2"/>
                <w:sz w:val="21"/>
                <w:szCs w:val="21"/>
              </w:rPr>
              <w:t>易溶于水、不溶于乙醇、丙酮</w:t>
            </w:r>
          </w:p>
        </w:tc>
        <w:tc>
          <w:tcPr>
            <w:tcW w:w="312" w:type="pct"/>
            <w:vAlign w:val="center"/>
          </w:tcPr>
          <w:p w14:paraId="6F331516">
            <w:pPr>
              <w:widowControl w:val="0"/>
              <w:spacing w:line="360" w:lineRule="exact"/>
              <w:jc w:val="center"/>
              <w:rPr>
                <w:rFonts w:cs="宋体"/>
                <w:color w:val="auto"/>
                <w:szCs w:val="21"/>
              </w:rPr>
            </w:pPr>
            <w:r>
              <w:rPr>
                <w:rFonts w:hint="eastAsia" w:cs="宋体"/>
                <w:color w:val="auto"/>
                <w:kern w:val="2"/>
                <w:sz w:val="21"/>
                <w:szCs w:val="21"/>
              </w:rPr>
              <w:t>低毒</w:t>
            </w:r>
          </w:p>
        </w:tc>
        <w:tc>
          <w:tcPr>
            <w:tcW w:w="1301" w:type="pct"/>
            <w:vAlign w:val="center"/>
          </w:tcPr>
          <w:p w14:paraId="15BCE04F">
            <w:pPr>
              <w:widowControl w:val="0"/>
              <w:spacing w:line="360" w:lineRule="exact"/>
              <w:jc w:val="center"/>
              <w:rPr>
                <w:rFonts w:cs="宋体"/>
                <w:color w:val="auto"/>
                <w:szCs w:val="21"/>
              </w:rPr>
            </w:pPr>
          </w:p>
        </w:tc>
        <w:tc>
          <w:tcPr>
            <w:tcW w:w="1987" w:type="pct"/>
            <w:vAlign w:val="center"/>
          </w:tcPr>
          <w:p w14:paraId="09F5FF29">
            <w:pPr>
              <w:widowControl w:val="0"/>
              <w:spacing w:line="360" w:lineRule="exact"/>
              <w:jc w:val="center"/>
              <w:rPr>
                <w:rFonts w:cs="宋体"/>
                <w:color w:val="auto"/>
                <w:szCs w:val="21"/>
              </w:rPr>
            </w:pPr>
            <w:r>
              <w:rPr>
                <w:rFonts w:hint="eastAsia" w:cs="宋体"/>
                <w:color w:val="auto"/>
                <w:kern w:val="2"/>
                <w:sz w:val="21"/>
                <w:szCs w:val="21"/>
              </w:rPr>
              <w:t>无色或白色结晶颗粒或粉末；无臭；密度：1.77 g/cm³；溶解性：易溶于水，不溶于乙醇、丙酮，水溶液呈酸性；沸点：约235℃（分解）。</w:t>
            </w:r>
          </w:p>
        </w:tc>
      </w:tr>
      <w:tr w14:paraId="6B9973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6B637497">
            <w:pPr>
              <w:widowControl w:val="0"/>
              <w:tabs>
                <w:tab w:val="left" w:pos="630"/>
              </w:tabs>
              <w:spacing w:line="360" w:lineRule="exact"/>
              <w:jc w:val="center"/>
              <w:rPr>
                <w:rFonts w:cs="宋体"/>
                <w:color w:val="auto"/>
                <w:szCs w:val="21"/>
              </w:rPr>
            </w:pPr>
            <w:r>
              <w:rPr>
                <w:rFonts w:hint="eastAsia" w:cs="宋体"/>
                <w:color w:val="auto"/>
                <w:szCs w:val="21"/>
              </w:rPr>
              <w:t>2</w:t>
            </w:r>
          </w:p>
        </w:tc>
        <w:tc>
          <w:tcPr>
            <w:tcW w:w="416" w:type="pct"/>
            <w:vAlign w:val="center"/>
          </w:tcPr>
          <w:p w14:paraId="617CAF40">
            <w:pPr>
              <w:widowControl w:val="0"/>
              <w:spacing w:line="360" w:lineRule="exact"/>
              <w:jc w:val="center"/>
              <w:rPr>
                <w:rFonts w:cs="宋体"/>
                <w:color w:val="auto"/>
                <w:szCs w:val="21"/>
              </w:rPr>
            </w:pPr>
            <w:r>
              <w:rPr>
                <w:rFonts w:hint="eastAsia" w:cs="宋体"/>
                <w:color w:val="auto"/>
                <w:kern w:val="2"/>
                <w:sz w:val="21"/>
                <w:szCs w:val="21"/>
              </w:rPr>
              <w:t>氯化铵</w:t>
            </w:r>
          </w:p>
        </w:tc>
        <w:tc>
          <w:tcPr>
            <w:tcW w:w="313" w:type="pct"/>
            <w:vAlign w:val="center"/>
          </w:tcPr>
          <w:p w14:paraId="075C27C2">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756DFA77">
            <w:pPr>
              <w:widowControl w:val="0"/>
              <w:spacing w:line="360" w:lineRule="exact"/>
              <w:jc w:val="center"/>
              <w:rPr>
                <w:rFonts w:cs="宋体"/>
                <w:color w:val="auto"/>
                <w:szCs w:val="21"/>
              </w:rPr>
            </w:pPr>
            <w:r>
              <w:rPr>
                <w:rFonts w:hint="eastAsia" w:cs="宋体"/>
                <w:color w:val="auto"/>
                <w:kern w:val="2"/>
                <w:sz w:val="21"/>
                <w:szCs w:val="21"/>
              </w:rPr>
              <w:t>易溶于水、甘油，微溶于乙醇</w:t>
            </w:r>
          </w:p>
        </w:tc>
        <w:tc>
          <w:tcPr>
            <w:tcW w:w="312" w:type="pct"/>
            <w:vAlign w:val="center"/>
          </w:tcPr>
          <w:p w14:paraId="172EA1E4">
            <w:pPr>
              <w:widowControl w:val="0"/>
              <w:spacing w:line="360" w:lineRule="exact"/>
              <w:jc w:val="center"/>
              <w:rPr>
                <w:rFonts w:cs="宋体"/>
                <w:color w:val="auto"/>
                <w:szCs w:val="21"/>
              </w:rPr>
            </w:pPr>
            <w:r>
              <w:rPr>
                <w:rFonts w:hint="eastAsia" w:cs="宋体"/>
                <w:color w:val="auto"/>
                <w:kern w:val="2"/>
                <w:sz w:val="21"/>
                <w:szCs w:val="21"/>
              </w:rPr>
              <w:t>低毒</w:t>
            </w:r>
          </w:p>
        </w:tc>
        <w:tc>
          <w:tcPr>
            <w:tcW w:w="1301" w:type="pct"/>
            <w:vAlign w:val="center"/>
          </w:tcPr>
          <w:p w14:paraId="730568A3">
            <w:pPr>
              <w:widowControl w:val="0"/>
              <w:spacing w:line="360" w:lineRule="exact"/>
              <w:jc w:val="center"/>
              <w:rPr>
                <w:rFonts w:cs="宋体"/>
                <w:color w:val="auto"/>
                <w:szCs w:val="21"/>
              </w:rPr>
            </w:pPr>
            <w:r>
              <w:rPr>
                <w:rFonts w:hint="eastAsia" w:cs="宋体"/>
                <w:color w:val="auto"/>
                <w:kern w:val="2"/>
                <w:sz w:val="21"/>
                <w:szCs w:val="21"/>
              </w:rPr>
              <w:t>皮肤腐蚀/刺激，类别2；严重眼损伤/眼刺激，类别2。</w:t>
            </w:r>
          </w:p>
        </w:tc>
        <w:tc>
          <w:tcPr>
            <w:tcW w:w="1987" w:type="pct"/>
            <w:vAlign w:val="center"/>
          </w:tcPr>
          <w:p w14:paraId="318C39FD">
            <w:pPr>
              <w:widowControl w:val="0"/>
              <w:spacing w:line="360" w:lineRule="exact"/>
              <w:jc w:val="center"/>
              <w:rPr>
                <w:rFonts w:cs="宋体"/>
                <w:color w:val="auto"/>
                <w:szCs w:val="21"/>
              </w:rPr>
            </w:pPr>
            <w:r>
              <w:rPr>
                <w:rFonts w:hint="eastAsia" w:cs="宋体"/>
                <w:color w:val="auto"/>
                <w:kern w:val="2"/>
                <w:sz w:val="21"/>
                <w:szCs w:val="21"/>
              </w:rPr>
              <w:t>无色或白色结晶颗粒或粉末；无臭，味咸凉；密度：1.527 g/cm³；溶解性：易溶于水、甘油，微溶于乙醇，水溶液呈弱酸性；升华点：约337.8℃（分解）。</w:t>
            </w:r>
          </w:p>
        </w:tc>
      </w:tr>
      <w:tr w14:paraId="1EAD0E9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78F6B836">
            <w:pPr>
              <w:widowControl w:val="0"/>
              <w:tabs>
                <w:tab w:val="left" w:pos="630"/>
              </w:tabs>
              <w:spacing w:line="360" w:lineRule="exact"/>
              <w:jc w:val="center"/>
              <w:rPr>
                <w:rFonts w:cs="宋体"/>
                <w:color w:val="auto"/>
                <w:szCs w:val="21"/>
              </w:rPr>
            </w:pPr>
            <w:r>
              <w:rPr>
                <w:rFonts w:hint="eastAsia" w:cs="宋体"/>
                <w:color w:val="auto"/>
                <w:szCs w:val="21"/>
              </w:rPr>
              <w:t>3</w:t>
            </w:r>
          </w:p>
        </w:tc>
        <w:tc>
          <w:tcPr>
            <w:tcW w:w="416" w:type="pct"/>
            <w:vAlign w:val="center"/>
          </w:tcPr>
          <w:p w14:paraId="2C05FB36">
            <w:pPr>
              <w:widowControl w:val="0"/>
              <w:spacing w:line="360" w:lineRule="exact"/>
              <w:jc w:val="center"/>
              <w:rPr>
                <w:rFonts w:cs="宋体"/>
                <w:color w:val="auto"/>
                <w:szCs w:val="21"/>
              </w:rPr>
            </w:pPr>
            <w:r>
              <w:rPr>
                <w:rFonts w:hint="eastAsia" w:cs="宋体"/>
                <w:color w:val="auto"/>
                <w:kern w:val="2"/>
                <w:sz w:val="21"/>
                <w:szCs w:val="21"/>
              </w:rPr>
              <w:t>树脂</w:t>
            </w:r>
          </w:p>
        </w:tc>
        <w:tc>
          <w:tcPr>
            <w:tcW w:w="313" w:type="pct"/>
            <w:vAlign w:val="center"/>
          </w:tcPr>
          <w:p w14:paraId="7C830960">
            <w:pPr>
              <w:widowControl w:val="0"/>
              <w:spacing w:line="360" w:lineRule="exact"/>
              <w:jc w:val="center"/>
              <w:rPr>
                <w:rFonts w:cs="宋体"/>
                <w:color w:val="auto"/>
                <w:szCs w:val="21"/>
              </w:rPr>
            </w:pPr>
          </w:p>
        </w:tc>
        <w:tc>
          <w:tcPr>
            <w:tcW w:w="467" w:type="pct"/>
            <w:vAlign w:val="center"/>
          </w:tcPr>
          <w:p w14:paraId="4A0BA202">
            <w:pPr>
              <w:widowControl w:val="0"/>
              <w:spacing w:line="360" w:lineRule="exact"/>
              <w:jc w:val="center"/>
              <w:rPr>
                <w:rFonts w:cs="宋体"/>
                <w:color w:val="auto"/>
                <w:szCs w:val="21"/>
              </w:rPr>
            </w:pPr>
            <w:r>
              <w:rPr>
                <w:rFonts w:hint="eastAsia" w:cs="宋体"/>
                <w:color w:val="auto"/>
                <w:kern w:val="2"/>
                <w:sz w:val="21"/>
                <w:szCs w:val="21"/>
              </w:rPr>
              <w:t>不溶于水、能溶于有机溶剂</w:t>
            </w:r>
          </w:p>
        </w:tc>
        <w:tc>
          <w:tcPr>
            <w:tcW w:w="312" w:type="pct"/>
            <w:vAlign w:val="center"/>
          </w:tcPr>
          <w:p w14:paraId="3B530390">
            <w:pPr>
              <w:widowControl w:val="0"/>
              <w:spacing w:line="360" w:lineRule="exact"/>
              <w:jc w:val="center"/>
              <w:rPr>
                <w:rFonts w:cs="宋体"/>
                <w:color w:val="auto"/>
                <w:szCs w:val="21"/>
              </w:rPr>
            </w:pPr>
            <w:r>
              <w:rPr>
                <w:rFonts w:hint="eastAsia" w:cs="宋体"/>
                <w:color w:val="auto"/>
                <w:kern w:val="2"/>
                <w:sz w:val="21"/>
                <w:szCs w:val="21"/>
              </w:rPr>
              <w:t>微毒</w:t>
            </w:r>
          </w:p>
        </w:tc>
        <w:tc>
          <w:tcPr>
            <w:tcW w:w="1301" w:type="pct"/>
            <w:vAlign w:val="center"/>
          </w:tcPr>
          <w:p w14:paraId="7ABC872C">
            <w:pPr>
              <w:widowControl w:val="0"/>
              <w:spacing w:line="360" w:lineRule="exact"/>
              <w:jc w:val="center"/>
              <w:rPr>
                <w:rFonts w:cs="宋体"/>
                <w:color w:val="auto"/>
                <w:szCs w:val="21"/>
              </w:rPr>
            </w:pPr>
          </w:p>
        </w:tc>
        <w:tc>
          <w:tcPr>
            <w:tcW w:w="1987" w:type="pct"/>
            <w:vAlign w:val="center"/>
          </w:tcPr>
          <w:p w14:paraId="2D9A9759">
            <w:pPr>
              <w:widowControl w:val="0"/>
              <w:spacing w:line="360" w:lineRule="exact"/>
              <w:ind w:firstLine="420" w:firstLineChars="200"/>
              <w:jc w:val="center"/>
              <w:rPr>
                <w:rFonts w:cs="宋体"/>
                <w:color w:val="auto"/>
                <w:szCs w:val="21"/>
              </w:rPr>
            </w:pPr>
            <w:r>
              <w:rPr>
                <w:rFonts w:hint="eastAsia" w:cs="宋体"/>
                <w:color w:val="auto"/>
                <w:kern w:val="2"/>
                <w:sz w:val="21"/>
                <w:szCs w:val="21"/>
              </w:rPr>
              <w:t>真密度和视密度，与树脂的交联度等有关；溶解性：一般不溶于水，能溶于醇、醚等有机溶剂；遇水溶胀；稳定性：具酸性基团，化学性质稳定。</w:t>
            </w:r>
          </w:p>
        </w:tc>
      </w:tr>
      <w:tr w14:paraId="2048191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7016A2B4">
            <w:pPr>
              <w:widowControl w:val="0"/>
              <w:tabs>
                <w:tab w:val="left" w:pos="630"/>
              </w:tabs>
              <w:spacing w:line="360" w:lineRule="exact"/>
              <w:jc w:val="center"/>
              <w:rPr>
                <w:rFonts w:cs="宋体"/>
                <w:color w:val="auto"/>
                <w:szCs w:val="21"/>
              </w:rPr>
            </w:pPr>
            <w:r>
              <w:rPr>
                <w:rFonts w:hint="eastAsia" w:cs="宋体"/>
                <w:color w:val="auto"/>
                <w:szCs w:val="21"/>
              </w:rPr>
              <w:t>4</w:t>
            </w:r>
          </w:p>
        </w:tc>
        <w:tc>
          <w:tcPr>
            <w:tcW w:w="416" w:type="pct"/>
            <w:vAlign w:val="center"/>
          </w:tcPr>
          <w:p w14:paraId="2F6CD564">
            <w:pPr>
              <w:widowControl w:val="0"/>
              <w:spacing w:line="360" w:lineRule="exact"/>
              <w:jc w:val="center"/>
              <w:rPr>
                <w:rFonts w:cs="宋体"/>
                <w:color w:val="auto"/>
                <w:szCs w:val="21"/>
              </w:rPr>
            </w:pPr>
            <w:r>
              <w:rPr>
                <w:rFonts w:hint="eastAsia" w:cs="宋体"/>
                <w:color w:val="auto"/>
                <w:kern w:val="2"/>
                <w:sz w:val="21"/>
                <w:szCs w:val="21"/>
              </w:rPr>
              <w:t>氢氧化钾</w:t>
            </w:r>
          </w:p>
        </w:tc>
        <w:tc>
          <w:tcPr>
            <w:tcW w:w="313" w:type="pct"/>
            <w:vAlign w:val="center"/>
          </w:tcPr>
          <w:p w14:paraId="7D433CDC">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1782B478">
            <w:pPr>
              <w:widowControl w:val="0"/>
              <w:spacing w:line="360" w:lineRule="exact"/>
              <w:jc w:val="center"/>
              <w:rPr>
                <w:rFonts w:cs="宋体"/>
                <w:color w:val="auto"/>
                <w:szCs w:val="21"/>
              </w:rPr>
            </w:pPr>
            <w:r>
              <w:rPr>
                <w:rFonts w:hint="eastAsia" w:cs="宋体"/>
                <w:color w:val="auto"/>
                <w:kern w:val="2"/>
                <w:sz w:val="21"/>
                <w:szCs w:val="21"/>
              </w:rPr>
              <w:t>易溶于水、乙醇，微溶于醚</w:t>
            </w:r>
          </w:p>
        </w:tc>
        <w:tc>
          <w:tcPr>
            <w:tcW w:w="312" w:type="pct"/>
            <w:vAlign w:val="center"/>
          </w:tcPr>
          <w:p w14:paraId="0C520C7B">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42B57697">
            <w:pPr>
              <w:widowControl w:val="0"/>
              <w:spacing w:line="360" w:lineRule="exact"/>
              <w:jc w:val="center"/>
              <w:rPr>
                <w:rFonts w:cs="宋体"/>
                <w:color w:val="auto"/>
                <w:szCs w:val="21"/>
              </w:rPr>
            </w:pPr>
            <w:r>
              <w:rPr>
                <w:rFonts w:hint="eastAsia" w:cs="宋体"/>
                <w:color w:val="auto"/>
                <w:kern w:val="2"/>
                <w:sz w:val="21"/>
                <w:szCs w:val="21"/>
              </w:rPr>
              <w:t>与酸发生中和反应并放热。不会燃烧，遇水和水蒸气大量放热，形成腐蚀性溶液，具有强腐蚀性。皮肤腐蚀/刺激，类别1A；严重眼损伤/眼刺激，类别1。</w:t>
            </w:r>
          </w:p>
        </w:tc>
        <w:tc>
          <w:tcPr>
            <w:tcW w:w="1987" w:type="pct"/>
            <w:vAlign w:val="center"/>
          </w:tcPr>
          <w:p w14:paraId="469369A1">
            <w:pPr>
              <w:widowControl w:val="0"/>
              <w:spacing w:line="360" w:lineRule="exact"/>
              <w:ind w:firstLine="420" w:firstLineChars="200"/>
              <w:jc w:val="center"/>
              <w:rPr>
                <w:rFonts w:cs="宋体"/>
                <w:color w:val="auto"/>
                <w:szCs w:val="21"/>
              </w:rPr>
            </w:pPr>
            <w:r>
              <w:rPr>
                <w:rFonts w:hint="eastAsia" w:cs="宋体"/>
                <w:color w:val="auto"/>
                <w:kern w:val="2"/>
                <w:sz w:val="21"/>
                <w:szCs w:val="21"/>
              </w:rPr>
              <w:t>白色晶体，易潮解；相对密度（水=1）：2.04 g/cm³；溶解性：易溶于水、乙醇，微溶于醚；熔点：360.4℃；沸点：1320℃；稳定性：稳定。</w:t>
            </w:r>
          </w:p>
        </w:tc>
      </w:tr>
      <w:tr w14:paraId="280020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700" w:hRule="atLeast"/>
        </w:trPr>
        <w:tc>
          <w:tcPr>
            <w:tcW w:w="204" w:type="pct"/>
            <w:vAlign w:val="center"/>
          </w:tcPr>
          <w:p w14:paraId="08F815ED">
            <w:pPr>
              <w:widowControl w:val="0"/>
              <w:tabs>
                <w:tab w:val="left" w:pos="630"/>
              </w:tabs>
              <w:spacing w:line="360" w:lineRule="exact"/>
              <w:jc w:val="center"/>
              <w:rPr>
                <w:rFonts w:cs="宋体"/>
                <w:color w:val="auto"/>
                <w:szCs w:val="21"/>
              </w:rPr>
            </w:pPr>
            <w:r>
              <w:rPr>
                <w:rFonts w:hint="eastAsia" w:cs="宋体"/>
                <w:color w:val="auto"/>
                <w:szCs w:val="21"/>
              </w:rPr>
              <w:t>5</w:t>
            </w:r>
          </w:p>
        </w:tc>
        <w:tc>
          <w:tcPr>
            <w:tcW w:w="416" w:type="pct"/>
            <w:vAlign w:val="center"/>
          </w:tcPr>
          <w:p w14:paraId="306DD4E7">
            <w:pPr>
              <w:widowControl w:val="0"/>
              <w:spacing w:line="360" w:lineRule="exact"/>
              <w:jc w:val="center"/>
              <w:rPr>
                <w:rFonts w:cs="宋体"/>
                <w:color w:val="auto"/>
                <w:szCs w:val="21"/>
              </w:rPr>
            </w:pPr>
            <w:r>
              <w:rPr>
                <w:rFonts w:hint="eastAsia" w:cs="宋体"/>
                <w:color w:val="auto"/>
                <w:kern w:val="2"/>
                <w:sz w:val="21"/>
                <w:szCs w:val="21"/>
              </w:rPr>
              <w:t>硫酸</w:t>
            </w:r>
          </w:p>
        </w:tc>
        <w:tc>
          <w:tcPr>
            <w:tcW w:w="313" w:type="pct"/>
            <w:vAlign w:val="center"/>
          </w:tcPr>
          <w:p w14:paraId="008D776A">
            <w:pPr>
              <w:widowControl w:val="0"/>
              <w:spacing w:line="360" w:lineRule="exact"/>
              <w:jc w:val="center"/>
              <w:rPr>
                <w:rFonts w:cs="宋体"/>
                <w:color w:val="auto"/>
                <w:szCs w:val="21"/>
              </w:rPr>
            </w:pPr>
            <w:r>
              <w:rPr>
                <w:rFonts w:hint="eastAsia" w:cs="宋体"/>
                <w:color w:val="auto"/>
                <w:kern w:val="2"/>
                <w:sz w:val="21"/>
                <w:szCs w:val="21"/>
              </w:rPr>
              <w:t>液体</w:t>
            </w:r>
          </w:p>
        </w:tc>
        <w:tc>
          <w:tcPr>
            <w:tcW w:w="467" w:type="pct"/>
            <w:vAlign w:val="center"/>
          </w:tcPr>
          <w:p w14:paraId="4E2ADAA6">
            <w:pPr>
              <w:widowControl w:val="0"/>
              <w:spacing w:line="360" w:lineRule="exact"/>
              <w:jc w:val="center"/>
              <w:rPr>
                <w:rFonts w:cs="宋体"/>
                <w:color w:val="auto"/>
                <w:szCs w:val="21"/>
              </w:rPr>
            </w:pPr>
            <w:r>
              <w:rPr>
                <w:rFonts w:hint="eastAsia" w:cs="宋体"/>
                <w:color w:val="auto"/>
                <w:kern w:val="2"/>
                <w:sz w:val="21"/>
                <w:szCs w:val="21"/>
              </w:rPr>
              <w:t>与水混溶</w:t>
            </w:r>
          </w:p>
        </w:tc>
        <w:tc>
          <w:tcPr>
            <w:tcW w:w="312" w:type="pct"/>
            <w:vAlign w:val="center"/>
          </w:tcPr>
          <w:p w14:paraId="5D12F489">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3B3C1618">
            <w:pPr>
              <w:widowControl w:val="0"/>
              <w:spacing w:line="360" w:lineRule="exact"/>
              <w:jc w:val="center"/>
              <w:rPr>
                <w:rFonts w:cs="宋体"/>
                <w:color w:val="auto"/>
                <w:szCs w:val="21"/>
              </w:rPr>
            </w:pPr>
            <w:r>
              <w:rPr>
                <w:rFonts w:hint="eastAsia" w:cs="宋体"/>
                <w:color w:val="auto"/>
                <w:kern w:val="2"/>
                <w:sz w:val="21"/>
                <w:szCs w:val="21"/>
              </w:rPr>
              <w:t>遇水大量放热，可发生沸溅。与易燃物（如苯）和可燃物（如糖、纤维素等）接触会发生剧烈反应，甚至引起燃烧，遇电石、高氯酸盐、雷酸盐、硝酸盐、苦味酸盐、金属粉末等剧烈反应，发生爆炸或燃烧。具有强烈的腐蚀性和吸水性。皮肤腐蚀/刺激，类别1A；严重眼损伤/眼刺激，类别1。</w:t>
            </w:r>
          </w:p>
        </w:tc>
        <w:tc>
          <w:tcPr>
            <w:tcW w:w="1987" w:type="pct"/>
            <w:vAlign w:val="center"/>
          </w:tcPr>
          <w:p w14:paraId="0B2866E5">
            <w:pPr>
              <w:widowControl w:val="0"/>
              <w:spacing w:line="360" w:lineRule="exact"/>
              <w:ind w:firstLine="420" w:firstLineChars="200"/>
              <w:jc w:val="center"/>
              <w:rPr>
                <w:rFonts w:cs="宋体"/>
                <w:color w:val="auto"/>
                <w:szCs w:val="21"/>
              </w:rPr>
            </w:pPr>
            <w:r>
              <w:rPr>
                <w:rFonts w:hint="eastAsia" w:cs="宋体"/>
                <w:color w:val="auto"/>
                <w:kern w:val="2"/>
                <w:sz w:val="21"/>
                <w:szCs w:val="21"/>
              </w:rPr>
              <w:t>无色透明油状液体，无臭；相对密度（水=1）：1.83 g/cm³；溶解性：与水混溶；强酸，强氧化性，强脱水性；沸点：约330.0℃，熔点：10.5℃；稳定性：稳定。</w:t>
            </w:r>
          </w:p>
        </w:tc>
      </w:tr>
      <w:tr w14:paraId="3AE3283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27E42442">
            <w:pPr>
              <w:widowControl w:val="0"/>
              <w:tabs>
                <w:tab w:val="left" w:pos="630"/>
              </w:tabs>
              <w:spacing w:line="360" w:lineRule="exact"/>
              <w:jc w:val="center"/>
              <w:rPr>
                <w:rFonts w:cs="宋体"/>
                <w:color w:val="auto"/>
                <w:szCs w:val="21"/>
              </w:rPr>
            </w:pPr>
            <w:r>
              <w:rPr>
                <w:rFonts w:hint="eastAsia" w:cs="宋体"/>
                <w:color w:val="auto"/>
                <w:szCs w:val="21"/>
              </w:rPr>
              <w:t>6</w:t>
            </w:r>
          </w:p>
        </w:tc>
        <w:tc>
          <w:tcPr>
            <w:tcW w:w="416" w:type="pct"/>
            <w:vAlign w:val="center"/>
          </w:tcPr>
          <w:p w14:paraId="764FBC3C">
            <w:pPr>
              <w:widowControl w:val="0"/>
              <w:spacing w:line="360" w:lineRule="exact"/>
              <w:jc w:val="center"/>
              <w:rPr>
                <w:rFonts w:cs="宋体"/>
                <w:color w:val="auto"/>
                <w:szCs w:val="21"/>
              </w:rPr>
            </w:pPr>
            <w:r>
              <w:rPr>
                <w:rFonts w:hint="eastAsia" w:cs="宋体"/>
                <w:color w:val="auto"/>
                <w:kern w:val="2"/>
                <w:sz w:val="21"/>
                <w:szCs w:val="21"/>
              </w:rPr>
              <w:t>硫酸铝</w:t>
            </w:r>
          </w:p>
        </w:tc>
        <w:tc>
          <w:tcPr>
            <w:tcW w:w="313" w:type="pct"/>
            <w:vAlign w:val="center"/>
          </w:tcPr>
          <w:p w14:paraId="6BF535D7">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391F769C">
            <w:pPr>
              <w:widowControl w:val="0"/>
              <w:spacing w:line="360" w:lineRule="exact"/>
              <w:jc w:val="center"/>
              <w:rPr>
                <w:rFonts w:cs="宋体"/>
                <w:color w:val="auto"/>
                <w:szCs w:val="21"/>
              </w:rPr>
            </w:pPr>
            <w:r>
              <w:rPr>
                <w:rFonts w:hint="eastAsia" w:cs="宋体"/>
                <w:color w:val="auto"/>
                <w:kern w:val="2"/>
                <w:sz w:val="21"/>
                <w:szCs w:val="21"/>
              </w:rPr>
              <w:t>易溶于水、不溶于乙醇</w:t>
            </w:r>
          </w:p>
        </w:tc>
        <w:tc>
          <w:tcPr>
            <w:tcW w:w="312" w:type="pct"/>
            <w:vAlign w:val="center"/>
          </w:tcPr>
          <w:p w14:paraId="0716221B">
            <w:pPr>
              <w:widowControl w:val="0"/>
              <w:spacing w:line="360" w:lineRule="exact"/>
              <w:jc w:val="center"/>
              <w:rPr>
                <w:rFonts w:cs="宋体"/>
                <w:color w:val="auto"/>
                <w:szCs w:val="21"/>
              </w:rPr>
            </w:pPr>
            <w:r>
              <w:rPr>
                <w:rFonts w:hint="eastAsia" w:cs="宋体"/>
                <w:color w:val="auto"/>
                <w:kern w:val="2"/>
                <w:sz w:val="21"/>
                <w:szCs w:val="21"/>
              </w:rPr>
              <w:t>低毒</w:t>
            </w:r>
          </w:p>
        </w:tc>
        <w:tc>
          <w:tcPr>
            <w:tcW w:w="1301" w:type="pct"/>
            <w:vAlign w:val="center"/>
          </w:tcPr>
          <w:p w14:paraId="77271AB4">
            <w:pPr>
              <w:widowControl w:val="0"/>
              <w:spacing w:line="360" w:lineRule="exact"/>
              <w:jc w:val="center"/>
              <w:rPr>
                <w:rFonts w:cs="宋体"/>
                <w:color w:val="auto"/>
                <w:szCs w:val="21"/>
              </w:rPr>
            </w:pPr>
            <w:r>
              <w:rPr>
                <w:rFonts w:hint="eastAsia" w:cs="宋体"/>
                <w:color w:val="auto"/>
                <w:kern w:val="2"/>
                <w:sz w:val="21"/>
                <w:szCs w:val="21"/>
              </w:rPr>
              <w:t>皮肤腐蚀/刺激，类别2；严重眼损伤/眼刺激，类别2。</w:t>
            </w:r>
          </w:p>
        </w:tc>
        <w:tc>
          <w:tcPr>
            <w:tcW w:w="1987" w:type="pct"/>
            <w:vAlign w:val="center"/>
          </w:tcPr>
          <w:p w14:paraId="323874BC">
            <w:pPr>
              <w:widowControl w:val="0"/>
              <w:spacing w:line="360" w:lineRule="exact"/>
              <w:ind w:firstLine="420" w:firstLineChars="200"/>
              <w:jc w:val="center"/>
              <w:rPr>
                <w:rFonts w:cs="宋体"/>
                <w:color w:val="auto"/>
                <w:szCs w:val="21"/>
              </w:rPr>
            </w:pPr>
            <w:r>
              <w:rPr>
                <w:rFonts w:hint="eastAsia" w:cs="宋体"/>
                <w:color w:val="auto"/>
                <w:kern w:val="2"/>
                <w:sz w:val="21"/>
                <w:szCs w:val="21"/>
              </w:rPr>
              <w:t>白色结晶粉末或块状；无臭；密度：约2.71 g/cm³；溶解性：易溶于水，不溶于乙醇，水溶液呈酸性；沸点：约770℃（分解）。</w:t>
            </w:r>
          </w:p>
        </w:tc>
      </w:tr>
      <w:tr w14:paraId="0F7DC5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378995C0">
            <w:pPr>
              <w:widowControl w:val="0"/>
              <w:tabs>
                <w:tab w:val="left" w:pos="630"/>
              </w:tabs>
              <w:spacing w:line="360" w:lineRule="exact"/>
              <w:jc w:val="center"/>
              <w:rPr>
                <w:rFonts w:cs="宋体"/>
                <w:color w:val="auto"/>
                <w:szCs w:val="21"/>
              </w:rPr>
            </w:pPr>
            <w:r>
              <w:rPr>
                <w:rFonts w:hint="eastAsia" w:cs="宋体"/>
                <w:color w:val="auto"/>
                <w:szCs w:val="21"/>
              </w:rPr>
              <w:t>7</w:t>
            </w:r>
          </w:p>
        </w:tc>
        <w:tc>
          <w:tcPr>
            <w:tcW w:w="416" w:type="pct"/>
            <w:vAlign w:val="center"/>
          </w:tcPr>
          <w:p w14:paraId="3442B833">
            <w:pPr>
              <w:widowControl w:val="0"/>
              <w:spacing w:line="360" w:lineRule="exact"/>
              <w:jc w:val="center"/>
              <w:rPr>
                <w:rFonts w:cs="宋体"/>
                <w:color w:val="auto"/>
                <w:szCs w:val="21"/>
              </w:rPr>
            </w:pPr>
            <w:r>
              <w:rPr>
                <w:rFonts w:hint="eastAsia" w:cs="宋体"/>
                <w:color w:val="auto"/>
                <w:kern w:val="2"/>
                <w:sz w:val="21"/>
                <w:szCs w:val="21"/>
              </w:rPr>
              <w:t>氨水</w:t>
            </w:r>
          </w:p>
        </w:tc>
        <w:tc>
          <w:tcPr>
            <w:tcW w:w="313" w:type="pct"/>
            <w:vAlign w:val="center"/>
          </w:tcPr>
          <w:p w14:paraId="7EA14102">
            <w:pPr>
              <w:widowControl w:val="0"/>
              <w:spacing w:line="360" w:lineRule="exact"/>
              <w:jc w:val="center"/>
              <w:rPr>
                <w:rFonts w:cs="宋体"/>
                <w:color w:val="auto"/>
                <w:szCs w:val="21"/>
              </w:rPr>
            </w:pPr>
            <w:r>
              <w:rPr>
                <w:rFonts w:hint="eastAsia" w:cs="宋体"/>
                <w:color w:val="auto"/>
                <w:kern w:val="2"/>
                <w:sz w:val="21"/>
                <w:szCs w:val="21"/>
              </w:rPr>
              <w:t>液体</w:t>
            </w:r>
          </w:p>
        </w:tc>
        <w:tc>
          <w:tcPr>
            <w:tcW w:w="467" w:type="pct"/>
            <w:vAlign w:val="center"/>
          </w:tcPr>
          <w:p w14:paraId="0B47EAAF">
            <w:pPr>
              <w:widowControl w:val="0"/>
              <w:spacing w:line="360" w:lineRule="exact"/>
              <w:jc w:val="center"/>
              <w:rPr>
                <w:rFonts w:cs="宋体"/>
                <w:color w:val="auto"/>
                <w:szCs w:val="21"/>
              </w:rPr>
            </w:pPr>
            <w:r>
              <w:rPr>
                <w:rFonts w:hint="eastAsia" w:cs="宋体"/>
                <w:color w:val="auto"/>
                <w:kern w:val="2"/>
                <w:sz w:val="21"/>
                <w:szCs w:val="21"/>
              </w:rPr>
              <w:t>易溶于水、乙醇、乙醚</w:t>
            </w:r>
          </w:p>
        </w:tc>
        <w:tc>
          <w:tcPr>
            <w:tcW w:w="312" w:type="pct"/>
            <w:vAlign w:val="center"/>
          </w:tcPr>
          <w:p w14:paraId="6102DFEA">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4654F185">
            <w:pPr>
              <w:widowControl w:val="0"/>
              <w:spacing w:line="360" w:lineRule="exact"/>
              <w:jc w:val="center"/>
              <w:rPr>
                <w:rFonts w:cs="宋体"/>
                <w:color w:val="auto"/>
                <w:szCs w:val="21"/>
              </w:rPr>
            </w:pPr>
            <w:r>
              <w:rPr>
                <w:rFonts w:hint="eastAsia" w:cs="宋体"/>
                <w:color w:val="auto"/>
                <w:kern w:val="2"/>
                <w:sz w:val="21"/>
                <w:szCs w:val="21"/>
              </w:rPr>
              <w:t>皮肤腐蚀/刺激，类别1B；严重眼损伤/眼刺激，类别1；急性毒性－吸入，类别3；危害水生环境－急性危害，类别1。</w:t>
            </w:r>
          </w:p>
        </w:tc>
        <w:tc>
          <w:tcPr>
            <w:tcW w:w="1987" w:type="pct"/>
            <w:vAlign w:val="center"/>
          </w:tcPr>
          <w:p w14:paraId="43C2492B">
            <w:pPr>
              <w:widowControl w:val="0"/>
              <w:spacing w:line="360" w:lineRule="exact"/>
              <w:ind w:firstLine="420" w:firstLineChars="200"/>
              <w:jc w:val="center"/>
              <w:rPr>
                <w:rFonts w:cs="宋体"/>
                <w:color w:val="auto"/>
                <w:szCs w:val="21"/>
              </w:rPr>
            </w:pPr>
            <w:r>
              <w:rPr>
                <w:rFonts w:hint="eastAsia" w:cs="宋体"/>
                <w:color w:val="auto"/>
                <w:kern w:val="2"/>
                <w:sz w:val="21"/>
                <w:szCs w:val="21"/>
              </w:rPr>
              <w:t>无色有刺激性恶臭透明液体；弱碱性；密度：小于1；溶解性：易溶于水、乙醇、乙醚；稳定性：易挥发，不稳定；沸点随浓度变化。</w:t>
            </w:r>
          </w:p>
        </w:tc>
      </w:tr>
      <w:tr w14:paraId="35D704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671DC2C6">
            <w:pPr>
              <w:widowControl w:val="0"/>
              <w:tabs>
                <w:tab w:val="left" w:pos="630"/>
              </w:tabs>
              <w:spacing w:line="360" w:lineRule="exact"/>
              <w:jc w:val="center"/>
              <w:rPr>
                <w:rFonts w:cs="宋体"/>
                <w:color w:val="auto"/>
                <w:szCs w:val="21"/>
              </w:rPr>
            </w:pPr>
            <w:r>
              <w:rPr>
                <w:rFonts w:hint="eastAsia" w:cs="宋体"/>
                <w:color w:val="auto"/>
                <w:szCs w:val="21"/>
              </w:rPr>
              <w:t>8</w:t>
            </w:r>
          </w:p>
        </w:tc>
        <w:tc>
          <w:tcPr>
            <w:tcW w:w="416" w:type="pct"/>
            <w:vAlign w:val="center"/>
          </w:tcPr>
          <w:p w14:paraId="7BC604EF">
            <w:pPr>
              <w:widowControl w:val="0"/>
              <w:spacing w:line="360" w:lineRule="exact"/>
              <w:jc w:val="center"/>
              <w:rPr>
                <w:rFonts w:cs="宋体"/>
                <w:color w:val="auto"/>
                <w:szCs w:val="21"/>
              </w:rPr>
            </w:pPr>
            <w:r>
              <w:rPr>
                <w:rFonts w:hint="eastAsia" w:cs="宋体"/>
                <w:color w:val="auto"/>
                <w:kern w:val="2"/>
                <w:sz w:val="21"/>
                <w:szCs w:val="21"/>
              </w:rPr>
              <w:t>氢氧化铝</w:t>
            </w:r>
          </w:p>
        </w:tc>
        <w:tc>
          <w:tcPr>
            <w:tcW w:w="313" w:type="pct"/>
            <w:vAlign w:val="center"/>
          </w:tcPr>
          <w:p w14:paraId="76B85150">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18145A15">
            <w:pPr>
              <w:widowControl w:val="0"/>
              <w:spacing w:line="360" w:lineRule="exact"/>
              <w:jc w:val="center"/>
              <w:rPr>
                <w:rFonts w:cs="宋体"/>
                <w:color w:val="auto"/>
                <w:szCs w:val="21"/>
              </w:rPr>
            </w:pPr>
            <w:r>
              <w:rPr>
                <w:rFonts w:hint="eastAsia" w:cs="宋体"/>
                <w:color w:val="auto"/>
                <w:kern w:val="2"/>
                <w:sz w:val="21"/>
                <w:szCs w:val="21"/>
              </w:rPr>
              <w:t>不溶于水、乙醇，溶于酸、碱</w:t>
            </w:r>
          </w:p>
        </w:tc>
        <w:tc>
          <w:tcPr>
            <w:tcW w:w="312" w:type="pct"/>
            <w:vAlign w:val="center"/>
          </w:tcPr>
          <w:p w14:paraId="5FD0A062">
            <w:pPr>
              <w:widowControl w:val="0"/>
              <w:spacing w:line="360" w:lineRule="exact"/>
              <w:jc w:val="center"/>
              <w:rPr>
                <w:rFonts w:cs="宋体"/>
                <w:color w:val="auto"/>
                <w:szCs w:val="21"/>
              </w:rPr>
            </w:pPr>
            <w:r>
              <w:rPr>
                <w:rFonts w:hint="eastAsia" w:cs="宋体"/>
                <w:color w:val="auto"/>
                <w:kern w:val="2"/>
                <w:sz w:val="21"/>
                <w:szCs w:val="21"/>
              </w:rPr>
              <w:t>微毒</w:t>
            </w:r>
          </w:p>
        </w:tc>
        <w:tc>
          <w:tcPr>
            <w:tcW w:w="1301" w:type="pct"/>
            <w:vAlign w:val="center"/>
          </w:tcPr>
          <w:p w14:paraId="61A5B7C0">
            <w:pPr>
              <w:widowControl w:val="0"/>
              <w:spacing w:line="360" w:lineRule="exact"/>
              <w:jc w:val="center"/>
              <w:rPr>
                <w:rFonts w:cs="宋体"/>
                <w:color w:val="auto"/>
                <w:szCs w:val="21"/>
              </w:rPr>
            </w:pPr>
          </w:p>
        </w:tc>
        <w:tc>
          <w:tcPr>
            <w:tcW w:w="1987" w:type="pct"/>
            <w:vAlign w:val="center"/>
          </w:tcPr>
          <w:p w14:paraId="2D872D06">
            <w:pPr>
              <w:widowControl w:val="0"/>
              <w:spacing w:line="360" w:lineRule="exact"/>
              <w:ind w:firstLine="420" w:firstLineChars="200"/>
              <w:jc w:val="center"/>
              <w:rPr>
                <w:rFonts w:cs="宋体"/>
                <w:color w:val="auto"/>
                <w:szCs w:val="21"/>
              </w:rPr>
            </w:pPr>
            <w:r>
              <w:rPr>
                <w:rFonts w:hint="eastAsia" w:cs="宋体"/>
                <w:color w:val="auto"/>
                <w:kern w:val="2"/>
                <w:sz w:val="21"/>
                <w:szCs w:val="21"/>
              </w:rPr>
              <w:t>白色无定形粉末；无臭；密度：约2.42 g/cm³；溶解性：不溶于水、乙醇，溶于酸、碱；两性氢氧化物，受热约300℃脱水。</w:t>
            </w:r>
          </w:p>
        </w:tc>
      </w:tr>
      <w:tr w14:paraId="51744C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14DCA98A">
            <w:pPr>
              <w:widowControl w:val="0"/>
              <w:tabs>
                <w:tab w:val="left" w:pos="630"/>
              </w:tabs>
              <w:spacing w:line="360" w:lineRule="exact"/>
              <w:jc w:val="center"/>
              <w:rPr>
                <w:rFonts w:cs="宋体"/>
                <w:color w:val="auto"/>
                <w:szCs w:val="21"/>
              </w:rPr>
            </w:pPr>
            <w:r>
              <w:rPr>
                <w:rFonts w:hint="eastAsia" w:cs="宋体"/>
                <w:color w:val="auto"/>
                <w:szCs w:val="21"/>
              </w:rPr>
              <w:t>9</w:t>
            </w:r>
          </w:p>
        </w:tc>
        <w:tc>
          <w:tcPr>
            <w:tcW w:w="416" w:type="pct"/>
            <w:vAlign w:val="center"/>
          </w:tcPr>
          <w:p w14:paraId="7060CA6D">
            <w:pPr>
              <w:widowControl w:val="0"/>
              <w:spacing w:line="360" w:lineRule="exact"/>
              <w:jc w:val="center"/>
              <w:rPr>
                <w:rFonts w:cs="宋体"/>
                <w:color w:val="auto"/>
                <w:szCs w:val="21"/>
              </w:rPr>
            </w:pPr>
            <w:r>
              <w:rPr>
                <w:rFonts w:hint="eastAsia" w:cs="宋体"/>
                <w:color w:val="auto"/>
                <w:kern w:val="2"/>
                <w:sz w:val="21"/>
                <w:szCs w:val="21"/>
              </w:rPr>
              <w:t>氢氧化钠</w:t>
            </w:r>
          </w:p>
        </w:tc>
        <w:tc>
          <w:tcPr>
            <w:tcW w:w="313" w:type="pct"/>
            <w:vAlign w:val="center"/>
          </w:tcPr>
          <w:p w14:paraId="4C42B9BF">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36DCC1DC">
            <w:pPr>
              <w:widowControl w:val="0"/>
              <w:spacing w:line="360" w:lineRule="exact"/>
              <w:jc w:val="center"/>
              <w:rPr>
                <w:rFonts w:cs="宋体"/>
                <w:color w:val="auto"/>
                <w:szCs w:val="21"/>
              </w:rPr>
            </w:pPr>
            <w:r>
              <w:rPr>
                <w:rFonts w:hint="eastAsia" w:cs="宋体"/>
                <w:color w:val="auto"/>
                <w:kern w:val="2"/>
                <w:sz w:val="21"/>
                <w:szCs w:val="21"/>
              </w:rPr>
              <w:t>易溶于水、乙醇、甘油，不溶于丙酮</w:t>
            </w:r>
          </w:p>
        </w:tc>
        <w:tc>
          <w:tcPr>
            <w:tcW w:w="312" w:type="pct"/>
            <w:vAlign w:val="center"/>
          </w:tcPr>
          <w:p w14:paraId="4E05D6DC">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511089C4">
            <w:pPr>
              <w:widowControl w:val="0"/>
              <w:spacing w:line="360" w:lineRule="exact"/>
              <w:jc w:val="center"/>
              <w:rPr>
                <w:rFonts w:cs="宋体"/>
                <w:color w:val="auto"/>
                <w:szCs w:val="21"/>
              </w:rPr>
            </w:pPr>
            <w:r>
              <w:rPr>
                <w:rFonts w:hint="eastAsia" w:cs="宋体"/>
                <w:color w:val="auto"/>
                <w:kern w:val="2"/>
                <w:sz w:val="21"/>
                <w:szCs w:val="21"/>
              </w:rPr>
              <w:t>与酸发生中和反应并放热。遇潮时对铝、锌和锡有腐蚀性，并放出易燃易爆氢气。不会燃烧，遇水和水蒸气大量放热，形成腐蚀性溶液，具有腐蚀性。皮肤腐蚀/刺激，类别1A；严重1眼损伤/眼刺激，类别1。</w:t>
            </w:r>
          </w:p>
        </w:tc>
        <w:tc>
          <w:tcPr>
            <w:tcW w:w="1987" w:type="pct"/>
            <w:vAlign w:val="center"/>
          </w:tcPr>
          <w:p w14:paraId="028207DD">
            <w:pPr>
              <w:widowControl w:val="0"/>
              <w:spacing w:line="360" w:lineRule="exact"/>
              <w:ind w:firstLine="420" w:firstLineChars="200"/>
              <w:jc w:val="center"/>
              <w:rPr>
                <w:rFonts w:cs="宋体"/>
                <w:color w:val="auto"/>
                <w:szCs w:val="21"/>
              </w:rPr>
            </w:pPr>
            <w:r>
              <w:rPr>
                <w:rFonts w:hint="eastAsia" w:cs="宋体"/>
                <w:color w:val="auto"/>
                <w:kern w:val="2"/>
                <w:sz w:val="21"/>
                <w:szCs w:val="21"/>
              </w:rPr>
              <w:t>白色不透明固体，易潮解；相对密度（水=1）：2.12 g/cm³；溶解性：易溶于水、乙醇、甘油，不溶于丙酮；熔点：318.4℃；沸点：1390℃。</w:t>
            </w:r>
          </w:p>
        </w:tc>
      </w:tr>
      <w:tr w14:paraId="004F7F9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75B05230">
            <w:pPr>
              <w:widowControl w:val="0"/>
              <w:tabs>
                <w:tab w:val="left" w:pos="630"/>
              </w:tabs>
              <w:spacing w:line="360" w:lineRule="exact"/>
              <w:jc w:val="center"/>
              <w:rPr>
                <w:rFonts w:cs="宋体"/>
                <w:color w:val="auto"/>
                <w:szCs w:val="21"/>
              </w:rPr>
            </w:pPr>
            <w:r>
              <w:rPr>
                <w:rFonts w:hint="eastAsia" w:cs="宋体"/>
                <w:color w:val="auto"/>
                <w:szCs w:val="21"/>
              </w:rPr>
              <w:t>10</w:t>
            </w:r>
          </w:p>
        </w:tc>
        <w:tc>
          <w:tcPr>
            <w:tcW w:w="416" w:type="pct"/>
            <w:vAlign w:val="center"/>
          </w:tcPr>
          <w:p w14:paraId="084DEB62">
            <w:pPr>
              <w:widowControl w:val="0"/>
              <w:spacing w:line="360" w:lineRule="exact"/>
              <w:jc w:val="center"/>
              <w:rPr>
                <w:rFonts w:cs="宋体"/>
                <w:color w:val="auto"/>
                <w:szCs w:val="21"/>
              </w:rPr>
            </w:pPr>
            <w:r>
              <w:rPr>
                <w:rFonts w:hint="eastAsia" w:cs="宋体"/>
                <w:color w:val="auto"/>
                <w:kern w:val="2"/>
                <w:sz w:val="21"/>
                <w:szCs w:val="21"/>
              </w:rPr>
              <w:t>拟薄水铝石</w:t>
            </w:r>
          </w:p>
        </w:tc>
        <w:tc>
          <w:tcPr>
            <w:tcW w:w="313" w:type="pct"/>
            <w:vAlign w:val="center"/>
          </w:tcPr>
          <w:p w14:paraId="304BD077">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6789321B">
            <w:pPr>
              <w:widowControl w:val="0"/>
              <w:spacing w:line="360" w:lineRule="exact"/>
              <w:jc w:val="center"/>
              <w:rPr>
                <w:rFonts w:cs="宋体"/>
                <w:color w:val="auto"/>
                <w:szCs w:val="21"/>
              </w:rPr>
            </w:pPr>
            <w:r>
              <w:rPr>
                <w:rFonts w:hint="eastAsia" w:cs="宋体"/>
                <w:color w:val="auto"/>
                <w:kern w:val="2"/>
                <w:sz w:val="21"/>
                <w:szCs w:val="21"/>
              </w:rPr>
              <w:t>不溶于水，溶于强酸、强碱</w:t>
            </w:r>
          </w:p>
        </w:tc>
        <w:tc>
          <w:tcPr>
            <w:tcW w:w="312" w:type="pct"/>
            <w:vAlign w:val="center"/>
          </w:tcPr>
          <w:p w14:paraId="15541D96">
            <w:pPr>
              <w:widowControl w:val="0"/>
              <w:spacing w:line="360" w:lineRule="exact"/>
              <w:jc w:val="center"/>
              <w:rPr>
                <w:rFonts w:cs="宋体"/>
                <w:color w:val="auto"/>
                <w:szCs w:val="21"/>
              </w:rPr>
            </w:pPr>
            <w:r>
              <w:rPr>
                <w:rFonts w:hint="eastAsia" w:cs="宋体"/>
                <w:color w:val="auto"/>
                <w:kern w:val="2"/>
                <w:sz w:val="21"/>
                <w:szCs w:val="21"/>
              </w:rPr>
              <w:t>微毒</w:t>
            </w:r>
          </w:p>
        </w:tc>
        <w:tc>
          <w:tcPr>
            <w:tcW w:w="1301" w:type="pct"/>
            <w:vAlign w:val="center"/>
          </w:tcPr>
          <w:p w14:paraId="56FFCCEC">
            <w:pPr>
              <w:widowControl w:val="0"/>
              <w:spacing w:line="360" w:lineRule="exact"/>
              <w:jc w:val="center"/>
              <w:rPr>
                <w:rFonts w:cs="宋体"/>
                <w:color w:val="auto"/>
                <w:szCs w:val="21"/>
              </w:rPr>
            </w:pPr>
          </w:p>
        </w:tc>
        <w:tc>
          <w:tcPr>
            <w:tcW w:w="1987" w:type="pct"/>
            <w:vAlign w:val="center"/>
          </w:tcPr>
          <w:p w14:paraId="2E6553E0">
            <w:pPr>
              <w:widowControl w:val="0"/>
              <w:spacing w:line="360" w:lineRule="exact"/>
              <w:ind w:firstLine="420" w:firstLineChars="200"/>
              <w:jc w:val="center"/>
              <w:rPr>
                <w:rFonts w:cs="宋体"/>
                <w:color w:val="auto"/>
                <w:szCs w:val="21"/>
              </w:rPr>
            </w:pPr>
            <w:r>
              <w:rPr>
                <w:rFonts w:hint="eastAsia" w:cs="宋体"/>
                <w:color w:val="auto"/>
                <w:kern w:val="2"/>
                <w:sz w:val="21"/>
                <w:szCs w:val="21"/>
              </w:rPr>
              <w:t>白色胶状或粉末；无臭；密度：约2.4-3.0 g/cm³；溶解性：不溶于水，溶于强酸、强碱；稳定性：加热脱水转化为氧化铝。</w:t>
            </w:r>
          </w:p>
        </w:tc>
      </w:tr>
      <w:tr w14:paraId="313CFD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04DD59DC">
            <w:pPr>
              <w:widowControl w:val="0"/>
              <w:tabs>
                <w:tab w:val="left" w:pos="630"/>
              </w:tabs>
              <w:spacing w:line="360" w:lineRule="exact"/>
              <w:jc w:val="center"/>
              <w:rPr>
                <w:rFonts w:cs="宋体"/>
                <w:color w:val="auto"/>
                <w:szCs w:val="21"/>
              </w:rPr>
            </w:pPr>
            <w:r>
              <w:rPr>
                <w:rFonts w:hint="eastAsia" w:cs="宋体"/>
                <w:color w:val="auto"/>
                <w:szCs w:val="21"/>
              </w:rPr>
              <w:t>11</w:t>
            </w:r>
          </w:p>
        </w:tc>
        <w:tc>
          <w:tcPr>
            <w:tcW w:w="416" w:type="pct"/>
            <w:vAlign w:val="center"/>
          </w:tcPr>
          <w:p w14:paraId="3ACCF649">
            <w:pPr>
              <w:widowControl w:val="0"/>
              <w:spacing w:line="360" w:lineRule="exact"/>
              <w:jc w:val="center"/>
              <w:rPr>
                <w:rFonts w:cs="宋体"/>
                <w:color w:val="auto"/>
                <w:szCs w:val="21"/>
              </w:rPr>
            </w:pPr>
            <w:r>
              <w:rPr>
                <w:rFonts w:hint="eastAsia" w:cs="宋体"/>
                <w:color w:val="auto"/>
                <w:kern w:val="2"/>
                <w:sz w:val="21"/>
                <w:szCs w:val="21"/>
              </w:rPr>
              <w:t>硝酸</w:t>
            </w:r>
          </w:p>
        </w:tc>
        <w:tc>
          <w:tcPr>
            <w:tcW w:w="313" w:type="pct"/>
            <w:vAlign w:val="center"/>
          </w:tcPr>
          <w:p w14:paraId="64111A8E">
            <w:pPr>
              <w:widowControl w:val="0"/>
              <w:spacing w:line="360" w:lineRule="exact"/>
              <w:jc w:val="center"/>
              <w:rPr>
                <w:rFonts w:cs="宋体"/>
                <w:color w:val="auto"/>
                <w:szCs w:val="21"/>
              </w:rPr>
            </w:pPr>
            <w:r>
              <w:rPr>
                <w:rFonts w:hint="eastAsia" w:cs="宋体"/>
                <w:color w:val="auto"/>
                <w:kern w:val="2"/>
                <w:sz w:val="21"/>
                <w:szCs w:val="21"/>
              </w:rPr>
              <w:t>液体</w:t>
            </w:r>
          </w:p>
        </w:tc>
        <w:tc>
          <w:tcPr>
            <w:tcW w:w="467" w:type="pct"/>
            <w:vAlign w:val="center"/>
          </w:tcPr>
          <w:p w14:paraId="7F34B0F1">
            <w:pPr>
              <w:widowControl w:val="0"/>
              <w:spacing w:line="360" w:lineRule="exact"/>
              <w:jc w:val="center"/>
              <w:rPr>
                <w:rFonts w:cs="宋体"/>
                <w:color w:val="auto"/>
                <w:szCs w:val="21"/>
              </w:rPr>
            </w:pPr>
            <w:r>
              <w:rPr>
                <w:rFonts w:hint="eastAsia" w:cs="宋体"/>
                <w:color w:val="auto"/>
                <w:kern w:val="2"/>
                <w:sz w:val="21"/>
                <w:szCs w:val="21"/>
              </w:rPr>
              <w:t>极易溶于水</w:t>
            </w:r>
          </w:p>
        </w:tc>
        <w:tc>
          <w:tcPr>
            <w:tcW w:w="312" w:type="pct"/>
            <w:vAlign w:val="center"/>
          </w:tcPr>
          <w:p w14:paraId="23751B51">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5EA5BF60">
            <w:pPr>
              <w:widowControl w:val="0"/>
              <w:spacing w:line="360" w:lineRule="exact"/>
              <w:jc w:val="center"/>
              <w:rPr>
                <w:rFonts w:cs="宋体"/>
                <w:color w:val="auto"/>
                <w:szCs w:val="21"/>
              </w:rPr>
            </w:pPr>
            <w:r>
              <w:rPr>
                <w:rFonts w:hint="eastAsia" w:cs="宋体"/>
                <w:color w:val="auto"/>
                <w:kern w:val="2"/>
                <w:sz w:val="21"/>
                <w:szCs w:val="21"/>
              </w:rPr>
              <w:t>氧化性液体，类别3；皮肤腐蚀/刺激，类别1A；严重眼损伤/眼刺激，类别1。</w:t>
            </w:r>
          </w:p>
        </w:tc>
        <w:tc>
          <w:tcPr>
            <w:tcW w:w="1987" w:type="pct"/>
            <w:vAlign w:val="center"/>
          </w:tcPr>
          <w:p w14:paraId="17ABB49F">
            <w:pPr>
              <w:widowControl w:val="0"/>
              <w:spacing w:line="360" w:lineRule="exact"/>
              <w:ind w:firstLine="420" w:firstLineChars="200"/>
              <w:jc w:val="center"/>
              <w:rPr>
                <w:rFonts w:cs="宋体"/>
                <w:color w:val="auto"/>
                <w:szCs w:val="21"/>
              </w:rPr>
            </w:pPr>
            <w:r>
              <w:rPr>
                <w:rFonts w:hint="eastAsia" w:cs="宋体"/>
                <w:color w:val="auto"/>
                <w:kern w:val="2"/>
                <w:sz w:val="21"/>
                <w:szCs w:val="21"/>
              </w:rPr>
              <w:t>无色或淡黄色发烟液体；有窒息性刺激性气味；密度：约1.51 g/cm³（浓）；溶解性：与水任意比混溶；强酸，强氧化性；稳定性：不稳定见光分解；沸点：83℃，凝固点：-42℃。</w:t>
            </w:r>
          </w:p>
        </w:tc>
      </w:tr>
      <w:tr w14:paraId="1D68D1A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0BC5760E">
            <w:pPr>
              <w:widowControl w:val="0"/>
              <w:tabs>
                <w:tab w:val="left" w:pos="630"/>
              </w:tabs>
              <w:spacing w:line="360" w:lineRule="exact"/>
              <w:jc w:val="center"/>
              <w:rPr>
                <w:rFonts w:cs="宋体"/>
                <w:color w:val="auto"/>
                <w:szCs w:val="21"/>
              </w:rPr>
            </w:pPr>
            <w:r>
              <w:rPr>
                <w:rFonts w:hint="eastAsia" w:cs="宋体"/>
                <w:color w:val="auto"/>
                <w:szCs w:val="21"/>
              </w:rPr>
              <w:t>12</w:t>
            </w:r>
          </w:p>
        </w:tc>
        <w:tc>
          <w:tcPr>
            <w:tcW w:w="416" w:type="pct"/>
            <w:vAlign w:val="center"/>
          </w:tcPr>
          <w:p w14:paraId="314EBABF">
            <w:pPr>
              <w:widowControl w:val="0"/>
              <w:spacing w:line="360" w:lineRule="exact"/>
              <w:jc w:val="center"/>
              <w:rPr>
                <w:rFonts w:cs="宋体"/>
                <w:color w:val="auto"/>
                <w:szCs w:val="21"/>
              </w:rPr>
            </w:pPr>
            <w:r>
              <w:rPr>
                <w:rFonts w:hint="eastAsia" w:cs="宋体"/>
                <w:color w:val="auto"/>
                <w:kern w:val="2"/>
                <w:sz w:val="21"/>
                <w:szCs w:val="21"/>
              </w:rPr>
              <w:t>田菁胶</w:t>
            </w:r>
          </w:p>
        </w:tc>
        <w:tc>
          <w:tcPr>
            <w:tcW w:w="313" w:type="pct"/>
            <w:vAlign w:val="center"/>
          </w:tcPr>
          <w:p w14:paraId="345F0C0D">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3D5E2052">
            <w:pPr>
              <w:widowControl w:val="0"/>
              <w:spacing w:line="360" w:lineRule="exact"/>
              <w:jc w:val="center"/>
              <w:rPr>
                <w:rFonts w:cs="宋体"/>
                <w:color w:val="auto"/>
                <w:szCs w:val="21"/>
              </w:rPr>
            </w:pPr>
            <w:r>
              <w:rPr>
                <w:rFonts w:hint="eastAsia" w:cs="宋体"/>
                <w:color w:val="auto"/>
                <w:kern w:val="2"/>
                <w:sz w:val="21"/>
                <w:szCs w:val="21"/>
              </w:rPr>
              <w:t>可溶于水、不溶于有机溶剂</w:t>
            </w:r>
          </w:p>
        </w:tc>
        <w:tc>
          <w:tcPr>
            <w:tcW w:w="312" w:type="pct"/>
            <w:vAlign w:val="center"/>
          </w:tcPr>
          <w:p w14:paraId="5F0ABC35">
            <w:pPr>
              <w:widowControl w:val="0"/>
              <w:spacing w:line="360" w:lineRule="exact"/>
              <w:jc w:val="center"/>
              <w:rPr>
                <w:rFonts w:cs="宋体"/>
                <w:color w:val="auto"/>
                <w:szCs w:val="21"/>
              </w:rPr>
            </w:pPr>
            <w:r>
              <w:rPr>
                <w:rFonts w:hint="eastAsia" w:cs="宋体"/>
                <w:color w:val="auto"/>
                <w:kern w:val="2"/>
                <w:sz w:val="21"/>
                <w:szCs w:val="21"/>
              </w:rPr>
              <w:t>微毒</w:t>
            </w:r>
          </w:p>
        </w:tc>
        <w:tc>
          <w:tcPr>
            <w:tcW w:w="1301" w:type="pct"/>
            <w:vAlign w:val="center"/>
          </w:tcPr>
          <w:p w14:paraId="39E335F7">
            <w:pPr>
              <w:widowControl w:val="0"/>
              <w:spacing w:line="360" w:lineRule="exact"/>
              <w:jc w:val="center"/>
              <w:rPr>
                <w:rFonts w:cs="宋体"/>
                <w:color w:val="auto"/>
                <w:szCs w:val="21"/>
              </w:rPr>
            </w:pPr>
          </w:p>
        </w:tc>
        <w:tc>
          <w:tcPr>
            <w:tcW w:w="1987" w:type="pct"/>
            <w:vAlign w:val="center"/>
          </w:tcPr>
          <w:p w14:paraId="5C9A101B">
            <w:pPr>
              <w:widowControl w:val="0"/>
              <w:spacing w:line="360" w:lineRule="exact"/>
              <w:ind w:firstLine="420" w:firstLineChars="200"/>
              <w:jc w:val="center"/>
              <w:rPr>
                <w:rFonts w:cs="宋体"/>
                <w:color w:val="auto"/>
                <w:szCs w:val="21"/>
              </w:rPr>
            </w:pPr>
            <w:r>
              <w:rPr>
                <w:rFonts w:hint="eastAsia" w:cs="宋体"/>
                <w:color w:val="auto"/>
                <w:kern w:val="2"/>
                <w:sz w:val="21"/>
                <w:szCs w:val="21"/>
              </w:rPr>
              <w:t>淡黄色至灰白色粉末；几乎无臭；密度：约1.0-1.5 g/cm³；溶解性：溶于水形成粘稠胶液，不溶于有机溶剂；稳定性：较稳定。</w:t>
            </w:r>
          </w:p>
        </w:tc>
      </w:tr>
      <w:tr w14:paraId="1E96CA3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5940829C">
            <w:pPr>
              <w:widowControl w:val="0"/>
              <w:tabs>
                <w:tab w:val="left" w:pos="630"/>
              </w:tabs>
              <w:spacing w:line="360" w:lineRule="exact"/>
              <w:jc w:val="center"/>
              <w:rPr>
                <w:rFonts w:cs="宋体"/>
                <w:color w:val="auto"/>
                <w:szCs w:val="21"/>
              </w:rPr>
            </w:pPr>
            <w:r>
              <w:rPr>
                <w:rFonts w:hint="eastAsia" w:cs="宋体"/>
                <w:color w:val="auto"/>
                <w:szCs w:val="21"/>
              </w:rPr>
              <w:t>13</w:t>
            </w:r>
          </w:p>
        </w:tc>
        <w:tc>
          <w:tcPr>
            <w:tcW w:w="416" w:type="pct"/>
            <w:vAlign w:val="center"/>
          </w:tcPr>
          <w:p w14:paraId="1ADF6D52">
            <w:pPr>
              <w:widowControl w:val="0"/>
              <w:spacing w:line="360" w:lineRule="exact"/>
              <w:jc w:val="center"/>
              <w:rPr>
                <w:rFonts w:cs="宋体"/>
                <w:color w:val="auto"/>
                <w:szCs w:val="21"/>
              </w:rPr>
            </w:pPr>
            <w:r>
              <w:rPr>
                <w:rFonts w:hint="eastAsia" w:cs="宋体"/>
                <w:color w:val="auto"/>
                <w:kern w:val="2"/>
                <w:sz w:val="21"/>
                <w:szCs w:val="21"/>
              </w:rPr>
              <w:t>醋酸钴</w:t>
            </w:r>
          </w:p>
        </w:tc>
        <w:tc>
          <w:tcPr>
            <w:tcW w:w="313" w:type="pct"/>
            <w:vAlign w:val="center"/>
          </w:tcPr>
          <w:p w14:paraId="0871A3AE">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0AA1093B">
            <w:pPr>
              <w:widowControl w:val="0"/>
              <w:spacing w:line="360" w:lineRule="exact"/>
              <w:jc w:val="center"/>
              <w:rPr>
                <w:rFonts w:cs="宋体"/>
                <w:color w:val="auto"/>
                <w:szCs w:val="21"/>
              </w:rPr>
            </w:pPr>
            <w:r>
              <w:rPr>
                <w:rFonts w:hint="eastAsia" w:cs="宋体"/>
                <w:color w:val="auto"/>
                <w:kern w:val="2"/>
                <w:sz w:val="21"/>
                <w:szCs w:val="21"/>
              </w:rPr>
              <w:t>易溶于水、乙醇</w:t>
            </w:r>
          </w:p>
        </w:tc>
        <w:tc>
          <w:tcPr>
            <w:tcW w:w="312" w:type="pct"/>
            <w:vAlign w:val="center"/>
          </w:tcPr>
          <w:p w14:paraId="5EEBC6B1">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16325F3A">
            <w:pPr>
              <w:widowControl w:val="0"/>
              <w:spacing w:line="360" w:lineRule="exact"/>
              <w:jc w:val="center"/>
              <w:rPr>
                <w:rFonts w:cs="宋体"/>
                <w:color w:val="auto"/>
                <w:szCs w:val="21"/>
              </w:rPr>
            </w:pPr>
            <w:r>
              <w:rPr>
                <w:rFonts w:hint="eastAsia" w:cs="宋体"/>
                <w:color w:val="auto"/>
                <w:kern w:val="2"/>
                <w:sz w:val="21"/>
                <w:szCs w:val="21"/>
              </w:rPr>
              <w:t>氧化性固体，类别3；呼吸道致敏物，类别1；皮肤致敏物，类别1；危害水生环境－急性危害，类别1；危害水生环境－长期危害，类别1</w:t>
            </w:r>
          </w:p>
        </w:tc>
        <w:tc>
          <w:tcPr>
            <w:tcW w:w="1987" w:type="pct"/>
            <w:vAlign w:val="center"/>
          </w:tcPr>
          <w:p w14:paraId="257BEF44">
            <w:pPr>
              <w:widowControl w:val="0"/>
              <w:spacing w:line="360" w:lineRule="exact"/>
              <w:ind w:firstLine="420" w:firstLineChars="200"/>
              <w:jc w:val="center"/>
              <w:rPr>
                <w:rFonts w:cs="宋体"/>
                <w:color w:val="auto"/>
                <w:szCs w:val="21"/>
              </w:rPr>
            </w:pPr>
            <w:r>
              <w:rPr>
                <w:rFonts w:hint="eastAsia" w:cs="宋体"/>
                <w:color w:val="auto"/>
                <w:kern w:val="2"/>
                <w:sz w:val="21"/>
                <w:szCs w:val="21"/>
              </w:rPr>
              <w:t>紫红色结晶；有乙酸气味；密度：1.70 g/cm³；溶解性：易溶于水、乙醇，水溶液呈弱酸性；约140℃失去结晶水。</w:t>
            </w:r>
          </w:p>
        </w:tc>
      </w:tr>
      <w:tr w14:paraId="428CC90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19D85089">
            <w:pPr>
              <w:widowControl w:val="0"/>
              <w:tabs>
                <w:tab w:val="left" w:pos="630"/>
              </w:tabs>
              <w:spacing w:line="360" w:lineRule="exact"/>
              <w:jc w:val="center"/>
              <w:rPr>
                <w:rFonts w:cs="宋体"/>
                <w:color w:val="auto"/>
                <w:szCs w:val="21"/>
              </w:rPr>
            </w:pPr>
            <w:r>
              <w:rPr>
                <w:rFonts w:hint="eastAsia" w:cs="宋体"/>
                <w:color w:val="auto"/>
                <w:szCs w:val="21"/>
              </w:rPr>
              <w:t>14</w:t>
            </w:r>
          </w:p>
        </w:tc>
        <w:tc>
          <w:tcPr>
            <w:tcW w:w="416" w:type="pct"/>
            <w:vAlign w:val="center"/>
          </w:tcPr>
          <w:p w14:paraId="1A966639">
            <w:pPr>
              <w:widowControl w:val="0"/>
              <w:spacing w:line="360" w:lineRule="exact"/>
              <w:jc w:val="center"/>
              <w:rPr>
                <w:rFonts w:cs="宋体"/>
                <w:color w:val="auto"/>
                <w:szCs w:val="21"/>
              </w:rPr>
            </w:pPr>
            <w:r>
              <w:rPr>
                <w:rFonts w:hint="eastAsia" w:cs="宋体"/>
                <w:color w:val="auto"/>
                <w:kern w:val="2"/>
                <w:sz w:val="21"/>
                <w:szCs w:val="21"/>
              </w:rPr>
              <w:t>硝酸钨</w:t>
            </w:r>
          </w:p>
        </w:tc>
        <w:tc>
          <w:tcPr>
            <w:tcW w:w="313" w:type="pct"/>
            <w:vAlign w:val="center"/>
          </w:tcPr>
          <w:p w14:paraId="16DC5301">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1D690CFB">
            <w:pPr>
              <w:widowControl w:val="0"/>
              <w:spacing w:line="360" w:lineRule="exact"/>
              <w:jc w:val="center"/>
              <w:rPr>
                <w:rFonts w:cs="宋体"/>
                <w:color w:val="auto"/>
                <w:szCs w:val="21"/>
              </w:rPr>
            </w:pPr>
            <w:r>
              <w:rPr>
                <w:rFonts w:hint="eastAsia" w:cs="宋体"/>
                <w:color w:val="auto"/>
                <w:kern w:val="2"/>
                <w:sz w:val="21"/>
                <w:szCs w:val="21"/>
              </w:rPr>
              <w:t>易溶于水</w:t>
            </w:r>
          </w:p>
        </w:tc>
        <w:tc>
          <w:tcPr>
            <w:tcW w:w="312" w:type="pct"/>
            <w:vAlign w:val="center"/>
          </w:tcPr>
          <w:p w14:paraId="6223B4D3">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0EDCF2F9">
            <w:pPr>
              <w:widowControl w:val="0"/>
              <w:spacing w:line="360" w:lineRule="exact"/>
              <w:jc w:val="center"/>
              <w:rPr>
                <w:rFonts w:cs="宋体"/>
                <w:color w:val="auto"/>
                <w:szCs w:val="21"/>
              </w:rPr>
            </w:pPr>
            <w:r>
              <w:rPr>
                <w:rFonts w:hint="eastAsia" w:cs="宋体"/>
                <w:color w:val="auto"/>
                <w:kern w:val="2"/>
                <w:sz w:val="21"/>
                <w:szCs w:val="21"/>
              </w:rPr>
              <w:t>氧化性固体，类别3。</w:t>
            </w:r>
          </w:p>
        </w:tc>
        <w:tc>
          <w:tcPr>
            <w:tcW w:w="1987" w:type="pct"/>
            <w:vAlign w:val="center"/>
          </w:tcPr>
          <w:p w14:paraId="4D61F8A6">
            <w:pPr>
              <w:widowControl w:val="0"/>
              <w:spacing w:line="360" w:lineRule="exact"/>
              <w:ind w:firstLine="420" w:firstLineChars="200"/>
              <w:jc w:val="center"/>
              <w:rPr>
                <w:rFonts w:cs="宋体"/>
                <w:color w:val="auto"/>
                <w:szCs w:val="21"/>
              </w:rPr>
            </w:pPr>
            <w:r>
              <w:rPr>
                <w:rFonts w:hint="eastAsia" w:cs="宋体"/>
                <w:color w:val="auto"/>
                <w:kern w:val="2"/>
                <w:sz w:val="21"/>
                <w:szCs w:val="21"/>
              </w:rPr>
              <w:t>白色或淡黄色结晶粉末；无臭；密度：约2.8 g/cm³；溶解性：易溶于水，水溶液呈酸性；稳定性：不稳定，受热易分解。</w:t>
            </w:r>
          </w:p>
        </w:tc>
      </w:tr>
      <w:tr w14:paraId="0241DE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2E07F6E4">
            <w:pPr>
              <w:widowControl w:val="0"/>
              <w:tabs>
                <w:tab w:val="left" w:pos="630"/>
              </w:tabs>
              <w:spacing w:line="360" w:lineRule="exact"/>
              <w:jc w:val="center"/>
              <w:rPr>
                <w:rFonts w:cs="宋体"/>
                <w:color w:val="auto"/>
                <w:szCs w:val="21"/>
              </w:rPr>
            </w:pPr>
            <w:r>
              <w:rPr>
                <w:rFonts w:hint="eastAsia" w:cs="宋体"/>
                <w:color w:val="auto"/>
                <w:szCs w:val="21"/>
              </w:rPr>
              <w:t>15</w:t>
            </w:r>
          </w:p>
        </w:tc>
        <w:tc>
          <w:tcPr>
            <w:tcW w:w="416" w:type="pct"/>
            <w:vAlign w:val="center"/>
          </w:tcPr>
          <w:p w14:paraId="02976645">
            <w:pPr>
              <w:widowControl w:val="0"/>
              <w:spacing w:line="360" w:lineRule="exact"/>
              <w:jc w:val="center"/>
              <w:rPr>
                <w:rFonts w:cs="宋体"/>
                <w:color w:val="auto"/>
                <w:szCs w:val="21"/>
              </w:rPr>
            </w:pPr>
            <w:r>
              <w:rPr>
                <w:rFonts w:hint="eastAsia" w:cs="宋体"/>
                <w:color w:val="auto"/>
                <w:kern w:val="2"/>
                <w:sz w:val="21"/>
                <w:szCs w:val="21"/>
              </w:rPr>
              <w:t>醋酸锆</w:t>
            </w:r>
          </w:p>
        </w:tc>
        <w:tc>
          <w:tcPr>
            <w:tcW w:w="313" w:type="pct"/>
            <w:vAlign w:val="center"/>
          </w:tcPr>
          <w:p w14:paraId="053B0597">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44521EE4">
            <w:pPr>
              <w:widowControl w:val="0"/>
              <w:spacing w:line="360" w:lineRule="exact"/>
              <w:jc w:val="center"/>
              <w:rPr>
                <w:rFonts w:cs="宋体"/>
                <w:color w:val="auto"/>
                <w:szCs w:val="21"/>
              </w:rPr>
            </w:pPr>
            <w:r>
              <w:rPr>
                <w:rFonts w:hint="eastAsia" w:cs="宋体"/>
                <w:color w:val="auto"/>
                <w:kern w:val="2"/>
                <w:sz w:val="21"/>
                <w:szCs w:val="21"/>
              </w:rPr>
              <w:t>可溶于水</w:t>
            </w:r>
          </w:p>
        </w:tc>
        <w:tc>
          <w:tcPr>
            <w:tcW w:w="312" w:type="pct"/>
            <w:vAlign w:val="center"/>
          </w:tcPr>
          <w:p w14:paraId="1D77E1AB">
            <w:pPr>
              <w:widowControl w:val="0"/>
              <w:spacing w:line="360" w:lineRule="exact"/>
              <w:jc w:val="center"/>
              <w:rPr>
                <w:rFonts w:cs="宋体"/>
                <w:color w:val="auto"/>
                <w:szCs w:val="21"/>
              </w:rPr>
            </w:pPr>
            <w:r>
              <w:rPr>
                <w:rFonts w:hint="eastAsia" w:cs="宋体"/>
                <w:color w:val="auto"/>
                <w:kern w:val="2"/>
                <w:sz w:val="21"/>
                <w:szCs w:val="21"/>
              </w:rPr>
              <w:t>低毒</w:t>
            </w:r>
          </w:p>
        </w:tc>
        <w:tc>
          <w:tcPr>
            <w:tcW w:w="1301" w:type="pct"/>
            <w:vAlign w:val="center"/>
          </w:tcPr>
          <w:p w14:paraId="1B19274D">
            <w:pPr>
              <w:widowControl w:val="0"/>
              <w:spacing w:line="360" w:lineRule="exact"/>
              <w:jc w:val="center"/>
              <w:rPr>
                <w:rFonts w:cs="宋体"/>
                <w:color w:val="auto"/>
                <w:szCs w:val="21"/>
              </w:rPr>
            </w:pPr>
            <w:r>
              <w:rPr>
                <w:rFonts w:hint="eastAsia" w:cs="宋体"/>
                <w:color w:val="auto"/>
                <w:kern w:val="2"/>
                <w:sz w:val="21"/>
                <w:szCs w:val="21"/>
              </w:rPr>
              <w:t>皮肤腐蚀/刺激，类别2；严重眼损伤/眼刺激，类别2。</w:t>
            </w:r>
          </w:p>
        </w:tc>
        <w:tc>
          <w:tcPr>
            <w:tcW w:w="1987" w:type="pct"/>
            <w:vAlign w:val="center"/>
          </w:tcPr>
          <w:p w14:paraId="2F058812">
            <w:pPr>
              <w:widowControl w:val="0"/>
              <w:spacing w:line="360" w:lineRule="exact"/>
              <w:ind w:firstLine="420" w:firstLineChars="200"/>
              <w:jc w:val="center"/>
              <w:rPr>
                <w:rFonts w:cs="宋体"/>
                <w:color w:val="auto"/>
                <w:szCs w:val="21"/>
              </w:rPr>
            </w:pPr>
            <w:r>
              <w:rPr>
                <w:rFonts w:hint="eastAsia" w:cs="宋体"/>
                <w:color w:val="auto"/>
                <w:kern w:val="2"/>
                <w:sz w:val="21"/>
                <w:szCs w:val="21"/>
              </w:rPr>
              <w:t>白色结晶或粉末；无臭；密度：约1.6 g/cm³；溶解性：可溶于水（部分水解）；稳定性：受热分解。</w:t>
            </w:r>
          </w:p>
        </w:tc>
      </w:tr>
      <w:tr w14:paraId="1379BD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34100407">
            <w:pPr>
              <w:widowControl w:val="0"/>
              <w:tabs>
                <w:tab w:val="left" w:pos="630"/>
              </w:tabs>
              <w:spacing w:line="360" w:lineRule="exact"/>
              <w:jc w:val="center"/>
              <w:rPr>
                <w:rFonts w:cs="宋体"/>
                <w:color w:val="auto"/>
                <w:szCs w:val="21"/>
              </w:rPr>
            </w:pPr>
            <w:r>
              <w:rPr>
                <w:rFonts w:hint="eastAsia" w:cs="宋体"/>
                <w:color w:val="auto"/>
                <w:szCs w:val="21"/>
              </w:rPr>
              <w:t>16</w:t>
            </w:r>
          </w:p>
        </w:tc>
        <w:tc>
          <w:tcPr>
            <w:tcW w:w="416" w:type="pct"/>
            <w:vAlign w:val="center"/>
          </w:tcPr>
          <w:p w14:paraId="6577536A">
            <w:pPr>
              <w:widowControl w:val="0"/>
              <w:spacing w:line="360" w:lineRule="exact"/>
              <w:jc w:val="center"/>
              <w:rPr>
                <w:rFonts w:cs="宋体"/>
                <w:color w:val="auto"/>
                <w:szCs w:val="21"/>
              </w:rPr>
            </w:pPr>
            <w:r>
              <w:rPr>
                <w:rFonts w:hint="eastAsia" w:cs="宋体"/>
                <w:color w:val="auto"/>
                <w:kern w:val="2"/>
                <w:sz w:val="21"/>
                <w:szCs w:val="21"/>
              </w:rPr>
              <w:t>钼酸</w:t>
            </w:r>
          </w:p>
        </w:tc>
        <w:tc>
          <w:tcPr>
            <w:tcW w:w="313" w:type="pct"/>
            <w:vAlign w:val="center"/>
          </w:tcPr>
          <w:p w14:paraId="2DC7F64E">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6B40DE48">
            <w:pPr>
              <w:widowControl w:val="0"/>
              <w:spacing w:line="360" w:lineRule="exact"/>
              <w:jc w:val="center"/>
              <w:rPr>
                <w:rFonts w:cs="宋体"/>
                <w:color w:val="auto"/>
                <w:szCs w:val="21"/>
              </w:rPr>
            </w:pPr>
            <w:r>
              <w:rPr>
                <w:rFonts w:hint="eastAsia" w:cs="宋体"/>
                <w:color w:val="auto"/>
                <w:kern w:val="2"/>
                <w:sz w:val="21"/>
                <w:szCs w:val="21"/>
              </w:rPr>
              <w:t>微溶于水、溶于碱</w:t>
            </w:r>
          </w:p>
        </w:tc>
        <w:tc>
          <w:tcPr>
            <w:tcW w:w="312" w:type="pct"/>
            <w:vAlign w:val="center"/>
          </w:tcPr>
          <w:p w14:paraId="329C6917">
            <w:pPr>
              <w:widowControl w:val="0"/>
              <w:spacing w:line="360" w:lineRule="exact"/>
              <w:jc w:val="center"/>
              <w:rPr>
                <w:rFonts w:cs="宋体"/>
                <w:color w:val="auto"/>
                <w:szCs w:val="21"/>
              </w:rPr>
            </w:pPr>
            <w:r>
              <w:rPr>
                <w:rFonts w:hint="eastAsia" w:cs="宋体"/>
                <w:color w:val="auto"/>
                <w:kern w:val="2"/>
                <w:sz w:val="21"/>
                <w:szCs w:val="21"/>
              </w:rPr>
              <w:t>低毒</w:t>
            </w:r>
          </w:p>
        </w:tc>
        <w:tc>
          <w:tcPr>
            <w:tcW w:w="1301" w:type="pct"/>
            <w:vAlign w:val="center"/>
          </w:tcPr>
          <w:p w14:paraId="357877CA">
            <w:pPr>
              <w:widowControl w:val="0"/>
              <w:spacing w:line="360" w:lineRule="exact"/>
              <w:jc w:val="center"/>
              <w:rPr>
                <w:rFonts w:cs="宋体"/>
                <w:color w:val="auto"/>
                <w:szCs w:val="21"/>
              </w:rPr>
            </w:pPr>
          </w:p>
        </w:tc>
        <w:tc>
          <w:tcPr>
            <w:tcW w:w="1987" w:type="pct"/>
            <w:vAlign w:val="center"/>
          </w:tcPr>
          <w:p w14:paraId="69985174">
            <w:pPr>
              <w:widowControl w:val="0"/>
              <w:spacing w:line="360" w:lineRule="exact"/>
              <w:ind w:firstLine="420" w:firstLineChars="200"/>
              <w:jc w:val="center"/>
              <w:rPr>
                <w:rFonts w:cs="宋体"/>
                <w:color w:val="auto"/>
                <w:szCs w:val="21"/>
              </w:rPr>
            </w:pPr>
            <w:r>
              <w:rPr>
                <w:rFonts w:hint="eastAsia" w:cs="宋体"/>
                <w:color w:val="auto"/>
                <w:kern w:val="2"/>
                <w:sz w:val="21"/>
                <w:szCs w:val="21"/>
              </w:rPr>
              <w:t>白色或微黄色结晶粉末；无臭；密度约3.1 g/cm³；微溶于水，溶于碱液；加热脱水生成MoO</w:t>
            </w:r>
            <w:r>
              <w:rPr>
                <w:rFonts w:ascii="Cambria Math" w:hAnsi="Cambria Math" w:cs="Cambria Math"/>
                <w:color w:val="auto"/>
                <w:kern w:val="2"/>
                <w:sz w:val="21"/>
                <w:szCs w:val="21"/>
              </w:rPr>
              <w:t>₃</w:t>
            </w:r>
            <w:r>
              <w:rPr>
                <w:rFonts w:hint="eastAsia" w:ascii="宋体" w:hAnsi="宋体" w:cs="宋体"/>
                <w:color w:val="auto"/>
                <w:kern w:val="2"/>
                <w:sz w:val="21"/>
                <w:szCs w:val="21"/>
              </w:rPr>
              <w:t>。</w:t>
            </w:r>
          </w:p>
        </w:tc>
      </w:tr>
      <w:tr w14:paraId="191475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4068136C">
            <w:pPr>
              <w:widowControl w:val="0"/>
              <w:tabs>
                <w:tab w:val="left" w:pos="630"/>
              </w:tabs>
              <w:spacing w:line="360" w:lineRule="exact"/>
              <w:jc w:val="center"/>
              <w:rPr>
                <w:rFonts w:cs="宋体"/>
                <w:color w:val="auto"/>
                <w:szCs w:val="21"/>
              </w:rPr>
            </w:pPr>
            <w:r>
              <w:rPr>
                <w:rFonts w:hint="eastAsia" w:cs="宋体"/>
                <w:color w:val="auto"/>
                <w:szCs w:val="21"/>
              </w:rPr>
              <w:t>17</w:t>
            </w:r>
          </w:p>
        </w:tc>
        <w:tc>
          <w:tcPr>
            <w:tcW w:w="416" w:type="pct"/>
            <w:vAlign w:val="center"/>
          </w:tcPr>
          <w:p w14:paraId="73BDDEFD">
            <w:pPr>
              <w:widowControl w:val="0"/>
              <w:spacing w:line="360" w:lineRule="exact"/>
              <w:jc w:val="center"/>
              <w:rPr>
                <w:rFonts w:cs="宋体"/>
                <w:color w:val="auto"/>
                <w:szCs w:val="21"/>
              </w:rPr>
            </w:pPr>
            <w:r>
              <w:rPr>
                <w:rFonts w:hint="eastAsia" w:cs="宋体"/>
                <w:color w:val="auto"/>
                <w:kern w:val="2"/>
                <w:sz w:val="21"/>
                <w:szCs w:val="21"/>
              </w:rPr>
              <w:t>醋酸铁</w:t>
            </w:r>
          </w:p>
        </w:tc>
        <w:tc>
          <w:tcPr>
            <w:tcW w:w="313" w:type="pct"/>
            <w:vAlign w:val="center"/>
          </w:tcPr>
          <w:p w14:paraId="5620780F">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36AAC3DF">
            <w:pPr>
              <w:widowControl w:val="0"/>
              <w:spacing w:line="360" w:lineRule="exact"/>
              <w:jc w:val="center"/>
              <w:rPr>
                <w:rFonts w:cs="宋体"/>
                <w:color w:val="auto"/>
                <w:szCs w:val="21"/>
              </w:rPr>
            </w:pPr>
            <w:r>
              <w:rPr>
                <w:rFonts w:hint="eastAsia" w:cs="宋体"/>
                <w:color w:val="auto"/>
                <w:kern w:val="2"/>
                <w:sz w:val="21"/>
                <w:szCs w:val="21"/>
              </w:rPr>
              <w:t>易溶于水、乙醇</w:t>
            </w:r>
          </w:p>
        </w:tc>
        <w:tc>
          <w:tcPr>
            <w:tcW w:w="312" w:type="pct"/>
            <w:vAlign w:val="center"/>
          </w:tcPr>
          <w:p w14:paraId="5029157B">
            <w:pPr>
              <w:widowControl w:val="0"/>
              <w:spacing w:line="360" w:lineRule="exact"/>
              <w:jc w:val="center"/>
              <w:rPr>
                <w:rFonts w:cs="宋体"/>
                <w:color w:val="auto"/>
                <w:szCs w:val="21"/>
              </w:rPr>
            </w:pPr>
            <w:r>
              <w:rPr>
                <w:rFonts w:hint="eastAsia" w:cs="宋体"/>
                <w:color w:val="auto"/>
                <w:kern w:val="2"/>
                <w:sz w:val="21"/>
                <w:szCs w:val="21"/>
              </w:rPr>
              <w:t>微毒</w:t>
            </w:r>
          </w:p>
        </w:tc>
        <w:tc>
          <w:tcPr>
            <w:tcW w:w="1301" w:type="pct"/>
            <w:vAlign w:val="center"/>
          </w:tcPr>
          <w:p w14:paraId="5329F6DC">
            <w:pPr>
              <w:widowControl w:val="0"/>
              <w:spacing w:line="360" w:lineRule="exact"/>
              <w:jc w:val="center"/>
              <w:rPr>
                <w:rFonts w:cs="宋体"/>
                <w:color w:val="auto"/>
                <w:szCs w:val="21"/>
              </w:rPr>
            </w:pPr>
          </w:p>
        </w:tc>
        <w:tc>
          <w:tcPr>
            <w:tcW w:w="1987" w:type="pct"/>
            <w:vAlign w:val="center"/>
          </w:tcPr>
          <w:p w14:paraId="0BF03456">
            <w:pPr>
              <w:widowControl w:val="0"/>
              <w:spacing w:line="360" w:lineRule="exact"/>
              <w:ind w:firstLine="420" w:firstLineChars="200"/>
              <w:jc w:val="center"/>
              <w:rPr>
                <w:rFonts w:cs="宋体"/>
                <w:color w:val="auto"/>
                <w:szCs w:val="21"/>
              </w:rPr>
            </w:pPr>
            <w:r>
              <w:rPr>
                <w:rFonts w:hint="eastAsia" w:cs="宋体"/>
                <w:color w:val="auto"/>
                <w:kern w:val="2"/>
                <w:sz w:val="21"/>
                <w:szCs w:val="21"/>
              </w:rPr>
              <w:t>红棕色结晶或粉末；有乙酸气味；密度：约1.7 g/cm³；溶解性：易溶于水、乙醇；水溶液易水解呈褐色。</w:t>
            </w:r>
          </w:p>
        </w:tc>
      </w:tr>
      <w:tr w14:paraId="6946563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40F13F4F">
            <w:pPr>
              <w:widowControl w:val="0"/>
              <w:tabs>
                <w:tab w:val="left" w:pos="630"/>
              </w:tabs>
              <w:spacing w:line="360" w:lineRule="exact"/>
              <w:jc w:val="center"/>
              <w:rPr>
                <w:rFonts w:cs="宋体"/>
                <w:color w:val="auto"/>
                <w:szCs w:val="21"/>
              </w:rPr>
            </w:pPr>
            <w:r>
              <w:rPr>
                <w:rFonts w:hint="eastAsia" w:cs="宋体"/>
                <w:color w:val="auto"/>
                <w:szCs w:val="21"/>
              </w:rPr>
              <w:t>18</w:t>
            </w:r>
          </w:p>
        </w:tc>
        <w:tc>
          <w:tcPr>
            <w:tcW w:w="416" w:type="pct"/>
            <w:vAlign w:val="center"/>
          </w:tcPr>
          <w:p w14:paraId="02169EC8">
            <w:pPr>
              <w:widowControl w:val="0"/>
              <w:spacing w:line="360" w:lineRule="exact"/>
              <w:jc w:val="center"/>
              <w:rPr>
                <w:rFonts w:cs="宋体"/>
                <w:color w:val="auto"/>
                <w:szCs w:val="21"/>
              </w:rPr>
            </w:pPr>
            <w:r>
              <w:rPr>
                <w:rFonts w:hint="eastAsia" w:cs="宋体"/>
                <w:color w:val="auto"/>
                <w:kern w:val="2"/>
                <w:sz w:val="21"/>
                <w:szCs w:val="21"/>
              </w:rPr>
              <w:t>醋酸镍</w:t>
            </w:r>
          </w:p>
        </w:tc>
        <w:tc>
          <w:tcPr>
            <w:tcW w:w="313" w:type="pct"/>
            <w:vAlign w:val="center"/>
          </w:tcPr>
          <w:p w14:paraId="38D61368">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07B351D5">
            <w:pPr>
              <w:widowControl w:val="0"/>
              <w:spacing w:line="360" w:lineRule="exact"/>
              <w:jc w:val="center"/>
              <w:rPr>
                <w:rFonts w:cs="宋体"/>
                <w:color w:val="auto"/>
                <w:szCs w:val="21"/>
              </w:rPr>
            </w:pPr>
            <w:r>
              <w:rPr>
                <w:rFonts w:hint="eastAsia" w:cs="宋体"/>
                <w:color w:val="auto"/>
                <w:kern w:val="2"/>
                <w:sz w:val="21"/>
                <w:szCs w:val="21"/>
              </w:rPr>
              <w:t>易溶于水、乙醇</w:t>
            </w:r>
          </w:p>
        </w:tc>
        <w:tc>
          <w:tcPr>
            <w:tcW w:w="312" w:type="pct"/>
            <w:vAlign w:val="center"/>
          </w:tcPr>
          <w:p w14:paraId="055702B8">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760FF201">
            <w:pPr>
              <w:widowControl w:val="0"/>
              <w:spacing w:line="360" w:lineRule="exact"/>
              <w:jc w:val="center"/>
              <w:rPr>
                <w:rFonts w:cs="宋体"/>
                <w:color w:val="auto"/>
                <w:szCs w:val="21"/>
              </w:rPr>
            </w:pPr>
            <w:r>
              <w:rPr>
                <w:rFonts w:hint="eastAsia" w:cs="宋体"/>
                <w:color w:val="auto"/>
                <w:kern w:val="2"/>
                <w:sz w:val="21"/>
                <w:szCs w:val="21"/>
              </w:rPr>
              <w:t>呼吸道致敏物，类别1；皮肤致敏物，类别1；致癌性，类别1；致突变性，类别2；危害水生环境－长期危害，类别2。</w:t>
            </w:r>
          </w:p>
        </w:tc>
        <w:tc>
          <w:tcPr>
            <w:tcW w:w="1987" w:type="pct"/>
            <w:vAlign w:val="center"/>
          </w:tcPr>
          <w:p w14:paraId="5CC41429">
            <w:pPr>
              <w:widowControl w:val="0"/>
              <w:spacing w:line="360" w:lineRule="exact"/>
              <w:ind w:firstLine="420" w:firstLineChars="200"/>
              <w:jc w:val="center"/>
              <w:rPr>
                <w:rFonts w:cs="宋体"/>
                <w:color w:val="auto"/>
                <w:szCs w:val="21"/>
              </w:rPr>
            </w:pPr>
            <w:r>
              <w:rPr>
                <w:rFonts w:hint="eastAsia" w:cs="宋体"/>
                <w:color w:val="auto"/>
                <w:kern w:val="2"/>
                <w:sz w:val="21"/>
                <w:szCs w:val="21"/>
              </w:rPr>
              <w:t>绿色结晶；有乙酸气味；密度：1.80 g/cm³；溶解性：易溶于水、乙醇，水溶液呈弱酸性；约137℃失去结晶水。</w:t>
            </w:r>
          </w:p>
        </w:tc>
      </w:tr>
      <w:tr w14:paraId="248B10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4A665658">
            <w:pPr>
              <w:widowControl w:val="0"/>
              <w:tabs>
                <w:tab w:val="left" w:pos="630"/>
              </w:tabs>
              <w:spacing w:line="360" w:lineRule="exact"/>
              <w:jc w:val="center"/>
              <w:rPr>
                <w:rFonts w:cs="宋体"/>
                <w:color w:val="auto"/>
                <w:szCs w:val="21"/>
              </w:rPr>
            </w:pPr>
            <w:r>
              <w:rPr>
                <w:rFonts w:hint="eastAsia" w:cs="宋体"/>
                <w:color w:val="auto"/>
                <w:szCs w:val="21"/>
              </w:rPr>
              <w:t>19</w:t>
            </w:r>
          </w:p>
        </w:tc>
        <w:tc>
          <w:tcPr>
            <w:tcW w:w="416" w:type="pct"/>
            <w:vAlign w:val="center"/>
          </w:tcPr>
          <w:p w14:paraId="530B4A0E">
            <w:pPr>
              <w:widowControl w:val="0"/>
              <w:spacing w:line="360" w:lineRule="exact"/>
              <w:jc w:val="center"/>
              <w:rPr>
                <w:rFonts w:cs="宋体"/>
                <w:color w:val="auto"/>
                <w:szCs w:val="21"/>
              </w:rPr>
            </w:pPr>
            <w:r>
              <w:rPr>
                <w:rFonts w:hint="eastAsia" w:cs="宋体"/>
                <w:color w:val="auto"/>
                <w:kern w:val="2"/>
                <w:sz w:val="21"/>
                <w:szCs w:val="21"/>
              </w:rPr>
              <w:t>醋酸铜</w:t>
            </w:r>
          </w:p>
        </w:tc>
        <w:tc>
          <w:tcPr>
            <w:tcW w:w="313" w:type="pct"/>
            <w:vAlign w:val="center"/>
          </w:tcPr>
          <w:p w14:paraId="7324DDFD">
            <w:pPr>
              <w:widowControl w:val="0"/>
              <w:spacing w:line="360" w:lineRule="exact"/>
              <w:jc w:val="center"/>
              <w:rPr>
                <w:rFonts w:cs="宋体"/>
                <w:color w:val="auto"/>
                <w:szCs w:val="21"/>
              </w:rPr>
            </w:pPr>
            <w:r>
              <w:rPr>
                <w:rFonts w:hint="eastAsia" w:cs="宋体"/>
                <w:color w:val="auto"/>
                <w:kern w:val="2"/>
                <w:sz w:val="21"/>
                <w:szCs w:val="21"/>
              </w:rPr>
              <w:t>固体</w:t>
            </w:r>
          </w:p>
        </w:tc>
        <w:tc>
          <w:tcPr>
            <w:tcW w:w="467" w:type="pct"/>
            <w:vAlign w:val="center"/>
          </w:tcPr>
          <w:p w14:paraId="68652A1E">
            <w:pPr>
              <w:widowControl w:val="0"/>
              <w:spacing w:line="360" w:lineRule="exact"/>
              <w:jc w:val="center"/>
              <w:rPr>
                <w:rFonts w:cs="宋体"/>
                <w:color w:val="auto"/>
                <w:szCs w:val="21"/>
              </w:rPr>
            </w:pPr>
            <w:r>
              <w:rPr>
                <w:rFonts w:hint="eastAsia" w:cs="宋体"/>
                <w:color w:val="auto"/>
                <w:kern w:val="2"/>
                <w:sz w:val="21"/>
                <w:szCs w:val="21"/>
              </w:rPr>
              <w:t>易溶于水、乙醇</w:t>
            </w:r>
          </w:p>
        </w:tc>
        <w:tc>
          <w:tcPr>
            <w:tcW w:w="312" w:type="pct"/>
            <w:vAlign w:val="center"/>
          </w:tcPr>
          <w:p w14:paraId="0C0DC0CE">
            <w:pPr>
              <w:widowControl w:val="0"/>
              <w:spacing w:line="360" w:lineRule="exact"/>
              <w:jc w:val="center"/>
              <w:rPr>
                <w:rFonts w:cs="宋体"/>
                <w:color w:val="auto"/>
                <w:szCs w:val="21"/>
              </w:rPr>
            </w:pPr>
            <w:r>
              <w:rPr>
                <w:rFonts w:hint="eastAsia" w:cs="宋体"/>
                <w:color w:val="auto"/>
                <w:kern w:val="2"/>
                <w:sz w:val="21"/>
                <w:szCs w:val="21"/>
              </w:rPr>
              <w:t>有毒</w:t>
            </w:r>
          </w:p>
        </w:tc>
        <w:tc>
          <w:tcPr>
            <w:tcW w:w="1301" w:type="pct"/>
            <w:vAlign w:val="center"/>
          </w:tcPr>
          <w:p w14:paraId="06AA54A3">
            <w:pPr>
              <w:widowControl w:val="0"/>
              <w:spacing w:line="360" w:lineRule="exact"/>
              <w:jc w:val="center"/>
              <w:rPr>
                <w:rFonts w:cs="宋体"/>
                <w:color w:val="auto"/>
                <w:szCs w:val="21"/>
              </w:rPr>
            </w:pPr>
            <w:r>
              <w:rPr>
                <w:rFonts w:hint="eastAsia" w:cs="宋体"/>
                <w:color w:val="auto"/>
                <w:kern w:val="2"/>
                <w:sz w:val="21"/>
                <w:szCs w:val="21"/>
              </w:rPr>
              <w:t>急性毒性－口服，类别4；危害水生环境－急性危害，类别1；危害水生环境－长期危害，类别1。</w:t>
            </w:r>
          </w:p>
        </w:tc>
        <w:tc>
          <w:tcPr>
            <w:tcW w:w="1987" w:type="pct"/>
            <w:vAlign w:val="center"/>
          </w:tcPr>
          <w:p w14:paraId="4F7DB4BA">
            <w:pPr>
              <w:widowControl w:val="0"/>
              <w:spacing w:line="360" w:lineRule="exact"/>
              <w:ind w:firstLine="420" w:firstLineChars="200"/>
              <w:jc w:val="center"/>
              <w:rPr>
                <w:rFonts w:cs="宋体"/>
                <w:color w:val="auto"/>
                <w:szCs w:val="21"/>
              </w:rPr>
            </w:pPr>
            <w:r>
              <w:rPr>
                <w:rFonts w:hint="eastAsia" w:cs="宋体"/>
                <w:color w:val="auto"/>
                <w:kern w:val="2"/>
                <w:sz w:val="21"/>
                <w:szCs w:val="21"/>
              </w:rPr>
              <w:t>暗绿色结晶或粉末；有乙酸气味；密度：1.88 g/cm³；溶解性：易溶于水、乙醇，水溶液呈弱酸性。</w:t>
            </w:r>
          </w:p>
        </w:tc>
      </w:tr>
      <w:tr w14:paraId="1358C4D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4" w:type="pct"/>
            <w:vAlign w:val="center"/>
          </w:tcPr>
          <w:p w14:paraId="05FD0D74">
            <w:pPr>
              <w:widowControl w:val="0"/>
              <w:tabs>
                <w:tab w:val="left" w:pos="630"/>
              </w:tabs>
              <w:spacing w:line="360" w:lineRule="exact"/>
              <w:jc w:val="center"/>
              <w:rPr>
                <w:rFonts w:cs="宋体"/>
                <w:color w:val="auto"/>
                <w:szCs w:val="21"/>
              </w:rPr>
            </w:pPr>
            <w:r>
              <w:rPr>
                <w:rFonts w:hint="eastAsia" w:cs="宋体"/>
                <w:color w:val="auto"/>
                <w:szCs w:val="21"/>
              </w:rPr>
              <w:t>20</w:t>
            </w:r>
          </w:p>
        </w:tc>
        <w:tc>
          <w:tcPr>
            <w:tcW w:w="416" w:type="pct"/>
            <w:vAlign w:val="center"/>
          </w:tcPr>
          <w:p w14:paraId="57F9C673">
            <w:pPr>
              <w:widowControl w:val="0"/>
              <w:spacing w:line="360" w:lineRule="exact"/>
              <w:jc w:val="center"/>
              <w:rPr>
                <w:rFonts w:cs="宋体"/>
                <w:color w:val="auto"/>
                <w:szCs w:val="21"/>
              </w:rPr>
            </w:pPr>
            <w:r>
              <w:rPr>
                <w:rFonts w:hint="eastAsia" w:cs="宋体"/>
                <w:color w:val="auto"/>
                <w:kern w:val="2"/>
                <w:sz w:val="21"/>
                <w:szCs w:val="21"/>
              </w:rPr>
              <w:t>二氧化碳</w:t>
            </w:r>
          </w:p>
        </w:tc>
        <w:tc>
          <w:tcPr>
            <w:tcW w:w="313" w:type="pct"/>
            <w:vAlign w:val="center"/>
          </w:tcPr>
          <w:p w14:paraId="243F032B">
            <w:pPr>
              <w:widowControl w:val="0"/>
              <w:spacing w:line="360" w:lineRule="exact"/>
              <w:jc w:val="center"/>
              <w:rPr>
                <w:rFonts w:cs="宋体"/>
                <w:color w:val="auto"/>
                <w:szCs w:val="21"/>
              </w:rPr>
            </w:pPr>
            <w:r>
              <w:rPr>
                <w:rFonts w:hint="eastAsia" w:cs="宋体"/>
                <w:color w:val="auto"/>
                <w:kern w:val="2"/>
                <w:sz w:val="21"/>
                <w:szCs w:val="21"/>
              </w:rPr>
              <w:t>气体</w:t>
            </w:r>
          </w:p>
        </w:tc>
        <w:tc>
          <w:tcPr>
            <w:tcW w:w="467" w:type="pct"/>
            <w:vAlign w:val="center"/>
          </w:tcPr>
          <w:p w14:paraId="206956D9">
            <w:pPr>
              <w:widowControl w:val="0"/>
              <w:spacing w:line="360" w:lineRule="exact"/>
              <w:jc w:val="center"/>
              <w:rPr>
                <w:rFonts w:cs="宋体"/>
                <w:color w:val="auto"/>
                <w:szCs w:val="21"/>
              </w:rPr>
            </w:pPr>
            <w:r>
              <w:rPr>
                <w:rFonts w:hint="eastAsia" w:cs="宋体"/>
                <w:color w:val="auto"/>
                <w:kern w:val="2"/>
                <w:sz w:val="21"/>
                <w:szCs w:val="21"/>
              </w:rPr>
              <w:t>可溶于水、烃类</w:t>
            </w:r>
          </w:p>
        </w:tc>
        <w:tc>
          <w:tcPr>
            <w:tcW w:w="312" w:type="pct"/>
            <w:vAlign w:val="center"/>
          </w:tcPr>
          <w:p w14:paraId="04358E97">
            <w:pPr>
              <w:widowControl w:val="0"/>
              <w:spacing w:line="360" w:lineRule="exact"/>
              <w:jc w:val="center"/>
              <w:rPr>
                <w:rFonts w:cs="宋体"/>
                <w:color w:val="auto"/>
                <w:szCs w:val="21"/>
              </w:rPr>
            </w:pPr>
            <w:r>
              <w:rPr>
                <w:rFonts w:hint="eastAsia" w:cs="宋体"/>
                <w:color w:val="auto"/>
                <w:kern w:val="2"/>
                <w:sz w:val="21"/>
                <w:szCs w:val="21"/>
              </w:rPr>
              <w:t>低毒</w:t>
            </w:r>
          </w:p>
        </w:tc>
        <w:tc>
          <w:tcPr>
            <w:tcW w:w="1301" w:type="pct"/>
            <w:vAlign w:val="center"/>
          </w:tcPr>
          <w:p w14:paraId="15ABDC79">
            <w:pPr>
              <w:widowControl w:val="0"/>
              <w:spacing w:line="360" w:lineRule="exact"/>
              <w:jc w:val="center"/>
              <w:rPr>
                <w:rFonts w:cs="宋体"/>
                <w:color w:val="auto"/>
                <w:szCs w:val="21"/>
              </w:rPr>
            </w:pPr>
            <w:r>
              <w:rPr>
                <w:rFonts w:hint="eastAsia" w:cs="宋体"/>
                <w:color w:val="auto"/>
                <w:kern w:val="2"/>
                <w:sz w:val="21"/>
                <w:szCs w:val="21"/>
              </w:rPr>
              <w:t>若遇高热，容器内压增大，有开裂和爆炸的危险。加压气体；特异性靶器官毒性－一次接触，类别3（麻醉效应）。</w:t>
            </w:r>
          </w:p>
        </w:tc>
        <w:tc>
          <w:tcPr>
            <w:tcW w:w="1987" w:type="pct"/>
            <w:vAlign w:val="center"/>
          </w:tcPr>
          <w:p w14:paraId="7D35C879">
            <w:pPr>
              <w:widowControl w:val="0"/>
              <w:spacing w:line="360" w:lineRule="exact"/>
              <w:ind w:firstLine="420" w:firstLineChars="200"/>
              <w:jc w:val="center"/>
              <w:rPr>
                <w:rFonts w:cs="宋体"/>
                <w:color w:val="auto"/>
                <w:szCs w:val="21"/>
              </w:rPr>
            </w:pPr>
            <w:r>
              <w:rPr>
                <w:rFonts w:hint="eastAsia" w:cs="宋体"/>
                <w:color w:val="auto"/>
                <w:kern w:val="2"/>
                <w:sz w:val="21"/>
                <w:szCs w:val="21"/>
              </w:rPr>
              <w:t>无色无臭气体；相对密度（空气=1）：1.53 ；溶解性：可溶于水、烃类等多数有机溶剂；稳定性：稳定，不可燃；沸点：-78.5℃（升华）。</w:t>
            </w:r>
          </w:p>
        </w:tc>
      </w:tr>
    </w:tbl>
    <w:p w14:paraId="4F8441BF">
      <w:pPr>
        <w:pStyle w:val="1304"/>
        <w:rPr>
          <w:color w:val="auto"/>
          <w:lang w:bidi="en-US"/>
        </w:rPr>
      </w:pPr>
    </w:p>
    <w:p w14:paraId="1FDB2DD5">
      <w:pPr>
        <w:pStyle w:val="4"/>
        <w:rPr>
          <w:color w:val="auto"/>
          <w:lang w:bidi="en-US"/>
        </w:rPr>
      </w:pPr>
      <w:r>
        <w:rPr>
          <w:rFonts w:hint="eastAsia"/>
          <w:color w:val="auto"/>
          <w:lang w:bidi="en-US"/>
        </w:rPr>
        <w:t>平衡分析</w:t>
      </w:r>
    </w:p>
    <w:p w14:paraId="002C1DFA">
      <w:pPr>
        <w:pStyle w:val="132"/>
        <w:numPr>
          <w:ilvl w:val="0"/>
          <w:numId w:val="0"/>
        </w:numPr>
        <w:ind w:left="480" w:leftChars="0"/>
        <w:rPr>
          <w:rFonts w:hint="eastAsia" w:eastAsia="宋体"/>
          <w:color w:val="auto"/>
          <w:lang w:val="en-US" w:eastAsia="zh-CN"/>
        </w:rPr>
      </w:pPr>
      <w:r>
        <w:rPr>
          <w:rFonts w:hint="eastAsia"/>
          <w:color w:val="auto"/>
          <w:lang w:val="en-US" w:eastAsia="zh-CN"/>
        </w:rPr>
        <w:t>（略）</w:t>
      </w:r>
    </w:p>
    <w:p w14:paraId="6AA564D5">
      <w:pPr>
        <w:pStyle w:val="4"/>
        <w:rPr>
          <w:color w:val="auto"/>
        </w:rPr>
      </w:pPr>
      <w:r>
        <w:rPr>
          <w:rFonts w:hint="eastAsia"/>
          <w:color w:val="auto"/>
        </w:rPr>
        <w:t>主要设备</w:t>
      </w:r>
    </w:p>
    <w:p w14:paraId="53A19A9E">
      <w:pPr>
        <w:pStyle w:val="132"/>
        <w:numPr>
          <w:ilvl w:val="0"/>
          <w:numId w:val="0"/>
        </w:numPr>
        <w:ind w:left="480" w:leftChars="0"/>
        <w:rPr>
          <w:rFonts w:hint="eastAsia" w:ascii="宋体" w:hAnsi="宋体"/>
          <w:color w:val="auto"/>
          <w:sz w:val="28"/>
          <w:szCs w:val="28"/>
        </w:rPr>
      </w:pPr>
      <w:r>
        <w:rPr>
          <w:rFonts w:hint="eastAsia"/>
          <w:color w:val="auto"/>
          <w:lang w:val="en-US" w:eastAsia="zh-CN"/>
        </w:rPr>
        <w:t>（略）</w:t>
      </w:r>
    </w:p>
    <w:p w14:paraId="79B57C28">
      <w:pPr>
        <w:pStyle w:val="3"/>
        <w:rPr>
          <w:color w:val="auto"/>
        </w:rPr>
      </w:pPr>
      <w:bookmarkStart w:id="222" w:name="_Toc229930124"/>
      <w:r>
        <w:rPr>
          <w:rFonts w:hint="eastAsia"/>
          <w:color w:val="auto"/>
        </w:rPr>
        <w:t>厂内工程</w:t>
      </w:r>
      <w:r>
        <w:rPr>
          <w:color w:val="auto"/>
        </w:rPr>
        <w:t>污染源源强核算及污染物产排情况</w:t>
      </w:r>
      <w:bookmarkEnd w:id="222"/>
    </w:p>
    <w:p w14:paraId="426905CA">
      <w:pPr>
        <w:pStyle w:val="4"/>
        <w:rPr>
          <w:color w:val="auto"/>
        </w:rPr>
      </w:pPr>
      <w:r>
        <w:rPr>
          <w:rFonts w:hint="eastAsia"/>
          <w:color w:val="auto"/>
        </w:rPr>
        <w:t>废气污染源源强核算及污染物产排情况</w:t>
      </w:r>
    </w:p>
    <w:p w14:paraId="6DF52181">
      <w:pPr>
        <w:pStyle w:val="132"/>
        <w:ind w:firstLine="424" w:firstLineChars="177"/>
        <w:rPr>
          <w:color w:val="auto"/>
        </w:rPr>
      </w:pPr>
    </w:p>
    <w:p w14:paraId="70134ADF">
      <w:pPr>
        <w:pStyle w:val="132"/>
        <w:ind w:firstLine="424" w:firstLineChars="177"/>
        <w:rPr>
          <w:color w:val="auto"/>
        </w:rPr>
      </w:pPr>
    </w:p>
    <w:p w14:paraId="2F2C3457">
      <w:pPr>
        <w:pStyle w:val="132"/>
        <w:ind w:firstLine="424" w:firstLineChars="177"/>
        <w:rPr>
          <w:color w:val="auto"/>
        </w:rPr>
        <w:sectPr>
          <w:pgSz w:w="11906" w:h="16838"/>
          <w:pgMar w:top="1440" w:right="1588" w:bottom="1389" w:left="1588" w:header="737" w:footer="822" w:gutter="0"/>
          <w:cols w:space="425" w:num="1"/>
          <w:docGrid w:type="lines" w:linePitch="312" w:charSpace="0"/>
        </w:sectPr>
      </w:pPr>
    </w:p>
    <w:p w14:paraId="4DE0B3AA">
      <w:pPr>
        <w:pStyle w:val="1060"/>
        <w:rPr>
          <w:color w:val="auto"/>
        </w:rPr>
      </w:pPr>
      <w:bookmarkStart w:id="223" w:name="_Hlk173923906"/>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本项目废气污染源汇总</w:t>
      </w:r>
    </w:p>
    <w:tbl>
      <w:tblPr>
        <w:tblStyle w:val="1937"/>
        <w:tblW w:w="2134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41"/>
        <w:gridCol w:w="1540"/>
        <w:gridCol w:w="1358"/>
        <w:gridCol w:w="1470"/>
        <w:gridCol w:w="1133"/>
        <w:gridCol w:w="1417"/>
        <w:gridCol w:w="1275"/>
        <w:gridCol w:w="1133"/>
        <w:gridCol w:w="1523"/>
        <w:gridCol w:w="1025"/>
        <w:gridCol w:w="1373"/>
        <w:gridCol w:w="1177"/>
        <w:gridCol w:w="1274"/>
        <w:gridCol w:w="946"/>
        <w:gridCol w:w="959"/>
        <w:gridCol w:w="759"/>
        <w:gridCol w:w="699"/>
        <w:gridCol w:w="1538"/>
      </w:tblGrid>
      <w:tr w14:paraId="381421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741" w:type="dxa"/>
            <w:vMerge w:val="restart"/>
            <w:vAlign w:val="center"/>
          </w:tcPr>
          <w:p w14:paraId="4059543A">
            <w:pPr>
              <w:widowControl w:val="0"/>
              <w:jc w:val="center"/>
              <w:rPr>
                <w:color w:val="auto"/>
                <w:sz w:val="21"/>
                <w:szCs w:val="21"/>
              </w:rPr>
            </w:pPr>
            <w:r>
              <w:rPr>
                <w:color w:val="auto"/>
                <w:sz w:val="21"/>
                <w:szCs w:val="21"/>
              </w:rPr>
              <w:t>编号</w:t>
            </w:r>
          </w:p>
        </w:tc>
        <w:tc>
          <w:tcPr>
            <w:tcW w:w="1540" w:type="dxa"/>
            <w:vMerge w:val="restart"/>
            <w:vAlign w:val="center"/>
          </w:tcPr>
          <w:p w14:paraId="3E011C3F">
            <w:pPr>
              <w:widowControl w:val="0"/>
              <w:jc w:val="center"/>
              <w:rPr>
                <w:color w:val="auto"/>
                <w:sz w:val="21"/>
                <w:szCs w:val="21"/>
              </w:rPr>
            </w:pPr>
            <w:r>
              <w:rPr>
                <w:color w:val="auto"/>
                <w:sz w:val="21"/>
                <w:szCs w:val="21"/>
              </w:rPr>
              <w:t>污染源</w:t>
            </w:r>
          </w:p>
        </w:tc>
        <w:tc>
          <w:tcPr>
            <w:tcW w:w="1358" w:type="dxa"/>
            <w:vMerge w:val="restart"/>
            <w:vAlign w:val="center"/>
          </w:tcPr>
          <w:p w14:paraId="4BA57B4C">
            <w:pPr>
              <w:widowControl w:val="0"/>
              <w:jc w:val="center"/>
              <w:rPr>
                <w:color w:val="auto"/>
                <w:sz w:val="21"/>
                <w:szCs w:val="21"/>
              </w:rPr>
            </w:pPr>
            <w:r>
              <w:rPr>
                <w:color w:val="auto"/>
                <w:sz w:val="21"/>
                <w:szCs w:val="21"/>
              </w:rPr>
              <w:t>污染物/组成</w:t>
            </w:r>
          </w:p>
        </w:tc>
        <w:tc>
          <w:tcPr>
            <w:tcW w:w="1470" w:type="dxa"/>
            <w:vMerge w:val="restart"/>
            <w:vAlign w:val="center"/>
          </w:tcPr>
          <w:p w14:paraId="2677E75B">
            <w:pPr>
              <w:widowControl w:val="0"/>
              <w:jc w:val="center"/>
              <w:rPr>
                <w:color w:val="auto"/>
                <w:sz w:val="21"/>
                <w:szCs w:val="21"/>
              </w:rPr>
            </w:pPr>
            <w:r>
              <w:rPr>
                <w:color w:val="auto"/>
                <w:sz w:val="21"/>
                <w:szCs w:val="21"/>
              </w:rPr>
              <w:t>核算方法</w:t>
            </w:r>
          </w:p>
        </w:tc>
        <w:tc>
          <w:tcPr>
            <w:tcW w:w="1133" w:type="dxa"/>
            <w:vMerge w:val="restart"/>
            <w:vAlign w:val="center"/>
          </w:tcPr>
          <w:p w14:paraId="60F3523E">
            <w:pPr>
              <w:widowControl w:val="0"/>
              <w:jc w:val="center"/>
              <w:rPr>
                <w:color w:val="auto"/>
                <w:sz w:val="21"/>
                <w:szCs w:val="21"/>
              </w:rPr>
            </w:pPr>
            <w:r>
              <w:rPr>
                <w:color w:val="auto"/>
                <w:sz w:val="21"/>
                <w:szCs w:val="21"/>
              </w:rPr>
              <w:t>废气量/（m</w:t>
            </w:r>
            <w:r>
              <w:rPr>
                <w:color w:val="auto"/>
                <w:sz w:val="21"/>
                <w:szCs w:val="21"/>
                <w:vertAlign w:val="superscript"/>
              </w:rPr>
              <w:t>3</w:t>
            </w:r>
            <w:r>
              <w:rPr>
                <w:color w:val="auto"/>
                <w:sz w:val="21"/>
                <w:szCs w:val="21"/>
              </w:rPr>
              <w:t>/h）</w:t>
            </w:r>
          </w:p>
        </w:tc>
        <w:tc>
          <w:tcPr>
            <w:tcW w:w="3825" w:type="dxa"/>
            <w:gridSpan w:val="3"/>
            <w:vAlign w:val="center"/>
          </w:tcPr>
          <w:p w14:paraId="71A6F999">
            <w:pPr>
              <w:widowControl w:val="0"/>
              <w:jc w:val="center"/>
              <w:rPr>
                <w:color w:val="auto"/>
                <w:sz w:val="21"/>
                <w:szCs w:val="21"/>
              </w:rPr>
            </w:pPr>
            <w:r>
              <w:rPr>
                <w:color w:val="auto"/>
                <w:sz w:val="21"/>
                <w:szCs w:val="21"/>
              </w:rPr>
              <w:t>污染物产生</w:t>
            </w:r>
          </w:p>
        </w:tc>
        <w:tc>
          <w:tcPr>
            <w:tcW w:w="2548" w:type="dxa"/>
            <w:gridSpan w:val="2"/>
            <w:vAlign w:val="center"/>
          </w:tcPr>
          <w:p w14:paraId="2DC2640F">
            <w:pPr>
              <w:widowControl w:val="0"/>
              <w:jc w:val="center"/>
              <w:rPr>
                <w:color w:val="auto"/>
                <w:sz w:val="21"/>
                <w:szCs w:val="21"/>
              </w:rPr>
            </w:pPr>
            <w:r>
              <w:rPr>
                <w:color w:val="auto"/>
                <w:sz w:val="21"/>
                <w:szCs w:val="21"/>
              </w:rPr>
              <w:t>治理措施</w:t>
            </w:r>
          </w:p>
        </w:tc>
        <w:tc>
          <w:tcPr>
            <w:tcW w:w="3824" w:type="dxa"/>
            <w:gridSpan w:val="3"/>
            <w:vAlign w:val="center"/>
          </w:tcPr>
          <w:p w14:paraId="1585687F">
            <w:pPr>
              <w:widowControl w:val="0"/>
              <w:jc w:val="center"/>
              <w:rPr>
                <w:color w:val="auto"/>
                <w:sz w:val="21"/>
                <w:szCs w:val="21"/>
              </w:rPr>
            </w:pPr>
            <w:r>
              <w:rPr>
                <w:color w:val="auto"/>
                <w:sz w:val="21"/>
                <w:szCs w:val="21"/>
              </w:rPr>
              <w:t>污染物排放</w:t>
            </w:r>
          </w:p>
        </w:tc>
        <w:tc>
          <w:tcPr>
            <w:tcW w:w="3363" w:type="dxa"/>
            <w:gridSpan w:val="4"/>
            <w:vAlign w:val="center"/>
          </w:tcPr>
          <w:p w14:paraId="3A0689D5">
            <w:pPr>
              <w:widowControl w:val="0"/>
              <w:jc w:val="center"/>
              <w:rPr>
                <w:color w:val="auto"/>
                <w:sz w:val="21"/>
                <w:szCs w:val="21"/>
              </w:rPr>
            </w:pPr>
            <w:r>
              <w:rPr>
                <w:color w:val="auto"/>
                <w:sz w:val="21"/>
                <w:szCs w:val="21"/>
              </w:rPr>
              <w:t>排放口</w:t>
            </w:r>
          </w:p>
        </w:tc>
        <w:tc>
          <w:tcPr>
            <w:tcW w:w="1538" w:type="dxa"/>
            <w:vMerge w:val="restart"/>
            <w:vAlign w:val="center"/>
          </w:tcPr>
          <w:p w14:paraId="27E284FA">
            <w:pPr>
              <w:widowControl w:val="0"/>
              <w:jc w:val="center"/>
              <w:rPr>
                <w:color w:val="auto"/>
                <w:sz w:val="21"/>
                <w:szCs w:val="21"/>
              </w:rPr>
            </w:pPr>
            <w:r>
              <w:rPr>
                <w:color w:val="auto"/>
                <w:sz w:val="21"/>
                <w:szCs w:val="21"/>
              </w:rPr>
              <w:t>排放时间/h</w:t>
            </w:r>
          </w:p>
        </w:tc>
      </w:tr>
      <w:tr w14:paraId="08EDB34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741" w:type="dxa"/>
            <w:vMerge w:val="continue"/>
            <w:vAlign w:val="center"/>
          </w:tcPr>
          <w:p w14:paraId="7745767E">
            <w:pPr>
              <w:widowControl w:val="0"/>
              <w:jc w:val="center"/>
              <w:rPr>
                <w:color w:val="auto"/>
                <w:sz w:val="21"/>
                <w:szCs w:val="21"/>
              </w:rPr>
            </w:pPr>
          </w:p>
        </w:tc>
        <w:tc>
          <w:tcPr>
            <w:tcW w:w="1540" w:type="dxa"/>
            <w:vMerge w:val="continue"/>
            <w:vAlign w:val="center"/>
          </w:tcPr>
          <w:p w14:paraId="3EDFC080">
            <w:pPr>
              <w:widowControl w:val="0"/>
              <w:jc w:val="center"/>
              <w:rPr>
                <w:color w:val="auto"/>
                <w:sz w:val="21"/>
                <w:szCs w:val="21"/>
              </w:rPr>
            </w:pPr>
          </w:p>
        </w:tc>
        <w:tc>
          <w:tcPr>
            <w:tcW w:w="1358" w:type="dxa"/>
            <w:vMerge w:val="continue"/>
            <w:vAlign w:val="center"/>
          </w:tcPr>
          <w:p w14:paraId="28E8CABD">
            <w:pPr>
              <w:widowControl w:val="0"/>
              <w:jc w:val="center"/>
              <w:rPr>
                <w:color w:val="auto"/>
                <w:sz w:val="21"/>
                <w:szCs w:val="21"/>
              </w:rPr>
            </w:pPr>
          </w:p>
        </w:tc>
        <w:tc>
          <w:tcPr>
            <w:tcW w:w="1470" w:type="dxa"/>
            <w:vMerge w:val="continue"/>
            <w:vAlign w:val="center"/>
          </w:tcPr>
          <w:p w14:paraId="05B67F25">
            <w:pPr>
              <w:widowControl w:val="0"/>
              <w:jc w:val="center"/>
              <w:rPr>
                <w:color w:val="auto"/>
                <w:sz w:val="21"/>
                <w:szCs w:val="21"/>
              </w:rPr>
            </w:pPr>
          </w:p>
        </w:tc>
        <w:tc>
          <w:tcPr>
            <w:tcW w:w="1133" w:type="dxa"/>
            <w:vMerge w:val="continue"/>
            <w:vAlign w:val="center"/>
          </w:tcPr>
          <w:p w14:paraId="453850AF">
            <w:pPr>
              <w:widowControl w:val="0"/>
              <w:jc w:val="center"/>
              <w:rPr>
                <w:color w:val="auto"/>
                <w:sz w:val="21"/>
                <w:szCs w:val="21"/>
              </w:rPr>
            </w:pPr>
          </w:p>
        </w:tc>
        <w:tc>
          <w:tcPr>
            <w:tcW w:w="1417" w:type="dxa"/>
            <w:vMerge w:val="restart"/>
            <w:vAlign w:val="center"/>
          </w:tcPr>
          <w:p w14:paraId="1C7C23CA">
            <w:pPr>
              <w:widowControl w:val="0"/>
              <w:jc w:val="center"/>
              <w:rPr>
                <w:color w:val="auto"/>
                <w:sz w:val="21"/>
                <w:szCs w:val="21"/>
              </w:rPr>
            </w:pPr>
            <w:r>
              <w:rPr>
                <w:color w:val="auto"/>
                <w:sz w:val="21"/>
                <w:szCs w:val="21"/>
              </w:rPr>
              <w:t>产生质量浓度/（mg/m</w:t>
            </w:r>
            <w:r>
              <w:rPr>
                <w:color w:val="auto"/>
                <w:sz w:val="21"/>
                <w:szCs w:val="21"/>
                <w:vertAlign w:val="superscript"/>
              </w:rPr>
              <w:t>3</w:t>
            </w:r>
            <w:r>
              <w:rPr>
                <w:color w:val="auto"/>
                <w:sz w:val="21"/>
                <w:szCs w:val="21"/>
              </w:rPr>
              <w:t>）</w:t>
            </w:r>
          </w:p>
        </w:tc>
        <w:tc>
          <w:tcPr>
            <w:tcW w:w="2408" w:type="dxa"/>
            <w:gridSpan w:val="2"/>
            <w:vAlign w:val="center"/>
          </w:tcPr>
          <w:p w14:paraId="6175CA88">
            <w:pPr>
              <w:widowControl w:val="0"/>
              <w:jc w:val="center"/>
              <w:rPr>
                <w:color w:val="auto"/>
                <w:sz w:val="21"/>
                <w:szCs w:val="21"/>
              </w:rPr>
            </w:pPr>
            <w:r>
              <w:rPr>
                <w:color w:val="auto"/>
                <w:sz w:val="21"/>
                <w:szCs w:val="21"/>
              </w:rPr>
              <w:t>产生量</w:t>
            </w:r>
          </w:p>
        </w:tc>
        <w:tc>
          <w:tcPr>
            <w:tcW w:w="1523" w:type="dxa"/>
            <w:vMerge w:val="restart"/>
            <w:vAlign w:val="center"/>
          </w:tcPr>
          <w:p w14:paraId="7EE7AE8D">
            <w:pPr>
              <w:widowControl w:val="0"/>
              <w:jc w:val="center"/>
              <w:rPr>
                <w:color w:val="auto"/>
                <w:sz w:val="21"/>
                <w:szCs w:val="21"/>
              </w:rPr>
            </w:pPr>
            <w:r>
              <w:rPr>
                <w:color w:val="auto"/>
                <w:sz w:val="21"/>
                <w:szCs w:val="21"/>
              </w:rPr>
              <w:t>工艺</w:t>
            </w:r>
          </w:p>
        </w:tc>
        <w:tc>
          <w:tcPr>
            <w:tcW w:w="1025" w:type="dxa"/>
            <w:vMerge w:val="restart"/>
            <w:vAlign w:val="center"/>
          </w:tcPr>
          <w:p w14:paraId="19204DB0">
            <w:pPr>
              <w:widowControl w:val="0"/>
              <w:jc w:val="center"/>
              <w:rPr>
                <w:color w:val="auto"/>
                <w:sz w:val="21"/>
                <w:szCs w:val="21"/>
              </w:rPr>
            </w:pPr>
            <w:r>
              <w:rPr>
                <w:color w:val="auto"/>
                <w:sz w:val="21"/>
                <w:szCs w:val="21"/>
              </w:rPr>
              <w:t>效率</w:t>
            </w:r>
          </w:p>
        </w:tc>
        <w:tc>
          <w:tcPr>
            <w:tcW w:w="1373" w:type="dxa"/>
            <w:vMerge w:val="restart"/>
            <w:vAlign w:val="center"/>
          </w:tcPr>
          <w:p w14:paraId="07511329">
            <w:pPr>
              <w:widowControl w:val="0"/>
              <w:jc w:val="center"/>
              <w:rPr>
                <w:color w:val="auto"/>
                <w:sz w:val="21"/>
                <w:szCs w:val="21"/>
              </w:rPr>
            </w:pPr>
            <w:r>
              <w:rPr>
                <w:color w:val="auto"/>
                <w:sz w:val="21"/>
                <w:szCs w:val="21"/>
              </w:rPr>
              <w:t>排放质量浓度/（mg/m</w:t>
            </w:r>
            <w:r>
              <w:rPr>
                <w:color w:val="auto"/>
                <w:sz w:val="21"/>
                <w:szCs w:val="21"/>
                <w:vertAlign w:val="superscript"/>
              </w:rPr>
              <w:t>3</w:t>
            </w:r>
            <w:r>
              <w:rPr>
                <w:color w:val="auto"/>
                <w:sz w:val="21"/>
                <w:szCs w:val="21"/>
              </w:rPr>
              <w:t>）</w:t>
            </w:r>
          </w:p>
        </w:tc>
        <w:tc>
          <w:tcPr>
            <w:tcW w:w="2451" w:type="dxa"/>
            <w:gridSpan w:val="2"/>
            <w:vAlign w:val="center"/>
          </w:tcPr>
          <w:p w14:paraId="4C58C48A">
            <w:pPr>
              <w:widowControl w:val="0"/>
              <w:jc w:val="center"/>
              <w:rPr>
                <w:color w:val="auto"/>
                <w:sz w:val="21"/>
                <w:szCs w:val="21"/>
              </w:rPr>
            </w:pPr>
            <w:r>
              <w:rPr>
                <w:color w:val="auto"/>
                <w:sz w:val="21"/>
                <w:szCs w:val="21"/>
              </w:rPr>
              <w:t>排放量</w:t>
            </w:r>
          </w:p>
        </w:tc>
        <w:tc>
          <w:tcPr>
            <w:tcW w:w="946" w:type="dxa"/>
            <w:vMerge w:val="restart"/>
            <w:vAlign w:val="center"/>
          </w:tcPr>
          <w:p w14:paraId="0478C844">
            <w:pPr>
              <w:widowControl w:val="0"/>
              <w:jc w:val="center"/>
              <w:rPr>
                <w:color w:val="auto"/>
                <w:sz w:val="21"/>
                <w:szCs w:val="21"/>
              </w:rPr>
            </w:pPr>
            <w:r>
              <w:rPr>
                <w:color w:val="auto"/>
                <w:sz w:val="21"/>
                <w:szCs w:val="21"/>
              </w:rPr>
              <w:t>编号</w:t>
            </w:r>
          </w:p>
        </w:tc>
        <w:tc>
          <w:tcPr>
            <w:tcW w:w="959" w:type="dxa"/>
            <w:vAlign w:val="center"/>
          </w:tcPr>
          <w:p w14:paraId="28A77BEC">
            <w:pPr>
              <w:widowControl w:val="0"/>
              <w:jc w:val="center"/>
              <w:rPr>
                <w:color w:val="auto"/>
                <w:sz w:val="21"/>
                <w:szCs w:val="21"/>
              </w:rPr>
            </w:pPr>
            <w:r>
              <w:rPr>
                <w:color w:val="auto"/>
                <w:sz w:val="21"/>
                <w:szCs w:val="21"/>
              </w:rPr>
              <w:t>温度</w:t>
            </w:r>
          </w:p>
        </w:tc>
        <w:tc>
          <w:tcPr>
            <w:tcW w:w="759" w:type="dxa"/>
            <w:vAlign w:val="center"/>
          </w:tcPr>
          <w:p w14:paraId="3C49CE72">
            <w:pPr>
              <w:widowControl w:val="0"/>
              <w:jc w:val="center"/>
              <w:rPr>
                <w:color w:val="auto"/>
                <w:sz w:val="21"/>
                <w:szCs w:val="21"/>
              </w:rPr>
            </w:pPr>
            <w:r>
              <w:rPr>
                <w:color w:val="auto"/>
                <w:sz w:val="21"/>
                <w:szCs w:val="21"/>
              </w:rPr>
              <w:t>高度</w:t>
            </w:r>
          </w:p>
        </w:tc>
        <w:tc>
          <w:tcPr>
            <w:tcW w:w="699" w:type="dxa"/>
            <w:vAlign w:val="center"/>
          </w:tcPr>
          <w:p w14:paraId="7681D0B7">
            <w:pPr>
              <w:widowControl w:val="0"/>
              <w:jc w:val="center"/>
              <w:rPr>
                <w:color w:val="auto"/>
                <w:sz w:val="21"/>
                <w:szCs w:val="21"/>
              </w:rPr>
            </w:pPr>
            <w:r>
              <w:rPr>
                <w:color w:val="auto"/>
                <w:sz w:val="21"/>
                <w:szCs w:val="21"/>
              </w:rPr>
              <w:t>内径</w:t>
            </w:r>
          </w:p>
        </w:tc>
        <w:tc>
          <w:tcPr>
            <w:tcW w:w="1538" w:type="dxa"/>
            <w:vMerge w:val="continue"/>
            <w:vAlign w:val="center"/>
          </w:tcPr>
          <w:p w14:paraId="6D30EC7F">
            <w:pPr>
              <w:widowControl w:val="0"/>
              <w:jc w:val="center"/>
              <w:rPr>
                <w:color w:val="auto"/>
                <w:sz w:val="21"/>
                <w:szCs w:val="21"/>
              </w:rPr>
            </w:pPr>
          </w:p>
        </w:tc>
      </w:tr>
      <w:tr w14:paraId="000D9B8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blHeader/>
        </w:trPr>
        <w:tc>
          <w:tcPr>
            <w:tcW w:w="741" w:type="dxa"/>
            <w:vMerge w:val="continue"/>
            <w:vAlign w:val="center"/>
          </w:tcPr>
          <w:p w14:paraId="2202ACD7">
            <w:pPr>
              <w:widowControl w:val="0"/>
              <w:jc w:val="center"/>
              <w:rPr>
                <w:color w:val="auto"/>
                <w:sz w:val="21"/>
                <w:szCs w:val="21"/>
              </w:rPr>
            </w:pPr>
          </w:p>
        </w:tc>
        <w:tc>
          <w:tcPr>
            <w:tcW w:w="1540" w:type="dxa"/>
            <w:vMerge w:val="continue"/>
            <w:vAlign w:val="center"/>
          </w:tcPr>
          <w:p w14:paraId="5BAD80FB">
            <w:pPr>
              <w:widowControl w:val="0"/>
              <w:jc w:val="center"/>
              <w:rPr>
                <w:color w:val="auto"/>
                <w:sz w:val="21"/>
                <w:szCs w:val="21"/>
              </w:rPr>
            </w:pPr>
          </w:p>
        </w:tc>
        <w:tc>
          <w:tcPr>
            <w:tcW w:w="1358" w:type="dxa"/>
            <w:vMerge w:val="continue"/>
            <w:vAlign w:val="center"/>
          </w:tcPr>
          <w:p w14:paraId="2A3A04F6">
            <w:pPr>
              <w:widowControl w:val="0"/>
              <w:jc w:val="center"/>
              <w:rPr>
                <w:color w:val="auto"/>
                <w:sz w:val="21"/>
                <w:szCs w:val="21"/>
              </w:rPr>
            </w:pPr>
          </w:p>
        </w:tc>
        <w:tc>
          <w:tcPr>
            <w:tcW w:w="1470" w:type="dxa"/>
            <w:vMerge w:val="continue"/>
            <w:vAlign w:val="center"/>
          </w:tcPr>
          <w:p w14:paraId="0EDD1ACD">
            <w:pPr>
              <w:widowControl w:val="0"/>
              <w:jc w:val="center"/>
              <w:rPr>
                <w:color w:val="auto"/>
                <w:sz w:val="21"/>
                <w:szCs w:val="21"/>
              </w:rPr>
            </w:pPr>
          </w:p>
        </w:tc>
        <w:tc>
          <w:tcPr>
            <w:tcW w:w="1133" w:type="dxa"/>
            <w:vMerge w:val="continue"/>
            <w:vAlign w:val="center"/>
          </w:tcPr>
          <w:p w14:paraId="5359DE3F">
            <w:pPr>
              <w:widowControl w:val="0"/>
              <w:jc w:val="center"/>
              <w:rPr>
                <w:color w:val="auto"/>
                <w:sz w:val="21"/>
                <w:szCs w:val="21"/>
              </w:rPr>
            </w:pPr>
          </w:p>
        </w:tc>
        <w:tc>
          <w:tcPr>
            <w:tcW w:w="1417" w:type="dxa"/>
            <w:vMerge w:val="continue"/>
            <w:vAlign w:val="center"/>
          </w:tcPr>
          <w:p w14:paraId="39B0046F">
            <w:pPr>
              <w:widowControl w:val="0"/>
              <w:jc w:val="center"/>
              <w:rPr>
                <w:color w:val="auto"/>
                <w:sz w:val="21"/>
                <w:szCs w:val="21"/>
              </w:rPr>
            </w:pPr>
          </w:p>
        </w:tc>
        <w:tc>
          <w:tcPr>
            <w:tcW w:w="1275" w:type="dxa"/>
            <w:vAlign w:val="center"/>
          </w:tcPr>
          <w:p w14:paraId="30A6DF3B">
            <w:pPr>
              <w:widowControl w:val="0"/>
              <w:jc w:val="center"/>
              <w:rPr>
                <w:color w:val="auto"/>
                <w:sz w:val="21"/>
                <w:szCs w:val="21"/>
              </w:rPr>
            </w:pPr>
            <w:r>
              <w:rPr>
                <w:color w:val="auto"/>
                <w:sz w:val="21"/>
                <w:szCs w:val="21"/>
              </w:rPr>
              <w:t>kg/h</w:t>
            </w:r>
          </w:p>
        </w:tc>
        <w:tc>
          <w:tcPr>
            <w:tcW w:w="1133" w:type="dxa"/>
            <w:vAlign w:val="center"/>
          </w:tcPr>
          <w:p w14:paraId="0CCEAA29">
            <w:pPr>
              <w:widowControl w:val="0"/>
              <w:jc w:val="center"/>
              <w:rPr>
                <w:color w:val="auto"/>
                <w:sz w:val="21"/>
                <w:szCs w:val="21"/>
              </w:rPr>
            </w:pPr>
            <w:r>
              <w:rPr>
                <w:color w:val="auto"/>
                <w:sz w:val="21"/>
                <w:szCs w:val="21"/>
              </w:rPr>
              <w:t>t/a</w:t>
            </w:r>
          </w:p>
        </w:tc>
        <w:tc>
          <w:tcPr>
            <w:tcW w:w="1523" w:type="dxa"/>
            <w:vMerge w:val="continue"/>
            <w:vAlign w:val="center"/>
          </w:tcPr>
          <w:p w14:paraId="6F62A48F">
            <w:pPr>
              <w:widowControl w:val="0"/>
              <w:jc w:val="center"/>
              <w:rPr>
                <w:color w:val="auto"/>
                <w:sz w:val="21"/>
                <w:szCs w:val="21"/>
              </w:rPr>
            </w:pPr>
          </w:p>
        </w:tc>
        <w:tc>
          <w:tcPr>
            <w:tcW w:w="1025" w:type="dxa"/>
            <w:vMerge w:val="continue"/>
            <w:vAlign w:val="center"/>
          </w:tcPr>
          <w:p w14:paraId="364FEE99">
            <w:pPr>
              <w:widowControl w:val="0"/>
              <w:jc w:val="center"/>
              <w:rPr>
                <w:color w:val="auto"/>
                <w:sz w:val="21"/>
                <w:szCs w:val="21"/>
              </w:rPr>
            </w:pPr>
          </w:p>
        </w:tc>
        <w:tc>
          <w:tcPr>
            <w:tcW w:w="1373" w:type="dxa"/>
            <w:vMerge w:val="continue"/>
            <w:vAlign w:val="center"/>
          </w:tcPr>
          <w:p w14:paraId="338125BF">
            <w:pPr>
              <w:widowControl w:val="0"/>
              <w:jc w:val="center"/>
              <w:rPr>
                <w:color w:val="auto"/>
                <w:sz w:val="21"/>
                <w:szCs w:val="21"/>
              </w:rPr>
            </w:pPr>
          </w:p>
        </w:tc>
        <w:tc>
          <w:tcPr>
            <w:tcW w:w="1177" w:type="dxa"/>
            <w:vAlign w:val="center"/>
          </w:tcPr>
          <w:p w14:paraId="7C91D2C5">
            <w:pPr>
              <w:widowControl w:val="0"/>
              <w:jc w:val="center"/>
              <w:rPr>
                <w:color w:val="auto"/>
                <w:sz w:val="21"/>
                <w:szCs w:val="21"/>
              </w:rPr>
            </w:pPr>
            <w:r>
              <w:rPr>
                <w:color w:val="auto"/>
                <w:sz w:val="21"/>
                <w:szCs w:val="21"/>
              </w:rPr>
              <w:t>kg/h</w:t>
            </w:r>
          </w:p>
        </w:tc>
        <w:tc>
          <w:tcPr>
            <w:tcW w:w="1274" w:type="dxa"/>
            <w:vAlign w:val="center"/>
          </w:tcPr>
          <w:p w14:paraId="014FCD3A">
            <w:pPr>
              <w:widowControl w:val="0"/>
              <w:jc w:val="center"/>
              <w:rPr>
                <w:color w:val="auto"/>
                <w:sz w:val="21"/>
                <w:szCs w:val="21"/>
              </w:rPr>
            </w:pPr>
            <w:r>
              <w:rPr>
                <w:color w:val="auto"/>
                <w:sz w:val="21"/>
                <w:szCs w:val="21"/>
              </w:rPr>
              <w:t>t/a</w:t>
            </w:r>
          </w:p>
        </w:tc>
        <w:tc>
          <w:tcPr>
            <w:tcW w:w="946" w:type="dxa"/>
            <w:vMerge w:val="continue"/>
            <w:vAlign w:val="center"/>
          </w:tcPr>
          <w:p w14:paraId="6D80CEB5">
            <w:pPr>
              <w:widowControl w:val="0"/>
              <w:jc w:val="center"/>
              <w:rPr>
                <w:color w:val="auto"/>
                <w:sz w:val="21"/>
                <w:szCs w:val="21"/>
              </w:rPr>
            </w:pPr>
          </w:p>
        </w:tc>
        <w:tc>
          <w:tcPr>
            <w:tcW w:w="959" w:type="dxa"/>
            <w:vAlign w:val="center"/>
          </w:tcPr>
          <w:p w14:paraId="0186EF25">
            <w:pPr>
              <w:widowControl w:val="0"/>
              <w:jc w:val="center"/>
              <w:rPr>
                <w:color w:val="auto"/>
                <w:sz w:val="21"/>
                <w:szCs w:val="21"/>
              </w:rPr>
            </w:pPr>
            <w:r>
              <w:rPr>
                <w:color w:val="auto"/>
                <w:sz w:val="21"/>
                <w:szCs w:val="21"/>
              </w:rPr>
              <w:t>℃</w:t>
            </w:r>
          </w:p>
        </w:tc>
        <w:tc>
          <w:tcPr>
            <w:tcW w:w="759" w:type="dxa"/>
            <w:vAlign w:val="center"/>
          </w:tcPr>
          <w:p w14:paraId="309100FC">
            <w:pPr>
              <w:widowControl w:val="0"/>
              <w:jc w:val="center"/>
              <w:rPr>
                <w:color w:val="auto"/>
                <w:sz w:val="21"/>
                <w:szCs w:val="21"/>
              </w:rPr>
            </w:pPr>
            <w:r>
              <w:rPr>
                <w:color w:val="auto"/>
                <w:sz w:val="21"/>
                <w:szCs w:val="21"/>
              </w:rPr>
              <w:t>m</w:t>
            </w:r>
          </w:p>
        </w:tc>
        <w:tc>
          <w:tcPr>
            <w:tcW w:w="699" w:type="dxa"/>
            <w:vAlign w:val="center"/>
          </w:tcPr>
          <w:p w14:paraId="45DF9346">
            <w:pPr>
              <w:widowControl w:val="0"/>
              <w:jc w:val="center"/>
              <w:rPr>
                <w:color w:val="auto"/>
                <w:sz w:val="21"/>
                <w:szCs w:val="21"/>
              </w:rPr>
            </w:pPr>
            <w:r>
              <w:rPr>
                <w:color w:val="auto"/>
                <w:sz w:val="21"/>
                <w:szCs w:val="21"/>
              </w:rPr>
              <w:t>m</w:t>
            </w:r>
          </w:p>
        </w:tc>
        <w:tc>
          <w:tcPr>
            <w:tcW w:w="1538" w:type="dxa"/>
            <w:vMerge w:val="continue"/>
            <w:vAlign w:val="center"/>
          </w:tcPr>
          <w:p w14:paraId="2D21AD99">
            <w:pPr>
              <w:widowControl w:val="0"/>
              <w:jc w:val="center"/>
              <w:rPr>
                <w:color w:val="auto"/>
                <w:sz w:val="21"/>
                <w:szCs w:val="21"/>
              </w:rPr>
            </w:pPr>
          </w:p>
        </w:tc>
      </w:tr>
      <w:tr w14:paraId="6319C99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Align w:val="center"/>
          </w:tcPr>
          <w:p w14:paraId="25154950">
            <w:pPr>
              <w:widowControl w:val="0"/>
              <w:jc w:val="center"/>
              <w:rPr>
                <w:color w:val="auto"/>
                <w:sz w:val="21"/>
                <w:szCs w:val="21"/>
              </w:rPr>
            </w:pPr>
            <w:r>
              <w:rPr>
                <w:color w:val="auto"/>
                <w:sz w:val="21"/>
                <w:szCs w:val="21"/>
              </w:rPr>
              <w:t>G</w:t>
            </w:r>
            <w:r>
              <w:rPr>
                <w:color w:val="auto"/>
                <w:sz w:val="21"/>
                <w:szCs w:val="21"/>
                <w:vertAlign w:val="subscript"/>
              </w:rPr>
              <w:t>1</w:t>
            </w:r>
            <w:r>
              <w:rPr>
                <w:rFonts w:ascii="Cambria Math" w:hAnsi="Cambria Math" w:cs="Cambria Math"/>
                <w:color w:val="auto"/>
                <w:sz w:val="21"/>
                <w:szCs w:val="21"/>
                <w:vertAlign w:val="superscript"/>
              </w:rPr>
              <w:t>①</w:t>
            </w:r>
            <w:r>
              <w:rPr>
                <w:color w:val="auto"/>
                <w:sz w:val="21"/>
                <w:szCs w:val="21"/>
              </w:rPr>
              <w:t>～G</w:t>
            </w:r>
            <w:r>
              <w:rPr>
                <w:color w:val="auto"/>
                <w:sz w:val="21"/>
                <w:szCs w:val="21"/>
                <w:vertAlign w:val="subscript"/>
              </w:rPr>
              <w:t>1</w:t>
            </w:r>
            <w:bookmarkStart w:id="224" w:name="OLE_LINK140"/>
            <w:r>
              <w:rPr>
                <w:rFonts w:ascii="Cambria Math" w:hAnsi="Cambria Math" w:cs="Cambria Math"/>
                <w:color w:val="auto"/>
                <w:sz w:val="21"/>
                <w:szCs w:val="21"/>
                <w:vertAlign w:val="superscript"/>
              </w:rPr>
              <w:t>⑦</w:t>
            </w:r>
            <w:bookmarkEnd w:id="224"/>
          </w:p>
        </w:tc>
        <w:tc>
          <w:tcPr>
            <w:tcW w:w="1540" w:type="dxa"/>
            <w:vAlign w:val="center"/>
          </w:tcPr>
          <w:p w14:paraId="3CAA5AC8">
            <w:pPr>
              <w:widowControl w:val="0"/>
              <w:jc w:val="center"/>
              <w:rPr>
                <w:color w:val="auto"/>
                <w:sz w:val="21"/>
                <w:szCs w:val="21"/>
              </w:rPr>
            </w:pPr>
            <w:r>
              <w:rPr>
                <w:color w:val="auto"/>
                <w:sz w:val="21"/>
                <w:szCs w:val="21"/>
              </w:rPr>
              <w:t>含氨废气</w:t>
            </w:r>
          </w:p>
        </w:tc>
        <w:tc>
          <w:tcPr>
            <w:tcW w:w="1358" w:type="dxa"/>
            <w:vAlign w:val="center"/>
          </w:tcPr>
          <w:p w14:paraId="6E696E2A">
            <w:pPr>
              <w:widowControl w:val="0"/>
              <w:jc w:val="center"/>
              <w:rPr>
                <w:color w:val="auto"/>
                <w:sz w:val="21"/>
                <w:szCs w:val="21"/>
              </w:rPr>
            </w:pPr>
            <w:r>
              <w:rPr>
                <w:color w:val="auto"/>
                <w:sz w:val="21"/>
                <w:szCs w:val="21"/>
              </w:rPr>
              <w:t>NH</w:t>
            </w:r>
            <w:r>
              <w:rPr>
                <w:color w:val="auto"/>
                <w:sz w:val="21"/>
                <w:szCs w:val="21"/>
                <w:vertAlign w:val="subscript"/>
              </w:rPr>
              <w:t>3</w:t>
            </w:r>
          </w:p>
        </w:tc>
        <w:tc>
          <w:tcPr>
            <w:tcW w:w="1470" w:type="dxa"/>
            <w:vAlign w:val="center"/>
          </w:tcPr>
          <w:p w14:paraId="5DB43459">
            <w:pPr>
              <w:widowControl w:val="0"/>
              <w:jc w:val="center"/>
              <w:rPr>
                <w:color w:val="auto"/>
                <w:sz w:val="21"/>
                <w:szCs w:val="21"/>
              </w:rPr>
            </w:pPr>
            <w:r>
              <w:rPr>
                <w:color w:val="auto"/>
                <w:sz w:val="21"/>
                <w:szCs w:val="21"/>
              </w:rPr>
              <w:t>物料衡算法</w:t>
            </w:r>
          </w:p>
        </w:tc>
        <w:tc>
          <w:tcPr>
            <w:tcW w:w="1133" w:type="dxa"/>
            <w:vAlign w:val="center"/>
          </w:tcPr>
          <w:p w14:paraId="6549142B">
            <w:pPr>
              <w:widowControl w:val="0"/>
              <w:jc w:val="center"/>
              <w:rPr>
                <w:color w:val="auto"/>
                <w:sz w:val="21"/>
                <w:szCs w:val="21"/>
              </w:rPr>
            </w:pPr>
            <w:r>
              <w:rPr>
                <w:color w:val="auto"/>
                <w:sz w:val="21"/>
                <w:szCs w:val="21"/>
              </w:rPr>
              <w:t>1000</w:t>
            </w:r>
          </w:p>
        </w:tc>
        <w:tc>
          <w:tcPr>
            <w:tcW w:w="1417" w:type="dxa"/>
            <w:vAlign w:val="center"/>
          </w:tcPr>
          <w:p w14:paraId="3F97ADA8">
            <w:pPr>
              <w:widowControl w:val="0"/>
              <w:jc w:val="center"/>
              <w:rPr>
                <w:color w:val="auto"/>
                <w:sz w:val="21"/>
                <w:szCs w:val="21"/>
              </w:rPr>
            </w:pPr>
            <w:r>
              <w:rPr>
                <w:color w:val="auto"/>
                <w:sz w:val="21"/>
                <w:szCs w:val="21"/>
              </w:rPr>
              <w:t xml:space="preserve">82.40 </w:t>
            </w:r>
          </w:p>
        </w:tc>
        <w:tc>
          <w:tcPr>
            <w:tcW w:w="1275" w:type="dxa"/>
            <w:vAlign w:val="center"/>
          </w:tcPr>
          <w:p w14:paraId="38EDDF6C">
            <w:pPr>
              <w:widowControl w:val="0"/>
              <w:jc w:val="center"/>
              <w:rPr>
                <w:color w:val="auto"/>
                <w:sz w:val="21"/>
                <w:szCs w:val="21"/>
              </w:rPr>
            </w:pPr>
            <w:r>
              <w:rPr>
                <w:color w:val="auto"/>
                <w:sz w:val="21"/>
                <w:szCs w:val="21"/>
              </w:rPr>
              <w:t>0.08</w:t>
            </w:r>
          </w:p>
        </w:tc>
        <w:tc>
          <w:tcPr>
            <w:tcW w:w="1133" w:type="dxa"/>
            <w:vAlign w:val="center"/>
          </w:tcPr>
          <w:p w14:paraId="18A10076">
            <w:pPr>
              <w:widowControl w:val="0"/>
              <w:jc w:val="center"/>
              <w:rPr>
                <w:color w:val="auto"/>
                <w:sz w:val="21"/>
                <w:szCs w:val="21"/>
              </w:rPr>
            </w:pPr>
            <w:r>
              <w:rPr>
                <w:color w:val="auto"/>
                <w:sz w:val="21"/>
                <w:szCs w:val="21"/>
              </w:rPr>
              <w:t>2.29</w:t>
            </w:r>
          </w:p>
        </w:tc>
        <w:tc>
          <w:tcPr>
            <w:tcW w:w="1523" w:type="dxa"/>
            <w:vAlign w:val="center"/>
          </w:tcPr>
          <w:p w14:paraId="739B7A9E">
            <w:pPr>
              <w:widowControl w:val="0"/>
              <w:jc w:val="center"/>
              <w:rPr>
                <w:color w:val="auto"/>
                <w:sz w:val="21"/>
                <w:szCs w:val="21"/>
              </w:rPr>
            </w:pPr>
            <w:r>
              <w:rPr>
                <w:color w:val="auto"/>
                <w:sz w:val="21"/>
                <w:szCs w:val="21"/>
              </w:rPr>
              <w:t>水洗</w:t>
            </w:r>
          </w:p>
        </w:tc>
        <w:tc>
          <w:tcPr>
            <w:tcW w:w="1025" w:type="dxa"/>
            <w:vAlign w:val="center"/>
          </w:tcPr>
          <w:p w14:paraId="2EBBF1BE">
            <w:pPr>
              <w:widowControl w:val="0"/>
              <w:jc w:val="center"/>
              <w:rPr>
                <w:color w:val="auto"/>
                <w:sz w:val="21"/>
                <w:szCs w:val="21"/>
              </w:rPr>
            </w:pPr>
            <w:r>
              <w:rPr>
                <w:color w:val="auto"/>
                <w:sz w:val="21"/>
                <w:szCs w:val="21"/>
              </w:rPr>
              <w:t>90%</w:t>
            </w:r>
          </w:p>
        </w:tc>
        <w:tc>
          <w:tcPr>
            <w:tcW w:w="1373" w:type="dxa"/>
            <w:vAlign w:val="center"/>
          </w:tcPr>
          <w:p w14:paraId="7B35C0B0">
            <w:pPr>
              <w:widowControl w:val="0"/>
              <w:jc w:val="center"/>
              <w:rPr>
                <w:color w:val="auto"/>
                <w:sz w:val="21"/>
                <w:szCs w:val="21"/>
              </w:rPr>
            </w:pPr>
            <w:r>
              <w:rPr>
                <w:color w:val="auto"/>
                <w:sz w:val="21"/>
                <w:szCs w:val="21"/>
              </w:rPr>
              <w:t xml:space="preserve">8 </w:t>
            </w:r>
          </w:p>
        </w:tc>
        <w:tc>
          <w:tcPr>
            <w:tcW w:w="1177" w:type="dxa"/>
            <w:vAlign w:val="center"/>
          </w:tcPr>
          <w:p w14:paraId="582E28C1">
            <w:pPr>
              <w:widowControl w:val="0"/>
              <w:jc w:val="center"/>
              <w:rPr>
                <w:color w:val="auto"/>
                <w:sz w:val="21"/>
                <w:szCs w:val="21"/>
              </w:rPr>
            </w:pPr>
            <w:r>
              <w:rPr>
                <w:color w:val="auto"/>
                <w:sz w:val="21"/>
                <w:szCs w:val="21"/>
              </w:rPr>
              <w:t>0.008</w:t>
            </w:r>
          </w:p>
        </w:tc>
        <w:tc>
          <w:tcPr>
            <w:tcW w:w="1274" w:type="dxa"/>
            <w:vAlign w:val="center"/>
          </w:tcPr>
          <w:p w14:paraId="7DDE6806">
            <w:pPr>
              <w:widowControl w:val="0"/>
              <w:jc w:val="center"/>
              <w:rPr>
                <w:color w:val="auto"/>
                <w:sz w:val="21"/>
                <w:szCs w:val="21"/>
              </w:rPr>
            </w:pPr>
            <w:r>
              <w:rPr>
                <w:color w:val="auto"/>
                <w:sz w:val="21"/>
                <w:szCs w:val="21"/>
              </w:rPr>
              <w:t>0.07</w:t>
            </w:r>
          </w:p>
        </w:tc>
        <w:tc>
          <w:tcPr>
            <w:tcW w:w="946" w:type="dxa"/>
            <w:vAlign w:val="center"/>
          </w:tcPr>
          <w:p w14:paraId="5849AE4E">
            <w:pPr>
              <w:widowControl w:val="0"/>
              <w:jc w:val="center"/>
              <w:rPr>
                <w:color w:val="auto"/>
                <w:sz w:val="21"/>
                <w:szCs w:val="21"/>
              </w:rPr>
            </w:pPr>
            <w:r>
              <w:rPr>
                <w:color w:val="auto"/>
                <w:sz w:val="21"/>
                <w:szCs w:val="21"/>
              </w:rPr>
              <w:t>DA001</w:t>
            </w:r>
          </w:p>
        </w:tc>
        <w:tc>
          <w:tcPr>
            <w:tcW w:w="959" w:type="dxa"/>
            <w:vAlign w:val="center"/>
          </w:tcPr>
          <w:p w14:paraId="1DB0D78E">
            <w:pPr>
              <w:widowControl w:val="0"/>
              <w:jc w:val="center"/>
              <w:rPr>
                <w:color w:val="auto"/>
                <w:sz w:val="21"/>
                <w:szCs w:val="21"/>
              </w:rPr>
            </w:pPr>
            <w:r>
              <w:rPr>
                <w:color w:val="auto"/>
                <w:sz w:val="21"/>
                <w:szCs w:val="21"/>
              </w:rPr>
              <w:t>25</w:t>
            </w:r>
          </w:p>
        </w:tc>
        <w:tc>
          <w:tcPr>
            <w:tcW w:w="759" w:type="dxa"/>
            <w:vAlign w:val="center"/>
          </w:tcPr>
          <w:p w14:paraId="244A27AC">
            <w:pPr>
              <w:widowControl w:val="0"/>
              <w:jc w:val="center"/>
              <w:rPr>
                <w:color w:val="auto"/>
                <w:sz w:val="21"/>
                <w:szCs w:val="21"/>
              </w:rPr>
            </w:pPr>
            <w:r>
              <w:rPr>
                <w:color w:val="auto"/>
                <w:sz w:val="21"/>
                <w:szCs w:val="21"/>
              </w:rPr>
              <w:t>17</w:t>
            </w:r>
          </w:p>
        </w:tc>
        <w:tc>
          <w:tcPr>
            <w:tcW w:w="699" w:type="dxa"/>
            <w:vAlign w:val="center"/>
          </w:tcPr>
          <w:p w14:paraId="4BE0B718">
            <w:pPr>
              <w:widowControl w:val="0"/>
              <w:jc w:val="center"/>
              <w:rPr>
                <w:color w:val="auto"/>
                <w:sz w:val="21"/>
                <w:szCs w:val="21"/>
              </w:rPr>
            </w:pPr>
            <w:r>
              <w:rPr>
                <w:color w:val="auto"/>
                <w:sz w:val="21"/>
                <w:szCs w:val="21"/>
              </w:rPr>
              <w:t>0.2</w:t>
            </w:r>
          </w:p>
        </w:tc>
        <w:tc>
          <w:tcPr>
            <w:tcW w:w="1538" w:type="dxa"/>
            <w:vAlign w:val="center"/>
          </w:tcPr>
          <w:p w14:paraId="06DCE3BF">
            <w:pPr>
              <w:widowControl w:val="0"/>
              <w:jc w:val="center"/>
              <w:rPr>
                <w:color w:val="auto"/>
                <w:sz w:val="21"/>
                <w:szCs w:val="21"/>
              </w:rPr>
            </w:pPr>
            <w:r>
              <w:rPr>
                <w:color w:val="auto"/>
                <w:sz w:val="21"/>
                <w:szCs w:val="21"/>
              </w:rPr>
              <w:t>8000</w:t>
            </w:r>
          </w:p>
        </w:tc>
      </w:tr>
      <w:tr w14:paraId="09C741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Align w:val="center"/>
          </w:tcPr>
          <w:p w14:paraId="6F567579">
            <w:pPr>
              <w:widowControl w:val="0"/>
              <w:jc w:val="center"/>
              <w:rPr>
                <w:color w:val="auto"/>
                <w:sz w:val="21"/>
                <w:szCs w:val="21"/>
              </w:rPr>
            </w:pPr>
            <w:r>
              <w:rPr>
                <w:color w:val="auto"/>
                <w:sz w:val="21"/>
                <w:szCs w:val="21"/>
              </w:rPr>
              <w:t>G</w:t>
            </w:r>
            <w:r>
              <w:rPr>
                <w:color w:val="auto"/>
                <w:sz w:val="21"/>
                <w:szCs w:val="21"/>
                <w:vertAlign w:val="subscript"/>
              </w:rPr>
              <w:t>2</w:t>
            </w:r>
          </w:p>
        </w:tc>
        <w:tc>
          <w:tcPr>
            <w:tcW w:w="1540" w:type="dxa"/>
            <w:vAlign w:val="center"/>
          </w:tcPr>
          <w:p w14:paraId="62E58CD4">
            <w:pPr>
              <w:widowControl w:val="0"/>
              <w:jc w:val="center"/>
              <w:rPr>
                <w:color w:val="auto"/>
                <w:sz w:val="21"/>
                <w:szCs w:val="21"/>
              </w:rPr>
            </w:pPr>
            <w:r>
              <w:rPr>
                <w:color w:val="auto"/>
                <w:sz w:val="21"/>
                <w:szCs w:val="21"/>
              </w:rPr>
              <w:t>硫酸铵干燥</w:t>
            </w:r>
          </w:p>
        </w:tc>
        <w:tc>
          <w:tcPr>
            <w:tcW w:w="1358" w:type="dxa"/>
            <w:vAlign w:val="center"/>
          </w:tcPr>
          <w:p w14:paraId="1B58942F">
            <w:pPr>
              <w:widowControl w:val="0"/>
              <w:jc w:val="center"/>
              <w:rPr>
                <w:color w:val="auto"/>
                <w:sz w:val="21"/>
                <w:szCs w:val="21"/>
              </w:rPr>
            </w:pPr>
            <w:r>
              <w:rPr>
                <w:color w:val="auto"/>
                <w:sz w:val="21"/>
                <w:szCs w:val="21"/>
              </w:rPr>
              <w:t>颗粒物</w:t>
            </w:r>
          </w:p>
        </w:tc>
        <w:tc>
          <w:tcPr>
            <w:tcW w:w="1470" w:type="dxa"/>
            <w:vAlign w:val="center"/>
          </w:tcPr>
          <w:p w14:paraId="30398985">
            <w:pPr>
              <w:widowControl w:val="0"/>
              <w:jc w:val="center"/>
              <w:rPr>
                <w:color w:val="auto"/>
                <w:sz w:val="21"/>
                <w:szCs w:val="21"/>
              </w:rPr>
            </w:pPr>
            <w:r>
              <w:rPr>
                <w:color w:val="auto"/>
                <w:sz w:val="21"/>
                <w:szCs w:val="21"/>
              </w:rPr>
              <w:t>物料衡算法</w:t>
            </w:r>
          </w:p>
        </w:tc>
        <w:tc>
          <w:tcPr>
            <w:tcW w:w="1133" w:type="dxa"/>
            <w:vAlign w:val="center"/>
          </w:tcPr>
          <w:p w14:paraId="2A5D80DE">
            <w:pPr>
              <w:widowControl w:val="0"/>
              <w:jc w:val="center"/>
              <w:rPr>
                <w:color w:val="auto"/>
                <w:sz w:val="21"/>
                <w:szCs w:val="21"/>
              </w:rPr>
            </w:pPr>
            <w:r>
              <w:rPr>
                <w:color w:val="auto"/>
                <w:sz w:val="21"/>
                <w:szCs w:val="21"/>
              </w:rPr>
              <w:t>40000</w:t>
            </w:r>
          </w:p>
        </w:tc>
        <w:tc>
          <w:tcPr>
            <w:tcW w:w="1417" w:type="dxa"/>
            <w:vAlign w:val="center"/>
          </w:tcPr>
          <w:p w14:paraId="60259E69">
            <w:pPr>
              <w:widowControl w:val="0"/>
              <w:jc w:val="center"/>
              <w:rPr>
                <w:color w:val="auto"/>
                <w:sz w:val="21"/>
                <w:szCs w:val="21"/>
              </w:rPr>
            </w:pPr>
            <w:r>
              <w:rPr>
                <w:color w:val="auto"/>
                <w:sz w:val="21"/>
                <w:szCs w:val="21"/>
              </w:rPr>
              <w:t xml:space="preserve">3558.32 </w:t>
            </w:r>
          </w:p>
        </w:tc>
        <w:tc>
          <w:tcPr>
            <w:tcW w:w="1275" w:type="dxa"/>
            <w:vAlign w:val="center"/>
          </w:tcPr>
          <w:p w14:paraId="1E3B1337">
            <w:pPr>
              <w:widowControl w:val="0"/>
              <w:jc w:val="center"/>
              <w:rPr>
                <w:color w:val="auto"/>
                <w:sz w:val="21"/>
                <w:szCs w:val="21"/>
              </w:rPr>
            </w:pPr>
            <w:r>
              <w:rPr>
                <w:color w:val="auto"/>
                <w:sz w:val="21"/>
                <w:szCs w:val="21"/>
              </w:rPr>
              <w:t>142.33</w:t>
            </w:r>
          </w:p>
        </w:tc>
        <w:tc>
          <w:tcPr>
            <w:tcW w:w="1133" w:type="dxa"/>
            <w:vAlign w:val="center"/>
          </w:tcPr>
          <w:p w14:paraId="5B5CDC20">
            <w:pPr>
              <w:widowControl w:val="0"/>
              <w:jc w:val="center"/>
              <w:rPr>
                <w:color w:val="auto"/>
                <w:sz w:val="21"/>
                <w:szCs w:val="21"/>
              </w:rPr>
            </w:pPr>
            <w:r>
              <w:rPr>
                <w:color w:val="auto"/>
                <w:sz w:val="21"/>
                <w:szCs w:val="21"/>
              </w:rPr>
              <w:t>1138.66</w:t>
            </w:r>
          </w:p>
        </w:tc>
        <w:tc>
          <w:tcPr>
            <w:tcW w:w="1523" w:type="dxa"/>
            <w:vAlign w:val="center"/>
          </w:tcPr>
          <w:p w14:paraId="1475ABD7">
            <w:pPr>
              <w:widowControl w:val="0"/>
              <w:jc w:val="center"/>
              <w:rPr>
                <w:color w:val="auto"/>
                <w:sz w:val="21"/>
                <w:szCs w:val="21"/>
              </w:rPr>
            </w:pPr>
            <w:r>
              <w:rPr>
                <w:color w:val="auto"/>
                <w:sz w:val="21"/>
                <w:szCs w:val="21"/>
              </w:rPr>
              <w:t>布袋除尘器</w:t>
            </w:r>
          </w:p>
        </w:tc>
        <w:tc>
          <w:tcPr>
            <w:tcW w:w="1025" w:type="dxa"/>
            <w:vAlign w:val="center"/>
          </w:tcPr>
          <w:p w14:paraId="014E2662">
            <w:pPr>
              <w:widowControl w:val="0"/>
              <w:jc w:val="center"/>
              <w:rPr>
                <w:color w:val="auto"/>
                <w:sz w:val="21"/>
                <w:szCs w:val="21"/>
              </w:rPr>
            </w:pPr>
            <w:r>
              <w:rPr>
                <w:color w:val="auto"/>
                <w:sz w:val="21"/>
                <w:szCs w:val="21"/>
              </w:rPr>
              <w:t>99.8%</w:t>
            </w:r>
          </w:p>
        </w:tc>
        <w:tc>
          <w:tcPr>
            <w:tcW w:w="1373" w:type="dxa"/>
            <w:vAlign w:val="center"/>
          </w:tcPr>
          <w:p w14:paraId="2E2337D2">
            <w:pPr>
              <w:widowControl w:val="0"/>
              <w:jc w:val="center"/>
              <w:rPr>
                <w:color w:val="auto"/>
                <w:sz w:val="21"/>
                <w:szCs w:val="21"/>
              </w:rPr>
            </w:pPr>
            <w:r>
              <w:rPr>
                <w:color w:val="auto"/>
                <w:sz w:val="21"/>
                <w:szCs w:val="21"/>
              </w:rPr>
              <w:t xml:space="preserve">7.1 </w:t>
            </w:r>
          </w:p>
        </w:tc>
        <w:tc>
          <w:tcPr>
            <w:tcW w:w="1177" w:type="dxa"/>
            <w:vAlign w:val="center"/>
          </w:tcPr>
          <w:p w14:paraId="1821524D">
            <w:pPr>
              <w:widowControl w:val="0"/>
              <w:jc w:val="center"/>
              <w:rPr>
                <w:color w:val="auto"/>
                <w:sz w:val="21"/>
                <w:szCs w:val="21"/>
              </w:rPr>
            </w:pPr>
            <w:r>
              <w:rPr>
                <w:color w:val="auto"/>
                <w:sz w:val="21"/>
                <w:szCs w:val="21"/>
              </w:rPr>
              <w:t>0.28</w:t>
            </w:r>
          </w:p>
        </w:tc>
        <w:tc>
          <w:tcPr>
            <w:tcW w:w="1274" w:type="dxa"/>
            <w:vAlign w:val="center"/>
          </w:tcPr>
          <w:p w14:paraId="515F1F3D">
            <w:pPr>
              <w:widowControl w:val="0"/>
              <w:jc w:val="center"/>
              <w:rPr>
                <w:color w:val="auto"/>
                <w:sz w:val="21"/>
                <w:szCs w:val="21"/>
              </w:rPr>
            </w:pPr>
            <w:r>
              <w:rPr>
                <w:color w:val="auto"/>
                <w:sz w:val="21"/>
                <w:szCs w:val="21"/>
              </w:rPr>
              <w:t>2.28</w:t>
            </w:r>
          </w:p>
        </w:tc>
        <w:tc>
          <w:tcPr>
            <w:tcW w:w="3363" w:type="dxa"/>
            <w:gridSpan w:val="4"/>
            <w:vMerge w:val="restart"/>
            <w:vAlign w:val="center"/>
          </w:tcPr>
          <w:p w14:paraId="493E3F63">
            <w:pPr>
              <w:widowControl w:val="0"/>
              <w:jc w:val="center"/>
              <w:rPr>
                <w:color w:val="auto"/>
                <w:sz w:val="21"/>
                <w:szCs w:val="21"/>
              </w:rPr>
            </w:pPr>
            <w:r>
              <w:rPr>
                <w:color w:val="auto"/>
                <w:sz w:val="21"/>
                <w:szCs w:val="21"/>
              </w:rPr>
              <w:t>汇合后通过车间DA002排放口排放</w:t>
            </w:r>
          </w:p>
        </w:tc>
        <w:tc>
          <w:tcPr>
            <w:tcW w:w="1538" w:type="dxa"/>
            <w:vAlign w:val="center"/>
          </w:tcPr>
          <w:p w14:paraId="7412A169">
            <w:pPr>
              <w:widowControl w:val="0"/>
              <w:jc w:val="center"/>
              <w:rPr>
                <w:color w:val="auto"/>
                <w:sz w:val="21"/>
                <w:szCs w:val="21"/>
              </w:rPr>
            </w:pPr>
            <w:r>
              <w:rPr>
                <w:color w:val="auto"/>
                <w:sz w:val="21"/>
                <w:szCs w:val="21"/>
              </w:rPr>
              <w:t>8000</w:t>
            </w:r>
          </w:p>
        </w:tc>
      </w:tr>
      <w:tr w14:paraId="60C8E23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Align w:val="center"/>
          </w:tcPr>
          <w:p w14:paraId="3C208F5F">
            <w:pPr>
              <w:widowControl w:val="0"/>
              <w:jc w:val="center"/>
              <w:rPr>
                <w:color w:val="auto"/>
                <w:sz w:val="21"/>
                <w:szCs w:val="21"/>
              </w:rPr>
            </w:pPr>
            <w:r>
              <w:rPr>
                <w:color w:val="auto"/>
                <w:sz w:val="21"/>
                <w:szCs w:val="21"/>
              </w:rPr>
              <w:t>G</w:t>
            </w:r>
            <w:r>
              <w:rPr>
                <w:color w:val="auto"/>
                <w:sz w:val="21"/>
                <w:szCs w:val="21"/>
                <w:vertAlign w:val="subscript"/>
              </w:rPr>
              <w:t>3</w:t>
            </w:r>
          </w:p>
        </w:tc>
        <w:tc>
          <w:tcPr>
            <w:tcW w:w="1540" w:type="dxa"/>
            <w:vAlign w:val="center"/>
          </w:tcPr>
          <w:p w14:paraId="48290109">
            <w:pPr>
              <w:widowControl w:val="0"/>
              <w:jc w:val="center"/>
              <w:rPr>
                <w:color w:val="auto"/>
                <w:sz w:val="21"/>
                <w:szCs w:val="21"/>
              </w:rPr>
            </w:pPr>
            <w:r>
              <w:rPr>
                <w:color w:val="auto"/>
                <w:sz w:val="21"/>
                <w:szCs w:val="21"/>
              </w:rPr>
              <w:t>硫酸铵包装</w:t>
            </w:r>
          </w:p>
        </w:tc>
        <w:tc>
          <w:tcPr>
            <w:tcW w:w="1358" w:type="dxa"/>
            <w:vAlign w:val="center"/>
          </w:tcPr>
          <w:p w14:paraId="681981B8">
            <w:pPr>
              <w:widowControl w:val="0"/>
              <w:jc w:val="center"/>
              <w:rPr>
                <w:color w:val="auto"/>
                <w:sz w:val="21"/>
                <w:szCs w:val="21"/>
              </w:rPr>
            </w:pPr>
            <w:r>
              <w:rPr>
                <w:color w:val="auto"/>
                <w:sz w:val="21"/>
                <w:szCs w:val="21"/>
              </w:rPr>
              <w:t>颗粒物</w:t>
            </w:r>
          </w:p>
        </w:tc>
        <w:tc>
          <w:tcPr>
            <w:tcW w:w="1470" w:type="dxa"/>
            <w:vAlign w:val="center"/>
          </w:tcPr>
          <w:p w14:paraId="35926CAD">
            <w:pPr>
              <w:widowControl w:val="0"/>
              <w:jc w:val="center"/>
              <w:rPr>
                <w:color w:val="auto"/>
                <w:sz w:val="21"/>
                <w:szCs w:val="21"/>
              </w:rPr>
            </w:pPr>
            <w:r>
              <w:rPr>
                <w:color w:val="auto"/>
                <w:sz w:val="21"/>
                <w:szCs w:val="21"/>
              </w:rPr>
              <w:t>物料衡算法</w:t>
            </w:r>
          </w:p>
        </w:tc>
        <w:tc>
          <w:tcPr>
            <w:tcW w:w="1133" w:type="dxa"/>
            <w:vAlign w:val="center"/>
          </w:tcPr>
          <w:p w14:paraId="4D5FF3DA">
            <w:pPr>
              <w:widowControl w:val="0"/>
              <w:jc w:val="center"/>
              <w:rPr>
                <w:color w:val="auto"/>
                <w:sz w:val="21"/>
                <w:szCs w:val="21"/>
              </w:rPr>
            </w:pPr>
            <w:r>
              <w:rPr>
                <w:color w:val="auto"/>
                <w:sz w:val="21"/>
                <w:szCs w:val="21"/>
              </w:rPr>
              <w:t>1500</w:t>
            </w:r>
          </w:p>
        </w:tc>
        <w:tc>
          <w:tcPr>
            <w:tcW w:w="1417" w:type="dxa"/>
            <w:vAlign w:val="center"/>
          </w:tcPr>
          <w:p w14:paraId="751AC537">
            <w:pPr>
              <w:widowControl w:val="0"/>
              <w:jc w:val="center"/>
              <w:rPr>
                <w:color w:val="auto"/>
                <w:sz w:val="21"/>
                <w:szCs w:val="21"/>
              </w:rPr>
            </w:pPr>
            <w:r>
              <w:rPr>
                <w:color w:val="auto"/>
                <w:sz w:val="21"/>
                <w:szCs w:val="21"/>
              </w:rPr>
              <w:t xml:space="preserve">3162.95 </w:t>
            </w:r>
          </w:p>
        </w:tc>
        <w:tc>
          <w:tcPr>
            <w:tcW w:w="1275" w:type="dxa"/>
            <w:vAlign w:val="center"/>
          </w:tcPr>
          <w:p w14:paraId="1F0CB2B6">
            <w:pPr>
              <w:widowControl w:val="0"/>
              <w:jc w:val="center"/>
              <w:rPr>
                <w:color w:val="auto"/>
                <w:sz w:val="21"/>
                <w:szCs w:val="21"/>
              </w:rPr>
            </w:pPr>
            <w:r>
              <w:rPr>
                <w:color w:val="auto"/>
                <w:sz w:val="21"/>
                <w:szCs w:val="21"/>
              </w:rPr>
              <w:t>4.74</w:t>
            </w:r>
          </w:p>
        </w:tc>
        <w:tc>
          <w:tcPr>
            <w:tcW w:w="1133" w:type="dxa"/>
            <w:vAlign w:val="center"/>
          </w:tcPr>
          <w:p w14:paraId="4530C0F7">
            <w:pPr>
              <w:widowControl w:val="0"/>
              <w:jc w:val="center"/>
              <w:rPr>
                <w:color w:val="auto"/>
                <w:sz w:val="21"/>
                <w:szCs w:val="21"/>
              </w:rPr>
            </w:pPr>
            <w:r>
              <w:rPr>
                <w:color w:val="auto"/>
                <w:sz w:val="21"/>
                <w:szCs w:val="21"/>
              </w:rPr>
              <w:t>37.96</w:t>
            </w:r>
          </w:p>
        </w:tc>
        <w:tc>
          <w:tcPr>
            <w:tcW w:w="1523" w:type="dxa"/>
            <w:vAlign w:val="center"/>
          </w:tcPr>
          <w:p w14:paraId="7A679D31">
            <w:pPr>
              <w:widowControl w:val="0"/>
              <w:jc w:val="center"/>
              <w:rPr>
                <w:color w:val="auto"/>
                <w:sz w:val="21"/>
                <w:szCs w:val="21"/>
              </w:rPr>
            </w:pPr>
            <w:r>
              <w:rPr>
                <w:color w:val="auto"/>
                <w:sz w:val="21"/>
                <w:szCs w:val="21"/>
              </w:rPr>
              <w:t>布袋除尘器</w:t>
            </w:r>
          </w:p>
        </w:tc>
        <w:tc>
          <w:tcPr>
            <w:tcW w:w="1025" w:type="dxa"/>
            <w:vAlign w:val="center"/>
          </w:tcPr>
          <w:p w14:paraId="74065C5B">
            <w:pPr>
              <w:widowControl w:val="0"/>
              <w:jc w:val="center"/>
              <w:rPr>
                <w:color w:val="auto"/>
                <w:sz w:val="21"/>
                <w:szCs w:val="21"/>
              </w:rPr>
            </w:pPr>
            <w:r>
              <w:rPr>
                <w:color w:val="auto"/>
                <w:sz w:val="21"/>
                <w:szCs w:val="21"/>
              </w:rPr>
              <w:t>99.8%</w:t>
            </w:r>
          </w:p>
        </w:tc>
        <w:tc>
          <w:tcPr>
            <w:tcW w:w="1373" w:type="dxa"/>
            <w:vAlign w:val="center"/>
          </w:tcPr>
          <w:p w14:paraId="3311FD21">
            <w:pPr>
              <w:widowControl w:val="0"/>
              <w:jc w:val="center"/>
              <w:rPr>
                <w:color w:val="auto"/>
                <w:sz w:val="21"/>
                <w:szCs w:val="21"/>
              </w:rPr>
            </w:pPr>
            <w:r>
              <w:rPr>
                <w:color w:val="auto"/>
                <w:sz w:val="21"/>
                <w:szCs w:val="21"/>
              </w:rPr>
              <w:t xml:space="preserve">6.3 </w:t>
            </w:r>
          </w:p>
        </w:tc>
        <w:tc>
          <w:tcPr>
            <w:tcW w:w="1177" w:type="dxa"/>
            <w:vAlign w:val="center"/>
          </w:tcPr>
          <w:p w14:paraId="5428AE62">
            <w:pPr>
              <w:widowControl w:val="0"/>
              <w:jc w:val="center"/>
              <w:rPr>
                <w:color w:val="auto"/>
                <w:sz w:val="21"/>
                <w:szCs w:val="21"/>
              </w:rPr>
            </w:pPr>
            <w:r>
              <w:rPr>
                <w:color w:val="auto"/>
                <w:sz w:val="21"/>
                <w:szCs w:val="21"/>
              </w:rPr>
              <w:t>0.01</w:t>
            </w:r>
          </w:p>
        </w:tc>
        <w:tc>
          <w:tcPr>
            <w:tcW w:w="1274" w:type="dxa"/>
            <w:vAlign w:val="center"/>
          </w:tcPr>
          <w:p w14:paraId="37B6C5CF">
            <w:pPr>
              <w:widowControl w:val="0"/>
              <w:jc w:val="center"/>
              <w:rPr>
                <w:color w:val="auto"/>
                <w:sz w:val="21"/>
                <w:szCs w:val="21"/>
              </w:rPr>
            </w:pPr>
            <w:r>
              <w:rPr>
                <w:color w:val="auto"/>
                <w:sz w:val="21"/>
                <w:szCs w:val="21"/>
              </w:rPr>
              <w:t>0.08</w:t>
            </w:r>
          </w:p>
        </w:tc>
        <w:tc>
          <w:tcPr>
            <w:tcW w:w="3363" w:type="dxa"/>
            <w:gridSpan w:val="4"/>
            <w:vMerge w:val="continue"/>
            <w:vAlign w:val="center"/>
          </w:tcPr>
          <w:p w14:paraId="79CF78BA">
            <w:pPr>
              <w:widowControl w:val="0"/>
              <w:jc w:val="center"/>
              <w:rPr>
                <w:color w:val="auto"/>
                <w:sz w:val="21"/>
                <w:szCs w:val="21"/>
              </w:rPr>
            </w:pPr>
          </w:p>
        </w:tc>
        <w:tc>
          <w:tcPr>
            <w:tcW w:w="1538" w:type="dxa"/>
            <w:vAlign w:val="center"/>
          </w:tcPr>
          <w:p w14:paraId="2757724E">
            <w:pPr>
              <w:widowControl w:val="0"/>
              <w:jc w:val="center"/>
              <w:rPr>
                <w:color w:val="auto"/>
                <w:sz w:val="21"/>
                <w:szCs w:val="21"/>
              </w:rPr>
            </w:pPr>
            <w:r>
              <w:rPr>
                <w:color w:val="auto"/>
                <w:sz w:val="21"/>
                <w:szCs w:val="21"/>
              </w:rPr>
              <w:t>8000</w:t>
            </w:r>
          </w:p>
        </w:tc>
      </w:tr>
      <w:tr w14:paraId="5EFD0AA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159A5310">
            <w:pPr>
              <w:widowControl w:val="0"/>
              <w:jc w:val="center"/>
              <w:rPr>
                <w:color w:val="auto"/>
                <w:sz w:val="21"/>
                <w:szCs w:val="21"/>
              </w:rPr>
            </w:pPr>
          </w:p>
        </w:tc>
        <w:tc>
          <w:tcPr>
            <w:tcW w:w="1540" w:type="dxa"/>
            <w:vMerge w:val="restart"/>
            <w:vAlign w:val="center"/>
          </w:tcPr>
          <w:p w14:paraId="5C713772">
            <w:pPr>
              <w:widowControl w:val="0"/>
              <w:jc w:val="center"/>
              <w:rPr>
                <w:color w:val="auto"/>
                <w:sz w:val="21"/>
                <w:szCs w:val="21"/>
              </w:rPr>
            </w:pPr>
            <w:r>
              <w:rPr>
                <w:color w:val="auto"/>
                <w:sz w:val="21"/>
                <w:szCs w:val="21"/>
              </w:rPr>
              <w:t>硫酸铵干燥包装排口（DA002）</w:t>
            </w:r>
          </w:p>
        </w:tc>
        <w:tc>
          <w:tcPr>
            <w:tcW w:w="1358" w:type="dxa"/>
            <w:vAlign w:val="center"/>
          </w:tcPr>
          <w:p w14:paraId="7E68F7D0">
            <w:pPr>
              <w:widowControl w:val="0"/>
              <w:jc w:val="center"/>
              <w:rPr>
                <w:color w:val="auto"/>
                <w:sz w:val="21"/>
                <w:szCs w:val="21"/>
              </w:rPr>
            </w:pPr>
            <w:r>
              <w:rPr>
                <w:color w:val="auto"/>
                <w:sz w:val="21"/>
                <w:szCs w:val="21"/>
              </w:rPr>
              <w:t>颗粒物</w:t>
            </w:r>
          </w:p>
        </w:tc>
        <w:tc>
          <w:tcPr>
            <w:tcW w:w="1470" w:type="dxa"/>
            <w:vAlign w:val="center"/>
          </w:tcPr>
          <w:p w14:paraId="1BF7D9E1">
            <w:pPr>
              <w:widowControl w:val="0"/>
              <w:jc w:val="center"/>
              <w:rPr>
                <w:color w:val="auto"/>
                <w:sz w:val="21"/>
                <w:szCs w:val="21"/>
              </w:rPr>
            </w:pPr>
            <w:r>
              <w:rPr>
                <w:color w:val="auto"/>
                <w:sz w:val="21"/>
                <w:szCs w:val="21"/>
              </w:rPr>
              <w:t>物料衡算法</w:t>
            </w:r>
          </w:p>
        </w:tc>
        <w:tc>
          <w:tcPr>
            <w:tcW w:w="1133" w:type="dxa"/>
            <w:vMerge w:val="restart"/>
            <w:vAlign w:val="center"/>
          </w:tcPr>
          <w:p w14:paraId="0E6E5533">
            <w:pPr>
              <w:widowControl w:val="0"/>
              <w:jc w:val="center"/>
              <w:rPr>
                <w:color w:val="auto"/>
                <w:sz w:val="21"/>
                <w:szCs w:val="21"/>
              </w:rPr>
            </w:pPr>
            <w:r>
              <w:rPr>
                <w:color w:val="auto"/>
                <w:sz w:val="21"/>
                <w:szCs w:val="21"/>
              </w:rPr>
              <w:t>41500</w:t>
            </w:r>
          </w:p>
        </w:tc>
        <w:tc>
          <w:tcPr>
            <w:tcW w:w="1417" w:type="dxa"/>
            <w:vAlign w:val="center"/>
          </w:tcPr>
          <w:p w14:paraId="39C72B71">
            <w:pPr>
              <w:widowControl w:val="0"/>
              <w:jc w:val="center"/>
              <w:rPr>
                <w:color w:val="auto"/>
                <w:sz w:val="21"/>
                <w:szCs w:val="21"/>
              </w:rPr>
            </w:pPr>
            <w:r>
              <w:rPr>
                <w:color w:val="auto"/>
                <w:sz w:val="21"/>
                <w:szCs w:val="21"/>
              </w:rPr>
              <w:t>/</w:t>
            </w:r>
          </w:p>
        </w:tc>
        <w:tc>
          <w:tcPr>
            <w:tcW w:w="1275" w:type="dxa"/>
            <w:vAlign w:val="center"/>
          </w:tcPr>
          <w:p w14:paraId="28DA6472">
            <w:pPr>
              <w:widowControl w:val="0"/>
              <w:jc w:val="center"/>
              <w:rPr>
                <w:color w:val="auto"/>
                <w:sz w:val="21"/>
                <w:szCs w:val="21"/>
              </w:rPr>
            </w:pPr>
            <w:r>
              <w:rPr>
                <w:color w:val="auto"/>
                <w:sz w:val="21"/>
                <w:szCs w:val="21"/>
              </w:rPr>
              <w:t>/</w:t>
            </w:r>
          </w:p>
        </w:tc>
        <w:tc>
          <w:tcPr>
            <w:tcW w:w="1133" w:type="dxa"/>
            <w:vAlign w:val="center"/>
          </w:tcPr>
          <w:p w14:paraId="5D4C2D73">
            <w:pPr>
              <w:widowControl w:val="0"/>
              <w:jc w:val="center"/>
              <w:rPr>
                <w:color w:val="auto"/>
                <w:sz w:val="21"/>
                <w:szCs w:val="21"/>
              </w:rPr>
            </w:pPr>
            <w:r>
              <w:rPr>
                <w:color w:val="auto"/>
                <w:sz w:val="21"/>
                <w:szCs w:val="21"/>
              </w:rPr>
              <w:t>/</w:t>
            </w:r>
          </w:p>
        </w:tc>
        <w:tc>
          <w:tcPr>
            <w:tcW w:w="1523" w:type="dxa"/>
            <w:vAlign w:val="center"/>
          </w:tcPr>
          <w:p w14:paraId="4E786BEB">
            <w:pPr>
              <w:widowControl w:val="0"/>
              <w:jc w:val="center"/>
              <w:rPr>
                <w:color w:val="auto"/>
                <w:sz w:val="21"/>
                <w:szCs w:val="21"/>
              </w:rPr>
            </w:pPr>
            <w:r>
              <w:rPr>
                <w:color w:val="auto"/>
                <w:sz w:val="21"/>
                <w:szCs w:val="21"/>
              </w:rPr>
              <w:t>/</w:t>
            </w:r>
          </w:p>
        </w:tc>
        <w:tc>
          <w:tcPr>
            <w:tcW w:w="1025" w:type="dxa"/>
            <w:vAlign w:val="center"/>
          </w:tcPr>
          <w:p w14:paraId="7CD0F9B9">
            <w:pPr>
              <w:widowControl w:val="0"/>
              <w:jc w:val="center"/>
              <w:rPr>
                <w:color w:val="auto"/>
                <w:sz w:val="21"/>
                <w:szCs w:val="21"/>
              </w:rPr>
            </w:pPr>
            <w:r>
              <w:rPr>
                <w:color w:val="auto"/>
                <w:sz w:val="21"/>
                <w:szCs w:val="21"/>
              </w:rPr>
              <w:t>/</w:t>
            </w:r>
          </w:p>
        </w:tc>
        <w:tc>
          <w:tcPr>
            <w:tcW w:w="1373" w:type="dxa"/>
            <w:vAlign w:val="center"/>
          </w:tcPr>
          <w:p w14:paraId="780928DD">
            <w:pPr>
              <w:widowControl w:val="0"/>
              <w:jc w:val="center"/>
              <w:rPr>
                <w:color w:val="auto"/>
                <w:sz w:val="21"/>
                <w:szCs w:val="21"/>
              </w:rPr>
            </w:pPr>
            <w:r>
              <w:rPr>
                <w:color w:val="auto"/>
                <w:sz w:val="21"/>
                <w:szCs w:val="21"/>
              </w:rPr>
              <w:t xml:space="preserve">7.1 </w:t>
            </w:r>
          </w:p>
        </w:tc>
        <w:tc>
          <w:tcPr>
            <w:tcW w:w="1177" w:type="dxa"/>
            <w:vAlign w:val="center"/>
          </w:tcPr>
          <w:p w14:paraId="12718D77">
            <w:pPr>
              <w:widowControl w:val="0"/>
              <w:jc w:val="center"/>
              <w:rPr>
                <w:color w:val="auto"/>
                <w:sz w:val="21"/>
                <w:szCs w:val="21"/>
              </w:rPr>
            </w:pPr>
            <w:r>
              <w:rPr>
                <w:color w:val="auto"/>
                <w:sz w:val="21"/>
                <w:szCs w:val="21"/>
              </w:rPr>
              <w:t>0.29</w:t>
            </w:r>
          </w:p>
        </w:tc>
        <w:tc>
          <w:tcPr>
            <w:tcW w:w="1274" w:type="dxa"/>
            <w:vAlign w:val="center"/>
          </w:tcPr>
          <w:p w14:paraId="294CC65A">
            <w:pPr>
              <w:widowControl w:val="0"/>
              <w:jc w:val="center"/>
              <w:rPr>
                <w:color w:val="auto"/>
                <w:sz w:val="21"/>
                <w:szCs w:val="21"/>
              </w:rPr>
            </w:pPr>
            <w:r>
              <w:rPr>
                <w:color w:val="auto"/>
                <w:sz w:val="21"/>
                <w:szCs w:val="21"/>
              </w:rPr>
              <w:t>2.35</w:t>
            </w:r>
          </w:p>
        </w:tc>
        <w:tc>
          <w:tcPr>
            <w:tcW w:w="946" w:type="dxa"/>
            <w:vMerge w:val="restart"/>
            <w:vAlign w:val="center"/>
          </w:tcPr>
          <w:p w14:paraId="01624669">
            <w:pPr>
              <w:widowControl w:val="0"/>
              <w:jc w:val="center"/>
              <w:rPr>
                <w:color w:val="auto"/>
                <w:sz w:val="21"/>
                <w:szCs w:val="21"/>
              </w:rPr>
            </w:pPr>
            <w:r>
              <w:rPr>
                <w:color w:val="auto"/>
                <w:sz w:val="21"/>
                <w:szCs w:val="21"/>
              </w:rPr>
              <w:t>DA002</w:t>
            </w:r>
          </w:p>
        </w:tc>
        <w:tc>
          <w:tcPr>
            <w:tcW w:w="959" w:type="dxa"/>
            <w:vMerge w:val="restart"/>
            <w:vAlign w:val="center"/>
          </w:tcPr>
          <w:p w14:paraId="3233EA36">
            <w:pPr>
              <w:widowControl w:val="0"/>
              <w:jc w:val="center"/>
              <w:rPr>
                <w:color w:val="auto"/>
                <w:sz w:val="21"/>
                <w:szCs w:val="21"/>
              </w:rPr>
            </w:pPr>
            <w:r>
              <w:rPr>
                <w:color w:val="auto"/>
                <w:sz w:val="21"/>
                <w:szCs w:val="21"/>
              </w:rPr>
              <w:t>40.0</w:t>
            </w:r>
          </w:p>
        </w:tc>
        <w:tc>
          <w:tcPr>
            <w:tcW w:w="759" w:type="dxa"/>
            <w:vMerge w:val="restart"/>
            <w:vAlign w:val="center"/>
          </w:tcPr>
          <w:p w14:paraId="0CACD8B6">
            <w:pPr>
              <w:widowControl w:val="0"/>
              <w:jc w:val="center"/>
              <w:rPr>
                <w:color w:val="auto"/>
                <w:sz w:val="21"/>
                <w:szCs w:val="21"/>
              </w:rPr>
            </w:pPr>
            <w:r>
              <w:rPr>
                <w:color w:val="auto"/>
                <w:sz w:val="21"/>
                <w:szCs w:val="21"/>
              </w:rPr>
              <w:t>17.0</w:t>
            </w:r>
          </w:p>
        </w:tc>
        <w:tc>
          <w:tcPr>
            <w:tcW w:w="699" w:type="dxa"/>
            <w:vMerge w:val="restart"/>
            <w:vAlign w:val="center"/>
          </w:tcPr>
          <w:p w14:paraId="5E027AD8">
            <w:pPr>
              <w:widowControl w:val="0"/>
              <w:jc w:val="center"/>
              <w:rPr>
                <w:color w:val="auto"/>
                <w:sz w:val="21"/>
                <w:szCs w:val="21"/>
              </w:rPr>
            </w:pPr>
            <w:r>
              <w:rPr>
                <w:color w:val="auto"/>
                <w:sz w:val="21"/>
                <w:szCs w:val="21"/>
              </w:rPr>
              <w:t>1.5</w:t>
            </w:r>
          </w:p>
        </w:tc>
        <w:tc>
          <w:tcPr>
            <w:tcW w:w="1538" w:type="dxa"/>
            <w:vMerge w:val="restart"/>
            <w:vAlign w:val="center"/>
          </w:tcPr>
          <w:p w14:paraId="202FA5EC">
            <w:pPr>
              <w:widowControl w:val="0"/>
              <w:jc w:val="center"/>
              <w:rPr>
                <w:color w:val="auto"/>
                <w:sz w:val="21"/>
                <w:szCs w:val="21"/>
              </w:rPr>
            </w:pPr>
            <w:r>
              <w:rPr>
                <w:color w:val="auto"/>
                <w:sz w:val="21"/>
                <w:szCs w:val="21"/>
              </w:rPr>
              <w:t>8000</w:t>
            </w:r>
          </w:p>
        </w:tc>
      </w:tr>
      <w:tr w14:paraId="236D167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2C8F74AD">
            <w:pPr>
              <w:widowControl w:val="0"/>
              <w:jc w:val="center"/>
              <w:rPr>
                <w:color w:val="auto"/>
                <w:sz w:val="21"/>
                <w:szCs w:val="21"/>
              </w:rPr>
            </w:pPr>
          </w:p>
        </w:tc>
        <w:tc>
          <w:tcPr>
            <w:tcW w:w="1540" w:type="dxa"/>
            <w:vMerge w:val="continue"/>
            <w:vAlign w:val="center"/>
          </w:tcPr>
          <w:p w14:paraId="167BE4EC">
            <w:pPr>
              <w:widowControl w:val="0"/>
              <w:jc w:val="center"/>
              <w:rPr>
                <w:color w:val="auto"/>
                <w:sz w:val="21"/>
                <w:szCs w:val="21"/>
              </w:rPr>
            </w:pPr>
          </w:p>
        </w:tc>
        <w:tc>
          <w:tcPr>
            <w:tcW w:w="1358" w:type="dxa"/>
            <w:vAlign w:val="center"/>
          </w:tcPr>
          <w:p w14:paraId="2A09DD92">
            <w:pPr>
              <w:widowControl w:val="0"/>
              <w:jc w:val="center"/>
              <w:rPr>
                <w:color w:val="auto"/>
                <w:sz w:val="21"/>
                <w:szCs w:val="21"/>
              </w:rPr>
            </w:pPr>
            <w:r>
              <w:rPr>
                <w:color w:val="auto"/>
                <w:sz w:val="21"/>
                <w:szCs w:val="21"/>
              </w:rPr>
              <w:t>NH</w:t>
            </w:r>
            <w:r>
              <w:rPr>
                <w:color w:val="auto"/>
                <w:sz w:val="21"/>
                <w:szCs w:val="21"/>
                <w:vertAlign w:val="subscript"/>
              </w:rPr>
              <w:t>3</w:t>
            </w:r>
          </w:p>
        </w:tc>
        <w:tc>
          <w:tcPr>
            <w:tcW w:w="1470" w:type="dxa"/>
            <w:vAlign w:val="center"/>
          </w:tcPr>
          <w:p w14:paraId="5785E77B">
            <w:pPr>
              <w:widowControl w:val="0"/>
              <w:jc w:val="center"/>
              <w:rPr>
                <w:color w:val="auto"/>
                <w:sz w:val="21"/>
                <w:szCs w:val="21"/>
              </w:rPr>
            </w:pPr>
            <w:r>
              <w:rPr>
                <w:color w:val="auto"/>
                <w:sz w:val="21"/>
                <w:szCs w:val="21"/>
              </w:rPr>
              <w:t>物料衡算法</w:t>
            </w:r>
          </w:p>
        </w:tc>
        <w:tc>
          <w:tcPr>
            <w:tcW w:w="1133" w:type="dxa"/>
            <w:vMerge w:val="continue"/>
            <w:vAlign w:val="center"/>
          </w:tcPr>
          <w:p w14:paraId="470E316D">
            <w:pPr>
              <w:widowControl w:val="0"/>
              <w:jc w:val="center"/>
              <w:rPr>
                <w:color w:val="auto"/>
                <w:sz w:val="21"/>
                <w:szCs w:val="21"/>
              </w:rPr>
            </w:pPr>
          </w:p>
        </w:tc>
        <w:tc>
          <w:tcPr>
            <w:tcW w:w="1417" w:type="dxa"/>
            <w:vAlign w:val="center"/>
          </w:tcPr>
          <w:p w14:paraId="068AF0FA">
            <w:pPr>
              <w:widowControl w:val="0"/>
              <w:jc w:val="center"/>
              <w:rPr>
                <w:color w:val="auto"/>
                <w:sz w:val="21"/>
                <w:szCs w:val="21"/>
              </w:rPr>
            </w:pPr>
            <w:r>
              <w:rPr>
                <w:color w:val="auto"/>
                <w:sz w:val="21"/>
                <w:szCs w:val="21"/>
              </w:rPr>
              <w:t>/</w:t>
            </w:r>
          </w:p>
        </w:tc>
        <w:tc>
          <w:tcPr>
            <w:tcW w:w="1275" w:type="dxa"/>
            <w:vAlign w:val="center"/>
          </w:tcPr>
          <w:p w14:paraId="1B4B5A26">
            <w:pPr>
              <w:widowControl w:val="0"/>
              <w:jc w:val="center"/>
              <w:rPr>
                <w:color w:val="auto"/>
                <w:sz w:val="21"/>
                <w:szCs w:val="21"/>
              </w:rPr>
            </w:pPr>
            <w:r>
              <w:rPr>
                <w:color w:val="auto"/>
                <w:sz w:val="21"/>
                <w:szCs w:val="21"/>
              </w:rPr>
              <w:t>/</w:t>
            </w:r>
          </w:p>
        </w:tc>
        <w:tc>
          <w:tcPr>
            <w:tcW w:w="1133" w:type="dxa"/>
            <w:vAlign w:val="center"/>
          </w:tcPr>
          <w:p w14:paraId="34CE278A">
            <w:pPr>
              <w:widowControl w:val="0"/>
              <w:jc w:val="center"/>
              <w:rPr>
                <w:color w:val="auto"/>
                <w:sz w:val="21"/>
                <w:szCs w:val="21"/>
              </w:rPr>
            </w:pPr>
            <w:r>
              <w:rPr>
                <w:color w:val="auto"/>
                <w:sz w:val="21"/>
                <w:szCs w:val="21"/>
              </w:rPr>
              <w:t>/</w:t>
            </w:r>
          </w:p>
        </w:tc>
        <w:tc>
          <w:tcPr>
            <w:tcW w:w="1523" w:type="dxa"/>
            <w:vAlign w:val="center"/>
          </w:tcPr>
          <w:p w14:paraId="63CFBAC3">
            <w:pPr>
              <w:widowControl w:val="0"/>
              <w:jc w:val="center"/>
              <w:rPr>
                <w:color w:val="auto"/>
                <w:sz w:val="21"/>
                <w:szCs w:val="21"/>
              </w:rPr>
            </w:pPr>
            <w:r>
              <w:rPr>
                <w:color w:val="auto"/>
                <w:sz w:val="21"/>
                <w:szCs w:val="21"/>
              </w:rPr>
              <w:t>/</w:t>
            </w:r>
          </w:p>
        </w:tc>
        <w:tc>
          <w:tcPr>
            <w:tcW w:w="1025" w:type="dxa"/>
            <w:vAlign w:val="center"/>
          </w:tcPr>
          <w:p w14:paraId="333CBEAE">
            <w:pPr>
              <w:widowControl w:val="0"/>
              <w:jc w:val="center"/>
              <w:rPr>
                <w:color w:val="auto"/>
                <w:sz w:val="21"/>
                <w:szCs w:val="21"/>
              </w:rPr>
            </w:pPr>
            <w:r>
              <w:rPr>
                <w:color w:val="auto"/>
                <w:sz w:val="21"/>
                <w:szCs w:val="21"/>
              </w:rPr>
              <w:t>/</w:t>
            </w:r>
          </w:p>
        </w:tc>
        <w:tc>
          <w:tcPr>
            <w:tcW w:w="1373" w:type="dxa"/>
            <w:vAlign w:val="center"/>
          </w:tcPr>
          <w:p w14:paraId="3C6BEC02">
            <w:pPr>
              <w:widowControl w:val="0"/>
              <w:jc w:val="center"/>
              <w:rPr>
                <w:color w:val="auto"/>
                <w:sz w:val="21"/>
                <w:szCs w:val="21"/>
              </w:rPr>
            </w:pPr>
            <w:r>
              <w:rPr>
                <w:color w:val="auto"/>
                <w:sz w:val="21"/>
                <w:szCs w:val="21"/>
              </w:rPr>
              <w:t>/</w:t>
            </w:r>
          </w:p>
        </w:tc>
        <w:tc>
          <w:tcPr>
            <w:tcW w:w="1177" w:type="dxa"/>
            <w:vAlign w:val="center"/>
          </w:tcPr>
          <w:p w14:paraId="1349D78E">
            <w:pPr>
              <w:widowControl w:val="0"/>
              <w:jc w:val="center"/>
              <w:rPr>
                <w:color w:val="auto"/>
                <w:sz w:val="21"/>
                <w:szCs w:val="21"/>
              </w:rPr>
            </w:pPr>
            <w:r>
              <w:rPr>
                <w:color w:val="auto"/>
                <w:sz w:val="21"/>
                <w:szCs w:val="21"/>
              </w:rPr>
              <w:t>/</w:t>
            </w:r>
          </w:p>
        </w:tc>
        <w:tc>
          <w:tcPr>
            <w:tcW w:w="1274" w:type="dxa"/>
            <w:vAlign w:val="center"/>
          </w:tcPr>
          <w:p w14:paraId="12DF195D">
            <w:pPr>
              <w:widowControl w:val="0"/>
              <w:jc w:val="center"/>
              <w:rPr>
                <w:color w:val="auto"/>
                <w:sz w:val="21"/>
                <w:szCs w:val="21"/>
              </w:rPr>
            </w:pPr>
            <w:r>
              <w:rPr>
                <w:color w:val="auto"/>
                <w:sz w:val="21"/>
                <w:szCs w:val="21"/>
              </w:rPr>
              <w:t>/</w:t>
            </w:r>
          </w:p>
        </w:tc>
        <w:tc>
          <w:tcPr>
            <w:tcW w:w="946" w:type="dxa"/>
            <w:vMerge w:val="continue"/>
            <w:vAlign w:val="center"/>
          </w:tcPr>
          <w:p w14:paraId="13DCAFCC">
            <w:pPr>
              <w:widowControl w:val="0"/>
              <w:jc w:val="center"/>
              <w:rPr>
                <w:color w:val="auto"/>
                <w:sz w:val="21"/>
                <w:szCs w:val="21"/>
              </w:rPr>
            </w:pPr>
          </w:p>
        </w:tc>
        <w:tc>
          <w:tcPr>
            <w:tcW w:w="959" w:type="dxa"/>
            <w:vMerge w:val="continue"/>
            <w:vAlign w:val="center"/>
          </w:tcPr>
          <w:p w14:paraId="1450E2A1">
            <w:pPr>
              <w:widowControl w:val="0"/>
              <w:jc w:val="center"/>
              <w:rPr>
                <w:color w:val="auto"/>
                <w:sz w:val="21"/>
                <w:szCs w:val="21"/>
              </w:rPr>
            </w:pPr>
          </w:p>
        </w:tc>
        <w:tc>
          <w:tcPr>
            <w:tcW w:w="759" w:type="dxa"/>
            <w:vMerge w:val="continue"/>
            <w:vAlign w:val="center"/>
          </w:tcPr>
          <w:p w14:paraId="7E12F2D5">
            <w:pPr>
              <w:widowControl w:val="0"/>
              <w:jc w:val="center"/>
              <w:rPr>
                <w:color w:val="auto"/>
                <w:sz w:val="21"/>
                <w:szCs w:val="21"/>
              </w:rPr>
            </w:pPr>
          </w:p>
        </w:tc>
        <w:tc>
          <w:tcPr>
            <w:tcW w:w="699" w:type="dxa"/>
            <w:vMerge w:val="continue"/>
            <w:vAlign w:val="center"/>
          </w:tcPr>
          <w:p w14:paraId="37FAC5FF">
            <w:pPr>
              <w:widowControl w:val="0"/>
              <w:jc w:val="center"/>
              <w:rPr>
                <w:color w:val="auto"/>
                <w:sz w:val="21"/>
                <w:szCs w:val="21"/>
              </w:rPr>
            </w:pPr>
          </w:p>
        </w:tc>
        <w:tc>
          <w:tcPr>
            <w:tcW w:w="1538" w:type="dxa"/>
            <w:vMerge w:val="continue"/>
            <w:vAlign w:val="center"/>
          </w:tcPr>
          <w:p w14:paraId="2A8AA1C7">
            <w:pPr>
              <w:widowControl w:val="0"/>
              <w:jc w:val="center"/>
              <w:rPr>
                <w:color w:val="auto"/>
                <w:sz w:val="21"/>
                <w:szCs w:val="21"/>
              </w:rPr>
            </w:pPr>
          </w:p>
        </w:tc>
      </w:tr>
      <w:tr w14:paraId="3D8E04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2B040F3A">
            <w:pPr>
              <w:widowControl w:val="0"/>
              <w:jc w:val="center"/>
              <w:rPr>
                <w:color w:val="auto"/>
                <w:sz w:val="21"/>
                <w:szCs w:val="21"/>
              </w:rPr>
            </w:pPr>
            <w:r>
              <w:rPr>
                <w:color w:val="auto"/>
                <w:sz w:val="21"/>
                <w:szCs w:val="21"/>
              </w:rPr>
              <w:t>G</w:t>
            </w:r>
            <w:r>
              <w:rPr>
                <w:color w:val="auto"/>
                <w:sz w:val="21"/>
                <w:szCs w:val="21"/>
                <w:vertAlign w:val="subscript"/>
              </w:rPr>
              <w:t>4</w:t>
            </w:r>
            <w:r>
              <w:rPr>
                <w:rFonts w:ascii="Cambria Math" w:hAnsi="Cambria Math" w:cs="Cambria Math"/>
                <w:color w:val="auto"/>
                <w:sz w:val="21"/>
                <w:szCs w:val="21"/>
              </w:rPr>
              <w:t>①</w:t>
            </w:r>
            <w:r>
              <w:rPr>
                <w:color w:val="auto"/>
                <w:sz w:val="21"/>
                <w:szCs w:val="21"/>
              </w:rPr>
              <w:t>、G</w:t>
            </w:r>
            <w:r>
              <w:rPr>
                <w:color w:val="auto"/>
                <w:sz w:val="21"/>
                <w:szCs w:val="21"/>
                <w:vertAlign w:val="subscript"/>
              </w:rPr>
              <w:t>4</w:t>
            </w:r>
            <w:r>
              <w:rPr>
                <w:rFonts w:ascii="Cambria Math" w:hAnsi="Cambria Math" w:cs="Cambria Math"/>
                <w:color w:val="auto"/>
                <w:sz w:val="21"/>
                <w:szCs w:val="21"/>
              </w:rPr>
              <w:t>②</w:t>
            </w:r>
          </w:p>
        </w:tc>
        <w:tc>
          <w:tcPr>
            <w:tcW w:w="1540" w:type="dxa"/>
            <w:vMerge w:val="restart"/>
            <w:vAlign w:val="center"/>
          </w:tcPr>
          <w:p w14:paraId="55C8F3CB">
            <w:pPr>
              <w:widowControl w:val="0"/>
              <w:jc w:val="center"/>
              <w:rPr>
                <w:color w:val="auto"/>
                <w:sz w:val="21"/>
                <w:szCs w:val="21"/>
              </w:rPr>
            </w:pPr>
            <w:r>
              <w:rPr>
                <w:color w:val="auto"/>
                <w:sz w:val="21"/>
                <w:szCs w:val="21"/>
              </w:rPr>
              <w:t>二氧化碳气</w:t>
            </w:r>
          </w:p>
        </w:tc>
        <w:tc>
          <w:tcPr>
            <w:tcW w:w="1358" w:type="dxa"/>
            <w:vAlign w:val="center"/>
          </w:tcPr>
          <w:p w14:paraId="193D96C7">
            <w:pPr>
              <w:widowControl w:val="0"/>
              <w:jc w:val="center"/>
              <w:rPr>
                <w:color w:val="auto"/>
                <w:sz w:val="21"/>
                <w:szCs w:val="21"/>
              </w:rPr>
            </w:pPr>
            <w:r>
              <w:rPr>
                <w:color w:val="auto"/>
                <w:sz w:val="21"/>
                <w:szCs w:val="21"/>
              </w:rPr>
              <w:t>CO2</w:t>
            </w:r>
          </w:p>
        </w:tc>
        <w:tc>
          <w:tcPr>
            <w:tcW w:w="1470" w:type="dxa"/>
            <w:vAlign w:val="center"/>
          </w:tcPr>
          <w:p w14:paraId="6ACE1693">
            <w:pPr>
              <w:widowControl w:val="0"/>
              <w:jc w:val="center"/>
              <w:rPr>
                <w:color w:val="auto"/>
                <w:sz w:val="21"/>
                <w:szCs w:val="21"/>
              </w:rPr>
            </w:pPr>
            <w:r>
              <w:rPr>
                <w:color w:val="auto"/>
                <w:sz w:val="21"/>
                <w:szCs w:val="21"/>
              </w:rPr>
              <w:t>物料衡算法</w:t>
            </w:r>
          </w:p>
        </w:tc>
        <w:tc>
          <w:tcPr>
            <w:tcW w:w="1133" w:type="dxa"/>
            <w:vMerge w:val="restart"/>
            <w:vAlign w:val="center"/>
          </w:tcPr>
          <w:p w14:paraId="7F44EDC6">
            <w:pPr>
              <w:widowControl w:val="0"/>
              <w:jc w:val="center"/>
              <w:rPr>
                <w:color w:val="auto"/>
                <w:sz w:val="21"/>
                <w:szCs w:val="21"/>
              </w:rPr>
            </w:pPr>
            <w:r>
              <w:rPr>
                <w:color w:val="auto"/>
                <w:sz w:val="21"/>
                <w:szCs w:val="21"/>
              </w:rPr>
              <w:t>57</w:t>
            </w:r>
          </w:p>
        </w:tc>
        <w:tc>
          <w:tcPr>
            <w:tcW w:w="1417" w:type="dxa"/>
            <w:vAlign w:val="center"/>
          </w:tcPr>
          <w:p w14:paraId="1262C62F">
            <w:pPr>
              <w:widowControl w:val="0"/>
              <w:jc w:val="center"/>
              <w:rPr>
                <w:color w:val="auto"/>
                <w:sz w:val="21"/>
                <w:szCs w:val="21"/>
              </w:rPr>
            </w:pPr>
            <w:r>
              <w:rPr>
                <w:color w:val="auto"/>
                <w:sz w:val="21"/>
                <w:szCs w:val="21"/>
              </w:rPr>
              <w:t>99.48%</w:t>
            </w:r>
          </w:p>
        </w:tc>
        <w:tc>
          <w:tcPr>
            <w:tcW w:w="1275" w:type="dxa"/>
            <w:vAlign w:val="center"/>
          </w:tcPr>
          <w:p w14:paraId="7259B949">
            <w:pPr>
              <w:widowControl w:val="0"/>
              <w:jc w:val="center"/>
              <w:rPr>
                <w:color w:val="auto"/>
                <w:sz w:val="21"/>
                <w:szCs w:val="21"/>
              </w:rPr>
            </w:pPr>
            <w:r>
              <w:rPr>
                <w:color w:val="auto"/>
                <w:sz w:val="21"/>
                <w:szCs w:val="21"/>
              </w:rPr>
              <w:t>110.89</w:t>
            </w:r>
          </w:p>
        </w:tc>
        <w:tc>
          <w:tcPr>
            <w:tcW w:w="1133" w:type="dxa"/>
            <w:vAlign w:val="center"/>
          </w:tcPr>
          <w:p w14:paraId="772618E8">
            <w:pPr>
              <w:widowControl w:val="0"/>
              <w:jc w:val="center"/>
              <w:rPr>
                <w:color w:val="auto"/>
                <w:sz w:val="21"/>
                <w:szCs w:val="21"/>
              </w:rPr>
            </w:pPr>
            <w:r>
              <w:rPr>
                <w:color w:val="auto"/>
                <w:sz w:val="21"/>
                <w:szCs w:val="21"/>
              </w:rPr>
              <w:t>887.09</w:t>
            </w:r>
          </w:p>
        </w:tc>
        <w:tc>
          <w:tcPr>
            <w:tcW w:w="1523" w:type="dxa"/>
            <w:vAlign w:val="center"/>
          </w:tcPr>
          <w:p w14:paraId="0B9671FF">
            <w:pPr>
              <w:widowControl w:val="0"/>
              <w:jc w:val="center"/>
              <w:rPr>
                <w:color w:val="auto"/>
                <w:sz w:val="21"/>
                <w:szCs w:val="21"/>
              </w:rPr>
            </w:pPr>
            <w:r>
              <w:rPr>
                <w:color w:val="auto"/>
                <w:sz w:val="21"/>
                <w:szCs w:val="21"/>
              </w:rPr>
              <w:t>/</w:t>
            </w:r>
          </w:p>
        </w:tc>
        <w:tc>
          <w:tcPr>
            <w:tcW w:w="1025" w:type="dxa"/>
            <w:vAlign w:val="center"/>
          </w:tcPr>
          <w:p w14:paraId="25A004E7">
            <w:pPr>
              <w:widowControl w:val="0"/>
              <w:jc w:val="center"/>
              <w:rPr>
                <w:color w:val="auto"/>
                <w:sz w:val="21"/>
                <w:szCs w:val="21"/>
              </w:rPr>
            </w:pPr>
            <w:r>
              <w:rPr>
                <w:color w:val="auto"/>
                <w:sz w:val="21"/>
                <w:szCs w:val="21"/>
              </w:rPr>
              <w:t>/</w:t>
            </w:r>
          </w:p>
        </w:tc>
        <w:tc>
          <w:tcPr>
            <w:tcW w:w="1373" w:type="dxa"/>
            <w:vAlign w:val="center"/>
          </w:tcPr>
          <w:p w14:paraId="06E8CD6A">
            <w:pPr>
              <w:widowControl w:val="0"/>
              <w:jc w:val="center"/>
              <w:rPr>
                <w:color w:val="auto"/>
                <w:sz w:val="21"/>
                <w:szCs w:val="21"/>
              </w:rPr>
            </w:pPr>
            <w:r>
              <w:rPr>
                <w:color w:val="auto"/>
                <w:sz w:val="21"/>
                <w:szCs w:val="21"/>
              </w:rPr>
              <w:t>99.48%</w:t>
            </w:r>
          </w:p>
        </w:tc>
        <w:tc>
          <w:tcPr>
            <w:tcW w:w="1177" w:type="dxa"/>
            <w:vAlign w:val="center"/>
          </w:tcPr>
          <w:p w14:paraId="2C1D1787">
            <w:pPr>
              <w:widowControl w:val="0"/>
              <w:jc w:val="center"/>
              <w:rPr>
                <w:color w:val="auto"/>
                <w:sz w:val="21"/>
                <w:szCs w:val="21"/>
              </w:rPr>
            </w:pPr>
            <w:r>
              <w:rPr>
                <w:color w:val="auto"/>
                <w:sz w:val="21"/>
                <w:szCs w:val="21"/>
              </w:rPr>
              <w:t>110.89</w:t>
            </w:r>
          </w:p>
        </w:tc>
        <w:tc>
          <w:tcPr>
            <w:tcW w:w="1274" w:type="dxa"/>
            <w:vAlign w:val="center"/>
          </w:tcPr>
          <w:p w14:paraId="731C5C79">
            <w:pPr>
              <w:widowControl w:val="0"/>
              <w:jc w:val="center"/>
              <w:rPr>
                <w:color w:val="auto"/>
                <w:sz w:val="21"/>
                <w:szCs w:val="21"/>
              </w:rPr>
            </w:pPr>
            <w:r>
              <w:rPr>
                <w:color w:val="auto"/>
                <w:sz w:val="21"/>
                <w:szCs w:val="21"/>
              </w:rPr>
              <w:t>887.1</w:t>
            </w:r>
          </w:p>
        </w:tc>
        <w:tc>
          <w:tcPr>
            <w:tcW w:w="946" w:type="dxa"/>
            <w:vMerge w:val="restart"/>
            <w:vAlign w:val="center"/>
          </w:tcPr>
          <w:p w14:paraId="22148445">
            <w:pPr>
              <w:widowControl w:val="0"/>
              <w:jc w:val="center"/>
              <w:rPr>
                <w:color w:val="auto"/>
                <w:sz w:val="21"/>
                <w:szCs w:val="21"/>
              </w:rPr>
            </w:pPr>
            <w:r>
              <w:rPr>
                <w:color w:val="auto"/>
                <w:sz w:val="21"/>
                <w:szCs w:val="21"/>
              </w:rPr>
              <w:t>DA003</w:t>
            </w:r>
          </w:p>
        </w:tc>
        <w:tc>
          <w:tcPr>
            <w:tcW w:w="959" w:type="dxa"/>
            <w:vMerge w:val="restart"/>
            <w:vAlign w:val="center"/>
          </w:tcPr>
          <w:p w14:paraId="08231DB7">
            <w:pPr>
              <w:widowControl w:val="0"/>
              <w:jc w:val="center"/>
              <w:rPr>
                <w:color w:val="auto"/>
                <w:sz w:val="21"/>
                <w:szCs w:val="21"/>
              </w:rPr>
            </w:pPr>
            <w:r>
              <w:rPr>
                <w:color w:val="auto"/>
                <w:sz w:val="21"/>
                <w:szCs w:val="21"/>
              </w:rPr>
              <w:t>30.0</w:t>
            </w:r>
          </w:p>
        </w:tc>
        <w:tc>
          <w:tcPr>
            <w:tcW w:w="759" w:type="dxa"/>
            <w:vMerge w:val="restart"/>
            <w:vAlign w:val="center"/>
          </w:tcPr>
          <w:p w14:paraId="4637B65E">
            <w:pPr>
              <w:widowControl w:val="0"/>
              <w:jc w:val="center"/>
              <w:rPr>
                <w:color w:val="auto"/>
                <w:sz w:val="21"/>
                <w:szCs w:val="21"/>
              </w:rPr>
            </w:pPr>
            <w:r>
              <w:rPr>
                <w:color w:val="auto"/>
                <w:sz w:val="21"/>
                <w:szCs w:val="21"/>
              </w:rPr>
              <w:t>17.0</w:t>
            </w:r>
          </w:p>
        </w:tc>
        <w:tc>
          <w:tcPr>
            <w:tcW w:w="699" w:type="dxa"/>
            <w:vMerge w:val="restart"/>
            <w:vAlign w:val="center"/>
          </w:tcPr>
          <w:p w14:paraId="625C1986">
            <w:pPr>
              <w:widowControl w:val="0"/>
              <w:jc w:val="center"/>
              <w:rPr>
                <w:color w:val="auto"/>
                <w:sz w:val="21"/>
                <w:szCs w:val="21"/>
              </w:rPr>
            </w:pPr>
            <w:r>
              <w:rPr>
                <w:color w:val="auto"/>
                <w:sz w:val="21"/>
                <w:szCs w:val="21"/>
              </w:rPr>
              <w:t>0.02</w:t>
            </w:r>
          </w:p>
        </w:tc>
        <w:tc>
          <w:tcPr>
            <w:tcW w:w="1538" w:type="dxa"/>
            <w:vMerge w:val="restart"/>
            <w:vAlign w:val="center"/>
          </w:tcPr>
          <w:p w14:paraId="024C20AB">
            <w:pPr>
              <w:widowControl w:val="0"/>
              <w:jc w:val="center"/>
              <w:rPr>
                <w:color w:val="auto"/>
                <w:sz w:val="21"/>
                <w:szCs w:val="21"/>
              </w:rPr>
            </w:pPr>
            <w:r>
              <w:rPr>
                <w:color w:val="auto"/>
                <w:sz w:val="21"/>
                <w:szCs w:val="21"/>
              </w:rPr>
              <w:t>8000</w:t>
            </w:r>
          </w:p>
        </w:tc>
      </w:tr>
      <w:tr w14:paraId="17733F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C5668C6">
            <w:pPr>
              <w:widowControl w:val="0"/>
              <w:jc w:val="center"/>
              <w:rPr>
                <w:color w:val="auto"/>
                <w:sz w:val="21"/>
                <w:szCs w:val="21"/>
              </w:rPr>
            </w:pPr>
          </w:p>
        </w:tc>
        <w:tc>
          <w:tcPr>
            <w:tcW w:w="1540" w:type="dxa"/>
            <w:vMerge w:val="continue"/>
            <w:vAlign w:val="center"/>
          </w:tcPr>
          <w:p w14:paraId="69FE2B13">
            <w:pPr>
              <w:widowControl w:val="0"/>
              <w:jc w:val="center"/>
              <w:rPr>
                <w:color w:val="auto"/>
                <w:sz w:val="21"/>
                <w:szCs w:val="21"/>
              </w:rPr>
            </w:pPr>
          </w:p>
        </w:tc>
        <w:tc>
          <w:tcPr>
            <w:tcW w:w="1358" w:type="dxa"/>
            <w:vAlign w:val="center"/>
          </w:tcPr>
          <w:p w14:paraId="56C76C1D">
            <w:pPr>
              <w:widowControl w:val="0"/>
              <w:jc w:val="center"/>
              <w:rPr>
                <w:color w:val="auto"/>
                <w:sz w:val="21"/>
                <w:szCs w:val="21"/>
              </w:rPr>
            </w:pPr>
            <w:r>
              <w:rPr>
                <w:color w:val="auto"/>
                <w:sz w:val="21"/>
                <w:szCs w:val="21"/>
              </w:rPr>
              <w:t>H2S</w:t>
            </w:r>
          </w:p>
        </w:tc>
        <w:tc>
          <w:tcPr>
            <w:tcW w:w="1470" w:type="dxa"/>
            <w:vAlign w:val="center"/>
          </w:tcPr>
          <w:p w14:paraId="3B8B8A2C">
            <w:pPr>
              <w:widowControl w:val="0"/>
              <w:jc w:val="center"/>
              <w:rPr>
                <w:color w:val="auto"/>
                <w:sz w:val="21"/>
                <w:szCs w:val="21"/>
              </w:rPr>
            </w:pPr>
            <w:r>
              <w:rPr>
                <w:color w:val="auto"/>
                <w:sz w:val="21"/>
                <w:szCs w:val="21"/>
              </w:rPr>
              <w:t>物料衡算法</w:t>
            </w:r>
          </w:p>
        </w:tc>
        <w:tc>
          <w:tcPr>
            <w:tcW w:w="1133" w:type="dxa"/>
            <w:vMerge w:val="continue"/>
            <w:vAlign w:val="center"/>
          </w:tcPr>
          <w:p w14:paraId="73409A90">
            <w:pPr>
              <w:widowControl w:val="0"/>
              <w:jc w:val="center"/>
              <w:rPr>
                <w:color w:val="auto"/>
                <w:sz w:val="21"/>
                <w:szCs w:val="21"/>
              </w:rPr>
            </w:pPr>
          </w:p>
        </w:tc>
        <w:tc>
          <w:tcPr>
            <w:tcW w:w="1417" w:type="dxa"/>
            <w:vAlign w:val="center"/>
          </w:tcPr>
          <w:p w14:paraId="10768BB0">
            <w:pPr>
              <w:widowControl w:val="0"/>
              <w:jc w:val="center"/>
              <w:rPr>
                <w:color w:val="auto"/>
                <w:sz w:val="21"/>
                <w:szCs w:val="21"/>
              </w:rPr>
            </w:pPr>
            <w:r>
              <w:rPr>
                <w:color w:val="auto"/>
                <w:sz w:val="21"/>
                <w:szCs w:val="21"/>
              </w:rPr>
              <w:t xml:space="preserve">0.08 </w:t>
            </w:r>
          </w:p>
        </w:tc>
        <w:tc>
          <w:tcPr>
            <w:tcW w:w="1275" w:type="dxa"/>
            <w:vAlign w:val="center"/>
          </w:tcPr>
          <w:p w14:paraId="2ED99EB4">
            <w:pPr>
              <w:widowControl w:val="0"/>
              <w:jc w:val="center"/>
              <w:rPr>
                <w:color w:val="auto"/>
                <w:sz w:val="21"/>
                <w:szCs w:val="21"/>
              </w:rPr>
            </w:pPr>
            <w:r>
              <w:rPr>
                <w:color w:val="auto"/>
                <w:sz w:val="21"/>
                <w:szCs w:val="21"/>
              </w:rPr>
              <w:t>0.000005</w:t>
            </w:r>
          </w:p>
        </w:tc>
        <w:tc>
          <w:tcPr>
            <w:tcW w:w="1133" w:type="dxa"/>
            <w:vAlign w:val="center"/>
          </w:tcPr>
          <w:p w14:paraId="6DAA28F8">
            <w:pPr>
              <w:widowControl w:val="0"/>
              <w:jc w:val="center"/>
              <w:rPr>
                <w:color w:val="auto"/>
                <w:sz w:val="21"/>
                <w:szCs w:val="21"/>
              </w:rPr>
            </w:pPr>
            <w:r>
              <w:rPr>
                <w:color w:val="auto"/>
                <w:sz w:val="21"/>
                <w:szCs w:val="21"/>
              </w:rPr>
              <w:t>0.00004</w:t>
            </w:r>
          </w:p>
        </w:tc>
        <w:tc>
          <w:tcPr>
            <w:tcW w:w="1523" w:type="dxa"/>
            <w:vAlign w:val="center"/>
          </w:tcPr>
          <w:p w14:paraId="33F29A2C">
            <w:pPr>
              <w:widowControl w:val="0"/>
              <w:jc w:val="center"/>
              <w:rPr>
                <w:color w:val="auto"/>
                <w:sz w:val="21"/>
                <w:szCs w:val="21"/>
              </w:rPr>
            </w:pPr>
            <w:r>
              <w:rPr>
                <w:color w:val="auto"/>
                <w:sz w:val="21"/>
                <w:szCs w:val="21"/>
              </w:rPr>
              <w:t>/</w:t>
            </w:r>
          </w:p>
        </w:tc>
        <w:tc>
          <w:tcPr>
            <w:tcW w:w="1025" w:type="dxa"/>
            <w:vAlign w:val="center"/>
          </w:tcPr>
          <w:p w14:paraId="7D1148FF">
            <w:pPr>
              <w:widowControl w:val="0"/>
              <w:jc w:val="center"/>
              <w:rPr>
                <w:color w:val="auto"/>
                <w:sz w:val="21"/>
                <w:szCs w:val="21"/>
              </w:rPr>
            </w:pPr>
            <w:r>
              <w:rPr>
                <w:color w:val="auto"/>
                <w:sz w:val="21"/>
                <w:szCs w:val="21"/>
              </w:rPr>
              <w:t>/</w:t>
            </w:r>
          </w:p>
        </w:tc>
        <w:tc>
          <w:tcPr>
            <w:tcW w:w="1373" w:type="dxa"/>
            <w:vAlign w:val="center"/>
          </w:tcPr>
          <w:p w14:paraId="1B2A55A0">
            <w:pPr>
              <w:widowControl w:val="0"/>
              <w:jc w:val="center"/>
              <w:rPr>
                <w:color w:val="auto"/>
                <w:sz w:val="21"/>
                <w:szCs w:val="21"/>
              </w:rPr>
            </w:pPr>
            <w:r>
              <w:rPr>
                <w:color w:val="auto"/>
                <w:sz w:val="21"/>
                <w:szCs w:val="21"/>
              </w:rPr>
              <w:t xml:space="preserve">0.08 </w:t>
            </w:r>
          </w:p>
        </w:tc>
        <w:tc>
          <w:tcPr>
            <w:tcW w:w="1177" w:type="dxa"/>
            <w:vAlign w:val="center"/>
          </w:tcPr>
          <w:p w14:paraId="42239FAF">
            <w:pPr>
              <w:widowControl w:val="0"/>
              <w:jc w:val="center"/>
              <w:rPr>
                <w:color w:val="auto"/>
                <w:sz w:val="21"/>
                <w:szCs w:val="21"/>
              </w:rPr>
            </w:pPr>
            <w:r>
              <w:rPr>
                <w:color w:val="auto"/>
                <w:sz w:val="21"/>
                <w:szCs w:val="21"/>
              </w:rPr>
              <w:t xml:space="preserve">0.000005 </w:t>
            </w:r>
          </w:p>
        </w:tc>
        <w:tc>
          <w:tcPr>
            <w:tcW w:w="1274" w:type="dxa"/>
            <w:vAlign w:val="center"/>
          </w:tcPr>
          <w:p w14:paraId="6BB1DE21">
            <w:pPr>
              <w:widowControl w:val="0"/>
              <w:jc w:val="center"/>
              <w:rPr>
                <w:color w:val="auto"/>
                <w:sz w:val="21"/>
                <w:szCs w:val="21"/>
              </w:rPr>
            </w:pPr>
            <w:r>
              <w:rPr>
                <w:color w:val="auto"/>
                <w:sz w:val="21"/>
                <w:szCs w:val="21"/>
              </w:rPr>
              <w:t xml:space="preserve">0.00004 </w:t>
            </w:r>
          </w:p>
        </w:tc>
        <w:tc>
          <w:tcPr>
            <w:tcW w:w="946" w:type="dxa"/>
            <w:vMerge w:val="continue"/>
            <w:vAlign w:val="center"/>
          </w:tcPr>
          <w:p w14:paraId="21A384DC">
            <w:pPr>
              <w:widowControl w:val="0"/>
              <w:jc w:val="center"/>
              <w:rPr>
                <w:color w:val="auto"/>
                <w:sz w:val="21"/>
                <w:szCs w:val="21"/>
              </w:rPr>
            </w:pPr>
          </w:p>
        </w:tc>
        <w:tc>
          <w:tcPr>
            <w:tcW w:w="959" w:type="dxa"/>
            <w:vMerge w:val="continue"/>
            <w:vAlign w:val="center"/>
          </w:tcPr>
          <w:p w14:paraId="192CC2EB">
            <w:pPr>
              <w:widowControl w:val="0"/>
              <w:jc w:val="center"/>
              <w:rPr>
                <w:color w:val="auto"/>
                <w:sz w:val="21"/>
                <w:szCs w:val="21"/>
              </w:rPr>
            </w:pPr>
          </w:p>
        </w:tc>
        <w:tc>
          <w:tcPr>
            <w:tcW w:w="759" w:type="dxa"/>
            <w:vMerge w:val="continue"/>
            <w:vAlign w:val="center"/>
          </w:tcPr>
          <w:p w14:paraId="653E606D">
            <w:pPr>
              <w:widowControl w:val="0"/>
              <w:jc w:val="center"/>
              <w:rPr>
                <w:color w:val="auto"/>
                <w:sz w:val="21"/>
                <w:szCs w:val="21"/>
              </w:rPr>
            </w:pPr>
          </w:p>
        </w:tc>
        <w:tc>
          <w:tcPr>
            <w:tcW w:w="699" w:type="dxa"/>
            <w:vMerge w:val="continue"/>
            <w:vAlign w:val="center"/>
          </w:tcPr>
          <w:p w14:paraId="25061223">
            <w:pPr>
              <w:widowControl w:val="0"/>
              <w:jc w:val="center"/>
              <w:rPr>
                <w:color w:val="auto"/>
                <w:sz w:val="21"/>
                <w:szCs w:val="21"/>
              </w:rPr>
            </w:pPr>
          </w:p>
        </w:tc>
        <w:tc>
          <w:tcPr>
            <w:tcW w:w="1538" w:type="dxa"/>
            <w:vMerge w:val="continue"/>
            <w:vAlign w:val="center"/>
          </w:tcPr>
          <w:p w14:paraId="74F288B3">
            <w:pPr>
              <w:widowControl w:val="0"/>
              <w:jc w:val="center"/>
              <w:rPr>
                <w:color w:val="auto"/>
                <w:sz w:val="21"/>
                <w:szCs w:val="21"/>
              </w:rPr>
            </w:pPr>
          </w:p>
        </w:tc>
      </w:tr>
      <w:tr w14:paraId="360C80E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Align w:val="center"/>
          </w:tcPr>
          <w:p w14:paraId="3B66502A">
            <w:pPr>
              <w:widowControl w:val="0"/>
              <w:jc w:val="center"/>
              <w:rPr>
                <w:color w:val="auto"/>
                <w:sz w:val="21"/>
                <w:szCs w:val="21"/>
              </w:rPr>
            </w:pPr>
            <w:r>
              <w:rPr>
                <w:color w:val="auto"/>
                <w:sz w:val="21"/>
                <w:szCs w:val="21"/>
              </w:rPr>
              <w:t>G</w:t>
            </w:r>
            <w:r>
              <w:rPr>
                <w:color w:val="auto"/>
                <w:sz w:val="21"/>
                <w:szCs w:val="21"/>
                <w:vertAlign w:val="subscript"/>
              </w:rPr>
              <w:t>5</w:t>
            </w:r>
          </w:p>
        </w:tc>
        <w:tc>
          <w:tcPr>
            <w:tcW w:w="1540" w:type="dxa"/>
            <w:vAlign w:val="center"/>
          </w:tcPr>
          <w:p w14:paraId="5F1E224A">
            <w:pPr>
              <w:widowControl w:val="0"/>
              <w:jc w:val="center"/>
              <w:rPr>
                <w:color w:val="auto"/>
                <w:sz w:val="21"/>
                <w:szCs w:val="21"/>
              </w:rPr>
            </w:pPr>
            <w:r>
              <w:rPr>
                <w:color w:val="auto"/>
                <w:sz w:val="21"/>
                <w:szCs w:val="21"/>
              </w:rPr>
              <w:t>碳酸钠干燥</w:t>
            </w:r>
          </w:p>
        </w:tc>
        <w:tc>
          <w:tcPr>
            <w:tcW w:w="1358" w:type="dxa"/>
            <w:vAlign w:val="center"/>
          </w:tcPr>
          <w:p w14:paraId="22165238">
            <w:pPr>
              <w:widowControl w:val="0"/>
              <w:jc w:val="center"/>
              <w:rPr>
                <w:color w:val="auto"/>
                <w:sz w:val="21"/>
                <w:szCs w:val="21"/>
              </w:rPr>
            </w:pPr>
            <w:r>
              <w:rPr>
                <w:color w:val="auto"/>
                <w:sz w:val="21"/>
                <w:szCs w:val="21"/>
              </w:rPr>
              <w:t>颗粒物</w:t>
            </w:r>
          </w:p>
        </w:tc>
        <w:tc>
          <w:tcPr>
            <w:tcW w:w="1470" w:type="dxa"/>
            <w:vAlign w:val="center"/>
          </w:tcPr>
          <w:p w14:paraId="4D5CDFF2">
            <w:pPr>
              <w:widowControl w:val="0"/>
              <w:jc w:val="center"/>
              <w:rPr>
                <w:color w:val="auto"/>
                <w:sz w:val="21"/>
                <w:szCs w:val="21"/>
              </w:rPr>
            </w:pPr>
            <w:r>
              <w:rPr>
                <w:color w:val="auto"/>
                <w:sz w:val="21"/>
                <w:szCs w:val="21"/>
              </w:rPr>
              <w:t>物料衡算法</w:t>
            </w:r>
          </w:p>
        </w:tc>
        <w:tc>
          <w:tcPr>
            <w:tcW w:w="1133" w:type="dxa"/>
            <w:vAlign w:val="center"/>
          </w:tcPr>
          <w:p w14:paraId="7F082A31">
            <w:pPr>
              <w:widowControl w:val="0"/>
              <w:jc w:val="center"/>
              <w:rPr>
                <w:color w:val="auto"/>
                <w:sz w:val="21"/>
                <w:szCs w:val="21"/>
              </w:rPr>
            </w:pPr>
            <w:r>
              <w:rPr>
                <w:color w:val="auto"/>
                <w:sz w:val="21"/>
                <w:szCs w:val="21"/>
              </w:rPr>
              <w:t>2500</w:t>
            </w:r>
          </w:p>
        </w:tc>
        <w:tc>
          <w:tcPr>
            <w:tcW w:w="1417" w:type="dxa"/>
            <w:vAlign w:val="center"/>
          </w:tcPr>
          <w:p w14:paraId="77478D7D">
            <w:pPr>
              <w:widowControl w:val="0"/>
              <w:jc w:val="center"/>
              <w:rPr>
                <w:color w:val="auto"/>
                <w:sz w:val="21"/>
                <w:szCs w:val="21"/>
              </w:rPr>
            </w:pPr>
            <w:r>
              <w:rPr>
                <w:color w:val="auto"/>
                <w:sz w:val="21"/>
                <w:szCs w:val="21"/>
              </w:rPr>
              <w:t xml:space="preserve">3424.04 </w:t>
            </w:r>
          </w:p>
        </w:tc>
        <w:tc>
          <w:tcPr>
            <w:tcW w:w="1275" w:type="dxa"/>
            <w:vAlign w:val="center"/>
          </w:tcPr>
          <w:p w14:paraId="0F0BDFA3">
            <w:pPr>
              <w:widowControl w:val="0"/>
              <w:jc w:val="center"/>
              <w:rPr>
                <w:color w:val="auto"/>
                <w:sz w:val="21"/>
                <w:szCs w:val="21"/>
              </w:rPr>
            </w:pPr>
            <w:r>
              <w:rPr>
                <w:color w:val="auto"/>
                <w:sz w:val="21"/>
                <w:szCs w:val="21"/>
              </w:rPr>
              <w:t>8.56</w:t>
            </w:r>
          </w:p>
        </w:tc>
        <w:tc>
          <w:tcPr>
            <w:tcW w:w="1133" w:type="dxa"/>
            <w:vAlign w:val="center"/>
          </w:tcPr>
          <w:p w14:paraId="558F20FE">
            <w:pPr>
              <w:widowControl w:val="0"/>
              <w:jc w:val="center"/>
              <w:rPr>
                <w:color w:val="auto"/>
                <w:sz w:val="21"/>
                <w:szCs w:val="21"/>
              </w:rPr>
            </w:pPr>
            <w:r>
              <w:rPr>
                <w:color w:val="auto"/>
                <w:sz w:val="21"/>
                <w:szCs w:val="21"/>
              </w:rPr>
              <w:t>68.48</w:t>
            </w:r>
          </w:p>
        </w:tc>
        <w:tc>
          <w:tcPr>
            <w:tcW w:w="1523" w:type="dxa"/>
            <w:vAlign w:val="center"/>
          </w:tcPr>
          <w:p w14:paraId="6EF193A0">
            <w:pPr>
              <w:widowControl w:val="0"/>
              <w:jc w:val="center"/>
              <w:rPr>
                <w:color w:val="auto"/>
                <w:sz w:val="21"/>
                <w:szCs w:val="21"/>
              </w:rPr>
            </w:pPr>
            <w:r>
              <w:rPr>
                <w:color w:val="auto"/>
                <w:sz w:val="21"/>
                <w:szCs w:val="21"/>
              </w:rPr>
              <w:t>布袋除尘器</w:t>
            </w:r>
          </w:p>
        </w:tc>
        <w:tc>
          <w:tcPr>
            <w:tcW w:w="1025" w:type="dxa"/>
            <w:vAlign w:val="center"/>
          </w:tcPr>
          <w:p w14:paraId="44B95BC8">
            <w:pPr>
              <w:widowControl w:val="0"/>
              <w:jc w:val="center"/>
              <w:rPr>
                <w:color w:val="auto"/>
                <w:sz w:val="21"/>
                <w:szCs w:val="21"/>
              </w:rPr>
            </w:pPr>
            <w:r>
              <w:rPr>
                <w:color w:val="auto"/>
                <w:sz w:val="21"/>
                <w:szCs w:val="21"/>
              </w:rPr>
              <w:t>99.80%</w:t>
            </w:r>
          </w:p>
        </w:tc>
        <w:tc>
          <w:tcPr>
            <w:tcW w:w="1373" w:type="dxa"/>
            <w:vAlign w:val="center"/>
          </w:tcPr>
          <w:p w14:paraId="1602EED6">
            <w:pPr>
              <w:widowControl w:val="0"/>
              <w:jc w:val="center"/>
              <w:rPr>
                <w:color w:val="auto"/>
                <w:sz w:val="21"/>
                <w:szCs w:val="21"/>
              </w:rPr>
            </w:pPr>
            <w:r>
              <w:rPr>
                <w:color w:val="auto"/>
                <w:sz w:val="21"/>
                <w:szCs w:val="21"/>
              </w:rPr>
              <w:t xml:space="preserve">6.8 </w:t>
            </w:r>
          </w:p>
        </w:tc>
        <w:tc>
          <w:tcPr>
            <w:tcW w:w="1177" w:type="dxa"/>
            <w:vAlign w:val="center"/>
          </w:tcPr>
          <w:p w14:paraId="09913FCB">
            <w:pPr>
              <w:widowControl w:val="0"/>
              <w:jc w:val="center"/>
              <w:rPr>
                <w:color w:val="auto"/>
                <w:sz w:val="21"/>
                <w:szCs w:val="21"/>
              </w:rPr>
            </w:pPr>
            <w:r>
              <w:rPr>
                <w:color w:val="auto"/>
                <w:sz w:val="21"/>
                <w:szCs w:val="21"/>
              </w:rPr>
              <w:t>0.02</w:t>
            </w:r>
          </w:p>
        </w:tc>
        <w:tc>
          <w:tcPr>
            <w:tcW w:w="1274" w:type="dxa"/>
            <w:vAlign w:val="center"/>
          </w:tcPr>
          <w:p w14:paraId="2448FD21">
            <w:pPr>
              <w:widowControl w:val="0"/>
              <w:jc w:val="center"/>
              <w:rPr>
                <w:color w:val="auto"/>
                <w:sz w:val="21"/>
                <w:szCs w:val="21"/>
              </w:rPr>
            </w:pPr>
            <w:r>
              <w:rPr>
                <w:color w:val="auto"/>
                <w:sz w:val="21"/>
                <w:szCs w:val="21"/>
              </w:rPr>
              <w:t>0.14</w:t>
            </w:r>
          </w:p>
        </w:tc>
        <w:tc>
          <w:tcPr>
            <w:tcW w:w="3363" w:type="dxa"/>
            <w:gridSpan w:val="4"/>
            <w:vMerge w:val="restart"/>
            <w:vAlign w:val="center"/>
          </w:tcPr>
          <w:p w14:paraId="1F239F2D">
            <w:pPr>
              <w:widowControl w:val="0"/>
              <w:jc w:val="center"/>
              <w:rPr>
                <w:color w:val="auto"/>
                <w:sz w:val="21"/>
                <w:szCs w:val="21"/>
              </w:rPr>
            </w:pPr>
            <w:r>
              <w:rPr>
                <w:color w:val="auto"/>
                <w:sz w:val="21"/>
                <w:szCs w:val="21"/>
              </w:rPr>
              <w:t>汇合后通过车间DA004排放口排放</w:t>
            </w:r>
          </w:p>
        </w:tc>
        <w:tc>
          <w:tcPr>
            <w:tcW w:w="1538" w:type="dxa"/>
            <w:vAlign w:val="center"/>
          </w:tcPr>
          <w:p w14:paraId="349E4010">
            <w:pPr>
              <w:widowControl w:val="0"/>
              <w:jc w:val="center"/>
              <w:rPr>
                <w:color w:val="auto"/>
                <w:sz w:val="21"/>
                <w:szCs w:val="21"/>
              </w:rPr>
            </w:pPr>
            <w:r>
              <w:rPr>
                <w:color w:val="auto"/>
                <w:sz w:val="21"/>
                <w:szCs w:val="21"/>
              </w:rPr>
              <w:t>8000</w:t>
            </w:r>
          </w:p>
        </w:tc>
      </w:tr>
      <w:tr w14:paraId="132CB9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Align w:val="center"/>
          </w:tcPr>
          <w:p w14:paraId="18BAD925">
            <w:pPr>
              <w:widowControl w:val="0"/>
              <w:jc w:val="center"/>
              <w:rPr>
                <w:color w:val="auto"/>
                <w:sz w:val="21"/>
                <w:szCs w:val="21"/>
              </w:rPr>
            </w:pPr>
            <w:r>
              <w:rPr>
                <w:color w:val="auto"/>
                <w:sz w:val="21"/>
                <w:szCs w:val="21"/>
              </w:rPr>
              <w:t>G</w:t>
            </w:r>
            <w:r>
              <w:rPr>
                <w:color w:val="auto"/>
                <w:sz w:val="21"/>
                <w:szCs w:val="21"/>
                <w:vertAlign w:val="subscript"/>
              </w:rPr>
              <w:t>6</w:t>
            </w:r>
          </w:p>
        </w:tc>
        <w:tc>
          <w:tcPr>
            <w:tcW w:w="1540" w:type="dxa"/>
            <w:vAlign w:val="center"/>
          </w:tcPr>
          <w:p w14:paraId="53291A23">
            <w:pPr>
              <w:widowControl w:val="0"/>
              <w:jc w:val="center"/>
              <w:rPr>
                <w:color w:val="auto"/>
                <w:sz w:val="21"/>
                <w:szCs w:val="21"/>
              </w:rPr>
            </w:pPr>
            <w:r>
              <w:rPr>
                <w:color w:val="auto"/>
                <w:sz w:val="21"/>
                <w:szCs w:val="21"/>
              </w:rPr>
              <w:t>碳酸钠包装</w:t>
            </w:r>
          </w:p>
        </w:tc>
        <w:tc>
          <w:tcPr>
            <w:tcW w:w="1358" w:type="dxa"/>
            <w:vAlign w:val="center"/>
          </w:tcPr>
          <w:p w14:paraId="6ADC854E">
            <w:pPr>
              <w:widowControl w:val="0"/>
              <w:jc w:val="center"/>
              <w:rPr>
                <w:color w:val="auto"/>
                <w:sz w:val="21"/>
                <w:szCs w:val="21"/>
              </w:rPr>
            </w:pPr>
            <w:r>
              <w:rPr>
                <w:color w:val="auto"/>
                <w:sz w:val="21"/>
                <w:szCs w:val="21"/>
              </w:rPr>
              <w:t>颗粒物</w:t>
            </w:r>
          </w:p>
        </w:tc>
        <w:tc>
          <w:tcPr>
            <w:tcW w:w="1470" w:type="dxa"/>
            <w:vAlign w:val="center"/>
          </w:tcPr>
          <w:p w14:paraId="28F30450">
            <w:pPr>
              <w:widowControl w:val="0"/>
              <w:jc w:val="center"/>
              <w:rPr>
                <w:color w:val="auto"/>
                <w:sz w:val="21"/>
                <w:szCs w:val="21"/>
              </w:rPr>
            </w:pPr>
            <w:r>
              <w:rPr>
                <w:color w:val="auto"/>
                <w:sz w:val="21"/>
                <w:szCs w:val="21"/>
              </w:rPr>
              <w:t>物料衡算法</w:t>
            </w:r>
          </w:p>
        </w:tc>
        <w:tc>
          <w:tcPr>
            <w:tcW w:w="1133" w:type="dxa"/>
            <w:vAlign w:val="center"/>
          </w:tcPr>
          <w:p w14:paraId="0DF93806">
            <w:pPr>
              <w:widowControl w:val="0"/>
              <w:jc w:val="center"/>
              <w:rPr>
                <w:color w:val="auto"/>
                <w:sz w:val="21"/>
                <w:szCs w:val="21"/>
              </w:rPr>
            </w:pPr>
            <w:r>
              <w:rPr>
                <w:color w:val="auto"/>
                <w:sz w:val="21"/>
                <w:szCs w:val="21"/>
              </w:rPr>
              <w:t>500</w:t>
            </w:r>
          </w:p>
        </w:tc>
        <w:tc>
          <w:tcPr>
            <w:tcW w:w="1417" w:type="dxa"/>
            <w:vAlign w:val="center"/>
          </w:tcPr>
          <w:p w14:paraId="2CE6F22E">
            <w:pPr>
              <w:widowControl w:val="0"/>
              <w:jc w:val="center"/>
              <w:rPr>
                <w:color w:val="auto"/>
                <w:sz w:val="21"/>
                <w:szCs w:val="21"/>
              </w:rPr>
            </w:pPr>
            <w:r>
              <w:rPr>
                <w:color w:val="auto"/>
                <w:sz w:val="21"/>
                <w:szCs w:val="21"/>
              </w:rPr>
              <w:t xml:space="preserve">856.01 </w:t>
            </w:r>
          </w:p>
        </w:tc>
        <w:tc>
          <w:tcPr>
            <w:tcW w:w="1275" w:type="dxa"/>
            <w:vAlign w:val="center"/>
          </w:tcPr>
          <w:p w14:paraId="32E5AACD">
            <w:pPr>
              <w:widowControl w:val="0"/>
              <w:jc w:val="center"/>
              <w:rPr>
                <w:color w:val="auto"/>
                <w:sz w:val="21"/>
                <w:szCs w:val="21"/>
              </w:rPr>
            </w:pPr>
            <w:r>
              <w:rPr>
                <w:color w:val="auto"/>
                <w:sz w:val="21"/>
                <w:szCs w:val="21"/>
              </w:rPr>
              <w:t>0.43</w:t>
            </w:r>
          </w:p>
        </w:tc>
        <w:tc>
          <w:tcPr>
            <w:tcW w:w="1133" w:type="dxa"/>
            <w:vAlign w:val="center"/>
          </w:tcPr>
          <w:p w14:paraId="2FD63704">
            <w:pPr>
              <w:widowControl w:val="0"/>
              <w:jc w:val="center"/>
              <w:rPr>
                <w:color w:val="auto"/>
                <w:sz w:val="21"/>
                <w:szCs w:val="21"/>
              </w:rPr>
            </w:pPr>
            <w:r>
              <w:rPr>
                <w:color w:val="auto"/>
                <w:sz w:val="21"/>
                <w:szCs w:val="21"/>
              </w:rPr>
              <w:t>3.42</w:t>
            </w:r>
          </w:p>
        </w:tc>
        <w:tc>
          <w:tcPr>
            <w:tcW w:w="1523" w:type="dxa"/>
            <w:vAlign w:val="center"/>
          </w:tcPr>
          <w:p w14:paraId="4809654D">
            <w:pPr>
              <w:widowControl w:val="0"/>
              <w:jc w:val="center"/>
              <w:rPr>
                <w:color w:val="auto"/>
                <w:sz w:val="21"/>
                <w:szCs w:val="21"/>
              </w:rPr>
            </w:pPr>
            <w:r>
              <w:rPr>
                <w:color w:val="auto"/>
                <w:sz w:val="21"/>
                <w:szCs w:val="21"/>
              </w:rPr>
              <w:t>布袋除尘器</w:t>
            </w:r>
          </w:p>
        </w:tc>
        <w:tc>
          <w:tcPr>
            <w:tcW w:w="1025" w:type="dxa"/>
            <w:vAlign w:val="center"/>
          </w:tcPr>
          <w:p w14:paraId="2B801470">
            <w:pPr>
              <w:widowControl w:val="0"/>
              <w:jc w:val="center"/>
              <w:rPr>
                <w:color w:val="auto"/>
                <w:sz w:val="21"/>
                <w:szCs w:val="21"/>
              </w:rPr>
            </w:pPr>
            <w:r>
              <w:rPr>
                <w:color w:val="auto"/>
                <w:sz w:val="21"/>
                <w:szCs w:val="21"/>
              </w:rPr>
              <w:t>99.5%</w:t>
            </w:r>
          </w:p>
        </w:tc>
        <w:tc>
          <w:tcPr>
            <w:tcW w:w="1373" w:type="dxa"/>
            <w:vAlign w:val="center"/>
          </w:tcPr>
          <w:p w14:paraId="6B9CE1E1">
            <w:pPr>
              <w:widowControl w:val="0"/>
              <w:jc w:val="center"/>
              <w:rPr>
                <w:color w:val="auto"/>
                <w:sz w:val="21"/>
                <w:szCs w:val="21"/>
              </w:rPr>
            </w:pPr>
            <w:r>
              <w:rPr>
                <w:color w:val="auto"/>
                <w:sz w:val="21"/>
                <w:szCs w:val="21"/>
              </w:rPr>
              <w:t xml:space="preserve">4.3 </w:t>
            </w:r>
          </w:p>
        </w:tc>
        <w:tc>
          <w:tcPr>
            <w:tcW w:w="1177" w:type="dxa"/>
            <w:vAlign w:val="center"/>
          </w:tcPr>
          <w:p w14:paraId="7C9262BB">
            <w:pPr>
              <w:widowControl w:val="0"/>
              <w:jc w:val="center"/>
              <w:rPr>
                <w:color w:val="auto"/>
                <w:sz w:val="21"/>
                <w:szCs w:val="21"/>
              </w:rPr>
            </w:pPr>
            <w:r>
              <w:rPr>
                <w:color w:val="auto"/>
                <w:sz w:val="21"/>
                <w:szCs w:val="21"/>
              </w:rPr>
              <w:t>0.002</w:t>
            </w:r>
          </w:p>
        </w:tc>
        <w:tc>
          <w:tcPr>
            <w:tcW w:w="1274" w:type="dxa"/>
            <w:vAlign w:val="center"/>
          </w:tcPr>
          <w:p w14:paraId="16E292A7">
            <w:pPr>
              <w:widowControl w:val="0"/>
              <w:jc w:val="center"/>
              <w:rPr>
                <w:color w:val="auto"/>
                <w:sz w:val="21"/>
                <w:szCs w:val="21"/>
              </w:rPr>
            </w:pPr>
            <w:r>
              <w:rPr>
                <w:color w:val="auto"/>
                <w:sz w:val="21"/>
                <w:szCs w:val="21"/>
              </w:rPr>
              <w:t>0.017</w:t>
            </w:r>
          </w:p>
        </w:tc>
        <w:tc>
          <w:tcPr>
            <w:tcW w:w="3363" w:type="dxa"/>
            <w:gridSpan w:val="4"/>
            <w:vMerge w:val="continue"/>
            <w:vAlign w:val="center"/>
          </w:tcPr>
          <w:p w14:paraId="0D20C7BE">
            <w:pPr>
              <w:widowControl w:val="0"/>
              <w:jc w:val="center"/>
              <w:rPr>
                <w:color w:val="auto"/>
                <w:sz w:val="21"/>
                <w:szCs w:val="21"/>
              </w:rPr>
            </w:pPr>
          </w:p>
        </w:tc>
        <w:tc>
          <w:tcPr>
            <w:tcW w:w="1538" w:type="dxa"/>
            <w:vAlign w:val="center"/>
          </w:tcPr>
          <w:p w14:paraId="3D9B8AE8">
            <w:pPr>
              <w:widowControl w:val="0"/>
              <w:jc w:val="center"/>
              <w:rPr>
                <w:color w:val="auto"/>
                <w:sz w:val="21"/>
                <w:szCs w:val="21"/>
              </w:rPr>
            </w:pPr>
            <w:r>
              <w:rPr>
                <w:color w:val="auto"/>
                <w:sz w:val="21"/>
                <w:szCs w:val="21"/>
              </w:rPr>
              <w:t>8000</w:t>
            </w:r>
          </w:p>
        </w:tc>
      </w:tr>
      <w:tr w14:paraId="288C463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Align w:val="center"/>
          </w:tcPr>
          <w:p w14:paraId="35DC020E">
            <w:pPr>
              <w:widowControl w:val="0"/>
              <w:jc w:val="center"/>
              <w:rPr>
                <w:color w:val="auto"/>
                <w:sz w:val="21"/>
                <w:szCs w:val="21"/>
              </w:rPr>
            </w:pPr>
            <w:r>
              <w:rPr>
                <w:color w:val="auto"/>
                <w:sz w:val="21"/>
                <w:szCs w:val="21"/>
              </w:rPr>
              <w:t>　</w:t>
            </w:r>
          </w:p>
        </w:tc>
        <w:tc>
          <w:tcPr>
            <w:tcW w:w="1540" w:type="dxa"/>
            <w:vAlign w:val="center"/>
          </w:tcPr>
          <w:p w14:paraId="5447B59E">
            <w:pPr>
              <w:widowControl w:val="0"/>
              <w:jc w:val="center"/>
              <w:rPr>
                <w:color w:val="auto"/>
                <w:sz w:val="21"/>
                <w:szCs w:val="21"/>
              </w:rPr>
            </w:pPr>
            <w:r>
              <w:rPr>
                <w:color w:val="auto"/>
                <w:sz w:val="21"/>
                <w:szCs w:val="21"/>
              </w:rPr>
              <w:t>碳酸钠干燥包装排口（DA004）</w:t>
            </w:r>
          </w:p>
        </w:tc>
        <w:tc>
          <w:tcPr>
            <w:tcW w:w="1358" w:type="dxa"/>
            <w:vAlign w:val="center"/>
          </w:tcPr>
          <w:p w14:paraId="5E0F42C4">
            <w:pPr>
              <w:widowControl w:val="0"/>
              <w:jc w:val="center"/>
              <w:rPr>
                <w:color w:val="auto"/>
                <w:sz w:val="21"/>
                <w:szCs w:val="21"/>
              </w:rPr>
            </w:pPr>
            <w:r>
              <w:rPr>
                <w:color w:val="auto"/>
                <w:sz w:val="21"/>
                <w:szCs w:val="21"/>
              </w:rPr>
              <w:t>颗粒物</w:t>
            </w:r>
          </w:p>
        </w:tc>
        <w:tc>
          <w:tcPr>
            <w:tcW w:w="1470" w:type="dxa"/>
            <w:vAlign w:val="center"/>
          </w:tcPr>
          <w:p w14:paraId="0A814747">
            <w:pPr>
              <w:widowControl w:val="0"/>
              <w:jc w:val="center"/>
              <w:rPr>
                <w:color w:val="auto"/>
                <w:sz w:val="21"/>
                <w:szCs w:val="21"/>
              </w:rPr>
            </w:pPr>
            <w:r>
              <w:rPr>
                <w:color w:val="auto"/>
                <w:sz w:val="21"/>
                <w:szCs w:val="21"/>
              </w:rPr>
              <w:t>物料衡算法</w:t>
            </w:r>
          </w:p>
        </w:tc>
        <w:tc>
          <w:tcPr>
            <w:tcW w:w="1133" w:type="dxa"/>
            <w:vAlign w:val="center"/>
          </w:tcPr>
          <w:p w14:paraId="1C981BC1">
            <w:pPr>
              <w:widowControl w:val="0"/>
              <w:jc w:val="center"/>
              <w:rPr>
                <w:color w:val="auto"/>
                <w:sz w:val="21"/>
                <w:szCs w:val="21"/>
              </w:rPr>
            </w:pPr>
            <w:r>
              <w:rPr>
                <w:color w:val="auto"/>
                <w:sz w:val="21"/>
                <w:szCs w:val="21"/>
              </w:rPr>
              <w:t>3000</w:t>
            </w:r>
          </w:p>
        </w:tc>
        <w:tc>
          <w:tcPr>
            <w:tcW w:w="1417" w:type="dxa"/>
            <w:vAlign w:val="center"/>
          </w:tcPr>
          <w:p w14:paraId="126D6DFE">
            <w:pPr>
              <w:widowControl w:val="0"/>
              <w:jc w:val="center"/>
              <w:rPr>
                <w:color w:val="auto"/>
                <w:sz w:val="21"/>
                <w:szCs w:val="21"/>
              </w:rPr>
            </w:pPr>
            <w:r>
              <w:rPr>
                <w:color w:val="auto"/>
                <w:sz w:val="21"/>
                <w:szCs w:val="21"/>
              </w:rPr>
              <w:t>/</w:t>
            </w:r>
          </w:p>
        </w:tc>
        <w:tc>
          <w:tcPr>
            <w:tcW w:w="1275" w:type="dxa"/>
            <w:vAlign w:val="center"/>
          </w:tcPr>
          <w:p w14:paraId="0B216991">
            <w:pPr>
              <w:widowControl w:val="0"/>
              <w:jc w:val="center"/>
              <w:rPr>
                <w:color w:val="auto"/>
                <w:sz w:val="21"/>
                <w:szCs w:val="21"/>
              </w:rPr>
            </w:pPr>
            <w:r>
              <w:rPr>
                <w:color w:val="auto"/>
                <w:sz w:val="21"/>
                <w:szCs w:val="21"/>
              </w:rPr>
              <w:t>/</w:t>
            </w:r>
          </w:p>
        </w:tc>
        <w:tc>
          <w:tcPr>
            <w:tcW w:w="1133" w:type="dxa"/>
            <w:vAlign w:val="center"/>
          </w:tcPr>
          <w:p w14:paraId="1BDB8D4F">
            <w:pPr>
              <w:widowControl w:val="0"/>
              <w:jc w:val="center"/>
              <w:rPr>
                <w:color w:val="auto"/>
                <w:sz w:val="21"/>
                <w:szCs w:val="21"/>
              </w:rPr>
            </w:pPr>
            <w:r>
              <w:rPr>
                <w:color w:val="auto"/>
                <w:sz w:val="21"/>
                <w:szCs w:val="21"/>
              </w:rPr>
              <w:t>/</w:t>
            </w:r>
          </w:p>
        </w:tc>
        <w:tc>
          <w:tcPr>
            <w:tcW w:w="1523" w:type="dxa"/>
            <w:vAlign w:val="center"/>
          </w:tcPr>
          <w:p w14:paraId="50C8DAED">
            <w:pPr>
              <w:widowControl w:val="0"/>
              <w:jc w:val="center"/>
              <w:rPr>
                <w:color w:val="auto"/>
                <w:sz w:val="21"/>
                <w:szCs w:val="21"/>
              </w:rPr>
            </w:pPr>
            <w:r>
              <w:rPr>
                <w:color w:val="auto"/>
                <w:sz w:val="21"/>
                <w:szCs w:val="21"/>
              </w:rPr>
              <w:t>/</w:t>
            </w:r>
          </w:p>
        </w:tc>
        <w:tc>
          <w:tcPr>
            <w:tcW w:w="1025" w:type="dxa"/>
            <w:vAlign w:val="center"/>
          </w:tcPr>
          <w:p w14:paraId="44839E06">
            <w:pPr>
              <w:widowControl w:val="0"/>
              <w:jc w:val="center"/>
              <w:rPr>
                <w:color w:val="auto"/>
                <w:sz w:val="21"/>
                <w:szCs w:val="21"/>
              </w:rPr>
            </w:pPr>
            <w:r>
              <w:rPr>
                <w:color w:val="auto"/>
                <w:sz w:val="21"/>
                <w:szCs w:val="21"/>
              </w:rPr>
              <w:t>/</w:t>
            </w:r>
          </w:p>
        </w:tc>
        <w:tc>
          <w:tcPr>
            <w:tcW w:w="1373" w:type="dxa"/>
            <w:vAlign w:val="center"/>
          </w:tcPr>
          <w:p w14:paraId="0852238D">
            <w:pPr>
              <w:widowControl w:val="0"/>
              <w:jc w:val="center"/>
              <w:rPr>
                <w:color w:val="auto"/>
                <w:sz w:val="21"/>
                <w:szCs w:val="21"/>
              </w:rPr>
            </w:pPr>
            <w:r>
              <w:rPr>
                <w:color w:val="auto"/>
                <w:sz w:val="21"/>
                <w:szCs w:val="21"/>
              </w:rPr>
              <w:t xml:space="preserve">6.4 </w:t>
            </w:r>
          </w:p>
        </w:tc>
        <w:tc>
          <w:tcPr>
            <w:tcW w:w="1177" w:type="dxa"/>
            <w:vAlign w:val="center"/>
          </w:tcPr>
          <w:p w14:paraId="522A83C1">
            <w:pPr>
              <w:widowControl w:val="0"/>
              <w:jc w:val="center"/>
              <w:rPr>
                <w:color w:val="auto"/>
                <w:sz w:val="21"/>
                <w:szCs w:val="21"/>
              </w:rPr>
            </w:pPr>
            <w:r>
              <w:rPr>
                <w:color w:val="auto"/>
                <w:sz w:val="21"/>
                <w:szCs w:val="21"/>
              </w:rPr>
              <w:t>0.02</w:t>
            </w:r>
          </w:p>
        </w:tc>
        <w:tc>
          <w:tcPr>
            <w:tcW w:w="1274" w:type="dxa"/>
            <w:vAlign w:val="center"/>
          </w:tcPr>
          <w:p w14:paraId="440D7168">
            <w:pPr>
              <w:widowControl w:val="0"/>
              <w:jc w:val="center"/>
              <w:rPr>
                <w:color w:val="auto"/>
                <w:sz w:val="21"/>
                <w:szCs w:val="21"/>
              </w:rPr>
            </w:pPr>
            <w:r>
              <w:rPr>
                <w:color w:val="auto"/>
                <w:sz w:val="21"/>
                <w:szCs w:val="21"/>
              </w:rPr>
              <w:t>0.15</w:t>
            </w:r>
          </w:p>
        </w:tc>
        <w:tc>
          <w:tcPr>
            <w:tcW w:w="946" w:type="dxa"/>
            <w:vAlign w:val="center"/>
          </w:tcPr>
          <w:p w14:paraId="52C48B01">
            <w:pPr>
              <w:widowControl w:val="0"/>
              <w:jc w:val="center"/>
              <w:rPr>
                <w:color w:val="auto"/>
                <w:sz w:val="21"/>
                <w:szCs w:val="21"/>
              </w:rPr>
            </w:pPr>
            <w:r>
              <w:rPr>
                <w:color w:val="auto"/>
                <w:sz w:val="21"/>
                <w:szCs w:val="21"/>
              </w:rPr>
              <w:t>DA004</w:t>
            </w:r>
          </w:p>
        </w:tc>
        <w:tc>
          <w:tcPr>
            <w:tcW w:w="959" w:type="dxa"/>
            <w:vAlign w:val="center"/>
          </w:tcPr>
          <w:p w14:paraId="5915989A">
            <w:pPr>
              <w:widowControl w:val="0"/>
              <w:jc w:val="center"/>
              <w:rPr>
                <w:color w:val="auto"/>
                <w:sz w:val="21"/>
                <w:szCs w:val="21"/>
              </w:rPr>
            </w:pPr>
            <w:r>
              <w:rPr>
                <w:color w:val="auto"/>
                <w:sz w:val="21"/>
                <w:szCs w:val="21"/>
              </w:rPr>
              <w:t>40.0</w:t>
            </w:r>
          </w:p>
        </w:tc>
        <w:tc>
          <w:tcPr>
            <w:tcW w:w="759" w:type="dxa"/>
            <w:vAlign w:val="center"/>
          </w:tcPr>
          <w:p w14:paraId="2C8C33B9">
            <w:pPr>
              <w:widowControl w:val="0"/>
              <w:jc w:val="center"/>
              <w:rPr>
                <w:color w:val="auto"/>
                <w:sz w:val="21"/>
                <w:szCs w:val="21"/>
              </w:rPr>
            </w:pPr>
            <w:r>
              <w:rPr>
                <w:color w:val="auto"/>
                <w:sz w:val="21"/>
                <w:szCs w:val="21"/>
              </w:rPr>
              <w:t>17.0</w:t>
            </w:r>
          </w:p>
        </w:tc>
        <w:tc>
          <w:tcPr>
            <w:tcW w:w="699" w:type="dxa"/>
            <w:vAlign w:val="center"/>
          </w:tcPr>
          <w:p w14:paraId="19A909A4">
            <w:pPr>
              <w:widowControl w:val="0"/>
              <w:jc w:val="center"/>
              <w:rPr>
                <w:color w:val="auto"/>
                <w:sz w:val="21"/>
                <w:szCs w:val="21"/>
              </w:rPr>
            </w:pPr>
            <w:r>
              <w:rPr>
                <w:color w:val="auto"/>
                <w:sz w:val="21"/>
                <w:szCs w:val="21"/>
              </w:rPr>
              <w:t>1.2</w:t>
            </w:r>
          </w:p>
        </w:tc>
        <w:tc>
          <w:tcPr>
            <w:tcW w:w="1538" w:type="dxa"/>
            <w:vAlign w:val="center"/>
          </w:tcPr>
          <w:p w14:paraId="04E38C5C">
            <w:pPr>
              <w:widowControl w:val="0"/>
              <w:jc w:val="center"/>
              <w:rPr>
                <w:color w:val="auto"/>
                <w:sz w:val="21"/>
                <w:szCs w:val="21"/>
              </w:rPr>
            </w:pPr>
            <w:r>
              <w:rPr>
                <w:color w:val="auto"/>
                <w:sz w:val="21"/>
                <w:szCs w:val="21"/>
              </w:rPr>
              <w:t>8000</w:t>
            </w:r>
          </w:p>
        </w:tc>
      </w:tr>
      <w:tr w14:paraId="2EB58F8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286F816E">
            <w:pPr>
              <w:widowControl w:val="0"/>
              <w:jc w:val="center"/>
              <w:rPr>
                <w:color w:val="auto"/>
                <w:sz w:val="21"/>
                <w:szCs w:val="21"/>
              </w:rPr>
            </w:pPr>
            <w:r>
              <w:rPr>
                <w:color w:val="auto"/>
                <w:sz w:val="21"/>
                <w:szCs w:val="21"/>
              </w:rPr>
              <w:t>G</w:t>
            </w:r>
            <w:r>
              <w:rPr>
                <w:color w:val="auto"/>
                <w:sz w:val="21"/>
                <w:szCs w:val="21"/>
                <w:vertAlign w:val="subscript"/>
              </w:rPr>
              <w:t>7</w:t>
            </w:r>
          </w:p>
        </w:tc>
        <w:tc>
          <w:tcPr>
            <w:tcW w:w="1540" w:type="dxa"/>
            <w:vMerge w:val="restart"/>
            <w:vAlign w:val="center"/>
          </w:tcPr>
          <w:p w14:paraId="58C528AF">
            <w:pPr>
              <w:widowControl w:val="0"/>
              <w:jc w:val="center"/>
              <w:rPr>
                <w:color w:val="auto"/>
                <w:sz w:val="21"/>
                <w:szCs w:val="21"/>
              </w:rPr>
            </w:pPr>
            <w:r>
              <w:rPr>
                <w:color w:val="auto"/>
                <w:sz w:val="21"/>
                <w:szCs w:val="21"/>
              </w:rPr>
              <w:t>水铝石干燥</w:t>
            </w:r>
          </w:p>
        </w:tc>
        <w:tc>
          <w:tcPr>
            <w:tcW w:w="1358" w:type="dxa"/>
            <w:vAlign w:val="center"/>
          </w:tcPr>
          <w:p w14:paraId="1EB6A59B">
            <w:pPr>
              <w:widowControl w:val="0"/>
              <w:jc w:val="center"/>
              <w:rPr>
                <w:color w:val="auto"/>
                <w:sz w:val="21"/>
                <w:szCs w:val="21"/>
              </w:rPr>
            </w:pPr>
            <w:r>
              <w:rPr>
                <w:color w:val="auto"/>
                <w:sz w:val="21"/>
                <w:szCs w:val="21"/>
              </w:rPr>
              <w:t>颗粒物</w:t>
            </w:r>
          </w:p>
        </w:tc>
        <w:tc>
          <w:tcPr>
            <w:tcW w:w="1470" w:type="dxa"/>
            <w:vAlign w:val="center"/>
          </w:tcPr>
          <w:p w14:paraId="5FFBF197">
            <w:pPr>
              <w:widowControl w:val="0"/>
              <w:jc w:val="center"/>
              <w:rPr>
                <w:color w:val="auto"/>
                <w:sz w:val="21"/>
                <w:szCs w:val="21"/>
              </w:rPr>
            </w:pPr>
            <w:r>
              <w:rPr>
                <w:color w:val="auto"/>
                <w:sz w:val="21"/>
                <w:szCs w:val="21"/>
              </w:rPr>
              <w:t>物料衡算法</w:t>
            </w:r>
          </w:p>
        </w:tc>
        <w:tc>
          <w:tcPr>
            <w:tcW w:w="1133" w:type="dxa"/>
            <w:vMerge w:val="restart"/>
            <w:vAlign w:val="center"/>
          </w:tcPr>
          <w:p w14:paraId="5F70163B">
            <w:pPr>
              <w:widowControl w:val="0"/>
              <w:jc w:val="center"/>
              <w:rPr>
                <w:color w:val="auto"/>
                <w:sz w:val="21"/>
                <w:szCs w:val="21"/>
              </w:rPr>
            </w:pPr>
            <w:r>
              <w:rPr>
                <w:color w:val="auto"/>
                <w:sz w:val="21"/>
                <w:szCs w:val="21"/>
              </w:rPr>
              <w:t>35000</w:t>
            </w:r>
          </w:p>
        </w:tc>
        <w:tc>
          <w:tcPr>
            <w:tcW w:w="1417" w:type="dxa"/>
            <w:vAlign w:val="center"/>
          </w:tcPr>
          <w:p w14:paraId="6A11B03F">
            <w:pPr>
              <w:widowControl w:val="0"/>
              <w:jc w:val="center"/>
              <w:rPr>
                <w:color w:val="auto"/>
                <w:sz w:val="21"/>
                <w:szCs w:val="21"/>
              </w:rPr>
            </w:pPr>
            <w:r>
              <w:rPr>
                <w:color w:val="auto"/>
                <w:sz w:val="21"/>
                <w:szCs w:val="21"/>
              </w:rPr>
              <w:t xml:space="preserve">1696.22 </w:t>
            </w:r>
          </w:p>
        </w:tc>
        <w:tc>
          <w:tcPr>
            <w:tcW w:w="1275" w:type="dxa"/>
            <w:vAlign w:val="center"/>
          </w:tcPr>
          <w:p w14:paraId="43A3406C">
            <w:pPr>
              <w:widowControl w:val="0"/>
              <w:jc w:val="center"/>
              <w:rPr>
                <w:color w:val="auto"/>
                <w:sz w:val="21"/>
                <w:szCs w:val="21"/>
              </w:rPr>
            </w:pPr>
            <w:r>
              <w:rPr>
                <w:color w:val="auto"/>
                <w:sz w:val="21"/>
                <w:szCs w:val="21"/>
              </w:rPr>
              <w:t>59.37</w:t>
            </w:r>
          </w:p>
        </w:tc>
        <w:tc>
          <w:tcPr>
            <w:tcW w:w="1133" w:type="dxa"/>
            <w:vAlign w:val="center"/>
          </w:tcPr>
          <w:p w14:paraId="68EB3969">
            <w:pPr>
              <w:widowControl w:val="0"/>
              <w:jc w:val="center"/>
              <w:rPr>
                <w:color w:val="auto"/>
                <w:sz w:val="21"/>
                <w:szCs w:val="21"/>
              </w:rPr>
            </w:pPr>
            <w:r>
              <w:rPr>
                <w:color w:val="auto"/>
                <w:sz w:val="21"/>
                <w:szCs w:val="21"/>
              </w:rPr>
              <w:t>474.9</w:t>
            </w:r>
          </w:p>
        </w:tc>
        <w:tc>
          <w:tcPr>
            <w:tcW w:w="1523" w:type="dxa"/>
            <w:vMerge w:val="restart"/>
            <w:vAlign w:val="center"/>
          </w:tcPr>
          <w:p w14:paraId="23066A9B">
            <w:pPr>
              <w:widowControl w:val="0"/>
              <w:jc w:val="center"/>
              <w:rPr>
                <w:color w:val="auto"/>
                <w:sz w:val="21"/>
                <w:szCs w:val="21"/>
              </w:rPr>
            </w:pPr>
            <w:r>
              <w:rPr>
                <w:color w:val="auto"/>
                <w:sz w:val="21"/>
                <w:szCs w:val="21"/>
              </w:rPr>
              <w:t>燃用清洁燃料+低氮燃烧器+布袋除尘器</w:t>
            </w:r>
          </w:p>
        </w:tc>
        <w:tc>
          <w:tcPr>
            <w:tcW w:w="1025" w:type="dxa"/>
            <w:vAlign w:val="center"/>
          </w:tcPr>
          <w:p w14:paraId="483480A5">
            <w:pPr>
              <w:widowControl w:val="0"/>
              <w:jc w:val="center"/>
              <w:rPr>
                <w:color w:val="auto"/>
                <w:sz w:val="21"/>
                <w:szCs w:val="21"/>
              </w:rPr>
            </w:pPr>
            <w:r>
              <w:rPr>
                <w:color w:val="auto"/>
                <w:sz w:val="21"/>
                <w:szCs w:val="21"/>
              </w:rPr>
              <w:t>99.8%</w:t>
            </w:r>
          </w:p>
        </w:tc>
        <w:tc>
          <w:tcPr>
            <w:tcW w:w="1373" w:type="dxa"/>
            <w:vAlign w:val="center"/>
          </w:tcPr>
          <w:p w14:paraId="21380698">
            <w:pPr>
              <w:widowControl w:val="0"/>
              <w:jc w:val="center"/>
              <w:rPr>
                <w:color w:val="auto"/>
                <w:sz w:val="21"/>
                <w:szCs w:val="21"/>
              </w:rPr>
            </w:pPr>
            <w:r>
              <w:rPr>
                <w:color w:val="auto"/>
                <w:sz w:val="21"/>
                <w:szCs w:val="21"/>
              </w:rPr>
              <w:t xml:space="preserve">3.39 </w:t>
            </w:r>
          </w:p>
        </w:tc>
        <w:tc>
          <w:tcPr>
            <w:tcW w:w="1177" w:type="dxa"/>
            <w:vAlign w:val="center"/>
          </w:tcPr>
          <w:p w14:paraId="7D61C816">
            <w:pPr>
              <w:widowControl w:val="0"/>
              <w:jc w:val="center"/>
              <w:rPr>
                <w:color w:val="auto"/>
                <w:sz w:val="21"/>
                <w:szCs w:val="21"/>
              </w:rPr>
            </w:pPr>
            <w:r>
              <w:rPr>
                <w:color w:val="auto"/>
                <w:sz w:val="21"/>
                <w:szCs w:val="21"/>
              </w:rPr>
              <w:t>0.12</w:t>
            </w:r>
          </w:p>
        </w:tc>
        <w:tc>
          <w:tcPr>
            <w:tcW w:w="1274" w:type="dxa"/>
            <w:vAlign w:val="center"/>
          </w:tcPr>
          <w:p w14:paraId="2B45F026">
            <w:pPr>
              <w:widowControl w:val="0"/>
              <w:jc w:val="center"/>
              <w:rPr>
                <w:color w:val="auto"/>
                <w:sz w:val="21"/>
                <w:szCs w:val="21"/>
              </w:rPr>
            </w:pPr>
            <w:r>
              <w:rPr>
                <w:color w:val="auto"/>
                <w:sz w:val="21"/>
                <w:szCs w:val="21"/>
              </w:rPr>
              <w:t>0.95</w:t>
            </w:r>
          </w:p>
        </w:tc>
        <w:tc>
          <w:tcPr>
            <w:tcW w:w="3363" w:type="dxa"/>
            <w:gridSpan w:val="4"/>
            <w:vMerge w:val="restart"/>
            <w:vAlign w:val="center"/>
          </w:tcPr>
          <w:p w14:paraId="351ABAE5">
            <w:pPr>
              <w:widowControl w:val="0"/>
              <w:jc w:val="center"/>
              <w:rPr>
                <w:color w:val="auto"/>
                <w:sz w:val="21"/>
                <w:szCs w:val="21"/>
              </w:rPr>
            </w:pPr>
            <w:r>
              <w:rPr>
                <w:color w:val="auto"/>
                <w:sz w:val="21"/>
                <w:szCs w:val="21"/>
              </w:rPr>
              <w:t>汇合后通过车间DA005排放口排放</w:t>
            </w:r>
          </w:p>
        </w:tc>
        <w:tc>
          <w:tcPr>
            <w:tcW w:w="1538" w:type="dxa"/>
            <w:vMerge w:val="restart"/>
            <w:vAlign w:val="center"/>
          </w:tcPr>
          <w:p w14:paraId="5D80BBE8">
            <w:pPr>
              <w:widowControl w:val="0"/>
              <w:jc w:val="center"/>
              <w:rPr>
                <w:color w:val="auto"/>
                <w:sz w:val="21"/>
                <w:szCs w:val="21"/>
              </w:rPr>
            </w:pPr>
            <w:r>
              <w:rPr>
                <w:color w:val="auto"/>
                <w:sz w:val="21"/>
                <w:szCs w:val="21"/>
              </w:rPr>
              <w:t>8000</w:t>
            </w:r>
          </w:p>
        </w:tc>
      </w:tr>
      <w:tr w14:paraId="358719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64FABCD">
            <w:pPr>
              <w:widowControl w:val="0"/>
              <w:jc w:val="center"/>
              <w:rPr>
                <w:color w:val="auto"/>
                <w:sz w:val="21"/>
                <w:szCs w:val="21"/>
              </w:rPr>
            </w:pPr>
          </w:p>
        </w:tc>
        <w:tc>
          <w:tcPr>
            <w:tcW w:w="1540" w:type="dxa"/>
            <w:vMerge w:val="continue"/>
            <w:vAlign w:val="center"/>
          </w:tcPr>
          <w:p w14:paraId="397E79B7">
            <w:pPr>
              <w:widowControl w:val="0"/>
              <w:jc w:val="center"/>
              <w:rPr>
                <w:color w:val="auto"/>
                <w:sz w:val="21"/>
                <w:szCs w:val="21"/>
              </w:rPr>
            </w:pPr>
          </w:p>
        </w:tc>
        <w:tc>
          <w:tcPr>
            <w:tcW w:w="1358" w:type="dxa"/>
            <w:vAlign w:val="center"/>
          </w:tcPr>
          <w:p w14:paraId="44103BB2">
            <w:pPr>
              <w:widowControl w:val="0"/>
              <w:jc w:val="center"/>
              <w:rPr>
                <w:color w:val="auto"/>
                <w:sz w:val="21"/>
                <w:szCs w:val="21"/>
              </w:rPr>
            </w:pPr>
            <w:r>
              <w:rPr>
                <w:color w:val="auto"/>
                <w:sz w:val="21"/>
                <w:szCs w:val="21"/>
              </w:rPr>
              <w:t>SO</w:t>
            </w:r>
            <w:r>
              <w:rPr>
                <w:color w:val="auto"/>
                <w:sz w:val="21"/>
                <w:szCs w:val="21"/>
                <w:vertAlign w:val="subscript"/>
              </w:rPr>
              <w:t>2</w:t>
            </w:r>
          </w:p>
        </w:tc>
        <w:tc>
          <w:tcPr>
            <w:tcW w:w="1470" w:type="dxa"/>
            <w:vAlign w:val="center"/>
          </w:tcPr>
          <w:p w14:paraId="3DCEE9D1">
            <w:pPr>
              <w:widowControl w:val="0"/>
              <w:jc w:val="center"/>
              <w:rPr>
                <w:color w:val="auto"/>
                <w:sz w:val="21"/>
                <w:szCs w:val="21"/>
              </w:rPr>
            </w:pPr>
            <w:r>
              <w:rPr>
                <w:color w:val="auto"/>
                <w:sz w:val="21"/>
                <w:szCs w:val="21"/>
              </w:rPr>
              <w:t>物料衡算法</w:t>
            </w:r>
          </w:p>
        </w:tc>
        <w:tc>
          <w:tcPr>
            <w:tcW w:w="1133" w:type="dxa"/>
            <w:vMerge w:val="continue"/>
            <w:vAlign w:val="center"/>
          </w:tcPr>
          <w:p w14:paraId="45ECBBB6">
            <w:pPr>
              <w:widowControl w:val="0"/>
              <w:jc w:val="center"/>
              <w:rPr>
                <w:color w:val="auto"/>
                <w:sz w:val="21"/>
                <w:szCs w:val="21"/>
              </w:rPr>
            </w:pPr>
          </w:p>
        </w:tc>
        <w:tc>
          <w:tcPr>
            <w:tcW w:w="1417" w:type="dxa"/>
            <w:vAlign w:val="center"/>
          </w:tcPr>
          <w:p w14:paraId="25EA0538">
            <w:pPr>
              <w:widowControl w:val="0"/>
              <w:jc w:val="center"/>
              <w:rPr>
                <w:color w:val="auto"/>
                <w:sz w:val="21"/>
                <w:szCs w:val="21"/>
              </w:rPr>
            </w:pPr>
            <w:r>
              <w:rPr>
                <w:color w:val="auto"/>
                <w:sz w:val="21"/>
                <w:szCs w:val="21"/>
              </w:rPr>
              <w:t xml:space="preserve">0.34 </w:t>
            </w:r>
          </w:p>
        </w:tc>
        <w:tc>
          <w:tcPr>
            <w:tcW w:w="1275" w:type="dxa"/>
            <w:vAlign w:val="center"/>
          </w:tcPr>
          <w:p w14:paraId="1DD6EF7E">
            <w:pPr>
              <w:widowControl w:val="0"/>
              <w:jc w:val="center"/>
              <w:rPr>
                <w:color w:val="auto"/>
                <w:sz w:val="21"/>
                <w:szCs w:val="21"/>
              </w:rPr>
            </w:pPr>
            <w:r>
              <w:rPr>
                <w:color w:val="auto"/>
                <w:sz w:val="21"/>
                <w:szCs w:val="21"/>
              </w:rPr>
              <w:t>0.012</w:t>
            </w:r>
          </w:p>
        </w:tc>
        <w:tc>
          <w:tcPr>
            <w:tcW w:w="1133" w:type="dxa"/>
            <w:vAlign w:val="center"/>
          </w:tcPr>
          <w:p w14:paraId="59AE6673">
            <w:pPr>
              <w:widowControl w:val="0"/>
              <w:jc w:val="center"/>
              <w:rPr>
                <w:color w:val="auto"/>
                <w:sz w:val="21"/>
                <w:szCs w:val="21"/>
              </w:rPr>
            </w:pPr>
            <w:r>
              <w:rPr>
                <w:color w:val="auto"/>
                <w:sz w:val="21"/>
                <w:szCs w:val="21"/>
              </w:rPr>
              <w:t>0.095</w:t>
            </w:r>
          </w:p>
        </w:tc>
        <w:tc>
          <w:tcPr>
            <w:tcW w:w="1523" w:type="dxa"/>
            <w:vMerge w:val="continue"/>
            <w:vAlign w:val="center"/>
          </w:tcPr>
          <w:p w14:paraId="129D3407">
            <w:pPr>
              <w:widowControl w:val="0"/>
              <w:jc w:val="center"/>
              <w:rPr>
                <w:color w:val="auto"/>
                <w:sz w:val="21"/>
                <w:szCs w:val="21"/>
              </w:rPr>
            </w:pPr>
          </w:p>
        </w:tc>
        <w:tc>
          <w:tcPr>
            <w:tcW w:w="1025" w:type="dxa"/>
            <w:vAlign w:val="center"/>
          </w:tcPr>
          <w:p w14:paraId="33E1B9C0">
            <w:pPr>
              <w:widowControl w:val="0"/>
              <w:jc w:val="center"/>
              <w:rPr>
                <w:color w:val="auto"/>
                <w:sz w:val="21"/>
                <w:szCs w:val="21"/>
              </w:rPr>
            </w:pPr>
            <w:r>
              <w:rPr>
                <w:color w:val="auto"/>
                <w:sz w:val="21"/>
                <w:szCs w:val="21"/>
              </w:rPr>
              <w:t>/</w:t>
            </w:r>
          </w:p>
        </w:tc>
        <w:tc>
          <w:tcPr>
            <w:tcW w:w="1373" w:type="dxa"/>
            <w:vAlign w:val="center"/>
          </w:tcPr>
          <w:p w14:paraId="759FBFFB">
            <w:pPr>
              <w:widowControl w:val="0"/>
              <w:jc w:val="center"/>
              <w:rPr>
                <w:color w:val="auto"/>
                <w:sz w:val="21"/>
                <w:szCs w:val="21"/>
              </w:rPr>
            </w:pPr>
            <w:r>
              <w:rPr>
                <w:color w:val="auto"/>
                <w:sz w:val="21"/>
                <w:szCs w:val="21"/>
              </w:rPr>
              <w:t xml:space="preserve">0.34 </w:t>
            </w:r>
          </w:p>
        </w:tc>
        <w:tc>
          <w:tcPr>
            <w:tcW w:w="1177" w:type="dxa"/>
            <w:vAlign w:val="center"/>
          </w:tcPr>
          <w:p w14:paraId="0C94FA18">
            <w:pPr>
              <w:widowControl w:val="0"/>
              <w:jc w:val="center"/>
              <w:rPr>
                <w:color w:val="auto"/>
                <w:sz w:val="21"/>
                <w:szCs w:val="21"/>
              </w:rPr>
            </w:pPr>
            <w:r>
              <w:rPr>
                <w:color w:val="auto"/>
                <w:sz w:val="21"/>
                <w:szCs w:val="21"/>
              </w:rPr>
              <w:t>0.01</w:t>
            </w:r>
          </w:p>
        </w:tc>
        <w:tc>
          <w:tcPr>
            <w:tcW w:w="1274" w:type="dxa"/>
            <w:vAlign w:val="center"/>
          </w:tcPr>
          <w:p w14:paraId="4A4B3293">
            <w:pPr>
              <w:widowControl w:val="0"/>
              <w:jc w:val="center"/>
              <w:rPr>
                <w:color w:val="auto"/>
                <w:sz w:val="21"/>
                <w:szCs w:val="21"/>
              </w:rPr>
            </w:pPr>
            <w:r>
              <w:rPr>
                <w:color w:val="auto"/>
                <w:sz w:val="21"/>
                <w:szCs w:val="21"/>
              </w:rPr>
              <w:t>0.10</w:t>
            </w:r>
          </w:p>
        </w:tc>
        <w:tc>
          <w:tcPr>
            <w:tcW w:w="3363" w:type="dxa"/>
            <w:gridSpan w:val="4"/>
            <w:vMerge w:val="continue"/>
            <w:vAlign w:val="center"/>
          </w:tcPr>
          <w:p w14:paraId="41E012A9">
            <w:pPr>
              <w:widowControl w:val="0"/>
              <w:jc w:val="center"/>
              <w:rPr>
                <w:color w:val="auto"/>
                <w:sz w:val="21"/>
                <w:szCs w:val="21"/>
              </w:rPr>
            </w:pPr>
          </w:p>
        </w:tc>
        <w:tc>
          <w:tcPr>
            <w:tcW w:w="1538" w:type="dxa"/>
            <w:vMerge w:val="continue"/>
            <w:vAlign w:val="center"/>
          </w:tcPr>
          <w:p w14:paraId="4C38AE64">
            <w:pPr>
              <w:widowControl w:val="0"/>
              <w:jc w:val="center"/>
              <w:rPr>
                <w:color w:val="auto"/>
                <w:sz w:val="21"/>
                <w:szCs w:val="21"/>
              </w:rPr>
            </w:pPr>
          </w:p>
        </w:tc>
      </w:tr>
      <w:tr w14:paraId="12BB10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1AF2E7E3">
            <w:pPr>
              <w:widowControl w:val="0"/>
              <w:jc w:val="center"/>
              <w:rPr>
                <w:color w:val="auto"/>
                <w:sz w:val="21"/>
                <w:szCs w:val="21"/>
              </w:rPr>
            </w:pPr>
          </w:p>
        </w:tc>
        <w:tc>
          <w:tcPr>
            <w:tcW w:w="1540" w:type="dxa"/>
            <w:vMerge w:val="continue"/>
            <w:vAlign w:val="center"/>
          </w:tcPr>
          <w:p w14:paraId="73B6B7D8">
            <w:pPr>
              <w:widowControl w:val="0"/>
              <w:jc w:val="center"/>
              <w:rPr>
                <w:color w:val="auto"/>
                <w:sz w:val="21"/>
                <w:szCs w:val="21"/>
              </w:rPr>
            </w:pPr>
          </w:p>
        </w:tc>
        <w:tc>
          <w:tcPr>
            <w:tcW w:w="1358" w:type="dxa"/>
            <w:vAlign w:val="center"/>
          </w:tcPr>
          <w:p w14:paraId="43B7C524">
            <w:pPr>
              <w:widowControl w:val="0"/>
              <w:jc w:val="center"/>
              <w:rPr>
                <w:color w:val="auto"/>
                <w:sz w:val="21"/>
                <w:szCs w:val="21"/>
              </w:rPr>
            </w:pPr>
            <w:r>
              <w:rPr>
                <w:color w:val="auto"/>
                <w:sz w:val="21"/>
                <w:szCs w:val="21"/>
              </w:rPr>
              <w:t>NO</w:t>
            </w:r>
            <w:r>
              <w:rPr>
                <w:color w:val="auto"/>
                <w:sz w:val="21"/>
                <w:szCs w:val="21"/>
                <w:vertAlign w:val="subscript"/>
              </w:rPr>
              <w:t>X</w:t>
            </w:r>
          </w:p>
        </w:tc>
        <w:tc>
          <w:tcPr>
            <w:tcW w:w="1470" w:type="dxa"/>
            <w:vAlign w:val="center"/>
          </w:tcPr>
          <w:p w14:paraId="7C12D0AA">
            <w:pPr>
              <w:widowControl w:val="0"/>
              <w:jc w:val="center"/>
              <w:rPr>
                <w:color w:val="auto"/>
                <w:sz w:val="21"/>
                <w:szCs w:val="21"/>
              </w:rPr>
            </w:pPr>
            <w:r>
              <w:rPr>
                <w:color w:val="auto"/>
                <w:sz w:val="21"/>
                <w:szCs w:val="21"/>
              </w:rPr>
              <w:t>系数法</w:t>
            </w:r>
          </w:p>
        </w:tc>
        <w:tc>
          <w:tcPr>
            <w:tcW w:w="1133" w:type="dxa"/>
            <w:vMerge w:val="continue"/>
            <w:vAlign w:val="center"/>
          </w:tcPr>
          <w:p w14:paraId="78DBFABF">
            <w:pPr>
              <w:widowControl w:val="0"/>
              <w:jc w:val="center"/>
              <w:rPr>
                <w:color w:val="auto"/>
                <w:sz w:val="21"/>
                <w:szCs w:val="21"/>
              </w:rPr>
            </w:pPr>
          </w:p>
        </w:tc>
        <w:tc>
          <w:tcPr>
            <w:tcW w:w="1417" w:type="dxa"/>
            <w:vAlign w:val="center"/>
          </w:tcPr>
          <w:p w14:paraId="2A2F6E4B">
            <w:pPr>
              <w:widowControl w:val="0"/>
              <w:jc w:val="center"/>
              <w:rPr>
                <w:color w:val="auto"/>
                <w:sz w:val="21"/>
                <w:szCs w:val="21"/>
              </w:rPr>
            </w:pPr>
            <w:r>
              <w:rPr>
                <w:color w:val="auto"/>
                <w:sz w:val="21"/>
                <w:szCs w:val="21"/>
              </w:rPr>
              <w:t xml:space="preserve">4.16 </w:t>
            </w:r>
          </w:p>
        </w:tc>
        <w:tc>
          <w:tcPr>
            <w:tcW w:w="1275" w:type="dxa"/>
            <w:vAlign w:val="center"/>
          </w:tcPr>
          <w:p w14:paraId="78A7054A">
            <w:pPr>
              <w:widowControl w:val="0"/>
              <w:jc w:val="center"/>
              <w:rPr>
                <w:color w:val="auto"/>
                <w:sz w:val="21"/>
                <w:szCs w:val="21"/>
              </w:rPr>
            </w:pPr>
            <w:r>
              <w:rPr>
                <w:color w:val="auto"/>
                <w:sz w:val="21"/>
                <w:szCs w:val="21"/>
              </w:rPr>
              <w:t>0.145</w:t>
            </w:r>
          </w:p>
        </w:tc>
        <w:tc>
          <w:tcPr>
            <w:tcW w:w="1133" w:type="dxa"/>
            <w:vAlign w:val="center"/>
          </w:tcPr>
          <w:p w14:paraId="3A82E41D">
            <w:pPr>
              <w:widowControl w:val="0"/>
              <w:jc w:val="center"/>
              <w:rPr>
                <w:color w:val="auto"/>
                <w:sz w:val="21"/>
                <w:szCs w:val="21"/>
              </w:rPr>
            </w:pPr>
            <w:r>
              <w:rPr>
                <w:color w:val="auto"/>
                <w:sz w:val="21"/>
                <w:szCs w:val="21"/>
              </w:rPr>
              <w:t>1.164</w:t>
            </w:r>
          </w:p>
        </w:tc>
        <w:tc>
          <w:tcPr>
            <w:tcW w:w="1523" w:type="dxa"/>
            <w:vMerge w:val="continue"/>
            <w:vAlign w:val="center"/>
          </w:tcPr>
          <w:p w14:paraId="4A760CAB">
            <w:pPr>
              <w:widowControl w:val="0"/>
              <w:jc w:val="center"/>
              <w:rPr>
                <w:color w:val="auto"/>
                <w:sz w:val="21"/>
                <w:szCs w:val="21"/>
              </w:rPr>
            </w:pPr>
          </w:p>
        </w:tc>
        <w:tc>
          <w:tcPr>
            <w:tcW w:w="1025" w:type="dxa"/>
            <w:vAlign w:val="center"/>
          </w:tcPr>
          <w:p w14:paraId="2DD0D7AF">
            <w:pPr>
              <w:widowControl w:val="0"/>
              <w:jc w:val="center"/>
              <w:rPr>
                <w:color w:val="auto"/>
                <w:sz w:val="21"/>
                <w:szCs w:val="21"/>
              </w:rPr>
            </w:pPr>
            <w:r>
              <w:rPr>
                <w:color w:val="auto"/>
                <w:sz w:val="21"/>
                <w:szCs w:val="21"/>
              </w:rPr>
              <w:t>/</w:t>
            </w:r>
          </w:p>
        </w:tc>
        <w:tc>
          <w:tcPr>
            <w:tcW w:w="1373" w:type="dxa"/>
            <w:vAlign w:val="center"/>
          </w:tcPr>
          <w:p w14:paraId="3FEF2D11">
            <w:pPr>
              <w:widowControl w:val="0"/>
              <w:jc w:val="center"/>
              <w:rPr>
                <w:color w:val="auto"/>
                <w:sz w:val="21"/>
                <w:szCs w:val="21"/>
              </w:rPr>
            </w:pPr>
            <w:r>
              <w:rPr>
                <w:color w:val="auto"/>
                <w:sz w:val="21"/>
                <w:szCs w:val="21"/>
              </w:rPr>
              <w:t xml:space="preserve">4.16 </w:t>
            </w:r>
          </w:p>
        </w:tc>
        <w:tc>
          <w:tcPr>
            <w:tcW w:w="1177" w:type="dxa"/>
            <w:vAlign w:val="center"/>
          </w:tcPr>
          <w:p w14:paraId="55A0AC82">
            <w:pPr>
              <w:widowControl w:val="0"/>
              <w:jc w:val="center"/>
              <w:rPr>
                <w:color w:val="auto"/>
                <w:sz w:val="21"/>
                <w:szCs w:val="21"/>
              </w:rPr>
            </w:pPr>
            <w:r>
              <w:rPr>
                <w:color w:val="auto"/>
                <w:sz w:val="21"/>
                <w:szCs w:val="21"/>
              </w:rPr>
              <w:t>0.145</w:t>
            </w:r>
          </w:p>
        </w:tc>
        <w:tc>
          <w:tcPr>
            <w:tcW w:w="1274" w:type="dxa"/>
            <w:vAlign w:val="center"/>
          </w:tcPr>
          <w:p w14:paraId="1006CE12">
            <w:pPr>
              <w:widowControl w:val="0"/>
              <w:jc w:val="center"/>
              <w:rPr>
                <w:color w:val="auto"/>
                <w:sz w:val="21"/>
                <w:szCs w:val="21"/>
              </w:rPr>
            </w:pPr>
            <w:r>
              <w:rPr>
                <w:color w:val="auto"/>
                <w:sz w:val="21"/>
                <w:szCs w:val="21"/>
              </w:rPr>
              <w:t>1.16</w:t>
            </w:r>
          </w:p>
        </w:tc>
        <w:tc>
          <w:tcPr>
            <w:tcW w:w="3363" w:type="dxa"/>
            <w:gridSpan w:val="4"/>
            <w:vMerge w:val="continue"/>
            <w:vAlign w:val="center"/>
          </w:tcPr>
          <w:p w14:paraId="701C5005">
            <w:pPr>
              <w:widowControl w:val="0"/>
              <w:jc w:val="center"/>
              <w:rPr>
                <w:color w:val="auto"/>
                <w:sz w:val="21"/>
                <w:szCs w:val="21"/>
              </w:rPr>
            </w:pPr>
          </w:p>
        </w:tc>
        <w:tc>
          <w:tcPr>
            <w:tcW w:w="1538" w:type="dxa"/>
            <w:vMerge w:val="continue"/>
            <w:vAlign w:val="center"/>
          </w:tcPr>
          <w:p w14:paraId="0936B499">
            <w:pPr>
              <w:widowControl w:val="0"/>
              <w:jc w:val="center"/>
              <w:rPr>
                <w:color w:val="auto"/>
                <w:sz w:val="21"/>
                <w:szCs w:val="21"/>
              </w:rPr>
            </w:pPr>
          </w:p>
        </w:tc>
      </w:tr>
      <w:tr w14:paraId="4B5CA1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Align w:val="center"/>
          </w:tcPr>
          <w:p w14:paraId="2D840DB0">
            <w:pPr>
              <w:widowControl w:val="0"/>
              <w:jc w:val="center"/>
              <w:rPr>
                <w:color w:val="auto"/>
                <w:sz w:val="21"/>
                <w:szCs w:val="21"/>
              </w:rPr>
            </w:pPr>
            <w:r>
              <w:rPr>
                <w:color w:val="auto"/>
                <w:sz w:val="21"/>
                <w:szCs w:val="21"/>
              </w:rPr>
              <w:t>G</w:t>
            </w:r>
            <w:r>
              <w:rPr>
                <w:color w:val="auto"/>
                <w:sz w:val="21"/>
                <w:szCs w:val="21"/>
                <w:vertAlign w:val="subscript"/>
              </w:rPr>
              <w:t>8</w:t>
            </w:r>
          </w:p>
        </w:tc>
        <w:tc>
          <w:tcPr>
            <w:tcW w:w="1540" w:type="dxa"/>
            <w:vAlign w:val="center"/>
          </w:tcPr>
          <w:p w14:paraId="3E0DF360">
            <w:pPr>
              <w:widowControl w:val="0"/>
              <w:jc w:val="center"/>
              <w:rPr>
                <w:color w:val="auto"/>
                <w:sz w:val="21"/>
                <w:szCs w:val="21"/>
              </w:rPr>
            </w:pPr>
            <w:r>
              <w:rPr>
                <w:color w:val="auto"/>
                <w:sz w:val="21"/>
                <w:szCs w:val="21"/>
              </w:rPr>
              <w:t>水铝石包装</w:t>
            </w:r>
          </w:p>
        </w:tc>
        <w:tc>
          <w:tcPr>
            <w:tcW w:w="1358" w:type="dxa"/>
            <w:vAlign w:val="center"/>
          </w:tcPr>
          <w:p w14:paraId="383E8CEE">
            <w:pPr>
              <w:widowControl w:val="0"/>
              <w:jc w:val="center"/>
              <w:rPr>
                <w:color w:val="auto"/>
                <w:sz w:val="21"/>
                <w:szCs w:val="21"/>
              </w:rPr>
            </w:pPr>
            <w:r>
              <w:rPr>
                <w:color w:val="auto"/>
                <w:sz w:val="21"/>
                <w:szCs w:val="21"/>
              </w:rPr>
              <w:t>颗粒物</w:t>
            </w:r>
          </w:p>
        </w:tc>
        <w:tc>
          <w:tcPr>
            <w:tcW w:w="1470" w:type="dxa"/>
            <w:vAlign w:val="center"/>
          </w:tcPr>
          <w:p w14:paraId="52B1653F">
            <w:pPr>
              <w:widowControl w:val="0"/>
              <w:jc w:val="center"/>
              <w:rPr>
                <w:color w:val="auto"/>
                <w:sz w:val="21"/>
                <w:szCs w:val="21"/>
              </w:rPr>
            </w:pPr>
            <w:r>
              <w:rPr>
                <w:color w:val="auto"/>
                <w:sz w:val="21"/>
                <w:szCs w:val="21"/>
              </w:rPr>
              <w:t>物料衡算法</w:t>
            </w:r>
          </w:p>
        </w:tc>
        <w:tc>
          <w:tcPr>
            <w:tcW w:w="1133" w:type="dxa"/>
            <w:vAlign w:val="center"/>
          </w:tcPr>
          <w:p w14:paraId="7A85F31B">
            <w:pPr>
              <w:widowControl w:val="0"/>
              <w:jc w:val="center"/>
              <w:rPr>
                <w:color w:val="auto"/>
                <w:sz w:val="21"/>
                <w:szCs w:val="21"/>
              </w:rPr>
            </w:pPr>
            <w:r>
              <w:rPr>
                <w:color w:val="auto"/>
                <w:sz w:val="21"/>
                <w:szCs w:val="21"/>
              </w:rPr>
              <w:t>1000</w:t>
            </w:r>
          </w:p>
        </w:tc>
        <w:tc>
          <w:tcPr>
            <w:tcW w:w="1417" w:type="dxa"/>
            <w:vAlign w:val="center"/>
          </w:tcPr>
          <w:p w14:paraId="7FCC4F1C">
            <w:pPr>
              <w:widowControl w:val="0"/>
              <w:jc w:val="center"/>
              <w:rPr>
                <w:color w:val="auto"/>
                <w:sz w:val="21"/>
                <w:szCs w:val="21"/>
              </w:rPr>
            </w:pPr>
            <w:r>
              <w:rPr>
                <w:color w:val="auto"/>
                <w:sz w:val="21"/>
                <w:szCs w:val="21"/>
              </w:rPr>
              <w:t xml:space="preserve">2968.39 </w:t>
            </w:r>
          </w:p>
        </w:tc>
        <w:tc>
          <w:tcPr>
            <w:tcW w:w="1275" w:type="dxa"/>
            <w:vAlign w:val="center"/>
          </w:tcPr>
          <w:p w14:paraId="5C03F28F">
            <w:pPr>
              <w:widowControl w:val="0"/>
              <w:jc w:val="center"/>
              <w:rPr>
                <w:color w:val="auto"/>
                <w:sz w:val="21"/>
                <w:szCs w:val="21"/>
              </w:rPr>
            </w:pPr>
            <w:r>
              <w:rPr>
                <w:color w:val="auto"/>
                <w:sz w:val="21"/>
                <w:szCs w:val="21"/>
              </w:rPr>
              <w:t>2.97</w:t>
            </w:r>
          </w:p>
        </w:tc>
        <w:tc>
          <w:tcPr>
            <w:tcW w:w="1133" w:type="dxa"/>
            <w:vAlign w:val="center"/>
          </w:tcPr>
          <w:p w14:paraId="1E7D4EDD">
            <w:pPr>
              <w:widowControl w:val="0"/>
              <w:jc w:val="center"/>
              <w:rPr>
                <w:color w:val="auto"/>
                <w:sz w:val="21"/>
                <w:szCs w:val="21"/>
              </w:rPr>
            </w:pPr>
            <w:r>
              <w:rPr>
                <w:color w:val="auto"/>
                <w:sz w:val="21"/>
                <w:szCs w:val="21"/>
              </w:rPr>
              <w:t>23.75</w:t>
            </w:r>
          </w:p>
        </w:tc>
        <w:tc>
          <w:tcPr>
            <w:tcW w:w="1523" w:type="dxa"/>
            <w:vAlign w:val="center"/>
          </w:tcPr>
          <w:p w14:paraId="484731E0">
            <w:pPr>
              <w:widowControl w:val="0"/>
              <w:jc w:val="center"/>
              <w:rPr>
                <w:color w:val="auto"/>
                <w:sz w:val="21"/>
                <w:szCs w:val="21"/>
              </w:rPr>
            </w:pPr>
            <w:r>
              <w:rPr>
                <w:color w:val="auto"/>
                <w:sz w:val="21"/>
                <w:szCs w:val="21"/>
              </w:rPr>
              <w:t>布袋除尘器</w:t>
            </w:r>
          </w:p>
        </w:tc>
        <w:tc>
          <w:tcPr>
            <w:tcW w:w="1025" w:type="dxa"/>
            <w:vAlign w:val="center"/>
          </w:tcPr>
          <w:p w14:paraId="6E51440D">
            <w:pPr>
              <w:widowControl w:val="0"/>
              <w:jc w:val="center"/>
              <w:rPr>
                <w:color w:val="auto"/>
                <w:sz w:val="21"/>
                <w:szCs w:val="21"/>
              </w:rPr>
            </w:pPr>
            <w:r>
              <w:rPr>
                <w:color w:val="auto"/>
                <w:sz w:val="21"/>
                <w:szCs w:val="21"/>
              </w:rPr>
              <w:t>99.80%</w:t>
            </w:r>
          </w:p>
        </w:tc>
        <w:tc>
          <w:tcPr>
            <w:tcW w:w="1373" w:type="dxa"/>
            <w:vAlign w:val="center"/>
          </w:tcPr>
          <w:p w14:paraId="3EAC9338">
            <w:pPr>
              <w:widowControl w:val="0"/>
              <w:jc w:val="center"/>
              <w:rPr>
                <w:color w:val="auto"/>
                <w:sz w:val="21"/>
                <w:szCs w:val="21"/>
              </w:rPr>
            </w:pPr>
            <w:r>
              <w:rPr>
                <w:color w:val="auto"/>
                <w:sz w:val="21"/>
                <w:szCs w:val="21"/>
              </w:rPr>
              <w:t xml:space="preserve">5.9 </w:t>
            </w:r>
          </w:p>
        </w:tc>
        <w:tc>
          <w:tcPr>
            <w:tcW w:w="1177" w:type="dxa"/>
            <w:vAlign w:val="center"/>
          </w:tcPr>
          <w:p w14:paraId="7D98A5C7">
            <w:pPr>
              <w:widowControl w:val="0"/>
              <w:jc w:val="center"/>
              <w:rPr>
                <w:color w:val="auto"/>
                <w:sz w:val="21"/>
                <w:szCs w:val="21"/>
              </w:rPr>
            </w:pPr>
            <w:r>
              <w:rPr>
                <w:color w:val="auto"/>
                <w:sz w:val="21"/>
                <w:szCs w:val="21"/>
              </w:rPr>
              <w:t>0.006</w:t>
            </w:r>
          </w:p>
        </w:tc>
        <w:tc>
          <w:tcPr>
            <w:tcW w:w="1274" w:type="dxa"/>
            <w:vAlign w:val="center"/>
          </w:tcPr>
          <w:p w14:paraId="641CCCB6">
            <w:pPr>
              <w:widowControl w:val="0"/>
              <w:jc w:val="center"/>
              <w:rPr>
                <w:color w:val="auto"/>
                <w:sz w:val="21"/>
                <w:szCs w:val="21"/>
              </w:rPr>
            </w:pPr>
            <w:r>
              <w:rPr>
                <w:color w:val="auto"/>
                <w:sz w:val="21"/>
                <w:szCs w:val="21"/>
              </w:rPr>
              <w:t>0.05</w:t>
            </w:r>
          </w:p>
        </w:tc>
        <w:tc>
          <w:tcPr>
            <w:tcW w:w="3363" w:type="dxa"/>
            <w:gridSpan w:val="4"/>
            <w:vMerge w:val="continue"/>
            <w:vAlign w:val="center"/>
          </w:tcPr>
          <w:p w14:paraId="3FE6410D">
            <w:pPr>
              <w:widowControl w:val="0"/>
              <w:jc w:val="center"/>
              <w:rPr>
                <w:color w:val="auto"/>
                <w:sz w:val="21"/>
                <w:szCs w:val="21"/>
              </w:rPr>
            </w:pPr>
          </w:p>
        </w:tc>
        <w:tc>
          <w:tcPr>
            <w:tcW w:w="1538" w:type="dxa"/>
            <w:vAlign w:val="center"/>
          </w:tcPr>
          <w:p w14:paraId="7F5A6EE1">
            <w:pPr>
              <w:widowControl w:val="0"/>
              <w:jc w:val="center"/>
              <w:rPr>
                <w:color w:val="auto"/>
                <w:sz w:val="21"/>
                <w:szCs w:val="21"/>
              </w:rPr>
            </w:pPr>
            <w:r>
              <w:rPr>
                <w:color w:val="auto"/>
                <w:sz w:val="21"/>
                <w:szCs w:val="21"/>
              </w:rPr>
              <w:t>8000</w:t>
            </w:r>
          </w:p>
        </w:tc>
      </w:tr>
      <w:tr w14:paraId="587C3CC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3BB81D40">
            <w:pPr>
              <w:widowControl w:val="0"/>
              <w:jc w:val="center"/>
              <w:rPr>
                <w:color w:val="auto"/>
                <w:sz w:val="21"/>
                <w:szCs w:val="21"/>
              </w:rPr>
            </w:pPr>
          </w:p>
        </w:tc>
        <w:tc>
          <w:tcPr>
            <w:tcW w:w="1540" w:type="dxa"/>
            <w:vMerge w:val="restart"/>
            <w:vAlign w:val="center"/>
          </w:tcPr>
          <w:p w14:paraId="2146E9AF">
            <w:pPr>
              <w:widowControl w:val="0"/>
              <w:jc w:val="center"/>
              <w:rPr>
                <w:color w:val="auto"/>
                <w:sz w:val="21"/>
                <w:szCs w:val="21"/>
              </w:rPr>
            </w:pPr>
            <w:r>
              <w:rPr>
                <w:color w:val="auto"/>
                <w:sz w:val="21"/>
                <w:szCs w:val="21"/>
              </w:rPr>
              <w:t>水铝石干燥包装排口（DA005)</w:t>
            </w:r>
          </w:p>
        </w:tc>
        <w:tc>
          <w:tcPr>
            <w:tcW w:w="1358" w:type="dxa"/>
            <w:vAlign w:val="center"/>
          </w:tcPr>
          <w:p w14:paraId="387F925A">
            <w:pPr>
              <w:widowControl w:val="0"/>
              <w:jc w:val="center"/>
              <w:rPr>
                <w:color w:val="auto"/>
                <w:sz w:val="21"/>
                <w:szCs w:val="21"/>
              </w:rPr>
            </w:pPr>
            <w:r>
              <w:rPr>
                <w:color w:val="auto"/>
                <w:sz w:val="21"/>
                <w:szCs w:val="21"/>
              </w:rPr>
              <w:t>颗粒物</w:t>
            </w:r>
          </w:p>
        </w:tc>
        <w:tc>
          <w:tcPr>
            <w:tcW w:w="1470" w:type="dxa"/>
            <w:vAlign w:val="center"/>
          </w:tcPr>
          <w:p w14:paraId="111E4DE1">
            <w:pPr>
              <w:widowControl w:val="0"/>
              <w:jc w:val="center"/>
              <w:rPr>
                <w:color w:val="auto"/>
                <w:sz w:val="21"/>
                <w:szCs w:val="21"/>
              </w:rPr>
            </w:pPr>
            <w:r>
              <w:rPr>
                <w:color w:val="auto"/>
                <w:sz w:val="21"/>
                <w:szCs w:val="21"/>
              </w:rPr>
              <w:t>物料衡算法</w:t>
            </w:r>
          </w:p>
        </w:tc>
        <w:tc>
          <w:tcPr>
            <w:tcW w:w="1133" w:type="dxa"/>
            <w:vMerge w:val="restart"/>
            <w:vAlign w:val="center"/>
          </w:tcPr>
          <w:p w14:paraId="529E79A5">
            <w:pPr>
              <w:widowControl w:val="0"/>
              <w:jc w:val="center"/>
              <w:rPr>
                <w:color w:val="auto"/>
                <w:sz w:val="21"/>
                <w:szCs w:val="21"/>
              </w:rPr>
            </w:pPr>
            <w:r>
              <w:rPr>
                <w:color w:val="auto"/>
                <w:sz w:val="21"/>
                <w:szCs w:val="21"/>
              </w:rPr>
              <w:t>36000</w:t>
            </w:r>
          </w:p>
        </w:tc>
        <w:tc>
          <w:tcPr>
            <w:tcW w:w="1417" w:type="dxa"/>
            <w:vAlign w:val="center"/>
          </w:tcPr>
          <w:p w14:paraId="24AD7EAB">
            <w:pPr>
              <w:widowControl w:val="0"/>
              <w:jc w:val="center"/>
              <w:rPr>
                <w:color w:val="auto"/>
                <w:sz w:val="21"/>
                <w:szCs w:val="21"/>
              </w:rPr>
            </w:pPr>
            <w:r>
              <w:rPr>
                <w:color w:val="auto"/>
                <w:sz w:val="21"/>
                <w:szCs w:val="21"/>
              </w:rPr>
              <w:t>/</w:t>
            </w:r>
          </w:p>
        </w:tc>
        <w:tc>
          <w:tcPr>
            <w:tcW w:w="1275" w:type="dxa"/>
            <w:vAlign w:val="center"/>
          </w:tcPr>
          <w:p w14:paraId="2EE123CA">
            <w:pPr>
              <w:widowControl w:val="0"/>
              <w:jc w:val="center"/>
              <w:rPr>
                <w:color w:val="auto"/>
                <w:sz w:val="21"/>
                <w:szCs w:val="21"/>
              </w:rPr>
            </w:pPr>
            <w:r>
              <w:rPr>
                <w:color w:val="auto"/>
                <w:sz w:val="21"/>
                <w:szCs w:val="21"/>
              </w:rPr>
              <w:t>/</w:t>
            </w:r>
          </w:p>
        </w:tc>
        <w:tc>
          <w:tcPr>
            <w:tcW w:w="1133" w:type="dxa"/>
            <w:vAlign w:val="center"/>
          </w:tcPr>
          <w:p w14:paraId="0E26C2AB">
            <w:pPr>
              <w:widowControl w:val="0"/>
              <w:jc w:val="center"/>
              <w:rPr>
                <w:color w:val="auto"/>
                <w:sz w:val="21"/>
                <w:szCs w:val="21"/>
              </w:rPr>
            </w:pPr>
            <w:r>
              <w:rPr>
                <w:color w:val="auto"/>
                <w:sz w:val="21"/>
                <w:szCs w:val="21"/>
              </w:rPr>
              <w:t>/</w:t>
            </w:r>
          </w:p>
        </w:tc>
        <w:tc>
          <w:tcPr>
            <w:tcW w:w="1523" w:type="dxa"/>
            <w:vMerge w:val="restart"/>
            <w:vAlign w:val="center"/>
          </w:tcPr>
          <w:p w14:paraId="0006DC23">
            <w:pPr>
              <w:widowControl w:val="0"/>
              <w:jc w:val="center"/>
              <w:rPr>
                <w:color w:val="auto"/>
                <w:sz w:val="21"/>
                <w:szCs w:val="21"/>
              </w:rPr>
            </w:pPr>
            <w:r>
              <w:rPr>
                <w:color w:val="auto"/>
                <w:sz w:val="21"/>
                <w:szCs w:val="21"/>
              </w:rPr>
              <w:t>/</w:t>
            </w:r>
          </w:p>
        </w:tc>
        <w:tc>
          <w:tcPr>
            <w:tcW w:w="1025" w:type="dxa"/>
            <w:vAlign w:val="center"/>
          </w:tcPr>
          <w:p w14:paraId="2237DF2B">
            <w:pPr>
              <w:widowControl w:val="0"/>
              <w:jc w:val="center"/>
              <w:rPr>
                <w:color w:val="auto"/>
                <w:sz w:val="21"/>
                <w:szCs w:val="21"/>
              </w:rPr>
            </w:pPr>
            <w:r>
              <w:rPr>
                <w:color w:val="auto"/>
                <w:sz w:val="21"/>
                <w:szCs w:val="21"/>
              </w:rPr>
              <w:t>/</w:t>
            </w:r>
          </w:p>
        </w:tc>
        <w:tc>
          <w:tcPr>
            <w:tcW w:w="1373" w:type="dxa"/>
            <w:vAlign w:val="center"/>
          </w:tcPr>
          <w:p w14:paraId="54792DCB">
            <w:pPr>
              <w:widowControl w:val="0"/>
              <w:jc w:val="center"/>
              <w:rPr>
                <w:color w:val="auto"/>
                <w:sz w:val="21"/>
                <w:szCs w:val="21"/>
              </w:rPr>
            </w:pPr>
            <w:r>
              <w:rPr>
                <w:color w:val="auto"/>
                <w:sz w:val="21"/>
                <w:szCs w:val="21"/>
              </w:rPr>
              <w:t xml:space="preserve">3.5 </w:t>
            </w:r>
          </w:p>
        </w:tc>
        <w:tc>
          <w:tcPr>
            <w:tcW w:w="1177" w:type="dxa"/>
            <w:vAlign w:val="center"/>
          </w:tcPr>
          <w:p w14:paraId="47DE9C90">
            <w:pPr>
              <w:widowControl w:val="0"/>
              <w:jc w:val="center"/>
              <w:rPr>
                <w:color w:val="auto"/>
                <w:sz w:val="21"/>
                <w:szCs w:val="21"/>
              </w:rPr>
            </w:pPr>
            <w:r>
              <w:rPr>
                <w:color w:val="auto"/>
                <w:sz w:val="21"/>
                <w:szCs w:val="21"/>
              </w:rPr>
              <w:t>0.12</w:t>
            </w:r>
          </w:p>
        </w:tc>
        <w:tc>
          <w:tcPr>
            <w:tcW w:w="1274" w:type="dxa"/>
            <w:vAlign w:val="center"/>
          </w:tcPr>
          <w:p w14:paraId="422915A8">
            <w:pPr>
              <w:widowControl w:val="0"/>
              <w:jc w:val="center"/>
              <w:rPr>
                <w:color w:val="auto"/>
                <w:sz w:val="21"/>
                <w:szCs w:val="21"/>
              </w:rPr>
            </w:pPr>
            <w:r>
              <w:rPr>
                <w:color w:val="auto"/>
                <w:sz w:val="21"/>
                <w:szCs w:val="21"/>
              </w:rPr>
              <w:t>1.00</w:t>
            </w:r>
          </w:p>
        </w:tc>
        <w:tc>
          <w:tcPr>
            <w:tcW w:w="946" w:type="dxa"/>
            <w:vMerge w:val="restart"/>
            <w:vAlign w:val="center"/>
          </w:tcPr>
          <w:p w14:paraId="3D30A39A">
            <w:pPr>
              <w:widowControl w:val="0"/>
              <w:jc w:val="center"/>
              <w:rPr>
                <w:color w:val="auto"/>
                <w:sz w:val="21"/>
                <w:szCs w:val="21"/>
              </w:rPr>
            </w:pPr>
            <w:r>
              <w:rPr>
                <w:color w:val="auto"/>
                <w:sz w:val="21"/>
                <w:szCs w:val="21"/>
              </w:rPr>
              <w:t>DA005</w:t>
            </w:r>
          </w:p>
        </w:tc>
        <w:tc>
          <w:tcPr>
            <w:tcW w:w="959" w:type="dxa"/>
            <w:vMerge w:val="restart"/>
            <w:vAlign w:val="center"/>
          </w:tcPr>
          <w:p w14:paraId="0E010F0F">
            <w:pPr>
              <w:widowControl w:val="0"/>
              <w:jc w:val="center"/>
              <w:rPr>
                <w:color w:val="auto"/>
                <w:sz w:val="21"/>
                <w:szCs w:val="21"/>
              </w:rPr>
            </w:pPr>
            <w:r>
              <w:rPr>
                <w:color w:val="auto"/>
                <w:sz w:val="21"/>
                <w:szCs w:val="21"/>
              </w:rPr>
              <w:t>40.0</w:t>
            </w:r>
          </w:p>
        </w:tc>
        <w:tc>
          <w:tcPr>
            <w:tcW w:w="759" w:type="dxa"/>
            <w:vMerge w:val="restart"/>
            <w:vAlign w:val="center"/>
          </w:tcPr>
          <w:p w14:paraId="59AB6A32">
            <w:pPr>
              <w:widowControl w:val="0"/>
              <w:jc w:val="center"/>
              <w:rPr>
                <w:color w:val="auto"/>
                <w:sz w:val="21"/>
                <w:szCs w:val="21"/>
              </w:rPr>
            </w:pPr>
            <w:r>
              <w:rPr>
                <w:color w:val="auto"/>
                <w:sz w:val="21"/>
                <w:szCs w:val="21"/>
              </w:rPr>
              <w:t>17.0</w:t>
            </w:r>
          </w:p>
        </w:tc>
        <w:tc>
          <w:tcPr>
            <w:tcW w:w="699" w:type="dxa"/>
            <w:vMerge w:val="restart"/>
            <w:vAlign w:val="center"/>
          </w:tcPr>
          <w:p w14:paraId="2015DF66">
            <w:pPr>
              <w:widowControl w:val="0"/>
              <w:jc w:val="center"/>
              <w:rPr>
                <w:color w:val="auto"/>
                <w:sz w:val="21"/>
                <w:szCs w:val="21"/>
              </w:rPr>
            </w:pPr>
            <w:r>
              <w:rPr>
                <w:color w:val="auto"/>
                <w:sz w:val="21"/>
                <w:szCs w:val="21"/>
              </w:rPr>
              <w:t>1.4</w:t>
            </w:r>
          </w:p>
        </w:tc>
        <w:tc>
          <w:tcPr>
            <w:tcW w:w="1538" w:type="dxa"/>
            <w:vMerge w:val="restart"/>
            <w:vAlign w:val="center"/>
          </w:tcPr>
          <w:p w14:paraId="022820BA">
            <w:pPr>
              <w:widowControl w:val="0"/>
              <w:jc w:val="center"/>
              <w:rPr>
                <w:color w:val="auto"/>
                <w:sz w:val="21"/>
                <w:szCs w:val="21"/>
              </w:rPr>
            </w:pPr>
            <w:r>
              <w:rPr>
                <w:color w:val="auto"/>
                <w:sz w:val="21"/>
                <w:szCs w:val="21"/>
              </w:rPr>
              <w:t>8000</w:t>
            </w:r>
          </w:p>
        </w:tc>
      </w:tr>
      <w:tr w14:paraId="0F3E357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3134D439">
            <w:pPr>
              <w:widowControl w:val="0"/>
              <w:jc w:val="center"/>
              <w:rPr>
                <w:color w:val="auto"/>
                <w:sz w:val="21"/>
                <w:szCs w:val="21"/>
              </w:rPr>
            </w:pPr>
          </w:p>
        </w:tc>
        <w:tc>
          <w:tcPr>
            <w:tcW w:w="1540" w:type="dxa"/>
            <w:vMerge w:val="continue"/>
            <w:vAlign w:val="center"/>
          </w:tcPr>
          <w:p w14:paraId="52BE5A16">
            <w:pPr>
              <w:widowControl w:val="0"/>
              <w:jc w:val="center"/>
              <w:rPr>
                <w:color w:val="auto"/>
                <w:sz w:val="21"/>
                <w:szCs w:val="21"/>
              </w:rPr>
            </w:pPr>
          </w:p>
        </w:tc>
        <w:tc>
          <w:tcPr>
            <w:tcW w:w="1358" w:type="dxa"/>
            <w:vAlign w:val="center"/>
          </w:tcPr>
          <w:p w14:paraId="6B92CD7D">
            <w:pPr>
              <w:widowControl w:val="0"/>
              <w:jc w:val="center"/>
              <w:rPr>
                <w:color w:val="auto"/>
                <w:sz w:val="21"/>
                <w:szCs w:val="21"/>
              </w:rPr>
            </w:pPr>
            <w:r>
              <w:rPr>
                <w:color w:val="auto"/>
                <w:sz w:val="21"/>
                <w:szCs w:val="21"/>
              </w:rPr>
              <w:t>SO</w:t>
            </w:r>
            <w:r>
              <w:rPr>
                <w:color w:val="auto"/>
                <w:sz w:val="21"/>
                <w:szCs w:val="21"/>
                <w:vertAlign w:val="subscript"/>
              </w:rPr>
              <w:t>2</w:t>
            </w:r>
          </w:p>
        </w:tc>
        <w:tc>
          <w:tcPr>
            <w:tcW w:w="1470" w:type="dxa"/>
            <w:vAlign w:val="center"/>
          </w:tcPr>
          <w:p w14:paraId="79E229E5">
            <w:pPr>
              <w:widowControl w:val="0"/>
              <w:jc w:val="center"/>
              <w:rPr>
                <w:color w:val="auto"/>
                <w:sz w:val="21"/>
                <w:szCs w:val="21"/>
              </w:rPr>
            </w:pPr>
            <w:r>
              <w:rPr>
                <w:color w:val="auto"/>
                <w:sz w:val="21"/>
                <w:szCs w:val="21"/>
              </w:rPr>
              <w:t>物料衡算法</w:t>
            </w:r>
          </w:p>
        </w:tc>
        <w:tc>
          <w:tcPr>
            <w:tcW w:w="1133" w:type="dxa"/>
            <w:vMerge w:val="continue"/>
            <w:vAlign w:val="center"/>
          </w:tcPr>
          <w:p w14:paraId="746E2F33">
            <w:pPr>
              <w:widowControl w:val="0"/>
              <w:jc w:val="center"/>
              <w:rPr>
                <w:color w:val="auto"/>
                <w:sz w:val="21"/>
                <w:szCs w:val="21"/>
              </w:rPr>
            </w:pPr>
          </w:p>
        </w:tc>
        <w:tc>
          <w:tcPr>
            <w:tcW w:w="1417" w:type="dxa"/>
            <w:vAlign w:val="center"/>
          </w:tcPr>
          <w:p w14:paraId="42159EDB">
            <w:pPr>
              <w:widowControl w:val="0"/>
              <w:jc w:val="center"/>
              <w:rPr>
                <w:color w:val="auto"/>
                <w:sz w:val="21"/>
                <w:szCs w:val="21"/>
              </w:rPr>
            </w:pPr>
            <w:r>
              <w:rPr>
                <w:color w:val="auto"/>
                <w:sz w:val="21"/>
                <w:szCs w:val="21"/>
              </w:rPr>
              <w:t>/</w:t>
            </w:r>
          </w:p>
        </w:tc>
        <w:tc>
          <w:tcPr>
            <w:tcW w:w="1275" w:type="dxa"/>
            <w:vAlign w:val="center"/>
          </w:tcPr>
          <w:p w14:paraId="527BFD9E">
            <w:pPr>
              <w:widowControl w:val="0"/>
              <w:jc w:val="center"/>
              <w:rPr>
                <w:color w:val="auto"/>
                <w:sz w:val="21"/>
                <w:szCs w:val="21"/>
              </w:rPr>
            </w:pPr>
            <w:r>
              <w:rPr>
                <w:color w:val="auto"/>
                <w:sz w:val="21"/>
                <w:szCs w:val="21"/>
              </w:rPr>
              <w:t>/</w:t>
            </w:r>
          </w:p>
        </w:tc>
        <w:tc>
          <w:tcPr>
            <w:tcW w:w="1133" w:type="dxa"/>
            <w:vAlign w:val="center"/>
          </w:tcPr>
          <w:p w14:paraId="79BD69DE">
            <w:pPr>
              <w:widowControl w:val="0"/>
              <w:jc w:val="center"/>
              <w:rPr>
                <w:color w:val="auto"/>
                <w:sz w:val="21"/>
                <w:szCs w:val="21"/>
              </w:rPr>
            </w:pPr>
            <w:r>
              <w:rPr>
                <w:color w:val="auto"/>
                <w:sz w:val="21"/>
                <w:szCs w:val="21"/>
              </w:rPr>
              <w:t>/</w:t>
            </w:r>
          </w:p>
        </w:tc>
        <w:tc>
          <w:tcPr>
            <w:tcW w:w="1523" w:type="dxa"/>
            <w:vMerge w:val="continue"/>
            <w:vAlign w:val="center"/>
          </w:tcPr>
          <w:p w14:paraId="729350D2">
            <w:pPr>
              <w:widowControl w:val="0"/>
              <w:jc w:val="center"/>
              <w:rPr>
                <w:color w:val="auto"/>
                <w:sz w:val="21"/>
                <w:szCs w:val="21"/>
              </w:rPr>
            </w:pPr>
          </w:p>
        </w:tc>
        <w:tc>
          <w:tcPr>
            <w:tcW w:w="1025" w:type="dxa"/>
            <w:vAlign w:val="center"/>
          </w:tcPr>
          <w:p w14:paraId="18908D24">
            <w:pPr>
              <w:widowControl w:val="0"/>
              <w:jc w:val="center"/>
              <w:rPr>
                <w:color w:val="auto"/>
                <w:sz w:val="21"/>
                <w:szCs w:val="21"/>
              </w:rPr>
            </w:pPr>
            <w:r>
              <w:rPr>
                <w:color w:val="auto"/>
                <w:sz w:val="21"/>
                <w:szCs w:val="21"/>
              </w:rPr>
              <w:t>/</w:t>
            </w:r>
          </w:p>
        </w:tc>
        <w:tc>
          <w:tcPr>
            <w:tcW w:w="1373" w:type="dxa"/>
            <w:vAlign w:val="center"/>
          </w:tcPr>
          <w:p w14:paraId="7C835380">
            <w:pPr>
              <w:widowControl w:val="0"/>
              <w:jc w:val="center"/>
              <w:rPr>
                <w:color w:val="auto"/>
                <w:sz w:val="21"/>
                <w:szCs w:val="21"/>
              </w:rPr>
            </w:pPr>
            <w:r>
              <w:rPr>
                <w:color w:val="auto"/>
                <w:sz w:val="21"/>
                <w:szCs w:val="21"/>
              </w:rPr>
              <w:t xml:space="preserve">0.3 </w:t>
            </w:r>
          </w:p>
        </w:tc>
        <w:tc>
          <w:tcPr>
            <w:tcW w:w="1177" w:type="dxa"/>
            <w:vAlign w:val="center"/>
          </w:tcPr>
          <w:p w14:paraId="552742E5">
            <w:pPr>
              <w:widowControl w:val="0"/>
              <w:jc w:val="center"/>
              <w:rPr>
                <w:color w:val="auto"/>
                <w:sz w:val="21"/>
                <w:szCs w:val="21"/>
              </w:rPr>
            </w:pPr>
            <w:r>
              <w:rPr>
                <w:color w:val="auto"/>
                <w:sz w:val="21"/>
                <w:szCs w:val="21"/>
              </w:rPr>
              <w:t>0.01</w:t>
            </w:r>
          </w:p>
        </w:tc>
        <w:tc>
          <w:tcPr>
            <w:tcW w:w="1274" w:type="dxa"/>
            <w:vAlign w:val="center"/>
          </w:tcPr>
          <w:p w14:paraId="5E3E2C86">
            <w:pPr>
              <w:widowControl w:val="0"/>
              <w:jc w:val="center"/>
              <w:rPr>
                <w:color w:val="auto"/>
                <w:sz w:val="21"/>
                <w:szCs w:val="21"/>
              </w:rPr>
            </w:pPr>
            <w:r>
              <w:rPr>
                <w:color w:val="auto"/>
                <w:sz w:val="21"/>
                <w:szCs w:val="21"/>
              </w:rPr>
              <w:t>0.095</w:t>
            </w:r>
          </w:p>
        </w:tc>
        <w:tc>
          <w:tcPr>
            <w:tcW w:w="946" w:type="dxa"/>
            <w:vMerge w:val="continue"/>
            <w:vAlign w:val="center"/>
          </w:tcPr>
          <w:p w14:paraId="123EE8A6">
            <w:pPr>
              <w:widowControl w:val="0"/>
              <w:jc w:val="center"/>
              <w:rPr>
                <w:color w:val="auto"/>
                <w:sz w:val="21"/>
                <w:szCs w:val="21"/>
              </w:rPr>
            </w:pPr>
          </w:p>
        </w:tc>
        <w:tc>
          <w:tcPr>
            <w:tcW w:w="959" w:type="dxa"/>
            <w:vMerge w:val="continue"/>
            <w:vAlign w:val="center"/>
          </w:tcPr>
          <w:p w14:paraId="126FE539">
            <w:pPr>
              <w:widowControl w:val="0"/>
              <w:jc w:val="center"/>
              <w:rPr>
                <w:color w:val="auto"/>
                <w:sz w:val="21"/>
                <w:szCs w:val="21"/>
              </w:rPr>
            </w:pPr>
          </w:p>
        </w:tc>
        <w:tc>
          <w:tcPr>
            <w:tcW w:w="759" w:type="dxa"/>
            <w:vMerge w:val="continue"/>
            <w:vAlign w:val="center"/>
          </w:tcPr>
          <w:p w14:paraId="69B98908">
            <w:pPr>
              <w:widowControl w:val="0"/>
              <w:jc w:val="center"/>
              <w:rPr>
                <w:color w:val="auto"/>
                <w:sz w:val="21"/>
                <w:szCs w:val="21"/>
              </w:rPr>
            </w:pPr>
          </w:p>
        </w:tc>
        <w:tc>
          <w:tcPr>
            <w:tcW w:w="699" w:type="dxa"/>
            <w:vMerge w:val="continue"/>
            <w:vAlign w:val="center"/>
          </w:tcPr>
          <w:p w14:paraId="0DCAE322">
            <w:pPr>
              <w:widowControl w:val="0"/>
              <w:jc w:val="center"/>
              <w:rPr>
                <w:color w:val="auto"/>
                <w:sz w:val="21"/>
                <w:szCs w:val="21"/>
              </w:rPr>
            </w:pPr>
          </w:p>
        </w:tc>
        <w:tc>
          <w:tcPr>
            <w:tcW w:w="1538" w:type="dxa"/>
            <w:vMerge w:val="continue"/>
            <w:vAlign w:val="center"/>
          </w:tcPr>
          <w:p w14:paraId="3B78400E">
            <w:pPr>
              <w:widowControl w:val="0"/>
              <w:jc w:val="center"/>
              <w:rPr>
                <w:color w:val="auto"/>
                <w:sz w:val="21"/>
                <w:szCs w:val="21"/>
              </w:rPr>
            </w:pPr>
          </w:p>
        </w:tc>
      </w:tr>
      <w:tr w14:paraId="3BD154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60963B5F">
            <w:pPr>
              <w:widowControl w:val="0"/>
              <w:jc w:val="center"/>
              <w:rPr>
                <w:color w:val="auto"/>
                <w:sz w:val="21"/>
                <w:szCs w:val="21"/>
              </w:rPr>
            </w:pPr>
          </w:p>
        </w:tc>
        <w:tc>
          <w:tcPr>
            <w:tcW w:w="1540" w:type="dxa"/>
            <w:vMerge w:val="continue"/>
            <w:vAlign w:val="center"/>
          </w:tcPr>
          <w:p w14:paraId="7E70923C">
            <w:pPr>
              <w:widowControl w:val="0"/>
              <w:jc w:val="center"/>
              <w:rPr>
                <w:color w:val="auto"/>
                <w:sz w:val="21"/>
                <w:szCs w:val="21"/>
              </w:rPr>
            </w:pPr>
          </w:p>
        </w:tc>
        <w:tc>
          <w:tcPr>
            <w:tcW w:w="1358" w:type="dxa"/>
            <w:vAlign w:val="center"/>
          </w:tcPr>
          <w:p w14:paraId="3FA70920">
            <w:pPr>
              <w:widowControl w:val="0"/>
              <w:jc w:val="center"/>
              <w:rPr>
                <w:color w:val="auto"/>
                <w:sz w:val="21"/>
                <w:szCs w:val="21"/>
              </w:rPr>
            </w:pPr>
            <w:r>
              <w:rPr>
                <w:color w:val="auto"/>
                <w:sz w:val="21"/>
                <w:szCs w:val="21"/>
              </w:rPr>
              <w:t>NO</w:t>
            </w:r>
            <w:r>
              <w:rPr>
                <w:color w:val="auto"/>
                <w:sz w:val="21"/>
                <w:szCs w:val="21"/>
                <w:vertAlign w:val="subscript"/>
              </w:rPr>
              <w:t>X</w:t>
            </w:r>
          </w:p>
        </w:tc>
        <w:tc>
          <w:tcPr>
            <w:tcW w:w="1470" w:type="dxa"/>
            <w:vAlign w:val="center"/>
          </w:tcPr>
          <w:p w14:paraId="0615D7E3">
            <w:pPr>
              <w:widowControl w:val="0"/>
              <w:jc w:val="center"/>
              <w:rPr>
                <w:color w:val="auto"/>
                <w:sz w:val="21"/>
                <w:szCs w:val="21"/>
              </w:rPr>
            </w:pPr>
            <w:r>
              <w:rPr>
                <w:color w:val="auto"/>
                <w:sz w:val="21"/>
                <w:szCs w:val="21"/>
              </w:rPr>
              <w:t>系数法</w:t>
            </w:r>
          </w:p>
        </w:tc>
        <w:tc>
          <w:tcPr>
            <w:tcW w:w="1133" w:type="dxa"/>
            <w:vMerge w:val="continue"/>
            <w:vAlign w:val="center"/>
          </w:tcPr>
          <w:p w14:paraId="0F07C8FA">
            <w:pPr>
              <w:widowControl w:val="0"/>
              <w:jc w:val="center"/>
              <w:rPr>
                <w:color w:val="auto"/>
                <w:sz w:val="21"/>
                <w:szCs w:val="21"/>
              </w:rPr>
            </w:pPr>
          </w:p>
        </w:tc>
        <w:tc>
          <w:tcPr>
            <w:tcW w:w="1417" w:type="dxa"/>
            <w:vAlign w:val="center"/>
          </w:tcPr>
          <w:p w14:paraId="38B5EA6C">
            <w:pPr>
              <w:widowControl w:val="0"/>
              <w:jc w:val="center"/>
              <w:rPr>
                <w:color w:val="auto"/>
                <w:sz w:val="21"/>
                <w:szCs w:val="21"/>
              </w:rPr>
            </w:pPr>
            <w:r>
              <w:rPr>
                <w:color w:val="auto"/>
                <w:sz w:val="21"/>
                <w:szCs w:val="21"/>
              </w:rPr>
              <w:t>/</w:t>
            </w:r>
          </w:p>
        </w:tc>
        <w:tc>
          <w:tcPr>
            <w:tcW w:w="1275" w:type="dxa"/>
            <w:vAlign w:val="center"/>
          </w:tcPr>
          <w:p w14:paraId="35EF15A4">
            <w:pPr>
              <w:widowControl w:val="0"/>
              <w:jc w:val="center"/>
              <w:rPr>
                <w:color w:val="auto"/>
                <w:sz w:val="21"/>
                <w:szCs w:val="21"/>
              </w:rPr>
            </w:pPr>
            <w:r>
              <w:rPr>
                <w:color w:val="auto"/>
                <w:sz w:val="21"/>
                <w:szCs w:val="21"/>
              </w:rPr>
              <w:t>/</w:t>
            </w:r>
          </w:p>
        </w:tc>
        <w:tc>
          <w:tcPr>
            <w:tcW w:w="1133" w:type="dxa"/>
            <w:vAlign w:val="center"/>
          </w:tcPr>
          <w:p w14:paraId="301DF757">
            <w:pPr>
              <w:widowControl w:val="0"/>
              <w:jc w:val="center"/>
              <w:rPr>
                <w:color w:val="auto"/>
                <w:sz w:val="21"/>
                <w:szCs w:val="21"/>
              </w:rPr>
            </w:pPr>
            <w:r>
              <w:rPr>
                <w:color w:val="auto"/>
                <w:sz w:val="21"/>
                <w:szCs w:val="21"/>
              </w:rPr>
              <w:t>/</w:t>
            </w:r>
          </w:p>
        </w:tc>
        <w:tc>
          <w:tcPr>
            <w:tcW w:w="1523" w:type="dxa"/>
            <w:vMerge w:val="continue"/>
            <w:vAlign w:val="center"/>
          </w:tcPr>
          <w:p w14:paraId="08A69861">
            <w:pPr>
              <w:widowControl w:val="0"/>
              <w:jc w:val="center"/>
              <w:rPr>
                <w:color w:val="auto"/>
                <w:sz w:val="21"/>
                <w:szCs w:val="21"/>
              </w:rPr>
            </w:pPr>
          </w:p>
        </w:tc>
        <w:tc>
          <w:tcPr>
            <w:tcW w:w="1025" w:type="dxa"/>
            <w:vAlign w:val="center"/>
          </w:tcPr>
          <w:p w14:paraId="7A30778F">
            <w:pPr>
              <w:widowControl w:val="0"/>
              <w:jc w:val="center"/>
              <w:rPr>
                <w:color w:val="auto"/>
                <w:sz w:val="21"/>
                <w:szCs w:val="21"/>
              </w:rPr>
            </w:pPr>
            <w:r>
              <w:rPr>
                <w:color w:val="auto"/>
                <w:sz w:val="21"/>
                <w:szCs w:val="21"/>
              </w:rPr>
              <w:t>/</w:t>
            </w:r>
          </w:p>
        </w:tc>
        <w:tc>
          <w:tcPr>
            <w:tcW w:w="1373" w:type="dxa"/>
            <w:vAlign w:val="center"/>
          </w:tcPr>
          <w:p w14:paraId="30679D3D">
            <w:pPr>
              <w:widowControl w:val="0"/>
              <w:jc w:val="center"/>
              <w:rPr>
                <w:color w:val="auto"/>
                <w:sz w:val="21"/>
                <w:szCs w:val="21"/>
              </w:rPr>
            </w:pPr>
            <w:r>
              <w:rPr>
                <w:color w:val="auto"/>
                <w:sz w:val="21"/>
                <w:szCs w:val="21"/>
              </w:rPr>
              <w:t xml:space="preserve">4.0 </w:t>
            </w:r>
          </w:p>
        </w:tc>
        <w:tc>
          <w:tcPr>
            <w:tcW w:w="1177" w:type="dxa"/>
            <w:vAlign w:val="center"/>
          </w:tcPr>
          <w:p w14:paraId="12080368">
            <w:pPr>
              <w:widowControl w:val="0"/>
              <w:jc w:val="center"/>
              <w:rPr>
                <w:color w:val="auto"/>
                <w:sz w:val="21"/>
                <w:szCs w:val="21"/>
              </w:rPr>
            </w:pPr>
            <w:r>
              <w:rPr>
                <w:color w:val="auto"/>
                <w:sz w:val="21"/>
                <w:szCs w:val="21"/>
              </w:rPr>
              <w:t>0.15</w:t>
            </w:r>
          </w:p>
        </w:tc>
        <w:tc>
          <w:tcPr>
            <w:tcW w:w="1274" w:type="dxa"/>
            <w:vAlign w:val="center"/>
          </w:tcPr>
          <w:p w14:paraId="587762E1">
            <w:pPr>
              <w:widowControl w:val="0"/>
              <w:jc w:val="center"/>
              <w:rPr>
                <w:color w:val="auto"/>
                <w:sz w:val="21"/>
                <w:szCs w:val="21"/>
              </w:rPr>
            </w:pPr>
            <w:r>
              <w:rPr>
                <w:color w:val="auto"/>
                <w:sz w:val="21"/>
                <w:szCs w:val="21"/>
              </w:rPr>
              <w:t>1.16</w:t>
            </w:r>
          </w:p>
        </w:tc>
        <w:tc>
          <w:tcPr>
            <w:tcW w:w="946" w:type="dxa"/>
            <w:vMerge w:val="continue"/>
            <w:vAlign w:val="center"/>
          </w:tcPr>
          <w:p w14:paraId="7719311E">
            <w:pPr>
              <w:widowControl w:val="0"/>
              <w:jc w:val="center"/>
              <w:rPr>
                <w:color w:val="auto"/>
                <w:sz w:val="21"/>
                <w:szCs w:val="21"/>
              </w:rPr>
            </w:pPr>
          </w:p>
        </w:tc>
        <w:tc>
          <w:tcPr>
            <w:tcW w:w="959" w:type="dxa"/>
            <w:vMerge w:val="continue"/>
            <w:vAlign w:val="center"/>
          </w:tcPr>
          <w:p w14:paraId="1C7E54DF">
            <w:pPr>
              <w:widowControl w:val="0"/>
              <w:jc w:val="center"/>
              <w:rPr>
                <w:color w:val="auto"/>
                <w:sz w:val="21"/>
                <w:szCs w:val="21"/>
              </w:rPr>
            </w:pPr>
          </w:p>
        </w:tc>
        <w:tc>
          <w:tcPr>
            <w:tcW w:w="759" w:type="dxa"/>
            <w:vMerge w:val="continue"/>
            <w:vAlign w:val="center"/>
          </w:tcPr>
          <w:p w14:paraId="358AA3FD">
            <w:pPr>
              <w:widowControl w:val="0"/>
              <w:jc w:val="center"/>
              <w:rPr>
                <w:color w:val="auto"/>
                <w:sz w:val="21"/>
                <w:szCs w:val="21"/>
              </w:rPr>
            </w:pPr>
          </w:p>
        </w:tc>
        <w:tc>
          <w:tcPr>
            <w:tcW w:w="699" w:type="dxa"/>
            <w:vMerge w:val="continue"/>
            <w:vAlign w:val="center"/>
          </w:tcPr>
          <w:p w14:paraId="22C1E47F">
            <w:pPr>
              <w:widowControl w:val="0"/>
              <w:jc w:val="center"/>
              <w:rPr>
                <w:color w:val="auto"/>
                <w:sz w:val="21"/>
                <w:szCs w:val="21"/>
              </w:rPr>
            </w:pPr>
          </w:p>
        </w:tc>
        <w:tc>
          <w:tcPr>
            <w:tcW w:w="1538" w:type="dxa"/>
            <w:vMerge w:val="continue"/>
            <w:vAlign w:val="center"/>
          </w:tcPr>
          <w:p w14:paraId="0367AFD6">
            <w:pPr>
              <w:widowControl w:val="0"/>
              <w:jc w:val="center"/>
              <w:rPr>
                <w:color w:val="auto"/>
                <w:sz w:val="21"/>
                <w:szCs w:val="21"/>
              </w:rPr>
            </w:pPr>
          </w:p>
        </w:tc>
      </w:tr>
      <w:tr w14:paraId="6BE160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68941520">
            <w:pPr>
              <w:widowControl w:val="0"/>
              <w:jc w:val="center"/>
              <w:rPr>
                <w:color w:val="auto"/>
                <w:sz w:val="21"/>
                <w:szCs w:val="21"/>
              </w:rPr>
            </w:pPr>
            <w:r>
              <w:rPr>
                <w:color w:val="auto"/>
                <w:sz w:val="21"/>
                <w:szCs w:val="21"/>
              </w:rPr>
              <w:t>G</w:t>
            </w:r>
            <w:r>
              <w:rPr>
                <w:color w:val="auto"/>
                <w:sz w:val="21"/>
                <w:szCs w:val="21"/>
                <w:vertAlign w:val="subscript"/>
              </w:rPr>
              <w:t>10</w:t>
            </w:r>
          </w:p>
        </w:tc>
        <w:tc>
          <w:tcPr>
            <w:tcW w:w="1540" w:type="dxa"/>
            <w:vMerge w:val="restart"/>
            <w:vAlign w:val="center"/>
          </w:tcPr>
          <w:p w14:paraId="13FB68DC">
            <w:pPr>
              <w:widowControl w:val="0"/>
              <w:jc w:val="center"/>
              <w:rPr>
                <w:color w:val="auto"/>
                <w:sz w:val="21"/>
                <w:szCs w:val="21"/>
              </w:rPr>
            </w:pPr>
            <w:r>
              <w:rPr>
                <w:color w:val="auto"/>
                <w:sz w:val="21"/>
                <w:szCs w:val="21"/>
              </w:rPr>
              <w:t>载体干燥烟气</w:t>
            </w:r>
          </w:p>
        </w:tc>
        <w:tc>
          <w:tcPr>
            <w:tcW w:w="1358" w:type="dxa"/>
            <w:vAlign w:val="center"/>
          </w:tcPr>
          <w:p w14:paraId="2EF2798B">
            <w:pPr>
              <w:widowControl w:val="0"/>
              <w:jc w:val="center"/>
              <w:rPr>
                <w:color w:val="auto"/>
                <w:sz w:val="21"/>
                <w:szCs w:val="21"/>
              </w:rPr>
            </w:pPr>
            <w:r>
              <w:rPr>
                <w:color w:val="auto"/>
                <w:sz w:val="21"/>
                <w:szCs w:val="21"/>
              </w:rPr>
              <w:t>颗粒物</w:t>
            </w:r>
          </w:p>
        </w:tc>
        <w:tc>
          <w:tcPr>
            <w:tcW w:w="1470" w:type="dxa"/>
            <w:vAlign w:val="center"/>
          </w:tcPr>
          <w:p w14:paraId="272D9720">
            <w:pPr>
              <w:widowControl w:val="0"/>
              <w:jc w:val="center"/>
              <w:rPr>
                <w:color w:val="auto"/>
                <w:sz w:val="21"/>
                <w:szCs w:val="21"/>
              </w:rPr>
            </w:pPr>
            <w:r>
              <w:rPr>
                <w:color w:val="auto"/>
                <w:sz w:val="21"/>
                <w:szCs w:val="21"/>
              </w:rPr>
              <w:t>物料衡算法</w:t>
            </w:r>
          </w:p>
        </w:tc>
        <w:tc>
          <w:tcPr>
            <w:tcW w:w="1133" w:type="dxa"/>
            <w:vMerge w:val="restart"/>
            <w:vAlign w:val="center"/>
          </w:tcPr>
          <w:p w14:paraId="1B0B60FF">
            <w:pPr>
              <w:widowControl w:val="0"/>
              <w:jc w:val="center"/>
              <w:rPr>
                <w:color w:val="auto"/>
                <w:sz w:val="21"/>
                <w:szCs w:val="21"/>
              </w:rPr>
            </w:pPr>
            <w:r>
              <w:rPr>
                <w:color w:val="auto"/>
                <w:sz w:val="21"/>
                <w:szCs w:val="21"/>
              </w:rPr>
              <w:t>23500</w:t>
            </w:r>
          </w:p>
        </w:tc>
        <w:tc>
          <w:tcPr>
            <w:tcW w:w="1417" w:type="dxa"/>
            <w:vAlign w:val="center"/>
          </w:tcPr>
          <w:p w14:paraId="1E94DD39">
            <w:pPr>
              <w:widowControl w:val="0"/>
              <w:jc w:val="center"/>
              <w:rPr>
                <w:color w:val="auto"/>
                <w:sz w:val="21"/>
                <w:szCs w:val="21"/>
              </w:rPr>
            </w:pPr>
            <w:r>
              <w:rPr>
                <w:color w:val="auto"/>
                <w:sz w:val="21"/>
                <w:szCs w:val="21"/>
              </w:rPr>
              <w:t xml:space="preserve">9.80 </w:t>
            </w:r>
          </w:p>
        </w:tc>
        <w:tc>
          <w:tcPr>
            <w:tcW w:w="1275" w:type="dxa"/>
            <w:vAlign w:val="center"/>
          </w:tcPr>
          <w:p w14:paraId="4FF78B3A">
            <w:pPr>
              <w:widowControl w:val="0"/>
              <w:jc w:val="center"/>
              <w:rPr>
                <w:color w:val="auto"/>
                <w:sz w:val="21"/>
                <w:szCs w:val="21"/>
              </w:rPr>
            </w:pPr>
            <w:r>
              <w:rPr>
                <w:color w:val="auto"/>
                <w:sz w:val="21"/>
                <w:szCs w:val="21"/>
              </w:rPr>
              <w:t>0.23</w:t>
            </w:r>
          </w:p>
        </w:tc>
        <w:tc>
          <w:tcPr>
            <w:tcW w:w="1133" w:type="dxa"/>
            <w:vAlign w:val="center"/>
          </w:tcPr>
          <w:p w14:paraId="66A520C3">
            <w:pPr>
              <w:widowControl w:val="0"/>
              <w:jc w:val="center"/>
              <w:rPr>
                <w:color w:val="auto"/>
                <w:sz w:val="21"/>
                <w:szCs w:val="21"/>
              </w:rPr>
            </w:pPr>
            <w:r>
              <w:rPr>
                <w:color w:val="auto"/>
                <w:sz w:val="21"/>
                <w:szCs w:val="21"/>
              </w:rPr>
              <w:t xml:space="preserve">1.84 </w:t>
            </w:r>
          </w:p>
        </w:tc>
        <w:tc>
          <w:tcPr>
            <w:tcW w:w="1523" w:type="dxa"/>
            <w:vMerge w:val="restart"/>
            <w:vAlign w:val="center"/>
          </w:tcPr>
          <w:p w14:paraId="67E6B9DF">
            <w:pPr>
              <w:widowControl w:val="0"/>
              <w:jc w:val="center"/>
              <w:rPr>
                <w:color w:val="auto"/>
                <w:sz w:val="21"/>
                <w:szCs w:val="21"/>
              </w:rPr>
            </w:pPr>
            <w:r>
              <w:rPr>
                <w:color w:val="auto"/>
                <w:sz w:val="21"/>
                <w:szCs w:val="21"/>
              </w:rPr>
              <w:t>燃用清燃料+低氮燃烧器</w:t>
            </w:r>
          </w:p>
        </w:tc>
        <w:tc>
          <w:tcPr>
            <w:tcW w:w="1025" w:type="dxa"/>
            <w:vAlign w:val="center"/>
          </w:tcPr>
          <w:p w14:paraId="19758278">
            <w:pPr>
              <w:widowControl w:val="0"/>
              <w:jc w:val="center"/>
              <w:rPr>
                <w:color w:val="auto"/>
                <w:sz w:val="21"/>
                <w:szCs w:val="21"/>
              </w:rPr>
            </w:pPr>
            <w:r>
              <w:rPr>
                <w:color w:val="auto"/>
                <w:sz w:val="21"/>
                <w:szCs w:val="21"/>
              </w:rPr>
              <w:t>/</w:t>
            </w:r>
          </w:p>
        </w:tc>
        <w:tc>
          <w:tcPr>
            <w:tcW w:w="1373" w:type="dxa"/>
            <w:vAlign w:val="center"/>
          </w:tcPr>
          <w:p w14:paraId="4C1B02FF">
            <w:pPr>
              <w:widowControl w:val="0"/>
              <w:jc w:val="center"/>
              <w:rPr>
                <w:color w:val="auto"/>
                <w:sz w:val="22"/>
                <w:szCs w:val="22"/>
              </w:rPr>
            </w:pPr>
            <w:r>
              <w:rPr>
                <w:color w:val="auto"/>
                <w:sz w:val="22"/>
                <w:szCs w:val="22"/>
              </w:rPr>
              <w:t>9.8</w:t>
            </w:r>
          </w:p>
        </w:tc>
        <w:tc>
          <w:tcPr>
            <w:tcW w:w="1177" w:type="dxa"/>
            <w:vAlign w:val="center"/>
          </w:tcPr>
          <w:p w14:paraId="434EBC77">
            <w:pPr>
              <w:widowControl w:val="0"/>
              <w:jc w:val="center"/>
              <w:rPr>
                <w:color w:val="auto"/>
                <w:sz w:val="22"/>
                <w:szCs w:val="22"/>
              </w:rPr>
            </w:pPr>
            <w:r>
              <w:rPr>
                <w:color w:val="auto"/>
                <w:sz w:val="22"/>
                <w:szCs w:val="22"/>
              </w:rPr>
              <w:t>0.23</w:t>
            </w:r>
          </w:p>
        </w:tc>
        <w:tc>
          <w:tcPr>
            <w:tcW w:w="1274" w:type="dxa"/>
            <w:vAlign w:val="center"/>
          </w:tcPr>
          <w:p w14:paraId="3EA0F42D">
            <w:pPr>
              <w:widowControl w:val="0"/>
              <w:jc w:val="center"/>
              <w:rPr>
                <w:color w:val="auto"/>
                <w:sz w:val="22"/>
                <w:szCs w:val="22"/>
              </w:rPr>
            </w:pPr>
            <w:r>
              <w:rPr>
                <w:color w:val="auto"/>
                <w:sz w:val="22"/>
                <w:szCs w:val="22"/>
              </w:rPr>
              <w:t>1.84</w:t>
            </w:r>
          </w:p>
        </w:tc>
        <w:tc>
          <w:tcPr>
            <w:tcW w:w="3363" w:type="dxa"/>
            <w:gridSpan w:val="4"/>
            <w:vMerge w:val="restart"/>
            <w:vAlign w:val="center"/>
          </w:tcPr>
          <w:p w14:paraId="3FC43F1C">
            <w:pPr>
              <w:widowControl w:val="0"/>
              <w:jc w:val="center"/>
              <w:rPr>
                <w:color w:val="auto"/>
                <w:sz w:val="21"/>
                <w:szCs w:val="21"/>
              </w:rPr>
            </w:pPr>
            <w:r>
              <w:rPr>
                <w:color w:val="auto"/>
                <w:sz w:val="21"/>
                <w:szCs w:val="21"/>
              </w:rPr>
              <w:t>汇合后送催化剂车间干燥排气口DA006</w:t>
            </w:r>
          </w:p>
        </w:tc>
        <w:tc>
          <w:tcPr>
            <w:tcW w:w="1538" w:type="dxa"/>
            <w:vMerge w:val="restart"/>
            <w:vAlign w:val="center"/>
          </w:tcPr>
          <w:p w14:paraId="66B5EA10">
            <w:pPr>
              <w:widowControl w:val="0"/>
              <w:jc w:val="center"/>
              <w:rPr>
                <w:color w:val="auto"/>
                <w:sz w:val="21"/>
                <w:szCs w:val="21"/>
              </w:rPr>
            </w:pPr>
            <w:r>
              <w:rPr>
                <w:color w:val="auto"/>
                <w:sz w:val="21"/>
                <w:szCs w:val="21"/>
              </w:rPr>
              <w:t>8000</w:t>
            </w:r>
          </w:p>
        </w:tc>
      </w:tr>
      <w:tr w14:paraId="1D5BF5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40382072">
            <w:pPr>
              <w:widowControl w:val="0"/>
              <w:jc w:val="center"/>
              <w:rPr>
                <w:color w:val="auto"/>
                <w:sz w:val="21"/>
                <w:szCs w:val="21"/>
              </w:rPr>
            </w:pPr>
          </w:p>
        </w:tc>
        <w:tc>
          <w:tcPr>
            <w:tcW w:w="1540" w:type="dxa"/>
            <w:vMerge w:val="continue"/>
            <w:vAlign w:val="center"/>
          </w:tcPr>
          <w:p w14:paraId="4441915A">
            <w:pPr>
              <w:widowControl w:val="0"/>
              <w:jc w:val="center"/>
              <w:rPr>
                <w:color w:val="auto"/>
                <w:sz w:val="21"/>
                <w:szCs w:val="21"/>
              </w:rPr>
            </w:pPr>
          </w:p>
        </w:tc>
        <w:tc>
          <w:tcPr>
            <w:tcW w:w="1358" w:type="dxa"/>
            <w:vAlign w:val="center"/>
          </w:tcPr>
          <w:p w14:paraId="2271FEAB">
            <w:pPr>
              <w:widowControl w:val="0"/>
              <w:jc w:val="center"/>
              <w:rPr>
                <w:color w:val="auto"/>
                <w:sz w:val="21"/>
                <w:szCs w:val="21"/>
              </w:rPr>
            </w:pPr>
            <w:r>
              <w:rPr>
                <w:color w:val="auto"/>
                <w:sz w:val="21"/>
                <w:szCs w:val="21"/>
              </w:rPr>
              <w:t>SO2</w:t>
            </w:r>
          </w:p>
        </w:tc>
        <w:tc>
          <w:tcPr>
            <w:tcW w:w="1470" w:type="dxa"/>
            <w:vAlign w:val="center"/>
          </w:tcPr>
          <w:p w14:paraId="0A4398DA">
            <w:pPr>
              <w:widowControl w:val="0"/>
              <w:jc w:val="center"/>
              <w:rPr>
                <w:color w:val="auto"/>
                <w:sz w:val="21"/>
                <w:szCs w:val="21"/>
              </w:rPr>
            </w:pPr>
            <w:r>
              <w:rPr>
                <w:color w:val="auto"/>
                <w:sz w:val="21"/>
                <w:szCs w:val="21"/>
              </w:rPr>
              <w:t>物料衡算法</w:t>
            </w:r>
          </w:p>
        </w:tc>
        <w:tc>
          <w:tcPr>
            <w:tcW w:w="1133" w:type="dxa"/>
            <w:vMerge w:val="continue"/>
            <w:vAlign w:val="center"/>
          </w:tcPr>
          <w:p w14:paraId="5E4B958C">
            <w:pPr>
              <w:widowControl w:val="0"/>
              <w:jc w:val="center"/>
              <w:rPr>
                <w:color w:val="auto"/>
                <w:sz w:val="21"/>
                <w:szCs w:val="21"/>
              </w:rPr>
            </w:pPr>
          </w:p>
        </w:tc>
        <w:tc>
          <w:tcPr>
            <w:tcW w:w="1417" w:type="dxa"/>
            <w:vAlign w:val="center"/>
          </w:tcPr>
          <w:p w14:paraId="14B4F819">
            <w:pPr>
              <w:widowControl w:val="0"/>
              <w:jc w:val="center"/>
              <w:rPr>
                <w:color w:val="auto"/>
                <w:sz w:val="22"/>
                <w:szCs w:val="22"/>
              </w:rPr>
            </w:pPr>
            <w:r>
              <w:rPr>
                <w:color w:val="auto"/>
                <w:sz w:val="22"/>
                <w:szCs w:val="22"/>
              </w:rPr>
              <w:t>0.30</w:t>
            </w:r>
          </w:p>
        </w:tc>
        <w:tc>
          <w:tcPr>
            <w:tcW w:w="1275" w:type="dxa"/>
            <w:vAlign w:val="center"/>
          </w:tcPr>
          <w:p w14:paraId="7D9EA18F">
            <w:pPr>
              <w:widowControl w:val="0"/>
              <w:jc w:val="center"/>
              <w:rPr>
                <w:color w:val="auto"/>
                <w:sz w:val="21"/>
                <w:szCs w:val="21"/>
              </w:rPr>
            </w:pPr>
            <w:r>
              <w:rPr>
                <w:color w:val="auto"/>
                <w:sz w:val="21"/>
                <w:szCs w:val="21"/>
              </w:rPr>
              <w:t>0.007</w:t>
            </w:r>
          </w:p>
        </w:tc>
        <w:tc>
          <w:tcPr>
            <w:tcW w:w="1133" w:type="dxa"/>
            <w:vAlign w:val="center"/>
          </w:tcPr>
          <w:p w14:paraId="49A8D9EB">
            <w:pPr>
              <w:widowControl w:val="0"/>
              <w:jc w:val="center"/>
              <w:rPr>
                <w:color w:val="auto"/>
                <w:sz w:val="21"/>
                <w:szCs w:val="21"/>
              </w:rPr>
            </w:pPr>
            <w:r>
              <w:rPr>
                <w:color w:val="auto"/>
                <w:sz w:val="21"/>
                <w:szCs w:val="21"/>
              </w:rPr>
              <w:t>0.06</w:t>
            </w:r>
          </w:p>
        </w:tc>
        <w:tc>
          <w:tcPr>
            <w:tcW w:w="1523" w:type="dxa"/>
            <w:vMerge w:val="continue"/>
            <w:vAlign w:val="center"/>
          </w:tcPr>
          <w:p w14:paraId="6DBCE6A8">
            <w:pPr>
              <w:widowControl w:val="0"/>
              <w:jc w:val="center"/>
              <w:rPr>
                <w:color w:val="auto"/>
                <w:sz w:val="21"/>
                <w:szCs w:val="21"/>
              </w:rPr>
            </w:pPr>
          </w:p>
        </w:tc>
        <w:tc>
          <w:tcPr>
            <w:tcW w:w="1025" w:type="dxa"/>
            <w:vAlign w:val="center"/>
          </w:tcPr>
          <w:p w14:paraId="02E9B684">
            <w:pPr>
              <w:widowControl w:val="0"/>
              <w:jc w:val="center"/>
              <w:rPr>
                <w:color w:val="auto"/>
                <w:sz w:val="21"/>
                <w:szCs w:val="21"/>
              </w:rPr>
            </w:pPr>
            <w:r>
              <w:rPr>
                <w:color w:val="auto"/>
                <w:sz w:val="21"/>
                <w:szCs w:val="21"/>
              </w:rPr>
              <w:t>/</w:t>
            </w:r>
          </w:p>
        </w:tc>
        <w:tc>
          <w:tcPr>
            <w:tcW w:w="1373" w:type="dxa"/>
            <w:vAlign w:val="center"/>
          </w:tcPr>
          <w:p w14:paraId="5B0BA69D">
            <w:pPr>
              <w:widowControl w:val="0"/>
              <w:jc w:val="center"/>
              <w:rPr>
                <w:color w:val="auto"/>
                <w:sz w:val="22"/>
                <w:szCs w:val="22"/>
              </w:rPr>
            </w:pPr>
            <w:r>
              <w:rPr>
                <w:color w:val="auto"/>
                <w:sz w:val="22"/>
                <w:szCs w:val="22"/>
              </w:rPr>
              <w:t>0.3</w:t>
            </w:r>
          </w:p>
        </w:tc>
        <w:tc>
          <w:tcPr>
            <w:tcW w:w="1177" w:type="dxa"/>
            <w:vAlign w:val="center"/>
          </w:tcPr>
          <w:p w14:paraId="6903CBDF">
            <w:pPr>
              <w:widowControl w:val="0"/>
              <w:jc w:val="center"/>
              <w:rPr>
                <w:color w:val="auto"/>
                <w:sz w:val="22"/>
                <w:szCs w:val="22"/>
              </w:rPr>
            </w:pPr>
            <w:r>
              <w:rPr>
                <w:color w:val="auto"/>
                <w:sz w:val="22"/>
                <w:szCs w:val="22"/>
              </w:rPr>
              <w:t>0.007</w:t>
            </w:r>
          </w:p>
        </w:tc>
        <w:tc>
          <w:tcPr>
            <w:tcW w:w="1274" w:type="dxa"/>
            <w:vAlign w:val="center"/>
          </w:tcPr>
          <w:p w14:paraId="51B11E00">
            <w:pPr>
              <w:widowControl w:val="0"/>
              <w:jc w:val="center"/>
              <w:rPr>
                <w:color w:val="auto"/>
                <w:sz w:val="22"/>
                <w:szCs w:val="22"/>
              </w:rPr>
            </w:pPr>
            <w:r>
              <w:rPr>
                <w:color w:val="auto"/>
                <w:sz w:val="22"/>
                <w:szCs w:val="22"/>
              </w:rPr>
              <w:t>0.057</w:t>
            </w:r>
          </w:p>
        </w:tc>
        <w:tc>
          <w:tcPr>
            <w:tcW w:w="3363" w:type="dxa"/>
            <w:gridSpan w:val="4"/>
            <w:vMerge w:val="continue"/>
            <w:vAlign w:val="center"/>
          </w:tcPr>
          <w:p w14:paraId="12D8C6BC">
            <w:pPr>
              <w:widowControl w:val="0"/>
              <w:jc w:val="center"/>
              <w:rPr>
                <w:color w:val="auto"/>
                <w:sz w:val="21"/>
                <w:szCs w:val="21"/>
              </w:rPr>
            </w:pPr>
          </w:p>
        </w:tc>
        <w:tc>
          <w:tcPr>
            <w:tcW w:w="1538" w:type="dxa"/>
            <w:vMerge w:val="continue"/>
            <w:vAlign w:val="center"/>
          </w:tcPr>
          <w:p w14:paraId="214CE0E2">
            <w:pPr>
              <w:widowControl w:val="0"/>
              <w:jc w:val="center"/>
              <w:rPr>
                <w:color w:val="auto"/>
                <w:sz w:val="21"/>
                <w:szCs w:val="21"/>
              </w:rPr>
            </w:pPr>
          </w:p>
        </w:tc>
      </w:tr>
      <w:tr w14:paraId="3770EE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6BEAC574">
            <w:pPr>
              <w:widowControl w:val="0"/>
              <w:jc w:val="center"/>
              <w:rPr>
                <w:color w:val="auto"/>
                <w:sz w:val="21"/>
                <w:szCs w:val="21"/>
              </w:rPr>
            </w:pPr>
          </w:p>
        </w:tc>
        <w:tc>
          <w:tcPr>
            <w:tcW w:w="1540" w:type="dxa"/>
            <w:vMerge w:val="continue"/>
            <w:vAlign w:val="center"/>
          </w:tcPr>
          <w:p w14:paraId="28A5D42D">
            <w:pPr>
              <w:widowControl w:val="0"/>
              <w:jc w:val="center"/>
              <w:rPr>
                <w:color w:val="auto"/>
                <w:sz w:val="21"/>
                <w:szCs w:val="21"/>
              </w:rPr>
            </w:pPr>
          </w:p>
        </w:tc>
        <w:tc>
          <w:tcPr>
            <w:tcW w:w="1358" w:type="dxa"/>
            <w:vAlign w:val="center"/>
          </w:tcPr>
          <w:p w14:paraId="7CC97E83">
            <w:pPr>
              <w:widowControl w:val="0"/>
              <w:jc w:val="center"/>
              <w:rPr>
                <w:color w:val="auto"/>
                <w:sz w:val="21"/>
                <w:szCs w:val="21"/>
              </w:rPr>
            </w:pPr>
            <w:r>
              <w:rPr>
                <w:color w:val="auto"/>
                <w:sz w:val="21"/>
                <w:szCs w:val="21"/>
              </w:rPr>
              <w:t>NOx</w:t>
            </w:r>
          </w:p>
        </w:tc>
        <w:tc>
          <w:tcPr>
            <w:tcW w:w="1470" w:type="dxa"/>
            <w:vAlign w:val="center"/>
          </w:tcPr>
          <w:p w14:paraId="59076252">
            <w:pPr>
              <w:widowControl w:val="0"/>
              <w:jc w:val="center"/>
              <w:rPr>
                <w:color w:val="auto"/>
                <w:sz w:val="21"/>
                <w:szCs w:val="21"/>
              </w:rPr>
            </w:pPr>
            <w:r>
              <w:rPr>
                <w:color w:val="auto"/>
                <w:sz w:val="21"/>
                <w:szCs w:val="21"/>
              </w:rPr>
              <w:t xml:space="preserve">物料衡算法 </w:t>
            </w:r>
          </w:p>
        </w:tc>
        <w:tc>
          <w:tcPr>
            <w:tcW w:w="1133" w:type="dxa"/>
            <w:vMerge w:val="continue"/>
            <w:vAlign w:val="center"/>
          </w:tcPr>
          <w:p w14:paraId="0B53D203">
            <w:pPr>
              <w:widowControl w:val="0"/>
              <w:jc w:val="center"/>
              <w:rPr>
                <w:color w:val="auto"/>
                <w:sz w:val="21"/>
                <w:szCs w:val="21"/>
              </w:rPr>
            </w:pPr>
          </w:p>
        </w:tc>
        <w:tc>
          <w:tcPr>
            <w:tcW w:w="1417" w:type="dxa"/>
            <w:vAlign w:val="center"/>
          </w:tcPr>
          <w:p w14:paraId="29AC77FC">
            <w:pPr>
              <w:widowControl w:val="0"/>
              <w:jc w:val="center"/>
              <w:rPr>
                <w:color w:val="auto"/>
                <w:sz w:val="22"/>
                <w:szCs w:val="22"/>
              </w:rPr>
            </w:pPr>
            <w:r>
              <w:rPr>
                <w:color w:val="auto"/>
                <w:sz w:val="22"/>
                <w:szCs w:val="22"/>
              </w:rPr>
              <w:t>3.71</w:t>
            </w:r>
          </w:p>
        </w:tc>
        <w:tc>
          <w:tcPr>
            <w:tcW w:w="1275" w:type="dxa"/>
            <w:vAlign w:val="center"/>
          </w:tcPr>
          <w:p w14:paraId="5883CF8B">
            <w:pPr>
              <w:widowControl w:val="0"/>
              <w:jc w:val="center"/>
              <w:rPr>
                <w:color w:val="auto"/>
                <w:sz w:val="21"/>
                <w:szCs w:val="21"/>
              </w:rPr>
            </w:pPr>
            <w:r>
              <w:rPr>
                <w:color w:val="auto"/>
                <w:sz w:val="21"/>
                <w:szCs w:val="21"/>
              </w:rPr>
              <w:t>0.09</w:t>
            </w:r>
          </w:p>
        </w:tc>
        <w:tc>
          <w:tcPr>
            <w:tcW w:w="1133" w:type="dxa"/>
            <w:vAlign w:val="center"/>
          </w:tcPr>
          <w:p w14:paraId="53BDEEE5">
            <w:pPr>
              <w:widowControl w:val="0"/>
              <w:jc w:val="center"/>
              <w:rPr>
                <w:color w:val="auto"/>
                <w:sz w:val="21"/>
                <w:szCs w:val="21"/>
              </w:rPr>
            </w:pPr>
            <w:r>
              <w:rPr>
                <w:color w:val="auto"/>
                <w:sz w:val="21"/>
                <w:szCs w:val="21"/>
              </w:rPr>
              <w:t>0.70</w:t>
            </w:r>
          </w:p>
        </w:tc>
        <w:tc>
          <w:tcPr>
            <w:tcW w:w="1523" w:type="dxa"/>
            <w:vMerge w:val="continue"/>
            <w:vAlign w:val="center"/>
          </w:tcPr>
          <w:p w14:paraId="3882BA82">
            <w:pPr>
              <w:widowControl w:val="0"/>
              <w:jc w:val="center"/>
              <w:rPr>
                <w:color w:val="auto"/>
                <w:sz w:val="21"/>
                <w:szCs w:val="21"/>
              </w:rPr>
            </w:pPr>
          </w:p>
        </w:tc>
        <w:tc>
          <w:tcPr>
            <w:tcW w:w="1025" w:type="dxa"/>
            <w:vAlign w:val="center"/>
          </w:tcPr>
          <w:p w14:paraId="0A39D59C">
            <w:pPr>
              <w:widowControl w:val="0"/>
              <w:jc w:val="center"/>
              <w:rPr>
                <w:color w:val="auto"/>
                <w:sz w:val="21"/>
                <w:szCs w:val="21"/>
              </w:rPr>
            </w:pPr>
            <w:r>
              <w:rPr>
                <w:color w:val="auto"/>
                <w:sz w:val="21"/>
                <w:szCs w:val="21"/>
              </w:rPr>
              <w:t>/</w:t>
            </w:r>
          </w:p>
        </w:tc>
        <w:tc>
          <w:tcPr>
            <w:tcW w:w="1373" w:type="dxa"/>
            <w:vAlign w:val="center"/>
          </w:tcPr>
          <w:p w14:paraId="67C486FA">
            <w:pPr>
              <w:widowControl w:val="0"/>
              <w:jc w:val="center"/>
              <w:rPr>
                <w:color w:val="auto"/>
                <w:sz w:val="22"/>
                <w:szCs w:val="22"/>
              </w:rPr>
            </w:pPr>
            <w:r>
              <w:rPr>
                <w:color w:val="auto"/>
                <w:sz w:val="22"/>
                <w:szCs w:val="22"/>
              </w:rPr>
              <w:t>3.7</w:t>
            </w:r>
          </w:p>
        </w:tc>
        <w:tc>
          <w:tcPr>
            <w:tcW w:w="1177" w:type="dxa"/>
            <w:vAlign w:val="center"/>
          </w:tcPr>
          <w:p w14:paraId="797B25B2">
            <w:pPr>
              <w:widowControl w:val="0"/>
              <w:jc w:val="center"/>
              <w:rPr>
                <w:color w:val="auto"/>
                <w:sz w:val="22"/>
                <w:szCs w:val="22"/>
              </w:rPr>
            </w:pPr>
            <w:r>
              <w:rPr>
                <w:color w:val="auto"/>
                <w:sz w:val="22"/>
                <w:szCs w:val="22"/>
              </w:rPr>
              <w:t>0.087</w:t>
            </w:r>
          </w:p>
        </w:tc>
        <w:tc>
          <w:tcPr>
            <w:tcW w:w="1274" w:type="dxa"/>
            <w:vAlign w:val="center"/>
          </w:tcPr>
          <w:p w14:paraId="046207B1">
            <w:pPr>
              <w:widowControl w:val="0"/>
              <w:jc w:val="center"/>
              <w:rPr>
                <w:color w:val="auto"/>
                <w:sz w:val="22"/>
                <w:szCs w:val="22"/>
              </w:rPr>
            </w:pPr>
            <w:r>
              <w:rPr>
                <w:color w:val="auto"/>
                <w:sz w:val="22"/>
                <w:szCs w:val="22"/>
              </w:rPr>
              <w:t>0.7</w:t>
            </w:r>
          </w:p>
        </w:tc>
        <w:tc>
          <w:tcPr>
            <w:tcW w:w="3363" w:type="dxa"/>
            <w:gridSpan w:val="4"/>
            <w:vMerge w:val="continue"/>
            <w:vAlign w:val="center"/>
          </w:tcPr>
          <w:p w14:paraId="3FCDC5AD">
            <w:pPr>
              <w:widowControl w:val="0"/>
              <w:jc w:val="center"/>
              <w:rPr>
                <w:color w:val="auto"/>
                <w:sz w:val="21"/>
                <w:szCs w:val="21"/>
              </w:rPr>
            </w:pPr>
          </w:p>
        </w:tc>
        <w:tc>
          <w:tcPr>
            <w:tcW w:w="1538" w:type="dxa"/>
            <w:vMerge w:val="continue"/>
            <w:vAlign w:val="center"/>
          </w:tcPr>
          <w:p w14:paraId="54255669">
            <w:pPr>
              <w:widowControl w:val="0"/>
              <w:jc w:val="center"/>
              <w:rPr>
                <w:color w:val="auto"/>
                <w:sz w:val="21"/>
                <w:szCs w:val="21"/>
              </w:rPr>
            </w:pPr>
          </w:p>
        </w:tc>
      </w:tr>
      <w:tr w14:paraId="14D6AD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02864DED">
            <w:pPr>
              <w:widowControl w:val="0"/>
              <w:jc w:val="center"/>
              <w:rPr>
                <w:color w:val="auto"/>
                <w:sz w:val="21"/>
                <w:szCs w:val="21"/>
              </w:rPr>
            </w:pPr>
            <w:r>
              <w:rPr>
                <w:color w:val="auto"/>
                <w:sz w:val="21"/>
                <w:szCs w:val="21"/>
              </w:rPr>
              <w:t>G</w:t>
            </w:r>
            <w:r>
              <w:rPr>
                <w:color w:val="auto"/>
                <w:sz w:val="21"/>
                <w:szCs w:val="21"/>
                <w:vertAlign w:val="subscript"/>
              </w:rPr>
              <w:t>11</w:t>
            </w:r>
          </w:p>
        </w:tc>
        <w:tc>
          <w:tcPr>
            <w:tcW w:w="1540" w:type="dxa"/>
            <w:vMerge w:val="restart"/>
            <w:vAlign w:val="center"/>
          </w:tcPr>
          <w:p w14:paraId="75681E96">
            <w:pPr>
              <w:widowControl w:val="0"/>
              <w:jc w:val="center"/>
              <w:rPr>
                <w:color w:val="auto"/>
                <w:sz w:val="21"/>
                <w:szCs w:val="21"/>
              </w:rPr>
            </w:pPr>
            <w:r>
              <w:rPr>
                <w:color w:val="auto"/>
                <w:sz w:val="21"/>
                <w:szCs w:val="21"/>
              </w:rPr>
              <w:t>载体焙烧炉燃烧器废气（燃料燃烧）</w:t>
            </w:r>
          </w:p>
        </w:tc>
        <w:tc>
          <w:tcPr>
            <w:tcW w:w="1358" w:type="dxa"/>
            <w:vAlign w:val="center"/>
          </w:tcPr>
          <w:p w14:paraId="366A681E">
            <w:pPr>
              <w:widowControl w:val="0"/>
              <w:jc w:val="center"/>
              <w:rPr>
                <w:color w:val="auto"/>
                <w:sz w:val="21"/>
                <w:szCs w:val="21"/>
              </w:rPr>
            </w:pPr>
            <w:r>
              <w:rPr>
                <w:color w:val="auto"/>
                <w:sz w:val="21"/>
                <w:szCs w:val="21"/>
              </w:rPr>
              <w:t>颗粒物</w:t>
            </w:r>
          </w:p>
        </w:tc>
        <w:tc>
          <w:tcPr>
            <w:tcW w:w="1470" w:type="dxa"/>
            <w:vAlign w:val="center"/>
          </w:tcPr>
          <w:p w14:paraId="2B29089D">
            <w:pPr>
              <w:widowControl w:val="0"/>
              <w:jc w:val="center"/>
              <w:rPr>
                <w:color w:val="auto"/>
                <w:sz w:val="21"/>
                <w:szCs w:val="21"/>
              </w:rPr>
            </w:pPr>
            <w:r>
              <w:rPr>
                <w:color w:val="auto"/>
                <w:sz w:val="21"/>
                <w:szCs w:val="21"/>
              </w:rPr>
              <w:t>物料衡算法</w:t>
            </w:r>
          </w:p>
        </w:tc>
        <w:tc>
          <w:tcPr>
            <w:tcW w:w="1133" w:type="dxa"/>
            <w:vMerge w:val="restart"/>
            <w:vAlign w:val="center"/>
          </w:tcPr>
          <w:p w14:paraId="603C2DF9">
            <w:pPr>
              <w:widowControl w:val="0"/>
              <w:jc w:val="center"/>
              <w:rPr>
                <w:color w:val="auto"/>
                <w:sz w:val="21"/>
                <w:szCs w:val="21"/>
              </w:rPr>
            </w:pPr>
            <w:r>
              <w:rPr>
                <w:color w:val="auto"/>
                <w:sz w:val="21"/>
                <w:szCs w:val="21"/>
              </w:rPr>
              <w:t>2500</w:t>
            </w:r>
          </w:p>
        </w:tc>
        <w:tc>
          <w:tcPr>
            <w:tcW w:w="1417" w:type="dxa"/>
            <w:vAlign w:val="center"/>
          </w:tcPr>
          <w:p w14:paraId="7FBC9979">
            <w:pPr>
              <w:widowControl w:val="0"/>
              <w:jc w:val="center"/>
              <w:rPr>
                <w:color w:val="auto"/>
                <w:sz w:val="22"/>
                <w:szCs w:val="22"/>
              </w:rPr>
            </w:pPr>
            <w:r>
              <w:rPr>
                <w:color w:val="auto"/>
                <w:sz w:val="22"/>
                <w:szCs w:val="22"/>
              </w:rPr>
              <w:t>5.00</w:t>
            </w:r>
          </w:p>
        </w:tc>
        <w:tc>
          <w:tcPr>
            <w:tcW w:w="1275" w:type="dxa"/>
            <w:vAlign w:val="center"/>
          </w:tcPr>
          <w:p w14:paraId="0158A601">
            <w:pPr>
              <w:widowControl w:val="0"/>
              <w:jc w:val="center"/>
              <w:rPr>
                <w:color w:val="auto"/>
                <w:sz w:val="21"/>
                <w:szCs w:val="21"/>
              </w:rPr>
            </w:pPr>
            <w:r>
              <w:rPr>
                <w:color w:val="auto"/>
                <w:sz w:val="21"/>
                <w:szCs w:val="21"/>
              </w:rPr>
              <w:t>0.01</w:t>
            </w:r>
          </w:p>
        </w:tc>
        <w:tc>
          <w:tcPr>
            <w:tcW w:w="1133" w:type="dxa"/>
            <w:vAlign w:val="center"/>
          </w:tcPr>
          <w:p w14:paraId="40E52F55">
            <w:pPr>
              <w:widowControl w:val="0"/>
              <w:jc w:val="center"/>
              <w:rPr>
                <w:color w:val="auto"/>
                <w:sz w:val="21"/>
                <w:szCs w:val="21"/>
              </w:rPr>
            </w:pPr>
            <w:r>
              <w:rPr>
                <w:color w:val="auto"/>
                <w:sz w:val="21"/>
                <w:szCs w:val="21"/>
              </w:rPr>
              <w:t>0.100</w:t>
            </w:r>
          </w:p>
        </w:tc>
        <w:tc>
          <w:tcPr>
            <w:tcW w:w="1523" w:type="dxa"/>
            <w:vMerge w:val="restart"/>
            <w:vAlign w:val="center"/>
          </w:tcPr>
          <w:p w14:paraId="3355A7D9">
            <w:pPr>
              <w:widowControl w:val="0"/>
              <w:jc w:val="center"/>
              <w:rPr>
                <w:color w:val="auto"/>
                <w:sz w:val="21"/>
                <w:szCs w:val="21"/>
              </w:rPr>
            </w:pPr>
            <w:r>
              <w:rPr>
                <w:color w:val="auto"/>
                <w:sz w:val="21"/>
                <w:szCs w:val="21"/>
              </w:rPr>
              <w:t>燃用清燃料+低氮燃烧器</w:t>
            </w:r>
          </w:p>
        </w:tc>
        <w:tc>
          <w:tcPr>
            <w:tcW w:w="1025" w:type="dxa"/>
            <w:vAlign w:val="center"/>
          </w:tcPr>
          <w:p w14:paraId="7814F836">
            <w:pPr>
              <w:widowControl w:val="0"/>
              <w:jc w:val="center"/>
              <w:rPr>
                <w:color w:val="auto"/>
                <w:sz w:val="21"/>
                <w:szCs w:val="21"/>
              </w:rPr>
            </w:pPr>
            <w:r>
              <w:rPr>
                <w:color w:val="auto"/>
                <w:sz w:val="21"/>
                <w:szCs w:val="21"/>
              </w:rPr>
              <w:t>/</w:t>
            </w:r>
          </w:p>
        </w:tc>
        <w:tc>
          <w:tcPr>
            <w:tcW w:w="1373" w:type="dxa"/>
            <w:vAlign w:val="center"/>
          </w:tcPr>
          <w:p w14:paraId="57831B4A">
            <w:pPr>
              <w:widowControl w:val="0"/>
              <w:jc w:val="center"/>
              <w:rPr>
                <w:color w:val="auto"/>
                <w:sz w:val="22"/>
                <w:szCs w:val="22"/>
              </w:rPr>
            </w:pPr>
            <w:r>
              <w:rPr>
                <w:color w:val="auto"/>
                <w:sz w:val="22"/>
                <w:szCs w:val="22"/>
              </w:rPr>
              <w:t>5.0</w:t>
            </w:r>
          </w:p>
        </w:tc>
        <w:tc>
          <w:tcPr>
            <w:tcW w:w="1177" w:type="dxa"/>
            <w:vAlign w:val="center"/>
          </w:tcPr>
          <w:p w14:paraId="5BBAC078">
            <w:pPr>
              <w:widowControl w:val="0"/>
              <w:jc w:val="center"/>
              <w:rPr>
                <w:color w:val="auto"/>
                <w:sz w:val="22"/>
                <w:szCs w:val="22"/>
              </w:rPr>
            </w:pPr>
            <w:r>
              <w:rPr>
                <w:color w:val="auto"/>
                <w:sz w:val="22"/>
                <w:szCs w:val="22"/>
              </w:rPr>
              <w:t>0.012</w:t>
            </w:r>
          </w:p>
        </w:tc>
        <w:tc>
          <w:tcPr>
            <w:tcW w:w="1274" w:type="dxa"/>
            <w:vAlign w:val="center"/>
          </w:tcPr>
          <w:p w14:paraId="2676AC96">
            <w:pPr>
              <w:widowControl w:val="0"/>
              <w:jc w:val="center"/>
              <w:rPr>
                <w:color w:val="auto"/>
                <w:sz w:val="22"/>
                <w:szCs w:val="22"/>
              </w:rPr>
            </w:pPr>
            <w:r>
              <w:rPr>
                <w:color w:val="auto"/>
                <w:sz w:val="22"/>
                <w:szCs w:val="22"/>
              </w:rPr>
              <w:t>0.10</w:t>
            </w:r>
          </w:p>
        </w:tc>
        <w:tc>
          <w:tcPr>
            <w:tcW w:w="3363" w:type="dxa"/>
            <w:gridSpan w:val="4"/>
            <w:vMerge w:val="restart"/>
            <w:vAlign w:val="center"/>
          </w:tcPr>
          <w:p w14:paraId="31C7CD09">
            <w:pPr>
              <w:widowControl w:val="0"/>
              <w:jc w:val="center"/>
              <w:rPr>
                <w:color w:val="auto"/>
                <w:sz w:val="21"/>
                <w:szCs w:val="21"/>
              </w:rPr>
            </w:pPr>
            <w:r>
              <w:rPr>
                <w:color w:val="auto"/>
                <w:sz w:val="21"/>
                <w:szCs w:val="21"/>
              </w:rPr>
              <w:t>通过循环气风机送载体干燥，余热利</w:t>
            </w:r>
            <w:r>
              <w:rPr>
                <w:rFonts w:hint="eastAsia"/>
                <w:color w:val="auto"/>
                <w:sz w:val="21"/>
                <w:szCs w:val="21"/>
              </w:rPr>
              <w:t>用</w:t>
            </w:r>
            <w:r>
              <w:rPr>
                <w:color w:val="auto"/>
                <w:sz w:val="21"/>
                <w:szCs w:val="21"/>
              </w:rPr>
              <w:t>通过DA006排放</w:t>
            </w:r>
          </w:p>
        </w:tc>
        <w:tc>
          <w:tcPr>
            <w:tcW w:w="1538" w:type="dxa"/>
            <w:vMerge w:val="restart"/>
            <w:vAlign w:val="center"/>
          </w:tcPr>
          <w:p w14:paraId="5911A43D">
            <w:pPr>
              <w:widowControl w:val="0"/>
              <w:jc w:val="center"/>
              <w:rPr>
                <w:color w:val="auto"/>
                <w:sz w:val="21"/>
                <w:szCs w:val="21"/>
              </w:rPr>
            </w:pPr>
            <w:r>
              <w:rPr>
                <w:color w:val="auto"/>
                <w:sz w:val="21"/>
                <w:szCs w:val="21"/>
              </w:rPr>
              <w:t>8000</w:t>
            </w:r>
          </w:p>
        </w:tc>
      </w:tr>
      <w:tr w14:paraId="0F7609B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AC7EC58">
            <w:pPr>
              <w:widowControl w:val="0"/>
              <w:jc w:val="center"/>
              <w:rPr>
                <w:color w:val="auto"/>
                <w:sz w:val="21"/>
                <w:szCs w:val="21"/>
              </w:rPr>
            </w:pPr>
          </w:p>
        </w:tc>
        <w:tc>
          <w:tcPr>
            <w:tcW w:w="1540" w:type="dxa"/>
            <w:vMerge w:val="continue"/>
            <w:vAlign w:val="center"/>
          </w:tcPr>
          <w:p w14:paraId="32C292DC">
            <w:pPr>
              <w:widowControl w:val="0"/>
              <w:jc w:val="center"/>
              <w:rPr>
                <w:color w:val="auto"/>
                <w:sz w:val="21"/>
                <w:szCs w:val="21"/>
              </w:rPr>
            </w:pPr>
          </w:p>
        </w:tc>
        <w:tc>
          <w:tcPr>
            <w:tcW w:w="1358" w:type="dxa"/>
            <w:vAlign w:val="center"/>
          </w:tcPr>
          <w:p w14:paraId="6D88BFCF">
            <w:pPr>
              <w:widowControl w:val="0"/>
              <w:jc w:val="center"/>
              <w:rPr>
                <w:color w:val="auto"/>
                <w:sz w:val="21"/>
                <w:szCs w:val="21"/>
              </w:rPr>
            </w:pPr>
            <w:r>
              <w:rPr>
                <w:color w:val="auto"/>
                <w:sz w:val="21"/>
                <w:szCs w:val="21"/>
              </w:rPr>
              <w:t>SO</w:t>
            </w:r>
            <w:r>
              <w:rPr>
                <w:color w:val="auto"/>
                <w:sz w:val="21"/>
                <w:szCs w:val="21"/>
                <w:vertAlign w:val="subscript"/>
              </w:rPr>
              <w:t>2</w:t>
            </w:r>
          </w:p>
        </w:tc>
        <w:tc>
          <w:tcPr>
            <w:tcW w:w="1470" w:type="dxa"/>
            <w:vAlign w:val="center"/>
          </w:tcPr>
          <w:p w14:paraId="323369C0">
            <w:pPr>
              <w:widowControl w:val="0"/>
              <w:jc w:val="center"/>
              <w:rPr>
                <w:color w:val="auto"/>
                <w:sz w:val="21"/>
                <w:szCs w:val="21"/>
              </w:rPr>
            </w:pPr>
            <w:r>
              <w:rPr>
                <w:color w:val="auto"/>
                <w:sz w:val="21"/>
                <w:szCs w:val="21"/>
              </w:rPr>
              <w:t>物料衡算法</w:t>
            </w:r>
          </w:p>
        </w:tc>
        <w:tc>
          <w:tcPr>
            <w:tcW w:w="1133" w:type="dxa"/>
            <w:vMerge w:val="continue"/>
            <w:vAlign w:val="center"/>
          </w:tcPr>
          <w:p w14:paraId="796CC6D5">
            <w:pPr>
              <w:widowControl w:val="0"/>
              <w:jc w:val="center"/>
              <w:rPr>
                <w:color w:val="auto"/>
                <w:sz w:val="21"/>
                <w:szCs w:val="21"/>
              </w:rPr>
            </w:pPr>
          </w:p>
        </w:tc>
        <w:tc>
          <w:tcPr>
            <w:tcW w:w="1417" w:type="dxa"/>
            <w:vAlign w:val="center"/>
          </w:tcPr>
          <w:p w14:paraId="5D14E2A5">
            <w:pPr>
              <w:widowControl w:val="0"/>
              <w:jc w:val="center"/>
              <w:rPr>
                <w:color w:val="auto"/>
                <w:sz w:val="22"/>
                <w:szCs w:val="22"/>
              </w:rPr>
            </w:pPr>
            <w:r>
              <w:rPr>
                <w:color w:val="auto"/>
                <w:sz w:val="22"/>
                <w:szCs w:val="22"/>
              </w:rPr>
              <w:t>2.30</w:t>
            </w:r>
          </w:p>
        </w:tc>
        <w:tc>
          <w:tcPr>
            <w:tcW w:w="1275" w:type="dxa"/>
            <w:vAlign w:val="center"/>
          </w:tcPr>
          <w:p w14:paraId="0547CB28">
            <w:pPr>
              <w:widowControl w:val="0"/>
              <w:jc w:val="center"/>
              <w:rPr>
                <w:color w:val="auto"/>
                <w:sz w:val="21"/>
                <w:szCs w:val="21"/>
              </w:rPr>
            </w:pPr>
            <w:r>
              <w:rPr>
                <w:color w:val="auto"/>
                <w:sz w:val="21"/>
                <w:szCs w:val="21"/>
              </w:rPr>
              <w:t>0.006</w:t>
            </w:r>
          </w:p>
        </w:tc>
        <w:tc>
          <w:tcPr>
            <w:tcW w:w="1133" w:type="dxa"/>
            <w:vAlign w:val="center"/>
          </w:tcPr>
          <w:p w14:paraId="2E4970A2">
            <w:pPr>
              <w:widowControl w:val="0"/>
              <w:jc w:val="center"/>
              <w:rPr>
                <w:color w:val="auto"/>
                <w:sz w:val="21"/>
                <w:szCs w:val="21"/>
              </w:rPr>
            </w:pPr>
            <w:r>
              <w:rPr>
                <w:color w:val="auto"/>
                <w:sz w:val="21"/>
                <w:szCs w:val="21"/>
              </w:rPr>
              <w:t>0.05</w:t>
            </w:r>
          </w:p>
        </w:tc>
        <w:tc>
          <w:tcPr>
            <w:tcW w:w="1523" w:type="dxa"/>
            <w:vMerge w:val="continue"/>
            <w:vAlign w:val="center"/>
          </w:tcPr>
          <w:p w14:paraId="5272CC0B">
            <w:pPr>
              <w:widowControl w:val="0"/>
              <w:jc w:val="center"/>
              <w:rPr>
                <w:color w:val="auto"/>
                <w:sz w:val="21"/>
                <w:szCs w:val="21"/>
              </w:rPr>
            </w:pPr>
          </w:p>
        </w:tc>
        <w:tc>
          <w:tcPr>
            <w:tcW w:w="1025" w:type="dxa"/>
            <w:vAlign w:val="center"/>
          </w:tcPr>
          <w:p w14:paraId="190AAFFE">
            <w:pPr>
              <w:widowControl w:val="0"/>
              <w:jc w:val="center"/>
              <w:rPr>
                <w:color w:val="auto"/>
                <w:sz w:val="21"/>
                <w:szCs w:val="21"/>
              </w:rPr>
            </w:pPr>
            <w:r>
              <w:rPr>
                <w:color w:val="auto"/>
                <w:sz w:val="21"/>
                <w:szCs w:val="21"/>
              </w:rPr>
              <w:t>/</w:t>
            </w:r>
          </w:p>
        </w:tc>
        <w:tc>
          <w:tcPr>
            <w:tcW w:w="1373" w:type="dxa"/>
            <w:vAlign w:val="center"/>
          </w:tcPr>
          <w:p w14:paraId="4A0E6FA0">
            <w:pPr>
              <w:widowControl w:val="0"/>
              <w:jc w:val="center"/>
              <w:rPr>
                <w:color w:val="auto"/>
                <w:sz w:val="22"/>
                <w:szCs w:val="22"/>
              </w:rPr>
            </w:pPr>
            <w:r>
              <w:rPr>
                <w:color w:val="auto"/>
                <w:sz w:val="22"/>
                <w:szCs w:val="22"/>
              </w:rPr>
              <w:t>2.3</w:t>
            </w:r>
          </w:p>
        </w:tc>
        <w:tc>
          <w:tcPr>
            <w:tcW w:w="1177" w:type="dxa"/>
            <w:vAlign w:val="center"/>
          </w:tcPr>
          <w:p w14:paraId="26DD2A7D">
            <w:pPr>
              <w:widowControl w:val="0"/>
              <w:jc w:val="center"/>
              <w:rPr>
                <w:color w:val="auto"/>
                <w:sz w:val="22"/>
                <w:szCs w:val="22"/>
              </w:rPr>
            </w:pPr>
            <w:r>
              <w:rPr>
                <w:color w:val="auto"/>
                <w:sz w:val="22"/>
                <w:szCs w:val="22"/>
              </w:rPr>
              <w:t>0.006</w:t>
            </w:r>
          </w:p>
        </w:tc>
        <w:tc>
          <w:tcPr>
            <w:tcW w:w="1274" w:type="dxa"/>
            <w:vAlign w:val="center"/>
          </w:tcPr>
          <w:p w14:paraId="0DB3BD54">
            <w:pPr>
              <w:widowControl w:val="0"/>
              <w:jc w:val="center"/>
              <w:rPr>
                <w:color w:val="auto"/>
                <w:sz w:val="22"/>
                <w:szCs w:val="22"/>
              </w:rPr>
            </w:pPr>
            <w:r>
              <w:rPr>
                <w:color w:val="auto"/>
                <w:sz w:val="22"/>
                <w:szCs w:val="22"/>
              </w:rPr>
              <w:t>0.05</w:t>
            </w:r>
          </w:p>
        </w:tc>
        <w:tc>
          <w:tcPr>
            <w:tcW w:w="3363" w:type="dxa"/>
            <w:gridSpan w:val="4"/>
            <w:vMerge w:val="continue"/>
            <w:vAlign w:val="center"/>
          </w:tcPr>
          <w:p w14:paraId="4372F0AB">
            <w:pPr>
              <w:widowControl w:val="0"/>
              <w:jc w:val="center"/>
              <w:rPr>
                <w:color w:val="auto"/>
                <w:sz w:val="21"/>
                <w:szCs w:val="21"/>
              </w:rPr>
            </w:pPr>
          </w:p>
        </w:tc>
        <w:tc>
          <w:tcPr>
            <w:tcW w:w="1538" w:type="dxa"/>
            <w:vMerge w:val="continue"/>
            <w:vAlign w:val="center"/>
          </w:tcPr>
          <w:p w14:paraId="2B87AFF5">
            <w:pPr>
              <w:widowControl w:val="0"/>
              <w:jc w:val="center"/>
              <w:rPr>
                <w:color w:val="auto"/>
                <w:sz w:val="21"/>
                <w:szCs w:val="21"/>
              </w:rPr>
            </w:pPr>
          </w:p>
        </w:tc>
      </w:tr>
      <w:tr w14:paraId="66DE416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3E5EB447">
            <w:pPr>
              <w:widowControl w:val="0"/>
              <w:jc w:val="center"/>
              <w:rPr>
                <w:color w:val="auto"/>
                <w:sz w:val="21"/>
                <w:szCs w:val="21"/>
              </w:rPr>
            </w:pPr>
          </w:p>
        </w:tc>
        <w:tc>
          <w:tcPr>
            <w:tcW w:w="1540" w:type="dxa"/>
            <w:vMerge w:val="continue"/>
            <w:vAlign w:val="center"/>
          </w:tcPr>
          <w:p w14:paraId="5236CDA0">
            <w:pPr>
              <w:widowControl w:val="0"/>
              <w:jc w:val="center"/>
              <w:rPr>
                <w:color w:val="auto"/>
                <w:sz w:val="21"/>
                <w:szCs w:val="21"/>
              </w:rPr>
            </w:pPr>
          </w:p>
        </w:tc>
        <w:tc>
          <w:tcPr>
            <w:tcW w:w="1358" w:type="dxa"/>
            <w:vAlign w:val="center"/>
          </w:tcPr>
          <w:p w14:paraId="1B7B580E">
            <w:pPr>
              <w:widowControl w:val="0"/>
              <w:jc w:val="center"/>
              <w:rPr>
                <w:color w:val="auto"/>
                <w:sz w:val="21"/>
                <w:szCs w:val="21"/>
              </w:rPr>
            </w:pPr>
            <w:r>
              <w:rPr>
                <w:color w:val="auto"/>
                <w:sz w:val="21"/>
                <w:szCs w:val="21"/>
              </w:rPr>
              <w:t>NOx</w:t>
            </w:r>
          </w:p>
        </w:tc>
        <w:tc>
          <w:tcPr>
            <w:tcW w:w="1470" w:type="dxa"/>
            <w:vAlign w:val="center"/>
          </w:tcPr>
          <w:p w14:paraId="65EDDE43">
            <w:pPr>
              <w:widowControl w:val="0"/>
              <w:jc w:val="center"/>
              <w:rPr>
                <w:color w:val="auto"/>
                <w:sz w:val="21"/>
                <w:szCs w:val="21"/>
              </w:rPr>
            </w:pPr>
            <w:r>
              <w:rPr>
                <w:color w:val="auto"/>
                <w:sz w:val="21"/>
                <w:szCs w:val="21"/>
              </w:rPr>
              <w:t xml:space="preserve">物料衡算法 </w:t>
            </w:r>
          </w:p>
        </w:tc>
        <w:tc>
          <w:tcPr>
            <w:tcW w:w="1133" w:type="dxa"/>
            <w:vMerge w:val="continue"/>
            <w:vAlign w:val="center"/>
          </w:tcPr>
          <w:p w14:paraId="71748D9F">
            <w:pPr>
              <w:widowControl w:val="0"/>
              <w:jc w:val="center"/>
              <w:rPr>
                <w:color w:val="auto"/>
                <w:sz w:val="21"/>
                <w:szCs w:val="21"/>
              </w:rPr>
            </w:pPr>
          </w:p>
        </w:tc>
        <w:tc>
          <w:tcPr>
            <w:tcW w:w="1417" w:type="dxa"/>
            <w:vAlign w:val="center"/>
          </w:tcPr>
          <w:p w14:paraId="1F6A1270">
            <w:pPr>
              <w:widowControl w:val="0"/>
              <w:jc w:val="center"/>
              <w:rPr>
                <w:color w:val="auto"/>
                <w:sz w:val="22"/>
                <w:szCs w:val="22"/>
              </w:rPr>
            </w:pPr>
            <w:r>
              <w:rPr>
                <w:color w:val="auto"/>
                <w:sz w:val="22"/>
                <w:szCs w:val="22"/>
              </w:rPr>
              <w:t>28.12</w:t>
            </w:r>
          </w:p>
        </w:tc>
        <w:tc>
          <w:tcPr>
            <w:tcW w:w="1275" w:type="dxa"/>
            <w:vAlign w:val="center"/>
          </w:tcPr>
          <w:p w14:paraId="435207F6">
            <w:pPr>
              <w:widowControl w:val="0"/>
              <w:jc w:val="center"/>
              <w:rPr>
                <w:color w:val="auto"/>
                <w:sz w:val="21"/>
                <w:szCs w:val="21"/>
              </w:rPr>
            </w:pPr>
            <w:r>
              <w:rPr>
                <w:color w:val="auto"/>
                <w:sz w:val="21"/>
                <w:szCs w:val="21"/>
              </w:rPr>
              <w:t>0.07</w:t>
            </w:r>
          </w:p>
        </w:tc>
        <w:tc>
          <w:tcPr>
            <w:tcW w:w="1133" w:type="dxa"/>
            <w:vAlign w:val="center"/>
          </w:tcPr>
          <w:p w14:paraId="3D0847D4">
            <w:pPr>
              <w:widowControl w:val="0"/>
              <w:jc w:val="center"/>
              <w:rPr>
                <w:color w:val="auto"/>
                <w:sz w:val="21"/>
                <w:szCs w:val="21"/>
              </w:rPr>
            </w:pPr>
            <w:r>
              <w:rPr>
                <w:color w:val="auto"/>
                <w:sz w:val="21"/>
                <w:szCs w:val="21"/>
              </w:rPr>
              <w:t>0.56</w:t>
            </w:r>
          </w:p>
        </w:tc>
        <w:tc>
          <w:tcPr>
            <w:tcW w:w="1523" w:type="dxa"/>
            <w:vMerge w:val="continue"/>
            <w:vAlign w:val="center"/>
          </w:tcPr>
          <w:p w14:paraId="01B8533B">
            <w:pPr>
              <w:widowControl w:val="0"/>
              <w:jc w:val="center"/>
              <w:rPr>
                <w:color w:val="auto"/>
                <w:sz w:val="21"/>
                <w:szCs w:val="21"/>
              </w:rPr>
            </w:pPr>
          </w:p>
        </w:tc>
        <w:tc>
          <w:tcPr>
            <w:tcW w:w="1025" w:type="dxa"/>
            <w:vAlign w:val="center"/>
          </w:tcPr>
          <w:p w14:paraId="175DAF4A">
            <w:pPr>
              <w:widowControl w:val="0"/>
              <w:jc w:val="center"/>
              <w:rPr>
                <w:color w:val="auto"/>
                <w:sz w:val="21"/>
                <w:szCs w:val="21"/>
              </w:rPr>
            </w:pPr>
            <w:r>
              <w:rPr>
                <w:color w:val="auto"/>
                <w:sz w:val="21"/>
                <w:szCs w:val="21"/>
              </w:rPr>
              <w:t>/</w:t>
            </w:r>
          </w:p>
        </w:tc>
        <w:tc>
          <w:tcPr>
            <w:tcW w:w="1373" w:type="dxa"/>
            <w:vAlign w:val="center"/>
          </w:tcPr>
          <w:p w14:paraId="001A6DD9">
            <w:pPr>
              <w:widowControl w:val="0"/>
              <w:jc w:val="center"/>
              <w:rPr>
                <w:color w:val="auto"/>
                <w:sz w:val="22"/>
                <w:szCs w:val="22"/>
              </w:rPr>
            </w:pPr>
            <w:r>
              <w:rPr>
                <w:color w:val="auto"/>
                <w:sz w:val="22"/>
                <w:szCs w:val="22"/>
              </w:rPr>
              <w:t>28.1</w:t>
            </w:r>
          </w:p>
        </w:tc>
        <w:tc>
          <w:tcPr>
            <w:tcW w:w="1177" w:type="dxa"/>
            <w:vAlign w:val="center"/>
          </w:tcPr>
          <w:p w14:paraId="10F4DEA6">
            <w:pPr>
              <w:widowControl w:val="0"/>
              <w:jc w:val="center"/>
              <w:rPr>
                <w:color w:val="auto"/>
                <w:sz w:val="22"/>
                <w:szCs w:val="22"/>
              </w:rPr>
            </w:pPr>
            <w:r>
              <w:rPr>
                <w:color w:val="auto"/>
                <w:sz w:val="22"/>
                <w:szCs w:val="22"/>
              </w:rPr>
              <w:t>0.070</w:t>
            </w:r>
          </w:p>
        </w:tc>
        <w:tc>
          <w:tcPr>
            <w:tcW w:w="1274" w:type="dxa"/>
            <w:vAlign w:val="center"/>
          </w:tcPr>
          <w:p w14:paraId="1D0E3E5B">
            <w:pPr>
              <w:widowControl w:val="0"/>
              <w:jc w:val="center"/>
              <w:rPr>
                <w:color w:val="auto"/>
                <w:sz w:val="22"/>
                <w:szCs w:val="22"/>
              </w:rPr>
            </w:pPr>
            <w:r>
              <w:rPr>
                <w:color w:val="auto"/>
                <w:sz w:val="22"/>
                <w:szCs w:val="22"/>
              </w:rPr>
              <w:t>0.6</w:t>
            </w:r>
          </w:p>
        </w:tc>
        <w:tc>
          <w:tcPr>
            <w:tcW w:w="3363" w:type="dxa"/>
            <w:gridSpan w:val="4"/>
            <w:vMerge w:val="continue"/>
            <w:vAlign w:val="center"/>
          </w:tcPr>
          <w:p w14:paraId="467AE5CF">
            <w:pPr>
              <w:widowControl w:val="0"/>
              <w:jc w:val="center"/>
              <w:rPr>
                <w:color w:val="auto"/>
                <w:sz w:val="21"/>
                <w:szCs w:val="21"/>
              </w:rPr>
            </w:pPr>
          </w:p>
        </w:tc>
        <w:tc>
          <w:tcPr>
            <w:tcW w:w="1538" w:type="dxa"/>
            <w:vMerge w:val="continue"/>
            <w:vAlign w:val="center"/>
          </w:tcPr>
          <w:p w14:paraId="73CEFD74">
            <w:pPr>
              <w:widowControl w:val="0"/>
              <w:jc w:val="center"/>
              <w:rPr>
                <w:color w:val="auto"/>
                <w:sz w:val="21"/>
                <w:szCs w:val="21"/>
              </w:rPr>
            </w:pPr>
          </w:p>
        </w:tc>
      </w:tr>
      <w:tr w14:paraId="02C447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777EF1FD">
            <w:pPr>
              <w:widowControl w:val="0"/>
              <w:jc w:val="center"/>
              <w:rPr>
                <w:color w:val="auto"/>
                <w:sz w:val="21"/>
                <w:szCs w:val="21"/>
              </w:rPr>
            </w:pPr>
            <w:r>
              <w:rPr>
                <w:color w:val="auto"/>
                <w:sz w:val="21"/>
                <w:szCs w:val="21"/>
              </w:rPr>
              <w:t>G</w:t>
            </w:r>
            <w:r>
              <w:rPr>
                <w:color w:val="auto"/>
                <w:sz w:val="21"/>
                <w:szCs w:val="21"/>
                <w:vertAlign w:val="subscript"/>
              </w:rPr>
              <w:t>14</w:t>
            </w:r>
          </w:p>
        </w:tc>
        <w:tc>
          <w:tcPr>
            <w:tcW w:w="1540" w:type="dxa"/>
            <w:vMerge w:val="restart"/>
            <w:vAlign w:val="center"/>
          </w:tcPr>
          <w:p w14:paraId="5C166940">
            <w:pPr>
              <w:widowControl w:val="0"/>
              <w:jc w:val="center"/>
              <w:rPr>
                <w:color w:val="auto"/>
                <w:sz w:val="21"/>
                <w:szCs w:val="21"/>
              </w:rPr>
            </w:pPr>
            <w:r>
              <w:rPr>
                <w:color w:val="auto"/>
                <w:sz w:val="21"/>
                <w:szCs w:val="21"/>
              </w:rPr>
              <w:t>载体焙烧烟气</w:t>
            </w:r>
          </w:p>
        </w:tc>
        <w:tc>
          <w:tcPr>
            <w:tcW w:w="1358" w:type="dxa"/>
            <w:vAlign w:val="center"/>
          </w:tcPr>
          <w:p w14:paraId="62D09D48">
            <w:pPr>
              <w:widowControl w:val="0"/>
              <w:jc w:val="center"/>
              <w:rPr>
                <w:color w:val="auto"/>
                <w:sz w:val="21"/>
                <w:szCs w:val="21"/>
              </w:rPr>
            </w:pPr>
            <w:r>
              <w:rPr>
                <w:color w:val="auto"/>
                <w:sz w:val="21"/>
                <w:szCs w:val="21"/>
              </w:rPr>
              <w:t>颗粒物</w:t>
            </w:r>
          </w:p>
        </w:tc>
        <w:tc>
          <w:tcPr>
            <w:tcW w:w="1470" w:type="dxa"/>
            <w:vAlign w:val="center"/>
          </w:tcPr>
          <w:p w14:paraId="782EB59C">
            <w:pPr>
              <w:widowControl w:val="0"/>
              <w:jc w:val="center"/>
              <w:rPr>
                <w:color w:val="auto"/>
                <w:sz w:val="21"/>
                <w:szCs w:val="21"/>
              </w:rPr>
            </w:pPr>
            <w:r>
              <w:rPr>
                <w:color w:val="auto"/>
                <w:sz w:val="21"/>
                <w:szCs w:val="21"/>
              </w:rPr>
              <w:t>物料衡算法</w:t>
            </w:r>
          </w:p>
        </w:tc>
        <w:tc>
          <w:tcPr>
            <w:tcW w:w="1133" w:type="dxa"/>
            <w:vMerge w:val="restart"/>
            <w:vAlign w:val="center"/>
          </w:tcPr>
          <w:p w14:paraId="32FA1570">
            <w:pPr>
              <w:widowControl w:val="0"/>
              <w:jc w:val="center"/>
              <w:rPr>
                <w:color w:val="auto"/>
                <w:sz w:val="21"/>
                <w:szCs w:val="21"/>
              </w:rPr>
            </w:pPr>
            <w:r>
              <w:rPr>
                <w:color w:val="auto"/>
                <w:sz w:val="21"/>
                <w:szCs w:val="21"/>
              </w:rPr>
              <w:t>3200</w:t>
            </w:r>
          </w:p>
        </w:tc>
        <w:tc>
          <w:tcPr>
            <w:tcW w:w="1417" w:type="dxa"/>
            <w:vAlign w:val="center"/>
          </w:tcPr>
          <w:p w14:paraId="3F153597">
            <w:pPr>
              <w:widowControl w:val="0"/>
              <w:jc w:val="center"/>
              <w:rPr>
                <w:color w:val="auto"/>
                <w:sz w:val="21"/>
                <w:szCs w:val="21"/>
              </w:rPr>
            </w:pPr>
            <w:r>
              <w:rPr>
                <w:color w:val="auto"/>
                <w:sz w:val="21"/>
                <w:szCs w:val="21"/>
              </w:rPr>
              <w:t xml:space="preserve">1929.54 </w:t>
            </w:r>
          </w:p>
        </w:tc>
        <w:tc>
          <w:tcPr>
            <w:tcW w:w="1275" w:type="dxa"/>
            <w:vAlign w:val="center"/>
          </w:tcPr>
          <w:p w14:paraId="2BB5BBC5">
            <w:pPr>
              <w:widowControl w:val="0"/>
              <w:jc w:val="center"/>
              <w:rPr>
                <w:color w:val="auto"/>
                <w:sz w:val="21"/>
                <w:szCs w:val="21"/>
              </w:rPr>
            </w:pPr>
            <w:r>
              <w:rPr>
                <w:color w:val="auto"/>
                <w:sz w:val="21"/>
                <w:szCs w:val="21"/>
              </w:rPr>
              <w:t>6.17</w:t>
            </w:r>
          </w:p>
        </w:tc>
        <w:tc>
          <w:tcPr>
            <w:tcW w:w="1133" w:type="dxa"/>
            <w:vAlign w:val="center"/>
          </w:tcPr>
          <w:p w14:paraId="75F14D34">
            <w:pPr>
              <w:widowControl w:val="0"/>
              <w:jc w:val="center"/>
              <w:rPr>
                <w:color w:val="auto"/>
                <w:sz w:val="21"/>
                <w:szCs w:val="21"/>
              </w:rPr>
            </w:pPr>
            <w:r>
              <w:rPr>
                <w:color w:val="auto"/>
                <w:sz w:val="21"/>
                <w:szCs w:val="21"/>
              </w:rPr>
              <w:t>49.4</w:t>
            </w:r>
          </w:p>
        </w:tc>
        <w:tc>
          <w:tcPr>
            <w:tcW w:w="1523" w:type="dxa"/>
            <w:vAlign w:val="center"/>
          </w:tcPr>
          <w:p w14:paraId="452BBF86">
            <w:pPr>
              <w:widowControl w:val="0"/>
              <w:jc w:val="center"/>
              <w:rPr>
                <w:color w:val="auto"/>
                <w:sz w:val="21"/>
                <w:szCs w:val="21"/>
              </w:rPr>
            </w:pPr>
            <w:r>
              <w:rPr>
                <w:color w:val="auto"/>
                <w:sz w:val="21"/>
                <w:szCs w:val="21"/>
              </w:rPr>
              <w:t>　</w:t>
            </w:r>
          </w:p>
        </w:tc>
        <w:tc>
          <w:tcPr>
            <w:tcW w:w="1025" w:type="dxa"/>
            <w:vAlign w:val="center"/>
          </w:tcPr>
          <w:p w14:paraId="3A5F466E">
            <w:pPr>
              <w:widowControl w:val="0"/>
              <w:jc w:val="center"/>
              <w:rPr>
                <w:color w:val="auto"/>
                <w:sz w:val="21"/>
                <w:szCs w:val="21"/>
              </w:rPr>
            </w:pPr>
            <w:r>
              <w:rPr>
                <w:color w:val="auto"/>
                <w:sz w:val="21"/>
                <w:szCs w:val="21"/>
              </w:rPr>
              <w:t>99.8%</w:t>
            </w:r>
          </w:p>
        </w:tc>
        <w:tc>
          <w:tcPr>
            <w:tcW w:w="1373" w:type="dxa"/>
            <w:vAlign w:val="center"/>
          </w:tcPr>
          <w:p w14:paraId="741DC020">
            <w:pPr>
              <w:widowControl w:val="0"/>
              <w:jc w:val="center"/>
              <w:rPr>
                <w:color w:val="auto"/>
                <w:sz w:val="21"/>
                <w:szCs w:val="21"/>
              </w:rPr>
            </w:pPr>
            <w:r>
              <w:rPr>
                <w:color w:val="auto"/>
                <w:sz w:val="21"/>
                <w:szCs w:val="21"/>
              </w:rPr>
              <w:t xml:space="preserve">3.86 </w:t>
            </w:r>
          </w:p>
        </w:tc>
        <w:tc>
          <w:tcPr>
            <w:tcW w:w="1177" w:type="dxa"/>
            <w:vAlign w:val="center"/>
          </w:tcPr>
          <w:p w14:paraId="3460877C">
            <w:pPr>
              <w:widowControl w:val="0"/>
              <w:jc w:val="center"/>
              <w:rPr>
                <w:color w:val="auto"/>
                <w:sz w:val="21"/>
                <w:szCs w:val="21"/>
              </w:rPr>
            </w:pPr>
            <w:r>
              <w:rPr>
                <w:color w:val="auto"/>
                <w:sz w:val="21"/>
                <w:szCs w:val="21"/>
              </w:rPr>
              <w:t>0.01</w:t>
            </w:r>
          </w:p>
        </w:tc>
        <w:tc>
          <w:tcPr>
            <w:tcW w:w="1274" w:type="dxa"/>
            <w:vAlign w:val="center"/>
          </w:tcPr>
          <w:p w14:paraId="763A5D43">
            <w:pPr>
              <w:widowControl w:val="0"/>
              <w:jc w:val="center"/>
              <w:rPr>
                <w:color w:val="auto"/>
                <w:sz w:val="21"/>
                <w:szCs w:val="21"/>
              </w:rPr>
            </w:pPr>
            <w:r>
              <w:rPr>
                <w:color w:val="auto"/>
                <w:sz w:val="21"/>
                <w:szCs w:val="21"/>
              </w:rPr>
              <w:t>0.1</w:t>
            </w:r>
          </w:p>
        </w:tc>
        <w:tc>
          <w:tcPr>
            <w:tcW w:w="3363" w:type="dxa"/>
            <w:gridSpan w:val="4"/>
            <w:vMerge w:val="restart"/>
            <w:vAlign w:val="center"/>
          </w:tcPr>
          <w:p w14:paraId="3818BC8A">
            <w:pPr>
              <w:widowControl w:val="0"/>
              <w:jc w:val="center"/>
              <w:rPr>
                <w:color w:val="auto"/>
                <w:sz w:val="21"/>
                <w:szCs w:val="21"/>
              </w:rPr>
            </w:pPr>
            <w:r>
              <w:rPr>
                <w:color w:val="auto"/>
                <w:sz w:val="21"/>
                <w:szCs w:val="21"/>
              </w:rPr>
              <w:t>与催化剂焙烧废气混合经SCR处理通过DA007排放</w:t>
            </w:r>
          </w:p>
        </w:tc>
        <w:tc>
          <w:tcPr>
            <w:tcW w:w="1538" w:type="dxa"/>
            <w:vMerge w:val="restart"/>
            <w:vAlign w:val="center"/>
          </w:tcPr>
          <w:p w14:paraId="2805D4DF">
            <w:pPr>
              <w:widowControl w:val="0"/>
              <w:jc w:val="center"/>
              <w:rPr>
                <w:color w:val="auto"/>
                <w:sz w:val="21"/>
                <w:szCs w:val="21"/>
              </w:rPr>
            </w:pPr>
            <w:r>
              <w:rPr>
                <w:color w:val="auto"/>
                <w:sz w:val="21"/>
                <w:szCs w:val="21"/>
              </w:rPr>
              <w:t>8000</w:t>
            </w:r>
          </w:p>
        </w:tc>
      </w:tr>
      <w:tr w14:paraId="7B40F26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3EFAC711">
            <w:pPr>
              <w:widowControl w:val="0"/>
              <w:jc w:val="center"/>
              <w:rPr>
                <w:color w:val="auto"/>
                <w:sz w:val="21"/>
                <w:szCs w:val="21"/>
              </w:rPr>
            </w:pPr>
          </w:p>
        </w:tc>
        <w:tc>
          <w:tcPr>
            <w:tcW w:w="1540" w:type="dxa"/>
            <w:vMerge w:val="continue"/>
            <w:vAlign w:val="center"/>
          </w:tcPr>
          <w:p w14:paraId="35B3A9E6">
            <w:pPr>
              <w:widowControl w:val="0"/>
              <w:jc w:val="center"/>
              <w:rPr>
                <w:color w:val="auto"/>
                <w:sz w:val="21"/>
                <w:szCs w:val="21"/>
              </w:rPr>
            </w:pPr>
          </w:p>
        </w:tc>
        <w:tc>
          <w:tcPr>
            <w:tcW w:w="1358" w:type="dxa"/>
            <w:vAlign w:val="center"/>
          </w:tcPr>
          <w:p w14:paraId="4889BB6A">
            <w:pPr>
              <w:widowControl w:val="0"/>
              <w:jc w:val="center"/>
              <w:rPr>
                <w:color w:val="auto"/>
                <w:sz w:val="21"/>
                <w:szCs w:val="21"/>
              </w:rPr>
            </w:pPr>
            <w:r>
              <w:rPr>
                <w:color w:val="auto"/>
                <w:sz w:val="21"/>
                <w:szCs w:val="21"/>
              </w:rPr>
              <w:t>NOx</w:t>
            </w:r>
          </w:p>
        </w:tc>
        <w:tc>
          <w:tcPr>
            <w:tcW w:w="1470" w:type="dxa"/>
            <w:vAlign w:val="center"/>
          </w:tcPr>
          <w:p w14:paraId="66E7A9B2">
            <w:pPr>
              <w:widowControl w:val="0"/>
              <w:jc w:val="center"/>
              <w:rPr>
                <w:color w:val="auto"/>
                <w:sz w:val="21"/>
                <w:szCs w:val="21"/>
              </w:rPr>
            </w:pPr>
            <w:r>
              <w:rPr>
                <w:color w:val="auto"/>
                <w:sz w:val="21"/>
                <w:szCs w:val="21"/>
              </w:rPr>
              <w:t>物料衡算法</w:t>
            </w:r>
          </w:p>
        </w:tc>
        <w:tc>
          <w:tcPr>
            <w:tcW w:w="1133" w:type="dxa"/>
            <w:vMerge w:val="continue"/>
            <w:vAlign w:val="center"/>
          </w:tcPr>
          <w:p w14:paraId="606609D9">
            <w:pPr>
              <w:widowControl w:val="0"/>
              <w:jc w:val="center"/>
              <w:rPr>
                <w:color w:val="auto"/>
                <w:sz w:val="21"/>
                <w:szCs w:val="21"/>
              </w:rPr>
            </w:pPr>
          </w:p>
        </w:tc>
        <w:tc>
          <w:tcPr>
            <w:tcW w:w="1417" w:type="dxa"/>
            <w:vAlign w:val="center"/>
          </w:tcPr>
          <w:p w14:paraId="4594B128">
            <w:pPr>
              <w:widowControl w:val="0"/>
              <w:jc w:val="center"/>
              <w:rPr>
                <w:color w:val="auto"/>
                <w:sz w:val="22"/>
                <w:szCs w:val="22"/>
              </w:rPr>
            </w:pPr>
            <w:r>
              <w:rPr>
                <w:color w:val="auto"/>
                <w:sz w:val="22"/>
                <w:szCs w:val="22"/>
              </w:rPr>
              <w:t>939.16</w:t>
            </w:r>
          </w:p>
        </w:tc>
        <w:tc>
          <w:tcPr>
            <w:tcW w:w="1275" w:type="dxa"/>
            <w:vAlign w:val="center"/>
          </w:tcPr>
          <w:p w14:paraId="745D37E0">
            <w:pPr>
              <w:widowControl w:val="0"/>
              <w:jc w:val="center"/>
              <w:rPr>
                <w:color w:val="auto"/>
                <w:sz w:val="21"/>
                <w:szCs w:val="21"/>
              </w:rPr>
            </w:pPr>
            <w:r>
              <w:rPr>
                <w:color w:val="auto"/>
                <w:sz w:val="21"/>
                <w:szCs w:val="21"/>
              </w:rPr>
              <w:t>3.01</w:t>
            </w:r>
          </w:p>
        </w:tc>
        <w:tc>
          <w:tcPr>
            <w:tcW w:w="1133" w:type="dxa"/>
            <w:vAlign w:val="center"/>
          </w:tcPr>
          <w:p w14:paraId="37357F3E">
            <w:pPr>
              <w:widowControl w:val="0"/>
              <w:jc w:val="center"/>
              <w:rPr>
                <w:color w:val="auto"/>
                <w:sz w:val="21"/>
                <w:szCs w:val="21"/>
              </w:rPr>
            </w:pPr>
            <w:r>
              <w:rPr>
                <w:color w:val="auto"/>
                <w:sz w:val="21"/>
                <w:szCs w:val="21"/>
              </w:rPr>
              <w:t>24.04</w:t>
            </w:r>
          </w:p>
        </w:tc>
        <w:tc>
          <w:tcPr>
            <w:tcW w:w="1523" w:type="dxa"/>
            <w:vAlign w:val="center"/>
          </w:tcPr>
          <w:p w14:paraId="1A5F3289">
            <w:pPr>
              <w:widowControl w:val="0"/>
              <w:jc w:val="center"/>
              <w:rPr>
                <w:color w:val="auto"/>
                <w:sz w:val="21"/>
                <w:szCs w:val="21"/>
              </w:rPr>
            </w:pPr>
            <w:r>
              <w:rPr>
                <w:color w:val="auto"/>
                <w:sz w:val="21"/>
                <w:szCs w:val="21"/>
              </w:rPr>
              <w:t>　</w:t>
            </w:r>
          </w:p>
        </w:tc>
        <w:tc>
          <w:tcPr>
            <w:tcW w:w="1025" w:type="dxa"/>
            <w:vAlign w:val="center"/>
          </w:tcPr>
          <w:p w14:paraId="51227069">
            <w:pPr>
              <w:widowControl w:val="0"/>
              <w:jc w:val="center"/>
              <w:rPr>
                <w:color w:val="auto"/>
                <w:sz w:val="21"/>
                <w:szCs w:val="21"/>
              </w:rPr>
            </w:pPr>
            <w:r>
              <w:rPr>
                <w:color w:val="auto"/>
                <w:sz w:val="21"/>
                <w:szCs w:val="21"/>
              </w:rPr>
              <w:t>92.50%</w:t>
            </w:r>
          </w:p>
        </w:tc>
        <w:tc>
          <w:tcPr>
            <w:tcW w:w="1373" w:type="dxa"/>
            <w:vAlign w:val="center"/>
          </w:tcPr>
          <w:p w14:paraId="313F404A">
            <w:pPr>
              <w:widowControl w:val="0"/>
              <w:jc w:val="center"/>
              <w:rPr>
                <w:color w:val="auto"/>
                <w:sz w:val="22"/>
                <w:szCs w:val="22"/>
              </w:rPr>
            </w:pPr>
            <w:r>
              <w:rPr>
                <w:color w:val="auto"/>
                <w:sz w:val="22"/>
                <w:szCs w:val="22"/>
              </w:rPr>
              <w:t>70.44</w:t>
            </w:r>
          </w:p>
        </w:tc>
        <w:tc>
          <w:tcPr>
            <w:tcW w:w="1177" w:type="dxa"/>
            <w:vAlign w:val="center"/>
          </w:tcPr>
          <w:p w14:paraId="6292300C">
            <w:pPr>
              <w:widowControl w:val="0"/>
              <w:jc w:val="center"/>
              <w:rPr>
                <w:color w:val="auto"/>
                <w:sz w:val="22"/>
                <w:szCs w:val="22"/>
              </w:rPr>
            </w:pPr>
            <w:r>
              <w:rPr>
                <w:color w:val="auto"/>
                <w:sz w:val="22"/>
                <w:szCs w:val="22"/>
              </w:rPr>
              <w:t>0.23</w:t>
            </w:r>
          </w:p>
        </w:tc>
        <w:tc>
          <w:tcPr>
            <w:tcW w:w="1274" w:type="dxa"/>
            <w:vAlign w:val="center"/>
          </w:tcPr>
          <w:p w14:paraId="1D4A1C0C">
            <w:pPr>
              <w:widowControl w:val="0"/>
              <w:jc w:val="center"/>
              <w:rPr>
                <w:color w:val="auto"/>
                <w:sz w:val="22"/>
                <w:szCs w:val="22"/>
              </w:rPr>
            </w:pPr>
            <w:r>
              <w:rPr>
                <w:color w:val="auto"/>
                <w:sz w:val="22"/>
                <w:szCs w:val="22"/>
              </w:rPr>
              <w:t>1.80</w:t>
            </w:r>
          </w:p>
        </w:tc>
        <w:tc>
          <w:tcPr>
            <w:tcW w:w="3363" w:type="dxa"/>
            <w:gridSpan w:val="4"/>
            <w:vMerge w:val="continue"/>
            <w:vAlign w:val="center"/>
          </w:tcPr>
          <w:p w14:paraId="3F22AA1D">
            <w:pPr>
              <w:widowControl w:val="0"/>
              <w:jc w:val="center"/>
              <w:rPr>
                <w:color w:val="auto"/>
                <w:sz w:val="21"/>
                <w:szCs w:val="21"/>
              </w:rPr>
            </w:pPr>
          </w:p>
        </w:tc>
        <w:tc>
          <w:tcPr>
            <w:tcW w:w="1538" w:type="dxa"/>
            <w:vMerge w:val="continue"/>
            <w:vAlign w:val="center"/>
          </w:tcPr>
          <w:p w14:paraId="2FE4E564">
            <w:pPr>
              <w:widowControl w:val="0"/>
              <w:jc w:val="center"/>
              <w:rPr>
                <w:color w:val="auto"/>
                <w:sz w:val="21"/>
                <w:szCs w:val="21"/>
              </w:rPr>
            </w:pPr>
          </w:p>
        </w:tc>
      </w:tr>
      <w:tr w14:paraId="012887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5A0921F">
            <w:pPr>
              <w:widowControl w:val="0"/>
              <w:jc w:val="center"/>
              <w:rPr>
                <w:color w:val="auto"/>
                <w:sz w:val="21"/>
                <w:szCs w:val="21"/>
              </w:rPr>
            </w:pPr>
          </w:p>
        </w:tc>
        <w:tc>
          <w:tcPr>
            <w:tcW w:w="1540" w:type="dxa"/>
            <w:vMerge w:val="continue"/>
            <w:vAlign w:val="center"/>
          </w:tcPr>
          <w:p w14:paraId="7C1258FE">
            <w:pPr>
              <w:widowControl w:val="0"/>
              <w:jc w:val="center"/>
              <w:rPr>
                <w:color w:val="auto"/>
                <w:sz w:val="21"/>
                <w:szCs w:val="21"/>
              </w:rPr>
            </w:pPr>
          </w:p>
        </w:tc>
        <w:tc>
          <w:tcPr>
            <w:tcW w:w="1358" w:type="dxa"/>
            <w:vAlign w:val="center"/>
          </w:tcPr>
          <w:p w14:paraId="66ED0F24">
            <w:pPr>
              <w:widowControl w:val="0"/>
              <w:jc w:val="center"/>
              <w:rPr>
                <w:color w:val="auto"/>
                <w:sz w:val="21"/>
                <w:szCs w:val="21"/>
              </w:rPr>
            </w:pPr>
            <w:r>
              <w:rPr>
                <w:color w:val="auto"/>
                <w:sz w:val="21"/>
                <w:szCs w:val="21"/>
              </w:rPr>
              <w:t>NH3</w:t>
            </w:r>
          </w:p>
        </w:tc>
        <w:tc>
          <w:tcPr>
            <w:tcW w:w="1470" w:type="dxa"/>
            <w:vAlign w:val="center"/>
          </w:tcPr>
          <w:p w14:paraId="2F6AD67C">
            <w:pPr>
              <w:widowControl w:val="0"/>
              <w:jc w:val="center"/>
              <w:rPr>
                <w:color w:val="auto"/>
                <w:sz w:val="21"/>
                <w:szCs w:val="21"/>
              </w:rPr>
            </w:pPr>
            <w:r>
              <w:rPr>
                <w:color w:val="auto"/>
                <w:sz w:val="21"/>
                <w:szCs w:val="21"/>
              </w:rPr>
              <w:t xml:space="preserve">系数法 </w:t>
            </w:r>
          </w:p>
        </w:tc>
        <w:tc>
          <w:tcPr>
            <w:tcW w:w="1133" w:type="dxa"/>
            <w:vMerge w:val="continue"/>
            <w:vAlign w:val="center"/>
          </w:tcPr>
          <w:p w14:paraId="30B316EF">
            <w:pPr>
              <w:widowControl w:val="0"/>
              <w:jc w:val="center"/>
              <w:rPr>
                <w:color w:val="auto"/>
                <w:sz w:val="21"/>
                <w:szCs w:val="21"/>
              </w:rPr>
            </w:pPr>
          </w:p>
        </w:tc>
        <w:tc>
          <w:tcPr>
            <w:tcW w:w="1417" w:type="dxa"/>
            <w:vAlign w:val="center"/>
          </w:tcPr>
          <w:p w14:paraId="61839807">
            <w:pPr>
              <w:widowControl w:val="0"/>
              <w:jc w:val="center"/>
              <w:rPr>
                <w:color w:val="auto"/>
                <w:sz w:val="22"/>
                <w:szCs w:val="22"/>
              </w:rPr>
            </w:pPr>
            <w:r>
              <w:rPr>
                <w:color w:val="auto"/>
                <w:sz w:val="22"/>
                <w:szCs w:val="22"/>
              </w:rPr>
              <w:t>2.50</w:t>
            </w:r>
          </w:p>
        </w:tc>
        <w:tc>
          <w:tcPr>
            <w:tcW w:w="1275" w:type="dxa"/>
            <w:vAlign w:val="center"/>
          </w:tcPr>
          <w:p w14:paraId="106C3025">
            <w:pPr>
              <w:widowControl w:val="0"/>
              <w:jc w:val="center"/>
              <w:rPr>
                <w:color w:val="auto"/>
                <w:sz w:val="21"/>
                <w:szCs w:val="21"/>
              </w:rPr>
            </w:pPr>
            <w:r>
              <w:rPr>
                <w:color w:val="auto"/>
                <w:sz w:val="21"/>
                <w:szCs w:val="21"/>
              </w:rPr>
              <w:t>0.008</w:t>
            </w:r>
          </w:p>
        </w:tc>
        <w:tc>
          <w:tcPr>
            <w:tcW w:w="1133" w:type="dxa"/>
            <w:vAlign w:val="center"/>
          </w:tcPr>
          <w:p w14:paraId="217FA8A0">
            <w:pPr>
              <w:widowControl w:val="0"/>
              <w:jc w:val="center"/>
              <w:rPr>
                <w:color w:val="auto"/>
                <w:sz w:val="21"/>
                <w:szCs w:val="21"/>
              </w:rPr>
            </w:pPr>
            <w:r>
              <w:rPr>
                <w:color w:val="auto"/>
                <w:sz w:val="21"/>
                <w:szCs w:val="21"/>
              </w:rPr>
              <w:t>0.064</w:t>
            </w:r>
          </w:p>
        </w:tc>
        <w:tc>
          <w:tcPr>
            <w:tcW w:w="1523" w:type="dxa"/>
            <w:vAlign w:val="center"/>
          </w:tcPr>
          <w:p w14:paraId="3974C9E8">
            <w:pPr>
              <w:widowControl w:val="0"/>
              <w:jc w:val="center"/>
              <w:rPr>
                <w:color w:val="auto"/>
                <w:sz w:val="21"/>
                <w:szCs w:val="21"/>
              </w:rPr>
            </w:pPr>
            <w:r>
              <w:rPr>
                <w:color w:val="auto"/>
                <w:sz w:val="21"/>
                <w:szCs w:val="21"/>
              </w:rPr>
              <w:t>　</w:t>
            </w:r>
          </w:p>
        </w:tc>
        <w:tc>
          <w:tcPr>
            <w:tcW w:w="1025" w:type="dxa"/>
            <w:vAlign w:val="center"/>
          </w:tcPr>
          <w:p w14:paraId="5072A392">
            <w:pPr>
              <w:widowControl w:val="0"/>
              <w:jc w:val="center"/>
              <w:rPr>
                <w:color w:val="auto"/>
                <w:sz w:val="21"/>
                <w:szCs w:val="21"/>
              </w:rPr>
            </w:pPr>
            <w:r>
              <w:rPr>
                <w:color w:val="auto"/>
                <w:sz w:val="21"/>
                <w:szCs w:val="21"/>
              </w:rPr>
              <w:t>/</w:t>
            </w:r>
          </w:p>
        </w:tc>
        <w:tc>
          <w:tcPr>
            <w:tcW w:w="1373" w:type="dxa"/>
            <w:vAlign w:val="center"/>
          </w:tcPr>
          <w:p w14:paraId="58F9ED28">
            <w:pPr>
              <w:widowControl w:val="0"/>
              <w:jc w:val="center"/>
              <w:rPr>
                <w:color w:val="auto"/>
                <w:sz w:val="22"/>
                <w:szCs w:val="22"/>
              </w:rPr>
            </w:pPr>
            <w:r>
              <w:rPr>
                <w:color w:val="auto"/>
                <w:sz w:val="22"/>
                <w:szCs w:val="22"/>
              </w:rPr>
              <w:t>2.50</w:t>
            </w:r>
          </w:p>
        </w:tc>
        <w:tc>
          <w:tcPr>
            <w:tcW w:w="1177" w:type="dxa"/>
            <w:vAlign w:val="center"/>
          </w:tcPr>
          <w:p w14:paraId="070BFE90">
            <w:pPr>
              <w:widowControl w:val="0"/>
              <w:jc w:val="center"/>
              <w:rPr>
                <w:color w:val="auto"/>
                <w:sz w:val="21"/>
                <w:szCs w:val="21"/>
              </w:rPr>
            </w:pPr>
            <w:r>
              <w:rPr>
                <w:color w:val="auto"/>
                <w:sz w:val="21"/>
                <w:szCs w:val="21"/>
              </w:rPr>
              <w:t>0.01</w:t>
            </w:r>
          </w:p>
        </w:tc>
        <w:tc>
          <w:tcPr>
            <w:tcW w:w="1274" w:type="dxa"/>
            <w:vAlign w:val="center"/>
          </w:tcPr>
          <w:p w14:paraId="7231846B">
            <w:pPr>
              <w:widowControl w:val="0"/>
              <w:jc w:val="center"/>
              <w:rPr>
                <w:color w:val="auto"/>
                <w:sz w:val="21"/>
                <w:szCs w:val="21"/>
              </w:rPr>
            </w:pPr>
            <w:r>
              <w:rPr>
                <w:color w:val="auto"/>
                <w:sz w:val="21"/>
                <w:szCs w:val="21"/>
              </w:rPr>
              <w:t>0.1</w:t>
            </w:r>
          </w:p>
        </w:tc>
        <w:tc>
          <w:tcPr>
            <w:tcW w:w="3363" w:type="dxa"/>
            <w:gridSpan w:val="4"/>
            <w:vMerge w:val="continue"/>
            <w:vAlign w:val="center"/>
          </w:tcPr>
          <w:p w14:paraId="70B20038">
            <w:pPr>
              <w:widowControl w:val="0"/>
              <w:jc w:val="center"/>
              <w:rPr>
                <w:color w:val="auto"/>
                <w:sz w:val="21"/>
                <w:szCs w:val="21"/>
              </w:rPr>
            </w:pPr>
          </w:p>
        </w:tc>
        <w:tc>
          <w:tcPr>
            <w:tcW w:w="1538" w:type="dxa"/>
            <w:vMerge w:val="continue"/>
            <w:vAlign w:val="center"/>
          </w:tcPr>
          <w:p w14:paraId="77BF4E37">
            <w:pPr>
              <w:widowControl w:val="0"/>
              <w:jc w:val="center"/>
              <w:rPr>
                <w:color w:val="auto"/>
                <w:sz w:val="21"/>
                <w:szCs w:val="21"/>
              </w:rPr>
            </w:pPr>
          </w:p>
        </w:tc>
      </w:tr>
      <w:tr w14:paraId="142A785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0AD57754">
            <w:pPr>
              <w:widowControl w:val="0"/>
              <w:jc w:val="center"/>
              <w:rPr>
                <w:color w:val="auto"/>
                <w:sz w:val="21"/>
                <w:szCs w:val="21"/>
              </w:rPr>
            </w:pPr>
            <w:r>
              <w:rPr>
                <w:color w:val="auto"/>
                <w:sz w:val="21"/>
                <w:szCs w:val="21"/>
              </w:rPr>
              <w:t>G</w:t>
            </w:r>
            <w:r>
              <w:rPr>
                <w:color w:val="auto"/>
                <w:sz w:val="21"/>
                <w:szCs w:val="21"/>
                <w:vertAlign w:val="subscript"/>
              </w:rPr>
              <w:t>12</w:t>
            </w:r>
          </w:p>
        </w:tc>
        <w:tc>
          <w:tcPr>
            <w:tcW w:w="1540" w:type="dxa"/>
            <w:vMerge w:val="restart"/>
            <w:vAlign w:val="center"/>
          </w:tcPr>
          <w:p w14:paraId="3A4F7FAC">
            <w:pPr>
              <w:widowControl w:val="0"/>
              <w:jc w:val="center"/>
              <w:rPr>
                <w:color w:val="auto"/>
                <w:sz w:val="21"/>
                <w:szCs w:val="21"/>
              </w:rPr>
            </w:pPr>
            <w:r>
              <w:rPr>
                <w:color w:val="auto"/>
                <w:sz w:val="21"/>
                <w:szCs w:val="21"/>
              </w:rPr>
              <w:t>催化剂干燥烟气</w:t>
            </w:r>
          </w:p>
        </w:tc>
        <w:tc>
          <w:tcPr>
            <w:tcW w:w="1358" w:type="dxa"/>
            <w:vAlign w:val="center"/>
          </w:tcPr>
          <w:p w14:paraId="16E1CAA2">
            <w:pPr>
              <w:widowControl w:val="0"/>
              <w:jc w:val="center"/>
              <w:rPr>
                <w:color w:val="auto"/>
                <w:sz w:val="21"/>
                <w:szCs w:val="21"/>
              </w:rPr>
            </w:pPr>
            <w:r>
              <w:rPr>
                <w:color w:val="auto"/>
                <w:sz w:val="21"/>
                <w:szCs w:val="21"/>
              </w:rPr>
              <w:t>颗粒物</w:t>
            </w:r>
          </w:p>
        </w:tc>
        <w:tc>
          <w:tcPr>
            <w:tcW w:w="1470" w:type="dxa"/>
            <w:vAlign w:val="center"/>
          </w:tcPr>
          <w:p w14:paraId="6F275C40">
            <w:pPr>
              <w:widowControl w:val="0"/>
              <w:jc w:val="center"/>
              <w:rPr>
                <w:color w:val="auto"/>
                <w:sz w:val="21"/>
                <w:szCs w:val="21"/>
              </w:rPr>
            </w:pPr>
            <w:r>
              <w:rPr>
                <w:color w:val="auto"/>
                <w:sz w:val="21"/>
                <w:szCs w:val="21"/>
              </w:rPr>
              <w:t>物料衡算法</w:t>
            </w:r>
          </w:p>
        </w:tc>
        <w:tc>
          <w:tcPr>
            <w:tcW w:w="1133" w:type="dxa"/>
            <w:vMerge w:val="restart"/>
            <w:vAlign w:val="center"/>
          </w:tcPr>
          <w:p w14:paraId="540AF451">
            <w:pPr>
              <w:widowControl w:val="0"/>
              <w:jc w:val="center"/>
              <w:rPr>
                <w:color w:val="auto"/>
                <w:sz w:val="21"/>
                <w:szCs w:val="21"/>
              </w:rPr>
            </w:pPr>
            <w:r>
              <w:rPr>
                <w:color w:val="auto"/>
                <w:sz w:val="21"/>
                <w:szCs w:val="21"/>
              </w:rPr>
              <w:t>18500</w:t>
            </w:r>
          </w:p>
        </w:tc>
        <w:tc>
          <w:tcPr>
            <w:tcW w:w="1417" w:type="dxa"/>
            <w:vAlign w:val="center"/>
          </w:tcPr>
          <w:p w14:paraId="434BA503">
            <w:pPr>
              <w:widowControl w:val="0"/>
              <w:jc w:val="center"/>
              <w:rPr>
                <w:color w:val="auto"/>
                <w:sz w:val="21"/>
                <w:szCs w:val="21"/>
              </w:rPr>
            </w:pPr>
            <w:r>
              <w:rPr>
                <w:color w:val="auto"/>
                <w:sz w:val="21"/>
                <w:szCs w:val="21"/>
              </w:rPr>
              <w:t xml:space="preserve">9.91 </w:t>
            </w:r>
          </w:p>
        </w:tc>
        <w:tc>
          <w:tcPr>
            <w:tcW w:w="1275" w:type="dxa"/>
            <w:vAlign w:val="center"/>
          </w:tcPr>
          <w:p w14:paraId="480638E9">
            <w:pPr>
              <w:widowControl w:val="0"/>
              <w:jc w:val="center"/>
              <w:rPr>
                <w:color w:val="auto"/>
                <w:sz w:val="21"/>
                <w:szCs w:val="21"/>
              </w:rPr>
            </w:pPr>
            <w:r>
              <w:rPr>
                <w:color w:val="auto"/>
                <w:sz w:val="21"/>
                <w:szCs w:val="21"/>
              </w:rPr>
              <w:t>0.18</w:t>
            </w:r>
          </w:p>
        </w:tc>
        <w:tc>
          <w:tcPr>
            <w:tcW w:w="1133" w:type="dxa"/>
            <w:vAlign w:val="center"/>
          </w:tcPr>
          <w:p w14:paraId="31C20DCC">
            <w:pPr>
              <w:widowControl w:val="0"/>
              <w:jc w:val="center"/>
              <w:rPr>
                <w:color w:val="auto"/>
                <w:sz w:val="21"/>
                <w:szCs w:val="21"/>
              </w:rPr>
            </w:pPr>
            <w:r>
              <w:rPr>
                <w:color w:val="auto"/>
                <w:sz w:val="21"/>
                <w:szCs w:val="21"/>
              </w:rPr>
              <w:t>1.466</w:t>
            </w:r>
          </w:p>
        </w:tc>
        <w:tc>
          <w:tcPr>
            <w:tcW w:w="1523" w:type="dxa"/>
            <w:vMerge w:val="restart"/>
            <w:vAlign w:val="center"/>
          </w:tcPr>
          <w:p w14:paraId="7C982C10">
            <w:pPr>
              <w:widowControl w:val="0"/>
              <w:jc w:val="center"/>
              <w:rPr>
                <w:color w:val="auto"/>
                <w:sz w:val="21"/>
                <w:szCs w:val="21"/>
              </w:rPr>
            </w:pPr>
            <w:r>
              <w:rPr>
                <w:color w:val="auto"/>
                <w:sz w:val="21"/>
                <w:szCs w:val="21"/>
              </w:rPr>
              <w:t>燃用清燃料+低氮燃烧器</w:t>
            </w:r>
          </w:p>
        </w:tc>
        <w:tc>
          <w:tcPr>
            <w:tcW w:w="1025" w:type="dxa"/>
            <w:vAlign w:val="center"/>
          </w:tcPr>
          <w:p w14:paraId="74DF63A9">
            <w:pPr>
              <w:widowControl w:val="0"/>
              <w:jc w:val="center"/>
              <w:rPr>
                <w:color w:val="auto"/>
                <w:sz w:val="21"/>
                <w:szCs w:val="21"/>
              </w:rPr>
            </w:pPr>
            <w:r>
              <w:rPr>
                <w:color w:val="auto"/>
                <w:sz w:val="21"/>
                <w:szCs w:val="21"/>
              </w:rPr>
              <w:t>/</w:t>
            </w:r>
          </w:p>
        </w:tc>
        <w:tc>
          <w:tcPr>
            <w:tcW w:w="1373" w:type="dxa"/>
            <w:vAlign w:val="center"/>
          </w:tcPr>
          <w:p w14:paraId="38FF425B">
            <w:pPr>
              <w:widowControl w:val="0"/>
              <w:jc w:val="center"/>
              <w:rPr>
                <w:color w:val="auto"/>
                <w:sz w:val="22"/>
                <w:szCs w:val="22"/>
              </w:rPr>
            </w:pPr>
            <w:r>
              <w:rPr>
                <w:color w:val="auto"/>
                <w:sz w:val="22"/>
                <w:szCs w:val="22"/>
              </w:rPr>
              <w:t>9.9</w:t>
            </w:r>
          </w:p>
        </w:tc>
        <w:tc>
          <w:tcPr>
            <w:tcW w:w="1177" w:type="dxa"/>
            <w:vAlign w:val="center"/>
          </w:tcPr>
          <w:p w14:paraId="33A16F8E">
            <w:pPr>
              <w:widowControl w:val="0"/>
              <w:jc w:val="center"/>
              <w:rPr>
                <w:color w:val="auto"/>
                <w:sz w:val="22"/>
                <w:szCs w:val="22"/>
              </w:rPr>
            </w:pPr>
            <w:r>
              <w:rPr>
                <w:color w:val="auto"/>
                <w:sz w:val="22"/>
                <w:szCs w:val="22"/>
              </w:rPr>
              <w:t>0.18</w:t>
            </w:r>
          </w:p>
        </w:tc>
        <w:tc>
          <w:tcPr>
            <w:tcW w:w="1274" w:type="dxa"/>
            <w:vAlign w:val="center"/>
          </w:tcPr>
          <w:p w14:paraId="534173E6">
            <w:pPr>
              <w:widowControl w:val="0"/>
              <w:jc w:val="center"/>
              <w:rPr>
                <w:color w:val="auto"/>
                <w:sz w:val="22"/>
                <w:szCs w:val="22"/>
              </w:rPr>
            </w:pPr>
            <w:r>
              <w:rPr>
                <w:color w:val="auto"/>
                <w:sz w:val="22"/>
                <w:szCs w:val="22"/>
              </w:rPr>
              <w:t>1.47</w:t>
            </w:r>
          </w:p>
        </w:tc>
        <w:tc>
          <w:tcPr>
            <w:tcW w:w="3363" w:type="dxa"/>
            <w:gridSpan w:val="4"/>
            <w:vMerge w:val="restart"/>
            <w:vAlign w:val="center"/>
          </w:tcPr>
          <w:p w14:paraId="11082C2E">
            <w:pPr>
              <w:widowControl w:val="0"/>
              <w:jc w:val="center"/>
              <w:rPr>
                <w:color w:val="auto"/>
                <w:sz w:val="21"/>
                <w:szCs w:val="21"/>
              </w:rPr>
            </w:pPr>
            <w:r>
              <w:rPr>
                <w:color w:val="auto"/>
                <w:sz w:val="21"/>
                <w:szCs w:val="21"/>
              </w:rPr>
              <w:t>与载体干燥废气混合后通过DA006排放</w:t>
            </w:r>
          </w:p>
        </w:tc>
        <w:tc>
          <w:tcPr>
            <w:tcW w:w="1538" w:type="dxa"/>
            <w:vMerge w:val="restart"/>
            <w:vAlign w:val="center"/>
          </w:tcPr>
          <w:p w14:paraId="01938A3A">
            <w:pPr>
              <w:widowControl w:val="0"/>
              <w:jc w:val="center"/>
              <w:rPr>
                <w:color w:val="auto"/>
                <w:sz w:val="21"/>
                <w:szCs w:val="21"/>
              </w:rPr>
            </w:pPr>
            <w:r>
              <w:rPr>
                <w:color w:val="auto"/>
                <w:sz w:val="21"/>
                <w:szCs w:val="21"/>
              </w:rPr>
              <w:t>8000</w:t>
            </w:r>
          </w:p>
        </w:tc>
      </w:tr>
      <w:tr w14:paraId="33305C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3C56531B">
            <w:pPr>
              <w:widowControl w:val="0"/>
              <w:jc w:val="center"/>
              <w:rPr>
                <w:color w:val="auto"/>
                <w:sz w:val="21"/>
                <w:szCs w:val="21"/>
              </w:rPr>
            </w:pPr>
          </w:p>
        </w:tc>
        <w:tc>
          <w:tcPr>
            <w:tcW w:w="1540" w:type="dxa"/>
            <w:vMerge w:val="continue"/>
            <w:vAlign w:val="center"/>
          </w:tcPr>
          <w:p w14:paraId="56BF0112">
            <w:pPr>
              <w:widowControl w:val="0"/>
              <w:jc w:val="center"/>
              <w:rPr>
                <w:color w:val="auto"/>
                <w:sz w:val="21"/>
                <w:szCs w:val="21"/>
              </w:rPr>
            </w:pPr>
          </w:p>
        </w:tc>
        <w:tc>
          <w:tcPr>
            <w:tcW w:w="1358" w:type="dxa"/>
            <w:vAlign w:val="center"/>
          </w:tcPr>
          <w:p w14:paraId="7898F1FE">
            <w:pPr>
              <w:widowControl w:val="0"/>
              <w:jc w:val="center"/>
              <w:rPr>
                <w:color w:val="auto"/>
                <w:sz w:val="21"/>
                <w:szCs w:val="21"/>
              </w:rPr>
            </w:pPr>
            <w:r>
              <w:rPr>
                <w:color w:val="auto"/>
                <w:sz w:val="21"/>
                <w:szCs w:val="21"/>
              </w:rPr>
              <w:t>SO2</w:t>
            </w:r>
          </w:p>
        </w:tc>
        <w:tc>
          <w:tcPr>
            <w:tcW w:w="1470" w:type="dxa"/>
            <w:vAlign w:val="center"/>
          </w:tcPr>
          <w:p w14:paraId="1E88910A">
            <w:pPr>
              <w:widowControl w:val="0"/>
              <w:jc w:val="center"/>
              <w:rPr>
                <w:color w:val="auto"/>
                <w:sz w:val="21"/>
                <w:szCs w:val="21"/>
              </w:rPr>
            </w:pPr>
            <w:r>
              <w:rPr>
                <w:color w:val="auto"/>
                <w:sz w:val="21"/>
                <w:szCs w:val="21"/>
              </w:rPr>
              <w:t>物料衡算法</w:t>
            </w:r>
          </w:p>
        </w:tc>
        <w:tc>
          <w:tcPr>
            <w:tcW w:w="1133" w:type="dxa"/>
            <w:vMerge w:val="continue"/>
            <w:vAlign w:val="center"/>
          </w:tcPr>
          <w:p w14:paraId="7830F888">
            <w:pPr>
              <w:widowControl w:val="0"/>
              <w:jc w:val="center"/>
              <w:rPr>
                <w:color w:val="auto"/>
                <w:sz w:val="21"/>
                <w:szCs w:val="21"/>
              </w:rPr>
            </w:pPr>
          </w:p>
        </w:tc>
        <w:tc>
          <w:tcPr>
            <w:tcW w:w="1417" w:type="dxa"/>
            <w:vAlign w:val="center"/>
          </w:tcPr>
          <w:p w14:paraId="09BB79B0">
            <w:pPr>
              <w:widowControl w:val="0"/>
              <w:jc w:val="center"/>
              <w:rPr>
                <w:color w:val="auto"/>
                <w:sz w:val="22"/>
                <w:szCs w:val="22"/>
              </w:rPr>
            </w:pPr>
            <w:r>
              <w:rPr>
                <w:color w:val="auto"/>
                <w:sz w:val="22"/>
                <w:szCs w:val="22"/>
              </w:rPr>
              <w:t>0.15</w:t>
            </w:r>
          </w:p>
        </w:tc>
        <w:tc>
          <w:tcPr>
            <w:tcW w:w="1275" w:type="dxa"/>
            <w:vAlign w:val="center"/>
          </w:tcPr>
          <w:p w14:paraId="78380736">
            <w:pPr>
              <w:widowControl w:val="0"/>
              <w:jc w:val="center"/>
              <w:rPr>
                <w:color w:val="auto"/>
                <w:sz w:val="21"/>
                <w:szCs w:val="21"/>
              </w:rPr>
            </w:pPr>
            <w:r>
              <w:rPr>
                <w:color w:val="auto"/>
                <w:sz w:val="21"/>
                <w:szCs w:val="21"/>
              </w:rPr>
              <w:t>0.003</w:t>
            </w:r>
          </w:p>
        </w:tc>
        <w:tc>
          <w:tcPr>
            <w:tcW w:w="1133" w:type="dxa"/>
            <w:vAlign w:val="center"/>
          </w:tcPr>
          <w:p w14:paraId="18799E40">
            <w:pPr>
              <w:widowControl w:val="0"/>
              <w:jc w:val="center"/>
              <w:rPr>
                <w:color w:val="auto"/>
                <w:sz w:val="21"/>
                <w:szCs w:val="21"/>
              </w:rPr>
            </w:pPr>
            <w:r>
              <w:rPr>
                <w:color w:val="auto"/>
                <w:sz w:val="21"/>
                <w:szCs w:val="21"/>
              </w:rPr>
              <w:t>0.02</w:t>
            </w:r>
          </w:p>
        </w:tc>
        <w:tc>
          <w:tcPr>
            <w:tcW w:w="1523" w:type="dxa"/>
            <w:vMerge w:val="continue"/>
            <w:vAlign w:val="center"/>
          </w:tcPr>
          <w:p w14:paraId="0CB8CC01">
            <w:pPr>
              <w:widowControl w:val="0"/>
              <w:jc w:val="center"/>
              <w:rPr>
                <w:color w:val="auto"/>
                <w:sz w:val="21"/>
                <w:szCs w:val="21"/>
              </w:rPr>
            </w:pPr>
          </w:p>
        </w:tc>
        <w:tc>
          <w:tcPr>
            <w:tcW w:w="1025" w:type="dxa"/>
            <w:vAlign w:val="center"/>
          </w:tcPr>
          <w:p w14:paraId="2876F22B">
            <w:pPr>
              <w:widowControl w:val="0"/>
              <w:jc w:val="center"/>
              <w:rPr>
                <w:color w:val="auto"/>
                <w:sz w:val="21"/>
                <w:szCs w:val="21"/>
              </w:rPr>
            </w:pPr>
            <w:r>
              <w:rPr>
                <w:color w:val="auto"/>
                <w:sz w:val="21"/>
                <w:szCs w:val="21"/>
              </w:rPr>
              <w:t>/</w:t>
            </w:r>
          </w:p>
        </w:tc>
        <w:tc>
          <w:tcPr>
            <w:tcW w:w="1373" w:type="dxa"/>
            <w:vAlign w:val="center"/>
          </w:tcPr>
          <w:p w14:paraId="7635311C">
            <w:pPr>
              <w:widowControl w:val="0"/>
              <w:jc w:val="center"/>
              <w:rPr>
                <w:color w:val="auto"/>
                <w:sz w:val="22"/>
                <w:szCs w:val="22"/>
              </w:rPr>
            </w:pPr>
            <w:r>
              <w:rPr>
                <w:color w:val="auto"/>
                <w:sz w:val="22"/>
                <w:szCs w:val="22"/>
              </w:rPr>
              <w:t>0.2</w:t>
            </w:r>
          </w:p>
        </w:tc>
        <w:tc>
          <w:tcPr>
            <w:tcW w:w="1177" w:type="dxa"/>
            <w:vAlign w:val="center"/>
          </w:tcPr>
          <w:p w14:paraId="71AA090A">
            <w:pPr>
              <w:widowControl w:val="0"/>
              <w:jc w:val="center"/>
              <w:rPr>
                <w:color w:val="auto"/>
                <w:sz w:val="22"/>
                <w:szCs w:val="22"/>
              </w:rPr>
            </w:pPr>
            <w:r>
              <w:rPr>
                <w:color w:val="auto"/>
                <w:sz w:val="22"/>
                <w:szCs w:val="22"/>
              </w:rPr>
              <w:t>0.003</w:t>
            </w:r>
          </w:p>
        </w:tc>
        <w:tc>
          <w:tcPr>
            <w:tcW w:w="1274" w:type="dxa"/>
            <w:vAlign w:val="center"/>
          </w:tcPr>
          <w:p w14:paraId="2329A6DE">
            <w:pPr>
              <w:widowControl w:val="0"/>
              <w:jc w:val="center"/>
              <w:rPr>
                <w:color w:val="auto"/>
                <w:sz w:val="22"/>
                <w:szCs w:val="22"/>
              </w:rPr>
            </w:pPr>
            <w:r>
              <w:rPr>
                <w:color w:val="auto"/>
                <w:sz w:val="22"/>
                <w:szCs w:val="22"/>
              </w:rPr>
              <w:t>0.022</w:t>
            </w:r>
          </w:p>
        </w:tc>
        <w:tc>
          <w:tcPr>
            <w:tcW w:w="3363" w:type="dxa"/>
            <w:gridSpan w:val="4"/>
            <w:vMerge w:val="continue"/>
            <w:vAlign w:val="center"/>
          </w:tcPr>
          <w:p w14:paraId="0FF34B39">
            <w:pPr>
              <w:widowControl w:val="0"/>
              <w:jc w:val="center"/>
              <w:rPr>
                <w:color w:val="auto"/>
                <w:sz w:val="21"/>
                <w:szCs w:val="21"/>
              </w:rPr>
            </w:pPr>
          </w:p>
        </w:tc>
        <w:tc>
          <w:tcPr>
            <w:tcW w:w="1538" w:type="dxa"/>
            <w:vMerge w:val="continue"/>
            <w:vAlign w:val="center"/>
          </w:tcPr>
          <w:p w14:paraId="03998282">
            <w:pPr>
              <w:widowControl w:val="0"/>
              <w:jc w:val="center"/>
              <w:rPr>
                <w:color w:val="auto"/>
                <w:sz w:val="21"/>
                <w:szCs w:val="21"/>
              </w:rPr>
            </w:pPr>
          </w:p>
        </w:tc>
      </w:tr>
      <w:tr w14:paraId="1EBEC1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615BE803">
            <w:pPr>
              <w:widowControl w:val="0"/>
              <w:jc w:val="center"/>
              <w:rPr>
                <w:color w:val="auto"/>
                <w:sz w:val="21"/>
                <w:szCs w:val="21"/>
              </w:rPr>
            </w:pPr>
          </w:p>
        </w:tc>
        <w:tc>
          <w:tcPr>
            <w:tcW w:w="1540" w:type="dxa"/>
            <w:vMerge w:val="continue"/>
            <w:vAlign w:val="center"/>
          </w:tcPr>
          <w:p w14:paraId="1DE0A3EB">
            <w:pPr>
              <w:widowControl w:val="0"/>
              <w:jc w:val="center"/>
              <w:rPr>
                <w:color w:val="auto"/>
                <w:sz w:val="21"/>
                <w:szCs w:val="21"/>
              </w:rPr>
            </w:pPr>
          </w:p>
        </w:tc>
        <w:tc>
          <w:tcPr>
            <w:tcW w:w="1358" w:type="dxa"/>
            <w:vAlign w:val="center"/>
          </w:tcPr>
          <w:p w14:paraId="4DFD2644">
            <w:pPr>
              <w:widowControl w:val="0"/>
              <w:jc w:val="center"/>
              <w:rPr>
                <w:color w:val="auto"/>
                <w:sz w:val="21"/>
                <w:szCs w:val="21"/>
              </w:rPr>
            </w:pPr>
            <w:r>
              <w:rPr>
                <w:color w:val="auto"/>
                <w:sz w:val="21"/>
                <w:szCs w:val="21"/>
              </w:rPr>
              <w:t>NOx</w:t>
            </w:r>
          </w:p>
        </w:tc>
        <w:tc>
          <w:tcPr>
            <w:tcW w:w="1470" w:type="dxa"/>
            <w:vAlign w:val="center"/>
          </w:tcPr>
          <w:p w14:paraId="03B1EBE1">
            <w:pPr>
              <w:widowControl w:val="0"/>
              <w:jc w:val="center"/>
              <w:rPr>
                <w:color w:val="auto"/>
                <w:sz w:val="21"/>
                <w:szCs w:val="21"/>
              </w:rPr>
            </w:pPr>
            <w:r>
              <w:rPr>
                <w:color w:val="auto"/>
                <w:sz w:val="21"/>
                <w:szCs w:val="21"/>
              </w:rPr>
              <w:t xml:space="preserve">物料衡算法 </w:t>
            </w:r>
          </w:p>
        </w:tc>
        <w:tc>
          <w:tcPr>
            <w:tcW w:w="1133" w:type="dxa"/>
            <w:vMerge w:val="continue"/>
            <w:vAlign w:val="center"/>
          </w:tcPr>
          <w:p w14:paraId="5BB2BCCD">
            <w:pPr>
              <w:widowControl w:val="0"/>
              <w:jc w:val="center"/>
              <w:rPr>
                <w:color w:val="auto"/>
                <w:sz w:val="21"/>
                <w:szCs w:val="21"/>
              </w:rPr>
            </w:pPr>
          </w:p>
        </w:tc>
        <w:tc>
          <w:tcPr>
            <w:tcW w:w="1417" w:type="dxa"/>
            <w:vAlign w:val="center"/>
          </w:tcPr>
          <w:p w14:paraId="7301E8CD">
            <w:pPr>
              <w:widowControl w:val="0"/>
              <w:jc w:val="center"/>
              <w:rPr>
                <w:color w:val="auto"/>
                <w:sz w:val="22"/>
                <w:szCs w:val="22"/>
              </w:rPr>
            </w:pPr>
            <w:r>
              <w:rPr>
                <w:color w:val="auto"/>
                <w:sz w:val="22"/>
                <w:szCs w:val="22"/>
              </w:rPr>
              <w:t>1.83</w:t>
            </w:r>
          </w:p>
        </w:tc>
        <w:tc>
          <w:tcPr>
            <w:tcW w:w="1275" w:type="dxa"/>
            <w:vAlign w:val="center"/>
          </w:tcPr>
          <w:p w14:paraId="2B4CE2A1">
            <w:pPr>
              <w:widowControl w:val="0"/>
              <w:jc w:val="center"/>
              <w:rPr>
                <w:color w:val="auto"/>
                <w:sz w:val="21"/>
                <w:szCs w:val="21"/>
              </w:rPr>
            </w:pPr>
            <w:r>
              <w:rPr>
                <w:color w:val="auto"/>
                <w:sz w:val="21"/>
                <w:szCs w:val="21"/>
              </w:rPr>
              <w:t>0.03</w:t>
            </w:r>
          </w:p>
        </w:tc>
        <w:tc>
          <w:tcPr>
            <w:tcW w:w="1133" w:type="dxa"/>
            <w:vAlign w:val="center"/>
          </w:tcPr>
          <w:p w14:paraId="3F9F1288">
            <w:pPr>
              <w:widowControl w:val="0"/>
              <w:jc w:val="center"/>
              <w:rPr>
                <w:color w:val="auto"/>
                <w:sz w:val="21"/>
                <w:szCs w:val="21"/>
              </w:rPr>
            </w:pPr>
            <w:r>
              <w:rPr>
                <w:color w:val="auto"/>
                <w:sz w:val="21"/>
                <w:szCs w:val="21"/>
              </w:rPr>
              <w:t>0.27</w:t>
            </w:r>
          </w:p>
        </w:tc>
        <w:tc>
          <w:tcPr>
            <w:tcW w:w="1523" w:type="dxa"/>
            <w:vMerge w:val="continue"/>
            <w:vAlign w:val="center"/>
          </w:tcPr>
          <w:p w14:paraId="5496AF4A">
            <w:pPr>
              <w:widowControl w:val="0"/>
              <w:jc w:val="center"/>
              <w:rPr>
                <w:color w:val="auto"/>
                <w:sz w:val="21"/>
                <w:szCs w:val="21"/>
              </w:rPr>
            </w:pPr>
          </w:p>
        </w:tc>
        <w:tc>
          <w:tcPr>
            <w:tcW w:w="1025" w:type="dxa"/>
            <w:vAlign w:val="center"/>
          </w:tcPr>
          <w:p w14:paraId="33CF9974">
            <w:pPr>
              <w:widowControl w:val="0"/>
              <w:jc w:val="center"/>
              <w:rPr>
                <w:color w:val="auto"/>
                <w:sz w:val="21"/>
                <w:szCs w:val="21"/>
              </w:rPr>
            </w:pPr>
            <w:r>
              <w:rPr>
                <w:color w:val="auto"/>
                <w:sz w:val="21"/>
                <w:szCs w:val="21"/>
              </w:rPr>
              <w:t>/</w:t>
            </w:r>
          </w:p>
        </w:tc>
        <w:tc>
          <w:tcPr>
            <w:tcW w:w="1373" w:type="dxa"/>
            <w:vAlign w:val="center"/>
          </w:tcPr>
          <w:p w14:paraId="3E3EBC60">
            <w:pPr>
              <w:widowControl w:val="0"/>
              <w:jc w:val="center"/>
              <w:rPr>
                <w:color w:val="auto"/>
                <w:sz w:val="22"/>
                <w:szCs w:val="22"/>
              </w:rPr>
            </w:pPr>
            <w:r>
              <w:rPr>
                <w:color w:val="auto"/>
                <w:sz w:val="22"/>
                <w:szCs w:val="22"/>
              </w:rPr>
              <w:t>1.8</w:t>
            </w:r>
          </w:p>
        </w:tc>
        <w:tc>
          <w:tcPr>
            <w:tcW w:w="1177" w:type="dxa"/>
            <w:vAlign w:val="center"/>
          </w:tcPr>
          <w:p w14:paraId="07CD826C">
            <w:pPr>
              <w:widowControl w:val="0"/>
              <w:jc w:val="center"/>
              <w:rPr>
                <w:color w:val="auto"/>
                <w:sz w:val="22"/>
                <w:szCs w:val="22"/>
              </w:rPr>
            </w:pPr>
            <w:r>
              <w:rPr>
                <w:color w:val="auto"/>
                <w:sz w:val="22"/>
                <w:szCs w:val="22"/>
              </w:rPr>
              <w:t>0.034</w:t>
            </w:r>
          </w:p>
        </w:tc>
        <w:tc>
          <w:tcPr>
            <w:tcW w:w="1274" w:type="dxa"/>
            <w:vAlign w:val="center"/>
          </w:tcPr>
          <w:p w14:paraId="72113103">
            <w:pPr>
              <w:widowControl w:val="0"/>
              <w:jc w:val="center"/>
              <w:rPr>
                <w:color w:val="auto"/>
                <w:sz w:val="22"/>
                <w:szCs w:val="22"/>
              </w:rPr>
            </w:pPr>
            <w:r>
              <w:rPr>
                <w:color w:val="auto"/>
                <w:sz w:val="22"/>
                <w:szCs w:val="22"/>
              </w:rPr>
              <w:t>0.271</w:t>
            </w:r>
          </w:p>
        </w:tc>
        <w:tc>
          <w:tcPr>
            <w:tcW w:w="3363" w:type="dxa"/>
            <w:gridSpan w:val="4"/>
            <w:vMerge w:val="continue"/>
            <w:vAlign w:val="center"/>
          </w:tcPr>
          <w:p w14:paraId="189240BF">
            <w:pPr>
              <w:widowControl w:val="0"/>
              <w:jc w:val="center"/>
              <w:rPr>
                <w:color w:val="auto"/>
                <w:sz w:val="21"/>
                <w:szCs w:val="21"/>
              </w:rPr>
            </w:pPr>
          </w:p>
        </w:tc>
        <w:tc>
          <w:tcPr>
            <w:tcW w:w="1538" w:type="dxa"/>
            <w:vMerge w:val="continue"/>
            <w:vAlign w:val="center"/>
          </w:tcPr>
          <w:p w14:paraId="3DCA8E38">
            <w:pPr>
              <w:widowControl w:val="0"/>
              <w:jc w:val="center"/>
              <w:rPr>
                <w:color w:val="auto"/>
                <w:sz w:val="21"/>
                <w:szCs w:val="21"/>
              </w:rPr>
            </w:pPr>
          </w:p>
        </w:tc>
      </w:tr>
      <w:tr w14:paraId="2528C3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1724602D">
            <w:pPr>
              <w:widowControl w:val="0"/>
              <w:jc w:val="center"/>
              <w:rPr>
                <w:color w:val="auto"/>
                <w:sz w:val="21"/>
                <w:szCs w:val="21"/>
              </w:rPr>
            </w:pPr>
            <w:r>
              <w:rPr>
                <w:color w:val="auto"/>
                <w:sz w:val="21"/>
                <w:szCs w:val="21"/>
              </w:rPr>
              <w:t>G</w:t>
            </w:r>
            <w:r>
              <w:rPr>
                <w:color w:val="auto"/>
                <w:sz w:val="21"/>
                <w:szCs w:val="21"/>
                <w:vertAlign w:val="subscript"/>
              </w:rPr>
              <w:t>13</w:t>
            </w:r>
          </w:p>
        </w:tc>
        <w:tc>
          <w:tcPr>
            <w:tcW w:w="1540" w:type="dxa"/>
            <w:vMerge w:val="restart"/>
            <w:vAlign w:val="center"/>
          </w:tcPr>
          <w:p w14:paraId="698A5558">
            <w:pPr>
              <w:widowControl w:val="0"/>
              <w:jc w:val="center"/>
              <w:rPr>
                <w:color w:val="auto"/>
                <w:sz w:val="21"/>
                <w:szCs w:val="21"/>
              </w:rPr>
            </w:pPr>
            <w:r>
              <w:rPr>
                <w:color w:val="auto"/>
                <w:sz w:val="21"/>
                <w:szCs w:val="21"/>
              </w:rPr>
              <w:t>催化剂焙烧炉燃烧器废气（燃料燃烧）</w:t>
            </w:r>
          </w:p>
        </w:tc>
        <w:tc>
          <w:tcPr>
            <w:tcW w:w="1358" w:type="dxa"/>
            <w:vAlign w:val="center"/>
          </w:tcPr>
          <w:p w14:paraId="7AF8F73E">
            <w:pPr>
              <w:widowControl w:val="0"/>
              <w:jc w:val="center"/>
              <w:rPr>
                <w:color w:val="auto"/>
                <w:sz w:val="21"/>
                <w:szCs w:val="21"/>
              </w:rPr>
            </w:pPr>
            <w:r>
              <w:rPr>
                <w:color w:val="auto"/>
                <w:sz w:val="21"/>
                <w:szCs w:val="21"/>
              </w:rPr>
              <w:t>颗粒物</w:t>
            </w:r>
          </w:p>
        </w:tc>
        <w:tc>
          <w:tcPr>
            <w:tcW w:w="1470" w:type="dxa"/>
            <w:vAlign w:val="center"/>
          </w:tcPr>
          <w:p w14:paraId="3C320367">
            <w:pPr>
              <w:widowControl w:val="0"/>
              <w:jc w:val="center"/>
              <w:rPr>
                <w:color w:val="auto"/>
                <w:sz w:val="21"/>
                <w:szCs w:val="21"/>
              </w:rPr>
            </w:pPr>
            <w:r>
              <w:rPr>
                <w:color w:val="auto"/>
                <w:sz w:val="21"/>
                <w:szCs w:val="21"/>
              </w:rPr>
              <w:t>物料衡算法</w:t>
            </w:r>
          </w:p>
        </w:tc>
        <w:tc>
          <w:tcPr>
            <w:tcW w:w="1133" w:type="dxa"/>
            <w:vMerge w:val="restart"/>
            <w:vAlign w:val="center"/>
          </w:tcPr>
          <w:p w14:paraId="65B96640">
            <w:pPr>
              <w:widowControl w:val="0"/>
              <w:jc w:val="center"/>
              <w:rPr>
                <w:color w:val="auto"/>
                <w:sz w:val="21"/>
                <w:szCs w:val="21"/>
              </w:rPr>
            </w:pPr>
            <w:r>
              <w:rPr>
                <w:color w:val="auto"/>
                <w:sz w:val="21"/>
                <w:szCs w:val="21"/>
              </w:rPr>
              <w:t>1896.5</w:t>
            </w:r>
          </w:p>
        </w:tc>
        <w:tc>
          <w:tcPr>
            <w:tcW w:w="1417" w:type="dxa"/>
            <w:vAlign w:val="center"/>
          </w:tcPr>
          <w:p w14:paraId="14948B4E">
            <w:pPr>
              <w:widowControl w:val="0"/>
              <w:jc w:val="center"/>
              <w:rPr>
                <w:color w:val="auto"/>
                <w:sz w:val="22"/>
                <w:szCs w:val="22"/>
              </w:rPr>
            </w:pPr>
            <w:r>
              <w:rPr>
                <w:color w:val="auto"/>
                <w:sz w:val="22"/>
                <w:szCs w:val="22"/>
              </w:rPr>
              <w:t>5.00</w:t>
            </w:r>
          </w:p>
        </w:tc>
        <w:tc>
          <w:tcPr>
            <w:tcW w:w="1275" w:type="dxa"/>
            <w:vAlign w:val="center"/>
          </w:tcPr>
          <w:p w14:paraId="21B0F1F3">
            <w:pPr>
              <w:widowControl w:val="0"/>
              <w:jc w:val="center"/>
              <w:rPr>
                <w:color w:val="auto"/>
                <w:sz w:val="21"/>
                <w:szCs w:val="21"/>
              </w:rPr>
            </w:pPr>
            <w:r>
              <w:rPr>
                <w:color w:val="auto"/>
                <w:sz w:val="21"/>
                <w:szCs w:val="21"/>
              </w:rPr>
              <w:t>0.01</w:t>
            </w:r>
          </w:p>
        </w:tc>
        <w:tc>
          <w:tcPr>
            <w:tcW w:w="1133" w:type="dxa"/>
            <w:vAlign w:val="center"/>
          </w:tcPr>
          <w:p w14:paraId="1C3EBD1D">
            <w:pPr>
              <w:widowControl w:val="0"/>
              <w:jc w:val="center"/>
              <w:rPr>
                <w:color w:val="auto"/>
                <w:sz w:val="21"/>
                <w:szCs w:val="21"/>
              </w:rPr>
            </w:pPr>
            <w:r>
              <w:rPr>
                <w:color w:val="auto"/>
                <w:sz w:val="21"/>
                <w:szCs w:val="21"/>
              </w:rPr>
              <w:t>0.08</w:t>
            </w:r>
          </w:p>
        </w:tc>
        <w:tc>
          <w:tcPr>
            <w:tcW w:w="1523" w:type="dxa"/>
            <w:vMerge w:val="restart"/>
            <w:vAlign w:val="center"/>
          </w:tcPr>
          <w:p w14:paraId="2DE9C01A">
            <w:pPr>
              <w:widowControl w:val="0"/>
              <w:jc w:val="center"/>
              <w:rPr>
                <w:color w:val="auto"/>
                <w:sz w:val="21"/>
                <w:szCs w:val="21"/>
              </w:rPr>
            </w:pPr>
            <w:r>
              <w:rPr>
                <w:color w:val="auto"/>
                <w:sz w:val="21"/>
                <w:szCs w:val="21"/>
              </w:rPr>
              <w:t>燃用清燃料+低氮燃烧器</w:t>
            </w:r>
          </w:p>
        </w:tc>
        <w:tc>
          <w:tcPr>
            <w:tcW w:w="1025" w:type="dxa"/>
            <w:vAlign w:val="center"/>
          </w:tcPr>
          <w:p w14:paraId="7B7B729E">
            <w:pPr>
              <w:widowControl w:val="0"/>
              <w:jc w:val="center"/>
              <w:rPr>
                <w:color w:val="auto"/>
                <w:sz w:val="21"/>
                <w:szCs w:val="21"/>
              </w:rPr>
            </w:pPr>
            <w:r>
              <w:rPr>
                <w:color w:val="auto"/>
                <w:sz w:val="21"/>
                <w:szCs w:val="21"/>
              </w:rPr>
              <w:t>/</w:t>
            </w:r>
          </w:p>
        </w:tc>
        <w:tc>
          <w:tcPr>
            <w:tcW w:w="1373" w:type="dxa"/>
            <w:vAlign w:val="center"/>
          </w:tcPr>
          <w:p w14:paraId="49E91B0C">
            <w:pPr>
              <w:widowControl w:val="0"/>
              <w:jc w:val="center"/>
              <w:rPr>
                <w:color w:val="auto"/>
                <w:sz w:val="22"/>
                <w:szCs w:val="22"/>
              </w:rPr>
            </w:pPr>
            <w:r>
              <w:rPr>
                <w:color w:val="auto"/>
                <w:sz w:val="22"/>
                <w:szCs w:val="22"/>
              </w:rPr>
              <w:t>5.0</w:t>
            </w:r>
          </w:p>
        </w:tc>
        <w:tc>
          <w:tcPr>
            <w:tcW w:w="1177" w:type="dxa"/>
            <w:vAlign w:val="center"/>
          </w:tcPr>
          <w:p w14:paraId="0EBF7ABF">
            <w:pPr>
              <w:widowControl w:val="0"/>
              <w:jc w:val="center"/>
              <w:rPr>
                <w:color w:val="auto"/>
                <w:sz w:val="22"/>
                <w:szCs w:val="22"/>
              </w:rPr>
            </w:pPr>
            <w:r>
              <w:rPr>
                <w:color w:val="auto"/>
                <w:sz w:val="22"/>
                <w:szCs w:val="22"/>
              </w:rPr>
              <w:t>0.009</w:t>
            </w:r>
          </w:p>
        </w:tc>
        <w:tc>
          <w:tcPr>
            <w:tcW w:w="1274" w:type="dxa"/>
            <w:vAlign w:val="center"/>
          </w:tcPr>
          <w:p w14:paraId="62D4ADA1">
            <w:pPr>
              <w:widowControl w:val="0"/>
              <w:jc w:val="center"/>
              <w:rPr>
                <w:color w:val="auto"/>
                <w:sz w:val="22"/>
                <w:szCs w:val="22"/>
              </w:rPr>
            </w:pPr>
            <w:r>
              <w:rPr>
                <w:color w:val="auto"/>
                <w:sz w:val="22"/>
                <w:szCs w:val="22"/>
              </w:rPr>
              <w:t>0.08</w:t>
            </w:r>
          </w:p>
        </w:tc>
        <w:tc>
          <w:tcPr>
            <w:tcW w:w="3363" w:type="dxa"/>
            <w:gridSpan w:val="4"/>
            <w:vMerge w:val="restart"/>
            <w:vAlign w:val="center"/>
          </w:tcPr>
          <w:p w14:paraId="1415D4D4">
            <w:pPr>
              <w:widowControl w:val="0"/>
              <w:jc w:val="center"/>
              <w:rPr>
                <w:color w:val="auto"/>
                <w:sz w:val="21"/>
                <w:szCs w:val="21"/>
              </w:rPr>
            </w:pPr>
            <w:r>
              <w:rPr>
                <w:color w:val="auto"/>
                <w:sz w:val="21"/>
                <w:szCs w:val="21"/>
              </w:rPr>
              <w:t>通过循环气风机送载体干燥换热后通过DA006排放</w:t>
            </w:r>
          </w:p>
        </w:tc>
        <w:tc>
          <w:tcPr>
            <w:tcW w:w="1538" w:type="dxa"/>
            <w:vMerge w:val="restart"/>
            <w:vAlign w:val="center"/>
          </w:tcPr>
          <w:p w14:paraId="24928C9A">
            <w:pPr>
              <w:widowControl w:val="0"/>
              <w:jc w:val="center"/>
              <w:rPr>
                <w:color w:val="auto"/>
                <w:sz w:val="21"/>
                <w:szCs w:val="21"/>
              </w:rPr>
            </w:pPr>
            <w:r>
              <w:rPr>
                <w:color w:val="auto"/>
                <w:sz w:val="21"/>
                <w:szCs w:val="21"/>
              </w:rPr>
              <w:t>　</w:t>
            </w:r>
          </w:p>
        </w:tc>
      </w:tr>
      <w:tr w14:paraId="29063C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27E6404C">
            <w:pPr>
              <w:widowControl w:val="0"/>
              <w:jc w:val="center"/>
              <w:rPr>
                <w:color w:val="auto"/>
                <w:sz w:val="21"/>
                <w:szCs w:val="21"/>
              </w:rPr>
            </w:pPr>
          </w:p>
        </w:tc>
        <w:tc>
          <w:tcPr>
            <w:tcW w:w="1540" w:type="dxa"/>
            <w:vMerge w:val="continue"/>
            <w:vAlign w:val="center"/>
          </w:tcPr>
          <w:p w14:paraId="473D75A8">
            <w:pPr>
              <w:widowControl w:val="0"/>
              <w:jc w:val="center"/>
              <w:rPr>
                <w:color w:val="auto"/>
                <w:sz w:val="21"/>
                <w:szCs w:val="21"/>
              </w:rPr>
            </w:pPr>
          </w:p>
        </w:tc>
        <w:tc>
          <w:tcPr>
            <w:tcW w:w="1358" w:type="dxa"/>
            <w:vAlign w:val="center"/>
          </w:tcPr>
          <w:p w14:paraId="1BD783E7">
            <w:pPr>
              <w:widowControl w:val="0"/>
              <w:jc w:val="center"/>
              <w:rPr>
                <w:color w:val="auto"/>
                <w:sz w:val="21"/>
                <w:szCs w:val="21"/>
              </w:rPr>
            </w:pPr>
            <w:r>
              <w:rPr>
                <w:color w:val="auto"/>
                <w:sz w:val="21"/>
                <w:szCs w:val="21"/>
              </w:rPr>
              <w:t>SO2</w:t>
            </w:r>
          </w:p>
        </w:tc>
        <w:tc>
          <w:tcPr>
            <w:tcW w:w="1470" w:type="dxa"/>
            <w:vAlign w:val="center"/>
          </w:tcPr>
          <w:p w14:paraId="35EBEE8A">
            <w:pPr>
              <w:widowControl w:val="0"/>
              <w:jc w:val="center"/>
              <w:rPr>
                <w:color w:val="auto"/>
                <w:sz w:val="21"/>
                <w:szCs w:val="21"/>
              </w:rPr>
            </w:pPr>
            <w:r>
              <w:rPr>
                <w:color w:val="auto"/>
                <w:sz w:val="21"/>
                <w:szCs w:val="21"/>
              </w:rPr>
              <w:t>物料衡算法</w:t>
            </w:r>
          </w:p>
        </w:tc>
        <w:tc>
          <w:tcPr>
            <w:tcW w:w="1133" w:type="dxa"/>
            <w:vMerge w:val="continue"/>
            <w:vAlign w:val="center"/>
          </w:tcPr>
          <w:p w14:paraId="372AF1C2">
            <w:pPr>
              <w:widowControl w:val="0"/>
              <w:jc w:val="center"/>
              <w:rPr>
                <w:color w:val="auto"/>
                <w:sz w:val="21"/>
                <w:szCs w:val="21"/>
              </w:rPr>
            </w:pPr>
          </w:p>
        </w:tc>
        <w:tc>
          <w:tcPr>
            <w:tcW w:w="1417" w:type="dxa"/>
            <w:vAlign w:val="center"/>
          </w:tcPr>
          <w:p w14:paraId="05898036">
            <w:pPr>
              <w:widowControl w:val="0"/>
              <w:jc w:val="center"/>
              <w:rPr>
                <w:color w:val="auto"/>
                <w:sz w:val="22"/>
                <w:szCs w:val="22"/>
              </w:rPr>
            </w:pPr>
            <w:r>
              <w:rPr>
                <w:color w:val="auto"/>
                <w:sz w:val="22"/>
                <w:szCs w:val="22"/>
              </w:rPr>
              <w:t>2.30</w:t>
            </w:r>
          </w:p>
        </w:tc>
        <w:tc>
          <w:tcPr>
            <w:tcW w:w="1275" w:type="dxa"/>
            <w:vAlign w:val="center"/>
          </w:tcPr>
          <w:p w14:paraId="07085E34">
            <w:pPr>
              <w:widowControl w:val="0"/>
              <w:jc w:val="center"/>
              <w:rPr>
                <w:color w:val="auto"/>
                <w:sz w:val="21"/>
                <w:szCs w:val="21"/>
              </w:rPr>
            </w:pPr>
            <w:r>
              <w:rPr>
                <w:color w:val="auto"/>
                <w:sz w:val="21"/>
                <w:szCs w:val="21"/>
              </w:rPr>
              <w:t>0.004</w:t>
            </w:r>
          </w:p>
        </w:tc>
        <w:tc>
          <w:tcPr>
            <w:tcW w:w="1133" w:type="dxa"/>
            <w:vAlign w:val="center"/>
          </w:tcPr>
          <w:p w14:paraId="6712A869">
            <w:pPr>
              <w:widowControl w:val="0"/>
              <w:jc w:val="center"/>
              <w:rPr>
                <w:color w:val="auto"/>
                <w:sz w:val="21"/>
                <w:szCs w:val="21"/>
              </w:rPr>
            </w:pPr>
            <w:r>
              <w:rPr>
                <w:color w:val="auto"/>
                <w:sz w:val="21"/>
                <w:szCs w:val="21"/>
              </w:rPr>
              <w:t>0.035</w:t>
            </w:r>
          </w:p>
        </w:tc>
        <w:tc>
          <w:tcPr>
            <w:tcW w:w="1523" w:type="dxa"/>
            <w:vMerge w:val="continue"/>
            <w:vAlign w:val="center"/>
          </w:tcPr>
          <w:p w14:paraId="51D3B4D6">
            <w:pPr>
              <w:widowControl w:val="0"/>
              <w:jc w:val="center"/>
              <w:rPr>
                <w:color w:val="auto"/>
                <w:sz w:val="21"/>
                <w:szCs w:val="21"/>
              </w:rPr>
            </w:pPr>
          </w:p>
        </w:tc>
        <w:tc>
          <w:tcPr>
            <w:tcW w:w="1025" w:type="dxa"/>
            <w:vAlign w:val="center"/>
          </w:tcPr>
          <w:p w14:paraId="41CD56C6">
            <w:pPr>
              <w:widowControl w:val="0"/>
              <w:jc w:val="center"/>
              <w:rPr>
                <w:color w:val="auto"/>
                <w:sz w:val="21"/>
                <w:szCs w:val="21"/>
              </w:rPr>
            </w:pPr>
            <w:r>
              <w:rPr>
                <w:color w:val="auto"/>
                <w:sz w:val="21"/>
                <w:szCs w:val="21"/>
              </w:rPr>
              <w:t>/</w:t>
            </w:r>
          </w:p>
        </w:tc>
        <w:tc>
          <w:tcPr>
            <w:tcW w:w="1373" w:type="dxa"/>
            <w:vAlign w:val="center"/>
          </w:tcPr>
          <w:p w14:paraId="7D86CC62">
            <w:pPr>
              <w:widowControl w:val="0"/>
              <w:jc w:val="center"/>
              <w:rPr>
                <w:color w:val="auto"/>
                <w:sz w:val="22"/>
                <w:szCs w:val="22"/>
              </w:rPr>
            </w:pPr>
            <w:r>
              <w:rPr>
                <w:color w:val="auto"/>
                <w:sz w:val="22"/>
                <w:szCs w:val="22"/>
              </w:rPr>
              <w:t>2.3</w:t>
            </w:r>
          </w:p>
        </w:tc>
        <w:tc>
          <w:tcPr>
            <w:tcW w:w="1177" w:type="dxa"/>
            <w:vAlign w:val="center"/>
          </w:tcPr>
          <w:p w14:paraId="375BBF5E">
            <w:pPr>
              <w:widowControl w:val="0"/>
              <w:jc w:val="center"/>
              <w:rPr>
                <w:color w:val="auto"/>
                <w:sz w:val="22"/>
                <w:szCs w:val="22"/>
              </w:rPr>
            </w:pPr>
            <w:r>
              <w:rPr>
                <w:color w:val="auto"/>
                <w:sz w:val="22"/>
                <w:szCs w:val="22"/>
              </w:rPr>
              <w:t>0.004</w:t>
            </w:r>
          </w:p>
        </w:tc>
        <w:tc>
          <w:tcPr>
            <w:tcW w:w="1274" w:type="dxa"/>
            <w:vAlign w:val="center"/>
          </w:tcPr>
          <w:p w14:paraId="55C9450D">
            <w:pPr>
              <w:widowControl w:val="0"/>
              <w:jc w:val="center"/>
              <w:rPr>
                <w:color w:val="auto"/>
                <w:sz w:val="22"/>
                <w:szCs w:val="22"/>
              </w:rPr>
            </w:pPr>
            <w:r>
              <w:rPr>
                <w:color w:val="auto"/>
                <w:sz w:val="22"/>
                <w:szCs w:val="22"/>
              </w:rPr>
              <w:t>0.03</w:t>
            </w:r>
          </w:p>
        </w:tc>
        <w:tc>
          <w:tcPr>
            <w:tcW w:w="3363" w:type="dxa"/>
            <w:gridSpan w:val="4"/>
            <w:vMerge w:val="continue"/>
            <w:vAlign w:val="center"/>
          </w:tcPr>
          <w:p w14:paraId="256ADDA3">
            <w:pPr>
              <w:widowControl w:val="0"/>
              <w:jc w:val="center"/>
              <w:rPr>
                <w:color w:val="auto"/>
                <w:sz w:val="21"/>
                <w:szCs w:val="21"/>
              </w:rPr>
            </w:pPr>
          </w:p>
        </w:tc>
        <w:tc>
          <w:tcPr>
            <w:tcW w:w="1538" w:type="dxa"/>
            <w:vMerge w:val="continue"/>
            <w:vAlign w:val="center"/>
          </w:tcPr>
          <w:p w14:paraId="0FC58EDC">
            <w:pPr>
              <w:widowControl w:val="0"/>
              <w:jc w:val="center"/>
              <w:rPr>
                <w:color w:val="auto"/>
                <w:sz w:val="21"/>
                <w:szCs w:val="21"/>
              </w:rPr>
            </w:pPr>
          </w:p>
        </w:tc>
      </w:tr>
      <w:tr w14:paraId="10E35AA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6F585F9D">
            <w:pPr>
              <w:widowControl w:val="0"/>
              <w:jc w:val="center"/>
              <w:rPr>
                <w:color w:val="auto"/>
                <w:sz w:val="21"/>
                <w:szCs w:val="21"/>
              </w:rPr>
            </w:pPr>
          </w:p>
        </w:tc>
        <w:tc>
          <w:tcPr>
            <w:tcW w:w="1540" w:type="dxa"/>
            <w:vMerge w:val="continue"/>
            <w:vAlign w:val="center"/>
          </w:tcPr>
          <w:p w14:paraId="2C58F8A1">
            <w:pPr>
              <w:widowControl w:val="0"/>
              <w:jc w:val="center"/>
              <w:rPr>
                <w:color w:val="auto"/>
                <w:sz w:val="21"/>
                <w:szCs w:val="21"/>
              </w:rPr>
            </w:pPr>
          </w:p>
        </w:tc>
        <w:tc>
          <w:tcPr>
            <w:tcW w:w="1358" w:type="dxa"/>
            <w:vAlign w:val="center"/>
          </w:tcPr>
          <w:p w14:paraId="6C471639">
            <w:pPr>
              <w:widowControl w:val="0"/>
              <w:jc w:val="center"/>
              <w:rPr>
                <w:color w:val="auto"/>
                <w:sz w:val="21"/>
                <w:szCs w:val="21"/>
              </w:rPr>
            </w:pPr>
            <w:r>
              <w:rPr>
                <w:color w:val="auto"/>
                <w:sz w:val="21"/>
                <w:szCs w:val="21"/>
              </w:rPr>
              <w:t>NOx</w:t>
            </w:r>
          </w:p>
        </w:tc>
        <w:tc>
          <w:tcPr>
            <w:tcW w:w="1470" w:type="dxa"/>
            <w:vAlign w:val="center"/>
          </w:tcPr>
          <w:p w14:paraId="7E2C6B76">
            <w:pPr>
              <w:widowControl w:val="0"/>
              <w:jc w:val="center"/>
              <w:rPr>
                <w:color w:val="auto"/>
                <w:sz w:val="21"/>
                <w:szCs w:val="21"/>
              </w:rPr>
            </w:pPr>
            <w:r>
              <w:rPr>
                <w:color w:val="auto"/>
                <w:sz w:val="21"/>
                <w:szCs w:val="21"/>
              </w:rPr>
              <w:t xml:space="preserve">系数法 </w:t>
            </w:r>
          </w:p>
        </w:tc>
        <w:tc>
          <w:tcPr>
            <w:tcW w:w="1133" w:type="dxa"/>
            <w:vMerge w:val="continue"/>
            <w:vAlign w:val="center"/>
          </w:tcPr>
          <w:p w14:paraId="0923774C">
            <w:pPr>
              <w:widowControl w:val="0"/>
              <w:jc w:val="center"/>
              <w:rPr>
                <w:color w:val="auto"/>
                <w:sz w:val="21"/>
                <w:szCs w:val="21"/>
              </w:rPr>
            </w:pPr>
          </w:p>
        </w:tc>
        <w:tc>
          <w:tcPr>
            <w:tcW w:w="1417" w:type="dxa"/>
            <w:vAlign w:val="center"/>
          </w:tcPr>
          <w:p w14:paraId="30A4419A">
            <w:pPr>
              <w:widowControl w:val="0"/>
              <w:jc w:val="center"/>
              <w:rPr>
                <w:color w:val="auto"/>
                <w:sz w:val="22"/>
                <w:szCs w:val="22"/>
              </w:rPr>
            </w:pPr>
            <w:r>
              <w:rPr>
                <w:color w:val="auto"/>
                <w:sz w:val="22"/>
                <w:szCs w:val="22"/>
              </w:rPr>
              <w:t>28.12</w:t>
            </w:r>
          </w:p>
        </w:tc>
        <w:tc>
          <w:tcPr>
            <w:tcW w:w="1275" w:type="dxa"/>
            <w:vAlign w:val="center"/>
          </w:tcPr>
          <w:p w14:paraId="2875841E">
            <w:pPr>
              <w:widowControl w:val="0"/>
              <w:jc w:val="center"/>
              <w:rPr>
                <w:color w:val="auto"/>
                <w:sz w:val="21"/>
                <w:szCs w:val="21"/>
              </w:rPr>
            </w:pPr>
            <w:r>
              <w:rPr>
                <w:color w:val="auto"/>
                <w:sz w:val="21"/>
                <w:szCs w:val="21"/>
              </w:rPr>
              <w:t>0.053</w:t>
            </w:r>
          </w:p>
        </w:tc>
        <w:tc>
          <w:tcPr>
            <w:tcW w:w="1133" w:type="dxa"/>
            <w:vAlign w:val="center"/>
          </w:tcPr>
          <w:p w14:paraId="3F5A3E34">
            <w:pPr>
              <w:widowControl w:val="0"/>
              <w:jc w:val="center"/>
              <w:rPr>
                <w:color w:val="auto"/>
                <w:sz w:val="21"/>
                <w:szCs w:val="21"/>
              </w:rPr>
            </w:pPr>
            <w:r>
              <w:rPr>
                <w:color w:val="auto"/>
                <w:sz w:val="21"/>
                <w:szCs w:val="21"/>
              </w:rPr>
              <w:t>0.427</w:t>
            </w:r>
          </w:p>
        </w:tc>
        <w:tc>
          <w:tcPr>
            <w:tcW w:w="1523" w:type="dxa"/>
            <w:vMerge w:val="continue"/>
            <w:vAlign w:val="center"/>
          </w:tcPr>
          <w:p w14:paraId="0411196D">
            <w:pPr>
              <w:widowControl w:val="0"/>
              <w:jc w:val="center"/>
              <w:rPr>
                <w:color w:val="auto"/>
                <w:sz w:val="21"/>
                <w:szCs w:val="21"/>
              </w:rPr>
            </w:pPr>
          </w:p>
        </w:tc>
        <w:tc>
          <w:tcPr>
            <w:tcW w:w="1025" w:type="dxa"/>
            <w:vAlign w:val="center"/>
          </w:tcPr>
          <w:p w14:paraId="1F09177B">
            <w:pPr>
              <w:widowControl w:val="0"/>
              <w:jc w:val="center"/>
              <w:rPr>
                <w:color w:val="auto"/>
                <w:sz w:val="21"/>
                <w:szCs w:val="21"/>
              </w:rPr>
            </w:pPr>
            <w:r>
              <w:rPr>
                <w:color w:val="auto"/>
                <w:sz w:val="21"/>
                <w:szCs w:val="21"/>
              </w:rPr>
              <w:t>/</w:t>
            </w:r>
          </w:p>
        </w:tc>
        <w:tc>
          <w:tcPr>
            <w:tcW w:w="1373" w:type="dxa"/>
            <w:vAlign w:val="center"/>
          </w:tcPr>
          <w:p w14:paraId="3AD69BF5">
            <w:pPr>
              <w:widowControl w:val="0"/>
              <w:jc w:val="center"/>
              <w:rPr>
                <w:color w:val="auto"/>
                <w:sz w:val="22"/>
                <w:szCs w:val="22"/>
              </w:rPr>
            </w:pPr>
            <w:r>
              <w:rPr>
                <w:color w:val="auto"/>
                <w:sz w:val="22"/>
                <w:szCs w:val="22"/>
              </w:rPr>
              <w:t>28.1</w:t>
            </w:r>
          </w:p>
        </w:tc>
        <w:tc>
          <w:tcPr>
            <w:tcW w:w="1177" w:type="dxa"/>
            <w:vAlign w:val="center"/>
          </w:tcPr>
          <w:p w14:paraId="5629CA6A">
            <w:pPr>
              <w:widowControl w:val="0"/>
              <w:jc w:val="center"/>
              <w:rPr>
                <w:color w:val="auto"/>
                <w:sz w:val="22"/>
                <w:szCs w:val="22"/>
              </w:rPr>
            </w:pPr>
            <w:r>
              <w:rPr>
                <w:color w:val="auto"/>
                <w:sz w:val="22"/>
                <w:szCs w:val="22"/>
              </w:rPr>
              <w:t>0.053</w:t>
            </w:r>
          </w:p>
        </w:tc>
        <w:tc>
          <w:tcPr>
            <w:tcW w:w="1274" w:type="dxa"/>
            <w:vAlign w:val="center"/>
          </w:tcPr>
          <w:p w14:paraId="1C471821">
            <w:pPr>
              <w:widowControl w:val="0"/>
              <w:jc w:val="center"/>
              <w:rPr>
                <w:color w:val="auto"/>
                <w:sz w:val="22"/>
                <w:szCs w:val="22"/>
              </w:rPr>
            </w:pPr>
            <w:r>
              <w:rPr>
                <w:color w:val="auto"/>
                <w:sz w:val="22"/>
                <w:szCs w:val="22"/>
              </w:rPr>
              <w:t>0.43</w:t>
            </w:r>
          </w:p>
        </w:tc>
        <w:tc>
          <w:tcPr>
            <w:tcW w:w="3363" w:type="dxa"/>
            <w:gridSpan w:val="4"/>
            <w:vMerge w:val="continue"/>
            <w:vAlign w:val="center"/>
          </w:tcPr>
          <w:p w14:paraId="6E7578BC">
            <w:pPr>
              <w:widowControl w:val="0"/>
              <w:jc w:val="center"/>
              <w:rPr>
                <w:color w:val="auto"/>
                <w:sz w:val="21"/>
                <w:szCs w:val="21"/>
              </w:rPr>
            </w:pPr>
          </w:p>
        </w:tc>
        <w:tc>
          <w:tcPr>
            <w:tcW w:w="1538" w:type="dxa"/>
            <w:vMerge w:val="continue"/>
            <w:vAlign w:val="center"/>
          </w:tcPr>
          <w:p w14:paraId="2BA5C0D4">
            <w:pPr>
              <w:widowControl w:val="0"/>
              <w:jc w:val="center"/>
              <w:rPr>
                <w:color w:val="auto"/>
                <w:sz w:val="21"/>
                <w:szCs w:val="21"/>
              </w:rPr>
            </w:pPr>
          </w:p>
        </w:tc>
      </w:tr>
      <w:tr w14:paraId="029EAFF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7D19D078">
            <w:pPr>
              <w:widowControl w:val="0"/>
              <w:jc w:val="center"/>
              <w:rPr>
                <w:color w:val="auto"/>
                <w:sz w:val="21"/>
                <w:szCs w:val="21"/>
              </w:rPr>
            </w:pPr>
            <w:r>
              <w:rPr>
                <w:color w:val="auto"/>
                <w:sz w:val="21"/>
                <w:szCs w:val="21"/>
              </w:rPr>
              <w:t>G</w:t>
            </w:r>
            <w:r>
              <w:rPr>
                <w:color w:val="auto"/>
                <w:sz w:val="21"/>
                <w:szCs w:val="21"/>
                <w:vertAlign w:val="subscript"/>
              </w:rPr>
              <w:t>15</w:t>
            </w:r>
          </w:p>
        </w:tc>
        <w:tc>
          <w:tcPr>
            <w:tcW w:w="1540" w:type="dxa"/>
            <w:vMerge w:val="restart"/>
            <w:vAlign w:val="center"/>
          </w:tcPr>
          <w:p w14:paraId="625F8BF2">
            <w:pPr>
              <w:widowControl w:val="0"/>
              <w:jc w:val="center"/>
              <w:rPr>
                <w:color w:val="auto"/>
                <w:sz w:val="21"/>
                <w:szCs w:val="21"/>
              </w:rPr>
            </w:pPr>
            <w:r>
              <w:rPr>
                <w:color w:val="auto"/>
                <w:sz w:val="21"/>
                <w:szCs w:val="21"/>
              </w:rPr>
              <w:t>催化剂焙烧烟气</w:t>
            </w:r>
          </w:p>
        </w:tc>
        <w:tc>
          <w:tcPr>
            <w:tcW w:w="1358" w:type="dxa"/>
            <w:vAlign w:val="center"/>
          </w:tcPr>
          <w:p w14:paraId="0688A29A">
            <w:pPr>
              <w:widowControl w:val="0"/>
              <w:jc w:val="center"/>
              <w:rPr>
                <w:color w:val="auto"/>
                <w:sz w:val="21"/>
                <w:szCs w:val="21"/>
              </w:rPr>
            </w:pPr>
            <w:r>
              <w:rPr>
                <w:color w:val="auto"/>
                <w:sz w:val="21"/>
                <w:szCs w:val="21"/>
              </w:rPr>
              <w:t>颗粒物</w:t>
            </w:r>
          </w:p>
        </w:tc>
        <w:tc>
          <w:tcPr>
            <w:tcW w:w="1470" w:type="dxa"/>
            <w:vAlign w:val="center"/>
          </w:tcPr>
          <w:p w14:paraId="42D29FB3">
            <w:pPr>
              <w:widowControl w:val="0"/>
              <w:jc w:val="center"/>
              <w:rPr>
                <w:color w:val="auto"/>
                <w:sz w:val="21"/>
                <w:szCs w:val="21"/>
              </w:rPr>
            </w:pPr>
            <w:r>
              <w:rPr>
                <w:color w:val="auto"/>
                <w:sz w:val="21"/>
                <w:szCs w:val="21"/>
              </w:rPr>
              <w:t>物料衡算法</w:t>
            </w:r>
          </w:p>
        </w:tc>
        <w:tc>
          <w:tcPr>
            <w:tcW w:w="1133" w:type="dxa"/>
            <w:vMerge w:val="restart"/>
            <w:vAlign w:val="center"/>
          </w:tcPr>
          <w:p w14:paraId="254560E2">
            <w:pPr>
              <w:widowControl w:val="0"/>
              <w:jc w:val="center"/>
              <w:rPr>
                <w:color w:val="auto"/>
                <w:sz w:val="21"/>
                <w:szCs w:val="21"/>
              </w:rPr>
            </w:pPr>
            <w:r>
              <w:rPr>
                <w:color w:val="auto"/>
                <w:sz w:val="21"/>
                <w:szCs w:val="21"/>
              </w:rPr>
              <w:t>2600</w:t>
            </w:r>
          </w:p>
        </w:tc>
        <w:tc>
          <w:tcPr>
            <w:tcW w:w="1417" w:type="dxa"/>
            <w:vAlign w:val="center"/>
          </w:tcPr>
          <w:p w14:paraId="71A2832F">
            <w:pPr>
              <w:widowControl w:val="0"/>
              <w:jc w:val="center"/>
              <w:rPr>
                <w:color w:val="auto"/>
                <w:sz w:val="21"/>
                <w:szCs w:val="21"/>
              </w:rPr>
            </w:pPr>
            <w:r>
              <w:rPr>
                <w:color w:val="auto"/>
                <w:sz w:val="21"/>
                <w:szCs w:val="21"/>
              </w:rPr>
              <w:t xml:space="preserve">1920.68 </w:t>
            </w:r>
          </w:p>
        </w:tc>
        <w:tc>
          <w:tcPr>
            <w:tcW w:w="1275" w:type="dxa"/>
            <w:vAlign w:val="center"/>
          </w:tcPr>
          <w:p w14:paraId="028F8E0D">
            <w:pPr>
              <w:widowControl w:val="0"/>
              <w:jc w:val="center"/>
              <w:rPr>
                <w:color w:val="auto"/>
                <w:sz w:val="21"/>
                <w:szCs w:val="21"/>
              </w:rPr>
            </w:pPr>
            <w:r>
              <w:rPr>
                <w:color w:val="auto"/>
                <w:sz w:val="21"/>
                <w:szCs w:val="21"/>
              </w:rPr>
              <w:t>4.99</w:t>
            </w:r>
          </w:p>
        </w:tc>
        <w:tc>
          <w:tcPr>
            <w:tcW w:w="1133" w:type="dxa"/>
            <w:vAlign w:val="center"/>
          </w:tcPr>
          <w:p w14:paraId="58493275">
            <w:pPr>
              <w:widowControl w:val="0"/>
              <w:jc w:val="center"/>
              <w:rPr>
                <w:color w:val="auto"/>
                <w:sz w:val="21"/>
                <w:szCs w:val="21"/>
              </w:rPr>
            </w:pPr>
            <w:r>
              <w:rPr>
                <w:color w:val="auto"/>
                <w:sz w:val="21"/>
                <w:szCs w:val="21"/>
              </w:rPr>
              <w:t>40.0</w:t>
            </w:r>
          </w:p>
        </w:tc>
        <w:tc>
          <w:tcPr>
            <w:tcW w:w="1523" w:type="dxa"/>
            <w:vMerge w:val="restart"/>
            <w:vAlign w:val="center"/>
          </w:tcPr>
          <w:p w14:paraId="0B219304">
            <w:pPr>
              <w:widowControl w:val="0"/>
              <w:jc w:val="center"/>
              <w:rPr>
                <w:color w:val="auto"/>
                <w:sz w:val="21"/>
                <w:szCs w:val="21"/>
              </w:rPr>
            </w:pPr>
            <w:r>
              <w:rPr>
                <w:color w:val="auto"/>
                <w:sz w:val="21"/>
                <w:szCs w:val="21"/>
              </w:rPr>
              <w:t>燃用清燃料+SCR脱硝+布袋除尘</w:t>
            </w:r>
          </w:p>
        </w:tc>
        <w:tc>
          <w:tcPr>
            <w:tcW w:w="1025" w:type="dxa"/>
            <w:vAlign w:val="center"/>
          </w:tcPr>
          <w:p w14:paraId="2211C923">
            <w:pPr>
              <w:widowControl w:val="0"/>
              <w:jc w:val="center"/>
              <w:rPr>
                <w:color w:val="auto"/>
                <w:sz w:val="21"/>
                <w:szCs w:val="21"/>
              </w:rPr>
            </w:pPr>
            <w:r>
              <w:rPr>
                <w:color w:val="auto"/>
                <w:sz w:val="21"/>
                <w:szCs w:val="21"/>
              </w:rPr>
              <w:t>99.80%</w:t>
            </w:r>
          </w:p>
        </w:tc>
        <w:tc>
          <w:tcPr>
            <w:tcW w:w="1373" w:type="dxa"/>
            <w:vAlign w:val="center"/>
          </w:tcPr>
          <w:p w14:paraId="1F5DFE89">
            <w:pPr>
              <w:widowControl w:val="0"/>
              <w:jc w:val="center"/>
              <w:rPr>
                <w:color w:val="auto"/>
                <w:sz w:val="21"/>
                <w:szCs w:val="21"/>
              </w:rPr>
            </w:pPr>
            <w:r>
              <w:rPr>
                <w:color w:val="auto"/>
                <w:sz w:val="21"/>
                <w:szCs w:val="21"/>
              </w:rPr>
              <w:t xml:space="preserve">3.84 </w:t>
            </w:r>
          </w:p>
        </w:tc>
        <w:tc>
          <w:tcPr>
            <w:tcW w:w="1177" w:type="dxa"/>
            <w:vAlign w:val="center"/>
          </w:tcPr>
          <w:p w14:paraId="73FA97CC">
            <w:pPr>
              <w:widowControl w:val="0"/>
              <w:jc w:val="center"/>
              <w:rPr>
                <w:color w:val="auto"/>
                <w:sz w:val="21"/>
                <w:szCs w:val="21"/>
              </w:rPr>
            </w:pPr>
            <w:r>
              <w:rPr>
                <w:color w:val="auto"/>
                <w:sz w:val="21"/>
                <w:szCs w:val="21"/>
              </w:rPr>
              <w:t>0.010</w:t>
            </w:r>
          </w:p>
        </w:tc>
        <w:tc>
          <w:tcPr>
            <w:tcW w:w="1274" w:type="dxa"/>
            <w:vAlign w:val="center"/>
          </w:tcPr>
          <w:p w14:paraId="6F9E58A1">
            <w:pPr>
              <w:widowControl w:val="0"/>
              <w:jc w:val="center"/>
              <w:rPr>
                <w:color w:val="auto"/>
                <w:sz w:val="21"/>
                <w:szCs w:val="21"/>
              </w:rPr>
            </w:pPr>
            <w:r>
              <w:rPr>
                <w:color w:val="auto"/>
                <w:sz w:val="21"/>
                <w:szCs w:val="21"/>
              </w:rPr>
              <w:t>0.08</w:t>
            </w:r>
          </w:p>
        </w:tc>
        <w:tc>
          <w:tcPr>
            <w:tcW w:w="3363" w:type="dxa"/>
            <w:gridSpan w:val="4"/>
            <w:vMerge w:val="restart"/>
            <w:vAlign w:val="center"/>
          </w:tcPr>
          <w:p w14:paraId="28BB0B81">
            <w:pPr>
              <w:widowControl w:val="0"/>
              <w:jc w:val="center"/>
              <w:rPr>
                <w:color w:val="auto"/>
                <w:sz w:val="21"/>
                <w:szCs w:val="21"/>
              </w:rPr>
            </w:pPr>
            <w:r>
              <w:rPr>
                <w:color w:val="auto"/>
                <w:sz w:val="21"/>
                <w:szCs w:val="21"/>
              </w:rPr>
              <w:t>与载体焙烧废气混合经SCR处理后通过DA007排放</w:t>
            </w:r>
          </w:p>
        </w:tc>
        <w:tc>
          <w:tcPr>
            <w:tcW w:w="1538" w:type="dxa"/>
            <w:vMerge w:val="restart"/>
            <w:vAlign w:val="center"/>
          </w:tcPr>
          <w:p w14:paraId="2AB526CF">
            <w:pPr>
              <w:widowControl w:val="0"/>
              <w:jc w:val="center"/>
              <w:rPr>
                <w:color w:val="auto"/>
                <w:sz w:val="21"/>
                <w:szCs w:val="21"/>
              </w:rPr>
            </w:pPr>
            <w:r>
              <w:rPr>
                <w:color w:val="auto"/>
                <w:sz w:val="21"/>
                <w:szCs w:val="21"/>
              </w:rPr>
              <w:t>8000</w:t>
            </w:r>
          </w:p>
        </w:tc>
      </w:tr>
      <w:tr w14:paraId="376B501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1CD14543">
            <w:pPr>
              <w:widowControl w:val="0"/>
              <w:jc w:val="center"/>
              <w:rPr>
                <w:color w:val="auto"/>
                <w:sz w:val="21"/>
                <w:szCs w:val="21"/>
              </w:rPr>
            </w:pPr>
          </w:p>
        </w:tc>
        <w:tc>
          <w:tcPr>
            <w:tcW w:w="1540" w:type="dxa"/>
            <w:vMerge w:val="continue"/>
            <w:vAlign w:val="center"/>
          </w:tcPr>
          <w:p w14:paraId="235AED77">
            <w:pPr>
              <w:widowControl w:val="0"/>
              <w:jc w:val="center"/>
              <w:rPr>
                <w:color w:val="auto"/>
                <w:sz w:val="21"/>
                <w:szCs w:val="21"/>
              </w:rPr>
            </w:pPr>
          </w:p>
        </w:tc>
        <w:tc>
          <w:tcPr>
            <w:tcW w:w="1358" w:type="dxa"/>
            <w:vAlign w:val="center"/>
          </w:tcPr>
          <w:p w14:paraId="7254BBB4">
            <w:pPr>
              <w:widowControl w:val="0"/>
              <w:jc w:val="center"/>
              <w:rPr>
                <w:color w:val="auto"/>
                <w:sz w:val="21"/>
                <w:szCs w:val="21"/>
              </w:rPr>
            </w:pPr>
            <w:r>
              <w:rPr>
                <w:color w:val="auto"/>
                <w:sz w:val="21"/>
                <w:szCs w:val="21"/>
              </w:rPr>
              <w:t>钴及其化合物</w:t>
            </w:r>
          </w:p>
        </w:tc>
        <w:tc>
          <w:tcPr>
            <w:tcW w:w="1470" w:type="dxa"/>
            <w:vAlign w:val="center"/>
          </w:tcPr>
          <w:p w14:paraId="37B1E18D">
            <w:pPr>
              <w:widowControl w:val="0"/>
              <w:jc w:val="center"/>
              <w:rPr>
                <w:color w:val="auto"/>
                <w:sz w:val="21"/>
                <w:szCs w:val="21"/>
              </w:rPr>
            </w:pPr>
            <w:r>
              <w:rPr>
                <w:color w:val="auto"/>
                <w:sz w:val="21"/>
                <w:szCs w:val="21"/>
              </w:rPr>
              <w:t>物料衡算法</w:t>
            </w:r>
          </w:p>
        </w:tc>
        <w:tc>
          <w:tcPr>
            <w:tcW w:w="1133" w:type="dxa"/>
            <w:vMerge w:val="continue"/>
            <w:vAlign w:val="center"/>
          </w:tcPr>
          <w:p w14:paraId="3E26AD1F">
            <w:pPr>
              <w:widowControl w:val="0"/>
              <w:jc w:val="center"/>
              <w:rPr>
                <w:color w:val="auto"/>
                <w:sz w:val="21"/>
                <w:szCs w:val="21"/>
              </w:rPr>
            </w:pPr>
          </w:p>
        </w:tc>
        <w:tc>
          <w:tcPr>
            <w:tcW w:w="1417" w:type="dxa"/>
            <w:vAlign w:val="center"/>
          </w:tcPr>
          <w:p w14:paraId="6CCC625D">
            <w:pPr>
              <w:widowControl w:val="0"/>
              <w:jc w:val="center"/>
              <w:rPr>
                <w:color w:val="auto"/>
                <w:sz w:val="22"/>
                <w:szCs w:val="22"/>
              </w:rPr>
            </w:pPr>
            <w:r>
              <w:rPr>
                <w:color w:val="auto"/>
                <w:sz w:val="22"/>
                <w:szCs w:val="22"/>
              </w:rPr>
              <w:t>44.74</w:t>
            </w:r>
          </w:p>
        </w:tc>
        <w:tc>
          <w:tcPr>
            <w:tcW w:w="1275" w:type="dxa"/>
            <w:vAlign w:val="center"/>
          </w:tcPr>
          <w:p w14:paraId="77E67D65">
            <w:pPr>
              <w:widowControl w:val="0"/>
              <w:jc w:val="center"/>
              <w:rPr>
                <w:color w:val="auto"/>
                <w:sz w:val="21"/>
                <w:szCs w:val="21"/>
              </w:rPr>
            </w:pPr>
            <w:r>
              <w:rPr>
                <w:color w:val="auto"/>
                <w:sz w:val="21"/>
                <w:szCs w:val="21"/>
              </w:rPr>
              <w:t>0.12</w:t>
            </w:r>
          </w:p>
        </w:tc>
        <w:tc>
          <w:tcPr>
            <w:tcW w:w="1133" w:type="dxa"/>
            <w:vAlign w:val="center"/>
          </w:tcPr>
          <w:p w14:paraId="60659662">
            <w:pPr>
              <w:widowControl w:val="0"/>
              <w:jc w:val="center"/>
              <w:rPr>
                <w:color w:val="auto"/>
                <w:sz w:val="21"/>
                <w:szCs w:val="21"/>
              </w:rPr>
            </w:pPr>
            <w:r>
              <w:rPr>
                <w:color w:val="auto"/>
                <w:sz w:val="21"/>
                <w:szCs w:val="21"/>
              </w:rPr>
              <w:t>0.9</w:t>
            </w:r>
          </w:p>
        </w:tc>
        <w:tc>
          <w:tcPr>
            <w:tcW w:w="1523" w:type="dxa"/>
            <w:vMerge w:val="continue"/>
            <w:vAlign w:val="center"/>
          </w:tcPr>
          <w:p w14:paraId="34470FD5">
            <w:pPr>
              <w:widowControl w:val="0"/>
              <w:jc w:val="center"/>
              <w:rPr>
                <w:color w:val="auto"/>
                <w:sz w:val="21"/>
                <w:szCs w:val="21"/>
              </w:rPr>
            </w:pPr>
          </w:p>
        </w:tc>
        <w:tc>
          <w:tcPr>
            <w:tcW w:w="1025" w:type="dxa"/>
            <w:vAlign w:val="center"/>
          </w:tcPr>
          <w:p w14:paraId="25373D3D">
            <w:pPr>
              <w:widowControl w:val="0"/>
              <w:jc w:val="center"/>
              <w:rPr>
                <w:color w:val="auto"/>
                <w:sz w:val="21"/>
                <w:szCs w:val="21"/>
              </w:rPr>
            </w:pPr>
            <w:r>
              <w:rPr>
                <w:color w:val="auto"/>
                <w:sz w:val="21"/>
                <w:szCs w:val="21"/>
              </w:rPr>
              <w:t>99.80%</w:t>
            </w:r>
          </w:p>
        </w:tc>
        <w:tc>
          <w:tcPr>
            <w:tcW w:w="1373" w:type="dxa"/>
            <w:vAlign w:val="center"/>
          </w:tcPr>
          <w:p w14:paraId="5335255A">
            <w:pPr>
              <w:widowControl w:val="0"/>
              <w:jc w:val="center"/>
              <w:rPr>
                <w:color w:val="auto"/>
                <w:sz w:val="22"/>
                <w:szCs w:val="22"/>
              </w:rPr>
            </w:pPr>
            <w:r>
              <w:rPr>
                <w:color w:val="auto"/>
                <w:sz w:val="22"/>
                <w:szCs w:val="22"/>
              </w:rPr>
              <w:t>0.09</w:t>
            </w:r>
          </w:p>
        </w:tc>
        <w:tc>
          <w:tcPr>
            <w:tcW w:w="1177" w:type="dxa"/>
            <w:vAlign w:val="center"/>
          </w:tcPr>
          <w:p w14:paraId="38E6BF85">
            <w:pPr>
              <w:widowControl w:val="0"/>
              <w:jc w:val="center"/>
              <w:rPr>
                <w:color w:val="auto"/>
                <w:sz w:val="21"/>
                <w:szCs w:val="21"/>
              </w:rPr>
            </w:pPr>
            <w:r>
              <w:rPr>
                <w:color w:val="auto"/>
                <w:sz w:val="21"/>
                <w:szCs w:val="21"/>
              </w:rPr>
              <w:t>0.0002</w:t>
            </w:r>
          </w:p>
        </w:tc>
        <w:tc>
          <w:tcPr>
            <w:tcW w:w="1274" w:type="dxa"/>
            <w:vAlign w:val="center"/>
          </w:tcPr>
          <w:p w14:paraId="074E1248">
            <w:pPr>
              <w:widowControl w:val="0"/>
              <w:jc w:val="center"/>
              <w:rPr>
                <w:color w:val="auto"/>
                <w:sz w:val="21"/>
                <w:szCs w:val="21"/>
              </w:rPr>
            </w:pPr>
            <w:r>
              <w:rPr>
                <w:color w:val="auto"/>
                <w:sz w:val="21"/>
                <w:szCs w:val="21"/>
              </w:rPr>
              <w:t>0.0019</w:t>
            </w:r>
          </w:p>
        </w:tc>
        <w:tc>
          <w:tcPr>
            <w:tcW w:w="3363" w:type="dxa"/>
            <w:gridSpan w:val="4"/>
            <w:vMerge w:val="continue"/>
            <w:vAlign w:val="center"/>
          </w:tcPr>
          <w:p w14:paraId="59201A23">
            <w:pPr>
              <w:widowControl w:val="0"/>
              <w:jc w:val="center"/>
              <w:rPr>
                <w:color w:val="auto"/>
                <w:sz w:val="21"/>
                <w:szCs w:val="21"/>
              </w:rPr>
            </w:pPr>
          </w:p>
        </w:tc>
        <w:tc>
          <w:tcPr>
            <w:tcW w:w="1538" w:type="dxa"/>
            <w:vMerge w:val="continue"/>
            <w:vAlign w:val="center"/>
          </w:tcPr>
          <w:p w14:paraId="3F97A395">
            <w:pPr>
              <w:widowControl w:val="0"/>
              <w:jc w:val="center"/>
              <w:rPr>
                <w:color w:val="auto"/>
                <w:sz w:val="21"/>
                <w:szCs w:val="21"/>
              </w:rPr>
            </w:pPr>
          </w:p>
        </w:tc>
      </w:tr>
      <w:tr w14:paraId="6E0D03C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2AEB53D9">
            <w:pPr>
              <w:widowControl w:val="0"/>
              <w:jc w:val="center"/>
              <w:rPr>
                <w:color w:val="auto"/>
                <w:sz w:val="21"/>
                <w:szCs w:val="21"/>
              </w:rPr>
            </w:pPr>
          </w:p>
        </w:tc>
        <w:tc>
          <w:tcPr>
            <w:tcW w:w="1540" w:type="dxa"/>
            <w:vMerge w:val="continue"/>
            <w:vAlign w:val="center"/>
          </w:tcPr>
          <w:p w14:paraId="20FC841A">
            <w:pPr>
              <w:widowControl w:val="0"/>
              <w:jc w:val="center"/>
              <w:rPr>
                <w:color w:val="auto"/>
                <w:sz w:val="21"/>
                <w:szCs w:val="21"/>
              </w:rPr>
            </w:pPr>
          </w:p>
        </w:tc>
        <w:tc>
          <w:tcPr>
            <w:tcW w:w="1358" w:type="dxa"/>
            <w:vAlign w:val="center"/>
          </w:tcPr>
          <w:p w14:paraId="12648BE0">
            <w:pPr>
              <w:widowControl w:val="0"/>
              <w:jc w:val="center"/>
              <w:rPr>
                <w:color w:val="auto"/>
                <w:sz w:val="21"/>
                <w:szCs w:val="21"/>
              </w:rPr>
            </w:pPr>
            <w:r>
              <w:rPr>
                <w:color w:val="auto"/>
                <w:sz w:val="21"/>
                <w:szCs w:val="21"/>
              </w:rPr>
              <w:t>钼及其化合物</w:t>
            </w:r>
          </w:p>
        </w:tc>
        <w:tc>
          <w:tcPr>
            <w:tcW w:w="1470" w:type="dxa"/>
            <w:vAlign w:val="center"/>
          </w:tcPr>
          <w:p w14:paraId="3656CD38">
            <w:pPr>
              <w:widowControl w:val="0"/>
              <w:jc w:val="center"/>
              <w:rPr>
                <w:color w:val="auto"/>
                <w:sz w:val="21"/>
                <w:szCs w:val="21"/>
              </w:rPr>
            </w:pPr>
            <w:r>
              <w:rPr>
                <w:color w:val="auto"/>
                <w:sz w:val="21"/>
                <w:szCs w:val="21"/>
              </w:rPr>
              <w:t>物料衡算法</w:t>
            </w:r>
          </w:p>
        </w:tc>
        <w:tc>
          <w:tcPr>
            <w:tcW w:w="1133" w:type="dxa"/>
            <w:vMerge w:val="continue"/>
            <w:vAlign w:val="center"/>
          </w:tcPr>
          <w:p w14:paraId="3B0BA3B4">
            <w:pPr>
              <w:widowControl w:val="0"/>
              <w:jc w:val="center"/>
              <w:rPr>
                <w:color w:val="auto"/>
                <w:sz w:val="21"/>
                <w:szCs w:val="21"/>
              </w:rPr>
            </w:pPr>
          </w:p>
        </w:tc>
        <w:tc>
          <w:tcPr>
            <w:tcW w:w="1417" w:type="dxa"/>
            <w:vAlign w:val="center"/>
          </w:tcPr>
          <w:p w14:paraId="4893F95F">
            <w:pPr>
              <w:widowControl w:val="0"/>
              <w:jc w:val="center"/>
              <w:rPr>
                <w:color w:val="auto"/>
                <w:sz w:val="22"/>
                <w:szCs w:val="22"/>
              </w:rPr>
            </w:pPr>
            <w:r>
              <w:rPr>
                <w:color w:val="auto"/>
                <w:sz w:val="22"/>
                <w:szCs w:val="22"/>
              </w:rPr>
              <w:t>9.50</w:t>
            </w:r>
          </w:p>
        </w:tc>
        <w:tc>
          <w:tcPr>
            <w:tcW w:w="1275" w:type="dxa"/>
            <w:vAlign w:val="center"/>
          </w:tcPr>
          <w:p w14:paraId="6FD28833">
            <w:pPr>
              <w:widowControl w:val="0"/>
              <w:jc w:val="center"/>
              <w:rPr>
                <w:color w:val="auto"/>
                <w:sz w:val="21"/>
                <w:szCs w:val="21"/>
              </w:rPr>
            </w:pPr>
            <w:r>
              <w:rPr>
                <w:color w:val="auto"/>
                <w:sz w:val="21"/>
                <w:szCs w:val="21"/>
              </w:rPr>
              <w:t>0.02</w:t>
            </w:r>
          </w:p>
        </w:tc>
        <w:tc>
          <w:tcPr>
            <w:tcW w:w="1133" w:type="dxa"/>
            <w:vAlign w:val="center"/>
          </w:tcPr>
          <w:p w14:paraId="7AC012CC">
            <w:pPr>
              <w:widowControl w:val="0"/>
              <w:jc w:val="center"/>
              <w:rPr>
                <w:color w:val="auto"/>
                <w:sz w:val="21"/>
                <w:szCs w:val="21"/>
              </w:rPr>
            </w:pPr>
            <w:r>
              <w:rPr>
                <w:color w:val="auto"/>
                <w:sz w:val="21"/>
                <w:szCs w:val="21"/>
              </w:rPr>
              <w:t>0.2</w:t>
            </w:r>
          </w:p>
        </w:tc>
        <w:tc>
          <w:tcPr>
            <w:tcW w:w="1523" w:type="dxa"/>
            <w:vMerge w:val="continue"/>
            <w:vAlign w:val="center"/>
          </w:tcPr>
          <w:p w14:paraId="359E0922">
            <w:pPr>
              <w:widowControl w:val="0"/>
              <w:jc w:val="center"/>
              <w:rPr>
                <w:color w:val="auto"/>
                <w:sz w:val="21"/>
                <w:szCs w:val="21"/>
              </w:rPr>
            </w:pPr>
          </w:p>
        </w:tc>
        <w:tc>
          <w:tcPr>
            <w:tcW w:w="1025" w:type="dxa"/>
            <w:vAlign w:val="center"/>
          </w:tcPr>
          <w:p w14:paraId="0AD11BEC">
            <w:pPr>
              <w:widowControl w:val="0"/>
              <w:jc w:val="center"/>
              <w:rPr>
                <w:color w:val="auto"/>
                <w:sz w:val="21"/>
                <w:szCs w:val="21"/>
              </w:rPr>
            </w:pPr>
            <w:r>
              <w:rPr>
                <w:color w:val="auto"/>
                <w:sz w:val="21"/>
                <w:szCs w:val="21"/>
              </w:rPr>
              <w:t>99.80%</w:t>
            </w:r>
          </w:p>
        </w:tc>
        <w:tc>
          <w:tcPr>
            <w:tcW w:w="1373" w:type="dxa"/>
            <w:vAlign w:val="center"/>
          </w:tcPr>
          <w:p w14:paraId="1328D38D">
            <w:pPr>
              <w:widowControl w:val="0"/>
              <w:jc w:val="center"/>
              <w:rPr>
                <w:color w:val="auto"/>
                <w:sz w:val="22"/>
                <w:szCs w:val="22"/>
              </w:rPr>
            </w:pPr>
            <w:r>
              <w:rPr>
                <w:color w:val="auto"/>
                <w:sz w:val="22"/>
                <w:szCs w:val="22"/>
              </w:rPr>
              <w:t>0.02</w:t>
            </w:r>
          </w:p>
        </w:tc>
        <w:tc>
          <w:tcPr>
            <w:tcW w:w="1177" w:type="dxa"/>
            <w:vAlign w:val="center"/>
          </w:tcPr>
          <w:p w14:paraId="20487F26">
            <w:pPr>
              <w:widowControl w:val="0"/>
              <w:jc w:val="center"/>
              <w:rPr>
                <w:color w:val="auto"/>
                <w:sz w:val="21"/>
                <w:szCs w:val="21"/>
              </w:rPr>
            </w:pPr>
            <w:r>
              <w:rPr>
                <w:color w:val="auto"/>
                <w:sz w:val="21"/>
                <w:szCs w:val="21"/>
              </w:rPr>
              <w:t>0.0000</w:t>
            </w:r>
          </w:p>
        </w:tc>
        <w:tc>
          <w:tcPr>
            <w:tcW w:w="1274" w:type="dxa"/>
            <w:vAlign w:val="center"/>
          </w:tcPr>
          <w:p w14:paraId="18428DC1">
            <w:pPr>
              <w:widowControl w:val="0"/>
              <w:jc w:val="center"/>
              <w:rPr>
                <w:color w:val="auto"/>
                <w:sz w:val="21"/>
                <w:szCs w:val="21"/>
              </w:rPr>
            </w:pPr>
            <w:r>
              <w:rPr>
                <w:color w:val="auto"/>
                <w:sz w:val="21"/>
                <w:szCs w:val="21"/>
              </w:rPr>
              <w:t>0.0004</w:t>
            </w:r>
          </w:p>
        </w:tc>
        <w:tc>
          <w:tcPr>
            <w:tcW w:w="3363" w:type="dxa"/>
            <w:gridSpan w:val="4"/>
            <w:vMerge w:val="continue"/>
            <w:vAlign w:val="center"/>
          </w:tcPr>
          <w:p w14:paraId="4C44DA63">
            <w:pPr>
              <w:widowControl w:val="0"/>
              <w:jc w:val="center"/>
              <w:rPr>
                <w:color w:val="auto"/>
                <w:sz w:val="21"/>
                <w:szCs w:val="21"/>
              </w:rPr>
            </w:pPr>
          </w:p>
        </w:tc>
        <w:tc>
          <w:tcPr>
            <w:tcW w:w="1538" w:type="dxa"/>
            <w:vMerge w:val="continue"/>
            <w:vAlign w:val="center"/>
          </w:tcPr>
          <w:p w14:paraId="087AE76D">
            <w:pPr>
              <w:widowControl w:val="0"/>
              <w:jc w:val="center"/>
              <w:rPr>
                <w:color w:val="auto"/>
                <w:sz w:val="21"/>
                <w:szCs w:val="21"/>
              </w:rPr>
            </w:pPr>
          </w:p>
        </w:tc>
      </w:tr>
      <w:tr w14:paraId="22451D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457F36B">
            <w:pPr>
              <w:widowControl w:val="0"/>
              <w:jc w:val="center"/>
              <w:rPr>
                <w:color w:val="auto"/>
                <w:sz w:val="21"/>
                <w:szCs w:val="21"/>
              </w:rPr>
            </w:pPr>
          </w:p>
        </w:tc>
        <w:tc>
          <w:tcPr>
            <w:tcW w:w="1540" w:type="dxa"/>
            <w:vMerge w:val="continue"/>
            <w:vAlign w:val="center"/>
          </w:tcPr>
          <w:p w14:paraId="3D2213D5">
            <w:pPr>
              <w:widowControl w:val="0"/>
              <w:jc w:val="center"/>
              <w:rPr>
                <w:color w:val="auto"/>
                <w:sz w:val="21"/>
                <w:szCs w:val="21"/>
              </w:rPr>
            </w:pPr>
          </w:p>
        </w:tc>
        <w:tc>
          <w:tcPr>
            <w:tcW w:w="1358" w:type="dxa"/>
            <w:vAlign w:val="center"/>
          </w:tcPr>
          <w:p w14:paraId="5F5FA28D">
            <w:pPr>
              <w:widowControl w:val="0"/>
              <w:jc w:val="center"/>
              <w:rPr>
                <w:color w:val="auto"/>
                <w:sz w:val="21"/>
                <w:szCs w:val="21"/>
              </w:rPr>
            </w:pPr>
            <w:r>
              <w:rPr>
                <w:color w:val="auto"/>
                <w:sz w:val="21"/>
                <w:szCs w:val="21"/>
              </w:rPr>
              <w:t>镍及其化合物</w:t>
            </w:r>
          </w:p>
        </w:tc>
        <w:tc>
          <w:tcPr>
            <w:tcW w:w="1470" w:type="dxa"/>
            <w:vAlign w:val="center"/>
          </w:tcPr>
          <w:p w14:paraId="72EBE2B2">
            <w:pPr>
              <w:widowControl w:val="0"/>
              <w:jc w:val="center"/>
              <w:rPr>
                <w:color w:val="auto"/>
                <w:sz w:val="21"/>
                <w:szCs w:val="21"/>
              </w:rPr>
            </w:pPr>
            <w:r>
              <w:rPr>
                <w:color w:val="auto"/>
                <w:sz w:val="21"/>
                <w:szCs w:val="21"/>
              </w:rPr>
              <w:t>物料衡算法</w:t>
            </w:r>
          </w:p>
        </w:tc>
        <w:tc>
          <w:tcPr>
            <w:tcW w:w="1133" w:type="dxa"/>
            <w:vMerge w:val="continue"/>
            <w:vAlign w:val="center"/>
          </w:tcPr>
          <w:p w14:paraId="5E64C0F2">
            <w:pPr>
              <w:widowControl w:val="0"/>
              <w:jc w:val="center"/>
              <w:rPr>
                <w:color w:val="auto"/>
                <w:sz w:val="21"/>
                <w:szCs w:val="21"/>
              </w:rPr>
            </w:pPr>
          </w:p>
        </w:tc>
        <w:tc>
          <w:tcPr>
            <w:tcW w:w="1417" w:type="dxa"/>
            <w:vAlign w:val="center"/>
          </w:tcPr>
          <w:p w14:paraId="5A4AEE89">
            <w:pPr>
              <w:widowControl w:val="0"/>
              <w:jc w:val="center"/>
              <w:rPr>
                <w:color w:val="auto"/>
                <w:sz w:val="22"/>
                <w:szCs w:val="22"/>
              </w:rPr>
            </w:pPr>
            <w:r>
              <w:rPr>
                <w:color w:val="auto"/>
                <w:sz w:val="22"/>
                <w:szCs w:val="22"/>
              </w:rPr>
              <w:t>11.37</w:t>
            </w:r>
          </w:p>
        </w:tc>
        <w:tc>
          <w:tcPr>
            <w:tcW w:w="1275" w:type="dxa"/>
            <w:vAlign w:val="center"/>
          </w:tcPr>
          <w:p w14:paraId="07ADE9D2">
            <w:pPr>
              <w:widowControl w:val="0"/>
              <w:jc w:val="center"/>
              <w:rPr>
                <w:color w:val="auto"/>
                <w:sz w:val="21"/>
                <w:szCs w:val="21"/>
              </w:rPr>
            </w:pPr>
            <w:r>
              <w:rPr>
                <w:color w:val="auto"/>
                <w:sz w:val="21"/>
                <w:szCs w:val="21"/>
              </w:rPr>
              <w:t>0.03</w:t>
            </w:r>
          </w:p>
        </w:tc>
        <w:tc>
          <w:tcPr>
            <w:tcW w:w="1133" w:type="dxa"/>
            <w:vAlign w:val="center"/>
          </w:tcPr>
          <w:p w14:paraId="35EFCDEB">
            <w:pPr>
              <w:widowControl w:val="0"/>
              <w:jc w:val="center"/>
              <w:rPr>
                <w:color w:val="auto"/>
                <w:sz w:val="21"/>
                <w:szCs w:val="21"/>
              </w:rPr>
            </w:pPr>
            <w:r>
              <w:rPr>
                <w:color w:val="auto"/>
                <w:sz w:val="21"/>
                <w:szCs w:val="21"/>
              </w:rPr>
              <w:t>0.2</w:t>
            </w:r>
          </w:p>
        </w:tc>
        <w:tc>
          <w:tcPr>
            <w:tcW w:w="1523" w:type="dxa"/>
            <w:vMerge w:val="continue"/>
            <w:vAlign w:val="center"/>
          </w:tcPr>
          <w:p w14:paraId="4BBB85CA">
            <w:pPr>
              <w:widowControl w:val="0"/>
              <w:jc w:val="center"/>
              <w:rPr>
                <w:color w:val="auto"/>
                <w:sz w:val="21"/>
                <w:szCs w:val="21"/>
              </w:rPr>
            </w:pPr>
          </w:p>
        </w:tc>
        <w:tc>
          <w:tcPr>
            <w:tcW w:w="1025" w:type="dxa"/>
            <w:vAlign w:val="center"/>
          </w:tcPr>
          <w:p w14:paraId="740872EB">
            <w:pPr>
              <w:widowControl w:val="0"/>
              <w:jc w:val="center"/>
              <w:rPr>
                <w:color w:val="auto"/>
                <w:sz w:val="21"/>
                <w:szCs w:val="21"/>
              </w:rPr>
            </w:pPr>
            <w:r>
              <w:rPr>
                <w:color w:val="auto"/>
                <w:sz w:val="21"/>
                <w:szCs w:val="21"/>
              </w:rPr>
              <w:t>99.80%</w:t>
            </w:r>
          </w:p>
        </w:tc>
        <w:tc>
          <w:tcPr>
            <w:tcW w:w="1373" w:type="dxa"/>
            <w:vAlign w:val="center"/>
          </w:tcPr>
          <w:p w14:paraId="032D87BA">
            <w:pPr>
              <w:widowControl w:val="0"/>
              <w:jc w:val="center"/>
              <w:rPr>
                <w:color w:val="auto"/>
                <w:sz w:val="22"/>
                <w:szCs w:val="22"/>
              </w:rPr>
            </w:pPr>
            <w:r>
              <w:rPr>
                <w:color w:val="auto"/>
                <w:sz w:val="22"/>
                <w:szCs w:val="22"/>
              </w:rPr>
              <w:t>0.02</w:t>
            </w:r>
          </w:p>
        </w:tc>
        <w:tc>
          <w:tcPr>
            <w:tcW w:w="1177" w:type="dxa"/>
            <w:vAlign w:val="center"/>
          </w:tcPr>
          <w:p w14:paraId="04BCA2D8">
            <w:pPr>
              <w:widowControl w:val="0"/>
              <w:jc w:val="center"/>
              <w:rPr>
                <w:color w:val="auto"/>
                <w:sz w:val="21"/>
                <w:szCs w:val="21"/>
              </w:rPr>
            </w:pPr>
            <w:r>
              <w:rPr>
                <w:color w:val="auto"/>
                <w:sz w:val="21"/>
                <w:szCs w:val="21"/>
              </w:rPr>
              <w:t>0.0001</w:t>
            </w:r>
          </w:p>
        </w:tc>
        <w:tc>
          <w:tcPr>
            <w:tcW w:w="1274" w:type="dxa"/>
            <w:vAlign w:val="center"/>
          </w:tcPr>
          <w:p w14:paraId="53BFFBC1">
            <w:pPr>
              <w:widowControl w:val="0"/>
              <w:jc w:val="center"/>
              <w:rPr>
                <w:color w:val="auto"/>
                <w:sz w:val="21"/>
                <w:szCs w:val="21"/>
              </w:rPr>
            </w:pPr>
            <w:r>
              <w:rPr>
                <w:color w:val="auto"/>
                <w:sz w:val="21"/>
                <w:szCs w:val="21"/>
              </w:rPr>
              <w:t>0.0005</w:t>
            </w:r>
          </w:p>
        </w:tc>
        <w:tc>
          <w:tcPr>
            <w:tcW w:w="3363" w:type="dxa"/>
            <w:gridSpan w:val="4"/>
            <w:vMerge w:val="continue"/>
            <w:vAlign w:val="center"/>
          </w:tcPr>
          <w:p w14:paraId="072A104C">
            <w:pPr>
              <w:widowControl w:val="0"/>
              <w:jc w:val="center"/>
              <w:rPr>
                <w:color w:val="auto"/>
                <w:sz w:val="21"/>
                <w:szCs w:val="21"/>
              </w:rPr>
            </w:pPr>
          </w:p>
        </w:tc>
        <w:tc>
          <w:tcPr>
            <w:tcW w:w="1538" w:type="dxa"/>
            <w:vMerge w:val="continue"/>
            <w:vAlign w:val="center"/>
          </w:tcPr>
          <w:p w14:paraId="73BFDB18">
            <w:pPr>
              <w:widowControl w:val="0"/>
              <w:jc w:val="center"/>
              <w:rPr>
                <w:color w:val="auto"/>
                <w:sz w:val="21"/>
                <w:szCs w:val="21"/>
              </w:rPr>
            </w:pPr>
          </w:p>
        </w:tc>
      </w:tr>
      <w:tr w14:paraId="5A96525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50840CCA">
            <w:pPr>
              <w:widowControl w:val="0"/>
              <w:jc w:val="center"/>
              <w:rPr>
                <w:color w:val="auto"/>
                <w:sz w:val="21"/>
                <w:szCs w:val="21"/>
              </w:rPr>
            </w:pPr>
          </w:p>
        </w:tc>
        <w:tc>
          <w:tcPr>
            <w:tcW w:w="1540" w:type="dxa"/>
            <w:vMerge w:val="continue"/>
            <w:vAlign w:val="center"/>
          </w:tcPr>
          <w:p w14:paraId="74EB8E53">
            <w:pPr>
              <w:widowControl w:val="0"/>
              <w:jc w:val="center"/>
              <w:rPr>
                <w:color w:val="auto"/>
                <w:sz w:val="21"/>
                <w:szCs w:val="21"/>
              </w:rPr>
            </w:pPr>
          </w:p>
        </w:tc>
        <w:tc>
          <w:tcPr>
            <w:tcW w:w="1358" w:type="dxa"/>
            <w:vAlign w:val="center"/>
          </w:tcPr>
          <w:p w14:paraId="0BC00A67">
            <w:pPr>
              <w:widowControl w:val="0"/>
              <w:jc w:val="center"/>
              <w:rPr>
                <w:color w:val="auto"/>
                <w:sz w:val="21"/>
                <w:szCs w:val="21"/>
              </w:rPr>
            </w:pPr>
            <w:r>
              <w:rPr>
                <w:color w:val="auto"/>
                <w:sz w:val="21"/>
                <w:szCs w:val="21"/>
              </w:rPr>
              <w:t>锰及其化合物</w:t>
            </w:r>
          </w:p>
        </w:tc>
        <w:tc>
          <w:tcPr>
            <w:tcW w:w="1470" w:type="dxa"/>
            <w:vAlign w:val="center"/>
          </w:tcPr>
          <w:p w14:paraId="615BDBD2">
            <w:pPr>
              <w:widowControl w:val="0"/>
              <w:jc w:val="center"/>
              <w:rPr>
                <w:color w:val="auto"/>
                <w:sz w:val="21"/>
                <w:szCs w:val="21"/>
              </w:rPr>
            </w:pPr>
            <w:r>
              <w:rPr>
                <w:color w:val="auto"/>
                <w:sz w:val="21"/>
                <w:szCs w:val="21"/>
              </w:rPr>
              <w:t>物料衡算法</w:t>
            </w:r>
          </w:p>
        </w:tc>
        <w:tc>
          <w:tcPr>
            <w:tcW w:w="1133" w:type="dxa"/>
            <w:vMerge w:val="continue"/>
            <w:vAlign w:val="center"/>
          </w:tcPr>
          <w:p w14:paraId="1C0CEF4B">
            <w:pPr>
              <w:widowControl w:val="0"/>
              <w:jc w:val="center"/>
              <w:rPr>
                <w:color w:val="auto"/>
                <w:sz w:val="21"/>
                <w:szCs w:val="21"/>
              </w:rPr>
            </w:pPr>
          </w:p>
        </w:tc>
        <w:tc>
          <w:tcPr>
            <w:tcW w:w="1417" w:type="dxa"/>
            <w:vAlign w:val="center"/>
          </w:tcPr>
          <w:p w14:paraId="3744C838">
            <w:pPr>
              <w:widowControl w:val="0"/>
              <w:jc w:val="center"/>
              <w:rPr>
                <w:color w:val="auto"/>
                <w:sz w:val="22"/>
                <w:szCs w:val="22"/>
              </w:rPr>
            </w:pPr>
            <w:r>
              <w:rPr>
                <w:color w:val="auto"/>
                <w:sz w:val="22"/>
                <w:szCs w:val="22"/>
              </w:rPr>
              <w:t>22.41</w:t>
            </w:r>
          </w:p>
        </w:tc>
        <w:tc>
          <w:tcPr>
            <w:tcW w:w="1275" w:type="dxa"/>
            <w:vAlign w:val="center"/>
          </w:tcPr>
          <w:p w14:paraId="64C1DA1E">
            <w:pPr>
              <w:widowControl w:val="0"/>
              <w:jc w:val="center"/>
              <w:rPr>
                <w:color w:val="auto"/>
                <w:sz w:val="21"/>
                <w:szCs w:val="21"/>
              </w:rPr>
            </w:pPr>
            <w:r>
              <w:rPr>
                <w:color w:val="auto"/>
                <w:sz w:val="21"/>
                <w:szCs w:val="21"/>
              </w:rPr>
              <w:t>0.06</w:t>
            </w:r>
          </w:p>
        </w:tc>
        <w:tc>
          <w:tcPr>
            <w:tcW w:w="1133" w:type="dxa"/>
            <w:vAlign w:val="center"/>
          </w:tcPr>
          <w:p w14:paraId="7BD99F90">
            <w:pPr>
              <w:widowControl w:val="0"/>
              <w:jc w:val="center"/>
              <w:rPr>
                <w:color w:val="auto"/>
                <w:sz w:val="21"/>
                <w:szCs w:val="21"/>
              </w:rPr>
            </w:pPr>
            <w:r>
              <w:rPr>
                <w:color w:val="auto"/>
                <w:sz w:val="21"/>
                <w:szCs w:val="21"/>
              </w:rPr>
              <w:t>0.5</w:t>
            </w:r>
          </w:p>
        </w:tc>
        <w:tc>
          <w:tcPr>
            <w:tcW w:w="1523" w:type="dxa"/>
            <w:vMerge w:val="continue"/>
            <w:vAlign w:val="center"/>
          </w:tcPr>
          <w:p w14:paraId="66CB6261">
            <w:pPr>
              <w:widowControl w:val="0"/>
              <w:jc w:val="center"/>
              <w:rPr>
                <w:color w:val="auto"/>
                <w:sz w:val="21"/>
                <w:szCs w:val="21"/>
              </w:rPr>
            </w:pPr>
          </w:p>
        </w:tc>
        <w:tc>
          <w:tcPr>
            <w:tcW w:w="1025" w:type="dxa"/>
            <w:vAlign w:val="center"/>
          </w:tcPr>
          <w:p w14:paraId="238A01E0">
            <w:pPr>
              <w:widowControl w:val="0"/>
              <w:jc w:val="center"/>
              <w:rPr>
                <w:color w:val="auto"/>
                <w:sz w:val="21"/>
                <w:szCs w:val="21"/>
              </w:rPr>
            </w:pPr>
            <w:r>
              <w:rPr>
                <w:color w:val="auto"/>
                <w:sz w:val="21"/>
                <w:szCs w:val="21"/>
              </w:rPr>
              <w:t>99.80%</w:t>
            </w:r>
          </w:p>
        </w:tc>
        <w:tc>
          <w:tcPr>
            <w:tcW w:w="1373" w:type="dxa"/>
            <w:vAlign w:val="center"/>
          </w:tcPr>
          <w:p w14:paraId="0076B1AA">
            <w:pPr>
              <w:widowControl w:val="0"/>
              <w:jc w:val="center"/>
              <w:rPr>
                <w:color w:val="auto"/>
                <w:sz w:val="22"/>
                <w:szCs w:val="22"/>
              </w:rPr>
            </w:pPr>
            <w:r>
              <w:rPr>
                <w:color w:val="auto"/>
                <w:sz w:val="22"/>
                <w:szCs w:val="22"/>
              </w:rPr>
              <w:t>0.04</w:t>
            </w:r>
          </w:p>
        </w:tc>
        <w:tc>
          <w:tcPr>
            <w:tcW w:w="1177" w:type="dxa"/>
            <w:vAlign w:val="center"/>
          </w:tcPr>
          <w:p w14:paraId="648A7E94">
            <w:pPr>
              <w:widowControl w:val="0"/>
              <w:jc w:val="center"/>
              <w:rPr>
                <w:color w:val="auto"/>
                <w:sz w:val="21"/>
                <w:szCs w:val="21"/>
              </w:rPr>
            </w:pPr>
            <w:r>
              <w:rPr>
                <w:color w:val="auto"/>
                <w:sz w:val="21"/>
                <w:szCs w:val="21"/>
              </w:rPr>
              <w:t>0.0001</w:t>
            </w:r>
          </w:p>
        </w:tc>
        <w:tc>
          <w:tcPr>
            <w:tcW w:w="1274" w:type="dxa"/>
            <w:vAlign w:val="center"/>
          </w:tcPr>
          <w:p w14:paraId="3026D9F8">
            <w:pPr>
              <w:widowControl w:val="0"/>
              <w:jc w:val="center"/>
              <w:rPr>
                <w:color w:val="auto"/>
                <w:sz w:val="21"/>
                <w:szCs w:val="21"/>
              </w:rPr>
            </w:pPr>
            <w:r>
              <w:rPr>
                <w:color w:val="auto"/>
                <w:sz w:val="21"/>
                <w:szCs w:val="21"/>
              </w:rPr>
              <w:t>0.0009</w:t>
            </w:r>
          </w:p>
        </w:tc>
        <w:tc>
          <w:tcPr>
            <w:tcW w:w="3363" w:type="dxa"/>
            <w:gridSpan w:val="4"/>
            <w:vMerge w:val="continue"/>
            <w:vAlign w:val="center"/>
          </w:tcPr>
          <w:p w14:paraId="5D84DB1B">
            <w:pPr>
              <w:widowControl w:val="0"/>
              <w:jc w:val="center"/>
              <w:rPr>
                <w:color w:val="auto"/>
                <w:sz w:val="21"/>
                <w:szCs w:val="21"/>
              </w:rPr>
            </w:pPr>
          </w:p>
        </w:tc>
        <w:tc>
          <w:tcPr>
            <w:tcW w:w="1538" w:type="dxa"/>
            <w:vMerge w:val="continue"/>
            <w:vAlign w:val="center"/>
          </w:tcPr>
          <w:p w14:paraId="4CD676BF">
            <w:pPr>
              <w:widowControl w:val="0"/>
              <w:jc w:val="center"/>
              <w:rPr>
                <w:color w:val="auto"/>
                <w:sz w:val="21"/>
                <w:szCs w:val="21"/>
              </w:rPr>
            </w:pPr>
          </w:p>
        </w:tc>
      </w:tr>
      <w:tr w14:paraId="68C960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53E24626">
            <w:pPr>
              <w:widowControl w:val="0"/>
              <w:jc w:val="center"/>
              <w:rPr>
                <w:color w:val="auto"/>
                <w:sz w:val="21"/>
                <w:szCs w:val="21"/>
              </w:rPr>
            </w:pPr>
          </w:p>
        </w:tc>
        <w:tc>
          <w:tcPr>
            <w:tcW w:w="1540" w:type="dxa"/>
            <w:vMerge w:val="continue"/>
            <w:vAlign w:val="center"/>
          </w:tcPr>
          <w:p w14:paraId="2AA9F885">
            <w:pPr>
              <w:widowControl w:val="0"/>
              <w:jc w:val="center"/>
              <w:rPr>
                <w:color w:val="auto"/>
                <w:sz w:val="21"/>
                <w:szCs w:val="21"/>
              </w:rPr>
            </w:pPr>
          </w:p>
        </w:tc>
        <w:tc>
          <w:tcPr>
            <w:tcW w:w="1358" w:type="dxa"/>
            <w:vAlign w:val="center"/>
          </w:tcPr>
          <w:p w14:paraId="55AFE28D">
            <w:pPr>
              <w:widowControl w:val="0"/>
              <w:jc w:val="center"/>
              <w:rPr>
                <w:color w:val="auto"/>
                <w:sz w:val="21"/>
                <w:szCs w:val="21"/>
              </w:rPr>
            </w:pPr>
            <w:r>
              <w:rPr>
                <w:color w:val="auto"/>
                <w:sz w:val="21"/>
                <w:szCs w:val="21"/>
              </w:rPr>
              <w:t>铜及其化合物</w:t>
            </w:r>
          </w:p>
        </w:tc>
        <w:tc>
          <w:tcPr>
            <w:tcW w:w="1470" w:type="dxa"/>
            <w:vAlign w:val="center"/>
          </w:tcPr>
          <w:p w14:paraId="57932C10">
            <w:pPr>
              <w:widowControl w:val="0"/>
              <w:jc w:val="center"/>
              <w:rPr>
                <w:color w:val="auto"/>
                <w:sz w:val="21"/>
                <w:szCs w:val="21"/>
              </w:rPr>
            </w:pPr>
            <w:r>
              <w:rPr>
                <w:color w:val="auto"/>
                <w:sz w:val="21"/>
                <w:szCs w:val="21"/>
              </w:rPr>
              <w:t>物料衡算法</w:t>
            </w:r>
          </w:p>
        </w:tc>
        <w:tc>
          <w:tcPr>
            <w:tcW w:w="1133" w:type="dxa"/>
            <w:vMerge w:val="continue"/>
            <w:vAlign w:val="center"/>
          </w:tcPr>
          <w:p w14:paraId="440E50C8">
            <w:pPr>
              <w:widowControl w:val="0"/>
              <w:jc w:val="center"/>
              <w:rPr>
                <w:color w:val="auto"/>
                <w:sz w:val="21"/>
                <w:szCs w:val="21"/>
              </w:rPr>
            </w:pPr>
          </w:p>
        </w:tc>
        <w:tc>
          <w:tcPr>
            <w:tcW w:w="1417" w:type="dxa"/>
            <w:vAlign w:val="center"/>
          </w:tcPr>
          <w:p w14:paraId="743DE2DE">
            <w:pPr>
              <w:widowControl w:val="0"/>
              <w:jc w:val="center"/>
              <w:rPr>
                <w:color w:val="auto"/>
                <w:sz w:val="22"/>
                <w:szCs w:val="22"/>
              </w:rPr>
            </w:pPr>
            <w:r>
              <w:rPr>
                <w:color w:val="auto"/>
                <w:sz w:val="22"/>
                <w:szCs w:val="22"/>
              </w:rPr>
              <w:t>5.68</w:t>
            </w:r>
          </w:p>
        </w:tc>
        <w:tc>
          <w:tcPr>
            <w:tcW w:w="1275" w:type="dxa"/>
            <w:vAlign w:val="center"/>
          </w:tcPr>
          <w:p w14:paraId="0535532A">
            <w:pPr>
              <w:widowControl w:val="0"/>
              <w:jc w:val="center"/>
              <w:rPr>
                <w:color w:val="auto"/>
                <w:sz w:val="21"/>
                <w:szCs w:val="21"/>
              </w:rPr>
            </w:pPr>
            <w:r>
              <w:rPr>
                <w:color w:val="auto"/>
                <w:sz w:val="21"/>
                <w:szCs w:val="21"/>
              </w:rPr>
              <w:t>0.01</w:t>
            </w:r>
          </w:p>
        </w:tc>
        <w:tc>
          <w:tcPr>
            <w:tcW w:w="1133" w:type="dxa"/>
            <w:vAlign w:val="center"/>
          </w:tcPr>
          <w:p w14:paraId="69C4371D">
            <w:pPr>
              <w:widowControl w:val="0"/>
              <w:jc w:val="center"/>
              <w:rPr>
                <w:color w:val="auto"/>
                <w:sz w:val="21"/>
                <w:szCs w:val="21"/>
              </w:rPr>
            </w:pPr>
            <w:r>
              <w:rPr>
                <w:color w:val="auto"/>
                <w:sz w:val="21"/>
                <w:szCs w:val="21"/>
              </w:rPr>
              <w:t>0.1</w:t>
            </w:r>
          </w:p>
        </w:tc>
        <w:tc>
          <w:tcPr>
            <w:tcW w:w="1523" w:type="dxa"/>
            <w:vMerge w:val="continue"/>
            <w:vAlign w:val="center"/>
          </w:tcPr>
          <w:p w14:paraId="278350F8">
            <w:pPr>
              <w:widowControl w:val="0"/>
              <w:jc w:val="center"/>
              <w:rPr>
                <w:color w:val="auto"/>
                <w:sz w:val="21"/>
                <w:szCs w:val="21"/>
              </w:rPr>
            </w:pPr>
          </w:p>
        </w:tc>
        <w:tc>
          <w:tcPr>
            <w:tcW w:w="1025" w:type="dxa"/>
            <w:vAlign w:val="center"/>
          </w:tcPr>
          <w:p w14:paraId="73C5F01D">
            <w:pPr>
              <w:widowControl w:val="0"/>
              <w:jc w:val="center"/>
              <w:rPr>
                <w:color w:val="auto"/>
                <w:sz w:val="21"/>
                <w:szCs w:val="21"/>
              </w:rPr>
            </w:pPr>
            <w:r>
              <w:rPr>
                <w:color w:val="auto"/>
                <w:sz w:val="21"/>
                <w:szCs w:val="21"/>
              </w:rPr>
              <w:t>99.80%</w:t>
            </w:r>
          </w:p>
        </w:tc>
        <w:tc>
          <w:tcPr>
            <w:tcW w:w="1373" w:type="dxa"/>
            <w:vAlign w:val="center"/>
          </w:tcPr>
          <w:p w14:paraId="0B998751">
            <w:pPr>
              <w:widowControl w:val="0"/>
              <w:jc w:val="center"/>
              <w:rPr>
                <w:color w:val="auto"/>
                <w:sz w:val="22"/>
                <w:szCs w:val="22"/>
              </w:rPr>
            </w:pPr>
            <w:r>
              <w:rPr>
                <w:color w:val="auto"/>
                <w:sz w:val="22"/>
                <w:szCs w:val="22"/>
              </w:rPr>
              <w:t>0.01</w:t>
            </w:r>
          </w:p>
        </w:tc>
        <w:tc>
          <w:tcPr>
            <w:tcW w:w="1177" w:type="dxa"/>
            <w:vAlign w:val="center"/>
          </w:tcPr>
          <w:p w14:paraId="1BE8EECB">
            <w:pPr>
              <w:widowControl w:val="0"/>
              <w:jc w:val="center"/>
              <w:rPr>
                <w:color w:val="auto"/>
                <w:sz w:val="21"/>
                <w:szCs w:val="21"/>
              </w:rPr>
            </w:pPr>
            <w:r>
              <w:rPr>
                <w:color w:val="auto"/>
                <w:sz w:val="21"/>
                <w:szCs w:val="21"/>
              </w:rPr>
              <w:t>0.0000</w:t>
            </w:r>
          </w:p>
        </w:tc>
        <w:tc>
          <w:tcPr>
            <w:tcW w:w="1274" w:type="dxa"/>
            <w:vAlign w:val="center"/>
          </w:tcPr>
          <w:p w14:paraId="521D9658">
            <w:pPr>
              <w:widowControl w:val="0"/>
              <w:jc w:val="center"/>
              <w:rPr>
                <w:color w:val="auto"/>
                <w:sz w:val="21"/>
                <w:szCs w:val="21"/>
              </w:rPr>
            </w:pPr>
            <w:r>
              <w:rPr>
                <w:color w:val="auto"/>
                <w:sz w:val="21"/>
                <w:szCs w:val="21"/>
              </w:rPr>
              <w:t>0.0002</w:t>
            </w:r>
          </w:p>
        </w:tc>
        <w:tc>
          <w:tcPr>
            <w:tcW w:w="3363" w:type="dxa"/>
            <w:gridSpan w:val="4"/>
            <w:vMerge w:val="continue"/>
            <w:vAlign w:val="center"/>
          </w:tcPr>
          <w:p w14:paraId="541D9B70">
            <w:pPr>
              <w:widowControl w:val="0"/>
              <w:jc w:val="center"/>
              <w:rPr>
                <w:color w:val="auto"/>
                <w:sz w:val="21"/>
                <w:szCs w:val="21"/>
              </w:rPr>
            </w:pPr>
          </w:p>
        </w:tc>
        <w:tc>
          <w:tcPr>
            <w:tcW w:w="1538" w:type="dxa"/>
            <w:vMerge w:val="continue"/>
            <w:vAlign w:val="center"/>
          </w:tcPr>
          <w:p w14:paraId="0EE0FFFE">
            <w:pPr>
              <w:widowControl w:val="0"/>
              <w:jc w:val="center"/>
              <w:rPr>
                <w:color w:val="auto"/>
                <w:sz w:val="21"/>
                <w:szCs w:val="21"/>
              </w:rPr>
            </w:pPr>
          </w:p>
        </w:tc>
      </w:tr>
      <w:tr w14:paraId="273E76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1091AFC5">
            <w:pPr>
              <w:widowControl w:val="0"/>
              <w:jc w:val="center"/>
              <w:rPr>
                <w:color w:val="auto"/>
                <w:sz w:val="21"/>
                <w:szCs w:val="21"/>
              </w:rPr>
            </w:pPr>
          </w:p>
        </w:tc>
        <w:tc>
          <w:tcPr>
            <w:tcW w:w="1540" w:type="dxa"/>
            <w:vMerge w:val="continue"/>
            <w:vAlign w:val="center"/>
          </w:tcPr>
          <w:p w14:paraId="4010E25F">
            <w:pPr>
              <w:widowControl w:val="0"/>
              <w:jc w:val="center"/>
              <w:rPr>
                <w:color w:val="auto"/>
                <w:sz w:val="21"/>
                <w:szCs w:val="21"/>
              </w:rPr>
            </w:pPr>
          </w:p>
        </w:tc>
        <w:tc>
          <w:tcPr>
            <w:tcW w:w="1358" w:type="dxa"/>
            <w:vAlign w:val="center"/>
          </w:tcPr>
          <w:p w14:paraId="62C92D21">
            <w:pPr>
              <w:widowControl w:val="0"/>
              <w:jc w:val="center"/>
              <w:rPr>
                <w:color w:val="auto"/>
                <w:sz w:val="21"/>
                <w:szCs w:val="21"/>
              </w:rPr>
            </w:pPr>
            <w:r>
              <w:rPr>
                <w:color w:val="auto"/>
                <w:sz w:val="21"/>
                <w:szCs w:val="21"/>
              </w:rPr>
              <w:t>锆及其化合物</w:t>
            </w:r>
          </w:p>
        </w:tc>
        <w:tc>
          <w:tcPr>
            <w:tcW w:w="1470" w:type="dxa"/>
            <w:vAlign w:val="center"/>
          </w:tcPr>
          <w:p w14:paraId="5AD523ED">
            <w:pPr>
              <w:widowControl w:val="0"/>
              <w:jc w:val="center"/>
              <w:rPr>
                <w:color w:val="auto"/>
                <w:sz w:val="21"/>
                <w:szCs w:val="21"/>
              </w:rPr>
            </w:pPr>
            <w:r>
              <w:rPr>
                <w:color w:val="auto"/>
                <w:sz w:val="21"/>
                <w:szCs w:val="21"/>
              </w:rPr>
              <w:t>物料衡算法</w:t>
            </w:r>
          </w:p>
        </w:tc>
        <w:tc>
          <w:tcPr>
            <w:tcW w:w="1133" w:type="dxa"/>
            <w:vMerge w:val="continue"/>
            <w:vAlign w:val="center"/>
          </w:tcPr>
          <w:p w14:paraId="3DD02C3D">
            <w:pPr>
              <w:widowControl w:val="0"/>
              <w:jc w:val="center"/>
              <w:rPr>
                <w:color w:val="auto"/>
                <w:sz w:val="21"/>
                <w:szCs w:val="21"/>
              </w:rPr>
            </w:pPr>
          </w:p>
        </w:tc>
        <w:tc>
          <w:tcPr>
            <w:tcW w:w="1417" w:type="dxa"/>
            <w:vAlign w:val="center"/>
          </w:tcPr>
          <w:p w14:paraId="763E04A3">
            <w:pPr>
              <w:widowControl w:val="0"/>
              <w:jc w:val="center"/>
              <w:rPr>
                <w:color w:val="auto"/>
                <w:sz w:val="22"/>
                <w:szCs w:val="22"/>
              </w:rPr>
            </w:pPr>
            <w:r>
              <w:rPr>
                <w:color w:val="auto"/>
                <w:sz w:val="22"/>
                <w:szCs w:val="22"/>
              </w:rPr>
              <w:t>9.51</w:t>
            </w:r>
          </w:p>
        </w:tc>
        <w:tc>
          <w:tcPr>
            <w:tcW w:w="1275" w:type="dxa"/>
            <w:vAlign w:val="center"/>
          </w:tcPr>
          <w:p w14:paraId="4444D14F">
            <w:pPr>
              <w:widowControl w:val="0"/>
              <w:jc w:val="center"/>
              <w:rPr>
                <w:color w:val="auto"/>
                <w:sz w:val="21"/>
                <w:szCs w:val="21"/>
              </w:rPr>
            </w:pPr>
            <w:r>
              <w:rPr>
                <w:color w:val="auto"/>
                <w:sz w:val="21"/>
                <w:szCs w:val="21"/>
              </w:rPr>
              <w:t>0.02</w:t>
            </w:r>
          </w:p>
        </w:tc>
        <w:tc>
          <w:tcPr>
            <w:tcW w:w="1133" w:type="dxa"/>
            <w:vAlign w:val="center"/>
          </w:tcPr>
          <w:p w14:paraId="1F1E935A">
            <w:pPr>
              <w:widowControl w:val="0"/>
              <w:jc w:val="center"/>
              <w:rPr>
                <w:color w:val="auto"/>
                <w:sz w:val="21"/>
                <w:szCs w:val="21"/>
              </w:rPr>
            </w:pPr>
            <w:r>
              <w:rPr>
                <w:color w:val="auto"/>
                <w:sz w:val="21"/>
                <w:szCs w:val="21"/>
              </w:rPr>
              <w:t>0.2</w:t>
            </w:r>
          </w:p>
        </w:tc>
        <w:tc>
          <w:tcPr>
            <w:tcW w:w="1523" w:type="dxa"/>
            <w:vMerge w:val="continue"/>
            <w:vAlign w:val="center"/>
          </w:tcPr>
          <w:p w14:paraId="73079A64">
            <w:pPr>
              <w:widowControl w:val="0"/>
              <w:jc w:val="center"/>
              <w:rPr>
                <w:color w:val="auto"/>
                <w:sz w:val="21"/>
                <w:szCs w:val="21"/>
              </w:rPr>
            </w:pPr>
          </w:p>
        </w:tc>
        <w:tc>
          <w:tcPr>
            <w:tcW w:w="1025" w:type="dxa"/>
            <w:vAlign w:val="center"/>
          </w:tcPr>
          <w:p w14:paraId="05BADF19">
            <w:pPr>
              <w:widowControl w:val="0"/>
              <w:jc w:val="center"/>
              <w:rPr>
                <w:color w:val="auto"/>
                <w:sz w:val="21"/>
                <w:szCs w:val="21"/>
              </w:rPr>
            </w:pPr>
            <w:r>
              <w:rPr>
                <w:color w:val="auto"/>
                <w:sz w:val="21"/>
                <w:szCs w:val="21"/>
              </w:rPr>
              <w:t>99.80%</w:t>
            </w:r>
          </w:p>
        </w:tc>
        <w:tc>
          <w:tcPr>
            <w:tcW w:w="1373" w:type="dxa"/>
            <w:vAlign w:val="center"/>
          </w:tcPr>
          <w:p w14:paraId="6D0D83CB">
            <w:pPr>
              <w:widowControl w:val="0"/>
              <w:jc w:val="center"/>
              <w:rPr>
                <w:color w:val="auto"/>
                <w:sz w:val="22"/>
                <w:szCs w:val="22"/>
              </w:rPr>
            </w:pPr>
            <w:r>
              <w:rPr>
                <w:color w:val="auto"/>
                <w:sz w:val="22"/>
                <w:szCs w:val="22"/>
              </w:rPr>
              <w:t>0.02</w:t>
            </w:r>
          </w:p>
        </w:tc>
        <w:tc>
          <w:tcPr>
            <w:tcW w:w="1177" w:type="dxa"/>
            <w:vAlign w:val="center"/>
          </w:tcPr>
          <w:p w14:paraId="3A85E80D">
            <w:pPr>
              <w:widowControl w:val="0"/>
              <w:jc w:val="center"/>
              <w:rPr>
                <w:color w:val="auto"/>
                <w:sz w:val="21"/>
                <w:szCs w:val="21"/>
              </w:rPr>
            </w:pPr>
            <w:r>
              <w:rPr>
                <w:color w:val="auto"/>
                <w:sz w:val="21"/>
                <w:szCs w:val="21"/>
              </w:rPr>
              <w:t>0.0000</w:t>
            </w:r>
          </w:p>
        </w:tc>
        <w:tc>
          <w:tcPr>
            <w:tcW w:w="1274" w:type="dxa"/>
            <w:vAlign w:val="center"/>
          </w:tcPr>
          <w:p w14:paraId="3E240461">
            <w:pPr>
              <w:widowControl w:val="0"/>
              <w:jc w:val="center"/>
              <w:rPr>
                <w:color w:val="auto"/>
                <w:sz w:val="21"/>
                <w:szCs w:val="21"/>
              </w:rPr>
            </w:pPr>
            <w:r>
              <w:rPr>
                <w:color w:val="auto"/>
                <w:sz w:val="21"/>
                <w:szCs w:val="21"/>
              </w:rPr>
              <w:t>0.0004</w:t>
            </w:r>
          </w:p>
        </w:tc>
        <w:tc>
          <w:tcPr>
            <w:tcW w:w="3363" w:type="dxa"/>
            <w:gridSpan w:val="4"/>
            <w:vMerge w:val="continue"/>
            <w:vAlign w:val="center"/>
          </w:tcPr>
          <w:p w14:paraId="06C8C5EC">
            <w:pPr>
              <w:widowControl w:val="0"/>
              <w:jc w:val="center"/>
              <w:rPr>
                <w:color w:val="auto"/>
                <w:sz w:val="21"/>
                <w:szCs w:val="21"/>
              </w:rPr>
            </w:pPr>
          </w:p>
        </w:tc>
        <w:tc>
          <w:tcPr>
            <w:tcW w:w="1538" w:type="dxa"/>
            <w:vMerge w:val="continue"/>
            <w:vAlign w:val="center"/>
          </w:tcPr>
          <w:p w14:paraId="5F5DA98D">
            <w:pPr>
              <w:widowControl w:val="0"/>
              <w:jc w:val="center"/>
              <w:rPr>
                <w:color w:val="auto"/>
                <w:sz w:val="21"/>
                <w:szCs w:val="21"/>
              </w:rPr>
            </w:pPr>
          </w:p>
        </w:tc>
      </w:tr>
      <w:tr w14:paraId="6EC972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2259508F">
            <w:pPr>
              <w:widowControl w:val="0"/>
              <w:jc w:val="center"/>
              <w:rPr>
                <w:color w:val="auto"/>
                <w:sz w:val="21"/>
                <w:szCs w:val="21"/>
              </w:rPr>
            </w:pPr>
          </w:p>
        </w:tc>
        <w:tc>
          <w:tcPr>
            <w:tcW w:w="1540" w:type="dxa"/>
            <w:vMerge w:val="continue"/>
            <w:vAlign w:val="center"/>
          </w:tcPr>
          <w:p w14:paraId="57744A86">
            <w:pPr>
              <w:widowControl w:val="0"/>
              <w:jc w:val="center"/>
              <w:rPr>
                <w:color w:val="auto"/>
                <w:sz w:val="21"/>
                <w:szCs w:val="21"/>
              </w:rPr>
            </w:pPr>
          </w:p>
        </w:tc>
        <w:tc>
          <w:tcPr>
            <w:tcW w:w="1358" w:type="dxa"/>
            <w:vAlign w:val="center"/>
          </w:tcPr>
          <w:p w14:paraId="235BE8F3">
            <w:pPr>
              <w:widowControl w:val="0"/>
              <w:jc w:val="center"/>
              <w:rPr>
                <w:color w:val="auto"/>
                <w:sz w:val="21"/>
                <w:szCs w:val="21"/>
              </w:rPr>
            </w:pPr>
            <w:r>
              <w:rPr>
                <w:color w:val="auto"/>
                <w:sz w:val="21"/>
                <w:szCs w:val="21"/>
              </w:rPr>
              <w:t>NH</w:t>
            </w:r>
            <w:r>
              <w:rPr>
                <w:color w:val="auto"/>
                <w:sz w:val="21"/>
                <w:szCs w:val="21"/>
                <w:vertAlign w:val="subscript"/>
              </w:rPr>
              <w:t>3</w:t>
            </w:r>
          </w:p>
        </w:tc>
        <w:tc>
          <w:tcPr>
            <w:tcW w:w="1470" w:type="dxa"/>
            <w:vAlign w:val="center"/>
          </w:tcPr>
          <w:p w14:paraId="180465D5">
            <w:pPr>
              <w:widowControl w:val="0"/>
              <w:jc w:val="center"/>
              <w:rPr>
                <w:color w:val="auto"/>
                <w:sz w:val="21"/>
                <w:szCs w:val="21"/>
              </w:rPr>
            </w:pPr>
            <w:r>
              <w:rPr>
                <w:color w:val="auto"/>
                <w:sz w:val="21"/>
                <w:szCs w:val="21"/>
              </w:rPr>
              <w:t>物料衡算法</w:t>
            </w:r>
          </w:p>
        </w:tc>
        <w:tc>
          <w:tcPr>
            <w:tcW w:w="1133" w:type="dxa"/>
            <w:vMerge w:val="continue"/>
            <w:vAlign w:val="center"/>
          </w:tcPr>
          <w:p w14:paraId="7BC34EA7">
            <w:pPr>
              <w:widowControl w:val="0"/>
              <w:jc w:val="center"/>
              <w:rPr>
                <w:color w:val="auto"/>
                <w:sz w:val="21"/>
                <w:szCs w:val="21"/>
              </w:rPr>
            </w:pPr>
          </w:p>
        </w:tc>
        <w:tc>
          <w:tcPr>
            <w:tcW w:w="1417" w:type="dxa"/>
            <w:vAlign w:val="center"/>
          </w:tcPr>
          <w:p w14:paraId="0EAD584E">
            <w:pPr>
              <w:widowControl w:val="0"/>
              <w:jc w:val="center"/>
              <w:rPr>
                <w:color w:val="auto"/>
                <w:sz w:val="22"/>
                <w:szCs w:val="22"/>
              </w:rPr>
            </w:pPr>
            <w:r>
              <w:rPr>
                <w:color w:val="auto"/>
                <w:sz w:val="22"/>
                <w:szCs w:val="22"/>
              </w:rPr>
              <w:t>2.50</w:t>
            </w:r>
          </w:p>
        </w:tc>
        <w:tc>
          <w:tcPr>
            <w:tcW w:w="1275" w:type="dxa"/>
            <w:vAlign w:val="center"/>
          </w:tcPr>
          <w:p w14:paraId="2B2150B9">
            <w:pPr>
              <w:widowControl w:val="0"/>
              <w:jc w:val="center"/>
              <w:rPr>
                <w:color w:val="auto"/>
                <w:sz w:val="21"/>
                <w:szCs w:val="21"/>
              </w:rPr>
            </w:pPr>
            <w:r>
              <w:rPr>
                <w:color w:val="auto"/>
                <w:sz w:val="21"/>
                <w:szCs w:val="21"/>
              </w:rPr>
              <w:t>0.01</w:t>
            </w:r>
          </w:p>
        </w:tc>
        <w:tc>
          <w:tcPr>
            <w:tcW w:w="1133" w:type="dxa"/>
            <w:vAlign w:val="center"/>
          </w:tcPr>
          <w:p w14:paraId="38229F60">
            <w:pPr>
              <w:widowControl w:val="0"/>
              <w:jc w:val="center"/>
              <w:rPr>
                <w:color w:val="auto"/>
                <w:sz w:val="21"/>
                <w:szCs w:val="21"/>
              </w:rPr>
            </w:pPr>
            <w:r>
              <w:rPr>
                <w:color w:val="auto"/>
                <w:sz w:val="21"/>
                <w:szCs w:val="21"/>
              </w:rPr>
              <w:t>0.1</w:t>
            </w:r>
          </w:p>
        </w:tc>
        <w:tc>
          <w:tcPr>
            <w:tcW w:w="1523" w:type="dxa"/>
            <w:vMerge w:val="continue"/>
            <w:vAlign w:val="center"/>
          </w:tcPr>
          <w:p w14:paraId="2348FB5F">
            <w:pPr>
              <w:widowControl w:val="0"/>
              <w:jc w:val="center"/>
              <w:rPr>
                <w:color w:val="auto"/>
                <w:sz w:val="21"/>
                <w:szCs w:val="21"/>
              </w:rPr>
            </w:pPr>
          </w:p>
        </w:tc>
        <w:tc>
          <w:tcPr>
            <w:tcW w:w="1025" w:type="dxa"/>
            <w:vAlign w:val="center"/>
          </w:tcPr>
          <w:p w14:paraId="41E028A7">
            <w:pPr>
              <w:widowControl w:val="0"/>
              <w:jc w:val="center"/>
              <w:rPr>
                <w:color w:val="auto"/>
                <w:sz w:val="21"/>
                <w:szCs w:val="21"/>
              </w:rPr>
            </w:pPr>
            <w:r>
              <w:rPr>
                <w:color w:val="auto"/>
                <w:sz w:val="21"/>
                <w:szCs w:val="21"/>
              </w:rPr>
              <w:t>/</w:t>
            </w:r>
          </w:p>
        </w:tc>
        <w:tc>
          <w:tcPr>
            <w:tcW w:w="1373" w:type="dxa"/>
            <w:vAlign w:val="center"/>
          </w:tcPr>
          <w:p w14:paraId="4F8470E6">
            <w:pPr>
              <w:widowControl w:val="0"/>
              <w:jc w:val="center"/>
              <w:rPr>
                <w:color w:val="auto"/>
                <w:sz w:val="22"/>
                <w:szCs w:val="22"/>
              </w:rPr>
            </w:pPr>
            <w:r>
              <w:rPr>
                <w:color w:val="auto"/>
                <w:sz w:val="22"/>
                <w:szCs w:val="22"/>
              </w:rPr>
              <w:t>2.50</w:t>
            </w:r>
          </w:p>
        </w:tc>
        <w:tc>
          <w:tcPr>
            <w:tcW w:w="1177" w:type="dxa"/>
            <w:vAlign w:val="center"/>
          </w:tcPr>
          <w:p w14:paraId="26EC066A">
            <w:pPr>
              <w:widowControl w:val="0"/>
              <w:jc w:val="center"/>
              <w:rPr>
                <w:color w:val="auto"/>
                <w:sz w:val="21"/>
                <w:szCs w:val="21"/>
              </w:rPr>
            </w:pPr>
            <w:r>
              <w:rPr>
                <w:color w:val="auto"/>
                <w:sz w:val="21"/>
                <w:szCs w:val="21"/>
              </w:rPr>
              <w:t>0.01</w:t>
            </w:r>
          </w:p>
        </w:tc>
        <w:tc>
          <w:tcPr>
            <w:tcW w:w="1274" w:type="dxa"/>
            <w:vAlign w:val="center"/>
          </w:tcPr>
          <w:p w14:paraId="47BEE8B3">
            <w:pPr>
              <w:widowControl w:val="0"/>
              <w:jc w:val="center"/>
              <w:rPr>
                <w:color w:val="auto"/>
                <w:sz w:val="21"/>
                <w:szCs w:val="21"/>
              </w:rPr>
            </w:pPr>
            <w:r>
              <w:rPr>
                <w:color w:val="auto"/>
                <w:sz w:val="21"/>
                <w:szCs w:val="21"/>
              </w:rPr>
              <w:t>0.1</w:t>
            </w:r>
          </w:p>
        </w:tc>
        <w:tc>
          <w:tcPr>
            <w:tcW w:w="3363" w:type="dxa"/>
            <w:gridSpan w:val="4"/>
            <w:vMerge w:val="continue"/>
            <w:vAlign w:val="center"/>
          </w:tcPr>
          <w:p w14:paraId="01F1ECDA">
            <w:pPr>
              <w:widowControl w:val="0"/>
              <w:jc w:val="center"/>
              <w:rPr>
                <w:color w:val="auto"/>
                <w:sz w:val="21"/>
                <w:szCs w:val="21"/>
              </w:rPr>
            </w:pPr>
          </w:p>
        </w:tc>
        <w:tc>
          <w:tcPr>
            <w:tcW w:w="1538" w:type="dxa"/>
            <w:vMerge w:val="continue"/>
            <w:vAlign w:val="center"/>
          </w:tcPr>
          <w:p w14:paraId="39182829">
            <w:pPr>
              <w:widowControl w:val="0"/>
              <w:jc w:val="center"/>
              <w:rPr>
                <w:color w:val="auto"/>
                <w:sz w:val="21"/>
                <w:szCs w:val="21"/>
              </w:rPr>
            </w:pPr>
          </w:p>
        </w:tc>
      </w:tr>
      <w:tr w14:paraId="075775A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4149053E">
            <w:pPr>
              <w:widowControl w:val="0"/>
              <w:jc w:val="center"/>
              <w:rPr>
                <w:color w:val="auto"/>
                <w:sz w:val="21"/>
                <w:szCs w:val="21"/>
              </w:rPr>
            </w:pPr>
          </w:p>
        </w:tc>
        <w:tc>
          <w:tcPr>
            <w:tcW w:w="1540" w:type="dxa"/>
            <w:vMerge w:val="continue"/>
            <w:vAlign w:val="center"/>
          </w:tcPr>
          <w:p w14:paraId="295AFDC2">
            <w:pPr>
              <w:widowControl w:val="0"/>
              <w:jc w:val="center"/>
              <w:rPr>
                <w:color w:val="auto"/>
                <w:sz w:val="21"/>
                <w:szCs w:val="21"/>
              </w:rPr>
            </w:pPr>
          </w:p>
        </w:tc>
        <w:tc>
          <w:tcPr>
            <w:tcW w:w="1358" w:type="dxa"/>
            <w:vAlign w:val="center"/>
          </w:tcPr>
          <w:p w14:paraId="22C5B3F9">
            <w:pPr>
              <w:widowControl w:val="0"/>
              <w:jc w:val="center"/>
              <w:rPr>
                <w:color w:val="auto"/>
                <w:sz w:val="21"/>
                <w:szCs w:val="21"/>
              </w:rPr>
            </w:pPr>
            <w:r>
              <w:rPr>
                <w:color w:val="auto"/>
                <w:sz w:val="21"/>
                <w:szCs w:val="21"/>
              </w:rPr>
              <w:t>NOx</w:t>
            </w:r>
          </w:p>
        </w:tc>
        <w:tc>
          <w:tcPr>
            <w:tcW w:w="1470" w:type="dxa"/>
            <w:vAlign w:val="center"/>
          </w:tcPr>
          <w:p w14:paraId="15962FA7">
            <w:pPr>
              <w:widowControl w:val="0"/>
              <w:jc w:val="center"/>
              <w:rPr>
                <w:color w:val="auto"/>
                <w:sz w:val="21"/>
                <w:szCs w:val="21"/>
              </w:rPr>
            </w:pPr>
            <w:r>
              <w:rPr>
                <w:color w:val="auto"/>
                <w:sz w:val="21"/>
                <w:szCs w:val="21"/>
              </w:rPr>
              <w:t xml:space="preserve">物料衡算法 </w:t>
            </w:r>
          </w:p>
        </w:tc>
        <w:tc>
          <w:tcPr>
            <w:tcW w:w="1133" w:type="dxa"/>
            <w:vMerge w:val="continue"/>
            <w:vAlign w:val="center"/>
          </w:tcPr>
          <w:p w14:paraId="3DAEC520">
            <w:pPr>
              <w:widowControl w:val="0"/>
              <w:jc w:val="center"/>
              <w:rPr>
                <w:color w:val="auto"/>
                <w:sz w:val="21"/>
                <w:szCs w:val="21"/>
              </w:rPr>
            </w:pPr>
          </w:p>
        </w:tc>
        <w:tc>
          <w:tcPr>
            <w:tcW w:w="1417" w:type="dxa"/>
            <w:vAlign w:val="center"/>
          </w:tcPr>
          <w:p w14:paraId="74CD43F3">
            <w:pPr>
              <w:widowControl w:val="0"/>
              <w:jc w:val="center"/>
              <w:rPr>
                <w:color w:val="auto"/>
                <w:sz w:val="22"/>
                <w:szCs w:val="22"/>
              </w:rPr>
            </w:pPr>
            <w:r>
              <w:rPr>
                <w:color w:val="auto"/>
                <w:sz w:val="22"/>
                <w:szCs w:val="22"/>
              </w:rPr>
              <w:t>743.83</w:t>
            </w:r>
          </w:p>
        </w:tc>
        <w:tc>
          <w:tcPr>
            <w:tcW w:w="1275" w:type="dxa"/>
            <w:vAlign w:val="center"/>
          </w:tcPr>
          <w:p w14:paraId="01B4ADA1">
            <w:pPr>
              <w:widowControl w:val="0"/>
              <w:jc w:val="center"/>
              <w:rPr>
                <w:color w:val="auto"/>
                <w:sz w:val="21"/>
                <w:szCs w:val="21"/>
              </w:rPr>
            </w:pPr>
            <w:r>
              <w:rPr>
                <w:color w:val="auto"/>
                <w:sz w:val="21"/>
                <w:szCs w:val="21"/>
              </w:rPr>
              <w:t>1.93</w:t>
            </w:r>
          </w:p>
        </w:tc>
        <w:tc>
          <w:tcPr>
            <w:tcW w:w="1133" w:type="dxa"/>
            <w:vAlign w:val="center"/>
          </w:tcPr>
          <w:p w14:paraId="0B759FC8">
            <w:pPr>
              <w:widowControl w:val="0"/>
              <w:jc w:val="center"/>
              <w:rPr>
                <w:color w:val="auto"/>
                <w:sz w:val="21"/>
                <w:szCs w:val="21"/>
              </w:rPr>
            </w:pPr>
            <w:r>
              <w:rPr>
                <w:color w:val="auto"/>
                <w:sz w:val="21"/>
                <w:szCs w:val="21"/>
              </w:rPr>
              <w:t>15.47</w:t>
            </w:r>
          </w:p>
        </w:tc>
        <w:tc>
          <w:tcPr>
            <w:tcW w:w="1523" w:type="dxa"/>
            <w:vMerge w:val="continue"/>
            <w:vAlign w:val="center"/>
          </w:tcPr>
          <w:p w14:paraId="3A7F682B">
            <w:pPr>
              <w:widowControl w:val="0"/>
              <w:jc w:val="center"/>
              <w:rPr>
                <w:color w:val="auto"/>
                <w:sz w:val="21"/>
                <w:szCs w:val="21"/>
              </w:rPr>
            </w:pPr>
          </w:p>
        </w:tc>
        <w:tc>
          <w:tcPr>
            <w:tcW w:w="1025" w:type="dxa"/>
            <w:vAlign w:val="center"/>
          </w:tcPr>
          <w:p w14:paraId="44CC000B">
            <w:pPr>
              <w:widowControl w:val="0"/>
              <w:jc w:val="center"/>
              <w:rPr>
                <w:color w:val="auto"/>
                <w:sz w:val="21"/>
                <w:szCs w:val="21"/>
              </w:rPr>
            </w:pPr>
            <w:r>
              <w:rPr>
                <w:color w:val="auto"/>
                <w:sz w:val="21"/>
                <w:szCs w:val="21"/>
              </w:rPr>
              <w:t>92.50%</w:t>
            </w:r>
          </w:p>
        </w:tc>
        <w:tc>
          <w:tcPr>
            <w:tcW w:w="1373" w:type="dxa"/>
            <w:vAlign w:val="center"/>
          </w:tcPr>
          <w:p w14:paraId="612A8D05">
            <w:pPr>
              <w:widowControl w:val="0"/>
              <w:jc w:val="center"/>
              <w:rPr>
                <w:color w:val="auto"/>
                <w:sz w:val="22"/>
                <w:szCs w:val="22"/>
              </w:rPr>
            </w:pPr>
            <w:r>
              <w:rPr>
                <w:color w:val="auto"/>
                <w:sz w:val="22"/>
                <w:szCs w:val="22"/>
              </w:rPr>
              <w:t>55.79</w:t>
            </w:r>
          </w:p>
        </w:tc>
        <w:tc>
          <w:tcPr>
            <w:tcW w:w="1177" w:type="dxa"/>
            <w:vAlign w:val="center"/>
          </w:tcPr>
          <w:p w14:paraId="3870EFA7">
            <w:pPr>
              <w:widowControl w:val="0"/>
              <w:jc w:val="center"/>
              <w:rPr>
                <w:color w:val="auto"/>
                <w:sz w:val="21"/>
                <w:szCs w:val="21"/>
              </w:rPr>
            </w:pPr>
            <w:r>
              <w:rPr>
                <w:color w:val="auto"/>
                <w:sz w:val="21"/>
                <w:szCs w:val="21"/>
              </w:rPr>
              <w:t>0.15</w:t>
            </w:r>
          </w:p>
        </w:tc>
        <w:tc>
          <w:tcPr>
            <w:tcW w:w="1274" w:type="dxa"/>
            <w:vAlign w:val="center"/>
          </w:tcPr>
          <w:p w14:paraId="5FA6B6A7">
            <w:pPr>
              <w:widowControl w:val="0"/>
              <w:jc w:val="center"/>
              <w:rPr>
                <w:color w:val="auto"/>
                <w:sz w:val="21"/>
                <w:szCs w:val="21"/>
              </w:rPr>
            </w:pPr>
            <w:r>
              <w:rPr>
                <w:color w:val="auto"/>
                <w:sz w:val="21"/>
                <w:szCs w:val="21"/>
              </w:rPr>
              <w:t>1.160</w:t>
            </w:r>
          </w:p>
        </w:tc>
        <w:tc>
          <w:tcPr>
            <w:tcW w:w="3363" w:type="dxa"/>
            <w:gridSpan w:val="4"/>
            <w:vMerge w:val="continue"/>
            <w:vAlign w:val="center"/>
          </w:tcPr>
          <w:p w14:paraId="19BA0E78">
            <w:pPr>
              <w:widowControl w:val="0"/>
              <w:jc w:val="center"/>
              <w:rPr>
                <w:color w:val="auto"/>
                <w:sz w:val="21"/>
                <w:szCs w:val="21"/>
              </w:rPr>
            </w:pPr>
          </w:p>
        </w:tc>
        <w:tc>
          <w:tcPr>
            <w:tcW w:w="1538" w:type="dxa"/>
            <w:vMerge w:val="continue"/>
            <w:vAlign w:val="center"/>
          </w:tcPr>
          <w:p w14:paraId="11C9D75B">
            <w:pPr>
              <w:widowControl w:val="0"/>
              <w:jc w:val="center"/>
              <w:rPr>
                <w:color w:val="auto"/>
                <w:sz w:val="21"/>
                <w:szCs w:val="21"/>
              </w:rPr>
            </w:pPr>
          </w:p>
        </w:tc>
      </w:tr>
      <w:tr w14:paraId="7AE9B3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41497F54">
            <w:pPr>
              <w:widowControl w:val="0"/>
              <w:jc w:val="center"/>
              <w:rPr>
                <w:color w:val="auto"/>
                <w:sz w:val="21"/>
                <w:szCs w:val="21"/>
              </w:rPr>
            </w:pPr>
            <w:r>
              <w:rPr>
                <w:color w:val="auto"/>
                <w:sz w:val="21"/>
                <w:szCs w:val="21"/>
              </w:rPr>
              <w:t>　</w:t>
            </w:r>
          </w:p>
        </w:tc>
        <w:tc>
          <w:tcPr>
            <w:tcW w:w="1540" w:type="dxa"/>
            <w:vMerge w:val="restart"/>
            <w:vAlign w:val="center"/>
          </w:tcPr>
          <w:p w14:paraId="3BA6966D">
            <w:pPr>
              <w:widowControl w:val="0"/>
              <w:jc w:val="center"/>
              <w:rPr>
                <w:color w:val="auto"/>
                <w:sz w:val="21"/>
                <w:szCs w:val="21"/>
              </w:rPr>
            </w:pPr>
            <w:r>
              <w:rPr>
                <w:color w:val="auto"/>
                <w:sz w:val="21"/>
                <w:szCs w:val="21"/>
              </w:rPr>
              <w:t>催化剂生产干燥废气总排口（DA006）</w:t>
            </w:r>
          </w:p>
        </w:tc>
        <w:tc>
          <w:tcPr>
            <w:tcW w:w="1358" w:type="dxa"/>
            <w:vAlign w:val="center"/>
          </w:tcPr>
          <w:p w14:paraId="00E5B66F">
            <w:pPr>
              <w:widowControl w:val="0"/>
              <w:jc w:val="center"/>
              <w:rPr>
                <w:color w:val="auto"/>
                <w:sz w:val="21"/>
                <w:szCs w:val="21"/>
              </w:rPr>
            </w:pPr>
            <w:r>
              <w:rPr>
                <w:color w:val="auto"/>
                <w:sz w:val="21"/>
                <w:szCs w:val="21"/>
              </w:rPr>
              <w:t>颗粒物</w:t>
            </w:r>
          </w:p>
        </w:tc>
        <w:tc>
          <w:tcPr>
            <w:tcW w:w="1470" w:type="dxa"/>
            <w:vAlign w:val="center"/>
          </w:tcPr>
          <w:p w14:paraId="079463D8">
            <w:pPr>
              <w:widowControl w:val="0"/>
              <w:jc w:val="center"/>
              <w:rPr>
                <w:color w:val="auto"/>
                <w:sz w:val="21"/>
                <w:szCs w:val="21"/>
              </w:rPr>
            </w:pPr>
            <w:r>
              <w:rPr>
                <w:color w:val="auto"/>
                <w:sz w:val="21"/>
                <w:szCs w:val="21"/>
              </w:rPr>
              <w:t>物料衡算法</w:t>
            </w:r>
          </w:p>
        </w:tc>
        <w:tc>
          <w:tcPr>
            <w:tcW w:w="1133" w:type="dxa"/>
            <w:vMerge w:val="restart"/>
            <w:vAlign w:val="center"/>
          </w:tcPr>
          <w:p w14:paraId="62C70CB1">
            <w:pPr>
              <w:widowControl w:val="0"/>
              <w:jc w:val="center"/>
              <w:rPr>
                <w:color w:val="auto"/>
                <w:sz w:val="21"/>
                <w:szCs w:val="21"/>
              </w:rPr>
            </w:pPr>
            <w:r>
              <w:rPr>
                <w:color w:val="auto"/>
                <w:sz w:val="21"/>
                <w:szCs w:val="21"/>
              </w:rPr>
              <w:t xml:space="preserve">46396 </w:t>
            </w:r>
          </w:p>
        </w:tc>
        <w:tc>
          <w:tcPr>
            <w:tcW w:w="1417" w:type="dxa"/>
            <w:vAlign w:val="center"/>
          </w:tcPr>
          <w:p w14:paraId="093EC2A0">
            <w:pPr>
              <w:widowControl w:val="0"/>
              <w:jc w:val="center"/>
              <w:rPr>
                <w:color w:val="auto"/>
                <w:sz w:val="22"/>
                <w:szCs w:val="22"/>
              </w:rPr>
            </w:pPr>
            <w:r>
              <w:rPr>
                <w:color w:val="auto"/>
                <w:sz w:val="22"/>
                <w:szCs w:val="22"/>
              </w:rPr>
              <w:t>9.38</w:t>
            </w:r>
          </w:p>
        </w:tc>
        <w:tc>
          <w:tcPr>
            <w:tcW w:w="1275" w:type="dxa"/>
            <w:vAlign w:val="center"/>
          </w:tcPr>
          <w:p w14:paraId="47BD2787">
            <w:pPr>
              <w:widowControl w:val="0"/>
              <w:jc w:val="center"/>
              <w:rPr>
                <w:color w:val="auto"/>
                <w:sz w:val="21"/>
                <w:szCs w:val="21"/>
              </w:rPr>
            </w:pPr>
            <w:r>
              <w:rPr>
                <w:color w:val="auto"/>
                <w:sz w:val="21"/>
                <w:szCs w:val="21"/>
              </w:rPr>
              <w:t>0.44</w:t>
            </w:r>
          </w:p>
        </w:tc>
        <w:tc>
          <w:tcPr>
            <w:tcW w:w="1133" w:type="dxa"/>
            <w:vAlign w:val="center"/>
          </w:tcPr>
          <w:p w14:paraId="3EA230BF">
            <w:pPr>
              <w:widowControl w:val="0"/>
              <w:jc w:val="center"/>
              <w:rPr>
                <w:color w:val="auto"/>
                <w:sz w:val="21"/>
                <w:szCs w:val="21"/>
              </w:rPr>
            </w:pPr>
            <w:r>
              <w:rPr>
                <w:color w:val="auto"/>
                <w:sz w:val="21"/>
                <w:szCs w:val="21"/>
              </w:rPr>
              <w:t>3.48</w:t>
            </w:r>
          </w:p>
        </w:tc>
        <w:tc>
          <w:tcPr>
            <w:tcW w:w="1523" w:type="dxa"/>
            <w:vMerge w:val="restart"/>
            <w:vAlign w:val="center"/>
          </w:tcPr>
          <w:p w14:paraId="6F34ECE5">
            <w:pPr>
              <w:widowControl w:val="0"/>
              <w:jc w:val="center"/>
              <w:rPr>
                <w:color w:val="auto"/>
                <w:sz w:val="21"/>
                <w:szCs w:val="21"/>
              </w:rPr>
            </w:pPr>
            <w:r>
              <w:rPr>
                <w:color w:val="auto"/>
                <w:sz w:val="21"/>
                <w:szCs w:val="21"/>
              </w:rPr>
              <w:t>燃用清燃料+低氮燃烧器</w:t>
            </w:r>
          </w:p>
        </w:tc>
        <w:tc>
          <w:tcPr>
            <w:tcW w:w="1025" w:type="dxa"/>
            <w:vAlign w:val="center"/>
          </w:tcPr>
          <w:p w14:paraId="5C710167">
            <w:pPr>
              <w:widowControl w:val="0"/>
              <w:jc w:val="center"/>
              <w:rPr>
                <w:color w:val="auto"/>
                <w:sz w:val="21"/>
                <w:szCs w:val="21"/>
              </w:rPr>
            </w:pPr>
            <w:r>
              <w:rPr>
                <w:color w:val="auto"/>
                <w:sz w:val="21"/>
                <w:szCs w:val="21"/>
              </w:rPr>
              <w:t>/</w:t>
            </w:r>
          </w:p>
        </w:tc>
        <w:tc>
          <w:tcPr>
            <w:tcW w:w="1373" w:type="dxa"/>
            <w:vAlign w:val="center"/>
          </w:tcPr>
          <w:p w14:paraId="764FC221">
            <w:pPr>
              <w:widowControl w:val="0"/>
              <w:jc w:val="center"/>
              <w:rPr>
                <w:color w:val="auto"/>
                <w:sz w:val="22"/>
                <w:szCs w:val="22"/>
              </w:rPr>
            </w:pPr>
            <w:r>
              <w:rPr>
                <w:color w:val="auto"/>
                <w:sz w:val="22"/>
                <w:szCs w:val="22"/>
              </w:rPr>
              <w:t>9.38</w:t>
            </w:r>
          </w:p>
        </w:tc>
        <w:tc>
          <w:tcPr>
            <w:tcW w:w="1177" w:type="dxa"/>
            <w:vAlign w:val="center"/>
          </w:tcPr>
          <w:p w14:paraId="6CD75389">
            <w:pPr>
              <w:widowControl w:val="0"/>
              <w:jc w:val="center"/>
              <w:rPr>
                <w:color w:val="auto"/>
                <w:sz w:val="21"/>
                <w:szCs w:val="21"/>
              </w:rPr>
            </w:pPr>
            <w:r>
              <w:rPr>
                <w:color w:val="auto"/>
                <w:sz w:val="21"/>
                <w:szCs w:val="21"/>
              </w:rPr>
              <w:t>0.44</w:t>
            </w:r>
          </w:p>
        </w:tc>
        <w:tc>
          <w:tcPr>
            <w:tcW w:w="1274" w:type="dxa"/>
            <w:vAlign w:val="center"/>
          </w:tcPr>
          <w:p w14:paraId="1BACB02C">
            <w:pPr>
              <w:widowControl w:val="0"/>
              <w:jc w:val="center"/>
              <w:rPr>
                <w:color w:val="auto"/>
                <w:sz w:val="21"/>
                <w:szCs w:val="21"/>
              </w:rPr>
            </w:pPr>
            <w:r>
              <w:rPr>
                <w:color w:val="auto"/>
                <w:sz w:val="21"/>
                <w:szCs w:val="21"/>
              </w:rPr>
              <w:t>3.48</w:t>
            </w:r>
          </w:p>
        </w:tc>
        <w:tc>
          <w:tcPr>
            <w:tcW w:w="946" w:type="dxa"/>
            <w:vMerge w:val="restart"/>
            <w:vAlign w:val="center"/>
          </w:tcPr>
          <w:p w14:paraId="4AEF5622">
            <w:pPr>
              <w:widowControl w:val="0"/>
              <w:jc w:val="center"/>
              <w:rPr>
                <w:color w:val="auto"/>
                <w:sz w:val="21"/>
                <w:szCs w:val="21"/>
              </w:rPr>
            </w:pPr>
            <w:r>
              <w:rPr>
                <w:color w:val="auto"/>
                <w:sz w:val="21"/>
                <w:szCs w:val="21"/>
              </w:rPr>
              <w:t>DA006</w:t>
            </w:r>
          </w:p>
        </w:tc>
        <w:tc>
          <w:tcPr>
            <w:tcW w:w="959" w:type="dxa"/>
            <w:vMerge w:val="restart"/>
            <w:vAlign w:val="center"/>
          </w:tcPr>
          <w:p w14:paraId="5AC8417F">
            <w:pPr>
              <w:widowControl w:val="0"/>
              <w:jc w:val="center"/>
              <w:rPr>
                <w:color w:val="auto"/>
                <w:sz w:val="21"/>
                <w:szCs w:val="21"/>
              </w:rPr>
            </w:pPr>
            <w:r>
              <w:rPr>
                <w:color w:val="auto"/>
                <w:sz w:val="21"/>
                <w:szCs w:val="21"/>
              </w:rPr>
              <w:t>65</w:t>
            </w:r>
          </w:p>
        </w:tc>
        <w:tc>
          <w:tcPr>
            <w:tcW w:w="759" w:type="dxa"/>
            <w:vMerge w:val="restart"/>
            <w:vAlign w:val="center"/>
          </w:tcPr>
          <w:p w14:paraId="4F859B99">
            <w:pPr>
              <w:widowControl w:val="0"/>
              <w:jc w:val="center"/>
              <w:rPr>
                <w:color w:val="auto"/>
                <w:sz w:val="21"/>
                <w:szCs w:val="21"/>
              </w:rPr>
            </w:pPr>
            <w:r>
              <w:rPr>
                <w:color w:val="auto"/>
                <w:sz w:val="21"/>
                <w:szCs w:val="21"/>
              </w:rPr>
              <w:t>17</w:t>
            </w:r>
          </w:p>
        </w:tc>
        <w:tc>
          <w:tcPr>
            <w:tcW w:w="699" w:type="dxa"/>
            <w:vMerge w:val="restart"/>
            <w:vAlign w:val="center"/>
          </w:tcPr>
          <w:p w14:paraId="53AF1D17">
            <w:pPr>
              <w:widowControl w:val="0"/>
              <w:jc w:val="center"/>
              <w:rPr>
                <w:color w:val="auto"/>
                <w:sz w:val="21"/>
                <w:szCs w:val="21"/>
              </w:rPr>
            </w:pPr>
            <w:r>
              <w:rPr>
                <w:color w:val="auto"/>
                <w:sz w:val="21"/>
                <w:szCs w:val="21"/>
              </w:rPr>
              <w:t>0.8</w:t>
            </w:r>
          </w:p>
        </w:tc>
        <w:tc>
          <w:tcPr>
            <w:tcW w:w="1538" w:type="dxa"/>
            <w:vMerge w:val="restart"/>
            <w:vAlign w:val="center"/>
          </w:tcPr>
          <w:p w14:paraId="7FFBD365">
            <w:pPr>
              <w:widowControl w:val="0"/>
              <w:jc w:val="center"/>
              <w:rPr>
                <w:color w:val="auto"/>
                <w:sz w:val="21"/>
                <w:szCs w:val="21"/>
              </w:rPr>
            </w:pPr>
            <w:r>
              <w:rPr>
                <w:color w:val="auto"/>
                <w:sz w:val="21"/>
                <w:szCs w:val="21"/>
              </w:rPr>
              <w:t>8000</w:t>
            </w:r>
          </w:p>
        </w:tc>
      </w:tr>
      <w:tr w14:paraId="3C1186A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72A8EDE7">
            <w:pPr>
              <w:widowControl w:val="0"/>
              <w:jc w:val="center"/>
              <w:rPr>
                <w:color w:val="auto"/>
                <w:sz w:val="21"/>
                <w:szCs w:val="21"/>
              </w:rPr>
            </w:pPr>
          </w:p>
        </w:tc>
        <w:tc>
          <w:tcPr>
            <w:tcW w:w="1540" w:type="dxa"/>
            <w:vMerge w:val="continue"/>
            <w:vAlign w:val="center"/>
          </w:tcPr>
          <w:p w14:paraId="55BBB087">
            <w:pPr>
              <w:widowControl w:val="0"/>
              <w:jc w:val="center"/>
              <w:rPr>
                <w:color w:val="auto"/>
                <w:sz w:val="21"/>
                <w:szCs w:val="21"/>
              </w:rPr>
            </w:pPr>
          </w:p>
        </w:tc>
        <w:tc>
          <w:tcPr>
            <w:tcW w:w="1358" w:type="dxa"/>
            <w:vAlign w:val="center"/>
          </w:tcPr>
          <w:p w14:paraId="1C6FFD64">
            <w:pPr>
              <w:widowControl w:val="0"/>
              <w:jc w:val="center"/>
              <w:rPr>
                <w:color w:val="auto"/>
                <w:sz w:val="21"/>
                <w:szCs w:val="21"/>
              </w:rPr>
            </w:pPr>
            <w:r>
              <w:rPr>
                <w:color w:val="auto"/>
                <w:sz w:val="21"/>
                <w:szCs w:val="21"/>
              </w:rPr>
              <w:t>SO2</w:t>
            </w:r>
          </w:p>
        </w:tc>
        <w:tc>
          <w:tcPr>
            <w:tcW w:w="1470" w:type="dxa"/>
            <w:vAlign w:val="center"/>
          </w:tcPr>
          <w:p w14:paraId="0F58B0B6">
            <w:pPr>
              <w:widowControl w:val="0"/>
              <w:jc w:val="center"/>
              <w:rPr>
                <w:color w:val="auto"/>
                <w:sz w:val="21"/>
                <w:szCs w:val="21"/>
              </w:rPr>
            </w:pPr>
            <w:r>
              <w:rPr>
                <w:color w:val="auto"/>
                <w:sz w:val="21"/>
                <w:szCs w:val="21"/>
              </w:rPr>
              <w:t>物料衡算法</w:t>
            </w:r>
          </w:p>
        </w:tc>
        <w:tc>
          <w:tcPr>
            <w:tcW w:w="1133" w:type="dxa"/>
            <w:vMerge w:val="continue"/>
            <w:vAlign w:val="center"/>
          </w:tcPr>
          <w:p w14:paraId="587FDF40">
            <w:pPr>
              <w:widowControl w:val="0"/>
              <w:jc w:val="center"/>
              <w:rPr>
                <w:color w:val="auto"/>
                <w:sz w:val="21"/>
                <w:szCs w:val="21"/>
              </w:rPr>
            </w:pPr>
          </w:p>
        </w:tc>
        <w:tc>
          <w:tcPr>
            <w:tcW w:w="1417" w:type="dxa"/>
            <w:vAlign w:val="center"/>
          </w:tcPr>
          <w:p w14:paraId="3CA48FBD">
            <w:pPr>
              <w:widowControl w:val="0"/>
              <w:jc w:val="center"/>
              <w:rPr>
                <w:color w:val="auto"/>
                <w:sz w:val="22"/>
                <w:szCs w:val="22"/>
              </w:rPr>
            </w:pPr>
            <w:r>
              <w:rPr>
                <w:color w:val="auto"/>
                <w:sz w:val="22"/>
                <w:szCs w:val="22"/>
              </w:rPr>
              <w:t>0.43</w:t>
            </w:r>
          </w:p>
        </w:tc>
        <w:tc>
          <w:tcPr>
            <w:tcW w:w="1275" w:type="dxa"/>
            <w:vAlign w:val="center"/>
          </w:tcPr>
          <w:p w14:paraId="102B184F">
            <w:pPr>
              <w:widowControl w:val="0"/>
              <w:jc w:val="center"/>
              <w:rPr>
                <w:color w:val="auto"/>
                <w:sz w:val="21"/>
                <w:szCs w:val="21"/>
              </w:rPr>
            </w:pPr>
            <w:r>
              <w:rPr>
                <w:color w:val="auto"/>
                <w:sz w:val="21"/>
                <w:szCs w:val="21"/>
              </w:rPr>
              <w:t>0.02</w:t>
            </w:r>
          </w:p>
        </w:tc>
        <w:tc>
          <w:tcPr>
            <w:tcW w:w="1133" w:type="dxa"/>
            <w:vAlign w:val="center"/>
          </w:tcPr>
          <w:p w14:paraId="60504F96">
            <w:pPr>
              <w:widowControl w:val="0"/>
              <w:jc w:val="center"/>
              <w:rPr>
                <w:color w:val="auto"/>
                <w:sz w:val="21"/>
                <w:szCs w:val="21"/>
              </w:rPr>
            </w:pPr>
            <w:r>
              <w:rPr>
                <w:color w:val="auto"/>
                <w:sz w:val="21"/>
                <w:szCs w:val="21"/>
              </w:rPr>
              <w:t>0.16</w:t>
            </w:r>
          </w:p>
        </w:tc>
        <w:tc>
          <w:tcPr>
            <w:tcW w:w="1523" w:type="dxa"/>
            <w:vMerge w:val="continue"/>
            <w:vAlign w:val="center"/>
          </w:tcPr>
          <w:p w14:paraId="040A12E0">
            <w:pPr>
              <w:widowControl w:val="0"/>
              <w:jc w:val="center"/>
              <w:rPr>
                <w:color w:val="auto"/>
                <w:sz w:val="21"/>
                <w:szCs w:val="21"/>
              </w:rPr>
            </w:pPr>
          </w:p>
        </w:tc>
        <w:tc>
          <w:tcPr>
            <w:tcW w:w="1025" w:type="dxa"/>
            <w:vAlign w:val="center"/>
          </w:tcPr>
          <w:p w14:paraId="1182C5A3">
            <w:pPr>
              <w:widowControl w:val="0"/>
              <w:jc w:val="center"/>
              <w:rPr>
                <w:color w:val="auto"/>
                <w:sz w:val="21"/>
                <w:szCs w:val="21"/>
              </w:rPr>
            </w:pPr>
            <w:r>
              <w:rPr>
                <w:color w:val="auto"/>
                <w:sz w:val="21"/>
                <w:szCs w:val="21"/>
              </w:rPr>
              <w:t>/</w:t>
            </w:r>
          </w:p>
        </w:tc>
        <w:tc>
          <w:tcPr>
            <w:tcW w:w="1373" w:type="dxa"/>
            <w:vAlign w:val="center"/>
          </w:tcPr>
          <w:p w14:paraId="60E4C2C6">
            <w:pPr>
              <w:widowControl w:val="0"/>
              <w:jc w:val="center"/>
              <w:rPr>
                <w:color w:val="auto"/>
                <w:sz w:val="22"/>
                <w:szCs w:val="22"/>
              </w:rPr>
            </w:pPr>
            <w:r>
              <w:rPr>
                <w:color w:val="auto"/>
                <w:sz w:val="22"/>
                <w:szCs w:val="22"/>
              </w:rPr>
              <w:t>0.43</w:t>
            </w:r>
          </w:p>
        </w:tc>
        <w:tc>
          <w:tcPr>
            <w:tcW w:w="1177" w:type="dxa"/>
            <w:vAlign w:val="center"/>
          </w:tcPr>
          <w:p w14:paraId="4311077D">
            <w:pPr>
              <w:widowControl w:val="0"/>
              <w:jc w:val="center"/>
              <w:rPr>
                <w:color w:val="auto"/>
                <w:sz w:val="21"/>
                <w:szCs w:val="21"/>
              </w:rPr>
            </w:pPr>
            <w:r>
              <w:rPr>
                <w:color w:val="auto"/>
                <w:sz w:val="21"/>
                <w:szCs w:val="21"/>
              </w:rPr>
              <w:t>0.02</w:t>
            </w:r>
          </w:p>
        </w:tc>
        <w:tc>
          <w:tcPr>
            <w:tcW w:w="1274" w:type="dxa"/>
            <w:vAlign w:val="center"/>
          </w:tcPr>
          <w:p w14:paraId="7F590CEA">
            <w:pPr>
              <w:widowControl w:val="0"/>
              <w:jc w:val="center"/>
              <w:rPr>
                <w:color w:val="auto"/>
                <w:sz w:val="21"/>
                <w:szCs w:val="21"/>
              </w:rPr>
            </w:pPr>
            <w:r>
              <w:rPr>
                <w:color w:val="auto"/>
                <w:sz w:val="21"/>
                <w:szCs w:val="21"/>
              </w:rPr>
              <w:t>0.160</w:t>
            </w:r>
          </w:p>
        </w:tc>
        <w:tc>
          <w:tcPr>
            <w:tcW w:w="946" w:type="dxa"/>
            <w:vMerge w:val="continue"/>
            <w:vAlign w:val="center"/>
          </w:tcPr>
          <w:p w14:paraId="16516A4A">
            <w:pPr>
              <w:widowControl w:val="0"/>
              <w:jc w:val="center"/>
              <w:rPr>
                <w:color w:val="auto"/>
                <w:sz w:val="21"/>
                <w:szCs w:val="21"/>
              </w:rPr>
            </w:pPr>
          </w:p>
        </w:tc>
        <w:tc>
          <w:tcPr>
            <w:tcW w:w="959" w:type="dxa"/>
            <w:vMerge w:val="continue"/>
            <w:vAlign w:val="center"/>
          </w:tcPr>
          <w:p w14:paraId="4C676755">
            <w:pPr>
              <w:widowControl w:val="0"/>
              <w:jc w:val="center"/>
              <w:rPr>
                <w:color w:val="auto"/>
                <w:sz w:val="21"/>
                <w:szCs w:val="21"/>
              </w:rPr>
            </w:pPr>
          </w:p>
        </w:tc>
        <w:tc>
          <w:tcPr>
            <w:tcW w:w="759" w:type="dxa"/>
            <w:vMerge w:val="continue"/>
            <w:vAlign w:val="center"/>
          </w:tcPr>
          <w:p w14:paraId="35F4088A">
            <w:pPr>
              <w:widowControl w:val="0"/>
              <w:jc w:val="center"/>
              <w:rPr>
                <w:color w:val="auto"/>
                <w:sz w:val="21"/>
                <w:szCs w:val="21"/>
              </w:rPr>
            </w:pPr>
          </w:p>
        </w:tc>
        <w:tc>
          <w:tcPr>
            <w:tcW w:w="699" w:type="dxa"/>
            <w:vMerge w:val="continue"/>
            <w:vAlign w:val="center"/>
          </w:tcPr>
          <w:p w14:paraId="6DF855BF">
            <w:pPr>
              <w:widowControl w:val="0"/>
              <w:jc w:val="center"/>
              <w:rPr>
                <w:color w:val="auto"/>
                <w:sz w:val="21"/>
                <w:szCs w:val="21"/>
              </w:rPr>
            </w:pPr>
          </w:p>
        </w:tc>
        <w:tc>
          <w:tcPr>
            <w:tcW w:w="1538" w:type="dxa"/>
            <w:vMerge w:val="continue"/>
            <w:vAlign w:val="center"/>
          </w:tcPr>
          <w:p w14:paraId="6AFE6264">
            <w:pPr>
              <w:widowControl w:val="0"/>
              <w:jc w:val="center"/>
              <w:rPr>
                <w:color w:val="auto"/>
                <w:sz w:val="21"/>
                <w:szCs w:val="21"/>
              </w:rPr>
            </w:pPr>
          </w:p>
        </w:tc>
      </w:tr>
      <w:tr w14:paraId="2E3C8CB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7674C93">
            <w:pPr>
              <w:widowControl w:val="0"/>
              <w:jc w:val="center"/>
              <w:rPr>
                <w:color w:val="auto"/>
                <w:sz w:val="21"/>
                <w:szCs w:val="21"/>
              </w:rPr>
            </w:pPr>
          </w:p>
        </w:tc>
        <w:tc>
          <w:tcPr>
            <w:tcW w:w="1540" w:type="dxa"/>
            <w:vMerge w:val="continue"/>
            <w:vAlign w:val="center"/>
          </w:tcPr>
          <w:p w14:paraId="20F154B5">
            <w:pPr>
              <w:widowControl w:val="0"/>
              <w:jc w:val="center"/>
              <w:rPr>
                <w:color w:val="auto"/>
                <w:sz w:val="21"/>
                <w:szCs w:val="21"/>
              </w:rPr>
            </w:pPr>
          </w:p>
        </w:tc>
        <w:tc>
          <w:tcPr>
            <w:tcW w:w="1358" w:type="dxa"/>
            <w:vAlign w:val="center"/>
          </w:tcPr>
          <w:p w14:paraId="654B6B29">
            <w:pPr>
              <w:widowControl w:val="0"/>
              <w:jc w:val="center"/>
              <w:rPr>
                <w:color w:val="auto"/>
                <w:sz w:val="21"/>
                <w:szCs w:val="21"/>
              </w:rPr>
            </w:pPr>
            <w:r>
              <w:rPr>
                <w:color w:val="auto"/>
                <w:sz w:val="21"/>
                <w:szCs w:val="21"/>
              </w:rPr>
              <w:t>NOx</w:t>
            </w:r>
          </w:p>
        </w:tc>
        <w:tc>
          <w:tcPr>
            <w:tcW w:w="1470" w:type="dxa"/>
            <w:vAlign w:val="center"/>
          </w:tcPr>
          <w:p w14:paraId="195AE1B5">
            <w:pPr>
              <w:widowControl w:val="0"/>
              <w:jc w:val="center"/>
              <w:rPr>
                <w:color w:val="auto"/>
                <w:sz w:val="21"/>
                <w:szCs w:val="21"/>
              </w:rPr>
            </w:pPr>
            <w:r>
              <w:rPr>
                <w:color w:val="auto"/>
                <w:sz w:val="21"/>
                <w:szCs w:val="21"/>
              </w:rPr>
              <w:t xml:space="preserve">系数法 </w:t>
            </w:r>
          </w:p>
        </w:tc>
        <w:tc>
          <w:tcPr>
            <w:tcW w:w="1133" w:type="dxa"/>
            <w:vMerge w:val="continue"/>
            <w:vAlign w:val="center"/>
          </w:tcPr>
          <w:p w14:paraId="4E91A01D">
            <w:pPr>
              <w:widowControl w:val="0"/>
              <w:jc w:val="center"/>
              <w:rPr>
                <w:color w:val="auto"/>
                <w:sz w:val="21"/>
                <w:szCs w:val="21"/>
              </w:rPr>
            </w:pPr>
          </w:p>
        </w:tc>
        <w:tc>
          <w:tcPr>
            <w:tcW w:w="1417" w:type="dxa"/>
            <w:vAlign w:val="center"/>
          </w:tcPr>
          <w:p w14:paraId="43B85DB0">
            <w:pPr>
              <w:widowControl w:val="0"/>
              <w:jc w:val="center"/>
              <w:rPr>
                <w:color w:val="auto"/>
                <w:sz w:val="22"/>
                <w:szCs w:val="22"/>
              </w:rPr>
            </w:pPr>
            <w:r>
              <w:rPr>
                <w:color w:val="auto"/>
                <w:sz w:val="22"/>
                <w:szCs w:val="22"/>
              </w:rPr>
              <w:t>5.28</w:t>
            </w:r>
          </w:p>
        </w:tc>
        <w:tc>
          <w:tcPr>
            <w:tcW w:w="1275" w:type="dxa"/>
            <w:vAlign w:val="center"/>
          </w:tcPr>
          <w:p w14:paraId="12EF0B06">
            <w:pPr>
              <w:widowControl w:val="0"/>
              <w:jc w:val="center"/>
              <w:rPr>
                <w:color w:val="auto"/>
                <w:sz w:val="21"/>
                <w:szCs w:val="21"/>
              </w:rPr>
            </w:pPr>
            <w:r>
              <w:rPr>
                <w:color w:val="auto"/>
                <w:sz w:val="21"/>
                <w:szCs w:val="21"/>
              </w:rPr>
              <w:t>0.24</w:t>
            </w:r>
          </w:p>
        </w:tc>
        <w:tc>
          <w:tcPr>
            <w:tcW w:w="1133" w:type="dxa"/>
            <w:vAlign w:val="center"/>
          </w:tcPr>
          <w:p w14:paraId="77868FBC">
            <w:pPr>
              <w:widowControl w:val="0"/>
              <w:jc w:val="center"/>
              <w:rPr>
                <w:color w:val="auto"/>
                <w:sz w:val="21"/>
                <w:szCs w:val="21"/>
              </w:rPr>
            </w:pPr>
            <w:r>
              <w:rPr>
                <w:color w:val="auto"/>
                <w:sz w:val="21"/>
                <w:szCs w:val="21"/>
              </w:rPr>
              <w:t>1.96</w:t>
            </w:r>
          </w:p>
        </w:tc>
        <w:tc>
          <w:tcPr>
            <w:tcW w:w="1523" w:type="dxa"/>
            <w:vMerge w:val="continue"/>
            <w:vAlign w:val="center"/>
          </w:tcPr>
          <w:p w14:paraId="00452619">
            <w:pPr>
              <w:widowControl w:val="0"/>
              <w:jc w:val="center"/>
              <w:rPr>
                <w:color w:val="auto"/>
                <w:sz w:val="21"/>
                <w:szCs w:val="21"/>
              </w:rPr>
            </w:pPr>
          </w:p>
        </w:tc>
        <w:tc>
          <w:tcPr>
            <w:tcW w:w="1025" w:type="dxa"/>
            <w:vAlign w:val="center"/>
          </w:tcPr>
          <w:p w14:paraId="77D337DD">
            <w:pPr>
              <w:widowControl w:val="0"/>
              <w:jc w:val="center"/>
              <w:rPr>
                <w:color w:val="auto"/>
                <w:sz w:val="21"/>
                <w:szCs w:val="21"/>
              </w:rPr>
            </w:pPr>
            <w:r>
              <w:rPr>
                <w:color w:val="auto"/>
                <w:sz w:val="21"/>
                <w:szCs w:val="21"/>
              </w:rPr>
              <w:t>/</w:t>
            </w:r>
          </w:p>
        </w:tc>
        <w:tc>
          <w:tcPr>
            <w:tcW w:w="1373" w:type="dxa"/>
            <w:vAlign w:val="center"/>
          </w:tcPr>
          <w:p w14:paraId="7D130E9F">
            <w:pPr>
              <w:widowControl w:val="0"/>
              <w:jc w:val="center"/>
              <w:rPr>
                <w:color w:val="auto"/>
                <w:sz w:val="22"/>
                <w:szCs w:val="22"/>
              </w:rPr>
            </w:pPr>
            <w:r>
              <w:rPr>
                <w:color w:val="auto"/>
                <w:sz w:val="22"/>
                <w:szCs w:val="22"/>
              </w:rPr>
              <w:t>5.28</w:t>
            </w:r>
          </w:p>
        </w:tc>
        <w:tc>
          <w:tcPr>
            <w:tcW w:w="1177" w:type="dxa"/>
            <w:vAlign w:val="center"/>
          </w:tcPr>
          <w:p w14:paraId="5F24E338">
            <w:pPr>
              <w:widowControl w:val="0"/>
              <w:jc w:val="center"/>
              <w:rPr>
                <w:color w:val="auto"/>
                <w:sz w:val="21"/>
                <w:szCs w:val="21"/>
              </w:rPr>
            </w:pPr>
            <w:r>
              <w:rPr>
                <w:color w:val="auto"/>
                <w:sz w:val="21"/>
                <w:szCs w:val="21"/>
              </w:rPr>
              <w:t>0.24</w:t>
            </w:r>
          </w:p>
        </w:tc>
        <w:tc>
          <w:tcPr>
            <w:tcW w:w="1274" w:type="dxa"/>
            <w:vAlign w:val="center"/>
          </w:tcPr>
          <w:p w14:paraId="252DC61E">
            <w:pPr>
              <w:widowControl w:val="0"/>
              <w:jc w:val="center"/>
              <w:rPr>
                <w:color w:val="auto"/>
                <w:sz w:val="21"/>
                <w:szCs w:val="21"/>
              </w:rPr>
            </w:pPr>
            <w:r>
              <w:rPr>
                <w:color w:val="auto"/>
                <w:sz w:val="21"/>
                <w:szCs w:val="21"/>
              </w:rPr>
              <w:t>1.959</w:t>
            </w:r>
          </w:p>
        </w:tc>
        <w:tc>
          <w:tcPr>
            <w:tcW w:w="946" w:type="dxa"/>
            <w:vMerge w:val="continue"/>
            <w:vAlign w:val="center"/>
          </w:tcPr>
          <w:p w14:paraId="68164084">
            <w:pPr>
              <w:widowControl w:val="0"/>
              <w:jc w:val="center"/>
              <w:rPr>
                <w:color w:val="auto"/>
                <w:sz w:val="21"/>
                <w:szCs w:val="21"/>
              </w:rPr>
            </w:pPr>
          </w:p>
        </w:tc>
        <w:tc>
          <w:tcPr>
            <w:tcW w:w="959" w:type="dxa"/>
            <w:vMerge w:val="continue"/>
            <w:vAlign w:val="center"/>
          </w:tcPr>
          <w:p w14:paraId="38B5FD11">
            <w:pPr>
              <w:widowControl w:val="0"/>
              <w:jc w:val="center"/>
              <w:rPr>
                <w:color w:val="auto"/>
                <w:sz w:val="21"/>
                <w:szCs w:val="21"/>
              </w:rPr>
            </w:pPr>
          </w:p>
        </w:tc>
        <w:tc>
          <w:tcPr>
            <w:tcW w:w="759" w:type="dxa"/>
            <w:vMerge w:val="continue"/>
            <w:vAlign w:val="center"/>
          </w:tcPr>
          <w:p w14:paraId="38BA4B58">
            <w:pPr>
              <w:widowControl w:val="0"/>
              <w:jc w:val="center"/>
              <w:rPr>
                <w:color w:val="auto"/>
                <w:sz w:val="21"/>
                <w:szCs w:val="21"/>
              </w:rPr>
            </w:pPr>
          </w:p>
        </w:tc>
        <w:tc>
          <w:tcPr>
            <w:tcW w:w="699" w:type="dxa"/>
            <w:vMerge w:val="continue"/>
            <w:vAlign w:val="center"/>
          </w:tcPr>
          <w:p w14:paraId="5DE94476">
            <w:pPr>
              <w:widowControl w:val="0"/>
              <w:jc w:val="center"/>
              <w:rPr>
                <w:color w:val="auto"/>
                <w:sz w:val="21"/>
                <w:szCs w:val="21"/>
              </w:rPr>
            </w:pPr>
          </w:p>
        </w:tc>
        <w:tc>
          <w:tcPr>
            <w:tcW w:w="1538" w:type="dxa"/>
            <w:vMerge w:val="continue"/>
            <w:vAlign w:val="center"/>
          </w:tcPr>
          <w:p w14:paraId="58F4465F">
            <w:pPr>
              <w:widowControl w:val="0"/>
              <w:jc w:val="center"/>
              <w:rPr>
                <w:color w:val="auto"/>
                <w:sz w:val="21"/>
                <w:szCs w:val="21"/>
              </w:rPr>
            </w:pPr>
          </w:p>
        </w:tc>
      </w:tr>
      <w:tr w14:paraId="63CA42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63F033E1">
            <w:pPr>
              <w:widowControl w:val="0"/>
              <w:jc w:val="center"/>
              <w:rPr>
                <w:color w:val="auto"/>
                <w:sz w:val="21"/>
                <w:szCs w:val="21"/>
              </w:rPr>
            </w:pPr>
            <w:r>
              <w:rPr>
                <w:color w:val="auto"/>
                <w:sz w:val="21"/>
                <w:szCs w:val="21"/>
              </w:rPr>
              <w:t>　</w:t>
            </w:r>
          </w:p>
        </w:tc>
        <w:tc>
          <w:tcPr>
            <w:tcW w:w="1540" w:type="dxa"/>
            <w:vMerge w:val="restart"/>
            <w:vAlign w:val="center"/>
          </w:tcPr>
          <w:p w14:paraId="11033D4C">
            <w:pPr>
              <w:widowControl w:val="0"/>
              <w:jc w:val="center"/>
              <w:rPr>
                <w:color w:val="auto"/>
                <w:sz w:val="21"/>
                <w:szCs w:val="21"/>
              </w:rPr>
            </w:pPr>
            <w:r>
              <w:rPr>
                <w:color w:val="auto"/>
                <w:sz w:val="21"/>
                <w:szCs w:val="21"/>
              </w:rPr>
              <w:t>催化剂生产焙烧废气总排口（DA007）</w:t>
            </w:r>
          </w:p>
        </w:tc>
        <w:tc>
          <w:tcPr>
            <w:tcW w:w="1358" w:type="dxa"/>
            <w:vAlign w:val="center"/>
          </w:tcPr>
          <w:p w14:paraId="44533811">
            <w:pPr>
              <w:widowControl w:val="0"/>
              <w:jc w:val="center"/>
              <w:rPr>
                <w:color w:val="auto"/>
                <w:sz w:val="21"/>
                <w:szCs w:val="21"/>
              </w:rPr>
            </w:pPr>
            <w:r>
              <w:rPr>
                <w:color w:val="auto"/>
                <w:sz w:val="21"/>
                <w:szCs w:val="21"/>
              </w:rPr>
              <w:t>颗粒物</w:t>
            </w:r>
          </w:p>
        </w:tc>
        <w:tc>
          <w:tcPr>
            <w:tcW w:w="1470" w:type="dxa"/>
            <w:vAlign w:val="center"/>
          </w:tcPr>
          <w:p w14:paraId="479ACB80">
            <w:pPr>
              <w:widowControl w:val="0"/>
              <w:jc w:val="center"/>
              <w:rPr>
                <w:color w:val="auto"/>
                <w:sz w:val="21"/>
                <w:szCs w:val="21"/>
              </w:rPr>
            </w:pPr>
            <w:r>
              <w:rPr>
                <w:color w:val="auto"/>
                <w:sz w:val="21"/>
                <w:szCs w:val="21"/>
              </w:rPr>
              <w:t>物料衡算法</w:t>
            </w:r>
          </w:p>
        </w:tc>
        <w:tc>
          <w:tcPr>
            <w:tcW w:w="1133" w:type="dxa"/>
            <w:vMerge w:val="restart"/>
            <w:vAlign w:val="center"/>
          </w:tcPr>
          <w:p w14:paraId="187DD9D9">
            <w:pPr>
              <w:widowControl w:val="0"/>
              <w:jc w:val="center"/>
              <w:rPr>
                <w:color w:val="auto"/>
                <w:sz w:val="21"/>
                <w:szCs w:val="21"/>
              </w:rPr>
            </w:pPr>
            <w:r>
              <w:rPr>
                <w:color w:val="auto"/>
                <w:sz w:val="21"/>
                <w:szCs w:val="21"/>
              </w:rPr>
              <w:t>5800</w:t>
            </w:r>
          </w:p>
        </w:tc>
        <w:tc>
          <w:tcPr>
            <w:tcW w:w="1417" w:type="dxa"/>
            <w:vAlign w:val="center"/>
          </w:tcPr>
          <w:p w14:paraId="2F1B2656">
            <w:pPr>
              <w:widowControl w:val="0"/>
              <w:jc w:val="center"/>
              <w:rPr>
                <w:color w:val="auto"/>
                <w:sz w:val="21"/>
                <w:szCs w:val="21"/>
              </w:rPr>
            </w:pPr>
            <w:r>
              <w:rPr>
                <w:color w:val="auto"/>
                <w:sz w:val="21"/>
                <w:szCs w:val="21"/>
              </w:rPr>
              <w:t xml:space="preserve">1925.57 </w:t>
            </w:r>
          </w:p>
        </w:tc>
        <w:tc>
          <w:tcPr>
            <w:tcW w:w="1275" w:type="dxa"/>
            <w:vAlign w:val="center"/>
          </w:tcPr>
          <w:p w14:paraId="3F9A762D">
            <w:pPr>
              <w:widowControl w:val="0"/>
              <w:jc w:val="center"/>
              <w:rPr>
                <w:color w:val="auto"/>
                <w:sz w:val="21"/>
                <w:szCs w:val="21"/>
              </w:rPr>
            </w:pPr>
            <w:r>
              <w:rPr>
                <w:color w:val="auto"/>
                <w:sz w:val="21"/>
                <w:szCs w:val="21"/>
              </w:rPr>
              <w:t>11.17</w:t>
            </w:r>
          </w:p>
        </w:tc>
        <w:tc>
          <w:tcPr>
            <w:tcW w:w="1133" w:type="dxa"/>
            <w:vAlign w:val="center"/>
          </w:tcPr>
          <w:p w14:paraId="23B47A62">
            <w:pPr>
              <w:widowControl w:val="0"/>
              <w:jc w:val="center"/>
              <w:rPr>
                <w:color w:val="auto"/>
                <w:sz w:val="21"/>
                <w:szCs w:val="21"/>
              </w:rPr>
            </w:pPr>
            <w:r>
              <w:rPr>
                <w:color w:val="auto"/>
                <w:sz w:val="21"/>
                <w:szCs w:val="21"/>
              </w:rPr>
              <w:t>89.3</w:t>
            </w:r>
          </w:p>
        </w:tc>
        <w:tc>
          <w:tcPr>
            <w:tcW w:w="1523" w:type="dxa"/>
            <w:vMerge w:val="restart"/>
            <w:vAlign w:val="center"/>
          </w:tcPr>
          <w:p w14:paraId="5DC7D9DE">
            <w:pPr>
              <w:widowControl w:val="0"/>
              <w:jc w:val="center"/>
              <w:rPr>
                <w:color w:val="auto"/>
                <w:sz w:val="21"/>
                <w:szCs w:val="21"/>
              </w:rPr>
            </w:pPr>
            <w:r>
              <w:rPr>
                <w:color w:val="auto"/>
                <w:sz w:val="21"/>
                <w:szCs w:val="21"/>
              </w:rPr>
              <w:t>燃用清燃料+SCR脱硝+布袋除尘</w:t>
            </w:r>
          </w:p>
        </w:tc>
        <w:tc>
          <w:tcPr>
            <w:tcW w:w="1025" w:type="dxa"/>
            <w:vAlign w:val="center"/>
          </w:tcPr>
          <w:p w14:paraId="56FDF270">
            <w:pPr>
              <w:widowControl w:val="0"/>
              <w:jc w:val="center"/>
              <w:rPr>
                <w:color w:val="auto"/>
                <w:sz w:val="21"/>
                <w:szCs w:val="21"/>
              </w:rPr>
            </w:pPr>
            <w:r>
              <w:rPr>
                <w:color w:val="auto"/>
                <w:sz w:val="21"/>
                <w:szCs w:val="21"/>
              </w:rPr>
              <w:t>99.8%</w:t>
            </w:r>
          </w:p>
        </w:tc>
        <w:tc>
          <w:tcPr>
            <w:tcW w:w="1373" w:type="dxa"/>
            <w:vAlign w:val="center"/>
          </w:tcPr>
          <w:p w14:paraId="674A95E4">
            <w:pPr>
              <w:widowControl w:val="0"/>
              <w:jc w:val="center"/>
              <w:rPr>
                <w:color w:val="auto"/>
                <w:sz w:val="21"/>
                <w:szCs w:val="21"/>
              </w:rPr>
            </w:pPr>
            <w:r>
              <w:rPr>
                <w:color w:val="auto"/>
                <w:sz w:val="21"/>
                <w:szCs w:val="21"/>
              </w:rPr>
              <w:t xml:space="preserve">3.85 </w:t>
            </w:r>
          </w:p>
        </w:tc>
        <w:tc>
          <w:tcPr>
            <w:tcW w:w="1177" w:type="dxa"/>
            <w:vAlign w:val="center"/>
          </w:tcPr>
          <w:p w14:paraId="3365388D">
            <w:pPr>
              <w:widowControl w:val="0"/>
              <w:jc w:val="center"/>
              <w:rPr>
                <w:color w:val="auto"/>
                <w:sz w:val="21"/>
                <w:szCs w:val="21"/>
              </w:rPr>
            </w:pPr>
            <w:r>
              <w:rPr>
                <w:color w:val="auto"/>
                <w:sz w:val="21"/>
                <w:szCs w:val="21"/>
              </w:rPr>
              <w:t>0.02</w:t>
            </w:r>
          </w:p>
        </w:tc>
        <w:tc>
          <w:tcPr>
            <w:tcW w:w="1274" w:type="dxa"/>
            <w:vAlign w:val="center"/>
          </w:tcPr>
          <w:p w14:paraId="4D374234">
            <w:pPr>
              <w:widowControl w:val="0"/>
              <w:jc w:val="center"/>
              <w:rPr>
                <w:color w:val="auto"/>
                <w:sz w:val="21"/>
                <w:szCs w:val="21"/>
              </w:rPr>
            </w:pPr>
            <w:r>
              <w:rPr>
                <w:color w:val="auto"/>
                <w:sz w:val="21"/>
                <w:szCs w:val="21"/>
              </w:rPr>
              <w:t>0.18</w:t>
            </w:r>
          </w:p>
        </w:tc>
        <w:tc>
          <w:tcPr>
            <w:tcW w:w="946" w:type="dxa"/>
            <w:vMerge w:val="restart"/>
            <w:vAlign w:val="center"/>
          </w:tcPr>
          <w:p w14:paraId="5BF39B95">
            <w:pPr>
              <w:widowControl w:val="0"/>
              <w:jc w:val="center"/>
              <w:rPr>
                <w:color w:val="auto"/>
                <w:sz w:val="21"/>
                <w:szCs w:val="21"/>
              </w:rPr>
            </w:pPr>
            <w:r>
              <w:rPr>
                <w:color w:val="auto"/>
                <w:sz w:val="21"/>
                <w:szCs w:val="21"/>
              </w:rPr>
              <w:t>DA007</w:t>
            </w:r>
          </w:p>
        </w:tc>
        <w:tc>
          <w:tcPr>
            <w:tcW w:w="959" w:type="dxa"/>
            <w:vMerge w:val="restart"/>
            <w:vAlign w:val="center"/>
          </w:tcPr>
          <w:p w14:paraId="2BA4830A">
            <w:pPr>
              <w:widowControl w:val="0"/>
              <w:jc w:val="center"/>
              <w:rPr>
                <w:color w:val="auto"/>
                <w:sz w:val="21"/>
                <w:szCs w:val="21"/>
              </w:rPr>
            </w:pPr>
            <w:r>
              <w:rPr>
                <w:color w:val="auto"/>
                <w:sz w:val="21"/>
                <w:szCs w:val="21"/>
              </w:rPr>
              <w:t>80</w:t>
            </w:r>
          </w:p>
        </w:tc>
        <w:tc>
          <w:tcPr>
            <w:tcW w:w="759" w:type="dxa"/>
            <w:vMerge w:val="restart"/>
            <w:vAlign w:val="center"/>
          </w:tcPr>
          <w:p w14:paraId="6143DD4A">
            <w:pPr>
              <w:widowControl w:val="0"/>
              <w:jc w:val="center"/>
              <w:rPr>
                <w:color w:val="auto"/>
                <w:sz w:val="21"/>
                <w:szCs w:val="21"/>
              </w:rPr>
            </w:pPr>
            <w:r>
              <w:rPr>
                <w:color w:val="auto"/>
                <w:sz w:val="21"/>
                <w:szCs w:val="21"/>
              </w:rPr>
              <w:t>17</w:t>
            </w:r>
          </w:p>
        </w:tc>
        <w:tc>
          <w:tcPr>
            <w:tcW w:w="699" w:type="dxa"/>
            <w:vMerge w:val="restart"/>
            <w:vAlign w:val="center"/>
          </w:tcPr>
          <w:p w14:paraId="038D44BE">
            <w:pPr>
              <w:widowControl w:val="0"/>
              <w:jc w:val="center"/>
              <w:rPr>
                <w:color w:val="auto"/>
                <w:sz w:val="21"/>
                <w:szCs w:val="21"/>
              </w:rPr>
            </w:pPr>
            <w:r>
              <w:rPr>
                <w:color w:val="auto"/>
                <w:sz w:val="21"/>
                <w:szCs w:val="21"/>
              </w:rPr>
              <w:t>0.6</w:t>
            </w:r>
          </w:p>
        </w:tc>
        <w:tc>
          <w:tcPr>
            <w:tcW w:w="1538" w:type="dxa"/>
            <w:vMerge w:val="restart"/>
            <w:vAlign w:val="center"/>
          </w:tcPr>
          <w:p w14:paraId="5D92CCDE">
            <w:pPr>
              <w:widowControl w:val="0"/>
              <w:jc w:val="center"/>
              <w:rPr>
                <w:color w:val="auto"/>
                <w:sz w:val="21"/>
                <w:szCs w:val="21"/>
              </w:rPr>
            </w:pPr>
            <w:r>
              <w:rPr>
                <w:color w:val="auto"/>
                <w:sz w:val="21"/>
                <w:szCs w:val="21"/>
              </w:rPr>
              <w:t>8000</w:t>
            </w:r>
          </w:p>
        </w:tc>
      </w:tr>
      <w:tr w14:paraId="7247A3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6154F205">
            <w:pPr>
              <w:widowControl w:val="0"/>
              <w:jc w:val="center"/>
              <w:rPr>
                <w:color w:val="auto"/>
                <w:sz w:val="21"/>
                <w:szCs w:val="21"/>
              </w:rPr>
            </w:pPr>
          </w:p>
        </w:tc>
        <w:tc>
          <w:tcPr>
            <w:tcW w:w="1540" w:type="dxa"/>
            <w:vMerge w:val="continue"/>
            <w:vAlign w:val="center"/>
          </w:tcPr>
          <w:p w14:paraId="12D588FA">
            <w:pPr>
              <w:widowControl w:val="0"/>
              <w:jc w:val="center"/>
              <w:rPr>
                <w:color w:val="auto"/>
                <w:sz w:val="21"/>
                <w:szCs w:val="21"/>
              </w:rPr>
            </w:pPr>
          </w:p>
        </w:tc>
        <w:tc>
          <w:tcPr>
            <w:tcW w:w="1358" w:type="dxa"/>
            <w:vAlign w:val="center"/>
          </w:tcPr>
          <w:p w14:paraId="24F4AC86">
            <w:pPr>
              <w:widowControl w:val="0"/>
              <w:jc w:val="center"/>
              <w:rPr>
                <w:color w:val="auto"/>
                <w:sz w:val="21"/>
                <w:szCs w:val="21"/>
              </w:rPr>
            </w:pPr>
            <w:r>
              <w:rPr>
                <w:color w:val="auto"/>
                <w:sz w:val="21"/>
                <w:szCs w:val="21"/>
              </w:rPr>
              <w:t>钴及其化合物</w:t>
            </w:r>
          </w:p>
        </w:tc>
        <w:tc>
          <w:tcPr>
            <w:tcW w:w="1470" w:type="dxa"/>
            <w:vAlign w:val="center"/>
          </w:tcPr>
          <w:p w14:paraId="598B5204">
            <w:pPr>
              <w:widowControl w:val="0"/>
              <w:jc w:val="center"/>
              <w:rPr>
                <w:color w:val="auto"/>
                <w:sz w:val="21"/>
                <w:szCs w:val="21"/>
              </w:rPr>
            </w:pPr>
            <w:r>
              <w:rPr>
                <w:color w:val="auto"/>
                <w:sz w:val="21"/>
                <w:szCs w:val="21"/>
              </w:rPr>
              <w:t>物料衡算法</w:t>
            </w:r>
          </w:p>
        </w:tc>
        <w:tc>
          <w:tcPr>
            <w:tcW w:w="1133" w:type="dxa"/>
            <w:vMerge w:val="continue"/>
            <w:vAlign w:val="center"/>
          </w:tcPr>
          <w:p w14:paraId="50D64C47">
            <w:pPr>
              <w:widowControl w:val="0"/>
              <w:jc w:val="center"/>
              <w:rPr>
                <w:color w:val="auto"/>
                <w:sz w:val="21"/>
                <w:szCs w:val="21"/>
              </w:rPr>
            </w:pPr>
          </w:p>
        </w:tc>
        <w:tc>
          <w:tcPr>
            <w:tcW w:w="1417" w:type="dxa"/>
            <w:vAlign w:val="center"/>
          </w:tcPr>
          <w:p w14:paraId="48391E0D">
            <w:pPr>
              <w:widowControl w:val="0"/>
              <w:jc w:val="center"/>
              <w:rPr>
                <w:color w:val="auto"/>
                <w:sz w:val="22"/>
                <w:szCs w:val="22"/>
              </w:rPr>
            </w:pPr>
            <w:r>
              <w:rPr>
                <w:color w:val="auto"/>
                <w:sz w:val="22"/>
                <w:szCs w:val="22"/>
              </w:rPr>
              <w:t>20.06</w:t>
            </w:r>
          </w:p>
        </w:tc>
        <w:tc>
          <w:tcPr>
            <w:tcW w:w="1275" w:type="dxa"/>
            <w:vAlign w:val="center"/>
          </w:tcPr>
          <w:p w14:paraId="5242C5E4">
            <w:pPr>
              <w:widowControl w:val="0"/>
              <w:jc w:val="center"/>
              <w:rPr>
                <w:color w:val="auto"/>
                <w:sz w:val="21"/>
                <w:szCs w:val="21"/>
              </w:rPr>
            </w:pPr>
            <w:r>
              <w:rPr>
                <w:color w:val="auto"/>
                <w:sz w:val="21"/>
                <w:szCs w:val="21"/>
              </w:rPr>
              <w:t>0.12</w:t>
            </w:r>
          </w:p>
        </w:tc>
        <w:tc>
          <w:tcPr>
            <w:tcW w:w="1133" w:type="dxa"/>
            <w:vAlign w:val="center"/>
          </w:tcPr>
          <w:p w14:paraId="66AEAE9E">
            <w:pPr>
              <w:widowControl w:val="0"/>
              <w:jc w:val="center"/>
              <w:rPr>
                <w:color w:val="auto"/>
                <w:sz w:val="21"/>
                <w:szCs w:val="21"/>
              </w:rPr>
            </w:pPr>
            <w:r>
              <w:rPr>
                <w:color w:val="auto"/>
                <w:sz w:val="21"/>
                <w:szCs w:val="21"/>
              </w:rPr>
              <w:t>0.9</w:t>
            </w:r>
          </w:p>
        </w:tc>
        <w:tc>
          <w:tcPr>
            <w:tcW w:w="1523" w:type="dxa"/>
            <w:vMerge w:val="continue"/>
            <w:vAlign w:val="center"/>
          </w:tcPr>
          <w:p w14:paraId="566DC7BA">
            <w:pPr>
              <w:widowControl w:val="0"/>
              <w:jc w:val="center"/>
              <w:rPr>
                <w:color w:val="auto"/>
                <w:sz w:val="21"/>
                <w:szCs w:val="21"/>
              </w:rPr>
            </w:pPr>
          </w:p>
        </w:tc>
        <w:tc>
          <w:tcPr>
            <w:tcW w:w="1025" w:type="dxa"/>
            <w:vAlign w:val="center"/>
          </w:tcPr>
          <w:p w14:paraId="4C940CBA">
            <w:pPr>
              <w:widowControl w:val="0"/>
              <w:jc w:val="center"/>
              <w:rPr>
                <w:color w:val="auto"/>
                <w:sz w:val="21"/>
                <w:szCs w:val="21"/>
              </w:rPr>
            </w:pPr>
            <w:r>
              <w:rPr>
                <w:color w:val="auto"/>
                <w:sz w:val="21"/>
                <w:szCs w:val="21"/>
              </w:rPr>
              <w:t>99.8%</w:t>
            </w:r>
          </w:p>
        </w:tc>
        <w:tc>
          <w:tcPr>
            <w:tcW w:w="1373" w:type="dxa"/>
            <w:vAlign w:val="center"/>
          </w:tcPr>
          <w:p w14:paraId="66B91376">
            <w:pPr>
              <w:widowControl w:val="0"/>
              <w:jc w:val="center"/>
              <w:rPr>
                <w:color w:val="auto"/>
                <w:sz w:val="22"/>
                <w:szCs w:val="22"/>
              </w:rPr>
            </w:pPr>
            <w:r>
              <w:rPr>
                <w:color w:val="auto"/>
                <w:sz w:val="22"/>
                <w:szCs w:val="22"/>
              </w:rPr>
              <w:t>0.04</w:t>
            </w:r>
          </w:p>
        </w:tc>
        <w:tc>
          <w:tcPr>
            <w:tcW w:w="1177" w:type="dxa"/>
            <w:vAlign w:val="center"/>
          </w:tcPr>
          <w:p w14:paraId="652C722D">
            <w:pPr>
              <w:widowControl w:val="0"/>
              <w:jc w:val="center"/>
              <w:rPr>
                <w:color w:val="auto"/>
                <w:sz w:val="21"/>
                <w:szCs w:val="21"/>
              </w:rPr>
            </w:pPr>
            <w:r>
              <w:rPr>
                <w:color w:val="auto"/>
                <w:sz w:val="21"/>
                <w:szCs w:val="21"/>
              </w:rPr>
              <w:t>0.0002</w:t>
            </w:r>
          </w:p>
        </w:tc>
        <w:tc>
          <w:tcPr>
            <w:tcW w:w="1274" w:type="dxa"/>
            <w:vAlign w:val="center"/>
          </w:tcPr>
          <w:p w14:paraId="75252028">
            <w:pPr>
              <w:widowControl w:val="0"/>
              <w:jc w:val="center"/>
              <w:rPr>
                <w:color w:val="auto"/>
                <w:sz w:val="21"/>
                <w:szCs w:val="21"/>
              </w:rPr>
            </w:pPr>
            <w:r>
              <w:rPr>
                <w:color w:val="auto"/>
                <w:sz w:val="21"/>
                <w:szCs w:val="21"/>
              </w:rPr>
              <w:t>0.0019</w:t>
            </w:r>
          </w:p>
        </w:tc>
        <w:tc>
          <w:tcPr>
            <w:tcW w:w="946" w:type="dxa"/>
            <w:vMerge w:val="continue"/>
            <w:vAlign w:val="center"/>
          </w:tcPr>
          <w:p w14:paraId="2C4F8961">
            <w:pPr>
              <w:widowControl w:val="0"/>
              <w:jc w:val="center"/>
              <w:rPr>
                <w:color w:val="auto"/>
                <w:sz w:val="21"/>
                <w:szCs w:val="21"/>
              </w:rPr>
            </w:pPr>
          </w:p>
        </w:tc>
        <w:tc>
          <w:tcPr>
            <w:tcW w:w="959" w:type="dxa"/>
            <w:vMerge w:val="continue"/>
            <w:vAlign w:val="center"/>
          </w:tcPr>
          <w:p w14:paraId="025628FB">
            <w:pPr>
              <w:widowControl w:val="0"/>
              <w:jc w:val="center"/>
              <w:rPr>
                <w:color w:val="auto"/>
                <w:sz w:val="21"/>
                <w:szCs w:val="21"/>
              </w:rPr>
            </w:pPr>
          </w:p>
        </w:tc>
        <w:tc>
          <w:tcPr>
            <w:tcW w:w="759" w:type="dxa"/>
            <w:vMerge w:val="continue"/>
            <w:vAlign w:val="center"/>
          </w:tcPr>
          <w:p w14:paraId="3E6ED763">
            <w:pPr>
              <w:widowControl w:val="0"/>
              <w:jc w:val="center"/>
              <w:rPr>
                <w:color w:val="auto"/>
                <w:sz w:val="21"/>
                <w:szCs w:val="21"/>
              </w:rPr>
            </w:pPr>
          </w:p>
        </w:tc>
        <w:tc>
          <w:tcPr>
            <w:tcW w:w="699" w:type="dxa"/>
            <w:vMerge w:val="continue"/>
            <w:vAlign w:val="center"/>
          </w:tcPr>
          <w:p w14:paraId="3D49BF45">
            <w:pPr>
              <w:widowControl w:val="0"/>
              <w:jc w:val="center"/>
              <w:rPr>
                <w:color w:val="auto"/>
                <w:sz w:val="21"/>
                <w:szCs w:val="21"/>
              </w:rPr>
            </w:pPr>
          </w:p>
        </w:tc>
        <w:tc>
          <w:tcPr>
            <w:tcW w:w="1538" w:type="dxa"/>
            <w:vMerge w:val="continue"/>
            <w:vAlign w:val="center"/>
          </w:tcPr>
          <w:p w14:paraId="513B7D6D">
            <w:pPr>
              <w:widowControl w:val="0"/>
              <w:jc w:val="center"/>
              <w:rPr>
                <w:color w:val="auto"/>
                <w:sz w:val="21"/>
                <w:szCs w:val="21"/>
              </w:rPr>
            </w:pPr>
          </w:p>
        </w:tc>
      </w:tr>
      <w:tr w14:paraId="64DDB6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4161DED5">
            <w:pPr>
              <w:widowControl w:val="0"/>
              <w:jc w:val="center"/>
              <w:rPr>
                <w:color w:val="auto"/>
                <w:sz w:val="21"/>
                <w:szCs w:val="21"/>
              </w:rPr>
            </w:pPr>
          </w:p>
        </w:tc>
        <w:tc>
          <w:tcPr>
            <w:tcW w:w="1540" w:type="dxa"/>
            <w:vMerge w:val="continue"/>
            <w:vAlign w:val="center"/>
          </w:tcPr>
          <w:p w14:paraId="62AE6260">
            <w:pPr>
              <w:widowControl w:val="0"/>
              <w:jc w:val="center"/>
              <w:rPr>
                <w:color w:val="auto"/>
                <w:sz w:val="21"/>
                <w:szCs w:val="21"/>
              </w:rPr>
            </w:pPr>
          </w:p>
        </w:tc>
        <w:tc>
          <w:tcPr>
            <w:tcW w:w="1358" w:type="dxa"/>
            <w:vAlign w:val="center"/>
          </w:tcPr>
          <w:p w14:paraId="5700E446">
            <w:pPr>
              <w:widowControl w:val="0"/>
              <w:jc w:val="center"/>
              <w:rPr>
                <w:color w:val="auto"/>
                <w:sz w:val="21"/>
                <w:szCs w:val="21"/>
              </w:rPr>
            </w:pPr>
            <w:r>
              <w:rPr>
                <w:color w:val="auto"/>
                <w:sz w:val="21"/>
                <w:szCs w:val="21"/>
              </w:rPr>
              <w:t>钼及其化合物</w:t>
            </w:r>
          </w:p>
        </w:tc>
        <w:tc>
          <w:tcPr>
            <w:tcW w:w="1470" w:type="dxa"/>
            <w:vAlign w:val="center"/>
          </w:tcPr>
          <w:p w14:paraId="584244BE">
            <w:pPr>
              <w:widowControl w:val="0"/>
              <w:jc w:val="center"/>
              <w:rPr>
                <w:color w:val="auto"/>
                <w:sz w:val="21"/>
                <w:szCs w:val="21"/>
              </w:rPr>
            </w:pPr>
            <w:r>
              <w:rPr>
                <w:color w:val="auto"/>
                <w:sz w:val="21"/>
                <w:szCs w:val="21"/>
              </w:rPr>
              <w:t>物料衡算法</w:t>
            </w:r>
          </w:p>
        </w:tc>
        <w:tc>
          <w:tcPr>
            <w:tcW w:w="1133" w:type="dxa"/>
            <w:vMerge w:val="continue"/>
            <w:vAlign w:val="center"/>
          </w:tcPr>
          <w:p w14:paraId="01541BC6">
            <w:pPr>
              <w:widowControl w:val="0"/>
              <w:jc w:val="center"/>
              <w:rPr>
                <w:color w:val="auto"/>
                <w:sz w:val="21"/>
                <w:szCs w:val="21"/>
              </w:rPr>
            </w:pPr>
          </w:p>
        </w:tc>
        <w:tc>
          <w:tcPr>
            <w:tcW w:w="1417" w:type="dxa"/>
            <w:vAlign w:val="center"/>
          </w:tcPr>
          <w:p w14:paraId="12BA19E1">
            <w:pPr>
              <w:widowControl w:val="0"/>
              <w:jc w:val="center"/>
              <w:rPr>
                <w:color w:val="auto"/>
                <w:sz w:val="22"/>
                <w:szCs w:val="22"/>
              </w:rPr>
            </w:pPr>
            <w:r>
              <w:rPr>
                <w:color w:val="auto"/>
                <w:sz w:val="22"/>
                <w:szCs w:val="22"/>
              </w:rPr>
              <w:t>4.26</w:t>
            </w:r>
          </w:p>
        </w:tc>
        <w:tc>
          <w:tcPr>
            <w:tcW w:w="1275" w:type="dxa"/>
            <w:vAlign w:val="center"/>
          </w:tcPr>
          <w:p w14:paraId="087F80E5">
            <w:pPr>
              <w:widowControl w:val="0"/>
              <w:jc w:val="center"/>
              <w:rPr>
                <w:color w:val="auto"/>
                <w:sz w:val="21"/>
                <w:szCs w:val="21"/>
              </w:rPr>
            </w:pPr>
            <w:r>
              <w:rPr>
                <w:color w:val="auto"/>
                <w:sz w:val="21"/>
                <w:szCs w:val="21"/>
              </w:rPr>
              <w:t>0.02</w:t>
            </w:r>
          </w:p>
        </w:tc>
        <w:tc>
          <w:tcPr>
            <w:tcW w:w="1133" w:type="dxa"/>
            <w:vAlign w:val="center"/>
          </w:tcPr>
          <w:p w14:paraId="1E8079FE">
            <w:pPr>
              <w:widowControl w:val="0"/>
              <w:jc w:val="center"/>
              <w:rPr>
                <w:color w:val="auto"/>
                <w:sz w:val="21"/>
                <w:szCs w:val="21"/>
              </w:rPr>
            </w:pPr>
            <w:r>
              <w:rPr>
                <w:color w:val="auto"/>
                <w:sz w:val="21"/>
                <w:szCs w:val="21"/>
              </w:rPr>
              <w:t>0.2</w:t>
            </w:r>
          </w:p>
        </w:tc>
        <w:tc>
          <w:tcPr>
            <w:tcW w:w="1523" w:type="dxa"/>
            <w:vMerge w:val="continue"/>
            <w:vAlign w:val="center"/>
          </w:tcPr>
          <w:p w14:paraId="41D4C839">
            <w:pPr>
              <w:widowControl w:val="0"/>
              <w:jc w:val="center"/>
              <w:rPr>
                <w:color w:val="auto"/>
                <w:sz w:val="21"/>
                <w:szCs w:val="21"/>
              </w:rPr>
            </w:pPr>
          </w:p>
        </w:tc>
        <w:tc>
          <w:tcPr>
            <w:tcW w:w="1025" w:type="dxa"/>
            <w:vAlign w:val="center"/>
          </w:tcPr>
          <w:p w14:paraId="1B1204B8">
            <w:pPr>
              <w:widowControl w:val="0"/>
              <w:jc w:val="center"/>
              <w:rPr>
                <w:color w:val="auto"/>
                <w:sz w:val="21"/>
                <w:szCs w:val="21"/>
              </w:rPr>
            </w:pPr>
            <w:r>
              <w:rPr>
                <w:color w:val="auto"/>
                <w:sz w:val="21"/>
                <w:szCs w:val="21"/>
              </w:rPr>
              <w:t>99.8%</w:t>
            </w:r>
          </w:p>
        </w:tc>
        <w:tc>
          <w:tcPr>
            <w:tcW w:w="1373" w:type="dxa"/>
            <w:vAlign w:val="center"/>
          </w:tcPr>
          <w:p w14:paraId="1D4BC616">
            <w:pPr>
              <w:widowControl w:val="0"/>
              <w:jc w:val="center"/>
              <w:rPr>
                <w:color w:val="auto"/>
                <w:sz w:val="22"/>
                <w:szCs w:val="22"/>
              </w:rPr>
            </w:pPr>
            <w:r>
              <w:rPr>
                <w:color w:val="auto"/>
                <w:sz w:val="22"/>
                <w:szCs w:val="22"/>
              </w:rPr>
              <w:t>0.01</w:t>
            </w:r>
          </w:p>
        </w:tc>
        <w:tc>
          <w:tcPr>
            <w:tcW w:w="1177" w:type="dxa"/>
            <w:vAlign w:val="center"/>
          </w:tcPr>
          <w:p w14:paraId="7EFAF927">
            <w:pPr>
              <w:widowControl w:val="0"/>
              <w:jc w:val="center"/>
              <w:rPr>
                <w:color w:val="auto"/>
                <w:sz w:val="21"/>
                <w:szCs w:val="21"/>
              </w:rPr>
            </w:pPr>
            <w:r>
              <w:rPr>
                <w:color w:val="auto"/>
                <w:sz w:val="21"/>
                <w:szCs w:val="21"/>
              </w:rPr>
              <w:t>0.0000</w:t>
            </w:r>
          </w:p>
        </w:tc>
        <w:tc>
          <w:tcPr>
            <w:tcW w:w="1274" w:type="dxa"/>
            <w:vAlign w:val="center"/>
          </w:tcPr>
          <w:p w14:paraId="7D355216">
            <w:pPr>
              <w:widowControl w:val="0"/>
              <w:jc w:val="center"/>
              <w:rPr>
                <w:color w:val="auto"/>
                <w:sz w:val="21"/>
                <w:szCs w:val="21"/>
              </w:rPr>
            </w:pPr>
            <w:r>
              <w:rPr>
                <w:color w:val="auto"/>
                <w:sz w:val="21"/>
                <w:szCs w:val="21"/>
              </w:rPr>
              <w:t>0.0004</w:t>
            </w:r>
          </w:p>
        </w:tc>
        <w:tc>
          <w:tcPr>
            <w:tcW w:w="946" w:type="dxa"/>
            <w:vMerge w:val="continue"/>
            <w:vAlign w:val="center"/>
          </w:tcPr>
          <w:p w14:paraId="019B1F31">
            <w:pPr>
              <w:widowControl w:val="0"/>
              <w:jc w:val="center"/>
              <w:rPr>
                <w:color w:val="auto"/>
                <w:sz w:val="21"/>
                <w:szCs w:val="21"/>
              </w:rPr>
            </w:pPr>
          </w:p>
        </w:tc>
        <w:tc>
          <w:tcPr>
            <w:tcW w:w="959" w:type="dxa"/>
            <w:vMerge w:val="continue"/>
            <w:vAlign w:val="center"/>
          </w:tcPr>
          <w:p w14:paraId="37083E65">
            <w:pPr>
              <w:widowControl w:val="0"/>
              <w:jc w:val="center"/>
              <w:rPr>
                <w:color w:val="auto"/>
                <w:sz w:val="21"/>
                <w:szCs w:val="21"/>
              </w:rPr>
            </w:pPr>
          </w:p>
        </w:tc>
        <w:tc>
          <w:tcPr>
            <w:tcW w:w="759" w:type="dxa"/>
            <w:vMerge w:val="continue"/>
            <w:vAlign w:val="center"/>
          </w:tcPr>
          <w:p w14:paraId="524E66E2">
            <w:pPr>
              <w:widowControl w:val="0"/>
              <w:jc w:val="center"/>
              <w:rPr>
                <w:color w:val="auto"/>
                <w:sz w:val="21"/>
                <w:szCs w:val="21"/>
              </w:rPr>
            </w:pPr>
          </w:p>
        </w:tc>
        <w:tc>
          <w:tcPr>
            <w:tcW w:w="699" w:type="dxa"/>
            <w:vMerge w:val="continue"/>
            <w:vAlign w:val="center"/>
          </w:tcPr>
          <w:p w14:paraId="24CDC844">
            <w:pPr>
              <w:widowControl w:val="0"/>
              <w:jc w:val="center"/>
              <w:rPr>
                <w:color w:val="auto"/>
                <w:sz w:val="21"/>
                <w:szCs w:val="21"/>
              </w:rPr>
            </w:pPr>
          </w:p>
        </w:tc>
        <w:tc>
          <w:tcPr>
            <w:tcW w:w="1538" w:type="dxa"/>
            <w:vMerge w:val="continue"/>
            <w:vAlign w:val="center"/>
          </w:tcPr>
          <w:p w14:paraId="05889C38">
            <w:pPr>
              <w:widowControl w:val="0"/>
              <w:jc w:val="center"/>
              <w:rPr>
                <w:color w:val="auto"/>
                <w:sz w:val="21"/>
                <w:szCs w:val="21"/>
              </w:rPr>
            </w:pPr>
          </w:p>
        </w:tc>
      </w:tr>
      <w:tr w14:paraId="006941D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28B71798">
            <w:pPr>
              <w:widowControl w:val="0"/>
              <w:jc w:val="center"/>
              <w:rPr>
                <w:color w:val="auto"/>
                <w:sz w:val="21"/>
                <w:szCs w:val="21"/>
              </w:rPr>
            </w:pPr>
          </w:p>
        </w:tc>
        <w:tc>
          <w:tcPr>
            <w:tcW w:w="1540" w:type="dxa"/>
            <w:vMerge w:val="continue"/>
            <w:vAlign w:val="center"/>
          </w:tcPr>
          <w:p w14:paraId="1310F3E5">
            <w:pPr>
              <w:widowControl w:val="0"/>
              <w:jc w:val="center"/>
              <w:rPr>
                <w:color w:val="auto"/>
                <w:sz w:val="21"/>
                <w:szCs w:val="21"/>
              </w:rPr>
            </w:pPr>
          </w:p>
        </w:tc>
        <w:tc>
          <w:tcPr>
            <w:tcW w:w="1358" w:type="dxa"/>
            <w:vAlign w:val="center"/>
          </w:tcPr>
          <w:p w14:paraId="0C694B39">
            <w:pPr>
              <w:widowControl w:val="0"/>
              <w:jc w:val="center"/>
              <w:rPr>
                <w:color w:val="auto"/>
                <w:sz w:val="21"/>
                <w:szCs w:val="21"/>
              </w:rPr>
            </w:pPr>
            <w:r>
              <w:rPr>
                <w:color w:val="auto"/>
                <w:sz w:val="21"/>
                <w:szCs w:val="21"/>
              </w:rPr>
              <w:t>镍及其化合物</w:t>
            </w:r>
          </w:p>
        </w:tc>
        <w:tc>
          <w:tcPr>
            <w:tcW w:w="1470" w:type="dxa"/>
            <w:vAlign w:val="center"/>
          </w:tcPr>
          <w:p w14:paraId="3E777192">
            <w:pPr>
              <w:widowControl w:val="0"/>
              <w:jc w:val="center"/>
              <w:rPr>
                <w:color w:val="auto"/>
                <w:sz w:val="21"/>
                <w:szCs w:val="21"/>
              </w:rPr>
            </w:pPr>
            <w:r>
              <w:rPr>
                <w:color w:val="auto"/>
                <w:sz w:val="21"/>
                <w:szCs w:val="21"/>
              </w:rPr>
              <w:t>物料衡算法</w:t>
            </w:r>
          </w:p>
        </w:tc>
        <w:tc>
          <w:tcPr>
            <w:tcW w:w="1133" w:type="dxa"/>
            <w:vMerge w:val="continue"/>
            <w:vAlign w:val="center"/>
          </w:tcPr>
          <w:p w14:paraId="074CB9CC">
            <w:pPr>
              <w:widowControl w:val="0"/>
              <w:jc w:val="center"/>
              <w:rPr>
                <w:color w:val="auto"/>
                <w:sz w:val="21"/>
                <w:szCs w:val="21"/>
              </w:rPr>
            </w:pPr>
          </w:p>
        </w:tc>
        <w:tc>
          <w:tcPr>
            <w:tcW w:w="1417" w:type="dxa"/>
            <w:vAlign w:val="center"/>
          </w:tcPr>
          <w:p w14:paraId="25806CBA">
            <w:pPr>
              <w:widowControl w:val="0"/>
              <w:jc w:val="center"/>
              <w:rPr>
                <w:color w:val="auto"/>
                <w:sz w:val="22"/>
                <w:szCs w:val="22"/>
              </w:rPr>
            </w:pPr>
            <w:r>
              <w:rPr>
                <w:color w:val="auto"/>
                <w:sz w:val="22"/>
                <w:szCs w:val="22"/>
              </w:rPr>
              <w:t>5.10</w:t>
            </w:r>
          </w:p>
        </w:tc>
        <w:tc>
          <w:tcPr>
            <w:tcW w:w="1275" w:type="dxa"/>
            <w:vAlign w:val="center"/>
          </w:tcPr>
          <w:p w14:paraId="4AD7D617">
            <w:pPr>
              <w:widowControl w:val="0"/>
              <w:jc w:val="center"/>
              <w:rPr>
                <w:color w:val="auto"/>
                <w:sz w:val="21"/>
                <w:szCs w:val="21"/>
              </w:rPr>
            </w:pPr>
            <w:r>
              <w:rPr>
                <w:color w:val="auto"/>
                <w:sz w:val="21"/>
                <w:szCs w:val="21"/>
              </w:rPr>
              <w:t>0.03</w:t>
            </w:r>
          </w:p>
        </w:tc>
        <w:tc>
          <w:tcPr>
            <w:tcW w:w="1133" w:type="dxa"/>
            <w:vAlign w:val="center"/>
          </w:tcPr>
          <w:p w14:paraId="553D04E0">
            <w:pPr>
              <w:widowControl w:val="0"/>
              <w:jc w:val="center"/>
              <w:rPr>
                <w:color w:val="auto"/>
                <w:sz w:val="21"/>
                <w:szCs w:val="21"/>
              </w:rPr>
            </w:pPr>
            <w:r>
              <w:rPr>
                <w:color w:val="auto"/>
                <w:sz w:val="21"/>
                <w:szCs w:val="21"/>
              </w:rPr>
              <w:t>0.2</w:t>
            </w:r>
          </w:p>
        </w:tc>
        <w:tc>
          <w:tcPr>
            <w:tcW w:w="1523" w:type="dxa"/>
            <w:vMerge w:val="continue"/>
            <w:vAlign w:val="center"/>
          </w:tcPr>
          <w:p w14:paraId="20F0DB05">
            <w:pPr>
              <w:widowControl w:val="0"/>
              <w:jc w:val="center"/>
              <w:rPr>
                <w:color w:val="auto"/>
                <w:sz w:val="21"/>
                <w:szCs w:val="21"/>
              </w:rPr>
            </w:pPr>
          </w:p>
        </w:tc>
        <w:tc>
          <w:tcPr>
            <w:tcW w:w="1025" w:type="dxa"/>
            <w:vAlign w:val="center"/>
          </w:tcPr>
          <w:p w14:paraId="530F19E5">
            <w:pPr>
              <w:widowControl w:val="0"/>
              <w:jc w:val="center"/>
              <w:rPr>
                <w:color w:val="auto"/>
                <w:sz w:val="21"/>
                <w:szCs w:val="21"/>
              </w:rPr>
            </w:pPr>
            <w:r>
              <w:rPr>
                <w:color w:val="auto"/>
                <w:sz w:val="21"/>
                <w:szCs w:val="21"/>
              </w:rPr>
              <w:t>99.8%</w:t>
            </w:r>
          </w:p>
        </w:tc>
        <w:tc>
          <w:tcPr>
            <w:tcW w:w="1373" w:type="dxa"/>
            <w:vAlign w:val="center"/>
          </w:tcPr>
          <w:p w14:paraId="0561402F">
            <w:pPr>
              <w:widowControl w:val="0"/>
              <w:jc w:val="center"/>
              <w:rPr>
                <w:color w:val="auto"/>
                <w:sz w:val="22"/>
                <w:szCs w:val="22"/>
              </w:rPr>
            </w:pPr>
            <w:r>
              <w:rPr>
                <w:color w:val="auto"/>
                <w:sz w:val="22"/>
                <w:szCs w:val="22"/>
              </w:rPr>
              <w:t>0.01</w:t>
            </w:r>
          </w:p>
        </w:tc>
        <w:tc>
          <w:tcPr>
            <w:tcW w:w="1177" w:type="dxa"/>
            <w:vAlign w:val="center"/>
          </w:tcPr>
          <w:p w14:paraId="7EE80451">
            <w:pPr>
              <w:widowControl w:val="0"/>
              <w:jc w:val="center"/>
              <w:rPr>
                <w:color w:val="auto"/>
                <w:sz w:val="21"/>
                <w:szCs w:val="21"/>
              </w:rPr>
            </w:pPr>
            <w:r>
              <w:rPr>
                <w:color w:val="auto"/>
                <w:sz w:val="21"/>
                <w:szCs w:val="21"/>
              </w:rPr>
              <w:t>0.0001</w:t>
            </w:r>
          </w:p>
        </w:tc>
        <w:tc>
          <w:tcPr>
            <w:tcW w:w="1274" w:type="dxa"/>
            <w:vAlign w:val="center"/>
          </w:tcPr>
          <w:p w14:paraId="25FA8EF0">
            <w:pPr>
              <w:widowControl w:val="0"/>
              <w:jc w:val="center"/>
              <w:rPr>
                <w:color w:val="auto"/>
                <w:sz w:val="21"/>
                <w:szCs w:val="21"/>
              </w:rPr>
            </w:pPr>
            <w:r>
              <w:rPr>
                <w:color w:val="auto"/>
                <w:sz w:val="21"/>
                <w:szCs w:val="21"/>
              </w:rPr>
              <w:t>0.0005</w:t>
            </w:r>
          </w:p>
        </w:tc>
        <w:tc>
          <w:tcPr>
            <w:tcW w:w="946" w:type="dxa"/>
            <w:vMerge w:val="continue"/>
            <w:vAlign w:val="center"/>
          </w:tcPr>
          <w:p w14:paraId="184A5C3D">
            <w:pPr>
              <w:widowControl w:val="0"/>
              <w:jc w:val="center"/>
              <w:rPr>
                <w:color w:val="auto"/>
                <w:sz w:val="21"/>
                <w:szCs w:val="21"/>
              </w:rPr>
            </w:pPr>
          </w:p>
        </w:tc>
        <w:tc>
          <w:tcPr>
            <w:tcW w:w="959" w:type="dxa"/>
            <w:vMerge w:val="continue"/>
            <w:vAlign w:val="center"/>
          </w:tcPr>
          <w:p w14:paraId="77C15BD6">
            <w:pPr>
              <w:widowControl w:val="0"/>
              <w:jc w:val="center"/>
              <w:rPr>
                <w:color w:val="auto"/>
                <w:sz w:val="21"/>
                <w:szCs w:val="21"/>
              </w:rPr>
            </w:pPr>
          </w:p>
        </w:tc>
        <w:tc>
          <w:tcPr>
            <w:tcW w:w="759" w:type="dxa"/>
            <w:vMerge w:val="continue"/>
            <w:vAlign w:val="center"/>
          </w:tcPr>
          <w:p w14:paraId="4FED0C1D">
            <w:pPr>
              <w:widowControl w:val="0"/>
              <w:jc w:val="center"/>
              <w:rPr>
                <w:color w:val="auto"/>
                <w:sz w:val="21"/>
                <w:szCs w:val="21"/>
              </w:rPr>
            </w:pPr>
          </w:p>
        </w:tc>
        <w:tc>
          <w:tcPr>
            <w:tcW w:w="699" w:type="dxa"/>
            <w:vMerge w:val="continue"/>
            <w:vAlign w:val="center"/>
          </w:tcPr>
          <w:p w14:paraId="53F6999D">
            <w:pPr>
              <w:widowControl w:val="0"/>
              <w:jc w:val="center"/>
              <w:rPr>
                <w:color w:val="auto"/>
                <w:sz w:val="21"/>
                <w:szCs w:val="21"/>
              </w:rPr>
            </w:pPr>
          </w:p>
        </w:tc>
        <w:tc>
          <w:tcPr>
            <w:tcW w:w="1538" w:type="dxa"/>
            <w:vMerge w:val="continue"/>
            <w:vAlign w:val="center"/>
          </w:tcPr>
          <w:p w14:paraId="366FF726">
            <w:pPr>
              <w:widowControl w:val="0"/>
              <w:jc w:val="center"/>
              <w:rPr>
                <w:color w:val="auto"/>
                <w:sz w:val="21"/>
                <w:szCs w:val="21"/>
              </w:rPr>
            </w:pPr>
          </w:p>
        </w:tc>
      </w:tr>
      <w:tr w14:paraId="7F977F9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611001E3">
            <w:pPr>
              <w:widowControl w:val="0"/>
              <w:jc w:val="center"/>
              <w:rPr>
                <w:color w:val="auto"/>
                <w:sz w:val="21"/>
                <w:szCs w:val="21"/>
              </w:rPr>
            </w:pPr>
          </w:p>
        </w:tc>
        <w:tc>
          <w:tcPr>
            <w:tcW w:w="1540" w:type="dxa"/>
            <w:vMerge w:val="continue"/>
            <w:vAlign w:val="center"/>
          </w:tcPr>
          <w:p w14:paraId="3E255C6D">
            <w:pPr>
              <w:widowControl w:val="0"/>
              <w:jc w:val="center"/>
              <w:rPr>
                <w:color w:val="auto"/>
                <w:sz w:val="21"/>
                <w:szCs w:val="21"/>
              </w:rPr>
            </w:pPr>
          </w:p>
        </w:tc>
        <w:tc>
          <w:tcPr>
            <w:tcW w:w="1358" w:type="dxa"/>
            <w:vAlign w:val="center"/>
          </w:tcPr>
          <w:p w14:paraId="3A57863C">
            <w:pPr>
              <w:widowControl w:val="0"/>
              <w:jc w:val="center"/>
              <w:rPr>
                <w:color w:val="auto"/>
                <w:sz w:val="21"/>
                <w:szCs w:val="21"/>
              </w:rPr>
            </w:pPr>
            <w:r>
              <w:rPr>
                <w:color w:val="auto"/>
                <w:sz w:val="21"/>
                <w:szCs w:val="21"/>
              </w:rPr>
              <w:t>锰及其化合物</w:t>
            </w:r>
          </w:p>
        </w:tc>
        <w:tc>
          <w:tcPr>
            <w:tcW w:w="1470" w:type="dxa"/>
            <w:vAlign w:val="center"/>
          </w:tcPr>
          <w:p w14:paraId="4AC56DF5">
            <w:pPr>
              <w:widowControl w:val="0"/>
              <w:jc w:val="center"/>
              <w:rPr>
                <w:color w:val="auto"/>
                <w:sz w:val="21"/>
                <w:szCs w:val="21"/>
              </w:rPr>
            </w:pPr>
            <w:r>
              <w:rPr>
                <w:color w:val="auto"/>
                <w:sz w:val="21"/>
                <w:szCs w:val="21"/>
              </w:rPr>
              <w:t>物料衡算法</w:t>
            </w:r>
          </w:p>
        </w:tc>
        <w:tc>
          <w:tcPr>
            <w:tcW w:w="1133" w:type="dxa"/>
            <w:vMerge w:val="continue"/>
            <w:vAlign w:val="center"/>
          </w:tcPr>
          <w:p w14:paraId="131838C2">
            <w:pPr>
              <w:widowControl w:val="0"/>
              <w:jc w:val="center"/>
              <w:rPr>
                <w:color w:val="auto"/>
                <w:sz w:val="21"/>
                <w:szCs w:val="21"/>
              </w:rPr>
            </w:pPr>
          </w:p>
        </w:tc>
        <w:tc>
          <w:tcPr>
            <w:tcW w:w="1417" w:type="dxa"/>
            <w:vAlign w:val="center"/>
          </w:tcPr>
          <w:p w14:paraId="23461B68">
            <w:pPr>
              <w:widowControl w:val="0"/>
              <w:jc w:val="center"/>
              <w:rPr>
                <w:color w:val="auto"/>
                <w:sz w:val="22"/>
                <w:szCs w:val="22"/>
              </w:rPr>
            </w:pPr>
            <w:r>
              <w:rPr>
                <w:color w:val="auto"/>
                <w:sz w:val="22"/>
                <w:szCs w:val="22"/>
              </w:rPr>
              <w:t>10.05</w:t>
            </w:r>
          </w:p>
        </w:tc>
        <w:tc>
          <w:tcPr>
            <w:tcW w:w="1275" w:type="dxa"/>
            <w:vAlign w:val="center"/>
          </w:tcPr>
          <w:p w14:paraId="53962FB5">
            <w:pPr>
              <w:widowControl w:val="0"/>
              <w:jc w:val="center"/>
              <w:rPr>
                <w:color w:val="auto"/>
                <w:sz w:val="21"/>
                <w:szCs w:val="21"/>
              </w:rPr>
            </w:pPr>
            <w:r>
              <w:rPr>
                <w:color w:val="auto"/>
                <w:sz w:val="21"/>
                <w:szCs w:val="21"/>
              </w:rPr>
              <w:t>0.06</w:t>
            </w:r>
          </w:p>
        </w:tc>
        <w:tc>
          <w:tcPr>
            <w:tcW w:w="1133" w:type="dxa"/>
            <w:vAlign w:val="center"/>
          </w:tcPr>
          <w:p w14:paraId="43B1252B">
            <w:pPr>
              <w:widowControl w:val="0"/>
              <w:jc w:val="center"/>
              <w:rPr>
                <w:color w:val="auto"/>
                <w:sz w:val="21"/>
                <w:szCs w:val="21"/>
              </w:rPr>
            </w:pPr>
            <w:r>
              <w:rPr>
                <w:color w:val="auto"/>
                <w:sz w:val="21"/>
                <w:szCs w:val="21"/>
              </w:rPr>
              <w:t>0.5</w:t>
            </w:r>
          </w:p>
        </w:tc>
        <w:tc>
          <w:tcPr>
            <w:tcW w:w="1523" w:type="dxa"/>
            <w:vMerge w:val="continue"/>
            <w:vAlign w:val="center"/>
          </w:tcPr>
          <w:p w14:paraId="7DEBCA78">
            <w:pPr>
              <w:widowControl w:val="0"/>
              <w:jc w:val="center"/>
              <w:rPr>
                <w:color w:val="auto"/>
                <w:sz w:val="21"/>
                <w:szCs w:val="21"/>
              </w:rPr>
            </w:pPr>
          </w:p>
        </w:tc>
        <w:tc>
          <w:tcPr>
            <w:tcW w:w="1025" w:type="dxa"/>
            <w:vAlign w:val="center"/>
          </w:tcPr>
          <w:p w14:paraId="59C3545B">
            <w:pPr>
              <w:widowControl w:val="0"/>
              <w:jc w:val="center"/>
              <w:rPr>
                <w:color w:val="auto"/>
                <w:sz w:val="21"/>
                <w:szCs w:val="21"/>
              </w:rPr>
            </w:pPr>
            <w:r>
              <w:rPr>
                <w:color w:val="auto"/>
                <w:sz w:val="21"/>
                <w:szCs w:val="21"/>
              </w:rPr>
              <w:t>99.8%</w:t>
            </w:r>
          </w:p>
        </w:tc>
        <w:tc>
          <w:tcPr>
            <w:tcW w:w="1373" w:type="dxa"/>
            <w:vAlign w:val="center"/>
          </w:tcPr>
          <w:p w14:paraId="3587FD27">
            <w:pPr>
              <w:widowControl w:val="0"/>
              <w:jc w:val="center"/>
              <w:rPr>
                <w:color w:val="auto"/>
                <w:sz w:val="22"/>
                <w:szCs w:val="22"/>
              </w:rPr>
            </w:pPr>
            <w:r>
              <w:rPr>
                <w:color w:val="auto"/>
                <w:sz w:val="22"/>
                <w:szCs w:val="22"/>
              </w:rPr>
              <w:t>0.02</w:t>
            </w:r>
          </w:p>
        </w:tc>
        <w:tc>
          <w:tcPr>
            <w:tcW w:w="1177" w:type="dxa"/>
            <w:vAlign w:val="center"/>
          </w:tcPr>
          <w:p w14:paraId="3D078FB1">
            <w:pPr>
              <w:widowControl w:val="0"/>
              <w:jc w:val="center"/>
              <w:rPr>
                <w:color w:val="auto"/>
                <w:sz w:val="21"/>
                <w:szCs w:val="21"/>
              </w:rPr>
            </w:pPr>
            <w:r>
              <w:rPr>
                <w:color w:val="auto"/>
                <w:sz w:val="21"/>
                <w:szCs w:val="21"/>
              </w:rPr>
              <w:t>0.0001</w:t>
            </w:r>
          </w:p>
        </w:tc>
        <w:tc>
          <w:tcPr>
            <w:tcW w:w="1274" w:type="dxa"/>
            <w:vAlign w:val="center"/>
          </w:tcPr>
          <w:p w14:paraId="662060ED">
            <w:pPr>
              <w:widowControl w:val="0"/>
              <w:jc w:val="center"/>
              <w:rPr>
                <w:color w:val="auto"/>
                <w:sz w:val="21"/>
                <w:szCs w:val="21"/>
              </w:rPr>
            </w:pPr>
            <w:r>
              <w:rPr>
                <w:color w:val="auto"/>
                <w:sz w:val="21"/>
                <w:szCs w:val="21"/>
              </w:rPr>
              <w:t>0.0009</w:t>
            </w:r>
          </w:p>
        </w:tc>
        <w:tc>
          <w:tcPr>
            <w:tcW w:w="946" w:type="dxa"/>
            <w:vMerge w:val="continue"/>
            <w:vAlign w:val="center"/>
          </w:tcPr>
          <w:p w14:paraId="033345F5">
            <w:pPr>
              <w:widowControl w:val="0"/>
              <w:jc w:val="center"/>
              <w:rPr>
                <w:color w:val="auto"/>
                <w:sz w:val="21"/>
                <w:szCs w:val="21"/>
              </w:rPr>
            </w:pPr>
          </w:p>
        </w:tc>
        <w:tc>
          <w:tcPr>
            <w:tcW w:w="959" w:type="dxa"/>
            <w:vMerge w:val="continue"/>
            <w:vAlign w:val="center"/>
          </w:tcPr>
          <w:p w14:paraId="610F8405">
            <w:pPr>
              <w:widowControl w:val="0"/>
              <w:jc w:val="center"/>
              <w:rPr>
                <w:color w:val="auto"/>
                <w:sz w:val="21"/>
                <w:szCs w:val="21"/>
              </w:rPr>
            </w:pPr>
          </w:p>
        </w:tc>
        <w:tc>
          <w:tcPr>
            <w:tcW w:w="759" w:type="dxa"/>
            <w:vMerge w:val="continue"/>
            <w:vAlign w:val="center"/>
          </w:tcPr>
          <w:p w14:paraId="2B48A09E">
            <w:pPr>
              <w:widowControl w:val="0"/>
              <w:jc w:val="center"/>
              <w:rPr>
                <w:color w:val="auto"/>
                <w:sz w:val="21"/>
                <w:szCs w:val="21"/>
              </w:rPr>
            </w:pPr>
          </w:p>
        </w:tc>
        <w:tc>
          <w:tcPr>
            <w:tcW w:w="699" w:type="dxa"/>
            <w:vMerge w:val="continue"/>
            <w:vAlign w:val="center"/>
          </w:tcPr>
          <w:p w14:paraId="1C468DFD">
            <w:pPr>
              <w:widowControl w:val="0"/>
              <w:jc w:val="center"/>
              <w:rPr>
                <w:color w:val="auto"/>
                <w:sz w:val="21"/>
                <w:szCs w:val="21"/>
              </w:rPr>
            </w:pPr>
          </w:p>
        </w:tc>
        <w:tc>
          <w:tcPr>
            <w:tcW w:w="1538" w:type="dxa"/>
            <w:vMerge w:val="continue"/>
            <w:vAlign w:val="center"/>
          </w:tcPr>
          <w:p w14:paraId="59C1EC6A">
            <w:pPr>
              <w:widowControl w:val="0"/>
              <w:jc w:val="center"/>
              <w:rPr>
                <w:color w:val="auto"/>
                <w:sz w:val="21"/>
                <w:szCs w:val="21"/>
              </w:rPr>
            </w:pPr>
          </w:p>
        </w:tc>
      </w:tr>
      <w:tr w14:paraId="77198DF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72079375">
            <w:pPr>
              <w:widowControl w:val="0"/>
              <w:jc w:val="center"/>
              <w:rPr>
                <w:color w:val="auto"/>
                <w:sz w:val="21"/>
                <w:szCs w:val="21"/>
              </w:rPr>
            </w:pPr>
          </w:p>
        </w:tc>
        <w:tc>
          <w:tcPr>
            <w:tcW w:w="1540" w:type="dxa"/>
            <w:vMerge w:val="continue"/>
            <w:vAlign w:val="center"/>
          </w:tcPr>
          <w:p w14:paraId="27B0DF39">
            <w:pPr>
              <w:widowControl w:val="0"/>
              <w:jc w:val="center"/>
              <w:rPr>
                <w:color w:val="auto"/>
                <w:sz w:val="21"/>
                <w:szCs w:val="21"/>
              </w:rPr>
            </w:pPr>
          </w:p>
        </w:tc>
        <w:tc>
          <w:tcPr>
            <w:tcW w:w="1358" w:type="dxa"/>
            <w:vAlign w:val="center"/>
          </w:tcPr>
          <w:p w14:paraId="477060F4">
            <w:pPr>
              <w:widowControl w:val="0"/>
              <w:jc w:val="center"/>
              <w:rPr>
                <w:color w:val="auto"/>
                <w:sz w:val="21"/>
                <w:szCs w:val="21"/>
              </w:rPr>
            </w:pPr>
            <w:r>
              <w:rPr>
                <w:color w:val="auto"/>
                <w:sz w:val="21"/>
                <w:szCs w:val="21"/>
              </w:rPr>
              <w:t>铜及其化合物</w:t>
            </w:r>
          </w:p>
        </w:tc>
        <w:tc>
          <w:tcPr>
            <w:tcW w:w="1470" w:type="dxa"/>
            <w:vAlign w:val="center"/>
          </w:tcPr>
          <w:p w14:paraId="3D4442EA">
            <w:pPr>
              <w:widowControl w:val="0"/>
              <w:jc w:val="center"/>
              <w:rPr>
                <w:color w:val="auto"/>
                <w:sz w:val="21"/>
                <w:szCs w:val="21"/>
              </w:rPr>
            </w:pPr>
            <w:r>
              <w:rPr>
                <w:color w:val="auto"/>
                <w:sz w:val="21"/>
                <w:szCs w:val="21"/>
              </w:rPr>
              <w:t>物料衡算法</w:t>
            </w:r>
          </w:p>
        </w:tc>
        <w:tc>
          <w:tcPr>
            <w:tcW w:w="1133" w:type="dxa"/>
            <w:vMerge w:val="continue"/>
            <w:vAlign w:val="center"/>
          </w:tcPr>
          <w:p w14:paraId="7EC7CF6A">
            <w:pPr>
              <w:widowControl w:val="0"/>
              <w:jc w:val="center"/>
              <w:rPr>
                <w:color w:val="auto"/>
                <w:sz w:val="21"/>
                <w:szCs w:val="21"/>
              </w:rPr>
            </w:pPr>
          </w:p>
        </w:tc>
        <w:tc>
          <w:tcPr>
            <w:tcW w:w="1417" w:type="dxa"/>
            <w:vAlign w:val="center"/>
          </w:tcPr>
          <w:p w14:paraId="526D0F7E">
            <w:pPr>
              <w:widowControl w:val="0"/>
              <w:jc w:val="center"/>
              <w:rPr>
                <w:color w:val="auto"/>
                <w:sz w:val="22"/>
                <w:szCs w:val="22"/>
              </w:rPr>
            </w:pPr>
            <w:r>
              <w:rPr>
                <w:color w:val="auto"/>
                <w:sz w:val="22"/>
                <w:szCs w:val="22"/>
              </w:rPr>
              <w:t>2.55</w:t>
            </w:r>
          </w:p>
        </w:tc>
        <w:tc>
          <w:tcPr>
            <w:tcW w:w="1275" w:type="dxa"/>
            <w:vAlign w:val="center"/>
          </w:tcPr>
          <w:p w14:paraId="3CF82386">
            <w:pPr>
              <w:widowControl w:val="0"/>
              <w:jc w:val="center"/>
              <w:rPr>
                <w:color w:val="auto"/>
                <w:sz w:val="21"/>
                <w:szCs w:val="21"/>
              </w:rPr>
            </w:pPr>
            <w:r>
              <w:rPr>
                <w:color w:val="auto"/>
                <w:sz w:val="21"/>
                <w:szCs w:val="21"/>
              </w:rPr>
              <w:t>0.01</w:t>
            </w:r>
          </w:p>
        </w:tc>
        <w:tc>
          <w:tcPr>
            <w:tcW w:w="1133" w:type="dxa"/>
            <w:vAlign w:val="center"/>
          </w:tcPr>
          <w:p w14:paraId="1677A1DA">
            <w:pPr>
              <w:widowControl w:val="0"/>
              <w:jc w:val="center"/>
              <w:rPr>
                <w:color w:val="auto"/>
                <w:sz w:val="21"/>
                <w:szCs w:val="21"/>
              </w:rPr>
            </w:pPr>
            <w:r>
              <w:rPr>
                <w:color w:val="auto"/>
                <w:sz w:val="21"/>
                <w:szCs w:val="21"/>
              </w:rPr>
              <w:t>0.1</w:t>
            </w:r>
          </w:p>
        </w:tc>
        <w:tc>
          <w:tcPr>
            <w:tcW w:w="1523" w:type="dxa"/>
            <w:vMerge w:val="continue"/>
            <w:vAlign w:val="center"/>
          </w:tcPr>
          <w:p w14:paraId="0688D754">
            <w:pPr>
              <w:widowControl w:val="0"/>
              <w:jc w:val="center"/>
              <w:rPr>
                <w:color w:val="auto"/>
                <w:sz w:val="21"/>
                <w:szCs w:val="21"/>
              </w:rPr>
            </w:pPr>
          </w:p>
        </w:tc>
        <w:tc>
          <w:tcPr>
            <w:tcW w:w="1025" w:type="dxa"/>
            <w:vAlign w:val="center"/>
          </w:tcPr>
          <w:p w14:paraId="4AB96EA8">
            <w:pPr>
              <w:widowControl w:val="0"/>
              <w:jc w:val="center"/>
              <w:rPr>
                <w:color w:val="auto"/>
                <w:sz w:val="21"/>
                <w:szCs w:val="21"/>
              </w:rPr>
            </w:pPr>
            <w:r>
              <w:rPr>
                <w:color w:val="auto"/>
                <w:sz w:val="21"/>
                <w:szCs w:val="21"/>
              </w:rPr>
              <w:t>99.8%</w:t>
            </w:r>
          </w:p>
        </w:tc>
        <w:tc>
          <w:tcPr>
            <w:tcW w:w="1373" w:type="dxa"/>
            <w:vAlign w:val="center"/>
          </w:tcPr>
          <w:p w14:paraId="46D70543">
            <w:pPr>
              <w:widowControl w:val="0"/>
              <w:jc w:val="center"/>
              <w:rPr>
                <w:color w:val="auto"/>
                <w:sz w:val="22"/>
                <w:szCs w:val="22"/>
              </w:rPr>
            </w:pPr>
            <w:r>
              <w:rPr>
                <w:color w:val="auto"/>
                <w:sz w:val="22"/>
                <w:szCs w:val="22"/>
              </w:rPr>
              <w:t>0.01</w:t>
            </w:r>
          </w:p>
        </w:tc>
        <w:tc>
          <w:tcPr>
            <w:tcW w:w="1177" w:type="dxa"/>
            <w:vAlign w:val="center"/>
          </w:tcPr>
          <w:p w14:paraId="41F1BA33">
            <w:pPr>
              <w:widowControl w:val="0"/>
              <w:jc w:val="center"/>
              <w:rPr>
                <w:color w:val="auto"/>
                <w:sz w:val="21"/>
                <w:szCs w:val="21"/>
              </w:rPr>
            </w:pPr>
            <w:r>
              <w:rPr>
                <w:color w:val="auto"/>
                <w:sz w:val="21"/>
                <w:szCs w:val="21"/>
              </w:rPr>
              <w:t>0.0000</w:t>
            </w:r>
          </w:p>
        </w:tc>
        <w:tc>
          <w:tcPr>
            <w:tcW w:w="1274" w:type="dxa"/>
            <w:vAlign w:val="center"/>
          </w:tcPr>
          <w:p w14:paraId="71810EB7">
            <w:pPr>
              <w:widowControl w:val="0"/>
              <w:jc w:val="center"/>
              <w:rPr>
                <w:color w:val="auto"/>
                <w:sz w:val="21"/>
                <w:szCs w:val="21"/>
              </w:rPr>
            </w:pPr>
            <w:r>
              <w:rPr>
                <w:color w:val="auto"/>
                <w:sz w:val="21"/>
                <w:szCs w:val="21"/>
              </w:rPr>
              <w:t>0.0002</w:t>
            </w:r>
          </w:p>
        </w:tc>
        <w:tc>
          <w:tcPr>
            <w:tcW w:w="946" w:type="dxa"/>
            <w:vMerge w:val="continue"/>
            <w:vAlign w:val="center"/>
          </w:tcPr>
          <w:p w14:paraId="7F1E7AA9">
            <w:pPr>
              <w:widowControl w:val="0"/>
              <w:jc w:val="center"/>
              <w:rPr>
                <w:color w:val="auto"/>
                <w:sz w:val="21"/>
                <w:szCs w:val="21"/>
              </w:rPr>
            </w:pPr>
          </w:p>
        </w:tc>
        <w:tc>
          <w:tcPr>
            <w:tcW w:w="959" w:type="dxa"/>
            <w:vMerge w:val="continue"/>
            <w:vAlign w:val="center"/>
          </w:tcPr>
          <w:p w14:paraId="4F54B315">
            <w:pPr>
              <w:widowControl w:val="0"/>
              <w:jc w:val="center"/>
              <w:rPr>
                <w:color w:val="auto"/>
                <w:sz w:val="21"/>
                <w:szCs w:val="21"/>
              </w:rPr>
            </w:pPr>
          </w:p>
        </w:tc>
        <w:tc>
          <w:tcPr>
            <w:tcW w:w="759" w:type="dxa"/>
            <w:vMerge w:val="continue"/>
            <w:vAlign w:val="center"/>
          </w:tcPr>
          <w:p w14:paraId="7F67190C">
            <w:pPr>
              <w:widowControl w:val="0"/>
              <w:jc w:val="center"/>
              <w:rPr>
                <w:color w:val="auto"/>
                <w:sz w:val="21"/>
                <w:szCs w:val="21"/>
              </w:rPr>
            </w:pPr>
          </w:p>
        </w:tc>
        <w:tc>
          <w:tcPr>
            <w:tcW w:w="699" w:type="dxa"/>
            <w:vMerge w:val="continue"/>
            <w:vAlign w:val="center"/>
          </w:tcPr>
          <w:p w14:paraId="3138DB32">
            <w:pPr>
              <w:widowControl w:val="0"/>
              <w:jc w:val="center"/>
              <w:rPr>
                <w:color w:val="auto"/>
                <w:sz w:val="21"/>
                <w:szCs w:val="21"/>
              </w:rPr>
            </w:pPr>
          </w:p>
        </w:tc>
        <w:tc>
          <w:tcPr>
            <w:tcW w:w="1538" w:type="dxa"/>
            <w:vMerge w:val="continue"/>
            <w:vAlign w:val="center"/>
          </w:tcPr>
          <w:p w14:paraId="6D3DCE20">
            <w:pPr>
              <w:widowControl w:val="0"/>
              <w:jc w:val="center"/>
              <w:rPr>
                <w:color w:val="auto"/>
                <w:sz w:val="21"/>
                <w:szCs w:val="21"/>
              </w:rPr>
            </w:pPr>
          </w:p>
        </w:tc>
      </w:tr>
      <w:tr w14:paraId="24B37B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2A68561C">
            <w:pPr>
              <w:widowControl w:val="0"/>
              <w:jc w:val="center"/>
              <w:rPr>
                <w:color w:val="auto"/>
                <w:sz w:val="21"/>
                <w:szCs w:val="21"/>
              </w:rPr>
            </w:pPr>
          </w:p>
        </w:tc>
        <w:tc>
          <w:tcPr>
            <w:tcW w:w="1540" w:type="dxa"/>
            <w:vMerge w:val="continue"/>
            <w:vAlign w:val="center"/>
          </w:tcPr>
          <w:p w14:paraId="7FBC431D">
            <w:pPr>
              <w:widowControl w:val="0"/>
              <w:jc w:val="center"/>
              <w:rPr>
                <w:color w:val="auto"/>
                <w:sz w:val="21"/>
                <w:szCs w:val="21"/>
              </w:rPr>
            </w:pPr>
          </w:p>
        </w:tc>
        <w:tc>
          <w:tcPr>
            <w:tcW w:w="1358" w:type="dxa"/>
            <w:vAlign w:val="center"/>
          </w:tcPr>
          <w:p w14:paraId="7467B2A8">
            <w:pPr>
              <w:widowControl w:val="0"/>
              <w:jc w:val="center"/>
              <w:rPr>
                <w:color w:val="auto"/>
                <w:sz w:val="21"/>
                <w:szCs w:val="21"/>
              </w:rPr>
            </w:pPr>
            <w:r>
              <w:rPr>
                <w:color w:val="auto"/>
                <w:sz w:val="21"/>
                <w:szCs w:val="21"/>
              </w:rPr>
              <w:t>锆及其化合物</w:t>
            </w:r>
          </w:p>
        </w:tc>
        <w:tc>
          <w:tcPr>
            <w:tcW w:w="1470" w:type="dxa"/>
            <w:vAlign w:val="center"/>
          </w:tcPr>
          <w:p w14:paraId="493DD270">
            <w:pPr>
              <w:widowControl w:val="0"/>
              <w:jc w:val="center"/>
              <w:rPr>
                <w:color w:val="auto"/>
                <w:sz w:val="21"/>
                <w:szCs w:val="21"/>
              </w:rPr>
            </w:pPr>
            <w:r>
              <w:rPr>
                <w:color w:val="auto"/>
                <w:sz w:val="21"/>
                <w:szCs w:val="21"/>
              </w:rPr>
              <w:t>物料衡算法</w:t>
            </w:r>
          </w:p>
        </w:tc>
        <w:tc>
          <w:tcPr>
            <w:tcW w:w="1133" w:type="dxa"/>
            <w:vMerge w:val="continue"/>
            <w:vAlign w:val="center"/>
          </w:tcPr>
          <w:p w14:paraId="63BEF2D2">
            <w:pPr>
              <w:widowControl w:val="0"/>
              <w:jc w:val="center"/>
              <w:rPr>
                <w:color w:val="auto"/>
                <w:sz w:val="21"/>
                <w:szCs w:val="21"/>
              </w:rPr>
            </w:pPr>
          </w:p>
        </w:tc>
        <w:tc>
          <w:tcPr>
            <w:tcW w:w="1417" w:type="dxa"/>
            <w:vAlign w:val="center"/>
          </w:tcPr>
          <w:p w14:paraId="2F763DDA">
            <w:pPr>
              <w:widowControl w:val="0"/>
              <w:jc w:val="center"/>
              <w:rPr>
                <w:color w:val="auto"/>
                <w:sz w:val="22"/>
                <w:szCs w:val="22"/>
              </w:rPr>
            </w:pPr>
            <w:r>
              <w:rPr>
                <w:color w:val="auto"/>
                <w:sz w:val="22"/>
                <w:szCs w:val="22"/>
              </w:rPr>
              <w:t>4.26</w:t>
            </w:r>
          </w:p>
        </w:tc>
        <w:tc>
          <w:tcPr>
            <w:tcW w:w="1275" w:type="dxa"/>
            <w:vAlign w:val="center"/>
          </w:tcPr>
          <w:p w14:paraId="662FACAF">
            <w:pPr>
              <w:widowControl w:val="0"/>
              <w:jc w:val="center"/>
              <w:rPr>
                <w:color w:val="auto"/>
                <w:sz w:val="21"/>
                <w:szCs w:val="21"/>
              </w:rPr>
            </w:pPr>
            <w:r>
              <w:rPr>
                <w:color w:val="auto"/>
                <w:sz w:val="21"/>
                <w:szCs w:val="21"/>
              </w:rPr>
              <w:t>0.02</w:t>
            </w:r>
          </w:p>
        </w:tc>
        <w:tc>
          <w:tcPr>
            <w:tcW w:w="1133" w:type="dxa"/>
            <w:vAlign w:val="center"/>
          </w:tcPr>
          <w:p w14:paraId="4E00A345">
            <w:pPr>
              <w:widowControl w:val="0"/>
              <w:jc w:val="center"/>
              <w:rPr>
                <w:color w:val="auto"/>
                <w:sz w:val="21"/>
                <w:szCs w:val="21"/>
              </w:rPr>
            </w:pPr>
            <w:r>
              <w:rPr>
                <w:color w:val="auto"/>
                <w:sz w:val="21"/>
                <w:szCs w:val="21"/>
              </w:rPr>
              <w:t>0.2</w:t>
            </w:r>
          </w:p>
        </w:tc>
        <w:tc>
          <w:tcPr>
            <w:tcW w:w="1523" w:type="dxa"/>
            <w:vMerge w:val="continue"/>
            <w:vAlign w:val="center"/>
          </w:tcPr>
          <w:p w14:paraId="098464E9">
            <w:pPr>
              <w:widowControl w:val="0"/>
              <w:jc w:val="center"/>
              <w:rPr>
                <w:color w:val="auto"/>
                <w:sz w:val="21"/>
                <w:szCs w:val="21"/>
              </w:rPr>
            </w:pPr>
          </w:p>
        </w:tc>
        <w:tc>
          <w:tcPr>
            <w:tcW w:w="1025" w:type="dxa"/>
            <w:vAlign w:val="center"/>
          </w:tcPr>
          <w:p w14:paraId="37200621">
            <w:pPr>
              <w:widowControl w:val="0"/>
              <w:jc w:val="center"/>
              <w:rPr>
                <w:color w:val="auto"/>
                <w:sz w:val="21"/>
                <w:szCs w:val="21"/>
              </w:rPr>
            </w:pPr>
            <w:r>
              <w:rPr>
                <w:color w:val="auto"/>
                <w:sz w:val="21"/>
                <w:szCs w:val="21"/>
              </w:rPr>
              <w:t>99.8%</w:t>
            </w:r>
          </w:p>
        </w:tc>
        <w:tc>
          <w:tcPr>
            <w:tcW w:w="1373" w:type="dxa"/>
            <w:vAlign w:val="center"/>
          </w:tcPr>
          <w:p w14:paraId="6297DE67">
            <w:pPr>
              <w:widowControl w:val="0"/>
              <w:jc w:val="center"/>
              <w:rPr>
                <w:color w:val="auto"/>
                <w:sz w:val="22"/>
                <w:szCs w:val="22"/>
              </w:rPr>
            </w:pPr>
            <w:r>
              <w:rPr>
                <w:color w:val="auto"/>
                <w:sz w:val="22"/>
                <w:szCs w:val="22"/>
              </w:rPr>
              <w:t>0.01</w:t>
            </w:r>
          </w:p>
        </w:tc>
        <w:tc>
          <w:tcPr>
            <w:tcW w:w="1177" w:type="dxa"/>
            <w:vAlign w:val="center"/>
          </w:tcPr>
          <w:p w14:paraId="773BFB05">
            <w:pPr>
              <w:widowControl w:val="0"/>
              <w:jc w:val="center"/>
              <w:rPr>
                <w:color w:val="auto"/>
                <w:sz w:val="21"/>
                <w:szCs w:val="21"/>
              </w:rPr>
            </w:pPr>
            <w:r>
              <w:rPr>
                <w:color w:val="auto"/>
                <w:sz w:val="21"/>
                <w:szCs w:val="21"/>
              </w:rPr>
              <w:t>0.0000</w:t>
            </w:r>
          </w:p>
        </w:tc>
        <w:tc>
          <w:tcPr>
            <w:tcW w:w="1274" w:type="dxa"/>
            <w:vAlign w:val="center"/>
          </w:tcPr>
          <w:p w14:paraId="5319D458">
            <w:pPr>
              <w:widowControl w:val="0"/>
              <w:jc w:val="center"/>
              <w:rPr>
                <w:color w:val="auto"/>
                <w:sz w:val="21"/>
                <w:szCs w:val="21"/>
              </w:rPr>
            </w:pPr>
            <w:r>
              <w:rPr>
                <w:color w:val="auto"/>
                <w:sz w:val="21"/>
                <w:szCs w:val="21"/>
              </w:rPr>
              <w:t>0.0004</w:t>
            </w:r>
          </w:p>
        </w:tc>
        <w:tc>
          <w:tcPr>
            <w:tcW w:w="946" w:type="dxa"/>
            <w:vMerge w:val="continue"/>
            <w:vAlign w:val="center"/>
          </w:tcPr>
          <w:p w14:paraId="20F4129B">
            <w:pPr>
              <w:widowControl w:val="0"/>
              <w:jc w:val="center"/>
              <w:rPr>
                <w:color w:val="auto"/>
                <w:sz w:val="21"/>
                <w:szCs w:val="21"/>
              </w:rPr>
            </w:pPr>
          </w:p>
        </w:tc>
        <w:tc>
          <w:tcPr>
            <w:tcW w:w="959" w:type="dxa"/>
            <w:vMerge w:val="continue"/>
            <w:vAlign w:val="center"/>
          </w:tcPr>
          <w:p w14:paraId="4E7A8798">
            <w:pPr>
              <w:widowControl w:val="0"/>
              <w:jc w:val="center"/>
              <w:rPr>
                <w:color w:val="auto"/>
                <w:sz w:val="21"/>
                <w:szCs w:val="21"/>
              </w:rPr>
            </w:pPr>
          </w:p>
        </w:tc>
        <w:tc>
          <w:tcPr>
            <w:tcW w:w="759" w:type="dxa"/>
            <w:vMerge w:val="continue"/>
            <w:vAlign w:val="center"/>
          </w:tcPr>
          <w:p w14:paraId="4DB0B067">
            <w:pPr>
              <w:widowControl w:val="0"/>
              <w:jc w:val="center"/>
              <w:rPr>
                <w:color w:val="auto"/>
                <w:sz w:val="21"/>
                <w:szCs w:val="21"/>
              </w:rPr>
            </w:pPr>
          </w:p>
        </w:tc>
        <w:tc>
          <w:tcPr>
            <w:tcW w:w="699" w:type="dxa"/>
            <w:vMerge w:val="continue"/>
            <w:vAlign w:val="center"/>
          </w:tcPr>
          <w:p w14:paraId="0E6C45A0">
            <w:pPr>
              <w:widowControl w:val="0"/>
              <w:jc w:val="center"/>
              <w:rPr>
                <w:color w:val="auto"/>
                <w:sz w:val="21"/>
                <w:szCs w:val="21"/>
              </w:rPr>
            </w:pPr>
          </w:p>
        </w:tc>
        <w:tc>
          <w:tcPr>
            <w:tcW w:w="1538" w:type="dxa"/>
            <w:vMerge w:val="continue"/>
            <w:vAlign w:val="center"/>
          </w:tcPr>
          <w:p w14:paraId="6AB7B54F">
            <w:pPr>
              <w:widowControl w:val="0"/>
              <w:jc w:val="center"/>
              <w:rPr>
                <w:color w:val="auto"/>
                <w:sz w:val="21"/>
                <w:szCs w:val="21"/>
              </w:rPr>
            </w:pPr>
          </w:p>
        </w:tc>
      </w:tr>
      <w:tr w14:paraId="59314A4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149B9B59">
            <w:pPr>
              <w:widowControl w:val="0"/>
              <w:jc w:val="center"/>
              <w:rPr>
                <w:color w:val="auto"/>
                <w:sz w:val="21"/>
                <w:szCs w:val="21"/>
              </w:rPr>
            </w:pPr>
          </w:p>
        </w:tc>
        <w:tc>
          <w:tcPr>
            <w:tcW w:w="1540" w:type="dxa"/>
            <w:vMerge w:val="continue"/>
            <w:vAlign w:val="center"/>
          </w:tcPr>
          <w:p w14:paraId="30A36B77">
            <w:pPr>
              <w:widowControl w:val="0"/>
              <w:jc w:val="center"/>
              <w:rPr>
                <w:color w:val="auto"/>
                <w:sz w:val="21"/>
                <w:szCs w:val="21"/>
              </w:rPr>
            </w:pPr>
          </w:p>
        </w:tc>
        <w:tc>
          <w:tcPr>
            <w:tcW w:w="1358" w:type="dxa"/>
            <w:vAlign w:val="center"/>
          </w:tcPr>
          <w:p w14:paraId="085E8EAC">
            <w:pPr>
              <w:widowControl w:val="0"/>
              <w:jc w:val="center"/>
              <w:rPr>
                <w:color w:val="auto"/>
                <w:sz w:val="21"/>
                <w:szCs w:val="21"/>
              </w:rPr>
            </w:pPr>
            <w:r>
              <w:rPr>
                <w:color w:val="auto"/>
                <w:sz w:val="21"/>
                <w:szCs w:val="21"/>
              </w:rPr>
              <w:t>NH</w:t>
            </w:r>
            <w:r>
              <w:rPr>
                <w:color w:val="auto"/>
                <w:sz w:val="21"/>
                <w:szCs w:val="21"/>
                <w:vertAlign w:val="subscript"/>
              </w:rPr>
              <w:t>3</w:t>
            </w:r>
          </w:p>
        </w:tc>
        <w:tc>
          <w:tcPr>
            <w:tcW w:w="1470" w:type="dxa"/>
            <w:vAlign w:val="center"/>
          </w:tcPr>
          <w:p w14:paraId="2E94192D">
            <w:pPr>
              <w:widowControl w:val="0"/>
              <w:jc w:val="center"/>
              <w:rPr>
                <w:color w:val="auto"/>
                <w:sz w:val="21"/>
                <w:szCs w:val="21"/>
              </w:rPr>
            </w:pPr>
            <w:r>
              <w:rPr>
                <w:color w:val="auto"/>
                <w:sz w:val="21"/>
                <w:szCs w:val="21"/>
              </w:rPr>
              <w:t>物料衡算法</w:t>
            </w:r>
          </w:p>
        </w:tc>
        <w:tc>
          <w:tcPr>
            <w:tcW w:w="1133" w:type="dxa"/>
            <w:vMerge w:val="continue"/>
            <w:vAlign w:val="center"/>
          </w:tcPr>
          <w:p w14:paraId="0296B223">
            <w:pPr>
              <w:widowControl w:val="0"/>
              <w:jc w:val="center"/>
              <w:rPr>
                <w:color w:val="auto"/>
                <w:sz w:val="21"/>
                <w:szCs w:val="21"/>
              </w:rPr>
            </w:pPr>
          </w:p>
        </w:tc>
        <w:tc>
          <w:tcPr>
            <w:tcW w:w="1417" w:type="dxa"/>
            <w:vAlign w:val="center"/>
          </w:tcPr>
          <w:p w14:paraId="6A3C9392">
            <w:pPr>
              <w:widowControl w:val="0"/>
              <w:jc w:val="center"/>
              <w:rPr>
                <w:color w:val="auto"/>
                <w:sz w:val="22"/>
                <w:szCs w:val="22"/>
              </w:rPr>
            </w:pPr>
            <w:r>
              <w:rPr>
                <w:color w:val="auto"/>
                <w:sz w:val="22"/>
                <w:szCs w:val="22"/>
              </w:rPr>
              <w:t>2.50</w:t>
            </w:r>
          </w:p>
        </w:tc>
        <w:tc>
          <w:tcPr>
            <w:tcW w:w="1275" w:type="dxa"/>
            <w:vAlign w:val="center"/>
          </w:tcPr>
          <w:p w14:paraId="30F64459">
            <w:pPr>
              <w:widowControl w:val="0"/>
              <w:jc w:val="center"/>
              <w:rPr>
                <w:color w:val="auto"/>
                <w:sz w:val="21"/>
                <w:szCs w:val="21"/>
              </w:rPr>
            </w:pPr>
            <w:r>
              <w:rPr>
                <w:color w:val="auto"/>
                <w:sz w:val="21"/>
                <w:szCs w:val="21"/>
              </w:rPr>
              <w:t>0.01</w:t>
            </w:r>
          </w:p>
        </w:tc>
        <w:tc>
          <w:tcPr>
            <w:tcW w:w="1133" w:type="dxa"/>
            <w:vAlign w:val="center"/>
          </w:tcPr>
          <w:p w14:paraId="72A8E1EC">
            <w:pPr>
              <w:widowControl w:val="0"/>
              <w:jc w:val="center"/>
              <w:rPr>
                <w:color w:val="auto"/>
                <w:sz w:val="21"/>
                <w:szCs w:val="21"/>
              </w:rPr>
            </w:pPr>
            <w:r>
              <w:rPr>
                <w:color w:val="auto"/>
                <w:sz w:val="21"/>
                <w:szCs w:val="21"/>
              </w:rPr>
              <w:t>0.12</w:t>
            </w:r>
          </w:p>
        </w:tc>
        <w:tc>
          <w:tcPr>
            <w:tcW w:w="1523" w:type="dxa"/>
            <w:vMerge w:val="continue"/>
            <w:vAlign w:val="center"/>
          </w:tcPr>
          <w:p w14:paraId="53F00189">
            <w:pPr>
              <w:widowControl w:val="0"/>
              <w:jc w:val="center"/>
              <w:rPr>
                <w:color w:val="auto"/>
                <w:sz w:val="21"/>
                <w:szCs w:val="21"/>
              </w:rPr>
            </w:pPr>
          </w:p>
        </w:tc>
        <w:tc>
          <w:tcPr>
            <w:tcW w:w="1025" w:type="dxa"/>
            <w:vAlign w:val="center"/>
          </w:tcPr>
          <w:p w14:paraId="3977C6B4">
            <w:pPr>
              <w:widowControl w:val="0"/>
              <w:jc w:val="center"/>
              <w:rPr>
                <w:color w:val="auto"/>
                <w:sz w:val="21"/>
                <w:szCs w:val="21"/>
              </w:rPr>
            </w:pPr>
            <w:r>
              <w:rPr>
                <w:color w:val="auto"/>
                <w:sz w:val="21"/>
                <w:szCs w:val="21"/>
              </w:rPr>
              <w:t>/</w:t>
            </w:r>
          </w:p>
        </w:tc>
        <w:tc>
          <w:tcPr>
            <w:tcW w:w="1373" w:type="dxa"/>
            <w:vAlign w:val="center"/>
          </w:tcPr>
          <w:p w14:paraId="430EAA60">
            <w:pPr>
              <w:widowControl w:val="0"/>
              <w:jc w:val="center"/>
              <w:rPr>
                <w:color w:val="auto"/>
                <w:sz w:val="22"/>
                <w:szCs w:val="22"/>
              </w:rPr>
            </w:pPr>
            <w:r>
              <w:rPr>
                <w:color w:val="auto"/>
                <w:sz w:val="22"/>
                <w:szCs w:val="22"/>
              </w:rPr>
              <w:t>2.50</w:t>
            </w:r>
          </w:p>
        </w:tc>
        <w:tc>
          <w:tcPr>
            <w:tcW w:w="1177" w:type="dxa"/>
            <w:vAlign w:val="center"/>
          </w:tcPr>
          <w:p w14:paraId="24AB0D8D">
            <w:pPr>
              <w:widowControl w:val="0"/>
              <w:jc w:val="center"/>
              <w:rPr>
                <w:color w:val="auto"/>
                <w:sz w:val="21"/>
                <w:szCs w:val="21"/>
              </w:rPr>
            </w:pPr>
            <w:r>
              <w:rPr>
                <w:color w:val="auto"/>
                <w:sz w:val="21"/>
                <w:szCs w:val="21"/>
              </w:rPr>
              <w:t>0.01</w:t>
            </w:r>
          </w:p>
        </w:tc>
        <w:tc>
          <w:tcPr>
            <w:tcW w:w="1274" w:type="dxa"/>
            <w:vAlign w:val="center"/>
          </w:tcPr>
          <w:p w14:paraId="5133AA8C">
            <w:pPr>
              <w:widowControl w:val="0"/>
              <w:jc w:val="center"/>
              <w:rPr>
                <w:color w:val="auto"/>
                <w:sz w:val="21"/>
                <w:szCs w:val="21"/>
              </w:rPr>
            </w:pPr>
            <w:r>
              <w:rPr>
                <w:color w:val="auto"/>
                <w:sz w:val="21"/>
                <w:szCs w:val="21"/>
              </w:rPr>
              <w:t>0.12</w:t>
            </w:r>
          </w:p>
        </w:tc>
        <w:tc>
          <w:tcPr>
            <w:tcW w:w="946" w:type="dxa"/>
            <w:vMerge w:val="continue"/>
            <w:vAlign w:val="center"/>
          </w:tcPr>
          <w:p w14:paraId="46228BE9">
            <w:pPr>
              <w:widowControl w:val="0"/>
              <w:jc w:val="center"/>
              <w:rPr>
                <w:color w:val="auto"/>
                <w:sz w:val="21"/>
                <w:szCs w:val="21"/>
              </w:rPr>
            </w:pPr>
          </w:p>
        </w:tc>
        <w:tc>
          <w:tcPr>
            <w:tcW w:w="959" w:type="dxa"/>
            <w:vMerge w:val="continue"/>
            <w:vAlign w:val="center"/>
          </w:tcPr>
          <w:p w14:paraId="365E3553">
            <w:pPr>
              <w:widowControl w:val="0"/>
              <w:jc w:val="center"/>
              <w:rPr>
                <w:color w:val="auto"/>
                <w:sz w:val="21"/>
                <w:szCs w:val="21"/>
              </w:rPr>
            </w:pPr>
          </w:p>
        </w:tc>
        <w:tc>
          <w:tcPr>
            <w:tcW w:w="759" w:type="dxa"/>
            <w:vMerge w:val="continue"/>
            <w:vAlign w:val="center"/>
          </w:tcPr>
          <w:p w14:paraId="57307629">
            <w:pPr>
              <w:widowControl w:val="0"/>
              <w:jc w:val="center"/>
              <w:rPr>
                <w:color w:val="auto"/>
                <w:sz w:val="21"/>
                <w:szCs w:val="21"/>
              </w:rPr>
            </w:pPr>
          </w:p>
        </w:tc>
        <w:tc>
          <w:tcPr>
            <w:tcW w:w="699" w:type="dxa"/>
            <w:vMerge w:val="continue"/>
            <w:vAlign w:val="center"/>
          </w:tcPr>
          <w:p w14:paraId="7931E7E5">
            <w:pPr>
              <w:widowControl w:val="0"/>
              <w:jc w:val="center"/>
              <w:rPr>
                <w:color w:val="auto"/>
                <w:sz w:val="21"/>
                <w:szCs w:val="21"/>
              </w:rPr>
            </w:pPr>
          </w:p>
        </w:tc>
        <w:tc>
          <w:tcPr>
            <w:tcW w:w="1538" w:type="dxa"/>
            <w:vMerge w:val="continue"/>
            <w:vAlign w:val="center"/>
          </w:tcPr>
          <w:p w14:paraId="0A9A36B4">
            <w:pPr>
              <w:widowControl w:val="0"/>
              <w:jc w:val="center"/>
              <w:rPr>
                <w:color w:val="auto"/>
                <w:sz w:val="21"/>
                <w:szCs w:val="21"/>
              </w:rPr>
            </w:pPr>
          </w:p>
        </w:tc>
      </w:tr>
      <w:tr w14:paraId="57E8EDB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52FAF95B">
            <w:pPr>
              <w:widowControl w:val="0"/>
              <w:jc w:val="center"/>
              <w:rPr>
                <w:color w:val="auto"/>
                <w:sz w:val="21"/>
                <w:szCs w:val="21"/>
              </w:rPr>
            </w:pPr>
          </w:p>
        </w:tc>
        <w:tc>
          <w:tcPr>
            <w:tcW w:w="1540" w:type="dxa"/>
            <w:vMerge w:val="continue"/>
            <w:vAlign w:val="center"/>
          </w:tcPr>
          <w:p w14:paraId="013CEC0F">
            <w:pPr>
              <w:widowControl w:val="0"/>
              <w:jc w:val="center"/>
              <w:rPr>
                <w:color w:val="auto"/>
                <w:sz w:val="21"/>
                <w:szCs w:val="21"/>
              </w:rPr>
            </w:pPr>
          </w:p>
        </w:tc>
        <w:tc>
          <w:tcPr>
            <w:tcW w:w="1358" w:type="dxa"/>
            <w:vAlign w:val="center"/>
          </w:tcPr>
          <w:p w14:paraId="1938A051">
            <w:pPr>
              <w:widowControl w:val="0"/>
              <w:jc w:val="center"/>
              <w:rPr>
                <w:color w:val="auto"/>
                <w:sz w:val="21"/>
                <w:szCs w:val="21"/>
              </w:rPr>
            </w:pPr>
            <w:r>
              <w:rPr>
                <w:color w:val="auto"/>
                <w:sz w:val="21"/>
                <w:szCs w:val="21"/>
              </w:rPr>
              <w:t>NOx</w:t>
            </w:r>
          </w:p>
        </w:tc>
        <w:tc>
          <w:tcPr>
            <w:tcW w:w="1470" w:type="dxa"/>
            <w:vAlign w:val="center"/>
          </w:tcPr>
          <w:p w14:paraId="2C6B04FE">
            <w:pPr>
              <w:widowControl w:val="0"/>
              <w:jc w:val="center"/>
              <w:rPr>
                <w:color w:val="auto"/>
                <w:sz w:val="21"/>
                <w:szCs w:val="21"/>
              </w:rPr>
            </w:pPr>
            <w:r>
              <w:rPr>
                <w:color w:val="auto"/>
                <w:sz w:val="21"/>
                <w:szCs w:val="21"/>
              </w:rPr>
              <w:t xml:space="preserve">物料衡算法 </w:t>
            </w:r>
          </w:p>
        </w:tc>
        <w:tc>
          <w:tcPr>
            <w:tcW w:w="1133" w:type="dxa"/>
            <w:vMerge w:val="continue"/>
            <w:vAlign w:val="center"/>
          </w:tcPr>
          <w:p w14:paraId="20AB40C8">
            <w:pPr>
              <w:widowControl w:val="0"/>
              <w:jc w:val="center"/>
              <w:rPr>
                <w:color w:val="auto"/>
                <w:sz w:val="21"/>
                <w:szCs w:val="21"/>
              </w:rPr>
            </w:pPr>
          </w:p>
        </w:tc>
        <w:tc>
          <w:tcPr>
            <w:tcW w:w="1417" w:type="dxa"/>
            <w:vAlign w:val="center"/>
          </w:tcPr>
          <w:p w14:paraId="64E0F2D6">
            <w:pPr>
              <w:widowControl w:val="0"/>
              <w:jc w:val="center"/>
              <w:rPr>
                <w:color w:val="auto"/>
                <w:sz w:val="22"/>
                <w:szCs w:val="22"/>
              </w:rPr>
            </w:pPr>
            <w:r>
              <w:rPr>
                <w:color w:val="auto"/>
                <w:sz w:val="22"/>
                <w:szCs w:val="22"/>
              </w:rPr>
              <w:t>851.60</w:t>
            </w:r>
          </w:p>
        </w:tc>
        <w:tc>
          <w:tcPr>
            <w:tcW w:w="1275" w:type="dxa"/>
            <w:vAlign w:val="center"/>
          </w:tcPr>
          <w:p w14:paraId="24D0EA73">
            <w:pPr>
              <w:widowControl w:val="0"/>
              <w:jc w:val="center"/>
              <w:rPr>
                <w:color w:val="auto"/>
                <w:sz w:val="21"/>
                <w:szCs w:val="21"/>
              </w:rPr>
            </w:pPr>
            <w:r>
              <w:rPr>
                <w:color w:val="auto"/>
                <w:sz w:val="21"/>
                <w:szCs w:val="21"/>
              </w:rPr>
              <w:t>4.94</w:t>
            </w:r>
          </w:p>
        </w:tc>
        <w:tc>
          <w:tcPr>
            <w:tcW w:w="1133" w:type="dxa"/>
            <w:vAlign w:val="center"/>
          </w:tcPr>
          <w:p w14:paraId="7DBF12BE">
            <w:pPr>
              <w:widowControl w:val="0"/>
              <w:jc w:val="center"/>
              <w:rPr>
                <w:color w:val="auto"/>
                <w:sz w:val="21"/>
                <w:szCs w:val="21"/>
              </w:rPr>
            </w:pPr>
            <w:r>
              <w:rPr>
                <w:color w:val="auto"/>
                <w:sz w:val="21"/>
                <w:szCs w:val="21"/>
              </w:rPr>
              <w:t>39.51</w:t>
            </w:r>
          </w:p>
        </w:tc>
        <w:tc>
          <w:tcPr>
            <w:tcW w:w="1523" w:type="dxa"/>
            <w:vMerge w:val="continue"/>
            <w:vAlign w:val="center"/>
          </w:tcPr>
          <w:p w14:paraId="263F027A">
            <w:pPr>
              <w:widowControl w:val="0"/>
              <w:jc w:val="center"/>
              <w:rPr>
                <w:color w:val="auto"/>
                <w:sz w:val="21"/>
                <w:szCs w:val="21"/>
              </w:rPr>
            </w:pPr>
          </w:p>
        </w:tc>
        <w:tc>
          <w:tcPr>
            <w:tcW w:w="1025" w:type="dxa"/>
            <w:vAlign w:val="center"/>
          </w:tcPr>
          <w:p w14:paraId="5A4EDB1C">
            <w:pPr>
              <w:widowControl w:val="0"/>
              <w:jc w:val="center"/>
              <w:rPr>
                <w:color w:val="auto"/>
                <w:sz w:val="21"/>
                <w:szCs w:val="21"/>
              </w:rPr>
            </w:pPr>
            <w:r>
              <w:rPr>
                <w:color w:val="auto"/>
                <w:sz w:val="21"/>
                <w:szCs w:val="21"/>
              </w:rPr>
              <w:t>92.50%</w:t>
            </w:r>
          </w:p>
        </w:tc>
        <w:tc>
          <w:tcPr>
            <w:tcW w:w="1373" w:type="dxa"/>
            <w:vAlign w:val="center"/>
          </w:tcPr>
          <w:p w14:paraId="1E38A461">
            <w:pPr>
              <w:widowControl w:val="0"/>
              <w:jc w:val="center"/>
              <w:rPr>
                <w:color w:val="auto"/>
                <w:sz w:val="22"/>
                <w:szCs w:val="22"/>
              </w:rPr>
            </w:pPr>
            <w:r>
              <w:rPr>
                <w:color w:val="auto"/>
                <w:sz w:val="22"/>
                <w:szCs w:val="22"/>
              </w:rPr>
              <w:t>63.87</w:t>
            </w:r>
          </w:p>
        </w:tc>
        <w:tc>
          <w:tcPr>
            <w:tcW w:w="1177" w:type="dxa"/>
            <w:vAlign w:val="center"/>
          </w:tcPr>
          <w:p w14:paraId="7E06E398">
            <w:pPr>
              <w:widowControl w:val="0"/>
              <w:jc w:val="center"/>
              <w:rPr>
                <w:color w:val="auto"/>
                <w:sz w:val="21"/>
                <w:szCs w:val="21"/>
              </w:rPr>
            </w:pPr>
            <w:r>
              <w:rPr>
                <w:color w:val="auto"/>
                <w:sz w:val="21"/>
                <w:szCs w:val="21"/>
              </w:rPr>
              <w:t>0.37</w:t>
            </w:r>
          </w:p>
        </w:tc>
        <w:tc>
          <w:tcPr>
            <w:tcW w:w="1274" w:type="dxa"/>
            <w:vAlign w:val="center"/>
          </w:tcPr>
          <w:p w14:paraId="69562D8F">
            <w:pPr>
              <w:widowControl w:val="0"/>
              <w:jc w:val="center"/>
              <w:rPr>
                <w:color w:val="auto"/>
                <w:sz w:val="21"/>
                <w:szCs w:val="21"/>
              </w:rPr>
            </w:pPr>
            <w:r>
              <w:rPr>
                <w:color w:val="auto"/>
                <w:sz w:val="21"/>
                <w:szCs w:val="21"/>
              </w:rPr>
              <w:t>2.964</w:t>
            </w:r>
          </w:p>
        </w:tc>
        <w:tc>
          <w:tcPr>
            <w:tcW w:w="946" w:type="dxa"/>
            <w:vMerge w:val="continue"/>
            <w:vAlign w:val="center"/>
          </w:tcPr>
          <w:p w14:paraId="2A1EC428">
            <w:pPr>
              <w:widowControl w:val="0"/>
              <w:jc w:val="center"/>
              <w:rPr>
                <w:color w:val="auto"/>
                <w:sz w:val="21"/>
                <w:szCs w:val="21"/>
              </w:rPr>
            </w:pPr>
          </w:p>
        </w:tc>
        <w:tc>
          <w:tcPr>
            <w:tcW w:w="959" w:type="dxa"/>
            <w:vMerge w:val="continue"/>
            <w:vAlign w:val="center"/>
          </w:tcPr>
          <w:p w14:paraId="7957FA02">
            <w:pPr>
              <w:widowControl w:val="0"/>
              <w:jc w:val="center"/>
              <w:rPr>
                <w:color w:val="auto"/>
                <w:sz w:val="21"/>
                <w:szCs w:val="21"/>
              </w:rPr>
            </w:pPr>
          </w:p>
        </w:tc>
        <w:tc>
          <w:tcPr>
            <w:tcW w:w="759" w:type="dxa"/>
            <w:vMerge w:val="continue"/>
            <w:vAlign w:val="center"/>
          </w:tcPr>
          <w:p w14:paraId="3F1F29DE">
            <w:pPr>
              <w:widowControl w:val="0"/>
              <w:jc w:val="center"/>
              <w:rPr>
                <w:color w:val="auto"/>
                <w:sz w:val="21"/>
                <w:szCs w:val="21"/>
              </w:rPr>
            </w:pPr>
          </w:p>
        </w:tc>
        <w:tc>
          <w:tcPr>
            <w:tcW w:w="699" w:type="dxa"/>
            <w:vMerge w:val="continue"/>
            <w:vAlign w:val="center"/>
          </w:tcPr>
          <w:p w14:paraId="29960F54">
            <w:pPr>
              <w:widowControl w:val="0"/>
              <w:jc w:val="center"/>
              <w:rPr>
                <w:color w:val="auto"/>
                <w:sz w:val="21"/>
                <w:szCs w:val="21"/>
              </w:rPr>
            </w:pPr>
          </w:p>
        </w:tc>
        <w:tc>
          <w:tcPr>
            <w:tcW w:w="1538" w:type="dxa"/>
            <w:vMerge w:val="continue"/>
            <w:vAlign w:val="center"/>
          </w:tcPr>
          <w:p w14:paraId="7CD6CFA5">
            <w:pPr>
              <w:widowControl w:val="0"/>
              <w:jc w:val="center"/>
              <w:rPr>
                <w:color w:val="auto"/>
                <w:sz w:val="21"/>
                <w:szCs w:val="21"/>
              </w:rPr>
            </w:pPr>
          </w:p>
        </w:tc>
      </w:tr>
      <w:tr w14:paraId="598BE9C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1DF57528">
            <w:pPr>
              <w:widowControl w:val="0"/>
              <w:jc w:val="center"/>
              <w:rPr>
                <w:color w:val="auto"/>
                <w:sz w:val="21"/>
                <w:szCs w:val="21"/>
              </w:rPr>
            </w:pPr>
            <w:r>
              <w:rPr>
                <w:color w:val="auto"/>
                <w:sz w:val="21"/>
                <w:szCs w:val="21"/>
              </w:rPr>
              <w:t>G</w:t>
            </w:r>
            <w:r>
              <w:rPr>
                <w:color w:val="auto"/>
                <w:sz w:val="21"/>
                <w:szCs w:val="21"/>
                <w:vertAlign w:val="subscript"/>
              </w:rPr>
              <w:t>9</w:t>
            </w:r>
            <w:r>
              <w:rPr>
                <w:color w:val="auto"/>
                <w:sz w:val="21"/>
                <w:szCs w:val="21"/>
              </w:rPr>
              <w:t>、G</w:t>
            </w:r>
            <w:r>
              <w:rPr>
                <w:color w:val="auto"/>
                <w:sz w:val="21"/>
                <w:szCs w:val="21"/>
                <w:vertAlign w:val="subscript"/>
              </w:rPr>
              <w:t>16</w:t>
            </w:r>
          </w:p>
        </w:tc>
        <w:tc>
          <w:tcPr>
            <w:tcW w:w="1540" w:type="dxa"/>
            <w:vMerge w:val="restart"/>
            <w:vAlign w:val="center"/>
          </w:tcPr>
          <w:p w14:paraId="6C9C3EEB">
            <w:pPr>
              <w:widowControl w:val="0"/>
              <w:jc w:val="center"/>
              <w:rPr>
                <w:color w:val="auto"/>
                <w:sz w:val="21"/>
                <w:szCs w:val="21"/>
              </w:rPr>
            </w:pPr>
            <w:r>
              <w:rPr>
                <w:color w:val="auto"/>
                <w:sz w:val="21"/>
                <w:szCs w:val="21"/>
              </w:rPr>
              <w:t>混捏、催化剂、载体筛分包装废气</w:t>
            </w:r>
          </w:p>
        </w:tc>
        <w:tc>
          <w:tcPr>
            <w:tcW w:w="1358" w:type="dxa"/>
            <w:vAlign w:val="center"/>
          </w:tcPr>
          <w:p w14:paraId="4126B0D6">
            <w:pPr>
              <w:widowControl w:val="0"/>
              <w:jc w:val="center"/>
              <w:rPr>
                <w:color w:val="auto"/>
                <w:sz w:val="21"/>
                <w:szCs w:val="21"/>
              </w:rPr>
            </w:pPr>
            <w:r>
              <w:rPr>
                <w:color w:val="auto"/>
                <w:sz w:val="21"/>
                <w:szCs w:val="21"/>
              </w:rPr>
              <w:t>颗粒物</w:t>
            </w:r>
          </w:p>
        </w:tc>
        <w:tc>
          <w:tcPr>
            <w:tcW w:w="1470" w:type="dxa"/>
            <w:vAlign w:val="center"/>
          </w:tcPr>
          <w:p w14:paraId="045AD823">
            <w:pPr>
              <w:widowControl w:val="0"/>
              <w:jc w:val="center"/>
              <w:rPr>
                <w:color w:val="auto"/>
                <w:sz w:val="21"/>
                <w:szCs w:val="21"/>
              </w:rPr>
            </w:pPr>
            <w:r>
              <w:rPr>
                <w:color w:val="auto"/>
                <w:sz w:val="21"/>
                <w:szCs w:val="21"/>
              </w:rPr>
              <w:t>类比法</w:t>
            </w:r>
          </w:p>
        </w:tc>
        <w:tc>
          <w:tcPr>
            <w:tcW w:w="1133" w:type="dxa"/>
            <w:vMerge w:val="restart"/>
            <w:vAlign w:val="center"/>
          </w:tcPr>
          <w:p w14:paraId="2C227AC0">
            <w:pPr>
              <w:widowControl w:val="0"/>
              <w:jc w:val="center"/>
              <w:rPr>
                <w:color w:val="auto"/>
                <w:sz w:val="21"/>
                <w:szCs w:val="21"/>
              </w:rPr>
            </w:pPr>
            <w:r>
              <w:rPr>
                <w:color w:val="auto"/>
                <w:sz w:val="21"/>
                <w:szCs w:val="21"/>
              </w:rPr>
              <w:t>3000</w:t>
            </w:r>
          </w:p>
        </w:tc>
        <w:tc>
          <w:tcPr>
            <w:tcW w:w="1417" w:type="dxa"/>
            <w:vAlign w:val="center"/>
          </w:tcPr>
          <w:p w14:paraId="41CBEEE4">
            <w:pPr>
              <w:widowControl w:val="0"/>
              <w:jc w:val="center"/>
              <w:rPr>
                <w:color w:val="auto"/>
                <w:sz w:val="21"/>
                <w:szCs w:val="21"/>
              </w:rPr>
            </w:pPr>
            <w:r>
              <w:rPr>
                <w:color w:val="auto"/>
                <w:sz w:val="21"/>
                <w:szCs w:val="21"/>
              </w:rPr>
              <w:t xml:space="preserve">3181.57 </w:t>
            </w:r>
          </w:p>
        </w:tc>
        <w:tc>
          <w:tcPr>
            <w:tcW w:w="1275" w:type="dxa"/>
            <w:vAlign w:val="center"/>
          </w:tcPr>
          <w:p w14:paraId="4798842F">
            <w:pPr>
              <w:widowControl w:val="0"/>
              <w:jc w:val="center"/>
              <w:rPr>
                <w:color w:val="auto"/>
                <w:sz w:val="21"/>
                <w:szCs w:val="21"/>
              </w:rPr>
            </w:pPr>
            <w:r>
              <w:rPr>
                <w:color w:val="auto"/>
                <w:sz w:val="21"/>
                <w:szCs w:val="21"/>
              </w:rPr>
              <w:t>9.54</w:t>
            </w:r>
          </w:p>
        </w:tc>
        <w:tc>
          <w:tcPr>
            <w:tcW w:w="1133" w:type="dxa"/>
            <w:vAlign w:val="center"/>
          </w:tcPr>
          <w:p w14:paraId="4113D35E">
            <w:pPr>
              <w:widowControl w:val="0"/>
              <w:jc w:val="center"/>
              <w:rPr>
                <w:color w:val="auto"/>
                <w:sz w:val="21"/>
                <w:szCs w:val="21"/>
              </w:rPr>
            </w:pPr>
            <w:r>
              <w:rPr>
                <w:color w:val="auto"/>
                <w:sz w:val="21"/>
                <w:szCs w:val="21"/>
              </w:rPr>
              <w:t>76.36</w:t>
            </w:r>
          </w:p>
        </w:tc>
        <w:tc>
          <w:tcPr>
            <w:tcW w:w="1523" w:type="dxa"/>
            <w:vMerge w:val="restart"/>
            <w:vAlign w:val="center"/>
          </w:tcPr>
          <w:p w14:paraId="30A0A440">
            <w:pPr>
              <w:widowControl w:val="0"/>
              <w:jc w:val="center"/>
              <w:rPr>
                <w:color w:val="auto"/>
                <w:sz w:val="21"/>
                <w:szCs w:val="21"/>
              </w:rPr>
            </w:pPr>
            <w:r>
              <w:rPr>
                <w:color w:val="auto"/>
                <w:sz w:val="21"/>
                <w:szCs w:val="21"/>
              </w:rPr>
              <w:t>布袋除尘</w:t>
            </w:r>
          </w:p>
        </w:tc>
        <w:tc>
          <w:tcPr>
            <w:tcW w:w="1025" w:type="dxa"/>
            <w:vAlign w:val="center"/>
          </w:tcPr>
          <w:p w14:paraId="1DCA02B2">
            <w:pPr>
              <w:widowControl w:val="0"/>
              <w:jc w:val="center"/>
              <w:rPr>
                <w:color w:val="auto"/>
                <w:sz w:val="21"/>
                <w:szCs w:val="21"/>
              </w:rPr>
            </w:pPr>
            <w:r>
              <w:rPr>
                <w:color w:val="auto"/>
                <w:sz w:val="21"/>
                <w:szCs w:val="21"/>
              </w:rPr>
              <w:t>99.8%</w:t>
            </w:r>
          </w:p>
        </w:tc>
        <w:tc>
          <w:tcPr>
            <w:tcW w:w="1373" w:type="dxa"/>
            <w:vAlign w:val="center"/>
          </w:tcPr>
          <w:p w14:paraId="69D6192A">
            <w:pPr>
              <w:widowControl w:val="0"/>
              <w:jc w:val="center"/>
              <w:rPr>
                <w:color w:val="auto"/>
                <w:sz w:val="21"/>
                <w:szCs w:val="21"/>
              </w:rPr>
            </w:pPr>
            <w:r>
              <w:rPr>
                <w:color w:val="auto"/>
                <w:sz w:val="21"/>
                <w:szCs w:val="21"/>
              </w:rPr>
              <w:t xml:space="preserve">6.4 </w:t>
            </w:r>
          </w:p>
        </w:tc>
        <w:tc>
          <w:tcPr>
            <w:tcW w:w="1177" w:type="dxa"/>
            <w:vAlign w:val="center"/>
          </w:tcPr>
          <w:p w14:paraId="55904A6E">
            <w:pPr>
              <w:widowControl w:val="0"/>
              <w:jc w:val="center"/>
              <w:rPr>
                <w:color w:val="auto"/>
                <w:sz w:val="21"/>
                <w:szCs w:val="21"/>
              </w:rPr>
            </w:pPr>
            <w:r>
              <w:rPr>
                <w:color w:val="auto"/>
                <w:sz w:val="21"/>
                <w:szCs w:val="21"/>
              </w:rPr>
              <w:t>0.02</w:t>
            </w:r>
          </w:p>
        </w:tc>
        <w:tc>
          <w:tcPr>
            <w:tcW w:w="1274" w:type="dxa"/>
            <w:vAlign w:val="center"/>
          </w:tcPr>
          <w:p w14:paraId="1B844690">
            <w:pPr>
              <w:widowControl w:val="0"/>
              <w:jc w:val="center"/>
              <w:rPr>
                <w:color w:val="auto"/>
                <w:sz w:val="21"/>
                <w:szCs w:val="21"/>
              </w:rPr>
            </w:pPr>
            <w:r>
              <w:rPr>
                <w:color w:val="auto"/>
                <w:sz w:val="21"/>
                <w:szCs w:val="21"/>
              </w:rPr>
              <w:t>0.1527</w:t>
            </w:r>
          </w:p>
        </w:tc>
        <w:tc>
          <w:tcPr>
            <w:tcW w:w="946" w:type="dxa"/>
            <w:vMerge w:val="restart"/>
            <w:vAlign w:val="center"/>
          </w:tcPr>
          <w:p w14:paraId="3C93CBAB">
            <w:pPr>
              <w:widowControl w:val="0"/>
              <w:jc w:val="center"/>
              <w:rPr>
                <w:color w:val="auto"/>
                <w:sz w:val="21"/>
                <w:szCs w:val="21"/>
              </w:rPr>
            </w:pPr>
            <w:r>
              <w:rPr>
                <w:color w:val="auto"/>
                <w:sz w:val="21"/>
                <w:szCs w:val="21"/>
              </w:rPr>
              <w:t>DA008</w:t>
            </w:r>
          </w:p>
        </w:tc>
        <w:tc>
          <w:tcPr>
            <w:tcW w:w="959" w:type="dxa"/>
            <w:vMerge w:val="restart"/>
            <w:vAlign w:val="center"/>
          </w:tcPr>
          <w:p w14:paraId="0CF9324C">
            <w:pPr>
              <w:widowControl w:val="0"/>
              <w:jc w:val="center"/>
              <w:rPr>
                <w:color w:val="auto"/>
                <w:sz w:val="21"/>
                <w:szCs w:val="21"/>
              </w:rPr>
            </w:pPr>
            <w:r>
              <w:rPr>
                <w:color w:val="auto"/>
                <w:sz w:val="21"/>
                <w:szCs w:val="21"/>
              </w:rPr>
              <w:t>25</w:t>
            </w:r>
          </w:p>
        </w:tc>
        <w:tc>
          <w:tcPr>
            <w:tcW w:w="759" w:type="dxa"/>
            <w:vMerge w:val="restart"/>
            <w:vAlign w:val="center"/>
          </w:tcPr>
          <w:p w14:paraId="4F0B328C">
            <w:pPr>
              <w:widowControl w:val="0"/>
              <w:jc w:val="center"/>
              <w:rPr>
                <w:color w:val="auto"/>
                <w:sz w:val="21"/>
                <w:szCs w:val="21"/>
              </w:rPr>
            </w:pPr>
            <w:r>
              <w:rPr>
                <w:color w:val="auto"/>
                <w:sz w:val="21"/>
                <w:szCs w:val="21"/>
              </w:rPr>
              <w:t>17</w:t>
            </w:r>
          </w:p>
        </w:tc>
        <w:tc>
          <w:tcPr>
            <w:tcW w:w="699" w:type="dxa"/>
            <w:vMerge w:val="restart"/>
            <w:vAlign w:val="center"/>
          </w:tcPr>
          <w:p w14:paraId="7B9F13C0">
            <w:pPr>
              <w:widowControl w:val="0"/>
              <w:jc w:val="center"/>
              <w:rPr>
                <w:color w:val="auto"/>
                <w:sz w:val="21"/>
                <w:szCs w:val="21"/>
              </w:rPr>
            </w:pPr>
            <w:r>
              <w:rPr>
                <w:color w:val="auto"/>
                <w:sz w:val="21"/>
                <w:szCs w:val="21"/>
              </w:rPr>
              <w:t>0.4</w:t>
            </w:r>
          </w:p>
        </w:tc>
        <w:tc>
          <w:tcPr>
            <w:tcW w:w="1538" w:type="dxa"/>
            <w:vMerge w:val="restart"/>
            <w:vAlign w:val="center"/>
          </w:tcPr>
          <w:p w14:paraId="20C5A65C">
            <w:pPr>
              <w:widowControl w:val="0"/>
              <w:jc w:val="center"/>
              <w:rPr>
                <w:color w:val="auto"/>
                <w:sz w:val="21"/>
                <w:szCs w:val="21"/>
              </w:rPr>
            </w:pPr>
            <w:r>
              <w:rPr>
                <w:color w:val="auto"/>
                <w:sz w:val="21"/>
                <w:szCs w:val="21"/>
              </w:rPr>
              <w:t>8000</w:t>
            </w:r>
          </w:p>
        </w:tc>
      </w:tr>
      <w:tr w14:paraId="63F5C1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6793F5F1">
            <w:pPr>
              <w:widowControl w:val="0"/>
              <w:jc w:val="center"/>
              <w:rPr>
                <w:color w:val="auto"/>
                <w:sz w:val="21"/>
                <w:szCs w:val="21"/>
              </w:rPr>
            </w:pPr>
          </w:p>
        </w:tc>
        <w:tc>
          <w:tcPr>
            <w:tcW w:w="1540" w:type="dxa"/>
            <w:vMerge w:val="continue"/>
            <w:vAlign w:val="center"/>
          </w:tcPr>
          <w:p w14:paraId="324F146A">
            <w:pPr>
              <w:widowControl w:val="0"/>
              <w:jc w:val="center"/>
              <w:rPr>
                <w:color w:val="auto"/>
                <w:sz w:val="21"/>
                <w:szCs w:val="21"/>
              </w:rPr>
            </w:pPr>
          </w:p>
        </w:tc>
        <w:tc>
          <w:tcPr>
            <w:tcW w:w="1358" w:type="dxa"/>
            <w:vAlign w:val="center"/>
          </w:tcPr>
          <w:p w14:paraId="1ECEF5A2">
            <w:pPr>
              <w:widowControl w:val="0"/>
              <w:jc w:val="center"/>
              <w:rPr>
                <w:color w:val="auto"/>
                <w:sz w:val="21"/>
                <w:szCs w:val="21"/>
              </w:rPr>
            </w:pPr>
            <w:r>
              <w:rPr>
                <w:color w:val="auto"/>
                <w:sz w:val="21"/>
                <w:szCs w:val="21"/>
              </w:rPr>
              <w:t>钴及其化合物</w:t>
            </w:r>
          </w:p>
        </w:tc>
        <w:tc>
          <w:tcPr>
            <w:tcW w:w="1470" w:type="dxa"/>
            <w:vAlign w:val="center"/>
          </w:tcPr>
          <w:p w14:paraId="04B21A80">
            <w:pPr>
              <w:widowControl w:val="0"/>
              <w:jc w:val="center"/>
              <w:rPr>
                <w:color w:val="auto"/>
                <w:sz w:val="21"/>
                <w:szCs w:val="21"/>
              </w:rPr>
            </w:pPr>
            <w:r>
              <w:rPr>
                <w:color w:val="auto"/>
                <w:sz w:val="21"/>
                <w:szCs w:val="21"/>
              </w:rPr>
              <w:t>物料衡算法</w:t>
            </w:r>
          </w:p>
        </w:tc>
        <w:tc>
          <w:tcPr>
            <w:tcW w:w="1133" w:type="dxa"/>
            <w:vMerge w:val="continue"/>
            <w:vAlign w:val="center"/>
          </w:tcPr>
          <w:p w14:paraId="3FAF6163">
            <w:pPr>
              <w:widowControl w:val="0"/>
              <w:jc w:val="center"/>
              <w:rPr>
                <w:color w:val="auto"/>
                <w:sz w:val="21"/>
                <w:szCs w:val="21"/>
              </w:rPr>
            </w:pPr>
          </w:p>
        </w:tc>
        <w:tc>
          <w:tcPr>
            <w:tcW w:w="1417" w:type="dxa"/>
            <w:vAlign w:val="center"/>
          </w:tcPr>
          <w:p w14:paraId="4637F858">
            <w:pPr>
              <w:widowControl w:val="0"/>
              <w:jc w:val="center"/>
              <w:rPr>
                <w:color w:val="auto"/>
                <w:sz w:val="22"/>
                <w:szCs w:val="22"/>
              </w:rPr>
            </w:pPr>
            <w:r>
              <w:rPr>
                <w:color w:val="auto"/>
                <w:sz w:val="22"/>
                <w:szCs w:val="22"/>
              </w:rPr>
              <w:t>74.11</w:t>
            </w:r>
          </w:p>
        </w:tc>
        <w:tc>
          <w:tcPr>
            <w:tcW w:w="1275" w:type="dxa"/>
            <w:vAlign w:val="center"/>
          </w:tcPr>
          <w:p w14:paraId="6C3F1897">
            <w:pPr>
              <w:widowControl w:val="0"/>
              <w:jc w:val="center"/>
              <w:rPr>
                <w:color w:val="auto"/>
                <w:sz w:val="21"/>
                <w:szCs w:val="21"/>
              </w:rPr>
            </w:pPr>
            <w:r>
              <w:rPr>
                <w:color w:val="auto"/>
                <w:sz w:val="21"/>
                <w:szCs w:val="21"/>
              </w:rPr>
              <w:t>0.19</w:t>
            </w:r>
          </w:p>
        </w:tc>
        <w:tc>
          <w:tcPr>
            <w:tcW w:w="1133" w:type="dxa"/>
            <w:vAlign w:val="center"/>
          </w:tcPr>
          <w:p w14:paraId="4B9F43C7">
            <w:pPr>
              <w:widowControl w:val="0"/>
              <w:jc w:val="center"/>
              <w:rPr>
                <w:color w:val="auto"/>
                <w:sz w:val="21"/>
                <w:szCs w:val="21"/>
              </w:rPr>
            </w:pPr>
            <w:r>
              <w:rPr>
                <w:color w:val="auto"/>
                <w:sz w:val="21"/>
                <w:szCs w:val="21"/>
              </w:rPr>
              <w:t>1.54</w:t>
            </w:r>
          </w:p>
        </w:tc>
        <w:tc>
          <w:tcPr>
            <w:tcW w:w="1523" w:type="dxa"/>
            <w:vMerge w:val="continue"/>
            <w:vAlign w:val="center"/>
          </w:tcPr>
          <w:p w14:paraId="37F80AED">
            <w:pPr>
              <w:widowControl w:val="0"/>
              <w:jc w:val="center"/>
              <w:rPr>
                <w:color w:val="auto"/>
                <w:sz w:val="21"/>
                <w:szCs w:val="21"/>
              </w:rPr>
            </w:pPr>
          </w:p>
        </w:tc>
        <w:tc>
          <w:tcPr>
            <w:tcW w:w="1025" w:type="dxa"/>
            <w:vAlign w:val="center"/>
          </w:tcPr>
          <w:p w14:paraId="41C7F393">
            <w:pPr>
              <w:widowControl w:val="0"/>
              <w:jc w:val="center"/>
              <w:rPr>
                <w:color w:val="auto"/>
                <w:sz w:val="21"/>
                <w:szCs w:val="21"/>
              </w:rPr>
            </w:pPr>
            <w:r>
              <w:rPr>
                <w:color w:val="auto"/>
                <w:sz w:val="21"/>
                <w:szCs w:val="21"/>
              </w:rPr>
              <w:t>99.8%</w:t>
            </w:r>
          </w:p>
        </w:tc>
        <w:tc>
          <w:tcPr>
            <w:tcW w:w="1373" w:type="dxa"/>
            <w:vAlign w:val="center"/>
          </w:tcPr>
          <w:p w14:paraId="2ED82133">
            <w:pPr>
              <w:widowControl w:val="0"/>
              <w:jc w:val="center"/>
              <w:rPr>
                <w:color w:val="auto"/>
                <w:sz w:val="22"/>
                <w:szCs w:val="22"/>
              </w:rPr>
            </w:pPr>
            <w:r>
              <w:rPr>
                <w:color w:val="auto"/>
                <w:sz w:val="22"/>
                <w:szCs w:val="22"/>
              </w:rPr>
              <w:t>0.15</w:t>
            </w:r>
          </w:p>
        </w:tc>
        <w:tc>
          <w:tcPr>
            <w:tcW w:w="1177" w:type="dxa"/>
            <w:vAlign w:val="center"/>
          </w:tcPr>
          <w:p w14:paraId="347E705A">
            <w:pPr>
              <w:widowControl w:val="0"/>
              <w:jc w:val="center"/>
              <w:rPr>
                <w:color w:val="auto"/>
                <w:sz w:val="21"/>
                <w:szCs w:val="21"/>
              </w:rPr>
            </w:pPr>
            <w:r>
              <w:rPr>
                <w:color w:val="auto"/>
                <w:sz w:val="21"/>
                <w:szCs w:val="21"/>
              </w:rPr>
              <w:t>0.0004</w:t>
            </w:r>
          </w:p>
        </w:tc>
        <w:tc>
          <w:tcPr>
            <w:tcW w:w="1274" w:type="dxa"/>
            <w:vAlign w:val="center"/>
          </w:tcPr>
          <w:p w14:paraId="71A909D4">
            <w:pPr>
              <w:widowControl w:val="0"/>
              <w:jc w:val="center"/>
              <w:rPr>
                <w:color w:val="auto"/>
                <w:sz w:val="21"/>
                <w:szCs w:val="21"/>
              </w:rPr>
            </w:pPr>
            <w:r>
              <w:rPr>
                <w:color w:val="auto"/>
                <w:sz w:val="21"/>
                <w:szCs w:val="21"/>
              </w:rPr>
              <w:t>0.0036</w:t>
            </w:r>
          </w:p>
        </w:tc>
        <w:tc>
          <w:tcPr>
            <w:tcW w:w="946" w:type="dxa"/>
            <w:vMerge w:val="continue"/>
            <w:vAlign w:val="center"/>
          </w:tcPr>
          <w:p w14:paraId="7CEB01BF">
            <w:pPr>
              <w:widowControl w:val="0"/>
              <w:jc w:val="center"/>
              <w:rPr>
                <w:color w:val="auto"/>
                <w:sz w:val="21"/>
                <w:szCs w:val="21"/>
              </w:rPr>
            </w:pPr>
          </w:p>
        </w:tc>
        <w:tc>
          <w:tcPr>
            <w:tcW w:w="959" w:type="dxa"/>
            <w:vMerge w:val="continue"/>
            <w:vAlign w:val="center"/>
          </w:tcPr>
          <w:p w14:paraId="5EAF06C7">
            <w:pPr>
              <w:widowControl w:val="0"/>
              <w:jc w:val="center"/>
              <w:rPr>
                <w:color w:val="auto"/>
                <w:sz w:val="21"/>
                <w:szCs w:val="21"/>
              </w:rPr>
            </w:pPr>
          </w:p>
        </w:tc>
        <w:tc>
          <w:tcPr>
            <w:tcW w:w="759" w:type="dxa"/>
            <w:vMerge w:val="continue"/>
            <w:vAlign w:val="center"/>
          </w:tcPr>
          <w:p w14:paraId="7BA3ED03">
            <w:pPr>
              <w:widowControl w:val="0"/>
              <w:jc w:val="center"/>
              <w:rPr>
                <w:color w:val="auto"/>
                <w:sz w:val="21"/>
                <w:szCs w:val="21"/>
              </w:rPr>
            </w:pPr>
          </w:p>
        </w:tc>
        <w:tc>
          <w:tcPr>
            <w:tcW w:w="699" w:type="dxa"/>
            <w:vMerge w:val="continue"/>
            <w:vAlign w:val="center"/>
          </w:tcPr>
          <w:p w14:paraId="5AC87B6F">
            <w:pPr>
              <w:widowControl w:val="0"/>
              <w:jc w:val="center"/>
              <w:rPr>
                <w:color w:val="auto"/>
                <w:sz w:val="21"/>
                <w:szCs w:val="21"/>
              </w:rPr>
            </w:pPr>
          </w:p>
        </w:tc>
        <w:tc>
          <w:tcPr>
            <w:tcW w:w="1538" w:type="dxa"/>
            <w:vMerge w:val="continue"/>
            <w:vAlign w:val="center"/>
          </w:tcPr>
          <w:p w14:paraId="5834282A">
            <w:pPr>
              <w:widowControl w:val="0"/>
              <w:jc w:val="center"/>
              <w:rPr>
                <w:color w:val="auto"/>
                <w:sz w:val="21"/>
                <w:szCs w:val="21"/>
              </w:rPr>
            </w:pPr>
          </w:p>
        </w:tc>
      </w:tr>
      <w:tr w14:paraId="2C9601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65FDE739">
            <w:pPr>
              <w:widowControl w:val="0"/>
              <w:jc w:val="center"/>
              <w:rPr>
                <w:color w:val="auto"/>
                <w:sz w:val="21"/>
                <w:szCs w:val="21"/>
              </w:rPr>
            </w:pPr>
          </w:p>
        </w:tc>
        <w:tc>
          <w:tcPr>
            <w:tcW w:w="1540" w:type="dxa"/>
            <w:vMerge w:val="continue"/>
            <w:vAlign w:val="center"/>
          </w:tcPr>
          <w:p w14:paraId="589C5B4F">
            <w:pPr>
              <w:widowControl w:val="0"/>
              <w:jc w:val="center"/>
              <w:rPr>
                <w:color w:val="auto"/>
                <w:sz w:val="21"/>
                <w:szCs w:val="21"/>
              </w:rPr>
            </w:pPr>
          </w:p>
        </w:tc>
        <w:tc>
          <w:tcPr>
            <w:tcW w:w="1358" w:type="dxa"/>
            <w:vAlign w:val="center"/>
          </w:tcPr>
          <w:p w14:paraId="0167CB3B">
            <w:pPr>
              <w:widowControl w:val="0"/>
              <w:jc w:val="center"/>
              <w:rPr>
                <w:color w:val="auto"/>
                <w:sz w:val="21"/>
                <w:szCs w:val="21"/>
              </w:rPr>
            </w:pPr>
            <w:r>
              <w:rPr>
                <w:color w:val="auto"/>
                <w:sz w:val="21"/>
                <w:szCs w:val="21"/>
              </w:rPr>
              <w:t>钼及其化合物</w:t>
            </w:r>
          </w:p>
        </w:tc>
        <w:tc>
          <w:tcPr>
            <w:tcW w:w="1470" w:type="dxa"/>
            <w:vAlign w:val="center"/>
          </w:tcPr>
          <w:p w14:paraId="05EC4EA2">
            <w:pPr>
              <w:widowControl w:val="0"/>
              <w:jc w:val="center"/>
              <w:rPr>
                <w:color w:val="auto"/>
                <w:sz w:val="21"/>
                <w:szCs w:val="21"/>
              </w:rPr>
            </w:pPr>
            <w:r>
              <w:rPr>
                <w:color w:val="auto"/>
                <w:sz w:val="21"/>
                <w:szCs w:val="21"/>
              </w:rPr>
              <w:t>物料衡算法</w:t>
            </w:r>
          </w:p>
        </w:tc>
        <w:tc>
          <w:tcPr>
            <w:tcW w:w="1133" w:type="dxa"/>
            <w:vMerge w:val="continue"/>
            <w:vAlign w:val="center"/>
          </w:tcPr>
          <w:p w14:paraId="5591592B">
            <w:pPr>
              <w:widowControl w:val="0"/>
              <w:jc w:val="center"/>
              <w:rPr>
                <w:color w:val="auto"/>
                <w:sz w:val="21"/>
                <w:szCs w:val="21"/>
              </w:rPr>
            </w:pPr>
          </w:p>
        </w:tc>
        <w:tc>
          <w:tcPr>
            <w:tcW w:w="1417" w:type="dxa"/>
            <w:vAlign w:val="center"/>
          </w:tcPr>
          <w:p w14:paraId="4416B46D">
            <w:pPr>
              <w:widowControl w:val="0"/>
              <w:jc w:val="center"/>
              <w:rPr>
                <w:color w:val="auto"/>
                <w:sz w:val="22"/>
                <w:szCs w:val="22"/>
              </w:rPr>
            </w:pPr>
            <w:r>
              <w:rPr>
                <w:color w:val="auto"/>
                <w:sz w:val="22"/>
                <w:szCs w:val="22"/>
              </w:rPr>
              <w:t>15.74</w:t>
            </w:r>
          </w:p>
        </w:tc>
        <w:tc>
          <w:tcPr>
            <w:tcW w:w="1275" w:type="dxa"/>
            <w:vAlign w:val="center"/>
          </w:tcPr>
          <w:p w14:paraId="3614801B">
            <w:pPr>
              <w:widowControl w:val="0"/>
              <w:jc w:val="center"/>
              <w:rPr>
                <w:color w:val="auto"/>
                <w:sz w:val="21"/>
                <w:szCs w:val="21"/>
              </w:rPr>
            </w:pPr>
            <w:r>
              <w:rPr>
                <w:color w:val="auto"/>
                <w:sz w:val="21"/>
                <w:szCs w:val="21"/>
              </w:rPr>
              <w:t>0.04</w:t>
            </w:r>
          </w:p>
        </w:tc>
        <w:tc>
          <w:tcPr>
            <w:tcW w:w="1133" w:type="dxa"/>
            <w:vAlign w:val="center"/>
          </w:tcPr>
          <w:p w14:paraId="4B8362BA">
            <w:pPr>
              <w:widowControl w:val="0"/>
              <w:jc w:val="center"/>
              <w:rPr>
                <w:color w:val="auto"/>
                <w:sz w:val="21"/>
                <w:szCs w:val="21"/>
              </w:rPr>
            </w:pPr>
            <w:r>
              <w:rPr>
                <w:color w:val="auto"/>
                <w:sz w:val="21"/>
                <w:szCs w:val="21"/>
              </w:rPr>
              <w:t>0.33</w:t>
            </w:r>
          </w:p>
        </w:tc>
        <w:tc>
          <w:tcPr>
            <w:tcW w:w="1523" w:type="dxa"/>
            <w:vMerge w:val="continue"/>
            <w:vAlign w:val="center"/>
          </w:tcPr>
          <w:p w14:paraId="0A6F4806">
            <w:pPr>
              <w:widowControl w:val="0"/>
              <w:jc w:val="center"/>
              <w:rPr>
                <w:color w:val="auto"/>
                <w:sz w:val="21"/>
                <w:szCs w:val="21"/>
              </w:rPr>
            </w:pPr>
          </w:p>
        </w:tc>
        <w:tc>
          <w:tcPr>
            <w:tcW w:w="1025" w:type="dxa"/>
            <w:vAlign w:val="center"/>
          </w:tcPr>
          <w:p w14:paraId="6A2AC879">
            <w:pPr>
              <w:widowControl w:val="0"/>
              <w:jc w:val="center"/>
              <w:rPr>
                <w:color w:val="auto"/>
                <w:sz w:val="21"/>
                <w:szCs w:val="21"/>
              </w:rPr>
            </w:pPr>
            <w:r>
              <w:rPr>
                <w:color w:val="auto"/>
                <w:sz w:val="21"/>
                <w:szCs w:val="21"/>
              </w:rPr>
              <w:t>99.8%</w:t>
            </w:r>
          </w:p>
        </w:tc>
        <w:tc>
          <w:tcPr>
            <w:tcW w:w="1373" w:type="dxa"/>
            <w:vAlign w:val="center"/>
          </w:tcPr>
          <w:p w14:paraId="0659AFF0">
            <w:pPr>
              <w:widowControl w:val="0"/>
              <w:jc w:val="center"/>
              <w:rPr>
                <w:color w:val="auto"/>
                <w:sz w:val="22"/>
                <w:szCs w:val="22"/>
              </w:rPr>
            </w:pPr>
            <w:r>
              <w:rPr>
                <w:color w:val="auto"/>
                <w:sz w:val="22"/>
                <w:szCs w:val="22"/>
              </w:rPr>
              <w:t>0.03</w:t>
            </w:r>
          </w:p>
        </w:tc>
        <w:tc>
          <w:tcPr>
            <w:tcW w:w="1177" w:type="dxa"/>
            <w:vAlign w:val="center"/>
          </w:tcPr>
          <w:p w14:paraId="39BF45D5">
            <w:pPr>
              <w:widowControl w:val="0"/>
              <w:jc w:val="center"/>
              <w:rPr>
                <w:color w:val="auto"/>
                <w:sz w:val="21"/>
                <w:szCs w:val="21"/>
              </w:rPr>
            </w:pPr>
            <w:r>
              <w:rPr>
                <w:color w:val="auto"/>
                <w:sz w:val="21"/>
                <w:szCs w:val="21"/>
              </w:rPr>
              <w:t>0.0001</w:t>
            </w:r>
          </w:p>
        </w:tc>
        <w:tc>
          <w:tcPr>
            <w:tcW w:w="1274" w:type="dxa"/>
            <w:vAlign w:val="center"/>
          </w:tcPr>
          <w:p w14:paraId="79E6C654">
            <w:pPr>
              <w:widowControl w:val="0"/>
              <w:jc w:val="center"/>
              <w:rPr>
                <w:color w:val="auto"/>
                <w:sz w:val="21"/>
                <w:szCs w:val="21"/>
              </w:rPr>
            </w:pPr>
            <w:r>
              <w:rPr>
                <w:color w:val="auto"/>
                <w:sz w:val="21"/>
                <w:szCs w:val="21"/>
              </w:rPr>
              <w:t>0.0008</w:t>
            </w:r>
          </w:p>
        </w:tc>
        <w:tc>
          <w:tcPr>
            <w:tcW w:w="946" w:type="dxa"/>
            <w:vMerge w:val="continue"/>
            <w:vAlign w:val="center"/>
          </w:tcPr>
          <w:p w14:paraId="25538F6F">
            <w:pPr>
              <w:widowControl w:val="0"/>
              <w:jc w:val="center"/>
              <w:rPr>
                <w:color w:val="auto"/>
                <w:sz w:val="21"/>
                <w:szCs w:val="21"/>
              </w:rPr>
            </w:pPr>
          </w:p>
        </w:tc>
        <w:tc>
          <w:tcPr>
            <w:tcW w:w="959" w:type="dxa"/>
            <w:vMerge w:val="continue"/>
            <w:vAlign w:val="center"/>
          </w:tcPr>
          <w:p w14:paraId="11B2662D">
            <w:pPr>
              <w:widowControl w:val="0"/>
              <w:jc w:val="center"/>
              <w:rPr>
                <w:color w:val="auto"/>
                <w:sz w:val="21"/>
                <w:szCs w:val="21"/>
              </w:rPr>
            </w:pPr>
          </w:p>
        </w:tc>
        <w:tc>
          <w:tcPr>
            <w:tcW w:w="759" w:type="dxa"/>
            <w:vMerge w:val="continue"/>
            <w:vAlign w:val="center"/>
          </w:tcPr>
          <w:p w14:paraId="04067F74">
            <w:pPr>
              <w:widowControl w:val="0"/>
              <w:jc w:val="center"/>
              <w:rPr>
                <w:color w:val="auto"/>
                <w:sz w:val="21"/>
                <w:szCs w:val="21"/>
              </w:rPr>
            </w:pPr>
          </w:p>
        </w:tc>
        <w:tc>
          <w:tcPr>
            <w:tcW w:w="699" w:type="dxa"/>
            <w:vMerge w:val="continue"/>
            <w:vAlign w:val="center"/>
          </w:tcPr>
          <w:p w14:paraId="085433F9">
            <w:pPr>
              <w:widowControl w:val="0"/>
              <w:jc w:val="center"/>
              <w:rPr>
                <w:color w:val="auto"/>
                <w:sz w:val="21"/>
                <w:szCs w:val="21"/>
              </w:rPr>
            </w:pPr>
          </w:p>
        </w:tc>
        <w:tc>
          <w:tcPr>
            <w:tcW w:w="1538" w:type="dxa"/>
            <w:vMerge w:val="continue"/>
            <w:vAlign w:val="center"/>
          </w:tcPr>
          <w:p w14:paraId="215A9F17">
            <w:pPr>
              <w:widowControl w:val="0"/>
              <w:jc w:val="center"/>
              <w:rPr>
                <w:color w:val="auto"/>
                <w:sz w:val="21"/>
                <w:szCs w:val="21"/>
              </w:rPr>
            </w:pPr>
          </w:p>
        </w:tc>
      </w:tr>
      <w:tr w14:paraId="4AADA0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11CC5A1E">
            <w:pPr>
              <w:widowControl w:val="0"/>
              <w:jc w:val="center"/>
              <w:rPr>
                <w:color w:val="auto"/>
                <w:sz w:val="21"/>
                <w:szCs w:val="21"/>
              </w:rPr>
            </w:pPr>
          </w:p>
        </w:tc>
        <w:tc>
          <w:tcPr>
            <w:tcW w:w="1540" w:type="dxa"/>
            <w:vMerge w:val="continue"/>
            <w:vAlign w:val="center"/>
          </w:tcPr>
          <w:p w14:paraId="67A9F0CF">
            <w:pPr>
              <w:widowControl w:val="0"/>
              <w:jc w:val="center"/>
              <w:rPr>
                <w:color w:val="auto"/>
                <w:sz w:val="21"/>
                <w:szCs w:val="21"/>
              </w:rPr>
            </w:pPr>
          </w:p>
        </w:tc>
        <w:tc>
          <w:tcPr>
            <w:tcW w:w="1358" w:type="dxa"/>
            <w:vAlign w:val="center"/>
          </w:tcPr>
          <w:p w14:paraId="7D883313">
            <w:pPr>
              <w:widowControl w:val="0"/>
              <w:jc w:val="center"/>
              <w:rPr>
                <w:color w:val="auto"/>
                <w:sz w:val="21"/>
                <w:szCs w:val="21"/>
              </w:rPr>
            </w:pPr>
            <w:r>
              <w:rPr>
                <w:color w:val="auto"/>
                <w:sz w:val="21"/>
                <w:szCs w:val="21"/>
              </w:rPr>
              <w:t>镍及其化合物</w:t>
            </w:r>
          </w:p>
        </w:tc>
        <w:tc>
          <w:tcPr>
            <w:tcW w:w="1470" w:type="dxa"/>
            <w:vAlign w:val="center"/>
          </w:tcPr>
          <w:p w14:paraId="6D1C6619">
            <w:pPr>
              <w:widowControl w:val="0"/>
              <w:jc w:val="center"/>
              <w:rPr>
                <w:color w:val="auto"/>
                <w:sz w:val="21"/>
                <w:szCs w:val="21"/>
              </w:rPr>
            </w:pPr>
            <w:r>
              <w:rPr>
                <w:color w:val="auto"/>
                <w:sz w:val="21"/>
                <w:szCs w:val="21"/>
              </w:rPr>
              <w:t>物料衡算法</w:t>
            </w:r>
          </w:p>
        </w:tc>
        <w:tc>
          <w:tcPr>
            <w:tcW w:w="1133" w:type="dxa"/>
            <w:vMerge w:val="continue"/>
            <w:vAlign w:val="center"/>
          </w:tcPr>
          <w:p w14:paraId="7585B335">
            <w:pPr>
              <w:widowControl w:val="0"/>
              <w:jc w:val="center"/>
              <w:rPr>
                <w:color w:val="auto"/>
                <w:sz w:val="21"/>
                <w:szCs w:val="21"/>
              </w:rPr>
            </w:pPr>
          </w:p>
        </w:tc>
        <w:tc>
          <w:tcPr>
            <w:tcW w:w="1417" w:type="dxa"/>
            <w:vAlign w:val="center"/>
          </w:tcPr>
          <w:p w14:paraId="2538E846">
            <w:pPr>
              <w:widowControl w:val="0"/>
              <w:jc w:val="center"/>
              <w:rPr>
                <w:color w:val="auto"/>
                <w:sz w:val="22"/>
                <w:szCs w:val="22"/>
              </w:rPr>
            </w:pPr>
            <w:r>
              <w:rPr>
                <w:color w:val="auto"/>
                <w:sz w:val="22"/>
                <w:szCs w:val="22"/>
              </w:rPr>
              <w:t>18.83</w:t>
            </w:r>
          </w:p>
        </w:tc>
        <w:tc>
          <w:tcPr>
            <w:tcW w:w="1275" w:type="dxa"/>
            <w:vAlign w:val="center"/>
          </w:tcPr>
          <w:p w14:paraId="13338E30">
            <w:pPr>
              <w:widowControl w:val="0"/>
              <w:jc w:val="center"/>
              <w:rPr>
                <w:color w:val="auto"/>
                <w:sz w:val="21"/>
                <w:szCs w:val="21"/>
              </w:rPr>
            </w:pPr>
            <w:r>
              <w:rPr>
                <w:color w:val="auto"/>
                <w:sz w:val="21"/>
                <w:szCs w:val="21"/>
              </w:rPr>
              <w:t>0.05</w:t>
            </w:r>
          </w:p>
        </w:tc>
        <w:tc>
          <w:tcPr>
            <w:tcW w:w="1133" w:type="dxa"/>
            <w:vAlign w:val="center"/>
          </w:tcPr>
          <w:p w14:paraId="3BE2893A">
            <w:pPr>
              <w:widowControl w:val="0"/>
              <w:jc w:val="center"/>
              <w:rPr>
                <w:color w:val="auto"/>
                <w:sz w:val="21"/>
                <w:szCs w:val="21"/>
              </w:rPr>
            </w:pPr>
            <w:r>
              <w:rPr>
                <w:color w:val="auto"/>
                <w:sz w:val="21"/>
                <w:szCs w:val="21"/>
              </w:rPr>
              <w:t>0.39</w:t>
            </w:r>
          </w:p>
        </w:tc>
        <w:tc>
          <w:tcPr>
            <w:tcW w:w="1523" w:type="dxa"/>
            <w:vMerge w:val="continue"/>
            <w:vAlign w:val="center"/>
          </w:tcPr>
          <w:p w14:paraId="7CB73BFA">
            <w:pPr>
              <w:widowControl w:val="0"/>
              <w:jc w:val="center"/>
              <w:rPr>
                <w:color w:val="auto"/>
                <w:sz w:val="21"/>
                <w:szCs w:val="21"/>
              </w:rPr>
            </w:pPr>
          </w:p>
        </w:tc>
        <w:tc>
          <w:tcPr>
            <w:tcW w:w="1025" w:type="dxa"/>
            <w:vAlign w:val="center"/>
          </w:tcPr>
          <w:p w14:paraId="1C84D1B8">
            <w:pPr>
              <w:widowControl w:val="0"/>
              <w:jc w:val="center"/>
              <w:rPr>
                <w:color w:val="auto"/>
                <w:sz w:val="21"/>
                <w:szCs w:val="21"/>
              </w:rPr>
            </w:pPr>
            <w:r>
              <w:rPr>
                <w:color w:val="auto"/>
                <w:sz w:val="21"/>
                <w:szCs w:val="21"/>
              </w:rPr>
              <w:t>99.8%</w:t>
            </w:r>
          </w:p>
        </w:tc>
        <w:tc>
          <w:tcPr>
            <w:tcW w:w="1373" w:type="dxa"/>
            <w:vAlign w:val="center"/>
          </w:tcPr>
          <w:p w14:paraId="2E6E48E6">
            <w:pPr>
              <w:widowControl w:val="0"/>
              <w:jc w:val="center"/>
              <w:rPr>
                <w:color w:val="auto"/>
                <w:sz w:val="22"/>
                <w:szCs w:val="22"/>
              </w:rPr>
            </w:pPr>
            <w:r>
              <w:rPr>
                <w:color w:val="auto"/>
                <w:sz w:val="22"/>
                <w:szCs w:val="22"/>
              </w:rPr>
              <w:t>0.04</w:t>
            </w:r>
          </w:p>
        </w:tc>
        <w:tc>
          <w:tcPr>
            <w:tcW w:w="1177" w:type="dxa"/>
            <w:vAlign w:val="center"/>
          </w:tcPr>
          <w:p w14:paraId="57EF7D37">
            <w:pPr>
              <w:widowControl w:val="0"/>
              <w:jc w:val="center"/>
              <w:rPr>
                <w:color w:val="auto"/>
                <w:sz w:val="21"/>
                <w:szCs w:val="21"/>
              </w:rPr>
            </w:pPr>
            <w:r>
              <w:rPr>
                <w:color w:val="auto"/>
                <w:sz w:val="21"/>
                <w:szCs w:val="21"/>
              </w:rPr>
              <w:t>0.0001</w:t>
            </w:r>
          </w:p>
        </w:tc>
        <w:tc>
          <w:tcPr>
            <w:tcW w:w="1274" w:type="dxa"/>
            <w:vAlign w:val="center"/>
          </w:tcPr>
          <w:p w14:paraId="19A382C5">
            <w:pPr>
              <w:widowControl w:val="0"/>
              <w:jc w:val="center"/>
              <w:rPr>
                <w:color w:val="auto"/>
                <w:sz w:val="21"/>
                <w:szCs w:val="21"/>
              </w:rPr>
            </w:pPr>
            <w:r>
              <w:rPr>
                <w:color w:val="auto"/>
                <w:sz w:val="21"/>
                <w:szCs w:val="21"/>
              </w:rPr>
              <w:t>0.0009</w:t>
            </w:r>
          </w:p>
        </w:tc>
        <w:tc>
          <w:tcPr>
            <w:tcW w:w="946" w:type="dxa"/>
            <w:vMerge w:val="continue"/>
            <w:vAlign w:val="center"/>
          </w:tcPr>
          <w:p w14:paraId="30DC869A">
            <w:pPr>
              <w:widowControl w:val="0"/>
              <w:jc w:val="center"/>
              <w:rPr>
                <w:color w:val="auto"/>
                <w:sz w:val="21"/>
                <w:szCs w:val="21"/>
              </w:rPr>
            </w:pPr>
          </w:p>
        </w:tc>
        <w:tc>
          <w:tcPr>
            <w:tcW w:w="959" w:type="dxa"/>
            <w:vMerge w:val="continue"/>
            <w:vAlign w:val="center"/>
          </w:tcPr>
          <w:p w14:paraId="17247CEB">
            <w:pPr>
              <w:widowControl w:val="0"/>
              <w:jc w:val="center"/>
              <w:rPr>
                <w:color w:val="auto"/>
                <w:sz w:val="21"/>
                <w:szCs w:val="21"/>
              </w:rPr>
            </w:pPr>
          </w:p>
        </w:tc>
        <w:tc>
          <w:tcPr>
            <w:tcW w:w="759" w:type="dxa"/>
            <w:vMerge w:val="continue"/>
            <w:vAlign w:val="center"/>
          </w:tcPr>
          <w:p w14:paraId="6DD8F4F9">
            <w:pPr>
              <w:widowControl w:val="0"/>
              <w:jc w:val="center"/>
              <w:rPr>
                <w:color w:val="auto"/>
                <w:sz w:val="21"/>
                <w:szCs w:val="21"/>
              </w:rPr>
            </w:pPr>
          </w:p>
        </w:tc>
        <w:tc>
          <w:tcPr>
            <w:tcW w:w="699" w:type="dxa"/>
            <w:vMerge w:val="continue"/>
            <w:vAlign w:val="center"/>
          </w:tcPr>
          <w:p w14:paraId="373AD7BD">
            <w:pPr>
              <w:widowControl w:val="0"/>
              <w:jc w:val="center"/>
              <w:rPr>
                <w:color w:val="auto"/>
                <w:sz w:val="21"/>
                <w:szCs w:val="21"/>
              </w:rPr>
            </w:pPr>
          </w:p>
        </w:tc>
        <w:tc>
          <w:tcPr>
            <w:tcW w:w="1538" w:type="dxa"/>
            <w:vMerge w:val="continue"/>
            <w:vAlign w:val="center"/>
          </w:tcPr>
          <w:p w14:paraId="67733B0F">
            <w:pPr>
              <w:widowControl w:val="0"/>
              <w:jc w:val="center"/>
              <w:rPr>
                <w:color w:val="auto"/>
                <w:sz w:val="21"/>
                <w:szCs w:val="21"/>
              </w:rPr>
            </w:pPr>
          </w:p>
        </w:tc>
      </w:tr>
      <w:tr w14:paraId="438224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1F88687">
            <w:pPr>
              <w:widowControl w:val="0"/>
              <w:jc w:val="center"/>
              <w:rPr>
                <w:color w:val="auto"/>
                <w:sz w:val="21"/>
                <w:szCs w:val="21"/>
              </w:rPr>
            </w:pPr>
          </w:p>
        </w:tc>
        <w:tc>
          <w:tcPr>
            <w:tcW w:w="1540" w:type="dxa"/>
            <w:vMerge w:val="continue"/>
            <w:vAlign w:val="center"/>
          </w:tcPr>
          <w:p w14:paraId="364D9F71">
            <w:pPr>
              <w:widowControl w:val="0"/>
              <w:jc w:val="center"/>
              <w:rPr>
                <w:color w:val="auto"/>
                <w:sz w:val="21"/>
                <w:szCs w:val="21"/>
              </w:rPr>
            </w:pPr>
          </w:p>
        </w:tc>
        <w:tc>
          <w:tcPr>
            <w:tcW w:w="1358" w:type="dxa"/>
            <w:vAlign w:val="center"/>
          </w:tcPr>
          <w:p w14:paraId="5AEA86F2">
            <w:pPr>
              <w:widowControl w:val="0"/>
              <w:jc w:val="center"/>
              <w:rPr>
                <w:color w:val="auto"/>
                <w:sz w:val="21"/>
                <w:szCs w:val="21"/>
              </w:rPr>
            </w:pPr>
            <w:r>
              <w:rPr>
                <w:color w:val="auto"/>
                <w:sz w:val="21"/>
                <w:szCs w:val="21"/>
              </w:rPr>
              <w:t>锰及其化合物</w:t>
            </w:r>
          </w:p>
        </w:tc>
        <w:tc>
          <w:tcPr>
            <w:tcW w:w="1470" w:type="dxa"/>
            <w:vAlign w:val="center"/>
          </w:tcPr>
          <w:p w14:paraId="7247DB09">
            <w:pPr>
              <w:widowControl w:val="0"/>
              <w:jc w:val="center"/>
              <w:rPr>
                <w:color w:val="auto"/>
                <w:sz w:val="21"/>
                <w:szCs w:val="21"/>
              </w:rPr>
            </w:pPr>
            <w:r>
              <w:rPr>
                <w:color w:val="auto"/>
                <w:sz w:val="21"/>
                <w:szCs w:val="21"/>
              </w:rPr>
              <w:t>物料衡算法</w:t>
            </w:r>
          </w:p>
        </w:tc>
        <w:tc>
          <w:tcPr>
            <w:tcW w:w="1133" w:type="dxa"/>
            <w:vMerge w:val="continue"/>
            <w:vAlign w:val="center"/>
          </w:tcPr>
          <w:p w14:paraId="49AAE267">
            <w:pPr>
              <w:widowControl w:val="0"/>
              <w:jc w:val="center"/>
              <w:rPr>
                <w:color w:val="auto"/>
                <w:sz w:val="21"/>
                <w:szCs w:val="21"/>
              </w:rPr>
            </w:pPr>
          </w:p>
        </w:tc>
        <w:tc>
          <w:tcPr>
            <w:tcW w:w="1417" w:type="dxa"/>
            <w:vAlign w:val="center"/>
          </w:tcPr>
          <w:p w14:paraId="3BBC6641">
            <w:pPr>
              <w:widowControl w:val="0"/>
              <w:jc w:val="center"/>
              <w:rPr>
                <w:color w:val="auto"/>
                <w:sz w:val="22"/>
                <w:szCs w:val="22"/>
              </w:rPr>
            </w:pPr>
            <w:r>
              <w:rPr>
                <w:color w:val="auto"/>
                <w:sz w:val="22"/>
                <w:szCs w:val="22"/>
              </w:rPr>
              <w:t>37.13</w:t>
            </w:r>
          </w:p>
        </w:tc>
        <w:tc>
          <w:tcPr>
            <w:tcW w:w="1275" w:type="dxa"/>
            <w:vAlign w:val="center"/>
          </w:tcPr>
          <w:p w14:paraId="45ABA77A">
            <w:pPr>
              <w:widowControl w:val="0"/>
              <w:jc w:val="center"/>
              <w:rPr>
                <w:color w:val="auto"/>
                <w:sz w:val="21"/>
                <w:szCs w:val="21"/>
              </w:rPr>
            </w:pPr>
            <w:r>
              <w:rPr>
                <w:color w:val="auto"/>
                <w:sz w:val="21"/>
                <w:szCs w:val="21"/>
              </w:rPr>
              <w:t>0.10</w:t>
            </w:r>
          </w:p>
        </w:tc>
        <w:tc>
          <w:tcPr>
            <w:tcW w:w="1133" w:type="dxa"/>
            <w:vAlign w:val="center"/>
          </w:tcPr>
          <w:p w14:paraId="6544C152">
            <w:pPr>
              <w:widowControl w:val="0"/>
              <w:jc w:val="center"/>
              <w:rPr>
                <w:color w:val="auto"/>
                <w:sz w:val="21"/>
                <w:szCs w:val="21"/>
              </w:rPr>
            </w:pPr>
            <w:r>
              <w:rPr>
                <w:color w:val="auto"/>
                <w:sz w:val="21"/>
                <w:szCs w:val="21"/>
              </w:rPr>
              <w:t>0.77</w:t>
            </w:r>
          </w:p>
        </w:tc>
        <w:tc>
          <w:tcPr>
            <w:tcW w:w="1523" w:type="dxa"/>
            <w:vMerge w:val="continue"/>
            <w:vAlign w:val="center"/>
          </w:tcPr>
          <w:p w14:paraId="19B94401">
            <w:pPr>
              <w:widowControl w:val="0"/>
              <w:jc w:val="center"/>
              <w:rPr>
                <w:color w:val="auto"/>
                <w:sz w:val="21"/>
                <w:szCs w:val="21"/>
              </w:rPr>
            </w:pPr>
          </w:p>
        </w:tc>
        <w:tc>
          <w:tcPr>
            <w:tcW w:w="1025" w:type="dxa"/>
            <w:vAlign w:val="center"/>
          </w:tcPr>
          <w:p w14:paraId="73728C56">
            <w:pPr>
              <w:widowControl w:val="0"/>
              <w:jc w:val="center"/>
              <w:rPr>
                <w:color w:val="auto"/>
                <w:sz w:val="21"/>
                <w:szCs w:val="21"/>
              </w:rPr>
            </w:pPr>
            <w:r>
              <w:rPr>
                <w:color w:val="auto"/>
                <w:sz w:val="21"/>
                <w:szCs w:val="21"/>
              </w:rPr>
              <w:t>99.8%</w:t>
            </w:r>
          </w:p>
        </w:tc>
        <w:tc>
          <w:tcPr>
            <w:tcW w:w="1373" w:type="dxa"/>
            <w:vAlign w:val="center"/>
          </w:tcPr>
          <w:p w14:paraId="0C7EC55E">
            <w:pPr>
              <w:widowControl w:val="0"/>
              <w:jc w:val="center"/>
              <w:rPr>
                <w:color w:val="auto"/>
                <w:sz w:val="22"/>
                <w:szCs w:val="22"/>
              </w:rPr>
            </w:pPr>
            <w:r>
              <w:rPr>
                <w:color w:val="auto"/>
                <w:sz w:val="22"/>
                <w:szCs w:val="22"/>
              </w:rPr>
              <w:t>0.07</w:t>
            </w:r>
          </w:p>
        </w:tc>
        <w:tc>
          <w:tcPr>
            <w:tcW w:w="1177" w:type="dxa"/>
            <w:vAlign w:val="center"/>
          </w:tcPr>
          <w:p w14:paraId="76666004">
            <w:pPr>
              <w:widowControl w:val="0"/>
              <w:jc w:val="center"/>
              <w:rPr>
                <w:color w:val="auto"/>
                <w:sz w:val="21"/>
                <w:szCs w:val="21"/>
              </w:rPr>
            </w:pPr>
            <w:r>
              <w:rPr>
                <w:color w:val="auto"/>
                <w:sz w:val="21"/>
                <w:szCs w:val="21"/>
              </w:rPr>
              <w:t>0.0002</w:t>
            </w:r>
          </w:p>
        </w:tc>
        <w:tc>
          <w:tcPr>
            <w:tcW w:w="1274" w:type="dxa"/>
            <w:vAlign w:val="center"/>
          </w:tcPr>
          <w:p w14:paraId="507E747C">
            <w:pPr>
              <w:widowControl w:val="0"/>
              <w:jc w:val="center"/>
              <w:rPr>
                <w:color w:val="auto"/>
                <w:sz w:val="21"/>
                <w:szCs w:val="21"/>
              </w:rPr>
            </w:pPr>
            <w:r>
              <w:rPr>
                <w:color w:val="auto"/>
                <w:sz w:val="21"/>
                <w:szCs w:val="21"/>
              </w:rPr>
              <w:t>0.0018</w:t>
            </w:r>
          </w:p>
        </w:tc>
        <w:tc>
          <w:tcPr>
            <w:tcW w:w="946" w:type="dxa"/>
            <w:vMerge w:val="continue"/>
            <w:vAlign w:val="center"/>
          </w:tcPr>
          <w:p w14:paraId="1E479CC7">
            <w:pPr>
              <w:widowControl w:val="0"/>
              <w:jc w:val="center"/>
              <w:rPr>
                <w:color w:val="auto"/>
                <w:sz w:val="21"/>
                <w:szCs w:val="21"/>
              </w:rPr>
            </w:pPr>
          </w:p>
        </w:tc>
        <w:tc>
          <w:tcPr>
            <w:tcW w:w="959" w:type="dxa"/>
            <w:vMerge w:val="continue"/>
            <w:vAlign w:val="center"/>
          </w:tcPr>
          <w:p w14:paraId="3C564F11">
            <w:pPr>
              <w:widowControl w:val="0"/>
              <w:jc w:val="center"/>
              <w:rPr>
                <w:color w:val="auto"/>
                <w:sz w:val="21"/>
                <w:szCs w:val="21"/>
              </w:rPr>
            </w:pPr>
          </w:p>
        </w:tc>
        <w:tc>
          <w:tcPr>
            <w:tcW w:w="759" w:type="dxa"/>
            <w:vMerge w:val="continue"/>
            <w:vAlign w:val="center"/>
          </w:tcPr>
          <w:p w14:paraId="562411AC">
            <w:pPr>
              <w:widowControl w:val="0"/>
              <w:jc w:val="center"/>
              <w:rPr>
                <w:color w:val="auto"/>
                <w:sz w:val="21"/>
                <w:szCs w:val="21"/>
              </w:rPr>
            </w:pPr>
          </w:p>
        </w:tc>
        <w:tc>
          <w:tcPr>
            <w:tcW w:w="699" w:type="dxa"/>
            <w:vMerge w:val="continue"/>
            <w:vAlign w:val="center"/>
          </w:tcPr>
          <w:p w14:paraId="40C6CCCD">
            <w:pPr>
              <w:widowControl w:val="0"/>
              <w:jc w:val="center"/>
              <w:rPr>
                <w:color w:val="auto"/>
                <w:sz w:val="21"/>
                <w:szCs w:val="21"/>
              </w:rPr>
            </w:pPr>
          </w:p>
        </w:tc>
        <w:tc>
          <w:tcPr>
            <w:tcW w:w="1538" w:type="dxa"/>
            <w:vMerge w:val="continue"/>
            <w:vAlign w:val="center"/>
          </w:tcPr>
          <w:p w14:paraId="25AB9BBB">
            <w:pPr>
              <w:widowControl w:val="0"/>
              <w:jc w:val="center"/>
              <w:rPr>
                <w:color w:val="auto"/>
                <w:sz w:val="21"/>
                <w:szCs w:val="21"/>
              </w:rPr>
            </w:pPr>
          </w:p>
        </w:tc>
      </w:tr>
      <w:tr w14:paraId="08C9C02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72CAE4CD">
            <w:pPr>
              <w:widowControl w:val="0"/>
              <w:jc w:val="center"/>
              <w:rPr>
                <w:color w:val="auto"/>
                <w:sz w:val="21"/>
                <w:szCs w:val="21"/>
              </w:rPr>
            </w:pPr>
          </w:p>
        </w:tc>
        <w:tc>
          <w:tcPr>
            <w:tcW w:w="1540" w:type="dxa"/>
            <w:vMerge w:val="continue"/>
            <w:vAlign w:val="center"/>
          </w:tcPr>
          <w:p w14:paraId="6CB870E0">
            <w:pPr>
              <w:widowControl w:val="0"/>
              <w:jc w:val="center"/>
              <w:rPr>
                <w:color w:val="auto"/>
                <w:sz w:val="21"/>
                <w:szCs w:val="21"/>
              </w:rPr>
            </w:pPr>
          </w:p>
        </w:tc>
        <w:tc>
          <w:tcPr>
            <w:tcW w:w="1358" w:type="dxa"/>
            <w:vAlign w:val="center"/>
          </w:tcPr>
          <w:p w14:paraId="7ACF2A7F">
            <w:pPr>
              <w:widowControl w:val="0"/>
              <w:jc w:val="center"/>
              <w:rPr>
                <w:color w:val="auto"/>
                <w:sz w:val="21"/>
                <w:szCs w:val="21"/>
              </w:rPr>
            </w:pPr>
            <w:r>
              <w:rPr>
                <w:color w:val="auto"/>
                <w:sz w:val="21"/>
                <w:szCs w:val="21"/>
              </w:rPr>
              <w:t>铜及其化合物</w:t>
            </w:r>
          </w:p>
        </w:tc>
        <w:tc>
          <w:tcPr>
            <w:tcW w:w="1470" w:type="dxa"/>
            <w:vAlign w:val="center"/>
          </w:tcPr>
          <w:p w14:paraId="789E4457">
            <w:pPr>
              <w:widowControl w:val="0"/>
              <w:jc w:val="center"/>
              <w:rPr>
                <w:color w:val="auto"/>
                <w:sz w:val="21"/>
                <w:szCs w:val="21"/>
              </w:rPr>
            </w:pPr>
            <w:r>
              <w:rPr>
                <w:color w:val="auto"/>
                <w:sz w:val="21"/>
                <w:szCs w:val="21"/>
              </w:rPr>
              <w:t>物料衡算法</w:t>
            </w:r>
          </w:p>
        </w:tc>
        <w:tc>
          <w:tcPr>
            <w:tcW w:w="1133" w:type="dxa"/>
            <w:vMerge w:val="continue"/>
            <w:vAlign w:val="center"/>
          </w:tcPr>
          <w:p w14:paraId="6AB0C7B2">
            <w:pPr>
              <w:widowControl w:val="0"/>
              <w:jc w:val="center"/>
              <w:rPr>
                <w:color w:val="auto"/>
                <w:sz w:val="21"/>
                <w:szCs w:val="21"/>
              </w:rPr>
            </w:pPr>
          </w:p>
        </w:tc>
        <w:tc>
          <w:tcPr>
            <w:tcW w:w="1417" w:type="dxa"/>
            <w:vAlign w:val="center"/>
          </w:tcPr>
          <w:p w14:paraId="1AE9EEE1">
            <w:pPr>
              <w:widowControl w:val="0"/>
              <w:jc w:val="center"/>
              <w:rPr>
                <w:color w:val="auto"/>
                <w:sz w:val="22"/>
                <w:szCs w:val="22"/>
              </w:rPr>
            </w:pPr>
            <w:r>
              <w:rPr>
                <w:color w:val="auto"/>
                <w:sz w:val="22"/>
                <w:szCs w:val="22"/>
              </w:rPr>
              <w:t>9.41</w:t>
            </w:r>
          </w:p>
        </w:tc>
        <w:tc>
          <w:tcPr>
            <w:tcW w:w="1275" w:type="dxa"/>
            <w:vAlign w:val="center"/>
          </w:tcPr>
          <w:p w14:paraId="1B7DE0D8">
            <w:pPr>
              <w:widowControl w:val="0"/>
              <w:jc w:val="center"/>
              <w:rPr>
                <w:color w:val="auto"/>
                <w:sz w:val="21"/>
                <w:szCs w:val="21"/>
              </w:rPr>
            </w:pPr>
            <w:r>
              <w:rPr>
                <w:color w:val="auto"/>
                <w:sz w:val="21"/>
                <w:szCs w:val="21"/>
              </w:rPr>
              <w:t>0.02</w:t>
            </w:r>
          </w:p>
        </w:tc>
        <w:tc>
          <w:tcPr>
            <w:tcW w:w="1133" w:type="dxa"/>
            <w:vAlign w:val="center"/>
          </w:tcPr>
          <w:p w14:paraId="47276D4C">
            <w:pPr>
              <w:widowControl w:val="0"/>
              <w:jc w:val="center"/>
              <w:rPr>
                <w:color w:val="auto"/>
                <w:sz w:val="21"/>
                <w:szCs w:val="21"/>
              </w:rPr>
            </w:pPr>
            <w:r>
              <w:rPr>
                <w:color w:val="auto"/>
                <w:sz w:val="21"/>
                <w:szCs w:val="21"/>
              </w:rPr>
              <w:t>0.20</w:t>
            </w:r>
          </w:p>
        </w:tc>
        <w:tc>
          <w:tcPr>
            <w:tcW w:w="1523" w:type="dxa"/>
            <w:vMerge w:val="continue"/>
            <w:vAlign w:val="center"/>
          </w:tcPr>
          <w:p w14:paraId="4E98EA9B">
            <w:pPr>
              <w:widowControl w:val="0"/>
              <w:jc w:val="center"/>
              <w:rPr>
                <w:color w:val="auto"/>
                <w:sz w:val="21"/>
                <w:szCs w:val="21"/>
              </w:rPr>
            </w:pPr>
          </w:p>
        </w:tc>
        <w:tc>
          <w:tcPr>
            <w:tcW w:w="1025" w:type="dxa"/>
            <w:vAlign w:val="center"/>
          </w:tcPr>
          <w:p w14:paraId="5B6D08A9">
            <w:pPr>
              <w:widowControl w:val="0"/>
              <w:jc w:val="center"/>
              <w:rPr>
                <w:color w:val="auto"/>
                <w:sz w:val="21"/>
                <w:szCs w:val="21"/>
              </w:rPr>
            </w:pPr>
            <w:r>
              <w:rPr>
                <w:color w:val="auto"/>
                <w:sz w:val="21"/>
                <w:szCs w:val="21"/>
              </w:rPr>
              <w:t>99.8%</w:t>
            </w:r>
          </w:p>
        </w:tc>
        <w:tc>
          <w:tcPr>
            <w:tcW w:w="1373" w:type="dxa"/>
            <w:vAlign w:val="center"/>
          </w:tcPr>
          <w:p w14:paraId="00F218C2">
            <w:pPr>
              <w:widowControl w:val="0"/>
              <w:jc w:val="center"/>
              <w:rPr>
                <w:color w:val="auto"/>
                <w:sz w:val="22"/>
                <w:szCs w:val="22"/>
              </w:rPr>
            </w:pPr>
            <w:r>
              <w:rPr>
                <w:color w:val="auto"/>
                <w:sz w:val="22"/>
                <w:szCs w:val="22"/>
              </w:rPr>
              <w:t>0.02</w:t>
            </w:r>
          </w:p>
        </w:tc>
        <w:tc>
          <w:tcPr>
            <w:tcW w:w="1177" w:type="dxa"/>
            <w:vAlign w:val="center"/>
          </w:tcPr>
          <w:p w14:paraId="62AC8A63">
            <w:pPr>
              <w:widowControl w:val="0"/>
              <w:jc w:val="center"/>
              <w:rPr>
                <w:color w:val="auto"/>
                <w:sz w:val="21"/>
                <w:szCs w:val="21"/>
              </w:rPr>
            </w:pPr>
            <w:r>
              <w:rPr>
                <w:color w:val="auto"/>
                <w:sz w:val="21"/>
                <w:szCs w:val="21"/>
              </w:rPr>
              <w:t>0.0001</w:t>
            </w:r>
          </w:p>
        </w:tc>
        <w:tc>
          <w:tcPr>
            <w:tcW w:w="1274" w:type="dxa"/>
            <w:vAlign w:val="center"/>
          </w:tcPr>
          <w:p w14:paraId="1045F5D9">
            <w:pPr>
              <w:widowControl w:val="0"/>
              <w:jc w:val="center"/>
              <w:rPr>
                <w:color w:val="auto"/>
                <w:sz w:val="21"/>
                <w:szCs w:val="21"/>
              </w:rPr>
            </w:pPr>
            <w:r>
              <w:rPr>
                <w:color w:val="auto"/>
                <w:sz w:val="21"/>
                <w:szCs w:val="21"/>
              </w:rPr>
              <w:t>0.0005</w:t>
            </w:r>
          </w:p>
        </w:tc>
        <w:tc>
          <w:tcPr>
            <w:tcW w:w="946" w:type="dxa"/>
            <w:vMerge w:val="continue"/>
            <w:vAlign w:val="center"/>
          </w:tcPr>
          <w:p w14:paraId="66F54AC4">
            <w:pPr>
              <w:widowControl w:val="0"/>
              <w:jc w:val="center"/>
              <w:rPr>
                <w:color w:val="auto"/>
                <w:sz w:val="21"/>
                <w:szCs w:val="21"/>
              </w:rPr>
            </w:pPr>
          </w:p>
        </w:tc>
        <w:tc>
          <w:tcPr>
            <w:tcW w:w="959" w:type="dxa"/>
            <w:vMerge w:val="continue"/>
            <w:vAlign w:val="center"/>
          </w:tcPr>
          <w:p w14:paraId="6B421F3C">
            <w:pPr>
              <w:widowControl w:val="0"/>
              <w:jc w:val="center"/>
              <w:rPr>
                <w:color w:val="auto"/>
                <w:sz w:val="21"/>
                <w:szCs w:val="21"/>
              </w:rPr>
            </w:pPr>
          </w:p>
        </w:tc>
        <w:tc>
          <w:tcPr>
            <w:tcW w:w="759" w:type="dxa"/>
            <w:vMerge w:val="continue"/>
            <w:vAlign w:val="center"/>
          </w:tcPr>
          <w:p w14:paraId="62B53F6D">
            <w:pPr>
              <w:widowControl w:val="0"/>
              <w:jc w:val="center"/>
              <w:rPr>
                <w:color w:val="auto"/>
                <w:sz w:val="21"/>
                <w:szCs w:val="21"/>
              </w:rPr>
            </w:pPr>
          </w:p>
        </w:tc>
        <w:tc>
          <w:tcPr>
            <w:tcW w:w="699" w:type="dxa"/>
            <w:vMerge w:val="continue"/>
            <w:vAlign w:val="center"/>
          </w:tcPr>
          <w:p w14:paraId="5E4F1189">
            <w:pPr>
              <w:widowControl w:val="0"/>
              <w:jc w:val="center"/>
              <w:rPr>
                <w:color w:val="auto"/>
                <w:sz w:val="21"/>
                <w:szCs w:val="21"/>
              </w:rPr>
            </w:pPr>
          </w:p>
        </w:tc>
        <w:tc>
          <w:tcPr>
            <w:tcW w:w="1538" w:type="dxa"/>
            <w:vMerge w:val="continue"/>
            <w:vAlign w:val="center"/>
          </w:tcPr>
          <w:p w14:paraId="1A60A5EA">
            <w:pPr>
              <w:widowControl w:val="0"/>
              <w:jc w:val="center"/>
              <w:rPr>
                <w:color w:val="auto"/>
                <w:sz w:val="21"/>
                <w:szCs w:val="21"/>
              </w:rPr>
            </w:pPr>
          </w:p>
        </w:tc>
      </w:tr>
      <w:tr w14:paraId="5E710BC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3EDC555B">
            <w:pPr>
              <w:widowControl w:val="0"/>
              <w:jc w:val="center"/>
              <w:rPr>
                <w:color w:val="auto"/>
                <w:sz w:val="21"/>
                <w:szCs w:val="21"/>
              </w:rPr>
            </w:pPr>
          </w:p>
        </w:tc>
        <w:tc>
          <w:tcPr>
            <w:tcW w:w="1540" w:type="dxa"/>
            <w:vMerge w:val="continue"/>
            <w:vAlign w:val="center"/>
          </w:tcPr>
          <w:p w14:paraId="25C353B6">
            <w:pPr>
              <w:widowControl w:val="0"/>
              <w:jc w:val="center"/>
              <w:rPr>
                <w:color w:val="auto"/>
                <w:sz w:val="21"/>
                <w:szCs w:val="21"/>
              </w:rPr>
            </w:pPr>
          </w:p>
        </w:tc>
        <w:tc>
          <w:tcPr>
            <w:tcW w:w="1358" w:type="dxa"/>
            <w:vAlign w:val="center"/>
          </w:tcPr>
          <w:p w14:paraId="516F23D0">
            <w:pPr>
              <w:widowControl w:val="0"/>
              <w:jc w:val="center"/>
              <w:rPr>
                <w:color w:val="auto"/>
                <w:sz w:val="21"/>
                <w:szCs w:val="21"/>
              </w:rPr>
            </w:pPr>
            <w:r>
              <w:rPr>
                <w:color w:val="auto"/>
                <w:sz w:val="21"/>
                <w:szCs w:val="21"/>
              </w:rPr>
              <w:t>锆及其化合物</w:t>
            </w:r>
          </w:p>
        </w:tc>
        <w:tc>
          <w:tcPr>
            <w:tcW w:w="1470" w:type="dxa"/>
            <w:vAlign w:val="center"/>
          </w:tcPr>
          <w:p w14:paraId="2FBDD355">
            <w:pPr>
              <w:widowControl w:val="0"/>
              <w:jc w:val="center"/>
              <w:rPr>
                <w:color w:val="auto"/>
                <w:sz w:val="21"/>
                <w:szCs w:val="21"/>
              </w:rPr>
            </w:pPr>
            <w:r>
              <w:rPr>
                <w:color w:val="auto"/>
                <w:sz w:val="21"/>
                <w:szCs w:val="21"/>
              </w:rPr>
              <w:t>物料衡算法</w:t>
            </w:r>
          </w:p>
        </w:tc>
        <w:tc>
          <w:tcPr>
            <w:tcW w:w="1133" w:type="dxa"/>
            <w:vMerge w:val="continue"/>
            <w:vAlign w:val="center"/>
          </w:tcPr>
          <w:p w14:paraId="20612585">
            <w:pPr>
              <w:widowControl w:val="0"/>
              <w:jc w:val="center"/>
              <w:rPr>
                <w:color w:val="auto"/>
                <w:sz w:val="21"/>
                <w:szCs w:val="21"/>
              </w:rPr>
            </w:pPr>
          </w:p>
        </w:tc>
        <w:tc>
          <w:tcPr>
            <w:tcW w:w="1417" w:type="dxa"/>
            <w:vAlign w:val="center"/>
          </w:tcPr>
          <w:p w14:paraId="49E9174A">
            <w:pPr>
              <w:widowControl w:val="0"/>
              <w:jc w:val="center"/>
              <w:rPr>
                <w:color w:val="auto"/>
                <w:sz w:val="22"/>
                <w:szCs w:val="22"/>
              </w:rPr>
            </w:pPr>
            <w:r>
              <w:rPr>
                <w:color w:val="auto"/>
                <w:sz w:val="22"/>
                <w:szCs w:val="22"/>
              </w:rPr>
              <w:t>15.75</w:t>
            </w:r>
          </w:p>
        </w:tc>
        <w:tc>
          <w:tcPr>
            <w:tcW w:w="1275" w:type="dxa"/>
            <w:vAlign w:val="center"/>
          </w:tcPr>
          <w:p w14:paraId="0E2F3FA9">
            <w:pPr>
              <w:widowControl w:val="0"/>
              <w:jc w:val="center"/>
              <w:rPr>
                <w:color w:val="auto"/>
                <w:sz w:val="21"/>
                <w:szCs w:val="21"/>
              </w:rPr>
            </w:pPr>
            <w:r>
              <w:rPr>
                <w:color w:val="auto"/>
                <w:sz w:val="21"/>
                <w:szCs w:val="21"/>
              </w:rPr>
              <w:t>0.04</w:t>
            </w:r>
          </w:p>
        </w:tc>
        <w:tc>
          <w:tcPr>
            <w:tcW w:w="1133" w:type="dxa"/>
            <w:vAlign w:val="center"/>
          </w:tcPr>
          <w:p w14:paraId="45A9FEB3">
            <w:pPr>
              <w:widowControl w:val="0"/>
              <w:jc w:val="center"/>
              <w:rPr>
                <w:color w:val="auto"/>
                <w:sz w:val="21"/>
                <w:szCs w:val="21"/>
              </w:rPr>
            </w:pPr>
            <w:r>
              <w:rPr>
                <w:color w:val="auto"/>
                <w:sz w:val="21"/>
                <w:szCs w:val="21"/>
              </w:rPr>
              <w:t>0.33</w:t>
            </w:r>
          </w:p>
        </w:tc>
        <w:tc>
          <w:tcPr>
            <w:tcW w:w="1523" w:type="dxa"/>
            <w:vMerge w:val="continue"/>
            <w:vAlign w:val="center"/>
          </w:tcPr>
          <w:p w14:paraId="259CFDBC">
            <w:pPr>
              <w:widowControl w:val="0"/>
              <w:jc w:val="center"/>
              <w:rPr>
                <w:color w:val="auto"/>
                <w:sz w:val="21"/>
                <w:szCs w:val="21"/>
              </w:rPr>
            </w:pPr>
          </w:p>
        </w:tc>
        <w:tc>
          <w:tcPr>
            <w:tcW w:w="1025" w:type="dxa"/>
            <w:vAlign w:val="center"/>
          </w:tcPr>
          <w:p w14:paraId="12BECD92">
            <w:pPr>
              <w:widowControl w:val="0"/>
              <w:jc w:val="center"/>
              <w:rPr>
                <w:color w:val="auto"/>
                <w:sz w:val="21"/>
                <w:szCs w:val="21"/>
              </w:rPr>
            </w:pPr>
            <w:r>
              <w:rPr>
                <w:color w:val="auto"/>
                <w:sz w:val="21"/>
                <w:szCs w:val="21"/>
              </w:rPr>
              <w:t>99.8%</w:t>
            </w:r>
          </w:p>
        </w:tc>
        <w:tc>
          <w:tcPr>
            <w:tcW w:w="1373" w:type="dxa"/>
            <w:vAlign w:val="center"/>
          </w:tcPr>
          <w:p w14:paraId="3CE11D53">
            <w:pPr>
              <w:widowControl w:val="0"/>
              <w:jc w:val="center"/>
              <w:rPr>
                <w:color w:val="auto"/>
                <w:sz w:val="22"/>
                <w:szCs w:val="22"/>
              </w:rPr>
            </w:pPr>
            <w:r>
              <w:rPr>
                <w:color w:val="auto"/>
                <w:sz w:val="22"/>
                <w:szCs w:val="22"/>
              </w:rPr>
              <w:t>0.03</w:t>
            </w:r>
          </w:p>
        </w:tc>
        <w:tc>
          <w:tcPr>
            <w:tcW w:w="1177" w:type="dxa"/>
            <w:vAlign w:val="center"/>
          </w:tcPr>
          <w:p w14:paraId="232ED757">
            <w:pPr>
              <w:widowControl w:val="0"/>
              <w:jc w:val="center"/>
              <w:rPr>
                <w:color w:val="auto"/>
                <w:sz w:val="21"/>
                <w:szCs w:val="21"/>
              </w:rPr>
            </w:pPr>
            <w:r>
              <w:rPr>
                <w:color w:val="auto"/>
                <w:sz w:val="21"/>
                <w:szCs w:val="21"/>
              </w:rPr>
              <w:t>0.0001</w:t>
            </w:r>
          </w:p>
        </w:tc>
        <w:tc>
          <w:tcPr>
            <w:tcW w:w="1274" w:type="dxa"/>
            <w:vAlign w:val="center"/>
          </w:tcPr>
          <w:p w14:paraId="5707E471">
            <w:pPr>
              <w:widowControl w:val="0"/>
              <w:jc w:val="center"/>
              <w:rPr>
                <w:color w:val="auto"/>
                <w:sz w:val="21"/>
                <w:szCs w:val="21"/>
              </w:rPr>
            </w:pPr>
            <w:r>
              <w:rPr>
                <w:color w:val="auto"/>
                <w:sz w:val="21"/>
                <w:szCs w:val="21"/>
              </w:rPr>
              <w:t>0.0008</w:t>
            </w:r>
          </w:p>
        </w:tc>
        <w:tc>
          <w:tcPr>
            <w:tcW w:w="946" w:type="dxa"/>
            <w:vMerge w:val="continue"/>
            <w:vAlign w:val="center"/>
          </w:tcPr>
          <w:p w14:paraId="64D3B9F6">
            <w:pPr>
              <w:widowControl w:val="0"/>
              <w:jc w:val="center"/>
              <w:rPr>
                <w:color w:val="auto"/>
                <w:sz w:val="21"/>
                <w:szCs w:val="21"/>
              </w:rPr>
            </w:pPr>
          </w:p>
        </w:tc>
        <w:tc>
          <w:tcPr>
            <w:tcW w:w="959" w:type="dxa"/>
            <w:vMerge w:val="continue"/>
            <w:vAlign w:val="center"/>
          </w:tcPr>
          <w:p w14:paraId="2991F653">
            <w:pPr>
              <w:widowControl w:val="0"/>
              <w:jc w:val="center"/>
              <w:rPr>
                <w:color w:val="auto"/>
                <w:sz w:val="21"/>
                <w:szCs w:val="21"/>
              </w:rPr>
            </w:pPr>
          </w:p>
        </w:tc>
        <w:tc>
          <w:tcPr>
            <w:tcW w:w="759" w:type="dxa"/>
            <w:vMerge w:val="continue"/>
            <w:vAlign w:val="center"/>
          </w:tcPr>
          <w:p w14:paraId="5FA38D77">
            <w:pPr>
              <w:widowControl w:val="0"/>
              <w:jc w:val="center"/>
              <w:rPr>
                <w:color w:val="auto"/>
                <w:sz w:val="21"/>
                <w:szCs w:val="21"/>
              </w:rPr>
            </w:pPr>
          </w:p>
        </w:tc>
        <w:tc>
          <w:tcPr>
            <w:tcW w:w="699" w:type="dxa"/>
            <w:vMerge w:val="continue"/>
            <w:vAlign w:val="center"/>
          </w:tcPr>
          <w:p w14:paraId="2076FABB">
            <w:pPr>
              <w:widowControl w:val="0"/>
              <w:jc w:val="center"/>
              <w:rPr>
                <w:color w:val="auto"/>
                <w:sz w:val="21"/>
                <w:szCs w:val="21"/>
              </w:rPr>
            </w:pPr>
          </w:p>
        </w:tc>
        <w:tc>
          <w:tcPr>
            <w:tcW w:w="1538" w:type="dxa"/>
            <w:vMerge w:val="continue"/>
            <w:vAlign w:val="center"/>
          </w:tcPr>
          <w:p w14:paraId="0F7D8C03">
            <w:pPr>
              <w:widowControl w:val="0"/>
              <w:jc w:val="center"/>
              <w:rPr>
                <w:color w:val="auto"/>
                <w:sz w:val="21"/>
                <w:szCs w:val="21"/>
              </w:rPr>
            </w:pPr>
          </w:p>
        </w:tc>
      </w:tr>
      <w:tr w14:paraId="1D959F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31DDD671">
            <w:pPr>
              <w:widowControl w:val="0"/>
              <w:jc w:val="center"/>
              <w:rPr>
                <w:color w:val="auto"/>
                <w:sz w:val="21"/>
                <w:szCs w:val="21"/>
              </w:rPr>
            </w:pPr>
            <w:r>
              <w:rPr>
                <w:color w:val="auto"/>
                <w:sz w:val="21"/>
                <w:szCs w:val="21"/>
              </w:rPr>
              <w:t>G</w:t>
            </w:r>
            <w:r>
              <w:rPr>
                <w:color w:val="auto"/>
                <w:sz w:val="21"/>
                <w:szCs w:val="21"/>
                <w:vertAlign w:val="subscript"/>
              </w:rPr>
              <w:t>17</w:t>
            </w:r>
          </w:p>
        </w:tc>
        <w:tc>
          <w:tcPr>
            <w:tcW w:w="1540" w:type="dxa"/>
            <w:vMerge w:val="restart"/>
            <w:vAlign w:val="center"/>
          </w:tcPr>
          <w:p w14:paraId="26787E46">
            <w:pPr>
              <w:widowControl w:val="0"/>
              <w:jc w:val="center"/>
              <w:rPr>
                <w:color w:val="auto"/>
                <w:sz w:val="21"/>
                <w:szCs w:val="21"/>
              </w:rPr>
            </w:pPr>
            <w:r>
              <w:rPr>
                <w:color w:val="auto"/>
                <w:sz w:val="21"/>
                <w:szCs w:val="21"/>
              </w:rPr>
              <w:t>燃气锅炉废气（备用）</w:t>
            </w:r>
          </w:p>
        </w:tc>
        <w:tc>
          <w:tcPr>
            <w:tcW w:w="1358" w:type="dxa"/>
            <w:vAlign w:val="center"/>
          </w:tcPr>
          <w:p w14:paraId="7791195F">
            <w:pPr>
              <w:widowControl w:val="0"/>
              <w:jc w:val="center"/>
              <w:rPr>
                <w:color w:val="auto"/>
                <w:sz w:val="21"/>
                <w:szCs w:val="21"/>
              </w:rPr>
            </w:pPr>
            <w:r>
              <w:rPr>
                <w:color w:val="auto"/>
                <w:sz w:val="21"/>
                <w:szCs w:val="21"/>
              </w:rPr>
              <w:t>颗粒物</w:t>
            </w:r>
          </w:p>
        </w:tc>
        <w:tc>
          <w:tcPr>
            <w:tcW w:w="1470" w:type="dxa"/>
            <w:vAlign w:val="center"/>
          </w:tcPr>
          <w:p w14:paraId="14873877">
            <w:pPr>
              <w:widowControl w:val="0"/>
              <w:jc w:val="center"/>
              <w:rPr>
                <w:color w:val="auto"/>
                <w:sz w:val="21"/>
                <w:szCs w:val="21"/>
              </w:rPr>
            </w:pPr>
            <w:r>
              <w:rPr>
                <w:color w:val="auto"/>
                <w:sz w:val="21"/>
                <w:szCs w:val="21"/>
              </w:rPr>
              <w:t>系数法</w:t>
            </w:r>
          </w:p>
        </w:tc>
        <w:tc>
          <w:tcPr>
            <w:tcW w:w="1133" w:type="dxa"/>
            <w:vMerge w:val="restart"/>
            <w:vAlign w:val="center"/>
          </w:tcPr>
          <w:p w14:paraId="228DF6E3">
            <w:pPr>
              <w:widowControl w:val="0"/>
              <w:jc w:val="center"/>
              <w:rPr>
                <w:color w:val="auto"/>
                <w:sz w:val="21"/>
                <w:szCs w:val="21"/>
              </w:rPr>
            </w:pPr>
            <w:r>
              <w:rPr>
                <w:color w:val="auto"/>
                <w:sz w:val="21"/>
                <w:szCs w:val="21"/>
              </w:rPr>
              <w:t>6616.0</w:t>
            </w:r>
          </w:p>
        </w:tc>
        <w:tc>
          <w:tcPr>
            <w:tcW w:w="1417" w:type="dxa"/>
            <w:vAlign w:val="center"/>
          </w:tcPr>
          <w:p w14:paraId="3B452B25">
            <w:pPr>
              <w:widowControl w:val="0"/>
              <w:jc w:val="center"/>
              <w:rPr>
                <w:color w:val="auto"/>
                <w:sz w:val="22"/>
                <w:szCs w:val="22"/>
              </w:rPr>
            </w:pPr>
            <w:r>
              <w:rPr>
                <w:color w:val="auto"/>
                <w:sz w:val="22"/>
                <w:szCs w:val="22"/>
              </w:rPr>
              <w:t>10.00</w:t>
            </w:r>
          </w:p>
        </w:tc>
        <w:tc>
          <w:tcPr>
            <w:tcW w:w="1275" w:type="dxa"/>
            <w:vAlign w:val="center"/>
          </w:tcPr>
          <w:p w14:paraId="67950B9F">
            <w:pPr>
              <w:widowControl w:val="0"/>
              <w:jc w:val="center"/>
              <w:rPr>
                <w:color w:val="auto"/>
                <w:sz w:val="22"/>
                <w:szCs w:val="22"/>
              </w:rPr>
            </w:pPr>
            <w:r>
              <w:rPr>
                <w:color w:val="auto"/>
                <w:sz w:val="22"/>
                <w:szCs w:val="22"/>
              </w:rPr>
              <w:t>0.07</w:t>
            </w:r>
          </w:p>
        </w:tc>
        <w:tc>
          <w:tcPr>
            <w:tcW w:w="1133" w:type="dxa"/>
            <w:vAlign w:val="center"/>
          </w:tcPr>
          <w:p w14:paraId="5BEBC327">
            <w:pPr>
              <w:widowControl w:val="0"/>
              <w:jc w:val="center"/>
              <w:rPr>
                <w:color w:val="auto"/>
                <w:sz w:val="22"/>
                <w:szCs w:val="22"/>
              </w:rPr>
            </w:pPr>
            <w:r>
              <w:rPr>
                <w:color w:val="auto"/>
                <w:sz w:val="22"/>
                <w:szCs w:val="22"/>
              </w:rPr>
              <w:t>0.05</w:t>
            </w:r>
          </w:p>
        </w:tc>
        <w:tc>
          <w:tcPr>
            <w:tcW w:w="1523" w:type="dxa"/>
            <w:vMerge w:val="restart"/>
            <w:vAlign w:val="center"/>
          </w:tcPr>
          <w:p w14:paraId="7EAA9AB0">
            <w:pPr>
              <w:widowControl w:val="0"/>
              <w:jc w:val="center"/>
              <w:rPr>
                <w:color w:val="auto"/>
                <w:sz w:val="21"/>
                <w:szCs w:val="21"/>
              </w:rPr>
            </w:pPr>
            <w:r>
              <w:rPr>
                <w:color w:val="auto"/>
                <w:sz w:val="21"/>
                <w:szCs w:val="21"/>
              </w:rPr>
              <w:t>燃用清洁燃料</w:t>
            </w:r>
          </w:p>
        </w:tc>
        <w:tc>
          <w:tcPr>
            <w:tcW w:w="1025" w:type="dxa"/>
            <w:vAlign w:val="center"/>
          </w:tcPr>
          <w:p w14:paraId="71FD44E0">
            <w:pPr>
              <w:widowControl w:val="0"/>
              <w:jc w:val="center"/>
              <w:rPr>
                <w:color w:val="auto"/>
                <w:sz w:val="21"/>
                <w:szCs w:val="21"/>
              </w:rPr>
            </w:pPr>
            <w:r>
              <w:rPr>
                <w:color w:val="auto"/>
                <w:sz w:val="21"/>
                <w:szCs w:val="21"/>
              </w:rPr>
              <w:t>/</w:t>
            </w:r>
          </w:p>
        </w:tc>
        <w:tc>
          <w:tcPr>
            <w:tcW w:w="1373" w:type="dxa"/>
            <w:vAlign w:val="center"/>
          </w:tcPr>
          <w:p w14:paraId="1C4837CB">
            <w:pPr>
              <w:widowControl w:val="0"/>
              <w:jc w:val="center"/>
              <w:rPr>
                <w:color w:val="auto"/>
                <w:sz w:val="22"/>
                <w:szCs w:val="22"/>
              </w:rPr>
            </w:pPr>
            <w:r>
              <w:rPr>
                <w:color w:val="auto"/>
                <w:sz w:val="22"/>
                <w:szCs w:val="22"/>
              </w:rPr>
              <w:t>10.00</w:t>
            </w:r>
          </w:p>
        </w:tc>
        <w:tc>
          <w:tcPr>
            <w:tcW w:w="1177" w:type="dxa"/>
            <w:vAlign w:val="center"/>
          </w:tcPr>
          <w:p w14:paraId="19912850">
            <w:pPr>
              <w:widowControl w:val="0"/>
              <w:jc w:val="center"/>
              <w:rPr>
                <w:color w:val="auto"/>
                <w:sz w:val="22"/>
                <w:szCs w:val="22"/>
              </w:rPr>
            </w:pPr>
            <w:r>
              <w:rPr>
                <w:color w:val="auto"/>
                <w:sz w:val="22"/>
                <w:szCs w:val="22"/>
              </w:rPr>
              <w:t>0.066</w:t>
            </w:r>
          </w:p>
        </w:tc>
        <w:tc>
          <w:tcPr>
            <w:tcW w:w="1274" w:type="dxa"/>
            <w:vAlign w:val="center"/>
          </w:tcPr>
          <w:p w14:paraId="70C43610">
            <w:pPr>
              <w:widowControl w:val="0"/>
              <w:jc w:val="center"/>
              <w:rPr>
                <w:color w:val="auto"/>
                <w:sz w:val="22"/>
                <w:szCs w:val="22"/>
              </w:rPr>
            </w:pPr>
            <w:r>
              <w:rPr>
                <w:color w:val="auto"/>
                <w:sz w:val="22"/>
                <w:szCs w:val="22"/>
              </w:rPr>
              <w:t>0.05</w:t>
            </w:r>
          </w:p>
        </w:tc>
        <w:tc>
          <w:tcPr>
            <w:tcW w:w="946" w:type="dxa"/>
            <w:vMerge w:val="restart"/>
            <w:vAlign w:val="center"/>
          </w:tcPr>
          <w:p w14:paraId="325AFC13">
            <w:pPr>
              <w:widowControl w:val="0"/>
              <w:jc w:val="center"/>
              <w:rPr>
                <w:color w:val="auto"/>
                <w:sz w:val="21"/>
                <w:szCs w:val="21"/>
              </w:rPr>
            </w:pPr>
            <w:r>
              <w:rPr>
                <w:color w:val="auto"/>
                <w:sz w:val="21"/>
                <w:szCs w:val="21"/>
              </w:rPr>
              <w:t>/</w:t>
            </w:r>
          </w:p>
        </w:tc>
        <w:tc>
          <w:tcPr>
            <w:tcW w:w="959" w:type="dxa"/>
            <w:vMerge w:val="restart"/>
            <w:vAlign w:val="center"/>
          </w:tcPr>
          <w:p w14:paraId="67852CE8">
            <w:pPr>
              <w:widowControl w:val="0"/>
              <w:jc w:val="center"/>
              <w:rPr>
                <w:color w:val="auto"/>
                <w:sz w:val="21"/>
                <w:szCs w:val="21"/>
              </w:rPr>
            </w:pPr>
            <w:r>
              <w:rPr>
                <w:color w:val="auto"/>
                <w:sz w:val="21"/>
                <w:szCs w:val="21"/>
              </w:rPr>
              <w:t>80</w:t>
            </w:r>
          </w:p>
        </w:tc>
        <w:tc>
          <w:tcPr>
            <w:tcW w:w="759" w:type="dxa"/>
            <w:vMerge w:val="restart"/>
            <w:vAlign w:val="center"/>
          </w:tcPr>
          <w:p w14:paraId="7B18AF79">
            <w:pPr>
              <w:widowControl w:val="0"/>
              <w:jc w:val="center"/>
              <w:rPr>
                <w:color w:val="auto"/>
                <w:sz w:val="21"/>
                <w:szCs w:val="21"/>
              </w:rPr>
            </w:pPr>
            <w:r>
              <w:rPr>
                <w:color w:val="auto"/>
                <w:sz w:val="21"/>
                <w:szCs w:val="21"/>
              </w:rPr>
              <w:t>15</w:t>
            </w:r>
          </w:p>
        </w:tc>
        <w:tc>
          <w:tcPr>
            <w:tcW w:w="699" w:type="dxa"/>
            <w:vMerge w:val="restart"/>
            <w:vAlign w:val="center"/>
          </w:tcPr>
          <w:p w14:paraId="7D10A413">
            <w:pPr>
              <w:widowControl w:val="0"/>
              <w:jc w:val="center"/>
              <w:rPr>
                <w:color w:val="auto"/>
                <w:sz w:val="21"/>
                <w:szCs w:val="21"/>
              </w:rPr>
            </w:pPr>
            <w:r>
              <w:rPr>
                <w:color w:val="auto"/>
                <w:sz w:val="21"/>
                <w:szCs w:val="21"/>
              </w:rPr>
              <w:t>0.6</w:t>
            </w:r>
          </w:p>
        </w:tc>
        <w:tc>
          <w:tcPr>
            <w:tcW w:w="1538" w:type="dxa"/>
            <w:vMerge w:val="restart"/>
            <w:vAlign w:val="center"/>
          </w:tcPr>
          <w:p w14:paraId="02735522">
            <w:pPr>
              <w:widowControl w:val="0"/>
              <w:jc w:val="center"/>
              <w:rPr>
                <w:color w:val="auto"/>
                <w:sz w:val="21"/>
                <w:szCs w:val="21"/>
              </w:rPr>
            </w:pPr>
            <w:r>
              <w:rPr>
                <w:color w:val="auto"/>
                <w:sz w:val="21"/>
                <w:szCs w:val="21"/>
              </w:rPr>
              <w:t>720</w:t>
            </w:r>
          </w:p>
        </w:tc>
      </w:tr>
      <w:tr w14:paraId="1303FA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1025A8F0">
            <w:pPr>
              <w:widowControl w:val="0"/>
              <w:jc w:val="center"/>
              <w:rPr>
                <w:color w:val="auto"/>
                <w:sz w:val="21"/>
                <w:szCs w:val="21"/>
              </w:rPr>
            </w:pPr>
          </w:p>
        </w:tc>
        <w:tc>
          <w:tcPr>
            <w:tcW w:w="1540" w:type="dxa"/>
            <w:vMerge w:val="continue"/>
            <w:vAlign w:val="center"/>
          </w:tcPr>
          <w:p w14:paraId="0FCEB524">
            <w:pPr>
              <w:widowControl w:val="0"/>
              <w:jc w:val="center"/>
              <w:rPr>
                <w:color w:val="auto"/>
                <w:sz w:val="21"/>
                <w:szCs w:val="21"/>
              </w:rPr>
            </w:pPr>
          </w:p>
        </w:tc>
        <w:tc>
          <w:tcPr>
            <w:tcW w:w="1358" w:type="dxa"/>
            <w:vAlign w:val="center"/>
          </w:tcPr>
          <w:p w14:paraId="0807D12A">
            <w:pPr>
              <w:widowControl w:val="0"/>
              <w:jc w:val="center"/>
              <w:rPr>
                <w:color w:val="auto"/>
                <w:sz w:val="21"/>
                <w:szCs w:val="21"/>
              </w:rPr>
            </w:pPr>
            <w:r>
              <w:rPr>
                <w:color w:val="auto"/>
                <w:sz w:val="21"/>
                <w:szCs w:val="21"/>
              </w:rPr>
              <w:t>SO</w:t>
            </w:r>
            <w:r>
              <w:rPr>
                <w:color w:val="auto"/>
                <w:sz w:val="21"/>
                <w:szCs w:val="21"/>
                <w:vertAlign w:val="subscript"/>
              </w:rPr>
              <w:t>2</w:t>
            </w:r>
          </w:p>
        </w:tc>
        <w:tc>
          <w:tcPr>
            <w:tcW w:w="1470" w:type="dxa"/>
            <w:vAlign w:val="center"/>
          </w:tcPr>
          <w:p w14:paraId="2EEFFCBE">
            <w:pPr>
              <w:widowControl w:val="0"/>
              <w:jc w:val="center"/>
              <w:rPr>
                <w:color w:val="auto"/>
                <w:sz w:val="21"/>
                <w:szCs w:val="21"/>
              </w:rPr>
            </w:pPr>
            <w:r>
              <w:rPr>
                <w:color w:val="auto"/>
                <w:sz w:val="21"/>
                <w:szCs w:val="21"/>
              </w:rPr>
              <w:t>物料衡算</w:t>
            </w:r>
          </w:p>
        </w:tc>
        <w:tc>
          <w:tcPr>
            <w:tcW w:w="1133" w:type="dxa"/>
            <w:vMerge w:val="continue"/>
            <w:vAlign w:val="center"/>
          </w:tcPr>
          <w:p w14:paraId="47BFDF9D">
            <w:pPr>
              <w:widowControl w:val="0"/>
              <w:jc w:val="center"/>
              <w:rPr>
                <w:color w:val="auto"/>
                <w:sz w:val="21"/>
                <w:szCs w:val="21"/>
              </w:rPr>
            </w:pPr>
          </w:p>
        </w:tc>
        <w:tc>
          <w:tcPr>
            <w:tcW w:w="1417" w:type="dxa"/>
            <w:vAlign w:val="center"/>
          </w:tcPr>
          <w:p w14:paraId="26F254AA">
            <w:pPr>
              <w:widowControl w:val="0"/>
              <w:jc w:val="center"/>
              <w:rPr>
                <w:color w:val="auto"/>
                <w:sz w:val="21"/>
                <w:szCs w:val="21"/>
              </w:rPr>
            </w:pPr>
            <w:r>
              <w:rPr>
                <w:color w:val="auto"/>
                <w:sz w:val="21"/>
                <w:szCs w:val="21"/>
              </w:rPr>
              <w:t xml:space="preserve">2.30 </w:t>
            </w:r>
          </w:p>
        </w:tc>
        <w:tc>
          <w:tcPr>
            <w:tcW w:w="1275" w:type="dxa"/>
            <w:vAlign w:val="center"/>
          </w:tcPr>
          <w:p w14:paraId="39A6D44D">
            <w:pPr>
              <w:widowControl w:val="0"/>
              <w:jc w:val="center"/>
              <w:rPr>
                <w:color w:val="auto"/>
                <w:sz w:val="22"/>
                <w:szCs w:val="22"/>
              </w:rPr>
            </w:pPr>
            <w:r>
              <w:rPr>
                <w:color w:val="auto"/>
                <w:sz w:val="22"/>
                <w:szCs w:val="22"/>
              </w:rPr>
              <w:t>0.02</w:t>
            </w:r>
          </w:p>
        </w:tc>
        <w:tc>
          <w:tcPr>
            <w:tcW w:w="1133" w:type="dxa"/>
            <w:vAlign w:val="center"/>
          </w:tcPr>
          <w:p w14:paraId="502B5FF2">
            <w:pPr>
              <w:widowControl w:val="0"/>
              <w:jc w:val="center"/>
              <w:rPr>
                <w:color w:val="auto"/>
                <w:sz w:val="22"/>
                <w:szCs w:val="22"/>
              </w:rPr>
            </w:pPr>
            <w:r>
              <w:rPr>
                <w:color w:val="auto"/>
                <w:sz w:val="22"/>
                <w:szCs w:val="22"/>
              </w:rPr>
              <w:t>0.01</w:t>
            </w:r>
          </w:p>
        </w:tc>
        <w:tc>
          <w:tcPr>
            <w:tcW w:w="1523" w:type="dxa"/>
            <w:vMerge w:val="continue"/>
            <w:vAlign w:val="center"/>
          </w:tcPr>
          <w:p w14:paraId="2B0C95D1">
            <w:pPr>
              <w:widowControl w:val="0"/>
              <w:jc w:val="center"/>
              <w:rPr>
                <w:color w:val="auto"/>
                <w:sz w:val="21"/>
                <w:szCs w:val="21"/>
              </w:rPr>
            </w:pPr>
          </w:p>
        </w:tc>
        <w:tc>
          <w:tcPr>
            <w:tcW w:w="1025" w:type="dxa"/>
            <w:vAlign w:val="center"/>
          </w:tcPr>
          <w:p w14:paraId="1CDC30AB">
            <w:pPr>
              <w:widowControl w:val="0"/>
              <w:jc w:val="center"/>
              <w:rPr>
                <w:color w:val="auto"/>
                <w:sz w:val="21"/>
                <w:szCs w:val="21"/>
              </w:rPr>
            </w:pPr>
            <w:r>
              <w:rPr>
                <w:color w:val="auto"/>
                <w:sz w:val="21"/>
                <w:szCs w:val="21"/>
              </w:rPr>
              <w:t>/</w:t>
            </w:r>
          </w:p>
        </w:tc>
        <w:tc>
          <w:tcPr>
            <w:tcW w:w="1373" w:type="dxa"/>
            <w:vAlign w:val="center"/>
          </w:tcPr>
          <w:p w14:paraId="4643DD5F">
            <w:pPr>
              <w:widowControl w:val="0"/>
              <w:jc w:val="center"/>
              <w:rPr>
                <w:color w:val="auto"/>
                <w:sz w:val="22"/>
                <w:szCs w:val="22"/>
              </w:rPr>
            </w:pPr>
            <w:r>
              <w:rPr>
                <w:color w:val="auto"/>
                <w:sz w:val="22"/>
                <w:szCs w:val="22"/>
              </w:rPr>
              <w:t>2.30</w:t>
            </w:r>
          </w:p>
        </w:tc>
        <w:tc>
          <w:tcPr>
            <w:tcW w:w="1177" w:type="dxa"/>
            <w:vAlign w:val="center"/>
          </w:tcPr>
          <w:p w14:paraId="349069C4">
            <w:pPr>
              <w:widowControl w:val="0"/>
              <w:jc w:val="center"/>
              <w:rPr>
                <w:color w:val="auto"/>
                <w:sz w:val="22"/>
                <w:szCs w:val="22"/>
              </w:rPr>
            </w:pPr>
            <w:r>
              <w:rPr>
                <w:color w:val="auto"/>
                <w:sz w:val="22"/>
                <w:szCs w:val="22"/>
              </w:rPr>
              <w:t>0.015</w:t>
            </w:r>
          </w:p>
        </w:tc>
        <w:tc>
          <w:tcPr>
            <w:tcW w:w="1274" w:type="dxa"/>
            <w:vAlign w:val="center"/>
          </w:tcPr>
          <w:p w14:paraId="23365F65">
            <w:pPr>
              <w:widowControl w:val="0"/>
              <w:jc w:val="center"/>
              <w:rPr>
                <w:color w:val="auto"/>
                <w:sz w:val="22"/>
                <w:szCs w:val="22"/>
              </w:rPr>
            </w:pPr>
            <w:r>
              <w:rPr>
                <w:color w:val="auto"/>
                <w:sz w:val="22"/>
                <w:szCs w:val="22"/>
              </w:rPr>
              <w:t>0.01</w:t>
            </w:r>
          </w:p>
        </w:tc>
        <w:tc>
          <w:tcPr>
            <w:tcW w:w="946" w:type="dxa"/>
            <w:vMerge w:val="continue"/>
            <w:vAlign w:val="center"/>
          </w:tcPr>
          <w:p w14:paraId="77F65B56">
            <w:pPr>
              <w:widowControl w:val="0"/>
              <w:jc w:val="center"/>
              <w:rPr>
                <w:color w:val="auto"/>
                <w:sz w:val="21"/>
                <w:szCs w:val="21"/>
              </w:rPr>
            </w:pPr>
          </w:p>
        </w:tc>
        <w:tc>
          <w:tcPr>
            <w:tcW w:w="959" w:type="dxa"/>
            <w:vMerge w:val="continue"/>
            <w:vAlign w:val="center"/>
          </w:tcPr>
          <w:p w14:paraId="411AF48B">
            <w:pPr>
              <w:widowControl w:val="0"/>
              <w:jc w:val="center"/>
              <w:rPr>
                <w:color w:val="auto"/>
                <w:sz w:val="21"/>
                <w:szCs w:val="21"/>
              </w:rPr>
            </w:pPr>
          </w:p>
        </w:tc>
        <w:tc>
          <w:tcPr>
            <w:tcW w:w="759" w:type="dxa"/>
            <w:vMerge w:val="continue"/>
            <w:vAlign w:val="center"/>
          </w:tcPr>
          <w:p w14:paraId="42244D8A">
            <w:pPr>
              <w:widowControl w:val="0"/>
              <w:jc w:val="center"/>
              <w:rPr>
                <w:color w:val="auto"/>
                <w:sz w:val="21"/>
                <w:szCs w:val="21"/>
              </w:rPr>
            </w:pPr>
          </w:p>
        </w:tc>
        <w:tc>
          <w:tcPr>
            <w:tcW w:w="699" w:type="dxa"/>
            <w:vMerge w:val="continue"/>
            <w:vAlign w:val="center"/>
          </w:tcPr>
          <w:p w14:paraId="05BF8732">
            <w:pPr>
              <w:widowControl w:val="0"/>
              <w:jc w:val="center"/>
              <w:rPr>
                <w:color w:val="auto"/>
                <w:sz w:val="21"/>
                <w:szCs w:val="21"/>
              </w:rPr>
            </w:pPr>
          </w:p>
        </w:tc>
        <w:tc>
          <w:tcPr>
            <w:tcW w:w="1538" w:type="dxa"/>
            <w:vMerge w:val="continue"/>
            <w:vAlign w:val="center"/>
          </w:tcPr>
          <w:p w14:paraId="1FB23766">
            <w:pPr>
              <w:widowControl w:val="0"/>
              <w:jc w:val="center"/>
              <w:rPr>
                <w:color w:val="auto"/>
                <w:sz w:val="21"/>
                <w:szCs w:val="21"/>
              </w:rPr>
            </w:pPr>
          </w:p>
        </w:tc>
      </w:tr>
      <w:tr w14:paraId="7CFD017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1AA6494C">
            <w:pPr>
              <w:widowControl w:val="0"/>
              <w:jc w:val="center"/>
              <w:rPr>
                <w:color w:val="auto"/>
                <w:sz w:val="21"/>
                <w:szCs w:val="21"/>
              </w:rPr>
            </w:pPr>
          </w:p>
        </w:tc>
        <w:tc>
          <w:tcPr>
            <w:tcW w:w="1540" w:type="dxa"/>
            <w:vMerge w:val="continue"/>
            <w:vAlign w:val="center"/>
          </w:tcPr>
          <w:p w14:paraId="78569C9B">
            <w:pPr>
              <w:widowControl w:val="0"/>
              <w:jc w:val="center"/>
              <w:rPr>
                <w:color w:val="auto"/>
                <w:sz w:val="21"/>
                <w:szCs w:val="21"/>
              </w:rPr>
            </w:pPr>
          </w:p>
        </w:tc>
        <w:tc>
          <w:tcPr>
            <w:tcW w:w="1358" w:type="dxa"/>
            <w:vAlign w:val="center"/>
          </w:tcPr>
          <w:p w14:paraId="2DC2E8C3">
            <w:pPr>
              <w:widowControl w:val="0"/>
              <w:jc w:val="center"/>
              <w:rPr>
                <w:color w:val="auto"/>
                <w:sz w:val="21"/>
                <w:szCs w:val="21"/>
              </w:rPr>
            </w:pPr>
            <w:r>
              <w:rPr>
                <w:color w:val="auto"/>
                <w:sz w:val="21"/>
                <w:szCs w:val="21"/>
              </w:rPr>
              <w:t>NO</w:t>
            </w:r>
            <w:r>
              <w:rPr>
                <w:color w:val="auto"/>
                <w:sz w:val="21"/>
                <w:szCs w:val="21"/>
                <w:vertAlign w:val="subscript"/>
              </w:rPr>
              <w:t>X</w:t>
            </w:r>
          </w:p>
        </w:tc>
        <w:tc>
          <w:tcPr>
            <w:tcW w:w="1470" w:type="dxa"/>
            <w:vAlign w:val="center"/>
          </w:tcPr>
          <w:p w14:paraId="29683D75">
            <w:pPr>
              <w:widowControl w:val="0"/>
              <w:jc w:val="center"/>
              <w:rPr>
                <w:color w:val="auto"/>
                <w:sz w:val="21"/>
                <w:szCs w:val="21"/>
              </w:rPr>
            </w:pPr>
            <w:r>
              <w:rPr>
                <w:color w:val="auto"/>
                <w:sz w:val="21"/>
                <w:szCs w:val="21"/>
              </w:rPr>
              <w:t>系数法</w:t>
            </w:r>
          </w:p>
        </w:tc>
        <w:tc>
          <w:tcPr>
            <w:tcW w:w="1133" w:type="dxa"/>
            <w:vMerge w:val="continue"/>
            <w:vAlign w:val="center"/>
          </w:tcPr>
          <w:p w14:paraId="1F0A8952">
            <w:pPr>
              <w:widowControl w:val="0"/>
              <w:jc w:val="center"/>
              <w:rPr>
                <w:color w:val="auto"/>
                <w:sz w:val="21"/>
                <w:szCs w:val="21"/>
              </w:rPr>
            </w:pPr>
          </w:p>
        </w:tc>
        <w:tc>
          <w:tcPr>
            <w:tcW w:w="1417" w:type="dxa"/>
            <w:vAlign w:val="center"/>
          </w:tcPr>
          <w:p w14:paraId="7242E421">
            <w:pPr>
              <w:widowControl w:val="0"/>
              <w:jc w:val="center"/>
              <w:rPr>
                <w:color w:val="auto"/>
                <w:sz w:val="21"/>
                <w:szCs w:val="21"/>
              </w:rPr>
            </w:pPr>
            <w:r>
              <w:rPr>
                <w:color w:val="auto"/>
                <w:sz w:val="21"/>
                <w:szCs w:val="21"/>
              </w:rPr>
              <w:t xml:space="preserve">28.12 </w:t>
            </w:r>
          </w:p>
        </w:tc>
        <w:tc>
          <w:tcPr>
            <w:tcW w:w="1275" w:type="dxa"/>
            <w:vAlign w:val="center"/>
          </w:tcPr>
          <w:p w14:paraId="0B36C1EC">
            <w:pPr>
              <w:widowControl w:val="0"/>
              <w:jc w:val="center"/>
              <w:rPr>
                <w:color w:val="auto"/>
                <w:sz w:val="22"/>
                <w:szCs w:val="22"/>
              </w:rPr>
            </w:pPr>
            <w:r>
              <w:rPr>
                <w:color w:val="auto"/>
                <w:sz w:val="22"/>
                <w:szCs w:val="22"/>
              </w:rPr>
              <w:t>0.19</w:t>
            </w:r>
          </w:p>
        </w:tc>
        <w:tc>
          <w:tcPr>
            <w:tcW w:w="1133" w:type="dxa"/>
            <w:vAlign w:val="center"/>
          </w:tcPr>
          <w:p w14:paraId="4EBA3EFE">
            <w:pPr>
              <w:widowControl w:val="0"/>
              <w:jc w:val="center"/>
              <w:rPr>
                <w:color w:val="auto"/>
                <w:sz w:val="22"/>
                <w:szCs w:val="22"/>
              </w:rPr>
            </w:pPr>
            <w:r>
              <w:rPr>
                <w:color w:val="auto"/>
                <w:sz w:val="22"/>
                <w:szCs w:val="22"/>
              </w:rPr>
              <w:t>0.13</w:t>
            </w:r>
          </w:p>
        </w:tc>
        <w:tc>
          <w:tcPr>
            <w:tcW w:w="1523" w:type="dxa"/>
            <w:vAlign w:val="center"/>
          </w:tcPr>
          <w:p w14:paraId="5A0F8252">
            <w:pPr>
              <w:widowControl w:val="0"/>
              <w:jc w:val="center"/>
              <w:rPr>
                <w:color w:val="auto"/>
                <w:sz w:val="21"/>
                <w:szCs w:val="21"/>
              </w:rPr>
            </w:pPr>
            <w:r>
              <w:rPr>
                <w:color w:val="auto"/>
                <w:sz w:val="21"/>
                <w:szCs w:val="21"/>
              </w:rPr>
              <w:t>低氮燃烧</w:t>
            </w:r>
          </w:p>
        </w:tc>
        <w:tc>
          <w:tcPr>
            <w:tcW w:w="1025" w:type="dxa"/>
            <w:vAlign w:val="center"/>
          </w:tcPr>
          <w:p w14:paraId="20075AC8">
            <w:pPr>
              <w:widowControl w:val="0"/>
              <w:jc w:val="center"/>
              <w:rPr>
                <w:color w:val="auto"/>
                <w:sz w:val="21"/>
                <w:szCs w:val="21"/>
              </w:rPr>
            </w:pPr>
            <w:r>
              <w:rPr>
                <w:color w:val="auto"/>
                <w:sz w:val="21"/>
                <w:szCs w:val="21"/>
              </w:rPr>
              <w:t>/</w:t>
            </w:r>
          </w:p>
        </w:tc>
        <w:tc>
          <w:tcPr>
            <w:tcW w:w="1373" w:type="dxa"/>
            <w:vAlign w:val="center"/>
          </w:tcPr>
          <w:p w14:paraId="55328013">
            <w:pPr>
              <w:widowControl w:val="0"/>
              <w:jc w:val="center"/>
              <w:rPr>
                <w:color w:val="auto"/>
                <w:sz w:val="22"/>
                <w:szCs w:val="22"/>
              </w:rPr>
            </w:pPr>
            <w:r>
              <w:rPr>
                <w:color w:val="auto"/>
                <w:sz w:val="22"/>
                <w:szCs w:val="22"/>
              </w:rPr>
              <w:t>28.12</w:t>
            </w:r>
          </w:p>
        </w:tc>
        <w:tc>
          <w:tcPr>
            <w:tcW w:w="1177" w:type="dxa"/>
            <w:vAlign w:val="center"/>
          </w:tcPr>
          <w:p w14:paraId="0D683571">
            <w:pPr>
              <w:widowControl w:val="0"/>
              <w:jc w:val="center"/>
              <w:rPr>
                <w:color w:val="auto"/>
                <w:sz w:val="22"/>
                <w:szCs w:val="22"/>
              </w:rPr>
            </w:pPr>
            <w:r>
              <w:rPr>
                <w:color w:val="auto"/>
                <w:sz w:val="22"/>
                <w:szCs w:val="22"/>
              </w:rPr>
              <w:t>0.186</w:t>
            </w:r>
          </w:p>
        </w:tc>
        <w:tc>
          <w:tcPr>
            <w:tcW w:w="1274" w:type="dxa"/>
            <w:vAlign w:val="center"/>
          </w:tcPr>
          <w:p w14:paraId="71D6F009">
            <w:pPr>
              <w:widowControl w:val="0"/>
              <w:jc w:val="center"/>
              <w:rPr>
                <w:color w:val="auto"/>
                <w:sz w:val="22"/>
                <w:szCs w:val="22"/>
              </w:rPr>
            </w:pPr>
            <w:r>
              <w:rPr>
                <w:color w:val="auto"/>
                <w:sz w:val="22"/>
                <w:szCs w:val="22"/>
              </w:rPr>
              <w:t>0.13</w:t>
            </w:r>
          </w:p>
        </w:tc>
        <w:tc>
          <w:tcPr>
            <w:tcW w:w="946" w:type="dxa"/>
            <w:vMerge w:val="continue"/>
            <w:vAlign w:val="center"/>
          </w:tcPr>
          <w:p w14:paraId="5DC38E1E">
            <w:pPr>
              <w:widowControl w:val="0"/>
              <w:jc w:val="center"/>
              <w:rPr>
                <w:color w:val="auto"/>
                <w:sz w:val="21"/>
                <w:szCs w:val="21"/>
              </w:rPr>
            </w:pPr>
          </w:p>
        </w:tc>
        <w:tc>
          <w:tcPr>
            <w:tcW w:w="959" w:type="dxa"/>
            <w:vMerge w:val="continue"/>
            <w:vAlign w:val="center"/>
          </w:tcPr>
          <w:p w14:paraId="322FF0B0">
            <w:pPr>
              <w:widowControl w:val="0"/>
              <w:jc w:val="center"/>
              <w:rPr>
                <w:color w:val="auto"/>
                <w:sz w:val="21"/>
                <w:szCs w:val="21"/>
              </w:rPr>
            </w:pPr>
          </w:p>
        </w:tc>
        <w:tc>
          <w:tcPr>
            <w:tcW w:w="759" w:type="dxa"/>
            <w:vMerge w:val="continue"/>
            <w:vAlign w:val="center"/>
          </w:tcPr>
          <w:p w14:paraId="743156F7">
            <w:pPr>
              <w:widowControl w:val="0"/>
              <w:jc w:val="center"/>
              <w:rPr>
                <w:color w:val="auto"/>
                <w:sz w:val="21"/>
                <w:szCs w:val="21"/>
              </w:rPr>
            </w:pPr>
          </w:p>
        </w:tc>
        <w:tc>
          <w:tcPr>
            <w:tcW w:w="699" w:type="dxa"/>
            <w:vMerge w:val="continue"/>
            <w:vAlign w:val="center"/>
          </w:tcPr>
          <w:p w14:paraId="23E2496D">
            <w:pPr>
              <w:widowControl w:val="0"/>
              <w:jc w:val="center"/>
              <w:rPr>
                <w:color w:val="auto"/>
                <w:sz w:val="21"/>
                <w:szCs w:val="21"/>
              </w:rPr>
            </w:pPr>
          </w:p>
        </w:tc>
        <w:tc>
          <w:tcPr>
            <w:tcW w:w="1538" w:type="dxa"/>
            <w:vMerge w:val="continue"/>
            <w:vAlign w:val="center"/>
          </w:tcPr>
          <w:p w14:paraId="3B27B2A4">
            <w:pPr>
              <w:widowControl w:val="0"/>
              <w:jc w:val="center"/>
              <w:rPr>
                <w:color w:val="auto"/>
                <w:sz w:val="21"/>
                <w:szCs w:val="21"/>
              </w:rPr>
            </w:pPr>
          </w:p>
        </w:tc>
      </w:tr>
      <w:tr w14:paraId="3B7183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restart"/>
            <w:vAlign w:val="center"/>
          </w:tcPr>
          <w:p w14:paraId="112DFB70">
            <w:pPr>
              <w:widowControl w:val="0"/>
              <w:jc w:val="center"/>
              <w:rPr>
                <w:color w:val="auto"/>
                <w:sz w:val="21"/>
                <w:szCs w:val="21"/>
              </w:rPr>
            </w:pPr>
            <w:r>
              <w:rPr>
                <w:color w:val="auto"/>
                <w:sz w:val="21"/>
                <w:szCs w:val="21"/>
              </w:rPr>
              <w:t>G</w:t>
            </w:r>
            <w:r>
              <w:rPr>
                <w:color w:val="auto"/>
                <w:sz w:val="21"/>
                <w:szCs w:val="21"/>
                <w:vertAlign w:val="subscript"/>
              </w:rPr>
              <w:t>18</w:t>
            </w:r>
          </w:p>
        </w:tc>
        <w:tc>
          <w:tcPr>
            <w:tcW w:w="1540" w:type="dxa"/>
            <w:vMerge w:val="restart"/>
            <w:vAlign w:val="center"/>
          </w:tcPr>
          <w:p w14:paraId="2C13BCFF">
            <w:pPr>
              <w:widowControl w:val="0"/>
              <w:jc w:val="center"/>
              <w:rPr>
                <w:color w:val="auto"/>
                <w:sz w:val="21"/>
                <w:szCs w:val="21"/>
              </w:rPr>
            </w:pPr>
            <w:r>
              <w:rPr>
                <w:color w:val="auto"/>
                <w:sz w:val="21"/>
                <w:szCs w:val="21"/>
              </w:rPr>
              <w:t>燃气锅炉废气（备用）</w:t>
            </w:r>
          </w:p>
        </w:tc>
        <w:tc>
          <w:tcPr>
            <w:tcW w:w="1358" w:type="dxa"/>
            <w:vAlign w:val="center"/>
          </w:tcPr>
          <w:p w14:paraId="0C465D27">
            <w:pPr>
              <w:widowControl w:val="0"/>
              <w:jc w:val="center"/>
              <w:rPr>
                <w:color w:val="auto"/>
                <w:sz w:val="21"/>
                <w:szCs w:val="21"/>
              </w:rPr>
            </w:pPr>
            <w:r>
              <w:rPr>
                <w:color w:val="auto"/>
                <w:sz w:val="21"/>
                <w:szCs w:val="21"/>
              </w:rPr>
              <w:t>颗粒物</w:t>
            </w:r>
          </w:p>
        </w:tc>
        <w:tc>
          <w:tcPr>
            <w:tcW w:w="1470" w:type="dxa"/>
            <w:vAlign w:val="center"/>
          </w:tcPr>
          <w:p w14:paraId="027064D5">
            <w:pPr>
              <w:widowControl w:val="0"/>
              <w:jc w:val="center"/>
              <w:rPr>
                <w:color w:val="auto"/>
                <w:sz w:val="21"/>
                <w:szCs w:val="21"/>
              </w:rPr>
            </w:pPr>
            <w:r>
              <w:rPr>
                <w:color w:val="auto"/>
                <w:sz w:val="21"/>
                <w:szCs w:val="21"/>
              </w:rPr>
              <w:t>系数法</w:t>
            </w:r>
          </w:p>
        </w:tc>
        <w:tc>
          <w:tcPr>
            <w:tcW w:w="1133" w:type="dxa"/>
            <w:vMerge w:val="restart"/>
            <w:vAlign w:val="center"/>
          </w:tcPr>
          <w:p w14:paraId="2CD8F3AE">
            <w:pPr>
              <w:widowControl w:val="0"/>
              <w:jc w:val="center"/>
              <w:rPr>
                <w:color w:val="auto"/>
                <w:sz w:val="21"/>
                <w:szCs w:val="21"/>
              </w:rPr>
            </w:pPr>
            <w:r>
              <w:rPr>
                <w:color w:val="auto"/>
                <w:sz w:val="21"/>
                <w:szCs w:val="21"/>
              </w:rPr>
              <w:t>6616.0</w:t>
            </w:r>
          </w:p>
        </w:tc>
        <w:tc>
          <w:tcPr>
            <w:tcW w:w="1417" w:type="dxa"/>
            <w:vAlign w:val="center"/>
          </w:tcPr>
          <w:p w14:paraId="1A092BD0">
            <w:pPr>
              <w:widowControl w:val="0"/>
              <w:jc w:val="center"/>
              <w:rPr>
                <w:color w:val="auto"/>
                <w:sz w:val="21"/>
                <w:szCs w:val="21"/>
              </w:rPr>
            </w:pPr>
            <w:r>
              <w:rPr>
                <w:color w:val="auto"/>
                <w:sz w:val="21"/>
                <w:szCs w:val="21"/>
              </w:rPr>
              <w:t xml:space="preserve">10.00 </w:t>
            </w:r>
          </w:p>
        </w:tc>
        <w:tc>
          <w:tcPr>
            <w:tcW w:w="1275" w:type="dxa"/>
            <w:vAlign w:val="center"/>
          </w:tcPr>
          <w:p w14:paraId="6CE28D9F">
            <w:pPr>
              <w:widowControl w:val="0"/>
              <w:jc w:val="center"/>
              <w:rPr>
                <w:color w:val="auto"/>
                <w:sz w:val="21"/>
                <w:szCs w:val="21"/>
              </w:rPr>
            </w:pPr>
            <w:r>
              <w:rPr>
                <w:color w:val="auto"/>
                <w:sz w:val="21"/>
                <w:szCs w:val="21"/>
              </w:rPr>
              <w:t xml:space="preserve">0.07 </w:t>
            </w:r>
          </w:p>
        </w:tc>
        <w:tc>
          <w:tcPr>
            <w:tcW w:w="1133" w:type="dxa"/>
            <w:vAlign w:val="center"/>
          </w:tcPr>
          <w:p w14:paraId="4A5FFC68">
            <w:pPr>
              <w:widowControl w:val="0"/>
              <w:jc w:val="center"/>
              <w:rPr>
                <w:color w:val="auto"/>
                <w:sz w:val="21"/>
                <w:szCs w:val="21"/>
              </w:rPr>
            </w:pPr>
            <w:r>
              <w:rPr>
                <w:color w:val="auto"/>
                <w:sz w:val="21"/>
                <w:szCs w:val="21"/>
              </w:rPr>
              <w:t xml:space="preserve">0.05 </w:t>
            </w:r>
          </w:p>
        </w:tc>
        <w:tc>
          <w:tcPr>
            <w:tcW w:w="1523" w:type="dxa"/>
            <w:vMerge w:val="restart"/>
            <w:vAlign w:val="center"/>
          </w:tcPr>
          <w:p w14:paraId="5F62EE22">
            <w:pPr>
              <w:widowControl w:val="0"/>
              <w:jc w:val="center"/>
              <w:rPr>
                <w:color w:val="auto"/>
                <w:sz w:val="21"/>
                <w:szCs w:val="21"/>
              </w:rPr>
            </w:pPr>
            <w:r>
              <w:rPr>
                <w:color w:val="auto"/>
                <w:sz w:val="21"/>
                <w:szCs w:val="21"/>
              </w:rPr>
              <w:t>燃用清洁燃料</w:t>
            </w:r>
          </w:p>
        </w:tc>
        <w:tc>
          <w:tcPr>
            <w:tcW w:w="1025" w:type="dxa"/>
            <w:vAlign w:val="center"/>
          </w:tcPr>
          <w:p w14:paraId="71566BB6">
            <w:pPr>
              <w:widowControl w:val="0"/>
              <w:jc w:val="center"/>
              <w:rPr>
                <w:color w:val="auto"/>
                <w:sz w:val="21"/>
                <w:szCs w:val="21"/>
              </w:rPr>
            </w:pPr>
            <w:r>
              <w:rPr>
                <w:color w:val="auto"/>
                <w:sz w:val="21"/>
                <w:szCs w:val="21"/>
              </w:rPr>
              <w:t>/</w:t>
            </w:r>
          </w:p>
        </w:tc>
        <w:tc>
          <w:tcPr>
            <w:tcW w:w="1373" w:type="dxa"/>
            <w:vAlign w:val="center"/>
          </w:tcPr>
          <w:p w14:paraId="1B6F0B66">
            <w:pPr>
              <w:widowControl w:val="0"/>
              <w:jc w:val="center"/>
              <w:rPr>
                <w:color w:val="auto"/>
                <w:sz w:val="21"/>
                <w:szCs w:val="21"/>
              </w:rPr>
            </w:pPr>
            <w:r>
              <w:rPr>
                <w:color w:val="auto"/>
                <w:sz w:val="21"/>
                <w:szCs w:val="21"/>
              </w:rPr>
              <w:t xml:space="preserve">10.00 </w:t>
            </w:r>
          </w:p>
        </w:tc>
        <w:tc>
          <w:tcPr>
            <w:tcW w:w="1177" w:type="dxa"/>
            <w:vAlign w:val="center"/>
          </w:tcPr>
          <w:p w14:paraId="0E14F949">
            <w:pPr>
              <w:widowControl w:val="0"/>
              <w:jc w:val="center"/>
              <w:rPr>
                <w:color w:val="auto"/>
                <w:sz w:val="21"/>
                <w:szCs w:val="21"/>
              </w:rPr>
            </w:pPr>
            <w:r>
              <w:rPr>
                <w:color w:val="auto"/>
                <w:sz w:val="21"/>
                <w:szCs w:val="21"/>
              </w:rPr>
              <w:t>0.066</w:t>
            </w:r>
          </w:p>
        </w:tc>
        <w:tc>
          <w:tcPr>
            <w:tcW w:w="1274" w:type="dxa"/>
            <w:vAlign w:val="center"/>
          </w:tcPr>
          <w:p w14:paraId="55AC25F5">
            <w:pPr>
              <w:widowControl w:val="0"/>
              <w:jc w:val="center"/>
              <w:rPr>
                <w:color w:val="auto"/>
                <w:sz w:val="21"/>
                <w:szCs w:val="21"/>
              </w:rPr>
            </w:pPr>
            <w:r>
              <w:rPr>
                <w:color w:val="auto"/>
                <w:sz w:val="21"/>
                <w:szCs w:val="21"/>
              </w:rPr>
              <w:t xml:space="preserve">0.05 </w:t>
            </w:r>
          </w:p>
        </w:tc>
        <w:tc>
          <w:tcPr>
            <w:tcW w:w="946" w:type="dxa"/>
            <w:vMerge w:val="restart"/>
            <w:vAlign w:val="center"/>
          </w:tcPr>
          <w:p w14:paraId="483909EF">
            <w:pPr>
              <w:widowControl w:val="0"/>
              <w:jc w:val="center"/>
              <w:rPr>
                <w:color w:val="auto"/>
                <w:sz w:val="21"/>
                <w:szCs w:val="21"/>
              </w:rPr>
            </w:pPr>
            <w:r>
              <w:rPr>
                <w:color w:val="auto"/>
                <w:sz w:val="21"/>
                <w:szCs w:val="21"/>
              </w:rPr>
              <w:t>/</w:t>
            </w:r>
          </w:p>
        </w:tc>
        <w:tc>
          <w:tcPr>
            <w:tcW w:w="959" w:type="dxa"/>
            <w:vMerge w:val="restart"/>
            <w:vAlign w:val="center"/>
          </w:tcPr>
          <w:p w14:paraId="4F3EFF2C">
            <w:pPr>
              <w:widowControl w:val="0"/>
              <w:jc w:val="center"/>
              <w:rPr>
                <w:color w:val="auto"/>
                <w:sz w:val="21"/>
                <w:szCs w:val="21"/>
              </w:rPr>
            </w:pPr>
            <w:r>
              <w:rPr>
                <w:color w:val="auto"/>
                <w:sz w:val="21"/>
                <w:szCs w:val="21"/>
              </w:rPr>
              <w:t>80</w:t>
            </w:r>
          </w:p>
        </w:tc>
        <w:tc>
          <w:tcPr>
            <w:tcW w:w="759" w:type="dxa"/>
            <w:vMerge w:val="restart"/>
            <w:vAlign w:val="center"/>
          </w:tcPr>
          <w:p w14:paraId="3ED023A9">
            <w:pPr>
              <w:widowControl w:val="0"/>
              <w:jc w:val="center"/>
              <w:rPr>
                <w:color w:val="auto"/>
                <w:sz w:val="21"/>
                <w:szCs w:val="21"/>
              </w:rPr>
            </w:pPr>
            <w:r>
              <w:rPr>
                <w:color w:val="auto"/>
                <w:sz w:val="21"/>
                <w:szCs w:val="21"/>
              </w:rPr>
              <w:t>15</w:t>
            </w:r>
          </w:p>
        </w:tc>
        <w:tc>
          <w:tcPr>
            <w:tcW w:w="699" w:type="dxa"/>
            <w:vMerge w:val="restart"/>
            <w:vAlign w:val="center"/>
          </w:tcPr>
          <w:p w14:paraId="51F4DAB8">
            <w:pPr>
              <w:widowControl w:val="0"/>
              <w:jc w:val="center"/>
              <w:rPr>
                <w:color w:val="auto"/>
                <w:sz w:val="21"/>
                <w:szCs w:val="21"/>
              </w:rPr>
            </w:pPr>
            <w:r>
              <w:rPr>
                <w:color w:val="auto"/>
                <w:sz w:val="21"/>
                <w:szCs w:val="21"/>
              </w:rPr>
              <w:t>0.6</w:t>
            </w:r>
          </w:p>
        </w:tc>
        <w:tc>
          <w:tcPr>
            <w:tcW w:w="1538" w:type="dxa"/>
            <w:vMerge w:val="restart"/>
            <w:vAlign w:val="center"/>
          </w:tcPr>
          <w:p w14:paraId="397793E5">
            <w:pPr>
              <w:widowControl w:val="0"/>
              <w:jc w:val="center"/>
              <w:rPr>
                <w:color w:val="auto"/>
                <w:sz w:val="21"/>
                <w:szCs w:val="21"/>
              </w:rPr>
            </w:pPr>
            <w:r>
              <w:rPr>
                <w:color w:val="auto"/>
                <w:sz w:val="21"/>
                <w:szCs w:val="21"/>
              </w:rPr>
              <w:t>720</w:t>
            </w:r>
          </w:p>
        </w:tc>
      </w:tr>
      <w:tr w14:paraId="6A0994F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CDCC706">
            <w:pPr>
              <w:widowControl w:val="0"/>
              <w:jc w:val="center"/>
              <w:rPr>
                <w:color w:val="auto"/>
                <w:sz w:val="21"/>
                <w:szCs w:val="21"/>
              </w:rPr>
            </w:pPr>
          </w:p>
        </w:tc>
        <w:tc>
          <w:tcPr>
            <w:tcW w:w="1540" w:type="dxa"/>
            <w:vMerge w:val="continue"/>
            <w:vAlign w:val="center"/>
          </w:tcPr>
          <w:p w14:paraId="0CCBEFD3">
            <w:pPr>
              <w:widowControl w:val="0"/>
              <w:jc w:val="center"/>
              <w:rPr>
                <w:color w:val="auto"/>
                <w:sz w:val="21"/>
                <w:szCs w:val="21"/>
              </w:rPr>
            </w:pPr>
          </w:p>
        </w:tc>
        <w:tc>
          <w:tcPr>
            <w:tcW w:w="1358" w:type="dxa"/>
            <w:vAlign w:val="center"/>
          </w:tcPr>
          <w:p w14:paraId="06BC1F70">
            <w:pPr>
              <w:widowControl w:val="0"/>
              <w:jc w:val="center"/>
              <w:rPr>
                <w:color w:val="auto"/>
                <w:sz w:val="21"/>
                <w:szCs w:val="21"/>
              </w:rPr>
            </w:pPr>
            <w:r>
              <w:rPr>
                <w:color w:val="auto"/>
                <w:sz w:val="21"/>
                <w:szCs w:val="21"/>
              </w:rPr>
              <w:t>SO</w:t>
            </w:r>
            <w:r>
              <w:rPr>
                <w:color w:val="auto"/>
                <w:sz w:val="21"/>
                <w:szCs w:val="21"/>
                <w:vertAlign w:val="subscript"/>
              </w:rPr>
              <w:t>2</w:t>
            </w:r>
          </w:p>
        </w:tc>
        <w:tc>
          <w:tcPr>
            <w:tcW w:w="1470" w:type="dxa"/>
            <w:vAlign w:val="center"/>
          </w:tcPr>
          <w:p w14:paraId="7A0EBE7C">
            <w:pPr>
              <w:widowControl w:val="0"/>
              <w:jc w:val="center"/>
              <w:rPr>
                <w:color w:val="auto"/>
                <w:sz w:val="21"/>
                <w:szCs w:val="21"/>
              </w:rPr>
            </w:pPr>
            <w:r>
              <w:rPr>
                <w:color w:val="auto"/>
                <w:sz w:val="21"/>
                <w:szCs w:val="21"/>
              </w:rPr>
              <w:t>物料衡算</w:t>
            </w:r>
          </w:p>
        </w:tc>
        <w:tc>
          <w:tcPr>
            <w:tcW w:w="1133" w:type="dxa"/>
            <w:vMerge w:val="continue"/>
            <w:vAlign w:val="center"/>
          </w:tcPr>
          <w:p w14:paraId="22AEA119">
            <w:pPr>
              <w:widowControl w:val="0"/>
              <w:jc w:val="center"/>
              <w:rPr>
                <w:color w:val="auto"/>
                <w:sz w:val="21"/>
                <w:szCs w:val="21"/>
              </w:rPr>
            </w:pPr>
          </w:p>
        </w:tc>
        <w:tc>
          <w:tcPr>
            <w:tcW w:w="1417" w:type="dxa"/>
            <w:vAlign w:val="center"/>
          </w:tcPr>
          <w:p w14:paraId="2066EDE9">
            <w:pPr>
              <w:widowControl w:val="0"/>
              <w:jc w:val="center"/>
              <w:rPr>
                <w:color w:val="auto"/>
                <w:sz w:val="21"/>
                <w:szCs w:val="21"/>
              </w:rPr>
            </w:pPr>
            <w:r>
              <w:rPr>
                <w:color w:val="auto"/>
                <w:sz w:val="21"/>
                <w:szCs w:val="21"/>
              </w:rPr>
              <w:t xml:space="preserve">2.30 </w:t>
            </w:r>
          </w:p>
        </w:tc>
        <w:tc>
          <w:tcPr>
            <w:tcW w:w="1275" w:type="dxa"/>
            <w:vAlign w:val="center"/>
          </w:tcPr>
          <w:p w14:paraId="27C1D578">
            <w:pPr>
              <w:widowControl w:val="0"/>
              <w:jc w:val="center"/>
              <w:rPr>
                <w:color w:val="auto"/>
                <w:sz w:val="21"/>
                <w:szCs w:val="21"/>
              </w:rPr>
            </w:pPr>
            <w:r>
              <w:rPr>
                <w:color w:val="auto"/>
                <w:sz w:val="21"/>
                <w:szCs w:val="21"/>
              </w:rPr>
              <w:t xml:space="preserve">0.02 </w:t>
            </w:r>
          </w:p>
        </w:tc>
        <w:tc>
          <w:tcPr>
            <w:tcW w:w="1133" w:type="dxa"/>
            <w:vAlign w:val="center"/>
          </w:tcPr>
          <w:p w14:paraId="52271D8E">
            <w:pPr>
              <w:widowControl w:val="0"/>
              <w:jc w:val="center"/>
              <w:rPr>
                <w:color w:val="auto"/>
                <w:sz w:val="21"/>
                <w:szCs w:val="21"/>
              </w:rPr>
            </w:pPr>
            <w:r>
              <w:rPr>
                <w:color w:val="auto"/>
                <w:sz w:val="21"/>
                <w:szCs w:val="21"/>
              </w:rPr>
              <w:t xml:space="preserve">0.01 </w:t>
            </w:r>
          </w:p>
        </w:tc>
        <w:tc>
          <w:tcPr>
            <w:tcW w:w="1523" w:type="dxa"/>
            <w:vMerge w:val="continue"/>
            <w:vAlign w:val="center"/>
          </w:tcPr>
          <w:p w14:paraId="41A5BCEF">
            <w:pPr>
              <w:widowControl w:val="0"/>
              <w:jc w:val="center"/>
              <w:rPr>
                <w:color w:val="auto"/>
                <w:sz w:val="21"/>
                <w:szCs w:val="21"/>
              </w:rPr>
            </w:pPr>
          </w:p>
        </w:tc>
        <w:tc>
          <w:tcPr>
            <w:tcW w:w="1025" w:type="dxa"/>
            <w:vAlign w:val="center"/>
          </w:tcPr>
          <w:p w14:paraId="0E4DE954">
            <w:pPr>
              <w:widowControl w:val="0"/>
              <w:jc w:val="center"/>
              <w:rPr>
                <w:color w:val="auto"/>
                <w:sz w:val="21"/>
                <w:szCs w:val="21"/>
              </w:rPr>
            </w:pPr>
            <w:r>
              <w:rPr>
                <w:color w:val="auto"/>
                <w:sz w:val="21"/>
                <w:szCs w:val="21"/>
              </w:rPr>
              <w:t>/</w:t>
            </w:r>
          </w:p>
        </w:tc>
        <w:tc>
          <w:tcPr>
            <w:tcW w:w="1373" w:type="dxa"/>
            <w:vAlign w:val="center"/>
          </w:tcPr>
          <w:p w14:paraId="5DFD0073">
            <w:pPr>
              <w:widowControl w:val="0"/>
              <w:jc w:val="center"/>
              <w:rPr>
                <w:color w:val="auto"/>
                <w:sz w:val="21"/>
                <w:szCs w:val="21"/>
              </w:rPr>
            </w:pPr>
            <w:r>
              <w:rPr>
                <w:color w:val="auto"/>
                <w:sz w:val="21"/>
                <w:szCs w:val="21"/>
              </w:rPr>
              <w:t xml:space="preserve">2.30 </w:t>
            </w:r>
          </w:p>
        </w:tc>
        <w:tc>
          <w:tcPr>
            <w:tcW w:w="1177" w:type="dxa"/>
            <w:vAlign w:val="center"/>
          </w:tcPr>
          <w:p w14:paraId="4E0719D0">
            <w:pPr>
              <w:widowControl w:val="0"/>
              <w:jc w:val="center"/>
              <w:rPr>
                <w:color w:val="auto"/>
                <w:sz w:val="21"/>
                <w:szCs w:val="21"/>
              </w:rPr>
            </w:pPr>
            <w:r>
              <w:rPr>
                <w:color w:val="auto"/>
                <w:sz w:val="21"/>
                <w:szCs w:val="21"/>
              </w:rPr>
              <w:t>0.015</w:t>
            </w:r>
          </w:p>
        </w:tc>
        <w:tc>
          <w:tcPr>
            <w:tcW w:w="1274" w:type="dxa"/>
            <w:vAlign w:val="center"/>
          </w:tcPr>
          <w:p w14:paraId="017618D5">
            <w:pPr>
              <w:widowControl w:val="0"/>
              <w:jc w:val="center"/>
              <w:rPr>
                <w:color w:val="auto"/>
                <w:sz w:val="21"/>
                <w:szCs w:val="21"/>
              </w:rPr>
            </w:pPr>
            <w:r>
              <w:rPr>
                <w:color w:val="auto"/>
                <w:sz w:val="21"/>
                <w:szCs w:val="21"/>
              </w:rPr>
              <w:t xml:space="preserve">0.01 </w:t>
            </w:r>
          </w:p>
        </w:tc>
        <w:tc>
          <w:tcPr>
            <w:tcW w:w="946" w:type="dxa"/>
            <w:vMerge w:val="continue"/>
            <w:vAlign w:val="center"/>
          </w:tcPr>
          <w:p w14:paraId="2AA355CF">
            <w:pPr>
              <w:widowControl w:val="0"/>
              <w:jc w:val="center"/>
              <w:rPr>
                <w:color w:val="auto"/>
                <w:sz w:val="21"/>
                <w:szCs w:val="21"/>
              </w:rPr>
            </w:pPr>
          </w:p>
        </w:tc>
        <w:tc>
          <w:tcPr>
            <w:tcW w:w="959" w:type="dxa"/>
            <w:vMerge w:val="continue"/>
            <w:vAlign w:val="center"/>
          </w:tcPr>
          <w:p w14:paraId="571FA30B">
            <w:pPr>
              <w:widowControl w:val="0"/>
              <w:jc w:val="center"/>
              <w:rPr>
                <w:color w:val="auto"/>
                <w:sz w:val="21"/>
                <w:szCs w:val="21"/>
              </w:rPr>
            </w:pPr>
          </w:p>
        </w:tc>
        <w:tc>
          <w:tcPr>
            <w:tcW w:w="759" w:type="dxa"/>
            <w:vMerge w:val="continue"/>
            <w:vAlign w:val="center"/>
          </w:tcPr>
          <w:p w14:paraId="73BEAEDA">
            <w:pPr>
              <w:widowControl w:val="0"/>
              <w:jc w:val="center"/>
              <w:rPr>
                <w:color w:val="auto"/>
                <w:sz w:val="21"/>
                <w:szCs w:val="21"/>
              </w:rPr>
            </w:pPr>
          </w:p>
        </w:tc>
        <w:tc>
          <w:tcPr>
            <w:tcW w:w="699" w:type="dxa"/>
            <w:vMerge w:val="continue"/>
            <w:vAlign w:val="center"/>
          </w:tcPr>
          <w:p w14:paraId="7546DF39">
            <w:pPr>
              <w:widowControl w:val="0"/>
              <w:jc w:val="center"/>
              <w:rPr>
                <w:color w:val="auto"/>
                <w:sz w:val="21"/>
                <w:szCs w:val="21"/>
              </w:rPr>
            </w:pPr>
          </w:p>
        </w:tc>
        <w:tc>
          <w:tcPr>
            <w:tcW w:w="1538" w:type="dxa"/>
            <w:vMerge w:val="continue"/>
            <w:vAlign w:val="center"/>
          </w:tcPr>
          <w:p w14:paraId="3AEE7BA1">
            <w:pPr>
              <w:widowControl w:val="0"/>
              <w:jc w:val="center"/>
              <w:rPr>
                <w:color w:val="auto"/>
                <w:sz w:val="21"/>
                <w:szCs w:val="21"/>
              </w:rPr>
            </w:pPr>
          </w:p>
        </w:tc>
      </w:tr>
      <w:tr w14:paraId="2BE3DEB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1" w:type="dxa"/>
            <w:vMerge w:val="continue"/>
            <w:vAlign w:val="center"/>
          </w:tcPr>
          <w:p w14:paraId="0CA3F05E">
            <w:pPr>
              <w:widowControl w:val="0"/>
              <w:jc w:val="center"/>
              <w:rPr>
                <w:color w:val="auto"/>
                <w:sz w:val="21"/>
                <w:szCs w:val="21"/>
              </w:rPr>
            </w:pPr>
          </w:p>
        </w:tc>
        <w:tc>
          <w:tcPr>
            <w:tcW w:w="1540" w:type="dxa"/>
            <w:vMerge w:val="continue"/>
            <w:vAlign w:val="center"/>
          </w:tcPr>
          <w:p w14:paraId="08490192">
            <w:pPr>
              <w:widowControl w:val="0"/>
              <w:jc w:val="center"/>
              <w:rPr>
                <w:color w:val="auto"/>
                <w:sz w:val="21"/>
                <w:szCs w:val="21"/>
              </w:rPr>
            </w:pPr>
          </w:p>
        </w:tc>
        <w:tc>
          <w:tcPr>
            <w:tcW w:w="1358" w:type="dxa"/>
            <w:vAlign w:val="center"/>
          </w:tcPr>
          <w:p w14:paraId="73CDF316">
            <w:pPr>
              <w:widowControl w:val="0"/>
              <w:jc w:val="center"/>
              <w:rPr>
                <w:color w:val="auto"/>
                <w:sz w:val="21"/>
                <w:szCs w:val="21"/>
              </w:rPr>
            </w:pPr>
            <w:r>
              <w:rPr>
                <w:color w:val="auto"/>
                <w:sz w:val="21"/>
                <w:szCs w:val="21"/>
              </w:rPr>
              <w:t>NO</w:t>
            </w:r>
            <w:r>
              <w:rPr>
                <w:color w:val="auto"/>
                <w:sz w:val="21"/>
                <w:szCs w:val="21"/>
                <w:vertAlign w:val="subscript"/>
              </w:rPr>
              <w:t>X</w:t>
            </w:r>
          </w:p>
        </w:tc>
        <w:tc>
          <w:tcPr>
            <w:tcW w:w="1470" w:type="dxa"/>
            <w:vAlign w:val="center"/>
          </w:tcPr>
          <w:p w14:paraId="3EF383E9">
            <w:pPr>
              <w:widowControl w:val="0"/>
              <w:jc w:val="center"/>
              <w:rPr>
                <w:color w:val="auto"/>
                <w:sz w:val="21"/>
                <w:szCs w:val="21"/>
              </w:rPr>
            </w:pPr>
            <w:r>
              <w:rPr>
                <w:color w:val="auto"/>
                <w:sz w:val="21"/>
                <w:szCs w:val="21"/>
              </w:rPr>
              <w:t>系数法</w:t>
            </w:r>
          </w:p>
        </w:tc>
        <w:tc>
          <w:tcPr>
            <w:tcW w:w="1133" w:type="dxa"/>
            <w:vMerge w:val="continue"/>
            <w:vAlign w:val="center"/>
          </w:tcPr>
          <w:p w14:paraId="1F18514C">
            <w:pPr>
              <w:widowControl w:val="0"/>
              <w:jc w:val="center"/>
              <w:rPr>
                <w:color w:val="auto"/>
                <w:sz w:val="21"/>
                <w:szCs w:val="21"/>
              </w:rPr>
            </w:pPr>
          </w:p>
        </w:tc>
        <w:tc>
          <w:tcPr>
            <w:tcW w:w="1417" w:type="dxa"/>
            <w:vAlign w:val="center"/>
          </w:tcPr>
          <w:p w14:paraId="02F38750">
            <w:pPr>
              <w:widowControl w:val="0"/>
              <w:jc w:val="center"/>
              <w:rPr>
                <w:color w:val="auto"/>
                <w:sz w:val="21"/>
                <w:szCs w:val="21"/>
              </w:rPr>
            </w:pPr>
            <w:r>
              <w:rPr>
                <w:color w:val="auto"/>
                <w:sz w:val="21"/>
                <w:szCs w:val="21"/>
              </w:rPr>
              <w:t xml:space="preserve">28.12 </w:t>
            </w:r>
          </w:p>
        </w:tc>
        <w:tc>
          <w:tcPr>
            <w:tcW w:w="1275" w:type="dxa"/>
            <w:vAlign w:val="center"/>
          </w:tcPr>
          <w:p w14:paraId="539AAC1A">
            <w:pPr>
              <w:widowControl w:val="0"/>
              <w:jc w:val="center"/>
              <w:rPr>
                <w:color w:val="auto"/>
                <w:sz w:val="21"/>
                <w:szCs w:val="21"/>
              </w:rPr>
            </w:pPr>
            <w:r>
              <w:rPr>
                <w:color w:val="auto"/>
                <w:sz w:val="21"/>
                <w:szCs w:val="21"/>
              </w:rPr>
              <w:t xml:space="preserve">0.19 </w:t>
            </w:r>
          </w:p>
        </w:tc>
        <w:tc>
          <w:tcPr>
            <w:tcW w:w="1133" w:type="dxa"/>
            <w:vAlign w:val="center"/>
          </w:tcPr>
          <w:p w14:paraId="6FC94972">
            <w:pPr>
              <w:widowControl w:val="0"/>
              <w:jc w:val="center"/>
              <w:rPr>
                <w:color w:val="auto"/>
                <w:sz w:val="21"/>
                <w:szCs w:val="21"/>
              </w:rPr>
            </w:pPr>
            <w:r>
              <w:rPr>
                <w:color w:val="auto"/>
                <w:sz w:val="21"/>
                <w:szCs w:val="21"/>
              </w:rPr>
              <w:t xml:space="preserve">0.13 </w:t>
            </w:r>
          </w:p>
        </w:tc>
        <w:tc>
          <w:tcPr>
            <w:tcW w:w="1523" w:type="dxa"/>
            <w:vAlign w:val="center"/>
          </w:tcPr>
          <w:p w14:paraId="18138FC1">
            <w:pPr>
              <w:widowControl w:val="0"/>
              <w:jc w:val="center"/>
              <w:rPr>
                <w:color w:val="auto"/>
                <w:sz w:val="21"/>
                <w:szCs w:val="21"/>
              </w:rPr>
            </w:pPr>
            <w:r>
              <w:rPr>
                <w:color w:val="auto"/>
                <w:sz w:val="21"/>
                <w:szCs w:val="21"/>
              </w:rPr>
              <w:t>低氮燃烧</w:t>
            </w:r>
          </w:p>
        </w:tc>
        <w:tc>
          <w:tcPr>
            <w:tcW w:w="1025" w:type="dxa"/>
            <w:vAlign w:val="center"/>
          </w:tcPr>
          <w:p w14:paraId="417EA3F9">
            <w:pPr>
              <w:widowControl w:val="0"/>
              <w:jc w:val="center"/>
              <w:rPr>
                <w:color w:val="auto"/>
                <w:sz w:val="21"/>
                <w:szCs w:val="21"/>
              </w:rPr>
            </w:pPr>
            <w:r>
              <w:rPr>
                <w:color w:val="auto"/>
                <w:sz w:val="21"/>
                <w:szCs w:val="21"/>
              </w:rPr>
              <w:t>/</w:t>
            </w:r>
          </w:p>
        </w:tc>
        <w:tc>
          <w:tcPr>
            <w:tcW w:w="1373" w:type="dxa"/>
            <w:vAlign w:val="center"/>
          </w:tcPr>
          <w:p w14:paraId="32655E86">
            <w:pPr>
              <w:widowControl w:val="0"/>
              <w:jc w:val="center"/>
              <w:rPr>
                <w:color w:val="auto"/>
                <w:sz w:val="21"/>
                <w:szCs w:val="21"/>
              </w:rPr>
            </w:pPr>
            <w:r>
              <w:rPr>
                <w:color w:val="auto"/>
                <w:sz w:val="21"/>
                <w:szCs w:val="21"/>
              </w:rPr>
              <w:t xml:space="preserve">28.12 </w:t>
            </w:r>
          </w:p>
        </w:tc>
        <w:tc>
          <w:tcPr>
            <w:tcW w:w="1177" w:type="dxa"/>
            <w:vAlign w:val="center"/>
          </w:tcPr>
          <w:p w14:paraId="75E81710">
            <w:pPr>
              <w:widowControl w:val="0"/>
              <w:jc w:val="center"/>
              <w:rPr>
                <w:color w:val="auto"/>
                <w:sz w:val="21"/>
                <w:szCs w:val="21"/>
              </w:rPr>
            </w:pPr>
            <w:r>
              <w:rPr>
                <w:color w:val="auto"/>
                <w:sz w:val="21"/>
                <w:szCs w:val="21"/>
              </w:rPr>
              <w:t>0.186</w:t>
            </w:r>
          </w:p>
        </w:tc>
        <w:tc>
          <w:tcPr>
            <w:tcW w:w="1274" w:type="dxa"/>
            <w:vAlign w:val="center"/>
          </w:tcPr>
          <w:p w14:paraId="63C9BF97">
            <w:pPr>
              <w:widowControl w:val="0"/>
              <w:jc w:val="center"/>
              <w:rPr>
                <w:color w:val="auto"/>
                <w:sz w:val="21"/>
                <w:szCs w:val="21"/>
              </w:rPr>
            </w:pPr>
            <w:r>
              <w:rPr>
                <w:color w:val="auto"/>
                <w:sz w:val="21"/>
                <w:szCs w:val="21"/>
              </w:rPr>
              <w:t xml:space="preserve">0.13 </w:t>
            </w:r>
          </w:p>
        </w:tc>
        <w:tc>
          <w:tcPr>
            <w:tcW w:w="946" w:type="dxa"/>
            <w:vMerge w:val="continue"/>
            <w:vAlign w:val="center"/>
          </w:tcPr>
          <w:p w14:paraId="4DC7EA95">
            <w:pPr>
              <w:widowControl w:val="0"/>
              <w:jc w:val="center"/>
              <w:rPr>
                <w:color w:val="auto"/>
                <w:sz w:val="21"/>
                <w:szCs w:val="21"/>
              </w:rPr>
            </w:pPr>
          </w:p>
        </w:tc>
        <w:tc>
          <w:tcPr>
            <w:tcW w:w="959" w:type="dxa"/>
            <w:vMerge w:val="continue"/>
            <w:vAlign w:val="center"/>
          </w:tcPr>
          <w:p w14:paraId="097F3118">
            <w:pPr>
              <w:widowControl w:val="0"/>
              <w:jc w:val="center"/>
              <w:rPr>
                <w:color w:val="auto"/>
                <w:sz w:val="21"/>
                <w:szCs w:val="21"/>
              </w:rPr>
            </w:pPr>
          </w:p>
        </w:tc>
        <w:tc>
          <w:tcPr>
            <w:tcW w:w="759" w:type="dxa"/>
            <w:vMerge w:val="continue"/>
            <w:vAlign w:val="center"/>
          </w:tcPr>
          <w:p w14:paraId="6F8B2CD3">
            <w:pPr>
              <w:widowControl w:val="0"/>
              <w:jc w:val="center"/>
              <w:rPr>
                <w:color w:val="auto"/>
                <w:sz w:val="21"/>
                <w:szCs w:val="21"/>
              </w:rPr>
            </w:pPr>
          </w:p>
        </w:tc>
        <w:tc>
          <w:tcPr>
            <w:tcW w:w="699" w:type="dxa"/>
            <w:vMerge w:val="continue"/>
            <w:vAlign w:val="center"/>
          </w:tcPr>
          <w:p w14:paraId="494382F4">
            <w:pPr>
              <w:widowControl w:val="0"/>
              <w:jc w:val="center"/>
              <w:rPr>
                <w:color w:val="auto"/>
                <w:sz w:val="21"/>
                <w:szCs w:val="21"/>
              </w:rPr>
            </w:pPr>
          </w:p>
        </w:tc>
        <w:tc>
          <w:tcPr>
            <w:tcW w:w="1538" w:type="dxa"/>
            <w:vMerge w:val="continue"/>
            <w:vAlign w:val="center"/>
          </w:tcPr>
          <w:p w14:paraId="3E039E7C">
            <w:pPr>
              <w:widowControl w:val="0"/>
              <w:jc w:val="center"/>
              <w:rPr>
                <w:color w:val="auto"/>
                <w:sz w:val="21"/>
                <w:szCs w:val="21"/>
              </w:rPr>
            </w:pPr>
          </w:p>
        </w:tc>
      </w:tr>
      <w:tr w14:paraId="0D4277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81" w:type="dxa"/>
            <w:gridSpan w:val="2"/>
            <w:vMerge w:val="restart"/>
            <w:vAlign w:val="center"/>
          </w:tcPr>
          <w:p w14:paraId="5FE36932">
            <w:pPr>
              <w:widowControl w:val="0"/>
              <w:jc w:val="center"/>
              <w:rPr>
                <w:color w:val="auto"/>
                <w:sz w:val="21"/>
                <w:szCs w:val="21"/>
              </w:rPr>
            </w:pPr>
            <w:r>
              <w:rPr>
                <w:color w:val="auto"/>
                <w:sz w:val="21"/>
                <w:szCs w:val="21"/>
              </w:rPr>
              <w:t>无组织排放</w:t>
            </w:r>
          </w:p>
        </w:tc>
        <w:tc>
          <w:tcPr>
            <w:tcW w:w="1358" w:type="dxa"/>
            <w:vAlign w:val="center"/>
          </w:tcPr>
          <w:p w14:paraId="324779C8">
            <w:pPr>
              <w:widowControl w:val="0"/>
              <w:jc w:val="center"/>
              <w:rPr>
                <w:color w:val="auto"/>
                <w:sz w:val="21"/>
                <w:szCs w:val="21"/>
              </w:rPr>
            </w:pPr>
            <w:r>
              <w:rPr>
                <w:color w:val="auto"/>
                <w:sz w:val="21"/>
                <w:szCs w:val="21"/>
              </w:rPr>
              <w:t>NH3</w:t>
            </w:r>
          </w:p>
        </w:tc>
        <w:tc>
          <w:tcPr>
            <w:tcW w:w="1470" w:type="dxa"/>
            <w:vAlign w:val="center"/>
          </w:tcPr>
          <w:p w14:paraId="7B17C698">
            <w:pPr>
              <w:widowControl w:val="0"/>
              <w:jc w:val="center"/>
              <w:rPr>
                <w:color w:val="auto"/>
                <w:sz w:val="21"/>
                <w:szCs w:val="21"/>
              </w:rPr>
            </w:pPr>
            <w:r>
              <w:rPr>
                <w:color w:val="auto"/>
                <w:sz w:val="21"/>
                <w:szCs w:val="21"/>
              </w:rPr>
              <w:t>物料衡算</w:t>
            </w:r>
            <w:r>
              <w:rPr>
                <w:rFonts w:hint="eastAsia"/>
                <w:color w:val="auto"/>
                <w:sz w:val="21"/>
                <w:szCs w:val="21"/>
              </w:rPr>
              <w:t>法</w:t>
            </w:r>
          </w:p>
        </w:tc>
        <w:tc>
          <w:tcPr>
            <w:tcW w:w="1133" w:type="dxa"/>
            <w:vAlign w:val="center"/>
          </w:tcPr>
          <w:p w14:paraId="5A2AA65C">
            <w:pPr>
              <w:widowControl w:val="0"/>
              <w:jc w:val="center"/>
              <w:rPr>
                <w:color w:val="auto"/>
                <w:sz w:val="21"/>
                <w:szCs w:val="21"/>
              </w:rPr>
            </w:pPr>
            <w:r>
              <w:rPr>
                <w:color w:val="auto"/>
                <w:sz w:val="21"/>
                <w:szCs w:val="21"/>
              </w:rPr>
              <w:t>/</w:t>
            </w:r>
          </w:p>
        </w:tc>
        <w:tc>
          <w:tcPr>
            <w:tcW w:w="1417" w:type="dxa"/>
            <w:vAlign w:val="center"/>
          </w:tcPr>
          <w:p w14:paraId="313CFC0D">
            <w:pPr>
              <w:widowControl w:val="0"/>
              <w:jc w:val="center"/>
              <w:rPr>
                <w:color w:val="auto"/>
                <w:sz w:val="21"/>
                <w:szCs w:val="21"/>
              </w:rPr>
            </w:pPr>
            <w:r>
              <w:rPr>
                <w:color w:val="auto"/>
                <w:sz w:val="21"/>
                <w:szCs w:val="21"/>
              </w:rPr>
              <w:t>/</w:t>
            </w:r>
          </w:p>
        </w:tc>
        <w:tc>
          <w:tcPr>
            <w:tcW w:w="1275" w:type="dxa"/>
            <w:vAlign w:val="center"/>
          </w:tcPr>
          <w:p w14:paraId="0B9E5664">
            <w:pPr>
              <w:widowControl w:val="0"/>
              <w:jc w:val="center"/>
              <w:rPr>
                <w:color w:val="auto"/>
                <w:sz w:val="21"/>
                <w:szCs w:val="21"/>
              </w:rPr>
            </w:pPr>
            <w:r>
              <w:rPr>
                <w:color w:val="auto"/>
                <w:sz w:val="21"/>
                <w:szCs w:val="21"/>
              </w:rPr>
              <w:t>0.06</w:t>
            </w:r>
          </w:p>
        </w:tc>
        <w:tc>
          <w:tcPr>
            <w:tcW w:w="1133" w:type="dxa"/>
            <w:vAlign w:val="center"/>
          </w:tcPr>
          <w:p w14:paraId="546501BC">
            <w:pPr>
              <w:widowControl w:val="0"/>
              <w:jc w:val="center"/>
              <w:rPr>
                <w:color w:val="auto"/>
                <w:sz w:val="21"/>
                <w:szCs w:val="21"/>
              </w:rPr>
            </w:pPr>
            <w:r>
              <w:rPr>
                <w:color w:val="auto"/>
                <w:sz w:val="21"/>
                <w:szCs w:val="21"/>
              </w:rPr>
              <w:t>0.45</w:t>
            </w:r>
          </w:p>
        </w:tc>
        <w:tc>
          <w:tcPr>
            <w:tcW w:w="1523" w:type="dxa"/>
            <w:vAlign w:val="center"/>
          </w:tcPr>
          <w:p w14:paraId="4200671B">
            <w:pPr>
              <w:widowControl w:val="0"/>
              <w:jc w:val="center"/>
              <w:rPr>
                <w:color w:val="auto"/>
                <w:sz w:val="21"/>
                <w:szCs w:val="21"/>
              </w:rPr>
            </w:pPr>
            <w:r>
              <w:rPr>
                <w:color w:val="auto"/>
                <w:sz w:val="21"/>
                <w:szCs w:val="21"/>
              </w:rPr>
              <w:t>/</w:t>
            </w:r>
          </w:p>
        </w:tc>
        <w:tc>
          <w:tcPr>
            <w:tcW w:w="1025" w:type="dxa"/>
            <w:vAlign w:val="center"/>
          </w:tcPr>
          <w:p w14:paraId="24806089">
            <w:pPr>
              <w:widowControl w:val="0"/>
              <w:jc w:val="center"/>
              <w:rPr>
                <w:color w:val="auto"/>
                <w:sz w:val="21"/>
                <w:szCs w:val="21"/>
              </w:rPr>
            </w:pPr>
            <w:r>
              <w:rPr>
                <w:color w:val="auto"/>
                <w:sz w:val="21"/>
                <w:szCs w:val="21"/>
              </w:rPr>
              <w:t>/</w:t>
            </w:r>
          </w:p>
        </w:tc>
        <w:tc>
          <w:tcPr>
            <w:tcW w:w="1373" w:type="dxa"/>
            <w:vAlign w:val="center"/>
          </w:tcPr>
          <w:p w14:paraId="6C04268F">
            <w:pPr>
              <w:widowControl w:val="0"/>
              <w:jc w:val="center"/>
              <w:rPr>
                <w:color w:val="auto"/>
                <w:sz w:val="21"/>
                <w:szCs w:val="21"/>
              </w:rPr>
            </w:pPr>
            <w:r>
              <w:rPr>
                <w:color w:val="auto"/>
                <w:sz w:val="21"/>
                <w:szCs w:val="21"/>
              </w:rPr>
              <w:t>/</w:t>
            </w:r>
          </w:p>
        </w:tc>
        <w:tc>
          <w:tcPr>
            <w:tcW w:w="1177" w:type="dxa"/>
            <w:vAlign w:val="center"/>
          </w:tcPr>
          <w:p w14:paraId="76481E07">
            <w:pPr>
              <w:widowControl w:val="0"/>
              <w:jc w:val="center"/>
              <w:rPr>
                <w:color w:val="auto"/>
                <w:sz w:val="21"/>
                <w:szCs w:val="21"/>
              </w:rPr>
            </w:pPr>
            <w:r>
              <w:rPr>
                <w:color w:val="auto"/>
                <w:sz w:val="21"/>
                <w:szCs w:val="21"/>
              </w:rPr>
              <w:t>0.062</w:t>
            </w:r>
          </w:p>
        </w:tc>
        <w:tc>
          <w:tcPr>
            <w:tcW w:w="1274" w:type="dxa"/>
            <w:vAlign w:val="center"/>
          </w:tcPr>
          <w:p w14:paraId="47B4E9E7">
            <w:pPr>
              <w:widowControl w:val="0"/>
              <w:jc w:val="center"/>
              <w:rPr>
                <w:color w:val="auto"/>
                <w:sz w:val="21"/>
                <w:szCs w:val="21"/>
              </w:rPr>
            </w:pPr>
            <w:r>
              <w:rPr>
                <w:color w:val="auto"/>
                <w:sz w:val="21"/>
                <w:szCs w:val="21"/>
              </w:rPr>
              <w:t>0.45</w:t>
            </w:r>
          </w:p>
        </w:tc>
        <w:tc>
          <w:tcPr>
            <w:tcW w:w="946" w:type="dxa"/>
            <w:vMerge w:val="restart"/>
            <w:vAlign w:val="center"/>
          </w:tcPr>
          <w:p w14:paraId="027E2A66">
            <w:pPr>
              <w:widowControl w:val="0"/>
              <w:jc w:val="center"/>
              <w:rPr>
                <w:color w:val="auto"/>
                <w:sz w:val="21"/>
                <w:szCs w:val="21"/>
              </w:rPr>
            </w:pPr>
            <w:r>
              <w:rPr>
                <w:rFonts w:hint="eastAsia"/>
                <w:color w:val="auto"/>
                <w:sz w:val="21"/>
                <w:szCs w:val="21"/>
              </w:rPr>
              <w:t>/</w:t>
            </w:r>
          </w:p>
        </w:tc>
        <w:tc>
          <w:tcPr>
            <w:tcW w:w="2417" w:type="dxa"/>
            <w:gridSpan w:val="3"/>
            <w:vMerge w:val="restart"/>
            <w:vAlign w:val="center"/>
          </w:tcPr>
          <w:p w14:paraId="3D2D389D">
            <w:pPr>
              <w:widowControl w:val="0"/>
              <w:jc w:val="center"/>
              <w:rPr>
                <w:color w:val="auto"/>
                <w:sz w:val="21"/>
                <w:szCs w:val="21"/>
              </w:rPr>
            </w:pPr>
            <w:r>
              <w:rPr>
                <w:color w:val="auto"/>
                <w:sz w:val="21"/>
                <w:szCs w:val="21"/>
              </w:rPr>
              <w:t>长99m，宽99m，高16m</w:t>
            </w:r>
          </w:p>
        </w:tc>
        <w:tc>
          <w:tcPr>
            <w:tcW w:w="1538" w:type="dxa"/>
            <w:vMerge w:val="restart"/>
            <w:vAlign w:val="center"/>
          </w:tcPr>
          <w:p w14:paraId="0AE1A34D">
            <w:pPr>
              <w:widowControl w:val="0"/>
              <w:jc w:val="center"/>
              <w:rPr>
                <w:color w:val="auto"/>
                <w:sz w:val="21"/>
                <w:szCs w:val="21"/>
              </w:rPr>
            </w:pPr>
            <w:r>
              <w:rPr>
                <w:color w:val="auto"/>
                <w:sz w:val="21"/>
                <w:szCs w:val="21"/>
              </w:rPr>
              <w:t>8000</w:t>
            </w:r>
          </w:p>
        </w:tc>
      </w:tr>
      <w:tr w14:paraId="7BFBE5F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281" w:type="dxa"/>
            <w:gridSpan w:val="2"/>
            <w:vMerge w:val="continue"/>
            <w:vAlign w:val="center"/>
          </w:tcPr>
          <w:p w14:paraId="49E76C89">
            <w:pPr>
              <w:widowControl w:val="0"/>
              <w:jc w:val="center"/>
              <w:rPr>
                <w:color w:val="auto"/>
                <w:sz w:val="21"/>
                <w:szCs w:val="21"/>
              </w:rPr>
            </w:pPr>
          </w:p>
        </w:tc>
        <w:tc>
          <w:tcPr>
            <w:tcW w:w="1358" w:type="dxa"/>
            <w:vAlign w:val="center"/>
          </w:tcPr>
          <w:p w14:paraId="4E3B9A03">
            <w:pPr>
              <w:widowControl w:val="0"/>
              <w:jc w:val="center"/>
              <w:rPr>
                <w:color w:val="auto"/>
                <w:sz w:val="21"/>
                <w:szCs w:val="21"/>
              </w:rPr>
            </w:pPr>
            <w:r>
              <w:rPr>
                <w:rFonts w:hint="eastAsia"/>
                <w:color w:val="auto"/>
                <w:sz w:val="21"/>
                <w:szCs w:val="21"/>
              </w:rPr>
              <w:t>TSP</w:t>
            </w:r>
          </w:p>
        </w:tc>
        <w:tc>
          <w:tcPr>
            <w:tcW w:w="1470" w:type="dxa"/>
            <w:vAlign w:val="center"/>
          </w:tcPr>
          <w:p w14:paraId="5F90418D">
            <w:pPr>
              <w:widowControl w:val="0"/>
              <w:jc w:val="center"/>
              <w:rPr>
                <w:color w:val="auto"/>
                <w:sz w:val="21"/>
                <w:szCs w:val="21"/>
              </w:rPr>
            </w:pPr>
            <w:r>
              <w:rPr>
                <w:color w:val="auto"/>
                <w:sz w:val="21"/>
                <w:szCs w:val="21"/>
              </w:rPr>
              <w:t>物料衡算</w:t>
            </w:r>
            <w:r>
              <w:rPr>
                <w:rFonts w:hint="eastAsia"/>
                <w:color w:val="auto"/>
                <w:sz w:val="21"/>
                <w:szCs w:val="21"/>
              </w:rPr>
              <w:t>法</w:t>
            </w:r>
          </w:p>
        </w:tc>
        <w:tc>
          <w:tcPr>
            <w:tcW w:w="1133" w:type="dxa"/>
            <w:vAlign w:val="center"/>
          </w:tcPr>
          <w:p w14:paraId="3C2F9D9B">
            <w:pPr>
              <w:widowControl w:val="0"/>
              <w:jc w:val="center"/>
              <w:rPr>
                <w:color w:val="auto"/>
                <w:sz w:val="21"/>
                <w:szCs w:val="21"/>
              </w:rPr>
            </w:pPr>
            <w:r>
              <w:rPr>
                <w:rFonts w:hint="eastAsia"/>
                <w:color w:val="auto"/>
                <w:sz w:val="21"/>
                <w:szCs w:val="21"/>
              </w:rPr>
              <w:t>/</w:t>
            </w:r>
          </w:p>
        </w:tc>
        <w:tc>
          <w:tcPr>
            <w:tcW w:w="1417" w:type="dxa"/>
            <w:vAlign w:val="center"/>
          </w:tcPr>
          <w:p w14:paraId="09BE25EB">
            <w:pPr>
              <w:widowControl w:val="0"/>
              <w:jc w:val="center"/>
              <w:rPr>
                <w:color w:val="auto"/>
                <w:sz w:val="21"/>
                <w:szCs w:val="21"/>
              </w:rPr>
            </w:pPr>
            <w:r>
              <w:rPr>
                <w:rFonts w:hint="eastAsia"/>
                <w:color w:val="auto"/>
                <w:sz w:val="21"/>
                <w:szCs w:val="21"/>
              </w:rPr>
              <w:t>/</w:t>
            </w:r>
          </w:p>
        </w:tc>
        <w:tc>
          <w:tcPr>
            <w:tcW w:w="1275" w:type="dxa"/>
            <w:vAlign w:val="center"/>
          </w:tcPr>
          <w:p w14:paraId="5EC15D58">
            <w:pPr>
              <w:widowControl w:val="0"/>
              <w:jc w:val="center"/>
              <w:rPr>
                <w:color w:val="auto"/>
                <w:sz w:val="21"/>
                <w:szCs w:val="21"/>
              </w:rPr>
            </w:pPr>
            <w:r>
              <w:rPr>
                <w:rFonts w:hint="eastAsia"/>
                <w:color w:val="auto"/>
                <w:sz w:val="21"/>
                <w:szCs w:val="21"/>
              </w:rPr>
              <w:t>0.11</w:t>
            </w:r>
          </w:p>
        </w:tc>
        <w:tc>
          <w:tcPr>
            <w:tcW w:w="1133" w:type="dxa"/>
            <w:vAlign w:val="center"/>
          </w:tcPr>
          <w:p w14:paraId="3B26E2EB">
            <w:pPr>
              <w:widowControl w:val="0"/>
              <w:jc w:val="center"/>
              <w:rPr>
                <w:color w:val="auto"/>
                <w:sz w:val="21"/>
                <w:szCs w:val="21"/>
              </w:rPr>
            </w:pPr>
            <w:r>
              <w:rPr>
                <w:color w:val="auto"/>
                <w:sz w:val="21"/>
                <w:szCs w:val="21"/>
              </w:rPr>
              <w:t>0.843</w:t>
            </w:r>
          </w:p>
        </w:tc>
        <w:tc>
          <w:tcPr>
            <w:tcW w:w="1523" w:type="dxa"/>
            <w:vAlign w:val="center"/>
          </w:tcPr>
          <w:p w14:paraId="5DDC2511">
            <w:pPr>
              <w:widowControl w:val="0"/>
              <w:jc w:val="center"/>
              <w:rPr>
                <w:color w:val="auto"/>
                <w:sz w:val="21"/>
                <w:szCs w:val="21"/>
              </w:rPr>
            </w:pPr>
          </w:p>
        </w:tc>
        <w:tc>
          <w:tcPr>
            <w:tcW w:w="1025" w:type="dxa"/>
            <w:vAlign w:val="center"/>
          </w:tcPr>
          <w:p w14:paraId="6186D2E4">
            <w:pPr>
              <w:widowControl w:val="0"/>
              <w:jc w:val="center"/>
              <w:rPr>
                <w:color w:val="auto"/>
                <w:sz w:val="21"/>
                <w:szCs w:val="21"/>
              </w:rPr>
            </w:pPr>
          </w:p>
        </w:tc>
        <w:tc>
          <w:tcPr>
            <w:tcW w:w="1373" w:type="dxa"/>
            <w:vAlign w:val="center"/>
          </w:tcPr>
          <w:p w14:paraId="0C556D3E">
            <w:pPr>
              <w:widowControl w:val="0"/>
              <w:jc w:val="center"/>
              <w:rPr>
                <w:color w:val="auto"/>
                <w:sz w:val="21"/>
                <w:szCs w:val="21"/>
              </w:rPr>
            </w:pPr>
          </w:p>
        </w:tc>
        <w:tc>
          <w:tcPr>
            <w:tcW w:w="1177" w:type="dxa"/>
            <w:vAlign w:val="center"/>
          </w:tcPr>
          <w:p w14:paraId="444C9307">
            <w:pPr>
              <w:widowControl w:val="0"/>
              <w:jc w:val="center"/>
              <w:rPr>
                <w:color w:val="auto"/>
                <w:sz w:val="21"/>
                <w:szCs w:val="21"/>
              </w:rPr>
            </w:pPr>
            <w:r>
              <w:rPr>
                <w:rFonts w:hint="eastAsia"/>
                <w:color w:val="auto"/>
                <w:sz w:val="21"/>
                <w:szCs w:val="21"/>
              </w:rPr>
              <w:t>0.11</w:t>
            </w:r>
          </w:p>
        </w:tc>
        <w:tc>
          <w:tcPr>
            <w:tcW w:w="1274" w:type="dxa"/>
            <w:vAlign w:val="center"/>
          </w:tcPr>
          <w:p w14:paraId="48B15387">
            <w:pPr>
              <w:widowControl w:val="0"/>
              <w:jc w:val="center"/>
              <w:rPr>
                <w:color w:val="auto"/>
                <w:sz w:val="21"/>
                <w:szCs w:val="21"/>
              </w:rPr>
            </w:pPr>
            <w:r>
              <w:rPr>
                <w:color w:val="auto"/>
                <w:sz w:val="21"/>
                <w:szCs w:val="21"/>
              </w:rPr>
              <w:t>0.843</w:t>
            </w:r>
          </w:p>
        </w:tc>
        <w:tc>
          <w:tcPr>
            <w:tcW w:w="946" w:type="dxa"/>
            <w:vMerge w:val="continue"/>
            <w:vAlign w:val="center"/>
          </w:tcPr>
          <w:p w14:paraId="55DE2FAB">
            <w:pPr>
              <w:widowControl w:val="0"/>
              <w:jc w:val="center"/>
              <w:rPr>
                <w:color w:val="auto"/>
                <w:sz w:val="21"/>
                <w:szCs w:val="21"/>
              </w:rPr>
            </w:pPr>
          </w:p>
        </w:tc>
        <w:tc>
          <w:tcPr>
            <w:tcW w:w="2417" w:type="dxa"/>
            <w:gridSpan w:val="3"/>
            <w:vMerge w:val="continue"/>
            <w:vAlign w:val="center"/>
          </w:tcPr>
          <w:p w14:paraId="47D793DA">
            <w:pPr>
              <w:widowControl w:val="0"/>
              <w:jc w:val="center"/>
              <w:rPr>
                <w:color w:val="auto"/>
                <w:sz w:val="21"/>
                <w:szCs w:val="21"/>
              </w:rPr>
            </w:pPr>
          </w:p>
        </w:tc>
        <w:tc>
          <w:tcPr>
            <w:tcW w:w="1538" w:type="dxa"/>
            <w:vMerge w:val="continue"/>
            <w:vAlign w:val="center"/>
          </w:tcPr>
          <w:p w14:paraId="344FFF24">
            <w:pPr>
              <w:widowControl w:val="0"/>
              <w:jc w:val="center"/>
              <w:rPr>
                <w:color w:val="auto"/>
                <w:sz w:val="21"/>
                <w:szCs w:val="21"/>
              </w:rPr>
            </w:pPr>
          </w:p>
        </w:tc>
      </w:tr>
    </w:tbl>
    <w:p w14:paraId="09B1FF10">
      <w:pPr>
        <w:pStyle w:val="132"/>
        <w:ind w:firstLine="424" w:firstLineChars="177"/>
        <w:rPr>
          <w:color w:val="auto"/>
        </w:rPr>
      </w:pPr>
    </w:p>
    <w:bookmarkEnd w:id="223"/>
    <w:p w14:paraId="0C92C37C">
      <w:pPr>
        <w:pStyle w:val="132"/>
        <w:ind w:firstLine="424" w:firstLineChars="177"/>
        <w:rPr>
          <w:color w:val="auto"/>
        </w:rPr>
      </w:pPr>
    </w:p>
    <w:p w14:paraId="75622823">
      <w:pPr>
        <w:pStyle w:val="132"/>
        <w:ind w:firstLine="424" w:firstLineChars="177"/>
        <w:rPr>
          <w:color w:val="auto"/>
        </w:rPr>
        <w:sectPr>
          <w:type w:val="continuous"/>
          <w:pgSz w:w="23814" w:h="16840" w:orient="landscape"/>
          <w:pgMar w:top="1440" w:right="1588" w:bottom="1389" w:left="1588" w:header="851" w:footer="992" w:gutter="0"/>
          <w:cols w:space="425" w:num="1"/>
          <w:docGrid w:type="lines" w:linePitch="312" w:charSpace="0"/>
        </w:sectPr>
      </w:pPr>
    </w:p>
    <w:p w14:paraId="51AABA7A">
      <w:pPr>
        <w:pStyle w:val="5"/>
        <w:rPr>
          <w:color w:val="auto"/>
        </w:rPr>
      </w:pPr>
      <w:r>
        <w:rPr>
          <w:color w:val="auto"/>
        </w:rPr>
        <w:t>交通运输移动源</w:t>
      </w:r>
    </w:p>
    <w:p w14:paraId="1DC0CC97">
      <w:pPr>
        <w:pStyle w:val="132"/>
        <w:rPr>
          <w:color w:val="auto"/>
        </w:rPr>
      </w:pPr>
      <w:r>
        <w:rPr>
          <w:rFonts w:hint="eastAsia"/>
          <w:color w:val="auto"/>
        </w:rPr>
        <w:t>（1）全厂运输方式及运输量</w:t>
      </w:r>
    </w:p>
    <w:p w14:paraId="08757069">
      <w:pPr>
        <w:pStyle w:val="132"/>
        <w:rPr>
          <w:color w:val="auto"/>
        </w:rPr>
      </w:pPr>
      <w:r>
        <w:rPr>
          <w:rFonts w:hint="eastAsia"/>
          <w:color w:val="auto"/>
        </w:rPr>
        <w:t>本项目运输量约为3701408t/a，其中运入约1874741t/a，运出约1826667t/a，其中公路运输合计423953t/a，全年运输量及运输方式见表3.3-10。</w:t>
      </w:r>
    </w:p>
    <w:p w14:paraId="1C661E6D">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全厂全年运输量一览表</w:t>
      </w:r>
    </w:p>
    <w:tbl>
      <w:tblPr>
        <w:tblStyle w:val="239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826"/>
        <w:gridCol w:w="1596"/>
        <w:gridCol w:w="1286"/>
        <w:gridCol w:w="1146"/>
        <w:gridCol w:w="1288"/>
        <w:gridCol w:w="1286"/>
        <w:gridCol w:w="1358"/>
      </w:tblGrid>
      <w:tr w14:paraId="35DE71B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Merge w:val="restart"/>
            <w:vAlign w:val="center"/>
          </w:tcPr>
          <w:p w14:paraId="14A9EA81">
            <w:pPr>
              <w:pStyle w:val="129"/>
              <w:widowControl w:val="0"/>
              <w:rPr>
                <w:rFonts w:eastAsia="Times New Roman"/>
                <w:color w:val="auto"/>
              </w:rPr>
            </w:pPr>
            <w:r>
              <w:rPr>
                <w:rFonts w:hint="eastAsia" w:ascii="宋体" w:hAnsi="宋体" w:eastAsia="Times New Roman" w:cs="宋体"/>
                <w:color w:val="auto"/>
              </w:rPr>
              <w:t>序</w:t>
            </w:r>
            <w:r>
              <w:rPr>
                <w:rFonts w:hint="eastAsia" w:eastAsia="Times New Roman"/>
                <w:color w:val="auto"/>
              </w:rPr>
              <w:t>号</w:t>
            </w:r>
          </w:p>
        </w:tc>
        <w:tc>
          <w:tcPr>
            <w:tcW w:w="908" w:type="pct"/>
            <w:vMerge w:val="restart"/>
            <w:vAlign w:val="center"/>
          </w:tcPr>
          <w:p w14:paraId="55962576">
            <w:pPr>
              <w:pStyle w:val="129"/>
              <w:widowControl w:val="0"/>
              <w:rPr>
                <w:rFonts w:eastAsia="Times New Roman"/>
                <w:color w:val="auto"/>
              </w:rPr>
            </w:pPr>
            <w:r>
              <w:rPr>
                <w:rFonts w:hint="eastAsia" w:ascii="宋体" w:hAnsi="宋体" w:eastAsia="Times New Roman" w:cs="宋体"/>
                <w:color w:val="auto"/>
              </w:rPr>
              <w:t>物料名称</w:t>
            </w:r>
          </w:p>
        </w:tc>
        <w:tc>
          <w:tcPr>
            <w:tcW w:w="732" w:type="pct"/>
            <w:vAlign w:val="center"/>
          </w:tcPr>
          <w:p w14:paraId="7C280E75">
            <w:pPr>
              <w:pStyle w:val="129"/>
              <w:widowControl w:val="0"/>
              <w:rPr>
                <w:rFonts w:eastAsia="Times New Roman"/>
                <w:color w:val="auto"/>
              </w:rPr>
            </w:pPr>
            <w:r>
              <w:rPr>
                <w:rFonts w:hint="eastAsia" w:ascii="宋体" w:hAnsi="宋体" w:eastAsia="Times New Roman" w:cs="宋体"/>
                <w:color w:val="auto"/>
              </w:rPr>
              <w:t>运输量</w:t>
            </w:r>
          </w:p>
        </w:tc>
        <w:tc>
          <w:tcPr>
            <w:tcW w:w="652" w:type="pct"/>
            <w:vMerge w:val="restart"/>
            <w:vAlign w:val="center"/>
          </w:tcPr>
          <w:p w14:paraId="27BFA29B">
            <w:pPr>
              <w:pStyle w:val="129"/>
              <w:widowControl w:val="0"/>
              <w:rPr>
                <w:rFonts w:eastAsia="Times New Roman"/>
                <w:color w:val="auto"/>
              </w:rPr>
            </w:pPr>
            <w:r>
              <w:rPr>
                <w:rFonts w:hint="eastAsia" w:ascii="宋体" w:hAnsi="宋体" w:eastAsia="Times New Roman" w:cs="宋体"/>
                <w:color w:val="auto"/>
              </w:rPr>
              <w:t>形态</w:t>
            </w:r>
          </w:p>
        </w:tc>
        <w:tc>
          <w:tcPr>
            <w:tcW w:w="733" w:type="pct"/>
            <w:vMerge w:val="restart"/>
            <w:vAlign w:val="center"/>
          </w:tcPr>
          <w:p w14:paraId="7DCDD0C6">
            <w:pPr>
              <w:pStyle w:val="129"/>
              <w:widowControl w:val="0"/>
              <w:rPr>
                <w:rFonts w:eastAsia="Times New Roman"/>
                <w:color w:val="auto"/>
              </w:rPr>
            </w:pPr>
            <w:r>
              <w:rPr>
                <w:rFonts w:hint="eastAsia" w:ascii="宋体" w:hAnsi="宋体" w:eastAsia="Times New Roman" w:cs="宋体"/>
                <w:color w:val="auto"/>
              </w:rPr>
              <w:t>包装方式</w:t>
            </w:r>
          </w:p>
        </w:tc>
        <w:tc>
          <w:tcPr>
            <w:tcW w:w="1505" w:type="pct"/>
            <w:gridSpan w:val="2"/>
            <w:vAlign w:val="center"/>
          </w:tcPr>
          <w:p w14:paraId="5BCF2C2C">
            <w:pPr>
              <w:pStyle w:val="129"/>
              <w:widowControl w:val="0"/>
              <w:rPr>
                <w:rFonts w:eastAsia="Times New Roman"/>
                <w:color w:val="auto"/>
              </w:rPr>
            </w:pPr>
            <w:r>
              <w:rPr>
                <w:rFonts w:hint="eastAsia" w:ascii="宋体" w:hAnsi="宋体" w:eastAsia="Times New Roman" w:cs="宋体"/>
                <w:color w:val="auto"/>
              </w:rPr>
              <w:t>运输方式</w:t>
            </w:r>
          </w:p>
        </w:tc>
      </w:tr>
      <w:tr w14:paraId="29D1A29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Merge w:val="continue"/>
            <w:vAlign w:val="center"/>
          </w:tcPr>
          <w:p w14:paraId="31BD829A">
            <w:pPr>
              <w:pStyle w:val="129"/>
              <w:widowControl w:val="0"/>
              <w:rPr>
                <w:rFonts w:eastAsia="Times New Roman"/>
                <w:color w:val="auto"/>
              </w:rPr>
            </w:pPr>
          </w:p>
        </w:tc>
        <w:tc>
          <w:tcPr>
            <w:tcW w:w="908" w:type="pct"/>
            <w:vMerge w:val="continue"/>
            <w:vAlign w:val="center"/>
          </w:tcPr>
          <w:p w14:paraId="4E4810DB">
            <w:pPr>
              <w:pStyle w:val="129"/>
              <w:widowControl w:val="0"/>
              <w:rPr>
                <w:rFonts w:eastAsia="Times New Roman"/>
                <w:color w:val="auto"/>
              </w:rPr>
            </w:pPr>
          </w:p>
        </w:tc>
        <w:tc>
          <w:tcPr>
            <w:tcW w:w="732" w:type="pct"/>
            <w:vAlign w:val="center"/>
          </w:tcPr>
          <w:p w14:paraId="3DBB8344">
            <w:pPr>
              <w:pStyle w:val="129"/>
              <w:widowControl w:val="0"/>
              <w:rPr>
                <w:rFonts w:eastAsia="Times New Roman"/>
                <w:color w:val="auto"/>
              </w:rPr>
            </w:pPr>
            <w:r>
              <w:rPr>
                <w:rFonts w:hint="eastAsia" w:ascii="宋体" w:hAnsi="宋体" w:eastAsia="Times New Roman" w:cs="宋体"/>
                <w:color w:val="auto"/>
              </w:rPr>
              <w:t>（</w:t>
            </w:r>
            <w:r>
              <w:rPr>
                <w:rFonts w:hint="eastAsia" w:eastAsia="Times New Roman"/>
                <w:color w:val="auto"/>
              </w:rPr>
              <w:t>t/a</w:t>
            </w:r>
            <w:r>
              <w:rPr>
                <w:rFonts w:hint="eastAsia" w:ascii="宋体" w:hAnsi="宋体" w:eastAsia="Times New Roman" w:cs="宋体"/>
                <w:color w:val="auto"/>
              </w:rPr>
              <w:t>）</w:t>
            </w:r>
          </w:p>
        </w:tc>
        <w:tc>
          <w:tcPr>
            <w:tcW w:w="652" w:type="pct"/>
            <w:vMerge w:val="continue"/>
            <w:vAlign w:val="center"/>
          </w:tcPr>
          <w:p w14:paraId="5DA79C25">
            <w:pPr>
              <w:pStyle w:val="129"/>
              <w:widowControl w:val="0"/>
              <w:rPr>
                <w:rFonts w:eastAsia="Times New Roman"/>
                <w:color w:val="auto"/>
              </w:rPr>
            </w:pPr>
          </w:p>
        </w:tc>
        <w:tc>
          <w:tcPr>
            <w:tcW w:w="733" w:type="pct"/>
            <w:vMerge w:val="continue"/>
            <w:vAlign w:val="center"/>
          </w:tcPr>
          <w:p w14:paraId="021E2C7C">
            <w:pPr>
              <w:pStyle w:val="129"/>
              <w:widowControl w:val="0"/>
              <w:rPr>
                <w:rFonts w:eastAsia="Times New Roman"/>
                <w:color w:val="auto"/>
              </w:rPr>
            </w:pPr>
          </w:p>
        </w:tc>
        <w:tc>
          <w:tcPr>
            <w:tcW w:w="732" w:type="pct"/>
            <w:vAlign w:val="center"/>
          </w:tcPr>
          <w:p w14:paraId="5A9D39E2">
            <w:pPr>
              <w:pStyle w:val="129"/>
              <w:widowControl w:val="0"/>
              <w:rPr>
                <w:rFonts w:eastAsia="Times New Roman"/>
                <w:color w:val="auto"/>
              </w:rPr>
            </w:pPr>
            <w:r>
              <w:rPr>
                <w:rFonts w:hint="eastAsia" w:ascii="宋体" w:hAnsi="宋体" w:eastAsia="Times New Roman" w:cs="宋体"/>
                <w:color w:val="auto"/>
              </w:rPr>
              <w:t>公路</w:t>
            </w:r>
          </w:p>
        </w:tc>
        <w:tc>
          <w:tcPr>
            <w:tcW w:w="773" w:type="pct"/>
            <w:vAlign w:val="center"/>
          </w:tcPr>
          <w:p w14:paraId="5CC26CB7">
            <w:pPr>
              <w:pStyle w:val="129"/>
              <w:widowControl w:val="0"/>
              <w:rPr>
                <w:rFonts w:eastAsia="Times New Roman"/>
                <w:color w:val="auto"/>
              </w:rPr>
            </w:pPr>
            <w:r>
              <w:rPr>
                <w:rFonts w:hint="eastAsia" w:ascii="宋体" w:hAnsi="宋体" w:eastAsia="Times New Roman" w:cs="宋体"/>
                <w:color w:val="auto"/>
              </w:rPr>
              <w:t>管道</w:t>
            </w:r>
          </w:p>
        </w:tc>
      </w:tr>
      <w:tr w14:paraId="2425DE9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6A583DB8">
            <w:pPr>
              <w:pStyle w:val="129"/>
              <w:widowControl w:val="0"/>
              <w:rPr>
                <w:rFonts w:eastAsia="Times New Roman"/>
                <w:color w:val="auto"/>
              </w:rPr>
            </w:pPr>
            <w:r>
              <w:rPr>
                <w:rFonts w:hint="eastAsia" w:ascii="宋体" w:hAnsi="宋体" w:eastAsia="Times New Roman" w:cs="宋体"/>
                <w:color w:val="auto"/>
              </w:rPr>
              <w:t>一</w:t>
            </w:r>
          </w:p>
        </w:tc>
        <w:tc>
          <w:tcPr>
            <w:tcW w:w="4530" w:type="pct"/>
            <w:gridSpan w:val="6"/>
            <w:vAlign w:val="center"/>
          </w:tcPr>
          <w:p w14:paraId="5644B022">
            <w:pPr>
              <w:pStyle w:val="129"/>
              <w:widowControl w:val="0"/>
              <w:rPr>
                <w:rFonts w:eastAsia="Times New Roman"/>
                <w:color w:val="auto"/>
              </w:rPr>
            </w:pPr>
            <w:r>
              <w:rPr>
                <w:rFonts w:hint="eastAsia" w:ascii="宋体" w:hAnsi="宋体" w:eastAsia="Times New Roman" w:cs="宋体"/>
                <w:color w:val="auto"/>
              </w:rPr>
              <w:t>主要运入量</w:t>
            </w:r>
          </w:p>
        </w:tc>
      </w:tr>
      <w:tr w14:paraId="215546F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5BD949AE">
            <w:pPr>
              <w:pStyle w:val="129"/>
              <w:widowControl w:val="0"/>
              <w:rPr>
                <w:rFonts w:eastAsia="Times New Roman"/>
                <w:color w:val="auto"/>
              </w:rPr>
            </w:pPr>
            <w:r>
              <w:rPr>
                <w:rFonts w:eastAsia="Times New Roman"/>
                <w:color w:val="auto"/>
              </w:rPr>
              <w:t>1</w:t>
            </w:r>
          </w:p>
        </w:tc>
        <w:tc>
          <w:tcPr>
            <w:tcW w:w="908" w:type="pct"/>
            <w:vAlign w:val="center"/>
          </w:tcPr>
          <w:p w14:paraId="39EC7798">
            <w:pPr>
              <w:pStyle w:val="129"/>
              <w:widowControl w:val="0"/>
              <w:rPr>
                <w:rFonts w:eastAsia="Times New Roman"/>
                <w:color w:val="auto"/>
              </w:rPr>
            </w:pPr>
            <w:r>
              <w:rPr>
                <w:rFonts w:hint="eastAsia" w:ascii="宋体" w:hAnsi="宋体" w:eastAsia="Times New Roman" w:cs="宋体"/>
                <w:color w:val="auto"/>
              </w:rPr>
              <w:t>废酸液</w:t>
            </w:r>
          </w:p>
        </w:tc>
        <w:tc>
          <w:tcPr>
            <w:tcW w:w="732" w:type="pct"/>
            <w:vAlign w:val="center"/>
          </w:tcPr>
          <w:p w14:paraId="3FB4E4D3">
            <w:pPr>
              <w:pStyle w:val="129"/>
              <w:widowControl w:val="0"/>
              <w:rPr>
                <w:rFonts w:eastAsia="Times New Roman"/>
                <w:color w:val="auto"/>
              </w:rPr>
            </w:pPr>
            <w:r>
              <w:rPr>
                <w:rFonts w:eastAsia="Times New Roman"/>
                <w:color w:val="auto"/>
              </w:rPr>
              <w:t xml:space="preserve">1091206 </w:t>
            </w:r>
          </w:p>
        </w:tc>
        <w:tc>
          <w:tcPr>
            <w:tcW w:w="652" w:type="pct"/>
            <w:vAlign w:val="center"/>
          </w:tcPr>
          <w:p w14:paraId="19BB4DFE">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41ABCCDC">
            <w:pPr>
              <w:pStyle w:val="129"/>
              <w:widowControl w:val="0"/>
              <w:rPr>
                <w:rFonts w:eastAsia="Times New Roman"/>
                <w:color w:val="auto"/>
              </w:rPr>
            </w:pPr>
            <w:r>
              <w:rPr>
                <w:rFonts w:hint="eastAsia" w:eastAsia="Times New Roman"/>
                <w:color w:val="auto"/>
              </w:rPr>
              <w:t>/</w:t>
            </w:r>
          </w:p>
        </w:tc>
        <w:tc>
          <w:tcPr>
            <w:tcW w:w="732" w:type="pct"/>
            <w:vAlign w:val="center"/>
          </w:tcPr>
          <w:p w14:paraId="76DEE79D">
            <w:pPr>
              <w:pStyle w:val="129"/>
              <w:widowControl w:val="0"/>
              <w:rPr>
                <w:rFonts w:eastAsia="Times New Roman"/>
                <w:color w:val="auto"/>
              </w:rPr>
            </w:pPr>
          </w:p>
        </w:tc>
        <w:tc>
          <w:tcPr>
            <w:tcW w:w="773" w:type="pct"/>
            <w:vAlign w:val="center"/>
          </w:tcPr>
          <w:p w14:paraId="60686E1D">
            <w:pPr>
              <w:pStyle w:val="129"/>
              <w:widowControl w:val="0"/>
              <w:rPr>
                <w:rFonts w:eastAsia="Times New Roman"/>
                <w:color w:val="auto"/>
              </w:rPr>
            </w:pPr>
            <w:r>
              <w:rPr>
                <w:rFonts w:eastAsia="Times New Roman"/>
                <w:color w:val="auto"/>
              </w:rPr>
              <w:t>√</w:t>
            </w:r>
          </w:p>
        </w:tc>
      </w:tr>
      <w:tr w14:paraId="3C1B462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5F8F87C8">
            <w:pPr>
              <w:pStyle w:val="129"/>
              <w:widowControl w:val="0"/>
              <w:rPr>
                <w:rFonts w:eastAsia="Times New Roman"/>
                <w:color w:val="auto"/>
              </w:rPr>
            </w:pPr>
            <w:r>
              <w:rPr>
                <w:rFonts w:eastAsia="Times New Roman"/>
                <w:color w:val="auto"/>
              </w:rPr>
              <w:t>2</w:t>
            </w:r>
          </w:p>
        </w:tc>
        <w:tc>
          <w:tcPr>
            <w:tcW w:w="908" w:type="pct"/>
            <w:vAlign w:val="center"/>
          </w:tcPr>
          <w:p w14:paraId="2058E3A4">
            <w:pPr>
              <w:pStyle w:val="129"/>
              <w:widowControl w:val="0"/>
              <w:rPr>
                <w:rFonts w:eastAsia="Times New Roman"/>
                <w:color w:val="auto"/>
              </w:rPr>
            </w:pPr>
            <w:r>
              <w:rPr>
                <w:rFonts w:hint="eastAsia" w:ascii="宋体" w:hAnsi="宋体" w:eastAsia="Times New Roman" w:cs="宋体"/>
                <w:color w:val="auto"/>
              </w:rPr>
              <w:t>废碱液</w:t>
            </w:r>
          </w:p>
        </w:tc>
        <w:tc>
          <w:tcPr>
            <w:tcW w:w="732" w:type="pct"/>
            <w:vAlign w:val="center"/>
          </w:tcPr>
          <w:p w14:paraId="0D21D835">
            <w:pPr>
              <w:pStyle w:val="129"/>
              <w:widowControl w:val="0"/>
              <w:rPr>
                <w:rFonts w:eastAsia="Times New Roman"/>
                <w:color w:val="auto"/>
              </w:rPr>
            </w:pPr>
            <w:r>
              <w:rPr>
                <w:rFonts w:eastAsia="Times New Roman"/>
                <w:color w:val="auto"/>
              </w:rPr>
              <w:t>123698</w:t>
            </w:r>
          </w:p>
        </w:tc>
        <w:tc>
          <w:tcPr>
            <w:tcW w:w="652" w:type="pct"/>
            <w:vAlign w:val="center"/>
          </w:tcPr>
          <w:p w14:paraId="6670239F">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771377B4">
            <w:pPr>
              <w:pStyle w:val="129"/>
              <w:widowControl w:val="0"/>
              <w:rPr>
                <w:rFonts w:eastAsia="Times New Roman"/>
                <w:color w:val="auto"/>
              </w:rPr>
            </w:pPr>
            <w:r>
              <w:rPr>
                <w:rFonts w:hint="eastAsia" w:eastAsia="Times New Roman"/>
                <w:color w:val="auto"/>
              </w:rPr>
              <w:t>/</w:t>
            </w:r>
          </w:p>
        </w:tc>
        <w:tc>
          <w:tcPr>
            <w:tcW w:w="732" w:type="pct"/>
            <w:vAlign w:val="center"/>
          </w:tcPr>
          <w:p w14:paraId="40E438A4">
            <w:pPr>
              <w:pStyle w:val="129"/>
              <w:widowControl w:val="0"/>
              <w:rPr>
                <w:rFonts w:eastAsia="Times New Roman"/>
                <w:color w:val="auto"/>
              </w:rPr>
            </w:pPr>
          </w:p>
        </w:tc>
        <w:tc>
          <w:tcPr>
            <w:tcW w:w="773" w:type="pct"/>
            <w:vAlign w:val="center"/>
          </w:tcPr>
          <w:p w14:paraId="0E5DB5FC">
            <w:pPr>
              <w:pStyle w:val="129"/>
              <w:widowControl w:val="0"/>
              <w:rPr>
                <w:rFonts w:eastAsia="Times New Roman"/>
                <w:color w:val="auto"/>
              </w:rPr>
            </w:pPr>
            <w:r>
              <w:rPr>
                <w:rFonts w:eastAsia="Times New Roman"/>
                <w:color w:val="auto"/>
              </w:rPr>
              <w:t>√</w:t>
            </w:r>
          </w:p>
        </w:tc>
      </w:tr>
      <w:tr w14:paraId="7A87152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7D605768">
            <w:pPr>
              <w:pStyle w:val="129"/>
              <w:widowControl w:val="0"/>
              <w:rPr>
                <w:rFonts w:eastAsia="Times New Roman"/>
                <w:color w:val="auto"/>
              </w:rPr>
            </w:pPr>
            <w:r>
              <w:rPr>
                <w:rFonts w:hint="eastAsia" w:eastAsia="Times New Roman"/>
                <w:color w:val="auto"/>
              </w:rPr>
              <w:t>3</w:t>
            </w:r>
          </w:p>
        </w:tc>
        <w:tc>
          <w:tcPr>
            <w:tcW w:w="908" w:type="pct"/>
            <w:vAlign w:val="center"/>
          </w:tcPr>
          <w:p w14:paraId="740624EB">
            <w:pPr>
              <w:pStyle w:val="129"/>
              <w:widowControl w:val="0"/>
              <w:rPr>
                <w:rFonts w:eastAsia="Times New Roman"/>
                <w:color w:val="auto"/>
              </w:rPr>
            </w:pPr>
            <w:r>
              <w:rPr>
                <w:rFonts w:hint="eastAsia" w:ascii="宋体" w:hAnsi="宋体" w:eastAsia="Times New Roman" w:cs="宋体"/>
                <w:color w:val="auto"/>
              </w:rPr>
              <w:t>氨水</w:t>
            </w:r>
          </w:p>
        </w:tc>
        <w:tc>
          <w:tcPr>
            <w:tcW w:w="732" w:type="pct"/>
            <w:vAlign w:val="center"/>
          </w:tcPr>
          <w:p w14:paraId="2AC33A31">
            <w:pPr>
              <w:pStyle w:val="129"/>
              <w:widowControl w:val="0"/>
              <w:rPr>
                <w:rFonts w:eastAsia="Times New Roman"/>
                <w:color w:val="auto"/>
              </w:rPr>
            </w:pPr>
            <w:r>
              <w:rPr>
                <w:rFonts w:eastAsia="Times New Roman"/>
                <w:color w:val="auto"/>
              </w:rPr>
              <w:t xml:space="preserve">448250.8 </w:t>
            </w:r>
          </w:p>
        </w:tc>
        <w:tc>
          <w:tcPr>
            <w:tcW w:w="652" w:type="pct"/>
            <w:vAlign w:val="center"/>
          </w:tcPr>
          <w:p w14:paraId="1E9C3628">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69D65387">
            <w:pPr>
              <w:pStyle w:val="129"/>
              <w:widowControl w:val="0"/>
              <w:rPr>
                <w:rFonts w:eastAsia="Times New Roman"/>
                <w:color w:val="auto"/>
              </w:rPr>
            </w:pPr>
            <w:r>
              <w:rPr>
                <w:rFonts w:hint="eastAsia" w:eastAsia="Times New Roman"/>
                <w:color w:val="auto"/>
              </w:rPr>
              <w:t>/</w:t>
            </w:r>
          </w:p>
        </w:tc>
        <w:tc>
          <w:tcPr>
            <w:tcW w:w="732" w:type="pct"/>
            <w:vAlign w:val="center"/>
          </w:tcPr>
          <w:p w14:paraId="5E4F4852">
            <w:pPr>
              <w:pStyle w:val="129"/>
              <w:widowControl w:val="0"/>
              <w:rPr>
                <w:rFonts w:eastAsia="Times New Roman"/>
                <w:color w:val="auto"/>
              </w:rPr>
            </w:pPr>
          </w:p>
        </w:tc>
        <w:tc>
          <w:tcPr>
            <w:tcW w:w="773" w:type="pct"/>
            <w:vAlign w:val="center"/>
          </w:tcPr>
          <w:p w14:paraId="2296494F">
            <w:pPr>
              <w:pStyle w:val="129"/>
              <w:widowControl w:val="0"/>
              <w:rPr>
                <w:rFonts w:eastAsia="Times New Roman"/>
                <w:color w:val="auto"/>
              </w:rPr>
            </w:pPr>
            <w:r>
              <w:rPr>
                <w:rFonts w:eastAsia="Times New Roman"/>
                <w:color w:val="auto"/>
              </w:rPr>
              <w:t>√</w:t>
            </w:r>
          </w:p>
        </w:tc>
      </w:tr>
      <w:tr w14:paraId="3E9F97D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2B43F8AD">
            <w:pPr>
              <w:pStyle w:val="129"/>
              <w:widowControl w:val="0"/>
              <w:rPr>
                <w:rFonts w:eastAsia="Times New Roman"/>
                <w:color w:val="auto"/>
              </w:rPr>
            </w:pPr>
            <w:r>
              <w:rPr>
                <w:rFonts w:hint="eastAsia" w:eastAsia="Times New Roman"/>
                <w:color w:val="auto"/>
              </w:rPr>
              <w:t>4</w:t>
            </w:r>
          </w:p>
        </w:tc>
        <w:tc>
          <w:tcPr>
            <w:tcW w:w="908" w:type="pct"/>
            <w:vAlign w:val="center"/>
          </w:tcPr>
          <w:p w14:paraId="69A7C79B">
            <w:pPr>
              <w:pStyle w:val="129"/>
              <w:widowControl w:val="0"/>
              <w:rPr>
                <w:rFonts w:eastAsia="Times New Roman"/>
                <w:color w:val="auto"/>
              </w:rPr>
            </w:pPr>
            <w:r>
              <w:rPr>
                <w:rFonts w:hint="eastAsia" w:ascii="宋体" w:hAnsi="宋体" w:eastAsia="Times New Roman" w:cs="宋体"/>
                <w:color w:val="auto"/>
              </w:rPr>
              <w:t>树脂</w:t>
            </w:r>
          </w:p>
        </w:tc>
        <w:tc>
          <w:tcPr>
            <w:tcW w:w="732" w:type="pct"/>
            <w:vAlign w:val="center"/>
          </w:tcPr>
          <w:p w14:paraId="64A17F71">
            <w:pPr>
              <w:pStyle w:val="129"/>
              <w:widowControl w:val="0"/>
              <w:rPr>
                <w:rFonts w:eastAsia="Times New Roman"/>
                <w:color w:val="auto"/>
              </w:rPr>
            </w:pPr>
            <w:r>
              <w:rPr>
                <w:rFonts w:eastAsia="Times New Roman"/>
                <w:color w:val="auto"/>
              </w:rPr>
              <w:t>10t/10a</w:t>
            </w:r>
          </w:p>
        </w:tc>
        <w:tc>
          <w:tcPr>
            <w:tcW w:w="652" w:type="pct"/>
            <w:vAlign w:val="center"/>
          </w:tcPr>
          <w:p w14:paraId="22A2EEBD">
            <w:pPr>
              <w:pStyle w:val="129"/>
              <w:widowControl w:val="0"/>
              <w:rPr>
                <w:rFonts w:eastAsia="Times New Roman"/>
                <w:color w:val="auto"/>
              </w:rPr>
            </w:pPr>
            <w:r>
              <w:rPr>
                <w:rFonts w:hint="eastAsia" w:ascii="宋体" w:hAnsi="宋体" w:eastAsia="Times New Roman" w:cs="宋体"/>
                <w:color w:val="auto"/>
              </w:rPr>
              <w:t>　</w:t>
            </w:r>
          </w:p>
        </w:tc>
        <w:tc>
          <w:tcPr>
            <w:tcW w:w="733" w:type="pct"/>
            <w:vAlign w:val="center"/>
          </w:tcPr>
          <w:p w14:paraId="5FAD9695">
            <w:pPr>
              <w:pStyle w:val="129"/>
              <w:widowControl w:val="0"/>
              <w:rPr>
                <w:rFonts w:eastAsia="Times New Roman"/>
                <w:color w:val="auto"/>
              </w:rPr>
            </w:pPr>
            <w:r>
              <w:rPr>
                <w:rFonts w:hint="eastAsia" w:ascii="宋体" w:hAnsi="宋体" w:eastAsia="Times New Roman" w:cs="宋体"/>
                <w:color w:val="auto"/>
              </w:rPr>
              <w:t>袋装</w:t>
            </w:r>
          </w:p>
        </w:tc>
        <w:tc>
          <w:tcPr>
            <w:tcW w:w="732" w:type="pct"/>
            <w:vAlign w:val="center"/>
          </w:tcPr>
          <w:p w14:paraId="2176CEBD">
            <w:pPr>
              <w:pStyle w:val="129"/>
              <w:widowControl w:val="0"/>
              <w:rPr>
                <w:rFonts w:eastAsia="Times New Roman"/>
                <w:color w:val="auto"/>
              </w:rPr>
            </w:pPr>
            <w:r>
              <w:rPr>
                <w:rFonts w:eastAsia="Times New Roman"/>
                <w:color w:val="auto"/>
              </w:rPr>
              <w:t>√</w:t>
            </w:r>
          </w:p>
        </w:tc>
        <w:tc>
          <w:tcPr>
            <w:tcW w:w="773" w:type="pct"/>
            <w:vAlign w:val="center"/>
          </w:tcPr>
          <w:p w14:paraId="65E5DEC2">
            <w:pPr>
              <w:pStyle w:val="129"/>
              <w:widowControl w:val="0"/>
              <w:rPr>
                <w:rFonts w:eastAsia="Times New Roman"/>
                <w:color w:val="auto"/>
              </w:rPr>
            </w:pPr>
          </w:p>
        </w:tc>
      </w:tr>
      <w:tr w14:paraId="39221D1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0B91B588">
            <w:pPr>
              <w:pStyle w:val="129"/>
              <w:widowControl w:val="0"/>
              <w:rPr>
                <w:rFonts w:eastAsia="Times New Roman"/>
                <w:color w:val="auto"/>
              </w:rPr>
            </w:pPr>
            <w:r>
              <w:rPr>
                <w:rFonts w:hint="eastAsia" w:eastAsia="Times New Roman"/>
                <w:color w:val="auto"/>
              </w:rPr>
              <w:t>5</w:t>
            </w:r>
          </w:p>
        </w:tc>
        <w:tc>
          <w:tcPr>
            <w:tcW w:w="908" w:type="pct"/>
            <w:vAlign w:val="center"/>
          </w:tcPr>
          <w:p w14:paraId="6FEDD761">
            <w:pPr>
              <w:pStyle w:val="129"/>
              <w:widowControl w:val="0"/>
              <w:rPr>
                <w:rFonts w:eastAsia="Times New Roman"/>
                <w:color w:val="auto"/>
              </w:rPr>
            </w:pPr>
            <w:r>
              <w:rPr>
                <w:rFonts w:hint="eastAsia" w:ascii="宋体" w:hAnsi="宋体" w:eastAsia="Times New Roman" w:cs="宋体"/>
                <w:color w:val="auto"/>
              </w:rPr>
              <w:t>硫酸</w:t>
            </w:r>
          </w:p>
        </w:tc>
        <w:tc>
          <w:tcPr>
            <w:tcW w:w="732" w:type="pct"/>
            <w:vAlign w:val="center"/>
          </w:tcPr>
          <w:p w14:paraId="126C8E31">
            <w:pPr>
              <w:pStyle w:val="129"/>
              <w:widowControl w:val="0"/>
              <w:rPr>
                <w:rFonts w:eastAsia="Times New Roman"/>
                <w:color w:val="auto"/>
              </w:rPr>
            </w:pPr>
            <w:r>
              <w:rPr>
                <w:rFonts w:eastAsia="Times New Roman"/>
                <w:color w:val="auto"/>
              </w:rPr>
              <w:t xml:space="preserve">174414.3 </w:t>
            </w:r>
          </w:p>
        </w:tc>
        <w:tc>
          <w:tcPr>
            <w:tcW w:w="652" w:type="pct"/>
            <w:vAlign w:val="center"/>
          </w:tcPr>
          <w:p w14:paraId="69979B48">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782CFCCF">
            <w:pPr>
              <w:pStyle w:val="129"/>
              <w:widowControl w:val="0"/>
              <w:rPr>
                <w:rFonts w:eastAsia="Times New Roman"/>
                <w:color w:val="auto"/>
              </w:rPr>
            </w:pPr>
            <w:r>
              <w:rPr>
                <w:rFonts w:hint="eastAsia" w:ascii="宋体" w:hAnsi="宋体" w:eastAsia="Times New Roman" w:cs="宋体"/>
                <w:color w:val="auto"/>
              </w:rPr>
              <w:t>槽车</w:t>
            </w:r>
          </w:p>
        </w:tc>
        <w:tc>
          <w:tcPr>
            <w:tcW w:w="732" w:type="pct"/>
            <w:vAlign w:val="center"/>
          </w:tcPr>
          <w:p w14:paraId="70EB815D">
            <w:pPr>
              <w:pStyle w:val="129"/>
              <w:widowControl w:val="0"/>
              <w:rPr>
                <w:rFonts w:eastAsia="Times New Roman"/>
                <w:color w:val="auto"/>
              </w:rPr>
            </w:pPr>
            <w:r>
              <w:rPr>
                <w:rFonts w:eastAsia="Times New Roman"/>
                <w:color w:val="auto"/>
              </w:rPr>
              <w:t>√</w:t>
            </w:r>
          </w:p>
        </w:tc>
        <w:tc>
          <w:tcPr>
            <w:tcW w:w="773" w:type="pct"/>
            <w:vAlign w:val="center"/>
          </w:tcPr>
          <w:p w14:paraId="15CEC9D8">
            <w:pPr>
              <w:pStyle w:val="129"/>
              <w:widowControl w:val="0"/>
              <w:rPr>
                <w:rFonts w:eastAsia="Times New Roman"/>
                <w:color w:val="auto"/>
              </w:rPr>
            </w:pPr>
          </w:p>
        </w:tc>
      </w:tr>
      <w:tr w14:paraId="7E2140F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6CC2C8FB">
            <w:pPr>
              <w:pStyle w:val="129"/>
              <w:widowControl w:val="0"/>
              <w:rPr>
                <w:rFonts w:eastAsia="Times New Roman"/>
                <w:color w:val="auto"/>
              </w:rPr>
            </w:pPr>
            <w:r>
              <w:rPr>
                <w:rFonts w:hint="eastAsia" w:eastAsia="Times New Roman"/>
                <w:color w:val="auto"/>
              </w:rPr>
              <w:t>6</w:t>
            </w:r>
          </w:p>
        </w:tc>
        <w:tc>
          <w:tcPr>
            <w:tcW w:w="908" w:type="pct"/>
            <w:vAlign w:val="center"/>
          </w:tcPr>
          <w:p w14:paraId="07A525EB">
            <w:pPr>
              <w:pStyle w:val="129"/>
              <w:widowControl w:val="0"/>
              <w:rPr>
                <w:rFonts w:eastAsia="Times New Roman"/>
                <w:color w:val="auto"/>
              </w:rPr>
            </w:pPr>
            <w:r>
              <w:rPr>
                <w:rFonts w:hint="eastAsia" w:ascii="宋体" w:hAnsi="宋体" w:eastAsia="Times New Roman" w:cs="宋体"/>
                <w:color w:val="auto"/>
              </w:rPr>
              <w:t>二氧化碳</w:t>
            </w:r>
          </w:p>
        </w:tc>
        <w:tc>
          <w:tcPr>
            <w:tcW w:w="732" w:type="pct"/>
            <w:vAlign w:val="center"/>
          </w:tcPr>
          <w:p w14:paraId="65AC6F07">
            <w:pPr>
              <w:pStyle w:val="129"/>
              <w:widowControl w:val="0"/>
              <w:rPr>
                <w:rFonts w:eastAsia="Times New Roman"/>
                <w:color w:val="auto"/>
              </w:rPr>
            </w:pPr>
            <w:r>
              <w:rPr>
                <w:rFonts w:eastAsia="Times New Roman"/>
                <w:color w:val="auto"/>
              </w:rPr>
              <w:t xml:space="preserve">1779.0 </w:t>
            </w:r>
          </w:p>
        </w:tc>
        <w:tc>
          <w:tcPr>
            <w:tcW w:w="652" w:type="pct"/>
            <w:vAlign w:val="center"/>
          </w:tcPr>
          <w:p w14:paraId="232C4466">
            <w:pPr>
              <w:pStyle w:val="129"/>
              <w:widowControl w:val="0"/>
              <w:rPr>
                <w:rFonts w:eastAsia="Times New Roman"/>
                <w:color w:val="auto"/>
              </w:rPr>
            </w:pPr>
            <w:r>
              <w:rPr>
                <w:rFonts w:hint="eastAsia" w:ascii="宋体" w:hAnsi="宋体" w:eastAsia="Times New Roman" w:cs="宋体"/>
                <w:color w:val="auto"/>
              </w:rPr>
              <w:t>　</w:t>
            </w:r>
          </w:p>
        </w:tc>
        <w:tc>
          <w:tcPr>
            <w:tcW w:w="733" w:type="pct"/>
            <w:vAlign w:val="center"/>
          </w:tcPr>
          <w:p w14:paraId="7448C342">
            <w:pPr>
              <w:pStyle w:val="129"/>
              <w:widowControl w:val="0"/>
              <w:rPr>
                <w:rFonts w:eastAsia="Times New Roman"/>
                <w:color w:val="auto"/>
              </w:rPr>
            </w:pPr>
            <w:r>
              <w:rPr>
                <w:rFonts w:hint="eastAsia" w:eastAsia="Times New Roman"/>
                <w:color w:val="auto"/>
              </w:rPr>
              <w:t>/</w:t>
            </w:r>
          </w:p>
        </w:tc>
        <w:tc>
          <w:tcPr>
            <w:tcW w:w="732" w:type="pct"/>
            <w:vAlign w:val="center"/>
          </w:tcPr>
          <w:p w14:paraId="2677C2C0">
            <w:pPr>
              <w:pStyle w:val="129"/>
              <w:widowControl w:val="0"/>
              <w:rPr>
                <w:rFonts w:eastAsia="Times New Roman"/>
                <w:color w:val="auto"/>
              </w:rPr>
            </w:pPr>
          </w:p>
        </w:tc>
        <w:tc>
          <w:tcPr>
            <w:tcW w:w="773" w:type="pct"/>
            <w:vAlign w:val="center"/>
          </w:tcPr>
          <w:p w14:paraId="5B76F852">
            <w:pPr>
              <w:pStyle w:val="129"/>
              <w:widowControl w:val="0"/>
              <w:rPr>
                <w:rFonts w:eastAsia="Times New Roman"/>
                <w:color w:val="auto"/>
              </w:rPr>
            </w:pPr>
            <w:r>
              <w:rPr>
                <w:rFonts w:eastAsia="Times New Roman"/>
                <w:color w:val="auto"/>
              </w:rPr>
              <w:t>√</w:t>
            </w:r>
          </w:p>
        </w:tc>
      </w:tr>
      <w:tr w14:paraId="4212987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5CC577FA">
            <w:pPr>
              <w:pStyle w:val="129"/>
              <w:widowControl w:val="0"/>
              <w:rPr>
                <w:rFonts w:eastAsia="Times New Roman"/>
                <w:color w:val="auto"/>
              </w:rPr>
            </w:pPr>
            <w:r>
              <w:rPr>
                <w:rFonts w:hint="eastAsia" w:eastAsia="Times New Roman"/>
                <w:color w:val="auto"/>
              </w:rPr>
              <w:t>7</w:t>
            </w:r>
          </w:p>
        </w:tc>
        <w:tc>
          <w:tcPr>
            <w:tcW w:w="908" w:type="pct"/>
            <w:vAlign w:val="center"/>
          </w:tcPr>
          <w:p w14:paraId="1E989999">
            <w:pPr>
              <w:pStyle w:val="129"/>
              <w:widowControl w:val="0"/>
              <w:rPr>
                <w:rFonts w:eastAsia="Times New Roman"/>
                <w:color w:val="auto"/>
              </w:rPr>
            </w:pPr>
            <w:r>
              <w:rPr>
                <w:rFonts w:hint="eastAsia" w:ascii="宋体" w:hAnsi="宋体" w:eastAsia="Times New Roman" w:cs="宋体"/>
                <w:color w:val="auto"/>
              </w:rPr>
              <w:t>尿素溶液</w:t>
            </w:r>
          </w:p>
        </w:tc>
        <w:tc>
          <w:tcPr>
            <w:tcW w:w="732" w:type="pct"/>
            <w:vAlign w:val="center"/>
          </w:tcPr>
          <w:p w14:paraId="5F494C03">
            <w:pPr>
              <w:pStyle w:val="129"/>
              <w:widowControl w:val="0"/>
              <w:rPr>
                <w:rFonts w:eastAsia="Times New Roman"/>
                <w:color w:val="auto"/>
              </w:rPr>
            </w:pPr>
            <w:r>
              <w:rPr>
                <w:rFonts w:eastAsia="Times New Roman"/>
                <w:color w:val="auto"/>
              </w:rPr>
              <w:t xml:space="preserve">34291.5 </w:t>
            </w:r>
          </w:p>
        </w:tc>
        <w:tc>
          <w:tcPr>
            <w:tcW w:w="652" w:type="pct"/>
            <w:vAlign w:val="center"/>
          </w:tcPr>
          <w:p w14:paraId="19F5E93B">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0A01439E">
            <w:pPr>
              <w:pStyle w:val="129"/>
              <w:widowControl w:val="0"/>
              <w:rPr>
                <w:rFonts w:eastAsia="Times New Roman"/>
                <w:color w:val="auto"/>
              </w:rPr>
            </w:pPr>
            <w:r>
              <w:rPr>
                <w:rFonts w:hint="eastAsia" w:ascii="宋体" w:hAnsi="宋体" w:eastAsia="Times New Roman" w:cs="宋体"/>
                <w:color w:val="auto"/>
              </w:rPr>
              <w:t>槽车</w:t>
            </w:r>
          </w:p>
        </w:tc>
        <w:tc>
          <w:tcPr>
            <w:tcW w:w="732" w:type="pct"/>
            <w:vAlign w:val="center"/>
          </w:tcPr>
          <w:p w14:paraId="6D8BCD4D">
            <w:pPr>
              <w:pStyle w:val="129"/>
              <w:widowControl w:val="0"/>
              <w:rPr>
                <w:rFonts w:eastAsia="Times New Roman"/>
                <w:color w:val="auto"/>
              </w:rPr>
            </w:pPr>
            <w:r>
              <w:rPr>
                <w:rFonts w:eastAsia="Times New Roman"/>
                <w:color w:val="auto"/>
              </w:rPr>
              <w:t>√</w:t>
            </w:r>
          </w:p>
        </w:tc>
        <w:tc>
          <w:tcPr>
            <w:tcW w:w="773" w:type="pct"/>
            <w:vAlign w:val="center"/>
          </w:tcPr>
          <w:p w14:paraId="274FF910">
            <w:pPr>
              <w:pStyle w:val="129"/>
              <w:widowControl w:val="0"/>
              <w:rPr>
                <w:rFonts w:eastAsia="Times New Roman"/>
                <w:color w:val="auto"/>
              </w:rPr>
            </w:pPr>
          </w:p>
        </w:tc>
      </w:tr>
      <w:tr w14:paraId="5F65996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5E706CF7">
            <w:pPr>
              <w:pStyle w:val="129"/>
              <w:widowControl w:val="0"/>
              <w:rPr>
                <w:rFonts w:eastAsia="Times New Roman"/>
                <w:color w:val="auto"/>
              </w:rPr>
            </w:pPr>
            <w:r>
              <w:rPr>
                <w:rFonts w:hint="eastAsia" w:eastAsia="Times New Roman"/>
                <w:color w:val="auto"/>
              </w:rPr>
              <w:t>8</w:t>
            </w:r>
          </w:p>
        </w:tc>
        <w:tc>
          <w:tcPr>
            <w:tcW w:w="908" w:type="pct"/>
            <w:vAlign w:val="center"/>
          </w:tcPr>
          <w:p w14:paraId="1A11281C">
            <w:pPr>
              <w:pStyle w:val="129"/>
              <w:widowControl w:val="0"/>
              <w:rPr>
                <w:rFonts w:eastAsia="Times New Roman"/>
                <w:color w:val="auto"/>
              </w:rPr>
            </w:pPr>
            <w:r>
              <w:rPr>
                <w:rFonts w:hint="eastAsia" w:ascii="宋体" w:hAnsi="宋体" w:eastAsia="Times New Roman" w:cs="宋体"/>
                <w:color w:val="auto"/>
              </w:rPr>
              <w:t>硝酸</w:t>
            </w:r>
          </w:p>
        </w:tc>
        <w:tc>
          <w:tcPr>
            <w:tcW w:w="732" w:type="pct"/>
            <w:vAlign w:val="center"/>
          </w:tcPr>
          <w:p w14:paraId="1F3C6EA0">
            <w:pPr>
              <w:pStyle w:val="129"/>
              <w:widowControl w:val="0"/>
              <w:rPr>
                <w:rFonts w:eastAsia="Times New Roman"/>
                <w:color w:val="auto"/>
              </w:rPr>
            </w:pPr>
            <w:r>
              <w:rPr>
                <w:rFonts w:eastAsia="Times New Roman"/>
                <w:color w:val="auto"/>
              </w:rPr>
              <w:t>48.43</w:t>
            </w:r>
          </w:p>
        </w:tc>
        <w:tc>
          <w:tcPr>
            <w:tcW w:w="652" w:type="pct"/>
            <w:vAlign w:val="center"/>
          </w:tcPr>
          <w:p w14:paraId="6C6CA94B">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1FA792CA">
            <w:pPr>
              <w:pStyle w:val="129"/>
              <w:widowControl w:val="0"/>
              <w:rPr>
                <w:rFonts w:eastAsia="Times New Roman"/>
                <w:color w:val="auto"/>
              </w:rPr>
            </w:pPr>
            <w:r>
              <w:rPr>
                <w:rFonts w:hint="eastAsia" w:ascii="宋体" w:hAnsi="宋体" w:eastAsia="Times New Roman" w:cs="宋体"/>
                <w:color w:val="auto"/>
              </w:rPr>
              <w:t>槽车</w:t>
            </w:r>
          </w:p>
        </w:tc>
        <w:tc>
          <w:tcPr>
            <w:tcW w:w="732" w:type="pct"/>
            <w:vAlign w:val="center"/>
          </w:tcPr>
          <w:p w14:paraId="7AB722A0">
            <w:pPr>
              <w:pStyle w:val="129"/>
              <w:widowControl w:val="0"/>
              <w:rPr>
                <w:rFonts w:eastAsia="Times New Roman"/>
                <w:color w:val="auto"/>
              </w:rPr>
            </w:pPr>
            <w:r>
              <w:rPr>
                <w:rFonts w:eastAsia="Times New Roman"/>
                <w:color w:val="auto"/>
              </w:rPr>
              <w:t>√</w:t>
            </w:r>
          </w:p>
        </w:tc>
        <w:tc>
          <w:tcPr>
            <w:tcW w:w="773" w:type="pct"/>
            <w:vAlign w:val="center"/>
          </w:tcPr>
          <w:p w14:paraId="5EB84CC2">
            <w:pPr>
              <w:pStyle w:val="129"/>
              <w:widowControl w:val="0"/>
              <w:rPr>
                <w:rFonts w:eastAsia="Times New Roman"/>
                <w:color w:val="auto"/>
              </w:rPr>
            </w:pPr>
          </w:p>
        </w:tc>
      </w:tr>
      <w:tr w14:paraId="7DD2613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57BABF9C">
            <w:pPr>
              <w:pStyle w:val="129"/>
              <w:widowControl w:val="0"/>
              <w:rPr>
                <w:rFonts w:eastAsia="Times New Roman"/>
                <w:color w:val="auto"/>
              </w:rPr>
            </w:pPr>
            <w:r>
              <w:rPr>
                <w:rFonts w:hint="eastAsia" w:eastAsia="Times New Roman"/>
                <w:color w:val="auto"/>
              </w:rPr>
              <w:t>9</w:t>
            </w:r>
          </w:p>
        </w:tc>
        <w:tc>
          <w:tcPr>
            <w:tcW w:w="908" w:type="pct"/>
            <w:vAlign w:val="center"/>
          </w:tcPr>
          <w:p w14:paraId="3255B08B">
            <w:pPr>
              <w:pStyle w:val="129"/>
              <w:widowControl w:val="0"/>
              <w:rPr>
                <w:rFonts w:eastAsia="Times New Roman"/>
                <w:color w:val="auto"/>
              </w:rPr>
            </w:pPr>
            <w:r>
              <w:rPr>
                <w:rFonts w:hint="eastAsia" w:ascii="宋体" w:hAnsi="宋体" w:eastAsia="Times New Roman" w:cs="宋体"/>
                <w:color w:val="auto"/>
              </w:rPr>
              <w:t>催化生产化学品</w:t>
            </w:r>
          </w:p>
        </w:tc>
        <w:tc>
          <w:tcPr>
            <w:tcW w:w="732" w:type="pct"/>
            <w:vAlign w:val="center"/>
          </w:tcPr>
          <w:p w14:paraId="1C629B6A">
            <w:pPr>
              <w:pStyle w:val="129"/>
              <w:widowControl w:val="0"/>
              <w:rPr>
                <w:rFonts w:eastAsia="Times New Roman"/>
                <w:color w:val="auto"/>
              </w:rPr>
            </w:pPr>
            <w:r>
              <w:rPr>
                <w:rFonts w:eastAsia="Times New Roman"/>
                <w:color w:val="auto"/>
              </w:rPr>
              <w:t>1053.24</w:t>
            </w:r>
          </w:p>
        </w:tc>
        <w:tc>
          <w:tcPr>
            <w:tcW w:w="652" w:type="pct"/>
            <w:vAlign w:val="center"/>
          </w:tcPr>
          <w:p w14:paraId="0DF0FFF6">
            <w:pPr>
              <w:pStyle w:val="129"/>
              <w:widowControl w:val="0"/>
              <w:rPr>
                <w:rFonts w:eastAsia="Times New Roman"/>
                <w:color w:val="auto"/>
              </w:rPr>
            </w:pPr>
            <w:r>
              <w:rPr>
                <w:rFonts w:hint="eastAsia" w:ascii="宋体" w:hAnsi="宋体" w:eastAsia="Times New Roman" w:cs="宋体"/>
                <w:color w:val="auto"/>
              </w:rPr>
              <w:t>固</w:t>
            </w:r>
            <w:r>
              <w:rPr>
                <w:rFonts w:hint="eastAsia" w:eastAsia="Times New Roman"/>
                <w:color w:val="auto"/>
              </w:rPr>
              <w:t>/</w:t>
            </w:r>
            <w:r>
              <w:rPr>
                <w:rFonts w:hint="eastAsia" w:ascii="宋体" w:hAnsi="宋体" w:eastAsia="Times New Roman" w:cs="宋体"/>
                <w:color w:val="auto"/>
              </w:rPr>
              <w:t>液</w:t>
            </w:r>
          </w:p>
        </w:tc>
        <w:tc>
          <w:tcPr>
            <w:tcW w:w="733" w:type="pct"/>
            <w:vAlign w:val="center"/>
          </w:tcPr>
          <w:p w14:paraId="71983AA9">
            <w:pPr>
              <w:pStyle w:val="129"/>
              <w:widowControl w:val="0"/>
              <w:rPr>
                <w:rFonts w:eastAsia="Times New Roman"/>
                <w:color w:val="auto"/>
              </w:rPr>
            </w:pPr>
            <w:r>
              <w:rPr>
                <w:rFonts w:hint="eastAsia" w:ascii="宋体" w:hAnsi="宋体" w:eastAsia="Times New Roman" w:cs="宋体"/>
                <w:color w:val="auto"/>
              </w:rPr>
              <w:t>袋装</w:t>
            </w:r>
            <w:r>
              <w:rPr>
                <w:rFonts w:hint="eastAsia" w:eastAsia="Times New Roman"/>
                <w:color w:val="auto"/>
              </w:rPr>
              <w:t>/</w:t>
            </w:r>
            <w:r>
              <w:rPr>
                <w:rFonts w:hint="eastAsia" w:ascii="宋体" w:hAnsi="宋体" w:eastAsia="Times New Roman" w:cs="宋体"/>
                <w:color w:val="auto"/>
              </w:rPr>
              <w:t>桶装</w:t>
            </w:r>
          </w:p>
        </w:tc>
        <w:tc>
          <w:tcPr>
            <w:tcW w:w="732" w:type="pct"/>
            <w:vAlign w:val="center"/>
          </w:tcPr>
          <w:p w14:paraId="780F4B5E">
            <w:pPr>
              <w:pStyle w:val="129"/>
              <w:widowControl w:val="0"/>
              <w:rPr>
                <w:rFonts w:eastAsia="Times New Roman"/>
                <w:color w:val="auto"/>
              </w:rPr>
            </w:pPr>
            <w:r>
              <w:rPr>
                <w:rFonts w:eastAsia="Times New Roman"/>
                <w:color w:val="auto"/>
              </w:rPr>
              <w:t>√</w:t>
            </w:r>
          </w:p>
        </w:tc>
        <w:tc>
          <w:tcPr>
            <w:tcW w:w="773" w:type="pct"/>
            <w:vAlign w:val="center"/>
          </w:tcPr>
          <w:p w14:paraId="7DCB5D97">
            <w:pPr>
              <w:pStyle w:val="129"/>
              <w:widowControl w:val="0"/>
              <w:rPr>
                <w:rFonts w:eastAsia="Times New Roman"/>
                <w:color w:val="auto"/>
              </w:rPr>
            </w:pPr>
          </w:p>
        </w:tc>
      </w:tr>
      <w:tr w14:paraId="33AECFD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78" w:type="pct"/>
            <w:gridSpan w:val="2"/>
            <w:vAlign w:val="center"/>
          </w:tcPr>
          <w:p w14:paraId="0AE86276">
            <w:pPr>
              <w:pStyle w:val="129"/>
              <w:widowControl w:val="0"/>
              <w:rPr>
                <w:rFonts w:eastAsia="Times New Roman"/>
                <w:color w:val="auto"/>
              </w:rPr>
            </w:pPr>
            <w:r>
              <w:rPr>
                <w:rFonts w:hint="eastAsia" w:ascii="宋体" w:hAnsi="宋体" w:eastAsia="Times New Roman" w:cs="宋体"/>
                <w:color w:val="auto"/>
              </w:rPr>
              <w:t>小计</w:t>
            </w:r>
          </w:p>
        </w:tc>
        <w:tc>
          <w:tcPr>
            <w:tcW w:w="732" w:type="pct"/>
            <w:vAlign w:val="center"/>
          </w:tcPr>
          <w:p w14:paraId="1015F680">
            <w:pPr>
              <w:pStyle w:val="129"/>
              <w:widowControl w:val="0"/>
              <w:rPr>
                <w:rFonts w:eastAsia="Times New Roman"/>
                <w:color w:val="auto"/>
              </w:rPr>
            </w:pPr>
            <w:r>
              <w:rPr>
                <w:rFonts w:eastAsia="Times New Roman"/>
                <w:color w:val="auto"/>
              </w:rPr>
              <w:t xml:space="preserve">1874741 </w:t>
            </w:r>
          </w:p>
        </w:tc>
        <w:tc>
          <w:tcPr>
            <w:tcW w:w="652" w:type="pct"/>
            <w:vAlign w:val="center"/>
          </w:tcPr>
          <w:p w14:paraId="359E57BB">
            <w:pPr>
              <w:pStyle w:val="129"/>
              <w:widowControl w:val="0"/>
              <w:rPr>
                <w:rFonts w:eastAsia="Times New Roman"/>
                <w:color w:val="auto"/>
              </w:rPr>
            </w:pPr>
          </w:p>
        </w:tc>
        <w:tc>
          <w:tcPr>
            <w:tcW w:w="733" w:type="pct"/>
            <w:vAlign w:val="center"/>
          </w:tcPr>
          <w:p w14:paraId="16986280">
            <w:pPr>
              <w:pStyle w:val="129"/>
              <w:widowControl w:val="0"/>
              <w:rPr>
                <w:rFonts w:eastAsia="Times New Roman"/>
                <w:color w:val="auto"/>
              </w:rPr>
            </w:pPr>
          </w:p>
        </w:tc>
        <w:tc>
          <w:tcPr>
            <w:tcW w:w="732" w:type="pct"/>
            <w:vAlign w:val="center"/>
          </w:tcPr>
          <w:p w14:paraId="6F077980">
            <w:pPr>
              <w:pStyle w:val="129"/>
              <w:widowControl w:val="0"/>
              <w:rPr>
                <w:rFonts w:eastAsia="Times New Roman"/>
                <w:color w:val="auto"/>
              </w:rPr>
            </w:pPr>
            <w:r>
              <w:rPr>
                <w:rFonts w:eastAsia="Times New Roman"/>
                <w:color w:val="auto"/>
              </w:rPr>
              <w:t xml:space="preserve">209807 </w:t>
            </w:r>
          </w:p>
        </w:tc>
        <w:tc>
          <w:tcPr>
            <w:tcW w:w="773" w:type="pct"/>
            <w:vAlign w:val="center"/>
          </w:tcPr>
          <w:p w14:paraId="0CCD1BC3">
            <w:pPr>
              <w:pStyle w:val="129"/>
              <w:widowControl w:val="0"/>
              <w:rPr>
                <w:rFonts w:eastAsia="Times New Roman"/>
                <w:color w:val="auto"/>
              </w:rPr>
            </w:pPr>
            <w:r>
              <w:rPr>
                <w:rFonts w:eastAsia="Times New Roman"/>
                <w:color w:val="auto"/>
              </w:rPr>
              <w:t xml:space="preserve">1664934 </w:t>
            </w:r>
          </w:p>
        </w:tc>
      </w:tr>
      <w:tr w14:paraId="125F03B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546880A9">
            <w:pPr>
              <w:pStyle w:val="129"/>
              <w:widowControl w:val="0"/>
              <w:rPr>
                <w:rFonts w:eastAsia="Times New Roman"/>
                <w:color w:val="auto"/>
              </w:rPr>
            </w:pPr>
            <w:r>
              <w:rPr>
                <w:rFonts w:hint="eastAsia" w:ascii="宋体" w:hAnsi="宋体" w:eastAsia="Times New Roman" w:cs="宋体"/>
                <w:color w:val="auto"/>
              </w:rPr>
              <w:t>二</w:t>
            </w:r>
          </w:p>
        </w:tc>
        <w:tc>
          <w:tcPr>
            <w:tcW w:w="4530" w:type="pct"/>
            <w:gridSpan w:val="6"/>
            <w:vAlign w:val="center"/>
          </w:tcPr>
          <w:p w14:paraId="481CC283">
            <w:pPr>
              <w:pStyle w:val="129"/>
              <w:widowControl w:val="0"/>
              <w:rPr>
                <w:rFonts w:eastAsia="Times New Roman"/>
                <w:color w:val="auto"/>
              </w:rPr>
            </w:pPr>
            <w:r>
              <w:rPr>
                <w:rFonts w:hint="eastAsia" w:ascii="宋体" w:hAnsi="宋体" w:eastAsia="Times New Roman" w:cs="宋体"/>
                <w:color w:val="auto"/>
              </w:rPr>
              <w:t>主要运出量</w:t>
            </w:r>
          </w:p>
        </w:tc>
      </w:tr>
      <w:tr w14:paraId="5BABCBE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621F55EE">
            <w:pPr>
              <w:pStyle w:val="129"/>
              <w:widowControl w:val="0"/>
              <w:rPr>
                <w:rFonts w:eastAsia="Times New Roman"/>
                <w:color w:val="auto"/>
              </w:rPr>
            </w:pPr>
            <w:r>
              <w:rPr>
                <w:rFonts w:eastAsia="Times New Roman"/>
                <w:color w:val="auto"/>
              </w:rPr>
              <w:t>1</w:t>
            </w:r>
          </w:p>
        </w:tc>
        <w:tc>
          <w:tcPr>
            <w:tcW w:w="908" w:type="pct"/>
            <w:vAlign w:val="center"/>
          </w:tcPr>
          <w:p w14:paraId="6730775B">
            <w:pPr>
              <w:pStyle w:val="129"/>
              <w:widowControl w:val="0"/>
              <w:rPr>
                <w:rFonts w:eastAsia="Times New Roman"/>
                <w:color w:val="auto"/>
              </w:rPr>
            </w:pPr>
            <w:r>
              <w:rPr>
                <w:rFonts w:hint="eastAsia" w:ascii="宋体" w:hAnsi="宋体" w:eastAsia="Times New Roman" w:cs="宋体"/>
                <w:color w:val="auto"/>
              </w:rPr>
              <w:t>拟薄水铝石</w:t>
            </w:r>
          </w:p>
        </w:tc>
        <w:tc>
          <w:tcPr>
            <w:tcW w:w="732" w:type="pct"/>
            <w:vAlign w:val="center"/>
          </w:tcPr>
          <w:p w14:paraId="495FCD7A">
            <w:pPr>
              <w:pStyle w:val="129"/>
              <w:widowControl w:val="0"/>
              <w:rPr>
                <w:rFonts w:eastAsia="Times New Roman"/>
                <w:color w:val="auto"/>
              </w:rPr>
            </w:pPr>
            <w:r>
              <w:rPr>
                <w:rFonts w:eastAsia="Times New Roman"/>
                <w:color w:val="auto"/>
              </w:rPr>
              <w:t xml:space="preserve">19376.02 </w:t>
            </w:r>
          </w:p>
        </w:tc>
        <w:tc>
          <w:tcPr>
            <w:tcW w:w="652" w:type="pct"/>
            <w:vAlign w:val="center"/>
          </w:tcPr>
          <w:p w14:paraId="7B5A9EFA">
            <w:pPr>
              <w:pStyle w:val="129"/>
              <w:widowControl w:val="0"/>
              <w:rPr>
                <w:rFonts w:eastAsia="Times New Roman"/>
                <w:color w:val="auto"/>
              </w:rPr>
            </w:pPr>
            <w:r>
              <w:rPr>
                <w:rFonts w:hint="eastAsia" w:ascii="宋体" w:hAnsi="宋体" w:eastAsia="Times New Roman" w:cs="宋体"/>
                <w:color w:val="auto"/>
              </w:rPr>
              <w:t>固体</w:t>
            </w:r>
          </w:p>
        </w:tc>
        <w:tc>
          <w:tcPr>
            <w:tcW w:w="733" w:type="pct"/>
            <w:vAlign w:val="center"/>
          </w:tcPr>
          <w:p w14:paraId="5E91DEF8">
            <w:pPr>
              <w:pStyle w:val="129"/>
              <w:widowControl w:val="0"/>
              <w:rPr>
                <w:rFonts w:eastAsia="Times New Roman"/>
                <w:color w:val="auto"/>
              </w:rPr>
            </w:pPr>
            <w:r>
              <w:rPr>
                <w:rFonts w:hint="eastAsia" w:ascii="宋体" w:hAnsi="宋体" w:eastAsia="Times New Roman" w:cs="宋体"/>
                <w:color w:val="auto"/>
              </w:rPr>
              <w:t>袋装</w:t>
            </w:r>
          </w:p>
        </w:tc>
        <w:tc>
          <w:tcPr>
            <w:tcW w:w="732" w:type="pct"/>
            <w:vAlign w:val="center"/>
          </w:tcPr>
          <w:p w14:paraId="1D23BD91">
            <w:pPr>
              <w:pStyle w:val="129"/>
              <w:widowControl w:val="0"/>
              <w:rPr>
                <w:rFonts w:eastAsia="Times New Roman"/>
                <w:color w:val="auto"/>
              </w:rPr>
            </w:pPr>
            <w:r>
              <w:rPr>
                <w:rFonts w:eastAsia="Times New Roman"/>
                <w:color w:val="auto"/>
              </w:rPr>
              <w:t>√</w:t>
            </w:r>
          </w:p>
        </w:tc>
        <w:tc>
          <w:tcPr>
            <w:tcW w:w="773" w:type="pct"/>
            <w:vAlign w:val="center"/>
          </w:tcPr>
          <w:p w14:paraId="7F2C259C">
            <w:pPr>
              <w:pStyle w:val="129"/>
              <w:widowControl w:val="0"/>
              <w:rPr>
                <w:rFonts w:eastAsia="Times New Roman"/>
                <w:color w:val="auto"/>
              </w:rPr>
            </w:pPr>
          </w:p>
        </w:tc>
      </w:tr>
      <w:tr w14:paraId="53169F6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68B95A77">
            <w:pPr>
              <w:pStyle w:val="129"/>
              <w:widowControl w:val="0"/>
              <w:rPr>
                <w:rFonts w:eastAsia="Times New Roman"/>
                <w:color w:val="auto"/>
              </w:rPr>
            </w:pPr>
            <w:r>
              <w:rPr>
                <w:rFonts w:eastAsia="Times New Roman"/>
                <w:color w:val="auto"/>
              </w:rPr>
              <w:t>2</w:t>
            </w:r>
          </w:p>
        </w:tc>
        <w:tc>
          <w:tcPr>
            <w:tcW w:w="908" w:type="pct"/>
            <w:vAlign w:val="center"/>
          </w:tcPr>
          <w:p w14:paraId="29D07E5E">
            <w:pPr>
              <w:pStyle w:val="129"/>
              <w:widowControl w:val="0"/>
              <w:rPr>
                <w:rFonts w:eastAsia="Times New Roman"/>
                <w:color w:val="auto"/>
              </w:rPr>
            </w:pPr>
            <w:r>
              <w:rPr>
                <w:rFonts w:hint="eastAsia" w:ascii="宋体" w:hAnsi="宋体" w:eastAsia="Times New Roman" w:cs="宋体"/>
                <w:color w:val="auto"/>
              </w:rPr>
              <w:t>工业催化剂</w:t>
            </w:r>
          </w:p>
        </w:tc>
        <w:tc>
          <w:tcPr>
            <w:tcW w:w="732" w:type="pct"/>
            <w:vAlign w:val="center"/>
          </w:tcPr>
          <w:p w14:paraId="3E8CAEA5">
            <w:pPr>
              <w:pStyle w:val="129"/>
              <w:widowControl w:val="0"/>
              <w:rPr>
                <w:rFonts w:eastAsia="Times New Roman"/>
                <w:color w:val="auto"/>
              </w:rPr>
            </w:pPr>
            <w:r>
              <w:rPr>
                <w:rFonts w:eastAsia="Times New Roman"/>
                <w:color w:val="auto"/>
              </w:rPr>
              <w:t>3000</w:t>
            </w:r>
          </w:p>
        </w:tc>
        <w:tc>
          <w:tcPr>
            <w:tcW w:w="652" w:type="pct"/>
            <w:vAlign w:val="center"/>
          </w:tcPr>
          <w:p w14:paraId="3614C942">
            <w:pPr>
              <w:pStyle w:val="129"/>
              <w:widowControl w:val="0"/>
              <w:rPr>
                <w:rFonts w:eastAsia="Times New Roman"/>
                <w:color w:val="auto"/>
              </w:rPr>
            </w:pPr>
            <w:r>
              <w:rPr>
                <w:rFonts w:hint="eastAsia" w:ascii="宋体" w:hAnsi="宋体" w:eastAsia="Times New Roman" w:cs="宋体"/>
                <w:color w:val="auto"/>
              </w:rPr>
              <w:t>固体</w:t>
            </w:r>
          </w:p>
        </w:tc>
        <w:tc>
          <w:tcPr>
            <w:tcW w:w="733" w:type="pct"/>
            <w:vAlign w:val="center"/>
          </w:tcPr>
          <w:p w14:paraId="5679B03B">
            <w:pPr>
              <w:pStyle w:val="129"/>
              <w:widowControl w:val="0"/>
              <w:rPr>
                <w:rFonts w:eastAsia="Times New Roman"/>
                <w:color w:val="auto"/>
              </w:rPr>
            </w:pPr>
            <w:r>
              <w:rPr>
                <w:rFonts w:hint="eastAsia" w:ascii="宋体" w:hAnsi="宋体" w:eastAsia="Times New Roman" w:cs="宋体"/>
                <w:color w:val="auto"/>
              </w:rPr>
              <w:t>袋装</w:t>
            </w:r>
          </w:p>
        </w:tc>
        <w:tc>
          <w:tcPr>
            <w:tcW w:w="732" w:type="pct"/>
            <w:vAlign w:val="center"/>
          </w:tcPr>
          <w:p w14:paraId="156ABDAC">
            <w:pPr>
              <w:pStyle w:val="129"/>
              <w:widowControl w:val="0"/>
              <w:rPr>
                <w:rFonts w:eastAsia="Times New Roman"/>
                <w:color w:val="auto"/>
              </w:rPr>
            </w:pPr>
            <w:r>
              <w:rPr>
                <w:rFonts w:eastAsia="Times New Roman"/>
                <w:color w:val="auto"/>
              </w:rPr>
              <w:t>√</w:t>
            </w:r>
          </w:p>
        </w:tc>
        <w:tc>
          <w:tcPr>
            <w:tcW w:w="773" w:type="pct"/>
            <w:vAlign w:val="center"/>
          </w:tcPr>
          <w:p w14:paraId="3AFB3B16">
            <w:pPr>
              <w:pStyle w:val="129"/>
              <w:widowControl w:val="0"/>
              <w:rPr>
                <w:rFonts w:eastAsia="Times New Roman"/>
                <w:color w:val="auto"/>
              </w:rPr>
            </w:pPr>
          </w:p>
        </w:tc>
      </w:tr>
      <w:tr w14:paraId="310F67B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25EDCED1">
            <w:pPr>
              <w:pStyle w:val="129"/>
              <w:widowControl w:val="0"/>
              <w:rPr>
                <w:rFonts w:eastAsia="Times New Roman"/>
                <w:color w:val="auto"/>
              </w:rPr>
            </w:pPr>
            <w:r>
              <w:rPr>
                <w:rFonts w:eastAsia="Times New Roman"/>
                <w:color w:val="auto"/>
              </w:rPr>
              <w:t>3</w:t>
            </w:r>
          </w:p>
        </w:tc>
        <w:tc>
          <w:tcPr>
            <w:tcW w:w="908" w:type="pct"/>
            <w:vAlign w:val="center"/>
          </w:tcPr>
          <w:p w14:paraId="2F23FBB2">
            <w:pPr>
              <w:pStyle w:val="129"/>
              <w:widowControl w:val="0"/>
              <w:rPr>
                <w:rFonts w:eastAsia="Times New Roman"/>
                <w:color w:val="auto"/>
              </w:rPr>
            </w:pPr>
            <w:r>
              <w:rPr>
                <w:rFonts w:hint="eastAsia" w:ascii="宋体" w:hAnsi="宋体" w:eastAsia="Times New Roman" w:cs="宋体"/>
                <w:color w:val="auto"/>
              </w:rPr>
              <w:t>液体肥料</w:t>
            </w:r>
            <w:r>
              <w:rPr>
                <w:rFonts w:hint="eastAsia" w:eastAsia="Times New Roman"/>
                <w:color w:val="auto"/>
              </w:rPr>
              <w:t>1</w:t>
            </w:r>
          </w:p>
        </w:tc>
        <w:tc>
          <w:tcPr>
            <w:tcW w:w="732" w:type="pct"/>
            <w:vAlign w:val="center"/>
          </w:tcPr>
          <w:p w14:paraId="127BB85A">
            <w:pPr>
              <w:pStyle w:val="129"/>
              <w:widowControl w:val="0"/>
              <w:rPr>
                <w:rFonts w:eastAsia="Times New Roman"/>
                <w:color w:val="auto"/>
              </w:rPr>
            </w:pPr>
            <w:r>
              <w:rPr>
                <w:rFonts w:eastAsia="Times New Roman"/>
                <w:color w:val="auto"/>
              </w:rPr>
              <w:t>80014</w:t>
            </w:r>
          </w:p>
        </w:tc>
        <w:tc>
          <w:tcPr>
            <w:tcW w:w="652" w:type="pct"/>
            <w:vAlign w:val="center"/>
          </w:tcPr>
          <w:p w14:paraId="2F5C229F">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7CA90400">
            <w:pPr>
              <w:pStyle w:val="129"/>
              <w:widowControl w:val="0"/>
              <w:rPr>
                <w:rFonts w:eastAsia="Times New Roman"/>
                <w:color w:val="auto"/>
              </w:rPr>
            </w:pPr>
            <w:r>
              <w:rPr>
                <w:rFonts w:hint="eastAsia" w:ascii="宋体" w:hAnsi="宋体" w:eastAsia="Times New Roman" w:cs="宋体"/>
                <w:color w:val="auto"/>
              </w:rPr>
              <w:t>灌装</w:t>
            </w:r>
          </w:p>
        </w:tc>
        <w:tc>
          <w:tcPr>
            <w:tcW w:w="732" w:type="pct"/>
            <w:vAlign w:val="center"/>
          </w:tcPr>
          <w:p w14:paraId="7B0B76D2">
            <w:pPr>
              <w:pStyle w:val="129"/>
              <w:widowControl w:val="0"/>
              <w:rPr>
                <w:rFonts w:eastAsia="Times New Roman"/>
                <w:color w:val="auto"/>
              </w:rPr>
            </w:pPr>
            <w:r>
              <w:rPr>
                <w:rFonts w:eastAsia="Times New Roman"/>
                <w:color w:val="auto"/>
              </w:rPr>
              <w:t>√</w:t>
            </w:r>
          </w:p>
        </w:tc>
        <w:tc>
          <w:tcPr>
            <w:tcW w:w="773" w:type="pct"/>
            <w:vAlign w:val="center"/>
          </w:tcPr>
          <w:p w14:paraId="01DA5C31">
            <w:pPr>
              <w:pStyle w:val="129"/>
              <w:widowControl w:val="0"/>
              <w:rPr>
                <w:rFonts w:eastAsia="Times New Roman"/>
                <w:color w:val="auto"/>
              </w:rPr>
            </w:pPr>
          </w:p>
        </w:tc>
      </w:tr>
      <w:tr w14:paraId="22C5D37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3709CB5E">
            <w:pPr>
              <w:pStyle w:val="129"/>
              <w:widowControl w:val="0"/>
              <w:rPr>
                <w:rFonts w:eastAsia="Times New Roman"/>
                <w:color w:val="auto"/>
              </w:rPr>
            </w:pPr>
            <w:r>
              <w:rPr>
                <w:rFonts w:eastAsia="Times New Roman"/>
                <w:color w:val="auto"/>
              </w:rPr>
              <w:t>4</w:t>
            </w:r>
          </w:p>
        </w:tc>
        <w:tc>
          <w:tcPr>
            <w:tcW w:w="908" w:type="pct"/>
            <w:vAlign w:val="center"/>
          </w:tcPr>
          <w:p w14:paraId="0DCBAC5E">
            <w:pPr>
              <w:pStyle w:val="129"/>
              <w:widowControl w:val="0"/>
              <w:rPr>
                <w:rFonts w:eastAsia="Times New Roman"/>
                <w:color w:val="auto"/>
              </w:rPr>
            </w:pPr>
            <w:r>
              <w:rPr>
                <w:rFonts w:hint="eastAsia" w:ascii="宋体" w:hAnsi="宋体" w:eastAsia="Times New Roman" w:cs="宋体"/>
                <w:color w:val="auto"/>
              </w:rPr>
              <w:t>液体肥料</w:t>
            </w:r>
            <w:r>
              <w:rPr>
                <w:rFonts w:hint="eastAsia" w:eastAsia="Times New Roman"/>
                <w:color w:val="auto"/>
              </w:rPr>
              <w:t>2</w:t>
            </w:r>
          </w:p>
        </w:tc>
        <w:tc>
          <w:tcPr>
            <w:tcW w:w="732" w:type="pct"/>
            <w:vAlign w:val="center"/>
          </w:tcPr>
          <w:p w14:paraId="59A0561B">
            <w:pPr>
              <w:pStyle w:val="129"/>
              <w:widowControl w:val="0"/>
              <w:rPr>
                <w:rFonts w:eastAsia="Times New Roman"/>
                <w:color w:val="auto"/>
              </w:rPr>
            </w:pPr>
            <w:r>
              <w:rPr>
                <w:rFonts w:eastAsia="Times New Roman"/>
                <w:color w:val="auto"/>
              </w:rPr>
              <w:t>32421</w:t>
            </w:r>
          </w:p>
        </w:tc>
        <w:tc>
          <w:tcPr>
            <w:tcW w:w="652" w:type="pct"/>
            <w:vAlign w:val="center"/>
          </w:tcPr>
          <w:p w14:paraId="77144058">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5EF55771">
            <w:pPr>
              <w:pStyle w:val="129"/>
              <w:widowControl w:val="0"/>
              <w:rPr>
                <w:rFonts w:eastAsia="Times New Roman"/>
                <w:color w:val="auto"/>
              </w:rPr>
            </w:pPr>
            <w:r>
              <w:rPr>
                <w:rFonts w:hint="eastAsia" w:ascii="宋体" w:hAnsi="宋体" w:eastAsia="Times New Roman" w:cs="宋体"/>
                <w:color w:val="auto"/>
              </w:rPr>
              <w:t>灌装</w:t>
            </w:r>
          </w:p>
        </w:tc>
        <w:tc>
          <w:tcPr>
            <w:tcW w:w="732" w:type="pct"/>
            <w:vAlign w:val="center"/>
          </w:tcPr>
          <w:p w14:paraId="0528846A">
            <w:pPr>
              <w:pStyle w:val="129"/>
              <w:widowControl w:val="0"/>
              <w:rPr>
                <w:rFonts w:eastAsia="Times New Roman"/>
                <w:color w:val="auto"/>
              </w:rPr>
            </w:pPr>
            <w:r>
              <w:rPr>
                <w:rFonts w:eastAsia="Times New Roman"/>
                <w:color w:val="auto"/>
              </w:rPr>
              <w:t>√</w:t>
            </w:r>
          </w:p>
        </w:tc>
        <w:tc>
          <w:tcPr>
            <w:tcW w:w="773" w:type="pct"/>
            <w:vAlign w:val="center"/>
          </w:tcPr>
          <w:p w14:paraId="7E6C7B5E">
            <w:pPr>
              <w:pStyle w:val="129"/>
              <w:widowControl w:val="0"/>
              <w:rPr>
                <w:rFonts w:eastAsia="Times New Roman"/>
                <w:color w:val="auto"/>
              </w:rPr>
            </w:pPr>
          </w:p>
        </w:tc>
      </w:tr>
      <w:tr w14:paraId="5C8800A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1A4D4722">
            <w:pPr>
              <w:pStyle w:val="129"/>
              <w:widowControl w:val="0"/>
              <w:rPr>
                <w:rFonts w:eastAsia="Times New Roman"/>
                <w:color w:val="auto"/>
              </w:rPr>
            </w:pPr>
            <w:r>
              <w:rPr>
                <w:rFonts w:eastAsia="Times New Roman"/>
                <w:color w:val="auto"/>
              </w:rPr>
              <w:t>5</w:t>
            </w:r>
          </w:p>
        </w:tc>
        <w:tc>
          <w:tcPr>
            <w:tcW w:w="908" w:type="pct"/>
            <w:vAlign w:val="center"/>
          </w:tcPr>
          <w:p w14:paraId="21AE95DB">
            <w:pPr>
              <w:pStyle w:val="129"/>
              <w:widowControl w:val="0"/>
              <w:rPr>
                <w:rFonts w:eastAsia="Times New Roman"/>
                <w:color w:val="auto"/>
              </w:rPr>
            </w:pPr>
            <w:r>
              <w:rPr>
                <w:rFonts w:hint="eastAsia" w:ascii="宋体" w:hAnsi="宋体" w:eastAsia="Times New Roman" w:cs="宋体"/>
                <w:color w:val="auto"/>
              </w:rPr>
              <w:t>硫酸铵</w:t>
            </w:r>
          </w:p>
        </w:tc>
        <w:tc>
          <w:tcPr>
            <w:tcW w:w="732" w:type="pct"/>
            <w:vAlign w:val="center"/>
          </w:tcPr>
          <w:p w14:paraId="41B7B65E">
            <w:pPr>
              <w:pStyle w:val="129"/>
              <w:widowControl w:val="0"/>
              <w:rPr>
                <w:rFonts w:eastAsia="Times New Roman"/>
                <w:color w:val="auto"/>
              </w:rPr>
            </w:pPr>
            <w:r>
              <w:rPr>
                <w:rFonts w:eastAsia="Times New Roman"/>
                <w:color w:val="auto"/>
              </w:rPr>
              <w:t>75911</w:t>
            </w:r>
          </w:p>
        </w:tc>
        <w:tc>
          <w:tcPr>
            <w:tcW w:w="652" w:type="pct"/>
            <w:vAlign w:val="center"/>
          </w:tcPr>
          <w:p w14:paraId="3FDC1CC0">
            <w:pPr>
              <w:pStyle w:val="129"/>
              <w:widowControl w:val="0"/>
              <w:rPr>
                <w:rFonts w:eastAsia="Times New Roman"/>
                <w:color w:val="auto"/>
              </w:rPr>
            </w:pPr>
            <w:r>
              <w:rPr>
                <w:rFonts w:hint="eastAsia" w:ascii="宋体" w:hAnsi="宋体" w:eastAsia="Times New Roman" w:cs="宋体"/>
                <w:color w:val="auto"/>
              </w:rPr>
              <w:t>固体</w:t>
            </w:r>
          </w:p>
        </w:tc>
        <w:tc>
          <w:tcPr>
            <w:tcW w:w="733" w:type="pct"/>
            <w:vAlign w:val="center"/>
          </w:tcPr>
          <w:p w14:paraId="7A47BB1A">
            <w:pPr>
              <w:pStyle w:val="129"/>
              <w:widowControl w:val="0"/>
              <w:rPr>
                <w:rFonts w:eastAsia="Times New Roman"/>
                <w:color w:val="auto"/>
              </w:rPr>
            </w:pPr>
            <w:r>
              <w:rPr>
                <w:rFonts w:hint="eastAsia" w:ascii="宋体" w:hAnsi="宋体" w:eastAsia="Times New Roman" w:cs="宋体"/>
                <w:color w:val="auto"/>
              </w:rPr>
              <w:t>袋装</w:t>
            </w:r>
          </w:p>
        </w:tc>
        <w:tc>
          <w:tcPr>
            <w:tcW w:w="732" w:type="pct"/>
            <w:vAlign w:val="center"/>
          </w:tcPr>
          <w:p w14:paraId="2CE1CDFB">
            <w:pPr>
              <w:pStyle w:val="129"/>
              <w:widowControl w:val="0"/>
              <w:rPr>
                <w:rFonts w:eastAsia="Times New Roman"/>
                <w:color w:val="auto"/>
              </w:rPr>
            </w:pPr>
            <w:r>
              <w:rPr>
                <w:rFonts w:eastAsia="Times New Roman"/>
                <w:color w:val="auto"/>
              </w:rPr>
              <w:t>√</w:t>
            </w:r>
          </w:p>
        </w:tc>
        <w:tc>
          <w:tcPr>
            <w:tcW w:w="773" w:type="pct"/>
            <w:vAlign w:val="center"/>
          </w:tcPr>
          <w:p w14:paraId="6DA7E1A2">
            <w:pPr>
              <w:pStyle w:val="129"/>
              <w:widowControl w:val="0"/>
              <w:rPr>
                <w:rFonts w:eastAsia="Times New Roman"/>
                <w:color w:val="auto"/>
              </w:rPr>
            </w:pPr>
          </w:p>
        </w:tc>
      </w:tr>
      <w:tr w14:paraId="4BAA162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688F04BA">
            <w:pPr>
              <w:pStyle w:val="129"/>
              <w:widowControl w:val="0"/>
              <w:rPr>
                <w:rFonts w:eastAsia="Times New Roman"/>
                <w:color w:val="auto"/>
              </w:rPr>
            </w:pPr>
            <w:r>
              <w:rPr>
                <w:rFonts w:hint="eastAsia" w:eastAsia="Times New Roman"/>
                <w:color w:val="auto"/>
              </w:rPr>
              <w:t>6</w:t>
            </w:r>
          </w:p>
        </w:tc>
        <w:tc>
          <w:tcPr>
            <w:tcW w:w="908" w:type="pct"/>
            <w:vAlign w:val="center"/>
          </w:tcPr>
          <w:p w14:paraId="51B53487">
            <w:pPr>
              <w:pStyle w:val="129"/>
              <w:widowControl w:val="0"/>
              <w:rPr>
                <w:rFonts w:eastAsia="Times New Roman"/>
                <w:color w:val="auto"/>
              </w:rPr>
            </w:pPr>
            <w:r>
              <w:rPr>
                <w:rFonts w:hint="eastAsia" w:ascii="宋体" w:hAnsi="宋体" w:eastAsia="Times New Roman" w:cs="宋体"/>
                <w:color w:val="auto"/>
              </w:rPr>
              <w:t>碳酸钠</w:t>
            </w:r>
          </w:p>
        </w:tc>
        <w:tc>
          <w:tcPr>
            <w:tcW w:w="732" w:type="pct"/>
            <w:vAlign w:val="center"/>
          </w:tcPr>
          <w:p w14:paraId="2FACFA88">
            <w:pPr>
              <w:pStyle w:val="129"/>
              <w:widowControl w:val="0"/>
              <w:rPr>
                <w:rFonts w:eastAsia="Times New Roman"/>
                <w:color w:val="auto"/>
              </w:rPr>
            </w:pPr>
            <w:r>
              <w:rPr>
                <w:rFonts w:eastAsia="Times New Roman"/>
                <w:color w:val="auto"/>
              </w:rPr>
              <w:t>3424</w:t>
            </w:r>
          </w:p>
        </w:tc>
        <w:tc>
          <w:tcPr>
            <w:tcW w:w="652" w:type="pct"/>
            <w:vAlign w:val="center"/>
          </w:tcPr>
          <w:p w14:paraId="1A1404EE">
            <w:pPr>
              <w:pStyle w:val="129"/>
              <w:widowControl w:val="0"/>
              <w:rPr>
                <w:rFonts w:eastAsia="Times New Roman"/>
                <w:color w:val="auto"/>
              </w:rPr>
            </w:pPr>
            <w:r>
              <w:rPr>
                <w:rFonts w:hint="eastAsia" w:ascii="宋体" w:hAnsi="宋体" w:eastAsia="Times New Roman" w:cs="宋体"/>
                <w:color w:val="auto"/>
              </w:rPr>
              <w:t>固体</w:t>
            </w:r>
          </w:p>
        </w:tc>
        <w:tc>
          <w:tcPr>
            <w:tcW w:w="733" w:type="pct"/>
            <w:vAlign w:val="center"/>
          </w:tcPr>
          <w:p w14:paraId="0D0DE9EB">
            <w:pPr>
              <w:pStyle w:val="129"/>
              <w:widowControl w:val="0"/>
              <w:rPr>
                <w:rFonts w:eastAsia="Times New Roman"/>
                <w:color w:val="auto"/>
              </w:rPr>
            </w:pPr>
            <w:r>
              <w:rPr>
                <w:rFonts w:hint="eastAsia" w:ascii="宋体" w:hAnsi="宋体" w:eastAsia="Times New Roman" w:cs="宋体"/>
                <w:color w:val="auto"/>
              </w:rPr>
              <w:t>袋装</w:t>
            </w:r>
          </w:p>
        </w:tc>
        <w:tc>
          <w:tcPr>
            <w:tcW w:w="732" w:type="pct"/>
            <w:vAlign w:val="center"/>
          </w:tcPr>
          <w:p w14:paraId="69D38C79">
            <w:pPr>
              <w:pStyle w:val="129"/>
              <w:widowControl w:val="0"/>
              <w:rPr>
                <w:rFonts w:eastAsia="Times New Roman"/>
                <w:color w:val="auto"/>
              </w:rPr>
            </w:pPr>
            <w:r>
              <w:rPr>
                <w:rFonts w:eastAsia="Times New Roman"/>
                <w:color w:val="auto"/>
              </w:rPr>
              <w:t>√</w:t>
            </w:r>
          </w:p>
        </w:tc>
        <w:tc>
          <w:tcPr>
            <w:tcW w:w="773" w:type="pct"/>
            <w:vAlign w:val="center"/>
          </w:tcPr>
          <w:p w14:paraId="73C0EF52">
            <w:pPr>
              <w:pStyle w:val="129"/>
              <w:widowControl w:val="0"/>
              <w:rPr>
                <w:rFonts w:eastAsia="Times New Roman"/>
                <w:color w:val="auto"/>
              </w:rPr>
            </w:pPr>
          </w:p>
        </w:tc>
      </w:tr>
      <w:tr w14:paraId="280C0A9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vAlign w:val="center"/>
          </w:tcPr>
          <w:p w14:paraId="572179B6">
            <w:pPr>
              <w:pStyle w:val="129"/>
              <w:widowControl w:val="0"/>
              <w:rPr>
                <w:rFonts w:eastAsia="Times New Roman"/>
                <w:color w:val="auto"/>
              </w:rPr>
            </w:pPr>
            <w:r>
              <w:rPr>
                <w:rFonts w:hint="eastAsia" w:eastAsia="Times New Roman"/>
                <w:color w:val="auto"/>
              </w:rPr>
              <w:t>7</w:t>
            </w:r>
          </w:p>
        </w:tc>
        <w:tc>
          <w:tcPr>
            <w:tcW w:w="908" w:type="pct"/>
            <w:vAlign w:val="center"/>
          </w:tcPr>
          <w:p w14:paraId="3A473241">
            <w:pPr>
              <w:pStyle w:val="129"/>
              <w:widowControl w:val="0"/>
              <w:rPr>
                <w:rFonts w:eastAsia="Times New Roman"/>
                <w:color w:val="auto"/>
              </w:rPr>
            </w:pPr>
            <w:r>
              <w:rPr>
                <w:rFonts w:hint="eastAsia" w:ascii="宋体" w:hAnsi="宋体" w:eastAsia="Times New Roman" w:cs="宋体"/>
                <w:color w:val="auto"/>
              </w:rPr>
              <w:t>回用水</w:t>
            </w:r>
          </w:p>
        </w:tc>
        <w:tc>
          <w:tcPr>
            <w:tcW w:w="732" w:type="pct"/>
            <w:vAlign w:val="center"/>
          </w:tcPr>
          <w:p w14:paraId="585FBA1C">
            <w:pPr>
              <w:pStyle w:val="129"/>
              <w:widowControl w:val="0"/>
              <w:rPr>
                <w:rFonts w:eastAsia="Times New Roman"/>
                <w:color w:val="auto"/>
              </w:rPr>
            </w:pPr>
            <w:r>
              <w:rPr>
                <w:rFonts w:eastAsia="Times New Roman"/>
                <w:color w:val="auto"/>
              </w:rPr>
              <w:t>1612522</w:t>
            </w:r>
          </w:p>
        </w:tc>
        <w:tc>
          <w:tcPr>
            <w:tcW w:w="652" w:type="pct"/>
            <w:vAlign w:val="center"/>
          </w:tcPr>
          <w:p w14:paraId="6B739D7C">
            <w:pPr>
              <w:pStyle w:val="129"/>
              <w:widowControl w:val="0"/>
              <w:rPr>
                <w:rFonts w:eastAsia="Times New Roman"/>
                <w:color w:val="auto"/>
              </w:rPr>
            </w:pPr>
            <w:r>
              <w:rPr>
                <w:rFonts w:hint="eastAsia" w:ascii="宋体" w:hAnsi="宋体" w:eastAsia="Times New Roman" w:cs="宋体"/>
                <w:color w:val="auto"/>
              </w:rPr>
              <w:t>液体</w:t>
            </w:r>
          </w:p>
        </w:tc>
        <w:tc>
          <w:tcPr>
            <w:tcW w:w="733" w:type="pct"/>
            <w:vAlign w:val="center"/>
          </w:tcPr>
          <w:p w14:paraId="4D6D8BAB">
            <w:pPr>
              <w:pStyle w:val="129"/>
              <w:widowControl w:val="0"/>
              <w:rPr>
                <w:rFonts w:eastAsia="Times New Roman"/>
                <w:color w:val="auto"/>
              </w:rPr>
            </w:pPr>
            <w:r>
              <w:rPr>
                <w:rFonts w:eastAsia="Times New Roman"/>
                <w:color w:val="auto"/>
              </w:rPr>
              <w:t>/</w:t>
            </w:r>
          </w:p>
        </w:tc>
        <w:tc>
          <w:tcPr>
            <w:tcW w:w="732" w:type="pct"/>
            <w:vAlign w:val="center"/>
          </w:tcPr>
          <w:p w14:paraId="7E93EF11">
            <w:pPr>
              <w:pStyle w:val="129"/>
              <w:widowControl w:val="0"/>
              <w:rPr>
                <w:rFonts w:eastAsia="Times New Roman"/>
                <w:color w:val="auto"/>
              </w:rPr>
            </w:pPr>
          </w:p>
        </w:tc>
        <w:tc>
          <w:tcPr>
            <w:tcW w:w="773" w:type="pct"/>
            <w:vAlign w:val="center"/>
          </w:tcPr>
          <w:p w14:paraId="0C47581D">
            <w:pPr>
              <w:pStyle w:val="129"/>
              <w:widowControl w:val="0"/>
              <w:rPr>
                <w:rFonts w:eastAsia="Times New Roman"/>
                <w:color w:val="auto"/>
              </w:rPr>
            </w:pPr>
            <w:r>
              <w:rPr>
                <w:rFonts w:eastAsia="Times New Roman"/>
                <w:color w:val="auto"/>
              </w:rPr>
              <w:t>√</w:t>
            </w:r>
          </w:p>
        </w:tc>
      </w:tr>
      <w:tr w14:paraId="2B5C136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noWrap/>
            <w:vAlign w:val="center"/>
          </w:tcPr>
          <w:p w14:paraId="70FFAD61">
            <w:pPr>
              <w:pStyle w:val="129"/>
              <w:widowControl w:val="0"/>
              <w:rPr>
                <w:rFonts w:eastAsia="Times New Roman"/>
                <w:color w:val="auto"/>
                <w:sz w:val="22"/>
                <w:szCs w:val="22"/>
              </w:rPr>
            </w:pPr>
          </w:p>
        </w:tc>
        <w:tc>
          <w:tcPr>
            <w:tcW w:w="908" w:type="pct"/>
            <w:noWrap/>
            <w:vAlign w:val="center"/>
          </w:tcPr>
          <w:p w14:paraId="1BAB509C">
            <w:pPr>
              <w:pStyle w:val="129"/>
              <w:widowControl w:val="0"/>
              <w:rPr>
                <w:rFonts w:eastAsia="Times New Roman"/>
                <w:color w:val="auto"/>
                <w:sz w:val="22"/>
                <w:szCs w:val="22"/>
              </w:rPr>
            </w:pPr>
            <w:r>
              <w:rPr>
                <w:rFonts w:hint="eastAsia" w:ascii="宋体" w:hAnsi="宋体" w:eastAsia="Times New Roman" w:cs="宋体"/>
                <w:color w:val="auto"/>
                <w:sz w:val="22"/>
                <w:szCs w:val="22"/>
              </w:rPr>
              <w:t>小计</w:t>
            </w:r>
          </w:p>
        </w:tc>
        <w:tc>
          <w:tcPr>
            <w:tcW w:w="732" w:type="pct"/>
            <w:noWrap/>
            <w:vAlign w:val="center"/>
          </w:tcPr>
          <w:p w14:paraId="16403994">
            <w:pPr>
              <w:pStyle w:val="129"/>
              <w:widowControl w:val="0"/>
              <w:rPr>
                <w:rFonts w:eastAsia="Times New Roman"/>
                <w:color w:val="auto"/>
                <w:sz w:val="22"/>
                <w:szCs w:val="22"/>
              </w:rPr>
            </w:pPr>
            <w:r>
              <w:rPr>
                <w:rFonts w:hint="eastAsia" w:eastAsia="Times New Roman"/>
                <w:color w:val="auto"/>
                <w:sz w:val="22"/>
                <w:szCs w:val="22"/>
              </w:rPr>
              <w:t>1826667.02</w:t>
            </w:r>
          </w:p>
        </w:tc>
        <w:tc>
          <w:tcPr>
            <w:tcW w:w="652" w:type="pct"/>
            <w:noWrap/>
            <w:vAlign w:val="center"/>
          </w:tcPr>
          <w:p w14:paraId="38EDB27D">
            <w:pPr>
              <w:pStyle w:val="129"/>
              <w:widowControl w:val="0"/>
              <w:rPr>
                <w:rFonts w:eastAsia="Times New Roman"/>
                <w:color w:val="auto"/>
                <w:sz w:val="22"/>
                <w:szCs w:val="22"/>
              </w:rPr>
            </w:pPr>
          </w:p>
        </w:tc>
        <w:tc>
          <w:tcPr>
            <w:tcW w:w="733" w:type="pct"/>
            <w:noWrap/>
            <w:vAlign w:val="center"/>
          </w:tcPr>
          <w:p w14:paraId="11E54971">
            <w:pPr>
              <w:pStyle w:val="129"/>
              <w:widowControl w:val="0"/>
              <w:rPr>
                <w:rFonts w:eastAsia="Times New Roman"/>
                <w:color w:val="auto"/>
                <w:sz w:val="22"/>
                <w:szCs w:val="22"/>
              </w:rPr>
            </w:pPr>
          </w:p>
        </w:tc>
        <w:tc>
          <w:tcPr>
            <w:tcW w:w="732" w:type="pct"/>
            <w:noWrap/>
            <w:vAlign w:val="center"/>
          </w:tcPr>
          <w:p w14:paraId="243F3A56">
            <w:pPr>
              <w:pStyle w:val="129"/>
              <w:widowControl w:val="0"/>
              <w:rPr>
                <w:rFonts w:eastAsia="Times New Roman"/>
                <w:color w:val="auto"/>
                <w:sz w:val="22"/>
                <w:szCs w:val="22"/>
              </w:rPr>
            </w:pPr>
            <w:r>
              <w:rPr>
                <w:rFonts w:hint="eastAsia" w:eastAsia="Times New Roman"/>
                <w:color w:val="auto"/>
                <w:sz w:val="22"/>
                <w:szCs w:val="22"/>
              </w:rPr>
              <w:t xml:space="preserve">214145 </w:t>
            </w:r>
          </w:p>
        </w:tc>
        <w:tc>
          <w:tcPr>
            <w:tcW w:w="773" w:type="pct"/>
            <w:noWrap/>
            <w:vAlign w:val="center"/>
          </w:tcPr>
          <w:p w14:paraId="28ADB741">
            <w:pPr>
              <w:pStyle w:val="129"/>
              <w:widowControl w:val="0"/>
              <w:rPr>
                <w:rFonts w:eastAsia="Times New Roman"/>
                <w:color w:val="auto"/>
                <w:sz w:val="22"/>
                <w:szCs w:val="22"/>
              </w:rPr>
            </w:pPr>
            <w:r>
              <w:rPr>
                <w:rFonts w:hint="eastAsia" w:eastAsia="Times New Roman"/>
                <w:color w:val="auto"/>
                <w:sz w:val="22"/>
                <w:szCs w:val="22"/>
              </w:rPr>
              <w:t>1612522</w:t>
            </w:r>
          </w:p>
        </w:tc>
      </w:tr>
      <w:tr w14:paraId="1F7D126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70" w:type="pct"/>
            <w:noWrap/>
            <w:vAlign w:val="center"/>
          </w:tcPr>
          <w:p w14:paraId="06621C23">
            <w:pPr>
              <w:pStyle w:val="129"/>
              <w:widowControl w:val="0"/>
              <w:rPr>
                <w:rFonts w:eastAsia="Times New Roman"/>
                <w:color w:val="auto"/>
                <w:sz w:val="22"/>
                <w:szCs w:val="22"/>
              </w:rPr>
            </w:pPr>
          </w:p>
        </w:tc>
        <w:tc>
          <w:tcPr>
            <w:tcW w:w="908" w:type="pct"/>
            <w:noWrap/>
            <w:vAlign w:val="center"/>
          </w:tcPr>
          <w:p w14:paraId="7CDE0E87">
            <w:pPr>
              <w:pStyle w:val="129"/>
              <w:widowControl w:val="0"/>
              <w:rPr>
                <w:rFonts w:ascii="宋体" w:hAnsi="宋体" w:eastAsia="Times New Roman" w:cs="宋体"/>
                <w:color w:val="auto"/>
                <w:sz w:val="22"/>
                <w:szCs w:val="22"/>
              </w:rPr>
            </w:pPr>
            <w:r>
              <w:rPr>
                <w:rFonts w:hint="eastAsia" w:ascii="宋体" w:hAnsi="宋体" w:eastAsia="Times New Roman" w:cs="宋体"/>
                <w:color w:val="auto"/>
                <w:sz w:val="22"/>
                <w:szCs w:val="22"/>
              </w:rPr>
              <w:t>合计</w:t>
            </w:r>
          </w:p>
        </w:tc>
        <w:tc>
          <w:tcPr>
            <w:tcW w:w="732" w:type="pct"/>
            <w:noWrap/>
            <w:vAlign w:val="center"/>
          </w:tcPr>
          <w:p w14:paraId="6DE04A80">
            <w:pPr>
              <w:pStyle w:val="129"/>
              <w:widowControl w:val="0"/>
              <w:rPr>
                <w:rFonts w:eastAsia="Times New Roman"/>
                <w:color w:val="auto"/>
                <w:sz w:val="22"/>
                <w:szCs w:val="22"/>
              </w:rPr>
            </w:pPr>
            <w:r>
              <w:rPr>
                <w:rFonts w:hint="eastAsia" w:eastAsia="Times New Roman"/>
                <w:color w:val="auto"/>
                <w:sz w:val="22"/>
                <w:szCs w:val="22"/>
              </w:rPr>
              <w:t xml:space="preserve">3701408 </w:t>
            </w:r>
          </w:p>
        </w:tc>
        <w:tc>
          <w:tcPr>
            <w:tcW w:w="652" w:type="pct"/>
            <w:noWrap/>
            <w:vAlign w:val="center"/>
          </w:tcPr>
          <w:p w14:paraId="5096FB46">
            <w:pPr>
              <w:pStyle w:val="129"/>
              <w:widowControl w:val="0"/>
              <w:rPr>
                <w:rFonts w:ascii="宋体" w:hAnsi="宋体" w:eastAsia="Times New Roman" w:cs="宋体"/>
                <w:color w:val="auto"/>
                <w:sz w:val="22"/>
                <w:szCs w:val="22"/>
              </w:rPr>
            </w:pPr>
          </w:p>
        </w:tc>
        <w:tc>
          <w:tcPr>
            <w:tcW w:w="733" w:type="pct"/>
            <w:noWrap/>
            <w:vAlign w:val="center"/>
          </w:tcPr>
          <w:p w14:paraId="4B328020">
            <w:pPr>
              <w:pStyle w:val="129"/>
              <w:widowControl w:val="0"/>
              <w:rPr>
                <w:rFonts w:ascii="宋体" w:hAnsi="宋体" w:eastAsia="Times New Roman" w:cs="宋体"/>
                <w:color w:val="auto"/>
                <w:sz w:val="22"/>
                <w:szCs w:val="22"/>
              </w:rPr>
            </w:pPr>
          </w:p>
        </w:tc>
        <w:tc>
          <w:tcPr>
            <w:tcW w:w="732" w:type="pct"/>
            <w:noWrap/>
            <w:vAlign w:val="center"/>
          </w:tcPr>
          <w:p w14:paraId="6B6A2157">
            <w:pPr>
              <w:pStyle w:val="129"/>
              <w:widowControl w:val="0"/>
              <w:rPr>
                <w:rFonts w:eastAsia="Times New Roman"/>
                <w:color w:val="auto"/>
                <w:sz w:val="22"/>
                <w:szCs w:val="22"/>
              </w:rPr>
            </w:pPr>
            <w:r>
              <w:rPr>
                <w:rFonts w:hint="eastAsia" w:eastAsia="Times New Roman"/>
                <w:color w:val="auto"/>
                <w:sz w:val="22"/>
                <w:szCs w:val="22"/>
              </w:rPr>
              <w:t xml:space="preserve">423953 </w:t>
            </w:r>
          </w:p>
        </w:tc>
        <w:tc>
          <w:tcPr>
            <w:tcW w:w="773" w:type="pct"/>
            <w:noWrap/>
            <w:vAlign w:val="center"/>
          </w:tcPr>
          <w:p w14:paraId="618DFF03">
            <w:pPr>
              <w:pStyle w:val="129"/>
              <w:widowControl w:val="0"/>
              <w:rPr>
                <w:rFonts w:eastAsia="Times New Roman"/>
                <w:color w:val="auto"/>
                <w:sz w:val="22"/>
                <w:szCs w:val="22"/>
              </w:rPr>
            </w:pPr>
            <w:r>
              <w:rPr>
                <w:rFonts w:hint="eastAsia" w:eastAsia="Times New Roman"/>
                <w:color w:val="auto"/>
                <w:sz w:val="22"/>
                <w:szCs w:val="22"/>
              </w:rPr>
              <w:t xml:space="preserve">3277456 </w:t>
            </w:r>
          </w:p>
        </w:tc>
      </w:tr>
    </w:tbl>
    <w:p w14:paraId="1C3793A5">
      <w:pPr>
        <w:pStyle w:val="1304"/>
        <w:rPr>
          <w:color w:val="auto"/>
        </w:rPr>
      </w:pPr>
    </w:p>
    <w:p w14:paraId="1B27EA73">
      <w:pPr>
        <w:pStyle w:val="1304"/>
        <w:rPr>
          <w:color w:val="auto"/>
        </w:rPr>
      </w:pPr>
    </w:p>
    <w:p w14:paraId="6559F885">
      <w:pPr>
        <w:pStyle w:val="132"/>
        <w:rPr>
          <w:color w:val="auto"/>
        </w:rPr>
      </w:pPr>
      <w:r>
        <w:rPr>
          <w:rFonts w:hint="eastAsia"/>
          <w:color w:val="auto"/>
        </w:rPr>
        <w:t>（2）交通运输移动源源强核算</w:t>
      </w:r>
    </w:p>
    <w:p w14:paraId="479FEFBE">
      <w:pPr>
        <w:pStyle w:val="132"/>
        <w:rPr>
          <w:color w:val="auto"/>
        </w:rPr>
      </w:pPr>
      <w:r>
        <w:rPr>
          <w:rFonts w:hint="eastAsia"/>
          <w:color w:val="auto"/>
        </w:rPr>
        <w:t>道路机动车排放量主要包括尾气排放以及蒸发排放</w:t>
      </w:r>
      <w:r>
        <w:rPr>
          <w:color w:val="auto"/>
        </w:rPr>
        <w:t>。</w:t>
      </w:r>
    </w:p>
    <w:p w14:paraId="5DBD154D">
      <w:pPr>
        <w:pStyle w:val="132"/>
        <w:rPr>
          <w:color w:val="auto"/>
        </w:rPr>
      </w:pPr>
      <w:r>
        <w:rPr>
          <w:color w:val="auto"/>
        </w:rPr>
        <w:t>CO是燃料在发动机内不完全燃烧的产物，主要取决于空燃比和各种汽缸燃料分配的均匀性。NO</w:t>
      </w:r>
      <w:r>
        <w:rPr>
          <w:color w:val="auto"/>
          <w:vertAlign w:val="subscript"/>
        </w:rPr>
        <w:t>2</w:t>
      </w:r>
      <w:r>
        <w:rPr>
          <w:color w:val="auto"/>
        </w:rPr>
        <w:t>是汽缸内过量空气中的氧气和氮气在高温下形成的产物。HC产生于汽缸壁面淬效应和混合缸不完全燃烧。由于目前国内汽车使用的为无铅汽油，因此，不会产生铅的污染影响。</w:t>
      </w:r>
    </w:p>
    <w:p w14:paraId="39E71D8A">
      <w:pPr>
        <w:pStyle w:val="132"/>
        <w:rPr>
          <w:color w:val="auto"/>
        </w:rPr>
      </w:pPr>
      <w:r>
        <w:rPr>
          <w:color w:val="auto"/>
        </w:rPr>
        <w:t>此外，公路上行驶汽车的轮胎接触路面而使</w:t>
      </w:r>
      <w:r>
        <w:rPr>
          <w:rFonts w:hint="eastAsia"/>
          <w:color w:val="auto"/>
        </w:rPr>
        <w:t>路面</w:t>
      </w:r>
      <w:r>
        <w:rPr>
          <w:color w:val="auto"/>
        </w:rPr>
        <w:t>积尘扬起，从而产生二次扬尘污染；在运送散装含尘物料时，由于洒落、风吹等原因，使物料产生扬尘污染。</w:t>
      </w:r>
    </w:p>
    <w:p w14:paraId="7265068E">
      <w:pPr>
        <w:pStyle w:val="132"/>
        <w:rPr>
          <w:color w:val="auto"/>
        </w:rPr>
      </w:pPr>
      <w:r>
        <w:rPr>
          <w:rFonts w:hint="eastAsia"/>
          <w:color w:val="auto"/>
        </w:rPr>
        <w:t>本项目汽车主要运输量包括：运入物料主要有硝酸、田菁胶、醋酸钴、硝酸钨、醋酸锆、钼酸、醋酸铁、醋酸镍、醋酸铜、醋酸钯、醋酸铂、醋酸铑等。运出物料主要有拟薄水铝石、催化剂、液体肥料、硫酸铵、碳酸钠等，年运输量423953t/a。</w:t>
      </w:r>
    </w:p>
    <w:p w14:paraId="28B9641B">
      <w:pPr>
        <w:pStyle w:val="132"/>
        <w:rPr>
          <w:color w:val="auto"/>
        </w:rPr>
      </w:pPr>
      <w:r>
        <w:rPr>
          <w:rFonts w:hint="eastAsia"/>
          <w:color w:val="auto"/>
        </w:rPr>
        <w:t>项目采用载货汽车运输，为重型车辆，根据运输物料的不同，载重量在20～50t不等，本次环评按20t计，年运输车辆约为21198辆次，新增交通流量为2.42辆/h，本项目原料及产品来源广泛，行驶里程按500km计，根据《移动源产排污核算方法和系数手册》中对机动车污染物排放量核算方法的计算公式：排放系数=综合排放因子×年均行驶里程，根据《道路机动车大气污染物排放清单编制技术指南（试行）》，重型载货车年均行驶里程为75000km，据此可折算出重型载货车每公里污染物排放系数，乌鲁木齐市重型柴油载货汽车（国五）排放系数见表3.3-11。</w:t>
      </w:r>
    </w:p>
    <w:p w14:paraId="6B4236A6">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rFonts w:hint="eastAsia"/>
          <w:color w:val="auto"/>
        </w:rPr>
        <w:t xml:space="preserve">    乌鲁木齐市重型载货汽车（国五）排放系数一览表</w:t>
      </w:r>
    </w:p>
    <w:tbl>
      <w:tblPr>
        <w:tblStyle w:val="2399"/>
        <w:tblW w:w="4998"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644"/>
        <w:gridCol w:w="2253"/>
        <w:gridCol w:w="2253"/>
        <w:gridCol w:w="2632"/>
      </w:tblGrid>
      <w:tr w14:paraId="736D437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73" w:hRule="atLeast"/>
        </w:trPr>
        <w:tc>
          <w:tcPr>
            <w:tcW w:w="936" w:type="pct"/>
            <w:vAlign w:val="center"/>
          </w:tcPr>
          <w:p w14:paraId="66376C26">
            <w:pPr>
              <w:pStyle w:val="129"/>
              <w:widowControl w:val="0"/>
              <w:rPr>
                <w:rFonts w:eastAsia="Times New Roman"/>
                <w:color w:val="auto"/>
              </w:rPr>
            </w:pPr>
            <w:r>
              <w:rPr>
                <w:rFonts w:hint="eastAsia" w:ascii="宋体" w:hAnsi="宋体" w:eastAsia="Times New Roman" w:cs="宋体"/>
                <w:color w:val="auto"/>
              </w:rPr>
              <w:t>车</w:t>
            </w:r>
            <w:r>
              <w:rPr>
                <w:rFonts w:hint="eastAsia" w:eastAsia="Times New Roman"/>
                <w:color w:val="auto"/>
              </w:rPr>
              <w:t>辆类型</w:t>
            </w:r>
          </w:p>
        </w:tc>
        <w:tc>
          <w:tcPr>
            <w:tcW w:w="4064" w:type="pct"/>
            <w:gridSpan w:val="3"/>
            <w:vAlign w:val="center"/>
          </w:tcPr>
          <w:p w14:paraId="773CD2BB">
            <w:pPr>
              <w:pStyle w:val="129"/>
              <w:widowControl w:val="0"/>
              <w:rPr>
                <w:rFonts w:eastAsia="Times New Roman"/>
                <w:color w:val="auto"/>
              </w:rPr>
            </w:pPr>
            <w:r>
              <w:rPr>
                <w:rFonts w:hint="eastAsia" w:ascii="宋体" w:hAnsi="宋体" w:eastAsia="Times New Roman" w:cs="宋体"/>
                <w:color w:val="auto"/>
              </w:rPr>
              <w:t>排放系数（</w:t>
            </w:r>
            <w:r>
              <w:rPr>
                <w:rFonts w:hint="eastAsia" w:eastAsia="Times New Roman"/>
                <w:color w:val="auto"/>
              </w:rPr>
              <w:t>g/</w:t>
            </w:r>
            <w:r>
              <w:rPr>
                <w:rFonts w:hint="eastAsia" w:ascii="宋体" w:hAnsi="宋体" w:eastAsia="Times New Roman" w:cs="宋体"/>
                <w:color w:val="auto"/>
              </w:rPr>
              <w:t>辆</w:t>
            </w:r>
            <w:r>
              <w:rPr>
                <w:rFonts w:eastAsia="Times New Roman"/>
                <w:color w:val="auto"/>
              </w:rPr>
              <w:t>·</w:t>
            </w:r>
            <w:r>
              <w:rPr>
                <w:rFonts w:hint="eastAsia" w:ascii="宋体" w:hAnsi="宋体" w:eastAsia="Times New Roman" w:cs="宋体"/>
                <w:color w:val="auto"/>
              </w:rPr>
              <w:t>年）</w:t>
            </w:r>
          </w:p>
        </w:tc>
      </w:tr>
      <w:tr w14:paraId="203EAD2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36" w:type="pct"/>
            <w:vMerge w:val="restart"/>
            <w:vAlign w:val="center"/>
          </w:tcPr>
          <w:p w14:paraId="41C25665">
            <w:pPr>
              <w:pStyle w:val="129"/>
              <w:widowControl w:val="0"/>
              <w:rPr>
                <w:rFonts w:eastAsia="Times New Roman"/>
                <w:color w:val="auto"/>
              </w:rPr>
            </w:pPr>
            <w:r>
              <w:rPr>
                <w:rFonts w:hint="eastAsia" w:ascii="宋体" w:hAnsi="宋体" w:eastAsia="Times New Roman" w:cs="宋体"/>
                <w:color w:val="auto"/>
              </w:rPr>
              <w:t>重型载货汽车国五（柴油）</w:t>
            </w:r>
          </w:p>
        </w:tc>
        <w:tc>
          <w:tcPr>
            <w:tcW w:w="1283" w:type="pct"/>
            <w:vAlign w:val="center"/>
          </w:tcPr>
          <w:p w14:paraId="577927A6">
            <w:pPr>
              <w:pStyle w:val="129"/>
              <w:widowControl w:val="0"/>
              <w:rPr>
                <w:rFonts w:eastAsia="Times New Roman"/>
                <w:color w:val="auto"/>
              </w:rPr>
            </w:pPr>
            <w:r>
              <w:rPr>
                <w:rFonts w:hint="eastAsia" w:eastAsia="Times New Roman"/>
                <w:color w:val="auto"/>
              </w:rPr>
              <w:t>NOx</w:t>
            </w:r>
          </w:p>
        </w:tc>
        <w:tc>
          <w:tcPr>
            <w:tcW w:w="1283" w:type="pct"/>
            <w:vAlign w:val="center"/>
          </w:tcPr>
          <w:p w14:paraId="5DF2E5AB">
            <w:pPr>
              <w:pStyle w:val="129"/>
              <w:widowControl w:val="0"/>
              <w:rPr>
                <w:rFonts w:eastAsia="Times New Roman"/>
                <w:color w:val="auto"/>
              </w:rPr>
            </w:pPr>
            <w:r>
              <w:rPr>
                <w:rFonts w:hint="eastAsia" w:eastAsia="Times New Roman"/>
                <w:color w:val="auto"/>
              </w:rPr>
              <w:t>PM</w:t>
            </w:r>
          </w:p>
        </w:tc>
        <w:tc>
          <w:tcPr>
            <w:tcW w:w="1498" w:type="pct"/>
            <w:vAlign w:val="center"/>
          </w:tcPr>
          <w:p w14:paraId="4A61AD35">
            <w:pPr>
              <w:pStyle w:val="129"/>
              <w:widowControl w:val="0"/>
              <w:rPr>
                <w:rFonts w:eastAsia="Times New Roman"/>
                <w:color w:val="auto"/>
              </w:rPr>
            </w:pPr>
            <w:r>
              <w:rPr>
                <w:rFonts w:hint="eastAsia" w:eastAsia="Times New Roman"/>
                <w:color w:val="auto"/>
              </w:rPr>
              <w:t>VOCs</w:t>
            </w:r>
          </w:p>
        </w:tc>
      </w:tr>
      <w:tr w14:paraId="1083FEC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36" w:type="pct"/>
            <w:vMerge w:val="continue"/>
            <w:vAlign w:val="center"/>
          </w:tcPr>
          <w:p w14:paraId="1F85CEBF">
            <w:pPr>
              <w:pStyle w:val="129"/>
              <w:widowControl w:val="0"/>
              <w:rPr>
                <w:rFonts w:eastAsia="Times New Roman"/>
                <w:color w:val="auto"/>
              </w:rPr>
            </w:pPr>
          </w:p>
        </w:tc>
        <w:tc>
          <w:tcPr>
            <w:tcW w:w="1283" w:type="pct"/>
            <w:vAlign w:val="center"/>
          </w:tcPr>
          <w:p w14:paraId="6B59287C">
            <w:pPr>
              <w:pStyle w:val="129"/>
              <w:widowControl w:val="0"/>
              <w:rPr>
                <w:rFonts w:eastAsiaTheme="minorEastAsia"/>
                <w:color w:val="auto"/>
              </w:rPr>
            </w:pPr>
            <w:r>
              <w:rPr>
                <w:rFonts w:hint="eastAsia" w:eastAsiaTheme="minorEastAsia"/>
                <w:color w:val="auto"/>
              </w:rPr>
              <w:t>214838</w:t>
            </w:r>
          </w:p>
        </w:tc>
        <w:tc>
          <w:tcPr>
            <w:tcW w:w="1283" w:type="pct"/>
            <w:vAlign w:val="center"/>
          </w:tcPr>
          <w:p w14:paraId="5673189A">
            <w:pPr>
              <w:pStyle w:val="129"/>
              <w:widowControl w:val="0"/>
              <w:rPr>
                <w:rFonts w:eastAsiaTheme="minorEastAsia"/>
                <w:color w:val="auto"/>
              </w:rPr>
            </w:pPr>
            <w:r>
              <w:rPr>
                <w:rFonts w:hint="eastAsia" w:eastAsiaTheme="minorEastAsia"/>
                <w:color w:val="auto"/>
              </w:rPr>
              <w:t>1352</w:t>
            </w:r>
          </w:p>
        </w:tc>
        <w:tc>
          <w:tcPr>
            <w:tcW w:w="1498" w:type="pct"/>
            <w:vAlign w:val="center"/>
          </w:tcPr>
          <w:p w14:paraId="1883BA05">
            <w:pPr>
              <w:pStyle w:val="129"/>
              <w:widowControl w:val="0"/>
              <w:rPr>
                <w:rFonts w:eastAsiaTheme="minorEastAsia"/>
                <w:color w:val="auto"/>
              </w:rPr>
            </w:pPr>
            <w:r>
              <w:rPr>
                <w:rFonts w:hint="eastAsia" w:eastAsiaTheme="minorEastAsia"/>
                <w:color w:val="auto"/>
              </w:rPr>
              <w:t>3436</w:t>
            </w:r>
          </w:p>
        </w:tc>
      </w:tr>
      <w:tr w14:paraId="0EC5AC6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36" w:type="pct"/>
            <w:vMerge w:val="continue"/>
            <w:vAlign w:val="center"/>
          </w:tcPr>
          <w:p w14:paraId="32D1CB2C">
            <w:pPr>
              <w:pStyle w:val="129"/>
              <w:widowControl w:val="0"/>
              <w:rPr>
                <w:rFonts w:eastAsia="Times New Roman"/>
                <w:color w:val="auto"/>
              </w:rPr>
            </w:pPr>
          </w:p>
        </w:tc>
        <w:tc>
          <w:tcPr>
            <w:tcW w:w="4064" w:type="pct"/>
            <w:gridSpan w:val="3"/>
            <w:vAlign w:val="center"/>
          </w:tcPr>
          <w:p w14:paraId="356C1746">
            <w:pPr>
              <w:pStyle w:val="129"/>
              <w:widowControl w:val="0"/>
              <w:rPr>
                <w:rFonts w:eastAsia="Times New Roman"/>
                <w:color w:val="auto"/>
              </w:rPr>
            </w:pPr>
            <w:r>
              <w:rPr>
                <w:rFonts w:hint="eastAsia" w:ascii="宋体" w:hAnsi="宋体" w:eastAsia="Times New Roman" w:cs="宋体"/>
                <w:color w:val="auto"/>
              </w:rPr>
              <w:t>排放系数折算（</w:t>
            </w:r>
            <w:r>
              <w:rPr>
                <w:rFonts w:hint="eastAsia" w:eastAsia="Times New Roman"/>
                <w:color w:val="auto"/>
              </w:rPr>
              <w:t>g/</w:t>
            </w:r>
            <w:r>
              <w:rPr>
                <w:rFonts w:hint="eastAsia" w:ascii="宋体" w:hAnsi="宋体" w:eastAsia="Times New Roman" w:cs="宋体"/>
                <w:color w:val="auto"/>
              </w:rPr>
              <w:t>辆</w:t>
            </w:r>
            <w:r>
              <w:rPr>
                <w:rFonts w:eastAsia="Times New Roman"/>
                <w:color w:val="auto"/>
              </w:rPr>
              <w:t>·</w:t>
            </w:r>
            <w:r>
              <w:rPr>
                <w:rFonts w:hint="eastAsia" w:ascii="宋体" w:hAnsi="宋体" w:eastAsia="Times New Roman" w:cs="宋体"/>
                <w:color w:val="auto"/>
              </w:rPr>
              <w:t>年</w:t>
            </w:r>
            <w:r>
              <w:rPr>
                <w:rFonts w:eastAsia="Times New Roman"/>
                <w:color w:val="auto"/>
              </w:rPr>
              <w:t>·</w:t>
            </w:r>
            <w:r>
              <w:rPr>
                <w:rFonts w:hint="eastAsia" w:eastAsia="Times New Roman"/>
                <w:color w:val="auto"/>
              </w:rPr>
              <w:t>km</w:t>
            </w:r>
            <w:r>
              <w:rPr>
                <w:rFonts w:hint="eastAsia" w:ascii="宋体" w:hAnsi="宋体" w:eastAsia="Times New Roman" w:cs="宋体"/>
                <w:color w:val="auto"/>
              </w:rPr>
              <w:t>）</w:t>
            </w:r>
          </w:p>
        </w:tc>
      </w:tr>
      <w:tr w14:paraId="5A0A482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36" w:type="pct"/>
            <w:vMerge w:val="continue"/>
            <w:vAlign w:val="center"/>
          </w:tcPr>
          <w:p w14:paraId="50749CD3">
            <w:pPr>
              <w:pStyle w:val="129"/>
              <w:widowControl w:val="0"/>
              <w:rPr>
                <w:rFonts w:eastAsia="Times New Roman"/>
                <w:color w:val="auto"/>
              </w:rPr>
            </w:pPr>
          </w:p>
        </w:tc>
        <w:tc>
          <w:tcPr>
            <w:tcW w:w="1283" w:type="pct"/>
            <w:vAlign w:val="center"/>
          </w:tcPr>
          <w:p w14:paraId="24B13294">
            <w:pPr>
              <w:pStyle w:val="129"/>
              <w:widowControl w:val="0"/>
              <w:rPr>
                <w:rFonts w:eastAsia="Times New Roman"/>
                <w:color w:val="auto"/>
              </w:rPr>
            </w:pPr>
            <w:r>
              <w:rPr>
                <w:rFonts w:hint="eastAsia" w:eastAsia="Times New Roman"/>
                <w:color w:val="auto"/>
              </w:rPr>
              <w:t>NOx</w:t>
            </w:r>
          </w:p>
        </w:tc>
        <w:tc>
          <w:tcPr>
            <w:tcW w:w="1283" w:type="pct"/>
            <w:vAlign w:val="center"/>
          </w:tcPr>
          <w:p w14:paraId="3CEE2F22">
            <w:pPr>
              <w:pStyle w:val="129"/>
              <w:widowControl w:val="0"/>
              <w:rPr>
                <w:rFonts w:eastAsia="Times New Roman"/>
                <w:color w:val="auto"/>
              </w:rPr>
            </w:pPr>
            <w:r>
              <w:rPr>
                <w:rFonts w:hint="eastAsia" w:eastAsia="Times New Roman"/>
                <w:color w:val="auto"/>
              </w:rPr>
              <w:t>PM</w:t>
            </w:r>
          </w:p>
        </w:tc>
        <w:tc>
          <w:tcPr>
            <w:tcW w:w="1498" w:type="pct"/>
            <w:vAlign w:val="center"/>
          </w:tcPr>
          <w:p w14:paraId="1892FD40">
            <w:pPr>
              <w:pStyle w:val="129"/>
              <w:widowControl w:val="0"/>
              <w:rPr>
                <w:rFonts w:eastAsia="Times New Roman"/>
                <w:color w:val="auto"/>
              </w:rPr>
            </w:pPr>
            <w:r>
              <w:rPr>
                <w:rFonts w:hint="eastAsia" w:eastAsia="Times New Roman"/>
                <w:color w:val="auto"/>
              </w:rPr>
              <w:t>VOCs</w:t>
            </w:r>
          </w:p>
        </w:tc>
      </w:tr>
      <w:tr w14:paraId="4E43C9A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936" w:type="pct"/>
            <w:vMerge w:val="continue"/>
            <w:vAlign w:val="center"/>
          </w:tcPr>
          <w:p w14:paraId="577FF4EF">
            <w:pPr>
              <w:pStyle w:val="129"/>
              <w:widowControl w:val="0"/>
              <w:rPr>
                <w:rFonts w:eastAsia="Times New Roman"/>
                <w:color w:val="auto"/>
              </w:rPr>
            </w:pPr>
          </w:p>
        </w:tc>
        <w:tc>
          <w:tcPr>
            <w:tcW w:w="1283" w:type="pct"/>
            <w:vAlign w:val="center"/>
          </w:tcPr>
          <w:p w14:paraId="62E46810">
            <w:pPr>
              <w:pStyle w:val="129"/>
              <w:widowControl w:val="0"/>
              <w:rPr>
                <w:rFonts w:eastAsiaTheme="minorEastAsia"/>
                <w:color w:val="auto"/>
              </w:rPr>
            </w:pPr>
            <w:r>
              <w:rPr>
                <w:rFonts w:hint="eastAsia" w:eastAsiaTheme="minorEastAsia"/>
                <w:color w:val="auto"/>
              </w:rPr>
              <w:t>2.86</w:t>
            </w:r>
          </w:p>
        </w:tc>
        <w:tc>
          <w:tcPr>
            <w:tcW w:w="1283" w:type="pct"/>
            <w:vAlign w:val="center"/>
          </w:tcPr>
          <w:p w14:paraId="6F791596">
            <w:pPr>
              <w:pStyle w:val="129"/>
              <w:widowControl w:val="0"/>
              <w:rPr>
                <w:rFonts w:eastAsiaTheme="minorEastAsia"/>
                <w:color w:val="auto"/>
              </w:rPr>
            </w:pPr>
            <w:r>
              <w:rPr>
                <w:rFonts w:hint="eastAsia" w:eastAsiaTheme="minorEastAsia"/>
                <w:color w:val="auto"/>
              </w:rPr>
              <w:t>0.018</w:t>
            </w:r>
          </w:p>
        </w:tc>
        <w:tc>
          <w:tcPr>
            <w:tcW w:w="1498" w:type="pct"/>
            <w:vAlign w:val="center"/>
          </w:tcPr>
          <w:p w14:paraId="133E0B4A">
            <w:pPr>
              <w:pStyle w:val="129"/>
              <w:widowControl w:val="0"/>
              <w:rPr>
                <w:rFonts w:eastAsiaTheme="minorEastAsia"/>
                <w:color w:val="auto"/>
              </w:rPr>
            </w:pPr>
            <w:r>
              <w:rPr>
                <w:rFonts w:hint="eastAsia" w:eastAsia="Times New Roman"/>
                <w:color w:val="auto"/>
              </w:rPr>
              <w:t>0.0</w:t>
            </w:r>
            <w:r>
              <w:rPr>
                <w:rFonts w:hint="eastAsia" w:eastAsiaTheme="minorEastAsia"/>
                <w:color w:val="auto"/>
              </w:rPr>
              <w:t>46</w:t>
            </w:r>
          </w:p>
        </w:tc>
      </w:tr>
    </w:tbl>
    <w:p w14:paraId="199C1F94">
      <w:pPr>
        <w:rPr>
          <w:color w:val="auto"/>
        </w:rPr>
      </w:pPr>
    </w:p>
    <w:p w14:paraId="157439AC">
      <w:pPr>
        <w:pStyle w:val="132"/>
        <w:rPr>
          <w:color w:val="auto"/>
        </w:rPr>
      </w:pPr>
      <w:r>
        <w:rPr>
          <w:rFonts w:hint="eastAsia"/>
          <w:color w:val="auto"/>
        </w:rPr>
        <w:t>受本项目物料及产品运输影响新增的交通运输移动源情况见表3.3-12。</w:t>
      </w:r>
    </w:p>
    <w:p w14:paraId="26D54B36">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4</w:t>
      </w:r>
      <w:r>
        <w:rPr>
          <w:color w:val="auto"/>
        </w:rPr>
        <w:fldChar w:fldCharType="end"/>
      </w:r>
      <w:r>
        <w:rPr>
          <w:rFonts w:hint="eastAsia"/>
          <w:color w:val="auto"/>
        </w:rPr>
        <w:t xml:space="preserve">   受本项目物料及产品运输影响新增的交通运输移动源情况一览表</w:t>
      </w:r>
    </w:p>
    <w:tbl>
      <w:tblPr>
        <w:tblStyle w:val="2399"/>
        <w:tblW w:w="4998"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3610"/>
        <w:gridCol w:w="1813"/>
        <w:gridCol w:w="1520"/>
        <w:gridCol w:w="1839"/>
      </w:tblGrid>
      <w:tr w14:paraId="3D2B72D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055" w:type="pct"/>
            <w:vMerge w:val="restart"/>
            <w:vAlign w:val="center"/>
          </w:tcPr>
          <w:p w14:paraId="5FB31448">
            <w:pPr>
              <w:pStyle w:val="129"/>
              <w:widowControl w:val="0"/>
              <w:rPr>
                <w:rFonts w:eastAsia="Times New Roman"/>
                <w:color w:val="auto"/>
              </w:rPr>
            </w:pPr>
            <w:r>
              <w:rPr>
                <w:rFonts w:hint="eastAsia" w:ascii="宋体" w:hAnsi="宋体" w:eastAsia="Times New Roman" w:cs="宋体"/>
                <w:color w:val="auto"/>
              </w:rPr>
              <w:t>车辆类型</w:t>
            </w:r>
          </w:p>
        </w:tc>
        <w:tc>
          <w:tcPr>
            <w:tcW w:w="2944" w:type="pct"/>
            <w:gridSpan w:val="3"/>
            <w:vAlign w:val="center"/>
          </w:tcPr>
          <w:p w14:paraId="741DFACD">
            <w:pPr>
              <w:pStyle w:val="129"/>
              <w:widowControl w:val="0"/>
              <w:rPr>
                <w:rFonts w:eastAsia="Times New Roman"/>
                <w:color w:val="auto"/>
              </w:rPr>
            </w:pPr>
            <w:r>
              <w:rPr>
                <w:rFonts w:hint="eastAsia" w:ascii="宋体" w:hAnsi="宋体" w:eastAsia="Times New Roman" w:cs="宋体"/>
                <w:color w:val="auto"/>
              </w:rPr>
              <w:t>污染物排放量（</w:t>
            </w:r>
            <w:r>
              <w:rPr>
                <w:rFonts w:hint="eastAsia" w:eastAsia="Times New Roman"/>
                <w:color w:val="auto"/>
              </w:rPr>
              <w:t>t/a</w:t>
            </w:r>
            <w:r>
              <w:rPr>
                <w:rFonts w:hint="eastAsia" w:ascii="宋体" w:hAnsi="宋体" w:eastAsia="Times New Roman" w:cs="宋体"/>
                <w:color w:val="auto"/>
              </w:rPr>
              <w:t>）</w:t>
            </w:r>
          </w:p>
        </w:tc>
      </w:tr>
      <w:tr w14:paraId="3EB21E4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055" w:type="pct"/>
            <w:vMerge w:val="continue"/>
            <w:vAlign w:val="center"/>
          </w:tcPr>
          <w:p w14:paraId="46E1C9B8">
            <w:pPr>
              <w:pStyle w:val="129"/>
              <w:widowControl w:val="0"/>
              <w:rPr>
                <w:rFonts w:eastAsia="Times New Roman"/>
                <w:color w:val="auto"/>
              </w:rPr>
            </w:pPr>
          </w:p>
        </w:tc>
        <w:tc>
          <w:tcPr>
            <w:tcW w:w="1032" w:type="pct"/>
            <w:vAlign w:val="center"/>
          </w:tcPr>
          <w:p w14:paraId="5F047E58">
            <w:pPr>
              <w:pStyle w:val="129"/>
              <w:widowControl w:val="0"/>
              <w:rPr>
                <w:rFonts w:eastAsia="Times New Roman"/>
                <w:color w:val="auto"/>
              </w:rPr>
            </w:pPr>
            <w:r>
              <w:rPr>
                <w:rFonts w:eastAsia="Times New Roman"/>
                <w:color w:val="auto"/>
              </w:rPr>
              <w:t>NOx</w:t>
            </w:r>
          </w:p>
        </w:tc>
        <w:tc>
          <w:tcPr>
            <w:tcW w:w="865" w:type="pct"/>
            <w:vAlign w:val="center"/>
          </w:tcPr>
          <w:p w14:paraId="4A6FE264">
            <w:pPr>
              <w:pStyle w:val="129"/>
              <w:widowControl w:val="0"/>
              <w:rPr>
                <w:rFonts w:eastAsia="Times New Roman"/>
                <w:color w:val="auto"/>
              </w:rPr>
            </w:pPr>
            <w:r>
              <w:rPr>
                <w:rFonts w:eastAsia="Times New Roman"/>
                <w:color w:val="auto"/>
              </w:rPr>
              <w:t>PM</w:t>
            </w:r>
          </w:p>
        </w:tc>
        <w:tc>
          <w:tcPr>
            <w:tcW w:w="1046" w:type="pct"/>
            <w:vAlign w:val="center"/>
          </w:tcPr>
          <w:p w14:paraId="414CE9CC">
            <w:pPr>
              <w:pStyle w:val="129"/>
              <w:widowControl w:val="0"/>
              <w:rPr>
                <w:rFonts w:eastAsia="Times New Roman"/>
                <w:color w:val="auto"/>
              </w:rPr>
            </w:pPr>
            <w:r>
              <w:rPr>
                <w:rFonts w:eastAsia="Times New Roman"/>
                <w:color w:val="auto"/>
              </w:rPr>
              <w:t>VOCs</w:t>
            </w:r>
          </w:p>
        </w:tc>
      </w:tr>
      <w:tr w14:paraId="3BEC9F5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PrEx>
        <w:tc>
          <w:tcPr>
            <w:tcW w:w="2055" w:type="pct"/>
            <w:vAlign w:val="center"/>
          </w:tcPr>
          <w:p w14:paraId="5240B4EE">
            <w:pPr>
              <w:pStyle w:val="129"/>
              <w:widowControl w:val="0"/>
              <w:rPr>
                <w:rFonts w:eastAsia="Times New Roman"/>
                <w:color w:val="auto"/>
              </w:rPr>
            </w:pPr>
            <w:r>
              <w:rPr>
                <w:rFonts w:hint="eastAsia" w:ascii="宋体" w:hAnsi="宋体" w:eastAsia="Times New Roman" w:cs="宋体"/>
                <w:color w:val="auto"/>
              </w:rPr>
              <w:t>重型载货汽车国五（柴油）</w:t>
            </w:r>
          </w:p>
        </w:tc>
        <w:tc>
          <w:tcPr>
            <w:tcW w:w="1032" w:type="pct"/>
            <w:vAlign w:val="center"/>
          </w:tcPr>
          <w:p w14:paraId="1769E335">
            <w:pPr>
              <w:pStyle w:val="129"/>
              <w:widowControl w:val="0"/>
              <w:rPr>
                <w:rFonts w:eastAsiaTheme="minorEastAsia"/>
                <w:color w:val="auto"/>
              </w:rPr>
            </w:pPr>
            <w:r>
              <w:rPr>
                <w:rFonts w:hint="eastAsia" w:eastAsiaTheme="minorEastAsia"/>
                <w:color w:val="auto"/>
              </w:rPr>
              <w:t>30.31</w:t>
            </w:r>
          </w:p>
        </w:tc>
        <w:tc>
          <w:tcPr>
            <w:tcW w:w="865" w:type="pct"/>
            <w:vAlign w:val="center"/>
          </w:tcPr>
          <w:p w14:paraId="543E2C70">
            <w:pPr>
              <w:pStyle w:val="129"/>
              <w:widowControl w:val="0"/>
              <w:rPr>
                <w:rFonts w:eastAsiaTheme="minorEastAsia"/>
                <w:color w:val="auto"/>
              </w:rPr>
            </w:pPr>
            <w:r>
              <w:rPr>
                <w:rFonts w:hint="eastAsia" w:eastAsiaTheme="minorEastAsia"/>
                <w:color w:val="auto"/>
              </w:rPr>
              <w:t>0.19</w:t>
            </w:r>
          </w:p>
        </w:tc>
        <w:tc>
          <w:tcPr>
            <w:tcW w:w="1046" w:type="pct"/>
            <w:vAlign w:val="center"/>
          </w:tcPr>
          <w:p w14:paraId="703BA9C3">
            <w:pPr>
              <w:pStyle w:val="129"/>
              <w:widowControl w:val="0"/>
              <w:rPr>
                <w:rFonts w:eastAsiaTheme="minorEastAsia"/>
                <w:color w:val="auto"/>
              </w:rPr>
            </w:pPr>
            <w:r>
              <w:rPr>
                <w:rFonts w:hint="eastAsia" w:eastAsiaTheme="minorEastAsia"/>
                <w:color w:val="auto"/>
              </w:rPr>
              <w:t>0.487</w:t>
            </w:r>
          </w:p>
        </w:tc>
      </w:tr>
    </w:tbl>
    <w:p w14:paraId="7FA8BB77">
      <w:pPr>
        <w:pStyle w:val="132"/>
        <w:rPr>
          <w:color w:val="auto"/>
        </w:rPr>
      </w:pPr>
    </w:p>
    <w:p w14:paraId="072CCAA8">
      <w:pPr>
        <w:pStyle w:val="4"/>
        <w:rPr>
          <w:color w:val="auto"/>
        </w:rPr>
      </w:pPr>
      <w:r>
        <w:rPr>
          <w:rFonts w:hint="eastAsia"/>
          <w:color w:val="auto"/>
        </w:rPr>
        <w:t>废水污染源源强核算及污染物产排情况</w:t>
      </w:r>
    </w:p>
    <w:p w14:paraId="7D8BD687">
      <w:pPr>
        <w:pStyle w:val="132"/>
        <w:rPr>
          <w:color w:val="auto"/>
        </w:rPr>
      </w:pPr>
      <w:bookmarkStart w:id="225" w:name="_Hlk174473639"/>
      <w:r>
        <w:rPr>
          <w:rFonts w:hint="eastAsia"/>
          <w:color w:val="auto"/>
        </w:rPr>
        <w:t>项目废水污染物产排情况见表3.3-15。</w:t>
      </w:r>
      <w:bookmarkEnd w:id="225"/>
    </w:p>
    <w:p w14:paraId="78B1F8DE">
      <w:pPr>
        <w:pStyle w:val="1060"/>
        <w:spacing w:before="163"/>
        <w:rPr>
          <w:color w:val="auto"/>
        </w:rPr>
      </w:pPr>
      <w:bookmarkStart w:id="226" w:name="_Hlk197713223"/>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5</w:t>
      </w:r>
      <w:r>
        <w:rPr>
          <w:color w:val="auto"/>
        </w:rPr>
        <w:fldChar w:fldCharType="end"/>
      </w:r>
      <w:r>
        <w:rPr>
          <w:rFonts w:hint="eastAsia"/>
          <w:color w:val="auto"/>
        </w:rPr>
        <w:t xml:space="preserve">   项目废水产生及去向一览表</w:t>
      </w:r>
    </w:p>
    <w:bookmarkEnd w:id="226"/>
    <w:tbl>
      <w:tblPr>
        <w:tblStyle w:val="239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421"/>
        <w:gridCol w:w="1286"/>
        <w:gridCol w:w="859"/>
        <w:gridCol w:w="713"/>
        <w:gridCol w:w="1004"/>
        <w:gridCol w:w="1000"/>
        <w:gridCol w:w="859"/>
        <w:gridCol w:w="855"/>
        <w:gridCol w:w="1182"/>
        <w:gridCol w:w="606"/>
      </w:tblGrid>
      <w:tr w14:paraId="187BDD1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restart"/>
            <w:noWrap/>
            <w:vAlign w:val="center"/>
          </w:tcPr>
          <w:p w14:paraId="5EA5585A">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编号</w:t>
            </w:r>
          </w:p>
        </w:tc>
        <w:tc>
          <w:tcPr>
            <w:tcW w:w="732" w:type="pct"/>
            <w:vMerge w:val="restart"/>
            <w:vAlign w:val="center"/>
          </w:tcPr>
          <w:p w14:paraId="083B70B5">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污染源</w:t>
            </w:r>
          </w:p>
        </w:tc>
        <w:tc>
          <w:tcPr>
            <w:tcW w:w="489" w:type="pct"/>
            <w:vMerge w:val="restart"/>
            <w:noWrap/>
            <w:vAlign w:val="center"/>
          </w:tcPr>
          <w:p w14:paraId="6B5F7477">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污染物</w:t>
            </w:r>
          </w:p>
        </w:tc>
        <w:tc>
          <w:tcPr>
            <w:tcW w:w="406" w:type="pct"/>
            <w:vMerge w:val="restart"/>
            <w:vAlign w:val="center"/>
          </w:tcPr>
          <w:p w14:paraId="4803F995">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核算方法</w:t>
            </w:r>
          </w:p>
        </w:tc>
        <w:tc>
          <w:tcPr>
            <w:tcW w:w="2789" w:type="pct"/>
            <w:gridSpan w:val="5"/>
            <w:vAlign w:val="center"/>
          </w:tcPr>
          <w:p w14:paraId="5B8AA8D0">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污染物产生及回用</w:t>
            </w:r>
          </w:p>
        </w:tc>
        <w:tc>
          <w:tcPr>
            <w:tcW w:w="345" w:type="pct"/>
            <w:vMerge w:val="restart"/>
            <w:vAlign w:val="center"/>
          </w:tcPr>
          <w:p w14:paraId="717B0BAD">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时间（h）</w:t>
            </w:r>
          </w:p>
        </w:tc>
      </w:tr>
      <w:tr w14:paraId="5147FB0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780" w:hRule="atLeast"/>
        </w:trPr>
        <w:tc>
          <w:tcPr>
            <w:tcW w:w="239" w:type="pct"/>
            <w:vMerge w:val="continue"/>
            <w:vAlign w:val="center"/>
          </w:tcPr>
          <w:p w14:paraId="62DC9A55">
            <w:pPr>
              <w:widowControl w:val="0"/>
              <w:jc w:val="center"/>
              <w:rPr>
                <w:rFonts w:ascii="宋体" w:hAnsi="宋体" w:eastAsia="Times New Roman" w:cs="宋体"/>
                <w:color w:val="auto"/>
                <w:sz w:val="21"/>
                <w:szCs w:val="21"/>
              </w:rPr>
            </w:pPr>
          </w:p>
        </w:tc>
        <w:tc>
          <w:tcPr>
            <w:tcW w:w="732" w:type="pct"/>
            <w:vMerge w:val="continue"/>
            <w:vAlign w:val="center"/>
          </w:tcPr>
          <w:p w14:paraId="4419A1D2">
            <w:pPr>
              <w:widowControl w:val="0"/>
              <w:jc w:val="center"/>
              <w:rPr>
                <w:rFonts w:ascii="宋体" w:hAnsi="宋体" w:eastAsia="Times New Roman" w:cs="宋体"/>
                <w:color w:val="auto"/>
                <w:sz w:val="21"/>
                <w:szCs w:val="21"/>
              </w:rPr>
            </w:pPr>
          </w:p>
        </w:tc>
        <w:tc>
          <w:tcPr>
            <w:tcW w:w="489" w:type="pct"/>
            <w:vMerge w:val="continue"/>
            <w:vAlign w:val="center"/>
          </w:tcPr>
          <w:p w14:paraId="2661C131">
            <w:pPr>
              <w:widowControl w:val="0"/>
              <w:jc w:val="center"/>
              <w:rPr>
                <w:rFonts w:ascii="宋体" w:hAnsi="宋体" w:eastAsia="Times New Roman" w:cs="宋体"/>
                <w:color w:val="auto"/>
                <w:sz w:val="21"/>
                <w:szCs w:val="21"/>
              </w:rPr>
            </w:pPr>
          </w:p>
        </w:tc>
        <w:tc>
          <w:tcPr>
            <w:tcW w:w="406" w:type="pct"/>
            <w:vMerge w:val="continue"/>
            <w:vAlign w:val="center"/>
          </w:tcPr>
          <w:p w14:paraId="0F3D4EB8">
            <w:pPr>
              <w:widowControl w:val="0"/>
              <w:jc w:val="center"/>
              <w:rPr>
                <w:rFonts w:ascii="宋体" w:hAnsi="宋体" w:eastAsia="Times New Roman" w:cs="宋体"/>
                <w:color w:val="auto"/>
                <w:sz w:val="21"/>
                <w:szCs w:val="21"/>
              </w:rPr>
            </w:pPr>
          </w:p>
        </w:tc>
        <w:tc>
          <w:tcPr>
            <w:tcW w:w="571" w:type="pct"/>
            <w:vAlign w:val="center"/>
          </w:tcPr>
          <w:p w14:paraId="3E019B1F">
            <w:pPr>
              <w:widowControl w:val="0"/>
              <w:jc w:val="center"/>
              <w:rPr>
                <w:rFonts w:hint="eastAsia" w:ascii="宋体" w:hAnsi="宋体" w:cs="宋体" w:eastAsiaTheme="minorEastAsia"/>
                <w:color w:val="auto"/>
                <w:sz w:val="21"/>
                <w:szCs w:val="21"/>
              </w:rPr>
            </w:pPr>
            <w:r>
              <w:rPr>
                <w:rFonts w:hint="eastAsia" w:ascii="宋体" w:hAnsi="宋体" w:eastAsia="Times New Roman" w:cs="宋体"/>
                <w:color w:val="auto"/>
                <w:sz w:val="21"/>
                <w:szCs w:val="21"/>
              </w:rPr>
              <w:t>废水产生量</w:t>
            </w:r>
          </w:p>
          <w:p w14:paraId="5EA8C987">
            <w:pPr>
              <w:widowControl w:val="0"/>
              <w:jc w:val="center"/>
              <w:rPr>
                <w:rFonts w:hint="eastAsia" w:ascii="宋体" w:hAnsi="宋体" w:cs="宋体" w:eastAsiaTheme="minorEastAsia"/>
                <w:color w:val="auto"/>
                <w:sz w:val="21"/>
                <w:szCs w:val="21"/>
              </w:rPr>
            </w:pPr>
            <w:r>
              <w:rPr>
                <w:rFonts w:hint="eastAsia" w:ascii="宋体" w:hAnsi="宋体" w:eastAsia="Times New Roman" w:cs="宋体"/>
                <w:color w:val="auto"/>
                <w:sz w:val="21"/>
                <w:szCs w:val="21"/>
              </w:rPr>
              <w:t>（</w:t>
            </w:r>
            <w:r>
              <w:rPr>
                <w:rFonts w:eastAsia="Times New Roman"/>
                <w:color w:val="auto"/>
                <w:sz w:val="21"/>
                <w:szCs w:val="21"/>
              </w:rPr>
              <w:t>m</w:t>
            </w:r>
            <w:r>
              <w:rPr>
                <w:rFonts w:eastAsia="Times New Roman"/>
                <w:color w:val="auto"/>
                <w:sz w:val="21"/>
                <w:szCs w:val="21"/>
                <w:vertAlign w:val="superscript"/>
              </w:rPr>
              <w:t>3</w:t>
            </w:r>
            <w:r>
              <w:rPr>
                <w:rFonts w:eastAsia="Times New Roman"/>
                <w:color w:val="auto"/>
                <w:sz w:val="21"/>
                <w:szCs w:val="21"/>
              </w:rPr>
              <w:t>/h</w:t>
            </w:r>
            <w:r>
              <w:rPr>
                <w:rFonts w:hint="eastAsia" w:eastAsiaTheme="minorEastAsia"/>
                <w:color w:val="auto"/>
                <w:sz w:val="21"/>
                <w:szCs w:val="21"/>
              </w:rPr>
              <w:t>）</w:t>
            </w:r>
          </w:p>
        </w:tc>
        <w:tc>
          <w:tcPr>
            <w:tcW w:w="569" w:type="pct"/>
            <w:vAlign w:val="center"/>
          </w:tcPr>
          <w:p w14:paraId="0C483502">
            <w:pPr>
              <w:widowControl w:val="0"/>
              <w:jc w:val="center"/>
              <w:rPr>
                <w:rFonts w:hint="eastAsia" w:ascii="宋体" w:hAnsi="宋体" w:cs="宋体" w:eastAsiaTheme="minorEastAsia"/>
                <w:color w:val="auto"/>
                <w:sz w:val="21"/>
                <w:szCs w:val="21"/>
              </w:rPr>
            </w:pPr>
            <w:r>
              <w:rPr>
                <w:rFonts w:hint="eastAsia" w:ascii="宋体" w:hAnsi="宋体" w:eastAsia="Times New Roman" w:cs="宋体"/>
                <w:color w:val="auto"/>
                <w:sz w:val="21"/>
                <w:szCs w:val="21"/>
              </w:rPr>
              <w:t>产生质量浓度</w:t>
            </w:r>
          </w:p>
          <w:p w14:paraId="492655F5">
            <w:pPr>
              <w:widowControl w:val="0"/>
              <w:jc w:val="center"/>
              <w:rPr>
                <w:rFonts w:hint="eastAsia" w:ascii="宋体" w:hAnsi="宋体" w:cs="宋体" w:eastAsiaTheme="minorEastAsia"/>
                <w:color w:val="auto"/>
                <w:sz w:val="21"/>
                <w:szCs w:val="21"/>
              </w:rPr>
            </w:pPr>
            <w:r>
              <w:rPr>
                <w:rFonts w:hint="eastAsia" w:ascii="宋体" w:hAnsi="宋体" w:eastAsia="Times New Roman" w:cs="宋体"/>
                <w:color w:val="auto"/>
                <w:sz w:val="21"/>
                <w:szCs w:val="21"/>
              </w:rPr>
              <w:t>（</w:t>
            </w:r>
            <w:r>
              <w:rPr>
                <w:rFonts w:eastAsia="Times New Roman"/>
                <w:color w:val="auto"/>
                <w:sz w:val="21"/>
                <w:szCs w:val="21"/>
              </w:rPr>
              <w:t>mg/l</w:t>
            </w:r>
            <w:r>
              <w:rPr>
                <w:rFonts w:hint="eastAsia" w:eastAsiaTheme="minorEastAsia"/>
                <w:color w:val="auto"/>
                <w:sz w:val="21"/>
                <w:szCs w:val="21"/>
              </w:rPr>
              <w:t>）</w:t>
            </w:r>
          </w:p>
        </w:tc>
        <w:tc>
          <w:tcPr>
            <w:tcW w:w="489" w:type="pct"/>
            <w:vAlign w:val="center"/>
          </w:tcPr>
          <w:p w14:paraId="5EBC75BD">
            <w:pPr>
              <w:widowControl w:val="0"/>
              <w:jc w:val="center"/>
              <w:rPr>
                <w:rFonts w:hint="eastAsia" w:ascii="宋体" w:hAnsi="宋体" w:cs="宋体" w:eastAsiaTheme="minorEastAsia"/>
                <w:color w:val="auto"/>
                <w:sz w:val="21"/>
                <w:szCs w:val="21"/>
              </w:rPr>
            </w:pPr>
            <w:r>
              <w:rPr>
                <w:rFonts w:hint="eastAsia" w:ascii="宋体" w:hAnsi="宋体" w:eastAsia="Times New Roman" w:cs="宋体"/>
                <w:color w:val="auto"/>
                <w:sz w:val="21"/>
                <w:szCs w:val="21"/>
              </w:rPr>
              <w:t>产生量</w:t>
            </w:r>
          </w:p>
          <w:p w14:paraId="7EFDB66A">
            <w:pPr>
              <w:widowControl w:val="0"/>
              <w:jc w:val="center"/>
              <w:rPr>
                <w:rFonts w:hint="eastAsia" w:ascii="宋体" w:hAnsi="宋体" w:cs="宋体" w:eastAsiaTheme="minorEastAsia"/>
                <w:color w:val="auto"/>
                <w:sz w:val="21"/>
                <w:szCs w:val="21"/>
              </w:rPr>
            </w:pPr>
            <w:r>
              <w:rPr>
                <w:rFonts w:hint="eastAsia" w:ascii="宋体" w:hAnsi="宋体" w:eastAsia="Times New Roman" w:cs="宋体"/>
                <w:color w:val="auto"/>
                <w:sz w:val="21"/>
                <w:szCs w:val="21"/>
              </w:rPr>
              <w:t>（</w:t>
            </w:r>
            <w:r>
              <w:rPr>
                <w:rFonts w:eastAsia="Times New Roman"/>
                <w:color w:val="auto"/>
                <w:sz w:val="21"/>
                <w:szCs w:val="21"/>
              </w:rPr>
              <w:t>kg/h</w:t>
            </w:r>
            <w:r>
              <w:rPr>
                <w:rFonts w:hint="eastAsia" w:eastAsiaTheme="minorEastAsia"/>
                <w:color w:val="auto"/>
                <w:sz w:val="21"/>
                <w:szCs w:val="21"/>
              </w:rPr>
              <w:t>）</w:t>
            </w:r>
          </w:p>
        </w:tc>
        <w:tc>
          <w:tcPr>
            <w:tcW w:w="487" w:type="pct"/>
            <w:vAlign w:val="center"/>
          </w:tcPr>
          <w:p w14:paraId="664BE9C8">
            <w:pPr>
              <w:widowControl w:val="0"/>
              <w:jc w:val="center"/>
              <w:rPr>
                <w:rFonts w:hint="eastAsia" w:ascii="宋体" w:hAnsi="宋体" w:cs="宋体" w:eastAsiaTheme="minorEastAsia"/>
                <w:color w:val="auto"/>
                <w:sz w:val="21"/>
                <w:szCs w:val="21"/>
              </w:rPr>
            </w:pPr>
            <w:r>
              <w:rPr>
                <w:rFonts w:hint="eastAsia" w:ascii="宋体" w:hAnsi="宋体" w:eastAsia="Times New Roman" w:cs="宋体"/>
                <w:color w:val="auto"/>
                <w:sz w:val="21"/>
                <w:szCs w:val="21"/>
              </w:rPr>
              <w:t>产生量（t/a</w:t>
            </w:r>
            <w:r>
              <w:rPr>
                <w:rFonts w:ascii="宋体" w:hAnsi="宋体" w:cs="宋体" w:eastAsiaTheme="minorEastAsia"/>
                <w:color w:val="auto"/>
                <w:sz w:val="21"/>
                <w:szCs w:val="21"/>
              </w:rPr>
              <w:t>）</w:t>
            </w:r>
          </w:p>
        </w:tc>
        <w:tc>
          <w:tcPr>
            <w:tcW w:w="673" w:type="pct"/>
            <w:vAlign w:val="center"/>
          </w:tcPr>
          <w:p w14:paraId="09547F71">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回用去向</w:t>
            </w:r>
          </w:p>
        </w:tc>
        <w:tc>
          <w:tcPr>
            <w:tcW w:w="345" w:type="pct"/>
            <w:vMerge w:val="continue"/>
            <w:vAlign w:val="center"/>
          </w:tcPr>
          <w:p w14:paraId="09A9C71B">
            <w:pPr>
              <w:widowControl w:val="0"/>
              <w:jc w:val="center"/>
              <w:rPr>
                <w:rFonts w:ascii="宋体" w:hAnsi="宋体" w:eastAsia="Times New Roman" w:cs="宋体"/>
                <w:color w:val="auto"/>
                <w:sz w:val="21"/>
                <w:szCs w:val="21"/>
              </w:rPr>
            </w:pPr>
          </w:p>
        </w:tc>
      </w:tr>
      <w:tr w14:paraId="16B0613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94" w:hRule="atLeast"/>
        </w:trPr>
        <w:tc>
          <w:tcPr>
            <w:tcW w:w="239" w:type="pct"/>
            <w:vMerge w:val="restart"/>
            <w:vAlign w:val="center"/>
          </w:tcPr>
          <w:p w14:paraId="5174FE93">
            <w:pPr>
              <w:widowControl w:val="0"/>
              <w:jc w:val="center"/>
              <w:rPr>
                <w:rFonts w:eastAsia="Times New Roman"/>
                <w:color w:val="auto"/>
                <w:sz w:val="21"/>
                <w:szCs w:val="21"/>
              </w:rPr>
            </w:pPr>
            <w:r>
              <w:rPr>
                <w:rFonts w:eastAsia="Times New Roman"/>
                <w:color w:val="auto"/>
                <w:sz w:val="21"/>
                <w:szCs w:val="21"/>
              </w:rPr>
              <w:t>W</w:t>
            </w:r>
            <w:r>
              <w:rPr>
                <w:rFonts w:eastAsia="Times New Roman"/>
                <w:color w:val="auto"/>
                <w:sz w:val="21"/>
                <w:szCs w:val="21"/>
                <w:vertAlign w:val="subscript"/>
              </w:rPr>
              <w:t>1</w:t>
            </w:r>
          </w:p>
        </w:tc>
        <w:tc>
          <w:tcPr>
            <w:tcW w:w="732" w:type="pct"/>
            <w:vMerge w:val="restart"/>
            <w:vAlign w:val="center"/>
          </w:tcPr>
          <w:p w14:paraId="10572380">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含硝酸铝废酸液处理冷凝水</w:t>
            </w:r>
          </w:p>
        </w:tc>
        <w:tc>
          <w:tcPr>
            <w:tcW w:w="489" w:type="pct"/>
            <w:vAlign w:val="center"/>
          </w:tcPr>
          <w:p w14:paraId="79F98DA9">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75BC7404">
            <w:pPr>
              <w:widowControl w:val="0"/>
              <w:jc w:val="center"/>
              <w:rPr>
                <w:rFonts w:hint="eastAsia" w:ascii="宋体" w:hAnsi="宋体" w:cs="宋体" w:eastAsiaTheme="minorEastAsia"/>
                <w:color w:val="auto"/>
                <w:sz w:val="21"/>
                <w:szCs w:val="21"/>
              </w:rPr>
            </w:pPr>
            <w:r>
              <w:rPr>
                <w:rFonts w:hint="eastAsia" w:ascii="宋体" w:hAnsi="宋体" w:cs="宋体" w:eastAsiaTheme="minorEastAsia"/>
                <w:color w:val="auto"/>
                <w:sz w:val="21"/>
                <w:szCs w:val="21"/>
              </w:rPr>
              <w:t>类比法</w:t>
            </w:r>
          </w:p>
        </w:tc>
        <w:tc>
          <w:tcPr>
            <w:tcW w:w="571" w:type="pct"/>
            <w:vMerge w:val="restart"/>
            <w:vAlign w:val="center"/>
          </w:tcPr>
          <w:p w14:paraId="59BBC5BF">
            <w:pPr>
              <w:widowControl w:val="0"/>
              <w:jc w:val="center"/>
              <w:rPr>
                <w:rFonts w:eastAsia="Times New Roman"/>
                <w:color w:val="auto"/>
                <w:sz w:val="21"/>
                <w:szCs w:val="21"/>
              </w:rPr>
            </w:pPr>
            <w:r>
              <w:rPr>
                <w:rFonts w:eastAsia="Times New Roman"/>
                <w:color w:val="auto"/>
                <w:sz w:val="21"/>
                <w:szCs w:val="21"/>
              </w:rPr>
              <w:t>75.05</w:t>
            </w:r>
          </w:p>
        </w:tc>
        <w:tc>
          <w:tcPr>
            <w:tcW w:w="569" w:type="pct"/>
            <w:vAlign w:val="center"/>
          </w:tcPr>
          <w:p w14:paraId="139E19D0">
            <w:pPr>
              <w:widowControl w:val="0"/>
              <w:jc w:val="center"/>
              <w:rPr>
                <w:rFonts w:eastAsia="Times New Roman"/>
                <w:color w:val="auto"/>
                <w:sz w:val="21"/>
                <w:szCs w:val="21"/>
              </w:rPr>
            </w:pPr>
            <w:r>
              <w:rPr>
                <w:rFonts w:eastAsia="Times New Roman"/>
                <w:color w:val="auto"/>
                <w:sz w:val="21"/>
                <w:szCs w:val="21"/>
              </w:rPr>
              <w:t>20</w:t>
            </w:r>
          </w:p>
        </w:tc>
        <w:tc>
          <w:tcPr>
            <w:tcW w:w="489" w:type="pct"/>
            <w:vAlign w:val="center"/>
          </w:tcPr>
          <w:p w14:paraId="335109D8">
            <w:pPr>
              <w:widowControl w:val="0"/>
              <w:jc w:val="center"/>
              <w:rPr>
                <w:rFonts w:eastAsia="Times New Roman"/>
                <w:color w:val="auto"/>
                <w:sz w:val="21"/>
                <w:szCs w:val="21"/>
              </w:rPr>
            </w:pPr>
            <w:r>
              <w:rPr>
                <w:rFonts w:eastAsia="Times New Roman"/>
                <w:color w:val="auto"/>
                <w:sz w:val="21"/>
                <w:szCs w:val="21"/>
              </w:rPr>
              <w:t>1.50</w:t>
            </w:r>
          </w:p>
        </w:tc>
        <w:tc>
          <w:tcPr>
            <w:tcW w:w="487" w:type="pct"/>
            <w:vAlign w:val="center"/>
          </w:tcPr>
          <w:p w14:paraId="46F36FAC">
            <w:pPr>
              <w:widowControl w:val="0"/>
              <w:jc w:val="center"/>
              <w:rPr>
                <w:rFonts w:eastAsia="Times New Roman"/>
                <w:color w:val="auto"/>
                <w:sz w:val="21"/>
                <w:szCs w:val="21"/>
              </w:rPr>
            </w:pPr>
            <w:r>
              <w:rPr>
                <w:rFonts w:eastAsia="Times New Roman"/>
                <w:color w:val="auto"/>
                <w:sz w:val="21"/>
                <w:szCs w:val="21"/>
              </w:rPr>
              <w:t>12.01</w:t>
            </w:r>
          </w:p>
        </w:tc>
        <w:tc>
          <w:tcPr>
            <w:tcW w:w="673" w:type="pct"/>
            <w:vMerge w:val="restart"/>
            <w:vAlign w:val="center"/>
          </w:tcPr>
          <w:p w14:paraId="040FE8EA">
            <w:pPr>
              <w:pStyle w:val="129"/>
              <w:widowControl w:val="0"/>
              <w:rPr>
                <w:rFonts w:eastAsia="Times New Roman"/>
                <w:color w:val="auto"/>
              </w:rPr>
            </w:pPr>
            <w:r>
              <w:rPr>
                <w:rFonts w:hint="eastAsia" w:eastAsia="Times New Roman"/>
                <w:color w:val="auto"/>
              </w:rPr>
              <w:t>3.2m</w:t>
            </w:r>
            <w:r>
              <w:rPr>
                <w:rFonts w:hint="eastAsia" w:eastAsia="Times New Roman"/>
                <w:color w:val="auto"/>
                <w:vertAlign w:val="superscript"/>
              </w:rPr>
              <w:t>3</w:t>
            </w:r>
            <w:r>
              <w:rPr>
                <w:rFonts w:hint="eastAsia" w:eastAsia="Times New Roman"/>
                <w:color w:val="auto"/>
              </w:rPr>
              <w:t>/h</w:t>
            </w:r>
            <w:r>
              <w:rPr>
                <w:rFonts w:hint="eastAsia" w:ascii="宋体" w:hAnsi="宋体" w:eastAsia="Times New Roman" w:cs="宋体"/>
                <w:color w:val="auto"/>
              </w:rPr>
              <w:t>用于催化剂生产，剩余</w:t>
            </w:r>
            <w:r>
              <w:rPr>
                <w:rFonts w:hint="eastAsia" w:eastAsia="Times New Roman"/>
                <w:color w:val="auto"/>
              </w:rPr>
              <w:t>201.57m</w:t>
            </w:r>
            <w:r>
              <w:rPr>
                <w:rFonts w:hint="eastAsia" w:eastAsia="Times New Roman"/>
                <w:color w:val="auto"/>
                <w:vertAlign w:val="superscript"/>
              </w:rPr>
              <w:t>3</w:t>
            </w:r>
            <w:r>
              <w:rPr>
                <w:rFonts w:hint="eastAsia" w:eastAsia="Times New Roman"/>
                <w:color w:val="auto"/>
              </w:rPr>
              <w:t>/h</w:t>
            </w:r>
            <w:r>
              <w:rPr>
                <w:rFonts w:hint="eastAsia" w:ascii="宋体" w:hAnsi="宋体" w:eastAsia="Times New Roman" w:cs="宋体"/>
                <w:color w:val="auto"/>
              </w:rPr>
              <w:t>送乌鲁木齐众荣电子材料科技有限公司厂</w:t>
            </w:r>
          </w:p>
        </w:tc>
        <w:tc>
          <w:tcPr>
            <w:tcW w:w="345" w:type="pct"/>
            <w:vMerge w:val="restart"/>
            <w:vAlign w:val="center"/>
          </w:tcPr>
          <w:p w14:paraId="7166FACC">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69FCFF1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078F4831">
            <w:pPr>
              <w:widowControl w:val="0"/>
              <w:jc w:val="center"/>
              <w:rPr>
                <w:rFonts w:eastAsia="Times New Roman"/>
                <w:color w:val="auto"/>
                <w:sz w:val="21"/>
                <w:szCs w:val="21"/>
              </w:rPr>
            </w:pPr>
          </w:p>
        </w:tc>
        <w:tc>
          <w:tcPr>
            <w:tcW w:w="732" w:type="pct"/>
            <w:vMerge w:val="continue"/>
            <w:vAlign w:val="center"/>
          </w:tcPr>
          <w:p w14:paraId="1ED129EA">
            <w:pPr>
              <w:widowControl w:val="0"/>
              <w:jc w:val="center"/>
              <w:rPr>
                <w:rFonts w:ascii="宋体" w:hAnsi="宋体" w:eastAsia="Times New Roman" w:cs="宋体"/>
                <w:color w:val="auto"/>
                <w:sz w:val="21"/>
                <w:szCs w:val="21"/>
              </w:rPr>
            </w:pPr>
          </w:p>
        </w:tc>
        <w:tc>
          <w:tcPr>
            <w:tcW w:w="489" w:type="pct"/>
            <w:vAlign w:val="center"/>
          </w:tcPr>
          <w:p w14:paraId="5941ACA1">
            <w:pPr>
              <w:widowControl w:val="0"/>
              <w:jc w:val="center"/>
              <w:rPr>
                <w:rFonts w:eastAsia="Times New Roman"/>
                <w:color w:val="auto"/>
                <w:sz w:val="21"/>
                <w:szCs w:val="21"/>
              </w:rPr>
            </w:pPr>
            <w:r>
              <w:rPr>
                <w:rFonts w:eastAsia="Times New Roman"/>
                <w:color w:val="auto"/>
                <w:sz w:val="21"/>
                <w:szCs w:val="21"/>
              </w:rPr>
              <w:t>TDS</w:t>
            </w:r>
          </w:p>
        </w:tc>
        <w:tc>
          <w:tcPr>
            <w:tcW w:w="406" w:type="pct"/>
            <w:vMerge w:val="continue"/>
            <w:vAlign w:val="center"/>
          </w:tcPr>
          <w:p w14:paraId="47888649">
            <w:pPr>
              <w:widowControl w:val="0"/>
              <w:jc w:val="center"/>
              <w:rPr>
                <w:rFonts w:ascii="宋体" w:hAnsi="宋体" w:eastAsia="Times New Roman" w:cs="宋体"/>
                <w:color w:val="auto"/>
                <w:sz w:val="21"/>
                <w:szCs w:val="21"/>
              </w:rPr>
            </w:pPr>
          </w:p>
        </w:tc>
        <w:tc>
          <w:tcPr>
            <w:tcW w:w="571" w:type="pct"/>
            <w:vMerge w:val="continue"/>
            <w:vAlign w:val="center"/>
          </w:tcPr>
          <w:p w14:paraId="5B948AA4">
            <w:pPr>
              <w:widowControl w:val="0"/>
              <w:jc w:val="center"/>
              <w:rPr>
                <w:rFonts w:eastAsia="Times New Roman"/>
                <w:color w:val="auto"/>
                <w:sz w:val="21"/>
                <w:szCs w:val="21"/>
              </w:rPr>
            </w:pPr>
          </w:p>
        </w:tc>
        <w:tc>
          <w:tcPr>
            <w:tcW w:w="569" w:type="pct"/>
            <w:vAlign w:val="center"/>
          </w:tcPr>
          <w:p w14:paraId="6C979389">
            <w:pPr>
              <w:widowControl w:val="0"/>
              <w:jc w:val="center"/>
              <w:rPr>
                <w:rFonts w:eastAsia="Times New Roman"/>
                <w:color w:val="auto"/>
                <w:sz w:val="21"/>
                <w:szCs w:val="21"/>
              </w:rPr>
            </w:pPr>
            <w:r>
              <w:rPr>
                <w:rFonts w:eastAsia="Times New Roman"/>
                <w:color w:val="auto"/>
                <w:sz w:val="21"/>
                <w:szCs w:val="21"/>
              </w:rPr>
              <w:t>150</w:t>
            </w:r>
          </w:p>
        </w:tc>
        <w:tc>
          <w:tcPr>
            <w:tcW w:w="489" w:type="pct"/>
            <w:vAlign w:val="center"/>
          </w:tcPr>
          <w:p w14:paraId="0E03E66F">
            <w:pPr>
              <w:widowControl w:val="0"/>
              <w:jc w:val="center"/>
              <w:rPr>
                <w:rFonts w:eastAsia="Times New Roman"/>
                <w:color w:val="auto"/>
                <w:sz w:val="21"/>
                <w:szCs w:val="21"/>
              </w:rPr>
            </w:pPr>
            <w:r>
              <w:rPr>
                <w:rFonts w:eastAsia="Times New Roman"/>
                <w:color w:val="auto"/>
                <w:sz w:val="21"/>
                <w:szCs w:val="21"/>
              </w:rPr>
              <w:t>11.26</w:t>
            </w:r>
          </w:p>
        </w:tc>
        <w:tc>
          <w:tcPr>
            <w:tcW w:w="487" w:type="pct"/>
            <w:vAlign w:val="center"/>
          </w:tcPr>
          <w:p w14:paraId="46ABE6F2">
            <w:pPr>
              <w:widowControl w:val="0"/>
              <w:jc w:val="center"/>
              <w:rPr>
                <w:rFonts w:eastAsia="Times New Roman"/>
                <w:color w:val="auto"/>
                <w:sz w:val="21"/>
                <w:szCs w:val="21"/>
              </w:rPr>
            </w:pPr>
            <w:r>
              <w:rPr>
                <w:rFonts w:eastAsia="Times New Roman"/>
                <w:color w:val="auto"/>
                <w:sz w:val="21"/>
                <w:szCs w:val="21"/>
              </w:rPr>
              <w:t>90.07</w:t>
            </w:r>
          </w:p>
        </w:tc>
        <w:tc>
          <w:tcPr>
            <w:tcW w:w="673" w:type="pct"/>
            <w:vMerge w:val="continue"/>
            <w:vAlign w:val="center"/>
          </w:tcPr>
          <w:p w14:paraId="4BC7BBB6">
            <w:pPr>
              <w:widowControl w:val="0"/>
              <w:jc w:val="center"/>
              <w:rPr>
                <w:rFonts w:ascii="宋体" w:hAnsi="宋体" w:eastAsia="Times New Roman" w:cs="宋体"/>
                <w:color w:val="auto"/>
                <w:sz w:val="21"/>
                <w:szCs w:val="21"/>
              </w:rPr>
            </w:pPr>
          </w:p>
        </w:tc>
        <w:tc>
          <w:tcPr>
            <w:tcW w:w="345" w:type="pct"/>
            <w:vMerge w:val="continue"/>
            <w:vAlign w:val="center"/>
          </w:tcPr>
          <w:p w14:paraId="4879213D">
            <w:pPr>
              <w:widowControl w:val="0"/>
              <w:jc w:val="center"/>
              <w:rPr>
                <w:rFonts w:ascii="宋体" w:hAnsi="宋体" w:eastAsia="Times New Roman" w:cs="宋体"/>
                <w:color w:val="auto"/>
                <w:sz w:val="21"/>
                <w:szCs w:val="21"/>
              </w:rPr>
            </w:pPr>
          </w:p>
        </w:tc>
      </w:tr>
      <w:tr w14:paraId="419652C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05" w:hRule="atLeast"/>
        </w:trPr>
        <w:tc>
          <w:tcPr>
            <w:tcW w:w="239" w:type="pct"/>
            <w:vMerge w:val="restart"/>
            <w:vAlign w:val="center"/>
          </w:tcPr>
          <w:p w14:paraId="29D41990">
            <w:pPr>
              <w:widowControl w:val="0"/>
              <w:jc w:val="center"/>
              <w:rPr>
                <w:rFonts w:eastAsia="Times New Roman"/>
                <w:color w:val="auto"/>
                <w:sz w:val="21"/>
                <w:szCs w:val="21"/>
              </w:rPr>
            </w:pPr>
            <w:r>
              <w:rPr>
                <w:rFonts w:eastAsia="Times New Roman"/>
                <w:color w:val="auto"/>
                <w:sz w:val="21"/>
                <w:szCs w:val="21"/>
              </w:rPr>
              <w:t>W</w:t>
            </w:r>
            <w:r>
              <w:rPr>
                <w:rFonts w:eastAsia="Times New Roman"/>
                <w:color w:val="auto"/>
                <w:sz w:val="21"/>
                <w:szCs w:val="21"/>
                <w:vertAlign w:val="subscript"/>
              </w:rPr>
              <w:t>2</w:t>
            </w:r>
          </w:p>
        </w:tc>
        <w:tc>
          <w:tcPr>
            <w:tcW w:w="732" w:type="pct"/>
            <w:vMerge w:val="restart"/>
            <w:vAlign w:val="center"/>
          </w:tcPr>
          <w:p w14:paraId="48E55FDC">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硫酸铵蒸发冷凝水</w:t>
            </w:r>
          </w:p>
        </w:tc>
        <w:tc>
          <w:tcPr>
            <w:tcW w:w="489" w:type="pct"/>
            <w:vAlign w:val="center"/>
          </w:tcPr>
          <w:p w14:paraId="229B5DC1">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3D687EFE">
            <w:pPr>
              <w:widowControl w:val="0"/>
              <w:jc w:val="center"/>
              <w:rPr>
                <w:rFonts w:ascii="宋体" w:hAnsi="宋体" w:eastAsia="Times New Roman" w:cs="宋体"/>
                <w:color w:val="auto"/>
                <w:sz w:val="21"/>
                <w:szCs w:val="21"/>
              </w:rPr>
            </w:pPr>
            <w:r>
              <w:rPr>
                <w:rFonts w:hint="eastAsia" w:ascii="宋体" w:hAnsi="宋体" w:cs="宋体" w:eastAsiaTheme="minorEastAsia"/>
                <w:color w:val="auto"/>
                <w:sz w:val="21"/>
                <w:szCs w:val="21"/>
              </w:rPr>
              <w:t>类比法</w:t>
            </w:r>
          </w:p>
        </w:tc>
        <w:tc>
          <w:tcPr>
            <w:tcW w:w="571" w:type="pct"/>
            <w:vMerge w:val="restart"/>
            <w:vAlign w:val="center"/>
          </w:tcPr>
          <w:p w14:paraId="6CDCB3DB">
            <w:pPr>
              <w:widowControl w:val="0"/>
              <w:jc w:val="center"/>
              <w:rPr>
                <w:rFonts w:eastAsia="Times New Roman"/>
                <w:color w:val="auto"/>
                <w:sz w:val="21"/>
                <w:szCs w:val="21"/>
              </w:rPr>
            </w:pPr>
            <w:r>
              <w:rPr>
                <w:rFonts w:eastAsia="Times New Roman"/>
                <w:color w:val="auto"/>
                <w:sz w:val="21"/>
                <w:szCs w:val="21"/>
              </w:rPr>
              <w:t>13.73</w:t>
            </w:r>
          </w:p>
        </w:tc>
        <w:tc>
          <w:tcPr>
            <w:tcW w:w="569" w:type="pct"/>
            <w:vAlign w:val="center"/>
          </w:tcPr>
          <w:p w14:paraId="69ECD3BD">
            <w:pPr>
              <w:widowControl w:val="0"/>
              <w:jc w:val="center"/>
              <w:rPr>
                <w:rFonts w:eastAsia="Times New Roman"/>
                <w:color w:val="auto"/>
                <w:sz w:val="21"/>
                <w:szCs w:val="21"/>
              </w:rPr>
            </w:pPr>
            <w:r>
              <w:rPr>
                <w:rFonts w:eastAsia="Times New Roman"/>
                <w:color w:val="auto"/>
                <w:sz w:val="21"/>
                <w:szCs w:val="21"/>
              </w:rPr>
              <w:t>20</w:t>
            </w:r>
          </w:p>
        </w:tc>
        <w:tc>
          <w:tcPr>
            <w:tcW w:w="489" w:type="pct"/>
            <w:vAlign w:val="center"/>
          </w:tcPr>
          <w:p w14:paraId="3D83EB2D">
            <w:pPr>
              <w:widowControl w:val="0"/>
              <w:jc w:val="center"/>
              <w:rPr>
                <w:rFonts w:eastAsia="Times New Roman"/>
                <w:color w:val="auto"/>
                <w:sz w:val="21"/>
                <w:szCs w:val="21"/>
              </w:rPr>
            </w:pPr>
            <w:r>
              <w:rPr>
                <w:rFonts w:eastAsia="Times New Roman"/>
                <w:color w:val="auto"/>
                <w:sz w:val="21"/>
                <w:szCs w:val="21"/>
              </w:rPr>
              <w:t>0.27</w:t>
            </w:r>
          </w:p>
        </w:tc>
        <w:tc>
          <w:tcPr>
            <w:tcW w:w="487" w:type="pct"/>
            <w:vAlign w:val="center"/>
          </w:tcPr>
          <w:p w14:paraId="08E1FE4F">
            <w:pPr>
              <w:widowControl w:val="0"/>
              <w:jc w:val="center"/>
              <w:rPr>
                <w:rFonts w:eastAsia="Times New Roman"/>
                <w:color w:val="auto"/>
                <w:sz w:val="21"/>
                <w:szCs w:val="21"/>
              </w:rPr>
            </w:pPr>
            <w:r>
              <w:rPr>
                <w:rFonts w:eastAsia="Times New Roman"/>
                <w:color w:val="auto"/>
                <w:sz w:val="21"/>
                <w:szCs w:val="21"/>
              </w:rPr>
              <w:t>2.20</w:t>
            </w:r>
          </w:p>
        </w:tc>
        <w:tc>
          <w:tcPr>
            <w:tcW w:w="673" w:type="pct"/>
            <w:vMerge w:val="continue"/>
            <w:vAlign w:val="center"/>
          </w:tcPr>
          <w:p w14:paraId="60E5D1D2">
            <w:pPr>
              <w:widowControl w:val="0"/>
              <w:jc w:val="center"/>
              <w:rPr>
                <w:rFonts w:ascii="宋体" w:hAnsi="宋体" w:eastAsia="Times New Roman" w:cs="宋体"/>
                <w:color w:val="auto"/>
                <w:sz w:val="21"/>
                <w:szCs w:val="21"/>
              </w:rPr>
            </w:pPr>
          </w:p>
        </w:tc>
        <w:tc>
          <w:tcPr>
            <w:tcW w:w="345" w:type="pct"/>
            <w:vMerge w:val="restart"/>
            <w:vAlign w:val="center"/>
          </w:tcPr>
          <w:p w14:paraId="6BAF5D2C">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441435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3EF35904">
            <w:pPr>
              <w:widowControl w:val="0"/>
              <w:jc w:val="center"/>
              <w:rPr>
                <w:rFonts w:eastAsia="Times New Roman"/>
                <w:color w:val="auto"/>
                <w:sz w:val="21"/>
                <w:szCs w:val="21"/>
              </w:rPr>
            </w:pPr>
          </w:p>
        </w:tc>
        <w:tc>
          <w:tcPr>
            <w:tcW w:w="732" w:type="pct"/>
            <w:vMerge w:val="continue"/>
            <w:vAlign w:val="center"/>
          </w:tcPr>
          <w:p w14:paraId="18AAC06D">
            <w:pPr>
              <w:widowControl w:val="0"/>
              <w:jc w:val="center"/>
              <w:rPr>
                <w:rFonts w:ascii="宋体" w:hAnsi="宋体" w:eastAsia="Times New Roman" w:cs="宋体"/>
                <w:color w:val="auto"/>
                <w:sz w:val="21"/>
                <w:szCs w:val="21"/>
              </w:rPr>
            </w:pPr>
          </w:p>
        </w:tc>
        <w:tc>
          <w:tcPr>
            <w:tcW w:w="489" w:type="pct"/>
            <w:vAlign w:val="center"/>
          </w:tcPr>
          <w:p w14:paraId="69A4E47F">
            <w:pPr>
              <w:widowControl w:val="0"/>
              <w:jc w:val="center"/>
              <w:rPr>
                <w:rFonts w:eastAsia="Times New Roman"/>
                <w:color w:val="auto"/>
                <w:sz w:val="21"/>
                <w:szCs w:val="21"/>
              </w:rPr>
            </w:pPr>
            <w:r>
              <w:rPr>
                <w:rFonts w:eastAsia="Times New Roman"/>
                <w:color w:val="auto"/>
                <w:sz w:val="21"/>
                <w:szCs w:val="21"/>
              </w:rPr>
              <w:t>TDS</w:t>
            </w:r>
          </w:p>
        </w:tc>
        <w:tc>
          <w:tcPr>
            <w:tcW w:w="406" w:type="pct"/>
            <w:vMerge w:val="continue"/>
            <w:vAlign w:val="center"/>
          </w:tcPr>
          <w:p w14:paraId="75DEC03D">
            <w:pPr>
              <w:widowControl w:val="0"/>
              <w:jc w:val="center"/>
              <w:rPr>
                <w:rFonts w:ascii="宋体" w:hAnsi="宋体" w:eastAsia="Times New Roman" w:cs="宋体"/>
                <w:color w:val="auto"/>
                <w:sz w:val="21"/>
                <w:szCs w:val="21"/>
              </w:rPr>
            </w:pPr>
          </w:p>
        </w:tc>
        <w:tc>
          <w:tcPr>
            <w:tcW w:w="571" w:type="pct"/>
            <w:vMerge w:val="continue"/>
            <w:vAlign w:val="center"/>
          </w:tcPr>
          <w:p w14:paraId="7D81D7C5">
            <w:pPr>
              <w:widowControl w:val="0"/>
              <w:jc w:val="center"/>
              <w:rPr>
                <w:rFonts w:eastAsia="Times New Roman"/>
                <w:color w:val="auto"/>
                <w:sz w:val="21"/>
                <w:szCs w:val="21"/>
              </w:rPr>
            </w:pPr>
          </w:p>
        </w:tc>
        <w:tc>
          <w:tcPr>
            <w:tcW w:w="569" w:type="pct"/>
            <w:vAlign w:val="center"/>
          </w:tcPr>
          <w:p w14:paraId="793FAB41">
            <w:pPr>
              <w:widowControl w:val="0"/>
              <w:jc w:val="center"/>
              <w:rPr>
                <w:rFonts w:eastAsia="Times New Roman"/>
                <w:color w:val="auto"/>
                <w:sz w:val="21"/>
                <w:szCs w:val="21"/>
              </w:rPr>
            </w:pPr>
            <w:r>
              <w:rPr>
                <w:rFonts w:eastAsia="Times New Roman"/>
                <w:color w:val="auto"/>
                <w:sz w:val="21"/>
                <w:szCs w:val="21"/>
              </w:rPr>
              <w:t>150</w:t>
            </w:r>
          </w:p>
        </w:tc>
        <w:tc>
          <w:tcPr>
            <w:tcW w:w="489" w:type="pct"/>
            <w:vAlign w:val="center"/>
          </w:tcPr>
          <w:p w14:paraId="1A99E536">
            <w:pPr>
              <w:widowControl w:val="0"/>
              <w:jc w:val="center"/>
              <w:rPr>
                <w:rFonts w:eastAsia="Times New Roman"/>
                <w:color w:val="auto"/>
                <w:sz w:val="21"/>
                <w:szCs w:val="21"/>
              </w:rPr>
            </w:pPr>
            <w:r>
              <w:rPr>
                <w:rFonts w:eastAsia="Times New Roman"/>
                <w:color w:val="auto"/>
                <w:sz w:val="21"/>
                <w:szCs w:val="21"/>
              </w:rPr>
              <w:t>2.06</w:t>
            </w:r>
          </w:p>
        </w:tc>
        <w:tc>
          <w:tcPr>
            <w:tcW w:w="487" w:type="pct"/>
            <w:vAlign w:val="center"/>
          </w:tcPr>
          <w:p w14:paraId="1CFB0131">
            <w:pPr>
              <w:widowControl w:val="0"/>
              <w:jc w:val="center"/>
              <w:rPr>
                <w:rFonts w:eastAsia="Times New Roman"/>
                <w:color w:val="auto"/>
                <w:sz w:val="21"/>
                <w:szCs w:val="21"/>
              </w:rPr>
            </w:pPr>
            <w:r>
              <w:rPr>
                <w:rFonts w:eastAsia="Times New Roman"/>
                <w:color w:val="auto"/>
                <w:sz w:val="21"/>
                <w:szCs w:val="21"/>
              </w:rPr>
              <w:t>16.48</w:t>
            </w:r>
          </w:p>
        </w:tc>
        <w:tc>
          <w:tcPr>
            <w:tcW w:w="673" w:type="pct"/>
            <w:vMerge w:val="continue"/>
            <w:vAlign w:val="center"/>
          </w:tcPr>
          <w:p w14:paraId="64696D98">
            <w:pPr>
              <w:widowControl w:val="0"/>
              <w:jc w:val="center"/>
              <w:rPr>
                <w:rFonts w:ascii="宋体" w:hAnsi="宋体" w:eastAsia="Times New Roman" w:cs="宋体"/>
                <w:color w:val="auto"/>
                <w:sz w:val="21"/>
                <w:szCs w:val="21"/>
              </w:rPr>
            </w:pPr>
          </w:p>
        </w:tc>
        <w:tc>
          <w:tcPr>
            <w:tcW w:w="345" w:type="pct"/>
            <w:vMerge w:val="continue"/>
            <w:vAlign w:val="center"/>
          </w:tcPr>
          <w:p w14:paraId="3B9E5449">
            <w:pPr>
              <w:widowControl w:val="0"/>
              <w:jc w:val="center"/>
              <w:rPr>
                <w:rFonts w:ascii="宋体" w:hAnsi="宋体" w:eastAsia="Times New Roman" w:cs="宋体"/>
                <w:color w:val="auto"/>
                <w:sz w:val="21"/>
                <w:szCs w:val="21"/>
              </w:rPr>
            </w:pPr>
          </w:p>
        </w:tc>
      </w:tr>
      <w:tr w14:paraId="11CBB9B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76" w:hRule="atLeast"/>
        </w:trPr>
        <w:tc>
          <w:tcPr>
            <w:tcW w:w="239" w:type="pct"/>
            <w:vMerge w:val="restart"/>
            <w:vAlign w:val="center"/>
          </w:tcPr>
          <w:p w14:paraId="5662FB62">
            <w:pPr>
              <w:widowControl w:val="0"/>
              <w:jc w:val="center"/>
              <w:rPr>
                <w:rFonts w:eastAsia="Times New Roman"/>
                <w:color w:val="auto"/>
                <w:sz w:val="21"/>
                <w:szCs w:val="21"/>
              </w:rPr>
            </w:pPr>
            <w:r>
              <w:rPr>
                <w:rFonts w:eastAsia="Times New Roman"/>
                <w:color w:val="auto"/>
                <w:sz w:val="21"/>
                <w:szCs w:val="21"/>
              </w:rPr>
              <w:t>W</w:t>
            </w:r>
            <w:r>
              <w:rPr>
                <w:rFonts w:eastAsia="Times New Roman"/>
                <w:color w:val="auto"/>
                <w:sz w:val="21"/>
                <w:szCs w:val="21"/>
                <w:vertAlign w:val="subscript"/>
              </w:rPr>
              <w:t>3</w:t>
            </w:r>
          </w:p>
        </w:tc>
        <w:tc>
          <w:tcPr>
            <w:tcW w:w="732" w:type="pct"/>
            <w:vMerge w:val="restart"/>
            <w:vAlign w:val="center"/>
          </w:tcPr>
          <w:p w14:paraId="2E52BCDD">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液体肥料2蒸发浓缩冷凝水</w:t>
            </w:r>
          </w:p>
        </w:tc>
        <w:tc>
          <w:tcPr>
            <w:tcW w:w="489" w:type="pct"/>
            <w:vAlign w:val="center"/>
          </w:tcPr>
          <w:p w14:paraId="37243118">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027C3226">
            <w:pPr>
              <w:widowControl w:val="0"/>
              <w:jc w:val="center"/>
              <w:rPr>
                <w:rFonts w:ascii="宋体" w:hAnsi="宋体" w:eastAsia="Times New Roman" w:cs="宋体"/>
                <w:color w:val="auto"/>
                <w:sz w:val="21"/>
                <w:szCs w:val="21"/>
              </w:rPr>
            </w:pPr>
            <w:r>
              <w:rPr>
                <w:rFonts w:hint="eastAsia" w:ascii="宋体" w:hAnsi="宋体" w:cs="宋体" w:eastAsiaTheme="minorEastAsia"/>
                <w:color w:val="auto"/>
                <w:sz w:val="21"/>
                <w:szCs w:val="21"/>
              </w:rPr>
              <w:t>类比法</w:t>
            </w:r>
          </w:p>
        </w:tc>
        <w:tc>
          <w:tcPr>
            <w:tcW w:w="571" w:type="pct"/>
            <w:vMerge w:val="restart"/>
            <w:vAlign w:val="center"/>
          </w:tcPr>
          <w:p w14:paraId="719C99C5">
            <w:pPr>
              <w:widowControl w:val="0"/>
              <w:jc w:val="center"/>
              <w:rPr>
                <w:rFonts w:eastAsia="Times New Roman"/>
                <w:color w:val="auto"/>
                <w:sz w:val="21"/>
                <w:szCs w:val="21"/>
              </w:rPr>
            </w:pPr>
            <w:r>
              <w:rPr>
                <w:rFonts w:eastAsia="Times New Roman"/>
                <w:color w:val="auto"/>
                <w:sz w:val="21"/>
                <w:szCs w:val="21"/>
              </w:rPr>
              <w:t>95.90</w:t>
            </w:r>
          </w:p>
        </w:tc>
        <w:tc>
          <w:tcPr>
            <w:tcW w:w="569" w:type="pct"/>
            <w:vAlign w:val="center"/>
          </w:tcPr>
          <w:p w14:paraId="1FC3FCBA">
            <w:pPr>
              <w:widowControl w:val="0"/>
              <w:jc w:val="center"/>
              <w:rPr>
                <w:rFonts w:eastAsia="Times New Roman"/>
                <w:color w:val="auto"/>
                <w:sz w:val="21"/>
                <w:szCs w:val="21"/>
              </w:rPr>
            </w:pPr>
            <w:r>
              <w:rPr>
                <w:rFonts w:eastAsia="Times New Roman"/>
                <w:color w:val="auto"/>
                <w:sz w:val="21"/>
                <w:szCs w:val="21"/>
              </w:rPr>
              <w:t>20</w:t>
            </w:r>
          </w:p>
        </w:tc>
        <w:tc>
          <w:tcPr>
            <w:tcW w:w="489" w:type="pct"/>
            <w:vAlign w:val="center"/>
          </w:tcPr>
          <w:p w14:paraId="3CC3342D">
            <w:pPr>
              <w:widowControl w:val="0"/>
              <w:jc w:val="center"/>
              <w:rPr>
                <w:rFonts w:eastAsia="Times New Roman"/>
                <w:color w:val="auto"/>
                <w:sz w:val="21"/>
                <w:szCs w:val="21"/>
              </w:rPr>
            </w:pPr>
            <w:r>
              <w:rPr>
                <w:rFonts w:eastAsia="Times New Roman"/>
                <w:color w:val="auto"/>
                <w:sz w:val="21"/>
                <w:szCs w:val="21"/>
              </w:rPr>
              <w:t>1.92</w:t>
            </w:r>
          </w:p>
        </w:tc>
        <w:tc>
          <w:tcPr>
            <w:tcW w:w="487" w:type="pct"/>
            <w:vAlign w:val="center"/>
          </w:tcPr>
          <w:p w14:paraId="27B57C90">
            <w:pPr>
              <w:widowControl w:val="0"/>
              <w:jc w:val="center"/>
              <w:rPr>
                <w:rFonts w:eastAsia="Times New Roman"/>
                <w:color w:val="auto"/>
                <w:sz w:val="21"/>
                <w:szCs w:val="21"/>
              </w:rPr>
            </w:pPr>
            <w:r>
              <w:rPr>
                <w:rFonts w:eastAsia="Times New Roman"/>
                <w:color w:val="auto"/>
                <w:sz w:val="21"/>
                <w:szCs w:val="21"/>
              </w:rPr>
              <w:t>15.34</w:t>
            </w:r>
          </w:p>
        </w:tc>
        <w:tc>
          <w:tcPr>
            <w:tcW w:w="673" w:type="pct"/>
            <w:vMerge w:val="continue"/>
            <w:vAlign w:val="center"/>
          </w:tcPr>
          <w:p w14:paraId="78786E76">
            <w:pPr>
              <w:widowControl w:val="0"/>
              <w:jc w:val="center"/>
              <w:rPr>
                <w:rFonts w:ascii="宋体" w:hAnsi="宋体" w:eastAsia="Times New Roman" w:cs="宋体"/>
                <w:color w:val="auto"/>
                <w:sz w:val="21"/>
                <w:szCs w:val="21"/>
              </w:rPr>
            </w:pPr>
          </w:p>
        </w:tc>
        <w:tc>
          <w:tcPr>
            <w:tcW w:w="345" w:type="pct"/>
            <w:vMerge w:val="restart"/>
            <w:vAlign w:val="center"/>
          </w:tcPr>
          <w:p w14:paraId="3F329004">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329545A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4F9FF679">
            <w:pPr>
              <w:widowControl w:val="0"/>
              <w:jc w:val="center"/>
              <w:rPr>
                <w:rFonts w:eastAsia="Times New Roman"/>
                <w:color w:val="auto"/>
                <w:sz w:val="21"/>
                <w:szCs w:val="21"/>
              </w:rPr>
            </w:pPr>
          </w:p>
        </w:tc>
        <w:tc>
          <w:tcPr>
            <w:tcW w:w="732" w:type="pct"/>
            <w:vMerge w:val="continue"/>
            <w:vAlign w:val="center"/>
          </w:tcPr>
          <w:p w14:paraId="46BF4FC1">
            <w:pPr>
              <w:widowControl w:val="0"/>
              <w:jc w:val="center"/>
              <w:rPr>
                <w:rFonts w:ascii="宋体" w:hAnsi="宋体" w:eastAsia="Times New Roman" w:cs="宋体"/>
                <w:color w:val="auto"/>
                <w:sz w:val="21"/>
                <w:szCs w:val="21"/>
              </w:rPr>
            </w:pPr>
          </w:p>
        </w:tc>
        <w:tc>
          <w:tcPr>
            <w:tcW w:w="489" w:type="pct"/>
            <w:vAlign w:val="center"/>
          </w:tcPr>
          <w:p w14:paraId="34638A1D">
            <w:pPr>
              <w:widowControl w:val="0"/>
              <w:jc w:val="center"/>
              <w:rPr>
                <w:rFonts w:eastAsia="Times New Roman"/>
                <w:color w:val="auto"/>
                <w:sz w:val="21"/>
                <w:szCs w:val="21"/>
              </w:rPr>
            </w:pPr>
            <w:r>
              <w:rPr>
                <w:rFonts w:eastAsia="Times New Roman"/>
                <w:color w:val="auto"/>
                <w:sz w:val="21"/>
                <w:szCs w:val="21"/>
              </w:rPr>
              <w:t>TDS</w:t>
            </w:r>
          </w:p>
        </w:tc>
        <w:tc>
          <w:tcPr>
            <w:tcW w:w="406" w:type="pct"/>
            <w:vMerge w:val="continue"/>
            <w:vAlign w:val="center"/>
          </w:tcPr>
          <w:p w14:paraId="69B63CB2">
            <w:pPr>
              <w:widowControl w:val="0"/>
              <w:jc w:val="center"/>
              <w:rPr>
                <w:rFonts w:ascii="宋体" w:hAnsi="宋体" w:eastAsia="Times New Roman" w:cs="宋体"/>
                <w:color w:val="auto"/>
                <w:sz w:val="21"/>
                <w:szCs w:val="21"/>
              </w:rPr>
            </w:pPr>
          </w:p>
        </w:tc>
        <w:tc>
          <w:tcPr>
            <w:tcW w:w="571" w:type="pct"/>
            <w:vMerge w:val="continue"/>
            <w:vAlign w:val="center"/>
          </w:tcPr>
          <w:p w14:paraId="0F43616B">
            <w:pPr>
              <w:widowControl w:val="0"/>
              <w:jc w:val="center"/>
              <w:rPr>
                <w:rFonts w:eastAsia="Times New Roman"/>
                <w:color w:val="auto"/>
                <w:sz w:val="21"/>
                <w:szCs w:val="21"/>
              </w:rPr>
            </w:pPr>
          </w:p>
        </w:tc>
        <w:tc>
          <w:tcPr>
            <w:tcW w:w="569" w:type="pct"/>
            <w:vAlign w:val="center"/>
          </w:tcPr>
          <w:p w14:paraId="26FCF6CD">
            <w:pPr>
              <w:widowControl w:val="0"/>
              <w:jc w:val="center"/>
              <w:rPr>
                <w:rFonts w:eastAsia="Times New Roman"/>
                <w:color w:val="auto"/>
                <w:sz w:val="21"/>
                <w:szCs w:val="21"/>
              </w:rPr>
            </w:pPr>
            <w:r>
              <w:rPr>
                <w:rFonts w:eastAsia="Times New Roman"/>
                <w:color w:val="auto"/>
                <w:sz w:val="21"/>
                <w:szCs w:val="21"/>
              </w:rPr>
              <w:t>150</w:t>
            </w:r>
          </w:p>
        </w:tc>
        <w:tc>
          <w:tcPr>
            <w:tcW w:w="489" w:type="pct"/>
            <w:vAlign w:val="center"/>
          </w:tcPr>
          <w:p w14:paraId="5194E166">
            <w:pPr>
              <w:widowControl w:val="0"/>
              <w:jc w:val="center"/>
              <w:rPr>
                <w:rFonts w:eastAsia="Times New Roman"/>
                <w:color w:val="auto"/>
                <w:sz w:val="21"/>
                <w:szCs w:val="21"/>
              </w:rPr>
            </w:pPr>
            <w:r>
              <w:rPr>
                <w:rFonts w:eastAsia="Times New Roman"/>
                <w:color w:val="auto"/>
                <w:sz w:val="21"/>
                <w:szCs w:val="21"/>
              </w:rPr>
              <w:t>14.38</w:t>
            </w:r>
          </w:p>
        </w:tc>
        <w:tc>
          <w:tcPr>
            <w:tcW w:w="487" w:type="pct"/>
            <w:vAlign w:val="center"/>
          </w:tcPr>
          <w:p w14:paraId="5797F878">
            <w:pPr>
              <w:widowControl w:val="0"/>
              <w:jc w:val="center"/>
              <w:rPr>
                <w:rFonts w:eastAsia="Times New Roman"/>
                <w:color w:val="auto"/>
                <w:sz w:val="21"/>
                <w:szCs w:val="21"/>
              </w:rPr>
            </w:pPr>
            <w:r>
              <w:rPr>
                <w:rFonts w:eastAsia="Times New Roman"/>
                <w:color w:val="auto"/>
                <w:sz w:val="21"/>
                <w:szCs w:val="21"/>
              </w:rPr>
              <w:t>115.08</w:t>
            </w:r>
          </w:p>
        </w:tc>
        <w:tc>
          <w:tcPr>
            <w:tcW w:w="673" w:type="pct"/>
            <w:vMerge w:val="continue"/>
            <w:vAlign w:val="center"/>
          </w:tcPr>
          <w:p w14:paraId="7C23FB71">
            <w:pPr>
              <w:widowControl w:val="0"/>
              <w:jc w:val="center"/>
              <w:rPr>
                <w:rFonts w:ascii="宋体" w:hAnsi="宋体" w:eastAsia="Times New Roman" w:cs="宋体"/>
                <w:color w:val="auto"/>
                <w:sz w:val="21"/>
                <w:szCs w:val="21"/>
              </w:rPr>
            </w:pPr>
          </w:p>
        </w:tc>
        <w:tc>
          <w:tcPr>
            <w:tcW w:w="345" w:type="pct"/>
            <w:vMerge w:val="continue"/>
            <w:vAlign w:val="center"/>
          </w:tcPr>
          <w:p w14:paraId="0B7214D1">
            <w:pPr>
              <w:widowControl w:val="0"/>
              <w:jc w:val="center"/>
              <w:rPr>
                <w:rFonts w:ascii="宋体" w:hAnsi="宋体" w:eastAsia="Times New Roman" w:cs="宋体"/>
                <w:color w:val="auto"/>
                <w:sz w:val="21"/>
                <w:szCs w:val="21"/>
              </w:rPr>
            </w:pPr>
          </w:p>
        </w:tc>
      </w:tr>
      <w:tr w14:paraId="2803388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restart"/>
            <w:vAlign w:val="center"/>
          </w:tcPr>
          <w:p w14:paraId="239E0C8F">
            <w:pPr>
              <w:widowControl w:val="0"/>
              <w:jc w:val="center"/>
              <w:rPr>
                <w:rFonts w:eastAsia="Times New Roman"/>
                <w:color w:val="auto"/>
                <w:sz w:val="21"/>
                <w:szCs w:val="21"/>
              </w:rPr>
            </w:pPr>
            <w:r>
              <w:rPr>
                <w:rFonts w:eastAsia="Times New Roman"/>
                <w:color w:val="auto"/>
                <w:sz w:val="21"/>
                <w:szCs w:val="21"/>
              </w:rPr>
              <w:t>W</w:t>
            </w:r>
            <w:r>
              <w:rPr>
                <w:rFonts w:eastAsia="Times New Roman"/>
                <w:color w:val="auto"/>
                <w:sz w:val="21"/>
                <w:szCs w:val="21"/>
                <w:vertAlign w:val="subscript"/>
              </w:rPr>
              <w:t>4</w:t>
            </w:r>
          </w:p>
        </w:tc>
        <w:tc>
          <w:tcPr>
            <w:tcW w:w="732" w:type="pct"/>
            <w:vMerge w:val="restart"/>
            <w:vAlign w:val="center"/>
          </w:tcPr>
          <w:p w14:paraId="01548B37">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碳酸钠浓缩冷凝水</w:t>
            </w:r>
          </w:p>
        </w:tc>
        <w:tc>
          <w:tcPr>
            <w:tcW w:w="489" w:type="pct"/>
            <w:vAlign w:val="center"/>
          </w:tcPr>
          <w:p w14:paraId="236D787A">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39B39C57">
            <w:pPr>
              <w:widowControl w:val="0"/>
              <w:jc w:val="center"/>
              <w:rPr>
                <w:rFonts w:ascii="宋体" w:hAnsi="宋体" w:eastAsia="Times New Roman" w:cs="宋体"/>
                <w:color w:val="auto"/>
                <w:sz w:val="21"/>
                <w:szCs w:val="21"/>
              </w:rPr>
            </w:pPr>
            <w:r>
              <w:rPr>
                <w:rFonts w:hint="eastAsia" w:ascii="宋体" w:hAnsi="宋体" w:cs="宋体" w:eastAsiaTheme="minorEastAsia"/>
                <w:color w:val="auto"/>
                <w:sz w:val="21"/>
                <w:szCs w:val="21"/>
              </w:rPr>
              <w:t>类比法</w:t>
            </w:r>
          </w:p>
        </w:tc>
        <w:tc>
          <w:tcPr>
            <w:tcW w:w="571" w:type="pct"/>
            <w:vMerge w:val="restart"/>
            <w:vAlign w:val="center"/>
          </w:tcPr>
          <w:p w14:paraId="3A81878A">
            <w:pPr>
              <w:widowControl w:val="0"/>
              <w:jc w:val="center"/>
              <w:rPr>
                <w:rFonts w:eastAsia="Times New Roman"/>
                <w:color w:val="auto"/>
                <w:sz w:val="21"/>
                <w:szCs w:val="21"/>
              </w:rPr>
            </w:pPr>
            <w:r>
              <w:rPr>
                <w:rFonts w:eastAsia="Times New Roman"/>
                <w:color w:val="auto"/>
                <w:sz w:val="21"/>
                <w:szCs w:val="21"/>
              </w:rPr>
              <w:t>13.54</w:t>
            </w:r>
          </w:p>
        </w:tc>
        <w:tc>
          <w:tcPr>
            <w:tcW w:w="569" w:type="pct"/>
            <w:vAlign w:val="center"/>
          </w:tcPr>
          <w:p w14:paraId="163997B2">
            <w:pPr>
              <w:widowControl w:val="0"/>
              <w:jc w:val="center"/>
              <w:rPr>
                <w:rFonts w:eastAsia="Times New Roman"/>
                <w:color w:val="auto"/>
                <w:sz w:val="21"/>
                <w:szCs w:val="21"/>
              </w:rPr>
            </w:pPr>
            <w:r>
              <w:rPr>
                <w:rFonts w:eastAsia="Times New Roman"/>
                <w:color w:val="auto"/>
                <w:sz w:val="21"/>
                <w:szCs w:val="21"/>
              </w:rPr>
              <w:t>20</w:t>
            </w:r>
          </w:p>
        </w:tc>
        <w:tc>
          <w:tcPr>
            <w:tcW w:w="489" w:type="pct"/>
            <w:vAlign w:val="center"/>
          </w:tcPr>
          <w:p w14:paraId="3A7D43FB">
            <w:pPr>
              <w:widowControl w:val="0"/>
              <w:jc w:val="center"/>
              <w:rPr>
                <w:rFonts w:eastAsia="Times New Roman"/>
                <w:color w:val="auto"/>
                <w:sz w:val="21"/>
                <w:szCs w:val="21"/>
              </w:rPr>
            </w:pPr>
            <w:r>
              <w:rPr>
                <w:rFonts w:eastAsia="Times New Roman"/>
                <w:color w:val="auto"/>
                <w:sz w:val="21"/>
                <w:szCs w:val="21"/>
              </w:rPr>
              <w:t>0.27</w:t>
            </w:r>
          </w:p>
        </w:tc>
        <w:tc>
          <w:tcPr>
            <w:tcW w:w="487" w:type="pct"/>
            <w:vAlign w:val="center"/>
          </w:tcPr>
          <w:p w14:paraId="72A5D67D">
            <w:pPr>
              <w:widowControl w:val="0"/>
              <w:jc w:val="center"/>
              <w:rPr>
                <w:rFonts w:eastAsia="Times New Roman"/>
                <w:color w:val="auto"/>
                <w:sz w:val="21"/>
                <w:szCs w:val="21"/>
              </w:rPr>
            </w:pPr>
            <w:r>
              <w:rPr>
                <w:rFonts w:eastAsia="Times New Roman"/>
                <w:color w:val="auto"/>
                <w:sz w:val="21"/>
                <w:szCs w:val="21"/>
              </w:rPr>
              <w:t>2.17</w:t>
            </w:r>
          </w:p>
        </w:tc>
        <w:tc>
          <w:tcPr>
            <w:tcW w:w="673" w:type="pct"/>
            <w:vMerge w:val="continue"/>
            <w:vAlign w:val="center"/>
          </w:tcPr>
          <w:p w14:paraId="5F225F3C">
            <w:pPr>
              <w:widowControl w:val="0"/>
              <w:jc w:val="center"/>
              <w:rPr>
                <w:rFonts w:ascii="宋体" w:hAnsi="宋体" w:eastAsia="Times New Roman" w:cs="宋体"/>
                <w:color w:val="auto"/>
                <w:sz w:val="21"/>
                <w:szCs w:val="21"/>
              </w:rPr>
            </w:pPr>
          </w:p>
        </w:tc>
        <w:tc>
          <w:tcPr>
            <w:tcW w:w="345" w:type="pct"/>
            <w:vMerge w:val="restart"/>
            <w:vAlign w:val="center"/>
          </w:tcPr>
          <w:p w14:paraId="44AC7B4E">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4069D23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1E9B6630">
            <w:pPr>
              <w:widowControl w:val="0"/>
              <w:jc w:val="center"/>
              <w:rPr>
                <w:rFonts w:eastAsia="Times New Roman"/>
                <w:color w:val="auto"/>
                <w:sz w:val="21"/>
                <w:szCs w:val="21"/>
              </w:rPr>
            </w:pPr>
          </w:p>
        </w:tc>
        <w:tc>
          <w:tcPr>
            <w:tcW w:w="732" w:type="pct"/>
            <w:vMerge w:val="continue"/>
            <w:vAlign w:val="center"/>
          </w:tcPr>
          <w:p w14:paraId="4AABF131">
            <w:pPr>
              <w:widowControl w:val="0"/>
              <w:jc w:val="center"/>
              <w:rPr>
                <w:rFonts w:ascii="宋体" w:hAnsi="宋体" w:eastAsia="Times New Roman" w:cs="宋体"/>
                <w:color w:val="auto"/>
                <w:sz w:val="21"/>
                <w:szCs w:val="21"/>
              </w:rPr>
            </w:pPr>
          </w:p>
        </w:tc>
        <w:tc>
          <w:tcPr>
            <w:tcW w:w="489" w:type="pct"/>
            <w:vAlign w:val="center"/>
          </w:tcPr>
          <w:p w14:paraId="4150AFA8">
            <w:pPr>
              <w:widowControl w:val="0"/>
              <w:jc w:val="center"/>
              <w:rPr>
                <w:rFonts w:eastAsia="Times New Roman"/>
                <w:color w:val="auto"/>
                <w:sz w:val="21"/>
                <w:szCs w:val="21"/>
              </w:rPr>
            </w:pPr>
            <w:r>
              <w:rPr>
                <w:rFonts w:eastAsia="Times New Roman"/>
                <w:color w:val="auto"/>
                <w:sz w:val="21"/>
                <w:szCs w:val="21"/>
              </w:rPr>
              <w:t>TDS</w:t>
            </w:r>
          </w:p>
        </w:tc>
        <w:tc>
          <w:tcPr>
            <w:tcW w:w="406" w:type="pct"/>
            <w:vMerge w:val="continue"/>
            <w:vAlign w:val="center"/>
          </w:tcPr>
          <w:p w14:paraId="4F6F851D">
            <w:pPr>
              <w:widowControl w:val="0"/>
              <w:jc w:val="center"/>
              <w:rPr>
                <w:rFonts w:ascii="宋体" w:hAnsi="宋体" w:eastAsia="Times New Roman" w:cs="宋体"/>
                <w:color w:val="auto"/>
                <w:sz w:val="21"/>
                <w:szCs w:val="21"/>
              </w:rPr>
            </w:pPr>
          </w:p>
        </w:tc>
        <w:tc>
          <w:tcPr>
            <w:tcW w:w="571" w:type="pct"/>
            <w:vMerge w:val="continue"/>
            <w:vAlign w:val="center"/>
          </w:tcPr>
          <w:p w14:paraId="04529583">
            <w:pPr>
              <w:widowControl w:val="0"/>
              <w:jc w:val="center"/>
              <w:rPr>
                <w:rFonts w:eastAsia="Times New Roman"/>
                <w:color w:val="auto"/>
                <w:sz w:val="21"/>
                <w:szCs w:val="21"/>
              </w:rPr>
            </w:pPr>
          </w:p>
        </w:tc>
        <w:tc>
          <w:tcPr>
            <w:tcW w:w="569" w:type="pct"/>
            <w:vAlign w:val="center"/>
          </w:tcPr>
          <w:p w14:paraId="6F3E6C3F">
            <w:pPr>
              <w:widowControl w:val="0"/>
              <w:jc w:val="center"/>
              <w:rPr>
                <w:rFonts w:eastAsia="Times New Roman"/>
                <w:color w:val="auto"/>
                <w:sz w:val="21"/>
                <w:szCs w:val="21"/>
              </w:rPr>
            </w:pPr>
            <w:r>
              <w:rPr>
                <w:rFonts w:eastAsia="Times New Roman"/>
                <w:color w:val="auto"/>
                <w:sz w:val="21"/>
                <w:szCs w:val="21"/>
              </w:rPr>
              <w:t>150</w:t>
            </w:r>
          </w:p>
        </w:tc>
        <w:tc>
          <w:tcPr>
            <w:tcW w:w="489" w:type="pct"/>
            <w:vAlign w:val="center"/>
          </w:tcPr>
          <w:p w14:paraId="48CBACCA">
            <w:pPr>
              <w:widowControl w:val="0"/>
              <w:jc w:val="center"/>
              <w:rPr>
                <w:rFonts w:eastAsia="Times New Roman"/>
                <w:color w:val="auto"/>
                <w:sz w:val="21"/>
                <w:szCs w:val="21"/>
              </w:rPr>
            </w:pPr>
            <w:r>
              <w:rPr>
                <w:rFonts w:eastAsia="Times New Roman"/>
                <w:color w:val="auto"/>
                <w:sz w:val="21"/>
                <w:szCs w:val="21"/>
              </w:rPr>
              <w:t>2.03</w:t>
            </w:r>
          </w:p>
        </w:tc>
        <w:tc>
          <w:tcPr>
            <w:tcW w:w="487" w:type="pct"/>
            <w:vAlign w:val="center"/>
          </w:tcPr>
          <w:p w14:paraId="48B09D9F">
            <w:pPr>
              <w:widowControl w:val="0"/>
              <w:jc w:val="center"/>
              <w:rPr>
                <w:rFonts w:eastAsia="Times New Roman"/>
                <w:color w:val="auto"/>
                <w:sz w:val="21"/>
                <w:szCs w:val="21"/>
              </w:rPr>
            </w:pPr>
            <w:r>
              <w:rPr>
                <w:rFonts w:eastAsia="Times New Roman"/>
                <w:color w:val="auto"/>
                <w:sz w:val="21"/>
                <w:szCs w:val="21"/>
              </w:rPr>
              <w:t>16.25</w:t>
            </w:r>
          </w:p>
        </w:tc>
        <w:tc>
          <w:tcPr>
            <w:tcW w:w="673" w:type="pct"/>
            <w:vMerge w:val="continue"/>
            <w:vAlign w:val="center"/>
          </w:tcPr>
          <w:p w14:paraId="3A9BA73E">
            <w:pPr>
              <w:widowControl w:val="0"/>
              <w:jc w:val="center"/>
              <w:rPr>
                <w:rFonts w:ascii="宋体" w:hAnsi="宋体" w:eastAsia="Times New Roman" w:cs="宋体"/>
                <w:color w:val="auto"/>
                <w:sz w:val="21"/>
                <w:szCs w:val="21"/>
              </w:rPr>
            </w:pPr>
          </w:p>
        </w:tc>
        <w:tc>
          <w:tcPr>
            <w:tcW w:w="345" w:type="pct"/>
            <w:vMerge w:val="continue"/>
            <w:vAlign w:val="center"/>
          </w:tcPr>
          <w:p w14:paraId="006BBE22">
            <w:pPr>
              <w:widowControl w:val="0"/>
              <w:jc w:val="center"/>
              <w:rPr>
                <w:rFonts w:ascii="宋体" w:hAnsi="宋体" w:eastAsia="Times New Roman" w:cs="宋体"/>
                <w:color w:val="auto"/>
                <w:sz w:val="21"/>
                <w:szCs w:val="21"/>
              </w:rPr>
            </w:pPr>
          </w:p>
        </w:tc>
      </w:tr>
      <w:tr w14:paraId="2854AE5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restart"/>
            <w:vAlign w:val="center"/>
          </w:tcPr>
          <w:p w14:paraId="36B1E30B">
            <w:pPr>
              <w:widowControl w:val="0"/>
              <w:jc w:val="center"/>
              <w:rPr>
                <w:rFonts w:eastAsia="Times New Roman"/>
                <w:color w:val="auto"/>
                <w:sz w:val="21"/>
                <w:szCs w:val="21"/>
              </w:rPr>
            </w:pPr>
            <w:r>
              <w:rPr>
                <w:rFonts w:eastAsia="Times New Roman"/>
                <w:color w:val="auto"/>
                <w:sz w:val="21"/>
                <w:szCs w:val="21"/>
              </w:rPr>
              <w:t>W</w:t>
            </w:r>
            <w:r>
              <w:rPr>
                <w:rFonts w:eastAsia="Times New Roman"/>
                <w:color w:val="auto"/>
                <w:sz w:val="21"/>
                <w:szCs w:val="21"/>
                <w:vertAlign w:val="subscript"/>
              </w:rPr>
              <w:t>5</w:t>
            </w:r>
          </w:p>
        </w:tc>
        <w:tc>
          <w:tcPr>
            <w:tcW w:w="732" w:type="pct"/>
            <w:vMerge w:val="restart"/>
            <w:vAlign w:val="center"/>
          </w:tcPr>
          <w:p w14:paraId="615FED3E">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水铝石蒸发冷凝水</w:t>
            </w:r>
          </w:p>
        </w:tc>
        <w:tc>
          <w:tcPr>
            <w:tcW w:w="489" w:type="pct"/>
            <w:vAlign w:val="center"/>
          </w:tcPr>
          <w:p w14:paraId="381D51F8">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57DE66E4">
            <w:pPr>
              <w:widowControl w:val="0"/>
              <w:jc w:val="center"/>
              <w:rPr>
                <w:rFonts w:ascii="宋体" w:hAnsi="宋体" w:eastAsia="Times New Roman" w:cs="宋体"/>
                <w:color w:val="auto"/>
                <w:sz w:val="21"/>
                <w:szCs w:val="21"/>
              </w:rPr>
            </w:pPr>
            <w:r>
              <w:rPr>
                <w:rFonts w:hint="eastAsia" w:ascii="宋体" w:hAnsi="宋体" w:cs="宋体" w:eastAsiaTheme="minorEastAsia"/>
                <w:color w:val="auto"/>
                <w:sz w:val="21"/>
                <w:szCs w:val="21"/>
              </w:rPr>
              <w:t>类比法</w:t>
            </w:r>
          </w:p>
        </w:tc>
        <w:tc>
          <w:tcPr>
            <w:tcW w:w="571" w:type="pct"/>
            <w:vMerge w:val="restart"/>
            <w:vAlign w:val="center"/>
          </w:tcPr>
          <w:p w14:paraId="0A1E23D4">
            <w:pPr>
              <w:widowControl w:val="0"/>
              <w:jc w:val="center"/>
              <w:rPr>
                <w:rFonts w:eastAsia="Times New Roman"/>
                <w:color w:val="auto"/>
                <w:sz w:val="21"/>
                <w:szCs w:val="21"/>
              </w:rPr>
            </w:pPr>
            <w:r>
              <w:rPr>
                <w:rFonts w:eastAsia="Times New Roman"/>
                <w:color w:val="auto"/>
                <w:sz w:val="21"/>
                <w:szCs w:val="21"/>
              </w:rPr>
              <w:t>1.58</w:t>
            </w:r>
          </w:p>
        </w:tc>
        <w:tc>
          <w:tcPr>
            <w:tcW w:w="569" w:type="pct"/>
            <w:vAlign w:val="center"/>
          </w:tcPr>
          <w:p w14:paraId="41513E2D">
            <w:pPr>
              <w:widowControl w:val="0"/>
              <w:jc w:val="center"/>
              <w:rPr>
                <w:rFonts w:eastAsia="Times New Roman"/>
                <w:color w:val="auto"/>
                <w:sz w:val="21"/>
                <w:szCs w:val="21"/>
              </w:rPr>
            </w:pPr>
            <w:r>
              <w:rPr>
                <w:rFonts w:eastAsia="Times New Roman"/>
                <w:color w:val="auto"/>
                <w:sz w:val="21"/>
                <w:szCs w:val="21"/>
              </w:rPr>
              <w:t>20</w:t>
            </w:r>
          </w:p>
        </w:tc>
        <w:tc>
          <w:tcPr>
            <w:tcW w:w="489" w:type="pct"/>
            <w:vAlign w:val="center"/>
          </w:tcPr>
          <w:p w14:paraId="64CB2D18">
            <w:pPr>
              <w:widowControl w:val="0"/>
              <w:jc w:val="center"/>
              <w:rPr>
                <w:rFonts w:eastAsia="Times New Roman"/>
                <w:color w:val="auto"/>
                <w:sz w:val="21"/>
                <w:szCs w:val="21"/>
              </w:rPr>
            </w:pPr>
            <w:r>
              <w:rPr>
                <w:rFonts w:eastAsia="Times New Roman"/>
                <w:color w:val="auto"/>
                <w:sz w:val="21"/>
                <w:szCs w:val="21"/>
              </w:rPr>
              <w:t>0.03</w:t>
            </w:r>
          </w:p>
        </w:tc>
        <w:tc>
          <w:tcPr>
            <w:tcW w:w="487" w:type="pct"/>
            <w:vAlign w:val="center"/>
          </w:tcPr>
          <w:p w14:paraId="618DEF5F">
            <w:pPr>
              <w:widowControl w:val="0"/>
              <w:jc w:val="center"/>
              <w:rPr>
                <w:rFonts w:eastAsia="Times New Roman"/>
                <w:color w:val="auto"/>
                <w:sz w:val="21"/>
                <w:szCs w:val="21"/>
              </w:rPr>
            </w:pPr>
            <w:r>
              <w:rPr>
                <w:rFonts w:eastAsia="Times New Roman"/>
                <w:color w:val="auto"/>
                <w:sz w:val="21"/>
                <w:szCs w:val="21"/>
              </w:rPr>
              <w:t>0.25</w:t>
            </w:r>
          </w:p>
        </w:tc>
        <w:tc>
          <w:tcPr>
            <w:tcW w:w="673" w:type="pct"/>
            <w:vMerge w:val="continue"/>
            <w:vAlign w:val="center"/>
          </w:tcPr>
          <w:p w14:paraId="1D2500CE">
            <w:pPr>
              <w:widowControl w:val="0"/>
              <w:jc w:val="center"/>
              <w:rPr>
                <w:rFonts w:ascii="宋体" w:hAnsi="宋体" w:eastAsia="Times New Roman" w:cs="宋体"/>
                <w:color w:val="auto"/>
                <w:sz w:val="21"/>
                <w:szCs w:val="21"/>
              </w:rPr>
            </w:pPr>
          </w:p>
        </w:tc>
        <w:tc>
          <w:tcPr>
            <w:tcW w:w="345" w:type="pct"/>
            <w:vMerge w:val="restart"/>
            <w:vAlign w:val="center"/>
          </w:tcPr>
          <w:p w14:paraId="2F9CAAE4">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76DCA98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53B029D3">
            <w:pPr>
              <w:widowControl w:val="0"/>
              <w:jc w:val="center"/>
              <w:rPr>
                <w:rFonts w:eastAsia="Times New Roman"/>
                <w:color w:val="auto"/>
                <w:sz w:val="21"/>
                <w:szCs w:val="21"/>
              </w:rPr>
            </w:pPr>
          </w:p>
        </w:tc>
        <w:tc>
          <w:tcPr>
            <w:tcW w:w="732" w:type="pct"/>
            <w:vMerge w:val="continue"/>
            <w:vAlign w:val="center"/>
          </w:tcPr>
          <w:p w14:paraId="284159AC">
            <w:pPr>
              <w:widowControl w:val="0"/>
              <w:jc w:val="center"/>
              <w:rPr>
                <w:rFonts w:ascii="宋体" w:hAnsi="宋体" w:eastAsia="Times New Roman" w:cs="宋体"/>
                <w:color w:val="auto"/>
                <w:sz w:val="21"/>
                <w:szCs w:val="21"/>
              </w:rPr>
            </w:pPr>
          </w:p>
        </w:tc>
        <w:tc>
          <w:tcPr>
            <w:tcW w:w="489" w:type="pct"/>
            <w:vAlign w:val="center"/>
          </w:tcPr>
          <w:p w14:paraId="6E19E30A">
            <w:pPr>
              <w:widowControl w:val="0"/>
              <w:jc w:val="center"/>
              <w:rPr>
                <w:rFonts w:eastAsia="Times New Roman"/>
                <w:color w:val="auto"/>
                <w:sz w:val="21"/>
                <w:szCs w:val="21"/>
              </w:rPr>
            </w:pPr>
            <w:r>
              <w:rPr>
                <w:rFonts w:eastAsia="Times New Roman"/>
                <w:color w:val="auto"/>
                <w:sz w:val="21"/>
                <w:szCs w:val="21"/>
              </w:rPr>
              <w:t>TDS</w:t>
            </w:r>
          </w:p>
        </w:tc>
        <w:tc>
          <w:tcPr>
            <w:tcW w:w="406" w:type="pct"/>
            <w:vMerge w:val="continue"/>
            <w:vAlign w:val="center"/>
          </w:tcPr>
          <w:p w14:paraId="7227E261">
            <w:pPr>
              <w:widowControl w:val="0"/>
              <w:jc w:val="center"/>
              <w:rPr>
                <w:rFonts w:ascii="宋体" w:hAnsi="宋体" w:eastAsia="Times New Roman" w:cs="宋体"/>
                <w:color w:val="auto"/>
                <w:sz w:val="21"/>
                <w:szCs w:val="21"/>
              </w:rPr>
            </w:pPr>
          </w:p>
        </w:tc>
        <w:tc>
          <w:tcPr>
            <w:tcW w:w="571" w:type="pct"/>
            <w:vMerge w:val="continue"/>
            <w:vAlign w:val="center"/>
          </w:tcPr>
          <w:p w14:paraId="7F2484DE">
            <w:pPr>
              <w:widowControl w:val="0"/>
              <w:jc w:val="center"/>
              <w:rPr>
                <w:rFonts w:eastAsia="Times New Roman"/>
                <w:color w:val="auto"/>
                <w:sz w:val="21"/>
                <w:szCs w:val="21"/>
              </w:rPr>
            </w:pPr>
          </w:p>
        </w:tc>
        <w:tc>
          <w:tcPr>
            <w:tcW w:w="569" w:type="pct"/>
            <w:vAlign w:val="center"/>
          </w:tcPr>
          <w:p w14:paraId="370A2C90">
            <w:pPr>
              <w:widowControl w:val="0"/>
              <w:jc w:val="center"/>
              <w:rPr>
                <w:rFonts w:eastAsia="Times New Roman"/>
                <w:color w:val="auto"/>
                <w:sz w:val="21"/>
                <w:szCs w:val="21"/>
              </w:rPr>
            </w:pPr>
            <w:r>
              <w:rPr>
                <w:rFonts w:eastAsia="Times New Roman"/>
                <w:color w:val="auto"/>
                <w:sz w:val="21"/>
                <w:szCs w:val="21"/>
              </w:rPr>
              <w:t>150</w:t>
            </w:r>
          </w:p>
        </w:tc>
        <w:tc>
          <w:tcPr>
            <w:tcW w:w="489" w:type="pct"/>
            <w:vAlign w:val="center"/>
          </w:tcPr>
          <w:p w14:paraId="1C5C6A27">
            <w:pPr>
              <w:widowControl w:val="0"/>
              <w:jc w:val="center"/>
              <w:rPr>
                <w:rFonts w:eastAsia="Times New Roman"/>
                <w:color w:val="auto"/>
                <w:sz w:val="21"/>
                <w:szCs w:val="21"/>
              </w:rPr>
            </w:pPr>
            <w:r>
              <w:rPr>
                <w:rFonts w:eastAsia="Times New Roman"/>
                <w:color w:val="auto"/>
                <w:sz w:val="21"/>
                <w:szCs w:val="21"/>
              </w:rPr>
              <w:t>0.24</w:t>
            </w:r>
          </w:p>
        </w:tc>
        <w:tc>
          <w:tcPr>
            <w:tcW w:w="487" w:type="pct"/>
            <w:vAlign w:val="center"/>
          </w:tcPr>
          <w:p w14:paraId="20612BD8">
            <w:pPr>
              <w:widowControl w:val="0"/>
              <w:jc w:val="center"/>
              <w:rPr>
                <w:rFonts w:eastAsia="Times New Roman"/>
                <w:color w:val="auto"/>
                <w:sz w:val="21"/>
                <w:szCs w:val="21"/>
              </w:rPr>
            </w:pPr>
            <w:r>
              <w:rPr>
                <w:rFonts w:eastAsia="Times New Roman"/>
                <w:color w:val="auto"/>
                <w:sz w:val="21"/>
                <w:szCs w:val="21"/>
              </w:rPr>
              <w:t>1.90</w:t>
            </w:r>
          </w:p>
        </w:tc>
        <w:tc>
          <w:tcPr>
            <w:tcW w:w="673" w:type="pct"/>
            <w:vMerge w:val="continue"/>
            <w:vAlign w:val="center"/>
          </w:tcPr>
          <w:p w14:paraId="4ADBB07F">
            <w:pPr>
              <w:widowControl w:val="0"/>
              <w:jc w:val="center"/>
              <w:rPr>
                <w:rFonts w:ascii="宋体" w:hAnsi="宋体" w:eastAsia="Times New Roman" w:cs="宋体"/>
                <w:color w:val="auto"/>
                <w:sz w:val="21"/>
                <w:szCs w:val="21"/>
              </w:rPr>
            </w:pPr>
          </w:p>
        </w:tc>
        <w:tc>
          <w:tcPr>
            <w:tcW w:w="345" w:type="pct"/>
            <w:vMerge w:val="continue"/>
            <w:vAlign w:val="center"/>
          </w:tcPr>
          <w:p w14:paraId="690EC65C">
            <w:pPr>
              <w:widowControl w:val="0"/>
              <w:jc w:val="center"/>
              <w:rPr>
                <w:rFonts w:ascii="宋体" w:hAnsi="宋体" w:eastAsia="Times New Roman" w:cs="宋体"/>
                <w:color w:val="auto"/>
                <w:sz w:val="21"/>
                <w:szCs w:val="21"/>
              </w:rPr>
            </w:pPr>
          </w:p>
        </w:tc>
      </w:tr>
      <w:tr w14:paraId="45C91EC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30" w:hRule="atLeast"/>
        </w:trPr>
        <w:tc>
          <w:tcPr>
            <w:tcW w:w="239" w:type="pct"/>
            <w:vMerge w:val="restart"/>
            <w:vAlign w:val="center"/>
          </w:tcPr>
          <w:p w14:paraId="0A60DF1D">
            <w:pPr>
              <w:widowControl w:val="0"/>
              <w:jc w:val="center"/>
              <w:rPr>
                <w:rFonts w:eastAsia="Times New Roman"/>
                <w:color w:val="auto"/>
                <w:sz w:val="21"/>
                <w:szCs w:val="21"/>
              </w:rPr>
            </w:pPr>
            <w:r>
              <w:rPr>
                <w:rFonts w:eastAsia="Times New Roman"/>
                <w:color w:val="auto"/>
                <w:sz w:val="21"/>
                <w:szCs w:val="21"/>
              </w:rPr>
              <w:t>W</w:t>
            </w:r>
            <w:r>
              <w:rPr>
                <w:rFonts w:eastAsia="Times New Roman"/>
                <w:color w:val="auto"/>
                <w:sz w:val="21"/>
                <w:szCs w:val="21"/>
                <w:vertAlign w:val="subscript"/>
              </w:rPr>
              <w:t>6</w:t>
            </w:r>
          </w:p>
        </w:tc>
        <w:tc>
          <w:tcPr>
            <w:tcW w:w="732" w:type="pct"/>
            <w:vMerge w:val="restart"/>
            <w:vAlign w:val="center"/>
          </w:tcPr>
          <w:p w14:paraId="415C1634">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氢氧化钠浓缩冷凝水</w:t>
            </w:r>
          </w:p>
        </w:tc>
        <w:tc>
          <w:tcPr>
            <w:tcW w:w="489" w:type="pct"/>
            <w:vAlign w:val="center"/>
          </w:tcPr>
          <w:p w14:paraId="04CCAB5A">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3AD642BC">
            <w:pPr>
              <w:widowControl w:val="0"/>
              <w:jc w:val="center"/>
              <w:rPr>
                <w:rFonts w:ascii="宋体" w:hAnsi="宋体" w:eastAsia="Times New Roman" w:cs="宋体"/>
                <w:color w:val="auto"/>
                <w:sz w:val="21"/>
                <w:szCs w:val="21"/>
              </w:rPr>
            </w:pPr>
            <w:r>
              <w:rPr>
                <w:rFonts w:hint="eastAsia" w:ascii="宋体" w:hAnsi="宋体" w:cs="宋体" w:eastAsiaTheme="minorEastAsia"/>
                <w:color w:val="auto"/>
                <w:sz w:val="21"/>
                <w:szCs w:val="21"/>
              </w:rPr>
              <w:t>类比法</w:t>
            </w:r>
          </w:p>
        </w:tc>
        <w:tc>
          <w:tcPr>
            <w:tcW w:w="571" w:type="pct"/>
            <w:vMerge w:val="restart"/>
            <w:vAlign w:val="center"/>
          </w:tcPr>
          <w:p w14:paraId="48CAF220">
            <w:pPr>
              <w:widowControl w:val="0"/>
              <w:jc w:val="center"/>
              <w:rPr>
                <w:rFonts w:eastAsia="Times New Roman"/>
                <w:color w:val="auto"/>
                <w:sz w:val="21"/>
                <w:szCs w:val="21"/>
              </w:rPr>
            </w:pPr>
            <w:r>
              <w:rPr>
                <w:rFonts w:eastAsia="Times New Roman"/>
                <w:color w:val="auto"/>
                <w:sz w:val="21"/>
                <w:szCs w:val="21"/>
              </w:rPr>
              <w:t>4.95</w:t>
            </w:r>
          </w:p>
        </w:tc>
        <w:tc>
          <w:tcPr>
            <w:tcW w:w="569" w:type="pct"/>
            <w:vAlign w:val="center"/>
          </w:tcPr>
          <w:p w14:paraId="2CB78892">
            <w:pPr>
              <w:widowControl w:val="0"/>
              <w:jc w:val="center"/>
              <w:rPr>
                <w:rFonts w:eastAsia="Times New Roman"/>
                <w:color w:val="auto"/>
                <w:sz w:val="21"/>
                <w:szCs w:val="21"/>
              </w:rPr>
            </w:pPr>
            <w:r>
              <w:rPr>
                <w:rFonts w:eastAsia="Times New Roman"/>
                <w:color w:val="auto"/>
                <w:sz w:val="21"/>
                <w:szCs w:val="21"/>
              </w:rPr>
              <w:t>20</w:t>
            </w:r>
          </w:p>
        </w:tc>
        <w:tc>
          <w:tcPr>
            <w:tcW w:w="489" w:type="pct"/>
            <w:vAlign w:val="center"/>
          </w:tcPr>
          <w:p w14:paraId="17FF25CE">
            <w:pPr>
              <w:widowControl w:val="0"/>
              <w:jc w:val="center"/>
              <w:rPr>
                <w:rFonts w:eastAsia="Times New Roman"/>
                <w:color w:val="auto"/>
                <w:sz w:val="21"/>
                <w:szCs w:val="21"/>
              </w:rPr>
            </w:pPr>
            <w:r>
              <w:rPr>
                <w:rFonts w:eastAsia="Times New Roman"/>
                <w:color w:val="auto"/>
                <w:sz w:val="21"/>
                <w:szCs w:val="21"/>
              </w:rPr>
              <w:t>0.10</w:t>
            </w:r>
          </w:p>
        </w:tc>
        <w:tc>
          <w:tcPr>
            <w:tcW w:w="487" w:type="pct"/>
            <w:vAlign w:val="center"/>
          </w:tcPr>
          <w:p w14:paraId="3259FE5E">
            <w:pPr>
              <w:widowControl w:val="0"/>
              <w:jc w:val="center"/>
              <w:rPr>
                <w:rFonts w:eastAsia="Times New Roman"/>
                <w:color w:val="auto"/>
                <w:sz w:val="21"/>
                <w:szCs w:val="21"/>
              </w:rPr>
            </w:pPr>
            <w:r>
              <w:rPr>
                <w:rFonts w:eastAsia="Times New Roman"/>
                <w:color w:val="auto"/>
                <w:sz w:val="21"/>
                <w:szCs w:val="21"/>
              </w:rPr>
              <w:t>0.79</w:t>
            </w:r>
          </w:p>
        </w:tc>
        <w:tc>
          <w:tcPr>
            <w:tcW w:w="673" w:type="pct"/>
            <w:vMerge w:val="continue"/>
            <w:vAlign w:val="center"/>
          </w:tcPr>
          <w:p w14:paraId="41802E45">
            <w:pPr>
              <w:widowControl w:val="0"/>
              <w:jc w:val="center"/>
              <w:rPr>
                <w:rFonts w:ascii="宋体" w:hAnsi="宋体" w:eastAsia="Times New Roman" w:cs="宋体"/>
                <w:color w:val="auto"/>
                <w:sz w:val="21"/>
                <w:szCs w:val="21"/>
              </w:rPr>
            </w:pPr>
          </w:p>
        </w:tc>
        <w:tc>
          <w:tcPr>
            <w:tcW w:w="345" w:type="pct"/>
            <w:vMerge w:val="restart"/>
            <w:vAlign w:val="center"/>
          </w:tcPr>
          <w:p w14:paraId="6D7BE9E6">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0EE15DC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4FAEACCE">
            <w:pPr>
              <w:widowControl w:val="0"/>
              <w:jc w:val="center"/>
              <w:rPr>
                <w:rFonts w:eastAsia="Times New Roman"/>
                <w:color w:val="auto"/>
                <w:sz w:val="21"/>
                <w:szCs w:val="21"/>
              </w:rPr>
            </w:pPr>
          </w:p>
        </w:tc>
        <w:tc>
          <w:tcPr>
            <w:tcW w:w="732" w:type="pct"/>
            <w:vMerge w:val="continue"/>
            <w:vAlign w:val="center"/>
          </w:tcPr>
          <w:p w14:paraId="7B2845FB">
            <w:pPr>
              <w:widowControl w:val="0"/>
              <w:jc w:val="center"/>
              <w:rPr>
                <w:rFonts w:ascii="宋体" w:hAnsi="宋体" w:eastAsia="Times New Roman" w:cs="宋体"/>
                <w:color w:val="auto"/>
                <w:sz w:val="21"/>
                <w:szCs w:val="21"/>
              </w:rPr>
            </w:pPr>
          </w:p>
        </w:tc>
        <w:tc>
          <w:tcPr>
            <w:tcW w:w="489" w:type="pct"/>
            <w:vAlign w:val="center"/>
          </w:tcPr>
          <w:p w14:paraId="5311A4A5">
            <w:pPr>
              <w:widowControl w:val="0"/>
              <w:jc w:val="center"/>
              <w:rPr>
                <w:rFonts w:eastAsia="Times New Roman"/>
                <w:color w:val="auto"/>
                <w:sz w:val="21"/>
                <w:szCs w:val="21"/>
              </w:rPr>
            </w:pPr>
            <w:r>
              <w:rPr>
                <w:rFonts w:eastAsia="Times New Roman"/>
                <w:color w:val="auto"/>
                <w:sz w:val="21"/>
                <w:szCs w:val="21"/>
              </w:rPr>
              <w:t>TDS</w:t>
            </w:r>
          </w:p>
        </w:tc>
        <w:tc>
          <w:tcPr>
            <w:tcW w:w="406" w:type="pct"/>
            <w:vMerge w:val="continue"/>
            <w:vAlign w:val="center"/>
          </w:tcPr>
          <w:p w14:paraId="66E62E86">
            <w:pPr>
              <w:widowControl w:val="0"/>
              <w:jc w:val="center"/>
              <w:rPr>
                <w:rFonts w:ascii="宋体" w:hAnsi="宋体" w:eastAsia="Times New Roman" w:cs="宋体"/>
                <w:color w:val="auto"/>
                <w:sz w:val="21"/>
                <w:szCs w:val="21"/>
              </w:rPr>
            </w:pPr>
          </w:p>
        </w:tc>
        <w:tc>
          <w:tcPr>
            <w:tcW w:w="571" w:type="pct"/>
            <w:vMerge w:val="continue"/>
            <w:vAlign w:val="center"/>
          </w:tcPr>
          <w:p w14:paraId="2793A9B1">
            <w:pPr>
              <w:widowControl w:val="0"/>
              <w:jc w:val="center"/>
              <w:rPr>
                <w:rFonts w:eastAsia="Times New Roman"/>
                <w:color w:val="auto"/>
                <w:sz w:val="21"/>
                <w:szCs w:val="21"/>
              </w:rPr>
            </w:pPr>
          </w:p>
        </w:tc>
        <w:tc>
          <w:tcPr>
            <w:tcW w:w="569" w:type="pct"/>
            <w:vAlign w:val="center"/>
          </w:tcPr>
          <w:p w14:paraId="66E1AB10">
            <w:pPr>
              <w:widowControl w:val="0"/>
              <w:jc w:val="center"/>
              <w:rPr>
                <w:rFonts w:eastAsia="Times New Roman"/>
                <w:color w:val="auto"/>
                <w:sz w:val="21"/>
                <w:szCs w:val="21"/>
              </w:rPr>
            </w:pPr>
            <w:r>
              <w:rPr>
                <w:rFonts w:eastAsia="Times New Roman"/>
                <w:color w:val="auto"/>
                <w:sz w:val="21"/>
                <w:szCs w:val="21"/>
              </w:rPr>
              <w:t>150</w:t>
            </w:r>
          </w:p>
        </w:tc>
        <w:tc>
          <w:tcPr>
            <w:tcW w:w="489" w:type="pct"/>
            <w:vAlign w:val="center"/>
          </w:tcPr>
          <w:p w14:paraId="7A6C74C1">
            <w:pPr>
              <w:widowControl w:val="0"/>
              <w:jc w:val="center"/>
              <w:rPr>
                <w:rFonts w:eastAsia="Times New Roman"/>
                <w:color w:val="auto"/>
                <w:sz w:val="21"/>
                <w:szCs w:val="21"/>
              </w:rPr>
            </w:pPr>
            <w:r>
              <w:rPr>
                <w:rFonts w:eastAsia="Times New Roman"/>
                <w:color w:val="auto"/>
                <w:sz w:val="21"/>
                <w:szCs w:val="21"/>
              </w:rPr>
              <w:t>0.74</w:t>
            </w:r>
          </w:p>
        </w:tc>
        <w:tc>
          <w:tcPr>
            <w:tcW w:w="487" w:type="pct"/>
            <w:vAlign w:val="center"/>
          </w:tcPr>
          <w:p w14:paraId="2DC7F831">
            <w:pPr>
              <w:widowControl w:val="0"/>
              <w:jc w:val="center"/>
              <w:rPr>
                <w:rFonts w:eastAsia="Times New Roman"/>
                <w:color w:val="auto"/>
                <w:sz w:val="21"/>
                <w:szCs w:val="21"/>
              </w:rPr>
            </w:pPr>
            <w:r>
              <w:rPr>
                <w:rFonts w:eastAsia="Times New Roman"/>
                <w:color w:val="auto"/>
                <w:sz w:val="21"/>
                <w:szCs w:val="21"/>
              </w:rPr>
              <w:t>5.94</w:t>
            </w:r>
          </w:p>
        </w:tc>
        <w:tc>
          <w:tcPr>
            <w:tcW w:w="673" w:type="pct"/>
            <w:vMerge w:val="continue"/>
            <w:vAlign w:val="center"/>
          </w:tcPr>
          <w:p w14:paraId="6B892ED0">
            <w:pPr>
              <w:widowControl w:val="0"/>
              <w:jc w:val="center"/>
              <w:rPr>
                <w:rFonts w:ascii="宋体" w:hAnsi="宋体" w:eastAsia="Times New Roman" w:cs="宋体"/>
                <w:color w:val="auto"/>
                <w:sz w:val="21"/>
                <w:szCs w:val="21"/>
              </w:rPr>
            </w:pPr>
          </w:p>
        </w:tc>
        <w:tc>
          <w:tcPr>
            <w:tcW w:w="345" w:type="pct"/>
            <w:vMerge w:val="continue"/>
            <w:vAlign w:val="center"/>
          </w:tcPr>
          <w:p w14:paraId="08D5D88D">
            <w:pPr>
              <w:widowControl w:val="0"/>
              <w:jc w:val="center"/>
              <w:rPr>
                <w:rFonts w:ascii="宋体" w:hAnsi="宋体" w:eastAsia="Times New Roman" w:cs="宋体"/>
                <w:color w:val="auto"/>
                <w:sz w:val="21"/>
                <w:szCs w:val="21"/>
              </w:rPr>
            </w:pPr>
          </w:p>
        </w:tc>
      </w:tr>
      <w:tr w14:paraId="3E19545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restart"/>
            <w:vAlign w:val="center"/>
          </w:tcPr>
          <w:p w14:paraId="76D7A336">
            <w:pPr>
              <w:widowControl w:val="0"/>
              <w:jc w:val="center"/>
              <w:rPr>
                <w:rFonts w:eastAsia="Times New Roman"/>
                <w:color w:val="auto"/>
                <w:sz w:val="21"/>
                <w:szCs w:val="21"/>
              </w:rPr>
            </w:pPr>
            <w:r>
              <w:rPr>
                <w:rFonts w:eastAsia="Times New Roman"/>
                <w:color w:val="auto"/>
                <w:sz w:val="21"/>
                <w:szCs w:val="21"/>
              </w:rPr>
              <w:t>W</w:t>
            </w:r>
            <w:r>
              <w:rPr>
                <w:rFonts w:eastAsia="Times New Roman"/>
                <w:color w:val="auto"/>
                <w:sz w:val="21"/>
                <w:szCs w:val="21"/>
                <w:vertAlign w:val="subscript"/>
              </w:rPr>
              <w:t>7</w:t>
            </w:r>
          </w:p>
        </w:tc>
        <w:tc>
          <w:tcPr>
            <w:tcW w:w="732" w:type="pct"/>
            <w:vMerge w:val="restart"/>
            <w:vAlign w:val="center"/>
          </w:tcPr>
          <w:p w14:paraId="499D3B7D">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循环冷却排污</w:t>
            </w:r>
          </w:p>
        </w:tc>
        <w:tc>
          <w:tcPr>
            <w:tcW w:w="489" w:type="pct"/>
            <w:vAlign w:val="center"/>
          </w:tcPr>
          <w:p w14:paraId="30000167">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0B42A1D7">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类比法</w:t>
            </w:r>
          </w:p>
        </w:tc>
        <w:tc>
          <w:tcPr>
            <w:tcW w:w="571" w:type="pct"/>
            <w:vMerge w:val="restart"/>
            <w:vAlign w:val="center"/>
          </w:tcPr>
          <w:p w14:paraId="16476B48">
            <w:pPr>
              <w:widowControl w:val="0"/>
              <w:jc w:val="center"/>
              <w:rPr>
                <w:rFonts w:eastAsia="Times New Roman"/>
                <w:color w:val="auto"/>
                <w:sz w:val="21"/>
                <w:szCs w:val="21"/>
              </w:rPr>
            </w:pPr>
            <w:r>
              <w:rPr>
                <w:rFonts w:eastAsia="Times New Roman"/>
                <w:color w:val="auto"/>
                <w:sz w:val="21"/>
                <w:szCs w:val="21"/>
              </w:rPr>
              <w:t>4.57</w:t>
            </w:r>
          </w:p>
        </w:tc>
        <w:tc>
          <w:tcPr>
            <w:tcW w:w="569" w:type="pct"/>
            <w:vAlign w:val="center"/>
          </w:tcPr>
          <w:p w14:paraId="4CEB6925">
            <w:pPr>
              <w:widowControl w:val="0"/>
              <w:jc w:val="center"/>
              <w:rPr>
                <w:rFonts w:eastAsia="Times New Roman"/>
                <w:color w:val="auto"/>
                <w:sz w:val="21"/>
                <w:szCs w:val="21"/>
              </w:rPr>
            </w:pPr>
            <w:r>
              <w:rPr>
                <w:rFonts w:eastAsia="Times New Roman"/>
                <w:color w:val="auto"/>
                <w:sz w:val="21"/>
                <w:szCs w:val="21"/>
              </w:rPr>
              <w:t>20</w:t>
            </w:r>
          </w:p>
        </w:tc>
        <w:tc>
          <w:tcPr>
            <w:tcW w:w="489" w:type="pct"/>
            <w:vAlign w:val="center"/>
          </w:tcPr>
          <w:p w14:paraId="7E2D8EEC">
            <w:pPr>
              <w:widowControl w:val="0"/>
              <w:jc w:val="center"/>
              <w:rPr>
                <w:rFonts w:eastAsia="Times New Roman"/>
                <w:color w:val="auto"/>
                <w:sz w:val="21"/>
                <w:szCs w:val="21"/>
              </w:rPr>
            </w:pPr>
            <w:r>
              <w:rPr>
                <w:rFonts w:eastAsia="Times New Roman"/>
                <w:color w:val="auto"/>
                <w:sz w:val="21"/>
                <w:szCs w:val="21"/>
              </w:rPr>
              <w:t>0.091</w:t>
            </w:r>
          </w:p>
        </w:tc>
        <w:tc>
          <w:tcPr>
            <w:tcW w:w="487" w:type="pct"/>
            <w:vAlign w:val="center"/>
          </w:tcPr>
          <w:p w14:paraId="34D0F5D0">
            <w:pPr>
              <w:widowControl w:val="0"/>
              <w:jc w:val="center"/>
              <w:rPr>
                <w:rFonts w:eastAsia="Times New Roman"/>
                <w:color w:val="auto"/>
                <w:sz w:val="21"/>
                <w:szCs w:val="21"/>
              </w:rPr>
            </w:pPr>
            <w:r>
              <w:rPr>
                <w:rFonts w:eastAsia="Times New Roman"/>
                <w:color w:val="auto"/>
                <w:sz w:val="21"/>
                <w:szCs w:val="21"/>
              </w:rPr>
              <w:t>0.731</w:t>
            </w:r>
          </w:p>
        </w:tc>
        <w:tc>
          <w:tcPr>
            <w:tcW w:w="673" w:type="pct"/>
            <w:vMerge w:val="restart"/>
            <w:vAlign w:val="center"/>
          </w:tcPr>
          <w:p w14:paraId="4F72ECA0">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送园区污水处理厂处理</w:t>
            </w:r>
          </w:p>
        </w:tc>
        <w:tc>
          <w:tcPr>
            <w:tcW w:w="345" w:type="pct"/>
            <w:vMerge w:val="restart"/>
            <w:vAlign w:val="center"/>
          </w:tcPr>
          <w:p w14:paraId="06EC9B95">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78A0573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6CC60DDC">
            <w:pPr>
              <w:widowControl w:val="0"/>
              <w:jc w:val="center"/>
              <w:rPr>
                <w:rFonts w:eastAsia="Times New Roman"/>
                <w:color w:val="auto"/>
                <w:sz w:val="21"/>
                <w:szCs w:val="21"/>
              </w:rPr>
            </w:pPr>
          </w:p>
        </w:tc>
        <w:tc>
          <w:tcPr>
            <w:tcW w:w="732" w:type="pct"/>
            <w:vMerge w:val="continue"/>
            <w:vAlign w:val="center"/>
          </w:tcPr>
          <w:p w14:paraId="050E92DB">
            <w:pPr>
              <w:widowControl w:val="0"/>
              <w:jc w:val="center"/>
              <w:rPr>
                <w:rFonts w:ascii="宋体" w:hAnsi="宋体" w:eastAsia="Times New Roman" w:cs="宋体"/>
                <w:color w:val="auto"/>
                <w:sz w:val="21"/>
                <w:szCs w:val="21"/>
              </w:rPr>
            </w:pPr>
          </w:p>
        </w:tc>
        <w:tc>
          <w:tcPr>
            <w:tcW w:w="489" w:type="pct"/>
            <w:vAlign w:val="center"/>
          </w:tcPr>
          <w:p w14:paraId="1B249E9F">
            <w:pPr>
              <w:widowControl w:val="0"/>
              <w:jc w:val="center"/>
              <w:rPr>
                <w:rFonts w:eastAsia="Times New Roman"/>
                <w:color w:val="auto"/>
                <w:sz w:val="21"/>
                <w:szCs w:val="21"/>
              </w:rPr>
            </w:pPr>
            <w:r>
              <w:rPr>
                <w:rFonts w:eastAsia="Times New Roman"/>
                <w:color w:val="auto"/>
                <w:sz w:val="21"/>
                <w:szCs w:val="21"/>
              </w:rPr>
              <w:t>TDS</w:t>
            </w:r>
          </w:p>
        </w:tc>
        <w:tc>
          <w:tcPr>
            <w:tcW w:w="406" w:type="pct"/>
            <w:vMerge w:val="continue"/>
            <w:vAlign w:val="center"/>
          </w:tcPr>
          <w:p w14:paraId="66E6030A">
            <w:pPr>
              <w:widowControl w:val="0"/>
              <w:jc w:val="center"/>
              <w:rPr>
                <w:rFonts w:ascii="宋体" w:hAnsi="宋体" w:eastAsia="Times New Roman" w:cs="宋体"/>
                <w:color w:val="auto"/>
                <w:sz w:val="21"/>
                <w:szCs w:val="21"/>
              </w:rPr>
            </w:pPr>
          </w:p>
        </w:tc>
        <w:tc>
          <w:tcPr>
            <w:tcW w:w="571" w:type="pct"/>
            <w:vMerge w:val="continue"/>
            <w:vAlign w:val="center"/>
          </w:tcPr>
          <w:p w14:paraId="210F8933">
            <w:pPr>
              <w:widowControl w:val="0"/>
              <w:jc w:val="center"/>
              <w:rPr>
                <w:rFonts w:eastAsia="Times New Roman"/>
                <w:color w:val="auto"/>
                <w:sz w:val="21"/>
                <w:szCs w:val="21"/>
              </w:rPr>
            </w:pPr>
          </w:p>
        </w:tc>
        <w:tc>
          <w:tcPr>
            <w:tcW w:w="569" w:type="pct"/>
            <w:vAlign w:val="center"/>
          </w:tcPr>
          <w:p w14:paraId="6C0F38F3">
            <w:pPr>
              <w:widowControl w:val="0"/>
              <w:jc w:val="center"/>
              <w:rPr>
                <w:rFonts w:eastAsia="Times New Roman"/>
                <w:color w:val="auto"/>
                <w:sz w:val="21"/>
                <w:szCs w:val="21"/>
              </w:rPr>
            </w:pPr>
            <w:r>
              <w:rPr>
                <w:rFonts w:eastAsia="Times New Roman"/>
                <w:color w:val="auto"/>
                <w:sz w:val="21"/>
                <w:szCs w:val="21"/>
              </w:rPr>
              <w:t>1500</w:t>
            </w:r>
          </w:p>
        </w:tc>
        <w:tc>
          <w:tcPr>
            <w:tcW w:w="489" w:type="pct"/>
            <w:vAlign w:val="center"/>
          </w:tcPr>
          <w:p w14:paraId="1F08B0CD">
            <w:pPr>
              <w:widowControl w:val="0"/>
              <w:jc w:val="center"/>
              <w:rPr>
                <w:rFonts w:eastAsia="Times New Roman"/>
                <w:color w:val="auto"/>
                <w:sz w:val="21"/>
                <w:szCs w:val="21"/>
              </w:rPr>
            </w:pPr>
            <w:r>
              <w:rPr>
                <w:rFonts w:eastAsia="Times New Roman"/>
                <w:color w:val="auto"/>
                <w:sz w:val="21"/>
                <w:szCs w:val="21"/>
              </w:rPr>
              <w:t>6.855</w:t>
            </w:r>
          </w:p>
        </w:tc>
        <w:tc>
          <w:tcPr>
            <w:tcW w:w="487" w:type="pct"/>
            <w:vAlign w:val="center"/>
          </w:tcPr>
          <w:p w14:paraId="2B7358F4">
            <w:pPr>
              <w:widowControl w:val="0"/>
              <w:jc w:val="center"/>
              <w:rPr>
                <w:rFonts w:eastAsia="Times New Roman"/>
                <w:color w:val="auto"/>
                <w:sz w:val="21"/>
                <w:szCs w:val="21"/>
              </w:rPr>
            </w:pPr>
            <w:r>
              <w:rPr>
                <w:rFonts w:eastAsia="Times New Roman"/>
                <w:color w:val="auto"/>
                <w:sz w:val="21"/>
                <w:szCs w:val="21"/>
              </w:rPr>
              <w:t>54.84</w:t>
            </w:r>
          </w:p>
        </w:tc>
        <w:tc>
          <w:tcPr>
            <w:tcW w:w="673" w:type="pct"/>
            <w:vMerge w:val="continue"/>
            <w:vAlign w:val="center"/>
          </w:tcPr>
          <w:p w14:paraId="03285020">
            <w:pPr>
              <w:widowControl w:val="0"/>
              <w:jc w:val="center"/>
              <w:rPr>
                <w:rFonts w:ascii="宋体" w:hAnsi="宋体" w:eastAsia="Times New Roman" w:cs="宋体"/>
                <w:color w:val="auto"/>
                <w:sz w:val="21"/>
                <w:szCs w:val="21"/>
              </w:rPr>
            </w:pPr>
          </w:p>
        </w:tc>
        <w:tc>
          <w:tcPr>
            <w:tcW w:w="345" w:type="pct"/>
            <w:vMerge w:val="continue"/>
            <w:vAlign w:val="center"/>
          </w:tcPr>
          <w:p w14:paraId="3C969A0A">
            <w:pPr>
              <w:widowControl w:val="0"/>
              <w:jc w:val="center"/>
              <w:rPr>
                <w:rFonts w:ascii="宋体" w:hAnsi="宋体" w:eastAsia="Times New Roman" w:cs="宋体"/>
                <w:color w:val="auto"/>
                <w:sz w:val="21"/>
                <w:szCs w:val="21"/>
              </w:rPr>
            </w:pPr>
          </w:p>
        </w:tc>
      </w:tr>
      <w:tr w14:paraId="3DD79B7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restart"/>
            <w:vAlign w:val="center"/>
          </w:tcPr>
          <w:p w14:paraId="3A3F9554">
            <w:pPr>
              <w:widowControl w:val="0"/>
              <w:jc w:val="center"/>
              <w:rPr>
                <w:rFonts w:eastAsia="Times New Roman"/>
                <w:color w:val="auto"/>
                <w:sz w:val="21"/>
                <w:szCs w:val="21"/>
              </w:rPr>
            </w:pPr>
            <w:r>
              <w:rPr>
                <w:rFonts w:eastAsia="Times New Roman"/>
                <w:color w:val="auto"/>
                <w:sz w:val="21"/>
                <w:szCs w:val="21"/>
              </w:rPr>
              <w:t>/</w:t>
            </w:r>
          </w:p>
        </w:tc>
        <w:tc>
          <w:tcPr>
            <w:tcW w:w="732" w:type="pct"/>
            <w:vMerge w:val="restart"/>
            <w:vAlign w:val="center"/>
          </w:tcPr>
          <w:p w14:paraId="34508D29">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锅炉排污水（备用）</w:t>
            </w:r>
          </w:p>
        </w:tc>
        <w:tc>
          <w:tcPr>
            <w:tcW w:w="489" w:type="pct"/>
            <w:vAlign w:val="center"/>
          </w:tcPr>
          <w:p w14:paraId="114428FA">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7EE4B271">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类比法</w:t>
            </w:r>
          </w:p>
        </w:tc>
        <w:tc>
          <w:tcPr>
            <w:tcW w:w="571" w:type="pct"/>
            <w:vMerge w:val="restart"/>
            <w:vAlign w:val="center"/>
          </w:tcPr>
          <w:p w14:paraId="269E9F06">
            <w:pPr>
              <w:widowControl w:val="0"/>
              <w:jc w:val="center"/>
              <w:rPr>
                <w:rFonts w:eastAsia="Times New Roman"/>
                <w:color w:val="auto"/>
                <w:sz w:val="21"/>
                <w:szCs w:val="21"/>
              </w:rPr>
            </w:pPr>
            <w:r>
              <w:rPr>
                <w:rFonts w:eastAsia="Times New Roman"/>
                <w:color w:val="auto"/>
                <w:sz w:val="21"/>
                <w:szCs w:val="21"/>
              </w:rPr>
              <w:t>0.8</w:t>
            </w:r>
          </w:p>
        </w:tc>
        <w:tc>
          <w:tcPr>
            <w:tcW w:w="569" w:type="pct"/>
            <w:vAlign w:val="center"/>
          </w:tcPr>
          <w:p w14:paraId="2E477A54">
            <w:pPr>
              <w:widowControl w:val="0"/>
              <w:jc w:val="center"/>
              <w:rPr>
                <w:rFonts w:eastAsia="Times New Roman"/>
                <w:color w:val="auto"/>
                <w:sz w:val="21"/>
                <w:szCs w:val="21"/>
              </w:rPr>
            </w:pPr>
            <w:r>
              <w:rPr>
                <w:rFonts w:eastAsia="Times New Roman"/>
                <w:color w:val="auto"/>
                <w:sz w:val="21"/>
                <w:szCs w:val="21"/>
              </w:rPr>
              <w:t>200</w:t>
            </w:r>
          </w:p>
        </w:tc>
        <w:tc>
          <w:tcPr>
            <w:tcW w:w="489" w:type="pct"/>
            <w:vAlign w:val="center"/>
          </w:tcPr>
          <w:p w14:paraId="072CB77E">
            <w:pPr>
              <w:widowControl w:val="0"/>
              <w:jc w:val="center"/>
              <w:rPr>
                <w:rFonts w:eastAsia="Times New Roman"/>
                <w:color w:val="auto"/>
                <w:sz w:val="21"/>
                <w:szCs w:val="21"/>
              </w:rPr>
            </w:pPr>
            <w:r>
              <w:rPr>
                <w:rFonts w:eastAsia="Times New Roman"/>
                <w:color w:val="auto"/>
                <w:sz w:val="21"/>
                <w:szCs w:val="21"/>
              </w:rPr>
              <w:t>0.160</w:t>
            </w:r>
          </w:p>
        </w:tc>
        <w:tc>
          <w:tcPr>
            <w:tcW w:w="487" w:type="pct"/>
            <w:vAlign w:val="center"/>
          </w:tcPr>
          <w:p w14:paraId="5988217B">
            <w:pPr>
              <w:widowControl w:val="0"/>
              <w:jc w:val="center"/>
              <w:rPr>
                <w:rFonts w:eastAsia="Times New Roman"/>
                <w:color w:val="auto"/>
                <w:sz w:val="21"/>
                <w:szCs w:val="21"/>
              </w:rPr>
            </w:pPr>
            <w:r>
              <w:rPr>
                <w:rFonts w:eastAsia="Times New Roman"/>
                <w:color w:val="auto"/>
                <w:sz w:val="21"/>
                <w:szCs w:val="21"/>
              </w:rPr>
              <w:t>1.280</w:t>
            </w:r>
          </w:p>
        </w:tc>
        <w:tc>
          <w:tcPr>
            <w:tcW w:w="673" w:type="pct"/>
            <w:vMerge w:val="continue"/>
            <w:vAlign w:val="center"/>
          </w:tcPr>
          <w:p w14:paraId="56795B2D">
            <w:pPr>
              <w:widowControl w:val="0"/>
              <w:jc w:val="center"/>
              <w:rPr>
                <w:rFonts w:ascii="宋体" w:hAnsi="宋体" w:eastAsia="Times New Roman" w:cs="宋体"/>
                <w:color w:val="auto"/>
                <w:sz w:val="21"/>
                <w:szCs w:val="21"/>
              </w:rPr>
            </w:pPr>
          </w:p>
        </w:tc>
        <w:tc>
          <w:tcPr>
            <w:tcW w:w="345" w:type="pct"/>
            <w:vMerge w:val="restart"/>
            <w:vAlign w:val="center"/>
          </w:tcPr>
          <w:p w14:paraId="08ABB1FB">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2575E4C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1374D1D2">
            <w:pPr>
              <w:widowControl w:val="0"/>
              <w:jc w:val="center"/>
              <w:rPr>
                <w:rFonts w:eastAsia="Times New Roman"/>
                <w:color w:val="auto"/>
                <w:sz w:val="21"/>
                <w:szCs w:val="21"/>
              </w:rPr>
            </w:pPr>
          </w:p>
        </w:tc>
        <w:tc>
          <w:tcPr>
            <w:tcW w:w="732" w:type="pct"/>
            <w:vMerge w:val="continue"/>
            <w:vAlign w:val="center"/>
          </w:tcPr>
          <w:p w14:paraId="03A21CBD">
            <w:pPr>
              <w:widowControl w:val="0"/>
              <w:jc w:val="center"/>
              <w:rPr>
                <w:rFonts w:ascii="宋体" w:hAnsi="宋体" w:eastAsia="Times New Roman" w:cs="宋体"/>
                <w:color w:val="auto"/>
                <w:sz w:val="21"/>
                <w:szCs w:val="21"/>
              </w:rPr>
            </w:pPr>
          </w:p>
        </w:tc>
        <w:tc>
          <w:tcPr>
            <w:tcW w:w="489" w:type="pct"/>
            <w:vAlign w:val="center"/>
          </w:tcPr>
          <w:p w14:paraId="7D354204">
            <w:pPr>
              <w:widowControl w:val="0"/>
              <w:jc w:val="center"/>
              <w:rPr>
                <w:rFonts w:eastAsia="Times New Roman"/>
                <w:color w:val="auto"/>
                <w:sz w:val="21"/>
                <w:szCs w:val="21"/>
              </w:rPr>
            </w:pPr>
            <w:r>
              <w:rPr>
                <w:rFonts w:eastAsia="Times New Roman"/>
                <w:color w:val="auto"/>
                <w:sz w:val="21"/>
                <w:szCs w:val="21"/>
              </w:rPr>
              <w:t>TDS</w:t>
            </w:r>
          </w:p>
        </w:tc>
        <w:tc>
          <w:tcPr>
            <w:tcW w:w="406" w:type="pct"/>
            <w:vMerge w:val="continue"/>
            <w:vAlign w:val="center"/>
          </w:tcPr>
          <w:p w14:paraId="7F329EF7">
            <w:pPr>
              <w:widowControl w:val="0"/>
              <w:jc w:val="center"/>
              <w:rPr>
                <w:rFonts w:ascii="宋体" w:hAnsi="宋体" w:eastAsia="Times New Roman" w:cs="宋体"/>
                <w:color w:val="auto"/>
                <w:sz w:val="21"/>
                <w:szCs w:val="21"/>
              </w:rPr>
            </w:pPr>
          </w:p>
        </w:tc>
        <w:tc>
          <w:tcPr>
            <w:tcW w:w="571" w:type="pct"/>
            <w:vMerge w:val="continue"/>
            <w:vAlign w:val="center"/>
          </w:tcPr>
          <w:p w14:paraId="54097253">
            <w:pPr>
              <w:widowControl w:val="0"/>
              <w:jc w:val="center"/>
              <w:rPr>
                <w:rFonts w:eastAsia="Times New Roman"/>
                <w:color w:val="auto"/>
                <w:sz w:val="21"/>
                <w:szCs w:val="21"/>
              </w:rPr>
            </w:pPr>
          </w:p>
        </w:tc>
        <w:tc>
          <w:tcPr>
            <w:tcW w:w="569" w:type="pct"/>
            <w:vAlign w:val="center"/>
          </w:tcPr>
          <w:p w14:paraId="0973B917">
            <w:pPr>
              <w:widowControl w:val="0"/>
              <w:jc w:val="center"/>
              <w:rPr>
                <w:rFonts w:eastAsia="Times New Roman"/>
                <w:color w:val="auto"/>
                <w:sz w:val="21"/>
                <w:szCs w:val="21"/>
              </w:rPr>
            </w:pPr>
            <w:r>
              <w:rPr>
                <w:rFonts w:eastAsia="Times New Roman"/>
                <w:color w:val="auto"/>
                <w:sz w:val="21"/>
                <w:szCs w:val="21"/>
              </w:rPr>
              <w:t>0.074</w:t>
            </w:r>
          </w:p>
        </w:tc>
        <w:tc>
          <w:tcPr>
            <w:tcW w:w="489" w:type="pct"/>
            <w:vAlign w:val="center"/>
          </w:tcPr>
          <w:p w14:paraId="37906027">
            <w:pPr>
              <w:widowControl w:val="0"/>
              <w:jc w:val="center"/>
              <w:rPr>
                <w:rFonts w:eastAsia="Times New Roman"/>
                <w:color w:val="auto"/>
                <w:sz w:val="21"/>
                <w:szCs w:val="21"/>
              </w:rPr>
            </w:pPr>
            <w:r>
              <w:rPr>
                <w:rFonts w:eastAsia="Times New Roman"/>
                <w:color w:val="auto"/>
                <w:sz w:val="21"/>
                <w:szCs w:val="21"/>
              </w:rPr>
              <w:t>0.000</w:t>
            </w:r>
          </w:p>
        </w:tc>
        <w:tc>
          <w:tcPr>
            <w:tcW w:w="487" w:type="pct"/>
            <w:vAlign w:val="center"/>
          </w:tcPr>
          <w:p w14:paraId="38C585DF">
            <w:pPr>
              <w:widowControl w:val="0"/>
              <w:jc w:val="center"/>
              <w:rPr>
                <w:rFonts w:eastAsia="Times New Roman"/>
                <w:color w:val="auto"/>
                <w:sz w:val="21"/>
                <w:szCs w:val="21"/>
              </w:rPr>
            </w:pPr>
            <w:r>
              <w:rPr>
                <w:rFonts w:eastAsia="Times New Roman"/>
                <w:color w:val="auto"/>
                <w:sz w:val="21"/>
                <w:szCs w:val="21"/>
              </w:rPr>
              <w:t>0.000</w:t>
            </w:r>
          </w:p>
        </w:tc>
        <w:tc>
          <w:tcPr>
            <w:tcW w:w="673" w:type="pct"/>
            <w:vMerge w:val="continue"/>
            <w:vAlign w:val="center"/>
          </w:tcPr>
          <w:p w14:paraId="0CAD7D5A">
            <w:pPr>
              <w:widowControl w:val="0"/>
              <w:jc w:val="center"/>
              <w:rPr>
                <w:rFonts w:ascii="宋体" w:hAnsi="宋体" w:eastAsia="Times New Roman" w:cs="宋体"/>
                <w:color w:val="auto"/>
                <w:sz w:val="21"/>
                <w:szCs w:val="21"/>
              </w:rPr>
            </w:pPr>
          </w:p>
        </w:tc>
        <w:tc>
          <w:tcPr>
            <w:tcW w:w="345" w:type="pct"/>
            <w:vMerge w:val="continue"/>
            <w:vAlign w:val="center"/>
          </w:tcPr>
          <w:p w14:paraId="76AEA827">
            <w:pPr>
              <w:widowControl w:val="0"/>
              <w:jc w:val="center"/>
              <w:rPr>
                <w:rFonts w:ascii="宋体" w:hAnsi="宋体" w:eastAsia="Times New Roman" w:cs="宋体"/>
                <w:color w:val="auto"/>
                <w:sz w:val="21"/>
                <w:szCs w:val="21"/>
              </w:rPr>
            </w:pPr>
          </w:p>
        </w:tc>
      </w:tr>
      <w:tr w14:paraId="0AE7E5E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restart"/>
            <w:vAlign w:val="center"/>
          </w:tcPr>
          <w:p w14:paraId="36D706B4">
            <w:pPr>
              <w:widowControl w:val="0"/>
              <w:jc w:val="center"/>
              <w:rPr>
                <w:rFonts w:eastAsia="Times New Roman"/>
                <w:color w:val="auto"/>
                <w:sz w:val="21"/>
                <w:szCs w:val="21"/>
              </w:rPr>
            </w:pPr>
            <w:r>
              <w:rPr>
                <w:rFonts w:eastAsia="Times New Roman"/>
                <w:color w:val="auto"/>
                <w:sz w:val="21"/>
                <w:szCs w:val="21"/>
              </w:rPr>
              <w:t>W</w:t>
            </w:r>
            <w:r>
              <w:rPr>
                <w:rFonts w:eastAsia="Times New Roman"/>
                <w:color w:val="auto"/>
                <w:sz w:val="21"/>
                <w:szCs w:val="21"/>
                <w:vertAlign w:val="subscript"/>
              </w:rPr>
              <w:t>8</w:t>
            </w:r>
          </w:p>
        </w:tc>
        <w:tc>
          <w:tcPr>
            <w:tcW w:w="732" w:type="pct"/>
            <w:vMerge w:val="restart"/>
            <w:vAlign w:val="center"/>
          </w:tcPr>
          <w:p w14:paraId="722901C0">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生活污水</w:t>
            </w:r>
          </w:p>
        </w:tc>
        <w:tc>
          <w:tcPr>
            <w:tcW w:w="489" w:type="pct"/>
            <w:vAlign w:val="center"/>
          </w:tcPr>
          <w:p w14:paraId="2A352534">
            <w:pPr>
              <w:widowControl w:val="0"/>
              <w:jc w:val="center"/>
              <w:rPr>
                <w:rFonts w:eastAsia="Times New Roman"/>
                <w:color w:val="auto"/>
                <w:sz w:val="21"/>
                <w:szCs w:val="21"/>
              </w:rPr>
            </w:pPr>
            <w:r>
              <w:rPr>
                <w:rFonts w:eastAsia="Times New Roman"/>
                <w:color w:val="auto"/>
                <w:sz w:val="21"/>
                <w:szCs w:val="21"/>
              </w:rPr>
              <w:t>COD</w:t>
            </w:r>
          </w:p>
        </w:tc>
        <w:tc>
          <w:tcPr>
            <w:tcW w:w="406" w:type="pct"/>
            <w:vMerge w:val="restart"/>
            <w:vAlign w:val="center"/>
          </w:tcPr>
          <w:p w14:paraId="53E0F882">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类比法</w:t>
            </w:r>
          </w:p>
        </w:tc>
        <w:tc>
          <w:tcPr>
            <w:tcW w:w="571" w:type="pct"/>
            <w:vMerge w:val="restart"/>
            <w:vAlign w:val="center"/>
          </w:tcPr>
          <w:p w14:paraId="78AA6B0A">
            <w:pPr>
              <w:widowControl w:val="0"/>
              <w:jc w:val="center"/>
              <w:rPr>
                <w:rFonts w:eastAsia="Times New Roman"/>
                <w:color w:val="auto"/>
                <w:sz w:val="21"/>
                <w:szCs w:val="21"/>
              </w:rPr>
            </w:pPr>
            <w:r>
              <w:rPr>
                <w:rFonts w:eastAsia="Times New Roman"/>
                <w:color w:val="auto"/>
                <w:sz w:val="21"/>
                <w:szCs w:val="21"/>
              </w:rPr>
              <w:t>0.30</w:t>
            </w:r>
          </w:p>
        </w:tc>
        <w:tc>
          <w:tcPr>
            <w:tcW w:w="569" w:type="pct"/>
            <w:vAlign w:val="center"/>
          </w:tcPr>
          <w:p w14:paraId="3CD95A57">
            <w:pPr>
              <w:widowControl w:val="0"/>
              <w:jc w:val="center"/>
              <w:rPr>
                <w:rFonts w:eastAsia="Times New Roman"/>
                <w:color w:val="auto"/>
                <w:sz w:val="21"/>
                <w:szCs w:val="21"/>
              </w:rPr>
            </w:pPr>
            <w:r>
              <w:rPr>
                <w:rFonts w:eastAsia="Times New Roman"/>
                <w:color w:val="auto"/>
                <w:sz w:val="21"/>
                <w:szCs w:val="21"/>
              </w:rPr>
              <w:t>300</w:t>
            </w:r>
          </w:p>
        </w:tc>
        <w:tc>
          <w:tcPr>
            <w:tcW w:w="489" w:type="pct"/>
            <w:vAlign w:val="center"/>
          </w:tcPr>
          <w:p w14:paraId="796B913F">
            <w:pPr>
              <w:widowControl w:val="0"/>
              <w:jc w:val="center"/>
              <w:rPr>
                <w:rFonts w:eastAsia="Times New Roman"/>
                <w:color w:val="auto"/>
                <w:sz w:val="21"/>
                <w:szCs w:val="21"/>
              </w:rPr>
            </w:pPr>
            <w:r>
              <w:rPr>
                <w:rFonts w:eastAsia="Times New Roman"/>
                <w:color w:val="auto"/>
                <w:sz w:val="21"/>
                <w:szCs w:val="21"/>
              </w:rPr>
              <w:t>0.090</w:t>
            </w:r>
          </w:p>
        </w:tc>
        <w:tc>
          <w:tcPr>
            <w:tcW w:w="487" w:type="pct"/>
            <w:vAlign w:val="center"/>
          </w:tcPr>
          <w:p w14:paraId="2EB00F54">
            <w:pPr>
              <w:widowControl w:val="0"/>
              <w:jc w:val="center"/>
              <w:rPr>
                <w:rFonts w:eastAsia="Times New Roman"/>
                <w:color w:val="auto"/>
                <w:sz w:val="21"/>
                <w:szCs w:val="21"/>
              </w:rPr>
            </w:pPr>
            <w:r>
              <w:rPr>
                <w:rFonts w:eastAsia="Times New Roman"/>
                <w:color w:val="auto"/>
                <w:sz w:val="21"/>
                <w:szCs w:val="21"/>
              </w:rPr>
              <w:t>0.720</w:t>
            </w:r>
          </w:p>
        </w:tc>
        <w:tc>
          <w:tcPr>
            <w:tcW w:w="673" w:type="pct"/>
            <w:vMerge w:val="continue"/>
            <w:vAlign w:val="center"/>
          </w:tcPr>
          <w:p w14:paraId="3348E3A8">
            <w:pPr>
              <w:widowControl w:val="0"/>
              <w:jc w:val="center"/>
              <w:rPr>
                <w:rFonts w:ascii="宋体" w:hAnsi="宋体" w:eastAsia="Times New Roman" w:cs="宋体"/>
                <w:color w:val="auto"/>
                <w:sz w:val="21"/>
                <w:szCs w:val="21"/>
              </w:rPr>
            </w:pPr>
          </w:p>
        </w:tc>
        <w:tc>
          <w:tcPr>
            <w:tcW w:w="345" w:type="pct"/>
            <w:vMerge w:val="restart"/>
            <w:vAlign w:val="center"/>
          </w:tcPr>
          <w:p w14:paraId="0E526B37">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8000</w:t>
            </w:r>
          </w:p>
        </w:tc>
      </w:tr>
      <w:tr w14:paraId="7A18947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7D6B052F">
            <w:pPr>
              <w:widowControl w:val="0"/>
              <w:jc w:val="center"/>
              <w:rPr>
                <w:rFonts w:eastAsia="Times New Roman"/>
                <w:color w:val="auto"/>
                <w:sz w:val="21"/>
                <w:szCs w:val="21"/>
              </w:rPr>
            </w:pPr>
          </w:p>
        </w:tc>
        <w:tc>
          <w:tcPr>
            <w:tcW w:w="732" w:type="pct"/>
            <w:vMerge w:val="continue"/>
            <w:vAlign w:val="center"/>
          </w:tcPr>
          <w:p w14:paraId="0DB2E678">
            <w:pPr>
              <w:widowControl w:val="0"/>
              <w:jc w:val="center"/>
              <w:rPr>
                <w:rFonts w:ascii="宋体" w:hAnsi="宋体" w:eastAsia="Times New Roman" w:cs="宋体"/>
                <w:color w:val="auto"/>
                <w:sz w:val="21"/>
                <w:szCs w:val="21"/>
              </w:rPr>
            </w:pPr>
          </w:p>
        </w:tc>
        <w:tc>
          <w:tcPr>
            <w:tcW w:w="489" w:type="pct"/>
            <w:vAlign w:val="center"/>
          </w:tcPr>
          <w:p w14:paraId="23404FF4">
            <w:pPr>
              <w:widowControl w:val="0"/>
              <w:jc w:val="center"/>
              <w:rPr>
                <w:rFonts w:eastAsia="Times New Roman"/>
                <w:color w:val="auto"/>
                <w:sz w:val="21"/>
                <w:szCs w:val="21"/>
              </w:rPr>
            </w:pPr>
            <w:r>
              <w:rPr>
                <w:rFonts w:eastAsia="Times New Roman"/>
                <w:color w:val="auto"/>
                <w:sz w:val="21"/>
                <w:szCs w:val="21"/>
              </w:rPr>
              <w:t>BOD</w:t>
            </w:r>
          </w:p>
        </w:tc>
        <w:tc>
          <w:tcPr>
            <w:tcW w:w="406" w:type="pct"/>
            <w:vMerge w:val="continue"/>
            <w:vAlign w:val="center"/>
          </w:tcPr>
          <w:p w14:paraId="75480C9E">
            <w:pPr>
              <w:widowControl w:val="0"/>
              <w:jc w:val="center"/>
              <w:rPr>
                <w:rFonts w:ascii="宋体" w:hAnsi="宋体" w:eastAsia="Times New Roman" w:cs="宋体"/>
                <w:color w:val="auto"/>
                <w:sz w:val="21"/>
                <w:szCs w:val="21"/>
              </w:rPr>
            </w:pPr>
          </w:p>
        </w:tc>
        <w:tc>
          <w:tcPr>
            <w:tcW w:w="571" w:type="pct"/>
            <w:vMerge w:val="continue"/>
            <w:vAlign w:val="center"/>
          </w:tcPr>
          <w:p w14:paraId="68190674">
            <w:pPr>
              <w:widowControl w:val="0"/>
              <w:jc w:val="center"/>
              <w:rPr>
                <w:rFonts w:eastAsia="Times New Roman"/>
                <w:color w:val="auto"/>
                <w:sz w:val="21"/>
                <w:szCs w:val="21"/>
              </w:rPr>
            </w:pPr>
          </w:p>
        </w:tc>
        <w:tc>
          <w:tcPr>
            <w:tcW w:w="569" w:type="pct"/>
            <w:vAlign w:val="center"/>
          </w:tcPr>
          <w:p w14:paraId="23197020">
            <w:pPr>
              <w:widowControl w:val="0"/>
              <w:jc w:val="center"/>
              <w:rPr>
                <w:rFonts w:eastAsia="Times New Roman"/>
                <w:color w:val="auto"/>
                <w:sz w:val="21"/>
                <w:szCs w:val="21"/>
              </w:rPr>
            </w:pPr>
            <w:r>
              <w:rPr>
                <w:rFonts w:eastAsia="Times New Roman"/>
                <w:color w:val="auto"/>
                <w:sz w:val="21"/>
                <w:szCs w:val="21"/>
              </w:rPr>
              <w:t>150</w:t>
            </w:r>
          </w:p>
        </w:tc>
        <w:tc>
          <w:tcPr>
            <w:tcW w:w="489" w:type="pct"/>
            <w:vAlign w:val="center"/>
          </w:tcPr>
          <w:p w14:paraId="21EF4941">
            <w:pPr>
              <w:widowControl w:val="0"/>
              <w:jc w:val="center"/>
              <w:rPr>
                <w:rFonts w:eastAsia="Times New Roman"/>
                <w:color w:val="auto"/>
                <w:sz w:val="21"/>
                <w:szCs w:val="21"/>
              </w:rPr>
            </w:pPr>
            <w:r>
              <w:rPr>
                <w:rFonts w:eastAsia="Times New Roman"/>
                <w:color w:val="auto"/>
                <w:sz w:val="21"/>
                <w:szCs w:val="21"/>
              </w:rPr>
              <w:t>0.045</w:t>
            </w:r>
          </w:p>
        </w:tc>
        <w:tc>
          <w:tcPr>
            <w:tcW w:w="487" w:type="pct"/>
            <w:vAlign w:val="center"/>
          </w:tcPr>
          <w:p w14:paraId="73D9FCFB">
            <w:pPr>
              <w:widowControl w:val="0"/>
              <w:jc w:val="center"/>
              <w:rPr>
                <w:rFonts w:eastAsia="Times New Roman"/>
                <w:color w:val="auto"/>
                <w:sz w:val="21"/>
                <w:szCs w:val="21"/>
              </w:rPr>
            </w:pPr>
            <w:r>
              <w:rPr>
                <w:rFonts w:eastAsia="Times New Roman"/>
                <w:color w:val="auto"/>
                <w:sz w:val="21"/>
                <w:szCs w:val="21"/>
              </w:rPr>
              <w:t>0.360</w:t>
            </w:r>
          </w:p>
        </w:tc>
        <w:tc>
          <w:tcPr>
            <w:tcW w:w="673" w:type="pct"/>
            <w:vMerge w:val="continue"/>
            <w:vAlign w:val="center"/>
          </w:tcPr>
          <w:p w14:paraId="0CCB1622">
            <w:pPr>
              <w:widowControl w:val="0"/>
              <w:jc w:val="center"/>
              <w:rPr>
                <w:rFonts w:ascii="宋体" w:hAnsi="宋体" w:eastAsia="Times New Roman" w:cs="宋体"/>
                <w:color w:val="auto"/>
                <w:sz w:val="21"/>
                <w:szCs w:val="21"/>
              </w:rPr>
            </w:pPr>
          </w:p>
        </w:tc>
        <w:tc>
          <w:tcPr>
            <w:tcW w:w="345" w:type="pct"/>
            <w:vMerge w:val="continue"/>
            <w:vAlign w:val="center"/>
          </w:tcPr>
          <w:p w14:paraId="661CCE05">
            <w:pPr>
              <w:widowControl w:val="0"/>
              <w:jc w:val="center"/>
              <w:rPr>
                <w:rFonts w:ascii="宋体" w:hAnsi="宋体" w:eastAsia="Times New Roman" w:cs="宋体"/>
                <w:color w:val="auto"/>
                <w:sz w:val="21"/>
                <w:szCs w:val="21"/>
              </w:rPr>
            </w:pPr>
          </w:p>
        </w:tc>
      </w:tr>
      <w:tr w14:paraId="41F371E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1C03B235">
            <w:pPr>
              <w:widowControl w:val="0"/>
              <w:jc w:val="center"/>
              <w:rPr>
                <w:rFonts w:eastAsia="Times New Roman"/>
                <w:color w:val="auto"/>
                <w:sz w:val="21"/>
                <w:szCs w:val="21"/>
              </w:rPr>
            </w:pPr>
          </w:p>
        </w:tc>
        <w:tc>
          <w:tcPr>
            <w:tcW w:w="732" w:type="pct"/>
            <w:vMerge w:val="continue"/>
            <w:vAlign w:val="center"/>
          </w:tcPr>
          <w:p w14:paraId="54D8582B">
            <w:pPr>
              <w:widowControl w:val="0"/>
              <w:jc w:val="center"/>
              <w:rPr>
                <w:rFonts w:ascii="宋体" w:hAnsi="宋体" w:eastAsia="Times New Roman" w:cs="宋体"/>
                <w:color w:val="auto"/>
                <w:sz w:val="21"/>
                <w:szCs w:val="21"/>
              </w:rPr>
            </w:pPr>
          </w:p>
        </w:tc>
        <w:tc>
          <w:tcPr>
            <w:tcW w:w="489" w:type="pct"/>
            <w:vAlign w:val="center"/>
          </w:tcPr>
          <w:p w14:paraId="0ABB5D50">
            <w:pPr>
              <w:widowControl w:val="0"/>
              <w:jc w:val="center"/>
              <w:rPr>
                <w:rFonts w:eastAsia="Times New Roman"/>
                <w:color w:val="auto"/>
                <w:sz w:val="21"/>
                <w:szCs w:val="21"/>
              </w:rPr>
            </w:pPr>
            <w:r>
              <w:rPr>
                <w:rFonts w:eastAsia="Times New Roman"/>
                <w:color w:val="auto"/>
                <w:sz w:val="21"/>
                <w:szCs w:val="21"/>
              </w:rPr>
              <w:t>SS</w:t>
            </w:r>
          </w:p>
        </w:tc>
        <w:tc>
          <w:tcPr>
            <w:tcW w:w="406" w:type="pct"/>
            <w:vMerge w:val="continue"/>
            <w:vAlign w:val="center"/>
          </w:tcPr>
          <w:p w14:paraId="50F78AEC">
            <w:pPr>
              <w:widowControl w:val="0"/>
              <w:jc w:val="center"/>
              <w:rPr>
                <w:rFonts w:ascii="宋体" w:hAnsi="宋体" w:eastAsia="Times New Roman" w:cs="宋体"/>
                <w:color w:val="auto"/>
                <w:sz w:val="21"/>
                <w:szCs w:val="21"/>
              </w:rPr>
            </w:pPr>
          </w:p>
        </w:tc>
        <w:tc>
          <w:tcPr>
            <w:tcW w:w="571" w:type="pct"/>
            <w:vMerge w:val="continue"/>
            <w:vAlign w:val="center"/>
          </w:tcPr>
          <w:p w14:paraId="439956CD">
            <w:pPr>
              <w:widowControl w:val="0"/>
              <w:jc w:val="center"/>
              <w:rPr>
                <w:rFonts w:eastAsia="Times New Roman"/>
                <w:color w:val="auto"/>
                <w:sz w:val="21"/>
                <w:szCs w:val="21"/>
              </w:rPr>
            </w:pPr>
          </w:p>
        </w:tc>
        <w:tc>
          <w:tcPr>
            <w:tcW w:w="569" w:type="pct"/>
            <w:vAlign w:val="center"/>
          </w:tcPr>
          <w:p w14:paraId="6CA3D2DB">
            <w:pPr>
              <w:widowControl w:val="0"/>
              <w:jc w:val="center"/>
              <w:rPr>
                <w:rFonts w:eastAsia="Times New Roman"/>
                <w:color w:val="auto"/>
                <w:sz w:val="21"/>
                <w:szCs w:val="21"/>
              </w:rPr>
            </w:pPr>
            <w:r>
              <w:rPr>
                <w:rFonts w:eastAsia="Times New Roman"/>
                <w:color w:val="auto"/>
                <w:sz w:val="21"/>
                <w:szCs w:val="21"/>
              </w:rPr>
              <w:t>500</w:t>
            </w:r>
          </w:p>
        </w:tc>
        <w:tc>
          <w:tcPr>
            <w:tcW w:w="489" w:type="pct"/>
            <w:vAlign w:val="center"/>
          </w:tcPr>
          <w:p w14:paraId="63DD1A56">
            <w:pPr>
              <w:widowControl w:val="0"/>
              <w:jc w:val="center"/>
              <w:rPr>
                <w:rFonts w:eastAsia="Times New Roman"/>
                <w:color w:val="auto"/>
                <w:sz w:val="21"/>
                <w:szCs w:val="21"/>
              </w:rPr>
            </w:pPr>
            <w:r>
              <w:rPr>
                <w:rFonts w:eastAsia="Times New Roman"/>
                <w:color w:val="auto"/>
                <w:sz w:val="21"/>
                <w:szCs w:val="21"/>
              </w:rPr>
              <w:t>0.150</w:t>
            </w:r>
          </w:p>
        </w:tc>
        <w:tc>
          <w:tcPr>
            <w:tcW w:w="487" w:type="pct"/>
            <w:vAlign w:val="center"/>
          </w:tcPr>
          <w:p w14:paraId="34483BF8">
            <w:pPr>
              <w:widowControl w:val="0"/>
              <w:jc w:val="center"/>
              <w:rPr>
                <w:rFonts w:eastAsia="Times New Roman"/>
                <w:color w:val="auto"/>
                <w:sz w:val="21"/>
                <w:szCs w:val="21"/>
              </w:rPr>
            </w:pPr>
            <w:r>
              <w:rPr>
                <w:rFonts w:eastAsia="Times New Roman"/>
                <w:color w:val="auto"/>
                <w:sz w:val="21"/>
                <w:szCs w:val="21"/>
              </w:rPr>
              <w:t>1.200</w:t>
            </w:r>
          </w:p>
        </w:tc>
        <w:tc>
          <w:tcPr>
            <w:tcW w:w="673" w:type="pct"/>
            <w:vMerge w:val="continue"/>
            <w:vAlign w:val="center"/>
          </w:tcPr>
          <w:p w14:paraId="5231740E">
            <w:pPr>
              <w:widowControl w:val="0"/>
              <w:jc w:val="center"/>
              <w:rPr>
                <w:rFonts w:ascii="宋体" w:hAnsi="宋体" w:eastAsia="Times New Roman" w:cs="宋体"/>
                <w:color w:val="auto"/>
                <w:sz w:val="21"/>
                <w:szCs w:val="21"/>
              </w:rPr>
            </w:pPr>
          </w:p>
        </w:tc>
        <w:tc>
          <w:tcPr>
            <w:tcW w:w="345" w:type="pct"/>
            <w:vMerge w:val="continue"/>
            <w:vAlign w:val="center"/>
          </w:tcPr>
          <w:p w14:paraId="4E3E2A8E">
            <w:pPr>
              <w:widowControl w:val="0"/>
              <w:jc w:val="center"/>
              <w:rPr>
                <w:rFonts w:ascii="宋体" w:hAnsi="宋体" w:eastAsia="Times New Roman" w:cs="宋体"/>
                <w:color w:val="auto"/>
                <w:sz w:val="21"/>
                <w:szCs w:val="21"/>
              </w:rPr>
            </w:pPr>
          </w:p>
        </w:tc>
      </w:tr>
      <w:tr w14:paraId="01E8B61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3364E550">
            <w:pPr>
              <w:widowControl w:val="0"/>
              <w:jc w:val="center"/>
              <w:rPr>
                <w:rFonts w:eastAsia="Times New Roman"/>
                <w:color w:val="auto"/>
                <w:sz w:val="21"/>
                <w:szCs w:val="21"/>
              </w:rPr>
            </w:pPr>
          </w:p>
        </w:tc>
        <w:tc>
          <w:tcPr>
            <w:tcW w:w="732" w:type="pct"/>
            <w:vMerge w:val="continue"/>
            <w:vAlign w:val="center"/>
          </w:tcPr>
          <w:p w14:paraId="40BDEB5B">
            <w:pPr>
              <w:widowControl w:val="0"/>
              <w:jc w:val="center"/>
              <w:rPr>
                <w:rFonts w:ascii="宋体" w:hAnsi="宋体" w:eastAsia="Times New Roman" w:cs="宋体"/>
                <w:color w:val="auto"/>
                <w:sz w:val="21"/>
                <w:szCs w:val="21"/>
              </w:rPr>
            </w:pPr>
          </w:p>
        </w:tc>
        <w:tc>
          <w:tcPr>
            <w:tcW w:w="489" w:type="pct"/>
            <w:vAlign w:val="center"/>
          </w:tcPr>
          <w:p w14:paraId="50FACBDD">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氨氮</w:t>
            </w:r>
          </w:p>
        </w:tc>
        <w:tc>
          <w:tcPr>
            <w:tcW w:w="406" w:type="pct"/>
            <w:vMerge w:val="continue"/>
            <w:vAlign w:val="center"/>
          </w:tcPr>
          <w:p w14:paraId="406BB3E7">
            <w:pPr>
              <w:widowControl w:val="0"/>
              <w:jc w:val="center"/>
              <w:rPr>
                <w:rFonts w:ascii="宋体" w:hAnsi="宋体" w:eastAsia="Times New Roman" w:cs="宋体"/>
                <w:color w:val="auto"/>
                <w:sz w:val="21"/>
                <w:szCs w:val="21"/>
              </w:rPr>
            </w:pPr>
          </w:p>
        </w:tc>
        <w:tc>
          <w:tcPr>
            <w:tcW w:w="571" w:type="pct"/>
            <w:vMerge w:val="continue"/>
            <w:vAlign w:val="center"/>
          </w:tcPr>
          <w:p w14:paraId="7EE17DDB">
            <w:pPr>
              <w:widowControl w:val="0"/>
              <w:jc w:val="center"/>
              <w:rPr>
                <w:rFonts w:eastAsia="Times New Roman"/>
                <w:color w:val="auto"/>
                <w:sz w:val="21"/>
                <w:szCs w:val="21"/>
              </w:rPr>
            </w:pPr>
          </w:p>
        </w:tc>
        <w:tc>
          <w:tcPr>
            <w:tcW w:w="569" w:type="pct"/>
            <w:vAlign w:val="center"/>
          </w:tcPr>
          <w:p w14:paraId="2BA62BB4">
            <w:pPr>
              <w:widowControl w:val="0"/>
              <w:jc w:val="center"/>
              <w:rPr>
                <w:rFonts w:eastAsia="Times New Roman"/>
                <w:color w:val="auto"/>
                <w:sz w:val="21"/>
                <w:szCs w:val="21"/>
              </w:rPr>
            </w:pPr>
            <w:r>
              <w:rPr>
                <w:rFonts w:eastAsia="Times New Roman"/>
                <w:color w:val="auto"/>
                <w:sz w:val="21"/>
                <w:szCs w:val="21"/>
              </w:rPr>
              <w:t>30</w:t>
            </w:r>
          </w:p>
        </w:tc>
        <w:tc>
          <w:tcPr>
            <w:tcW w:w="489" w:type="pct"/>
            <w:vAlign w:val="center"/>
          </w:tcPr>
          <w:p w14:paraId="20E756A9">
            <w:pPr>
              <w:widowControl w:val="0"/>
              <w:jc w:val="center"/>
              <w:rPr>
                <w:rFonts w:eastAsia="Times New Roman"/>
                <w:color w:val="auto"/>
                <w:sz w:val="21"/>
                <w:szCs w:val="21"/>
              </w:rPr>
            </w:pPr>
            <w:r>
              <w:rPr>
                <w:rFonts w:eastAsia="Times New Roman"/>
                <w:color w:val="auto"/>
                <w:sz w:val="21"/>
                <w:szCs w:val="21"/>
              </w:rPr>
              <w:t>0.009</w:t>
            </w:r>
          </w:p>
        </w:tc>
        <w:tc>
          <w:tcPr>
            <w:tcW w:w="487" w:type="pct"/>
            <w:vAlign w:val="center"/>
          </w:tcPr>
          <w:p w14:paraId="65F442B2">
            <w:pPr>
              <w:widowControl w:val="0"/>
              <w:jc w:val="center"/>
              <w:rPr>
                <w:rFonts w:eastAsia="Times New Roman"/>
                <w:color w:val="auto"/>
                <w:sz w:val="21"/>
                <w:szCs w:val="21"/>
              </w:rPr>
            </w:pPr>
            <w:r>
              <w:rPr>
                <w:rFonts w:eastAsia="Times New Roman"/>
                <w:color w:val="auto"/>
                <w:sz w:val="21"/>
                <w:szCs w:val="21"/>
              </w:rPr>
              <w:t>0.072</w:t>
            </w:r>
          </w:p>
        </w:tc>
        <w:tc>
          <w:tcPr>
            <w:tcW w:w="673" w:type="pct"/>
            <w:vMerge w:val="continue"/>
            <w:vAlign w:val="center"/>
          </w:tcPr>
          <w:p w14:paraId="66AF946F">
            <w:pPr>
              <w:widowControl w:val="0"/>
              <w:jc w:val="center"/>
              <w:rPr>
                <w:rFonts w:ascii="宋体" w:hAnsi="宋体" w:eastAsia="Times New Roman" w:cs="宋体"/>
                <w:color w:val="auto"/>
                <w:sz w:val="21"/>
                <w:szCs w:val="21"/>
              </w:rPr>
            </w:pPr>
          </w:p>
        </w:tc>
        <w:tc>
          <w:tcPr>
            <w:tcW w:w="345" w:type="pct"/>
            <w:vMerge w:val="continue"/>
            <w:vAlign w:val="center"/>
          </w:tcPr>
          <w:p w14:paraId="78DE4422">
            <w:pPr>
              <w:widowControl w:val="0"/>
              <w:jc w:val="center"/>
              <w:rPr>
                <w:rFonts w:ascii="宋体" w:hAnsi="宋体" w:eastAsia="Times New Roman" w:cs="宋体"/>
                <w:color w:val="auto"/>
                <w:sz w:val="21"/>
                <w:szCs w:val="21"/>
              </w:rPr>
            </w:pPr>
          </w:p>
        </w:tc>
      </w:tr>
      <w:tr w14:paraId="5A3C6F6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579DDC21">
            <w:pPr>
              <w:widowControl w:val="0"/>
              <w:jc w:val="center"/>
              <w:rPr>
                <w:rFonts w:eastAsia="Times New Roman"/>
                <w:color w:val="auto"/>
                <w:sz w:val="21"/>
                <w:szCs w:val="21"/>
              </w:rPr>
            </w:pPr>
          </w:p>
        </w:tc>
        <w:tc>
          <w:tcPr>
            <w:tcW w:w="732" w:type="pct"/>
            <w:vMerge w:val="continue"/>
            <w:vAlign w:val="center"/>
          </w:tcPr>
          <w:p w14:paraId="5E12C70A">
            <w:pPr>
              <w:widowControl w:val="0"/>
              <w:jc w:val="center"/>
              <w:rPr>
                <w:rFonts w:ascii="宋体" w:hAnsi="宋体" w:eastAsia="Times New Roman" w:cs="宋体"/>
                <w:color w:val="auto"/>
                <w:sz w:val="21"/>
                <w:szCs w:val="21"/>
              </w:rPr>
            </w:pPr>
          </w:p>
        </w:tc>
        <w:tc>
          <w:tcPr>
            <w:tcW w:w="489" w:type="pct"/>
            <w:vAlign w:val="center"/>
          </w:tcPr>
          <w:p w14:paraId="116AAE71">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总磷</w:t>
            </w:r>
          </w:p>
        </w:tc>
        <w:tc>
          <w:tcPr>
            <w:tcW w:w="406" w:type="pct"/>
            <w:vMerge w:val="continue"/>
            <w:vAlign w:val="center"/>
          </w:tcPr>
          <w:p w14:paraId="44B2D66E">
            <w:pPr>
              <w:widowControl w:val="0"/>
              <w:jc w:val="center"/>
              <w:rPr>
                <w:rFonts w:ascii="宋体" w:hAnsi="宋体" w:eastAsia="Times New Roman" w:cs="宋体"/>
                <w:color w:val="auto"/>
                <w:sz w:val="21"/>
                <w:szCs w:val="21"/>
              </w:rPr>
            </w:pPr>
          </w:p>
        </w:tc>
        <w:tc>
          <w:tcPr>
            <w:tcW w:w="571" w:type="pct"/>
            <w:vMerge w:val="continue"/>
            <w:vAlign w:val="center"/>
          </w:tcPr>
          <w:p w14:paraId="1BD90857">
            <w:pPr>
              <w:widowControl w:val="0"/>
              <w:jc w:val="center"/>
              <w:rPr>
                <w:rFonts w:eastAsia="Times New Roman"/>
                <w:color w:val="auto"/>
                <w:sz w:val="21"/>
                <w:szCs w:val="21"/>
              </w:rPr>
            </w:pPr>
          </w:p>
        </w:tc>
        <w:tc>
          <w:tcPr>
            <w:tcW w:w="569" w:type="pct"/>
            <w:vAlign w:val="center"/>
          </w:tcPr>
          <w:p w14:paraId="7021A4EE">
            <w:pPr>
              <w:widowControl w:val="0"/>
              <w:jc w:val="center"/>
              <w:rPr>
                <w:rFonts w:eastAsia="Times New Roman"/>
                <w:color w:val="auto"/>
                <w:sz w:val="21"/>
                <w:szCs w:val="21"/>
              </w:rPr>
            </w:pPr>
            <w:r>
              <w:rPr>
                <w:rFonts w:eastAsia="Times New Roman"/>
                <w:color w:val="auto"/>
                <w:sz w:val="21"/>
                <w:szCs w:val="21"/>
              </w:rPr>
              <w:t>4</w:t>
            </w:r>
          </w:p>
        </w:tc>
        <w:tc>
          <w:tcPr>
            <w:tcW w:w="489" w:type="pct"/>
            <w:vAlign w:val="center"/>
          </w:tcPr>
          <w:p w14:paraId="55C1288F">
            <w:pPr>
              <w:widowControl w:val="0"/>
              <w:jc w:val="center"/>
              <w:rPr>
                <w:rFonts w:eastAsia="Times New Roman"/>
                <w:color w:val="auto"/>
                <w:sz w:val="21"/>
                <w:szCs w:val="21"/>
              </w:rPr>
            </w:pPr>
            <w:r>
              <w:rPr>
                <w:rFonts w:eastAsia="Times New Roman"/>
                <w:color w:val="auto"/>
                <w:sz w:val="21"/>
                <w:szCs w:val="21"/>
              </w:rPr>
              <w:t>0.001</w:t>
            </w:r>
          </w:p>
        </w:tc>
        <w:tc>
          <w:tcPr>
            <w:tcW w:w="487" w:type="pct"/>
            <w:vAlign w:val="center"/>
          </w:tcPr>
          <w:p w14:paraId="6E3DD794">
            <w:pPr>
              <w:widowControl w:val="0"/>
              <w:jc w:val="center"/>
              <w:rPr>
                <w:rFonts w:eastAsia="Times New Roman"/>
                <w:color w:val="auto"/>
                <w:sz w:val="21"/>
                <w:szCs w:val="21"/>
              </w:rPr>
            </w:pPr>
            <w:r>
              <w:rPr>
                <w:rFonts w:eastAsia="Times New Roman"/>
                <w:color w:val="auto"/>
                <w:sz w:val="21"/>
                <w:szCs w:val="21"/>
              </w:rPr>
              <w:t>0.010</w:t>
            </w:r>
          </w:p>
        </w:tc>
        <w:tc>
          <w:tcPr>
            <w:tcW w:w="673" w:type="pct"/>
            <w:vMerge w:val="continue"/>
            <w:vAlign w:val="center"/>
          </w:tcPr>
          <w:p w14:paraId="55843C9B">
            <w:pPr>
              <w:widowControl w:val="0"/>
              <w:jc w:val="center"/>
              <w:rPr>
                <w:rFonts w:ascii="宋体" w:hAnsi="宋体" w:eastAsia="Times New Roman" w:cs="宋体"/>
                <w:color w:val="auto"/>
                <w:sz w:val="21"/>
                <w:szCs w:val="21"/>
              </w:rPr>
            </w:pPr>
          </w:p>
        </w:tc>
        <w:tc>
          <w:tcPr>
            <w:tcW w:w="345" w:type="pct"/>
            <w:vMerge w:val="continue"/>
            <w:vAlign w:val="center"/>
          </w:tcPr>
          <w:p w14:paraId="4D15D941">
            <w:pPr>
              <w:widowControl w:val="0"/>
              <w:jc w:val="center"/>
              <w:rPr>
                <w:rFonts w:ascii="宋体" w:hAnsi="宋体" w:eastAsia="Times New Roman" w:cs="宋体"/>
                <w:color w:val="auto"/>
                <w:sz w:val="21"/>
                <w:szCs w:val="21"/>
              </w:rPr>
            </w:pPr>
          </w:p>
        </w:tc>
      </w:tr>
      <w:tr w14:paraId="05E4FF7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39" w:type="pct"/>
            <w:vMerge w:val="continue"/>
            <w:vAlign w:val="center"/>
          </w:tcPr>
          <w:p w14:paraId="5B898AC4">
            <w:pPr>
              <w:widowControl w:val="0"/>
              <w:jc w:val="center"/>
              <w:rPr>
                <w:rFonts w:eastAsia="Times New Roman"/>
                <w:color w:val="auto"/>
                <w:sz w:val="21"/>
                <w:szCs w:val="21"/>
              </w:rPr>
            </w:pPr>
          </w:p>
        </w:tc>
        <w:tc>
          <w:tcPr>
            <w:tcW w:w="732" w:type="pct"/>
            <w:vMerge w:val="continue"/>
            <w:vAlign w:val="center"/>
          </w:tcPr>
          <w:p w14:paraId="469D79B0">
            <w:pPr>
              <w:widowControl w:val="0"/>
              <w:jc w:val="center"/>
              <w:rPr>
                <w:rFonts w:ascii="宋体" w:hAnsi="宋体" w:eastAsia="Times New Roman" w:cs="宋体"/>
                <w:color w:val="auto"/>
                <w:sz w:val="21"/>
                <w:szCs w:val="21"/>
              </w:rPr>
            </w:pPr>
          </w:p>
        </w:tc>
        <w:tc>
          <w:tcPr>
            <w:tcW w:w="489" w:type="pct"/>
            <w:vAlign w:val="center"/>
          </w:tcPr>
          <w:p w14:paraId="225231C7">
            <w:pPr>
              <w:widowControl w:val="0"/>
              <w:jc w:val="center"/>
              <w:rPr>
                <w:rFonts w:ascii="宋体" w:hAnsi="宋体" w:eastAsia="Times New Roman" w:cs="宋体"/>
                <w:color w:val="auto"/>
                <w:sz w:val="21"/>
                <w:szCs w:val="21"/>
              </w:rPr>
            </w:pPr>
            <w:r>
              <w:rPr>
                <w:rFonts w:hint="eastAsia" w:ascii="宋体" w:hAnsi="宋体" w:eastAsia="Times New Roman" w:cs="宋体"/>
                <w:color w:val="auto"/>
                <w:sz w:val="21"/>
                <w:szCs w:val="21"/>
              </w:rPr>
              <w:t>总氮</w:t>
            </w:r>
          </w:p>
        </w:tc>
        <w:tc>
          <w:tcPr>
            <w:tcW w:w="406" w:type="pct"/>
            <w:vMerge w:val="continue"/>
            <w:vAlign w:val="center"/>
          </w:tcPr>
          <w:p w14:paraId="464C54CB">
            <w:pPr>
              <w:widowControl w:val="0"/>
              <w:jc w:val="center"/>
              <w:rPr>
                <w:rFonts w:ascii="宋体" w:hAnsi="宋体" w:eastAsia="Times New Roman" w:cs="宋体"/>
                <w:color w:val="auto"/>
                <w:sz w:val="21"/>
                <w:szCs w:val="21"/>
              </w:rPr>
            </w:pPr>
          </w:p>
        </w:tc>
        <w:tc>
          <w:tcPr>
            <w:tcW w:w="571" w:type="pct"/>
            <w:vMerge w:val="continue"/>
            <w:vAlign w:val="center"/>
          </w:tcPr>
          <w:p w14:paraId="795DBDBE">
            <w:pPr>
              <w:widowControl w:val="0"/>
              <w:jc w:val="center"/>
              <w:rPr>
                <w:rFonts w:eastAsia="Times New Roman"/>
                <w:color w:val="auto"/>
                <w:sz w:val="21"/>
                <w:szCs w:val="21"/>
              </w:rPr>
            </w:pPr>
          </w:p>
        </w:tc>
        <w:tc>
          <w:tcPr>
            <w:tcW w:w="569" w:type="pct"/>
            <w:vAlign w:val="center"/>
          </w:tcPr>
          <w:p w14:paraId="1C45259A">
            <w:pPr>
              <w:widowControl w:val="0"/>
              <w:jc w:val="center"/>
              <w:rPr>
                <w:rFonts w:eastAsia="Times New Roman"/>
                <w:color w:val="auto"/>
                <w:sz w:val="21"/>
                <w:szCs w:val="21"/>
              </w:rPr>
            </w:pPr>
            <w:r>
              <w:rPr>
                <w:rFonts w:eastAsia="Times New Roman"/>
                <w:color w:val="auto"/>
                <w:sz w:val="21"/>
                <w:szCs w:val="21"/>
              </w:rPr>
              <w:t>50</w:t>
            </w:r>
          </w:p>
        </w:tc>
        <w:tc>
          <w:tcPr>
            <w:tcW w:w="489" w:type="pct"/>
            <w:vAlign w:val="center"/>
          </w:tcPr>
          <w:p w14:paraId="23C036ED">
            <w:pPr>
              <w:widowControl w:val="0"/>
              <w:jc w:val="center"/>
              <w:rPr>
                <w:rFonts w:eastAsia="Times New Roman"/>
                <w:color w:val="auto"/>
                <w:sz w:val="21"/>
                <w:szCs w:val="21"/>
              </w:rPr>
            </w:pPr>
            <w:r>
              <w:rPr>
                <w:rFonts w:eastAsia="Times New Roman"/>
                <w:color w:val="auto"/>
                <w:sz w:val="21"/>
                <w:szCs w:val="21"/>
              </w:rPr>
              <w:t>0.015</w:t>
            </w:r>
          </w:p>
        </w:tc>
        <w:tc>
          <w:tcPr>
            <w:tcW w:w="487" w:type="pct"/>
            <w:vAlign w:val="center"/>
          </w:tcPr>
          <w:p w14:paraId="2007DB7F">
            <w:pPr>
              <w:widowControl w:val="0"/>
              <w:jc w:val="center"/>
              <w:rPr>
                <w:rFonts w:eastAsia="Times New Roman"/>
                <w:color w:val="auto"/>
                <w:sz w:val="21"/>
                <w:szCs w:val="21"/>
              </w:rPr>
            </w:pPr>
            <w:r>
              <w:rPr>
                <w:rFonts w:eastAsia="Times New Roman"/>
                <w:color w:val="auto"/>
                <w:sz w:val="21"/>
                <w:szCs w:val="21"/>
              </w:rPr>
              <w:t>0.120</w:t>
            </w:r>
          </w:p>
        </w:tc>
        <w:tc>
          <w:tcPr>
            <w:tcW w:w="673" w:type="pct"/>
            <w:vMerge w:val="continue"/>
            <w:vAlign w:val="center"/>
          </w:tcPr>
          <w:p w14:paraId="687C4FDB">
            <w:pPr>
              <w:widowControl w:val="0"/>
              <w:jc w:val="center"/>
              <w:rPr>
                <w:rFonts w:ascii="宋体" w:hAnsi="宋体" w:eastAsia="Times New Roman" w:cs="宋体"/>
                <w:color w:val="auto"/>
                <w:sz w:val="21"/>
                <w:szCs w:val="21"/>
              </w:rPr>
            </w:pPr>
          </w:p>
        </w:tc>
        <w:tc>
          <w:tcPr>
            <w:tcW w:w="345" w:type="pct"/>
            <w:vMerge w:val="continue"/>
            <w:vAlign w:val="center"/>
          </w:tcPr>
          <w:p w14:paraId="041071A8">
            <w:pPr>
              <w:widowControl w:val="0"/>
              <w:jc w:val="center"/>
              <w:rPr>
                <w:rFonts w:ascii="宋体" w:hAnsi="宋体" w:eastAsia="Times New Roman" w:cs="宋体"/>
                <w:color w:val="auto"/>
                <w:sz w:val="21"/>
                <w:szCs w:val="21"/>
              </w:rPr>
            </w:pPr>
          </w:p>
        </w:tc>
      </w:tr>
    </w:tbl>
    <w:p w14:paraId="3D2A46DC">
      <w:pPr>
        <w:pStyle w:val="1304"/>
        <w:rPr>
          <w:color w:val="auto"/>
        </w:rPr>
      </w:pPr>
    </w:p>
    <w:p w14:paraId="19ED47B5">
      <w:pPr>
        <w:pStyle w:val="4"/>
        <w:rPr>
          <w:color w:val="auto"/>
        </w:rPr>
      </w:pPr>
      <w:r>
        <w:rPr>
          <w:color w:val="auto"/>
        </w:rPr>
        <w:t>固体废物</w:t>
      </w:r>
    </w:p>
    <w:p w14:paraId="3EE49FCE">
      <w:pPr>
        <w:pStyle w:val="132"/>
        <w:ind w:firstLineChars="0"/>
        <w:rPr>
          <w:color w:val="auto"/>
        </w:rPr>
      </w:pPr>
      <w:r>
        <w:rPr>
          <w:rFonts w:hint="eastAsia"/>
          <w:color w:val="auto"/>
        </w:rPr>
        <w:t>（1）废膜（S</w:t>
      </w:r>
      <w:r>
        <w:rPr>
          <w:rFonts w:hint="eastAsia"/>
          <w:color w:val="auto"/>
          <w:vertAlign w:val="subscript"/>
        </w:rPr>
        <w:t>1</w:t>
      </w:r>
      <w:r>
        <w:rPr>
          <w:rFonts w:hint="eastAsia"/>
          <w:color w:val="auto"/>
        </w:rPr>
        <w:t>）</w:t>
      </w:r>
    </w:p>
    <w:p w14:paraId="63D36C63">
      <w:pPr>
        <w:pStyle w:val="132"/>
        <w:rPr>
          <w:color w:val="auto"/>
        </w:rPr>
      </w:pPr>
      <w:r>
        <w:rPr>
          <w:rFonts w:hint="eastAsia"/>
          <w:color w:val="auto"/>
        </w:rPr>
        <w:t>RO膜系统会产生废滤膜，属于HW49类危险废物，RO膜更换周期为10年1次，根据设备厂家提供的信息，单次更换10t，</w:t>
      </w:r>
      <w:bookmarkStart w:id="227" w:name="OLE_LINK114"/>
      <w:r>
        <w:rPr>
          <w:rFonts w:hint="eastAsia"/>
          <w:color w:val="auto"/>
        </w:rPr>
        <w:t>更换后送有资质的单位进行处理。</w:t>
      </w:r>
    </w:p>
    <w:bookmarkEnd w:id="227"/>
    <w:p w14:paraId="40F207E7">
      <w:pPr>
        <w:pStyle w:val="132"/>
        <w:rPr>
          <w:color w:val="auto"/>
        </w:rPr>
      </w:pPr>
      <w:r>
        <w:rPr>
          <w:rFonts w:hint="eastAsia"/>
          <w:color w:val="auto"/>
        </w:rPr>
        <w:t>（2）废滤袋（S</w:t>
      </w:r>
      <w:r>
        <w:rPr>
          <w:rFonts w:hint="eastAsia"/>
          <w:color w:val="auto"/>
          <w:vertAlign w:val="subscript"/>
        </w:rPr>
        <w:t>2</w:t>
      </w:r>
      <w:r>
        <w:rPr>
          <w:rFonts w:hint="eastAsia"/>
          <w:color w:val="auto"/>
        </w:rPr>
        <w:t>）</w:t>
      </w:r>
    </w:p>
    <w:p w14:paraId="2025FF03">
      <w:pPr>
        <w:pStyle w:val="132"/>
        <w:rPr>
          <w:color w:val="auto"/>
        </w:rPr>
      </w:pPr>
      <w:r>
        <w:rPr>
          <w:rFonts w:hint="eastAsia"/>
          <w:color w:val="auto"/>
        </w:rPr>
        <w:t>真空袋式压滤机使用过程中会出现破损，产生废滤袋，产生量平均为0.5t/a，属于一般工业固体废物。送厂家回收利用。</w:t>
      </w:r>
    </w:p>
    <w:p w14:paraId="6CB4E49D">
      <w:pPr>
        <w:pStyle w:val="132"/>
        <w:rPr>
          <w:color w:val="auto"/>
        </w:rPr>
      </w:pPr>
      <w:r>
        <w:rPr>
          <w:rFonts w:hint="eastAsia"/>
          <w:color w:val="auto"/>
        </w:rPr>
        <w:t>（3）</w:t>
      </w:r>
      <w:bookmarkStart w:id="228" w:name="OLE_LINK125"/>
      <w:r>
        <w:rPr>
          <w:rFonts w:hint="eastAsia"/>
          <w:color w:val="auto"/>
        </w:rPr>
        <w:t>废机油（</w:t>
      </w:r>
      <w:r>
        <w:rPr>
          <w:color w:val="auto"/>
        </w:rPr>
        <w:t>S</w:t>
      </w:r>
      <w:r>
        <w:rPr>
          <w:rFonts w:hint="eastAsia"/>
          <w:color w:val="auto"/>
          <w:vertAlign w:val="subscript"/>
        </w:rPr>
        <w:t>3</w:t>
      </w:r>
      <w:r>
        <w:rPr>
          <w:rFonts w:hint="eastAsia"/>
          <w:color w:val="auto"/>
        </w:rPr>
        <w:t>）</w:t>
      </w:r>
      <w:bookmarkEnd w:id="228"/>
    </w:p>
    <w:p w14:paraId="72B342A9">
      <w:pPr>
        <w:pStyle w:val="132"/>
        <w:rPr>
          <w:color w:val="auto"/>
        </w:rPr>
      </w:pPr>
      <w:r>
        <w:rPr>
          <w:rFonts w:hint="eastAsia"/>
          <w:color w:val="auto"/>
        </w:rPr>
        <w:t>机械设备维护过程中会产生废润滑油，</w:t>
      </w:r>
      <w:bookmarkStart w:id="229" w:name="OLE_LINK126"/>
      <w:r>
        <w:rPr>
          <w:rFonts w:hint="eastAsia"/>
          <w:color w:val="auto"/>
        </w:rPr>
        <w:t>属于HW08类危险废物，</w:t>
      </w:r>
      <w:bookmarkEnd w:id="229"/>
      <w:r>
        <w:rPr>
          <w:rFonts w:hint="eastAsia"/>
          <w:color w:val="auto"/>
        </w:rPr>
        <w:t>使用量约为0.19t/a，废机油产生量0.2t/a，</w:t>
      </w:r>
      <w:bookmarkStart w:id="230" w:name="_Hlk174035984"/>
      <w:r>
        <w:rPr>
          <w:color w:val="auto"/>
        </w:rPr>
        <w:t>送有资质单位处理。</w:t>
      </w:r>
    </w:p>
    <w:p w14:paraId="62112F53">
      <w:pPr>
        <w:pStyle w:val="132"/>
        <w:numPr>
          <w:ilvl w:val="0"/>
          <w:numId w:val="20"/>
        </w:numPr>
        <w:ind w:firstLineChars="0"/>
        <w:rPr>
          <w:color w:val="auto"/>
        </w:rPr>
      </w:pPr>
      <w:r>
        <w:rPr>
          <w:rFonts w:hint="eastAsia"/>
          <w:color w:val="auto"/>
        </w:rPr>
        <w:t>废催化剂（</w:t>
      </w:r>
      <w:r>
        <w:rPr>
          <w:color w:val="auto"/>
        </w:rPr>
        <w:t>S</w:t>
      </w:r>
      <w:r>
        <w:rPr>
          <w:rFonts w:hint="eastAsia"/>
          <w:color w:val="auto"/>
          <w:vertAlign w:val="subscript"/>
        </w:rPr>
        <w:t>4</w:t>
      </w:r>
      <w:r>
        <w:rPr>
          <w:rFonts w:hint="eastAsia"/>
          <w:color w:val="auto"/>
        </w:rPr>
        <w:t>）</w:t>
      </w:r>
    </w:p>
    <w:p w14:paraId="48516C94">
      <w:pPr>
        <w:pStyle w:val="132"/>
        <w:rPr>
          <w:color w:val="auto"/>
        </w:rPr>
      </w:pPr>
      <w:r>
        <w:rPr>
          <w:rFonts w:hint="eastAsia"/>
          <w:color w:val="auto"/>
        </w:rPr>
        <w:t>本项目催化剂焙烧工序采用SCR</w:t>
      </w:r>
      <w:r>
        <w:rPr>
          <w:color w:val="auto"/>
        </w:rPr>
        <w:t>脱硝，会产生脱硝催化剂，</w:t>
      </w:r>
      <w:r>
        <w:rPr>
          <w:rFonts w:hint="eastAsia"/>
          <w:color w:val="auto"/>
        </w:rPr>
        <w:t>根据SCR厂家提供的技术数据，废催化剂产生量约0.5t/a，属于HW50类危险废物，送有危险废物处理资质的单位处理。</w:t>
      </w:r>
    </w:p>
    <w:p w14:paraId="76BF330B">
      <w:pPr>
        <w:pStyle w:val="132"/>
        <w:rPr>
          <w:color w:val="auto"/>
        </w:rPr>
      </w:pPr>
      <w:r>
        <w:rPr>
          <w:rFonts w:hint="eastAsia"/>
          <w:color w:val="auto"/>
        </w:rPr>
        <w:t>（4）生活垃圾</w:t>
      </w:r>
    </w:p>
    <w:p w14:paraId="20161F90">
      <w:pPr>
        <w:pStyle w:val="132"/>
        <w:rPr>
          <w:color w:val="auto"/>
        </w:rPr>
      </w:pPr>
      <w:r>
        <w:rPr>
          <w:color w:val="auto"/>
        </w:rPr>
        <w:t>项目劳动定员</w:t>
      </w:r>
      <w:r>
        <w:rPr>
          <w:rFonts w:hint="eastAsia"/>
          <w:color w:val="auto"/>
        </w:rPr>
        <w:t>90</w:t>
      </w:r>
      <w:r>
        <w:rPr>
          <w:color w:val="auto"/>
        </w:rPr>
        <w:t>人</w:t>
      </w:r>
      <w:r>
        <w:rPr>
          <w:rFonts w:hint="eastAsia"/>
          <w:color w:val="auto"/>
        </w:rPr>
        <w:t>，生活垃圾产生量按1kg/人/</w:t>
      </w:r>
      <w:r>
        <w:rPr>
          <w:color w:val="auto"/>
        </w:rPr>
        <w:t>天</w:t>
      </w:r>
      <w:r>
        <w:rPr>
          <w:rFonts w:hint="eastAsia"/>
          <w:color w:val="auto"/>
        </w:rPr>
        <w:t>计算，年产生量32.85t，由园区环卫部门收集处理。</w:t>
      </w:r>
    </w:p>
    <w:bookmarkEnd w:id="230"/>
    <w:p w14:paraId="0BC5A6D1">
      <w:pPr>
        <w:pStyle w:val="132"/>
        <w:rPr>
          <w:color w:val="auto"/>
        </w:rPr>
      </w:pPr>
      <w:r>
        <w:rPr>
          <w:rFonts w:hint="eastAsia"/>
          <w:color w:val="auto"/>
        </w:rPr>
        <w:t>本项目固体废物产生及处置情况见表3.3-16。</w:t>
      </w:r>
    </w:p>
    <w:p w14:paraId="389D48B0">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6</w:t>
      </w:r>
      <w:r>
        <w:rPr>
          <w:color w:val="auto"/>
        </w:rPr>
        <w:fldChar w:fldCharType="end"/>
      </w:r>
      <w:r>
        <w:rPr>
          <w:color w:val="auto"/>
        </w:rPr>
        <w:t xml:space="preserve"> </w:t>
      </w:r>
      <w:r>
        <w:rPr>
          <w:rFonts w:hint="eastAsia"/>
          <w:color w:val="auto"/>
        </w:rPr>
        <w:t xml:space="preserve"> 本项目固体废物产生及处置情况表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645"/>
        <w:gridCol w:w="1084"/>
        <w:gridCol w:w="1071"/>
        <w:gridCol w:w="936"/>
        <w:gridCol w:w="1031"/>
        <w:gridCol w:w="1456"/>
        <w:gridCol w:w="1031"/>
        <w:gridCol w:w="1532"/>
      </w:tblGrid>
      <w:tr w14:paraId="465AFDF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40" w:hRule="atLeast"/>
        </w:trPr>
        <w:tc>
          <w:tcPr>
            <w:tcW w:w="371" w:type="pct"/>
            <w:vAlign w:val="center"/>
          </w:tcPr>
          <w:p w14:paraId="04FA5A96">
            <w:pPr>
              <w:pStyle w:val="129"/>
              <w:widowControl w:val="0"/>
              <w:rPr>
                <w:color w:val="auto"/>
              </w:rPr>
            </w:pPr>
            <w:r>
              <w:rPr>
                <w:rFonts w:hint="eastAsia"/>
                <w:color w:val="auto"/>
              </w:rPr>
              <w:t>编号</w:t>
            </w:r>
          </w:p>
        </w:tc>
        <w:tc>
          <w:tcPr>
            <w:tcW w:w="620" w:type="pct"/>
            <w:vAlign w:val="center"/>
          </w:tcPr>
          <w:p w14:paraId="1371ED62">
            <w:pPr>
              <w:pStyle w:val="129"/>
              <w:widowControl w:val="0"/>
              <w:rPr>
                <w:color w:val="auto"/>
              </w:rPr>
            </w:pPr>
            <w:r>
              <w:rPr>
                <w:rFonts w:hint="eastAsia"/>
                <w:color w:val="auto"/>
              </w:rPr>
              <w:t>固废名称</w:t>
            </w:r>
          </w:p>
        </w:tc>
        <w:tc>
          <w:tcPr>
            <w:tcW w:w="613" w:type="pct"/>
            <w:vAlign w:val="center"/>
          </w:tcPr>
          <w:p w14:paraId="14AC879F">
            <w:pPr>
              <w:pStyle w:val="129"/>
              <w:widowControl w:val="0"/>
              <w:rPr>
                <w:color w:val="auto"/>
              </w:rPr>
            </w:pPr>
            <w:r>
              <w:rPr>
                <w:rFonts w:hint="eastAsia"/>
                <w:color w:val="auto"/>
              </w:rPr>
              <w:t>来源</w:t>
            </w:r>
          </w:p>
        </w:tc>
        <w:tc>
          <w:tcPr>
            <w:tcW w:w="536" w:type="pct"/>
            <w:vAlign w:val="center"/>
          </w:tcPr>
          <w:p w14:paraId="39DB8906">
            <w:pPr>
              <w:pStyle w:val="129"/>
              <w:widowControl w:val="0"/>
              <w:rPr>
                <w:color w:val="auto"/>
              </w:rPr>
            </w:pPr>
            <w:r>
              <w:rPr>
                <w:rFonts w:hint="eastAsia"/>
                <w:color w:val="auto"/>
              </w:rPr>
              <w:t>组成及特性</w:t>
            </w:r>
          </w:p>
        </w:tc>
        <w:tc>
          <w:tcPr>
            <w:tcW w:w="590" w:type="pct"/>
            <w:vAlign w:val="center"/>
          </w:tcPr>
          <w:p w14:paraId="36246FBD">
            <w:pPr>
              <w:pStyle w:val="129"/>
              <w:widowControl w:val="0"/>
              <w:rPr>
                <w:color w:val="auto"/>
              </w:rPr>
            </w:pPr>
            <w:r>
              <w:rPr>
                <w:rFonts w:hint="eastAsia"/>
                <w:color w:val="auto"/>
              </w:rPr>
              <w:t>属性</w:t>
            </w:r>
          </w:p>
        </w:tc>
        <w:tc>
          <w:tcPr>
            <w:tcW w:w="804" w:type="pct"/>
            <w:vAlign w:val="center"/>
          </w:tcPr>
          <w:p w14:paraId="2EDF8738">
            <w:pPr>
              <w:pStyle w:val="129"/>
              <w:widowControl w:val="0"/>
              <w:rPr>
                <w:color w:val="auto"/>
              </w:rPr>
            </w:pPr>
            <w:r>
              <w:rPr>
                <w:rFonts w:hint="eastAsia"/>
                <w:color w:val="auto"/>
              </w:rPr>
              <w:t>危废代码</w:t>
            </w:r>
          </w:p>
        </w:tc>
        <w:tc>
          <w:tcPr>
            <w:tcW w:w="590" w:type="pct"/>
            <w:vAlign w:val="center"/>
          </w:tcPr>
          <w:p w14:paraId="505335DA">
            <w:pPr>
              <w:pStyle w:val="129"/>
              <w:widowControl w:val="0"/>
              <w:rPr>
                <w:color w:val="auto"/>
              </w:rPr>
            </w:pPr>
            <w:r>
              <w:rPr>
                <w:rFonts w:hint="eastAsia"/>
                <w:color w:val="auto"/>
              </w:rPr>
              <w:t>产生量（</w:t>
            </w:r>
            <w:r>
              <w:rPr>
                <w:color w:val="auto"/>
              </w:rPr>
              <w:t>t/a</w:t>
            </w:r>
            <w:r>
              <w:rPr>
                <w:rFonts w:hint="eastAsia"/>
                <w:color w:val="auto"/>
              </w:rPr>
              <w:t>）</w:t>
            </w:r>
          </w:p>
        </w:tc>
        <w:tc>
          <w:tcPr>
            <w:tcW w:w="875" w:type="pct"/>
            <w:vAlign w:val="center"/>
          </w:tcPr>
          <w:p w14:paraId="2345C31D">
            <w:pPr>
              <w:pStyle w:val="129"/>
              <w:widowControl w:val="0"/>
              <w:rPr>
                <w:color w:val="auto"/>
              </w:rPr>
            </w:pPr>
            <w:r>
              <w:rPr>
                <w:rFonts w:hint="eastAsia"/>
                <w:color w:val="auto"/>
              </w:rPr>
              <w:t>治理措施</w:t>
            </w:r>
          </w:p>
        </w:tc>
      </w:tr>
      <w:tr w14:paraId="1AC1804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40" w:hRule="atLeast"/>
        </w:trPr>
        <w:tc>
          <w:tcPr>
            <w:tcW w:w="371" w:type="pct"/>
            <w:vAlign w:val="center"/>
          </w:tcPr>
          <w:p w14:paraId="2BCE8D35">
            <w:pPr>
              <w:pStyle w:val="129"/>
              <w:widowControl w:val="0"/>
              <w:rPr>
                <w:color w:val="auto"/>
              </w:rPr>
            </w:pPr>
            <w:r>
              <w:rPr>
                <w:rFonts w:eastAsia="等线"/>
                <w:color w:val="auto"/>
              </w:rPr>
              <w:t>S</w:t>
            </w:r>
            <w:r>
              <w:rPr>
                <w:rFonts w:hint="eastAsia" w:eastAsia="等线"/>
                <w:color w:val="auto"/>
                <w:vertAlign w:val="subscript"/>
              </w:rPr>
              <w:t>1</w:t>
            </w:r>
          </w:p>
        </w:tc>
        <w:tc>
          <w:tcPr>
            <w:tcW w:w="620" w:type="pct"/>
            <w:vAlign w:val="center"/>
          </w:tcPr>
          <w:p w14:paraId="2E0BE9DF">
            <w:pPr>
              <w:pStyle w:val="129"/>
              <w:widowControl w:val="0"/>
              <w:rPr>
                <w:color w:val="auto"/>
              </w:rPr>
            </w:pPr>
            <w:r>
              <w:rPr>
                <w:rFonts w:hint="eastAsia"/>
                <w:color w:val="auto"/>
              </w:rPr>
              <w:t>废膜</w:t>
            </w:r>
          </w:p>
        </w:tc>
        <w:tc>
          <w:tcPr>
            <w:tcW w:w="613" w:type="pct"/>
            <w:vAlign w:val="center"/>
          </w:tcPr>
          <w:p w14:paraId="1A17CBA8">
            <w:pPr>
              <w:pStyle w:val="129"/>
              <w:widowControl w:val="0"/>
              <w:rPr>
                <w:color w:val="auto"/>
              </w:rPr>
            </w:pPr>
            <w:r>
              <w:rPr>
                <w:rFonts w:hint="eastAsia"/>
                <w:color w:val="auto"/>
              </w:rPr>
              <w:t>RO膜系统</w:t>
            </w:r>
          </w:p>
        </w:tc>
        <w:tc>
          <w:tcPr>
            <w:tcW w:w="536" w:type="pct"/>
            <w:vAlign w:val="center"/>
          </w:tcPr>
          <w:p w14:paraId="1DECB5FD">
            <w:pPr>
              <w:pStyle w:val="129"/>
              <w:widowControl w:val="0"/>
              <w:rPr>
                <w:color w:val="auto"/>
              </w:rPr>
            </w:pPr>
            <w:r>
              <w:rPr>
                <w:rFonts w:hint="eastAsia"/>
                <w:color w:val="auto"/>
              </w:rPr>
              <w:t>废膜</w:t>
            </w:r>
          </w:p>
        </w:tc>
        <w:tc>
          <w:tcPr>
            <w:tcW w:w="590" w:type="pct"/>
            <w:vAlign w:val="center"/>
          </w:tcPr>
          <w:p w14:paraId="1D0E691A">
            <w:pPr>
              <w:pStyle w:val="129"/>
              <w:widowControl w:val="0"/>
              <w:rPr>
                <w:color w:val="auto"/>
              </w:rPr>
            </w:pPr>
            <w:r>
              <w:rPr>
                <w:rFonts w:hint="eastAsia"/>
                <w:color w:val="auto"/>
              </w:rPr>
              <w:t>危险废物</w:t>
            </w:r>
          </w:p>
        </w:tc>
        <w:tc>
          <w:tcPr>
            <w:tcW w:w="804" w:type="pct"/>
            <w:vAlign w:val="center"/>
          </w:tcPr>
          <w:p w14:paraId="4CE2DB25">
            <w:pPr>
              <w:pStyle w:val="129"/>
              <w:widowControl w:val="0"/>
              <w:rPr>
                <w:color w:val="auto"/>
              </w:rPr>
            </w:pPr>
            <w:r>
              <w:rPr>
                <w:rFonts w:hint="eastAsia" w:eastAsia="等线"/>
                <w:color w:val="auto"/>
              </w:rPr>
              <w:t>HW49（900-041-49）</w:t>
            </w:r>
          </w:p>
        </w:tc>
        <w:tc>
          <w:tcPr>
            <w:tcW w:w="590" w:type="pct"/>
            <w:vAlign w:val="center"/>
          </w:tcPr>
          <w:p w14:paraId="35FDE5F8">
            <w:pPr>
              <w:pStyle w:val="129"/>
              <w:widowControl w:val="0"/>
              <w:rPr>
                <w:color w:val="auto"/>
              </w:rPr>
            </w:pPr>
            <w:r>
              <w:rPr>
                <w:rFonts w:hint="eastAsia"/>
                <w:color w:val="auto"/>
              </w:rPr>
              <w:t>10t/10a</w:t>
            </w:r>
          </w:p>
        </w:tc>
        <w:tc>
          <w:tcPr>
            <w:tcW w:w="875" w:type="pct"/>
            <w:vAlign w:val="center"/>
          </w:tcPr>
          <w:p w14:paraId="686C3887">
            <w:pPr>
              <w:pStyle w:val="129"/>
              <w:widowControl w:val="0"/>
              <w:rPr>
                <w:color w:val="auto"/>
              </w:rPr>
            </w:pPr>
            <w:r>
              <w:rPr>
                <w:rFonts w:hint="eastAsia"/>
                <w:color w:val="auto"/>
              </w:rPr>
              <w:t>交由有资质的单位处理</w:t>
            </w:r>
          </w:p>
        </w:tc>
      </w:tr>
      <w:tr w14:paraId="07CC8E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40" w:hRule="atLeast"/>
        </w:trPr>
        <w:tc>
          <w:tcPr>
            <w:tcW w:w="371" w:type="pct"/>
            <w:vAlign w:val="center"/>
          </w:tcPr>
          <w:p w14:paraId="0C636A48">
            <w:pPr>
              <w:pStyle w:val="129"/>
              <w:widowControl w:val="0"/>
              <w:rPr>
                <w:rFonts w:eastAsia="等线"/>
                <w:color w:val="auto"/>
              </w:rPr>
            </w:pPr>
            <w:r>
              <w:rPr>
                <w:rFonts w:eastAsia="等线"/>
                <w:color w:val="auto"/>
              </w:rPr>
              <w:t>S</w:t>
            </w:r>
            <w:r>
              <w:rPr>
                <w:rFonts w:hint="eastAsia" w:eastAsia="等线"/>
                <w:color w:val="auto"/>
                <w:vertAlign w:val="subscript"/>
              </w:rPr>
              <w:t>2</w:t>
            </w:r>
          </w:p>
        </w:tc>
        <w:tc>
          <w:tcPr>
            <w:tcW w:w="620" w:type="pct"/>
            <w:vAlign w:val="center"/>
          </w:tcPr>
          <w:p w14:paraId="5CF10600">
            <w:pPr>
              <w:pStyle w:val="129"/>
              <w:widowControl w:val="0"/>
              <w:rPr>
                <w:color w:val="auto"/>
              </w:rPr>
            </w:pPr>
            <w:r>
              <w:rPr>
                <w:rFonts w:hint="eastAsia"/>
                <w:color w:val="auto"/>
              </w:rPr>
              <w:t>废滤袋</w:t>
            </w:r>
          </w:p>
        </w:tc>
        <w:tc>
          <w:tcPr>
            <w:tcW w:w="613" w:type="pct"/>
            <w:vAlign w:val="center"/>
          </w:tcPr>
          <w:p w14:paraId="25801088">
            <w:pPr>
              <w:pStyle w:val="129"/>
              <w:widowControl w:val="0"/>
              <w:rPr>
                <w:color w:val="auto"/>
              </w:rPr>
            </w:pPr>
            <w:r>
              <w:rPr>
                <w:rFonts w:hint="eastAsia"/>
                <w:color w:val="auto"/>
              </w:rPr>
              <w:t>真空压滤机</w:t>
            </w:r>
          </w:p>
        </w:tc>
        <w:tc>
          <w:tcPr>
            <w:tcW w:w="536" w:type="pct"/>
            <w:vAlign w:val="center"/>
          </w:tcPr>
          <w:p w14:paraId="3D0705C7">
            <w:pPr>
              <w:pStyle w:val="129"/>
              <w:widowControl w:val="0"/>
              <w:rPr>
                <w:color w:val="auto"/>
              </w:rPr>
            </w:pPr>
            <w:r>
              <w:rPr>
                <w:rFonts w:hint="eastAsia"/>
                <w:color w:val="auto"/>
              </w:rPr>
              <w:t>废滤袋</w:t>
            </w:r>
          </w:p>
        </w:tc>
        <w:tc>
          <w:tcPr>
            <w:tcW w:w="590" w:type="pct"/>
            <w:vAlign w:val="center"/>
          </w:tcPr>
          <w:p w14:paraId="51756B00">
            <w:pPr>
              <w:pStyle w:val="129"/>
              <w:widowControl w:val="0"/>
              <w:rPr>
                <w:color w:val="auto"/>
              </w:rPr>
            </w:pPr>
            <w:r>
              <w:rPr>
                <w:rFonts w:hint="eastAsia"/>
                <w:color w:val="auto"/>
              </w:rPr>
              <w:t>一般工业固体废物</w:t>
            </w:r>
          </w:p>
        </w:tc>
        <w:tc>
          <w:tcPr>
            <w:tcW w:w="804" w:type="pct"/>
            <w:vAlign w:val="center"/>
          </w:tcPr>
          <w:p w14:paraId="2096B253">
            <w:pPr>
              <w:pStyle w:val="129"/>
              <w:widowControl w:val="0"/>
              <w:rPr>
                <w:rFonts w:eastAsia="等线"/>
                <w:color w:val="auto"/>
              </w:rPr>
            </w:pPr>
          </w:p>
        </w:tc>
        <w:tc>
          <w:tcPr>
            <w:tcW w:w="590" w:type="pct"/>
            <w:vAlign w:val="center"/>
          </w:tcPr>
          <w:p w14:paraId="5043CD07">
            <w:pPr>
              <w:pStyle w:val="129"/>
              <w:widowControl w:val="0"/>
              <w:rPr>
                <w:color w:val="auto"/>
              </w:rPr>
            </w:pPr>
            <w:r>
              <w:rPr>
                <w:rFonts w:hint="eastAsia"/>
                <w:color w:val="auto"/>
              </w:rPr>
              <w:t>0.5</w:t>
            </w:r>
          </w:p>
        </w:tc>
        <w:tc>
          <w:tcPr>
            <w:tcW w:w="875" w:type="pct"/>
            <w:vAlign w:val="center"/>
          </w:tcPr>
          <w:p w14:paraId="541D6C32">
            <w:pPr>
              <w:pStyle w:val="129"/>
              <w:widowControl w:val="0"/>
              <w:rPr>
                <w:color w:val="auto"/>
              </w:rPr>
            </w:pPr>
            <w:r>
              <w:rPr>
                <w:rFonts w:hint="eastAsia"/>
                <w:color w:val="auto"/>
              </w:rPr>
              <w:t>从厂家回收利用</w:t>
            </w:r>
          </w:p>
        </w:tc>
      </w:tr>
      <w:tr w14:paraId="1DB5E4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25" w:hRule="atLeast"/>
        </w:trPr>
        <w:tc>
          <w:tcPr>
            <w:tcW w:w="371" w:type="pct"/>
            <w:vAlign w:val="center"/>
          </w:tcPr>
          <w:p w14:paraId="4D76861F">
            <w:pPr>
              <w:pStyle w:val="129"/>
              <w:widowControl w:val="0"/>
              <w:rPr>
                <w:rFonts w:eastAsia="等线"/>
                <w:color w:val="auto"/>
              </w:rPr>
            </w:pPr>
            <w:r>
              <w:rPr>
                <w:rFonts w:eastAsia="等线"/>
                <w:color w:val="auto"/>
              </w:rPr>
              <w:t>S</w:t>
            </w:r>
            <w:r>
              <w:rPr>
                <w:rFonts w:hint="eastAsia" w:eastAsia="等线"/>
                <w:color w:val="auto"/>
                <w:vertAlign w:val="subscript"/>
              </w:rPr>
              <w:t>3</w:t>
            </w:r>
          </w:p>
        </w:tc>
        <w:tc>
          <w:tcPr>
            <w:tcW w:w="620" w:type="pct"/>
            <w:vAlign w:val="center"/>
          </w:tcPr>
          <w:p w14:paraId="57043B30">
            <w:pPr>
              <w:pStyle w:val="129"/>
              <w:widowControl w:val="0"/>
              <w:rPr>
                <w:rFonts w:hint="eastAsia" w:ascii="宋体" w:hAnsi="宋体" w:cs="宋体"/>
                <w:color w:val="auto"/>
              </w:rPr>
            </w:pPr>
            <w:r>
              <w:rPr>
                <w:rFonts w:hint="eastAsia"/>
                <w:color w:val="auto"/>
              </w:rPr>
              <w:t>废机油</w:t>
            </w:r>
          </w:p>
        </w:tc>
        <w:tc>
          <w:tcPr>
            <w:tcW w:w="613" w:type="pct"/>
            <w:vAlign w:val="center"/>
          </w:tcPr>
          <w:p w14:paraId="585F77CD">
            <w:pPr>
              <w:pStyle w:val="129"/>
              <w:widowControl w:val="0"/>
              <w:rPr>
                <w:color w:val="auto"/>
              </w:rPr>
            </w:pPr>
            <w:r>
              <w:rPr>
                <w:rFonts w:hint="eastAsia"/>
                <w:color w:val="auto"/>
              </w:rPr>
              <w:t>机械设备维护</w:t>
            </w:r>
          </w:p>
        </w:tc>
        <w:tc>
          <w:tcPr>
            <w:tcW w:w="536" w:type="pct"/>
            <w:vAlign w:val="center"/>
          </w:tcPr>
          <w:p w14:paraId="6183EBBB">
            <w:pPr>
              <w:pStyle w:val="129"/>
              <w:widowControl w:val="0"/>
              <w:rPr>
                <w:color w:val="auto"/>
              </w:rPr>
            </w:pPr>
            <w:r>
              <w:rPr>
                <w:rFonts w:hint="eastAsia"/>
                <w:color w:val="auto"/>
              </w:rPr>
              <w:t>废机油</w:t>
            </w:r>
          </w:p>
        </w:tc>
        <w:tc>
          <w:tcPr>
            <w:tcW w:w="590" w:type="pct"/>
            <w:vAlign w:val="center"/>
          </w:tcPr>
          <w:p w14:paraId="1CF7533B">
            <w:pPr>
              <w:pStyle w:val="129"/>
              <w:widowControl w:val="0"/>
              <w:rPr>
                <w:color w:val="auto"/>
              </w:rPr>
            </w:pPr>
            <w:bookmarkStart w:id="231" w:name="OLE_LINK123"/>
            <w:r>
              <w:rPr>
                <w:rFonts w:hint="eastAsia"/>
                <w:color w:val="auto"/>
              </w:rPr>
              <w:t>危险废物</w:t>
            </w:r>
            <w:bookmarkEnd w:id="231"/>
          </w:p>
        </w:tc>
        <w:tc>
          <w:tcPr>
            <w:tcW w:w="804" w:type="pct"/>
            <w:vAlign w:val="center"/>
          </w:tcPr>
          <w:p w14:paraId="5740C04B">
            <w:pPr>
              <w:pStyle w:val="129"/>
              <w:widowControl w:val="0"/>
              <w:rPr>
                <w:rFonts w:eastAsia="等线"/>
                <w:color w:val="auto"/>
              </w:rPr>
            </w:pPr>
            <w:bookmarkStart w:id="232" w:name="OLE_LINK124"/>
            <w:r>
              <w:rPr>
                <w:rFonts w:hint="eastAsia" w:eastAsia="等线"/>
                <w:color w:val="auto"/>
              </w:rPr>
              <w:t>HW08（900-214-08）</w:t>
            </w:r>
            <w:bookmarkEnd w:id="232"/>
          </w:p>
        </w:tc>
        <w:tc>
          <w:tcPr>
            <w:tcW w:w="590" w:type="pct"/>
            <w:vAlign w:val="center"/>
          </w:tcPr>
          <w:p w14:paraId="6A1DF07C">
            <w:pPr>
              <w:pStyle w:val="129"/>
              <w:widowControl w:val="0"/>
              <w:rPr>
                <w:rFonts w:eastAsia="等线"/>
                <w:color w:val="auto"/>
              </w:rPr>
            </w:pPr>
            <w:r>
              <w:rPr>
                <w:rFonts w:eastAsia="等线"/>
                <w:color w:val="auto"/>
              </w:rPr>
              <w:t>0.2</w:t>
            </w:r>
          </w:p>
        </w:tc>
        <w:tc>
          <w:tcPr>
            <w:tcW w:w="875" w:type="pct"/>
            <w:vAlign w:val="center"/>
          </w:tcPr>
          <w:p w14:paraId="199FACD3">
            <w:pPr>
              <w:pStyle w:val="129"/>
              <w:widowControl w:val="0"/>
              <w:rPr>
                <w:rFonts w:hint="eastAsia" w:ascii="宋体" w:hAnsi="宋体" w:cs="宋体"/>
                <w:color w:val="auto"/>
              </w:rPr>
            </w:pPr>
            <w:r>
              <w:rPr>
                <w:rFonts w:hint="eastAsia"/>
                <w:color w:val="auto"/>
              </w:rPr>
              <w:t>交由有资质的单位处理</w:t>
            </w:r>
          </w:p>
        </w:tc>
      </w:tr>
      <w:tr w14:paraId="7A039A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25" w:hRule="atLeast"/>
        </w:trPr>
        <w:tc>
          <w:tcPr>
            <w:tcW w:w="371" w:type="pct"/>
            <w:vAlign w:val="center"/>
          </w:tcPr>
          <w:p w14:paraId="65FBD3C4">
            <w:pPr>
              <w:pStyle w:val="129"/>
              <w:widowControl w:val="0"/>
              <w:rPr>
                <w:rFonts w:eastAsia="等线"/>
                <w:color w:val="auto"/>
              </w:rPr>
            </w:pPr>
            <w:bookmarkStart w:id="233" w:name="_Hlk227617536"/>
            <w:r>
              <w:rPr>
                <w:rFonts w:eastAsia="等线"/>
                <w:color w:val="auto"/>
              </w:rPr>
              <w:t>S</w:t>
            </w:r>
            <w:r>
              <w:rPr>
                <w:rFonts w:hint="eastAsia" w:eastAsia="等线"/>
                <w:color w:val="auto"/>
                <w:vertAlign w:val="subscript"/>
              </w:rPr>
              <w:t>4</w:t>
            </w:r>
          </w:p>
        </w:tc>
        <w:tc>
          <w:tcPr>
            <w:tcW w:w="620" w:type="pct"/>
            <w:vAlign w:val="center"/>
          </w:tcPr>
          <w:p w14:paraId="08F7F3C1">
            <w:pPr>
              <w:pStyle w:val="129"/>
              <w:widowControl w:val="0"/>
              <w:rPr>
                <w:color w:val="auto"/>
              </w:rPr>
            </w:pPr>
            <w:r>
              <w:rPr>
                <w:rFonts w:hint="eastAsia"/>
                <w:color w:val="auto"/>
              </w:rPr>
              <w:t>废催化剂</w:t>
            </w:r>
          </w:p>
        </w:tc>
        <w:tc>
          <w:tcPr>
            <w:tcW w:w="613" w:type="pct"/>
            <w:vAlign w:val="center"/>
          </w:tcPr>
          <w:p w14:paraId="2B4ED5A8">
            <w:pPr>
              <w:pStyle w:val="129"/>
              <w:widowControl w:val="0"/>
              <w:rPr>
                <w:color w:val="auto"/>
              </w:rPr>
            </w:pPr>
            <w:r>
              <w:rPr>
                <w:rFonts w:hint="eastAsia"/>
                <w:color w:val="auto"/>
              </w:rPr>
              <w:t>SCR脱硝</w:t>
            </w:r>
          </w:p>
        </w:tc>
        <w:tc>
          <w:tcPr>
            <w:tcW w:w="536" w:type="pct"/>
            <w:vAlign w:val="center"/>
          </w:tcPr>
          <w:p w14:paraId="0A675DC2">
            <w:pPr>
              <w:pStyle w:val="129"/>
              <w:widowControl w:val="0"/>
              <w:rPr>
                <w:color w:val="auto"/>
              </w:rPr>
            </w:pPr>
            <w:r>
              <w:rPr>
                <w:rFonts w:hint="eastAsia"/>
                <w:color w:val="auto"/>
              </w:rPr>
              <w:t>V</w:t>
            </w:r>
            <w:r>
              <w:rPr>
                <w:rFonts w:hint="eastAsia"/>
                <w:color w:val="auto"/>
                <w:vertAlign w:val="subscript"/>
              </w:rPr>
              <w:t>2</w:t>
            </w:r>
            <w:r>
              <w:rPr>
                <w:rFonts w:hint="eastAsia"/>
                <w:color w:val="auto"/>
              </w:rPr>
              <w:t>O</w:t>
            </w:r>
            <w:r>
              <w:rPr>
                <w:rFonts w:hint="eastAsia"/>
                <w:color w:val="auto"/>
                <w:vertAlign w:val="subscript"/>
              </w:rPr>
              <w:t>5</w:t>
            </w:r>
          </w:p>
        </w:tc>
        <w:tc>
          <w:tcPr>
            <w:tcW w:w="590" w:type="pct"/>
            <w:vAlign w:val="center"/>
          </w:tcPr>
          <w:p w14:paraId="3A849925">
            <w:pPr>
              <w:pStyle w:val="129"/>
              <w:widowControl w:val="0"/>
              <w:rPr>
                <w:color w:val="auto"/>
              </w:rPr>
            </w:pPr>
            <w:r>
              <w:rPr>
                <w:rFonts w:hint="eastAsia"/>
                <w:color w:val="auto"/>
              </w:rPr>
              <w:t>危险废物</w:t>
            </w:r>
          </w:p>
        </w:tc>
        <w:tc>
          <w:tcPr>
            <w:tcW w:w="804" w:type="pct"/>
            <w:vAlign w:val="center"/>
          </w:tcPr>
          <w:p w14:paraId="0BF3E6BA">
            <w:pPr>
              <w:pStyle w:val="129"/>
              <w:widowControl w:val="0"/>
              <w:rPr>
                <w:rFonts w:eastAsia="等线"/>
                <w:color w:val="auto"/>
              </w:rPr>
            </w:pPr>
            <w:r>
              <w:rPr>
                <w:rFonts w:hint="eastAsia" w:eastAsia="等线"/>
                <w:color w:val="auto"/>
              </w:rPr>
              <w:t>HW50（772-007-50）</w:t>
            </w:r>
          </w:p>
        </w:tc>
        <w:tc>
          <w:tcPr>
            <w:tcW w:w="590" w:type="pct"/>
            <w:vAlign w:val="center"/>
          </w:tcPr>
          <w:p w14:paraId="26E72F96">
            <w:pPr>
              <w:pStyle w:val="129"/>
              <w:widowControl w:val="0"/>
              <w:rPr>
                <w:rFonts w:eastAsia="等线"/>
                <w:color w:val="auto"/>
              </w:rPr>
            </w:pPr>
            <w:r>
              <w:rPr>
                <w:rFonts w:hint="eastAsia" w:eastAsia="等线"/>
                <w:color w:val="auto"/>
              </w:rPr>
              <w:t>0.5</w:t>
            </w:r>
          </w:p>
        </w:tc>
        <w:tc>
          <w:tcPr>
            <w:tcW w:w="875" w:type="pct"/>
            <w:vAlign w:val="center"/>
          </w:tcPr>
          <w:p w14:paraId="0E1941F2">
            <w:pPr>
              <w:pStyle w:val="129"/>
              <w:widowControl w:val="0"/>
              <w:rPr>
                <w:color w:val="auto"/>
              </w:rPr>
            </w:pPr>
            <w:r>
              <w:rPr>
                <w:rFonts w:hint="eastAsia"/>
                <w:color w:val="auto"/>
              </w:rPr>
              <w:t>交由有资质的单位处理</w:t>
            </w:r>
          </w:p>
        </w:tc>
      </w:tr>
      <w:bookmarkEnd w:id="233"/>
      <w:tr w14:paraId="14FBA66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25" w:hRule="atLeast"/>
        </w:trPr>
        <w:tc>
          <w:tcPr>
            <w:tcW w:w="371" w:type="pct"/>
            <w:vAlign w:val="center"/>
          </w:tcPr>
          <w:p w14:paraId="773B082B">
            <w:pPr>
              <w:pStyle w:val="129"/>
              <w:widowControl w:val="0"/>
              <w:rPr>
                <w:rFonts w:eastAsia="等线"/>
                <w:color w:val="auto"/>
              </w:rPr>
            </w:pPr>
            <w:r>
              <w:rPr>
                <w:rFonts w:eastAsia="等线"/>
                <w:color w:val="auto"/>
              </w:rPr>
              <w:t>S</w:t>
            </w:r>
            <w:r>
              <w:rPr>
                <w:rFonts w:hint="eastAsia" w:eastAsia="等线"/>
                <w:color w:val="auto"/>
                <w:vertAlign w:val="subscript"/>
              </w:rPr>
              <w:t>5</w:t>
            </w:r>
          </w:p>
        </w:tc>
        <w:tc>
          <w:tcPr>
            <w:tcW w:w="620" w:type="pct"/>
            <w:vAlign w:val="center"/>
          </w:tcPr>
          <w:p w14:paraId="2EB5533B">
            <w:pPr>
              <w:pStyle w:val="129"/>
              <w:widowControl w:val="0"/>
              <w:rPr>
                <w:color w:val="auto"/>
              </w:rPr>
            </w:pPr>
            <w:r>
              <w:rPr>
                <w:rFonts w:hint="eastAsia"/>
                <w:color w:val="auto"/>
              </w:rPr>
              <w:t>生活垃圾</w:t>
            </w:r>
          </w:p>
        </w:tc>
        <w:tc>
          <w:tcPr>
            <w:tcW w:w="613" w:type="pct"/>
            <w:vAlign w:val="center"/>
          </w:tcPr>
          <w:p w14:paraId="7D46D0C7">
            <w:pPr>
              <w:pStyle w:val="129"/>
              <w:widowControl w:val="0"/>
              <w:rPr>
                <w:color w:val="auto"/>
              </w:rPr>
            </w:pPr>
            <w:r>
              <w:rPr>
                <w:rFonts w:hint="eastAsia"/>
                <w:color w:val="auto"/>
              </w:rPr>
              <w:t>办公生活</w:t>
            </w:r>
          </w:p>
        </w:tc>
        <w:tc>
          <w:tcPr>
            <w:tcW w:w="536" w:type="pct"/>
            <w:vAlign w:val="center"/>
          </w:tcPr>
          <w:p w14:paraId="20C45409">
            <w:pPr>
              <w:pStyle w:val="129"/>
              <w:widowControl w:val="0"/>
              <w:rPr>
                <w:color w:val="auto"/>
              </w:rPr>
            </w:pPr>
            <w:r>
              <w:rPr>
                <w:rFonts w:eastAsia="等线"/>
                <w:color w:val="auto"/>
              </w:rPr>
              <w:t>　</w:t>
            </w:r>
          </w:p>
        </w:tc>
        <w:tc>
          <w:tcPr>
            <w:tcW w:w="590" w:type="pct"/>
            <w:vAlign w:val="center"/>
          </w:tcPr>
          <w:p w14:paraId="26D8ACEC">
            <w:pPr>
              <w:pStyle w:val="129"/>
              <w:widowControl w:val="0"/>
              <w:rPr>
                <w:color w:val="auto"/>
              </w:rPr>
            </w:pPr>
            <w:r>
              <w:rPr>
                <w:rFonts w:hint="eastAsia"/>
                <w:color w:val="auto"/>
              </w:rPr>
              <w:t>生活垃圾</w:t>
            </w:r>
          </w:p>
        </w:tc>
        <w:tc>
          <w:tcPr>
            <w:tcW w:w="804" w:type="pct"/>
            <w:vAlign w:val="center"/>
          </w:tcPr>
          <w:p w14:paraId="616E906E">
            <w:pPr>
              <w:pStyle w:val="129"/>
              <w:widowControl w:val="0"/>
              <w:rPr>
                <w:rFonts w:eastAsia="等线"/>
                <w:color w:val="auto"/>
              </w:rPr>
            </w:pPr>
            <w:r>
              <w:rPr>
                <w:rFonts w:eastAsia="等线"/>
                <w:color w:val="auto"/>
              </w:rPr>
              <w:t>　</w:t>
            </w:r>
          </w:p>
        </w:tc>
        <w:tc>
          <w:tcPr>
            <w:tcW w:w="590" w:type="pct"/>
            <w:vAlign w:val="center"/>
          </w:tcPr>
          <w:p w14:paraId="69A7BCBA">
            <w:pPr>
              <w:pStyle w:val="129"/>
              <w:widowControl w:val="0"/>
              <w:rPr>
                <w:rFonts w:eastAsia="等线"/>
                <w:color w:val="auto"/>
              </w:rPr>
            </w:pPr>
            <w:r>
              <w:rPr>
                <w:rFonts w:hint="eastAsia" w:eastAsia="等线"/>
                <w:color w:val="auto"/>
              </w:rPr>
              <w:t>32.85</w:t>
            </w:r>
          </w:p>
        </w:tc>
        <w:tc>
          <w:tcPr>
            <w:tcW w:w="875" w:type="pct"/>
            <w:vAlign w:val="center"/>
          </w:tcPr>
          <w:p w14:paraId="63001392">
            <w:pPr>
              <w:pStyle w:val="129"/>
              <w:widowControl w:val="0"/>
              <w:rPr>
                <w:color w:val="auto"/>
              </w:rPr>
            </w:pPr>
            <w:r>
              <w:rPr>
                <w:rFonts w:hint="eastAsia"/>
                <w:color w:val="auto"/>
              </w:rPr>
              <w:t>园区环卫部门收集处理</w:t>
            </w:r>
          </w:p>
        </w:tc>
      </w:tr>
    </w:tbl>
    <w:p w14:paraId="152A7EA7">
      <w:pPr>
        <w:pStyle w:val="1304"/>
        <w:rPr>
          <w:color w:val="auto"/>
        </w:rPr>
      </w:pPr>
    </w:p>
    <w:p w14:paraId="1A4994FA">
      <w:pPr>
        <w:pStyle w:val="4"/>
        <w:rPr>
          <w:color w:val="auto"/>
        </w:rPr>
      </w:pPr>
      <w:r>
        <w:rPr>
          <w:rFonts w:hint="eastAsia"/>
          <w:color w:val="auto"/>
        </w:rPr>
        <w:t>噪声产生及排放</w:t>
      </w:r>
    </w:p>
    <w:p w14:paraId="13E4F92A">
      <w:pPr>
        <w:pStyle w:val="132"/>
        <w:rPr>
          <w:color w:val="auto"/>
        </w:rPr>
      </w:pPr>
      <w:r>
        <w:rPr>
          <w:rFonts w:hint="eastAsia"/>
          <w:color w:val="auto"/>
        </w:rPr>
        <w:t>工程噪声主要为机械噪声、空气动力性噪声。机械噪声源为各种泵类、包装机等；空气动力性噪声主要为风机等，噪声源强为86~96dB(A)。结合车间建设情况及设备采取的其他降噪措施，工程噪声设备源强及防治措施效果见表3.3-15。</w:t>
      </w:r>
    </w:p>
    <w:p w14:paraId="52377887">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7</w:t>
      </w:r>
      <w:r>
        <w:rPr>
          <w:color w:val="auto"/>
        </w:rPr>
        <w:fldChar w:fldCharType="end"/>
      </w:r>
      <w:r>
        <w:rPr>
          <w:color w:val="auto"/>
        </w:rPr>
        <w:t xml:space="preserve"> </w:t>
      </w:r>
      <w:r>
        <w:rPr>
          <w:rFonts w:hint="eastAsia"/>
          <w:color w:val="auto"/>
        </w:rPr>
        <w:t xml:space="preserve"> 主要噪声源及降噪措施一览表  dB（A）</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042"/>
        <w:gridCol w:w="1202"/>
        <w:gridCol w:w="901"/>
        <w:gridCol w:w="903"/>
        <w:gridCol w:w="3456"/>
        <w:gridCol w:w="601"/>
        <w:gridCol w:w="681"/>
      </w:tblGrid>
      <w:tr w14:paraId="0426A0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93" w:type="pct"/>
            <w:vAlign w:val="center"/>
          </w:tcPr>
          <w:p w14:paraId="3517BCB1">
            <w:pPr>
              <w:pStyle w:val="129"/>
              <w:widowControl w:val="0"/>
              <w:rPr>
                <w:color w:val="auto"/>
              </w:rPr>
            </w:pPr>
            <w:r>
              <w:rPr>
                <w:rFonts w:hint="eastAsia"/>
                <w:color w:val="auto"/>
              </w:rPr>
              <w:t>声源类型</w:t>
            </w:r>
          </w:p>
        </w:tc>
        <w:tc>
          <w:tcPr>
            <w:tcW w:w="684" w:type="pct"/>
            <w:vAlign w:val="center"/>
          </w:tcPr>
          <w:p w14:paraId="6AAEB07C">
            <w:pPr>
              <w:pStyle w:val="129"/>
              <w:widowControl w:val="0"/>
              <w:rPr>
                <w:color w:val="auto"/>
              </w:rPr>
            </w:pPr>
            <w:r>
              <w:rPr>
                <w:rFonts w:hint="eastAsia"/>
                <w:color w:val="auto"/>
              </w:rPr>
              <w:t>噪声源</w:t>
            </w:r>
          </w:p>
        </w:tc>
        <w:tc>
          <w:tcPr>
            <w:tcW w:w="513" w:type="pct"/>
            <w:vAlign w:val="center"/>
          </w:tcPr>
          <w:p w14:paraId="4AB56B40">
            <w:pPr>
              <w:pStyle w:val="129"/>
              <w:widowControl w:val="0"/>
              <w:rPr>
                <w:color w:val="auto"/>
              </w:rPr>
            </w:pPr>
            <w:r>
              <w:rPr>
                <w:rFonts w:hint="eastAsia"/>
                <w:color w:val="auto"/>
              </w:rPr>
              <w:t>台数</w:t>
            </w:r>
          </w:p>
        </w:tc>
        <w:tc>
          <w:tcPr>
            <w:tcW w:w="514" w:type="pct"/>
            <w:vAlign w:val="center"/>
          </w:tcPr>
          <w:p w14:paraId="2CE046CD">
            <w:pPr>
              <w:pStyle w:val="129"/>
              <w:widowControl w:val="0"/>
              <w:rPr>
                <w:color w:val="auto"/>
              </w:rPr>
            </w:pPr>
            <w:r>
              <w:rPr>
                <w:rFonts w:hint="eastAsia"/>
                <w:color w:val="auto"/>
              </w:rPr>
              <w:t>叠加后源强</w:t>
            </w:r>
          </w:p>
        </w:tc>
        <w:tc>
          <w:tcPr>
            <w:tcW w:w="1967" w:type="pct"/>
            <w:vAlign w:val="center"/>
          </w:tcPr>
          <w:p w14:paraId="3308E411">
            <w:pPr>
              <w:pStyle w:val="129"/>
              <w:widowControl w:val="0"/>
              <w:rPr>
                <w:color w:val="auto"/>
              </w:rPr>
            </w:pPr>
            <w:r>
              <w:rPr>
                <w:rFonts w:hint="eastAsia"/>
                <w:color w:val="auto"/>
              </w:rPr>
              <w:t>防治措施</w:t>
            </w:r>
          </w:p>
        </w:tc>
        <w:tc>
          <w:tcPr>
            <w:tcW w:w="342" w:type="pct"/>
            <w:vAlign w:val="center"/>
          </w:tcPr>
          <w:p w14:paraId="77221F7D">
            <w:pPr>
              <w:pStyle w:val="129"/>
              <w:widowControl w:val="0"/>
              <w:rPr>
                <w:color w:val="auto"/>
              </w:rPr>
            </w:pPr>
            <w:r>
              <w:rPr>
                <w:rFonts w:hint="eastAsia"/>
                <w:color w:val="auto"/>
              </w:rPr>
              <w:t>降噪量</w:t>
            </w:r>
          </w:p>
        </w:tc>
        <w:tc>
          <w:tcPr>
            <w:tcW w:w="387" w:type="pct"/>
            <w:vAlign w:val="center"/>
          </w:tcPr>
          <w:p w14:paraId="731EEAE7">
            <w:pPr>
              <w:pStyle w:val="129"/>
              <w:widowControl w:val="0"/>
              <w:rPr>
                <w:color w:val="auto"/>
              </w:rPr>
            </w:pPr>
            <w:r>
              <w:rPr>
                <w:rFonts w:hint="eastAsia"/>
                <w:color w:val="auto"/>
              </w:rPr>
              <w:t>排放噪声</w:t>
            </w:r>
          </w:p>
        </w:tc>
      </w:tr>
      <w:tr w14:paraId="1B2D7B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93" w:type="pct"/>
            <w:vMerge w:val="restart"/>
            <w:vAlign w:val="center"/>
          </w:tcPr>
          <w:p w14:paraId="58F095F9">
            <w:pPr>
              <w:pStyle w:val="129"/>
              <w:widowControl w:val="0"/>
              <w:rPr>
                <w:color w:val="auto"/>
              </w:rPr>
            </w:pPr>
            <w:r>
              <w:rPr>
                <w:rFonts w:hint="eastAsia"/>
                <w:color w:val="auto"/>
              </w:rPr>
              <w:t>机械噪声</w:t>
            </w:r>
          </w:p>
        </w:tc>
        <w:tc>
          <w:tcPr>
            <w:tcW w:w="684" w:type="pct"/>
            <w:vAlign w:val="center"/>
          </w:tcPr>
          <w:p w14:paraId="20B65736">
            <w:pPr>
              <w:pStyle w:val="129"/>
              <w:widowControl w:val="0"/>
              <w:rPr>
                <w:color w:val="auto"/>
              </w:rPr>
            </w:pPr>
            <w:r>
              <w:rPr>
                <w:rFonts w:hint="eastAsia"/>
                <w:color w:val="auto"/>
              </w:rPr>
              <w:t>机泵</w:t>
            </w:r>
          </w:p>
        </w:tc>
        <w:tc>
          <w:tcPr>
            <w:tcW w:w="513" w:type="pct"/>
            <w:vAlign w:val="center"/>
          </w:tcPr>
          <w:p w14:paraId="0E3C7FB9">
            <w:pPr>
              <w:pStyle w:val="129"/>
              <w:widowControl w:val="0"/>
              <w:rPr>
                <w:color w:val="auto"/>
              </w:rPr>
            </w:pPr>
            <w:r>
              <w:rPr>
                <w:rFonts w:hint="eastAsia"/>
                <w:color w:val="auto"/>
              </w:rPr>
              <w:t>16</w:t>
            </w:r>
          </w:p>
        </w:tc>
        <w:tc>
          <w:tcPr>
            <w:tcW w:w="514" w:type="pct"/>
            <w:vAlign w:val="center"/>
          </w:tcPr>
          <w:p w14:paraId="41FC8C29">
            <w:pPr>
              <w:pStyle w:val="129"/>
              <w:widowControl w:val="0"/>
              <w:rPr>
                <w:color w:val="auto"/>
              </w:rPr>
            </w:pPr>
            <w:r>
              <w:rPr>
                <w:rFonts w:hint="eastAsia"/>
                <w:color w:val="auto"/>
              </w:rPr>
              <w:t>91</w:t>
            </w:r>
          </w:p>
        </w:tc>
        <w:tc>
          <w:tcPr>
            <w:tcW w:w="1967" w:type="pct"/>
            <w:vAlign w:val="center"/>
          </w:tcPr>
          <w:p w14:paraId="1099E454">
            <w:pPr>
              <w:pStyle w:val="129"/>
              <w:widowControl w:val="0"/>
              <w:rPr>
                <w:color w:val="auto"/>
              </w:rPr>
            </w:pPr>
            <w:r>
              <w:rPr>
                <w:rFonts w:hint="eastAsia"/>
                <w:color w:val="auto"/>
              </w:rPr>
              <w:t>减振基础、室内布置</w:t>
            </w:r>
          </w:p>
        </w:tc>
        <w:tc>
          <w:tcPr>
            <w:tcW w:w="342" w:type="pct"/>
            <w:vAlign w:val="center"/>
          </w:tcPr>
          <w:p w14:paraId="7AD91F69">
            <w:pPr>
              <w:pStyle w:val="129"/>
              <w:widowControl w:val="0"/>
              <w:rPr>
                <w:color w:val="auto"/>
              </w:rPr>
            </w:pPr>
            <w:r>
              <w:rPr>
                <w:rFonts w:hint="eastAsia"/>
                <w:color w:val="auto"/>
              </w:rPr>
              <w:t>25</w:t>
            </w:r>
          </w:p>
        </w:tc>
        <w:tc>
          <w:tcPr>
            <w:tcW w:w="387" w:type="pct"/>
            <w:vAlign w:val="center"/>
          </w:tcPr>
          <w:p w14:paraId="7697087C">
            <w:pPr>
              <w:pStyle w:val="129"/>
              <w:widowControl w:val="0"/>
              <w:rPr>
                <w:color w:val="auto"/>
              </w:rPr>
            </w:pPr>
            <w:r>
              <w:rPr>
                <w:rFonts w:hint="eastAsia"/>
                <w:color w:val="auto"/>
              </w:rPr>
              <w:t>66</w:t>
            </w:r>
          </w:p>
        </w:tc>
      </w:tr>
      <w:tr w14:paraId="0434DFD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93" w:type="pct"/>
            <w:vMerge w:val="continue"/>
            <w:vAlign w:val="center"/>
          </w:tcPr>
          <w:p w14:paraId="3AE0155C">
            <w:pPr>
              <w:pStyle w:val="129"/>
              <w:widowControl w:val="0"/>
              <w:rPr>
                <w:color w:val="auto"/>
              </w:rPr>
            </w:pPr>
          </w:p>
        </w:tc>
        <w:tc>
          <w:tcPr>
            <w:tcW w:w="684" w:type="pct"/>
            <w:vAlign w:val="center"/>
          </w:tcPr>
          <w:p w14:paraId="41A042D6">
            <w:pPr>
              <w:pStyle w:val="129"/>
              <w:widowControl w:val="0"/>
              <w:rPr>
                <w:color w:val="auto"/>
              </w:rPr>
            </w:pPr>
            <w:r>
              <w:rPr>
                <w:rFonts w:hint="eastAsia"/>
                <w:color w:val="auto"/>
              </w:rPr>
              <w:t>包装机</w:t>
            </w:r>
          </w:p>
        </w:tc>
        <w:tc>
          <w:tcPr>
            <w:tcW w:w="513" w:type="pct"/>
            <w:vAlign w:val="center"/>
          </w:tcPr>
          <w:p w14:paraId="3C30F278">
            <w:pPr>
              <w:pStyle w:val="129"/>
              <w:widowControl w:val="0"/>
              <w:rPr>
                <w:color w:val="auto"/>
              </w:rPr>
            </w:pPr>
            <w:r>
              <w:rPr>
                <w:rFonts w:hint="eastAsia"/>
                <w:color w:val="auto"/>
              </w:rPr>
              <w:t>4</w:t>
            </w:r>
          </w:p>
        </w:tc>
        <w:tc>
          <w:tcPr>
            <w:tcW w:w="514" w:type="pct"/>
            <w:vAlign w:val="center"/>
          </w:tcPr>
          <w:p w14:paraId="3CD2C08F">
            <w:pPr>
              <w:pStyle w:val="129"/>
              <w:widowControl w:val="0"/>
              <w:rPr>
                <w:color w:val="auto"/>
              </w:rPr>
            </w:pPr>
            <w:r>
              <w:rPr>
                <w:rFonts w:hint="eastAsia"/>
                <w:color w:val="auto"/>
              </w:rPr>
              <w:t>86</w:t>
            </w:r>
          </w:p>
        </w:tc>
        <w:tc>
          <w:tcPr>
            <w:tcW w:w="1967" w:type="pct"/>
            <w:vAlign w:val="center"/>
          </w:tcPr>
          <w:p w14:paraId="7C31F50E">
            <w:pPr>
              <w:pStyle w:val="129"/>
              <w:widowControl w:val="0"/>
              <w:rPr>
                <w:color w:val="auto"/>
              </w:rPr>
            </w:pPr>
            <w:r>
              <w:rPr>
                <w:rFonts w:hint="eastAsia"/>
                <w:color w:val="auto"/>
              </w:rPr>
              <w:t>减振基础、室内布置</w:t>
            </w:r>
          </w:p>
        </w:tc>
        <w:tc>
          <w:tcPr>
            <w:tcW w:w="342" w:type="pct"/>
            <w:vAlign w:val="center"/>
          </w:tcPr>
          <w:p w14:paraId="23930263">
            <w:pPr>
              <w:pStyle w:val="129"/>
              <w:widowControl w:val="0"/>
              <w:rPr>
                <w:color w:val="auto"/>
              </w:rPr>
            </w:pPr>
            <w:r>
              <w:rPr>
                <w:rFonts w:hint="eastAsia"/>
                <w:color w:val="auto"/>
              </w:rPr>
              <w:t>25</w:t>
            </w:r>
          </w:p>
        </w:tc>
        <w:tc>
          <w:tcPr>
            <w:tcW w:w="387" w:type="pct"/>
            <w:vAlign w:val="center"/>
          </w:tcPr>
          <w:p w14:paraId="59CF63CF">
            <w:pPr>
              <w:pStyle w:val="129"/>
              <w:widowControl w:val="0"/>
              <w:rPr>
                <w:color w:val="auto"/>
              </w:rPr>
            </w:pPr>
            <w:r>
              <w:rPr>
                <w:rFonts w:hint="eastAsia"/>
                <w:color w:val="auto"/>
              </w:rPr>
              <w:t>71</w:t>
            </w:r>
          </w:p>
        </w:tc>
      </w:tr>
      <w:tr w14:paraId="220F13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93" w:type="pct"/>
            <w:vAlign w:val="center"/>
          </w:tcPr>
          <w:p w14:paraId="7B7C9E5C">
            <w:pPr>
              <w:pStyle w:val="129"/>
              <w:widowControl w:val="0"/>
              <w:rPr>
                <w:color w:val="auto"/>
              </w:rPr>
            </w:pPr>
            <w:r>
              <w:rPr>
                <w:rFonts w:hint="eastAsia"/>
                <w:color w:val="auto"/>
              </w:rPr>
              <w:t>空气动力性噪声</w:t>
            </w:r>
          </w:p>
        </w:tc>
        <w:tc>
          <w:tcPr>
            <w:tcW w:w="684" w:type="pct"/>
            <w:vAlign w:val="center"/>
          </w:tcPr>
          <w:p w14:paraId="76D42C66">
            <w:pPr>
              <w:pStyle w:val="129"/>
              <w:widowControl w:val="0"/>
              <w:rPr>
                <w:color w:val="auto"/>
              </w:rPr>
            </w:pPr>
            <w:r>
              <w:rPr>
                <w:rFonts w:hint="eastAsia"/>
                <w:color w:val="auto"/>
              </w:rPr>
              <w:t>风机</w:t>
            </w:r>
          </w:p>
        </w:tc>
        <w:tc>
          <w:tcPr>
            <w:tcW w:w="513" w:type="pct"/>
            <w:vAlign w:val="center"/>
          </w:tcPr>
          <w:p w14:paraId="44B8445C">
            <w:pPr>
              <w:pStyle w:val="129"/>
              <w:widowControl w:val="0"/>
              <w:rPr>
                <w:color w:val="auto"/>
              </w:rPr>
            </w:pPr>
            <w:r>
              <w:rPr>
                <w:rFonts w:hint="eastAsia"/>
                <w:color w:val="auto"/>
              </w:rPr>
              <w:t>7</w:t>
            </w:r>
          </w:p>
        </w:tc>
        <w:tc>
          <w:tcPr>
            <w:tcW w:w="514" w:type="pct"/>
            <w:vAlign w:val="center"/>
          </w:tcPr>
          <w:p w14:paraId="6C234846">
            <w:pPr>
              <w:pStyle w:val="129"/>
              <w:widowControl w:val="0"/>
              <w:rPr>
                <w:color w:val="auto"/>
              </w:rPr>
            </w:pPr>
            <w:r>
              <w:rPr>
                <w:rFonts w:hint="eastAsia"/>
                <w:color w:val="auto"/>
              </w:rPr>
              <w:t>96</w:t>
            </w:r>
          </w:p>
        </w:tc>
        <w:tc>
          <w:tcPr>
            <w:tcW w:w="1967" w:type="pct"/>
            <w:vAlign w:val="center"/>
          </w:tcPr>
          <w:p w14:paraId="209890E1">
            <w:pPr>
              <w:pStyle w:val="129"/>
              <w:widowControl w:val="0"/>
              <w:rPr>
                <w:color w:val="auto"/>
              </w:rPr>
            </w:pPr>
            <w:r>
              <w:rPr>
                <w:rFonts w:hint="eastAsia"/>
                <w:color w:val="auto"/>
              </w:rPr>
              <w:t>减振基础、室外布置、安装消声器</w:t>
            </w:r>
          </w:p>
        </w:tc>
        <w:tc>
          <w:tcPr>
            <w:tcW w:w="342" w:type="pct"/>
            <w:vAlign w:val="center"/>
          </w:tcPr>
          <w:p w14:paraId="17FACD80">
            <w:pPr>
              <w:pStyle w:val="129"/>
              <w:widowControl w:val="0"/>
              <w:rPr>
                <w:color w:val="auto"/>
              </w:rPr>
            </w:pPr>
            <w:r>
              <w:rPr>
                <w:rFonts w:hint="eastAsia"/>
                <w:color w:val="auto"/>
              </w:rPr>
              <w:t>30</w:t>
            </w:r>
          </w:p>
        </w:tc>
        <w:tc>
          <w:tcPr>
            <w:tcW w:w="387" w:type="pct"/>
            <w:vAlign w:val="center"/>
          </w:tcPr>
          <w:p w14:paraId="0BAA5F1A">
            <w:pPr>
              <w:pStyle w:val="129"/>
              <w:widowControl w:val="0"/>
              <w:rPr>
                <w:color w:val="auto"/>
              </w:rPr>
            </w:pPr>
            <w:r>
              <w:rPr>
                <w:rFonts w:hint="eastAsia"/>
                <w:color w:val="auto"/>
              </w:rPr>
              <w:t>66</w:t>
            </w:r>
          </w:p>
        </w:tc>
      </w:tr>
    </w:tbl>
    <w:p w14:paraId="37674D26">
      <w:pPr>
        <w:pStyle w:val="1304"/>
        <w:rPr>
          <w:color w:val="auto"/>
        </w:rPr>
      </w:pPr>
    </w:p>
    <w:p w14:paraId="11078DA3">
      <w:pPr>
        <w:pStyle w:val="3"/>
        <w:rPr>
          <w:color w:val="auto"/>
        </w:rPr>
      </w:pPr>
      <w:bookmarkStart w:id="234" w:name="_Toc229930125"/>
      <w:r>
        <w:rPr>
          <w:rFonts w:hint="eastAsia"/>
          <w:color w:val="auto"/>
        </w:rPr>
        <w:t>厂外工程及生态环境影响分析</w:t>
      </w:r>
      <w:bookmarkEnd w:id="234"/>
    </w:p>
    <w:p w14:paraId="69D17018">
      <w:pPr>
        <w:pStyle w:val="4"/>
        <w:rPr>
          <w:color w:val="auto"/>
        </w:rPr>
      </w:pPr>
      <w:r>
        <w:rPr>
          <w:rFonts w:hint="eastAsia"/>
          <w:color w:val="auto"/>
        </w:rPr>
        <w:t>线路工程</w:t>
      </w:r>
    </w:p>
    <w:p w14:paraId="22C6264E">
      <w:pPr>
        <w:pStyle w:val="5"/>
        <w:rPr>
          <w:color w:val="auto"/>
        </w:rPr>
      </w:pPr>
      <w:r>
        <w:rPr>
          <w:rFonts w:hint="eastAsia"/>
          <w:color w:val="auto"/>
        </w:rPr>
        <w:t>线路走向方案</w:t>
      </w:r>
    </w:p>
    <w:p w14:paraId="26B85328">
      <w:pPr>
        <w:pStyle w:val="132"/>
        <w:rPr>
          <w:color w:val="auto"/>
        </w:rPr>
      </w:pPr>
      <w:r>
        <w:rPr>
          <w:color w:val="auto"/>
        </w:rPr>
        <w:t>新疆兖矿化工有限公司排污管道</w:t>
      </w:r>
      <w:r>
        <w:rPr>
          <w:rFonts w:hint="eastAsia"/>
          <w:color w:val="auto"/>
        </w:rPr>
        <w:t>（</w:t>
      </w:r>
      <w:r>
        <w:rPr>
          <w:color w:val="auto"/>
        </w:rPr>
        <w:t>氨水</w:t>
      </w:r>
      <w:r>
        <w:rPr>
          <w:rFonts w:hint="eastAsia"/>
          <w:color w:val="auto"/>
        </w:rPr>
        <w:t>、</w:t>
      </w:r>
      <w:r>
        <w:rPr>
          <w:color w:val="auto"/>
        </w:rPr>
        <w:t>二氧化碳</w:t>
      </w:r>
      <w:r>
        <w:rPr>
          <w:rFonts w:hint="eastAsia"/>
          <w:color w:val="auto"/>
        </w:rPr>
        <w:t>、蒸汽）</w:t>
      </w:r>
      <w:r>
        <w:rPr>
          <w:color w:val="auto"/>
        </w:rPr>
        <w:t>自装置区接出后，在厂区围墙处开始埋地，自南向北垂直顶管穿越厂外道路敷设</w:t>
      </w:r>
      <w:r>
        <w:rPr>
          <w:rFonts w:hint="eastAsia"/>
          <w:color w:val="auto"/>
        </w:rPr>
        <w:t>65.341m</w:t>
      </w:r>
      <w:r>
        <w:rPr>
          <w:color w:val="auto"/>
        </w:rPr>
        <w:t>后</w:t>
      </w:r>
      <w:r>
        <w:rPr>
          <w:rFonts w:hint="eastAsia"/>
          <w:color w:val="auto"/>
        </w:rPr>
        <w:t>到达拐点1，</w:t>
      </w:r>
      <w:r>
        <w:rPr>
          <w:color w:val="auto"/>
        </w:rPr>
        <w:t>管道自东向西从220k</w:t>
      </w:r>
      <w:r>
        <w:rPr>
          <w:rFonts w:hint="eastAsia"/>
          <w:color w:val="auto"/>
        </w:rPr>
        <w:t>V</w:t>
      </w:r>
      <w:r>
        <w:rPr>
          <w:color w:val="auto"/>
        </w:rPr>
        <w:t>A和110k</w:t>
      </w:r>
      <w:r>
        <w:rPr>
          <w:rFonts w:hint="eastAsia"/>
          <w:color w:val="auto"/>
        </w:rPr>
        <w:t>V</w:t>
      </w:r>
      <w:r>
        <w:rPr>
          <w:color w:val="auto"/>
        </w:rPr>
        <w:t>A高压廊道中间空旷地带通行，与自新疆众和股份有限公司电极箔公司接出的污水管道汇合后同沟敷设，该段管线总长约</w:t>
      </w:r>
      <w:r>
        <w:rPr>
          <w:rFonts w:hint="eastAsia"/>
          <w:color w:val="auto"/>
        </w:rPr>
        <w:t>732.779</w:t>
      </w:r>
      <w:r>
        <w:rPr>
          <w:color w:val="auto"/>
        </w:rPr>
        <w:t>m。</w:t>
      </w:r>
    </w:p>
    <w:p w14:paraId="085AF0B0">
      <w:pPr>
        <w:pStyle w:val="132"/>
        <w:rPr>
          <w:color w:val="auto"/>
        </w:rPr>
      </w:pPr>
      <w:r>
        <w:rPr>
          <w:color w:val="auto"/>
        </w:rPr>
        <w:t>新疆众和股份有限公司电极箔公司污水管道自排放点接出后，在厂区围墙处埋地，自南向北垂直顶管穿越厂外道路敷设</w:t>
      </w:r>
      <w:r>
        <w:rPr>
          <w:rFonts w:hint="eastAsia"/>
          <w:color w:val="auto"/>
        </w:rPr>
        <w:t>66.842m</w:t>
      </w:r>
      <w:r>
        <w:rPr>
          <w:color w:val="auto"/>
        </w:rPr>
        <w:t>后</w:t>
      </w:r>
      <w:r>
        <w:rPr>
          <w:rFonts w:hint="eastAsia"/>
          <w:color w:val="auto"/>
        </w:rPr>
        <w:t>到达拐点2</w:t>
      </w:r>
      <w:r>
        <w:rPr>
          <w:color w:val="auto"/>
        </w:rPr>
        <w:t>，自东向西与新疆兖矿化工有限公司氨水</w:t>
      </w:r>
      <w:r>
        <w:rPr>
          <w:rFonts w:hint="eastAsia"/>
          <w:color w:val="auto"/>
        </w:rPr>
        <w:t>、</w:t>
      </w:r>
      <w:r>
        <w:rPr>
          <w:color w:val="auto"/>
        </w:rPr>
        <w:t>二氧化碳</w:t>
      </w:r>
      <w:r>
        <w:rPr>
          <w:rFonts w:hint="eastAsia"/>
          <w:color w:val="auto"/>
        </w:rPr>
        <w:t>、蒸汽</w:t>
      </w:r>
      <w:r>
        <w:rPr>
          <w:color w:val="auto"/>
        </w:rPr>
        <w:t>管道汇合后同沟敷设。管道平行道路敷设</w:t>
      </w:r>
      <w:r>
        <w:rPr>
          <w:rFonts w:hint="eastAsia"/>
          <w:color w:val="auto"/>
        </w:rPr>
        <w:t>661.44</w:t>
      </w:r>
      <w:r>
        <w:rPr>
          <w:color w:val="auto"/>
        </w:rPr>
        <w:t>m后</w:t>
      </w:r>
      <w:r>
        <w:rPr>
          <w:rFonts w:hint="eastAsia"/>
          <w:color w:val="auto"/>
        </w:rPr>
        <w:t>到达拐点3，</w:t>
      </w:r>
      <w:r>
        <w:rPr>
          <w:color w:val="auto"/>
        </w:rPr>
        <w:t>自南向北敷设</w:t>
      </w:r>
      <w:r>
        <w:rPr>
          <w:rFonts w:hint="eastAsia"/>
          <w:color w:val="auto"/>
        </w:rPr>
        <w:t>约209.32m后</w:t>
      </w:r>
      <w:r>
        <w:rPr>
          <w:color w:val="auto"/>
        </w:rPr>
        <w:t>到达</w:t>
      </w:r>
      <w:r>
        <w:rPr>
          <w:rFonts w:hint="eastAsia"/>
          <w:color w:val="auto"/>
        </w:rPr>
        <w:t>西延干渠</w:t>
      </w:r>
      <w:r>
        <w:rPr>
          <w:color w:val="auto"/>
        </w:rPr>
        <w:t>预留涵洞处，管道自南向北垂直穿越该处预留涵洞，</w:t>
      </w:r>
      <w:r>
        <w:rPr>
          <w:rFonts w:hint="eastAsia"/>
          <w:color w:val="auto"/>
        </w:rPr>
        <w:t>该段管线总长约133.54m，</w:t>
      </w:r>
      <w:r>
        <w:rPr>
          <w:color w:val="auto"/>
        </w:rPr>
        <w:t>由于涵洞宽度约为2.2m，因此该处管道采用分层穿越的方式。</w:t>
      </w:r>
    </w:p>
    <w:p w14:paraId="23D04A89">
      <w:pPr>
        <w:pStyle w:val="132"/>
        <w:rPr>
          <w:color w:val="auto"/>
        </w:rPr>
      </w:pPr>
      <w:r>
        <w:rPr>
          <w:color w:val="auto"/>
        </w:rPr>
        <w:t>管道穿越涵洞后继续采用埋地同沟敷设的方式</w:t>
      </w:r>
      <w:r>
        <w:rPr>
          <w:rFonts w:hint="eastAsia"/>
          <w:color w:val="auto"/>
        </w:rPr>
        <w:t>，自南向北敷设165m后到达拐点4</w:t>
      </w:r>
      <w:r>
        <w:rPr>
          <w:color w:val="auto"/>
        </w:rPr>
        <w:t>，自西向东沿着水渠北岸通信线和110kvA高压廊道中间空旷地带通行。管道敷设</w:t>
      </w:r>
      <w:r>
        <w:rPr>
          <w:rFonts w:hint="eastAsia"/>
          <w:color w:val="auto"/>
        </w:rPr>
        <w:t>约1156</w:t>
      </w:r>
      <w:r>
        <w:rPr>
          <w:color w:val="auto"/>
        </w:rPr>
        <w:t>m后</w:t>
      </w:r>
      <w:r>
        <w:rPr>
          <w:rFonts w:hint="eastAsia"/>
          <w:color w:val="auto"/>
        </w:rPr>
        <w:t>到达拐点5，</w:t>
      </w:r>
      <w:r>
        <w:rPr>
          <w:color w:val="auto"/>
        </w:rPr>
        <w:t>自南向北敷设约</w:t>
      </w:r>
      <w:r>
        <w:rPr>
          <w:rFonts w:hint="eastAsia"/>
          <w:color w:val="auto"/>
        </w:rPr>
        <w:t>313</w:t>
      </w:r>
      <w:r>
        <w:rPr>
          <w:color w:val="auto"/>
        </w:rPr>
        <w:t>m后到达本项目管道终点</w:t>
      </w:r>
      <w:r>
        <w:rPr>
          <w:rFonts w:hint="eastAsia"/>
          <w:color w:val="auto"/>
        </w:rPr>
        <w:t>。</w:t>
      </w:r>
    </w:p>
    <w:p w14:paraId="08C81EE6">
      <w:pPr>
        <w:pStyle w:val="132"/>
        <w:rPr>
          <w:color w:val="auto"/>
        </w:rPr>
      </w:pPr>
      <w:r>
        <w:rPr>
          <w:color w:val="auto"/>
        </w:rPr>
        <w:t>其间管道穿越甘泉堡新捷能源天然气管道1处，中国石油新疆油田油气储运公司三化线D426原油管道1处，埋地通信线缆若干处。</w:t>
      </w:r>
    </w:p>
    <w:p w14:paraId="005608B8">
      <w:pPr>
        <w:pStyle w:val="132"/>
        <w:rPr>
          <w:color w:val="auto"/>
        </w:rPr>
      </w:pPr>
      <w:r>
        <w:rPr>
          <w:rFonts w:hint="eastAsia"/>
          <w:color w:val="auto"/>
        </w:rPr>
        <w:t>线路走向详见</w:t>
      </w:r>
      <w:r>
        <w:rPr>
          <w:color w:val="auto"/>
        </w:rPr>
        <w:fldChar w:fldCharType="begin"/>
      </w:r>
      <w:r>
        <w:rPr>
          <w:color w:val="auto"/>
        </w:rPr>
        <w:instrText xml:space="preserve"> </w:instrText>
      </w:r>
      <w:r>
        <w:rPr>
          <w:rFonts w:hint="eastAsia"/>
          <w:color w:val="auto"/>
        </w:rPr>
        <w:instrText xml:space="preserve">REF _Ref219978422 \h</w:instrText>
      </w:r>
      <w:r>
        <w:rPr>
          <w:color w:val="auto"/>
        </w:rPr>
        <w:instrText xml:space="preserve">  \* MERGEFORMAT </w:instrText>
      </w:r>
      <w:r>
        <w:rPr>
          <w:color w:val="auto"/>
        </w:rPr>
        <w:fldChar w:fldCharType="separate"/>
      </w:r>
      <w:r>
        <w:rPr>
          <w:color w:val="auto"/>
        </w:rPr>
        <w:t>图</w:t>
      </w:r>
      <w:r>
        <w:rPr>
          <w:rFonts w:hint="eastAsia"/>
          <w:color w:val="auto"/>
        </w:rPr>
        <w:t>3.4-1</w:t>
      </w:r>
      <w:r>
        <w:rPr>
          <w:color w:val="auto"/>
        </w:rPr>
        <w:fldChar w:fldCharType="end"/>
      </w:r>
      <w:r>
        <w:rPr>
          <w:rFonts w:hint="eastAsia"/>
          <w:color w:val="auto"/>
        </w:rPr>
        <w:t>。</w:t>
      </w:r>
    </w:p>
    <w:p w14:paraId="7F991FEE">
      <w:pPr>
        <w:pStyle w:val="132"/>
        <w:ind w:firstLine="0" w:firstLineChars="0"/>
        <w:rPr>
          <w:color w:val="auto"/>
        </w:rPr>
      </w:pPr>
    </w:p>
    <w:p w14:paraId="0EDCF371">
      <w:pPr>
        <w:pStyle w:val="5"/>
        <w:numPr>
          <w:ilvl w:val="3"/>
          <w:numId w:val="22"/>
        </w:numPr>
        <w:rPr>
          <w:color w:val="auto"/>
        </w:rPr>
      </w:pPr>
      <w:r>
        <w:rPr>
          <w:rFonts w:hint="eastAsia"/>
          <w:color w:val="auto"/>
        </w:rPr>
        <w:t>管道敷设</w:t>
      </w:r>
    </w:p>
    <w:p w14:paraId="4D7401CE">
      <w:pPr>
        <w:pStyle w:val="132"/>
        <w:rPr>
          <w:color w:val="auto"/>
        </w:rPr>
      </w:pPr>
      <w:r>
        <w:rPr>
          <w:rFonts w:hint="eastAsia"/>
          <w:color w:val="auto"/>
        </w:rPr>
        <w:t>（1）管道材质及厚度</w:t>
      </w:r>
    </w:p>
    <w:p w14:paraId="767607CF">
      <w:pPr>
        <w:pStyle w:val="132"/>
        <w:rPr>
          <w:color w:val="auto"/>
        </w:rPr>
      </w:pPr>
      <w:r>
        <w:rPr>
          <w:rFonts w:hint="eastAsia"/>
          <w:color w:val="auto"/>
        </w:rPr>
        <w:t>本项目管道采用</w:t>
      </w:r>
      <w:r>
        <w:rPr>
          <w:color w:val="auto"/>
        </w:rPr>
        <w:t>沟埋敷设</w:t>
      </w:r>
      <w:r>
        <w:rPr>
          <w:rFonts w:hint="eastAsia"/>
          <w:color w:val="auto"/>
        </w:rPr>
        <w:t>，</w:t>
      </w:r>
      <w:r>
        <w:rPr>
          <w:color w:val="auto"/>
        </w:rPr>
        <w:t>穿越道路时采用外加套管进行保护</w:t>
      </w:r>
      <w:r>
        <w:rPr>
          <w:rFonts w:hint="eastAsia"/>
          <w:color w:val="auto"/>
        </w:rPr>
        <w:t>，为确保管道安全，不受外力破坏，热垠弯头来适应管道在平管道应有足够的埋设深度。</w:t>
      </w:r>
    </w:p>
    <w:p w14:paraId="29169772">
      <w:pPr>
        <w:pStyle w:val="132"/>
        <w:rPr>
          <w:color w:val="auto"/>
        </w:rPr>
      </w:pPr>
      <w:r>
        <w:rPr>
          <w:rFonts w:hint="eastAsia"/>
          <w:color w:val="auto"/>
        </w:rPr>
        <w:t>主要危废输送管径见表3.4-1。</w:t>
      </w:r>
    </w:p>
    <w:p w14:paraId="62BCC502">
      <w:pPr>
        <w:pStyle w:val="1060"/>
        <w:spacing w:before="163"/>
        <w:rPr>
          <w:color w:val="auto"/>
        </w:rPr>
      </w:pPr>
      <w:bookmarkStart w:id="235" w:name="_Ref219991725"/>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bookmarkEnd w:id="235"/>
      <w:r>
        <w:rPr>
          <w:rFonts w:hint="eastAsia"/>
          <w:color w:val="auto"/>
        </w:rPr>
        <w:t xml:space="preserve">  建构筑物一览表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3421"/>
        <w:gridCol w:w="2574"/>
        <w:gridCol w:w="2791"/>
      </w:tblGrid>
      <w:tr w14:paraId="627D90C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7EDEBA56">
            <w:pPr>
              <w:pStyle w:val="129"/>
              <w:widowControl w:val="0"/>
              <w:rPr>
                <w:color w:val="auto"/>
              </w:rPr>
            </w:pPr>
            <w:bookmarkStart w:id="236" w:name="_Hlk220081514"/>
            <w:r>
              <w:rPr>
                <w:rFonts w:hint="eastAsia"/>
                <w:color w:val="auto"/>
              </w:rPr>
              <w:t>介质</w:t>
            </w:r>
          </w:p>
        </w:tc>
        <w:tc>
          <w:tcPr>
            <w:tcW w:w="1465" w:type="pct"/>
            <w:vAlign w:val="center"/>
          </w:tcPr>
          <w:p w14:paraId="419F6290">
            <w:pPr>
              <w:pStyle w:val="129"/>
              <w:widowControl w:val="0"/>
              <w:rPr>
                <w:color w:val="auto"/>
              </w:rPr>
            </w:pPr>
            <w:r>
              <w:rPr>
                <w:rFonts w:hint="eastAsia"/>
                <w:color w:val="auto"/>
              </w:rPr>
              <w:t>管径</w:t>
            </w:r>
          </w:p>
        </w:tc>
        <w:tc>
          <w:tcPr>
            <w:tcW w:w="1588" w:type="pct"/>
            <w:vAlign w:val="center"/>
          </w:tcPr>
          <w:p w14:paraId="1A9508C1">
            <w:pPr>
              <w:pStyle w:val="129"/>
              <w:widowControl w:val="0"/>
              <w:rPr>
                <w:color w:val="auto"/>
              </w:rPr>
            </w:pPr>
            <w:r>
              <w:rPr>
                <w:rFonts w:hint="eastAsia"/>
                <w:color w:val="auto"/>
              </w:rPr>
              <w:t>管道材质</w:t>
            </w:r>
          </w:p>
        </w:tc>
      </w:tr>
      <w:tr w14:paraId="20053C7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06290DA0">
            <w:pPr>
              <w:pStyle w:val="129"/>
              <w:widowControl w:val="0"/>
              <w:rPr>
                <w:color w:val="auto"/>
              </w:rPr>
            </w:pPr>
            <w:r>
              <w:rPr>
                <w:rFonts w:hint="eastAsia"/>
                <w:color w:val="auto"/>
              </w:rPr>
              <w:t>含硝酸铝废酸液</w:t>
            </w:r>
          </w:p>
        </w:tc>
        <w:tc>
          <w:tcPr>
            <w:tcW w:w="1465" w:type="pct"/>
            <w:vAlign w:val="center"/>
          </w:tcPr>
          <w:p w14:paraId="6FFC5DFB">
            <w:pPr>
              <w:pStyle w:val="129"/>
              <w:widowControl w:val="0"/>
              <w:rPr>
                <w:color w:val="auto"/>
              </w:rPr>
            </w:pPr>
            <w:r>
              <w:rPr>
                <w:color w:val="auto"/>
              </w:rPr>
              <w:t>DN100</w:t>
            </w:r>
          </w:p>
        </w:tc>
        <w:tc>
          <w:tcPr>
            <w:tcW w:w="1588" w:type="pct"/>
            <w:vAlign w:val="center"/>
          </w:tcPr>
          <w:p w14:paraId="3FAE627D">
            <w:pPr>
              <w:pStyle w:val="129"/>
              <w:widowControl w:val="0"/>
              <w:rPr>
                <w:color w:val="auto"/>
                <w:highlight w:val="yellow"/>
              </w:rPr>
            </w:pPr>
            <w:r>
              <w:rPr>
                <w:color w:val="auto"/>
              </w:rPr>
              <w:t>PE</w:t>
            </w:r>
          </w:p>
        </w:tc>
      </w:tr>
      <w:tr w14:paraId="7126B2E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03EC652A">
            <w:pPr>
              <w:pStyle w:val="129"/>
              <w:widowControl w:val="0"/>
              <w:rPr>
                <w:color w:val="auto"/>
              </w:rPr>
            </w:pPr>
            <w:r>
              <w:rPr>
                <w:rFonts w:hint="eastAsia"/>
                <w:color w:val="auto"/>
              </w:rPr>
              <w:t>含硫酸铝废酸液</w:t>
            </w:r>
          </w:p>
        </w:tc>
        <w:tc>
          <w:tcPr>
            <w:tcW w:w="1465" w:type="pct"/>
            <w:vAlign w:val="center"/>
          </w:tcPr>
          <w:p w14:paraId="1EF1B2E2">
            <w:pPr>
              <w:pStyle w:val="129"/>
              <w:widowControl w:val="0"/>
              <w:rPr>
                <w:color w:val="auto"/>
              </w:rPr>
            </w:pPr>
            <w:r>
              <w:rPr>
                <w:color w:val="auto"/>
              </w:rPr>
              <w:t>DN100</w:t>
            </w:r>
          </w:p>
        </w:tc>
        <w:tc>
          <w:tcPr>
            <w:tcW w:w="1588" w:type="pct"/>
            <w:vAlign w:val="center"/>
          </w:tcPr>
          <w:p w14:paraId="39684B8A">
            <w:pPr>
              <w:pStyle w:val="129"/>
              <w:widowControl w:val="0"/>
              <w:rPr>
                <w:color w:val="auto"/>
                <w:highlight w:val="yellow"/>
              </w:rPr>
            </w:pPr>
            <w:r>
              <w:rPr>
                <w:color w:val="auto"/>
              </w:rPr>
              <w:t>PE</w:t>
            </w:r>
          </w:p>
        </w:tc>
      </w:tr>
      <w:tr w14:paraId="3AD92BB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74A9B2C9">
            <w:pPr>
              <w:pStyle w:val="129"/>
              <w:widowControl w:val="0"/>
              <w:rPr>
                <w:color w:val="auto"/>
              </w:rPr>
            </w:pPr>
            <w:r>
              <w:rPr>
                <w:rFonts w:hint="eastAsia"/>
                <w:color w:val="auto"/>
              </w:rPr>
              <w:t>含磷酸二氢铝废酸液</w:t>
            </w:r>
          </w:p>
        </w:tc>
        <w:tc>
          <w:tcPr>
            <w:tcW w:w="1465" w:type="pct"/>
            <w:vAlign w:val="center"/>
          </w:tcPr>
          <w:p w14:paraId="2D3CC0D5">
            <w:pPr>
              <w:pStyle w:val="129"/>
              <w:widowControl w:val="0"/>
              <w:rPr>
                <w:color w:val="auto"/>
              </w:rPr>
            </w:pPr>
            <w:r>
              <w:rPr>
                <w:color w:val="auto"/>
              </w:rPr>
              <w:t>DN40</w:t>
            </w:r>
          </w:p>
        </w:tc>
        <w:tc>
          <w:tcPr>
            <w:tcW w:w="1588" w:type="pct"/>
            <w:vAlign w:val="center"/>
          </w:tcPr>
          <w:p w14:paraId="0EBE6FF1">
            <w:pPr>
              <w:pStyle w:val="129"/>
              <w:widowControl w:val="0"/>
              <w:rPr>
                <w:color w:val="auto"/>
                <w:highlight w:val="yellow"/>
              </w:rPr>
            </w:pPr>
            <w:r>
              <w:rPr>
                <w:color w:val="auto"/>
              </w:rPr>
              <w:t>PE</w:t>
            </w:r>
          </w:p>
        </w:tc>
      </w:tr>
      <w:tr w14:paraId="6030306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387004E5">
            <w:pPr>
              <w:pStyle w:val="129"/>
              <w:widowControl w:val="0"/>
              <w:rPr>
                <w:color w:val="auto"/>
              </w:rPr>
            </w:pPr>
            <w:r>
              <w:rPr>
                <w:rFonts w:hint="eastAsia"/>
                <w:color w:val="auto"/>
              </w:rPr>
              <w:t>含氯化铝废酸液</w:t>
            </w:r>
          </w:p>
        </w:tc>
        <w:tc>
          <w:tcPr>
            <w:tcW w:w="1465" w:type="pct"/>
            <w:vAlign w:val="center"/>
          </w:tcPr>
          <w:p w14:paraId="3C789C1C">
            <w:pPr>
              <w:pStyle w:val="129"/>
              <w:widowControl w:val="0"/>
              <w:rPr>
                <w:color w:val="auto"/>
              </w:rPr>
            </w:pPr>
            <w:r>
              <w:rPr>
                <w:color w:val="auto"/>
              </w:rPr>
              <w:t>DN40</w:t>
            </w:r>
          </w:p>
        </w:tc>
        <w:tc>
          <w:tcPr>
            <w:tcW w:w="1588" w:type="pct"/>
            <w:vAlign w:val="center"/>
          </w:tcPr>
          <w:p w14:paraId="7A09AC9E">
            <w:pPr>
              <w:pStyle w:val="129"/>
              <w:widowControl w:val="0"/>
              <w:rPr>
                <w:color w:val="auto"/>
                <w:highlight w:val="yellow"/>
              </w:rPr>
            </w:pPr>
            <w:r>
              <w:rPr>
                <w:color w:val="auto"/>
              </w:rPr>
              <w:t>PE</w:t>
            </w:r>
          </w:p>
        </w:tc>
      </w:tr>
      <w:tr w14:paraId="5A686A6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33BE5F00">
            <w:pPr>
              <w:pStyle w:val="129"/>
              <w:widowControl w:val="0"/>
              <w:rPr>
                <w:color w:val="auto"/>
              </w:rPr>
            </w:pPr>
            <w:bookmarkStart w:id="237" w:name="_Hlk227317867"/>
            <w:r>
              <w:rPr>
                <w:rFonts w:hint="eastAsia"/>
                <w:color w:val="auto"/>
              </w:rPr>
              <w:t>含偏铝酸钠废碱液</w:t>
            </w:r>
          </w:p>
        </w:tc>
        <w:tc>
          <w:tcPr>
            <w:tcW w:w="1465" w:type="pct"/>
            <w:vAlign w:val="center"/>
          </w:tcPr>
          <w:p w14:paraId="294F4C95">
            <w:pPr>
              <w:pStyle w:val="129"/>
              <w:widowControl w:val="0"/>
              <w:rPr>
                <w:color w:val="auto"/>
              </w:rPr>
            </w:pPr>
            <w:r>
              <w:rPr>
                <w:color w:val="auto"/>
              </w:rPr>
              <w:t>DN50</w:t>
            </w:r>
          </w:p>
        </w:tc>
        <w:tc>
          <w:tcPr>
            <w:tcW w:w="1588" w:type="pct"/>
            <w:vAlign w:val="center"/>
          </w:tcPr>
          <w:p w14:paraId="6239B1D7">
            <w:pPr>
              <w:pStyle w:val="129"/>
              <w:widowControl w:val="0"/>
              <w:rPr>
                <w:color w:val="auto"/>
                <w:highlight w:val="yellow"/>
              </w:rPr>
            </w:pPr>
            <w:r>
              <w:rPr>
                <w:color w:val="auto"/>
              </w:rPr>
              <w:t>PE</w:t>
            </w:r>
          </w:p>
        </w:tc>
      </w:tr>
      <w:bookmarkEnd w:id="237"/>
      <w:tr w14:paraId="6B23A7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72C707CC">
            <w:pPr>
              <w:pStyle w:val="129"/>
              <w:widowControl w:val="0"/>
              <w:rPr>
                <w:color w:val="auto"/>
              </w:rPr>
            </w:pPr>
            <w:r>
              <w:rPr>
                <w:rFonts w:hint="eastAsia"/>
                <w:color w:val="auto"/>
              </w:rPr>
              <w:t>含碳酸钠废酸液</w:t>
            </w:r>
          </w:p>
        </w:tc>
        <w:tc>
          <w:tcPr>
            <w:tcW w:w="1465" w:type="pct"/>
            <w:vAlign w:val="center"/>
          </w:tcPr>
          <w:p w14:paraId="58830C27">
            <w:pPr>
              <w:pStyle w:val="129"/>
              <w:widowControl w:val="0"/>
              <w:rPr>
                <w:color w:val="auto"/>
              </w:rPr>
            </w:pPr>
            <w:r>
              <w:rPr>
                <w:color w:val="auto"/>
              </w:rPr>
              <w:t>DN</w:t>
            </w:r>
            <w:r>
              <w:rPr>
                <w:rFonts w:hint="eastAsia"/>
                <w:color w:val="auto"/>
              </w:rPr>
              <w:t>4</w:t>
            </w:r>
            <w:r>
              <w:rPr>
                <w:color w:val="auto"/>
              </w:rPr>
              <w:t>0</w:t>
            </w:r>
          </w:p>
        </w:tc>
        <w:tc>
          <w:tcPr>
            <w:tcW w:w="1588" w:type="pct"/>
            <w:vAlign w:val="center"/>
          </w:tcPr>
          <w:p w14:paraId="36761580">
            <w:pPr>
              <w:pStyle w:val="129"/>
              <w:widowControl w:val="0"/>
              <w:rPr>
                <w:color w:val="auto"/>
                <w:highlight w:val="yellow"/>
              </w:rPr>
            </w:pPr>
            <w:r>
              <w:rPr>
                <w:color w:val="auto"/>
              </w:rPr>
              <w:t>PE</w:t>
            </w:r>
          </w:p>
        </w:tc>
      </w:tr>
      <w:tr w14:paraId="3884F16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51DC6382">
            <w:pPr>
              <w:pStyle w:val="129"/>
              <w:widowControl w:val="0"/>
              <w:rPr>
                <w:color w:val="auto"/>
              </w:rPr>
            </w:pPr>
            <w:r>
              <w:rPr>
                <w:rFonts w:hint="eastAsia"/>
                <w:color w:val="auto"/>
              </w:rPr>
              <w:t>二氧化碳气</w:t>
            </w:r>
          </w:p>
        </w:tc>
        <w:tc>
          <w:tcPr>
            <w:tcW w:w="1465" w:type="pct"/>
            <w:vAlign w:val="center"/>
          </w:tcPr>
          <w:p w14:paraId="0EE265FE">
            <w:pPr>
              <w:pStyle w:val="129"/>
              <w:widowControl w:val="0"/>
              <w:rPr>
                <w:color w:val="auto"/>
              </w:rPr>
            </w:pPr>
            <w:r>
              <w:rPr>
                <w:color w:val="auto"/>
              </w:rPr>
              <w:t>DN300</w:t>
            </w:r>
          </w:p>
        </w:tc>
        <w:tc>
          <w:tcPr>
            <w:tcW w:w="1588" w:type="pct"/>
            <w:vAlign w:val="center"/>
          </w:tcPr>
          <w:p w14:paraId="1E6F8D1A">
            <w:pPr>
              <w:pStyle w:val="129"/>
              <w:widowControl w:val="0"/>
              <w:rPr>
                <w:color w:val="auto"/>
                <w:highlight w:val="yellow"/>
              </w:rPr>
            </w:pPr>
            <w:r>
              <w:rPr>
                <w:rFonts w:hint="eastAsia"/>
                <w:color w:val="auto"/>
              </w:rPr>
              <w:t>无缝钢管</w:t>
            </w:r>
          </w:p>
        </w:tc>
      </w:tr>
      <w:tr w14:paraId="689AFB5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5F2D6616">
            <w:pPr>
              <w:pStyle w:val="129"/>
              <w:widowControl w:val="0"/>
              <w:rPr>
                <w:color w:val="auto"/>
              </w:rPr>
            </w:pPr>
            <w:r>
              <w:rPr>
                <w:rFonts w:hint="eastAsia"/>
                <w:color w:val="auto"/>
              </w:rPr>
              <w:t>蒸汽</w:t>
            </w:r>
          </w:p>
        </w:tc>
        <w:tc>
          <w:tcPr>
            <w:tcW w:w="1465" w:type="pct"/>
            <w:vAlign w:val="center"/>
          </w:tcPr>
          <w:p w14:paraId="6BB2553F">
            <w:pPr>
              <w:pStyle w:val="129"/>
              <w:widowControl w:val="0"/>
              <w:rPr>
                <w:color w:val="auto"/>
              </w:rPr>
            </w:pPr>
            <w:r>
              <w:rPr>
                <w:rFonts w:hint="eastAsia"/>
                <w:color w:val="auto"/>
              </w:rPr>
              <w:t>DM300</w:t>
            </w:r>
          </w:p>
        </w:tc>
        <w:tc>
          <w:tcPr>
            <w:tcW w:w="1588" w:type="pct"/>
            <w:vAlign w:val="center"/>
          </w:tcPr>
          <w:p w14:paraId="337D4A5F">
            <w:pPr>
              <w:pStyle w:val="129"/>
              <w:widowControl w:val="0"/>
              <w:rPr>
                <w:color w:val="auto"/>
                <w:highlight w:val="yellow"/>
              </w:rPr>
            </w:pPr>
            <w:r>
              <w:rPr>
                <w:rFonts w:hint="eastAsia"/>
                <w:color w:val="auto"/>
              </w:rPr>
              <w:t>PE</w:t>
            </w:r>
          </w:p>
        </w:tc>
      </w:tr>
      <w:tr w14:paraId="1226EC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1CA96132">
            <w:pPr>
              <w:pStyle w:val="129"/>
              <w:widowControl w:val="0"/>
              <w:rPr>
                <w:color w:val="auto"/>
              </w:rPr>
            </w:pPr>
            <w:r>
              <w:rPr>
                <w:rFonts w:hint="eastAsia"/>
                <w:color w:val="auto"/>
              </w:rPr>
              <w:t>氨水</w:t>
            </w:r>
          </w:p>
        </w:tc>
        <w:tc>
          <w:tcPr>
            <w:tcW w:w="1465" w:type="pct"/>
            <w:vAlign w:val="center"/>
          </w:tcPr>
          <w:p w14:paraId="2902892B">
            <w:pPr>
              <w:pStyle w:val="129"/>
              <w:widowControl w:val="0"/>
              <w:rPr>
                <w:color w:val="auto"/>
              </w:rPr>
            </w:pPr>
            <w:r>
              <w:rPr>
                <w:color w:val="auto"/>
              </w:rPr>
              <w:t>DN40</w:t>
            </w:r>
          </w:p>
        </w:tc>
        <w:tc>
          <w:tcPr>
            <w:tcW w:w="1588" w:type="pct"/>
            <w:vAlign w:val="center"/>
          </w:tcPr>
          <w:p w14:paraId="6154ED78">
            <w:pPr>
              <w:pStyle w:val="129"/>
              <w:widowControl w:val="0"/>
              <w:rPr>
                <w:color w:val="auto"/>
                <w:highlight w:val="yellow"/>
              </w:rPr>
            </w:pPr>
            <w:r>
              <w:rPr>
                <w:rFonts w:hint="eastAsia"/>
                <w:color w:val="auto"/>
              </w:rPr>
              <w:t>S304不锈钢</w:t>
            </w:r>
          </w:p>
        </w:tc>
      </w:tr>
      <w:tr w14:paraId="04DDACD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7A5C6C94">
            <w:pPr>
              <w:pStyle w:val="129"/>
              <w:widowControl w:val="0"/>
              <w:rPr>
                <w:color w:val="auto"/>
              </w:rPr>
            </w:pPr>
            <w:r>
              <w:rPr>
                <w:rFonts w:hint="eastAsia"/>
                <w:color w:val="auto"/>
              </w:rPr>
              <w:t>回用水</w:t>
            </w:r>
          </w:p>
        </w:tc>
        <w:tc>
          <w:tcPr>
            <w:tcW w:w="1465" w:type="pct"/>
            <w:vAlign w:val="center"/>
          </w:tcPr>
          <w:p w14:paraId="46BE6F36">
            <w:pPr>
              <w:pStyle w:val="129"/>
              <w:widowControl w:val="0"/>
              <w:rPr>
                <w:color w:val="auto"/>
              </w:rPr>
            </w:pPr>
            <w:r>
              <w:rPr>
                <w:color w:val="auto"/>
              </w:rPr>
              <w:t>DN150</w:t>
            </w:r>
          </w:p>
        </w:tc>
        <w:tc>
          <w:tcPr>
            <w:tcW w:w="1588" w:type="pct"/>
            <w:vAlign w:val="center"/>
          </w:tcPr>
          <w:p w14:paraId="12BD57CA">
            <w:pPr>
              <w:pStyle w:val="129"/>
              <w:widowControl w:val="0"/>
              <w:rPr>
                <w:color w:val="auto"/>
              </w:rPr>
            </w:pPr>
            <w:r>
              <w:rPr>
                <w:color w:val="auto"/>
              </w:rPr>
              <w:t>PE</w:t>
            </w:r>
          </w:p>
        </w:tc>
      </w:tr>
      <w:tr w14:paraId="686FAF2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947" w:type="pct"/>
            <w:vAlign w:val="center"/>
          </w:tcPr>
          <w:p w14:paraId="473B6587">
            <w:pPr>
              <w:pStyle w:val="129"/>
              <w:widowControl w:val="0"/>
              <w:rPr>
                <w:color w:val="auto"/>
              </w:rPr>
            </w:pPr>
            <w:r>
              <w:rPr>
                <w:rFonts w:hint="eastAsia"/>
                <w:color w:val="auto"/>
              </w:rPr>
              <w:t>预留</w:t>
            </w:r>
          </w:p>
        </w:tc>
        <w:tc>
          <w:tcPr>
            <w:tcW w:w="1465" w:type="pct"/>
            <w:vAlign w:val="center"/>
          </w:tcPr>
          <w:p w14:paraId="4CB2CE33">
            <w:pPr>
              <w:pStyle w:val="129"/>
              <w:widowControl w:val="0"/>
              <w:rPr>
                <w:color w:val="auto"/>
              </w:rPr>
            </w:pPr>
            <w:r>
              <w:rPr>
                <w:rFonts w:hint="eastAsia"/>
                <w:color w:val="auto"/>
              </w:rPr>
              <w:t>DN100</w:t>
            </w:r>
          </w:p>
        </w:tc>
        <w:tc>
          <w:tcPr>
            <w:tcW w:w="1588" w:type="pct"/>
            <w:vAlign w:val="center"/>
          </w:tcPr>
          <w:p w14:paraId="029D526C">
            <w:pPr>
              <w:pStyle w:val="129"/>
              <w:widowControl w:val="0"/>
              <w:rPr>
                <w:color w:val="auto"/>
              </w:rPr>
            </w:pPr>
            <w:r>
              <w:rPr>
                <w:rFonts w:hint="eastAsia"/>
                <w:color w:val="auto"/>
              </w:rPr>
              <w:t>PE</w:t>
            </w:r>
          </w:p>
        </w:tc>
      </w:tr>
      <w:bookmarkEnd w:id="236"/>
    </w:tbl>
    <w:p w14:paraId="1FA06F87">
      <w:pPr>
        <w:pStyle w:val="1304"/>
        <w:ind w:left="2800"/>
        <w:rPr>
          <w:color w:val="auto"/>
        </w:rPr>
      </w:pPr>
    </w:p>
    <w:p w14:paraId="68E3432A">
      <w:pPr>
        <w:pStyle w:val="132"/>
        <w:rPr>
          <w:color w:val="auto"/>
        </w:rPr>
      </w:pPr>
      <w:r>
        <w:rPr>
          <w:rFonts w:hint="eastAsia"/>
          <w:color w:val="auto"/>
        </w:rPr>
        <w:t>（2）一般线路敷设</w:t>
      </w:r>
    </w:p>
    <w:p w14:paraId="71949A24">
      <w:pPr>
        <w:pStyle w:val="132"/>
        <w:rPr>
          <w:color w:val="auto"/>
        </w:rPr>
      </w:pPr>
      <w:r>
        <w:rPr>
          <w:color w:val="auto"/>
        </w:rPr>
        <w:t>一般线路段管道采用沟埋方式敷设，</w:t>
      </w:r>
      <w:r>
        <w:rPr>
          <w:rFonts w:hint="eastAsia"/>
          <w:color w:val="auto"/>
        </w:rPr>
        <w:t>管顶埋深不小于1.2m。根据</w:t>
      </w:r>
      <w:r>
        <w:rPr>
          <w:color w:val="auto"/>
        </w:rPr>
        <w:t>《给水排水管道工程施工及验收规范》</w:t>
      </w:r>
      <w:r>
        <w:rPr>
          <w:rFonts w:hint="eastAsia"/>
          <w:color w:val="auto"/>
        </w:rPr>
        <w:t>（</w:t>
      </w:r>
      <w:r>
        <w:rPr>
          <w:color w:val="auto"/>
        </w:rPr>
        <w:t>GB50268-2008</w:t>
      </w:r>
      <w:r>
        <w:rPr>
          <w:rFonts w:hint="eastAsia"/>
          <w:color w:val="auto"/>
        </w:rPr>
        <w:t>）及</w:t>
      </w:r>
      <w:r>
        <w:rPr>
          <w:color w:val="auto"/>
        </w:rPr>
        <w:t>《二氧化碳输送管道工程设计标准》</w:t>
      </w:r>
      <w:r>
        <w:rPr>
          <w:rFonts w:hint="eastAsia"/>
          <w:color w:val="auto"/>
        </w:rPr>
        <w:t>（</w:t>
      </w:r>
      <w:r>
        <w:rPr>
          <w:color w:val="auto"/>
        </w:rPr>
        <w:t>SH/T3202-2018</w:t>
      </w:r>
      <w:r>
        <w:rPr>
          <w:rFonts w:hint="eastAsia"/>
          <w:color w:val="auto"/>
        </w:rPr>
        <w:t>），</w:t>
      </w:r>
      <w:r>
        <w:rPr>
          <w:color w:val="auto"/>
        </w:rPr>
        <w:t>本项目污水管道之间的管间距按照0.2m布置，二氧化碳管道与污水管道之间按照0.5m布置，加上沟底加宽裕量，沟底开挖宽度不小于4.5m。</w:t>
      </w:r>
    </w:p>
    <w:p w14:paraId="6CEA48E4">
      <w:pPr>
        <w:pStyle w:val="132"/>
        <w:rPr>
          <w:color w:val="auto"/>
        </w:rPr>
      </w:pPr>
      <w:r>
        <w:rPr>
          <w:rFonts w:hint="eastAsia"/>
          <w:color w:val="auto"/>
        </w:rPr>
        <w:t>管沟回填要求：</w:t>
      </w:r>
    </w:p>
    <w:p w14:paraId="72FB4FBB">
      <w:pPr>
        <w:pStyle w:val="132"/>
        <w:rPr>
          <w:color w:val="auto"/>
        </w:rPr>
      </w:pPr>
      <w:r>
        <w:rPr>
          <w:rFonts w:hint="eastAsia"/>
          <w:color w:val="auto"/>
        </w:rPr>
        <w:t>①在管沟沟底先铺设细土或砂垫层，压实后的厚度不小于0.2m；</w:t>
      </w:r>
    </w:p>
    <w:p w14:paraId="2E2EB158">
      <w:pPr>
        <w:pStyle w:val="132"/>
        <w:rPr>
          <w:color w:val="auto"/>
        </w:rPr>
      </w:pPr>
      <w:r>
        <w:rPr>
          <w:rFonts w:hint="eastAsia"/>
          <w:color w:val="auto"/>
        </w:rPr>
        <w:t>②回填管沟时，用细土或砂回填至管顶以上0.3m后，用原状土回填，回填土中的岩石和碎石块最大粒径不超过250mm；</w:t>
      </w:r>
    </w:p>
    <w:p w14:paraId="505652E9">
      <w:pPr>
        <w:pStyle w:val="132"/>
        <w:numPr>
          <w:ilvl w:val="0"/>
          <w:numId w:val="23"/>
        </w:numPr>
        <w:ind w:firstLineChars="0"/>
        <w:rPr>
          <w:color w:val="auto"/>
        </w:rPr>
      </w:pPr>
      <w:r>
        <w:rPr>
          <w:rFonts w:hint="eastAsia"/>
          <w:color w:val="auto"/>
        </w:rPr>
        <w:t>管沟回填留有沉降余量，回填土高出地面0.3m以上。</w:t>
      </w:r>
    </w:p>
    <w:p w14:paraId="1AB79B99">
      <w:pPr>
        <w:pStyle w:val="132"/>
        <w:rPr>
          <w:color w:val="auto"/>
        </w:rPr>
      </w:pPr>
      <w:r>
        <w:rPr>
          <w:color w:val="auto"/>
        </w:rPr>
        <w:t>管沟允许边坡坡度应根据试挖或土壤的内摩擦角、粘聚力、湿度和密度等物理力学特性确定，按</w:t>
      </w:r>
      <w:r>
        <w:rPr>
          <w:color w:val="auto"/>
        </w:rPr>
        <w:fldChar w:fldCharType="begin"/>
      </w:r>
      <w:r>
        <w:instrText xml:space="preserve"> REF _Ref220055336 \h  \* MERGEFORMAT</w:instrText>
      </w:r>
      <w:r>
        <w:rPr>
          <w:color w:val="auto"/>
        </w:rPr>
        <w:fldChar w:fldCharType="separate"/>
      </w:r>
      <w:r>
        <w:rPr>
          <w:color w:val="auto"/>
        </w:rPr>
        <w:t>表 3.4.1–2</w:t>
      </w:r>
      <w:r>
        <w:rPr>
          <w:color w:val="auto"/>
        </w:rPr>
        <w:fldChar w:fldCharType="end"/>
      </w:r>
      <w:r>
        <w:rPr>
          <w:rFonts w:hint="eastAsia"/>
          <w:color w:val="auto"/>
        </w:rPr>
        <w:t>取值。</w:t>
      </w:r>
    </w:p>
    <w:p w14:paraId="10D90617">
      <w:pPr>
        <w:pStyle w:val="1060"/>
        <w:spacing w:before="163"/>
        <w:rPr>
          <w:color w:val="auto"/>
        </w:rPr>
      </w:pPr>
      <w:bookmarkStart w:id="238" w:name="_Ref220055336"/>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bookmarkEnd w:id="238"/>
      <w:r>
        <w:rPr>
          <w:color w:val="auto"/>
        </w:rPr>
        <w:t xml:space="preserve">  沟深小于5m的管沟边坡最陡坡度</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3748"/>
        <w:gridCol w:w="1680"/>
        <w:gridCol w:w="1680"/>
        <w:gridCol w:w="1678"/>
      </w:tblGrid>
      <w:tr w14:paraId="7FF6BF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Merge w:val="restart"/>
            <w:vAlign w:val="center"/>
          </w:tcPr>
          <w:p w14:paraId="70CB5B19">
            <w:pPr>
              <w:pStyle w:val="129"/>
              <w:widowControl w:val="0"/>
              <w:rPr>
                <w:color w:val="auto"/>
              </w:rPr>
            </w:pPr>
            <w:r>
              <w:rPr>
                <w:color w:val="auto"/>
              </w:rPr>
              <w:t>土壤类别</w:t>
            </w:r>
          </w:p>
        </w:tc>
        <w:tc>
          <w:tcPr>
            <w:tcW w:w="2867" w:type="pct"/>
            <w:gridSpan w:val="3"/>
            <w:vAlign w:val="center"/>
          </w:tcPr>
          <w:p w14:paraId="4472B782">
            <w:pPr>
              <w:pStyle w:val="129"/>
              <w:widowControl w:val="0"/>
              <w:rPr>
                <w:color w:val="auto"/>
              </w:rPr>
            </w:pPr>
            <w:r>
              <w:rPr>
                <w:color w:val="auto"/>
              </w:rPr>
              <w:t>边坡坡度（高：宽）</w:t>
            </w:r>
          </w:p>
        </w:tc>
      </w:tr>
      <w:tr w14:paraId="20EC31B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Merge w:val="continue"/>
            <w:vAlign w:val="center"/>
          </w:tcPr>
          <w:p w14:paraId="38208A4D">
            <w:pPr>
              <w:pStyle w:val="129"/>
              <w:widowControl w:val="0"/>
              <w:rPr>
                <w:color w:val="auto"/>
              </w:rPr>
            </w:pPr>
          </w:p>
        </w:tc>
        <w:tc>
          <w:tcPr>
            <w:tcW w:w="956" w:type="pct"/>
            <w:vAlign w:val="center"/>
          </w:tcPr>
          <w:p w14:paraId="5366776D">
            <w:pPr>
              <w:pStyle w:val="129"/>
              <w:widowControl w:val="0"/>
              <w:rPr>
                <w:color w:val="auto"/>
              </w:rPr>
            </w:pPr>
            <w:r>
              <w:rPr>
                <w:rFonts w:ascii="宋体" w:hAnsi="宋体"/>
                <w:color w:val="auto"/>
              </w:rPr>
              <w:t>坡顶无载荷</w:t>
            </w:r>
          </w:p>
        </w:tc>
        <w:tc>
          <w:tcPr>
            <w:tcW w:w="956" w:type="pct"/>
            <w:vAlign w:val="center"/>
          </w:tcPr>
          <w:p w14:paraId="1D006711">
            <w:pPr>
              <w:pStyle w:val="129"/>
              <w:widowControl w:val="0"/>
              <w:rPr>
                <w:color w:val="auto"/>
                <w:highlight w:val="yellow"/>
              </w:rPr>
            </w:pPr>
            <w:r>
              <w:rPr>
                <w:rFonts w:ascii="宋体" w:hAnsi="宋体"/>
                <w:color w:val="auto"/>
              </w:rPr>
              <w:t>坡顶有静载荷</w:t>
            </w:r>
          </w:p>
        </w:tc>
        <w:tc>
          <w:tcPr>
            <w:tcW w:w="955" w:type="pct"/>
            <w:vAlign w:val="center"/>
          </w:tcPr>
          <w:p w14:paraId="337EC22E">
            <w:pPr>
              <w:pStyle w:val="129"/>
              <w:widowControl w:val="0"/>
              <w:rPr>
                <w:color w:val="auto"/>
                <w:highlight w:val="yellow"/>
              </w:rPr>
            </w:pPr>
            <w:r>
              <w:rPr>
                <w:rFonts w:ascii="宋体" w:hAnsi="宋体"/>
                <w:color w:val="auto"/>
              </w:rPr>
              <w:t>坡顶有动载荷</w:t>
            </w:r>
          </w:p>
        </w:tc>
      </w:tr>
      <w:tr w14:paraId="521013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Align w:val="center"/>
          </w:tcPr>
          <w:p w14:paraId="203CB6AA">
            <w:pPr>
              <w:pStyle w:val="129"/>
              <w:widowControl w:val="0"/>
              <w:rPr>
                <w:color w:val="auto"/>
              </w:rPr>
            </w:pPr>
            <w:r>
              <w:rPr>
                <w:rFonts w:ascii="宋体" w:hAnsi="宋体"/>
                <w:color w:val="auto"/>
              </w:rPr>
              <w:t>中密的沙土</w:t>
            </w:r>
          </w:p>
        </w:tc>
        <w:tc>
          <w:tcPr>
            <w:tcW w:w="956" w:type="pct"/>
            <w:vAlign w:val="center"/>
          </w:tcPr>
          <w:p w14:paraId="54386888">
            <w:pPr>
              <w:pStyle w:val="129"/>
              <w:widowControl w:val="0"/>
              <w:rPr>
                <w:color w:val="auto"/>
              </w:rPr>
            </w:pPr>
            <w:r>
              <w:rPr>
                <w:color w:val="auto"/>
              </w:rPr>
              <w:t>1</w:t>
            </w:r>
            <w:r>
              <w:rPr>
                <w:rFonts w:ascii="宋体" w:hAnsi="宋体"/>
                <w:color w:val="auto"/>
              </w:rPr>
              <w:t>：</w:t>
            </w:r>
            <w:r>
              <w:rPr>
                <w:color w:val="auto"/>
              </w:rPr>
              <w:t>1.00</w:t>
            </w:r>
          </w:p>
        </w:tc>
        <w:tc>
          <w:tcPr>
            <w:tcW w:w="956" w:type="pct"/>
            <w:vAlign w:val="center"/>
          </w:tcPr>
          <w:p w14:paraId="130EFBE8">
            <w:pPr>
              <w:pStyle w:val="129"/>
              <w:widowControl w:val="0"/>
              <w:rPr>
                <w:color w:val="auto"/>
                <w:highlight w:val="yellow"/>
              </w:rPr>
            </w:pPr>
            <w:r>
              <w:rPr>
                <w:color w:val="auto"/>
              </w:rPr>
              <w:t>1</w:t>
            </w:r>
            <w:r>
              <w:rPr>
                <w:rFonts w:ascii="宋体" w:hAnsi="宋体"/>
                <w:color w:val="auto"/>
              </w:rPr>
              <w:t>：</w:t>
            </w:r>
            <w:r>
              <w:rPr>
                <w:color w:val="auto"/>
              </w:rPr>
              <w:t>1.25</w:t>
            </w:r>
          </w:p>
        </w:tc>
        <w:tc>
          <w:tcPr>
            <w:tcW w:w="955" w:type="pct"/>
            <w:vAlign w:val="center"/>
          </w:tcPr>
          <w:p w14:paraId="40E2A63C">
            <w:pPr>
              <w:pStyle w:val="129"/>
              <w:widowControl w:val="0"/>
              <w:rPr>
                <w:color w:val="auto"/>
                <w:highlight w:val="yellow"/>
              </w:rPr>
            </w:pPr>
            <w:r>
              <w:rPr>
                <w:color w:val="auto"/>
              </w:rPr>
              <w:t>1</w:t>
            </w:r>
            <w:r>
              <w:rPr>
                <w:rFonts w:ascii="宋体" w:hAnsi="宋体"/>
                <w:color w:val="auto"/>
              </w:rPr>
              <w:t>：</w:t>
            </w:r>
            <w:r>
              <w:rPr>
                <w:color w:val="auto"/>
              </w:rPr>
              <w:t>1.50</w:t>
            </w:r>
          </w:p>
        </w:tc>
      </w:tr>
      <w:tr w14:paraId="06ABB01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Align w:val="center"/>
          </w:tcPr>
          <w:p w14:paraId="4DB7CFF6">
            <w:pPr>
              <w:pStyle w:val="129"/>
              <w:widowControl w:val="0"/>
              <w:rPr>
                <w:color w:val="auto"/>
              </w:rPr>
            </w:pPr>
            <w:r>
              <w:rPr>
                <w:rFonts w:ascii="宋体" w:hAnsi="宋体"/>
                <w:color w:val="auto"/>
              </w:rPr>
              <w:t>中密的碎石类土（充填物为沙土）</w:t>
            </w:r>
          </w:p>
        </w:tc>
        <w:tc>
          <w:tcPr>
            <w:tcW w:w="956" w:type="pct"/>
            <w:vAlign w:val="center"/>
          </w:tcPr>
          <w:p w14:paraId="1FB1DBF9">
            <w:pPr>
              <w:pStyle w:val="129"/>
              <w:widowControl w:val="0"/>
              <w:rPr>
                <w:color w:val="auto"/>
              </w:rPr>
            </w:pPr>
            <w:r>
              <w:rPr>
                <w:color w:val="auto"/>
              </w:rPr>
              <w:t>1</w:t>
            </w:r>
            <w:r>
              <w:rPr>
                <w:rFonts w:ascii="宋体" w:hAnsi="宋体"/>
                <w:color w:val="auto"/>
              </w:rPr>
              <w:t>：</w:t>
            </w:r>
            <w:r>
              <w:rPr>
                <w:color w:val="auto"/>
              </w:rPr>
              <w:t>0.75</w:t>
            </w:r>
          </w:p>
        </w:tc>
        <w:tc>
          <w:tcPr>
            <w:tcW w:w="956" w:type="pct"/>
            <w:vAlign w:val="center"/>
          </w:tcPr>
          <w:p w14:paraId="05509D80">
            <w:pPr>
              <w:pStyle w:val="129"/>
              <w:widowControl w:val="0"/>
              <w:rPr>
                <w:color w:val="auto"/>
                <w:highlight w:val="yellow"/>
              </w:rPr>
            </w:pPr>
            <w:r>
              <w:rPr>
                <w:color w:val="auto"/>
              </w:rPr>
              <w:t>1</w:t>
            </w:r>
            <w:r>
              <w:rPr>
                <w:rFonts w:ascii="宋体" w:hAnsi="宋体"/>
                <w:color w:val="auto"/>
              </w:rPr>
              <w:t>：</w:t>
            </w:r>
            <w:r>
              <w:rPr>
                <w:color w:val="auto"/>
              </w:rPr>
              <w:t>1.00</w:t>
            </w:r>
          </w:p>
        </w:tc>
        <w:tc>
          <w:tcPr>
            <w:tcW w:w="955" w:type="pct"/>
            <w:vAlign w:val="center"/>
          </w:tcPr>
          <w:p w14:paraId="00B6FA44">
            <w:pPr>
              <w:pStyle w:val="129"/>
              <w:widowControl w:val="0"/>
              <w:rPr>
                <w:color w:val="auto"/>
                <w:highlight w:val="yellow"/>
              </w:rPr>
            </w:pPr>
            <w:r>
              <w:rPr>
                <w:color w:val="auto"/>
              </w:rPr>
              <w:t>1</w:t>
            </w:r>
            <w:r>
              <w:rPr>
                <w:rFonts w:ascii="宋体" w:hAnsi="宋体"/>
                <w:color w:val="auto"/>
              </w:rPr>
              <w:t>：</w:t>
            </w:r>
            <w:r>
              <w:rPr>
                <w:color w:val="auto"/>
              </w:rPr>
              <w:t>1.25</w:t>
            </w:r>
          </w:p>
        </w:tc>
      </w:tr>
      <w:tr w14:paraId="7749C1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Align w:val="center"/>
          </w:tcPr>
          <w:p w14:paraId="038FFEDD">
            <w:pPr>
              <w:pStyle w:val="129"/>
              <w:widowControl w:val="0"/>
              <w:rPr>
                <w:color w:val="auto"/>
              </w:rPr>
            </w:pPr>
            <w:r>
              <w:rPr>
                <w:rFonts w:ascii="宋体" w:hAnsi="宋体"/>
                <w:color w:val="auto"/>
              </w:rPr>
              <w:t>硬塑的粉土</w:t>
            </w:r>
          </w:p>
        </w:tc>
        <w:tc>
          <w:tcPr>
            <w:tcW w:w="956" w:type="pct"/>
            <w:vAlign w:val="center"/>
          </w:tcPr>
          <w:p w14:paraId="46311759">
            <w:pPr>
              <w:pStyle w:val="129"/>
              <w:widowControl w:val="0"/>
              <w:rPr>
                <w:color w:val="auto"/>
              </w:rPr>
            </w:pPr>
            <w:r>
              <w:rPr>
                <w:color w:val="auto"/>
              </w:rPr>
              <w:t>1</w:t>
            </w:r>
            <w:r>
              <w:rPr>
                <w:rFonts w:ascii="宋体" w:hAnsi="宋体"/>
                <w:color w:val="auto"/>
              </w:rPr>
              <w:t>：</w:t>
            </w:r>
            <w:r>
              <w:rPr>
                <w:color w:val="auto"/>
              </w:rPr>
              <w:t>0.67</w:t>
            </w:r>
          </w:p>
        </w:tc>
        <w:tc>
          <w:tcPr>
            <w:tcW w:w="956" w:type="pct"/>
            <w:vAlign w:val="center"/>
          </w:tcPr>
          <w:p w14:paraId="64599639">
            <w:pPr>
              <w:pStyle w:val="129"/>
              <w:widowControl w:val="0"/>
              <w:rPr>
                <w:color w:val="auto"/>
                <w:highlight w:val="yellow"/>
              </w:rPr>
            </w:pPr>
            <w:r>
              <w:rPr>
                <w:color w:val="auto"/>
              </w:rPr>
              <w:t>1</w:t>
            </w:r>
            <w:r>
              <w:rPr>
                <w:rFonts w:ascii="宋体" w:hAnsi="宋体"/>
                <w:color w:val="auto"/>
              </w:rPr>
              <w:t>：</w:t>
            </w:r>
            <w:r>
              <w:rPr>
                <w:color w:val="auto"/>
              </w:rPr>
              <w:t>0.75</w:t>
            </w:r>
          </w:p>
        </w:tc>
        <w:tc>
          <w:tcPr>
            <w:tcW w:w="955" w:type="pct"/>
            <w:vAlign w:val="center"/>
          </w:tcPr>
          <w:p w14:paraId="5BE4E59E">
            <w:pPr>
              <w:pStyle w:val="129"/>
              <w:widowControl w:val="0"/>
              <w:rPr>
                <w:color w:val="auto"/>
                <w:highlight w:val="yellow"/>
              </w:rPr>
            </w:pPr>
            <w:r>
              <w:rPr>
                <w:color w:val="auto"/>
              </w:rPr>
              <w:t>1</w:t>
            </w:r>
            <w:r>
              <w:rPr>
                <w:rFonts w:ascii="宋体" w:hAnsi="宋体"/>
                <w:color w:val="auto"/>
              </w:rPr>
              <w:t>：</w:t>
            </w:r>
            <w:r>
              <w:rPr>
                <w:color w:val="auto"/>
              </w:rPr>
              <w:t>1.00</w:t>
            </w:r>
          </w:p>
        </w:tc>
      </w:tr>
      <w:tr w14:paraId="1CE64E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Align w:val="center"/>
          </w:tcPr>
          <w:p w14:paraId="6386BE50">
            <w:pPr>
              <w:pStyle w:val="129"/>
              <w:widowControl w:val="0"/>
              <w:rPr>
                <w:color w:val="auto"/>
              </w:rPr>
            </w:pPr>
            <w:r>
              <w:rPr>
                <w:rFonts w:ascii="宋体" w:hAnsi="宋体"/>
                <w:color w:val="auto"/>
              </w:rPr>
              <w:t>中密的碎石类土（充填物为粘性土）</w:t>
            </w:r>
          </w:p>
        </w:tc>
        <w:tc>
          <w:tcPr>
            <w:tcW w:w="956" w:type="pct"/>
            <w:vAlign w:val="center"/>
          </w:tcPr>
          <w:p w14:paraId="433FE0CC">
            <w:pPr>
              <w:pStyle w:val="129"/>
              <w:widowControl w:val="0"/>
              <w:rPr>
                <w:color w:val="auto"/>
              </w:rPr>
            </w:pPr>
            <w:r>
              <w:rPr>
                <w:color w:val="auto"/>
              </w:rPr>
              <w:t>1</w:t>
            </w:r>
            <w:r>
              <w:rPr>
                <w:rFonts w:ascii="宋体" w:hAnsi="宋体"/>
                <w:color w:val="auto"/>
              </w:rPr>
              <w:t>：</w:t>
            </w:r>
            <w:r>
              <w:rPr>
                <w:color w:val="auto"/>
              </w:rPr>
              <w:t>0.5</w:t>
            </w:r>
          </w:p>
        </w:tc>
        <w:tc>
          <w:tcPr>
            <w:tcW w:w="956" w:type="pct"/>
            <w:vAlign w:val="center"/>
          </w:tcPr>
          <w:p w14:paraId="049FD4DE">
            <w:pPr>
              <w:pStyle w:val="129"/>
              <w:widowControl w:val="0"/>
              <w:rPr>
                <w:color w:val="auto"/>
                <w:highlight w:val="yellow"/>
              </w:rPr>
            </w:pPr>
            <w:r>
              <w:rPr>
                <w:color w:val="auto"/>
              </w:rPr>
              <w:t>1</w:t>
            </w:r>
            <w:r>
              <w:rPr>
                <w:rFonts w:ascii="宋体" w:hAnsi="宋体"/>
                <w:color w:val="auto"/>
              </w:rPr>
              <w:t>：</w:t>
            </w:r>
            <w:r>
              <w:rPr>
                <w:color w:val="auto"/>
              </w:rPr>
              <w:t>0.67</w:t>
            </w:r>
          </w:p>
        </w:tc>
        <w:tc>
          <w:tcPr>
            <w:tcW w:w="955" w:type="pct"/>
            <w:vAlign w:val="center"/>
          </w:tcPr>
          <w:p w14:paraId="02B60B90">
            <w:pPr>
              <w:pStyle w:val="129"/>
              <w:widowControl w:val="0"/>
              <w:rPr>
                <w:color w:val="auto"/>
                <w:highlight w:val="yellow"/>
              </w:rPr>
            </w:pPr>
            <w:r>
              <w:rPr>
                <w:color w:val="auto"/>
              </w:rPr>
              <w:t>1</w:t>
            </w:r>
            <w:r>
              <w:rPr>
                <w:rFonts w:ascii="宋体" w:hAnsi="宋体"/>
                <w:color w:val="auto"/>
              </w:rPr>
              <w:t>：</w:t>
            </w:r>
            <w:r>
              <w:rPr>
                <w:color w:val="auto"/>
              </w:rPr>
              <w:t>0.75</w:t>
            </w:r>
          </w:p>
        </w:tc>
      </w:tr>
      <w:tr w14:paraId="484975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Align w:val="center"/>
          </w:tcPr>
          <w:p w14:paraId="4A64577A">
            <w:pPr>
              <w:pStyle w:val="129"/>
              <w:widowControl w:val="0"/>
              <w:rPr>
                <w:color w:val="auto"/>
              </w:rPr>
            </w:pPr>
            <w:r>
              <w:rPr>
                <w:rFonts w:ascii="宋体" w:hAnsi="宋体"/>
                <w:color w:val="auto"/>
              </w:rPr>
              <w:t>硬塑的粉质粘土、粘土</w:t>
            </w:r>
          </w:p>
        </w:tc>
        <w:tc>
          <w:tcPr>
            <w:tcW w:w="956" w:type="pct"/>
            <w:vAlign w:val="center"/>
          </w:tcPr>
          <w:p w14:paraId="067CC900">
            <w:pPr>
              <w:pStyle w:val="129"/>
              <w:widowControl w:val="0"/>
              <w:rPr>
                <w:color w:val="auto"/>
              </w:rPr>
            </w:pPr>
            <w:r>
              <w:rPr>
                <w:color w:val="auto"/>
              </w:rPr>
              <w:t>1</w:t>
            </w:r>
            <w:r>
              <w:rPr>
                <w:rFonts w:ascii="宋体" w:hAnsi="宋体"/>
                <w:color w:val="auto"/>
              </w:rPr>
              <w:t>：</w:t>
            </w:r>
            <w:r>
              <w:rPr>
                <w:color w:val="auto"/>
              </w:rPr>
              <w:t>0.33</w:t>
            </w:r>
          </w:p>
        </w:tc>
        <w:tc>
          <w:tcPr>
            <w:tcW w:w="956" w:type="pct"/>
            <w:vAlign w:val="center"/>
          </w:tcPr>
          <w:p w14:paraId="7C37CB21">
            <w:pPr>
              <w:pStyle w:val="129"/>
              <w:widowControl w:val="0"/>
              <w:rPr>
                <w:color w:val="auto"/>
                <w:highlight w:val="yellow"/>
              </w:rPr>
            </w:pPr>
            <w:r>
              <w:rPr>
                <w:color w:val="auto"/>
              </w:rPr>
              <w:t>1</w:t>
            </w:r>
            <w:r>
              <w:rPr>
                <w:rFonts w:ascii="宋体" w:hAnsi="宋体"/>
                <w:color w:val="auto"/>
              </w:rPr>
              <w:t>：</w:t>
            </w:r>
            <w:r>
              <w:rPr>
                <w:color w:val="auto"/>
              </w:rPr>
              <w:t>0.50</w:t>
            </w:r>
          </w:p>
        </w:tc>
        <w:tc>
          <w:tcPr>
            <w:tcW w:w="955" w:type="pct"/>
            <w:vAlign w:val="center"/>
          </w:tcPr>
          <w:p w14:paraId="0378B1CB">
            <w:pPr>
              <w:pStyle w:val="129"/>
              <w:widowControl w:val="0"/>
              <w:rPr>
                <w:color w:val="auto"/>
                <w:highlight w:val="yellow"/>
              </w:rPr>
            </w:pPr>
            <w:r>
              <w:rPr>
                <w:color w:val="auto"/>
              </w:rPr>
              <w:t>1</w:t>
            </w:r>
            <w:r>
              <w:rPr>
                <w:rFonts w:ascii="宋体" w:hAnsi="宋体"/>
                <w:color w:val="auto"/>
              </w:rPr>
              <w:t>：</w:t>
            </w:r>
            <w:r>
              <w:rPr>
                <w:color w:val="auto"/>
              </w:rPr>
              <w:t>0.67</w:t>
            </w:r>
          </w:p>
        </w:tc>
      </w:tr>
      <w:tr w14:paraId="4E156A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Align w:val="center"/>
          </w:tcPr>
          <w:p w14:paraId="452E0858">
            <w:pPr>
              <w:pStyle w:val="129"/>
              <w:widowControl w:val="0"/>
              <w:rPr>
                <w:color w:val="auto"/>
              </w:rPr>
            </w:pPr>
            <w:r>
              <w:rPr>
                <w:rFonts w:ascii="宋体" w:hAnsi="宋体"/>
                <w:color w:val="auto"/>
              </w:rPr>
              <w:t>软土（经井点降水）</w:t>
            </w:r>
          </w:p>
        </w:tc>
        <w:tc>
          <w:tcPr>
            <w:tcW w:w="956" w:type="pct"/>
            <w:vAlign w:val="center"/>
          </w:tcPr>
          <w:p w14:paraId="1202E513">
            <w:pPr>
              <w:pStyle w:val="129"/>
              <w:widowControl w:val="0"/>
              <w:rPr>
                <w:color w:val="auto"/>
              </w:rPr>
            </w:pPr>
            <w:r>
              <w:rPr>
                <w:color w:val="auto"/>
              </w:rPr>
              <w:t>1</w:t>
            </w:r>
            <w:r>
              <w:rPr>
                <w:rFonts w:ascii="宋体" w:hAnsi="宋体"/>
                <w:color w:val="auto"/>
              </w:rPr>
              <w:t>：</w:t>
            </w:r>
            <w:r>
              <w:rPr>
                <w:color w:val="auto"/>
              </w:rPr>
              <w:t>1.00</w:t>
            </w:r>
          </w:p>
        </w:tc>
        <w:tc>
          <w:tcPr>
            <w:tcW w:w="956" w:type="pct"/>
            <w:vAlign w:val="center"/>
          </w:tcPr>
          <w:p w14:paraId="141AB9DC">
            <w:pPr>
              <w:pStyle w:val="129"/>
              <w:widowControl w:val="0"/>
              <w:rPr>
                <w:color w:val="auto"/>
                <w:highlight w:val="yellow"/>
              </w:rPr>
            </w:pPr>
            <w:r>
              <w:rPr>
                <w:color w:val="auto"/>
              </w:rPr>
              <w:t>-</w:t>
            </w:r>
          </w:p>
        </w:tc>
        <w:tc>
          <w:tcPr>
            <w:tcW w:w="955" w:type="pct"/>
            <w:vAlign w:val="center"/>
          </w:tcPr>
          <w:p w14:paraId="6058E9FD">
            <w:pPr>
              <w:pStyle w:val="129"/>
              <w:widowControl w:val="0"/>
              <w:rPr>
                <w:color w:val="auto"/>
                <w:highlight w:val="yellow"/>
              </w:rPr>
            </w:pPr>
            <w:r>
              <w:rPr>
                <w:color w:val="auto"/>
              </w:rPr>
              <w:t>-</w:t>
            </w:r>
          </w:p>
        </w:tc>
      </w:tr>
      <w:tr w14:paraId="3231E5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133" w:type="pct"/>
            <w:vAlign w:val="center"/>
          </w:tcPr>
          <w:p w14:paraId="2696FCF7">
            <w:pPr>
              <w:pStyle w:val="129"/>
              <w:widowControl w:val="0"/>
              <w:rPr>
                <w:color w:val="auto"/>
              </w:rPr>
            </w:pPr>
            <w:r>
              <w:rPr>
                <w:rFonts w:ascii="宋体" w:hAnsi="宋体"/>
                <w:color w:val="auto"/>
              </w:rPr>
              <w:t>硬质岩</w:t>
            </w:r>
          </w:p>
        </w:tc>
        <w:tc>
          <w:tcPr>
            <w:tcW w:w="956" w:type="pct"/>
            <w:vAlign w:val="center"/>
          </w:tcPr>
          <w:p w14:paraId="0973678D">
            <w:pPr>
              <w:pStyle w:val="129"/>
              <w:widowControl w:val="0"/>
              <w:rPr>
                <w:color w:val="auto"/>
              </w:rPr>
            </w:pPr>
            <w:r>
              <w:rPr>
                <w:color w:val="auto"/>
              </w:rPr>
              <w:t>1</w:t>
            </w:r>
            <w:r>
              <w:rPr>
                <w:rFonts w:ascii="宋体" w:hAnsi="宋体"/>
                <w:color w:val="auto"/>
              </w:rPr>
              <w:t>：</w:t>
            </w:r>
            <w:r>
              <w:rPr>
                <w:color w:val="auto"/>
              </w:rPr>
              <w:t>0</w:t>
            </w:r>
          </w:p>
        </w:tc>
        <w:tc>
          <w:tcPr>
            <w:tcW w:w="956" w:type="pct"/>
            <w:vAlign w:val="center"/>
          </w:tcPr>
          <w:p w14:paraId="2B583B34">
            <w:pPr>
              <w:pStyle w:val="129"/>
              <w:widowControl w:val="0"/>
              <w:rPr>
                <w:color w:val="auto"/>
                <w:highlight w:val="yellow"/>
              </w:rPr>
            </w:pPr>
            <w:r>
              <w:rPr>
                <w:color w:val="auto"/>
              </w:rPr>
              <w:t>1</w:t>
            </w:r>
            <w:r>
              <w:rPr>
                <w:rFonts w:ascii="宋体" w:hAnsi="宋体"/>
                <w:color w:val="auto"/>
              </w:rPr>
              <w:t>：</w:t>
            </w:r>
            <w:r>
              <w:rPr>
                <w:color w:val="auto"/>
              </w:rPr>
              <w:t>0</w:t>
            </w:r>
          </w:p>
        </w:tc>
        <w:tc>
          <w:tcPr>
            <w:tcW w:w="955" w:type="pct"/>
            <w:vAlign w:val="center"/>
          </w:tcPr>
          <w:p w14:paraId="72E40F75">
            <w:pPr>
              <w:pStyle w:val="129"/>
              <w:widowControl w:val="0"/>
              <w:rPr>
                <w:color w:val="auto"/>
                <w:highlight w:val="yellow"/>
              </w:rPr>
            </w:pPr>
            <w:r>
              <w:rPr>
                <w:color w:val="auto"/>
              </w:rPr>
              <w:t>1</w:t>
            </w:r>
            <w:r>
              <w:rPr>
                <w:rFonts w:ascii="宋体" w:hAnsi="宋体"/>
                <w:color w:val="auto"/>
              </w:rPr>
              <w:t>：</w:t>
            </w:r>
            <w:r>
              <w:rPr>
                <w:color w:val="auto"/>
              </w:rPr>
              <w:t>0</w:t>
            </w:r>
          </w:p>
        </w:tc>
      </w:tr>
    </w:tbl>
    <w:p w14:paraId="3F508601">
      <w:pPr>
        <w:pStyle w:val="1304"/>
        <w:ind w:left="2800"/>
        <w:rPr>
          <w:color w:val="auto"/>
        </w:rPr>
      </w:pPr>
    </w:p>
    <w:p w14:paraId="0F31BA92">
      <w:pPr>
        <w:pStyle w:val="132"/>
        <w:rPr>
          <w:color w:val="auto"/>
        </w:rPr>
      </w:pPr>
      <w:r>
        <w:rPr>
          <w:color w:val="auto"/>
        </w:rPr>
        <w:t>根据管道施工特点并结合本项目实际，在一般地段，施工作业带应考虑机械化施工所需要的宽度。管道在一般地段敷设作业带宽度控制在</w:t>
      </w:r>
      <w:r>
        <w:rPr>
          <w:rFonts w:hint="eastAsia"/>
          <w:color w:val="auto"/>
        </w:rPr>
        <w:t>10</w:t>
      </w:r>
      <w:r>
        <w:rPr>
          <w:color w:val="auto"/>
        </w:rPr>
        <w:t>m（包含沿线伴行道路）以内，狭小以及困难地段作业带宽度控制在</w:t>
      </w:r>
      <w:r>
        <w:rPr>
          <w:rFonts w:hint="eastAsia"/>
          <w:color w:val="auto"/>
        </w:rPr>
        <w:t>8</w:t>
      </w:r>
      <w:r>
        <w:rPr>
          <w:color w:val="auto"/>
        </w:rPr>
        <w:t>m以内。</w:t>
      </w:r>
    </w:p>
    <w:p w14:paraId="01CF1D3A">
      <w:pPr>
        <w:pStyle w:val="132"/>
        <w:rPr>
          <w:color w:val="auto"/>
        </w:rPr>
      </w:pPr>
      <w:r>
        <w:rPr>
          <w:rFonts w:hint="eastAsia"/>
          <w:color w:val="auto"/>
        </w:rPr>
        <w:t>（3）</w:t>
      </w:r>
      <w:r>
        <w:rPr>
          <w:color w:val="auto"/>
        </w:rPr>
        <w:t>特殊地段管道敷设</w:t>
      </w:r>
    </w:p>
    <w:p w14:paraId="01A0F7AA">
      <w:pPr>
        <w:pStyle w:val="132"/>
        <w:rPr>
          <w:color w:val="auto"/>
        </w:rPr>
      </w:pPr>
      <w:r>
        <w:rPr>
          <w:rFonts w:hint="eastAsia"/>
          <w:color w:val="auto"/>
        </w:rPr>
        <w:t>①对于管道与高压电力线并行敷设段，依据《电力设施保护条例》《电力设施保护条例实施细则》《架空配电线路及设备运行规程》等确定管道与高压电力线路的并行间距；垂直穿越高压电力线时，管道间净距不小于0.3m，管顶埋深不小于1.8m，并征得电力部门的确认。</w:t>
      </w:r>
    </w:p>
    <w:p w14:paraId="1749F414">
      <w:pPr>
        <w:pStyle w:val="132"/>
        <w:rPr>
          <w:color w:val="auto"/>
        </w:rPr>
      </w:pPr>
      <w:r>
        <w:rPr>
          <w:rFonts w:hint="eastAsia" w:ascii="Cambria Math" w:hAnsi="Cambria Math" w:cs="Cambria Math"/>
          <w:color w:val="auto"/>
        </w:rPr>
        <w:t>②</w:t>
      </w:r>
      <w:r>
        <w:rPr>
          <w:color w:val="auto"/>
        </w:rPr>
        <w:t>凡管道靠近通讯线、电力线、原有埋地管道</w:t>
      </w:r>
      <w:r>
        <w:rPr>
          <w:rFonts w:hint="eastAsia"/>
          <w:color w:val="auto"/>
        </w:rPr>
        <w:t>时，</w:t>
      </w:r>
      <w:r>
        <w:rPr>
          <w:color w:val="auto"/>
        </w:rPr>
        <w:t>不得爆破施工。</w:t>
      </w:r>
    </w:p>
    <w:p w14:paraId="0B255A09">
      <w:pPr>
        <w:pStyle w:val="132"/>
        <w:rPr>
          <w:color w:val="auto"/>
        </w:rPr>
      </w:pPr>
      <w:r>
        <w:rPr>
          <w:rFonts w:hint="eastAsia"/>
          <w:color w:val="auto"/>
        </w:rPr>
        <w:t>③管道经过河渠地段时，为防止水土流失，要求管沟回填后，根据具体地形、地貌修筑护坡、护岸、挡土墙、堡坎等，并恢复原貌。</w:t>
      </w:r>
    </w:p>
    <w:p w14:paraId="32FBC984">
      <w:pPr>
        <w:pStyle w:val="132"/>
        <w:rPr>
          <w:color w:val="auto"/>
        </w:rPr>
      </w:pPr>
      <w:r>
        <w:rPr>
          <w:rFonts w:hint="eastAsia"/>
          <w:color w:val="auto"/>
        </w:rPr>
        <w:t>④</w:t>
      </w:r>
      <w:r>
        <w:rPr>
          <w:color w:val="auto"/>
        </w:rPr>
        <w:t>管线</w:t>
      </w:r>
      <w:r>
        <w:rPr>
          <w:rFonts w:hint="eastAsia"/>
          <w:color w:val="auto"/>
        </w:rPr>
        <w:t>垂直穿越</w:t>
      </w:r>
      <w:r>
        <w:rPr>
          <w:color w:val="auto"/>
        </w:rPr>
        <w:t>已建的天然气管道</w:t>
      </w:r>
      <w:r>
        <w:rPr>
          <w:rFonts w:hint="eastAsia"/>
          <w:color w:val="auto"/>
        </w:rPr>
        <w:t>和原油管道时，管道间净距不小于0.3m，管顶埋深不小于1.8m。</w:t>
      </w:r>
    </w:p>
    <w:p w14:paraId="006EAC79">
      <w:pPr>
        <w:pStyle w:val="5"/>
        <w:rPr>
          <w:color w:val="auto"/>
        </w:rPr>
      </w:pPr>
      <w:r>
        <w:rPr>
          <w:rFonts w:hint="eastAsia"/>
          <w:color w:val="auto"/>
        </w:rPr>
        <w:t>管道焊接</w:t>
      </w:r>
    </w:p>
    <w:p w14:paraId="30DB49A4">
      <w:pPr>
        <w:pStyle w:val="132"/>
        <w:rPr>
          <w:color w:val="auto"/>
        </w:rPr>
      </w:pPr>
      <w:r>
        <w:rPr>
          <w:color w:val="auto"/>
        </w:rPr>
        <w:t>本工程管道焊接采用对焊连接方式，并以氩弧焊为主要焊接工艺</w:t>
      </w:r>
      <w:r>
        <w:rPr>
          <w:rFonts w:hint="eastAsia"/>
          <w:color w:val="auto"/>
        </w:rPr>
        <w:t>，焊接应符合</w:t>
      </w:r>
      <w:r>
        <w:rPr>
          <w:color w:val="auto"/>
        </w:rPr>
        <w:t>《给水用聚乙烯</w:t>
      </w:r>
      <w:r>
        <w:rPr>
          <w:rFonts w:hint="eastAsia"/>
          <w:color w:val="auto"/>
        </w:rPr>
        <w:t>（</w:t>
      </w:r>
      <w:r>
        <w:rPr>
          <w:color w:val="auto"/>
        </w:rPr>
        <w:t>PE</w:t>
      </w:r>
      <w:r>
        <w:rPr>
          <w:rFonts w:hint="eastAsia"/>
          <w:color w:val="auto"/>
        </w:rPr>
        <w:t>）</w:t>
      </w:r>
      <w:r>
        <w:rPr>
          <w:color w:val="auto"/>
        </w:rPr>
        <w:t>管道系统 第2部分：管件》</w:t>
      </w:r>
      <w:r>
        <w:rPr>
          <w:rFonts w:hint="eastAsia"/>
          <w:color w:val="auto"/>
        </w:rPr>
        <w:t>（</w:t>
      </w:r>
      <w:r>
        <w:rPr>
          <w:color w:val="auto"/>
        </w:rPr>
        <w:t>GB/T 13663.2-2018</w:t>
      </w:r>
      <w:r>
        <w:rPr>
          <w:rFonts w:hint="eastAsia"/>
          <w:color w:val="auto"/>
        </w:rPr>
        <w:t>）、</w:t>
      </w:r>
      <w:r>
        <w:rPr>
          <w:color w:val="auto"/>
        </w:rPr>
        <w:t>《钢质管道焊接及验收》</w:t>
      </w:r>
      <w:r>
        <w:rPr>
          <w:rFonts w:hint="eastAsia"/>
          <w:color w:val="auto"/>
        </w:rPr>
        <w:t>（</w:t>
      </w:r>
      <w:r>
        <w:rPr>
          <w:color w:val="auto"/>
        </w:rPr>
        <w:t>GB/T 31032-2023</w:t>
      </w:r>
      <w:r>
        <w:rPr>
          <w:rFonts w:hint="eastAsia"/>
          <w:color w:val="auto"/>
        </w:rPr>
        <w:t>）等有关规定。</w:t>
      </w:r>
    </w:p>
    <w:p w14:paraId="67A4EE72">
      <w:pPr>
        <w:pStyle w:val="132"/>
        <w:rPr>
          <w:color w:val="auto"/>
        </w:rPr>
      </w:pPr>
      <w:r>
        <w:rPr>
          <w:color w:val="auto"/>
        </w:rPr>
        <w:t>焊后应对所有焊缝进行</w:t>
      </w:r>
      <w:r>
        <w:rPr>
          <w:rFonts w:hint="eastAsia"/>
          <w:color w:val="auto"/>
        </w:rPr>
        <w:t>100</w:t>
      </w:r>
      <w:r>
        <w:rPr>
          <w:color w:val="auto"/>
        </w:rPr>
        <w:t>%外观检查，并按设计规定比例进行射线或超声波等无损检测，最终通过压力试验验证管道系统的强度与严密性，确保焊接质量符合《燃气用聚乙烯管道焊接技术规则</w:t>
      </w:r>
      <w:r>
        <w:rPr>
          <w:rFonts w:hint="eastAsia"/>
          <w:color w:val="auto"/>
        </w:rPr>
        <w:t>》《</w:t>
      </w:r>
      <w:r>
        <w:rPr>
          <w:color w:val="auto"/>
        </w:rPr>
        <w:t>石油化工金属管道工程施工质量验收规范》等相关标准的要求。</w:t>
      </w:r>
    </w:p>
    <w:p w14:paraId="3D5C76E6">
      <w:pPr>
        <w:pStyle w:val="5"/>
        <w:rPr>
          <w:color w:val="auto"/>
        </w:rPr>
      </w:pPr>
      <w:r>
        <w:rPr>
          <w:rFonts w:hint="eastAsia"/>
          <w:color w:val="auto"/>
        </w:rPr>
        <w:t>管道试压</w:t>
      </w:r>
    </w:p>
    <w:p w14:paraId="1F4A31DE">
      <w:pPr>
        <w:pStyle w:val="132"/>
        <w:rPr>
          <w:color w:val="auto"/>
        </w:rPr>
      </w:pPr>
      <w:r>
        <w:rPr>
          <w:rFonts w:hint="eastAsia"/>
          <w:color w:val="auto"/>
        </w:rPr>
        <w:t>管道强度试验介质为洁净水，强度试验检验合格后进行严密性试验，严密性试验介质为干燥无油的压缩空气。</w:t>
      </w:r>
    </w:p>
    <w:p w14:paraId="7C67E318">
      <w:pPr>
        <w:pStyle w:val="4"/>
        <w:rPr>
          <w:color w:val="auto"/>
        </w:rPr>
      </w:pPr>
      <w:r>
        <w:rPr>
          <w:rFonts w:hint="eastAsia"/>
          <w:color w:val="auto"/>
        </w:rPr>
        <w:t>穿越工程</w:t>
      </w:r>
    </w:p>
    <w:p w14:paraId="387FFA91">
      <w:pPr>
        <w:pStyle w:val="132"/>
        <w:rPr>
          <w:color w:val="auto"/>
        </w:rPr>
      </w:pPr>
      <w:r>
        <w:rPr>
          <w:rFonts w:hint="eastAsia"/>
          <w:color w:val="auto"/>
        </w:rPr>
        <w:t>本项目</w:t>
      </w:r>
      <w:bookmarkStart w:id="239" w:name="OLE_LINK17"/>
      <w:r>
        <w:rPr>
          <w:rFonts w:hint="eastAsia"/>
          <w:color w:val="auto"/>
        </w:rPr>
        <w:t>排污管道</w:t>
      </w:r>
      <w:r>
        <w:rPr>
          <w:color w:val="auto"/>
        </w:rPr>
        <w:t>自南向北垂直穿越</w:t>
      </w:r>
      <w:r>
        <w:rPr>
          <w:rFonts w:hint="eastAsia"/>
          <w:color w:val="auto"/>
        </w:rPr>
        <w:t>西延干渠</w:t>
      </w:r>
      <w:r>
        <w:rPr>
          <w:color w:val="auto"/>
        </w:rPr>
        <w:t>预留涵洞处</w:t>
      </w:r>
      <w:r>
        <w:rPr>
          <w:rFonts w:hint="eastAsia"/>
          <w:color w:val="auto"/>
        </w:rPr>
        <w:t>；</w:t>
      </w:r>
      <w:r>
        <w:rPr>
          <w:color w:val="auto"/>
        </w:rPr>
        <w:t>顶管穿越化工产业集中区内部道路</w:t>
      </w:r>
      <w:bookmarkEnd w:id="239"/>
      <w:r>
        <w:rPr>
          <w:rFonts w:hint="eastAsia"/>
          <w:color w:val="auto"/>
        </w:rPr>
        <w:t>；</w:t>
      </w:r>
      <w:r>
        <w:rPr>
          <w:color w:val="auto"/>
        </w:rPr>
        <w:t>埋地同沟敷设</w:t>
      </w:r>
      <w:r>
        <w:rPr>
          <w:rFonts w:hint="eastAsia"/>
          <w:color w:val="auto"/>
        </w:rPr>
        <w:t>穿越高压电力线（平行或垂直）、</w:t>
      </w:r>
      <w:r>
        <w:rPr>
          <w:color w:val="auto"/>
        </w:rPr>
        <w:t>甘泉堡新捷能源天然气管道</w:t>
      </w:r>
      <w:r>
        <w:rPr>
          <w:rFonts w:hint="eastAsia"/>
          <w:color w:val="auto"/>
        </w:rPr>
        <w:t>（垂直）、</w:t>
      </w:r>
      <w:r>
        <w:rPr>
          <w:color w:val="auto"/>
        </w:rPr>
        <w:t>中国石油新疆油田油气储运公司三化线D426原油管道</w:t>
      </w:r>
      <w:r>
        <w:rPr>
          <w:rFonts w:hint="eastAsia"/>
          <w:color w:val="auto"/>
        </w:rPr>
        <w:t>（垂直），</w:t>
      </w:r>
      <w:r>
        <w:rPr>
          <w:color w:val="auto"/>
        </w:rPr>
        <w:t>原则上应位于其下方，</w:t>
      </w:r>
      <w:r>
        <w:rPr>
          <w:rFonts w:hint="eastAsia"/>
          <w:color w:val="auto"/>
        </w:rPr>
        <w:t>并</w:t>
      </w:r>
      <w:r>
        <w:rPr>
          <w:color w:val="auto"/>
        </w:rPr>
        <w:t>按权属单位的管道要求采取相应的保护措施</w:t>
      </w:r>
      <w:r>
        <w:rPr>
          <w:rFonts w:hint="eastAsia"/>
          <w:color w:val="auto"/>
        </w:rPr>
        <w:t>，征得</w:t>
      </w:r>
      <w:r>
        <w:rPr>
          <w:color w:val="auto"/>
        </w:rPr>
        <w:t>对方允许后，方可施工</w:t>
      </w:r>
      <w:r>
        <w:rPr>
          <w:rFonts w:hint="eastAsia"/>
          <w:color w:val="auto"/>
        </w:rPr>
        <w:t>。</w:t>
      </w:r>
    </w:p>
    <w:p w14:paraId="20BC676B">
      <w:pPr>
        <w:pStyle w:val="4"/>
        <w:rPr>
          <w:color w:val="auto"/>
        </w:rPr>
      </w:pPr>
      <w:r>
        <w:rPr>
          <w:rFonts w:hint="eastAsia"/>
          <w:color w:val="auto"/>
        </w:rPr>
        <w:t>附属工程</w:t>
      </w:r>
    </w:p>
    <w:p w14:paraId="76D82612">
      <w:pPr>
        <w:pStyle w:val="132"/>
        <w:rPr>
          <w:color w:val="auto"/>
        </w:rPr>
      </w:pPr>
      <w:r>
        <w:rPr>
          <w:color w:val="auto"/>
        </w:rPr>
        <w:t>本项目管线较短全线不设置站场和阀室。</w:t>
      </w:r>
    </w:p>
    <w:p w14:paraId="5D397533">
      <w:pPr>
        <w:pStyle w:val="5"/>
        <w:rPr>
          <w:color w:val="auto"/>
        </w:rPr>
      </w:pPr>
      <w:r>
        <w:rPr>
          <w:rFonts w:hint="eastAsia"/>
          <w:color w:val="auto"/>
        </w:rPr>
        <w:t>管道标志桩</w:t>
      </w:r>
    </w:p>
    <w:p w14:paraId="00521EB1">
      <w:pPr>
        <w:pStyle w:val="132"/>
        <w:rPr>
          <w:color w:val="auto"/>
        </w:rPr>
      </w:pPr>
      <w:r>
        <w:rPr>
          <w:rFonts w:hint="eastAsia"/>
          <w:color w:val="auto"/>
        </w:rPr>
        <w:t>（1）转角桩：管道水平改变方向的位置设置转角桩，转角桩上要标明管道里程，转角角度。</w:t>
      </w:r>
    </w:p>
    <w:p w14:paraId="697014C3">
      <w:pPr>
        <w:pStyle w:val="132"/>
        <w:rPr>
          <w:color w:val="auto"/>
        </w:rPr>
      </w:pPr>
      <w:r>
        <w:rPr>
          <w:rFonts w:hint="eastAsia"/>
          <w:color w:val="auto"/>
        </w:rPr>
        <w:t>（2）穿越标志桩：管道穿越河流两侧，均设置穿越标志桩，穿越标志桩上应标明管道名称、穿越类型、河流的名称，线路里程，穿越长度，有套管的应注明套管的长度、规格和材质。</w:t>
      </w:r>
    </w:p>
    <w:p w14:paraId="0BD959FB">
      <w:pPr>
        <w:pStyle w:val="132"/>
        <w:rPr>
          <w:color w:val="auto"/>
        </w:rPr>
      </w:pPr>
      <w:r>
        <w:rPr>
          <w:rFonts w:hint="eastAsia"/>
          <w:color w:val="auto"/>
        </w:rPr>
        <w:t>（3）交叉标志桩：与地下管道、电（光）缆交叉的位置应设置交叉标志桩。交叉标志桩上应注明线路里程、交叉物的名称、与交叉物的关系。</w:t>
      </w:r>
    </w:p>
    <w:p w14:paraId="2C5DAB95">
      <w:pPr>
        <w:pStyle w:val="132"/>
        <w:rPr>
          <w:color w:val="auto"/>
        </w:rPr>
      </w:pPr>
      <w:r>
        <w:rPr>
          <w:rFonts w:hint="eastAsia"/>
          <w:color w:val="auto"/>
        </w:rPr>
        <w:t>（4）结构标志桩：管道外防护层或管道壁厚发生变化时，应设置结构标志桩，桩上要标明线路里程，并注明在桩前和桩后管道外防护层的材料或管道壁厚。</w:t>
      </w:r>
    </w:p>
    <w:p w14:paraId="208C2BDA">
      <w:pPr>
        <w:pStyle w:val="132"/>
        <w:rPr>
          <w:color w:val="auto"/>
        </w:rPr>
      </w:pPr>
      <w:r>
        <w:rPr>
          <w:rFonts w:hint="eastAsia"/>
          <w:color w:val="auto"/>
        </w:rPr>
        <w:t>（5）设施标志桩：当管道上有特殊设施时，应设置设施桩。桩上要标明管道的里程、设施的名称及规格。</w:t>
      </w:r>
    </w:p>
    <w:p w14:paraId="3C7B10EE">
      <w:pPr>
        <w:pStyle w:val="5"/>
        <w:rPr>
          <w:color w:val="auto"/>
        </w:rPr>
      </w:pPr>
      <w:r>
        <w:rPr>
          <w:color w:val="auto"/>
        </w:rPr>
        <w:t>警示牌</w:t>
      </w:r>
    </w:p>
    <w:p w14:paraId="58453FEB">
      <w:pPr>
        <w:pStyle w:val="132"/>
        <w:rPr>
          <w:color w:val="auto"/>
        </w:rPr>
      </w:pPr>
      <w:r>
        <w:rPr>
          <w:color w:val="auto"/>
        </w:rPr>
        <w:t>管道穿越河流处，在两岸各设置一</w:t>
      </w:r>
      <w:r>
        <w:rPr>
          <w:rFonts w:hint="eastAsia"/>
          <w:color w:val="auto"/>
        </w:rPr>
        <w:t>块</w:t>
      </w:r>
      <w:r>
        <w:rPr>
          <w:color w:val="auto"/>
        </w:rPr>
        <w:t>警示牌，</w:t>
      </w:r>
      <w:r>
        <w:rPr>
          <w:rFonts w:hint="eastAsia"/>
          <w:color w:val="auto"/>
        </w:rPr>
        <w:t>即西延干渠共</w:t>
      </w:r>
      <w:r>
        <w:rPr>
          <w:color w:val="auto"/>
        </w:rPr>
        <w:t>设置</w:t>
      </w:r>
      <w:r>
        <w:rPr>
          <w:rFonts w:hint="eastAsia"/>
          <w:color w:val="auto"/>
        </w:rPr>
        <w:t>两</w:t>
      </w:r>
      <w:r>
        <w:rPr>
          <w:color w:val="auto"/>
        </w:rPr>
        <w:t>块警示牌</w:t>
      </w:r>
      <w:r>
        <w:rPr>
          <w:rFonts w:hint="eastAsia"/>
          <w:color w:val="auto"/>
        </w:rPr>
        <w:t>，并</w:t>
      </w:r>
      <w:r>
        <w:rPr>
          <w:color w:val="auto"/>
        </w:rPr>
        <w:t>设置在明显醒目地</w:t>
      </w:r>
      <w:r>
        <w:rPr>
          <w:rFonts w:hint="eastAsia"/>
          <w:color w:val="auto"/>
        </w:rPr>
        <w:t>。</w:t>
      </w:r>
    </w:p>
    <w:p w14:paraId="73B202D1">
      <w:pPr>
        <w:pStyle w:val="5"/>
        <w:rPr>
          <w:color w:val="auto"/>
        </w:rPr>
      </w:pPr>
      <w:r>
        <w:rPr>
          <w:rFonts w:hint="eastAsia"/>
          <w:color w:val="auto"/>
        </w:rPr>
        <w:t>警示带</w:t>
      </w:r>
    </w:p>
    <w:p w14:paraId="0F231413">
      <w:pPr>
        <w:pStyle w:val="132"/>
        <w:rPr>
          <w:color w:val="auto"/>
        </w:rPr>
      </w:pPr>
      <w:r>
        <w:rPr>
          <w:color w:val="auto"/>
        </w:rPr>
        <w:t>为尽可能避免管道受外力破坏，管道沿线设置警示带。管道警示带作用是警示下方敷设有排污管道，其敷设位置在管道管顶正上方500mm处。</w:t>
      </w:r>
    </w:p>
    <w:p w14:paraId="4FC5D207">
      <w:pPr>
        <w:pStyle w:val="4"/>
        <w:rPr>
          <w:color w:val="auto"/>
        </w:rPr>
      </w:pPr>
      <w:r>
        <w:rPr>
          <w:rFonts w:hint="eastAsia"/>
          <w:color w:val="auto"/>
        </w:rPr>
        <w:t>工程占地及土石方工程</w:t>
      </w:r>
    </w:p>
    <w:p w14:paraId="73172810">
      <w:pPr>
        <w:pStyle w:val="132"/>
        <w:rPr>
          <w:color w:val="auto"/>
        </w:rPr>
      </w:pPr>
      <w:r>
        <w:rPr>
          <w:rFonts w:hint="eastAsia"/>
          <w:color w:val="auto"/>
        </w:rPr>
        <w:t>本项目新建管线长度短，作业地域较开阔，施工人员均为本地常住人员，不设施工营地。</w:t>
      </w:r>
    </w:p>
    <w:p w14:paraId="5A68DFA1">
      <w:pPr>
        <w:pStyle w:val="132"/>
        <w:rPr>
          <w:color w:val="auto"/>
        </w:rPr>
      </w:pPr>
      <w:r>
        <w:rPr>
          <w:rFonts w:hint="eastAsia"/>
          <w:color w:val="auto"/>
        </w:rPr>
        <w:t>施工带占地面积约</w:t>
      </w:r>
      <w:r>
        <w:rPr>
          <w:color w:val="auto"/>
        </w:rPr>
        <w:t>26</w:t>
      </w:r>
      <w:r>
        <w:rPr>
          <w:rFonts w:hint="eastAsia"/>
          <w:color w:val="auto"/>
        </w:rPr>
        <w:t>38</w:t>
      </w:r>
      <w:r>
        <w:rPr>
          <w:color w:val="auto"/>
        </w:rPr>
        <w:t>0</w:t>
      </w:r>
      <w:r>
        <w:rPr>
          <w:rFonts w:hint="eastAsia"/>
          <w:color w:val="auto"/>
        </w:rPr>
        <w:t>m</w:t>
      </w:r>
      <w:r>
        <w:rPr>
          <w:rFonts w:hint="eastAsia"/>
          <w:color w:val="auto"/>
          <w:vertAlign w:val="superscript"/>
        </w:rPr>
        <w:t>2</w:t>
      </w:r>
      <w:r>
        <w:rPr>
          <w:rFonts w:hint="eastAsia"/>
          <w:color w:val="auto"/>
        </w:rPr>
        <w:t>，全线不设站场、阀室，其中临时占地面积26310m</w:t>
      </w:r>
      <w:r>
        <w:rPr>
          <w:rFonts w:hint="eastAsia"/>
          <w:color w:val="auto"/>
          <w:vertAlign w:val="superscript"/>
        </w:rPr>
        <w:t>2</w:t>
      </w:r>
      <w:r>
        <w:rPr>
          <w:rFonts w:hint="eastAsia"/>
          <w:color w:val="auto"/>
        </w:rPr>
        <w:t>，临时占地包括管道施工作业带、施工便道、堆管场、穿越工程施工场地等；永久占地面积70m</w:t>
      </w:r>
      <w:r>
        <w:rPr>
          <w:rFonts w:hint="eastAsia"/>
          <w:color w:val="auto"/>
          <w:vertAlign w:val="superscript"/>
        </w:rPr>
        <w:t>2</w:t>
      </w:r>
      <w:r>
        <w:rPr>
          <w:rFonts w:hint="eastAsia"/>
          <w:color w:val="auto"/>
        </w:rPr>
        <w:t>，为转角桩、穿跨越桩、交叉桩、结构桩等。</w:t>
      </w:r>
    </w:p>
    <w:p w14:paraId="0457FA09">
      <w:pPr>
        <w:pStyle w:val="132"/>
        <w:rPr>
          <w:color w:val="auto"/>
        </w:rPr>
      </w:pPr>
      <w:r>
        <w:rPr>
          <w:color w:val="auto"/>
        </w:rPr>
        <w:t>本项目土石方转运量见下</w:t>
      </w:r>
      <w:r>
        <w:rPr>
          <w:rFonts w:hint="eastAsia"/>
          <w:color w:val="auto"/>
        </w:rPr>
        <w:fldChar w:fldCharType="begin"/>
      </w:r>
      <w:r>
        <w:rPr>
          <w:rFonts w:hint="eastAsia"/>
          <w:color w:val="auto"/>
        </w:rPr>
        <w:instrText xml:space="preserve"> </w:instrText>
      </w:r>
      <w:r>
        <w:rPr>
          <w:color w:val="auto"/>
        </w:rPr>
        <w:instrText xml:space="preserve">REF _Ref220086646 \h</w:instrText>
      </w:r>
      <w:r>
        <w:rPr>
          <w:rFonts w:hint="eastAsia"/>
          <w:color w:val="auto"/>
        </w:rPr>
        <w:instrText xml:space="preserve"> </w:instrText>
      </w:r>
      <w:r>
        <w:rPr>
          <w:color w:val="auto"/>
        </w:rPr>
        <w:instrText xml:space="preserve"> \* MERGEFORMAT </w:instrText>
      </w:r>
      <w:r>
        <w:rPr>
          <w:rFonts w:hint="eastAsia"/>
          <w:color w:val="auto"/>
        </w:rPr>
        <w:fldChar w:fldCharType="separate"/>
      </w:r>
      <w:r>
        <w:rPr>
          <w:rFonts w:hint="eastAsia"/>
          <w:color w:val="auto"/>
        </w:rPr>
        <w:t xml:space="preserve">表 </w:t>
      </w:r>
      <w:r>
        <w:rPr>
          <w:color w:val="auto"/>
        </w:rPr>
        <w:t>3.4</w:t>
      </w:r>
      <w:r>
        <w:rPr>
          <w:rFonts w:hint="eastAsia"/>
          <w:color w:val="auto"/>
        </w:rPr>
        <w:t>-3</w:t>
      </w:r>
      <w:r>
        <w:rPr>
          <w:rFonts w:hint="eastAsia"/>
          <w:color w:val="auto"/>
        </w:rPr>
        <w:fldChar w:fldCharType="end"/>
      </w:r>
      <w:r>
        <w:rPr>
          <w:color w:val="auto"/>
        </w:rPr>
        <w:t>。</w:t>
      </w:r>
    </w:p>
    <w:p w14:paraId="3E1FD6E1">
      <w:pPr>
        <w:pStyle w:val="1060"/>
        <w:spacing w:before="163"/>
        <w:rPr>
          <w:b/>
          <w:bCs/>
          <w:color w:val="auto"/>
          <w:kern w:val="2"/>
          <w:sz w:val="21"/>
          <w:szCs w:val="21"/>
          <w:highlight w:val="yellow"/>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rFonts w:hint="eastAsia"/>
          <w:color w:val="auto"/>
        </w:rPr>
        <w:t xml:space="preserve">  </w:t>
      </w:r>
      <w:r>
        <w:rPr>
          <w:rFonts w:ascii="宋体" w:hAnsi="宋体"/>
          <w:b/>
          <w:bCs/>
          <w:color w:val="auto"/>
          <w:kern w:val="2"/>
          <w:sz w:val="21"/>
          <w:szCs w:val="21"/>
        </w:rPr>
        <w:t>土石方转运量</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065"/>
        <w:gridCol w:w="1357"/>
        <w:gridCol w:w="1430"/>
        <w:gridCol w:w="1430"/>
        <w:gridCol w:w="2504"/>
      </w:tblGrid>
      <w:tr w14:paraId="13A328A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90" w:hRule="atLeast"/>
        </w:trPr>
        <w:tc>
          <w:tcPr>
            <w:tcW w:w="1175" w:type="pct"/>
            <w:vAlign w:val="center"/>
          </w:tcPr>
          <w:p w14:paraId="668344A3">
            <w:pPr>
              <w:pStyle w:val="129"/>
              <w:widowControl w:val="0"/>
              <w:rPr>
                <w:color w:val="auto"/>
              </w:rPr>
            </w:pPr>
            <w:r>
              <w:rPr>
                <w:color w:val="auto"/>
              </w:rPr>
              <w:t>工程</w:t>
            </w:r>
          </w:p>
        </w:tc>
        <w:tc>
          <w:tcPr>
            <w:tcW w:w="772" w:type="pct"/>
            <w:vAlign w:val="center"/>
          </w:tcPr>
          <w:p w14:paraId="54ED0551">
            <w:pPr>
              <w:pStyle w:val="129"/>
              <w:widowControl w:val="0"/>
              <w:rPr>
                <w:color w:val="auto"/>
              </w:rPr>
            </w:pPr>
            <w:r>
              <w:rPr>
                <w:color w:val="auto"/>
              </w:rPr>
              <w:t>挖方量（m</w:t>
            </w:r>
            <w:r>
              <w:rPr>
                <w:color w:val="auto"/>
                <w:vertAlign w:val="superscript"/>
              </w:rPr>
              <w:t>3</w:t>
            </w:r>
            <w:r>
              <w:rPr>
                <w:color w:val="auto"/>
              </w:rPr>
              <w:t>）</w:t>
            </w:r>
          </w:p>
        </w:tc>
        <w:tc>
          <w:tcPr>
            <w:tcW w:w="814" w:type="pct"/>
            <w:vAlign w:val="center"/>
          </w:tcPr>
          <w:p w14:paraId="23F1E80B">
            <w:pPr>
              <w:pStyle w:val="129"/>
              <w:widowControl w:val="0"/>
              <w:rPr>
                <w:color w:val="auto"/>
              </w:rPr>
            </w:pPr>
            <w:r>
              <w:rPr>
                <w:color w:val="auto"/>
              </w:rPr>
              <w:t>回填量（m</w:t>
            </w:r>
            <w:r>
              <w:rPr>
                <w:color w:val="auto"/>
                <w:vertAlign w:val="superscript"/>
              </w:rPr>
              <w:t>3</w:t>
            </w:r>
            <w:r>
              <w:rPr>
                <w:color w:val="auto"/>
              </w:rPr>
              <w:t>）</w:t>
            </w:r>
          </w:p>
        </w:tc>
        <w:tc>
          <w:tcPr>
            <w:tcW w:w="814" w:type="pct"/>
            <w:vAlign w:val="center"/>
          </w:tcPr>
          <w:p w14:paraId="125FABE4">
            <w:pPr>
              <w:pStyle w:val="129"/>
              <w:widowControl w:val="0"/>
              <w:rPr>
                <w:color w:val="auto"/>
              </w:rPr>
            </w:pPr>
            <w:r>
              <w:rPr>
                <w:color w:val="auto"/>
              </w:rPr>
              <w:t>弃渣量（m</w:t>
            </w:r>
            <w:r>
              <w:rPr>
                <w:color w:val="auto"/>
                <w:vertAlign w:val="superscript"/>
              </w:rPr>
              <w:t>3</w:t>
            </w:r>
            <w:r>
              <w:rPr>
                <w:color w:val="auto"/>
              </w:rPr>
              <w:t>）</w:t>
            </w:r>
          </w:p>
        </w:tc>
        <w:tc>
          <w:tcPr>
            <w:tcW w:w="1425" w:type="pct"/>
            <w:vAlign w:val="center"/>
          </w:tcPr>
          <w:p w14:paraId="7B51FEA6">
            <w:pPr>
              <w:pStyle w:val="129"/>
              <w:widowControl w:val="0"/>
              <w:rPr>
                <w:color w:val="auto"/>
              </w:rPr>
            </w:pPr>
            <w:r>
              <w:rPr>
                <w:rFonts w:hint="eastAsia"/>
                <w:color w:val="auto"/>
              </w:rPr>
              <w:t>备注</w:t>
            </w:r>
          </w:p>
        </w:tc>
      </w:tr>
      <w:tr w14:paraId="25CE39B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63" w:hRule="atLeast"/>
        </w:trPr>
        <w:tc>
          <w:tcPr>
            <w:tcW w:w="1175" w:type="pct"/>
            <w:vAlign w:val="center"/>
          </w:tcPr>
          <w:p w14:paraId="755C7725">
            <w:pPr>
              <w:pStyle w:val="129"/>
              <w:widowControl w:val="0"/>
              <w:rPr>
                <w:color w:val="auto"/>
              </w:rPr>
            </w:pPr>
            <w:r>
              <w:rPr>
                <w:color w:val="auto"/>
              </w:rPr>
              <w:t>一般地带管沟开挖</w:t>
            </w:r>
          </w:p>
        </w:tc>
        <w:tc>
          <w:tcPr>
            <w:tcW w:w="772" w:type="pct"/>
            <w:vAlign w:val="center"/>
          </w:tcPr>
          <w:p w14:paraId="7753C1C5">
            <w:pPr>
              <w:pStyle w:val="129"/>
              <w:widowControl w:val="0"/>
              <w:rPr>
                <w:color w:val="auto"/>
              </w:rPr>
            </w:pPr>
            <w:r>
              <w:rPr>
                <w:rFonts w:hint="eastAsia"/>
                <w:color w:val="auto"/>
              </w:rPr>
              <w:t>28500</w:t>
            </w:r>
          </w:p>
        </w:tc>
        <w:tc>
          <w:tcPr>
            <w:tcW w:w="814" w:type="pct"/>
            <w:vAlign w:val="center"/>
          </w:tcPr>
          <w:p w14:paraId="633DA22B">
            <w:pPr>
              <w:pStyle w:val="129"/>
              <w:widowControl w:val="0"/>
              <w:rPr>
                <w:color w:val="auto"/>
              </w:rPr>
            </w:pPr>
            <w:r>
              <w:rPr>
                <w:rFonts w:hint="eastAsia"/>
                <w:color w:val="auto"/>
              </w:rPr>
              <w:t>25650</w:t>
            </w:r>
          </w:p>
        </w:tc>
        <w:tc>
          <w:tcPr>
            <w:tcW w:w="814" w:type="pct"/>
            <w:vAlign w:val="center"/>
          </w:tcPr>
          <w:p w14:paraId="4E833259">
            <w:pPr>
              <w:pStyle w:val="129"/>
              <w:widowControl w:val="0"/>
              <w:rPr>
                <w:color w:val="auto"/>
              </w:rPr>
            </w:pPr>
            <w:r>
              <w:rPr>
                <w:rFonts w:hint="eastAsia"/>
                <w:color w:val="auto"/>
              </w:rPr>
              <w:t>2850</w:t>
            </w:r>
          </w:p>
        </w:tc>
        <w:tc>
          <w:tcPr>
            <w:tcW w:w="1425" w:type="pct"/>
            <w:vMerge w:val="restart"/>
            <w:vAlign w:val="center"/>
          </w:tcPr>
          <w:p w14:paraId="1A2F5B4C">
            <w:pPr>
              <w:pStyle w:val="129"/>
              <w:widowControl w:val="0"/>
              <w:rPr>
                <w:color w:val="auto"/>
              </w:rPr>
            </w:pPr>
            <w:r>
              <w:rPr>
                <w:rFonts w:hint="eastAsia"/>
                <w:color w:val="auto"/>
              </w:rPr>
              <w:t>弃方优先用于施工作业带内低洼区平整及边坡修整，剩余部分运至园区指定弃土场</w:t>
            </w:r>
          </w:p>
        </w:tc>
      </w:tr>
      <w:tr w14:paraId="1626E2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07" w:hRule="atLeast"/>
        </w:trPr>
        <w:tc>
          <w:tcPr>
            <w:tcW w:w="1175" w:type="pct"/>
            <w:vAlign w:val="center"/>
          </w:tcPr>
          <w:p w14:paraId="738909C7">
            <w:pPr>
              <w:pStyle w:val="129"/>
              <w:widowControl w:val="0"/>
              <w:rPr>
                <w:color w:val="auto"/>
              </w:rPr>
            </w:pPr>
            <w:r>
              <w:rPr>
                <w:rFonts w:hint="eastAsia"/>
                <w:color w:val="auto"/>
              </w:rPr>
              <w:t>特殊地段管沟开挖</w:t>
            </w:r>
          </w:p>
        </w:tc>
        <w:tc>
          <w:tcPr>
            <w:tcW w:w="772" w:type="pct"/>
            <w:vAlign w:val="center"/>
          </w:tcPr>
          <w:p w14:paraId="6B491180">
            <w:pPr>
              <w:pStyle w:val="129"/>
              <w:widowControl w:val="0"/>
              <w:rPr>
                <w:color w:val="auto"/>
              </w:rPr>
            </w:pPr>
            <w:r>
              <w:rPr>
                <w:rFonts w:hint="eastAsia"/>
                <w:color w:val="auto"/>
              </w:rPr>
              <w:t>3620</w:t>
            </w:r>
          </w:p>
        </w:tc>
        <w:tc>
          <w:tcPr>
            <w:tcW w:w="814" w:type="pct"/>
            <w:vAlign w:val="center"/>
          </w:tcPr>
          <w:p w14:paraId="6D313F3A">
            <w:pPr>
              <w:pStyle w:val="129"/>
              <w:widowControl w:val="0"/>
              <w:rPr>
                <w:color w:val="auto"/>
              </w:rPr>
            </w:pPr>
            <w:r>
              <w:rPr>
                <w:rFonts w:hint="eastAsia"/>
                <w:color w:val="auto"/>
              </w:rPr>
              <w:t>3090</w:t>
            </w:r>
          </w:p>
        </w:tc>
        <w:tc>
          <w:tcPr>
            <w:tcW w:w="814" w:type="pct"/>
            <w:vAlign w:val="center"/>
          </w:tcPr>
          <w:p w14:paraId="15538B49">
            <w:pPr>
              <w:pStyle w:val="129"/>
              <w:widowControl w:val="0"/>
              <w:rPr>
                <w:color w:val="auto"/>
              </w:rPr>
            </w:pPr>
            <w:r>
              <w:rPr>
                <w:rFonts w:hint="eastAsia"/>
                <w:color w:val="auto"/>
              </w:rPr>
              <w:t>530</w:t>
            </w:r>
          </w:p>
        </w:tc>
        <w:tc>
          <w:tcPr>
            <w:tcW w:w="1425" w:type="pct"/>
            <w:vMerge w:val="continue"/>
            <w:vAlign w:val="center"/>
          </w:tcPr>
          <w:p w14:paraId="411322B2">
            <w:pPr>
              <w:pStyle w:val="129"/>
              <w:widowControl w:val="0"/>
              <w:rPr>
                <w:color w:val="auto"/>
              </w:rPr>
            </w:pPr>
          </w:p>
        </w:tc>
      </w:tr>
      <w:tr w14:paraId="429009A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41" w:hRule="atLeast"/>
        </w:trPr>
        <w:tc>
          <w:tcPr>
            <w:tcW w:w="1175" w:type="pct"/>
            <w:vAlign w:val="center"/>
          </w:tcPr>
          <w:p w14:paraId="6CD8A286">
            <w:pPr>
              <w:pStyle w:val="129"/>
              <w:widowControl w:val="0"/>
              <w:rPr>
                <w:color w:val="auto"/>
              </w:rPr>
            </w:pPr>
            <w:r>
              <w:rPr>
                <w:color w:val="auto"/>
              </w:rPr>
              <w:t>合计</w:t>
            </w:r>
          </w:p>
        </w:tc>
        <w:tc>
          <w:tcPr>
            <w:tcW w:w="772" w:type="pct"/>
            <w:vAlign w:val="center"/>
          </w:tcPr>
          <w:p w14:paraId="4DDFE1C5">
            <w:pPr>
              <w:pStyle w:val="129"/>
              <w:widowControl w:val="0"/>
              <w:rPr>
                <w:color w:val="auto"/>
              </w:rPr>
            </w:pPr>
            <w:r>
              <w:rPr>
                <w:rFonts w:hint="eastAsia"/>
                <w:color w:val="auto"/>
              </w:rPr>
              <w:t>32120</w:t>
            </w:r>
          </w:p>
        </w:tc>
        <w:tc>
          <w:tcPr>
            <w:tcW w:w="814" w:type="pct"/>
            <w:vAlign w:val="center"/>
          </w:tcPr>
          <w:p w14:paraId="20E51C68">
            <w:pPr>
              <w:pStyle w:val="129"/>
              <w:widowControl w:val="0"/>
              <w:rPr>
                <w:color w:val="auto"/>
              </w:rPr>
            </w:pPr>
            <w:r>
              <w:rPr>
                <w:rFonts w:hint="eastAsia"/>
                <w:color w:val="auto"/>
              </w:rPr>
              <w:t>28740</w:t>
            </w:r>
          </w:p>
        </w:tc>
        <w:tc>
          <w:tcPr>
            <w:tcW w:w="814" w:type="pct"/>
            <w:vAlign w:val="center"/>
          </w:tcPr>
          <w:p w14:paraId="107F9375">
            <w:pPr>
              <w:pStyle w:val="129"/>
              <w:widowControl w:val="0"/>
              <w:rPr>
                <w:color w:val="auto"/>
              </w:rPr>
            </w:pPr>
            <w:r>
              <w:rPr>
                <w:rFonts w:hint="eastAsia"/>
                <w:color w:val="auto"/>
              </w:rPr>
              <w:t>3380</w:t>
            </w:r>
          </w:p>
        </w:tc>
        <w:tc>
          <w:tcPr>
            <w:tcW w:w="1425" w:type="pct"/>
            <w:vMerge w:val="continue"/>
            <w:vAlign w:val="center"/>
          </w:tcPr>
          <w:p w14:paraId="0948A289">
            <w:pPr>
              <w:pStyle w:val="129"/>
              <w:widowControl w:val="0"/>
              <w:rPr>
                <w:color w:val="auto"/>
              </w:rPr>
            </w:pPr>
          </w:p>
        </w:tc>
      </w:tr>
    </w:tbl>
    <w:p w14:paraId="2ACE579B">
      <w:pPr>
        <w:pStyle w:val="1304"/>
        <w:rPr>
          <w:color w:val="auto"/>
        </w:rPr>
      </w:pPr>
    </w:p>
    <w:p w14:paraId="4903A149">
      <w:pPr>
        <w:pStyle w:val="4"/>
        <w:rPr>
          <w:color w:val="auto"/>
        </w:rPr>
      </w:pPr>
      <w:bookmarkStart w:id="240" w:name="_Toc196333700"/>
      <w:r>
        <w:rPr>
          <w:rFonts w:hint="eastAsia"/>
          <w:color w:val="auto"/>
        </w:rPr>
        <w:t>施工流程</w:t>
      </w:r>
      <w:bookmarkEnd w:id="240"/>
    </w:p>
    <w:p w14:paraId="2B4F4E67">
      <w:pPr>
        <w:pStyle w:val="132"/>
        <w:rPr>
          <w:color w:val="auto"/>
        </w:rPr>
      </w:pPr>
      <w:r>
        <w:rPr>
          <w:color w:val="auto"/>
        </w:rPr>
        <w:t>本项目</w:t>
      </w:r>
      <w:r>
        <w:rPr>
          <w:rFonts w:hint="eastAsia"/>
          <w:color w:val="auto"/>
        </w:rPr>
        <w:t>管道敷设距离较短，</w:t>
      </w:r>
      <w:r>
        <w:rPr>
          <w:color w:val="auto"/>
        </w:rPr>
        <w:t>全线不设置站场和阀室</w:t>
      </w:r>
      <w:r>
        <w:rPr>
          <w:rFonts w:hint="eastAsia"/>
          <w:color w:val="auto"/>
        </w:rPr>
        <w:t>。</w:t>
      </w:r>
    </w:p>
    <w:p w14:paraId="1C7F99F1">
      <w:pPr>
        <w:pStyle w:val="132"/>
        <w:rPr>
          <w:color w:val="auto"/>
        </w:rPr>
      </w:pPr>
      <w:r>
        <w:rPr>
          <w:color w:val="auto"/>
        </w:rPr>
        <w:t>施工过程如下：</w:t>
      </w:r>
    </w:p>
    <w:p w14:paraId="664161D4">
      <w:pPr>
        <w:pStyle w:val="2432"/>
        <w:jc w:val="center"/>
        <w:rPr>
          <w:color w:val="auto"/>
        </w:rPr>
      </w:pPr>
      <w:r>
        <w:rPr>
          <w:color w:val="auto"/>
        </w:rPr>
        <w:drawing>
          <wp:inline distT="0" distB="0" distL="0" distR="0">
            <wp:extent cx="2141220" cy="3322320"/>
            <wp:effectExtent l="0" t="0" r="11430" b="11430"/>
            <wp:docPr id="1683890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90636" name="图片 1"/>
                    <pic:cNvPicPr>
                      <a:picLocks noChangeAspect="1"/>
                    </pic:cNvPicPr>
                  </pic:nvPicPr>
                  <pic:blipFill>
                    <a:blip r:embed="rId31"/>
                    <a:stretch>
                      <a:fillRect/>
                    </a:stretch>
                  </pic:blipFill>
                  <pic:spPr>
                    <a:xfrm>
                      <a:off x="0" y="0"/>
                      <a:ext cx="2145288" cy="3327813"/>
                    </a:xfrm>
                    <a:prstGeom prst="rect">
                      <a:avLst/>
                    </a:prstGeom>
                  </pic:spPr>
                </pic:pic>
              </a:graphicData>
            </a:graphic>
          </wp:inline>
        </w:drawing>
      </w:r>
    </w:p>
    <w:p w14:paraId="7552F374">
      <w:pPr>
        <w:pStyle w:val="1060"/>
        <w:spacing w:before="163"/>
        <w:rPr>
          <w:color w:val="auto"/>
          <w:sz w:val="23"/>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4</w:t>
      </w:r>
      <w:r>
        <w:rPr>
          <w:color w:val="auto"/>
        </w:rPr>
        <w:fldChar w:fldCharType="end"/>
      </w:r>
      <w:r>
        <w:rPr>
          <w:color w:val="auto"/>
          <w:sz w:val="23"/>
        </w:rPr>
        <w:t xml:space="preserve">  施工工艺流程及产污环节图</w:t>
      </w:r>
    </w:p>
    <w:p w14:paraId="0A52A97F">
      <w:pPr>
        <w:autoSpaceDE w:val="0"/>
        <w:autoSpaceDN w:val="0"/>
        <w:adjustRightInd w:val="0"/>
        <w:spacing w:line="240" w:lineRule="exact"/>
        <w:rPr>
          <w:rFonts w:ascii="黑体"/>
          <w:bCs/>
          <w:color w:val="auto"/>
          <w:szCs w:val="28"/>
          <w:lang w:val="zh-CN"/>
        </w:rPr>
      </w:pPr>
    </w:p>
    <w:p w14:paraId="203D2676">
      <w:pPr>
        <w:pStyle w:val="132"/>
        <w:rPr>
          <w:color w:val="auto"/>
        </w:rPr>
      </w:pPr>
      <w:r>
        <w:rPr>
          <w:color w:val="auto"/>
        </w:rPr>
        <w:t>（1）测量定线</w:t>
      </w:r>
    </w:p>
    <w:p w14:paraId="64F92E9E">
      <w:pPr>
        <w:pStyle w:val="132"/>
        <w:rPr>
          <w:color w:val="auto"/>
        </w:rPr>
      </w:pPr>
      <w:r>
        <w:rPr>
          <w:color w:val="auto"/>
        </w:rPr>
        <w:t>根据项目设计图进行现场测量踏勘，确定好管线敷设路线。</w:t>
      </w:r>
    </w:p>
    <w:p w14:paraId="467E549D">
      <w:pPr>
        <w:pStyle w:val="132"/>
        <w:rPr>
          <w:color w:val="auto"/>
        </w:rPr>
      </w:pPr>
      <w:r>
        <w:rPr>
          <w:color w:val="auto"/>
        </w:rPr>
        <w:t>（2）作业线路、</w:t>
      </w:r>
      <w:r>
        <w:rPr>
          <w:rFonts w:hint="eastAsia"/>
          <w:color w:val="auto"/>
        </w:rPr>
        <w:t>施工</w:t>
      </w:r>
      <w:r>
        <w:rPr>
          <w:color w:val="auto"/>
        </w:rPr>
        <w:t>场地清理</w:t>
      </w:r>
    </w:p>
    <w:p w14:paraId="7780F67B">
      <w:pPr>
        <w:pStyle w:val="132"/>
        <w:rPr>
          <w:color w:val="auto"/>
        </w:rPr>
      </w:pPr>
      <w:r>
        <w:rPr>
          <w:color w:val="auto"/>
        </w:rPr>
        <w:t>管线敷设中需要临时占地，进行施工带内的植被、杂物的清理。项目管道施工作业带主要涉及园区道路及绿化带等，项目施工完毕后立即恢复原有地貌。此</w:t>
      </w:r>
      <w:r>
        <w:rPr>
          <w:rFonts w:hint="eastAsia"/>
          <w:color w:val="auto"/>
        </w:rPr>
        <w:t>工序主要产生扬尘、噪声、破坏部分植被。</w:t>
      </w:r>
    </w:p>
    <w:p w14:paraId="297CB8A8">
      <w:pPr>
        <w:pStyle w:val="132"/>
        <w:rPr>
          <w:color w:val="auto"/>
        </w:rPr>
      </w:pPr>
      <w:r>
        <w:rPr>
          <w:rFonts w:hint="eastAsia"/>
          <w:color w:val="auto"/>
        </w:rPr>
        <w:t>（3）普通管沟开挖</w:t>
      </w:r>
    </w:p>
    <w:p w14:paraId="30C4D521">
      <w:pPr>
        <w:pStyle w:val="132"/>
        <w:rPr>
          <w:color w:val="auto"/>
        </w:rPr>
      </w:pPr>
      <w:r>
        <w:rPr>
          <w:rFonts w:hint="eastAsia"/>
          <w:color w:val="auto"/>
        </w:rPr>
        <w:t>项目管沟的开挖主要采用机械与人工相结合的方法，先剥离表土，剥离后的表土集中堆放在管沟作业带的一侧；然后进行开挖下层生土，并将深土临时紧贴表土内侧堆放。待管道安装完毕后先回填深土，夯实后再回铺表土。</w:t>
      </w:r>
    </w:p>
    <w:p w14:paraId="0A313380">
      <w:pPr>
        <w:pStyle w:val="132"/>
        <w:rPr>
          <w:color w:val="auto"/>
        </w:rPr>
      </w:pPr>
      <w:r>
        <w:rPr>
          <w:rFonts w:hint="eastAsia"/>
          <w:color w:val="auto"/>
        </w:rPr>
        <w:t>本工程管道采用全程埋地敷设，管道埋设深度根据有关规范规定、土壤类别、管道稳定性等要求综合确定，除了排污管道自南向北垂直穿越西延干渠预留涵洞处、蒸汽管道桁架跨越西延干渠、顶管穿越化工产业集中区内部道路外，其余管道均采用管沟开挖方式。</w:t>
      </w:r>
    </w:p>
    <w:p w14:paraId="1C91672E">
      <w:pPr>
        <w:pStyle w:val="132"/>
        <w:rPr>
          <w:color w:val="auto"/>
        </w:rPr>
      </w:pPr>
      <w:r>
        <w:rPr>
          <w:rFonts w:hint="eastAsia"/>
          <w:color w:val="auto"/>
        </w:rPr>
        <w:t>（4）下沟、稳管、回填</w:t>
      </w:r>
    </w:p>
    <w:p w14:paraId="11301399">
      <w:pPr>
        <w:pStyle w:val="132"/>
        <w:rPr>
          <w:color w:val="auto"/>
        </w:rPr>
      </w:pPr>
      <w:r>
        <w:rPr>
          <w:rFonts w:hint="eastAsia"/>
          <w:color w:val="auto"/>
        </w:rPr>
        <w:t>管道下沟后，应与沟底表面贴实且放到管沟中心位置，当出现管底局部悬空应用稀土填塞，不得出现浅埋。</w:t>
      </w:r>
    </w:p>
    <w:p w14:paraId="7C6C9DC9">
      <w:pPr>
        <w:pStyle w:val="132"/>
        <w:rPr>
          <w:color w:val="auto"/>
        </w:rPr>
      </w:pPr>
      <w:r>
        <w:rPr>
          <w:rFonts w:hint="eastAsia"/>
          <w:color w:val="auto"/>
        </w:rPr>
        <w:t>管沟回填应先用细土回填至管顶以上0.3m，才允许用土、砂或粒径小于250mm的碎石回填并压实。管沟回填土高度应高出地面0.3m。</w:t>
      </w:r>
    </w:p>
    <w:p w14:paraId="6DEE139D">
      <w:pPr>
        <w:pStyle w:val="132"/>
        <w:rPr>
          <w:color w:val="auto"/>
        </w:rPr>
      </w:pPr>
      <w:r>
        <w:rPr>
          <w:rFonts w:hint="eastAsia"/>
          <w:color w:val="auto"/>
        </w:rPr>
        <w:t>（5）对管道进行分段试压。</w:t>
      </w:r>
    </w:p>
    <w:p w14:paraId="617367F1">
      <w:pPr>
        <w:pStyle w:val="132"/>
        <w:rPr>
          <w:color w:val="auto"/>
        </w:rPr>
      </w:pPr>
      <w:r>
        <w:rPr>
          <w:rFonts w:hint="eastAsia"/>
          <w:color w:val="auto"/>
        </w:rPr>
        <w:t>（6）</w:t>
      </w:r>
      <w:r>
        <w:rPr>
          <w:color w:val="auto"/>
        </w:rPr>
        <w:t>场地清理、恢复</w:t>
      </w:r>
      <w:r>
        <w:rPr>
          <w:rFonts w:hint="eastAsia"/>
          <w:color w:val="auto"/>
        </w:rPr>
        <w:t>地貌</w:t>
      </w:r>
    </w:p>
    <w:p w14:paraId="236776C6">
      <w:pPr>
        <w:pStyle w:val="132"/>
        <w:rPr>
          <w:color w:val="auto"/>
        </w:rPr>
      </w:pPr>
      <w:r>
        <w:rPr>
          <w:rFonts w:hint="eastAsia"/>
          <w:color w:val="auto"/>
        </w:rPr>
        <w:t>施工结束后要及时进行场地清理，对污染物质进行清除或掩埋处理，把固体废物进行妥善处置，并恢复施工前原有地貌。</w:t>
      </w:r>
    </w:p>
    <w:p w14:paraId="534444D3">
      <w:pPr>
        <w:pStyle w:val="132"/>
        <w:ind w:left="480" w:firstLine="0" w:firstLineChars="0"/>
        <w:rPr>
          <w:color w:val="auto"/>
        </w:rPr>
      </w:pPr>
      <w:r>
        <w:rPr>
          <w:rFonts w:hint="eastAsia"/>
          <w:color w:val="auto"/>
        </w:rPr>
        <w:t>（7）</w:t>
      </w:r>
      <w:r>
        <w:rPr>
          <w:color w:val="auto"/>
        </w:rPr>
        <w:t>竣工验收后，正式运营。</w:t>
      </w:r>
    </w:p>
    <w:p w14:paraId="7D1123A5">
      <w:pPr>
        <w:pStyle w:val="4"/>
        <w:rPr>
          <w:color w:val="auto"/>
        </w:rPr>
      </w:pPr>
      <w:r>
        <w:rPr>
          <w:rFonts w:hint="eastAsia"/>
          <w:color w:val="auto"/>
        </w:rPr>
        <w:t>生态环境影响分析</w:t>
      </w:r>
    </w:p>
    <w:p w14:paraId="15917EB5">
      <w:pPr>
        <w:pStyle w:val="5"/>
        <w:rPr>
          <w:color w:val="auto"/>
        </w:rPr>
      </w:pPr>
      <w:r>
        <w:rPr>
          <w:rFonts w:hint="eastAsia"/>
          <w:color w:val="auto"/>
        </w:rPr>
        <w:t>废气</w:t>
      </w:r>
    </w:p>
    <w:p w14:paraId="09B6B2B5">
      <w:pPr>
        <w:pStyle w:val="132"/>
        <w:rPr>
          <w:color w:val="auto"/>
        </w:rPr>
      </w:pPr>
      <w:r>
        <w:rPr>
          <w:rFonts w:hint="eastAsia"/>
          <w:color w:val="auto"/>
        </w:rPr>
        <w:t>本项目采用管道输送</w:t>
      </w:r>
      <w:r>
        <w:rPr>
          <w:color w:val="auto"/>
        </w:rPr>
        <w:t>危险废酸</w:t>
      </w:r>
      <w:r>
        <w:rPr>
          <w:rFonts w:hint="eastAsia"/>
          <w:color w:val="auto"/>
        </w:rPr>
        <w:t>、</w:t>
      </w:r>
      <w:r>
        <w:rPr>
          <w:color w:val="auto"/>
        </w:rPr>
        <w:t>危险废碱</w:t>
      </w:r>
      <w:r>
        <w:rPr>
          <w:rFonts w:hint="eastAsia"/>
          <w:color w:val="auto"/>
        </w:rPr>
        <w:t>、</w:t>
      </w:r>
      <w:r>
        <w:rPr>
          <w:color w:val="auto"/>
        </w:rPr>
        <w:t>二氧化碳废气</w:t>
      </w:r>
      <w:r>
        <w:rPr>
          <w:rFonts w:hint="eastAsia"/>
          <w:color w:val="auto"/>
        </w:rPr>
        <w:t>、氨水以及蒸汽，</w:t>
      </w:r>
      <w:r>
        <w:rPr>
          <w:color w:val="auto"/>
        </w:rPr>
        <w:t>不涉及阀室、站场等建设</w:t>
      </w:r>
      <w:r>
        <w:rPr>
          <w:rFonts w:hint="eastAsia"/>
          <w:color w:val="auto"/>
        </w:rPr>
        <w:t>。</w:t>
      </w:r>
      <w:r>
        <w:rPr>
          <w:color w:val="auto"/>
        </w:rPr>
        <w:t>营运期</w:t>
      </w:r>
      <w:r>
        <w:rPr>
          <w:rFonts w:hint="eastAsia"/>
          <w:color w:val="auto"/>
        </w:rPr>
        <w:t>间</w:t>
      </w:r>
      <w:r>
        <w:rPr>
          <w:color w:val="auto"/>
        </w:rPr>
        <w:t>不排放大气污染物，</w:t>
      </w:r>
      <w:r>
        <w:rPr>
          <w:rFonts w:hint="eastAsia"/>
          <w:color w:val="auto"/>
        </w:rPr>
        <w:t>管道工程废气生态环境影响主要为施工期。</w:t>
      </w:r>
    </w:p>
    <w:p w14:paraId="40F29223">
      <w:pPr>
        <w:pStyle w:val="132"/>
        <w:rPr>
          <w:color w:val="auto"/>
        </w:rPr>
      </w:pPr>
      <w:r>
        <w:rPr>
          <w:rFonts w:hint="eastAsia"/>
          <w:color w:val="auto"/>
        </w:rPr>
        <w:t>（1）施工机械烟气</w:t>
      </w:r>
    </w:p>
    <w:p w14:paraId="34DD0E06">
      <w:pPr>
        <w:pStyle w:val="132"/>
        <w:rPr>
          <w:color w:val="auto"/>
        </w:rPr>
      </w:pPr>
      <w:r>
        <w:rPr>
          <w:rFonts w:hint="eastAsia"/>
          <w:color w:val="auto"/>
        </w:rPr>
        <w:t>在地面开挖、物料运输、管线顶管穿越等施工中，由于使用柴油机等设备，将产生燃烧烟气（主要污染物为NO</w:t>
      </w:r>
      <w:r>
        <w:rPr>
          <w:rFonts w:hint="eastAsia"/>
          <w:color w:val="auto"/>
          <w:vertAlign w:val="subscript"/>
        </w:rPr>
        <w:t>x</w:t>
      </w:r>
      <w:r>
        <w:rPr>
          <w:rFonts w:hint="eastAsia"/>
          <w:color w:val="auto"/>
        </w:rPr>
        <w:t>、CO、HC等），由于废气污染源具有间歇性和流动性，且施工期较短，对局部地区的环境空气影响较轻。</w:t>
      </w:r>
    </w:p>
    <w:p w14:paraId="1F6FD6B2">
      <w:pPr>
        <w:pStyle w:val="132"/>
        <w:rPr>
          <w:color w:val="auto"/>
        </w:rPr>
      </w:pPr>
      <w:r>
        <w:rPr>
          <w:rFonts w:hint="eastAsia"/>
          <w:color w:val="auto"/>
        </w:rPr>
        <w:t>（2）施工扬尘</w:t>
      </w:r>
    </w:p>
    <w:p w14:paraId="208C2E54">
      <w:pPr>
        <w:pStyle w:val="132"/>
        <w:rPr>
          <w:color w:val="auto"/>
        </w:rPr>
      </w:pPr>
      <w:r>
        <w:rPr>
          <w:rFonts w:hint="eastAsia"/>
          <w:color w:val="auto"/>
        </w:rPr>
        <w:t>施工扬尘主要产生于场地清理、地面开挖、阀井建设、填埋、土石方堆放以及车辆运输过程。施工期间产生的扬尘取决于施工作业方式、材料的堆放以及风力等因素，其中受风力的影响因素最大，随着风速的增大，施工扬尘的污染程度和超标范围也将随之增强和扩大。</w:t>
      </w:r>
    </w:p>
    <w:p w14:paraId="3CDA00D1">
      <w:pPr>
        <w:pStyle w:val="132"/>
        <w:rPr>
          <w:color w:val="auto"/>
        </w:rPr>
      </w:pPr>
      <w:r>
        <w:rPr>
          <w:rFonts w:hint="eastAsia"/>
          <w:color w:val="auto"/>
        </w:rPr>
        <w:t>汽车运输也会产生扬尘污染，其扬尘量、粒径大小等与多种因素相关，如路面状况、车辆行驶速度、载重量和天气情况等。其中风速、风向等天气状况直接影响扬尘的传输方向和距离。由于汽车运输过程中产生的扬尘时间短、扬尘落地快，其影响范围主要集中在运输道路两侧，本项目运输道路主要依托管线伴行公路，如果采用道路定时洒水抑尘、车辆不要装载过满并采取密闭或遮盖措施，可大大减少运输扬尘对周围环境空气的影响。</w:t>
      </w:r>
    </w:p>
    <w:p w14:paraId="125E2387">
      <w:pPr>
        <w:pStyle w:val="5"/>
        <w:rPr>
          <w:color w:val="auto"/>
        </w:rPr>
      </w:pPr>
      <w:r>
        <w:rPr>
          <w:rFonts w:hint="eastAsia"/>
          <w:color w:val="auto"/>
        </w:rPr>
        <w:t>废水</w:t>
      </w:r>
    </w:p>
    <w:p w14:paraId="40859E1A">
      <w:pPr>
        <w:pStyle w:val="132"/>
        <w:rPr>
          <w:color w:val="auto"/>
        </w:rPr>
      </w:pPr>
      <w:r>
        <w:rPr>
          <w:color w:val="auto"/>
        </w:rPr>
        <w:t>运营期无生产废水产生及排放，不会对地表水环境产生影响。</w:t>
      </w:r>
      <w:r>
        <w:rPr>
          <w:rFonts w:hint="eastAsia"/>
          <w:color w:val="auto"/>
        </w:rPr>
        <w:t>施工期产生的废水主要为管道试压废水。</w:t>
      </w:r>
    </w:p>
    <w:p w14:paraId="610F1DCA">
      <w:pPr>
        <w:pStyle w:val="132"/>
        <w:rPr>
          <w:color w:val="auto"/>
        </w:rPr>
      </w:pPr>
      <w:r>
        <w:rPr>
          <w:rFonts w:hint="eastAsia"/>
          <w:color w:val="auto"/>
        </w:rPr>
        <w:t>管道敷设完毕后，采用清水作为介质进行试压，试压废水排放量约353.23m</w:t>
      </w:r>
      <w:r>
        <w:rPr>
          <w:rFonts w:hint="eastAsia"/>
          <w:color w:val="auto"/>
          <w:vertAlign w:val="superscript"/>
        </w:rPr>
        <w:t>3</w:t>
      </w:r>
      <w:r>
        <w:rPr>
          <w:rFonts w:hint="eastAsia"/>
          <w:color w:val="auto"/>
        </w:rPr>
        <w:t>，主要污染物为悬浮物（≤70mg/L），根据国内其他管线建设经验，这部分废水可直接排放，对外环境不会产生大的影响。</w:t>
      </w:r>
    </w:p>
    <w:p w14:paraId="1BF6C020">
      <w:pPr>
        <w:pStyle w:val="5"/>
        <w:rPr>
          <w:color w:val="auto"/>
        </w:rPr>
      </w:pPr>
      <w:r>
        <w:rPr>
          <w:rFonts w:hint="eastAsia"/>
          <w:color w:val="auto"/>
        </w:rPr>
        <w:t>固体废物</w:t>
      </w:r>
    </w:p>
    <w:p w14:paraId="64355B1F">
      <w:pPr>
        <w:pStyle w:val="132"/>
        <w:rPr>
          <w:color w:val="auto"/>
        </w:rPr>
      </w:pPr>
      <w:r>
        <w:rPr>
          <w:rFonts w:hint="eastAsia"/>
          <w:color w:val="auto"/>
        </w:rPr>
        <w:t>（1）</w:t>
      </w:r>
      <w:r>
        <w:rPr>
          <w:color w:val="auto"/>
        </w:rPr>
        <w:t>施工期</w:t>
      </w:r>
      <w:r>
        <w:rPr>
          <w:rFonts w:hint="eastAsia"/>
          <w:color w:val="auto"/>
        </w:rPr>
        <w:t>固体废物</w:t>
      </w:r>
      <w:r>
        <w:rPr>
          <w:color w:val="auto"/>
        </w:rPr>
        <w:t>污染源强分析</w:t>
      </w:r>
    </w:p>
    <w:p w14:paraId="6DF5A9BF">
      <w:pPr>
        <w:pStyle w:val="132"/>
        <w:rPr>
          <w:color w:val="auto"/>
        </w:rPr>
      </w:pPr>
      <w:r>
        <w:rPr>
          <w:rFonts w:hint="eastAsia"/>
          <w:color w:val="auto"/>
        </w:rPr>
        <w:t>施工期产生的固体废物主要来源于管沟开挖、管道穿跨越工程、焊接等过程产生的施工废料、工程弃土、弃渣等。</w:t>
      </w:r>
    </w:p>
    <w:p w14:paraId="047DFD66">
      <w:pPr>
        <w:pStyle w:val="132"/>
        <w:rPr>
          <w:color w:val="auto"/>
        </w:rPr>
      </w:pPr>
      <w:r>
        <w:rPr>
          <w:color w:val="auto"/>
        </w:rPr>
        <w:t>项目</w:t>
      </w:r>
      <w:r>
        <w:rPr>
          <w:rFonts w:hint="eastAsia"/>
          <w:color w:val="auto"/>
        </w:rPr>
        <w:t>所在区域</w:t>
      </w:r>
      <w:r>
        <w:rPr>
          <w:color w:val="auto"/>
        </w:rPr>
        <w:t>地形平坦、开阔，</w:t>
      </w:r>
      <w:r>
        <w:rPr>
          <w:rFonts w:hint="eastAsia"/>
          <w:color w:val="auto"/>
        </w:rPr>
        <w:t>评价区内</w:t>
      </w:r>
      <w:r>
        <w:rPr>
          <w:color w:val="auto"/>
        </w:rPr>
        <w:t>无冲沟，不存在人工边坡，无滑坡、崩塌、泥石流等</w:t>
      </w:r>
      <w:r>
        <w:rPr>
          <w:rFonts w:hint="eastAsia"/>
          <w:color w:val="auto"/>
        </w:rPr>
        <w:t>危害，顶管穿越施工工艺类型为人工顶管，因此不产生施工废弃泥浆。</w:t>
      </w:r>
    </w:p>
    <w:p w14:paraId="706EF304">
      <w:pPr>
        <w:pStyle w:val="132"/>
        <w:rPr>
          <w:color w:val="auto"/>
        </w:rPr>
      </w:pPr>
      <w:r>
        <w:rPr>
          <w:rFonts w:hint="eastAsia"/>
          <w:color w:val="auto"/>
        </w:rPr>
        <w:t>①施工废料</w:t>
      </w:r>
    </w:p>
    <w:p w14:paraId="6B6DCCCC">
      <w:pPr>
        <w:pStyle w:val="132"/>
        <w:rPr>
          <w:color w:val="auto"/>
        </w:rPr>
      </w:pPr>
      <w:r>
        <w:rPr>
          <w:rFonts w:hint="eastAsia"/>
          <w:color w:val="auto"/>
        </w:rPr>
        <w:t>施工废料主要包括焊接作业中产生废焊条及其他废料等。根据类比调查，施工废料的产生量约为0.2t/km，本工程管线长度约为3.2km，施工过程产生的施工废料量约为0.64t。施工废料部分可回收利用，剩余废料可依托当地职能部门进行有偿清运处理。</w:t>
      </w:r>
    </w:p>
    <w:p w14:paraId="6E56A11F">
      <w:pPr>
        <w:pStyle w:val="132"/>
        <w:rPr>
          <w:color w:val="auto"/>
        </w:rPr>
      </w:pPr>
      <w:r>
        <w:rPr>
          <w:rFonts w:hint="eastAsia"/>
          <w:color w:val="auto"/>
        </w:rPr>
        <w:t>②工程弃土、弃渣</w:t>
      </w:r>
    </w:p>
    <w:p w14:paraId="0C701B93">
      <w:pPr>
        <w:pStyle w:val="132"/>
        <w:rPr>
          <w:color w:val="auto"/>
        </w:rPr>
      </w:pPr>
      <w:r>
        <w:rPr>
          <w:rFonts w:hint="eastAsia"/>
          <w:color w:val="auto"/>
        </w:rPr>
        <w:t>本工程在建设中土石方量依据各类施工工艺分段进行熟土（表层耕作土）和生土（下层土）分开堆放，管沟回填按生、熟土顺序填放，保护耕作层。开挖敷设产生的土石方全部回填，回填后管沟上方留有自然沉降余量，多余土石方就地平整。</w:t>
      </w:r>
    </w:p>
    <w:p w14:paraId="43DE8CE0">
      <w:pPr>
        <w:pStyle w:val="132"/>
        <w:rPr>
          <w:color w:val="auto"/>
        </w:rPr>
      </w:pPr>
      <w:r>
        <w:rPr>
          <w:rFonts w:hint="eastAsia"/>
          <w:color w:val="auto"/>
        </w:rPr>
        <w:t>（2）</w:t>
      </w:r>
      <w:r>
        <w:rPr>
          <w:color w:val="auto"/>
        </w:rPr>
        <w:t>运营期</w:t>
      </w:r>
      <w:r>
        <w:rPr>
          <w:rFonts w:hint="eastAsia"/>
          <w:color w:val="auto"/>
        </w:rPr>
        <w:t>固体废物</w:t>
      </w:r>
      <w:r>
        <w:rPr>
          <w:color w:val="auto"/>
        </w:rPr>
        <w:t>污染源强分析</w:t>
      </w:r>
    </w:p>
    <w:p w14:paraId="4BCF493D">
      <w:pPr>
        <w:pStyle w:val="132"/>
        <w:rPr>
          <w:color w:val="auto"/>
        </w:rPr>
      </w:pPr>
      <w:r>
        <w:rPr>
          <w:rFonts w:hint="eastAsia"/>
          <w:color w:val="auto"/>
        </w:rPr>
        <w:t>项目正常运行时，管道检修使用的抹布用于管道灰尘清理，产生的废抹布收集后暂存厂内，最终交由环卫部门清运处理</w:t>
      </w:r>
      <w:r>
        <w:rPr>
          <w:color w:val="auto"/>
        </w:rPr>
        <w:t>。</w:t>
      </w:r>
    </w:p>
    <w:p w14:paraId="6A397729">
      <w:pPr>
        <w:pStyle w:val="5"/>
        <w:rPr>
          <w:color w:val="auto"/>
        </w:rPr>
      </w:pPr>
      <w:r>
        <w:rPr>
          <w:rFonts w:hint="eastAsia"/>
          <w:color w:val="auto"/>
        </w:rPr>
        <w:t>噪声产生及排放</w:t>
      </w:r>
    </w:p>
    <w:p w14:paraId="399D3D1B">
      <w:pPr>
        <w:pStyle w:val="132"/>
        <w:rPr>
          <w:color w:val="auto"/>
        </w:rPr>
      </w:pPr>
      <w:r>
        <w:rPr>
          <w:rFonts w:hint="eastAsia"/>
          <w:color w:val="auto"/>
        </w:rPr>
        <w:t>（1）</w:t>
      </w:r>
      <w:r>
        <w:rPr>
          <w:color w:val="auto"/>
        </w:rPr>
        <w:t>施工期</w:t>
      </w:r>
      <w:r>
        <w:rPr>
          <w:rFonts w:hint="eastAsia"/>
          <w:color w:val="auto"/>
        </w:rPr>
        <w:t>噪声</w:t>
      </w:r>
      <w:r>
        <w:rPr>
          <w:color w:val="auto"/>
        </w:rPr>
        <w:t>污染源强</w:t>
      </w:r>
      <w:r>
        <w:rPr>
          <w:rFonts w:hint="eastAsia"/>
          <w:color w:val="auto"/>
        </w:rPr>
        <w:t>分析</w:t>
      </w:r>
    </w:p>
    <w:p w14:paraId="603E0D26">
      <w:pPr>
        <w:pStyle w:val="132"/>
        <w:rPr>
          <w:color w:val="auto"/>
        </w:rPr>
      </w:pPr>
      <w:r>
        <w:rPr>
          <w:color w:val="auto"/>
        </w:rPr>
        <w:t>噪声污染是施工期的主要环境问题，噪声源主要为施工机械产生的噪声，施工机械在施工过程中产生的噪声将对周围产生影响。噪声源主要来自施工作业机械，其强度在</w:t>
      </w:r>
      <w:r>
        <w:rPr>
          <w:rFonts w:hint="eastAsia"/>
          <w:color w:val="auto"/>
        </w:rPr>
        <w:t>79</w:t>
      </w:r>
      <w:r>
        <w:rPr>
          <w:color w:val="auto"/>
        </w:rPr>
        <w:t>~</w:t>
      </w:r>
      <w:r>
        <w:rPr>
          <w:rFonts w:hint="eastAsia"/>
          <w:color w:val="auto"/>
        </w:rPr>
        <w:t>105</w:t>
      </w:r>
      <w:r>
        <w:rPr>
          <w:color w:val="auto"/>
        </w:rPr>
        <w:t>dB（A）之间</w:t>
      </w:r>
      <w:r>
        <w:rPr>
          <w:rFonts w:hint="eastAsia"/>
          <w:color w:val="auto"/>
        </w:rPr>
        <w:t>，</w:t>
      </w:r>
      <w:r>
        <w:rPr>
          <w:color w:val="auto"/>
        </w:rPr>
        <w:t>本项目主要施工机械噪声源强见</w:t>
      </w:r>
      <w:r>
        <w:rPr>
          <w:rFonts w:hint="eastAsia"/>
          <w:color w:val="auto"/>
        </w:rPr>
        <w:t>表3.4-5</w:t>
      </w:r>
      <w:r>
        <w:rPr>
          <w:color w:val="auto"/>
        </w:rPr>
        <w:t>。</w:t>
      </w:r>
    </w:p>
    <w:p w14:paraId="478B4A90">
      <w:pPr>
        <w:spacing w:before="163" w:beforeLines="50"/>
        <w:jc w:val="center"/>
        <w:rPr>
          <w:rFonts w:eastAsia="黑体"/>
          <w:color w:val="auto"/>
          <w:sz w:val="23"/>
          <w:szCs w:val="24"/>
        </w:rPr>
      </w:pPr>
      <w:r>
        <w:rPr>
          <w:rFonts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STYLEREF 2 \s </w:instrText>
      </w:r>
      <w:r>
        <w:rPr>
          <w:rFonts w:eastAsia="黑体"/>
          <w:color w:val="auto"/>
          <w:sz w:val="23"/>
          <w:szCs w:val="24"/>
        </w:rPr>
        <w:fldChar w:fldCharType="separate"/>
      </w:r>
      <w:r>
        <w:rPr>
          <w:rFonts w:eastAsia="黑体"/>
          <w:color w:val="auto"/>
          <w:sz w:val="23"/>
          <w:szCs w:val="24"/>
        </w:rPr>
        <w:t>3.4</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SEQ 表 \* ARABIC \s 2 </w:instrText>
      </w:r>
      <w:r>
        <w:rPr>
          <w:rFonts w:eastAsia="黑体"/>
          <w:color w:val="auto"/>
          <w:sz w:val="23"/>
          <w:szCs w:val="24"/>
        </w:rPr>
        <w:fldChar w:fldCharType="separate"/>
      </w:r>
      <w:r>
        <w:rPr>
          <w:rFonts w:eastAsia="黑体"/>
          <w:color w:val="auto"/>
          <w:sz w:val="23"/>
          <w:szCs w:val="24"/>
        </w:rPr>
        <w:t>5</w:t>
      </w:r>
      <w:r>
        <w:rPr>
          <w:rFonts w:eastAsia="黑体"/>
          <w:color w:val="auto"/>
          <w:sz w:val="23"/>
          <w:szCs w:val="24"/>
        </w:rPr>
        <w:fldChar w:fldCharType="end"/>
      </w:r>
      <w:r>
        <w:rPr>
          <w:rFonts w:eastAsia="黑体"/>
          <w:color w:val="auto"/>
          <w:sz w:val="23"/>
          <w:szCs w:val="24"/>
        </w:rPr>
        <w:t xml:space="preserve">  施工机械噪声源强一览表单位：dB（A）</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492"/>
        <w:gridCol w:w="3154"/>
        <w:gridCol w:w="2102"/>
        <w:gridCol w:w="2038"/>
      </w:tblGrid>
      <w:tr w14:paraId="4468535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49" w:type="pct"/>
            <w:vAlign w:val="center"/>
          </w:tcPr>
          <w:p w14:paraId="45B85565">
            <w:pPr>
              <w:widowControl w:val="0"/>
              <w:spacing w:line="360" w:lineRule="exact"/>
              <w:jc w:val="center"/>
              <w:rPr>
                <w:color w:val="auto"/>
                <w:sz w:val="21"/>
                <w:szCs w:val="21"/>
              </w:rPr>
            </w:pPr>
            <w:r>
              <w:rPr>
                <w:rFonts w:hint="eastAsia"/>
                <w:color w:val="auto"/>
                <w:sz w:val="21"/>
                <w:szCs w:val="21"/>
              </w:rPr>
              <w:t>序号</w:t>
            </w:r>
          </w:p>
        </w:tc>
        <w:tc>
          <w:tcPr>
            <w:tcW w:w="1795" w:type="pct"/>
            <w:vAlign w:val="center"/>
          </w:tcPr>
          <w:p w14:paraId="4BB0F0C9">
            <w:pPr>
              <w:widowControl w:val="0"/>
              <w:spacing w:line="360" w:lineRule="exact"/>
              <w:jc w:val="center"/>
              <w:rPr>
                <w:color w:val="auto"/>
                <w:sz w:val="21"/>
                <w:szCs w:val="21"/>
              </w:rPr>
            </w:pPr>
            <w:r>
              <w:rPr>
                <w:color w:val="auto"/>
                <w:sz w:val="21"/>
                <w:szCs w:val="21"/>
              </w:rPr>
              <w:t>设备名称</w:t>
            </w:r>
          </w:p>
        </w:tc>
        <w:tc>
          <w:tcPr>
            <w:tcW w:w="1196" w:type="pct"/>
            <w:vAlign w:val="center"/>
          </w:tcPr>
          <w:p w14:paraId="5E123AD7">
            <w:pPr>
              <w:widowControl w:val="0"/>
              <w:spacing w:line="360" w:lineRule="exact"/>
              <w:jc w:val="center"/>
              <w:rPr>
                <w:color w:val="auto"/>
                <w:sz w:val="21"/>
                <w:szCs w:val="21"/>
                <w:highlight w:val="yellow"/>
              </w:rPr>
            </w:pPr>
            <w:r>
              <w:rPr>
                <w:color w:val="auto"/>
                <w:sz w:val="21"/>
                <w:szCs w:val="21"/>
              </w:rPr>
              <w:t>噪声源强</w:t>
            </w:r>
          </w:p>
        </w:tc>
        <w:tc>
          <w:tcPr>
            <w:tcW w:w="1160" w:type="pct"/>
            <w:vAlign w:val="center"/>
          </w:tcPr>
          <w:p w14:paraId="7C68328D">
            <w:pPr>
              <w:widowControl w:val="0"/>
              <w:spacing w:line="360" w:lineRule="exact"/>
              <w:jc w:val="center"/>
              <w:rPr>
                <w:color w:val="auto"/>
                <w:sz w:val="21"/>
                <w:szCs w:val="21"/>
                <w:highlight w:val="yellow"/>
              </w:rPr>
            </w:pPr>
            <w:r>
              <w:rPr>
                <w:color w:val="auto"/>
                <w:sz w:val="21"/>
                <w:szCs w:val="21"/>
              </w:rPr>
              <w:t>声源特点</w:t>
            </w:r>
          </w:p>
        </w:tc>
      </w:tr>
      <w:tr w14:paraId="3B5C605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49" w:type="pct"/>
            <w:vAlign w:val="center"/>
          </w:tcPr>
          <w:p w14:paraId="715318A2">
            <w:pPr>
              <w:widowControl w:val="0"/>
              <w:spacing w:line="360" w:lineRule="exact"/>
              <w:jc w:val="center"/>
              <w:rPr>
                <w:color w:val="auto"/>
                <w:sz w:val="21"/>
                <w:szCs w:val="21"/>
              </w:rPr>
            </w:pPr>
            <w:r>
              <w:rPr>
                <w:rFonts w:hint="eastAsia"/>
                <w:color w:val="auto"/>
                <w:sz w:val="21"/>
                <w:szCs w:val="21"/>
              </w:rPr>
              <w:t>1</w:t>
            </w:r>
          </w:p>
        </w:tc>
        <w:tc>
          <w:tcPr>
            <w:tcW w:w="1795" w:type="pct"/>
            <w:vAlign w:val="center"/>
          </w:tcPr>
          <w:p w14:paraId="1BE4F6BD">
            <w:pPr>
              <w:widowControl w:val="0"/>
              <w:spacing w:line="360" w:lineRule="exact"/>
              <w:jc w:val="center"/>
              <w:rPr>
                <w:color w:val="auto"/>
                <w:sz w:val="21"/>
                <w:szCs w:val="21"/>
              </w:rPr>
            </w:pPr>
            <w:r>
              <w:rPr>
                <w:color w:val="auto"/>
                <w:sz w:val="21"/>
                <w:szCs w:val="21"/>
              </w:rPr>
              <w:t>挖掘机</w:t>
            </w:r>
          </w:p>
        </w:tc>
        <w:tc>
          <w:tcPr>
            <w:tcW w:w="1196" w:type="pct"/>
            <w:vAlign w:val="center"/>
          </w:tcPr>
          <w:p w14:paraId="39DA7C1D">
            <w:pPr>
              <w:widowControl w:val="0"/>
              <w:spacing w:line="360" w:lineRule="exact"/>
              <w:jc w:val="center"/>
              <w:rPr>
                <w:color w:val="auto"/>
                <w:sz w:val="21"/>
                <w:szCs w:val="21"/>
              </w:rPr>
            </w:pPr>
            <w:r>
              <w:rPr>
                <w:rFonts w:hint="eastAsia"/>
                <w:color w:val="auto"/>
                <w:sz w:val="21"/>
                <w:szCs w:val="21"/>
              </w:rPr>
              <w:t>84</w:t>
            </w:r>
          </w:p>
        </w:tc>
        <w:tc>
          <w:tcPr>
            <w:tcW w:w="1160" w:type="pct"/>
            <w:vAlign w:val="center"/>
          </w:tcPr>
          <w:p w14:paraId="0DD83B01">
            <w:pPr>
              <w:widowControl w:val="0"/>
              <w:spacing w:line="360" w:lineRule="exact"/>
              <w:jc w:val="center"/>
              <w:rPr>
                <w:color w:val="auto"/>
                <w:sz w:val="21"/>
                <w:szCs w:val="21"/>
                <w:highlight w:val="yellow"/>
              </w:rPr>
            </w:pPr>
            <w:r>
              <w:rPr>
                <w:color w:val="auto"/>
                <w:sz w:val="21"/>
                <w:szCs w:val="21"/>
              </w:rPr>
              <w:t>不稳定源</w:t>
            </w:r>
          </w:p>
        </w:tc>
      </w:tr>
      <w:tr w14:paraId="7DD958A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49" w:type="pct"/>
            <w:vAlign w:val="center"/>
          </w:tcPr>
          <w:p w14:paraId="61E9C92B">
            <w:pPr>
              <w:widowControl w:val="0"/>
              <w:spacing w:line="360" w:lineRule="exact"/>
              <w:jc w:val="center"/>
              <w:rPr>
                <w:color w:val="auto"/>
                <w:sz w:val="21"/>
                <w:szCs w:val="21"/>
              </w:rPr>
            </w:pPr>
            <w:r>
              <w:rPr>
                <w:rFonts w:hint="eastAsia"/>
                <w:color w:val="auto"/>
                <w:sz w:val="21"/>
                <w:szCs w:val="21"/>
              </w:rPr>
              <w:t>2</w:t>
            </w:r>
          </w:p>
        </w:tc>
        <w:tc>
          <w:tcPr>
            <w:tcW w:w="1795" w:type="pct"/>
            <w:vAlign w:val="center"/>
          </w:tcPr>
          <w:p w14:paraId="60D75A59">
            <w:pPr>
              <w:widowControl w:val="0"/>
              <w:spacing w:line="360" w:lineRule="exact"/>
              <w:jc w:val="center"/>
              <w:rPr>
                <w:color w:val="auto"/>
                <w:sz w:val="21"/>
                <w:szCs w:val="21"/>
              </w:rPr>
            </w:pPr>
            <w:r>
              <w:rPr>
                <w:color w:val="auto"/>
                <w:sz w:val="21"/>
                <w:szCs w:val="21"/>
              </w:rPr>
              <w:t>推土机</w:t>
            </w:r>
          </w:p>
        </w:tc>
        <w:tc>
          <w:tcPr>
            <w:tcW w:w="1196" w:type="pct"/>
            <w:vAlign w:val="center"/>
          </w:tcPr>
          <w:p w14:paraId="40B1FF78">
            <w:pPr>
              <w:widowControl w:val="0"/>
              <w:spacing w:line="360" w:lineRule="exact"/>
              <w:jc w:val="center"/>
              <w:rPr>
                <w:color w:val="auto"/>
                <w:sz w:val="21"/>
                <w:szCs w:val="21"/>
              </w:rPr>
            </w:pPr>
            <w:r>
              <w:rPr>
                <w:rFonts w:hint="eastAsia"/>
                <w:color w:val="auto"/>
                <w:sz w:val="21"/>
                <w:szCs w:val="21"/>
              </w:rPr>
              <w:t>86</w:t>
            </w:r>
          </w:p>
        </w:tc>
        <w:tc>
          <w:tcPr>
            <w:tcW w:w="1160" w:type="pct"/>
            <w:vAlign w:val="center"/>
          </w:tcPr>
          <w:p w14:paraId="07A27118">
            <w:pPr>
              <w:widowControl w:val="0"/>
              <w:spacing w:line="360" w:lineRule="exact"/>
              <w:jc w:val="center"/>
              <w:rPr>
                <w:color w:val="auto"/>
                <w:sz w:val="21"/>
                <w:szCs w:val="21"/>
                <w:highlight w:val="yellow"/>
              </w:rPr>
            </w:pPr>
            <w:r>
              <w:rPr>
                <w:color w:val="auto"/>
                <w:sz w:val="21"/>
                <w:szCs w:val="21"/>
              </w:rPr>
              <w:t>不稳定源</w:t>
            </w:r>
          </w:p>
        </w:tc>
      </w:tr>
      <w:tr w14:paraId="5790BC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49" w:type="pct"/>
            <w:vAlign w:val="center"/>
          </w:tcPr>
          <w:p w14:paraId="162B85BE">
            <w:pPr>
              <w:widowControl w:val="0"/>
              <w:spacing w:line="360" w:lineRule="exact"/>
              <w:jc w:val="center"/>
              <w:rPr>
                <w:color w:val="auto"/>
                <w:sz w:val="21"/>
                <w:szCs w:val="21"/>
              </w:rPr>
            </w:pPr>
            <w:r>
              <w:rPr>
                <w:rFonts w:hint="eastAsia"/>
                <w:color w:val="auto"/>
                <w:sz w:val="21"/>
                <w:szCs w:val="21"/>
              </w:rPr>
              <w:t>3</w:t>
            </w:r>
          </w:p>
        </w:tc>
        <w:tc>
          <w:tcPr>
            <w:tcW w:w="1795" w:type="pct"/>
            <w:vAlign w:val="center"/>
          </w:tcPr>
          <w:p w14:paraId="1EB699F9">
            <w:pPr>
              <w:widowControl w:val="0"/>
              <w:spacing w:line="360" w:lineRule="exact"/>
              <w:jc w:val="center"/>
              <w:rPr>
                <w:color w:val="auto"/>
                <w:sz w:val="21"/>
                <w:szCs w:val="21"/>
              </w:rPr>
            </w:pPr>
            <w:r>
              <w:rPr>
                <w:rFonts w:hint="eastAsia"/>
                <w:color w:val="auto"/>
              </w:rPr>
              <w:t>打桩机</w:t>
            </w:r>
          </w:p>
        </w:tc>
        <w:tc>
          <w:tcPr>
            <w:tcW w:w="1196" w:type="pct"/>
            <w:vAlign w:val="center"/>
          </w:tcPr>
          <w:p w14:paraId="5E3DB807">
            <w:pPr>
              <w:widowControl w:val="0"/>
              <w:spacing w:line="360" w:lineRule="exact"/>
              <w:jc w:val="center"/>
              <w:rPr>
                <w:color w:val="auto"/>
                <w:sz w:val="21"/>
                <w:szCs w:val="21"/>
              </w:rPr>
            </w:pPr>
            <w:r>
              <w:rPr>
                <w:rFonts w:hint="eastAsia"/>
                <w:color w:val="auto"/>
              </w:rPr>
              <w:t>105</w:t>
            </w:r>
          </w:p>
        </w:tc>
        <w:tc>
          <w:tcPr>
            <w:tcW w:w="1160" w:type="pct"/>
            <w:vAlign w:val="center"/>
          </w:tcPr>
          <w:p w14:paraId="00C9C4D4">
            <w:pPr>
              <w:widowControl w:val="0"/>
              <w:spacing w:line="360" w:lineRule="exact"/>
              <w:jc w:val="center"/>
              <w:rPr>
                <w:color w:val="auto"/>
                <w:sz w:val="21"/>
                <w:szCs w:val="21"/>
                <w:highlight w:val="yellow"/>
              </w:rPr>
            </w:pPr>
            <w:r>
              <w:rPr>
                <w:color w:val="auto"/>
                <w:sz w:val="21"/>
                <w:szCs w:val="21"/>
              </w:rPr>
              <w:t>不稳定源</w:t>
            </w:r>
          </w:p>
        </w:tc>
      </w:tr>
      <w:tr w14:paraId="7CB4BC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49" w:type="pct"/>
            <w:vAlign w:val="center"/>
          </w:tcPr>
          <w:p w14:paraId="668EF46A">
            <w:pPr>
              <w:widowControl w:val="0"/>
              <w:spacing w:line="360" w:lineRule="exact"/>
              <w:jc w:val="center"/>
              <w:rPr>
                <w:color w:val="auto"/>
                <w:sz w:val="21"/>
                <w:szCs w:val="21"/>
              </w:rPr>
            </w:pPr>
            <w:r>
              <w:rPr>
                <w:rFonts w:hint="eastAsia"/>
                <w:color w:val="auto"/>
                <w:sz w:val="21"/>
                <w:szCs w:val="21"/>
              </w:rPr>
              <w:t>4</w:t>
            </w:r>
          </w:p>
        </w:tc>
        <w:tc>
          <w:tcPr>
            <w:tcW w:w="1795" w:type="pct"/>
            <w:vAlign w:val="center"/>
          </w:tcPr>
          <w:p w14:paraId="1543806B">
            <w:pPr>
              <w:widowControl w:val="0"/>
              <w:spacing w:line="360" w:lineRule="exact"/>
              <w:jc w:val="center"/>
              <w:rPr>
                <w:color w:val="auto"/>
                <w:sz w:val="21"/>
                <w:szCs w:val="21"/>
              </w:rPr>
            </w:pPr>
            <w:r>
              <w:rPr>
                <w:color w:val="auto"/>
                <w:sz w:val="21"/>
                <w:szCs w:val="21"/>
              </w:rPr>
              <w:t>振捣器</w:t>
            </w:r>
          </w:p>
        </w:tc>
        <w:tc>
          <w:tcPr>
            <w:tcW w:w="1196" w:type="pct"/>
            <w:vAlign w:val="center"/>
          </w:tcPr>
          <w:p w14:paraId="59A250A7">
            <w:pPr>
              <w:widowControl w:val="0"/>
              <w:spacing w:line="360" w:lineRule="exact"/>
              <w:jc w:val="center"/>
              <w:rPr>
                <w:color w:val="auto"/>
                <w:sz w:val="21"/>
                <w:szCs w:val="21"/>
              </w:rPr>
            </w:pPr>
            <w:r>
              <w:rPr>
                <w:rFonts w:hint="eastAsia"/>
                <w:color w:val="auto"/>
                <w:sz w:val="21"/>
                <w:szCs w:val="21"/>
              </w:rPr>
              <w:t>79</w:t>
            </w:r>
          </w:p>
        </w:tc>
        <w:tc>
          <w:tcPr>
            <w:tcW w:w="1160" w:type="pct"/>
            <w:vAlign w:val="center"/>
          </w:tcPr>
          <w:p w14:paraId="42FCF0F5">
            <w:pPr>
              <w:widowControl w:val="0"/>
              <w:spacing w:line="360" w:lineRule="exact"/>
              <w:jc w:val="center"/>
              <w:rPr>
                <w:color w:val="auto"/>
                <w:sz w:val="21"/>
                <w:szCs w:val="21"/>
                <w:highlight w:val="yellow"/>
              </w:rPr>
            </w:pPr>
            <w:r>
              <w:rPr>
                <w:color w:val="auto"/>
                <w:sz w:val="21"/>
                <w:szCs w:val="21"/>
              </w:rPr>
              <w:t>不稳定源</w:t>
            </w:r>
          </w:p>
        </w:tc>
      </w:tr>
      <w:tr w14:paraId="2B42F6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49" w:type="pct"/>
            <w:vAlign w:val="center"/>
          </w:tcPr>
          <w:p w14:paraId="3CA1D84A">
            <w:pPr>
              <w:widowControl w:val="0"/>
              <w:spacing w:line="360" w:lineRule="exact"/>
              <w:jc w:val="center"/>
              <w:rPr>
                <w:color w:val="auto"/>
                <w:sz w:val="21"/>
                <w:szCs w:val="21"/>
              </w:rPr>
            </w:pPr>
            <w:r>
              <w:rPr>
                <w:rFonts w:hint="eastAsia"/>
                <w:color w:val="auto"/>
                <w:sz w:val="21"/>
                <w:szCs w:val="21"/>
              </w:rPr>
              <w:t>5</w:t>
            </w:r>
          </w:p>
        </w:tc>
        <w:tc>
          <w:tcPr>
            <w:tcW w:w="1795" w:type="pct"/>
            <w:vAlign w:val="center"/>
          </w:tcPr>
          <w:p w14:paraId="27F35F6F">
            <w:pPr>
              <w:widowControl w:val="0"/>
              <w:spacing w:line="360" w:lineRule="exact"/>
              <w:jc w:val="center"/>
              <w:rPr>
                <w:color w:val="auto"/>
                <w:sz w:val="21"/>
                <w:szCs w:val="21"/>
              </w:rPr>
            </w:pPr>
            <w:r>
              <w:rPr>
                <w:color w:val="auto"/>
                <w:sz w:val="21"/>
                <w:szCs w:val="21"/>
              </w:rPr>
              <w:t>载重汽车</w:t>
            </w:r>
          </w:p>
        </w:tc>
        <w:tc>
          <w:tcPr>
            <w:tcW w:w="1196" w:type="pct"/>
            <w:vAlign w:val="center"/>
          </w:tcPr>
          <w:p w14:paraId="3EA0E2EA">
            <w:pPr>
              <w:widowControl w:val="0"/>
              <w:spacing w:line="360" w:lineRule="exact"/>
              <w:jc w:val="center"/>
              <w:rPr>
                <w:color w:val="auto"/>
                <w:sz w:val="21"/>
                <w:szCs w:val="21"/>
              </w:rPr>
            </w:pPr>
            <w:r>
              <w:rPr>
                <w:rFonts w:hint="eastAsia"/>
                <w:color w:val="auto"/>
                <w:sz w:val="21"/>
                <w:szCs w:val="21"/>
              </w:rPr>
              <w:t>88</w:t>
            </w:r>
          </w:p>
        </w:tc>
        <w:tc>
          <w:tcPr>
            <w:tcW w:w="1160" w:type="pct"/>
            <w:vAlign w:val="center"/>
          </w:tcPr>
          <w:p w14:paraId="3D2E10B0">
            <w:pPr>
              <w:widowControl w:val="0"/>
              <w:spacing w:line="360" w:lineRule="exact"/>
              <w:jc w:val="center"/>
              <w:rPr>
                <w:color w:val="auto"/>
                <w:sz w:val="21"/>
                <w:szCs w:val="21"/>
                <w:highlight w:val="yellow"/>
              </w:rPr>
            </w:pPr>
            <w:r>
              <w:rPr>
                <w:color w:val="auto"/>
                <w:sz w:val="21"/>
                <w:szCs w:val="21"/>
              </w:rPr>
              <w:t>移动不稳定源</w:t>
            </w:r>
          </w:p>
        </w:tc>
      </w:tr>
    </w:tbl>
    <w:p w14:paraId="42E6EAFA">
      <w:pPr>
        <w:pStyle w:val="1304"/>
        <w:rPr>
          <w:color w:val="auto"/>
        </w:rPr>
      </w:pPr>
    </w:p>
    <w:p w14:paraId="2FD15BE0">
      <w:pPr>
        <w:pStyle w:val="132"/>
        <w:rPr>
          <w:color w:val="auto"/>
        </w:rPr>
      </w:pPr>
      <w:r>
        <w:rPr>
          <w:rFonts w:hint="eastAsia"/>
          <w:color w:val="auto"/>
        </w:rPr>
        <w:t>由于本项目管道工程较短，</w:t>
      </w:r>
      <w:r>
        <w:rPr>
          <w:color w:val="auto"/>
        </w:rPr>
        <w:t>施工周期</w:t>
      </w:r>
      <w:r>
        <w:rPr>
          <w:rFonts w:hint="eastAsia"/>
          <w:color w:val="auto"/>
        </w:rPr>
        <w:t>也</w:t>
      </w:r>
      <w:r>
        <w:rPr>
          <w:color w:val="auto"/>
        </w:rPr>
        <w:t>较短，施工期噪声只是短时间对局部环境产生影响。</w:t>
      </w:r>
    </w:p>
    <w:p w14:paraId="0DBE7F2A">
      <w:pPr>
        <w:pStyle w:val="132"/>
        <w:rPr>
          <w:color w:val="auto"/>
        </w:rPr>
      </w:pPr>
      <w:r>
        <w:rPr>
          <w:rFonts w:hint="eastAsia"/>
          <w:color w:val="auto"/>
        </w:rPr>
        <w:t>（2）</w:t>
      </w:r>
      <w:r>
        <w:rPr>
          <w:color w:val="auto"/>
        </w:rPr>
        <w:t>运营期</w:t>
      </w:r>
      <w:r>
        <w:rPr>
          <w:rFonts w:hint="eastAsia"/>
          <w:color w:val="auto"/>
        </w:rPr>
        <w:t>噪声污染源强分析</w:t>
      </w:r>
    </w:p>
    <w:p w14:paraId="6021191D">
      <w:pPr>
        <w:pStyle w:val="132"/>
        <w:rPr>
          <w:color w:val="auto"/>
        </w:rPr>
      </w:pPr>
      <w:r>
        <w:rPr>
          <w:color w:val="auto"/>
        </w:rPr>
        <w:t>本项目输气管道采用埋地敷设方式，管线在正常运行过程中不会产生噪声污染，管线工程噪声仅在检修或事故时产生噪声，检修或事故放空时放空管因气流高速喷出，有较强的噪声，噪声强度可达80～100dB（A）。但持续时间较短，一般不超过10分钟。</w:t>
      </w:r>
    </w:p>
    <w:p w14:paraId="70CD69D7">
      <w:pPr>
        <w:pStyle w:val="5"/>
        <w:rPr>
          <w:color w:val="auto"/>
        </w:rPr>
      </w:pPr>
      <w:r>
        <w:rPr>
          <w:rFonts w:hint="eastAsia"/>
          <w:color w:val="auto"/>
        </w:rPr>
        <w:t>生态环境影响</w:t>
      </w:r>
    </w:p>
    <w:p w14:paraId="1362440F">
      <w:pPr>
        <w:pStyle w:val="132"/>
        <w:rPr>
          <w:color w:val="auto"/>
        </w:rPr>
      </w:pPr>
      <w:r>
        <w:rPr>
          <w:rFonts w:hint="eastAsia"/>
          <w:color w:val="auto"/>
        </w:rPr>
        <w:t>项目施工期生态环境的影响主要为管线施工对土地利用、土壤及植被等影响，从而影响局部生态系统或引发相关环境问题。</w:t>
      </w:r>
    </w:p>
    <w:p w14:paraId="3BD9BD1B">
      <w:pPr>
        <w:pStyle w:val="132"/>
        <w:rPr>
          <w:color w:val="auto"/>
        </w:rPr>
      </w:pPr>
      <w:r>
        <w:rPr>
          <w:rFonts w:hint="eastAsia"/>
          <w:color w:val="auto"/>
        </w:rPr>
        <w:t>本项目管道主要采用沟埋方式敷设。管沟开挖整个施工作业带范围内的土壤和植被都会受到扰动或者破坏，尤其是在开挖管沟约3m的范围内，植被破坏严重；开挖管沟造成的土体扰动将使土壤的结构、组成及理化性质等发生变化，进而影响土壤的侵蚀状况、植被的恢复等。</w:t>
      </w:r>
    </w:p>
    <w:p w14:paraId="2B387D7E">
      <w:pPr>
        <w:pStyle w:val="132"/>
        <w:rPr>
          <w:color w:val="auto"/>
        </w:rPr>
      </w:pPr>
      <w:r>
        <w:rPr>
          <w:rFonts w:hint="eastAsia"/>
          <w:color w:val="auto"/>
        </w:rPr>
        <w:t>根据现场调查，本项目施工占地范围内临时用地性质主要为园区道路及绿化带等，占地范围内自然植被较少，且施工期较短，施工期结束后及时生态恢复，因此，项目施工期不会对生态造成较大影响。</w:t>
      </w:r>
    </w:p>
    <w:p w14:paraId="31330598">
      <w:pPr>
        <w:pStyle w:val="132"/>
        <w:rPr>
          <w:color w:val="auto"/>
        </w:rPr>
      </w:pPr>
      <w:r>
        <w:rPr>
          <w:rFonts w:hint="eastAsia"/>
          <w:color w:val="auto"/>
        </w:rPr>
        <w:t>工程水土流失主要发生在工程施工期。在施工工程中，因开挖使地表植被遭到破坏，原有表土与植被之间的平衡关系失调，表土层抗蚀能力减弱，在</w:t>
      </w:r>
      <w:r>
        <w:rPr>
          <w:color w:val="auto"/>
        </w:rPr>
        <w:t>风蚀作用下产生水土流失</w:t>
      </w:r>
      <w:r>
        <w:rPr>
          <w:rFonts w:hint="eastAsia"/>
          <w:color w:val="auto"/>
        </w:rPr>
        <w:t>。</w:t>
      </w:r>
    </w:p>
    <w:p w14:paraId="0D6A6240">
      <w:pPr>
        <w:pStyle w:val="3"/>
        <w:rPr>
          <w:color w:val="auto"/>
        </w:rPr>
      </w:pPr>
      <w:bookmarkStart w:id="241" w:name="_Toc229930126"/>
      <w:r>
        <w:rPr>
          <w:color w:val="auto"/>
        </w:rPr>
        <w:t>污染物产排情况汇总</w:t>
      </w:r>
      <w:bookmarkEnd w:id="241"/>
    </w:p>
    <w:p w14:paraId="4547F669">
      <w:pPr>
        <w:pStyle w:val="4"/>
        <w:rPr>
          <w:color w:val="auto"/>
        </w:rPr>
      </w:pPr>
      <w:r>
        <w:rPr>
          <w:rFonts w:hint="eastAsia"/>
          <w:color w:val="auto"/>
        </w:rPr>
        <w:t>正常工况</w:t>
      </w:r>
    </w:p>
    <w:p w14:paraId="74C4E6B8">
      <w:pPr>
        <w:pStyle w:val="132"/>
        <w:rPr>
          <w:color w:val="auto"/>
        </w:rPr>
      </w:pPr>
      <w:r>
        <w:rPr>
          <w:color w:val="auto"/>
        </w:rPr>
        <w:t>根据工程分析，项目采取可研和评价提出的污染防治措施后，污染物可做到达标排放，</w:t>
      </w:r>
      <w:r>
        <w:rPr>
          <w:rFonts w:hint="eastAsia"/>
          <w:color w:val="auto"/>
        </w:rPr>
        <w:t>本项目运营期</w:t>
      </w:r>
      <w:r>
        <w:rPr>
          <w:color w:val="auto"/>
        </w:rPr>
        <w:t>正常生产情况下“三废”排放</w:t>
      </w:r>
      <w:r>
        <w:rPr>
          <w:rFonts w:hint="eastAsia"/>
          <w:color w:val="auto"/>
        </w:rPr>
        <w:t>汇总表</w:t>
      </w:r>
      <w:r>
        <w:rPr>
          <w:color w:val="auto"/>
        </w:rPr>
        <w:t>，见表</w:t>
      </w:r>
      <w:r>
        <w:rPr>
          <w:rFonts w:hint="eastAsia"/>
          <w:color w:val="auto"/>
        </w:rPr>
        <w:t>3.5-1</w:t>
      </w:r>
      <w:r>
        <w:rPr>
          <w:color w:val="auto"/>
        </w:rPr>
        <w:t>。</w:t>
      </w:r>
    </w:p>
    <w:p w14:paraId="40D4131C">
      <w:pPr>
        <w:pStyle w:val="1060"/>
        <w:spacing w:before="163"/>
        <w:rPr>
          <w:color w:val="auto"/>
        </w:rPr>
      </w:pPr>
      <w:r>
        <w:rPr>
          <w:rFonts w:hint="eastAsia"/>
          <w:color w:val="auto"/>
        </w:rPr>
        <w:t>表</w:t>
      </w:r>
      <w:r>
        <w:rPr>
          <w:color w:val="auto"/>
        </w:rPr>
        <w:fldChar w:fldCharType="begin"/>
      </w:r>
      <w:r>
        <w:rPr>
          <w:color w:val="auto"/>
        </w:rPr>
        <w:instrText xml:space="preserve"> STYLEREF 2 \s </w:instrText>
      </w:r>
      <w:r>
        <w:rPr>
          <w:color w:val="auto"/>
        </w:rPr>
        <w:fldChar w:fldCharType="separate"/>
      </w:r>
      <w:r>
        <w:rPr>
          <w:color w:val="auto"/>
        </w:rPr>
        <w:t>3.5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本项目运营期</w:t>
      </w:r>
      <w:r>
        <w:rPr>
          <w:color w:val="auto"/>
        </w:rPr>
        <w:t>正常生产情况下“三废”排放</w:t>
      </w:r>
      <w:r>
        <w:rPr>
          <w:rFonts w:hint="eastAsia"/>
          <w:color w:val="auto"/>
        </w:rPr>
        <w:t>汇总表</w:t>
      </w:r>
    </w:p>
    <w:tbl>
      <w:tblPr>
        <w:tblStyle w:val="82"/>
        <w:tblW w:w="8800" w:type="dxa"/>
        <w:tblInd w:w="0" w:type="dxa"/>
        <w:tblLayout w:type="autofit"/>
        <w:tblCellMar>
          <w:top w:w="0" w:type="dxa"/>
          <w:left w:w="108" w:type="dxa"/>
          <w:bottom w:w="0" w:type="dxa"/>
          <w:right w:w="108" w:type="dxa"/>
        </w:tblCellMar>
      </w:tblPr>
      <w:tblGrid>
        <w:gridCol w:w="846"/>
        <w:gridCol w:w="992"/>
        <w:gridCol w:w="1782"/>
        <w:gridCol w:w="1280"/>
        <w:gridCol w:w="1220"/>
        <w:gridCol w:w="1360"/>
        <w:gridCol w:w="1320"/>
      </w:tblGrid>
      <w:tr w14:paraId="053AB3DA">
        <w:tblPrEx>
          <w:tblCellMar>
            <w:top w:w="0" w:type="dxa"/>
            <w:left w:w="108" w:type="dxa"/>
            <w:bottom w:w="0" w:type="dxa"/>
            <w:right w:w="108" w:type="dxa"/>
          </w:tblCellMar>
        </w:tblPrEx>
        <w:trPr>
          <w:trHeight w:val="375" w:hRule="atLeast"/>
        </w:trPr>
        <w:tc>
          <w:tcPr>
            <w:tcW w:w="1838" w:type="dxa"/>
            <w:gridSpan w:val="2"/>
            <w:tcBorders>
              <w:top w:val="single" w:color="auto" w:sz="4" w:space="0"/>
              <w:left w:val="single" w:color="auto" w:sz="4" w:space="0"/>
              <w:bottom w:val="single" w:color="auto" w:sz="4" w:space="0"/>
              <w:right w:val="single" w:color="auto" w:sz="4" w:space="0"/>
            </w:tcBorders>
            <w:vAlign w:val="center"/>
          </w:tcPr>
          <w:p w14:paraId="22EDF32A">
            <w:pPr>
              <w:jc w:val="center"/>
              <w:rPr>
                <w:rFonts w:hint="eastAsia" w:ascii="宋体" w:hAnsi="宋体" w:cs="宋体"/>
                <w:color w:val="auto"/>
                <w:sz w:val="21"/>
                <w:szCs w:val="21"/>
              </w:rPr>
            </w:pPr>
            <w:r>
              <w:rPr>
                <w:rFonts w:ascii="宋体" w:hAnsi="宋体" w:cs="宋体"/>
                <w:color w:val="auto"/>
                <w:sz w:val="21"/>
                <w:szCs w:val="21"/>
              </w:rPr>
              <w:t>类别</w:t>
            </w:r>
          </w:p>
        </w:tc>
        <w:tc>
          <w:tcPr>
            <w:tcW w:w="1782" w:type="dxa"/>
            <w:tcBorders>
              <w:top w:val="single" w:color="auto" w:sz="4" w:space="0"/>
              <w:left w:val="nil"/>
              <w:bottom w:val="single" w:color="auto" w:sz="4" w:space="0"/>
              <w:right w:val="single" w:color="auto" w:sz="4" w:space="0"/>
            </w:tcBorders>
            <w:vAlign w:val="center"/>
          </w:tcPr>
          <w:p w14:paraId="1D964B81">
            <w:pPr>
              <w:jc w:val="center"/>
              <w:rPr>
                <w:rFonts w:hint="eastAsia" w:ascii="宋体" w:hAnsi="宋体" w:cs="宋体"/>
                <w:color w:val="auto"/>
                <w:sz w:val="21"/>
                <w:szCs w:val="21"/>
              </w:rPr>
            </w:pPr>
            <w:r>
              <w:rPr>
                <w:rFonts w:ascii="宋体" w:hAnsi="宋体" w:cs="宋体"/>
                <w:color w:val="auto"/>
                <w:sz w:val="21"/>
                <w:szCs w:val="21"/>
              </w:rPr>
              <w:t>污染物种类</w:t>
            </w:r>
          </w:p>
        </w:tc>
        <w:tc>
          <w:tcPr>
            <w:tcW w:w="1280" w:type="dxa"/>
            <w:tcBorders>
              <w:top w:val="single" w:color="auto" w:sz="4" w:space="0"/>
              <w:left w:val="nil"/>
              <w:bottom w:val="single" w:color="auto" w:sz="4" w:space="0"/>
              <w:right w:val="single" w:color="auto" w:sz="4" w:space="0"/>
            </w:tcBorders>
            <w:vAlign w:val="center"/>
          </w:tcPr>
          <w:p w14:paraId="29DB6503">
            <w:pPr>
              <w:jc w:val="center"/>
              <w:rPr>
                <w:rFonts w:hint="eastAsia" w:ascii="宋体" w:hAnsi="宋体" w:cs="宋体"/>
                <w:color w:val="auto"/>
                <w:sz w:val="21"/>
                <w:szCs w:val="21"/>
              </w:rPr>
            </w:pPr>
            <w:r>
              <w:rPr>
                <w:rFonts w:ascii="宋体" w:hAnsi="宋体" w:cs="宋体"/>
                <w:color w:val="auto"/>
                <w:sz w:val="21"/>
                <w:szCs w:val="21"/>
              </w:rPr>
              <w:t>单位</w:t>
            </w:r>
          </w:p>
        </w:tc>
        <w:tc>
          <w:tcPr>
            <w:tcW w:w="1220" w:type="dxa"/>
            <w:tcBorders>
              <w:top w:val="single" w:color="auto" w:sz="4" w:space="0"/>
              <w:left w:val="nil"/>
              <w:bottom w:val="single" w:color="auto" w:sz="4" w:space="0"/>
              <w:right w:val="single" w:color="auto" w:sz="4" w:space="0"/>
            </w:tcBorders>
            <w:vAlign w:val="center"/>
          </w:tcPr>
          <w:p w14:paraId="60BEF310">
            <w:pPr>
              <w:jc w:val="center"/>
              <w:rPr>
                <w:rFonts w:hint="eastAsia" w:ascii="宋体" w:hAnsi="宋体" w:cs="宋体"/>
                <w:color w:val="auto"/>
                <w:sz w:val="21"/>
                <w:szCs w:val="21"/>
              </w:rPr>
            </w:pPr>
            <w:r>
              <w:rPr>
                <w:rFonts w:ascii="宋体" w:hAnsi="宋体" w:cs="宋体"/>
                <w:color w:val="auto"/>
                <w:sz w:val="21"/>
                <w:szCs w:val="21"/>
              </w:rPr>
              <w:t>产生量</w:t>
            </w:r>
          </w:p>
        </w:tc>
        <w:tc>
          <w:tcPr>
            <w:tcW w:w="1360" w:type="dxa"/>
            <w:tcBorders>
              <w:top w:val="single" w:color="auto" w:sz="4" w:space="0"/>
              <w:left w:val="nil"/>
              <w:bottom w:val="single" w:color="auto" w:sz="4" w:space="0"/>
              <w:right w:val="single" w:color="auto" w:sz="4" w:space="0"/>
            </w:tcBorders>
            <w:vAlign w:val="center"/>
          </w:tcPr>
          <w:p w14:paraId="187F97E3">
            <w:pPr>
              <w:jc w:val="center"/>
              <w:rPr>
                <w:rFonts w:hint="eastAsia" w:ascii="宋体" w:hAnsi="宋体" w:cs="宋体"/>
                <w:color w:val="auto"/>
                <w:sz w:val="21"/>
                <w:szCs w:val="21"/>
              </w:rPr>
            </w:pPr>
            <w:r>
              <w:rPr>
                <w:rFonts w:ascii="宋体" w:hAnsi="宋体" w:cs="宋体"/>
                <w:color w:val="auto"/>
                <w:sz w:val="21"/>
                <w:szCs w:val="21"/>
              </w:rPr>
              <w:t>削减量</w:t>
            </w:r>
          </w:p>
        </w:tc>
        <w:tc>
          <w:tcPr>
            <w:tcW w:w="1320" w:type="dxa"/>
            <w:tcBorders>
              <w:top w:val="single" w:color="auto" w:sz="4" w:space="0"/>
              <w:left w:val="nil"/>
              <w:bottom w:val="single" w:color="auto" w:sz="4" w:space="0"/>
              <w:right w:val="single" w:color="auto" w:sz="4" w:space="0"/>
            </w:tcBorders>
            <w:vAlign w:val="center"/>
          </w:tcPr>
          <w:p w14:paraId="71F2A898">
            <w:pPr>
              <w:jc w:val="center"/>
              <w:rPr>
                <w:rFonts w:hint="eastAsia" w:ascii="宋体" w:hAnsi="宋体" w:cs="宋体"/>
                <w:color w:val="auto"/>
                <w:sz w:val="21"/>
                <w:szCs w:val="21"/>
              </w:rPr>
            </w:pPr>
            <w:r>
              <w:rPr>
                <w:rFonts w:ascii="宋体" w:hAnsi="宋体" w:cs="宋体"/>
                <w:color w:val="auto"/>
                <w:sz w:val="21"/>
                <w:szCs w:val="21"/>
              </w:rPr>
              <w:t>排放量</w:t>
            </w:r>
          </w:p>
        </w:tc>
      </w:tr>
      <w:tr w14:paraId="4D1BAEAB">
        <w:tblPrEx>
          <w:tblCellMar>
            <w:top w:w="0" w:type="dxa"/>
            <w:left w:w="108" w:type="dxa"/>
            <w:bottom w:w="0" w:type="dxa"/>
            <w:right w:w="108" w:type="dxa"/>
          </w:tblCellMar>
        </w:tblPrEx>
        <w:trPr>
          <w:trHeight w:val="420" w:hRule="atLeast"/>
        </w:trPr>
        <w:tc>
          <w:tcPr>
            <w:tcW w:w="846" w:type="dxa"/>
            <w:vMerge w:val="restart"/>
            <w:tcBorders>
              <w:top w:val="nil"/>
              <w:left w:val="single" w:color="auto" w:sz="4" w:space="0"/>
              <w:right w:val="single" w:color="auto" w:sz="4" w:space="0"/>
            </w:tcBorders>
            <w:vAlign w:val="center"/>
          </w:tcPr>
          <w:p w14:paraId="38126393">
            <w:pPr>
              <w:jc w:val="center"/>
              <w:rPr>
                <w:rFonts w:hint="eastAsia" w:ascii="宋体" w:hAnsi="宋体" w:cs="宋体"/>
                <w:color w:val="auto"/>
                <w:sz w:val="21"/>
                <w:szCs w:val="21"/>
              </w:rPr>
            </w:pPr>
            <w:r>
              <w:rPr>
                <w:rFonts w:ascii="宋体" w:hAnsi="宋体" w:cs="宋体"/>
                <w:color w:val="auto"/>
                <w:sz w:val="21"/>
                <w:szCs w:val="21"/>
              </w:rPr>
              <w:t>废气</w:t>
            </w:r>
          </w:p>
        </w:tc>
        <w:tc>
          <w:tcPr>
            <w:tcW w:w="992" w:type="dxa"/>
            <w:vMerge w:val="restart"/>
            <w:tcBorders>
              <w:top w:val="nil"/>
              <w:left w:val="single" w:color="auto" w:sz="4" w:space="0"/>
              <w:bottom w:val="single" w:color="000000" w:sz="4" w:space="0"/>
              <w:right w:val="single" w:color="auto" w:sz="4" w:space="0"/>
            </w:tcBorders>
            <w:vAlign w:val="center"/>
          </w:tcPr>
          <w:p w14:paraId="3482CCC7">
            <w:pPr>
              <w:jc w:val="center"/>
              <w:rPr>
                <w:rFonts w:hint="eastAsia" w:ascii="宋体" w:hAnsi="宋体" w:cs="宋体"/>
                <w:color w:val="auto"/>
                <w:sz w:val="21"/>
                <w:szCs w:val="21"/>
              </w:rPr>
            </w:pPr>
            <w:r>
              <w:rPr>
                <w:rFonts w:ascii="宋体" w:hAnsi="宋体" w:cs="宋体"/>
                <w:color w:val="auto"/>
                <w:sz w:val="21"/>
                <w:szCs w:val="21"/>
              </w:rPr>
              <w:t>有组织</w:t>
            </w:r>
          </w:p>
        </w:tc>
        <w:tc>
          <w:tcPr>
            <w:tcW w:w="1782" w:type="dxa"/>
            <w:tcBorders>
              <w:top w:val="nil"/>
              <w:left w:val="nil"/>
              <w:bottom w:val="single" w:color="auto" w:sz="4" w:space="0"/>
              <w:right w:val="single" w:color="auto" w:sz="4" w:space="0"/>
            </w:tcBorders>
            <w:vAlign w:val="center"/>
          </w:tcPr>
          <w:p w14:paraId="18F6C7FC">
            <w:pPr>
              <w:jc w:val="center"/>
              <w:rPr>
                <w:rFonts w:hint="eastAsia" w:ascii="宋体" w:hAnsi="宋体" w:cs="宋体"/>
                <w:color w:val="auto"/>
                <w:sz w:val="21"/>
                <w:szCs w:val="21"/>
              </w:rPr>
            </w:pPr>
            <w:r>
              <w:rPr>
                <w:rFonts w:ascii="宋体" w:hAnsi="宋体" w:cs="宋体"/>
                <w:color w:val="auto"/>
                <w:sz w:val="21"/>
                <w:szCs w:val="21"/>
              </w:rPr>
              <w:t>废气量</w:t>
            </w:r>
          </w:p>
        </w:tc>
        <w:tc>
          <w:tcPr>
            <w:tcW w:w="1280" w:type="dxa"/>
            <w:tcBorders>
              <w:top w:val="nil"/>
              <w:left w:val="nil"/>
              <w:bottom w:val="single" w:color="auto" w:sz="4" w:space="0"/>
              <w:right w:val="single" w:color="auto" w:sz="4" w:space="0"/>
            </w:tcBorders>
            <w:vAlign w:val="center"/>
          </w:tcPr>
          <w:p w14:paraId="4E62D248">
            <w:pPr>
              <w:jc w:val="center"/>
              <w:rPr>
                <w:rFonts w:hint="eastAsia" w:ascii="宋体" w:hAnsi="宋体" w:cs="宋体"/>
                <w:color w:val="auto"/>
                <w:sz w:val="21"/>
                <w:szCs w:val="21"/>
              </w:rPr>
            </w:pPr>
            <w:r>
              <w:rPr>
                <w:rFonts w:ascii="宋体" w:hAnsi="宋体" w:cs="宋体"/>
                <w:color w:val="auto"/>
                <w:sz w:val="21"/>
                <w:szCs w:val="21"/>
              </w:rPr>
              <w:t>万</w:t>
            </w:r>
            <w:r>
              <w:rPr>
                <w:color w:val="auto"/>
                <w:sz w:val="21"/>
                <w:szCs w:val="21"/>
              </w:rPr>
              <w:t>m</w:t>
            </w:r>
            <w:r>
              <w:rPr>
                <w:color w:val="auto"/>
                <w:sz w:val="21"/>
                <w:szCs w:val="21"/>
                <w:vertAlign w:val="superscript"/>
              </w:rPr>
              <w:t>3</w:t>
            </w:r>
            <w:r>
              <w:rPr>
                <w:color w:val="auto"/>
                <w:sz w:val="21"/>
                <w:szCs w:val="21"/>
              </w:rPr>
              <w:t>/a</w:t>
            </w:r>
          </w:p>
        </w:tc>
        <w:tc>
          <w:tcPr>
            <w:tcW w:w="1220" w:type="dxa"/>
            <w:tcBorders>
              <w:top w:val="nil"/>
              <w:left w:val="nil"/>
              <w:bottom w:val="single" w:color="auto" w:sz="4" w:space="0"/>
              <w:right w:val="single" w:color="auto" w:sz="4" w:space="0"/>
            </w:tcBorders>
            <w:vAlign w:val="center"/>
          </w:tcPr>
          <w:p w14:paraId="4029F5CA">
            <w:pPr>
              <w:jc w:val="center"/>
              <w:rPr>
                <w:color w:val="auto"/>
                <w:sz w:val="21"/>
                <w:szCs w:val="21"/>
              </w:rPr>
            </w:pPr>
            <w:r>
              <w:rPr>
                <w:color w:val="auto"/>
                <w:sz w:val="21"/>
                <w:szCs w:val="21"/>
              </w:rPr>
              <w:t>109402.4</w:t>
            </w:r>
          </w:p>
        </w:tc>
        <w:tc>
          <w:tcPr>
            <w:tcW w:w="1360" w:type="dxa"/>
            <w:tcBorders>
              <w:top w:val="nil"/>
              <w:left w:val="nil"/>
              <w:bottom w:val="single" w:color="auto" w:sz="4" w:space="0"/>
              <w:right w:val="single" w:color="auto" w:sz="4" w:space="0"/>
            </w:tcBorders>
            <w:vAlign w:val="center"/>
          </w:tcPr>
          <w:p w14:paraId="24C713DC">
            <w:pPr>
              <w:jc w:val="center"/>
              <w:rPr>
                <w:color w:val="auto"/>
                <w:sz w:val="21"/>
                <w:szCs w:val="21"/>
              </w:rPr>
            </w:pPr>
            <w:r>
              <w:rPr>
                <w:color w:val="auto"/>
                <w:sz w:val="21"/>
                <w:szCs w:val="21"/>
              </w:rPr>
              <w:t>0</w:t>
            </w:r>
          </w:p>
        </w:tc>
        <w:tc>
          <w:tcPr>
            <w:tcW w:w="1320" w:type="dxa"/>
            <w:tcBorders>
              <w:top w:val="nil"/>
              <w:left w:val="nil"/>
              <w:bottom w:val="single" w:color="auto" w:sz="4" w:space="0"/>
              <w:right w:val="single" w:color="auto" w:sz="4" w:space="0"/>
            </w:tcBorders>
            <w:vAlign w:val="center"/>
          </w:tcPr>
          <w:p w14:paraId="0451B1B9">
            <w:pPr>
              <w:jc w:val="center"/>
              <w:rPr>
                <w:color w:val="auto"/>
                <w:sz w:val="21"/>
                <w:szCs w:val="21"/>
              </w:rPr>
            </w:pPr>
            <w:r>
              <w:rPr>
                <w:color w:val="auto"/>
                <w:sz w:val="21"/>
                <w:szCs w:val="21"/>
              </w:rPr>
              <w:t>109402.4</w:t>
            </w:r>
          </w:p>
        </w:tc>
      </w:tr>
      <w:tr w14:paraId="19461693">
        <w:tblPrEx>
          <w:tblCellMar>
            <w:top w:w="0" w:type="dxa"/>
            <w:left w:w="108" w:type="dxa"/>
            <w:bottom w:w="0" w:type="dxa"/>
            <w:right w:w="108" w:type="dxa"/>
          </w:tblCellMar>
        </w:tblPrEx>
        <w:trPr>
          <w:trHeight w:val="280" w:hRule="atLeast"/>
        </w:trPr>
        <w:tc>
          <w:tcPr>
            <w:tcW w:w="846" w:type="dxa"/>
            <w:vMerge w:val="continue"/>
            <w:tcBorders>
              <w:left w:val="single" w:color="auto" w:sz="4" w:space="0"/>
              <w:right w:val="single" w:color="auto" w:sz="4" w:space="0"/>
            </w:tcBorders>
            <w:vAlign w:val="center"/>
          </w:tcPr>
          <w:p w14:paraId="3A08B342">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7AD1BC58">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5B338636">
            <w:pPr>
              <w:jc w:val="center"/>
              <w:rPr>
                <w:rFonts w:hint="eastAsia" w:ascii="宋体" w:hAnsi="宋体" w:cs="宋体"/>
                <w:color w:val="auto"/>
                <w:sz w:val="21"/>
                <w:szCs w:val="21"/>
              </w:rPr>
            </w:pPr>
            <w:r>
              <w:rPr>
                <w:rFonts w:ascii="宋体" w:hAnsi="宋体" w:cs="宋体"/>
                <w:color w:val="auto"/>
                <w:sz w:val="21"/>
                <w:szCs w:val="21"/>
              </w:rPr>
              <w:t>颗粒物</w:t>
            </w:r>
          </w:p>
        </w:tc>
        <w:tc>
          <w:tcPr>
            <w:tcW w:w="1280" w:type="dxa"/>
            <w:tcBorders>
              <w:top w:val="nil"/>
              <w:left w:val="nil"/>
              <w:bottom w:val="single" w:color="auto" w:sz="4" w:space="0"/>
              <w:right w:val="single" w:color="auto" w:sz="4" w:space="0"/>
            </w:tcBorders>
            <w:vAlign w:val="center"/>
          </w:tcPr>
          <w:p w14:paraId="62B0A466">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2D9FD4A4">
            <w:pPr>
              <w:jc w:val="center"/>
              <w:rPr>
                <w:color w:val="auto"/>
                <w:sz w:val="21"/>
                <w:szCs w:val="21"/>
              </w:rPr>
            </w:pPr>
            <w:r>
              <w:rPr>
                <w:color w:val="auto"/>
                <w:sz w:val="21"/>
                <w:szCs w:val="21"/>
              </w:rPr>
              <w:t xml:space="preserve">1916.40 </w:t>
            </w:r>
          </w:p>
        </w:tc>
        <w:tc>
          <w:tcPr>
            <w:tcW w:w="1360" w:type="dxa"/>
            <w:tcBorders>
              <w:top w:val="nil"/>
              <w:left w:val="nil"/>
              <w:bottom w:val="single" w:color="auto" w:sz="4" w:space="0"/>
              <w:right w:val="single" w:color="auto" w:sz="4" w:space="0"/>
            </w:tcBorders>
            <w:vAlign w:val="center"/>
          </w:tcPr>
          <w:p w14:paraId="67AD6D85">
            <w:pPr>
              <w:jc w:val="center"/>
              <w:rPr>
                <w:color w:val="auto"/>
                <w:sz w:val="21"/>
                <w:szCs w:val="21"/>
              </w:rPr>
            </w:pPr>
            <w:r>
              <w:rPr>
                <w:color w:val="auto"/>
                <w:sz w:val="21"/>
                <w:szCs w:val="21"/>
              </w:rPr>
              <w:t>1908.984</w:t>
            </w:r>
          </w:p>
        </w:tc>
        <w:tc>
          <w:tcPr>
            <w:tcW w:w="1320" w:type="dxa"/>
            <w:tcBorders>
              <w:top w:val="nil"/>
              <w:left w:val="nil"/>
              <w:bottom w:val="single" w:color="auto" w:sz="4" w:space="0"/>
              <w:right w:val="single" w:color="auto" w:sz="4" w:space="0"/>
            </w:tcBorders>
            <w:vAlign w:val="center"/>
          </w:tcPr>
          <w:p w14:paraId="034F6E46">
            <w:pPr>
              <w:jc w:val="center"/>
              <w:rPr>
                <w:color w:val="auto"/>
                <w:sz w:val="21"/>
                <w:szCs w:val="21"/>
              </w:rPr>
            </w:pPr>
            <w:r>
              <w:rPr>
                <w:color w:val="auto"/>
                <w:sz w:val="21"/>
                <w:szCs w:val="21"/>
              </w:rPr>
              <w:t xml:space="preserve">7.415 </w:t>
            </w:r>
          </w:p>
        </w:tc>
      </w:tr>
      <w:tr w14:paraId="7D717B8F">
        <w:tblPrEx>
          <w:tblCellMar>
            <w:top w:w="0" w:type="dxa"/>
            <w:left w:w="108" w:type="dxa"/>
            <w:bottom w:w="0" w:type="dxa"/>
            <w:right w:w="108" w:type="dxa"/>
          </w:tblCellMar>
        </w:tblPrEx>
        <w:trPr>
          <w:trHeight w:val="280" w:hRule="atLeast"/>
        </w:trPr>
        <w:tc>
          <w:tcPr>
            <w:tcW w:w="846" w:type="dxa"/>
            <w:vMerge w:val="continue"/>
            <w:tcBorders>
              <w:left w:val="single" w:color="auto" w:sz="4" w:space="0"/>
              <w:right w:val="single" w:color="auto" w:sz="4" w:space="0"/>
            </w:tcBorders>
            <w:vAlign w:val="center"/>
          </w:tcPr>
          <w:p w14:paraId="30DCC026">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1FC44BDF">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489F6A3A">
            <w:pPr>
              <w:jc w:val="center"/>
              <w:rPr>
                <w:rFonts w:hint="eastAsia" w:ascii="宋体" w:hAnsi="宋体" w:cs="宋体"/>
                <w:color w:val="auto"/>
                <w:sz w:val="21"/>
                <w:szCs w:val="21"/>
              </w:rPr>
            </w:pPr>
            <w:r>
              <w:rPr>
                <w:rFonts w:ascii="宋体" w:hAnsi="宋体" w:cs="宋体"/>
                <w:color w:val="auto"/>
                <w:sz w:val="21"/>
                <w:szCs w:val="21"/>
              </w:rPr>
              <w:t>NOx</w:t>
            </w:r>
          </w:p>
        </w:tc>
        <w:tc>
          <w:tcPr>
            <w:tcW w:w="1280" w:type="dxa"/>
            <w:tcBorders>
              <w:top w:val="nil"/>
              <w:left w:val="nil"/>
              <w:bottom w:val="single" w:color="auto" w:sz="4" w:space="0"/>
              <w:right w:val="single" w:color="auto" w:sz="4" w:space="0"/>
            </w:tcBorders>
            <w:vAlign w:val="center"/>
          </w:tcPr>
          <w:p w14:paraId="26BB0019">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6EFF8E6E">
            <w:pPr>
              <w:jc w:val="center"/>
              <w:rPr>
                <w:color w:val="auto"/>
                <w:sz w:val="21"/>
                <w:szCs w:val="21"/>
              </w:rPr>
            </w:pPr>
            <w:r>
              <w:rPr>
                <w:color w:val="auto"/>
                <w:sz w:val="21"/>
                <w:szCs w:val="21"/>
              </w:rPr>
              <w:t>42.90</w:t>
            </w:r>
          </w:p>
        </w:tc>
        <w:tc>
          <w:tcPr>
            <w:tcW w:w="1360" w:type="dxa"/>
            <w:tcBorders>
              <w:top w:val="nil"/>
              <w:left w:val="nil"/>
              <w:bottom w:val="single" w:color="auto" w:sz="4" w:space="0"/>
              <w:right w:val="single" w:color="auto" w:sz="4" w:space="0"/>
            </w:tcBorders>
            <w:vAlign w:val="center"/>
          </w:tcPr>
          <w:p w14:paraId="5D07F983">
            <w:pPr>
              <w:jc w:val="center"/>
              <w:rPr>
                <w:color w:val="auto"/>
                <w:sz w:val="21"/>
                <w:szCs w:val="21"/>
              </w:rPr>
            </w:pPr>
            <w:r>
              <w:rPr>
                <w:color w:val="auto"/>
                <w:sz w:val="21"/>
                <w:szCs w:val="21"/>
              </w:rPr>
              <w:t>36.551</w:t>
            </w:r>
          </w:p>
        </w:tc>
        <w:tc>
          <w:tcPr>
            <w:tcW w:w="1320" w:type="dxa"/>
            <w:tcBorders>
              <w:top w:val="nil"/>
              <w:left w:val="nil"/>
              <w:bottom w:val="single" w:color="auto" w:sz="4" w:space="0"/>
              <w:right w:val="single" w:color="auto" w:sz="4" w:space="0"/>
            </w:tcBorders>
            <w:vAlign w:val="center"/>
          </w:tcPr>
          <w:p w14:paraId="15FBF1A1">
            <w:pPr>
              <w:jc w:val="center"/>
              <w:rPr>
                <w:color w:val="auto"/>
                <w:sz w:val="21"/>
                <w:szCs w:val="21"/>
              </w:rPr>
            </w:pPr>
            <w:r>
              <w:rPr>
                <w:color w:val="auto"/>
                <w:sz w:val="21"/>
                <w:szCs w:val="21"/>
              </w:rPr>
              <w:t xml:space="preserve">6.354 </w:t>
            </w:r>
          </w:p>
        </w:tc>
      </w:tr>
      <w:tr w14:paraId="623BE26C">
        <w:tblPrEx>
          <w:tblCellMar>
            <w:top w:w="0" w:type="dxa"/>
            <w:left w:w="108" w:type="dxa"/>
            <w:bottom w:w="0" w:type="dxa"/>
            <w:right w:w="108" w:type="dxa"/>
          </w:tblCellMar>
        </w:tblPrEx>
        <w:trPr>
          <w:trHeight w:val="375" w:hRule="atLeast"/>
        </w:trPr>
        <w:tc>
          <w:tcPr>
            <w:tcW w:w="846" w:type="dxa"/>
            <w:vMerge w:val="continue"/>
            <w:tcBorders>
              <w:left w:val="single" w:color="auto" w:sz="4" w:space="0"/>
              <w:right w:val="single" w:color="auto" w:sz="4" w:space="0"/>
            </w:tcBorders>
            <w:vAlign w:val="center"/>
          </w:tcPr>
          <w:p w14:paraId="059E277F">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1F5DE112">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6F903046">
            <w:pPr>
              <w:jc w:val="center"/>
              <w:rPr>
                <w:rFonts w:hint="eastAsia" w:ascii="宋体" w:hAnsi="宋体" w:cs="宋体"/>
                <w:color w:val="auto"/>
                <w:sz w:val="21"/>
                <w:szCs w:val="21"/>
              </w:rPr>
            </w:pPr>
            <w:r>
              <w:rPr>
                <w:rFonts w:ascii="宋体" w:hAnsi="宋体" w:cs="宋体"/>
                <w:color w:val="auto"/>
                <w:sz w:val="21"/>
                <w:szCs w:val="21"/>
              </w:rPr>
              <w:t>SO</w:t>
            </w:r>
            <w:r>
              <w:rPr>
                <w:rFonts w:ascii="宋体" w:hAnsi="宋体" w:cs="宋体"/>
                <w:color w:val="auto"/>
                <w:sz w:val="21"/>
                <w:szCs w:val="21"/>
                <w:vertAlign w:val="subscript"/>
              </w:rPr>
              <w:t>2</w:t>
            </w:r>
          </w:p>
        </w:tc>
        <w:tc>
          <w:tcPr>
            <w:tcW w:w="1280" w:type="dxa"/>
            <w:tcBorders>
              <w:top w:val="nil"/>
              <w:left w:val="nil"/>
              <w:bottom w:val="single" w:color="auto" w:sz="4" w:space="0"/>
              <w:right w:val="single" w:color="auto" w:sz="4" w:space="0"/>
            </w:tcBorders>
            <w:vAlign w:val="center"/>
          </w:tcPr>
          <w:p w14:paraId="0998EB3D">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4A8535BD">
            <w:pPr>
              <w:jc w:val="center"/>
              <w:rPr>
                <w:color w:val="auto"/>
                <w:sz w:val="21"/>
                <w:szCs w:val="21"/>
              </w:rPr>
            </w:pPr>
            <w:r>
              <w:rPr>
                <w:color w:val="auto"/>
                <w:sz w:val="21"/>
                <w:szCs w:val="21"/>
              </w:rPr>
              <w:t>0.28</w:t>
            </w:r>
          </w:p>
        </w:tc>
        <w:tc>
          <w:tcPr>
            <w:tcW w:w="1360" w:type="dxa"/>
            <w:tcBorders>
              <w:top w:val="nil"/>
              <w:left w:val="nil"/>
              <w:bottom w:val="single" w:color="auto" w:sz="4" w:space="0"/>
              <w:right w:val="single" w:color="auto" w:sz="4" w:space="0"/>
            </w:tcBorders>
            <w:vAlign w:val="center"/>
          </w:tcPr>
          <w:p w14:paraId="736B5E70">
            <w:pPr>
              <w:jc w:val="center"/>
              <w:rPr>
                <w:color w:val="auto"/>
                <w:sz w:val="21"/>
                <w:szCs w:val="21"/>
              </w:rPr>
            </w:pPr>
            <w:r>
              <w:rPr>
                <w:color w:val="auto"/>
                <w:sz w:val="21"/>
                <w:szCs w:val="21"/>
              </w:rPr>
              <w:t>0</w:t>
            </w:r>
          </w:p>
        </w:tc>
        <w:tc>
          <w:tcPr>
            <w:tcW w:w="1320" w:type="dxa"/>
            <w:tcBorders>
              <w:top w:val="nil"/>
              <w:left w:val="nil"/>
              <w:bottom w:val="single" w:color="auto" w:sz="4" w:space="0"/>
              <w:right w:val="single" w:color="auto" w:sz="4" w:space="0"/>
            </w:tcBorders>
            <w:vAlign w:val="center"/>
          </w:tcPr>
          <w:p w14:paraId="7912D32A">
            <w:pPr>
              <w:jc w:val="center"/>
              <w:rPr>
                <w:color w:val="auto"/>
                <w:sz w:val="21"/>
                <w:szCs w:val="21"/>
              </w:rPr>
            </w:pPr>
            <w:r>
              <w:rPr>
                <w:color w:val="auto"/>
                <w:sz w:val="21"/>
                <w:szCs w:val="21"/>
              </w:rPr>
              <w:t xml:space="preserve">0.277 </w:t>
            </w:r>
          </w:p>
        </w:tc>
      </w:tr>
      <w:tr w14:paraId="4CBF64D3">
        <w:tblPrEx>
          <w:tblCellMar>
            <w:top w:w="0" w:type="dxa"/>
            <w:left w:w="108" w:type="dxa"/>
            <w:bottom w:w="0" w:type="dxa"/>
            <w:right w:w="108" w:type="dxa"/>
          </w:tblCellMar>
        </w:tblPrEx>
        <w:trPr>
          <w:trHeight w:val="283" w:hRule="atLeast"/>
        </w:trPr>
        <w:tc>
          <w:tcPr>
            <w:tcW w:w="846" w:type="dxa"/>
            <w:vMerge w:val="continue"/>
            <w:tcBorders>
              <w:left w:val="single" w:color="auto" w:sz="4" w:space="0"/>
              <w:right w:val="single" w:color="auto" w:sz="4" w:space="0"/>
            </w:tcBorders>
            <w:vAlign w:val="center"/>
          </w:tcPr>
          <w:p w14:paraId="2E6A464B">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3E1764CB">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22828668">
            <w:pPr>
              <w:jc w:val="center"/>
              <w:rPr>
                <w:rFonts w:hint="eastAsia" w:ascii="宋体" w:hAnsi="宋体" w:cs="宋体"/>
                <w:color w:val="auto"/>
                <w:sz w:val="21"/>
                <w:szCs w:val="21"/>
              </w:rPr>
            </w:pPr>
            <w:r>
              <w:rPr>
                <w:rFonts w:ascii="宋体" w:hAnsi="宋体" w:cs="宋体"/>
                <w:color w:val="auto"/>
                <w:sz w:val="21"/>
                <w:szCs w:val="21"/>
              </w:rPr>
              <w:t>钴及其化合物</w:t>
            </w:r>
          </w:p>
        </w:tc>
        <w:tc>
          <w:tcPr>
            <w:tcW w:w="1280" w:type="dxa"/>
            <w:tcBorders>
              <w:top w:val="nil"/>
              <w:left w:val="nil"/>
              <w:bottom w:val="single" w:color="auto" w:sz="4" w:space="0"/>
              <w:right w:val="single" w:color="auto" w:sz="4" w:space="0"/>
            </w:tcBorders>
            <w:vAlign w:val="center"/>
          </w:tcPr>
          <w:p w14:paraId="046B0247">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1842FDA4">
            <w:pPr>
              <w:jc w:val="center"/>
              <w:rPr>
                <w:color w:val="auto"/>
                <w:sz w:val="21"/>
                <w:szCs w:val="21"/>
              </w:rPr>
            </w:pPr>
            <w:r>
              <w:rPr>
                <w:color w:val="auto"/>
                <w:sz w:val="21"/>
                <w:szCs w:val="21"/>
              </w:rPr>
              <w:t>2.472</w:t>
            </w:r>
          </w:p>
        </w:tc>
        <w:tc>
          <w:tcPr>
            <w:tcW w:w="1360" w:type="dxa"/>
            <w:tcBorders>
              <w:top w:val="nil"/>
              <w:left w:val="nil"/>
              <w:bottom w:val="single" w:color="auto" w:sz="4" w:space="0"/>
              <w:right w:val="single" w:color="auto" w:sz="4" w:space="0"/>
            </w:tcBorders>
            <w:vAlign w:val="center"/>
          </w:tcPr>
          <w:p w14:paraId="5D09379F">
            <w:pPr>
              <w:jc w:val="center"/>
              <w:rPr>
                <w:color w:val="auto"/>
                <w:sz w:val="21"/>
                <w:szCs w:val="21"/>
              </w:rPr>
            </w:pPr>
            <w:r>
              <w:rPr>
                <w:color w:val="auto"/>
                <w:sz w:val="21"/>
                <w:szCs w:val="21"/>
              </w:rPr>
              <w:t>2.467</w:t>
            </w:r>
          </w:p>
        </w:tc>
        <w:tc>
          <w:tcPr>
            <w:tcW w:w="1320" w:type="dxa"/>
            <w:tcBorders>
              <w:top w:val="nil"/>
              <w:left w:val="nil"/>
              <w:bottom w:val="single" w:color="auto" w:sz="4" w:space="0"/>
              <w:right w:val="single" w:color="auto" w:sz="4" w:space="0"/>
            </w:tcBorders>
            <w:vAlign w:val="center"/>
          </w:tcPr>
          <w:p w14:paraId="45A7ADB2">
            <w:pPr>
              <w:jc w:val="center"/>
              <w:rPr>
                <w:color w:val="auto"/>
                <w:sz w:val="21"/>
                <w:szCs w:val="21"/>
              </w:rPr>
            </w:pPr>
            <w:r>
              <w:rPr>
                <w:color w:val="auto"/>
                <w:sz w:val="21"/>
                <w:szCs w:val="21"/>
              </w:rPr>
              <w:t>0.005</w:t>
            </w:r>
          </w:p>
        </w:tc>
      </w:tr>
      <w:tr w14:paraId="3F976833">
        <w:tblPrEx>
          <w:tblCellMar>
            <w:top w:w="0" w:type="dxa"/>
            <w:left w:w="108" w:type="dxa"/>
            <w:bottom w:w="0" w:type="dxa"/>
            <w:right w:w="108" w:type="dxa"/>
          </w:tblCellMar>
        </w:tblPrEx>
        <w:trPr>
          <w:trHeight w:val="283" w:hRule="atLeast"/>
        </w:trPr>
        <w:tc>
          <w:tcPr>
            <w:tcW w:w="846" w:type="dxa"/>
            <w:vMerge w:val="continue"/>
            <w:tcBorders>
              <w:left w:val="single" w:color="auto" w:sz="4" w:space="0"/>
              <w:right w:val="single" w:color="auto" w:sz="4" w:space="0"/>
            </w:tcBorders>
            <w:vAlign w:val="center"/>
          </w:tcPr>
          <w:p w14:paraId="658BC05A">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3D5F2466">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06041F85">
            <w:pPr>
              <w:jc w:val="center"/>
              <w:rPr>
                <w:rFonts w:hint="eastAsia" w:ascii="宋体" w:hAnsi="宋体" w:cs="宋体"/>
                <w:color w:val="auto"/>
                <w:sz w:val="21"/>
                <w:szCs w:val="21"/>
              </w:rPr>
            </w:pPr>
            <w:r>
              <w:rPr>
                <w:rFonts w:ascii="宋体" w:hAnsi="宋体" w:cs="宋体"/>
                <w:color w:val="auto"/>
                <w:sz w:val="21"/>
                <w:szCs w:val="21"/>
              </w:rPr>
              <w:t>钼及其化合物</w:t>
            </w:r>
          </w:p>
        </w:tc>
        <w:tc>
          <w:tcPr>
            <w:tcW w:w="1280" w:type="dxa"/>
            <w:tcBorders>
              <w:top w:val="nil"/>
              <w:left w:val="nil"/>
              <w:bottom w:val="single" w:color="auto" w:sz="4" w:space="0"/>
              <w:right w:val="single" w:color="auto" w:sz="4" w:space="0"/>
            </w:tcBorders>
            <w:vAlign w:val="center"/>
          </w:tcPr>
          <w:p w14:paraId="6739E936">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33B4A9CA">
            <w:pPr>
              <w:jc w:val="center"/>
              <w:rPr>
                <w:color w:val="auto"/>
                <w:sz w:val="21"/>
                <w:szCs w:val="21"/>
              </w:rPr>
            </w:pPr>
            <w:r>
              <w:rPr>
                <w:color w:val="auto"/>
                <w:sz w:val="21"/>
                <w:szCs w:val="21"/>
              </w:rPr>
              <w:t>0.525</w:t>
            </w:r>
          </w:p>
        </w:tc>
        <w:tc>
          <w:tcPr>
            <w:tcW w:w="1360" w:type="dxa"/>
            <w:tcBorders>
              <w:top w:val="nil"/>
              <w:left w:val="nil"/>
              <w:bottom w:val="single" w:color="auto" w:sz="4" w:space="0"/>
              <w:right w:val="single" w:color="auto" w:sz="4" w:space="0"/>
            </w:tcBorders>
            <w:vAlign w:val="center"/>
          </w:tcPr>
          <w:p w14:paraId="34E276D0">
            <w:pPr>
              <w:jc w:val="center"/>
              <w:rPr>
                <w:color w:val="auto"/>
                <w:sz w:val="21"/>
                <w:szCs w:val="21"/>
              </w:rPr>
            </w:pPr>
            <w:r>
              <w:rPr>
                <w:color w:val="auto"/>
                <w:sz w:val="21"/>
                <w:szCs w:val="21"/>
              </w:rPr>
              <w:t>0.524</w:t>
            </w:r>
          </w:p>
        </w:tc>
        <w:tc>
          <w:tcPr>
            <w:tcW w:w="1320" w:type="dxa"/>
            <w:tcBorders>
              <w:top w:val="nil"/>
              <w:left w:val="nil"/>
              <w:bottom w:val="single" w:color="auto" w:sz="4" w:space="0"/>
              <w:right w:val="single" w:color="auto" w:sz="4" w:space="0"/>
            </w:tcBorders>
            <w:vAlign w:val="center"/>
          </w:tcPr>
          <w:p w14:paraId="6EF4C787">
            <w:pPr>
              <w:jc w:val="center"/>
              <w:rPr>
                <w:color w:val="auto"/>
                <w:sz w:val="21"/>
                <w:szCs w:val="21"/>
              </w:rPr>
            </w:pPr>
            <w:r>
              <w:rPr>
                <w:color w:val="auto"/>
                <w:sz w:val="21"/>
                <w:szCs w:val="21"/>
              </w:rPr>
              <w:t>0.001</w:t>
            </w:r>
          </w:p>
        </w:tc>
      </w:tr>
      <w:tr w14:paraId="6D6428DA">
        <w:tblPrEx>
          <w:tblCellMar>
            <w:top w:w="0" w:type="dxa"/>
            <w:left w:w="108" w:type="dxa"/>
            <w:bottom w:w="0" w:type="dxa"/>
            <w:right w:w="108" w:type="dxa"/>
          </w:tblCellMar>
        </w:tblPrEx>
        <w:trPr>
          <w:trHeight w:val="283" w:hRule="atLeast"/>
        </w:trPr>
        <w:tc>
          <w:tcPr>
            <w:tcW w:w="846" w:type="dxa"/>
            <w:vMerge w:val="continue"/>
            <w:tcBorders>
              <w:left w:val="single" w:color="auto" w:sz="4" w:space="0"/>
              <w:right w:val="single" w:color="auto" w:sz="4" w:space="0"/>
            </w:tcBorders>
            <w:vAlign w:val="center"/>
          </w:tcPr>
          <w:p w14:paraId="2E854492">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49A458ED">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40F4454E">
            <w:pPr>
              <w:jc w:val="center"/>
              <w:rPr>
                <w:rFonts w:hint="eastAsia" w:ascii="宋体" w:hAnsi="宋体" w:cs="宋体"/>
                <w:color w:val="auto"/>
                <w:sz w:val="21"/>
                <w:szCs w:val="21"/>
              </w:rPr>
            </w:pPr>
            <w:r>
              <w:rPr>
                <w:rFonts w:ascii="宋体" w:hAnsi="宋体" w:cs="宋体"/>
                <w:color w:val="auto"/>
                <w:sz w:val="21"/>
                <w:szCs w:val="21"/>
              </w:rPr>
              <w:t>镍及其化合物</w:t>
            </w:r>
          </w:p>
        </w:tc>
        <w:tc>
          <w:tcPr>
            <w:tcW w:w="1280" w:type="dxa"/>
            <w:tcBorders>
              <w:top w:val="nil"/>
              <w:left w:val="nil"/>
              <w:bottom w:val="single" w:color="auto" w:sz="4" w:space="0"/>
              <w:right w:val="single" w:color="auto" w:sz="4" w:space="0"/>
            </w:tcBorders>
            <w:vAlign w:val="center"/>
          </w:tcPr>
          <w:p w14:paraId="76138691">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661E6295">
            <w:pPr>
              <w:jc w:val="center"/>
              <w:rPr>
                <w:color w:val="auto"/>
                <w:sz w:val="21"/>
                <w:szCs w:val="21"/>
              </w:rPr>
            </w:pPr>
            <w:r>
              <w:rPr>
                <w:color w:val="auto"/>
                <w:sz w:val="21"/>
                <w:szCs w:val="21"/>
              </w:rPr>
              <w:t>0.628</w:t>
            </w:r>
          </w:p>
        </w:tc>
        <w:tc>
          <w:tcPr>
            <w:tcW w:w="1360" w:type="dxa"/>
            <w:tcBorders>
              <w:top w:val="nil"/>
              <w:left w:val="nil"/>
              <w:bottom w:val="single" w:color="auto" w:sz="4" w:space="0"/>
              <w:right w:val="single" w:color="auto" w:sz="4" w:space="0"/>
            </w:tcBorders>
            <w:vAlign w:val="center"/>
          </w:tcPr>
          <w:p w14:paraId="36B8DC59">
            <w:pPr>
              <w:jc w:val="center"/>
              <w:rPr>
                <w:color w:val="auto"/>
                <w:sz w:val="21"/>
                <w:szCs w:val="21"/>
              </w:rPr>
            </w:pPr>
            <w:r>
              <w:rPr>
                <w:color w:val="auto"/>
                <w:sz w:val="21"/>
                <w:szCs w:val="21"/>
              </w:rPr>
              <w:t>0.627</w:t>
            </w:r>
          </w:p>
        </w:tc>
        <w:tc>
          <w:tcPr>
            <w:tcW w:w="1320" w:type="dxa"/>
            <w:tcBorders>
              <w:top w:val="nil"/>
              <w:left w:val="nil"/>
              <w:bottom w:val="single" w:color="auto" w:sz="4" w:space="0"/>
              <w:right w:val="single" w:color="auto" w:sz="4" w:space="0"/>
            </w:tcBorders>
            <w:vAlign w:val="center"/>
          </w:tcPr>
          <w:p w14:paraId="6CEA2396">
            <w:pPr>
              <w:jc w:val="center"/>
              <w:rPr>
                <w:color w:val="auto"/>
                <w:sz w:val="21"/>
                <w:szCs w:val="21"/>
              </w:rPr>
            </w:pPr>
            <w:r>
              <w:rPr>
                <w:color w:val="auto"/>
                <w:sz w:val="21"/>
                <w:szCs w:val="21"/>
              </w:rPr>
              <w:t>0.001</w:t>
            </w:r>
          </w:p>
        </w:tc>
      </w:tr>
      <w:tr w14:paraId="277D0695">
        <w:tblPrEx>
          <w:tblCellMar>
            <w:top w:w="0" w:type="dxa"/>
            <w:left w:w="108" w:type="dxa"/>
            <w:bottom w:w="0" w:type="dxa"/>
            <w:right w:w="108" w:type="dxa"/>
          </w:tblCellMar>
        </w:tblPrEx>
        <w:trPr>
          <w:trHeight w:val="360" w:hRule="atLeast"/>
        </w:trPr>
        <w:tc>
          <w:tcPr>
            <w:tcW w:w="846" w:type="dxa"/>
            <w:vMerge w:val="continue"/>
            <w:tcBorders>
              <w:left w:val="single" w:color="auto" w:sz="4" w:space="0"/>
              <w:right w:val="single" w:color="auto" w:sz="4" w:space="0"/>
            </w:tcBorders>
            <w:vAlign w:val="center"/>
          </w:tcPr>
          <w:p w14:paraId="36801AAC">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6B8C0C7A">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76C795E9">
            <w:pPr>
              <w:jc w:val="center"/>
              <w:rPr>
                <w:rFonts w:hint="eastAsia" w:ascii="宋体" w:hAnsi="宋体" w:cs="宋体"/>
                <w:color w:val="auto"/>
                <w:sz w:val="21"/>
                <w:szCs w:val="21"/>
              </w:rPr>
            </w:pPr>
            <w:r>
              <w:rPr>
                <w:rFonts w:ascii="宋体" w:hAnsi="宋体" w:cs="宋体"/>
                <w:color w:val="auto"/>
                <w:sz w:val="21"/>
                <w:szCs w:val="21"/>
              </w:rPr>
              <w:t>锰及其化合物</w:t>
            </w:r>
          </w:p>
        </w:tc>
        <w:tc>
          <w:tcPr>
            <w:tcW w:w="1280" w:type="dxa"/>
            <w:tcBorders>
              <w:top w:val="nil"/>
              <w:left w:val="nil"/>
              <w:bottom w:val="single" w:color="auto" w:sz="4" w:space="0"/>
              <w:right w:val="single" w:color="auto" w:sz="4" w:space="0"/>
            </w:tcBorders>
            <w:vAlign w:val="center"/>
          </w:tcPr>
          <w:p w14:paraId="61CEF391">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5B62FF7B">
            <w:pPr>
              <w:jc w:val="center"/>
              <w:rPr>
                <w:color w:val="auto"/>
                <w:sz w:val="21"/>
                <w:szCs w:val="21"/>
              </w:rPr>
            </w:pPr>
            <w:r>
              <w:rPr>
                <w:color w:val="auto"/>
                <w:sz w:val="21"/>
                <w:szCs w:val="21"/>
              </w:rPr>
              <w:t>1.238</w:t>
            </w:r>
          </w:p>
        </w:tc>
        <w:tc>
          <w:tcPr>
            <w:tcW w:w="1360" w:type="dxa"/>
            <w:tcBorders>
              <w:top w:val="nil"/>
              <w:left w:val="nil"/>
              <w:bottom w:val="single" w:color="auto" w:sz="4" w:space="0"/>
              <w:right w:val="single" w:color="auto" w:sz="4" w:space="0"/>
            </w:tcBorders>
            <w:vAlign w:val="center"/>
          </w:tcPr>
          <w:p w14:paraId="7FEFEA8C">
            <w:pPr>
              <w:jc w:val="center"/>
              <w:rPr>
                <w:color w:val="auto"/>
                <w:sz w:val="21"/>
                <w:szCs w:val="21"/>
              </w:rPr>
            </w:pPr>
            <w:r>
              <w:rPr>
                <w:color w:val="auto"/>
                <w:sz w:val="21"/>
                <w:szCs w:val="21"/>
              </w:rPr>
              <w:t>1.236</w:t>
            </w:r>
          </w:p>
        </w:tc>
        <w:tc>
          <w:tcPr>
            <w:tcW w:w="1320" w:type="dxa"/>
            <w:tcBorders>
              <w:top w:val="nil"/>
              <w:left w:val="nil"/>
              <w:bottom w:val="single" w:color="auto" w:sz="4" w:space="0"/>
              <w:right w:val="single" w:color="auto" w:sz="4" w:space="0"/>
            </w:tcBorders>
            <w:vAlign w:val="center"/>
          </w:tcPr>
          <w:p w14:paraId="3205E709">
            <w:pPr>
              <w:jc w:val="center"/>
              <w:rPr>
                <w:color w:val="auto"/>
                <w:sz w:val="21"/>
                <w:szCs w:val="21"/>
              </w:rPr>
            </w:pPr>
            <w:r>
              <w:rPr>
                <w:color w:val="auto"/>
                <w:sz w:val="21"/>
                <w:szCs w:val="21"/>
              </w:rPr>
              <w:t>0.003</w:t>
            </w:r>
          </w:p>
        </w:tc>
      </w:tr>
      <w:tr w14:paraId="4BBBE55E">
        <w:tblPrEx>
          <w:tblCellMar>
            <w:top w:w="0" w:type="dxa"/>
            <w:left w:w="108" w:type="dxa"/>
            <w:bottom w:w="0" w:type="dxa"/>
            <w:right w:w="108" w:type="dxa"/>
          </w:tblCellMar>
        </w:tblPrEx>
        <w:trPr>
          <w:trHeight w:val="403" w:hRule="atLeast"/>
        </w:trPr>
        <w:tc>
          <w:tcPr>
            <w:tcW w:w="846" w:type="dxa"/>
            <w:vMerge w:val="continue"/>
            <w:tcBorders>
              <w:left w:val="single" w:color="auto" w:sz="4" w:space="0"/>
              <w:right w:val="single" w:color="auto" w:sz="4" w:space="0"/>
            </w:tcBorders>
            <w:vAlign w:val="center"/>
          </w:tcPr>
          <w:p w14:paraId="02725275">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76D1FB30">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709E527A">
            <w:pPr>
              <w:jc w:val="center"/>
              <w:rPr>
                <w:rFonts w:hint="eastAsia" w:ascii="宋体" w:hAnsi="宋体" w:cs="宋体"/>
                <w:color w:val="auto"/>
                <w:sz w:val="21"/>
                <w:szCs w:val="21"/>
              </w:rPr>
            </w:pPr>
            <w:r>
              <w:rPr>
                <w:rFonts w:ascii="宋体" w:hAnsi="宋体" w:cs="宋体"/>
                <w:color w:val="auto"/>
                <w:sz w:val="21"/>
                <w:szCs w:val="21"/>
              </w:rPr>
              <w:t>铜及其化合物</w:t>
            </w:r>
          </w:p>
        </w:tc>
        <w:tc>
          <w:tcPr>
            <w:tcW w:w="1280" w:type="dxa"/>
            <w:tcBorders>
              <w:top w:val="nil"/>
              <w:left w:val="nil"/>
              <w:bottom w:val="single" w:color="auto" w:sz="4" w:space="0"/>
              <w:right w:val="single" w:color="auto" w:sz="4" w:space="0"/>
            </w:tcBorders>
            <w:vAlign w:val="center"/>
          </w:tcPr>
          <w:p w14:paraId="04CF14C6">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175CAC8D">
            <w:pPr>
              <w:jc w:val="center"/>
              <w:rPr>
                <w:color w:val="auto"/>
                <w:sz w:val="21"/>
                <w:szCs w:val="21"/>
              </w:rPr>
            </w:pPr>
            <w:r>
              <w:rPr>
                <w:color w:val="auto"/>
                <w:sz w:val="21"/>
                <w:szCs w:val="21"/>
              </w:rPr>
              <w:t>0.314</w:t>
            </w:r>
          </w:p>
        </w:tc>
        <w:tc>
          <w:tcPr>
            <w:tcW w:w="1360" w:type="dxa"/>
            <w:tcBorders>
              <w:top w:val="nil"/>
              <w:left w:val="nil"/>
              <w:bottom w:val="single" w:color="auto" w:sz="4" w:space="0"/>
              <w:right w:val="single" w:color="auto" w:sz="4" w:space="0"/>
            </w:tcBorders>
            <w:vAlign w:val="center"/>
          </w:tcPr>
          <w:p w14:paraId="59544EAD">
            <w:pPr>
              <w:jc w:val="center"/>
              <w:rPr>
                <w:color w:val="auto"/>
                <w:sz w:val="21"/>
                <w:szCs w:val="21"/>
              </w:rPr>
            </w:pPr>
            <w:r>
              <w:rPr>
                <w:color w:val="auto"/>
                <w:sz w:val="21"/>
                <w:szCs w:val="21"/>
              </w:rPr>
              <w:t>0.313</w:t>
            </w:r>
          </w:p>
        </w:tc>
        <w:tc>
          <w:tcPr>
            <w:tcW w:w="1320" w:type="dxa"/>
            <w:tcBorders>
              <w:top w:val="nil"/>
              <w:left w:val="nil"/>
              <w:bottom w:val="single" w:color="auto" w:sz="4" w:space="0"/>
              <w:right w:val="single" w:color="auto" w:sz="4" w:space="0"/>
            </w:tcBorders>
            <w:vAlign w:val="center"/>
          </w:tcPr>
          <w:p w14:paraId="125B1832">
            <w:pPr>
              <w:jc w:val="center"/>
              <w:rPr>
                <w:color w:val="auto"/>
                <w:sz w:val="21"/>
                <w:szCs w:val="21"/>
              </w:rPr>
            </w:pPr>
            <w:r>
              <w:rPr>
                <w:color w:val="auto"/>
                <w:sz w:val="21"/>
                <w:szCs w:val="21"/>
              </w:rPr>
              <w:t>0.001</w:t>
            </w:r>
          </w:p>
        </w:tc>
      </w:tr>
      <w:tr w14:paraId="3892305F">
        <w:tblPrEx>
          <w:tblCellMar>
            <w:top w:w="0" w:type="dxa"/>
            <w:left w:w="108" w:type="dxa"/>
            <w:bottom w:w="0" w:type="dxa"/>
            <w:right w:w="108" w:type="dxa"/>
          </w:tblCellMar>
        </w:tblPrEx>
        <w:trPr>
          <w:trHeight w:val="360" w:hRule="atLeast"/>
        </w:trPr>
        <w:tc>
          <w:tcPr>
            <w:tcW w:w="846" w:type="dxa"/>
            <w:vMerge w:val="continue"/>
            <w:tcBorders>
              <w:left w:val="single" w:color="auto" w:sz="4" w:space="0"/>
              <w:right w:val="single" w:color="auto" w:sz="4" w:space="0"/>
            </w:tcBorders>
            <w:vAlign w:val="center"/>
          </w:tcPr>
          <w:p w14:paraId="025B31A0">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7F8B7EDE">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258F1040">
            <w:pPr>
              <w:jc w:val="center"/>
              <w:rPr>
                <w:rFonts w:hint="eastAsia" w:ascii="宋体" w:hAnsi="宋体" w:cs="宋体"/>
                <w:color w:val="auto"/>
                <w:sz w:val="21"/>
                <w:szCs w:val="21"/>
              </w:rPr>
            </w:pPr>
            <w:r>
              <w:rPr>
                <w:rFonts w:ascii="宋体" w:hAnsi="宋体" w:cs="宋体"/>
                <w:color w:val="auto"/>
                <w:sz w:val="21"/>
                <w:szCs w:val="21"/>
              </w:rPr>
              <w:t>锆及其化合物</w:t>
            </w:r>
          </w:p>
        </w:tc>
        <w:tc>
          <w:tcPr>
            <w:tcW w:w="1280" w:type="dxa"/>
            <w:tcBorders>
              <w:top w:val="nil"/>
              <w:left w:val="nil"/>
              <w:bottom w:val="single" w:color="auto" w:sz="4" w:space="0"/>
              <w:right w:val="single" w:color="auto" w:sz="4" w:space="0"/>
            </w:tcBorders>
            <w:vAlign w:val="center"/>
          </w:tcPr>
          <w:p w14:paraId="7C6F2C8E">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500D4476">
            <w:pPr>
              <w:jc w:val="center"/>
              <w:rPr>
                <w:color w:val="auto"/>
                <w:sz w:val="21"/>
                <w:szCs w:val="21"/>
              </w:rPr>
            </w:pPr>
            <w:r>
              <w:rPr>
                <w:color w:val="auto"/>
                <w:sz w:val="21"/>
                <w:szCs w:val="21"/>
              </w:rPr>
              <w:t>0.525</w:t>
            </w:r>
          </w:p>
        </w:tc>
        <w:tc>
          <w:tcPr>
            <w:tcW w:w="1360" w:type="dxa"/>
            <w:tcBorders>
              <w:top w:val="nil"/>
              <w:left w:val="nil"/>
              <w:bottom w:val="single" w:color="auto" w:sz="4" w:space="0"/>
              <w:right w:val="single" w:color="auto" w:sz="4" w:space="0"/>
            </w:tcBorders>
            <w:vAlign w:val="center"/>
          </w:tcPr>
          <w:p w14:paraId="28084CE4">
            <w:pPr>
              <w:jc w:val="center"/>
              <w:rPr>
                <w:color w:val="auto"/>
                <w:sz w:val="21"/>
                <w:szCs w:val="21"/>
              </w:rPr>
            </w:pPr>
            <w:r>
              <w:rPr>
                <w:color w:val="auto"/>
                <w:sz w:val="21"/>
                <w:szCs w:val="21"/>
              </w:rPr>
              <w:t>0.524</w:t>
            </w:r>
          </w:p>
        </w:tc>
        <w:tc>
          <w:tcPr>
            <w:tcW w:w="1320" w:type="dxa"/>
            <w:tcBorders>
              <w:top w:val="nil"/>
              <w:left w:val="nil"/>
              <w:bottom w:val="single" w:color="auto" w:sz="4" w:space="0"/>
              <w:right w:val="single" w:color="auto" w:sz="4" w:space="0"/>
            </w:tcBorders>
            <w:vAlign w:val="center"/>
          </w:tcPr>
          <w:p w14:paraId="617AA17D">
            <w:pPr>
              <w:jc w:val="center"/>
              <w:rPr>
                <w:color w:val="auto"/>
                <w:sz w:val="21"/>
                <w:szCs w:val="21"/>
              </w:rPr>
            </w:pPr>
            <w:r>
              <w:rPr>
                <w:color w:val="auto"/>
                <w:sz w:val="21"/>
                <w:szCs w:val="21"/>
              </w:rPr>
              <w:t>0.001</w:t>
            </w:r>
          </w:p>
        </w:tc>
      </w:tr>
      <w:tr w14:paraId="1B6F1967">
        <w:tblPrEx>
          <w:tblCellMar>
            <w:top w:w="0" w:type="dxa"/>
            <w:left w:w="108" w:type="dxa"/>
            <w:bottom w:w="0" w:type="dxa"/>
            <w:right w:w="108" w:type="dxa"/>
          </w:tblCellMar>
        </w:tblPrEx>
        <w:trPr>
          <w:trHeight w:val="343" w:hRule="atLeast"/>
        </w:trPr>
        <w:tc>
          <w:tcPr>
            <w:tcW w:w="846" w:type="dxa"/>
            <w:vMerge w:val="continue"/>
            <w:tcBorders>
              <w:left w:val="single" w:color="auto" w:sz="4" w:space="0"/>
              <w:right w:val="single" w:color="auto" w:sz="4" w:space="0"/>
            </w:tcBorders>
            <w:vAlign w:val="center"/>
          </w:tcPr>
          <w:p w14:paraId="5B567EEE">
            <w:pPr>
              <w:rPr>
                <w:rFonts w:hint="eastAsia" w:ascii="宋体" w:hAnsi="宋体" w:cs="宋体"/>
                <w:color w:val="auto"/>
                <w:sz w:val="21"/>
                <w:szCs w:val="21"/>
              </w:rPr>
            </w:pPr>
          </w:p>
        </w:tc>
        <w:tc>
          <w:tcPr>
            <w:tcW w:w="992" w:type="dxa"/>
            <w:vMerge w:val="continue"/>
            <w:tcBorders>
              <w:top w:val="nil"/>
              <w:left w:val="single" w:color="auto" w:sz="4" w:space="0"/>
              <w:bottom w:val="single" w:color="000000" w:sz="4" w:space="0"/>
              <w:right w:val="single" w:color="auto" w:sz="4" w:space="0"/>
            </w:tcBorders>
            <w:vAlign w:val="center"/>
          </w:tcPr>
          <w:p w14:paraId="2050692C">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47DF885D">
            <w:pPr>
              <w:jc w:val="center"/>
              <w:rPr>
                <w:rFonts w:hint="eastAsia" w:ascii="宋体" w:hAnsi="宋体" w:cs="宋体"/>
                <w:color w:val="auto"/>
                <w:sz w:val="21"/>
                <w:szCs w:val="21"/>
              </w:rPr>
            </w:pPr>
            <w:r>
              <w:rPr>
                <w:rFonts w:ascii="宋体" w:hAnsi="宋体" w:cs="宋体"/>
                <w:color w:val="auto"/>
                <w:sz w:val="21"/>
                <w:szCs w:val="21"/>
              </w:rPr>
              <w:t>NH</w:t>
            </w:r>
            <w:r>
              <w:rPr>
                <w:rFonts w:ascii="宋体" w:hAnsi="宋体" w:cs="宋体"/>
                <w:color w:val="auto"/>
                <w:sz w:val="21"/>
                <w:szCs w:val="21"/>
                <w:vertAlign w:val="subscript"/>
              </w:rPr>
              <w:t>3</w:t>
            </w:r>
          </w:p>
        </w:tc>
        <w:tc>
          <w:tcPr>
            <w:tcW w:w="1280" w:type="dxa"/>
            <w:tcBorders>
              <w:top w:val="nil"/>
              <w:left w:val="nil"/>
              <w:bottom w:val="single" w:color="auto" w:sz="4" w:space="0"/>
              <w:right w:val="single" w:color="auto" w:sz="4" w:space="0"/>
            </w:tcBorders>
            <w:vAlign w:val="center"/>
          </w:tcPr>
          <w:p w14:paraId="657F2748">
            <w:pPr>
              <w:jc w:val="center"/>
              <w:rPr>
                <w:color w:val="auto"/>
                <w:sz w:val="21"/>
                <w:szCs w:val="21"/>
              </w:rPr>
            </w:pPr>
            <w:r>
              <w:rPr>
                <w:color w:val="auto"/>
                <w:sz w:val="21"/>
                <w:szCs w:val="21"/>
              </w:rPr>
              <w:t xml:space="preserve">t/a </w:t>
            </w:r>
          </w:p>
        </w:tc>
        <w:tc>
          <w:tcPr>
            <w:tcW w:w="1220" w:type="dxa"/>
            <w:tcBorders>
              <w:top w:val="nil"/>
              <w:left w:val="nil"/>
              <w:bottom w:val="single" w:color="auto" w:sz="4" w:space="0"/>
              <w:right w:val="single" w:color="auto" w:sz="4" w:space="0"/>
            </w:tcBorders>
            <w:vAlign w:val="center"/>
          </w:tcPr>
          <w:p w14:paraId="5A12EAA4">
            <w:pPr>
              <w:jc w:val="center"/>
              <w:rPr>
                <w:color w:val="auto"/>
                <w:sz w:val="21"/>
                <w:szCs w:val="21"/>
              </w:rPr>
            </w:pPr>
            <w:r>
              <w:rPr>
                <w:color w:val="auto"/>
                <w:sz w:val="21"/>
                <w:szCs w:val="21"/>
              </w:rPr>
              <w:t>2.402</w:t>
            </w:r>
          </w:p>
        </w:tc>
        <w:tc>
          <w:tcPr>
            <w:tcW w:w="1360" w:type="dxa"/>
            <w:tcBorders>
              <w:top w:val="nil"/>
              <w:left w:val="nil"/>
              <w:bottom w:val="single" w:color="auto" w:sz="4" w:space="0"/>
              <w:right w:val="single" w:color="auto" w:sz="4" w:space="0"/>
            </w:tcBorders>
            <w:vAlign w:val="center"/>
          </w:tcPr>
          <w:p w14:paraId="22C08E97">
            <w:pPr>
              <w:jc w:val="center"/>
              <w:rPr>
                <w:color w:val="auto"/>
                <w:sz w:val="21"/>
                <w:szCs w:val="21"/>
              </w:rPr>
            </w:pPr>
            <w:r>
              <w:rPr>
                <w:color w:val="auto"/>
                <w:sz w:val="21"/>
                <w:szCs w:val="21"/>
              </w:rPr>
              <w:t>2.220</w:t>
            </w:r>
          </w:p>
        </w:tc>
        <w:tc>
          <w:tcPr>
            <w:tcW w:w="1320" w:type="dxa"/>
            <w:tcBorders>
              <w:top w:val="nil"/>
              <w:left w:val="nil"/>
              <w:bottom w:val="single" w:color="auto" w:sz="4" w:space="0"/>
              <w:right w:val="single" w:color="auto" w:sz="4" w:space="0"/>
            </w:tcBorders>
            <w:vAlign w:val="center"/>
          </w:tcPr>
          <w:p w14:paraId="502AF7BE">
            <w:pPr>
              <w:jc w:val="center"/>
              <w:rPr>
                <w:color w:val="auto"/>
                <w:sz w:val="21"/>
                <w:szCs w:val="21"/>
              </w:rPr>
            </w:pPr>
            <w:r>
              <w:rPr>
                <w:color w:val="auto"/>
                <w:sz w:val="21"/>
                <w:szCs w:val="21"/>
              </w:rPr>
              <w:t>0.182</w:t>
            </w:r>
          </w:p>
        </w:tc>
      </w:tr>
      <w:tr w14:paraId="1F4C316E">
        <w:tblPrEx>
          <w:tblCellMar>
            <w:top w:w="0" w:type="dxa"/>
            <w:left w:w="108" w:type="dxa"/>
            <w:bottom w:w="0" w:type="dxa"/>
            <w:right w:w="108" w:type="dxa"/>
          </w:tblCellMar>
        </w:tblPrEx>
        <w:trPr>
          <w:trHeight w:val="343" w:hRule="atLeast"/>
        </w:trPr>
        <w:tc>
          <w:tcPr>
            <w:tcW w:w="846" w:type="dxa"/>
            <w:vMerge w:val="continue"/>
            <w:tcBorders>
              <w:left w:val="single" w:color="auto" w:sz="4" w:space="0"/>
              <w:right w:val="single" w:color="auto" w:sz="4" w:space="0"/>
            </w:tcBorders>
            <w:vAlign w:val="center"/>
          </w:tcPr>
          <w:p w14:paraId="102E550B">
            <w:pPr>
              <w:rPr>
                <w:rFonts w:hint="eastAsia" w:ascii="宋体" w:hAnsi="宋体" w:cs="宋体"/>
                <w:color w:val="auto"/>
                <w:sz w:val="21"/>
                <w:szCs w:val="21"/>
              </w:rPr>
            </w:pPr>
          </w:p>
        </w:tc>
        <w:tc>
          <w:tcPr>
            <w:tcW w:w="992" w:type="dxa"/>
            <w:vMerge w:val="restart"/>
            <w:tcBorders>
              <w:top w:val="nil"/>
              <w:left w:val="nil"/>
              <w:right w:val="single" w:color="auto" w:sz="4" w:space="0"/>
            </w:tcBorders>
            <w:vAlign w:val="center"/>
          </w:tcPr>
          <w:p w14:paraId="5C814B8E">
            <w:pPr>
              <w:jc w:val="center"/>
              <w:rPr>
                <w:rFonts w:hint="eastAsia" w:ascii="宋体" w:hAnsi="宋体" w:cs="宋体"/>
                <w:color w:val="auto"/>
                <w:sz w:val="21"/>
                <w:szCs w:val="21"/>
              </w:rPr>
            </w:pPr>
            <w:r>
              <w:rPr>
                <w:rFonts w:ascii="宋体" w:hAnsi="宋体" w:cs="宋体"/>
                <w:color w:val="auto"/>
                <w:sz w:val="21"/>
                <w:szCs w:val="21"/>
              </w:rPr>
              <w:t>无组织</w:t>
            </w:r>
          </w:p>
        </w:tc>
        <w:tc>
          <w:tcPr>
            <w:tcW w:w="1782" w:type="dxa"/>
            <w:tcBorders>
              <w:top w:val="nil"/>
              <w:left w:val="nil"/>
              <w:bottom w:val="single" w:color="auto" w:sz="4" w:space="0"/>
              <w:right w:val="single" w:color="auto" w:sz="4" w:space="0"/>
            </w:tcBorders>
            <w:vAlign w:val="center"/>
          </w:tcPr>
          <w:p w14:paraId="673C6824">
            <w:pPr>
              <w:jc w:val="center"/>
              <w:rPr>
                <w:rFonts w:hint="eastAsia" w:ascii="宋体" w:hAnsi="宋体" w:cs="宋体"/>
                <w:color w:val="auto"/>
                <w:sz w:val="21"/>
                <w:szCs w:val="21"/>
              </w:rPr>
            </w:pPr>
            <w:r>
              <w:rPr>
                <w:rFonts w:ascii="宋体" w:hAnsi="宋体" w:cs="宋体"/>
                <w:color w:val="auto"/>
                <w:sz w:val="21"/>
                <w:szCs w:val="21"/>
              </w:rPr>
              <w:t>NH</w:t>
            </w:r>
            <w:r>
              <w:rPr>
                <w:rFonts w:ascii="宋体" w:hAnsi="宋体" w:cs="宋体"/>
                <w:color w:val="auto"/>
                <w:sz w:val="21"/>
                <w:szCs w:val="21"/>
                <w:vertAlign w:val="subscript"/>
              </w:rPr>
              <w:t>3</w:t>
            </w:r>
          </w:p>
        </w:tc>
        <w:tc>
          <w:tcPr>
            <w:tcW w:w="1280" w:type="dxa"/>
            <w:tcBorders>
              <w:top w:val="nil"/>
              <w:left w:val="nil"/>
              <w:bottom w:val="single" w:color="auto" w:sz="4" w:space="0"/>
              <w:right w:val="single" w:color="auto" w:sz="4" w:space="0"/>
            </w:tcBorders>
            <w:vAlign w:val="center"/>
          </w:tcPr>
          <w:p w14:paraId="137419F4">
            <w:pPr>
              <w:jc w:val="center"/>
              <w:rPr>
                <w:color w:val="auto"/>
                <w:sz w:val="21"/>
                <w:szCs w:val="21"/>
              </w:rPr>
            </w:pPr>
            <w:bookmarkStart w:id="242" w:name="OLE_LINK151"/>
            <w:r>
              <w:rPr>
                <w:color w:val="auto"/>
                <w:sz w:val="21"/>
                <w:szCs w:val="21"/>
              </w:rPr>
              <w:t>t/a</w:t>
            </w:r>
            <w:bookmarkEnd w:id="242"/>
          </w:p>
        </w:tc>
        <w:tc>
          <w:tcPr>
            <w:tcW w:w="1220" w:type="dxa"/>
            <w:tcBorders>
              <w:top w:val="nil"/>
              <w:left w:val="nil"/>
              <w:bottom w:val="single" w:color="auto" w:sz="4" w:space="0"/>
              <w:right w:val="single" w:color="auto" w:sz="4" w:space="0"/>
            </w:tcBorders>
            <w:vAlign w:val="center"/>
          </w:tcPr>
          <w:p w14:paraId="68145631">
            <w:pPr>
              <w:jc w:val="center"/>
              <w:rPr>
                <w:color w:val="auto"/>
                <w:sz w:val="21"/>
                <w:szCs w:val="21"/>
              </w:rPr>
            </w:pPr>
            <w:r>
              <w:rPr>
                <w:color w:val="auto"/>
                <w:sz w:val="21"/>
                <w:szCs w:val="21"/>
              </w:rPr>
              <w:t>0.45</w:t>
            </w:r>
          </w:p>
        </w:tc>
        <w:tc>
          <w:tcPr>
            <w:tcW w:w="1360" w:type="dxa"/>
            <w:tcBorders>
              <w:top w:val="nil"/>
              <w:left w:val="nil"/>
              <w:bottom w:val="single" w:color="auto" w:sz="4" w:space="0"/>
              <w:right w:val="single" w:color="auto" w:sz="4" w:space="0"/>
            </w:tcBorders>
            <w:vAlign w:val="center"/>
          </w:tcPr>
          <w:p w14:paraId="6F3B8A9D">
            <w:pPr>
              <w:jc w:val="center"/>
              <w:rPr>
                <w:color w:val="auto"/>
                <w:sz w:val="21"/>
                <w:szCs w:val="21"/>
              </w:rPr>
            </w:pPr>
            <w:r>
              <w:rPr>
                <w:color w:val="auto"/>
                <w:sz w:val="21"/>
                <w:szCs w:val="21"/>
              </w:rPr>
              <w:t>0</w:t>
            </w:r>
          </w:p>
        </w:tc>
        <w:tc>
          <w:tcPr>
            <w:tcW w:w="1320" w:type="dxa"/>
            <w:tcBorders>
              <w:top w:val="nil"/>
              <w:left w:val="nil"/>
              <w:bottom w:val="single" w:color="auto" w:sz="4" w:space="0"/>
              <w:right w:val="single" w:color="auto" w:sz="4" w:space="0"/>
            </w:tcBorders>
            <w:vAlign w:val="center"/>
          </w:tcPr>
          <w:p w14:paraId="5A4189B1">
            <w:pPr>
              <w:jc w:val="center"/>
              <w:rPr>
                <w:color w:val="auto"/>
                <w:sz w:val="21"/>
                <w:szCs w:val="21"/>
              </w:rPr>
            </w:pPr>
            <w:r>
              <w:rPr>
                <w:color w:val="auto"/>
                <w:sz w:val="21"/>
                <w:szCs w:val="21"/>
              </w:rPr>
              <w:t>0.45</w:t>
            </w:r>
          </w:p>
        </w:tc>
      </w:tr>
      <w:tr w14:paraId="1EAD4B3C">
        <w:tblPrEx>
          <w:tblCellMar>
            <w:top w:w="0" w:type="dxa"/>
            <w:left w:w="108" w:type="dxa"/>
            <w:bottom w:w="0" w:type="dxa"/>
            <w:right w:w="108" w:type="dxa"/>
          </w:tblCellMar>
        </w:tblPrEx>
        <w:trPr>
          <w:trHeight w:val="343" w:hRule="atLeast"/>
        </w:trPr>
        <w:tc>
          <w:tcPr>
            <w:tcW w:w="846" w:type="dxa"/>
            <w:vMerge w:val="continue"/>
            <w:tcBorders>
              <w:left w:val="single" w:color="auto" w:sz="4" w:space="0"/>
              <w:bottom w:val="single" w:color="auto" w:sz="4" w:space="0"/>
              <w:right w:val="single" w:color="auto" w:sz="4" w:space="0"/>
            </w:tcBorders>
            <w:vAlign w:val="center"/>
          </w:tcPr>
          <w:p w14:paraId="1CF2D467">
            <w:pPr>
              <w:rPr>
                <w:rFonts w:hint="eastAsia" w:ascii="宋体" w:hAnsi="宋体" w:cs="宋体"/>
                <w:color w:val="auto"/>
                <w:sz w:val="21"/>
                <w:szCs w:val="21"/>
              </w:rPr>
            </w:pPr>
          </w:p>
        </w:tc>
        <w:tc>
          <w:tcPr>
            <w:tcW w:w="992" w:type="dxa"/>
            <w:vMerge w:val="continue"/>
            <w:tcBorders>
              <w:left w:val="nil"/>
              <w:bottom w:val="single" w:color="auto" w:sz="4" w:space="0"/>
              <w:right w:val="single" w:color="auto" w:sz="4" w:space="0"/>
            </w:tcBorders>
            <w:vAlign w:val="center"/>
          </w:tcPr>
          <w:p w14:paraId="2ACB3009">
            <w:pPr>
              <w:jc w:val="center"/>
              <w:rPr>
                <w:rFonts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4FFEA116">
            <w:pPr>
              <w:jc w:val="center"/>
              <w:rPr>
                <w:rFonts w:hint="eastAsia" w:ascii="宋体" w:hAnsi="宋体" w:cs="宋体"/>
                <w:color w:val="auto"/>
                <w:sz w:val="21"/>
                <w:szCs w:val="21"/>
              </w:rPr>
            </w:pPr>
            <w:r>
              <w:rPr>
                <w:rFonts w:hint="eastAsia" w:ascii="宋体" w:hAnsi="宋体" w:cs="宋体"/>
                <w:color w:val="auto"/>
                <w:sz w:val="21"/>
                <w:szCs w:val="21"/>
              </w:rPr>
              <w:t>TSP</w:t>
            </w:r>
          </w:p>
        </w:tc>
        <w:tc>
          <w:tcPr>
            <w:tcW w:w="1280" w:type="dxa"/>
            <w:tcBorders>
              <w:top w:val="nil"/>
              <w:left w:val="nil"/>
              <w:bottom w:val="single" w:color="auto" w:sz="4" w:space="0"/>
              <w:right w:val="single" w:color="auto" w:sz="4" w:space="0"/>
            </w:tcBorders>
            <w:vAlign w:val="center"/>
          </w:tcPr>
          <w:p w14:paraId="76769E55">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3FA51ED0">
            <w:pPr>
              <w:jc w:val="center"/>
              <w:rPr>
                <w:rFonts w:hint="eastAsia"/>
                <w:color w:val="auto"/>
                <w:sz w:val="21"/>
                <w:szCs w:val="21"/>
              </w:rPr>
            </w:pPr>
            <w:r>
              <w:rPr>
                <w:rFonts w:hint="eastAsia"/>
                <w:color w:val="auto"/>
                <w:sz w:val="21"/>
                <w:szCs w:val="21"/>
              </w:rPr>
              <w:t>0.843</w:t>
            </w:r>
          </w:p>
        </w:tc>
        <w:tc>
          <w:tcPr>
            <w:tcW w:w="1360" w:type="dxa"/>
            <w:tcBorders>
              <w:top w:val="nil"/>
              <w:left w:val="nil"/>
              <w:bottom w:val="single" w:color="auto" w:sz="4" w:space="0"/>
              <w:right w:val="single" w:color="auto" w:sz="4" w:space="0"/>
            </w:tcBorders>
            <w:vAlign w:val="center"/>
          </w:tcPr>
          <w:p w14:paraId="3C9BD5D3">
            <w:pPr>
              <w:jc w:val="center"/>
              <w:rPr>
                <w:color w:val="auto"/>
                <w:sz w:val="21"/>
                <w:szCs w:val="21"/>
              </w:rPr>
            </w:pPr>
            <w:r>
              <w:rPr>
                <w:rFonts w:hint="eastAsia"/>
                <w:color w:val="auto"/>
                <w:sz w:val="21"/>
                <w:szCs w:val="21"/>
              </w:rPr>
              <w:t>0</w:t>
            </w:r>
          </w:p>
        </w:tc>
        <w:tc>
          <w:tcPr>
            <w:tcW w:w="1320" w:type="dxa"/>
            <w:tcBorders>
              <w:top w:val="nil"/>
              <w:left w:val="nil"/>
              <w:bottom w:val="single" w:color="auto" w:sz="4" w:space="0"/>
              <w:right w:val="single" w:color="auto" w:sz="4" w:space="0"/>
            </w:tcBorders>
            <w:vAlign w:val="center"/>
          </w:tcPr>
          <w:p w14:paraId="4166C556">
            <w:pPr>
              <w:jc w:val="center"/>
              <w:rPr>
                <w:rFonts w:hint="eastAsia"/>
                <w:color w:val="auto"/>
                <w:sz w:val="21"/>
                <w:szCs w:val="21"/>
              </w:rPr>
            </w:pPr>
            <w:r>
              <w:rPr>
                <w:rFonts w:hint="eastAsia"/>
                <w:color w:val="auto"/>
                <w:sz w:val="21"/>
                <w:szCs w:val="21"/>
              </w:rPr>
              <w:t>0.843</w:t>
            </w:r>
          </w:p>
        </w:tc>
      </w:tr>
      <w:tr w14:paraId="56B01CBF">
        <w:tblPrEx>
          <w:tblCellMar>
            <w:top w:w="0" w:type="dxa"/>
            <w:left w:w="108" w:type="dxa"/>
            <w:bottom w:w="0" w:type="dxa"/>
            <w:right w:w="108" w:type="dxa"/>
          </w:tblCellMar>
        </w:tblPrEx>
        <w:trPr>
          <w:trHeight w:val="360" w:hRule="atLeast"/>
        </w:trPr>
        <w:tc>
          <w:tcPr>
            <w:tcW w:w="1838" w:type="dxa"/>
            <w:gridSpan w:val="2"/>
            <w:vMerge w:val="restart"/>
            <w:tcBorders>
              <w:top w:val="single" w:color="auto" w:sz="4" w:space="0"/>
              <w:left w:val="single" w:color="auto" w:sz="4" w:space="0"/>
              <w:bottom w:val="single" w:color="auto" w:sz="4" w:space="0"/>
              <w:right w:val="single" w:color="auto" w:sz="4" w:space="0"/>
            </w:tcBorders>
            <w:vAlign w:val="center"/>
          </w:tcPr>
          <w:p w14:paraId="4911128A">
            <w:pPr>
              <w:jc w:val="center"/>
              <w:rPr>
                <w:rFonts w:hint="eastAsia" w:ascii="宋体" w:hAnsi="宋体" w:cs="宋体"/>
                <w:color w:val="auto"/>
                <w:sz w:val="21"/>
                <w:szCs w:val="21"/>
              </w:rPr>
            </w:pPr>
            <w:r>
              <w:rPr>
                <w:rFonts w:ascii="宋体" w:hAnsi="宋体" w:cs="宋体"/>
                <w:color w:val="auto"/>
                <w:sz w:val="21"/>
                <w:szCs w:val="21"/>
              </w:rPr>
              <w:t>废水</w:t>
            </w:r>
          </w:p>
        </w:tc>
        <w:tc>
          <w:tcPr>
            <w:tcW w:w="1782" w:type="dxa"/>
            <w:tcBorders>
              <w:top w:val="nil"/>
              <w:left w:val="nil"/>
              <w:bottom w:val="single" w:color="auto" w:sz="4" w:space="0"/>
              <w:right w:val="single" w:color="auto" w:sz="4" w:space="0"/>
            </w:tcBorders>
            <w:vAlign w:val="center"/>
          </w:tcPr>
          <w:p w14:paraId="2F012036">
            <w:pPr>
              <w:jc w:val="center"/>
              <w:rPr>
                <w:rFonts w:hint="eastAsia" w:ascii="宋体" w:hAnsi="宋体" w:cs="宋体"/>
                <w:color w:val="auto"/>
                <w:sz w:val="21"/>
                <w:szCs w:val="21"/>
              </w:rPr>
            </w:pPr>
            <w:r>
              <w:rPr>
                <w:rFonts w:ascii="宋体" w:hAnsi="宋体" w:cs="宋体"/>
                <w:color w:val="auto"/>
                <w:sz w:val="21"/>
                <w:szCs w:val="21"/>
              </w:rPr>
              <w:t>废水量</w:t>
            </w:r>
          </w:p>
        </w:tc>
        <w:tc>
          <w:tcPr>
            <w:tcW w:w="1280" w:type="dxa"/>
            <w:tcBorders>
              <w:top w:val="nil"/>
              <w:left w:val="nil"/>
              <w:bottom w:val="single" w:color="auto" w:sz="4" w:space="0"/>
              <w:right w:val="single" w:color="auto" w:sz="4" w:space="0"/>
            </w:tcBorders>
            <w:vAlign w:val="center"/>
          </w:tcPr>
          <w:p w14:paraId="593D768E">
            <w:pPr>
              <w:jc w:val="center"/>
              <w:rPr>
                <w:color w:val="auto"/>
                <w:sz w:val="21"/>
                <w:szCs w:val="21"/>
              </w:rPr>
            </w:pPr>
            <w:r>
              <w:rPr>
                <w:color w:val="auto"/>
                <w:sz w:val="21"/>
                <w:szCs w:val="21"/>
              </w:rPr>
              <w:t>m</w:t>
            </w:r>
            <w:r>
              <w:rPr>
                <w:color w:val="auto"/>
                <w:sz w:val="21"/>
                <w:szCs w:val="21"/>
                <w:vertAlign w:val="superscript"/>
              </w:rPr>
              <w:t>3</w:t>
            </w:r>
            <w:r>
              <w:rPr>
                <w:color w:val="auto"/>
                <w:sz w:val="21"/>
                <w:szCs w:val="21"/>
              </w:rPr>
              <w:t>/a</w:t>
            </w:r>
          </w:p>
        </w:tc>
        <w:tc>
          <w:tcPr>
            <w:tcW w:w="1220" w:type="dxa"/>
            <w:tcBorders>
              <w:top w:val="nil"/>
              <w:left w:val="nil"/>
              <w:bottom w:val="single" w:color="auto" w:sz="4" w:space="0"/>
              <w:right w:val="single" w:color="auto" w:sz="4" w:space="0"/>
            </w:tcBorders>
            <w:vAlign w:val="center"/>
          </w:tcPr>
          <w:p w14:paraId="25FA159B">
            <w:pPr>
              <w:jc w:val="center"/>
              <w:rPr>
                <w:color w:val="auto"/>
                <w:sz w:val="21"/>
                <w:szCs w:val="21"/>
              </w:rPr>
            </w:pPr>
            <w:r>
              <w:rPr>
                <w:color w:val="auto"/>
                <w:sz w:val="21"/>
                <w:szCs w:val="21"/>
              </w:rPr>
              <w:t>1683463</w:t>
            </w:r>
          </w:p>
        </w:tc>
        <w:tc>
          <w:tcPr>
            <w:tcW w:w="1360" w:type="dxa"/>
            <w:tcBorders>
              <w:top w:val="nil"/>
              <w:left w:val="nil"/>
              <w:bottom w:val="single" w:color="auto" w:sz="4" w:space="0"/>
              <w:right w:val="single" w:color="auto" w:sz="4" w:space="0"/>
            </w:tcBorders>
            <w:vAlign w:val="center"/>
          </w:tcPr>
          <w:p w14:paraId="061BA3FE">
            <w:pPr>
              <w:jc w:val="center"/>
              <w:rPr>
                <w:color w:val="auto"/>
                <w:sz w:val="21"/>
                <w:szCs w:val="21"/>
              </w:rPr>
            </w:pPr>
            <w:r>
              <w:rPr>
                <w:color w:val="auto"/>
                <w:sz w:val="21"/>
                <w:szCs w:val="21"/>
              </w:rPr>
              <w:t>1644503</w:t>
            </w:r>
          </w:p>
        </w:tc>
        <w:tc>
          <w:tcPr>
            <w:tcW w:w="1320" w:type="dxa"/>
            <w:tcBorders>
              <w:top w:val="nil"/>
              <w:left w:val="nil"/>
              <w:bottom w:val="single" w:color="auto" w:sz="4" w:space="0"/>
              <w:right w:val="single" w:color="auto" w:sz="4" w:space="0"/>
            </w:tcBorders>
            <w:vAlign w:val="center"/>
          </w:tcPr>
          <w:p w14:paraId="6D6F0217">
            <w:pPr>
              <w:jc w:val="center"/>
              <w:rPr>
                <w:color w:val="auto"/>
                <w:sz w:val="21"/>
                <w:szCs w:val="21"/>
              </w:rPr>
            </w:pPr>
            <w:r>
              <w:rPr>
                <w:color w:val="auto"/>
                <w:sz w:val="21"/>
                <w:szCs w:val="21"/>
              </w:rPr>
              <w:t>38960</w:t>
            </w:r>
          </w:p>
        </w:tc>
      </w:tr>
      <w:tr w14:paraId="24B86F83">
        <w:tblPrEx>
          <w:tblCellMar>
            <w:top w:w="0" w:type="dxa"/>
            <w:left w:w="108" w:type="dxa"/>
            <w:bottom w:w="0" w:type="dxa"/>
            <w:right w:w="108" w:type="dxa"/>
          </w:tblCellMar>
        </w:tblPrEx>
        <w:trPr>
          <w:trHeight w:val="390" w:hRule="atLeast"/>
        </w:trPr>
        <w:tc>
          <w:tcPr>
            <w:tcW w:w="1838" w:type="dxa"/>
            <w:gridSpan w:val="2"/>
            <w:vMerge w:val="continue"/>
            <w:tcBorders>
              <w:top w:val="single" w:color="auto" w:sz="4" w:space="0"/>
              <w:left w:val="single" w:color="auto" w:sz="4" w:space="0"/>
              <w:bottom w:val="single" w:color="auto" w:sz="4" w:space="0"/>
              <w:right w:val="single" w:color="auto" w:sz="4" w:space="0"/>
            </w:tcBorders>
            <w:vAlign w:val="center"/>
          </w:tcPr>
          <w:p w14:paraId="3D4BB6E9">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1CB4D539">
            <w:pPr>
              <w:jc w:val="center"/>
              <w:rPr>
                <w:color w:val="auto"/>
                <w:sz w:val="21"/>
                <w:szCs w:val="21"/>
              </w:rPr>
            </w:pPr>
            <w:r>
              <w:rPr>
                <w:color w:val="auto"/>
                <w:sz w:val="21"/>
                <w:szCs w:val="21"/>
              </w:rPr>
              <w:t>COD</w:t>
            </w:r>
          </w:p>
        </w:tc>
        <w:tc>
          <w:tcPr>
            <w:tcW w:w="1280" w:type="dxa"/>
            <w:tcBorders>
              <w:top w:val="nil"/>
              <w:left w:val="nil"/>
              <w:bottom w:val="single" w:color="auto" w:sz="4" w:space="0"/>
              <w:right w:val="single" w:color="auto" w:sz="4" w:space="0"/>
            </w:tcBorders>
            <w:vAlign w:val="center"/>
          </w:tcPr>
          <w:p w14:paraId="6064B79C">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12E4B597">
            <w:pPr>
              <w:jc w:val="center"/>
              <w:rPr>
                <w:color w:val="auto"/>
                <w:sz w:val="21"/>
                <w:szCs w:val="21"/>
              </w:rPr>
            </w:pPr>
            <w:r>
              <w:rPr>
                <w:color w:val="auto"/>
                <w:sz w:val="21"/>
                <w:szCs w:val="21"/>
              </w:rPr>
              <w:t>34.213</w:t>
            </w:r>
          </w:p>
        </w:tc>
        <w:tc>
          <w:tcPr>
            <w:tcW w:w="1360" w:type="dxa"/>
            <w:tcBorders>
              <w:top w:val="nil"/>
              <w:left w:val="nil"/>
              <w:bottom w:val="single" w:color="auto" w:sz="4" w:space="0"/>
              <w:right w:val="single" w:color="auto" w:sz="4" w:space="0"/>
            </w:tcBorders>
            <w:vAlign w:val="center"/>
          </w:tcPr>
          <w:p w14:paraId="6B171421">
            <w:pPr>
              <w:jc w:val="center"/>
              <w:rPr>
                <w:color w:val="auto"/>
                <w:sz w:val="21"/>
                <w:szCs w:val="21"/>
              </w:rPr>
            </w:pPr>
            <w:r>
              <w:rPr>
                <w:color w:val="auto"/>
                <w:sz w:val="21"/>
                <w:szCs w:val="21"/>
              </w:rPr>
              <w:t xml:space="preserve">32.76 </w:t>
            </w:r>
          </w:p>
        </w:tc>
        <w:tc>
          <w:tcPr>
            <w:tcW w:w="1320" w:type="dxa"/>
            <w:tcBorders>
              <w:top w:val="nil"/>
              <w:left w:val="nil"/>
              <w:bottom w:val="single" w:color="auto" w:sz="4" w:space="0"/>
              <w:right w:val="single" w:color="auto" w:sz="4" w:space="0"/>
            </w:tcBorders>
            <w:vAlign w:val="center"/>
          </w:tcPr>
          <w:p w14:paraId="6F6C319E">
            <w:pPr>
              <w:jc w:val="center"/>
              <w:rPr>
                <w:color w:val="auto"/>
                <w:sz w:val="21"/>
                <w:szCs w:val="21"/>
              </w:rPr>
            </w:pPr>
            <w:r>
              <w:rPr>
                <w:color w:val="auto"/>
                <w:sz w:val="21"/>
                <w:szCs w:val="21"/>
              </w:rPr>
              <w:t>1.451</w:t>
            </w:r>
          </w:p>
        </w:tc>
      </w:tr>
      <w:tr w14:paraId="57EC89B9">
        <w:tblPrEx>
          <w:tblCellMar>
            <w:top w:w="0" w:type="dxa"/>
            <w:left w:w="108" w:type="dxa"/>
            <w:bottom w:w="0" w:type="dxa"/>
            <w:right w:w="108" w:type="dxa"/>
          </w:tblCellMar>
        </w:tblPrEx>
        <w:trPr>
          <w:trHeight w:val="360" w:hRule="atLeast"/>
        </w:trPr>
        <w:tc>
          <w:tcPr>
            <w:tcW w:w="1838" w:type="dxa"/>
            <w:gridSpan w:val="2"/>
            <w:vMerge w:val="continue"/>
            <w:tcBorders>
              <w:top w:val="single" w:color="auto" w:sz="4" w:space="0"/>
              <w:left w:val="single" w:color="auto" w:sz="4" w:space="0"/>
              <w:bottom w:val="single" w:color="auto" w:sz="4" w:space="0"/>
              <w:right w:val="single" w:color="auto" w:sz="4" w:space="0"/>
            </w:tcBorders>
            <w:vAlign w:val="center"/>
          </w:tcPr>
          <w:p w14:paraId="529ACAD5">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176429D8">
            <w:pPr>
              <w:jc w:val="center"/>
              <w:rPr>
                <w:color w:val="auto"/>
                <w:sz w:val="21"/>
                <w:szCs w:val="21"/>
              </w:rPr>
            </w:pPr>
            <w:r>
              <w:rPr>
                <w:color w:val="auto"/>
                <w:sz w:val="21"/>
                <w:szCs w:val="21"/>
              </w:rPr>
              <w:t>BOD</w:t>
            </w:r>
          </w:p>
        </w:tc>
        <w:tc>
          <w:tcPr>
            <w:tcW w:w="1280" w:type="dxa"/>
            <w:tcBorders>
              <w:top w:val="nil"/>
              <w:left w:val="nil"/>
              <w:bottom w:val="single" w:color="auto" w:sz="4" w:space="0"/>
              <w:right w:val="single" w:color="auto" w:sz="4" w:space="0"/>
            </w:tcBorders>
            <w:vAlign w:val="center"/>
          </w:tcPr>
          <w:p w14:paraId="78A5FC7C">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12D42A05">
            <w:pPr>
              <w:jc w:val="center"/>
              <w:rPr>
                <w:color w:val="auto"/>
                <w:sz w:val="21"/>
                <w:szCs w:val="21"/>
              </w:rPr>
            </w:pPr>
            <w:r>
              <w:rPr>
                <w:color w:val="auto"/>
                <w:sz w:val="21"/>
                <w:szCs w:val="21"/>
              </w:rPr>
              <w:t>0.360</w:t>
            </w:r>
          </w:p>
        </w:tc>
        <w:tc>
          <w:tcPr>
            <w:tcW w:w="1360" w:type="dxa"/>
            <w:tcBorders>
              <w:top w:val="nil"/>
              <w:left w:val="nil"/>
              <w:bottom w:val="single" w:color="auto" w:sz="4" w:space="0"/>
              <w:right w:val="single" w:color="auto" w:sz="4" w:space="0"/>
            </w:tcBorders>
            <w:vAlign w:val="center"/>
          </w:tcPr>
          <w:p w14:paraId="705CB6CA">
            <w:pPr>
              <w:jc w:val="center"/>
              <w:rPr>
                <w:color w:val="auto"/>
                <w:sz w:val="21"/>
                <w:szCs w:val="21"/>
              </w:rPr>
            </w:pPr>
            <w:r>
              <w:rPr>
                <w:color w:val="auto"/>
                <w:sz w:val="21"/>
                <w:szCs w:val="21"/>
              </w:rPr>
              <w:t xml:space="preserve">0.00 </w:t>
            </w:r>
          </w:p>
        </w:tc>
        <w:tc>
          <w:tcPr>
            <w:tcW w:w="1320" w:type="dxa"/>
            <w:tcBorders>
              <w:top w:val="nil"/>
              <w:left w:val="nil"/>
              <w:bottom w:val="single" w:color="auto" w:sz="4" w:space="0"/>
              <w:right w:val="single" w:color="auto" w:sz="4" w:space="0"/>
            </w:tcBorders>
            <w:vAlign w:val="center"/>
          </w:tcPr>
          <w:p w14:paraId="2FDD4D55">
            <w:pPr>
              <w:jc w:val="center"/>
              <w:rPr>
                <w:color w:val="auto"/>
                <w:sz w:val="21"/>
                <w:szCs w:val="21"/>
              </w:rPr>
            </w:pPr>
            <w:r>
              <w:rPr>
                <w:color w:val="auto"/>
                <w:sz w:val="21"/>
                <w:szCs w:val="21"/>
              </w:rPr>
              <w:t>0.36</w:t>
            </w:r>
          </w:p>
        </w:tc>
      </w:tr>
      <w:tr w14:paraId="5E121F8A">
        <w:tblPrEx>
          <w:tblCellMar>
            <w:top w:w="0" w:type="dxa"/>
            <w:left w:w="108" w:type="dxa"/>
            <w:bottom w:w="0" w:type="dxa"/>
            <w:right w:w="108" w:type="dxa"/>
          </w:tblCellMar>
        </w:tblPrEx>
        <w:trPr>
          <w:trHeight w:val="343" w:hRule="atLeast"/>
        </w:trPr>
        <w:tc>
          <w:tcPr>
            <w:tcW w:w="1838" w:type="dxa"/>
            <w:gridSpan w:val="2"/>
            <w:vMerge w:val="continue"/>
            <w:tcBorders>
              <w:top w:val="single" w:color="auto" w:sz="4" w:space="0"/>
              <w:left w:val="single" w:color="auto" w:sz="4" w:space="0"/>
              <w:bottom w:val="single" w:color="auto" w:sz="4" w:space="0"/>
              <w:right w:val="single" w:color="auto" w:sz="4" w:space="0"/>
            </w:tcBorders>
            <w:vAlign w:val="center"/>
          </w:tcPr>
          <w:p w14:paraId="286C61DD">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60F32516">
            <w:pPr>
              <w:jc w:val="center"/>
              <w:rPr>
                <w:color w:val="auto"/>
                <w:sz w:val="21"/>
                <w:szCs w:val="21"/>
              </w:rPr>
            </w:pPr>
            <w:r>
              <w:rPr>
                <w:color w:val="auto"/>
                <w:sz w:val="21"/>
                <w:szCs w:val="21"/>
              </w:rPr>
              <w:t>SS</w:t>
            </w:r>
          </w:p>
        </w:tc>
        <w:tc>
          <w:tcPr>
            <w:tcW w:w="1280" w:type="dxa"/>
            <w:tcBorders>
              <w:top w:val="nil"/>
              <w:left w:val="nil"/>
              <w:bottom w:val="single" w:color="auto" w:sz="4" w:space="0"/>
              <w:right w:val="single" w:color="auto" w:sz="4" w:space="0"/>
            </w:tcBorders>
            <w:vAlign w:val="center"/>
          </w:tcPr>
          <w:p w14:paraId="6AE2B9F8">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17055E66">
            <w:pPr>
              <w:jc w:val="center"/>
              <w:rPr>
                <w:color w:val="auto"/>
                <w:sz w:val="21"/>
                <w:szCs w:val="21"/>
              </w:rPr>
            </w:pPr>
            <w:r>
              <w:rPr>
                <w:color w:val="auto"/>
                <w:sz w:val="21"/>
                <w:szCs w:val="21"/>
              </w:rPr>
              <w:t>1.200</w:t>
            </w:r>
          </w:p>
        </w:tc>
        <w:tc>
          <w:tcPr>
            <w:tcW w:w="1360" w:type="dxa"/>
            <w:tcBorders>
              <w:top w:val="nil"/>
              <w:left w:val="nil"/>
              <w:bottom w:val="single" w:color="auto" w:sz="4" w:space="0"/>
              <w:right w:val="single" w:color="auto" w:sz="4" w:space="0"/>
            </w:tcBorders>
            <w:vAlign w:val="center"/>
          </w:tcPr>
          <w:p w14:paraId="440339E8">
            <w:pPr>
              <w:jc w:val="center"/>
              <w:rPr>
                <w:color w:val="auto"/>
                <w:sz w:val="21"/>
                <w:szCs w:val="21"/>
              </w:rPr>
            </w:pPr>
            <w:r>
              <w:rPr>
                <w:color w:val="auto"/>
                <w:sz w:val="21"/>
                <w:szCs w:val="21"/>
              </w:rPr>
              <w:t xml:space="preserve">0.00 </w:t>
            </w:r>
          </w:p>
        </w:tc>
        <w:tc>
          <w:tcPr>
            <w:tcW w:w="1320" w:type="dxa"/>
            <w:tcBorders>
              <w:top w:val="nil"/>
              <w:left w:val="nil"/>
              <w:bottom w:val="single" w:color="auto" w:sz="4" w:space="0"/>
              <w:right w:val="single" w:color="auto" w:sz="4" w:space="0"/>
            </w:tcBorders>
            <w:vAlign w:val="center"/>
          </w:tcPr>
          <w:p w14:paraId="4AD164BA">
            <w:pPr>
              <w:jc w:val="center"/>
              <w:rPr>
                <w:color w:val="auto"/>
                <w:sz w:val="21"/>
                <w:szCs w:val="21"/>
              </w:rPr>
            </w:pPr>
            <w:r>
              <w:rPr>
                <w:color w:val="auto"/>
                <w:sz w:val="21"/>
                <w:szCs w:val="21"/>
              </w:rPr>
              <w:t>1.20</w:t>
            </w:r>
          </w:p>
        </w:tc>
      </w:tr>
      <w:tr w14:paraId="2480FCC8">
        <w:tblPrEx>
          <w:tblCellMar>
            <w:top w:w="0" w:type="dxa"/>
            <w:left w:w="108" w:type="dxa"/>
            <w:bottom w:w="0" w:type="dxa"/>
            <w:right w:w="108" w:type="dxa"/>
          </w:tblCellMar>
        </w:tblPrEx>
        <w:trPr>
          <w:trHeight w:val="343" w:hRule="atLeast"/>
        </w:trPr>
        <w:tc>
          <w:tcPr>
            <w:tcW w:w="1838" w:type="dxa"/>
            <w:gridSpan w:val="2"/>
            <w:vMerge w:val="continue"/>
            <w:tcBorders>
              <w:top w:val="single" w:color="auto" w:sz="4" w:space="0"/>
              <w:left w:val="single" w:color="auto" w:sz="4" w:space="0"/>
              <w:bottom w:val="single" w:color="auto" w:sz="4" w:space="0"/>
              <w:right w:val="single" w:color="auto" w:sz="4" w:space="0"/>
            </w:tcBorders>
            <w:vAlign w:val="center"/>
          </w:tcPr>
          <w:p w14:paraId="7850E784">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52CEB2DB">
            <w:pPr>
              <w:jc w:val="center"/>
              <w:rPr>
                <w:rFonts w:hint="eastAsia" w:ascii="宋体" w:hAnsi="宋体" w:cs="宋体"/>
                <w:color w:val="auto"/>
                <w:sz w:val="21"/>
                <w:szCs w:val="21"/>
              </w:rPr>
            </w:pPr>
            <w:r>
              <w:rPr>
                <w:rFonts w:ascii="宋体" w:hAnsi="宋体" w:cs="宋体"/>
                <w:color w:val="auto"/>
                <w:sz w:val="21"/>
                <w:szCs w:val="21"/>
              </w:rPr>
              <w:t>氨氮</w:t>
            </w:r>
          </w:p>
        </w:tc>
        <w:tc>
          <w:tcPr>
            <w:tcW w:w="1280" w:type="dxa"/>
            <w:tcBorders>
              <w:top w:val="nil"/>
              <w:left w:val="nil"/>
              <w:bottom w:val="single" w:color="auto" w:sz="4" w:space="0"/>
              <w:right w:val="single" w:color="auto" w:sz="4" w:space="0"/>
            </w:tcBorders>
            <w:vAlign w:val="center"/>
          </w:tcPr>
          <w:p w14:paraId="5EB057CB">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2E24F797">
            <w:pPr>
              <w:jc w:val="center"/>
              <w:rPr>
                <w:color w:val="auto"/>
                <w:sz w:val="21"/>
                <w:szCs w:val="21"/>
              </w:rPr>
            </w:pPr>
            <w:r>
              <w:rPr>
                <w:color w:val="auto"/>
                <w:sz w:val="21"/>
                <w:szCs w:val="21"/>
              </w:rPr>
              <w:t>0.072</w:t>
            </w:r>
          </w:p>
        </w:tc>
        <w:tc>
          <w:tcPr>
            <w:tcW w:w="1360" w:type="dxa"/>
            <w:tcBorders>
              <w:top w:val="nil"/>
              <w:left w:val="nil"/>
              <w:bottom w:val="single" w:color="auto" w:sz="4" w:space="0"/>
              <w:right w:val="single" w:color="auto" w:sz="4" w:space="0"/>
            </w:tcBorders>
            <w:vAlign w:val="center"/>
          </w:tcPr>
          <w:p w14:paraId="5B3B2476">
            <w:pPr>
              <w:jc w:val="center"/>
              <w:rPr>
                <w:color w:val="auto"/>
                <w:sz w:val="21"/>
                <w:szCs w:val="21"/>
              </w:rPr>
            </w:pPr>
            <w:r>
              <w:rPr>
                <w:color w:val="auto"/>
                <w:sz w:val="21"/>
                <w:szCs w:val="21"/>
              </w:rPr>
              <w:t xml:space="preserve">0.00 </w:t>
            </w:r>
          </w:p>
        </w:tc>
        <w:tc>
          <w:tcPr>
            <w:tcW w:w="1320" w:type="dxa"/>
            <w:tcBorders>
              <w:top w:val="nil"/>
              <w:left w:val="nil"/>
              <w:bottom w:val="single" w:color="auto" w:sz="4" w:space="0"/>
              <w:right w:val="single" w:color="auto" w:sz="4" w:space="0"/>
            </w:tcBorders>
            <w:vAlign w:val="center"/>
          </w:tcPr>
          <w:p w14:paraId="06F29D16">
            <w:pPr>
              <w:jc w:val="center"/>
              <w:rPr>
                <w:color w:val="auto"/>
                <w:sz w:val="21"/>
                <w:szCs w:val="21"/>
              </w:rPr>
            </w:pPr>
            <w:r>
              <w:rPr>
                <w:color w:val="auto"/>
                <w:sz w:val="21"/>
                <w:szCs w:val="21"/>
              </w:rPr>
              <w:t>0.07</w:t>
            </w:r>
          </w:p>
        </w:tc>
      </w:tr>
      <w:tr w14:paraId="4EDBF123">
        <w:tblPrEx>
          <w:tblCellMar>
            <w:top w:w="0" w:type="dxa"/>
            <w:left w:w="108" w:type="dxa"/>
            <w:bottom w:w="0" w:type="dxa"/>
            <w:right w:w="108" w:type="dxa"/>
          </w:tblCellMar>
        </w:tblPrEx>
        <w:trPr>
          <w:trHeight w:val="313" w:hRule="atLeast"/>
        </w:trPr>
        <w:tc>
          <w:tcPr>
            <w:tcW w:w="1838" w:type="dxa"/>
            <w:gridSpan w:val="2"/>
            <w:vMerge w:val="continue"/>
            <w:tcBorders>
              <w:top w:val="single" w:color="auto" w:sz="4" w:space="0"/>
              <w:left w:val="single" w:color="auto" w:sz="4" w:space="0"/>
              <w:bottom w:val="single" w:color="auto" w:sz="4" w:space="0"/>
              <w:right w:val="single" w:color="auto" w:sz="4" w:space="0"/>
            </w:tcBorders>
            <w:vAlign w:val="center"/>
          </w:tcPr>
          <w:p w14:paraId="036E4972">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39044426">
            <w:pPr>
              <w:jc w:val="center"/>
              <w:rPr>
                <w:rFonts w:hint="eastAsia" w:ascii="宋体" w:hAnsi="宋体" w:cs="宋体"/>
                <w:color w:val="auto"/>
                <w:sz w:val="21"/>
                <w:szCs w:val="21"/>
              </w:rPr>
            </w:pPr>
            <w:r>
              <w:rPr>
                <w:rFonts w:ascii="宋体" w:hAnsi="宋体" w:cs="宋体"/>
                <w:color w:val="auto"/>
                <w:sz w:val="21"/>
                <w:szCs w:val="21"/>
              </w:rPr>
              <w:t>总磷</w:t>
            </w:r>
          </w:p>
        </w:tc>
        <w:tc>
          <w:tcPr>
            <w:tcW w:w="1280" w:type="dxa"/>
            <w:tcBorders>
              <w:top w:val="nil"/>
              <w:left w:val="nil"/>
              <w:bottom w:val="single" w:color="auto" w:sz="4" w:space="0"/>
              <w:right w:val="single" w:color="auto" w:sz="4" w:space="0"/>
            </w:tcBorders>
            <w:vAlign w:val="center"/>
          </w:tcPr>
          <w:p w14:paraId="73B7464F">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5911431A">
            <w:pPr>
              <w:jc w:val="center"/>
              <w:rPr>
                <w:color w:val="auto"/>
                <w:sz w:val="21"/>
                <w:szCs w:val="21"/>
              </w:rPr>
            </w:pPr>
            <w:r>
              <w:rPr>
                <w:color w:val="auto"/>
                <w:sz w:val="21"/>
                <w:szCs w:val="21"/>
              </w:rPr>
              <w:t>0.010</w:t>
            </w:r>
          </w:p>
        </w:tc>
        <w:tc>
          <w:tcPr>
            <w:tcW w:w="1360" w:type="dxa"/>
            <w:tcBorders>
              <w:top w:val="nil"/>
              <w:left w:val="nil"/>
              <w:bottom w:val="single" w:color="auto" w:sz="4" w:space="0"/>
              <w:right w:val="single" w:color="auto" w:sz="4" w:space="0"/>
            </w:tcBorders>
            <w:vAlign w:val="center"/>
          </w:tcPr>
          <w:p w14:paraId="064826C6">
            <w:pPr>
              <w:jc w:val="center"/>
              <w:rPr>
                <w:color w:val="auto"/>
                <w:sz w:val="21"/>
                <w:szCs w:val="21"/>
              </w:rPr>
            </w:pPr>
            <w:r>
              <w:rPr>
                <w:color w:val="auto"/>
                <w:sz w:val="21"/>
                <w:szCs w:val="21"/>
              </w:rPr>
              <w:t xml:space="preserve">0.00 </w:t>
            </w:r>
          </w:p>
        </w:tc>
        <w:tc>
          <w:tcPr>
            <w:tcW w:w="1320" w:type="dxa"/>
            <w:tcBorders>
              <w:top w:val="nil"/>
              <w:left w:val="nil"/>
              <w:bottom w:val="single" w:color="auto" w:sz="4" w:space="0"/>
              <w:right w:val="single" w:color="auto" w:sz="4" w:space="0"/>
            </w:tcBorders>
            <w:vAlign w:val="center"/>
          </w:tcPr>
          <w:p w14:paraId="190423BE">
            <w:pPr>
              <w:jc w:val="center"/>
              <w:rPr>
                <w:color w:val="auto"/>
                <w:sz w:val="21"/>
                <w:szCs w:val="21"/>
              </w:rPr>
            </w:pPr>
            <w:r>
              <w:rPr>
                <w:color w:val="auto"/>
                <w:sz w:val="21"/>
                <w:szCs w:val="21"/>
              </w:rPr>
              <w:t>0.01</w:t>
            </w:r>
          </w:p>
        </w:tc>
      </w:tr>
      <w:tr w14:paraId="4A5346FC">
        <w:tblPrEx>
          <w:tblCellMar>
            <w:top w:w="0" w:type="dxa"/>
            <w:left w:w="108" w:type="dxa"/>
            <w:bottom w:w="0" w:type="dxa"/>
            <w:right w:w="108" w:type="dxa"/>
          </w:tblCellMar>
        </w:tblPrEx>
        <w:trPr>
          <w:trHeight w:val="313" w:hRule="atLeast"/>
        </w:trPr>
        <w:tc>
          <w:tcPr>
            <w:tcW w:w="1838" w:type="dxa"/>
            <w:gridSpan w:val="2"/>
            <w:vMerge w:val="continue"/>
            <w:tcBorders>
              <w:top w:val="single" w:color="auto" w:sz="4" w:space="0"/>
              <w:left w:val="single" w:color="auto" w:sz="4" w:space="0"/>
              <w:bottom w:val="single" w:color="auto" w:sz="4" w:space="0"/>
              <w:right w:val="single" w:color="auto" w:sz="4" w:space="0"/>
            </w:tcBorders>
            <w:vAlign w:val="center"/>
          </w:tcPr>
          <w:p w14:paraId="66BE9FA2">
            <w:pPr>
              <w:rPr>
                <w:rFonts w:hint="eastAsia" w:ascii="宋体" w:hAnsi="宋体" w:cs="宋体"/>
                <w:color w:val="auto"/>
                <w:sz w:val="21"/>
                <w:szCs w:val="21"/>
              </w:rPr>
            </w:pPr>
          </w:p>
        </w:tc>
        <w:tc>
          <w:tcPr>
            <w:tcW w:w="1782" w:type="dxa"/>
            <w:tcBorders>
              <w:top w:val="nil"/>
              <w:left w:val="nil"/>
              <w:bottom w:val="single" w:color="auto" w:sz="4" w:space="0"/>
              <w:right w:val="single" w:color="auto" w:sz="4" w:space="0"/>
            </w:tcBorders>
            <w:vAlign w:val="center"/>
          </w:tcPr>
          <w:p w14:paraId="39FEF47A">
            <w:pPr>
              <w:jc w:val="center"/>
              <w:rPr>
                <w:rFonts w:hint="eastAsia" w:ascii="宋体" w:hAnsi="宋体" w:cs="宋体"/>
                <w:color w:val="auto"/>
                <w:sz w:val="21"/>
                <w:szCs w:val="21"/>
              </w:rPr>
            </w:pPr>
            <w:r>
              <w:rPr>
                <w:rFonts w:ascii="宋体" w:hAnsi="宋体" w:cs="宋体"/>
                <w:color w:val="auto"/>
                <w:sz w:val="21"/>
                <w:szCs w:val="21"/>
              </w:rPr>
              <w:t>总氮</w:t>
            </w:r>
          </w:p>
        </w:tc>
        <w:tc>
          <w:tcPr>
            <w:tcW w:w="1280" w:type="dxa"/>
            <w:tcBorders>
              <w:top w:val="nil"/>
              <w:left w:val="nil"/>
              <w:bottom w:val="single" w:color="auto" w:sz="4" w:space="0"/>
              <w:right w:val="single" w:color="auto" w:sz="4" w:space="0"/>
            </w:tcBorders>
            <w:vAlign w:val="center"/>
          </w:tcPr>
          <w:p w14:paraId="04F5B202">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60BAA75A">
            <w:pPr>
              <w:jc w:val="center"/>
              <w:rPr>
                <w:color w:val="auto"/>
                <w:sz w:val="21"/>
                <w:szCs w:val="21"/>
              </w:rPr>
            </w:pPr>
            <w:r>
              <w:rPr>
                <w:color w:val="auto"/>
                <w:sz w:val="21"/>
                <w:szCs w:val="21"/>
              </w:rPr>
              <w:t>0.120</w:t>
            </w:r>
          </w:p>
        </w:tc>
        <w:tc>
          <w:tcPr>
            <w:tcW w:w="1360" w:type="dxa"/>
            <w:tcBorders>
              <w:top w:val="nil"/>
              <w:left w:val="nil"/>
              <w:bottom w:val="single" w:color="auto" w:sz="4" w:space="0"/>
              <w:right w:val="single" w:color="auto" w:sz="4" w:space="0"/>
            </w:tcBorders>
            <w:vAlign w:val="center"/>
          </w:tcPr>
          <w:p w14:paraId="73B32379">
            <w:pPr>
              <w:jc w:val="center"/>
              <w:rPr>
                <w:color w:val="auto"/>
                <w:sz w:val="21"/>
                <w:szCs w:val="21"/>
              </w:rPr>
            </w:pPr>
            <w:r>
              <w:rPr>
                <w:color w:val="auto"/>
                <w:sz w:val="21"/>
                <w:szCs w:val="21"/>
              </w:rPr>
              <w:t xml:space="preserve">0.00 </w:t>
            </w:r>
          </w:p>
        </w:tc>
        <w:tc>
          <w:tcPr>
            <w:tcW w:w="1320" w:type="dxa"/>
            <w:tcBorders>
              <w:top w:val="nil"/>
              <w:left w:val="nil"/>
              <w:bottom w:val="single" w:color="auto" w:sz="4" w:space="0"/>
              <w:right w:val="single" w:color="auto" w:sz="4" w:space="0"/>
            </w:tcBorders>
            <w:vAlign w:val="center"/>
          </w:tcPr>
          <w:p w14:paraId="3A64DBDC">
            <w:pPr>
              <w:jc w:val="center"/>
              <w:rPr>
                <w:color w:val="auto"/>
                <w:sz w:val="21"/>
                <w:szCs w:val="21"/>
              </w:rPr>
            </w:pPr>
            <w:r>
              <w:rPr>
                <w:color w:val="auto"/>
                <w:sz w:val="21"/>
                <w:szCs w:val="21"/>
              </w:rPr>
              <w:t>0.12</w:t>
            </w:r>
          </w:p>
        </w:tc>
      </w:tr>
      <w:tr w14:paraId="73B3C438">
        <w:tblPrEx>
          <w:tblCellMar>
            <w:top w:w="0" w:type="dxa"/>
            <w:left w:w="108" w:type="dxa"/>
            <w:bottom w:w="0" w:type="dxa"/>
            <w:right w:w="108" w:type="dxa"/>
          </w:tblCellMar>
        </w:tblPrEx>
        <w:trPr>
          <w:trHeight w:val="450" w:hRule="atLeast"/>
        </w:trPr>
        <w:tc>
          <w:tcPr>
            <w:tcW w:w="1838" w:type="dxa"/>
            <w:gridSpan w:val="2"/>
            <w:tcBorders>
              <w:top w:val="single" w:color="auto" w:sz="4" w:space="0"/>
              <w:left w:val="single" w:color="auto" w:sz="4" w:space="0"/>
              <w:bottom w:val="single" w:color="auto" w:sz="4" w:space="0"/>
              <w:right w:val="single" w:color="auto" w:sz="4" w:space="0"/>
            </w:tcBorders>
            <w:vAlign w:val="center"/>
          </w:tcPr>
          <w:p w14:paraId="77D716FF">
            <w:pPr>
              <w:jc w:val="center"/>
              <w:rPr>
                <w:rFonts w:hint="eastAsia" w:ascii="宋体" w:hAnsi="宋体" w:cs="宋体"/>
                <w:color w:val="auto"/>
                <w:sz w:val="21"/>
                <w:szCs w:val="21"/>
              </w:rPr>
            </w:pPr>
            <w:r>
              <w:rPr>
                <w:rFonts w:ascii="宋体" w:hAnsi="宋体" w:cs="宋体"/>
                <w:color w:val="auto"/>
                <w:sz w:val="21"/>
                <w:szCs w:val="21"/>
              </w:rPr>
              <w:t>固废</w:t>
            </w:r>
          </w:p>
        </w:tc>
        <w:tc>
          <w:tcPr>
            <w:tcW w:w="1782" w:type="dxa"/>
            <w:tcBorders>
              <w:top w:val="nil"/>
              <w:left w:val="nil"/>
              <w:bottom w:val="single" w:color="auto" w:sz="4" w:space="0"/>
              <w:right w:val="single" w:color="auto" w:sz="4" w:space="0"/>
            </w:tcBorders>
            <w:vAlign w:val="center"/>
          </w:tcPr>
          <w:p w14:paraId="119A3298">
            <w:pPr>
              <w:jc w:val="center"/>
              <w:rPr>
                <w:rFonts w:hint="eastAsia" w:ascii="宋体" w:hAnsi="宋体" w:cs="宋体"/>
                <w:color w:val="auto"/>
                <w:sz w:val="21"/>
                <w:szCs w:val="21"/>
              </w:rPr>
            </w:pPr>
            <w:r>
              <w:rPr>
                <w:rFonts w:ascii="宋体" w:hAnsi="宋体" w:cs="宋体"/>
                <w:color w:val="auto"/>
                <w:sz w:val="21"/>
                <w:szCs w:val="21"/>
              </w:rPr>
              <w:t>固体废物</w:t>
            </w:r>
          </w:p>
        </w:tc>
        <w:tc>
          <w:tcPr>
            <w:tcW w:w="1280" w:type="dxa"/>
            <w:tcBorders>
              <w:top w:val="nil"/>
              <w:left w:val="nil"/>
              <w:bottom w:val="single" w:color="auto" w:sz="4" w:space="0"/>
              <w:right w:val="single" w:color="auto" w:sz="4" w:space="0"/>
            </w:tcBorders>
            <w:vAlign w:val="center"/>
          </w:tcPr>
          <w:p w14:paraId="6393B1BB">
            <w:pPr>
              <w:jc w:val="center"/>
              <w:rPr>
                <w:color w:val="auto"/>
                <w:sz w:val="21"/>
                <w:szCs w:val="21"/>
              </w:rPr>
            </w:pPr>
            <w:r>
              <w:rPr>
                <w:color w:val="auto"/>
                <w:sz w:val="21"/>
                <w:szCs w:val="21"/>
              </w:rPr>
              <w:t>t/a</w:t>
            </w:r>
          </w:p>
        </w:tc>
        <w:tc>
          <w:tcPr>
            <w:tcW w:w="1220" w:type="dxa"/>
            <w:tcBorders>
              <w:top w:val="nil"/>
              <w:left w:val="nil"/>
              <w:bottom w:val="single" w:color="auto" w:sz="4" w:space="0"/>
              <w:right w:val="single" w:color="auto" w:sz="4" w:space="0"/>
            </w:tcBorders>
            <w:vAlign w:val="center"/>
          </w:tcPr>
          <w:p w14:paraId="34163BD6">
            <w:pPr>
              <w:jc w:val="center"/>
              <w:rPr>
                <w:color w:val="auto"/>
                <w:sz w:val="21"/>
                <w:szCs w:val="21"/>
              </w:rPr>
            </w:pPr>
            <w:r>
              <w:rPr>
                <w:color w:val="auto"/>
                <w:sz w:val="21"/>
                <w:szCs w:val="21"/>
              </w:rPr>
              <w:t>33.55</w:t>
            </w:r>
          </w:p>
        </w:tc>
        <w:tc>
          <w:tcPr>
            <w:tcW w:w="1360" w:type="dxa"/>
            <w:tcBorders>
              <w:top w:val="nil"/>
              <w:left w:val="nil"/>
              <w:bottom w:val="single" w:color="auto" w:sz="4" w:space="0"/>
              <w:right w:val="single" w:color="auto" w:sz="4" w:space="0"/>
            </w:tcBorders>
            <w:vAlign w:val="center"/>
          </w:tcPr>
          <w:p w14:paraId="54023F9B">
            <w:pPr>
              <w:jc w:val="center"/>
              <w:rPr>
                <w:color w:val="auto"/>
                <w:sz w:val="21"/>
                <w:szCs w:val="21"/>
              </w:rPr>
            </w:pPr>
            <w:r>
              <w:rPr>
                <w:color w:val="auto"/>
                <w:sz w:val="21"/>
                <w:szCs w:val="21"/>
              </w:rPr>
              <w:t>33.55</w:t>
            </w:r>
          </w:p>
        </w:tc>
        <w:tc>
          <w:tcPr>
            <w:tcW w:w="1320" w:type="dxa"/>
            <w:tcBorders>
              <w:top w:val="nil"/>
              <w:left w:val="nil"/>
              <w:bottom w:val="single" w:color="auto" w:sz="4" w:space="0"/>
              <w:right w:val="single" w:color="auto" w:sz="4" w:space="0"/>
            </w:tcBorders>
            <w:vAlign w:val="center"/>
          </w:tcPr>
          <w:p w14:paraId="754F065B">
            <w:pPr>
              <w:jc w:val="center"/>
              <w:rPr>
                <w:color w:val="auto"/>
                <w:sz w:val="21"/>
                <w:szCs w:val="21"/>
              </w:rPr>
            </w:pPr>
            <w:r>
              <w:rPr>
                <w:color w:val="auto"/>
                <w:sz w:val="21"/>
                <w:szCs w:val="21"/>
              </w:rPr>
              <w:t>0.00</w:t>
            </w:r>
          </w:p>
        </w:tc>
      </w:tr>
    </w:tbl>
    <w:p w14:paraId="527B9F97">
      <w:pPr>
        <w:pStyle w:val="1304"/>
        <w:rPr>
          <w:color w:val="auto"/>
        </w:rPr>
      </w:pPr>
    </w:p>
    <w:p w14:paraId="6BA63872">
      <w:pPr>
        <w:pStyle w:val="4"/>
        <w:rPr>
          <w:color w:val="auto"/>
        </w:rPr>
      </w:pPr>
      <w:r>
        <w:rPr>
          <w:color w:val="auto"/>
        </w:rPr>
        <w:t>非正常工况分析</w:t>
      </w:r>
    </w:p>
    <w:p w14:paraId="62D07063">
      <w:pPr>
        <w:pStyle w:val="132"/>
        <w:rPr>
          <w:rFonts w:eastAsia="黑体"/>
          <w:b/>
          <w:color w:val="auto"/>
          <w:sz w:val="26"/>
          <w:szCs w:val="20"/>
        </w:rPr>
      </w:pPr>
      <w:r>
        <w:rPr>
          <w:rFonts w:hint="eastAsia"/>
          <w:color w:val="auto"/>
        </w:rPr>
        <w:t>本项目主要处理废酸、废碱液，同时生产拟薄水铝石和催化剂产品，非正常工况主要为考虑环境保护措施处理效率降低情形，本次按照环保措施失效考虑，根据污染物排放量，选取硫酸铵干燥布袋除尘器失效和催化剂生产载体焙烧和催化剂焙烧SCR脱硝措施失效计算，</w:t>
      </w:r>
      <w:bookmarkStart w:id="243" w:name="_Hlk193967239"/>
      <w:r>
        <w:rPr>
          <w:rFonts w:hint="eastAsia"/>
          <w:color w:val="auto"/>
        </w:rPr>
        <w:t>污染物非正常排放情况见表3.5-2。</w:t>
      </w:r>
      <w:bookmarkEnd w:id="243"/>
    </w:p>
    <w:p w14:paraId="71747348">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环保设施处理效率降低造成非正常排放源强一览表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243"/>
        <w:gridCol w:w="1654"/>
        <w:gridCol w:w="1504"/>
        <w:gridCol w:w="1202"/>
        <w:gridCol w:w="1058"/>
        <w:gridCol w:w="1125"/>
      </w:tblGrid>
      <w:tr w14:paraId="56EC82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77" w:type="pct"/>
            <w:vMerge w:val="restart"/>
            <w:vAlign w:val="center"/>
          </w:tcPr>
          <w:p w14:paraId="1B7791E3">
            <w:pPr>
              <w:pStyle w:val="129"/>
              <w:widowControl w:val="0"/>
              <w:rPr>
                <w:color w:val="auto"/>
              </w:rPr>
            </w:pPr>
            <w:bookmarkStart w:id="244" w:name="_Hlk193967230"/>
            <w:r>
              <w:rPr>
                <w:rFonts w:hint="eastAsia"/>
                <w:color w:val="auto"/>
              </w:rPr>
              <w:t>点源名称</w:t>
            </w:r>
          </w:p>
        </w:tc>
        <w:tc>
          <w:tcPr>
            <w:tcW w:w="941" w:type="pct"/>
            <w:vMerge w:val="restart"/>
            <w:vAlign w:val="center"/>
          </w:tcPr>
          <w:p w14:paraId="55246756">
            <w:pPr>
              <w:pStyle w:val="129"/>
              <w:widowControl w:val="0"/>
              <w:rPr>
                <w:color w:val="auto"/>
              </w:rPr>
            </w:pPr>
            <w:r>
              <w:rPr>
                <w:rFonts w:hint="eastAsia"/>
                <w:color w:val="auto"/>
              </w:rPr>
              <w:t>排气筒高度</w:t>
            </w:r>
          </w:p>
        </w:tc>
        <w:tc>
          <w:tcPr>
            <w:tcW w:w="856" w:type="pct"/>
            <w:vMerge w:val="restart"/>
            <w:vAlign w:val="center"/>
          </w:tcPr>
          <w:p w14:paraId="709D3F15">
            <w:pPr>
              <w:pStyle w:val="129"/>
              <w:widowControl w:val="0"/>
              <w:rPr>
                <w:color w:val="auto"/>
              </w:rPr>
            </w:pPr>
            <w:r>
              <w:rPr>
                <w:rFonts w:hint="eastAsia"/>
                <w:color w:val="auto"/>
              </w:rPr>
              <w:t>烟气流量</w:t>
            </w:r>
          </w:p>
        </w:tc>
        <w:tc>
          <w:tcPr>
            <w:tcW w:w="1927" w:type="pct"/>
            <w:gridSpan w:val="3"/>
            <w:vAlign w:val="center"/>
          </w:tcPr>
          <w:p w14:paraId="5B89F799">
            <w:pPr>
              <w:pStyle w:val="129"/>
              <w:widowControl w:val="0"/>
              <w:rPr>
                <w:color w:val="auto"/>
              </w:rPr>
            </w:pPr>
            <w:r>
              <w:rPr>
                <w:rFonts w:hint="eastAsia" w:cs="宋体"/>
                <w:color w:val="auto"/>
              </w:rPr>
              <w:t>评价因子源强</w:t>
            </w:r>
          </w:p>
        </w:tc>
      </w:tr>
      <w:tr w14:paraId="2A3AABB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77" w:type="pct"/>
            <w:vMerge w:val="continue"/>
            <w:vAlign w:val="center"/>
          </w:tcPr>
          <w:p w14:paraId="4A657A21">
            <w:pPr>
              <w:pStyle w:val="129"/>
              <w:widowControl w:val="0"/>
              <w:rPr>
                <w:color w:val="auto"/>
              </w:rPr>
            </w:pPr>
          </w:p>
        </w:tc>
        <w:tc>
          <w:tcPr>
            <w:tcW w:w="941" w:type="pct"/>
            <w:vMerge w:val="continue"/>
            <w:vAlign w:val="center"/>
          </w:tcPr>
          <w:p w14:paraId="320B2B04">
            <w:pPr>
              <w:pStyle w:val="129"/>
              <w:widowControl w:val="0"/>
              <w:rPr>
                <w:color w:val="auto"/>
              </w:rPr>
            </w:pPr>
          </w:p>
        </w:tc>
        <w:tc>
          <w:tcPr>
            <w:tcW w:w="856" w:type="pct"/>
            <w:vMerge w:val="continue"/>
            <w:vAlign w:val="center"/>
          </w:tcPr>
          <w:p w14:paraId="717E08EC">
            <w:pPr>
              <w:pStyle w:val="129"/>
              <w:widowControl w:val="0"/>
              <w:rPr>
                <w:color w:val="auto"/>
              </w:rPr>
            </w:pPr>
          </w:p>
        </w:tc>
        <w:tc>
          <w:tcPr>
            <w:tcW w:w="684" w:type="pct"/>
            <w:vAlign w:val="center"/>
          </w:tcPr>
          <w:p w14:paraId="0B294916">
            <w:pPr>
              <w:pStyle w:val="129"/>
              <w:widowControl w:val="0"/>
              <w:rPr>
                <w:color w:val="auto"/>
              </w:rPr>
            </w:pPr>
            <w:r>
              <w:rPr>
                <w:rFonts w:hint="eastAsia"/>
                <w:color w:val="auto"/>
              </w:rPr>
              <w:t>颗粒物</w:t>
            </w:r>
          </w:p>
        </w:tc>
        <w:tc>
          <w:tcPr>
            <w:tcW w:w="602" w:type="pct"/>
            <w:vAlign w:val="center"/>
          </w:tcPr>
          <w:p w14:paraId="49E59481">
            <w:pPr>
              <w:pStyle w:val="129"/>
              <w:widowControl w:val="0"/>
              <w:rPr>
                <w:color w:val="auto"/>
              </w:rPr>
            </w:pPr>
            <w:r>
              <w:rPr>
                <w:rFonts w:hint="eastAsia"/>
                <w:color w:val="auto"/>
              </w:rPr>
              <w:t>NOx</w:t>
            </w:r>
          </w:p>
        </w:tc>
        <w:tc>
          <w:tcPr>
            <w:tcW w:w="640" w:type="pct"/>
            <w:vAlign w:val="center"/>
          </w:tcPr>
          <w:p w14:paraId="077EE598">
            <w:pPr>
              <w:pStyle w:val="129"/>
              <w:widowControl w:val="0"/>
              <w:rPr>
                <w:color w:val="auto"/>
              </w:rPr>
            </w:pPr>
            <w:r>
              <w:rPr>
                <w:rFonts w:hint="eastAsia"/>
                <w:color w:val="auto"/>
              </w:rPr>
              <w:t>NH</w:t>
            </w:r>
            <w:r>
              <w:rPr>
                <w:rFonts w:hint="eastAsia"/>
                <w:color w:val="auto"/>
                <w:vertAlign w:val="subscript"/>
              </w:rPr>
              <w:t>3</w:t>
            </w:r>
          </w:p>
        </w:tc>
      </w:tr>
      <w:tr w14:paraId="46BC31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77" w:type="pct"/>
            <w:vAlign w:val="center"/>
          </w:tcPr>
          <w:p w14:paraId="27D99D56">
            <w:pPr>
              <w:pStyle w:val="129"/>
              <w:widowControl w:val="0"/>
              <w:rPr>
                <w:color w:val="auto"/>
              </w:rPr>
            </w:pPr>
            <w:r>
              <w:rPr>
                <w:color w:val="auto"/>
              </w:rPr>
              <w:t>单位</w:t>
            </w:r>
          </w:p>
        </w:tc>
        <w:tc>
          <w:tcPr>
            <w:tcW w:w="941" w:type="pct"/>
            <w:vAlign w:val="center"/>
          </w:tcPr>
          <w:p w14:paraId="6275C5A1">
            <w:pPr>
              <w:pStyle w:val="129"/>
              <w:widowControl w:val="0"/>
              <w:rPr>
                <w:color w:val="auto"/>
              </w:rPr>
            </w:pPr>
            <w:r>
              <w:rPr>
                <w:color w:val="auto"/>
              </w:rPr>
              <w:t>H(m)</w:t>
            </w:r>
          </w:p>
        </w:tc>
        <w:tc>
          <w:tcPr>
            <w:tcW w:w="856" w:type="pct"/>
            <w:vAlign w:val="center"/>
          </w:tcPr>
          <w:p w14:paraId="5B2BA613">
            <w:pPr>
              <w:pStyle w:val="129"/>
              <w:widowControl w:val="0"/>
              <w:rPr>
                <w:color w:val="auto"/>
              </w:rPr>
            </w:pPr>
            <w:r>
              <w:rPr>
                <w:color w:val="auto"/>
              </w:rPr>
              <w:t>V</w:t>
            </w:r>
            <w:r>
              <w:rPr>
                <w:rFonts w:hint="eastAsia"/>
                <w:color w:val="auto"/>
              </w:rPr>
              <w:t>/N</w:t>
            </w:r>
            <w:r>
              <w:rPr>
                <w:color w:val="auto"/>
              </w:rPr>
              <w:t>m</w:t>
            </w:r>
            <w:r>
              <w:rPr>
                <w:color w:val="auto"/>
                <w:vertAlign w:val="superscript"/>
              </w:rPr>
              <w:t>3</w:t>
            </w:r>
            <w:r>
              <w:rPr>
                <w:color w:val="auto"/>
              </w:rPr>
              <w:t>/h</w:t>
            </w:r>
          </w:p>
        </w:tc>
        <w:tc>
          <w:tcPr>
            <w:tcW w:w="684" w:type="pct"/>
            <w:vAlign w:val="center"/>
          </w:tcPr>
          <w:p w14:paraId="348F1905">
            <w:pPr>
              <w:pStyle w:val="129"/>
              <w:widowControl w:val="0"/>
              <w:rPr>
                <w:color w:val="auto"/>
              </w:rPr>
            </w:pPr>
            <w:r>
              <w:rPr>
                <w:color w:val="auto"/>
              </w:rPr>
              <w:t>kg/h</w:t>
            </w:r>
          </w:p>
        </w:tc>
        <w:tc>
          <w:tcPr>
            <w:tcW w:w="602" w:type="pct"/>
            <w:vAlign w:val="center"/>
          </w:tcPr>
          <w:p w14:paraId="70BFA0CB">
            <w:pPr>
              <w:pStyle w:val="129"/>
              <w:widowControl w:val="0"/>
              <w:rPr>
                <w:color w:val="auto"/>
              </w:rPr>
            </w:pPr>
            <w:r>
              <w:rPr>
                <w:color w:val="auto"/>
              </w:rPr>
              <w:t>kg/h</w:t>
            </w:r>
          </w:p>
        </w:tc>
        <w:tc>
          <w:tcPr>
            <w:tcW w:w="640" w:type="pct"/>
            <w:vAlign w:val="center"/>
          </w:tcPr>
          <w:p w14:paraId="02886CA2">
            <w:pPr>
              <w:pStyle w:val="129"/>
              <w:widowControl w:val="0"/>
              <w:rPr>
                <w:color w:val="auto"/>
              </w:rPr>
            </w:pPr>
            <w:r>
              <w:rPr>
                <w:color w:val="auto"/>
              </w:rPr>
              <w:t>kg/h</w:t>
            </w:r>
          </w:p>
        </w:tc>
      </w:tr>
      <w:tr w14:paraId="267D821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77" w:type="pct"/>
            <w:vAlign w:val="center"/>
          </w:tcPr>
          <w:p w14:paraId="3CB3CF3E">
            <w:pPr>
              <w:pStyle w:val="129"/>
              <w:widowControl w:val="0"/>
              <w:rPr>
                <w:color w:val="auto"/>
              </w:rPr>
            </w:pPr>
            <w:r>
              <w:rPr>
                <w:rFonts w:hint="eastAsia"/>
                <w:color w:val="auto"/>
              </w:rPr>
              <w:t>硫酸铵干燥包装排口（DA002）</w:t>
            </w:r>
          </w:p>
        </w:tc>
        <w:tc>
          <w:tcPr>
            <w:tcW w:w="941" w:type="pct"/>
            <w:vAlign w:val="center"/>
          </w:tcPr>
          <w:p w14:paraId="59225B7B">
            <w:pPr>
              <w:pStyle w:val="129"/>
              <w:widowControl w:val="0"/>
              <w:rPr>
                <w:color w:val="auto"/>
              </w:rPr>
            </w:pPr>
            <w:r>
              <w:rPr>
                <w:rFonts w:hint="eastAsia"/>
                <w:color w:val="auto"/>
              </w:rPr>
              <w:t>17</w:t>
            </w:r>
          </w:p>
        </w:tc>
        <w:tc>
          <w:tcPr>
            <w:tcW w:w="856" w:type="pct"/>
            <w:vAlign w:val="center"/>
          </w:tcPr>
          <w:p w14:paraId="161C7559">
            <w:pPr>
              <w:pStyle w:val="129"/>
              <w:widowControl w:val="0"/>
              <w:rPr>
                <w:color w:val="auto"/>
              </w:rPr>
            </w:pPr>
            <w:r>
              <w:rPr>
                <w:rFonts w:hint="eastAsia"/>
                <w:color w:val="auto"/>
              </w:rPr>
              <w:t>8000</w:t>
            </w:r>
          </w:p>
        </w:tc>
        <w:tc>
          <w:tcPr>
            <w:tcW w:w="684" w:type="pct"/>
            <w:vAlign w:val="center"/>
          </w:tcPr>
          <w:p w14:paraId="5CCE8DE1">
            <w:pPr>
              <w:pStyle w:val="129"/>
              <w:widowControl w:val="0"/>
              <w:rPr>
                <w:color w:val="auto"/>
              </w:rPr>
            </w:pPr>
            <w:r>
              <w:rPr>
                <w:rFonts w:hint="eastAsia"/>
                <w:color w:val="auto"/>
              </w:rPr>
              <w:t>142.38</w:t>
            </w:r>
          </w:p>
        </w:tc>
        <w:tc>
          <w:tcPr>
            <w:tcW w:w="602" w:type="pct"/>
            <w:vAlign w:val="center"/>
          </w:tcPr>
          <w:p w14:paraId="7B25D391">
            <w:pPr>
              <w:pStyle w:val="129"/>
              <w:widowControl w:val="0"/>
              <w:rPr>
                <w:color w:val="auto"/>
              </w:rPr>
            </w:pPr>
            <w:r>
              <w:rPr>
                <w:rFonts w:hint="eastAsia"/>
                <w:color w:val="auto"/>
              </w:rPr>
              <w:t>/</w:t>
            </w:r>
          </w:p>
        </w:tc>
        <w:tc>
          <w:tcPr>
            <w:tcW w:w="640" w:type="pct"/>
            <w:vAlign w:val="center"/>
          </w:tcPr>
          <w:p w14:paraId="753251EA">
            <w:pPr>
              <w:pStyle w:val="129"/>
              <w:widowControl w:val="0"/>
              <w:rPr>
                <w:color w:val="auto"/>
              </w:rPr>
            </w:pPr>
            <w:r>
              <w:rPr>
                <w:rFonts w:hint="eastAsia"/>
                <w:color w:val="auto"/>
              </w:rPr>
              <w:t>5.29</w:t>
            </w:r>
          </w:p>
        </w:tc>
      </w:tr>
      <w:tr w14:paraId="377211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277" w:type="pct"/>
            <w:vAlign w:val="center"/>
          </w:tcPr>
          <w:p w14:paraId="37F528A4">
            <w:pPr>
              <w:pStyle w:val="129"/>
              <w:widowControl w:val="0"/>
              <w:rPr>
                <w:color w:val="auto"/>
              </w:rPr>
            </w:pPr>
            <w:r>
              <w:rPr>
                <w:rFonts w:hint="eastAsia"/>
                <w:color w:val="auto"/>
              </w:rPr>
              <w:t>催化剂生产焙烧废气总排口（DA007）</w:t>
            </w:r>
          </w:p>
        </w:tc>
        <w:tc>
          <w:tcPr>
            <w:tcW w:w="941" w:type="pct"/>
            <w:vAlign w:val="center"/>
          </w:tcPr>
          <w:p w14:paraId="5324E575">
            <w:pPr>
              <w:pStyle w:val="129"/>
              <w:widowControl w:val="0"/>
              <w:rPr>
                <w:color w:val="auto"/>
              </w:rPr>
            </w:pPr>
            <w:r>
              <w:rPr>
                <w:rFonts w:hint="eastAsia"/>
                <w:color w:val="auto"/>
              </w:rPr>
              <w:t>17</w:t>
            </w:r>
          </w:p>
        </w:tc>
        <w:tc>
          <w:tcPr>
            <w:tcW w:w="856" w:type="pct"/>
            <w:vAlign w:val="center"/>
          </w:tcPr>
          <w:p w14:paraId="49839717">
            <w:pPr>
              <w:pStyle w:val="129"/>
              <w:widowControl w:val="0"/>
              <w:rPr>
                <w:color w:val="auto"/>
              </w:rPr>
            </w:pPr>
            <w:r>
              <w:rPr>
                <w:rFonts w:hint="eastAsia"/>
                <w:color w:val="auto"/>
              </w:rPr>
              <w:t>5800</w:t>
            </w:r>
          </w:p>
        </w:tc>
        <w:tc>
          <w:tcPr>
            <w:tcW w:w="684" w:type="pct"/>
            <w:vAlign w:val="center"/>
          </w:tcPr>
          <w:p w14:paraId="5848222C">
            <w:pPr>
              <w:pStyle w:val="129"/>
              <w:widowControl w:val="0"/>
              <w:rPr>
                <w:color w:val="auto"/>
              </w:rPr>
            </w:pPr>
            <w:r>
              <w:rPr>
                <w:rFonts w:hint="eastAsia"/>
                <w:color w:val="auto"/>
              </w:rPr>
              <w:t>0.06</w:t>
            </w:r>
          </w:p>
        </w:tc>
        <w:tc>
          <w:tcPr>
            <w:tcW w:w="602" w:type="pct"/>
            <w:vAlign w:val="center"/>
          </w:tcPr>
          <w:p w14:paraId="6253E380">
            <w:pPr>
              <w:pStyle w:val="129"/>
              <w:widowControl w:val="0"/>
              <w:rPr>
                <w:color w:val="auto"/>
              </w:rPr>
            </w:pPr>
            <w:r>
              <w:rPr>
                <w:rFonts w:hint="eastAsia"/>
                <w:color w:val="auto"/>
              </w:rPr>
              <w:t>4.94</w:t>
            </w:r>
          </w:p>
        </w:tc>
        <w:tc>
          <w:tcPr>
            <w:tcW w:w="640" w:type="pct"/>
            <w:vAlign w:val="center"/>
          </w:tcPr>
          <w:p w14:paraId="474B8675">
            <w:pPr>
              <w:pStyle w:val="129"/>
              <w:widowControl w:val="0"/>
              <w:rPr>
                <w:color w:val="auto"/>
              </w:rPr>
            </w:pPr>
            <w:r>
              <w:rPr>
                <w:rFonts w:hint="eastAsia"/>
                <w:color w:val="auto"/>
              </w:rPr>
              <w:t>0.01</w:t>
            </w:r>
          </w:p>
        </w:tc>
      </w:tr>
      <w:bookmarkEnd w:id="244"/>
    </w:tbl>
    <w:p w14:paraId="2E290ECC">
      <w:pPr>
        <w:pStyle w:val="1304"/>
        <w:rPr>
          <w:color w:val="auto"/>
        </w:rPr>
      </w:pPr>
    </w:p>
    <w:p w14:paraId="7829738F">
      <w:pPr>
        <w:pStyle w:val="3"/>
        <w:rPr>
          <w:color w:val="auto"/>
        </w:rPr>
      </w:pPr>
      <w:bookmarkStart w:id="245" w:name="_Toc229930127"/>
      <w:r>
        <w:rPr>
          <w:color w:val="auto"/>
        </w:rPr>
        <w:t>碳排放分析</w:t>
      </w:r>
      <w:bookmarkEnd w:id="245"/>
    </w:p>
    <w:p w14:paraId="694331C7">
      <w:pPr>
        <w:pStyle w:val="4"/>
        <w:rPr>
          <w:color w:val="auto"/>
        </w:rPr>
      </w:pPr>
      <w:r>
        <w:rPr>
          <w:color w:val="auto"/>
        </w:rPr>
        <w:t>碳排放核算</w:t>
      </w:r>
    </w:p>
    <w:p w14:paraId="51D990CF">
      <w:pPr>
        <w:pStyle w:val="132"/>
        <w:rPr>
          <w:color w:val="auto"/>
        </w:rPr>
      </w:pPr>
      <w:r>
        <w:rPr>
          <w:rFonts w:hint="eastAsia"/>
          <w:color w:val="auto"/>
        </w:rPr>
        <w:t>本项目碳排放核算参照《</w:t>
      </w:r>
      <w:bookmarkStart w:id="246" w:name="OLE_LINK2"/>
      <w:r>
        <w:rPr>
          <w:rFonts w:hint="eastAsia"/>
          <w:color w:val="auto"/>
        </w:rPr>
        <w:t>碳排放核算与报告要求</w:t>
      </w:r>
      <w:bookmarkEnd w:id="246"/>
      <w:r>
        <w:rPr>
          <w:rFonts w:hint="eastAsia"/>
          <w:color w:val="auto"/>
        </w:rPr>
        <w:t xml:space="preserve"> 第10部分：化工生产企业》（GB/T32151. 10-2023）。</w:t>
      </w:r>
    </w:p>
    <w:p w14:paraId="22953629">
      <w:pPr>
        <w:pStyle w:val="132"/>
        <w:rPr>
          <w:color w:val="auto"/>
        </w:rPr>
      </w:pPr>
      <w:r>
        <w:rPr>
          <w:rFonts w:hint="eastAsia"/>
          <w:color w:val="auto"/>
        </w:rPr>
        <w:t>化工企业碳排放主要包括化石燃料燃烧二氧化碳（CO</w:t>
      </w:r>
      <w:r>
        <w:rPr>
          <w:rFonts w:hint="eastAsia"/>
          <w:color w:val="auto"/>
          <w:vertAlign w:val="subscript"/>
        </w:rPr>
        <w:t>2</w:t>
      </w:r>
      <w:r>
        <w:rPr>
          <w:rFonts w:hint="eastAsia"/>
          <w:color w:val="auto"/>
        </w:rPr>
        <w:t>）排放、工业生产过程 CO</w:t>
      </w:r>
      <w:r>
        <w:rPr>
          <w:rFonts w:hint="eastAsia"/>
          <w:color w:val="auto"/>
          <w:vertAlign w:val="subscript"/>
        </w:rPr>
        <w:t>2</w:t>
      </w:r>
      <w:r>
        <w:rPr>
          <w:rFonts w:hint="eastAsia"/>
          <w:color w:val="auto"/>
        </w:rPr>
        <w:t xml:space="preserve"> 排放、净购入电力和热力隐含的CO</w:t>
      </w:r>
      <w:r>
        <w:rPr>
          <w:rFonts w:hint="eastAsia"/>
          <w:color w:val="auto"/>
          <w:vertAlign w:val="subscript"/>
        </w:rPr>
        <w:t>2</w:t>
      </w:r>
      <w:r>
        <w:rPr>
          <w:rFonts w:hint="eastAsia"/>
          <w:color w:val="auto"/>
        </w:rPr>
        <w:t>排放。</w:t>
      </w:r>
    </w:p>
    <w:p w14:paraId="514B7805">
      <w:pPr>
        <w:pStyle w:val="132"/>
        <w:rPr>
          <w:color w:val="auto"/>
        </w:rPr>
      </w:pPr>
      <w:bookmarkStart w:id="247" w:name="_Hlk174090197"/>
      <w:r>
        <w:rPr>
          <w:rFonts w:hint="eastAsia"/>
          <w:color w:val="auto"/>
        </w:rPr>
        <w:t>（1）化石燃料燃烧二氧化碳（CO</w:t>
      </w:r>
      <w:r>
        <w:rPr>
          <w:rFonts w:hint="eastAsia"/>
          <w:color w:val="auto"/>
          <w:vertAlign w:val="subscript"/>
        </w:rPr>
        <w:t>2</w:t>
      </w:r>
      <w:r>
        <w:rPr>
          <w:rFonts w:hint="eastAsia"/>
          <w:color w:val="auto"/>
        </w:rPr>
        <w:t>）排放</w:t>
      </w:r>
    </w:p>
    <w:p w14:paraId="57482956">
      <w:pPr>
        <w:pStyle w:val="132"/>
        <w:rPr>
          <w:color w:val="auto"/>
        </w:rPr>
      </w:pPr>
      <w:r>
        <w:rPr>
          <w:rFonts w:hint="eastAsia"/>
          <w:color w:val="auto"/>
        </w:rPr>
        <w:t>本项目水铝石干燥、催化剂生产载体干燥，催化剂干燥，催化剂焙烧、载体焙烧均采用天然气燃烧器，备用天然气燃气锅炉，燃烧天然气均会产生二氧化碳，项目天然气用量1118.816万m</w:t>
      </w:r>
      <w:r>
        <w:rPr>
          <w:rFonts w:hint="eastAsia"/>
          <w:color w:val="auto"/>
          <w:vertAlign w:val="superscript"/>
        </w:rPr>
        <w:t>3</w:t>
      </w:r>
      <w:r>
        <w:rPr>
          <w:rFonts w:hint="eastAsia"/>
          <w:color w:val="auto"/>
        </w:rPr>
        <w:t>/a，根据碳平衡分析，燃料气碳含量成分折算含碳量0.5298kg/m</w:t>
      </w:r>
      <w:r>
        <w:rPr>
          <w:rFonts w:hint="eastAsia"/>
          <w:color w:val="auto"/>
          <w:vertAlign w:val="superscript"/>
        </w:rPr>
        <w:t>3</w:t>
      </w:r>
      <w:r>
        <w:rPr>
          <w:rFonts w:hint="eastAsia"/>
          <w:color w:val="auto"/>
        </w:rPr>
        <w:t>天然气，则燃料气含碳5927.73t/a，按照 99%的转化率，折合二氧化碳排放量为5868.45t/a。</w:t>
      </w:r>
    </w:p>
    <w:bookmarkEnd w:id="247"/>
    <w:p w14:paraId="0666BA10">
      <w:pPr>
        <w:pStyle w:val="132"/>
        <w:rPr>
          <w:color w:val="auto"/>
        </w:rPr>
      </w:pPr>
      <w:r>
        <w:rPr>
          <w:rFonts w:hint="eastAsia"/>
          <w:color w:val="auto"/>
        </w:rPr>
        <w:t>（2）工业生产过程 CO</w:t>
      </w:r>
      <w:r>
        <w:rPr>
          <w:rFonts w:hint="eastAsia"/>
          <w:color w:val="auto"/>
          <w:vertAlign w:val="subscript"/>
        </w:rPr>
        <w:t>2</w:t>
      </w:r>
      <w:r>
        <w:rPr>
          <w:rFonts w:hint="eastAsia"/>
          <w:color w:val="auto"/>
        </w:rPr>
        <w:t xml:space="preserve"> 排放</w:t>
      </w:r>
    </w:p>
    <w:p w14:paraId="2DFCA7EB">
      <w:pPr>
        <w:pStyle w:val="132"/>
        <w:rPr>
          <w:color w:val="auto"/>
        </w:rPr>
      </w:pPr>
      <w:r>
        <w:rPr>
          <w:rFonts w:hint="eastAsia"/>
          <w:color w:val="auto"/>
        </w:rPr>
        <w:t>根据物料平衡，本项目危险废物处理水铝石生产碳酸钠生成工序利用二氧化碳108.32t/a，反应后废气排放54.16t/a，水铝石熟化排放55.39t/a，含偏铝酸钠、碳酸钠废碱液处理鼓泡反应器使用二氧化碳1665.86t/a，废气中二氧化碳排放832.93t/a，催化剂生产田菁胶分解产生二氧化碳160.86t/a，整个工艺生产过程利用二氧化碳1774.18t/a，排放1103.34t/a。</w:t>
      </w:r>
    </w:p>
    <w:p w14:paraId="50C2AD60">
      <w:pPr>
        <w:pStyle w:val="132"/>
        <w:rPr>
          <w:color w:val="auto"/>
        </w:rPr>
      </w:pPr>
      <w:r>
        <w:rPr>
          <w:rFonts w:hint="eastAsia"/>
          <w:color w:val="auto"/>
        </w:rPr>
        <w:t>（3）净购入电力隐含的CO</w:t>
      </w:r>
      <w:r>
        <w:rPr>
          <w:rFonts w:hint="eastAsia"/>
          <w:color w:val="auto"/>
          <w:vertAlign w:val="subscript"/>
        </w:rPr>
        <w:t>2</w:t>
      </w:r>
      <w:r>
        <w:rPr>
          <w:rFonts w:hint="eastAsia"/>
          <w:color w:val="auto"/>
        </w:rPr>
        <w:t>排放</w:t>
      </w:r>
    </w:p>
    <w:p w14:paraId="57820EE5">
      <w:pPr>
        <w:pStyle w:val="132"/>
        <w:ind w:left="400" w:leftChars="200" w:firstLine="0" w:firstLineChars="0"/>
        <w:rPr>
          <w:color w:val="auto"/>
        </w:rPr>
      </w:pPr>
      <w:r>
        <w:rPr>
          <w:rFonts w:hint="eastAsia"/>
          <w:color w:val="auto"/>
        </w:rPr>
        <w:t>本项目电力由园区电网提供，购入电力的二氧化碳排放量按照以下公式计算</w:t>
      </w:r>
    </w:p>
    <w:p w14:paraId="33824AEC">
      <w:pPr>
        <w:ind w:firstLine="480"/>
        <w:jc w:val="center"/>
        <w:rPr>
          <w:color w:val="auto"/>
          <w:sz w:val="24"/>
          <w:szCs w:val="24"/>
        </w:rPr>
      </w:pPr>
      <w:r>
        <w:rPr>
          <w:rFonts w:ascii="Cambria Math" w:hAnsi="Cambria Math" w:cs="Cambria Math"/>
          <w:color w:val="auto"/>
          <w:sz w:val="24"/>
          <w:szCs w:val="24"/>
        </w:rPr>
        <w:t>𝐸</w:t>
      </w:r>
      <w:r>
        <w:rPr>
          <w:color w:val="auto"/>
          <w:sz w:val="24"/>
          <w:szCs w:val="24"/>
          <w:vertAlign w:val="subscript"/>
        </w:rPr>
        <w:t>购入电,i</w:t>
      </w:r>
      <w:r>
        <w:rPr>
          <w:color w:val="auto"/>
          <w:sz w:val="24"/>
          <w:szCs w:val="24"/>
        </w:rPr>
        <w:t>=</w:t>
      </w:r>
      <w:r>
        <w:rPr>
          <w:rFonts w:ascii="Cambria Math" w:hAnsi="Cambria Math" w:cs="Cambria Math"/>
          <w:color w:val="auto"/>
          <w:sz w:val="24"/>
          <w:szCs w:val="24"/>
        </w:rPr>
        <w:t>𝐴𝐷</w:t>
      </w:r>
      <w:r>
        <w:rPr>
          <w:color w:val="auto"/>
          <w:sz w:val="24"/>
          <w:szCs w:val="24"/>
          <w:vertAlign w:val="subscript"/>
        </w:rPr>
        <w:t>购入电,i</w:t>
      </w:r>
      <w:r>
        <w:rPr>
          <w:color w:val="auto"/>
          <w:sz w:val="24"/>
          <w:szCs w:val="24"/>
        </w:rPr>
        <w:t>×</w:t>
      </w:r>
      <w:r>
        <w:rPr>
          <w:rFonts w:ascii="Cambria Math" w:hAnsi="Cambria Math" w:cs="Cambria Math"/>
          <w:color w:val="auto"/>
          <w:sz w:val="24"/>
          <w:szCs w:val="24"/>
        </w:rPr>
        <w:t>𝐸𝐹</w:t>
      </w:r>
      <w:r>
        <w:rPr>
          <w:color w:val="auto"/>
          <w:sz w:val="24"/>
          <w:szCs w:val="24"/>
          <w:vertAlign w:val="subscript"/>
        </w:rPr>
        <w:t>电</w:t>
      </w:r>
    </w:p>
    <w:p w14:paraId="28811082">
      <w:pPr>
        <w:pStyle w:val="132"/>
        <w:rPr>
          <w:color w:val="auto"/>
        </w:rPr>
      </w:pPr>
      <w:r>
        <w:rPr>
          <w:rFonts w:hint="eastAsia"/>
          <w:color w:val="auto"/>
        </w:rPr>
        <w:t>式中：</w:t>
      </w:r>
    </w:p>
    <w:p w14:paraId="7A631DB8">
      <w:pPr>
        <w:pStyle w:val="132"/>
        <w:rPr>
          <w:color w:val="auto"/>
        </w:rPr>
      </w:pPr>
      <w:r>
        <w:rPr>
          <w:rFonts w:hint="eastAsia"/>
          <w:color w:val="auto"/>
        </w:rPr>
        <w:t>E</w:t>
      </w:r>
      <w:r>
        <w:rPr>
          <w:rFonts w:hint="eastAsia"/>
          <w:color w:val="auto"/>
          <w:vertAlign w:val="subscript"/>
        </w:rPr>
        <w:t>购入电,i</w:t>
      </w:r>
      <w:r>
        <w:rPr>
          <w:rFonts w:hint="eastAsia"/>
          <w:color w:val="auto"/>
        </w:rPr>
        <w:t>——核算单元 i 购入电力所产生的二氧化碳排放量，单位为吨二氧化 碳(tCO</w:t>
      </w:r>
      <w:r>
        <w:rPr>
          <w:rFonts w:hint="eastAsia"/>
          <w:color w:val="auto"/>
          <w:vertAlign w:val="subscript"/>
        </w:rPr>
        <w:t>2</w:t>
      </w:r>
      <w:r>
        <w:rPr>
          <w:rFonts w:hint="eastAsia"/>
          <w:color w:val="auto"/>
        </w:rPr>
        <w:t>)；</w:t>
      </w:r>
    </w:p>
    <w:p w14:paraId="47781B85">
      <w:pPr>
        <w:pStyle w:val="132"/>
        <w:rPr>
          <w:color w:val="auto"/>
        </w:rPr>
      </w:pPr>
      <w:r>
        <w:rPr>
          <w:rFonts w:hint="eastAsia"/>
          <w:color w:val="auto"/>
        </w:rPr>
        <w:t>AD</w:t>
      </w:r>
      <w:r>
        <w:rPr>
          <w:rFonts w:hint="eastAsia"/>
          <w:color w:val="auto"/>
          <w:vertAlign w:val="subscript"/>
        </w:rPr>
        <w:t>购入电,i</w:t>
      </w:r>
      <w:r>
        <w:rPr>
          <w:rFonts w:hint="eastAsia"/>
          <w:color w:val="auto"/>
        </w:rPr>
        <w:t>——核算期内核算单元 i 购入电力，单位为兆瓦时（MWh），本项目用电量约为85959680kWh；</w:t>
      </w:r>
    </w:p>
    <w:p w14:paraId="65C4AAEF">
      <w:pPr>
        <w:pStyle w:val="132"/>
        <w:rPr>
          <w:color w:val="auto"/>
        </w:rPr>
      </w:pPr>
      <w:r>
        <w:rPr>
          <w:rFonts w:hint="eastAsia"/>
          <w:color w:val="auto"/>
        </w:rPr>
        <w:t>EF</w:t>
      </w:r>
      <w:r>
        <w:rPr>
          <w:rFonts w:hint="eastAsia"/>
          <w:color w:val="auto"/>
          <w:vertAlign w:val="subscript"/>
        </w:rPr>
        <w:t>电</w:t>
      </w:r>
      <w:r>
        <w:rPr>
          <w:rFonts w:hint="eastAsia"/>
          <w:color w:val="auto"/>
        </w:rPr>
        <w:t>——区域电网年平均供电排放因子，单位为吨二氧化碳每兆瓦时(tCO2/MWh)，根据</w:t>
      </w:r>
      <w:r>
        <w:rPr>
          <w:color w:val="auto"/>
        </w:rPr>
        <w:t>《关于发布2023年电力二氧化碳排放因子的公告》</w:t>
      </w:r>
      <w:r>
        <w:rPr>
          <w:rFonts w:hint="eastAsia"/>
          <w:color w:val="auto"/>
        </w:rPr>
        <w:t>中省级电力平均二氧化碳排放因子，新疆取值0.6021</w:t>
      </w:r>
      <w:r>
        <w:rPr>
          <w:color w:val="auto"/>
        </w:rPr>
        <w:t xml:space="preserve"> </w:t>
      </w:r>
      <w:r>
        <w:rPr>
          <w:rFonts w:hint="eastAsia"/>
          <w:color w:val="auto"/>
        </w:rPr>
        <w:t>kg</w:t>
      </w:r>
      <w:r>
        <w:rPr>
          <w:color w:val="auto"/>
        </w:rPr>
        <w:t>CO</w:t>
      </w:r>
      <w:r>
        <w:rPr>
          <w:color w:val="auto"/>
          <w:vertAlign w:val="subscript"/>
        </w:rPr>
        <w:t>2</w:t>
      </w:r>
      <w:r>
        <w:rPr>
          <w:color w:val="auto"/>
        </w:rPr>
        <w:t>/</w:t>
      </w:r>
      <w:r>
        <w:rPr>
          <w:rFonts w:hint="eastAsia"/>
          <w:color w:val="auto"/>
        </w:rPr>
        <w:t>k</w:t>
      </w:r>
      <w:r>
        <w:rPr>
          <w:color w:val="auto"/>
        </w:rPr>
        <w:t>Wh</w:t>
      </w:r>
      <w:r>
        <w:rPr>
          <w:rFonts w:hint="eastAsia"/>
          <w:color w:val="auto"/>
        </w:rPr>
        <w:t>。</w:t>
      </w:r>
    </w:p>
    <w:p w14:paraId="44DE8910">
      <w:pPr>
        <w:pStyle w:val="132"/>
        <w:rPr>
          <w:color w:val="auto"/>
        </w:rPr>
      </w:pPr>
      <w:r>
        <w:rPr>
          <w:rFonts w:hint="eastAsia"/>
          <w:color w:val="auto"/>
        </w:rPr>
        <w:t>根据该公式，本项目购入电力排放的二氧化碳51756.32t/a。</w:t>
      </w:r>
    </w:p>
    <w:p w14:paraId="283CF66B">
      <w:pPr>
        <w:pStyle w:val="132"/>
        <w:rPr>
          <w:color w:val="auto"/>
        </w:rPr>
      </w:pPr>
      <w:r>
        <w:rPr>
          <w:rFonts w:hint="eastAsia"/>
          <w:color w:val="auto"/>
        </w:rPr>
        <w:t>（4）净购入热力隐含的CO</w:t>
      </w:r>
      <w:r>
        <w:rPr>
          <w:rFonts w:hint="eastAsia"/>
          <w:color w:val="auto"/>
          <w:vertAlign w:val="subscript"/>
        </w:rPr>
        <w:t>2</w:t>
      </w:r>
      <w:r>
        <w:rPr>
          <w:rFonts w:hint="eastAsia"/>
          <w:color w:val="auto"/>
        </w:rPr>
        <w:t>排放</w:t>
      </w:r>
    </w:p>
    <w:p w14:paraId="45C624E9">
      <w:pPr>
        <w:pStyle w:val="132"/>
        <w:rPr>
          <w:color w:val="auto"/>
          <w:lang w:val="de-DE"/>
        </w:rPr>
      </w:pPr>
      <w:r>
        <w:rPr>
          <w:color w:val="auto"/>
        </w:rPr>
        <w:t>本项目热力由兖矿新疆煤化工有限公司</w:t>
      </w:r>
      <w:r>
        <w:rPr>
          <w:rFonts w:hint="eastAsia"/>
          <w:color w:val="auto"/>
        </w:rPr>
        <w:t>提供</w:t>
      </w:r>
      <w:r>
        <w:rPr>
          <w:color w:val="auto"/>
          <w:lang w:val="de-DE"/>
        </w:rPr>
        <w:t>。</w:t>
      </w:r>
    </w:p>
    <w:p w14:paraId="5D82E7C4">
      <w:pPr>
        <w:pStyle w:val="132"/>
        <w:rPr>
          <w:color w:val="auto"/>
        </w:rPr>
      </w:pPr>
      <w:r>
        <w:rPr>
          <w:color w:val="auto"/>
        </w:rPr>
        <w:t>购入热力产生的二氧化碳排放量按下式计算：</w:t>
      </w:r>
    </w:p>
    <w:p w14:paraId="02024457">
      <w:pPr>
        <w:pStyle w:val="132"/>
        <w:ind w:firstLine="2400" w:firstLineChars="1000"/>
        <w:rPr>
          <w:color w:val="auto"/>
        </w:rPr>
      </w:pPr>
      <w:r>
        <w:rPr>
          <w:rFonts w:ascii="Cambria Math" w:hAnsi="Cambria Math" w:cs="Cambria Math"/>
          <w:color w:val="auto"/>
        </w:rPr>
        <w:t>𝐸</w:t>
      </w:r>
      <w:r>
        <w:rPr>
          <w:color w:val="auto"/>
          <w:vertAlign w:val="subscript"/>
        </w:rPr>
        <w:t>购入热,i</w:t>
      </w:r>
      <w:r>
        <w:rPr>
          <w:color w:val="auto"/>
        </w:rPr>
        <w:t>=</w:t>
      </w:r>
      <w:r>
        <w:rPr>
          <w:rFonts w:ascii="Cambria Math" w:hAnsi="Cambria Math" w:cs="Cambria Math"/>
          <w:color w:val="auto"/>
        </w:rPr>
        <w:t>𝐴𝐷</w:t>
      </w:r>
      <w:r>
        <w:rPr>
          <w:color w:val="auto"/>
          <w:vertAlign w:val="subscript"/>
        </w:rPr>
        <w:t>购入热,i</w:t>
      </w:r>
      <w:r>
        <w:rPr>
          <w:color w:val="auto"/>
        </w:rPr>
        <w:t>×</w:t>
      </w:r>
      <w:r>
        <w:rPr>
          <w:rFonts w:ascii="Cambria Math" w:hAnsi="Cambria Math" w:cs="Cambria Math"/>
          <w:color w:val="auto"/>
        </w:rPr>
        <w:t>𝐸𝐹</w:t>
      </w:r>
      <w:r>
        <w:rPr>
          <w:color w:val="auto"/>
          <w:vertAlign w:val="subscript"/>
        </w:rPr>
        <w:t>热</w:t>
      </w:r>
    </w:p>
    <w:p w14:paraId="2C0473EE">
      <w:pPr>
        <w:pStyle w:val="132"/>
        <w:rPr>
          <w:color w:val="auto"/>
        </w:rPr>
      </w:pPr>
      <w:r>
        <w:rPr>
          <w:rFonts w:ascii="Cambria Math" w:hAnsi="Cambria Math" w:cs="Cambria Math"/>
          <w:color w:val="auto"/>
        </w:rPr>
        <w:t>𝐸</w:t>
      </w:r>
      <w:r>
        <w:rPr>
          <w:color w:val="auto"/>
          <w:vertAlign w:val="subscript"/>
        </w:rPr>
        <w:t>购入热,i</w:t>
      </w:r>
      <w:r>
        <w:rPr>
          <w:color w:val="auto"/>
        </w:rPr>
        <w:t>——核算单元i输出热力所产生的二氧化碳排放量，单位为吨二氧化碳（tCO</w:t>
      </w:r>
      <w:r>
        <w:rPr>
          <w:color w:val="auto"/>
          <w:vertAlign w:val="subscript"/>
        </w:rPr>
        <w:t>2</w:t>
      </w:r>
      <w:r>
        <w:rPr>
          <w:color w:val="auto"/>
        </w:rPr>
        <w:t>）；</w:t>
      </w:r>
    </w:p>
    <w:p w14:paraId="41E03F64">
      <w:pPr>
        <w:pStyle w:val="132"/>
        <w:rPr>
          <w:color w:val="auto"/>
        </w:rPr>
      </w:pPr>
      <w:r>
        <w:rPr>
          <w:rFonts w:ascii="Cambria Math" w:hAnsi="Cambria Math" w:cs="Cambria Math"/>
          <w:color w:val="auto"/>
        </w:rPr>
        <w:t>𝐴𝐷</w:t>
      </w:r>
      <w:r>
        <w:rPr>
          <w:color w:val="auto"/>
          <w:vertAlign w:val="subscript"/>
        </w:rPr>
        <w:t>购入热,i</w:t>
      </w:r>
      <w:r>
        <w:rPr>
          <w:color w:val="auto"/>
        </w:rPr>
        <w:t>——核算期内核算单元i输出热力，单位为吉焦（GJ）；</w:t>
      </w:r>
    </w:p>
    <w:p w14:paraId="52ECA636">
      <w:pPr>
        <w:pStyle w:val="132"/>
        <w:rPr>
          <w:color w:val="auto"/>
        </w:rPr>
      </w:pPr>
      <w:r>
        <w:rPr>
          <w:rFonts w:ascii="Cambria Math" w:hAnsi="Cambria Math" w:cs="Cambria Math"/>
          <w:color w:val="auto"/>
        </w:rPr>
        <w:t>𝐸𝐹</w:t>
      </w:r>
      <w:r>
        <w:rPr>
          <w:color w:val="auto"/>
          <w:vertAlign w:val="subscript"/>
        </w:rPr>
        <w:t>热</w:t>
      </w:r>
      <w:r>
        <w:rPr>
          <w:color w:val="auto"/>
        </w:rPr>
        <w:t>——热力消费的排放因子，单位为吨二氧化碳每吉焦（tCO</w:t>
      </w:r>
      <w:r>
        <w:rPr>
          <w:color w:val="auto"/>
          <w:vertAlign w:val="subscript"/>
        </w:rPr>
        <w:t>2</w:t>
      </w:r>
      <w:r>
        <w:rPr>
          <w:color w:val="auto"/>
        </w:rPr>
        <w:t>/GJ）</w:t>
      </w:r>
      <w:r>
        <w:rPr>
          <w:rFonts w:hint="eastAsia"/>
          <w:color w:val="auto"/>
        </w:rPr>
        <w:t>，取</w:t>
      </w:r>
      <w:r>
        <w:rPr>
          <w:color w:val="auto"/>
        </w:rPr>
        <w:t>《</w:t>
      </w:r>
      <w:r>
        <w:rPr>
          <w:rFonts w:hint="eastAsia"/>
          <w:color w:val="auto"/>
        </w:rPr>
        <w:t>碳排放核算与报告要求 第10部分：化工生产企业</w:t>
      </w:r>
      <w:r>
        <w:rPr>
          <w:color w:val="auto"/>
        </w:rPr>
        <w:t>》</w:t>
      </w:r>
      <w:r>
        <w:rPr>
          <w:rFonts w:hint="eastAsia"/>
          <w:color w:val="auto"/>
        </w:rPr>
        <w:t>GB/T 32151.10-2023</w:t>
      </w:r>
      <w:r>
        <w:rPr>
          <w:color w:val="auto"/>
        </w:rPr>
        <w:t>热力排放因子推荐值</w:t>
      </w:r>
      <w:r>
        <w:rPr>
          <w:rFonts w:hint="eastAsia"/>
          <w:color w:val="auto"/>
        </w:rPr>
        <w:t>，0.11</w:t>
      </w:r>
      <w:r>
        <w:rPr>
          <w:color w:val="auto"/>
        </w:rPr>
        <w:t>tCO</w:t>
      </w:r>
      <w:r>
        <w:rPr>
          <w:color w:val="auto"/>
          <w:vertAlign w:val="subscript"/>
        </w:rPr>
        <w:t>2</w:t>
      </w:r>
      <w:r>
        <w:rPr>
          <w:color w:val="auto"/>
        </w:rPr>
        <w:t>/GJ；</w:t>
      </w:r>
    </w:p>
    <w:p w14:paraId="5BB13903">
      <w:pPr>
        <w:pStyle w:val="132"/>
        <w:rPr>
          <w:color w:val="auto"/>
        </w:rPr>
      </w:pPr>
      <w:r>
        <w:rPr>
          <w:rFonts w:hint="eastAsia"/>
          <w:color w:val="auto"/>
        </w:rPr>
        <w:t>本项目外购蒸汽</w:t>
      </w:r>
      <w:r>
        <w:rPr>
          <w:color w:val="auto"/>
        </w:rPr>
        <w:t>154800</w:t>
      </w:r>
      <w:r>
        <w:rPr>
          <w:rFonts w:hint="eastAsia"/>
          <w:color w:val="auto"/>
        </w:rPr>
        <w:t>t/a，蒸汽压力0.2～0.4</w:t>
      </w:r>
      <w:r>
        <w:rPr>
          <w:color w:val="auto"/>
        </w:rPr>
        <w:t xml:space="preserve"> MPa，</w:t>
      </w:r>
      <w:r>
        <w:rPr>
          <w:rFonts w:hint="eastAsia"/>
          <w:color w:val="auto"/>
        </w:rPr>
        <w:t>本次核算取0.3</w:t>
      </w:r>
      <w:r>
        <w:rPr>
          <w:color w:val="auto"/>
        </w:rPr>
        <w:t xml:space="preserve"> MPa</w:t>
      </w:r>
      <w:r>
        <w:rPr>
          <w:rFonts w:hint="eastAsia"/>
          <w:color w:val="auto"/>
        </w:rPr>
        <w:t xml:space="preserve"> 饱和蒸汽热焓2725.5 kJ/kg，则购入热力421907.4</w:t>
      </w:r>
      <w:r>
        <w:rPr>
          <w:color w:val="auto"/>
        </w:rPr>
        <w:t xml:space="preserve"> GJ</w:t>
      </w:r>
      <w:r>
        <w:rPr>
          <w:rFonts w:hint="eastAsia"/>
          <w:color w:val="auto"/>
        </w:rPr>
        <w:t>/a。则购入热力排放二氧化碳量为46409.8t/a。</w:t>
      </w:r>
    </w:p>
    <w:p w14:paraId="38E5084C">
      <w:pPr>
        <w:pStyle w:val="132"/>
        <w:rPr>
          <w:color w:val="auto"/>
        </w:rPr>
      </w:pPr>
      <w:r>
        <w:rPr>
          <w:rFonts w:hint="eastAsia"/>
          <w:color w:val="auto"/>
        </w:rPr>
        <w:t>（5）</w:t>
      </w:r>
      <w:r>
        <w:rPr>
          <w:color w:val="auto"/>
        </w:rPr>
        <w:t>输出电力、热力产生的</w:t>
      </w:r>
      <w:r>
        <w:rPr>
          <w:rFonts w:hint="eastAsia"/>
          <w:color w:val="auto"/>
        </w:rPr>
        <w:t>CO</w:t>
      </w:r>
      <w:r>
        <w:rPr>
          <w:rFonts w:hint="eastAsia"/>
          <w:color w:val="auto"/>
          <w:vertAlign w:val="subscript"/>
        </w:rPr>
        <w:t>2</w:t>
      </w:r>
      <w:r>
        <w:rPr>
          <w:color w:val="auto"/>
        </w:rPr>
        <w:t>排放量</w:t>
      </w:r>
    </w:p>
    <w:p w14:paraId="457C2E24">
      <w:pPr>
        <w:pStyle w:val="132"/>
        <w:rPr>
          <w:color w:val="auto"/>
        </w:rPr>
      </w:pPr>
      <w:r>
        <w:rPr>
          <w:color w:val="auto"/>
        </w:rPr>
        <w:t>本项目</w:t>
      </w:r>
      <w:r>
        <w:rPr>
          <w:rFonts w:hint="eastAsia"/>
          <w:color w:val="auto"/>
        </w:rPr>
        <w:t>不对外输出电力和热力。</w:t>
      </w:r>
    </w:p>
    <w:p w14:paraId="4802EF72">
      <w:pPr>
        <w:pStyle w:val="4"/>
        <w:rPr>
          <w:color w:val="auto"/>
        </w:rPr>
      </w:pPr>
      <w:r>
        <w:rPr>
          <w:color w:val="auto"/>
        </w:rPr>
        <w:t>碳排放核算汇总</w:t>
      </w:r>
    </w:p>
    <w:p w14:paraId="33A8D67C">
      <w:pPr>
        <w:pStyle w:val="132"/>
        <w:rPr>
          <w:color w:val="auto"/>
        </w:rPr>
      </w:pPr>
      <w:r>
        <w:rPr>
          <w:color w:val="auto"/>
        </w:rPr>
        <w:t>本项目碳排放量汇总见表</w:t>
      </w:r>
      <w:r>
        <w:rPr>
          <w:rFonts w:hint="eastAsia" w:eastAsiaTheme="minorEastAsia"/>
          <w:color w:val="auto"/>
        </w:rPr>
        <w:t>3.6-1</w:t>
      </w:r>
      <w:r>
        <w:rPr>
          <w:color w:val="auto"/>
        </w:rPr>
        <w:t>。</w:t>
      </w:r>
    </w:p>
    <w:p w14:paraId="6F39265D">
      <w:pPr>
        <w:pStyle w:val="1060"/>
        <w:spacing w:before="163"/>
        <w:rPr>
          <w:color w:val="auto"/>
        </w:rPr>
      </w:pPr>
      <w:bookmarkStart w:id="248" w:name="OLE_LINK15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color w:val="auto"/>
        </w:rPr>
        <w:t xml:space="preserve">  </w:t>
      </w:r>
      <w:bookmarkEnd w:id="248"/>
      <w:r>
        <w:rPr>
          <w:color w:val="auto"/>
        </w:rPr>
        <w:t xml:space="preserve"> 本项目二氧化碳排放量汇总表  单位：t/a</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578"/>
        <w:gridCol w:w="3794"/>
        <w:gridCol w:w="3414"/>
      </w:tblGrid>
      <w:tr w14:paraId="729161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vAlign w:val="center"/>
          </w:tcPr>
          <w:p w14:paraId="7E81BD62">
            <w:pPr>
              <w:pStyle w:val="129"/>
              <w:widowControl w:val="0"/>
              <w:rPr>
                <w:color w:val="auto"/>
              </w:rPr>
            </w:pPr>
            <w:r>
              <w:rPr>
                <w:color w:val="auto"/>
              </w:rPr>
              <w:t>序号</w:t>
            </w:r>
          </w:p>
        </w:tc>
        <w:tc>
          <w:tcPr>
            <w:tcW w:w="2159" w:type="pct"/>
            <w:vAlign w:val="center"/>
          </w:tcPr>
          <w:p w14:paraId="524B65B1">
            <w:pPr>
              <w:pStyle w:val="129"/>
              <w:widowControl w:val="0"/>
              <w:rPr>
                <w:color w:val="auto"/>
              </w:rPr>
            </w:pPr>
            <w:r>
              <w:rPr>
                <w:color w:val="auto"/>
                <w:spacing w:val="8"/>
              </w:rPr>
              <w:t>排放源类别</w:t>
            </w:r>
          </w:p>
        </w:tc>
        <w:tc>
          <w:tcPr>
            <w:tcW w:w="1943" w:type="pct"/>
            <w:vAlign w:val="center"/>
          </w:tcPr>
          <w:p w14:paraId="31891257">
            <w:pPr>
              <w:pStyle w:val="129"/>
              <w:widowControl w:val="0"/>
              <w:rPr>
                <w:color w:val="auto"/>
              </w:rPr>
            </w:pPr>
            <w:r>
              <w:rPr>
                <w:color w:val="auto"/>
                <w:spacing w:val="7"/>
              </w:rPr>
              <w:t>本项目</w:t>
            </w:r>
            <w:r>
              <w:rPr>
                <w:color w:val="auto"/>
                <w:spacing w:val="-38"/>
              </w:rPr>
              <w:t xml:space="preserve"> </w:t>
            </w:r>
            <w:r>
              <w:rPr>
                <w:rFonts w:eastAsia="Times New Roman"/>
                <w:color w:val="auto"/>
              </w:rPr>
              <w:t>CO</w:t>
            </w:r>
            <w:r>
              <w:rPr>
                <w:rFonts w:eastAsia="Times New Roman"/>
                <w:color w:val="auto"/>
                <w:spacing w:val="7"/>
                <w:position w:val="-1"/>
                <w:sz w:val="13"/>
                <w:szCs w:val="13"/>
              </w:rPr>
              <w:t xml:space="preserve">2 </w:t>
            </w:r>
            <w:r>
              <w:rPr>
                <w:color w:val="auto"/>
                <w:spacing w:val="7"/>
              </w:rPr>
              <w:t>排放量</w:t>
            </w:r>
          </w:p>
        </w:tc>
      </w:tr>
      <w:tr w14:paraId="20F9DB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vAlign w:val="center"/>
          </w:tcPr>
          <w:p w14:paraId="4E5D3464">
            <w:pPr>
              <w:pStyle w:val="129"/>
              <w:widowControl w:val="0"/>
              <w:rPr>
                <w:rFonts w:eastAsia="Times New Roman"/>
                <w:color w:val="auto"/>
                <w:sz w:val="20"/>
                <w:szCs w:val="20"/>
              </w:rPr>
            </w:pPr>
            <w:r>
              <w:rPr>
                <w:rFonts w:eastAsia="Times New Roman"/>
                <w:color w:val="auto"/>
                <w:sz w:val="20"/>
                <w:szCs w:val="20"/>
              </w:rPr>
              <w:t>1</w:t>
            </w:r>
          </w:p>
        </w:tc>
        <w:tc>
          <w:tcPr>
            <w:tcW w:w="2159" w:type="pct"/>
            <w:vAlign w:val="center"/>
          </w:tcPr>
          <w:p w14:paraId="68AFB49F">
            <w:pPr>
              <w:pStyle w:val="129"/>
              <w:widowControl w:val="0"/>
              <w:rPr>
                <w:color w:val="auto"/>
              </w:rPr>
            </w:pPr>
            <w:r>
              <w:rPr>
                <w:color w:val="auto"/>
                <w:spacing w:val="8"/>
              </w:rPr>
              <w:t>燃料燃烧排放</w:t>
            </w:r>
          </w:p>
        </w:tc>
        <w:tc>
          <w:tcPr>
            <w:tcW w:w="1943" w:type="pct"/>
            <w:vAlign w:val="center"/>
          </w:tcPr>
          <w:p w14:paraId="37B11EDD">
            <w:pPr>
              <w:pStyle w:val="129"/>
              <w:widowControl w:val="0"/>
              <w:rPr>
                <w:color w:val="auto"/>
              </w:rPr>
            </w:pPr>
            <w:r>
              <w:rPr>
                <w:color w:val="auto"/>
              </w:rPr>
              <w:t>5868.45</w:t>
            </w:r>
          </w:p>
        </w:tc>
      </w:tr>
      <w:tr w14:paraId="14969B0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vAlign w:val="center"/>
          </w:tcPr>
          <w:p w14:paraId="2C6F4770">
            <w:pPr>
              <w:pStyle w:val="129"/>
              <w:widowControl w:val="0"/>
              <w:rPr>
                <w:rFonts w:eastAsia="Times New Roman"/>
                <w:color w:val="auto"/>
                <w:sz w:val="20"/>
                <w:szCs w:val="20"/>
              </w:rPr>
            </w:pPr>
            <w:r>
              <w:rPr>
                <w:rFonts w:eastAsia="Times New Roman"/>
                <w:color w:val="auto"/>
                <w:sz w:val="20"/>
                <w:szCs w:val="20"/>
              </w:rPr>
              <w:t>2</w:t>
            </w:r>
          </w:p>
        </w:tc>
        <w:tc>
          <w:tcPr>
            <w:tcW w:w="2159" w:type="pct"/>
            <w:vAlign w:val="center"/>
          </w:tcPr>
          <w:p w14:paraId="4414577F">
            <w:pPr>
              <w:pStyle w:val="129"/>
              <w:widowControl w:val="0"/>
              <w:rPr>
                <w:color w:val="auto"/>
              </w:rPr>
            </w:pPr>
            <w:r>
              <w:rPr>
                <w:color w:val="auto"/>
                <w:spacing w:val="8"/>
              </w:rPr>
              <w:t>工业生产过程排放</w:t>
            </w:r>
          </w:p>
        </w:tc>
        <w:tc>
          <w:tcPr>
            <w:tcW w:w="1943" w:type="pct"/>
            <w:vAlign w:val="center"/>
          </w:tcPr>
          <w:p w14:paraId="5B6D8BBC">
            <w:pPr>
              <w:pStyle w:val="129"/>
              <w:widowControl w:val="0"/>
              <w:rPr>
                <w:color w:val="auto"/>
              </w:rPr>
            </w:pPr>
            <w:r>
              <w:rPr>
                <w:color w:val="auto"/>
              </w:rPr>
              <w:t>1103.34</w:t>
            </w:r>
          </w:p>
        </w:tc>
      </w:tr>
      <w:tr w14:paraId="0C209CF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vAlign w:val="center"/>
          </w:tcPr>
          <w:p w14:paraId="70C5BB9F">
            <w:pPr>
              <w:pStyle w:val="129"/>
              <w:widowControl w:val="0"/>
              <w:rPr>
                <w:rFonts w:eastAsiaTheme="minorEastAsia"/>
                <w:color w:val="auto"/>
                <w:sz w:val="20"/>
                <w:szCs w:val="20"/>
              </w:rPr>
            </w:pPr>
            <w:r>
              <w:rPr>
                <w:rFonts w:hint="eastAsia" w:eastAsiaTheme="minorEastAsia"/>
                <w:color w:val="auto"/>
                <w:sz w:val="20"/>
                <w:szCs w:val="20"/>
              </w:rPr>
              <w:t>3</w:t>
            </w:r>
          </w:p>
        </w:tc>
        <w:tc>
          <w:tcPr>
            <w:tcW w:w="2159" w:type="pct"/>
            <w:vAlign w:val="center"/>
          </w:tcPr>
          <w:p w14:paraId="6CBBB46D">
            <w:pPr>
              <w:pStyle w:val="129"/>
              <w:widowControl w:val="0"/>
              <w:rPr>
                <w:color w:val="auto"/>
                <w:spacing w:val="8"/>
              </w:rPr>
            </w:pPr>
            <w:r>
              <w:rPr>
                <w:rFonts w:hint="eastAsia"/>
                <w:snapToGrid w:val="0"/>
                <w:color w:val="auto"/>
                <w:lang w:eastAsia="ja-JP"/>
              </w:rPr>
              <w:t>企业</w:t>
            </w:r>
            <w:r>
              <w:rPr>
                <w:snapToGrid w:val="0"/>
                <w:color w:val="auto"/>
                <w:lang w:eastAsia="ja-JP"/>
              </w:rPr>
              <w:t>CO</w:t>
            </w:r>
            <w:r>
              <w:rPr>
                <w:snapToGrid w:val="0"/>
                <w:color w:val="auto"/>
                <w:vertAlign w:val="subscript"/>
                <w:lang w:eastAsia="ja-JP"/>
              </w:rPr>
              <w:t>2</w:t>
            </w:r>
            <w:r>
              <w:rPr>
                <w:rFonts w:hint="eastAsia"/>
                <w:snapToGrid w:val="0"/>
                <w:color w:val="auto"/>
                <w:lang w:eastAsia="ja-JP"/>
              </w:rPr>
              <w:t>回收利用量</w:t>
            </w:r>
          </w:p>
        </w:tc>
        <w:tc>
          <w:tcPr>
            <w:tcW w:w="1943" w:type="pct"/>
            <w:vAlign w:val="center"/>
          </w:tcPr>
          <w:p w14:paraId="7805A890">
            <w:pPr>
              <w:pStyle w:val="129"/>
              <w:widowControl w:val="0"/>
              <w:rPr>
                <w:color w:val="auto"/>
              </w:rPr>
            </w:pPr>
            <w:r>
              <w:rPr>
                <w:color w:val="auto"/>
              </w:rPr>
              <w:t>1774.18</w:t>
            </w:r>
          </w:p>
        </w:tc>
      </w:tr>
      <w:tr w14:paraId="037E8E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vAlign w:val="center"/>
          </w:tcPr>
          <w:p w14:paraId="5A3284EC">
            <w:pPr>
              <w:pStyle w:val="129"/>
              <w:widowControl w:val="0"/>
              <w:rPr>
                <w:rFonts w:eastAsiaTheme="minorEastAsia"/>
                <w:color w:val="auto"/>
                <w:sz w:val="20"/>
                <w:szCs w:val="20"/>
              </w:rPr>
            </w:pPr>
            <w:r>
              <w:rPr>
                <w:rFonts w:hint="eastAsia" w:eastAsiaTheme="minorEastAsia"/>
                <w:color w:val="auto"/>
                <w:sz w:val="20"/>
                <w:szCs w:val="20"/>
              </w:rPr>
              <w:t>4</w:t>
            </w:r>
          </w:p>
        </w:tc>
        <w:tc>
          <w:tcPr>
            <w:tcW w:w="2159" w:type="pct"/>
            <w:vAlign w:val="center"/>
          </w:tcPr>
          <w:p w14:paraId="5F223FBA">
            <w:pPr>
              <w:pStyle w:val="129"/>
              <w:widowControl w:val="0"/>
              <w:rPr>
                <w:color w:val="auto"/>
              </w:rPr>
            </w:pPr>
            <w:r>
              <w:rPr>
                <w:color w:val="auto"/>
                <w:spacing w:val="8"/>
              </w:rPr>
              <w:t>购入电力排放</w:t>
            </w:r>
          </w:p>
        </w:tc>
        <w:tc>
          <w:tcPr>
            <w:tcW w:w="1943" w:type="pct"/>
            <w:vAlign w:val="center"/>
          </w:tcPr>
          <w:p w14:paraId="3FF3B549">
            <w:pPr>
              <w:pStyle w:val="129"/>
              <w:widowControl w:val="0"/>
              <w:rPr>
                <w:color w:val="auto"/>
              </w:rPr>
            </w:pPr>
            <w:r>
              <w:rPr>
                <w:color w:val="auto"/>
              </w:rPr>
              <w:t>51756.32</w:t>
            </w:r>
          </w:p>
        </w:tc>
      </w:tr>
      <w:tr w14:paraId="55BDA3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vAlign w:val="center"/>
          </w:tcPr>
          <w:p w14:paraId="293C3404">
            <w:pPr>
              <w:pStyle w:val="129"/>
              <w:widowControl w:val="0"/>
              <w:rPr>
                <w:rFonts w:eastAsiaTheme="minorEastAsia"/>
                <w:color w:val="auto"/>
                <w:sz w:val="20"/>
                <w:szCs w:val="20"/>
              </w:rPr>
            </w:pPr>
            <w:r>
              <w:rPr>
                <w:rFonts w:hint="eastAsia" w:eastAsiaTheme="minorEastAsia"/>
                <w:color w:val="auto"/>
                <w:sz w:val="20"/>
                <w:szCs w:val="20"/>
              </w:rPr>
              <w:t>5</w:t>
            </w:r>
          </w:p>
        </w:tc>
        <w:tc>
          <w:tcPr>
            <w:tcW w:w="2159" w:type="pct"/>
            <w:vAlign w:val="center"/>
          </w:tcPr>
          <w:p w14:paraId="05A454F9">
            <w:pPr>
              <w:pStyle w:val="129"/>
              <w:widowControl w:val="0"/>
              <w:rPr>
                <w:color w:val="auto"/>
              </w:rPr>
            </w:pPr>
            <w:r>
              <w:rPr>
                <w:color w:val="auto"/>
                <w:spacing w:val="8"/>
              </w:rPr>
              <w:t>购入热力排放</w:t>
            </w:r>
          </w:p>
        </w:tc>
        <w:tc>
          <w:tcPr>
            <w:tcW w:w="1943" w:type="pct"/>
            <w:vAlign w:val="center"/>
          </w:tcPr>
          <w:p w14:paraId="0C5C8DEE">
            <w:pPr>
              <w:pStyle w:val="129"/>
              <w:widowControl w:val="0"/>
              <w:rPr>
                <w:color w:val="auto"/>
              </w:rPr>
            </w:pPr>
            <w:r>
              <w:rPr>
                <w:color w:val="auto"/>
              </w:rPr>
              <w:t>46409.8</w:t>
            </w:r>
          </w:p>
        </w:tc>
      </w:tr>
      <w:tr w14:paraId="764039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vAlign w:val="center"/>
          </w:tcPr>
          <w:p w14:paraId="6728D1C7">
            <w:pPr>
              <w:pStyle w:val="129"/>
              <w:widowControl w:val="0"/>
              <w:rPr>
                <w:rFonts w:eastAsiaTheme="minorEastAsia"/>
                <w:color w:val="auto"/>
                <w:sz w:val="20"/>
                <w:szCs w:val="20"/>
              </w:rPr>
            </w:pPr>
            <w:r>
              <w:rPr>
                <w:rFonts w:hint="eastAsia" w:eastAsiaTheme="minorEastAsia"/>
                <w:color w:val="auto"/>
                <w:sz w:val="20"/>
                <w:szCs w:val="20"/>
              </w:rPr>
              <w:t>6</w:t>
            </w:r>
          </w:p>
        </w:tc>
        <w:tc>
          <w:tcPr>
            <w:tcW w:w="2159" w:type="pct"/>
            <w:vAlign w:val="center"/>
          </w:tcPr>
          <w:p w14:paraId="2404AB7E">
            <w:pPr>
              <w:pStyle w:val="129"/>
              <w:widowControl w:val="0"/>
              <w:rPr>
                <w:color w:val="auto"/>
              </w:rPr>
            </w:pPr>
            <w:r>
              <w:rPr>
                <w:color w:val="auto"/>
              </w:rPr>
              <w:t>输出电力、热力产生的</w:t>
            </w:r>
            <w:r>
              <w:rPr>
                <w:rFonts w:hint="eastAsia"/>
                <w:color w:val="auto"/>
              </w:rPr>
              <w:t>CO</w:t>
            </w:r>
            <w:r>
              <w:rPr>
                <w:rFonts w:hint="eastAsia"/>
                <w:color w:val="auto"/>
                <w:vertAlign w:val="subscript"/>
              </w:rPr>
              <w:t>2</w:t>
            </w:r>
            <w:r>
              <w:rPr>
                <w:color w:val="auto"/>
              </w:rPr>
              <w:t>排放量</w:t>
            </w:r>
          </w:p>
        </w:tc>
        <w:tc>
          <w:tcPr>
            <w:tcW w:w="1943" w:type="pct"/>
            <w:vAlign w:val="center"/>
          </w:tcPr>
          <w:p w14:paraId="6233BF56">
            <w:pPr>
              <w:pStyle w:val="129"/>
              <w:widowControl w:val="0"/>
              <w:rPr>
                <w:color w:val="auto"/>
              </w:rPr>
            </w:pPr>
            <w:r>
              <w:rPr>
                <w:color w:val="auto"/>
              </w:rPr>
              <w:t>0</w:t>
            </w:r>
          </w:p>
        </w:tc>
      </w:tr>
      <w:tr w14:paraId="4C7DEC4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vAlign w:val="center"/>
          </w:tcPr>
          <w:p w14:paraId="18F58AF2">
            <w:pPr>
              <w:pStyle w:val="129"/>
              <w:widowControl w:val="0"/>
              <w:rPr>
                <w:color w:val="auto"/>
              </w:rPr>
            </w:pPr>
          </w:p>
        </w:tc>
        <w:tc>
          <w:tcPr>
            <w:tcW w:w="2159" w:type="pct"/>
            <w:vAlign w:val="center"/>
          </w:tcPr>
          <w:p w14:paraId="1EE01EF0">
            <w:pPr>
              <w:pStyle w:val="129"/>
              <w:widowControl w:val="0"/>
              <w:rPr>
                <w:color w:val="auto"/>
              </w:rPr>
            </w:pPr>
            <w:r>
              <w:rPr>
                <w:color w:val="auto"/>
                <w:spacing w:val="4"/>
              </w:rPr>
              <w:t>合计</w:t>
            </w:r>
          </w:p>
        </w:tc>
        <w:tc>
          <w:tcPr>
            <w:tcW w:w="1943" w:type="pct"/>
            <w:vAlign w:val="center"/>
          </w:tcPr>
          <w:p w14:paraId="170F996F">
            <w:pPr>
              <w:pStyle w:val="129"/>
              <w:widowControl w:val="0"/>
              <w:rPr>
                <w:color w:val="auto"/>
              </w:rPr>
            </w:pPr>
            <w:r>
              <w:rPr>
                <w:color w:val="auto"/>
              </w:rPr>
              <w:t>103363.73</w:t>
            </w:r>
          </w:p>
        </w:tc>
      </w:tr>
    </w:tbl>
    <w:p w14:paraId="15DF0990">
      <w:pPr>
        <w:pStyle w:val="1304"/>
        <w:rPr>
          <w:color w:val="auto"/>
        </w:rPr>
      </w:pPr>
    </w:p>
    <w:p w14:paraId="287E86A5">
      <w:pPr>
        <w:pStyle w:val="132"/>
        <w:rPr>
          <w:color w:val="auto"/>
        </w:rPr>
      </w:pPr>
      <w:r>
        <w:rPr>
          <w:rFonts w:hint="eastAsia"/>
          <w:color w:val="auto"/>
        </w:rPr>
        <w:t>根据表3.6-1 本项目CO</w:t>
      </w:r>
      <w:r>
        <w:rPr>
          <w:rFonts w:hint="eastAsia"/>
          <w:color w:val="auto"/>
          <w:vertAlign w:val="subscript"/>
        </w:rPr>
        <w:t>2</w:t>
      </w:r>
      <w:r>
        <w:rPr>
          <w:rFonts w:hint="eastAsia"/>
          <w:color w:val="auto"/>
        </w:rPr>
        <w:t>排放量为103363.73t/a。</w:t>
      </w:r>
    </w:p>
    <w:p w14:paraId="1E9C8D1A">
      <w:pPr>
        <w:pStyle w:val="4"/>
        <w:numPr>
          <w:ilvl w:val="2"/>
          <w:numId w:val="22"/>
        </w:numPr>
        <w:rPr>
          <w:color w:val="auto"/>
        </w:rPr>
      </w:pPr>
      <w:r>
        <w:rPr>
          <w:rFonts w:hint="eastAsia"/>
          <w:color w:val="auto"/>
        </w:rPr>
        <w:t>碳减排措施</w:t>
      </w:r>
    </w:p>
    <w:p w14:paraId="76DDD930">
      <w:pPr>
        <w:pStyle w:val="132"/>
        <w:rPr>
          <w:color w:val="auto"/>
        </w:rPr>
      </w:pPr>
      <w:r>
        <w:rPr>
          <w:rFonts w:hint="eastAsia"/>
          <w:color w:val="auto"/>
        </w:rPr>
        <w:t>本项目属于危险废物处置项目，结合本项目生产实际，提出以下碳减排措施：</w:t>
      </w:r>
    </w:p>
    <w:p w14:paraId="37E1EFDD">
      <w:pPr>
        <w:pStyle w:val="132"/>
        <w:rPr>
          <w:color w:val="auto"/>
        </w:rPr>
      </w:pPr>
      <w:r>
        <w:rPr>
          <w:rFonts w:hint="eastAsia"/>
          <w:color w:val="auto"/>
        </w:rPr>
        <w:t>（</w:t>
      </w:r>
      <w:r>
        <w:rPr>
          <w:color w:val="auto"/>
        </w:rPr>
        <w:t>1</w:t>
      </w:r>
      <w:r>
        <w:rPr>
          <w:rFonts w:hint="eastAsia"/>
          <w:color w:val="auto"/>
        </w:rPr>
        <w:t>）本项目厂区内用电由依托当地清洁能源基地供应，可从源头降低二氧化碳排放量，可实现</w:t>
      </w:r>
      <w:r>
        <w:rPr>
          <w:color w:val="auto"/>
        </w:rPr>
        <w:t>30%</w:t>
      </w:r>
      <w:r>
        <w:rPr>
          <w:rFonts w:hint="eastAsia"/>
          <w:color w:val="auto"/>
        </w:rPr>
        <w:t>的电力需求由绿色能源供应，利用绿电替代传统能源后，购入电力排放二氧化碳排放量为31053.79</w:t>
      </w:r>
      <w:r>
        <w:rPr>
          <w:color w:val="auto"/>
        </w:rPr>
        <w:t xml:space="preserve"> t/a</w:t>
      </w:r>
      <w:r>
        <w:rPr>
          <w:rFonts w:hint="eastAsia"/>
          <w:color w:val="auto"/>
        </w:rPr>
        <w:t>，可实现减排量为20702.53</w:t>
      </w:r>
      <w:r>
        <w:rPr>
          <w:color w:val="auto"/>
        </w:rPr>
        <w:t xml:space="preserve"> t/a</w:t>
      </w:r>
      <w:r>
        <w:rPr>
          <w:rFonts w:hint="eastAsia"/>
          <w:color w:val="auto"/>
        </w:rPr>
        <w:t>。</w:t>
      </w:r>
    </w:p>
    <w:p w14:paraId="71BBBAA3">
      <w:pPr>
        <w:pStyle w:val="132"/>
        <w:rPr>
          <w:rFonts w:hAnsi="仿宋_GB2312" w:cs="仿宋_GB2312"/>
          <w:color w:val="auto"/>
        </w:rPr>
      </w:pPr>
      <w:r>
        <w:rPr>
          <w:rFonts w:hint="eastAsia" w:cs="仿宋_GB2312"/>
          <w:color w:val="auto"/>
          <w:lang w:bidi="ar"/>
        </w:rPr>
        <w:t>（</w:t>
      </w:r>
      <w:r>
        <w:rPr>
          <w:rFonts w:cs="仿宋_GB2312"/>
          <w:color w:val="auto"/>
          <w:lang w:bidi="ar"/>
        </w:rPr>
        <w:t>2</w:t>
      </w:r>
      <w:r>
        <w:rPr>
          <w:rFonts w:hint="eastAsia" w:cs="仿宋_GB2312"/>
          <w:color w:val="auto"/>
          <w:lang w:bidi="ar"/>
        </w:rPr>
        <w:t>）</w:t>
      </w:r>
      <w:r>
        <w:rPr>
          <w:rFonts w:hint="eastAsia" w:hAnsi="仿宋_GB2312" w:cs="仿宋_GB2312"/>
          <w:color w:val="auto"/>
        </w:rPr>
        <w:t>根据工艺生产的需要，按照工艺流向布置，物料顺行，合理分配运输量。</w:t>
      </w:r>
    </w:p>
    <w:p w14:paraId="49F3F8C0">
      <w:pPr>
        <w:pStyle w:val="132"/>
        <w:rPr>
          <w:rFonts w:hAnsi="仿宋_GB2312" w:cs="仿宋_GB2312"/>
          <w:color w:val="auto"/>
        </w:rPr>
      </w:pPr>
      <w:r>
        <w:rPr>
          <w:rFonts w:hint="eastAsia" w:hAnsi="仿宋_GB2312" w:cs="仿宋_GB2312"/>
          <w:color w:val="auto"/>
        </w:rPr>
        <w:t>（</w:t>
      </w:r>
      <w:r>
        <w:rPr>
          <w:rFonts w:hAnsi="仿宋_GB2312" w:cs="仿宋_GB2312"/>
          <w:color w:val="auto"/>
        </w:rPr>
        <w:t>3</w:t>
      </w:r>
      <w:r>
        <w:rPr>
          <w:rFonts w:hint="eastAsia" w:hAnsi="仿宋_GB2312" w:cs="仿宋_GB2312"/>
          <w:color w:val="auto"/>
        </w:rPr>
        <w:t>）电力设备均选用节能产品，选用高功率因数电气设备，根据项目用电性质、用电容量等选择合理的供电电压和供电方式。</w:t>
      </w:r>
    </w:p>
    <w:p w14:paraId="2F9AA934">
      <w:pPr>
        <w:pStyle w:val="132"/>
        <w:rPr>
          <w:color w:val="auto"/>
        </w:rPr>
      </w:pPr>
      <w:r>
        <w:rPr>
          <w:rFonts w:hint="eastAsia" w:hAnsi="仿宋_GB2312" w:cs="仿宋_GB2312"/>
          <w:color w:val="auto"/>
        </w:rPr>
        <w:t>（</w:t>
      </w:r>
      <w:r>
        <w:rPr>
          <w:rFonts w:hAnsi="仿宋_GB2312" w:cs="仿宋_GB2312"/>
          <w:color w:val="auto"/>
        </w:rPr>
        <w:t>4</w:t>
      </w:r>
      <w:r>
        <w:rPr>
          <w:rFonts w:hint="eastAsia" w:hAnsi="仿宋_GB2312" w:cs="仿宋_GB2312"/>
          <w:color w:val="auto"/>
        </w:rPr>
        <w:t>）定期编制《企业清洁生产审核报告》，建立健全企业碳排放管理体系，提升企业碳资产管理能力。</w:t>
      </w:r>
    </w:p>
    <w:p w14:paraId="5B5A065B">
      <w:pPr>
        <w:pStyle w:val="132"/>
        <w:rPr>
          <w:color w:val="auto"/>
        </w:rPr>
      </w:pPr>
      <w:r>
        <w:rPr>
          <w:rFonts w:hint="eastAsia"/>
          <w:color w:val="auto"/>
        </w:rPr>
        <w:t>采取碳减排措施后二氧化碳排放量见表3.6-2。</w:t>
      </w:r>
    </w:p>
    <w:p w14:paraId="27B2C26D">
      <w:pPr>
        <w:pStyle w:val="1060"/>
        <w:spacing w:before="163"/>
        <w:ind w:firstLine="400"/>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本项目采取碳减排措施后二氧化碳排放量汇总表</w:t>
      </w:r>
      <w:r>
        <w:rPr>
          <w:color w:val="auto"/>
        </w:rPr>
        <w:t xml:space="preserve">  </w:t>
      </w:r>
      <w:r>
        <w:rPr>
          <w:rFonts w:hint="eastAsia"/>
          <w:color w:val="auto"/>
        </w:rPr>
        <w:t>单位：</w:t>
      </w:r>
      <w:r>
        <w:rPr>
          <w:color w:val="auto"/>
        </w:rPr>
        <w:t>t/a</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564"/>
        <w:gridCol w:w="3565"/>
        <w:gridCol w:w="3657"/>
      </w:tblGrid>
      <w:tr w14:paraId="21488F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0" w:type="pct"/>
            <w:vAlign w:val="center"/>
          </w:tcPr>
          <w:p w14:paraId="52A991D1">
            <w:pPr>
              <w:pStyle w:val="129"/>
              <w:widowControl w:val="0"/>
              <w:rPr>
                <w:color w:val="auto"/>
              </w:rPr>
            </w:pPr>
            <w:r>
              <w:rPr>
                <w:color w:val="auto"/>
              </w:rPr>
              <w:t>序号</w:t>
            </w:r>
          </w:p>
        </w:tc>
        <w:tc>
          <w:tcPr>
            <w:tcW w:w="2029" w:type="pct"/>
            <w:vAlign w:val="center"/>
          </w:tcPr>
          <w:p w14:paraId="4E4BE461">
            <w:pPr>
              <w:pStyle w:val="129"/>
              <w:widowControl w:val="0"/>
              <w:rPr>
                <w:color w:val="auto"/>
              </w:rPr>
            </w:pPr>
            <w:r>
              <w:rPr>
                <w:color w:val="auto"/>
              </w:rPr>
              <w:t>排放源类别</w:t>
            </w:r>
          </w:p>
        </w:tc>
        <w:tc>
          <w:tcPr>
            <w:tcW w:w="2081" w:type="pct"/>
            <w:vAlign w:val="center"/>
          </w:tcPr>
          <w:p w14:paraId="508534D4">
            <w:pPr>
              <w:pStyle w:val="129"/>
              <w:widowControl w:val="0"/>
              <w:rPr>
                <w:color w:val="auto"/>
              </w:rPr>
            </w:pPr>
            <w:r>
              <w:rPr>
                <w:color w:val="auto"/>
              </w:rPr>
              <w:t>本项目 CO</w:t>
            </w:r>
            <w:r>
              <w:rPr>
                <w:color w:val="auto"/>
                <w:sz w:val="13"/>
                <w:szCs w:val="13"/>
              </w:rPr>
              <w:t xml:space="preserve">2 </w:t>
            </w:r>
            <w:r>
              <w:rPr>
                <w:color w:val="auto"/>
              </w:rPr>
              <w:t>排放量</w:t>
            </w:r>
          </w:p>
        </w:tc>
      </w:tr>
      <w:tr w14:paraId="44C48B2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0" w:type="pct"/>
            <w:vAlign w:val="center"/>
          </w:tcPr>
          <w:p w14:paraId="77C226DB">
            <w:pPr>
              <w:pStyle w:val="129"/>
              <w:widowControl w:val="0"/>
              <w:rPr>
                <w:color w:val="auto"/>
              </w:rPr>
            </w:pPr>
            <w:r>
              <w:rPr>
                <w:color w:val="auto"/>
              </w:rPr>
              <w:t>1</w:t>
            </w:r>
          </w:p>
        </w:tc>
        <w:tc>
          <w:tcPr>
            <w:tcW w:w="2029" w:type="pct"/>
            <w:vAlign w:val="center"/>
          </w:tcPr>
          <w:p w14:paraId="6E5988E8">
            <w:pPr>
              <w:pStyle w:val="129"/>
              <w:widowControl w:val="0"/>
              <w:rPr>
                <w:color w:val="auto"/>
              </w:rPr>
            </w:pPr>
            <w:r>
              <w:rPr>
                <w:color w:val="auto"/>
              </w:rPr>
              <w:t>燃料燃烧排放</w:t>
            </w:r>
          </w:p>
        </w:tc>
        <w:tc>
          <w:tcPr>
            <w:tcW w:w="2081" w:type="pct"/>
            <w:vAlign w:val="center"/>
          </w:tcPr>
          <w:p w14:paraId="7BE6151A">
            <w:pPr>
              <w:pStyle w:val="129"/>
              <w:widowControl w:val="0"/>
              <w:rPr>
                <w:color w:val="auto"/>
              </w:rPr>
            </w:pPr>
            <w:r>
              <w:rPr>
                <w:color w:val="auto"/>
              </w:rPr>
              <w:t>5868.45</w:t>
            </w:r>
          </w:p>
        </w:tc>
      </w:tr>
      <w:tr w14:paraId="1FB1D0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0" w:type="pct"/>
            <w:vAlign w:val="center"/>
          </w:tcPr>
          <w:p w14:paraId="431AD84B">
            <w:pPr>
              <w:pStyle w:val="129"/>
              <w:widowControl w:val="0"/>
              <w:rPr>
                <w:color w:val="auto"/>
              </w:rPr>
            </w:pPr>
            <w:r>
              <w:rPr>
                <w:color w:val="auto"/>
              </w:rPr>
              <w:t>2</w:t>
            </w:r>
          </w:p>
        </w:tc>
        <w:tc>
          <w:tcPr>
            <w:tcW w:w="2029" w:type="pct"/>
            <w:vAlign w:val="center"/>
          </w:tcPr>
          <w:p w14:paraId="77E88484">
            <w:pPr>
              <w:pStyle w:val="129"/>
              <w:widowControl w:val="0"/>
              <w:rPr>
                <w:color w:val="auto"/>
              </w:rPr>
            </w:pPr>
            <w:r>
              <w:rPr>
                <w:color w:val="auto"/>
              </w:rPr>
              <w:t>工业生产过程排放</w:t>
            </w:r>
          </w:p>
        </w:tc>
        <w:tc>
          <w:tcPr>
            <w:tcW w:w="2081" w:type="pct"/>
            <w:vAlign w:val="center"/>
          </w:tcPr>
          <w:p w14:paraId="2E30C2E7">
            <w:pPr>
              <w:pStyle w:val="129"/>
              <w:widowControl w:val="0"/>
              <w:rPr>
                <w:color w:val="auto"/>
              </w:rPr>
            </w:pPr>
            <w:r>
              <w:rPr>
                <w:color w:val="auto"/>
              </w:rPr>
              <w:t>1103.34</w:t>
            </w:r>
          </w:p>
        </w:tc>
      </w:tr>
      <w:tr w14:paraId="706BE2F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0" w:type="pct"/>
            <w:vAlign w:val="center"/>
          </w:tcPr>
          <w:p w14:paraId="039DEA50">
            <w:pPr>
              <w:pStyle w:val="129"/>
              <w:widowControl w:val="0"/>
              <w:rPr>
                <w:color w:val="auto"/>
              </w:rPr>
            </w:pPr>
            <w:r>
              <w:rPr>
                <w:color w:val="auto"/>
              </w:rPr>
              <w:t>3</w:t>
            </w:r>
          </w:p>
        </w:tc>
        <w:tc>
          <w:tcPr>
            <w:tcW w:w="2029" w:type="pct"/>
            <w:vAlign w:val="center"/>
          </w:tcPr>
          <w:p w14:paraId="5C32C485">
            <w:pPr>
              <w:pStyle w:val="129"/>
              <w:widowControl w:val="0"/>
              <w:rPr>
                <w:color w:val="auto"/>
              </w:rPr>
            </w:pPr>
            <w:r>
              <w:rPr>
                <w:color w:val="auto"/>
              </w:rPr>
              <w:t>企业CO</w:t>
            </w:r>
            <w:r>
              <w:rPr>
                <w:color w:val="auto"/>
                <w:vertAlign w:val="subscript"/>
              </w:rPr>
              <w:t>2</w:t>
            </w:r>
            <w:r>
              <w:rPr>
                <w:color w:val="auto"/>
              </w:rPr>
              <w:t>回收利用量</w:t>
            </w:r>
          </w:p>
        </w:tc>
        <w:tc>
          <w:tcPr>
            <w:tcW w:w="2081" w:type="pct"/>
            <w:vAlign w:val="center"/>
          </w:tcPr>
          <w:p w14:paraId="22AA0AC5">
            <w:pPr>
              <w:pStyle w:val="129"/>
              <w:widowControl w:val="0"/>
              <w:rPr>
                <w:color w:val="auto"/>
              </w:rPr>
            </w:pPr>
            <w:r>
              <w:rPr>
                <w:color w:val="auto"/>
              </w:rPr>
              <w:t>1774.18</w:t>
            </w:r>
          </w:p>
        </w:tc>
      </w:tr>
      <w:tr w14:paraId="7AFF9CA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0" w:type="pct"/>
            <w:vAlign w:val="center"/>
          </w:tcPr>
          <w:p w14:paraId="75EFB8F5">
            <w:pPr>
              <w:pStyle w:val="129"/>
              <w:widowControl w:val="0"/>
              <w:rPr>
                <w:color w:val="auto"/>
              </w:rPr>
            </w:pPr>
            <w:r>
              <w:rPr>
                <w:color w:val="auto"/>
              </w:rPr>
              <w:t>4</w:t>
            </w:r>
          </w:p>
        </w:tc>
        <w:tc>
          <w:tcPr>
            <w:tcW w:w="2029" w:type="pct"/>
            <w:vAlign w:val="center"/>
          </w:tcPr>
          <w:p w14:paraId="08977FED">
            <w:pPr>
              <w:pStyle w:val="129"/>
              <w:widowControl w:val="0"/>
              <w:rPr>
                <w:color w:val="auto"/>
              </w:rPr>
            </w:pPr>
            <w:r>
              <w:rPr>
                <w:color w:val="auto"/>
              </w:rPr>
              <w:t>购入电力排放</w:t>
            </w:r>
          </w:p>
        </w:tc>
        <w:tc>
          <w:tcPr>
            <w:tcW w:w="2081" w:type="pct"/>
            <w:vAlign w:val="center"/>
          </w:tcPr>
          <w:p w14:paraId="37135062">
            <w:pPr>
              <w:pStyle w:val="129"/>
              <w:widowControl w:val="0"/>
              <w:rPr>
                <w:color w:val="auto"/>
              </w:rPr>
            </w:pPr>
            <w:r>
              <w:rPr>
                <w:color w:val="auto"/>
              </w:rPr>
              <w:t>31053.79</w:t>
            </w:r>
          </w:p>
        </w:tc>
      </w:tr>
      <w:tr w14:paraId="6BA7A1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0" w:type="pct"/>
            <w:vAlign w:val="center"/>
          </w:tcPr>
          <w:p w14:paraId="3B29F02A">
            <w:pPr>
              <w:pStyle w:val="129"/>
              <w:widowControl w:val="0"/>
              <w:rPr>
                <w:color w:val="auto"/>
              </w:rPr>
            </w:pPr>
            <w:r>
              <w:rPr>
                <w:color w:val="auto"/>
              </w:rPr>
              <w:t>5</w:t>
            </w:r>
          </w:p>
        </w:tc>
        <w:tc>
          <w:tcPr>
            <w:tcW w:w="2029" w:type="pct"/>
            <w:vAlign w:val="center"/>
          </w:tcPr>
          <w:p w14:paraId="52EF3CF8">
            <w:pPr>
              <w:pStyle w:val="129"/>
              <w:widowControl w:val="0"/>
              <w:rPr>
                <w:color w:val="auto"/>
              </w:rPr>
            </w:pPr>
            <w:r>
              <w:rPr>
                <w:color w:val="auto"/>
              </w:rPr>
              <w:t>购入热力排放</w:t>
            </w:r>
          </w:p>
        </w:tc>
        <w:tc>
          <w:tcPr>
            <w:tcW w:w="2081" w:type="pct"/>
            <w:vAlign w:val="center"/>
          </w:tcPr>
          <w:p w14:paraId="3F02DB66">
            <w:pPr>
              <w:pStyle w:val="129"/>
              <w:widowControl w:val="0"/>
              <w:rPr>
                <w:color w:val="auto"/>
              </w:rPr>
            </w:pPr>
            <w:r>
              <w:rPr>
                <w:color w:val="auto"/>
              </w:rPr>
              <w:t>46409.8</w:t>
            </w:r>
          </w:p>
        </w:tc>
      </w:tr>
      <w:tr w14:paraId="68C6C9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0" w:type="pct"/>
            <w:vAlign w:val="center"/>
          </w:tcPr>
          <w:p w14:paraId="18F38BCD">
            <w:pPr>
              <w:pStyle w:val="129"/>
              <w:widowControl w:val="0"/>
              <w:rPr>
                <w:color w:val="auto"/>
              </w:rPr>
            </w:pPr>
            <w:r>
              <w:rPr>
                <w:color w:val="auto"/>
              </w:rPr>
              <w:t>6</w:t>
            </w:r>
          </w:p>
        </w:tc>
        <w:tc>
          <w:tcPr>
            <w:tcW w:w="2029" w:type="pct"/>
            <w:vAlign w:val="center"/>
          </w:tcPr>
          <w:p w14:paraId="5246F271">
            <w:pPr>
              <w:pStyle w:val="129"/>
              <w:widowControl w:val="0"/>
              <w:rPr>
                <w:color w:val="auto"/>
              </w:rPr>
            </w:pPr>
            <w:r>
              <w:rPr>
                <w:color w:val="auto"/>
              </w:rPr>
              <w:t>输出电力、热力产生的CO</w:t>
            </w:r>
            <w:r>
              <w:rPr>
                <w:color w:val="auto"/>
                <w:vertAlign w:val="subscript"/>
              </w:rPr>
              <w:t>2</w:t>
            </w:r>
            <w:r>
              <w:rPr>
                <w:color w:val="auto"/>
              </w:rPr>
              <w:t>排放量</w:t>
            </w:r>
          </w:p>
        </w:tc>
        <w:tc>
          <w:tcPr>
            <w:tcW w:w="2081" w:type="pct"/>
            <w:vAlign w:val="center"/>
          </w:tcPr>
          <w:p w14:paraId="06CFB105">
            <w:pPr>
              <w:pStyle w:val="129"/>
              <w:widowControl w:val="0"/>
              <w:rPr>
                <w:color w:val="auto"/>
              </w:rPr>
            </w:pPr>
            <w:r>
              <w:rPr>
                <w:color w:val="auto"/>
              </w:rPr>
              <w:t>0</w:t>
            </w:r>
          </w:p>
        </w:tc>
      </w:tr>
      <w:tr w14:paraId="1BFF79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0" w:type="pct"/>
            <w:vAlign w:val="center"/>
          </w:tcPr>
          <w:p w14:paraId="2D35FEA0">
            <w:pPr>
              <w:pStyle w:val="129"/>
              <w:widowControl w:val="0"/>
              <w:rPr>
                <w:color w:val="auto"/>
              </w:rPr>
            </w:pPr>
            <w:r>
              <w:rPr>
                <w:color w:val="auto"/>
              </w:rPr>
              <w:t>　</w:t>
            </w:r>
          </w:p>
        </w:tc>
        <w:tc>
          <w:tcPr>
            <w:tcW w:w="2029" w:type="pct"/>
            <w:vAlign w:val="center"/>
          </w:tcPr>
          <w:p w14:paraId="0B7604FD">
            <w:pPr>
              <w:pStyle w:val="129"/>
              <w:widowControl w:val="0"/>
              <w:rPr>
                <w:color w:val="auto"/>
              </w:rPr>
            </w:pPr>
            <w:r>
              <w:rPr>
                <w:color w:val="auto"/>
              </w:rPr>
              <w:t>合计</w:t>
            </w:r>
          </w:p>
        </w:tc>
        <w:tc>
          <w:tcPr>
            <w:tcW w:w="2081" w:type="pct"/>
            <w:vAlign w:val="center"/>
          </w:tcPr>
          <w:p w14:paraId="49AA0E9D">
            <w:pPr>
              <w:pStyle w:val="129"/>
              <w:widowControl w:val="0"/>
              <w:rPr>
                <w:color w:val="auto"/>
              </w:rPr>
            </w:pPr>
            <w:r>
              <w:rPr>
                <w:color w:val="auto"/>
              </w:rPr>
              <w:t>82661.20</w:t>
            </w:r>
          </w:p>
        </w:tc>
      </w:tr>
    </w:tbl>
    <w:p w14:paraId="1753F07F">
      <w:pPr>
        <w:pStyle w:val="1304"/>
        <w:rPr>
          <w:color w:val="auto"/>
        </w:rPr>
      </w:pPr>
    </w:p>
    <w:p w14:paraId="0A3E0757">
      <w:pPr>
        <w:pStyle w:val="132"/>
        <w:rPr>
          <w:rFonts w:hint="eastAsia"/>
          <w:color w:val="auto"/>
        </w:rPr>
      </w:pPr>
      <w:r>
        <w:rPr>
          <w:rFonts w:hint="eastAsia"/>
          <w:color w:val="auto"/>
        </w:rPr>
        <w:t>根据表</w:t>
      </w:r>
      <w:r>
        <w:rPr>
          <w:color w:val="auto"/>
        </w:rPr>
        <w:t xml:space="preserve">3.4-2 </w:t>
      </w:r>
      <w:r>
        <w:rPr>
          <w:rFonts w:hint="eastAsia"/>
          <w:color w:val="auto"/>
        </w:rPr>
        <w:t>本项目采取碳减排措施后</w:t>
      </w:r>
      <w:r>
        <w:rPr>
          <w:color w:val="auto"/>
        </w:rPr>
        <w:t>CO</w:t>
      </w:r>
      <w:r>
        <w:rPr>
          <w:color w:val="auto"/>
          <w:vertAlign w:val="subscript"/>
        </w:rPr>
        <w:t>2</w:t>
      </w:r>
      <w:r>
        <w:rPr>
          <w:rFonts w:hint="eastAsia"/>
          <w:color w:val="auto"/>
        </w:rPr>
        <w:t>排放量为82661.20</w:t>
      </w:r>
      <w:r>
        <w:rPr>
          <w:color w:val="auto"/>
        </w:rPr>
        <w:t>t/a</w:t>
      </w:r>
      <w:r>
        <w:rPr>
          <w:rFonts w:hint="eastAsia"/>
          <w:color w:val="auto"/>
        </w:rPr>
        <w:t>，较原方案减排20702.53</w:t>
      </w:r>
      <w:r>
        <w:rPr>
          <w:color w:val="auto"/>
        </w:rPr>
        <w:t>t/a</w:t>
      </w:r>
      <w:r>
        <w:rPr>
          <w:rFonts w:hint="eastAsia"/>
          <w:color w:val="auto"/>
        </w:rPr>
        <w:t>。</w:t>
      </w:r>
    </w:p>
    <w:p w14:paraId="49C39146">
      <w:pPr>
        <w:pStyle w:val="4"/>
        <w:numPr>
          <w:ilvl w:val="2"/>
          <w:numId w:val="22"/>
        </w:numPr>
        <w:rPr>
          <w:color w:val="auto"/>
        </w:rPr>
      </w:pPr>
      <w:bookmarkStart w:id="249" w:name="OLE_LINK149"/>
      <w:r>
        <w:rPr>
          <w:rFonts w:hint="eastAsia"/>
          <w:color w:val="auto"/>
        </w:rPr>
        <w:t>碳减排措施</w:t>
      </w:r>
    </w:p>
    <w:p w14:paraId="6EA916C6">
      <w:pPr>
        <w:pStyle w:val="132"/>
        <w:rPr>
          <w:color w:val="auto"/>
        </w:rPr>
      </w:pPr>
      <w:r>
        <w:rPr>
          <w:rFonts w:hint="eastAsia"/>
          <w:color w:val="auto"/>
        </w:rPr>
        <w:t>本项目属于危险废物处置项目，根据项目特点，提出以下碳减排措施：</w:t>
      </w:r>
    </w:p>
    <w:p w14:paraId="67DB9CCB">
      <w:pPr>
        <w:pStyle w:val="132"/>
        <w:rPr>
          <w:color w:val="auto"/>
        </w:rPr>
      </w:pPr>
      <w:r>
        <w:rPr>
          <w:rFonts w:hint="eastAsia"/>
          <w:color w:val="auto"/>
        </w:rPr>
        <w:t>（</w:t>
      </w:r>
      <w:r>
        <w:rPr>
          <w:color w:val="auto"/>
        </w:rPr>
        <w:t>1</w:t>
      </w:r>
      <w:r>
        <w:rPr>
          <w:rFonts w:hint="eastAsia"/>
          <w:color w:val="auto"/>
        </w:rPr>
        <w:t>）本项目厂区内用电由依托当地清洁能源基地供应，可从源头降低二氧化碳排放量，可实现4</w:t>
      </w:r>
      <w:r>
        <w:rPr>
          <w:color w:val="auto"/>
        </w:rPr>
        <w:t>0%</w:t>
      </w:r>
      <w:r>
        <w:rPr>
          <w:rFonts w:hint="eastAsia"/>
          <w:color w:val="auto"/>
        </w:rPr>
        <w:t>的电力需求由绿色能源供应，利用绿电替代传统能源后，购入电力排放二氧化碳排放量为</w:t>
      </w:r>
      <w:r>
        <w:rPr>
          <w:color w:val="auto"/>
        </w:rPr>
        <w:t>21956.55 t/a</w:t>
      </w:r>
      <w:r>
        <w:rPr>
          <w:rFonts w:hint="eastAsia"/>
          <w:color w:val="auto"/>
        </w:rPr>
        <w:t>，可实现减排量为</w:t>
      </w:r>
      <w:r>
        <w:rPr>
          <w:color w:val="auto"/>
        </w:rPr>
        <w:t>9409.95 t/a</w:t>
      </w:r>
      <w:r>
        <w:rPr>
          <w:rFonts w:hint="eastAsia"/>
          <w:color w:val="auto"/>
        </w:rPr>
        <w:t>。</w:t>
      </w:r>
    </w:p>
    <w:p w14:paraId="6F1B031E">
      <w:pPr>
        <w:pStyle w:val="132"/>
        <w:rPr>
          <w:rFonts w:hAnsi="仿宋_GB2312" w:cs="仿宋_GB2312"/>
          <w:color w:val="auto"/>
        </w:rPr>
      </w:pPr>
      <w:r>
        <w:rPr>
          <w:rFonts w:hint="eastAsia" w:cs="仿宋_GB2312"/>
          <w:color w:val="auto"/>
          <w:lang w:bidi="ar"/>
        </w:rPr>
        <w:t>（</w:t>
      </w:r>
      <w:r>
        <w:rPr>
          <w:rFonts w:cs="仿宋_GB2312"/>
          <w:color w:val="auto"/>
          <w:lang w:bidi="ar"/>
        </w:rPr>
        <w:t>2</w:t>
      </w:r>
      <w:r>
        <w:rPr>
          <w:rFonts w:hint="eastAsia" w:cs="仿宋_GB2312"/>
          <w:color w:val="auto"/>
          <w:lang w:bidi="ar"/>
        </w:rPr>
        <w:t>）</w:t>
      </w:r>
      <w:r>
        <w:rPr>
          <w:rFonts w:hint="eastAsia" w:hAnsi="仿宋_GB2312" w:cs="仿宋_GB2312"/>
          <w:color w:val="auto"/>
        </w:rPr>
        <w:t>根据工艺生产的需要，按照工艺流向布置，物料顺行，合理分配运输量。</w:t>
      </w:r>
    </w:p>
    <w:p w14:paraId="7A537AE6">
      <w:pPr>
        <w:pStyle w:val="132"/>
        <w:rPr>
          <w:rFonts w:hAnsi="仿宋_GB2312" w:cs="仿宋_GB2312"/>
          <w:color w:val="auto"/>
        </w:rPr>
      </w:pPr>
      <w:r>
        <w:rPr>
          <w:rFonts w:hint="eastAsia" w:hAnsi="仿宋_GB2312" w:cs="仿宋_GB2312"/>
          <w:color w:val="auto"/>
        </w:rPr>
        <w:t>（</w:t>
      </w:r>
      <w:r>
        <w:rPr>
          <w:rFonts w:hAnsi="仿宋_GB2312" w:cs="仿宋_GB2312"/>
          <w:color w:val="auto"/>
        </w:rPr>
        <w:t>3</w:t>
      </w:r>
      <w:r>
        <w:rPr>
          <w:rFonts w:hint="eastAsia" w:hAnsi="仿宋_GB2312" w:cs="仿宋_GB2312"/>
          <w:color w:val="auto"/>
        </w:rPr>
        <w:t>）电力设备均选用节能产品，选用高功率因数电气设备，根据项目用电性质、用电容量等选择合理的供电电压和供电方式。</w:t>
      </w:r>
    </w:p>
    <w:p w14:paraId="6F9EC40F">
      <w:pPr>
        <w:pStyle w:val="132"/>
        <w:rPr>
          <w:color w:val="auto"/>
        </w:rPr>
      </w:pPr>
      <w:r>
        <w:rPr>
          <w:rFonts w:hint="eastAsia" w:hAnsi="仿宋_GB2312" w:cs="仿宋_GB2312"/>
          <w:color w:val="auto"/>
        </w:rPr>
        <w:t>（</w:t>
      </w:r>
      <w:r>
        <w:rPr>
          <w:rFonts w:hAnsi="仿宋_GB2312" w:cs="仿宋_GB2312"/>
          <w:color w:val="auto"/>
        </w:rPr>
        <w:t>4</w:t>
      </w:r>
      <w:r>
        <w:rPr>
          <w:rFonts w:hint="eastAsia" w:hAnsi="仿宋_GB2312" w:cs="仿宋_GB2312"/>
          <w:color w:val="auto"/>
        </w:rPr>
        <w:t>）定期编制《企业清洁生产审核报告》，建立健全企业碳排放管理体系，提升企业碳资产管理能力。</w:t>
      </w:r>
    </w:p>
    <w:p w14:paraId="38D4730E">
      <w:pPr>
        <w:pStyle w:val="132"/>
        <w:rPr>
          <w:color w:val="auto"/>
        </w:rPr>
      </w:pPr>
      <w:r>
        <w:rPr>
          <w:rFonts w:hint="eastAsia"/>
          <w:color w:val="auto"/>
        </w:rPr>
        <w:t>采取碳减排措施后二氧化碳排放量见表</w:t>
      </w:r>
      <w:r>
        <w:rPr>
          <w:color w:val="auto"/>
        </w:rPr>
        <w:t>3.4-2</w:t>
      </w:r>
      <w:r>
        <w:rPr>
          <w:rFonts w:hint="eastAsia"/>
          <w:color w:val="auto"/>
        </w:rPr>
        <w:t>。</w:t>
      </w:r>
    </w:p>
    <w:p w14:paraId="200CA2B7">
      <w:pPr>
        <w:pStyle w:val="132"/>
        <w:rPr>
          <w:color w:val="auto"/>
        </w:rPr>
      </w:pPr>
    </w:p>
    <w:p w14:paraId="66ADD8F0">
      <w:pPr>
        <w:pStyle w:val="132"/>
        <w:rPr>
          <w:rFonts w:hint="eastAsia"/>
          <w:color w:val="auto"/>
        </w:rPr>
      </w:pPr>
    </w:p>
    <w:p w14:paraId="494EA073">
      <w:pPr>
        <w:pStyle w:val="1060"/>
        <w:spacing w:before="163"/>
        <w:ind w:firstLine="400"/>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r>
        <w:rPr>
          <w:color w:val="auto"/>
        </w:rPr>
        <w:t xml:space="preserve">     </w:t>
      </w:r>
      <w:r>
        <w:rPr>
          <w:rFonts w:hint="eastAsia"/>
          <w:color w:val="auto"/>
        </w:rPr>
        <w:t>本项目采取碳减排措施后二氧化碳排放量汇总表</w:t>
      </w:r>
      <w:r>
        <w:rPr>
          <w:color w:val="auto"/>
        </w:rPr>
        <w:t xml:space="preserve">  </w:t>
      </w:r>
      <w:r>
        <w:rPr>
          <w:rFonts w:hint="eastAsia"/>
          <w:color w:val="auto"/>
        </w:rPr>
        <w:t>单位：</w:t>
      </w:r>
      <w:r>
        <w:rPr>
          <w:color w:val="auto"/>
        </w:rPr>
        <w:t>t/a</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578"/>
        <w:gridCol w:w="3794"/>
        <w:gridCol w:w="3414"/>
      </w:tblGrid>
      <w:tr w14:paraId="44EA6A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tcBorders>
              <w:top w:val="single" w:color="000000" w:themeColor="text1" w:sz="8" w:space="0"/>
              <w:left w:val="single" w:color="000000" w:themeColor="text1" w:sz="8" w:space="0"/>
              <w:bottom w:val="single" w:color="000000" w:themeColor="text1" w:sz="2" w:space="0"/>
              <w:right w:val="single" w:color="000000" w:themeColor="text1" w:sz="2" w:space="0"/>
            </w:tcBorders>
            <w:vAlign w:val="center"/>
          </w:tcPr>
          <w:p w14:paraId="686E36BD">
            <w:pPr>
              <w:pStyle w:val="129"/>
              <w:widowControl w:val="0"/>
              <w:ind w:firstLine="480"/>
              <w:rPr>
                <w:color w:val="auto"/>
              </w:rPr>
            </w:pPr>
            <w:r>
              <w:rPr>
                <w:rFonts w:hint="eastAsia"/>
                <w:color w:val="auto"/>
              </w:rPr>
              <w:t>序号</w:t>
            </w:r>
          </w:p>
        </w:tc>
        <w:tc>
          <w:tcPr>
            <w:tcW w:w="2159"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6736DE21">
            <w:pPr>
              <w:pStyle w:val="129"/>
              <w:widowControl w:val="0"/>
              <w:ind w:firstLine="512"/>
              <w:rPr>
                <w:color w:val="auto"/>
              </w:rPr>
            </w:pPr>
            <w:r>
              <w:rPr>
                <w:rFonts w:hint="eastAsia"/>
                <w:color w:val="auto"/>
                <w:spacing w:val="8"/>
              </w:rPr>
              <w:t>排放源类别</w:t>
            </w:r>
          </w:p>
        </w:tc>
        <w:tc>
          <w:tcPr>
            <w:tcW w:w="1943" w:type="pct"/>
            <w:tcBorders>
              <w:top w:val="single" w:color="000000" w:themeColor="text1" w:sz="8" w:space="0"/>
              <w:left w:val="single" w:color="000000" w:themeColor="text1" w:sz="2" w:space="0"/>
              <w:bottom w:val="single" w:color="000000" w:themeColor="text1" w:sz="2" w:space="0"/>
              <w:right w:val="single" w:color="000000" w:themeColor="text1" w:sz="8" w:space="0"/>
            </w:tcBorders>
            <w:vAlign w:val="center"/>
          </w:tcPr>
          <w:p w14:paraId="3EF4804A">
            <w:pPr>
              <w:pStyle w:val="129"/>
              <w:widowControl w:val="0"/>
              <w:ind w:firstLine="508"/>
              <w:rPr>
                <w:color w:val="auto"/>
              </w:rPr>
            </w:pPr>
            <w:r>
              <w:rPr>
                <w:rFonts w:hint="eastAsia"/>
                <w:color w:val="auto"/>
                <w:spacing w:val="7"/>
              </w:rPr>
              <w:t>本项目</w:t>
            </w:r>
            <w:r>
              <w:rPr>
                <w:color w:val="auto"/>
                <w:spacing w:val="-38"/>
              </w:rPr>
              <w:t xml:space="preserve"> </w:t>
            </w:r>
            <w:r>
              <w:rPr>
                <w:rFonts w:eastAsia="Times New Roman"/>
                <w:color w:val="auto"/>
              </w:rPr>
              <w:t>CO</w:t>
            </w:r>
            <w:r>
              <w:rPr>
                <w:rFonts w:eastAsia="Times New Roman"/>
                <w:color w:val="auto"/>
                <w:spacing w:val="7"/>
                <w:position w:val="-1"/>
                <w:sz w:val="13"/>
                <w:szCs w:val="13"/>
              </w:rPr>
              <w:t xml:space="preserve">2 </w:t>
            </w:r>
            <w:r>
              <w:rPr>
                <w:rFonts w:hint="eastAsia"/>
                <w:color w:val="auto"/>
                <w:spacing w:val="7"/>
              </w:rPr>
              <w:t>排放量</w:t>
            </w:r>
          </w:p>
        </w:tc>
      </w:tr>
      <w:tr w14:paraId="707457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700D4539">
            <w:pPr>
              <w:pStyle w:val="129"/>
              <w:widowControl w:val="0"/>
              <w:ind w:firstLine="400"/>
              <w:rPr>
                <w:rFonts w:eastAsia="Times New Roman"/>
                <w:color w:val="auto"/>
                <w:sz w:val="20"/>
                <w:szCs w:val="20"/>
              </w:rPr>
            </w:pPr>
            <w:r>
              <w:rPr>
                <w:rFonts w:eastAsia="Times New Roman"/>
                <w:color w:val="auto"/>
                <w:sz w:val="20"/>
                <w:szCs w:val="20"/>
              </w:rPr>
              <w:t>1</w:t>
            </w:r>
          </w:p>
        </w:tc>
        <w:tc>
          <w:tcPr>
            <w:tcW w:w="2159"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8258BE0">
            <w:pPr>
              <w:pStyle w:val="129"/>
              <w:widowControl w:val="0"/>
              <w:ind w:firstLine="512"/>
              <w:rPr>
                <w:color w:val="auto"/>
              </w:rPr>
            </w:pPr>
            <w:r>
              <w:rPr>
                <w:rFonts w:hint="eastAsia"/>
                <w:color w:val="auto"/>
                <w:spacing w:val="8"/>
              </w:rPr>
              <w:t>燃料燃烧排放</w:t>
            </w:r>
          </w:p>
        </w:tc>
        <w:tc>
          <w:tcPr>
            <w:tcW w:w="1943"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6373E711">
            <w:pPr>
              <w:pStyle w:val="129"/>
              <w:widowControl w:val="0"/>
              <w:ind w:firstLine="480"/>
              <w:rPr>
                <w:color w:val="auto"/>
              </w:rPr>
            </w:pPr>
            <w:r>
              <w:rPr>
                <w:color w:val="auto"/>
              </w:rPr>
              <w:t>2637.558</w:t>
            </w:r>
          </w:p>
        </w:tc>
      </w:tr>
      <w:tr w14:paraId="458D9DE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3A3DADA6">
            <w:pPr>
              <w:pStyle w:val="129"/>
              <w:widowControl w:val="0"/>
              <w:ind w:firstLine="400"/>
              <w:rPr>
                <w:rFonts w:eastAsia="Times New Roman"/>
                <w:color w:val="auto"/>
                <w:sz w:val="20"/>
                <w:szCs w:val="20"/>
              </w:rPr>
            </w:pPr>
            <w:r>
              <w:rPr>
                <w:rFonts w:eastAsia="Times New Roman"/>
                <w:color w:val="auto"/>
                <w:sz w:val="20"/>
                <w:szCs w:val="20"/>
              </w:rPr>
              <w:t>2</w:t>
            </w:r>
          </w:p>
        </w:tc>
        <w:tc>
          <w:tcPr>
            <w:tcW w:w="2159"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B3B9E3B">
            <w:pPr>
              <w:pStyle w:val="129"/>
              <w:widowControl w:val="0"/>
              <w:ind w:firstLine="512"/>
              <w:rPr>
                <w:color w:val="auto"/>
              </w:rPr>
            </w:pPr>
            <w:r>
              <w:rPr>
                <w:rFonts w:hint="eastAsia"/>
                <w:color w:val="auto"/>
                <w:spacing w:val="8"/>
              </w:rPr>
              <w:t>工业生产过程排放</w:t>
            </w:r>
          </w:p>
        </w:tc>
        <w:tc>
          <w:tcPr>
            <w:tcW w:w="1943"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693230F9">
            <w:pPr>
              <w:pStyle w:val="129"/>
              <w:widowControl w:val="0"/>
              <w:ind w:firstLine="480"/>
              <w:rPr>
                <w:color w:val="auto"/>
              </w:rPr>
            </w:pPr>
            <w:r>
              <w:rPr>
                <w:color w:val="auto"/>
              </w:rPr>
              <w:t>108.9</w:t>
            </w:r>
          </w:p>
        </w:tc>
      </w:tr>
      <w:tr w14:paraId="2FAC3C7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64EF2112">
            <w:pPr>
              <w:pStyle w:val="129"/>
              <w:widowControl w:val="0"/>
              <w:ind w:firstLine="400"/>
              <w:rPr>
                <w:rFonts w:eastAsia="Times New Roman"/>
                <w:color w:val="auto"/>
                <w:sz w:val="20"/>
                <w:szCs w:val="20"/>
              </w:rPr>
            </w:pPr>
            <w:r>
              <w:rPr>
                <w:rFonts w:eastAsia="Times New Roman"/>
                <w:color w:val="auto"/>
                <w:sz w:val="20"/>
                <w:szCs w:val="20"/>
              </w:rPr>
              <w:t>3</w:t>
            </w:r>
          </w:p>
        </w:tc>
        <w:tc>
          <w:tcPr>
            <w:tcW w:w="2159"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4D4A94C">
            <w:pPr>
              <w:pStyle w:val="129"/>
              <w:widowControl w:val="0"/>
              <w:ind w:firstLine="512"/>
              <w:rPr>
                <w:color w:val="auto"/>
              </w:rPr>
            </w:pPr>
            <w:r>
              <w:rPr>
                <w:rFonts w:hint="eastAsia"/>
                <w:color w:val="auto"/>
                <w:spacing w:val="8"/>
              </w:rPr>
              <w:t>购入电力排放</w:t>
            </w:r>
          </w:p>
        </w:tc>
        <w:tc>
          <w:tcPr>
            <w:tcW w:w="1943"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2D6FA8D2">
            <w:pPr>
              <w:pStyle w:val="129"/>
              <w:widowControl w:val="0"/>
              <w:ind w:firstLine="480"/>
              <w:rPr>
                <w:color w:val="auto"/>
              </w:rPr>
            </w:pPr>
            <w:r>
              <w:rPr>
                <w:color w:val="auto"/>
              </w:rPr>
              <w:t>21956.55</w:t>
            </w:r>
          </w:p>
        </w:tc>
      </w:tr>
      <w:tr w14:paraId="1022E46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7D9828DF">
            <w:pPr>
              <w:pStyle w:val="129"/>
              <w:widowControl w:val="0"/>
              <w:ind w:firstLine="404"/>
              <w:rPr>
                <w:rFonts w:eastAsia="Times New Roman"/>
                <w:color w:val="auto"/>
                <w:sz w:val="20"/>
                <w:szCs w:val="20"/>
              </w:rPr>
            </w:pPr>
            <w:r>
              <w:rPr>
                <w:rFonts w:eastAsia="Times New Roman"/>
                <w:color w:val="auto"/>
                <w:spacing w:val="1"/>
                <w:sz w:val="20"/>
                <w:szCs w:val="20"/>
              </w:rPr>
              <w:t>4</w:t>
            </w:r>
          </w:p>
        </w:tc>
        <w:tc>
          <w:tcPr>
            <w:tcW w:w="2159"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164E115">
            <w:pPr>
              <w:pStyle w:val="129"/>
              <w:widowControl w:val="0"/>
              <w:ind w:firstLine="512"/>
              <w:rPr>
                <w:color w:val="auto"/>
              </w:rPr>
            </w:pPr>
            <w:r>
              <w:rPr>
                <w:rFonts w:hint="eastAsia"/>
                <w:color w:val="auto"/>
                <w:spacing w:val="8"/>
              </w:rPr>
              <w:t>购入热力排放</w:t>
            </w:r>
          </w:p>
        </w:tc>
        <w:tc>
          <w:tcPr>
            <w:tcW w:w="1943"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261BB607">
            <w:pPr>
              <w:pStyle w:val="129"/>
              <w:widowControl w:val="0"/>
              <w:ind w:firstLine="480"/>
              <w:rPr>
                <w:color w:val="auto"/>
              </w:rPr>
            </w:pPr>
            <w:r>
              <w:rPr>
                <w:color w:val="auto"/>
              </w:rPr>
              <w:t>0</w:t>
            </w:r>
          </w:p>
        </w:tc>
      </w:tr>
      <w:tr w14:paraId="42A7162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25A08C7F">
            <w:pPr>
              <w:pStyle w:val="129"/>
              <w:widowControl w:val="0"/>
              <w:ind w:firstLine="400"/>
              <w:rPr>
                <w:rFonts w:eastAsia="Times New Roman"/>
                <w:color w:val="auto"/>
                <w:sz w:val="20"/>
                <w:szCs w:val="20"/>
              </w:rPr>
            </w:pPr>
            <w:r>
              <w:rPr>
                <w:rFonts w:eastAsia="Times New Roman"/>
                <w:color w:val="auto"/>
                <w:sz w:val="20"/>
                <w:szCs w:val="20"/>
              </w:rPr>
              <w:t>5</w:t>
            </w:r>
          </w:p>
        </w:tc>
        <w:tc>
          <w:tcPr>
            <w:tcW w:w="2159"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B3AB882">
            <w:pPr>
              <w:pStyle w:val="129"/>
              <w:widowControl w:val="0"/>
              <w:ind w:firstLine="480"/>
              <w:rPr>
                <w:color w:val="auto"/>
              </w:rPr>
            </w:pPr>
            <w:r>
              <w:rPr>
                <w:rFonts w:hint="eastAsia"/>
                <w:color w:val="auto"/>
              </w:rPr>
              <w:t>输出电力、热力产生的</w:t>
            </w:r>
            <w:r>
              <w:rPr>
                <w:color w:val="auto"/>
              </w:rPr>
              <w:t>CO</w:t>
            </w:r>
            <w:r>
              <w:rPr>
                <w:color w:val="auto"/>
                <w:vertAlign w:val="subscript"/>
              </w:rPr>
              <w:t>2</w:t>
            </w:r>
            <w:r>
              <w:rPr>
                <w:rFonts w:hint="eastAsia"/>
                <w:color w:val="auto"/>
              </w:rPr>
              <w:t>排放量</w:t>
            </w:r>
          </w:p>
        </w:tc>
        <w:tc>
          <w:tcPr>
            <w:tcW w:w="1943"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36C51AEF">
            <w:pPr>
              <w:pStyle w:val="129"/>
              <w:widowControl w:val="0"/>
              <w:ind w:firstLine="480"/>
              <w:rPr>
                <w:color w:val="auto"/>
              </w:rPr>
            </w:pPr>
            <w:r>
              <w:rPr>
                <w:color w:val="auto"/>
              </w:rPr>
              <w:t>0</w:t>
            </w:r>
          </w:p>
        </w:tc>
      </w:tr>
      <w:tr w14:paraId="60E1EA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98" w:type="pct"/>
            <w:tcBorders>
              <w:top w:val="single" w:color="000000" w:themeColor="text1" w:sz="2" w:space="0"/>
              <w:left w:val="single" w:color="000000" w:themeColor="text1" w:sz="8" w:space="0"/>
              <w:bottom w:val="single" w:color="000000" w:themeColor="text1" w:sz="8" w:space="0"/>
              <w:right w:val="single" w:color="000000" w:themeColor="text1" w:sz="2" w:space="0"/>
            </w:tcBorders>
            <w:vAlign w:val="center"/>
          </w:tcPr>
          <w:p w14:paraId="1F0962AF">
            <w:pPr>
              <w:pStyle w:val="129"/>
              <w:widowControl w:val="0"/>
              <w:ind w:firstLine="480"/>
              <w:rPr>
                <w:color w:val="auto"/>
              </w:rPr>
            </w:pPr>
          </w:p>
        </w:tc>
        <w:tc>
          <w:tcPr>
            <w:tcW w:w="2159"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461B93DD">
            <w:pPr>
              <w:pStyle w:val="129"/>
              <w:widowControl w:val="0"/>
              <w:ind w:firstLine="496"/>
              <w:rPr>
                <w:color w:val="auto"/>
              </w:rPr>
            </w:pPr>
            <w:r>
              <w:rPr>
                <w:rFonts w:hint="eastAsia"/>
                <w:color w:val="auto"/>
                <w:spacing w:val="4"/>
              </w:rPr>
              <w:t>合计</w:t>
            </w:r>
          </w:p>
        </w:tc>
        <w:tc>
          <w:tcPr>
            <w:tcW w:w="1943" w:type="pct"/>
            <w:tcBorders>
              <w:top w:val="single" w:color="000000" w:themeColor="text1" w:sz="2" w:space="0"/>
              <w:left w:val="single" w:color="000000" w:themeColor="text1" w:sz="2" w:space="0"/>
              <w:bottom w:val="single" w:color="000000" w:themeColor="text1" w:sz="8" w:space="0"/>
              <w:right w:val="single" w:color="000000" w:themeColor="text1" w:sz="8" w:space="0"/>
            </w:tcBorders>
            <w:vAlign w:val="center"/>
          </w:tcPr>
          <w:p w14:paraId="2B045948">
            <w:pPr>
              <w:pStyle w:val="129"/>
              <w:widowControl w:val="0"/>
              <w:ind w:firstLine="480"/>
              <w:rPr>
                <w:color w:val="auto"/>
              </w:rPr>
            </w:pPr>
            <w:r>
              <w:rPr>
                <w:color w:val="auto"/>
              </w:rPr>
              <w:t>24703.008</w:t>
            </w:r>
          </w:p>
        </w:tc>
      </w:tr>
    </w:tbl>
    <w:p w14:paraId="55E99987">
      <w:pPr>
        <w:pStyle w:val="1304"/>
        <w:rPr>
          <w:color w:val="auto"/>
        </w:rPr>
      </w:pPr>
    </w:p>
    <w:p w14:paraId="7DB3A768">
      <w:pPr>
        <w:pStyle w:val="132"/>
        <w:rPr>
          <w:rFonts w:hint="eastAsia"/>
          <w:color w:val="auto"/>
        </w:rPr>
      </w:pPr>
      <w:r>
        <w:rPr>
          <w:rFonts w:hint="eastAsia"/>
          <w:color w:val="auto"/>
        </w:rPr>
        <w:t>根据表</w:t>
      </w:r>
      <w:r>
        <w:rPr>
          <w:color w:val="auto"/>
        </w:rPr>
        <w:t xml:space="preserve">3.4-2 </w:t>
      </w:r>
      <w:r>
        <w:rPr>
          <w:rFonts w:hint="eastAsia"/>
          <w:color w:val="auto"/>
        </w:rPr>
        <w:t>本项目采取碳减排措施后</w:t>
      </w:r>
      <w:r>
        <w:rPr>
          <w:color w:val="auto"/>
        </w:rPr>
        <w:t>CO</w:t>
      </w:r>
      <w:r>
        <w:rPr>
          <w:color w:val="auto"/>
          <w:vertAlign w:val="subscript"/>
        </w:rPr>
        <w:t>2</w:t>
      </w:r>
      <w:r>
        <w:rPr>
          <w:rFonts w:hint="eastAsia"/>
          <w:color w:val="auto"/>
        </w:rPr>
        <w:t>排放量为</w:t>
      </w:r>
      <w:r>
        <w:rPr>
          <w:color w:val="auto"/>
        </w:rPr>
        <w:t>24703.008t/a</w:t>
      </w:r>
      <w:r>
        <w:rPr>
          <w:rFonts w:hint="eastAsia"/>
          <w:color w:val="auto"/>
        </w:rPr>
        <w:t>，较原方案减排</w:t>
      </w:r>
      <w:r>
        <w:rPr>
          <w:color w:val="auto"/>
        </w:rPr>
        <w:t>9409.95t/a</w:t>
      </w:r>
      <w:r>
        <w:rPr>
          <w:rFonts w:hint="eastAsia"/>
          <w:color w:val="auto"/>
        </w:rPr>
        <w:t>。</w:t>
      </w:r>
      <w:bookmarkEnd w:id="249"/>
    </w:p>
    <w:p w14:paraId="19003DA9">
      <w:pPr>
        <w:pStyle w:val="3"/>
        <w:rPr>
          <w:color w:val="auto"/>
        </w:rPr>
      </w:pPr>
      <w:bookmarkStart w:id="250" w:name="_Toc229930128"/>
      <w:r>
        <w:rPr>
          <w:rFonts w:hint="eastAsia"/>
          <w:color w:val="auto"/>
        </w:rPr>
        <w:t>总量控制</w:t>
      </w:r>
      <w:bookmarkEnd w:id="250"/>
    </w:p>
    <w:p w14:paraId="394A4E71">
      <w:pPr>
        <w:pStyle w:val="4"/>
        <w:rPr>
          <w:color w:val="auto"/>
        </w:rPr>
      </w:pPr>
      <w:r>
        <w:rPr>
          <w:color w:val="auto"/>
        </w:rPr>
        <w:t>总量控制因子</w:t>
      </w:r>
    </w:p>
    <w:p w14:paraId="72B01AEA">
      <w:pPr>
        <w:pStyle w:val="132"/>
        <w:rPr>
          <w:color w:val="auto"/>
        </w:rPr>
      </w:pPr>
      <w:r>
        <w:rPr>
          <w:rFonts w:hAnsi="宋体"/>
          <w:color w:val="auto"/>
        </w:rPr>
        <w:t>根据《关于落实大气污染防治行动计划严格环境影响评价准入的通知》（环办</w:t>
      </w:r>
      <w:r>
        <w:rPr>
          <w:rFonts w:hint="eastAsia" w:hAnsi="宋体"/>
          <w:color w:val="auto"/>
        </w:rPr>
        <w:t>〔2014〕30号</w:t>
      </w:r>
      <w:r>
        <w:rPr>
          <w:rFonts w:hAnsi="宋体"/>
          <w:color w:val="auto"/>
        </w:rPr>
        <w:t>）、《关于印发</w:t>
      </w:r>
      <w:r>
        <w:rPr>
          <w:rFonts w:hint="eastAsia" w:hAnsi="宋体"/>
          <w:color w:val="auto"/>
        </w:rPr>
        <w:t>〈</w:t>
      </w:r>
      <w:r>
        <w:rPr>
          <w:rFonts w:hAnsi="宋体"/>
          <w:color w:val="auto"/>
        </w:rPr>
        <w:t>建设项目主要污染物排放总量指标审核及管理暂行办法</w:t>
      </w:r>
      <w:r>
        <w:rPr>
          <w:rFonts w:hint="eastAsia" w:hAnsi="宋体"/>
          <w:color w:val="auto"/>
        </w:rPr>
        <w:t>〉</w:t>
      </w:r>
      <w:r>
        <w:rPr>
          <w:rFonts w:hAnsi="宋体"/>
          <w:color w:val="auto"/>
        </w:rPr>
        <w:t>的通知》（环发</w:t>
      </w:r>
      <w:r>
        <w:rPr>
          <w:rFonts w:hint="eastAsia" w:hAnsi="宋体"/>
          <w:color w:val="auto"/>
        </w:rPr>
        <w:t>〔2014〕197号</w:t>
      </w:r>
      <w:r>
        <w:rPr>
          <w:rFonts w:hAnsi="宋体"/>
          <w:color w:val="auto"/>
        </w:rPr>
        <w:t>）、《关于加强重点行业建设项目区域消减措施监督管理的通知》（环办环评〔</w:t>
      </w:r>
      <w:r>
        <w:rPr>
          <w:color w:val="auto"/>
        </w:rPr>
        <w:t>2020</w:t>
      </w:r>
      <w:r>
        <w:rPr>
          <w:rFonts w:hAnsi="宋体"/>
          <w:color w:val="auto"/>
        </w:rPr>
        <w:t>〕</w:t>
      </w:r>
      <w:r>
        <w:rPr>
          <w:color w:val="auto"/>
        </w:rPr>
        <w:t>36</w:t>
      </w:r>
      <w:r>
        <w:rPr>
          <w:rFonts w:hAnsi="宋体"/>
          <w:color w:val="auto"/>
        </w:rPr>
        <w:t>号）</w:t>
      </w:r>
      <w:r>
        <w:rPr>
          <w:rFonts w:hint="eastAsia" w:hAnsi="宋体"/>
          <w:color w:val="auto"/>
        </w:rPr>
        <w:t>文件</w:t>
      </w:r>
      <w:r>
        <w:rPr>
          <w:rFonts w:hint="eastAsia"/>
          <w:color w:val="auto"/>
        </w:rPr>
        <w:t>要求，考虑本项目污染物排放特点、所在区域的环境特征及当地环境管理部门要求，确定污染物总量控制因子包括氮氧化物（NOx）、挥发性有机物。</w:t>
      </w:r>
    </w:p>
    <w:p w14:paraId="6905895A">
      <w:pPr>
        <w:pStyle w:val="4"/>
        <w:rPr>
          <w:color w:val="auto"/>
        </w:rPr>
      </w:pPr>
      <w:r>
        <w:rPr>
          <w:color w:val="auto"/>
        </w:rPr>
        <w:t>污染物排放总量控制指标</w:t>
      </w:r>
    </w:p>
    <w:p w14:paraId="147335C3">
      <w:pPr>
        <w:pStyle w:val="132"/>
        <w:rPr>
          <w:color w:val="auto"/>
        </w:rPr>
      </w:pPr>
      <w:bookmarkStart w:id="251" w:name="_Hlk202278186"/>
      <w:r>
        <w:rPr>
          <w:color w:val="auto"/>
        </w:rPr>
        <w:t xml:space="preserve">根据污染物排放情况，本项目废气污染物总量：NOx </w:t>
      </w:r>
      <w:r>
        <w:rPr>
          <w:rFonts w:hint="eastAsia"/>
          <w:color w:val="auto"/>
        </w:rPr>
        <w:t>6.354</w:t>
      </w:r>
      <w:r>
        <w:rPr>
          <w:color w:val="auto"/>
        </w:rPr>
        <w:t>t/a</w:t>
      </w:r>
      <w:r>
        <w:rPr>
          <w:rFonts w:hint="eastAsia"/>
          <w:color w:val="auto"/>
        </w:rPr>
        <w:t>，生产产生的冷凝水除自用外其余送乌鲁木齐众荣电子材料科技有限公司回用，清净下水和生活污水送园区污水处理厂处理，无需申请总量控制指标</w:t>
      </w:r>
      <w:r>
        <w:rPr>
          <w:color w:val="auto"/>
        </w:rPr>
        <w:t>。</w:t>
      </w:r>
    </w:p>
    <w:bookmarkEnd w:id="251"/>
    <w:p w14:paraId="22E23B2E">
      <w:pPr>
        <w:pStyle w:val="3"/>
        <w:rPr>
          <w:color w:val="auto"/>
        </w:rPr>
      </w:pPr>
      <w:bookmarkStart w:id="252" w:name="_Toc229930129"/>
      <w:r>
        <w:rPr>
          <w:rFonts w:hint="eastAsia"/>
          <w:color w:val="auto"/>
        </w:rPr>
        <w:t>清洁生产简析</w:t>
      </w:r>
      <w:bookmarkEnd w:id="252"/>
    </w:p>
    <w:p w14:paraId="5C05162C">
      <w:pPr>
        <w:pStyle w:val="4"/>
        <w:rPr>
          <w:color w:val="auto"/>
        </w:rPr>
      </w:pPr>
      <w:r>
        <w:rPr>
          <w:rFonts w:hint="eastAsia"/>
          <w:color w:val="auto"/>
        </w:rPr>
        <w:t>清洁生产评价指标</w:t>
      </w:r>
    </w:p>
    <w:p w14:paraId="4A30743E">
      <w:pPr>
        <w:pStyle w:val="132"/>
        <w:rPr>
          <w:color w:val="auto"/>
        </w:rPr>
      </w:pPr>
      <w:r>
        <w:rPr>
          <w:rFonts w:hint="eastAsia"/>
          <w:color w:val="auto"/>
        </w:rPr>
        <w:t>本次评价参照《清洁生产评价指标体系编制通则（试行稿）》推荐的清洁生产评价指标选取本项目的清洁生产评价指标，主要包括生产工艺及装备指标、资源能源消耗指标、资源综合利用指标、污染物产生指标、产品特征指标、清洁生产管理指标六个指标体系。</w:t>
      </w:r>
    </w:p>
    <w:p w14:paraId="3FE85BB2">
      <w:pPr>
        <w:pStyle w:val="4"/>
        <w:rPr>
          <w:color w:val="auto"/>
        </w:rPr>
      </w:pPr>
      <w:r>
        <w:rPr>
          <w:rFonts w:hint="eastAsia"/>
          <w:color w:val="auto"/>
        </w:rPr>
        <w:t>项目清洁生产水平分析</w:t>
      </w:r>
    </w:p>
    <w:p w14:paraId="50128817">
      <w:pPr>
        <w:pStyle w:val="132"/>
        <w:rPr>
          <w:color w:val="auto"/>
        </w:rPr>
      </w:pPr>
      <w:r>
        <w:rPr>
          <w:rFonts w:hint="eastAsia"/>
          <w:color w:val="auto"/>
        </w:rPr>
        <w:t>（1）生产工艺及装备指标</w:t>
      </w:r>
    </w:p>
    <w:p w14:paraId="71FBBEAF">
      <w:pPr>
        <w:pStyle w:val="132"/>
        <w:rPr>
          <w:color w:val="auto"/>
        </w:rPr>
      </w:pPr>
      <w:r>
        <w:rPr>
          <w:color w:val="auto"/>
        </w:rPr>
        <w:t>废酸、废碱的</w:t>
      </w:r>
      <w:r>
        <w:rPr>
          <w:rFonts w:hint="eastAsia"/>
          <w:color w:val="auto"/>
        </w:rPr>
        <w:t>处理和综合利用技术主要有三种：</w:t>
      </w:r>
      <w:r>
        <w:rPr>
          <w:color w:val="auto"/>
        </w:rPr>
        <w:t>协同中和</w:t>
      </w:r>
      <w:r>
        <w:rPr>
          <w:rFonts w:hint="eastAsia"/>
          <w:color w:val="auto"/>
        </w:rPr>
        <w:t>－</w:t>
      </w:r>
      <w:r>
        <w:rPr>
          <w:color w:val="auto"/>
        </w:rPr>
        <w:t>沉淀技术、高效氧化</w:t>
      </w:r>
      <w:r>
        <w:rPr>
          <w:rFonts w:hint="eastAsia"/>
          <w:color w:val="auto"/>
        </w:rPr>
        <w:t>－</w:t>
      </w:r>
      <w:r>
        <w:rPr>
          <w:color w:val="auto"/>
        </w:rPr>
        <w:t>资源再生技术、连续式物化处置技术。</w:t>
      </w:r>
      <w:bookmarkStart w:id="253" w:name="OLE_LINK103"/>
      <w:r>
        <w:rPr>
          <w:color w:val="auto"/>
        </w:rPr>
        <w:t>协同中和</w:t>
      </w:r>
      <w:r>
        <w:rPr>
          <w:rFonts w:hint="eastAsia"/>
          <w:color w:val="auto"/>
        </w:rPr>
        <w:t>－</w:t>
      </w:r>
      <w:r>
        <w:rPr>
          <w:color w:val="auto"/>
        </w:rPr>
        <w:t>沉淀技术</w:t>
      </w:r>
      <w:bookmarkEnd w:id="253"/>
      <w:r>
        <w:rPr>
          <w:color w:val="auto"/>
        </w:rPr>
        <w:t>利用酸碱中和反应结合金属沉淀原理，实现污染物去除与资源同步回收，尤其适合含金属离子的废酸废碱处理。高效氧化</w:t>
      </w:r>
      <w:r>
        <w:rPr>
          <w:rFonts w:hint="eastAsia"/>
          <w:color w:val="auto"/>
        </w:rPr>
        <w:t>－</w:t>
      </w:r>
      <w:r>
        <w:rPr>
          <w:color w:val="auto"/>
        </w:rPr>
        <w:t>资源再生技术针对高COD、高氨氮的有机废酸，采用阶梯式氧化工艺实现有机物深度分解与酸回收。连续式物化处置技术针对大规模危废处置需求，</w:t>
      </w:r>
      <w:r>
        <w:rPr>
          <w:rFonts w:hint="eastAsia"/>
          <w:color w:val="auto"/>
        </w:rPr>
        <w:t>采用</w:t>
      </w:r>
      <w:r>
        <w:rPr>
          <w:color w:val="auto"/>
        </w:rPr>
        <w:t>连续流装置替代传统间歇式工艺，显著提升处理效率。</w:t>
      </w:r>
    </w:p>
    <w:p w14:paraId="61CF21BB">
      <w:pPr>
        <w:pStyle w:val="132"/>
        <w:rPr>
          <w:color w:val="auto"/>
        </w:rPr>
      </w:pPr>
      <w:r>
        <w:rPr>
          <w:rFonts w:hint="eastAsia"/>
          <w:color w:val="auto"/>
        </w:rPr>
        <w:t>本项目处理的废酸、废碱液主要来自铝腐蚀箔、化成箔生产厂家，主要为了回收废酸、废碱中的铝，适用于</w:t>
      </w:r>
      <w:r>
        <w:rPr>
          <w:color w:val="auto"/>
        </w:rPr>
        <w:t>协同中和</w:t>
      </w:r>
      <w:r>
        <w:rPr>
          <w:rFonts w:hint="eastAsia"/>
          <w:color w:val="auto"/>
        </w:rPr>
        <w:t>－</w:t>
      </w:r>
      <w:r>
        <w:rPr>
          <w:color w:val="auto"/>
        </w:rPr>
        <w:t>沉淀技术</w:t>
      </w:r>
      <w:r>
        <w:rPr>
          <w:rFonts w:hint="eastAsia"/>
          <w:color w:val="auto"/>
        </w:rPr>
        <w:t>。</w:t>
      </w:r>
    </w:p>
    <w:p w14:paraId="624DDAF9">
      <w:pPr>
        <w:pStyle w:val="132"/>
        <w:rPr>
          <w:color w:val="auto"/>
        </w:rPr>
      </w:pPr>
      <w:r>
        <w:rPr>
          <w:rFonts w:hint="eastAsia"/>
          <w:color w:val="auto"/>
        </w:rPr>
        <w:t>对照《产业结构调整指导目录（2024年本）》，本项目未使用限制类和淘汰类的工业和设备。</w:t>
      </w:r>
    </w:p>
    <w:p w14:paraId="5FD66CB4">
      <w:pPr>
        <w:pStyle w:val="132"/>
        <w:rPr>
          <w:color w:val="auto"/>
        </w:rPr>
      </w:pPr>
      <w:r>
        <w:rPr>
          <w:rFonts w:hint="eastAsia"/>
          <w:color w:val="auto"/>
        </w:rPr>
        <w:t>（2）资源能源消耗指标</w:t>
      </w:r>
    </w:p>
    <w:p w14:paraId="401524F6">
      <w:pPr>
        <w:pStyle w:val="132"/>
        <w:rPr>
          <w:color w:val="auto"/>
        </w:rPr>
      </w:pPr>
      <w:r>
        <w:rPr>
          <w:rFonts w:hint="eastAsia"/>
          <w:color w:val="auto"/>
        </w:rPr>
        <w:t>本项目主要原辅材料主要包括氨水、树脂、硫酸、二氧化碳、尿素溶液、硝酸、田菁胶、醋酸钴、硝酸钨、醋酸锆、钼酸、醋酸铁、醋酸镍、醋酸铜、硝酸钯、硝酸铂、醋酸铑等，消耗能源主要包括电力和燃料气，项目运行期原料均是较为常见化学品，在满足产品质量的前提下，尽量采用低毒且易回收的物质；项目原材料中不包含国家明令禁止采用的具有致癌致畸、剧毒的物质。</w:t>
      </w:r>
    </w:p>
    <w:p w14:paraId="0637B69B">
      <w:pPr>
        <w:pStyle w:val="132"/>
        <w:rPr>
          <w:color w:val="auto"/>
        </w:rPr>
      </w:pPr>
      <w:r>
        <w:rPr>
          <w:rFonts w:hint="eastAsia"/>
          <w:color w:val="auto"/>
        </w:rPr>
        <w:t>能源综合利用上，本项目为推行节能措施建立资源能源节约型的绿色企业，其主要关键在于对各种能源、资源的重复利用，只有综合利用，方能达到既节能又减排的目的。</w:t>
      </w:r>
    </w:p>
    <w:p w14:paraId="2265057E">
      <w:pPr>
        <w:pStyle w:val="132"/>
        <w:rPr>
          <w:color w:val="auto"/>
        </w:rPr>
      </w:pPr>
      <w:r>
        <w:rPr>
          <w:rFonts w:hint="eastAsia"/>
          <w:color w:val="auto"/>
        </w:rPr>
        <w:t>项目催化剂生产过程中载体焙烧炉和催化剂焙烧炉的天然气燃烧废气不与物料直接接触，热烟气进入载体干燥炉和浸渍干燥炉进行换热，减少了天然气的消耗，节约了能源。</w:t>
      </w:r>
    </w:p>
    <w:p w14:paraId="18907A8F">
      <w:pPr>
        <w:pStyle w:val="132"/>
        <w:rPr>
          <w:color w:val="auto"/>
        </w:rPr>
      </w:pPr>
      <w:r>
        <w:rPr>
          <w:rFonts w:hint="eastAsia"/>
          <w:color w:val="auto"/>
        </w:rPr>
        <w:t>项目各个需要冷却的工段均采用循环冷却水，减少了冷却水的外排和损耗，提高了水资源的有效利用效率；供热上，采用兖矿新疆煤化工有限公司的富余蒸汽，符合清洁生产要求；供电节能上，建设单位在电力系统输配供电设计时即选用节能降耗新型设备，各种电气设备均选用节能产品，厂内供电电缆及车间配电线路按满足负荷和节能的原则选择导线截面， 配电设计尽量使配电设施靠近负荷较大的设备。照明光源采用新型节能灯具，在满足装置照度及光色的条件下，减少灯具用量及灯具容量，达到节能目的。</w:t>
      </w:r>
    </w:p>
    <w:p w14:paraId="79BA73DF">
      <w:pPr>
        <w:pStyle w:val="132"/>
        <w:rPr>
          <w:color w:val="auto"/>
        </w:rPr>
      </w:pPr>
      <w:r>
        <w:rPr>
          <w:rFonts w:hint="eastAsia"/>
          <w:color w:val="auto"/>
        </w:rPr>
        <w:t>因此，项目在资源与能源的利用上达到了国内清洁生产先进水平。</w:t>
      </w:r>
    </w:p>
    <w:p w14:paraId="00FC2D7F">
      <w:pPr>
        <w:pStyle w:val="132"/>
        <w:rPr>
          <w:color w:val="auto"/>
        </w:rPr>
      </w:pPr>
      <w:r>
        <w:rPr>
          <w:rFonts w:hint="eastAsia"/>
          <w:color w:val="auto"/>
        </w:rPr>
        <w:t>（3）资源综合利用指标</w:t>
      </w:r>
    </w:p>
    <w:p w14:paraId="656A21CC">
      <w:pPr>
        <w:pStyle w:val="132"/>
        <w:rPr>
          <w:color w:val="auto"/>
        </w:rPr>
      </w:pPr>
      <w:r>
        <w:rPr>
          <w:rFonts w:hint="eastAsia"/>
          <w:color w:val="auto"/>
        </w:rPr>
        <w:t>本项目采用协同中和－沉淀技术处理废酸和废碱液，主要处理乌鲁木齐众荣电子材料科技有限公司及疆内其他电极箔生产厂家产生的废酸、废碱液，设计废酸液年处理能力</w:t>
      </w:r>
      <w:r>
        <w:rPr>
          <w:color w:val="auto"/>
        </w:rPr>
        <w:t>100</w:t>
      </w:r>
      <w:r>
        <w:rPr>
          <w:rFonts w:hint="eastAsia"/>
          <w:color w:val="auto"/>
        </w:rPr>
        <w:t>万</w:t>
      </w:r>
      <w:r>
        <w:rPr>
          <w:color w:val="auto"/>
        </w:rPr>
        <w:t>m</w:t>
      </w:r>
      <w:r>
        <w:rPr>
          <w:color w:val="auto"/>
          <w:vertAlign w:val="superscript"/>
        </w:rPr>
        <w:t>3</w:t>
      </w:r>
      <w:r>
        <w:rPr>
          <w:rFonts w:hint="eastAsia"/>
          <w:color w:val="auto"/>
        </w:rPr>
        <w:t>，废碱液处理能力</w:t>
      </w:r>
      <w:r>
        <w:rPr>
          <w:color w:val="auto"/>
        </w:rPr>
        <w:t>12</w:t>
      </w:r>
      <w:r>
        <w:rPr>
          <w:rFonts w:hint="eastAsia"/>
          <w:color w:val="auto"/>
        </w:rPr>
        <w:t>万</w:t>
      </w:r>
      <w:r>
        <w:rPr>
          <w:color w:val="auto"/>
        </w:rPr>
        <w:t>m</w:t>
      </w:r>
      <w:r>
        <w:rPr>
          <w:color w:val="auto"/>
          <w:vertAlign w:val="superscript"/>
        </w:rPr>
        <w:t>3</w:t>
      </w:r>
      <w:r>
        <w:rPr>
          <w:rFonts w:hint="eastAsia"/>
          <w:color w:val="auto"/>
        </w:rPr>
        <w:t>，通过危险废物资源化利用，副产拟薄水铝石、硫酸铵、碳酸钠、液体肥料等产品，同时每年可以产生</w:t>
      </w:r>
      <w:r>
        <w:rPr>
          <w:color w:val="auto"/>
        </w:rPr>
        <w:t>161.25</w:t>
      </w:r>
      <w:r>
        <w:rPr>
          <w:rFonts w:hint="eastAsia"/>
          <w:color w:val="auto"/>
        </w:rPr>
        <w:t>万</w:t>
      </w:r>
      <w:r>
        <w:rPr>
          <w:color w:val="auto"/>
        </w:rPr>
        <w:t>m</w:t>
      </w:r>
      <w:r>
        <w:rPr>
          <w:color w:val="auto"/>
          <w:vertAlign w:val="superscript"/>
        </w:rPr>
        <w:t>3</w:t>
      </w:r>
      <w:r>
        <w:rPr>
          <w:rFonts w:hint="eastAsia"/>
          <w:color w:val="auto"/>
        </w:rPr>
        <w:t>冷凝水，水质满足《无机化学工业污染物排放标准》（</w:t>
      </w:r>
      <w:r>
        <w:rPr>
          <w:color w:val="auto"/>
        </w:rPr>
        <w:t>GB31573-2015</w:t>
      </w:r>
      <w:r>
        <w:rPr>
          <w:rFonts w:hint="eastAsia"/>
          <w:color w:val="auto"/>
        </w:rPr>
        <w:t>）及修改单和《城市污水再生利用</w:t>
      </w:r>
      <w:r>
        <w:rPr>
          <w:color w:val="auto"/>
        </w:rPr>
        <w:t xml:space="preserve">  </w:t>
      </w:r>
      <w:r>
        <w:rPr>
          <w:rFonts w:hint="eastAsia"/>
          <w:color w:val="auto"/>
        </w:rPr>
        <w:t>工业用水水质》（</w:t>
      </w:r>
      <w:r>
        <w:rPr>
          <w:color w:val="auto"/>
        </w:rPr>
        <w:t>GB/T 19923-2024</w:t>
      </w:r>
      <w:r>
        <w:rPr>
          <w:rFonts w:hint="eastAsia"/>
          <w:color w:val="auto"/>
        </w:rPr>
        <w:t>）要求通过管道送乌鲁木齐众荣电子材料科技有限公司回用，处理危险废物的同时节约了水资源。</w:t>
      </w:r>
    </w:p>
    <w:p w14:paraId="339F85F3">
      <w:pPr>
        <w:pStyle w:val="132"/>
        <w:rPr>
          <w:color w:val="auto"/>
        </w:rPr>
      </w:pPr>
      <w:r>
        <w:rPr>
          <w:rFonts w:hint="eastAsia"/>
          <w:color w:val="auto"/>
        </w:rPr>
        <w:t>（4）污染物产生指标</w:t>
      </w:r>
    </w:p>
    <w:p w14:paraId="09E27D5E">
      <w:pPr>
        <w:pStyle w:val="132"/>
        <w:rPr>
          <w:color w:val="auto"/>
        </w:rPr>
      </w:pPr>
      <w:r>
        <w:rPr>
          <w:rFonts w:hint="eastAsia"/>
          <w:color w:val="auto"/>
        </w:rPr>
        <w:t>①废气</w:t>
      </w:r>
    </w:p>
    <w:p w14:paraId="50F03A91">
      <w:pPr>
        <w:pStyle w:val="132"/>
        <w:rPr>
          <w:color w:val="auto"/>
        </w:rPr>
      </w:pPr>
      <w:r>
        <w:rPr>
          <w:rFonts w:hint="eastAsia"/>
          <w:color w:val="auto"/>
        </w:rPr>
        <w:t>危险废物处置过程中的废气主要为副产品和中间产物干燥包装过程中产生的颗粒物，具体由硫酸铵、碳酸钠、拟薄水铝石等物料干燥和包装过程产生，均配套布袋除尘器进行处理，废气中颗粒物、二氧化硫、氮氧化物执行《无机化学工业污染物排放标准》（</w:t>
      </w:r>
      <w:r>
        <w:rPr>
          <w:color w:val="auto"/>
        </w:rPr>
        <w:t>GB31573-2015</w:t>
      </w:r>
      <w:r>
        <w:rPr>
          <w:rFonts w:hint="eastAsia"/>
          <w:color w:val="auto"/>
        </w:rPr>
        <w:t>）及修改单</w:t>
      </w:r>
      <w:r>
        <w:rPr>
          <w:color w:val="auto"/>
        </w:rPr>
        <w:t xml:space="preserve"> </w:t>
      </w:r>
      <w:r>
        <w:rPr>
          <w:rFonts w:hint="eastAsia"/>
          <w:color w:val="auto"/>
        </w:rPr>
        <w:t>表</w:t>
      </w:r>
      <w:r>
        <w:rPr>
          <w:color w:val="auto"/>
        </w:rPr>
        <w:t xml:space="preserve">4 </w:t>
      </w:r>
      <w:r>
        <w:rPr>
          <w:rFonts w:hint="eastAsia"/>
          <w:color w:val="auto"/>
        </w:rPr>
        <w:t>大气污染物特别排放限值。</w:t>
      </w:r>
    </w:p>
    <w:p w14:paraId="2B03A817">
      <w:pPr>
        <w:pStyle w:val="132"/>
        <w:rPr>
          <w:color w:val="auto"/>
        </w:rPr>
      </w:pPr>
      <w:r>
        <w:rPr>
          <w:rFonts w:hint="eastAsia"/>
          <w:color w:val="auto"/>
        </w:rPr>
        <w:t>催化剂生产干燥废气主要含有颗粒物、二氧化硫、氮氧化物，使用清洁燃料天然气，采用低氮燃烧器控制氮氧化物；载体焙烧废气和催化剂焙烧废气主要含有颗粒物、氮氧化物、钴及其化合物、钼及其化合物、镍及其化合物、锰及其化合物、铜及其化合物、锆及其化合物，采用布袋除尘器控制颗粒物，配套SCR脱硝装置控制氮氧化物，废气中颗粒物、二氧化硫、氮氧化物均满足《无机化学工业污染物排放标准》（</w:t>
      </w:r>
      <w:r>
        <w:rPr>
          <w:color w:val="auto"/>
        </w:rPr>
        <w:t>GB31573-2015</w:t>
      </w:r>
      <w:r>
        <w:rPr>
          <w:rFonts w:hint="eastAsia"/>
          <w:color w:val="auto"/>
        </w:rPr>
        <w:t>）及修改单</w:t>
      </w:r>
      <w:r>
        <w:rPr>
          <w:color w:val="auto"/>
        </w:rPr>
        <w:t xml:space="preserve"> </w:t>
      </w:r>
      <w:r>
        <w:rPr>
          <w:rFonts w:hint="eastAsia"/>
          <w:color w:val="auto"/>
        </w:rPr>
        <w:t>表</w:t>
      </w:r>
      <w:r>
        <w:rPr>
          <w:color w:val="auto"/>
        </w:rPr>
        <w:t xml:space="preserve">4 </w:t>
      </w:r>
      <w:r>
        <w:rPr>
          <w:rFonts w:hint="eastAsia"/>
          <w:color w:val="auto"/>
        </w:rPr>
        <w:t>大气污染物特别排放限值，同时需满足关于印发《新疆维吾尔自治区工业炉窑大气污染综合治理实施方案》的通知要求。</w:t>
      </w:r>
    </w:p>
    <w:p w14:paraId="465444E9">
      <w:pPr>
        <w:pStyle w:val="132"/>
        <w:rPr>
          <w:color w:val="auto"/>
        </w:rPr>
      </w:pPr>
      <w:r>
        <w:rPr>
          <w:rFonts w:hint="eastAsia"/>
          <w:color w:val="auto"/>
        </w:rPr>
        <w:t>备用燃气锅炉燃用天然气，排放的颗粒物、二氧化硫、氮氧化物执行《燃气锅炉大气污染物排放标准》（</w:t>
      </w:r>
      <w:r>
        <w:rPr>
          <w:color w:val="auto"/>
        </w:rPr>
        <w:t>DB6501/T 001-2018</w:t>
      </w:r>
      <w:r>
        <w:rPr>
          <w:rFonts w:hint="eastAsia"/>
          <w:color w:val="auto"/>
        </w:rPr>
        <w:t>）表</w:t>
      </w:r>
      <w:r>
        <w:rPr>
          <w:color w:val="auto"/>
        </w:rPr>
        <w:t xml:space="preserve">1 </w:t>
      </w:r>
      <w:r>
        <w:rPr>
          <w:rFonts w:hint="eastAsia"/>
          <w:color w:val="auto"/>
        </w:rPr>
        <w:t>燃气锅炉大气污染物排放浓度限值。</w:t>
      </w:r>
    </w:p>
    <w:p w14:paraId="29E46E38">
      <w:pPr>
        <w:pStyle w:val="132"/>
        <w:numPr>
          <w:ilvl w:val="0"/>
          <w:numId w:val="23"/>
        </w:numPr>
        <w:ind w:firstLineChars="0"/>
        <w:rPr>
          <w:color w:val="auto"/>
        </w:rPr>
      </w:pPr>
      <w:r>
        <w:rPr>
          <w:rFonts w:hint="eastAsia"/>
          <w:color w:val="auto"/>
        </w:rPr>
        <w:t>废水</w:t>
      </w:r>
    </w:p>
    <w:p w14:paraId="3B653070">
      <w:pPr>
        <w:pStyle w:val="132"/>
        <w:rPr>
          <w:color w:val="auto"/>
        </w:rPr>
      </w:pPr>
      <w:r>
        <w:rPr>
          <w:rFonts w:hint="eastAsia"/>
          <w:color w:val="auto"/>
        </w:rPr>
        <w:t>本项目危险废物处理废水主要为各膜系统和蒸发系统产生的冷凝水，包括含硝酸铝废酸液处理冷凝水、硫酸铵蒸发冷凝水、液体肥料</w:t>
      </w:r>
      <w:r>
        <w:rPr>
          <w:color w:val="auto"/>
        </w:rPr>
        <w:t>2</w:t>
      </w:r>
      <w:r>
        <w:rPr>
          <w:rFonts w:hint="eastAsia"/>
          <w:color w:val="auto"/>
        </w:rPr>
        <w:t>蒸发浓缩冷凝水（</w:t>
      </w:r>
      <w:r>
        <w:rPr>
          <w:color w:val="auto"/>
        </w:rPr>
        <w:t>W</w:t>
      </w:r>
      <w:r>
        <w:rPr>
          <w:color w:val="auto"/>
          <w:vertAlign w:val="subscript"/>
        </w:rPr>
        <w:t>3</w:t>
      </w:r>
      <w:r>
        <w:rPr>
          <w:rFonts w:hint="eastAsia"/>
          <w:color w:val="auto"/>
        </w:rPr>
        <w:t>）；碳酸钠浓缩冷凝水、水铝石蒸发冷凝水、氢氧化钠浓缩冷凝水，主要含有少量的盐分，水质满足《无机化学工业污染物排放标准》（</w:t>
      </w:r>
      <w:r>
        <w:rPr>
          <w:color w:val="auto"/>
        </w:rPr>
        <w:t>GB31573-2015</w:t>
      </w:r>
      <w:r>
        <w:rPr>
          <w:rFonts w:hint="eastAsia"/>
          <w:color w:val="auto"/>
        </w:rPr>
        <w:t>）及修改单和《城市污水再生利用</w:t>
      </w:r>
      <w:r>
        <w:rPr>
          <w:color w:val="auto"/>
        </w:rPr>
        <w:t xml:space="preserve">  </w:t>
      </w:r>
      <w:r>
        <w:rPr>
          <w:rFonts w:hint="eastAsia"/>
          <w:color w:val="auto"/>
        </w:rPr>
        <w:t>工业用水水质》（</w:t>
      </w:r>
      <w:r>
        <w:rPr>
          <w:color w:val="auto"/>
        </w:rPr>
        <w:t>GB/T 19923-2024</w:t>
      </w:r>
      <w:r>
        <w:rPr>
          <w:rFonts w:hint="eastAsia"/>
          <w:color w:val="auto"/>
        </w:rPr>
        <w:t>）要求后</w:t>
      </w:r>
      <w:r>
        <w:rPr>
          <w:color w:val="auto"/>
        </w:rPr>
        <w:t>3.2m</w:t>
      </w:r>
      <w:r>
        <w:rPr>
          <w:color w:val="auto"/>
          <w:vertAlign w:val="superscript"/>
        </w:rPr>
        <w:t>3</w:t>
      </w:r>
      <w:r>
        <w:rPr>
          <w:color w:val="auto"/>
        </w:rPr>
        <w:t>/h</w:t>
      </w:r>
      <w:r>
        <w:rPr>
          <w:rFonts w:hint="eastAsia"/>
          <w:color w:val="auto"/>
        </w:rPr>
        <w:t>用于催化剂生产，剩余</w:t>
      </w:r>
      <w:r>
        <w:rPr>
          <w:color w:val="auto"/>
        </w:rPr>
        <w:t>201.57m</w:t>
      </w:r>
      <w:r>
        <w:rPr>
          <w:color w:val="auto"/>
          <w:vertAlign w:val="superscript"/>
        </w:rPr>
        <w:t>3</w:t>
      </w:r>
      <w:r>
        <w:rPr>
          <w:color w:val="auto"/>
        </w:rPr>
        <w:t>/h</w:t>
      </w:r>
      <w:r>
        <w:rPr>
          <w:rFonts w:hint="eastAsia"/>
          <w:color w:val="auto"/>
        </w:rPr>
        <w:t>通过管道送乌鲁木齐众荣电子材料科技有限公司回用。</w:t>
      </w:r>
    </w:p>
    <w:p w14:paraId="34000737">
      <w:pPr>
        <w:pStyle w:val="132"/>
        <w:rPr>
          <w:color w:val="auto"/>
        </w:rPr>
      </w:pPr>
      <w:r>
        <w:rPr>
          <w:rFonts w:hint="eastAsia"/>
          <w:color w:val="auto"/>
        </w:rPr>
        <w:t>项目循环水系统定期排放循环排污水，属于清静下水，循环水不与物料接触，主要为盐分，满足《污水综合排放标准》（</w:t>
      </w:r>
      <w:r>
        <w:rPr>
          <w:color w:val="auto"/>
        </w:rPr>
        <w:t>GB/8978-1996</w:t>
      </w:r>
      <w:r>
        <w:rPr>
          <w:rFonts w:hint="eastAsia"/>
          <w:color w:val="auto"/>
        </w:rPr>
        <w:t>）中的三级标准后排入园区下水管网最终送甘泉堡南区污水处理厂处理。</w:t>
      </w:r>
    </w:p>
    <w:p w14:paraId="00218A3F">
      <w:pPr>
        <w:pStyle w:val="132"/>
        <w:rPr>
          <w:color w:val="auto"/>
        </w:rPr>
      </w:pPr>
      <w:r>
        <w:rPr>
          <w:rFonts w:hint="eastAsia"/>
          <w:color w:val="auto"/>
        </w:rPr>
        <w:t>生活污水排放量为</w:t>
      </w:r>
      <w:r>
        <w:rPr>
          <w:color w:val="auto"/>
        </w:rPr>
        <w:t>0.3m</w:t>
      </w:r>
      <w:r>
        <w:rPr>
          <w:color w:val="auto"/>
          <w:vertAlign w:val="superscript"/>
        </w:rPr>
        <w:t>3</w:t>
      </w:r>
      <w:r>
        <w:rPr>
          <w:color w:val="auto"/>
        </w:rPr>
        <w:t>/h</w:t>
      </w:r>
      <w:r>
        <w:rPr>
          <w:rFonts w:hint="eastAsia"/>
          <w:color w:val="auto"/>
        </w:rPr>
        <w:t>，主要污染物为</w:t>
      </w:r>
      <w:r>
        <w:rPr>
          <w:color w:val="auto"/>
        </w:rPr>
        <w:t>COD</w:t>
      </w:r>
      <w:r>
        <w:rPr>
          <w:rFonts w:hint="eastAsia"/>
          <w:color w:val="auto"/>
        </w:rPr>
        <w:t>、</w:t>
      </w:r>
      <w:r>
        <w:rPr>
          <w:color w:val="auto"/>
        </w:rPr>
        <w:t>BOD</w:t>
      </w:r>
      <w:r>
        <w:rPr>
          <w:rFonts w:hint="eastAsia"/>
          <w:color w:val="auto"/>
        </w:rPr>
        <w:t>、</w:t>
      </w:r>
      <w:r>
        <w:rPr>
          <w:color w:val="auto"/>
        </w:rPr>
        <w:t>SS</w:t>
      </w:r>
      <w:r>
        <w:rPr>
          <w:rFonts w:hint="eastAsia"/>
          <w:color w:val="auto"/>
        </w:rPr>
        <w:t>、氨氮、总磷、总氮满足《污水综合排放标准》（</w:t>
      </w:r>
      <w:r>
        <w:rPr>
          <w:color w:val="auto"/>
        </w:rPr>
        <w:t>GB/8978-1996</w:t>
      </w:r>
      <w:r>
        <w:rPr>
          <w:rFonts w:hint="eastAsia"/>
          <w:color w:val="auto"/>
        </w:rPr>
        <w:t>）中的三级标准后排入园区下水管网最终送甘泉堡南区污水处理厂处理。</w:t>
      </w:r>
    </w:p>
    <w:p w14:paraId="21C14E62">
      <w:pPr>
        <w:pStyle w:val="132"/>
        <w:numPr>
          <w:ilvl w:val="0"/>
          <w:numId w:val="23"/>
        </w:numPr>
        <w:ind w:firstLineChars="0"/>
        <w:rPr>
          <w:color w:val="auto"/>
        </w:rPr>
      </w:pPr>
      <w:r>
        <w:rPr>
          <w:rFonts w:hint="eastAsia"/>
          <w:color w:val="auto"/>
        </w:rPr>
        <w:t>噪声</w:t>
      </w:r>
    </w:p>
    <w:p w14:paraId="0FE8C1A0">
      <w:pPr>
        <w:pStyle w:val="132"/>
        <w:rPr>
          <w:color w:val="auto"/>
        </w:rPr>
      </w:pPr>
      <w:r>
        <w:rPr>
          <w:rFonts w:hint="eastAsia"/>
          <w:color w:val="auto"/>
        </w:rPr>
        <w:t>工程噪声主要为机械噪声、空气动力性噪声。机械噪声源为干燥机、包装机等，空气动力性噪声主要为风机等，噪声源强为86~96dB(A)。对不同噪声源采用隔声、消声、合理布局、距离衰减、绿化等治理措施处理，可有效降低噪声源强，不会对周边环境造成影响。</w:t>
      </w:r>
    </w:p>
    <w:p w14:paraId="6F58C594">
      <w:pPr>
        <w:pStyle w:val="132"/>
        <w:numPr>
          <w:ilvl w:val="0"/>
          <w:numId w:val="23"/>
        </w:numPr>
        <w:ind w:firstLineChars="0"/>
        <w:rPr>
          <w:color w:val="auto"/>
        </w:rPr>
      </w:pPr>
      <w:r>
        <w:rPr>
          <w:rFonts w:hint="eastAsia"/>
          <w:color w:val="auto"/>
        </w:rPr>
        <w:t>固废</w:t>
      </w:r>
    </w:p>
    <w:p w14:paraId="3BA0B048">
      <w:pPr>
        <w:pStyle w:val="132"/>
        <w:rPr>
          <w:color w:val="auto"/>
        </w:rPr>
      </w:pPr>
      <w:r>
        <w:rPr>
          <w:rFonts w:hint="eastAsia"/>
          <w:color w:val="auto"/>
        </w:rPr>
        <w:t>项目</w:t>
      </w:r>
      <w:r>
        <w:rPr>
          <w:color w:val="auto"/>
        </w:rPr>
        <w:t>RO</w:t>
      </w:r>
      <w:r>
        <w:rPr>
          <w:rFonts w:hint="eastAsia"/>
          <w:color w:val="auto"/>
        </w:rPr>
        <w:t>膜系统会产生废滤膜，属于</w:t>
      </w:r>
      <w:r>
        <w:rPr>
          <w:color w:val="auto"/>
        </w:rPr>
        <w:t>HW49</w:t>
      </w:r>
      <w:r>
        <w:rPr>
          <w:rFonts w:hint="eastAsia"/>
          <w:color w:val="auto"/>
        </w:rPr>
        <w:t>类危险废物，</w:t>
      </w:r>
      <w:r>
        <w:rPr>
          <w:color w:val="auto"/>
        </w:rPr>
        <w:t>RO</w:t>
      </w:r>
      <w:r>
        <w:rPr>
          <w:rFonts w:hint="eastAsia"/>
          <w:color w:val="auto"/>
        </w:rPr>
        <w:t>膜更换周期为</w:t>
      </w:r>
      <w:r>
        <w:rPr>
          <w:color w:val="auto"/>
        </w:rPr>
        <w:t>10</w:t>
      </w:r>
      <w:r>
        <w:rPr>
          <w:rFonts w:hint="eastAsia"/>
          <w:color w:val="auto"/>
        </w:rPr>
        <w:t>年</w:t>
      </w:r>
      <w:r>
        <w:rPr>
          <w:color w:val="auto"/>
        </w:rPr>
        <w:t>1</w:t>
      </w:r>
      <w:r>
        <w:rPr>
          <w:rFonts w:hint="eastAsia"/>
          <w:color w:val="auto"/>
        </w:rPr>
        <w:t>次，更换后送有资质的单位进行处理。真空袋式压滤机使用过程中会出现破损，产生废滤袋，产生量平均为</w:t>
      </w:r>
      <w:r>
        <w:rPr>
          <w:color w:val="auto"/>
        </w:rPr>
        <w:t>0.5t/a</w:t>
      </w:r>
      <w:r>
        <w:rPr>
          <w:rFonts w:hint="eastAsia"/>
          <w:color w:val="auto"/>
        </w:rPr>
        <w:t>，属于一般工业固体废物。送厂家回收利用。机械设备维护过程中会产生废润滑油，属于</w:t>
      </w:r>
      <w:r>
        <w:rPr>
          <w:color w:val="auto"/>
        </w:rPr>
        <w:t>HW08</w:t>
      </w:r>
      <w:r>
        <w:rPr>
          <w:rFonts w:hint="eastAsia"/>
          <w:color w:val="auto"/>
        </w:rPr>
        <w:t>类危险废物，送有资质单位处理。生活垃圾由园区环卫部门收集处理。</w:t>
      </w:r>
    </w:p>
    <w:p w14:paraId="1E979B31">
      <w:pPr>
        <w:pStyle w:val="132"/>
        <w:rPr>
          <w:color w:val="auto"/>
        </w:rPr>
      </w:pPr>
      <w:r>
        <w:rPr>
          <w:rFonts w:hint="eastAsia"/>
          <w:color w:val="auto"/>
        </w:rPr>
        <w:t>综上所述，项目产生的固体废物分为一般固体废物和危险固体废物。其处置是适当的，符合环保要求，其固废防治措施是可行的。</w:t>
      </w:r>
      <w:r>
        <w:rPr>
          <w:color w:val="auto"/>
        </w:rPr>
        <w:t>采取以上固废处理措施后，项目固废处理处置率可达到100%。</w:t>
      </w:r>
    </w:p>
    <w:p w14:paraId="392962E5">
      <w:pPr>
        <w:pStyle w:val="132"/>
        <w:rPr>
          <w:color w:val="auto"/>
        </w:rPr>
      </w:pPr>
      <w:r>
        <w:rPr>
          <w:rFonts w:hint="eastAsia"/>
          <w:color w:val="auto"/>
        </w:rPr>
        <w:t>（5）产品特征指标</w:t>
      </w:r>
    </w:p>
    <w:p w14:paraId="03C3B899">
      <w:pPr>
        <w:pStyle w:val="132"/>
        <w:rPr>
          <w:color w:val="auto"/>
        </w:rPr>
      </w:pPr>
      <w:r>
        <w:rPr>
          <w:rFonts w:hint="eastAsia"/>
          <w:color w:val="auto"/>
        </w:rPr>
        <w:t>项目产品硫酸钠、碳酸钠、液体肥料、拟薄水铝石、工业催化剂均符合国家和行业质量标准，且符合国家产业政策。项目采用先进的生产工艺和控制技术，保障产品质量。</w:t>
      </w:r>
    </w:p>
    <w:p w14:paraId="068D6B0D">
      <w:pPr>
        <w:pStyle w:val="132"/>
        <w:rPr>
          <w:color w:val="auto"/>
        </w:rPr>
      </w:pPr>
      <w:r>
        <w:rPr>
          <w:rFonts w:hint="eastAsia"/>
          <w:color w:val="auto"/>
        </w:rPr>
        <w:t>（6）清洁生产管理指标</w:t>
      </w:r>
    </w:p>
    <w:p w14:paraId="7A507E4D">
      <w:pPr>
        <w:pStyle w:val="132"/>
        <w:rPr>
          <w:color w:val="auto"/>
        </w:rPr>
      </w:pPr>
      <w:r>
        <w:rPr>
          <w:rFonts w:hint="eastAsia"/>
          <w:color w:val="auto"/>
        </w:rPr>
        <w:t>项目符合国家和地方有关环境法律法规，污染物排放达到国家和地方排放标准、总量控制管理要求。建设单位拟制定相应环保管理规章制度及环保设施操作规程及操作人员管理制度，由公司总经理负责，成立安环部，设置环保设施管理岗位专人专职管理，以应对突发事故。</w:t>
      </w:r>
    </w:p>
    <w:p w14:paraId="7D0A5318">
      <w:pPr>
        <w:pStyle w:val="132"/>
        <w:rPr>
          <w:color w:val="auto"/>
        </w:rPr>
      </w:pPr>
      <w:r>
        <w:rPr>
          <w:rFonts w:hint="eastAsia"/>
          <w:color w:val="auto"/>
        </w:rPr>
        <w:t>综上所述，项目清洁生产水平达到国家先进水平，基本符合国家清洁生产的要求。</w:t>
      </w:r>
    </w:p>
    <w:p w14:paraId="1022BB21">
      <w:pPr>
        <w:pStyle w:val="4"/>
        <w:rPr>
          <w:rStyle w:val="126"/>
          <w:b w:val="0"/>
          <w:color w:val="auto"/>
        </w:rPr>
      </w:pPr>
      <w:r>
        <w:rPr>
          <w:rFonts w:hint="eastAsia"/>
          <w:color w:val="auto"/>
        </w:rPr>
        <w:t xml:space="preserve">完善清洁生产建议 </w:t>
      </w:r>
    </w:p>
    <w:p w14:paraId="1F719AC3">
      <w:pPr>
        <w:pStyle w:val="132"/>
        <w:rPr>
          <w:color w:val="auto"/>
        </w:rPr>
      </w:pPr>
      <w:r>
        <w:rPr>
          <w:rFonts w:hint="eastAsia"/>
          <w:color w:val="auto"/>
        </w:rPr>
        <w:t xml:space="preserve">结合项目行业特点和工艺特征，可从以下方面完善提高项目的清洁生产水平： </w:t>
      </w:r>
    </w:p>
    <w:p w14:paraId="644AE009">
      <w:pPr>
        <w:pStyle w:val="132"/>
        <w:rPr>
          <w:color w:val="auto"/>
        </w:rPr>
      </w:pPr>
      <w:r>
        <w:rPr>
          <w:rFonts w:hint="eastAsia"/>
          <w:color w:val="auto"/>
        </w:rPr>
        <w:t xml:space="preserve">（1）进一步提高拟建项目运行期的自动化水平，不断改进和提高生产工艺。 </w:t>
      </w:r>
    </w:p>
    <w:p w14:paraId="2781B820">
      <w:pPr>
        <w:pStyle w:val="132"/>
        <w:rPr>
          <w:color w:val="auto"/>
        </w:rPr>
      </w:pPr>
      <w:r>
        <w:rPr>
          <w:rFonts w:hint="eastAsia"/>
          <w:color w:val="auto"/>
        </w:rPr>
        <w:t xml:space="preserve">（2）根据工艺的可靠性等方面综合考虑，合理安排各生产工序，以进一步提高工艺的衔接性，确保稳定运行，提高清洁生产水平。 </w:t>
      </w:r>
    </w:p>
    <w:p w14:paraId="36816AF5">
      <w:pPr>
        <w:pStyle w:val="132"/>
        <w:rPr>
          <w:color w:val="auto"/>
        </w:rPr>
      </w:pPr>
      <w:r>
        <w:rPr>
          <w:rFonts w:hint="eastAsia"/>
          <w:color w:val="auto"/>
        </w:rPr>
        <w:t xml:space="preserve">（3）建设单位在实际生产工程中，应严格按照操作规范程序，杜绝“跑、冒、滴、漏”现象的发生。 </w:t>
      </w:r>
    </w:p>
    <w:p w14:paraId="1DF10FD9">
      <w:pPr>
        <w:pStyle w:val="132"/>
        <w:rPr>
          <w:color w:val="auto"/>
        </w:rPr>
      </w:pPr>
      <w:r>
        <w:rPr>
          <w:rFonts w:hint="eastAsia"/>
          <w:color w:val="auto"/>
        </w:rPr>
        <w:t>（4）将环保治理设施纳入设备的维护保养规划中。在对生产工艺设备进行维护保养的同时，应对环保治理设施进行相同力度的维护保养。</w:t>
      </w:r>
    </w:p>
    <w:p w14:paraId="43F9BF50">
      <w:pPr>
        <w:pStyle w:val="132"/>
        <w:snapToGrid w:val="0"/>
        <w:rPr>
          <w:color w:val="auto"/>
        </w:rPr>
      </w:pPr>
      <w:r>
        <w:rPr>
          <w:rFonts w:hint="eastAsia"/>
          <w:color w:val="auto"/>
        </w:rPr>
        <w:t xml:space="preserve">（5）加强员工培训，建立奖罚激励制度及相关规章制度，提高全体员工的职业技能，增强员工的有关意识（特别是安全意识、健康意识、环境意识、质量意识、成本意识、清洁生产意识）。 </w:t>
      </w:r>
    </w:p>
    <w:p w14:paraId="5F2D44D7">
      <w:pPr>
        <w:pStyle w:val="132"/>
        <w:rPr>
          <w:color w:val="auto"/>
        </w:rPr>
      </w:pPr>
      <w:r>
        <w:rPr>
          <w:rFonts w:hint="eastAsia"/>
          <w:color w:val="auto"/>
        </w:rPr>
        <w:t xml:space="preserve">（6）建议按照 </w:t>
      </w:r>
      <w:r>
        <w:rPr>
          <w:color w:val="auto"/>
        </w:rPr>
        <w:t xml:space="preserve">ISO14001 </w:t>
      </w:r>
      <w:r>
        <w:rPr>
          <w:rFonts w:hint="eastAsia"/>
          <w:color w:val="auto"/>
        </w:rPr>
        <w:t xml:space="preserve">标准的要求建立并运作环境管理体系，建立环境方针和目标及各项指标、环境管理手册、程序文件及作业指导表格文件化的环境管理体系，并定时组织对环境管理体系进行管理评审和内部稽查。 </w:t>
      </w:r>
    </w:p>
    <w:p w14:paraId="66B6D1B5">
      <w:pPr>
        <w:pStyle w:val="132"/>
        <w:rPr>
          <w:color w:val="auto"/>
        </w:rPr>
      </w:pPr>
      <w:r>
        <w:rPr>
          <w:rFonts w:hint="eastAsia"/>
          <w:color w:val="auto"/>
        </w:rPr>
        <w:t>（7）建议企业连续稳定生产一段时间后开展清洁生产审核，按照相关要求进一步提高项目的清洁生产水平。</w:t>
      </w:r>
    </w:p>
    <w:p w14:paraId="0E97F249">
      <w:pPr>
        <w:pStyle w:val="4"/>
        <w:rPr>
          <w:color w:val="auto"/>
        </w:rPr>
      </w:pPr>
      <w:r>
        <w:rPr>
          <w:rFonts w:hint="eastAsia"/>
          <w:color w:val="auto"/>
        </w:rPr>
        <w:t xml:space="preserve">清洁生产评价结论 </w:t>
      </w:r>
    </w:p>
    <w:p w14:paraId="763692B6">
      <w:pPr>
        <w:pStyle w:val="132"/>
        <w:rPr>
          <w:color w:val="auto"/>
        </w:rPr>
      </w:pPr>
      <w:r>
        <w:rPr>
          <w:rFonts w:hint="eastAsia"/>
          <w:color w:val="auto"/>
        </w:rPr>
        <w:t>项目运行期采用的相关工艺先进清洁，采购的相关设备满足清洁生产和环境保护要求，不采用国家明令禁止淘汰的设备；项目运行期做到了资源能源综合利用，切实加强了节能降耗的落实，实现了环境保护、节约资源等方面的有机统一；项目运行期清洁生产管理水平较高，对各类污染物的产生和排放都将进行严格控制并建立管理台账和档案。总体而言，项目建设符合清洁生产要求，清洁生产水平处于国内先进水平。</w:t>
      </w:r>
    </w:p>
    <w:p w14:paraId="26A7592A">
      <w:pPr>
        <w:pStyle w:val="132"/>
        <w:rPr>
          <w:color w:val="auto"/>
        </w:rPr>
      </w:pPr>
    </w:p>
    <w:p w14:paraId="7D145C46">
      <w:pPr>
        <w:pStyle w:val="132"/>
        <w:rPr>
          <w:color w:val="auto"/>
        </w:rPr>
        <w:sectPr>
          <w:headerReference r:id="rId19" w:type="first"/>
          <w:footerReference r:id="rId21" w:type="first"/>
          <w:headerReference r:id="rId18" w:type="even"/>
          <w:footerReference r:id="rId20" w:type="even"/>
          <w:pgSz w:w="11906" w:h="16838"/>
          <w:pgMar w:top="1440" w:right="1588" w:bottom="1389" w:left="1588" w:header="737" w:footer="822" w:gutter="0"/>
          <w:cols w:space="720" w:num="1"/>
          <w:docGrid w:type="lines" w:linePitch="326" w:charSpace="0"/>
        </w:sectPr>
      </w:pPr>
    </w:p>
    <w:p w14:paraId="1124D63B">
      <w:pPr>
        <w:pStyle w:val="2"/>
        <w:rPr>
          <w:color w:val="auto"/>
        </w:rPr>
      </w:pPr>
      <w:bookmarkStart w:id="254" w:name="_Toc229930130"/>
      <w:bookmarkStart w:id="255" w:name="_Toc504497350"/>
      <w:bookmarkStart w:id="256" w:name="_Toc469349499"/>
      <w:r>
        <w:rPr>
          <w:color w:val="auto"/>
        </w:rPr>
        <w:t>环境现状调查与评价</w:t>
      </w:r>
      <w:bookmarkEnd w:id="254"/>
    </w:p>
    <w:p w14:paraId="4D3B3F05">
      <w:pPr>
        <w:pStyle w:val="3"/>
        <w:rPr>
          <w:color w:val="auto"/>
        </w:rPr>
      </w:pPr>
      <w:bookmarkStart w:id="257" w:name="_Toc229930131"/>
      <w:r>
        <w:rPr>
          <w:color w:val="auto"/>
        </w:rPr>
        <w:t>自然环境概况</w:t>
      </w:r>
      <w:bookmarkEnd w:id="257"/>
    </w:p>
    <w:p w14:paraId="74ED7562">
      <w:pPr>
        <w:pStyle w:val="4"/>
        <w:rPr>
          <w:color w:val="auto"/>
        </w:rPr>
      </w:pPr>
      <w:r>
        <w:rPr>
          <w:color w:val="auto"/>
        </w:rPr>
        <w:t>地理位置</w:t>
      </w:r>
      <w:bookmarkStart w:id="258" w:name="_Toc371346203"/>
      <w:bookmarkStart w:id="259" w:name="_Toc424919434"/>
      <w:bookmarkStart w:id="260" w:name="_Toc415822571"/>
      <w:bookmarkStart w:id="261" w:name="_Toc371346031"/>
      <w:bookmarkStart w:id="262" w:name="_Toc371346276"/>
      <w:bookmarkStart w:id="263" w:name="_Toc278878036"/>
    </w:p>
    <w:p w14:paraId="54BD373F">
      <w:pPr>
        <w:pStyle w:val="132"/>
        <w:rPr>
          <w:color w:val="auto"/>
        </w:rPr>
      </w:pPr>
      <w:r>
        <w:rPr>
          <w:rFonts w:hint="eastAsia"/>
          <w:color w:val="auto"/>
        </w:rPr>
        <w:t>厂址所在地位于甘泉堡工业园，地处乌鲁木齐市米东区，东接准东石油基地，南临小黄山铁路和</w:t>
      </w:r>
      <w:r>
        <w:rPr>
          <w:color w:val="auto"/>
        </w:rPr>
        <w:t>216</w:t>
      </w:r>
      <w:r>
        <w:rPr>
          <w:rFonts w:hint="eastAsia"/>
          <w:color w:val="auto"/>
        </w:rPr>
        <w:t>国道，西接乌鲁木齐米东区，北至兵团农六师</w:t>
      </w:r>
      <w:r>
        <w:rPr>
          <w:color w:val="auto"/>
        </w:rPr>
        <w:t>102</w:t>
      </w:r>
      <w:r>
        <w:rPr>
          <w:rFonts w:hint="eastAsia"/>
          <w:color w:val="auto"/>
        </w:rPr>
        <w:t>团（五家渠）。区域中心距乌鲁木齐市中心区</w:t>
      </w:r>
      <w:r>
        <w:rPr>
          <w:color w:val="auto"/>
        </w:rPr>
        <w:t>45</w:t>
      </w:r>
      <w:r>
        <w:rPr>
          <w:rFonts w:hint="eastAsia"/>
          <w:color w:val="auto"/>
        </w:rPr>
        <w:t>公里，米东新区中心区</w:t>
      </w:r>
      <w:r>
        <w:rPr>
          <w:color w:val="auto"/>
        </w:rPr>
        <w:t>20</w:t>
      </w:r>
      <w:r>
        <w:rPr>
          <w:rFonts w:hint="eastAsia"/>
          <w:color w:val="auto"/>
        </w:rPr>
        <w:t>公里，阜康市中心</w:t>
      </w:r>
      <w:r>
        <w:rPr>
          <w:color w:val="auto"/>
        </w:rPr>
        <w:t>15</w:t>
      </w:r>
      <w:r>
        <w:rPr>
          <w:rFonts w:hint="eastAsia"/>
          <w:color w:val="auto"/>
        </w:rPr>
        <w:t>公里，准东石油基地</w:t>
      </w:r>
      <w:r>
        <w:rPr>
          <w:color w:val="auto"/>
        </w:rPr>
        <w:t>5</w:t>
      </w:r>
      <w:r>
        <w:rPr>
          <w:rFonts w:hint="eastAsia"/>
          <w:color w:val="auto"/>
        </w:rPr>
        <w:t>公里。东西长约</w:t>
      </w:r>
      <w:r>
        <w:rPr>
          <w:color w:val="auto"/>
        </w:rPr>
        <w:t>21</w:t>
      </w:r>
      <w:r>
        <w:rPr>
          <w:rFonts w:hint="eastAsia"/>
          <w:color w:val="auto"/>
        </w:rPr>
        <w:t>公里，南北约</w:t>
      </w:r>
      <w:r>
        <w:rPr>
          <w:color w:val="auto"/>
        </w:rPr>
        <w:t>23</w:t>
      </w:r>
      <w:r>
        <w:rPr>
          <w:rFonts w:hint="eastAsia"/>
          <w:color w:val="auto"/>
        </w:rPr>
        <w:t>公里，周围被五家渠、乌鲁木齐、阜康等城市和准东石油基地、农六师</w:t>
      </w:r>
      <w:r>
        <w:rPr>
          <w:color w:val="auto"/>
        </w:rPr>
        <w:t>102</w:t>
      </w:r>
      <w:r>
        <w:rPr>
          <w:rFonts w:hint="eastAsia"/>
          <w:color w:val="auto"/>
        </w:rPr>
        <w:t>团包围。</w:t>
      </w:r>
    </w:p>
    <w:p w14:paraId="79FD5575">
      <w:pPr>
        <w:pStyle w:val="132"/>
        <w:rPr>
          <w:color w:val="auto"/>
        </w:rPr>
      </w:pPr>
      <w:r>
        <w:rPr>
          <w:rFonts w:hint="eastAsia"/>
          <w:color w:val="auto"/>
        </w:rPr>
        <w:t>根据乌鲁木齐甘泉堡经济技术开发区（工业区）化工园区总体规划（2023-2035），规划总面积12.26km</w:t>
      </w:r>
      <w:r>
        <w:rPr>
          <w:rFonts w:hint="eastAsia"/>
          <w:color w:val="auto"/>
          <w:vertAlign w:val="superscript"/>
        </w:rPr>
        <w:t>2</w:t>
      </w:r>
      <w:r>
        <w:rPr>
          <w:rFonts w:hint="eastAsia"/>
          <w:color w:val="auto"/>
        </w:rPr>
        <w:t>，共分为3个片区，其中：</w:t>
      </w:r>
    </w:p>
    <w:p w14:paraId="06C46716">
      <w:pPr>
        <w:pStyle w:val="132"/>
        <w:rPr>
          <w:color w:val="auto"/>
        </w:rPr>
      </w:pPr>
      <w:r>
        <w:rPr>
          <w:rFonts w:hint="eastAsia"/>
          <w:color w:val="auto"/>
        </w:rPr>
        <w:t>1号片区：硅基新材料产业园，规划用地面积3.59km</w:t>
      </w:r>
      <w:r>
        <w:rPr>
          <w:rFonts w:hint="eastAsia"/>
          <w:color w:val="auto"/>
          <w:vertAlign w:val="superscript"/>
        </w:rPr>
        <w:t>2</w:t>
      </w:r>
      <w:r>
        <w:rPr>
          <w:rFonts w:hint="eastAsia"/>
          <w:color w:val="auto"/>
        </w:rPr>
        <w:t>，规划范围南起中部合盛硅业内部道路（支一路），北至锦泉街，西沿春晓路，东至云帆路。</w:t>
      </w:r>
    </w:p>
    <w:p w14:paraId="37B37AF4">
      <w:pPr>
        <w:pStyle w:val="132"/>
        <w:rPr>
          <w:color w:val="auto"/>
        </w:rPr>
      </w:pPr>
      <w:r>
        <w:rPr>
          <w:rFonts w:hint="eastAsia"/>
          <w:color w:val="auto"/>
        </w:rPr>
        <w:t>2号片区：煤化工产业园、功能材料产业园，规划用地面积7.44km</w:t>
      </w:r>
      <w:r>
        <w:rPr>
          <w:rFonts w:hint="eastAsia"/>
          <w:color w:val="auto"/>
          <w:vertAlign w:val="superscript"/>
        </w:rPr>
        <w:t>2</w:t>
      </w:r>
      <w:r>
        <w:rPr>
          <w:rFonts w:hint="eastAsia"/>
          <w:color w:val="auto"/>
        </w:rPr>
        <w:t>，规划范围南起祥华路，北邻贤清西街，西临四通路，东沿甘津路—月恒街—甘源路。</w:t>
      </w:r>
    </w:p>
    <w:p w14:paraId="7B80B2D0">
      <w:pPr>
        <w:pStyle w:val="132"/>
        <w:rPr>
          <w:color w:val="auto"/>
        </w:rPr>
      </w:pPr>
      <w:r>
        <w:rPr>
          <w:rFonts w:hint="eastAsia"/>
          <w:color w:val="auto"/>
        </w:rPr>
        <w:t>3号片区：铝基新材料产业园，规划用地面积</w:t>
      </w:r>
      <w:r>
        <w:rPr>
          <w:color w:val="auto"/>
        </w:rPr>
        <w:t>1</w:t>
      </w:r>
      <w:r>
        <w:rPr>
          <w:rFonts w:hint="eastAsia"/>
          <w:color w:val="auto"/>
        </w:rPr>
        <w:t>.</w:t>
      </w:r>
      <w:r>
        <w:rPr>
          <w:color w:val="auto"/>
        </w:rPr>
        <w:t>2</w:t>
      </w:r>
      <w:r>
        <w:rPr>
          <w:rFonts w:hint="eastAsia"/>
          <w:color w:val="auto"/>
        </w:rPr>
        <w:t>3km</w:t>
      </w:r>
      <w:r>
        <w:rPr>
          <w:rFonts w:hint="eastAsia"/>
          <w:color w:val="auto"/>
          <w:vertAlign w:val="superscript"/>
        </w:rPr>
        <w:t>2</w:t>
      </w:r>
      <w:r>
        <w:rPr>
          <w:rFonts w:hint="eastAsia"/>
          <w:color w:val="auto"/>
        </w:rPr>
        <w:t>，规划范围南起云泉东街，北至净明东街，西临博润路，东靠春晓路。</w:t>
      </w:r>
    </w:p>
    <w:p w14:paraId="1358BD0B">
      <w:pPr>
        <w:pStyle w:val="132"/>
        <w:rPr>
          <w:color w:val="auto"/>
        </w:rPr>
        <w:sectPr>
          <w:pgSz w:w="11906" w:h="16838"/>
          <w:pgMar w:top="1440" w:right="1588" w:bottom="1389" w:left="1588" w:header="851" w:footer="992" w:gutter="0"/>
          <w:cols w:space="720" w:num="1"/>
          <w:docGrid w:type="lines" w:linePitch="326" w:charSpace="0"/>
        </w:sectPr>
      </w:pPr>
      <w:r>
        <w:rPr>
          <w:rFonts w:hint="eastAsia"/>
          <w:color w:val="auto"/>
        </w:rPr>
        <w:t>建设地点：乌鲁木齐甘泉堡经济技术开发区（工业区）化工园区</w:t>
      </w:r>
      <w:r>
        <w:rPr>
          <w:color w:val="auto"/>
        </w:rPr>
        <w:t>。</w:t>
      </w:r>
      <w:r>
        <w:rPr>
          <w:rFonts w:hint="eastAsia"/>
          <w:color w:val="auto"/>
        </w:rPr>
        <w:t>拟建厂址东侧为园区规划甘怡路，南侧为云泉东街，西侧260m为远洋金属材料科技有限公司，北侧420m为甘泉堡消防救援大队。项目厂址地理位置见图4.1-1，周边企业分布情况见图4.1-2。</w:t>
      </w:r>
    </w:p>
    <w:p w14:paraId="2C5D8F68">
      <w:pPr>
        <w:pStyle w:val="1060"/>
        <w:spacing w:before="163"/>
        <w:rPr>
          <w:color w:val="auto"/>
        </w:rPr>
      </w:pPr>
      <w:bookmarkStart w:id="264" w:name="OLE_LINK10"/>
      <w:r>
        <w:rPr>
          <w:color w:val="auto"/>
        </w:rPr>
        <mc:AlternateContent>
          <mc:Choice Requires="wps">
            <w:drawing>
              <wp:anchor distT="0" distB="0" distL="114300" distR="114300" simplePos="0" relativeHeight="251676672" behindDoc="0" locked="0" layoutInCell="1" allowOverlap="1">
                <wp:simplePos x="0" y="0"/>
                <wp:positionH relativeFrom="column">
                  <wp:posOffset>502920</wp:posOffset>
                </wp:positionH>
                <wp:positionV relativeFrom="paragraph">
                  <wp:posOffset>3208020</wp:posOffset>
                </wp:positionV>
                <wp:extent cx="1041400" cy="260350"/>
                <wp:effectExtent l="0" t="0" r="920750" b="425450"/>
                <wp:wrapNone/>
                <wp:docPr id="35" name="圆角矩形标注 4"/>
                <wp:cNvGraphicFramePr/>
                <a:graphic xmlns:a="http://schemas.openxmlformats.org/drawingml/2006/main">
                  <a:graphicData uri="http://schemas.microsoft.com/office/word/2010/wordprocessingShape">
                    <wps:wsp>
                      <wps:cNvSpPr/>
                      <wps:spPr>
                        <a:xfrm>
                          <a:off x="0" y="0"/>
                          <a:ext cx="1041400" cy="260350"/>
                        </a:xfrm>
                        <a:prstGeom prst="wedgeRoundRectCallout">
                          <a:avLst>
                            <a:gd name="adj1" fmla="val 134142"/>
                            <a:gd name="adj2" fmla="val 194171"/>
                            <a:gd name="adj3" fmla="val 16667"/>
                          </a:avLst>
                        </a:prstGeom>
                        <a:noFill/>
                        <a:ln w="12700">
                          <a:gradFill>
                            <a:gsLst>
                              <a:gs pos="50410">
                                <a:srgbClr val="1F1F1F"/>
                              </a:gs>
                              <a:gs pos="0">
                                <a:srgbClr val="020202"/>
                              </a:gs>
                              <a:gs pos="100000">
                                <a:srgbClr val="424242"/>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bodyPr wrap="square" rtlCol="0" anchor="ctr">
                        <a:noAutofit/>
                      </wps:bodyPr>
                    </wps:wsp>
                  </a:graphicData>
                </a:graphic>
              </wp:anchor>
            </w:drawing>
          </mc:Choice>
          <mc:Fallback>
            <w:pict>
              <v:shape id="圆角矩形标注 4" o:spid="_x0000_s1026" o:spt="62" type="#_x0000_t62" style="position:absolute;left:0pt;margin-left:39.6pt;margin-top:252.6pt;height:20.5pt;width:82pt;z-index:251676672;v-text-anchor:middle;mso-width-relative:page;mso-height-relative:page;" filled="f" stroked="t" coordsize="21600,21600" o:gfxdata="UEsDBAoAAAAAAIdO4kAAAAAAAAAAAAAAAAAEAAAAZHJzL1BLAwQUAAAACACHTuJAyE9t890AAAAK&#10;AQAADwAAAGRycy9kb3ducmV2LnhtbE2PzU7DMBCE70i8g7VIXFBrN20CDXEqqMSBIlS1RUXcnNgk&#10;EfY6it0f3p7lBLfZndHst8Xi7Cw7miF0HiVMxgKYwdrrDhsJb7un0R2wEBVqZT0aCd8mwKK8vChU&#10;rv0JN+a4jQ2jEgy5ktDG2Oech7o1ToWx7w2S9+kHpyKNQ8P1oE5U7ixPhMi4Ux3ShVb1Ztma+mt7&#10;cBKyF3uzf1hXj9P17j2k89eP5Wr/LOX11UTcA4vmHP/C8ItP6FASU+UPqAOzEm7nCSUlpCIlQYFk&#10;NiVR0WaWJcDLgv9/ofwBUEsDBBQAAAAIAIdO4kADI2rgfQIAABgFAAAOAAAAZHJzL2Uyb0RvYy54&#10;bWytVEtuFDEQ3SNxB8t70p/5BEbpiVBGYYMgSuAAju3uNvIP2zM9uQDsWSOB2ABr1hwngWNQdvfM&#10;5LfIgrHUU25XPdd7VdUHh2sl0Yo7L4yucLGXY8Q1NUzopsJv3xw/eYqRD0QzIo3mFb7gHh/OHz86&#10;6OyMl6Y1knGHAET7WWcr3IZgZ1nmacsV8XvGcg2HtXGKBNi6JmOOdICuZFbm+TTrjGPWGcq9h7eL&#10;/hAPiO4hgKauBeULQ5eK69CjOi5JAEq+Fdbjecq2rjkNr+va84BkhYFpSE+4BOzz+MzmB2TWOGJb&#10;QYcUyENSuMVJEaHh0i3UggSClk7cgVKCOuNNHfaoUVlPJCkCLIr8ljZnLbE8cQGpvd2K7v8fLH21&#10;OnFIsAqPJhhpoqDil58//P3+6c+Xn5e/v119/Xj16wcaR6E662fgf2ZP3LDzYEbW69qp+A980DqJ&#10;e7EVl68DovCyyMfFOAfdKZyV03w0Sepnu2jrfHjBjULRqHDHWcNPzVKzUyjjEZHSLEMSmaxe+pDU&#10;ZkPKhL0rMKqVhOKtiETFCC4rh+pecypvOD0bF/vFXafRDafpdLoffSDR4V6wNqnGJLQ5FlKmRpIa&#10;dcC03E88CUxHDV0JlJUFhb1uMCKygbGjwW3ahcXoRMZvWHlkDdR4Aorlyc275vxIOgTUAP44riGl&#10;xvehfcQ93nkZ173eRR5/dy8Yl3FdCwHCzSY5KTQi8VMxgWLGcOQpkRzobcoJ07TlFHVaEN/2mXsj&#10;BRtwpQZJY0f1PRStc8MuoBk7mEYQ6/2SOI6RC/LI9MNLNG0NzO5GPG2eL4OpRYjV2QEMGxiYVLRh&#10;uONEXt8nr90Hbf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E9t890AAAAKAQAADwAAAAAAAAAB&#10;ACAAAAAiAAAAZHJzL2Rvd25yZXYueG1sUEsBAhQAFAAAAAgAh07iQAMjauB9AgAAGAUAAA4AAAAA&#10;AAAAAQAgAAAALAEAAGRycy9lMm9Eb2MueG1sUEsFBgAAAAAGAAYAWQEAABsGAAAAAA==&#10;" adj="39775,52741,14400">
                <v:fill on="f" focussize="0,0"/>
                <v:stroke weight="1pt" color="#000000" joinstyle="round"/>
                <v:imagedata o:title=""/>
                <o:lock v:ext="edit" aspectratio="f"/>
              </v:shape>
            </w:pict>
          </mc:Fallback>
        </mc:AlternateContent>
      </w:r>
      <w:r>
        <w:rPr>
          <w:color w:val="auto"/>
        </w:rPr>
        <mc:AlternateContent>
          <mc:Choice Requires="wps">
            <w:drawing>
              <wp:anchor distT="0" distB="0" distL="114300" distR="114300" simplePos="0" relativeHeight="251675648" behindDoc="0" locked="0" layoutInCell="1" allowOverlap="1">
                <wp:simplePos x="0" y="0"/>
                <wp:positionH relativeFrom="column">
                  <wp:posOffset>476250</wp:posOffset>
                </wp:positionH>
                <wp:positionV relativeFrom="paragraph">
                  <wp:posOffset>3079115</wp:posOffset>
                </wp:positionV>
                <wp:extent cx="1192530" cy="398780"/>
                <wp:effectExtent l="0" t="0" r="0" b="0"/>
                <wp:wrapNone/>
                <wp:docPr id="37" name="文本框 5"/>
                <wp:cNvGraphicFramePr/>
                <a:graphic xmlns:a="http://schemas.openxmlformats.org/drawingml/2006/main">
                  <a:graphicData uri="http://schemas.microsoft.com/office/word/2010/wordprocessingShape">
                    <wps:wsp>
                      <wps:cNvSpPr txBox="1"/>
                      <wps:spPr>
                        <a:xfrm>
                          <a:off x="0" y="0"/>
                          <a:ext cx="1192377" cy="398780"/>
                        </a:xfrm>
                        <a:prstGeom prst="rect">
                          <a:avLst/>
                        </a:prstGeom>
                        <a:noFill/>
                      </wps:spPr>
                      <wps:txbx>
                        <w:txbxContent>
                          <w:p w14:paraId="1A0CE387">
                            <w:pPr>
                              <w:pStyle w:val="75"/>
                              <w:rPr>
                                <w:sz w:val="28"/>
                                <w:szCs w:val="28"/>
                              </w:rPr>
                            </w:pPr>
                            <w:r>
                              <w:rPr>
                                <w:rFonts w:asciiTheme="minorHAnsi" w:hAnsiTheme="minorBidi" w:eastAsiaTheme="minorEastAsia"/>
                                <w:b/>
                                <w:color w:val="FF0000"/>
                                <w:kern w:val="24"/>
                                <w:sz w:val="28"/>
                                <w:szCs w:val="28"/>
                              </w:rPr>
                              <w:t>本项目</w:t>
                            </w:r>
                            <w:r>
                              <w:rPr>
                                <w:rFonts w:hint="eastAsia" w:asciiTheme="minorHAnsi" w:hAnsiTheme="minorBidi" w:eastAsiaTheme="minorEastAsia"/>
                                <w:b/>
                                <w:color w:val="FF0000"/>
                                <w:kern w:val="24"/>
                                <w:sz w:val="28"/>
                                <w:szCs w:val="28"/>
                              </w:rPr>
                              <w:t>厂址</w:t>
                            </w:r>
                          </w:p>
                        </w:txbxContent>
                      </wps:txbx>
                      <wps:bodyPr wrap="square" rtlCol="0">
                        <a:spAutoFit/>
                      </wps:bodyPr>
                    </wps:wsp>
                  </a:graphicData>
                </a:graphic>
              </wp:anchor>
            </w:drawing>
          </mc:Choice>
          <mc:Fallback>
            <w:pict>
              <v:shape id="文本框 5" o:spid="_x0000_s1026" o:spt="202" type="#_x0000_t202" style="position:absolute;left:0pt;margin-left:37.5pt;margin-top:242.45pt;height:31.4pt;width:93.9pt;z-index:251675648;mso-width-relative:page;mso-height-relative:page;" filled="f" stroked="f" coordsize="21600,21600" o:gfxdata="UEsDBAoAAAAAAIdO4kAAAAAAAAAAAAAAAAAEAAAAZHJzL1BLAwQUAAAACACHTuJAtPGqvtkAAAAK&#10;AQAADwAAAGRycy9kb3ducmV2LnhtbE2Py26DMBBF95X6D9ZU6q6xQRBSwhBVfUhddNOU7ifYwajY&#10;RtgJ5O/rrprlaK7uPafaLWZgZzX53lmEZCWAKds62dsOofl6e9gA84GspMFZhXBRHnb17U1FpXSz&#10;/VTnfehYLLG+JAQdwlhy7lutDPmVG5WNv6ObDIV4Th2XE82x3Aw8FWLNDfU2Lmga1bNW7c/+ZBBC&#10;kE/JpXk1/v17+XiZtWhzahDv7xKxBRbUEv7D8Icf0aGOTAd3stKzAaHIo0pAyDbZI7AYSNdpdDkg&#10;5FlRAK8rfq1Q/wJQSwMEFAAAAAgAh07iQJmJ4qq7AQAAXgMAAA4AAABkcnMvZTJvRG9jLnhtbK1T&#10;y47TMBTdI/EPlvc0fQjaiZqOgGrYIEAa+ADXsRtLsa/xdZv0B+APWLFhz3f1O7h2Mh00s5nFbBz7&#10;Ps4959hZX/e2ZUcV0ICr+Gwy5Uw5CbVx+4p/+3rzasUZRuFq0YJTFT8p5Nebly/WnS/VHBpoaxUY&#10;gTgsO1/xJkZfFgXKRlmBE/DKUVJDsCLSMeyLOoiO0G1bzKfTN0UHofYBpEKk6HZI8hExPAUQtDZS&#10;bUEerHJxQA2qFZEkYWM88k1mq7WS8bPWqCJrK05KY15pCO13aS02a1Hug/CNkSMF8RQKDzRZYRwN&#10;vUBtRRTsEMwjKGtkAAQdJxJsMQjJjpCK2fSBN7eN8CprIavRX0zH54OVn45fAjN1xRdLzpywdOPn&#10;Xz/Pv/+e//xgr5M/nceSym49Fcb+HfT0au7iSMEku9fBpi8JYpQnd08Xd1UfmUxNs6v5YklTJOUW&#10;V6vlKttf3Hf7gPGDAsvSpuKBbi+bKo4fMRITKr0rScMc3Ji2TfFEcaCSdrHf9SPvHdQnot3RBVcc&#10;vx9EUJyF2L6H/B4SCvq3h0hIeUBqH3pGVLI9zx2fSLrX/8+56v632P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PGqvtkAAAAKAQAADwAAAAAAAAABACAAAAAiAAAAZHJzL2Rvd25yZXYueG1sUEsB&#10;AhQAFAAAAAgAh07iQJmJ4qq7AQAAXgMAAA4AAAAAAAAAAQAgAAAAKAEAAGRycy9lMm9Eb2MueG1s&#10;UEsFBgAAAAAGAAYAWQEAAFUFAAAAAA==&#10;">
                <v:fill on="f" focussize="0,0"/>
                <v:stroke on="f"/>
                <v:imagedata o:title=""/>
                <o:lock v:ext="edit" aspectratio="f"/>
                <v:textbox style="mso-fit-shape-to-text:t;">
                  <w:txbxContent>
                    <w:p w14:paraId="1A0CE387">
                      <w:pPr>
                        <w:pStyle w:val="75"/>
                        <w:rPr>
                          <w:sz w:val="28"/>
                          <w:szCs w:val="28"/>
                        </w:rPr>
                      </w:pPr>
                      <w:r>
                        <w:rPr>
                          <w:rFonts w:asciiTheme="minorHAnsi" w:hAnsiTheme="minorBidi" w:eastAsiaTheme="minorEastAsia"/>
                          <w:b/>
                          <w:color w:val="FF0000"/>
                          <w:kern w:val="24"/>
                          <w:sz w:val="28"/>
                          <w:szCs w:val="28"/>
                        </w:rPr>
                        <w:t>本项目</w:t>
                      </w:r>
                      <w:r>
                        <w:rPr>
                          <w:rFonts w:hint="eastAsia" w:asciiTheme="minorHAnsi" w:hAnsiTheme="minorBidi" w:eastAsiaTheme="minorEastAsia"/>
                          <w:b/>
                          <w:color w:val="FF0000"/>
                          <w:kern w:val="24"/>
                          <w:sz w:val="28"/>
                          <w:szCs w:val="28"/>
                        </w:rPr>
                        <w:t>厂址</w:t>
                      </w:r>
                    </w:p>
                  </w:txbxContent>
                </v:textbox>
              </v:shape>
            </w:pict>
          </mc:Fallback>
        </mc:AlternateContent>
      </w:r>
      <w:r>
        <w:rPr>
          <w:color w:val="auto"/>
        </w:rPr>
        <mc:AlternateContent>
          <mc:Choice Requires="wps">
            <w:drawing>
              <wp:anchor distT="0" distB="0" distL="114300" distR="114300" simplePos="0" relativeHeight="251677696" behindDoc="0" locked="0" layoutInCell="1" allowOverlap="1">
                <wp:simplePos x="0" y="0"/>
                <wp:positionH relativeFrom="column">
                  <wp:posOffset>2381250</wp:posOffset>
                </wp:positionH>
                <wp:positionV relativeFrom="paragraph">
                  <wp:posOffset>3799840</wp:posOffset>
                </wp:positionV>
                <wp:extent cx="76200" cy="76200"/>
                <wp:effectExtent l="4445" t="4445" r="14605" b="14605"/>
                <wp:wrapNone/>
                <wp:docPr id="36" name="椭圆 9"/>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w="31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shape id="椭圆 9" o:spid="_x0000_s1026" o:spt="3" type="#_x0000_t3" style="position:absolute;left:0pt;margin-left:187.5pt;margin-top:299.2pt;height:6pt;width:6pt;z-index:251677696;v-text-anchor:middle;mso-width-relative:page;mso-height-relative:page;" fillcolor="#FF0000" filled="t" stroked="t" coordsize="21600,21600" o:gfxdata="UEsDBAoAAAAAAIdO4kAAAAAAAAAAAAAAAAAEAAAAZHJzL1BLAwQUAAAACACHTuJA1H5PFNsAAAAL&#10;AQAADwAAAGRycy9kb3ducmV2LnhtbE2PwU7DMBBE70j8g7VI3Kgd0jZpiNMDAokToimFqxu7cdR4&#10;HWK3DX/PcoLj7s7MvinXk+vZ2Yyh8yghmQlgBhuvO2wlvG+f73JgISrUqvdoJHybAOvq+qpUhfYX&#10;3JhzHVtGIRgKJcHGOBSch8Yap8LMDwbpdvCjU5HGseV6VBcKdz2/F2LJneqQPlg1mEdrmmN9coTh&#10;tnZnP9KXQ/2Zva52X09vx0lIeXuTiAdg0UzxTwy/+OSBipj2/oQ6sF5Cmi2oS5SwWOVzYKRI84w2&#10;ewnLRMyBVyX/36H6AVBLAwQUAAAACACHTuJAoaKVIt0BAADYAwAADgAAAGRycy9lMm9Eb2MueG1s&#10;rVPNjtMwEL4j8Q6W7zTpIroQNd3DVuWCYKWFB5g6dmLJf/J4m/YFeAqOXHkseA7GTuiyy6UHckjG&#10;9uSb7/tmvL45WsMOMqL2ruXLRc2ZdMJ32vUt//J59+otZ5jAdWC8ky0/SeQ3m5cv1mNo5JUfvOlk&#10;ZATisBlDy4eUQlNVKAZpARc+SEeHykcLiZaxr7oII6FbU13V9aoafexC9EIi0u52OuQzYrwE0Cul&#10;hdx68WClSxNqlAYSScJBB+SbwlYpKdInpVAmZlpOSlN5UxGK9/ldbdbQ9BHCoMVMAS6h8EyTBe2o&#10;6BlqCwnYQ9T/QFktokev0kJ4W01CiiOkYlk/8+Z+gCCLFrIaw9l0/H+w4uPhLjLdtfz1ijMHljr+&#10;6/uPn9++snfZnDFgQzn34S7OK6QwKz2qaPOXNLBjMfR0NlQeExO0eb2ijnMm6GQKCaN6/DVETO+l&#10;tywHLZfGUO+yYGjg8AHTlP0nK2+jN7rbaWPKIvb7WxPZAai5u11NT6ZMBZ6kGcdGkre8fkNMgCZW&#10;0aRQaAOpRtdzBqanqyBSLKWf/IyX1cgct4DDxKUgzFSMI0bZxcm3HO19dyLTYzK3fhpLcGLwNJWZ&#10;QlaQs6jhRcs8nHmi/l6XrMcLuf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H5PFNsAAAALAQAA&#10;DwAAAAAAAAABACAAAAAiAAAAZHJzL2Rvd25yZXYueG1sUEsBAhQAFAAAAAgAh07iQKGilSLdAQAA&#10;2AMAAA4AAAAAAAAAAQAgAAAAKgEAAGRycy9lMm9Eb2MueG1sUEsFBgAAAAAGAAYAWQEAAHkFAAAA&#10;AA==&#10;">
                <v:fill on="t" focussize="0,0"/>
                <v:stroke weight="0.25pt" color="#FF0000 [2404]" joinstyle="round"/>
                <v:imagedata o:title=""/>
                <o:lock v:ext="edit" aspectratio="f"/>
              </v:shape>
            </w:pict>
          </mc:Fallback>
        </mc:AlternateContent>
      </w:r>
      <w:bookmarkEnd w:id="264"/>
    </w:p>
    <w:p w14:paraId="1BA9B853">
      <w:pPr>
        <w:pStyle w:val="4"/>
        <w:rPr>
          <w:color w:val="auto"/>
        </w:rPr>
      </w:pPr>
      <w:r>
        <w:rPr>
          <w:rFonts w:hint="eastAsia"/>
          <w:color w:val="auto"/>
        </w:rPr>
        <w:t>地形地貌</w:t>
      </w:r>
    </w:p>
    <w:p w14:paraId="59110A03">
      <w:pPr>
        <w:pStyle w:val="132"/>
        <w:rPr>
          <w:color w:val="auto"/>
        </w:rPr>
      </w:pPr>
      <w:r>
        <w:rPr>
          <w:rFonts w:hint="eastAsia"/>
          <w:color w:val="auto"/>
        </w:rPr>
        <w:t>项目所在地位于天山北麓、准噶尔盆地南缘。该区域位于山前洪冲积扇平原，地势开阔平坦，无凸凹起伏。园区地形较为平坦开阔，海拔在450—518米之间，坡度在0-8°之间。最高海拔最低海拔相差约69米。最高点位于东南侧，最低点位于北侧，整体地势呈东南向西北倾斜。厂址位于洪积-冲积平原半灌木荒漠带，土壤属于灰漠土。</w:t>
      </w:r>
    </w:p>
    <w:p w14:paraId="7DBA0853">
      <w:pPr>
        <w:pStyle w:val="4"/>
        <w:rPr>
          <w:color w:val="auto"/>
        </w:rPr>
      </w:pPr>
      <w:r>
        <w:rPr>
          <w:rFonts w:hint="eastAsia"/>
          <w:color w:val="auto"/>
        </w:rPr>
        <w:t>气象条件</w:t>
      </w:r>
    </w:p>
    <w:p w14:paraId="64DE664A">
      <w:pPr>
        <w:pStyle w:val="132"/>
        <w:rPr>
          <w:color w:val="auto"/>
        </w:rPr>
      </w:pPr>
      <w:r>
        <w:rPr>
          <w:rFonts w:hint="eastAsia"/>
          <w:color w:val="auto"/>
        </w:rPr>
        <w:t>甘泉堡化工园区位于欧亚大陆腹地，远离海洋，属中温带大陆性干旱气候。夏季炎热，冬季寒冷，降水量少，蒸发旺盛，光照充足，空气干燥，热量丰富。春秋季短，气候变化剧烈，气温年较差、日较差大。年平均气温8.8℃，极端最高气温43.7℃，极端最低气温-28.6℃，无霜期237d左右。平均年降水量104.4mm，年均蒸发量：1902.7mm；月最大降水44.4mm，日最大降水27.3mm；多年平均相对湿度58%，年最大相对湿度99%、年最小相对湿度2%；年平均日照时数2364.5h；年平均风速2.1m/s，最大风速14m/s，极大风速：20.4m/s区域主导风向SSE，年均无风日数（≤3m/s）29.2d；最大冻土深度：107cm，最大积雪深23cm；年平均气压949.5hpa、最高978.8hpa、最低925.6hpa。</w:t>
      </w:r>
    </w:p>
    <w:p w14:paraId="430714C0">
      <w:pPr>
        <w:pStyle w:val="4"/>
        <w:rPr>
          <w:color w:val="auto"/>
        </w:rPr>
      </w:pPr>
      <w:r>
        <w:rPr>
          <w:rFonts w:hint="eastAsia"/>
          <w:color w:val="auto"/>
        </w:rPr>
        <w:t>水文地质</w:t>
      </w:r>
    </w:p>
    <w:p w14:paraId="01B3EADC">
      <w:pPr>
        <w:pStyle w:val="132"/>
        <w:rPr>
          <w:color w:val="auto"/>
          <w:lang w:val="zh-CN"/>
        </w:rPr>
      </w:pPr>
      <w:r>
        <w:rPr>
          <w:color w:val="auto"/>
          <w:lang w:val="zh-CN"/>
        </w:rPr>
        <w:t>甘泉堡经开区周边拥有大小水库7座，水域面积广阔蓄水量大。其中500水库总库容达2.81亿立方米。甘泉堡工业区内建有“500”水库，目前库区一期工程已建成，</w:t>
      </w:r>
      <w:r>
        <w:rPr>
          <w:rFonts w:hint="eastAsia"/>
          <w:color w:val="auto"/>
          <w:lang w:val="zh-CN"/>
        </w:rPr>
        <w:t>“</w:t>
      </w:r>
      <w:r>
        <w:rPr>
          <w:color w:val="auto"/>
          <w:lang w:val="zh-CN"/>
        </w:rPr>
        <w:t>500</w:t>
      </w:r>
      <w:r>
        <w:rPr>
          <w:rFonts w:hint="eastAsia"/>
          <w:color w:val="auto"/>
          <w:lang w:val="zh-CN"/>
        </w:rPr>
        <w:t>”</w:t>
      </w:r>
      <w:r>
        <w:rPr>
          <w:color w:val="auto"/>
          <w:lang w:val="zh-CN"/>
        </w:rPr>
        <w:t>水库一期可调节4.2亿立方用水，二期可调节6.4亿立方用水，远景可调节10.6亿立方用水。</w:t>
      </w:r>
    </w:p>
    <w:p w14:paraId="6E45BCFB">
      <w:pPr>
        <w:pStyle w:val="132"/>
        <w:rPr>
          <w:color w:val="auto"/>
          <w:lang w:val="zh-CN"/>
        </w:rPr>
      </w:pPr>
      <w:r>
        <w:rPr>
          <w:color w:val="auto"/>
          <w:lang w:val="zh-CN"/>
        </w:rPr>
        <w:t>依据“500”水库受水区规划，乌鲁木齐市在“500”水库近期的分水量为1.5亿立方米，置换乌鲁木齐河5000万立方米，通过在上游拦河修建大西沟水库等水利设施留在城市上游，用于生态恢复及城市建设发展。置换头屯河3000万立方米，用于经济技术开发区建设发展及生态绿化。留在“500”水库的7000万立方米用于甘泉堡工业区建设。</w:t>
      </w:r>
    </w:p>
    <w:p w14:paraId="046FD8D5">
      <w:pPr>
        <w:pStyle w:val="132"/>
        <w:rPr>
          <w:color w:val="auto"/>
          <w:lang w:val="zh-CN"/>
        </w:rPr>
      </w:pPr>
      <w:r>
        <w:rPr>
          <w:color w:val="auto"/>
          <w:lang w:val="zh-CN"/>
        </w:rPr>
        <w:t>依据甘泉堡经开区用水分配方案，甘泉堡经济技术开发区年供水总量为10700万m</w:t>
      </w:r>
      <w:r>
        <w:rPr>
          <w:color w:val="auto"/>
          <w:vertAlign w:val="superscript"/>
          <w:lang w:val="zh-CN"/>
        </w:rPr>
        <w:t>3</w:t>
      </w:r>
      <w:r>
        <w:rPr>
          <w:color w:val="auto"/>
          <w:lang w:val="zh-CN"/>
        </w:rPr>
        <w:t>，其中工业用水分配量为9159万m</w:t>
      </w:r>
      <w:r>
        <w:rPr>
          <w:color w:val="auto"/>
          <w:vertAlign w:val="superscript"/>
          <w:lang w:val="zh-CN"/>
        </w:rPr>
        <w:t>3</w:t>
      </w:r>
      <w:r>
        <w:rPr>
          <w:color w:val="auto"/>
          <w:lang w:val="zh-CN"/>
        </w:rPr>
        <w:t>，占比85.6%。</w:t>
      </w:r>
    </w:p>
    <w:p w14:paraId="51DE204B">
      <w:pPr>
        <w:pStyle w:val="132"/>
        <w:rPr>
          <w:color w:val="auto"/>
        </w:rPr>
      </w:pPr>
      <w:r>
        <w:rPr>
          <w:color w:val="auto"/>
          <w:lang w:val="zh-CN"/>
        </w:rPr>
        <w:t>甘泉堡工业园位于阜康境内水磨河与乌鲁木齐河下游老龙河的河间地段，地貌上主要属于细土平原区。地下水主要为第四系松散岩类孔隙水，地下水则属于细土平原潜水承压水。潜水含水层的岩性以粉土、粉砂为主，颗粒细，透水性差，地下水流相对缓慢，富水性贫乏，地下水补给来源为地下水侧向径流，渠系、田间渗漏灌溉及有限的大气降水入渗补给，地下水的排泄条件主要为侧向径流流出排泄，其次为人工植被的蒸发蒸腾排泄和大气蒸发排泄。地下水流向为南</w:t>
      </w:r>
      <w:r>
        <w:rPr>
          <w:rFonts w:hint="eastAsia"/>
          <w:color w:val="auto"/>
          <w:lang w:val="zh-CN"/>
        </w:rPr>
        <w:t>－</w:t>
      </w:r>
      <w:r>
        <w:rPr>
          <w:color w:val="auto"/>
          <w:lang w:val="zh-CN"/>
        </w:rPr>
        <w:t>北。</w:t>
      </w:r>
    </w:p>
    <w:p w14:paraId="5189D0EF">
      <w:pPr>
        <w:pStyle w:val="4"/>
        <w:rPr>
          <w:color w:val="auto"/>
        </w:rPr>
      </w:pPr>
      <w:r>
        <w:rPr>
          <w:rFonts w:hint="eastAsia"/>
          <w:color w:val="auto"/>
        </w:rPr>
        <w:t>工程地质</w:t>
      </w:r>
    </w:p>
    <w:p w14:paraId="2F214C0C">
      <w:pPr>
        <w:pStyle w:val="132"/>
        <w:rPr>
          <w:color w:val="auto"/>
        </w:rPr>
      </w:pPr>
      <w:r>
        <w:rPr>
          <w:rFonts w:hint="eastAsia"/>
          <w:color w:val="auto"/>
        </w:rPr>
        <w:t>甘泉堡化工园区处于准噶尔挤压凹陷与天山北缘推覆构造带之间，距区域性的阜康隐伏活动大断裂6—10km。地层主要为第四系全新统洪积轻-中-重粉质壤土，岩性单一，大部分地层30m范围内从上到下以粘土、壤土和砂壤土为主，局部为夹薄层粉细砂造镜体，其中：表层深度0-3m，k=1.3×10</w:t>
      </w:r>
      <w:r>
        <w:rPr>
          <w:rFonts w:hint="eastAsia"/>
          <w:color w:val="auto"/>
          <w:vertAlign w:val="superscript"/>
        </w:rPr>
        <w:t>-3</w:t>
      </w:r>
      <w:r>
        <w:rPr>
          <w:rFonts w:hint="eastAsia"/>
          <w:color w:val="auto"/>
        </w:rPr>
        <w:t>cm/s；深度3-13m，k=4.8×10</w:t>
      </w:r>
      <w:r>
        <w:rPr>
          <w:rFonts w:hint="eastAsia"/>
          <w:color w:val="auto"/>
          <w:vertAlign w:val="superscript"/>
        </w:rPr>
        <w:t>-5</w:t>
      </w:r>
      <w:r>
        <w:rPr>
          <w:rFonts w:hint="eastAsia"/>
          <w:color w:val="auto"/>
        </w:rPr>
        <w:t>cm/s；深度13-30m，k=1.25×10</w:t>
      </w:r>
      <w:r>
        <w:rPr>
          <w:rFonts w:hint="eastAsia"/>
          <w:color w:val="auto"/>
          <w:vertAlign w:val="superscript"/>
        </w:rPr>
        <w:t>-4</w:t>
      </w:r>
      <w:r>
        <w:rPr>
          <w:rFonts w:hint="eastAsia"/>
          <w:color w:val="auto"/>
        </w:rPr>
        <w:t>cm/s-1.38×10</w:t>
      </w:r>
      <w:r>
        <w:rPr>
          <w:rFonts w:hint="eastAsia"/>
          <w:color w:val="auto"/>
          <w:vertAlign w:val="superscript"/>
        </w:rPr>
        <w:t>-5</w:t>
      </w:r>
      <w:r>
        <w:rPr>
          <w:rFonts w:hint="eastAsia"/>
          <w:color w:val="auto"/>
        </w:rPr>
        <w:t>cm/s，属微-弱透水层。区域表面主要分布轻－中粉质壤土，厚度稳定，构成了良好的天然防渗覆盖。区域最大冻土深度＞150cm，最大积雪深度26cm。表层2.0m范围内普遍含盐量较高，地下水矿化度高，对普通水泥具有结晶类硫酸盐强腐蚀性，同时局部存在有侵蚀性CO</w:t>
      </w:r>
      <w:r>
        <w:rPr>
          <w:rFonts w:hint="eastAsia"/>
          <w:color w:val="auto"/>
          <w:vertAlign w:val="subscript"/>
        </w:rPr>
        <w:t>2</w:t>
      </w:r>
      <w:r>
        <w:rPr>
          <w:rFonts w:hint="eastAsia"/>
          <w:color w:val="auto"/>
        </w:rPr>
        <w:t>的强腐蚀性，3m以上土层含盐量超标，对建筑物均具有一定的腐蚀性，建议混凝土工程均采取防护处理。项目区土壤以砂砾土为主，长期沉积形成的天然戈壁垫层，工程地质条件较为稳定。</w:t>
      </w:r>
    </w:p>
    <w:p w14:paraId="2B6F3F6D">
      <w:pPr>
        <w:pStyle w:val="4"/>
        <w:rPr>
          <w:color w:val="auto"/>
        </w:rPr>
      </w:pPr>
      <w:r>
        <w:rPr>
          <w:rFonts w:hint="eastAsia"/>
          <w:color w:val="auto"/>
        </w:rPr>
        <w:t>生态环境</w:t>
      </w:r>
    </w:p>
    <w:p w14:paraId="65E114FB">
      <w:pPr>
        <w:pStyle w:val="132"/>
        <w:rPr>
          <w:color w:val="auto"/>
        </w:rPr>
      </w:pPr>
      <w:r>
        <w:rPr>
          <w:rFonts w:hint="eastAsia"/>
          <w:color w:val="auto"/>
        </w:rPr>
        <w:t>甘泉堡化工园区以荒漠植被为主，分布在园区的植被区系组成以柽柳科、藜科、菊科、禾本科等少数几个科种类较多。以盐碱地、草地为主。盐碱地周边分布有部分灌木林地及其他草地；化工园区规划范围北部基本以盐化草甸等其他草地为主，化工园区规划范围南部基本以天然牧草地为主。不涉及基本农田等。</w:t>
      </w:r>
    </w:p>
    <w:p w14:paraId="06EEDFF7">
      <w:pPr>
        <w:pStyle w:val="3"/>
        <w:rPr>
          <w:rFonts w:ascii="Arial" w:hAnsi="Arial"/>
          <w:color w:val="auto"/>
        </w:rPr>
      </w:pPr>
      <w:bookmarkStart w:id="265" w:name="_Toc229930132"/>
      <w:r>
        <w:rPr>
          <w:rFonts w:hint="eastAsia"/>
          <w:color w:val="auto"/>
        </w:rPr>
        <w:t>甘泉堡工业园区总体规划简介</w:t>
      </w:r>
      <w:bookmarkEnd w:id="265"/>
    </w:p>
    <w:p w14:paraId="1512C719">
      <w:pPr>
        <w:pStyle w:val="4"/>
        <w:rPr>
          <w:color w:val="auto"/>
        </w:rPr>
      </w:pPr>
      <w:r>
        <w:rPr>
          <w:rFonts w:hint="eastAsia"/>
          <w:color w:val="auto"/>
        </w:rPr>
        <w:t>园区发展</w:t>
      </w:r>
    </w:p>
    <w:p w14:paraId="0C6CBEAF">
      <w:pPr>
        <w:pStyle w:val="132"/>
        <w:rPr>
          <w:color w:val="auto"/>
        </w:rPr>
      </w:pPr>
      <w:r>
        <w:rPr>
          <w:rFonts w:hint="eastAsia"/>
          <w:color w:val="auto"/>
        </w:rPr>
        <w:t>甘泉堡工业园（原名：乌鲁木齐米东高新技术产业园）2008年获得自治区人民政府的批复同意（《关于乌鲁木齐市米东区高新技术产业园总体规划的批复》（新政函〔2008〕156号），是新疆新型工业化重点建设的工业园区。园区地处乌鲁木齐市与昌吉回族自治州的交界地带，东接准东石油基地，南临小黄山铁路和216国道，西接乌鲁木齐市米东区，北至五家渠市、兵团第六师102团。东西跨长约21km，南北约23km，规划范围总面积360km</w:t>
      </w:r>
      <w:r>
        <w:rPr>
          <w:rFonts w:hint="eastAsia"/>
          <w:color w:val="auto"/>
          <w:vertAlign w:val="superscript"/>
        </w:rPr>
        <w:t>2</w:t>
      </w:r>
      <w:r>
        <w:rPr>
          <w:rFonts w:hint="eastAsia"/>
          <w:color w:val="auto"/>
        </w:rPr>
        <w:t>，建设面积193km</w:t>
      </w:r>
      <w:r>
        <w:rPr>
          <w:rFonts w:hint="eastAsia"/>
          <w:color w:val="auto"/>
          <w:vertAlign w:val="superscript"/>
        </w:rPr>
        <w:t>2</w:t>
      </w:r>
      <w:r>
        <w:rPr>
          <w:rFonts w:hint="eastAsia"/>
          <w:color w:val="auto"/>
        </w:rPr>
        <w:t>。规划用地主要分布在米东区境内，部分在阜康市和五家渠市境内。园区中心距乌鲁木齐市中心区约45km，距米东区中心城区约20km，距阜康中心城区约15km，距准东石油基地3km。</w:t>
      </w:r>
    </w:p>
    <w:p w14:paraId="42DC06AE">
      <w:pPr>
        <w:pStyle w:val="132"/>
        <w:rPr>
          <w:color w:val="auto"/>
        </w:rPr>
      </w:pPr>
      <w:r>
        <w:rPr>
          <w:rFonts w:hint="eastAsia"/>
          <w:color w:val="auto"/>
        </w:rPr>
        <w:t>2009年，园区开展了首轮规划环境影响评价，自治区环保厅以新环评〔2009〕37号出具了《关于乌鲁木齐米东高新技术产业园（甘泉堡工业园）总体规划环境影响报告书的审查意见》。2010年自治区人民政府同意撤销米东区高新技术产业园成立乌鲁木齐市甘泉堡工业区（《关于同意撤销米东区高新技术产业园成立乌鲁木齐市甘泉堡工业区的批复》（新政函〔2010〕47号），2010 年1月，新疆维吾尔自治区人民政府同意将乌鲁木齐米东高新技术产业园规划变更为甘泉堡工业园总体规划（新政函〔2010〕11号）。2010年，园区分别编制了《甘泉堡工业区南区控制性详细规划》《甘泉堡工业区北区控制性详细规划》，开展了规划环评工作并取得规划环评审查意见（新环评价函〔2010〕664 号和新环评价函〔2010〕665号）。2012年9月15日，国务院将甘泉堡工业园的南部高新技术产业区的7.56km</w:t>
      </w:r>
      <w:r>
        <w:rPr>
          <w:rFonts w:hint="eastAsia"/>
          <w:color w:val="auto"/>
          <w:vertAlign w:val="superscript"/>
        </w:rPr>
        <w:t>2</w:t>
      </w:r>
      <w:r>
        <w:rPr>
          <w:rFonts w:hint="eastAsia"/>
          <w:color w:val="auto"/>
        </w:rPr>
        <w:t>部分批准为国家级开发区（国办〔2012〕163号），实行现行国家级经济技术开发区政策。首轮规划的园区共有9区，其中生态人居区、高新技术产业区及生态保育区的部分与阜康工业园部分区域重叠；协调发展区与五家渠东工业园区部分区域重叠。</w:t>
      </w:r>
    </w:p>
    <w:p w14:paraId="0DF92984">
      <w:pPr>
        <w:pStyle w:val="132"/>
        <w:rPr>
          <w:color w:val="auto"/>
        </w:rPr>
      </w:pPr>
      <w:r>
        <w:rPr>
          <w:rFonts w:hint="eastAsia"/>
          <w:color w:val="auto"/>
        </w:rPr>
        <w:t>2017年1月园区管委会委托乌鲁木齐市城市规划设计研究院编制完成了《甘泉堡工业园总体规划（2016—2030年）》，2017年2月自治区人民政府批准《甘泉堡工业园总体规划（2016—2030年）》（新政函〔2017〕42号）。</w:t>
      </w:r>
    </w:p>
    <w:p w14:paraId="2ABA5A70">
      <w:pPr>
        <w:pStyle w:val="132"/>
        <w:rPr>
          <w:color w:val="auto"/>
        </w:rPr>
      </w:pPr>
      <w:r>
        <w:rPr>
          <w:rFonts w:hint="eastAsia"/>
          <w:color w:val="auto"/>
        </w:rPr>
        <w:t>本次规划修编后规划范围不变，建设用地总面积193km</w:t>
      </w:r>
      <w:r>
        <w:rPr>
          <w:rFonts w:hint="eastAsia"/>
          <w:color w:val="auto"/>
          <w:vertAlign w:val="superscript"/>
        </w:rPr>
        <w:t>2</w:t>
      </w:r>
      <w:r>
        <w:rPr>
          <w:rFonts w:hint="eastAsia"/>
          <w:color w:val="auto"/>
        </w:rPr>
        <w:t>，近期园区规划建设用地面积控制在121km</w:t>
      </w:r>
      <w:r>
        <w:rPr>
          <w:rFonts w:hint="eastAsia"/>
          <w:color w:val="auto"/>
          <w:vertAlign w:val="superscript"/>
        </w:rPr>
        <w:t>2</w:t>
      </w:r>
      <w:r>
        <w:rPr>
          <w:rFonts w:hint="eastAsia"/>
          <w:color w:val="auto"/>
        </w:rPr>
        <w:t>以内，中期控制在193km</w:t>
      </w:r>
      <w:r>
        <w:rPr>
          <w:rFonts w:hint="eastAsia"/>
          <w:color w:val="auto"/>
          <w:vertAlign w:val="superscript"/>
        </w:rPr>
        <w:t>2</w:t>
      </w:r>
      <w:r>
        <w:rPr>
          <w:rFonts w:hint="eastAsia"/>
          <w:color w:val="auto"/>
        </w:rPr>
        <w:t>以内。经过合理优化和调整，调整后园区三类工业较修编前减少639.73公顷（本轮三类工业用地面积6568.01公顷，占规划建设用地面积33.72%）。修编后规划园区用地布局由修编前的九个功能区调整为十个功能区，取消了生态人居区，新增了小微企业创新区和商贸物流区，根据实际情况各功能区面积也进行了相应调整，并取消部分规划主干道路、调整部分用地性质。在一定程度上优化了产业结构和功能布局，与国家和地方产业发展政策、《乌鲁木齐市城市总体规划（2012—2030年）》《五家渠市城市总体规划（2012—2030年）》《阜康市城市总体规划（2012—2030年）》及土地利用总体规划基本协调，修编后的《园区规划》较修编前更为合理。但未严格按照新政发〔2016〕140号《关于加强乌鲁木齐、昌吉、石河子、五家渠区域环境同防同治的意见》等文件要求，从改善区域大气环境质量目标、优化产业结构和布局、强化大气污染物综合治理、加强重点区域污染防治和生态环境保护等方面提出规划优化调整建议和环境影响减缓对策、措施。</w:t>
      </w:r>
    </w:p>
    <w:p w14:paraId="4A2C37FB">
      <w:pPr>
        <w:pStyle w:val="132"/>
        <w:rPr>
          <w:color w:val="auto"/>
        </w:rPr>
      </w:pPr>
      <w:r>
        <w:rPr>
          <w:rFonts w:hint="eastAsia"/>
          <w:color w:val="auto"/>
        </w:rPr>
        <w:t>甘泉堡经济技术开发区（工业园）管委会委托新疆天地源环保科技发展股份有限公司于2017年10月编制完成了《甘泉堡工业园总体规划（2016—2030年）环境影响报告书》。2018年3月27日，新疆维吾尔自治区环境保护厅下发了新环函〔2018〕368号《关于甘泉堡工业园总体规划（2016—2030年）环境影响报告书的审查意见》。</w:t>
      </w:r>
    </w:p>
    <w:p w14:paraId="1D6C61FE">
      <w:pPr>
        <w:pStyle w:val="4"/>
        <w:rPr>
          <w:color w:val="auto"/>
        </w:rPr>
      </w:pPr>
      <w:r>
        <w:rPr>
          <w:rFonts w:hint="eastAsia"/>
          <w:color w:val="auto"/>
        </w:rPr>
        <w:t>园区范围</w:t>
      </w:r>
    </w:p>
    <w:p w14:paraId="61F7FD87">
      <w:pPr>
        <w:pStyle w:val="132"/>
        <w:rPr>
          <w:rFonts w:hint="eastAsia" w:ascii="仿宋" w:hAnsi="仿宋"/>
          <w:color w:val="auto"/>
        </w:rPr>
      </w:pPr>
      <w:r>
        <w:rPr>
          <w:rFonts w:hint="eastAsia"/>
          <w:color w:val="auto"/>
        </w:rPr>
        <w:t>甘泉堡工业区规划区范围为南起吐乌大高等级公路以北，西至米东区三道坝镇东侧的规划环路，北至准噶尔盆地南缘，距“</w:t>
      </w:r>
      <w:r>
        <w:rPr>
          <w:color w:val="auto"/>
        </w:rPr>
        <w:t>500</w:t>
      </w:r>
      <w:r>
        <w:rPr>
          <w:rFonts w:hint="eastAsia"/>
          <w:color w:val="auto"/>
        </w:rPr>
        <w:t>”水库</w:t>
      </w:r>
      <w:r>
        <w:rPr>
          <w:color w:val="auto"/>
        </w:rPr>
        <w:t>16.5km</w:t>
      </w:r>
      <w:r>
        <w:rPr>
          <w:rFonts w:hint="eastAsia"/>
          <w:color w:val="auto"/>
        </w:rPr>
        <w:t>，东至准东石油生活基地建成区边缘，规划范围</w:t>
      </w:r>
      <w:r>
        <w:rPr>
          <w:color w:val="auto"/>
        </w:rPr>
        <w:t>360km</w:t>
      </w:r>
      <w:r>
        <w:rPr>
          <w:color w:val="auto"/>
          <w:vertAlign w:val="superscript"/>
        </w:rPr>
        <w:t>2</w:t>
      </w:r>
      <w:r>
        <w:rPr>
          <w:rFonts w:hint="eastAsia"/>
          <w:color w:val="auto"/>
        </w:rPr>
        <w:t>，规划建设用地面积为</w:t>
      </w:r>
      <w:r>
        <w:rPr>
          <w:color w:val="auto"/>
        </w:rPr>
        <w:t>193km</w:t>
      </w:r>
      <w:r>
        <w:rPr>
          <w:color w:val="auto"/>
          <w:vertAlign w:val="superscript"/>
        </w:rPr>
        <w:t>2</w:t>
      </w:r>
      <w:r>
        <w:rPr>
          <w:rFonts w:hint="eastAsia"/>
          <w:color w:val="auto"/>
        </w:rPr>
        <w:t>。</w:t>
      </w:r>
    </w:p>
    <w:p w14:paraId="01C5FCFD">
      <w:pPr>
        <w:pStyle w:val="5"/>
        <w:rPr>
          <w:color w:val="auto"/>
        </w:rPr>
      </w:pPr>
      <w:r>
        <w:rPr>
          <w:rFonts w:hint="eastAsia"/>
          <w:color w:val="auto"/>
        </w:rPr>
        <w:t>园区发展定位与发展目标</w:t>
      </w:r>
    </w:p>
    <w:p w14:paraId="23871A54">
      <w:pPr>
        <w:pStyle w:val="132"/>
        <w:rPr>
          <w:color w:val="auto"/>
        </w:rPr>
      </w:pPr>
      <w:r>
        <w:rPr>
          <w:color w:val="auto"/>
        </w:rPr>
        <w:t>（1）园区定位</w:t>
      </w:r>
    </w:p>
    <w:p w14:paraId="1109C6A3">
      <w:pPr>
        <w:pStyle w:val="132"/>
        <w:rPr>
          <w:color w:val="auto"/>
        </w:rPr>
      </w:pPr>
      <w:r>
        <w:rPr>
          <w:color w:val="auto"/>
        </w:rPr>
        <w:t>甘泉堡工业园是“一带一路”核心区内重要的亿元产业园</w:t>
      </w:r>
      <w:r>
        <w:rPr>
          <w:rFonts w:hint="eastAsia"/>
          <w:color w:val="auto"/>
        </w:rPr>
        <w:t>，是</w:t>
      </w:r>
      <w:r>
        <w:rPr>
          <w:color w:val="auto"/>
        </w:rPr>
        <w:t>乌昌地区东线工业走廊的核心节点和国家级能源资源合作基地，乌鲁木齐市对接区域产业发展的新型工业园，发挥区域优势资源转换战略、凸显乌鲁木齐核心优势的新兴战略产业基地，准东煤电煤化工产业带</w:t>
      </w:r>
      <w:r>
        <w:rPr>
          <w:rFonts w:hint="eastAsia"/>
          <w:color w:val="auto"/>
        </w:rPr>
        <w:t>领</w:t>
      </w:r>
      <w:r>
        <w:rPr>
          <w:color w:val="auto"/>
        </w:rPr>
        <w:t>的科技创新中心及综合服务基地。</w:t>
      </w:r>
    </w:p>
    <w:p w14:paraId="3F161596">
      <w:pPr>
        <w:pStyle w:val="132"/>
        <w:rPr>
          <w:color w:val="auto"/>
        </w:rPr>
      </w:pPr>
      <w:r>
        <w:rPr>
          <w:color w:val="auto"/>
        </w:rPr>
        <w:t>（2）发展目标</w:t>
      </w:r>
    </w:p>
    <w:p w14:paraId="4D46E213">
      <w:pPr>
        <w:pStyle w:val="132"/>
        <w:rPr>
          <w:color w:val="auto"/>
        </w:rPr>
      </w:pPr>
      <w:r>
        <w:rPr>
          <w:color w:val="auto"/>
        </w:rPr>
        <w:t>将甘泉堡工业园建设成为“一带一路”上重要的出口加工区、国家级循环经济（循环化改造示范）试点园区、乌昌地区优势资源转换示范基地和新兴战略产业集聚区。形成以新兴战略产业为主，自主创新研发能力强的产业新区；信息化建设完善、管理运营方式先进、现代服务设施水平高、生态环境良好的智慧型产业新城。</w:t>
      </w:r>
    </w:p>
    <w:p w14:paraId="335BD0CA">
      <w:pPr>
        <w:pStyle w:val="4"/>
        <w:rPr>
          <w:color w:val="auto"/>
        </w:rPr>
      </w:pPr>
      <w:r>
        <w:rPr>
          <w:rFonts w:hint="eastAsia"/>
          <w:color w:val="auto"/>
        </w:rPr>
        <w:t>功能分区</w:t>
      </w:r>
    </w:p>
    <w:p w14:paraId="64659FB6">
      <w:pPr>
        <w:pStyle w:val="132"/>
        <w:rPr>
          <w:color w:val="auto"/>
        </w:rPr>
      </w:pPr>
      <w:r>
        <w:rPr>
          <w:color w:val="auto"/>
        </w:rPr>
        <w:t>规划区划分成十个功能区，见表</w:t>
      </w:r>
      <w:r>
        <w:rPr>
          <w:rFonts w:hint="eastAsia"/>
          <w:color w:val="auto"/>
        </w:rPr>
        <w:t>4.2.3-1</w:t>
      </w:r>
      <w:r>
        <w:rPr>
          <w:color w:val="auto"/>
        </w:rPr>
        <w:t>与图</w:t>
      </w:r>
      <w:r>
        <w:rPr>
          <w:rFonts w:hint="eastAsia"/>
          <w:color w:val="auto"/>
        </w:rPr>
        <w:t>4</w:t>
      </w:r>
      <w:r>
        <w:rPr>
          <w:color w:val="auto"/>
        </w:rPr>
        <w:t>.</w:t>
      </w:r>
      <w:r>
        <w:rPr>
          <w:rFonts w:hint="eastAsia"/>
          <w:color w:val="auto"/>
        </w:rPr>
        <w:t>2</w:t>
      </w:r>
      <w:r>
        <w:rPr>
          <w:color w:val="auto"/>
        </w:rPr>
        <w:t>-</w:t>
      </w:r>
      <w:r>
        <w:rPr>
          <w:rFonts w:hint="eastAsia"/>
          <w:color w:val="auto"/>
        </w:rPr>
        <w:t>1。</w:t>
      </w:r>
    </w:p>
    <w:p w14:paraId="29ACEA27">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甘泉堡工业园规划功能分区情况表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211"/>
        <w:gridCol w:w="1495"/>
        <w:gridCol w:w="896"/>
        <w:gridCol w:w="1942"/>
        <w:gridCol w:w="3242"/>
      </w:tblGrid>
      <w:tr w14:paraId="032D5C8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699F9642">
            <w:pPr>
              <w:widowControl w:val="0"/>
              <w:spacing w:before="100" w:beforeAutospacing="1" w:line="360" w:lineRule="exact"/>
              <w:jc w:val="center"/>
              <w:rPr>
                <w:color w:val="auto"/>
                <w:kern w:val="2"/>
                <w:sz w:val="21"/>
                <w:szCs w:val="21"/>
              </w:rPr>
            </w:pPr>
            <w:r>
              <w:rPr>
                <w:rFonts w:ascii="宋体" w:hAnsi="宋体"/>
                <w:color w:val="auto"/>
                <w:kern w:val="2"/>
                <w:sz w:val="21"/>
                <w:szCs w:val="21"/>
              </w:rPr>
              <w:t>功能分区</w:t>
            </w:r>
          </w:p>
        </w:tc>
        <w:tc>
          <w:tcPr>
            <w:tcW w:w="851" w:type="pct"/>
            <w:vAlign w:val="center"/>
          </w:tcPr>
          <w:p w14:paraId="2A5455BE">
            <w:pPr>
              <w:widowControl w:val="0"/>
              <w:spacing w:before="100" w:beforeAutospacing="1" w:line="360" w:lineRule="exact"/>
              <w:jc w:val="center"/>
              <w:rPr>
                <w:color w:val="auto"/>
                <w:kern w:val="2"/>
                <w:sz w:val="21"/>
                <w:szCs w:val="21"/>
              </w:rPr>
            </w:pPr>
            <w:r>
              <w:rPr>
                <w:rFonts w:ascii="宋体" w:hAnsi="宋体"/>
                <w:color w:val="auto"/>
                <w:kern w:val="2"/>
                <w:sz w:val="21"/>
                <w:szCs w:val="21"/>
              </w:rPr>
              <w:t>位置</w:t>
            </w:r>
          </w:p>
        </w:tc>
        <w:tc>
          <w:tcPr>
            <w:tcW w:w="510" w:type="pct"/>
            <w:vAlign w:val="center"/>
          </w:tcPr>
          <w:p w14:paraId="006A25DB">
            <w:pPr>
              <w:widowControl w:val="0"/>
              <w:spacing w:before="100" w:beforeAutospacing="1" w:line="360" w:lineRule="exact"/>
              <w:jc w:val="center"/>
              <w:rPr>
                <w:color w:val="auto"/>
                <w:kern w:val="2"/>
                <w:sz w:val="21"/>
                <w:szCs w:val="21"/>
              </w:rPr>
            </w:pPr>
            <w:r>
              <w:rPr>
                <w:rFonts w:ascii="宋体" w:hAnsi="宋体"/>
                <w:color w:val="auto"/>
                <w:kern w:val="2"/>
                <w:sz w:val="21"/>
                <w:szCs w:val="21"/>
              </w:rPr>
              <w:t>面积</w:t>
            </w:r>
            <w:r>
              <w:rPr>
                <w:color w:val="auto"/>
                <w:kern w:val="2"/>
                <w:sz w:val="21"/>
                <w:szCs w:val="21"/>
              </w:rPr>
              <w:t>km</w:t>
            </w:r>
            <w:r>
              <w:rPr>
                <w:color w:val="auto"/>
                <w:kern w:val="2"/>
                <w:sz w:val="21"/>
                <w:szCs w:val="21"/>
                <w:vertAlign w:val="superscript"/>
              </w:rPr>
              <w:t>2</w:t>
            </w:r>
          </w:p>
        </w:tc>
        <w:tc>
          <w:tcPr>
            <w:tcW w:w="1105" w:type="pct"/>
            <w:vAlign w:val="center"/>
          </w:tcPr>
          <w:p w14:paraId="033AEF25">
            <w:pPr>
              <w:widowControl w:val="0"/>
              <w:spacing w:before="100" w:beforeAutospacing="1" w:line="360" w:lineRule="exact"/>
              <w:jc w:val="center"/>
              <w:rPr>
                <w:color w:val="auto"/>
                <w:kern w:val="2"/>
                <w:sz w:val="21"/>
                <w:szCs w:val="21"/>
              </w:rPr>
            </w:pPr>
            <w:r>
              <w:rPr>
                <w:rFonts w:ascii="宋体" w:hAnsi="宋体"/>
                <w:color w:val="auto"/>
                <w:kern w:val="2"/>
                <w:sz w:val="21"/>
                <w:szCs w:val="21"/>
              </w:rPr>
              <w:t>工业用地指标</w:t>
            </w:r>
          </w:p>
        </w:tc>
        <w:tc>
          <w:tcPr>
            <w:tcW w:w="1845" w:type="pct"/>
            <w:vAlign w:val="center"/>
          </w:tcPr>
          <w:p w14:paraId="06F514D8">
            <w:pPr>
              <w:widowControl w:val="0"/>
              <w:spacing w:before="100" w:beforeAutospacing="1" w:line="360" w:lineRule="exact"/>
              <w:jc w:val="center"/>
              <w:rPr>
                <w:color w:val="auto"/>
                <w:kern w:val="2"/>
                <w:sz w:val="21"/>
                <w:szCs w:val="21"/>
              </w:rPr>
            </w:pPr>
            <w:r>
              <w:rPr>
                <w:rFonts w:ascii="宋体" w:hAnsi="宋体"/>
                <w:color w:val="auto"/>
                <w:kern w:val="2"/>
                <w:sz w:val="21"/>
                <w:szCs w:val="21"/>
              </w:rPr>
              <w:t>产业政策</w:t>
            </w:r>
          </w:p>
        </w:tc>
      </w:tr>
      <w:tr w14:paraId="07E84E2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7E426446">
            <w:pPr>
              <w:widowControl w:val="0"/>
              <w:spacing w:before="100" w:beforeAutospacing="1" w:line="360" w:lineRule="exact"/>
              <w:jc w:val="center"/>
              <w:rPr>
                <w:color w:val="auto"/>
                <w:kern w:val="2"/>
                <w:sz w:val="21"/>
                <w:szCs w:val="21"/>
              </w:rPr>
            </w:pPr>
            <w:r>
              <w:rPr>
                <w:rFonts w:ascii="宋体" w:hAnsi="宋体"/>
                <w:color w:val="auto"/>
                <w:kern w:val="2"/>
                <w:sz w:val="21"/>
                <w:szCs w:val="21"/>
              </w:rPr>
              <w:t>优势资源</w:t>
            </w:r>
          </w:p>
          <w:p w14:paraId="540DC701">
            <w:pPr>
              <w:widowControl w:val="0"/>
              <w:spacing w:before="100" w:beforeAutospacing="1" w:line="360" w:lineRule="exact"/>
              <w:jc w:val="center"/>
              <w:rPr>
                <w:color w:val="auto"/>
                <w:kern w:val="2"/>
                <w:sz w:val="21"/>
                <w:szCs w:val="21"/>
              </w:rPr>
            </w:pPr>
            <w:r>
              <w:rPr>
                <w:rFonts w:ascii="宋体" w:hAnsi="宋体"/>
                <w:color w:val="auto"/>
                <w:kern w:val="2"/>
                <w:sz w:val="21"/>
                <w:szCs w:val="21"/>
              </w:rPr>
              <w:t>转化区</w:t>
            </w:r>
          </w:p>
        </w:tc>
        <w:tc>
          <w:tcPr>
            <w:tcW w:w="851" w:type="pct"/>
            <w:vAlign w:val="center"/>
          </w:tcPr>
          <w:p w14:paraId="2F984AE7">
            <w:pPr>
              <w:widowControl w:val="0"/>
              <w:spacing w:before="100" w:beforeAutospacing="1" w:line="360" w:lineRule="exact"/>
              <w:jc w:val="center"/>
              <w:rPr>
                <w:color w:val="auto"/>
                <w:kern w:val="2"/>
                <w:sz w:val="21"/>
                <w:szCs w:val="21"/>
              </w:rPr>
            </w:pPr>
            <w:r>
              <w:rPr>
                <w:rFonts w:ascii="宋体" w:hAnsi="宋体"/>
                <w:color w:val="auto"/>
                <w:kern w:val="2"/>
                <w:sz w:val="21"/>
                <w:szCs w:val="21"/>
              </w:rPr>
              <w:t>五家渠市</w:t>
            </w:r>
            <w:r>
              <w:rPr>
                <w:color w:val="auto"/>
                <w:kern w:val="2"/>
                <w:sz w:val="21"/>
                <w:szCs w:val="21"/>
              </w:rPr>
              <w:t>102</w:t>
            </w:r>
            <w:r>
              <w:rPr>
                <w:rFonts w:ascii="宋体" w:hAnsi="宋体"/>
                <w:color w:val="auto"/>
                <w:kern w:val="2"/>
                <w:sz w:val="21"/>
                <w:szCs w:val="21"/>
              </w:rPr>
              <w:t>团的东北部</w:t>
            </w:r>
          </w:p>
        </w:tc>
        <w:tc>
          <w:tcPr>
            <w:tcW w:w="510" w:type="pct"/>
            <w:vAlign w:val="center"/>
          </w:tcPr>
          <w:p w14:paraId="007E5C15">
            <w:pPr>
              <w:widowControl w:val="0"/>
              <w:spacing w:before="100" w:beforeAutospacing="1" w:line="360" w:lineRule="exact"/>
              <w:jc w:val="center"/>
              <w:rPr>
                <w:color w:val="auto"/>
                <w:kern w:val="2"/>
                <w:sz w:val="21"/>
                <w:szCs w:val="21"/>
              </w:rPr>
            </w:pPr>
            <w:r>
              <w:rPr>
                <w:color w:val="auto"/>
                <w:kern w:val="2"/>
                <w:sz w:val="21"/>
                <w:szCs w:val="21"/>
              </w:rPr>
              <w:t>52</w:t>
            </w:r>
          </w:p>
        </w:tc>
        <w:tc>
          <w:tcPr>
            <w:tcW w:w="1105" w:type="pct"/>
            <w:vAlign w:val="center"/>
          </w:tcPr>
          <w:p w14:paraId="0A9F5525">
            <w:pPr>
              <w:widowControl w:val="0"/>
              <w:spacing w:before="100" w:beforeAutospacing="1" w:line="360" w:lineRule="exact"/>
              <w:jc w:val="center"/>
              <w:rPr>
                <w:color w:val="auto"/>
                <w:kern w:val="2"/>
                <w:sz w:val="21"/>
                <w:szCs w:val="21"/>
              </w:rPr>
            </w:pPr>
            <w:r>
              <w:rPr>
                <w:rFonts w:ascii="宋体" w:hAnsi="宋体"/>
                <w:color w:val="auto"/>
                <w:kern w:val="2"/>
                <w:sz w:val="21"/>
                <w:szCs w:val="21"/>
              </w:rPr>
              <w:t>投资强度不低于</w:t>
            </w:r>
            <w:r>
              <w:rPr>
                <w:color w:val="auto"/>
                <w:kern w:val="2"/>
                <w:sz w:val="21"/>
                <w:szCs w:val="21"/>
              </w:rPr>
              <w:t xml:space="preserve"> 5500</w:t>
            </w:r>
            <w:r>
              <w:rPr>
                <w:rFonts w:ascii="宋体" w:hAnsi="宋体"/>
                <w:color w:val="auto"/>
                <w:kern w:val="2"/>
                <w:sz w:val="21"/>
                <w:szCs w:val="21"/>
              </w:rPr>
              <w:t>万元</w:t>
            </w:r>
            <w:r>
              <w:rPr>
                <w:color w:val="auto"/>
                <w:kern w:val="2"/>
                <w:sz w:val="21"/>
                <w:szCs w:val="21"/>
              </w:rPr>
              <w:t>/</w:t>
            </w:r>
            <w:r>
              <w:rPr>
                <w:rFonts w:ascii="宋体" w:hAnsi="宋体"/>
                <w:color w:val="auto"/>
                <w:kern w:val="2"/>
                <w:sz w:val="21"/>
                <w:szCs w:val="21"/>
              </w:rPr>
              <w:t xml:space="preserve">公顷，容积率不低于 </w:t>
            </w:r>
            <w:r>
              <w:rPr>
                <w:color w:val="auto"/>
                <w:kern w:val="2"/>
                <w:sz w:val="21"/>
                <w:szCs w:val="21"/>
              </w:rPr>
              <w:t>0.6</w:t>
            </w:r>
            <w:r>
              <w:rPr>
                <w:rFonts w:ascii="宋体" w:hAnsi="宋体"/>
                <w:color w:val="auto"/>
                <w:kern w:val="2"/>
                <w:sz w:val="21"/>
                <w:szCs w:val="21"/>
              </w:rPr>
              <w:t>，达产税收产出强度不低于</w:t>
            </w:r>
            <w:r>
              <w:rPr>
                <w:color w:val="auto"/>
                <w:kern w:val="2"/>
                <w:sz w:val="21"/>
                <w:szCs w:val="21"/>
              </w:rPr>
              <w:t>700</w:t>
            </w:r>
            <w:r>
              <w:rPr>
                <w:rFonts w:ascii="宋体" w:hAnsi="宋体"/>
                <w:color w:val="auto"/>
                <w:kern w:val="2"/>
                <w:sz w:val="21"/>
                <w:szCs w:val="21"/>
              </w:rPr>
              <w:t>万元</w:t>
            </w:r>
            <w:r>
              <w:rPr>
                <w:color w:val="auto"/>
                <w:kern w:val="2"/>
                <w:sz w:val="21"/>
                <w:szCs w:val="21"/>
              </w:rPr>
              <w:t>/</w:t>
            </w:r>
            <w:r>
              <w:rPr>
                <w:rFonts w:ascii="宋体" w:hAnsi="宋体"/>
                <w:color w:val="auto"/>
                <w:kern w:val="2"/>
                <w:sz w:val="21"/>
                <w:szCs w:val="21"/>
              </w:rPr>
              <w:t>公顷。</w:t>
            </w:r>
          </w:p>
        </w:tc>
        <w:tc>
          <w:tcPr>
            <w:tcW w:w="1845" w:type="pct"/>
            <w:vAlign w:val="center"/>
          </w:tcPr>
          <w:p w14:paraId="1D9212CF">
            <w:pPr>
              <w:widowControl w:val="0"/>
              <w:spacing w:before="100" w:beforeAutospacing="1" w:line="360" w:lineRule="exact"/>
              <w:jc w:val="center"/>
              <w:rPr>
                <w:color w:val="auto"/>
                <w:kern w:val="2"/>
                <w:sz w:val="21"/>
                <w:szCs w:val="21"/>
              </w:rPr>
            </w:pPr>
            <w:r>
              <w:rPr>
                <w:rFonts w:ascii="宋体" w:hAnsi="宋体"/>
                <w:color w:val="auto"/>
                <w:kern w:val="2"/>
                <w:sz w:val="21"/>
                <w:szCs w:val="21"/>
              </w:rPr>
              <w:t>重点发展能源工业、煤炭化工工业、煤制油、精细化工工业及配套仓储物流业。鼓励发展的产业：可发展一定规模的煤电产业及其拓展产业，形成煤电能源产业相关产业的生产基地。工业门类以三类为主，一、二类为辅。入驻企业需符合《现代煤化工建设项目环境准入条件（试行）》要求。</w:t>
            </w:r>
          </w:p>
        </w:tc>
      </w:tr>
      <w:tr w14:paraId="3972CB2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760BF4AA">
            <w:pPr>
              <w:widowControl w:val="0"/>
              <w:spacing w:before="100" w:beforeAutospacing="1" w:line="360" w:lineRule="exact"/>
              <w:jc w:val="center"/>
              <w:rPr>
                <w:color w:val="auto"/>
                <w:kern w:val="2"/>
                <w:sz w:val="21"/>
                <w:szCs w:val="21"/>
              </w:rPr>
            </w:pPr>
            <w:r>
              <w:rPr>
                <w:rFonts w:ascii="宋体" w:hAnsi="宋体"/>
                <w:color w:val="auto"/>
                <w:kern w:val="2"/>
                <w:sz w:val="21"/>
                <w:szCs w:val="21"/>
              </w:rPr>
              <w:t>经济合作与产业孵化区</w:t>
            </w:r>
          </w:p>
        </w:tc>
        <w:tc>
          <w:tcPr>
            <w:tcW w:w="851" w:type="pct"/>
            <w:vAlign w:val="center"/>
          </w:tcPr>
          <w:p w14:paraId="43B61DEC">
            <w:pPr>
              <w:widowControl w:val="0"/>
              <w:spacing w:before="100" w:beforeAutospacing="1" w:line="360" w:lineRule="exact"/>
              <w:jc w:val="center"/>
              <w:rPr>
                <w:color w:val="auto"/>
                <w:kern w:val="2"/>
                <w:sz w:val="21"/>
                <w:szCs w:val="21"/>
              </w:rPr>
            </w:pPr>
            <w:r>
              <w:rPr>
                <w:rFonts w:ascii="宋体" w:hAnsi="宋体"/>
                <w:color w:val="auto"/>
                <w:kern w:val="2"/>
                <w:sz w:val="21"/>
                <w:szCs w:val="21"/>
              </w:rPr>
              <w:t>现状</w:t>
            </w:r>
            <w:r>
              <w:rPr>
                <w:color w:val="auto"/>
                <w:kern w:val="2"/>
                <w:sz w:val="21"/>
                <w:szCs w:val="21"/>
              </w:rPr>
              <w:t>102</w:t>
            </w:r>
            <w:r>
              <w:rPr>
                <w:rFonts w:ascii="宋体" w:hAnsi="宋体"/>
                <w:color w:val="auto"/>
                <w:kern w:val="2"/>
                <w:sz w:val="21"/>
                <w:szCs w:val="21"/>
              </w:rPr>
              <w:t>省道以东、石化污水库以北区域</w:t>
            </w:r>
          </w:p>
        </w:tc>
        <w:tc>
          <w:tcPr>
            <w:tcW w:w="510" w:type="pct"/>
            <w:vAlign w:val="center"/>
          </w:tcPr>
          <w:p w14:paraId="3CA6C837">
            <w:pPr>
              <w:widowControl w:val="0"/>
              <w:spacing w:before="100" w:beforeAutospacing="1" w:line="360" w:lineRule="exact"/>
              <w:jc w:val="center"/>
              <w:rPr>
                <w:color w:val="auto"/>
                <w:kern w:val="2"/>
                <w:sz w:val="21"/>
                <w:szCs w:val="21"/>
              </w:rPr>
            </w:pPr>
            <w:r>
              <w:rPr>
                <w:color w:val="auto"/>
                <w:kern w:val="2"/>
                <w:sz w:val="21"/>
                <w:szCs w:val="21"/>
              </w:rPr>
              <w:t>11.5</w:t>
            </w:r>
          </w:p>
        </w:tc>
        <w:tc>
          <w:tcPr>
            <w:tcW w:w="1105" w:type="pct"/>
            <w:vAlign w:val="center"/>
          </w:tcPr>
          <w:p w14:paraId="655BCBE2">
            <w:pPr>
              <w:widowControl w:val="0"/>
              <w:spacing w:before="100" w:beforeAutospacing="1" w:line="360" w:lineRule="exact"/>
              <w:jc w:val="center"/>
              <w:rPr>
                <w:color w:val="auto"/>
                <w:kern w:val="2"/>
                <w:sz w:val="21"/>
                <w:szCs w:val="21"/>
              </w:rPr>
            </w:pPr>
            <w:r>
              <w:rPr>
                <w:rFonts w:ascii="宋体" w:hAnsi="宋体"/>
                <w:color w:val="auto"/>
                <w:kern w:val="2"/>
                <w:sz w:val="21"/>
                <w:szCs w:val="21"/>
              </w:rPr>
              <w:t>投资强度不低于</w:t>
            </w:r>
            <w:r>
              <w:rPr>
                <w:color w:val="auto"/>
                <w:kern w:val="2"/>
                <w:sz w:val="21"/>
                <w:szCs w:val="21"/>
              </w:rPr>
              <w:t>1500</w:t>
            </w:r>
            <w:r>
              <w:rPr>
                <w:rFonts w:ascii="宋体" w:hAnsi="宋体"/>
                <w:color w:val="auto"/>
                <w:kern w:val="2"/>
                <w:sz w:val="21"/>
                <w:szCs w:val="21"/>
              </w:rPr>
              <w:t>万元</w:t>
            </w:r>
            <w:r>
              <w:rPr>
                <w:color w:val="auto"/>
                <w:kern w:val="2"/>
                <w:sz w:val="21"/>
                <w:szCs w:val="21"/>
              </w:rPr>
              <w:t>/</w:t>
            </w:r>
            <w:r>
              <w:rPr>
                <w:rFonts w:ascii="宋体" w:hAnsi="宋体"/>
                <w:color w:val="auto"/>
                <w:kern w:val="2"/>
                <w:sz w:val="21"/>
                <w:szCs w:val="21"/>
              </w:rPr>
              <w:t>公顷，容积率不低于</w:t>
            </w:r>
            <w:r>
              <w:rPr>
                <w:color w:val="auto"/>
                <w:kern w:val="2"/>
                <w:sz w:val="21"/>
                <w:szCs w:val="21"/>
              </w:rPr>
              <w:t>1.5</w:t>
            </w:r>
            <w:r>
              <w:rPr>
                <w:rFonts w:ascii="宋体" w:hAnsi="宋体"/>
                <w:color w:val="auto"/>
                <w:kern w:val="2"/>
                <w:sz w:val="21"/>
                <w:szCs w:val="21"/>
              </w:rPr>
              <w:t>，达产税收产出强度不低于</w:t>
            </w:r>
            <w:r>
              <w:rPr>
                <w:color w:val="auto"/>
                <w:kern w:val="2"/>
                <w:sz w:val="21"/>
                <w:szCs w:val="21"/>
              </w:rPr>
              <w:t>500</w:t>
            </w:r>
            <w:r>
              <w:rPr>
                <w:rFonts w:ascii="宋体" w:hAnsi="宋体"/>
                <w:color w:val="auto"/>
                <w:kern w:val="2"/>
                <w:sz w:val="21"/>
                <w:szCs w:val="21"/>
              </w:rPr>
              <w:t>万元</w:t>
            </w:r>
            <w:r>
              <w:rPr>
                <w:color w:val="auto"/>
                <w:kern w:val="2"/>
                <w:sz w:val="21"/>
                <w:szCs w:val="21"/>
              </w:rPr>
              <w:t>/</w:t>
            </w:r>
            <w:r>
              <w:rPr>
                <w:rFonts w:ascii="宋体" w:hAnsi="宋体"/>
                <w:color w:val="auto"/>
                <w:kern w:val="2"/>
                <w:sz w:val="21"/>
                <w:szCs w:val="21"/>
              </w:rPr>
              <w:t>公顷。</w:t>
            </w:r>
          </w:p>
        </w:tc>
        <w:tc>
          <w:tcPr>
            <w:tcW w:w="1845" w:type="pct"/>
            <w:vAlign w:val="center"/>
          </w:tcPr>
          <w:p w14:paraId="0DA97825">
            <w:pPr>
              <w:widowControl w:val="0"/>
              <w:spacing w:before="100" w:beforeAutospacing="1" w:line="360" w:lineRule="exact"/>
              <w:jc w:val="center"/>
              <w:rPr>
                <w:color w:val="auto"/>
                <w:kern w:val="2"/>
                <w:sz w:val="21"/>
                <w:szCs w:val="21"/>
              </w:rPr>
            </w:pPr>
            <w:r>
              <w:rPr>
                <w:rFonts w:ascii="宋体" w:hAnsi="宋体"/>
                <w:color w:val="auto"/>
                <w:kern w:val="2"/>
                <w:sz w:val="21"/>
                <w:szCs w:val="21"/>
              </w:rPr>
              <w:t>鼓励发展的产业：新材料、新型建材、医药研发、机电工业、精密机械加工、特种设备制造和新型轻工产品、环保技术开发与设备制造。</w:t>
            </w:r>
          </w:p>
        </w:tc>
      </w:tr>
      <w:tr w14:paraId="07061CF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03E87B5A">
            <w:pPr>
              <w:widowControl w:val="0"/>
              <w:spacing w:before="100" w:beforeAutospacing="1" w:line="360" w:lineRule="exact"/>
              <w:jc w:val="center"/>
              <w:rPr>
                <w:color w:val="auto"/>
                <w:kern w:val="2"/>
                <w:sz w:val="21"/>
                <w:szCs w:val="21"/>
              </w:rPr>
            </w:pPr>
            <w:r>
              <w:rPr>
                <w:rFonts w:ascii="宋体" w:hAnsi="宋体"/>
                <w:color w:val="auto"/>
                <w:kern w:val="2"/>
                <w:sz w:val="21"/>
                <w:szCs w:val="21"/>
              </w:rPr>
              <w:t>新能源工业区</w:t>
            </w:r>
          </w:p>
        </w:tc>
        <w:tc>
          <w:tcPr>
            <w:tcW w:w="851" w:type="pct"/>
            <w:vAlign w:val="center"/>
          </w:tcPr>
          <w:p w14:paraId="08D0D98E">
            <w:pPr>
              <w:widowControl w:val="0"/>
              <w:spacing w:before="100" w:beforeAutospacing="1" w:line="360" w:lineRule="exact"/>
              <w:jc w:val="center"/>
              <w:rPr>
                <w:color w:val="auto"/>
                <w:kern w:val="2"/>
                <w:sz w:val="21"/>
                <w:szCs w:val="21"/>
              </w:rPr>
            </w:pPr>
            <w:r>
              <w:rPr>
                <w:color w:val="auto"/>
                <w:kern w:val="2"/>
                <w:sz w:val="21"/>
                <w:szCs w:val="21"/>
              </w:rPr>
              <w:t>102</w:t>
            </w:r>
            <w:r>
              <w:rPr>
                <w:rFonts w:ascii="宋体" w:hAnsi="宋体"/>
                <w:color w:val="auto"/>
                <w:kern w:val="2"/>
                <w:sz w:val="21"/>
                <w:szCs w:val="21"/>
              </w:rPr>
              <w:t>团路以西及中央大道以北区域</w:t>
            </w:r>
          </w:p>
        </w:tc>
        <w:tc>
          <w:tcPr>
            <w:tcW w:w="510" w:type="pct"/>
            <w:vAlign w:val="center"/>
          </w:tcPr>
          <w:p w14:paraId="4F36D65B">
            <w:pPr>
              <w:widowControl w:val="0"/>
              <w:spacing w:before="100" w:beforeAutospacing="1" w:line="360" w:lineRule="exact"/>
              <w:jc w:val="center"/>
              <w:rPr>
                <w:color w:val="auto"/>
                <w:kern w:val="2"/>
                <w:sz w:val="21"/>
                <w:szCs w:val="21"/>
              </w:rPr>
            </w:pPr>
            <w:r>
              <w:rPr>
                <w:color w:val="auto"/>
                <w:kern w:val="2"/>
                <w:sz w:val="21"/>
                <w:szCs w:val="21"/>
              </w:rPr>
              <w:t>31.8</w:t>
            </w:r>
          </w:p>
        </w:tc>
        <w:tc>
          <w:tcPr>
            <w:tcW w:w="1105" w:type="pct"/>
            <w:vAlign w:val="center"/>
          </w:tcPr>
          <w:p w14:paraId="05CA3CA0">
            <w:pPr>
              <w:widowControl w:val="0"/>
              <w:spacing w:before="100" w:beforeAutospacing="1" w:line="360" w:lineRule="exact"/>
              <w:jc w:val="center"/>
              <w:rPr>
                <w:color w:val="auto"/>
                <w:kern w:val="2"/>
                <w:sz w:val="21"/>
                <w:szCs w:val="21"/>
              </w:rPr>
            </w:pPr>
            <w:r>
              <w:rPr>
                <w:rFonts w:ascii="宋体" w:hAnsi="宋体"/>
                <w:color w:val="auto"/>
                <w:kern w:val="2"/>
                <w:sz w:val="21"/>
                <w:szCs w:val="21"/>
              </w:rPr>
              <w:t>投资强度不低于</w:t>
            </w:r>
            <w:r>
              <w:rPr>
                <w:color w:val="auto"/>
                <w:kern w:val="2"/>
                <w:sz w:val="21"/>
                <w:szCs w:val="21"/>
              </w:rPr>
              <w:t>5000</w:t>
            </w:r>
            <w:r>
              <w:rPr>
                <w:rFonts w:ascii="宋体" w:hAnsi="宋体"/>
                <w:color w:val="auto"/>
                <w:kern w:val="2"/>
                <w:sz w:val="21"/>
                <w:szCs w:val="21"/>
              </w:rPr>
              <w:t>万元</w:t>
            </w:r>
            <w:r>
              <w:rPr>
                <w:color w:val="auto"/>
                <w:kern w:val="2"/>
                <w:sz w:val="21"/>
                <w:szCs w:val="21"/>
              </w:rPr>
              <w:t>/</w:t>
            </w:r>
            <w:r>
              <w:rPr>
                <w:rFonts w:ascii="宋体" w:hAnsi="宋体"/>
                <w:color w:val="auto"/>
                <w:kern w:val="2"/>
                <w:sz w:val="21"/>
                <w:szCs w:val="21"/>
              </w:rPr>
              <w:t>公顷，容积率不低于</w:t>
            </w:r>
            <w:r>
              <w:rPr>
                <w:color w:val="auto"/>
                <w:kern w:val="2"/>
                <w:sz w:val="21"/>
                <w:szCs w:val="21"/>
              </w:rPr>
              <w:t>0.7</w:t>
            </w:r>
            <w:r>
              <w:rPr>
                <w:rFonts w:ascii="宋体" w:hAnsi="宋体"/>
                <w:color w:val="auto"/>
                <w:kern w:val="2"/>
                <w:sz w:val="21"/>
                <w:szCs w:val="21"/>
              </w:rPr>
              <w:t>，达产税收产出强度不低于</w:t>
            </w:r>
            <w:r>
              <w:rPr>
                <w:color w:val="auto"/>
                <w:kern w:val="2"/>
                <w:sz w:val="21"/>
                <w:szCs w:val="21"/>
              </w:rPr>
              <w:t>500</w:t>
            </w:r>
            <w:r>
              <w:rPr>
                <w:rFonts w:ascii="宋体" w:hAnsi="宋体"/>
                <w:color w:val="auto"/>
                <w:kern w:val="2"/>
                <w:sz w:val="21"/>
                <w:szCs w:val="21"/>
              </w:rPr>
              <w:t>万元</w:t>
            </w:r>
            <w:r>
              <w:rPr>
                <w:color w:val="auto"/>
                <w:kern w:val="2"/>
                <w:sz w:val="21"/>
                <w:szCs w:val="21"/>
              </w:rPr>
              <w:t>/</w:t>
            </w:r>
            <w:r>
              <w:rPr>
                <w:rFonts w:ascii="宋体" w:hAnsi="宋体"/>
                <w:color w:val="auto"/>
                <w:kern w:val="2"/>
                <w:sz w:val="21"/>
                <w:szCs w:val="21"/>
              </w:rPr>
              <w:t>公顷。</w:t>
            </w:r>
          </w:p>
        </w:tc>
        <w:tc>
          <w:tcPr>
            <w:tcW w:w="1845" w:type="pct"/>
            <w:vAlign w:val="center"/>
          </w:tcPr>
          <w:p w14:paraId="3A847841">
            <w:pPr>
              <w:widowControl w:val="0"/>
              <w:spacing w:before="100" w:beforeAutospacing="1" w:line="360" w:lineRule="exact"/>
              <w:jc w:val="center"/>
              <w:rPr>
                <w:color w:val="auto"/>
                <w:kern w:val="2"/>
                <w:sz w:val="21"/>
                <w:szCs w:val="21"/>
              </w:rPr>
            </w:pPr>
            <w:r>
              <w:rPr>
                <w:rFonts w:ascii="宋体" w:hAnsi="宋体"/>
                <w:color w:val="auto"/>
                <w:kern w:val="2"/>
                <w:sz w:val="21"/>
                <w:szCs w:val="21"/>
              </w:rPr>
              <w:t>鼓励发展的产业：重点发展新型能源开发利用产业，如煤炭资源的深度开发利用技术；太阳能、风能和地热能的开发利用；大型发电设备制造业；铁路运输设备、装卸设备制造。</w:t>
            </w:r>
          </w:p>
        </w:tc>
      </w:tr>
      <w:tr w14:paraId="08F12E3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109146C2">
            <w:pPr>
              <w:widowControl w:val="0"/>
              <w:spacing w:before="100" w:beforeAutospacing="1" w:line="360" w:lineRule="exact"/>
              <w:jc w:val="center"/>
              <w:rPr>
                <w:color w:val="auto"/>
                <w:kern w:val="2"/>
                <w:sz w:val="21"/>
                <w:szCs w:val="21"/>
              </w:rPr>
            </w:pPr>
            <w:r>
              <w:rPr>
                <w:rFonts w:ascii="宋体" w:hAnsi="宋体"/>
                <w:color w:val="auto"/>
                <w:kern w:val="2"/>
                <w:sz w:val="21"/>
                <w:szCs w:val="21"/>
              </w:rPr>
              <w:t>高新技</w:t>
            </w:r>
          </w:p>
          <w:p w14:paraId="305447F6">
            <w:pPr>
              <w:widowControl w:val="0"/>
              <w:spacing w:before="100" w:beforeAutospacing="1" w:line="360" w:lineRule="exact"/>
              <w:jc w:val="center"/>
              <w:rPr>
                <w:color w:val="auto"/>
                <w:kern w:val="2"/>
                <w:sz w:val="21"/>
                <w:szCs w:val="21"/>
              </w:rPr>
            </w:pPr>
            <w:r>
              <w:rPr>
                <w:rFonts w:ascii="宋体" w:hAnsi="宋体"/>
                <w:color w:val="auto"/>
                <w:kern w:val="2"/>
                <w:sz w:val="21"/>
                <w:szCs w:val="21"/>
              </w:rPr>
              <w:t>术产业</w:t>
            </w:r>
          </w:p>
          <w:p w14:paraId="2C5966C9">
            <w:pPr>
              <w:widowControl w:val="0"/>
              <w:spacing w:before="100" w:beforeAutospacing="1" w:line="360" w:lineRule="exact"/>
              <w:jc w:val="center"/>
              <w:rPr>
                <w:color w:val="auto"/>
                <w:kern w:val="2"/>
                <w:sz w:val="21"/>
                <w:szCs w:val="21"/>
              </w:rPr>
            </w:pPr>
            <w:r>
              <w:rPr>
                <w:rFonts w:ascii="宋体" w:hAnsi="宋体"/>
                <w:color w:val="auto"/>
                <w:kern w:val="2"/>
                <w:sz w:val="21"/>
                <w:szCs w:val="21"/>
              </w:rPr>
              <w:t>区</w:t>
            </w:r>
          </w:p>
        </w:tc>
        <w:tc>
          <w:tcPr>
            <w:tcW w:w="851" w:type="pct"/>
            <w:vAlign w:val="center"/>
          </w:tcPr>
          <w:p w14:paraId="7CC8EC41">
            <w:pPr>
              <w:widowControl w:val="0"/>
              <w:spacing w:before="100" w:beforeAutospacing="1" w:line="360" w:lineRule="exact"/>
              <w:jc w:val="center"/>
              <w:rPr>
                <w:color w:val="auto"/>
                <w:kern w:val="2"/>
                <w:sz w:val="21"/>
                <w:szCs w:val="21"/>
              </w:rPr>
            </w:pPr>
            <w:r>
              <w:rPr>
                <w:rFonts w:ascii="宋体" w:hAnsi="宋体"/>
                <w:color w:val="auto"/>
                <w:kern w:val="2"/>
                <w:sz w:val="21"/>
                <w:szCs w:val="21"/>
              </w:rPr>
              <w:t>西延干渠南北两侧，北到南一路，西到</w:t>
            </w:r>
            <w:r>
              <w:rPr>
                <w:color w:val="auto"/>
                <w:kern w:val="2"/>
                <w:sz w:val="21"/>
                <w:szCs w:val="21"/>
              </w:rPr>
              <w:t>102</w:t>
            </w:r>
            <w:r>
              <w:rPr>
                <w:rFonts w:ascii="宋体" w:hAnsi="宋体"/>
                <w:color w:val="auto"/>
                <w:kern w:val="2"/>
                <w:sz w:val="21"/>
                <w:szCs w:val="21"/>
              </w:rPr>
              <w:t>省道，东到准东石油基地</w:t>
            </w:r>
          </w:p>
        </w:tc>
        <w:tc>
          <w:tcPr>
            <w:tcW w:w="510" w:type="pct"/>
            <w:vAlign w:val="center"/>
          </w:tcPr>
          <w:p w14:paraId="431C8581">
            <w:pPr>
              <w:widowControl w:val="0"/>
              <w:spacing w:before="100" w:beforeAutospacing="1" w:line="360" w:lineRule="exact"/>
              <w:jc w:val="center"/>
              <w:rPr>
                <w:color w:val="auto"/>
                <w:kern w:val="2"/>
                <w:sz w:val="21"/>
                <w:szCs w:val="21"/>
              </w:rPr>
            </w:pPr>
            <w:r>
              <w:rPr>
                <w:color w:val="auto"/>
                <w:kern w:val="2"/>
                <w:sz w:val="21"/>
                <w:szCs w:val="21"/>
              </w:rPr>
              <w:t>25.6</w:t>
            </w:r>
          </w:p>
        </w:tc>
        <w:tc>
          <w:tcPr>
            <w:tcW w:w="1105" w:type="pct"/>
            <w:vAlign w:val="center"/>
          </w:tcPr>
          <w:p w14:paraId="383A8480">
            <w:pPr>
              <w:widowControl w:val="0"/>
              <w:spacing w:before="100" w:beforeAutospacing="1" w:line="360" w:lineRule="exact"/>
              <w:jc w:val="center"/>
              <w:rPr>
                <w:color w:val="auto"/>
                <w:kern w:val="2"/>
                <w:sz w:val="21"/>
                <w:szCs w:val="21"/>
              </w:rPr>
            </w:pPr>
            <w:r>
              <w:rPr>
                <w:rFonts w:ascii="宋体" w:hAnsi="宋体"/>
                <w:color w:val="auto"/>
                <w:kern w:val="2"/>
                <w:sz w:val="21"/>
                <w:szCs w:val="21"/>
              </w:rPr>
              <w:t>投资强度不低于</w:t>
            </w:r>
            <w:r>
              <w:rPr>
                <w:color w:val="auto"/>
                <w:kern w:val="2"/>
                <w:sz w:val="21"/>
                <w:szCs w:val="21"/>
              </w:rPr>
              <w:t>3000</w:t>
            </w:r>
            <w:r>
              <w:rPr>
                <w:rFonts w:ascii="宋体" w:hAnsi="宋体"/>
                <w:color w:val="auto"/>
                <w:kern w:val="2"/>
                <w:sz w:val="21"/>
                <w:szCs w:val="21"/>
              </w:rPr>
              <w:t>万元</w:t>
            </w:r>
            <w:r>
              <w:rPr>
                <w:color w:val="auto"/>
                <w:kern w:val="2"/>
                <w:sz w:val="21"/>
                <w:szCs w:val="21"/>
              </w:rPr>
              <w:t>/</w:t>
            </w:r>
            <w:r>
              <w:rPr>
                <w:rFonts w:ascii="宋体" w:hAnsi="宋体"/>
                <w:color w:val="auto"/>
                <w:kern w:val="2"/>
                <w:sz w:val="21"/>
                <w:szCs w:val="21"/>
              </w:rPr>
              <w:t>公顷，容积率不低于</w:t>
            </w:r>
            <w:r>
              <w:rPr>
                <w:color w:val="auto"/>
                <w:kern w:val="2"/>
                <w:sz w:val="21"/>
                <w:szCs w:val="21"/>
              </w:rPr>
              <w:t>1.0</w:t>
            </w:r>
            <w:r>
              <w:rPr>
                <w:rFonts w:ascii="宋体" w:hAnsi="宋体"/>
                <w:color w:val="auto"/>
                <w:kern w:val="2"/>
                <w:sz w:val="21"/>
                <w:szCs w:val="21"/>
              </w:rPr>
              <w:t>，达产税收产出强度不低于</w:t>
            </w:r>
            <w:r>
              <w:rPr>
                <w:color w:val="auto"/>
                <w:kern w:val="2"/>
                <w:sz w:val="21"/>
                <w:szCs w:val="21"/>
              </w:rPr>
              <w:t>700</w:t>
            </w:r>
            <w:r>
              <w:rPr>
                <w:rFonts w:ascii="宋体" w:hAnsi="宋体"/>
                <w:color w:val="auto"/>
                <w:kern w:val="2"/>
                <w:sz w:val="21"/>
                <w:szCs w:val="21"/>
              </w:rPr>
              <w:t>万元</w:t>
            </w:r>
            <w:r>
              <w:rPr>
                <w:color w:val="auto"/>
                <w:kern w:val="2"/>
                <w:sz w:val="21"/>
                <w:szCs w:val="21"/>
              </w:rPr>
              <w:t>/</w:t>
            </w:r>
            <w:r>
              <w:rPr>
                <w:rFonts w:ascii="宋体" w:hAnsi="宋体"/>
                <w:color w:val="auto"/>
                <w:kern w:val="2"/>
                <w:sz w:val="21"/>
                <w:szCs w:val="21"/>
              </w:rPr>
              <w:t>公顷。</w:t>
            </w:r>
          </w:p>
        </w:tc>
        <w:tc>
          <w:tcPr>
            <w:tcW w:w="1845" w:type="pct"/>
            <w:vAlign w:val="center"/>
          </w:tcPr>
          <w:p w14:paraId="37F9E5C9">
            <w:pPr>
              <w:widowControl w:val="0"/>
              <w:spacing w:before="100" w:beforeAutospacing="1" w:line="360" w:lineRule="exact"/>
              <w:jc w:val="center"/>
              <w:rPr>
                <w:color w:val="auto"/>
                <w:kern w:val="2"/>
                <w:sz w:val="21"/>
                <w:szCs w:val="21"/>
              </w:rPr>
            </w:pPr>
            <w:r>
              <w:rPr>
                <w:rFonts w:ascii="宋体" w:hAnsi="宋体"/>
                <w:color w:val="auto"/>
                <w:kern w:val="2"/>
                <w:sz w:val="21"/>
                <w:szCs w:val="21"/>
              </w:rPr>
              <w:t>鼓励发展的产业：晶片制造；电子铝箔；光纤和数字通讯设备；软件产业；汽车、医疗电子产品和设备制造以及煤电煤化工产业。</w:t>
            </w:r>
          </w:p>
        </w:tc>
      </w:tr>
      <w:tr w14:paraId="1B7717E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27866718">
            <w:pPr>
              <w:widowControl w:val="0"/>
              <w:spacing w:before="100" w:beforeAutospacing="1" w:line="360" w:lineRule="exact"/>
              <w:jc w:val="center"/>
              <w:rPr>
                <w:color w:val="auto"/>
                <w:kern w:val="2"/>
                <w:sz w:val="21"/>
                <w:szCs w:val="21"/>
              </w:rPr>
            </w:pPr>
            <w:r>
              <w:rPr>
                <w:rFonts w:ascii="宋体" w:hAnsi="宋体"/>
                <w:color w:val="auto"/>
                <w:kern w:val="2"/>
                <w:sz w:val="21"/>
                <w:szCs w:val="21"/>
              </w:rPr>
              <w:t>科教综合</w:t>
            </w:r>
          </w:p>
          <w:p w14:paraId="6A2DD444">
            <w:pPr>
              <w:widowControl w:val="0"/>
              <w:spacing w:before="100" w:beforeAutospacing="1" w:line="360" w:lineRule="exact"/>
              <w:jc w:val="center"/>
              <w:rPr>
                <w:color w:val="auto"/>
                <w:kern w:val="2"/>
                <w:sz w:val="21"/>
                <w:szCs w:val="21"/>
              </w:rPr>
            </w:pPr>
            <w:r>
              <w:rPr>
                <w:rFonts w:ascii="宋体" w:hAnsi="宋体"/>
                <w:color w:val="auto"/>
                <w:kern w:val="2"/>
                <w:sz w:val="21"/>
                <w:szCs w:val="21"/>
              </w:rPr>
              <w:t>服务新区</w:t>
            </w:r>
          </w:p>
        </w:tc>
        <w:tc>
          <w:tcPr>
            <w:tcW w:w="851" w:type="pct"/>
            <w:vAlign w:val="center"/>
          </w:tcPr>
          <w:p w14:paraId="7B3518A7">
            <w:pPr>
              <w:widowControl w:val="0"/>
              <w:spacing w:before="100" w:beforeAutospacing="1" w:line="360" w:lineRule="exact"/>
              <w:jc w:val="center"/>
              <w:rPr>
                <w:color w:val="auto"/>
                <w:kern w:val="2"/>
                <w:sz w:val="21"/>
                <w:szCs w:val="21"/>
              </w:rPr>
            </w:pPr>
            <w:r>
              <w:rPr>
                <w:color w:val="auto"/>
                <w:kern w:val="2"/>
                <w:sz w:val="21"/>
                <w:szCs w:val="21"/>
              </w:rPr>
              <w:t>102</w:t>
            </w:r>
            <w:r>
              <w:rPr>
                <w:rFonts w:ascii="宋体" w:hAnsi="宋体"/>
                <w:color w:val="auto"/>
                <w:kern w:val="2"/>
                <w:sz w:val="21"/>
                <w:szCs w:val="21"/>
              </w:rPr>
              <w:t>省道以东，规划中央大道以北三个地块，中央大道以南一个地块，以及</w:t>
            </w:r>
            <w:r>
              <w:rPr>
                <w:color w:val="auto"/>
                <w:kern w:val="2"/>
                <w:sz w:val="21"/>
                <w:szCs w:val="21"/>
              </w:rPr>
              <w:t>102</w:t>
            </w:r>
            <w:r>
              <w:rPr>
                <w:rFonts w:ascii="宋体" w:hAnsi="宋体"/>
                <w:color w:val="auto"/>
                <w:kern w:val="2"/>
                <w:sz w:val="21"/>
                <w:szCs w:val="21"/>
              </w:rPr>
              <w:t>省道以西部分地块</w:t>
            </w:r>
          </w:p>
        </w:tc>
        <w:tc>
          <w:tcPr>
            <w:tcW w:w="510" w:type="pct"/>
            <w:vAlign w:val="center"/>
          </w:tcPr>
          <w:p w14:paraId="3EFFCAB6">
            <w:pPr>
              <w:widowControl w:val="0"/>
              <w:spacing w:before="100" w:beforeAutospacing="1" w:line="360" w:lineRule="exact"/>
              <w:jc w:val="center"/>
              <w:rPr>
                <w:color w:val="auto"/>
                <w:kern w:val="2"/>
                <w:sz w:val="21"/>
                <w:szCs w:val="21"/>
              </w:rPr>
            </w:pPr>
            <w:r>
              <w:rPr>
                <w:color w:val="auto"/>
                <w:kern w:val="2"/>
                <w:sz w:val="21"/>
                <w:szCs w:val="21"/>
              </w:rPr>
              <w:t>19.4</w:t>
            </w:r>
          </w:p>
        </w:tc>
        <w:tc>
          <w:tcPr>
            <w:tcW w:w="1105" w:type="pct"/>
            <w:vAlign w:val="center"/>
          </w:tcPr>
          <w:p w14:paraId="76106E52">
            <w:pPr>
              <w:widowControl w:val="0"/>
              <w:spacing w:before="100" w:beforeAutospacing="1" w:line="360" w:lineRule="exact"/>
              <w:jc w:val="center"/>
              <w:rPr>
                <w:color w:val="auto"/>
                <w:kern w:val="2"/>
                <w:sz w:val="21"/>
                <w:szCs w:val="21"/>
              </w:rPr>
            </w:pPr>
            <w:r>
              <w:rPr>
                <w:color w:val="auto"/>
                <w:kern w:val="2"/>
                <w:sz w:val="21"/>
                <w:szCs w:val="21"/>
              </w:rPr>
              <w:t>/</w:t>
            </w:r>
          </w:p>
        </w:tc>
        <w:tc>
          <w:tcPr>
            <w:tcW w:w="1845" w:type="pct"/>
            <w:vAlign w:val="center"/>
          </w:tcPr>
          <w:p w14:paraId="6F65478E">
            <w:pPr>
              <w:widowControl w:val="0"/>
              <w:spacing w:before="100" w:beforeAutospacing="1" w:line="360" w:lineRule="exact"/>
              <w:jc w:val="center"/>
              <w:rPr>
                <w:color w:val="auto"/>
                <w:kern w:val="2"/>
                <w:sz w:val="21"/>
                <w:szCs w:val="21"/>
              </w:rPr>
            </w:pPr>
            <w:r>
              <w:rPr>
                <w:rFonts w:ascii="宋体" w:hAnsi="宋体"/>
                <w:color w:val="auto"/>
                <w:kern w:val="2"/>
                <w:sz w:val="21"/>
                <w:szCs w:val="21"/>
              </w:rPr>
              <w:t>主要建设发展方向为科技、教育、行政办公、咨询管理等，以公共服务和配套居住功能为主。</w:t>
            </w:r>
          </w:p>
        </w:tc>
      </w:tr>
      <w:tr w14:paraId="4E934B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42DC1856">
            <w:pPr>
              <w:widowControl w:val="0"/>
              <w:spacing w:before="100" w:beforeAutospacing="1" w:line="360" w:lineRule="exact"/>
              <w:jc w:val="center"/>
              <w:rPr>
                <w:color w:val="auto"/>
                <w:kern w:val="2"/>
                <w:sz w:val="21"/>
                <w:szCs w:val="21"/>
              </w:rPr>
            </w:pPr>
            <w:r>
              <w:rPr>
                <w:rFonts w:ascii="宋体" w:hAnsi="宋体"/>
                <w:color w:val="auto"/>
                <w:kern w:val="2"/>
                <w:sz w:val="21"/>
                <w:szCs w:val="21"/>
              </w:rPr>
              <w:t>物流仓储区</w:t>
            </w:r>
          </w:p>
        </w:tc>
        <w:tc>
          <w:tcPr>
            <w:tcW w:w="851" w:type="pct"/>
            <w:vAlign w:val="center"/>
          </w:tcPr>
          <w:p w14:paraId="109E6FEA">
            <w:pPr>
              <w:widowControl w:val="0"/>
              <w:spacing w:before="100" w:beforeAutospacing="1" w:line="360" w:lineRule="exact"/>
              <w:jc w:val="center"/>
              <w:rPr>
                <w:color w:val="auto"/>
                <w:kern w:val="2"/>
                <w:sz w:val="21"/>
                <w:szCs w:val="21"/>
              </w:rPr>
            </w:pPr>
            <w:r>
              <w:rPr>
                <w:rFonts w:ascii="宋体" w:hAnsi="宋体"/>
                <w:color w:val="auto"/>
                <w:kern w:val="2"/>
                <w:sz w:val="21"/>
                <w:szCs w:val="21"/>
              </w:rPr>
              <w:t>工业园南区，西延干渠南侧，米东大道西侧</w:t>
            </w:r>
          </w:p>
        </w:tc>
        <w:tc>
          <w:tcPr>
            <w:tcW w:w="510" w:type="pct"/>
            <w:vAlign w:val="center"/>
          </w:tcPr>
          <w:p w14:paraId="2938213A">
            <w:pPr>
              <w:widowControl w:val="0"/>
              <w:spacing w:before="100" w:beforeAutospacing="1" w:line="360" w:lineRule="exact"/>
              <w:jc w:val="center"/>
              <w:rPr>
                <w:color w:val="auto"/>
                <w:kern w:val="2"/>
                <w:sz w:val="21"/>
                <w:szCs w:val="21"/>
              </w:rPr>
            </w:pPr>
            <w:r>
              <w:rPr>
                <w:color w:val="auto"/>
                <w:kern w:val="2"/>
                <w:sz w:val="21"/>
                <w:szCs w:val="21"/>
              </w:rPr>
              <w:t>17.1</w:t>
            </w:r>
          </w:p>
        </w:tc>
        <w:tc>
          <w:tcPr>
            <w:tcW w:w="1105" w:type="pct"/>
            <w:vAlign w:val="center"/>
          </w:tcPr>
          <w:p w14:paraId="695F70E7">
            <w:pPr>
              <w:widowControl w:val="0"/>
              <w:spacing w:before="100" w:beforeAutospacing="1" w:line="360" w:lineRule="exact"/>
              <w:jc w:val="center"/>
              <w:rPr>
                <w:color w:val="auto"/>
                <w:kern w:val="2"/>
                <w:sz w:val="21"/>
                <w:szCs w:val="21"/>
              </w:rPr>
            </w:pPr>
            <w:r>
              <w:rPr>
                <w:color w:val="auto"/>
                <w:kern w:val="2"/>
                <w:sz w:val="21"/>
                <w:szCs w:val="21"/>
              </w:rPr>
              <w:t>/</w:t>
            </w:r>
          </w:p>
        </w:tc>
        <w:tc>
          <w:tcPr>
            <w:tcW w:w="1845" w:type="pct"/>
            <w:vAlign w:val="center"/>
          </w:tcPr>
          <w:p w14:paraId="0D7B4F06">
            <w:pPr>
              <w:widowControl w:val="0"/>
              <w:spacing w:before="100" w:beforeAutospacing="1" w:line="360" w:lineRule="exact"/>
              <w:jc w:val="center"/>
              <w:rPr>
                <w:color w:val="auto"/>
                <w:kern w:val="2"/>
                <w:sz w:val="21"/>
                <w:szCs w:val="21"/>
              </w:rPr>
            </w:pPr>
            <w:r>
              <w:rPr>
                <w:rFonts w:ascii="宋体" w:hAnsi="宋体"/>
                <w:color w:val="auto"/>
                <w:kern w:val="2"/>
                <w:sz w:val="21"/>
                <w:szCs w:val="21"/>
              </w:rPr>
              <w:t>仓储物流区主要发展的功能包括高端现代物流功能、商务功能、货运功能、专业市场功能等。</w:t>
            </w:r>
          </w:p>
        </w:tc>
      </w:tr>
      <w:tr w14:paraId="03EF23B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03BFBCE8">
            <w:pPr>
              <w:widowControl w:val="0"/>
              <w:spacing w:before="100" w:beforeAutospacing="1" w:line="360" w:lineRule="exact"/>
              <w:jc w:val="center"/>
              <w:rPr>
                <w:color w:val="auto"/>
                <w:kern w:val="2"/>
                <w:sz w:val="21"/>
                <w:szCs w:val="21"/>
              </w:rPr>
            </w:pPr>
            <w:r>
              <w:rPr>
                <w:rFonts w:ascii="宋体" w:hAnsi="宋体"/>
                <w:color w:val="auto"/>
                <w:kern w:val="2"/>
                <w:sz w:val="21"/>
                <w:szCs w:val="21"/>
              </w:rPr>
              <w:t>小微企业</w:t>
            </w:r>
          </w:p>
          <w:p w14:paraId="6DBEBCA3">
            <w:pPr>
              <w:widowControl w:val="0"/>
              <w:spacing w:before="100" w:beforeAutospacing="1" w:line="360" w:lineRule="exact"/>
              <w:jc w:val="center"/>
              <w:rPr>
                <w:color w:val="auto"/>
                <w:kern w:val="2"/>
                <w:sz w:val="21"/>
                <w:szCs w:val="21"/>
              </w:rPr>
            </w:pPr>
            <w:r>
              <w:rPr>
                <w:rFonts w:ascii="宋体" w:hAnsi="宋体"/>
                <w:color w:val="auto"/>
                <w:kern w:val="2"/>
                <w:sz w:val="21"/>
                <w:szCs w:val="21"/>
              </w:rPr>
              <w:t>创新区</w:t>
            </w:r>
          </w:p>
        </w:tc>
        <w:tc>
          <w:tcPr>
            <w:tcW w:w="851" w:type="pct"/>
            <w:vAlign w:val="center"/>
          </w:tcPr>
          <w:p w14:paraId="4957A76F">
            <w:pPr>
              <w:widowControl w:val="0"/>
              <w:spacing w:before="100" w:beforeAutospacing="1" w:line="360" w:lineRule="exact"/>
              <w:jc w:val="center"/>
              <w:rPr>
                <w:color w:val="auto"/>
                <w:kern w:val="2"/>
                <w:sz w:val="21"/>
                <w:szCs w:val="21"/>
              </w:rPr>
            </w:pPr>
            <w:r>
              <w:rPr>
                <w:rFonts w:ascii="宋体" w:hAnsi="宋体"/>
                <w:color w:val="auto"/>
                <w:kern w:val="2"/>
                <w:sz w:val="21"/>
                <w:szCs w:val="21"/>
              </w:rPr>
              <w:t>与阜康市邻接用地</w:t>
            </w:r>
          </w:p>
        </w:tc>
        <w:tc>
          <w:tcPr>
            <w:tcW w:w="510" w:type="pct"/>
            <w:vAlign w:val="center"/>
          </w:tcPr>
          <w:p w14:paraId="42BF2EA8">
            <w:pPr>
              <w:widowControl w:val="0"/>
              <w:spacing w:before="100" w:beforeAutospacing="1" w:line="360" w:lineRule="exact"/>
              <w:jc w:val="center"/>
              <w:rPr>
                <w:color w:val="auto"/>
                <w:kern w:val="2"/>
                <w:sz w:val="21"/>
                <w:szCs w:val="21"/>
              </w:rPr>
            </w:pPr>
            <w:r>
              <w:rPr>
                <w:color w:val="auto"/>
                <w:kern w:val="2"/>
                <w:sz w:val="21"/>
                <w:szCs w:val="21"/>
              </w:rPr>
              <w:t>10.2</w:t>
            </w:r>
          </w:p>
        </w:tc>
        <w:tc>
          <w:tcPr>
            <w:tcW w:w="1105" w:type="pct"/>
            <w:vAlign w:val="center"/>
          </w:tcPr>
          <w:p w14:paraId="3B6DBAFF">
            <w:pPr>
              <w:widowControl w:val="0"/>
              <w:spacing w:before="100" w:beforeAutospacing="1" w:line="360" w:lineRule="exact"/>
              <w:jc w:val="center"/>
              <w:rPr>
                <w:color w:val="auto"/>
                <w:kern w:val="2"/>
                <w:sz w:val="21"/>
                <w:szCs w:val="21"/>
              </w:rPr>
            </w:pPr>
            <w:r>
              <w:rPr>
                <w:color w:val="auto"/>
                <w:kern w:val="2"/>
                <w:sz w:val="21"/>
                <w:szCs w:val="21"/>
              </w:rPr>
              <w:t>/</w:t>
            </w:r>
          </w:p>
        </w:tc>
        <w:tc>
          <w:tcPr>
            <w:tcW w:w="1845" w:type="pct"/>
            <w:vAlign w:val="center"/>
          </w:tcPr>
          <w:p w14:paraId="7BABABEA">
            <w:pPr>
              <w:widowControl w:val="0"/>
              <w:spacing w:before="100" w:beforeAutospacing="1" w:line="360" w:lineRule="exact"/>
              <w:jc w:val="center"/>
              <w:rPr>
                <w:color w:val="auto"/>
                <w:kern w:val="2"/>
                <w:sz w:val="21"/>
                <w:szCs w:val="21"/>
              </w:rPr>
            </w:pPr>
            <w:r>
              <w:rPr>
                <w:rFonts w:ascii="宋体" w:hAnsi="宋体"/>
                <w:color w:val="auto"/>
                <w:kern w:val="2"/>
                <w:sz w:val="21"/>
                <w:szCs w:val="21"/>
              </w:rPr>
              <w:t>以新型建材产业为主导的集研发孵化、生产加工、商贸交易、物流配送为一体的小微新兴产业企业园。</w:t>
            </w:r>
          </w:p>
        </w:tc>
      </w:tr>
      <w:tr w14:paraId="2EDF43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08394EE4">
            <w:pPr>
              <w:widowControl w:val="0"/>
              <w:spacing w:before="100" w:beforeAutospacing="1" w:line="360" w:lineRule="exact"/>
              <w:jc w:val="center"/>
              <w:rPr>
                <w:color w:val="auto"/>
                <w:kern w:val="2"/>
                <w:sz w:val="21"/>
                <w:szCs w:val="21"/>
              </w:rPr>
            </w:pPr>
            <w:r>
              <w:rPr>
                <w:rFonts w:ascii="宋体" w:hAnsi="宋体"/>
                <w:color w:val="auto"/>
                <w:kern w:val="2"/>
                <w:sz w:val="21"/>
                <w:szCs w:val="21"/>
              </w:rPr>
              <w:t>商贸物流区</w:t>
            </w:r>
          </w:p>
        </w:tc>
        <w:tc>
          <w:tcPr>
            <w:tcW w:w="851" w:type="pct"/>
            <w:vAlign w:val="center"/>
          </w:tcPr>
          <w:p w14:paraId="19943189">
            <w:pPr>
              <w:widowControl w:val="0"/>
              <w:spacing w:before="100" w:beforeAutospacing="1" w:line="360" w:lineRule="exact"/>
              <w:jc w:val="center"/>
              <w:rPr>
                <w:color w:val="auto"/>
                <w:kern w:val="2"/>
                <w:sz w:val="21"/>
                <w:szCs w:val="21"/>
              </w:rPr>
            </w:pPr>
            <w:r>
              <w:rPr>
                <w:rFonts w:ascii="宋体" w:hAnsi="宋体"/>
                <w:color w:val="auto"/>
                <w:kern w:val="2"/>
                <w:sz w:val="21"/>
                <w:szCs w:val="21"/>
              </w:rPr>
              <w:t>与阜康市邻接用地</w:t>
            </w:r>
          </w:p>
        </w:tc>
        <w:tc>
          <w:tcPr>
            <w:tcW w:w="510" w:type="pct"/>
            <w:vAlign w:val="center"/>
          </w:tcPr>
          <w:p w14:paraId="653D0ACA">
            <w:pPr>
              <w:widowControl w:val="0"/>
              <w:spacing w:before="100" w:beforeAutospacing="1" w:line="360" w:lineRule="exact"/>
              <w:jc w:val="center"/>
              <w:rPr>
                <w:color w:val="auto"/>
                <w:kern w:val="2"/>
                <w:sz w:val="21"/>
                <w:szCs w:val="21"/>
              </w:rPr>
            </w:pPr>
            <w:r>
              <w:rPr>
                <w:color w:val="auto"/>
                <w:kern w:val="2"/>
                <w:sz w:val="21"/>
                <w:szCs w:val="21"/>
              </w:rPr>
              <w:t>7.8</w:t>
            </w:r>
          </w:p>
        </w:tc>
        <w:tc>
          <w:tcPr>
            <w:tcW w:w="1105" w:type="pct"/>
            <w:vAlign w:val="center"/>
          </w:tcPr>
          <w:p w14:paraId="71D3E629">
            <w:pPr>
              <w:widowControl w:val="0"/>
              <w:spacing w:before="100" w:beforeAutospacing="1" w:line="360" w:lineRule="exact"/>
              <w:jc w:val="center"/>
              <w:rPr>
                <w:color w:val="auto"/>
                <w:kern w:val="2"/>
                <w:sz w:val="21"/>
                <w:szCs w:val="21"/>
              </w:rPr>
            </w:pPr>
            <w:r>
              <w:rPr>
                <w:color w:val="auto"/>
                <w:kern w:val="2"/>
                <w:sz w:val="21"/>
                <w:szCs w:val="21"/>
              </w:rPr>
              <w:t>/</w:t>
            </w:r>
          </w:p>
        </w:tc>
        <w:tc>
          <w:tcPr>
            <w:tcW w:w="1845" w:type="pct"/>
            <w:vAlign w:val="center"/>
          </w:tcPr>
          <w:p w14:paraId="6931999E">
            <w:pPr>
              <w:widowControl w:val="0"/>
              <w:spacing w:before="100" w:beforeAutospacing="1" w:line="360" w:lineRule="exact"/>
              <w:jc w:val="center"/>
              <w:rPr>
                <w:color w:val="auto"/>
                <w:kern w:val="2"/>
                <w:sz w:val="21"/>
                <w:szCs w:val="21"/>
              </w:rPr>
            </w:pPr>
            <w:r>
              <w:rPr>
                <w:rFonts w:ascii="宋体" w:hAnsi="宋体"/>
                <w:color w:val="auto"/>
                <w:kern w:val="2"/>
                <w:sz w:val="21"/>
                <w:szCs w:val="21"/>
              </w:rPr>
              <w:t>集商务办公、展贸交易、货运配送、信息服务、物流金融、配套服务为一体的集群化、智能化、生态化的综合物流区</w:t>
            </w:r>
          </w:p>
        </w:tc>
      </w:tr>
      <w:tr w14:paraId="290E8BA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4638DD8C">
            <w:pPr>
              <w:widowControl w:val="0"/>
              <w:spacing w:before="100" w:beforeAutospacing="1" w:line="360" w:lineRule="exact"/>
              <w:jc w:val="center"/>
              <w:rPr>
                <w:color w:val="auto"/>
                <w:kern w:val="2"/>
                <w:sz w:val="21"/>
                <w:szCs w:val="21"/>
              </w:rPr>
            </w:pPr>
            <w:r>
              <w:rPr>
                <w:rFonts w:ascii="宋体" w:hAnsi="宋体"/>
                <w:color w:val="auto"/>
                <w:kern w:val="2"/>
                <w:sz w:val="21"/>
                <w:szCs w:val="21"/>
              </w:rPr>
              <w:t>生态保育区</w:t>
            </w:r>
          </w:p>
        </w:tc>
        <w:tc>
          <w:tcPr>
            <w:tcW w:w="851" w:type="pct"/>
            <w:vAlign w:val="center"/>
          </w:tcPr>
          <w:p w14:paraId="0E98280B">
            <w:pPr>
              <w:widowControl w:val="0"/>
              <w:spacing w:before="100" w:beforeAutospacing="1" w:line="360" w:lineRule="exact"/>
              <w:jc w:val="center"/>
              <w:rPr>
                <w:color w:val="auto"/>
                <w:kern w:val="2"/>
                <w:sz w:val="21"/>
                <w:szCs w:val="21"/>
              </w:rPr>
            </w:pPr>
            <w:r>
              <w:rPr>
                <w:color w:val="auto"/>
                <w:kern w:val="2"/>
                <w:sz w:val="21"/>
                <w:szCs w:val="21"/>
              </w:rPr>
              <w:t>“500”</w:t>
            </w:r>
            <w:r>
              <w:rPr>
                <w:rFonts w:ascii="宋体" w:hAnsi="宋体"/>
                <w:color w:val="auto"/>
                <w:kern w:val="2"/>
                <w:sz w:val="21"/>
                <w:szCs w:val="21"/>
              </w:rPr>
              <w:t>库区及</w:t>
            </w:r>
            <w:r>
              <w:rPr>
                <w:color w:val="auto"/>
                <w:kern w:val="2"/>
                <w:sz w:val="21"/>
                <w:szCs w:val="21"/>
              </w:rPr>
              <w:t>1</w:t>
            </w:r>
            <w:r>
              <w:rPr>
                <w:rFonts w:ascii="宋体" w:hAnsi="宋体"/>
                <w:color w:val="auto"/>
                <w:kern w:val="2"/>
                <w:sz w:val="21"/>
                <w:szCs w:val="21"/>
              </w:rPr>
              <w:t>～</w:t>
            </w:r>
            <w:r>
              <w:rPr>
                <w:color w:val="auto"/>
                <w:kern w:val="2"/>
                <w:sz w:val="21"/>
                <w:szCs w:val="21"/>
              </w:rPr>
              <w:t>5km</w:t>
            </w:r>
            <w:r>
              <w:rPr>
                <w:rFonts w:ascii="宋体" w:hAnsi="宋体"/>
                <w:color w:val="auto"/>
                <w:kern w:val="2"/>
                <w:sz w:val="21"/>
                <w:szCs w:val="21"/>
              </w:rPr>
              <w:t>范围，</w:t>
            </w:r>
            <w:r>
              <w:rPr>
                <w:rFonts w:hint="eastAsia" w:ascii="宋体" w:hAnsi="宋体"/>
                <w:color w:val="auto"/>
                <w:kern w:val="2"/>
                <w:sz w:val="21"/>
                <w:szCs w:val="21"/>
              </w:rPr>
              <w:t>其他</w:t>
            </w:r>
            <w:r>
              <w:rPr>
                <w:rFonts w:ascii="宋体" w:hAnsi="宋体"/>
                <w:color w:val="auto"/>
                <w:kern w:val="2"/>
                <w:sz w:val="21"/>
                <w:szCs w:val="21"/>
              </w:rPr>
              <w:t>受保护的农田、渠道及林地</w:t>
            </w:r>
          </w:p>
        </w:tc>
        <w:tc>
          <w:tcPr>
            <w:tcW w:w="510" w:type="pct"/>
            <w:vAlign w:val="center"/>
          </w:tcPr>
          <w:p w14:paraId="7E44DBD9">
            <w:pPr>
              <w:widowControl w:val="0"/>
              <w:spacing w:before="100" w:beforeAutospacing="1" w:line="360" w:lineRule="exact"/>
              <w:jc w:val="center"/>
              <w:rPr>
                <w:color w:val="auto"/>
                <w:kern w:val="2"/>
                <w:sz w:val="21"/>
                <w:szCs w:val="21"/>
              </w:rPr>
            </w:pPr>
            <w:r>
              <w:rPr>
                <w:color w:val="auto"/>
                <w:kern w:val="2"/>
                <w:sz w:val="21"/>
                <w:szCs w:val="21"/>
              </w:rPr>
              <w:t>124</w:t>
            </w:r>
          </w:p>
        </w:tc>
        <w:tc>
          <w:tcPr>
            <w:tcW w:w="1105" w:type="pct"/>
            <w:vAlign w:val="center"/>
          </w:tcPr>
          <w:p w14:paraId="32B31A54">
            <w:pPr>
              <w:widowControl w:val="0"/>
              <w:spacing w:before="100" w:beforeAutospacing="1" w:line="360" w:lineRule="exact"/>
              <w:jc w:val="center"/>
              <w:rPr>
                <w:color w:val="auto"/>
                <w:kern w:val="2"/>
                <w:sz w:val="21"/>
                <w:szCs w:val="21"/>
              </w:rPr>
            </w:pPr>
            <w:r>
              <w:rPr>
                <w:color w:val="auto"/>
                <w:kern w:val="2"/>
                <w:sz w:val="21"/>
                <w:szCs w:val="21"/>
              </w:rPr>
              <w:t>/</w:t>
            </w:r>
          </w:p>
        </w:tc>
        <w:tc>
          <w:tcPr>
            <w:tcW w:w="1845" w:type="pct"/>
            <w:vAlign w:val="center"/>
          </w:tcPr>
          <w:p w14:paraId="1C05E428">
            <w:pPr>
              <w:widowControl w:val="0"/>
              <w:spacing w:before="100" w:beforeAutospacing="1" w:line="360" w:lineRule="exact"/>
              <w:jc w:val="center"/>
              <w:rPr>
                <w:color w:val="auto"/>
                <w:kern w:val="2"/>
                <w:sz w:val="21"/>
                <w:szCs w:val="21"/>
              </w:rPr>
            </w:pPr>
            <w:r>
              <w:rPr>
                <w:rFonts w:ascii="宋体" w:hAnsi="宋体"/>
                <w:color w:val="auto"/>
                <w:kern w:val="2"/>
                <w:sz w:val="21"/>
                <w:szCs w:val="21"/>
              </w:rPr>
              <w:t>以种植绿化为主，作为当地的植被恢复，涵养土壤水源，可适当布置特色旅游产业。</w:t>
            </w:r>
          </w:p>
        </w:tc>
      </w:tr>
      <w:tr w14:paraId="7FC0AEE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89" w:type="pct"/>
            <w:vAlign w:val="center"/>
          </w:tcPr>
          <w:p w14:paraId="2E0F62B3">
            <w:pPr>
              <w:widowControl w:val="0"/>
              <w:spacing w:before="100" w:beforeAutospacing="1" w:line="360" w:lineRule="exact"/>
              <w:jc w:val="center"/>
              <w:rPr>
                <w:color w:val="auto"/>
                <w:kern w:val="2"/>
                <w:sz w:val="21"/>
                <w:szCs w:val="21"/>
              </w:rPr>
            </w:pPr>
            <w:r>
              <w:rPr>
                <w:rFonts w:ascii="宋体" w:hAnsi="宋体"/>
                <w:color w:val="auto"/>
                <w:kern w:val="2"/>
                <w:sz w:val="21"/>
                <w:szCs w:val="21"/>
              </w:rPr>
              <w:t>协调发展区</w:t>
            </w:r>
          </w:p>
        </w:tc>
        <w:tc>
          <w:tcPr>
            <w:tcW w:w="851" w:type="pct"/>
            <w:vAlign w:val="center"/>
          </w:tcPr>
          <w:p w14:paraId="1F4A443F">
            <w:pPr>
              <w:widowControl w:val="0"/>
              <w:spacing w:before="100" w:beforeAutospacing="1" w:line="360" w:lineRule="exact"/>
              <w:jc w:val="center"/>
              <w:rPr>
                <w:color w:val="auto"/>
                <w:kern w:val="2"/>
                <w:sz w:val="21"/>
                <w:szCs w:val="21"/>
              </w:rPr>
            </w:pPr>
            <w:r>
              <w:rPr>
                <w:rFonts w:ascii="宋体" w:hAnsi="宋体"/>
                <w:color w:val="auto"/>
                <w:kern w:val="2"/>
                <w:sz w:val="21"/>
                <w:szCs w:val="21"/>
              </w:rPr>
              <w:t>与五家渠市邻接用地</w:t>
            </w:r>
          </w:p>
        </w:tc>
        <w:tc>
          <w:tcPr>
            <w:tcW w:w="510" w:type="pct"/>
            <w:vAlign w:val="center"/>
          </w:tcPr>
          <w:p w14:paraId="7F28E8D8">
            <w:pPr>
              <w:widowControl w:val="0"/>
              <w:spacing w:before="100" w:beforeAutospacing="1" w:line="360" w:lineRule="exact"/>
              <w:jc w:val="center"/>
              <w:rPr>
                <w:color w:val="auto"/>
                <w:kern w:val="2"/>
                <w:sz w:val="21"/>
                <w:szCs w:val="21"/>
              </w:rPr>
            </w:pPr>
            <w:r>
              <w:rPr>
                <w:color w:val="auto"/>
                <w:kern w:val="2"/>
                <w:sz w:val="21"/>
                <w:szCs w:val="21"/>
              </w:rPr>
              <w:t>43.7</w:t>
            </w:r>
          </w:p>
        </w:tc>
        <w:tc>
          <w:tcPr>
            <w:tcW w:w="1105" w:type="pct"/>
            <w:vAlign w:val="center"/>
          </w:tcPr>
          <w:p w14:paraId="5F799D01">
            <w:pPr>
              <w:widowControl w:val="0"/>
              <w:spacing w:before="100" w:beforeAutospacing="1" w:line="360" w:lineRule="exact"/>
              <w:jc w:val="center"/>
              <w:rPr>
                <w:color w:val="auto"/>
                <w:kern w:val="2"/>
                <w:sz w:val="21"/>
                <w:szCs w:val="21"/>
              </w:rPr>
            </w:pPr>
            <w:r>
              <w:rPr>
                <w:color w:val="auto"/>
                <w:kern w:val="2"/>
                <w:sz w:val="21"/>
                <w:szCs w:val="21"/>
              </w:rPr>
              <w:t>/</w:t>
            </w:r>
          </w:p>
        </w:tc>
        <w:tc>
          <w:tcPr>
            <w:tcW w:w="1845" w:type="pct"/>
            <w:vAlign w:val="center"/>
          </w:tcPr>
          <w:p w14:paraId="578916FD">
            <w:pPr>
              <w:widowControl w:val="0"/>
              <w:spacing w:before="100" w:beforeAutospacing="1" w:line="360" w:lineRule="exact"/>
              <w:jc w:val="center"/>
              <w:rPr>
                <w:color w:val="auto"/>
                <w:kern w:val="2"/>
                <w:sz w:val="21"/>
                <w:szCs w:val="21"/>
              </w:rPr>
            </w:pPr>
            <w:r>
              <w:rPr>
                <w:rFonts w:ascii="宋体" w:hAnsi="宋体"/>
                <w:color w:val="auto"/>
                <w:kern w:val="2"/>
                <w:sz w:val="21"/>
                <w:szCs w:val="21"/>
              </w:rPr>
              <w:t>是重要的农畜产品资源加工转</w:t>
            </w:r>
          </w:p>
          <w:p w14:paraId="4143C9C4">
            <w:pPr>
              <w:widowControl w:val="0"/>
              <w:spacing w:before="100" w:beforeAutospacing="1" w:line="360" w:lineRule="exact"/>
              <w:jc w:val="center"/>
              <w:rPr>
                <w:color w:val="auto"/>
                <w:kern w:val="2"/>
                <w:sz w:val="21"/>
                <w:szCs w:val="21"/>
              </w:rPr>
            </w:pPr>
            <w:r>
              <w:rPr>
                <w:rFonts w:ascii="宋体" w:hAnsi="宋体"/>
                <w:color w:val="auto"/>
                <w:kern w:val="2"/>
                <w:sz w:val="21"/>
                <w:szCs w:val="21"/>
              </w:rPr>
              <w:t>化基地、绿色食品深加工基地、</w:t>
            </w:r>
          </w:p>
          <w:p w14:paraId="60A04695">
            <w:pPr>
              <w:widowControl w:val="0"/>
              <w:spacing w:before="100" w:beforeAutospacing="1" w:line="360" w:lineRule="exact"/>
              <w:jc w:val="center"/>
              <w:rPr>
                <w:color w:val="auto"/>
                <w:kern w:val="2"/>
                <w:sz w:val="21"/>
                <w:szCs w:val="21"/>
              </w:rPr>
            </w:pPr>
            <w:r>
              <w:rPr>
                <w:rFonts w:ascii="宋体" w:hAnsi="宋体"/>
                <w:color w:val="auto"/>
                <w:kern w:val="2"/>
                <w:sz w:val="21"/>
                <w:szCs w:val="21"/>
              </w:rPr>
              <w:t>机械装备制造基地；石油下游产品加工、煤化工及矿产资源加工生产基地；首府工业产业转移的重要承接区，与首府和内地项目配套互补开发区域。</w:t>
            </w:r>
          </w:p>
        </w:tc>
      </w:tr>
    </w:tbl>
    <w:p w14:paraId="1E038A0C">
      <w:pPr>
        <w:pStyle w:val="132"/>
        <w:rPr>
          <w:color w:val="auto"/>
        </w:rPr>
      </w:pPr>
      <w:r>
        <w:rPr>
          <w:color w:val="auto"/>
        </w:rPr>
        <w:t>本项目位于高新技术产业区</w:t>
      </w:r>
      <w:r>
        <w:rPr>
          <w:rFonts w:hint="eastAsia"/>
          <w:color w:val="auto"/>
        </w:rPr>
        <w:t>中化工园区3号片区</w:t>
      </w:r>
      <w:r>
        <w:rPr>
          <w:color w:val="auto"/>
        </w:rPr>
        <w:t>，符合园区功能区划和发展方向要求。</w:t>
      </w:r>
    </w:p>
    <w:p w14:paraId="08D3C102">
      <w:pPr>
        <w:pStyle w:val="132"/>
        <w:ind w:firstLine="0" w:firstLineChars="0"/>
        <w:rPr>
          <w:color w:val="auto"/>
        </w:rPr>
        <w:sectPr>
          <w:type w:val="continuous"/>
          <w:pgSz w:w="11906" w:h="16838"/>
          <w:pgMar w:top="1440" w:right="1588" w:bottom="1389" w:left="1588" w:header="737" w:footer="822" w:gutter="0"/>
          <w:cols w:space="720" w:num="1"/>
          <w:docGrid w:type="lines" w:linePitch="312" w:charSpace="0"/>
        </w:sectPr>
      </w:pPr>
    </w:p>
    <w:p w14:paraId="3EA02A9D">
      <w:pPr>
        <w:widowControl w:val="0"/>
        <w:tabs>
          <w:tab w:val="left" w:pos="420"/>
        </w:tabs>
        <w:contextualSpacing/>
        <w:rPr>
          <w:rFonts w:hint="eastAsia" w:ascii="宋体" w:hAnsi="宋体"/>
          <w:b/>
          <w:color w:val="auto"/>
          <w:kern w:val="16"/>
          <w:sz w:val="24"/>
          <w:szCs w:val="24"/>
        </w:rPr>
      </w:pPr>
    </w:p>
    <w:p w14:paraId="765681E8">
      <w:pPr>
        <w:pStyle w:val="3"/>
        <w:rPr>
          <w:color w:val="auto"/>
        </w:rPr>
      </w:pPr>
      <w:bookmarkStart w:id="266" w:name="_Toc229930133"/>
      <w:r>
        <w:rPr>
          <w:rFonts w:hint="eastAsia"/>
          <w:color w:val="auto"/>
        </w:rPr>
        <w:t>甘泉堡经济技术开发区（工业区）化工园区简介</w:t>
      </w:r>
      <w:bookmarkEnd w:id="266"/>
    </w:p>
    <w:p w14:paraId="6FC2A933">
      <w:pPr>
        <w:pStyle w:val="132"/>
        <w:rPr>
          <w:color w:val="auto"/>
        </w:rPr>
      </w:pPr>
      <w:r>
        <w:rPr>
          <w:rFonts w:hint="eastAsia"/>
          <w:color w:val="auto"/>
        </w:rPr>
        <w:t>乌鲁木齐甘泉堡经济技术开发区（工业区）化工园区“以下简称化工园区”属于乌鲁木齐甘泉堡经济技术开发区（工业区）的“区中园”，化工园区按照《化工园区建设标准和认定管理办法（试行）》对化工园区内的规划范围、产业定位、布局等进行了细化。</w:t>
      </w:r>
    </w:p>
    <w:p w14:paraId="19E1F68D">
      <w:pPr>
        <w:pStyle w:val="4"/>
        <w:rPr>
          <w:color w:val="auto"/>
        </w:rPr>
      </w:pPr>
      <w:r>
        <w:rPr>
          <w:rFonts w:hint="eastAsia"/>
          <w:color w:val="auto"/>
        </w:rPr>
        <w:t>规划定位</w:t>
      </w:r>
    </w:p>
    <w:p w14:paraId="0CBC3DCB">
      <w:pPr>
        <w:pStyle w:val="132"/>
        <w:rPr>
          <w:color w:val="auto"/>
        </w:rPr>
      </w:pPr>
      <w:r>
        <w:rPr>
          <w:rFonts w:hint="eastAsia"/>
          <w:color w:val="auto"/>
        </w:rPr>
        <w:t>根据《乌鲁木齐甘泉堡经济技术开发区（工业区）化工园区总体规划》（2023-2035），甘泉堡经济技术开发区（工业区）化工园区主要承接硅基新材料、煤化工、铝基新材料产业。化工园依托园内现有大企业为龙头企业，逐步形成以硅基新材料为重点，煤化工精细化工、铝基新材料协同发展。</w:t>
      </w:r>
    </w:p>
    <w:p w14:paraId="2C9B3B8F">
      <w:pPr>
        <w:pStyle w:val="4"/>
        <w:rPr>
          <w:color w:val="auto"/>
        </w:rPr>
      </w:pPr>
      <w:r>
        <w:rPr>
          <w:rFonts w:hint="eastAsia"/>
          <w:color w:val="auto"/>
        </w:rPr>
        <w:t>产业规划方案</w:t>
      </w:r>
    </w:p>
    <w:p w14:paraId="5A48BA3C">
      <w:pPr>
        <w:pStyle w:val="132"/>
        <w:rPr>
          <w:color w:val="auto"/>
        </w:rPr>
      </w:pPr>
      <w:r>
        <w:rPr>
          <w:rFonts w:hint="eastAsia"/>
          <w:color w:val="auto"/>
        </w:rPr>
        <w:t>化工园共分为3个产业园，硅基新材料产业园围绕合盛硅业发展多晶硅、有机硅、硅基材料下游产品制造产业；铝基新材料产业园围绕远洋科技发展铝基结构性材料、铝基功能性材料及下游产品制造产业；煤化工产业园及功能性材料产业园围绕国能新疆煤化工发展煤化工精细化工产业；并在相应产业园中配套循环经济产业。</w:t>
      </w:r>
    </w:p>
    <w:p w14:paraId="331D6F1B">
      <w:pPr>
        <w:pStyle w:val="132"/>
        <w:rPr>
          <w:color w:val="auto"/>
        </w:rPr>
      </w:pPr>
      <w:r>
        <w:rPr>
          <w:rFonts w:hint="eastAsia"/>
          <w:color w:val="auto"/>
        </w:rPr>
        <w:t>（1）硅基新材料</w:t>
      </w:r>
    </w:p>
    <w:p w14:paraId="0B3C3A73">
      <w:pPr>
        <w:pStyle w:val="132"/>
        <w:rPr>
          <w:color w:val="auto"/>
        </w:rPr>
      </w:pPr>
      <w:r>
        <w:rPr>
          <w:rFonts w:hint="eastAsia"/>
          <w:color w:val="auto"/>
        </w:rPr>
        <w:t>1）在头部企业合盛硅业的产业基础下，充分利用新疆丰富的煤、电、硅资源，延伸扩展高技术含量、高附加值、各链环相互配套和支持的光伏新能源材料产业链，形成多晶硅-硅棒-多(单)晶硅片等光伏硅基基础材料环节，进一步提升硅基光伏基础材料的纯度及其品质稳定性，增强硅基光伏基础材料美誉度和市场竞争力。</w:t>
      </w:r>
    </w:p>
    <w:p w14:paraId="209B06E0">
      <w:pPr>
        <w:pStyle w:val="132"/>
        <w:rPr>
          <w:color w:val="auto"/>
        </w:rPr>
      </w:pPr>
      <w:r>
        <w:rPr>
          <w:rFonts w:hint="eastAsia"/>
          <w:color w:val="auto"/>
        </w:rPr>
        <w:t>2）在进一步巩固现有硅基光伏基础材料优势基础上，着力开发有利于形成光伏制造全产业链和光伏产业循环经济体系的光伏玻璃－多(单)晶电池片－多(单)晶组件薄膜组件－光伏浆料－光伏背板－封装胶膜-逆变器等组件的关键环节制造，拓展产业集中度和影响力。积极推动光伏胶膜、超薄高透光伏玻璃、湿电子化学品及电子气体、碳纤维保温毡等光伏配套项目。</w:t>
      </w:r>
    </w:p>
    <w:p w14:paraId="76638295">
      <w:pPr>
        <w:pStyle w:val="132"/>
        <w:rPr>
          <w:color w:val="auto"/>
        </w:rPr>
      </w:pPr>
      <w:r>
        <w:rPr>
          <w:rFonts w:hint="eastAsia"/>
          <w:color w:val="auto"/>
        </w:rPr>
        <w:t>3）充分发挥甘泉堡区位优势，延伸硅基产业链，完善配套产业，积极推动特种石墨应急气源 LNG 站、高纯洁净包装等配套产业。</w:t>
      </w:r>
    </w:p>
    <w:p w14:paraId="62958BB5">
      <w:pPr>
        <w:pStyle w:val="132"/>
        <w:rPr>
          <w:color w:val="auto"/>
        </w:rPr>
      </w:pPr>
      <w:r>
        <w:rPr>
          <w:rFonts w:hint="eastAsia"/>
          <w:color w:val="auto"/>
        </w:rPr>
        <w:t>（2）煤化工产业园、功能材料产业园</w:t>
      </w:r>
    </w:p>
    <w:p w14:paraId="1E1D8914">
      <w:pPr>
        <w:pStyle w:val="132"/>
        <w:rPr>
          <w:color w:val="auto"/>
        </w:rPr>
      </w:pPr>
      <w:r>
        <w:rPr>
          <w:rFonts w:hint="eastAsia"/>
          <w:color w:val="auto"/>
        </w:rPr>
        <w:t>1）产业技术升级。重点开展煤制烯烃、煤制油升级示范，提升资源利用、环境保护水平；有序开展煤制天然气、煤制乙二醇产业化示范，逐步完善工艺技术装备及系统配置；稳步开展煤制芳烃工程化示范，加快推进科研成果转化应用。</w:t>
      </w:r>
    </w:p>
    <w:p w14:paraId="6E209470">
      <w:pPr>
        <w:pStyle w:val="132"/>
        <w:rPr>
          <w:color w:val="auto"/>
        </w:rPr>
      </w:pPr>
      <w:r>
        <w:rPr>
          <w:rFonts w:hint="eastAsia"/>
          <w:color w:val="auto"/>
        </w:rPr>
        <w:t>2）节能减排，实现资源综合利用。提升资源综合利用水平，进一步提高烯烃收率，降低能耗、水耗和污染物排放。加强产业发展与二氧化碳减排潜力统筹协调，大力推广煤化电热一体化技术，尝试提高现代煤化工项目二氧化碳过程捕集的比重，降低捕获成本。探索开展二氧化碳微藻转化、发酵制取丁二酸等应用示范及综合利用。</w:t>
      </w:r>
    </w:p>
    <w:p w14:paraId="72EB7429">
      <w:pPr>
        <w:pStyle w:val="132"/>
        <w:rPr>
          <w:color w:val="auto"/>
        </w:rPr>
      </w:pPr>
      <w:r>
        <w:rPr>
          <w:rFonts w:hint="eastAsia"/>
          <w:color w:val="auto"/>
        </w:rPr>
        <w:t>3）关联产业融合发展。按照循环经济理念，采取煤化电热一体化、多联产方式，大力推动现代煤化工与煤炭开采、电力、石油化工、化纤、盐化工、冶金建材等产业融合发展，延伸产业链，壮大产业集群，提高资源转化效率和产业竞争力。</w:t>
      </w:r>
    </w:p>
    <w:p w14:paraId="4DD44340">
      <w:pPr>
        <w:pStyle w:val="132"/>
        <w:rPr>
          <w:color w:val="auto"/>
        </w:rPr>
      </w:pPr>
      <w:r>
        <w:rPr>
          <w:rFonts w:hint="eastAsia"/>
          <w:color w:val="auto"/>
        </w:rPr>
        <w:t>（3）铝基新材料</w:t>
      </w:r>
    </w:p>
    <w:p w14:paraId="6324DFEA">
      <w:pPr>
        <w:pStyle w:val="132"/>
        <w:rPr>
          <w:color w:val="auto"/>
        </w:rPr>
      </w:pPr>
      <w:r>
        <w:rPr>
          <w:rFonts w:hint="eastAsia"/>
          <w:color w:val="auto"/>
        </w:rPr>
        <w:t>围绕特种铝基新材料及应用产品、大尺寸超高纯铝合金靶材、高性能铝基复合材料、高强高韧铝合金材料等先进结构材料方向，配套发展铝基先进功能性材料。</w:t>
      </w:r>
    </w:p>
    <w:p w14:paraId="18AF02E8">
      <w:pPr>
        <w:pStyle w:val="4"/>
        <w:rPr>
          <w:color w:val="auto"/>
        </w:rPr>
      </w:pPr>
      <w:r>
        <w:rPr>
          <w:rFonts w:hint="eastAsia"/>
          <w:color w:val="auto"/>
        </w:rPr>
        <w:t>总体布局方案</w:t>
      </w:r>
    </w:p>
    <w:p w14:paraId="0D0F2B2B">
      <w:pPr>
        <w:pStyle w:val="132"/>
        <w:rPr>
          <w:color w:val="auto"/>
        </w:rPr>
      </w:pPr>
      <w:r>
        <w:rPr>
          <w:rFonts w:hint="eastAsia"/>
          <w:color w:val="auto"/>
        </w:rPr>
        <w:t>（1）空间规划结构</w:t>
      </w:r>
    </w:p>
    <w:p w14:paraId="19F7BC88">
      <w:pPr>
        <w:pStyle w:val="132"/>
        <w:rPr>
          <w:color w:val="auto"/>
        </w:rPr>
      </w:pPr>
      <w:r>
        <w:rPr>
          <w:rFonts w:hint="eastAsia"/>
          <w:color w:val="auto"/>
        </w:rPr>
        <w:t>依照《甘泉堡工业园总体规划（2016—2030年）》的用地布局形式，同时针对园区现状建设状况、自然条件等特点，设定以1号片区硅基新材料产业园为重点，2号片区煤化工产业园、功能材料产业园及3号片区铝基新材料产业园为辅助。</w:t>
      </w:r>
    </w:p>
    <w:p w14:paraId="500871D1">
      <w:pPr>
        <w:pStyle w:val="132"/>
        <w:rPr>
          <w:color w:val="auto"/>
        </w:rPr>
      </w:pPr>
      <w:r>
        <w:rPr>
          <w:rFonts w:hint="eastAsia"/>
          <w:color w:val="auto"/>
        </w:rPr>
        <w:t>重点：1号片区硅基新材料产业园。</w:t>
      </w:r>
    </w:p>
    <w:p w14:paraId="6F03328B">
      <w:pPr>
        <w:pStyle w:val="132"/>
        <w:rPr>
          <w:color w:val="auto"/>
        </w:rPr>
      </w:pPr>
      <w:r>
        <w:rPr>
          <w:rFonts w:hint="eastAsia"/>
          <w:color w:val="auto"/>
        </w:rPr>
        <w:t>辅助：2号片区煤化工产业园、功能材料产业园及3号片区铝基新材料产业园。</w:t>
      </w:r>
    </w:p>
    <w:p w14:paraId="68B6F39B">
      <w:pPr>
        <w:pStyle w:val="132"/>
        <w:rPr>
          <w:color w:val="auto"/>
        </w:rPr>
      </w:pPr>
      <w:r>
        <w:rPr>
          <w:rFonts w:hint="eastAsia"/>
          <w:color w:val="auto"/>
        </w:rPr>
        <w:t>（2）功能布局分区</w:t>
      </w:r>
    </w:p>
    <w:p w14:paraId="4DAC7DEA">
      <w:pPr>
        <w:pStyle w:val="132"/>
        <w:rPr>
          <w:color w:val="auto"/>
        </w:rPr>
      </w:pPr>
      <w:r>
        <w:rPr>
          <w:rFonts w:hint="eastAsia"/>
          <w:color w:val="auto"/>
        </w:rPr>
        <w:t>乌鲁木齐甘泉堡经济技术开发区（工业区）化工园区总体规划（2023-2035），规划总面积12.26km</w:t>
      </w:r>
      <w:r>
        <w:rPr>
          <w:rFonts w:hint="eastAsia"/>
          <w:color w:val="auto"/>
          <w:vertAlign w:val="superscript"/>
        </w:rPr>
        <w:t>2</w:t>
      </w:r>
      <w:r>
        <w:rPr>
          <w:rFonts w:hint="eastAsia"/>
          <w:color w:val="auto"/>
        </w:rPr>
        <w:t>，共分为3个片区，其中：</w:t>
      </w:r>
    </w:p>
    <w:p w14:paraId="6D675678">
      <w:pPr>
        <w:pStyle w:val="132"/>
        <w:rPr>
          <w:color w:val="auto"/>
        </w:rPr>
      </w:pPr>
      <w:r>
        <w:rPr>
          <w:rFonts w:hint="eastAsia"/>
          <w:color w:val="auto"/>
        </w:rPr>
        <w:t>1号片区：硅基新材料产业园，规划用地面积3.59km</w:t>
      </w:r>
      <w:r>
        <w:rPr>
          <w:rFonts w:hint="eastAsia"/>
          <w:color w:val="auto"/>
          <w:vertAlign w:val="superscript"/>
        </w:rPr>
        <w:t>2</w:t>
      </w:r>
      <w:r>
        <w:rPr>
          <w:rFonts w:hint="eastAsia"/>
          <w:color w:val="auto"/>
        </w:rPr>
        <w:t>，规划范围南起中部合盛硅业内部道路（支一路），北至锦泉街，西沿春晓路，东至云帆路。</w:t>
      </w:r>
    </w:p>
    <w:p w14:paraId="306D18FB">
      <w:pPr>
        <w:pStyle w:val="132"/>
        <w:rPr>
          <w:color w:val="auto"/>
        </w:rPr>
      </w:pPr>
      <w:r>
        <w:rPr>
          <w:rFonts w:hint="eastAsia"/>
          <w:color w:val="auto"/>
        </w:rPr>
        <w:t>2号片区：煤化工产业园、功能材料产业园，规划用地面积7.44km</w:t>
      </w:r>
      <w:r>
        <w:rPr>
          <w:rFonts w:hint="eastAsia"/>
          <w:color w:val="auto"/>
          <w:vertAlign w:val="superscript"/>
        </w:rPr>
        <w:t>2</w:t>
      </w:r>
      <w:r>
        <w:rPr>
          <w:rFonts w:hint="eastAsia"/>
          <w:color w:val="auto"/>
        </w:rPr>
        <w:t>，规划范围南起祥华路，北邻贤清西街，西临四通路，东沿甘津路—月恒街—甘源路。</w:t>
      </w:r>
    </w:p>
    <w:p w14:paraId="64641180">
      <w:pPr>
        <w:pStyle w:val="132"/>
        <w:rPr>
          <w:color w:val="auto"/>
        </w:rPr>
      </w:pPr>
      <w:r>
        <w:rPr>
          <w:rFonts w:hint="eastAsia"/>
          <w:color w:val="auto"/>
        </w:rPr>
        <w:t>3号片区：铝基新材料产业园，规划用地面积1.23km</w:t>
      </w:r>
      <w:r>
        <w:rPr>
          <w:rFonts w:hint="eastAsia"/>
          <w:color w:val="auto"/>
          <w:vertAlign w:val="superscript"/>
        </w:rPr>
        <w:t>2</w:t>
      </w:r>
      <w:r>
        <w:rPr>
          <w:rFonts w:hint="eastAsia"/>
          <w:color w:val="auto"/>
        </w:rPr>
        <w:t>，规划范围南起云泉东街，北至净明东街，西临博润路，东靠春晓路。</w:t>
      </w:r>
    </w:p>
    <w:p w14:paraId="6E003DCE">
      <w:pPr>
        <w:pStyle w:val="132"/>
        <w:rPr>
          <w:color w:val="auto"/>
        </w:rPr>
      </w:pPr>
      <w:r>
        <w:rPr>
          <w:rFonts w:hint="eastAsia"/>
          <w:color w:val="auto"/>
        </w:rPr>
        <w:t>化工园区产业布局见图4.3-1。</w:t>
      </w:r>
    </w:p>
    <w:p w14:paraId="1A4FEDAB">
      <w:pPr>
        <w:pStyle w:val="4"/>
        <w:rPr>
          <w:color w:val="auto"/>
        </w:rPr>
      </w:pPr>
      <w:r>
        <w:rPr>
          <w:rFonts w:hint="eastAsia"/>
          <w:color w:val="auto"/>
        </w:rPr>
        <w:t>园区配套设施基本情况</w:t>
      </w:r>
    </w:p>
    <w:p w14:paraId="075D66E8">
      <w:pPr>
        <w:pStyle w:val="132"/>
        <w:rPr>
          <w:color w:val="auto"/>
        </w:rPr>
      </w:pPr>
      <w:r>
        <w:rPr>
          <w:rFonts w:hint="eastAsia"/>
          <w:color w:val="auto"/>
        </w:rPr>
        <w:t>甘泉堡经济技术开发区自2007年启动开发建设以来，按照“统筹区域、科学规划、集约用地、优化环境”的原则，“十二五”期间累计投入55亿元用于甘泉堡经开区的道路、管网、绿化等基础设施项目建设。道路交通日趋完善，已完成117公里道路建设和107公里道路绿化管网建设，甘泉堡经开区铁路专运线和铁路货场已开工建设，第二条铁路专线已启动，“七纵八横”的交通网络初步形成，“七通一平”基础建设工作已经完成。进出甘泉堡高速公路便道已经开通，解决了驻甘泉堡经开区企业和群众的出行问题，降低了甘泉堡经开区企业运输和经营成本。水电设施日趋完善，220千伏龙岗变电站、20万m</w:t>
      </w:r>
      <w:r>
        <w:rPr>
          <w:rFonts w:hint="eastAsia"/>
          <w:color w:val="auto"/>
          <w:vertAlign w:val="superscript"/>
        </w:rPr>
        <w:t>3</w:t>
      </w:r>
      <w:r>
        <w:rPr>
          <w:rFonts w:hint="eastAsia"/>
          <w:color w:val="auto"/>
        </w:rPr>
        <w:t>/d自来水厂、污水处理厂等基础设施及相应的供排水、通信等配套设施已经完成，甘泉堡工业区北区供水主管线工程已经启动，解决甘泉堡北区伊泰、阜丰等企业生活用水需求。完成核心区两期共14200亩土地的收储工作。大规模招商引资、开发建设的各项基本条件已经具备。</w:t>
      </w:r>
    </w:p>
    <w:p w14:paraId="25418516">
      <w:pPr>
        <w:pStyle w:val="132"/>
        <w:rPr>
          <w:color w:val="auto"/>
        </w:rPr>
      </w:pPr>
      <w:r>
        <w:rPr>
          <w:rFonts w:hint="eastAsia"/>
          <w:color w:val="auto"/>
        </w:rPr>
        <w:t>园区对项目建设的有利基础设施：</w:t>
      </w:r>
    </w:p>
    <w:p w14:paraId="5D9B5650">
      <w:pPr>
        <w:pStyle w:val="132"/>
        <w:rPr>
          <w:color w:val="auto"/>
        </w:rPr>
      </w:pPr>
      <w:r>
        <w:rPr>
          <w:rFonts w:hint="eastAsia"/>
          <w:color w:val="auto"/>
        </w:rPr>
        <w:t>1）供水：本项目生产、生活供水由园区供水管网接入，供水质量符合生活饮用水标准，能为该项目提供充足的水源保障。</w:t>
      </w:r>
    </w:p>
    <w:p w14:paraId="2B4B132E">
      <w:pPr>
        <w:pStyle w:val="132"/>
        <w:rPr>
          <w:color w:val="auto"/>
        </w:rPr>
      </w:pPr>
      <w:r>
        <w:rPr>
          <w:rFonts w:hint="eastAsia"/>
          <w:color w:val="auto"/>
        </w:rPr>
        <w:t>2）供电：本项目用电由10kV露工二线129#杆T接，T接处按照原有设计规范安装附杆，断路器、避雷器等户外设施(局属)。依托原有800千伏安变压器。</w:t>
      </w:r>
    </w:p>
    <w:p w14:paraId="7A2B9690">
      <w:pPr>
        <w:pStyle w:val="132"/>
        <w:rPr>
          <w:color w:val="auto"/>
        </w:rPr>
      </w:pPr>
      <w:r>
        <w:rPr>
          <w:rFonts w:hint="eastAsia"/>
          <w:color w:val="auto"/>
        </w:rPr>
        <w:t>3）供热：本项目不使用蒸汽，生活用热由园区供给，供给压力为1.0Mpa，供热管道为DN150，能够满足本项目用热要求。</w:t>
      </w:r>
    </w:p>
    <w:p w14:paraId="753BFDC2">
      <w:pPr>
        <w:pStyle w:val="4"/>
        <w:rPr>
          <w:color w:val="auto"/>
        </w:rPr>
      </w:pPr>
      <w:r>
        <w:rPr>
          <w:rFonts w:hint="eastAsia"/>
          <w:color w:val="auto"/>
        </w:rPr>
        <w:t>园区基础设施规划</w:t>
      </w:r>
    </w:p>
    <w:p w14:paraId="1982E79A">
      <w:pPr>
        <w:pStyle w:val="132"/>
        <w:rPr>
          <w:color w:val="auto"/>
          <w:lang w:val="zh-CN"/>
        </w:rPr>
      </w:pPr>
      <w:r>
        <w:rPr>
          <w:color w:val="auto"/>
          <w:lang w:val="zh-CN"/>
        </w:rPr>
        <w:t>1、给水工程规划</w:t>
      </w:r>
    </w:p>
    <w:p w14:paraId="4DFBB69E">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（1）水源</w:t>
      </w:r>
    </w:p>
    <w:p w14:paraId="4C99A3AA">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甘泉堡工业园内建有“500”水库，目前库区一期工程已建成，“500”水库一期可调节4.2亿立方用水，二期可调节6.4亿立方用水，远景可调节10.6亿立方用水。</w:t>
      </w:r>
    </w:p>
    <w:p w14:paraId="3D28898C">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依据“500”水库受水区规划，乌鲁木齐市在“500”水库近期的分水量为1.5亿立方米，置换乌鲁木齐河5000万立方米，通过在上游拦河修建大西沟水库等水利设施留在城市上游，用于生态恢复及城市建设发展。置换头屯河3000万立方米，用于头屯河城市副中心建设发展及生态绿化。留在“500”水库的7000万立方米用于甘泉堡工业园建设。</w:t>
      </w:r>
    </w:p>
    <w:p w14:paraId="5731A310">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（2）水厂</w:t>
      </w:r>
    </w:p>
    <w:p w14:paraId="26498989">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工业区乌鲁木齐范围：近期利用已建成的甘泉堡南区净水厂进行生活、生产供水，水厂规模近期10万m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d，远期40万m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/d，水源取自“500”水库水。远期需再建甘泉堡北区净水厂，水厂规模65万m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/d（其中30万m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/d作为乌鲁木齐市中心城区的应急水源），水源取自“500”水库水。</w:t>
      </w:r>
    </w:p>
    <w:p w14:paraId="6E2E15BF">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五家渠东工业园范围：近期利用现状五家渠东工业园水厂供水，水厂规模近期5万m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/d，远期20万m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/d，水源取自“500”水库水。</w:t>
      </w:r>
    </w:p>
    <w:p w14:paraId="79053D70">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阜康工业园：利用现状加压泵站为园区供水。水源取自中泰水厂。水厂规模10万m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/d，水源取自“500”水库水。</w:t>
      </w:r>
    </w:p>
    <w:p w14:paraId="5912F80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绿化与道路浇洒用水及对水质要求不高的企业用水，近期直接采用“500”水库水进行供给，远期采用城市中水进行供给。</w:t>
      </w:r>
    </w:p>
    <w:p w14:paraId="47C23EF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（3）供水能力</w:t>
      </w:r>
    </w:p>
    <w:p w14:paraId="01F697CC">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至2030年，园区最高日市政综合用水量为101万m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w:t>
      </w:r>
    </w:p>
    <w:p w14:paraId="6C2A2F92">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（4）水厂建设</w:t>
      </w:r>
    </w:p>
    <w:p w14:paraId="296FD24E">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扩建甘泉堡南区净水厂、五家渠东工业园水厂、新建甘泉堡北区净水厂、现状保留新疆中泰化学阜康能源有限公司水厂。至2030年，园区建成水厂4座，供水能力达到135万m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/d（其中30万m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/d作为乌鲁木齐市中心城区的应急水源）。</w:t>
      </w:r>
    </w:p>
    <w:p w14:paraId="41E3B1DC">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（5）输配水工程</w:t>
      </w:r>
    </w:p>
    <w:p w14:paraId="572B0F40">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规划区利用甘泉堡水厂供水，自来水输配水系统规模庞大，给水片区内部管道应布置成环状管网，同时加强各组团之间管网的联网，保证供水的安全性。</w:t>
      </w:r>
    </w:p>
    <w:p w14:paraId="29F4EB49">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绿化供水系统布置为环状管网加支状管网的形式，并充分预留远期接口。</w:t>
      </w:r>
    </w:p>
    <w:p w14:paraId="33F30B9D">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（6）再生水规划</w:t>
      </w:r>
    </w:p>
    <w:p w14:paraId="0E115371">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至2030年，园区中水回用率达到50%以上。新建甘泉堡南区、甘泉堡北区再生水厂。总规模达到45万m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w:t>
      </w:r>
    </w:p>
    <w:p w14:paraId="49BABB84">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再生水必须作为重要的水资源开发利用，积极稳妥地推广污水处理厂二级出水用于农业灌溉，一部分出水经过深度处理后通过园区中水系统用作园区河湖景观、绿化、道路浇洒及降尘、建筑冲厕、工业低质等用水水源。</w:t>
      </w:r>
    </w:p>
    <w:p w14:paraId="1BB889E7">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（7）节水规划</w:t>
      </w:r>
    </w:p>
    <w:p w14:paraId="118F1952">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严格限制高耗水型工业项目建设和农业粗放型用水。提高生活用水效率，节约水资源。</w:t>
      </w:r>
    </w:p>
    <w:p w14:paraId="39CB0D52">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园区节约用水要做到“三同时，四到位”，超计划用水的单位，应按有关规定缴纳超计划用水加价水费。</w:t>
      </w:r>
    </w:p>
    <w:p w14:paraId="3DCAD4E9">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现有各自备水源和限量开采后停止使用的园区水源可作为远期园区的应急备用水源。</w:t>
      </w:r>
    </w:p>
    <w:p w14:paraId="2956CB7B">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新建、改建、扩建工程应按国家规定建设相应的节约用水设施。</w:t>
      </w:r>
    </w:p>
    <w:p w14:paraId="01C9098D">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新建宾馆、饭店、公寓、大型文化体育设施和机关、大专院校、科研单位以及居民区应配套建设中水设施。</w:t>
      </w:r>
    </w:p>
    <w:p w14:paraId="18800DDD">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2、排水工程规划</w:t>
      </w:r>
    </w:p>
    <w:p w14:paraId="03A08E24">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（1）排水体制</w:t>
      </w:r>
    </w:p>
    <w:p w14:paraId="41799DB2">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园区排水体制采用雨污分流制，雨水进入沟渠后，用于园区绿化，生产及生活污水经各企业预处理达到规划污水处理厂纳管标准后进入规划的污水处理厂处理。</w:t>
      </w:r>
    </w:p>
    <w:p w14:paraId="71A38C5A">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（2）目标</w:t>
      </w:r>
    </w:p>
    <w:p w14:paraId="2A4C5EF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加强污水处理设施、污水再生利用设施、雨水管网建设，完善</w:t>
      </w:r>
      <w:r>
        <w:rPr>
          <w:rFonts w:hint="eastAsia" w:ascii="Times New Roman Regular" w:hAnsi="Times New Roman Regular" w:cs="Times New Roman Regular"/>
          <w:color w:val="auto"/>
          <w:sz w:val="24"/>
          <w:szCs w:val="24"/>
          <w:lang w:val="zh-CN" w:bidi="zh-CN"/>
        </w:rPr>
        <w:t>污水处理厂</w:t>
      </w:r>
      <w:r>
        <w:rPr>
          <w:rFonts w:ascii="Times New Roman Regular" w:hAnsi="Times New Roman Regular" w:cs="Times New Roman Regular"/>
          <w:color w:val="auto"/>
          <w:sz w:val="24"/>
          <w:szCs w:val="24"/>
          <w:lang w:val="zh-CN" w:bidi="zh-CN"/>
        </w:rPr>
        <w:t>污水处理工艺、监测设施，改造不安全管网，优化排水工程布局，确保污水运输、处理和雨水排放系统运行安全、经济。</w:t>
      </w:r>
    </w:p>
    <w:p w14:paraId="4EE416C0">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2030年污水处理能力达到90万m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/d，园区污水处理率为100%，污水再生利用率达到50%以上。</w:t>
      </w:r>
    </w:p>
    <w:p w14:paraId="1F49A89B">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（3）污水量预测</w:t>
      </w:r>
    </w:p>
    <w:p w14:paraId="67D60884">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至2030年，城市市政污水量为85.85万m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w:t>
      </w:r>
    </w:p>
    <w:p w14:paraId="1911915D">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（4）污水处理设施</w:t>
      </w:r>
    </w:p>
    <w:p w14:paraId="5202555B">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续建甘泉堡南区污水处理厂，现状污水处理厂处理规模为10.5万m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/d，远期扩建至42万m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/d，现状五家渠东工业园污水处理厂处理规模为4.5万m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/d，远期扩建至17万m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/d，现状阜康工业园污水处理厂，处理规模为10万m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/d，新建甘泉堡北区污水处理厂，污水处理厂处理规模为21万m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w:t>
      </w:r>
    </w:p>
    <w:p w14:paraId="3E91633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园区内各管辖片区内的生产及生活污水经各企业预处理达到规划污水处理厂纳管标准后进入规划的污水处理厂处理。扩建及新建污水处理厂的尾水排放标准应达到国家一级A标准。</w:t>
      </w:r>
    </w:p>
    <w:p w14:paraId="6A98290B">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本次化工园区范围仅包含在乌鲁木齐管辖范围内，乌鲁木齐管辖范围内现有仅甘泉堡南区污水处理厂正在运行，2009年8月13日取得了《关于甘泉堡工业园污水处理及中水循环利用工程环境影响报告书的批复》(新环监函</w:t>
      </w:r>
      <w:r>
        <w:rPr>
          <w:rFonts w:hint="eastAsia" w:ascii="Times New Roman Regular" w:hAnsi="Times New Roman Regular" w:cs="Times New Roman Regular"/>
          <w:color w:val="auto"/>
          <w:sz w:val="24"/>
          <w:szCs w:val="24"/>
          <w:lang w:val="zh-CN" w:bidi="zh-CN"/>
        </w:rPr>
        <w:t>〔2009〕359号</w:t>
      </w:r>
      <w:r>
        <w:rPr>
          <w:rFonts w:ascii="Times New Roman Regular" w:hAnsi="Times New Roman Regular" w:cs="Times New Roman Regular"/>
          <w:color w:val="auto"/>
          <w:sz w:val="24"/>
          <w:szCs w:val="24"/>
          <w:lang w:val="zh-CN" w:bidi="zh-CN"/>
        </w:rPr>
        <w:t>)，2012年2月24日取得了《关于甘泉堡工业园污水处理及中水循环利用工程变更的复函》(新环评价函</w:t>
      </w:r>
      <w:r>
        <w:rPr>
          <w:rFonts w:hint="eastAsia" w:ascii="Times New Roman Regular" w:hAnsi="Times New Roman Regular" w:cs="Times New Roman Regular"/>
          <w:color w:val="auto"/>
          <w:sz w:val="24"/>
          <w:szCs w:val="24"/>
          <w:lang w:val="zh-CN" w:bidi="zh-CN"/>
        </w:rPr>
        <w:t>〔2012〕120号</w:t>
      </w:r>
      <w:r>
        <w:rPr>
          <w:rFonts w:ascii="Times New Roman Regular" w:hAnsi="Times New Roman Regular" w:cs="Times New Roman Regular"/>
          <w:color w:val="auto"/>
          <w:sz w:val="24"/>
          <w:szCs w:val="24"/>
          <w:lang w:val="zh-CN" w:bidi="zh-CN"/>
        </w:rPr>
        <w:t>)，2014年3月27日取得了《关于甘泉堡工业园污水处理及中水循环利用工程变更说明的复函》(新环函</w:t>
      </w:r>
      <w:r>
        <w:rPr>
          <w:rFonts w:hint="eastAsia" w:ascii="Times New Roman Regular" w:hAnsi="Times New Roman Regular" w:cs="Times New Roman Regular"/>
          <w:color w:val="auto"/>
          <w:sz w:val="24"/>
          <w:szCs w:val="24"/>
          <w:lang w:val="zh-CN" w:bidi="zh-CN"/>
        </w:rPr>
        <w:t>〔2014〕365号</w:t>
      </w:r>
      <w:r>
        <w:rPr>
          <w:rFonts w:ascii="Times New Roman Regular" w:hAnsi="Times New Roman Regular" w:cs="Times New Roman Regular"/>
          <w:color w:val="auto"/>
          <w:sz w:val="24"/>
          <w:szCs w:val="24"/>
          <w:lang w:val="zh-CN" w:bidi="zh-CN"/>
        </w:rPr>
        <w:t>)，2016年6月22日甘泉堡南区污水处理厂取得了《关于甘泉堡工业园区污水处理及中水循环利用工程竣工环保验收意见》（乌环验</w:t>
      </w:r>
      <w:r>
        <w:rPr>
          <w:rFonts w:hint="eastAsia" w:ascii="Times New Roman Regular" w:hAnsi="Times New Roman Regular" w:cs="Times New Roman Regular"/>
          <w:color w:val="auto"/>
          <w:sz w:val="24"/>
          <w:szCs w:val="24"/>
          <w:lang w:val="zh-CN" w:bidi="zh-CN"/>
        </w:rPr>
        <w:t>〔2015〕248号</w:t>
      </w:r>
      <w:r>
        <w:rPr>
          <w:rFonts w:ascii="Times New Roman Regular" w:hAnsi="Times New Roman Regular" w:cs="Times New Roman Regular"/>
          <w:color w:val="auto"/>
          <w:sz w:val="24"/>
          <w:szCs w:val="24"/>
          <w:lang w:val="zh-CN" w:bidi="zh-CN"/>
        </w:rPr>
        <w:t>）。污水处理工程目前建设规模为10.5万m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/d，采用A</w:t>
      </w:r>
      <w:r>
        <w:rPr>
          <w:rFonts w:ascii="Times New Roman Regular" w:hAnsi="Times New Roman Regular" w:cs="Times New Roman Regular"/>
          <w:color w:val="auto"/>
          <w:sz w:val="24"/>
          <w:szCs w:val="24"/>
          <w:vertAlign w:val="superscript"/>
          <w:lang w:val="zh-CN" w:bidi="zh-CN"/>
        </w:rPr>
        <w:t>2</w:t>
      </w:r>
      <w:r>
        <w:rPr>
          <w:rFonts w:ascii="Times New Roman Regular" w:hAnsi="Times New Roman Regular" w:cs="Times New Roman Regular"/>
          <w:color w:val="auto"/>
          <w:sz w:val="24"/>
          <w:szCs w:val="24"/>
          <w:lang w:val="zh-CN" w:bidi="zh-CN"/>
        </w:rPr>
        <w:t>/O+MBR膜生物处理+次氯酸钠消毒，2022年甘泉堡污水</w:t>
      </w:r>
      <w:r>
        <w:rPr>
          <w:rFonts w:hint="eastAsia" w:ascii="Times New Roman Regular" w:hAnsi="Times New Roman Regular" w:cs="Times New Roman Regular"/>
          <w:color w:val="auto"/>
          <w:sz w:val="24"/>
          <w:szCs w:val="24"/>
          <w:lang w:val="en-US" w:bidi="zh-CN"/>
        </w:rPr>
        <w:t>南区</w:t>
      </w:r>
      <w:r>
        <w:rPr>
          <w:rFonts w:ascii="Times New Roman Regular" w:hAnsi="Times New Roman Regular" w:cs="Times New Roman Regular"/>
          <w:color w:val="auto"/>
          <w:sz w:val="24"/>
          <w:szCs w:val="24"/>
          <w:lang w:val="zh-CN" w:bidi="zh-CN"/>
        </w:rPr>
        <w:t>处理厂全年累计处理水量为2259.8268万方，日均处理量为6.1913万方。处理后的尾水中主要污染物pH、BOD</w:t>
      </w:r>
      <w:r>
        <w:rPr>
          <w:rFonts w:ascii="Times New Roman Regular" w:hAnsi="Times New Roman Regular" w:cs="Times New Roman Regular"/>
          <w:color w:val="auto"/>
          <w:sz w:val="24"/>
          <w:szCs w:val="24"/>
          <w:vertAlign w:val="subscript"/>
          <w:lang w:val="zh-CN" w:bidi="zh-CN"/>
        </w:rPr>
        <w:t>5</w:t>
      </w:r>
      <w:r>
        <w:rPr>
          <w:rFonts w:ascii="Times New Roman Regular" w:hAnsi="Times New Roman Regular" w:cs="Times New Roman Regular"/>
          <w:color w:val="auto"/>
          <w:sz w:val="24"/>
          <w:szCs w:val="24"/>
          <w:lang w:val="zh-CN" w:bidi="zh-CN"/>
        </w:rPr>
        <w:t>、COD</w:t>
      </w:r>
      <w:r>
        <w:rPr>
          <w:rFonts w:ascii="Times New Roman Regular" w:hAnsi="Times New Roman Regular" w:cs="Times New Roman Regular"/>
          <w:color w:val="auto"/>
          <w:sz w:val="24"/>
          <w:szCs w:val="24"/>
          <w:vertAlign w:val="subscript"/>
          <w:lang w:val="zh-CN" w:bidi="zh-CN"/>
        </w:rPr>
        <w:t>cr</w:t>
      </w:r>
      <w:r>
        <w:rPr>
          <w:rFonts w:ascii="Times New Roman Regular" w:hAnsi="Times New Roman Regular" w:cs="Times New Roman Regular"/>
          <w:color w:val="auto"/>
          <w:sz w:val="24"/>
          <w:szCs w:val="24"/>
          <w:lang w:val="zh-CN" w:bidi="zh-CN"/>
        </w:rPr>
        <w:t>、氨氮、总磷执行《地表水环境质量标准》(GB3838-2002)</w:t>
      </w:r>
      <w:r>
        <w:rPr>
          <w:rFonts w:hint="eastAsia" w:ascii="Times New Roman Regular" w:hAnsi="Times New Roman Regular" w:cs="Times New Roman Regular"/>
          <w:color w:val="auto"/>
          <w:sz w:val="24"/>
          <w:szCs w:val="24"/>
          <w:lang w:val="zh-CN" w:bidi="zh-CN"/>
        </w:rPr>
        <w:t>Ⅳ类</w:t>
      </w:r>
      <w:r>
        <w:rPr>
          <w:rFonts w:ascii="Times New Roman Regular" w:hAnsi="Times New Roman Regular" w:cs="Times New Roman Regular"/>
          <w:color w:val="auto"/>
          <w:sz w:val="24"/>
          <w:szCs w:val="24"/>
          <w:lang w:val="zh-CN" w:bidi="zh-CN"/>
        </w:rPr>
        <w:t>水质标准；悬浮物、浊度、粪大肠杆菌执行《城市污水再生利用景观环境用水水质》(GB/T18921-2002)相关标准；其他污染物执行《城镇污水处理厂污染物排放标准》(GB18918-2002)一级A标准；</w:t>
      </w:r>
    </w:p>
    <w:p w14:paraId="6A6B72B2">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处理达标的水全部排入北沙窝，用于荒漠林灌溉。污水浓缩排放的污泥交由乌鲁木齐宝丰源生物科技有限公司处置。</w:t>
      </w:r>
    </w:p>
    <w:p w14:paraId="371BFF7D">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3、供热工程规划</w:t>
      </w:r>
    </w:p>
    <w:p w14:paraId="48253CAB">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（1）目标</w:t>
      </w:r>
    </w:p>
    <w:p w14:paraId="5795594A">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以节约能源，保护城市环境为出发点，大幅度提高清洁能源占比达到70%以上，到2030年，园区规划热负荷约为4579兆瓦。</w:t>
      </w:r>
    </w:p>
    <w:p w14:paraId="178F5EAD">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（2）供热分区和热源</w:t>
      </w:r>
    </w:p>
    <w:p w14:paraId="722FD0D0">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园区南区米东大道以东利用南部兖矿等热电厂的余热进行供热。热电厂的总规模为1500MW。工业区南区米东大道以西利用神华热电厂的余热进行供热。神华热电厂的总规模为1200MW。工业区北区利用规划热电厂的余热进行供热。规划热电厂的总规模为3120MW。五家渠东工业园利用兵团第六师热电厂的余热供热，兵团第六师热电厂的总规模为540MW。阜康工业园利用阜康热电厂的余热供热，阜康热电厂的总规模为380MW。热电联产供热不到的建筑采用清洁能源进行供热。园区现状有一座甘泉堡管委会燃气锅炉房。热交换站按供暖20万m</w:t>
      </w:r>
      <w:r>
        <w:rPr>
          <w:rFonts w:ascii="Times New Roman Regular" w:hAnsi="Times New Roman Regular" w:cs="Times New Roman Regular"/>
          <w:color w:val="auto"/>
          <w:sz w:val="24"/>
          <w:szCs w:val="24"/>
          <w:vertAlign w:val="superscript"/>
          <w:lang w:val="zh-CN" w:bidi="zh-CN"/>
        </w:rPr>
        <w:t>2</w:t>
      </w:r>
      <w:r>
        <w:rPr>
          <w:rFonts w:ascii="Times New Roman Regular" w:hAnsi="Times New Roman Regular" w:cs="Times New Roman Regular"/>
          <w:color w:val="auto"/>
          <w:sz w:val="24"/>
          <w:szCs w:val="24"/>
          <w:lang w:val="zh-CN" w:bidi="zh-CN"/>
        </w:rPr>
        <w:t>规划一座，每座建筑面积为300m</w:t>
      </w:r>
      <w:r>
        <w:rPr>
          <w:rFonts w:ascii="Times New Roman Regular" w:hAnsi="Times New Roman Regular" w:cs="Times New Roman Regular"/>
          <w:color w:val="auto"/>
          <w:sz w:val="24"/>
          <w:szCs w:val="24"/>
          <w:vertAlign w:val="superscript"/>
          <w:lang w:val="zh-CN" w:bidi="zh-CN"/>
        </w:rPr>
        <w:t>2</w:t>
      </w:r>
      <w:r>
        <w:rPr>
          <w:rFonts w:ascii="Times New Roman Regular" w:hAnsi="Times New Roman Regular" w:cs="Times New Roman Regular"/>
          <w:color w:val="auto"/>
          <w:sz w:val="24"/>
          <w:szCs w:val="24"/>
          <w:lang w:val="zh-CN" w:bidi="zh-CN"/>
        </w:rPr>
        <w:t>，热交换站尽量靠近负荷中心。</w:t>
      </w:r>
    </w:p>
    <w:p w14:paraId="2F6A9DB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4、燃气工程规划</w:t>
      </w:r>
    </w:p>
    <w:p w14:paraId="283173E3">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（1）目标</w:t>
      </w:r>
    </w:p>
    <w:p w14:paraId="0C378F5A">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科学、合理和切实可行</w:t>
      </w:r>
      <w:r>
        <w:rPr>
          <w:rFonts w:hint="eastAsia" w:ascii="Times New Roman Regular" w:hAnsi="Times New Roman Regular" w:cs="Times New Roman Regular"/>
          <w:color w:val="auto"/>
          <w:sz w:val="24"/>
          <w:szCs w:val="24"/>
          <w:lang w:val="zh-CN" w:bidi="zh-CN"/>
        </w:rPr>
        <w:t>地</w:t>
      </w:r>
      <w:r>
        <w:rPr>
          <w:rFonts w:ascii="Times New Roman Regular" w:hAnsi="Times New Roman Regular" w:cs="Times New Roman Regular"/>
          <w:color w:val="auto"/>
          <w:sz w:val="24"/>
          <w:szCs w:val="24"/>
          <w:lang w:val="zh-CN" w:bidi="zh-CN"/>
        </w:rPr>
        <w:t>指导工业区燃气工程建设，使规划具有前瞻性、合理性、可操作性，按照经济、能源、环保相互协调发展的原则，深入贯彻科学发展观，促进工业区的可持续发展。到2030年，天然气居民气化率达到95%，总天然气用气量预测为15357万m</w:t>
      </w:r>
      <w:r>
        <w:rPr>
          <w:rFonts w:ascii="Times New Roman Regular" w:hAnsi="Times New Roman Regular" w:cs="Times New Roman Regular"/>
          <w:color w:val="auto"/>
          <w:sz w:val="24"/>
          <w:szCs w:val="24"/>
          <w:vertAlign w:val="superscript"/>
          <w:lang w:val="zh-CN" w:bidi="zh-CN"/>
        </w:rPr>
        <w:t>3</w:t>
      </w:r>
      <w:r>
        <w:rPr>
          <w:rFonts w:ascii="Times New Roman Regular" w:hAnsi="Times New Roman Regular" w:cs="Times New Roman Regular"/>
          <w:color w:val="auto"/>
          <w:sz w:val="24"/>
          <w:szCs w:val="24"/>
          <w:lang w:val="zh-CN" w:bidi="zh-CN"/>
        </w:rPr>
        <w:t>。</w:t>
      </w:r>
    </w:p>
    <w:p w14:paraId="4A8338E6">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（2）气源</w:t>
      </w:r>
    </w:p>
    <w:p w14:paraId="272ABB27">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近期积极协调彩乌线5号阀室的供气衔接事宜，将其作为园区近期的主供气源，并建设LNG贮存设施，功能定位为乌鲁木齐市区的应急、事故储备设施，日常可供给LNG加注站。远期建设从乌鲁木齐米东门站接出的高压管道至工业园区，作为两个区域间的供气互补联络线，以保障供应安全。</w:t>
      </w:r>
    </w:p>
    <w:p w14:paraId="2D5A9AB7">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（3）燃气设施</w:t>
      </w:r>
    </w:p>
    <w:p w14:paraId="07EE2644">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到2030年，园区共建成天然气门站3座。其中，新建甘泉堡北门站，保留甘泉堡南门站和新疆中泰化学阜康能源有限公司门站。园区现状有7座高中压调压站，规划7座高中压调压站。</w:t>
      </w:r>
    </w:p>
    <w:p w14:paraId="563EB2A1">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天然气管网采用高（次高）压/中压两级制。园区有2条现状6.3MPa高压燃气管线，分别由彩乌线第五阀室接入新疆中泰化学阜康能源有限公司门站和甘泉堡南门站。依托门站、配气站建设次高压管网连接多座高中压调压站，衔接中压管网。</w:t>
      </w:r>
    </w:p>
    <w:p w14:paraId="3E579F9B">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5、供电工程规划</w:t>
      </w:r>
    </w:p>
    <w:p w14:paraId="4292E456">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（1）规划目标</w:t>
      </w:r>
    </w:p>
    <w:p w14:paraId="184E87B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改善电网布局、增加供电能力，满足前瞻性和适应性要求，确保电力供应充足、经济、安全可靠。</w:t>
      </w:r>
    </w:p>
    <w:p w14:paraId="17B9547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（2）负荷预测</w:t>
      </w:r>
    </w:p>
    <w:p w14:paraId="3BEA430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至2030年，年最大用电负荷2489.3兆瓦。</w:t>
      </w:r>
    </w:p>
    <w:p w14:paraId="251A4FAB">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（3）电网规划</w:t>
      </w:r>
    </w:p>
    <w:p w14:paraId="7D6F0AB7">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在规划区范围内规划五座220KV变电站（包括一座现状，一座规划位于中央生态绿地，不在六个单元用地中），十一座110kV变电站，九座电厂（包括现状阜康电厂、兖矿电厂、众和电厂、新特电厂、神华电厂、北区电厂、兵团第六师电厂和中电投电厂，规划甘泉堡电厂）配电设施用地，由变电站为工业园区供电。</w:t>
      </w:r>
    </w:p>
    <w:p w14:paraId="27FB0625">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6、环卫设施规划</w:t>
      </w:r>
    </w:p>
    <w:p w14:paraId="64277010">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（1）规划目标</w:t>
      </w:r>
    </w:p>
    <w:p w14:paraId="5802FF9C">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建立区域性的垃圾无害化处理系统，形成垃圾分类、收集—处理—发电的废物再生利用系统，实现垃圾的无害化、减量化和资源化。</w:t>
      </w:r>
    </w:p>
    <w:p w14:paraId="0614EFCC">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（2）垃圾产生量预测</w:t>
      </w:r>
    </w:p>
    <w:p w14:paraId="6C401CB4">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2030年园区人均垃圾量按1.1千克/人•日计算，至2030年，生活垃圾产量约440吨/日。</w:t>
      </w:r>
    </w:p>
    <w:p w14:paraId="729A1D0C">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（3）处理方式</w:t>
      </w:r>
    </w:p>
    <w:p w14:paraId="1D5958B6">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工业区生活垃圾采用分类回收并进行垃圾密闭化处理，生活垃圾无害化处理率及清运率均应达到100%。</w:t>
      </w:r>
    </w:p>
    <w:p w14:paraId="07AD01A2">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（4）处理设施</w:t>
      </w:r>
    </w:p>
    <w:p w14:paraId="13244A3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规划范围内共设置固定式垃圾转运站5座，移动式垃圾转运站可根据实际需要，结合防护绿地综合设置。所有垃圾必须封闭式运输。</w:t>
      </w:r>
    </w:p>
    <w:p w14:paraId="723FF9D1">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（5）收集设施</w:t>
      </w:r>
    </w:p>
    <w:p w14:paraId="1B5FBEF7">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规划要求生活垃圾逐步采用分类收集，减少垃圾处理量；实现垃圾收运的分类化、容器化、密闭化和机械化。危险废弃物必须单独收集、运输和处理。</w:t>
      </w:r>
    </w:p>
    <w:p w14:paraId="432DBCE8">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（6）转运设施</w:t>
      </w:r>
    </w:p>
    <w:p w14:paraId="4CB4EC71">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小型转运站的一般设置标准为服务半径0.8-1公里、服务面积2-3平方公里，占地面积200-2000平方米。逐步建设中型垃圾转运站。</w:t>
      </w:r>
    </w:p>
    <w:p w14:paraId="53DF94EC">
      <w:pPr>
        <w:widowControl w:val="0"/>
        <w:autoSpaceDE w:val="0"/>
        <w:autoSpaceDN w:val="0"/>
        <w:spacing w:line="360" w:lineRule="auto"/>
        <w:ind w:firstLine="480" w:firstLineChars="200"/>
        <w:jc w:val="both"/>
        <w:rPr>
          <w:rFonts w:ascii="Times New Roman Regular" w:hAnsi="Times New Roman Regular" w:cs="Times New Roman Regular"/>
          <w:color w:val="auto"/>
          <w:sz w:val="24"/>
          <w:szCs w:val="24"/>
          <w:lang w:val="zh-CN" w:bidi="zh-CN"/>
        </w:rPr>
      </w:pPr>
      <w:r>
        <w:rPr>
          <w:rFonts w:ascii="Times New Roman Regular" w:hAnsi="Times New Roman Regular" w:cs="Times New Roman Regular"/>
          <w:color w:val="auto"/>
          <w:sz w:val="24"/>
          <w:szCs w:val="24"/>
          <w:lang w:val="zh-CN" w:bidi="zh-CN"/>
        </w:rPr>
        <w:t>（7）公共厕所</w:t>
      </w:r>
    </w:p>
    <w:p w14:paraId="436114D3">
      <w:pPr>
        <w:widowControl w:val="0"/>
        <w:autoSpaceDE w:val="0"/>
        <w:autoSpaceDN w:val="0"/>
        <w:spacing w:line="360" w:lineRule="auto"/>
        <w:ind w:firstLine="480" w:firstLineChars="200"/>
        <w:jc w:val="both"/>
        <w:rPr>
          <w:color w:val="auto"/>
        </w:rPr>
      </w:pPr>
      <w:r>
        <w:rPr>
          <w:rFonts w:ascii="Times New Roman Regular" w:hAnsi="Times New Roman Regular" w:cs="Times New Roman Regular"/>
          <w:color w:val="auto"/>
          <w:sz w:val="24"/>
          <w:szCs w:val="24"/>
          <w:lang w:val="zh-CN" w:bidi="zh-CN"/>
        </w:rPr>
        <w:t>公共厕所：平均设置密度为4座/平方公里，各类城市用地公共厕所的设置标准应符合《</w:t>
      </w:r>
      <w:r>
        <w:rPr>
          <w:rFonts w:hint="eastAsia" w:ascii="Times New Roman Regular" w:hAnsi="Times New Roman Regular" w:cs="Times New Roman Regular"/>
          <w:color w:val="auto"/>
          <w:sz w:val="24"/>
          <w:szCs w:val="24"/>
          <w:lang w:val="zh-CN" w:bidi="zh-CN"/>
        </w:rPr>
        <w:t>城市环境卫生设施规划标准</w:t>
      </w:r>
      <w:r>
        <w:rPr>
          <w:rFonts w:ascii="Times New Roman Regular" w:hAnsi="Times New Roman Regular" w:cs="Times New Roman Regular"/>
          <w:color w:val="auto"/>
          <w:sz w:val="24"/>
          <w:szCs w:val="24"/>
          <w:lang w:val="zh-CN" w:bidi="zh-CN"/>
        </w:rPr>
        <w:t>》</w:t>
      </w:r>
      <w:r>
        <w:rPr>
          <w:rFonts w:hint="eastAsia" w:ascii="Times New Roman Regular" w:hAnsi="Times New Roman Regular" w:cs="Times New Roman Regular"/>
          <w:color w:val="auto"/>
          <w:sz w:val="24"/>
          <w:szCs w:val="24"/>
          <w:lang w:val="zh-CN" w:bidi="zh-CN"/>
        </w:rPr>
        <w:t>GB/T 50337-2018</w:t>
      </w:r>
      <w:r>
        <w:rPr>
          <w:rFonts w:ascii="Times New Roman Regular" w:hAnsi="Times New Roman Regular" w:cs="Times New Roman Regular"/>
          <w:color w:val="auto"/>
          <w:sz w:val="24"/>
          <w:szCs w:val="24"/>
          <w:lang w:val="zh-CN" w:bidi="zh-CN"/>
        </w:rPr>
        <w:t>商业区、市场、客运交通枢纽、体育文化场馆、广场、大型社会停车场、公园等人流集散场所附近，以及人流较多的道路沿线、大型公共建筑及公共活动场所附近，应设置公共厕所。</w:t>
      </w:r>
    </w:p>
    <w:p w14:paraId="7E68BC7D">
      <w:pPr>
        <w:numPr>
          <w:ilvl w:val="2"/>
          <w:numId w:val="1"/>
        </w:numPr>
        <w:outlineLvl w:val="2"/>
        <w:rPr>
          <w:rFonts w:eastAsia="黑体"/>
          <w:b/>
          <w:color w:val="auto"/>
          <w:sz w:val="26"/>
        </w:rPr>
      </w:pPr>
      <w:r>
        <w:rPr>
          <w:rFonts w:hint="eastAsia" w:eastAsia="黑体"/>
          <w:b/>
          <w:color w:val="auto"/>
          <w:sz w:val="26"/>
        </w:rPr>
        <w:t>区域污染源调查</w:t>
      </w:r>
    </w:p>
    <w:p w14:paraId="1313FF73">
      <w:pPr>
        <w:spacing w:line="360" w:lineRule="auto"/>
        <w:ind w:firstLine="480" w:firstLineChars="200"/>
        <w:jc w:val="both"/>
        <w:rPr>
          <w:color w:val="auto"/>
          <w:sz w:val="24"/>
          <w:szCs w:val="24"/>
        </w:rPr>
      </w:pPr>
      <w:r>
        <w:rPr>
          <w:rFonts w:hint="eastAsia"/>
          <w:color w:val="auto"/>
          <w:sz w:val="24"/>
          <w:szCs w:val="24"/>
        </w:rPr>
        <w:t>通过对投产运营33家（包括一个污水处理厂）企业提供的环评报告书和验收报告等资料进行分析。</w:t>
      </w:r>
    </w:p>
    <w:p w14:paraId="013B91F5">
      <w:pPr>
        <w:spacing w:line="360" w:lineRule="auto"/>
        <w:ind w:firstLine="480" w:firstLineChars="200"/>
        <w:jc w:val="both"/>
        <w:rPr>
          <w:rFonts w:hint="eastAsia" w:ascii="仿宋" w:hAnsi="仿宋" w:cs="仿宋"/>
          <w:color w:val="auto"/>
          <w:sz w:val="24"/>
          <w:szCs w:val="24"/>
        </w:rPr>
      </w:pPr>
      <w:r>
        <w:rPr>
          <w:rFonts w:hint="eastAsia"/>
          <w:color w:val="auto"/>
          <w:sz w:val="24"/>
          <w:szCs w:val="24"/>
        </w:rPr>
        <w:t>甘泉堡工业园园区内企业目前烟尘排放总量为2007吨/年，SO</w:t>
      </w:r>
      <w:r>
        <w:rPr>
          <w:rFonts w:hint="eastAsia"/>
          <w:color w:val="auto"/>
          <w:sz w:val="24"/>
          <w:szCs w:val="24"/>
          <w:vertAlign w:val="subscript"/>
        </w:rPr>
        <w:t>2</w:t>
      </w:r>
      <w:r>
        <w:rPr>
          <w:rFonts w:hint="eastAsia"/>
          <w:color w:val="auto"/>
          <w:sz w:val="24"/>
          <w:szCs w:val="24"/>
        </w:rPr>
        <w:t>排放总量为17227t/a，NOx排放总量为11462t/a；污水排放量为2440万m</w:t>
      </w:r>
      <w:r>
        <w:rPr>
          <w:rFonts w:hint="eastAsia"/>
          <w:color w:val="auto"/>
          <w:sz w:val="24"/>
          <w:szCs w:val="24"/>
          <w:vertAlign w:val="superscript"/>
        </w:rPr>
        <w:t>3</w:t>
      </w:r>
      <w:r>
        <w:rPr>
          <w:rFonts w:hint="eastAsia"/>
          <w:color w:val="auto"/>
          <w:sz w:val="24"/>
          <w:szCs w:val="24"/>
        </w:rPr>
        <w:t>/a；一般固体废弃产生量405752t/a；工业固废出售给新型建材等企业进行回收利用，生活垃圾全部无害化填埋处理。危险废物产生量114868t/a，由企业交由有资质的单位进行处理。</w:t>
      </w:r>
    </w:p>
    <w:p w14:paraId="655B19CD">
      <w:pPr>
        <w:spacing w:line="360" w:lineRule="auto"/>
        <w:ind w:firstLine="480" w:firstLineChars="200"/>
        <w:jc w:val="both"/>
        <w:rPr>
          <w:color w:val="auto"/>
          <w:sz w:val="24"/>
          <w:szCs w:val="24"/>
        </w:rPr>
      </w:pPr>
      <w:r>
        <w:rPr>
          <w:rFonts w:hint="eastAsia"/>
          <w:color w:val="auto"/>
          <w:sz w:val="24"/>
          <w:szCs w:val="24"/>
        </w:rPr>
        <w:t>区域污染源调查见表4.3-1。</w:t>
      </w:r>
    </w:p>
    <w:p w14:paraId="72F9B758">
      <w:pPr>
        <w:pStyle w:val="132"/>
        <w:rPr>
          <w:color w:val="auto"/>
        </w:rPr>
      </w:pPr>
    </w:p>
    <w:p w14:paraId="5A6339AA">
      <w:pPr>
        <w:pStyle w:val="3"/>
        <w:rPr>
          <w:rFonts w:ascii="Arial" w:hAnsi="Arial"/>
          <w:color w:val="auto"/>
        </w:rPr>
      </w:pPr>
      <w:bookmarkStart w:id="267" w:name="_Toc229930134"/>
      <w:r>
        <w:rPr>
          <w:rFonts w:hint="eastAsia"/>
          <w:color w:val="auto"/>
        </w:rPr>
        <w:t>化工园区基础设施建设及运行情况</w:t>
      </w:r>
      <w:bookmarkEnd w:id="267"/>
    </w:p>
    <w:p w14:paraId="2BA81C28">
      <w:pPr>
        <w:pStyle w:val="4"/>
        <w:rPr>
          <w:color w:val="auto"/>
        </w:rPr>
      </w:pPr>
      <w:r>
        <w:rPr>
          <w:rFonts w:hint="eastAsia"/>
          <w:color w:val="auto"/>
        </w:rPr>
        <w:t>给水工程</w:t>
      </w:r>
    </w:p>
    <w:p w14:paraId="6B4CE57F">
      <w:pPr>
        <w:pStyle w:val="132"/>
        <w:rPr>
          <w:rFonts w:hint="eastAsia" w:ascii="宋体" w:hAnsi="宋体"/>
          <w:color w:val="auto"/>
        </w:rPr>
      </w:pPr>
      <w:r>
        <w:rPr>
          <w:rFonts w:hint="eastAsia" w:ascii="宋体" w:hAnsi="宋体"/>
          <w:color w:val="auto"/>
        </w:rPr>
        <w:t>甘泉堡经开区目前有2座净水厂，其中一水厂已投入使用，二水厂在建。有提升泵站一处，主要提升水库原水，用于工业用水。</w:t>
      </w:r>
    </w:p>
    <w:p w14:paraId="000D3778">
      <w:pPr>
        <w:pStyle w:val="132"/>
        <w:rPr>
          <w:rFonts w:hint="eastAsia" w:ascii="宋体" w:hAnsi="宋体"/>
          <w:color w:val="auto"/>
        </w:rPr>
      </w:pPr>
      <w:r>
        <w:rPr>
          <w:rFonts w:hint="eastAsia" w:ascii="宋体" w:hAnsi="宋体"/>
          <w:color w:val="auto"/>
        </w:rPr>
        <w:t>甘泉堡经开区的主要道路甘泉堡路、瀚海街、四通路、月恒街、甘津路、众欣街（汀泉路）、博润路、净明东街、春晓路、云泉东街、南部物流园等道路已修建道路均已敷设给水管线，并且和润水业为园区用水主要工业敷设了源水输水管线。</w:t>
      </w:r>
    </w:p>
    <w:p w14:paraId="1615B3AA">
      <w:pPr>
        <w:pStyle w:val="132"/>
        <w:rPr>
          <w:rFonts w:hint="eastAsia" w:ascii="宋体" w:hAnsi="宋体"/>
          <w:color w:val="auto"/>
        </w:rPr>
      </w:pPr>
      <w:r>
        <w:rPr>
          <w:rFonts w:hint="eastAsia" w:ascii="宋体" w:hAnsi="宋体"/>
          <w:color w:val="auto"/>
        </w:rPr>
        <w:t>目前，化工园区内的企业用水均来源于一水厂。</w:t>
      </w:r>
    </w:p>
    <w:p w14:paraId="599A35A8">
      <w:pPr>
        <w:pStyle w:val="4"/>
        <w:rPr>
          <w:color w:val="auto"/>
        </w:rPr>
      </w:pPr>
      <w:r>
        <w:rPr>
          <w:rFonts w:hint="eastAsia"/>
          <w:color w:val="auto"/>
        </w:rPr>
        <w:t>排水工程</w:t>
      </w:r>
    </w:p>
    <w:p w14:paraId="0C095EAC">
      <w:pPr>
        <w:pStyle w:val="132"/>
        <w:rPr>
          <w:color w:val="auto"/>
        </w:rPr>
      </w:pPr>
      <w:r>
        <w:rPr>
          <w:rFonts w:hint="eastAsia"/>
          <w:color w:val="auto"/>
        </w:rPr>
        <w:t>甘泉堡工业园区内目前已建成甘泉堡南区污水处理厂1座，甘泉堡南区污水处理厂位于禾润街，主要接收甘泉堡园区内经处理过后的生产废水及生活污水。污水处理工程建设规模为10.5万m</w:t>
      </w:r>
      <w:r>
        <w:rPr>
          <w:rFonts w:hint="eastAsia"/>
          <w:color w:val="auto"/>
          <w:vertAlign w:val="superscript"/>
        </w:rPr>
        <w:t>3</w:t>
      </w:r>
      <w:r>
        <w:rPr>
          <w:rFonts w:hint="eastAsia"/>
          <w:color w:val="auto"/>
        </w:rPr>
        <w:t>/d，采用A</w:t>
      </w:r>
      <w:r>
        <w:rPr>
          <w:rFonts w:hint="eastAsia"/>
          <w:color w:val="auto"/>
          <w:vertAlign w:val="superscript"/>
        </w:rPr>
        <w:t>2</w:t>
      </w:r>
      <w:r>
        <w:rPr>
          <w:rFonts w:hint="eastAsia"/>
          <w:color w:val="auto"/>
        </w:rPr>
        <w:t>/O+MBR膜生物处理+次氯酸钠消毒。2022年甘泉堡</w:t>
      </w:r>
      <w:r>
        <w:rPr>
          <w:rFonts w:hint="eastAsia"/>
          <w:color w:val="auto"/>
          <w:lang w:val="en-US" w:eastAsia="zh-CN"/>
        </w:rPr>
        <w:t>南区</w:t>
      </w:r>
      <w:r>
        <w:rPr>
          <w:rFonts w:hint="eastAsia"/>
          <w:color w:val="auto"/>
        </w:rPr>
        <w:t>污水处理厂全年累计处理水量为2259.8268万方，日均处理量为6.1913万方。众欣街（汀泉路）、博润路、渠水街、净明东街、月恒街、四通路等化工园区周边道路已敷设排水管线。2015年12月30日甘泉堡南区污水处理厂取得了《关于甘泉堡工业园区污水处理及中水循环利用工程竣工环保验收意见》（乌环验〔2015〕248号），主要污染物pH、BOD</w:t>
      </w:r>
      <w:r>
        <w:rPr>
          <w:rFonts w:hint="eastAsia"/>
          <w:color w:val="auto"/>
          <w:vertAlign w:val="subscript"/>
        </w:rPr>
        <w:t>5</w:t>
      </w:r>
      <w:r>
        <w:rPr>
          <w:rFonts w:hint="eastAsia"/>
          <w:color w:val="auto"/>
        </w:rPr>
        <w:t>、CODcr、氨氮、总磷执行《地表水环境质量标准》(GB3838-2002)Ⅳ类水质标准；悬浮物、浊度、粪大肠杆菌执行《城市污水再生利用景观环境用水水质》(GB/T18921-2002)相关标准；其他污染物执行《城镇污水处理厂污染物排放标准》(GB18918-2002)一级A标准，处理达标的水全部排入北沙窝，用于荒漠林灌溉。</w:t>
      </w:r>
    </w:p>
    <w:p w14:paraId="5E819851">
      <w:pPr>
        <w:pStyle w:val="132"/>
        <w:rPr>
          <w:color w:val="auto"/>
        </w:rPr>
      </w:pPr>
      <w:r>
        <w:rPr>
          <w:rFonts w:hint="eastAsia"/>
          <w:color w:val="auto"/>
        </w:rPr>
        <w:t>甘泉堡南区污水处理厂2023年9月20日完成排污许可证变更，有效期为2021年12月21日至2026年12月20日。</w:t>
      </w:r>
    </w:p>
    <w:p w14:paraId="2CBD3F3B">
      <w:pPr>
        <w:pStyle w:val="4"/>
        <w:rPr>
          <w:color w:val="auto"/>
        </w:rPr>
      </w:pPr>
      <w:r>
        <w:rPr>
          <w:rFonts w:hint="eastAsia"/>
          <w:color w:val="auto"/>
        </w:rPr>
        <w:t>供电工程</w:t>
      </w:r>
    </w:p>
    <w:p w14:paraId="732F922C">
      <w:pPr>
        <w:pStyle w:val="132"/>
        <w:rPr>
          <w:color w:val="auto"/>
        </w:rPr>
      </w:pPr>
      <w:r>
        <w:rPr>
          <w:rFonts w:hint="eastAsia"/>
          <w:color w:val="auto"/>
        </w:rPr>
        <w:t>甘泉堡经开区外现状已建成公用750kV变电站2座（乌北750kV变电站、五家渠变电站）；甘泉堡经开区内现状已建成公用220kV变电站5座（龙岗变电站、博格达变电站、准噶尔变电站、合盛变电站、硅业变电站）。</w:t>
      </w:r>
    </w:p>
    <w:p w14:paraId="030796BA">
      <w:pPr>
        <w:pStyle w:val="132"/>
        <w:rPr>
          <w:color w:val="auto"/>
        </w:rPr>
      </w:pPr>
      <w:r>
        <w:rPr>
          <w:rFonts w:hint="eastAsia"/>
          <w:color w:val="auto"/>
        </w:rPr>
        <w:t>化工园区规划范围内目前仅国家能源集团新疆化工有限公司正在生产，该公司的供电由企业自备电厂进行供电，主要配备2台抽凝电机，2台供热电机，装机容量60MW×2+20MW×2（余热机组）。</w:t>
      </w:r>
    </w:p>
    <w:p w14:paraId="552E110C">
      <w:pPr>
        <w:pStyle w:val="4"/>
        <w:rPr>
          <w:color w:val="auto"/>
        </w:rPr>
      </w:pPr>
      <w:r>
        <w:rPr>
          <w:rFonts w:hint="eastAsia"/>
          <w:color w:val="auto"/>
        </w:rPr>
        <w:t>供热工程</w:t>
      </w:r>
    </w:p>
    <w:p w14:paraId="6350CB08">
      <w:pPr>
        <w:pStyle w:val="132"/>
        <w:rPr>
          <w:color w:val="auto"/>
        </w:rPr>
      </w:pPr>
      <w:r>
        <w:rPr>
          <w:rFonts w:hint="eastAsia"/>
          <w:color w:val="auto"/>
        </w:rPr>
        <w:t>化工园区规划范围内目前仅国家能源集团新疆化工有限公司正在生产，该公司的供热由企业自身的燃煤锅炉房进行供热，供热规模为4×480t。</w:t>
      </w:r>
    </w:p>
    <w:p w14:paraId="2D89E24D">
      <w:pPr>
        <w:pStyle w:val="4"/>
        <w:rPr>
          <w:color w:val="auto"/>
        </w:rPr>
      </w:pPr>
      <w:r>
        <w:rPr>
          <w:rFonts w:hint="eastAsia"/>
          <w:color w:val="auto"/>
        </w:rPr>
        <w:t>燃气工程</w:t>
      </w:r>
    </w:p>
    <w:p w14:paraId="1DBB6922">
      <w:pPr>
        <w:pStyle w:val="132"/>
        <w:rPr>
          <w:color w:val="auto"/>
        </w:rPr>
      </w:pPr>
      <w:r>
        <w:rPr>
          <w:rFonts w:hint="eastAsia"/>
          <w:color w:val="auto"/>
        </w:rPr>
        <w:t>甘泉堡工业园已建成一座门站，即新捷门站，通过甘泉堡南部的彩乌线接入门站调压后经管网输送至下游用户。</w:t>
      </w:r>
    </w:p>
    <w:p w14:paraId="39BD09EE">
      <w:pPr>
        <w:pStyle w:val="4"/>
        <w:rPr>
          <w:color w:val="auto"/>
        </w:rPr>
      </w:pPr>
      <w:r>
        <w:rPr>
          <w:rFonts w:hint="eastAsia"/>
          <w:color w:val="auto"/>
        </w:rPr>
        <w:t>固体废物处置处理工程</w:t>
      </w:r>
    </w:p>
    <w:p w14:paraId="2432BB5E">
      <w:pPr>
        <w:pStyle w:val="132"/>
        <w:rPr>
          <w:color w:val="auto"/>
        </w:rPr>
      </w:pPr>
      <w:r>
        <w:rPr>
          <w:rFonts w:hint="eastAsia"/>
          <w:color w:val="auto"/>
        </w:rPr>
        <w:t>甘泉堡工业园未设置垃圾转运站。甘泉堡工业园垃圾成分主要表现为生活垃圾、一般工业固废、危险废物。</w:t>
      </w:r>
    </w:p>
    <w:p w14:paraId="494AB8B3">
      <w:pPr>
        <w:pStyle w:val="132"/>
        <w:rPr>
          <w:color w:val="auto"/>
        </w:rPr>
      </w:pPr>
      <w:r>
        <w:rPr>
          <w:rFonts w:hint="eastAsia"/>
          <w:color w:val="auto"/>
        </w:rPr>
        <w:t>（1）生活垃圾</w:t>
      </w:r>
    </w:p>
    <w:p w14:paraId="529C83AB">
      <w:pPr>
        <w:pStyle w:val="132"/>
        <w:rPr>
          <w:color w:val="auto"/>
        </w:rPr>
      </w:pPr>
      <w:r>
        <w:rPr>
          <w:rFonts w:hint="eastAsia"/>
          <w:color w:val="auto"/>
        </w:rPr>
        <w:t>生活垃圾由企业、市政进行运输，统一运送至米东区大黑沟垃圾处理厂进行处理。</w:t>
      </w:r>
    </w:p>
    <w:p w14:paraId="59740C63">
      <w:pPr>
        <w:pStyle w:val="132"/>
        <w:rPr>
          <w:color w:val="auto"/>
        </w:rPr>
      </w:pPr>
      <w:r>
        <w:rPr>
          <w:rFonts w:hint="eastAsia"/>
          <w:color w:val="auto"/>
        </w:rPr>
        <w:t>（2）一般工业固体废物</w:t>
      </w:r>
    </w:p>
    <w:p w14:paraId="540C26ED">
      <w:pPr>
        <w:pStyle w:val="132"/>
        <w:rPr>
          <w:color w:val="auto"/>
        </w:rPr>
      </w:pPr>
      <w:r>
        <w:rPr>
          <w:rFonts w:hint="eastAsia"/>
          <w:color w:val="auto"/>
        </w:rPr>
        <w:t>一般工业固体废物优先考虑综合利用，无法利用的交甘泉堡固废综合处置静脉产业园处置。甘泉堡固废综合处置静脉产业园位于甘泉堡工业园北部（地理坐标为</w:t>
      </w:r>
      <w:r>
        <w:rPr>
          <w:color w:val="auto"/>
        </w:rPr>
        <w:t>N44°18′47.76″，E87°47′11.14″</w:t>
      </w:r>
      <w:r>
        <w:rPr>
          <w:rFonts w:hint="eastAsia"/>
          <w:color w:val="auto"/>
        </w:rPr>
        <w:t>），甘泉堡固废综合处置静脉产业园一般工业固废贮存、处置场项目分二期建设，一期建设固废贮存场，二期建设处置工程。一期工程已于2014年12月23日取得原乌鲁木齐市环境保护局《关于甘泉堡固废综合处置静脉产业园一般工业固废贮存、处置场一期工程环境影响报告书》的批复（乌环评审〔2014〕383号），建设尚未完成，目前仅建设了部分汽化炉渣贮存区，用于临时暂存约20万m</w:t>
      </w:r>
      <w:r>
        <w:rPr>
          <w:rFonts w:hint="eastAsia"/>
          <w:color w:val="auto"/>
          <w:vertAlign w:val="superscript"/>
        </w:rPr>
        <w:t>3</w:t>
      </w:r>
      <w:r>
        <w:rPr>
          <w:rFonts w:hint="eastAsia"/>
          <w:color w:val="auto"/>
        </w:rPr>
        <w:t>待处置的汽化炉渣，未开展验收。二期工程，是利用甘泉堡工业园内气化炉渣生产土壤改良营养基质和蒸压砖。二期工程已于2019年8月21日取得乌鲁木齐市生态环境局《关于甘泉堡经济技术开发区固废处置静脉产业园（PPP）建设项目环境影响报告表》的批复（乌环评审〔2019〕252号），目前建设尚未完成，未开展验收。</w:t>
      </w:r>
    </w:p>
    <w:p w14:paraId="713E40B0">
      <w:pPr>
        <w:pStyle w:val="132"/>
        <w:rPr>
          <w:color w:val="auto"/>
        </w:rPr>
      </w:pPr>
      <w:r>
        <w:rPr>
          <w:rFonts w:hint="eastAsia"/>
          <w:color w:val="auto"/>
        </w:rPr>
        <w:t>目前化工园区规划范围内目前仅国家能源集团新疆化工有限公司正在生产，根据《神华新疆68万吨/年煤基新材料项目环境影响后评价报告书》，国家能源集团新疆化工有限公司产生的一般工业固废物主要为气化渣、锅炉渣、石灰污泥、粉煤灰和结晶盐，均已委托新疆云润循环经济有限公司及乌鲁木齐米东区宏帅矸石厂等企业进行处理。</w:t>
      </w:r>
    </w:p>
    <w:p w14:paraId="7C44A408">
      <w:pPr>
        <w:pStyle w:val="132"/>
        <w:rPr>
          <w:color w:val="auto"/>
        </w:rPr>
      </w:pPr>
      <w:r>
        <w:rPr>
          <w:rFonts w:hint="eastAsia"/>
          <w:color w:val="auto"/>
        </w:rPr>
        <w:t>（3）危险废物</w:t>
      </w:r>
    </w:p>
    <w:p w14:paraId="7055D019">
      <w:pPr>
        <w:pStyle w:val="132"/>
        <w:rPr>
          <w:color w:val="auto"/>
        </w:rPr>
      </w:pPr>
      <w:r>
        <w:rPr>
          <w:rFonts w:hint="eastAsia"/>
          <w:color w:val="auto"/>
        </w:rPr>
        <w:t>现状企业仅国家能源集团新疆化工有限公司正在生产，产生的危险废物由企业委托有相应危险废物处理资质的单位进行处理。有毒有害的残液、残渣也已按照《危险废物贮存污染控制标准》（GB18597-2023）中的规定执行，存放于防腐、防漏容器中，密封存放，按照环保部门要求进行处置。</w:t>
      </w:r>
    </w:p>
    <w:p w14:paraId="0AA4843A">
      <w:pPr>
        <w:pStyle w:val="4"/>
        <w:rPr>
          <w:color w:val="auto"/>
        </w:rPr>
      </w:pPr>
      <w:r>
        <w:rPr>
          <w:rFonts w:hint="eastAsia"/>
          <w:color w:val="auto"/>
        </w:rPr>
        <w:t>水环境</w:t>
      </w:r>
    </w:p>
    <w:p w14:paraId="64716EA6">
      <w:pPr>
        <w:pStyle w:val="132"/>
        <w:rPr>
          <w:color w:val="auto"/>
        </w:rPr>
      </w:pPr>
      <w:r>
        <w:rPr>
          <w:rFonts w:hint="eastAsia"/>
          <w:color w:val="auto"/>
        </w:rPr>
        <w:t>地表水质执行《地表水环境质量标准》（GB3838-2002）中</w:t>
      </w:r>
      <w:r>
        <w:rPr>
          <w:color w:val="auto"/>
        </w:rPr>
        <w:t>Ⅲ</w:t>
      </w:r>
      <w:r>
        <w:rPr>
          <w:rFonts w:hint="eastAsia"/>
          <w:color w:val="auto"/>
        </w:rPr>
        <w:t>类标准，地下水参照执行《地下水质量标准》（GB/T14848-2017）</w:t>
      </w:r>
      <w:r>
        <w:rPr>
          <w:color w:val="auto"/>
        </w:rPr>
        <w:t>Ⅲ</w:t>
      </w:r>
      <w:r>
        <w:rPr>
          <w:rFonts w:hint="eastAsia"/>
          <w:color w:val="auto"/>
        </w:rPr>
        <w:t>类标准。</w:t>
      </w:r>
    </w:p>
    <w:p w14:paraId="6EAEBE61">
      <w:pPr>
        <w:pStyle w:val="4"/>
        <w:rPr>
          <w:color w:val="auto"/>
        </w:rPr>
      </w:pPr>
      <w:r>
        <w:rPr>
          <w:rFonts w:hint="eastAsia"/>
          <w:color w:val="auto"/>
        </w:rPr>
        <w:t>大气环境</w:t>
      </w:r>
    </w:p>
    <w:p w14:paraId="40CA748B">
      <w:pPr>
        <w:pStyle w:val="132"/>
        <w:rPr>
          <w:color w:val="auto"/>
        </w:rPr>
      </w:pPr>
      <w:r>
        <w:rPr>
          <w:rFonts w:hint="eastAsia"/>
          <w:color w:val="auto"/>
        </w:rPr>
        <w:t>园区环境空气质量执行《环境空气质量标准》（GB3095-2012）及其修改单二级标准。</w:t>
      </w:r>
    </w:p>
    <w:p w14:paraId="31E5C227">
      <w:pPr>
        <w:pStyle w:val="4"/>
        <w:rPr>
          <w:color w:val="auto"/>
        </w:rPr>
      </w:pPr>
      <w:r>
        <w:rPr>
          <w:rFonts w:hint="eastAsia"/>
          <w:color w:val="auto"/>
        </w:rPr>
        <w:t>声环境</w:t>
      </w:r>
    </w:p>
    <w:p w14:paraId="56561AD9">
      <w:pPr>
        <w:pStyle w:val="132"/>
        <w:rPr>
          <w:color w:val="auto"/>
        </w:rPr>
      </w:pPr>
      <w:r>
        <w:rPr>
          <w:rFonts w:hint="eastAsia"/>
          <w:color w:val="auto"/>
        </w:rPr>
        <w:t>声环境应符合《声环境质量标准》（GB3096-2008），噪声达标区覆盖率达到100%。</w:t>
      </w:r>
    </w:p>
    <w:p w14:paraId="4050D804">
      <w:pPr>
        <w:widowControl w:val="0"/>
        <w:spacing w:line="360" w:lineRule="auto"/>
        <w:jc w:val="both"/>
        <w:rPr>
          <w:color w:val="auto"/>
          <w:kern w:val="2"/>
          <w:sz w:val="24"/>
          <w:szCs w:val="24"/>
        </w:rPr>
      </w:pPr>
      <w:r>
        <w:rPr>
          <w:color w:val="auto"/>
          <w:kern w:val="2"/>
          <w:sz w:val="24"/>
          <w:szCs w:val="24"/>
        </w:rPr>
        <w:t xml:space="preserve"> </w:t>
      </w:r>
    </w:p>
    <w:p w14:paraId="787BDB7B">
      <w:pPr>
        <w:widowControl w:val="0"/>
        <w:spacing w:line="360" w:lineRule="auto"/>
        <w:jc w:val="both"/>
        <w:rPr>
          <w:color w:val="auto"/>
          <w:kern w:val="2"/>
          <w:sz w:val="24"/>
          <w:szCs w:val="24"/>
        </w:rPr>
      </w:pPr>
      <w:r>
        <w:rPr>
          <w:color w:val="auto"/>
          <w:kern w:val="2"/>
          <w:sz w:val="24"/>
          <w:szCs w:val="24"/>
        </w:rPr>
        <w:t xml:space="preserve"> </w:t>
      </w:r>
    </w:p>
    <w:p w14:paraId="429FE935">
      <w:pPr>
        <w:widowControl w:val="0"/>
        <w:spacing w:line="360" w:lineRule="auto"/>
        <w:jc w:val="both"/>
        <w:rPr>
          <w:color w:val="auto"/>
          <w:kern w:val="2"/>
          <w:sz w:val="24"/>
          <w:szCs w:val="24"/>
        </w:rPr>
      </w:pPr>
      <w:r>
        <w:rPr>
          <w:color w:val="auto"/>
          <w:kern w:val="2"/>
          <w:sz w:val="24"/>
          <w:szCs w:val="24"/>
        </w:rPr>
        <w:t xml:space="preserve"> </w:t>
      </w:r>
    </w:p>
    <w:p w14:paraId="0BC262E9">
      <w:pPr>
        <w:rPr>
          <w:color w:val="auto"/>
          <w:kern w:val="2"/>
          <w:sz w:val="24"/>
          <w:szCs w:val="24"/>
        </w:rPr>
        <w:sectPr>
          <w:type w:val="continuous"/>
          <w:pgSz w:w="11906" w:h="16838"/>
          <w:pgMar w:top="1440" w:right="1588" w:bottom="1389" w:left="1588" w:header="851" w:footer="992" w:gutter="0"/>
          <w:cols w:space="720" w:num="1"/>
          <w:docGrid w:type="lines" w:linePitch="312" w:charSpace="0"/>
        </w:sectPr>
      </w:pPr>
    </w:p>
    <w:p w14:paraId="37DD0862">
      <w:pPr>
        <w:pStyle w:val="3"/>
        <w:rPr>
          <w:color w:val="auto"/>
        </w:rPr>
      </w:pPr>
      <w:bookmarkStart w:id="268" w:name="_Toc229930136"/>
      <w:r>
        <w:rPr>
          <w:color w:val="auto"/>
        </w:rPr>
        <w:t>环境空气质量现状调查与评价</w:t>
      </w:r>
      <w:bookmarkEnd w:id="268"/>
    </w:p>
    <w:p w14:paraId="35976959">
      <w:pPr>
        <w:pStyle w:val="4"/>
        <w:rPr>
          <w:color w:val="auto"/>
        </w:rPr>
      </w:pPr>
      <w:r>
        <w:rPr>
          <w:color w:val="auto"/>
        </w:rPr>
        <w:t>基本污染物环境质量现状调查与评价</w:t>
      </w:r>
    </w:p>
    <w:p w14:paraId="0CB15BB1">
      <w:pPr>
        <w:pStyle w:val="5"/>
        <w:rPr>
          <w:color w:val="auto"/>
        </w:rPr>
      </w:pPr>
      <w:r>
        <w:rPr>
          <w:rFonts w:hint="eastAsia"/>
          <w:color w:val="auto"/>
        </w:rPr>
        <w:t>区域达标性判定</w:t>
      </w:r>
    </w:p>
    <w:p w14:paraId="0B175F69">
      <w:pPr>
        <w:pStyle w:val="132"/>
        <w:rPr>
          <w:color w:val="auto"/>
        </w:rPr>
      </w:pPr>
      <w:r>
        <w:rPr>
          <w:rFonts w:hint="eastAsia"/>
          <w:color w:val="auto"/>
        </w:rPr>
        <w:t>根据生态环境部环境工程评估中心下设基于互联网的环境影响评价技术服务平台（http://cloud.lem.org.cn/）发布的乌鲁木齐市2024年SO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年均浓度以及CO 24小时平均第95百分位数、O</w:t>
      </w:r>
      <w:r>
        <w:rPr>
          <w:rFonts w:hint="eastAsia"/>
          <w:color w:val="auto"/>
          <w:vertAlign w:val="subscript"/>
        </w:rPr>
        <w:t>3</w:t>
      </w:r>
      <w:r>
        <w:rPr>
          <w:rFonts w:hint="eastAsia"/>
          <w:color w:val="auto"/>
        </w:rPr>
        <w:t>日最大8小时平均第90百分位数等数据判定，2024年乌鲁木齐市环境空气质量为达标区，故本项目所在区域也为达标区。</w:t>
      </w:r>
    </w:p>
    <w:p w14:paraId="1AB3E4E9">
      <w:pPr>
        <w:pStyle w:val="4"/>
        <w:rPr>
          <w:color w:val="auto"/>
        </w:rPr>
      </w:pPr>
      <w:r>
        <w:rPr>
          <w:rFonts w:hint="eastAsia"/>
          <w:color w:val="auto"/>
        </w:rPr>
        <w:t>其他污染物环境质量现状评价</w:t>
      </w:r>
    </w:p>
    <w:p w14:paraId="0261871B">
      <w:pPr>
        <w:pStyle w:val="132"/>
        <w:rPr>
          <w:color w:val="auto"/>
        </w:rPr>
      </w:pPr>
      <w:r>
        <w:rPr>
          <w:color w:val="auto"/>
        </w:rPr>
        <w:t>本项目评价工作开展期间，</w:t>
      </w:r>
      <w:r>
        <w:rPr>
          <w:rFonts w:hint="eastAsia"/>
          <w:color w:val="auto"/>
        </w:rPr>
        <w:t>对</w:t>
      </w:r>
      <w:r>
        <w:rPr>
          <w:color w:val="auto"/>
        </w:rPr>
        <w:t>项目排放污染物开展了现状监测，对所有监测污染物进行现状评价。</w:t>
      </w:r>
    </w:p>
    <w:p w14:paraId="7288BCB8">
      <w:pPr>
        <w:pStyle w:val="5"/>
        <w:rPr>
          <w:color w:val="auto"/>
        </w:rPr>
      </w:pPr>
      <w:r>
        <w:rPr>
          <w:rFonts w:hint="eastAsia"/>
          <w:color w:val="auto"/>
        </w:rPr>
        <w:t>监测点布设及引用</w:t>
      </w:r>
    </w:p>
    <w:p w14:paraId="02BCDB9B">
      <w:pPr>
        <w:pStyle w:val="132"/>
        <w:rPr>
          <w:color w:val="auto"/>
        </w:rPr>
      </w:pPr>
      <w:r>
        <w:rPr>
          <w:color w:val="auto"/>
        </w:rPr>
        <w:t>根据</w:t>
      </w:r>
      <w:r>
        <w:rPr>
          <w:rFonts w:hint="eastAsia"/>
          <w:color w:val="auto"/>
        </w:rPr>
        <w:t>《环境影响评价技术导则  大气环境》（HJ 2.2-2018），大气监测补充监测布点要求为“以近2</w:t>
      </w:r>
      <w:r>
        <w:rPr>
          <w:color w:val="auto"/>
        </w:rPr>
        <w:t>0年统计的主导风向为轴向</w:t>
      </w:r>
      <w:r>
        <w:rPr>
          <w:rFonts w:hint="eastAsia"/>
          <w:color w:val="auto"/>
        </w:rPr>
        <w:t>，</w:t>
      </w:r>
      <w:r>
        <w:rPr>
          <w:color w:val="auto"/>
        </w:rPr>
        <w:t>在厂址及主导风向下风向</w:t>
      </w:r>
      <w:r>
        <w:rPr>
          <w:rFonts w:hint="eastAsia"/>
          <w:color w:val="auto"/>
        </w:rPr>
        <w:t>5 km范围内设置1～</w:t>
      </w:r>
      <w:r>
        <w:rPr>
          <w:color w:val="auto"/>
        </w:rPr>
        <w:t>2个监测点</w:t>
      </w:r>
      <w:r>
        <w:rPr>
          <w:rFonts w:hint="eastAsia"/>
          <w:color w:val="auto"/>
        </w:rPr>
        <w:t>。”</w:t>
      </w:r>
      <w:r>
        <w:rPr>
          <w:color w:val="auto"/>
        </w:rPr>
        <w:t>本项目主导风向为</w:t>
      </w:r>
      <w:r>
        <w:rPr>
          <w:rFonts w:hint="eastAsia"/>
          <w:color w:val="auto"/>
        </w:rPr>
        <w:t>东</w:t>
      </w:r>
      <w:r>
        <w:rPr>
          <w:color w:val="auto"/>
        </w:rPr>
        <w:t>南</w:t>
      </w:r>
      <w:r>
        <w:rPr>
          <w:rFonts w:hint="eastAsia"/>
          <w:color w:val="auto"/>
        </w:rPr>
        <w:t>，</w:t>
      </w:r>
      <w:r>
        <w:rPr>
          <w:color w:val="auto"/>
        </w:rPr>
        <w:t>监测期间在评价区域</w:t>
      </w:r>
      <w:r>
        <w:rPr>
          <w:rFonts w:hint="eastAsia"/>
          <w:color w:val="auto"/>
        </w:rPr>
        <w:t>内</w:t>
      </w:r>
      <w:r>
        <w:rPr>
          <w:color w:val="auto"/>
        </w:rPr>
        <w:t>布设</w:t>
      </w:r>
      <w:r>
        <w:rPr>
          <w:rFonts w:hint="eastAsia"/>
          <w:color w:val="auto"/>
        </w:rPr>
        <w:t>1</w:t>
      </w:r>
      <w:r>
        <w:rPr>
          <w:color w:val="auto"/>
        </w:rPr>
        <w:t>个大气</w:t>
      </w:r>
      <w:r>
        <w:rPr>
          <w:rFonts w:hint="eastAsia"/>
          <w:color w:val="auto"/>
        </w:rPr>
        <w:t>环境质量</w:t>
      </w:r>
      <w:r>
        <w:rPr>
          <w:color w:val="auto"/>
        </w:rPr>
        <w:t>现状监测点</w:t>
      </w:r>
      <w:r>
        <w:rPr>
          <w:rFonts w:hint="eastAsia"/>
          <w:color w:val="auto"/>
        </w:rPr>
        <w:t>，监测时间为2026年2月10日~2026年2月15日。监测点的方位、监测因子见表4.6-3和图4.6-1。</w:t>
      </w:r>
    </w:p>
    <w:p w14:paraId="22417DFC">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大气监测点位</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29"/>
        <w:gridCol w:w="1516"/>
        <w:gridCol w:w="1771"/>
        <w:gridCol w:w="1868"/>
        <w:gridCol w:w="1095"/>
        <w:gridCol w:w="1807"/>
      </w:tblGrid>
      <w:tr w14:paraId="7B408B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8" w:hRule="atLeast"/>
        </w:trPr>
        <w:tc>
          <w:tcPr>
            <w:tcW w:w="415" w:type="pct"/>
            <w:vAlign w:val="center"/>
          </w:tcPr>
          <w:p w14:paraId="458AFAA0">
            <w:pPr>
              <w:widowControl w:val="0"/>
              <w:spacing w:before="100" w:beforeAutospacing="1" w:line="360" w:lineRule="exact"/>
              <w:jc w:val="center"/>
              <w:rPr>
                <w:color w:val="auto"/>
                <w:kern w:val="2"/>
                <w:sz w:val="21"/>
                <w:szCs w:val="21"/>
              </w:rPr>
            </w:pPr>
            <w:r>
              <w:rPr>
                <w:rFonts w:ascii="宋体" w:hAnsi="宋体"/>
                <w:color w:val="auto"/>
                <w:kern w:val="2"/>
                <w:sz w:val="21"/>
                <w:szCs w:val="21"/>
              </w:rPr>
              <w:t>编号</w:t>
            </w:r>
          </w:p>
        </w:tc>
        <w:tc>
          <w:tcPr>
            <w:tcW w:w="863" w:type="pct"/>
            <w:vAlign w:val="center"/>
          </w:tcPr>
          <w:p w14:paraId="7FBDA0F1">
            <w:pPr>
              <w:widowControl w:val="0"/>
              <w:spacing w:before="100" w:beforeAutospacing="1" w:line="360" w:lineRule="exact"/>
              <w:jc w:val="center"/>
              <w:rPr>
                <w:color w:val="auto"/>
                <w:kern w:val="2"/>
                <w:sz w:val="21"/>
                <w:szCs w:val="21"/>
              </w:rPr>
            </w:pPr>
            <w:r>
              <w:rPr>
                <w:rFonts w:ascii="宋体" w:hAnsi="宋体"/>
                <w:color w:val="auto"/>
                <w:kern w:val="2"/>
                <w:sz w:val="21"/>
                <w:szCs w:val="21"/>
              </w:rPr>
              <w:t>点位名称</w:t>
            </w:r>
          </w:p>
        </w:tc>
        <w:tc>
          <w:tcPr>
            <w:tcW w:w="1008" w:type="pct"/>
            <w:vAlign w:val="center"/>
          </w:tcPr>
          <w:p w14:paraId="28D42F12">
            <w:pPr>
              <w:widowControl w:val="0"/>
              <w:spacing w:before="100" w:beforeAutospacing="1" w:line="360" w:lineRule="exact"/>
              <w:jc w:val="center"/>
              <w:rPr>
                <w:color w:val="auto"/>
                <w:kern w:val="2"/>
                <w:sz w:val="21"/>
                <w:szCs w:val="21"/>
              </w:rPr>
            </w:pPr>
            <w:r>
              <w:rPr>
                <w:rFonts w:ascii="宋体" w:hAnsi="宋体"/>
                <w:color w:val="auto"/>
                <w:kern w:val="2"/>
                <w:sz w:val="21"/>
                <w:szCs w:val="21"/>
              </w:rPr>
              <w:t>坐标</w:t>
            </w:r>
          </w:p>
        </w:tc>
        <w:tc>
          <w:tcPr>
            <w:tcW w:w="1063" w:type="pct"/>
            <w:vAlign w:val="center"/>
          </w:tcPr>
          <w:p w14:paraId="6F1E8035">
            <w:pPr>
              <w:widowControl w:val="0"/>
              <w:spacing w:before="100" w:beforeAutospacing="1" w:line="360" w:lineRule="exact"/>
              <w:jc w:val="center"/>
              <w:rPr>
                <w:color w:val="auto"/>
                <w:kern w:val="2"/>
                <w:sz w:val="21"/>
                <w:szCs w:val="21"/>
              </w:rPr>
            </w:pPr>
            <w:r>
              <w:rPr>
                <w:rFonts w:ascii="宋体" w:hAnsi="宋体"/>
                <w:color w:val="auto"/>
                <w:kern w:val="2"/>
                <w:sz w:val="21"/>
                <w:szCs w:val="21"/>
              </w:rPr>
              <w:t>监测</w:t>
            </w:r>
            <w:r>
              <w:rPr>
                <w:rFonts w:hint="eastAsia" w:ascii="宋体" w:hAnsi="宋体"/>
                <w:color w:val="auto"/>
                <w:kern w:val="2"/>
                <w:sz w:val="21"/>
                <w:szCs w:val="21"/>
              </w:rPr>
              <w:t>因子</w:t>
            </w:r>
          </w:p>
        </w:tc>
        <w:tc>
          <w:tcPr>
            <w:tcW w:w="623" w:type="pct"/>
            <w:vAlign w:val="center"/>
          </w:tcPr>
          <w:p w14:paraId="002953B7">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方位</w:t>
            </w:r>
          </w:p>
        </w:tc>
        <w:tc>
          <w:tcPr>
            <w:tcW w:w="1028" w:type="pct"/>
            <w:vAlign w:val="center"/>
          </w:tcPr>
          <w:p w14:paraId="4C7D3AAB">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距离</w:t>
            </w:r>
          </w:p>
        </w:tc>
      </w:tr>
      <w:tr w14:paraId="15F41D9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030" w:hRule="atLeast"/>
        </w:trPr>
        <w:tc>
          <w:tcPr>
            <w:tcW w:w="415" w:type="pct"/>
            <w:vAlign w:val="center"/>
          </w:tcPr>
          <w:p w14:paraId="76435C8D">
            <w:pPr>
              <w:widowControl w:val="0"/>
              <w:spacing w:before="100" w:beforeAutospacing="1" w:line="360" w:lineRule="exact"/>
              <w:jc w:val="center"/>
              <w:rPr>
                <w:color w:val="auto"/>
                <w:kern w:val="2"/>
                <w:sz w:val="21"/>
                <w:szCs w:val="21"/>
              </w:rPr>
            </w:pPr>
            <w:r>
              <w:rPr>
                <w:color w:val="auto"/>
                <w:kern w:val="2"/>
                <w:sz w:val="21"/>
                <w:szCs w:val="21"/>
              </w:rPr>
              <w:t>G1</w:t>
            </w:r>
          </w:p>
        </w:tc>
        <w:tc>
          <w:tcPr>
            <w:tcW w:w="863" w:type="pct"/>
            <w:vAlign w:val="center"/>
          </w:tcPr>
          <w:p w14:paraId="11428C61">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大气监测点</w:t>
            </w:r>
          </w:p>
        </w:tc>
        <w:tc>
          <w:tcPr>
            <w:tcW w:w="1008" w:type="pct"/>
            <w:vAlign w:val="center"/>
          </w:tcPr>
          <w:p w14:paraId="41102228">
            <w:pPr>
              <w:widowControl w:val="0"/>
              <w:spacing w:before="100" w:beforeAutospacing="1" w:line="360" w:lineRule="exact"/>
              <w:jc w:val="center"/>
              <w:rPr>
                <w:color w:val="auto"/>
                <w:kern w:val="2"/>
                <w:sz w:val="21"/>
                <w:szCs w:val="21"/>
              </w:rPr>
            </w:pPr>
          </w:p>
        </w:tc>
        <w:tc>
          <w:tcPr>
            <w:tcW w:w="1063" w:type="pct"/>
            <w:vAlign w:val="center"/>
          </w:tcPr>
          <w:p w14:paraId="22FB25DC">
            <w:pPr>
              <w:widowControl w:val="0"/>
              <w:spacing w:before="100" w:beforeAutospacing="1" w:line="360" w:lineRule="exact"/>
              <w:jc w:val="center"/>
              <w:rPr>
                <w:color w:val="auto"/>
                <w:kern w:val="2"/>
                <w:sz w:val="21"/>
                <w:szCs w:val="21"/>
              </w:rPr>
            </w:pPr>
            <w:r>
              <w:rPr>
                <w:rFonts w:hint="eastAsia"/>
                <w:color w:val="auto"/>
                <w:kern w:val="2"/>
                <w:sz w:val="21"/>
                <w:szCs w:val="21"/>
              </w:rPr>
              <w:t>TSP</w:t>
            </w:r>
            <w:r>
              <w:rPr>
                <w:rFonts w:hint="eastAsia" w:hAnsi="宋体"/>
                <w:color w:val="auto"/>
                <w:szCs w:val="21"/>
              </w:rPr>
              <w:t>、锰及其化合物（以MnO</w:t>
            </w:r>
            <w:r>
              <w:rPr>
                <w:rFonts w:hint="eastAsia" w:hAnsi="宋体"/>
                <w:color w:val="auto"/>
                <w:szCs w:val="21"/>
                <w:vertAlign w:val="subscript"/>
              </w:rPr>
              <w:t>2</w:t>
            </w:r>
            <w:r>
              <w:rPr>
                <w:rFonts w:hint="eastAsia" w:hAnsi="宋体"/>
                <w:color w:val="auto"/>
                <w:szCs w:val="21"/>
              </w:rPr>
              <w:t>计）、镍及其化合物</w:t>
            </w:r>
          </w:p>
        </w:tc>
        <w:tc>
          <w:tcPr>
            <w:tcW w:w="623" w:type="pct"/>
            <w:vAlign w:val="center"/>
          </w:tcPr>
          <w:p w14:paraId="17E82DC9">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项目区内西北</w:t>
            </w:r>
          </w:p>
        </w:tc>
        <w:tc>
          <w:tcPr>
            <w:tcW w:w="1028" w:type="pct"/>
            <w:vAlign w:val="center"/>
          </w:tcPr>
          <w:p w14:paraId="413128B9">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距项目区北侧厂界</w:t>
            </w:r>
            <w:r>
              <w:rPr>
                <w:rFonts w:hint="eastAsia"/>
                <w:color w:val="auto"/>
                <w:kern w:val="2"/>
                <w:sz w:val="21"/>
                <w:szCs w:val="21"/>
              </w:rPr>
              <w:t>30m</w:t>
            </w:r>
          </w:p>
        </w:tc>
      </w:tr>
    </w:tbl>
    <w:p w14:paraId="512028A2">
      <w:pPr>
        <w:spacing w:line="360" w:lineRule="auto"/>
        <w:ind w:firstLine="480" w:firstLineChars="200"/>
        <w:jc w:val="both"/>
        <w:rPr>
          <w:color w:val="auto"/>
          <w:sz w:val="24"/>
          <w:szCs w:val="24"/>
        </w:rPr>
      </w:pPr>
      <w:r>
        <w:rPr>
          <w:rFonts w:hint="eastAsia"/>
          <w:color w:val="auto"/>
          <w:sz w:val="24"/>
          <w:szCs w:val="24"/>
        </w:rPr>
        <w:t>大气监测点引用点引用自《乌鲁木齐甘泉堡经济技术开发区（工业区）化工园区总体规划（</w:t>
      </w:r>
      <w:r>
        <w:rPr>
          <w:color w:val="auto"/>
          <w:sz w:val="24"/>
          <w:szCs w:val="24"/>
        </w:rPr>
        <w:t>2023-2035</w:t>
      </w:r>
      <w:r>
        <w:rPr>
          <w:rFonts w:hint="eastAsia"/>
          <w:color w:val="auto"/>
          <w:sz w:val="24"/>
          <w:szCs w:val="24"/>
        </w:rPr>
        <w:t>）环境影响报告书》中现状监测数据，坐标：</w:t>
      </w:r>
      <w:r>
        <w:rPr>
          <w:color w:val="auto"/>
          <w:sz w:val="24"/>
          <w:szCs w:val="24"/>
        </w:rPr>
        <w:t>E: 87°44′54.07″</w:t>
      </w:r>
      <w:r>
        <w:rPr>
          <w:rFonts w:hint="eastAsia"/>
          <w:color w:val="auto"/>
          <w:sz w:val="24"/>
          <w:szCs w:val="24"/>
        </w:rPr>
        <w:t>，</w:t>
      </w:r>
      <w:r>
        <w:rPr>
          <w:color w:val="auto"/>
          <w:sz w:val="24"/>
          <w:szCs w:val="24"/>
        </w:rPr>
        <w:t>N: 44°17′32.51″</w:t>
      </w:r>
      <w:r>
        <w:rPr>
          <w:rFonts w:hint="eastAsia"/>
          <w:color w:val="auto"/>
          <w:sz w:val="24"/>
          <w:szCs w:val="24"/>
        </w:rPr>
        <w:t>，监测时间：</w:t>
      </w:r>
      <w:r>
        <w:rPr>
          <w:color w:val="auto"/>
          <w:sz w:val="24"/>
          <w:szCs w:val="24"/>
        </w:rPr>
        <w:t>2023</w:t>
      </w:r>
      <w:r>
        <w:rPr>
          <w:rFonts w:hint="eastAsia"/>
          <w:color w:val="auto"/>
          <w:sz w:val="24"/>
          <w:szCs w:val="24"/>
        </w:rPr>
        <w:t>年</w:t>
      </w:r>
      <w:r>
        <w:rPr>
          <w:color w:val="auto"/>
          <w:sz w:val="24"/>
          <w:szCs w:val="24"/>
        </w:rPr>
        <w:t>8</w:t>
      </w:r>
      <w:r>
        <w:rPr>
          <w:rFonts w:hint="eastAsia"/>
          <w:color w:val="auto"/>
          <w:sz w:val="24"/>
          <w:szCs w:val="24"/>
        </w:rPr>
        <w:t>月</w:t>
      </w:r>
      <w:r>
        <w:rPr>
          <w:color w:val="auto"/>
          <w:sz w:val="24"/>
          <w:szCs w:val="24"/>
        </w:rPr>
        <w:t>19</w:t>
      </w:r>
      <w:r>
        <w:rPr>
          <w:rFonts w:hint="eastAsia"/>
          <w:color w:val="auto"/>
          <w:sz w:val="24"/>
          <w:szCs w:val="24"/>
        </w:rPr>
        <w:t>日</w:t>
      </w:r>
      <w:r>
        <w:rPr>
          <w:color w:val="auto"/>
          <w:sz w:val="24"/>
          <w:szCs w:val="24"/>
        </w:rPr>
        <w:t>~8</w:t>
      </w:r>
      <w:r>
        <w:rPr>
          <w:rFonts w:hint="eastAsia"/>
          <w:color w:val="auto"/>
          <w:sz w:val="24"/>
          <w:szCs w:val="24"/>
        </w:rPr>
        <w:t>月</w:t>
      </w:r>
      <w:r>
        <w:rPr>
          <w:color w:val="auto"/>
          <w:sz w:val="24"/>
          <w:szCs w:val="24"/>
        </w:rPr>
        <w:t>25</w:t>
      </w:r>
      <w:r>
        <w:rPr>
          <w:rFonts w:hint="eastAsia"/>
          <w:color w:val="auto"/>
          <w:sz w:val="24"/>
          <w:szCs w:val="24"/>
        </w:rPr>
        <w:t>日，引用监测因子：非甲烷总烃、</w:t>
      </w:r>
      <w:r>
        <w:rPr>
          <w:color w:val="auto"/>
          <w:sz w:val="24"/>
          <w:szCs w:val="24"/>
        </w:rPr>
        <w:t>NH</w:t>
      </w:r>
      <w:r>
        <w:rPr>
          <w:color w:val="auto"/>
          <w:sz w:val="24"/>
          <w:szCs w:val="24"/>
          <w:vertAlign w:val="subscript"/>
        </w:rPr>
        <w:t>3</w:t>
      </w:r>
      <w:r>
        <w:rPr>
          <w:rFonts w:hint="eastAsia"/>
          <w:color w:val="auto"/>
          <w:sz w:val="24"/>
          <w:szCs w:val="24"/>
        </w:rPr>
        <w:t>、</w:t>
      </w:r>
      <w:r>
        <w:rPr>
          <w:color w:val="auto"/>
          <w:sz w:val="24"/>
          <w:szCs w:val="24"/>
        </w:rPr>
        <w:t>H</w:t>
      </w:r>
      <w:r>
        <w:rPr>
          <w:color w:val="auto"/>
          <w:sz w:val="24"/>
          <w:szCs w:val="24"/>
          <w:vertAlign w:val="subscript"/>
        </w:rPr>
        <w:t>2</w:t>
      </w:r>
      <w:r>
        <w:rPr>
          <w:color w:val="auto"/>
          <w:sz w:val="24"/>
          <w:szCs w:val="24"/>
        </w:rPr>
        <w:t>S</w:t>
      </w:r>
      <w:r>
        <w:rPr>
          <w:rFonts w:hint="eastAsia"/>
          <w:color w:val="auto"/>
          <w:sz w:val="24"/>
          <w:szCs w:val="24"/>
        </w:rPr>
        <w:t>。</w:t>
      </w:r>
    </w:p>
    <w:p w14:paraId="59C3B594">
      <w:pPr>
        <w:spacing w:line="360" w:lineRule="auto"/>
        <w:ind w:firstLine="480" w:firstLineChars="200"/>
        <w:jc w:val="both"/>
        <w:rPr>
          <w:color w:val="auto"/>
          <w:sz w:val="24"/>
          <w:szCs w:val="24"/>
        </w:rPr>
      </w:pPr>
      <w:r>
        <w:rPr>
          <w:rFonts w:hint="eastAsia"/>
          <w:color w:val="auto"/>
          <w:sz w:val="24"/>
          <w:szCs w:val="24"/>
        </w:rPr>
        <w:t>采样和监测方法：采样方法应符合国家环保局颁布的标准监测方法。监测时同步记录天气状况、环境气压、环境温度、风力、风速、风向等气象资料。</w:t>
      </w:r>
    </w:p>
    <w:p w14:paraId="4419C9BB">
      <w:pPr>
        <w:widowControl w:val="0"/>
        <w:spacing w:line="360" w:lineRule="auto"/>
        <w:jc w:val="both"/>
        <w:rPr>
          <w:color w:val="auto"/>
          <w:kern w:val="2"/>
          <w:sz w:val="24"/>
          <w:szCs w:val="24"/>
        </w:rPr>
        <w:sectPr>
          <w:type w:val="continuous"/>
          <w:pgSz w:w="11906" w:h="16838"/>
          <w:pgMar w:top="1440" w:right="1588" w:bottom="1389" w:left="1588" w:header="851" w:footer="992" w:gutter="0"/>
          <w:cols w:space="720" w:num="1"/>
          <w:docGrid w:type="lines" w:linePitch="312" w:charSpace="0"/>
        </w:sectPr>
      </w:pPr>
      <w:r>
        <w:rPr>
          <w:rFonts w:hint="eastAsia" w:ascii="宋体" w:hAnsi="宋体"/>
          <w:color w:val="auto"/>
          <w:kern w:val="2"/>
          <w:sz w:val="24"/>
          <w:szCs w:val="24"/>
        </w:rPr>
        <w:t>监测周期和频率：硫酸、</w:t>
      </w:r>
      <w:r>
        <w:rPr>
          <w:color w:val="auto"/>
          <w:kern w:val="2"/>
          <w:sz w:val="24"/>
          <w:szCs w:val="24"/>
        </w:rPr>
        <w:t>HCl</w:t>
      </w:r>
      <w:r>
        <w:rPr>
          <w:rFonts w:hint="eastAsia" w:ascii="宋体" w:hAnsi="宋体"/>
          <w:color w:val="auto"/>
          <w:kern w:val="2"/>
          <w:sz w:val="24"/>
          <w:szCs w:val="24"/>
        </w:rPr>
        <w:t>，监测小时值，连续监测</w:t>
      </w:r>
      <w:r>
        <w:rPr>
          <w:color w:val="auto"/>
          <w:kern w:val="2"/>
          <w:sz w:val="24"/>
          <w:szCs w:val="24"/>
        </w:rPr>
        <w:t>7</w:t>
      </w:r>
      <w:r>
        <w:rPr>
          <w:rFonts w:hint="eastAsia" w:ascii="宋体" w:hAnsi="宋体"/>
          <w:color w:val="auto"/>
          <w:kern w:val="2"/>
          <w:sz w:val="24"/>
          <w:szCs w:val="24"/>
        </w:rPr>
        <w:t>天，每天</w:t>
      </w:r>
      <w:r>
        <w:rPr>
          <w:color w:val="auto"/>
          <w:kern w:val="2"/>
          <w:sz w:val="24"/>
          <w:szCs w:val="24"/>
        </w:rPr>
        <w:t>4</w:t>
      </w:r>
      <w:r>
        <w:rPr>
          <w:rFonts w:hint="eastAsia" w:ascii="宋体" w:hAnsi="宋体"/>
          <w:color w:val="auto"/>
          <w:kern w:val="2"/>
          <w:sz w:val="24"/>
          <w:szCs w:val="24"/>
        </w:rPr>
        <w:t>次；</w:t>
      </w:r>
      <w:r>
        <w:rPr>
          <w:color w:val="auto"/>
          <w:kern w:val="2"/>
          <w:sz w:val="24"/>
          <w:szCs w:val="24"/>
        </w:rPr>
        <w:t>TSP</w:t>
      </w:r>
      <w:r>
        <w:rPr>
          <w:rFonts w:hint="eastAsia"/>
          <w:color w:val="auto"/>
          <w:kern w:val="2"/>
          <w:sz w:val="24"/>
          <w:szCs w:val="24"/>
        </w:rPr>
        <w:t>、锰及其化合物、镍及其化合物：</w:t>
      </w:r>
      <w:r>
        <w:rPr>
          <w:rFonts w:hint="eastAsia" w:ascii="宋体" w:hAnsi="宋体"/>
          <w:color w:val="auto"/>
          <w:kern w:val="2"/>
          <w:sz w:val="24"/>
          <w:szCs w:val="24"/>
        </w:rPr>
        <w:t>共监测</w:t>
      </w:r>
      <w:r>
        <w:rPr>
          <w:color w:val="auto"/>
          <w:kern w:val="2"/>
          <w:sz w:val="24"/>
          <w:szCs w:val="24"/>
        </w:rPr>
        <w:t>7</w:t>
      </w:r>
      <w:r>
        <w:rPr>
          <w:rFonts w:hint="eastAsia" w:ascii="宋体" w:hAnsi="宋体"/>
          <w:color w:val="auto"/>
          <w:kern w:val="2"/>
          <w:sz w:val="24"/>
          <w:szCs w:val="24"/>
        </w:rPr>
        <w:t>天，取日均值每天采样时间</w:t>
      </w:r>
      <w:r>
        <w:rPr>
          <w:color w:val="auto"/>
          <w:kern w:val="2"/>
          <w:sz w:val="24"/>
          <w:szCs w:val="24"/>
        </w:rPr>
        <w:t>24</w:t>
      </w:r>
      <w:r>
        <w:rPr>
          <w:rFonts w:hint="eastAsia" w:ascii="宋体" w:hAnsi="宋体"/>
          <w:color w:val="auto"/>
          <w:kern w:val="2"/>
          <w:sz w:val="24"/>
          <w:szCs w:val="24"/>
        </w:rPr>
        <w:t>小时。</w:t>
      </w:r>
    </w:p>
    <w:p w14:paraId="2C5CD20B">
      <w:pPr>
        <w:pStyle w:val="132"/>
        <w:rPr>
          <w:color w:val="auto"/>
        </w:rPr>
      </w:pPr>
    </w:p>
    <w:p w14:paraId="7A7A043D">
      <w:pPr>
        <w:pStyle w:val="5"/>
        <w:rPr>
          <w:color w:val="auto"/>
        </w:rPr>
      </w:pPr>
      <w:r>
        <w:rPr>
          <w:rFonts w:hint="eastAsia"/>
          <w:color w:val="auto"/>
        </w:rPr>
        <w:t>监测结果统计分析</w:t>
      </w:r>
    </w:p>
    <w:p w14:paraId="36018E79">
      <w:pPr>
        <w:pStyle w:val="132"/>
        <w:rPr>
          <w:color w:val="auto"/>
        </w:rPr>
      </w:pPr>
      <w:r>
        <w:rPr>
          <w:rFonts w:hint="eastAsia"/>
          <w:color w:val="auto"/>
        </w:rPr>
        <w:t>（1）评价标准</w:t>
      </w:r>
    </w:p>
    <w:p w14:paraId="74C38A9A">
      <w:pPr>
        <w:pStyle w:val="132"/>
        <w:rPr>
          <w:color w:val="auto"/>
        </w:rPr>
      </w:pPr>
      <w:r>
        <w:rPr>
          <w:rFonts w:hint="eastAsia"/>
          <w:color w:val="auto"/>
        </w:rPr>
        <w:t>环境空气质量评价标准见表4.6-4。</w:t>
      </w:r>
    </w:p>
    <w:p w14:paraId="0CA91D33">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环境空气质量评价标准</w:t>
      </w:r>
    </w:p>
    <w:tbl>
      <w:tblPr>
        <w:tblStyle w:val="1937"/>
        <w:tblW w:w="4956"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480"/>
        <w:gridCol w:w="716"/>
        <w:gridCol w:w="1112"/>
        <w:gridCol w:w="620"/>
        <w:gridCol w:w="5781"/>
      </w:tblGrid>
      <w:tr w14:paraId="2DD7A51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76" w:type="pct"/>
            <w:vAlign w:val="center"/>
          </w:tcPr>
          <w:p w14:paraId="4ED1ECB1">
            <w:pPr>
              <w:widowControl w:val="0"/>
              <w:spacing w:before="100" w:beforeAutospacing="1" w:line="360" w:lineRule="exact"/>
              <w:jc w:val="center"/>
              <w:rPr>
                <w:color w:val="auto"/>
                <w:kern w:val="2"/>
                <w:sz w:val="21"/>
                <w:szCs w:val="21"/>
              </w:rPr>
            </w:pPr>
            <w:r>
              <w:rPr>
                <w:rFonts w:ascii="宋体" w:hAnsi="宋体"/>
                <w:color w:val="auto"/>
                <w:kern w:val="2"/>
                <w:sz w:val="21"/>
                <w:szCs w:val="21"/>
              </w:rPr>
              <w:t>序号</w:t>
            </w:r>
          </w:p>
        </w:tc>
        <w:tc>
          <w:tcPr>
            <w:tcW w:w="411" w:type="pct"/>
            <w:vAlign w:val="center"/>
          </w:tcPr>
          <w:p w14:paraId="667220DC">
            <w:pPr>
              <w:widowControl w:val="0"/>
              <w:spacing w:before="100" w:beforeAutospacing="1" w:line="360" w:lineRule="exact"/>
              <w:jc w:val="center"/>
              <w:rPr>
                <w:color w:val="auto"/>
                <w:kern w:val="2"/>
                <w:sz w:val="21"/>
                <w:szCs w:val="21"/>
              </w:rPr>
            </w:pPr>
            <w:r>
              <w:rPr>
                <w:rFonts w:ascii="宋体" w:hAnsi="宋体"/>
                <w:color w:val="auto"/>
                <w:kern w:val="2"/>
                <w:sz w:val="21"/>
                <w:szCs w:val="21"/>
              </w:rPr>
              <w:t>项目</w:t>
            </w:r>
          </w:p>
        </w:tc>
        <w:tc>
          <w:tcPr>
            <w:tcW w:w="994" w:type="pct"/>
            <w:gridSpan w:val="2"/>
            <w:vAlign w:val="center"/>
          </w:tcPr>
          <w:p w14:paraId="43637A9A">
            <w:pPr>
              <w:widowControl w:val="0"/>
              <w:spacing w:before="100" w:beforeAutospacing="1" w:line="360" w:lineRule="exact"/>
              <w:jc w:val="center"/>
              <w:rPr>
                <w:color w:val="auto"/>
                <w:kern w:val="2"/>
                <w:sz w:val="21"/>
                <w:szCs w:val="21"/>
              </w:rPr>
            </w:pPr>
            <w:r>
              <w:rPr>
                <w:rFonts w:ascii="宋体" w:hAnsi="宋体"/>
                <w:color w:val="auto"/>
                <w:kern w:val="2"/>
                <w:sz w:val="21"/>
                <w:szCs w:val="21"/>
              </w:rPr>
              <w:t>标准值（</w:t>
            </w:r>
            <w:r>
              <w:rPr>
                <w:color w:val="auto"/>
                <w:kern w:val="2"/>
                <w:sz w:val="21"/>
                <w:szCs w:val="21"/>
              </w:rPr>
              <w:t>µg/Nm</w:t>
            </w:r>
            <w:r>
              <w:rPr>
                <w:color w:val="auto"/>
                <w:kern w:val="2"/>
                <w:sz w:val="21"/>
                <w:szCs w:val="21"/>
                <w:vertAlign w:val="superscript"/>
              </w:rPr>
              <w:t>3</w:t>
            </w:r>
            <w:r>
              <w:rPr>
                <w:rFonts w:ascii="宋体" w:hAnsi="宋体"/>
                <w:color w:val="auto"/>
                <w:kern w:val="2"/>
                <w:sz w:val="21"/>
                <w:szCs w:val="21"/>
              </w:rPr>
              <w:t>）</w:t>
            </w:r>
          </w:p>
        </w:tc>
        <w:tc>
          <w:tcPr>
            <w:tcW w:w="3318" w:type="pct"/>
            <w:vAlign w:val="center"/>
          </w:tcPr>
          <w:p w14:paraId="5A634840">
            <w:pPr>
              <w:widowControl w:val="0"/>
              <w:spacing w:before="100" w:beforeAutospacing="1" w:line="360" w:lineRule="exact"/>
              <w:jc w:val="center"/>
              <w:rPr>
                <w:color w:val="auto"/>
                <w:kern w:val="2"/>
                <w:sz w:val="21"/>
                <w:szCs w:val="21"/>
              </w:rPr>
            </w:pPr>
            <w:r>
              <w:rPr>
                <w:rFonts w:ascii="宋体" w:hAnsi="宋体"/>
                <w:color w:val="auto"/>
                <w:kern w:val="2"/>
                <w:sz w:val="21"/>
                <w:szCs w:val="21"/>
              </w:rPr>
              <w:t>标准来源</w:t>
            </w:r>
          </w:p>
        </w:tc>
      </w:tr>
      <w:tr w14:paraId="1C31A41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76" w:type="pct"/>
            <w:vAlign w:val="center"/>
          </w:tcPr>
          <w:p w14:paraId="44E4C456">
            <w:pPr>
              <w:widowControl w:val="0"/>
              <w:spacing w:before="100" w:beforeAutospacing="1" w:line="360" w:lineRule="exact"/>
              <w:jc w:val="center"/>
              <w:rPr>
                <w:color w:val="auto"/>
                <w:kern w:val="2"/>
                <w:sz w:val="21"/>
                <w:szCs w:val="21"/>
              </w:rPr>
            </w:pPr>
            <w:r>
              <w:rPr>
                <w:color w:val="auto"/>
                <w:kern w:val="2"/>
                <w:sz w:val="21"/>
                <w:szCs w:val="21"/>
              </w:rPr>
              <w:t>1</w:t>
            </w:r>
          </w:p>
        </w:tc>
        <w:tc>
          <w:tcPr>
            <w:tcW w:w="411" w:type="pct"/>
            <w:vAlign w:val="center"/>
          </w:tcPr>
          <w:p w14:paraId="174CE971">
            <w:pPr>
              <w:widowControl w:val="0"/>
              <w:spacing w:before="100" w:beforeAutospacing="1" w:line="360" w:lineRule="exact"/>
              <w:jc w:val="center"/>
              <w:rPr>
                <w:color w:val="auto"/>
                <w:kern w:val="2"/>
                <w:sz w:val="21"/>
                <w:szCs w:val="21"/>
              </w:rPr>
            </w:pPr>
            <w:r>
              <w:rPr>
                <w:rFonts w:hint="eastAsia"/>
                <w:color w:val="auto"/>
                <w:kern w:val="2"/>
                <w:sz w:val="21"/>
                <w:szCs w:val="21"/>
              </w:rPr>
              <w:t>H</w:t>
            </w:r>
            <w:r>
              <w:rPr>
                <w:rFonts w:hint="eastAsia"/>
                <w:color w:val="auto"/>
                <w:kern w:val="2"/>
                <w:sz w:val="21"/>
                <w:szCs w:val="21"/>
                <w:vertAlign w:val="subscript"/>
              </w:rPr>
              <w:t>2</w:t>
            </w:r>
            <w:r>
              <w:rPr>
                <w:rFonts w:hint="eastAsia"/>
                <w:color w:val="auto"/>
                <w:kern w:val="2"/>
                <w:sz w:val="21"/>
                <w:szCs w:val="21"/>
              </w:rPr>
              <w:t>S</w:t>
            </w:r>
          </w:p>
        </w:tc>
        <w:tc>
          <w:tcPr>
            <w:tcW w:w="638" w:type="pct"/>
            <w:vAlign w:val="center"/>
          </w:tcPr>
          <w:p w14:paraId="7CA4517D">
            <w:pPr>
              <w:widowControl w:val="0"/>
              <w:spacing w:before="100" w:beforeAutospacing="1" w:line="360" w:lineRule="exact"/>
              <w:jc w:val="center"/>
              <w:rPr>
                <w:color w:val="auto"/>
                <w:kern w:val="2"/>
                <w:sz w:val="21"/>
                <w:szCs w:val="21"/>
              </w:rPr>
            </w:pPr>
            <w:r>
              <w:rPr>
                <w:color w:val="auto"/>
                <w:kern w:val="2"/>
                <w:sz w:val="21"/>
                <w:szCs w:val="21"/>
              </w:rPr>
              <w:t>1</w:t>
            </w:r>
            <w:r>
              <w:rPr>
                <w:rFonts w:ascii="宋体" w:hAnsi="宋体"/>
                <w:color w:val="auto"/>
                <w:kern w:val="2"/>
                <w:sz w:val="21"/>
                <w:szCs w:val="21"/>
              </w:rPr>
              <w:t>小时平均</w:t>
            </w:r>
          </w:p>
        </w:tc>
        <w:tc>
          <w:tcPr>
            <w:tcW w:w="355" w:type="pct"/>
            <w:vAlign w:val="center"/>
          </w:tcPr>
          <w:p w14:paraId="46D72684">
            <w:pPr>
              <w:widowControl w:val="0"/>
              <w:spacing w:before="100" w:beforeAutospacing="1" w:line="360" w:lineRule="exact"/>
              <w:jc w:val="center"/>
              <w:rPr>
                <w:color w:val="auto"/>
                <w:kern w:val="2"/>
                <w:sz w:val="21"/>
                <w:szCs w:val="21"/>
              </w:rPr>
            </w:pPr>
            <w:r>
              <w:rPr>
                <w:rFonts w:hint="eastAsia"/>
                <w:color w:val="auto"/>
                <w:kern w:val="2"/>
                <w:sz w:val="21"/>
                <w:szCs w:val="21"/>
              </w:rPr>
              <w:t>10</w:t>
            </w:r>
          </w:p>
        </w:tc>
        <w:tc>
          <w:tcPr>
            <w:tcW w:w="3318" w:type="pct"/>
            <w:vAlign w:val="center"/>
          </w:tcPr>
          <w:p w14:paraId="46ED6467">
            <w:pPr>
              <w:widowControl w:val="0"/>
              <w:spacing w:before="100" w:beforeAutospacing="1" w:line="360" w:lineRule="exact"/>
              <w:jc w:val="center"/>
              <w:rPr>
                <w:color w:val="auto"/>
                <w:kern w:val="2"/>
                <w:sz w:val="21"/>
                <w:szCs w:val="21"/>
              </w:rPr>
            </w:pPr>
            <w:r>
              <w:rPr>
                <w:rFonts w:ascii="宋体" w:hAnsi="宋体"/>
                <w:color w:val="auto"/>
                <w:kern w:val="2"/>
                <w:sz w:val="21"/>
                <w:szCs w:val="21"/>
              </w:rPr>
              <w:t>《环境影响评价技术导则</w:t>
            </w:r>
            <w:r>
              <w:rPr>
                <w:color w:val="auto"/>
                <w:kern w:val="2"/>
                <w:sz w:val="21"/>
                <w:szCs w:val="21"/>
              </w:rPr>
              <w:t xml:space="preserve">  </w:t>
            </w:r>
            <w:r>
              <w:rPr>
                <w:rFonts w:ascii="宋体" w:hAnsi="宋体"/>
                <w:color w:val="auto"/>
                <w:kern w:val="2"/>
                <w:sz w:val="21"/>
                <w:szCs w:val="21"/>
              </w:rPr>
              <w:t>大气环境》（</w:t>
            </w:r>
            <w:r>
              <w:rPr>
                <w:color w:val="auto"/>
                <w:kern w:val="2"/>
                <w:sz w:val="21"/>
                <w:szCs w:val="21"/>
              </w:rPr>
              <w:t>HJ 2.2-2018</w:t>
            </w:r>
            <w:r>
              <w:rPr>
                <w:rFonts w:ascii="宋体" w:hAnsi="宋体"/>
                <w:color w:val="auto"/>
                <w:kern w:val="2"/>
                <w:sz w:val="21"/>
                <w:szCs w:val="21"/>
              </w:rPr>
              <w:t>）附录</w:t>
            </w:r>
            <w:r>
              <w:rPr>
                <w:color w:val="auto"/>
                <w:kern w:val="2"/>
                <w:sz w:val="21"/>
                <w:szCs w:val="21"/>
              </w:rPr>
              <w:t>D</w:t>
            </w:r>
          </w:p>
        </w:tc>
      </w:tr>
      <w:tr w14:paraId="3661BBC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76" w:type="pct"/>
            <w:vAlign w:val="center"/>
          </w:tcPr>
          <w:p w14:paraId="377052E1">
            <w:pPr>
              <w:widowControl w:val="0"/>
              <w:spacing w:before="100" w:beforeAutospacing="1" w:line="360" w:lineRule="exact"/>
              <w:jc w:val="center"/>
              <w:rPr>
                <w:color w:val="auto"/>
                <w:kern w:val="2"/>
                <w:sz w:val="21"/>
                <w:szCs w:val="21"/>
              </w:rPr>
            </w:pPr>
            <w:r>
              <w:rPr>
                <w:color w:val="auto"/>
                <w:kern w:val="2"/>
                <w:sz w:val="21"/>
                <w:szCs w:val="21"/>
              </w:rPr>
              <w:t>2</w:t>
            </w:r>
          </w:p>
        </w:tc>
        <w:tc>
          <w:tcPr>
            <w:tcW w:w="411" w:type="pct"/>
            <w:vAlign w:val="center"/>
          </w:tcPr>
          <w:p w14:paraId="6B2863BE">
            <w:pPr>
              <w:widowControl w:val="0"/>
              <w:spacing w:before="100" w:beforeAutospacing="1" w:line="360" w:lineRule="exact"/>
              <w:jc w:val="center"/>
              <w:rPr>
                <w:color w:val="auto"/>
                <w:kern w:val="2"/>
                <w:sz w:val="21"/>
                <w:szCs w:val="21"/>
              </w:rPr>
            </w:pPr>
            <w:r>
              <w:rPr>
                <w:rFonts w:hint="eastAsia"/>
                <w:color w:val="auto"/>
                <w:kern w:val="2"/>
                <w:sz w:val="21"/>
                <w:szCs w:val="21"/>
              </w:rPr>
              <w:t>NH</w:t>
            </w:r>
            <w:r>
              <w:rPr>
                <w:rFonts w:hint="eastAsia"/>
                <w:color w:val="auto"/>
                <w:kern w:val="2"/>
                <w:sz w:val="21"/>
                <w:szCs w:val="21"/>
                <w:vertAlign w:val="subscript"/>
              </w:rPr>
              <w:t>3</w:t>
            </w:r>
          </w:p>
        </w:tc>
        <w:tc>
          <w:tcPr>
            <w:tcW w:w="638" w:type="pct"/>
            <w:vAlign w:val="center"/>
          </w:tcPr>
          <w:p w14:paraId="07876058">
            <w:pPr>
              <w:widowControl w:val="0"/>
              <w:spacing w:before="100" w:beforeAutospacing="1" w:line="360" w:lineRule="exact"/>
              <w:jc w:val="center"/>
              <w:rPr>
                <w:color w:val="auto"/>
                <w:kern w:val="2"/>
                <w:sz w:val="21"/>
                <w:szCs w:val="21"/>
              </w:rPr>
            </w:pPr>
            <w:r>
              <w:rPr>
                <w:color w:val="auto"/>
                <w:kern w:val="2"/>
                <w:sz w:val="21"/>
                <w:szCs w:val="21"/>
              </w:rPr>
              <w:t>1</w:t>
            </w:r>
            <w:r>
              <w:rPr>
                <w:rFonts w:ascii="宋体" w:hAnsi="宋体"/>
                <w:color w:val="auto"/>
                <w:kern w:val="2"/>
                <w:sz w:val="21"/>
                <w:szCs w:val="21"/>
              </w:rPr>
              <w:t>小时平均</w:t>
            </w:r>
          </w:p>
        </w:tc>
        <w:tc>
          <w:tcPr>
            <w:tcW w:w="355" w:type="pct"/>
            <w:vAlign w:val="center"/>
          </w:tcPr>
          <w:p w14:paraId="6F87CE3B">
            <w:pPr>
              <w:widowControl w:val="0"/>
              <w:spacing w:before="100" w:beforeAutospacing="1" w:line="360" w:lineRule="exact"/>
              <w:jc w:val="center"/>
              <w:rPr>
                <w:color w:val="auto"/>
                <w:kern w:val="2"/>
                <w:sz w:val="21"/>
                <w:szCs w:val="21"/>
              </w:rPr>
            </w:pPr>
            <w:r>
              <w:rPr>
                <w:rFonts w:hint="eastAsia"/>
                <w:color w:val="auto"/>
                <w:kern w:val="2"/>
                <w:sz w:val="21"/>
                <w:szCs w:val="21"/>
              </w:rPr>
              <w:t>200</w:t>
            </w:r>
          </w:p>
        </w:tc>
        <w:tc>
          <w:tcPr>
            <w:tcW w:w="3318" w:type="pct"/>
            <w:vAlign w:val="center"/>
          </w:tcPr>
          <w:p w14:paraId="47FFAB76">
            <w:pPr>
              <w:widowControl w:val="0"/>
              <w:spacing w:before="100" w:beforeAutospacing="1" w:line="360" w:lineRule="exact"/>
              <w:jc w:val="center"/>
              <w:rPr>
                <w:color w:val="auto"/>
                <w:kern w:val="2"/>
                <w:sz w:val="21"/>
                <w:szCs w:val="21"/>
              </w:rPr>
            </w:pPr>
            <w:r>
              <w:rPr>
                <w:rFonts w:ascii="宋体" w:hAnsi="宋体"/>
                <w:color w:val="auto"/>
                <w:kern w:val="2"/>
                <w:sz w:val="21"/>
                <w:szCs w:val="21"/>
              </w:rPr>
              <w:t>《环境影响评价技术导则</w:t>
            </w:r>
            <w:r>
              <w:rPr>
                <w:color w:val="auto"/>
                <w:kern w:val="2"/>
                <w:sz w:val="21"/>
                <w:szCs w:val="21"/>
              </w:rPr>
              <w:t xml:space="preserve">  </w:t>
            </w:r>
            <w:r>
              <w:rPr>
                <w:rFonts w:ascii="宋体" w:hAnsi="宋体"/>
                <w:color w:val="auto"/>
                <w:kern w:val="2"/>
                <w:sz w:val="21"/>
                <w:szCs w:val="21"/>
              </w:rPr>
              <w:t>大气环境》（</w:t>
            </w:r>
            <w:r>
              <w:rPr>
                <w:color w:val="auto"/>
                <w:kern w:val="2"/>
                <w:sz w:val="21"/>
                <w:szCs w:val="21"/>
              </w:rPr>
              <w:t>HJ 2.2-2018</w:t>
            </w:r>
            <w:r>
              <w:rPr>
                <w:rFonts w:ascii="宋体" w:hAnsi="宋体"/>
                <w:color w:val="auto"/>
                <w:kern w:val="2"/>
                <w:sz w:val="21"/>
                <w:szCs w:val="21"/>
              </w:rPr>
              <w:t>）附录</w:t>
            </w:r>
            <w:r>
              <w:rPr>
                <w:color w:val="auto"/>
                <w:kern w:val="2"/>
                <w:sz w:val="21"/>
                <w:szCs w:val="21"/>
              </w:rPr>
              <w:t>D</w:t>
            </w:r>
          </w:p>
        </w:tc>
      </w:tr>
      <w:tr w14:paraId="0A61A25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76" w:type="pct"/>
            <w:vAlign w:val="center"/>
          </w:tcPr>
          <w:p w14:paraId="5E6DF9C4">
            <w:pPr>
              <w:widowControl w:val="0"/>
              <w:spacing w:before="100" w:beforeAutospacing="1" w:line="360" w:lineRule="exact"/>
              <w:jc w:val="center"/>
              <w:rPr>
                <w:color w:val="auto"/>
                <w:kern w:val="2"/>
                <w:sz w:val="21"/>
                <w:szCs w:val="21"/>
              </w:rPr>
            </w:pPr>
            <w:r>
              <w:rPr>
                <w:color w:val="auto"/>
                <w:kern w:val="2"/>
                <w:sz w:val="21"/>
                <w:szCs w:val="21"/>
              </w:rPr>
              <w:t>3</w:t>
            </w:r>
          </w:p>
        </w:tc>
        <w:tc>
          <w:tcPr>
            <w:tcW w:w="411" w:type="pct"/>
            <w:vAlign w:val="center"/>
          </w:tcPr>
          <w:p w14:paraId="3C13B5AF">
            <w:pPr>
              <w:widowControl w:val="0"/>
              <w:spacing w:before="100" w:beforeAutospacing="1" w:line="360" w:lineRule="exact"/>
              <w:jc w:val="center"/>
              <w:rPr>
                <w:color w:val="auto"/>
                <w:kern w:val="2"/>
                <w:sz w:val="21"/>
                <w:szCs w:val="21"/>
              </w:rPr>
            </w:pPr>
            <w:r>
              <w:rPr>
                <w:rFonts w:hint="eastAsia"/>
                <w:color w:val="auto"/>
                <w:kern w:val="2"/>
                <w:sz w:val="21"/>
                <w:szCs w:val="21"/>
              </w:rPr>
              <w:t>NMHC</w:t>
            </w:r>
          </w:p>
        </w:tc>
        <w:tc>
          <w:tcPr>
            <w:tcW w:w="638" w:type="pct"/>
            <w:vAlign w:val="center"/>
          </w:tcPr>
          <w:p w14:paraId="5B2DE07A">
            <w:pPr>
              <w:widowControl w:val="0"/>
              <w:spacing w:before="100" w:beforeAutospacing="1" w:line="360" w:lineRule="exact"/>
              <w:jc w:val="center"/>
              <w:rPr>
                <w:color w:val="auto"/>
                <w:kern w:val="2"/>
                <w:sz w:val="21"/>
                <w:szCs w:val="21"/>
              </w:rPr>
            </w:pPr>
            <w:r>
              <w:rPr>
                <w:color w:val="auto"/>
                <w:kern w:val="2"/>
                <w:sz w:val="21"/>
                <w:szCs w:val="21"/>
              </w:rPr>
              <w:t>1</w:t>
            </w:r>
            <w:r>
              <w:rPr>
                <w:rFonts w:ascii="宋体" w:hAnsi="宋体"/>
                <w:color w:val="auto"/>
                <w:kern w:val="2"/>
                <w:sz w:val="21"/>
                <w:szCs w:val="21"/>
              </w:rPr>
              <w:t>小时平均</w:t>
            </w:r>
          </w:p>
        </w:tc>
        <w:tc>
          <w:tcPr>
            <w:tcW w:w="355" w:type="pct"/>
            <w:vAlign w:val="center"/>
          </w:tcPr>
          <w:p w14:paraId="0A09835D">
            <w:pPr>
              <w:widowControl w:val="0"/>
              <w:spacing w:before="100" w:beforeAutospacing="1" w:line="360" w:lineRule="exact"/>
              <w:jc w:val="center"/>
              <w:rPr>
                <w:color w:val="auto"/>
                <w:kern w:val="2"/>
                <w:sz w:val="21"/>
                <w:szCs w:val="21"/>
              </w:rPr>
            </w:pPr>
            <w:r>
              <w:rPr>
                <w:rFonts w:hint="eastAsia"/>
                <w:color w:val="auto"/>
                <w:kern w:val="2"/>
                <w:sz w:val="21"/>
                <w:szCs w:val="21"/>
              </w:rPr>
              <w:t>2000</w:t>
            </w:r>
          </w:p>
        </w:tc>
        <w:tc>
          <w:tcPr>
            <w:tcW w:w="3318" w:type="pct"/>
            <w:vAlign w:val="center"/>
          </w:tcPr>
          <w:p w14:paraId="2A012E80">
            <w:pPr>
              <w:widowControl w:val="0"/>
              <w:spacing w:before="100" w:beforeAutospacing="1" w:line="360" w:lineRule="exact"/>
              <w:jc w:val="center"/>
              <w:rPr>
                <w:color w:val="auto"/>
                <w:kern w:val="2"/>
                <w:sz w:val="21"/>
                <w:szCs w:val="21"/>
              </w:rPr>
            </w:pPr>
            <w:r>
              <w:rPr>
                <w:rFonts w:ascii="宋体" w:hAnsi="宋体"/>
                <w:color w:val="auto"/>
                <w:kern w:val="2"/>
                <w:sz w:val="21"/>
                <w:szCs w:val="21"/>
              </w:rPr>
              <w:t>《</w:t>
            </w:r>
            <w:r>
              <w:rPr>
                <w:rFonts w:hint="eastAsia" w:ascii="宋体" w:hAnsi="宋体"/>
                <w:color w:val="auto"/>
                <w:kern w:val="2"/>
                <w:sz w:val="21"/>
                <w:szCs w:val="21"/>
              </w:rPr>
              <w:t>大气污染物</w:t>
            </w:r>
            <w:r>
              <w:rPr>
                <w:rFonts w:ascii="宋体" w:hAnsi="宋体"/>
                <w:color w:val="auto"/>
                <w:kern w:val="2"/>
                <w:sz w:val="21"/>
                <w:szCs w:val="21"/>
              </w:rPr>
              <w:t>综合排放</w:t>
            </w:r>
            <w:r>
              <w:rPr>
                <w:rFonts w:hint="eastAsia" w:ascii="宋体" w:hAnsi="宋体"/>
                <w:color w:val="auto"/>
                <w:kern w:val="2"/>
                <w:sz w:val="21"/>
                <w:szCs w:val="21"/>
              </w:rPr>
              <w:t>标准</w:t>
            </w:r>
            <w:r>
              <w:rPr>
                <w:rFonts w:ascii="宋体" w:hAnsi="宋体"/>
                <w:color w:val="auto"/>
                <w:kern w:val="2"/>
                <w:sz w:val="21"/>
                <w:szCs w:val="21"/>
              </w:rPr>
              <w:t>（</w:t>
            </w:r>
            <w:r>
              <w:rPr>
                <w:rFonts w:hint="eastAsia" w:ascii="宋体" w:hAnsi="宋体"/>
                <w:color w:val="auto"/>
                <w:kern w:val="2"/>
                <w:sz w:val="21"/>
                <w:szCs w:val="21"/>
              </w:rPr>
              <w:t>详解</w:t>
            </w:r>
            <w:r>
              <w:rPr>
                <w:rFonts w:ascii="宋体" w:hAnsi="宋体"/>
                <w:color w:val="auto"/>
                <w:kern w:val="2"/>
                <w:sz w:val="21"/>
                <w:szCs w:val="21"/>
              </w:rPr>
              <w:t>）》（</w:t>
            </w:r>
            <w:r>
              <w:rPr>
                <w:rFonts w:hint="eastAsia"/>
                <w:color w:val="auto"/>
                <w:kern w:val="2"/>
                <w:sz w:val="21"/>
                <w:szCs w:val="21"/>
              </w:rPr>
              <w:t>GB</w:t>
            </w:r>
            <w:r>
              <w:rPr>
                <w:color w:val="auto"/>
                <w:kern w:val="2"/>
                <w:sz w:val="21"/>
                <w:szCs w:val="21"/>
              </w:rPr>
              <w:t>16297-1996</w:t>
            </w:r>
            <w:r>
              <w:rPr>
                <w:rFonts w:hint="eastAsia" w:ascii="宋体" w:hAnsi="宋体"/>
                <w:color w:val="auto"/>
                <w:kern w:val="2"/>
                <w:sz w:val="21"/>
                <w:szCs w:val="21"/>
              </w:rPr>
              <w:t>）</w:t>
            </w:r>
          </w:p>
        </w:tc>
      </w:tr>
      <w:tr w14:paraId="788FCE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76" w:type="pct"/>
            <w:vAlign w:val="center"/>
          </w:tcPr>
          <w:p w14:paraId="7917EE84">
            <w:pPr>
              <w:widowControl w:val="0"/>
              <w:spacing w:before="100" w:beforeAutospacing="1" w:line="360" w:lineRule="exact"/>
              <w:jc w:val="center"/>
              <w:rPr>
                <w:rFonts w:hint="eastAsia" w:eastAsia="宋体"/>
                <w:color w:val="auto"/>
                <w:kern w:val="2"/>
                <w:sz w:val="21"/>
                <w:szCs w:val="21"/>
                <w:lang w:val="en-US" w:eastAsia="zh-CN"/>
              </w:rPr>
            </w:pPr>
            <w:r>
              <w:rPr>
                <w:rFonts w:hint="eastAsia"/>
                <w:color w:val="auto"/>
                <w:kern w:val="2"/>
                <w:sz w:val="21"/>
                <w:szCs w:val="21"/>
                <w:lang w:val="en-US" w:eastAsia="zh-CN"/>
              </w:rPr>
              <w:t>4</w:t>
            </w:r>
          </w:p>
        </w:tc>
        <w:tc>
          <w:tcPr>
            <w:tcW w:w="411" w:type="pct"/>
            <w:vAlign w:val="center"/>
          </w:tcPr>
          <w:p w14:paraId="262631B8">
            <w:pPr>
              <w:widowControl w:val="0"/>
              <w:spacing w:before="100" w:beforeAutospacing="1" w:line="360" w:lineRule="exact"/>
              <w:jc w:val="center"/>
              <w:rPr>
                <w:color w:val="auto"/>
                <w:kern w:val="2"/>
                <w:sz w:val="21"/>
                <w:szCs w:val="21"/>
              </w:rPr>
            </w:pPr>
            <w:r>
              <w:rPr>
                <w:rFonts w:hint="eastAsia"/>
                <w:color w:val="auto"/>
                <w:kern w:val="2"/>
                <w:sz w:val="21"/>
                <w:szCs w:val="21"/>
              </w:rPr>
              <w:t>TSP</w:t>
            </w:r>
          </w:p>
        </w:tc>
        <w:tc>
          <w:tcPr>
            <w:tcW w:w="638" w:type="pct"/>
            <w:vAlign w:val="center"/>
          </w:tcPr>
          <w:p w14:paraId="224E2BC0">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日均值</w:t>
            </w:r>
          </w:p>
        </w:tc>
        <w:tc>
          <w:tcPr>
            <w:tcW w:w="355" w:type="pct"/>
            <w:vAlign w:val="center"/>
          </w:tcPr>
          <w:p w14:paraId="2BF1184D">
            <w:pPr>
              <w:widowControl w:val="0"/>
              <w:spacing w:before="100" w:beforeAutospacing="1" w:line="360" w:lineRule="exact"/>
              <w:jc w:val="center"/>
              <w:rPr>
                <w:color w:val="auto"/>
                <w:kern w:val="2"/>
                <w:sz w:val="21"/>
                <w:szCs w:val="21"/>
              </w:rPr>
            </w:pPr>
            <w:r>
              <w:rPr>
                <w:rFonts w:hint="eastAsia"/>
                <w:color w:val="auto"/>
                <w:kern w:val="2"/>
                <w:sz w:val="21"/>
                <w:szCs w:val="21"/>
              </w:rPr>
              <w:t>300</w:t>
            </w:r>
          </w:p>
        </w:tc>
        <w:tc>
          <w:tcPr>
            <w:tcW w:w="3318" w:type="pct"/>
            <w:vAlign w:val="center"/>
          </w:tcPr>
          <w:p w14:paraId="5B3E1A9D">
            <w:pPr>
              <w:widowControl w:val="0"/>
              <w:spacing w:before="100" w:beforeAutospacing="1" w:line="360" w:lineRule="exact"/>
              <w:jc w:val="center"/>
              <w:rPr>
                <w:color w:val="auto"/>
                <w:kern w:val="2"/>
                <w:sz w:val="21"/>
                <w:szCs w:val="21"/>
              </w:rPr>
            </w:pPr>
            <w:r>
              <w:rPr>
                <w:rFonts w:ascii="宋体" w:hAnsi="宋体"/>
                <w:color w:val="auto"/>
                <w:kern w:val="2"/>
                <w:sz w:val="21"/>
                <w:szCs w:val="21"/>
              </w:rPr>
              <w:t>《</w:t>
            </w:r>
            <w:r>
              <w:rPr>
                <w:rFonts w:hint="eastAsia" w:ascii="宋体" w:hAnsi="宋体"/>
                <w:color w:val="auto"/>
                <w:kern w:val="2"/>
                <w:sz w:val="21"/>
                <w:szCs w:val="21"/>
              </w:rPr>
              <w:t>环境空气质量标准</w:t>
            </w:r>
            <w:r>
              <w:rPr>
                <w:rFonts w:ascii="宋体" w:hAnsi="宋体"/>
                <w:color w:val="auto"/>
                <w:kern w:val="2"/>
                <w:sz w:val="21"/>
                <w:szCs w:val="21"/>
              </w:rPr>
              <w:t>》（</w:t>
            </w:r>
            <w:r>
              <w:rPr>
                <w:rFonts w:hint="eastAsia"/>
                <w:color w:val="auto"/>
                <w:kern w:val="2"/>
                <w:sz w:val="21"/>
                <w:szCs w:val="21"/>
              </w:rPr>
              <w:t>GB3095</w:t>
            </w:r>
            <w:r>
              <w:rPr>
                <w:color w:val="auto"/>
                <w:kern w:val="2"/>
                <w:sz w:val="21"/>
                <w:szCs w:val="21"/>
              </w:rPr>
              <w:t>-201</w:t>
            </w:r>
            <w:r>
              <w:rPr>
                <w:rFonts w:hint="eastAsia"/>
                <w:color w:val="auto"/>
                <w:kern w:val="2"/>
                <w:sz w:val="21"/>
                <w:szCs w:val="21"/>
              </w:rPr>
              <w:t>2</w:t>
            </w:r>
            <w:r>
              <w:rPr>
                <w:rFonts w:ascii="宋体" w:hAnsi="宋体"/>
                <w:color w:val="auto"/>
                <w:kern w:val="2"/>
                <w:sz w:val="21"/>
                <w:szCs w:val="21"/>
              </w:rPr>
              <w:t>）</w:t>
            </w:r>
            <w:r>
              <w:rPr>
                <w:rFonts w:hint="eastAsia" w:ascii="宋体" w:hAnsi="宋体"/>
                <w:color w:val="auto"/>
                <w:kern w:val="2"/>
                <w:sz w:val="21"/>
                <w:szCs w:val="21"/>
              </w:rPr>
              <w:t>修改单</w:t>
            </w:r>
          </w:p>
        </w:tc>
      </w:tr>
      <w:tr w14:paraId="0E43AE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76" w:type="pct"/>
            <w:vAlign w:val="center"/>
          </w:tcPr>
          <w:p w14:paraId="3FEA54F0">
            <w:pPr>
              <w:widowControl w:val="0"/>
              <w:spacing w:before="100" w:beforeAutospacing="1" w:line="360" w:lineRule="exact"/>
              <w:jc w:val="center"/>
              <w:rPr>
                <w:rFonts w:hint="eastAsia" w:eastAsia="宋体"/>
                <w:color w:val="auto"/>
                <w:kern w:val="2"/>
                <w:sz w:val="21"/>
                <w:szCs w:val="21"/>
                <w:lang w:val="en-US" w:eastAsia="zh-CN"/>
              </w:rPr>
            </w:pPr>
            <w:r>
              <w:rPr>
                <w:rFonts w:hint="eastAsia"/>
                <w:color w:val="auto"/>
                <w:kern w:val="2"/>
                <w:sz w:val="21"/>
                <w:szCs w:val="21"/>
                <w:lang w:val="en-US" w:eastAsia="zh-CN"/>
              </w:rPr>
              <w:t>5</w:t>
            </w:r>
          </w:p>
        </w:tc>
        <w:tc>
          <w:tcPr>
            <w:tcW w:w="411" w:type="pct"/>
            <w:vAlign w:val="center"/>
          </w:tcPr>
          <w:p w14:paraId="1BC9437F">
            <w:pPr>
              <w:widowControl w:val="0"/>
              <w:spacing w:before="100" w:beforeAutospacing="1" w:line="360" w:lineRule="exact"/>
              <w:jc w:val="center"/>
              <w:rPr>
                <w:color w:val="auto"/>
                <w:kern w:val="2"/>
                <w:sz w:val="21"/>
                <w:szCs w:val="21"/>
              </w:rPr>
            </w:pPr>
            <w:r>
              <w:rPr>
                <w:rFonts w:hint="eastAsia"/>
                <w:color w:val="auto"/>
                <w:kern w:val="2"/>
                <w:sz w:val="21"/>
                <w:szCs w:val="21"/>
              </w:rPr>
              <w:t>锰及其化合物</w:t>
            </w:r>
          </w:p>
        </w:tc>
        <w:tc>
          <w:tcPr>
            <w:tcW w:w="638" w:type="pct"/>
            <w:vAlign w:val="center"/>
          </w:tcPr>
          <w:p w14:paraId="132F1D7B">
            <w:pPr>
              <w:widowControl w:val="0"/>
              <w:spacing w:before="100" w:beforeAutospacing="1" w:line="360" w:lineRule="exact"/>
              <w:jc w:val="center"/>
              <w:rPr>
                <w:rFonts w:hint="eastAsia" w:ascii="宋体" w:hAnsi="宋体"/>
                <w:color w:val="auto"/>
                <w:kern w:val="2"/>
                <w:sz w:val="21"/>
                <w:szCs w:val="21"/>
              </w:rPr>
            </w:pPr>
            <w:r>
              <w:rPr>
                <w:rFonts w:hint="eastAsia" w:ascii="宋体" w:hAnsi="宋体"/>
                <w:color w:val="auto"/>
                <w:kern w:val="2"/>
                <w:sz w:val="21"/>
                <w:szCs w:val="21"/>
              </w:rPr>
              <w:t>日均值</w:t>
            </w:r>
          </w:p>
        </w:tc>
        <w:tc>
          <w:tcPr>
            <w:tcW w:w="355" w:type="pct"/>
            <w:vAlign w:val="center"/>
          </w:tcPr>
          <w:p w14:paraId="118AAFF5">
            <w:pPr>
              <w:widowControl w:val="0"/>
              <w:spacing w:before="100" w:beforeAutospacing="1" w:line="360" w:lineRule="exact"/>
              <w:jc w:val="center"/>
              <w:rPr>
                <w:color w:val="auto"/>
                <w:kern w:val="2"/>
                <w:sz w:val="21"/>
                <w:szCs w:val="21"/>
              </w:rPr>
            </w:pPr>
            <w:r>
              <w:rPr>
                <w:rFonts w:hint="eastAsia"/>
                <w:color w:val="auto"/>
                <w:kern w:val="2"/>
                <w:sz w:val="21"/>
                <w:szCs w:val="21"/>
              </w:rPr>
              <w:t>10</w:t>
            </w:r>
          </w:p>
        </w:tc>
        <w:tc>
          <w:tcPr>
            <w:tcW w:w="3318" w:type="pct"/>
            <w:vAlign w:val="center"/>
          </w:tcPr>
          <w:p w14:paraId="108D0D4B">
            <w:pPr>
              <w:widowControl w:val="0"/>
              <w:spacing w:before="100" w:beforeAutospacing="1" w:line="360" w:lineRule="exact"/>
              <w:jc w:val="center"/>
              <w:rPr>
                <w:rFonts w:hint="eastAsia" w:ascii="宋体" w:hAnsi="宋体"/>
                <w:color w:val="auto"/>
                <w:kern w:val="2"/>
                <w:sz w:val="21"/>
                <w:szCs w:val="21"/>
              </w:rPr>
            </w:pPr>
            <w:r>
              <w:rPr>
                <w:rFonts w:ascii="宋体" w:hAnsi="宋体"/>
                <w:color w:val="auto"/>
                <w:kern w:val="2"/>
                <w:sz w:val="21"/>
                <w:szCs w:val="21"/>
              </w:rPr>
              <w:t>《环境影响评价技术导则</w:t>
            </w:r>
            <w:r>
              <w:rPr>
                <w:color w:val="auto"/>
                <w:kern w:val="2"/>
                <w:sz w:val="21"/>
                <w:szCs w:val="21"/>
              </w:rPr>
              <w:t xml:space="preserve">  </w:t>
            </w:r>
            <w:r>
              <w:rPr>
                <w:rFonts w:ascii="宋体" w:hAnsi="宋体"/>
                <w:color w:val="auto"/>
                <w:kern w:val="2"/>
                <w:sz w:val="21"/>
                <w:szCs w:val="21"/>
              </w:rPr>
              <w:t>大气环境》（</w:t>
            </w:r>
            <w:r>
              <w:rPr>
                <w:color w:val="auto"/>
                <w:kern w:val="2"/>
                <w:sz w:val="21"/>
                <w:szCs w:val="21"/>
              </w:rPr>
              <w:t>HJ 2.2-2018</w:t>
            </w:r>
            <w:r>
              <w:rPr>
                <w:rFonts w:ascii="宋体" w:hAnsi="宋体"/>
                <w:color w:val="auto"/>
                <w:kern w:val="2"/>
                <w:sz w:val="21"/>
                <w:szCs w:val="21"/>
              </w:rPr>
              <w:t>）附录</w:t>
            </w:r>
            <w:r>
              <w:rPr>
                <w:color w:val="auto"/>
                <w:kern w:val="2"/>
                <w:sz w:val="21"/>
                <w:szCs w:val="21"/>
              </w:rPr>
              <w:t>D</w:t>
            </w:r>
          </w:p>
        </w:tc>
      </w:tr>
      <w:tr w14:paraId="0625744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76" w:type="pct"/>
            <w:vAlign w:val="center"/>
          </w:tcPr>
          <w:p w14:paraId="5579A861">
            <w:pPr>
              <w:widowControl w:val="0"/>
              <w:spacing w:before="100" w:beforeAutospacing="1" w:line="360" w:lineRule="exact"/>
              <w:jc w:val="center"/>
              <w:rPr>
                <w:rFonts w:hint="eastAsia" w:eastAsia="宋体"/>
                <w:color w:val="auto"/>
                <w:kern w:val="2"/>
                <w:sz w:val="21"/>
                <w:szCs w:val="21"/>
                <w:lang w:val="en-US" w:eastAsia="zh-CN"/>
              </w:rPr>
            </w:pPr>
            <w:r>
              <w:rPr>
                <w:rFonts w:hint="eastAsia"/>
                <w:color w:val="auto"/>
                <w:kern w:val="2"/>
                <w:sz w:val="21"/>
                <w:szCs w:val="21"/>
                <w:lang w:val="en-US" w:eastAsia="zh-CN"/>
              </w:rPr>
              <w:t>6</w:t>
            </w:r>
          </w:p>
        </w:tc>
        <w:tc>
          <w:tcPr>
            <w:tcW w:w="411" w:type="pct"/>
            <w:vAlign w:val="center"/>
          </w:tcPr>
          <w:p w14:paraId="373D61C9">
            <w:pPr>
              <w:widowControl w:val="0"/>
              <w:spacing w:before="100" w:beforeAutospacing="1" w:line="360" w:lineRule="exact"/>
              <w:jc w:val="center"/>
              <w:rPr>
                <w:color w:val="auto"/>
                <w:kern w:val="2"/>
                <w:sz w:val="21"/>
                <w:szCs w:val="21"/>
              </w:rPr>
            </w:pPr>
            <w:r>
              <w:rPr>
                <w:rFonts w:hint="eastAsia"/>
                <w:color w:val="auto"/>
                <w:kern w:val="2"/>
                <w:sz w:val="21"/>
                <w:szCs w:val="21"/>
              </w:rPr>
              <w:t>镍及其化合物</w:t>
            </w:r>
          </w:p>
        </w:tc>
        <w:tc>
          <w:tcPr>
            <w:tcW w:w="638" w:type="pct"/>
            <w:vAlign w:val="center"/>
          </w:tcPr>
          <w:p w14:paraId="48DD3FF9">
            <w:pPr>
              <w:widowControl w:val="0"/>
              <w:spacing w:before="100" w:beforeAutospacing="1" w:line="360" w:lineRule="exact"/>
              <w:jc w:val="center"/>
              <w:rPr>
                <w:rFonts w:hint="eastAsia" w:ascii="宋体" w:hAnsi="宋体"/>
                <w:color w:val="auto"/>
                <w:kern w:val="2"/>
                <w:sz w:val="21"/>
                <w:szCs w:val="21"/>
              </w:rPr>
            </w:pPr>
            <w:r>
              <w:rPr>
                <w:rFonts w:hint="eastAsia" w:ascii="宋体" w:hAnsi="宋体"/>
                <w:color w:val="auto"/>
                <w:kern w:val="2"/>
                <w:sz w:val="21"/>
                <w:szCs w:val="21"/>
              </w:rPr>
              <w:t>日均值</w:t>
            </w:r>
          </w:p>
        </w:tc>
        <w:tc>
          <w:tcPr>
            <w:tcW w:w="355" w:type="pct"/>
            <w:vAlign w:val="center"/>
          </w:tcPr>
          <w:p w14:paraId="6AEC1922">
            <w:pPr>
              <w:widowControl w:val="0"/>
              <w:spacing w:before="100" w:beforeAutospacing="1" w:line="360" w:lineRule="exact"/>
              <w:jc w:val="center"/>
              <w:rPr>
                <w:color w:val="auto"/>
                <w:kern w:val="2"/>
                <w:sz w:val="21"/>
                <w:szCs w:val="21"/>
              </w:rPr>
            </w:pPr>
            <w:r>
              <w:rPr>
                <w:rFonts w:hint="eastAsia"/>
                <w:color w:val="auto"/>
                <w:kern w:val="2"/>
                <w:sz w:val="21"/>
                <w:szCs w:val="21"/>
              </w:rPr>
              <w:t>40</w:t>
            </w:r>
          </w:p>
        </w:tc>
        <w:tc>
          <w:tcPr>
            <w:tcW w:w="3318" w:type="pct"/>
            <w:vAlign w:val="center"/>
          </w:tcPr>
          <w:p w14:paraId="7E8D19D8">
            <w:pPr>
              <w:widowControl w:val="0"/>
              <w:spacing w:before="100" w:beforeAutospacing="1" w:line="360" w:lineRule="exact"/>
              <w:jc w:val="center"/>
              <w:rPr>
                <w:rFonts w:hint="eastAsia" w:ascii="宋体" w:hAnsi="宋体"/>
                <w:color w:val="auto"/>
                <w:kern w:val="2"/>
                <w:sz w:val="21"/>
                <w:szCs w:val="21"/>
              </w:rPr>
            </w:pPr>
            <w:r>
              <w:rPr>
                <w:rFonts w:ascii="宋体" w:hAnsi="宋体"/>
                <w:color w:val="auto"/>
                <w:kern w:val="2"/>
                <w:sz w:val="21"/>
                <w:szCs w:val="21"/>
              </w:rPr>
              <w:t>《</w:t>
            </w:r>
            <w:r>
              <w:rPr>
                <w:rFonts w:hint="eastAsia" w:ascii="宋体" w:hAnsi="宋体"/>
                <w:color w:val="auto"/>
                <w:kern w:val="2"/>
                <w:sz w:val="21"/>
                <w:szCs w:val="21"/>
              </w:rPr>
              <w:t>大气污染物</w:t>
            </w:r>
            <w:r>
              <w:rPr>
                <w:rFonts w:ascii="宋体" w:hAnsi="宋体"/>
                <w:color w:val="auto"/>
                <w:kern w:val="2"/>
                <w:sz w:val="21"/>
                <w:szCs w:val="21"/>
              </w:rPr>
              <w:t>综合排放</w:t>
            </w:r>
            <w:r>
              <w:rPr>
                <w:rFonts w:hint="eastAsia" w:ascii="宋体" w:hAnsi="宋体"/>
                <w:color w:val="auto"/>
                <w:kern w:val="2"/>
                <w:sz w:val="21"/>
                <w:szCs w:val="21"/>
              </w:rPr>
              <w:t>标准</w:t>
            </w:r>
            <w:r>
              <w:rPr>
                <w:rFonts w:ascii="宋体" w:hAnsi="宋体"/>
                <w:color w:val="auto"/>
                <w:kern w:val="2"/>
                <w:sz w:val="21"/>
                <w:szCs w:val="21"/>
              </w:rPr>
              <w:t>（</w:t>
            </w:r>
            <w:r>
              <w:rPr>
                <w:rFonts w:hint="eastAsia" w:ascii="宋体" w:hAnsi="宋体"/>
                <w:color w:val="auto"/>
                <w:kern w:val="2"/>
                <w:sz w:val="21"/>
                <w:szCs w:val="21"/>
              </w:rPr>
              <w:t>详解</w:t>
            </w:r>
            <w:r>
              <w:rPr>
                <w:rFonts w:ascii="宋体" w:hAnsi="宋体"/>
                <w:color w:val="auto"/>
                <w:kern w:val="2"/>
                <w:sz w:val="21"/>
                <w:szCs w:val="21"/>
              </w:rPr>
              <w:t>）》（</w:t>
            </w:r>
            <w:r>
              <w:rPr>
                <w:rFonts w:hint="eastAsia"/>
                <w:color w:val="auto"/>
                <w:kern w:val="2"/>
                <w:sz w:val="21"/>
                <w:szCs w:val="21"/>
              </w:rPr>
              <w:t>GB</w:t>
            </w:r>
            <w:r>
              <w:rPr>
                <w:color w:val="auto"/>
                <w:kern w:val="2"/>
                <w:sz w:val="21"/>
                <w:szCs w:val="21"/>
              </w:rPr>
              <w:t>16297-1996</w:t>
            </w:r>
            <w:r>
              <w:rPr>
                <w:rFonts w:hint="eastAsia" w:ascii="宋体" w:hAnsi="宋体"/>
                <w:color w:val="auto"/>
                <w:kern w:val="2"/>
                <w:sz w:val="21"/>
                <w:szCs w:val="21"/>
              </w:rPr>
              <w:t>）</w:t>
            </w:r>
          </w:p>
        </w:tc>
      </w:tr>
    </w:tbl>
    <w:p w14:paraId="65EA5E32">
      <w:pPr>
        <w:pStyle w:val="132"/>
        <w:rPr>
          <w:color w:val="auto"/>
        </w:rPr>
      </w:pPr>
      <w:r>
        <w:rPr>
          <w:rFonts w:hint="eastAsia"/>
          <w:color w:val="auto"/>
        </w:rPr>
        <w:t>（</w:t>
      </w:r>
      <w:r>
        <w:rPr>
          <w:color w:val="auto"/>
        </w:rPr>
        <w:t>2</w:t>
      </w:r>
      <w:r>
        <w:rPr>
          <w:rFonts w:hint="eastAsia"/>
          <w:color w:val="auto"/>
        </w:rPr>
        <w:t>）</w:t>
      </w:r>
      <w:r>
        <w:rPr>
          <w:color w:val="auto"/>
        </w:rPr>
        <w:t>评价方法</w:t>
      </w:r>
    </w:p>
    <w:p w14:paraId="6B2C89EA">
      <w:pPr>
        <w:pStyle w:val="132"/>
        <w:rPr>
          <w:color w:val="auto"/>
        </w:rPr>
      </w:pPr>
      <w:r>
        <w:rPr>
          <w:color w:val="auto"/>
        </w:rPr>
        <w:t>监测结果采用占标率对现状进行评价，评价计算公式为：</w:t>
      </w:r>
    </w:p>
    <w:p w14:paraId="26B3C979">
      <w:pPr>
        <w:pStyle w:val="132"/>
        <w:rPr>
          <w:color w:val="auto"/>
        </w:rPr>
      </w:pPr>
      <w:r>
        <w:rPr>
          <w:color w:val="auto"/>
        </w:rPr>
        <w:drawing>
          <wp:inline distT="0" distB="0" distL="0" distR="0">
            <wp:extent cx="526415" cy="46609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6415" cy="466090"/>
                    </a:xfrm>
                    <a:prstGeom prst="rect">
                      <a:avLst/>
                    </a:prstGeom>
                    <a:noFill/>
                    <a:ln>
                      <a:noFill/>
                    </a:ln>
                  </pic:spPr>
                </pic:pic>
              </a:graphicData>
            </a:graphic>
          </wp:inline>
        </w:drawing>
      </w:r>
    </w:p>
    <w:p w14:paraId="5A44FD59">
      <w:pPr>
        <w:pStyle w:val="132"/>
        <w:rPr>
          <w:color w:val="auto"/>
        </w:rPr>
      </w:pPr>
      <w:r>
        <w:rPr>
          <w:color w:val="auto"/>
        </w:rPr>
        <w:t>式中：Ci——i污染物不同采样时间的浓度值，</w:t>
      </w:r>
      <w:r>
        <w:rPr>
          <w:color w:val="auto"/>
          <w:sz w:val="21"/>
          <w:szCs w:val="21"/>
        </w:rPr>
        <w:t>µg/Nm</w:t>
      </w:r>
      <w:r>
        <w:rPr>
          <w:color w:val="auto"/>
          <w:sz w:val="21"/>
          <w:szCs w:val="21"/>
          <w:vertAlign w:val="superscript"/>
        </w:rPr>
        <w:t>3</w:t>
      </w:r>
      <w:r>
        <w:rPr>
          <w:color w:val="auto"/>
        </w:rPr>
        <w:t>；</w:t>
      </w:r>
    </w:p>
    <w:p w14:paraId="23B829BB">
      <w:pPr>
        <w:pStyle w:val="132"/>
        <w:rPr>
          <w:color w:val="auto"/>
        </w:rPr>
      </w:pPr>
      <w:r>
        <w:rPr>
          <w:color w:val="auto"/>
        </w:rPr>
        <w:t>Coi——i污染物环境质量标准，</w:t>
      </w:r>
      <w:r>
        <w:rPr>
          <w:color w:val="auto"/>
          <w:sz w:val="21"/>
          <w:szCs w:val="21"/>
        </w:rPr>
        <w:t>µg/Nm</w:t>
      </w:r>
      <w:r>
        <w:rPr>
          <w:color w:val="auto"/>
          <w:sz w:val="21"/>
          <w:szCs w:val="21"/>
          <w:vertAlign w:val="superscript"/>
        </w:rPr>
        <w:t>3</w:t>
      </w:r>
      <w:r>
        <w:rPr>
          <w:color w:val="auto"/>
        </w:rPr>
        <w:t>；</w:t>
      </w:r>
    </w:p>
    <w:p w14:paraId="6B25C213">
      <w:pPr>
        <w:pStyle w:val="132"/>
        <w:rPr>
          <w:color w:val="auto"/>
        </w:rPr>
      </w:pPr>
      <w:r>
        <w:rPr>
          <w:color w:val="auto"/>
        </w:rPr>
        <w:t>Pi——污染物占标率。</w:t>
      </w:r>
    </w:p>
    <w:p w14:paraId="22933642">
      <w:pPr>
        <w:pStyle w:val="132"/>
        <w:rPr>
          <w:color w:val="auto"/>
        </w:rPr>
      </w:pPr>
      <w:r>
        <w:rPr>
          <w:color w:val="auto"/>
        </w:rPr>
        <w:t>当Pi≥100%时，表示i污染物超标，Pi＜100%时，为未超标。</w:t>
      </w:r>
    </w:p>
    <w:p w14:paraId="0495566D">
      <w:pPr>
        <w:pStyle w:val="132"/>
        <w:rPr>
          <w:color w:val="auto"/>
        </w:rPr>
      </w:pPr>
      <w:r>
        <w:rPr>
          <w:rFonts w:hint="eastAsia"/>
          <w:color w:val="auto"/>
        </w:rPr>
        <w:t>（</w:t>
      </w:r>
      <w:r>
        <w:rPr>
          <w:color w:val="auto"/>
        </w:rPr>
        <w:t>3</w:t>
      </w:r>
      <w:r>
        <w:rPr>
          <w:rFonts w:hint="eastAsia"/>
          <w:color w:val="auto"/>
        </w:rPr>
        <w:t>）</w:t>
      </w:r>
      <w:r>
        <w:rPr>
          <w:color w:val="auto"/>
        </w:rPr>
        <w:t>评价结果</w:t>
      </w:r>
    </w:p>
    <w:p w14:paraId="70213BE8">
      <w:pPr>
        <w:pStyle w:val="132"/>
        <w:rPr>
          <w:color w:val="auto"/>
        </w:rPr>
      </w:pPr>
      <w:r>
        <w:rPr>
          <w:color w:val="auto"/>
        </w:rPr>
        <w:t>各污染物的监测和评价结果见</w:t>
      </w:r>
      <w:r>
        <w:rPr>
          <w:rFonts w:hint="eastAsia"/>
          <w:color w:val="auto"/>
        </w:rPr>
        <w:t>表1.6-5。</w:t>
      </w:r>
    </w:p>
    <w:p w14:paraId="460428D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rFonts w:hint="eastAsia"/>
          <w:color w:val="auto"/>
        </w:rPr>
        <w:t xml:space="preserve">   其他污染物监测统计结果  单位：mg/m</w:t>
      </w:r>
      <w:r>
        <w:rPr>
          <w:rFonts w:hint="eastAsia"/>
          <w:color w:val="auto"/>
          <w:vertAlign w:val="superscript"/>
        </w:rPr>
        <w:t>3</w:t>
      </w:r>
    </w:p>
    <w:tbl>
      <w:tblPr>
        <w:tblStyle w:val="1937"/>
        <w:tblW w:w="4912"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706"/>
        <w:gridCol w:w="1477"/>
        <w:gridCol w:w="1205"/>
        <w:gridCol w:w="1098"/>
        <w:gridCol w:w="1342"/>
        <w:gridCol w:w="1210"/>
        <w:gridCol w:w="872"/>
        <w:gridCol w:w="722"/>
      </w:tblGrid>
      <w:tr w14:paraId="3BA64C0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408" w:type="pct"/>
            <w:vAlign w:val="center"/>
          </w:tcPr>
          <w:p w14:paraId="289FC029">
            <w:pPr>
              <w:widowControl w:val="0"/>
              <w:spacing w:before="100" w:beforeAutospacing="1" w:line="360" w:lineRule="exact"/>
              <w:jc w:val="center"/>
              <w:rPr>
                <w:color w:val="auto"/>
                <w:kern w:val="2"/>
                <w:sz w:val="21"/>
                <w:szCs w:val="21"/>
              </w:rPr>
            </w:pPr>
            <w:r>
              <w:rPr>
                <w:rFonts w:ascii="宋体" w:hAnsi="宋体"/>
                <w:color w:val="auto"/>
                <w:kern w:val="2"/>
                <w:sz w:val="21"/>
                <w:szCs w:val="21"/>
              </w:rPr>
              <w:t>点位</w:t>
            </w:r>
          </w:p>
          <w:p w14:paraId="139BA8A2">
            <w:pPr>
              <w:widowControl w:val="0"/>
              <w:spacing w:before="100" w:beforeAutospacing="1" w:line="360" w:lineRule="exact"/>
              <w:jc w:val="center"/>
              <w:rPr>
                <w:color w:val="auto"/>
                <w:kern w:val="2"/>
                <w:sz w:val="21"/>
                <w:szCs w:val="21"/>
              </w:rPr>
            </w:pPr>
            <w:r>
              <w:rPr>
                <w:rFonts w:ascii="宋体" w:hAnsi="宋体"/>
                <w:color w:val="auto"/>
                <w:kern w:val="2"/>
                <w:sz w:val="21"/>
                <w:szCs w:val="21"/>
              </w:rPr>
              <w:t>名称</w:t>
            </w:r>
          </w:p>
        </w:tc>
        <w:tc>
          <w:tcPr>
            <w:tcW w:w="855" w:type="pct"/>
            <w:vAlign w:val="center"/>
          </w:tcPr>
          <w:p w14:paraId="55A10A1E">
            <w:pPr>
              <w:widowControl w:val="0"/>
              <w:spacing w:before="100" w:beforeAutospacing="1" w:line="360" w:lineRule="exact"/>
              <w:jc w:val="center"/>
              <w:rPr>
                <w:color w:val="auto"/>
                <w:kern w:val="2"/>
                <w:sz w:val="21"/>
                <w:szCs w:val="21"/>
              </w:rPr>
            </w:pPr>
            <w:r>
              <w:rPr>
                <w:rFonts w:ascii="宋体" w:hAnsi="宋体"/>
                <w:color w:val="auto"/>
                <w:kern w:val="2"/>
                <w:sz w:val="21"/>
                <w:szCs w:val="21"/>
              </w:rPr>
              <w:t>污染物</w:t>
            </w:r>
          </w:p>
        </w:tc>
        <w:tc>
          <w:tcPr>
            <w:tcW w:w="698" w:type="pct"/>
            <w:vAlign w:val="center"/>
          </w:tcPr>
          <w:p w14:paraId="1E0E14BD">
            <w:pPr>
              <w:widowControl w:val="0"/>
              <w:spacing w:before="100" w:beforeAutospacing="1" w:line="360" w:lineRule="exact"/>
              <w:jc w:val="center"/>
              <w:rPr>
                <w:color w:val="auto"/>
                <w:kern w:val="2"/>
                <w:sz w:val="21"/>
                <w:szCs w:val="21"/>
              </w:rPr>
            </w:pPr>
            <w:r>
              <w:rPr>
                <w:rFonts w:ascii="宋体" w:hAnsi="宋体"/>
                <w:color w:val="auto"/>
                <w:kern w:val="2"/>
                <w:sz w:val="21"/>
                <w:szCs w:val="21"/>
              </w:rPr>
              <w:t>平均时间</w:t>
            </w:r>
          </w:p>
        </w:tc>
        <w:tc>
          <w:tcPr>
            <w:tcW w:w="635" w:type="pct"/>
            <w:vAlign w:val="center"/>
          </w:tcPr>
          <w:p w14:paraId="1D3E6975">
            <w:pPr>
              <w:widowControl w:val="0"/>
              <w:spacing w:before="100" w:beforeAutospacing="1" w:line="360" w:lineRule="exact"/>
              <w:jc w:val="center"/>
              <w:rPr>
                <w:color w:val="auto"/>
                <w:kern w:val="2"/>
                <w:sz w:val="21"/>
                <w:szCs w:val="21"/>
              </w:rPr>
            </w:pPr>
            <w:r>
              <w:rPr>
                <w:rFonts w:ascii="宋体" w:hAnsi="宋体"/>
                <w:color w:val="auto"/>
                <w:kern w:val="2"/>
                <w:sz w:val="21"/>
                <w:szCs w:val="21"/>
              </w:rPr>
              <w:t>评价标准（</w:t>
            </w:r>
            <w:r>
              <w:rPr>
                <w:color w:val="auto"/>
                <w:kern w:val="2"/>
                <w:sz w:val="21"/>
                <w:szCs w:val="21"/>
              </w:rPr>
              <w:t>µg/Nm</w:t>
            </w:r>
            <w:r>
              <w:rPr>
                <w:color w:val="auto"/>
                <w:kern w:val="2"/>
                <w:sz w:val="21"/>
                <w:szCs w:val="21"/>
                <w:vertAlign w:val="superscript"/>
              </w:rPr>
              <w:t>3</w:t>
            </w:r>
            <w:r>
              <w:rPr>
                <w:rFonts w:ascii="宋体" w:hAnsi="宋体"/>
                <w:color w:val="auto"/>
                <w:kern w:val="2"/>
                <w:sz w:val="21"/>
                <w:szCs w:val="21"/>
              </w:rPr>
              <w:t>）</w:t>
            </w:r>
          </w:p>
        </w:tc>
        <w:tc>
          <w:tcPr>
            <w:tcW w:w="777" w:type="pct"/>
            <w:vAlign w:val="center"/>
          </w:tcPr>
          <w:p w14:paraId="7E607C53">
            <w:pPr>
              <w:pStyle w:val="129"/>
              <w:widowControl w:val="0"/>
              <w:rPr>
                <w:color w:val="auto"/>
              </w:rPr>
            </w:pPr>
            <w:r>
              <w:rPr>
                <w:color w:val="auto"/>
              </w:rPr>
              <w:t>监测浓度范围</w:t>
            </w:r>
          </w:p>
          <w:p w14:paraId="568E7FA7">
            <w:pPr>
              <w:pStyle w:val="129"/>
              <w:widowControl w:val="0"/>
              <w:rPr>
                <w:color w:val="auto"/>
              </w:rPr>
            </w:pPr>
            <w:r>
              <w:rPr>
                <w:color w:val="auto"/>
              </w:rPr>
              <w:t>（µg/Nm</w:t>
            </w:r>
            <w:r>
              <w:rPr>
                <w:color w:val="auto"/>
                <w:vertAlign w:val="superscript"/>
              </w:rPr>
              <w:t>3</w:t>
            </w:r>
            <w:r>
              <w:rPr>
                <w:color w:val="auto"/>
              </w:rPr>
              <w:t>）</w:t>
            </w:r>
          </w:p>
        </w:tc>
        <w:tc>
          <w:tcPr>
            <w:tcW w:w="700" w:type="pct"/>
            <w:vAlign w:val="center"/>
          </w:tcPr>
          <w:p w14:paraId="33C3FB1E">
            <w:pPr>
              <w:widowControl w:val="0"/>
              <w:spacing w:before="100" w:beforeAutospacing="1" w:line="360" w:lineRule="exact"/>
              <w:jc w:val="center"/>
              <w:rPr>
                <w:color w:val="auto"/>
                <w:kern w:val="2"/>
                <w:sz w:val="21"/>
                <w:szCs w:val="21"/>
              </w:rPr>
            </w:pPr>
            <w:r>
              <w:rPr>
                <w:rFonts w:ascii="宋体" w:hAnsi="宋体"/>
                <w:color w:val="auto"/>
                <w:kern w:val="2"/>
                <w:sz w:val="21"/>
                <w:szCs w:val="21"/>
              </w:rPr>
              <w:t>最大浓度占标率（</w:t>
            </w:r>
            <w:r>
              <w:rPr>
                <w:color w:val="auto"/>
                <w:kern w:val="2"/>
                <w:sz w:val="21"/>
                <w:szCs w:val="21"/>
              </w:rPr>
              <w:t>%</w:t>
            </w:r>
            <w:r>
              <w:rPr>
                <w:rFonts w:ascii="宋体" w:hAnsi="宋体"/>
                <w:color w:val="auto"/>
                <w:kern w:val="2"/>
                <w:sz w:val="21"/>
                <w:szCs w:val="21"/>
              </w:rPr>
              <w:t>）</w:t>
            </w:r>
          </w:p>
        </w:tc>
        <w:tc>
          <w:tcPr>
            <w:tcW w:w="505" w:type="pct"/>
            <w:vAlign w:val="center"/>
          </w:tcPr>
          <w:p w14:paraId="00857263">
            <w:pPr>
              <w:widowControl w:val="0"/>
              <w:spacing w:before="100" w:beforeAutospacing="1" w:line="360" w:lineRule="exact"/>
              <w:jc w:val="center"/>
              <w:rPr>
                <w:color w:val="auto"/>
                <w:kern w:val="2"/>
                <w:sz w:val="21"/>
                <w:szCs w:val="21"/>
              </w:rPr>
            </w:pPr>
            <w:r>
              <w:rPr>
                <w:rFonts w:ascii="宋体" w:hAnsi="宋体"/>
                <w:color w:val="auto"/>
                <w:kern w:val="2"/>
                <w:sz w:val="21"/>
                <w:szCs w:val="21"/>
              </w:rPr>
              <w:t>超标率（</w:t>
            </w:r>
            <w:r>
              <w:rPr>
                <w:color w:val="auto"/>
                <w:kern w:val="2"/>
                <w:sz w:val="21"/>
                <w:szCs w:val="21"/>
              </w:rPr>
              <w:t>%</w:t>
            </w:r>
            <w:r>
              <w:rPr>
                <w:rFonts w:ascii="宋体" w:hAnsi="宋体"/>
                <w:color w:val="auto"/>
                <w:kern w:val="2"/>
                <w:sz w:val="21"/>
                <w:szCs w:val="21"/>
              </w:rPr>
              <w:t>）</w:t>
            </w:r>
          </w:p>
        </w:tc>
        <w:tc>
          <w:tcPr>
            <w:tcW w:w="418" w:type="pct"/>
            <w:vAlign w:val="center"/>
          </w:tcPr>
          <w:p w14:paraId="1A81F431">
            <w:pPr>
              <w:pStyle w:val="129"/>
              <w:widowControl w:val="0"/>
              <w:rPr>
                <w:color w:val="auto"/>
              </w:rPr>
            </w:pPr>
            <w:r>
              <w:rPr>
                <w:color w:val="auto"/>
              </w:rPr>
              <w:t>达标</w:t>
            </w:r>
          </w:p>
          <w:p w14:paraId="0681C66F">
            <w:pPr>
              <w:pStyle w:val="129"/>
              <w:widowControl w:val="0"/>
              <w:rPr>
                <w:color w:val="auto"/>
              </w:rPr>
            </w:pPr>
            <w:r>
              <w:rPr>
                <w:color w:val="auto"/>
              </w:rPr>
              <w:t>情况</w:t>
            </w:r>
          </w:p>
        </w:tc>
      </w:tr>
      <w:tr w14:paraId="199017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408" w:type="pct"/>
            <w:vMerge w:val="restart"/>
            <w:vAlign w:val="center"/>
          </w:tcPr>
          <w:p w14:paraId="75BEA2FB">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大气监测点引用点</w:t>
            </w:r>
          </w:p>
        </w:tc>
        <w:tc>
          <w:tcPr>
            <w:tcW w:w="855" w:type="pct"/>
            <w:vAlign w:val="center"/>
          </w:tcPr>
          <w:p w14:paraId="2D7F6CD3">
            <w:pPr>
              <w:widowControl w:val="0"/>
              <w:spacing w:before="100" w:beforeAutospacing="1" w:line="360" w:lineRule="exact"/>
              <w:jc w:val="center"/>
              <w:rPr>
                <w:color w:val="auto"/>
                <w:kern w:val="2"/>
                <w:sz w:val="21"/>
                <w:szCs w:val="21"/>
              </w:rPr>
            </w:pPr>
            <w:r>
              <w:rPr>
                <w:rFonts w:hint="eastAsia"/>
                <w:color w:val="auto"/>
                <w:kern w:val="2"/>
                <w:sz w:val="21"/>
                <w:szCs w:val="21"/>
              </w:rPr>
              <w:t>H</w:t>
            </w:r>
            <w:r>
              <w:rPr>
                <w:rFonts w:hint="eastAsia"/>
                <w:color w:val="auto"/>
                <w:kern w:val="2"/>
                <w:sz w:val="21"/>
                <w:szCs w:val="21"/>
                <w:vertAlign w:val="subscript"/>
              </w:rPr>
              <w:t>2</w:t>
            </w:r>
            <w:r>
              <w:rPr>
                <w:rFonts w:hint="eastAsia"/>
                <w:color w:val="auto"/>
                <w:kern w:val="2"/>
                <w:sz w:val="21"/>
                <w:szCs w:val="21"/>
              </w:rPr>
              <w:t>S</w:t>
            </w:r>
          </w:p>
        </w:tc>
        <w:tc>
          <w:tcPr>
            <w:tcW w:w="698" w:type="pct"/>
            <w:vAlign w:val="center"/>
          </w:tcPr>
          <w:p w14:paraId="0C7E9506">
            <w:pPr>
              <w:widowControl w:val="0"/>
              <w:spacing w:before="100" w:beforeAutospacing="1" w:line="360" w:lineRule="exact"/>
              <w:jc w:val="center"/>
              <w:rPr>
                <w:color w:val="auto"/>
                <w:kern w:val="2"/>
                <w:sz w:val="21"/>
                <w:szCs w:val="21"/>
              </w:rPr>
            </w:pPr>
            <w:r>
              <w:rPr>
                <w:rFonts w:hint="eastAsia"/>
                <w:color w:val="auto"/>
                <w:kern w:val="2"/>
                <w:sz w:val="21"/>
                <w:szCs w:val="21"/>
              </w:rPr>
              <w:t>1</w:t>
            </w:r>
            <w:r>
              <w:rPr>
                <w:rFonts w:hint="eastAsia" w:ascii="宋体" w:hAnsi="宋体"/>
                <w:color w:val="auto"/>
                <w:kern w:val="2"/>
                <w:sz w:val="21"/>
                <w:szCs w:val="21"/>
              </w:rPr>
              <w:t>小时浓度</w:t>
            </w:r>
          </w:p>
        </w:tc>
        <w:tc>
          <w:tcPr>
            <w:tcW w:w="635" w:type="pct"/>
            <w:vAlign w:val="center"/>
          </w:tcPr>
          <w:p w14:paraId="6F27CDC2">
            <w:pPr>
              <w:widowControl w:val="0"/>
              <w:spacing w:before="100" w:beforeAutospacing="1" w:line="360" w:lineRule="exact"/>
              <w:jc w:val="center"/>
              <w:rPr>
                <w:color w:val="auto"/>
                <w:kern w:val="2"/>
                <w:sz w:val="21"/>
                <w:szCs w:val="21"/>
              </w:rPr>
            </w:pPr>
            <w:r>
              <w:rPr>
                <w:rFonts w:hint="eastAsia"/>
                <w:color w:val="auto"/>
                <w:kern w:val="2"/>
                <w:sz w:val="21"/>
                <w:szCs w:val="21"/>
              </w:rPr>
              <w:t>10</w:t>
            </w:r>
          </w:p>
        </w:tc>
        <w:tc>
          <w:tcPr>
            <w:tcW w:w="777" w:type="pct"/>
            <w:vAlign w:val="center"/>
          </w:tcPr>
          <w:p w14:paraId="650D8FB9">
            <w:pPr>
              <w:widowControl w:val="0"/>
              <w:spacing w:before="100" w:beforeAutospacing="1" w:line="360" w:lineRule="exact"/>
              <w:jc w:val="center"/>
              <w:rPr>
                <w:color w:val="auto"/>
                <w:kern w:val="2"/>
                <w:sz w:val="21"/>
                <w:szCs w:val="21"/>
              </w:rPr>
            </w:pPr>
          </w:p>
        </w:tc>
        <w:tc>
          <w:tcPr>
            <w:tcW w:w="700" w:type="pct"/>
            <w:vAlign w:val="center"/>
          </w:tcPr>
          <w:p w14:paraId="544F9CF9">
            <w:pPr>
              <w:widowControl w:val="0"/>
              <w:spacing w:before="100" w:beforeAutospacing="1" w:line="360" w:lineRule="exact"/>
              <w:jc w:val="center"/>
              <w:rPr>
                <w:color w:val="auto"/>
                <w:kern w:val="2"/>
                <w:sz w:val="21"/>
                <w:szCs w:val="21"/>
              </w:rPr>
            </w:pPr>
          </w:p>
        </w:tc>
        <w:tc>
          <w:tcPr>
            <w:tcW w:w="505" w:type="pct"/>
            <w:vAlign w:val="center"/>
          </w:tcPr>
          <w:p w14:paraId="0D45E476">
            <w:pPr>
              <w:widowControl w:val="0"/>
              <w:spacing w:before="100" w:beforeAutospacing="1" w:line="360" w:lineRule="exact"/>
              <w:jc w:val="center"/>
              <w:rPr>
                <w:color w:val="auto"/>
                <w:kern w:val="2"/>
                <w:sz w:val="21"/>
                <w:szCs w:val="21"/>
              </w:rPr>
            </w:pPr>
            <w:r>
              <w:rPr>
                <w:rFonts w:hint="eastAsia"/>
                <w:color w:val="auto"/>
                <w:kern w:val="2"/>
                <w:sz w:val="21"/>
                <w:szCs w:val="21"/>
              </w:rPr>
              <w:t>0</w:t>
            </w:r>
          </w:p>
        </w:tc>
        <w:tc>
          <w:tcPr>
            <w:tcW w:w="418" w:type="pct"/>
            <w:vAlign w:val="center"/>
          </w:tcPr>
          <w:p w14:paraId="4D5A3AD7">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达标</w:t>
            </w:r>
          </w:p>
        </w:tc>
      </w:tr>
      <w:tr w14:paraId="17CE49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408" w:type="pct"/>
            <w:vMerge w:val="continue"/>
            <w:vAlign w:val="center"/>
          </w:tcPr>
          <w:p w14:paraId="47F10168">
            <w:pPr>
              <w:widowControl w:val="0"/>
              <w:jc w:val="center"/>
              <w:rPr>
                <w:color w:val="auto"/>
                <w:kern w:val="2"/>
                <w:sz w:val="21"/>
                <w:szCs w:val="21"/>
              </w:rPr>
            </w:pPr>
          </w:p>
        </w:tc>
        <w:tc>
          <w:tcPr>
            <w:tcW w:w="855" w:type="pct"/>
            <w:vAlign w:val="center"/>
          </w:tcPr>
          <w:p w14:paraId="03CFD77D">
            <w:pPr>
              <w:widowControl w:val="0"/>
              <w:spacing w:before="100" w:beforeAutospacing="1" w:line="360" w:lineRule="exact"/>
              <w:jc w:val="center"/>
              <w:rPr>
                <w:color w:val="auto"/>
                <w:kern w:val="2"/>
                <w:sz w:val="21"/>
                <w:szCs w:val="21"/>
              </w:rPr>
            </w:pPr>
            <w:r>
              <w:rPr>
                <w:rFonts w:hint="eastAsia"/>
                <w:color w:val="auto"/>
                <w:kern w:val="2"/>
                <w:sz w:val="21"/>
                <w:szCs w:val="21"/>
              </w:rPr>
              <w:t>NH</w:t>
            </w:r>
            <w:r>
              <w:rPr>
                <w:rFonts w:hint="eastAsia"/>
                <w:color w:val="auto"/>
                <w:kern w:val="2"/>
                <w:sz w:val="21"/>
                <w:szCs w:val="21"/>
                <w:vertAlign w:val="subscript"/>
              </w:rPr>
              <w:t>3</w:t>
            </w:r>
          </w:p>
        </w:tc>
        <w:tc>
          <w:tcPr>
            <w:tcW w:w="698" w:type="pct"/>
            <w:vAlign w:val="center"/>
          </w:tcPr>
          <w:p w14:paraId="578A8EAE">
            <w:pPr>
              <w:widowControl w:val="0"/>
              <w:spacing w:before="100" w:beforeAutospacing="1" w:line="360" w:lineRule="exact"/>
              <w:jc w:val="center"/>
              <w:rPr>
                <w:color w:val="auto"/>
                <w:kern w:val="2"/>
                <w:sz w:val="21"/>
                <w:szCs w:val="21"/>
              </w:rPr>
            </w:pPr>
            <w:r>
              <w:rPr>
                <w:rFonts w:hint="eastAsia"/>
                <w:color w:val="auto"/>
                <w:kern w:val="2"/>
                <w:sz w:val="21"/>
                <w:szCs w:val="21"/>
              </w:rPr>
              <w:t>1</w:t>
            </w:r>
            <w:r>
              <w:rPr>
                <w:rFonts w:ascii="宋体" w:hAnsi="宋体"/>
                <w:color w:val="auto"/>
                <w:kern w:val="2"/>
                <w:sz w:val="21"/>
                <w:szCs w:val="21"/>
              </w:rPr>
              <w:t>小时浓度</w:t>
            </w:r>
          </w:p>
        </w:tc>
        <w:tc>
          <w:tcPr>
            <w:tcW w:w="635" w:type="pct"/>
            <w:vAlign w:val="center"/>
          </w:tcPr>
          <w:p w14:paraId="799092DB">
            <w:pPr>
              <w:widowControl w:val="0"/>
              <w:spacing w:before="100" w:beforeAutospacing="1" w:line="360" w:lineRule="exact"/>
              <w:jc w:val="center"/>
              <w:rPr>
                <w:color w:val="auto"/>
                <w:kern w:val="2"/>
                <w:sz w:val="21"/>
                <w:szCs w:val="21"/>
              </w:rPr>
            </w:pPr>
            <w:r>
              <w:rPr>
                <w:rFonts w:hint="eastAsia"/>
                <w:color w:val="auto"/>
                <w:kern w:val="2"/>
                <w:sz w:val="21"/>
                <w:szCs w:val="21"/>
              </w:rPr>
              <w:t>200</w:t>
            </w:r>
          </w:p>
        </w:tc>
        <w:tc>
          <w:tcPr>
            <w:tcW w:w="777" w:type="pct"/>
            <w:vAlign w:val="center"/>
          </w:tcPr>
          <w:p w14:paraId="3A5EE01B">
            <w:pPr>
              <w:widowControl w:val="0"/>
              <w:spacing w:before="100" w:beforeAutospacing="1" w:line="360" w:lineRule="exact"/>
              <w:jc w:val="center"/>
              <w:rPr>
                <w:color w:val="auto"/>
                <w:kern w:val="2"/>
                <w:sz w:val="21"/>
                <w:szCs w:val="21"/>
              </w:rPr>
            </w:pPr>
          </w:p>
        </w:tc>
        <w:tc>
          <w:tcPr>
            <w:tcW w:w="700" w:type="pct"/>
            <w:vAlign w:val="center"/>
          </w:tcPr>
          <w:p w14:paraId="64C85215">
            <w:pPr>
              <w:widowControl w:val="0"/>
              <w:spacing w:before="100" w:beforeAutospacing="1" w:line="360" w:lineRule="exact"/>
              <w:jc w:val="center"/>
              <w:rPr>
                <w:color w:val="auto"/>
                <w:kern w:val="2"/>
                <w:sz w:val="21"/>
                <w:szCs w:val="21"/>
              </w:rPr>
            </w:pPr>
          </w:p>
        </w:tc>
        <w:tc>
          <w:tcPr>
            <w:tcW w:w="505" w:type="pct"/>
            <w:vAlign w:val="center"/>
          </w:tcPr>
          <w:p w14:paraId="7401ED81">
            <w:pPr>
              <w:widowControl w:val="0"/>
              <w:spacing w:before="100" w:beforeAutospacing="1" w:line="360" w:lineRule="exact"/>
              <w:jc w:val="center"/>
              <w:rPr>
                <w:color w:val="auto"/>
                <w:kern w:val="2"/>
                <w:sz w:val="21"/>
                <w:szCs w:val="21"/>
              </w:rPr>
            </w:pPr>
            <w:r>
              <w:rPr>
                <w:rFonts w:hint="eastAsia"/>
                <w:color w:val="auto"/>
                <w:kern w:val="2"/>
                <w:sz w:val="21"/>
                <w:szCs w:val="21"/>
              </w:rPr>
              <w:t>0</w:t>
            </w:r>
          </w:p>
        </w:tc>
        <w:tc>
          <w:tcPr>
            <w:tcW w:w="418" w:type="pct"/>
            <w:vAlign w:val="center"/>
          </w:tcPr>
          <w:p w14:paraId="09017410">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达标</w:t>
            </w:r>
          </w:p>
        </w:tc>
      </w:tr>
      <w:tr w14:paraId="4EB32F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408" w:type="pct"/>
            <w:vMerge w:val="continue"/>
            <w:vAlign w:val="center"/>
          </w:tcPr>
          <w:p w14:paraId="5FE97C58">
            <w:pPr>
              <w:widowControl w:val="0"/>
              <w:jc w:val="center"/>
              <w:rPr>
                <w:color w:val="auto"/>
                <w:kern w:val="2"/>
                <w:sz w:val="21"/>
                <w:szCs w:val="21"/>
              </w:rPr>
            </w:pPr>
          </w:p>
        </w:tc>
        <w:tc>
          <w:tcPr>
            <w:tcW w:w="855" w:type="pct"/>
            <w:vAlign w:val="center"/>
          </w:tcPr>
          <w:p w14:paraId="1B54240C">
            <w:pPr>
              <w:widowControl w:val="0"/>
              <w:spacing w:before="100" w:beforeAutospacing="1" w:line="360" w:lineRule="exact"/>
              <w:jc w:val="center"/>
              <w:rPr>
                <w:color w:val="auto"/>
                <w:kern w:val="2"/>
                <w:sz w:val="21"/>
                <w:szCs w:val="21"/>
              </w:rPr>
            </w:pPr>
            <w:r>
              <w:rPr>
                <w:rFonts w:hint="eastAsia"/>
                <w:color w:val="auto"/>
                <w:kern w:val="2"/>
                <w:sz w:val="21"/>
                <w:szCs w:val="21"/>
              </w:rPr>
              <w:t>NMHC</w:t>
            </w:r>
          </w:p>
        </w:tc>
        <w:tc>
          <w:tcPr>
            <w:tcW w:w="698" w:type="pct"/>
            <w:vAlign w:val="center"/>
          </w:tcPr>
          <w:p w14:paraId="05F79F4E">
            <w:pPr>
              <w:widowControl w:val="0"/>
              <w:spacing w:before="100" w:beforeAutospacing="1" w:line="360" w:lineRule="exact"/>
              <w:jc w:val="center"/>
              <w:rPr>
                <w:color w:val="auto"/>
                <w:kern w:val="2"/>
                <w:sz w:val="21"/>
                <w:szCs w:val="21"/>
              </w:rPr>
            </w:pPr>
            <w:r>
              <w:rPr>
                <w:rFonts w:hint="eastAsia"/>
                <w:color w:val="auto"/>
                <w:kern w:val="2"/>
                <w:sz w:val="21"/>
                <w:szCs w:val="21"/>
              </w:rPr>
              <w:t>1</w:t>
            </w:r>
            <w:r>
              <w:rPr>
                <w:rFonts w:ascii="宋体" w:hAnsi="宋体"/>
                <w:color w:val="auto"/>
                <w:kern w:val="2"/>
                <w:sz w:val="21"/>
                <w:szCs w:val="21"/>
              </w:rPr>
              <w:t>小时浓度</w:t>
            </w:r>
          </w:p>
        </w:tc>
        <w:tc>
          <w:tcPr>
            <w:tcW w:w="635" w:type="pct"/>
            <w:vAlign w:val="center"/>
          </w:tcPr>
          <w:p w14:paraId="07A716A2">
            <w:pPr>
              <w:widowControl w:val="0"/>
              <w:spacing w:before="100" w:beforeAutospacing="1" w:line="360" w:lineRule="exact"/>
              <w:jc w:val="center"/>
              <w:rPr>
                <w:color w:val="auto"/>
                <w:kern w:val="2"/>
                <w:sz w:val="21"/>
                <w:szCs w:val="21"/>
              </w:rPr>
            </w:pPr>
            <w:r>
              <w:rPr>
                <w:rFonts w:hint="eastAsia"/>
                <w:color w:val="auto"/>
                <w:kern w:val="2"/>
                <w:sz w:val="21"/>
                <w:szCs w:val="21"/>
              </w:rPr>
              <w:t>2000</w:t>
            </w:r>
          </w:p>
        </w:tc>
        <w:tc>
          <w:tcPr>
            <w:tcW w:w="777" w:type="pct"/>
            <w:vAlign w:val="center"/>
          </w:tcPr>
          <w:p w14:paraId="301BE72C">
            <w:pPr>
              <w:widowControl w:val="0"/>
              <w:spacing w:before="100" w:beforeAutospacing="1" w:line="360" w:lineRule="exact"/>
              <w:jc w:val="center"/>
              <w:rPr>
                <w:color w:val="auto"/>
                <w:kern w:val="2"/>
                <w:sz w:val="21"/>
                <w:szCs w:val="21"/>
              </w:rPr>
            </w:pPr>
          </w:p>
        </w:tc>
        <w:tc>
          <w:tcPr>
            <w:tcW w:w="700" w:type="pct"/>
            <w:vAlign w:val="center"/>
          </w:tcPr>
          <w:p w14:paraId="39803DCE">
            <w:pPr>
              <w:widowControl w:val="0"/>
              <w:spacing w:before="100" w:beforeAutospacing="1" w:line="360" w:lineRule="exact"/>
              <w:jc w:val="center"/>
              <w:rPr>
                <w:color w:val="auto"/>
                <w:kern w:val="2"/>
                <w:sz w:val="21"/>
                <w:szCs w:val="21"/>
              </w:rPr>
            </w:pPr>
          </w:p>
        </w:tc>
        <w:tc>
          <w:tcPr>
            <w:tcW w:w="505" w:type="pct"/>
            <w:vAlign w:val="center"/>
          </w:tcPr>
          <w:p w14:paraId="07CFD1DE">
            <w:pPr>
              <w:widowControl w:val="0"/>
              <w:spacing w:before="100" w:beforeAutospacing="1" w:line="360" w:lineRule="exact"/>
              <w:jc w:val="center"/>
              <w:rPr>
                <w:color w:val="auto"/>
                <w:kern w:val="2"/>
                <w:sz w:val="21"/>
                <w:szCs w:val="21"/>
              </w:rPr>
            </w:pPr>
            <w:r>
              <w:rPr>
                <w:rFonts w:hint="eastAsia"/>
                <w:color w:val="auto"/>
                <w:kern w:val="2"/>
                <w:sz w:val="21"/>
                <w:szCs w:val="21"/>
              </w:rPr>
              <w:t>0</w:t>
            </w:r>
          </w:p>
        </w:tc>
        <w:tc>
          <w:tcPr>
            <w:tcW w:w="418" w:type="pct"/>
            <w:vAlign w:val="center"/>
          </w:tcPr>
          <w:p w14:paraId="4AB2F6CF">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达标</w:t>
            </w:r>
          </w:p>
        </w:tc>
      </w:tr>
      <w:tr w14:paraId="2CD5A35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89" w:hRule="atLeast"/>
        </w:trPr>
        <w:tc>
          <w:tcPr>
            <w:tcW w:w="408" w:type="pct"/>
            <w:vMerge w:val="restart"/>
            <w:vAlign w:val="center"/>
          </w:tcPr>
          <w:p w14:paraId="4B3CB132">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大气监测点</w:t>
            </w:r>
          </w:p>
        </w:tc>
        <w:tc>
          <w:tcPr>
            <w:tcW w:w="855" w:type="pct"/>
            <w:shd w:val="clear" w:color="auto" w:fill="auto"/>
            <w:vAlign w:val="center"/>
          </w:tcPr>
          <w:p w14:paraId="7266A513">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锰及其化合物</w:t>
            </w:r>
          </w:p>
        </w:tc>
        <w:tc>
          <w:tcPr>
            <w:tcW w:w="698" w:type="pct"/>
            <w:shd w:val="clear" w:color="auto" w:fill="auto"/>
            <w:vAlign w:val="center"/>
          </w:tcPr>
          <w:p w14:paraId="66D7C8E7">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24</w:t>
            </w:r>
            <w:r>
              <w:rPr>
                <w:rFonts w:ascii="宋体" w:hAnsi="宋体"/>
                <w:color w:val="auto"/>
                <w:kern w:val="2"/>
                <w:sz w:val="21"/>
                <w:szCs w:val="21"/>
              </w:rPr>
              <w:t>小时浓度</w:t>
            </w:r>
          </w:p>
        </w:tc>
        <w:tc>
          <w:tcPr>
            <w:tcW w:w="635" w:type="pct"/>
            <w:shd w:val="clear" w:color="auto" w:fill="auto"/>
            <w:vAlign w:val="center"/>
          </w:tcPr>
          <w:p w14:paraId="7F43419F">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10</w:t>
            </w:r>
          </w:p>
        </w:tc>
        <w:tc>
          <w:tcPr>
            <w:tcW w:w="777" w:type="pct"/>
            <w:shd w:val="clear" w:color="auto" w:fill="auto"/>
            <w:vAlign w:val="center"/>
          </w:tcPr>
          <w:p w14:paraId="52396CB1">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p>
        </w:tc>
        <w:tc>
          <w:tcPr>
            <w:tcW w:w="700" w:type="pct"/>
            <w:shd w:val="clear" w:color="auto" w:fill="auto"/>
            <w:vAlign w:val="center"/>
          </w:tcPr>
          <w:p w14:paraId="000BACEE">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p>
        </w:tc>
        <w:tc>
          <w:tcPr>
            <w:tcW w:w="505" w:type="pct"/>
            <w:shd w:val="clear" w:color="auto" w:fill="auto"/>
            <w:vAlign w:val="center"/>
          </w:tcPr>
          <w:p w14:paraId="5AF5C5C8">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0</w:t>
            </w:r>
          </w:p>
        </w:tc>
        <w:tc>
          <w:tcPr>
            <w:tcW w:w="418" w:type="pct"/>
            <w:shd w:val="clear" w:color="auto" w:fill="auto"/>
            <w:vAlign w:val="center"/>
          </w:tcPr>
          <w:p w14:paraId="21B160A7">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ascii="宋体" w:hAnsi="宋体"/>
                <w:color w:val="auto"/>
                <w:kern w:val="2"/>
                <w:sz w:val="21"/>
                <w:szCs w:val="21"/>
              </w:rPr>
              <w:t>达标</w:t>
            </w:r>
          </w:p>
        </w:tc>
      </w:tr>
      <w:tr w14:paraId="67E9E97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408" w:type="pct"/>
            <w:vMerge w:val="continue"/>
            <w:vAlign w:val="center"/>
          </w:tcPr>
          <w:p w14:paraId="1AE8DF35">
            <w:pPr>
              <w:widowControl w:val="0"/>
              <w:jc w:val="center"/>
              <w:rPr>
                <w:color w:val="auto"/>
                <w:kern w:val="2"/>
                <w:sz w:val="21"/>
                <w:szCs w:val="21"/>
              </w:rPr>
            </w:pPr>
          </w:p>
        </w:tc>
        <w:tc>
          <w:tcPr>
            <w:tcW w:w="855" w:type="pct"/>
            <w:shd w:val="clear" w:color="auto" w:fill="auto"/>
            <w:vAlign w:val="center"/>
          </w:tcPr>
          <w:p w14:paraId="72C7C579">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镍及其化合物</w:t>
            </w:r>
          </w:p>
        </w:tc>
        <w:tc>
          <w:tcPr>
            <w:tcW w:w="698" w:type="pct"/>
            <w:shd w:val="clear" w:color="auto" w:fill="auto"/>
            <w:vAlign w:val="center"/>
          </w:tcPr>
          <w:p w14:paraId="74EFAF43">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24</w:t>
            </w:r>
            <w:r>
              <w:rPr>
                <w:rFonts w:ascii="宋体" w:hAnsi="宋体"/>
                <w:color w:val="auto"/>
                <w:kern w:val="2"/>
                <w:sz w:val="21"/>
                <w:szCs w:val="21"/>
              </w:rPr>
              <w:t>小时浓度</w:t>
            </w:r>
          </w:p>
        </w:tc>
        <w:tc>
          <w:tcPr>
            <w:tcW w:w="635" w:type="pct"/>
            <w:shd w:val="clear" w:color="auto" w:fill="auto"/>
            <w:vAlign w:val="center"/>
          </w:tcPr>
          <w:p w14:paraId="2A23845E">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40</w:t>
            </w:r>
          </w:p>
        </w:tc>
        <w:tc>
          <w:tcPr>
            <w:tcW w:w="777" w:type="pct"/>
            <w:shd w:val="clear" w:color="auto" w:fill="auto"/>
            <w:vAlign w:val="center"/>
          </w:tcPr>
          <w:p w14:paraId="2F99DAB3">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p>
        </w:tc>
        <w:tc>
          <w:tcPr>
            <w:tcW w:w="700" w:type="pct"/>
            <w:shd w:val="clear" w:color="auto" w:fill="auto"/>
            <w:vAlign w:val="center"/>
          </w:tcPr>
          <w:p w14:paraId="3C67C29E">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p>
        </w:tc>
        <w:tc>
          <w:tcPr>
            <w:tcW w:w="505" w:type="pct"/>
            <w:shd w:val="clear" w:color="auto" w:fill="auto"/>
            <w:vAlign w:val="center"/>
          </w:tcPr>
          <w:p w14:paraId="73A20D13">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0</w:t>
            </w:r>
          </w:p>
        </w:tc>
        <w:tc>
          <w:tcPr>
            <w:tcW w:w="418" w:type="pct"/>
            <w:shd w:val="clear" w:color="auto" w:fill="auto"/>
            <w:vAlign w:val="center"/>
          </w:tcPr>
          <w:p w14:paraId="2ADC7E66">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ascii="宋体" w:hAnsi="宋体"/>
                <w:color w:val="auto"/>
                <w:kern w:val="2"/>
                <w:sz w:val="21"/>
                <w:szCs w:val="21"/>
              </w:rPr>
              <w:t>达标</w:t>
            </w:r>
          </w:p>
        </w:tc>
      </w:tr>
      <w:tr w14:paraId="1712684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408" w:type="pct"/>
            <w:vMerge w:val="continue"/>
            <w:vAlign w:val="center"/>
          </w:tcPr>
          <w:p w14:paraId="13AF69D5">
            <w:pPr>
              <w:widowControl w:val="0"/>
              <w:jc w:val="center"/>
              <w:rPr>
                <w:color w:val="auto"/>
                <w:kern w:val="2"/>
                <w:sz w:val="21"/>
                <w:szCs w:val="21"/>
              </w:rPr>
            </w:pPr>
          </w:p>
        </w:tc>
        <w:tc>
          <w:tcPr>
            <w:tcW w:w="855" w:type="pct"/>
            <w:shd w:val="clear" w:color="auto" w:fill="auto"/>
            <w:vAlign w:val="center"/>
          </w:tcPr>
          <w:p w14:paraId="4B7BC8CD">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TSP</w:t>
            </w:r>
          </w:p>
        </w:tc>
        <w:tc>
          <w:tcPr>
            <w:tcW w:w="698" w:type="pct"/>
            <w:shd w:val="clear" w:color="auto" w:fill="auto"/>
            <w:vAlign w:val="center"/>
          </w:tcPr>
          <w:p w14:paraId="66D331B1">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24</w:t>
            </w:r>
            <w:r>
              <w:rPr>
                <w:rFonts w:hint="eastAsia" w:ascii="宋体" w:hAnsi="宋体"/>
                <w:color w:val="auto"/>
                <w:kern w:val="2"/>
                <w:sz w:val="21"/>
                <w:szCs w:val="21"/>
              </w:rPr>
              <w:t>小时浓度</w:t>
            </w:r>
          </w:p>
        </w:tc>
        <w:tc>
          <w:tcPr>
            <w:tcW w:w="635" w:type="pct"/>
            <w:shd w:val="clear" w:color="auto" w:fill="auto"/>
            <w:vAlign w:val="center"/>
          </w:tcPr>
          <w:p w14:paraId="4F264F9B">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300</w:t>
            </w:r>
          </w:p>
        </w:tc>
        <w:tc>
          <w:tcPr>
            <w:tcW w:w="777" w:type="pct"/>
            <w:shd w:val="clear" w:color="auto" w:fill="auto"/>
            <w:vAlign w:val="center"/>
          </w:tcPr>
          <w:p w14:paraId="0BC8D443">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p>
        </w:tc>
        <w:tc>
          <w:tcPr>
            <w:tcW w:w="700" w:type="pct"/>
            <w:shd w:val="clear" w:color="auto" w:fill="auto"/>
            <w:vAlign w:val="center"/>
          </w:tcPr>
          <w:p w14:paraId="3283D7D8">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p>
        </w:tc>
        <w:tc>
          <w:tcPr>
            <w:tcW w:w="505" w:type="pct"/>
            <w:shd w:val="clear" w:color="auto" w:fill="auto"/>
            <w:vAlign w:val="center"/>
          </w:tcPr>
          <w:p w14:paraId="06FC5A94">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color w:val="auto"/>
                <w:kern w:val="2"/>
                <w:sz w:val="21"/>
                <w:szCs w:val="21"/>
              </w:rPr>
              <w:t>0</w:t>
            </w:r>
          </w:p>
        </w:tc>
        <w:tc>
          <w:tcPr>
            <w:tcW w:w="418" w:type="pct"/>
            <w:shd w:val="clear" w:color="auto" w:fill="auto"/>
            <w:vAlign w:val="center"/>
          </w:tcPr>
          <w:p w14:paraId="1A2BA2D4">
            <w:pPr>
              <w:widowControl w:val="0"/>
              <w:spacing w:before="100" w:beforeAutospacing="1" w:line="360" w:lineRule="exact"/>
              <w:jc w:val="center"/>
              <w:rPr>
                <w:rFonts w:ascii="Times New Roman" w:hAnsi="Times New Roman" w:eastAsia="宋体" w:cs="Times New Roman"/>
                <w:color w:val="auto"/>
                <w:kern w:val="2"/>
                <w:sz w:val="21"/>
                <w:szCs w:val="21"/>
                <w:lang w:val="en-US" w:eastAsia="zh-CN" w:bidi="ar-SA"/>
              </w:rPr>
            </w:pPr>
            <w:r>
              <w:rPr>
                <w:rFonts w:hint="eastAsia" w:ascii="宋体" w:hAnsi="宋体"/>
                <w:color w:val="auto"/>
                <w:kern w:val="2"/>
                <w:sz w:val="21"/>
                <w:szCs w:val="21"/>
              </w:rPr>
              <w:t>达标</w:t>
            </w:r>
          </w:p>
        </w:tc>
      </w:tr>
    </w:tbl>
    <w:p w14:paraId="27C1C833">
      <w:pPr>
        <w:pStyle w:val="132"/>
        <w:rPr>
          <w:color w:val="auto"/>
        </w:rPr>
      </w:pPr>
      <w:r>
        <w:rPr>
          <w:rFonts w:hint="eastAsia"/>
          <w:color w:val="auto"/>
        </w:rPr>
        <w:t>由上表可知，监测点其他污染物监测项目均符合相应环境质量标准。</w:t>
      </w:r>
    </w:p>
    <w:p w14:paraId="502A1E93">
      <w:pPr>
        <w:pStyle w:val="3"/>
        <w:rPr>
          <w:rFonts w:ascii="Arial" w:hAnsi="Arial"/>
          <w:color w:val="auto"/>
        </w:rPr>
      </w:pPr>
      <w:bookmarkStart w:id="269" w:name="_Toc229930137"/>
      <w:r>
        <w:rPr>
          <w:rFonts w:hint="eastAsia"/>
          <w:color w:val="auto"/>
        </w:rPr>
        <w:t>地下水环境质量现状调查与评价</w:t>
      </w:r>
      <w:bookmarkEnd w:id="269"/>
    </w:p>
    <w:p w14:paraId="7AE3C344">
      <w:pPr>
        <w:pStyle w:val="4"/>
        <w:rPr>
          <w:color w:val="auto"/>
        </w:rPr>
      </w:pPr>
      <w:r>
        <w:rPr>
          <w:rFonts w:hint="eastAsia"/>
          <w:color w:val="auto"/>
        </w:rPr>
        <w:t>监测点的布设及引用</w:t>
      </w:r>
    </w:p>
    <w:p w14:paraId="0EC70E0E">
      <w:pPr>
        <w:pStyle w:val="132"/>
        <w:rPr>
          <w:color w:val="auto"/>
        </w:rPr>
      </w:pPr>
      <w:r>
        <w:rPr>
          <w:rFonts w:hint="eastAsia"/>
          <w:color w:val="auto"/>
        </w:rPr>
        <w:t>根据《环境影响评价技术导则 地下水环境》（HJ610-2016）附录 A，本项目属于U城镇基础设施及房地产151、危险废物（含医疗废物）集中处置及综合利用，类别属于Ⅰ类；本项目位于工业园区，地下水环境敏感程度属于不敏感。故判定本项目地下水环境评价等级为二级。地下水流向：由南向北。</w:t>
      </w:r>
    </w:p>
    <w:p w14:paraId="0572D66D">
      <w:pPr>
        <w:widowControl w:val="0"/>
        <w:spacing w:line="360" w:lineRule="auto"/>
        <w:jc w:val="both"/>
        <w:rPr>
          <w:color w:val="auto"/>
          <w:kern w:val="2"/>
          <w:sz w:val="24"/>
          <w:szCs w:val="24"/>
        </w:rPr>
      </w:pPr>
      <w:r>
        <w:rPr>
          <w:rFonts w:hint="eastAsia" w:ascii="宋体" w:hAnsi="宋体"/>
          <w:color w:val="auto"/>
          <w:kern w:val="2"/>
          <w:sz w:val="24"/>
          <w:szCs w:val="24"/>
        </w:rPr>
        <w:t>本次地下水水位监测点共设置</w:t>
      </w:r>
      <w:r>
        <w:rPr>
          <w:rFonts w:hint="eastAsia"/>
          <w:color w:val="auto"/>
          <w:kern w:val="2"/>
          <w:sz w:val="24"/>
          <w:szCs w:val="24"/>
        </w:rPr>
        <w:t>1</w:t>
      </w:r>
      <w:r>
        <w:rPr>
          <w:rFonts w:hint="eastAsia" w:ascii="宋体" w:hAnsi="宋体"/>
          <w:color w:val="auto"/>
          <w:kern w:val="2"/>
          <w:sz w:val="24"/>
          <w:szCs w:val="24"/>
        </w:rPr>
        <w:t>个水质、水位监测点</w:t>
      </w:r>
      <w:r>
        <w:rPr>
          <w:rFonts w:hint="eastAsia"/>
          <w:color w:val="auto"/>
          <w:kern w:val="2"/>
          <w:sz w:val="24"/>
          <w:szCs w:val="24"/>
        </w:rPr>
        <w:t>D1#</w:t>
      </w:r>
      <w:r>
        <w:rPr>
          <w:rFonts w:hint="eastAsia" w:ascii="宋体" w:hAnsi="宋体"/>
          <w:color w:val="auto"/>
          <w:kern w:val="2"/>
          <w:sz w:val="24"/>
          <w:szCs w:val="24"/>
        </w:rPr>
        <w:t>。监测时间</w:t>
      </w:r>
      <w:r>
        <w:rPr>
          <w:rFonts w:hint="eastAsia"/>
          <w:color w:val="auto"/>
          <w:kern w:val="2"/>
          <w:sz w:val="24"/>
          <w:szCs w:val="24"/>
        </w:rPr>
        <w:t>2026</w:t>
      </w:r>
      <w:r>
        <w:rPr>
          <w:rFonts w:hint="eastAsia" w:ascii="宋体" w:hAnsi="宋体"/>
          <w:color w:val="auto"/>
          <w:kern w:val="2"/>
          <w:sz w:val="24"/>
          <w:szCs w:val="24"/>
        </w:rPr>
        <w:t>年2月4日。详情见表</w:t>
      </w:r>
      <w:r>
        <w:rPr>
          <w:rFonts w:hint="eastAsia"/>
          <w:color w:val="auto"/>
          <w:kern w:val="2"/>
          <w:sz w:val="24"/>
          <w:szCs w:val="24"/>
        </w:rPr>
        <w:t>4.7-1</w:t>
      </w:r>
      <w:r>
        <w:rPr>
          <w:rFonts w:hint="eastAsia" w:ascii="宋体" w:hAnsi="宋体"/>
          <w:color w:val="auto"/>
          <w:kern w:val="2"/>
          <w:sz w:val="24"/>
          <w:szCs w:val="24"/>
        </w:rPr>
        <w:t>和图</w:t>
      </w:r>
      <w:r>
        <w:rPr>
          <w:rFonts w:hint="eastAsia"/>
          <w:color w:val="auto"/>
          <w:kern w:val="2"/>
          <w:sz w:val="24"/>
          <w:szCs w:val="24"/>
        </w:rPr>
        <w:t>4.7-1</w:t>
      </w:r>
      <w:r>
        <w:rPr>
          <w:rFonts w:hint="eastAsia" w:ascii="宋体" w:hAnsi="宋体"/>
          <w:color w:val="auto"/>
          <w:kern w:val="2"/>
          <w:sz w:val="24"/>
          <w:szCs w:val="24"/>
        </w:rPr>
        <w:t>。</w:t>
      </w:r>
    </w:p>
    <w:p w14:paraId="2198D4F0">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地下水水质、水位监测点位置一览表</w:t>
      </w:r>
    </w:p>
    <w:tbl>
      <w:tblPr>
        <w:tblStyle w:val="1937"/>
        <w:tblW w:w="5126"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1134"/>
        <w:gridCol w:w="1144"/>
        <w:gridCol w:w="1574"/>
        <w:gridCol w:w="1001"/>
        <w:gridCol w:w="4155"/>
      </w:tblGrid>
      <w:tr w14:paraId="20FD04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24" w:type="dxa"/>
            <w:vAlign w:val="center"/>
          </w:tcPr>
          <w:p w14:paraId="7F2DBDA5">
            <w:pPr>
              <w:pStyle w:val="129"/>
              <w:widowControl w:val="0"/>
              <w:rPr>
                <w:color w:val="auto"/>
              </w:rPr>
            </w:pPr>
            <w:r>
              <w:rPr>
                <w:color w:val="auto"/>
              </w:rPr>
              <w:t>编号</w:t>
            </w:r>
          </w:p>
          <w:p w14:paraId="18D16791">
            <w:pPr>
              <w:pStyle w:val="129"/>
              <w:widowControl w:val="0"/>
              <w:rPr>
                <w:color w:val="auto"/>
              </w:rPr>
            </w:pPr>
            <w:r>
              <w:rPr>
                <w:color w:val="auto"/>
              </w:rPr>
              <w:t>监测点名称</w:t>
            </w:r>
          </w:p>
        </w:tc>
        <w:tc>
          <w:tcPr>
            <w:tcW w:w="1134" w:type="dxa"/>
            <w:vAlign w:val="center"/>
          </w:tcPr>
          <w:p w14:paraId="347EECA2">
            <w:pPr>
              <w:pStyle w:val="129"/>
              <w:widowControl w:val="0"/>
              <w:rPr>
                <w:color w:val="auto"/>
              </w:rPr>
            </w:pPr>
            <w:r>
              <w:rPr>
                <w:color w:val="auto"/>
              </w:rPr>
              <w:t>相对方位及距离</w:t>
            </w:r>
          </w:p>
        </w:tc>
        <w:tc>
          <w:tcPr>
            <w:tcW w:w="1560" w:type="dxa"/>
            <w:vAlign w:val="center"/>
          </w:tcPr>
          <w:p w14:paraId="0448DD38">
            <w:pPr>
              <w:pStyle w:val="129"/>
              <w:widowControl w:val="0"/>
              <w:rPr>
                <w:color w:val="auto"/>
              </w:rPr>
            </w:pPr>
            <w:r>
              <w:rPr>
                <w:color w:val="auto"/>
              </w:rPr>
              <w:t>坐标</w:t>
            </w:r>
          </w:p>
        </w:tc>
        <w:tc>
          <w:tcPr>
            <w:tcW w:w="992" w:type="dxa"/>
            <w:vAlign w:val="center"/>
          </w:tcPr>
          <w:p w14:paraId="7A5B6310">
            <w:pPr>
              <w:pStyle w:val="129"/>
              <w:widowControl w:val="0"/>
              <w:rPr>
                <w:color w:val="auto"/>
              </w:rPr>
            </w:pPr>
            <w:r>
              <w:rPr>
                <w:color w:val="auto"/>
              </w:rPr>
              <w:t>用途</w:t>
            </w:r>
          </w:p>
        </w:tc>
        <w:tc>
          <w:tcPr>
            <w:tcW w:w="4119" w:type="dxa"/>
            <w:vAlign w:val="center"/>
          </w:tcPr>
          <w:p w14:paraId="1EF46615">
            <w:pPr>
              <w:widowControl w:val="0"/>
              <w:spacing w:before="100" w:beforeAutospacing="1" w:line="360" w:lineRule="exact"/>
              <w:jc w:val="center"/>
              <w:rPr>
                <w:color w:val="auto"/>
                <w:kern w:val="2"/>
                <w:sz w:val="21"/>
                <w:szCs w:val="21"/>
              </w:rPr>
            </w:pPr>
            <w:r>
              <w:rPr>
                <w:rFonts w:ascii="宋体" w:hAnsi="宋体"/>
                <w:color w:val="auto"/>
                <w:kern w:val="2"/>
                <w:sz w:val="21"/>
                <w:szCs w:val="21"/>
              </w:rPr>
              <w:t>监测因子</w:t>
            </w:r>
          </w:p>
        </w:tc>
      </w:tr>
      <w:tr w14:paraId="6A8701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24" w:type="dxa"/>
            <w:vAlign w:val="center"/>
          </w:tcPr>
          <w:p w14:paraId="25A195C9">
            <w:pPr>
              <w:pStyle w:val="129"/>
              <w:widowControl w:val="0"/>
              <w:rPr>
                <w:color w:val="auto"/>
              </w:rPr>
            </w:pPr>
            <w:r>
              <w:rPr>
                <w:color w:val="auto"/>
              </w:rPr>
              <w:t>D1#</w:t>
            </w:r>
          </w:p>
          <w:p w14:paraId="42FC1537">
            <w:pPr>
              <w:pStyle w:val="129"/>
              <w:widowControl w:val="0"/>
              <w:rPr>
                <w:color w:val="auto"/>
              </w:rPr>
            </w:pPr>
            <w:r>
              <w:rPr>
                <w:color w:val="auto"/>
              </w:rPr>
              <w:t>西侧监测点</w:t>
            </w:r>
          </w:p>
        </w:tc>
        <w:tc>
          <w:tcPr>
            <w:tcW w:w="1134" w:type="dxa"/>
            <w:vAlign w:val="center"/>
          </w:tcPr>
          <w:p w14:paraId="5BC6A69C">
            <w:pPr>
              <w:pStyle w:val="129"/>
              <w:widowControl w:val="0"/>
              <w:rPr>
                <w:color w:val="auto"/>
              </w:rPr>
            </w:pPr>
            <w:r>
              <w:rPr>
                <w:color w:val="auto"/>
              </w:rPr>
              <w:t>西侧，2.52km</w:t>
            </w:r>
          </w:p>
        </w:tc>
        <w:tc>
          <w:tcPr>
            <w:tcW w:w="1560" w:type="dxa"/>
            <w:vAlign w:val="center"/>
          </w:tcPr>
          <w:p w14:paraId="6EF2A162">
            <w:pPr>
              <w:pStyle w:val="129"/>
              <w:widowControl w:val="0"/>
              <w:rPr>
                <w:color w:val="auto"/>
              </w:rPr>
            </w:pPr>
          </w:p>
        </w:tc>
        <w:tc>
          <w:tcPr>
            <w:tcW w:w="992" w:type="dxa"/>
            <w:vAlign w:val="center"/>
          </w:tcPr>
          <w:p w14:paraId="6D263053">
            <w:pPr>
              <w:pStyle w:val="129"/>
              <w:widowControl w:val="0"/>
              <w:rPr>
                <w:color w:val="auto"/>
              </w:rPr>
            </w:pPr>
            <w:r>
              <w:rPr>
                <w:color w:val="auto"/>
              </w:rPr>
              <w:t>监测水质、水位</w:t>
            </w:r>
          </w:p>
        </w:tc>
        <w:tc>
          <w:tcPr>
            <w:tcW w:w="4119" w:type="dxa"/>
            <w:vAlign w:val="center"/>
          </w:tcPr>
          <w:p w14:paraId="6D18C694">
            <w:pPr>
              <w:widowControl w:val="0"/>
              <w:spacing w:before="100" w:beforeAutospacing="1" w:line="360" w:lineRule="exact"/>
              <w:jc w:val="center"/>
              <w:rPr>
                <w:color w:val="auto"/>
                <w:kern w:val="2"/>
                <w:sz w:val="21"/>
                <w:szCs w:val="21"/>
              </w:rPr>
            </w:pPr>
            <w:r>
              <w:rPr>
                <w:color w:val="auto"/>
                <w:kern w:val="2"/>
                <w:sz w:val="21"/>
                <w:szCs w:val="21"/>
              </w:rPr>
              <w:t>K</w:t>
            </w:r>
            <w:r>
              <w:rPr>
                <w:color w:val="auto"/>
                <w:kern w:val="2"/>
                <w:sz w:val="21"/>
                <w:szCs w:val="21"/>
                <w:vertAlign w:val="superscript"/>
              </w:rPr>
              <w:t>+</w:t>
            </w:r>
            <w:r>
              <w:rPr>
                <w:rFonts w:ascii="宋体" w:hAnsi="宋体"/>
                <w:color w:val="auto"/>
                <w:kern w:val="2"/>
                <w:sz w:val="21"/>
                <w:szCs w:val="21"/>
              </w:rPr>
              <w:t>、</w:t>
            </w:r>
            <w:r>
              <w:rPr>
                <w:color w:val="auto"/>
                <w:kern w:val="2"/>
                <w:sz w:val="21"/>
                <w:szCs w:val="21"/>
              </w:rPr>
              <w:t>Na</w:t>
            </w:r>
            <w:r>
              <w:rPr>
                <w:color w:val="auto"/>
                <w:kern w:val="2"/>
                <w:sz w:val="21"/>
                <w:szCs w:val="21"/>
                <w:vertAlign w:val="superscript"/>
              </w:rPr>
              <w:t>+</w:t>
            </w:r>
            <w:r>
              <w:rPr>
                <w:rFonts w:ascii="宋体" w:hAnsi="宋体"/>
                <w:color w:val="auto"/>
                <w:kern w:val="2"/>
                <w:sz w:val="21"/>
                <w:szCs w:val="21"/>
              </w:rPr>
              <w:t>、</w:t>
            </w:r>
            <w:r>
              <w:rPr>
                <w:color w:val="auto"/>
                <w:kern w:val="2"/>
                <w:sz w:val="21"/>
                <w:szCs w:val="21"/>
              </w:rPr>
              <w:t>Ca</w:t>
            </w:r>
            <w:r>
              <w:rPr>
                <w:color w:val="auto"/>
                <w:kern w:val="2"/>
                <w:sz w:val="21"/>
                <w:szCs w:val="21"/>
                <w:vertAlign w:val="superscript"/>
              </w:rPr>
              <w:t>2+</w:t>
            </w:r>
            <w:r>
              <w:rPr>
                <w:rFonts w:ascii="宋体" w:hAnsi="宋体"/>
                <w:color w:val="auto"/>
                <w:kern w:val="2"/>
                <w:sz w:val="21"/>
                <w:szCs w:val="21"/>
              </w:rPr>
              <w:t>、</w:t>
            </w:r>
            <w:r>
              <w:rPr>
                <w:color w:val="auto"/>
                <w:kern w:val="2"/>
                <w:sz w:val="21"/>
                <w:szCs w:val="21"/>
              </w:rPr>
              <w:t>Mg</w:t>
            </w:r>
            <w:r>
              <w:rPr>
                <w:color w:val="auto"/>
                <w:kern w:val="2"/>
                <w:sz w:val="21"/>
                <w:szCs w:val="21"/>
                <w:vertAlign w:val="superscript"/>
              </w:rPr>
              <w:t>2+</w:t>
            </w:r>
            <w:r>
              <w:rPr>
                <w:rFonts w:ascii="宋体" w:hAnsi="宋体"/>
                <w:color w:val="auto"/>
                <w:kern w:val="2"/>
                <w:sz w:val="21"/>
                <w:szCs w:val="21"/>
              </w:rPr>
              <w:t>、</w:t>
            </w:r>
            <w:r>
              <w:rPr>
                <w:color w:val="auto"/>
                <w:kern w:val="2"/>
                <w:sz w:val="21"/>
                <w:szCs w:val="21"/>
              </w:rPr>
              <w:t>CO</w:t>
            </w:r>
            <w:r>
              <w:rPr>
                <w:color w:val="auto"/>
                <w:kern w:val="2"/>
                <w:sz w:val="21"/>
                <w:szCs w:val="21"/>
                <w:vertAlign w:val="subscript"/>
              </w:rPr>
              <w:t>3</w:t>
            </w:r>
            <w:r>
              <w:rPr>
                <w:color w:val="auto"/>
                <w:kern w:val="2"/>
                <w:sz w:val="21"/>
                <w:szCs w:val="21"/>
                <w:vertAlign w:val="superscript"/>
              </w:rPr>
              <w:t>2-</w:t>
            </w:r>
            <w:r>
              <w:rPr>
                <w:rFonts w:ascii="宋体" w:hAnsi="宋体"/>
                <w:color w:val="auto"/>
                <w:kern w:val="2"/>
                <w:sz w:val="21"/>
                <w:szCs w:val="21"/>
              </w:rPr>
              <w:t>、</w:t>
            </w:r>
            <w:r>
              <w:rPr>
                <w:color w:val="auto"/>
                <w:kern w:val="2"/>
                <w:sz w:val="21"/>
                <w:szCs w:val="21"/>
              </w:rPr>
              <w:t>HCO</w:t>
            </w:r>
            <w:r>
              <w:rPr>
                <w:color w:val="auto"/>
                <w:kern w:val="2"/>
                <w:sz w:val="21"/>
                <w:szCs w:val="21"/>
                <w:vertAlign w:val="superscript"/>
              </w:rPr>
              <w:t>3-</w:t>
            </w:r>
            <w:r>
              <w:rPr>
                <w:rFonts w:ascii="宋体" w:hAnsi="宋体"/>
                <w:color w:val="auto"/>
                <w:kern w:val="2"/>
                <w:sz w:val="21"/>
                <w:szCs w:val="21"/>
              </w:rPr>
              <w:t>、</w:t>
            </w:r>
            <w:r>
              <w:rPr>
                <w:color w:val="auto"/>
                <w:kern w:val="2"/>
                <w:sz w:val="21"/>
                <w:szCs w:val="21"/>
              </w:rPr>
              <w:t>Cl</w:t>
            </w:r>
            <w:r>
              <w:rPr>
                <w:color w:val="auto"/>
                <w:kern w:val="2"/>
                <w:sz w:val="21"/>
                <w:szCs w:val="21"/>
                <w:vertAlign w:val="superscript"/>
              </w:rPr>
              <w:t>-</w:t>
            </w:r>
            <w:r>
              <w:rPr>
                <w:rFonts w:ascii="宋体" w:hAnsi="宋体"/>
                <w:color w:val="auto"/>
                <w:kern w:val="2"/>
                <w:sz w:val="21"/>
                <w:szCs w:val="21"/>
              </w:rPr>
              <w:t>、</w:t>
            </w:r>
            <w:r>
              <w:rPr>
                <w:color w:val="auto"/>
                <w:kern w:val="2"/>
                <w:sz w:val="21"/>
                <w:szCs w:val="21"/>
              </w:rPr>
              <w:t>SO</w:t>
            </w:r>
            <w:r>
              <w:rPr>
                <w:color w:val="auto"/>
                <w:kern w:val="2"/>
                <w:sz w:val="21"/>
                <w:szCs w:val="21"/>
                <w:vertAlign w:val="subscript"/>
              </w:rPr>
              <w:t>4</w:t>
            </w:r>
            <w:r>
              <w:rPr>
                <w:color w:val="auto"/>
                <w:kern w:val="2"/>
                <w:sz w:val="21"/>
                <w:szCs w:val="21"/>
                <w:vertAlign w:val="superscript"/>
              </w:rPr>
              <w:t>2-</w:t>
            </w:r>
            <w:r>
              <w:rPr>
                <w:rFonts w:ascii="宋体" w:hAnsi="宋体"/>
                <w:color w:val="auto"/>
                <w:kern w:val="2"/>
                <w:sz w:val="21"/>
                <w:szCs w:val="21"/>
              </w:rPr>
              <w:t>、</w:t>
            </w:r>
            <w:r>
              <w:rPr>
                <w:color w:val="auto"/>
                <w:kern w:val="2"/>
                <w:sz w:val="21"/>
                <w:szCs w:val="21"/>
              </w:rPr>
              <w:t>pH</w:t>
            </w:r>
            <w:r>
              <w:rPr>
                <w:rFonts w:ascii="宋体" w:hAnsi="宋体"/>
                <w:color w:val="auto"/>
                <w:kern w:val="2"/>
                <w:sz w:val="21"/>
                <w:szCs w:val="21"/>
              </w:rPr>
              <w:t>、氨氮（以</w:t>
            </w:r>
            <w:r>
              <w:rPr>
                <w:color w:val="auto"/>
                <w:kern w:val="2"/>
                <w:sz w:val="21"/>
                <w:szCs w:val="21"/>
              </w:rPr>
              <w:t>N</w:t>
            </w:r>
            <w:r>
              <w:rPr>
                <w:rFonts w:ascii="宋体" w:hAnsi="宋体"/>
                <w:color w:val="auto"/>
                <w:kern w:val="2"/>
                <w:sz w:val="21"/>
                <w:szCs w:val="21"/>
              </w:rPr>
              <w:t>计）、硝酸盐（以</w:t>
            </w:r>
            <w:r>
              <w:rPr>
                <w:color w:val="auto"/>
                <w:kern w:val="2"/>
                <w:sz w:val="21"/>
                <w:szCs w:val="21"/>
              </w:rPr>
              <w:t>N</w:t>
            </w:r>
            <w:r>
              <w:rPr>
                <w:rFonts w:ascii="宋体" w:hAnsi="宋体"/>
                <w:color w:val="auto"/>
                <w:kern w:val="2"/>
                <w:sz w:val="21"/>
                <w:szCs w:val="21"/>
              </w:rPr>
              <w:t>计）、亚硝酸盐（以</w:t>
            </w:r>
            <w:r>
              <w:rPr>
                <w:color w:val="auto"/>
                <w:kern w:val="2"/>
                <w:sz w:val="21"/>
                <w:szCs w:val="21"/>
              </w:rPr>
              <w:t>N</w:t>
            </w:r>
            <w:r>
              <w:rPr>
                <w:rFonts w:ascii="宋体" w:hAnsi="宋体"/>
                <w:color w:val="auto"/>
                <w:kern w:val="2"/>
                <w:sz w:val="21"/>
                <w:szCs w:val="21"/>
              </w:rPr>
              <w:t>计）、铝、砷、汞、铬</w:t>
            </w:r>
            <w:r>
              <w:rPr>
                <w:color w:val="auto"/>
                <w:kern w:val="2"/>
                <w:sz w:val="21"/>
                <w:szCs w:val="21"/>
              </w:rPr>
              <w:t>(</w:t>
            </w:r>
            <w:r>
              <w:rPr>
                <w:rFonts w:ascii="宋体" w:hAnsi="宋体"/>
                <w:color w:val="auto"/>
                <w:kern w:val="2"/>
                <w:sz w:val="21"/>
                <w:szCs w:val="21"/>
              </w:rPr>
              <w:t>六价</w:t>
            </w:r>
            <w:r>
              <w:rPr>
                <w:color w:val="auto"/>
                <w:kern w:val="2"/>
                <w:sz w:val="21"/>
                <w:szCs w:val="21"/>
              </w:rPr>
              <w:t>)</w:t>
            </w:r>
            <w:r>
              <w:rPr>
                <w:rFonts w:ascii="宋体" w:hAnsi="宋体"/>
                <w:color w:val="auto"/>
                <w:kern w:val="2"/>
                <w:sz w:val="21"/>
                <w:szCs w:val="21"/>
              </w:rPr>
              <w:t>、总硬度、铅、氟化物、镉、铁、锰、铜、钼、镍、钴、锌、溶解性总固体、耗氧量、硫酸盐</w:t>
            </w:r>
          </w:p>
        </w:tc>
      </w:tr>
    </w:tbl>
    <w:p w14:paraId="584978E1">
      <w:pPr>
        <w:spacing w:line="360" w:lineRule="auto"/>
        <w:ind w:firstLine="480" w:firstLineChars="200"/>
        <w:jc w:val="both"/>
        <w:rPr>
          <w:color w:val="auto"/>
          <w:sz w:val="24"/>
          <w:szCs w:val="24"/>
        </w:rPr>
      </w:pPr>
      <w:r>
        <w:rPr>
          <w:color w:val="auto"/>
          <w:sz w:val="24"/>
          <w:szCs w:val="24"/>
        </w:rPr>
        <w:t>D2#</w:t>
      </w:r>
      <w:r>
        <w:rPr>
          <w:rFonts w:hint="eastAsia"/>
          <w:color w:val="auto"/>
          <w:sz w:val="24"/>
          <w:szCs w:val="24"/>
        </w:rPr>
        <w:t>、</w:t>
      </w:r>
      <w:r>
        <w:rPr>
          <w:color w:val="auto"/>
          <w:sz w:val="24"/>
          <w:szCs w:val="24"/>
        </w:rPr>
        <w:t>D3#</w:t>
      </w:r>
      <w:r>
        <w:rPr>
          <w:rFonts w:hint="eastAsia"/>
          <w:color w:val="auto"/>
          <w:sz w:val="24"/>
          <w:szCs w:val="24"/>
        </w:rPr>
        <w:t>、</w:t>
      </w:r>
      <w:r>
        <w:rPr>
          <w:color w:val="auto"/>
          <w:sz w:val="24"/>
          <w:szCs w:val="24"/>
        </w:rPr>
        <w:t>D4#</w:t>
      </w:r>
      <w:r>
        <w:rPr>
          <w:rFonts w:hint="eastAsia"/>
          <w:color w:val="auto"/>
          <w:sz w:val="24"/>
          <w:szCs w:val="24"/>
        </w:rPr>
        <w:t>、</w:t>
      </w:r>
      <w:r>
        <w:rPr>
          <w:color w:val="auto"/>
          <w:sz w:val="24"/>
          <w:szCs w:val="24"/>
        </w:rPr>
        <w:t>D5#</w:t>
      </w:r>
      <w:r>
        <w:rPr>
          <w:rFonts w:hint="eastAsia"/>
          <w:color w:val="auto"/>
          <w:sz w:val="24"/>
          <w:szCs w:val="24"/>
        </w:rPr>
        <w:t>监测数据引用自《乌鲁木齐甘泉堡经济技术开发区（工业区）化工园区总体规划（</w:t>
      </w:r>
      <w:r>
        <w:rPr>
          <w:color w:val="auto"/>
          <w:sz w:val="24"/>
          <w:szCs w:val="24"/>
        </w:rPr>
        <w:t>2023-2035</w:t>
      </w:r>
      <w:r>
        <w:rPr>
          <w:rFonts w:hint="eastAsia"/>
          <w:color w:val="auto"/>
          <w:sz w:val="24"/>
          <w:szCs w:val="24"/>
        </w:rPr>
        <w:t>）》，监测时间为</w:t>
      </w:r>
      <w:r>
        <w:rPr>
          <w:color w:val="auto"/>
          <w:sz w:val="24"/>
          <w:szCs w:val="24"/>
        </w:rPr>
        <w:t>2023</w:t>
      </w:r>
      <w:r>
        <w:rPr>
          <w:rFonts w:hint="eastAsia"/>
          <w:color w:val="auto"/>
          <w:sz w:val="24"/>
          <w:szCs w:val="24"/>
        </w:rPr>
        <w:t>年</w:t>
      </w:r>
      <w:r>
        <w:rPr>
          <w:color w:val="auto"/>
          <w:sz w:val="24"/>
          <w:szCs w:val="24"/>
        </w:rPr>
        <w:t>8</w:t>
      </w:r>
      <w:r>
        <w:rPr>
          <w:rFonts w:hint="eastAsia"/>
          <w:color w:val="auto"/>
          <w:sz w:val="24"/>
          <w:szCs w:val="24"/>
        </w:rPr>
        <w:t>月</w:t>
      </w:r>
      <w:r>
        <w:rPr>
          <w:color w:val="auto"/>
          <w:sz w:val="24"/>
          <w:szCs w:val="24"/>
        </w:rPr>
        <w:t>28</w:t>
      </w:r>
      <w:r>
        <w:rPr>
          <w:rFonts w:hint="eastAsia"/>
          <w:color w:val="auto"/>
          <w:sz w:val="24"/>
          <w:szCs w:val="24"/>
        </w:rPr>
        <w:t>日，监测因子：</w:t>
      </w:r>
      <w:r>
        <w:rPr>
          <w:color w:val="auto"/>
          <w:sz w:val="24"/>
          <w:szCs w:val="24"/>
        </w:rPr>
        <w:t>pH</w:t>
      </w:r>
      <w:r>
        <w:rPr>
          <w:rFonts w:hint="eastAsia"/>
          <w:color w:val="auto"/>
          <w:sz w:val="24"/>
          <w:szCs w:val="24"/>
        </w:rPr>
        <w:t>、总硬度、溶解性总固体、硫酸盐、氯化物、挥发酚、氟化物、氨氮、耗氧量、硝酸盐氮、亚硝酸盐氮、氰化物、镉、砷、铜、铅、汞、镍、六价铬、总大肠菌群、细菌总数、三氯甲烷、二氯甲烷、</w:t>
      </w:r>
      <w:r>
        <w:rPr>
          <w:color w:val="auto"/>
          <w:sz w:val="24"/>
          <w:szCs w:val="24"/>
        </w:rPr>
        <w:t>K</w:t>
      </w:r>
      <w:r>
        <w:rPr>
          <w:color w:val="auto"/>
          <w:sz w:val="24"/>
          <w:szCs w:val="24"/>
          <w:vertAlign w:val="superscript"/>
        </w:rPr>
        <w:t>+</w:t>
      </w:r>
      <w:r>
        <w:rPr>
          <w:rFonts w:hint="eastAsia"/>
          <w:color w:val="auto"/>
          <w:sz w:val="24"/>
          <w:szCs w:val="24"/>
        </w:rPr>
        <w:t>、</w:t>
      </w:r>
      <w:r>
        <w:rPr>
          <w:color w:val="auto"/>
          <w:sz w:val="24"/>
          <w:szCs w:val="24"/>
        </w:rPr>
        <w:t>Na</w:t>
      </w:r>
      <w:r>
        <w:rPr>
          <w:color w:val="auto"/>
          <w:sz w:val="24"/>
          <w:szCs w:val="24"/>
          <w:vertAlign w:val="superscript"/>
        </w:rPr>
        <w:t>+</w:t>
      </w:r>
      <w:r>
        <w:rPr>
          <w:rFonts w:hint="eastAsia"/>
          <w:color w:val="auto"/>
          <w:sz w:val="24"/>
          <w:szCs w:val="24"/>
        </w:rPr>
        <w:t>、</w:t>
      </w:r>
      <w:r>
        <w:rPr>
          <w:color w:val="auto"/>
          <w:sz w:val="24"/>
          <w:szCs w:val="24"/>
        </w:rPr>
        <w:t>Ca</w:t>
      </w:r>
      <w:r>
        <w:rPr>
          <w:color w:val="auto"/>
          <w:sz w:val="24"/>
          <w:szCs w:val="24"/>
          <w:vertAlign w:val="superscript"/>
        </w:rPr>
        <w:t>2+</w:t>
      </w:r>
      <w:r>
        <w:rPr>
          <w:rFonts w:hint="eastAsia"/>
          <w:color w:val="auto"/>
          <w:sz w:val="24"/>
          <w:szCs w:val="24"/>
        </w:rPr>
        <w:t>、</w:t>
      </w:r>
      <w:r>
        <w:rPr>
          <w:color w:val="auto"/>
          <w:sz w:val="24"/>
          <w:szCs w:val="24"/>
        </w:rPr>
        <w:t>Mg</w:t>
      </w:r>
      <w:r>
        <w:rPr>
          <w:color w:val="auto"/>
          <w:sz w:val="24"/>
          <w:szCs w:val="24"/>
          <w:vertAlign w:val="superscript"/>
        </w:rPr>
        <w:t>2+</w:t>
      </w:r>
      <w:r>
        <w:rPr>
          <w:rFonts w:hint="eastAsia"/>
          <w:color w:val="auto"/>
          <w:sz w:val="24"/>
          <w:szCs w:val="24"/>
        </w:rPr>
        <w:t>、</w:t>
      </w:r>
      <w:r>
        <w:rPr>
          <w:color w:val="auto"/>
          <w:sz w:val="24"/>
          <w:szCs w:val="24"/>
        </w:rPr>
        <w:t>CO</w:t>
      </w:r>
      <w:r>
        <w:rPr>
          <w:color w:val="auto"/>
          <w:sz w:val="24"/>
          <w:szCs w:val="24"/>
          <w:vertAlign w:val="subscript"/>
        </w:rPr>
        <w:t>3</w:t>
      </w:r>
      <w:r>
        <w:rPr>
          <w:color w:val="auto"/>
          <w:sz w:val="24"/>
          <w:szCs w:val="24"/>
          <w:vertAlign w:val="superscript"/>
        </w:rPr>
        <w:t>2-</w:t>
      </w:r>
      <w:r>
        <w:rPr>
          <w:rFonts w:hint="eastAsia"/>
          <w:color w:val="auto"/>
          <w:sz w:val="24"/>
          <w:szCs w:val="24"/>
        </w:rPr>
        <w:t>、</w:t>
      </w:r>
      <w:r>
        <w:rPr>
          <w:color w:val="auto"/>
          <w:sz w:val="24"/>
          <w:szCs w:val="24"/>
        </w:rPr>
        <w:t>HCO</w:t>
      </w:r>
      <w:r>
        <w:rPr>
          <w:color w:val="auto"/>
          <w:sz w:val="24"/>
          <w:szCs w:val="24"/>
          <w:vertAlign w:val="superscript"/>
        </w:rPr>
        <w:t>3-</w:t>
      </w:r>
      <w:r>
        <w:rPr>
          <w:rFonts w:hint="eastAsia"/>
          <w:color w:val="auto"/>
          <w:sz w:val="24"/>
          <w:szCs w:val="24"/>
        </w:rPr>
        <w:t>、</w:t>
      </w:r>
      <w:r>
        <w:rPr>
          <w:color w:val="auto"/>
          <w:sz w:val="24"/>
          <w:szCs w:val="24"/>
        </w:rPr>
        <w:t>Cl</w:t>
      </w:r>
      <w:r>
        <w:rPr>
          <w:color w:val="auto"/>
          <w:sz w:val="24"/>
          <w:szCs w:val="24"/>
          <w:vertAlign w:val="superscript"/>
        </w:rPr>
        <w:t>-</w:t>
      </w:r>
      <w:r>
        <w:rPr>
          <w:rFonts w:hint="eastAsia"/>
          <w:color w:val="auto"/>
          <w:sz w:val="24"/>
          <w:szCs w:val="24"/>
        </w:rPr>
        <w:t>、</w:t>
      </w:r>
      <w:r>
        <w:rPr>
          <w:color w:val="auto"/>
          <w:sz w:val="24"/>
          <w:szCs w:val="24"/>
        </w:rPr>
        <w:t>SO</w:t>
      </w:r>
      <w:r>
        <w:rPr>
          <w:color w:val="auto"/>
          <w:sz w:val="24"/>
          <w:szCs w:val="24"/>
          <w:vertAlign w:val="subscript"/>
        </w:rPr>
        <w:t>4</w:t>
      </w:r>
      <w:r>
        <w:rPr>
          <w:color w:val="auto"/>
          <w:sz w:val="24"/>
          <w:szCs w:val="24"/>
          <w:vertAlign w:val="superscript"/>
        </w:rPr>
        <w:t>2-</w:t>
      </w:r>
      <w:r>
        <w:rPr>
          <w:rFonts w:hint="eastAsia"/>
          <w:color w:val="auto"/>
          <w:sz w:val="24"/>
          <w:szCs w:val="24"/>
        </w:rPr>
        <w:t>。</w:t>
      </w:r>
    </w:p>
    <w:p w14:paraId="15AF3964">
      <w:pPr>
        <w:spacing w:line="360" w:lineRule="auto"/>
        <w:ind w:firstLine="480" w:firstLineChars="200"/>
        <w:jc w:val="both"/>
        <w:rPr>
          <w:color w:val="auto"/>
          <w:sz w:val="24"/>
          <w:szCs w:val="24"/>
        </w:rPr>
      </w:pPr>
      <w:r>
        <w:rPr>
          <w:rFonts w:hint="eastAsia"/>
          <w:color w:val="auto"/>
          <w:sz w:val="24"/>
          <w:szCs w:val="24"/>
        </w:rPr>
        <w:t>地下水引用监测点详情见表</w:t>
      </w:r>
      <w:r>
        <w:rPr>
          <w:color w:val="auto"/>
          <w:sz w:val="24"/>
          <w:szCs w:val="24"/>
        </w:rPr>
        <w:t>4.7-2</w:t>
      </w:r>
      <w:r>
        <w:rPr>
          <w:rFonts w:hint="eastAsia"/>
          <w:color w:val="auto"/>
          <w:sz w:val="24"/>
          <w:szCs w:val="24"/>
        </w:rPr>
        <w:t>和图</w:t>
      </w:r>
      <w:r>
        <w:rPr>
          <w:color w:val="auto"/>
          <w:sz w:val="24"/>
          <w:szCs w:val="24"/>
        </w:rPr>
        <w:t>4.7-1</w:t>
      </w:r>
      <w:r>
        <w:rPr>
          <w:rFonts w:hint="eastAsia"/>
          <w:color w:val="auto"/>
          <w:sz w:val="24"/>
          <w:szCs w:val="24"/>
        </w:rPr>
        <w:t>。</w:t>
      </w:r>
    </w:p>
    <w:p w14:paraId="7E396925">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地下水水质、水位引用监测点位置一览表</w:t>
      </w:r>
    </w:p>
    <w:tbl>
      <w:tblPr>
        <w:tblStyle w:val="1937"/>
        <w:tblW w:w="5146"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1707"/>
        <w:gridCol w:w="1002"/>
        <w:gridCol w:w="1573"/>
        <w:gridCol w:w="1144"/>
        <w:gridCol w:w="3618"/>
      </w:tblGrid>
      <w:tr w14:paraId="57EF093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692" w:type="dxa"/>
            <w:vAlign w:val="center"/>
          </w:tcPr>
          <w:p w14:paraId="7B83BD01">
            <w:pPr>
              <w:widowControl w:val="0"/>
              <w:snapToGrid w:val="0"/>
              <w:spacing w:line="360" w:lineRule="exact"/>
              <w:jc w:val="center"/>
              <w:rPr>
                <w:rFonts w:hint="eastAsia" w:ascii="宋体" w:hAnsi="宋体"/>
                <w:color w:val="auto"/>
                <w:kern w:val="2"/>
                <w:sz w:val="21"/>
                <w:szCs w:val="21"/>
              </w:rPr>
            </w:pPr>
            <w:r>
              <w:rPr>
                <w:rFonts w:ascii="宋体" w:hAnsi="宋体"/>
                <w:color w:val="auto"/>
                <w:kern w:val="2"/>
                <w:sz w:val="21"/>
                <w:szCs w:val="21"/>
              </w:rPr>
              <w:t>编号</w:t>
            </w:r>
          </w:p>
          <w:p w14:paraId="07F6C647">
            <w:pPr>
              <w:widowControl w:val="0"/>
              <w:snapToGrid w:val="0"/>
              <w:spacing w:line="360" w:lineRule="exact"/>
              <w:jc w:val="center"/>
              <w:rPr>
                <w:color w:val="auto"/>
                <w:kern w:val="2"/>
                <w:sz w:val="21"/>
                <w:szCs w:val="21"/>
              </w:rPr>
            </w:pPr>
            <w:r>
              <w:rPr>
                <w:rFonts w:hint="eastAsia" w:ascii="宋体" w:hAnsi="宋体"/>
                <w:color w:val="auto"/>
                <w:kern w:val="2"/>
                <w:sz w:val="21"/>
                <w:szCs w:val="21"/>
              </w:rPr>
              <w:t>监测点</w:t>
            </w:r>
            <w:r>
              <w:rPr>
                <w:rFonts w:ascii="宋体" w:hAnsi="宋体"/>
                <w:color w:val="auto"/>
                <w:kern w:val="2"/>
                <w:sz w:val="21"/>
                <w:szCs w:val="21"/>
              </w:rPr>
              <w:t>名称</w:t>
            </w:r>
          </w:p>
        </w:tc>
        <w:tc>
          <w:tcPr>
            <w:tcW w:w="993" w:type="dxa"/>
            <w:vAlign w:val="center"/>
          </w:tcPr>
          <w:p w14:paraId="21214F76">
            <w:pPr>
              <w:widowControl w:val="0"/>
              <w:snapToGrid w:val="0"/>
              <w:spacing w:before="100" w:beforeAutospacing="1" w:line="360" w:lineRule="exact"/>
              <w:jc w:val="center"/>
              <w:rPr>
                <w:color w:val="auto"/>
                <w:kern w:val="2"/>
                <w:sz w:val="21"/>
                <w:szCs w:val="21"/>
              </w:rPr>
            </w:pPr>
            <w:r>
              <w:rPr>
                <w:rFonts w:hint="eastAsia" w:ascii="宋体" w:hAnsi="宋体"/>
                <w:color w:val="auto"/>
                <w:kern w:val="2"/>
                <w:sz w:val="21"/>
                <w:szCs w:val="21"/>
              </w:rPr>
              <w:t>相对方位及距离</w:t>
            </w:r>
          </w:p>
        </w:tc>
        <w:tc>
          <w:tcPr>
            <w:tcW w:w="1559" w:type="dxa"/>
            <w:vAlign w:val="center"/>
          </w:tcPr>
          <w:p w14:paraId="15F22827">
            <w:pPr>
              <w:widowControl w:val="0"/>
              <w:snapToGrid w:val="0"/>
              <w:spacing w:before="100" w:beforeAutospacing="1" w:line="360" w:lineRule="exact"/>
              <w:jc w:val="center"/>
              <w:rPr>
                <w:color w:val="auto"/>
                <w:kern w:val="2"/>
                <w:sz w:val="21"/>
                <w:szCs w:val="21"/>
              </w:rPr>
            </w:pPr>
            <w:r>
              <w:rPr>
                <w:rFonts w:hint="eastAsia" w:ascii="宋体" w:hAnsi="宋体"/>
                <w:color w:val="auto"/>
                <w:kern w:val="2"/>
                <w:sz w:val="21"/>
                <w:szCs w:val="21"/>
              </w:rPr>
              <w:t>坐标</w:t>
            </w:r>
          </w:p>
        </w:tc>
        <w:tc>
          <w:tcPr>
            <w:tcW w:w="1134" w:type="dxa"/>
            <w:vAlign w:val="center"/>
          </w:tcPr>
          <w:p w14:paraId="05FB222F">
            <w:pPr>
              <w:widowControl w:val="0"/>
              <w:snapToGrid w:val="0"/>
              <w:spacing w:before="100" w:beforeAutospacing="1" w:line="360" w:lineRule="exact"/>
              <w:jc w:val="center"/>
              <w:rPr>
                <w:color w:val="auto"/>
                <w:kern w:val="2"/>
                <w:sz w:val="21"/>
                <w:szCs w:val="21"/>
              </w:rPr>
            </w:pPr>
            <w:r>
              <w:rPr>
                <w:rFonts w:hint="eastAsia" w:ascii="宋体" w:hAnsi="宋体"/>
                <w:color w:val="auto"/>
                <w:kern w:val="2"/>
                <w:sz w:val="21"/>
                <w:szCs w:val="21"/>
              </w:rPr>
              <w:t>用途</w:t>
            </w:r>
          </w:p>
        </w:tc>
        <w:tc>
          <w:tcPr>
            <w:tcW w:w="3586" w:type="dxa"/>
            <w:vAlign w:val="center"/>
          </w:tcPr>
          <w:p w14:paraId="0E5B1987">
            <w:pPr>
              <w:widowControl w:val="0"/>
              <w:snapToGrid w:val="0"/>
              <w:spacing w:before="100" w:beforeAutospacing="1" w:line="360" w:lineRule="exact"/>
              <w:jc w:val="center"/>
              <w:rPr>
                <w:color w:val="auto"/>
                <w:kern w:val="2"/>
                <w:sz w:val="21"/>
                <w:szCs w:val="21"/>
              </w:rPr>
            </w:pPr>
            <w:r>
              <w:rPr>
                <w:rFonts w:hint="eastAsia" w:ascii="宋体" w:hAnsi="宋体"/>
                <w:color w:val="auto"/>
                <w:kern w:val="2"/>
                <w:sz w:val="21"/>
                <w:szCs w:val="21"/>
              </w:rPr>
              <w:t>监测因子</w:t>
            </w:r>
          </w:p>
        </w:tc>
      </w:tr>
      <w:tr w14:paraId="4F487BF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692" w:type="dxa"/>
            <w:vAlign w:val="center"/>
          </w:tcPr>
          <w:p w14:paraId="08414D2A">
            <w:pPr>
              <w:widowControl w:val="0"/>
              <w:spacing w:line="360" w:lineRule="exact"/>
              <w:jc w:val="center"/>
              <w:rPr>
                <w:color w:val="auto"/>
                <w:kern w:val="2"/>
                <w:sz w:val="21"/>
                <w:szCs w:val="21"/>
              </w:rPr>
            </w:pPr>
            <w:r>
              <w:rPr>
                <w:rFonts w:hint="eastAsia"/>
                <w:color w:val="auto"/>
                <w:kern w:val="2"/>
                <w:sz w:val="21"/>
                <w:szCs w:val="21"/>
              </w:rPr>
              <w:t>D2#</w:t>
            </w:r>
            <w:r>
              <w:rPr>
                <w:rFonts w:hint="eastAsia" w:ascii="宋体" w:hAnsi="宋体"/>
                <w:color w:val="auto"/>
                <w:kern w:val="2"/>
                <w:sz w:val="21"/>
                <w:szCs w:val="21"/>
              </w:rPr>
              <w:t>上游监测点（引用）</w:t>
            </w:r>
          </w:p>
        </w:tc>
        <w:tc>
          <w:tcPr>
            <w:tcW w:w="993" w:type="dxa"/>
            <w:vAlign w:val="center"/>
          </w:tcPr>
          <w:p w14:paraId="4C39F0FD">
            <w:pPr>
              <w:widowControl w:val="0"/>
              <w:spacing w:line="360" w:lineRule="exact"/>
              <w:jc w:val="center"/>
              <w:rPr>
                <w:color w:val="auto"/>
                <w:kern w:val="2"/>
                <w:sz w:val="21"/>
                <w:szCs w:val="21"/>
              </w:rPr>
            </w:pPr>
            <w:r>
              <w:rPr>
                <w:rFonts w:hint="eastAsia" w:ascii="宋体" w:hAnsi="宋体"/>
                <w:color w:val="auto"/>
                <w:kern w:val="2"/>
                <w:sz w:val="21"/>
                <w:szCs w:val="21"/>
              </w:rPr>
              <w:t>南，</w:t>
            </w:r>
            <w:r>
              <w:rPr>
                <w:rFonts w:hint="eastAsia"/>
                <w:color w:val="auto"/>
                <w:kern w:val="2"/>
                <w:sz w:val="21"/>
                <w:szCs w:val="21"/>
              </w:rPr>
              <w:t>2.78km</w:t>
            </w:r>
          </w:p>
        </w:tc>
        <w:tc>
          <w:tcPr>
            <w:tcW w:w="1559" w:type="dxa"/>
            <w:vAlign w:val="center"/>
          </w:tcPr>
          <w:p w14:paraId="65DF049B">
            <w:pPr>
              <w:widowControl w:val="0"/>
              <w:spacing w:line="360" w:lineRule="exact"/>
              <w:jc w:val="center"/>
              <w:rPr>
                <w:color w:val="auto"/>
                <w:kern w:val="2"/>
                <w:sz w:val="21"/>
                <w:szCs w:val="21"/>
              </w:rPr>
            </w:pPr>
          </w:p>
        </w:tc>
        <w:tc>
          <w:tcPr>
            <w:tcW w:w="1134" w:type="dxa"/>
            <w:vAlign w:val="center"/>
          </w:tcPr>
          <w:p w14:paraId="37C0A153">
            <w:pPr>
              <w:widowControl w:val="0"/>
              <w:spacing w:line="360" w:lineRule="exact"/>
              <w:jc w:val="center"/>
              <w:rPr>
                <w:color w:val="auto"/>
                <w:kern w:val="2"/>
                <w:sz w:val="21"/>
                <w:szCs w:val="21"/>
              </w:rPr>
            </w:pPr>
            <w:r>
              <w:rPr>
                <w:rFonts w:hint="eastAsia" w:ascii="宋体" w:hAnsi="宋体"/>
                <w:color w:val="auto"/>
                <w:kern w:val="2"/>
                <w:sz w:val="21"/>
                <w:szCs w:val="21"/>
              </w:rPr>
              <w:t>监测水质、水位</w:t>
            </w:r>
          </w:p>
        </w:tc>
        <w:tc>
          <w:tcPr>
            <w:tcW w:w="3586" w:type="dxa"/>
            <w:vMerge w:val="restart"/>
            <w:vAlign w:val="center"/>
          </w:tcPr>
          <w:p w14:paraId="73F9C005">
            <w:pPr>
              <w:widowControl w:val="0"/>
              <w:spacing w:before="100" w:beforeAutospacing="1" w:line="360" w:lineRule="exact"/>
              <w:jc w:val="center"/>
              <w:rPr>
                <w:color w:val="auto"/>
                <w:kern w:val="2"/>
                <w:sz w:val="21"/>
                <w:szCs w:val="21"/>
              </w:rPr>
            </w:pPr>
            <w:r>
              <w:rPr>
                <w:rFonts w:hint="eastAsia"/>
                <w:color w:val="auto"/>
              </w:rPr>
              <w:t>pH、总硬度、溶解性总固体、硫酸盐、氯化物、挥发酚、氟化物、氨氮、耗氧量、硝酸盐氮、亚硝酸盐氮、氰化物、镉、砷、铜、铅、汞、镍、六价铬、总大肠菌群、细菌总数、三氯甲烷、二氯甲烷、</w:t>
            </w:r>
            <w:r>
              <w:rPr>
                <w:color w:val="auto"/>
              </w:rPr>
              <w:t>K</w:t>
            </w:r>
            <w:r>
              <w:rPr>
                <w:color w:val="auto"/>
                <w:vertAlign w:val="superscript"/>
              </w:rPr>
              <w:t>+</w:t>
            </w:r>
            <w:r>
              <w:rPr>
                <w:color w:val="auto"/>
              </w:rPr>
              <w:t>、Na</w:t>
            </w:r>
            <w:r>
              <w:rPr>
                <w:color w:val="auto"/>
                <w:vertAlign w:val="superscript"/>
              </w:rPr>
              <w:t>+</w:t>
            </w:r>
            <w:r>
              <w:rPr>
                <w:color w:val="auto"/>
              </w:rPr>
              <w:t>、Ca</w:t>
            </w:r>
            <w:r>
              <w:rPr>
                <w:color w:val="auto"/>
                <w:vertAlign w:val="superscript"/>
              </w:rPr>
              <w:t>2+</w:t>
            </w:r>
            <w:r>
              <w:rPr>
                <w:color w:val="auto"/>
              </w:rPr>
              <w:t>、Mg</w:t>
            </w:r>
            <w:r>
              <w:rPr>
                <w:color w:val="auto"/>
                <w:vertAlign w:val="superscript"/>
              </w:rPr>
              <w:t>2+</w:t>
            </w:r>
            <w:r>
              <w:rPr>
                <w:color w:val="auto"/>
              </w:rPr>
              <w:t>、CO</w:t>
            </w:r>
            <w:r>
              <w:rPr>
                <w:color w:val="auto"/>
                <w:vertAlign w:val="subscript"/>
              </w:rPr>
              <w:t>3</w:t>
            </w:r>
            <w:r>
              <w:rPr>
                <w:color w:val="auto"/>
                <w:vertAlign w:val="superscript"/>
              </w:rPr>
              <w:t>2-</w:t>
            </w:r>
            <w:r>
              <w:rPr>
                <w:color w:val="auto"/>
              </w:rPr>
              <w:t>、HCO</w:t>
            </w:r>
            <w:r>
              <w:rPr>
                <w:color w:val="auto"/>
                <w:vertAlign w:val="superscript"/>
              </w:rPr>
              <w:t>3-</w:t>
            </w:r>
            <w:r>
              <w:rPr>
                <w:color w:val="auto"/>
              </w:rPr>
              <w:t>、Cl</w:t>
            </w:r>
            <w:r>
              <w:rPr>
                <w:color w:val="auto"/>
                <w:vertAlign w:val="superscript"/>
              </w:rPr>
              <w:t>-</w:t>
            </w:r>
            <w:r>
              <w:rPr>
                <w:color w:val="auto"/>
              </w:rPr>
              <w:t>、SO</w:t>
            </w:r>
            <w:r>
              <w:rPr>
                <w:color w:val="auto"/>
                <w:vertAlign w:val="subscript"/>
              </w:rPr>
              <w:t>4</w:t>
            </w:r>
            <w:r>
              <w:rPr>
                <w:color w:val="auto"/>
                <w:vertAlign w:val="superscript"/>
              </w:rPr>
              <w:t>2-</w:t>
            </w:r>
          </w:p>
        </w:tc>
      </w:tr>
      <w:tr w14:paraId="10D0D43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824" w:hRule="atLeast"/>
        </w:trPr>
        <w:tc>
          <w:tcPr>
            <w:tcW w:w="1692" w:type="dxa"/>
            <w:vAlign w:val="center"/>
          </w:tcPr>
          <w:p w14:paraId="2AC8D88C">
            <w:pPr>
              <w:widowControl w:val="0"/>
              <w:spacing w:line="360" w:lineRule="exact"/>
              <w:jc w:val="center"/>
              <w:rPr>
                <w:color w:val="auto"/>
                <w:kern w:val="2"/>
                <w:sz w:val="21"/>
                <w:szCs w:val="21"/>
              </w:rPr>
            </w:pPr>
            <w:r>
              <w:rPr>
                <w:color w:val="auto"/>
                <w:kern w:val="2"/>
                <w:sz w:val="21"/>
                <w:szCs w:val="21"/>
              </w:rPr>
              <w:t>D</w:t>
            </w:r>
            <w:r>
              <w:rPr>
                <w:rFonts w:hint="eastAsia"/>
                <w:color w:val="auto"/>
                <w:kern w:val="2"/>
                <w:sz w:val="21"/>
                <w:szCs w:val="21"/>
              </w:rPr>
              <w:t>3</w:t>
            </w:r>
            <w:r>
              <w:rPr>
                <w:color w:val="auto"/>
                <w:kern w:val="2"/>
                <w:sz w:val="21"/>
                <w:szCs w:val="21"/>
              </w:rPr>
              <w:t>#</w:t>
            </w:r>
            <w:r>
              <w:rPr>
                <w:rFonts w:hint="eastAsia"/>
                <w:color w:val="auto"/>
                <w:kern w:val="2"/>
                <w:sz w:val="21"/>
                <w:szCs w:val="21"/>
              </w:rPr>
              <w:t>西</w:t>
            </w:r>
            <w:r>
              <w:rPr>
                <w:rFonts w:hint="eastAsia" w:ascii="宋体" w:hAnsi="宋体"/>
                <w:color w:val="auto"/>
                <w:kern w:val="2"/>
                <w:sz w:val="21"/>
                <w:szCs w:val="21"/>
              </w:rPr>
              <w:t>侧监测点1（引用）</w:t>
            </w:r>
          </w:p>
        </w:tc>
        <w:tc>
          <w:tcPr>
            <w:tcW w:w="993" w:type="dxa"/>
            <w:vAlign w:val="center"/>
          </w:tcPr>
          <w:p w14:paraId="76284B92">
            <w:pPr>
              <w:widowControl w:val="0"/>
              <w:spacing w:line="360" w:lineRule="exact"/>
              <w:jc w:val="center"/>
              <w:rPr>
                <w:color w:val="auto"/>
                <w:kern w:val="2"/>
                <w:sz w:val="21"/>
                <w:szCs w:val="21"/>
              </w:rPr>
            </w:pPr>
            <w:r>
              <w:rPr>
                <w:rFonts w:hint="eastAsia" w:ascii="宋体" w:hAnsi="宋体"/>
                <w:color w:val="auto"/>
                <w:kern w:val="2"/>
                <w:sz w:val="21"/>
                <w:szCs w:val="21"/>
              </w:rPr>
              <w:t>西，</w:t>
            </w:r>
            <w:r>
              <w:rPr>
                <w:rFonts w:hint="eastAsia"/>
                <w:color w:val="auto"/>
                <w:kern w:val="2"/>
                <w:sz w:val="21"/>
                <w:szCs w:val="21"/>
              </w:rPr>
              <w:t>5.27km</w:t>
            </w:r>
          </w:p>
        </w:tc>
        <w:tc>
          <w:tcPr>
            <w:tcW w:w="1559" w:type="dxa"/>
            <w:vAlign w:val="center"/>
          </w:tcPr>
          <w:p w14:paraId="02E822A5">
            <w:pPr>
              <w:widowControl w:val="0"/>
              <w:spacing w:line="360" w:lineRule="exact"/>
              <w:jc w:val="center"/>
              <w:rPr>
                <w:color w:val="auto"/>
                <w:kern w:val="2"/>
                <w:sz w:val="21"/>
                <w:szCs w:val="21"/>
              </w:rPr>
            </w:pPr>
          </w:p>
        </w:tc>
        <w:tc>
          <w:tcPr>
            <w:tcW w:w="1134" w:type="dxa"/>
            <w:vAlign w:val="center"/>
          </w:tcPr>
          <w:p w14:paraId="1E85B822">
            <w:pPr>
              <w:widowControl w:val="0"/>
              <w:spacing w:line="360" w:lineRule="exact"/>
              <w:jc w:val="center"/>
              <w:rPr>
                <w:color w:val="auto"/>
                <w:kern w:val="2"/>
                <w:sz w:val="21"/>
                <w:szCs w:val="21"/>
              </w:rPr>
            </w:pPr>
            <w:r>
              <w:rPr>
                <w:rFonts w:hint="eastAsia" w:ascii="宋体" w:hAnsi="宋体"/>
                <w:color w:val="auto"/>
                <w:kern w:val="2"/>
                <w:sz w:val="21"/>
                <w:szCs w:val="21"/>
              </w:rPr>
              <w:t>监测水质、水位</w:t>
            </w:r>
          </w:p>
        </w:tc>
        <w:tc>
          <w:tcPr>
            <w:tcW w:w="3586" w:type="dxa"/>
            <w:vMerge w:val="continue"/>
            <w:vAlign w:val="center"/>
          </w:tcPr>
          <w:p w14:paraId="0AF5BFEE">
            <w:pPr>
              <w:widowControl w:val="0"/>
              <w:spacing w:before="100" w:beforeAutospacing="1" w:line="360" w:lineRule="exact"/>
              <w:jc w:val="center"/>
              <w:rPr>
                <w:color w:val="auto"/>
                <w:kern w:val="2"/>
                <w:sz w:val="21"/>
                <w:szCs w:val="21"/>
              </w:rPr>
            </w:pPr>
          </w:p>
        </w:tc>
      </w:tr>
      <w:tr w14:paraId="67C4314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839" w:hRule="atLeast"/>
        </w:trPr>
        <w:tc>
          <w:tcPr>
            <w:tcW w:w="1692" w:type="dxa"/>
            <w:vAlign w:val="center"/>
          </w:tcPr>
          <w:p w14:paraId="366947A0">
            <w:pPr>
              <w:widowControl w:val="0"/>
              <w:spacing w:line="360" w:lineRule="exact"/>
              <w:jc w:val="center"/>
              <w:rPr>
                <w:color w:val="auto"/>
                <w:kern w:val="2"/>
                <w:sz w:val="21"/>
                <w:szCs w:val="21"/>
              </w:rPr>
            </w:pPr>
            <w:r>
              <w:rPr>
                <w:rFonts w:hint="eastAsia"/>
                <w:color w:val="auto"/>
                <w:kern w:val="2"/>
                <w:sz w:val="21"/>
                <w:szCs w:val="21"/>
              </w:rPr>
              <w:t>D4#</w:t>
            </w:r>
            <w:r>
              <w:rPr>
                <w:rFonts w:hint="eastAsia" w:ascii="宋体" w:hAnsi="宋体"/>
                <w:color w:val="auto"/>
                <w:kern w:val="2"/>
                <w:sz w:val="21"/>
                <w:szCs w:val="21"/>
              </w:rPr>
              <w:t>西侧监测点</w:t>
            </w:r>
            <w:r>
              <w:rPr>
                <w:rFonts w:hint="eastAsia"/>
                <w:color w:val="auto"/>
                <w:kern w:val="2"/>
                <w:sz w:val="21"/>
                <w:szCs w:val="21"/>
              </w:rPr>
              <w:t>2</w:t>
            </w:r>
            <w:r>
              <w:rPr>
                <w:rFonts w:hint="eastAsia" w:ascii="宋体" w:hAnsi="宋体"/>
                <w:color w:val="auto"/>
                <w:kern w:val="2"/>
                <w:sz w:val="21"/>
                <w:szCs w:val="21"/>
              </w:rPr>
              <w:t>（引用）</w:t>
            </w:r>
          </w:p>
        </w:tc>
        <w:tc>
          <w:tcPr>
            <w:tcW w:w="993" w:type="dxa"/>
            <w:vAlign w:val="center"/>
          </w:tcPr>
          <w:p w14:paraId="7FED8735">
            <w:pPr>
              <w:widowControl w:val="0"/>
              <w:spacing w:line="360" w:lineRule="exact"/>
              <w:jc w:val="center"/>
              <w:rPr>
                <w:color w:val="auto"/>
                <w:kern w:val="2"/>
                <w:sz w:val="21"/>
                <w:szCs w:val="21"/>
              </w:rPr>
            </w:pPr>
            <w:r>
              <w:rPr>
                <w:rFonts w:hint="eastAsia" w:ascii="宋体" w:hAnsi="宋体"/>
                <w:color w:val="auto"/>
                <w:kern w:val="2"/>
                <w:sz w:val="21"/>
                <w:szCs w:val="21"/>
              </w:rPr>
              <w:t>西南，</w:t>
            </w:r>
            <w:r>
              <w:rPr>
                <w:rFonts w:hint="eastAsia"/>
                <w:color w:val="auto"/>
                <w:kern w:val="2"/>
                <w:sz w:val="21"/>
                <w:szCs w:val="21"/>
              </w:rPr>
              <w:t>8.41km</w:t>
            </w:r>
          </w:p>
        </w:tc>
        <w:tc>
          <w:tcPr>
            <w:tcW w:w="1559" w:type="dxa"/>
            <w:vAlign w:val="center"/>
          </w:tcPr>
          <w:p w14:paraId="56690466">
            <w:pPr>
              <w:widowControl w:val="0"/>
              <w:spacing w:line="360" w:lineRule="exact"/>
              <w:jc w:val="center"/>
              <w:rPr>
                <w:color w:val="auto"/>
                <w:kern w:val="2"/>
                <w:sz w:val="21"/>
                <w:szCs w:val="21"/>
              </w:rPr>
            </w:pPr>
          </w:p>
        </w:tc>
        <w:tc>
          <w:tcPr>
            <w:tcW w:w="1134" w:type="dxa"/>
            <w:vAlign w:val="center"/>
          </w:tcPr>
          <w:p w14:paraId="15DA988C">
            <w:pPr>
              <w:widowControl w:val="0"/>
              <w:spacing w:line="360" w:lineRule="exact"/>
              <w:jc w:val="center"/>
              <w:rPr>
                <w:color w:val="auto"/>
                <w:kern w:val="2"/>
                <w:sz w:val="21"/>
                <w:szCs w:val="21"/>
              </w:rPr>
            </w:pPr>
            <w:r>
              <w:rPr>
                <w:rFonts w:hint="eastAsia" w:ascii="宋体" w:hAnsi="宋体"/>
                <w:color w:val="auto"/>
                <w:kern w:val="2"/>
                <w:sz w:val="21"/>
                <w:szCs w:val="21"/>
              </w:rPr>
              <w:t>监测水质、水位</w:t>
            </w:r>
          </w:p>
        </w:tc>
        <w:tc>
          <w:tcPr>
            <w:tcW w:w="3586" w:type="dxa"/>
            <w:vMerge w:val="continue"/>
            <w:vAlign w:val="center"/>
          </w:tcPr>
          <w:p w14:paraId="7E1ADE04">
            <w:pPr>
              <w:widowControl w:val="0"/>
              <w:spacing w:line="360" w:lineRule="exact"/>
              <w:jc w:val="both"/>
              <w:rPr>
                <w:color w:val="auto"/>
                <w:kern w:val="2"/>
                <w:sz w:val="21"/>
                <w:szCs w:val="21"/>
              </w:rPr>
            </w:pPr>
          </w:p>
        </w:tc>
      </w:tr>
      <w:tr w14:paraId="3372450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90" w:hRule="atLeast"/>
        </w:trPr>
        <w:tc>
          <w:tcPr>
            <w:tcW w:w="1692" w:type="dxa"/>
            <w:vAlign w:val="center"/>
          </w:tcPr>
          <w:p w14:paraId="6CA2FA9B">
            <w:pPr>
              <w:widowControl w:val="0"/>
              <w:spacing w:line="360" w:lineRule="exact"/>
              <w:jc w:val="center"/>
              <w:rPr>
                <w:color w:val="auto"/>
                <w:kern w:val="2"/>
                <w:sz w:val="21"/>
                <w:szCs w:val="21"/>
              </w:rPr>
            </w:pPr>
            <w:r>
              <w:rPr>
                <w:rFonts w:hint="eastAsia"/>
                <w:color w:val="auto"/>
                <w:kern w:val="2"/>
                <w:sz w:val="21"/>
                <w:szCs w:val="21"/>
              </w:rPr>
              <w:t>D5#</w:t>
            </w:r>
            <w:r>
              <w:rPr>
                <w:rFonts w:hint="eastAsia" w:ascii="宋体" w:hAnsi="宋体"/>
                <w:color w:val="auto"/>
                <w:kern w:val="2"/>
                <w:sz w:val="21"/>
                <w:szCs w:val="21"/>
              </w:rPr>
              <w:t>下游监测点（引用）</w:t>
            </w:r>
          </w:p>
        </w:tc>
        <w:tc>
          <w:tcPr>
            <w:tcW w:w="993" w:type="dxa"/>
            <w:vAlign w:val="center"/>
          </w:tcPr>
          <w:p w14:paraId="437504A5">
            <w:pPr>
              <w:widowControl w:val="0"/>
              <w:spacing w:line="360" w:lineRule="exact"/>
              <w:jc w:val="center"/>
              <w:rPr>
                <w:color w:val="auto"/>
                <w:kern w:val="2"/>
                <w:sz w:val="21"/>
                <w:szCs w:val="21"/>
              </w:rPr>
            </w:pPr>
            <w:r>
              <w:rPr>
                <w:rFonts w:hint="eastAsia" w:ascii="宋体" w:hAnsi="宋体"/>
                <w:color w:val="auto"/>
                <w:kern w:val="2"/>
                <w:sz w:val="21"/>
                <w:szCs w:val="21"/>
              </w:rPr>
              <w:t>北，</w:t>
            </w:r>
            <w:r>
              <w:rPr>
                <w:rFonts w:hint="eastAsia"/>
                <w:color w:val="auto"/>
                <w:kern w:val="2"/>
                <w:sz w:val="21"/>
                <w:szCs w:val="21"/>
              </w:rPr>
              <w:t>6.41km</w:t>
            </w:r>
          </w:p>
        </w:tc>
        <w:tc>
          <w:tcPr>
            <w:tcW w:w="1559" w:type="dxa"/>
            <w:vAlign w:val="center"/>
          </w:tcPr>
          <w:p w14:paraId="7B3FFCFD">
            <w:pPr>
              <w:widowControl w:val="0"/>
              <w:spacing w:line="360" w:lineRule="exact"/>
              <w:jc w:val="center"/>
              <w:rPr>
                <w:color w:val="auto"/>
                <w:kern w:val="2"/>
                <w:sz w:val="21"/>
                <w:szCs w:val="21"/>
              </w:rPr>
            </w:pPr>
          </w:p>
        </w:tc>
        <w:tc>
          <w:tcPr>
            <w:tcW w:w="1134" w:type="dxa"/>
            <w:vAlign w:val="center"/>
          </w:tcPr>
          <w:p w14:paraId="60D967F3">
            <w:pPr>
              <w:widowControl w:val="0"/>
              <w:spacing w:line="360" w:lineRule="exact"/>
              <w:jc w:val="center"/>
              <w:rPr>
                <w:color w:val="auto"/>
                <w:kern w:val="2"/>
                <w:sz w:val="21"/>
                <w:szCs w:val="21"/>
              </w:rPr>
            </w:pPr>
            <w:r>
              <w:rPr>
                <w:rFonts w:hint="eastAsia" w:ascii="宋体" w:hAnsi="宋体"/>
                <w:color w:val="auto"/>
                <w:kern w:val="2"/>
                <w:sz w:val="21"/>
                <w:szCs w:val="21"/>
              </w:rPr>
              <w:t>监测水质、水位</w:t>
            </w:r>
          </w:p>
        </w:tc>
        <w:tc>
          <w:tcPr>
            <w:tcW w:w="3586" w:type="dxa"/>
            <w:vMerge w:val="continue"/>
            <w:vAlign w:val="center"/>
          </w:tcPr>
          <w:p w14:paraId="0F75C0CD">
            <w:pPr>
              <w:widowControl w:val="0"/>
              <w:spacing w:line="360" w:lineRule="exact"/>
              <w:jc w:val="both"/>
              <w:rPr>
                <w:color w:val="auto"/>
                <w:kern w:val="2"/>
                <w:sz w:val="21"/>
                <w:szCs w:val="21"/>
              </w:rPr>
            </w:pPr>
          </w:p>
        </w:tc>
      </w:tr>
    </w:tbl>
    <w:p w14:paraId="41CFCFA0">
      <w:pPr>
        <w:rPr>
          <w:color w:val="auto"/>
          <w:kern w:val="2"/>
          <w:sz w:val="24"/>
          <w:szCs w:val="24"/>
        </w:rPr>
        <w:sectPr>
          <w:type w:val="continuous"/>
          <w:pgSz w:w="11906" w:h="16838"/>
          <w:pgMar w:top="1440" w:right="1588" w:bottom="1389" w:left="1588" w:header="737" w:footer="822" w:gutter="0"/>
          <w:cols w:space="720" w:num="1"/>
          <w:docGrid w:type="lines" w:linePitch="312" w:charSpace="0"/>
        </w:sectPr>
      </w:pPr>
    </w:p>
    <w:p w14:paraId="5C5D070A">
      <w:pPr>
        <w:pStyle w:val="1060"/>
        <w:rPr>
          <w:color w:val="auto"/>
        </w:rPr>
      </w:pPr>
    </w:p>
    <w:p w14:paraId="2650A6C7">
      <w:pPr>
        <w:pStyle w:val="4"/>
        <w:rPr>
          <w:color w:val="auto"/>
        </w:rPr>
      </w:pPr>
      <w:r>
        <w:rPr>
          <w:rFonts w:hint="eastAsia"/>
          <w:color w:val="auto"/>
        </w:rPr>
        <w:t>监测结果统计分析</w:t>
      </w:r>
    </w:p>
    <w:p w14:paraId="7F1AF688">
      <w:pPr>
        <w:pStyle w:val="132"/>
        <w:rPr>
          <w:color w:val="auto"/>
        </w:rPr>
      </w:pPr>
      <w:r>
        <w:rPr>
          <w:rFonts w:hint="eastAsia"/>
          <w:color w:val="auto"/>
        </w:rPr>
        <w:t>（1）评价标准</w:t>
      </w:r>
    </w:p>
    <w:p w14:paraId="4870C23B">
      <w:pPr>
        <w:pStyle w:val="132"/>
        <w:rPr>
          <w:color w:val="auto"/>
          <w:kern w:val="2"/>
        </w:rPr>
      </w:pPr>
      <w:r>
        <w:rPr>
          <w:rFonts w:ascii="宋体" w:hAnsi="宋体"/>
          <w:color w:val="auto"/>
          <w:kern w:val="2"/>
        </w:rPr>
        <w:t>本项目所在区域</w:t>
      </w:r>
      <w:r>
        <w:rPr>
          <w:rFonts w:hint="eastAsia" w:ascii="宋体" w:hAnsi="宋体"/>
          <w:color w:val="auto"/>
          <w:kern w:val="2"/>
        </w:rPr>
        <w:t>地下水质量</w:t>
      </w:r>
      <w:r>
        <w:rPr>
          <w:rFonts w:ascii="宋体" w:hAnsi="宋体"/>
          <w:color w:val="auto"/>
          <w:kern w:val="2"/>
        </w:rPr>
        <w:t>执行</w:t>
      </w:r>
      <w:r>
        <w:rPr>
          <w:rFonts w:hint="eastAsia" w:ascii="宋体" w:hAnsi="宋体"/>
          <w:color w:val="auto"/>
          <w:kern w:val="2"/>
        </w:rPr>
        <w:t>《地下水质量标准》（</w:t>
      </w:r>
      <w:r>
        <w:rPr>
          <w:rFonts w:hint="eastAsia"/>
          <w:color w:val="auto"/>
          <w:kern w:val="2"/>
        </w:rPr>
        <w:t>GB/T 14848-2017</w:t>
      </w:r>
      <w:r>
        <w:rPr>
          <w:rFonts w:hint="eastAsia" w:ascii="宋体" w:hAnsi="宋体"/>
          <w:color w:val="auto"/>
          <w:kern w:val="2"/>
        </w:rPr>
        <w:t>）Ⅲ类标准</w:t>
      </w:r>
      <w:r>
        <w:rPr>
          <w:rFonts w:ascii="宋体" w:hAnsi="宋体"/>
          <w:color w:val="auto"/>
          <w:kern w:val="2"/>
        </w:rPr>
        <w:t>，</w:t>
      </w:r>
      <w:r>
        <w:rPr>
          <w:rFonts w:hint="eastAsia" w:ascii="宋体" w:hAnsi="宋体"/>
          <w:color w:val="auto"/>
          <w:kern w:val="2"/>
        </w:rPr>
        <w:t>石油类参考《地表水环境质量标准》（</w:t>
      </w:r>
      <w:r>
        <w:rPr>
          <w:rFonts w:hint="eastAsia"/>
          <w:color w:val="auto"/>
          <w:kern w:val="2"/>
        </w:rPr>
        <w:t>GB 3838-2002</w:t>
      </w:r>
      <w:r>
        <w:rPr>
          <w:rFonts w:hint="eastAsia" w:ascii="宋体" w:hAnsi="宋体"/>
          <w:color w:val="auto"/>
          <w:kern w:val="2"/>
        </w:rPr>
        <w:t>）Ⅲ类标准，</w:t>
      </w:r>
      <w:r>
        <w:rPr>
          <w:rFonts w:ascii="宋体" w:hAnsi="宋体"/>
          <w:color w:val="auto"/>
          <w:kern w:val="2"/>
        </w:rPr>
        <w:t>详见第</w:t>
      </w:r>
      <w:r>
        <w:rPr>
          <w:color w:val="auto"/>
          <w:kern w:val="2"/>
        </w:rPr>
        <w:t>2</w:t>
      </w:r>
      <w:r>
        <w:rPr>
          <w:rFonts w:ascii="宋体" w:hAnsi="宋体"/>
          <w:color w:val="auto"/>
          <w:kern w:val="2"/>
        </w:rPr>
        <w:t>章。</w:t>
      </w:r>
    </w:p>
    <w:p w14:paraId="28D830F8">
      <w:pPr>
        <w:pStyle w:val="132"/>
        <w:rPr>
          <w:color w:val="auto"/>
          <w:kern w:val="2"/>
        </w:rPr>
      </w:pPr>
      <w:r>
        <w:rPr>
          <w:rFonts w:hint="eastAsia" w:ascii="宋体" w:hAnsi="宋体"/>
          <w:color w:val="auto"/>
          <w:kern w:val="2"/>
        </w:rPr>
        <w:t>（</w:t>
      </w:r>
      <w:r>
        <w:rPr>
          <w:rFonts w:hint="eastAsia"/>
          <w:color w:val="auto"/>
          <w:kern w:val="2"/>
        </w:rPr>
        <w:t>2</w:t>
      </w:r>
      <w:r>
        <w:rPr>
          <w:rFonts w:hint="eastAsia" w:ascii="宋体" w:hAnsi="宋体"/>
          <w:color w:val="auto"/>
          <w:kern w:val="2"/>
        </w:rPr>
        <w:t>）评价方法</w:t>
      </w:r>
    </w:p>
    <w:p w14:paraId="08DB6447">
      <w:pPr>
        <w:pStyle w:val="132"/>
        <w:rPr>
          <w:color w:val="auto"/>
          <w:kern w:val="2"/>
        </w:rPr>
      </w:pPr>
      <w:r>
        <w:rPr>
          <w:rFonts w:hint="eastAsia" w:ascii="宋体" w:hAnsi="宋体"/>
          <w:color w:val="auto"/>
          <w:kern w:val="2"/>
        </w:rPr>
        <w:t>采用单项评价标准指数法进行评价。单项水质评价因子</w:t>
      </w:r>
      <w:r>
        <w:rPr>
          <w:rFonts w:hint="eastAsia"/>
          <w:color w:val="auto"/>
          <w:kern w:val="2"/>
        </w:rPr>
        <w:t>i</w:t>
      </w:r>
      <w:r>
        <w:rPr>
          <w:rFonts w:hint="eastAsia" w:ascii="宋体" w:hAnsi="宋体"/>
          <w:color w:val="auto"/>
          <w:kern w:val="2"/>
        </w:rPr>
        <w:t>在第</w:t>
      </w:r>
      <w:r>
        <w:rPr>
          <w:rFonts w:hint="eastAsia"/>
          <w:color w:val="auto"/>
          <w:kern w:val="2"/>
        </w:rPr>
        <w:t>j</w:t>
      </w:r>
      <w:r>
        <w:rPr>
          <w:rFonts w:hint="eastAsia" w:ascii="宋体" w:hAnsi="宋体"/>
          <w:color w:val="auto"/>
          <w:kern w:val="2"/>
        </w:rPr>
        <w:t>取样点的标准指数为：</w:t>
      </w:r>
    </w:p>
    <w:p w14:paraId="63A2A486">
      <w:pPr>
        <w:pStyle w:val="132"/>
        <w:rPr>
          <w:color w:val="auto"/>
          <w:kern w:val="2"/>
        </w:rPr>
      </w:pPr>
      <w:r>
        <w:rPr>
          <w:color w:val="auto"/>
          <w:kern w:val="2"/>
        </w:rPr>
        <w:drawing>
          <wp:inline distT="0" distB="0" distL="0" distR="0">
            <wp:extent cx="647065" cy="46609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47065" cy="466090"/>
                    </a:xfrm>
                    <a:prstGeom prst="rect">
                      <a:avLst/>
                    </a:prstGeom>
                    <a:noFill/>
                    <a:ln>
                      <a:noFill/>
                    </a:ln>
                  </pic:spPr>
                </pic:pic>
              </a:graphicData>
            </a:graphic>
          </wp:inline>
        </w:drawing>
      </w:r>
      <w:r>
        <w:rPr>
          <w:rFonts w:hint="eastAsia"/>
          <w:color w:val="auto"/>
          <w:kern w:val="2"/>
        </w:rPr>
        <w:t xml:space="preserve"> </w:t>
      </w:r>
    </w:p>
    <w:p w14:paraId="718E9360">
      <w:pPr>
        <w:pStyle w:val="132"/>
        <w:rPr>
          <w:color w:val="auto"/>
          <w:kern w:val="2"/>
        </w:rPr>
      </w:pPr>
      <w:r>
        <w:rPr>
          <w:rFonts w:hint="eastAsia" w:ascii="宋体" w:hAnsi="宋体"/>
          <w:color w:val="auto"/>
          <w:kern w:val="2"/>
        </w:rPr>
        <w:t>式中：</w:t>
      </w:r>
      <w:r>
        <w:rPr>
          <w:rFonts w:hint="eastAsia"/>
          <w:color w:val="auto"/>
          <w:kern w:val="2"/>
        </w:rPr>
        <w:t>Si,j</w:t>
      </w:r>
      <w:r>
        <w:rPr>
          <w:rFonts w:hint="eastAsia" w:ascii="宋体" w:hAnsi="宋体"/>
          <w:color w:val="auto"/>
          <w:kern w:val="2"/>
        </w:rPr>
        <w:t>—单项水质参数</w:t>
      </w:r>
      <w:r>
        <w:rPr>
          <w:rFonts w:hint="eastAsia"/>
          <w:color w:val="auto"/>
          <w:kern w:val="2"/>
        </w:rPr>
        <w:t>i</w:t>
      </w:r>
      <w:r>
        <w:rPr>
          <w:rFonts w:hint="eastAsia" w:ascii="宋体" w:hAnsi="宋体"/>
          <w:color w:val="auto"/>
          <w:kern w:val="2"/>
        </w:rPr>
        <w:t>在第</w:t>
      </w:r>
      <w:r>
        <w:rPr>
          <w:rFonts w:hint="eastAsia"/>
          <w:color w:val="auto"/>
          <w:kern w:val="2"/>
        </w:rPr>
        <w:t>j</w:t>
      </w:r>
      <w:r>
        <w:rPr>
          <w:rFonts w:hint="eastAsia" w:ascii="宋体" w:hAnsi="宋体"/>
          <w:color w:val="auto"/>
          <w:kern w:val="2"/>
        </w:rPr>
        <w:t>点的标准指数；</w:t>
      </w:r>
    </w:p>
    <w:p w14:paraId="05B8BCE5">
      <w:pPr>
        <w:pStyle w:val="132"/>
        <w:rPr>
          <w:color w:val="auto"/>
          <w:kern w:val="2"/>
        </w:rPr>
      </w:pPr>
      <w:r>
        <w:rPr>
          <w:rFonts w:hint="eastAsia"/>
          <w:color w:val="auto"/>
          <w:kern w:val="2"/>
        </w:rPr>
        <w:t>Cij</w:t>
      </w:r>
      <w:r>
        <w:rPr>
          <w:rFonts w:hint="eastAsia" w:ascii="宋体" w:hAnsi="宋体"/>
          <w:color w:val="auto"/>
          <w:kern w:val="2"/>
        </w:rPr>
        <w:t>—水质评价因子</w:t>
      </w:r>
      <w:r>
        <w:rPr>
          <w:rFonts w:hint="eastAsia"/>
          <w:color w:val="auto"/>
          <w:kern w:val="2"/>
        </w:rPr>
        <w:t>i</w:t>
      </w:r>
      <w:r>
        <w:rPr>
          <w:rFonts w:hint="eastAsia" w:ascii="宋体" w:hAnsi="宋体"/>
          <w:color w:val="auto"/>
          <w:kern w:val="2"/>
        </w:rPr>
        <w:t>在第</w:t>
      </w:r>
      <w:r>
        <w:rPr>
          <w:rFonts w:hint="eastAsia"/>
          <w:color w:val="auto"/>
          <w:kern w:val="2"/>
        </w:rPr>
        <w:t>j</w:t>
      </w:r>
      <w:r>
        <w:rPr>
          <w:rFonts w:hint="eastAsia" w:ascii="宋体" w:hAnsi="宋体"/>
          <w:color w:val="auto"/>
          <w:kern w:val="2"/>
        </w:rPr>
        <w:t>取样点的浓度，</w:t>
      </w:r>
      <w:r>
        <w:rPr>
          <w:rFonts w:hint="eastAsia"/>
          <w:color w:val="auto"/>
          <w:kern w:val="2"/>
        </w:rPr>
        <w:t>mg/L</w:t>
      </w:r>
      <w:r>
        <w:rPr>
          <w:rFonts w:hint="eastAsia" w:ascii="宋体" w:hAnsi="宋体"/>
          <w:color w:val="auto"/>
          <w:kern w:val="2"/>
        </w:rPr>
        <w:t>；</w:t>
      </w:r>
    </w:p>
    <w:p w14:paraId="1B3349C7">
      <w:pPr>
        <w:pStyle w:val="132"/>
        <w:rPr>
          <w:color w:val="auto"/>
          <w:kern w:val="2"/>
        </w:rPr>
      </w:pPr>
      <w:r>
        <w:rPr>
          <w:rFonts w:hint="eastAsia"/>
          <w:color w:val="auto"/>
          <w:kern w:val="2"/>
        </w:rPr>
        <w:t>Csi</w:t>
      </w:r>
      <w:r>
        <w:rPr>
          <w:rFonts w:hint="eastAsia" w:ascii="宋体" w:hAnsi="宋体"/>
          <w:color w:val="auto"/>
          <w:kern w:val="2"/>
        </w:rPr>
        <w:t>—</w:t>
      </w:r>
      <w:r>
        <w:rPr>
          <w:rFonts w:hint="eastAsia"/>
          <w:color w:val="auto"/>
          <w:kern w:val="2"/>
        </w:rPr>
        <w:t>i</w:t>
      </w:r>
      <w:r>
        <w:rPr>
          <w:rFonts w:hint="eastAsia" w:ascii="宋体" w:hAnsi="宋体"/>
          <w:color w:val="auto"/>
          <w:kern w:val="2"/>
        </w:rPr>
        <w:t>因子的评价标准，</w:t>
      </w:r>
      <w:r>
        <w:rPr>
          <w:rFonts w:hint="eastAsia"/>
          <w:color w:val="auto"/>
          <w:kern w:val="2"/>
        </w:rPr>
        <w:t>mg/L</w:t>
      </w:r>
      <w:r>
        <w:rPr>
          <w:rFonts w:hint="eastAsia" w:ascii="宋体" w:hAnsi="宋体"/>
          <w:color w:val="auto"/>
          <w:kern w:val="2"/>
        </w:rPr>
        <w:t>。</w:t>
      </w:r>
    </w:p>
    <w:p w14:paraId="19A20DB2">
      <w:pPr>
        <w:pStyle w:val="132"/>
        <w:rPr>
          <w:color w:val="auto"/>
          <w:kern w:val="2"/>
        </w:rPr>
      </w:pPr>
      <w:r>
        <w:rPr>
          <w:rFonts w:hint="eastAsia"/>
          <w:color w:val="auto"/>
          <w:kern w:val="2"/>
        </w:rPr>
        <w:t>pH</w:t>
      </w:r>
      <w:r>
        <w:rPr>
          <w:rFonts w:hint="eastAsia" w:ascii="宋体" w:hAnsi="宋体"/>
          <w:color w:val="auto"/>
          <w:kern w:val="2"/>
        </w:rPr>
        <w:t>的标准指数为：</w:t>
      </w:r>
    </w:p>
    <w:p w14:paraId="78F41431">
      <w:pPr>
        <w:pStyle w:val="132"/>
        <w:rPr>
          <w:color w:val="auto"/>
          <w:kern w:val="2"/>
        </w:rPr>
      </w:pPr>
      <w:r>
        <w:rPr>
          <w:color w:val="auto"/>
          <w:kern w:val="2"/>
        </w:rPr>
        <w:drawing>
          <wp:inline distT="0" distB="0" distL="0" distR="0">
            <wp:extent cx="1190625" cy="4572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190625" cy="457200"/>
                    </a:xfrm>
                    <a:prstGeom prst="rect">
                      <a:avLst/>
                    </a:prstGeom>
                    <a:noFill/>
                    <a:ln>
                      <a:noFill/>
                    </a:ln>
                  </pic:spPr>
                </pic:pic>
              </a:graphicData>
            </a:graphic>
          </wp:inline>
        </w:drawing>
      </w:r>
      <w:r>
        <w:rPr>
          <w:rFonts w:hint="eastAsia"/>
          <w:color w:val="auto"/>
          <w:kern w:val="2"/>
        </w:rPr>
        <w:t xml:space="preserve"> </w:t>
      </w:r>
      <w:r>
        <w:rPr>
          <w:color w:val="auto"/>
          <w:kern w:val="2"/>
        </w:rPr>
        <w:drawing>
          <wp:inline distT="0" distB="0" distL="0" distR="0">
            <wp:extent cx="647065" cy="19812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47065" cy="198120"/>
                    </a:xfrm>
                    <a:prstGeom prst="rect">
                      <a:avLst/>
                    </a:prstGeom>
                    <a:noFill/>
                    <a:ln>
                      <a:noFill/>
                    </a:ln>
                  </pic:spPr>
                </pic:pic>
              </a:graphicData>
            </a:graphic>
          </wp:inline>
        </w:drawing>
      </w:r>
    </w:p>
    <w:p w14:paraId="46B79449">
      <w:pPr>
        <w:pStyle w:val="132"/>
        <w:rPr>
          <w:color w:val="auto"/>
          <w:kern w:val="2"/>
        </w:rPr>
      </w:pPr>
      <w:r>
        <w:rPr>
          <w:color w:val="auto"/>
          <w:kern w:val="2"/>
        </w:rPr>
        <w:drawing>
          <wp:inline distT="0" distB="0" distL="0" distR="0">
            <wp:extent cx="1216025" cy="466090"/>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216025" cy="466090"/>
                    </a:xfrm>
                    <a:prstGeom prst="rect">
                      <a:avLst/>
                    </a:prstGeom>
                    <a:noFill/>
                    <a:ln>
                      <a:noFill/>
                    </a:ln>
                  </pic:spPr>
                </pic:pic>
              </a:graphicData>
            </a:graphic>
          </wp:inline>
        </w:drawing>
      </w:r>
      <w:r>
        <w:rPr>
          <w:rFonts w:hint="eastAsia"/>
          <w:color w:val="auto"/>
          <w:kern w:val="2"/>
        </w:rPr>
        <w:t xml:space="preserve"> </w:t>
      </w:r>
      <w:r>
        <w:rPr>
          <w:color w:val="auto"/>
          <w:kern w:val="2"/>
        </w:rPr>
        <w:drawing>
          <wp:inline distT="0" distB="0" distL="0" distR="0">
            <wp:extent cx="690245" cy="2501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90245" cy="250190"/>
                    </a:xfrm>
                    <a:prstGeom prst="rect">
                      <a:avLst/>
                    </a:prstGeom>
                    <a:noFill/>
                    <a:ln>
                      <a:noFill/>
                    </a:ln>
                  </pic:spPr>
                </pic:pic>
              </a:graphicData>
            </a:graphic>
          </wp:inline>
        </w:drawing>
      </w:r>
    </w:p>
    <w:p w14:paraId="0BC0915C">
      <w:pPr>
        <w:pStyle w:val="132"/>
        <w:rPr>
          <w:color w:val="auto"/>
          <w:kern w:val="2"/>
        </w:rPr>
      </w:pPr>
      <w:r>
        <w:rPr>
          <w:rFonts w:hint="eastAsia" w:ascii="宋体" w:hAnsi="宋体"/>
          <w:color w:val="auto"/>
          <w:kern w:val="2"/>
        </w:rPr>
        <w:t>式中：</w:t>
      </w:r>
      <w:r>
        <w:rPr>
          <w:rFonts w:hint="eastAsia"/>
          <w:color w:val="auto"/>
          <w:kern w:val="2"/>
        </w:rPr>
        <w:t>pH</w:t>
      </w:r>
      <w:r>
        <w:rPr>
          <w:color w:val="auto"/>
          <w:kern w:val="2"/>
        </w:rPr>
        <w:t>j</w:t>
      </w:r>
      <w:r>
        <w:rPr>
          <w:rFonts w:hint="eastAsia"/>
          <w:color w:val="auto"/>
          <w:kern w:val="2"/>
        </w:rPr>
        <w:t xml:space="preserve"> </w:t>
      </w:r>
      <w:r>
        <w:rPr>
          <w:rFonts w:hint="eastAsia" w:ascii="宋体" w:hAnsi="宋体"/>
          <w:color w:val="auto"/>
          <w:kern w:val="2"/>
        </w:rPr>
        <w:t>—</w:t>
      </w:r>
      <w:r>
        <w:rPr>
          <w:rFonts w:hint="eastAsia"/>
          <w:color w:val="auto"/>
          <w:kern w:val="2"/>
        </w:rPr>
        <w:t>j</w:t>
      </w:r>
      <w:r>
        <w:rPr>
          <w:rFonts w:hint="eastAsia" w:ascii="宋体" w:hAnsi="宋体"/>
          <w:color w:val="auto"/>
          <w:kern w:val="2"/>
        </w:rPr>
        <w:t>取样点水样</w:t>
      </w:r>
      <w:r>
        <w:rPr>
          <w:rFonts w:hint="eastAsia"/>
          <w:color w:val="auto"/>
          <w:kern w:val="2"/>
        </w:rPr>
        <w:t>pH</w:t>
      </w:r>
      <w:r>
        <w:rPr>
          <w:rFonts w:hint="eastAsia" w:ascii="宋体" w:hAnsi="宋体"/>
          <w:color w:val="auto"/>
          <w:kern w:val="2"/>
        </w:rPr>
        <w:t>值；</w:t>
      </w:r>
    </w:p>
    <w:p w14:paraId="75952BEB">
      <w:pPr>
        <w:pStyle w:val="132"/>
        <w:rPr>
          <w:color w:val="auto"/>
          <w:kern w:val="2"/>
        </w:rPr>
      </w:pPr>
      <w:r>
        <w:rPr>
          <w:rFonts w:hint="eastAsia"/>
          <w:color w:val="auto"/>
          <w:kern w:val="2"/>
        </w:rPr>
        <w:t xml:space="preserve">      pHsd</w:t>
      </w:r>
      <w:r>
        <w:rPr>
          <w:rFonts w:hint="eastAsia" w:ascii="宋体" w:hAnsi="宋体"/>
          <w:color w:val="auto"/>
          <w:kern w:val="2"/>
        </w:rPr>
        <w:t>—评价标准规定的下限值；</w:t>
      </w:r>
    </w:p>
    <w:p w14:paraId="76C2CABB">
      <w:pPr>
        <w:pStyle w:val="132"/>
        <w:rPr>
          <w:color w:val="auto"/>
          <w:kern w:val="2"/>
        </w:rPr>
      </w:pPr>
      <w:r>
        <w:rPr>
          <w:rFonts w:hint="eastAsia"/>
          <w:color w:val="auto"/>
          <w:kern w:val="2"/>
        </w:rPr>
        <w:t xml:space="preserve">      pHsu</w:t>
      </w:r>
      <w:r>
        <w:rPr>
          <w:rFonts w:hint="eastAsia" w:ascii="宋体" w:hAnsi="宋体"/>
          <w:color w:val="auto"/>
          <w:kern w:val="2"/>
        </w:rPr>
        <w:t>—评价标准规定的上限值。</w:t>
      </w:r>
    </w:p>
    <w:p w14:paraId="29E86B96">
      <w:pPr>
        <w:pStyle w:val="132"/>
        <w:rPr>
          <w:color w:val="auto"/>
          <w:kern w:val="2"/>
        </w:rPr>
      </w:pPr>
      <w:r>
        <w:rPr>
          <w:rFonts w:hint="eastAsia" w:ascii="宋体" w:hAnsi="宋体"/>
          <w:color w:val="auto"/>
          <w:kern w:val="2"/>
        </w:rPr>
        <w:t>当</w:t>
      </w:r>
      <w:r>
        <w:rPr>
          <w:rFonts w:hint="eastAsia"/>
          <w:color w:val="auto"/>
          <w:kern w:val="2"/>
        </w:rPr>
        <w:t>Si,j</w:t>
      </w:r>
      <w:r>
        <w:rPr>
          <w:rFonts w:hint="eastAsia" w:ascii="宋体" w:hAnsi="宋体"/>
          <w:color w:val="auto"/>
          <w:kern w:val="2"/>
        </w:rPr>
        <w:t>＞</w:t>
      </w:r>
      <w:r>
        <w:rPr>
          <w:rFonts w:hint="eastAsia"/>
          <w:color w:val="auto"/>
          <w:kern w:val="2"/>
        </w:rPr>
        <w:t>1</w:t>
      </w:r>
      <w:r>
        <w:rPr>
          <w:rFonts w:hint="eastAsia" w:ascii="宋体" w:hAnsi="宋体"/>
          <w:color w:val="auto"/>
          <w:kern w:val="2"/>
        </w:rPr>
        <w:t>时，表明该水质参数超过了规定的水质标准，</w:t>
      </w:r>
      <w:r>
        <w:rPr>
          <w:rFonts w:hint="eastAsia"/>
          <w:color w:val="auto"/>
          <w:kern w:val="2"/>
        </w:rPr>
        <w:t>Si,j</w:t>
      </w:r>
      <w:r>
        <w:rPr>
          <w:rFonts w:hint="eastAsia" w:ascii="宋体" w:hAnsi="宋体"/>
          <w:color w:val="auto"/>
          <w:kern w:val="2"/>
        </w:rPr>
        <w:t>＜</w:t>
      </w:r>
      <w:r>
        <w:rPr>
          <w:rFonts w:hint="eastAsia"/>
          <w:color w:val="auto"/>
          <w:kern w:val="2"/>
        </w:rPr>
        <w:t>1</w:t>
      </w:r>
      <w:r>
        <w:rPr>
          <w:rFonts w:hint="eastAsia" w:ascii="宋体" w:hAnsi="宋体"/>
          <w:color w:val="auto"/>
          <w:kern w:val="2"/>
        </w:rPr>
        <w:t>时，说明该水质可以达到规定的水质标准。</w:t>
      </w:r>
    </w:p>
    <w:p w14:paraId="54741283">
      <w:pPr>
        <w:pStyle w:val="132"/>
        <w:rPr>
          <w:color w:val="auto"/>
          <w:kern w:val="2"/>
        </w:rPr>
      </w:pPr>
      <w:r>
        <w:rPr>
          <w:rFonts w:hint="eastAsia" w:ascii="宋体" w:hAnsi="宋体"/>
          <w:color w:val="auto"/>
          <w:kern w:val="2"/>
        </w:rPr>
        <w:t>（</w:t>
      </w:r>
      <w:r>
        <w:rPr>
          <w:rFonts w:hint="eastAsia"/>
          <w:color w:val="auto"/>
          <w:kern w:val="2"/>
        </w:rPr>
        <w:t>3</w:t>
      </w:r>
      <w:r>
        <w:rPr>
          <w:rFonts w:hint="eastAsia" w:ascii="宋体" w:hAnsi="宋体"/>
          <w:color w:val="auto"/>
          <w:kern w:val="2"/>
        </w:rPr>
        <w:t>）评价</w:t>
      </w:r>
      <w:r>
        <w:rPr>
          <w:rFonts w:ascii="宋体" w:hAnsi="宋体"/>
          <w:color w:val="auto"/>
          <w:kern w:val="2"/>
        </w:rPr>
        <w:t>结果</w:t>
      </w:r>
    </w:p>
    <w:p w14:paraId="03F70E33">
      <w:pPr>
        <w:pStyle w:val="132"/>
        <w:rPr>
          <w:color w:val="auto"/>
          <w:kern w:val="2"/>
        </w:rPr>
      </w:pPr>
      <w:r>
        <w:rPr>
          <w:rFonts w:ascii="宋体" w:hAnsi="宋体"/>
          <w:color w:val="auto"/>
          <w:kern w:val="2"/>
        </w:rPr>
        <w:t>本项目监测数据</w:t>
      </w:r>
      <w:r>
        <w:rPr>
          <w:rFonts w:hint="eastAsia" w:ascii="宋体" w:hAnsi="宋体"/>
          <w:color w:val="auto"/>
          <w:kern w:val="2"/>
        </w:rPr>
        <w:t>见表</w:t>
      </w:r>
      <w:r>
        <w:rPr>
          <w:rFonts w:hint="eastAsia"/>
          <w:color w:val="auto"/>
          <w:kern w:val="2"/>
          <w:lang w:val="en-US" w:eastAsia="zh-CN"/>
        </w:rPr>
        <w:t>4</w:t>
      </w:r>
      <w:r>
        <w:rPr>
          <w:rFonts w:hint="eastAsia"/>
          <w:color w:val="auto"/>
          <w:kern w:val="2"/>
        </w:rPr>
        <w:t>.7-3</w:t>
      </w:r>
      <w:r>
        <w:rPr>
          <w:rFonts w:hint="eastAsia" w:ascii="宋体" w:hAnsi="宋体"/>
          <w:color w:val="auto"/>
          <w:kern w:val="2"/>
        </w:rPr>
        <w:t>及表</w:t>
      </w:r>
      <w:r>
        <w:rPr>
          <w:rFonts w:hint="eastAsia"/>
          <w:color w:val="auto"/>
          <w:kern w:val="2"/>
          <w:lang w:val="en-US" w:eastAsia="zh-CN"/>
        </w:rPr>
        <w:t>4</w:t>
      </w:r>
      <w:r>
        <w:rPr>
          <w:rFonts w:hint="eastAsia"/>
          <w:color w:val="auto"/>
          <w:kern w:val="2"/>
        </w:rPr>
        <w:t>.7-4</w:t>
      </w:r>
      <w:r>
        <w:rPr>
          <w:rFonts w:hint="eastAsia" w:ascii="宋体" w:hAnsi="宋体"/>
          <w:color w:val="auto"/>
          <w:kern w:val="2"/>
        </w:rPr>
        <w:t>，D2#、D3#、D4#、D5#监测点的总硬度、溶解性总固体、硫酸盐、氯化物超标，主要是跟区域水文地质情况有关，是自然背景值较高导致；D2#的耗氧量、D2#和D4#的氟化物、D2#、D3#和D4#的</w:t>
      </w:r>
      <w:r>
        <w:rPr>
          <w:color w:val="auto"/>
          <w:lang w:bidi="ar"/>
        </w:rPr>
        <w:t>Na</w:t>
      </w:r>
      <w:r>
        <w:rPr>
          <w:color w:val="auto"/>
          <w:kern w:val="2"/>
          <w:vertAlign w:val="superscript"/>
          <w:lang w:bidi="ar"/>
        </w:rPr>
        <w:t>+</w:t>
      </w:r>
      <w:r>
        <w:rPr>
          <w:rFonts w:hint="eastAsia"/>
          <w:color w:val="auto"/>
          <w:kern w:val="2"/>
          <w:lang w:bidi="ar"/>
        </w:rPr>
        <w:t>、</w:t>
      </w:r>
      <w:r>
        <w:rPr>
          <w:color w:val="auto"/>
          <w:lang w:bidi="ar"/>
        </w:rPr>
        <w:t>Cl</w:t>
      </w:r>
      <w:r>
        <w:rPr>
          <w:color w:val="auto"/>
          <w:kern w:val="2"/>
          <w:vertAlign w:val="superscript"/>
          <w:lang w:bidi="ar"/>
        </w:rPr>
        <w:t>-</w:t>
      </w:r>
      <w:r>
        <w:rPr>
          <w:rFonts w:hint="eastAsia"/>
          <w:color w:val="auto"/>
          <w:kern w:val="2"/>
          <w:sz w:val="21"/>
          <w:szCs w:val="21"/>
          <w:lang w:bidi="ar"/>
        </w:rPr>
        <w:t>和</w:t>
      </w:r>
      <w:r>
        <w:rPr>
          <w:color w:val="auto"/>
          <w:lang w:bidi="ar"/>
        </w:rPr>
        <w:t>SO</w:t>
      </w:r>
      <w:r>
        <w:rPr>
          <w:color w:val="auto"/>
          <w:kern w:val="2"/>
          <w:vertAlign w:val="subscript"/>
          <w:lang w:bidi="ar"/>
        </w:rPr>
        <w:t>4</w:t>
      </w:r>
      <w:r>
        <w:rPr>
          <w:color w:val="auto"/>
          <w:kern w:val="2"/>
          <w:vertAlign w:val="superscript"/>
          <w:lang w:bidi="ar"/>
        </w:rPr>
        <w:t>2-</w:t>
      </w:r>
      <w:r>
        <w:rPr>
          <w:rFonts w:hint="eastAsia" w:ascii="宋体" w:hAnsi="宋体"/>
          <w:color w:val="auto"/>
          <w:kern w:val="2"/>
        </w:rPr>
        <w:t>超标，评价区域地下水井其他水质监测因子均满足《地下水质量标准》（</w:t>
      </w:r>
      <w:r>
        <w:rPr>
          <w:rFonts w:hint="eastAsia"/>
          <w:color w:val="auto"/>
          <w:kern w:val="2"/>
        </w:rPr>
        <w:t>GB/T 14848-2017</w:t>
      </w:r>
      <w:r>
        <w:rPr>
          <w:rFonts w:hint="eastAsia" w:ascii="宋体" w:hAnsi="宋体"/>
          <w:color w:val="auto"/>
          <w:kern w:val="2"/>
        </w:rPr>
        <w:t>）中</w:t>
      </w:r>
      <w:r>
        <w:rPr>
          <w:color w:val="auto"/>
          <w:kern w:val="2"/>
        </w:rPr>
        <w:t>Ⅲ</w:t>
      </w:r>
      <w:r>
        <w:rPr>
          <w:rFonts w:hint="eastAsia" w:ascii="宋体" w:hAnsi="宋体"/>
          <w:color w:val="auto"/>
          <w:kern w:val="2"/>
        </w:rPr>
        <w:t>类标准要求。</w:t>
      </w:r>
    </w:p>
    <w:p w14:paraId="37E86F81">
      <w:pPr>
        <w:rPr>
          <w:color w:val="auto"/>
          <w:kern w:val="2"/>
          <w:sz w:val="24"/>
          <w:szCs w:val="24"/>
        </w:rPr>
        <w:sectPr>
          <w:type w:val="continuous"/>
          <w:pgSz w:w="11906" w:h="16838"/>
          <w:pgMar w:top="1440" w:right="1588" w:bottom="1389" w:left="1588" w:header="851" w:footer="992" w:gutter="0"/>
          <w:cols w:space="720" w:num="1"/>
          <w:docGrid w:type="lines" w:linePitch="312" w:charSpace="0"/>
        </w:sectPr>
      </w:pPr>
    </w:p>
    <w:p w14:paraId="531CECEF">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rFonts w:hint="eastAsia"/>
          <w:color w:val="auto"/>
        </w:rPr>
        <w:t xml:space="preserve">   项目地下水水位监测结果表</w:t>
      </w:r>
    </w:p>
    <w:tbl>
      <w:tblPr>
        <w:tblStyle w:val="1937"/>
        <w:tblW w:w="5015"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170"/>
        <w:gridCol w:w="2373"/>
        <w:gridCol w:w="3608"/>
        <w:gridCol w:w="1661"/>
      </w:tblGrid>
      <w:tr w14:paraId="0AED3FF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64" w:type="pct"/>
            <w:tcBorders>
              <w:top w:val="single" w:color="000000" w:themeColor="text1" w:sz="8" w:space="0"/>
              <w:left w:val="single" w:color="000000" w:themeColor="text1" w:sz="8" w:space="0"/>
              <w:bottom w:val="single" w:color="000000" w:themeColor="text1" w:sz="2" w:space="0"/>
              <w:right w:val="single" w:color="000000" w:themeColor="text1" w:sz="2" w:space="0"/>
            </w:tcBorders>
            <w:vAlign w:val="center"/>
          </w:tcPr>
          <w:p w14:paraId="17BA5DD3">
            <w:pPr>
              <w:widowControl w:val="0"/>
              <w:spacing w:line="360" w:lineRule="exact"/>
              <w:jc w:val="center"/>
              <w:rPr>
                <w:color w:val="auto"/>
                <w:sz w:val="21"/>
                <w:szCs w:val="21"/>
              </w:rPr>
            </w:pPr>
            <w:r>
              <w:rPr>
                <w:rFonts w:hint="eastAsia"/>
                <w:color w:val="auto"/>
                <w:sz w:val="21"/>
                <w:szCs w:val="21"/>
              </w:rPr>
              <w:t>编号</w:t>
            </w:r>
          </w:p>
        </w:tc>
        <w:tc>
          <w:tcPr>
            <w:tcW w:w="1346"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63AE28B0">
            <w:pPr>
              <w:widowControl w:val="0"/>
              <w:spacing w:line="360" w:lineRule="exact"/>
              <w:jc w:val="center"/>
              <w:rPr>
                <w:color w:val="auto"/>
                <w:sz w:val="21"/>
                <w:szCs w:val="21"/>
              </w:rPr>
            </w:pPr>
            <w:r>
              <w:rPr>
                <w:rFonts w:hint="eastAsia"/>
                <w:color w:val="auto"/>
                <w:sz w:val="21"/>
                <w:szCs w:val="21"/>
              </w:rPr>
              <w:t>监测点</w:t>
            </w:r>
          </w:p>
        </w:tc>
        <w:tc>
          <w:tcPr>
            <w:tcW w:w="2046"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2B5BDB41">
            <w:pPr>
              <w:widowControl w:val="0"/>
              <w:spacing w:line="360" w:lineRule="exact"/>
              <w:jc w:val="center"/>
              <w:rPr>
                <w:color w:val="auto"/>
                <w:sz w:val="21"/>
                <w:szCs w:val="21"/>
              </w:rPr>
            </w:pPr>
            <w:r>
              <w:rPr>
                <w:rFonts w:hint="eastAsia"/>
                <w:color w:val="auto"/>
                <w:sz w:val="21"/>
                <w:szCs w:val="21"/>
              </w:rPr>
              <w:t>坐标</w:t>
            </w:r>
          </w:p>
        </w:tc>
        <w:tc>
          <w:tcPr>
            <w:tcW w:w="942" w:type="pct"/>
            <w:tcBorders>
              <w:top w:val="single" w:color="000000" w:themeColor="text1" w:sz="8" w:space="0"/>
              <w:left w:val="single" w:color="000000" w:themeColor="text1" w:sz="2" w:space="0"/>
              <w:bottom w:val="single" w:color="000000" w:themeColor="text1" w:sz="2" w:space="0"/>
              <w:right w:val="single" w:color="000000" w:themeColor="text1" w:sz="8" w:space="0"/>
            </w:tcBorders>
            <w:vAlign w:val="center"/>
          </w:tcPr>
          <w:p w14:paraId="7DF714FE">
            <w:pPr>
              <w:widowControl w:val="0"/>
              <w:spacing w:line="360" w:lineRule="exact"/>
              <w:jc w:val="center"/>
              <w:rPr>
                <w:color w:val="auto"/>
                <w:sz w:val="21"/>
                <w:szCs w:val="21"/>
              </w:rPr>
            </w:pPr>
            <w:r>
              <w:rPr>
                <w:rFonts w:hint="eastAsia"/>
                <w:color w:val="auto"/>
                <w:sz w:val="21"/>
                <w:szCs w:val="21"/>
              </w:rPr>
              <w:t>水位（</w:t>
            </w:r>
            <w:r>
              <w:rPr>
                <w:color w:val="auto"/>
                <w:sz w:val="21"/>
                <w:szCs w:val="21"/>
              </w:rPr>
              <w:t>m</w:t>
            </w:r>
            <w:r>
              <w:rPr>
                <w:rFonts w:hint="eastAsia"/>
                <w:color w:val="auto"/>
                <w:sz w:val="21"/>
                <w:szCs w:val="21"/>
              </w:rPr>
              <w:t>）</w:t>
            </w:r>
          </w:p>
        </w:tc>
      </w:tr>
      <w:tr w14:paraId="333613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64"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4ABB0181">
            <w:pPr>
              <w:widowControl w:val="0"/>
              <w:spacing w:line="360" w:lineRule="exact"/>
              <w:jc w:val="center"/>
              <w:rPr>
                <w:color w:val="auto"/>
                <w:sz w:val="21"/>
                <w:szCs w:val="21"/>
              </w:rPr>
            </w:pPr>
            <w:r>
              <w:rPr>
                <w:color w:val="auto"/>
                <w:sz w:val="21"/>
                <w:szCs w:val="21"/>
              </w:rPr>
              <w:t>D1#</w:t>
            </w:r>
          </w:p>
        </w:tc>
        <w:tc>
          <w:tcPr>
            <w:tcW w:w="134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3357C7F">
            <w:pPr>
              <w:widowControl w:val="0"/>
              <w:spacing w:line="360" w:lineRule="exact"/>
              <w:jc w:val="center"/>
              <w:rPr>
                <w:color w:val="auto"/>
                <w:sz w:val="21"/>
                <w:szCs w:val="21"/>
              </w:rPr>
            </w:pPr>
            <w:r>
              <w:rPr>
                <w:rFonts w:hint="eastAsia"/>
                <w:color w:val="auto"/>
                <w:sz w:val="21"/>
                <w:szCs w:val="21"/>
              </w:rPr>
              <w:t>西侧监测点</w:t>
            </w:r>
          </w:p>
        </w:tc>
        <w:tc>
          <w:tcPr>
            <w:tcW w:w="204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5F5C451">
            <w:pPr>
              <w:widowControl w:val="0"/>
              <w:spacing w:line="360" w:lineRule="exact"/>
              <w:jc w:val="center"/>
              <w:rPr>
                <w:color w:val="auto"/>
                <w:sz w:val="21"/>
                <w:szCs w:val="21"/>
              </w:rPr>
            </w:pPr>
          </w:p>
        </w:tc>
        <w:tc>
          <w:tcPr>
            <w:tcW w:w="942"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30792967">
            <w:pPr>
              <w:widowControl w:val="0"/>
              <w:spacing w:line="360" w:lineRule="exact"/>
              <w:jc w:val="center"/>
              <w:rPr>
                <w:color w:val="auto"/>
                <w:sz w:val="21"/>
                <w:szCs w:val="21"/>
              </w:rPr>
            </w:pPr>
            <w:r>
              <w:rPr>
                <w:color w:val="auto"/>
                <w:sz w:val="21"/>
                <w:szCs w:val="21"/>
              </w:rPr>
              <w:t>15</w:t>
            </w:r>
          </w:p>
        </w:tc>
      </w:tr>
      <w:tr w14:paraId="7F2383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64"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3CA8790B">
            <w:pPr>
              <w:widowControl w:val="0"/>
              <w:spacing w:line="360" w:lineRule="exact"/>
              <w:jc w:val="center"/>
              <w:rPr>
                <w:color w:val="auto"/>
                <w:sz w:val="21"/>
                <w:szCs w:val="21"/>
              </w:rPr>
            </w:pPr>
            <w:r>
              <w:rPr>
                <w:color w:val="auto"/>
                <w:sz w:val="21"/>
                <w:szCs w:val="21"/>
              </w:rPr>
              <w:t>D2#</w:t>
            </w:r>
          </w:p>
        </w:tc>
        <w:tc>
          <w:tcPr>
            <w:tcW w:w="134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6386913">
            <w:pPr>
              <w:widowControl w:val="0"/>
              <w:spacing w:line="360" w:lineRule="exact"/>
              <w:jc w:val="center"/>
              <w:rPr>
                <w:color w:val="auto"/>
                <w:sz w:val="21"/>
                <w:szCs w:val="21"/>
              </w:rPr>
            </w:pPr>
            <w:r>
              <w:rPr>
                <w:rFonts w:hint="eastAsia"/>
                <w:color w:val="auto"/>
                <w:sz w:val="21"/>
                <w:szCs w:val="21"/>
              </w:rPr>
              <w:t>上游监测点（引用）</w:t>
            </w:r>
          </w:p>
        </w:tc>
        <w:tc>
          <w:tcPr>
            <w:tcW w:w="204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D23BBB7">
            <w:pPr>
              <w:widowControl w:val="0"/>
              <w:spacing w:line="360" w:lineRule="exact"/>
              <w:jc w:val="center"/>
              <w:rPr>
                <w:color w:val="auto"/>
                <w:sz w:val="21"/>
                <w:szCs w:val="21"/>
              </w:rPr>
            </w:pPr>
          </w:p>
        </w:tc>
        <w:tc>
          <w:tcPr>
            <w:tcW w:w="942"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3EE55610">
            <w:pPr>
              <w:widowControl w:val="0"/>
              <w:spacing w:line="360" w:lineRule="exact"/>
              <w:jc w:val="center"/>
              <w:rPr>
                <w:color w:val="auto"/>
                <w:sz w:val="21"/>
                <w:szCs w:val="21"/>
              </w:rPr>
            </w:pPr>
            <w:r>
              <w:rPr>
                <w:color w:val="auto"/>
                <w:sz w:val="21"/>
                <w:szCs w:val="21"/>
              </w:rPr>
              <w:t>4</w:t>
            </w:r>
          </w:p>
        </w:tc>
      </w:tr>
      <w:tr w14:paraId="3826812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64"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1089B67B">
            <w:pPr>
              <w:widowControl w:val="0"/>
              <w:spacing w:line="360" w:lineRule="exact"/>
              <w:jc w:val="center"/>
              <w:rPr>
                <w:color w:val="auto"/>
                <w:sz w:val="21"/>
                <w:szCs w:val="21"/>
              </w:rPr>
            </w:pPr>
            <w:r>
              <w:rPr>
                <w:color w:val="auto"/>
                <w:sz w:val="21"/>
                <w:szCs w:val="21"/>
              </w:rPr>
              <w:t>D3#</w:t>
            </w:r>
          </w:p>
        </w:tc>
        <w:tc>
          <w:tcPr>
            <w:tcW w:w="134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E2A3EF7">
            <w:pPr>
              <w:widowControl w:val="0"/>
              <w:spacing w:line="360" w:lineRule="exact"/>
              <w:jc w:val="center"/>
              <w:rPr>
                <w:color w:val="auto"/>
                <w:sz w:val="21"/>
                <w:szCs w:val="21"/>
              </w:rPr>
            </w:pPr>
            <w:r>
              <w:rPr>
                <w:rFonts w:hint="eastAsia"/>
                <w:color w:val="auto"/>
                <w:sz w:val="21"/>
                <w:szCs w:val="21"/>
              </w:rPr>
              <w:t>西侧监测点</w:t>
            </w:r>
            <w:r>
              <w:rPr>
                <w:color w:val="auto"/>
                <w:sz w:val="21"/>
                <w:szCs w:val="21"/>
              </w:rPr>
              <w:t>1</w:t>
            </w:r>
            <w:r>
              <w:rPr>
                <w:rFonts w:hint="eastAsia"/>
                <w:color w:val="auto"/>
                <w:sz w:val="21"/>
                <w:szCs w:val="21"/>
              </w:rPr>
              <w:t>（引用）</w:t>
            </w:r>
          </w:p>
        </w:tc>
        <w:tc>
          <w:tcPr>
            <w:tcW w:w="204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5BE38A4">
            <w:pPr>
              <w:widowControl w:val="0"/>
              <w:spacing w:line="360" w:lineRule="exact"/>
              <w:jc w:val="center"/>
              <w:rPr>
                <w:color w:val="auto"/>
                <w:sz w:val="21"/>
                <w:szCs w:val="21"/>
              </w:rPr>
            </w:pPr>
          </w:p>
        </w:tc>
        <w:tc>
          <w:tcPr>
            <w:tcW w:w="942"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6D8F93D0">
            <w:pPr>
              <w:widowControl w:val="0"/>
              <w:spacing w:line="360" w:lineRule="exact"/>
              <w:jc w:val="center"/>
              <w:rPr>
                <w:color w:val="auto"/>
                <w:sz w:val="21"/>
                <w:szCs w:val="21"/>
              </w:rPr>
            </w:pPr>
            <w:r>
              <w:rPr>
                <w:color w:val="auto"/>
                <w:sz w:val="21"/>
                <w:szCs w:val="21"/>
              </w:rPr>
              <w:t>8</w:t>
            </w:r>
          </w:p>
        </w:tc>
      </w:tr>
      <w:tr w14:paraId="3C3267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64"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3835B944">
            <w:pPr>
              <w:widowControl w:val="0"/>
              <w:spacing w:line="360" w:lineRule="exact"/>
              <w:jc w:val="center"/>
              <w:rPr>
                <w:color w:val="auto"/>
                <w:sz w:val="21"/>
                <w:szCs w:val="21"/>
              </w:rPr>
            </w:pPr>
            <w:r>
              <w:rPr>
                <w:color w:val="auto"/>
                <w:sz w:val="21"/>
                <w:szCs w:val="21"/>
              </w:rPr>
              <w:t>D4#</w:t>
            </w:r>
          </w:p>
        </w:tc>
        <w:tc>
          <w:tcPr>
            <w:tcW w:w="134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0114876">
            <w:pPr>
              <w:widowControl w:val="0"/>
              <w:spacing w:line="360" w:lineRule="exact"/>
              <w:jc w:val="center"/>
              <w:rPr>
                <w:color w:val="auto"/>
                <w:sz w:val="21"/>
                <w:szCs w:val="21"/>
              </w:rPr>
            </w:pPr>
            <w:r>
              <w:rPr>
                <w:rFonts w:hint="eastAsia"/>
                <w:color w:val="auto"/>
                <w:sz w:val="21"/>
                <w:szCs w:val="21"/>
              </w:rPr>
              <w:t>西侧监测点</w:t>
            </w:r>
            <w:r>
              <w:rPr>
                <w:color w:val="auto"/>
                <w:sz w:val="21"/>
                <w:szCs w:val="21"/>
              </w:rPr>
              <w:t>2</w:t>
            </w:r>
            <w:r>
              <w:rPr>
                <w:rFonts w:hint="eastAsia"/>
                <w:color w:val="auto"/>
                <w:sz w:val="21"/>
                <w:szCs w:val="21"/>
              </w:rPr>
              <w:t>（引用）</w:t>
            </w:r>
          </w:p>
        </w:tc>
        <w:tc>
          <w:tcPr>
            <w:tcW w:w="204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21599C8">
            <w:pPr>
              <w:widowControl w:val="0"/>
              <w:spacing w:line="360" w:lineRule="exact"/>
              <w:jc w:val="center"/>
              <w:rPr>
                <w:color w:val="auto"/>
                <w:sz w:val="21"/>
                <w:szCs w:val="21"/>
              </w:rPr>
            </w:pPr>
          </w:p>
        </w:tc>
        <w:tc>
          <w:tcPr>
            <w:tcW w:w="942"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01B94901">
            <w:pPr>
              <w:widowControl w:val="0"/>
              <w:spacing w:line="360" w:lineRule="exact"/>
              <w:jc w:val="center"/>
              <w:rPr>
                <w:color w:val="auto"/>
                <w:sz w:val="21"/>
                <w:szCs w:val="21"/>
              </w:rPr>
            </w:pPr>
            <w:r>
              <w:rPr>
                <w:color w:val="auto"/>
                <w:sz w:val="21"/>
                <w:szCs w:val="21"/>
              </w:rPr>
              <w:t>8</w:t>
            </w:r>
          </w:p>
        </w:tc>
      </w:tr>
      <w:tr w14:paraId="0FC767C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64" w:type="pct"/>
            <w:tcBorders>
              <w:top w:val="single" w:color="000000" w:themeColor="text1" w:sz="2" w:space="0"/>
              <w:left w:val="single" w:color="000000" w:themeColor="text1" w:sz="8" w:space="0"/>
              <w:bottom w:val="single" w:color="000000" w:themeColor="text1" w:sz="8" w:space="0"/>
              <w:right w:val="single" w:color="000000" w:themeColor="text1" w:sz="2" w:space="0"/>
            </w:tcBorders>
            <w:vAlign w:val="center"/>
          </w:tcPr>
          <w:p w14:paraId="74A9618D">
            <w:pPr>
              <w:widowControl w:val="0"/>
              <w:spacing w:line="360" w:lineRule="exact"/>
              <w:jc w:val="center"/>
              <w:rPr>
                <w:color w:val="auto"/>
                <w:sz w:val="21"/>
                <w:szCs w:val="21"/>
              </w:rPr>
            </w:pPr>
            <w:r>
              <w:rPr>
                <w:color w:val="auto"/>
                <w:sz w:val="21"/>
                <w:szCs w:val="21"/>
              </w:rPr>
              <w:t>D5#</w:t>
            </w:r>
          </w:p>
        </w:tc>
        <w:tc>
          <w:tcPr>
            <w:tcW w:w="1346"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211055A9">
            <w:pPr>
              <w:widowControl w:val="0"/>
              <w:spacing w:line="360" w:lineRule="exact"/>
              <w:jc w:val="center"/>
              <w:rPr>
                <w:color w:val="auto"/>
                <w:sz w:val="21"/>
                <w:szCs w:val="21"/>
              </w:rPr>
            </w:pPr>
            <w:r>
              <w:rPr>
                <w:rFonts w:hint="eastAsia"/>
                <w:color w:val="auto"/>
                <w:sz w:val="21"/>
                <w:szCs w:val="21"/>
              </w:rPr>
              <w:t>下游监测点（引用）</w:t>
            </w:r>
          </w:p>
        </w:tc>
        <w:tc>
          <w:tcPr>
            <w:tcW w:w="2046"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0AB2FC8E">
            <w:pPr>
              <w:widowControl w:val="0"/>
              <w:spacing w:line="360" w:lineRule="exact"/>
              <w:jc w:val="center"/>
              <w:rPr>
                <w:color w:val="auto"/>
                <w:sz w:val="21"/>
                <w:szCs w:val="21"/>
              </w:rPr>
            </w:pPr>
          </w:p>
        </w:tc>
        <w:tc>
          <w:tcPr>
            <w:tcW w:w="942" w:type="pct"/>
            <w:tcBorders>
              <w:top w:val="single" w:color="000000" w:themeColor="text1" w:sz="2" w:space="0"/>
              <w:left w:val="single" w:color="000000" w:themeColor="text1" w:sz="2" w:space="0"/>
              <w:bottom w:val="single" w:color="000000" w:themeColor="text1" w:sz="8" w:space="0"/>
              <w:right w:val="single" w:color="000000" w:themeColor="text1" w:sz="8" w:space="0"/>
            </w:tcBorders>
            <w:vAlign w:val="center"/>
          </w:tcPr>
          <w:p w14:paraId="0F8F83FE">
            <w:pPr>
              <w:widowControl w:val="0"/>
              <w:spacing w:line="360" w:lineRule="exact"/>
              <w:jc w:val="center"/>
              <w:rPr>
                <w:color w:val="auto"/>
                <w:sz w:val="21"/>
                <w:szCs w:val="21"/>
              </w:rPr>
            </w:pPr>
            <w:r>
              <w:rPr>
                <w:color w:val="auto"/>
                <w:sz w:val="21"/>
                <w:szCs w:val="21"/>
              </w:rPr>
              <w:t>25</w:t>
            </w:r>
          </w:p>
        </w:tc>
      </w:tr>
    </w:tbl>
    <w:p w14:paraId="6FE572EB">
      <w:pPr>
        <w:pStyle w:val="3"/>
        <w:rPr>
          <w:color w:val="auto"/>
        </w:rPr>
      </w:pPr>
      <w:bookmarkStart w:id="270" w:name="_Toc229930138"/>
      <w:r>
        <w:rPr>
          <w:color w:val="auto"/>
        </w:rPr>
        <w:t>声环境现状调查及评价</w:t>
      </w:r>
      <w:bookmarkEnd w:id="270"/>
    </w:p>
    <w:p w14:paraId="50768699">
      <w:pPr>
        <w:pStyle w:val="4"/>
        <w:rPr>
          <w:color w:val="auto"/>
        </w:rPr>
      </w:pPr>
      <w:r>
        <w:rPr>
          <w:rFonts w:hint="eastAsia"/>
          <w:color w:val="auto"/>
        </w:rPr>
        <w:t>监测点布设</w:t>
      </w:r>
    </w:p>
    <w:p w14:paraId="6E1684B4">
      <w:pPr>
        <w:pStyle w:val="132"/>
        <w:rPr>
          <w:color w:val="auto"/>
        </w:rPr>
      </w:pPr>
      <w:r>
        <w:rPr>
          <w:rFonts w:hint="eastAsia"/>
          <w:color w:val="auto"/>
        </w:rPr>
        <w:t>在项目所在区域东、南、西、北边界共设置4个监测点，见表1.8-1及图1.9-1。</w:t>
      </w:r>
    </w:p>
    <w:p w14:paraId="70EDE785">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4.8</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w:t>
      </w:r>
      <w:r>
        <w:rPr>
          <w:color w:val="auto"/>
        </w:rPr>
        <w:t xml:space="preserve">  </w:t>
      </w:r>
      <w:r>
        <w:rPr>
          <w:rFonts w:hint="eastAsia"/>
          <w:color w:val="auto"/>
        </w:rPr>
        <w:t xml:space="preserve"> 噪声</w:t>
      </w:r>
      <w:r>
        <w:rPr>
          <w:color w:val="auto"/>
        </w:rPr>
        <w:t>监测点位</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65"/>
        <w:gridCol w:w="1545"/>
        <w:gridCol w:w="4569"/>
        <w:gridCol w:w="1907"/>
      </w:tblGrid>
      <w:tr w14:paraId="4FE5D3A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436" w:type="pct"/>
            <w:vAlign w:val="center"/>
          </w:tcPr>
          <w:p w14:paraId="71D7DC83">
            <w:pPr>
              <w:pStyle w:val="129"/>
              <w:widowControl w:val="0"/>
              <w:rPr>
                <w:color w:val="auto"/>
              </w:rPr>
            </w:pPr>
            <w:r>
              <w:rPr>
                <w:color w:val="auto"/>
              </w:rPr>
              <w:t>编号</w:t>
            </w:r>
          </w:p>
        </w:tc>
        <w:tc>
          <w:tcPr>
            <w:tcW w:w="879" w:type="pct"/>
            <w:vAlign w:val="center"/>
          </w:tcPr>
          <w:p w14:paraId="01338FE5">
            <w:pPr>
              <w:pStyle w:val="129"/>
              <w:widowControl w:val="0"/>
              <w:rPr>
                <w:color w:val="auto"/>
              </w:rPr>
            </w:pPr>
            <w:r>
              <w:rPr>
                <w:color w:val="auto"/>
              </w:rPr>
              <w:t>点位名称</w:t>
            </w:r>
          </w:p>
        </w:tc>
        <w:tc>
          <w:tcPr>
            <w:tcW w:w="2600" w:type="pct"/>
            <w:vAlign w:val="center"/>
          </w:tcPr>
          <w:p w14:paraId="3223F2DF">
            <w:pPr>
              <w:pStyle w:val="129"/>
              <w:widowControl w:val="0"/>
              <w:rPr>
                <w:color w:val="auto"/>
              </w:rPr>
            </w:pPr>
            <w:r>
              <w:rPr>
                <w:color w:val="auto"/>
              </w:rPr>
              <w:t>坐标</w:t>
            </w:r>
          </w:p>
        </w:tc>
        <w:tc>
          <w:tcPr>
            <w:tcW w:w="1085" w:type="pct"/>
            <w:vAlign w:val="center"/>
          </w:tcPr>
          <w:p w14:paraId="28293513">
            <w:pPr>
              <w:pStyle w:val="129"/>
              <w:widowControl w:val="0"/>
              <w:rPr>
                <w:color w:val="auto"/>
              </w:rPr>
            </w:pPr>
            <w:r>
              <w:rPr>
                <w:color w:val="auto"/>
              </w:rPr>
              <w:t>监测项目</w:t>
            </w:r>
          </w:p>
        </w:tc>
      </w:tr>
      <w:tr w14:paraId="2C90FE6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436" w:type="pct"/>
            <w:vAlign w:val="center"/>
          </w:tcPr>
          <w:p w14:paraId="3EF4D91D">
            <w:pPr>
              <w:pStyle w:val="129"/>
              <w:widowControl w:val="0"/>
              <w:rPr>
                <w:color w:val="auto"/>
              </w:rPr>
            </w:pPr>
            <w:r>
              <w:rPr>
                <w:rFonts w:hint="eastAsia"/>
                <w:color w:val="auto"/>
              </w:rPr>
              <w:t>S</w:t>
            </w:r>
            <w:r>
              <w:rPr>
                <w:color w:val="auto"/>
              </w:rPr>
              <w:t>1#</w:t>
            </w:r>
          </w:p>
        </w:tc>
        <w:tc>
          <w:tcPr>
            <w:tcW w:w="879" w:type="pct"/>
            <w:vAlign w:val="center"/>
          </w:tcPr>
          <w:p w14:paraId="5239F4DE">
            <w:pPr>
              <w:pStyle w:val="129"/>
              <w:widowControl w:val="0"/>
              <w:rPr>
                <w:color w:val="auto"/>
              </w:rPr>
            </w:pPr>
            <w:r>
              <w:rPr>
                <w:rFonts w:hint="eastAsia"/>
                <w:color w:val="auto"/>
              </w:rPr>
              <w:t>西</w:t>
            </w:r>
            <w:r>
              <w:rPr>
                <w:color w:val="auto"/>
              </w:rPr>
              <w:t>侧</w:t>
            </w:r>
          </w:p>
        </w:tc>
        <w:tc>
          <w:tcPr>
            <w:tcW w:w="2600" w:type="pct"/>
            <w:vAlign w:val="center"/>
          </w:tcPr>
          <w:p w14:paraId="1473BF7E">
            <w:pPr>
              <w:pStyle w:val="129"/>
              <w:widowControl w:val="0"/>
              <w:rPr>
                <w:color w:val="auto"/>
              </w:rPr>
            </w:pPr>
            <w:r>
              <w:rPr>
                <w:rFonts w:hint="eastAsia"/>
                <w:color w:val="auto"/>
              </w:rPr>
              <w:t>E87°45′36.55″，N44°09′11.77″</w:t>
            </w:r>
          </w:p>
        </w:tc>
        <w:tc>
          <w:tcPr>
            <w:tcW w:w="1085" w:type="pct"/>
            <w:vMerge w:val="restart"/>
            <w:vAlign w:val="center"/>
          </w:tcPr>
          <w:p w14:paraId="37860C42">
            <w:pPr>
              <w:pStyle w:val="129"/>
              <w:widowControl w:val="0"/>
              <w:rPr>
                <w:color w:val="auto"/>
              </w:rPr>
            </w:pPr>
            <w:r>
              <w:rPr>
                <w:color w:val="auto"/>
              </w:rPr>
              <w:t>等效连续A声级</w:t>
            </w:r>
          </w:p>
        </w:tc>
      </w:tr>
      <w:tr w14:paraId="4980AF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436" w:type="pct"/>
            <w:vAlign w:val="center"/>
          </w:tcPr>
          <w:p w14:paraId="517C27EE">
            <w:pPr>
              <w:pStyle w:val="129"/>
              <w:widowControl w:val="0"/>
              <w:rPr>
                <w:color w:val="auto"/>
              </w:rPr>
            </w:pPr>
            <w:r>
              <w:rPr>
                <w:rFonts w:hint="eastAsia"/>
                <w:color w:val="auto"/>
              </w:rPr>
              <w:t>S2</w:t>
            </w:r>
            <w:r>
              <w:rPr>
                <w:color w:val="auto"/>
              </w:rPr>
              <w:t>#</w:t>
            </w:r>
          </w:p>
        </w:tc>
        <w:tc>
          <w:tcPr>
            <w:tcW w:w="879" w:type="pct"/>
            <w:vAlign w:val="center"/>
          </w:tcPr>
          <w:p w14:paraId="2314BAFE">
            <w:pPr>
              <w:pStyle w:val="129"/>
              <w:widowControl w:val="0"/>
              <w:rPr>
                <w:color w:val="auto"/>
              </w:rPr>
            </w:pPr>
            <w:r>
              <w:rPr>
                <w:rFonts w:hint="eastAsia"/>
                <w:color w:val="auto"/>
              </w:rPr>
              <w:t>东</w:t>
            </w:r>
            <w:r>
              <w:rPr>
                <w:color w:val="auto"/>
              </w:rPr>
              <w:t>侧</w:t>
            </w:r>
          </w:p>
        </w:tc>
        <w:tc>
          <w:tcPr>
            <w:tcW w:w="2600" w:type="pct"/>
            <w:vAlign w:val="center"/>
          </w:tcPr>
          <w:p w14:paraId="6D565A78">
            <w:pPr>
              <w:pStyle w:val="129"/>
              <w:widowControl w:val="0"/>
              <w:rPr>
                <w:color w:val="auto"/>
              </w:rPr>
            </w:pPr>
            <w:r>
              <w:rPr>
                <w:rFonts w:hint="eastAsia"/>
                <w:color w:val="auto"/>
              </w:rPr>
              <w:t>E</w:t>
            </w:r>
            <w:r>
              <w:rPr>
                <w:color w:val="auto"/>
              </w:rPr>
              <w:t>8</w:t>
            </w:r>
            <w:r>
              <w:rPr>
                <w:rFonts w:hint="eastAsia"/>
                <w:color w:val="auto"/>
              </w:rPr>
              <w:t>7°45′47.13″，N</w:t>
            </w:r>
            <w:r>
              <w:rPr>
                <w:color w:val="auto"/>
              </w:rPr>
              <w:t>4</w:t>
            </w:r>
            <w:r>
              <w:rPr>
                <w:rFonts w:hint="eastAsia"/>
                <w:color w:val="auto"/>
              </w:rPr>
              <w:t>4°09′17.14″</w:t>
            </w:r>
          </w:p>
        </w:tc>
        <w:tc>
          <w:tcPr>
            <w:tcW w:w="1085" w:type="pct"/>
            <w:vMerge w:val="continue"/>
            <w:vAlign w:val="center"/>
          </w:tcPr>
          <w:p w14:paraId="24D99047">
            <w:pPr>
              <w:pStyle w:val="129"/>
              <w:widowControl w:val="0"/>
              <w:rPr>
                <w:color w:val="auto"/>
              </w:rPr>
            </w:pPr>
          </w:p>
        </w:tc>
      </w:tr>
      <w:tr w14:paraId="57BD473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436" w:type="pct"/>
            <w:vAlign w:val="center"/>
          </w:tcPr>
          <w:p w14:paraId="68E584FE">
            <w:pPr>
              <w:pStyle w:val="129"/>
              <w:widowControl w:val="0"/>
              <w:rPr>
                <w:color w:val="auto"/>
              </w:rPr>
            </w:pPr>
            <w:r>
              <w:rPr>
                <w:rFonts w:hint="eastAsia"/>
                <w:color w:val="auto"/>
              </w:rPr>
              <w:t>S3</w:t>
            </w:r>
            <w:r>
              <w:rPr>
                <w:color w:val="auto"/>
              </w:rPr>
              <w:t>#</w:t>
            </w:r>
          </w:p>
        </w:tc>
        <w:tc>
          <w:tcPr>
            <w:tcW w:w="879" w:type="pct"/>
            <w:vAlign w:val="center"/>
          </w:tcPr>
          <w:p w14:paraId="482BFA96">
            <w:pPr>
              <w:pStyle w:val="129"/>
              <w:widowControl w:val="0"/>
              <w:rPr>
                <w:color w:val="auto"/>
              </w:rPr>
            </w:pPr>
            <w:r>
              <w:rPr>
                <w:rFonts w:hint="eastAsia"/>
                <w:color w:val="auto"/>
              </w:rPr>
              <w:t>北侧</w:t>
            </w:r>
          </w:p>
        </w:tc>
        <w:tc>
          <w:tcPr>
            <w:tcW w:w="2600" w:type="pct"/>
            <w:vAlign w:val="center"/>
          </w:tcPr>
          <w:p w14:paraId="5A391F10">
            <w:pPr>
              <w:pStyle w:val="129"/>
              <w:widowControl w:val="0"/>
              <w:rPr>
                <w:color w:val="auto"/>
              </w:rPr>
            </w:pPr>
            <w:r>
              <w:rPr>
                <w:rFonts w:hint="eastAsia"/>
                <w:color w:val="auto"/>
              </w:rPr>
              <w:t>E87°45′38.48″，N44°09′16.56″</w:t>
            </w:r>
          </w:p>
        </w:tc>
        <w:tc>
          <w:tcPr>
            <w:tcW w:w="1085" w:type="pct"/>
            <w:vMerge w:val="continue"/>
            <w:vAlign w:val="center"/>
          </w:tcPr>
          <w:p w14:paraId="5C698918">
            <w:pPr>
              <w:pStyle w:val="129"/>
              <w:widowControl w:val="0"/>
              <w:rPr>
                <w:color w:val="auto"/>
              </w:rPr>
            </w:pPr>
          </w:p>
        </w:tc>
      </w:tr>
      <w:tr w14:paraId="3A0407D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436" w:type="pct"/>
            <w:vAlign w:val="center"/>
          </w:tcPr>
          <w:p w14:paraId="1361FF98">
            <w:pPr>
              <w:pStyle w:val="129"/>
              <w:widowControl w:val="0"/>
              <w:rPr>
                <w:color w:val="auto"/>
              </w:rPr>
            </w:pPr>
            <w:r>
              <w:rPr>
                <w:rFonts w:hint="eastAsia"/>
                <w:color w:val="auto"/>
              </w:rPr>
              <w:t>S4#</w:t>
            </w:r>
          </w:p>
        </w:tc>
        <w:tc>
          <w:tcPr>
            <w:tcW w:w="879" w:type="pct"/>
            <w:vAlign w:val="center"/>
          </w:tcPr>
          <w:p w14:paraId="3197324D">
            <w:pPr>
              <w:pStyle w:val="129"/>
              <w:widowControl w:val="0"/>
              <w:rPr>
                <w:color w:val="auto"/>
              </w:rPr>
            </w:pPr>
            <w:r>
              <w:rPr>
                <w:rFonts w:hint="eastAsia"/>
                <w:color w:val="auto"/>
              </w:rPr>
              <w:t>南</w:t>
            </w:r>
            <w:r>
              <w:rPr>
                <w:color w:val="auto"/>
              </w:rPr>
              <w:t>侧</w:t>
            </w:r>
          </w:p>
        </w:tc>
        <w:tc>
          <w:tcPr>
            <w:tcW w:w="2600" w:type="pct"/>
            <w:vAlign w:val="center"/>
          </w:tcPr>
          <w:p w14:paraId="107183C6">
            <w:pPr>
              <w:pStyle w:val="129"/>
              <w:widowControl w:val="0"/>
              <w:rPr>
                <w:color w:val="auto"/>
              </w:rPr>
            </w:pPr>
            <w:r>
              <w:rPr>
                <w:rFonts w:hint="eastAsia"/>
                <w:color w:val="auto"/>
              </w:rPr>
              <w:t>E</w:t>
            </w:r>
            <w:r>
              <w:rPr>
                <w:color w:val="auto"/>
              </w:rPr>
              <w:t>8</w:t>
            </w:r>
            <w:r>
              <w:rPr>
                <w:rFonts w:hint="eastAsia"/>
                <w:color w:val="auto"/>
              </w:rPr>
              <w:t>7°</w:t>
            </w:r>
            <w:r>
              <w:rPr>
                <w:color w:val="auto"/>
              </w:rPr>
              <w:t>4</w:t>
            </w:r>
            <w:r>
              <w:rPr>
                <w:rFonts w:hint="eastAsia"/>
                <w:color w:val="auto"/>
              </w:rPr>
              <w:t>5′44.58″，N</w:t>
            </w:r>
            <w:r>
              <w:rPr>
                <w:color w:val="auto"/>
              </w:rPr>
              <w:t>4</w:t>
            </w:r>
            <w:r>
              <w:rPr>
                <w:rFonts w:hint="eastAsia"/>
                <w:color w:val="auto"/>
              </w:rPr>
              <w:t>4°09′10.74″</w:t>
            </w:r>
          </w:p>
        </w:tc>
        <w:tc>
          <w:tcPr>
            <w:tcW w:w="1085" w:type="pct"/>
            <w:vMerge w:val="continue"/>
            <w:vAlign w:val="center"/>
          </w:tcPr>
          <w:p w14:paraId="6DD90790">
            <w:pPr>
              <w:pStyle w:val="129"/>
              <w:widowControl w:val="0"/>
              <w:rPr>
                <w:color w:val="auto"/>
              </w:rPr>
            </w:pPr>
          </w:p>
        </w:tc>
      </w:tr>
    </w:tbl>
    <w:p w14:paraId="47AD8591">
      <w:pPr>
        <w:pStyle w:val="132"/>
        <w:rPr>
          <w:color w:val="auto"/>
        </w:rPr>
      </w:pPr>
      <w:r>
        <w:rPr>
          <w:rFonts w:hint="eastAsia"/>
          <w:color w:val="auto"/>
        </w:rPr>
        <w:t>监测项目为等效连续A声级，测量方法按《声环境质量标准》（GB3096-2008）。监测时间为1天，分昼间、夜间两个时段进行，昼间为06：00-22：00，夜间22：00-6：00，在每时段进行一次监测。</w:t>
      </w:r>
    </w:p>
    <w:p w14:paraId="66E9E9EF">
      <w:pPr>
        <w:pStyle w:val="4"/>
        <w:rPr>
          <w:color w:val="auto"/>
        </w:rPr>
      </w:pPr>
      <w:r>
        <w:rPr>
          <w:rFonts w:hint="eastAsia"/>
          <w:color w:val="auto"/>
        </w:rPr>
        <w:t>监测及评价结果</w:t>
      </w:r>
    </w:p>
    <w:p w14:paraId="36C062FF">
      <w:pPr>
        <w:pStyle w:val="132"/>
        <w:rPr>
          <w:color w:val="auto"/>
        </w:rPr>
      </w:pPr>
      <w:r>
        <w:rPr>
          <w:rFonts w:hint="eastAsia"/>
          <w:color w:val="auto"/>
        </w:rPr>
        <w:t>声环境质量现状监测及评价结果见表4.8-2。</w:t>
      </w:r>
    </w:p>
    <w:p w14:paraId="0DA29D11">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4.8</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w:t>
      </w:r>
      <w:r>
        <w:rPr>
          <w:color w:val="auto"/>
        </w:rPr>
        <w:t xml:space="preserve"> </w:t>
      </w:r>
      <w:r>
        <w:rPr>
          <w:rFonts w:hint="eastAsia"/>
          <w:color w:val="auto"/>
        </w:rPr>
        <w:t xml:space="preserve"> 噪声</w:t>
      </w:r>
      <w:r>
        <w:rPr>
          <w:color w:val="auto"/>
        </w:rPr>
        <w:t>监测点位</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265"/>
        <w:gridCol w:w="1265"/>
        <w:gridCol w:w="766"/>
        <w:gridCol w:w="1455"/>
        <w:gridCol w:w="953"/>
        <w:gridCol w:w="1202"/>
        <w:gridCol w:w="895"/>
        <w:gridCol w:w="985"/>
      </w:tblGrid>
      <w:tr w14:paraId="651872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1" w:hRule="atLeast"/>
        </w:trPr>
        <w:tc>
          <w:tcPr>
            <w:tcW w:w="720" w:type="pct"/>
            <w:vMerge w:val="restart"/>
            <w:vAlign w:val="center"/>
          </w:tcPr>
          <w:p w14:paraId="32705325">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监测点编号</w:t>
            </w:r>
          </w:p>
        </w:tc>
        <w:tc>
          <w:tcPr>
            <w:tcW w:w="720" w:type="pct"/>
            <w:vMerge w:val="restart"/>
            <w:vAlign w:val="center"/>
          </w:tcPr>
          <w:p w14:paraId="1A326E3D">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点位名称</w:t>
            </w:r>
          </w:p>
        </w:tc>
        <w:tc>
          <w:tcPr>
            <w:tcW w:w="1264" w:type="pct"/>
            <w:gridSpan w:val="2"/>
            <w:vAlign w:val="center"/>
          </w:tcPr>
          <w:p w14:paraId="1BBBCBB1">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昼间</w:t>
            </w:r>
            <w:r>
              <w:rPr>
                <w:color w:val="auto"/>
                <w:kern w:val="2"/>
                <w:sz w:val="21"/>
                <w:szCs w:val="21"/>
              </w:rPr>
              <w:t>dB</w:t>
            </w:r>
            <w:r>
              <w:rPr>
                <w:rFonts w:hint="eastAsia" w:ascii="宋体" w:hAnsi="宋体" w:cs="宋体"/>
                <w:color w:val="auto"/>
                <w:kern w:val="2"/>
                <w:sz w:val="21"/>
                <w:szCs w:val="21"/>
              </w:rPr>
              <w:t>（</w:t>
            </w:r>
            <w:r>
              <w:rPr>
                <w:color w:val="auto"/>
                <w:kern w:val="2"/>
                <w:sz w:val="21"/>
                <w:szCs w:val="21"/>
              </w:rPr>
              <w:t>A</w:t>
            </w:r>
            <w:r>
              <w:rPr>
                <w:rFonts w:hint="eastAsia" w:ascii="宋体" w:hAnsi="宋体" w:cs="宋体"/>
                <w:color w:val="auto"/>
                <w:kern w:val="2"/>
                <w:sz w:val="21"/>
                <w:szCs w:val="21"/>
              </w:rPr>
              <w:t>）</w:t>
            </w:r>
          </w:p>
        </w:tc>
        <w:tc>
          <w:tcPr>
            <w:tcW w:w="1226" w:type="pct"/>
            <w:gridSpan w:val="2"/>
            <w:vAlign w:val="center"/>
          </w:tcPr>
          <w:p w14:paraId="0E81FB41">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夜间</w:t>
            </w:r>
            <w:r>
              <w:rPr>
                <w:color w:val="auto"/>
                <w:kern w:val="2"/>
                <w:sz w:val="21"/>
                <w:szCs w:val="21"/>
              </w:rPr>
              <w:t>dB</w:t>
            </w:r>
            <w:r>
              <w:rPr>
                <w:rFonts w:hint="eastAsia" w:ascii="宋体" w:hAnsi="宋体" w:cs="宋体"/>
                <w:color w:val="auto"/>
                <w:kern w:val="2"/>
                <w:sz w:val="21"/>
                <w:szCs w:val="21"/>
              </w:rPr>
              <w:t>（</w:t>
            </w:r>
            <w:r>
              <w:rPr>
                <w:color w:val="auto"/>
                <w:kern w:val="2"/>
                <w:sz w:val="21"/>
                <w:szCs w:val="21"/>
              </w:rPr>
              <w:t>A</w:t>
            </w:r>
            <w:r>
              <w:rPr>
                <w:rFonts w:hint="eastAsia" w:ascii="宋体" w:hAnsi="宋体" w:cs="宋体"/>
                <w:color w:val="auto"/>
                <w:kern w:val="2"/>
                <w:sz w:val="21"/>
                <w:szCs w:val="21"/>
              </w:rPr>
              <w:t>）</w:t>
            </w:r>
          </w:p>
        </w:tc>
        <w:tc>
          <w:tcPr>
            <w:tcW w:w="1069" w:type="pct"/>
            <w:gridSpan w:val="2"/>
            <w:vAlign w:val="center"/>
          </w:tcPr>
          <w:p w14:paraId="2B9097B3">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标准值</w:t>
            </w:r>
            <w:r>
              <w:rPr>
                <w:color w:val="auto"/>
                <w:kern w:val="2"/>
                <w:sz w:val="21"/>
                <w:szCs w:val="21"/>
              </w:rPr>
              <w:t>dB</w:t>
            </w:r>
            <w:r>
              <w:rPr>
                <w:rFonts w:hint="eastAsia" w:ascii="宋体" w:hAnsi="宋体" w:cs="宋体"/>
                <w:color w:val="auto"/>
                <w:kern w:val="2"/>
                <w:sz w:val="21"/>
                <w:szCs w:val="21"/>
              </w:rPr>
              <w:t>（</w:t>
            </w:r>
            <w:r>
              <w:rPr>
                <w:color w:val="auto"/>
                <w:kern w:val="2"/>
                <w:sz w:val="21"/>
                <w:szCs w:val="21"/>
              </w:rPr>
              <w:t>A</w:t>
            </w:r>
            <w:r>
              <w:rPr>
                <w:rFonts w:hint="eastAsia" w:ascii="宋体" w:hAnsi="宋体" w:cs="宋体"/>
                <w:color w:val="auto"/>
                <w:kern w:val="2"/>
                <w:sz w:val="21"/>
                <w:szCs w:val="21"/>
              </w:rPr>
              <w:t>）</w:t>
            </w:r>
          </w:p>
        </w:tc>
      </w:tr>
      <w:tr w14:paraId="5B1EB87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0" w:hRule="atLeast"/>
        </w:trPr>
        <w:tc>
          <w:tcPr>
            <w:tcW w:w="720" w:type="pct"/>
            <w:vMerge w:val="continue"/>
            <w:vAlign w:val="center"/>
          </w:tcPr>
          <w:p w14:paraId="75EDE62D">
            <w:pPr>
              <w:widowControl w:val="0"/>
              <w:jc w:val="center"/>
              <w:rPr>
                <w:color w:val="auto"/>
                <w:kern w:val="2"/>
                <w:sz w:val="21"/>
                <w:szCs w:val="21"/>
              </w:rPr>
            </w:pPr>
          </w:p>
        </w:tc>
        <w:tc>
          <w:tcPr>
            <w:tcW w:w="720" w:type="pct"/>
            <w:vMerge w:val="continue"/>
            <w:vAlign w:val="center"/>
          </w:tcPr>
          <w:p w14:paraId="42A43D57">
            <w:pPr>
              <w:widowControl w:val="0"/>
              <w:jc w:val="center"/>
              <w:rPr>
                <w:color w:val="auto"/>
                <w:kern w:val="2"/>
                <w:sz w:val="21"/>
                <w:szCs w:val="21"/>
              </w:rPr>
            </w:pPr>
          </w:p>
        </w:tc>
        <w:tc>
          <w:tcPr>
            <w:tcW w:w="436" w:type="pct"/>
            <w:vAlign w:val="center"/>
          </w:tcPr>
          <w:p w14:paraId="31D20926">
            <w:pPr>
              <w:widowControl w:val="0"/>
              <w:spacing w:before="100" w:beforeAutospacing="1" w:line="360" w:lineRule="exact"/>
              <w:jc w:val="center"/>
              <w:rPr>
                <w:color w:val="auto"/>
                <w:kern w:val="2"/>
                <w:sz w:val="21"/>
                <w:szCs w:val="21"/>
              </w:rPr>
            </w:pPr>
            <w:r>
              <w:rPr>
                <w:color w:val="auto"/>
                <w:kern w:val="2"/>
                <w:sz w:val="21"/>
                <w:szCs w:val="21"/>
              </w:rPr>
              <w:t>Leq</w:t>
            </w:r>
          </w:p>
        </w:tc>
        <w:tc>
          <w:tcPr>
            <w:tcW w:w="828" w:type="pct"/>
            <w:vAlign w:val="center"/>
          </w:tcPr>
          <w:p w14:paraId="61B5C8C6">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达标情况</w:t>
            </w:r>
          </w:p>
        </w:tc>
        <w:tc>
          <w:tcPr>
            <w:tcW w:w="542" w:type="pct"/>
            <w:vAlign w:val="center"/>
          </w:tcPr>
          <w:p w14:paraId="15E44932">
            <w:pPr>
              <w:widowControl w:val="0"/>
              <w:spacing w:before="100" w:beforeAutospacing="1" w:line="360" w:lineRule="exact"/>
              <w:jc w:val="center"/>
              <w:rPr>
                <w:color w:val="auto"/>
                <w:kern w:val="2"/>
                <w:sz w:val="21"/>
                <w:szCs w:val="21"/>
              </w:rPr>
            </w:pPr>
            <w:r>
              <w:rPr>
                <w:color w:val="auto"/>
                <w:kern w:val="2"/>
                <w:sz w:val="21"/>
                <w:szCs w:val="21"/>
              </w:rPr>
              <w:t>Leq</w:t>
            </w:r>
          </w:p>
        </w:tc>
        <w:tc>
          <w:tcPr>
            <w:tcW w:w="684" w:type="pct"/>
            <w:vAlign w:val="center"/>
          </w:tcPr>
          <w:p w14:paraId="71D8C0E7">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达标情况</w:t>
            </w:r>
          </w:p>
        </w:tc>
        <w:tc>
          <w:tcPr>
            <w:tcW w:w="509" w:type="pct"/>
            <w:vAlign w:val="center"/>
          </w:tcPr>
          <w:p w14:paraId="236D5189">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昼间</w:t>
            </w:r>
          </w:p>
        </w:tc>
        <w:tc>
          <w:tcPr>
            <w:tcW w:w="560" w:type="pct"/>
            <w:vAlign w:val="center"/>
          </w:tcPr>
          <w:p w14:paraId="33DDB2BC">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夜间</w:t>
            </w:r>
          </w:p>
        </w:tc>
      </w:tr>
      <w:tr w14:paraId="302409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0" w:hRule="atLeast"/>
        </w:trPr>
        <w:tc>
          <w:tcPr>
            <w:tcW w:w="720" w:type="pct"/>
            <w:vAlign w:val="center"/>
          </w:tcPr>
          <w:p w14:paraId="44971208">
            <w:pPr>
              <w:widowControl w:val="0"/>
              <w:spacing w:before="100" w:beforeAutospacing="1" w:line="360" w:lineRule="exact"/>
              <w:jc w:val="center"/>
              <w:rPr>
                <w:color w:val="auto"/>
                <w:kern w:val="2"/>
                <w:sz w:val="21"/>
                <w:szCs w:val="21"/>
              </w:rPr>
            </w:pPr>
            <w:r>
              <w:rPr>
                <w:rFonts w:hint="eastAsia"/>
                <w:color w:val="auto"/>
                <w:kern w:val="2"/>
                <w:sz w:val="21"/>
                <w:szCs w:val="21"/>
              </w:rPr>
              <w:t>S</w:t>
            </w:r>
            <w:r>
              <w:rPr>
                <w:color w:val="auto"/>
                <w:kern w:val="2"/>
                <w:sz w:val="21"/>
                <w:szCs w:val="21"/>
              </w:rPr>
              <w:t>1#</w:t>
            </w:r>
          </w:p>
        </w:tc>
        <w:tc>
          <w:tcPr>
            <w:tcW w:w="720" w:type="pct"/>
            <w:vAlign w:val="center"/>
          </w:tcPr>
          <w:p w14:paraId="729B9937">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西侧</w:t>
            </w:r>
          </w:p>
        </w:tc>
        <w:tc>
          <w:tcPr>
            <w:tcW w:w="436" w:type="pct"/>
            <w:vAlign w:val="center"/>
          </w:tcPr>
          <w:p w14:paraId="5651CACA">
            <w:pPr>
              <w:widowControl w:val="0"/>
              <w:spacing w:before="100" w:beforeAutospacing="1" w:line="360" w:lineRule="exact"/>
              <w:jc w:val="center"/>
              <w:rPr>
                <w:color w:val="auto"/>
                <w:kern w:val="2"/>
                <w:sz w:val="21"/>
                <w:szCs w:val="21"/>
              </w:rPr>
            </w:pPr>
          </w:p>
        </w:tc>
        <w:tc>
          <w:tcPr>
            <w:tcW w:w="828" w:type="pct"/>
            <w:vAlign w:val="center"/>
          </w:tcPr>
          <w:p w14:paraId="1ADD924F">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w:t>
            </w:r>
          </w:p>
        </w:tc>
        <w:tc>
          <w:tcPr>
            <w:tcW w:w="542" w:type="pct"/>
            <w:vAlign w:val="center"/>
          </w:tcPr>
          <w:p w14:paraId="41429BE5">
            <w:pPr>
              <w:widowControl w:val="0"/>
              <w:spacing w:before="100" w:beforeAutospacing="1" w:line="360" w:lineRule="exact"/>
              <w:jc w:val="center"/>
              <w:rPr>
                <w:color w:val="auto"/>
                <w:kern w:val="2"/>
                <w:sz w:val="21"/>
                <w:szCs w:val="21"/>
              </w:rPr>
            </w:pPr>
          </w:p>
        </w:tc>
        <w:tc>
          <w:tcPr>
            <w:tcW w:w="684" w:type="pct"/>
            <w:vAlign w:val="center"/>
          </w:tcPr>
          <w:p w14:paraId="336366B3">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w:t>
            </w:r>
          </w:p>
        </w:tc>
        <w:tc>
          <w:tcPr>
            <w:tcW w:w="509" w:type="pct"/>
            <w:vMerge w:val="restart"/>
            <w:vAlign w:val="center"/>
          </w:tcPr>
          <w:p w14:paraId="0767B7F3">
            <w:pPr>
              <w:widowControl w:val="0"/>
              <w:spacing w:before="100" w:beforeAutospacing="1" w:line="360" w:lineRule="exact"/>
              <w:jc w:val="center"/>
              <w:rPr>
                <w:color w:val="auto"/>
                <w:kern w:val="2"/>
                <w:sz w:val="21"/>
                <w:szCs w:val="21"/>
              </w:rPr>
            </w:pPr>
            <w:r>
              <w:rPr>
                <w:color w:val="auto"/>
                <w:kern w:val="2"/>
                <w:sz w:val="21"/>
                <w:szCs w:val="21"/>
              </w:rPr>
              <w:t>65</w:t>
            </w:r>
          </w:p>
        </w:tc>
        <w:tc>
          <w:tcPr>
            <w:tcW w:w="560" w:type="pct"/>
            <w:vMerge w:val="restart"/>
            <w:vAlign w:val="center"/>
          </w:tcPr>
          <w:p w14:paraId="31088D5D">
            <w:pPr>
              <w:widowControl w:val="0"/>
              <w:spacing w:before="100" w:beforeAutospacing="1" w:line="360" w:lineRule="exact"/>
              <w:jc w:val="center"/>
              <w:rPr>
                <w:color w:val="auto"/>
                <w:kern w:val="2"/>
                <w:sz w:val="21"/>
                <w:szCs w:val="21"/>
              </w:rPr>
            </w:pPr>
            <w:r>
              <w:rPr>
                <w:color w:val="auto"/>
                <w:kern w:val="2"/>
                <w:sz w:val="21"/>
                <w:szCs w:val="21"/>
              </w:rPr>
              <w:t>55</w:t>
            </w:r>
          </w:p>
        </w:tc>
      </w:tr>
      <w:tr w14:paraId="7B6503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0" w:hRule="atLeast"/>
        </w:trPr>
        <w:tc>
          <w:tcPr>
            <w:tcW w:w="720" w:type="pct"/>
            <w:vAlign w:val="center"/>
          </w:tcPr>
          <w:p w14:paraId="718B1A07">
            <w:pPr>
              <w:widowControl w:val="0"/>
              <w:spacing w:before="100" w:beforeAutospacing="1" w:line="360" w:lineRule="exact"/>
              <w:jc w:val="center"/>
              <w:rPr>
                <w:color w:val="auto"/>
                <w:kern w:val="2"/>
                <w:sz w:val="21"/>
                <w:szCs w:val="21"/>
              </w:rPr>
            </w:pPr>
            <w:r>
              <w:rPr>
                <w:rFonts w:hint="eastAsia"/>
                <w:color w:val="auto"/>
                <w:kern w:val="2"/>
                <w:sz w:val="21"/>
                <w:szCs w:val="21"/>
              </w:rPr>
              <w:t>S2</w:t>
            </w:r>
            <w:r>
              <w:rPr>
                <w:color w:val="auto"/>
                <w:kern w:val="2"/>
                <w:sz w:val="21"/>
                <w:szCs w:val="21"/>
              </w:rPr>
              <w:t>#</w:t>
            </w:r>
          </w:p>
        </w:tc>
        <w:tc>
          <w:tcPr>
            <w:tcW w:w="720" w:type="pct"/>
            <w:vAlign w:val="center"/>
          </w:tcPr>
          <w:p w14:paraId="0072608E">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东侧</w:t>
            </w:r>
          </w:p>
        </w:tc>
        <w:tc>
          <w:tcPr>
            <w:tcW w:w="436" w:type="pct"/>
            <w:vAlign w:val="center"/>
          </w:tcPr>
          <w:p w14:paraId="3EEECB2D">
            <w:pPr>
              <w:widowControl w:val="0"/>
              <w:spacing w:before="100" w:beforeAutospacing="1" w:line="360" w:lineRule="exact"/>
              <w:jc w:val="center"/>
              <w:rPr>
                <w:color w:val="auto"/>
                <w:kern w:val="2"/>
                <w:sz w:val="21"/>
                <w:szCs w:val="21"/>
              </w:rPr>
            </w:pPr>
          </w:p>
        </w:tc>
        <w:tc>
          <w:tcPr>
            <w:tcW w:w="828" w:type="pct"/>
            <w:vAlign w:val="center"/>
          </w:tcPr>
          <w:p w14:paraId="69F561E6">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w:t>
            </w:r>
          </w:p>
        </w:tc>
        <w:tc>
          <w:tcPr>
            <w:tcW w:w="542" w:type="pct"/>
            <w:vAlign w:val="center"/>
          </w:tcPr>
          <w:p w14:paraId="05B9B715">
            <w:pPr>
              <w:widowControl w:val="0"/>
              <w:spacing w:before="100" w:beforeAutospacing="1" w:line="360" w:lineRule="exact"/>
              <w:jc w:val="center"/>
              <w:rPr>
                <w:color w:val="auto"/>
                <w:kern w:val="2"/>
                <w:sz w:val="21"/>
                <w:szCs w:val="21"/>
              </w:rPr>
            </w:pPr>
          </w:p>
        </w:tc>
        <w:tc>
          <w:tcPr>
            <w:tcW w:w="684" w:type="pct"/>
            <w:vAlign w:val="center"/>
          </w:tcPr>
          <w:p w14:paraId="40B16424">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w:t>
            </w:r>
          </w:p>
        </w:tc>
        <w:tc>
          <w:tcPr>
            <w:tcW w:w="509" w:type="pct"/>
            <w:vMerge w:val="continue"/>
            <w:vAlign w:val="center"/>
          </w:tcPr>
          <w:p w14:paraId="705B85CD">
            <w:pPr>
              <w:widowControl w:val="0"/>
              <w:jc w:val="center"/>
              <w:rPr>
                <w:color w:val="auto"/>
                <w:kern w:val="2"/>
                <w:sz w:val="21"/>
                <w:szCs w:val="21"/>
              </w:rPr>
            </w:pPr>
          </w:p>
        </w:tc>
        <w:tc>
          <w:tcPr>
            <w:tcW w:w="560" w:type="pct"/>
            <w:vMerge w:val="continue"/>
            <w:vAlign w:val="center"/>
          </w:tcPr>
          <w:p w14:paraId="022909AE">
            <w:pPr>
              <w:widowControl w:val="0"/>
              <w:jc w:val="center"/>
              <w:rPr>
                <w:color w:val="auto"/>
                <w:kern w:val="2"/>
                <w:sz w:val="21"/>
                <w:szCs w:val="21"/>
              </w:rPr>
            </w:pPr>
          </w:p>
        </w:tc>
      </w:tr>
      <w:tr w14:paraId="539255A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0" w:hRule="atLeast"/>
        </w:trPr>
        <w:tc>
          <w:tcPr>
            <w:tcW w:w="720" w:type="pct"/>
            <w:vAlign w:val="center"/>
          </w:tcPr>
          <w:p w14:paraId="6D47BE94">
            <w:pPr>
              <w:widowControl w:val="0"/>
              <w:spacing w:before="100" w:beforeAutospacing="1" w:line="360" w:lineRule="exact"/>
              <w:jc w:val="center"/>
              <w:rPr>
                <w:color w:val="auto"/>
                <w:kern w:val="2"/>
                <w:sz w:val="21"/>
                <w:szCs w:val="21"/>
              </w:rPr>
            </w:pPr>
            <w:r>
              <w:rPr>
                <w:rFonts w:hint="eastAsia"/>
                <w:color w:val="auto"/>
                <w:kern w:val="2"/>
                <w:sz w:val="21"/>
                <w:szCs w:val="21"/>
              </w:rPr>
              <w:t>S3</w:t>
            </w:r>
            <w:r>
              <w:rPr>
                <w:color w:val="auto"/>
                <w:kern w:val="2"/>
                <w:sz w:val="21"/>
                <w:szCs w:val="21"/>
              </w:rPr>
              <w:t>#</w:t>
            </w:r>
          </w:p>
        </w:tc>
        <w:tc>
          <w:tcPr>
            <w:tcW w:w="720" w:type="pct"/>
            <w:vAlign w:val="center"/>
          </w:tcPr>
          <w:p w14:paraId="746714F2">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北侧</w:t>
            </w:r>
          </w:p>
        </w:tc>
        <w:tc>
          <w:tcPr>
            <w:tcW w:w="436" w:type="pct"/>
            <w:vAlign w:val="center"/>
          </w:tcPr>
          <w:p w14:paraId="319B7862">
            <w:pPr>
              <w:widowControl w:val="0"/>
              <w:spacing w:before="100" w:beforeAutospacing="1" w:line="360" w:lineRule="exact"/>
              <w:jc w:val="center"/>
              <w:rPr>
                <w:color w:val="auto"/>
                <w:kern w:val="2"/>
                <w:sz w:val="21"/>
                <w:szCs w:val="21"/>
              </w:rPr>
            </w:pPr>
          </w:p>
        </w:tc>
        <w:tc>
          <w:tcPr>
            <w:tcW w:w="828" w:type="pct"/>
            <w:vAlign w:val="center"/>
          </w:tcPr>
          <w:p w14:paraId="346613CE">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w:t>
            </w:r>
          </w:p>
        </w:tc>
        <w:tc>
          <w:tcPr>
            <w:tcW w:w="542" w:type="pct"/>
            <w:vAlign w:val="center"/>
          </w:tcPr>
          <w:p w14:paraId="4B129542">
            <w:pPr>
              <w:widowControl w:val="0"/>
              <w:spacing w:before="100" w:beforeAutospacing="1" w:line="360" w:lineRule="exact"/>
              <w:jc w:val="center"/>
              <w:rPr>
                <w:color w:val="auto"/>
                <w:kern w:val="2"/>
                <w:sz w:val="21"/>
                <w:szCs w:val="21"/>
              </w:rPr>
            </w:pPr>
          </w:p>
        </w:tc>
        <w:tc>
          <w:tcPr>
            <w:tcW w:w="684" w:type="pct"/>
            <w:vAlign w:val="center"/>
          </w:tcPr>
          <w:p w14:paraId="22F4F37F">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w:t>
            </w:r>
          </w:p>
        </w:tc>
        <w:tc>
          <w:tcPr>
            <w:tcW w:w="509" w:type="pct"/>
            <w:vMerge w:val="continue"/>
            <w:vAlign w:val="center"/>
          </w:tcPr>
          <w:p w14:paraId="2A2E25E8">
            <w:pPr>
              <w:widowControl w:val="0"/>
              <w:jc w:val="center"/>
              <w:rPr>
                <w:color w:val="auto"/>
                <w:kern w:val="2"/>
                <w:sz w:val="21"/>
                <w:szCs w:val="21"/>
              </w:rPr>
            </w:pPr>
          </w:p>
        </w:tc>
        <w:tc>
          <w:tcPr>
            <w:tcW w:w="560" w:type="pct"/>
            <w:vMerge w:val="continue"/>
            <w:vAlign w:val="center"/>
          </w:tcPr>
          <w:p w14:paraId="4770F5CB">
            <w:pPr>
              <w:widowControl w:val="0"/>
              <w:jc w:val="center"/>
              <w:rPr>
                <w:color w:val="auto"/>
                <w:kern w:val="2"/>
                <w:sz w:val="21"/>
                <w:szCs w:val="21"/>
              </w:rPr>
            </w:pPr>
          </w:p>
        </w:tc>
      </w:tr>
      <w:tr w14:paraId="5CF9677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0" w:hRule="atLeast"/>
        </w:trPr>
        <w:tc>
          <w:tcPr>
            <w:tcW w:w="720" w:type="pct"/>
            <w:vAlign w:val="center"/>
          </w:tcPr>
          <w:p w14:paraId="2FEC802C">
            <w:pPr>
              <w:widowControl w:val="0"/>
              <w:spacing w:before="100" w:beforeAutospacing="1" w:line="360" w:lineRule="exact"/>
              <w:jc w:val="center"/>
              <w:rPr>
                <w:color w:val="auto"/>
                <w:kern w:val="2"/>
                <w:sz w:val="21"/>
                <w:szCs w:val="21"/>
              </w:rPr>
            </w:pPr>
            <w:r>
              <w:rPr>
                <w:rFonts w:hint="eastAsia"/>
                <w:color w:val="auto"/>
                <w:kern w:val="2"/>
                <w:sz w:val="21"/>
                <w:szCs w:val="21"/>
              </w:rPr>
              <w:t>S4</w:t>
            </w:r>
            <w:r>
              <w:rPr>
                <w:color w:val="auto"/>
                <w:kern w:val="2"/>
                <w:sz w:val="21"/>
                <w:szCs w:val="21"/>
              </w:rPr>
              <w:t>#</w:t>
            </w:r>
          </w:p>
        </w:tc>
        <w:tc>
          <w:tcPr>
            <w:tcW w:w="720" w:type="pct"/>
            <w:vAlign w:val="center"/>
          </w:tcPr>
          <w:p w14:paraId="1EFDDAAC">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南侧</w:t>
            </w:r>
          </w:p>
        </w:tc>
        <w:tc>
          <w:tcPr>
            <w:tcW w:w="436" w:type="pct"/>
            <w:vAlign w:val="center"/>
          </w:tcPr>
          <w:p w14:paraId="0BBAC54A">
            <w:pPr>
              <w:widowControl w:val="0"/>
              <w:spacing w:before="100" w:beforeAutospacing="1" w:line="360" w:lineRule="exact"/>
              <w:jc w:val="center"/>
              <w:rPr>
                <w:color w:val="auto"/>
                <w:kern w:val="2"/>
                <w:sz w:val="21"/>
                <w:szCs w:val="21"/>
              </w:rPr>
            </w:pPr>
          </w:p>
        </w:tc>
        <w:tc>
          <w:tcPr>
            <w:tcW w:w="828" w:type="pct"/>
            <w:vAlign w:val="center"/>
          </w:tcPr>
          <w:p w14:paraId="172F6254">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w:t>
            </w:r>
          </w:p>
        </w:tc>
        <w:tc>
          <w:tcPr>
            <w:tcW w:w="542" w:type="pct"/>
            <w:vAlign w:val="center"/>
          </w:tcPr>
          <w:p w14:paraId="0FDBFE12">
            <w:pPr>
              <w:widowControl w:val="0"/>
              <w:spacing w:before="100" w:beforeAutospacing="1" w:line="360" w:lineRule="exact"/>
              <w:jc w:val="center"/>
              <w:rPr>
                <w:color w:val="auto"/>
                <w:kern w:val="2"/>
                <w:sz w:val="21"/>
                <w:szCs w:val="21"/>
              </w:rPr>
            </w:pPr>
          </w:p>
        </w:tc>
        <w:tc>
          <w:tcPr>
            <w:tcW w:w="684" w:type="pct"/>
            <w:vAlign w:val="center"/>
          </w:tcPr>
          <w:p w14:paraId="05AEABF2">
            <w:pPr>
              <w:widowControl w:val="0"/>
              <w:spacing w:before="100" w:beforeAutospacing="1" w:line="360" w:lineRule="exact"/>
              <w:jc w:val="center"/>
              <w:rPr>
                <w:color w:val="auto"/>
                <w:kern w:val="2"/>
                <w:sz w:val="21"/>
                <w:szCs w:val="21"/>
              </w:rPr>
            </w:pPr>
            <w:r>
              <w:rPr>
                <w:rFonts w:hint="eastAsia" w:ascii="宋体" w:hAnsi="宋体" w:cs="宋体"/>
                <w:color w:val="auto"/>
                <w:kern w:val="2"/>
                <w:sz w:val="21"/>
                <w:szCs w:val="21"/>
              </w:rPr>
              <w:t>达标</w:t>
            </w:r>
          </w:p>
        </w:tc>
        <w:tc>
          <w:tcPr>
            <w:tcW w:w="509" w:type="pct"/>
            <w:vMerge w:val="continue"/>
            <w:vAlign w:val="center"/>
          </w:tcPr>
          <w:p w14:paraId="19070742">
            <w:pPr>
              <w:widowControl w:val="0"/>
              <w:jc w:val="center"/>
              <w:rPr>
                <w:color w:val="auto"/>
                <w:kern w:val="2"/>
                <w:sz w:val="21"/>
                <w:szCs w:val="21"/>
              </w:rPr>
            </w:pPr>
          </w:p>
        </w:tc>
        <w:tc>
          <w:tcPr>
            <w:tcW w:w="560" w:type="pct"/>
            <w:vMerge w:val="continue"/>
            <w:vAlign w:val="center"/>
          </w:tcPr>
          <w:p w14:paraId="3DAE2620">
            <w:pPr>
              <w:widowControl w:val="0"/>
              <w:jc w:val="center"/>
              <w:rPr>
                <w:color w:val="auto"/>
                <w:kern w:val="2"/>
                <w:sz w:val="21"/>
                <w:szCs w:val="21"/>
              </w:rPr>
            </w:pPr>
          </w:p>
        </w:tc>
      </w:tr>
    </w:tbl>
    <w:p w14:paraId="67038298">
      <w:pPr>
        <w:pStyle w:val="132"/>
        <w:rPr>
          <w:color w:val="auto"/>
        </w:rPr>
      </w:pPr>
      <w:r>
        <w:rPr>
          <w:rFonts w:hint="eastAsia"/>
          <w:color w:val="auto"/>
        </w:rPr>
        <w:t>从上表的监测结果及分析可看出，项目区厂界昼、夜间Leq（dB（A））均达标，小于《声环境质量标准》（GB3096-2008）中3类噪声标准限值。</w:t>
      </w:r>
    </w:p>
    <w:p w14:paraId="0CB5E1CE">
      <w:pPr>
        <w:pStyle w:val="132"/>
        <w:rPr>
          <w:color w:val="auto"/>
        </w:rPr>
      </w:pPr>
    </w:p>
    <w:p w14:paraId="38A4547C">
      <w:pPr>
        <w:pStyle w:val="3"/>
        <w:rPr>
          <w:rFonts w:ascii="Arial" w:hAnsi="Arial"/>
          <w:color w:val="auto"/>
        </w:rPr>
      </w:pPr>
      <w:bookmarkStart w:id="271" w:name="_Toc229930139"/>
      <w:r>
        <w:rPr>
          <w:rFonts w:hint="eastAsia"/>
          <w:color w:val="auto"/>
        </w:rPr>
        <w:t>土壤现状调查与评价</w:t>
      </w:r>
      <w:bookmarkEnd w:id="271"/>
    </w:p>
    <w:p w14:paraId="1349D8D0">
      <w:pPr>
        <w:pStyle w:val="4"/>
        <w:rPr>
          <w:color w:val="auto"/>
        </w:rPr>
      </w:pPr>
      <w:r>
        <w:rPr>
          <w:rFonts w:hint="eastAsia"/>
          <w:color w:val="auto"/>
        </w:rPr>
        <w:t>监测点布设</w:t>
      </w:r>
    </w:p>
    <w:p w14:paraId="130F6D25">
      <w:pPr>
        <w:pStyle w:val="132"/>
        <w:rPr>
          <w:color w:val="auto"/>
        </w:rPr>
      </w:pPr>
      <w:r>
        <w:rPr>
          <w:rFonts w:hint="eastAsia"/>
          <w:color w:val="auto"/>
        </w:rPr>
        <w:t>本项目行业类别属于环境和公共设施管理业，项目类别属于</w:t>
      </w:r>
      <w:r>
        <w:rPr>
          <w:color w:val="auto"/>
        </w:rPr>
        <w:t>Ⅰ</w:t>
      </w:r>
      <w:r>
        <w:rPr>
          <w:rFonts w:hint="eastAsia"/>
          <w:color w:val="auto"/>
        </w:rPr>
        <w:t>类危险废物利用及处置；废旧资源加工、再生利用。占地面积50亩，约合3.33公顷，占地规模为小型（≤5hm</w:t>
      </w:r>
      <w:r>
        <w:rPr>
          <w:rFonts w:hint="eastAsia"/>
          <w:color w:val="auto"/>
          <w:vertAlign w:val="superscript"/>
        </w:rPr>
        <w:t>2</w:t>
      </w:r>
      <w:r>
        <w:rPr>
          <w:rFonts w:hint="eastAsia"/>
          <w:color w:val="auto"/>
        </w:rPr>
        <w:t>）。周边不存在土壤环境敏感目标，故周边土壤敏感程度为不敏感。据此判定本项目土壤环境评价等级为二级，调查范围占地外0.2km范围内。</w:t>
      </w:r>
    </w:p>
    <w:p w14:paraId="51DAE627">
      <w:pPr>
        <w:pStyle w:val="132"/>
        <w:rPr>
          <w:color w:val="auto"/>
        </w:rPr>
      </w:pPr>
      <w:r>
        <w:rPr>
          <w:rFonts w:hint="eastAsia"/>
          <w:color w:val="auto"/>
        </w:rPr>
        <w:t>项目区占地范围内设3个柱状样点，1个表层样点，项目区内共4个监测点。占地范围外4个监测点，共计8个监测点，土壤监测点详情见表4.9-1及图4.9-1。</w:t>
      </w:r>
    </w:p>
    <w:p w14:paraId="55BC4B7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4.9</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土壤监测点位置</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884"/>
        <w:gridCol w:w="2197"/>
        <w:gridCol w:w="1835"/>
        <w:gridCol w:w="1524"/>
        <w:gridCol w:w="2346"/>
      </w:tblGrid>
      <w:tr w14:paraId="67A7C0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3" w:type="pct"/>
            <w:vAlign w:val="center"/>
          </w:tcPr>
          <w:p w14:paraId="33A82A9D">
            <w:pPr>
              <w:widowControl w:val="0"/>
              <w:spacing w:before="100" w:beforeAutospacing="1" w:line="360" w:lineRule="exact"/>
              <w:jc w:val="center"/>
              <w:rPr>
                <w:color w:val="auto"/>
                <w:kern w:val="2"/>
                <w:sz w:val="21"/>
                <w:szCs w:val="21"/>
              </w:rPr>
            </w:pPr>
            <w:r>
              <w:rPr>
                <w:rFonts w:ascii="宋体" w:hAnsi="宋体"/>
                <w:color w:val="auto"/>
                <w:kern w:val="2"/>
                <w:sz w:val="21"/>
                <w:szCs w:val="21"/>
              </w:rPr>
              <w:t>编号</w:t>
            </w:r>
          </w:p>
        </w:tc>
        <w:tc>
          <w:tcPr>
            <w:tcW w:w="1250" w:type="pct"/>
            <w:vAlign w:val="center"/>
          </w:tcPr>
          <w:p w14:paraId="557791B7">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坐标</w:t>
            </w:r>
          </w:p>
        </w:tc>
        <w:tc>
          <w:tcPr>
            <w:tcW w:w="1044" w:type="pct"/>
            <w:vAlign w:val="center"/>
          </w:tcPr>
          <w:p w14:paraId="671DFAA9">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位置</w:t>
            </w:r>
          </w:p>
        </w:tc>
        <w:tc>
          <w:tcPr>
            <w:tcW w:w="867" w:type="pct"/>
            <w:vAlign w:val="center"/>
          </w:tcPr>
          <w:p w14:paraId="042615CA">
            <w:pPr>
              <w:widowControl w:val="0"/>
              <w:spacing w:before="100" w:beforeAutospacing="1" w:line="360" w:lineRule="exact"/>
              <w:jc w:val="center"/>
              <w:rPr>
                <w:color w:val="auto"/>
                <w:kern w:val="2"/>
                <w:sz w:val="21"/>
                <w:szCs w:val="21"/>
              </w:rPr>
            </w:pPr>
            <w:r>
              <w:rPr>
                <w:rFonts w:ascii="宋体" w:hAnsi="宋体"/>
                <w:color w:val="auto"/>
                <w:kern w:val="2"/>
                <w:sz w:val="21"/>
                <w:szCs w:val="21"/>
              </w:rPr>
              <w:t>布点类型</w:t>
            </w:r>
          </w:p>
        </w:tc>
        <w:tc>
          <w:tcPr>
            <w:tcW w:w="1335" w:type="pct"/>
            <w:vAlign w:val="center"/>
          </w:tcPr>
          <w:p w14:paraId="441EAB8B">
            <w:pPr>
              <w:widowControl w:val="0"/>
              <w:spacing w:before="100" w:beforeAutospacing="1" w:line="360" w:lineRule="exact"/>
              <w:jc w:val="center"/>
              <w:rPr>
                <w:color w:val="auto"/>
                <w:kern w:val="2"/>
                <w:sz w:val="21"/>
                <w:szCs w:val="21"/>
              </w:rPr>
            </w:pPr>
            <w:r>
              <w:rPr>
                <w:rFonts w:ascii="宋体" w:hAnsi="宋体"/>
                <w:color w:val="auto"/>
                <w:kern w:val="2"/>
                <w:sz w:val="21"/>
                <w:szCs w:val="21"/>
              </w:rPr>
              <w:t>监测项目</w:t>
            </w:r>
          </w:p>
        </w:tc>
      </w:tr>
      <w:tr w14:paraId="3E66DA0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3" w:type="pct"/>
            <w:vAlign w:val="center"/>
          </w:tcPr>
          <w:p w14:paraId="298064CE">
            <w:pPr>
              <w:widowControl w:val="0"/>
              <w:spacing w:before="100" w:beforeAutospacing="1" w:line="360" w:lineRule="exact"/>
              <w:jc w:val="center"/>
              <w:rPr>
                <w:color w:val="auto"/>
                <w:kern w:val="2"/>
                <w:sz w:val="21"/>
                <w:szCs w:val="21"/>
              </w:rPr>
            </w:pPr>
            <w:r>
              <w:rPr>
                <w:rFonts w:hint="eastAsia"/>
                <w:color w:val="auto"/>
                <w:kern w:val="2"/>
                <w:sz w:val="21"/>
                <w:szCs w:val="21"/>
              </w:rPr>
              <w:t>T</w:t>
            </w:r>
            <w:r>
              <w:rPr>
                <w:color w:val="auto"/>
                <w:kern w:val="2"/>
                <w:sz w:val="21"/>
                <w:szCs w:val="21"/>
              </w:rPr>
              <w:t>1#</w:t>
            </w:r>
          </w:p>
        </w:tc>
        <w:tc>
          <w:tcPr>
            <w:tcW w:w="1250" w:type="pct"/>
            <w:vAlign w:val="center"/>
          </w:tcPr>
          <w:p w14:paraId="3DA80CC0">
            <w:pPr>
              <w:widowControl w:val="0"/>
              <w:spacing w:before="100" w:beforeAutospacing="1" w:line="360" w:lineRule="exact"/>
              <w:jc w:val="center"/>
              <w:rPr>
                <w:color w:val="auto"/>
                <w:kern w:val="2"/>
                <w:sz w:val="21"/>
                <w:szCs w:val="21"/>
              </w:rPr>
            </w:pPr>
          </w:p>
        </w:tc>
        <w:tc>
          <w:tcPr>
            <w:tcW w:w="1044" w:type="pct"/>
            <w:vAlign w:val="center"/>
          </w:tcPr>
          <w:p w14:paraId="72FDFA63">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厂区内中心点</w:t>
            </w:r>
          </w:p>
        </w:tc>
        <w:tc>
          <w:tcPr>
            <w:tcW w:w="867" w:type="pct"/>
            <w:vAlign w:val="center"/>
          </w:tcPr>
          <w:p w14:paraId="147BA399">
            <w:pPr>
              <w:widowControl w:val="0"/>
              <w:spacing w:before="100" w:beforeAutospacing="1" w:line="360" w:lineRule="exact"/>
              <w:jc w:val="center"/>
              <w:rPr>
                <w:color w:val="auto"/>
                <w:kern w:val="2"/>
                <w:sz w:val="21"/>
                <w:szCs w:val="21"/>
              </w:rPr>
            </w:pPr>
            <w:r>
              <w:rPr>
                <w:rFonts w:ascii="宋体" w:hAnsi="宋体"/>
                <w:color w:val="auto"/>
                <w:kern w:val="2"/>
                <w:sz w:val="21"/>
                <w:szCs w:val="21"/>
              </w:rPr>
              <w:t>表层样</w:t>
            </w:r>
          </w:p>
        </w:tc>
        <w:tc>
          <w:tcPr>
            <w:tcW w:w="1335" w:type="pct"/>
            <w:vAlign w:val="center"/>
          </w:tcPr>
          <w:p w14:paraId="663FF354">
            <w:pPr>
              <w:widowControl w:val="0"/>
              <w:spacing w:before="100" w:beforeAutospacing="1" w:line="360" w:lineRule="exact"/>
              <w:jc w:val="center"/>
              <w:rPr>
                <w:color w:val="auto"/>
                <w:kern w:val="2"/>
                <w:sz w:val="21"/>
                <w:szCs w:val="21"/>
              </w:rPr>
            </w:pPr>
            <w:r>
              <w:rPr>
                <w:rFonts w:ascii="宋体" w:hAnsi="宋体"/>
                <w:color w:val="auto"/>
                <w:kern w:val="2"/>
                <w:sz w:val="21"/>
                <w:szCs w:val="21"/>
              </w:rPr>
              <w:t>监测</w:t>
            </w:r>
            <w:r>
              <w:rPr>
                <w:color w:val="auto"/>
                <w:kern w:val="2"/>
                <w:sz w:val="21"/>
                <w:szCs w:val="21"/>
              </w:rPr>
              <w:t>GB36600-2018</w:t>
            </w:r>
            <w:r>
              <w:rPr>
                <w:rFonts w:ascii="宋体" w:hAnsi="宋体"/>
                <w:color w:val="auto"/>
                <w:kern w:val="2"/>
                <w:sz w:val="21"/>
                <w:szCs w:val="21"/>
              </w:rPr>
              <w:t>中基本项目（</w:t>
            </w:r>
            <w:r>
              <w:rPr>
                <w:color w:val="auto"/>
                <w:kern w:val="2"/>
                <w:sz w:val="21"/>
                <w:szCs w:val="21"/>
              </w:rPr>
              <w:t>45</w:t>
            </w:r>
            <w:r>
              <w:rPr>
                <w:rFonts w:ascii="宋体" w:hAnsi="宋体"/>
                <w:color w:val="auto"/>
                <w:kern w:val="2"/>
                <w:sz w:val="21"/>
                <w:szCs w:val="21"/>
              </w:rPr>
              <w:t>项）</w:t>
            </w:r>
            <w:r>
              <w:rPr>
                <w:color w:val="auto"/>
                <w:kern w:val="2"/>
                <w:sz w:val="21"/>
                <w:szCs w:val="21"/>
              </w:rPr>
              <w:t>+pH</w:t>
            </w:r>
            <w:r>
              <w:rPr>
                <w:rFonts w:hint="eastAsia" w:ascii="宋体" w:hAnsi="宋体"/>
                <w:color w:val="auto"/>
                <w:kern w:val="2"/>
                <w:sz w:val="21"/>
                <w:szCs w:val="21"/>
              </w:rPr>
              <w:t>、钴、钼、锰</w:t>
            </w:r>
          </w:p>
        </w:tc>
      </w:tr>
      <w:tr w14:paraId="19A367A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3" w:type="pct"/>
            <w:vAlign w:val="center"/>
          </w:tcPr>
          <w:p w14:paraId="0AC7D3DB">
            <w:pPr>
              <w:widowControl w:val="0"/>
              <w:spacing w:before="100" w:beforeAutospacing="1" w:line="360" w:lineRule="exact"/>
              <w:jc w:val="center"/>
              <w:rPr>
                <w:color w:val="auto"/>
                <w:kern w:val="2"/>
                <w:sz w:val="21"/>
                <w:szCs w:val="21"/>
              </w:rPr>
            </w:pPr>
            <w:r>
              <w:rPr>
                <w:rFonts w:hint="eastAsia"/>
                <w:color w:val="auto"/>
                <w:kern w:val="2"/>
                <w:sz w:val="21"/>
                <w:szCs w:val="21"/>
              </w:rPr>
              <w:t>T</w:t>
            </w:r>
            <w:r>
              <w:rPr>
                <w:color w:val="auto"/>
                <w:kern w:val="2"/>
                <w:sz w:val="21"/>
                <w:szCs w:val="21"/>
              </w:rPr>
              <w:t>2#</w:t>
            </w:r>
          </w:p>
        </w:tc>
        <w:tc>
          <w:tcPr>
            <w:tcW w:w="1250" w:type="pct"/>
            <w:vAlign w:val="center"/>
          </w:tcPr>
          <w:p w14:paraId="2F1735B4">
            <w:pPr>
              <w:widowControl w:val="0"/>
              <w:spacing w:before="100" w:beforeAutospacing="1" w:line="360" w:lineRule="exact"/>
              <w:jc w:val="center"/>
              <w:rPr>
                <w:color w:val="auto"/>
                <w:kern w:val="2"/>
                <w:sz w:val="21"/>
                <w:szCs w:val="21"/>
              </w:rPr>
            </w:pPr>
          </w:p>
        </w:tc>
        <w:tc>
          <w:tcPr>
            <w:tcW w:w="1044" w:type="pct"/>
            <w:vAlign w:val="center"/>
          </w:tcPr>
          <w:p w14:paraId="2873F643">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厂区内仓库处西侧</w:t>
            </w:r>
          </w:p>
        </w:tc>
        <w:tc>
          <w:tcPr>
            <w:tcW w:w="867" w:type="pct"/>
            <w:vAlign w:val="center"/>
          </w:tcPr>
          <w:p w14:paraId="03BB20D7">
            <w:pPr>
              <w:widowControl w:val="0"/>
              <w:spacing w:before="100" w:beforeAutospacing="1" w:line="360" w:lineRule="exact"/>
              <w:jc w:val="center"/>
              <w:rPr>
                <w:color w:val="auto"/>
                <w:kern w:val="2"/>
                <w:sz w:val="21"/>
                <w:szCs w:val="21"/>
              </w:rPr>
            </w:pPr>
            <w:r>
              <w:rPr>
                <w:rFonts w:ascii="宋体" w:hAnsi="宋体"/>
                <w:color w:val="auto"/>
                <w:kern w:val="2"/>
                <w:sz w:val="21"/>
                <w:szCs w:val="21"/>
              </w:rPr>
              <w:t>柱状样</w:t>
            </w:r>
          </w:p>
        </w:tc>
        <w:tc>
          <w:tcPr>
            <w:tcW w:w="1335" w:type="pct"/>
            <w:vMerge w:val="restart"/>
            <w:vAlign w:val="center"/>
          </w:tcPr>
          <w:p w14:paraId="3CE789EF">
            <w:pPr>
              <w:widowControl w:val="0"/>
              <w:spacing w:before="100" w:beforeAutospacing="1" w:line="360" w:lineRule="exact"/>
              <w:jc w:val="center"/>
              <w:rPr>
                <w:color w:val="auto"/>
                <w:kern w:val="2"/>
                <w:sz w:val="21"/>
                <w:szCs w:val="21"/>
              </w:rPr>
            </w:pPr>
            <w:r>
              <w:rPr>
                <w:rFonts w:hint="eastAsia"/>
                <w:color w:val="auto"/>
                <w:kern w:val="2"/>
                <w:sz w:val="21"/>
                <w:szCs w:val="21"/>
              </w:rPr>
              <w:t>pH</w:t>
            </w:r>
            <w:r>
              <w:rPr>
                <w:rFonts w:hint="eastAsia" w:ascii="宋体" w:hAnsi="宋体"/>
                <w:color w:val="auto"/>
                <w:kern w:val="2"/>
                <w:sz w:val="21"/>
                <w:szCs w:val="21"/>
              </w:rPr>
              <w:t>、砷、铜、铬（六价）、镉、汞、铅、镍、钴、钼、锰</w:t>
            </w:r>
          </w:p>
        </w:tc>
      </w:tr>
      <w:tr w14:paraId="0128BF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3" w:type="pct"/>
            <w:vAlign w:val="center"/>
          </w:tcPr>
          <w:p w14:paraId="2CCC0C45">
            <w:pPr>
              <w:widowControl w:val="0"/>
              <w:spacing w:before="100" w:beforeAutospacing="1" w:line="360" w:lineRule="exact"/>
              <w:jc w:val="center"/>
              <w:rPr>
                <w:color w:val="auto"/>
                <w:kern w:val="2"/>
                <w:sz w:val="21"/>
                <w:szCs w:val="21"/>
              </w:rPr>
            </w:pPr>
            <w:r>
              <w:rPr>
                <w:rFonts w:hint="eastAsia"/>
                <w:color w:val="auto"/>
                <w:kern w:val="2"/>
                <w:sz w:val="21"/>
                <w:szCs w:val="21"/>
              </w:rPr>
              <w:t>T</w:t>
            </w:r>
            <w:r>
              <w:rPr>
                <w:color w:val="auto"/>
                <w:kern w:val="2"/>
                <w:sz w:val="21"/>
                <w:szCs w:val="21"/>
              </w:rPr>
              <w:t>3#</w:t>
            </w:r>
          </w:p>
        </w:tc>
        <w:tc>
          <w:tcPr>
            <w:tcW w:w="1250" w:type="pct"/>
            <w:vAlign w:val="center"/>
          </w:tcPr>
          <w:p w14:paraId="2AFF790D">
            <w:pPr>
              <w:widowControl w:val="0"/>
              <w:spacing w:before="100" w:beforeAutospacing="1" w:line="360" w:lineRule="exact"/>
              <w:jc w:val="center"/>
              <w:rPr>
                <w:color w:val="auto"/>
                <w:kern w:val="2"/>
                <w:sz w:val="21"/>
                <w:szCs w:val="21"/>
              </w:rPr>
            </w:pPr>
          </w:p>
        </w:tc>
        <w:tc>
          <w:tcPr>
            <w:tcW w:w="1044" w:type="pct"/>
            <w:vAlign w:val="center"/>
          </w:tcPr>
          <w:p w14:paraId="25D3B43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厂区内原料区西侧</w:t>
            </w:r>
          </w:p>
        </w:tc>
        <w:tc>
          <w:tcPr>
            <w:tcW w:w="867" w:type="pct"/>
            <w:vAlign w:val="center"/>
          </w:tcPr>
          <w:p w14:paraId="45B5DA01">
            <w:pPr>
              <w:widowControl w:val="0"/>
              <w:spacing w:before="100" w:beforeAutospacing="1" w:line="360" w:lineRule="exact"/>
              <w:jc w:val="center"/>
              <w:rPr>
                <w:color w:val="auto"/>
                <w:kern w:val="2"/>
                <w:sz w:val="21"/>
                <w:szCs w:val="21"/>
              </w:rPr>
            </w:pPr>
            <w:r>
              <w:rPr>
                <w:rFonts w:ascii="宋体" w:hAnsi="宋体"/>
                <w:color w:val="auto"/>
                <w:kern w:val="2"/>
                <w:sz w:val="21"/>
                <w:szCs w:val="21"/>
              </w:rPr>
              <w:t>柱状样</w:t>
            </w:r>
          </w:p>
        </w:tc>
        <w:tc>
          <w:tcPr>
            <w:tcW w:w="1335" w:type="pct"/>
            <w:vMerge w:val="continue"/>
            <w:vAlign w:val="center"/>
          </w:tcPr>
          <w:p w14:paraId="6C793665">
            <w:pPr>
              <w:widowControl w:val="0"/>
              <w:jc w:val="center"/>
              <w:rPr>
                <w:color w:val="auto"/>
                <w:kern w:val="2"/>
                <w:sz w:val="21"/>
                <w:szCs w:val="21"/>
              </w:rPr>
            </w:pPr>
          </w:p>
        </w:tc>
      </w:tr>
      <w:tr w14:paraId="4ADBDF5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3" w:type="pct"/>
            <w:vAlign w:val="center"/>
          </w:tcPr>
          <w:p w14:paraId="134085BB">
            <w:pPr>
              <w:widowControl w:val="0"/>
              <w:spacing w:before="100" w:beforeAutospacing="1" w:line="360" w:lineRule="exact"/>
              <w:jc w:val="center"/>
              <w:rPr>
                <w:color w:val="auto"/>
                <w:kern w:val="2"/>
                <w:sz w:val="21"/>
                <w:szCs w:val="21"/>
              </w:rPr>
            </w:pPr>
            <w:r>
              <w:rPr>
                <w:rFonts w:hint="eastAsia"/>
                <w:color w:val="auto"/>
                <w:kern w:val="2"/>
                <w:sz w:val="21"/>
                <w:szCs w:val="21"/>
              </w:rPr>
              <w:t>T</w:t>
            </w:r>
            <w:r>
              <w:rPr>
                <w:color w:val="auto"/>
                <w:kern w:val="2"/>
                <w:sz w:val="21"/>
                <w:szCs w:val="21"/>
              </w:rPr>
              <w:t>4#</w:t>
            </w:r>
          </w:p>
        </w:tc>
        <w:tc>
          <w:tcPr>
            <w:tcW w:w="1250" w:type="pct"/>
            <w:vAlign w:val="center"/>
          </w:tcPr>
          <w:p w14:paraId="2D5721B7">
            <w:pPr>
              <w:widowControl w:val="0"/>
              <w:spacing w:before="100" w:beforeAutospacing="1" w:line="360" w:lineRule="exact"/>
              <w:jc w:val="center"/>
              <w:rPr>
                <w:color w:val="auto"/>
                <w:kern w:val="2"/>
                <w:sz w:val="21"/>
                <w:szCs w:val="21"/>
              </w:rPr>
            </w:pPr>
          </w:p>
        </w:tc>
        <w:tc>
          <w:tcPr>
            <w:tcW w:w="1044" w:type="pct"/>
            <w:vAlign w:val="center"/>
          </w:tcPr>
          <w:p w14:paraId="02B5331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厂区内消防水池西侧</w:t>
            </w:r>
          </w:p>
        </w:tc>
        <w:tc>
          <w:tcPr>
            <w:tcW w:w="867" w:type="pct"/>
            <w:vAlign w:val="center"/>
          </w:tcPr>
          <w:p w14:paraId="7C761E75">
            <w:pPr>
              <w:widowControl w:val="0"/>
              <w:spacing w:before="100" w:beforeAutospacing="1" w:line="360" w:lineRule="exact"/>
              <w:jc w:val="center"/>
              <w:rPr>
                <w:color w:val="auto"/>
                <w:kern w:val="2"/>
                <w:sz w:val="21"/>
                <w:szCs w:val="21"/>
              </w:rPr>
            </w:pPr>
            <w:r>
              <w:rPr>
                <w:rFonts w:ascii="宋体" w:hAnsi="宋体"/>
                <w:color w:val="auto"/>
                <w:kern w:val="2"/>
                <w:sz w:val="21"/>
                <w:szCs w:val="21"/>
              </w:rPr>
              <w:t>柱状样</w:t>
            </w:r>
          </w:p>
        </w:tc>
        <w:tc>
          <w:tcPr>
            <w:tcW w:w="1335" w:type="pct"/>
            <w:vMerge w:val="continue"/>
            <w:vAlign w:val="center"/>
          </w:tcPr>
          <w:p w14:paraId="5A7B64EE">
            <w:pPr>
              <w:widowControl w:val="0"/>
              <w:jc w:val="center"/>
              <w:rPr>
                <w:color w:val="auto"/>
                <w:kern w:val="2"/>
                <w:sz w:val="21"/>
                <w:szCs w:val="21"/>
              </w:rPr>
            </w:pPr>
          </w:p>
        </w:tc>
      </w:tr>
      <w:tr w14:paraId="0BF5967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3" w:type="pct"/>
            <w:vAlign w:val="center"/>
          </w:tcPr>
          <w:p w14:paraId="7014077C">
            <w:pPr>
              <w:widowControl w:val="0"/>
              <w:spacing w:before="100" w:beforeAutospacing="1" w:line="360" w:lineRule="exact"/>
              <w:jc w:val="center"/>
              <w:rPr>
                <w:color w:val="auto"/>
                <w:kern w:val="2"/>
                <w:sz w:val="21"/>
                <w:szCs w:val="21"/>
              </w:rPr>
            </w:pPr>
            <w:r>
              <w:rPr>
                <w:rFonts w:hint="eastAsia"/>
                <w:color w:val="auto"/>
                <w:kern w:val="2"/>
                <w:sz w:val="21"/>
                <w:szCs w:val="21"/>
              </w:rPr>
              <w:t>T5#</w:t>
            </w:r>
          </w:p>
        </w:tc>
        <w:tc>
          <w:tcPr>
            <w:tcW w:w="1250" w:type="pct"/>
            <w:vAlign w:val="center"/>
          </w:tcPr>
          <w:p w14:paraId="4B701C0E">
            <w:pPr>
              <w:widowControl w:val="0"/>
              <w:spacing w:before="100" w:beforeAutospacing="1" w:line="360" w:lineRule="exact"/>
              <w:jc w:val="center"/>
              <w:rPr>
                <w:color w:val="auto"/>
                <w:kern w:val="2"/>
                <w:sz w:val="21"/>
                <w:szCs w:val="21"/>
              </w:rPr>
            </w:pPr>
          </w:p>
        </w:tc>
        <w:tc>
          <w:tcPr>
            <w:tcW w:w="1044" w:type="pct"/>
            <w:vAlign w:val="center"/>
          </w:tcPr>
          <w:p w14:paraId="26F1103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项目区外东南侧</w:t>
            </w:r>
            <w:r>
              <w:rPr>
                <w:rFonts w:hint="eastAsia"/>
                <w:color w:val="auto"/>
                <w:kern w:val="2"/>
                <w:sz w:val="21"/>
                <w:szCs w:val="21"/>
              </w:rPr>
              <w:t>150</w:t>
            </w:r>
            <w:r>
              <w:rPr>
                <w:rFonts w:hint="eastAsia" w:ascii="宋体" w:hAnsi="宋体"/>
                <w:color w:val="auto"/>
                <w:kern w:val="2"/>
                <w:sz w:val="21"/>
                <w:szCs w:val="21"/>
              </w:rPr>
              <w:t>米</w:t>
            </w:r>
          </w:p>
        </w:tc>
        <w:tc>
          <w:tcPr>
            <w:tcW w:w="867" w:type="pct"/>
            <w:vAlign w:val="center"/>
          </w:tcPr>
          <w:p w14:paraId="0908D51F">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表层样</w:t>
            </w:r>
          </w:p>
        </w:tc>
        <w:tc>
          <w:tcPr>
            <w:tcW w:w="1335" w:type="pct"/>
            <w:vMerge w:val="continue"/>
            <w:vAlign w:val="center"/>
          </w:tcPr>
          <w:p w14:paraId="32E4BB63">
            <w:pPr>
              <w:widowControl w:val="0"/>
              <w:jc w:val="center"/>
              <w:rPr>
                <w:color w:val="auto"/>
                <w:kern w:val="2"/>
                <w:sz w:val="21"/>
                <w:szCs w:val="21"/>
              </w:rPr>
            </w:pPr>
          </w:p>
        </w:tc>
      </w:tr>
      <w:tr w14:paraId="32DD99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3" w:type="pct"/>
            <w:vAlign w:val="center"/>
          </w:tcPr>
          <w:p w14:paraId="679B04DC">
            <w:pPr>
              <w:widowControl w:val="0"/>
              <w:spacing w:before="100" w:beforeAutospacing="1" w:line="360" w:lineRule="exact"/>
              <w:jc w:val="center"/>
              <w:rPr>
                <w:color w:val="auto"/>
                <w:kern w:val="2"/>
                <w:sz w:val="21"/>
                <w:szCs w:val="21"/>
              </w:rPr>
            </w:pPr>
            <w:r>
              <w:rPr>
                <w:rFonts w:hint="eastAsia"/>
                <w:color w:val="auto"/>
                <w:kern w:val="2"/>
                <w:sz w:val="21"/>
                <w:szCs w:val="21"/>
              </w:rPr>
              <w:t>T6#</w:t>
            </w:r>
          </w:p>
        </w:tc>
        <w:tc>
          <w:tcPr>
            <w:tcW w:w="1250" w:type="pct"/>
            <w:vAlign w:val="center"/>
          </w:tcPr>
          <w:p w14:paraId="411668C1">
            <w:pPr>
              <w:widowControl w:val="0"/>
              <w:spacing w:before="100" w:beforeAutospacing="1" w:line="360" w:lineRule="exact"/>
              <w:jc w:val="center"/>
              <w:rPr>
                <w:color w:val="auto"/>
                <w:kern w:val="2"/>
                <w:sz w:val="21"/>
                <w:szCs w:val="21"/>
              </w:rPr>
            </w:pPr>
          </w:p>
        </w:tc>
        <w:tc>
          <w:tcPr>
            <w:tcW w:w="1044" w:type="pct"/>
            <w:vAlign w:val="center"/>
          </w:tcPr>
          <w:p w14:paraId="13BD7F1F">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项目区外西北侧</w:t>
            </w:r>
            <w:r>
              <w:rPr>
                <w:rFonts w:hint="eastAsia"/>
                <w:color w:val="auto"/>
                <w:kern w:val="2"/>
                <w:sz w:val="21"/>
                <w:szCs w:val="21"/>
              </w:rPr>
              <w:t>150</w:t>
            </w:r>
            <w:r>
              <w:rPr>
                <w:rFonts w:hint="eastAsia" w:ascii="宋体" w:hAnsi="宋体"/>
                <w:color w:val="auto"/>
                <w:kern w:val="2"/>
                <w:sz w:val="21"/>
                <w:szCs w:val="21"/>
              </w:rPr>
              <w:t>米</w:t>
            </w:r>
          </w:p>
        </w:tc>
        <w:tc>
          <w:tcPr>
            <w:tcW w:w="867" w:type="pct"/>
            <w:vAlign w:val="center"/>
          </w:tcPr>
          <w:p w14:paraId="67C274EB">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表层样</w:t>
            </w:r>
          </w:p>
        </w:tc>
        <w:tc>
          <w:tcPr>
            <w:tcW w:w="1335" w:type="pct"/>
            <w:vMerge w:val="continue"/>
            <w:vAlign w:val="center"/>
          </w:tcPr>
          <w:p w14:paraId="2A0C3F1A">
            <w:pPr>
              <w:widowControl w:val="0"/>
              <w:jc w:val="center"/>
              <w:rPr>
                <w:color w:val="auto"/>
                <w:kern w:val="2"/>
                <w:sz w:val="21"/>
                <w:szCs w:val="21"/>
              </w:rPr>
            </w:pPr>
          </w:p>
        </w:tc>
      </w:tr>
      <w:tr w14:paraId="06715EC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703" w:hRule="atLeast"/>
        </w:trPr>
        <w:tc>
          <w:tcPr>
            <w:tcW w:w="503" w:type="pct"/>
            <w:vAlign w:val="center"/>
          </w:tcPr>
          <w:p w14:paraId="7A4BCBD6">
            <w:pPr>
              <w:widowControl w:val="0"/>
              <w:spacing w:before="100" w:beforeAutospacing="1" w:line="360" w:lineRule="exact"/>
              <w:jc w:val="center"/>
              <w:rPr>
                <w:color w:val="auto"/>
                <w:kern w:val="2"/>
                <w:sz w:val="21"/>
                <w:szCs w:val="21"/>
              </w:rPr>
            </w:pPr>
            <w:r>
              <w:rPr>
                <w:rFonts w:hint="eastAsia"/>
                <w:color w:val="auto"/>
                <w:kern w:val="2"/>
                <w:sz w:val="21"/>
                <w:szCs w:val="21"/>
              </w:rPr>
              <w:t>T7#</w:t>
            </w:r>
          </w:p>
        </w:tc>
        <w:tc>
          <w:tcPr>
            <w:tcW w:w="1250" w:type="pct"/>
            <w:vAlign w:val="center"/>
          </w:tcPr>
          <w:p w14:paraId="48D7D06B">
            <w:pPr>
              <w:widowControl w:val="0"/>
              <w:spacing w:before="100" w:beforeAutospacing="1" w:line="360" w:lineRule="exact"/>
              <w:jc w:val="center"/>
              <w:rPr>
                <w:color w:val="auto"/>
                <w:kern w:val="2"/>
                <w:sz w:val="21"/>
                <w:szCs w:val="21"/>
              </w:rPr>
            </w:pPr>
          </w:p>
        </w:tc>
        <w:tc>
          <w:tcPr>
            <w:tcW w:w="1044" w:type="pct"/>
            <w:vAlign w:val="center"/>
          </w:tcPr>
          <w:p w14:paraId="1A63867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项目区外涵洞东南侧</w:t>
            </w:r>
            <w:r>
              <w:rPr>
                <w:rFonts w:hint="eastAsia"/>
                <w:color w:val="auto"/>
                <w:kern w:val="2"/>
                <w:sz w:val="21"/>
                <w:szCs w:val="21"/>
              </w:rPr>
              <w:t>150</w:t>
            </w:r>
            <w:r>
              <w:rPr>
                <w:rFonts w:hint="eastAsia" w:ascii="宋体" w:hAnsi="宋体"/>
                <w:color w:val="auto"/>
                <w:kern w:val="2"/>
                <w:sz w:val="21"/>
                <w:szCs w:val="21"/>
              </w:rPr>
              <w:t>米</w:t>
            </w:r>
          </w:p>
        </w:tc>
        <w:tc>
          <w:tcPr>
            <w:tcW w:w="867" w:type="pct"/>
            <w:vAlign w:val="center"/>
          </w:tcPr>
          <w:p w14:paraId="772B5FA5">
            <w:pPr>
              <w:widowControl w:val="0"/>
              <w:spacing w:before="100" w:beforeAutospacing="1" w:line="360" w:lineRule="exact"/>
              <w:jc w:val="center"/>
              <w:rPr>
                <w:color w:val="auto"/>
                <w:kern w:val="2"/>
                <w:sz w:val="21"/>
                <w:szCs w:val="21"/>
              </w:rPr>
            </w:pPr>
            <w:r>
              <w:rPr>
                <w:rFonts w:ascii="宋体" w:hAnsi="宋体"/>
                <w:color w:val="auto"/>
                <w:kern w:val="2"/>
                <w:sz w:val="21"/>
                <w:szCs w:val="21"/>
              </w:rPr>
              <w:t>柱状样</w:t>
            </w:r>
          </w:p>
        </w:tc>
        <w:tc>
          <w:tcPr>
            <w:tcW w:w="1335" w:type="pct"/>
            <w:vMerge w:val="restart"/>
            <w:vAlign w:val="center"/>
          </w:tcPr>
          <w:p w14:paraId="56012EE8">
            <w:pPr>
              <w:widowControl w:val="0"/>
              <w:jc w:val="center"/>
              <w:rPr>
                <w:color w:val="auto"/>
                <w:kern w:val="2"/>
                <w:sz w:val="21"/>
                <w:szCs w:val="21"/>
              </w:rPr>
            </w:pPr>
            <w:r>
              <w:rPr>
                <w:rFonts w:hint="eastAsia"/>
                <w:color w:val="auto"/>
                <w:sz w:val="21"/>
                <w:szCs w:val="21"/>
              </w:rPr>
              <w:t>pH、砷、铜、铬（六价）、镉、汞、铅</w:t>
            </w:r>
          </w:p>
        </w:tc>
      </w:tr>
      <w:tr w14:paraId="0EDB053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3" w:type="pct"/>
            <w:vAlign w:val="center"/>
          </w:tcPr>
          <w:p w14:paraId="464D2892">
            <w:pPr>
              <w:widowControl w:val="0"/>
              <w:spacing w:before="100" w:beforeAutospacing="1" w:line="360" w:lineRule="exact"/>
              <w:jc w:val="center"/>
              <w:rPr>
                <w:color w:val="auto"/>
                <w:kern w:val="2"/>
                <w:sz w:val="21"/>
                <w:szCs w:val="21"/>
              </w:rPr>
            </w:pPr>
            <w:r>
              <w:rPr>
                <w:rFonts w:hint="eastAsia"/>
                <w:color w:val="auto"/>
                <w:kern w:val="2"/>
                <w:sz w:val="21"/>
                <w:szCs w:val="21"/>
              </w:rPr>
              <w:t>T8#</w:t>
            </w:r>
          </w:p>
        </w:tc>
        <w:tc>
          <w:tcPr>
            <w:tcW w:w="1250" w:type="pct"/>
            <w:vAlign w:val="center"/>
          </w:tcPr>
          <w:p w14:paraId="191A38B1">
            <w:pPr>
              <w:widowControl w:val="0"/>
              <w:spacing w:before="100" w:beforeAutospacing="1" w:line="360" w:lineRule="exact"/>
              <w:jc w:val="center"/>
              <w:rPr>
                <w:color w:val="auto"/>
                <w:kern w:val="2"/>
                <w:sz w:val="21"/>
                <w:szCs w:val="21"/>
              </w:rPr>
            </w:pPr>
          </w:p>
        </w:tc>
        <w:tc>
          <w:tcPr>
            <w:tcW w:w="1044" w:type="pct"/>
            <w:vAlign w:val="center"/>
          </w:tcPr>
          <w:p w14:paraId="1DFD9500">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项目区外涵洞东北侧</w:t>
            </w:r>
            <w:r>
              <w:rPr>
                <w:rFonts w:hint="eastAsia"/>
                <w:color w:val="auto"/>
                <w:kern w:val="2"/>
                <w:sz w:val="21"/>
                <w:szCs w:val="21"/>
              </w:rPr>
              <w:t>200</w:t>
            </w:r>
            <w:r>
              <w:rPr>
                <w:rFonts w:hint="eastAsia" w:ascii="宋体" w:hAnsi="宋体"/>
                <w:color w:val="auto"/>
                <w:kern w:val="2"/>
                <w:sz w:val="21"/>
                <w:szCs w:val="21"/>
              </w:rPr>
              <w:t>米</w:t>
            </w:r>
          </w:p>
        </w:tc>
        <w:tc>
          <w:tcPr>
            <w:tcW w:w="867" w:type="pct"/>
            <w:vAlign w:val="center"/>
          </w:tcPr>
          <w:p w14:paraId="2449EB68">
            <w:pPr>
              <w:widowControl w:val="0"/>
              <w:spacing w:before="100" w:beforeAutospacing="1" w:line="360" w:lineRule="exact"/>
              <w:jc w:val="center"/>
              <w:rPr>
                <w:color w:val="auto"/>
                <w:kern w:val="2"/>
                <w:sz w:val="21"/>
                <w:szCs w:val="21"/>
              </w:rPr>
            </w:pPr>
            <w:r>
              <w:rPr>
                <w:rFonts w:ascii="宋体" w:hAnsi="宋体"/>
                <w:color w:val="auto"/>
                <w:kern w:val="2"/>
                <w:sz w:val="21"/>
                <w:szCs w:val="21"/>
              </w:rPr>
              <w:t>柱状样</w:t>
            </w:r>
          </w:p>
        </w:tc>
        <w:tc>
          <w:tcPr>
            <w:tcW w:w="1335" w:type="pct"/>
            <w:vMerge w:val="continue"/>
            <w:vAlign w:val="center"/>
          </w:tcPr>
          <w:p w14:paraId="42D8B66B">
            <w:pPr>
              <w:widowControl w:val="0"/>
              <w:jc w:val="center"/>
              <w:rPr>
                <w:color w:val="auto"/>
                <w:kern w:val="2"/>
                <w:sz w:val="21"/>
                <w:szCs w:val="21"/>
              </w:rPr>
            </w:pPr>
          </w:p>
        </w:tc>
      </w:tr>
    </w:tbl>
    <w:p w14:paraId="03639009">
      <w:pPr>
        <w:pStyle w:val="132"/>
        <w:rPr>
          <w:color w:val="auto"/>
        </w:rPr>
      </w:pPr>
      <w:r>
        <w:rPr>
          <w:rFonts w:hint="eastAsia"/>
          <w:color w:val="auto"/>
        </w:rPr>
        <w:t>土壤理化特性调查（请在采样现场记录并留有照片）和土壤构型采样均采取T2#。</w:t>
      </w:r>
    </w:p>
    <w:p w14:paraId="3FD1AD77">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4.9</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w:t>
      </w:r>
      <w:r>
        <w:rPr>
          <w:color w:val="auto"/>
        </w:rPr>
        <w:t xml:space="preserve">  </w:t>
      </w:r>
      <w:r>
        <w:rPr>
          <w:rFonts w:hint="eastAsia"/>
          <w:color w:val="auto"/>
        </w:rPr>
        <w:t>土壤理化特性调查表</w:t>
      </w:r>
    </w:p>
    <w:tbl>
      <w:tblPr>
        <w:tblStyle w:val="1937"/>
        <w:tblpPr w:leftFromText="180" w:rightFromText="180" w:vertAnchor="text" w:horzAnchor="page" w:tblpX="1678" w:tblpY="142"/>
        <w:tblW w:w="4958"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596"/>
        <w:gridCol w:w="2615"/>
        <w:gridCol w:w="1972"/>
        <w:gridCol w:w="1795"/>
        <w:gridCol w:w="1734"/>
      </w:tblGrid>
      <w:tr w14:paraId="4F38A6E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843" w:type="pct"/>
            <w:gridSpan w:val="2"/>
            <w:vAlign w:val="center"/>
          </w:tcPr>
          <w:p w14:paraId="69F87689">
            <w:pPr>
              <w:pStyle w:val="129"/>
              <w:widowControl w:val="0"/>
              <w:rPr>
                <w:color w:val="auto"/>
              </w:rPr>
            </w:pPr>
            <w:r>
              <w:rPr>
                <w:color w:val="auto"/>
              </w:rPr>
              <w:t>采样日期</w:t>
            </w:r>
          </w:p>
        </w:tc>
        <w:tc>
          <w:tcPr>
            <w:tcW w:w="1132" w:type="pct"/>
            <w:vAlign w:val="center"/>
          </w:tcPr>
          <w:p w14:paraId="7BE84A78">
            <w:pPr>
              <w:pStyle w:val="129"/>
              <w:widowControl w:val="0"/>
              <w:rPr>
                <w:color w:val="auto"/>
              </w:rPr>
            </w:pPr>
            <w:r>
              <w:rPr>
                <w:color w:val="auto"/>
              </w:rPr>
              <w:t>20</w:t>
            </w:r>
            <w:r>
              <w:rPr>
                <w:rFonts w:hint="eastAsia"/>
                <w:color w:val="auto"/>
              </w:rPr>
              <w:t>26.2.4</w:t>
            </w:r>
          </w:p>
        </w:tc>
        <w:tc>
          <w:tcPr>
            <w:tcW w:w="1030" w:type="pct"/>
            <w:vAlign w:val="center"/>
          </w:tcPr>
          <w:p w14:paraId="197DE298">
            <w:pPr>
              <w:pStyle w:val="129"/>
              <w:widowControl w:val="0"/>
              <w:rPr>
                <w:color w:val="auto"/>
              </w:rPr>
            </w:pPr>
            <w:r>
              <w:rPr>
                <w:color w:val="auto"/>
              </w:rPr>
              <w:t>分析日期</w:t>
            </w:r>
          </w:p>
        </w:tc>
        <w:tc>
          <w:tcPr>
            <w:tcW w:w="995" w:type="pct"/>
            <w:vAlign w:val="center"/>
          </w:tcPr>
          <w:p w14:paraId="0D6AA495">
            <w:pPr>
              <w:pStyle w:val="129"/>
              <w:widowControl w:val="0"/>
              <w:rPr>
                <w:color w:val="auto"/>
              </w:rPr>
            </w:pPr>
            <w:r>
              <w:rPr>
                <w:rFonts w:hint="eastAsia"/>
                <w:color w:val="auto"/>
              </w:rPr>
              <w:t>2026.2.</w:t>
            </w:r>
          </w:p>
        </w:tc>
      </w:tr>
      <w:tr w14:paraId="19B82E3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843" w:type="pct"/>
            <w:gridSpan w:val="2"/>
            <w:vAlign w:val="center"/>
          </w:tcPr>
          <w:p w14:paraId="4B686774">
            <w:pPr>
              <w:pStyle w:val="129"/>
              <w:widowControl w:val="0"/>
              <w:rPr>
                <w:color w:val="auto"/>
              </w:rPr>
            </w:pPr>
            <w:r>
              <w:rPr>
                <w:color w:val="auto"/>
              </w:rPr>
              <w:t>采样编号</w:t>
            </w:r>
          </w:p>
        </w:tc>
        <w:tc>
          <w:tcPr>
            <w:tcW w:w="1132" w:type="pct"/>
            <w:vAlign w:val="center"/>
          </w:tcPr>
          <w:p w14:paraId="7F559E0F">
            <w:pPr>
              <w:pStyle w:val="129"/>
              <w:widowControl w:val="0"/>
              <w:rPr>
                <w:color w:val="auto"/>
                <w:spacing w:val="20"/>
              </w:rPr>
            </w:pPr>
            <w:r>
              <w:rPr>
                <w:rFonts w:hint="eastAsia"/>
                <w:color w:val="auto"/>
                <w:spacing w:val="20"/>
              </w:rPr>
              <w:t>T2-1-1</w:t>
            </w:r>
          </w:p>
        </w:tc>
        <w:tc>
          <w:tcPr>
            <w:tcW w:w="1030" w:type="pct"/>
            <w:vAlign w:val="center"/>
          </w:tcPr>
          <w:p w14:paraId="129DAC40">
            <w:pPr>
              <w:pStyle w:val="129"/>
              <w:widowControl w:val="0"/>
              <w:rPr>
                <w:color w:val="auto"/>
                <w:spacing w:val="20"/>
              </w:rPr>
            </w:pPr>
            <w:r>
              <w:rPr>
                <w:rFonts w:hint="eastAsia"/>
                <w:color w:val="auto"/>
                <w:spacing w:val="20"/>
              </w:rPr>
              <w:t>T2-1-2</w:t>
            </w:r>
          </w:p>
        </w:tc>
        <w:tc>
          <w:tcPr>
            <w:tcW w:w="995" w:type="pct"/>
            <w:vAlign w:val="center"/>
          </w:tcPr>
          <w:p w14:paraId="45E5BE09">
            <w:pPr>
              <w:pStyle w:val="129"/>
              <w:widowControl w:val="0"/>
              <w:rPr>
                <w:color w:val="auto"/>
                <w:spacing w:val="20"/>
              </w:rPr>
            </w:pPr>
            <w:r>
              <w:rPr>
                <w:rFonts w:hint="eastAsia"/>
                <w:color w:val="auto"/>
                <w:spacing w:val="20"/>
              </w:rPr>
              <w:t>T2-1-3</w:t>
            </w:r>
          </w:p>
        </w:tc>
      </w:tr>
      <w:tr w14:paraId="61F57E7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843" w:type="pct"/>
            <w:gridSpan w:val="2"/>
            <w:vAlign w:val="center"/>
          </w:tcPr>
          <w:p w14:paraId="49D2EB98">
            <w:pPr>
              <w:pStyle w:val="129"/>
              <w:widowControl w:val="0"/>
              <w:rPr>
                <w:color w:val="auto"/>
              </w:rPr>
            </w:pPr>
            <w:r>
              <w:rPr>
                <w:color w:val="auto"/>
              </w:rPr>
              <w:t>采样点位</w:t>
            </w:r>
          </w:p>
        </w:tc>
        <w:tc>
          <w:tcPr>
            <w:tcW w:w="1132" w:type="pct"/>
            <w:vAlign w:val="center"/>
          </w:tcPr>
          <w:p w14:paraId="3BA515B6">
            <w:pPr>
              <w:pStyle w:val="129"/>
              <w:widowControl w:val="0"/>
              <w:rPr>
                <w:bCs/>
                <w:color w:val="auto"/>
                <w:lang w:bidi="ar"/>
              </w:rPr>
            </w:pPr>
            <w:r>
              <w:rPr>
                <w:rFonts w:hint="eastAsia"/>
                <w:color w:val="auto"/>
              </w:rPr>
              <w:t>厂区硝胺库西侧</w:t>
            </w:r>
          </w:p>
        </w:tc>
        <w:tc>
          <w:tcPr>
            <w:tcW w:w="1030" w:type="pct"/>
            <w:vAlign w:val="center"/>
          </w:tcPr>
          <w:p w14:paraId="473ECBBF">
            <w:pPr>
              <w:pStyle w:val="129"/>
              <w:widowControl w:val="0"/>
              <w:rPr>
                <w:bCs/>
                <w:color w:val="auto"/>
                <w:lang w:bidi="ar"/>
              </w:rPr>
            </w:pPr>
            <w:r>
              <w:rPr>
                <w:rFonts w:hint="eastAsia"/>
                <w:color w:val="auto"/>
              </w:rPr>
              <w:t>厂区硝胺库西侧</w:t>
            </w:r>
          </w:p>
        </w:tc>
        <w:tc>
          <w:tcPr>
            <w:tcW w:w="995" w:type="pct"/>
            <w:vAlign w:val="center"/>
          </w:tcPr>
          <w:p w14:paraId="4F1B360D">
            <w:pPr>
              <w:pStyle w:val="129"/>
              <w:widowControl w:val="0"/>
              <w:rPr>
                <w:bCs/>
                <w:color w:val="auto"/>
                <w:lang w:bidi="ar"/>
              </w:rPr>
            </w:pPr>
            <w:r>
              <w:rPr>
                <w:rFonts w:hint="eastAsia"/>
                <w:color w:val="auto"/>
              </w:rPr>
              <w:t>厂区硝胺库西侧</w:t>
            </w:r>
          </w:p>
        </w:tc>
      </w:tr>
      <w:tr w14:paraId="7FF2E18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843" w:type="pct"/>
            <w:gridSpan w:val="2"/>
            <w:vAlign w:val="center"/>
          </w:tcPr>
          <w:p w14:paraId="22028596">
            <w:pPr>
              <w:pStyle w:val="129"/>
              <w:widowControl w:val="0"/>
              <w:rPr>
                <w:color w:val="auto"/>
              </w:rPr>
            </w:pPr>
            <w:r>
              <w:rPr>
                <w:color w:val="auto"/>
              </w:rPr>
              <w:t>采样深度/层次</w:t>
            </w:r>
          </w:p>
        </w:tc>
        <w:tc>
          <w:tcPr>
            <w:tcW w:w="1132" w:type="pct"/>
            <w:vAlign w:val="center"/>
          </w:tcPr>
          <w:p w14:paraId="55CB8EDA">
            <w:pPr>
              <w:pStyle w:val="129"/>
              <w:widowControl w:val="0"/>
              <w:rPr>
                <w:color w:val="auto"/>
              </w:rPr>
            </w:pPr>
            <w:r>
              <w:rPr>
                <w:rFonts w:hint="eastAsia"/>
                <w:color w:val="auto"/>
              </w:rPr>
              <w:t>0-50cm</w:t>
            </w:r>
          </w:p>
        </w:tc>
        <w:tc>
          <w:tcPr>
            <w:tcW w:w="1030" w:type="pct"/>
            <w:vAlign w:val="center"/>
          </w:tcPr>
          <w:p w14:paraId="7D342658">
            <w:pPr>
              <w:pStyle w:val="129"/>
              <w:widowControl w:val="0"/>
              <w:rPr>
                <w:color w:val="auto"/>
              </w:rPr>
            </w:pPr>
            <w:r>
              <w:rPr>
                <w:rFonts w:hint="eastAsia"/>
                <w:color w:val="auto"/>
              </w:rPr>
              <w:t>50—150cm</w:t>
            </w:r>
          </w:p>
        </w:tc>
        <w:tc>
          <w:tcPr>
            <w:tcW w:w="995" w:type="pct"/>
            <w:vAlign w:val="center"/>
          </w:tcPr>
          <w:p w14:paraId="54B0066A">
            <w:pPr>
              <w:pStyle w:val="129"/>
              <w:widowControl w:val="0"/>
              <w:rPr>
                <w:color w:val="auto"/>
              </w:rPr>
            </w:pPr>
            <w:r>
              <w:rPr>
                <w:rFonts w:hint="eastAsia"/>
                <w:color w:val="auto"/>
              </w:rPr>
              <w:t>150—300cm</w:t>
            </w:r>
          </w:p>
        </w:tc>
      </w:tr>
      <w:tr w14:paraId="79A388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restart"/>
            <w:vAlign w:val="center"/>
          </w:tcPr>
          <w:p w14:paraId="23C1F944">
            <w:pPr>
              <w:pStyle w:val="129"/>
              <w:widowControl w:val="0"/>
              <w:rPr>
                <w:color w:val="auto"/>
              </w:rPr>
            </w:pPr>
            <w:r>
              <w:rPr>
                <w:color w:val="auto"/>
              </w:rPr>
              <w:t>现场记录</w:t>
            </w:r>
          </w:p>
        </w:tc>
        <w:tc>
          <w:tcPr>
            <w:tcW w:w="1501" w:type="pct"/>
            <w:vAlign w:val="center"/>
          </w:tcPr>
          <w:p w14:paraId="638472A7">
            <w:pPr>
              <w:pStyle w:val="129"/>
              <w:widowControl w:val="0"/>
              <w:rPr>
                <w:color w:val="auto"/>
              </w:rPr>
            </w:pPr>
            <w:r>
              <w:rPr>
                <w:color w:val="auto"/>
              </w:rPr>
              <w:t>颜色</w:t>
            </w:r>
          </w:p>
        </w:tc>
        <w:tc>
          <w:tcPr>
            <w:tcW w:w="1132" w:type="pct"/>
            <w:vAlign w:val="center"/>
          </w:tcPr>
          <w:p w14:paraId="6B2F5F69">
            <w:pPr>
              <w:pStyle w:val="129"/>
              <w:widowControl w:val="0"/>
              <w:rPr>
                <w:color w:val="auto"/>
              </w:rPr>
            </w:pPr>
            <w:r>
              <w:rPr>
                <w:rFonts w:hint="eastAsia"/>
                <w:color w:val="auto"/>
              </w:rPr>
              <w:t>棕色</w:t>
            </w:r>
          </w:p>
        </w:tc>
        <w:tc>
          <w:tcPr>
            <w:tcW w:w="1030" w:type="pct"/>
            <w:vAlign w:val="center"/>
          </w:tcPr>
          <w:p w14:paraId="136C2AD2">
            <w:pPr>
              <w:pStyle w:val="129"/>
              <w:widowControl w:val="0"/>
              <w:rPr>
                <w:color w:val="auto"/>
              </w:rPr>
            </w:pPr>
            <w:r>
              <w:rPr>
                <w:rFonts w:hint="eastAsia"/>
                <w:color w:val="auto"/>
              </w:rPr>
              <w:t>棕色</w:t>
            </w:r>
          </w:p>
        </w:tc>
        <w:tc>
          <w:tcPr>
            <w:tcW w:w="995" w:type="pct"/>
            <w:vAlign w:val="center"/>
          </w:tcPr>
          <w:p w14:paraId="37B36E84">
            <w:pPr>
              <w:pStyle w:val="129"/>
              <w:widowControl w:val="0"/>
              <w:rPr>
                <w:color w:val="auto"/>
              </w:rPr>
            </w:pPr>
            <w:r>
              <w:rPr>
                <w:rFonts w:hint="eastAsia"/>
                <w:color w:val="auto"/>
              </w:rPr>
              <w:t>棕色</w:t>
            </w:r>
          </w:p>
        </w:tc>
      </w:tr>
      <w:tr w14:paraId="05C543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11BB92AD">
            <w:pPr>
              <w:pStyle w:val="129"/>
              <w:widowControl w:val="0"/>
              <w:rPr>
                <w:color w:val="auto"/>
              </w:rPr>
            </w:pPr>
          </w:p>
        </w:tc>
        <w:tc>
          <w:tcPr>
            <w:tcW w:w="1501" w:type="pct"/>
            <w:vAlign w:val="center"/>
          </w:tcPr>
          <w:p w14:paraId="63F6A287">
            <w:pPr>
              <w:pStyle w:val="129"/>
              <w:widowControl w:val="0"/>
              <w:rPr>
                <w:color w:val="auto"/>
              </w:rPr>
            </w:pPr>
            <w:r>
              <w:rPr>
                <w:color w:val="auto"/>
              </w:rPr>
              <w:t>土壤结构</w:t>
            </w:r>
          </w:p>
        </w:tc>
        <w:tc>
          <w:tcPr>
            <w:tcW w:w="1132" w:type="pct"/>
            <w:vAlign w:val="center"/>
          </w:tcPr>
          <w:p w14:paraId="07C61147">
            <w:pPr>
              <w:pStyle w:val="129"/>
              <w:widowControl w:val="0"/>
              <w:rPr>
                <w:color w:val="auto"/>
              </w:rPr>
            </w:pPr>
            <w:r>
              <w:rPr>
                <w:rFonts w:hint="eastAsia"/>
                <w:color w:val="auto"/>
              </w:rPr>
              <w:t>团粒结构</w:t>
            </w:r>
          </w:p>
        </w:tc>
        <w:tc>
          <w:tcPr>
            <w:tcW w:w="1030" w:type="pct"/>
            <w:vAlign w:val="center"/>
          </w:tcPr>
          <w:p w14:paraId="54918A69">
            <w:pPr>
              <w:pStyle w:val="129"/>
              <w:widowControl w:val="0"/>
              <w:rPr>
                <w:color w:val="auto"/>
              </w:rPr>
            </w:pPr>
            <w:r>
              <w:rPr>
                <w:rFonts w:hint="eastAsia"/>
                <w:color w:val="auto"/>
              </w:rPr>
              <w:t>团粒结构</w:t>
            </w:r>
          </w:p>
        </w:tc>
        <w:tc>
          <w:tcPr>
            <w:tcW w:w="995" w:type="pct"/>
            <w:vAlign w:val="center"/>
          </w:tcPr>
          <w:p w14:paraId="6E77D222">
            <w:pPr>
              <w:pStyle w:val="129"/>
              <w:widowControl w:val="0"/>
              <w:rPr>
                <w:color w:val="auto"/>
              </w:rPr>
            </w:pPr>
            <w:r>
              <w:rPr>
                <w:rFonts w:hint="eastAsia"/>
                <w:color w:val="auto"/>
              </w:rPr>
              <w:t>团粒结构</w:t>
            </w:r>
          </w:p>
        </w:tc>
      </w:tr>
      <w:tr w14:paraId="472D147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7BAB69A5">
            <w:pPr>
              <w:pStyle w:val="129"/>
              <w:widowControl w:val="0"/>
              <w:rPr>
                <w:color w:val="auto"/>
              </w:rPr>
            </w:pPr>
          </w:p>
        </w:tc>
        <w:tc>
          <w:tcPr>
            <w:tcW w:w="1501" w:type="pct"/>
            <w:vAlign w:val="center"/>
          </w:tcPr>
          <w:p w14:paraId="7A00EA28">
            <w:pPr>
              <w:pStyle w:val="129"/>
              <w:widowControl w:val="0"/>
              <w:rPr>
                <w:color w:val="auto"/>
              </w:rPr>
            </w:pPr>
            <w:r>
              <w:rPr>
                <w:color w:val="auto"/>
              </w:rPr>
              <w:t>土壤质地</w:t>
            </w:r>
          </w:p>
        </w:tc>
        <w:tc>
          <w:tcPr>
            <w:tcW w:w="1132" w:type="pct"/>
            <w:vAlign w:val="center"/>
          </w:tcPr>
          <w:p w14:paraId="1023ED41">
            <w:pPr>
              <w:pStyle w:val="129"/>
              <w:widowControl w:val="0"/>
              <w:rPr>
                <w:color w:val="auto"/>
              </w:rPr>
            </w:pPr>
            <w:r>
              <w:rPr>
                <w:rFonts w:hint="eastAsia"/>
                <w:color w:val="auto"/>
              </w:rPr>
              <w:t>壤土</w:t>
            </w:r>
          </w:p>
        </w:tc>
        <w:tc>
          <w:tcPr>
            <w:tcW w:w="1030" w:type="pct"/>
            <w:vAlign w:val="center"/>
          </w:tcPr>
          <w:p w14:paraId="4D519FAB">
            <w:pPr>
              <w:pStyle w:val="129"/>
              <w:widowControl w:val="0"/>
              <w:rPr>
                <w:color w:val="auto"/>
              </w:rPr>
            </w:pPr>
            <w:r>
              <w:rPr>
                <w:rFonts w:hint="eastAsia"/>
                <w:color w:val="auto"/>
              </w:rPr>
              <w:t>壤土</w:t>
            </w:r>
          </w:p>
        </w:tc>
        <w:tc>
          <w:tcPr>
            <w:tcW w:w="995" w:type="pct"/>
            <w:vAlign w:val="center"/>
          </w:tcPr>
          <w:p w14:paraId="4F6740C8">
            <w:pPr>
              <w:pStyle w:val="129"/>
              <w:widowControl w:val="0"/>
              <w:rPr>
                <w:color w:val="auto"/>
              </w:rPr>
            </w:pPr>
            <w:r>
              <w:rPr>
                <w:rFonts w:hint="eastAsia"/>
                <w:color w:val="auto"/>
              </w:rPr>
              <w:t>壤土</w:t>
            </w:r>
          </w:p>
        </w:tc>
      </w:tr>
      <w:tr w14:paraId="6AE73E5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27762073">
            <w:pPr>
              <w:pStyle w:val="129"/>
              <w:widowControl w:val="0"/>
              <w:rPr>
                <w:color w:val="auto"/>
              </w:rPr>
            </w:pPr>
          </w:p>
        </w:tc>
        <w:tc>
          <w:tcPr>
            <w:tcW w:w="1501" w:type="pct"/>
            <w:vAlign w:val="center"/>
          </w:tcPr>
          <w:p w14:paraId="79C796BE">
            <w:pPr>
              <w:pStyle w:val="129"/>
              <w:widowControl w:val="0"/>
              <w:rPr>
                <w:color w:val="auto"/>
              </w:rPr>
            </w:pPr>
            <w:r>
              <w:rPr>
                <w:color w:val="auto"/>
              </w:rPr>
              <w:t>砂砾含量</w:t>
            </w:r>
          </w:p>
        </w:tc>
        <w:tc>
          <w:tcPr>
            <w:tcW w:w="1132" w:type="pct"/>
            <w:vAlign w:val="center"/>
          </w:tcPr>
          <w:p w14:paraId="78EEF559">
            <w:pPr>
              <w:pStyle w:val="129"/>
              <w:widowControl w:val="0"/>
              <w:rPr>
                <w:color w:val="auto"/>
              </w:rPr>
            </w:pPr>
            <w:r>
              <w:rPr>
                <w:rFonts w:hint="eastAsia"/>
                <w:color w:val="auto"/>
              </w:rPr>
              <w:t>0</w:t>
            </w:r>
          </w:p>
        </w:tc>
        <w:tc>
          <w:tcPr>
            <w:tcW w:w="1030" w:type="pct"/>
            <w:vAlign w:val="center"/>
          </w:tcPr>
          <w:p w14:paraId="02476121">
            <w:pPr>
              <w:pStyle w:val="129"/>
              <w:widowControl w:val="0"/>
              <w:rPr>
                <w:color w:val="auto"/>
              </w:rPr>
            </w:pPr>
            <w:r>
              <w:rPr>
                <w:rFonts w:hint="eastAsia"/>
                <w:color w:val="auto"/>
              </w:rPr>
              <w:t>0</w:t>
            </w:r>
          </w:p>
        </w:tc>
        <w:tc>
          <w:tcPr>
            <w:tcW w:w="995" w:type="pct"/>
            <w:vAlign w:val="center"/>
          </w:tcPr>
          <w:p w14:paraId="0765E3F7">
            <w:pPr>
              <w:pStyle w:val="129"/>
              <w:widowControl w:val="0"/>
              <w:rPr>
                <w:color w:val="auto"/>
              </w:rPr>
            </w:pPr>
            <w:r>
              <w:rPr>
                <w:rFonts w:hint="eastAsia"/>
                <w:color w:val="auto"/>
              </w:rPr>
              <w:t>0</w:t>
            </w:r>
          </w:p>
        </w:tc>
      </w:tr>
      <w:tr w14:paraId="2242CE8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444E941D">
            <w:pPr>
              <w:pStyle w:val="129"/>
              <w:widowControl w:val="0"/>
              <w:rPr>
                <w:color w:val="auto"/>
              </w:rPr>
            </w:pPr>
          </w:p>
        </w:tc>
        <w:tc>
          <w:tcPr>
            <w:tcW w:w="1501" w:type="pct"/>
            <w:vAlign w:val="center"/>
          </w:tcPr>
          <w:p w14:paraId="1595006B">
            <w:pPr>
              <w:pStyle w:val="129"/>
              <w:widowControl w:val="0"/>
              <w:rPr>
                <w:color w:val="auto"/>
              </w:rPr>
            </w:pPr>
            <w:r>
              <w:rPr>
                <w:color w:val="auto"/>
              </w:rPr>
              <w:t>其他异物</w:t>
            </w:r>
          </w:p>
        </w:tc>
        <w:tc>
          <w:tcPr>
            <w:tcW w:w="1132" w:type="pct"/>
            <w:vAlign w:val="center"/>
          </w:tcPr>
          <w:p w14:paraId="103DC138">
            <w:pPr>
              <w:pStyle w:val="129"/>
              <w:widowControl w:val="0"/>
              <w:rPr>
                <w:color w:val="auto"/>
              </w:rPr>
            </w:pPr>
            <w:r>
              <w:rPr>
                <w:rFonts w:hint="eastAsia"/>
                <w:color w:val="auto"/>
              </w:rPr>
              <w:t>草根</w:t>
            </w:r>
          </w:p>
        </w:tc>
        <w:tc>
          <w:tcPr>
            <w:tcW w:w="1030" w:type="pct"/>
            <w:vAlign w:val="center"/>
          </w:tcPr>
          <w:p w14:paraId="2C2A4B99">
            <w:pPr>
              <w:pStyle w:val="129"/>
              <w:widowControl w:val="0"/>
              <w:rPr>
                <w:color w:val="auto"/>
              </w:rPr>
            </w:pPr>
            <w:r>
              <w:rPr>
                <w:rFonts w:hint="eastAsia"/>
                <w:color w:val="auto"/>
              </w:rPr>
              <w:t>无</w:t>
            </w:r>
          </w:p>
        </w:tc>
        <w:tc>
          <w:tcPr>
            <w:tcW w:w="995" w:type="pct"/>
            <w:vAlign w:val="center"/>
          </w:tcPr>
          <w:p w14:paraId="6DA306A5">
            <w:pPr>
              <w:pStyle w:val="129"/>
              <w:widowControl w:val="0"/>
              <w:rPr>
                <w:color w:val="auto"/>
              </w:rPr>
            </w:pPr>
            <w:r>
              <w:rPr>
                <w:rFonts w:hint="eastAsia"/>
                <w:color w:val="auto"/>
              </w:rPr>
              <w:t>无</w:t>
            </w:r>
          </w:p>
        </w:tc>
      </w:tr>
      <w:tr w14:paraId="02B45F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restart"/>
            <w:vAlign w:val="center"/>
          </w:tcPr>
          <w:p w14:paraId="77F9916A">
            <w:pPr>
              <w:pStyle w:val="129"/>
              <w:widowControl w:val="0"/>
              <w:rPr>
                <w:color w:val="auto"/>
              </w:rPr>
            </w:pPr>
            <w:r>
              <w:rPr>
                <w:rFonts w:hint="eastAsia"/>
                <w:color w:val="auto"/>
              </w:rPr>
              <w:t>实验室记录</w:t>
            </w:r>
          </w:p>
        </w:tc>
        <w:tc>
          <w:tcPr>
            <w:tcW w:w="1501" w:type="pct"/>
            <w:vAlign w:val="center"/>
          </w:tcPr>
          <w:p w14:paraId="3C4C8C30">
            <w:pPr>
              <w:pStyle w:val="129"/>
              <w:widowControl w:val="0"/>
              <w:rPr>
                <w:color w:val="auto"/>
              </w:rPr>
            </w:pPr>
            <w:r>
              <w:rPr>
                <w:color w:val="auto"/>
              </w:rPr>
              <w:t>阳离子交换量</w:t>
            </w:r>
          </w:p>
          <w:p w14:paraId="5FAAF0DE">
            <w:pPr>
              <w:pStyle w:val="129"/>
              <w:widowControl w:val="0"/>
              <w:rPr>
                <w:color w:val="auto"/>
              </w:rPr>
            </w:pPr>
            <w:r>
              <w:rPr>
                <w:color w:val="auto"/>
              </w:rPr>
              <w:t>cmol</w:t>
            </w:r>
            <w:r>
              <w:rPr>
                <w:color w:val="auto"/>
                <w:vertAlign w:val="superscript"/>
              </w:rPr>
              <w:t>+</w:t>
            </w:r>
            <w:r>
              <w:rPr>
                <w:color w:val="auto"/>
              </w:rPr>
              <w:t>/kg</w:t>
            </w:r>
          </w:p>
        </w:tc>
        <w:tc>
          <w:tcPr>
            <w:tcW w:w="1132" w:type="pct"/>
            <w:vAlign w:val="center"/>
          </w:tcPr>
          <w:p w14:paraId="3BE74FE9">
            <w:pPr>
              <w:pStyle w:val="129"/>
              <w:widowControl w:val="0"/>
              <w:rPr>
                <w:color w:val="auto"/>
              </w:rPr>
            </w:pPr>
            <w:r>
              <w:rPr>
                <w:rFonts w:hint="eastAsia"/>
                <w:color w:val="auto"/>
              </w:rPr>
              <w:t>3.6</w:t>
            </w:r>
          </w:p>
        </w:tc>
        <w:tc>
          <w:tcPr>
            <w:tcW w:w="1030" w:type="pct"/>
            <w:vAlign w:val="center"/>
          </w:tcPr>
          <w:p w14:paraId="33F180A0">
            <w:pPr>
              <w:pStyle w:val="129"/>
              <w:widowControl w:val="0"/>
              <w:rPr>
                <w:color w:val="auto"/>
              </w:rPr>
            </w:pPr>
            <w:r>
              <w:rPr>
                <w:rFonts w:hint="eastAsia"/>
                <w:color w:val="auto"/>
              </w:rPr>
              <w:t>2.8</w:t>
            </w:r>
          </w:p>
        </w:tc>
        <w:tc>
          <w:tcPr>
            <w:tcW w:w="995" w:type="pct"/>
            <w:vAlign w:val="center"/>
          </w:tcPr>
          <w:p w14:paraId="52E051F1">
            <w:pPr>
              <w:pStyle w:val="129"/>
              <w:widowControl w:val="0"/>
              <w:rPr>
                <w:color w:val="auto"/>
              </w:rPr>
            </w:pPr>
            <w:r>
              <w:rPr>
                <w:rFonts w:hint="eastAsia"/>
                <w:color w:val="auto"/>
              </w:rPr>
              <w:t>4.6</w:t>
            </w:r>
          </w:p>
        </w:tc>
      </w:tr>
      <w:tr w14:paraId="74A2FAC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5CCFA9C2">
            <w:pPr>
              <w:pStyle w:val="129"/>
              <w:widowControl w:val="0"/>
              <w:rPr>
                <w:color w:val="auto"/>
                <w:szCs w:val="24"/>
              </w:rPr>
            </w:pPr>
          </w:p>
        </w:tc>
        <w:tc>
          <w:tcPr>
            <w:tcW w:w="1501" w:type="pct"/>
            <w:vAlign w:val="center"/>
          </w:tcPr>
          <w:p w14:paraId="25B061F4">
            <w:pPr>
              <w:pStyle w:val="129"/>
              <w:widowControl w:val="0"/>
              <w:rPr>
                <w:color w:val="auto"/>
              </w:rPr>
            </w:pPr>
            <w:r>
              <w:rPr>
                <w:rFonts w:hint="eastAsia"/>
                <w:color w:val="auto"/>
              </w:rPr>
              <w:t>pH值（无量纲）</w:t>
            </w:r>
          </w:p>
        </w:tc>
        <w:tc>
          <w:tcPr>
            <w:tcW w:w="1132" w:type="pct"/>
            <w:vAlign w:val="center"/>
          </w:tcPr>
          <w:p w14:paraId="7AAA9C63">
            <w:pPr>
              <w:pStyle w:val="129"/>
              <w:widowControl w:val="0"/>
              <w:rPr>
                <w:color w:val="auto"/>
              </w:rPr>
            </w:pPr>
            <w:r>
              <w:rPr>
                <w:rFonts w:hint="eastAsia"/>
                <w:color w:val="auto"/>
              </w:rPr>
              <w:t>8.42</w:t>
            </w:r>
          </w:p>
        </w:tc>
        <w:tc>
          <w:tcPr>
            <w:tcW w:w="1030" w:type="pct"/>
            <w:vAlign w:val="center"/>
          </w:tcPr>
          <w:p w14:paraId="7E3E7E7E">
            <w:pPr>
              <w:pStyle w:val="129"/>
              <w:widowControl w:val="0"/>
              <w:rPr>
                <w:color w:val="auto"/>
              </w:rPr>
            </w:pPr>
            <w:r>
              <w:rPr>
                <w:rFonts w:hint="eastAsia"/>
                <w:color w:val="auto"/>
              </w:rPr>
              <w:t>8.31</w:t>
            </w:r>
          </w:p>
        </w:tc>
        <w:tc>
          <w:tcPr>
            <w:tcW w:w="995" w:type="pct"/>
            <w:vAlign w:val="center"/>
          </w:tcPr>
          <w:p w14:paraId="3E87A3C8">
            <w:pPr>
              <w:pStyle w:val="129"/>
              <w:widowControl w:val="0"/>
              <w:rPr>
                <w:color w:val="auto"/>
              </w:rPr>
            </w:pPr>
            <w:r>
              <w:rPr>
                <w:rFonts w:hint="eastAsia"/>
                <w:color w:val="auto"/>
              </w:rPr>
              <w:t>8.36</w:t>
            </w:r>
          </w:p>
        </w:tc>
      </w:tr>
      <w:tr w14:paraId="7BCFB61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2B7CB828">
            <w:pPr>
              <w:pStyle w:val="129"/>
              <w:widowControl w:val="0"/>
              <w:rPr>
                <w:color w:val="auto"/>
              </w:rPr>
            </w:pPr>
          </w:p>
        </w:tc>
        <w:tc>
          <w:tcPr>
            <w:tcW w:w="1501" w:type="pct"/>
            <w:vAlign w:val="center"/>
          </w:tcPr>
          <w:p w14:paraId="6AB1B22B">
            <w:pPr>
              <w:pStyle w:val="129"/>
              <w:widowControl w:val="0"/>
              <w:rPr>
                <w:color w:val="auto"/>
              </w:rPr>
            </w:pPr>
            <w:r>
              <w:rPr>
                <w:color w:val="auto"/>
              </w:rPr>
              <w:t>氧化还原电位（</w:t>
            </w:r>
            <w:r>
              <w:rPr>
                <w:rFonts w:hint="eastAsia"/>
                <w:color w:val="auto"/>
              </w:rPr>
              <w:t>mv</w:t>
            </w:r>
            <w:r>
              <w:rPr>
                <w:color w:val="auto"/>
              </w:rPr>
              <w:t>）</w:t>
            </w:r>
          </w:p>
        </w:tc>
        <w:tc>
          <w:tcPr>
            <w:tcW w:w="1132" w:type="pct"/>
            <w:vAlign w:val="center"/>
          </w:tcPr>
          <w:p w14:paraId="3E0CFB15">
            <w:pPr>
              <w:pStyle w:val="129"/>
              <w:widowControl w:val="0"/>
              <w:rPr>
                <w:color w:val="auto"/>
              </w:rPr>
            </w:pPr>
            <w:r>
              <w:rPr>
                <w:rFonts w:hint="eastAsia"/>
                <w:color w:val="auto"/>
              </w:rPr>
              <w:t>350</w:t>
            </w:r>
          </w:p>
        </w:tc>
        <w:tc>
          <w:tcPr>
            <w:tcW w:w="1030" w:type="pct"/>
            <w:vAlign w:val="center"/>
          </w:tcPr>
          <w:p w14:paraId="130917D8">
            <w:pPr>
              <w:pStyle w:val="129"/>
              <w:widowControl w:val="0"/>
              <w:rPr>
                <w:color w:val="auto"/>
              </w:rPr>
            </w:pPr>
            <w:r>
              <w:rPr>
                <w:rFonts w:hint="eastAsia"/>
                <w:color w:val="auto"/>
              </w:rPr>
              <w:t>340</w:t>
            </w:r>
          </w:p>
        </w:tc>
        <w:tc>
          <w:tcPr>
            <w:tcW w:w="995" w:type="pct"/>
            <w:vAlign w:val="center"/>
          </w:tcPr>
          <w:p w14:paraId="5EE46A52">
            <w:pPr>
              <w:pStyle w:val="129"/>
              <w:widowControl w:val="0"/>
              <w:rPr>
                <w:color w:val="auto"/>
              </w:rPr>
            </w:pPr>
            <w:r>
              <w:rPr>
                <w:rFonts w:hint="eastAsia"/>
                <w:color w:val="auto"/>
              </w:rPr>
              <w:t>340</w:t>
            </w:r>
          </w:p>
        </w:tc>
      </w:tr>
      <w:tr w14:paraId="2568D5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6A8A46B5">
            <w:pPr>
              <w:pStyle w:val="129"/>
              <w:widowControl w:val="0"/>
              <w:rPr>
                <w:color w:val="auto"/>
              </w:rPr>
            </w:pPr>
          </w:p>
        </w:tc>
        <w:tc>
          <w:tcPr>
            <w:tcW w:w="1501" w:type="pct"/>
            <w:vAlign w:val="center"/>
          </w:tcPr>
          <w:p w14:paraId="55C77561">
            <w:pPr>
              <w:pStyle w:val="129"/>
              <w:widowControl w:val="0"/>
              <w:rPr>
                <w:color w:val="auto"/>
              </w:rPr>
            </w:pPr>
            <w:r>
              <w:rPr>
                <w:color w:val="auto"/>
              </w:rPr>
              <w:t>饱和导水率cm/s</w:t>
            </w:r>
          </w:p>
        </w:tc>
        <w:tc>
          <w:tcPr>
            <w:tcW w:w="1132" w:type="pct"/>
            <w:vAlign w:val="center"/>
          </w:tcPr>
          <w:p w14:paraId="5FEEEC18">
            <w:pPr>
              <w:pStyle w:val="129"/>
              <w:widowControl w:val="0"/>
              <w:rPr>
                <w:color w:val="auto"/>
              </w:rPr>
            </w:pPr>
            <w:r>
              <w:rPr>
                <w:rFonts w:hint="eastAsia"/>
                <w:color w:val="auto"/>
              </w:rPr>
              <w:t>8.85×10</w:t>
            </w:r>
            <w:r>
              <w:rPr>
                <w:rFonts w:hint="eastAsia"/>
                <w:color w:val="auto"/>
                <w:vertAlign w:val="superscript"/>
              </w:rPr>
              <w:t>-4</w:t>
            </w:r>
          </w:p>
        </w:tc>
        <w:tc>
          <w:tcPr>
            <w:tcW w:w="1030" w:type="pct"/>
            <w:vAlign w:val="center"/>
          </w:tcPr>
          <w:p w14:paraId="6BE43719">
            <w:pPr>
              <w:pStyle w:val="129"/>
              <w:widowControl w:val="0"/>
              <w:rPr>
                <w:color w:val="auto"/>
              </w:rPr>
            </w:pPr>
            <w:r>
              <w:rPr>
                <w:rFonts w:hint="eastAsia"/>
                <w:color w:val="auto"/>
              </w:rPr>
              <w:t>6.41×10</w:t>
            </w:r>
            <w:r>
              <w:rPr>
                <w:rFonts w:hint="eastAsia"/>
                <w:color w:val="auto"/>
                <w:vertAlign w:val="superscript"/>
              </w:rPr>
              <w:t>-4</w:t>
            </w:r>
          </w:p>
        </w:tc>
        <w:tc>
          <w:tcPr>
            <w:tcW w:w="995" w:type="pct"/>
            <w:vAlign w:val="center"/>
          </w:tcPr>
          <w:p w14:paraId="2D22A6E1">
            <w:pPr>
              <w:pStyle w:val="129"/>
              <w:widowControl w:val="0"/>
              <w:rPr>
                <w:color w:val="auto"/>
              </w:rPr>
            </w:pPr>
            <w:r>
              <w:rPr>
                <w:rFonts w:hint="eastAsia"/>
                <w:color w:val="auto"/>
              </w:rPr>
              <w:t>1.07×10</w:t>
            </w:r>
            <w:r>
              <w:rPr>
                <w:rFonts w:hint="eastAsia"/>
                <w:color w:val="auto"/>
                <w:vertAlign w:val="superscript"/>
              </w:rPr>
              <w:t>-3</w:t>
            </w:r>
          </w:p>
        </w:tc>
      </w:tr>
      <w:tr w14:paraId="127406B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41DA9382">
            <w:pPr>
              <w:pStyle w:val="129"/>
              <w:widowControl w:val="0"/>
              <w:rPr>
                <w:color w:val="auto"/>
              </w:rPr>
            </w:pPr>
          </w:p>
        </w:tc>
        <w:tc>
          <w:tcPr>
            <w:tcW w:w="1501" w:type="pct"/>
            <w:vAlign w:val="center"/>
          </w:tcPr>
          <w:p w14:paraId="7959C282">
            <w:pPr>
              <w:pStyle w:val="129"/>
              <w:widowControl w:val="0"/>
              <w:rPr>
                <w:color w:val="auto"/>
              </w:rPr>
            </w:pPr>
            <w:r>
              <w:rPr>
                <w:color w:val="auto"/>
              </w:rPr>
              <w:t>土壤容重</w:t>
            </w:r>
          </w:p>
          <w:p w14:paraId="0387DEBB">
            <w:pPr>
              <w:pStyle w:val="129"/>
              <w:widowControl w:val="0"/>
              <w:rPr>
                <w:color w:val="auto"/>
                <w:vertAlign w:val="superscript"/>
              </w:rPr>
            </w:pPr>
            <w:r>
              <w:rPr>
                <w:color w:val="auto"/>
              </w:rPr>
              <w:t>g/cm</w:t>
            </w:r>
            <w:r>
              <w:rPr>
                <w:color w:val="auto"/>
                <w:vertAlign w:val="superscript"/>
              </w:rPr>
              <w:t>3</w:t>
            </w:r>
          </w:p>
        </w:tc>
        <w:tc>
          <w:tcPr>
            <w:tcW w:w="1132" w:type="pct"/>
            <w:vAlign w:val="center"/>
          </w:tcPr>
          <w:p w14:paraId="0E7855D2">
            <w:pPr>
              <w:pStyle w:val="129"/>
              <w:widowControl w:val="0"/>
              <w:rPr>
                <w:color w:val="auto"/>
              </w:rPr>
            </w:pPr>
            <w:r>
              <w:rPr>
                <w:rFonts w:hint="eastAsia"/>
                <w:color w:val="auto"/>
              </w:rPr>
              <w:t>1.83</w:t>
            </w:r>
          </w:p>
        </w:tc>
        <w:tc>
          <w:tcPr>
            <w:tcW w:w="1030" w:type="pct"/>
            <w:vAlign w:val="center"/>
          </w:tcPr>
          <w:p w14:paraId="3981215F">
            <w:pPr>
              <w:pStyle w:val="129"/>
              <w:widowControl w:val="0"/>
              <w:rPr>
                <w:color w:val="auto"/>
              </w:rPr>
            </w:pPr>
            <w:r>
              <w:rPr>
                <w:rFonts w:hint="eastAsia"/>
                <w:color w:val="auto"/>
              </w:rPr>
              <w:t>1.74</w:t>
            </w:r>
          </w:p>
        </w:tc>
        <w:tc>
          <w:tcPr>
            <w:tcW w:w="995" w:type="pct"/>
            <w:vAlign w:val="center"/>
          </w:tcPr>
          <w:p w14:paraId="29EA0950">
            <w:pPr>
              <w:pStyle w:val="129"/>
              <w:widowControl w:val="0"/>
              <w:rPr>
                <w:color w:val="auto"/>
              </w:rPr>
            </w:pPr>
            <w:r>
              <w:rPr>
                <w:rFonts w:hint="eastAsia"/>
                <w:color w:val="auto"/>
              </w:rPr>
              <w:t>1.59</w:t>
            </w:r>
          </w:p>
        </w:tc>
      </w:tr>
      <w:tr w14:paraId="2D8AE75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2" w:type="pct"/>
            <w:vMerge w:val="continue"/>
            <w:vAlign w:val="center"/>
          </w:tcPr>
          <w:p w14:paraId="0831C331">
            <w:pPr>
              <w:pStyle w:val="129"/>
              <w:widowControl w:val="0"/>
              <w:rPr>
                <w:color w:val="auto"/>
              </w:rPr>
            </w:pPr>
          </w:p>
        </w:tc>
        <w:tc>
          <w:tcPr>
            <w:tcW w:w="1501" w:type="pct"/>
            <w:vAlign w:val="center"/>
          </w:tcPr>
          <w:p w14:paraId="7819F12F">
            <w:pPr>
              <w:pStyle w:val="129"/>
              <w:widowControl w:val="0"/>
              <w:rPr>
                <w:color w:val="auto"/>
              </w:rPr>
            </w:pPr>
            <w:r>
              <w:rPr>
                <w:color w:val="auto"/>
              </w:rPr>
              <w:t>孔隙度</w:t>
            </w:r>
          </w:p>
          <w:p w14:paraId="164695BB">
            <w:pPr>
              <w:pStyle w:val="129"/>
              <w:widowControl w:val="0"/>
              <w:rPr>
                <w:color w:val="auto"/>
              </w:rPr>
            </w:pPr>
            <w:r>
              <w:rPr>
                <w:rFonts w:hint="eastAsia"/>
                <w:color w:val="auto"/>
              </w:rPr>
              <w:t>%</w:t>
            </w:r>
          </w:p>
        </w:tc>
        <w:tc>
          <w:tcPr>
            <w:tcW w:w="1132" w:type="pct"/>
            <w:vAlign w:val="center"/>
          </w:tcPr>
          <w:p w14:paraId="2CEAF1F0">
            <w:pPr>
              <w:pStyle w:val="129"/>
              <w:widowControl w:val="0"/>
              <w:rPr>
                <w:color w:val="auto"/>
              </w:rPr>
            </w:pPr>
            <w:r>
              <w:rPr>
                <w:rFonts w:hint="eastAsia"/>
                <w:color w:val="auto"/>
              </w:rPr>
              <w:t>47.0</w:t>
            </w:r>
          </w:p>
        </w:tc>
        <w:tc>
          <w:tcPr>
            <w:tcW w:w="1030" w:type="pct"/>
            <w:vAlign w:val="center"/>
          </w:tcPr>
          <w:p w14:paraId="4C505735">
            <w:pPr>
              <w:pStyle w:val="129"/>
              <w:widowControl w:val="0"/>
              <w:rPr>
                <w:color w:val="auto"/>
              </w:rPr>
            </w:pPr>
            <w:r>
              <w:rPr>
                <w:rFonts w:hint="eastAsia"/>
                <w:color w:val="auto"/>
              </w:rPr>
              <w:t>38.8</w:t>
            </w:r>
          </w:p>
        </w:tc>
        <w:tc>
          <w:tcPr>
            <w:tcW w:w="995" w:type="pct"/>
            <w:vAlign w:val="center"/>
          </w:tcPr>
          <w:p w14:paraId="412E6FFC">
            <w:pPr>
              <w:pStyle w:val="129"/>
              <w:widowControl w:val="0"/>
              <w:rPr>
                <w:color w:val="auto"/>
              </w:rPr>
            </w:pPr>
            <w:r>
              <w:rPr>
                <w:rFonts w:hint="eastAsia"/>
                <w:color w:val="auto"/>
              </w:rPr>
              <w:t>46.8</w:t>
            </w:r>
          </w:p>
        </w:tc>
      </w:tr>
    </w:tbl>
    <w:p w14:paraId="52F87626">
      <w:pPr>
        <w:pStyle w:val="1060"/>
        <w:rPr>
          <w:rFonts w:hint="eastAsia"/>
          <w:color w:val="auto"/>
        </w:rPr>
      </w:pPr>
    </w:p>
    <w:p w14:paraId="630436DE">
      <w:pPr>
        <w:pStyle w:val="4"/>
        <w:rPr>
          <w:color w:val="auto"/>
        </w:rPr>
      </w:pPr>
      <w:r>
        <w:rPr>
          <w:rFonts w:hint="eastAsia"/>
          <w:color w:val="auto"/>
        </w:rPr>
        <w:t>监测及评价结果</w:t>
      </w:r>
    </w:p>
    <w:p w14:paraId="33B9CDCC">
      <w:pPr>
        <w:pStyle w:val="132"/>
        <w:rPr>
          <w:color w:val="auto"/>
        </w:rPr>
      </w:pPr>
      <w:r>
        <w:rPr>
          <w:rFonts w:hint="eastAsia"/>
          <w:color w:val="auto"/>
        </w:rPr>
        <w:t>（1）评价标准</w:t>
      </w:r>
    </w:p>
    <w:p w14:paraId="7A18DB34">
      <w:pPr>
        <w:pStyle w:val="132"/>
        <w:rPr>
          <w:color w:val="auto"/>
        </w:rPr>
      </w:pPr>
      <w:r>
        <w:rPr>
          <w:rFonts w:hint="eastAsia"/>
          <w:color w:val="auto"/>
        </w:rPr>
        <w:t>本项目所在区域执行《土壤环境质量 建设用地土壤污染风险管控标准（试行）》（GB 36600-2018）中第二类用地的筛选值，详见第2章。</w:t>
      </w:r>
    </w:p>
    <w:p w14:paraId="269E60C3">
      <w:pPr>
        <w:pStyle w:val="132"/>
        <w:rPr>
          <w:color w:val="auto"/>
        </w:rPr>
      </w:pPr>
      <w:r>
        <w:rPr>
          <w:rFonts w:hint="eastAsia"/>
          <w:color w:val="auto"/>
        </w:rPr>
        <w:t>（2）评价方法</w:t>
      </w:r>
    </w:p>
    <w:p w14:paraId="24F2F0E2">
      <w:pPr>
        <w:pStyle w:val="132"/>
        <w:rPr>
          <w:color w:val="auto"/>
        </w:rPr>
      </w:pPr>
      <w:r>
        <w:rPr>
          <w:rFonts w:hint="eastAsia"/>
          <w:color w:val="auto"/>
        </w:rPr>
        <w:t>评价方法采用标准指数法，计算式为：</w:t>
      </w:r>
    </w:p>
    <w:p w14:paraId="170FD1FD">
      <w:pPr>
        <w:pStyle w:val="132"/>
        <w:rPr>
          <w:color w:val="auto"/>
        </w:rPr>
      </w:pPr>
      <w:r>
        <w:rPr>
          <w:rFonts w:hint="eastAsia"/>
          <w:color w:val="auto"/>
        </w:rPr>
        <w:t>Pi=Ci/Si</w:t>
      </w:r>
    </w:p>
    <w:p w14:paraId="54F7A01D">
      <w:pPr>
        <w:pStyle w:val="132"/>
        <w:rPr>
          <w:color w:val="auto"/>
        </w:rPr>
      </w:pPr>
      <w:r>
        <w:rPr>
          <w:rFonts w:hint="eastAsia"/>
          <w:color w:val="auto"/>
        </w:rPr>
        <w:t>式中：Pi------－土壤中i污染物的标准指数；</w:t>
      </w:r>
    </w:p>
    <w:p w14:paraId="3AC66422">
      <w:pPr>
        <w:pStyle w:val="132"/>
        <w:rPr>
          <w:color w:val="auto"/>
        </w:rPr>
      </w:pPr>
      <w:r>
        <w:rPr>
          <w:rFonts w:hint="eastAsia"/>
          <w:color w:val="auto"/>
        </w:rPr>
        <w:t xml:space="preserve">      Ci------－土壤中i污染物的实测含量，mg/kg；</w:t>
      </w:r>
    </w:p>
    <w:p w14:paraId="67FC3FE5">
      <w:pPr>
        <w:pStyle w:val="132"/>
        <w:rPr>
          <w:color w:val="auto"/>
        </w:rPr>
      </w:pPr>
      <w:r>
        <w:rPr>
          <w:rFonts w:hint="eastAsia"/>
          <w:color w:val="auto"/>
        </w:rPr>
        <w:t xml:space="preserve">      Si------－土壤中i污染物的评价标准，mg/kg。</w:t>
      </w:r>
    </w:p>
    <w:p w14:paraId="532C2256">
      <w:pPr>
        <w:pStyle w:val="132"/>
        <w:rPr>
          <w:color w:val="auto"/>
        </w:rPr>
      </w:pPr>
      <w:r>
        <w:rPr>
          <w:rFonts w:hint="eastAsia"/>
          <w:color w:val="auto"/>
        </w:rPr>
        <w:t>（3）评价结果</w:t>
      </w:r>
    </w:p>
    <w:p w14:paraId="5F2E1787">
      <w:pPr>
        <w:pStyle w:val="132"/>
        <w:rPr>
          <w:color w:val="auto"/>
        </w:rPr>
      </w:pPr>
      <w:r>
        <w:rPr>
          <w:rFonts w:hint="eastAsia"/>
          <w:color w:val="auto"/>
        </w:rPr>
        <w:t>土壤环境质量现状监测结果和评价结果表分别见表4.9.4—表4.9.6。</w:t>
      </w:r>
    </w:p>
    <w:p w14:paraId="36E467F6">
      <w:pPr>
        <w:pStyle w:val="132"/>
        <w:rPr>
          <w:color w:val="auto"/>
          <w:sz w:val="24"/>
          <w:szCs w:val="24"/>
        </w:rPr>
      </w:pPr>
      <w:r>
        <w:rPr>
          <w:rFonts w:hint="eastAsia"/>
          <w:color w:val="auto"/>
          <w:lang w:bidi="ar"/>
        </w:rPr>
        <w:t>从上表的监测数据及分析结果可以看出，土壤各项指标均符合《土壤环境质量</w:t>
      </w:r>
      <w:r>
        <w:rPr>
          <w:color w:val="auto"/>
          <w:lang w:bidi="ar"/>
        </w:rPr>
        <w:t xml:space="preserve"> </w:t>
      </w:r>
      <w:r>
        <w:rPr>
          <w:rFonts w:hint="eastAsia"/>
          <w:color w:val="auto"/>
          <w:lang w:bidi="ar"/>
        </w:rPr>
        <w:t>建设用地土壤污染风险管控标准（试行）》（</w:t>
      </w:r>
      <w:r>
        <w:rPr>
          <w:color w:val="auto"/>
          <w:lang w:bidi="ar"/>
        </w:rPr>
        <w:t>GB 36600-2018</w:t>
      </w:r>
      <w:r>
        <w:rPr>
          <w:rFonts w:hint="eastAsia"/>
          <w:color w:val="auto"/>
          <w:lang w:bidi="ar"/>
        </w:rPr>
        <w:t>）中第二类用地的筛选值。</w:t>
      </w:r>
    </w:p>
    <w:p w14:paraId="73750A3A">
      <w:pPr>
        <w:pStyle w:val="3"/>
        <w:rPr>
          <w:color w:val="auto"/>
        </w:rPr>
      </w:pPr>
      <w:bookmarkStart w:id="272" w:name="_Toc229930140"/>
      <w:r>
        <w:rPr>
          <w:color w:val="auto"/>
        </w:rPr>
        <w:t>生态环境现状调查及评价</w:t>
      </w:r>
      <w:bookmarkEnd w:id="272"/>
    </w:p>
    <w:p w14:paraId="6C16464F">
      <w:pPr>
        <w:pStyle w:val="4"/>
        <w:rPr>
          <w:color w:val="auto"/>
        </w:rPr>
      </w:pPr>
      <w:r>
        <w:rPr>
          <w:rFonts w:hint="eastAsia"/>
          <w:color w:val="auto"/>
        </w:rPr>
        <w:t>生态系统类型与生态功能区划</w:t>
      </w:r>
    </w:p>
    <w:p w14:paraId="2D942CA0">
      <w:pPr>
        <w:pStyle w:val="132"/>
        <w:rPr>
          <w:color w:val="auto"/>
        </w:rPr>
      </w:pPr>
      <w:r>
        <w:rPr>
          <w:rFonts w:hint="eastAsia"/>
          <w:color w:val="auto"/>
        </w:rPr>
        <w:t>根据《新疆生态功能区划》，项目所在区域属准噶尔盆地温性荒漠与绿洲农业生态区；准噶尔盆地南部荒漠绿洲农业生态亚区、阜康—木垒绿洲农业、荒漠草地保护生态功能区。</w:t>
      </w:r>
    </w:p>
    <w:p w14:paraId="2880CD91">
      <w:pPr>
        <w:pStyle w:val="132"/>
        <w:rPr>
          <w:color w:val="auto"/>
        </w:rPr>
      </w:pPr>
      <w:r>
        <w:rPr>
          <w:rFonts w:hint="eastAsia"/>
          <w:color w:val="auto"/>
        </w:rPr>
        <w:t>区域的主要生态服务功能为：农牧业产品生产、人居环境、荒漠化控制；</w:t>
      </w:r>
    </w:p>
    <w:p w14:paraId="705B0C8A">
      <w:pPr>
        <w:pStyle w:val="132"/>
        <w:rPr>
          <w:color w:val="auto"/>
        </w:rPr>
      </w:pPr>
      <w:r>
        <w:rPr>
          <w:rFonts w:hint="eastAsia"/>
          <w:color w:val="auto"/>
        </w:rPr>
        <w:t>区域主要生态环境问题为：地下水超采、荒漠植被退化、沙漠化威胁、局部土壤盐渍化、河流萎缩、滥开荒地；</w:t>
      </w:r>
    </w:p>
    <w:p w14:paraId="6FFCF44E">
      <w:pPr>
        <w:pStyle w:val="132"/>
        <w:rPr>
          <w:color w:val="auto"/>
        </w:rPr>
      </w:pPr>
      <w:r>
        <w:rPr>
          <w:rFonts w:hint="eastAsia"/>
          <w:color w:val="auto"/>
        </w:rPr>
        <w:t>主要生态敏感因子、敏感程度为：生物多样性及其生境中度敏感，土壤侵蚀轻度敏感，土地沙漠化中度敏感，土壤盐渍化轻度敏感；</w:t>
      </w:r>
    </w:p>
    <w:p w14:paraId="56353D02">
      <w:pPr>
        <w:pStyle w:val="132"/>
        <w:rPr>
          <w:color w:val="auto"/>
        </w:rPr>
      </w:pPr>
      <w:r>
        <w:rPr>
          <w:rFonts w:hint="eastAsia"/>
          <w:color w:val="auto"/>
        </w:rPr>
        <w:t>区域主要保护目标为：保护基本农田、保护荒漠植被、保护土壤环境质量；</w:t>
      </w:r>
    </w:p>
    <w:p w14:paraId="53726C7D">
      <w:pPr>
        <w:pStyle w:val="132"/>
        <w:rPr>
          <w:color w:val="auto"/>
        </w:rPr>
      </w:pPr>
      <w:r>
        <w:rPr>
          <w:rFonts w:hint="eastAsia"/>
          <w:color w:val="auto"/>
        </w:rPr>
        <w:t>主要保护措施为：节水灌溉、草场休牧、对坡耕地和沙化土地实施退耕还林（草），在水源无保障、植被稀少、生态脆弱地带禁止开荒、加强农田投入品的使用管理；</w:t>
      </w:r>
    </w:p>
    <w:p w14:paraId="67B8CD6D">
      <w:pPr>
        <w:pStyle w:val="132"/>
        <w:rPr>
          <w:color w:val="auto"/>
        </w:rPr>
      </w:pPr>
      <w:r>
        <w:rPr>
          <w:rFonts w:hint="eastAsia"/>
          <w:color w:val="auto"/>
        </w:rPr>
        <w:t>适宜发展方向为：农牧结合，发展优质、高效特色农业和畜牧业。</w:t>
      </w:r>
    </w:p>
    <w:p w14:paraId="37ADBC85">
      <w:pPr>
        <w:pStyle w:val="4"/>
        <w:rPr>
          <w:color w:val="auto"/>
        </w:rPr>
      </w:pPr>
      <w:r>
        <w:rPr>
          <w:rFonts w:hint="eastAsia"/>
          <w:color w:val="auto"/>
        </w:rPr>
        <w:t>植被现状调查</w:t>
      </w:r>
    </w:p>
    <w:p w14:paraId="1F25FFB4">
      <w:pPr>
        <w:pStyle w:val="132"/>
        <w:rPr>
          <w:color w:val="auto"/>
        </w:rPr>
      </w:pPr>
      <w:r>
        <w:rPr>
          <w:rFonts w:hint="eastAsia"/>
          <w:color w:val="auto"/>
        </w:rPr>
        <w:t>根据区域植被类型分布情况，项目区及周边区域分布的植被类型主要为半灌木、矮半灌木。</w:t>
      </w:r>
    </w:p>
    <w:p w14:paraId="0FCF5783">
      <w:pPr>
        <w:pStyle w:val="4"/>
        <w:rPr>
          <w:color w:val="auto"/>
        </w:rPr>
      </w:pPr>
      <w:r>
        <w:rPr>
          <w:rFonts w:hint="eastAsia"/>
          <w:color w:val="auto"/>
        </w:rPr>
        <w:t>野生动物</w:t>
      </w:r>
    </w:p>
    <w:p w14:paraId="205CFC22">
      <w:pPr>
        <w:pStyle w:val="132"/>
        <w:rPr>
          <w:color w:val="auto"/>
        </w:rPr>
      </w:pPr>
      <w:r>
        <w:rPr>
          <w:rFonts w:hint="eastAsia"/>
          <w:color w:val="auto"/>
        </w:rPr>
        <w:t>野生动物以啮齿类及有蹄类为优势种，由于环境条件较草原差，兽类代表以跳鼠、沙鼠为常见。鸟类贫乏，常见的有麻雀等。爬行类中沙蜥、麻蜥占优势，两栖类较少。由于受人类活动的影响，野生动物逐渐减少。项目生态评价范围内无国家及自治区级保护野生动物。</w:t>
      </w:r>
    </w:p>
    <w:p w14:paraId="28012F9F">
      <w:pPr>
        <w:widowControl w:val="0"/>
        <w:spacing w:line="360" w:lineRule="auto"/>
        <w:jc w:val="both"/>
        <w:rPr>
          <w:color w:val="auto"/>
          <w:kern w:val="2"/>
          <w:sz w:val="24"/>
          <w:szCs w:val="24"/>
        </w:rPr>
        <w:sectPr>
          <w:type w:val="continuous"/>
          <w:pgSz w:w="11906" w:h="16838"/>
          <w:pgMar w:top="1440" w:right="1588" w:bottom="1389" w:left="1588" w:header="737" w:footer="822" w:gutter="0"/>
          <w:cols w:space="720" w:num="1"/>
          <w:docGrid w:type="lines" w:linePitch="326" w:charSpace="0"/>
        </w:sectPr>
      </w:pPr>
      <w:r>
        <w:rPr>
          <w:color w:val="auto"/>
          <w:kern w:val="2"/>
          <w:sz w:val="24"/>
          <w:szCs w:val="24"/>
        </w:rPr>
        <w:t xml:space="preserve"> </w:t>
      </w:r>
    </w:p>
    <w:p w14:paraId="04D622C7">
      <w:pPr>
        <w:pStyle w:val="2"/>
        <w:rPr>
          <w:color w:val="auto"/>
        </w:rPr>
      </w:pPr>
      <w:bookmarkStart w:id="273" w:name="_Toc229930141"/>
      <w:r>
        <w:rPr>
          <w:rFonts w:hint="eastAsia"/>
          <w:color w:val="auto"/>
        </w:rPr>
        <w:t>环境影响预测与评价</w:t>
      </w:r>
      <w:bookmarkEnd w:id="273"/>
    </w:p>
    <w:p w14:paraId="2600DE6C">
      <w:pPr>
        <w:pStyle w:val="3"/>
        <w:rPr>
          <w:color w:val="auto"/>
        </w:rPr>
      </w:pPr>
      <w:bookmarkStart w:id="274" w:name="_Toc196333710"/>
      <w:bookmarkEnd w:id="274"/>
      <w:bookmarkStart w:id="275" w:name="_Toc229930142"/>
      <w:r>
        <w:rPr>
          <w:rFonts w:hint="eastAsia"/>
          <w:color w:val="auto"/>
        </w:rPr>
        <w:t>施工期环境影响分析</w:t>
      </w:r>
      <w:bookmarkEnd w:id="275"/>
    </w:p>
    <w:p w14:paraId="0A619C92">
      <w:pPr>
        <w:pStyle w:val="132"/>
        <w:rPr>
          <w:color w:val="auto"/>
        </w:rPr>
      </w:pPr>
      <w:r>
        <w:rPr>
          <w:rFonts w:hint="eastAsia"/>
          <w:color w:val="auto"/>
        </w:rPr>
        <w:t>在施工过程中，施工机械设备运转、施工车辆运行以及施工人员的活动等都会对区域环境如水体、环境空气、声环境产生一定的影响，整个建设项目施工期对环境的影响主要表现为开挖填土造成的水土流失，施工建设噪声对周围环境的影响以及扬尘对区域环境空气的影响。但这些影响是暂时的，随着工程建设的完成而终止。</w:t>
      </w:r>
    </w:p>
    <w:p w14:paraId="5DC03D84">
      <w:pPr>
        <w:pStyle w:val="4"/>
        <w:rPr>
          <w:color w:val="auto"/>
        </w:rPr>
      </w:pPr>
      <w:r>
        <w:rPr>
          <w:rFonts w:hint="eastAsia"/>
          <w:color w:val="auto"/>
        </w:rPr>
        <w:t>施工期废水环境影响分析</w:t>
      </w:r>
    </w:p>
    <w:p w14:paraId="3304DECD">
      <w:pPr>
        <w:pStyle w:val="132"/>
        <w:rPr>
          <w:color w:val="auto"/>
        </w:rPr>
      </w:pPr>
      <w:r>
        <w:rPr>
          <w:rFonts w:hint="eastAsia"/>
          <w:color w:val="auto"/>
        </w:rPr>
        <w:t>施工期污水污染源主要包括施工作业废水和施工人员生活污水。</w:t>
      </w:r>
    </w:p>
    <w:p w14:paraId="5CE41CE3">
      <w:pPr>
        <w:pStyle w:val="132"/>
        <w:rPr>
          <w:color w:val="auto"/>
        </w:rPr>
      </w:pPr>
      <w:r>
        <w:rPr>
          <w:rFonts w:hint="eastAsia"/>
          <w:color w:val="auto"/>
        </w:rPr>
        <w:t>（1）厂内施工作业废水影响分析</w:t>
      </w:r>
    </w:p>
    <w:p w14:paraId="36351612">
      <w:pPr>
        <w:pStyle w:val="132"/>
        <w:rPr>
          <w:color w:val="auto"/>
        </w:rPr>
      </w:pPr>
      <w:r>
        <w:rPr>
          <w:rFonts w:hint="eastAsia"/>
          <w:color w:val="auto"/>
        </w:rPr>
        <w:t>一般施工作业废水主要包括砂石冲洗水、砼养护水、场地冲洗水、机械设备洗涤水、汽车或机械设备维修站废水及冲洗废水、汽车清洗废水等，该类生产废水主要含有少量石油类和泥沙悬浮物，基本无其他污染指标。其产生量较小且较为分散，生产污水进行沉淀处理，尽可能地重复利用上清液，减少水资源的消耗。因此可以通过加强施工管理，修建临时处理设施来减轻其不利影响，其环境影响是局部的、短期的、可逆的。</w:t>
      </w:r>
    </w:p>
    <w:p w14:paraId="2D9C6FB4">
      <w:pPr>
        <w:pStyle w:val="132"/>
        <w:rPr>
          <w:color w:val="auto"/>
        </w:rPr>
      </w:pPr>
      <w:r>
        <w:rPr>
          <w:rFonts w:hint="eastAsia"/>
          <w:color w:val="auto"/>
        </w:rPr>
        <w:t>（2）厂外施工作业废水影响分析</w:t>
      </w:r>
    </w:p>
    <w:p w14:paraId="65762AF3">
      <w:pPr>
        <w:pStyle w:val="132"/>
        <w:rPr>
          <w:color w:val="auto"/>
        </w:rPr>
      </w:pPr>
      <w:r>
        <w:rPr>
          <w:rFonts w:hint="eastAsia"/>
          <w:color w:val="auto"/>
        </w:rPr>
        <w:t>厂外工程管道试压过程中会产生试压废水，试压废水排放量约353.23m</w:t>
      </w:r>
      <w:r>
        <w:rPr>
          <w:rFonts w:hint="eastAsia"/>
          <w:color w:val="auto"/>
          <w:vertAlign w:val="superscript"/>
        </w:rPr>
        <w:t>3</w:t>
      </w:r>
      <w:r>
        <w:rPr>
          <w:rFonts w:hint="eastAsia"/>
          <w:color w:val="auto"/>
        </w:rPr>
        <w:t>，主要污染物为悬浮物（≤70mg/L），根据国内其他管线建设经验，这部分废水可直接排放，对外环境不会产生大的影响。</w:t>
      </w:r>
    </w:p>
    <w:p w14:paraId="015A8EF6">
      <w:pPr>
        <w:pStyle w:val="132"/>
        <w:rPr>
          <w:color w:val="auto"/>
        </w:rPr>
      </w:pPr>
      <w:r>
        <w:rPr>
          <w:rFonts w:hint="eastAsia"/>
          <w:color w:val="auto"/>
        </w:rPr>
        <w:t>（3）施工人员生活污水影响分析</w:t>
      </w:r>
    </w:p>
    <w:p w14:paraId="0A2B2F50">
      <w:pPr>
        <w:pStyle w:val="132"/>
        <w:rPr>
          <w:color w:val="auto"/>
          <w:szCs w:val="23"/>
        </w:rPr>
      </w:pPr>
      <w:r>
        <w:rPr>
          <w:rFonts w:hint="eastAsia"/>
          <w:color w:val="auto"/>
        </w:rPr>
        <w:t>本项目施工人员在施工期间相对集中生活，会产生一定量的生活污水，其主要污染物是COD、BOD</w:t>
      </w:r>
      <w:r>
        <w:rPr>
          <w:rFonts w:hint="eastAsia"/>
          <w:color w:val="auto"/>
          <w:vertAlign w:val="subscript"/>
        </w:rPr>
        <w:t>5</w:t>
      </w:r>
      <w:r>
        <w:rPr>
          <w:rFonts w:hint="eastAsia"/>
          <w:color w:val="auto"/>
        </w:rPr>
        <w:t>及悬浮物。施工期间施工人员产生的生活污水量少且水质简单。生活用水定额按50L/d人计，施工人员在高峰时按100人计，生活污水按用水量的80%计，则施工期间产生的生活污水为4m</w:t>
      </w:r>
      <w:r>
        <w:rPr>
          <w:rFonts w:hint="eastAsia"/>
          <w:color w:val="auto"/>
          <w:vertAlign w:val="superscript"/>
        </w:rPr>
        <w:t>3</w:t>
      </w:r>
      <w:r>
        <w:rPr>
          <w:rFonts w:hint="eastAsia"/>
          <w:color w:val="auto"/>
        </w:rPr>
        <w:t>/d。建议防渗化粪池处理后回用于洒水降尘。加上建设区域气候极端干旱，强烈的蒸发和风力作用使施工期的其他生活排水很快蒸发殆尽，不会对周围水环境产生影响。施工时产生的含油废水设隔油池、其他废水设临时沉砂池处理回用于施工或场地洒水，不外排，不会对周围水环境产生影响。</w:t>
      </w:r>
    </w:p>
    <w:p w14:paraId="35C2CF87">
      <w:pPr>
        <w:pStyle w:val="4"/>
        <w:rPr>
          <w:color w:val="auto"/>
        </w:rPr>
      </w:pPr>
      <w:r>
        <w:rPr>
          <w:rFonts w:hint="eastAsia"/>
          <w:color w:val="auto"/>
        </w:rPr>
        <w:t>施工期大气环境影响分析</w:t>
      </w:r>
    </w:p>
    <w:p w14:paraId="0DA04D9E">
      <w:pPr>
        <w:pStyle w:val="132"/>
        <w:rPr>
          <w:color w:val="auto"/>
        </w:rPr>
      </w:pPr>
      <w:r>
        <w:rPr>
          <w:rFonts w:hint="eastAsia"/>
          <w:color w:val="auto"/>
        </w:rPr>
        <w:t>本工程建设期产生的废气主要来自施工扬尘与机械尾气等。</w:t>
      </w:r>
    </w:p>
    <w:p w14:paraId="59CE60D7">
      <w:pPr>
        <w:pStyle w:val="132"/>
        <w:rPr>
          <w:color w:val="auto"/>
        </w:rPr>
      </w:pPr>
      <w:r>
        <w:rPr>
          <w:rFonts w:hint="eastAsia"/>
          <w:color w:val="auto"/>
        </w:rPr>
        <w:t>在施工过程中，开挖土方造成土地裸露和土方堆积，建筑材料装卸以及运输车辆行驶等均会产生粉尘，这些粉尘随风扩散造成施工扬尘。施工扬尘的大小随施工季节、施工管理等不同差别甚大，影响可达</w:t>
      </w:r>
      <w:r>
        <w:rPr>
          <w:color w:val="auto"/>
        </w:rPr>
        <w:t>150</w:t>
      </w:r>
      <w:r>
        <w:rPr>
          <w:rFonts w:hint="eastAsia"/>
          <w:color w:val="auto"/>
        </w:rPr>
        <w:t>～</w:t>
      </w:r>
      <w:r>
        <w:rPr>
          <w:color w:val="auto"/>
        </w:rPr>
        <w:t>300m</w:t>
      </w:r>
      <w:r>
        <w:rPr>
          <w:rFonts w:hint="eastAsia"/>
          <w:color w:val="auto"/>
        </w:rPr>
        <w:t>。</w:t>
      </w:r>
    </w:p>
    <w:p w14:paraId="5D660C05">
      <w:pPr>
        <w:pStyle w:val="132"/>
        <w:rPr>
          <w:color w:val="auto"/>
        </w:rPr>
      </w:pPr>
      <w:r>
        <w:rPr>
          <w:rFonts w:hint="eastAsia"/>
          <w:color w:val="auto"/>
        </w:rPr>
        <w:t>（</w:t>
      </w:r>
      <w:r>
        <w:rPr>
          <w:color w:val="auto"/>
        </w:rPr>
        <w:t>1</w:t>
      </w:r>
      <w:r>
        <w:rPr>
          <w:rFonts w:hint="eastAsia"/>
          <w:color w:val="auto"/>
        </w:rPr>
        <w:t>）施工机械废气（包括厂内工程及厂外工程）</w:t>
      </w:r>
    </w:p>
    <w:p w14:paraId="2EE7F595">
      <w:pPr>
        <w:pStyle w:val="132"/>
        <w:rPr>
          <w:color w:val="auto"/>
        </w:rPr>
      </w:pPr>
      <w:r>
        <w:rPr>
          <w:rFonts w:hint="eastAsia"/>
          <w:color w:val="auto"/>
        </w:rPr>
        <w:t>施工过程中废气主要来源于施工机械和运输车辆所排放的废气。施工废气主要为各种燃油机械的废气排放、运输车辆产生的尾气。主要污染物为：氮氧化物（</w:t>
      </w:r>
      <w:r>
        <w:rPr>
          <w:color w:val="auto"/>
        </w:rPr>
        <w:t>NOx</w:t>
      </w:r>
      <w:r>
        <w:rPr>
          <w:rFonts w:hint="eastAsia"/>
          <w:color w:val="auto"/>
        </w:rPr>
        <w:t>）、一氧化碳（</w:t>
      </w:r>
      <w:r>
        <w:rPr>
          <w:color w:val="auto"/>
        </w:rPr>
        <w:t>CO</w:t>
      </w:r>
      <w:r>
        <w:rPr>
          <w:rFonts w:hint="eastAsia"/>
          <w:color w:val="auto"/>
        </w:rPr>
        <w:t>）和碳氢化合物（</w:t>
      </w:r>
      <w:r>
        <w:rPr>
          <w:color w:val="auto"/>
        </w:rPr>
        <w:t>HC</w:t>
      </w:r>
      <w:r>
        <w:rPr>
          <w:rFonts w:hint="eastAsia"/>
          <w:color w:val="auto"/>
        </w:rPr>
        <w:t>）等。这些污染物量都很小，影响范围仅局限在施工作业区内，除对施工人员会产生轻微的影响外，对外环境影响不大。</w:t>
      </w:r>
    </w:p>
    <w:p w14:paraId="13C51FD6">
      <w:pPr>
        <w:pStyle w:val="132"/>
        <w:rPr>
          <w:color w:val="auto"/>
        </w:rPr>
      </w:pPr>
      <w:r>
        <w:rPr>
          <w:rFonts w:hint="eastAsia"/>
          <w:color w:val="auto"/>
        </w:rPr>
        <w:t>（</w:t>
      </w:r>
      <w:r>
        <w:rPr>
          <w:color w:val="auto"/>
        </w:rPr>
        <w:t>2</w:t>
      </w:r>
      <w:r>
        <w:rPr>
          <w:rFonts w:hint="eastAsia"/>
          <w:color w:val="auto"/>
        </w:rPr>
        <w:t>）施工现场扬尘（包括厂内工程及厂外工程）</w:t>
      </w:r>
    </w:p>
    <w:p w14:paraId="0C630BE5">
      <w:pPr>
        <w:pStyle w:val="132"/>
        <w:rPr>
          <w:color w:val="auto"/>
        </w:rPr>
      </w:pPr>
      <w:r>
        <w:rPr>
          <w:rFonts w:hint="eastAsia"/>
          <w:color w:val="auto"/>
        </w:rPr>
        <w:t>本工程在施工过程中扬尘对环境不可避免地要产生一些不良影响。扬尘主要来源于施工及道路扬尘。根据国内外的有关研究资料，施工扬尘的起尘量与许多因素有关。挖土机等在工作时的起尘量与挖坑深度、挖土机抓斗与地面的相对高度、风速、土壤的颗粒度、土壤含水量等有关。对于渣土堆场而言，起尘量还与堆放方式、启动风速及堆场有无防护措施等有关。国内外的研究结果和类比研究表明，在起动风速以上，影响起尘量的主要因素分别为防护措施、风速、土壤湿度、挖土方式或土堆的堆放方式等。</w:t>
      </w:r>
    </w:p>
    <w:p w14:paraId="4ECBF7AE">
      <w:pPr>
        <w:pStyle w:val="132"/>
        <w:rPr>
          <w:color w:val="auto"/>
        </w:rPr>
      </w:pPr>
      <w:r>
        <w:rPr>
          <w:rFonts w:hint="eastAsia"/>
          <w:color w:val="auto"/>
        </w:rPr>
        <w:t>施工期车辆运输洒落尘土的一次扬尘污染和车辆运行时产生的二次扬尘污染均会对环境产生明显不利影响。扬尘产生量及扬尘污染程度与车辆的运输方式、路面状况、天气条件等因素关系密切。应采取表面防尘网遮盖、洒水降尘、开挖土方及时回填等措施减少运输扬尘的污染。运输土石方、砂石料等建筑材料车辆应采取遮盖措施。施工作业时，粉尘飞扬将污染施工现场的大气环境，影响施工人员的身体健康和作业，但此污染影响范围较小，不会给周围环境造成较大影响。</w:t>
      </w:r>
    </w:p>
    <w:p w14:paraId="01E99D7D">
      <w:pPr>
        <w:pStyle w:val="132"/>
        <w:rPr>
          <w:color w:val="auto"/>
        </w:rPr>
      </w:pPr>
      <w:r>
        <w:rPr>
          <w:rFonts w:hint="eastAsia"/>
          <w:color w:val="auto"/>
        </w:rPr>
        <w:t>根据类比调查资料可知，施工及运输车辆引起的扬尘影响道路两侧各约</w:t>
      </w:r>
      <w:r>
        <w:rPr>
          <w:color w:val="auto"/>
        </w:rPr>
        <w:t>50m</w:t>
      </w:r>
      <w:r>
        <w:rPr>
          <w:rFonts w:hint="eastAsia"/>
          <w:color w:val="auto"/>
        </w:rPr>
        <w:t>的区域；表土剥离扬尘污染严重，空气中扬尘浓度可达</w:t>
      </w:r>
      <w:r>
        <w:rPr>
          <w:color w:val="auto"/>
        </w:rPr>
        <w:t>20mg/m3</w:t>
      </w:r>
      <w:r>
        <w:rPr>
          <w:rFonts w:hint="eastAsia"/>
          <w:color w:val="auto"/>
        </w:rPr>
        <w:t>，随着距离的增加，</w:t>
      </w:r>
      <w:r>
        <w:rPr>
          <w:color w:val="auto"/>
        </w:rPr>
        <w:t>TSP</w:t>
      </w:r>
      <w:r>
        <w:rPr>
          <w:rFonts w:hint="eastAsia"/>
          <w:color w:val="auto"/>
        </w:rPr>
        <w:t>浓度迅速下降，影响范围主要在周围</w:t>
      </w:r>
      <w:r>
        <w:rPr>
          <w:color w:val="auto"/>
        </w:rPr>
        <w:t>50m</w:t>
      </w:r>
      <w:r>
        <w:rPr>
          <w:rFonts w:hint="eastAsia"/>
          <w:color w:val="auto"/>
        </w:rPr>
        <w:t>内；建筑工地扬尘的影响范围主要在施工场地外</w:t>
      </w:r>
      <w:r>
        <w:rPr>
          <w:color w:val="auto"/>
        </w:rPr>
        <w:t>100m</w:t>
      </w:r>
      <w:r>
        <w:rPr>
          <w:rFonts w:hint="eastAsia"/>
          <w:color w:val="auto"/>
        </w:rPr>
        <w:t>以内。拟建项目位于园区内预留空地，因此施工扬尘主要会对周围已建成厂区及办公生活区产生一定的影响，但本项目工程量一般，作业强度小，经采取洒水降尘及临时覆盖等措施后扬尘污染物对环境的影响较小。</w:t>
      </w:r>
    </w:p>
    <w:p w14:paraId="7A4B7EA0">
      <w:pPr>
        <w:pStyle w:val="4"/>
        <w:rPr>
          <w:color w:val="auto"/>
        </w:rPr>
      </w:pPr>
      <w:r>
        <w:rPr>
          <w:rFonts w:hint="eastAsia"/>
          <w:color w:val="auto"/>
        </w:rPr>
        <w:t>施工期声环境影响分析</w:t>
      </w:r>
    </w:p>
    <w:p w14:paraId="3D45C580">
      <w:pPr>
        <w:pStyle w:val="132"/>
        <w:rPr>
          <w:color w:val="auto"/>
        </w:rPr>
      </w:pPr>
      <w:r>
        <w:rPr>
          <w:rFonts w:hint="eastAsia"/>
          <w:color w:val="auto"/>
        </w:rPr>
        <w:t>施工期噪声源</w:t>
      </w:r>
      <w:r>
        <w:rPr>
          <w:rFonts w:hint="eastAsia" w:ascii="宋体"/>
          <w:color w:val="auto"/>
        </w:rPr>
        <w:t>（包括厂内工程及厂外工程）</w:t>
      </w:r>
      <w:r>
        <w:rPr>
          <w:rFonts w:hint="eastAsia"/>
          <w:color w:val="auto"/>
        </w:rPr>
        <w:t xml:space="preserve">主要是施工机械及运输车辆，施工机械主要包括挖掘机、推土机、载重汽车等，其源强详见表 </w:t>
      </w:r>
      <w:r>
        <w:rPr>
          <w:color w:val="auto"/>
        </w:rPr>
        <w:t>5.1</w:t>
      </w:r>
      <w:r>
        <w:rPr>
          <w:rFonts w:hint="eastAsia"/>
          <w:color w:val="auto"/>
        </w:rPr>
        <w:t>–</w:t>
      </w:r>
      <w:r>
        <w:rPr>
          <w:color w:val="auto"/>
        </w:rPr>
        <w:t>1</w:t>
      </w:r>
      <w:r>
        <w:rPr>
          <w:rFonts w:hint="eastAsia"/>
          <w:color w:val="auto"/>
        </w:rPr>
        <w:t>。</w:t>
      </w:r>
    </w:p>
    <w:p w14:paraId="38B69658">
      <w:pPr>
        <w:pStyle w:val="1060"/>
        <w:spacing w:before="163"/>
        <w:rPr>
          <w:color w:val="auto"/>
          <w:szCs w:val="23"/>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w:t>
      </w:r>
      <w:r>
        <w:rPr>
          <w:rFonts w:hint="eastAsia"/>
          <w:color w:val="auto"/>
          <w:szCs w:val="23"/>
        </w:rPr>
        <w:t xml:space="preserve">  </w:t>
      </w:r>
      <w:r>
        <w:rPr>
          <w:rFonts w:hint="eastAsia" w:ascii="黑体" w:hAnsi="黑体"/>
          <w:color w:val="auto"/>
          <w:szCs w:val="23"/>
        </w:rPr>
        <w:t>施工机械设备噪声一览表</w:t>
      </w:r>
    </w:p>
    <w:tbl>
      <w:tblPr>
        <w:tblStyle w:val="2429"/>
        <w:tblW w:w="0" w:type="auto"/>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704"/>
        <w:gridCol w:w="1838"/>
        <w:gridCol w:w="1843"/>
        <w:gridCol w:w="1840"/>
        <w:gridCol w:w="2061"/>
      </w:tblGrid>
      <w:tr w14:paraId="5533AB9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8" w:space="0"/>
              <w:left w:val="single" w:color="000000" w:sz="8" w:space="0"/>
              <w:bottom w:val="single" w:color="000000" w:sz="2" w:space="0"/>
              <w:right w:val="single" w:color="000000" w:sz="2" w:space="0"/>
            </w:tcBorders>
            <w:vAlign w:val="center"/>
          </w:tcPr>
          <w:p w14:paraId="4FB27573">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序号</w:t>
            </w:r>
          </w:p>
        </w:tc>
        <w:tc>
          <w:tcPr>
            <w:tcW w:w="1838" w:type="dxa"/>
            <w:tcBorders>
              <w:top w:val="single" w:color="000000" w:sz="8" w:space="0"/>
              <w:left w:val="single" w:color="000000" w:sz="2" w:space="0"/>
              <w:bottom w:val="single" w:color="000000" w:sz="2" w:space="0"/>
              <w:right w:val="single" w:color="000000" w:sz="2" w:space="0"/>
            </w:tcBorders>
            <w:vAlign w:val="center"/>
          </w:tcPr>
          <w:p w14:paraId="0C50A18F">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噪声源</w:t>
            </w:r>
          </w:p>
        </w:tc>
        <w:tc>
          <w:tcPr>
            <w:tcW w:w="1843" w:type="dxa"/>
            <w:tcBorders>
              <w:top w:val="single" w:color="000000" w:sz="8" w:space="0"/>
              <w:left w:val="single" w:color="000000" w:sz="2" w:space="0"/>
              <w:bottom w:val="single" w:color="000000" w:sz="2" w:space="0"/>
              <w:right w:val="single" w:color="000000" w:sz="2" w:space="0"/>
            </w:tcBorders>
            <w:vAlign w:val="center"/>
          </w:tcPr>
          <w:p w14:paraId="0C52AA31">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测点施工机械距离（</w:t>
            </w:r>
            <w:r>
              <w:rPr>
                <w:rFonts w:hint="eastAsia" w:eastAsia="Times New Roman"/>
                <w:color w:val="auto"/>
                <w:sz w:val="21"/>
                <w:szCs w:val="21"/>
              </w:rPr>
              <w:t>m</w:t>
            </w:r>
            <w:r>
              <w:rPr>
                <w:rFonts w:hint="eastAsia" w:ascii="宋体" w:hAnsi="宋体" w:eastAsia="Times New Roman"/>
                <w:color w:val="auto"/>
                <w:sz w:val="21"/>
                <w:szCs w:val="21"/>
              </w:rPr>
              <w:t>）</w:t>
            </w:r>
          </w:p>
        </w:tc>
        <w:tc>
          <w:tcPr>
            <w:tcW w:w="1840" w:type="dxa"/>
            <w:tcBorders>
              <w:top w:val="single" w:color="000000" w:sz="8" w:space="0"/>
              <w:left w:val="single" w:color="000000" w:sz="2" w:space="0"/>
              <w:bottom w:val="single" w:color="000000" w:sz="2" w:space="0"/>
              <w:right w:val="single" w:color="000000" w:sz="2" w:space="0"/>
            </w:tcBorders>
            <w:vAlign w:val="center"/>
          </w:tcPr>
          <w:p w14:paraId="5A57D8F7">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最大声级</w:t>
            </w:r>
            <w:r>
              <w:rPr>
                <w:rFonts w:hint="eastAsia" w:eastAsia="Times New Roman"/>
                <w:color w:val="auto"/>
                <w:sz w:val="21"/>
                <w:szCs w:val="21"/>
              </w:rPr>
              <w:t>Lmax</w:t>
            </w:r>
            <w:r>
              <w:rPr>
                <w:rFonts w:hint="eastAsia" w:ascii="宋体" w:hAnsi="宋体" w:eastAsia="Times New Roman"/>
                <w:color w:val="auto"/>
                <w:sz w:val="21"/>
                <w:szCs w:val="21"/>
              </w:rPr>
              <w:t>（</w:t>
            </w:r>
            <w:r>
              <w:rPr>
                <w:rFonts w:hint="eastAsia" w:eastAsia="Times New Roman"/>
                <w:color w:val="auto"/>
                <w:sz w:val="21"/>
                <w:szCs w:val="21"/>
              </w:rPr>
              <w:t>dB</w:t>
            </w:r>
            <w:r>
              <w:rPr>
                <w:rFonts w:hint="eastAsia" w:ascii="宋体" w:hAnsi="宋体" w:eastAsia="Times New Roman"/>
                <w:color w:val="auto"/>
                <w:sz w:val="21"/>
                <w:szCs w:val="21"/>
              </w:rPr>
              <w:t>）</w:t>
            </w:r>
          </w:p>
        </w:tc>
        <w:tc>
          <w:tcPr>
            <w:tcW w:w="2061" w:type="dxa"/>
            <w:tcBorders>
              <w:top w:val="single" w:color="000000" w:sz="8" w:space="0"/>
              <w:left w:val="single" w:color="000000" w:sz="2" w:space="0"/>
              <w:bottom w:val="single" w:color="000000" w:sz="2" w:space="0"/>
              <w:right w:val="single" w:color="000000" w:sz="8" w:space="0"/>
            </w:tcBorders>
            <w:vAlign w:val="center"/>
          </w:tcPr>
          <w:p w14:paraId="772B5A49">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特征</w:t>
            </w:r>
          </w:p>
        </w:tc>
      </w:tr>
      <w:tr w14:paraId="6C28117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2" w:space="0"/>
              <w:left w:val="single" w:color="000000" w:sz="8" w:space="0"/>
              <w:bottom w:val="single" w:color="000000" w:sz="2" w:space="0"/>
              <w:right w:val="single" w:color="000000" w:sz="2" w:space="0"/>
            </w:tcBorders>
            <w:vAlign w:val="center"/>
          </w:tcPr>
          <w:p w14:paraId="3A4995B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w:t>
            </w:r>
          </w:p>
        </w:tc>
        <w:tc>
          <w:tcPr>
            <w:tcW w:w="1838" w:type="dxa"/>
            <w:tcBorders>
              <w:top w:val="single" w:color="000000" w:sz="2" w:space="0"/>
              <w:left w:val="single" w:color="000000" w:sz="2" w:space="0"/>
              <w:bottom w:val="single" w:color="000000" w:sz="2" w:space="0"/>
              <w:right w:val="single" w:color="000000" w:sz="2" w:space="0"/>
            </w:tcBorders>
            <w:vAlign w:val="center"/>
          </w:tcPr>
          <w:p w14:paraId="34009419">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挖掘机</w:t>
            </w:r>
          </w:p>
        </w:tc>
        <w:tc>
          <w:tcPr>
            <w:tcW w:w="1843" w:type="dxa"/>
            <w:tcBorders>
              <w:top w:val="single" w:color="000000" w:sz="2" w:space="0"/>
              <w:left w:val="single" w:color="000000" w:sz="2" w:space="0"/>
              <w:bottom w:val="single" w:color="000000" w:sz="2" w:space="0"/>
              <w:right w:val="single" w:color="000000" w:sz="2" w:space="0"/>
            </w:tcBorders>
            <w:vAlign w:val="center"/>
          </w:tcPr>
          <w:p w14:paraId="153E530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1840" w:type="dxa"/>
            <w:tcBorders>
              <w:top w:val="single" w:color="000000" w:sz="2" w:space="0"/>
              <w:left w:val="single" w:color="000000" w:sz="2" w:space="0"/>
              <w:bottom w:val="single" w:color="000000" w:sz="2" w:space="0"/>
              <w:right w:val="single" w:color="000000" w:sz="2" w:space="0"/>
            </w:tcBorders>
            <w:vAlign w:val="center"/>
          </w:tcPr>
          <w:p w14:paraId="13042C7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90</w:t>
            </w:r>
          </w:p>
        </w:tc>
        <w:tc>
          <w:tcPr>
            <w:tcW w:w="2061" w:type="dxa"/>
            <w:tcBorders>
              <w:top w:val="single" w:color="000000" w:sz="2" w:space="0"/>
              <w:left w:val="single" w:color="000000" w:sz="2" w:space="0"/>
              <w:bottom w:val="single" w:color="000000" w:sz="2" w:space="0"/>
              <w:right w:val="single" w:color="000000" w:sz="8" w:space="0"/>
            </w:tcBorders>
            <w:vAlign w:val="center"/>
          </w:tcPr>
          <w:p w14:paraId="222B249B">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宽频噪声</w:t>
            </w:r>
          </w:p>
        </w:tc>
      </w:tr>
      <w:tr w14:paraId="592D3C8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2" w:space="0"/>
              <w:left w:val="single" w:color="000000" w:sz="8" w:space="0"/>
              <w:bottom w:val="single" w:color="000000" w:sz="2" w:space="0"/>
              <w:right w:val="single" w:color="000000" w:sz="2" w:space="0"/>
            </w:tcBorders>
            <w:vAlign w:val="center"/>
          </w:tcPr>
          <w:p w14:paraId="583212A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w:t>
            </w:r>
          </w:p>
        </w:tc>
        <w:tc>
          <w:tcPr>
            <w:tcW w:w="1838" w:type="dxa"/>
            <w:tcBorders>
              <w:top w:val="single" w:color="000000" w:sz="2" w:space="0"/>
              <w:left w:val="single" w:color="000000" w:sz="2" w:space="0"/>
              <w:bottom w:val="single" w:color="000000" w:sz="2" w:space="0"/>
              <w:right w:val="single" w:color="000000" w:sz="2" w:space="0"/>
            </w:tcBorders>
            <w:vAlign w:val="center"/>
          </w:tcPr>
          <w:p w14:paraId="1402CBEB">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推土机</w:t>
            </w:r>
          </w:p>
        </w:tc>
        <w:tc>
          <w:tcPr>
            <w:tcW w:w="1843" w:type="dxa"/>
            <w:tcBorders>
              <w:top w:val="single" w:color="000000" w:sz="2" w:space="0"/>
              <w:left w:val="single" w:color="000000" w:sz="2" w:space="0"/>
              <w:bottom w:val="single" w:color="000000" w:sz="2" w:space="0"/>
              <w:right w:val="single" w:color="000000" w:sz="2" w:space="0"/>
            </w:tcBorders>
            <w:vAlign w:val="center"/>
          </w:tcPr>
          <w:p w14:paraId="4A55A6C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1840" w:type="dxa"/>
            <w:tcBorders>
              <w:top w:val="single" w:color="000000" w:sz="2" w:space="0"/>
              <w:left w:val="single" w:color="000000" w:sz="2" w:space="0"/>
              <w:bottom w:val="single" w:color="000000" w:sz="2" w:space="0"/>
              <w:right w:val="single" w:color="000000" w:sz="2" w:space="0"/>
            </w:tcBorders>
            <w:vAlign w:val="center"/>
          </w:tcPr>
          <w:p w14:paraId="52EBE0C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88</w:t>
            </w:r>
          </w:p>
        </w:tc>
        <w:tc>
          <w:tcPr>
            <w:tcW w:w="2061" w:type="dxa"/>
            <w:tcBorders>
              <w:top w:val="single" w:color="000000" w:sz="2" w:space="0"/>
              <w:left w:val="single" w:color="000000" w:sz="2" w:space="0"/>
              <w:bottom w:val="single" w:color="000000" w:sz="2" w:space="0"/>
              <w:right w:val="single" w:color="000000" w:sz="8" w:space="0"/>
            </w:tcBorders>
            <w:vAlign w:val="center"/>
          </w:tcPr>
          <w:p w14:paraId="3E1C27BC">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低频噪声</w:t>
            </w:r>
          </w:p>
        </w:tc>
      </w:tr>
      <w:tr w14:paraId="18AD3C0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2" w:space="0"/>
              <w:left w:val="single" w:color="000000" w:sz="8" w:space="0"/>
              <w:bottom w:val="single" w:color="000000" w:sz="2" w:space="0"/>
              <w:right w:val="single" w:color="000000" w:sz="2" w:space="0"/>
            </w:tcBorders>
            <w:vAlign w:val="center"/>
          </w:tcPr>
          <w:p w14:paraId="3777C9B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w:t>
            </w:r>
          </w:p>
        </w:tc>
        <w:tc>
          <w:tcPr>
            <w:tcW w:w="1838" w:type="dxa"/>
            <w:tcBorders>
              <w:top w:val="single" w:color="000000" w:sz="2" w:space="0"/>
              <w:left w:val="single" w:color="000000" w:sz="2" w:space="0"/>
              <w:bottom w:val="single" w:color="000000" w:sz="2" w:space="0"/>
              <w:right w:val="single" w:color="000000" w:sz="2" w:space="0"/>
            </w:tcBorders>
            <w:vAlign w:val="center"/>
          </w:tcPr>
          <w:p w14:paraId="0982D7BD">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振捣器</w:t>
            </w:r>
          </w:p>
        </w:tc>
        <w:tc>
          <w:tcPr>
            <w:tcW w:w="1843" w:type="dxa"/>
            <w:tcBorders>
              <w:top w:val="single" w:color="000000" w:sz="2" w:space="0"/>
              <w:left w:val="single" w:color="000000" w:sz="2" w:space="0"/>
              <w:bottom w:val="single" w:color="000000" w:sz="2" w:space="0"/>
              <w:right w:val="single" w:color="000000" w:sz="2" w:space="0"/>
            </w:tcBorders>
            <w:vAlign w:val="center"/>
          </w:tcPr>
          <w:p w14:paraId="7B9B281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1840" w:type="dxa"/>
            <w:tcBorders>
              <w:top w:val="single" w:color="000000" w:sz="2" w:space="0"/>
              <w:left w:val="single" w:color="000000" w:sz="2" w:space="0"/>
              <w:bottom w:val="single" w:color="000000" w:sz="2" w:space="0"/>
              <w:right w:val="single" w:color="000000" w:sz="2" w:space="0"/>
            </w:tcBorders>
            <w:vAlign w:val="center"/>
          </w:tcPr>
          <w:p w14:paraId="0A5E615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88</w:t>
            </w:r>
          </w:p>
        </w:tc>
        <w:tc>
          <w:tcPr>
            <w:tcW w:w="2061" w:type="dxa"/>
            <w:tcBorders>
              <w:top w:val="single" w:color="000000" w:sz="2" w:space="0"/>
              <w:left w:val="single" w:color="000000" w:sz="2" w:space="0"/>
              <w:bottom w:val="single" w:color="000000" w:sz="2" w:space="0"/>
              <w:right w:val="single" w:color="000000" w:sz="8" w:space="0"/>
            </w:tcBorders>
            <w:vAlign w:val="center"/>
          </w:tcPr>
          <w:p w14:paraId="61C9E042">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宽频噪声</w:t>
            </w:r>
          </w:p>
        </w:tc>
      </w:tr>
      <w:tr w14:paraId="767AA9C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2" w:space="0"/>
              <w:left w:val="single" w:color="000000" w:sz="8" w:space="0"/>
              <w:bottom w:val="single" w:color="000000" w:sz="2" w:space="0"/>
              <w:right w:val="single" w:color="000000" w:sz="2" w:space="0"/>
            </w:tcBorders>
            <w:vAlign w:val="center"/>
          </w:tcPr>
          <w:p w14:paraId="48E4187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w:t>
            </w:r>
          </w:p>
        </w:tc>
        <w:tc>
          <w:tcPr>
            <w:tcW w:w="1838" w:type="dxa"/>
            <w:tcBorders>
              <w:top w:val="single" w:color="000000" w:sz="2" w:space="0"/>
              <w:left w:val="single" w:color="000000" w:sz="2" w:space="0"/>
              <w:bottom w:val="single" w:color="000000" w:sz="2" w:space="0"/>
              <w:right w:val="single" w:color="000000" w:sz="2" w:space="0"/>
            </w:tcBorders>
            <w:vAlign w:val="center"/>
          </w:tcPr>
          <w:p w14:paraId="718BF4E8">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打桩机</w:t>
            </w:r>
          </w:p>
        </w:tc>
        <w:tc>
          <w:tcPr>
            <w:tcW w:w="1843" w:type="dxa"/>
            <w:tcBorders>
              <w:top w:val="single" w:color="000000" w:sz="2" w:space="0"/>
              <w:left w:val="single" w:color="000000" w:sz="2" w:space="0"/>
              <w:bottom w:val="single" w:color="000000" w:sz="2" w:space="0"/>
              <w:right w:val="single" w:color="000000" w:sz="2" w:space="0"/>
            </w:tcBorders>
            <w:vAlign w:val="center"/>
          </w:tcPr>
          <w:p w14:paraId="213F5A6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1840" w:type="dxa"/>
            <w:tcBorders>
              <w:top w:val="single" w:color="000000" w:sz="2" w:space="0"/>
              <w:left w:val="single" w:color="000000" w:sz="2" w:space="0"/>
              <w:bottom w:val="single" w:color="000000" w:sz="2" w:space="0"/>
              <w:right w:val="single" w:color="000000" w:sz="2" w:space="0"/>
            </w:tcBorders>
            <w:vAlign w:val="center"/>
          </w:tcPr>
          <w:p w14:paraId="167BC71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100</w:t>
            </w:r>
          </w:p>
        </w:tc>
        <w:tc>
          <w:tcPr>
            <w:tcW w:w="2061" w:type="dxa"/>
            <w:tcBorders>
              <w:top w:val="single" w:color="000000" w:sz="2" w:space="0"/>
              <w:left w:val="single" w:color="000000" w:sz="2" w:space="0"/>
              <w:bottom w:val="single" w:color="000000" w:sz="2" w:space="0"/>
              <w:right w:val="single" w:color="000000" w:sz="8" w:space="0"/>
            </w:tcBorders>
            <w:vAlign w:val="center"/>
          </w:tcPr>
          <w:p w14:paraId="25923EA9">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低频噪声</w:t>
            </w:r>
          </w:p>
        </w:tc>
      </w:tr>
      <w:tr w14:paraId="4967958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2" w:space="0"/>
              <w:left w:val="single" w:color="000000" w:sz="8" w:space="0"/>
              <w:bottom w:val="single" w:color="000000" w:sz="2" w:space="0"/>
              <w:right w:val="single" w:color="000000" w:sz="2" w:space="0"/>
            </w:tcBorders>
            <w:vAlign w:val="center"/>
          </w:tcPr>
          <w:p w14:paraId="5AD0A6C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5</w:t>
            </w:r>
          </w:p>
        </w:tc>
        <w:tc>
          <w:tcPr>
            <w:tcW w:w="1838" w:type="dxa"/>
            <w:tcBorders>
              <w:top w:val="single" w:color="000000" w:sz="2" w:space="0"/>
              <w:left w:val="single" w:color="000000" w:sz="2" w:space="0"/>
              <w:bottom w:val="single" w:color="000000" w:sz="2" w:space="0"/>
              <w:right w:val="single" w:color="000000" w:sz="2" w:space="0"/>
            </w:tcBorders>
            <w:vAlign w:val="center"/>
          </w:tcPr>
          <w:p w14:paraId="119A74C3">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各类压路机</w:t>
            </w:r>
          </w:p>
        </w:tc>
        <w:tc>
          <w:tcPr>
            <w:tcW w:w="1843" w:type="dxa"/>
            <w:tcBorders>
              <w:top w:val="single" w:color="000000" w:sz="2" w:space="0"/>
              <w:left w:val="single" w:color="000000" w:sz="2" w:space="0"/>
              <w:bottom w:val="single" w:color="000000" w:sz="2" w:space="0"/>
              <w:right w:val="single" w:color="000000" w:sz="2" w:space="0"/>
            </w:tcBorders>
            <w:vAlign w:val="center"/>
          </w:tcPr>
          <w:p w14:paraId="6D7E223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1840" w:type="dxa"/>
            <w:tcBorders>
              <w:top w:val="single" w:color="000000" w:sz="2" w:space="0"/>
              <w:left w:val="single" w:color="000000" w:sz="2" w:space="0"/>
              <w:bottom w:val="single" w:color="000000" w:sz="2" w:space="0"/>
              <w:right w:val="single" w:color="000000" w:sz="2" w:space="0"/>
            </w:tcBorders>
            <w:vAlign w:val="center"/>
          </w:tcPr>
          <w:p w14:paraId="1AF3C63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90</w:t>
            </w:r>
          </w:p>
        </w:tc>
        <w:tc>
          <w:tcPr>
            <w:tcW w:w="2061" w:type="dxa"/>
            <w:tcBorders>
              <w:top w:val="single" w:color="000000" w:sz="2" w:space="0"/>
              <w:left w:val="single" w:color="000000" w:sz="2" w:space="0"/>
              <w:bottom w:val="single" w:color="000000" w:sz="2" w:space="0"/>
              <w:right w:val="single" w:color="000000" w:sz="8" w:space="0"/>
            </w:tcBorders>
            <w:vAlign w:val="center"/>
          </w:tcPr>
          <w:p w14:paraId="1507056B">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宽频噪声</w:t>
            </w:r>
          </w:p>
        </w:tc>
      </w:tr>
      <w:tr w14:paraId="3CDAF6C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2" w:space="0"/>
              <w:left w:val="single" w:color="000000" w:sz="8" w:space="0"/>
              <w:bottom w:val="single" w:color="000000" w:sz="2" w:space="0"/>
              <w:right w:val="single" w:color="000000" w:sz="2" w:space="0"/>
            </w:tcBorders>
            <w:vAlign w:val="center"/>
          </w:tcPr>
          <w:p w14:paraId="25DFB2E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6</w:t>
            </w:r>
          </w:p>
        </w:tc>
        <w:tc>
          <w:tcPr>
            <w:tcW w:w="1838" w:type="dxa"/>
            <w:tcBorders>
              <w:top w:val="single" w:color="000000" w:sz="2" w:space="0"/>
              <w:left w:val="single" w:color="000000" w:sz="2" w:space="0"/>
              <w:bottom w:val="single" w:color="000000" w:sz="2" w:space="0"/>
              <w:right w:val="single" w:color="000000" w:sz="2" w:space="0"/>
            </w:tcBorders>
            <w:vAlign w:val="center"/>
          </w:tcPr>
          <w:p w14:paraId="11DF52D7">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电锯</w:t>
            </w:r>
          </w:p>
        </w:tc>
        <w:tc>
          <w:tcPr>
            <w:tcW w:w="1843" w:type="dxa"/>
            <w:tcBorders>
              <w:top w:val="single" w:color="000000" w:sz="2" w:space="0"/>
              <w:left w:val="single" w:color="000000" w:sz="2" w:space="0"/>
              <w:bottom w:val="single" w:color="000000" w:sz="2" w:space="0"/>
              <w:right w:val="single" w:color="000000" w:sz="2" w:space="0"/>
            </w:tcBorders>
            <w:vAlign w:val="center"/>
          </w:tcPr>
          <w:p w14:paraId="3F79AC7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1840" w:type="dxa"/>
            <w:tcBorders>
              <w:top w:val="single" w:color="000000" w:sz="2" w:space="0"/>
              <w:left w:val="single" w:color="000000" w:sz="2" w:space="0"/>
              <w:bottom w:val="single" w:color="000000" w:sz="2" w:space="0"/>
              <w:right w:val="single" w:color="000000" w:sz="2" w:space="0"/>
            </w:tcBorders>
            <w:vAlign w:val="center"/>
          </w:tcPr>
          <w:p w14:paraId="39D9369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99</w:t>
            </w:r>
          </w:p>
        </w:tc>
        <w:tc>
          <w:tcPr>
            <w:tcW w:w="2061" w:type="dxa"/>
            <w:tcBorders>
              <w:top w:val="single" w:color="000000" w:sz="2" w:space="0"/>
              <w:left w:val="single" w:color="000000" w:sz="2" w:space="0"/>
              <w:bottom w:val="single" w:color="000000" w:sz="2" w:space="0"/>
              <w:right w:val="single" w:color="000000" w:sz="8" w:space="0"/>
            </w:tcBorders>
            <w:vAlign w:val="center"/>
          </w:tcPr>
          <w:p w14:paraId="5D0FA933">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间断，持续时间短</w:t>
            </w:r>
          </w:p>
        </w:tc>
      </w:tr>
      <w:tr w14:paraId="03C4048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2" w:space="0"/>
              <w:left w:val="single" w:color="000000" w:sz="8" w:space="0"/>
              <w:bottom w:val="single" w:color="000000" w:sz="2" w:space="0"/>
              <w:right w:val="single" w:color="000000" w:sz="2" w:space="0"/>
            </w:tcBorders>
            <w:vAlign w:val="center"/>
          </w:tcPr>
          <w:p w14:paraId="3739DD5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7</w:t>
            </w:r>
          </w:p>
        </w:tc>
        <w:tc>
          <w:tcPr>
            <w:tcW w:w="1838" w:type="dxa"/>
            <w:tcBorders>
              <w:top w:val="single" w:color="000000" w:sz="2" w:space="0"/>
              <w:left w:val="single" w:color="000000" w:sz="2" w:space="0"/>
              <w:bottom w:val="single" w:color="000000" w:sz="2" w:space="0"/>
              <w:right w:val="single" w:color="000000" w:sz="2" w:space="0"/>
            </w:tcBorders>
            <w:vAlign w:val="center"/>
          </w:tcPr>
          <w:p w14:paraId="41EC995C">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角磨机</w:t>
            </w:r>
          </w:p>
        </w:tc>
        <w:tc>
          <w:tcPr>
            <w:tcW w:w="1843" w:type="dxa"/>
            <w:tcBorders>
              <w:top w:val="single" w:color="000000" w:sz="2" w:space="0"/>
              <w:left w:val="single" w:color="000000" w:sz="2" w:space="0"/>
              <w:bottom w:val="single" w:color="000000" w:sz="2" w:space="0"/>
              <w:right w:val="single" w:color="000000" w:sz="2" w:space="0"/>
            </w:tcBorders>
            <w:vAlign w:val="center"/>
          </w:tcPr>
          <w:p w14:paraId="2CC440F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1840" w:type="dxa"/>
            <w:tcBorders>
              <w:top w:val="single" w:color="000000" w:sz="2" w:space="0"/>
              <w:left w:val="single" w:color="000000" w:sz="2" w:space="0"/>
              <w:bottom w:val="single" w:color="000000" w:sz="2" w:space="0"/>
              <w:right w:val="single" w:color="000000" w:sz="2" w:space="0"/>
            </w:tcBorders>
            <w:vAlign w:val="center"/>
          </w:tcPr>
          <w:p w14:paraId="7FFCA50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96</w:t>
            </w:r>
          </w:p>
        </w:tc>
        <w:tc>
          <w:tcPr>
            <w:tcW w:w="2061" w:type="dxa"/>
            <w:tcBorders>
              <w:top w:val="single" w:color="000000" w:sz="2" w:space="0"/>
              <w:left w:val="single" w:color="000000" w:sz="2" w:space="0"/>
              <w:bottom w:val="single" w:color="000000" w:sz="2" w:space="0"/>
              <w:right w:val="single" w:color="000000" w:sz="8" w:space="0"/>
            </w:tcBorders>
            <w:vAlign w:val="center"/>
          </w:tcPr>
          <w:p w14:paraId="1A532BCD">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间断噪声</w:t>
            </w:r>
          </w:p>
        </w:tc>
      </w:tr>
      <w:tr w14:paraId="4E23FCB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704" w:type="dxa"/>
            <w:tcBorders>
              <w:top w:val="single" w:color="000000" w:sz="2" w:space="0"/>
              <w:left w:val="single" w:color="000000" w:sz="8" w:space="0"/>
              <w:bottom w:val="single" w:color="000000" w:sz="8" w:space="0"/>
              <w:right w:val="single" w:color="000000" w:sz="2" w:space="0"/>
            </w:tcBorders>
            <w:vAlign w:val="center"/>
          </w:tcPr>
          <w:p w14:paraId="11EDA91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w:t>
            </w:r>
          </w:p>
        </w:tc>
        <w:tc>
          <w:tcPr>
            <w:tcW w:w="1838" w:type="dxa"/>
            <w:tcBorders>
              <w:top w:val="single" w:color="000000" w:sz="2" w:space="0"/>
              <w:left w:val="single" w:color="000000" w:sz="2" w:space="0"/>
              <w:bottom w:val="single" w:color="000000" w:sz="8" w:space="0"/>
              <w:right w:val="single" w:color="000000" w:sz="2" w:space="0"/>
            </w:tcBorders>
            <w:vAlign w:val="center"/>
          </w:tcPr>
          <w:p w14:paraId="657BFA11">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载重汽车</w:t>
            </w:r>
          </w:p>
        </w:tc>
        <w:tc>
          <w:tcPr>
            <w:tcW w:w="1843" w:type="dxa"/>
            <w:tcBorders>
              <w:top w:val="single" w:color="000000" w:sz="2" w:space="0"/>
              <w:left w:val="single" w:color="000000" w:sz="2" w:space="0"/>
              <w:bottom w:val="single" w:color="000000" w:sz="8" w:space="0"/>
              <w:right w:val="single" w:color="000000" w:sz="2" w:space="0"/>
            </w:tcBorders>
            <w:vAlign w:val="center"/>
          </w:tcPr>
          <w:p w14:paraId="603558E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5</w:t>
            </w:r>
          </w:p>
        </w:tc>
        <w:tc>
          <w:tcPr>
            <w:tcW w:w="1840" w:type="dxa"/>
            <w:tcBorders>
              <w:top w:val="single" w:color="000000" w:sz="2" w:space="0"/>
              <w:left w:val="single" w:color="000000" w:sz="2" w:space="0"/>
              <w:bottom w:val="single" w:color="000000" w:sz="8" w:space="0"/>
              <w:right w:val="single" w:color="000000" w:sz="2" w:space="0"/>
            </w:tcBorders>
            <w:vAlign w:val="center"/>
          </w:tcPr>
          <w:p w14:paraId="79A0AA5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88</w:t>
            </w:r>
          </w:p>
        </w:tc>
        <w:tc>
          <w:tcPr>
            <w:tcW w:w="2061" w:type="dxa"/>
            <w:tcBorders>
              <w:top w:val="single" w:color="000000" w:sz="2" w:space="0"/>
              <w:left w:val="single" w:color="000000" w:sz="2" w:space="0"/>
              <w:bottom w:val="single" w:color="000000" w:sz="8" w:space="0"/>
              <w:right w:val="single" w:color="000000" w:sz="8" w:space="0"/>
            </w:tcBorders>
            <w:vAlign w:val="center"/>
          </w:tcPr>
          <w:p w14:paraId="23B41205">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流动源</w:t>
            </w:r>
          </w:p>
        </w:tc>
      </w:tr>
    </w:tbl>
    <w:p w14:paraId="55A1F8F4">
      <w:pPr>
        <w:autoSpaceDE w:val="0"/>
        <w:autoSpaceDN w:val="0"/>
        <w:adjustRightInd w:val="0"/>
        <w:spacing w:line="240" w:lineRule="exact"/>
        <w:rPr>
          <w:rFonts w:ascii="黑体"/>
          <w:bCs/>
          <w:color w:val="auto"/>
          <w:sz w:val="24"/>
          <w:szCs w:val="24"/>
        </w:rPr>
      </w:pPr>
    </w:p>
    <w:p w14:paraId="41D87CA3">
      <w:pPr>
        <w:pStyle w:val="132"/>
        <w:rPr>
          <w:color w:val="auto"/>
        </w:rPr>
      </w:pPr>
      <w:r>
        <w:rPr>
          <w:rFonts w:hint="eastAsia"/>
          <w:color w:val="auto"/>
        </w:rPr>
        <w:t>施工期各机械噪声源均视为点声源，根据《环境影响评价技术导则声环境》（HJ 2.4-2021）中无指向性几何发散衰减模式预测计算各类施工机械在不同距离的贡献值。点声源噪声衰减模式为：</w:t>
      </w:r>
    </w:p>
    <w:p w14:paraId="29324472">
      <w:pPr>
        <w:pStyle w:val="132"/>
        <w:ind w:firstLine="0" w:firstLineChars="0"/>
        <w:jc w:val="center"/>
        <w:rPr>
          <w:color w:val="auto"/>
        </w:rPr>
      </w:pPr>
      <w:r>
        <w:rPr>
          <w:color w:val="auto"/>
        </w:rPr>
        <w:t>L</w:t>
      </w:r>
      <w:r>
        <w:rPr>
          <w:rFonts w:hint="eastAsia"/>
          <w:color w:val="auto"/>
          <w:vertAlign w:val="subscript"/>
        </w:rPr>
        <w:t>p</w:t>
      </w:r>
      <w:r>
        <w:rPr>
          <w:color w:val="auto"/>
        </w:rPr>
        <w:t>(r)=L</w:t>
      </w:r>
      <w:r>
        <w:rPr>
          <w:rFonts w:hint="eastAsia"/>
          <w:color w:val="auto"/>
          <w:vertAlign w:val="subscript"/>
        </w:rPr>
        <w:t>p</w:t>
      </w:r>
      <w:r>
        <w:rPr>
          <w:color w:val="auto"/>
        </w:rPr>
        <w:t>(r</w:t>
      </w:r>
      <w:r>
        <w:rPr>
          <w:color w:val="auto"/>
          <w:vertAlign w:val="subscript"/>
        </w:rPr>
        <w:t>0</w:t>
      </w:r>
      <w:r>
        <w:rPr>
          <w:color w:val="auto"/>
        </w:rPr>
        <w:t>)-20lg(r/r</w:t>
      </w:r>
      <w:r>
        <w:rPr>
          <w:color w:val="auto"/>
          <w:vertAlign w:val="subscript"/>
        </w:rPr>
        <w:t>0</w:t>
      </w:r>
      <w:r>
        <w:rPr>
          <w:color w:val="auto"/>
        </w:rPr>
        <w:t>)</w:t>
      </w:r>
    </w:p>
    <w:p w14:paraId="08788AFB">
      <w:pPr>
        <w:pStyle w:val="132"/>
        <w:rPr>
          <w:color w:val="auto"/>
        </w:rPr>
      </w:pPr>
      <w:r>
        <w:rPr>
          <w:rFonts w:hint="eastAsia"/>
          <w:color w:val="auto"/>
        </w:rPr>
        <w:t>其中：</w:t>
      </w:r>
    </w:p>
    <w:p w14:paraId="13787031">
      <w:pPr>
        <w:pStyle w:val="132"/>
        <w:rPr>
          <w:color w:val="auto"/>
        </w:rPr>
      </w:pPr>
      <w:r>
        <w:rPr>
          <w:rFonts w:hint="eastAsia"/>
          <w:color w:val="auto"/>
        </w:rPr>
        <w:t>L</w:t>
      </w:r>
      <w:r>
        <w:rPr>
          <w:rFonts w:hint="eastAsia"/>
          <w:color w:val="auto"/>
          <w:vertAlign w:val="subscript"/>
        </w:rPr>
        <w:t>p</w:t>
      </w:r>
      <w:r>
        <w:rPr>
          <w:rFonts w:hint="eastAsia"/>
          <w:color w:val="auto"/>
        </w:rPr>
        <w:t>(r)——预测点处声压级，dB；</w:t>
      </w:r>
    </w:p>
    <w:p w14:paraId="0E74B356">
      <w:pPr>
        <w:pStyle w:val="132"/>
        <w:rPr>
          <w:color w:val="auto"/>
        </w:rPr>
      </w:pPr>
      <w:r>
        <w:rPr>
          <w:rFonts w:hint="eastAsia"/>
          <w:color w:val="auto"/>
        </w:rPr>
        <w:t>L</w:t>
      </w:r>
      <w:r>
        <w:rPr>
          <w:rFonts w:hint="eastAsia"/>
          <w:color w:val="auto"/>
          <w:vertAlign w:val="subscript"/>
        </w:rPr>
        <w:t>p</w:t>
      </w:r>
      <w:r>
        <w:rPr>
          <w:rFonts w:hint="eastAsia"/>
          <w:color w:val="auto"/>
        </w:rPr>
        <w:t>(r</w:t>
      </w:r>
      <w:r>
        <w:rPr>
          <w:rFonts w:hint="eastAsia"/>
          <w:color w:val="auto"/>
          <w:vertAlign w:val="subscript"/>
        </w:rPr>
        <w:t>0</w:t>
      </w:r>
      <w:r>
        <w:rPr>
          <w:rFonts w:hint="eastAsia"/>
          <w:color w:val="auto"/>
        </w:rPr>
        <w:t>)——参考位置r</w:t>
      </w:r>
      <w:r>
        <w:rPr>
          <w:rFonts w:hint="eastAsia"/>
          <w:color w:val="auto"/>
          <w:vertAlign w:val="subscript"/>
        </w:rPr>
        <w:t>0</w:t>
      </w:r>
      <w:r>
        <w:rPr>
          <w:rFonts w:hint="eastAsia"/>
          <w:color w:val="auto"/>
        </w:rPr>
        <w:t>处的声压级，dB；</w:t>
      </w:r>
    </w:p>
    <w:p w14:paraId="2E10B22D">
      <w:pPr>
        <w:pStyle w:val="132"/>
        <w:rPr>
          <w:color w:val="auto"/>
        </w:rPr>
      </w:pPr>
      <w:r>
        <w:rPr>
          <w:rFonts w:hint="eastAsia"/>
          <w:color w:val="auto"/>
        </w:rPr>
        <w:t>r——预测点距声源的距离；</w:t>
      </w:r>
    </w:p>
    <w:p w14:paraId="51902A35">
      <w:pPr>
        <w:pStyle w:val="132"/>
        <w:rPr>
          <w:color w:val="auto"/>
        </w:rPr>
      </w:pPr>
      <w:r>
        <w:rPr>
          <w:rFonts w:hint="eastAsia"/>
          <w:color w:val="auto"/>
        </w:rPr>
        <w:t>r</w:t>
      </w:r>
      <w:r>
        <w:rPr>
          <w:rFonts w:hint="eastAsia"/>
          <w:color w:val="auto"/>
          <w:vertAlign w:val="subscript"/>
        </w:rPr>
        <w:t>0</w:t>
      </w:r>
      <w:r>
        <w:rPr>
          <w:rFonts w:hint="eastAsia"/>
          <w:color w:val="auto"/>
        </w:rPr>
        <w:t>——参考位置距声源的距离。</w:t>
      </w:r>
    </w:p>
    <w:p w14:paraId="22B0267F">
      <w:pPr>
        <w:pStyle w:val="132"/>
        <w:rPr>
          <w:rFonts w:hint="eastAsia"/>
          <w:color w:val="auto"/>
        </w:rPr>
      </w:pPr>
      <w:r>
        <w:rPr>
          <w:rFonts w:hint="eastAsia"/>
          <w:color w:val="auto"/>
        </w:rPr>
        <w:t xml:space="preserve">根据上述公式计算出各类噪声设备在不同距离处的噪声贡献值，具体详见表 </w:t>
      </w:r>
      <w:r>
        <w:rPr>
          <w:color w:val="auto"/>
        </w:rPr>
        <w:t>5.1</w:t>
      </w:r>
      <w:r>
        <w:rPr>
          <w:rFonts w:hint="eastAsia"/>
          <w:color w:val="auto"/>
        </w:rPr>
        <w:t>–</w:t>
      </w:r>
      <w:r>
        <w:rPr>
          <w:color w:val="auto"/>
        </w:rPr>
        <w:t>2</w:t>
      </w:r>
      <w:r>
        <w:rPr>
          <w:rFonts w:hint="eastAsia"/>
          <w:color w:val="auto"/>
        </w:rPr>
        <w:t>。</w:t>
      </w:r>
    </w:p>
    <w:p w14:paraId="4132FE6A">
      <w:pPr>
        <w:pStyle w:val="132"/>
        <w:rPr>
          <w:rFonts w:hint="eastAsia"/>
          <w:color w:val="auto"/>
        </w:rPr>
      </w:pPr>
    </w:p>
    <w:p w14:paraId="6128BA50">
      <w:pPr>
        <w:pStyle w:val="132"/>
        <w:rPr>
          <w:rFonts w:hint="eastAsia"/>
          <w:color w:val="auto"/>
        </w:rPr>
      </w:pPr>
    </w:p>
    <w:p w14:paraId="0B7359D5">
      <w:pPr>
        <w:pStyle w:val="132"/>
        <w:rPr>
          <w:rFonts w:hint="eastAsia"/>
          <w:color w:val="auto"/>
        </w:rPr>
      </w:pPr>
    </w:p>
    <w:p w14:paraId="4FDFC5A7">
      <w:pPr>
        <w:pStyle w:val="1060"/>
        <w:spacing w:before="163"/>
        <w:rPr>
          <w:color w:val="auto"/>
          <w:szCs w:val="23"/>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w:t>
      </w:r>
      <w:r>
        <w:rPr>
          <w:rFonts w:hint="eastAsia"/>
          <w:color w:val="auto"/>
          <w:szCs w:val="23"/>
        </w:rPr>
        <w:t xml:space="preserve"> </w:t>
      </w:r>
      <w:r>
        <w:rPr>
          <w:rFonts w:hint="eastAsia" w:ascii="黑体" w:hAnsi="黑体"/>
          <w:color w:val="auto"/>
          <w:szCs w:val="23"/>
        </w:rPr>
        <w:t>施工噪声值随距离的衰减值一览表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226"/>
        <w:gridCol w:w="1618"/>
        <w:gridCol w:w="1204"/>
        <w:gridCol w:w="1202"/>
        <w:gridCol w:w="1202"/>
        <w:gridCol w:w="1239"/>
        <w:gridCol w:w="1095"/>
      </w:tblGrid>
      <w:tr w14:paraId="039A440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vMerge w:val="restart"/>
            <w:tcBorders>
              <w:top w:val="single" w:color="000000" w:sz="8" w:space="0"/>
              <w:left w:val="single" w:color="000000" w:sz="8" w:space="0"/>
              <w:bottom w:val="single" w:color="000000" w:sz="2" w:space="0"/>
              <w:right w:val="single" w:color="000000" w:sz="2" w:space="0"/>
            </w:tcBorders>
            <w:vAlign w:val="center"/>
          </w:tcPr>
          <w:p w14:paraId="56AE71CE">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施工机械</w:t>
            </w:r>
          </w:p>
        </w:tc>
        <w:tc>
          <w:tcPr>
            <w:tcW w:w="1606" w:type="pct"/>
            <w:gridSpan w:val="2"/>
            <w:tcBorders>
              <w:top w:val="single" w:color="000000" w:sz="8" w:space="0"/>
              <w:left w:val="single" w:color="000000" w:sz="2" w:space="0"/>
              <w:bottom w:val="single" w:color="000000" w:sz="2" w:space="0"/>
              <w:right w:val="single" w:color="000000" w:sz="2" w:space="0"/>
            </w:tcBorders>
            <w:vAlign w:val="center"/>
          </w:tcPr>
          <w:p w14:paraId="7D50D961">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噪声源强</w:t>
            </w:r>
          </w:p>
        </w:tc>
        <w:tc>
          <w:tcPr>
            <w:tcW w:w="2696" w:type="pct"/>
            <w:gridSpan w:val="4"/>
            <w:tcBorders>
              <w:top w:val="single" w:color="000000" w:sz="8" w:space="0"/>
              <w:left w:val="single" w:color="000000" w:sz="2" w:space="0"/>
              <w:bottom w:val="single" w:color="000000" w:sz="2" w:space="0"/>
              <w:right w:val="single" w:color="000000" w:sz="8" w:space="0"/>
            </w:tcBorders>
            <w:vAlign w:val="center"/>
          </w:tcPr>
          <w:p w14:paraId="21B04D82">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与噪声源距离</w:t>
            </w:r>
          </w:p>
        </w:tc>
      </w:tr>
      <w:tr w14:paraId="63817AE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vMerge w:val="continue"/>
            <w:tcBorders>
              <w:top w:val="single" w:color="000000" w:sz="8" w:space="0"/>
              <w:left w:val="single" w:color="000000" w:sz="8" w:space="0"/>
              <w:bottom w:val="single" w:color="000000" w:sz="2" w:space="0"/>
              <w:right w:val="single" w:color="000000" w:sz="2" w:space="0"/>
            </w:tcBorders>
            <w:vAlign w:val="center"/>
          </w:tcPr>
          <w:p w14:paraId="5030852D">
            <w:pPr>
              <w:widowControl w:val="0"/>
              <w:jc w:val="center"/>
              <w:rPr>
                <w:rFonts w:eastAsia="Times New Roman"/>
                <w:color w:val="auto"/>
                <w:sz w:val="21"/>
                <w:szCs w:val="21"/>
              </w:rPr>
            </w:pPr>
          </w:p>
        </w:tc>
        <w:tc>
          <w:tcPr>
            <w:tcW w:w="921" w:type="pct"/>
            <w:tcBorders>
              <w:top w:val="single" w:color="000000" w:sz="2" w:space="0"/>
              <w:left w:val="single" w:color="000000" w:sz="2" w:space="0"/>
              <w:bottom w:val="single" w:color="000000" w:sz="2" w:space="0"/>
              <w:right w:val="single" w:color="000000" w:sz="2" w:space="0"/>
            </w:tcBorders>
            <w:vAlign w:val="center"/>
          </w:tcPr>
          <w:p w14:paraId="7071F7DF">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测点距离（</w:t>
            </w:r>
            <w:r>
              <w:rPr>
                <w:rFonts w:hint="eastAsia" w:eastAsia="Times New Roman"/>
                <w:color w:val="auto"/>
                <w:sz w:val="21"/>
                <w:szCs w:val="21"/>
              </w:rPr>
              <w:t>m</w:t>
            </w:r>
            <w:r>
              <w:rPr>
                <w:rFonts w:hint="eastAsia" w:ascii="宋体" w:hAnsi="宋体" w:eastAsia="Times New Roman"/>
                <w:color w:val="auto"/>
                <w:sz w:val="21"/>
                <w:szCs w:val="21"/>
              </w:rPr>
              <w:t>）</w:t>
            </w:r>
          </w:p>
        </w:tc>
        <w:tc>
          <w:tcPr>
            <w:tcW w:w="684" w:type="pct"/>
            <w:tcBorders>
              <w:top w:val="single" w:color="000000" w:sz="2" w:space="0"/>
              <w:left w:val="single" w:color="000000" w:sz="2" w:space="0"/>
              <w:bottom w:val="single" w:color="000000" w:sz="2" w:space="0"/>
              <w:right w:val="single" w:color="000000" w:sz="2" w:space="0"/>
            </w:tcBorders>
            <w:vAlign w:val="center"/>
          </w:tcPr>
          <w:p w14:paraId="5F3F0EC3">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噪声值</w:t>
            </w:r>
          </w:p>
        </w:tc>
        <w:tc>
          <w:tcPr>
            <w:tcW w:w="684" w:type="pct"/>
            <w:tcBorders>
              <w:top w:val="single" w:color="000000" w:sz="2" w:space="0"/>
              <w:left w:val="single" w:color="000000" w:sz="2" w:space="0"/>
              <w:bottom w:val="single" w:color="000000" w:sz="2" w:space="0"/>
              <w:right w:val="single" w:color="000000" w:sz="2" w:space="0"/>
            </w:tcBorders>
            <w:vAlign w:val="center"/>
          </w:tcPr>
          <w:p w14:paraId="1126264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10m</w:t>
            </w:r>
          </w:p>
        </w:tc>
        <w:tc>
          <w:tcPr>
            <w:tcW w:w="684" w:type="pct"/>
            <w:tcBorders>
              <w:top w:val="single" w:color="000000" w:sz="2" w:space="0"/>
              <w:left w:val="single" w:color="000000" w:sz="2" w:space="0"/>
              <w:bottom w:val="single" w:color="000000" w:sz="2" w:space="0"/>
              <w:right w:val="single" w:color="000000" w:sz="2" w:space="0"/>
            </w:tcBorders>
            <w:vAlign w:val="center"/>
          </w:tcPr>
          <w:p w14:paraId="7F97710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50m</w:t>
            </w:r>
          </w:p>
        </w:tc>
        <w:tc>
          <w:tcPr>
            <w:tcW w:w="705" w:type="pct"/>
            <w:tcBorders>
              <w:top w:val="single" w:color="000000" w:sz="2" w:space="0"/>
              <w:left w:val="single" w:color="000000" w:sz="2" w:space="0"/>
              <w:bottom w:val="single" w:color="000000" w:sz="2" w:space="0"/>
              <w:right w:val="single" w:color="000000" w:sz="2" w:space="0"/>
            </w:tcBorders>
            <w:vAlign w:val="center"/>
          </w:tcPr>
          <w:p w14:paraId="6FD7B6F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100m</w:t>
            </w:r>
          </w:p>
        </w:tc>
        <w:tc>
          <w:tcPr>
            <w:tcW w:w="623" w:type="pct"/>
            <w:tcBorders>
              <w:top w:val="single" w:color="000000" w:sz="2" w:space="0"/>
              <w:left w:val="single" w:color="000000" w:sz="2" w:space="0"/>
              <w:bottom w:val="single" w:color="000000" w:sz="2" w:space="0"/>
              <w:right w:val="single" w:color="000000" w:sz="8" w:space="0"/>
            </w:tcBorders>
            <w:vAlign w:val="center"/>
          </w:tcPr>
          <w:p w14:paraId="4193F09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200m</w:t>
            </w:r>
          </w:p>
        </w:tc>
      </w:tr>
      <w:tr w14:paraId="6160DE4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tcBorders>
              <w:top w:val="single" w:color="000000" w:sz="2" w:space="0"/>
              <w:left w:val="single" w:color="000000" w:sz="8" w:space="0"/>
              <w:bottom w:val="single" w:color="000000" w:sz="2" w:space="0"/>
              <w:right w:val="single" w:color="000000" w:sz="2" w:space="0"/>
            </w:tcBorders>
            <w:vAlign w:val="center"/>
          </w:tcPr>
          <w:p w14:paraId="795452D8">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挖掘机</w:t>
            </w:r>
          </w:p>
        </w:tc>
        <w:tc>
          <w:tcPr>
            <w:tcW w:w="921" w:type="pct"/>
            <w:tcBorders>
              <w:top w:val="single" w:color="000000" w:sz="2" w:space="0"/>
              <w:left w:val="single" w:color="000000" w:sz="2" w:space="0"/>
              <w:bottom w:val="single" w:color="000000" w:sz="2" w:space="0"/>
              <w:right w:val="single" w:color="000000" w:sz="2" w:space="0"/>
            </w:tcBorders>
            <w:vAlign w:val="center"/>
          </w:tcPr>
          <w:p w14:paraId="32FB166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5</w:t>
            </w:r>
          </w:p>
        </w:tc>
        <w:tc>
          <w:tcPr>
            <w:tcW w:w="684" w:type="pct"/>
            <w:tcBorders>
              <w:top w:val="single" w:color="000000" w:sz="2" w:space="0"/>
              <w:left w:val="single" w:color="000000" w:sz="2" w:space="0"/>
              <w:bottom w:val="single" w:color="000000" w:sz="2" w:space="0"/>
              <w:right w:val="single" w:color="000000" w:sz="2" w:space="0"/>
            </w:tcBorders>
            <w:vAlign w:val="center"/>
          </w:tcPr>
          <w:p w14:paraId="6596BFC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84</w:t>
            </w:r>
          </w:p>
        </w:tc>
        <w:tc>
          <w:tcPr>
            <w:tcW w:w="684" w:type="pct"/>
            <w:tcBorders>
              <w:top w:val="single" w:color="000000" w:sz="2" w:space="0"/>
              <w:left w:val="single" w:color="000000" w:sz="2" w:space="0"/>
              <w:bottom w:val="single" w:color="000000" w:sz="2" w:space="0"/>
              <w:right w:val="single" w:color="000000" w:sz="2" w:space="0"/>
            </w:tcBorders>
            <w:vAlign w:val="center"/>
          </w:tcPr>
          <w:p w14:paraId="63486A7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83.8</w:t>
            </w:r>
          </w:p>
        </w:tc>
        <w:tc>
          <w:tcPr>
            <w:tcW w:w="684" w:type="pct"/>
            <w:tcBorders>
              <w:top w:val="single" w:color="000000" w:sz="2" w:space="0"/>
              <w:left w:val="single" w:color="000000" w:sz="2" w:space="0"/>
              <w:bottom w:val="single" w:color="000000" w:sz="2" w:space="0"/>
              <w:right w:val="single" w:color="000000" w:sz="2" w:space="0"/>
            </w:tcBorders>
            <w:vAlign w:val="center"/>
          </w:tcPr>
          <w:p w14:paraId="6C295F5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70.0</w:t>
            </w:r>
          </w:p>
        </w:tc>
        <w:tc>
          <w:tcPr>
            <w:tcW w:w="705" w:type="pct"/>
            <w:tcBorders>
              <w:top w:val="single" w:color="000000" w:sz="2" w:space="0"/>
              <w:left w:val="single" w:color="000000" w:sz="2" w:space="0"/>
              <w:bottom w:val="single" w:color="000000" w:sz="2" w:space="0"/>
              <w:right w:val="single" w:color="000000" w:sz="2" w:space="0"/>
            </w:tcBorders>
            <w:vAlign w:val="center"/>
          </w:tcPr>
          <w:p w14:paraId="0A3CC14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63.9</w:t>
            </w:r>
          </w:p>
        </w:tc>
        <w:tc>
          <w:tcPr>
            <w:tcW w:w="623" w:type="pct"/>
            <w:tcBorders>
              <w:top w:val="single" w:color="000000" w:sz="2" w:space="0"/>
              <w:left w:val="single" w:color="000000" w:sz="2" w:space="0"/>
              <w:bottom w:val="single" w:color="000000" w:sz="2" w:space="0"/>
              <w:right w:val="single" w:color="000000" w:sz="8" w:space="0"/>
            </w:tcBorders>
            <w:vAlign w:val="center"/>
          </w:tcPr>
          <w:p w14:paraId="57CFFE6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57.9</w:t>
            </w:r>
          </w:p>
        </w:tc>
      </w:tr>
      <w:tr w14:paraId="1D07C66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tcBorders>
              <w:top w:val="single" w:color="000000" w:sz="2" w:space="0"/>
              <w:left w:val="single" w:color="000000" w:sz="8" w:space="0"/>
              <w:bottom w:val="single" w:color="000000" w:sz="2" w:space="0"/>
              <w:right w:val="single" w:color="000000" w:sz="2" w:space="0"/>
            </w:tcBorders>
            <w:vAlign w:val="center"/>
          </w:tcPr>
          <w:p w14:paraId="5C3B866E">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推土机</w:t>
            </w:r>
          </w:p>
        </w:tc>
        <w:tc>
          <w:tcPr>
            <w:tcW w:w="921" w:type="pct"/>
            <w:tcBorders>
              <w:top w:val="single" w:color="000000" w:sz="2" w:space="0"/>
              <w:left w:val="single" w:color="000000" w:sz="2" w:space="0"/>
              <w:bottom w:val="single" w:color="000000" w:sz="2" w:space="0"/>
              <w:right w:val="single" w:color="000000" w:sz="2" w:space="0"/>
            </w:tcBorders>
            <w:vAlign w:val="center"/>
          </w:tcPr>
          <w:p w14:paraId="72A11ED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5</w:t>
            </w:r>
          </w:p>
        </w:tc>
        <w:tc>
          <w:tcPr>
            <w:tcW w:w="684" w:type="pct"/>
            <w:tcBorders>
              <w:top w:val="single" w:color="000000" w:sz="2" w:space="0"/>
              <w:left w:val="single" w:color="000000" w:sz="2" w:space="0"/>
              <w:bottom w:val="single" w:color="000000" w:sz="2" w:space="0"/>
              <w:right w:val="single" w:color="000000" w:sz="2" w:space="0"/>
            </w:tcBorders>
            <w:vAlign w:val="center"/>
          </w:tcPr>
          <w:p w14:paraId="2A29527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86</w:t>
            </w:r>
          </w:p>
        </w:tc>
        <w:tc>
          <w:tcPr>
            <w:tcW w:w="684" w:type="pct"/>
            <w:tcBorders>
              <w:top w:val="single" w:color="000000" w:sz="2" w:space="0"/>
              <w:left w:val="single" w:color="000000" w:sz="2" w:space="0"/>
              <w:bottom w:val="single" w:color="000000" w:sz="2" w:space="0"/>
              <w:right w:val="single" w:color="000000" w:sz="2" w:space="0"/>
            </w:tcBorders>
            <w:vAlign w:val="center"/>
          </w:tcPr>
          <w:p w14:paraId="0E4D347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81.9</w:t>
            </w:r>
          </w:p>
        </w:tc>
        <w:tc>
          <w:tcPr>
            <w:tcW w:w="684" w:type="pct"/>
            <w:tcBorders>
              <w:top w:val="single" w:color="000000" w:sz="2" w:space="0"/>
              <w:left w:val="single" w:color="000000" w:sz="2" w:space="0"/>
              <w:bottom w:val="single" w:color="000000" w:sz="2" w:space="0"/>
              <w:right w:val="single" w:color="000000" w:sz="2" w:space="0"/>
            </w:tcBorders>
            <w:vAlign w:val="center"/>
          </w:tcPr>
          <w:p w14:paraId="42E16FA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68.0</w:t>
            </w:r>
          </w:p>
        </w:tc>
        <w:tc>
          <w:tcPr>
            <w:tcW w:w="705" w:type="pct"/>
            <w:tcBorders>
              <w:top w:val="single" w:color="000000" w:sz="2" w:space="0"/>
              <w:left w:val="single" w:color="000000" w:sz="2" w:space="0"/>
              <w:bottom w:val="single" w:color="000000" w:sz="2" w:space="0"/>
              <w:right w:val="single" w:color="000000" w:sz="2" w:space="0"/>
            </w:tcBorders>
            <w:vAlign w:val="center"/>
          </w:tcPr>
          <w:p w14:paraId="5D86022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61.9</w:t>
            </w:r>
          </w:p>
        </w:tc>
        <w:tc>
          <w:tcPr>
            <w:tcW w:w="623" w:type="pct"/>
            <w:tcBorders>
              <w:top w:val="single" w:color="000000" w:sz="2" w:space="0"/>
              <w:left w:val="single" w:color="000000" w:sz="2" w:space="0"/>
              <w:bottom w:val="single" w:color="000000" w:sz="2" w:space="0"/>
              <w:right w:val="single" w:color="000000" w:sz="8" w:space="0"/>
            </w:tcBorders>
            <w:vAlign w:val="center"/>
          </w:tcPr>
          <w:p w14:paraId="790DAF3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55.9</w:t>
            </w:r>
          </w:p>
        </w:tc>
      </w:tr>
      <w:tr w14:paraId="499A650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tcBorders>
              <w:top w:val="single" w:color="000000" w:sz="2" w:space="0"/>
              <w:left w:val="single" w:color="000000" w:sz="8" w:space="0"/>
              <w:bottom w:val="single" w:color="000000" w:sz="2" w:space="0"/>
              <w:right w:val="single" w:color="000000" w:sz="2" w:space="0"/>
            </w:tcBorders>
            <w:vAlign w:val="center"/>
          </w:tcPr>
          <w:p w14:paraId="4E52DC72">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振捣器</w:t>
            </w:r>
          </w:p>
        </w:tc>
        <w:tc>
          <w:tcPr>
            <w:tcW w:w="921" w:type="pct"/>
            <w:tcBorders>
              <w:top w:val="single" w:color="000000" w:sz="2" w:space="0"/>
              <w:left w:val="single" w:color="000000" w:sz="2" w:space="0"/>
              <w:bottom w:val="single" w:color="000000" w:sz="2" w:space="0"/>
              <w:right w:val="single" w:color="000000" w:sz="2" w:space="0"/>
            </w:tcBorders>
            <w:vAlign w:val="center"/>
          </w:tcPr>
          <w:p w14:paraId="5BDFCD6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684" w:type="pct"/>
            <w:tcBorders>
              <w:top w:val="single" w:color="000000" w:sz="2" w:space="0"/>
              <w:left w:val="single" w:color="000000" w:sz="2" w:space="0"/>
              <w:bottom w:val="single" w:color="000000" w:sz="2" w:space="0"/>
              <w:right w:val="single" w:color="000000" w:sz="2" w:space="0"/>
            </w:tcBorders>
            <w:vAlign w:val="center"/>
          </w:tcPr>
          <w:p w14:paraId="33D7563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88</w:t>
            </w:r>
          </w:p>
        </w:tc>
        <w:tc>
          <w:tcPr>
            <w:tcW w:w="684" w:type="pct"/>
            <w:tcBorders>
              <w:top w:val="single" w:color="000000" w:sz="2" w:space="0"/>
              <w:left w:val="single" w:color="000000" w:sz="2" w:space="0"/>
              <w:bottom w:val="single" w:color="000000" w:sz="2" w:space="0"/>
              <w:right w:val="single" w:color="000000" w:sz="2" w:space="0"/>
            </w:tcBorders>
            <w:vAlign w:val="center"/>
          </w:tcPr>
          <w:p w14:paraId="67132A2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81.9</w:t>
            </w:r>
          </w:p>
        </w:tc>
        <w:tc>
          <w:tcPr>
            <w:tcW w:w="684" w:type="pct"/>
            <w:tcBorders>
              <w:top w:val="single" w:color="000000" w:sz="2" w:space="0"/>
              <w:left w:val="single" w:color="000000" w:sz="2" w:space="0"/>
              <w:bottom w:val="single" w:color="000000" w:sz="2" w:space="0"/>
              <w:right w:val="single" w:color="000000" w:sz="2" w:space="0"/>
            </w:tcBorders>
            <w:vAlign w:val="center"/>
          </w:tcPr>
          <w:p w14:paraId="6544565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68.0</w:t>
            </w:r>
          </w:p>
        </w:tc>
        <w:tc>
          <w:tcPr>
            <w:tcW w:w="705" w:type="pct"/>
            <w:tcBorders>
              <w:top w:val="single" w:color="000000" w:sz="2" w:space="0"/>
              <w:left w:val="single" w:color="000000" w:sz="2" w:space="0"/>
              <w:bottom w:val="single" w:color="000000" w:sz="2" w:space="0"/>
              <w:right w:val="single" w:color="000000" w:sz="2" w:space="0"/>
            </w:tcBorders>
            <w:vAlign w:val="center"/>
          </w:tcPr>
          <w:p w14:paraId="09B1D28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61.9</w:t>
            </w:r>
          </w:p>
        </w:tc>
        <w:tc>
          <w:tcPr>
            <w:tcW w:w="623" w:type="pct"/>
            <w:tcBorders>
              <w:top w:val="single" w:color="000000" w:sz="2" w:space="0"/>
              <w:left w:val="single" w:color="000000" w:sz="2" w:space="0"/>
              <w:bottom w:val="single" w:color="000000" w:sz="2" w:space="0"/>
              <w:right w:val="single" w:color="000000" w:sz="8" w:space="0"/>
            </w:tcBorders>
            <w:vAlign w:val="center"/>
          </w:tcPr>
          <w:p w14:paraId="05E5527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55.9</w:t>
            </w:r>
          </w:p>
        </w:tc>
      </w:tr>
      <w:tr w14:paraId="29AFCA1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tcBorders>
              <w:top w:val="single" w:color="000000" w:sz="2" w:space="0"/>
              <w:left w:val="single" w:color="000000" w:sz="8" w:space="0"/>
              <w:bottom w:val="single" w:color="000000" w:sz="2" w:space="0"/>
              <w:right w:val="single" w:color="000000" w:sz="2" w:space="0"/>
            </w:tcBorders>
            <w:vAlign w:val="center"/>
          </w:tcPr>
          <w:p w14:paraId="432241F7">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打桩机</w:t>
            </w:r>
          </w:p>
        </w:tc>
        <w:tc>
          <w:tcPr>
            <w:tcW w:w="921" w:type="pct"/>
            <w:tcBorders>
              <w:top w:val="single" w:color="000000" w:sz="2" w:space="0"/>
              <w:left w:val="single" w:color="000000" w:sz="2" w:space="0"/>
              <w:bottom w:val="single" w:color="000000" w:sz="2" w:space="0"/>
              <w:right w:val="single" w:color="000000" w:sz="2" w:space="0"/>
            </w:tcBorders>
            <w:vAlign w:val="center"/>
          </w:tcPr>
          <w:p w14:paraId="14496FB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684" w:type="pct"/>
            <w:tcBorders>
              <w:top w:val="single" w:color="000000" w:sz="2" w:space="0"/>
              <w:left w:val="single" w:color="000000" w:sz="2" w:space="0"/>
              <w:bottom w:val="single" w:color="000000" w:sz="2" w:space="0"/>
              <w:right w:val="single" w:color="000000" w:sz="2" w:space="0"/>
            </w:tcBorders>
            <w:vAlign w:val="center"/>
          </w:tcPr>
          <w:p w14:paraId="604F377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100</w:t>
            </w:r>
          </w:p>
        </w:tc>
        <w:tc>
          <w:tcPr>
            <w:tcW w:w="684" w:type="pct"/>
            <w:tcBorders>
              <w:top w:val="single" w:color="000000" w:sz="2" w:space="0"/>
              <w:left w:val="single" w:color="000000" w:sz="2" w:space="0"/>
              <w:bottom w:val="single" w:color="000000" w:sz="2" w:space="0"/>
              <w:right w:val="single" w:color="000000" w:sz="2" w:space="0"/>
            </w:tcBorders>
            <w:vAlign w:val="center"/>
          </w:tcPr>
          <w:p w14:paraId="5A0F995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93.9</w:t>
            </w:r>
          </w:p>
        </w:tc>
        <w:tc>
          <w:tcPr>
            <w:tcW w:w="684" w:type="pct"/>
            <w:tcBorders>
              <w:top w:val="single" w:color="000000" w:sz="2" w:space="0"/>
              <w:left w:val="single" w:color="000000" w:sz="2" w:space="0"/>
              <w:bottom w:val="single" w:color="000000" w:sz="2" w:space="0"/>
              <w:right w:val="single" w:color="000000" w:sz="2" w:space="0"/>
            </w:tcBorders>
            <w:vAlign w:val="center"/>
          </w:tcPr>
          <w:p w14:paraId="237B430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80</w:t>
            </w:r>
          </w:p>
        </w:tc>
        <w:tc>
          <w:tcPr>
            <w:tcW w:w="705" w:type="pct"/>
            <w:tcBorders>
              <w:top w:val="single" w:color="000000" w:sz="2" w:space="0"/>
              <w:left w:val="single" w:color="000000" w:sz="2" w:space="0"/>
              <w:bottom w:val="single" w:color="000000" w:sz="2" w:space="0"/>
              <w:right w:val="single" w:color="000000" w:sz="2" w:space="0"/>
            </w:tcBorders>
            <w:vAlign w:val="center"/>
          </w:tcPr>
          <w:p w14:paraId="4AC8216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73.9</w:t>
            </w:r>
          </w:p>
        </w:tc>
        <w:tc>
          <w:tcPr>
            <w:tcW w:w="623" w:type="pct"/>
            <w:tcBorders>
              <w:top w:val="single" w:color="000000" w:sz="2" w:space="0"/>
              <w:left w:val="single" w:color="000000" w:sz="2" w:space="0"/>
              <w:bottom w:val="single" w:color="000000" w:sz="2" w:space="0"/>
              <w:right w:val="single" w:color="000000" w:sz="8" w:space="0"/>
            </w:tcBorders>
            <w:vAlign w:val="center"/>
          </w:tcPr>
          <w:p w14:paraId="7AB5C0B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67.9</w:t>
            </w:r>
          </w:p>
        </w:tc>
      </w:tr>
      <w:tr w14:paraId="1F2A7BB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tcBorders>
              <w:top w:val="single" w:color="000000" w:sz="2" w:space="0"/>
              <w:left w:val="single" w:color="000000" w:sz="8" w:space="0"/>
              <w:bottom w:val="single" w:color="000000" w:sz="2" w:space="0"/>
              <w:right w:val="single" w:color="000000" w:sz="2" w:space="0"/>
            </w:tcBorders>
            <w:vAlign w:val="center"/>
          </w:tcPr>
          <w:p w14:paraId="57E95788">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各类压路机</w:t>
            </w:r>
          </w:p>
        </w:tc>
        <w:tc>
          <w:tcPr>
            <w:tcW w:w="921" w:type="pct"/>
            <w:tcBorders>
              <w:top w:val="single" w:color="000000" w:sz="2" w:space="0"/>
              <w:left w:val="single" w:color="000000" w:sz="2" w:space="0"/>
              <w:bottom w:val="single" w:color="000000" w:sz="2" w:space="0"/>
              <w:right w:val="single" w:color="000000" w:sz="2" w:space="0"/>
            </w:tcBorders>
            <w:vAlign w:val="center"/>
          </w:tcPr>
          <w:p w14:paraId="2DCFE19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684" w:type="pct"/>
            <w:tcBorders>
              <w:top w:val="single" w:color="000000" w:sz="2" w:space="0"/>
              <w:left w:val="single" w:color="000000" w:sz="2" w:space="0"/>
              <w:bottom w:val="single" w:color="000000" w:sz="2" w:space="0"/>
              <w:right w:val="single" w:color="000000" w:sz="2" w:space="0"/>
            </w:tcBorders>
            <w:vAlign w:val="center"/>
          </w:tcPr>
          <w:p w14:paraId="1B0D0D0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90</w:t>
            </w:r>
          </w:p>
        </w:tc>
        <w:tc>
          <w:tcPr>
            <w:tcW w:w="684" w:type="pct"/>
            <w:tcBorders>
              <w:top w:val="single" w:color="000000" w:sz="2" w:space="0"/>
              <w:left w:val="single" w:color="000000" w:sz="2" w:space="0"/>
              <w:bottom w:val="single" w:color="000000" w:sz="2" w:space="0"/>
              <w:right w:val="single" w:color="000000" w:sz="2" w:space="0"/>
            </w:tcBorders>
            <w:vAlign w:val="center"/>
          </w:tcPr>
          <w:p w14:paraId="5EB9BCD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83.8</w:t>
            </w:r>
          </w:p>
        </w:tc>
        <w:tc>
          <w:tcPr>
            <w:tcW w:w="684" w:type="pct"/>
            <w:tcBorders>
              <w:top w:val="single" w:color="000000" w:sz="2" w:space="0"/>
              <w:left w:val="single" w:color="000000" w:sz="2" w:space="0"/>
              <w:bottom w:val="single" w:color="000000" w:sz="2" w:space="0"/>
              <w:right w:val="single" w:color="000000" w:sz="2" w:space="0"/>
            </w:tcBorders>
            <w:vAlign w:val="center"/>
          </w:tcPr>
          <w:p w14:paraId="168DF17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70.0</w:t>
            </w:r>
          </w:p>
        </w:tc>
        <w:tc>
          <w:tcPr>
            <w:tcW w:w="705" w:type="pct"/>
            <w:tcBorders>
              <w:top w:val="single" w:color="000000" w:sz="2" w:space="0"/>
              <w:left w:val="single" w:color="000000" w:sz="2" w:space="0"/>
              <w:bottom w:val="single" w:color="000000" w:sz="2" w:space="0"/>
              <w:right w:val="single" w:color="000000" w:sz="2" w:space="0"/>
            </w:tcBorders>
            <w:vAlign w:val="center"/>
          </w:tcPr>
          <w:p w14:paraId="5E7499D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63.9</w:t>
            </w:r>
          </w:p>
        </w:tc>
        <w:tc>
          <w:tcPr>
            <w:tcW w:w="623" w:type="pct"/>
            <w:tcBorders>
              <w:top w:val="single" w:color="000000" w:sz="2" w:space="0"/>
              <w:left w:val="single" w:color="000000" w:sz="2" w:space="0"/>
              <w:bottom w:val="single" w:color="000000" w:sz="2" w:space="0"/>
              <w:right w:val="single" w:color="000000" w:sz="8" w:space="0"/>
            </w:tcBorders>
            <w:vAlign w:val="center"/>
          </w:tcPr>
          <w:p w14:paraId="3A3F083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57.9</w:t>
            </w:r>
          </w:p>
        </w:tc>
      </w:tr>
      <w:tr w14:paraId="662E49E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tcBorders>
              <w:top w:val="single" w:color="000000" w:sz="2" w:space="0"/>
              <w:left w:val="single" w:color="000000" w:sz="8" w:space="0"/>
              <w:bottom w:val="single" w:color="000000" w:sz="2" w:space="0"/>
              <w:right w:val="single" w:color="000000" w:sz="2" w:space="0"/>
            </w:tcBorders>
            <w:vAlign w:val="center"/>
          </w:tcPr>
          <w:p w14:paraId="3BD930F7">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电锯</w:t>
            </w:r>
          </w:p>
        </w:tc>
        <w:tc>
          <w:tcPr>
            <w:tcW w:w="921" w:type="pct"/>
            <w:tcBorders>
              <w:top w:val="single" w:color="000000" w:sz="2" w:space="0"/>
              <w:left w:val="single" w:color="000000" w:sz="2" w:space="0"/>
              <w:bottom w:val="single" w:color="000000" w:sz="2" w:space="0"/>
              <w:right w:val="single" w:color="000000" w:sz="2" w:space="0"/>
            </w:tcBorders>
            <w:vAlign w:val="center"/>
          </w:tcPr>
          <w:p w14:paraId="1638358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684" w:type="pct"/>
            <w:tcBorders>
              <w:top w:val="single" w:color="000000" w:sz="2" w:space="0"/>
              <w:left w:val="single" w:color="000000" w:sz="2" w:space="0"/>
              <w:bottom w:val="single" w:color="000000" w:sz="2" w:space="0"/>
              <w:right w:val="single" w:color="000000" w:sz="2" w:space="0"/>
            </w:tcBorders>
            <w:vAlign w:val="center"/>
          </w:tcPr>
          <w:p w14:paraId="0569F53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99</w:t>
            </w:r>
          </w:p>
        </w:tc>
        <w:tc>
          <w:tcPr>
            <w:tcW w:w="684" w:type="pct"/>
            <w:tcBorders>
              <w:top w:val="single" w:color="000000" w:sz="2" w:space="0"/>
              <w:left w:val="single" w:color="000000" w:sz="2" w:space="0"/>
              <w:bottom w:val="single" w:color="000000" w:sz="2" w:space="0"/>
              <w:right w:val="single" w:color="000000" w:sz="2" w:space="0"/>
            </w:tcBorders>
            <w:vAlign w:val="center"/>
          </w:tcPr>
          <w:p w14:paraId="4CF1779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92.9</w:t>
            </w:r>
          </w:p>
        </w:tc>
        <w:tc>
          <w:tcPr>
            <w:tcW w:w="684" w:type="pct"/>
            <w:tcBorders>
              <w:top w:val="single" w:color="000000" w:sz="2" w:space="0"/>
              <w:left w:val="single" w:color="000000" w:sz="2" w:space="0"/>
              <w:bottom w:val="single" w:color="000000" w:sz="2" w:space="0"/>
              <w:right w:val="single" w:color="000000" w:sz="2" w:space="0"/>
            </w:tcBorders>
            <w:vAlign w:val="center"/>
          </w:tcPr>
          <w:p w14:paraId="66863E5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79.0</w:t>
            </w:r>
          </w:p>
        </w:tc>
        <w:tc>
          <w:tcPr>
            <w:tcW w:w="705" w:type="pct"/>
            <w:tcBorders>
              <w:top w:val="single" w:color="000000" w:sz="2" w:space="0"/>
              <w:left w:val="single" w:color="000000" w:sz="2" w:space="0"/>
              <w:bottom w:val="single" w:color="000000" w:sz="2" w:space="0"/>
              <w:right w:val="single" w:color="000000" w:sz="2" w:space="0"/>
            </w:tcBorders>
            <w:vAlign w:val="center"/>
          </w:tcPr>
          <w:p w14:paraId="4713537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72.9</w:t>
            </w:r>
          </w:p>
        </w:tc>
        <w:tc>
          <w:tcPr>
            <w:tcW w:w="623" w:type="pct"/>
            <w:tcBorders>
              <w:top w:val="single" w:color="000000" w:sz="2" w:space="0"/>
              <w:left w:val="single" w:color="000000" w:sz="2" w:space="0"/>
              <w:bottom w:val="single" w:color="000000" w:sz="2" w:space="0"/>
              <w:right w:val="single" w:color="000000" w:sz="8" w:space="0"/>
            </w:tcBorders>
            <w:vAlign w:val="center"/>
          </w:tcPr>
          <w:p w14:paraId="4B75183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66.9</w:t>
            </w:r>
          </w:p>
        </w:tc>
      </w:tr>
      <w:tr w14:paraId="0042004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98" w:type="pct"/>
            <w:tcBorders>
              <w:top w:val="single" w:color="000000" w:sz="2" w:space="0"/>
              <w:left w:val="single" w:color="000000" w:sz="8" w:space="0"/>
              <w:bottom w:val="single" w:color="000000" w:sz="8" w:space="0"/>
              <w:right w:val="single" w:color="000000" w:sz="2" w:space="0"/>
            </w:tcBorders>
            <w:vAlign w:val="center"/>
          </w:tcPr>
          <w:p w14:paraId="18D6C412">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角磨机</w:t>
            </w:r>
          </w:p>
        </w:tc>
        <w:tc>
          <w:tcPr>
            <w:tcW w:w="921" w:type="pct"/>
            <w:tcBorders>
              <w:top w:val="single" w:color="000000" w:sz="2" w:space="0"/>
              <w:left w:val="single" w:color="000000" w:sz="2" w:space="0"/>
              <w:bottom w:val="single" w:color="000000" w:sz="8" w:space="0"/>
              <w:right w:val="single" w:color="000000" w:sz="2" w:space="0"/>
            </w:tcBorders>
            <w:vAlign w:val="center"/>
          </w:tcPr>
          <w:p w14:paraId="022C982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684" w:type="pct"/>
            <w:tcBorders>
              <w:top w:val="single" w:color="000000" w:sz="2" w:space="0"/>
              <w:left w:val="single" w:color="000000" w:sz="2" w:space="0"/>
              <w:bottom w:val="single" w:color="000000" w:sz="8" w:space="0"/>
              <w:right w:val="single" w:color="000000" w:sz="2" w:space="0"/>
            </w:tcBorders>
            <w:vAlign w:val="center"/>
          </w:tcPr>
          <w:p w14:paraId="03D5805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96</w:t>
            </w:r>
          </w:p>
        </w:tc>
        <w:tc>
          <w:tcPr>
            <w:tcW w:w="684" w:type="pct"/>
            <w:tcBorders>
              <w:top w:val="single" w:color="000000" w:sz="2" w:space="0"/>
              <w:left w:val="single" w:color="000000" w:sz="2" w:space="0"/>
              <w:bottom w:val="single" w:color="000000" w:sz="8" w:space="0"/>
              <w:right w:val="single" w:color="000000" w:sz="2" w:space="0"/>
            </w:tcBorders>
            <w:vAlign w:val="center"/>
          </w:tcPr>
          <w:p w14:paraId="30AA16C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89.9</w:t>
            </w:r>
          </w:p>
        </w:tc>
        <w:tc>
          <w:tcPr>
            <w:tcW w:w="684" w:type="pct"/>
            <w:tcBorders>
              <w:top w:val="single" w:color="000000" w:sz="2" w:space="0"/>
              <w:left w:val="single" w:color="000000" w:sz="2" w:space="0"/>
              <w:bottom w:val="single" w:color="000000" w:sz="8" w:space="0"/>
              <w:right w:val="single" w:color="000000" w:sz="2" w:space="0"/>
            </w:tcBorders>
            <w:vAlign w:val="center"/>
          </w:tcPr>
          <w:p w14:paraId="08379F9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w:t>
            </w:r>
          </w:p>
        </w:tc>
        <w:tc>
          <w:tcPr>
            <w:tcW w:w="705" w:type="pct"/>
            <w:tcBorders>
              <w:top w:val="single" w:color="000000" w:sz="2" w:space="0"/>
              <w:left w:val="single" w:color="000000" w:sz="2" w:space="0"/>
              <w:bottom w:val="single" w:color="000000" w:sz="8" w:space="0"/>
              <w:right w:val="single" w:color="000000" w:sz="2" w:space="0"/>
            </w:tcBorders>
            <w:vAlign w:val="center"/>
          </w:tcPr>
          <w:p w14:paraId="58F2BC0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69.9</w:t>
            </w:r>
          </w:p>
        </w:tc>
        <w:tc>
          <w:tcPr>
            <w:tcW w:w="623" w:type="pct"/>
            <w:tcBorders>
              <w:top w:val="single" w:color="000000" w:sz="2" w:space="0"/>
              <w:left w:val="single" w:color="000000" w:sz="2" w:space="0"/>
              <w:bottom w:val="single" w:color="000000" w:sz="8" w:space="0"/>
              <w:right w:val="single" w:color="000000" w:sz="8" w:space="0"/>
            </w:tcBorders>
            <w:vAlign w:val="center"/>
          </w:tcPr>
          <w:p w14:paraId="73257D3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63.9</w:t>
            </w:r>
          </w:p>
        </w:tc>
      </w:tr>
    </w:tbl>
    <w:p w14:paraId="7F114DF9">
      <w:pPr>
        <w:autoSpaceDE w:val="0"/>
        <w:autoSpaceDN w:val="0"/>
        <w:adjustRightInd w:val="0"/>
        <w:spacing w:line="240" w:lineRule="exact"/>
        <w:rPr>
          <w:rFonts w:ascii="黑体"/>
          <w:bCs/>
          <w:color w:val="auto"/>
          <w:sz w:val="24"/>
          <w:szCs w:val="24"/>
        </w:rPr>
      </w:pPr>
    </w:p>
    <w:p w14:paraId="55E953C6">
      <w:pPr>
        <w:pStyle w:val="132"/>
        <w:rPr>
          <w:color w:val="auto"/>
        </w:rPr>
      </w:pPr>
      <w:r>
        <w:rPr>
          <w:rFonts w:hint="eastAsia"/>
          <w:color w:val="auto"/>
        </w:rPr>
        <w:t>由噪声源预测计算结果可知，施工场地作业阶段，昼间距施工设备50m，夜间200m可满足《建筑施工噪声排放标准》（GB 12523-2025）的要求。</w:t>
      </w:r>
    </w:p>
    <w:p w14:paraId="733FC6FE">
      <w:pPr>
        <w:pStyle w:val="4"/>
        <w:rPr>
          <w:color w:val="auto"/>
        </w:rPr>
      </w:pPr>
      <w:r>
        <w:rPr>
          <w:rFonts w:hint="eastAsia"/>
          <w:color w:val="auto"/>
        </w:rPr>
        <w:t>施工期固体废物影响分析</w:t>
      </w:r>
    </w:p>
    <w:p w14:paraId="70C1E5F9">
      <w:pPr>
        <w:pStyle w:val="132"/>
        <w:rPr>
          <w:color w:val="auto"/>
        </w:rPr>
      </w:pPr>
      <w:r>
        <w:rPr>
          <w:rFonts w:hint="eastAsia"/>
          <w:color w:val="auto"/>
        </w:rPr>
        <w:t>本项目施工期固体废物主要是建筑垃圾和施工人员的生活垃圾等。</w:t>
      </w:r>
    </w:p>
    <w:p w14:paraId="59A06A48">
      <w:pPr>
        <w:pStyle w:val="132"/>
        <w:rPr>
          <w:color w:val="auto"/>
        </w:rPr>
      </w:pPr>
      <w:r>
        <w:rPr>
          <w:rFonts w:hint="eastAsia"/>
          <w:color w:val="auto"/>
        </w:rPr>
        <w:t>（1）厂内施工作业固废影响分析</w:t>
      </w:r>
      <w:r>
        <w:rPr>
          <w:rFonts w:hint="eastAsia" w:ascii="宋体"/>
          <w:color w:val="auto"/>
        </w:rPr>
        <w:t>（</w:t>
      </w:r>
      <w:r>
        <w:rPr>
          <w:rFonts w:hint="eastAsia"/>
          <w:color w:val="auto"/>
        </w:rPr>
        <w:t>建筑垃圾</w:t>
      </w:r>
      <w:r>
        <w:rPr>
          <w:rFonts w:hint="eastAsia" w:ascii="宋体"/>
          <w:color w:val="auto"/>
        </w:rPr>
        <w:t>）</w:t>
      </w:r>
    </w:p>
    <w:p w14:paraId="7A1A2A7D">
      <w:pPr>
        <w:pStyle w:val="132"/>
        <w:rPr>
          <w:color w:val="auto"/>
        </w:rPr>
      </w:pPr>
      <w:r>
        <w:rPr>
          <w:rFonts w:hint="eastAsia"/>
          <w:color w:val="auto"/>
        </w:rPr>
        <w:t>施工期的建筑垃圾主要有开挖土方、平整场地、主体建筑物楼体内外装修装饰过程中均产生大量建筑垃圾、残土等固体废物。按每建筑1万m</w:t>
      </w:r>
      <w:r>
        <w:rPr>
          <w:rFonts w:hint="eastAsia"/>
          <w:color w:val="auto"/>
          <w:vertAlign w:val="superscript"/>
        </w:rPr>
        <w:t>2</w:t>
      </w:r>
      <w:r>
        <w:rPr>
          <w:rFonts w:hint="eastAsia"/>
          <w:color w:val="auto"/>
        </w:rPr>
        <w:t>产生500t的建筑垃圾计算，项目建筑面积约</w:t>
      </w:r>
      <w:r>
        <w:rPr>
          <w:color w:val="auto"/>
        </w:rPr>
        <w:t>33333.33</w:t>
      </w:r>
      <w:r>
        <w:rPr>
          <w:rFonts w:hint="eastAsia"/>
          <w:color w:val="auto"/>
        </w:rPr>
        <w:t>m</w:t>
      </w:r>
      <w:r>
        <w:rPr>
          <w:rFonts w:hint="eastAsia"/>
          <w:color w:val="auto"/>
          <w:vertAlign w:val="superscript"/>
        </w:rPr>
        <w:t>2</w:t>
      </w:r>
      <w:r>
        <w:rPr>
          <w:rFonts w:hint="eastAsia"/>
          <w:color w:val="auto"/>
        </w:rPr>
        <w:t>，则产生的建筑垃圾约为1666.67t。对于在施工期产生的建筑垃圾，应在施工区规定区域内堆放，并用篷布遮盖，建设单位在与施工单位签订承包合同时，应明确固体废物的处理方式、处理去向、处理单位，确保固体废物在产生后及时送至建筑垃圾填埋场妥善进行处置。</w:t>
      </w:r>
    </w:p>
    <w:p w14:paraId="58DCF18C">
      <w:pPr>
        <w:pStyle w:val="132"/>
        <w:rPr>
          <w:color w:val="auto"/>
        </w:rPr>
      </w:pPr>
      <w:r>
        <w:rPr>
          <w:rFonts w:hint="eastAsia"/>
          <w:color w:val="auto"/>
        </w:rPr>
        <w:t>（2）厂外施工作业固废影响分析</w:t>
      </w:r>
    </w:p>
    <w:p w14:paraId="2F2B76AE">
      <w:pPr>
        <w:pStyle w:val="132"/>
        <w:rPr>
          <w:color w:val="auto"/>
        </w:rPr>
      </w:pPr>
      <w:r>
        <w:rPr>
          <w:rFonts w:hint="eastAsia"/>
          <w:color w:val="auto"/>
        </w:rPr>
        <w:t>①施工废料</w:t>
      </w:r>
    </w:p>
    <w:p w14:paraId="3174BD7D">
      <w:pPr>
        <w:pStyle w:val="132"/>
        <w:rPr>
          <w:color w:val="auto"/>
        </w:rPr>
      </w:pPr>
      <w:r>
        <w:rPr>
          <w:rFonts w:hint="eastAsia"/>
          <w:color w:val="auto"/>
        </w:rPr>
        <w:t>施工废料主要包括焊接作业中产生废焊条及其他废料等。本工程管线施工过程产生的施工废料量约为0.64t，部分回收利用，剩余废料可依托当地职能部门进行有偿清运处理。</w:t>
      </w:r>
    </w:p>
    <w:p w14:paraId="66963ACD">
      <w:pPr>
        <w:pStyle w:val="132"/>
        <w:rPr>
          <w:color w:val="auto"/>
        </w:rPr>
      </w:pPr>
      <w:r>
        <w:rPr>
          <w:rFonts w:hint="eastAsia"/>
          <w:color w:val="auto"/>
        </w:rPr>
        <w:t>②工程弃土、弃渣</w:t>
      </w:r>
    </w:p>
    <w:p w14:paraId="2C5AB4DF">
      <w:pPr>
        <w:pStyle w:val="132"/>
        <w:rPr>
          <w:color w:val="auto"/>
        </w:rPr>
      </w:pPr>
      <w:r>
        <w:rPr>
          <w:rFonts w:hint="eastAsia"/>
          <w:color w:val="auto"/>
        </w:rPr>
        <w:t>本工程在建设中土石方量依据各类施工工艺分段进行熟土（表层耕作土）和生土（下层土）分开堆放，管沟回填按生、熟土顺序填放，保护耕作层。开挖敷设产生的土石方全部回填，回填后管沟上方留有自然沉降余量，多余土石方就地平整。</w:t>
      </w:r>
    </w:p>
    <w:p w14:paraId="2ED9A628">
      <w:pPr>
        <w:pStyle w:val="132"/>
        <w:rPr>
          <w:color w:val="auto"/>
        </w:rPr>
      </w:pPr>
      <w:r>
        <w:rPr>
          <w:rFonts w:hint="eastAsia"/>
          <w:color w:val="auto"/>
        </w:rPr>
        <w:t>（3）施工期生活垃圾</w:t>
      </w:r>
    </w:p>
    <w:p w14:paraId="6EC80985">
      <w:pPr>
        <w:pStyle w:val="132"/>
        <w:rPr>
          <w:color w:val="auto"/>
        </w:rPr>
      </w:pPr>
      <w:r>
        <w:rPr>
          <w:rFonts w:hint="eastAsia"/>
          <w:color w:val="auto"/>
        </w:rPr>
        <w:t>本项目施工期施工人员高峰时约100人，每天生活垃圾产生量按0.5kg/（人</w:t>
      </w:r>
      <w:r>
        <w:rPr>
          <w:color w:val="auto"/>
        </w:rPr>
        <w:t>·</w:t>
      </w:r>
      <w:r>
        <w:rPr>
          <w:rFonts w:hint="eastAsia"/>
          <w:color w:val="auto"/>
        </w:rPr>
        <w:t>d）计，施工人员生活垃圾排放量为0.05t/d。这类固体废物的污染物含量较高，若不对其采取有效的处理措施，任其在施工现场随意堆放，则可能造成这些废物的腐烂，滋生蚊虫，散发臭气，对项目周边环境造成不良影响。因此，施工人员的生活垃圾在施工区集中收集，定期运往生活垃圾填埋场（米东区生活垃圾填埋场）填埋处置，对周围环境影响小。</w:t>
      </w:r>
    </w:p>
    <w:p w14:paraId="0B222DFA">
      <w:pPr>
        <w:pStyle w:val="132"/>
        <w:rPr>
          <w:color w:val="auto"/>
        </w:rPr>
      </w:pPr>
      <w:r>
        <w:rPr>
          <w:rFonts w:hint="eastAsia"/>
          <w:color w:val="auto"/>
        </w:rPr>
        <w:t>施工期所产生的各种固体废物均属于一般固体废物，各类固体废物均得到妥善地处理处置，不会长期在外环境中堆存，故不会对环境造成大的影响。</w:t>
      </w:r>
    </w:p>
    <w:p w14:paraId="394A90A2">
      <w:pPr>
        <w:pStyle w:val="132"/>
        <w:rPr>
          <w:color w:val="auto"/>
        </w:rPr>
      </w:pPr>
      <w:r>
        <w:rPr>
          <w:rFonts w:hint="eastAsia"/>
          <w:color w:val="auto"/>
        </w:rPr>
        <w:t>在项目竣工以后，施工单位应同时拆除各种临时施工设施，并负责将工地的剩余建筑垃圾、工程渣土处理干净，做到“工完、料尽、场地清”。建设单位应负责督促施工单位的固体废物处置清理工作。</w:t>
      </w:r>
    </w:p>
    <w:p w14:paraId="7C9B7542">
      <w:pPr>
        <w:pStyle w:val="4"/>
        <w:rPr>
          <w:color w:val="auto"/>
        </w:rPr>
      </w:pPr>
      <w:r>
        <w:rPr>
          <w:rFonts w:hint="eastAsia"/>
          <w:color w:val="auto"/>
        </w:rPr>
        <w:t>施工期生态环境影响分析</w:t>
      </w:r>
    </w:p>
    <w:p w14:paraId="72EE6015">
      <w:pPr>
        <w:pStyle w:val="132"/>
        <w:rPr>
          <w:color w:val="auto"/>
        </w:rPr>
      </w:pPr>
      <w:r>
        <w:rPr>
          <w:rFonts w:hint="eastAsia"/>
          <w:color w:val="auto"/>
        </w:rPr>
        <w:t>（1）厂内施工作业生态环境影响分析</w:t>
      </w:r>
    </w:p>
    <w:p w14:paraId="3DE8F041">
      <w:pPr>
        <w:pStyle w:val="132"/>
        <w:rPr>
          <w:color w:val="auto"/>
        </w:rPr>
      </w:pPr>
      <w:r>
        <w:rPr>
          <w:rFonts w:hint="eastAsia"/>
          <w:color w:val="auto"/>
        </w:rPr>
        <w:t>建设期的生态环境影响主要表现为土石方工程对占地厂区内的植被破坏、水土流失、用地格局变化。</w:t>
      </w:r>
    </w:p>
    <w:p w14:paraId="2C55B360">
      <w:pPr>
        <w:pStyle w:val="132"/>
        <w:rPr>
          <w:color w:val="auto"/>
        </w:rPr>
      </w:pPr>
      <w:r>
        <w:rPr>
          <w:rFonts w:hint="eastAsia"/>
          <w:color w:val="auto"/>
        </w:rPr>
        <w:t>①土石方工程</w:t>
      </w:r>
    </w:p>
    <w:p w14:paraId="6ECF2178">
      <w:pPr>
        <w:pStyle w:val="132"/>
        <w:rPr>
          <w:color w:val="auto"/>
        </w:rPr>
      </w:pPr>
      <w:r>
        <w:rPr>
          <w:rFonts w:hint="eastAsia"/>
          <w:color w:val="auto"/>
        </w:rPr>
        <w:t>项目施工过程中剥离的表土集中存放在临时表土存放场内，做好防护措施，防止水土流失。施工结束后，所有剥离表土将100%进行综合利用，可用于工程占地范围内的土地平整及绿化覆土。</w:t>
      </w:r>
    </w:p>
    <w:p w14:paraId="1B43F042">
      <w:pPr>
        <w:pStyle w:val="132"/>
        <w:rPr>
          <w:color w:val="auto"/>
        </w:rPr>
      </w:pPr>
      <w:r>
        <w:rPr>
          <w:rFonts w:hint="eastAsia"/>
          <w:color w:val="auto"/>
        </w:rPr>
        <w:t>②植被破坏</w:t>
      </w:r>
    </w:p>
    <w:p w14:paraId="1864CA9A">
      <w:pPr>
        <w:pStyle w:val="132"/>
        <w:rPr>
          <w:color w:val="auto"/>
        </w:rPr>
      </w:pPr>
      <w:r>
        <w:rPr>
          <w:rFonts w:hint="eastAsia"/>
          <w:color w:val="auto"/>
        </w:rPr>
        <w:t>项目建设于乌鲁木齐甘泉堡经济技术开发区（工业区）内，无国家保护的珍稀植物，植被覆盖率很低。</w:t>
      </w:r>
    </w:p>
    <w:p w14:paraId="6DBD3961">
      <w:pPr>
        <w:pStyle w:val="132"/>
        <w:rPr>
          <w:color w:val="auto"/>
        </w:rPr>
      </w:pPr>
      <w:r>
        <w:rPr>
          <w:rFonts w:hint="eastAsia"/>
          <w:color w:val="auto"/>
        </w:rPr>
        <w:t>施工土石方活动、管沟开挖、管道敷设等都将破坏占地范围内的植被，临时占地内的植被在施工结束后将随着土地性质的恢复逐渐恢复，恢复期限约1a~2a；永久占地内的天然植被将会被厂区绿化人工植被所代替。</w:t>
      </w:r>
    </w:p>
    <w:p w14:paraId="0F4F2A5D">
      <w:pPr>
        <w:pStyle w:val="132"/>
        <w:rPr>
          <w:color w:val="auto"/>
        </w:rPr>
      </w:pPr>
      <w:r>
        <w:rPr>
          <w:rFonts w:hint="eastAsia"/>
          <w:color w:val="auto"/>
        </w:rPr>
        <w:t>总体上，项目位于工业园区，占地为规划的工业用地，项目所在区域植被覆盖度低，施工过程中破坏的植被资源量有限，且区域内无国家保护的珍稀植物资源。随着施工活动的结束，临时占地内的植物资源将逐步恢复，永久占地内减少的植物资源也将随着厂区规划的绿化体系的形成得以补偿。</w:t>
      </w:r>
    </w:p>
    <w:p w14:paraId="6B18E974">
      <w:pPr>
        <w:pStyle w:val="132"/>
        <w:rPr>
          <w:color w:val="auto"/>
        </w:rPr>
      </w:pPr>
      <w:r>
        <w:rPr>
          <w:rFonts w:hint="eastAsia"/>
          <w:color w:val="auto"/>
        </w:rPr>
        <w:t>（2）厂外施工作业生态环境影响分析</w:t>
      </w:r>
    </w:p>
    <w:p w14:paraId="35C105C5">
      <w:pPr>
        <w:pStyle w:val="132"/>
        <w:rPr>
          <w:color w:val="auto"/>
        </w:rPr>
      </w:pPr>
      <w:r>
        <w:rPr>
          <w:rFonts w:hint="eastAsia"/>
          <w:color w:val="auto"/>
        </w:rPr>
        <w:t>厂外工程管道开挖过程中，整个施工作业带范围内的土壤和植被都会受到扰动或者破坏，开挖管沟造成的土体扰动将使土壤的结构、组成及理化性质等发生变化，进而影响土壤的侵蚀状况、植被的恢复等。本项目施工占地范围内临时用地性质主要为园区道路及绿化带等，占地范围内自然植被较少，且由于施工期较短，施工期结束后及时生态恢复，因此不会对生态造成较大影响。</w:t>
      </w:r>
    </w:p>
    <w:p w14:paraId="49072F82">
      <w:pPr>
        <w:pStyle w:val="132"/>
        <w:rPr>
          <w:color w:val="auto"/>
        </w:rPr>
      </w:pPr>
      <w:r>
        <w:rPr>
          <w:rFonts w:hint="eastAsia"/>
          <w:color w:val="auto"/>
        </w:rPr>
        <w:t>（3）水土流失影响</w:t>
      </w:r>
    </w:p>
    <w:p w14:paraId="33B65902">
      <w:pPr>
        <w:pStyle w:val="132"/>
        <w:rPr>
          <w:color w:val="auto"/>
        </w:rPr>
      </w:pPr>
      <w:r>
        <w:rPr>
          <w:rFonts w:hint="eastAsia"/>
          <w:color w:val="auto"/>
        </w:rPr>
        <w:t>根据实地踏勘，结合《土壤侵蚀分类分级标准》，确定项目区现状水土流失类型有风蚀和水蚀，并且是以自然外力侵蚀的风力侵蚀为主。本项目施工活动过程中将破坏原地表土壤、植被，同时产生大量的临时堆土，建设期间若不采取有效的防护措施，将加重所在区域的水土流失，对项目建设及厂址区域周边水土保持产生较大影响。</w:t>
      </w:r>
    </w:p>
    <w:p w14:paraId="75815FD7">
      <w:pPr>
        <w:pStyle w:val="132"/>
        <w:rPr>
          <w:color w:val="auto"/>
        </w:rPr>
      </w:pPr>
      <w:r>
        <w:rPr>
          <w:rFonts w:hint="eastAsia"/>
          <w:color w:val="auto"/>
        </w:rPr>
        <w:t>项目在施工过程中，各类建构筑物基础（包括管道敷设）视其大小、深浅和相邻间距，拟采用机械施工与人工施工相结合的方法，机械以铲运机、推土机为主，人工则配合机械进行零星场地或边角地区的平整，机械或手推车输送；对于成片基础，如：厂房或管道走廊等，采用大开挖的施工形式。因此，由于项目特殊的施工工艺，对占地原有的水土保持功能造成破坏，不可避免造成水土流失。</w:t>
      </w:r>
    </w:p>
    <w:p w14:paraId="7F46AB32">
      <w:pPr>
        <w:pStyle w:val="132"/>
        <w:rPr>
          <w:color w:val="auto"/>
        </w:rPr>
      </w:pPr>
      <w:r>
        <w:rPr>
          <w:rFonts w:hint="eastAsia"/>
          <w:color w:val="auto"/>
        </w:rPr>
        <w:t>根据项目建设内容，确定项目水土流失防治范围为厂区永久占地区和临时占地区。</w:t>
      </w:r>
    </w:p>
    <w:p w14:paraId="5522932D">
      <w:pPr>
        <w:pStyle w:val="132"/>
        <w:rPr>
          <w:color w:val="auto"/>
        </w:rPr>
      </w:pPr>
      <w:r>
        <w:rPr>
          <w:rFonts w:hint="eastAsia"/>
          <w:color w:val="auto"/>
        </w:rPr>
        <w:t>项目施工可能引发的新增水土流失主要产生于施工准备期、施工期和自然恢复期，产生新增水土流失的因素主要包括以下方面：</w:t>
      </w:r>
    </w:p>
    <w:p w14:paraId="2A75027C">
      <w:pPr>
        <w:pStyle w:val="132"/>
        <w:rPr>
          <w:color w:val="auto"/>
        </w:rPr>
      </w:pPr>
      <w:r>
        <w:rPr>
          <w:rFonts w:hint="eastAsia"/>
          <w:color w:val="auto"/>
        </w:rPr>
        <w:t>1）项目建设期间，在施工活动区域内，由于厂区施工、管道敷设以及临建工程布置等施工活动，均将对原生地表和植被造成不同程度的扰动和破坏，造成局部水土流失加重。</w:t>
      </w:r>
    </w:p>
    <w:p w14:paraId="65ED206B">
      <w:pPr>
        <w:pStyle w:val="132"/>
        <w:rPr>
          <w:color w:val="auto"/>
        </w:rPr>
      </w:pPr>
      <w:r>
        <w:rPr>
          <w:rFonts w:hint="eastAsia"/>
          <w:color w:val="auto"/>
        </w:rPr>
        <w:t>2）建设期将产生一定量的土石方和临时渣料，若弃土、弃渣堆放或临时防护不当，极易产生风蚀和水蚀。</w:t>
      </w:r>
    </w:p>
    <w:p w14:paraId="55018CC0">
      <w:pPr>
        <w:pStyle w:val="132"/>
        <w:rPr>
          <w:color w:val="auto"/>
        </w:rPr>
      </w:pPr>
      <w:r>
        <w:rPr>
          <w:rFonts w:hint="eastAsia"/>
          <w:color w:val="auto"/>
        </w:rPr>
        <w:t>3）施工材料堆放，将占压一定面积的土地，造成地表的扰动破坏，并且如堆置不当，易引起水土流失。</w:t>
      </w:r>
    </w:p>
    <w:p w14:paraId="37818076">
      <w:pPr>
        <w:pStyle w:val="132"/>
        <w:rPr>
          <w:color w:val="auto"/>
        </w:rPr>
      </w:pPr>
      <w:r>
        <w:rPr>
          <w:rFonts w:hint="eastAsia"/>
          <w:color w:val="auto"/>
        </w:rPr>
        <w:t>4）建设期施工机械越界行驶、随意碾压，将对原生地表和植被造成一定程度的扰动和破坏。</w:t>
      </w:r>
    </w:p>
    <w:p w14:paraId="7E29F91E">
      <w:pPr>
        <w:pStyle w:val="132"/>
        <w:rPr>
          <w:color w:val="auto"/>
        </w:rPr>
      </w:pPr>
      <w:r>
        <w:rPr>
          <w:rFonts w:hint="eastAsia"/>
          <w:color w:val="auto"/>
        </w:rPr>
        <w:t>（4）土地利用的影响</w:t>
      </w:r>
    </w:p>
    <w:p w14:paraId="2B46F454">
      <w:pPr>
        <w:pStyle w:val="132"/>
        <w:rPr>
          <w:color w:val="auto"/>
        </w:rPr>
      </w:pPr>
      <w:r>
        <w:rPr>
          <w:rFonts w:hint="eastAsia"/>
          <w:color w:val="auto"/>
        </w:rPr>
        <w:t>项目占用土地主要包括临时性占用和永久性占地两种。但无论是临时性占地还是永久性占地都将对土地利用的原有功能产生改变。但临时性占地的影响是暂时的，施工结束后，可以消除影响，恢复土地的原有功能。</w:t>
      </w:r>
    </w:p>
    <w:p w14:paraId="5C17FAE1">
      <w:pPr>
        <w:pStyle w:val="3"/>
        <w:rPr>
          <w:color w:val="auto"/>
        </w:rPr>
      </w:pPr>
      <w:bookmarkStart w:id="276" w:name="_Toc196333711"/>
      <w:bookmarkEnd w:id="276"/>
      <w:bookmarkStart w:id="277" w:name="_Toc229930143"/>
      <w:r>
        <w:rPr>
          <w:rFonts w:hint="eastAsia"/>
          <w:color w:val="auto"/>
        </w:rPr>
        <w:t>运营期大气环境影响预测与评价</w:t>
      </w:r>
      <w:bookmarkEnd w:id="277"/>
    </w:p>
    <w:p w14:paraId="1F0064B4">
      <w:pPr>
        <w:pStyle w:val="4"/>
        <w:rPr>
          <w:color w:val="auto"/>
        </w:rPr>
      </w:pPr>
      <w:r>
        <w:rPr>
          <w:rFonts w:hint="eastAsia"/>
          <w:color w:val="auto"/>
        </w:rPr>
        <w:t>区域长期气象资料统计</w:t>
      </w:r>
    </w:p>
    <w:p w14:paraId="6D24147F">
      <w:pPr>
        <w:pStyle w:val="132"/>
        <w:rPr>
          <w:color w:val="auto"/>
        </w:rPr>
      </w:pPr>
      <w:r>
        <w:rPr>
          <w:color w:val="auto"/>
        </w:rPr>
        <w:t>与本项目建设位置距离最近的气象站为阜康一般站（51377）</w:t>
      </w:r>
      <w:r>
        <w:rPr>
          <w:rFonts w:hint="eastAsia"/>
          <w:color w:val="auto"/>
        </w:rPr>
        <w:t>，</w:t>
      </w:r>
      <w:r>
        <w:rPr>
          <w:color w:val="auto"/>
        </w:rPr>
        <w:t>该站距离厂址约12.</w:t>
      </w:r>
      <w:r>
        <w:rPr>
          <w:rFonts w:hint="eastAsia"/>
          <w:color w:val="auto"/>
        </w:rPr>
        <w:t>2</w:t>
      </w:r>
      <w:r>
        <w:rPr>
          <w:color w:val="auto"/>
        </w:rPr>
        <w:t>km，位于厂址</w:t>
      </w:r>
      <w:r>
        <w:rPr>
          <w:rFonts w:hint="eastAsia"/>
          <w:color w:val="auto"/>
        </w:rPr>
        <w:t>东侧</w:t>
      </w:r>
      <w:r>
        <w:rPr>
          <w:color w:val="auto"/>
        </w:rPr>
        <w:t>，为距</w:t>
      </w:r>
      <w:r>
        <w:rPr>
          <w:rFonts w:hint="eastAsia"/>
          <w:color w:val="auto"/>
        </w:rPr>
        <w:t>离本项目最近的基本监测站。阜康气候与厂址基本相同，气象站观测资料能够满足评价要求。</w:t>
      </w:r>
    </w:p>
    <w:p w14:paraId="1C333470">
      <w:pPr>
        <w:pStyle w:val="132"/>
        <w:rPr>
          <w:color w:val="auto"/>
        </w:rPr>
      </w:pPr>
      <w:r>
        <w:rPr>
          <w:color w:val="auto"/>
        </w:rPr>
        <w:t>阜康市境域地处中纬度大陆深处，远离海洋，属大陆性温带</w:t>
      </w:r>
      <w:r>
        <w:rPr>
          <w:rFonts w:hint="eastAsia"/>
          <w:color w:val="auto"/>
        </w:rPr>
        <w:t>干旱气候</w:t>
      </w:r>
      <w:r>
        <w:rPr>
          <w:color w:val="auto"/>
        </w:rPr>
        <w:t>。夏季凉爽，冬季寒冷。降水较少，蒸发旺盛，气候干燥，气温年、日变化大。因地形复杂，县境内各地气候又有明显的差异，自东向西，自南向北可分为4个不同的气候区。东部热量较多，降水较少，日照充足，夏季炎热</w:t>
      </w:r>
      <w:r>
        <w:rPr>
          <w:rFonts w:hint="eastAsia"/>
          <w:color w:val="auto"/>
        </w:rPr>
        <w:t>。</w:t>
      </w:r>
      <w:r>
        <w:rPr>
          <w:color w:val="auto"/>
        </w:rPr>
        <w:t>冬季寒冷，春季多大风，秋季有冻害；中部平原热量充足，降水较少，夏季凉爽，冬季寒冷，春季局部地区有</w:t>
      </w:r>
      <w:r>
        <w:rPr>
          <w:rFonts w:hint="eastAsia"/>
          <w:color w:val="auto"/>
        </w:rPr>
        <w:t>干旱</w:t>
      </w:r>
      <w:r>
        <w:rPr>
          <w:color w:val="auto"/>
        </w:rPr>
        <w:t>，夏季有冰雹。秋季有霜冻，西部和山麓地带热量较少，降水适中夏季凉爽，冬季寒冷，夏季有冰雹和洪水；北部山区寒冷，降水丰富，冬季有逆温带，3-6月多大风，4月尤甚，6-8月多冰雹。多年年均气温8.4℃，年均风速0.7m/s，没有主导风向，相对盛行风向为东南风。</w:t>
      </w:r>
    </w:p>
    <w:p w14:paraId="736F8088">
      <w:pPr>
        <w:pStyle w:val="4"/>
        <w:rPr>
          <w:color w:val="auto"/>
        </w:rPr>
      </w:pPr>
      <w:r>
        <w:rPr>
          <w:rFonts w:hint="eastAsia"/>
          <w:color w:val="auto"/>
        </w:rPr>
        <w:t>评价基准年污染气象</w:t>
      </w:r>
    </w:p>
    <w:p w14:paraId="17A2C510">
      <w:pPr>
        <w:pStyle w:val="132"/>
        <w:rPr>
          <w:color w:val="auto"/>
        </w:rPr>
      </w:pPr>
      <w:r>
        <w:rPr>
          <w:rFonts w:hint="eastAsia"/>
          <w:color w:val="auto"/>
        </w:rPr>
        <w:t>根据项目所在地理位置，本次评价污染气象资料采用阜康气象观测站（编号51377）近年大气常规观测资料，该气象站地理坐标：北纬</w:t>
      </w:r>
      <w:r>
        <w:rPr>
          <w:color w:val="auto"/>
        </w:rPr>
        <w:t>8</w:t>
      </w:r>
      <w:r>
        <w:rPr>
          <w:rFonts w:hint="eastAsia"/>
          <w:color w:val="auto"/>
        </w:rPr>
        <w:t>7</w:t>
      </w:r>
      <w:r>
        <w:rPr>
          <w:color w:val="auto"/>
        </w:rPr>
        <w:t>°</w:t>
      </w:r>
      <w:r>
        <w:rPr>
          <w:rFonts w:hint="eastAsia"/>
          <w:color w:val="auto"/>
        </w:rPr>
        <w:t>54</w:t>
      </w:r>
      <w:r>
        <w:rPr>
          <w:color w:val="auto"/>
        </w:rPr>
        <w:t>′</w:t>
      </w:r>
      <w:r>
        <w:rPr>
          <w:rFonts w:hint="eastAsia"/>
          <w:color w:val="auto"/>
        </w:rPr>
        <w:t>50.19</w:t>
      </w:r>
      <w:r>
        <w:rPr>
          <w:color w:val="auto"/>
        </w:rPr>
        <w:t>″</w:t>
      </w:r>
      <w:r>
        <w:rPr>
          <w:rFonts w:hint="eastAsia"/>
          <w:color w:val="auto"/>
        </w:rPr>
        <w:t>，东经44</w:t>
      </w:r>
      <w:r>
        <w:rPr>
          <w:color w:val="auto"/>
        </w:rPr>
        <w:t>°</w:t>
      </w:r>
      <w:r>
        <w:rPr>
          <w:rFonts w:hint="eastAsia"/>
          <w:color w:val="auto"/>
        </w:rPr>
        <w:t>09</w:t>
      </w:r>
      <w:r>
        <w:rPr>
          <w:color w:val="auto"/>
        </w:rPr>
        <w:t>′</w:t>
      </w:r>
      <w:r>
        <w:rPr>
          <w:rFonts w:hint="eastAsia"/>
          <w:color w:val="auto"/>
        </w:rPr>
        <w:t>56.69</w:t>
      </w:r>
      <w:r>
        <w:rPr>
          <w:color w:val="auto"/>
        </w:rPr>
        <w:t>″</w:t>
      </w:r>
      <w:r>
        <w:rPr>
          <w:rFonts w:hint="eastAsia"/>
          <w:color w:val="auto"/>
        </w:rPr>
        <w:t>，海拔527.9m，东距本项目12.2km。由于项目区与气象站受同一气候系统的影响和控制，阜康市气象站的多年常规气象资料可以反映本项目区域的气候基本特征，符合《环境影响评价技术导则 大气环境》（HJ2.2-2018）中的相关要求，观测数据可满足本项目大气环境影响预测分析的需要。</w:t>
      </w:r>
    </w:p>
    <w:p w14:paraId="5A6EC0C4">
      <w:pPr>
        <w:pStyle w:val="5"/>
        <w:rPr>
          <w:color w:val="auto"/>
        </w:rPr>
      </w:pPr>
      <w:r>
        <w:rPr>
          <w:rFonts w:hint="eastAsia"/>
          <w:color w:val="auto"/>
        </w:rPr>
        <w:t>温度</w:t>
      </w:r>
    </w:p>
    <w:p w14:paraId="65E603C1">
      <w:pPr>
        <w:pStyle w:val="132"/>
        <w:rPr>
          <w:color w:val="auto"/>
        </w:rPr>
      </w:pPr>
      <w:r>
        <w:rPr>
          <w:color w:val="auto"/>
        </w:rPr>
        <w:t>本次评价以</w:t>
      </w:r>
      <w:r>
        <w:rPr>
          <w:rFonts w:hint="eastAsia"/>
          <w:color w:val="auto"/>
        </w:rPr>
        <w:t>2024</w:t>
      </w:r>
      <w:r>
        <w:rPr>
          <w:color w:val="auto"/>
        </w:rPr>
        <w:t>年作为评价基准年。根据</w:t>
      </w:r>
      <w:r>
        <w:rPr>
          <w:rFonts w:hint="eastAsia"/>
          <w:color w:val="auto"/>
        </w:rPr>
        <w:t>阜康</w:t>
      </w:r>
      <w:r>
        <w:rPr>
          <w:color w:val="auto"/>
        </w:rPr>
        <w:t>气象站提供的</w:t>
      </w:r>
      <w:r>
        <w:rPr>
          <w:rFonts w:hint="eastAsia"/>
          <w:color w:val="auto"/>
        </w:rPr>
        <w:t>2024</w:t>
      </w:r>
      <w:r>
        <w:rPr>
          <w:color w:val="auto"/>
        </w:rPr>
        <w:t>年地面气象观测数据，区域</w:t>
      </w:r>
      <w:r>
        <w:rPr>
          <w:rFonts w:hint="eastAsia"/>
          <w:color w:val="auto"/>
        </w:rPr>
        <w:t>2024</w:t>
      </w:r>
      <w:r>
        <w:rPr>
          <w:color w:val="auto"/>
        </w:rPr>
        <w:t>年平均温度为</w:t>
      </w:r>
      <w:r>
        <w:rPr>
          <w:rFonts w:hint="eastAsia"/>
          <w:color w:val="auto"/>
        </w:rPr>
        <w:t>8.38</w:t>
      </w:r>
      <w:r>
        <w:rPr>
          <w:color w:val="auto"/>
        </w:rPr>
        <w:t>℃，7月份平均气温最高为</w:t>
      </w:r>
      <w:r>
        <w:rPr>
          <w:rFonts w:hint="eastAsia"/>
          <w:color w:val="auto"/>
        </w:rPr>
        <w:t>27.35</w:t>
      </w:r>
      <w:r>
        <w:rPr>
          <w:color w:val="auto"/>
        </w:rPr>
        <w:t>℃，</w:t>
      </w:r>
      <w:r>
        <w:rPr>
          <w:rFonts w:hint="eastAsia"/>
          <w:color w:val="auto"/>
        </w:rPr>
        <w:t>2</w:t>
      </w:r>
      <w:r>
        <w:rPr>
          <w:color w:val="auto"/>
        </w:rPr>
        <w:t>月份平均温度为最低-1</w:t>
      </w:r>
      <w:r>
        <w:rPr>
          <w:rFonts w:hint="eastAsia"/>
          <w:color w:val="auto"/>
        </w:rPr>
        <w:t>4.86</w:t>
      </w:r>
      <w:r>
        <w:rPr>
          <w:color w:val="auto"/>
        </w:rPr>
        <w:t>℃。</w:t>
      </w:r>
    </w:p>
    <w:p w14:paraId="442AFA2D">
      <w:pPr>
        <w:pStyle w:val="132"/>
        <w:rPr>
          <w:color w:val="auto"/>
        </w:rPr>
      </w:pPr>
      <w:r>
        <w:rPr>
          <w:rFonts w:hint="eastAsia"/>
          <w:color w:val="auto"/>
        </w:rPr>
        <w:t>评价区域多</w:t>
      </w:r>
      <w:r>
        <w:rPr>
          <w:color w:val="auto"/>
        </w:rPr>
        <w:t>年平均温度月变化统计结果</w:t>
      </w:r>
      <w:r>
        <w:rPr>
          <w:rFonts w:hint="eastAsia"/>
          <w:color w:val="auto"/>
        </w:rPr>
        <w:t xml:space="preserve">见表 </w:t>
      </w:r>
      <w:r>
        <w:rPr>
          <w:color w:val="auto"/>
        </w:rPr>
        <w:t>5.2</w:t>
      </w:r>
      <w:r>
        <w:rPr>
          <w:rFonts w:hint="eastAsia"/>
          <w:color w:val="auto"/>
        </w:rPr>
        <w:t>-</w:t>
      </w:r>
      <w:r>
        <w:rPr>
          <w:color w:val="auto"/>
        </w:rPr>
        <w:t>1</w:t>
      </w:r>
      <w:r>
        <w:rPr>
          <w:rFonts w:hint="eastAsia"/>
          <w:color w:val="auto"/>
        </w:rPr>
        <w:t>，多</w:t>
      </w:r>
      <w:r>
        <w:rPr>
          <w:color w:val="auto"/>
        </w:rPr>
        <w:t>年平均温度月变化曲线图</w:t>
      </w:r>
      <w:r>
        <w:rPr>
          <w:rFonts w:hint="eastAsia"/>
          <w:color w:val="auto"/>
        </w:rPr>
        <w:t xml:space="preserve">见图 </w:t>
      </w:r>
      <w:r>
        <w:rPr>
          <w:color w:val="auto"/>
        </w:rPr>
        <w:t>5.2</w:t>
      </w:r>
      <w:r>
        <w:rPr>
          <w:rFonts w:hint="eastAsia"/>
          <w:color w:val="auto"/>
        </w:rPr>
        <w:t>-</w:t>
      </w:r>
      <w:r>
        <w:rPr>
          <w:color w:val="auto"/>
        </w:rPr>
        <w:t>1。</w:t>
      </w:r>
    </w:p>
    <w:p w14:paraId="3FCC5BE0">
      <w:pPr>
        <w:pStyle w:val="1060"/>
        <w:spacing w:before="163"/>
        <w:rPr>
          <w:color w:val="auto"/>
        </w:rPr>
      </w:pPr>
      <w:bookmarkStart w:id="278" w:name="_Ref219716715"/>
      <w:bookmarkEnd w:id="27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多年平均温度月变化统计结果</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849"/>
        <w:gridCol w:w="611"/>
        <w:gridCol w:w="611"/>
        <w:gridCol w:w="610"/>
        <w:gridCol w:w="612"/>
        <w:gridCol w:w="610"/>
        <w:gridCol w:w="610"/>
        <w:gridCol w:w="609"/>
        <w:gridCol w:w="610"/>
        <w:gridCol w:w="609"/>
        <w:gridCol w:w="610"/>
        <w:gridCol w:w="609"/>
        <w:gridCol w:w="610"/>
        <w:gridCol w:w="612"/>
      </w:tblGrid>
      <w:tr w14:paraId="3D6F74C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800" w:type="dxa"/>
            <w:vAlign w:val="center"/>
          </w:tcPr>
          <w:p w14:paraId="1DED7DD0">
            <w:pPr>
              <w:widowControl w:val="0"/>
              <w:spacing w:before="100" w:beforeAutospacing="1" w:line="360" w:lineRule="exact"/>
              <w:jc w:val="center"/>
              <w:rPr>
                <w:color w:val="auto"/>
                <w:sz w:val="21"/>
                <w:szCs w:val="21"/>
              </w:rPr>
            </w:pPr>
            <w:r>
              <w:rPr>
                <w:rFonts w:ascii="宋体" w:hAnsi="宋体"/>
                <w:color w:val="auto"/>
                <w:sz w:val="21"/>
                <w:szCs w:val="21"/>
              </w:rPr>
              <w:t>月份</w:t>
            </w:r>
          </w:p>
        </w:tc>
        <w:tc>
          <w:tcPr>
            <w:tcW w:w="576" w:type="dxa"/>
            <w:vAlign w:val="center"/>
          </w:tcPr>
          <w:p w14:paraId="3B005B72">
            <w:pPr>
              <w:widowControl w:val="0"/>
              <w:spacing w:before="100" w:beforeAutospacing="1" w:line="360" w:lineRule="exact"/>
              <w:jc w:val="center"/>
              <w:rPr>
                <w:color w:val="auto"/>
                <w:sz w:val="21"/>
                <w:szCs w:val="21"/>
              </w:rPr>
            </w:pPr>
            <w:r>
              <w:rPr>
                <w:color w:val="auto"/>
                <w:sz w:val="21"/>
                <w:szCs w:val="21"/>
              </w:rPr>
              <w:t>1</w:t>
            </w:r>
            <w:r>
              <w:rPr>
                <w:rFonts w:ascii="宋体" w:hAnsi="宋体"/>
                <w:color w:val="auto"/>
                <w:sz w:val="21"/>
                <w:szCs w:val="21"/>
              </w:rPr>
              <w:t>月</w:t>
            </w:r>
          </w:p>
        </w:tc>
        <w:tc>
          <w:tcPr>
            <w:tcW w:w="576" w:type="dxa"/>
            <w:vAlign w:val="center"/>
          </w:tcPr>
          <w:p w14:paraId="17C0F7D0">
            <w:pPr>
              <w:widowControl w:val="0"/>
              <w:spacing w:before="100" w:beforeAutospacing="1" w:line="360" w:lineRule="exact"/>
              <w:jc w:val="center"/>
              <w:rPr>
                <w:color w:val="auto"/>
                <w:sz w:val="21"/>
                <w:szCs w:val="21"/>
              </w:rPr>
            </w:pPr>
            <w:r>
              <w:rPr>
                <w:color w:val="auto"/>
                <w:sz w:val="21"/>
                <w:szCs w:val="21"/>
              </w:rPr>
              <w:t>2</w:t>
            </w:r>
            <w:r>
              <w:rPr>
                <w:rFonts w:ascii="宋体" w:hAnsi="宋体"/>
                <w:color w:val="auto"/>
                <w:sz w:val="21"/>
                <w:szCs w:val="21"/>
              </w:rPr>
              <w:t>月</w:t>
            </w:r>
          </w:p>
        </w:tc>
        <w:tc>
          <w:tcPr>
            <w:tcW w:w="575" w:type="dxa"/>
            <w:vAlign w:val="center"/>
          </w:tcPr>
          <w:p w14:paraId="60EFA068">
            <w:pPr>
              <w:widowControl w:val="0"/>
              <w:spacing w:before="100" w:beforeAutospacing="1" w:line="360" w:lineRule="exact"/>
              <w:jc w:val="center"/>
              <w:rPr>
                <w:color w:val="auto"/>
                <w:sz w:val="21"/>
                <w:szCs w:val="21"/>
              </w:rPr>
            </w:pPr>
            <w:r>
              <w:rPr>
                <w:color w:val="auto"/>
                <w:sz w:val="21"/>
                <w:szCs w:val="21"/>
              </w:rPr>
              <w:t>3</w:t>
            </w:r>
            <w:r>
              <w:rPr>
                <w:rFonts w:ascii="宋体" w:hAnsi="宋体"/>
                <w:color w:val="auto"/>
                <w:sz w:val="21"/>
                <w:szCs w:val="21"/>
              </w:rPr>
              <w:t>月</w:t>
            </w:r>
          </w:p>
        </w:tc>
        <w:tc>
          <w:tcPr>
            <w:tcW w:w="577" w:type="dxa"/>
            <w:vAlign w:val="center"/>
          </w:tcPr>
          <w:p w14:paraId="63E9984F">
            <w:pPr>
              <w:widowControl w:val="0"/>
              <w:spacing w:before="100" w:beforeAutospacing="1" w:line="360" w:lineRule="exact"/>
              <w:jc w:val="center"/>
              <w:rPr>
                <w:color w:val="auto"/>
                <w:sz w:val="21"/>
                <w:szCs w:val="21"/>
              </w:rPr>
            </w:pPr>
            <w:r>
              <w:rPr>
                <w:color w:val="auto"/>
                <w:sz w:val="21"/>
                <w:szCs w:val="21"/>
              </w:rPr>
              <w:t>4</w:t>
            </w:r>
            <w:r>
              <w:rPr>
                <w:rFonts w:ascii="宋体" w:hAnsi="宋体"/>
                <w:color w:val="auto"/>
                <w:sz w:val="21"/>
                <w:szCs w:val="21"/>
              </w:rPr>
              <w:t>月</w:t>
            </w:r>
          </w:p>
        </w:tc>
        <w:tc>
          <w:tcPr>
            <w:tcW w:w="576" w:type="dxa"/>
            <w:vAlign w:val="center"/>
          </w:tcPr>
          <w:p w14:paraId="1385096F">
            <w:pPr>
              <w:widowControl w:val="0"/>
              <w:spacing w:before="100" w:beforeAutospacing="1" w:line="360" w:lineRule="exact"/>
              <w:jc w:val="center"/>
              <w:rPr>
                <w:color w:val="auto"/>
                <w:sz w:val="21"/>
                <w:szCs w:val="21"/>
              </w:rPr>
            </w:pPr>
            <w:r>
              <w:rPr>
                <w:color w:val="auto"/>
                <w:sz w:val="21"/>
                <w:szCs w:val="21"/>
              </w:rPr>
              <w:t>5</w:t>
            </w:r>
            <w:r>
              <w:rPr>
                <w:rFonts w:ascii="宋体" w:hAnsi="宋体"/>
                <w:color w:val="auto"/>
                <w:sz w:val="21"/>
                <w:szCs w:val="21"/>
              </w:rPr>
              <w:t>月</w:t>
            </w:r>
          </w:p>
        </w:tc>
        <w:tc>
          <w:tcPr>
            <w:tcW w:w="576" w:type="dxa"/>
            <w:vAlign w:val="center"/>
          </w:tcPr>
          <w:p w14:paraId="71C7AF07">
            <w:pPr>
              <w:widowControl w:val="0"/>
              <w:spacing w:before="100" w:beforeAutospacing="1" w:line="360" w:lineRule="exact"/>
              <w:jc w:val="center"/>
              <w:rPr>
                <w:color w:val="auto"/>
                <w:sz w:val="21"/>
                <w:szCs w:val="21"/>
              </w:rPr>
            </w:pPr>
            <w:r>
              <w:rPr>
                <w:color w:val="auto"/>
                <w:sz w:val="21"/>
                <w:szCs w:val="21"/>
              </w:rPr>
              <w:t>6</w:t>
            </w:r>
            <w:r>
              <w:rPr>
                <w:rFonts w:ascii="宋体" w:hAnsi="宋体"/>
                <w:color w:val="auto"/>
                <w:sz w:val="21"/>
                <w:szCs w:val="21"/>
              </w:rPr>
              <w:t>月</w:t>
            </w:r>
          </w:p>
        </w:tc>
        <w:tc>
          <w:tcPr>
            <w:tcW w:w="575" w:type="dxa"/>
            <w:vAlign w:val="center"/>
          </w:tcPr>
          <w:p w14:paraId="1492993B">
            <w:pPr>
              <w:widowControl w:val="0"/>
              <w:spacing w:before="100" w:beforeAutospacing="1" w:line="360" w:lineRule="exact"/>
              <w:jc w:val="center"/>
              <w:rPr>
                <w:color w:val="auto"/>
                <w:sz w:val="21"/>
                <w:szCs w:val="21"/>
              </w:rPr>
            </w:pPr>
            <w:r>
              <w:rPr>
                <w:color w:val="auto"/>
                <w:sz w:val="21"/>
                <w:szCs w:val="21"/>
              </w:rPr>
              <w:t>7</w:t>
            </w:r>
            <w:r>
              <w:rPr>
                <w:rFonts w:ascii="宋体" w:hAnsi="宋体"/>
                <w:color w:val="auto"/>
                <w:sz w:val="21"/>
                <w:szCs w:val="21"/>
              </w:rPr>
              <w:t>月</w:t>
            </w:r>
          </w:p>
        </w:tc>
        <w:tc>
          <w:tcPr>
            <w:tcW w:w="576" w:type="dxa"/>
            <w:vAlign w:val="center"/>
          </w:tcPr>
          <w:p w14:paraId="570D1F4F">
            <w:pPr>
              <w:widowControl w:val="0"/>
              <w:spacing w:before="100" w:beforeAutospacing="1" w:line="360" w:lineRule="exact"/>
              <w:jc w:val="center"/>
              <w:rPr>
                <w:color w:val="auto"/>
                <w:sz w:val="21"/>
                <w:szCs w:val="21"/>
              </w:rPr>
            </w:pPr>
            <w:r>
              <w:rPr>
                <w:color w:val="auto"/>
                <w:sz w:val="21"/>
                <w:szCs w:val="21"/>
              </w:rPr>
              <w:t>8</w:t>
            </w:r>
            <w:r>
              <w:rPr>
                <w:rFonts w:ascii="宋体" w:hAnsi="宋体"/>
                <w:color w:val="auto"/>
                <w:sz w:val="21"/>
                <w:szCs w:val="21"/>
              </w:rPr>
              <w:t>月</w:t>
            </w:r>
          </w:p>
        </w:tc>
        <w:tc>
          <w:tcPr>
            <w:tcW w:w="575" w:type="dxa"/>
            <w:vAlign w:val="center"/>
          </w:tcPr>
          <w:p w14:paraId="2D77005A">
            <w:pPr>
              <w:widowControl w:val="0"/>
              <w:spacing w:before="100" w:beforeAutospacing="1" w:line="360" w:lineRule="exact"/>
              <w:jc w:val="center"/>
              <w:rPr>
                <w:color w:val="auto"/>
                <w:sz w:val="21"/>
                <w:szCs w:val="21"/>
              </w:rPr>
            </w:pPr>
            <w:r>
              <w:rPr>
                <w:color w:val="auto"/>
                <w:sz w:val="21"/>
                <w:szCs w:val="21"/>
              </w:rPr>
              <w:t>9</w:t>
            </w:r>
            <w:r>
              <w:rPr>
                <w:rFonts w:ascii="宋体" w:hAnsi="宋体"/>
                <w:color w:val="auto"/>
                <w:sz w:val="21"/>
                <w:szCs w:val="21"/>
              </w:rPr>
              <w:t>月</w:t>
            </w:r>
          </w:p>
        </w:tc>
        <w:tc>
          <w:tcPr>
            <w:tcW w:w="576" w:type="dxa"/>
            <w:vAlign w:val="center"/>
          </w:tcPr>
          <w:p w14:paraId="495550B1">
            <w:pPr>
              <w:widowControl w:val="0"/>
              <w:spacing w:before="100" w:beforeAutospacing="1" w:line="360" w:lineRule="exact"/>
              <w:jc w:val="center"/>
              <w:rPr>
                <w:color w:val="auto"/>
                <w:sz w:val="21"/>
                <w:szCs w:val="21"/>
              </w:rPr>
            </w:pPr>
            <w:r>
              <w:rPr>
                <w:color w:val="auto"/>
                <w:sz w:val="21"/>
                <w:szCs w:val="21"/>
              </w:rPr>
              <w:t>10</w:t>
            </w:r>
            <w:r>
              <w:rPr>
                <w:rFonts w:ascii="宋体" w:hAnsi="宋体"/>
                <w:color w:val="auto"/>
                <w:sz w:val="21"/>
                <w:szCs w:val="21"/>
              </w:rPr>
              <w:t>月</w:t>
            </w:r>
          </w:p>
        </w:tc>
        <w:tc>
          <w:tcPr>
            <w:tcW w:w="575" w:type="dxa"/>
            <w:vAlign w:val="center"/>
          </w:tcPr>
          <w:p w14:paraId="69056187">
            <w:pPr>
              <w:widowControl w:val="0"/>
              <w:spacing w:before="100" w:beforeAutospacing="1" w:line="360" w:lineRule="exact"/>
              <w:jc w:val="center"/>
              <w:rPr>
                <w:color w:val="auto"/>
                <w:sz w:val="21"/>
                <w:szCs w:val="21"/>
              </w:rPr>
            </w:pPr>
            <w:r>
              <w:rPr>
                <w:color w:val="auto"/>
                <w:sz w:val="21"/>
                <w:szCs w:val="21"/>
              </w:rPr>
              <w:t>11</w:t>
            </w:r>
            <w:r>
              <w:rPr>
                <w:rFonts w:ascii="宋体" w:hAnsi="宋体"/>
                <w:color w:val="auto"/>
                <w:sz w:val="21"/>
                <w:szCs w:val="21"/>
              </w:rPr>
              <w:t>月</w:t>
            </w:r>
          </w:p>
        </w:tc>
        <w:tc>
          <w:tcPr>
            <w:tcW w:w="576" w:type="dxa"/>
            <w:vAlign w:val="center"/>
          </w:tcPr>
          <w:p w14:paraId="0E7B5FF9">
            <w:pPr>
              <w:widowControl w:val="0"/>
              <w:spacing w:before="100" w:beforeAutospacing="1" w:line="360" w:lineRule="exact"/>
              <w:jc w:val="center"/>
              <w:rPr>
                <w:color w:val="auto"/>
                <w:sz w:val="21"/>
                <w:szCs w:val="21"/>
              </w:rPr>
            </w:pPr>
            <w:r>
              <w:rPr>
                <w:color w:val="auto"/>
                <w:sz w:val="21"/>
                <w:szCs w:val="21"/>
              </w:rPr>
              <w:t>12</w:t>
            </w:r>
            <w:r>
              <w:rPr>
                <w:rFonts w:ascii="宋体" w:hAnsi="宋体"/>
                <w:color w:val="auto"/>
                <w:sz w:val="21"/>
                <w:szCs w:val="21"/>
              </w:rPr>
              <w:t>月</w:t>
            </w:r>
          </w:p>
        </w:tc>
        <w:tc>
          <w:tcPr>
            <w:tcW w:w="577" w:type="dxa"/>
            <w:vAlign w:val="center"/>
          </w:tcPr>
          <w:p w14:paraId="2E1D8476">
            <w:pPr>
              <w:widowControl w:val="0"/>
              <w:spacing w:before="100" w:beforeAutospacing="1" w:line="360" w:lineRule="exact"/>
              <w:jc w:val="center"/>
              <w:rPr>
                <w:color w:val="auto"/>
                <w:sz w:val="21"/>
                <w:szCs w:val="21"/>
              </w:rPr>
            </w:pPr>
            <w:r>
              <w:rPr>
                <w:rFonts w:ascii="宋体" w:hAnsi="宋体"/>
                <w:color w:val="auto"/>
                <w:sz w:val="21"/>
                <w:szCs w:val="21"/>
              </w:rPr>
              <w:t>平均</w:t>
            </w:r>
          </w:p>
        </w:tc>
      </w:tr>
      <w:tr w14:paraId="7EE8BF9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800" w:type="dxa"/>
            <w:vAlign w:val="center"/>
          </w:tcPr>
          <w:p w14:paraId="77DF4B22">
            <w:pPr>
              <w:widowControl w:val="0"/>
              <w:spacing w:before="100" w:beforeAutospacing="1" w:line="360" w:lineRule="exact"/>
              <w:jc w:val="center"/>
              <w:rPr>
                <w:color w:val="auto"/>
                <w:sz w:val="21"/>
                <w:szCs w:val="21"/>
              </w:rPr>
            </w:pPr>
            <w:r>
              <w:rPr>
                <w:rFonts w:ascii="宋体" w:hAnsi="宋体"/>
                <w:color w:val="auto"/>
                <w:sz w:val="21"/>
                <w:szCs w:val="21"/>
              </w:rPr>
              <w:t>温度</w:t>
            </w:r>
            <w:r>
              <w:rPr>
                <w:color w:val="auto"/>
                <w:sz w:val="21"/>
                <w:szCs w:val="21"/>
              </w:rPr>
              <w:t>(℃</w:t>
            </w:r>
            <w:r>
              <w:rPr>
                <w:rFonts w:ascii="宋体" w:hAnsi="宋体"/>
                <w:color w:val="auto"/>
                <w:sz w:val="21"/>
                <w:szCs w:val="21"/>
              </w:rPr>
              <w:t>）</w:t>
            </w:r>
          </w:p>
        </w:tc>
        <w:tc>
          <w:tcPr>
            <w:tcW w:w="576" w:type="dxa"/>
            <w:vAlign w:val="center"/>
          </w:tcPr>
          <w:p w14:paraId="4C523F94">
            <w:pPr>
              <w:widowControl w:val="0"/>
              <w:spacing w:before="100" w:beforeAutospacing="1" w:line="360" w:lineRule="exact"/>
              <w:jc w:val="center"/>
              <w:rPr>
                <w:color w:val="auto"/>
                <w:sz w:val="21"/>
                <w:szCs w:val="21"/>
              </w:rPr>
            </w:pPr>
            <w:r>
              <w:rPr>
                <w:color w:val="auto"/>
                <w:sz w:val="21"/>
                <w:szCs w:val="21"/>
              </w:rPr>
              <w:t>-14.45</w:t>
            </w:r>
          </w:p>
        </w:tc>
        <w:tc>
          <w:tcPr>
            <w:tcW w:w="576" w:type="dxa"/>
            <w:vAlign w:val="center"/>
          </w:tcPr>
          <w:p w14:paraId="0A5DDDB8">
            <w:pPr>
              <w:widowControl w:val="0"/>
              <w:spacing w:before="100" w:beforeAutospacing="1" w:line="360" w:lineRule="exact"/>
              <w:jc w:val="center"/>
              <w:rPr>
                <w:color w:val="auto"/>
                <w:sz w:val="21"/>
                <w:szCs w:val="21"/>
              </w:rPr>
            </w:pPr>
            <w:r>
              <w:rPr>
                <w:color w:val="auto"/>
                <w:sz w:val="21"/>
                <w:szCs w:val="21"/>
              </w:rPr>
              <w:t>-14.86</w:t>
            </w:r>
          </w:p>
        </w:tc>
        <w:tc>
          <w:tcPr>
            <w:tcW w:w="575" w:type="dxa"/>
            <w:vAlign w:val="center"/>
          </w:tcPr>
          <w:p w14:paraId="4E0FA439">
            <w:pPr>
              <w:widowControl w:val="0"/>
              <w:spacing w:before="100" w:beforeAutospacing="1" w:line="360" w:lineRule="exact"/>
              <w:jc w:val="center"/>
              <w:rPr>
                <w:color w:val="auto"/>
                <w:sz w:val="21"/>
                <w:szCs w:val="21"/>
              </w:rPr>
            </w:pPr>
            <w:r>
              <w:rPr>
                <w:color w:val="auto"/>
                <w:sz w:val="21"/>
                <w:szCs w:val="21"/>
              </w:rPr>
              <w:t>1.26</w:t>
            </w:r>
          </w:p>
        </w:tc>
        <w:tc>
          <w:tcPr>
            <w:tcW w:w="577" w:type="dxa"/>
            <w:vAlign w:val="center"/>
          </w:tcPr>
          <w:p w14:paraId="491C0A61">
            <w:pPr>
              <w:widowControl w:val="0"/>
              <w:spacing w:before="100" w:beforeAutospacing="1" w:line="360" w:lineRule="exact"/>
              <w:jc w:val="center"/>
              <w:rPr>
                <w:color w:val="auto"/>
                <w:sz w:val="21"/>
                <w:szCs w:val="21"/>
              </w:rPr>
            </w:pPr>
            <w:r>
              <w:rPr>
                <w:color w:val="auto"/>
                <w:sz w:val="21"/>
                <w:szCs w:val="21"/>
              </w:rPr>
              <w:t>13.02</w:t>
            </w:r>
          </w:p>
        </w:tc>
        <w:tc>
          <w:tcPr>
            <w:tcW w:w="576" w:type="dxa"/>
            <w:vAlign w:val="center"/>
          </w:tcPr>
          <w:p w14:paraId="53C705C0">
            <w:pPr>
              <w:widowControl w:val="0"/>
              <w:spacing w:before="100" w:beforeAutospacing="1" w:line="360" w:lineRule="exact"/>
              <w:jc w:val="center"/>
              <w:rPr>
                <w:color w:val="auto"/>
                <w:sz w:val="21"/>
                <w:szCs w:val="21"/>
              </w:rPr>
            </w:pPr>
            <w:r>
              <w:rPr>
                <w:color w:val="auto"/>
                <w:sz w:val="21"/>
                <w:szCs w:val="21"/>
              </w:rPr>
              <w:t>21.62</w:t>
            </w:r>
          </w:p>
        </w:tc>
        <w:tc>
          <w:tcPr>
            <w:tcW w:w="576" w:type="dxa"/>
            <w:vAlign w:val="center"/>
          </w:tcPr>
          <w:p w14:paraId="153480C7">
            <w:pPr>
              <w:widowControl w:val="0"/>
              <w:spacing w:before="100" w:beforeAutospacing="1" w:line="360" w:lineRule="exact"/>
              <w:jc w:val="center"/>
              <w:rPr>
                <w:color w:val="auto"/>
                <w:sz w:val="21"/>
                <w:szCs w:val="21"/>
              </w:rPr>
            </w:pPr>
            <w:r>
              <w:rPr>
                <w:color w:val="auto"/>
                <w:sz w:val="21"/>
                <w:szCs w:val="21"/>
              </w:rPr>
              <w:t>26.98</w:t>
            </w:r>
          </w:p>
        </w:tc>
        <w:tc>
          <w:tcPr>
            <w:tcW w:w="575" w:type="dxa"/>
            <w:vAlign w:val="center"/>
          </w:tcPr>
          <w:p w14:paraId="1A3D0698">
            <w:pPr>
              <w:widowControl w:val="0"/>
              <w:spacing w:before="100" w:beforeAutospacing="1" w:line="360" w:lineRule="exact"/>
              <w:jc w:val="center"/>
              <w:rPr>
                <w:color w:val="auto"/>
                <w:sz w:val="21"/>
                <w:szCs w:val="21"/>
              </w:rPr>
            </w:pPr>
            <w:r>
              <w:rPr>
                <w:color w:val="auto"/>
                <w:sz w:val="21"/>
                <w:szCs w:val="21"/>
              </w:rPr>
              <w:t>27.35</w:t>
            </w:r>
          </w:p>
        </w:tc>
        <w:tc>
          <w:tcPr>
            <w:tcW w:w="576" w:type="dxa"/>
            <w:vAlign w:val="center"/>
          </w:tcPr>
          <w:p w14:paraId="3232C6D1">
            <w:pPr>
              <w:widowControl w:val="0"/>
              <w:spacing w:before="100" w:beforeAutospacing="1" w:line="360" w:lineRule="exact"/>
              <w:jc w:val="center"/>
              <w:rPr>
                <w:color w:val="auto"/>
                <w:sz w:val="21"/>
                <w:szCs w:val="21"/>
              </w:rPr>
            </w:pPr>
            <w:r>
              <w:rPr>
                <w:color w:val="auto"/>
                <w:sz w:val="21"/>
                <w:szCs w:val="21"/>
              </w:rPr>
              <w:t>26.79</w:t>
            </w:r>
          </w:p>
        </w:tc>
        <w:tc>
          <w:tcPr>
            <w:tcW w:w="575" w:type="dxa"/>
            <w:vAlign w:val="center"/>
          </w:tcPr>
          <w:p w14:paraId="61021258">
            <w:pPr>
              <w:widowControl w:val="0"/>
              <w:spacing w:before="100" w:beforeAutospacing="1" w:line="360" w:lineRule="exact"/>
              <w:jc w:val="center"/>
              <w:rPr>
                <w:color w:val="auto"/>
                <w:sz w:val="21"/>
                <w:szCs w:val="21"/>
              </w:rPr>
            </w:pPr>
            <w:r>
              <w:rPr>
                <w:color w:val="auto"/>
                <w:sz w:val="21"/>
                <w:szCs w:val="21"/>
              </w:rPr>
              <w:t>16.68</w:t>
            </w:r>
          </w:p>
        </w:tc>
        <w:tc>
          <w:tcPr>
            <w:tcW w:w="576" w:type="dxa"/>
            <w:vAlign w:val="center"/>
          </w:tcPr>
          <w:p w14:paraId="2786B2AE">
            <w:pPr>
              <w:widowControl w:val="0"/>
              <w:spacing w:before="100" w:beforeAutospacing="1" w:line="360" w:lineRule="exact"/>
              <w:jc w:val="center"/>
              <w:rPr>
                <w:color w:val="auto"/>
                <w:sz w:val="21"/>
                <w:szCs w:val="21"/>
              </w:rPr>
            </w:pPr>
            <w:r>
              <w:rPr>
                <w:color w:val="auto"/>
                <w:sz w:val="21"/>
                <w:szCs w:val="21"/>
              </w:rPr>
              <w:t>10.54</w:t>
            </w:r>
          </w:p>
        </w:tc>
        <w:tc>
          <w:tcPr>
            <w:tcW w:w="575" w:type="dxa"/>
            <w:vAlign w:val="center"/>
          </w:tcPr>
          <w:p w14:paraId="75818896">
            <w:pPr>
              <w:widowControl w:val="0"/>
              <w:spacing w:before="100" w:beforeAutospacing="1" w:line="360" w:lineRule="exact"/>
              <w:jc w:val="center"/>
              <w:rPr>
                <w:color w:val="auto"/>
                <w:sz w:val="21"/>
                <w:szCs w:val="21"/>
              </w:rPr>
            </w:pPr>
            <w:r>
              <w:rPr>
                <w:color w:val="auto"/>
                <w:sz w:val="21"/>
                <w:szCs w:val="21"/>
              </w:rPr>
              <w:t>-1.63</w:t>
            </w:r>
          </w:p>
        </w:tc>
        <w:tc>
          <w:tcPr>
            <w:tcW w:w="576" w:type="dxa"/>
            <w:vAlign w:val="center"/>
          </w:tcPr>
          <w:p w14:paraId="0561D85C">
            <w:pPr>
              <w:widowControl w:val="0"/>
              <w:spacing w:before="100" w:beforeAutospacing="1" w:line="360" w:lineRule="exact"/>
              <w:jc w:val="center"/>
              <w:rPr>
                <w:color w:val="auto"/>
                <w:sz w:val="21"/>
                <w:szCs w:val="21"/>
              </w:rPr>
            </w:pPr>
            <w:r>
              <w:rPr>
                <w:color w:val="auto"/>
                <w:sz w:val="21"/>
                <w:szCs w:val="21"/>
              </w:rPr>
              <w:t>-13.57</w:t>
            </w:r>
          </w:p>
        </w:tc>
        <w:tc>
          <w:tcPr>
            <w:tcW w:w="577" w:type="dxa"/>
            <w:vAlign w:val="center"/>
          </w:tcPr>
          <w:p w14:paraId="15B5EA43">
            <w:pPr>
              <w:widowControl w:val="0"/>
              <w:spacing w:before="100" w:beforeAutospacing="1" w:line="360" w:lineRule="exact"/>
              <w:jc w:val="center"/>
              <w:rPr>
                <w:color w:val="auto"/>
                <w:sz w:val="21"/>
                <w:szCs w:val="21"/>
              </w:rPr>
            </w:pPr>
            <w:r>
              <w:rPr>
                <w:color w:val="auto"/>
                <w:sz w:val="21"/>
                <w:szCs w:val="21"/>
              </w:rPr>
              <w:t>8.38</w:t>
            </w:r>
          </w:p>
        </w:tc>
      </w:tr>
    </w:tbl>
    <w:p w14:paraId="420AE6FC">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374C3760">
      <w:pPr>
        <w:widowControl w:val="0"/>
        <w:adjustRightInd w:val="0"/>
        <w:snapToGrid w:val="0"/>
        <w:spacing w:before="81" w:beforeLines="25" w:after="100" w:afterAutospacing="1"/>
        <w:jc w:val="center"/>
        <w:rPr>
          <w:rFonts w:cs="楷体_GB2312"/>
          <w:b/>
          <w:color w:val="auto"/>
          <w:sz w:val="21"/>
          <w:szCs w:val="21"/>
        </w:rPr>
      </w:pPr>
      <w:r>
        <w:rPr>
          <w:rFonts w:cs="楷体_GB2312"/>
          <w:b/>
          <w:color w:val="auto"/>
          <w:sz w:val="21"/>
          <w:szCs w:val="21"/>
        </w:rPr>
        <w:drawing>
          <wp:inline distT="0" distB="0" distL="0" distR="0">
            <wp:extent cx="5279390" cy="2018665"/>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9390" cy="2018665"/>
                    </a:xfrm>
                    <a:prstGeom prst="rect">
                      <a:avLst/>
                    </a:prstGeom>
                    <a:noFill/>
                    <a:ln>
                      <a:noFill/>
                    </a:ln>
                  </pic:spPr>
                </pic:pic>
              </a:graphicData>
            </a:graphic>
          </wp:inline>
        </w:drawing>
      </w:r>
      <w:r>
        <w:rPr>
          <w:rFonts w:cs="楷体_GB2312"/>
          <w:b/>
          <w:color w:val="auto"/>
          <w:sz w:val="21"/>
          <w:szCs w:val="21"/>
        </w:rPr>
        <w:t xml:space="preserve"> </w:t>
      </w:r>
    </w:p>
    <w:p w14:paraId="01F531F3">
      <w:pPr>
        <w:pStyle w:val="1060"/>
        <w:spacing w:before="163"/>
        <w:rPr>
          <w:rFonts w:ascii="Arial" w:hAnsi="Arial"/>
          <w:color w:val="auto"/>
          <w:sz w:val="26"/>
          <w:szCs w:val="20"/>
        </w:rPr>
      </w:pPr>
      <w:bookmarkStart w:id="279" w:name="_Ref11741"/>
      <w:bookmarkEnd w:id="279"/>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szCs w:val="23"/>
        </w:rPr>
        <w:t xml:space="preserve">  </w:t>
      </w:r>
      <w:r>
        <w:rPr>
          <w:rFonts w:hint="eastAsia" w:ascii="黑体" w:hAnsi="黑体"/>
          <w:color w:val="auto"/>
          <w:szCs w:val="23"/>
        </w:rPr>
        <w:t>多年平均温度月变化曲线图</w:t>
      </w:r>
    </w:p>
    <w:p w14:paraId="3689E31C">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62DA8CFA">
      <w:pPr>
        <w:pStyle w:val="5"/>
        <w:rPr>
          <w:color w:val="auto"/>
        </w:rPr>
      </w:pPr>
      <w:r>
        <w:rPr>
          <w:rFonts w:hint="eastAsia"/>
          <w:color w:val="auto"/>
        </w:rPr>
        <w:t>风频、风向</w:t>
      </w:r>
    </w:p>
    <w:p w14:paraId="755F4190">
      <w:pPr>
        <w:pStyle w:val="132"/>
        <w:rPr>
          <w:color w:val="auto"/>
        </w:rPr>
      </w:pPr>
      <w:r>
        <w:rPr>
          <w:color w:val="auto"/>
        </w:rPr>
        <w:t>风是影响大气污染物扩散、稀释的最重要的一个因子，风速的大小决定着污染物的扩散速率，而风向则决定着污染物的落区。区域202</w:t>
      </w:r>
      <w:r>
        <w:rPr>
          <w:rFonts w:hint="eastAsia"/>
          <w:color w:val="auto"/>
        </w:rPr>
        <w:t>4</w:t>
      </w:r>
      <w:r>
        <w:rPr>
          <w:color w:val="auto"/>
        </w:rPr>
        <w:t>年各月、各季及全年风频统计结果见</w:t>
      </w:r>
      <w:r>
        <w:rPr>
          <w:rFonts w:hint="eastAsia"/>
          <w:color w:val="auto"/>
        </w:rPr>
        <w:t xml:space="preserve">表 </w:t>
      </w:r>
      <w:r>
        <w:rPr>
          <w:color w:val="auto"/>
        </w:rPr>
        <w:t>5.2</w:t>
      </w:r>
      <w:r>
        <w:rPr>
          <w:rFonts w:hint="eastAsia"/>
          <w:color w:val="auto"/>
        </w:rPr>
        <w:t>–</w:t>
      </w:r>
      <w:r>
        <w:rPr>
          <w:color w:val="auto"/>
        </w:rPr>
        <w:t>2。各月、各季及全年风玫瑰见</w:t>
      </w:r>
      <w:r>
        <w:rPr>
          <w:rFonts w:hint="eastAsia"/>
          <w:color w:val="auto"/>
        </w:rPr>
        <w:t xml:space="preserve">图 </w:t>
      </w:r>
      <w:r>
        <w:rPr>
          <w:color w:val="auto"/>
        </w:rPr>
        <w:t>5.2</w:t>
      </w:r>
      <w:r>
        <w:rPr>
          <w:rFonts w:hint="eastAsia"/>
          <w:color w:val="auto"/>
        </w:rPr>
        <w:t>–</w:t>
      </w:r>
      <w:r>
        <w:rPr>
          <w:color w:val="auto"/>
        </w:rPr>
        <w:t>2。</w:t>
      </w:r>
    </w:p>
    <w:p w14:paraId="62631CFC">
      <w:pPr>
        <w:pStyle w:val="132"/>
        <w:rPr>
          <w:color w:val="auto"/>
        </w:rPr>
      </w:pPr>
      <w:r>
        <w:rPr>
          <w:color w:val="auto"/>
        </w:rPr>
        <w:t>根据气象资料统计分析可知，评价区域内202</w:t>
      </w:r>
      <w:r>
        <w:rPr>
          <w:rFonts w:hint="eastAsia"/>
          <w:color w:val="auto"/>
        </w:rPr>
        <w:t>4</w:t>
      </w:r>
      <w:r>
        <w:rPr>
          <w:color w:val="auto"/>
        </w:rPr>
        <w:t>年风频最大的方向为</w:t>
      </w:r>
      <w:r>
        <w:rPr>
          <w:rFonts w:hint="eastAsia"/>
          <w:color w:val="auto"/>
        </w:rPr>
        <w:t>W</w:t>
      </w:r>
      <w:r>
        <w:rPr>
          <w:color w:val="auto"/>
        </w:rPr>
        <w:t>风向</w:t>
      </w:r>
      <w:r>
        <w:rPr>
          <w:rFonts w:hint="eastAsia"/>
          <w:color w:val="auto"/>
        </w:rPr>
        <w:t>（</w:t>
      </w:r>
      <w:r>
        <w:rPr>
          <w:color w:val="auto"/>
        </w:rPr>
        <w:t>风频</w:t>
      </w:r>
      <w:r>
        <w:rPr>
          <w:rFonts w:hint="eastAsia"/>
          <w:color w:val="auto"/>
        </w:rPr>
        <w:t>13.25</w:t>
      </w:r>
      <w:r>
        <w:rPr>
          <w:color w:val="auto"/>
        </w:rPr>
        <w:t>%</w:t>
      </w:r>
      <w:r>
        <w:rPr>
          <w:rFonts w:hint="eastAsia"/>
          <w:color w:val="auto"/>
        </w:rPr>
        <w:t>）</w:t>
      </w:r>
      <w:r>
        <w:rPr>
          <w:color w:val="auto"/>
        </w:rPr>
        <w:t>，春季风频最大的方向是</w:t>
      </w:r>
      <w:r>
        <w:rPr>
          <w:rFonts w:hint="eastAsia"/>
          <w:color w:val="auto"/>
        </w:rPr>
        <w:t>W</w:t>
      </w:r>
      <w:r>
        <w:rPr>
          <w:color w:val="auto"/>
        </w:rPr>
        <w:t>风向</w:t>
      </w:r>
      <w:r>
        <w:rPr>
          <w:rFonts w:hint="eastAsia"/>
          <w:color w:val="auto"/>
        </w:rPr>
        <w:t>（</w:t>
      </w:r>
      <w:r>
        <w:rPr>
          <w:color w:val="auto"/>
        </w:rPr>
        <w:t>风频</w:t>
      </w:r>
      <w:r>
        <w:rPr>
          <w:rFonts w:hint="eastAsia"/>
          <w:color w:val="auto"/>
        </w:rPr>
        <w:t>12.64</w:t>
      </w:r>
      <w:r>
        <w:rPr>
          <w:color w:val="auto"/>
        </w:rPr>
        <w:t>%</w:t>
      </w:r>
      <w:r>
        <w:rPr>
          <w:rFonts w:hint="eastAsia"/>
          <w:color w:val="auto"/>
        </w:rPr>
        <w:t>）</w:t>
      </w:r>
      <w:r>
        <w:rPr>
          <w:color w:val="auto"/>
        </w:rPr>
        <w:t>，夏季风频最大的方向是</w:t>
      </w:r>
      <w:r>
        <w:rPr>
          <w:rFonts w:hint="eastAsia"/>
          <w:color w:val="auto"/>
        </w:rPr>
        <w:t>W</w:t>
      </w:r>
      <w:r>
        <w:rPr>
          <w:color w:val="auto"/>
        </w:rPr>
        <w:t>风向</w:t>
      </w:r>
      <w:r>
        <w:rPr>
          <w:rFonts w:hint="eastAsia"/>
          <w:color w:val="auto"/>
        </w:rPr>
        <w:t>（</w:t>
      </w:r>
      <w:r>
        <w:rPr>
          <w:color w:val="auto"/>
        </w:rPr>
        <w:t>风频</w:t>
      </w:r>
      <w:r>
        <w:rPr>
          <w:rFonts w:hint="eastAsia"/>
          <w:color w:val="auto"/>
        </w:rPr>
        <w:t>14.49</w:t>
      </w:r>
      <w:r>
        <w:rPr>
          <w:color w:val="auto"/>
        </w:rPr>
        <w:t>%</w:t>
      </w:r>
      <w:r>
        <w:rPr>
          <w:rFonts w:hint="eastAsia"/>
          <w:color w:val="auto"/>
        </w:rPr>
        <w:t>）</w:t>
      </w:r>
      <w:r>
        <w:rPr>
          <w:color w:val="auto"/>
        </w:rPr>
        <w:t>，秋季风频最大的方向是</w:t>
      </w:r>
      <w:r>
        <w:rPr>
          <w:rFonts w:hint="eastAsia"/>
          <w:color w:val="auto"/>
        </w:rPr>
        <w:t>W</w:t>
      </w:r>
      <w:r>
        <w:rPr>
          <w:color w:val="auto"/>
        </w:rPr>
        <w:t>风向</w:t>
      </w:r>
      <w:r>
        <w:rPr>
          <w:rFonts w:hint="eastAsia"/>
          <w:color w:val="auto"/>
        </w:rPr>
        <w:t>（</w:t>
      </w:r>
      <w:r>
        <w:rPr>
          <w:color w:val="auto"/>
        </w:rPr>
        <w:t>风频</w:t>
      </w:r>
      <w:r>
        <w:rPr>
          <w:rFonts w:hint="eastAsia"/>
          <w:color w:val="auto"/>
        </w:rPr>
        <w:t>11.81</w:t>
      </w:r>
      <w:r>
        <w:rPr>
          <w:color w:val="auto"/>
        </w:rPr>
        <w:t>%</w:t>
      </w:r>
      <w:r>
        <w:rPr>
          <w:rFonts w:hint="eastAsia"/>
          <w:color w:val="auto"/>
        </w:rPr>
        <w:t>）</w:t>
      </w:r>
      <w:r>
        <w:rPr>
          <w:color w:val="auto"/>
        </w:rPr>
        <w:t>，冬季风频最大的方向是</w:t>
      </w:r>
      <w:r>
        <w:rPr>
          <w:rFonts w:hint="eastAsia"/>
          <w:color w:val="auto"/>
        </w:rPr>
        <w:t>W</w:t>
      </w:r>
      <w:r>
        <w:rPr>
          <w:color w:val="auto"/>
        </w:rPr>
        <w:t>风向</w:t>
      </w:r>
      <w:r>
        <w:rPr>
          <w:rFonts w:hint="eastAsia"/>
          <w:color w:val="auto"/>
        </w:rPr>
        <w:t>（</w:t>
      </w:r>
      <w:r>
        <w:rPr>
          <w:color w:val="auto"/>
        </w:rPr>
        <w:t>风频</w:t>
      </w:r>
      <w:r>
        <w:rPr>
          <w:rFonts w:hint="eastAsia"/>
          <w:color w:val="auto"/>
        </w:rPr>
        <w:t>14.06</w:t>
      </w:r>
      <w:r>
        <w:rPr>
          <w:color w:val="auto"/>
        </w:rPr>
        <w:t>%</w:t>
      </w:r>
      <w:r>
        <w:rPr>
          <w:rFonts w:hint="eastAsia"/>
          <w:color w:val="auto"/>
        </w:rPr>
        <w:t>）</w:t>
      </w:r>
      <w:r>
        <w:rPr>
          <w:color w:val="auto"/>
        </w:rPr>
        <w:t>。</w:t>
      </w:r>
    </w:p>
    <w:p w14:paraId="0F5BCA23">
      <w:pPr>
        <w:rPr>
          <w:color w:val="auto"/>
          <w:sz w:val="24"/>
          <w:szCs w:val="24"/>
        </w:rPr>
        <w:sectPr>
          <w:pgSz w:w="11906" w:h="16838"/>
          <w:pgMar w:top="1440" w:right="1588" w:bottom="1389" w:left="1588" w:header="737" w:footer="822" w:gutter="0"/>
          <w:cols w:space="720" w:num="1"/>
          <w:docGrid w:type="lines" w:linePitch="326" w:charSpace="0"/>
        </w:sectPr>
      </w:pPr>
    </w:p>
    <w:p w14:paraId="4F666B58">
      <w:pPr>
        <w:pStyle w:val="1060"/>
        <w:spacing w:before="163"/>
        <w:rPr>
          <w:color w:val="auto"/>
        </w:rPr>
      </w:pPr>
      <w:bookmarkStart w:id="280" w:name="_Ref12578"/>
      <w:bookmarkEnd w:id="28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区域</w:t>
      </w:r>
      <w:r>
        <w:rPr>
          <w:color w:val="auto"/>
        </w:rPr>
        <w:t>202</w:t>
      </w:r>
      <w:r>
        <w:rPr>
          <w:rFonts w:hint="eastAsia"/>
          <w:color w:val="auto"/>
        </w:rPr>
        <w:t>4年风频变化统计表</w:t>
      </w:r>
    </w:p>
    <w:tbl>
      <w:tblPr>
        <w:tblStyle w:val="2429"/>
        <w:tblW w:w="5003"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694"/>
        <w:gridCol w:w="710"/>
        <w:gridCol w:w="711"/>
        <w:gridCol w:w="714"/>
        <w:gridCol w:w="714"/>
        <w:gridCol w:w="714"/>
        <w:gridCol w:w="714"/>
        <w:gridCol w:w="672"/>
        <w:gridCol w:w="672"/>
        <w:gridCol w:w="714"/>
        <w:gridCol w:w="714"/>
        <w:gridCol w:w="672"/>
        <w:gridCol w:w="756"/>
        <w:gridCol w:w="641"/>
        <w:gridCol w:w="795"/>
        <w:gridCol w:w="672"/>
        <w:gridCol w:w="742"/>
        <w:gridCol w:w="705"/>
      </w:tblGrid>
      <w:tr w14:paraId="515D784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645" w:hRule="atLeast"/>
        </w:trPr>
        <w:tc>
          <w:tcPr>
            <w:tcW w:w="695" w:type="pct"/>
            <w:tcBorders>
              <w:top w:val="single" w:color="000000" w:sz="8" w:space="0"/>
              <w:left w:val="single" w:color="000000" w:sz="8" w:space="0"/>
              <w:bottom w:val="single" w:color="000000" w:sz="2" w:space="0"/>
              <w:right w:val="single" w:color="000000" w:sz="2" w:space="0"/>
            </w:tcBorders>
            <w:noWrap/>
            <w:vAlign w:val="center"/>
          </w:tcPr>
          <w:p w14:paraId="2730E583">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风频</w:t>
            </w:r>
            <w:r>
              <w:rPr>
                <w:rFonts w:eastAsia="Times New Roman"/>
                <w:color w:val="auto"/>
                <w:sz w:val="21"/>
                <w:szCs w:val="21"/>
              </w:rPr>
              <w:t>(%)</w:t>
            </w:r>
          </w:p>
          <w:p w14:paraId="19E1A490">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风向</w:t>
            </w:r>
          </w:p>
        </w:tc>
        <w:tc>
          <w:tcPr>
            <w:tcW w:w="254" w:type="pct"/>
            <w:tcBorders>
              <w:top w:val="single" w:color="000000" w:sz="8" w:space="0"/>
              <w:left w:val="single" w:color="000000" w:sz="2" w:space="0"/>
              <w:bottom w:val="single" w:color="000000" w:sz="2" w:space="0"/>
              <w:right w:val="single" w:color="000000" w:sz="2" w:space="0"/>
            </w:tcBorders>
            <w:noWrap/>
            <w:vAlign w:val="center"/>
          </w:tcPr>
          <w:p w14:paraId="0072F73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w:t>
            </w:r>
          </w:p>
        </w:tc>
        <w:tc>
          <w:tcPr>
            <w:tcW w:w="254" w:type="pct"/>
            <w:tcBorders>
              <w:top w:val="single" w:color="000000" w:sz="8" w:space="0"/>
              <w:left w:val="single" w:color="000000" w:sz="2" w:space="0"/>
              <w:bottom w:val="single" w:color="000000" w:sz="2" w:space="0"/>
              <w:right w:val="single" w:color="000000" w:sz="2" w:space="0"/>
            </w:tcBorders>
            <w:noWrap/>
            <w:vAlign w:val="center"/>
          </w:tcPr>
          <w:p w14:paraId="5582B6B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NNE</w:t>
            </w:r>
          </w:p>
        </w:tc>
        <w:tc>
          <w:tcPr>
            <w:tcW w:w="255" w:type="pct"/>
            <w:tcBorders>
              <w:top w:val="single" w:color="000000" w:sz="8" w:space="0"/>
              <w:left w:val="single" w:color="000000" w:sz="2" w:space="0"/>
              <w:bottom w:val="single" w:color="000000" w:sz="2" w:space="0"/>
              <w:right w:val="single" w:color="000000" w:sz="2" w:space="0"/>
            </w:tcBorders>
            <w:noWrap/>
            <w:vAlign w:val="center"/>
          </w:tcPr>
          <w:p w14:paraId="12A8A47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NE</w:t>
            </w:r>
          </w:p>
        </w:tc>
        <w:tc>
          <w:tcPr>
            <w:tcW w:w="255" w:type="pct"/>
            <w:tcBorders>
              <w:top w:val="single" w:color="000000" w:sz="8" w:space="0"/>
              <w:left w:val="single" w:color="000000" w:sz="2" w:space="0"/>
              <w:bottom w:val="single" w:color="000000" w:sz="2" w:space="0"/>
              <w:right w:val="single" w:color="000000" w:sz="2" w:space="0"/>
            </w:tcBorders>
            <w:noWrap/>
            <w:vAlign w:val="center"/>
          </w:tcPr>
          <w:p w14:paraId="6ABA0C3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ENE</w:t>
            </w:r>
          </w:p>
        </w:tc>
        <w:tc>
          <w:tcPr>
            <w:tcW w:w="255" w:type="pct"/>
            <w:tcBorders>
              <w:top w:val="single" w:color="000000" w:sz="8" w:space="0"/>
              <w:left w:val="single" w:color="000000" w:sz="2" w:space="0"/>
              <w:bottom w:val="single" w:color="000000" w:sz="2" w:space="0"/>
              <w:right w:val="single" w:color="000000" w:sz="2" w:space="0"/>
            </w:tcBorders>
            <w:noWrap/>
            <w:vAlign w:val="center"/>
          </w:tcPr>
          <w:p w14:paraId="7E73B9E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E</w:t>
            </w:r>
          </w:p>
        </w:tc>
        <w:tc>
          <w:tcPr>
            <w:tcW w:w="255" w:type="pct"/>
            <w:tcBorders>
              <w:top w:val="single" w:color="000000" w:sz="8" w:space="0"/>
              <w:left w:val="single" w:color="000000" w:sz="2" w:space="0"/>
              <w:bottom w:val="single" w:color="000000" w:sz="2" w:space="0"/>
              <w:right w:val="single" w:color="000000" w:sz="2" w:space="0"/>
            </w:tcBorders>
            <w:noWrap/>
            <w:vAlign w:val="center"/>
          </w:tcPr>
          <w:p w14:paraId="38AEB80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ESE</w:t>
            </w:r>
          </w:p>
        </w:tc>
        <w:tc>
          <w:tcPr>
            <w:tcW w:w="240" w:type="pct"/>
            <w:tcBorders>
              <w:top w:val="single" w:color="000000" w:sz="8" w:space="0"/>
              <w:left w:val="single" w:color="000000" w:sz="2" w:space="0"/>
              <w:bottom w:val="single" w:color="000000" w:sz="2" w:space="0"/>
              <w:right w:val="single" w:color="000000" w:sz="2" w:space="0"/>
            </w:tcBorders>
            <w:noWrap/>
            <w:vAlign w:val="center"/>
          </w:tcPr>
          <w:p w14:paraId="21D7469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SE</w:t>
            </w:r>
          </w:p>
        </w:tc>
        <w:tc>
          <w:tcPr>
            <w:tcW w:w="240" w:type="pct"/>
            <w:tcBorders>
              <w:top w:val="single" w:color="000000" w:sz="8" w:space="0"/>
              <w:left w:val="single" w:color="000000" w:sz="2" w:space="0"/>
              <w:bottom w:val="single" w:color="000000" w:sz="2" w:space="0"/>
              <w:right w:val="single" w:color="000000" w:sz="2" w:space="0"/>
            </w:tcBorders>
            <w:noWrap/>
            <w:vAlign w:val="center"/>
          </w:tcPr>
          <w:p w14:paraId="5ABC5C2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SSE</w:t>
            </w:r>
          </w:p>
        </w:tc>
        <w:tc>
          <w:tcPr>
            <w:tcW w:w="255" w:type="pct"/>
            <w:tcBorders>
              <w:top w:val="single" w:color="000000" w:sz="8" w:space="0"/>
              <w:left w:val="single" w:color="000000" w:sz="2" w:space="0"/>
              <w:bottom w:val="single" w:color="000000" w:sz="2" w:space="0"/>
              <w:right w:val="single" w:color="000000" w:sz="2" w:space="0"/>
            </w:tcBorders>
            <w:noWrap/>
            <w:vAlign w:val="center"/>
          </w:tcPr>
          <w:p w14:paraId="07285F0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w:t>
            </w:r>
          </w:p>
        </w:tc>
        <w:tc>
          <w:tcPr>
            <w:tcW w:w="255" w:type="pct"/>
            <w:tcBorders>
              <w:top w:val="single" w:color="000000" w:sz="8" w:space="0"/>
              <w:left w:val="single" w:color="000000" w:sz="2" w:space="0"/>
              <w:bottom w:val="single" w:color="000000" w:sz="2" w:space="0"/>
              <w:right w:val="single" w:color="000000" w:sz="2" w:space="0"/>
            </w:tcBorders>
            <w:noWrap/>
            <w:vAlign w:val="center"/>
          </w:tcPr>
          <w:p w14:paraId="32D3142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SSW</w:t>
            </w:r>
          </w:p>
        </w:tc>
        <w:tc>
          <w:tcPr>
            <w:tcW w:w="240" w:type="pct"/>
            <w:tcBorders>
              <w:top w:val="single" w:color="000000" w:sz="8" w:space="0"/>
              <w:left w:val="single" w:color="000000" w:sz="2" w:space="0"/>
              <w:bottom w:val="single" w:color="000000" w:sz="2" w:space="0"/>
              <w:right w:val="single" w:color="000000" w:sz="2" w:space="0"/>
            </w:tcBorders>
            <w:noWrap/>
            <w:vAlign w:val="center"/>
          </w:tcPr>
          <w:p w14:paraId="66B89F8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SW</w:t>
            </w:r>
          </w:p>
        </w:tc>
        <w:tc>
          <w:tcPr>
            <w:tcW w:w="270" w:type="pct"/>
            <w:tcBorders>
              <w:top w:val="single" w:color="000000" w:sz="8" w:space="0"/>
              <w:left w:val="single" w:color="000000" w:sz="2" w:space="0"/>
              <w:bottom w:val="single" w:color="000000" w:sz="2" w:space="0"/>
              <w:right w:val="single" w:color="000000" w:sz="2" w:space="0"/>
            </w:tcBorders>
            <w:noWrap/>
            <w:vAlign w:val="center"/>
          </w:tcPr>
          <w:p w14:paraId="53CD51A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WSW</w:t>
            </w:r>
          </w:p>
        </w:tc>
        <w:tc>
          <w:tcPr>
            <w:tcW w:w="229" w:type="pct"/>
            <w:tcBorders>
              <w:top w:val="single" w:color="000000" w:sz="8" w:space="0"/>
              <w:left w:val="single" w:color="000000" w:sz="2" w:space="0"/>
              <w:bottom w:val="single" w:color="000000" w:sz="2" w:space="0"/>
              <w:right w:val="single" w:color="000000" w:sz="2" w:space="0"/>
            </w:tcBorders>
            <w:noWrap/>
            <w:vAlign w:val="center"/>
          </w:tcPr>
          <w:p w14:paraId="06C1D89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W</w:t>
            </w:r>
          </w:p>
        </w:tc>
        <w:tc>
          <w:tcPr>
            <w:tcW w:w="284" w:type="pct"/>
            <w:tcBorders>
              <w:top w:val="single" w:color="000000" w:sz="8" w:space="0"/>
              <w:left w:val="single" w:color="000000" w:sz="2" w:space="0"/>
              <w:bottom w:val="single" w:color="000000" w:sz="2" w:space="0"/>
              <w:right w:val="single" w:color="000000" w:sz="2" w:space="0"/>
            </w:tcBorders>
            <w:noWrap/>
            <w:vAlign w:val="center"/>
          </w:tcPr>
          <w:p w14:paraId="55A00FA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WNW</w:t>
            </w:r>
          </w:p>
        </w:tc>
        <w:tc>
          <w:tcPr>
            <w:tcW w:w="240" w:type="pct"/>
            <w:tcBorders>
              <w:top w:val="single" w:color="000000" w:sz="8" w:space="0"/>
              <w:left w:val="single" w:color="000000" w:sz="2" w:space="0"/>
              <w:bottom w:val="single" w:color="000000" w:sz="2" w:space="0"/>
              <w:right w:val="single" w:color="000000" w:sz="2" w:space="0"/>
            </w:tcBorders>
            <w:noWrap/>
            <w:vAlign w:val="center"/>
          </w:tcPr>
          <w:p w14:paraId="78851C8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NW</w:t>
            </w:r>
          </w:p>
        </w:tc>
        <w:tc>
          <w:tcPr>
            <w:tcW w:w="265" w:type="pct"/>
            <w:tcBorders>
              <w:top w:val="single" w:color="000000" w:sz="8" w:space="0"/>
              <w:left w:val="single" w:color="000000" w:sz="2" w:space="0"/>
              <w:bottom w:val="single" w:color="000000" w:sz="2" w:space="0"/>
              <w:right w:val="single" w:color="000000" w:sz="2" w:space="0"/>
            </w:tcBorders>
            <w:noWrap/>
            <w:vAlign w:val="center"/>
          </w:tcPr>
          <w:p w14:paraId="25A392D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NNW</w:t>
            </w:r>
          </w:p>
        </w:tc>
        <w:tc>
          <w:tcPr>
            <w:tcW w:w="252" w:type="pct"/>
            <w:tcBorders>
              <w:top w:val="single" w:color="000000" w:sz="8" w:space="0"/>
              <w:left w:val="single" w:color="000000" w:sz="2" w:space="0"/>
              <w:bottom w:val="single" w:color="000000" w:sz="2" w:space="0"/>
              <w:right w:val="single" w:color="000000" w:sz="8" w:space="0"/>
            </w:tcBorders>
            <w:noWrap/>
            <w:vAlign w:val="center"/>
          </w:tcPr>
          <w:p w14:paraId="0F447C3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C</w:t>
            </w:r>
          </w:p>
        </w:tc>
      </w:tr>
      <w:tr w14:paraId="44C95F3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09DD48FE">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一月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0945E70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10.35</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59BCDE9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2.96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DB3578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431199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9.14</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AAF063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10.89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78DBEA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8.06</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3D7C44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6.32</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791362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2.15</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8D73AA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1.61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3F1F34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1.08</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240DF5A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2.15</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4696F1C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5.24</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27C6F3E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12.37</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1688BC9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11.16</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6B8B3F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8.20</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46DDF2C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3.63</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4BB6F45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1.34</w:t>
            </w:r>
          </w:p>
        </w:tc>
      </w:tr>
      <w:tr w14:paraId="5BDCF06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7C577DA0">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二月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437B547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10.06</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6D6538D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F43875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5.03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CAC2DF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9.63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46CEF6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9.77</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229B1A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6.18</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24919FC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5.60</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01AB40A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2.87</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1DD0D3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850745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0.57</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018CD08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1.44</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122996F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3.45</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6091C1E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17.53</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52C95C8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11.21</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1F07F4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8.62</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524F18B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2.44</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3F73E31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2.30</w:t>
            </w:r>
          </w:p>
        </w:tc>
      </w:tr>
      <w:tr w14:paraId="2C5BBFE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45FF9EF2">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三月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7A81899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10.08</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56888AB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F3DBFE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EF7063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6.45</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5B5250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7.80</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15B0D6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5.91</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D1D422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3.49</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067F3B3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2.02</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A10888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4.84</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752CB2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4.44</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E4824A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5.24</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40B30F2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8.74</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305A42D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15.59</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11C3C20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8.87</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DF71A5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4.70</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2BB9BA3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4.17</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0F28D40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1.08</w:t>
            </w:r>
          </w:p>
        </w:tc>
      </w:tr>
      <w:tr w14:paraId="4920CCD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56DED2B2">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四月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3D45CA3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6.67</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396B416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5.83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2B8C05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5.28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4B7C51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10.69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910C40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7.50</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133CC44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2.92</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D43280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2.22</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3463193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8CA2A5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9.44</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EC6442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8.89</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7730BCF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8.61</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23CE502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6.39</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3CE5F54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8.33</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5CFEBFF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6.67</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341647A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3.19</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55C7E05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3.75</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6FF5F0B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0.56</w:t>
            </w:r>
          </w:p>
        </w:tc>
      </w:tr>
      <w:tr w14:paraId="7C7A12E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0A60043E">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五月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208F7CB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7.80</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3BB0492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5.51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4F4353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5.11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7AB429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9.27</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026AE8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9.41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702BE7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2.69</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F52EA3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3.63</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3AF06F9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4F6AAE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6.59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606799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8.60</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717284D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7.66</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516026B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6.85</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70BA343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13.84</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3272E85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4.70</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7D4940A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3.23</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7E43279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2.42</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715246F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0.40</w:t>
            </w:r>
          </w:p>
        </w:tc>
      </w:tr>
      <w:tr w14:paraId="23C63AF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723319C7">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六月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2D70D19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5.14</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5C266AA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2.50</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8D62A6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1.53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B24E7C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4.72</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1DC0ED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232104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0.97</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35A6E97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1.11</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F56DE6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1.25</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2A0134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20F70A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9.72</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562119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12.36</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2E4A5E3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12.92</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760D6E4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20.69</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7C4D3F4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7.64</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3A81C01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5.14</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1EB313D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4.44</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570CDEA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0.28</w:t>
            </w:r>
          </w:p>
        </w:tc>
      </w:tr>
      <w:tr w14:paraId="2299A4E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06D17D43">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七月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2DBF312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5.91</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1ACD9FC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D7668E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2A281A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F552F3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6.85</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1202719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3.76</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02CC37F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4.03</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6F8C12F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2.96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BBF65F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6.32</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8B7B15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8.87</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2A1B0CC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8.20</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6AC614A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13.04</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4C12DC6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11.56</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0A9F1D6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5.24</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537260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3.90</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7FB988F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3.49</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0BC86A1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1.08</w:t>
            </w:r>
          </w:p>
        </w:tc>
      </w:tr>
      <w:tr w14:paraId="7345207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7B5726FF">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八月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59800DF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8.74</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20A52E1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BE56B3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B4EEE6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7.26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E1DB68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7.26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4EFEDE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3.76</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238570E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2.15</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148650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1583F4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7.80</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117FF45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9.95</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74CE536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8.20</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2A62521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9.54</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18F2F9C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11.42</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3C64B8C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4.03</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7F10BB2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3.36</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3FE978E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3.76</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7ACF06C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2.69</w:t>
            </w:r>
          </w:p>
        </w:tc>
      </w:tr>
      <w:tr w14:paraId="69E59CD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3DFA88F6">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九月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4F650D3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7.92</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72B924F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5.83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3CBE8B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6.11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0AC0F0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7.64</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3CA134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4.86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A52756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2.92</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286F5B0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1.81</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3039DC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2.50</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CC9397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8.33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EAE06A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6.39</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541597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10.69</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47129B5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8.89</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2FDE931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9.44</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08BE2A4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4.44</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0267E95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2.22</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676F6D6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3.75</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38C49DC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6.25</w:t>
            </w:r>
          </w:p>
        </w:tc>
      </w:tr>
      <w:tr w14:paraId="6BA3961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28BF54ED">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十月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4F29D9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7.39</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139CD39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26D49E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5B8EFC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6.85</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12D4268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4.44</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FD6C31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2.28</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D08009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3.23</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70C28D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88723C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8.20</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374968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5.78</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6ABFC84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9.41</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5A743D9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9.54</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386AA65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13.58</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6E7D0A9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6.59</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E0BFD4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3.63</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3D01408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2.02</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74152E7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7.53</w:t>
            </w:r>
          </w:p>
        </w:tc>
      </w:tr>
      <w:tr w14:paraId="07BCBC0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7DC2DA7B">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十一月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37449BF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7.64</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5E1F3EB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FB7093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BE8748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8.33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FCBC6F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7.78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79C129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4.58</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981512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4.58</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0113A83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A28949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6.11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1D9BD4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4.72</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093E155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7.78</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2DC69E2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7.36</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37AEF4D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12.36</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4DF2F94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6.94</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7D51DC3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3.75</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487A893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2.50</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1FEDFAD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7.22</w:t>
            </w:r>
          </w:p>
        </w:tc>
      </w:tr>
      <w:tr w14:paraId="589BF9C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6E857184">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十二月</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1060B82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11.16</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6985C34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2.82</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BA05D9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23366E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11.69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8FFD88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13.84</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A23863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7.12</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7FE1DD6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3.63</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6F6987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D432EE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56AED1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0.40</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2168CC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1.21</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4622BC8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2.82</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3DA8516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12.50</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7D47B0A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8.74</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2503D5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6.99</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1B4E5AF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2.82</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2804BB8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8.60</w:t>
            </w:r>
          </w:p>
        </w:tc>
      </w:tr>
      <w:tr w14:paraId="63CFED8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72CADE53">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全年</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6BC0007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8.24</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3FDF189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3.56</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6CBE613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3.85</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EA391E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8.28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4223E7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7.87</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0C411E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4.27</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2CEEE81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3.48</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644A7DD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2.52</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18CB7A6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1228EB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5.79</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35C9D42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6.91</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1ADCB58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7.91</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202DFD2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13.25</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1F56731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7.17</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28A786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4.74</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253AA81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3.27</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56505B6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3.28</w:t>
            </w:r>
          </w:p>
        </w:tc>
      </w:tr>
      <w:tr w14:paraId="10F7777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3AD7AC08">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春季</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7EEF88E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8.20</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466398C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4.94</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5E9C19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3B5BFB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8.79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E897A8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8.24</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B2E176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3.85</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243E6F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3.13</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201505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2.45</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77366E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6.93</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13EA0B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7.29</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AA7E07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7.16</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255C507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7.34</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6186AC8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12.64</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0695C11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6.75</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3A1C4C9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3.71</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6AB4200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3.44</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1B3D126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0.68</w:t>
            </w:r>
          </w:p>
        </w:tc>
      </w:tr>
      <w:tr w14:paraId="535E84E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00AF1B14">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夏季</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58AE71A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6.61</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374A238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2.99</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240CE0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3.22</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B2CA4E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6.57</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7AC015C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6.02</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360F581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2.85</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05B449F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2.45</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70877FF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2.31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1945401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6.61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10B9451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9.51</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2E9D6CA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9.56</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685E644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11.82</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083A3D0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14.49</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3D432C3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5.62</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55037C6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4.12</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01C7D65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3.89</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6A7631B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1.36</w:t>
            </w:r>
          </w:p>
        </w:tc>
      </w:tr>
      <w:tr w14:paraId="675CB09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2" w:space="0"/>
              <w:right w:val="single" w:color="000000" w:sz="2" w:space="0"/>
            </w:tcBorders>
            <w:noWrap/>
            <w:vAlign w:val="center"/>
          </w:tcPr>
          <w:p w14:paraId="6C1DD567">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秋季</w:t>
            </w:r>
          </w:p>
        </w:tc>
        <w:tc>
          <w:tcPr>
            <w:tcW w:w="710" w:type="dxa"/>
            <w:tcBorders>
              <w:top w:val="single" w:color="000000" w:sz="2" w:space="0"/>
              <w:left w:val="single" w:color="000000" w:sz="2" w:space="0"/>
              <w:bottom w:val="single" w:color="000000" w:sz="2" w:space="0"/>
              <w:right w:val="single" w:color="000000" w:sz="2" w:space="0"/>
            </w:tcBorders>
            <w:noWrap/>
            <w:vAlign w:val="center"/>
          </w:tcPr>
          <w:p w14:paraId="4F90CCC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7.65</w:t>
            </w:r>
          </w:p>
        </w:tc>
        <w:tc>
          <w:tcPr>
            <w:tcW w:w="711" w:type="dxa"/>
            <w:tcBorders>
              <w:top w:val="single" w:color="000000" w:sz="2" w:space="0"/>
              <w:left w:val="single" w:color="000000" w:sz="2" w:space="0"/>
              <w:bottom w:val="single" w:color="000000" w:sz="2" w:space="0"/>
              <w:right w:val="single" w:color="000000" w:sz="2" w:space="0"/>
            </w:tcBorders>
            <w:noWrap/>
            <w:vAlign w:val="center"/>
          </w:tcPr>
          <w:p w14:paraId="010D9C0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3.71</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0227A44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4.17</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45D68C5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7.60</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2D3BD3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00DAD2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3.25</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7B8C5C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3.21</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1687380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2.88</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5C7C75B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7.55</w:t>
            </w:r>
          </w:p>
        </w:tc>
        <w:tc>
          <w:tcPr>
            <w:tcW w:w="714" w:type="dxa"/>
            <w:tcBorders>
              <w:top w:val="single" w:color="000000" w:sz="2" w:space="0"/>
              <w:left w:val="single" w:color="000000" w:sz="2" w:space="0"/>
              <w:bottom w:val="single" w:color="000000" w:sz="2" w:space="0"/>
              <w:right w:val="single" w:color="000000" w:sz="2" w:space="0"/>
            </w:tcBorders>
            <w:noWrap/>
            <w:vAlign w:val="center"/>
          </w:tcPr>
          <w:p w14:paraId="2DBD219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5.63</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4BBF2A9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9.29</w:t>
            </w:r>
          </w:p>
        </w:tc>
        <w:tc>
          <w:tcPr>
            <w:tcW w:w="756" w:type="dxa"/>
            <w:tcBorders>
              <w:top w:val="single" w:color="000000" w:sz="2" w:space="0"/>
              <w:left w:val="single" w:color="000000" w:sz="2" w:space="0"/>
              <w:bottom w:val="single" w:color="000000" w:sz="2" w:space="0"/>
              <w:right w:val="single" w:color="000000" w:sz="2" w:space="0"/>
            </w:tcBorders>
            <w:noWrap/>
            <w:vAlign w:val="center"/>
          </w:tcPr>
          <w:p w14:paraId="7FD3048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8.61</w:t>
            </w:r>
          </w:p>
        </w:tc>
        <w:tc>
          <w:tcPr>
            <w:tcW w:w="641" w:type="dxa"/>
            <w:tcBorders>
              <w:top w:val="single" w:color="000000" w:sz="2" w:space="0"/>
              <w:left w:val="single" w:color="000000" w:sz="2" w:space="0"/>
              <w:bottom w:val="single" w:color="000000" w:sz="2" w:space="0"/>
              <w:right w:val="single" w:color="000000" w:sz="2" w:space="0"/>
            </w:tcBorders>
            <w:noWrap/>
            <w:vAlign w:val="center"/>
          </w:tcPr>
          <w:p w14:paraId="5D60B48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11.81</w:t>
            </w:r>
          </w:p>
        </w:tc>
        <w:tc>
          <w:tcPr>
            <w:tcW w:w="795" w:type="dxa"/>
            <w:tcBorders>
              <w:top w:val="single" w:color="000000" w:sz="2" w:space="0"/>
              <w:left w:val="single" w:color="000000" w:sz="2" w:space="0"/>
              <w:bottom w:val="single" w:color="000000" w:sz="2" w:space="0"/>
              <w:right w:val="single" w:color="000000" w:sz="2" w:space="0"/>
            </w:tcBorders>
            <w:noWrap/>
            <w:vAlign w:val="center"/>
          </w:tcPr>
          <w:p w14:paraId="61FAC65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6.00</w:t>
            </w:r>
          </w:p>
        </w:tc>
        <w:tc>
          <w:tcPr>
            <w:tcW w:w="672" w:type="dxa"/>
            <w:tcBorders>
              <w:top w:val="single" w:color="000000" w:sz="2" w:space="0"/>
              <w:left w:val="single" w:color="000000" w:sz="2" w:space="0"/>
              <w:bottom w:val="single" w:color="000000" w:sz="2" w:space="0"/>
              <w:right w:val="single" w:color="000000" w:sz="2" w:space="0"/>
            </w:tcBorders>
            <w:noWrap/>
            <w:vAlign w:val="center"/>
          </w:tcPr>
          <w:p w14:paraId="6C98820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3.21</w:t>
            </w:r>
          </w:p>
        </w:tc>
        <w:tc>
          <w:tcPr>
            <w:tcW w:w="742" w:type="dxa"/>
            <w:tcBorders>
              <w:top w:val="single" w:color="000000" w:sz="2" w:space="0"/>
              <w:left w:val="single" w:color="000000" w:sz="2" w:space="0"/>
              <w:bottom w:val="single" w:color="000000" w:sz="2" w:space="0"/>
              <w:right w:val="single" w:color="000000" w:sz="2" w:space="0"/>
            </w:tcBorders>
            <w:noWrap/>
            <w:vAlign w:val="center"/>
          </w:tcPr>
          <w:p w14:paraId="31C2034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2.75</w:t>
            </w:r>
          </w:p>
        </w:tc>
        <w:tc>
          <w:tcPr>
            <w:tcW w:w="705" w:type="dxa"/>
            <w:tcBorders>
              <w:top w:val="single" w:color="000000" w:sz="2" w:space="0"/>
              <w:left w:val="single" w:color="000000" w:sz="2" w:space="0"/>
              <w:bottom w:val="single" w:color="000000" w:sz="2" w:space="0"/>
              <w:right w:val="single" w:color="000000" w:sz="8" w:space="0"/>
            </w:tcBorders>
            <w:noWrap/>
            <w:vAlign w:val="center"/>
          </w:tcPr>
          <w:p w14:paraId="7B0419B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7.01</w:t>
            </w:r>
          </w:p>
        </w:tc>
      </w:tr>
      <w:tr w14:paraId="2FF2E21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95" w:type="pct"/>
            <w:tcBorders>
              <w:top w:val="single" w:color="000000" w:sz="2" w:space="0"/>
              <w:left w:val="single" w:color="000000" w:sz="8" w:space="0"/>
              <w:bottom w:val="single" w:color="000000" w:sz="8" w:space="0"/>
              <w:right w:val="single" w:color="000000" w:sz="2" w:space="0"/>
            </w:tcBorders>
            <w:noWrap/>
            <w:vAlign w:val="center"/>
          </w:tcPr>
          <w:p w14:paraId="69F07D87">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冬季</w:t>
            </w:r>
          </w:p>
        </w:tc>
        <w:tc>
          <w:tcPr>
            <w:tcW w:w="710" w:type="dxa"/>
            <w:tcBorders>
              <w:top w:val="single" w:color="000000" w:sz="2" w:space="0"/>
              <w:left w:val="single" w:color="000000" w:sz="2" w:space="0"/>
              <w:bottom w:val="single" w:color="000000" w:sz="8" w:space="0"/>
              <w:right w:val="single" w:color="000000" w:sz="2" w:space="0"/>
            </w:tcBorders>
            <w:noWrap/>
            <w:vAlign w:val="center"/>
          </w:tcPr>
          <w:p w14:paraId="4A0CA5F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10.53</w:t>
            </w:r>
          </w:p>
        </w:tc>
        <w:tc>
          <w:tcPr>
            <w:tcW w:w="711" w:type="dxa"/>
            <w:tcBorders>
              <w:top w:val="single" w:color="000000" w:sz="2" w:space="0"/>
              <w:left w:val="single" w:color="000000" w:sz="2" w:space="0"/>
              <w:bottom w:val="single" w:color="000000" w:sz="8" w:space="0"/>
              <w:right w:val="single" w:color="000000" w:sz="2" w:space="0"/>
            </w:tcBorders>
            <w:noWrap/>
            <w:vAlign w:val="center"/>
          </w:tcPr>
          <w:p w14:paraId="6247F39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2.61</w:t>
            </w:r>
          </w:p>
        </w:tc>
        <w:tc>
          <w:tcPr>
            <w:tcW w:w="714" w:type="dxa"/>
            <w:tcBorders>
              <w:top w:val="single" w:color="000000" w:sz="2" w:space="0"/>
              <w:left w:val="single" w:color="000000" w:sz="2" w:space="0"/>
              <w:bottom w:val="single" w:color="000000" w:sz="8" w:space="0"/>
              <w:right w:val="single" w:color="000000" w:sz="2" w:space="0"/>
            </w:tcBorders>
            <w:noWrap/>
            <w:vAlign w:val="center"/>
          </w:tcPr>
          <w:p w14:paraId="7D5888D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3.53</w:t>
            </w:r>
          </w:p>
        </w:tc>
        <w:tc>
          <w:tcPr>
            <w:tcW w:w="714" w:type="dxa"/>
            <w:tcBorders>
              <w:top w:val="single" w:color="000000" w:sz="2" w:space="0"/>
              <w:left w:val="single" w:color="000000" w:sz="2" w:space="0"/>
              <w:bottom w:val="single" w:color="000000" w:sz="8" w:space="0"/>
              <w:right w:val="single" w:color="000000" w:sz="2" w:space="0"/>
            </w:tcBorders>
            <w:noWrap/>
            <w:vAlign w:val="center"/>
          </w:tcPr>
          <w:p w14:paraId="4885DD7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10.16</w:t>
            </w:r>
          </w:p>
        </w:tc>
        <w:tc>
          <w:tcPr>
            <w:tcW w:w="714" w:type="dxa"/>
            <w:tcBorders>
              <w:top w:val="single" w:color="000000" w:sz="2" w:space="0"/>
              <w:left w:val="single" w:color="000000" w:sz="2" w:space="0"/>
              <w:bottom w:val="single" w:color="000000" w:sz="8" w:space="0"/>
              <w:right w:val="single" w:color="000000" w:sz="2" w:space="0"/>
            </w:tcBorders>
            <w:noWrap/>
            <w:vAlign w:val="center"/>
          </w:tcPr>
          <w:p w14:paraId="528F18B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11.54</w:t>
            </w:r>
          </w:p>
        </w:tc>
        <w:tc>
          <w:tcPr>
            <w:tcW w:w="714" w:type="dxa"/>
            <w:tcBorders>
              <w:top w:val="single" w:color="000000" w:sz="2" w:space="0"/>
              <w:left w:val="single" w:color="000000" w:sz="2" w:space="0"/>
              <w:bottom w:val="single" w:color="000000" w:sz="8" w:space="0"/>
              <w:right w:val="single" w:color="000000" w:sz="2" w:space="0"/>
            </w:tcBorders>
            <w:noWrap/>
            <w:vAlign w:val="center"/>
          </w:tcPr>
          <w:p w14:paraId="56B32A0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7.14</w:t>
            </w:r>
          </w:p>
        </w:tc>
        <w:tc>
          <w:tcPr>
            <w:tcW w:w="672" w:type="dxa"/>
            <w:tcBorders>
              <w:top w:val="single" w:color="000000" w:sz="2" w:space="0"/>
              <w:left w:val="single" w:color="000000" w:sz="2" w:space="0"/>
              <w:bottom w:val="single" w:color="000000" w:sz="8" w:space="0"/>
              <w:right w:val="single" w:color="000000" w:sz="2" w:space="0"/>
            </w:tcBorders>
            <w:noWrap/>
            <w:vAlign w:val="center"/>
          </w:tcPr>
          <w:p w14:paraId="3260EFD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5.17</w:t>
            </w:r>
          </w:p>
        </w:tc>
        <w:tc>
          <w:tcPr>
            <w:tcW w:w="672" w:type="dxa"/>
            <w:tcBorders>
              <w:top w:val="single" w:color="000000" w:sz="2" w:space="0"/>
              <w:left w:val="single" w:color="000000" w:sz="2" w:space="0"/>
              <w:bottom w:val="single" w:color="000000" w:sz="8" w:space="0"/>
              <w:right w:val="single" w:color="000000" w:sz="2" w:space="0"/>
            </w:tcBorders>
            <w:noWrap/>
            <w:vAlign w:val="center"/>
          </w:tcPr>
          <w:p w14:paraId="4BDDF10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2.43</w:t>
            </w:r>
          </w:p>
        </w:tc>
        <w:tc>
          <w:tcPr>
            <w:tcW w:w="714" w:type="dxa"/>
            <w:tcBorders>
              <w:top w:val="single" w:color="000000" w:sz="2" w:space="0"/>
              <w:left w:val="single" w:color="000000" w:sz="2" w:space="0"/>
              <w:bottom w:val="single" w:color="000000" w:sz="8" w:space="0"/>
              <w:right w:val="single" w:color="000000" w:sz="2" w:space="0"/>
            </w:tcBorders>
            <w:noWrap/>
            <w:vAlign w:val="center"/>
          </w:tcPr>
          <w:p w14:paraId="1C73B4C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1.33</w:t>
            </w:r>
          </w:p>
        </w:tc>
        <w:tc>
          <w:tcPr>
            <w:tcW w:w="714" w:type="dxa"/>
            <w:tcBorders>
              <w:top w:val="single" w:color="000000" w:sz="2" w:space="0"/>
              <w:left w:val="single" w:color="000000" w:sz="2" w:space="0"/>
              <w:bottom w:val="single" w:color="000000" w:sz="8" w:space="0"/>
              <w:right w:val="single" w:color="000000" w:sz="2" w:space="0"/>
            </w:tcBorders>
            <w:noWrap/>
            <w:vAlign w:val="center"/>
          </w:tcPr>
          <w:p w14:paraId="1DEA914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0.69</w:t>
            </w:r>
          </w:p>
        </w:tc>
        <w:tc>
          <w:tcPr>
            <w:tcW w:w="672" w:type="dxa"/>
            <w:tcBorders>
              <w:top w:val="single" w:color="000000" w:sz="2" w:space="0"/>
              <w:left w:val="single" w:color="000000" w:sz="2" w:space="0"/>
              <w:bottom w:val="single" w:color="000000" w:sz="8" w:space="0"/>
              <w:right w:val="single" w:color="000000" w:sz="2" w:space="0"/>
            </w:tcBorders>
            <w:noWrap/>
            <w:vAlign w:val="center"/>
          </w:tcPr>
          <w:p w14:paraId="4AD434F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1.60</w:t>
            </w:r>
          </w:p>
        </w:tc>
        <w:tc>
          <w:tcPr>
            <w:tcW w:w="756" w:type="dxa"/>
            <w:tcBorders>
              <w:top w:val="single" w:color="000000" w:sz="2" w:space="0"/>
              <w:left w:val="single" w:color="000000" w:sz="2" w:space="0"/>
              <w:bottom w:val="single" w:color="000000" w:sz="8" w:space="0"/>
              <w:right w:val="single" w:color="000000" w:sz="2" w:space="0"/>
            </w:tcBorders>
            <w:noWrap/>
            <w:vAlign w:val="center"/>
          </w:tcPr>
          <w:p w14:paraId="4A0108A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3.85</w:t>
            </w:r>
          </w:p>
        </w:tc>
        <w:tc>
          <w:tcPr>
            <w:tcW w:w="641" w:type="dxa"/>
            <w:tcBorders>
              <w:top w:val="single" w:color="000000" w:sz="2" w:space="0"/>
              <w:left w:val="single" w:color="000000" w:sz="2" w:space="0"/>
              <w:bottom w:val="single" w:color="000000" w:sz="8" w:space="0"/>
              <w:right w:val="single" w:color="000000" w:sz="2" w:space="0"/>
            </w:tcBorders>
            <w:noWrap/>
            <w:vAlign w:val="center"/>
          </w:tcPr>
          <w:p w14:paraId="24B6B4F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14.06</w:t>
            </w:r>
          </w:p>
        </w:tc>
        <w:tc>
          <w:tcPr>
            <w:tcW w:w="795" w:type="dxa"/>
            <w:tcBorders>
              <w:top w:val="single" w:color="000000" w:sz="2" w:space="0"/>
              <w:left w:val="single" w:color="000000" w:sz="2" w:space="0"/>
              <w:bottom w:val="single" w:color="000000" w:sz="8" w:space="0"/>
              <w:right w:val="single" w:color="000000" w:sz="2" w:space="0"/>
            </w:tcBorders>
            <w:noWrap/>
            <w:vAlign w:val="center"/>
          </w:tcPr>
          <w:p w14:paraId="1049DCC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10.35</w:t>
            </w:r>
          </w:p>
        </w:tc>
        <w:tc>
          <w:tcPr>
            <w:tcW w:w="672" w:type="dxa"/>
            <w:tcBorders>
              <w:top w:val="single" w:color="000000" w:sz="2" w:space="0"/>
              <w:left w:val="single" w:color="000000" w:sz="2" w:space="0"/>
              <w:bottom w:val="single" w:color="000000" w:sz="8" w:space="0"/>
              <w:right w:val="single" w:color="000000" w:sz="2" w:space="0"/>
            </w:tcBorders>
            <w:noWrap/>
            <w:vAlign w:val="center"/>
          </w:tcPr>
          <w:p w14:paraId="7CA663E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7.92</w:t>
            </w:r>
          </w:p>
        </w:tc>
        <w:tc>
          <w:tcPr>
            <w:tcW w:w="742" w:type="dxa"/>
            <w:tcBorders>
              <w:top w:val="single" w:color="000000" w:sz="2" w:space="0"/>
              <w:left w:val="single" w:color="000000" w:sz="2" w:space="0"/>
              <w:bottom w:val="single" w:color="000000" w:sz="8" w:space="0"/>
              <w:right w:val="single" w:color="000000" w:sz="2" w:space="0"/>
            </w:tcBorders>
            <w:noWrap/>
            <w:vAlign w:val="center"/>
          </w:tcPr>
          <w:p w14:paraId="1652761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2.98</w:t>
            </w:r>
          </w:p>
        </w:tc>
        <w:tc>
          <w:tcPr>
            <w:tcW w:w="705" w:type="dxa"/>
            <w:tcBorders>
              <w:top w:val="single" w:color="000000" w:sz="2" w:space="0"/>
              <w:left w:val="single" w:color="000000" w:sz="2" w:space="0"/>
              <w:bottom w:val="single" w:color="000000" w:sz="8" w:space="0"/>
              <w:right w:val="single" w:color="000000" w:sz="8" w:space="0"/>
            </w:tcBorders>
            <w:noWrap/>
            <w:vAlign w:val="center"/>
          </w:tcPr>
          <w:p w14:paraId="7488676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4.12</w:t>
            </w:r>
          </w:p>
        </w:tc>
      </w:tr>
    </w:tbl>
    <w:p w14:paraId="13D8248F">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65FF4F20">
      <w:pPr>
        <w:rPr>
          <w:color w:val="auto"/>
          <w:sz w:val="24"/>
          <w:szCs w:val="24"/>
        </w:rPr>
        <w:sectPr>
          <w:type w:val="continuous"/>
          <w:pgSz w:w="16838" w:h="11906" w:orient="landscape"/>
          <w:pgMar w:top="1440" w:right="1588" w:bottom="1389" w:left="1588" w:header="1191" w:footer="964" w:gutter="0"/>
          <w:cols w:space="720" w:num="1"/>
          <w:docGrid w:type="lines" w:linePitch="326" w:charSpace="0"/>
        </w:sectPr>
      </w:pPr>
    </w:p>
    <w:p w14:paraId="0E8B5BEA">
      <w:pPr>
        <w:ind w:firstLine="480"/>
        <w:rPr>
          <w:color w:val="auto"/>
          <w:sz w:val="24"/>
          <w:szCs w:val="24"/>
        </w:rPr>
      </w:pPr>
      <w:r>
        <w:rPr>
          <w:color w:val="auto"/>
          <w:sz w:val="24"/>
          <w:szCs w:val="24"/>
        </w:rPr>
        <w:drawing>
          <wp:inline distT="0" distB="0" distL="0" distR="0">
            <wp:extent cx="4477385" cy="62280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77385" cy="6228080"/>
                    </a:xfrm>
                    <a:prstGeom prst="rect">
                      <a:avLst/>
                    </a:prstGeom>
                    <a:noFill/>
                    <a:ln>
                      <a:noFill/>
                    </a:ln>
                  </pic:spPr>
                </pic:pic>
              </a:graphicData>
            </a:graphic>
          </wp:inline>
        </w:drawing>
      </w:r>
      <w:r>
        <w:rPr>
          <w:color w:val="auto"/>
          <w:sz w:val="24"/>
          <w:szCs w:val="24"/>
        </w:rPr>
        <w:t xml:space="preserve"> </w:t>
      </w:r>
    </w:p>
    <w:p w14:paraId="1351D8F5">
      <w:pPr>
        <w:pStyle w:val="1060"/>
        <w:rPr>
          <w:rFonts w:hint="eastAsia" w:ascii="宋体" w:hAnsi="宋体"/>
          <w:color w:val="auto"/>
          <w:szCs w:val="23"/>
        </w:rPr>
      </w:pPr>
      <w:bookmarkStart w:id="281" w:name="_Ref12693"/>
      <w:bookmarkEnd w:id="281"/>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szCs w:val="23"/>
        </w:rPr>
        <w:t xml:space="preserve">  </w:t>
      </w:r>
      <w:r>
        <w:rPr>
          <w:rFonts w:hint="eastAsia" w:ascii="黑体" w:hAnsi="黑体"/>
          <w:color w:val="auto"/>
          <w:szCs w:val="23"/>
        </w:rPr>
        <w:t>区域</w:t>
      </w:r>
      <w:r>
        <w:rPr>
          <w:color w:val="auto"/>
          <w:szCs w:val="23"/>
        </w:rPr>
        <w:t>202</w:t>
      </w:r>
      <w:r>
        <w:rPr>
          <w:rFonts w:hint="eastAsia"/>
          <w:color w:val="auto"/>
          <w:szCs w:val="23"/>
        </w:rPr>
        <w:t>4</w:t>
      </w:r>
      <w:r>
        <w:rPr>
          <w:rFonts w:hint="eastAsia" w:ascii="黑体" w:hAnsi="黑体"/>
          <w:color w:val="auto"/>
          <w:szCs w:val="23"/>
        </w:rPr>
        <w:t>年月、季、年风向玫瑰图</w:t>
      </w:r>
    </w:p>
    <w:p w14:paraId="45FCE447">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11CE5741">
      <w:pPr>
        <w:pStyle w:val="5"/>
        <w:rPr>
          <w:color w:val="auto"/>
        </w:rPr>
      </w:pPr>
      <w:r>
        <w:rPr>
          <w:rFonts w:hint="eastAsia"/>
          <w:color w:val="auto"/>
        </w:rPr>
        <w:t>风速</w:t>
      </w:r>
    </w:p>
    <w:p w14:paraId="33F61BD3">
      <w:pPr>
        <w:pStyle w:val="132"/>
        <w:rPr>
          <w:color w:val="auto"/>
        </w:rPr>
      </w:pPr>
      <w:r>
        <w:rPr>
          <w:rFonts w:hint="eastAsia"/>
          <w:color w:val="auto"/>
        </w:rPr>
        <w:t xml:space="preserve">项目区域2024年平均月风速统计见表 </w:t>
      </w:r>
      <w:r>
        <w:rPr>
          <w:color w:val="auto"/>
        </w:rPr>
        <w:t>5.2</w:t>
      </w:r>
      <w:r>
        <w:rPr>
          <w:rFonts w:hint="eastAsia"/>
          <w:color w:val="auto"/>
        </w:rPr>
        <w:t>–</w:t>
      </w:r>
      <w:r>
        <w:rPr>
          <w:color w:val="auto"/>
        </w:rPr>
        <w:t>3</w:t>
      </w:r>
      <w:r>
        <w:rPr>
          <w:rFonts w:hint="eastAsia"/>
          <w:color w:val="auto"/>
        </w:rPr>
        <w:t xml:space="preserve">。平均风速月变化曲线图见图 </w:t>
      </w:r>
      <w:r>
        <w:rPr>
          <w:color w:val="auto"/>
        </w:rPr>
        <w:t>5.2</w:t>
      </w:r>
      <w:r>
        <w:rPr>
          <w:rFonts w:hint="eastAsia"/>
          <w:color w:val="auto"/>
        </w:rPr>
        <w:t>–</w:t>
      </w:r>
      <w:r>
        <w:rPr>
          <w:color w:val="auto"/>
        </w:rPr>
        <w:t>3</w:t>
      </w:r>
      <w:r>
        <w:rPr>
          <w:rFonts w:hint="eastAsia"/>
          <w:color w:val="auto"/>
        </w:rPr>
        <w:t xml:space="preserve">。季小时平均风速的日变化见表 </w:t>
      </w:r>
      <w:r>
        <w:rPr>
          <w:color w:val="auto"/>
        </w:rPr>
        <w:t>5.2</w:t>
      </w:r>
      <w:r>
        <w:rPr>
          <w:rFonts w:hint="eastAsia"/>
          <w:color w:val="auto"/>
        </w:rPr>
        <w:t>–</w:t>
      </w:r>
      <w:r>
        <w:rPr>
          <w:color w:val="auto"/>
        </w:rPr>
        <w:t>4</w:t>
      </w:r>
      <w:r>
        <w:rPr>
          <w:rFonts w:hint="eastAsia"/>
          <w:color w:val="auto"/>
        </w:rPr>
        <w:t xml:space="preserve">，季小时平均风速日变化曲线见图 </w:t>
      </w:r>
      <w:r>
        <w:rPr>
          <w:color w:val="auto"/>
        </w:rPr>
        <w:t>5.2</w:t>
      </w:r>
      <w:r>
        <w:rPr>
          <w:rFonts w:hint="eastAsia"/>
          <w:color w:val="auto"/>
        </w:rPr>
        <w:t>–</w:t>
      </w:r>
      <w:r>
        <w:rPr>
          <w:color w:val="auto"/>
        </w:rPr>
        <w:t>4</w:t>
      </w:r>
      <w:r>
        <w:rPr>
          <w:rFonts w:hint="eastAsia"/>
          <w:color w:val="auto"/>
        </w:rPr>
        <w:t xml:space="preserve">。2024年月、季、年平均风向玫瑰图见图 </w:t>
      </w:r>
      <w:r>
        <w:rPr>
          <w:color w:val="auto"/>
        </w:rPr>
        <w:t>5.2</w:t>
      </w:r>
      <w:r>
        <w:rPr>
          <w:rFonts w:hint="eastAsia"/>
          <w:color w:val="auto"/>
        </w:rPr>
        <w:t>–</w:t>
      </w:r>
      <w:r>
        <w:rPr>
          <w:color w:val="auto"/>
        </w:rPr>
        <w:t>5</w:t>
      </w:r>
      <w:r>
        <w:rPr>
          <w:rFonts w:hint="eastAsia"/>
          <w:color w:val="auto"/>
        </w:rPr>
        <w:t>。</w:t>
      </w:r>
    </w:p>
    <w:p w14:paraId="039644DF">
      <w:pPr>
        <w:pStyle w:val="1060"/>
        <w:rPr>
          <w:color w:val="auto"/>
        </w:rPr>
      </w:pPr>
      <w:bookmarkStart w:id="282" w:name="_Ref26901"/>
      <w:bookmarkEnd w:id="282"/>
      <w:r>
        <w:rPr>
          <w:rStyle w:val="1062"/>
          <w:color w:val="auto"/>
        </w:rPr>
        <w:t xml:space="preserve">表 </w:t>
      </w:r>
      <w:r>
        <w:rPr>
          <w:rStyle w:val="1062"/>
          <w:color w:val="auto"/>
        </w:rPr>
        <w:fldChar w:fldCharType="begin"/>
      </w:r>
      <w:r>
        <w:rPr>
          <w:rStyle w:val="1062"/>
          <w:color w:val="auto"/>
        </w:rPr>
        <w:instrText xml:space="preserve"> STYLEREF 2 \s </w:instrText>
      </w:r>
      <w:r>
        <w:rPr>
          <w:rStyle w:val="1062"/>
          <w:color w:val="auto"/>
        </w:rPr>
        <w:fldChar w:fldCharType="separate"/>
      </w:r>
      <w:r>
        <w:rPr>
          <w:rStyle w:val="1062"/>
          <w:color w:val="auto"/>
        </w:rPr>
        <w:t>5.2</w:t>
      </w:r>
      <w:r>
        <w:rPr>
          <w:rStyle w:val="1062"/>
          <w:color w:val="auto"/>
        </w:rPr>
        <w:fldChar w:fldCharType="end"/>
      </w:r>
      <w:r>
        <w:rPr>
          <w:rStyle w:val="1062"/>
          <w:color w:val="auto"/>
        </w:rPr>
        <w:noBreakHyphen/>
      </w:r>
      <w:r>
        <w:rPr>
          <w:rStyle w:val="1062"/>
          <w:color w:val="auto"/>
        </w:rPr>
        <w:fldChar w:fldCharType="begin"/>
      </w:r>
      <w:r>
        <w:rPr>
          <w:rStyle w:val="1062"/>
          <w:color w:val="auto"/>
        </w:rPr>
        <w:instrText xml:space="preserve"> SEQ 表 \* ARABIC \s 2 </w:instrText>
      </w:r>
      <w:r>
        <w:rPr>
          <w:rStyle w:val="1062"/>
          <w:color w:val="auto"/>
        </w:rPr>
        <w:fldChar w:fldCharType="separate"/>
      </w:r>
      <w:r>
        <w:rPr>
          <w:rStyle w:val="1062"/>
          <w:color w:val="auto"/>
        </w:rPr>
        <w:t>3</w:t>
      </w:r>
      <w:r>
        <w:rPr>
          <w:rStyle w:val="1062"/>
          <w:color w:val="auto"/>
        </w:rPr>
        <w:fldChar w:fldCharType="end"/>
      </w:r>
      <w:r>
        <w:rPr>
          <w:rStyle w:val="1062"/>
          <w:color w:val="auto"/>
        </w:rPr>
        <w:t xml:space="preserve">   2024年年均风速的月变化一览</w:t>
      </w:r>
      <w:r>
        <w:rPr>
          <w:color w:val="auto"/>
        </w:rPr>
        <w:t>表</w:t>
      </w:r>
    </w:p>
    <w:tbl>
      <w:tblPr>
        <w:tblStyle w:val="2429"/>
        <w:tblW w:w="5000"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675"/>
        <w:gridCol w:w="676"/>
        <w:gridCol w:w="677"/>
        <w:gridCol w:w="674"/>
        <w:gridCol w:w="675"/>
        <w:gridCol w:w="677"/>
        <w:gridCol w:w="676"/>
        <w:gridCol w:w="676"/>
        <w:gridCol w:w="677"/>
        <w:gridCol w:w="676"/>
        <w:gridCol w:w="676"/>
        <w:gridCol w:w="677"/>
        <w:gridCol w:w="676"/>
      </w:tblGrid>
      <w:tr w14:paraId="77F2D57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37" w:type="dxa"/>
            <w:tcBorders>
              <w:top w:val="single" w:color="000000" w:sz="8" w:space="0"/>
              <w:left w:val="single" w:color="000000" w:sz="8" w:space="0"/>
              <w:bottom w:val="single" w:color="000000" w:sz="2" w:space="0"/>
              <w:right w:val="single" w:color="000000" w:sz="2" w:space="0"/>
            </w:tcBorders>
            <w:vAlign w:val="center"/>
          </w:tcPr>
          <w:p w14:paraId="36DCE2F9">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月份</w:t>
            </w:r>
          </w:p>
        </w:tc>
        <w:tc>
          <w:tcPr>
            <w:tcW w:w="638" w:type="dxa"/>
            <w:tcBorders>
              <w:top w:val="single" w:color="000000" w:sz="8" w:space="0"/>
              <w:left w:val="single" w:color="000000" w:sz="2" w:space="0"/>
              <w:bottom w:val="single" w:color="000000" w:sz="2" w:space="0"/>
              <w:right w:val="single" w:color="000000" w:sz="2" w:space="0"/>
            </w:tcBorders>
            <w:vAlign w:val="center"/>
          </w:tcPr>
          <w:p w14:paraId="52FC3AA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w:t>
            </w:r>
            <w:r>
              <w:rPr>
                <w:rFonts w:ascii="宋体" w:hAnsi="宋体" w:eastAsia="Times New Roman"/>
                <w:color w:val="auto"/>
                <w:sz w:val="21"/>
                <w:szCs w:val="21"/>
              </w:rPr>
              <w:t>月</w:t>
            </w:r>
          </w:p>
        </w:tc>
        <w:tc>
          <w:tcPr>
            <w:tcW w:w="639" w:type="dxa"/>
            <w:tcBorders>
              <w:top w:val="single" w:color="000000" w:sz="8" w:space="0"/>
              <w:left w:val="single" w:color="000000" w:sz="2" w:space="0"/>
              <w:bottom w:val="single" w:color="000000" w:sz="2" w:space="0"/>
              <w:right w:val="single" w:color="000000" w:sz="2" w:space="0"/>
            </w:tcBorders>
            <w:vAlign w:val="center"/>
          </w:tcPr>
          <w:p w14:paraId="316219F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w:t>
            </w:r>
            <w:r>
              <w:rPr>
                <w:rFonts w:ascii="宋体" w:hAnsi="宋体" w:eastAsia="Times New Roman"/>
                <w:color w:val="auto"/>
                <w:sz w:val="21"/>
                <w:szCs w:val="21"/>
              </w:rPr>
              <w:t>月</w:t>
            </w:r>
          </w:p>
        </w:tc>
        <w:tc>
          <w:tcPr>
            <w:tcW w:w="636" w:type="dxa"/>
            <w:tcBorders>
              <w:top w:val="single" w:color="000000" w:sz="8" w:space="0"/>
              <w:left w:val="single" w:color="000000" w:sz="2" w:space="0"/>
              <w:bottom w:val="single" w:color="000000" w:sz="2" w:space="0"/>
              <w:right w:val="single" w:color="000000" w:sz="2" w:space="0"/>
            </w:tcBorders>
            <w:vAlign w:val="center"/>
          </w:tcPr>
          <w:p w14:paraId="1B8AECA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w:t>
            </w:r>
            <w:r>
              <w:rPr>
                <w:rFonts w:ascii="宋体" w:hAnsi="宋体" w:eastAsia="Times New Roman"/>
                <w:color w:val="auto"/>
                <w:sz w:val="21"/>
                <w:szCs w:val="21"/>
              </w:rPr>
              <w:t>月</w:t>
            </w:r>
          </w:p>
        </w:tc>
        <w:tc>
          <w:tcPr>
            <w:tcW w:w="637" w:type="dxa"/>
            <w:tcBorders>
              <w:top w:val="single" w:color="000000" w:sz="8" w:space="0"/>
              <w:left w:val="single" w:color="000000" w:sz="2" w:space="0"/>
              <w:bottom w:val="single" w:color="000000" w:sz="2" w:space="0"/>
              <w:right w:val="single" w:color="000000" w:sz="2" w:space="0"/>
            </w:tcBorders>
            <w:vAlign w:val="center"/>
          </w:tcPr>
          <w:p w14:paraId="3BA586E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w:t>
            </w:r>
            <w:r>
              <w:rPr>
                <w:rFonts w:ascii="宋体" w:hAnsi="宋体" w:eastAsia="Times New Roman"/>
                <w:color w:val="auto"/>
                <w:sz w:val="21"/>
                <w:szCs w:val="21"/>
              </w:rPr>
              <w:t>月</w:t>
            </w:r>
          </w:p>
        </w:tc>
        <w:tc>
          <w:tcPr>
            <w:tcW w:w="638" w:type="dxa"/>
            <w:tcBorders>
              <w:top w:val="single" w:color="000000" w:sz="8" w:space="0"/>
              <w:left w:val="single" w:color="000000" w:sz="2" w:space="0"/>
              <w:bottom w:val="single" w:color="000000" w:sz="2" w:space="0"/>
              <w:right w:val="single" w:color="000000" w:sz="2" w:space="0"/>
            </w:tcBorders>
            <w:vAlign w:val="center"/>
          </w:tcPr>
          <w:p w14:paraId="58361E2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r>
              <w:rPr>
                <w:rFonts w:ascii="宋体" w:hAnsi="宋体" w:eastAsia="Times New Roman"/>
                <w:color w:val="auto"/>
                <w:sz w:val="21"/>
                <w:szCs w:val="21"/>
              </w:rPr>
              <w:t>月</w:t>
            </w:r>
          </w:p>
        </w:tc>
        <w:tc>
          <w:tcPr>
            <w:tcW w:w="637" w:type="dxa"/>
            <w:tcBorders>
              <w:top w:val="single" w:color="000000" w:sz="8" w:space="0"/>
              <w:left w:val="single" w:color="000000" w:sz="2" w:space="0"/>
              <w:bottom w:val="single" w:color="000000" w:sz="2" w:space="0"/>
              <w:right w:val="single" w:color="000000" w:sz="2" w:space="0"/>
            </w:tcBorders>
            <w:vAlign w:val="center"/>
          </w:tcPr>
          <w:p w14:paraId="2F2F486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w:t>
            </w:r>
            <w:r>
              <w:rPr>
                <w:rFonts w:ascii="宋体" w:hAnsi="宋体" w:eastAsia="Times New Roman"/>
                <w:color w:val="auto"/>
                <w:sz w:val="21"/>
                <w:szCs w:val="21"/>
              </w:rPr>
              <w:t>月</w:t>
            </w:r>
          </w:p>
        </w:tc>
        <w:tc>
          <w:tcPr>
            <w:tcW w:w="637" w:type="dxa"/>
            <w:tcBorders>
              <w:top w:val="single" w:color="000000" w:sz="8" w:space="0"/>
              <w:left w:val="single" w:color="000000" w:sz="2" w:space="0"/>
              <w:bottom w:val="single" w:color="000000" w:sz="2" w:space="0"/>
              <w:right w:val="single" w:color="000000" w:sz="2" w:space="0"/>
            </w:tcBorders>
            <w:vAlign w:val="center"/>
          </w:tcPr>
          <w:p w14:paraId="43FA9FB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w:t>
            </w:r>
            <w:r>
              <w:rPr>
                <w:rFonts w:ascii="宋体" w:hAnsi="宋体" w:eastAsia="Times New Roman"/>
                <w:color w:val="auto"/>
                <w:sz w:val="21"/>
                <w:szCs w:val="21"/>
              </w:rPr>
              <w:t>月</w:t>
            </w:r>
          </w:p>
        </w:tc>
        <w:tc>
          <w:tcPr>
            <w:tcW w:w="638" w:type="dxa"/>
            <w:tcBorders>
              <w:top w:val="single" w:color="000000" w:sz="8" w:space="0"/>
              <w:left w:val="single" w:color="000000" w:sz="2" w:space="0"/>
              <w:bottom w:val="single" w:color="000000" w:sz="2" w:space="0"/>
              <w:right w:val="single" w:color="000000" w:sz="2" w:space="0"/>
            </w:tcBorders>
            <w:vAlign w:val="center"/>
          </w:tcPr>
          <w:p w14:paraId="00CF189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w:t>
            </w:r>
            <w:r>
              <w:rPr>
                <w:rFonts w:ascii="宋体" w:hAnsi="宋体" w:eastAsia="Times New Roman"/>
                <w:color w:val="auto"/>
                <w:sz w:val="21"/>
                <w:szCs w:val="21"/>
              </w:rPr>
              <w:t>月</w:t>
            </w:r>
          </w:p>
        </w:tc>
        <w:tc>
          <w:tcPr>
            <w:tcW w:w="637" w:type="dxa"/>
            <w:tcBorders>
              <w:top w:val="single" w:color="000000" w:sz="8" w:space="0"/>
              <w:left w:val="single" w:color="000000" w:sz="2" w:space="0"/>
              <w:bottom w:val="single" w:color="000000" w:sz="2" w:space="0"/>
              <w:right w:val="single" w:color="000000" w:sz="2" w:space="0"/>
            </w:tcBorders>
            <w:vAlign w:val="center"/>
          </w:tcPr>
          <w:p w14:paraId="23EE0C4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w:t>
            </w:r>
            <w:r>
              <w:rPr>
                <w:rFonts w:ascii="宋体" w:hAnsi="宋体" w:eastAsia="Times New Roman"/>
                <w:color w:val="auto"/>
                <w:sz w:val="21"/>
                <w:szCs w:val="21"/>
              </w:rPr>
              <w:t>月</w:t>
            </w:r>
          </w:p>
        </w:tc>
        <w:tc>
          <w:tcPr>
            <w:tcW w:w="637" w:type="dxa"/>
            <w:tcBorders>
              <w:top w:val="single" w:color="000000" w:sz="8" w:space="0"/>
              <w:left w:val="single" w:color="000000" w:sz="2" w:space="0"/>
              <w:bottom w:val="single" w:color="000000" w:sz="2" w:space="0"/>
              <w:right w:val="single" w:color="000000" w:sz="2" w:space="0"/>
            </w:tcBorders>
            <w:vAlign w:val="center"/>
          </w:tcPr>
          <w:p w14:paraId="7E5AC47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w:t>
            </w:r>
            <w:r>
              <w:rPr>
                <w:rFonts w:ascii="宋体" w:hAnsi="宋体" w:eastAsia="Times New Roman"/>
                <w:color w:val="auto"/>
                <w:sz w:val="21"/>
                <w:szCs w:val="21"/>
              </w:rPr>
              <w:t>月</w:t>
            </w:r>
          </w:p>
        </w:tc>
        <w:tc>
          <w:tcPr>
            <w:tcW w:w="638" w:type="dxa"/>
            <w:tcBorders>
              <w:top w:val="single" w:color="000000" w:sz="8" w:space="0"/>
              <w:left w:val="single" w:color="000000" w:sz="2" w:space="0"/>
              <w:bottom w:val="single" w:color="000000" w:sz="2" w:space="0"/>
              <w:right w:val="single" w:color="000000" w:sz="2" w:space="0"/>
            </w:tcBorders>
            <w:vAlign w:val="center"/>
          </w:tcPr>
          <w:p w14:paraId="7B2FA3B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w:t>
            </w:r>
            <w:r>
              <w:rPr>
                <w:rFonts w:ascii="宋体" w:hAnsi="宋体" w:eastAsia="Times New Roman"/>
                <w:color w:val="auto"/>
                <w:sz w:val="21"/>
                <w:szCs w:val="21"/>
              </w:rPr>
              <w:t>月</w:t>
            </w:r>
          </w:p>
        </w:tc>
        <w:tc>
          <w:tcPr>
            <w:tcW w:w="637" w:type="dxa"/>
            <w:tcBorders>
              <w:top w:val="single" w:color="000000" w:sz="8" w:space="0"/>
              <w:left w:val="single" w:color="000000" w:sz="2" w:space="0"/>
              <w:bottom w:val="single" w:color="000000" w:sz="2" w:space="0"/>
              <w:right w:val="single" w:color="000000" w:sz="8" w:space="0"/>
            </w:tcBorders>
            <w:vAlign w:val="center"/>
          </w:tcPr>
          <w:p w14:paraId="6DA8989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w:t>
            </w:r>
            <w:r>
              <w:rPr>
                <w:rFonts w:ascii="宋体" w:hAnsi="宋体" w:eastAsia="Times New Roman"/>
                <w:color w:val="auto"/>
                <w:sz w:val="21"/>
                <w:szCs w:val="21"/>
              </w:rPr>
              <w:t>月</w:t>
            </w:r>
          </w:p>
        </w:tc>
      </w:tr>
      <w:tr w14:paraId="20BF40D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637" w:type="dxa"/>
            <w:tcBorders>
              <w:top w:val="single" w:color="000000" w:sz="2" w:space="0"/>
              <w:left w:val="single" w:color="000000" w:sz="8" w:space="0"/>
              <w:bottom w:val="single" w:color="000000" w:sz="8" w:space="0"/>
              <w:right w:val="single" w:color="000000" w:sz="2" w:space="0"/>
            </w:tcBorders>
            <w:vAlign w:val="center"/>
          </w:tcPr>
          <w:p w14:paraId="39F3EC68">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风速</w:t>
            </w:r>
          </w:p>
        </w:tc>
        <w:tc>
          <w:tcPr>
            <w:tcW w:w="638" w:type="dxa"/>
            <w:tcBorders>
              <w:top w:val="single" w:color="000000" w:sz="2" w:space="0"/>
              <w:left w:val="single" w:color="000000" w:sz="2" w:space="0"/>
              <w:bottom w:val="single" w:color="000000" w:sz="8" w:space="0"/>
              <w:right w:val="single" w:color="000000" w:sz="2" w:space="0"/>
            </w:tcBorders>
            <w:vAlign w:val="center"/>
          </w:tcPr>
          <w:p w14:paraId="5DC111D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1.21 </w:t>
            </w:r>
          </w:p>
        </w:tc>
        <w:tc>
          <w:tcPr>
            <w:tcW w:w="639" w:type="dxa"/>
            <w:tcBorders>
              <w:top w:val="single" w:color="000000" w:sz="2" w:space="0"/>
              <w:left w:val="single" w:color="000000" w:sz="2" w:space="0"/>
              <w:bottom w:val="single" w:color="000000" w:sz="8" w:space="0"/>
              <w:right w:val="single" w:color="000000" w:sz="2" w:space="0"/>
            </w:tcBorders>
            <w:vAlign w:val="center"/>
          </w:tcPr>
          <w:p w14:paraId="52D670E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1.33 </w:t>
            </w:r>
          </w:p>
        </w:tc>
        <w:tc>
          <w:tcPr>
            <w:tcW w:w="636" w:type="dxa"/>
            <w:tcBorders>
              <w:top w:val="single" w:color="000000" w:sz="2" w:space="0"/>
              <w:left w:val="single" w:color="000000" w:sz="2" w:space="0"/>
              <w:bottom w:val="single" w:color="000000" w:sz="8" w:space="0"/>
              <w:right w:val="single" w:color="000000" w:sz="2" w:space="0"/>
            </w:tcBorders>
            <w:vAlign w:val="center"/>
          </w:tcPr>
          <w:p w14:paraId="07B6E55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1.57 </w:t>
            </w:r>
          </w:p>
        </w:tc>
        <w:tc>
          <w:tcPr>
            <w:tcW w:w="637" w:type="dxa"/>
            <w:tcBorders>
              <w:top w:val="single" w:color="000000" w:sz="2" w:space="0"/>
              <w:left w:val="single" w:color="000000" w:sz="2" w:space="0"/>
              <w:bottom w:val="single" w:color="000000" w:sz="8" w:space="0"/>
              <w:right w:val="single" w:color="000000" w:sz="2" w:space="0"/>
            </w:tcBorders>
            <w:vAlign w:val="center"/>
          </w:tcPr>
          <w:p w14:paraId="0E8887F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1.76 </w:t>
            </w:r>
          </w:p>
        </w:tc>
        <w:tc>
          <w:tcPr>
            <w:tcW w:w="638" w:type="dxa"/>
            <w:tcBorders>
              <w:top w:val="single" w:color="000000" w:sz="2" w:space="0"/>
              <w:left w:val="single" w:color="000000" w:sz="2" w:space="0"/>
              <w:bottom w:val="single" w:color="000000" w:sz="8" w:space="0"/>
              <w:right w:val="single" w:color="000000" w:sz="2" w:space="0"/>
            </w:tcBorders>
            <w:vAlign w:val="center"/>
          </w:tcPr>
          <w:p w14:paraId="26D47D9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1.78 </w:t>
            </w:r>
          </w:p>
        </w:tc>
        <w:tc>
          <w:tcPr>
            <w:tcW w:w="637" w:type="dxa"/>
            <w:tcBorders>
              <w:top w:val="single" w:color="000000" w:sz="2" w:space="0"/>
              <w:left w:val="single" w:color="000000" w:sz="2" w:space="0"/>
              <w:bottom w:val="single" w:color="000000" w:sz="8" w:space="0"/>
              <w:right w:val="single" w:color="000000" w:sz="2" w:space="0"/>
            </w:tcBorders>
            <w:vAlign w:val="center"/>
          </w:tcPr>
          <w:p w14:paraId="40E2336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2.19 </w:t>
            </w:r>
          </w:p>
        </w:tc>
        <w:tc>
          <w:tcPr>
            <w:tcW w:w="637" w:type="dxa"/>
            <w:tcBorders>
              <w:top w:val="single" w:color="000000" w:sz="2" w:space="0"/>
              <w:left w:val="single" w:color="000000" w:sz="2" w:space="0"/>
              <w:bottom w:val="single" w:color="000000" w:sz="8" w:space="0"/>
              <w:right w:val="single" w:color="000000" w:sz="2" w:space="0"/>
            </w:tcBorders>
            <w:vAlign w:val="center"/>
          </w:tcPr>
          <w:p w14:paraId="40DA45A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1.83 </w:t>
            </w:r>
          </w:p>
        </w:tc>
        <w:tc>
          <w:tcPr>
            <w:tcW w:w="638" w:type="dxa"/>
            <w:tcBorders>
              <w:top w:val="single" w:color="000000" w:sz="2" w:space="0"/>
              <w:left w:val="single" w:color="000000" w:sz="2" w:space="0"/>
              <w:bottom w:val="single" w:color="000000" w:sz="8" w:space="0"/>
              <w:right w:val="single" w:color="000000" w:sz="2" w:space="0"/>
            </w:tcBorders>
            <w:vAlign w:val="center"/>
          </w:tcPr>
          <w:p w14:paraId="10AE74E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1.70 </w:t>
            </w:r>
          </w:p>
        </w:tc>
        <w:tc>
          <w:tcPr>
            <w:tcW w:w="637" w:type="dxa"/>
            <w:tcBorders>
              <w:top w:val="single" w:color="000000" w:sz="2" w:space="0"/>
              <w:left w:val="single" w:color="000000" w:sz="2" w:space="0"/>
              <w:bottom w:val="single" w:color="000000" w:sz="8" w:space="0"/>
              <w:right w:val="single" w:color="000000" w:sz="2" w:space="0"/>
            </w:tcBorders>
            <w:vAlign w:val="center"/>
          </w:tcPr>
          <w:p w14:paraId="0FC790F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1.51 </w:t>
            </w:r>
          </w:p>
        </w:tc>
        <w:tc>
          <w:tcPr>
            <w:tcW w:w="637" w:type="dxa"/>
            <w:tcBorders>
              <w:top w:val="single" w:color="000000" w:sz="2" w:space="0"/>
              <w:left w:val="single" w:color="000000" w:sz="2" w:space="0"/>
              <w:bottom w:val="single" w:color="000000" w:sz="8" w:space="0"/>
              <w:right w:val="single" w:color="000000" w:sz="2" w:space="0"/>
            </w:tcBorders>
            <w:vAlign w:val="center"/>
          </w:tcPr>
          <w:p w14:paraId="761145C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1.46 </w:t>
            </w:r>
          </w:p>
        </w:tc>
        <w:tc>
          <w:tcPr>
            <w:tcW w:w="638" w:type="dxa"/>
            <w:tcBorders>
              <w:top w:val="single" w:color="000000" w:sz="2" w:space="0"/>
              <w:left w:val="single" w:color="000000" w:sz="2" w:space="0"/>
              <w:bottom w:val="single" w:color="000000" w:sz="8" w:space="0"/>
              <w:right w:val="single" w:color="000000" w:sz="2" w:space="0"/>
            </w:tcBorders>
            <w:vAlign w:val="center"/>
          </w:tcPr>
          <w:p w14:paraId="0FAE81F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1.24 </w:t>
            </w:r>
          </w:p>
        </w:tc>
        <w:tc>
          <w:tcPr>
            <w:tcW w:w="637" w:type="dxa"/>
            <w:tcBorders>
              <w:top w:val="single" w:color="000000" w:sz="2" w:space="0"/>
              <w:left w:val="single" w:color="000000" w:sz="2" w:space="0"/>
              <w:bottom w:val="single" w:color="000000" w:sz="8" w:space="0"/>
              <w:right w:val="single" w:color="000000" w:sz="8" w:space="0"/>
            </w:tcBorders>
            <w:vAlign w:val="center"/>
          </w:tcPr>
          <w:p w14:paraId="34BBB94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1.08 </w:t>
            </w:r>
          </w:p>
        </w:tc>
      </w:tr>
    </w:tbl>
    <w:p w14:paraId="642666F8">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30491827">
      <w:pPr>
        <w:tabs>
          <w:tab w:val="left" w:pos="420"/>
        </w:tabs>
        <w:adjustRightInd w:val="0"/>
        <w:snapToGrid w:val="0"/>
        <w:spacing w:before="100" w:beforeAutospacing="1" w:line="360" w:lineRule="auto"/>
        <w:rPr>
          <w:rFonts w:ascii="宋体"/>
          <w:color w:val="auto"/>
          <w:sz w:val="24"/>
          <w:szCs w:val="24"/>
        </w:rPr>
      </w:pPr>
      <w:r>
        <w:rPr>
          <w:rFonts w:ascii="宋体"/>
          <w:color w:val="auto"/>
          <w:sz w:val="24"/>
          <w:szCs w:val="24"/>
        </w:rPr>
        <w:drawing>
          <wp:inline distT="0" distB="0" distL="0" distR="0">
            <wp:extent cx="5279390" cy="2035810"/>
            <wp:effectExtent l="0" t="0" r="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9390" cy="2035810"/>
                    </a:xfrm>
                    <a:prstGeom prst="rect">
                      <a:avLst/>
                    </a:prstGeom>
                    <a:noFill/>
                    <a:ln>
                      <a:noFill/>
                    </a:ln>
                  </pic:spPr>
                </pic:pic>
              </a:graphicData>
            </a:graphic>
          </wp:inline>
        </w:drawing>
      </w:r>
      <w:r>
        <w:rPr>
          <w:rFonts w:hint="eastAsia" w:ascii="宋体"/>
          <w:color w:val="auto"/>
          <w:sz w:val="24"/>
          <w:szCs w:val="24"/>
        </w:rPr>
        <w:t xml:space="preserve"> </w:t>
      </w:r>
    </w:p>
    <w:p w14:paraId="7F3064C2">
      <w:pPr>
        <w:pStyle w:val="1060"/>
        <w:rPr>
          <w:color w:val="auto"/>
          <w:szCs w:val="23"/>
        </w:rPr>
      </w:pPr>
      <w:bookmarkStart w:id="283" w:name="_Ref27005"/>
      <w:bookmarkEnd w:id="283"/>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rFonts w:hint="eastAsia"/>
          <w:color w:val="auto"/>
          <w:szCs w:val="23"/>
        </w:rPr>
        <w:t xml:space="preserve">   2024</w:t>
      </w:r>
      <w:r>
        <w:rPr>
          <w:rFonts w:hint="eastAsia" w:ascii="黑体" w:hAnsi="黑体"/>
          <w:color w:val="auto"/>
          <w:szCs w:val="23"/>
        </w:rPr>
        <w:t>年平均风速月变化曲线图</w:t>
      </w:r>
    </w:p>
    <w:p w14:paraId="7E966973">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bookmarkStart w:id="284" w:name="_Ref27074"/>
      <w:bookmarkEnd w:id="284"/>
    </w:p>
    <w:p w14:paraId="6B584E18">
      <w:pPr>
        <w:pStyle w:val="1060"/>
        <w:rPr>
          <w:color w:val="auto"/>
          <w:szCs w:val="23"/>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4</w:t>
      </w:r>
      <w:r>
        <w:rPr>
          <w:color w:val="auto"/>
        </w:rPr>
        <w:fldChar w:fldCharType="end"/>
      </w:r>
      <w:r>
        <w:rPr>
          <w:rFonts w:hint="eastAsia"/>
          <w:color w:val="auto"/>
        </w:rPr>
        <w:t xml:space="preserve"> </w:t>
      </w:r>
      <w:r>
        <w:rPr>
          <w:rFonts w:hint="eastAsia"/>
          <w:color w:val="auto"/>
          <w:szCs w:val="23"/>
        </w:rPr>
        <w:t xml:space="preserve">  2024</w:t>
      </w:r>
      <w:r>
        <w:rPr>
          <w:rFonts w:hint="eastAsia" w:ascii="黑体" w:hAnsi="黑体"/>
          <w:color w:val="auto"/>
          <w:szCs w:val="23"/>
        </w:rPr>
        <w:t>年季小时平均风速的日变化一览表</w:t>
      </w:r>
      <w:r>
        <w:rPr>
          <w:rFonts w:hint="eastAsia"/>
          <w:color w:val="auto"/>
          <w:szCs w:val="23"/>
        </w:rPr>
        <w:t xml:space="preserve">  </w:t>
      </w:r>
      <w:r>
        <w:rPr>
          <w:rFonts w:hint="eastAsia" w:ascii="黑体" w:hAnsi="黑体"/>
          <w:color w:val="auto"/>
          <w:szCs w:val="23"/>
        </w:rPr>
        <w:t>单位：</w:t>
      </w:r>
      <w:r>
        <w:rPr>
          <w:rFonts w:hint="eastAsia"/>
          <w:color w:val="auto"/>
          <w:szCs w:val="23"/>
        </w:rPr>
        <w:t>m/s</w:t>
      </w:r>
    </w:p>
    <w:tbl>
      <w:tblPr>
        <w:tblStyle w:val="2429"/>
        <w:tblW w:w="4997"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2825"/>
        <w:gridCol w:w="554"/>
        <w:gridCol w:w="531"/>
        <w:gridCol w:w="531"/>
        <w:gridCol w:w="479"/>
        <w:gridCol w:w="504"/>
        <w:gridCol w:w="478"/>
        <w:gridCol w:w="541"/>
        <w:gridCol w:w="455"/>
        <w:gridCol w:w="465"/>
        <w:gridCol w:w="478"/>
        <w:gridCol w:w="478"/>
        <w:gridCol w:w="462"/>
      </w:tblGrid>
      <w:tr w14:paraId="27B616C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75" w:hRule="atLeast"/>
        </w:trPr>
        <w:tc>
          <w:tcPr>
            <w:tcW w:w="2664" w:type="dxa"/>
            <w:tcBorders>
              <w:top w:val="single" w:color="000000" w:sz="8" w:space="0"/>
              <w:left w:val="single" w:color="000000" w:sz="8" w:space="0"/>
              <w:bottom w:val="single" w:color="000000" w:sz="2" w:space="0"/>
              <w:right w:val="single" w:color="000000" w:sz="2" w:space="0"/>
            </w:tcBorders>
            <w:vAlign w:val="center"/>
          </w:tcPr>
          <w:p w14:paraId="35B8EF85">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小时</w:t>
            </w:r>
            <w:r>
              <w:rPr>
                <w:rFonts w:eastAsia="Times New Roman"/>
                <w:color w:val="auto"/>
                <w:sz w:val="21"/>
                <w:szCs w:val="21"/>
              </w:rPr>
              <w:t>(h)</w:t>
            </w:r>
          </w:p>
        </w:tc>
        <w:tc>
          <w:tcPr>
            <w:tcW w:w="522" w:type="dxa"/>
            <w:tcBorders>
              <w:top w:val="single" w:color="000000" w:sz="8" w:space="0"/>
              <w:left w:val="single" w:color="000000" w:sz="2" w:space="0"/>
              <w:bottom w:val="single" w:color="000000" w:sz="2" w:space="0"/>
              <w:right w:val="single" w:color="000000" w:sz="2" w:space="0"/>
            </w:tcBorders>
            <w:vAlign w:val="center"/>
          </w:tcPr>
          <w:p w14:paraId="12C9A47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w:t>
            </w:r>
          </w:p>
        </w:tc>
        <w:tc>
          <w:tcPr>
            <w:tcW w:w="500" w:type="dxa"/>
            <w:tcBorders>
              <w:top w:val="single" w:color="000000" w:sz="8" w:space="0"/>
              <w:left w:val="single" w:color="000000" w:sz="2" w:space="0"/>
              <w:bottom w:val="single" w:color="000000" w:sz="2" w:space="0"/>
              <w:right w:val="single" w:color="000000" w:sz="2" w:space="0"/>
            </w:tcBorders>
            <w:vAlign w:val="center"/>
          </w:tcPr>
          <w:p w14:paraId="5CB68F2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w:t>
            </w:r>
          </w:p>
        </w:tc>
        <w:tc>
          <w:tcPr>
            <w:tcW w:w="500" w:type="dxa"/>
            <w:tcBorders>
              <w:top w:val="single" w:color="000000" w:sz="8" w:space="0"/>
              <w:left w:val="single" w:color="000000" w:sz="2" w:space="0"/>
              <w:bottom w:val="single" w:color="000000" w:sz="2" w:space="0"/>
              <w:right w:val="single" w:color="000000" w:sz="2" w:space="0"/>
            </w:tcBorders>
            <w:vAlign w:val="center"/>
          </w:tcPr>
          <w:p w14:paraId="629F31B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w:t>
            </w:r>
          </w:p>
        </w:tc>
        <w:tc>
          <w:tcPr>
            <w:tcW w:w="452" w:type="dxa"/>
            <w:tcBorders>
              <w:top w:val="single" w:color="000000" w:sz="8" w:space="0"/>
              <w:left w:val="single" w:color="000000" w:sz="2" w:space="0"/>
              <w:bottom w:val="single" w:color="000000" w:sz="2" w:space="0"/>
              <w:right w:val="single" w:color="000000" w:sz="2" w:space="0"/>
            </w:tcBorders>
            <w:vAlign w:val="center"/>
          </w:tcPr>
          <w:p w14:paraId="10435C8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w:t>
            </w:r>
          </w:p>
        </w:tc>
        <w:tc>
          <w:tcPr>
            <w:tcW w:w="476" w:type="dxa"/>
            <w:tcBorders>
              <w:top w:val="single" w:color="000000" w:sz="8" w:space="0"/>
              <w:left w:val="single" w:color="000000" w:sz="2" w:space="0"/>
              <w:bottom w:val="single" w:color="000000" w:sz="2" w:space="0"/>
              <w:right w:val="single" w:color="000000" w:sz="2" w:space="0"/>
            </w:tcBorders>
            <w:vAlign w:val="center"/>
          </w:tcPr>
          <w:p w14:paraId="0341641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451" w:type="dxa"/>
            <w:tcBorders>
              <w:top w:val="single" w:color="000000" w:sz="8" w:space="0"/>
              <w:left w:val="single" w:color="000000" w:sz="2" w:space="0"/>
              <w:bottom w:val="single" w:color="000000" w:sz="2" w:space="0"/>
              <w:right w:val="single" w:color="000000" w:sz="2" w:space="0"/>
            </w:tcBorders>
            <w:vAlign w:val="center"/>
          </w:tcPr>
          <w:p w14:paraId="7EAA616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w:t>
            </w:r>
          </w:p>
        </w:tc>
        <w:tc>
          <w:tcPr>
            <w:tcW w:w="510" w:type="dxa"/>
            <w:tcBorders>
              <w:top w:val="single" w:color="000000" w:sz="8" w:space="0"/>
              <w:left w:val="single" w:color="000000" w:sz="2" w:space="0"/>
              <w:bottom w:val="single" w:color="000000" w:sz="2" w:space="0"/>
              <w:right w:val="single" w:color="000000" w:sz="2" w:space="0"/>
            </w:tcBorders>
            <w:vAlign w:val="center"/>
          </w:tcPr>
          <w:p w14:paraId="6968C24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w:t>
            </w:r>
          </w:p>
        </w:tc>
        <w:tc>
          <w:tcPr>
            <w:tcW w:w="429" w:type="dxa"/>
            <w:tcBorders>
              <w:top w:val="single" w:color="000000" w:sz="8" w:space="0"/>
              <w:left w:val="single" w:color="000000" w:sz="2" w:space="0"/>
              <w:bottom w:val="single" w:color="000000" w:sz="2" w:space="0"/>
              <w:right w:val="single" w:color="000000" w:sz="2" w:space="0"/>
            </w:tcBorders>
            <w:vAlign w:val="center"/>
          </w:tcPr>
          <w:p w14:paraId="72F3192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w:t>
            </w:r>
          </w:p>
        </w:tc>
        <w:tc>
          <w:tcPr>
            <w:tcW w:w="439" w:type="dxa"/>
            <w:tcBorders>
              <w:top w:val="single" w:color="000000" w:sz="8" w:space="0"/>
              <w:left w:val="single" w:color="000000" w:sz="2" w:space="0"/>
              <w:bottom w:val="single" w:color="000000" w:sz="2" w:space="0"/>
              <w:right w:val="single" w:color="000000" w:sz="2" w:space="0"/>
            </w:tcBorders>
            <w:vAlign w:val="center"/>
          </w:tcPr>
          <w:p w14:paraId="7318DFC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w:t>
            </w:r>
          </w:p>
        </w:tc>
        <w:tc>
          <w:tcPr>
            <w:tcW w:w="451" w:type="dxa"/>
            <w:tcBorders>
              <w:top w:val="single" w:color="000000" w:sz="8" w:space="0"/>
              <w:left w:val="single" w:color="000000" w:sz="2" w:space="0"/>
              <w:bottom w:val="single" w:color="000000" w:sz="2" w:space="0"/>
              <w:right w:val="single" w:color="000000" w:sz="2" w:space="0"/>
            </w:tcBorders>
            <w:vAlign w:val="center"/>
          </w:tcPr>
          <w:p w14:paraId="1C4EDEB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w:t>
            </w:r>
          </w:p>
        </w:tc>
        <w:tc>
          <w:tcPr>
            <w:tcW w:w="451" w:type="dxa"/>
            <w:tcBorders>
              <w:top w:val="single" w:color="000000" w:sz="8" w:space="0"/>
              <w:left w:val="single" w:color="000000" w:sz="2" w:space="0"/>
              <w:bottom w:val="single" w:color="000000" w:sz="2" w:space="0"/>
              <w:right w:val="single" w:color="000000" w:sz="2" w:space="0"/>
            </w:tcBorders>
            <w:vAlign w:val="center"/>
          </w:tcPr>
          <w:p w14:paraId="18C3F11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w:t>
            </w:r>
          </w:p>
        </w:tc>
        <w:tc>
          <w:tcPr>
            <w:tcW w:w="436" w:type="dxa"/>
            <w:tcBorders>
              <w:top w:val="single" w:color="000000" w:sz="8" w:space="0"/>
              <w:left w:val="single" w:color="000000" w:sz="2" w:space="0"/>
              <w:bottom w:val="single" w:color="000000" w:sz="2" w:space="0"/>
              <w:right w:val="single" w:color="000000" w:sz="8" w:space="0"/>
            </w:tcBorders>
            <w:vAlign w:val="center"/>
          </w:tcPr>
          <w:p w14:paraId="3004156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w:t>
            </w:r>
          </w:p>
        </w:tc>
      </w:tr>
      <w:tr w14:paraId="228BBDA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664" w:type="dxa"/>
            <w:tcBorders>
              <w:top w:val="single" w:color="000000" w:sz="2" w:space="0"/>
              <w:left w:val="single" w:color="000000" w:sz="8" w:space="0"/>
              <w:bottom w:val="single" w:color="000000" w:sz="2" w:space="0"/>
              <w:right w:val="single" w:color="000000" w:sz="2" w:space="0"/>
            </w:tcBorders>
            <w:vAlign w:val="center"/>
          </w:tcPr>
          <w:p w14:paraId="0F942AD5">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春季</w:t>
            </w:r>
          </w:p>
        </w:tc>
        <w:tc>
          <w:tcPr>
            <w:tcW w:w="522" w:type="dxa"/>
            <w:tcBorders>
              <w:top w:val="single" w:color="000000" w:sz="2" w:space="0"/>
              <w:left w:val="single" w:color="000000" w:sz="2" w:space="0"/>
              <w:bottom w:val="single" w:color="000000" w:sz="2" w:space="0"/>
              <w:right w:val="single" w:color="000000" w:sz="2" w:space="0"/>
            </w:tcBorders>
            <w:vAlign w:val="center"/>
          </w:tcPr>
          <w:p w14:paraId="423BE7C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1.26 </w:t>
            </w:r>
          </w:p>
        </w:tc>
        <w:tc>
          <w:tcPr>
            <w:tcW w:w="500" w:type="dxa"/>
            <w:tcBorders>
              <w:top w:val="single" w:color="000000" w:sz="2" w:space="0"/>
              <w:left w:val="single" w:color="000000" w:sz="2" w:space="0"/>
              <w:bottom w:val="single" w:color="000000" w:sz="2" w:space="0"/>
              <w:right w:val="single" w:color="000000" w:sz="2" w:space="0"/>
            </w:tcBorders>
            <w:vAlign w:val="center"/>
          </w:tcPr>
          <w:p w14:paraId="0F36775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1.38 </w:t>
            </w:r>
          </w:p>
        </w:tc>
        <w:tc>
          <w:tcPr>
            <w:tcW w:w="500" w:type="dxa"/>
            <w:tcBorders>
              <w:top w:val="single" w:color="000000" w:sz="2" w:space="0"/>
              <w:left w:val="single" w:color="000000" w:sz="2" w:space="0"/>
              <w:bottom w:val="single" w:color="000000" w:sz="2" w:space="0"/>
              <w:right w:val="single" w:color="000000" w:sz="2" w:space="0"/>
            </w:tcBorders>
            <w:vAlign w:val="center"/>
          </w:tcPr>
          <w:p w14:paraId="378CD5C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1.42 </w:t>
            </w:r>
          </w:p>
        </w:tc>
        <w:tc>
          <w:tcPr>
            <w:tcW w:w="452" w:type="dxa"/>
            <w:tcBorders>
              <w:top w:val="single" w:color="000000" w:sz="2" w:space="0"/>
              <w:left w:val="single" w:color="000000" w:sz="2" w:space="0"/>
              <w:bottom w:val="single" w:color="000000" w:sz="2" w:space="0"/>
              <w:right w:val="single" w:color="000000" w:sz="2" w:space="0"/>
            </w:tcBorders>
            <w:vAlign w:val="center"/>
          </w:tcPr>
          <w:p w14:paraId="30F18A8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1.40 </w:t>
            </w:r>
          </w:p>
        </w:tc>
        <w:tc>
          <w:tcPr>
            <w:tcW w:w="476" w:type="dxa"/>
            <w:tcBorders>
              <w:top w:val="single" w:color="000000" w:sz="2" w:space="0"/>
              <w:left w:val="single" w:color="000000" w:sz="2" w:space="0"/>
              <w:bottom w:val="single" w:color="000000" w:sz="2" w:space="0"/>
              <w:right w:val="single" w:color="000000" w:sz="2" w:space="0"/>
            </w:tcBorders>
            <w:vAlign w:val="center"/>
          </w:tcPr>
          <w:p w14:paraId="3D5C647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1.37 </w:t>
            </w:r>
          </w:p>
        </w:tc>
        <w:tc>
          <w:tcPr>
            <w:tcW w:w="451" w:type="dxa"/>
            <w:tcBorders>
              <w:top w:val="single" w:color="000000" w:sz="2" w:space="0"/>
              <w:left w:val="single" w:color="000000" w:sz="2" w:space="0"/>
              <w:bottom w:val="single" w:color="000000" w:sz="2" w:space="0"/>
              <w:right w:val="single" w:color="000000" w:sz="2" w:space="0"/>
            </w:tcBorders>
            <w:vAlign w:val="center"/>
          </w:tcPr>
          <w:p w14:paraId="1C85FF2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1.30 </w:t>
            </w:r>
          </w:p>
        </w:tc>
        <w:tc>
          <w:tcPr>
            <w:tcW w:w="510" w:type="dxa"/>
            <w:tcBorders>
              <w:top w:val="single" w:color="000000" w:sz="2" w:space="0"/>
              <w:left w:val="single" w:color="000000" w:sz="2" w:space="0"/>
              <w:bottom w:val="single" w:color="000000" w:sz="2" w:space="0"/>
              <w:right w:val="single" w:color="000000" w:sz="2" w:space="0"/>
            </w:tcBorders>
            <w:vAlign w:val="center"/>
          </w:tcPr>
          <w:p w14:paraId="5B99FBD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1.26 </w:t>
            </w:r>
          </w:p>
        </w:tc>
        <w:tc>
          <w:tcPr>
            <w:tcW w:w="429" w:type="dxa"/>
            <w:tcBorders>
              <w:top w:val="single" w:color="000000" w:sz="2" w:space="0"/>
              <w:left w:val="single" w:color="000000" w:sz="2" w:space="0"/>
              <w:bottom w:val="single" w:color="000000" w:sz="2" w:space="0"/>
              <w:right w:val="single" w:color="000000" w:sz="2" w:space="0"/>
            </w:tcBorders>
            <w:vAlign w:val="center"/>
          </w:tcPr>
          <w:p w14:paraId="3D5F594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1.24 </w:t>
            </w:r>
          </w:p>
        </w:tc>
        <w:tc>
          <w:tcPr>
            <w:tcW w:w="439" w:type="dxa"/>
            <w:tcBorders>
              <w:top w:val="single" w:color="000000" w:sz="2" w:space="0"/>
              <w:left w:val="single" w:color="000000" w:sz="2" w:space="0"/>
              <w:bottom w:val="single" w:color="000000" w:sz="2" w:space="0"/>
              <w:right w:val="single" w:color="000000" w:sz="2" w:space="0"/>
            </w:tcBorders>
            <w:vAlign w:val="center"/>
          </w:tcPr>
          <w:p w14:paraId="0DF18B8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1.31 </w:t>
            </w:r>
          </w:p>
        </w:tc>
        <w:tc>
          <w:tcPr>
            <w:tcW w:w="451" w:type="dxa"/>
            <w:tcBorders>
              <w:top w:val="single" w:color="000000" w:sz="2" w:space="0"/>
              <w:left w:val="single" w:color="000000" w:sz="2" w:space="0"/>
              <w:bottom w:val="single" w:color="000000" w:sz="2" w:space="0"/>
              <w:right w:val="single" w:color="000000" w:sz="2" w:space="0"/>
            </w:tcBorders>
            <w:vAlign w:val="center"/>
          </w:tcPr>
          <w:p w14:paraId="0683A35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1.59 </w:t>
            </w:r>
          </w:p>
        </w:tc>
        <w:tc>
          <w:tcPr>
            <w:tcW w:w="451" w:type="dxa"/>
            <w:tcBorders>
              <w:top w:val="single" w:color="000000" w:sz="2" w:space="0"/>
              <w:left w:val="single" w:color="000000" w:sz="2" w:space="0"/>
              <w:bottom w:val="single" w:color="000000" w:sz="2" w:space="0"/>
              <w:right w:val="single" w:color="000000" w:sz="2" w:space="0"/>
            </w:tcBorders>
            <w:vAlign w:val="center"/>
          </w:tcPr>
          <w:p w14:paraId="031E623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1.99 </w:t>
            </w:r>
          </w:p>
        </w:tc>
        <w:tc>
          <w:tcPr>
            <w:tcW w:w="436" w:type="dxa"/>
            <w:tcBorders>
              <w:top w:val="single" w:color="000000" w:sz="2" w:space="0"/>
              <w:left w:val="single" w:color="000000" w:sz="2" w:space="0"/>
              <w:bottom w:val="single" w:color="000000" w:sz="2" w:space="0"/>
              <w:right w:val="single" w:color="000000" w:sz="8" w:space="0"/>
            </w:tcBorders>
            <w:vAlign w:val="center"/>
          </w:tcPr>
          <w:p w14:paraId="3FAB1D3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2.10 </w:t>
            </w:r>
          </w:p>
        </w:tc>
      </w:tr>
      <w:tr w14:paraId="00C355B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664" w:type="dxa"/>
            <w:tcBorders>
              <w:top w:val="single" w:color="000000" w:sz="2" w:space="0"/>
              <w:left w:val="single" w:color="000000" w:sz="8" w:space="0"/>
              <w:bottom w:val="single" w:color="000000" w:sz="2" w:space="0"/>
              <w:right w:val="single" w:color="000000" w:sz="2" w:space="0"/>
            </w:tcBorders>
            <w:vAlign w:val="center"/>
          </w:tcPr>
          <w:p w14:paraId="65F70914">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夏季</w:t>
            </w:r>
          </w:p>
        </w:tc>
        <w:tc>
          <w:tcPr>
            <w:tcW w:w="522" w:type="dxa"/>
            <w:tcBorders>
              <w:top w:val="single" w:color="000000" w:sz="2" w:space="0"/>
              <w:left w:val="single" w:color="000000" w:sz="2" w:space="0"/>
              <w:bottom w:val="single" w:color="000000" w:sz="2" w:space="0"/>
              <w:right w:val="single" w:color="000000" w:sz="2" w:space="0"/>
            </w:tcBorders>
            <w:vAlign w:val="center"/>
          </w:tcPr>
          <w:p w14:paraId="51242F9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1.48 </w:t>
            </w:r>
          </w:p>
        </w:tc>
        <w:tc>
          <w:tcPr>
            <w:tcW w:w="500" w:type="dxa"/>
            <w:tcBorders>
              <w:top w:val="single" w:color="000000" w:sz="2" w:space="0"/>
              <w:left w:val="single" w:color="000000" w:sz="2" w:space="0"/>
              <w:bottom w:val="single" w:color="000000" w:sz="2" w:space="0"/>
              <w:right w:val="single" w:color="000000" w:sz="2" w:space="0"/>
            </w:tcBorders>
            <w:vAlign w:val="center"/>
          </w:tcPr>
          <w:p w14:paraId="7441855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1.53 </w:t>
            </w:r>
          </w:p>
        </w:tc>
        <w:tc>
          <w:tcPr>
            <w:tcW w:w="500" w:type="dxa"/>
            <w:tcBorders>
              <w:top w:val="single" w:color="000000" w:sz="2" w:space="0"/>
              <w:left w:val="single" w:color="000000" w:sz="2" w:space="0"/>
              <w:bottom w:val="single" w:color="000000" w:sz="2" w:space="0"/>
              <w:right w:val="single" w:color="000000" w:sz="2" w:space="0"/>
            </w:tcBorders>
            <w:vAlign w:val="center"/>
          </w:tcPr>
          <w:p w14:paraId="10A57F9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1.47 </w:t>
            </w:r>
          </w:p>
        </w:tc>
        <w:tc>
          <w:tcPr>
            <w:tcW w:w="452" w:type="dxa"/>
            <w:tcBorders>
              <w:top w:val="single" w:color="000000" w:sz="2" w:space="0"/>
              <w:left w:val="single" w:color="000000" w:sz="2" w:space="0"/>
              <w:bottom w:val="single" w:color="000000" w:sz="2" w:space="0"/>
              <w:right w:val="single" w:color="000000" w:sz="2" w:space="0"/>
            </w:tcBorders>
            <w:vAlign w:val="center"/>
          </w:tcPr>
          <w:p w14:paraId="381CE98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1.47 </w:t>
            </w:r>
          </w:p>
        </w:tc>
        <w:tc>
          <w:tcPr>
            <w:tcW w:w="476" w:type="dxa"/>
            <w:tcBorders>
              <w:top w:val="single" w:color="000000" w:sz="2" w:space="0"/>
              <w:left w:val="single" w:color="000000" w:sz="2" w:space="0"/>
              <w:bottom w:val="single" w:color="000000" w:sz="2" w:space="0"/>
              <w:right w:val="single" w:color="000000" w:sz="2" w:space="0"/>
            </w:tcBorders>
            <w:vAlign w:val="center"/>
          </w:tcPr>
          <w:p w14:paraId="4837847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1.51 </w:t>
            </w:r>
          </w:p>
        </w:tc>
        <w:tc>
          <w:tcPr>
            <w:tcW w:w="451" w:type="dxa"/>
            <w:tcBorders>
              <w:top w:val="single" w:color="000000" w:sz="2" w:space="0"/>
              <w:left w:val="single" w:color="000000" w:sz="2" w:space="0"/>
              <w:bottom w:val="single" w:color="000000" w:sz="2" w:space="0"/>
              <w:right w:val="single" w:color="000000" w:sz="2" w:space="0"/>
            </w:tcBorders>
            <w:vAlign w:val="center"/>
          </w:tcPr>
          <w:p w14:paraId="14E160F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1.48 </w:t>
            </w:r>
          </w:p>
        </w:tc>
        <w:tc>
          <w:tcPr>
            <w:tcW w:w="510" w:type="dxa"/>
            <w:tcBorders>
              <w:top w:val="single" w:color="000000" w:sz="2" w:space="0"/>
              <w:left w:val="single" w:color="000000" w:sz="2" w:space="0"/>
              <w:bottom w:val="single" w:color="000000" w:sz="2" w:space="0"/>
              <w:right w:val="single" w:color="000000" w:sz="2" w:space="0"/>
            </w:tcBorders>
            <w:vAlign w:val="center"/>
          </w:tcPr>
          <w:p w14:paraId="25526D4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1.45 </w:t>
            </w:r>
          </w:p>
        </w:tc>
        <w:tc>
          <w:tcPr>
            <w:tcW w:w="429" w:type="dxa"/>
            <w:tcBorders>
              <w:top w:val="single" w:color="000000" w:sz="2" w:space="0"/>
              <w:left w:val="single" w:color="000000" w:sz="2" w:space="0"/>
              <w:bottom w:val="single" w:color="000000" w:sz="2" w:space="0"/>
              <w:right w:val="single" w:color="000000" w:sz="2" w:space="0"/>
            </w:tcBorders>
            <w:vAlign w:val="center"/>
          </w:tcPr>
          <w:p w14:paraId="66370C7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1.43 </w:t>
            </w:r>
          </w:p>
        </w:tc>
        <w:tc>
          <w:tcPr>
            <w:tcW w:w="439" w:type="dxa"/>
            <w:tcBorders>
              <w:top w:val="single" w:color="000000" w:sz="2" w:space="0"/>
              <w:left w:val="single" w:color="000000" w:sz="2" w:space="0"/>
              <w:bottom w:val="single" w:color="000000" w:sz="2" w:space="0"/>
              <w:right w:val="single" w:color="000000" w:sz="2" w:space="0"/>
            </w:tcBorders>
            <w:vAlign w:val="center"/>
          </w:tcPr>
          <w:p w14:paraId="68E5281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1.74 </w:t>
            </w:r>
          </w:p>
        </w:tc>
        <w:tc>
          <w:tcPr>
            <w:tcW w:w="451" w:type="dxa"/>
            <w:tcBorders>
              <w:top w:val="single" w:color="000000" w:sz="2" w:space="0"/>
              <w:left w:val="single" w:color="000000" w:sz="2" w:space="0"/>
              <w:bottom w:val="single" w:color="000000" w:sz="2" w:space="0"/>
              <w:right w:val="single" w:color="000000" w:sz="2" w:space="0"/>
            </w:tcBorders>
            <w:vAlign w:val="center"/>
          </w:tcPr>
          <w:p w14:paraId="3A40AAF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2.11 </w:t>
            </w:r>
          </w:p>
        </w:tc>
        <w:tc>
          <w:tcPr>
            <w:tcW w:w="451" w:type="dxa"/>
            <w:tcBorders>
              <w:top w:val="single" w:color="000000" w:sz="2" w:space="0"/>
              <w:left w:val="single" w:color="000000" w:sz="2" w:space="0"/>
              <w:bottom w:val="single" w:color="000000" w:sz="2" w:space="0"/>
              <w:right w:val="single" w:color="000000" w:sz="2" w:space="0"/>
            </w:tcBorders>
            <w:vAlign w:val="center"/>
          </w:tcPr>
          <w:p w14:paraId="5DEAA13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2.23 </w:t>
            </w:r>
          </w:p>
        </w:tc>
        <w:tc>
          <w:tcPr>
            <w:tcW w:w="436" w:type="dxa"/>
            <w:tcBorders>
              <w:top w:val="single" w:color="000000" w:sz="2" w:space="0"/>
              <w:left w:val="single" w:color="000000" w:sz="2" w:space="0"/>
              <w:bottom w:val="single" w:color="000000" w:sz="2" w:space="0"/>
              <w:right w:val="single" w:color="000000" w:sz="8" w:space="0"/>
            </w:tcBorders>
            <w:vAlign w:val="center"/>
          </w:tcPr>
          <w:p w14:paraId="0D368CC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2.36 </w:t>
            </w:r>
          </w:p>
        </w:tc>
      </w:tr>
      <w:tr w14:paraId="0F962AB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664" w:type="dxa"/>
            <w:tcBorders>
              <w:top w:val="single" w:color="000000" w:sz="2" w:space="0"/>
              <w:left w:val="single" w:color="000000" w:sz="8" w:space="0"/>
              <w:bottom w:val="single" w:color="000000" w:sz="2" w:space="0"/>
              <w:right w:val="single" w:color="000000" w:sz="2" w:space="0"/>
            </w:tcBorders>
            <w:vAlign w:val="center"/>
          </w:tcPr>
          <w:p w14:paraId="60BBC90F">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秋季</w:t>
            </w:r>
          </w:p>
        </w:tc>
        <w:tc>
          <w:tcPr>
            <w:tcW w:w="522" w:type="dxa"/>
            <w:tcBorders>
              <w:top w:val="single" w:color="000000" w:sz="2" w:space="0"/>
              <w:left w:val="single" w:color="000000" w:sz="2" w:space="0"/>
              <w:bottom w:val="single" w:color="000000" w:sz="2" w:space="0"/>
              <w:right w:val="single" w:color="000000" w:sz="2" w:space="0"/>
            </w:tcBorders>
            <w:vAlign w:val="center"/>
          </w:tcPr>
          <w:p w14:paraId="1F1D292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1.20 </w:t>
            </w:r>
          </w:p>
        </w:tc>
        <w:tc>
          <w:tcPr>
            <w:tcW w:w="500" w:type="dxa"/>
            <w:tcBorders>
              <w:top w:val="single" w:color="000000" w:sz="2" w:space="0"/>
              <w:left w:val="single" w:color="000000" w:sz="2" w:space="0"/>
              <w:bottom w:val="single" w:color="000000" w:sz="2" w:space="0"/>
              <w:right w:val="single" w:color="000000" w:sz="2" w:space="0"/>
            </w:tcBorders>
            <w:vAlign w:val="center"/>
          </w:tcPr>
          <w:p w14:paraId="3CC0A74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1.15 </w:t>
            </w:r>
          </w:p>
        </w:tc>
        <w:tc>
          <w:tcPr>
            <w:tcW w:w="500" w:type="dxa"/>
            <w:tcBorders>
              <w:top w:val="single" w:color="000000" w:sz="2" w:space="0"/>
              <w:left w:val="single" w:color="000000" w:sz="2" w:space="0"/>
              <w:bottom w:val="single" w:color="000000" w:sz="2" w:space="0"/>
              <w:right w:val="single" w:color="000000" w:sz="2" w:space="0"/>
            </w:tcBorders>
            <w:vAlign w:val="center"/>
          </w:tcPr>
          <w:p w14:paraId="45DDBD5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1.18 </w:t>
            </w:r>
          </w:p>
        </w:tc>
        <w:tc>
          <w:tcPr>
            <w:tcW w:w="452" w:type="dxa"/>
            <w:tcBorders>
              <w:top w:val="single" w:color="000000" w:sz="2" w:space="0"/>
              <w:left w:val="single" w:color="000000" w:sz="2" w:space="0"/>
              <w:bottom w:val="single" w:color="000000" w:sz="2" w:space="0"/>
              <w:right w:val="single" w:color="000000" w:sz="2" w:space="0"/>
            </w:tcBorders>
            <w:vAlign w:val="center"/>
          </w:tcPr>
          <w:p w14:paraId="66B559B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1.07 </w:t>
            </w:r>
          </w:p>
        </w:tc>
        <w:tc>
          <w:tcPr>
            <w:tcW w:w="476" w:type="dxa"/>
            <w:tcBorders>
              <w:top w:val="single" w:color="000000" w:sz="2" w:space="0"/>
              <w:left w:val="single" w:color="000000" w:sz="2" w:space="0"/>
              <w:bottom w:val="single" w:color="000000" w:sz="2" w:space="0"/>
              <w:right w:val="single" w:color="000000" w:sz="2" w:space="0"/>
            </w:tcBorders>
            <w:vAlign w:val="center"/>
          </w:tcPr>
          <w:p w14:paraId="563FBAA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0.98 </w:t>
            </w:r>
          </w:p>
        </w:tc>
        <w:tc>
          <w:tcPr>
            <w:tcW w:w="451" w:type="dxa"/>
            <w:tcBorders>
              <w:top w:val="single" w:color="000000" w:sz="2" w:space="0"/>
              <w:left w:val="single" w:color="000000" w:sz="2" w:space="0"/>
              <w:bottom w:val="single" w:color="000000" w:sz="2" w:space="0"/>
              <w:right w:val="single" w:color="000000" w:sz="2" w:space="0"/>
            </w:tcBorders>
            <w:vAlign w:val="center"/>
          </w:tcPr>
          <w:p w14:paraId="65E7F46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1.01 </w:t>
            </w:r>
          </w:p>
        </w:tc>
        <w:tc>
          <w:tcPr>
            <w:tcW w:w="510" w:type="dxa"/>
            <w:tcBorders>
              <w:top w:val="single" w:color="000000" w:sz="2" w:space="0"/>
              <w:left w:val="single" w:color="000000" w:sz="2" w:space="0"/>
              <w:bottom w:val="single" w:color="000000" w:sz="2" w:space="0"/>
              <w:right w:val="single" w:color="000000" w:sz="2" w:space="0"/>
            </w:tcBorders>
            <w:vAlign w:val="center"/>
          </w:tcPr>
          <w:p w14:paraId="0E97F08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1.01 </w:t>
            </w:r>
          </w:p>
        </w:tc>
        <w:tc>
          <w:tcPr>
            <w:tcW w:w="429" w:type="dxa"/>
            <w:tcBorders>
              <w:top w:val="single" w:color="000000" w:sz="2" w:space="0"/>
              <w:left w:val="single" w:color="000000" w:sz="2" w:space="0"/>
              <w:bottom w:val="single" w:color="000000" w:sz="2" w:space="0"/>
              <w:right w:val="single" w:color="000000" w:sz="2" w:space="0"/>
            </w:tcBorders>
            <w:vAlign w:val="center"/>
          </w:tcPr>
          <w:p w14:paraId="75F448F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0.97 </w:t>
            </w:r>
          </w:p>
        </w:tc>
        <w:tc>
          <w:tcPr>
            <w:tcW w:w="439" w:type="dxa"/>
            <w:tcBorders>
              <w:top w:val="single" w:color="000000" w:sz="2" w:space="0"/>
              <w:left w:val="single" w:color="000000" w:sz="2" w:space="0"/>
              <w:bottom w:val="single" w:color="000000" w:sz="2" w:space="0"/>
              <w:right w:val="single" w:color="000000" w:sz="2" w:space="0"/>
            </w:tcBorders>
            <w:vAlign w:val="center"/>
          </w:tcPr>
          <w:p w14:paraId="379FC2E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1.02 </w:t>
            </w:r>
          </w:p>
        </w:tc>
        <w:tc>
          <w:tcPr>
            <w:tcW w:w="451" w:type="dxa"/>
            <w:tcBorders>
              <w:top w:val="single" w:color="000000" w:sz="2" w:space="0"/>
              <w:left w:val="single" w:color="000000" w:sz="2" w:space="0"/>
              <w:bottom w:val="single" w:color="000000" w:sz="2" w:space="0"/>
              <w:right w:val="single" w:color="000000" w:sz="2" w:space="0"/>
            </w:tcBorders>
            <w:vAlign w:val="center"/>
          </w:tcPr>
          <w:p w14:paraId="070436E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1.07 </w:t>
            </w:r>
          </w:p>
        </w:tc>
        <w:tc>
          <w:tcPr>
            <w:tcW w:w="451" w:type="dxa"/>
            <w:tcBorders>
              <w:top w:val="single" w:color="000000" w:sz="2" w:space="0"/>
              <w:left w:val="single" w:color="000000" w:sz="2" w:space="0"/>
              <w:bottom w:val="single" w:color="000000" w:sz="2" w:space="0"/>
              <w:right w:val="single" w:color="000000" w:sz="2" w:space="0"/>
            </w:tcBorders>
            <w:vAlign w:val="center"/>
          </w:tcPr>
          <w:p w14:paraId="47BA73B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1.63 </w:t>
            </w:r>
          </w:p>
        </w:tc>
        <w:tc>
          <w:tcPr>
            <w:tcW w:w="436" w:type="dxa"/>
            <w:tcBorders>
              <w:top w:val="single" w:color="000000" w:sz="2" w:space="0"/>
              <w:left w:val="single" w:color="000000" w:sz="2" w:space="0"/>
              <w:bottom w:val="single" w:color="000000" w:sz="2" w:space="0"/>
              <w:right w:val="single" w:color="000000" w:sz="8" w:space="0"/>
            </w:tcBorders>
            <w:vAlign w:val="center"/>
          </w:tcPr>
          <w:p w14:paraId="56F4FCE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1.91 </w:t>
            </w:r>
          </w:p>
        </w:tc>
      </w:tr>
      <w:tr w14:paraId="7641618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664" w:type="dxa"/>
            <w:tcBorders>
              <w:top w:val="single" w:color="000000" w:sz="2" w:space="0"/>
              <w:left w:val="single" w:color="000000" w:sz="8" w:space="0"/>
              <w:bottom w:val="single" w:color="000000" w:sz="2" w:space="0"/>
              <w:right w:val="single" w:color="000000" w:sz="2" w:space="0"/>
            </w:tcBorders>
            <w:vAlign w:val="center"/>
          </w:tcPr>
          <w:p w14:paraId="0EF091CF">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冬季</w:t>
            </w:r>
          </w:p>
        </w:tc>
        <w:tc>
          <w:tcPr>
            <w:tcW w:w="522" w:type="dxa"/>
            <w:tcBorders>
              <w:top w:val="single" w:color="000000" w:sz="2" w:space="0"/>
              <w:left w:val="single" w:color="000000" w:sz="2" w:space="0"/>
              <w:bottom w:val="single" w:color="000000" w:sz="2" w:space="0"/>
              <w:right w:val="single" w:color="000000" w:sz="2" w:space="0"/>
            </w:tcBorders>
            <w:vAlign w:val="center"/>
          </w:tcPr>
          <w:p w14:paraId="3E166CF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0.97 </w:t>
            </w:r>
          </w:p>
        </w:tc>
        <w:tc>
          <w:tcPr>
            <w:tcW w:w="500" w:type="dxa"/>
            <w:tcBorders>
              <w:top w:val="single" w:color="000000" w:sz="2" w:space="0"/>
              <w:left w:val="single" w:color="000000" w:sz="2" w:space="0"/>
              <w:bottom w:val="single" w:color="000000" w:sz="2" w:space="0"/>
              <w:right w:val="single" w:color="000000" w:sz="2" w:space="0"/>
            </w:tcBorders>
            <w:vAlign w:val="center"/>
          </w:tcPr>
          <w:p w14:paraId="7D5E42F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1.00 </w:t>
            </w:r>
          </w:p>
        </w:tc>
        <w:tc>
          <w:tcPr>
            <w:tcW w:w="500" w:type="dxa"/>
            <w:tcBorders>
              <w:top w:val="single" w:color="000000" w:sz="2" w:space="0"/>
              <w:left w:val="single" w:color="000000" w:sz="2" w:space="0"/>
              <w:bottom w:val="single" w:color="000000" w:sz="2" w:space="0"/>
              <w:right w:val="single" w:color="000000" w:sz="2" w:space="0"/>
            </w:tcBorders>
            <w:vAlign w:val="center"/>
          </w:tcPr>
          <w:p w14:paraId="243C3A1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1.03 </w:t>
            </w:r>
          </w:p>
        </w:tc>
        <w:tc>
          <w:tcPr>
            <w:tcW w:w="452" w:type="dxa"/>
            <w:tcBorders>
              <w:top w:val="single" w:color="000000" w:sz="2" w:space="0"/>
              <w:left w:val="single" w:color="000000" w:sz="2" w:space="0"/>
              <w:bottom w:val="single" w:color="000000" w:sz="2" w:space="0"/>
              <w:right w:val="single" w:color="000000" w:sz="2" w:space="0"/>
            </w:tcBorders>
            <w:vAlign w:val="center"/>
          </w:tcPr>
          <w:p w14:paraId="358DC3C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1.11 </w:t>
            </w:r>
          </w:p>
        </w:tc>
        <w:tc>
          <w:tcPr>
            <w:tcW w:w="476" w:type="dxa"/>
            <w:tcBorders>
              <w:top w:val="single" w:color="000000" w:sz="2" w:space="0"/>
              <w:left w:val="single" w:color="000000" w:sz="2" w:space="0"/>
              <w:bottom w:val="single" w:color="000000" w:sz="2" w:space="0"/>
              <w:right w:val="single" w:color="000000" w:sz="2" w:space="0"/>
            </w:tcBorders>
            <w:vAlign w:val="center"/>
          </w:tcPr>
          <w:p w14:paraId="1A9D467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0.99 </w:t>
            </w:r>
          </w:p>
        </w:tc>
        <w:tc>
          <w:tcPr>
            <w:tcW w:w="451" w:type="dxa"/>
            <w:tcBorders>
              <w:top w:val="single" w:color="000000" w:sz="2" w:space="0"/>
              <w:left w:val="single" w:color="000000" w:sz="2" w:space="0"/>
              <w:bottom w:val="single" w:color="000000" w:sz="2" w:space="0"/>
              <w:right w:val="single" w:color="000000" w:sz="2" w:space="0"/>
            </w:tcBorders>
            <w:vAlign w:val="center"/>
          </w:tcPr>
          <w:p w14:paraId="1EA54FE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1.13 </w:t>
            </w:r>
          </w:p>
        </w:tc>
        <w:tc>
          <w:tcPr>
            <w:tcW w:w="510" w:type="dxa"/>
            <w:tcBorders>
              <w:top w:val="single" w:color="000000" w:sz="2" w:space="0"/>
              <w:left w:val="single" w:color="000000" w:sz="2" w:space="0"/>
              <w:bottom w:val="single" w:color="000000" w:sz="2" w:space="0"/>
              <w:right w:val="single" w:color="000000" w:sz="2" w:space="0"/>
            </w:tcBorders>
            <w:vAlign w:val="center"/>
          </w:tcPr>
          <w:p w14:paraId="46F5F58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1.05 </w:t>
            </w:r>
          </w:p>
        </w:tc>
        <w:tc>
          <w:tcPr>
            <w:tcW w:w="429" w:type="dxa"/>
            <w:tcBorders>
              <w:top w:val="single" w:color="000000" w:sz="2" w:space="0"/>
              <w:left w:val="single" w:color="000000" w:sz="2" w:space="0"/>
              <w:bottom w:val="single" w:color="000000" w:sz="2" w:space="0"/>
              <w:right w:val="single" w:color="000000" w:sz="2" w:space="0"/>
            </w:tcBorders>
            <w:vAlign w:val="center"/>
          </w:tcPr>
          <w:p w14:paraId="64D91BE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0.94 </w:t>
            </w:r>
          </w:p>
        </w:tc>
        <w:tc>
          <w:tcPr>
            <w:tcW w:w="439" w:type="dxa"/>
            <w:tcBorders>
              <w:top w:val="single" w:color="000000" w:sz="2" w:space="0"/>
              <w:left w:val="single" w:color="000000" w:sz="2" w:space="0"/>
              <w:bottom w:val="single" w:color="000000" w:sz="2" w:space="0"/>
              <w:right w:val="single" w:color="000000" w:sz="2" w:space="0"/>
            </w:tcBorders>
            <w:vAlign w:val="center"/>
          </w:tcPr>
          <w:p w14:paraId="780F466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0.92 </w:t>
            </w:r>
          </w:p>
        </w:tc>
        <w:tc>
          <w:tcPr>
            <w:tcW w:w="451" w:type="dxa"/>
            <w:tcBorders>
              <w:top w:val="single" w:color="000000" w:sz="2" w:space="0"/>
              <w:left w:val="single" w:color="000000" w:sz="2" w:space="0"/>
              <w:bottom w:val="single" w:color="000000" w:sz="2" w:space="0"/>
              <w:right w:val="single" w:color="000000" w:sz="2" w:space="0"/>
            </w:tcBorders>
            <w:vAlign w:val="center"/>
          </w:tcPr>
          <w:p w14:paraId="7D0DAC9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0.94 </w:t>
            </w:r>
          </w:p>
        </w:tc>
        <w:tc>
          <w:tcPr>
            <w:tcW w:w="451" w:type="dxa"/>
            <w:tcBorders>
              <w:top w:val="single" w:color="000000" w:sz="2" w:space="0"/>
              <w:left w:val="single" w:color="000000" w:sz="2" w:space="0"/>
              <w:bottom w:val="single" w:color="000000" w:sz="2" w:space="0"/>
              <w:right w:val="single" w:color="000000" w:sz="2" w:space="0"/>
            </w:tcBorders>
            <w:vAlign w:val="center"/>
          </w:tcPr>
          <w:p w14:paraId="10A2495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1.04 </w:t>
            </w:r>
          </w:p>
        </w:tc>
        <w:tc>
          <w:tcPr>
            <w:tcW w:w="436" w:type="dxa"/>
            <w:tcBorders>
              <w:top w:val="single" w:color="000000" w:sz="2" w:space="0"/>
              <w:left w:val="single" w:color="000000" w:sz="2" w:space="0"/>
              <w:bottom w:val="single" w:color="000000" w:sz="2" w:space="0"/>
              <w:right w:val="single" w:color="000000" w:sz="8" w:space="0"/>
            </w:tcBorders>
            <w:vAlign w:val="center"/>
          </w:tcPr>
          <w:p w14:paraId="3CE347A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1.42 </w:t>
            </w:r>
          </w:p>
        </w:tc>
      </w:tr>
      <w:tr w14:paraId="27A6924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73" w:hRule="atLeast"/>
        </w:trPr>
        <w:tc>
          <w:tcPr>
            <w:tcW w:w="2664" w:type="dxa"/>
            <w:tcBorders>
              <w:top w:val="single" w:color="000000" w:sz="2" w:space="0"/>
              <w:left w:val="single" w:color="000000" w:sz="8" w:space="0"/>
              <w:bottom w:val="single" w:color="000000" w:sz="2" w:space="0"/>
              <w:right w:val="single" w:color="000000" w:sz="2" w:space="0"/>
            </w:tcBorders>
            <w:vAlign w:val="center"/>
          </w:tcPr>
          <w:p w14:paraId="454691C4">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时间</w:t>
            </w:r>
            <w:r>
              <w:rPr>
                <w:rFonts w:eastAsia="Times New Roman"/>
                <w:color w:val="auto"/>
                <w:sz w:val="21"/>
                <w:szCs w:val="21"/>
              </w:rPr>
              <w:t>(h)</w:t>
            </w:r>
          </w:p>
        </w:tc>
        <w:tc>
          <w:tcPr>
            <w:tcW w:w="522" w:type="dxa"/>
            <w:tcBorders>
              <w:top w:val="single" w:color="000000" w:sz="2" w:space="0"/>
              <w:left w:val="single" w:color="000000" w:sz="2" w:space="0"/>
              <w:bottom w:val="single" w:color="000000" w:sz="2" w:space="0"/>
              <w:right w:val="single" w:color="000000" w:sz="2" w:space="0"/>
            </w:tcBorders>
            <w:vAlign w:val="center"/>
          </w:tcPr>
          <w:p w14:paraId="3F52E87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w:t>
            </w:r>
          </w:p>
        </w:tc>
        <w:tc>
          <w:tcPr>
            <w:tcW w:w="500" w:type="dxa"/>
            <w:tcBorders>
              <w:top w:val="single" w:color="000000" w:sz="2" w:space="0"/>
              <w:left w:val="single" w:color="000000" w:sz="2" w:space="0"/>
              <w:bottom w:val="single" w:color="000000" w:sz="2" w:space="0"/>
              <w:right w:val="single" w:color="000000" w:sz="2" w:space="0"/>
            </w:tcBorders>
            <w:vAlign w:val="center"/>
          </w:tcPr>
          <w:p w14:paraId="6AAC018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14</w:t>
            </w:r>
          </w:p>
        </w:tc>
        <w:tc>
          <w:tcPr>
            <w:tcW w:w="500" w:type="dxa"/>
            <w:tcBorders>
              <w:top w:val="single" w:color="000000" w:sz="2" w:space="0"/>
              <w:left w:val="single" w:color="000000" w:sz="2" w:space="0"/>
              <w:bottom w:val="single" w:color="000000" w:sz="2" w:space="0"/>
              <w:right w:val="single" w:color="000000" w:sz="2" w:space="0"/>
            </w:tcBorders>
            <w:vAlign w:val="center"/>
          </w:tcPr>
          <w:p w14:paraId="63C3870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15</w:t>
            </w:r>
          </w:p>
        </w:tc>
        <w:tc>
          <w:tcPr>
            <w:tcW w:w="452" w:type="dxa"/>
            <w:tcBorders>
              <w:top w:val="single" w:color="000000" w:sz="2" w:space="0"/>
              <w:left w:val="single" w:color="000000" w:sz="2" w:space="0"/>
              <w:bottom w:val="single" w:color="000000" w:sz="2" w:space="0"/>
              <w:right w:val="single" w:color="000000" w:sz="2" w:space="0"/>
            </w:tcBorders>
            <w:vAlign w:val="center"/>
          </w:tcPr>
          <w:p w14:paraId="5F1F584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16</w:t>
            </w:r>
          </w:p>
        </w:tc>
        <w:tc>
          <w:tcPr>
            <w:tcW w:w="476" w:type="dxa"/>
            <w:tcBorders>
              <w:top w:val="single" w:color="000000" w:sz="2" w:space="0"/>
              <w:left w:val="single" w:color="000000" w:sz="2" w:space="0"/>
              <w:bottom w:val="single" w:color="000000" w:sz="2" w:space="0"/>
              <w:right w:val="single" w:color="000000" w:sz="2" w:space="0"/>
            </w:tcBorders>
            <w:vAlign w:val="center"/>
          </w:tcPr>
          <w:p w14:paraId="508B767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17</w:t>
            </w:r>
          </w:p>
        </w:tc>
        <w:tc>
          <w:tcPr>
            <w:tcW w:w="451" w:type="dxa"/>
            <w:tcBorders>
              <w:top w:val="single" w:color="000000" w:sz="2" w:space="0"/>
              <w:left w:val="single" w:color="000000" w:sz="2" w:space="0"/>
              <w:bottom w:val="single" w:color="000000" w:sz="2" w:space="0"/>
              <w:right w:val="single" w:color="000000" w:sz="2" w:space="0"/>
            </w:tcBorders>
            <w:vAlign w:val="center"/>
          </w:tcPr>
          <w:p w14:paraId="114D5E3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w:t>
            </w:r>
          </w:p>
        </w:tc>
        <w:tc>
          <w:tcPr>
            <w:tcW w:w="510" w:type="dxa"/>
            <w:tcBorders>
              <w:top w:val="single" w:color="000000" w:sz="2" w:space="0"/>
              <w:left w:val="single" w:color="000000" w:sz="2" w:space="0"/>
              <w:bottom w:val="single" w:color="000000" w:sz="2" w:space="0"/>
              <w:right w:val="single" w:color="000000" w:sz="2" w:space="0"/>
            </w:tcBorders>
            <w:vAlign w:val="center"/>
          </w:tcPr>
          <w:p w14:paraId="6023744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19</w:t>
            </w:r>
          </w:p>
        </w:tc>
        <w:tc>
          <w:tcPr>
            <w:tcW w:w="429" w:type="dxa"/>
            <w:tcBorders>
              <w:top w:val="single" w:color="000000" w:sz="2" w:space="0"/>
              <w:left w:val="single" w:color="000000" w:sz="2" w:space="0"/>
              <w:bottom w:val="single" w:color="000000" w:sz="2" w:space="0"/>
              <w:right w:val="single" w:color="000000" w:sz="2" w:space="0"/>
            </w:tcBorders>
            <w:vAlign w:val="center"/>
          </w:tcPr>
          <w:p w14:paraId="4B300ED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w:t>
            </w:r>
          </w:p>
        </w:tc>
        <w:tc>
          <w:tcPr>
            <w:tcW w:w="439" w:type="dxa"/>
            <w:tcBorders>
              <w:top w:val="single" w:color="000000" w:sz="2" w:space="0"/>
              <w:left w:val="single" w:color="000000" w:sz="2" w:space="0"/>
              <w:bottom w:val="single" w:color="000000" w:sz="2" w:space="0"/>
              <w:right w:val="single" w:color="000000" w:sz="2" w:space="0"/>
            </w:tcBorders>
            <w:vAlign w:val="center"/>
          </w:tcPr>
          <w:p w14:paraId="0DB672E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w:t>
            </w:r>
          </w:p>
        </w:tc>
        <w:tc>
          <w:tcPr>
            <w:tcW w:w="451" w:type="dxa"/>
            <w:tcBorders>
              <w:top w:val="single" w:color="000000" w:sz="2" w:space="0"/>
              <w:left w:val="single" w:color="000000" w:sz="2" w:space="0"/>
              <w:bottom w:val="single" w:color="000000" w:sz="2" w:space="0"/>
              <w:right w:val="single" w:color="000000" w:sz="2" w:space="0"/>
            </w:tcBorders>
            <w:vAlign w:val="center"/>
          </w:tcPr>
          <w:p w14:paraId="2B61BF4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w:t>
            </w:r>
          </w:p>
        </w:tc>
        <w:tc>
          <w:tcPr>
            <w:tcW w:w="451" w:type="dxa"/>
            <w:tcBorders>
              <w:top w:val="single" w:color="000000" w:sz="2" w:space="0"/>
              <w:left w:val="single" w:color="000000" w:sz="2" w:space="0"/>
              <w:bottom w:val="single" w:color="000000" w:sz="2" w:space="0"/>
              <w:right w:val="single" w:color="000000" w:sz="2" w:space="0"/>
            </w:tcBorders>
            <w:vAlign w:val="center"/>
          </w:tcPr>
          <w:p w14:paraId="5FF3368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23</w:t>
            </w:r>
          </w:p>
        </w:tc>
        <w:tc>
          <w:tcPr>
            <w:tcW w:w="436" w:type="dxa"/>
            <w:tcBorders>
              <w:top w:val="single" w:color="000000" w:sz="2" w:space="0"/>
              <w:left w:val="single" w:color="000000" w:sz="2" w:space="0"/>
              <w:bottom w:val="single" w:color="000000" w:sz="2" w:space="0"/>
              <w:right w:val="single" w:color="000000" w:sz="8" w:space="0"/>
            </w:tcBorders>
            <w:vAlign w:val="center"/>
          </w:tcPr>
          <w:p w14:paraId="10805E1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w:t>
            </w:r>
          </w:p>
        </w:tc>
      </w:tr>
      <w:tr w14:paraId="56F5AA8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664" w:type="dxa"/>
            <w:tcBorders>
              <w:top w:val="single" w:color="000000" w:sz="2" w:space="0"/>
              <w:left w:val="single" w:color="000000" w:sz="8" w:space="0"/>
              <w:bottom w:val="single" w:color="000000" w:sz="2" w:space="0"/>
              <w:right w:val="single" w:color="000000" w:sz="2" w:space="0"/>
            </w:tcBorders>
            <w:vAlign w:val="center"/>
          </w:tcPr>
          <w:p w14:paraId="3C46027C">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春季</w:t>
            </w:r>
          </w:p>
        </w:tc>
        <w:tc>
          <w:tcPr>
            <w:tcW w:w="522" w:type="dxa"/>
            <w:tcBorders>
              <w:top w:val="single" w:color="000000" w:sz="2" w:space="0"/>
              <w:left w:val="single" w:color="000000" w:sz="2" w:space="0"/>
              <w:bottom w:val="single" w:color="000000" w:sz="2" w:space="0"/>
              <w:right w:val="single" w:color="000000" w:sz="2" w:space="0"/>
            </w:tcBorders>
            <w:vAlign w:val="center"/>
          </w:tcPr>
          <w:p w14:paraId="64DA295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2.44 </w:t>
            </w:r>
          </w:p>
        </w:tc>
        <w:tc>
          <w:tcPr>
            <w:tcW w:w="500" w:type="dxa"/>
            <w:tcBorders>
              <w:top w:val="single" w:color="000000" w:sz="2" w:space="0"/>
              <w:left w:val="single" w:color="000000" w:sz="2" w:space="0"/>
              <w:bottom w:val="single" w:color="000000" w:sz="2" w:space="0"/>
              <w:right w:val="single" w:color="000000" w:sz="2" w:space="0"/>
            </w:tcBorders>
            <w:vAlign w:val="center"/>
          </w:tcPr>
          <w:p w14:paraId="20709D5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2.46 </w:t>
            </w:r>
          </w:p>
        </w:tc>
        <w:tc>
          <w:tcPr>
            <w:tcW w:w="500" w:type="dxa"/>
            <w:tcBorders>
              <w:top w:val="single" w:color="000000" w:sz="2" w:space="0"/>
              <w:left w:val="single" w:color="000000" w:sz="2" w:space="0"/>
              <w:bottom w:val="single" w:color="000000" w:sz="2" w:space="0"/>
              <w:right w:val="single" w:color="000000" w:sz="2" w:space="0"/>
            </w:tcBorders>
            <w:vAlign w:val="center"/>
          </w:tcPr>
          <w:p w14:paraId="1B51B97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2.41 </w:t>
            </w:r>
          </w:p>
        </w:tc>
        <w:tc>
          <w:tcPr>
            <w:tcW w:w="452" w:type="dxa"/>
            <w:tcBorders>
              <w:top w:val="single" w:color="000000" w:sz="2" w:space="0"/>
              <w:left w:val="single" w:color="000000" w:sz="2" w:space="0"/>
              <w:bottom w:val="single" w:color="000000" w:sz="2" w:space="0"/>
              <w:right w:val="single" w:color="000000" w:sz="2" w:space="0"/>
            </w:tcBorders>
            <w:vAlign w:val="center"/>
          </w:tcPr>
          <w:p w14:paraId="2944414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2.32 </w:t>
            </w:r>
          </w:p>
        </w:tc>
        <w:tc>
          <w:tcPr>
            <w:tcW w:w="476" w:type="dxa"/>
            <w:tcBorders>
              <w:top w:val="single" w:color="000000" w:sz="2" w:space="0"/>
              <w:left w:val="single" w:color="000000" w:sz="2" w:space="0"/>
              <w:bottom w:val="single" w:color="000000" w:sz="2" w:space="0"/>
              <w:right w:val="single" w:color="000000" w:sz="2" w:space="0"/>
            </w:tcBorders>
            <w:vAlign w:val="center"/>
          </w:tcPr>
          <w:p w14:paraId="3A88113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2.35 </w:t>
            </w:r>
          </w:p>
        </w:tc>
        <w:tc>
          <w:tcPr>
            <w:tcW w:w="451" w:type="dxa"/>
            <w:tcBorders>
              <w:top w:val="single" w:color="000000" w:sz="2" w:space="0"/>
              <w:left w:val="single" w:color="000000" w:sz="2" w:space="0"/>
              <w:bottom w:val="single" w:color="000000" w:sz="2" w:space="0"/>
              <w:right w:val="single" w:color="000000" w:sz="2" w:space="0"/>
            </w:tcBorders>
            <w:vAlign w:val="center"/>
          </w:tcPr>
          <w:p w14:paraId="110A149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2.26 </w:t>
            </w:r>
          </w:p>
        </w:tc>
        <w:tc>
          <w:tcPr>
            <w:tcW w:w="510" w:type="dxa"/>
            <w:tcBorders>
              <w:top w:val="single" w:color="000000" w:sz="2" w:space="0"/>
              <w:left w:val="single" w:color="000000" w:sz="2" w:space="0"/>
              <w:bottom w:val="single" w:color="000000" w:sz="2" w:space="0"/>
              <w:right w:val="single" w:color="000000" w:sz="2" w:space="0"/>
            </w:tcBorders>
            <w:vAlign w:val="center"/>
          </w:tcPr>
          <w:p w14:paraId="4AC4F75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2.10 </w:t>
            </w:r>
          </w:p>
        </w:tc>
        <w:tc>
          <w:tcPr>
            <w:tcW w:w="429" w:type="dxa"/>
            <w:tcBorders>
              <w:top w:val="single" w:color="000000" w:sz="2" w:space="0"/>
              <w:left w:val="single" w:color="000000" w:sz="2" w:space="0"/>
              <w:bottom w:val="single" w:color="000000" w:sz="2" w:space="0"/>
              <w:right w:val="single" w:color="000000" w:sz="2" w:space="0"/>
            </w:tcBorders>
            <w:vAlign w:val="center"/>
          </w:tcPr>
          <w:p w14:paraId="0151A29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1.79 </w:t>
            </w:r>
          </w:p>
        </w:tc>
        <w:tc>
          <w:tcPr>
            <w:tcW w:w="439" w:type="dxa"/>
            <w:tcBorders>
              <w:top w:val="single" w:color="000000" w:sz="2" w:space="0"/>
              <w:left w:val="single" w:color="000000" w:sz="2" w:space="0"/>
              <w:bottom w:val="single" w:color="000000" w:sz="2" w:space="0"/>
              <w:right w:val="single" w:color="000000" w:sz="2" w:space="0"/>
            </w:tcBorders>
            <w:vAlign w:val="center"/>
          </w:tcPr>
          <w:p w14:paraId="33D665F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1.24 </w:t>
            </w:r>
          </w:p>
        </w:tc>
        <w:tc>
          <w:tcPr>
            <w:tcW w:w="451" w:type="dxa"/>
            <w:tcBorders>
              <w:top w:val="single" w:color="000000" w:sz="2" w:space="0"/>
              <w:left w:val="single" w:color="000000" w:sz="2" w:space="0"/>
              <w:bottom w:val="single" w:color="000000" w:sz="2" w:space="0"/>
              <w:right w:val="single" w:color="000000" w:sz="2" w:space="0"/>
            </w:tcBorders>
            <w:vAlign w:val="center"/>
          </w:tcPr>
          <w:p w14:paraId="4312DE5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1.18 </w:t>
            </w:r>
          </w:p>
        </w:tc>
        <w:tc>
          <w:tcPr>
            <w:tcW w:w="451" w:type="dxa"/>
            <w:tcBorders>
              <w:top w:val="single" w:color="000000" w:sz="2" w:space="0"/>
              <w:left w:val="single" w:color="000000" w:sz="2" w:space="0"/>
              <w:bottom w:val="single" w:color="000000" w:sz="2" w:space="0"/>
              <w:right w:val="single" w:color="000000" w:sz="2" w:space="0"/>
            </w:tcBorders>
            <w:vAlign w:val="center"/>
          </w:tcPr>
          <w:p w14:paraId="45E9AA7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1.37 </w:t>
            </w:r>
          </w:p>
        </w:tc>
        <w:tc>
          <w:tcPr>
            <w:tcW w:w="436" w:type="dxa"/>
            <w:tcBorders>
              <w:top w:val="single" w:color="000000" w:sz="2" w:space="0"/>
              <w:left w:val="single" w:color="000000" w:sz="2" w:space="0"/>
              <w:bottom w:val="single" w:color="000000" w:sz="2" w:space="0"/>
              <w:right w:val="single" w:color="000000" w:sz="8" w:space="0"/>
            </w:tcBorders>
            <w:vAlign w:val="center"/>
          </w:tcPr>
          <w:p w14:paraId="303E094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1.32 </w:t>
            </w:r>
          </w:p>
        </w:tc>
      </w:tr>
      <w:tr w14:paraId="6686A86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664" w:type="dxa"/>
            <w:tcBorders>
              <w:top w:val="single" w:color="000000" w:sz="2" w:space="0"/>
              <w:left w:val="single" w:color="000000" w:sz="8" w:space="0"/>
              <w:bottom w:val="single" w:color="000000" w:sz="2" w:space="0"/>
              <w:right w:val="single" w:color="000000" w:sz="2" w:space="0"/>
            </w:tcBorders>
            <w:vAlign w:val="center"/>
          </w:tcPr>
          <w:p w14:paraId="299CB5F2">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夏季</w:t>
            </w:r>
          </w:p>
        </w:tc>
        <w:tc>
          <w:tcPr>
            <w:tcW w:w="522" w:type="dxa"/>
            <w:tcBorders>
              <w:top w:val="single" w:color="000000" w:sz="2" w:space="0"/>
              <w:left w:val="single" w:color="000000" w:sz="2" w:space="0"/>
              <w:bottom w:val="single" w:color="000000" w:sz="2" w:space="0"/>
              <w:right w:val="single" w:color="000000" w:sz="2" w:space="0"/>
            </w:tcBorders>
            <w:vAlign w:val="center"/>
          </w:tcPr>
          <w:p w14:paraId="7BFCCCC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2.52 </w:t>
            </w:r>
          </w:p>
        </w:tc>
        <w:tc>
          <w:tcPr>
            <w:tcW w:w="500" w:type="dxa"/>
            <w:tcBorders>
              <w:top w:val="single" w:color="000000" w:sz="2" w:space="0"/>
              <w:left w:val="single" w:color="000000" w:sz="2" w:space="0"/>
              <w:bottom w:val="single" w:color="000000" w:sz="2" w:space="0"/>
              <w:right w:val="single" w:color="000000" w:sz="2" w:space="0"/>
            </w:tcBorders>
            <w:vAlign w:val="center"/>
          </w:tcPr>
          <w:p w14:paraId="2C4882D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2.54 </w:t>
            </w:r>
          </w:p>
        </w:tc>
        <w:tc>
          <w:tcPr>
            <w:tcW w:w="500" w:type="dxa"/>
            <w:tcBorders>
              <w:top w:val="single" w:color="000000" w:sz="2" w:space="0"/>
              <w:left w:val="single" w:color="000000" w:sz="2" w:space="0"/>
              <w:bottom w:val="single" w:color="000000" w:sz="2" w:space="0"/>
              <w:right w:val="single" w:color="000000" w:sz="2" w:space="0"/>
            </w:tcBorders>
            <w:vAlign w:val="center"/>
          </w:tcPr>
          <w:p w14:paraId="74CFA9C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2.47 </w:t>
            </w:r>
          </w:p>
        </w:tc>
        <w:tc>
          <w:tcPr>
            <w:tcW w:w="452" w:type="dxa"/>
            <w:tcBorders>
              <w:top w:val="single" w:color="000000" w:sz="2" w:space="0"/>
              <w:left w:val="single" w:color="000000" w:sz="2" w:space="0"/>
              <w:bottom w:val="single" w:color="000000" w:sz="2" w:space="0"/>
              <w:right w:val="single" w:color="000000" w:sz="2" w:space="0"/>
            </w:tcBorders>
            <w:vAlign w:val="center"/>
          </w:tcPr>
          <w:p w14:paraId="5DB1EC7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2.46 </w:t>
            </w:r>
          </w:p>
        </w:tc>
        <w:tc>
          <w:tcPr>
            <w:tcW w:w="476" w:type="dxa"/>
            <w:tcBorders>
              <w:top w:val="single" w:color="000000" w:sz="2" w:space="0"/>
              <w:left w:val="single" w:color="000000" w:sz="2" w:space="0"/>
              <w:bottom w:val="single" w:color="000000" w:sz="2" w:space="0"/>
              <w:right w:val="single" w:color="000000" w:sz="2" w:space="0"/>
            </w:tcBorders>
            <w:vAlign w:val="center"/>
          </w:tcPr>
          <w:p w14:paraId="0DC8BCA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2.44 </w:t>
            </w:r>
          </w:p>
        </w:tc>
        <w:tc>
          <w:tcPr>
            <w:tcW w:w="451" w:type="dxa"/>
            <w:tcBorders>
              <w:top w:val="single" w:color="000000" w:sz="2" w:space="0"/>
              <w:left w:val="single" w:color="000000" w:sz="2" w:space="0"/>
              <w:bottom w:val="single" w:color="000000" w:sz="2" w:space="0"/>
              <w:right w:val="single" w:color="000000" w:sz="2" w:space="0"/>
            </w:tcBorders>
            <w:vAlign w:val="center"/>
          </w:tcPr>
          <w:p w14:paraId="68F9904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2.33 </w:t>
            </w:r>
          </w:p>
        </w:tc>
        <w:tc>
          <w:tcPr>
            <w:tcW w:w="510" w:type="dxa"/>
            <w:tcBorders>
              <w:top w:val="single" w:color="000000" w:sz="2" w:space="0"/>
              <w:left w:val="single" w:color="000000" w:sz="2" w:space="0"/>
              <w:bottom w:val="single" w:color="000000" w:sz="2" w:space="0"/>
              <w:right w:val="single" w:color="000000" w:sz="2" w:space="0"/>
            </w:tcBorders>
            <w:vAlign w:val="center"/>
          </w:tcPr>
          <w:p w14:paraId="4920F68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2.35 </w:t>
            </w:r>
          </w:p>
        </w:tc>
        <w:tc>
          <w:tcPr>
            <w:tcW w:w="429" w:type="dxa"/>
            <w:tcBorders>
              <w:top w:val="single" w:color="000000" w:sz="2" w:space="0"/>
              <w:left w:val="single" w:color="000000" w:sz="2" w:space="0"/>
              <w:bottom w:val="single" w:color="000000" w:sz="2" w:space="0"/>
              <w:right w:val="single" w:color="000000" w:sz="2" w:space="0"/>
            </w:tcBorders>
            <w:vAlign w:val="center"/>
          </w:tcPr>
          <w:p w14:paraId="109F0AE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1.96 </w:t>
            </w:r>
          </w:p>
        </w:tc>
        <w:tc>
          <w:tcPr>
            <w:tcW w:w="439" w:type="dxa"/>
            <w:tcBorders>
              <w:top w:val="single" w:color="000000" w:sz="2" w:space="0"/>
              <w:left w:val="single" w:color="000000" w:sz="2" w:space="0"/>
              <w:bottom w:val="single" w:color="000000" w:sz="2" w:space="0"/>
              <w:right w:val="single" w:color="000000" w:sz="2" w:space="0"/>
            </w:tcBorders>
            <w:vAlign w:val="center"/>
          </w:tcPr>
          <w:p w14:paraId="4072735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1.69 </w:t>
            </w:r>
          </w:p>
        </w:tc>
        <w:tc>
          <w:tcPr>
            <w:tcW w:w="451" w:type="dxa"/>
            <w:tcBorders>
              <w:top w:val="single" w:color="000000" w:sz="2" w:space="0"/>
              <w:left w:val="single" w:color="000000" w:sz="2" w:space="0"/>
              <w:bottom w:val="single" w:color="000000" w:sz="2" w:space="0"/>
              <w:right w:val="single" w:color="000000" w:sz="2" w:space="0"/>
            </w:tcBorders>
            <w:vAlign w:val="center"/>
          </w:tcPr>
          <w:p w14:paraId="01C0DE7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1.53 </w:t>
            </w:r>
          </w:p>
        </w:tc>
        <w:tc>
          <w:tcPr>
            <w:tcW w:w="451" w:type="dxa"/>
            <w:tcBorders>
              <w:top w:val="single" w:color="000000" w:sz="2" w:space="0"/>
              <w:left w:val="single" w:color="000000" w:sz="2" w:space="0"/>
              <w:bottom w:val="single" w:color="000000" w:sz="2" w:space="0"/>
              <w:right w:val="single" w:color="000000" w:sz="2" w:space="0"/>
            </w:tcBorders>
            <w:vAlign w:val="center"/>
          </w:tcPr>
          <w:p w14:paraId="5F23B56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1.51 </w:t>
            </w:r>
          </w:p>
        </w:tc>
        <w:tc>
          <w:tcPr>
            <w:tcW w:w="436" w:type="dxa"/>
            <w:tcBorders>
              <w:top w:val="single" w:color="000000" w:sz="2" w:space="0"/>
              <w:left w:val="single" w:color="000000" w:sz="2" w:space="0"/>
              <w:bottom w:val="single" w:color="000000" w:sz="2" w:space="0"/>
              <w:right w:val="single" w:color="000000" w:sz="8" w:space="0"/>
            </w:tcBorders>
            <w:vAlign w:val="center"/>
          </w:tcPr>
          <w:p w14:paraId="77F3FEE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1.61 </w:t>
            </w:r>
          </w:p>
        </w:tc>
      </w:tr>
      <w:tr w14:paraId="6B273D6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664" w:type="dxa"/>
            <w:tcBorders>
              <w:top w:val="single" w:color="000000" w:sz="2" w:space="0"/>
              <w:left w:val="single" w:color="000000" w:sz="8" w:space="0"/>
              <w:bottom w:val="single" w:color="000000" w:sz="2" w:space="0"/>
              <w:right w:val="single" w:color="000000" w:sz="2" w:space="0"/>
            </w:tcBorders>
            <w:vAlign w:val="center"/>
          </w:tcPr>
          <w:p w14:paraId="56F75228">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秋季</w:t>
            </w:r>
          </w:p>
        </w:tc>
        <w:tc>
          <w:tcPr>
            <w:tcW w:w="522" w:type="dxa"/>
            <w:tcBorders>
              <w:top w:val="single" w:color="000000" w:sz="2" w:space="0"/>
              <w:left w:val="single" w:color="000000" w:sz="2" w:space="0"/>
              <w:bottom w:val="single" w:color="000000" w:sz="2" w:space="0"/>
              <w:right w:val="single" w:color="000000" w:sz="2" w:space="0"/>
            </w:tcBorders>
            <w:vAlign w:val="center"/>
          </w:tcPr>
          <w:p w14:paraId="6917A11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2.10 </w:t>
            </w:r>
          </w:p>
        </w:tc>
        <w:tc>
          <w:tcPr>
            <w:tcW w:w="500" w:type="dxa"/>
            <w:tcBorders>
              <w:top w:val="single" w:color="000000" w:sz="2" w:space="0"/>
              <w:left w:val="single" w:color="000000" w:sz="2" w:space="0"/>
              <w:bottom w:val="single" w:color="000000" w:sz="2" w:space="0"/>
              <w:right w:val="single" w:color="000000" w:sz="2" w:space="0"/>
            </w:tcBorders>
            <w:vAlign w:val="center"/>
          </w:tcPr>
          <w:p w14:paraId="4A8C0A6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2.17 </w:t>
            </w:r>
          </w:p>
        </w:tc>
        <w:tc>
          <w:tcPr>
            <w:tcW w:w="500" w:type="dxa"/>
            <w:tcBorders>
              <w:top w:val="single" w:color="000000" w:sz="2" w:space="0"/>
              <w:left w:val="single" w:color="000000" w:sz="2" w:space="0"/>
              <w:bottom w:val="single" w:color="000000" w:sz="2" w:space="0"/>
              <w:right w:val="single" w:color="000000" w:sz="2" w:space="0"/>
            </w:tcBorders>
            <w:vAlign w:val="center"/>
          </w:tcPr>
          <w:p w14:paraId="7977245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2.18 </w:t>
            </w:r>
          </w:p>
        </w:tc>
        <w:tc>
          <w:tcPr>
            <w:tcW w:w="452" w:type="dxa"/>
            <w:tcBorders>
              <w:top w:val="single" w:color="000000" w:sz="2" w:space="0"/>
              <w:left w:val="single" w:color="000000" w:sz="2" w:space="0"/>
              <w:bottom w:val="single" w:color="000000" w:sz="2" w:space="0"/>
              <w:right w:val="single" w:color="000000" w:sz="2" w:space="0"/>
            </w:tcBorders>
            <w:vAlign w:val="center"/>
          </w:tcPr>
          <w:p w14:paraId="6AB94C0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2.17 </w:t>
            </w:r>
          </w:p>
        </w:tc>
        <w:tc>
          <w:tcPr>
            <w:tcW w:w="476" w:type="dxa"/>
            <w:tcBorders>
              <w:top w:val="single" w:color="000000" w:sz="2" w:space="0"/>
              <w:left w:val="single" w:color="000000" w:sz="2" w:space="0"/>
              <w:bottom w:val="single" w:color="000000" w:sz="2" w:space="0"/>
              <w:right w:val="single" w:color="000000" w:sz="2" w:space="0"/>
            </w:tcBorders>
            <w:vAlign w:val="center"/>
          </w:tcPr>
          <w:p w14:paraId="61A5CA0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2.13 </w:t>
            </w:r>
          </w:p>
        </w:tc>
        <w:tc>
          <w:tcPr>
            <w:tcW w:w="451" w:type="dxa"/>
            <w:tcBorders>
              <w:top w:val="single" w:color="000000" w:sz="2" w:space="0"/>
              <w:left w:val="single" w:color="000000" w:sz="2" w:space="0"/>
              <w:bottom w:val="single" w:color="000000" w:sz="2" w:space="0"/>
              <w:right w:val="single" w:color="000000" w:sz="2" w:space="0"/>
            </w:tcBorders>
            <w:vAlign w:val="center"/>
          </w:tcPr>
          <w:p w14:paraId="3045796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1.83 </w:t>
            </w:r>
          </w:p>
        </w:tc>
        <w:tc>
          <w:tcPr>
            <w:tcW w:w="510" w:type="dxa"/>
            <w:tcBorders>
              <w:top w:val="single" w:color="000000" w:sz="2" w:space="0"/>
              <w:left w:val="single" w:color="000000" w:sz="2" w:space="0"/>
              <w:bottom w:val="single" w:color="000000" w:sz="2" w:space="0"/>
              <w:right w:val="single" w:color="000000" w:sz="2" w:space="0"/>
            </w:tcBorders>
            <w:vAlign w:val="center"/>
          </w:tcPr>
          <w:p w14:paraId="744FBAC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1.35 </w:t>
            </w:r>
          </w:p>
        </w:tc>
        <w:tc>
          <w:tcPr>
            <w:tcW w:w="429" w:type="dxa"/>
            <w:tcBorders>
              <w:top w:val="single" w:color="000000" w:sz="2" w:space="0"/>
              <w:left w:val="single" w:color="000000" w:sz="2" w:space="0"/>
              <w:bottom w:val="single" w:color="000000" w:sz="2" w:space="0"/>
              <w:right w:val="single" w:color="000000" w:sz="2" w:space="0"/>
            </w:tcBorders>
            <w:vAlign w:val="center"/>
          </w:tcPr>
          <w:p w14:paraId="31BDA4B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1.02 </w:t>
            </w:r>
          </w:p>
        </w:tc>
        <w:tc>
          <w:tcPr>
            <w:tcW w:w="439" w:type="dxa"/>
            <w:tcBorders>
              <w:top w:val="single" w:color="000000" w:sz="2" w:space="0"/>
              <w:left w:val="single" w:color="000000" w:sz="2" w:space="0"/>
              <w:bottom w:val="single" w:color="000000" w:sz="2" w:space="0"/>
              <w:right w:val="single" w:color="000000" w:sz="2" w:space="0"/>
            </w:tcBorders>
            <w:vAlign w:val="center"/>
          </w:tcPr>
          <w:p w14:paraId="53649EF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0.97 </w:t>
            </w:r>
          </w:p>
        </w:tc>
        <w:tc>
          <w:tcPr>
            <w:tcW w:w="451" w:type="dxa"/>
            <w:tcBorders>
              <w:top w:val="single" w:color="000000" w:sz="2" w:space="0"/>
              <w:left w:val="single" w:color="000000" w:sz="2" w:space="0"/>
              <w:bottom w:val="single" w:color="000000" w:sz="2" w:space="0"/>
              <w:right w:val="single" w:color="000000" w:sz="2" w:space="0"/>
            </w:tcBorders>
            <w:vAlign w:val="center"/>
          </w:tcPr>
          <w:p w14:paraId="5633B3E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1.12 </w:t>
            </w:r>
          </w:p>
        </w:tc>
        <w:tc>
          <w:tcPr>
            <w:tcW w:w="451" w:type="dxa"/>
            <w:tcBorders>
              <w:top w:val="single" w:color="000000" w:sz="2" w:space="0"/>
              <w:left w:val="single" w:color="000000" w:sz="2" w:space="0"/>
              <w:bottom w:val="single" w:color="000000" w:sz="2" w:space="0"/>
              <w:right w:val="single" w:color="000000" w:sz="2" w:space="0"/>
            </w:tcBorders>
            <w:vAlign w:val="center"/>
          </w:tcPr>
          <w:p w14:paraId="1888E7D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1.21 </w:t>
            </w:r>
          </w:p>
        </w:tc>
        <w:tc>
          <w:tcPr>
            <w:tcW w:w="436" w:type="dxa"/>
            <w:tcBorders>
              <w:top w:val="single" w:color="000000" w:sz="2" w:space="0"/>
              <w:left w:val="single" w:color="000000" w:sz="2" w:space="0"/>
              <w:bottom w:val="single" w:color="000000" w:sz="2" w:space="0"/>
              <w:right w:val="single" w:color="000000" w:sz="8" w:space="0"/>
            </w:tcBorders>
            <w:vAlign w:val="center"/>
          </w:tcPr>
          <w:p w14:paraId="57336E9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1.23 </w:t>
            </w:r>
          </w:p>
        </w:tc>
      </w:tr>
      <w:tr w14:paraId="332FDDC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664" w:type="dxa"/>
            <w:tcBorders>
              <w:top w:val="single" w:color="000000" w:sz="2" w:space="0"/>
              <w:left w:val="single" w:color="000000" w:sz="8" w:space="0"/>
              <w:bottom w:val="single" w:color="000000" w:sz="8" w:space="0"/>
              <w:right w:val="single" w:color="000000" w:sz="2" w:space="0"/>
            </w:tcBorders>
            <w:vAlign w:val="center"/>
          </w:tcPr>
          <w:p w14:paraId="5B6B4D04">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冬季</w:t>
            </w:r>
          </w:p>
        </w:tc>
        <w:tc>
          <w:tcPr>
            <w:tcW w:w="522" w:type="dxa"/>
            <w:tcBorders>
              <w:top w:val="single" w:color="000000" w:sz="2" w:space="0"/>
              <w:left w:val="single" w:color="000000" w:sz="2" w:space="0"/>
              <w:bottom w:val="single" w:color="000000" w:sz="8" w:space="0"/>
              <w:right w:val="single" w:color="000000" w:sz="2" w:space="0"/>
            </w:tcBorders>
            <w:vAlign w:val="center"/>
          </w:tcPr>
          <w:p w14:paraId="3E76801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1.65 </w:t>
            </w:r>
          </w:p>
        </w:tc>
        <w:tc>
          <w:tcPr>
            <w:tcW w:w="500" w:type="dxa"/>
            <w:tcBorders>
              <w:top w:val="single" w:color="000000" w:sz="2" w:space="0"/>
              <w:left w:val="single" w:color="000000" w:sz="2" w:space="0"/>
              <w:bottom w:val="single" w:color="000000" w:sz="8" w:space="0"/>
              <w:right w:val="single" w:color="000000" w:sz="2" w:space="0"/>
            </w:tcBorders>
            <w:vAlign w:val="center"/>
          </w:tcPr>
          <w:p w14:paraId="631C28C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1.87 </w:t>
            </w:r>
          </w:p>
        </w:tc>
        <w:tc>
          <w:tcPr>
            <w:tcW w:w="500" w:type="dxa"/>
            <w:tcBorders>
              <w:top w:val="single" w:color="000000" w:sz="2" w:space="0"/>
              <w:left w:val="single" w:color="000000" w:sz="2" w:space="0"/>
              <w:bottom w:val="single" w:color="000000" w:sz="8" w:space="0"/>
              <w:right w:val="single" w:color="000000" w:sz="2" w:space="0"/>
            </w:tcBorders>
            <w:vAlign w:val="center"/>
          </w:tcPr>
          <w:p w14:paraId="4A5525E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1.89 </w:t>
            </w:r>
          </w:p>
        </w:tc>
        <w:tc>
          <w:tcPr>
            <w:tcW w:w="452" w:type="dxa"/>
            <w:tcBorders>
              <w:top w:val="single" w:color="000000" w:sz="2" w:space="0"/>
              <w:left w:val="single" w:color="000000" w:sz="2" w:space="0"/>
              <w:bottom w:val="single" w:color="000000" w:sz="8" w:space="0"/>
              <w:right w:val="single" w:color="000000" w:sz="2" w:space="0"/>
            </w:tcBorders>
            <w:vAlign w:val="center"/>
          </w:tcPr>
          <w:p w14:paraId="3F9BA69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1.78 </w:t>
            </w:r>
          </w:p>
        </w:tc>
        <w:tc>
          <w:tcPr>
            <w:tcW w:w="476" w:type="dxa"/>
            <w:tcBorders>
              <w:top w:val="single" w:color="000000" w:sz="2" w:space="0"/>
              <w:left w:val="single" w:color="000000" w:sz="2" w:space="0"/>
              <w:bottom w:val="single" w:color="000000" w:sz="8" w:space="0"/>
              <w:right w:val="single" w:color="000000" w:sz="2" w:space="0"/>
            </w:tcBorders>
            <w:vAlign w:val="center"/>
          </w:tcPr>
          <w:p w14:paraId="5152FE5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1.75 </w:t>
            </w:r>
          </w:p>
        </w:tc>
        <w:tc>
          <w:tcPr>
            <w:tcW w:w="451" w:type="dxa"/>
            <w:tcBorders>
              <w:top w:val="single" w:color="000000" w:sz="2" w:space="0"/>
              <w:left w:val="single" w:color="000000" w:sz="2" w:space="0"/>
              <w:bottom w:val="single" w:color="000000" w:sz="8" w:space="0"/>
              <w:right w:val="single" w:color="000000" w:sz="2" w:space="0"/>
            </w:tcBorders>
            <w:vAlign w:val="center"/>
          </w:tcPr>
          <w:p w14:paraId="77F449B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1.45 </w:t>
            </w:r>
          </w:p>
        </w:tc>
        <w:tc>
          <w:tcPr>
            <w:tcW w:w="510" w:type="dxa"/>
            <w:tcBorders>
              <w:top w:val="single" w:color="000000" w:sz="2" w:space="0"/>
              <w:left w:val="single" w:color="000000" w:sz="2" w:space="0"/>
              <w:bottom w:val="single" w:color="000000" w:sz="8" w:space="0"/>
              <w:right w:val="single" w:color="000000" w:sz="2" w:space="0"/>
            </w:tcBorders>
            <w:vAlign w:val="center"/>
          </w:tcPr>
          <w:p w14:paraId="71BDB45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1.22 </w:t>
            </w:r>
          </w:p>
        </w:tc>
        <w:tc>
          <w:tcPr>
            <w:tcW w:w="429" w:type="dxa"/>
            <w:tcBorders>
              <w:top w:val="single" w:color="000000" w:sz="2" w:space="0"/>
              <w:left w:val="single" w:color="000000" w:sz="2" w:space="0"/>
              <w:bottom w:val="single" w:color="000000" w:sz="8" w:space="0"/>
              <w:right w:val="single" w:color="000000" w:sz="2" w:space="0"/>
            </w:tcBorders>
            <w:vAlign w:val="center"/>
          </w:tcPr>
          <w:p w14:paraId="15BC885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0.96 </w:t>
            </w:r>
          </w:p>
        </w:tc>
        <w:tc>
          <w:tcPr>
            <w:tcW w:w="439" w:type="dxa"/>
            <w:tcBorders>
              <w:top w:val="single" w:color="000000" w:sz="2" w:space="0"/>
              <w:left w:val="single" w:color="000000" w:sz="2" w:space="0"/>
              <w:bottom w:val="single" w:color="000000" w:sz="8" w:space="0"/>
              <w:right w:val="single" w:color="000000" w:sz="2" w:space="0"/>
            </w:tcBorders>
            <w:vAlign w:val="center"/>
          </w:tcPr>
          <w:p w14:paraId="7CC7022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0.91 </w:t>
            </w:r>
          </w:p>
        </w:tc>
        <w:tc>
          <w:tcPr>
            <w:tcW w:w="451" w:type="dxa"/>
            <w:tcBorders>
              <w:top w:val="single" w:color="000000" w:sz="2" w:space="0"/>
              <w:left w:val="single" w:color="000000" w:sz="2" w:space="0"/>
              <w:bottom w:val="single" w:color="000000" w:sz="8" w:space="0"/>
              <w:right w:val="single" w:color="000000" w:sz="2" w:space="0"/>
            </w:tcBorders>
            <w:vAlign w:val="center"/>
          </w:tcPr>
          <w:p w14:paraId="79AAE49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1.01 </w:t>
            </w:r>
          </w:p>
        </w:tc>
        <w:tc>
          <w:tcPr>
            <w:tcW w:w="451" w:type="dxa"/>
            <w:tcBorders>
              <w:top w:val="single" w:color="000000" w:sz="2" w:space="0"/>
              <w:left w:val="single" w:color="000000" w:sz="2" w:space="0"/>
              <w:bottom w:val="single" w:color="000000" w:sz="8" w:space="0"/>
              <w:right w:val="single" w:color="000000" w:sz="2" w:space="0"/>
            </w:tcBorders>
            <w:vAlign w:val="center"/>
          </w:tcPr>
          <w:p w14:paraId="2C0F6A5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0.91 </w:t>
            </w:r>
          </w:p>
        </w:tc>
        <w:tc>
          <w:tcPr>
            <w:tcW w:w="436" w:type="dxa"/>
            <w:tcBorders>
              <w:top w:val="single" w:color="000000" w:sz="2" w:space="0"/>
              <w:left w:val="single" w:color="000000" w:sz="2" w:space="0"/>
              <w:bottom w:val="single" w:color="000000" w:sz="8" w:space="0"/>
              <w:right w:val="single" w:color="000000" w:sz="8" w:space="0"/>
            </w:tcBorders>
            <w:vAlign w:val="center"/>
          </w:tcPr>
          <w:p w14:paraId="666E5E9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 xml:space="preserve">0.94 </w:t>
            </w:r>
          </w:p>
        </w:tc>
      </w:tr>
    </w:tbl>
    <w:p w14:paraId="4E5B54EF">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0D63F86">
      <w:pPr>
        <w:tabs>
          <w:tab w:val="left" w:pos="2304"/>
        </w:tabs>
        <w:adjustRightInd w:val="0"/>
        <w:snapToGrid w:val="0"/>
        <w:spacing w:line="360" w:lineRule="auto"/>
        <w:jc w:val="center"/>
        <w:rPr>
          <w:rFonts w:hint="eastAsia" w:ascii="仿宋" w:hAnsi="仿宋" w:eastAsia="仿宋"/>
          <w:bCs/>
          <w:color w:val="auto"/>
          <w:sz w:val="24"/>
          <w:szCs w:val="24"/>
        </w:rPr>
      </w:pPr>
      <w:r>
        <w:rPr>
          <w:rFonts w:hint="eastAsia" w:ascii="仿宋" w:hAnsi="仿宋" w:eastAsia="仿宋"/>
          <w:bCs/>
          <w:color w:val="auto"/>
          <w:sz w:val="24"/>
          <w:szCs w:val="24"/>
        </w:rPr>
        <w:drawing>
          <wp:inline distT="0" distB="0" distL="0" distR="0">
            <wp:extent cx="5279390" cy="220853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9390" cy="2208530"/>
                    </a:xfrm>
                    <a:prstGeom prst="rect">
                      <a:avLst/>
                    </a:prstGeom>
                    <a:noFill/>
                    <a:ln>
                      <a:noFill/>
                    </a:ln>
                  </pic:spPr>
                </pic:pic>
              </a:graphicData>
            </a:graphic>
          </wp:inline>
        </w:drawing>
      </w:r>
      <w:r>
        <w:rPr>
          <w:rFonts w:hint="eastAsia" w:ascii="仿宋" w:hAnsi="仿宋" w:eastAsia="仿宋"/>
          <w:bCs/>
          <w:color w:val="auto"/>
          <w:sz w:val="24"/>
          <w:szCs w:val="24"/>
        </w:rPr>
        <w:t xml:space="preserve"> </w:t>
      </w:r>
    </w:p>
    <w:p w14:paraId="564FC455">
      <w:pPr>
        <w:pStyle w:val="1060"/>
        <w:rPr>
          <w:color w:val="auto"/>
          <w:szCs w:val="23"/>
        </w:rPr>
      </w:pPr>
      <w:bookmarkStart w:id="285" w:name="_Ref27175"/>
      <w:bookmarkEnd w:id="285"/>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4</w:t>
      </w:r>
      <w:r>
        <w:rPr>
          <w:color w:val="auto"/>
        </w:rPr>
        <w:fldChar w:fldCharType="end"/>
      </w:r>
      <w:r>
        <w:rPr>
          <w:rFonts w:hint="eastAsia"/>
          <w:color w:val="auto"/>
          <w:szCs w:val="23"/>
        </w:rPr>
        <w:t xml:space="preserve">  2024</w:t>
      </w:r>
      <w:r>
        <w:rPr>
          <w:rFonts w:hint="eastAsia" w:ascii="黑体" w:hAnsi="黑体"/>
          <w:color w:val="auto"/>
          <w:szCs w:val="23"/>
        </w:rPr>
        <w:t>年季小时平均风速日变化曲线图</w:t>
      </w:r>
    </w:p>
    <w:p w14:paraId="4D2BC3C0">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301728C">
      <w:pPr>
        <w:tabs>
          <w:tab w:val="left" w:pos="420"/>
        </w:tabs>
        <w:adjustRightInd w:val="0"/>
        <w:snapToGrid w:val="0"/>
        <w:spacing w:before="100" w:beforeAutospacing="1" w:line="360" w:lineRule="auto"/>
        <w:ind w:firstLine="480"/>
        <w:rPr>
          <w:rFonts w:ascii="宋体"/>
          <w:color w:val="auto"/>
          <w:sz w:val="24"/>
          <w:szCs w:val="24"/>
        </w:rPr>
      </w:pPr>
      <w:r>
        <w:rPr>
          <w:rFonts w:ascii="宋体"/>
          <w:color w:val="auto"/>
          <w:sz w:val="24"/>
          <w:szCs w:val="24"/>
        </w:rPr>
        <w:drawing>
          <wp:inline distT="0" distB="0" distL="0" distR="0">
            <wp:extent cx="34290" cy="34290"/>
            <wp:effectExtent l="0" t="0" r="381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290" cy="34290"/>
                    </a:xfrm>
                    <a:prstGeom prst="rect">
                      <a:avLst/>
                    </a:prstGeom>
                    <a:noFill/>
                    <a:ln>
                      <a:noFill/>
                    </a:ln>
                  </pic:spPr>
                </pic:pic>
              </a:graphicData>
            </a:graphic>
          </wp:inline>
        </w:drawing>
      </w:r>
      <w:r>
        <w:rPr>
          <w:rFonts w:ascii="宋体"/>
          <w:color w:val="auto"/>
          <w:sz w:val="24"/>
          <w:szCs w:val="24"/>
        </w:rPr>
        <w:drawing>
          <wp:inline distT="0" distB="0" distL="0" distR="0">
            <wp:extent cx="34290" cy="34290"/>
            <wp:effectExtent l="0" t="0" r="381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290" cy="34290"/>
                    </a:xfrm>
                    <a:prstGeom prst="rect">
                      <a:avLst/>
                    </a:prstGeom>
                    <a:noFill/>
                    <a:ln>
                      <a:noFill/>
                    </a:ln>
                  </pic:spPr>
                </pic:pic>
              </a:graphicData>
            </a:graphic>
          </wp:inline>
        </w:drawing>
      </w:r>
      <w:r>
        <w:rPr>
          <w:rFonts w:ascii="宋体"/>
          <w:color w:val="auto"/>
          <w:sz w:val="24"/>
          <w:szCs w:val="24"/>
        </w:rPr>
        <w:drawing>
          <wp:inline distT="0" distB="0" distL="0" distR="0">
            <wp:extent cx="4477385" cy="621093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477385" cy="6210935"/>
                    </a:xfrm>
                    <a:prstGeom prst="rect">
                      <a:avLst/>
                    </a:prstGeom>
                    <a:noFill/>
                    <a:ln>
                      <a:noFill/>
                    </a:ln>
                  </pic:spPr>
                </pic:pic>
              </a:graphicData>
            </a:graphic>
          </wp:inline>
        </w:drawing>
      </w:r>
      <w:r>
        <w:rPr>
          <w:rFonts w:hint="eastAsia" w:ascii="宋体"/>
          <w:color w:val="auto"/>
          <w:sz w:val="24"/>
          <w:szCs w:val="24"/>
        </w:rPr>
        <w:t xml:space="preserve"> </w:t>
      </w:r>
    </w:p>
    <w:p w14:paraId="09941784">
      <w:pPr>
        <w:pStyle w:val="1060"/>
        <w:rPr>
          <w:rFonts w:hint="eastAsia" w:ascii="宋体" w:hAnsi="宋体"/>
          <w:color w:val="auto"/>
          <w:szCs w:val="23"/>
        </w:rPr>
      </w:pPr>
      <w:bookmarkStart w:id="286" w:name="_Ref27241"/>
      <w:bookmarkEnd w:id="286"/>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5</w:t>
      </w:r>
      <w:r>
        <w:rPr>
          <w:color w:val="auto"/>
        </w:rPr>
        <w:fldChar w:fldCharType="end"/>
      </w:r>
      <w:r>
        <w:rPr>
          <w:rFonts w:hint="eastAsia"/>
          <w:color w:val="auto"/>
          <w:szCs w:val="23"/>
        </w:rPr>
        <w:t xml:space="preserve">  2024</w:t>
      </w:r>
      <w:r>
        <w:rPr>
          <w:rFonts w:hint="eastAsia" w:ascii="黑体" w:hAnsi="黑体"/>
          <w:color w:val="auto"/>
          <w:szCs w:val="23"/>
        </w:rPr>
        <w:t>年月、季、年各风向下风速频率玫瑰图</w:t>
      </w:r>
    </w:p>
    <w:p w14:paraId="1156CE57">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4A36999A">
      <w:pPr>
        <w:pStyle w:val="5"/>
        <w:rPr>
          <w:color w:val="auto"/>
        </w:rPr>
      </w:pPr>
      <w:r>
        <w:rPr>
          <w:rFonts w:hint="eastAsia"/>
          <w:color w:val="auto"/>
        </w:rPr>
        <w:t>污染系数</w:t>
      </w:r>
    </w:p>
    <w:p w14:paraId="2BAF730D">
      <w:pPr>
        <w:pStyle w:val="132"/>
        <w:rPr>
          <w:color w:val="auto"/>
        </w:rPr>
      </w:pPr>
      <w:r>
        <w:rPr>
          <w:rFonts w:hint="eastAsia"/>
          <w:color w:val="auto"/>
        </w:rPr>
        <w:t xml:space="preserve">污染系数是用某风向的频率与该风向平均风速的比来表示的，值越大，则其下风向受污染的概率也越大，该区域污染系数统计结果见表 </w:t>
      </w:r>
      <w:r>
        <w:rPr>
          <w:color w:val="auto"/>
        </w:rPr>
        <w:t>5.2</w:t>
      </w:r>
      <w:r>
        <w:rPr>
          <w:rFonts w:hint="eastAsia"/>
          <w:color w:val="auto"/>
        </w:rPr>
        <w:t>–</w:t>
      </w:r>
      <w:r>
        <w:rPr>
          <w:color w:val="auto"/>
        </w:rPr>
        <w:t>5</w:t>
      </w:r>
      <w:r>
        <w:rPr>
          <w:rFonts w:hint="eastAsia"/>
          <w:color w:val="auto"/>
        </w:rPr>
        <w:t xml:space="preserve">及图 </w:t>
      </w:r>
      <w:r>
        <w:rPr>
          <w:color w:val="auto"/>
        </w:rPr>
        <w:t>5.2</w:t>
      </w:r>
      <w:r>
        <w:rPr>
          <w:rFonts w:hint="eastAsia"/>
          <w:color w:val="auto"/>
        </w:rPr>
        <w:t>–</w:t>
      </w:r>
      <w:r>
        <w:rPr>
          <w:color w:val="auto"/>
        </w:rPr>
        <w:t>6</w:t>
      </w:r>
      <w:r>
        <w:rPr>
          <w:rFonts w:hint="eastAsia"/>
          <w:color w:val="auto"/>
        </w:rPr>
        <w:t>。</w:t>
      </w:r>
    </w:p>
    <w:p w14:paraId="04DD85DB">
      <w:pPr>
        <w:pStyle w:val="132"/>
        <w:rPr>
          <w:color w:val="auto"/>
        </w:rPr>
      </w:pPr>
      <w:r>
        <w:rPr>
          <w:rFonts w:hint="eastAsia"/>
          <w:color w:val="auto"/>
        </w:rPr>
        <w:t xml:space="preserve">由表 </w:t>
      </w:r>
      <w:r>
        <w:rPr>
          <w:color w:val="auto"/>
        </w:rPr>
        <w:t>5.2</w:t>
      </w:r>
      <w:r>
        <w:rPr>
          <w:rFonts w:hint="eastAsia"/>
          <w:color w:val="auto"/>
        </w:rPr>
        <w:t>–</w:t>
      </w:r>
      <w:r>
        <w:rPr>
          <w:color w:val="auto"/>
        </w:rPr>
        <w:t>5</w:t>
      </w:r>
      <w:r>
        <w:rPr>
          <w:rFonts w:hint="eastAsia"/>
          <w:color w:val="auto"/>
        </w:rPr>
        <w:t>可知，评价区2024全年各风向污染系数以N风向最大，为10.56；S风向次之，为5.61；污染系数最小风向方位是NNW风向，为2.22。</w:t>
      </w:r>
    </w:p>
    <w:p w14:paraId="4164C4A7">
      <w:pPr>
        <w:pStyle w:val="132"/>
        <w:rPr>
          <w:color w:val="auto"/>
        </w:rPr>
      </w:pPr>
      <w:r>
        <w:rPr>
          <w:rFonts w:hint="eastAsia"/>
          <w:color w:val="auto"/>
        </w:rPr>
        <w:t>春季各风向污染系数均以N风向最大，为7.66；夏季各风向污染系数均以SSW风向最大，为6.94；秋季各风向污染系数均以N风向最大，为12.34；冬季各风向污染系数均以N风向最大，为21.49。</w:t>
      </w:r>
    </w:p>
    <w:p w14:paraId="51D906F2">
      <w:pPr>
        <w:rPr>
          <w:rFonts w:hint="eastAsia" w:ascii="黑体" w:hAnsi="黑体" w:eastAsia="黑体"/>
          <w:b/>
          <w:bCs/>
          <w:color w:val="auto"/>
          <w:sz w:val="24"/>
          <w:szCs w:val="24"/>
        </w:rPr>
        <w:sectPr>
          <w:type w:val="continuous"/>
          <w:pgSz w:w="11906" w:h="16838"/>
          <w:pgMar w:top="1440" w:right="1588" w:bottom="1389" w:left="1588" w:header="851" w:footer="992" w:gutter="0"/>
          <w:cols w:space="720" w:num="1"/>
          <w:docGrid w:type="lines" w:linePitch="312" w:charSpace="0"/>
        </w:sectPr>
      </w:pPr>
    </w:p>
    <w:p w14:paraId="0DEC484F">
      <w:pPr>
        <w:pStyle w:val="1060"/>
        <w:rPr>
          <w:color w:val="auto"/>
          <w:szCs w:val="23"/>
        </w:rPr>
      </w:pPr>
      <w:bookmarkStart w:id="287" w:name="_Ref28958"/>
      <w:bookmarkEnd w:id="287"/>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5</w:t>
      </w:r>
      <w:r>
        <w:rPr>
          <w:color w:val="auto"/>
        </w:rPr>
        <w:fldChar w:fldCharType="end"/>
      </w:r>
      <w:r>
        <w:rPr>
          <w:rFonts w:hint="eastAsia"/>
          <w:color w:val="auto"/>
        </w:rPr>
        <w:t xml:space="preserve"> </w:t>
      </w:r>
      <w:r>
        <w:rPr>
          <w:rFonts w:hint="eastAsia"/>
          <w:color w:val="auto"/>
          <w:szCs w:val="23"/>
        </w:rPr>
        <w:t xml:space="preserve">  2024</w:t>
      </w:r>
      <w:r>
        <w:rPr>
          <w:rFonts w:hint="eastAsia" w:ascii="黑体" w:hAnsi="黑体"/>
          <w:color w:val="auto"/>
          <w:szCs w:val="23"/>
        </w:rPr>
        <w:t>年年、季、月各风向污染系数统计表</w:t>
      </w:r>
      <w:r>
        <w:rPr>
          <w:rFonts w:hint="eastAsia"/>
          <w:color w:val="auto"/>
          <w:szCs w:val="23"/>
        </w:rPr>
        <w:t>(%)</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733"/>
        <w:gridCol w:w="738"/>
        <w:gridCol w:w="744"/>
        <w:gridCol w:w="757"/>
        <w:gridCol w:w="776"/>
        <w:gridCol w:w="746"/>
        <w:gridCol w:w="746"/>
        <w:gridCol w:w="746"/>
        <w:gridCol w:w="776"/>
        <w:gridCol w:w="727"/>
        <w:gridCol w:w="826"/>
        <w:gridCol w:w="776"/>
        <w:gridCol w:w="776"/>
        <w:gridCol w:w="776"/>
        <w:gridCol w:w="809"/>
        <w:gridCol w:w="747"/>
        <w:gridCol w:w="747"/>
        <w:gridCol w:w="772"/>
      </w:tblGrid>
      <w:tr w14:paraId="32CD16F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8" w:space="0"/>
              <w:left w:val="single" w:color="000000" w:sz="8" w:space="0"/>
              <w:bottom w:val="single" w:color="000000" w:sz="2" w:space="0"/>
              <w:right w:val="single" w:color="000000" w:sz="2" w:space="0"/>
            </w:tcBorders>
            <w:vAlign w:val="center"/>
          </w:tcPr>
          <w:p w14:paraId="3C9EC2BC">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风向</w:t>
            </w:r>
          </w:p>
        </w:tc>
        <w:tc>
          <w:tcPr>
            <w:tcW w:w="269" w:type="pct"/>
            <w:tcBorders>
              <w:top w:val="single" w:color="000000" w:sz="8" w:space="0"/>
              <w:left w:val="single" w:color="000000" w:sz="2" w:space="0"/>
              <w:bottom w:val="single" w:color="000000" w:sz="2" w:space="0"/>
              <w:right w:val="single" w:color="000000" w:sz="2" w:space="0"/>
            </w:tcBorders>
            <w:vAlign w:val="center"/>
          </w:tcPr>
          <w:p w14:paraId="31A17D7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w:t>
            </w:r>
          </w:p>
        </w:tc>
        <w:tc>
          <w:tcPr>
            <w:tcW w:w="271" w:type="pct"/>
            <w:tcBorders>
              <w:top w:val="single" w:color="000000" w:sz="8" w:space="0"/>
              <w:left w:val="single" w:color="000000" w:sz="2" w:space="0"/>
              <w:bottom w:val="single" w:color="000000" w:sz="2" w:space="0"/>
              <w:right w:val="single" w:color="000000" w:sz="2" w:space="0"/>
            </w:tcBorders>
            <w:vAlign w:val="center"/>
          </w:tcPr>
          <w:p w14:paraId="1B56150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NNE</w:t>
            </w:r>
          </w:p>
        </w:tc>
        <w:tc>
          <w:tcPr>
            <w:tcW w:w="276" w:type="pct"/>
            <w:tcBorders>
              <w:top w:val="single" w:color="000000" w:sz="8" w:space="0"/>
              <w:left w:val="single" w:color="000000" w:sz="2" w:space="0"/>
              <w:bottom w:val="single" w:color="000000" w:sz="2" w:space="0"/>
              <w:right w:val="single" w:color="000000" w:sz="2" w:space="0"/>
            </w:tcBorders>
            <w:vAlign w:val="center"/>
          </w:tcPr>
          <w:p w14:paraId="50721B4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NE</w:t>
            </w:r>
          </w:p>
        </w:tc>
        <w:tc>
          <w:tcPr>
            <w:tcW w:w="283" w:type="pct"/>
            <w:tcBorders>
              <w:top w:val="single" w:color="000000" w:sz="8" w:space="0"/>
              <w:left w:val="single" w:color="000000" w:sz="2" w:space="0"/>
              <w:bottom w:val="single" w:color="000000" w:sz="2" w:space="0"/>
              <w:right w:val="single" w:color="000000" w:sz="2" w:space="0"/>
            </w:tcBorders>
            <w:vAlign w:val="center"/>
          </w:tcPr>
          <w:p w14:paraId="448DCCF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ENE</w:t>
            </w:r>
          </w:p>
        </w:tc>
        <w:tc>
          <w:tcPr>
            <w:tcW w:w="272" w:type="pct"/>
            <w:tcBorders>
              <w:top w:val="single" w:color="000000" w:sz="8" w:space="0"/>
              <w:left w:val="single" w:color="000000" w:sz="2" w:space="0"/>
              <w:bottom w:val="single" w:color="000000" w:sz="2" w:space="0"/>
              <w:right w:val="single" w:color="000000" w:sz="2" w:space="0"/>
            </w:tcBorders>
            <w:vAlign w:val="center"/>
          </w:tcPr>
          <w:p w14:paraId="0EFDB6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E</w:t>
            </w:r>
          </w:p>
        </w:tc>
        <w:tc>
          <w:tcPr>
            <w:tcW w:w="272" w:type="pct"/>
            <w:tcBorders>
              <w:top w:val="single" w:color="000000" w:sz="8" w:space="0"/>
              <w:left w:val="single" w:color="000000" w:sz="2" w:space="0"/>
              <w:bottom w:val="single" w:color="000000" w:sz="2" w:space="0"/>
              <w:right w:val="single" w:color="000000" w:sz="2" w:space="0"/>
            </w:tcBorders>
            <w:vAlign w:val="center"/>
          </w:tcPr>
          <w:p w14:paraId="3661E0C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ESE</w:t>
            </w:r>
          </w:p>
        </w:tc>
        <w:tc>
          <w:tcPr>
            <w:tcW w:w="272" w:type="pct"/>
            <w:tcBorders>
              <w:top w:val="single" w:color="000000" w:sz="8" w:space="0"/>
              <w:left w:val="single" w:color="000000" w:sz="2" w:space="0"/>
              <w:bottom w:val="single" w:color="000000" w:sz="2" w:space="0"/>
              <w:right w:val="single" w:color="000000" w:sz="2" w:space="0"/>
            </w:tcBorders>
            <w:vAlign w:val="center"/>
          </w:tcPr>
          <w:p w14:paraId="63F8F61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SE</w:t>
            </w:r>
          </w:p>
        </w:tc>
        <w:tc>
          <w:tcPr>
            <w:tcW w:w="283" w:type="pct"/>
            <w:tcBorders>
              <w:top w:val="single" w:color="000000" w:sz="8" w:space="0"/>
              <w:left w:val="single" w:color="000000" w:sz="2" w:space="0"/>
              <w:bottom w:val="single" w:color="000000" w:sz="2" w:space="0"/>
              <w:right w:val="single" w:color="000000" w:sz="2" w:space="0"/>
            </w:tcBorders>
            <w:vAlign w:val="center"/>
          </w:tcPr>
          <w:p w14:paraId="61062C0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SSE</w:t>
            </w:r>
          </w:p>
        </w:tc>
        <w:tc>
          <w:tcPr>
            <w:tcW w:w="265" w:type="pct"/>
            <w:tcBorders>
              <w:top w:val="single" w:color="000000" w:sz="8" w:space="0"/>
              <w:left w:val="single" w:color="000000" w:sz="2" w:space="0"/>
              <w:bottom w:val="single" w:color="000000" w:sz="2" w:space="0"/>
              <w:right w:val="single" w:color="000000" w:sz="2" w:space="0"/>
            </w:tcBorders>
            <w:vAlign w:val="center"/>
          </w:tcPr>
          <w:p w14:paraId="44D491B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w:t>
            </w:r>
          </w:p>
        </w:tc>
        <w:tc>
          <w:tcPr>
            <w:tcW w:w="301" w:type="pct"/>
            <w:tcBorders>
              <w:top w:val="single" w:color="000000" w:sz="8" w:space="0"/>
              <w:left w:val="single" w:color="000000" w:sz="2" w:space="0"/>
              <w:bottom w:val="single" w:color="000000" w:sz="2" w:space="0"/>
              <w:right w:val="single" w:color="000000" w:sz="2" w:space="0"/>
            </w:tcBorders>
            <w:vAlign w:val="center"/>
          </w:tcPr>
          <w:p w14:paraId="29E6ECA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SSW</w:t>
            </w:r>
          </w:p>
        </w:tc>
        <w:tc>
          <w:tcPr>
            <w:tcW w:w="283" w:type="pct"/>
            <w:tcBorders>
              <w:top w:val="single" w:color="000000" w:sz="8" w:space="0"/>
              <w:left w:val="single" w:color="000000" w:sz="2" w:space="0"/>
              <w:bottom w:val="single" w:color="000000" w:sz="2" w:space="0"/>
              <w:right w:val="single" w:color="000000" w:sz="2" w:space="0"/>
            </w:tcBorders>
            <w:vAlign w:val="center"/>
          </w:tcPr>
          <w:p w14:paraId="1B118DF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SW</w:t>
            </w:r>
          </w:p>
        </w:tc>
        <w:tc>
          <w:tcPr>
            <w:tcW w:w="283" w:type="pct"/>
            <w:tcBorders>
              <w:top w:val="single" w:color="000000" w:sz="8" w:space="0"/>
              <w:left w:val="single" w:color="000000" w:sz="2" w:space="0"/>
              <w:bottom w:val="single" w:color="000000" w:sz="2" w:space="0"/>
              <w:right w:val="single" w:color="000000" w:sz="2" w:space="0"/>
            </w:tcBorders>
            <w:vAlign w:val="center"/>
          </w:tcPr>
          <w:p w14:paraId="0B8051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WSW</w:t>
            </w:r>
          </w:p>
        </w:tc>
        <w:tc>
          <w:tcPr>
            <w:tcW w:w="283" w:type="pct"/>
            <w:tcBorders>
              <w:top w:val="single" w:color="000000" w:sz="8" w:space="0"/>
              <w:left w:val="single" w:color="000000" w:sz="2" w:space="0"/>
              <w:bottom w:val="single" w:color="000000" w:sz="2" w:space="0"/>
              <w:right w:val="single" w:color="000000" w:sz="2" w:space="0"/>
            </w:tcBorders>
            <w:vAlign w:val="center"/>
          </w:tcPr>
          <w:p w14:paraId="54D62A2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W</w:t>
            </w:r>
          </w:p>
        </w:tc>
        <w:tc>
          <w:tcPr>
            <w:tcW w:w="295" w:type="pct"/>
            <w:tcBorders>
              <w:top w:val="single" w:color="000000" w:sz="8" w:space="0"/>
              <w:left w:val="single" w:color="000000" w:sz="2" w:space="0"/>
              <w:bottom w:val="single" w:color="000000" w:sz="2" w:space="0"/>
              <w:right w:val="single" w:color="000000" w:sz="2" w:space="0"/>
            </w:tcBorders>
            <w:vAlign w:val="center"/>
          </w:tcPr>
          <w:p w14:paraId="371C12C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WNW</w:t>
            </w:r>
          </w:p>
        </w:tc>
        <w:tc>
          <w:tcPr>
            <w:tcW w:w="272" w:type="pct"/>
            <w:tcBorders>
              <w:top w:val="single" w:color="000000" w:sz="8" w:space="0"/>
              <w:left w:val="single" w:color="000000" w:sz="2" w:space="0"/>
              <w:bottom w:val="single" w:color="000000" w:sz="2" w:space="0"/>
              <w:right w:val="single" w:color="000000" w:sz="2" w:space="0"/>
            </w:tcBorders>
            <w:vAlign w:val="center"/>
          </w:tcPr>
          <w:p w14:paraId="4B0A2D3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NW</w:t>
            </w:r>
          </w:p>
        </w:tc>
        <w:tc>
          <w:tcPr>
            <w:tcW w:w="272" w:type="pct"/>
            <w:tcBorders>
              <w:top w:val="single" w:color="000000" w:sz="8" w:space="0"/>
              <w:left w:val="single" w:color="000000" w:sz="2" w:space="0"/>
              <w:bottom w:val="single" w:color="000000" w:sz="2" w:space="0"/>
              <w:right w:val="single" w:color="000000" w:sz="2" w:space="0"/>
            </w:tcBorders>
            <w:vAlign w:val="center"/>
          </w:tcPr>
          <w:p w14:paraId="60769D8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NNW</w:t>
            </w:r>
          </w:p>
        </w:tc>
        <w:tc>
          <w:tcPr>
            <w:tcW w:w="283" w:type="pct"/>
            <w:tcBorders>
              <w:top w:val="single" w:color="000000" w:sz="8" w:space="0"/>
              <w:left w:val="single" w:color="000000" w:sz="2" w:space="0"/>
              <w:bottom w:val="single" w:color="000000" w:sz="2" w:space="0"/>
              <w:right w:val="single" w:color="000000" w:sz="8" w:space="0"/>
            </w:tcBorders>
            <w:vAlign w:val="center"/>
          </w:tcPr>
          <w:p w14:paraId="418552FA">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平均</w:t>
            </w:r>
          </w:p>
        </w:tc>
      </w:tr>
      <w:tr w14:paraId="2381B8D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00F7BD6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3B29FBE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21.12</w:t>
            </w:r>
          </w:p>
        </w:tc>
        <w:tc>
          <w:tcPr>
            <w:tcW w:w="271" w:type="pct"/>
            <w:tcBorders>
              <w:top w:val="single" w:color="000000" w:sz="2" w:space="0"/>
              <w:left w:val="single" w:color="000000" w:sz="2" w:space="0"/>
              <w:bottom w:val="single" w:color="000000" w:sz="2" w:space="0"/>
              <w:right w:val="single" w:color="000000" w:sz="2" w:space="0"/>
            </w:tcBorders>
            <w:vAlign w:val="center"/>
          </w:tcPr>
          <w:p w14:paraId="54B26EF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3.29</w:t>
            </w:r>
          </w:p>
        </w:tc>
        <w:tc>
          <w:tcPr>
            <w:tcW w:w="276" w:type="pct"/>
            <w:tcBorders>
              <w:top w:val="single" w:color="000000" w:sz="2" w:space="0"/>
              <w:left w:val="single" w:color="000000" w:sz="2" w:space="0"/>
              <w:bottom w:val="single" w:color="000000" w:sz="2" w:space="0"/>
              <w:right w:val="single" w:color="000000" w:sz="2" w:space="0"/>
            </w:tcBorders>
            <w:vAlign w:val="center"/>
          </w:tcPr>
          <w:p w14:paraId="5C57E40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3.46</w:t>
            </w:r>
          </w:p>
        </w:tc>
        <w:tc>
          <w:tcPr>
            <w:tcW w:w="283" w:type="pct"/>
            <w:tcBorders>
              <w:top w:val="single" w:color="000000" w:sz="2" w:space="0"/>
              <w:left w:val="single" w:color="000000" w:sz="2" w:space="0"/>
              <w:bottom w:val="single" w:color="000000" w:sz="2" w:space="0"/>
              <w:right w:val="single" w:color="000000" w:sz="2" w:space="0"/>
            </w:tcBorders>
            <w:vAlign w:val="center"/>
          </w:tcPr>
          <w:p w14:paraId="32D4BD4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7.95</w:t>
            </w:r>
          </w:p>
        </w:tc>
        <w:tc>
          <w:tcPr>
            <w:tcW w:w="272" w:type="pct"/>
            <w:tcBorders>
              <w:top w:val="single" w:color="000000" w:sz="2" w:space="0"/>
              <w:left w:val="single" w:color="000000" w:sz="2" w:space="0"/>
              <w:bottom w:val="single" w:color="000000" w:sz="2" w:space="0"/>
              <w:right w:val="single" w:color="000000" w:sz="2" w:space="0"/>
            </w:tcBorders>
            <w:vAlign w:val="center"/>
          </w:tcPr>
          <w:p w14:paraId="266D747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9.15</w:t>
            </w:r>
          </w:p>
        </w:tc>
        <w:tc>
          <w:tcPr>
            <w:tcW w:w="272" w:type="pct"/>
            <w:tcBorders>
              <w:top w:val="single" w:color="000000" w:sz="2" w:space="0"/>
              <w:left w:val="single" w:color="000000" w:sz="2" w:space="0"/>
              <w:bottom w:val="single" w:color="000000" w:sz="2" w:space="0"/>
              <w:right w:val="single" w:color="000000" w:sz="2" w:space="0"/>
            </w:tcBorders>
            <w:vAlign w:val="center"/>
          </w:tcPr>
          <w:p w14:paraId="50195A0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8.57</w:t>
            </w:r>
          </w:p>
        </w:tc>
        <w:tc>
          <w:tcPr>
            <w:tcW w:w="272" w:type="pct"/>
            <w:tcBorders>
              <w:top w:val="single" w:color="000000" w:sz="2" w:space="0"/>
              <w:left w:val="single" w:color="000000" w:sz="2" w:space="0"/>
              <w:bottom w:val="single" w:color="000000" w:sz="2" w:space="0"/>
              <w:right w:val="single" w:color="000000" w:sz="2" w:space="0"/>
            </w:tcBorders>
            <w:vAlign w:val="center"/>
          </w:tcPr>
          <w:p w14:paraId="77A0DC1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7.90</w:t>
            </w:r>
          </w:p>
        </w:tc>
        <w:tc>
          <w:tcPr>
            <w:tcW w:w="283" w:type="pct"/>
            <w:tcBorders>
              <w:top w:val="single" w:color="000000" w:sz="2" w:space="0"/>
              <w:left w:val="single" w:color="000000" w:sz="2" w:space="0"/>
              <w:bottom w:val="single" w:color="000000" w:sz="2" w:space="0"/>
              <w:right w:val="single" w:color="000000" w:sz="2" w:space="0"/>
            </w:tcBorders>
            <w:vAlign w:val="center"/>
          </w:tcPr>
          <w:p w14:paraId="71278A9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3.26</w:t>
            </w:r>
          </w:p>
        </w:tc>
        <w:tc>
          <w:tcPr>
            <w:tcW w:w="265" w:type="pct"/>
            <w:tcBorders>
              <w:top w:val="single" w:color="000000" w:sz="2" w:space="0"/>
              <w:left w:val="single" w:color="000000" w:sz="2" w:space="0"/>
              <w:bottom w:val="single" w:color="000000" w:sz="2" w:space="0"/>
              <w:right w:val="single" w:color="000000" w:sz="2" w:space="0"/>
            </w:tcBorders>
            <w:vAlign w:val="center"/>
          </w:tcPr>
          <w:p w14:paraId="14FC73A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2.82</w:t>
            </w:r>
          </w:p>
        </w:tc>
        <w:tc>
          <w:tcPr>
            <w:tcW w:w="301" w:type="pct"/>
            <w:tcBorders>
              <w:top w:val="single" w:color="000000" w:sz="2" w:space="0"/>
              <w:left w:val="single" w:color="000000" w:sz="2" w:space="0"/>
              <w:bottom w:val="single" w:color="000000" w:sz="2" w:space="0"/>
              <w:right w:val="single" w:color="000000" w:sz="2" w:space="0"/>
            </w:tcBorders>
            <w:vAlign w:val="center"/>
          </w:tcPr>
          <w:p w14:paraId="33ECF14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1.52</w:t>
            </w:r>
          </w:p>
        </w:tc>
        <w:tc>
          <w:tcPr>
            <w:tcW w:w="283" w:type="pct"/>
            <w:tcBorders>
              <w:top w:val="single" w:color="000000" w:sz="2" w:space="0"/>
              <w:left w:val="single" w:color="000000" w:sz="2" w:space="0"/>
              <w:bottom w:val="single" w:color="000000" w:sz="2" w:space="0"/>
              <w:right w:val="single" w:color="000000" w:sz="2" w:space="0"/>
            </w:tcBorders>
            <w:vAlign w:val="center"/>
          </w:tcPr>
          <w:p w14:paraId="23F1326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1.34</w:t>
            </w:r>
          </w:p>
        </w:tc>
        <w:tc>
          <w:tcPr>
            <w:tcW w:w="283" w:type="pct"/>
            <w:tcBorders>
              <w:top w:val="single" w:color="000000" w:sz="2" w:space="0"/>
              <w:left w:val="single" w:color="000000" w:sz="2" w:space="0"/>
              <w:bottom w:val="single" w:color="000000" w:sz="2" w:space="0"/>
              <w:right w:val="single" w:color="000000" w:sz="2" w:space="0"/>
            </w:tcBorders>
            <w:vAlign w:val="center"/>
          </w:tcPr>
          <w:p w14:paraId="772815D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2.35</w:t>
            </w:r>
          </w:p>
        </w:tc>
        <w:tc>
          <w:tcPr>
            <w:tcW w:w="283" w:type="pct"/>
            <w:tcBorders>
              <w:top w:val="single" w:color="000000" w:sz="2" w:space="0"/>
              <w:left w:val="single" w:color="000000" w:sz="2" w:space="0"/>
              <w:bottom w:val="single" w:color="000000" w:sz="2" w:space="0"/>
              <w:right w:val="single" w:color="000000" w:sz="2" w:space="0"/>
            </w:tcBorders>
            <w:vAlign w:val="center"/>
          </w:tcPr>
          <w:p w14:paraId="57DB240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6.58</w:t>
            </w:r>
          </w:p>
        </w:tc>
        <w:tc>
          <w:tcPr>
            <w:tcW w:w="295" w:type="pct"/>
            <w:tcBorders>
              <w:top w:val="single" w:color="000000" w:sz="2" w:space="0"/>
              <w:left w:val="single" w:color="000000" w:sz="2" w:space="0"/>
              <w:bottom w:val="single" w:color="000000" w:sz="2" w:space="0"/>
              <w:right w:val="single" w:color="000000" w:sz="2" w:space="0"/>
            </w:tcBorders>
            <w:vAlign w:val="center"/>
          </w:tcPr>
          <w:p w14:paraId="0D015C7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7.20</w:t>
            </w:r>
          </w:p>
        </w:tc>
        <w:tc>
          <w:tcPr>
            <w:tcW w:w="272" w:type="pct"/>
            <w:tcBorders>
              <w:top w:val="single" w:color="000000" w:sz="2" w:space="0"/>
              <w:left w:val="single" w:color="000000" w:sz="2" w:space="0"/>
              <w:bottom w:val="single" w:color="000000" w:sz="2" w:space="0"/>
              <w:right w:val="single" w:color="000000" w:sz="2" w:space="0"/>
            </w:tcBorders>
            <w:vAlign w:val="center"/>
          </w:tcPr>
          <w:p w14:paraId="0843E3E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5.86</w:t>
            </w:r>
          </w:p>
        </w:tc>
        <w:tc>
          <w:tcPr>
            <w:tcW w:w="272" w:type="pct"/>
            <w:tcBorders>
              <w:top w:val="single" w:color="000000" w:sz="2" w:space="0"/>
              <w:left w:val="single" w:color="000000" w:sz="2" w:space="0"/>
              <w:bottom w:val="single" w:color="000000" w:sz="2" w:space="0"/>
              <w:right w:val="single" w:color="000000" w:sz="2" w:space="0"/>
            </w:tcBorders>
            <w:vAlign w:val="center"/>
          </w:tcPr>
          <w:p w14:paraId="2F8A8C4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3.49</w:t>
            </w:r>
          </w:p>
        </w:tc>
        <w:tc>
          <w:tcPr>
            <w:tcW w:w="283" w:type="pct"/>
            <w:tcBorders>
              <w:top w:val="single" w:color="000000" w:sz="2" w:space="0"/>
              <w:left w:val="single" w:color="000000" w:sz="2" w:space="0"/>
              <w:bottom w:val="single" w:color="000000" w:sz="2" w:space="0"/>
              <w:right w:val="single" w:color="000000" w:sz="8" w:space="0"/>
            </w:tcBorders>
            <w:vAlign w:val="center"/>
          </w:tcPr>
          <w:p w14:paraId="7135441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5.99</w:t>
            </w:r>
          </w:p>
        </w:tc>
      </w:tr>
      <w:tr w14:paraId="4238B1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429DCB0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3A82B61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16.23</w:t>
            </w:r>
          </w:p>
        </w:tc>
        <w:tc>
          <w:tcPr>
            <w:tcW w:w="271" w:type="pct"/>
            <w:tcBorders>
              <w:top w:val="single" w:color="000000" w:sz="2" w:space="0"/>
              <w:left w:val="single" w:color="000000" w:sz="2" w:space="0"/>
              <w:bottom w:val="single" w:color="000000" w:sz="2" w:space="0"/>
              <w:right w:val="single" w:color="000000" w:sz="2" w:space="0"/>
            </w:tcBorders>
            <w:vAlign w:val="center"/>
          </w:tcPr>
          <w:p w14:paraId="4390756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2.87</w:t>
            </w:r>
          </w:p>
        </w:tc>
        <w:tc>
          <w:tcPr>
            <w:tcW w:w="276" w:type="pct"/>
            <w:tcBorders>
              <w:top w:val="single" w:color="000000" w:sz="2" w:space="0"/>
              <w:left w:val="single" w:color="000000" w:sz="2" w:space="0"/>
              <w:bottom w:val="single" w:color="000000" w:sz="2" w:space="0"/>
              <w:right w:val="single" w:color="000000" w:sz="2" w:space="0"/>
            </w:tcBorders>
            <w:vAlign w:val="center"/>
          </w:tcPr>
          <w:p w14:paraId="17F5FE7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3.96</w:t>
            </w:r>
          </w:p>
        </w:tc>
        <w:tc>
          <w:tcPr>
            <w:tcW w:w="283" w:type="pct"/>
            <w:tcBorders>
              <w:top w:val="single" w:color="000000" w:sz="2" w:space="0"/>
              <w:left w:val="single" w:color="000000" w:sz="2" w:space="0"/>
              <w:bottom w:val="single" w:color="000000" w:sz="2" w:space="0"/>
              <w:right w:val="single" w:color="000000" w:sz="2" w:space="0"/>
            </w:tcBorders>
            <w:vAlign w:val="center"/>
          </w:tcPr>
          <w:p w14:paraId="532EE3B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6.21</w:t>
            </w:r>
          </w:p>
        </w:tc>
        <w:tc>
          <w:tcPr>
            <w:tcW w:w="272" w:type="pct"/>
            <w:tcBorders>
              <w:top w:val="single" w:color="000000" w:sz="2" w:space="0"/>
              <w:left w:val="single" w:color="000000" w:sz="2" w:space="0"/>
              <w:bottom w:val="single" w:color="000000" w:sz="2" w:space="0"/>
              <w:right w:val="single" w:color="000000" w:sz="2" w:space="0"/>
            </w:tcBorders>
            <w:vAlign w:val="center"/>
          </w:tcPr>
          <w:p w14:paraId="48E35C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8.88</w:t>
            </w:r>
          </w:p>
        </w:tc>
        <w:tc>
          <w:tcPr>
            <w:tcW w:w="272" w:type="pct"/>
            <w:tcBorders>
              <w:top w:val="single" w:color="000000" w:sz="2" w:space="0"/>
              <w:left w:val="single" w:color="000000" w:sz="2" w:space="0"/>
              <w:bottom w:val="single" w:color="000000" w:sz="2" w:space="0"/>
              <w:right w:val="single" w:color="000000" w:sz="2" w:space="0"/>
            </w:tcBorders>
            <w:vAlign w:val="center"/>
          </w:tcPr>
          <w:p w14:paraId="557350D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5.47</w:t>
            </w:r>
          </w:p>
        </w:tc>
        <w:tc>
          <w:tcPr>
            <w:tcW w:w="272" w:type="pct"/>
            <w:tcBorders>
              <w:top w:val="single" w:color="000000" w:sz="2" w:space="0"/>
              <w:left w:val="single" w:color="000000" w:sz="2" w:space="0"/>
              <w:bottom w:val="single" w:color="000000" w:sz="2" w:space="0"/>
              <w:right w:val="single" w:color="000000" w:sz="2" w:space="0"/>
            </w:tcBorders>
            <w:vAlign w:val="center"/>
          </w:tcPr>
          <w:p w14:paraId="43F2314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6.44</w:t>
            </w:r>
          </w:p>
        </w:tc>
        <w:tc>
          <w:tcPr>
            <w:tcW w:w="283" w:type="pct"/>
            <w:tcBorders>
              <w:top w:val="single" w:color="000000" w:sz="2" w:space="0"/>
              <w:left w:val="single" w:color="000000" w:sz="2" w:space="0"/>
              <w:bottom w:val="single" w:color="000000" w:sz="2" w:space="0"/>
              <w:right w:val="single" w:color="000000" w:sz="2" w:space="0"/>
            </w:tcBorders>
            <w:vAlign w:val="center"/>
          </w:tcPr>
          <w:p w14:paraId="3D589E4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5.74</w:t>
            </w:r>
          </w:p>
        </w:tc>
        <w:tc>
          <w:tcPr>
            <w:tcW w:w="265" w:type="pct"/>
            <w:tcBorders>
              <w:top w:val="single" w:color="000000" w:sz="2" w:space="0"/>
              <w:left w:val="single" w:color="000000" w:sz="2" w:space="0"/>
              <w:bottom w:val="single" w:color="000000" w:sz="2" w:space="0"/>
              <w:right w:val="single" w:color="000000" w:sz="2" w:space="0"/>
            </w:tcBorders>
            <w:vAlign w:val="center"/>
          </w:tcPr>
          <w:p w14:paraId="0BBDA3F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2.26</w:t>
            </w:r>
          </w:p>
        </w:tc>
        <w:tc>
          <w:tcPr>
            <w:tcW w:w="301" w:type="pct"/>
            <w:tcBorders>
              <w:top w:val="single" w:color="000000" w:sz="2" w:space="0"/>
              <w:left w:val="single" w:color="000000" w:sz="2" w:space="0"/>
              <w:bottom w:val="single" w:color="000000" w:sz="2" w:space="0"/>
              <w:right w:val="single" w:color="000000" w:sz="2" w:space="0"/>
            </w:tcBorders>
            <w:vAlign w:val="center"/>
          </w:tcPr>
          <w:p w14:paraId="0548638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0.54</w:t>
            </w:r>
          </w:p>
        </w:tc>
        <w:tc>
          <w:tcPr>
            <w:tcW w:w="283" w:type="pct"/>
            <w:tcBorders>
              <w:top w:val="single" w:color="000000" w:sz="2" w:space="0"/>
              <w:left w:val="single" w:color="000000" w:sz="2" w:space="0"/>
              <w:bottom w:val="single" w:color="000000" w:sz="2" w:space="0"/>
              <w:right w:val="single" w:color="000000" w:sz="2" w:space="0"/>
            </w:tcBorders>
            <w:vAlign w:val="center"/>
          </w:tcPr>
          <w:p w14:paraId="451FAE6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1.17</w:t>
            </w:r>
          </w:p>
        </w:tc>
        <w:tc>
          <w:tcPr>
            <w:tcW w:w="283" w:type="pct"/>
            <w:tcBorders>
              <w:top w:val="single" w:color="000000" w:sz="2" w:space="0"/>
              <w:left w:val="single" w:color="000000" w:sz="2" w:space="0"/>
              <w:bottom w:val="single" w:color="000000" w:sz="2" w:space="0"/>
              <w:right w:val="single" w:color="000000" w:sz="2" w:space="0"/>
            </w:tcBorders>
            <w:vAlign w:val="center"/>
          </w:tcPr>
          <w:p w14:paraId="6B72764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2.46</w:t>
            </w:r>
          </w:p>
        </w:tc>
        <w:tc>
          <w:tcPr>
            <w:tcW w:w="283" w:type="pct"/>
            <w:tcBorders>
              <w:top w:val="single" w:color="000000" w:sz="2" w:space="0"/>
              <w:left w:val="single" w:color="000000" w:sz="2" w:space="0"/>
              <w:bottom w:val="single" w:color="000000" w:sz="2" w:space="0"/>
              <w:right w:val="single" w:color="000000" w:sz="2" w:space="0"/>
            </w:tcBorders>
            <w:vAlign w:val="center"/>
          </w:tcPr>
          <w:p w14:paraId="212FE82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9.13</w:t>
            </w:r>
          </w:p>
        </w:tc>
        <w:tc>
          <w:tcPr>
            <w:tcW w:w="295" w:type="pct"/>
            <w:tcBorders>
              <w:top w:val="single" w:color="000000" w:sz="2" w:space="0"/>
              <w:left w:val="single" w:color="000000" w:sz="2" w:space="0"/>
              <w:bottom w:val="single" w:color="000000" w:sz="2" w:space="0"/>
              <w:right w:val="single" w:color="000000" w:sz="2" w:space="0"/>
            </w:tcBorders>
            <w:vAlign w:val="center"/>
          </w:tcPr>
          <w:p w14:paraId="45EA8EF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6.09</w:t>
            </w:r>
          </w:p>
        </w:tc>
        <w:tc>
          <w:tcPr>
            <w:tcW w:w="272" w:type="pct"/>
            <w:tcBorders>
              <w:top w:val="single" w:color="000000" w:sz="2" w:space="0"/>
              <w:left w:val="single" w:color="000000" w:sz="2" w:space="0"/>
              <w:bottom w:val="single" w:color="000000" w:sz="2" w:space="0"/>
              <w:right w:val="single" w:color="000000" w:sz="2" w:space="0"/>
            </w:tcBorders>
            <w:vAlign w:val="center"/>
          </w:tcPr>
          <w:p w14:paraId="527B6F4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5.07</w:t>
            </w:r>
          </w:p>
        </w:tc>
        <w:tc>
          <w:tcPr>
            <w:tcW w:w="272" w:type="pct"/>
            <w:tcBorders>
              <w:top w:val="single" w:color="000000" w:sz="2" w:space="0"/>
              <w:left w:val="single" w:color="000000" w:sz="2" w:space="0"/>
              <w:bottom w:val="single" w:color="000000" w:sz="2" w:space="0"/>
              <w:right w:val="single" w:color="000000" w:sz="2" w:space="0"/>
            </w:tcBorders>
            <w:vAlign w:val="center"/>
          </w:tcPr>
          <w:p w14:paraId="6469A11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1.89</w:t>
            </w:r>
          </w:p>
        </w:tc>
        <w:tc>
          <w:tcPr>
            <w:tcW w:w="283" w:type="pct"/>
            <w:tcBorders>
              <w:top w:val="single" w:color="000000" w:sz="2" w:space="0"/>
              <w:left w:val="single" w:color="000000" w:sz="2" w:space="0"/>
              <w:bottom w:val="single" w:color="000000" w:sz="2" w:space="0"/>
              <w:right w:val="single" w:color="000000" w:sz="8" w:space="0"/>
            </w:tcBorders>
            <w:vAlign w:val="center"/>
          </w:tcPr>
          <w:p w14:paraId="435580B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5.28</w:t>
            </w:r>
          </w:p>
        </w:tc>
      </w:tr>
      <w:tr w14:paraId="073481C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140D72D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62FC458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11.08</w:t>
            </w:r>
          </w:p>
        </w:tc>
        <w:tc>
          <w:tcPr>
            <w:tcW w:w="271" w:type="pct"/>
            <w:tcBorders>
              <w:top w:val="single" w:color="000000" w:sz="2" w:space="0"/>
              <w:left w:val="single" w:color="000000" w:sz="2" w:space="0"/>
              <w:bottom w:val="single" w:color="000000" w:sz="2" w:space="0"/>
              <w:right w:val="single" w:color="000000" w:sz="2" w:space="0"/>
            </w:tcBorders>
            <w:vAlign w:val="center"/>
          </w:tcPr>
          <w:p w14:paraId="030328B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2.33</w:t>
            </w:r>
          </w:p>
        </w:tc>
        <w:tc>
          <w:tcPr>
            <w:tcW w:w="276" w:type="pct"/>
            <w:tcBorders>
              <w:top w:val="single" w:color="000000" w:sz="2" w:space="0"/>
              <w:left w:val="single" w:color="000000" w:sz="2" w:space="0"/>
              <w:bottom w:val="single" w:color="000000" w:sz="2" w:space="0"/>
              <w:right w:val="single" w:color="000000" w:sz="2" w:space="0"/>
            </w:tcBorders>
            <w:vAlign w:val="center"/>
          </w:tcPr>
          <w:p w14:paraId="2B3D35C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2.09</w:t>
            </w:r>
          </w:p>
        </w:tc>
        <w:tc>
          <w:tcPr>
            <w:tcW w:w="283" w:type="pct"/>
            <w:tcBorders>
              <w:top w:val="single" w:color="000000" w:sz="2" w:space="0"/>
              <w:left w:val="single" w:color="000000" w:sz="2" w:space="0"/>
              <w:bottom w:val="single" w:color="000000" w:sz="2" w:space="0"/>
              <w:right w:val="single" w:color="000000" w:sz="2" w:space="0"/>
            </w:tcBorders>
            <w:vAlign w:val="center"/>
          </w:tcPr>
          <w:p w14:paraId="664478C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3.43</w:t>
            </w:r>
          </w:p>
        </w:tc>
        <w:tc>
          <w:tcPr>
            <w:tcW w:w="272" w:type="pct"/>
            <w:tcBorders>
              <w:top w:val="single" w:color="000000" w:sz="2" w:space="0"/>
              <w:left w:val="single" w:color="000000" w:sz="2" w:space="0"/>
              <w:bottom w:val="single" w:color="000000" w:sz="2" w:space="0"/>
              <w:right w:val="single" w:color="000000" w:sz="2" w:space="0"/>
            </w:tcBorders>
            <w:vAlign w:val="center"/>
          </w:tcPr>
          <w:p w14:paraId="6BDA02D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6.29</w:t>
            </w:r>
          </w:p>
        </w:tc>
        <w:tc>
          <w:tcPr>
            <w:tcW w:w="272" w:type="pct"/>
            <w:tcBorders>
              <w:top w:val="single" w:color="000000" w:sz="2" w:space="0"/>
              <w:left w:val="single" w:color="000000" w:sz="2" w:space="0"/>
              <w:bottom w:val="single" w:color="000000" w:sz="2" w:space="0"/>
              <w:right w:val="single" w:color="000000" w:sz="2" w:space="0"/>
            </w:tcBorders>
            <w:vAlign w:val="center"/>
          </w:tcPr>
          <w:p w14:paraId="25ACEEA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5.52</w:t>
            </w:r>
          </w:p>
        </w:tc>
        <w:tc>
          <w:tcPr>
            <w:tcW w:w="272" w:type="pct"/>
            <w:tcBorders>
              <w:top w:val="single" w:color="000000" w:sz="2" w:space="0"/>
              <w:left w:val="single" w:color="000000" w:sz="2" w:space="0"/>
              <w:bottom w:val="single" w:color="000000" w:sz="2" w:space="0"/>
              <w:right w:val="single" w:color="000000" w:sz="2" w:space="0"/>
            </w:tcBorders>
            <w:vAlign w:val="center"/>
          </w:tcPr>
          <w:p w14:paraId="764CDEE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3.97</w:t>
            </w:r>
          </w:p>
        </w:tc>
        <w:tc>
          <w:tcPr>
            <w:tcW w:w="283" w:type="pct"/>
            <w:tcBorders>
              <w:top w:val="single" w:color="000000" w:sz="2" w:space="0"/>
              <w:left w:val="single" w:color="000000" w:sz="2" w:space="0"/>
              <w:bottom w:val="single" w:color="000000" w:sz="2" w:space="0"/>
              <w:right w:val="single" w:color="000000" w:sz="2" w:space="0"/>
            </w:tcBorders>
            <w:vAlign w:val="center"/>
          </w:tcPr>
          <w:p w14:paraId="7E0F1F8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2.77</w:t>
            </w:r>
          </w:p>
        </w:tc>
        <w:tc>
          <w:tcPr>
            <w:tcW w:w="265" w:type="pct"/>
            <w:tcBorders>
              <w:top w:val="single" w:color="000000" w:sz="2" w:space="0"/>
              <w:left w:val="single" w:color="000000" w:sz="2" w:space="0"/>
              <w:bottom w:val="single" w:color="000000" w:sz="2" w:space="0"/>
              <w:right w:val="single" w:color="000000" w:sz="2" w:space="0"/>
            </w:tcBorders>
            <w:vAlign w:val="center"/>
          </w:tcPr>
          <w:p w14:paraId="2539441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5.83</w:t>
            </w:r>
          </w:p>
        </w:tc>
        <w:tc>
          <w:tcPr>
            <w:tcW w:w="301" w:type="pct"/>
            <w:tcBorders>
              <w:top w:val="single" w:color="000000" w:sz="2" w:space="0"/>
              <w:left w:val="single" w:color="000000" w:sz="2" w:space="0"/>
              <w:bottom w:val="single" w:color="000000" w:sz="2" w:space="0"/>
              <w:right w:val="single" w:color="000000" w:sz="2" w:space="0"/>
            </w:tcBorders>
            <w:vAlign w:val="center"/>
          </w:tcPr>
          <w:p w14:paraId="20F66C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4.48</w:t>
            </w:r>
          </w:p>
        </w:tc>
        <w:tc>
          <w:tcPr>
            <w:tcW w:w="283" w:type="pct"/>
            <w:tcBorders>
              <w:top w:val="single" w:color="000000" w:sz="2" w:space="0"/>
              <w:left w:val="single" w:color="000000" w:sz="2" w:space="0"/>
              <w:bottom w:val="single" w:color="000000" w:sz="2" w:space="0"/>
              <w:right w:val="single" w:color="000000" w:sz="2" w:space="0"/>
            </w:tcBorders>
            <w:vAlign w:val="center"/>
          </w:tcPr>
          <w:p w14:paraId="28C0140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3.64</w:t>
            </w:r>
          </w:p>
        </w:tc>
        <w:tc>
          <w:tcPr>
            <w:tcW w:w="283" w:type="pct"/>
            <w:tcBorders>
              <w:top w:val="single" w:color="000000" w:sz="2" w:space="0"/>
              <w:left w:val="single" w:color="000000" w:sz="2" w:space="0"/>
              <w:bottom w:val="single" w:color="000000" w:sz="2" w:space="0"/>
              <w:right w:val="single" w:color="000000" w:sz="2" w:space="0"/>
            </w:tcBorders>
            <w:vAlign w:val="center"/>
          </w:tcPr>
          <w:p w14:paraId="6BCE375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3.87</w:t>
            </w:r>
          </w:p>
        </w:tc>
        <w:tc>
          <w:tcPr>
            <w:tcW w:w="283" w:type="pct"/>
            <w:tcBorders>
              <w:top w:val="single" w:color="000000" w:sz="2" w:space="0"/>
              <w:left w:val="single" w:color="000000" w:sz="2" w:space="0"/>
              <w:bottom w:val="single" w:color="000000" w:sz="2" w:space="0"/>
              <w:right w:val="single" w:color="000000" w:sz="2" w:space="0"/>
            </w:tcBorders>
            <w:vAlign w:val="center"/>
          </w:tcPr>
          <w:p w14:paraId="612F32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6.66</w:t>
            </w:r>
          </w:p>
        </w:tc>
        <w:tc>
          <w:tcPr>
            <w:tcW w:w="295" w:type="pct"/>
            <w:tcBorders>
              <w:top w:val="single" w:color="000000" w:sz="2" w:space="0"/>
              <w:left w:val="single" w:color="000000" w:sz="2" w:space="0"/>
              <w:bottom w:val="single" w:color="000000" w:sz="2" w:space="0"/>
              <w:right w:val="single" w:color="000000" w:sz="2" w:space="0"/>
            </w:tcBorders>
            <w:vAlign w:val="center"/>
          </w:tcPr>
          <w:p w14:paraId="6AC4214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4.33</w:t>
            </w:r>
          </w:p>
        </w:tc>
        <w:tc>
          <w:tcPr>
            <w:tcW w:w="272" w:type="pct"/>
            <w:tcBorders>
              <w:top w:val="single" w:color="000000" w:sz="2" w:space="0"/>
              <w:left w:val="single" w:color="000000" w:sz="2" w:space="0"/>
              <w:bottom w:val="single" w:color="000000" w:sz="2" w:space="0"/>
              <w:right w:val="single" w:color="000000" w:sz="2" w:space="0"/>
            </w:tcBorders>
            <w:vAlign w:val="center"/>
          </w:tcPr>
          <w:p w14:paraId="013E577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2.49</w:t>
            </w:r>
          </w:p>
        </w:tc>
        <w:tc>
          <w:tcPr>
            <w:tcW w:w="272" w:type="pct"/>
            <w:tcBorders>
              <w:top w:val="single" w:color="000000" w:sz="2" w:space="0"/>
              <w:left w:val="single" w:color="000000" w:sz="2" w:space="0"/>
              <w:bottom w:val="single" w:color="000000" w:sz="2" w:space="0"/>
              <w:right w:val="single" w:color="000000" w:sz="2" w:space="0"/>
            </w:tcBorders>
            <w:vAlign w:val="center"/>
          </w:tcPr>
          <w:p w14:paraId="4FAD8D6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2.71</w:t>
            </w:r>
          </w:p>
        </w:tc>
        <w:tc>
          <w:tcPr>
            <w:tcW w:w="283" w:type="pct"/>
            <w:tcBorders>
              <w:top w:val="single" w:color="000000" w:sz="2" w:space="0"/>
              <w:left w:val="single" w:color="000000" w:sz="2" w:space="0"/>
              <w:bottom w:val="single" w:color="000000" w:sz="2" w:space="0"/>
              <w:right w:val="single" w:color="000000" w:sz="8" w:space="0"/>
            </w:tcBorders>
            <w:vAlign w:val="center"/>
          </w:tcPr>
          <w:p w14:paraId="50166BD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4.47</w:t>
            </w:r>
          </w:p>
        </w:tc>
      </w:tr>
      <w:tr w14:paraId="4AD39F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0463AB9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7EBAF38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5.85</w:t>
            </w:r>
          </w:p>
        </w:tc>
        <w:tc>
          <w:tcPr>
            <w:tcW w:w="271" w:type="pct"/>
            <w:tcBorders>
              <w:top w:val="single" w:color="000000" w:sz="2" w:space="0"/>
              <w:left w:val="single" w:color="000000" w:sz="2" w:space="0"/>
              <w:bottom w:val="single" w:color="000000" w:sz="2" w:space="0"/>
              <w:right w:val="single" w:color="000000" w:sz="2" w:space="0"/>
            </w:tcBorders>
            <w:vAlign w:val="center"/>
          </w:tcPr>
          <w:p w14:paraId="651D984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3.12</w:t>
            </w:r>
          </w:p>
        </w:tc>
        <w:tc>
          <w:tcPr>
            <w:tcW w:w="276" w:type="pct"/>
            <w:tcBorders>
              <w:top w:val="single" w:color="000000" w:sz="2" w:space="0"/>
              <w:left w:val="single" w:color="000000" w:sz="2" w:space="0"/>
              <w:bottom w:val="single" w:color="000000" w:sz="2" w:space="0"/>
              <w:right w:val="single" w:color="000000" w:sz="2" w:space="0"/>
            </w:tcBorders>
            <w:vAlign w:val="center"/>
          </w:tcPr>
          <w:p w14:paraId="3B67969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2.95</w:t>
            </w:r>
          </w:p>
        </w:tc>
        <w:tc>
          <w:tcPr>
            <w:tcW w:w="283" w:type="pct"/>
            <w:tcBorders>
              <w:top w:val="single" w:color="000000" w:sz="2" w:space="0"/>
              <w:left w:val="single" w:color="000000" w:sz="2" w:space="0"/>
              <w:bottom w:val="single" w:color="000000" w:sz="2" w:space="0"/>
              <w:right w:val="single" w:color="000000" w:sz="2" w:space="0"/>
            </w:tcBorders>
            <w:vAlign w:val="center"/>
          </w:tcPr>
          <w:p w14:paraId="1009CF1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5.07</w:t>
            </w:r>
          </w:p>
        </w:tc>
        <w:tc>
          <w:tcPr>
            <w:tcW w:w="272" w:type="pct"/>
            <w:tcBorders>
              <w:top w:val="single" w:color="000000" w:sz="2" w:space="0"/>
              <w:left w:val="single" w:color="000000" w:sz="2" w:space="0"/>
              <w:bottom w:val="single" w:color="000000" w:sz="2" w:space="0"/>
              <w:right w:val="single" w:color="000000" w:sz="2" w:space="0"/>
            </w:tcBorders>
            <w:vAlign w:val="center"/>
          </w:tcPr>
          <w:p w14:paraId="6359845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4.49</w:t>
            </w:r>
          </w:p>
        </w:tc>
        <w:tc>
          <w:tcPr>
            <w:tcW w:w="272" w:type="pct"/>
            <w:tcBorders>
              <w:top w:val="single" w:color="000000" w:sz="2" w:space="0"/>
              <w:left w:val="single" w:color="000000" w:sz="2" w:space="0"/>
              <w:bottom w:val="single" w:color="000000" w:sz="2" w:space="0"/>
              <w:right w:val="single" w:color="000000" w:sz="2" w:space="0"/>
            </w:tcBorders>
            <w:vAlign w:val="center"/>
          </w:tcPr>
          <w:p w14:paraId="7C36A3D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2.86</w:t>
            </w:r>
          </w:p>
        </w:tc>
        <w:tc>
          <w:tcPr>
            <w:tcW w:w="272" w:type="pct"/>
            <w:tcBorders>
              <w:top w:val="single" w:color="000000" w:sz="2" w:space="0"/>
              <w:left w:val="single" w:color="000000" w:sz="2" w:space="0"/>
              <w:bottom w:val="single" w:color="000000" w:sz="2" w:space="0"/>
              <w:right w:val="single" w:color="000000" w:sz="2" w:space="0"/>
            </w:tcBorders>
            <w:vAlign w:val="center"/>
          </w:tcPr>
          <w:p w14:paraId="57377B3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2.16</w:t>
            </w:r>
          </w:p>
        </w:tc>
        <w:tc>
          <w:tcPr>
            <w:tcW w:w="283" w:type="pct"/>
            <w:tcBorders>
              <w:top w:val="single" w:color="000000" w:sz="2" w:space="0"/>
              <w:left w:val="single" w:color="000000" w:sz="2" w:space="0"/>
              <w:bottom w:val="single" w:color="000000" w:sz="2" w:space="0"/>
              <w:right w:val="single" w:color="000000" w:sz="2" w:space="0"/>
            </w:tcBorders>
            <w:vAlign w:val="center"/>
          </w:tcPr>
          <w:p w14:paraId="067DE0C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3.56</w:t>
            </w:r>
          </w:p>
        </w:tc>
        <w:tc>
          <w:tcPr>
            <w:tcW w:w="265" w:type="pct"/>
            <w:tcBorders>
              <w:top w:val="single" w:color="000000" w:sz="2" w:space="0"/>
              <w:left w:val="single" w:color="000000" w:sz="2" w:space="0"/>
              <w:bottom w:val="single" w:color="000000" w:sz="2" w:space="0"/>
              <w:right w:val="single" w:color="000000" w:sz="2" w:space="0"/>
            </w:tcBorders>
            <w:vAlign w:val="center"/>
          </w:tcPr>
          <w:p w14:paraId="262584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8.43</w:t>
            </w:r>
          </w:p>
        </w:tc>
        <w:tc>
          <w:tcPr>
            <w:tcW w:w="301" w:type="pct"/>
            <w:tcBorders>
              <w:top w:val="single" w:color="000000" w:sz="2" w:space="0"/>
              <w:left w:val="single" w:color="000000" w:sz="2" w:space="0"/>
              <w:bottom w:val="single" w:color="000000" w:sz="2" w:space="0"/>
              <w:right w:val="single" w:color="000000" w:sz="2" w:space="0"/>
            </w:tcBorders>
            <w:vAlign w:val="center"/>
          </w:tcPr>
          <w:p w14:paraId="086BD56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6.89</w:t>
            </w:r>
          </w:p>
        </w:tc>
        <w:tc>
          <w:tcPr>
            <w:tcW w:w="283" w:type="pct"/>
            <w:tcBorders>
              <w:top w:val="single" w:color="000000" w:sz="2" w:space="0"/>
              <w:left w:val="single" w:color="000000" w:sz="2" w:space="0"/>
              <w:bottom w:val="single" w:color="000000" w:sz="2" w:space="0"/>
              <w:right w:val="single" w:color="000000" w:sz="2" w:space="0"/>
            </w:tcBorders>
            <w:vAlign w:val="center"/>
          </w:tcPr>
          <w:p w14:paraId="2BE75F3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5.01</w:t>
            </w:r>
          </w:p>
        </w:tc>
        <w:tc>
          <w:tcPr>
            <w:tcW w:w="283" w:type="pct"/>
            <w:tcBorders>
              <w:top w:val="single" w:color="000000" w:sz="2" w:space="0"/>
              <w:left w:val="single" w:color="000000" w:sz="2" w:space="0"/>
              <w:bottom w:val="single" w:color="000000" w:sz="2" w:space="0"/>
              <w:right w:val="single" w:color="000000" w:sz="2" w:space="0"/>
            </w:tcBorders>
            <w:vAlign w:val="center"/>
          </w:tcPr>
          <w:p w14:paraId="663C5F5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2.53</w:t>
            </w:r>
          </w:p>
        </w:tc>
        <w:tc>
          <w:tcPr>
            <w:tcW w:w="283" w:type="pct"/>
            <w:tcBorders>
              <w:top w:val="single" w:color="000000" w:sz="2" w:space="0"/>
              <w:left w:val="single" w:color="000000" w:sz="2" w:space="0"/>
              <w:bottom w:val="single" w:color="000000" w:sz="2" w:space="0"/>
              <w:right w:val="single" w:color="000000" w:sz="2" w:space="0"/>
            </w:tcBorders>
            <w:vAlign w:val="center"/>
          </w:tcPr>
          <w:p w14:paraId="3521E2A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3.01</w:t>
            </w:r>
          </w:p>
        </w:tc>
        <w:tc>
          <w:tcPr>
            <w:tcW w:w="295" w:type="pct"/>
            <w:tcBorders>
              <w:top w:val="single" w:color="000000" w:sz="2" w:space="0"/>
              <w:left w:val="single" w:color="000000" w:sz="2" w:space="0"/>
              <w:bottom w:val="single" w:color="000000" w:sz="2" w:space="0"/>
              <w:right w:val="single" w:color="000000" w:sz="2" w:space="0"/>
            </w:tcBorders>
            <w:vAlign w:val="center"/>
          </w:tcPr>
          <w:p w14:paraId="7000B89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2.86</w:t>
            </w:r>
          </w:p>
        </w:tc>
        <w:tc>
          <w:tcPr>
            <w:tcW w:w="272" w:type="pct"/>
            <w:tcBorders>
              <w:top w:val="single" w:color="000000" w:sz="2" w:space="0"/>
              <w:left w:val="single" w:color="000000" w:sz="2" w:space="0"/>
              <w:bottom w:val="single" w:color="000000" w:sz="2" w:space="0"/>
              <w:right w:val="single" w:color="000000" w:sz="2" w:space="0"/>
            </w:tcBorders>
            <w:vAlign w:val="center"/>
          </w:tcPr>
          <w:p w14:paraId="66B590B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1.57</w:t>
            </w:r>
          </w:p>
        </w:tc>
        <w:tc>
          <w:tcPr>
            <w:tcW w:w="272" w:type="pct"/>
            <w:tcBorders>
              <w:top w:val="single" w:color="000000" w:sz="2" w:space="0"/>
              <w:left w:val="single" w:color="000000" w:sz="2" w:space="0"/>
              <w:bottom w:val="single" w:color="000000" w:sz="2" w:space="0"/>
              <w:right w:val="single" w:color="000000" w:sz="2" w:space="0"/>
            </w:tcBorders>
            <w:vAlign w:val="center"/>
          </w:tcPr>
          <w:p w14:paraId="5E7D374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2.09</w:t>
            </w:r>
          </w:p>
        </w:tc>
        <w:tc>
          <w:tcPr>
            <w:tcW w:w="283" w:type="pct"/>
            <w:tcBorders>
              <w:top w:val="single" w:color="000000" w:sz="2" w:space="0"/>
              <w:left w:val="single" w:color="000000" w:sz="2" w:space="0"/>
              <w:bottom w:val="single" w:color="000000" w:sz="2" w:space="0"/>
              <w:right w:val="single" w:color="000000" w:sz="8" w:space="0"/>
            </w:tcBorders>
            <w:vAlign w:val="center"/>
          </w:tcPr>
          <w:p w14:paraId="04BFBD7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3.90</w:t>
            </w:r>
          </w:p>
        </w:tc>
      </w:tr>
      <w:tr w14:paraId="1405F70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33A9FA1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1AEC45C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6.45</w:t>
            </w:r>
          </w:p>
        </w:tc>
        <w:tc>
          <w:tcPr>
            <w:tcW w:w="271" w:type="pct"/>
            <w:tcBorders>
              <w:top w:val="single" w:color="000000" w:sz="2" w:space="0"/>
              <w:left w:val="single" w:color="000000" w:sz="2" w:space="0"/>
              <w:bottom w:val="single" w:color="000000" w:sz="2" w:space="0"/>
              <w:right w:val="single" w:color="000000" w:sz="2" w:space="0"/>
            </w:tcBorders>
            <w:vAlign w:val="center"/>
          </w:tcPr>
          <w:p w14:paraId="753CF18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2.85</w:t>
            </w:r>
          </w:p>
        </w:tc>
        <w:tc>
          <w:tcPr>
            <w:tcW w:w="276" w:type="pct"/>
            <w:tcBorders>
              <w:top w:val="single" w:color="000000" w:sz="2" w:space="0"/>
              <w:left w:val="single" w:color="000000" w:sz="2" w:space="0"/>
              <w:bottom w:val="single" w:color="000000" w:sz="2" w:space="0"/>
              <w:right w:val="single" w:color="000000" w:sz="2" w:space="0"/>
            </w:tcBorders>
            <w:vAlign w:val="center"/>
          </w:tcPr>
          <w:p w14:paraId="3E0B926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2.76</w:t>
            </w:r>
          </w:p>
        </w:tc>
        <w:tc>
          <w:tcPr>
            <w:tcW w:w="283" w:type="pct"/>
            <w:tcBorders>
              <w:top w:val="single" w:color="000000" w:sz="2" w:space="0"/>
              <w:left w:val="single" w:color="000000" w:sz="2" w:space="0"/>
              <w:bottom w:val="single" w:color="000000" w:sz="2" w:space="0"/>
              <w:right w:val="single" w:color="000000" w:sz="2" w:space="0"/>
            </w:tcBorders>
            <w:vAlign w:val="center"/>
          </w:tcPr>
          <w:p w14:paraId="5CFC4DB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4.44</w:t>
            </w:r>
          </w:p>
        </w:tc>
        <w:tc>
          <w:tcPr>
            <w:tcW w:w="272" w:type="pct"/>
            <w:tcBorders>
              <w:top w:val="single" w:color="000000" w:sz="2" w:space="0"/>
              <w:left w:val="single" w:color="000000" w:sz="2" w:space="0"/>
              <w:bottom w:val="single" w:color="000000" w:sz="2" w:space="0"/>
              <w:right w:val="single" w:color="000000" w:sz="2" w:space="0"/>
            </w:tcBorders>
            <w:vAlign w:val="center"/>
          </w:tcPr>
          <w:p w14:paraId="563E263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4.66</w:t>
            </w:r>
          </w:p>
        </w:tc>
        <w:tc>
          <w:tcPr>
            <w:tcW w:w="272" w:type="pct"/>
            <w:tcBorders>
              <w:top w:val="single" w:color="000000" w:sz="2" w:space="0"/>
              <w:left w:val="single" w:color="000000" w:sz="2" w:space="0"/>
              <w:bottom w:val="single" w:color="000000" w:sz="2" w:space="0"/>
              <w:right w:val="single" w:color="000000" w:sz="2" w:space="0"/>
            </w:tcBorders>
            <w:vAlign w:val="center"/>
          </w:tcPr>
          <w:p w14:paraId="294D09C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2.05</w:t>
            </w:r>
          </w:p>
        </w:tc>
        <w:tc>
          <w:tcPr>
            <w:tcW w:w="272" w:type="pct"/>
            <w:tcBorders>
              <w:top w:val="single" w:color="000000" w:sz="2" w:space="0"/>
              <w:left w:val="single" w:color="000000" w:sz="2" w:space="0"/>
              <w:bottom w:val="single" w:color="000000" w:sz="2" w:space="0"/>
              <w:right w:val="single" w:color="000000" w:sz="2" w:space="0"/>
            </w:tcBorders>
            <w:vAlign w:val="center"/>
          </w:tcPr>
          <w:p w14:paraId="0B7D3CE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3.36</w:t>
            </w:r>
          </w:p>
        </w:tc>
        <w:tc>
          <w:tcPr>
            <w:tcW w:w="283" w:type="pct"/>
            <w:tcBorders>
              <w:top w:val="single" w:color="000000" w:sz="2" w:space="0"/>
              <w:left w:val="single" w:color="000000" w:sz="2" w:space="0"/>
              <w:bottom w:val="single" w:color="000000" w:sz="2" w:space="0"/>
              <w:right w:val="single" w:color="000000" w:sz="2" w:space="0"/>
            </w:tcBorders>
            <w:vAlign w:val="center"/>
          </w:tcPr>
          <w:p w14:paraId="5E95944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1.92</w:t>
            </w:r>
          </w:p>
        </w:tc>
        <w:tc>
          <w:tcPr>
            <w:tcW w:w="265" w:type="pct"/>
            <w:tcBorders>
              <w:top w:val="single" w:color="000000" w:sz="2" w:space="0"/>
              <w:left w:val="single" w:color="000000" w:sz="2" w:space="0"/>
              <w:bottom w:val="single" w:color="000000" w:sz="2" w:space="0"/>
              <w:right w:val="single" w:color="000000" w:sz="2" w:space="0"/>
            </w:tcBorders>
            <w:vAlign w:val="center"/>
          </w:tcPr>
          <w:p w14:paraId="2B662A0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6.22</w:t>
            </w:r>
          </w:p>
        </w:tc>
        <w:tc>
          <w:tcPr>
            <w:tcW w:w="301" w:type="pct"/>
            <w:tcBorders>
              <w:top w:val="single" w:color="000000" w:sz="2" w:space="0"/>
              <w:left w:val="single" w:color="000000" w:sz="2" w:space="0"/>
              <w:bottom w:val="single" w:color="000000" w:sz="2" w:space="0"/>
              <w:right w:val="single" w:color="000000" w:sz="2" w:space="0"/>
            </w:tcBorders>
            <w:vAlign w:val="center"/>
          </w:tcPr>
          <w:p w14:paraId="09673E4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7.96</w:t>
            </w:r>
          </w:p>
        </w:tc>
        <w:tc>
          <w:tcPr>
            <w:tcW w:w="283" w:type="pct"/>
            <w:tcBorders>
              <w:top w:val="single" w:color="000000" w:sz="2" w:space="0"/>
              <w:left w:val="single" w:color="000000" w:sz="2" w:space="0"/>
              <w:bottom w:val="single" w:color="000000" w:sz="2" w:space="0"/>
              <w:right w:val="single" w:color="000000" w:sz="2" w:space="0"/>
            </w:tcBorders>
            <w:vAlign w:val="center"/>
          </w:tcPr>
          <w:p w14:paraId="58CC638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4.94</w:t>
            </w:r>
          </w:p>
        </w:tc>
        <w:tc>
          <w:tcPr>
            <w:tcW w:w="283" w:type="pct"/>
            <w:tcBorders>
              <w:top w:val="single" w:color="000000" w:sz="2" w:space="0"/>
              <w:left w:val="single" w:color="000000" w:sz="2" w:space="0"/>
              <w:bottom w:val="single" w:color="000000" w:sz="2" w:space="0"/>
              <w:right w:val="single" w:color="000000" w:sz="2" w:space="0"/>
            </w:tcBorders>
            <w:vAlign w:val="center"/>
          </w:tcPr>
          <w:p w14:paraId="341263E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3.39</w:t>
            </w:r>
          </w:p>
        </w:tc>
        <w:tc>
          <w:tcPr>
            <w:tcW w:w="283" w:type="pct"/>
            <w:tcBorders>
              <w:top w:val="single" w:color="000000" w:sz="2" w:space="0"/>
              <w:left w:val="single" w:color="000000" w:sz="2" w:space="0"/>
              <w:bottom w:val="single" w:color="000000" w:sz="2" w:space="0"/>
              <w:right w:val="single" w:color="000000" w:sz="2" w:space="0"/>
            </w:tcBorders>
            <w:vAlign w:val="center"/>
          </w:tcPr>
          <w:p w14:paraId="408F10B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5.00</w:t>
            </w:r>
          </w:p>
        </w:tc>
        <w:tc>
          <w:tcPr>
            <w:tcW w:w="295" w:type="pct"/>
            <w:tcBorders>
              <w:top w:val="single" w:color="000000" w:sz="2" w:space="0"/>
              <w:left w:val="single" w:color="000000" w:sz="2" w:space="0"/>
              <w:bottom w:val="single" w:color="000000" w:sz="2" w:space="0"/>
              <w:right w:val="single" w:color="000000" w:sz="2" w:space="0"/>
            </w:tcBorders>
            <w:vAlign w:val="center"/>
          </w:tcPr>
          <w:p w14:paraId="4B815C7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2.08</w:t>
            </w:r>
          </w:p>
        </w:tc>
        <w:tc>
          <w:tcPr>
            <w:tcW w:w="272" w:type="pct"/>
            <w:tcBorders>
              <w:top w:val="single" w:color="000000" w:sz="2" w:space="0"/>
              <w:left w:val="single" w:color="000000" w:sz="2" w:space="0"/>
              <w:bottom w:val="single" w:color="000000" w:sz="2" w:space="0"/>
              <w:right w:val="single" w:color="000000" w:sz="2" w:space="0"/>
            </w:tcBorders>
            <w:vAlign w:val="center"/>
          </w:tcPr>
          <w:p w14:paraId="3CC4A06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1.87</w:t>
            </w:r>
          </w:p>
        </w:tc>
        <w:tc>
          <w:tcPr>
            <w:tcW w:w="272" w:type="pct"/>
            <w:tcBorders>
              <w:top w:val="single" w:color="000000" w:sz="2" w:space="0"/>
              <w:left w:val="single" w:color="000000" w:sz="2" w:space="0"/>
              <w:bottom w:val="single" w:color="000000" w:sz="2" w:space="0"/>
              <w:right w:val="single" w:color="000000" w:sz="2" w:space="0"/>
            </w:tcBorders>
            <w:vAlign w:val="center"/>
          </w:tcPr>
          <w:p w14:paraId="5E4AC6E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1.75</w:t>
            </w:r>
          </w:p>
        </w:tc>
        <w:tc>
          <w:tcPr>
            <w:tcW w:w="283" w:type="pct"/>
            <w:tcBorders>
              <w:top w:val="single" w:color="000000" w:sz="2" w:space="0"/>
              <w:left w:val="single" w:color="000000" w:sz="2" w:space="0"/>
              <w:bottom w:val="single" w:color="000000" w:sz="2" w:space="0"/>
              <w:right w:val="single" w:color="000000" w:sz="8" w:space="0"/>
            </w:tcBorders>
            <w:vAlign w:val="center"/>
          </w:tcPr>
          <w:p w14:paraId="75BDF8F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3.86</w:t>
            </w:r>
          </w:p>
        </w:tc>
      </w:tr>
      <w:tr w14:paraId="1FD6C86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43E2776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620C46B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3.78</w:t>
            </w:r>
          </w:p>
        </w:tc>
        <w:tc>
          <w:tcPr>
            <w:tcW w:w="271" w:type="pct"/>
            <w:tcBorders>
              <w:top w:val="single" w:color="000000" w:sz="2" w:space="0"/>
              <w:left w:val="single" w:color="000000" w:sz="2" w:space="0"/>
              <w:bottom w:val="single" w:color="000000" w:sz="2" w:space="0"/>
              <w:right w:val="single" w:color="000000" w:sz="2" w:space="0"/>
            </w:tcBorders>
            <w:vAlign w:val="center"/>
          </w:tcPr>
          <w:p w14:paraId="0C00FA0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1.57</w:t>
            </w:r>
          </w:p>
        </w:tc>
        <w:tc>
          <w:tcPr>
            <w:tcW w:w="276" w:type="pct"/>
            <w:tcBorders>
              <w:top w:val="single" w:color="000000" w:sz="2" w:space="0"/>
              <w:left w:val="single" w:color="000000" w:sz="2" w:space="0"/>
              <w:bottom w:val="single" w:color="000000" w:sz="2" w:space="0"/>
              <w:right w:val="single" w:color="000000" w:sz="2" w:space="0"/>
            </w:tcBorders>
            <w:vAlign w:val="center"/>
          </w:tcPr>
          <w:p w14:paraId="1C8580F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0.91</w:t>
            </w:r>
          </w:p>
        </w:tc>
        <w:tc>
          <w:tcPr>
            <w:tcW w:w="283" w:type="pct"/>
            <w:tcBorders>
              <w:top w:val="single" w:color="000000" w:sz="2" w:space="0"/>
              <w:left w:val="single" w:color="000000" w:sz="2" w:space="0"/>
              <w:bottom w:val="single" w:color="000000" w:sz="2" w:space="0"/>
              <w:right w:val="single" w:color="000000" w:sz="2" w:space="0"/>
            </w:tcBorders>
            <w:vAlign w:val="center"/>
          </w:tcPr>
          <w:p w14:paraId="48B15F1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1.98</w:t>
            </w:r>
          </w:p>
        </w:tc>
        <w:tc>
          <w:tcPr>
            <w:tcW w:w="272" w:type="pct"/>
            <w:tcBorders>
              <w:top w:val="single" w:color="000000" w:sz="2" w:space="0"/>
              <w:left w:val="single" w:color="000000" w:sz="2" w:space="0"/>
              <w:bottom w:val="single" w:color="000000" w:sz="2" w:space="0"/>
              <w:right w:val="single" w:color="000000" w:sz="2" w:space="0"/>
            </w:tcBorders>
            <w:vAlign w:val="center"/>
          </w:tcPr>
          <w:p w14:paraId="5798F92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1.83</w:t>
            </w:r>
          </w:p>
        </w:tc>
        <w:tc>
          <w:tcPr>
            <w:tcW w:w="272" w:type="pct"/>
            <w:tcBorders>
              <w:top w:val="single" w:color="000000" w:sz="2" w:space="0"/>
              <w:left w:val="single" w:color="000000" w:sz="2" w:space="0"/>
              <w:bottom w:val="single" w:color="000000" w:sz="2" w:space="0"/>
              <w:right w:val="single" w:color="000000" w:sz="2" w:space="0"/>
            </w:tcBorders>
            <w:vAlign w:val="center"/>
          </w:tcPr>
          <w:p w14:paraId="229A145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0.86</w:t>
            </w:r>
          </w:p>
        </w:tc>
        <w:tc>
          <w:tcPr>
            <w:tcW w:w="272" w:type="pct"/>
            <w:tcBorders>
              <w:top w:val="single" w:color="000000" w:sz="2" w:space="0"/>
              <w:left w:val="single" w:color="000000" w:sz="2" w:space="0"/>
              <w:bottom w:val="single" w:color="000000" w:sz="2" w:space="0"/>
              <w:right w:val="single" w:color="000000" w:sz="2" w:space="0"/>
            </w:tcBorders>
            <w:vAlign w:val="center"/>
          </w:tcPr>
          <w:p w14:paraId="0C0A638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0.89</w:t>
            </w:r>
          </w:p>
        </w:tc>
        <w:tc>
          <w:tcPr>
            <w:tcW w:w="283" w:type="pct"/>
            <w:tcBorders>
              <w:top w:val="single" w:color="000000" w:sz="2" w:space="0"/>
              <w:left w:val="single" w:color="000000" w:sz="2" w:space="0"/>
              <w:bottom w:val="single" w:color="000000" w:sz="2" w:space="0"/>
              <w:right w:val="single" w:color="000000" w:sz="2" w:space="0"/>
            </w:tcBorders>
            <w:vAlign w:val="center"/>
          </w:tcPr>
          <w:p w14:paraId="0598444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1.11</w:t>
            </w:r>
          </w:p>
        </w:tc>
        <w:tc>
          <w:tcPr>
            <w:tcW w:w="265" w:type="pct"/>
            <w:tcBorders>
              <w:top w:val="single" w:color="000000" w:sz="2" w:space="0"/>
              <w:left w:val="single" w:color="000000" w:sz="2" w:space="0"/>
              <w:bottom w:val="single" w:color="000000" w:sz="2" w:space="0"/>
              <w:right w:val="single" w:color="000000" w:sz="2" w:space="0"/>
            </w:tcBorders>
            <w:vAlign w:val="center"/>
          </w:tcPr>
          <w:p w14:paraId="3D80074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4.99</w:t>
            </w:r>
          </w:p>
        </w:tc>
        <w:tc>
          <w:tcPr>
            <w:tcW w:w="301" w:type="pct"/>
            <w:tcBorders>
              <w:top w:val="single" w:color="000000" w:sz="2" w:space="0"/>
              <w:left w:val="single" w:color="000000" w:sz="2" w:space="0"/>
              <w:bottom w:val="single" w:color="000000" w:sz="2" w:space="0"/>
              <w:right w:val="single" w:color="000000" w:sz="2" w:space="0"/>
            </w:tcBorders>
            <w:vAlign w:val="center"/>
          </w:tcPr>
          <w:p w14:paraId="73A4CE9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6.99</w:t>
            </w:r>
          </w:p>
        </w:tc>
        <w:tc>
          <w:tcPr>
            <w:tcW w:w="283" w:type="pct"/>
            <w:tcBorders>
              <w:top w:val="single" w:color="000000" w:sz="2" w:space="0"/>
              <w:left w:val="single" w:color="000000" w:sz="2" w:space="0"/>
              <w:bottom w:val="single" w:color="000000" w:sz="2" w:space="0"/>
              <w:right w:val="single" w:color="000000" w:sz="2" w:space="0"/>
            </w:tcBorders>
            <w:vAlign w:val="center"/>
          </w:tcPr>
          <w:p w14:paraId="14966AD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7.49</w:t>
            </w:r>
          </w:p>
        </w:tc>
        <w:tc>
          <w:tcPr>
            <w:tcW w:w="283" w:type="pct"/>
            <w:tcBorders>
              <w:top w:val="single" w:color="000000" w:sz="2" w:space="0"/>
              <w:left w:val="single" w:color="000000" w:sz="2" w:space="0"/>
              <w:bottom w:val="single" w:color="000000" w:sz="2" w:space="0"/>
              <w:right w:val="single" w:color="000000" w:sz="2" w:space="0"/>
            </w:tcBorders>
            <w:vAlign w:val="center"/>
          </w:tcPr>
          <w:p w14:paraId="698DC13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4.95</w:t>
            </w:r>
          </w:p>
        </w:tc>
        <w:tc>
          <w:tcPr>
            <w:tcW w:w="283" w:type="pct"/>
            <w:tcBorders>
              <w:top w:val="single" w:color="000000" w:sz="2" w:space="0"/>
              <w:left w:val="single" w:color="000000" w:sz="2" w:space="0"/>
              <w:bottom w:val="single" w:color="000000" w:sz="2" w:space="0"/>
              <w:right w:val="single" w:color="000000" w:sz="2" w:space="0"/>
            </w:tcBorders>
            <w:vAlign w:val="center"/>
          </w:tcPr>
          <w:p w14:paraId="7E39AE7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6.45</w:t>
            </w:r>
          </w:p>
        </w:tc>
        <w:tc>
          <w:tcPr>
            <w:tcW w:w="295" w:type="pct"/>
            <w:tcBorders>
              <w:top w:val="single" w:color="000000" w:sz="2" w:space="0"/>
              <w:left w:val="single" w:color="000000" w:sz="2" w:space="0"/>
              <w:bottom w:val="single" w:color="000000" w:sz="2" w:space="0"/>
              <w:right w:val="single" w:color="000000" w:sz="2" w:space="0"/>
            </w:tcBorders>
            <w:vAlign w:val="center"/>
          </w:tcPr>
          <w:p w14:paraId="05E735D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2.63</w:t>
            </w:r>
          </w:p>
        </w:tc>
        <w:tc>
          <w:tcPr>
            <w:tcW w:w="272" w:type="pct"/>
            <w:tcBorders>
              <w:top w:val="single" w:color="000000" w:sz="2" w:space="0"/>
              <w:left w:val="single" w:color="000000" w:sz="2" w:space="0"/>
              <w:bottom w:val="single" w:color="000000" w:sz="2" w:space="0"/>
              <w:right w:val="single" w:color="000000" w:sz="2" w:space="0"/>
            </w:tcBorders>
            <w:vAlign w:val="center"/>
          </w:tcPr>
          <w:p w14:paraId="120969E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2.27</w:t>
            </w:r>
          </w:p>
        </w:tc>
        <w:tc>
          <w:tcPr>
            <w:tcW w:w="272" w:type="pct"/>
            <w:tcBorders>
              <w:top w:val="single" w:color="000000" w:sz="2" w:space="0"/>
              <w:left w:val="single" w:color="000000" w:sz="2" w:space="0"/>
              <w:bottom w:val="single" w:color="000000" w:sz="2" w:space="0"/>
              <w:right w:val="single" w:color="000000" w:sz="2" w:space="0"/>
            </w:tcBorders>
            <w:vAlign w:val="center"/>
          </w:tcPr>
          <w:p w14:paraId="0E2F780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2.57</w:t>
            </w:r>
          </w:p>
        </w:tc>
        <w:tc>
          <w:tcPr>
            <w:tcW w:w="283" w:type="pct"/>
            <w:tcBorders>
              <w:top w:val="single" w:color="000000" w:sz="2" w:space="0"/>
              <w:left w:val="single" w:color="000000" w:sz="2" w:space="0"/>
              <w:bottom w:val="single" w:color="000000" w:sz="2" w:space="0"/>
              <w:right w:val="single" w:color="000000" w:sz="8" w:space="0"/>
            </w:tcBorders>
            <w:vAlign w:val="center"/>
          </w:tcPr>
          <w:p w14:paraId="4E1BE96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3.20</w:t>
            </w:r>
          </w:p>
        </w:tc>
      </w:tr>
      <w:tr w14:paraId="09D47F5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0DD1D32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459F706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5.63</w:t>
            </w:r>
          </w:p>
        </w:tc>
        <w:tc>
          <w:tcPr>
            <w:tcW w:w="271" w:type="pct"/>
            <w:tcBorders>
              <w:top w:val="single" w:color="000000" w:sz="2" w:space="0"/>
              <w:left w:val="single" w:color="000000" w:sz="2" w:space="0"/>
              <w:bottom w:val="single" w:color="000000" w:sz="2" w:space="0"/>
              <w:right w:val="single" w:color="000000" w:sz="2" w:space="0"/>
            </w:tcBorders>
            <w:vAlign w:val="center"/>
          </w:tcPr>
          <w:p w14:paraId="10A8712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2.16</w:t>
            </w:r>
          </w:p>
        </w:tc>
        <w:tc>
          <w:tcPr>
            <w:tcW w:w="276" w:type="pct"/>
            <w:tcBorders>
              <w:top w:val="single" w:color="000000" w:sz="2" w:space="0"/>
              <w:left w:val="single" w:color="000000" w:sz="2" w:space="0"/>
              <w:bottom w:val="single" w:color="000000" w:sz="2" w:space="0"/>
              <w:right w:val="single" w:color="000000" w:sz="2" w:space="0"/>
            </w:tcBorders>
            <w:vAlign w:val="center"/>
          </w:tcPr>
          <w:p w14:paraId="29095BB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2.82</w:t>
            </w:r>
          </w:p>
        </w:tc>
        <w:tc>
          <w:tcPr>
            <w:tcW w:w="283" w:type="pct"/>
            <w:tcBorders>
              <w:top w:val="single" w:color="000000" w:sz="2" w:space="0"/>
              <w:left w:val="single" w:color="000000" w:sz="2" w:space="0"/>
              <w:bottom w:val="single" w:color="000000" w:sz="2" w:space="0"/>
              <w:right w:val="single" w:color="000000" w:sz="2" w:space="0"/>
            </w:tcBorders>
            <w:vAlign w:val="center"/>
          </w:tcPr>
          <w:p w14:paraId="6710CCC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3.15</w:t>
            </w:r>
          </w:p>
        </w:tc>
        <w:tc>
          <w:tcPr>
            <w:tcW w:w="272" w:type="pct"/>
            <w:tcBorders>
              <w:top w:val="single" w:color="000000" w:sz="2" w:space="0"/>
              <w:left w:val="single" w:color="000000" w:sz="2" w:space="0"/>
              <w:bottom w:val="single" w:color="000000" w:sz="2" w:space="0"/>
              <w:right w:val="single" w:color="000000" w:sz="2" w:space="0"/>
            </w:tcBorders>
            <w:vAlign w:val="center"/>
          </w:tcPr>
          <w:p w14:paraId="0A8BEE5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3.85</w:t>
            </w:r>
          </w:p>
        </w:tc>
        <w:tc>
          <w:tcPr>
            <w:tcW w:w="272" w:type="pct"/>
            <w:tcBorders>
              <w:top w:val="single" w:color="000000" w:sz="2" w:space="0"/>
              <w:left w:val="single" w:color="000000" w:sz="2" w:space="0"/>
              <w:bottom w:val="single" w:color="000000" w:sz="2" w:space="0"/>
              <w:right w:val="single" w:color="000000" w:sz="2" w:space="0"/>
            </w:tcBorders>
            <w:vAlign w:val="center"/>
          </w:tcPr>
          <w:p w14:paraId="354269F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2.87</w:t>
            </w:r>
          </w:p>
        </w:tc>
        <w:tc>
          <w:tcPr>
            <w:tcW w:w="272" w:type="pct"/>
            <w:tcBorders>
              <w:top w:val="single" w:color="000000" w:sz="2" w:space="0"/>
              <w:left w:val="single" w:color="000000" w:sz="2" w:space="0"/>
              <w:bottom w:val="single" w:color="000000" w:sz="2" w:space="0"/>
              <w:right w:val="single" w:color="000000" w:sz="2" w:space="0"/>
            </w:tcBorders>
            <w:vAlign w:val="center"/>
          </w:tcPr>
          <w:p w14:paraId="4FE8596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3.91</w:t>
            </w:r>
          </w:p>
        </w:tc>
        <w:tc>
          <w:tcPr>
            <w:tcW w:w="283" w:type="pct"/>
            <w:tcBorders>
              <w:top w:val="single" w:color="000000" w:sz="2" w:space="0"/>
              <w:left w:val="single" w:color="000000" w:sz="2" w:space="0"/>
              <w:bottom w:val="single" w:color="000000" w:sz="2" w:space="0"/>
              <w:right w:val="single" w:color="000000" w:sz="2" w:space="0"/>
            </w:tcBorders>
            <w:vAlign w:val="center"/>
          </w:tcPr>
          <w:p w14:paraId="1FBAF6D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3.25</w:t>
            </w:r>
          </w:p>
        </w:tc>
        <w:tc>
          <w:tcPr>
            <w:tcW w:w="265" w:type="pct"/>
            <w:tcBorders>
              <w:top w:val="single" w:color="000000" w:sz="2" w:space="0"/>
              <w:left w:val="single" w:color="000000" w:sz="2" w:space="0"/>
              <w:bottom w:val="single" w:color="000000" w:sz="2" w:space="0"/>
              <w:right w:val="single" w:color="000000" w:sz="2" w:space="0"/>
            </w:tcBorders>
            <w:vAlign w:val="center"/>
          </w:tcPr>
          <w:p w14:paraId="629BC2C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5.75</w:t>
            </w:r>
          </w:p>
        </w:tc>
        <w:tc>
          <w:tcPr>
            <w:tcW w:w="301" w:type="pct"/>
            <w:tcBorders>
              <w:top w:val="single" w:color="000000" w:sz="2" w:space="0"/>
              <w:left w:val="single" w:color="000000" w:sz="2" w:space="0"/>
              <w:bottom w:val="single" w:color="000000" w:sz="2" w:space="0"/>
              <w:right w:val="single" w:color="000000" w:sz="2" w:space="0"/>
            </w:tcBorders>
            <w:vAlign w:val="center"/>
          </w:tcPr>
          <w:p w14:paraId="0C8C737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6.82</w:t>
            </w:r>
          </w:p>
        </w:tc>
        <w:tc>
          <w:tcPr>
            <w:tcW w:w="283" w:type="pct"/>
            <w:tcBorders>
              <w:top w:val="single" w:color="000000" w:sz="2" w:space="0"/>
              <w:left w:val="single" w:color="000000" w:sz="2" w:space="0"/>
              <w:bottom w:val="single" w:color="000000" w:sz="2" w:space="0"/>
              <w:right w:val="single" w:color="000000" w:sz="2" w:space="0"/>
            </w:tcBorders>
            <w:vAlign w:val="center"/>
          </w:tcPr>
          <w:p w14:paraId="0336329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5.69</w:t>
            </w:r>
          </w:p>
        </w:tc>
        <w:tc>
          <w:tcPr>
            <w:tcW w:w="283" w:type="pct"/>
            <w:tcBorders>
              <w:top w:val="single" w:color="000000" w:sz="2" w:space="0"/>
              <w:left w:val="single" w:color="000000" w:sz="2" w:space="0"/>
              <w:bottom w:val="single" w:color="000000" w:sz="2" w:space="0"/>
              <w:right w:val="single" w:color="000000" w:sz="2" w:space="0"/>
            </w:tcBorders>
            <w:vAlign w:val="center"/>
          </w:tcPr>
          <w:p w14:paraId="513E76B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5.09</w:t>
            </w:r>
          </w:p>
        </w:tc>
        <w:tc>
          <w:tcPr>
            <w:tcW w:w="283" w:type="pct"/>
            <w:tcBorders>
              <w:top w:val="single" w:color="000000" w:sz="2" w:space="0"/>
              <w:left w:val="single" w:color="000000" w:sz="2" w:space="0"/>
              <w:bottom w:val="single" w:color="000000" w:sz="2" w:space="0"/>
              <w:right w:val="single" w:color="000000" w:sz="2" w:space="0"/>
            </w:tcBorders>
            <w:vAlign w:val="center"/>
          </w:tcPr>
          <w:p w14:paraId="645DDB8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3.96</w:t>
            </w:r>
          </w:p>
        </w:tc>
        <w:tc>
          <w:tcPr>
            <w:tcW w:w="295" w:type="pct"/>
            <w:tcBorders>
              <w:top w:val="single" w:color="000000" w:sz="2" w:space="0"/>
              <w:left w:val="single" w:color="000000" w:sz="2" w:space="0"/>
              <w:bottom w:val="single" w:color="000000" w:sz="2" w:space="0"/>
              <w:right w:val="single" w:color="000000" w:sz="2" w:space="0"/>
            </w:tcBorders>
            <w:vAlign w:val="center"/>
          </w:tcPr>
          <w:p w14:paraId="7FBB6A4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2.09</w:t>
            </w:r>
          </w:p>
        </w:tc>
        <w:tc>
          <w:tcPr>
            <w:tcW w:w="272" w:type="pct"/>
            <w:tcBorders>
              <w:top w:val="single" w:color="000000" w:sz="2" w:space="0"/>
              <w:left w:val="single" w:color="000000" w:sz="2" w:space="0"/>
              <w:bottom w:val="single" w:color="000000" w:sz="2" w:space="0"/>
              <w:right w:val="single" w:color="000000" w:sz="2" w:space="0"/>
            </w:tcBorders>
            <w:vAlign w:val="center"/>
          </w:tcPr>
          <w:p w14:paraId="53E86A3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1.83</w:t>
            </w:r>
          </w:p>
        </w:tc>
        <w:tc>
          <w:tcPr>
            <w:tcW w:w="272" w:type="pct"/>
            <w:tcBorders>
              <w:top w:val="single" w:color="000000" w:sz="2" w:space="0"/>
              <w:left w:val="single" w:color="000000" w:sz="2" w:space="0"/>
              <w:bottom w:val="single" w:color="000000" w:sz="2" w:space="0"/>
              <w:right w:val="single" w:color="000000" w:sz="2" w:space="0"/>
            </w:tcBorders>
            <w:vAlign w:val="center"/>
          </w:tcPr>
          <w:p w14:paraId="163FFD7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2.46</w:t>
            </w:r>
          </w:p>
        </w:tc>
        <w:tc>
          <w:tcPr>
            <w:tcW w:w="283" w:type="pct"/>
            <w:tcBorders>
              <w:top w:val="single" w:color="000000" w:sz="2" w:space="0"/>
              <w:left w:val="single" w:color="000000" w:sz="2" w:space="0"/>
              <w:bottom w:val="single" w:color="000000" w:sz="2" w:space="0"/>
              <w:right w:val="single" w:color="000000" w:sz="8" w:space="0"/>
            </w:tcBorders>
            <w:vAlign w:val="center"/>
          </w:tcPr>
          <w:p w14:paraId="2FEBF2F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3.83</w:t>
            </w:r>
          </w:p>
        </w:tc>
      </w:tr>
      <w:tr w14:paraId="2375713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3825FA6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240349E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10.05</w:t>
            </w:r>
          </w:p>
        </w:tc>
        <w:tc>
          <w:tcPr>
            <w:tcW w:w="271" w:type="pct"/>
            <w:tcBorders>
              <w:top w:val="single" w:color="000000" w:sz="2" w:space="0"/>
              <w:left w:val="single" w:color="000000" w:sz="2" w:space="0"/>
              <w:bottom w:val="single" w:color="000000" w:sz="2" w:space="0"/>
              <w:right w:val="single" w:color="000000" w:sz="2" w:space="0"/>
            </w:tcBorders>
            <w:vAlign w:val="center"/>
          </w:tcPr>
          <w:p w14:paraId="2D372DF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2.65</w:t>
            </w:r>
          </w:p>
        </w:tc>
        <w:tc>
          <w:tcPr>
            <w:tcW w:w="276" w:type="pct"/>
            <w:tcBorders>
              <w:top w:val="single" w:color="000000" w:sz="2" w:space="0"/>
              <w:left w:val="single" w:color="000000" w:sz="2" w:space="0"/>
              <w:bottom w:val="single" w:color="000000" w:sz="2" w:space="0"/>
              <w:right w:val="single" w:color="000000" w:sz="2" w:space="0"/>
            </w:tcBorders>
            <w:vAlign w:val="center"/>
          </w:tcPr>
          <w:p w14:paraId="38EBFB2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2.62</w:t>
            </w:r>
          </w:p>
        </w:tc>
        <w:tc>
          <w:tcPr>
            <w:tcW w:w="283" w:type="pct"/>
            <w:tcBorders>
              <w:top w:val="single" w:color="000000" w:sz="2" w:space="0"/>
              <w:left w:val="single" w:color="000000" w:sz="2" w:space="0"/>
              <w:bottom w:val="single" w:color="000000" w:sz="2" w:space="0"/>
              <w:right w:val="single" w:color="000000" w:sz="2" w:space="0"/>
            </w:tcBorders>
            <w:vAlign w:val="center"/>
          </w:tcPr>
          <w:p w14:paraId="500FFD5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3.39</w:t>
            </w:r>
          </w:p>
        </w:tc>
        <w:tc>
          <w:tcPr>
            <w:tcW w:w="272" w:type="pct"/>
            <w:tcBorders>
              <w:top w:val="single" w:color="000000" w:sz="2" w:space="0"/>
              <w:left w:val="single" w:color="000000" w:sz="2" w:space="0"/>
              <w:bottom w:val="single" w:color="000000" w:sz="2" w:space="0"/>
              <w:right w:val="single" w:color="000000" w:sz="2" w:space="0"/>
            </w:tcBorders>
            <w:vAlign w:val="center"/>
          </w:tcPr>
          <w:p w14:paraId="1077909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3.90</w:t>
            </w:r>
          </w:p>
        </w:tc>
        <w:tc>
          <w:tcPr>
            <w:tcW w:w="272" w:type="pct"/>
            <w:tcBorders>
              <w:top w:val="single" w:color="000000" w:sz="2" w:space="0"/>
              <w:left w:val="single" w:color="000000" w:sz="2" w:space="0"/>
              <w:bottom w:val="single" w:color="000000" w:sz="2" w:space="0"/>
              <w:right w:val="single" w:color="000000" w:sz="2" w:space="0"/>
            </w:tcBorders>
            <w:vAlign w:val="center"/>
          </w:tcPr>
          <w:p w14:paraId="55F3708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3.36</w:t>
            </w:r>
          </w:p>
        </w:tc>
        <w:tc>
          <w:tcPr>
            <w:tcW w:w="272" w:type="pct"/>
            <w:tcBorders>
              <w:top w:val="single" w:color="000000" w:sz="2" w:space="0"/>
              <w:left w:val="single" w:color="000000" w:sz="2" w:space="0"/>
              <w:bottom w:val="single" w:color="000000" w:sz="2" w:space="0"/>
              <w:right w:val="single" w:color="000000" w:sz="2" w:space="0"/>
            </w:tcBorders>
            <w:vAlign w:val="center"/>
          </w:tcPr>
          <w:p w14:paraId="7730222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2.62</w:t>
            </w:r>
          </w:p>
        </w:tc>
        <w:tc>
          <w:tcPr>
            <w:tcW w:w="283" w:type="pct"/>
            <w:tcBorders>
              <w:top w:val="single" w:color="000000" w:sz="2" w:space="0"/>
              <w:left w:val="single" w:color="000000" w:sz="2" w:space="0"/>
              <w:bottom w:val="single" w:color="000000" w:sz="2" w:space="0"/>
              <w:right w:val="single" w:color="000000" w:sz="2" w:space="0"/>
            </w:tcBorders>
            <w:vAlign w:val="center"/>
          </w:tcPr>
          <w:p w14:paraId="0C9A7CA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2.89</w:t>
            </w:r>
          </w:p>
        </w:tc>
        <w:tc>
          <w:tcPr>
            <w:tcW w:w="265" w:type="pct"/>
            <w:tcBorders>
              <w:top w:val="single" w:color="000000" w:sz="2" w:space="0"/>
              <w:left w:val="single" w:color="000000" w:sz="2" w:space="0"/>
              <w:bottom w:val="single" w:color="000000" w:sz="2" w:space="0"/>
              <w:right w:val="single" w:color="000000" w:sz="2" w:space="0"/>
            </w:tcBorders>
            <w:vAlign w:val="center"/>
          </w:tcPr>
          <w:p w14:paraId="1DAD91F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6.39</w:t>
            </w:r>
          </w:p>
        </w:tc>
        <w:tc>
          <w:tcPr>
            <w:tcW w:w="301" w:type="pct"/>
            <w:tcBorders>
              <w:top w:val="single" w:color="000000" w:sz="2" w:space="0"/>
              <w:left w:val="single" w:color="000000" w:sz="2" w:space="0"/>
              <w:bottom w:val="single" w:color="000000" w:sz="2" w:space="0"/>
              <w:right w:val="single" w:color="000000" w:sz="2" w:space="0"/>
            </w:tcBorders>
            <w:vAlign w:val="center"/>
          </w:tcPr>
          <w:p w14:paraId="26C4EB5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7.01</w:t>
            </w:r>
          </w:p>
        </w:tc>
        <w:tc>
          <w:tcPr>
            <w:tcW w:w="283" w:type="pct"/>
            <w:tcBorders>
              <w:top w:val="single" w:color="000000" w:sz="2" w:space="0"/>
              <w:left w:val="single" w:color="000000" w:sz="2" w:space="0"/>
              <w:bottom w:val="single" w:color="000000" w:sz="2" w:space="0"/>
              <w:right w:val="single" w:color="000000" w:sz="2" w:space="0"/>
            </w:tcBorders>
            <w:vAlign w:val="center"/>
          </w:tcPr>
          <w:p w14:paraId="6B85878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5.77</w:t>
            </w:r>
          </w:p>
        </w:tc>
        <w:tc>
          <w:tcPr>
            <w:tcW w:w="283" w:type="pct"/>
            <w:tcBorders>
              <w:top w:val="single" w:color="000000" w:sz="2" w:space="0"/>
              <w:left w:val="single" w:color="000000" w:sz="2" w:space="0"/>
              <w:bottom w:val="single" w:color="000000" w:sz="2" w:space="0"/>
              <w:right w:val="single" w:color="000000" w:sz="2" w:space="0"/>
            </w:tcBorders>
            <w:vAlign w:val="center"/>
          </w:tcPr>
          <w:p w14:paraId="7CAD29D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3.60</w:t>
            </w:r>
          </w:p>
        </w:tc>
        <w:tc>
          <w:tcPr>
            <w:tcW w:w="283" w:type="pct"/>
            <w:tcBorders>
              <w:top w:val="single" w:color="000000" w:sz="2" w:space="0"/>
              <w:left w:val="single" w:color="000000" w:sz="2" w:space="0"/>
              <w:bottom w:val="single" w:color="000000" w:sz="2" w:space="0"/>
              <w:right w:val="single" w:color="000000" w:sz="2" w:space="0"/>
            </w:tcBorders>
            <w:vAlign w:val="center"/>
          </w:tcPr>
          <w:p w14:paraId="1A2B419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4.11</w:t>
            </w:r>
          </w:p>
        </w:tc>
        <w:tc>
          <w:tcPr>
            <w:tcW w:w="295" w:type="pct"/>
            <w:tcBorders>
              <w:top w:val="single" w:color="000000" w:sz="2" w:space="0"/>
              <w:left w:val="single" w:color="000000" w:sz="2" w:space="0"/>
              <w:bottom w:val="single" w:color="000000" w:sz="2" w:space="0"/>
              <w:right w:val="single" w:color="000000" w:sz="2" w:space="0"/>
            </w:tcBorders>
            <w:vAlign w:val="center"/>
          </w:tcPr>
          <w:p w14:paraId="087F72D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1.80</w:t>
            </w:r>
          </w:p>
        </w:tc>
        <w:tc>
          <w:tcPr>
            <w:tcW w:w="272" w:type="pct"/>
            <w:tcBorders>
              <w:top w:val="single" w:color="000000" w:sz="2" w:space="0"/>
              <w:left w:val="single" w:color="000000" w:sz="2" w:space="0"/>
              <w:bottom w:val="single" w:color="000000" w:sz="2" w:space="0"/>
              <w:right w:val="single" w:color="000000" w:sz="2" w:space="0"/>
            </w:tcBorders>
            <w:vAlign w:val="center"/>
          </w:tcPr>
          <w:p w14:paraId="1C65F5D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1.85</w:t>
            </w:r>
          </w:p>
        </w:tc>
        <w:tc>
          <w:tcPr>
            <w:tcW w:w="272" w:type="pct"/>
            <w:tcBorders>
              <w:top w:val="single" w:color="000000" w:sz="2" w:space="0"/>
              <w:left w:val="single" w:color="000000" w:sz="2" w:space="0"/>
              <w:bottom w:val="single" w:color="000000" w:sz="2" w:space="0"/>
              <w:right w:val="single" w:color="000000" w:sz="2" w:space="0"/>
            </w:tcBorders>
            <w:vAlign w:val="center"/>
          </w:tcPr>
          <w:p w14:paraId="0E95922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2.07</w:t>
            </w:r>
          </w:p>
        </w:tc>
        <w:tc>
          <w:tcPr>
            <w:tcW w:w="283" w:type="pct"/>
            <w:tcBorders>
              <w:top w:val="single" w:color="000000" w:sz="2" w:space="0"/>
              <w:left w:val="single" w:color="000000" w:sz="2" w:space="0"/>
              <w:bottom w:val="single" w:color="000000" w:sz="2" w:space="0"/>
              <w:right w:val="single" w:color="000000" w:sz="8" w:space="0"/>
            </w:tcBorders>
            <w:vAlign w:val="center"/>
          </w:tcPr>
          <w:p w14:paraId="1B1583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4.01</w:t>
            </w:r>
          </w:p>
        </w:tc>
      </w:tr>
      <w:tr w14:paraId="74FB97C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6B85A29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00BCA4D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10.56</w:t>
            </w:r>
          </w:p>
        </w:tc>
        <w:tc>
          <w:tcPr>
            <w:tcW w:w="271" w:type="pct"/>
            <w:tcBorders>
              <w:top w:val="single" w:color="000000" w:sz="2" w:space="0"/>
              <w:left w:val="single" w:color="000000" w:sz="2" w:space="0"/>
              <w:bottom w:val="single" w:color="000000" w:sz="2" w:space="0"/>
              <w:right w:val="single" w:color="000000" w:sz="2" w:space="0"/>
            </w:tcBorders>
            <w:vAlign w:val="center"/>
          </w:tcPr>
          <w:p w14:paraId="600BFE4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4.42</w:t>
            </w:r>
          </w:p>
        </w:tc>
        <w:tc>
          <w:tcPr>
            <w:tcW w:w="276" w:type="pct"/>
            <w:tcBorders>
              <w:top w:val="single" w:color="000000" w:sz="2" w:space="0"/>
              <w:left w:val="single" w:color="000000" w:sz="2" w:space="0"/>
              <w:bottom w:val="single" w:color="000000" w:sz="2" w:space="0"/>
              <w:right w:val="single" w:color="000000" w:sz="2" w:space="0"/>
            </w:tcBorders>
            <w:vAlign w:val="center"/>
          </w:tcPr>
          <w:p w14:paraId="4725E80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3.30</w:t>
            </w:r>
          </w:p>
        </w:tc>
        <w:tc>
          <w:tcPr>
            <w:tcW w:w="283" w:type="pct"/>
            <w:tcBorders>
              <w:top w:val="single" w:color="000000" w:sz="2" w:space="0"/>
              <w:left w:val="single" w:color="000000" w:sz="2" w:space="0"/>
              <w:bottom w:val="single" w:color="000000" w:sz="2" w:space="0"/>
              <w:right w:val="single" w:color="000000" w:sz="2" w:space="0"/>
            </w:tcBorders>
            <w:vAlign w:val="center"/>
          </w:tcPr>
          <w:p w14:paraId="1442D60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3.40</w:t>
            </w:r>
          </w:p>
        </w:tc>
        <w:tc>
          <w:tcPr>
            <w:tcW w:w="272" w:type="pct"/>
            <w:tcBorders>
              <w:top w:val="single" w:color="000000" w:sz="2" w:space="0"/>
              <w:left w:val="single" w:color="000000" w:sz="2" w:space="0"/>
              <w:bottom w:val="single" w:color="000000" w:sz="2" w:space="0"/>
              <w:right w:val="single" w:color="000000" w:sz="2" w:space="0"/>
            </w:tcBorders>
            <w:vAlign w:val="center"/>
          </w:tcPr>
          <w:p w14:paraId="631A2FB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2.42</w:t>
            </w:r>
          </w:p>
        </w:tc>
        <w:tc>
          <w:tcPr>
            <w:tcW w:w="272" w:type="pct"/>
            <w:tcBorders>
              <w:top w:val="single" w:color="000000" w:sz="2" w:space="0"/>
              <w:left w:val="single" w:color="000000" w:sz="2" w:space="0"/>
              <w:bottom w:val="single" w:color="000000" w:sz="2" w:space="0"/>
              <w:right w:val="single" w:color="000000" w:sz="2" w:space="0"/>
            </w:tcBorders>
            <w:vAlign w:val="center"/>
          </w:tcPr>
          <w:p w14:paraId="7EA6A4B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3.07</w:t>
            </w:r>
          </w:p>
        </w:tc>
        <w:tc>
          <w:tcPr>
            <w:tcW w:w="272" w:type="pct"/>
            <w:tcBorders>
              <w:top w:val="single" w:color="000000" w:sz="2" w:space="0"/>
              <w:left w:val="single" w:color="000000" w:sz="2" w:space="0"/>
              <w:bottom w:val="single" w:color="000000" w:sz="2" w:space="0"/>
              <w:right w:val="single" w:color="000000" w:sz="2" w:space="0"/>
            </w:tcBorders>
            <w:vAlign w:val="center"/>
          </w:tcPr>
          <w:p w14:paraId="5A0A547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2.08</w:t>
            </w:r>
          </w:p>
        </w:tc>
        <w:tc>
          <w:tcPr>
            <w:tcW w:w="283" w:type="pct"/>
            <w:tcBorders>
              <w:top w:val="single" w:color="000000" w:sz="2" w:space="0"/>
              <w:left w:val="single" w:color="000000" w:sz="2" w:space="0"/>
              <w:bottom w:val="single" w:color="000000" w:sz="2" w:space="0"/>
              <w:right w:val="single" w:color="000000" w:sz="2" w:space="0"/>
            </w:tcBorders>
            <w:vAlign w:val="center"/>
          </w:tcPr>
          <w:p w14:paraId="5956BAB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3.38</w:t>
            </w:r>
          </w:p>
        </w:tc>
        <w:tc>
          <w:tcPr>
            <w:tcW w:w="265" w:type="pct"/>
            <w:tcBorders>
              <w:top w:val="single" w:color="000000" w:sz="2" w:space="0"/>
              <w:left w:val="single" w:color="000000" w:sz="2" w:space="0"/>
              <w:bottom w:val="single" w:color="000000" w:sz="2" w:space="0"/>
              <w:right w:val="single" w:color="000000" w:sz="2" w:space="0"/>
            </w:tcBorders>
            <w:vAlign w:val="center"/>
          </w:tcPr>
          <w:p w14:paraId="6F469AE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10.16</w:t>
            </w:r>
          </w:p>
        </w:tc>
        <w:tc>
          <w:tcPr>
            <w:tcW w:w="301" w:type="pct"/>
            <w:tcBorders>
              <w:top w:val="single" w:color="000000" w:sz="2" w:space="0"/>
              <w:left w:val="single" w:color="000000" w:sz="2" w:space="0"/>
              <w:bottom w:val="single" w:color="000000" w:sz="2" w:space="0"/>
              <w:right w:val="single" w:color="000000" w:sz="2" w:space="0"/>
            </w:tcBorders>
            <w:vAlign w:val="center"/>
          </w:tcPr>
          <w:p w14:paraId="02B1A39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5.11</w:t>
            </w:r>
          </w:p>
        </w:tc>
        <w:tc>
          <w:tcPr>
            <w:tcW w:w="283" w:type="pct"/>
            <w:tcBorders>
              <w:top w:val="single" w:color="000000" w:sz="2" w:space="0"/>
              <w:left w:val="single" w:color="000000" w:sz="2" w:space="0"/>
              <w:bottom w:val="single" w:color="000000" w:sz="2" w:space="0"/>
              <w:right w:val="single" w:color="000000" w:sz="2" w:space="0"/>
            </w:tcBorders>
            <w:vAlign w:val="center"/>
          </w:tcPr>
          <w:p w14:paraId="73DE256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6.40</w:t>
            </w:r>
          </w:p>
        </w:tc>
        <w:tc>
          <w:tcPr>
            <w:tcW w:w="283" w:type="pct"/>
            <w:tcBorders>
              <w:top w:val="single" w:color="000000" w:sz="2" w:space="0"/>
              <w:left w:val="single" w:color="000000" w:sz="2" w:space="0"/>
              <w:bottom w:val="single" w:color="000000" w:sz="2" w:space="0"/>
              <w:right w:val="single" w:color="000000" w:sz="2" w:space="0"/>
            </w:tcBorders>
            <w:vAlign w:val="center"/>
          </w:tcPr>
          <w:p w14:paraId="2C4D03A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4.21</w:t>
            </w:r>
          </w:p>
        </w:tc>
        <w:tc>
          <w:tcPr>
            <w:tcW w:w="283" w:type="pct"/>
            <w:tcBorders>
              <w:top w:val="single" w:color="000000" w:sz="2" w:space="0"/>
              <w:left w:val="single" w:color="000000" w:sz="2" w:space="0"/>
              <w:bottom w:val="single" w:color="000000" w:sz="2" w:space="0"/>
              <w:right w:val="single" w:color="000000" w:sz="2" w:space="0"/>
            </w:tcBorders>
            <w:vAlign w:val="center"/>
          </w:tcPr>
          <w:p w14:paraId="219239E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4.05</w:t>
            </w:r>
          </w:p>
        </w:tc>
        <w:tc>
          <w:tcPr>
            <w:tcW w:w="295" w:type="pct"/>
            <w:tcBorders>
              <w:top w:val="single" w:color="000000" w:sz="2" w:space="0"/>
              <w:left w:val="single" w:color="000000" w:sz="2" w:space="0"/>
              <w:bottom w:val="single" w:color="000000" w:sz="2" w:space="0"/>
              <w:right w:val="single" w:color="000000" w:sz="2" w:space="0"/>
            </w:tcBorders>
            <w:vAlign w:val="center"/>
          </w:tcPr>
          <w:p w14:paraId="01C3D55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2.07</w:t>
            </w:r>
          </w:p>
        </w:tc>
        <w:tc>
          <w:tcPr>
            <w:tcW w:w="272" w:type="pct"/>
            <w:tcBorders>
              <w:top w:val="single" w:color="000000" w:sz="2" w:space="0"/>
              <w:left w:val="single" w:color="000000" w:sz="2" w:space="0"/>
              <w:bottom w:val="single" w:color="000000" w:sz="2" w:space="0"/>
              <w:right w:val="single" w:color="000000" w:sz="2" w:space="0"/>
            </w:tcBorders>
            <w:vAlign w:val="center"/>
          </w:tcPr>
          <w:p w14:paraId="50DB571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1.16</w:t>
            </w:r>
          </w:p>
        </w:tc>
        <w:tc>
          <w:tcPr>
            <w:tcW w:w="272" w:type="pct"/>
            <w:tcBorders>
              <w:top w:val="single" w:color="000000" w:sz="2" w:space="0"/>
              <w:left w:val="single" w:color="000000" w:sz="2" w:space="0"/>
              <w:bottom w:val="single" w:color="000000" w:sz="2" w:space="0"/>
              <w:right w:val="single" w:color="000000" w:sz="2" w:space="0"/>
            </w:tcBorders>
            <w:vAlign w:val="center"/>
          </w:tcPr>
          <w:p w14:paraId="09A834C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2.52</w:t>
            </w:r>
          </w:p>
        </w:tc>
        <w:tc>
          <w:tcPr>
            <w:tcW w:w="283" w:type="pct"/>
            <w:tcBorders>
              <w:top w:val="single" w:color="000000" w:sz="2" w:space="0"/>
              <w:left w:val="single" w:color="000000" w:sz="2" w:space="0"/>
              <w:bottom w:val="single" w:color="000000" w:sz="2" w:space="0"/>
              <w:right w:val="single" w:color="000000" w:sz="8" w:space="0"/>
            </w:tcBorders>
            <w:vAlign w:val="center"/>
          </w:tcPr>
          <w:p w14:paraId="14FE25C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4.27</w:t>
            </w:r>
          </w:p>
        </w:tc>
      </w:tr>
      <w:tr w14:paraId="33A9644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72F9D93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760F415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11.03</w:t>
            </w:r>
          </w:p>
        </w:tc>
        <w:tc>
          <w:tcPr>
            <w:tcW w:w="271" w:type="pct"/>
            <w:tcBorders>
              <w:top w:val="single" w:color="000000" w:sz="2" w:space="0"/>
              <w:left w:val="single" w:color="000000" w:sz="2" w:space="0"/>
              <w:bottom w:val="single" w:color="000000" w:sz="2" w:space="0"/>
              <w:right w:val="single" w:color="000000" w:sz="2" w:space="0"/>
            </w:tcBorders>
            <w:vAlign w:val="center"/>
          </w:tcPr>
          <w:p w14:paraId="424A742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2.63</w:t>
            </w:r>
          </w:p>
        </w:tc>
        <w:tc>
          <w:tcPr>
            <w:tcW w:w="276" w:type="pct"/>
            <w:tcBorders>
              <w:top w:val="single" w:color="000000" w:sz="2" w:space="0"/>
              <w:left w:val="single" w:color="000000" w:sz="2" w:space="0"/>
              <w:bottom w:val="single" w:color="000000" w:sz="2" w:space="0"/>
              <w:right w:val="single" w:color="000000" w:sz="2" w:space="0"/>
            </w:tcBorders>
            <w:vAlign w:val="center"/>
          </w:tcPr>
          <w:p w14:paraId="3D56FC5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2.18</w:t>
            </w:r>
          </w:p>
        </w:tc>
        <w:tc>
          <w:tcPr>
            <w:tcW w:w="283" w:type="pct"/>
            <w:tcBorders>
              <w:top w:val="single" w:color="000000" w:sz="2" w:space="0"/>
              <w:left w:val="single" w:color="000000" w:sz="2" w:space="0"/>
              <w:bottom w:val="single" w:color="000000" w:sz="2" w:space="0"/>
              <w:right w:val="single" w:color="000000" w:sz="2" w:space="0"/>
            </w:tcBorders>
            <w:vAlign w:val="center"/>
          </w:tcPr>
          <w:p w14:paraId="4D1C9A2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3.36</w:t>
            </w:r>
          </w:p>
        </w:tc>
        <w:tc>
          <w:tcPr>
            <w:tcW w:w="272" w:type="pct"/>
            <w:tcBorders>
              <w:top w:val="single" w:color="000000" w:sz="2" w:space="0"/>
              <w:left w:val="single" w:color="000000" w:sz="2" w:space="0"/>
              <w:bottom w:val="single" w:color="000000" w:sz="2" w:space="0"/>
              <w:right w:val="single" w:color="000000" w:sz="2" w:space="0"/>
            </w:tcBorders>
            <w:vAlign w:val="center"/>
          </w:tcPr>
          <w:p w14:paraId="5D53D67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2.67</w:t>
            </w:r>
          </w:p>
        </w:tc>
        <w:tc>
          <w:tcPr>
            <w:tcW w:w="272" w:type="pct"/>
            <w:tcBorders>
              <w:top w:val="single" w:color="000000" w:sz="2" w:space="0"/>
              <w:left w:val="single" w:color="000000" w:sz="2" w:space="0"/>
              <w:bottom w:val="single" w:color="000000" w:sz="2" w:space="0"/>
              <w:right w:val="single" w:color="000000" w:sz="2" w:space="0"/>
            </w:tcBorders>
            <w:vAlign w:val="center"/>
          </w:tcPr>
          <w:p w14:paraId="7457617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2.56</w:t>
            </w:r>
          </w:p>
        </w:tc>
        <w:tc>
          <w:tcPr>
            <w:tcW w:w="272" w:type="pct"/>
            <w:tcBorders>
              <w:top w:val="single" w:color="000000" w:sz="2" w:space="0"/>
              <w:left w:val="single" w:color="000000" w:sz="2" w:space="0"/>
              <w:bottom w:val="single" w:color="000000" w:sz="2" w:space="0"/>
              <w:right w:val="single" w:color="000000" w:sz="2" w:space="0"/>
            </w:tcBorders>
            <w:vAlign w:val="center"/>
          </w:tcPr>
          <w:p w14:paraId="5742914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3.85</w:t>
            </w:r>
          </w:p>
        </w:tc>
        <w:tc>
          <w:tcPr>
            <w:tcW w:w="283" w:type="pct"/>
            <w:tcBorders>
              <w:top w:val="single" w:color="000000" w:sz="2" w:space="0"/>
              <w:left w:val="single" w:color="000000" w:sz="2" w:space="0"/>
              <w:bottom w:val="single" w:color="000000" w:sz="2" w:space="0"/>
              <w:right w:val="single" w:color="000000" w:sz="2" w:space="0"/>
            </w:tcBorders>
            <w:vAlign w:val="center"/>
          </w:tcPr>
          <w:p w14:paraId="2FCB5D0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4.07</w:t>
            </w:r>
          </w:p>
        </w:tc>
        <w:tc>
          <w:tcPr>
            <w:tcW w:w="265" w:type="pct"/>
            <w:tcBorders>
              <w:top w:val="single" w:color="000000" w:sz="2" w:space="0"/>
              <w:left w:val="single" w:color="000000" w:sz="2" w:space="0"/>
              <w:bottom w:val="single" w:color="000000" w:sz="2" w:space="0"/>
              <w:right w:val="single" w:color="000000" w:sz="2" w:space="0"/>
            </w:tcBorders>
            <w:vAlign w:val="center"/>
          </w:tcPr>
          <w:p w14:paraId="27BCBD6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7.96</w:t>
            </w:r>
          </w:p>
        </w:tc>
        <w:tc>
          <w:tcPr>
            <w:tcW w:w="301" w:type="pct"/>
            <w:tcBorders>
              <w:top w:val="single" w:color="000000" w:sz="2" w:space="0"/>
              <w:left w:val="single" w:color="000000" w:sz="2" w:space="0"/>
              <w:bottom w:val="single" w:color="000000" w:sz="2" w:space="0"/>
              <w:right w:val="single" w:color="000000" w:sz="2" w:space="0"/>
            </w:tcBorders>
            <w:vAlign w:val="center"/>
          </w:tcPr>
          <w:p w14:paraId="0EBA9C1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5.61</w:t>
            </w:r>
          </w:p>
        </w:tc>
        <w:tc>
          <w:tcPr>
            <w:tcW w:w="283" w:type="pct"/>
            <w:tcBorders>
              <w:top w:val="single" w:color="000000" w:sz="2" w:space="0"/>
              <w:left w:val="single" w:color="000000" w:sz="2" w:space="0"/>
              <w:bottom w:val="single" w:color="000000" w:sz="2" w:space="0"/>
              <w:right w:val="single" w:color="000000" w:sz="2" w:space="0"/>
            </w:tcBorders>
            <w:vAlign w:val="center"/>
          </w:tcPr>
          <w:p w14:paraId="2802F46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5.81</w:t>
            </w:r>
          </w:p>
        </w:tc>
        <w:tc>
          <w:tcPr>
            <w:tcW w:w="283" w:type="pct"/>
            <w:tcBorders>
              <w:top w:val="single" w:color="000000" w:sz="2" w:space="0"/>
              <w:left w:val="single" w:color="000000" w:sz="2" w:space="0"/>
              <w:bottom w:val="single" w:color="000000" w:sz="2" w:space="0"/>
              <w:right w:val="single" w:color="000000" w:sz="2" w:space="0"/>
            </w:tcBorders>
            <w:vAlign w:val="center"/>
          </w:tcPr>
          <w:p w14:paraId="1465CE6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4.48</w:t>
            </w:r>
          </w:p>
        </w:tc>
        <w:tc>
          <w:tcPr>
            <w:tcW w:w="283" w:type="pct"/>
            <w:tcBorders>
              <w:top w:val="single" w:color="000000" w:sz="2" w:space="0"/>
              <w:left w:val="single" w:color="000000" w:sz="2" w:space="0"/>
              <w:bottom w:val="single" w:color="000000" w:sz="2" w:space="0"/>
              <w:right w:val="single" w:color="000000" w:sz="2" w:space="0"/>
            </w:tcBorders>
            <w:vAlign w:val="center"/>
          </w:tcPr>
          <w:p w14:paraId="20AD3DB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5.88</w:t>
            </w:r>
          </w:p>
        </w:tc>
        <w:tc>
          <w:tcPr>
            <w:tcW w:w="295" w:type="pct"/>
            <w:tcBorders>
              <w:top w:val="single" w:color="000000" w:sz="2" w:space="0"/>
              <w:left w:val="single" w:color="000000" w:sz="2" w:space="0"/>
              <w:bottom w:val="single" w:color="000000" w:sz="2" w:space="0"/>
              <w:right w:val="single" w:color="000000" w:sz="2" w:space="0"/>
            </w:tcBorders>
            <w:vAlign w:val="center"/>
          </w:tcPr>
          <w:p w14:paraId="31252A3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3.09</w:t>
            </w:r>
          </w:p>
        </w:tc>
        <w:tc>
          <w:tcPr>
            <w:tcW w:w="272" w:type="pct"/>
            <w:tcBorders>
              <w:top w:val="single" w:color="000000" w:sz="2" w:space="0"/>
              <w:left w:val="single" w:color="000000" w:sz="2" w:space="0"/>
              <w:bottom w:val="single" w:color="000000" w:sz="2" w:space="0"/>
              <w:right w:val="single" w:color="000000" w:sz="2" w:space="0"/>
            </w:tcBorders>
            <w:vAlign w:val="center"/>
          </w:tcPr>
          <w:p w14:paraId="79D225B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2.59</w:t>
            </w:r>
          </w:p>
        </w:tc>
        <w:tc>
          <w:tcPr>
            <w:tcW w:w="272" w:type="pct"/>
            <w:tcBorders>
              <w:top w:val="single" w:color="000000" w:sz="2" w:space="0"/>
              <w:left w:val="single" w:color="000000" w:sz="2" w:space="0"/>
              <w:bottom w:val="single" w:color="000000" w:sz="2" w:space="0"/>
              <w:right w:val="single" w:color="000000" w:sz="2" w:space="0"/>
            </w:tcBorders>
            <w:vAlign w:val="center"/>
          </w:tcPr>
          <w:p w14:paraId="0DFD1F1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1.26</w:t>
            </w:r>
          </w:p>
        </w:tc>
        <w:tc>
          <w:tcPr>
            <w:tcW w:w="283" w:type="pct"/>
            <w:tcBorders>
              <w:top w:val="single" w:color="000000" w:sz="2" w:space="0"/>
              <w:left w:val="single" w:color="000000" w:sz="2" w:space="0"/>
              <w:bottom w:val="single" w:color="000000" w:sz="2" w:space="0"/>
              <w:right w:val="single" w:color="000000" w:sz="8" w:space="0"/>
            </w:tcBorders>
            <w:vAlign w:val="center"/>
          </w:tcPr>
          <w:p w14:paraId="429D9D5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4.31</w:t>
            </w:r>
          </w:p>
        </w:tc>
      </w:tr>
      <w:tr w14:paraId="42A0374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0479AE1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4B17C90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17.36</w:t>
            </w:r>
          </w:p>
        </w:tc>
        <w:tc>
          <w:tcPr>
            <w:tcW w:w="271" w:type="pct"/>
            <w:tcBorders>
              <w:top w:val="single" w:color="000000" w:sz="2" w:space="0"/>
              <w:left w:val="single" w:color="000000" w:sz="2" w:space="0"/>
              <w:bottom w:val="single" w:color="000000" w:sz="2" w:space="0"/>
              <w:right w:val="single" w:color="000000" w:sz="2" w:space="0"/>
            </w:tcBorders>
            <w:vAlign w:val="center"/>
          </w:tcPr>
          <w:p w14:paraId="6A88A96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2.14</w:t>
            </w:r>
          </w:p>
        </w:tc>
        <w:tc>
          <w:tcPr>
            <w:tcW w:w="276" w:type="pct"/>
            <w:tcBorders>
              <w:top w:val="single" w:color="000000" w:sz="2" w:space="0"/>
              <w:left w:val="single" w:color="000000" w:sz="2" w:space="0"/>
              <w:bottom w:val="single" w:color="000000" w:sz="2" w:space="0"/>
              <w:right w:val="single" w:color="000000" w:sz="2" w:space="0"/>
            </w:tcBorders>
            <w:vAlign w:val="center"/>
          </w:tcPr>
          <w:p w14:paraId="17D7984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2.42</w:t>
            </w:r>
          </w:p>
        </w:tc>
        <w:tc>
          <w:tcPr>
            <w:tcW w:w="283" w:type="pct"/>
            <w:tcBorders>
              <w:top w:val="single" w:color="000000" w:sz="2" w:space="0"/>
              <w:left w:val="single" w:color="000000" w:sz="2" w:space="0"/>
              <w:bottom w:val="single" w:color="000000" w:sz="2" w:space="0"/>
              <w:right w:val="single" w:color="000000" w:sz="2" w:space="0"/>
            </w:tcBorders>
            <w:vAlign w:val="center"/>
          </w:tcPr>
          <w:p w14:paraId="44FAB18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5.08</w:t>
            </w:r>
          </w:p>
        </w:tc>
        <w:tc>
          <w:tcPr>
            <w:tcW w:w="272" w:type="pct"/>
            <w:tcBorders>
              <w:top w:val="single" w:color="000000" w:sz="2" w:space="0"/>
              <w:left w:val="single" w:color="000000" w:sz="2" w:space="0"/>
              <w:bottom w:val="single" w:color="000000" w:sz="2" w:space="0"/>
              <w:right w:val="single" w:color="000000" w:sz="2" w:space="0"/>
            </w:tcBorders>
            <w:vAlign w:val="center"/>
          </w:tcPr>
          <w:p w14:paraId="6079E6B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6.03</w:t>
            </w:r>
          </w:p>
        </w:tc>
        <w:tc>
          <w:tcPr>
            <w:tcW w:w="272" w:type="pct"/>
            <w:tcBorders>
              <w:top w:val="single" w:color="000000" w:sz="2" w:space="0"/>
              <w:left w:val="single" w:color="000000" w:sz="2" w:space="0"/>
              <w:bottom w:val="single" w:color="000000" w:sz="2" w:space="0"/>
              <w:right w:val="single" w:color="000000" w:sz="2" w:space="0"/>
            </w:tcBorders>
            <w:vAlign w:val="center"/>
          </w:tcPr>
          <w:p w14:paraId="3F95677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4.49</w:t>
            </w:r>
          </w:p>
        </w:tc>
        <w:tc>
          <w:tcPr>
            <w:tcW w:w="272" w:type="pct"/>
            <w:tcBorders>
              <w:top w:val="single" w:color="000000" w:sz="2" w:space="0"/>
              <w:left w:val="single" w:color="000000" w:sz="2" w:space="0"/>
              <w:bottom w:val="single" w:color="000000" w:sz="2" w:space="0"/>
              <w:right w:val="single" w:color="000000" w:sz="2" w:space="0"/>
            </w:tcBorders>
            <w:vAlign w:val="center"/>
          </w:tcPr>
          <w:p w14:paraId="61AFA17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4.67</w:t>
            </w:r>
          </w:p>
        </w:tc>
        <w:tc>
          <w:tcPr>
            <w:tcW w:w="283" w:type="pct"/>
            <w:tcBorders>
              <w:top w:val="single" w:color="000000" w:sz="2" w:space="0"/>
              <w:left w:val="single" w:color="000000" w:sz="2" w:space="0"/>
              <w:bottom w:val="single" w:color="000000" w:sz="2" w:space="0"/>
              <w:right w:val="single" w:color="000000" w:sz="2" w:space="0"/>
            </w:tcBorders>
            <w:vAlign w:val="center"/>
          </w:tcPr>
          <w:p w14:paraId="29D22C8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4.37</w:t>
            </w:r>
          </w:p>
        </w:tc>
        <w:tc>
          <w:tcPr>
            <w:tcW w:w="265" w:type="pct"/>
            <w:tcBorders>
              <w:top w:val="single" w:color="000000" w:sz="2" w:space="0"/>
              <w:left w:val="single" w:color="000000" w:sz="2" w:space="0"/>
              <w:bottom w:val="single" w:color="000000" w:sz="2" w:space="0"/>
              <w:right w:val="single" w:color="000000" w:sz="2" w:space="0"/>
            </w:tcBorders>
            <w:vAlign w:val="center"/>
          </w:tcPr>
          <w:p w14:paraId="7F02BF6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7.54</w:t>
            </w:r>
          </w:p>
        </w:tc>
        <w:tc>
          <w:tcPr>
            <w:tcW w:w="301" w:type="pct"/>
            <w:tcBorders>
              <w:top w:val="single" w:color="000000" w:sz="2" w:space="0"/>
              <w:left w:val="single" w:color="000000" w:sz="2" w:space="0"/>
              <w:bottom w:val="single" w:color="000000" w:sz="2" w:space="0"/>
              <w:right w:val="single" w:color="000000" w:sz="2" w:space="0"/>
            </w:tcBorders>
            <w:vAlign w:val="center"/>
          </w:tcPr>
          <w:p w14:paraId="2776EC5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5.30</w:t>
            </w:r>
          </w:p>
        </w:tc>
        <w:tc>
          <w:tcPr>
            <w:tcW w:w="283" w:type="pct"/>
            <w:tcBorders>
              <w:top w:val="single" w:color="000000" w:sz="2" w:space="0"/>
              <w:left w:val="single" w:color="000000" w:sz="2" w:space="0"/>
              <w:bottom w:val="single" w:color="000000" w:sz="2" w:space="0"/>
              <w:right w:val="single" w:color="000000" w:sz="2" w:space="0"/>
            </w:tcBorders>
            <w:vAlign w:val="center"/>
          </w:tcPr>
          <w:p w14:paraId="1856093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7.01</w:t>
            </w:r>
          </w:p>
        </w:tc>
        <w:tc>
          <w:tcPr>
            <w:tcW w:w="283" w:type="pct"/>
            <w:tcBorders>
              <w:top w:val="single" w:color="000000" w:sz="2" w:space="0"/>
              <w:left w:val="single" w:color="000000" w:sz="2" w:space="0"/>
              <w:bottom w:val="single" w:color="000000" w:sz="2" w:space="0"/>
              <w:right w:val="single" w:color="000000" w:sz="2" w:space="0"/>
            </w:tcBorders>
            <w:vAlign w:val="center"/>
          </w:tcPr>
          <w:p w14:paraId="37AD737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3.20</w:t>
            </w:r>
          </w:p>
        </w:tc>
        <w:tc>
          <w:tcPr>
            <w:tcW w:w="283" w:type="pct"/>
            <w:tcBorders>
              <w:top w:val="single" w:color="000000" w:sz="2" w:space="0"/>
              <w:left w:val="single" w:color="000000" w:sz="2" w:space="0"/>
              <w:bottom w:val="single" w:color="000000" w:sz="2" w:space="0"/>
              <w:right w:val="single" w:color="000000" w:sz="2" w:space="0"/>
            </w:tcBorders>
            <w:vAlign w:val="center"/>
          </w:tcPr>
          <w:p w14:paraId="1433F50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6.18</w:t>
            </w:r>
          </w:p>
        </w:tc>
        <w:tc>
          <w:tcPr>
            <w:tcW w:w="295" w:type="pct"/>
            <w:tcBorders>
              <w:top w:val="single" w:color="000000" w:sz="2" w:space="0"/>
              <w:left w:val="single" w:color="000000" w:sz="2" w:space="0"/>
              <w:bottom w:val="single" w:color="000000" w:sz="2" w:space="0"/>
              <w:right w:val="single" w:color="000000" w:sz="2" w:space="0"/>
            </w:tcBorders>
            <w:vAlign w:val="center"/>
          </w:tcPr>
          <w:p w14:paraId="284AC72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4.31</w:t>
            </w:r>
          </w:p>
        </w:tc>
        <w:tc>
          <w:tcPr>
            <w:tcW w:w="272" w:type="pct"/>
            <w:tcBorders>
              <w:top w:val="single" w:color="000000" w:sz="2" w:space="0"/>
              <w:left w:val="single" w:color="000000" w:sz="2" w:space="0"/>
              <w:bottom w:val="single" w:color="000000" w:sz="2" w:space="0"/>
              <w:right w:val="single" w:color="000000" w:sz="2" w:space="0"/>
            </w:tcBorders>
            <w:vAlign w:val="center"/>
          </w:tcPr>
          <w:p w14:paraId="57C63DC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2.55</w:t>
            </w:r>
          </w:p>
        </w:tc>
        <w:tc>
          <w:tcPr>
            <w:tcW w:w="272" w:type="pct"/>
            <w:tcBorders>
              <w:top w:val="single" w:color="000000" w:sz="2" w:space="0"/>
              <w:left w:val="single" w:color="000000" w:sz="2" w:space="0"/>
              <w:bottom w:val="single" w:color="000000" w:sz="2" w:space="0"/>
              <w:right w:val="single" w:color="000000" w:sz="2" w:space="0"/>
            </w:tcBorders>
            <w:vAlign w:val="center"/>
          </w:tcPr>
          <w:p w14:paraId="6B3D517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1.76</w:t>
            </w:r>
          </w:p>
        </w:tc>
        <w:tc>
          <w:tcPr>
            <w:tcW w:w="283" w:type="pct"/>
            <w:tcBorders>
              <w:top w:val="single" w:color="000000" w:sz="2" w:space="0"/>
              <w:left w:val="single" w:color="000000" w:sz="2" w:space="0"/>
              <w:bottom w:val="single" w:color="000000" w:sz="2" w:space="0"/>
              <w:right w:val="single" w:color="000000" w:sz="8" w:space="0"/>
            </w:tcBorders>
            <w:vAlign w:val="center"/>
          </w:tcPr>
          <w:p w14:paraId="2A6A147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5.28</w:t>
            </w:r>
          </w:p>
        </w:tc>
      </w:tr>
      <w:tr w14:paraId="3421EEA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1774958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w:t>
            </w:r>
            <w:r>
              <w:rPr>
                <w:rFonts w:ascii="宋体" w:hAnsi="宋体" w:eastAsia="Times New Roman"/>
                <w:color w:val="auto"/>
                <w:sz w:val="21"/>
                <w:szCs w:val="21"/>
              </w:rPr>
              <w:t>月</w:t>
            </w:r>
          </w:p>
        </w:tc>
        <w:tc>
          <w:tcPr>
            <w:tcW w:w="269" w:type="pct"/>
            <w:tcBorders>
              <w:top w:val="single" w:color="000000" w:sz="2" w:space="0"/>
              <w:left w:val="single" w:color="000000" w:sz="2" w:space="0"/>
              <w:bottom w:val="single" w:color="000000" w:sz="2" w:space="0"/>
              <w:right w:val="single" w:color="000000" w:sz="2" w:space="0"/>
            </w:tcBorders>
            <w:vAlign w:val="center"/>
          </w:tcPr>
          <w:p w14:paraId="6E99188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30.16</w:t>
            </w:r>
          </w:p>
        </w:tc>
        <w:tc>
          <w:tcPr>
            <w:tcW w:w="271" w:type="pct"/>
            <w:tcBorders>
              <w:top w:val="single" w:color="000000" w:sz="2" w:space="0"/>
              <w:left w:val="single" w:color="000000" w:sz="2" w:space="0"/>
              <w:bottom w:val="single" w:color="000000" w:sz="2" w:space="0"/>
              <w:right w:val="single" w:color="000000" w:sz="2" w:space="0"/>
            </w:tcBorders>
            <w:vAlign w:val="center"/>
          </w:tcPr>
          <w:p w14:paraId="024E237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3.17</w:t>
            </w:r>
          </w:p>
        </w:tc>
        <w:tc>
          <w:tcPr>
            <w:tcW w:w="276" w:type="pct"/>
            <w:tcBorders>
              <w:top w:val="single" w:color="000000" w:sz="2" w:space="0"/>
              <w:left w:val="single" w:color="000000" w:sz="2" w:space="0"/>
              <w:bottom w:val="single" w:color="000000" w:sz="2" w:space="0"/>
              <w:right w:val="single" w:color="000000" w:sz="2" w:space="0"/>
            </w:tcBorders>
            <w:vAlign w:val="center"/>
          </w:tcPr>
          <w:p w14:paraId="0AB3905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3.62</w:t>
            </w:r>
          </w:p>
        </w:tc>
        <w:tc>
          <w:tcPr>
            <w:tcW w:w="283" w:type="pct"/>
            <w:tcBorders>
              <w:top w:val="single" w:color="000000" w:sz="2" w:space="0"/>
              <w:left w:val="single" w:color="000000" w:sz="2" w:space="0"/>
              <w:bottom w:val="single" w:color="000000" w:sz="2" w:space="0"/>
              <w:right w:val="single" w:color="000000" w:sz="2" w:space="0"/>
            </w:tcBorders>
            <w:vAlign w:val="center"/>
          </w:tcPr>
          <w:p w14:paraId="25B4C94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9.28</w:t>
            </w:r>
          </w:p>
        </w:tc>
        <w:tc>
          <w:tcPr>
            <w:tcW w:w="272" w:type="pct"/>
            <w:tcBorders>
              <w:top w:val="single" w:color="000000" w:sz="2" w:space="0"/>
              <w:left w:val="single" w:color="000000" w:sz="2" w:space="0"/>
              <w:bottom w:val="single" w:color="000000" w:sz="2" w:space="0"/>
              <w:right w:val="single" w:color="000000" w:sz="2" w:space="0"/>
            </w:tcBorders>
            <w:vAlign w:val="center"/>
          </w:tcPr>
          <w:p w14:paraId="239A5C5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13.44</w:t>
            </w:r>
          </w:p>
        </w:tc>
        <w:tc>
          <w:tcPr>
            <w:tcW w:w="272" w:type="pct"/>
            <w:tcBorders>
              <w:top w:val="single" w:color="000000" w:sz="2" w:space="0"/>
              <w:left w:val="single" w:color="000000" w:sz="2" w:space="0"/>
              <w:bottom w:val="single" w:color="000000" w:sz="2" w:space="0"/>
              <w:right w:val="single" w:color="000000" w:sz="2" w:space="0"/>
            </w:tcBorders>
            <w:vAlign w:val="center"/>
          </w:tcPr>
          <w:p w14:paraId="73D518A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7.34</w:t>
            </w:r>
          </w:p>
        </w:tc>
        <w:tc>
          <w:tcPr>
            <w:tcW w:w="272" w:type="pct"/>
            <w:tcBorders>
              <w:top w:val="single" w:color="000000" w:sz="2" w:space="0"/>
              <w:left w:val="single" w:color="000000" w:sz="2" w:space="0"/>
              <w:bottom w:val="single" w:color="000000" w:sz="2" w:space="0"/>
              <w:right w:val="single" w:color="000000" w:sz="2" w:space="0"/>
            </w:tcBorders>
            <w:vAlign w:val="center"/>
          </w:tcPr>
          <w:p w14:paraId="511EE8B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3.86</w:t>
            </w:r>
          </w:p>
        </w:tc>
        <w:tc>
          <w:tcPr>
            <w:tcW w:w="283" w:type="pct"/>
            <w:tcBorders>
              <w:top w:val="single" w:color="000000" w:sz="2" w:space="0"/>
              <w:left w:val="single" w:color="000000" w:sz="2" w:space="0"/>
              <w:bottom w:val="single" w:color="000000" w:sz="2" w:space="0"/>
              <w:right w:val="single" w:color="000000" w:sz="2" w:space="0"/>
            </w:tcBorders>
            <w:vAlign w:val="center"/>
          </w:tcPr>
          <w:p w14:paraId="29D1847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3.08</w:t>
            </w:r>
          </w:p>
        </w:tc>
        <w:tc>
          <w:tcPr>
            <w:tcW w:w="265" w:type="pct"/>
            <w:tcBorders>
              <w:top w:val="single" w:color="000000" w:sz="2" w:space="0"/>
              <w:left w:val="single" w:color="000000" w:sz="2" w:space="0"/>
              <w:bottom w:val="single" w:color="000000" w:sz="2" w:space="0"/>
              <w:right w:val="single" w:color="000000" w:sz="2" w:space="0"/>
            </w:tcBorders>
            <w:vAlign w:val="center"/>
          </w:tcPr>
          <w:p w14:paraId="65D3FC4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1.46</w:t>
            </w:r>
          </w:p>
        </w:tc>
        <w:tc>
          <w:tcPr>
            <w:tcW w:w="301" w:type="pct"/>
            <w:tcBorders>
              <w:top w:val="single" w:color="000000" w:sz="2" w:space="0"/>
              <w:left w:val="single" w:color="000000" w:sz="2" w:space="0"/>
              <w:bottom w:val="single" w:color="000000" w:sz="2" w:space="0"/>
              <w:right w:val="single" w:color="000000" w:sz="2" w:space="0"/>
            </w:tcBorders>
            <w:vAlign w:val="center"/>
          </w:tcPr>
          <w:p w14:paraId="1083413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0.40</w:t>
            </w:r>
          </w:p>
        </w:tc>
        <w:tc>
          <w:tcPr>
            <w:tcW w:w="283" w:type="pct"/>
            <w:tcBorders>
              <w:top w:val="single" w:color="000000" w:sz="2" w:space="0"/>
              <w:left w:val="single" w:color="000000" w:sz="2" w:space="0"/>
              <w:bottom w:val="single" w:color="000000" w:sz="2" w:space="0"/>
              <w:right w:val="single" w:color="000000" w:sz="2" w:space="0"/>
            </w:tcBorders>
            <w:vAlign w:val="center"/>
          </w:tcPr>
          <w:p w14:paraId="166883C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1.19</w:t>
            </w:r>
          </w:p>
        </w:tc>
        <w:tc>
          <w:tcPr>
            <w:tcW w:w="283" w:type="pct"/>
            <w:tcBorders>
              <w:top w:val="single" w:color="000000" w:sz="2" w:space="0"/>
              <w:left w:val="single" w:color="000000" w:sz="2" w:space="0"/>
              <w:bottom w:val="single" w:color="000000" w:sz="2" w:space="0"/>
              <w:right w:val="single" w:color="000000" w:sz="2" w:space="0"/>
            </w:tcBorders>
            <w:vAlign w:val="center"/>
          </w:tcPr>
          <w:p w14:paraId="42949C7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1.52</w:t>
            </w:r>
          </w:p>
        </w:tc>
        <w:tc>
          <w:tcPr>
            <w:tcW w:w="283" w:type="pct"/>
            <w:tcBorders>
              <w:top w:val="single" w:color="000000" w:sz="2" w:space="0"/>
              <w:left w:val="single" w:color="000000" w:sz="2" w:space="0"/>
              <w:bottom w:val="single" w:color="000000" w:sz="2" w:space="0"/>
              <w:right w:val="single" w:color="000000" w:sz="2" w:space="0"/>
            </w:tcBorders>
            <w:vAlign w:val="center"/>
          </w:tcPr>
          <w:p w14:paraId="5A42A6D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6.31</w:t>
            </w:r>
          </w:p>
        </w:tc>
        <w:tc>
          <w:tcPr>
            <w:tcW w:w="295" w:type="pct"/>
            <w:tcBorders>
              <w:top w:val="single" w:color="000000" w:sz="2" w:space="0"/>
              <w:left w:val="single" w:color="000000" w:sz="2" w:space="0"/>
              <w:bottom w:val="single" w:color="000000" w:sz="2" w:space="0"/>
              <w:right w:val="single" w:color="000000" w:sz="2" w:space="0"/>
            </w:tcBorders>
            <w:vAlign w:val="center"/>
          </w:tcPr>
          <w:p w14:paraId="4A086A3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4.94</w:t>
            </w:r>
          </w:p>
        </w:tc>
        <w:tc>
          <w:tcPr>
            <w:tcW w:w="272" w:type="pct"/>
            <w:tcBorders>
              <w:top w:val="single" w:color="000000" w:sz="2" w:space="0"/>
              <w:left w:val="single" w:color="000000" w:sz="2" w:space="0"/>
              <w:bottom w:val="single" w:color="000000" w:sz="2" w:space="0"/>
              <w:right w:val="single" w:color="000000" w:sz="2" w:space="0"/>
            </w:tcBorders>
            <w:vAlign w:val="center"/>
          </w:tcPr>
          <w:p w14:paraId="3FE08CF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5.92</w:t>
            </w:r>
          </w:p>
        </w:tc>
        <w:tc>
          <w:tcPr>
            <w:tcW w:w="272" w:type="pct"/>
            <w:tcBorders>
              <w:top w:val="single" w:color="000000" w:sz="2" w:space="0"/>
              <w:left w:val="single" w:color="000000" w:sz="2" w:space="0"/>
              <w:bottom w:val="single" w:color="000000" w:sz="2" w:space="0"/>
              <w:right w:val="single" w:color="000000" w:sz="2" w:space="0"/>
            </w:tcBorders>
            <w:vAlign w:val="center"/>
          </w:tcPr>
          <w:p w14:paraId="248C9B4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3.36</w:t>
            </w:r>
          </w:p>
        </w:tc>
        <w:tc>
          <w:tcPr>
            <w:tcW w:w="283" w:type="pct"/>
            <w:tcBorders>
              <w:top w:val="single" w:color="000000" w:sz="2" w:space="0"/>
              <w:left w:val="single" w:color="000000" w:sz="2" w:space="0"/>
              <w:bottom w:val="single" w:color="000000" w:sz="2" w:space="0"/>
              <w:right w:val="single" w:color="000000" w:sz="8" w:space="0"/>
            </w:tcBorders>
            <w:vAlign w:val="center"/>
          </w:tcPr>
          <w:p w14:paraId="412E9BF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6.19</w:t>
            </w:r>
          </w:p>
        </w:tc>
      </w:tr>
      <w:tr w14:paraId="7572593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14CE5989">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年</w:t>
            </w:r>
          </w:p>
        </w:tc>
        <w:tc>
          <w:tcPr>
            <w:tcW w:w="269" w:type="pct"/>
            <w:tcBorders>
              <w:top w:val="single" w:color="000000" w:sz="2" w:space="0"/>
              <w:left w:val="single" w:color="000000" w:sz="2" w:space="0"/>
              <w:bottom w:val="single" w:color="000000" w:sz="2" w:space="0"/>
              <w:right w:val="single" w:color="000000" w:sz="2" w:space="0"/>
            </w:tcBorders>
            <w:vAlign w:val="center"/>
          </w:tcPr>
          <w:p w14:paraId="4B4DABD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10.56</w:t>
            </w:r>
          </w:p>
        </w:tc>
        <w:tc>
          <w:tcPr>
            <w:tcW w:w="271" w:type="pct"/>
            <w:tcBorders>
              <w:top w:val="single" w:color="000000" w:sz="2" w:space="0"/>
              <w:left w:val="single" w:color="000000" w:sz="2" w:space="0"/>
              <w:bottom w:val="single" w:color="000000" w:sz="2" w:space="0"/>
              <w:right w:val="single" w:color="000000" w:sz="2" w:space="0"/>
            </w:tcBorders>
            <w:vAlign w:val="center"/>
          </w:tcPr>
          <w:p w14:paraId="7DC562F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2.54</w:t>
            </w:r>
          </w:p>
        </w:tc>
        <w:tc>
          <w:tcPr>
            <w:tcW w:w="276" w:type="pct"/>
            <w:tcBorders>
              <w:top w:val="single" w:color="000000" w:sz="2" w:space="0"/>
              <w:left w:val="single" w:color="000000" w:sz="2" w:space="0"/>
              <w:bottom w:val="single" w:color="000000" w:sz="2" w:space="0"/>
              <w:right w:val="single" w:color="000000" w:sz="2" w:space="0"/>
            </w:tcBorders>
            <w:vAlign w:val="center"/>
          </w:tcPr>
          <w:p w14:paraId="1872891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2.57</w:t>
            </w:r>
          </w:p>
        </w:tc>
        <w:tc>
          <w:tcPr>
            <w:tcW w:w="283" w:type="pct"/>
            <w:tcBorders>
              <w:top w:val="single" w:color="000000" w:sz="2" w:space="0"/>
              <w:left w:val="single" w:color="000000" w:sz="2" w:space="0"/>
              <w:bottom w:val="single" w:color="000000" w:sz="2" w:space="0"/>
              <w:right w:val="single" w:color="000000" w:sz="2" w:space="0"/>
            </w:tcBorders>
            <w:vAlign w:val="center"/>
          </w:tcPr>
          <w:p w14:paraId="7D028F8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4.45</w:t>
            </w:r>
          </w:p>
        </w:tc>
        <w:tc>
          <w:tcPr>
            <w:tcW w:w="272" w:type="pct"/>
            <w:tcBorders>
              <w:top w:val="single" w:color="000000" w:sz="2" w:space="0"/>
              <w:left w:val="single" w:color="000000" w:sz="2" w:space="0"/>
              <w:bottom w:val="single" w:color="000000" w:sz="2" w:space="0"/>
              <w:right w:val="single" w:color="000000" w:sz="2" w:space="0"/>
            </w:tcBorders>
            <w:vAlign w:val="center"/>
          </w:tcPr>
          <w:p w14:paraId="6648E2C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5.28</w:t>
            </w:r>
          </w:p>
        </w:tc>
        <w:tc>
          <w:tcPr>
            <w:tcW w:w="272" w:type="pct"/>
            <w:tcBorders>
              <w:top w:val="single" w:color="000000" w:sz="2" w:space="0"/>
              <w:left w:val="single" w:color="000000" w:sz="2" w:space="0"/>
              <w:bottom w:val="single" w:color="000000" w:sz="2" w:space="0"/>
              <w:right w:val="single" w:color="000000" w:sz="2" w:space="0"/>
            </w:tcBorders>
            <w:vAlign w:val="center"/>
          </w:tcPr>
          <w:p w14:paraId="15315AC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4.03</w:t>
            </w:r>
          </w:p>
        </w:tc>
        <w:tc>
          <w:tcPr>
            <w:tcW w:w="272" w:type="pct"/>
            <w:tcBorders>
              <w:top w:val="single" w:color="000000" w:sz="2" w:space="0"/>
              <w:left w:val="single" w:color="000000" w:sz="2" w:space="0"/>
              <w:bottom w:val="single" w:color="000000" w:sz="2" w:space="0"/>
              <w:right w:val="single" w:color="000000" w:sz="2" w:space="0"/>
            </w:tcBorders>
            <w:vAlign w:val="center"/>
          </w:tcPr>
          <w:p w14:paraId="2174D77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3.74</w:t>
            </w:r>
          </w:p>
        </w:tc>
        <w:tc>
          <w:tcPr>
            <w:tcW w:w="283" w:type="pct"/>
            <w:tcBorders>
              <w:top w:val="single" w:color="000000" w:sz="2" w:space="0"/>
              <w:left w:val="single" w:color="000000" w:sz="2" w:space="0"/>
              <w:bottom w:val="single" w:color="000000" w:sz="2" w:space="0"/>
              <w:right w:val="single" w:color="000000" w:sz="2" w:space="0"/>
            </w:tcBorders>
            <w:vAlign w:val="center"/>
          </w:tcPr>
          <w:p w14:paraId="1A79DEA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3.11</w:t>
            </w:r>
          </w:p>
        </w:tc>
        <w:tc>
          <w:tcPr>
            <w:tcW w:w="265" w:type="pct"/>
            <w:tcBorders>
              <w:top w:val="single" w:color="000000" w:sz="2" w:space="0"/>
              <w:left w:val="single" w:color="000000" w:sz="2" w:space="0"/>
              <w:bottom w:val="single" w:color="000000" w:sz="2" w:space="0"/>
              <w:right w:val="single" w:color="000000" w:sz="2" w:space="0"/>
            </w:tcBorders>
            <w:vAlign w:val="center"/>
          </w:tcPr>
          <w:p w14:paraId="505F3C8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5.61</w:t>
            </w:r>
          </w:p>
        </w:tc>
        <w:tc>
          <w:tcPr>
            <w:tcW w:w="301" w:type="pct"/>
            <w:tcBorders>
              <w:top w:val="single" w:color="000000" w:sz="2" w:space="0"/>
              <w:left w:val="single" w:color="000000" w:sz="2" w:space="0"/>
              <w:bottom w:val="single" w:color="000000" w:sz="2" w:space="0"/>
              <w:right w:val="single" w:color="000000" w:sz="2" w:space="0"/>
            </w:tcBorders>
            <w:vAlign w:val="center"/>
          </w:tcPr>
          <w:p w14:paraId="70A2DA8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4.79</w:t>
            </w:r>
          </w:p>
        </w:tc>
        <w:tc>
          <w:tcPr>
            <w:tcW w:w="283" w:type="pct"/>
            <w:tcBorders>
              <w:top w:val="single" w:color="000000" w:sz="2" w:space="0"/>
              <w:left w:val="single" w:color="000000" w:sz="2" w:space="0"/>
              <w:bottom w:val="single" w:color="000000" w:sz="2" w:space="0"/>
              <w:right w:val="single" w:color="000000" w:sz="2" w:space="0"/>
            </w:tcBorders>
            <w:vAlign w:val="center"/>
          </w:tcPr>
          <w:p w14:paraId="32A6E0D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4.55</w:t>
            </w:r>
          </w:p>
        </w:tc>
        <w:tc>
          <w:tcPr>
            <w:tcW w:w="283" w:type="pct"/>
            <w:tcBorders>
              <w:top w:val="single" w:color="000000" w:sz="2" w:space="0"/>
              <w:left w:val="single" w:color="000000" w:sz="2" w:space="0"/>
              <w:bottom w:val="single" w:color="000000" w:sz="2" w:space="0"/>
              <w:right w:val="single" w:color="000000" w:sz="2" w:space="0"/>
            </w:tcBorders>
            <w:vAlign w:val="center"/>
          </w:tcPr>
          <w:p w14:paraId="470D342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3.41</w:t>
            </w:r>
          </w:p>
        </w:tc>
        <w:tc>
          <w:tcPr>
            <w:tcW w:w="283" w:type="pct"/>
            <w:tcBorders>
              <w:top w:val="single" w:color="000000" w:sz="2" w:space="0"/>
              <w:left w:val="single" w:color="000000" w:sz="2" w:space="0"/>
              <w:bottom w:val="single" w:color="000000" w:sz="2" w:space="0"/>
              <w:right w:val="single" w:color="000000" w:sz="2" w:space="0"/>
            </w:tcBorders>
            <w:vAlign w:val="center"/>
          </w:tcPr>
          <w:p w14:paraId="6096D35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5.41</w:t>
            </w:r>
          </w:p>
        </w:tc>
        <w:tc>
          <w:tcPr>
            <w:tcW w:w="295" w:type="pct"/>
            <w:tcBorders>
              <w:top w:val="single" w:color="000000" w:sz="2" w:space="0"/>
              <w:left w:val="single" w:color="000000" w:sz="2" w:space="0"/>
              <w:bottom w:val="single" w:color="000000" w:sz="2" w:space="0"/>
              <w:right w:val="single" w:color="000000" w:sz="2" w:space="0"/>
            </w:tcBorders>
            <w:vAlign w:val="center"/>
          </w:tcPr>
          <w:p w14:paraId="1537D27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3.50</w:t>
            </w:r>
          </w:p>
        </w:tc>
        <w:tc>
          <w:tcPr>
            <w:tcW w:w="272" w:type="pct"/>
            <w:tcBorders>
              <w:top w:val="single" w:color="000000" w:sz="2" w:space="0"/>
              <w:left w:val="single" w:color="000000" w:sz="2" w:space="0"/>
              <w:bottom w:val="single" w:color="000000" w:sz="2" w:space="0"/>
              <w:right w:val="single" w:color="000000" w:sz="2" w:space="0"/>
            </w:tcBorders>
            <w:vAlign w:val="center"/>
          </w:tcPr>
          <w:p w14:paraId="199292E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2.80</w:t>
            </w:r>
          </w:p>
        </w:tc>
        <w:tc>
          <w:tcPr>
            <w:tcW w:w="272" w:type="pct"/>
            <w:tcBorders>
              <w:top w:val="single" w:color="000000" w:sz="2" w:space="0"/>
              <w:left w:val="single" w:color="000000" w:sz="2" w:space="0"/>
              <w:bottom w:val="single" w:color="000000" w:sz="2" w:space="0"/>
              <w:right w:val="single" w:color="000000" w:sz="2" w:space="0"/>
            </w:tcBorders>
            <w:vAlign w:val="center"/>
          </w:tcPr>
          <w:p w14:paraId="271A4FB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2.22</w:t>
            </w:r>
          </w:p>
        </w:tc>
        <w:tc>
          <w:tcPr>
            <w:tcW w:w="283" w:type="pct"/>
            <w:tcBorders>
              <w:top w:val="single" w:color="000000" w:sz="2" w:space="0"/>
              <w:left w:val="single" w:color="000000" w:sz="2" w:space="0"/>
              <w:bottom w:val="single" w:color="000000" w:sz="2" w:space="0"/>
              <w:right w:val="single" w:color="000000" w:sz="8" w:space="0"/>
            </w:tcBorders>
            <w:vAlign w:val="center"/>
          </w:tcPr>
          <w:p w14:paraId="3770978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4.29</w:t>
            </w:r>
          </w:p>
        </w:tc>
      </w:tr>
      <w:tr w14:paraId="5333AF7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3ED60CF1">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春</w:t>
            </w:r>
          </w:p>
        </w:tc>
        <w:tc>
          <w:tcPr>
            <w:tcW w:w="269" w:type="pct"/>
            <w:tcBorders>
              <w:top w:val="single" w:color="000000" w:sz="2" w:space="0"/>
              <w:left w:val="single" w:color="000000" w:sz="2" w:space="0"/>
              <w:bottom w:val="single" w:color="000000" w:sz="2" w:space="0"/>
              <w:right w:val="single" w:color="000000" w:sz="2" w:space="0"/>
            </w:tcBorders>
            <w:vAlign w:val="center"/>
          </w:tcPr>
          <w:p w14:paraId="34BB519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7.66</w:t>
            </w:r>
          </w:p>
        </w:tc>
        <w:tc>
          <w:tcPr>
            <w:tcW w:w="271" w:type="pct"/>
            <w:tcBorders>
              <w:top w:val="single" w:color="000000" w:sz="2" w:space="0"/>
              <w:left w:val="single" w:color="000000" w:sz="2" w:space="0"/>
              <w:bottom w:val="single" w:color="000000" w:sz="2" w:space="0"/>
              <w:right w:val="single" w:color="000000" w:sz="2" w:space="0"/>
            </w:tcBorders>
            <w:vAlign w:val="center"/>
          </w:tcPr>
          <w:p w14:paraId="1135F81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2.74</w:t>
            </w:r>
          </w:p>
        </w:tc>
        <w:tc>
          <w:tcPr>
            <w:tcW w:w="276" w:type="pct"/>
            <w:tcBorders>
              <w:top w:val="single" w:color="000000" w:sz="2" w:space="0"/>
              <w:left w:val="single" w:color="000000" w:sz="2" w:space="0"/>
              <w:bottom w:val="single" w:color="000000" w:sz="2" w:space="0"/>
              <w:right w:val="single" w:color="000000" w:sz="2" w:space="0"/>
            </w:tcBorders>
            <w:vAlign w:val="center"/>
          </w:tcPr>
          <w:p w14:paraId="5E7BED0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2.57</w:t>
            </w:r>
          </w:p>
        </w:tc>
        <w:tc>
          <w:tcPr>
            <w:tcW w:w="283" w:type="pct"/>
            <w:tcBorders>
              <w:top w:val="single" w:color="000000" w:sz="2" w:space="0"/>
              <w:left w:val="single" w:color="000000" w:sz="2" w:space="0"/>
              <w:bottom w:val="single" w:color="000000" w:sz="2" w:space="0"/>
              <w:right w:val="single" w:color="000000" w:sz="2" w:space="0"/>
            </w:tcBorders>
            <w:vAlign w:val="center"/>
          </w:tcPr>
          <w:p w14:paraId="534077B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4.29</w:t>
            </w:r>
          </w:p>
        </w:tc>
        <w:tc>
          <w:tcPr>
            <w:tcW w:w="272" w:type="pct"/>
            <w:tcBorders>
              <w:top w:val="single" w:color="000000" w:sz="2" w:space="0"/>
              <w:left w:val="single" w:color="000000" w:sz="2" w:space="0"/>
              <w:bottom w:val="single" w:color="000000" w:sz="2" w:space="0"/>
              <w:right w:val="single" w:color="000000" w:sz="2" w:space="0"/>
            </w:tcBorders>
            <w:vAlign w:val="center"/>
          </w:tcPr>
          <w:p w14:paraId="6B3C6E7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4.93</w:t>
            </w:r>
          </w:p>
        </w:tc>
        <w:tc>
          <w:tcPr>
            <w:tcW w:w="272" w:type="pct"/>
            <w:tcBorders>
              <w:top w:val="single" w:color="000000" w:sz="2" w:space="0"/>
              <w:left w:val="single" w:color="000000" w:sz="2" w:space="0"/>
              <w:bottom w:val="single" w:color="000000" w:sz="2" w:space="0"/>
              <w:right w:val="single" w:color="000000" w:sz="2" w:space="0"/>
            </w:tcBorders>
            <w:vAlign w:val="center"/>
          </w:tcPr>
          <w:p w14:paraId="086752D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3.47</w:t>
            </w:r>
          </w:p>
        </w:tc>
        <w:tc>
          <w:tcPr>
            <w:tcW w:w="272" w:type="pct"/>
            <w:tcBorders>
              <w:top w:val="single" w:color="000000" w:sz="2" w:space="0"/>
              <w:left w:val="single" w:color="000000" w:sz="2" w:space="0"/>
              <w:bottom w:val="single" w:color="000000" w:sz="2" w:space="0"/>
              <w:right w:val="single" w:color="000000" w:sz="2" w:space="0"/>
            </w:tcBorders>
            <w:vAlign w:val="center"/>
          </w:tcPr>
          <w:p w14:paraId="7EE1697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3.16</w:t>
            </w:r>
          </w:p>
        </w:tc>
        <w:tc>
          <w:tcPr>
            <w:tcW w:w="283" w:type="pct"/>
            <w:tcBorders>
              <w:top w:val="single" w:color="000000" w:sz="2" w:space="0"/>
              <w:left w:val="single" w:color="000000" w:sz="2" w:space="0"/>
              <w:bottom w:val="single" w:color="000000" w:sz="2" w:space="0"/>
              <w:right w:val="single" w:color="000000" w:sz="2" w:space="0"/>
            </w:tcBorders>
            <w:vAlign w:val="center"/>
          </w:tcPr>
          <w:p w14:paraId="28976A3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2.63</w:t>
            </w:r>
          </w:p>
        </w:tc>
        <w:tc>
          <w:tcPr>
            <w:tcW w:w="265" w:type="pct"/>
            <w:tcBorders>
              <w:top w:val="single" w:color="000000" w:sz="2" w:space="0"/>
              <w:left w:val="single" w:color="000000" w:sz="2" w:space="0"/>
              <w:bottom w:val="single" w:color="000000" w:sz="2" w:space="0"/>
              <w:right w:val="single" w:color="000000" w:sz="2" w:space="0"/>
            </w:tcBorders>
            <w:vAlign w:val="center"/>
          </w:tcPr>
          <w:p w14:paraId="53D1DF1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6.73</w:t>
            </w:r>
          </w:p>
        </w:tc>
        <w:tc>
          <w:tcPr>
            <w:tcW w:w="301" w:type="pct"/>
            <w:tcBorders>
              <w:top w:val="single" w:color="000000" w:sz="2" w:space="0"/>
              <w:left w:val="single" w:color="000000" w:sz="2" w:space="0"/>
              <w:bottom w:val="single" w:color="000000" w:sz="2" w:space="0"/>
              <w:right w:val="single" w:color="000000" w:sz="2" w:space="0"/>
            </w:tcBorders>
            <w:vAlign w:val="center"/>
          </w:tcPr>
          <w:p w14:paraId="3568A13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6.39</w:t>
            </w:r>
          </w:p>
        </w:tc>
        <w:tc>
          <w:tcPr>
            <w:tcW w:w="283" w:type="pct"/>
            <w:tcBorders>
              <w:top w:val="single" w:color="000000" w:sz="2" w:space="0"/>
              <w:left w:val="single" w:color="000000" w:sz="2" w:space="0"/>
              <w:bottom w:val="single" w:color="000000" w:sz="2" w:space="0"/>
              <w:right w:val="single" w:color="000000" w:sz="2" w:space="0"/>
            </w:tcBorders>
            <w:vAlign w:val="center"/>
          </w:tcPr>
          <w:p w14:paraId="09FE953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4.50</w:t>
            </w:r>
          </w:p>
        </w:tc>
        <w:tc>
          <w:tcPr>
            <w:tcW w:w="283" w:type="pct"/>
            <w:tcBorders>
              <w:top w:val="single" w:color="000000" w:sz="2" w:space="0"/>
              <w:left w:val="single" w:color="000000" w:sz="2" w:space="0"/>
              <w:bottom w:val="single" w:color="000000" w:sz="2" w:space="0"/>
              <w:right w:val="single" w:color="000000" w:sz="2" w:space="0"/>
            </w:tcBorders>
            <w:vAlign w:val="center"/>
          </w:tcPr>
          <w:p w14:paraId="06AF936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3.25</w:t>
            </w:r>
          </w:p>
        </w:tc>
        <w:tc>
          <w:tcPr>
            <w:tcW w:w="283" w:type="pct"/>
            <w:tcBorders>
              <w:top w:val="single" w:color="000000" w:sz="2" w:space="0"/>
              <w:left w:val="single" w:color="000000" w:sz="2" w:space="0"/>
              <w:bottom w:val="single" w:color="000000" w:sz="2" w:space="0"/>
              <w:right w:val="single" w:color="000000" w:sz="2" w:space="0"/>
            </w:tcBorders>
            <w:vAlign w:val="center"/>
          </w:tcPr>
          <w:p w14:paraId="18B6E59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4.88</w:t>
            </w:r>
          </w:p>
        </w:tc>
        <w:tc>
          <w:tcPr>
            <w:tcW w:w="295" w:type="pct"/>
            <w:tcBorders>
              <w:top w:val="single" w:color="000000" w:sz="2" w:space="0"/>
              <w:left w:val="single" w:color="000000" w:sz="2" w:space="0"/>
              <w:bottom w:val="single" w:color="000000" w:sz="2" w:space="0"/>
              <w:right w:val="single" w:color="000000" w:sz="2" w:space="0"/>
            </w:tcBorders>
            <w:vAlign w:val="center"/>
          </w:tcPr>
          <w:p w14:paraId="3B93499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3.08</w:t>
            </w:r>
          </w:p>
        </w:tc>
        <w:tc>
          <w:tcPr>
            <w:tcW w:w="272" w:type="pct"/>
            <w:tcBorders>
              <w:top w:val="single" w:color="000000" w:sz="2" w:space="0"/>
              <w:left w:val="single" w:color="000000" w:sz="2" w:space="0"/>
              <w:bottom w:val="single" w:color="000000" w:sz="2" w:space="0"/>
              <w:right w:val="single" w:color="000000" w:sz="2" w:space="0"/>
            </w:tcBorders>
            <w:vAlign w:val="center"/>
          </w:tcPr>
          <w:p w14:paraId="1C7A2CD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1.97</w:t>
            </w:r>
          </w:p>
        </w:tc>
        <w:tc>
          <w:tcPr>
            <w:tcW w:w="272" w:type="pct"/>
            <w:tcBorders>
              <w:top w:val="single" w:color="000000" w:sz="2" w:space="0"/>
              <w:left w:val="single" w:color="000000" w:sz="2" w:space="0"/>
              <w:bottom w:val="single" w:color="000000" w:sz="2" w:space="0"/>
              <w:right w:val="single" w:color="000000" w:sz="2" w:space="0"/>
            </w:tcBorders>
            <w:vAlign w:val="center"/>
          </w:tcPr>
          <w:p w14:paraId="16174D4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2.16</w:t>
            </w:r>
          </w:p>
        </w:tc>
        <w:tc>
          <w:tcPr>
            <w:tcW w:w="283" w:type="pct"/>
            <w:tcBorders>
              <w:top w:val="single" w:color="000000" w:sz="2" w:space="0"/>
              <w:left w:val="single" w:color="000000" w:sz="2" w:space="0"/>
              <w:bottom w:val="single" w:color="000000" w:sz="2" w:space="0"/>
              <w:right w:val="single" w:color="000000" w:sz="8" w:space="0"/>
            </w:tcBorders>
            <w:vAlign w:val="center"/>
          </w:tcPr>
          <w:p w14:paraId="16FBC14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4.03</w:t>
            </w:r>
          </w:p>
        </w:tc>
      </w:tr>
      <w:tr w14:paraId="0D0FDAE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00E04CAB">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夏</w:t>
            </w:r>
          </w:p>
        </w:tc>
        <w:tc>
          <w:tcPr>
            <w:tcW w:w="269" w:type="pct"/>
            <w:tcBorders>
              <w:top w:val="single" w:color="000000" w:sz="2" w:space="0"/>
              <w:left w:val="single" w:color="000000" w:sz="2" w:space="0"/>
              <w:bottom w:val="single" w:color="000000" w:sz="2" w:space="0"/>
              <w:right w:val="single" w:color="000000" w:sz="2" w:space="0"/>
            </w:tcBorders>
            <w:vAlign w:val="center"/>
          </w:tcPr>
          <w:p w14:paraId="37E9F21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6.30</w:t>
            </w:r>
          </w:p>
        </w:tc>
        <w:tc>
          <w:tcPr>
            <w:tcW w:w="271" w:type="pct"/>
            <w:tcBorders>
              <w:top w:val="single" w:color="000000" w:sz="2" w:space="0"/>
              <w:left w:val="single" w:color="000000" w:sz="2" w:space="0"/>
              <w:bottom w:val="single" w:color="000000" w:sz="2" w:space="0"/>
              <w:right w:val="single" w:color="000000" w:sz="2" w:space="0"/>
            </w:tcBorders>
            <w:vAlign w:val="center"/>
          </w:tcPr>
          <w:p w14:paraId="24F86DF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2.12</w:t>
            </w:r>
          </w:p>
        </w:tc>
        <w:tc>
          <w:tcPr>
            <w:tcW w:w="276" w:type="pct"/>
            <w:tcBorders>
              <w:top w:val="single" w:color="000000" w:sz="2" w:space="0"/>
              <w:left w:val="single" w:color="000000" w:sz="2" w:space="0"/>
              <w:bottom w:val="single" w:color="000000" w:sz="2" w:space="0"/>
              <w:right w:val="single" w:color="000000" w:sz="2" w:space="0"/>
            </w:tcBorders>
            <w:vAlign w:val="center"/>
          </w:tcPr>
          <w:p w14:paraId="69A052D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2.13</w:t>
            </w:r>
          </w:p>
        </w:tc>
        <w:tc>
          <w:tcPr>
            <w:tcW w:w="283" w:type="pct"/>
            <w:tcBorders>
              <w:top w:val="single" w:color="000000" w:sz="2" w:space="0"/>
              <w:left w:val="single" w:color="000000" w:sz="2" w:space="0"/>
              <w:bottom w:val="single" w:color="000000" w:sz="2" w:space="0"/>
              <w:right w:val="single" w:color="000000" w:sz="2" w:space="0"/>
            </w:tcBorders>
            <w:vAlign w:val="center"/>
          </w:tcPr>
          <w:p w14:paraId="4697947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2.84</w:t>
            </w:r>
          </w:p>
        </w:tc>
        <w:tc>
          <w:tcPr>
            <w:tcW w:w="272" w:type="pct"/>
            <w:tcBorders>
              <w:top w:val="single" w:color="000000" w:sz="2" w:space="0"/>
              <w:left w:val="single" w:color="000000" w:sz="2" w:space="0"/>
              <w:bottom w:val="single" w:color="000000" w:sz="2" w:space="0"/>
              <w:right w:val="single" w:color="000000" w:sz="2" w:space="0"/>
            </w:tcBorders>
            <w:vAlign w:val="center"/>
          </w:tcPr>
          <w:p w14:paraId="4028860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3.19</w:t>
            </w:r>
          </w:p>
        </w:tc>
        <w:tc>
          <w:tcPr>
            <w:tcW w:w="272" w:type="pct"/>
            <w:tcBorders>
              <w:top w:val="single" w:color="000000" w:sz="2" w:space="0"/>
              <w:left w:val="single" w:color="000000" w:sz="2" w:space="0"/>
              <w:bottom w:val="single" w:color="000000" w:sz="2" w:space="0"/>
              <w:right w:val="single" w:color="000000" w:sz="2" w:space="0"/>
            </w:tcBorders>
            <w:vAlign w:val="center"/>
          </w:tcPr>
          <w:p w14:paraId="6DABB09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2.38</w:t>
            </w:r>
          </w:p>
        </w:tc>
        <w:tc>
          <w:tcPr>
            <w:tcW w:w="272" w:type="pct"/>
            <w:tcBorders>
              <w:top w:val="single" w:color="000000" w:sz="2" w:space="0"/>
              <w:left w:val="single" w:color="000000" w:sz="2" w:space="0"/>
              <w:bottom w:val="single" w:color="000000" w:sz="2" w:space="0"/>
              <w:right w:val="single" w:color="000000" w:sz="2" w:space="0"/>
            </w:tcBorders>
            <w:vAlign w:val="center"/>
          </w:tcPr>
          <w:p w14:paraId="6EA23AB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2.45</w:t>
            </w:r>
          </w:p>
        </w:tc>
        <w:tc>
          <w:tcPr>
            <w:tcW w:w="283" w:type="pct"/>
            <w:tcBorders>
              <w:top w:val="single" w:color="000000" w:sz="2" w:space="0"/>
              <w:left w:val="single" w:color="000000" w:sz="2" w:space="0"/>
              <w:bottom w:val="single" w:color="000000" w:sz="2" w:space="0"/>
              <w:right w:val="single" w:color="000000" w:sz="2" w:space="0"/>
            </w:tcBorders>
            <w:vAlign w:val="center"/>
          </w:tcPr>
          <w:p w14:paraId="60B4532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2.41</w:t>
            </w:r>
          </w:p>
        </w:tc>
        <w:tc>
          <w:tcPr>
            <w:tcW w:w="265" w:type="pct"/>
            <w:tcBorders>
              <w:top w:val="single" w:color="000000" w:sz="2" w:space="0"/>
              <w:left w:val="single" w:color="000000" w:sz="2" w:space="0"/>
              <w:bottom w:val="single" w:color="000000" w:sz="2" w:space="0"/>
              <w:right w:val="single" w:color="000000" w:sz="2" w:space="0"/>
            </w:tcBorders>
            <w:vAlign w:val="center"/>
          </w:tcPr>
          <w:p w14:paraId="00E7E28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5.70</w:t>
            </w:r>
          </w:p>
        </w:tc>
        <w:tc>
          <w:tcPr>
            <w:tcW w:w="301" w:type="pct"/>
            <w:tcBorders>
              <w:top w:val="single" w:color="000000" w:sz="2" w:space="0"/>
              <w:left w:val="single" w:color="000000" w:sz="2" w:space="0"/>
              <w:bottom w:val="single" w:color="000000" w:sz="2" w:space="0"/>
              <w:right w:val="single" w:color="000000" w:sz="2" w:space="0"/>
            </w:tcBorders>
            <w:vAlign w:val="center"/>
          </w:tcPr>
          <w:p w14:paraId="5AEB291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6.94</w:t>
            </w:r>
          </w:p>
        </w:tc>
        <w:tc>
          <w:tcPr>
            <w:tcW w:w="283" w:type="pct"/>
            <w:tcBorders>
              <w:top w:val="single" w:color="000000" w:sz="2" w:space="0"/>
              <w:left w:val="single" w:color="000000" w:sz="2" w:space="0"/>
              <w:bottom w:val="single" w:color="000000" w:sz="2" w:space="0"/>
              <w:right w:val="single" w:color="000000" w:sz="2" w:space="0"/>
            </w:tcBorders>
            <w:vAlign w:val="center"/>
          </w:tcPr>
          <w:p w14:paraId="0A9355F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6.29</w:t>
            </w:r>
          </w:p>
        </w:tc>
        <w:tc>
          <w:tcPr>
            <w:tcW w:w="283" w:type="pct"/>
            <w:tcBorders>
              <w:top w:val="single" w:color="000000" w:sz="2" w:space="0"/>
              <w:left w:val="single" w:color="000000" w:sz="2" w:space="0"/>
              <w:bottom w:val="single" w:color="000000" w:sz="2" w:space="0"/>
              <w:right w:val="single" w:color="000000" w:sz="2" w:space="0"/>
            </w:tcBorders>
            <w:vAlign w:val="center"/>
          </w:tcPr>
          <w:p w14:paraId="515562B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4.55</w:t>
            </w:r>
          </w:p>
        </w:tc>
        <w:tc>
          <w:tcPr>
            <w:tcW w:w="283" w:type="pct"/>
            <w:tcBorders>
              <w:top w:val="single" w:color="000000" w:sz="2" w:space="0"/>
              <w:left w:val="single" w:color="000000" w:sz="2" w:space="0"/>
              <w:bottom w:val="single" w:color="000000" w:sz="2" w:space="0"/>
              <w:right w:val="single" w:color="000000" w:sz="2" w:space="0"/>
            </w:tcBorders>
            <w:vAlign w:val="center"/>
          </w:tcPr>
          <w:p w14:paraId="53B8974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4.80</w:t>
            </w:r>
          </w:p>
        </w:tc>
        <w:tc>
          <w:tcPr>
            <w:tcW w:w="295" w:type="pct"/>
            <w:tcBorders>
              <w:top w:val="single" w:color="000000" w:sz="2" w:space="0"/>
              <w:left w:val="single" w:color="000000" w:sz="2" w:space="0"/>
              <w:bottom w:val="single" w:color="000000" w:sz="2" w:space="0"/>
              <w:right w:val="single" w:color="000000" w:sz="2" w:space="0"/>
            </w:tcBorders>
            <w:vAlign w:val="center"/>
          </w:tcPr>
          <w:p w14:paraId="6B8FD98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2.15</w:t>
            </w:r>
          </w:p>
        </w:tc>
        <w:tc>
          <w:tcPr>
            <w:tcW w:w="272" w:type="pct"/>
            <w:tcBorders>
              <w:top w:val="single" w:color="000000" w:sz="2" w:space="0"/>
              <w:left w:val="single" w:color="000000" w:sz="2" w:space="0"/>
              <w:bottom w:val="single" w:color="000000" w:sz="2" w:space="0"/>
              <w:right w:val="single" w:color="000000" w:sz="2" w:space="0"/>
            </w:tcBorders>
            <w:vAlign w:val="center"/>
          </w:tcPr>
          <w:p w14:paraId="0899EBD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1.96</w:t>
            </w:r>
          </w:p>
        </w:tc>
        <w:tc>
          <w:tcPr>
            <w:tcW w:w="272" w:type="pct"/>
            <w:tcBorders>
              <w:top w:val="single" w:color="000000" w:sz="2" w:space="0"/>
              <w:left w:val="single" w:color="000000" w:sz="2" w:space="0"/>
              <w:bottom w:val="single" w:color="000000" w:sz="2" w:space="0"/>
              <w:right w:val="single" w:color="000000" w:sz="2" w:space="0"/>
            </w:tcBorders>
            <w:vAlign w:val="center"/>
          </w:tcPr>
          <w:p w14:paraId="13FA37A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2.34</w:t>
            </w:r>
          </w:p>
        </w:tc>
        <w:tc>
          <w:tcPr>
            <w:tcW w:w="283" w:type="pct"/>
            <w:tcBorders>
              <w:top w:val="single" w:color="000000" w:sz="2" w:space="0"/>
              <w:left w:val="single" w:color="000000" w:sz="2" w:space="0"/>
              <w:bottom w:val="single" w:color="000000" w:sz="2" w:space="0"/>
              <w:right w:val="single" w:color="000000" w:sz="8" w:space="0"/>
            </w:tcBorders>
            <w:vAlign w:val="center"/>
          </w:tcPr>
          <w:p w14:paraId="0135EE9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3.66</w:t>
            </w:r>
          </w:p>
        </w:tc>
      </w:tr>
      <w:tr w14:paraId="36ADD21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2" w:space="0"/>
              <w:right w:val="single" w:color="000000" w:sz="2" w:space="0"/>
            </w:tcBorders>
            <w:vAlign w:val="center"/>
          </w:tcPr>
          <w:p w14:paraId="344E5A11">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秋</w:t>
            </w:r>
          </w:p>
        </w:tc>
        <w:tc>
          <w:tcPr>
            <w:tcW w:w="269" w:type="pct"/>
            <w:tcBorders>
              <w:top w:val="single" w:color="000000" w:sz="2" w:space="0"/>
              <w:left w:val="single" w:color="000000" w:sz="2" w:space="0"/>
              <w:bottom w:val="single" w:color="000000" w:sz="2" w:space="0"/>
              <w:right w:val="single" w:color="000000" w:sz="2" w:space="0"/>
            </w:tcBorders>
            <w:vAlign w:val="center"/>
          </w:tcPr>
          <w:p w14:paraId="3CE2045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12.34</w:t>
            </w:r>
          </w:p>
        </w:tc>
        <w:tc>
          <w:tcPr>
            <w:tcW w:w="271" w:type="pct"/>
            <w:tcBorders>
              <w:top w:val="single" w:color="000000" w:sz="2" w:space="0"/>
              <w:left w:val="single" w:color="000000" w:sz="2" w:space="0"/>
              <w:bottom w:val="single" w:color="000000" w:sz="2" w:space="0"/>
              <w:right w:val="single" w:color="000000" w:sz="2" w:space="0"/>
            </w:tcBorders>
            <w:vAlign w:val="center"/>
          </w:tcPr>
          <w:p w14:paraId="45CD951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3.02</w:t>
            </w:r>
          </w:p>
        </w:tc>
        <w:tc>
          <w:tcPr>
            <w:tcW w:w="276" w:type="pct"/>
            <w:tcBorders>
              <w:top w:val="single" w:color="000000" w:sz="2" w:space="0"/>
              <w:left w:val="single" w:color="000000" w:sz="2" w:space="0"/>
              <w:bottom w:val="single" w:color="000000" w:sz="2" w:space="0"/>
              <w:right w:val="single" w:color="000000" w:sz="2" w:space="0"/>
            </w:tcBorders>
            <w:vAlign w:val="center"/>
          </w:tcPr>
          <w:p w14:paraId="7ADCC7A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2.57</w:t>
            </w:r>
          </w:p>
        </w:tc>
        <w:tc>
          <w:tcPr>
            <w:tcW w:w="283" w:type="pct"/>
            <w:tcBorders>
              <w:top w:val="single" w:color="000000" w:sz="2" w:space="0"/>
              <w:left w:val="single" w:color="000000" w:sz="2" w:space="0"/>
              <w:bottom w:val="single" w:color="000000" w:sz="2" w:space="0"/>
              <w:right w:val="single" w:color="000000" w:sz="2" w:space="0"/>
            </w:tcBorders>
            <w:vAlign w:val="center"/>
          </w:tcPr>
          <w:p w14:paraId="02E5268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3.88</w:t>
            </w:r>
          </w:p>
        </w:tc>
        <w:tc>
          <w:tcPr>
            <w:tcW w:w="272" w:type="pct"/>
            <w:tcBorders>
              <w:top w:val="single" w:color="000000" w:sz="2" w:space="0"/>
              <w:left w:val="single" w:color="000000" w:sz="2" w:space="0"/>
              <w:bottom w:val="single" w:color="000000" w:sz="2" w:space="0"/>
              <w:right w:val="single" w:color="000000" w:sz="2" w:space="0"/>
            </w:tcBorders>
            <w:vAlign w:val="center"/>
          </w:tcPr>
          <w:p w14:paraId="2C037AB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3.57</w:t>
            </w:r>
          </w:p>
        </w:tc>
        <w:tc>
          <w:tcPr>
            <w:tcW w:w="272" w:type="pct"/>
            <w:tcBorders>
              <w:top w:val="single" w:color="000000" w:sz="2" w:space="0"/>
              <w:left w:val="single" w:color="000000" w:sz="2" w:space="0"/>
              <w:bottom w:val="single" w:color="000000" w:sz="2" w:space="0"/>
              <w:right w:val="single" w:color="000000" w:sz="2" w:space="0"/>
            </w:tcBorders>
            <w:vAlign w:val="center"/>
          </w:tcPr>
          <w:p w14:paraId="1C883D8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3.35</w:t>
            </w:r>
          </w:p>
        </w:tc>
        <w:tc>
          <w:tcPr>
            <w:tcW w:w="272" w:type="pct"/>
            <w:tcBorders>
              <w:top w:val="single" w:color="000000" w:sz="2" w:space="0"/>
              <w:left w:val="single" w:color="000000" w:sz="2" w:space="0"/>
              <w:bottom w:val="single" w:color="000000" w:sz="2" w:space="0"/>
              <w:right w:val="single" w:color="000000" w:sz="2" w:space="0"/>
            </w:tcBorders>
            <w:vAlign w:val="center"/>
          </w:tcPr>
          <w:p w14:paraId="31ADAD4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3.53</w:t>
            </w:r>
          </w:p>
        </w:tc>
        <w:tc>
          <w:tcPr>
            <w:tcW w:w="283" w:type="pct"/>
            <w:tcBorders>
              <w:top w:val="single" w:color="000000" w:sz="2" w:space="0"/>
              <w:left w:val="single" w:color="000000" w:sz="2" w:space="0"/>
              <w:bottom w:val="single" w:color="000000" w:sz="2" w:space="0"/>
              <w:right w:val="single" w:color="000000" w:sz="2" w:space="0"/>
            </w:tcBorders>
            <w:vAlign w:val="center"/>
          </w:tcPr>
          <w:p w14:paraId="6EDE387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3.95</w:t>
            </w:r>
          </w:p>
        </w:tc>
        <w:tc>
          <w:tcPr>
            <w:tcW w:w="265" w:type="pct"/>
            <w:tcBorders>
              <w:top w:val="single" w:color="000000" w:sz="2" w:space="0"/>
              <w:left w:val="single" w:color="000000" w:sz="2" w:space="0"/>
              <w:bottom w:val="single" w:color="000000" w:sz="2" w:space="0"/>
              <w:right w:val="single" w:color="000000" w:sz="2" w:space="0"/>
            </w:tcBorders>
            <w:vAlign w:val="center"/>
          </w:tcPr>
          <w:p w14:paraId="5E2910B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8.48</w:t>
            </w:r>
          </w:p>
        </w:tc>
        <w:tc>
          <w:tcPr>
            <w:tcW w:w="301" w:type="pct"/>
            <w:tcBorders>
              <w:top w:val="single" w:color="000000" w:sz="2" w:space="0"/>
              <w:left w:val="single" w:color="000000" w:sz="2" w:space="0"/>
              <w:bottom w:val="single" w:color="000000" w:sz="2" w:space="0"/>
              <w:right w:val="single" w:color="000000" w:sz="2" w:space="0"/>
            </w:tcBorders>
            <w:vAlign w:val="center"/>
          </w:tcPr>
          <w:p w14:paraId="6873DE8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5.26</w:t>
            </w:r>
          </w:p>
        </w:tc>
        <w:tc>
          <w:tcPr>
            <w:tcW w:w="283" w:type="pct"/>
            <w:tcBorders>
              <w:top w:val="single" w:color="000000" w:sz="2" w:space="0"/>
              <w:left w:val="single" w:color="000000" w:sz="2" w:space="0"/>
              <w:bottom w:val="single" w:color="000000" w:sz="2" w:space="0"/>
              <w:right w:val="single" w:color="000000" w:sz="2" w:space="0"/>
            </w:tcBorders>
            <w:vAlign w:val="center"/>
          </w:tcPr>
          <w:p w14:paraId="402CBFE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6.19</w:t>
            </w:r>
          </w:p>
        </w:tc>
        <w:tc>
          <w:tcPr>
            <w:tcW w:w="283" w:type="pct"/>
            <w:tcBorders>
              <w:top w:val="single" w:color="000000" w:sz="2" w:space="0"/>
              <w:left w:val="single" w:color="000000" w:sz="2" w:space="0"/>
              <w:bottom w:val="single" w:color="000000" w:sz="2" w:space="0"/>
              <w:right w:val="single" w:color="000000" w:sz="2" w:space="0"/>
            </w:tcBorders>
            <w:vAlign w:val="center"/>
          </w:tcPr>
          <w:p w14:paraId="0FCAD91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3.97</w:t>
            </w:r>
          </w:p>
        </w:tc>
        <w:tc>
          <w:tcPr>
            <w:tcW w:w="283" w:type="pct"/>
            <w:tcBorders>
              <w:top w:val="single" w:color="000000" w:sz="2" w:space="0"/>
              <w:left w:val="single" w:color="000000" w:sz="2" w:space="0"/>
              <w:bottom w:val="single" w:color="000000" w:sz="2" w:space="0"/>
              <w:right w:val="single" w:color="000000" w:sz="2" w:space="0"/>
            </w:tcBorders>
            <w:vAlign w:val="center"/>
          </w:tcPr>
          <w:p w14:paraId="73F7D8F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5.34</w:t>
            </w:r>
          </w:p>
        </w:tc>
        <w:tc>
          <w:tcPr>
            <w:tcW w:w="295" w:type="pct"/>
            <w:tcBorders>
              <w:top w:val="single" w:color="000000" w:sz="2" w:space="0"/>
              <w:left w:val="single" w:color="000000" w:sz="2" w:space="0"/>
              <w:bottom w:val="single" w:color="000000" w:sz="2" w:space="0"/>
              <w:right w:val="single" w:color="000000" w:sz="2" w:space="0"/>
            </w:tcBorders>
            <w:vAlign w:val="center"/>
          </w:tcPr>
          <w:p w14:paraId="064C6F9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3.09</w:t>
            </w:r>
          </w:p>
        </w:tc>
        <w:tc>
          <w:tcPr>
            <w:tcW w:w="272" w:type="pct"/>
            <w:tcBorders>
              <w:top w:val="single" w:color="000000" w:sz="2" w:space="0"/>
              <w:left w:val="single" w:color="000000" w:sz="2" w:space="0"/>
              <w:bottom w:val="single" w:color="000000" w:sz="2" w:space="0"/>
              <w:right w:val="single" w:color="000000" w:sz="2" w:space="0"/>
            </w:tcBorders>
            <w:vAlign w:val="center"/>
          </w:tcPr>
          <w:p w14:paraId="3D622D0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2.07</w:t>
            </w:r>
          </w:p>
        </w:tc>
        <w:tc>
          <w:tcPr>
            <w:tcW w:w="272" w:type="pct"/>
            <w:tcBorders>
              <w:top w:val="single" w:color="000000" w:sz="2" w:space="0"/>
              <w:left w:val="single" w:color="000000" w:sz="2" w:space="0"/>
              <w:bottom w:val="single" w:color="000000" w:sz="2" w:space="0"/>
              <w:right w:val="single" w:color="000000" w:sz="2" w:space="0"/>
            </w:tcBorders>
            <w:vAlign w:val="center"/>
          </w:tcPr>
          <w:p w14:paraId="7A6552D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1.83</w:t>
            </w:r>
          </w:p>
        </w:tc>
        <w:tc>
          <w:tcPr>
            <w:tcW w:w="283" w:type="pct"/>
            <w:tcBorders>
              <w:top w:val="single" w:color="000000" w:sz="2" w:space="0"/>
              <w:left w:val="single" w:color="000000" w:sz="2" w:space="0"/>
              <w:bottom w:val="single" w:color="000000" w:sz="2" w:space="0"/>
              <w:right w:val="single" w:color="000000" w:sz="8" w:space="0"/>
            </w:tcBorders>
            <w:vAlign w:val="center"/>
          </w:tcPr>
          <w:p w14:paraId="1C279C8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4.53</w:t>
            </w:r>
          </w:p>
        </w:tc>
      </w:tr>
      <w:tr w14:paraId="674311F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67" w:type="pct"/>
            <w:tcBorders>
              <w:top w:val="single" w:color="000000" w:sz="2" w:space="0"/>
              <w:left w:val="single" w:color="000000" w:sz="8" w:space="0"/>
              <w:bottom w:val="single" w:color="000000" w:sz="8" w:space="0"/>
              <w:right w:val="single" w:color="000000" w:sz="2" w:space="0"/>
            </w:tcBorders>
            <w:vAlign w:val="center"/>
          </w:tcPr>
          <w:p w14:paraId="4560D840">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冬</w:t>
            </w:r>
          </w:p>
        </w:tc>
        <w:tc>
          <w:tcPr>
            <w:tcW w:w="269" w:type="pct"/>
            <w:tcBorders>
              <w:top w:val="single" w:color="000000" w:sz="2" w:space="0"/>
              <w:left w:val="single" w:color="000000" w:sz="2" w:space="0"/>
              <w:bottom w:val="single" w:color="000000" w:sz="8" w:space="0"/>
              <w:right w:val="single" w:color="000000" w:sz="2" w:space="0"/>
            </w:tcBorders>
            <w:vAlign w:val="center"/>
          </w:tcPr>
          <w:p w14:paraId="2F54F5A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21.49</w:t>
            </w:r>
          </w:p>
        </w:tc>
        <w:tc>
          <w:tcPr>
            <w:tcW w:w="271" w:type="pct"/>
            <w:tcBorders>
              <w:top w:val="single" w:color="000000" w:sz="2" w:space="0"/>
              <w:left w:val="single" w:color="000000" w:sz="2" w:space="0"/>
              <w:bottom w:val="single" w:color="000000" w:sz="8" w:space="0"/>
              <w:right w:val="single" w:color="000000" w:sz="2" w:space="0"/>
            </w:tcBorders>
            <w:vAlign w:val="center"/>
          </w:tcPr>
          <w:p w14:paraId="6961D34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3.07</w:t>
            </w:r>
          </w:p>
        </w:tc>
        <w:tc>
          <w:tcPr>
            <w:tcW w:w="276" w:type="pct"/>
            <w:tcBorders>
              <w:top w:val="single" w:color="000000" w:sz="2" w:space="0"/>
              <w:left w:val="single" w:color="000000" w:sz="2" w:space="0"/>
              <w:bottom w:val="single" w:color="000000" w:sz="8" w:space="0"/>
              <w:right w:val="single" w:color="000000" w:sz="2" w:space="0"/>
            </w:tcBorders>
            <w:vAlign w:val="center"/>
          </w:tcPr>
          <w:p w14:paraId="68F4089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3.43</w:t>
            </w:r>
          </w:p>
        </w:tc>
        <w:tc>
          <w:tcPr>
            <w:tcW w:w="283" w:type="pct"/>
            <w:tcBorders>
              <w:top w:val="single" w:color="000000" w:sz="2" w:space="0"/>
              <w:left w:val="single" w:color="000000" w:sz="2" w:space="0"/>
              <w:bottom w:val="single" w:color="000000" w:sz="8" w:space="0"/>
              <w:right w:val="single" w:color="000000" w:sz="2" w:space="0"/>
            </w:tcBorders>
            <w:vAlign w:val="center"/>
          </w:tcPr>
          <w:p w14:paraId="74F9631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7.76</w:t>
            </w:r>
          </w:p>
        </w:tc>
        <w:tc>
          <w:tcPr>
            <w:tcW w:w="272" w:type="pct"/>
            <w:tcBorders>
              <w:top w:val="single" w:color="000000" w:sz="2" w:space="0"/>
              <w:left w:val="single" w:color="000000" w:sz="2" w:space="0"/>
              <w:bottom w:val="single" w:color="000000" w:sz="8" w:space="0"/>
              <w:right w:val="single" w:color="000000" w:sz="2" w:space="0"/>
            </w:tcBorders>
            <w:vAlign w:val="center"/>
          </w:tcPr>
          <w:p w14:paraId="1E5C317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10.49</w:t>
            </w:r>
          </w:p>
        </w:tc>
        <w:tc>
          <w:tcPr>
            <w:tcW w:w="272" w:type="pct"/>
            <w:tcBorders>
              <w:top w:val="single" w:color="000000" w:sz="2" w:space="0"/>
              <w:left w:val="single" w:color="000000" w:sz="2" w:space="0"/>
              <w:bottom w:val="single" w:color="000000" w:sz="8" w:space="0"/>
              <w:right w:val="single" w:color="000000" w:sz="2" w:space="0"/>
            </w:tcBorders>
            <w:vAlign w:val="center"/>
          </w:tcPr>
          <w:p w14:paraId="51E28BA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7.14</w:t>
            </w:r>
          </w:p>
        </w:tc>
        <w:tc>
          <w:tcPr>
            <w:tcW w:w="272" w:type="pct"/>
            <w:tcBorders>
              <w:top w:val="single" w:color="000000" w:sz="2" w:space="0"/>
              <w:left w:val="single" w:color="000000" w:sz="2" w:space="0"/>
              <w:bottom w:val="single" w:color="000000" w:sz="8" w:space="0"/>
              <w:right w:val="single" w:color="000000" w:sz="2" w:space="0"/>
            </w:tcBorders>
            <w:vAlign w:val="center"/>
          </w:tcPr>
          <w:p w14:paraId="7B14754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6.01</w:t>
            </w:r>
          </w:p>
        </w:tc>
        <w:tc>
          <w:tcPr>
            <w:tcW w:w="283" w:type="pct"/>
            <w:tcBorders>
              <w:top w:val="single" w:color="000000" w:sz="2" w:space="0"/>
              <w:left w:val="single" w:color="000000" w:sz="2" w:space="0"/>
              <w:bottom w:val="single" w:color="000000" w:sz="8" w:space="0"/>
              <w:right w:val="single" w:color="000000" w:sz="2" w:space="0"/>
            </w:tcBorders>
            <w:vAlign w:val="center"/>
          </w:tcPr>
          <w:p w14:paraId="5AE54A4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3.92</w:t>
            </w:r>
          </w:p>
        </w:tc>
        <w:tc>
          <w:tcPr>
            <w:tcW w:w="265" w:type="pct"/>
            <w:tcBorders>
              <w:top w:val="single" w:color="000000" w:sz="2" w:space="0"/>
              <w:left w:val="single" w:color="000000" w:sz="2" w:space="0"/>
              <w:bottom w:val="single" w:color="000000" w:sz="8" w:space="0"/>
              <w:right w:val="single" w:color="000000" w:sz="2" w:space="0"/>
            </w:tcBorders>
            <w:vAlign w:val="center"/>
          </w:tcPr>
          <w:p w14:paraId="295EE23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2.18</w:t>
            </w:r>
          </w:p>
        </w:tc>
        <w:tc>
          <w:tcPr>
            <w:tcW w:w="301" w:type="pct"/>
            <w:tcBorders>
              <w:top w:val="single" w:color="000000" w:sz="2" w:space="0"/>
              <w:left w:val="single" w:color="000000" w:sz="2" w:space="0"/>
              <w:bottom w:val="single" w:color="000000" w:sz="8" w:space="0"/>
              <w:right w:val="single" w:color="000000" w:sz="2" w:space="0"/>
            </w:tcBorders>
            <w:vAlign w:val="center"/>
          </w:tcPr>
          <w:p w14:paraId="3818B40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0.80</w:t>
            </w:r>
          </w:p>
        </w:tc>
        <w:tc>
          <w:tcPr>
            <w:tcW w:w="283" w:type="pct"/>
            <w:tcBorders>
              <w:top w:val="single" w:color="000000" w:sz="2" w:space="0"/>
              <w:left w:val="single" w:color="000000" w:sz="2" w:space="0"/>
              <w:bottom w:val="single" w:color="000000" w:sz="8" w:space="0"/>
              <w:right w:val="single" w:color="000000" w:sz="2" w:space="0"/>
            </w:tcBorders>
            <w:vAlign w:val="center"/>
          </w:tcPr>
          <w:p w14:paraId="26BED01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1.19</w:t>
            </w:r>
          </w:p>
        </w:tc>
        <w:tc>
          <w:tcPr>
            <w:tcW w:w="283" w:type="pct"/>
            <w:tcBorders>
              <w:top w:val="single" w:color="000000" w:sz="2" w:space="0"/>
              <w:left w:val="single" w:color="000000" w:sz="2" w:space="0"/>
              <w:bottom w:val="single" w:color="000000" w:sz="8" w:space="0"/>
              <w:right w:val="single" w:color="000000" w:sz="2" w:space="0"/>
            </w:tcBorders>
            <w:vAlign w:val="center"/>
          </w:tcPr>
          <w:p w14:paraId="0142365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2.03</w:t>
            </w:r>
          </w:p>
        </w:tc>
        <w:tc>
          <w:tcPr>
            <w:tcW w:w="283" w:type="pct"/>
            <w:tcBorders>
              <w:top w:val="single" w:color="000000" w:sz="2" w:space="0"/>
              <w:left w:val="single" w:color="000000" w:sz="2" w:space="0"/>
              <w:bottom w:val="single" w:color="000000" w:sz="8" w:space="0"/>
              <w:right w:val="single" w:color="000000" w:sz="2" w:space="0"/>
            </w:tcBorders>
            <w:vAlign w:val="center"/>
          </w:tcPr>
          <w:p w14:paraId="642B404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7.28</w:t>
            </w:r>
          </w:p>
        </w:tc>
        <w:tc>
          <w:tcPr>
            <w:tcW w:w="295" w:type="pct"/>
            <w:tcBorders>
              <w:top w:val="single" w:color="000000" w:sz="2" w:space="0"/>
              <w:left w:val="single" w:color="000000" w:sz="2" w:space="0"/>
              <w:bottom w:val="single" w:color="000000" w:sz="8" w:space="0"/>
              <w:right w:val="single" w:color="000000" w:sz="2" w:space="0"/>
            </w:tcBorders>
            <w:vAlign w:val="center"/>
          </w:tcPr>
          <w:p w14:paraId="6A4CF49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6.05</w:t>
            </w:r>
          </w:p>
        </w:tc>
        <w:tc>
          <w:tcPr>
            <w:tcW w:w="272" w:type="pct"/>
            <w:tcBorders>
              <w:top w:val="single" w:color="000000" w:sz="2" w:space="0"/>
              <w:left w:val="single" w:color="000000" w:sz="2" w:space="0"/>
              <w:bottom w:val="single" w:color="000000" w:sz="8" w:space="0"/>
              <w:right w:val="single" w:color="000000" w:sz="2" w:space="0"/>
            </w:tcBorders>
            <w:vAlign w:val="center"/>
          </w:tcPr>
          <w:p w14:paraId="255087F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5.50</w:t>
            </w:r>
          </w:p>
        </w:tc>
        <w:tc>
          <w:tcPr>
            <w:tcW w:w="272" w:type="pct"/>
            <w:tcBorders>
              <w:top w:val="single" w:color="000000" w:sz="2" w:space="0"/>
              <w:left w:val="single" w:color="000000" w:sz="2" w:space="0"/>
              <w:bottom w:val="single" w:color="000000" w:sz="8" w:space="0"/>
              <w:right w:val="single" w:color="000000" w:sz="2" w:space="0"/>
            </w:tcBorders>
            <w:vAlign w:val="center"/>
          </w:tcPr>
          <w:p w14:paraId="1D7D0EA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2.87</w:t>
            </w:r>
          </w:p>
        </w:tc>
        <w:tc>
          <w:tcPr>
            <w:tcW w:w="283" w:type="pct"/>
            <w:tcBorders>
              <w:top w:val="single" w:color="000000" w:sz="2" w:space="0"/>
              <w:left w:val="single" w:color="000000" w:sz="2" w:space="0"/>
              <w:bottom w:val="single" w:color="000000" w:sz="8" w:space="0"/>
              <w:right w:val="single" w:color="000000" w:sz="8" w:space="0"/>
            </w:tcBorders>
            <w:vAlign w:val="center"/>
          </w:tcPr>
          <w:p w14:paraId="61A7390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5.70</w:t>
            </w:r>
          </w:p>
        </w:tc>
      </w:tr>
    </w:tbl>
    <w:p w14:paraId="1314FD76">
      <w:pPr>
        <w:rPr>
          <w:color w:val="auto"/>
          <w:kern w:val="2"/>
          <w:sz w:val="24"/>
          <w:szCs w:val="24"/>
        </w:rPr>
      </w:pPr>
      <w:r>
        <w:rPr>
          <w:color w:val="auto"/>
          <w:sz w:val="24"/>
          <w:szCs w:val="24"/>
        </w:rPr>
        <w:t xml:space="preserve"> </w:t>
      </w:r>
    </w:p>
    <w:p w14:paraId="274C4B58">
      <w:pPr>
        <w:rPr>
          <w:rFonts w:hint="eastAsia" w:ascii="黑体" w:hAnsi="黑体" w:eastAsia="黑体"/>
          <w:b/>
          <w:color w:val="auto"/>
          <w:sz w:val="28"/>
          <w:szCs w:val="28"/>
        </w:rPr>
        <w:sectPr>
          <w:type w:val="continuous"/>
          <w:pgSz w:w="16838" w:h="11906" w:orient="landscape"/>
          <w:pgMar w:top="1440" w:right="1588" w:bottom="1389" w:left="1588" w:header="737" w:footer="822" w:gutter="0"/>
          <w:cols w:space="720" w:num="1"/>
          <w:docGrid w:type="lines" w:linePitch="312" w:charSpace="0"/>
        </w:sectPr>
      </w:pPr>
    </w:p>
    <w:p w14:paraId="34F340A4">
      <w:pPr>
        <w:tabs>
          <w:tab w:val="left" w:pos="420"/>
        </w:tabs>
        <w:adjustRightInd w:val="0"/>
        <w:snapToGrid w:val="0"/>
        <w:spacing w:before="100" w:beforeAutospacing="1" w:line="360" w:lineRule="auto"/>
        <w:jc w:val="center"/>
        <w:rPr>
          <w:rFonts w:ascii="宋体"/>
          <w:color w:val="auto"/>
          <w:sz w:val="24"/>
          <w:szCs w:val="24"/>
        </w:rPr>
      </w:pPr>
      <w:r>
        <w:rPr>
          <w:rFonts w:ascii="宋体"/>
          <w:color w:val="auto"/>
          <w:sz w:val="24"/>
          <w:szCs w:val="24"/>
        </w:rPr>
        <w:drawing>
          <wp:inline distT="0" distB="0" distL="0" distR="0">
            <wp:extent cx="4477385" cy="62109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477385" cy="6210935"/>
                    </a:xfrm>
                    <a:prstGeom prst="rect">
                      <a:avLst/>
                    </a:prstGeom>
                    <a:noFill/>
                    <a:ln>
                      <a:noFill/>
                    </a:ln>
                  </pic:spPr>
                </pic:pic>
              </a:graphicData>
            </a:graphic>
          </wp:inline>
        </w:drawing>
      </w:r>
      <w:r>
        <w:rPr>
          <w:rFonts w:hint="eastAsia" w:ascii="宋体"/>
          <w:color w:val="auto"/>
          <w:sz w:val="24"/>
          <w:szCs w:val="24"/>
        </w:rPr>
        <w:t xml:space="preserve"> </w:t>
      </w:r>
    </w:p>
    <w:p w14:paraId="7303ACF7">
      <w:pPr>
        <w:pStyle w:val="1060"/>
        <w:spacing w:before="163"/>
        <w:rPr>
          <w:color w:val="auto"/>
          <w:szCs w:val="23"/>
        </w:rPr>
      </w:pPr>
      <w:bookmarkStart w:id="288" w:name="_Ref29004"/>
      <w:bookmarkEnd w:id="288"/>
      <w:bookmarkStart w:id="289" w:name="OLE_LINK19"/>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6</w:t>
      </w:r>
      <w:r>
        <w:rPr>
          <w:color w:val="auto"/>
        </w:rPr>
        <w:fldChar w:fldCharType="end"/>
      </w:r>
      <w:r>
        <w:rPr>
          <w:rFonts w:hint="eastAsia"/>
          <w:color w:val="auto"/>
          <w:szCs w:val="23"/>
        </w:rPr>
        <w:t xml:space="preserve"> </w:t>
      </w:r>
      <w:bookmarkEnd w:id="289"/>
      <w:r>
        <w:rPr>
          <w:rFonts w:hint="eastAsia"/>
          <w:color w:val="auto"/>
          <w:szCs w:val="23"/>
        </w:rPr>
        <w:t xml:space="preserve"> 2024</w:t>
      </w:r>
      <w:r>
        <w:rPr>
          <w:rFonts w:hint="eastAsia" w:ascii="黑体" w:hAnsi="黑体"/>
          <w:color w:val="auto"/>
          <w:szCs w:val="23"/>
        </w:rPr>
        <w:t>年月、季、年平均污染系数玫瑰图</w:t>
      </w:r>
    </w:p>
    <w:p w14:paraId="6F0F7451">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3EEE398B">
      <w:pPr>
        <w:pStyle w:val="5"/>
        <w:rPr>
          <w:color w:val="auto"/>
        </w:rPr>
      </w:pPr>
      <w:r>
        <w:rPr>
          <w:rFonts w:hint="eastAsia"/>
          <w:color w:val="auto"/>
        </w:rPr>
        <w:t>大气稳定度</w:t>
      </w:r>
    </w:p>
    <w:p w14:paraId="5422558C">
      <w:pPr>
        <w:pStyle w:val="132"/>
        <w:rPr>
          <w:color w:val="auto"/>
        </w:rPr>
      </w:pPr>
      <w:r>
        <w:rPr>
          <w:rFonts w:hint="eastAsia"/>
          <w:color w:val="auto"/>
        </w:rPr>
        <w:t xml:space="preserve">评价区大气稳定度统计结果见表 </w:t>
      </w:r>
      <w:r>
        <w:rPr>
          <w:color w:val="auto"/>
        </w:rPr>
        <w:t>5.2</w:t>
      </w:r>
      <w:r>
        <w:rPr>
          <w:rFonts w:hint="eastAsia"/>
          <w:color w:val="auto"/>
        </w:rPr>
        <w:t>–</w:t>
      </w:r>
      <w:r>
        <w:rPr>
          <w:color w:val="auto"/>
        </w:rPr>
        <w:t>6</w:t>
      </w:r>
      <w:r>
        <w:rPr>
          <w:rFonts w:hint="eastAsia"/>
          <w:color w:val="auto"/>
        </w:rPr>
        <w:t>。</w:t>
      </w:r>
    </w:p>
    <w:p w14:paraId="4438C3B6">
      <w:pPr>
        <w:pStyle w:val="132"/>
        <w:rPr>
          <w:color w:val="auto"/>
        </w:rPr>
      </w:pPr>
      <w:r>
        <w:rPr>
          <w:rFonts w:hint="eastAsia"/>
          <w:color w:val="auto"/>
        </w:rPr>
        <w:t xml:space="preserve">从表 </w:t>
      </w:r>
      <w:r>
        <w:rPr>
          <w:color w:val="auto"/>
        </w:rPr>
        <w:t>5.2</w:t>
      </w:r>
      <w:r>
        <w:rPr>
          <w:rFonts w:hint="eastAsia"/>
          <w:color w:val="auto"/>
        </w:rPr>
        <w:t>–</w:t>
      </w:r>
      <w:r>
        <w:rPr>
          <w:color w:val="auto"/>
        </w:rPr>
        <w:t>6</w:t>
      </w:r>
      <w:r>
        <w:rPr>
          <w:rFonts w:hint="eastAsia"/>
          <w:color w:val="auto"/>
        </w:rPr>
        <w:t>可知，评价区域以F类稳定度为主，全年出现频率为33.39%，其次是D类，为29.16%，强不稳定A类出现频率很小，仅为0.39%。</w:t>
      </w:r>
    </w:p>
    <w:p w14:paraId="50B8ED84">
      <w:pPr>
        <w:pStyle w:val="1060"/>
        <w:spacing w:before="163"/>
        <w:rPr>
          <w:color w:val="auto"/>
        </w:rPr>
      </w:pPr>
      <w:bookmarkStart w:id="290" w:name="_Ref29442"/>
      <w:bookmarkEnd w:id="290"/>
    </w:p>
    <w:p w14:paraId="617CB6F8">
      <w:pPr>
        <w:pStyle w:val="1060"/>
        <w:spacing w:before="163"/>
        <w:rPr>
          <w:color w:val="auto"/>
        </w:rPr>
      </w:pPr>
    </w:p>
    <w:p w14:paraId="08843604">
      <w:pPr>
        <w:pStyle w:val="1060"/>
        <w:spacing w:before="163"/>
        <w:rPr>
          <w:color w:val="auto"/>
        </w:rPr>
      </w:pPr>
    </w:p>
    <w:p w14:paraId="5318FCD6">
      <w:pPr>
        <w:pStyle w:val="1060"/>
        <w:spacing w:before="163"/>
        <w:rPr>
          <w:color w:val="auto"/>
          <w:szCs w:val="23"/>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6</w:t>
      </w:r>
      <w:r>
        <w:rPr>
          <w:color w:val="auto"/>
        </w:rPr>
        <w:fldChar w:fldCharType="end"/>
      </w:r>
      <w:r>
        <w:rPr>
          <w:rFonts w:hint="eastAsia"/>
          <w:color w:val="auto"/>
        </w:rPr>
        <w:t xml:space="preserve"> </w:t>
      </w:r>
      <w:r>
        <w:rPr>
          <w:rFonts w:hint="eastAsia"/>
          <w:color w:val="auto"/>
          <w:szCs w:val="23"/>
        </w:rPr>
        <w:t xml:space="preserve">   </w:t>
      </w:r>
      <w:r>
        <w:rPr>
          <w:rFonts w:hint="eastAsia" w:ascii="黑体" w:hAnsi="黑体"/>
          <w:color w:val="auto"/>
          <w:szCs w:val="23"/>
        </w:rPr>
        <w:t>大气稳定度统计结果一览表</w:t>
      </w:r>
      <w:r>
        <w:rPr>
          <w:rFonts w:hint="eastAsia"/>
          <w:color w:val="auto"/>
          <w:szCs w:val="23"/>
        </w:rPr>
        <w:t xml:space="preserve">    </w:t>
      </w:r>
      <w:r>
        <w:rPr>
          <w:rFonts w:hint="eastAsia" w:ascii="黑体" w:hAnsi="黑体"/>
          <w:color w:val="auto"/>
          <w:szCs w:val="23"/>
        </w:rPr>
        <w:t>单位：</w:t>
      </w:r>
      <w:r>
        <w:rPr>
          <w:rFonts w:hint="eastAsia"/>
          <w:color w:val="auto"/>
          <w:szCs w:val="23"/>
        </w:rPr>
        <w:t>%</w:t>
      </w:r>
    </w:p>
    <w:tbl>
      <w:tblPr>
        <w:tblStyle w:val="2429"/>
        <w:tblW w:w="4996"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886"/>
        <w:gridCol w:w="875"/>
        <w:gridCol w:w="879"/>
        <w:gridCol w:w="875"/>
        <w:gridCol w:w="875"/>
        <w:gridCol w:w="877"/>
        <w:gridCol w:w="879"/>
        <w:gridCol w:w="872"/>
        <w:gridCol w:w="879"/>
        <w:gridCol w:w="882"/>
      </w:tblGrid>
      <w:tr w14:paraId="77D0FFB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8" w:space="0"/>
              <w:left w:val="single" w:color="000000" w:sz="8" w:space="0"/>
              <w:bottom w:val="single" w:color="000000" w:sz="2" w:space="0"/>
              <w:right w:val="single" w:color="000000" w:sz="2" w:space="0"/>
            </w:tcBorders>
            <w:vAlign w:val="center"/>
          </w:tcPr>
          <w:p w14:paraId="00A87F3A">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月（年）</w:t>
            </w:r>
          </w:p>
        </w:tc>
        <w:tc>
          <w:tcPr>
            <w:tcW w:w="498" w:type="pct"/>
            <w:tcBorders>
              <w:top w:val="single" w:color="000000" w:sz="8" w:space="0"/>
              <w:left w:val="single" w:color="000000" w:sz="2" w:space="0"/>
              <w:bottom w:val="single" w:color="000000" w:sz="2" w:space="0"/>
              <w:right w:val="single" w:color="000000" w:sz="2" w:space="0"/>
            </w:tcBorders>
            <w:vAlign w:val="center"/>
          </w:tcPr>
          <w:p w14:paraId="5B25939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A</w:t>
            </w:r>
          </w:p>
        </w:tc>
        <w:tc>
          <w:tcPr>
            <w:tcW w:w="500" w:type="pct"/>
            <w:tcBorders>
              <w:top w:val="single" w:color="000000" w:sz="8" w:space="0"/>
              <w:left w:val="single" w:color="000000" w:sz="2" w:space="0"/>
              <w:bottom w:val="single" w:color="000000" w:sz="2" w:space="0"/>
              <w:right w:val="single" w:color="000000" w:sz="2" w:space="0"/>
            </w:tcBorders>
            <w:vAlign w:val="center"/>
          </w:tcPr>
          <w:p w14:paraId="4B9CA2B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B</w:t>
            </w:r>
          </w:p>
        </w:tc>
        <w:tc>
          <w:tcPr>
            <w:tcW w:w="498" w:type="pct"/>
            <w:tcBorders>
              <w:top w:val="single" w:color="000000" w:sz="8" w:space="0"/>
              <w:left w:val="single" w:color="000000" w:sz="2" w:space="0"/>
              <w:bottom w:val="single" w:color="000000" w:sz="2" w:space="0"/>
              <w:right w:val="single" w:color="000000" w:sz="2" w:space="0"/>
            </w:tcBorders>
            <w:vAlign w:val="center"/>
          </w:tcPr>
          <w:p w14:paraId="531AF9A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B-C</w:t>
            </w:r>
          </w:p>
        </w:tc>
        <w:tc>
          <w:tcPr>
            <w:tcW w:w="498" w:type="pct"/>
            <w:tcBorders>
              <w:top w:val="single" w:color="000000" w:sz="8" w:space="0"/>
              <w:left w:val="single" w:color="000000" w:sz="2" w:space="0"/>
              <w:bottom w:val="single" w:color="000000" w:sz="2" w:space="0"/>
              <w:right w:val="single" w:color="000000" w:sz="2" w:space="0"/>
            </w:tcBorders>
            <w:vAlign w:val="center"/>
          </w:tcPr>
          <w:p w14:paraId="4CE87E3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C</w:t>
            </w:r>
          </w:p>
        </w:tc>
        <w:tc>
          <w:tcPr>
            <w:tcW w:w="499" w:type="pct"/>
            <w:tcBorders>
              <w:top w:val="single" w:color="000000" w:sz="8" w:space="0"/>
              <w:left w:val="single" w:color="000000" w:sz="2" w:space="0"/>
              <w:bottom w:val="single" w:color="000000" w:sz="2" w:space="0"/>
              <w:right w:val="single" w:color="000000" w:sz="2" w:space="0"/>
            </w:tcBorders>
            <w:vAlign w:val="center"/>
          </w:tcPr>
          <w:p w14:paraId="0E3E07A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C-D</w:t>
            </w:r>
          </w:p>
        </w:tc>
        <w:tc>
          <w:tcPr>
            <w:tcW w:w="500" w:type="pct"/>
            <w:tcBorders>
              <w:top w:val="single" w:color="000000" w:sz="8" w:space="0"/>
              <w:left w:val="single" w:color="000000" w:sz="2" w:space="0"/>
              <w:bottom w:val="single" w:color="000000" w:sz="2" w:space="0"/>
              <w:right w:val="single" w:color="000000" w:sz="2" w:space="0"/>
            </w:tcBorders>
            <w:vAlign w:val="center"/>
          </w:tcPr>
          <w:p w14:paraId="7CB9449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D</w:t>
            </w:r>
          </w:p>
        </w:tc>
        <w:tc>
          <w:tcPr>
            <w:tcW w:w="496" w:type="pct"/>
            <w:tcBorders>
              <w:top w:val="single" w:color="000000" w:sz="8" w:space="0"/>
              <w:left w:val="single" w:color="000000" w:sz="2" w:space="0"/>
              <w:bottom w:val="single" w:color="000000" w:sz="2" w:space="0"/>
              <w:right w:val="single" w:color="000000" w:sz="2" w:space="0"/>
            </w:tcBorders>
            <w:vAlign w:val="center"/>
          </w:tcPr>
          <w:p w14:paraId="6A88953D">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D-E</w:t>
            </w:r>
          </w:p>
        </w:tc>
        <w:tc>
          <w:tcPr>
            <w:tcW w:w="500" w:type="pct"/>
            <w:tcBorders>
              <w:top w:val="single" w:color="000000" w:sz="8" w:space="0"/>
              <w:left w:val="single" w:color="000000" w:sz="2" w:space="0"/>
              <w:bottom w:val="single" w:color="000000" w:sz="2" w:space="0"/>
              <w:right w:val="single" w:color="000000" w:sz="2" w:space="0"/>
            </w:tcBorders>
            <w:vAlign w:val="center"/>
          </w:tcPr>
          <w:p w14:paraId="14D23D4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E</w:t>
            </w:r>
          </w:p>
        </w:tc>
        <w:tc>
          <w:tcPr>
            <w:tcW w:w="502" w:type="pct"/>
            <w:tcBorders>
              <w:top w:val="single" w:color="000000" w:sz="8" w:space="0"/>
              <w:left w:val="single" w:color="000000" w:sz="2" w:space="0"/>
              <w:bottom w:val="single" w:color="000000" w:sz="2" w:space="0"/>
              <w:right w:val="single" w:color="000000" w:sz="8" w:space="0"/>
            </w:tcBorders>
            <w:vAlign w:val="center"/>
          </w:tcPr>
          <w:p w14:paraId="6085606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F</w:t>
            </w:r>
          </w:p>
        </w:tc>
      </w:tr>
      <w:tr w14:paraId="2FD5B17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27EE688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002C7EC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46083E3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12.37</w:t>
            </w:r>
          </w:p>
        </w:tc>
        <w:tc>
          <w:tcPr>
            <w:tcW w:w="498" w:type="pct"/>
            <w:tcBorders>
              <w:top w:val="single" w:color="000000" w:sz="2" w:space="0"/>
              <w:left w:val="single" w:color="000000" w:sz="2" w:space="0"/>
              <w:bottom w:val="single" w:color="000000" w:sz="2" w:space="0"/>
              <w:right w:val="single" w:color="000000" w:sz="2" w:space="0"/>
            </w:tcBorders>
            <w:vAlign w:val="center"/>
          </w:tcPr>
          <w:p w14:paraId="45474DA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498" w:type="pct"/>
            <w:tcBorders>
              <w:top w:val="single" w:color="000000" w:sz="2" w:space="0"/>
              <w:left w:val="single" w:color="000000" w:sz="2" w:space="0"/>
              <w:bottom w:val="single" w:color="000000" w:sz="2" w:space="0"/>
              <w:right w:val="single" w:color="000000" w:sz="2" w:space="0"/>
            </w:tcBorders>
            <w:vAlign w:val="center"/>
          </w:tcPr>
          <w:p w14:paraId="5B7AABB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4.70</w:t>
            </w:r>
          </w:p>
        </w:tc>
        <w:tc>
          <w:tcPr>
            <w:tcW w:w="499" w:type="pct"/>
            <w:tcBorders>
              <w:top w:val="single" w:color="000000" w:sz="2" w:space="0"/>
              <w:left w:val="single" w:color="000000" w:sz="2" w:space="0"/>
              <w:bottom w:val="single" w:color="000000" w:sz="2" w:space="0"/>
              <w:right w:val="single" w:color="000000" w:sz="2" w:space="0"/>
            </w:tcBorders>
            <w:vAlign w:val="center"/>
          </w:tcPr>
          <w:p w14:paraId="0C1AD0E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7BCD92B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25.81</w:t>
            </w:r>
          </w:p>
        </w:tc>
        <w:tc>
          <w:tcPr>
            <w:tcW w:w="496" w:type="pct"/>
            <w:tcBorders>
              <w:top w:val="single" w:color="000000" w:sz="2" w:space="0"/>
              <w:left w:val="single" w:color="000000" w:sz="2" w:space="0"/>
              <w:bottom w:val="single" w:color="000000" w:sz="2" w:space="0"/>
              <w:right w:val="single" w:color="000000" w:sz="2" w:space="0"/>
            </w:tcBorders>
            <w:vAlign w:val="center"/>
          </w:tcPr>
          <w:p w14:paraId="18839F4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0C81297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11.83</w:t>
            </w:r>
          </w:p>
        </w:tc>
        <w:tc>
          <w:tcPr>
            <w:tcW w:w="502" w:type="pct"/>
            <w:tcBorders>
              <w:top w:val="single" w:color="000000" w:sz="2" w:space="0"/>
              <w:left w:val="single" w:color="000000" w:sz="2" w:space="0"/>
              <w:bottom w:val="single" w:color="000000" w:sz="2" w:space="0"/>
              <w:right w:val="single" w:color="000000" w:sz="8" w:space="0"/>
            </w:tcBorders>
            <w:vAlign w:val="center"/>
          </w:tcPr>
          <w:p w14:paraId="521FFA6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45.30</w:t>
            </w:r>
          </w:p>
        </w:tc>
      </w:tr>
      <w:tr w14:paraId="06598BB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3405BB4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5AEDA01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6922F59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13.07</w:t>
            </w:r>
          </w:p>
        </w:tc>
        <w:tc>
          <w:tcPr>
            <w:tcW w:w="498" w:type="pct"/>
            <w:tcBorders>
              <w:top w:val="single" w:color="000000" w:sz="2" w:space="0"/>
              <w:left w:val="single" w:color="000000" w:sz="2" w:space="0"/>
              <w:bottom w:val="single" w:color="000000" w:sz="2" w:space="0"/>
              <w:right w:val="single" w:color="000000" w:sz="2" w:space="0"/>
            </w:tcBorders>
            <w:vAlign w:val="center"/>
          </w:tcPr>
          <w:p w14:paraId="7D34388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498" w:type="pct"/>
            <w:tcBorders>
              <w:top w:val="single" w:color="000000" w:sz="2" w:space="0"/>
              <w:left w:val="single" w:color="000000" w:sz="2" w:space="0"/>
              <w:bottom w:val="single" w:color="000000" w:sz="2" w:space="0"/>
              <w:right w:val="single" w:color="000000" w:sz="2" w:space="0"/>
            </w:tcBorders>
            <w:vAlign w:val="center"/>
          </w:tcPr>
          <w:p w14:paraId="576AA13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7.18</w:t>
            </w:r>
          </w:p>
        </w:tc>
        <w:tc>
          <w:tcPr>
            <w:tcW w:w="499" w:type="pct"/>
            <w:tcBorders>
              <w:top w:val="single" w:color="000000" w:sz="2" w:space="0"/>
              <w:left w:val="single" w:color="000000" w:sz="2" w:space="0"/>
              <w:bottom w:val="single" w:color="000000" w:sz="2" w:space="0"/>
              <w:right w:val="single" w:color="000000" w:sz="2" w:space="0"/>
            </w:tcBorders>
            <w:vAlign w:val="center"/>
          </w:tcPr>
          <w:p w14:paraId="30B777C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0979C02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31.47</w:t>
            </w:r>
          </w:p>
        </w:tc>
        <w:tc>
          <w:tcPr>
            <w:tcW w:w="496" w:type="pct"/>
            <w:tcBorders>
              <w:top w:val="single" w:color="000000" w:sz="2" w:space="0"/>
              <w:left w:val="single" w:color="000000" w:sz="2" w:space="0"/>
              <w:bottom w:val="single" w:color="000000" w:sz="2" w:space="0"/>
              <w:right w:val="single" w:color="000000" w:sz="2" w:space="0"/>
            </w:tcBorders>
            <w:vAlign w:val="center"/>
          </w:tcPr>
          <w:p w14:paraId="1ECCF22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3773A50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8.48</w:t>
            </w:r>
          </w:p>
        </w:tc>
        <w:tc>
          <w:tcPr>
            <w:tcW w:w="502" w:type="pct"/>
            <w:tcBorders>
              <w:top w:val="single" w:color="000000" w:sz="2" w:space="0"/>
              <w:left w:val="single" w:color="000000" w:sz="2" w:space="0"/>
              <w:bottom w:val="single" w:color="000000" w:sz="2" w:space="0"/>
              <w:right w:val="single" w:color="000000" w:sz="8" w:space="0"/>
            </w:tcBorders>
            <w:vAlign w:val="center"/>
          </w:tcPr>
          <w:p w14:paraId="6A8EE0F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39.80</w:t>
            </w:r>
          </w:p>
        </w:tc>
      </w:tr>
      <w:tr w14:paraId="4C547D5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3451F4D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472A1A7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354642F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13.44</w:t>
            </w:r>
          </w:p>
        </w:tc>
        <w:tc>
          <w:tcPr>
            <w:tcW w:w="498" w:type="pct"/>
            <w:tcBorders>
              <w:top w:val="single" w:color="000000" w:sz="2" w:space="0"/>
              <w:left w:val="single" w:color="000000" w:sz="2" w:space="0"/>
              <w:bottom w:val="single" w:color="000000" w:sz="2" w:space="0"/>
              <w:right w:val="single" w:color="000000" w:sz="2" w:space="0"/>
            </w:tcBorders>
            <w:vAlign w:val="center"/>
          </w:tcPr>
          <w:p w14:paraId="6382C6C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2.28</w:t>
            </w:r>
          </w:p>
        </w:tc>
        <w:tc>
          <w:tcPr>
            <w:tcW w:w="498" w:type="pct"/>
            <w:tcBorders>
              <w:top w:val="single" w:color="000000" w:sz="2" w:space="0"/>
              <w:left w:val="single" w:color="000000" w:sz="2" w:space="0"/>
              <w:bottom w:val="single" w:color="000000" w:sz="2" w:space="0"/>
              <w:right w:val="single" w:color="000000" w:sz="2" w:space="0"/>
            </w:tcBorders>
            <w:vAlign w:val="center"/>
          </w:tcPr>
          <w:p w14:paraId="2B0FC49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4.17</w:t>
            </w:r>
          </w:p>
        </w:tc>
        <w:tc>
          <w:tcPr>
            <w:tcW w:w="499" w:type="pct"/>
            <w:tcBorders>
              <w:top w:val="single" w:color="000000" w:sz="2" w:space="0"/>
              <w:left w:val="single" w:color="000000" w:sz="2" w:space="0"/>
              <w:bottom w:val="single" w:color="000000" w:sz="2" w:space="0"/>
              <w:right w:val="single" w:color="000000" w:sz="2" w:space="0"/>
            </w:tcBorders>
            <w:vAlign w:val="center"/>
          </w:tcPr>
          <w:p w14:paraId="16F58C9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0.27</w:t>
            </w:r>
          </w:p>
        </w:tc>
        <w:tc>
          <w:tcPr>
            <w:tcW w:w="500" w:type="pct"/>
            <w:tcBorders>
              <w:top w:val="single" w:color="000000" w:sz="2" w:space="0"/>
              <w:left w:val="single" w:color="000000" w:sz="2" w:space="0"/>
              <w:bottom w:val="single" w:color="000000" w:sz="2" w:space="0"/>
              <w:right w:val="single" w:color="000000" w:sz="2" w:space="0"/>
            </w:tcBorders>
            <w:vAlign w:val="center"/>
          </w:tcPr>
          <w:p w14:paraId="651FCF2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40.59</w:t>
            </w:r>
          </w:p>
        </w:tc>
        <w:tc>
          <w:tcPr>
            <w:tcW w:w="496" w:type="pct"/>
            <w:tcBorders>
              <w:top w:val="single" w:color="000000" w:sz="2" w:space="0"/>
              <w:left w:val="single" w:color="000000" w:sz="2" w:space="0"/>
              <w:bottom w:val="single" w:color="000000" w:sz="2" w:space="0"/>
              <w:right w:val="single" w:color="000000" w:sz="2" w:space="0"/>
            </w:tcBorders>
            <w:vAlign w:val="center"/>
          </w:tcPr>
          <w:p w14:paraId="105BEC6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318828D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7.26</w:t>
            </w:r>
          </w:p>
        </w:tc>
        <w:tc>
          <w:tcPr>
            <w:tcW w:w="502" w:type="pct"/>
            <w:tcBorders>
              <w:top w:val="single" w:color="000000" w:sz="2" w:space="0"/>
              <w:left w:val="single" w:color="000000" w:sz="2" w:space="0"/>
              <w:bottom w:val="single" w:color="000000" w:sz="2" w:space="0"/>
              <w:right w:val="single" w:color="000000" w:sz="8" w:space="0"/>
            </w:tcBorders>
            <w:vAlign w:val="center"/>
          </w:tcPr>
          <w:p w14:paraId="4F92C32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31.99</w:t>
            </w:r>
          </w:p>
        </w:tc>
      </w:tr>
      <w:tr w14:paraId="428D6F6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605A315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7F2417F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26B9645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24.44</w:t>
            </w:r>
          </w:p>
        </w:tc>
        <w:tc>
          <w:tcPr>
            <w:tcW w:w="498" w:type="pct"/>
            <w:tcBorders>
              <w:top w:val="single" w:color="000000" w:sz="2" w:space="0"/>
              <w:left w:val="single" w:color="000000" w:sz="2" w:space="0"/>
              <w:bottom w:val="single" w:color="000000" w:sz="2" w:space="0"/>
              <w:right w:val="single" w:color="000000" w:sz="2" w:space="0"/>
            </w:tcBorders>
            <w:vAlign w:val="center"/>
          </w:tcPr>
          <w:p w14:paraId="314BE54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3.75</w:t>
            </w:r>
          </w:p>
        </w:tc>
        <w:tc>
          <w:tcPr>
            <w:tcW w:w="498" w:type="pct"/>
            <w:tcBorders>
              <w:top w:val="single" w:color="000000" w:sz="2" w:space="0"/>
              <w:left w:val="single" w:color="000000" w:sz="2" w:space="0"/>
              <w:bottom w:val="single" w:color="000000" w:sz="2" w:space="0"/>
              <w:right w:val="single" w:color="000000" w:sz="2" w:space="0"/>
            </w:tcBorders>
            <w:vAlign w:val="center"/>
          </w:tcPr>
          <w:p w14:paraId="47A7B60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4.31</w:t>
            </w:r>
          </w:p>
        </w:tc>
        <w:tc>
          <w:tcPr>
            <w:tcW w:w="499" w:type="pct"/>
            <w:tcBorders>
              <w:top w:val="single" w:color="000000" w:sz="2" w:space="0"/>
              <w:left w:val="single" w:color="000000" w:sz="2" w:space="0"/>
              <w:bottom w:val="single" w:color="000000" w:sz="2" w:space="0"/>
              <w:right w:val="single" w:color="000000" w:sz="2" w:space="0"/>
            </w:tcBorders>
            <w:vAlign w:val="center"/>
          </w:tcPr>
          <w:p w14:paraId="07FFE1B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7E83373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30.83</w:t>
            </w:r>
          </w:p>
        </w:tc>
        <w:tc>
          <w:tcPr>
            <w:tcW w:w="496" w:type="pct"/>
            <w:tcBorders>
              <w:top w:val="single" w:color="000000" w:sz="2" w:space="0"/>
              <w:left w:val="single" w:color="000000" w:sz="2" w:space="0"/>
              <w:bottom w:val="single" w:color="000000" w:sz="2" w:space="0"/>
              <w:right w:val="single" w:color="000000" w:sz="2" w:space="0"/>
            </w:tcBorders>
            <w:vAlign w:val="center"/>
          </w:tcPr>
          <w:p w14:paraId="0AEB38D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7CF0588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7.22</w:t>
            </w:r>
          </w:p>
        </w:tc>
        <w:tc>
          <w:tcPr>
            <w:tcW w:w="502" w:type="pct"/>
            <w:tcBorders>
              <w:top w:val="single" w:color="000000" w:sz="2" w:space="0"/>
              <w:left w:val="single" w:color="000000" w:sz="2" w:space="0"/>
              <w:bottom w:val="single" w:color="000000" w:sz="2" w:space="0"/>
              <w:right w:val="single" w:color="000000" w:sz="8" w:space="0"/>
            </w:tcBorders>
            <w:vAlign w:val="center"/>
          </w:tcPr>
          <w:p w14:paraId="2B82589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29.44</w:t>
            </w:r>
          </w:p>
        </w:tc>
      </w:tr>
      <w:tr w14:paraId="7708434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46F76E0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1D44D17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0.67</w:t>
            </w:r>
          </w:p>
        </w:tc>
        <w:tc>
          <w:tcPr>
            <w:tcW w:w="500" w:type="pct"/>
            <w:tcBorders>
              <w:top w:val="single" w:color="000000" w:sz="2" w:space="0"/>
              <w:left w:val="single" w:color="000000" w:sz="2" w:space="0"/>
              <w:bottom w:val="single" w:color="000000" w:sz="2" w:space="0"/>
              <w:right w:val="single" w:color="000000" w:sz="2" w:space="0"/>
            </w:tcBorders>
            <w:vAlign w:val="center"/>
          </w:tcPr>
          <w:p w14:paraId="7423C02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28.76</w:t>
            </w:r>
          </w:p>
        </w:tc>
        <w:tc>
          <w:tcPr>
            <w:tcW w:w="498" w:type="pct"/>
            <w:tcBorders>
              <w:top w:val="single" w:color="000000" w:sz="2" w:space="0"/>
              <w:left w:val="single" w:color="000000" w:sz="2" w:space="0"/>
              <w:bottom w:val="single" w:color="000000" w:sz="2" w:space="0"/>
              <w:right w:val="single" w:color="000000" w:sz="2" w:space="0"/>
            </w:tcBorders>
            <w:vAlign w:val="center"/>
          </w:tcPr>
          <w:p w14:paraId="1A8F8BC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5.24</w:t>
            </w:r>
          </w:p>
        </w:tc>
        <w:tc>
          <w:tcPr>
            <w:tcW w:w="498" w:type="pct"/>
            <w:tcBorders>
              <w:top w:val="single" w:color="000000" w:sz="2" w:space="0"/>
              <w:left w:val="single" w:color="000000" w:sz="2" w:space="0"/>
              <w:bottom w:val="single" w:color="000000" w:sz="2" w:space="0"/>
              <w:right w:val="single" w:color="000000" w:sz="2" w:space="0"/>
            </w:tcBorders>
            <w:vAlign w:val="center"/>
          </w:tcPr>
          <w:p w14:paraId="0FF25BF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4.57</w:t>
            </w:r>
          </w:p>
        </w:tc>
        <w:tc>
          <w:tcPr>
            <w:tcW w:w="499" w:type="pct"/>
            <w:tcBorders>
              <w:top w:val="single" w:color="000000" w:sz="2" w:space="0"/>
              <w:left w:val="single" w:color="000000" w:sz="2" w:space="0"/>
              <w:bottom w:val="single" w:color="000000" w:sz="2" w:space="0"/>
              <w:right w:val="single" w:color="000000" w:sz="2" w:space="0"/>
            </w:tcBorders>
            <w:vAlign w:val="center"/>
          </w:tcPr>
          <w:p w14:paraId="5FBFB4B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0.40</w:t>
            </w:r>
          </w:p>
        </w:tc>
        <w:tc>
          <w:tcPr>
            <w:tcW w:w="500" w:type="pct"/>
            <w:tcBorders>
              <w:top w:val="single" w:color="000000" w:sz="2" w:space="0"/>
              <w:left w:val="single" w:color="000000" w:sz="2" w:space="0"/>
              <w:bottom w:val="single" w:color="000000" w:sz="2" w:space="0"/>
              <w:right w:val="single" w:color="000000" w:sz="2" w:space="0"/>
            </w:tcBorders>
            <w:vAlign w:val="center"/>
          </w:tcPr>
          <w:p w14:paraId="5884354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20.56</w:t>
            </w:r>
          </w:p>
        </w:tc>
        <w:tc>
          <w:tcPr>
            <w:tcW w:w="496" w:type="pct"/>
            <w:tcBorders>
              <w:top w:val="single" w:color="000000" w:sz="2" w:space="0"/>
              <w:left w:val="single" w:color="000000" w:sz="2" w:space="0"/>
              <w:bottom w:val="single" w:color="000000" w:sz="2" w:space="0"/>
              <w:right w:val="single" w:color="000000" w:sz="2" w:space="0"/>
            </w:tcBorders>
            <w:vAlign w:val="center"/>
          </w:tcPr>
          <w:p w14:paraId="62FCE77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1B48B80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12.77</w:t>
            </w:r>
          </w:p>
        </w:tc>
        <w:tc>
          <w:tcPr>
            <w:tcW w:w="502" w:type="pct"/>
            <w:tcBorders>
              <w:top w:val="single" w:color="000000" w:sz="2" w:space="0"/>
              <w:left w:val="single" w:color="000000" w:sz="2" w:space="0"/>
              <w:bottom w:val="single" w:color="000000" w:sz="2" w:space="0"/>
              <w:right w:val="single" w:color="000000" w:sz="8" w:space="0"/>
            </w:tcBorders>
            <w:vAlign w:val="center"/>
          </w:tcPr>
          <w:p w14:paraId="4FC9427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27.02</w:t>
            </w:r>
          </w:p>
        </w:tc>
      </w:tr>
      <w:tr w14:paraId="286709B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13099F1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6</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7327D8F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2.64</w:t>
            </w:r>
          </w:p>
        </w:tc>
        <w:tc>
          <w:tcPr>
            <w:tcW w:w="500" w:type="pct"/>
            <w:tcBorders>
              <w:top w:val="single" w:color="000000" w:sz="2" w:space="0"/>
              <w:left w:val="single" w:color="000000" w:sz="2" w:space="0"/>
              <w:bottom w:val="single" w:color="000000" w:sz="2" w:space="0"/>
              <w:right w:val="single" w:color="000000" w:sz="2" w:space="0"/>
            </w:tcBorders>
            <w:vAlign w:val="center"/>
          </w:tcPr>
          <w:p w14:paraId="5ABC5A3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24.44</w:t>
            </w:r>
          </w:p>
        </w:tc>
        <w:tc>
          <w:tcPr>
            <w:tcW w:w="498" w:type="pct"/>
            <w:tcBorders>
              <w:top w:val="single" w:color="000000" w:sz="2" w:space="0"/>
              <w:left w:val="single" w:color="000000" w:sz="2" w:space="0"/>
              <w:bottom w:val="single" w:color="000000" w:sz="2" w:space="0"/>
              <w:right w:val="single" w:color="000000" w:sz="2" w:space="0"/>
            </w:tcBorders>
            <w:vAlign w:val="center"/>
          </w:tcPr>
          <w:p w14:paraId="06DEF1F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8.06</w:t>
            </w:r>
          </w:p>
        </w:tc>
        <w:tc>
          <w:tcPr>
            <w:tcW w:w="498" w:type="pct"/>
            <w:tcBorders>
              <w:top w:val="single" w:color="000000" w:sz="2" w:space="0"/>
              <w:left w:val="single" w:color="000000" w:sz="2" w:space="0"/>
              <w:bottom w:val="single" w:color="000000" w:sz="2" w:space="0"/>
              <w:right w:val="single" w:color="000000" w:sz="2" w:space="0"/>
            </w:tcBorders>
            <w:vAlign w:val="center"/>
          </w:tcPr>
          <w:p w14:paraId="31F44FD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6.53</w:t>
            </w:r>
          </w:p>
        </w:tc>
        <w:tc>
          <w:tcPr>
            <w:tcW w:w="499" w:type="pct"/>
            <w:tcBorders>
              <w:top w:val="single" w:color="000000" w:sz="2" w:space="0"/>
              <w:left w:val="single" w:color="000000" w:sz="2" w:space="0"/>
              <w:bottom w:val="single" w:color="000000" w:sz="2" w:space="0"/>
              <w:right w:val="single" w:color="000000" w:sz="2" w:space="0"/>
            </w:tcBorders>
            <w:vAlign w:val="center"/>
          </w:tcPr>
          <w:p w14:paraId="04A8BCA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1.67</w:t>
            </w:r>
          </w:p>
        </w:tc>
        <w:tc>
          <w:tcPr>
            <w:tcW w:w="500" w:type="pct"/>
            <w:tcBorders>
              <w:top w:val="single" w:color="000000" w:sz="2" w:space="0"/>
              <w:left w:val="single" w:color="000000" w:sz="2" w:space="0"/>
              <w:bottom w:val="single" w:color="000000" w:sz="2" w:space="0"/>
              <w:right w:val="single" w:color="000000" w:sz="2" w:space="0"/>
            </w:tcBorders>
            <w:vAlign w:val="center"/>
          </w:tcPr>
          <w:p w14:paraId="585A5E0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18.19</w:t>
            </w:r>
          </w:p>
        </w:tc>
        <w:tc>
          <w:tcPr>
            <w:tcW w:w="496" w:type="pct"/>
            <w:tcBorders>
              <w:top w:val="single" w:color="000000" w:sz="2" w:space="0"/>
              <w:left w:val="single" w:color="000000" w:sz="2" w:space="0"/>
              <w:bottom w:val="single" w:color="000000" w:sz="2" w:space="0"/>
              <w:right w:val="single" w:color="000000" w:sz="2" w:space="0"/>
            </w:tcBorders>
            <w:vAlign w:val="center"/>
          </w:tcPr>
          <w:p w14:paraId="1DD6536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424AE2A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10.14</w:t>
            </w:r>
          </w:p>
        </w:tc>
        <w:tc>
          <w:tcPr>
            <w:tcW w:w="502" w:type="pct"/>
            <w:tcBorders>
              <w:top w:val="single" w:color="000000" w:sz="2" w:space="0"/>
              <w:left w:val="single" w:color="000000" w:sz="2" w:space="0"/>
              <w:bottom w:val="single" w:color="000000" w:sz="2" w:space="0"/>
              <w:right w:val="single" w:color="000000" w:sz="8" w:space="0"/>
            </w:tcBorders>
            <w:vAlign w:val="center"/>
          </w:tcPr>
          <w:p w14:paraId="4DE6C02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28.33</w:t>
            </w:r>
          </w:p>
        </w:tc>
      </w:tr>
      <w:tr w14:paraId="2FA5CF1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13ED628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14E9270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1.34</w:t>
            </w:r>
          </w:p>
        </w:tc>
        <w:tc>
          <w:tcPr>
            <w:tcW w:w="500" w:type="pct"/>
            <w:tcBorders>
              <w:top w:val="single" w:color="000000" w:sz="2" w:space="0"/>
              <w:left w:val="single" w:color="000000" w:sz="2" w:space="0"/>
              <w:bottom w:val="single" w:color="000000" w:sz="2" w:space="0"/>
              <w:right w:val="single" w:color="000000" w:sz="2" w:space="0"/>
            </w:tcBorders>
            <w:vAlign w:val="center"/>
          </w:tcPr>
          <w:p w14:paraId="4F8B703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27.69</w:t>
            </w:r>
          </w:p>
        </w:tc>
        <w:tc>
          <w:tcPr>
            <w:tcW w:w="498" w:type="pct"/>
            <w:tcBorders>
              <w:top w:val="single" w:color="000000" w:sz="2" w:space="0"/>
              <w:left w:val="single" w:color="000000" w:sz="2" w:space="0"/>
              <w:bottom w:val="single" w:color="000000" w:sz="2" w:space="0"/>
              <w:right w:val="single" w:color="000000" w:sz="2" w:space="0"/>
            </w:tcBorders>
            <w:vAlign w:val="center"/>
          </w:tcPr>
          <w:p w14:paraId="335DCA8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5.91</w:t>
            </w:r>
          </w:p>
        </w:tc>
        <w:tc>
          <w:tcPr>
            <w:tcW w:w="498" w:type="pct"/>
            <w:tcBorders>
              <w:top w:val="single" w:color="000000" w:sz="2" w:space="0"/>
              <w:left w:val="single" w:color="000000" w:sz="2" w:space="0"/>
              <w:bottom w:val="single" w:color="000000" w:sz="2" w:space="0"/>
              <w:right w:val="single" w:color="000000" w:sz="2" w:space="0"/>
            </w:tcBorders>
            <w:vAlign w:val="center"/>
          </w:tcPr>
          <w:p w14:paraId="3030366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4.17</w:t>
            </w:r>
          </w:p>
        </w:tc>
        <w:tc>
          <w:tcPr>
            <w:tcW w:w="499" w:type="pct"/>
            <w:tcBorders>
              <w:top w:val="single" w:color="000000" w:sz="2" w:space="0"/>
              <w:left w:val="single" w:color="000000" w:sz="2" w:space="0"/>
              <w:bottom w:val="single" w:color="000000" w:sz="2" w:space="0"/>
              <w:right w:val="single" w:color="000000" w:sz="2" w:space="0"/>
            </w:tcBorders>
            <w:vAlign w:val="center"/>
          </w:tcPr>
          <w:p w14:paraId="44A3C33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0.40</w:t>
            </w:r>
          </w:p>
        </w:tc>
        <w:tc>
          <w:tcPr>
            <w:tcW w:w="500" w:type="pct"/>
            <w:tcBorders>
              <w:top w:val="single" w:color="000000" w:sz="2" w:space="0"/>
              <w:left w:val="single" w:color="000000" w:sz="2" w:space="0"/>
              <w:bottom w:val="single" w:color="000000" w:sz="2" w:space="0"/>
              <w:right w:val="single" w:color="000000" w:sz="2" w:space="0"/>
            </w:tcBorders>
            <w:vAlign w:val="center"/>
          </w:tcPr>
          <w:p w14:paraId="5984FED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23.25</w:t>
            </w:r>
          </w:p>
        </w:tc>
        <w:tc>
          <w:tcPr>
            <w:tcW w:w="496" w:type="pct"/>
            <w:tcBorders>
              <w:top w:val="single" w:color="000000" w:sz="2" w:space="0"/>
              <w:left w:val="single" w:color="000000" w:sz="2" w:space="0"/>
              <w:bottom w:val="single" w:color="000000" w:sz="2" w:space="0"/>
              <w:right w:val="single" w:color="000000" w:sz="2" w:space="0"/>
            </w:tcBorders>
            <w:vAlign w:val="center"/>
          </w:tcPr>
          <w:p w14:paraId="5E31E44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3B0F9E5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12.50</w:t>
            </w:r>
          </w:p>
        </w:tc>
        <w:tc>
          <w:tcPr>
            <w:tcW w:w="502" w:type="pct"/>
            <w:tcBorders>
              <w:top w:val="single" w:color="000000" w:sz="2" w:space="0"/>
              <w:left w:val="single" w:color="000000" w:sz="2" w:space="0"/>
              <w:bottom w:val="single" w:color="000000" w:sz="2" w:space="0"/>
              <w:right w:val="single" w:color="000000" w:sz="8" w:space="0"/>
            </w:tcBorders>
            <w:vAlign w:val="center"/>
          </w:tcPr>
          <w:p w14:paraId="613B011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24.73</w:t>
            </w:r>
          </w:p>
        </w:tc>
      </w:tr>
      <w:tr w14:paraId="3A87651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0707336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3A4B9BC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01A5202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26.08</w:t>
            </w:r>
          </w:p>
        </w:tc>
        <w:tc>
          <w:tcPr>
            <w:tcW w:w="498" w:type="pct"/>
            <w:tcBorders>
              <w:top w:val="single" w:color="000000" w:sz="2" w:space="0"/>
              <w:left w:val="single" w:color="000000" w:sz="2" w:space="0"/>
              <w:bottom w:val="single" w:color="000000" w:sz="2" w:space="0"/>
              <w:right w:val="single" w:color="000000" w:sz="2" w:space="0"/>
            </w:tcBorders>
            <w:vAlign w:val="center"/>
          </w:tcPr>
          <w:p w14:paraId="36D03F3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4.84</w:t>
            </w:r>
          </w:p>
        </w:tc>
        <w:tc>
          <w:tcPr>
            <w:tcW w:w="498" w:type="pct"/>
            <w:tcBorders>
              <w:top w:val="single" w:color="000000" w:sz="2" w:space="0"/>
              <w:left w:val="single" w:color="000000" w:sz="2" w:space="0"/>
              <w:bottom w:val="single" w:color="000000" w:sz="2" w:space="0"/>
              <w:right w:val="single" w:color="000000" w:sz="2" w:space="0"/>
            </w:tcBorders>
            <w:vAlign w:val="center"/>
          </w:tcPr>
          <w:p w14:paraId="6E168EF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4.57</w:t>
            </w:r>
          </w:p>
        </w:tc>
        <w:tc>
          <w:tcPr>
            <w:tcW w:w="499" w:type="pct"/>
            <w:tcBorders>
              <w:top w:val="single" w:color="000000" w:sz="2" w:space="0"/>
              <w:left w:val="single" w:color="000000" w:sz="2" w:space="0"/>
              <w:bottom w:val="single" w:color="000000" w:sz="2" w:space="0"/>
              <w:right w:val="single" w:color="000000" w:sz="2" w:space="0"/>
            </w:tcBorders>
            <w:vAlign w:val="center"/>
          </w:tcPr>
          <w:p w14:paraId="727707B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5B7113C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35.35</w:t>
            </w:r>
          </w:p>
        </w:tc>
        <w:tc>
          <w:tcPr>
            <w:tcW w:w="496" w:type="pct"/>
            <w:tcBorders>
              <w:top w:val="single" w:color="000000" w:sz="2" w:space="0"/>
              <w:left w:val="single" w:color="000000" w:sz="2" w:space="0"/>
              <w:bottom w:val="single" w:color="000000" w:sz="2" w:space="0"/>
              <w:right w:val="single" w:color="000000" w:sz="2" w:space="0"/>
            </w:tcBorders>
            <w:vAlign w:val="center"/>
          </w:tcPr>
          <w:p w14:paraId="1C11DBE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742E998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7.93</w:t>
            </w:r>
          </w:p>
        </w:tc>
        <w:tc>
          <w:tcPr>
            <w:tcW w:w="502" w:type="pct"/>
            <w:tcBorders>
              <w:top w:val="single" w:color="000000" w:sz="2" w:space="0"/>
              <w:left w:val="single" w:color="000000" w:sz="2" w:space="0"/>
              <w:bottom w:val="single" w:color="000000" w:sz="2" w:space="0"/>
              <w:right w:val="single" w:color="000000" w:sz="8" w:space="0"/>
            </w:tcBorders>
            <w:vAlign w:val="center"/>
          </w:tcPr>
          <w:p w14:paraId="3AC534C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21.24</w:t>
            </w:r>
          </w:p>
        </w:tc>
      </w:tr>
      <w:tr w14:paraId="5BD0AC0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773D8A7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9</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0EF65ED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1CA0FC9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23.06</w:t>
            </w:r>
          </w:p>
        </w:tc>
        <w:tc>
          <w:tcPr>
            <w:tcW w:w="498" w:type="pct"/>
            <w:tcBorders>
              <w:top w:val="single" w:color="000000" w:sz="2" w:space="0"/>
              <w:left w:val="single" w:color="000000" w:sz="2" w:space="0"/>
              <w:bottom w:val="single" w:color="000000" w:sz="2" w:space="0"/>
              <w:right w:val="single" w:color="000000" w:sz="2" w:space="0"/>
            </w:tcBorders>
            <w:vAlign w:val="center"/>
          </w:tcPr>
          <w:p w14:paraId="6707770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4.17</w:t>
            </w:r>
          </w:p>
        </w:tc>
        <w:tc>
          <w:tcPr>
            <w:tcW w:w="498" w:type="pct"/>
            <w:tcBorders>
              <w:top w:val="single" w:color="000000" w:sz="2" w:space="0"/>
              <w:left w:val="single" w:color="000000" w:sz="2" w:space="0"/>
              <w:bottom w:val="single" w:color="000000" w:sz="2" w:space="0"/>
              <w:right w:val="single" w:color="000000" w:sz="2" w:space="0"/>
            </w:tcBorders>
            <w:vAlign w:val="center"/>
          </w:tcPr>
          <w:p w14:paraId="246D8A7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4.86</w:t>
            </w:r>
          </w:p>
        </w:tc>
        <w:tc>
          <w:tcPr>
            <w:tcW w:w="499" w:type="pct"/>
            <w:tcBorders>
              <w:top w:val="single" w:color="000000" w:sz="2" w:space="0"/>
              <w:left w:val="single" w:color="000000" w:sz="2" w:space="0"/>
              <w:bottom w:val="single" w:color="000000" w:sz="2" w:space="0"/>
              <w:right w:val="single" w:color="000000" w:sz="2" w:space="0"/>
            </w:tcBorders>
            <w:vAlign w:val="center"/>
          </w:tcPr>
          <w:p w14:paraId="196642B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031B0D0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24.58</w:t>
            </w:r>
          </w:p>
        </w:tc>
        <w:tc>
          <w:tcPr>
            <w:tcW w:w="496" w:type="pct"/>
            <w:tcBorders>
              <w:top w:val="single" w:color="000000" w:sz="2" w:space="0"/>
              <w:left w:val="single" w:color="000000" w:sz="2" w:space="0"/>
              <w:bottom w:val="single" w:color="000000" w:sz="2" w:space="0"/>
              <w:right w:val="single" w:color="000000" w:sz="2" w:space="0"/>
            </w:tcBorders>
            <w:vAlign w:val="center"/>
          </w:tcPr>
          <w:p w14:paraId="3FCF7A2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158DA48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10.97</w:t>
            </w:r>
          </w:p>
        </w:tc>
        <w:tc>
          <w:tcPr>
            <w:tcW w:w="502" w:type="pct"/>
            <w:tcBorders>
              <w:top w:val="single" w:color="000000" w:sz="2" w:space="0"/>
              <w:left w:val="single" w:color="000000" w:sz="2" w:space="0"/>
              <w:bottom w:val="single" w:color="000000" w:sz="2" w:space="0"/>
              <w:right w:val="single" w:color="000000" w:sz="8" w:space="0"/>
            </w:tcBorders>
            <w:vAlign w:val="center"/>
          </w:tcPr>
          <w:p w14:paraId="75EE8E2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32.36</w:t>
            </w:r>
          </w:p>
        </w:tc>
      </w:tr>
      <w:tr w14:paraId="35EF619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6F64B9E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10</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063C843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5AA9464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12.23</w:t>
            </w:r>
          </w:p>
        </w:tc>
        <w:tc>
          <w:tcPr>
            <w:tcW w:w="498" w:type="pct"/>
            <w:tcBorders>
              <w:top w:val="single" w:color="000000" w:sz="2" w:space="0"/>
              <w:left w:val="single" w:color="000000" w:sz="2" w:space="0"/>
              <w:bottom w:val="single" w:color="000000" w:sz="2" w:space="0"/>
              <w:right w:val="single" w:color="000000" w:sz="2" w:space="0"/>
            </w:tcBorders>
            <w:vAlign w:val="center"/>
          </w:tcPr>
          <w:p w14:paraId="2AF9641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1.08</w:t>
            </w:r>
          </w:p>
        </w:tc>
        <w:tc>
          <w:tcPr>
            <w:tcW w:w="498" w:type="pct"/>
            <w:tcBorders>
              <w:top w:val="single" w:color="000000" w:sz="2" w:space="0"/>
              <w:left w:val="single" w:color="000000" w:sz="2" w:space="0"/>
              <w:bottom w:val="single" w:color="000000" w:sz="2" w:space="0"/>
              <w:right w:val="single" w:color="000000" w:sz="2" w:space="0"/>
            </w:tcBorders>
            <w:vAlign w:val="center"/>
          </w:tcPr>
          <w:p w14:paraId="3C81817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8.20</w:t>
            </w:r>
          </w:p>
        </w:tc>
        <w:tc>
          <w:tcPr>
            <w:tcW w:w="499" w:type="pct"/>
            <w:tcBorders>
              <w:top w:val="single" w:color="000000" w:sz="2" w:space="0"/>
              <w:left w:val="single" w:color="000000" w:sz="2" w:space="0"/>
              <w:bottom w:val="single" w:color="000000" w:sz="2" w:space="0"/>
              <w:right w:val="single" w:color="000000" w:sz="2" w:space="0"/>
            </w:tcBorders>
            <w:vAlign w:val="center"/>
          </w:tcPr>
          <w:p w14:paraId="4F50E4D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6D68A6F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32.80</w:t>
            </w:r>
          </w:p>
        </w:tc>
        <w:tc>
          <w:tcPr>
            <w:tcW w:w="496" w:type="pct"/>
            <w:tcBorders>
              <w:top w:val="single" w:color="000000" w:sz="2" w:space="0"/>
              <w:left w:val="single" w:color="000000" w:sz="2" w:space="0"/>
              <w:bottom w:val="single" w:color="000000" w:sz="2" w:space="0"/>
              <w:right w:val="single" w:color="000000" w:sz="2" w:space="0"/>
            </w:tcBorders>
            <w:vAlign w:val="center"/>
          </w:tcPr>
          <w:p w14:paraId="62D9F97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5F43486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8.47</w:t>
            </w:r>
          </w:p>
        </w:tc>
        <w:tc>
          <w:tcPr>
            <w:tcW w:w="502" w:type="pct"/>
            <w:tcBorders>
              <w:top w:val="single" w:color="000000" w:sz="2" w:space="0"/>
              <w:left w:val="single" w:color="000000" w:sz="2" w:space="0"/>
              <w:bottom w:val="single" w:color="000000" w:sz="2" w:space="0"/>
              <w:right w:val="single" w:color="000000" w:sz="8" w:space="0"/>
            </w:tcBorders>
            <w:vAlign w:val="center"/>
          </w:tcPr>
          <w:p w14:paraId="333C936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37.23</w:t>
            </w:r>
          </w:p>
        </w:tc>
      </w:tr>
      <w:tr w14:paraId="0C2057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3B7F6D7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11</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2296598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7CF447F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11.67</w:t>
            </w:r>
          </w:p>
        </w:tc>
        <w:tc>
          <w:tcPr>
            <w:tcW w:w="498" w:type="pct"/>
            <w:tcBorders>
              <w:top w:val="single" w:color="000000" w:sz="2" w:space="0"/>
              <w:left w:val="single" w:color="000000" w:sz="2" w:space="0"/>
              <w:bottom w:val="single" w:color="000000" w:sz="2" w:space="0"/>
              <w:right w:val="single" w:color="000000" w:sz="2" w:space="0"/>
            </w:tcBorders>
            <w:vAlign w:val="center"/>
          </w:tcPr>
          <w:p w14:paraId="427A692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498" w:type="pct"/>
            <w:tcBorders>
              <w:top w:val="single" w:color="000000" w:sz="2" w:space="0"/>
              <w:left w:val="single" w:color="000000" w:sz="2" w:space="0"/>
              <w:bottom w:val="single" w:color="000000" w:sz="2" w:space="0"/>
              <w:right w:val="single" w:color="000000" w:sz="2" w:space="0"/>
            </w:tcBorders>
            <w:vAlign w:val="center"/>
          </w:tcPr>
          <w:p w14:paraId="6D202E6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6.11</w:t>
            </w:r>
          </w:p>
        </w:tc>
        <w:tc>
          <w:tcPr>
            <w:tcW w:w="499" w:type="pct"/>
            <w:tcBorders>
              <w:top w:val="single" w:color="000000" w:sz="2" w:space="0"/>
              <w:left w:val="single" w:color="000000" w:sz="2" w:space="0"/>
              <w:bottom w:val="single" w:color="000000" w:sz="2" w:space="0"/>
              <w:right w:val="single" w:color="000000" w:sz="2" w:space="0"/>
            </w:tcBorders>
            <w:vAlign w:val="center"/>
          </w:tcPr>
          <w:p w14:paraId="06A19C6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00F9297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27.22</w:t>
            </w:r>
          </w:p>
        </w:tc>
        <w:tc>
          <w:tcPr>
            <w:tcW w:w="496" w:type="pct"/>
            <w:tcBorders>
              <w:top w:val="single" w:color="000000" w:sz="2" w:space="0"/>
              <w:left w:val="single" w:color="000000" w:sz="2" w:space="0"/>
              <w:bottom w:val="single" w:color="000000" w:sz="2" w:space="0"/>
              <w:right w:val="single" w:color="000000" w:sz="2" w:space="0"/>
            </w:tcBorders>
            <w:vAlign w:val="center"/>
          </w:tcPr>
          <w:p w14:paraId="71B8166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3E40C11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8.89</w:t>
            </w:r>
          </w:p>
        </w:tc>
        <w:tc>
          <w:tcPr>
            <w:tcW w:w="502" w:type="pct"/>
            <w:tcBorders>
              <w:top w:val="single" w:color="000000" w:sz="2" w:space="0"/>
              <w:left w:val="single" w:color="000000" w:sz="2" w:space="0"/>
              <w:bottom w:val="single" w:color="000000" w:sz="2" w:space="0"/>
              <w:right w:val="single" w:color="000000" w:sz="8" w:space="0"/>
            </w:tcBorders>
            <w:vAlign w:val="center"/>
          </w:tcPr>
          <w:p w14:paraId="553C79F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46.11</w:t>
            </w:r>
          </w:p>
        </w:tc>
      </w:tr>
      <w:tr w14:paraId="6955A3A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4FD7B6A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w:t>
            </w:r>
            <w:r>
              <w:rPr>
                <w:rFonts w:ascii="宋体" w:hAnsi="宋体" w:eastAsia="Times New Roman"/>
                <w:color w:val="auto"/>
                <w:sz w:val="21"/>
                <w:szCs w:val="21"/>
              </w:rPr>
              <w:t>月</w:t>
            </w:r>
          </w:p>
        </w:tc>
        <w:tc>
          <w:tcPr>
            <w:tcW w:w="498" w:type="pct"/>
            <w:tcBorders>
              <w:top w:val="single" w:color="000000" w:sz="2" w:space="0"/>
              <w:left w:val="single" w:color="000000" w:sz="2" w:space="0"/>
              <w:bottom w:val="single" w:color="000000" w:sz="2" w:space="0"/>
              <w:right w:val="single" w:color="000000" w:sz="2" w:space="0"/>
            </w:tcBorders>
            <w:vAlign w:val="center"/>
          </w:tcPr>
          <w:p w14:paraId="2186870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40F5C12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10.48</w:t>
            </w:r>
          </w:p>
        </w:tc>
        <w:tc>
          <w:tcPr>
            <w:tcW w:w="498" w:type="pct"/>
            <w:tcBorders>
              <w:top w:val="single" w:color="000000" w:sz="2" w:space="0"/>
              <w:left w:val="single" w:color="000000" w:sz="2" w:space="0"/>
              <w:bottom w:val="single" w:color="000000" w:sz="2" w:space="0"/>
              <w:right w:val="single" w:color="000000" w:sz="2" w:space="0"/>
            </w:tcBorders>
            <w:vAlign w:val="center"/>
          </w:tcPr>
          <w:p w14:paraId="2F009B5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498" w:type="pct"/>
            <w:tcBorders>
              <w:top w:val="single" w:color="000000" w:sz="2" w:space="0"/>
              <w:left w:val="single" w:color="000000" w:sz="2" w:space="0"/>
              <w:bottom w:val="single" w:color="000000" w:sz="2" w:space="0"/>
              <w:right w:val="single" w:color="000000" w:sz="2" w:space="0"/>
            </w:tcBorders>
            <w:vAlign w:val="center"/>
          </w:tcPr>
          <w:p w14:paraId="455410B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2.96</w:t>
            </w:r>
          </w:p>
        </w:tc>
        <w:tc>
          <w:tcPr>
            <w:tcW w:w="499" w:type="pct"/>
            <w:tcBorders>
              <w:top w:val="single" w:color="000000" w:sz="2" w:space="0"/>
              <w:left w:val="single" w:color="000000" w:sz="2" w:space="0"/>
              <w:bottom w:val="single" w:color="000000" w:sz="2" w:space="0"/>
              <w:right w:val="single" w:color="000000" w:sz="2" w:space="0"/>
            </w:tcBorders>
            <w:vAlign w:val="center"/>
          </w:tcPr>
          <w:p w14:paraId="45128B4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73762F9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38.84</w:t>
            </w:r>
          </w:p>
        </w:tc>
        <w:tc>
          <w:tcPr>
            <w:tcW w:w="496" w:type="pct"/>
            <w:tcBorders>
              <w:top w:val="single" w:color="000000" w:sz="2" w:space="0"/>
              <w:left w:val="single" w:color="000000" w:sz="2" w:space="0"/>
              <w:bottom w:val="single" w:color="000000" w:sz="2" w:space="0"/>
              <w:right w:val="single" w:color="000000" w:sz="2" w:space="0"/>
            </w:tcBorders>
            <w:vAlign w:val="center"/>
          </w:tcPr>
          <w:p w14:paraId="180C4C9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2AE2C7D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10.08</w:t>
            </w:r>
          </w:p>
        </w:tc>
        <w:tc>
          <w:tcPr>
            <w:tcW w:w="502" w:type="pct"/>
            <w:tcBorders>
              <w:top w:val="single" w:color="000000" w:sz="2" w:space="0"/>
              <w:left w:val="single" w:color="000000" w:sz="2" w:space="0"/>
              <w:bottom w:val="single" w:color="000000" w:sz="2" w:space="0"/>
              <w:right w:val="single" w:color="000000" w:sz="8" w:space="0"/>
            </w:tcBorders>
            <w:vAlign w:val="center"/>
          </w:tcPr>
          <w:p w14:paraId="591A846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37.63</w:t>
            </w:r>
          </w:p>
        </w:tc>
      </w:tr>
      <w:tr w14:paraId="745C87A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157427C5">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全年</w:t>
            </w:r>
          </w:p>
        </w:tc>
        <w:tc>
          <w:tcPr>
            <w:tcW w:w="498" w:type="pct"/>
            <w:tcBorders>
              <w:top w:val="single" w:color="000000" w:sz="2" w:space="0"/>
              <w:left w:val="single" w:color="000000" w:sz="2" w:space="0"/>
              <w:bottom w:val="single" w:color="000000" w:sz="2" w:space="0"/>
              <w:right w:val="single" w:color="000000" w:sz="2" w:space="0"/>
            </w:tcBorders>
            <w:vAlign w:val="center"/>
          </w:tcPr>
          <w:p w14:paraId="24266BD6">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0.39</w:t>
            </w:r>
          </w:p>
        </w:tc>
        <w:tc>
          <w:tcPr>
            <w:tcW w:w="500" w:type="pct"/>
            <w:tcBorders>
              <w:top w:val="single" w:color="000000" w:sz="2" w:space="0"/>
              <w:left w:val="single" w:color="000000" w:sz="2" w:space="0"/>
              <w:bottom w:val="single" w:color="000000" w:sz="2" w:space="0"/>
              <w:right w:val="single" w:color="000000" w:sz="2" w:space="0"/>
            </w:tcBorders>
            <w:vAlign w:val="center"/>
          </w:tcPr>
          <w:p w14:paraId="7103BE3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18.99</w:t>
            </w:r>
          </w:p>
        </w:tc>
        <w:tc>
          <w:tcPr>
            <w:tcW w:w="498" w:type="pct"/>
            <w:tcBorders>
              <w:top w:val="single" w:color="000000" w:sz="2" w:space="0"/>
              <w:left w:val="single" w:color="000000" w:sz="2" w:space="0"/>
              <w:bottom w:val="single" w:color="000000" w:sz="2" w:space="0"/>
              <w:right w:val="single" w:color="000000" w:sz="2" w:space="0"/>
            </w:tcBorders>
            <w:vAlign w:val="center"/>
          </w:tcPr>
          <w:p w14:paraId="37A53D2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2.95</w:t>
            </w:r>
          </w:p>
        </w:tc>
        <w:tc>
          <w:tcPr>
            <w:tcW w:w="498" w:type="pct"/>
            <w:tcBorders>
              <w:top w:val="single" w:color="000000" w:sz="2" w:space="0"/>
              <w:left w:val="single" w:color="000000" w:sz="2" w:space="0"/>
              <w:bottom w:val="single" w:color="000000" w:sz="2" w:space="0"/>
              <w:right w:val="single" w:color="000000" w:sz="2" w:space="0"/>
            </w:tcBorders>
            <w:vAlign w:val="center"/>
          </w:tcPr>
          <w:p w14:paraId="59275CF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5.18</w:t>
            </w:r>
          </w:p>
        </w:tc>
        <w:tc>
          <w:tcPr>
            <w:tcW w:w="499" w:type="pct"/>
            <w:tcBorders>
              <w:top w:val="single" w:color="000000" w:sz="2" w:space="0"/>
              <w:left w:val="single" w:color="000000" w:sz="2" w:space="0"/>
              <w:bottom w:val="single" w:color="000000" w:sz="2" w:space="0"/>
              <w:right w:val="single" w:color="000000" w:sz="2" w:space="0"/>
            </w:tcBorders>
            <w:vAlign w:val="center"/>
          </w:tcPr>
          <w:p w14:paraId="5626C6E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0.23</w:t>
            </w:r>
          </w:p>
        </w:tc>
        <w:tc>
          <w:tcPr>
            <w:tcW w:w="500" w:type="pct"/>
            <w:tcBorders>
              <w:top w:val="single" w:color="000000" w:sz="2" w:space="0"/>
              <w:left w:val="single" w:color="000000" w:sz="2" w:space="0"/>
              <w:bottom w:val="single" w:color="000000" w:sz="2" w:space="0"/>
              <w:right w:val="single" w:color="000000" w:sz="2" w:space="0"/>
            </w:tcBorders>
            <w:vAlign w:val="center"/>
          </w:tcPr>
          <w:p w14:paraId="28AA3F5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29.16</w:t>
            </w:r>
          </w:p>
        </w:tc>
        <w:tc>
          <w:tcPr>
            <w:tcW w:w="496" w:type="pct"/>
            <w:tcBorders>
              <w:top w:val="single" w:color="000000" w:sz="2" w:space="0"/>
              <w:left w:val="single" w:color="000000" w:sz="2" w:space="0"/>
              <w:bottom w:val="single" w:color="000000" w:sz="2" w:space="0"/>
              <w:right w:val="single" w:color="000000" w:sz="2" w:space="0"/>
            </w:tcBorders>
            <w:vAlign w:val="center"/>
          </w:tcPr>
          <w:p w14:paraId="264D1D9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7774DEA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9.72</w:t>
            </w:r>
          </w:p>
        </w:tc>
        <w:tc>
          <w:tcPr>
            <w:tcW w:w="502" w:type="pct"/>
            <w:tcBorders>
              <w:top w:val="single" w:color="000000" w:sz="2" w:space="0"/>
              <w:left w:val="single" w:color="000000" w:sz="2" w:space="0"/>
              <w:bottom w:val="single" w:color="000000" w:sz="2" w:space="0"/>
              <w:right w:val="single" w:color="000000" w:sz="8" w:space="0"/>
            </w:tcBorders>
            <w:vAlign w:val="center"/>
          </w:tcPr>
          <w:p w14:paraId="598F953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33.39</w:t>
            </w:r>
          </w:p>
        </w:tc>
      </w:tr>
      <w:tr w14:paraId="7E1C062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1CCC99EA">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春季</w:t>
            </w:r>
          </w:p>
        </w:tc>
        <w:tc>
          <w:tcPr>
            <w:tcW w:w="498" w:type="pct"/>
            <w:tcBorders>
              <w:top w:val="single" w:color="000000" w:sz="2" w:space="0"/>
              <w:left w:val="single" w:color="000000" w:sz="2" w:space="0"/>
              <w:bottom w:val="single" w:color="000000" w:sz="2" w:space="0"/>
              <w:right w:val="single" w:color="000000" w:sz="2" w:space="0"/>
            </w:tcBorders>
            <w:vAlign w:val="center"/>
          </w:tcPr>
          <w:p w14:paraId="703958E2">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0.23</w:t>
            </w:r>
          </w:p>
        </w:tc>
        <w:tc>
          <w:tcPr>
            <w:tcW w:w="500" w:type="pct"/>
            <w:tcBorders>
              <w:top w:val="single" w:color="000000" w:sz="2" w:space="0"/>
              <w:left w:val="single" w:color="000000" w:sz="2" w:space="0"/>
              <w:bottom w:val="single" w:color="000000" w:sz="2" w:space="0"/>
              <w:right w:val="single" w:color="000000" w:sz="2" w:space="0"/>
            </w:tcBorders>
            <w:vAlign w:val="center"/>
          </w:tcPr>
          <w:p w14:paraId="6313BCC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22.19</w:t>
            </w:r>
          </w:p>
        </w:tc>
        <w:tc>
          <w:tcPr>
            <w:tcW w:w="498" w:type="pct"/>
            <w:tcBorders>
              <w:top w:val="single" w:color="000000" w:sz="2" w:space="0"/>
              <w:left w:val="single" w:color="000000" w:sz="2" w:space="0"/>
              <w:bottom w:val="single" w:color="000000" w:sz="2" w:space="0"/>
              <w:right w:val="single" w:color="000000" w:sz="2" w:space="0"/>
            </w:tcBorders>
            <w:vAlign w:val="center"/>
          </w:tcPr>
          <w:p w14:paraId="073D0C4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3.76</w:t>
            </w:r>
          </w:p>
        </w:tc>
        <w:tc>
          <w:tcPr>
            <w:tcW w:w="498" w:type="pct"/>
            <w:tcBorders>
              <w:top w:val="single" w:color="000000" w:sz="2" w:space="0"/>
              <w:left w:val="single" w:color="000000" w:sz="2" w:space="0"/>
              <w:bottom w:val="single" w:color="000000" w:sz="2" w:space="0"/>
              <w:right w:val="single" w:color="000000" w:sz="2" w:space="0"/>
            </w:tcBorders>
            <w:vAlign w:val="center"/>
          </w:tcPr>
          <w:p w14:paraId="4C0C192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4.35</w:t>
            </w:r>
          </w:p>
        </w:tc>
        <w:tc>
          <w:tcPr>
            <w:tcW w:w="499" w:type="pct"/>
            <w:tcBorders>
              <w:top w:val="single" w:color="000000" w:sz="2" w:space="0"/>
              <w:left w:val="single" w:color="000000" w:sz="2" w:space="0"/>
              <w:bottom w:val="single" w:color="000000" w:sz="2" w:space="0"/>
              <w:right w:val="single" w:color="000000" w:sz="2" w:space="0"/>
            </w:tcBorders>
            <w:vAlign w:val="center"/>
          </w:tcPr>
          <w:p w14:paraId="072D59C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0.23</w:t>
            </w:r>
          </w:p>
        </w:tc>
        <w:tc>
          <w:tcPr>
            <w:tcW w:w="500" w:type="pct"/>
            <w:tcBorders>
              <w:top w:val="single" w:color="000000" w:sz="2" w:space="0"/>
              <w:left w:val="single" w:color="000000" w:sz="2" w:space="0"/>
              <w:bottom w:val="single" w:color="000000" w:sz="2" w:space="0"/>
              <w:right w:val="single" w:color="000000" w:sz="2" w:space="0"/>
            </w:tcBorders>
            <w:vAlign w:val="center"/>
          </w:tcPr>
          <w:p w14:paraId="71D965F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30.66</w:t>
            </w:r>
          </w:p>
        </w:tc>
        <w:tc>
          <w:tcPr>
            <w:tcW w:w="496" w:type="pct"/>
            <w:tcBorders>
              <w:top w:val="single" w:color="000000" w:sz="2" w:space="0"/>
              <w:left w:val="single" w:color="000000" w:sz="2" w:space="0"/>
              <w:bottom w:val="single" w:color="000000" w:sz="2" w:space="0"/>
              <w:right w:val="single" w:color="000000" w:sz="2" w:space="0"/>
            </w:tcBorders>
            <w:vAlign w:val="center"/>
          </w:tcPr>
          <w:p w14:paraId="3C2932D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1390E71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9.10</w:t>
            </w:r>
          </w:p>
        </w:tc>
        <w:tc>
          <w:tcPr>
            <w:tcW w:w="502" w:type="pct"/>
            <w:tcBorders>
              <w:top w:val="single" w:color="000000" w:sz="2" w:space="0"/>
              <w:left w:val="single" w:color="000000" w:sz="2" w:space="0"/>
              <w:bottom w:val="single" w:color="000000" w:sz="2" w:space="0"/>
              <w:right w:val="single" w:color="000000" w:sz="8" w:space="0"/>
            </w:tcBorders>
            <w:vAlign w:val="center"/>
          </w:tcPr>
          <w:p w14:paraId="38FDDD3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29.48</w:t>
            </w:r>
          </w:p>
        </w:tc>
      </w:tr>
      <w:tr w14:paraId="3399C7A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14250673">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夏季</w:t>
            </w:r>
          </w:p>
        </w:tc>
        <w:tc>
          <w:tcPr>
            <w:tcW w:w="498" w:type="pct"/>
            <w:tcBorders>
              <w:top w:val="single" w:color="000000" w:sz="2" w:space="0"/>
              <w:left w:val="single" w:color="000000" w:sz="2" w:space="0"/>
              <w:bottom w:val="single" w:color="000000" w:sz="2" w:space="0"/>
              <w:right w:val="single" w:color="000000" w:sz="2" w:space="0"/>
            </w:tcBorders>
            <w:vAlign w:val="center"/>
          </w:tcPr>
          <w:p w14:paraId="6B751C0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1.31</w:t>
            </w:r>
          </w:p>
        </w:tc>
        <w:tc>
          <w:tcPr>
            <w:tcW w:w="500" w:type="pct"/>
            <w:tcBorders>
              <w:top w:val="single" w:color="000000" w:sz="2" w:space="0"/>
              <w:left w:val="single" w:color="000000" w:sz="2" w:space="0"/>
              <w:bottom w:val="single" w:color="000000" w:sz="2" w:space="0"/>
              <w:right w:val="single" w:color="000000" w:sz="2" w:space="0"/>
            </w:tcBorders>
            <w:vAlign w:val="center"/>
          </w:tcPr>
          <w:p w14:paraId="06C21A5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26.09</w:t>
            </w:r>
          </w:p>
        </w:tc>
        <w:tc>
          <w:tcPr>
            <w:tcW w:w="498" w:type="pct"/>
            <w:tcBorders>
              <w:top w:val="single" w:color="000000" w:sz="2" w:space="0"/>
              <w:left w:val="single" w:color="000000" w:sz="2" w:space="0"/>
              <w:bottom w:val="single" w:color="000000" w:sz="2" w:space="0"/>
              <w:right w:val="single" w:color="000000" w:sz="2" w:space="0"/>
            </w:tcBorders>
            <w:vAlign w:val="center"/>
          </w:tcPr>
          <w:p w14:paraId="5F79E3C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6.25</w:t>
            </w:r>
          </w:p>
        </w:tc>
        <w:tc>
          <w:tcPr>
            <w:tcW w:w="498" w:type="pct"/>
            <w:tcBorders>
              <w:top w:val="single" w:color="000000" w:sz="2" w:space="0"/>
              <w:left w:val="single" w:color="000000" w:sz="2" w:space="0"/>
              <w:bottom w:val="single" w:color="000000" w:sz="2" w:space="0"/>
              <w:right w:val="single" w:color="000000" w:sz="2" w:space="0"/>
            </w:tcBorders>
            <w:vAlign w:val="center"/>
          </w:tcPr>
          <w:p w14:paraId="6225525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5.07</w:t>
            </w:r>
          </w:p>
        </w:tc>
        <w:tc>
          <w:tcPr>
            <w:tcW w:w="499" w:type="pct"/>
            <w:tcBorders>
              <w:top w:val="single" w:color="000000" w:sz="2" w:space="0"/>
              <w:left w:val="single" w:color="000000" w:sz="2" w:space="0"/>
              <w:bottom w:val="single" w:color="000000" w:sz="2" w:space="0"/>
              <w:right w:val="single" w:color="000000" w:sz="2" w:space="0"/>
            </w:tcBorders>
            <w:vAlign w:val="center"/>
          </w:tcPr>
          <w:p w14:paraId="4CD5B5A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0.68</w:t>
            </w:r>
          </w:p>
        </w:tc>
        <w:tc>
          <w:tcPr>
            <w:tcW w:w="500" w:type="pct"/>
            <w:tcBorders>
              <w:top w:val="single" w:color="000000" w:sz="2" w:space="0"/>
              <w:left w:val="single" w:color="000000" w:sz="2" w:space="0"/>
              <w:bottom w:val="single" w:color="000000" w:sz="2" w:space="0"/>
              <w:right w:val="single" w:color="000000" w:sz="2" w:space="0"/>
            </w:tcBorders>
            <w:vAlign w:val="center"/>
          </w:tcPr>
          <w:p w14:paraId="3DA63815">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25.68</w:t>
            </w:r>
          </w:p>
        </w:tc>
        <w:tc>
          <w:tcPr>
            <w:tcW w:w="496" w:type="pct"/>
            <w:tcBorders>
              <w:top w:val="single" w:color="000000" w:sz="2" w:space="0"/>
              <w:left w:val="single" w:color="000000" w:sz="2" w:space="0"/>
              <w:bottom w:val="single" w:color="000000" w:sz="2" w:space="0"/>
              <w:right w:val="single" w:color="000000" w:sz="2" w:space="0"/>
            </w:tcBorders>
            <w:vAlign w:val="center"/>
          </w:tcPr>
          <w:p w14:paraId="2CC25FD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37E459C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10.19</w:t>
            </w:r>
          </w:p>
        </w:tc>
        <w:tc>
          <w:tcPr>
            <w:tcW w:w="502" w:type="pct"/>
            <w:tcBorders>
              <w:top w:val="single" w:color="000000" w:sz="2" w:space="0"/>
              <w:left w:val="single" w:color="000000" w:sz="2" w:space="0"/>
              <w:bottom w:val="single" w:color="000000" w:sz="2" w:space="0"/>
              <w:right w:val="single" w:color="000000" w:sz="8" w:space="0"/>
            </w:tcBorders>
            <w:vAlign w:val="center"/>
          </w:tcPr>
          <w:p w14:paraId="4E5525D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24.73</w:t>
            </w:r>
          </w:p>
        </w:tc>
      </w:tr>
      <w:tr w14:paraId="5F2129C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2" w:space="0"/>
              <w:right w:val="single" w:color="000000" w:sz="2" w:space="0"/>
            </w:tcBorders>
            <w:vAlign w:val="center"/>
          </w:tcPr>
          <w:p w14:paraId="2D8D38FF">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秋季</w:t>
            </w:r>
          </w:p>
        </w:tc>
        <w:tc>
          <w:tcPr>
            <w:tcW w:w="498" w:type="pct"/>
            <w:tcBorders>
              <w:top w:val="single" w:color="000000" w:sz="2" w:space="0"/>
              <w:left w:val="single" w:color="000000" w:sz="2" w:space="0"/>
              <w:bottom w:val="single" w:color="000000" w:sz="2" w:space="0"/>
              <w:right w:val="single" w:color="000000" w:sz="2" w:space="0"/>
            </w:tcBorders>
            <w:vAlign w:val="center"/>
          </w:tcPr>
          <w:p w14:paraId="1DD0549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5C4B244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15.61</w:t>
            </w:r>
          </w:p>
        </w:tc>
        <w:tc>
          <w:tcPr>
            <w:tcW w:w="498" w:type="pct"/>
            <w:tcBorders>
              <w:top w:val="single" w:color="000000" w:sz="2" w:space="0"/>
              <w:left w:val="single" w:color="000000" w:sz="2" w:space="0"/>
              <w:bottom w:val="single" w:color="000000" w:sz="2" w:space="0"/>
              <w:right w:val="single" w:color="000000" w:sz="2" w:space="0"/>
            </w:tcBorders>
            <w:vAlign w:val="center"/>
          </w:tcPr>
          <w:p w14:paraId="49BB09A3">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1.74</w:t>
            </w:r>
          </w:p>
        </w:tc>
        <w:tc>
          <w:tcPr>
            <w:tcW w:w="498" w:type="pct"/>
            <w:tcBorders>
              <w:top w:val="single" w:color="000000" w:sz="2" w:space="0"/>
              <w:left w:val="single" w:color="000000" w:sz="2" w:space="0"/>
              <w:bottom w:val="single" w:color="000000" w:sz="2" w:space="0"/>
              <w:right w:val="single" w:color="000000" w:sz="2" w:space="0"/>
            </w:tcBorders>
            <w:vAlign w:val="center"/>
          </w:tcPr>
          <w:p w14:paraId="276D904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6.41</w:t>
            </w:r>
          </w:p>
        </w:tc>
        <w:tc>
          <w:tcPr>
            <w:tcW w:w="499" w:type="pct"/>
            <w:tcBorders>
              <w:top w:val="single" w:color="000000" w:sz="2" w:space="0"/>
              <w:left w:val="single" w:color="000000" w:sz="2" w:space="0"/>
              <w:bottom w:val="single" w:color="000000" w:sz="2" w:space="0"/>
              <w:right w:val="single" w:color="000000" w:sz="2" w:space="0"/>
            </w:tcBorders>
            <w:vAlign w:val="center"/>
          </w:tcPr>
          <w:p w14:paraId="3143BF8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0F1703BF">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28.25</w:t>
            </w:r>
          </w:p>
        </w:tc>
        <w:tc>
          <w:tcPr>
            <w:tcW w:w="496" w:type="pct"/>
            <w:tcBorders>
              <w:top w:val="single" w:color="000000" w:sz="2" w:space="0"/>
              <w:left w:val="single" w:color="000000" w:sz="2" w:space="0"/>
              <w:bottom w:val="single" w:color="000000" w:sz="2" w:space="0"/>
              <w:right w:val="single" w:color="000000" w:sz="2" w:space="0"/>
            </w:tcBorders>
            <w:vAlign w:val="center"/>
          </w:tcPr>
          <w:p w14:paraId="00F7733C">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2" w:space="0"/>
              <w:right w:val="single" w:color="000000" w:sz="2" w:space="0"/>
            </w:tcBorders>
            <w:vAlign w:val="center"/>
          </w:tcPr>
          <w:p w14:paraId="300C64CB">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9.43</w:t>
            </w:r>
          </w:p>
        </w:tc>
        <w:tc>
          <w:tcPr>
            <w:tcW w:w="502" w:type="pct"/>
            <w:tcBorders>
              <w:top w:val="single" w:color="000000" w:sz="2" w:space="0"/>
              <w:left w:val="single" w:color="000000" w:sz="2" w:space="0"/>
              <w:bottom w:val="single" w:color="000000" w:sz="2" w:space="0"/>
              <w:right w:val="single" w:color="000000" w:sz="8" w:space="0"/>
            </w:tcBorders>
            <w:vAlign w:val="center"/>
          </w:tcPr>
          <w:p w14:paraId="668388B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38.55</w:t>
            </w:r>
          </w:p>
        </w:tc>
      </w:tr>
      <w:tr w14:paraId="535FB6D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4" w:type="pct"/>
            <w:tcBorders>
              <w:top w:val="single" w:color="000000" w:sz="2" w:space="0"/>
              <w:left w:val="single" w:color="000000" w:sz="8" w:space="0"/>
              <w:bottom w:val="single" w:color="000000" w:sz="8" w:space="0"/>
              <w:right w:val="single" w:color="000000" w:sz="2" w:space="0"/>
            </w:tcBorders>
            <w:vAlign w:val="center"/>
          </w:tcPr>
          <w:p w14:paraId="164C0C70">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冬季</w:t>
            </w:r>
          </w:p>
        </w:tc>
        <w:tc>
          <w:tcPr>
            <w:tcW w:w="498" w:type="pct"/>
            <w:tcBorders>
              <w:top w:val="single" w:color="000000" w:sz="2" w:space="0"/>
              <w:left w:val="single" w:color="000000" w:sz="2" w:space="0"/>
              <w:bottom w:val="single" w:color="000000" w:sz="8" w:space="0"/>
              <w:right w:val="single" w:color="000000" w:sz="2" w:space="0"/>
            </w:tcBorders>
            <w:vAlign w:val="center"/>
          </w:tcPr>
          <w:p w14:paraId="7E85DC0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8" w:space="0"/>
              <w:right w:val="single" w:color="000000" w:sz="2" w:space="0"/>
            </w:tcBorders>
            <w:vAlign w:val="center"/>
          </w:tcPr>
          <w:p w14:paraId="70580E3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11.95</w:t>
            </w:r>
          </w:p>
        </w:tc>
        <w:tc>
          <w:tcPr>
            <w:tcW w:w="498" w:type="pct"/>
            <w:tcBorders>
              <w:top w:val="single" w:color="000000" w:sz="2" w:space="0"/>
              <w:left w:val="single" w:color="000000" w:sz="2" w:space="0"/>
              <w:bottom w:val="single" w:color="000000" w:sz="8" w:space="0"/>
              <w:right w:val="single" w:color="000000" w:sz="2" w:space="0"/>
            </w:tcBorders>
            <w:vAlign w:val="center"/>
          </w:tcPr>
          <w:p w14:paraId="7D25CA50">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498" w:type="pct"/>
            <w:tcBorders>
              <w:top w:val="single" w:color="000000" w:sz="2" w:space="0"/>
              <w:left w:val="single" w:color="000000" w:sz="2" w:space="0"/>
              <w:bottom w:val="single" w:color="000000" w:sz="8" w:space="0"/>
              <w:right w:val="single" w:color="000000" w:sz="2" w:space="0"/>
            </w:tcBorders>
            <w:vAlign w:val="center"/>
          </w:tcPr>
          <w:p w14:paraId="2DCF4EC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4.90</w:t>
            </w:r>
          </w:p>
        </w:tc>
        <w:tc>
          <w:tcPr>
            <w:tcW w:w="499" w:type="pct"/>
            <w:tcBorders>
              <w:top w:val="single" w:color="000000" w:sz="2" w:space="0"/>
              <w:left w:val="single" w:color="000000" w:sz="2" w:space="0"/>
              <w:bottom w:val="single" w:color="000000" w:sz="8" w:space="0"/>
              <w:right w:val="single" w:color="000000" w:sz="2" w:space="0"/>
            </w:tcBorders>
            <w:vAlign w:val="center"/>
          </w:tcPr>
          <w:p w14:paraId="050E21E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8" w:space="0"/>
              <w:right w:val="single" w:color="000000" w:sz="2" w:space="0"/>
            </w:tcBorders>
            <w:vAlign w:val="center"/>
          </w:tcPr>
          <w:p w14:paraId="0A376D31">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32.05</w:t>
            </w:r>
          </w:p>
        </w:tc>
        <w:tc>
          <w:tcPr>
            <w:tcW w:w="496" w:type="pct"/>
            <w:tcBorders>
              <w:top w:val="single" w:color="000000" w:sz="2" w:space="0"/>
              <w:left w:val="single" w:color="000000" w:sz="2" w:space="0"/>
              <w:bottom w:val="single" w:color="000000" w:sz="8" w:space="0"/>
              <w:right w:val="single" w:color="000000" w:sz="2" w:space="0"/>
            </w:tcBorders>
            <w:vAlign w:val="center"/>
          </w:tcPr>
          <w:p w14:paraId="0B64B53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0.00</w:t>
            </w:r>
          </w:p>
        </w:tc>
        <w:tc>
          <w:tcPr>
            <w:tcW w:w="500" w:type="pct"/>
            <w:tcBorders>
              <w:top w:val="single" w:color="000000" w:sz="2" w:space="0"/>
              <w:left w:val="single" w:color="000000" w:sz="2" w:space="0"/>
              <w:bottom w:val="single" w:color="000000" w:sz="8" w:space="0"/>
              <w:right w:val="single" w:color="000000" w:sz="2" w:space="0"/>
            </w:tcBorders>
            <w:vAlign w:val="center"/>
          </w:tcPr>
          <w:p w14:paraId="3188AC3D">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10.16</w:t>
            </w:r>
          </w:p>
        </w:tc>
        <w:tc>
          <w:tcPr>
            <w:tcW w:w="502" w:type="pct"/>
            <w:tcBorders>
              <w:top w:val="single" w:color="000000" w:sz="2" w:space="0"/>
              <w:left w:val="single" w:color="000000" w:sz="2" w:space="0"/>
              <w:bottom w:val="single" w:color="000000" w:sz="8" w:space="0"/>
              <w:right w:val="single" w:color="000000" w:sz="8" w:space="0"/>
            </w:tcBorders>
            <w:vAlign w:val="center"/>
          </w:tcPr>
          <w:p w14:paraId="63446EE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40.93</w:t>
            </w:r>
          </w:p>
        </w:tc>
      </w:tr>
    </w:tbl>
    <w:p w14:paraId="19F51F0F">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6BB53F97">
      <w:pPr>
        <w:pStyle w:val="4"/>
        <w:rPr>
          <w:color w:val="auto"/>
        </w:rPr>
      </w:pPr>
      <w:r>
        <w:rPr>
          <w:rFonts w:hint="eastAsia"/>
          <w:color w:val="auto"/>
        </w:rPr>
        <w:t>大气环境影响预测方案</w:t>
      </w:r>
    </w:p>
    <w:p w14:paraId="23556617">
      <w:pPr>
        <w:pStyle w:val="5"/>
        <w:rPr>
          <w:color w:val="auto"/>
        </w:rPr>
      </w:pPr>
      <w:r>
        <w:rPr>
          <w:rFonts w:hint="eastAsia"/>
          <w:color w:val="auto"/>
        </w:rPr>
        <w:t>预测因子</w:t>
      </w:r>
    </w:p>
    <w:p w14:paraId="1E3A38EE">
      <w:pPr>
        <w:pStyle w:val="132"/>
        <w:rPr>
          <w:color w:val="auto"/>
        </w:rPr>
      </w:pPr>
      <w:r>
        <w:rPr>
          <w:rFonts w:hint="eastAsia"/>
          <w:color w:val="auto"/>
        </w:rPr>
        <w:t>根据项目污染物排放特征，确定大气影响预测因子共9项：SO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w:t>
      </w:r>
      <w:r>
        <w:rPr>
          <w:color w:val="auto"/>
        </w:rPr>
        <w:t>镍及其化合物</w:t>
      </w:r>
      <w:r>
        <w:rPr>
          <w:rFonts w:hint="eastAsia"/>
          <w:color w:val="auto"/>
        </w:rPr>
        <w:t>、</w:t>
      </w:r>
      <w:r>
        <w:rPr>
          <w:color w:val="auto"/>
        </w:rPr>
        <w:t>锰及其化合物、TSP</w:t>
      </w:r>
      <w:r>
        <w:rPr>
          <w:rFonts w:hint="eastAsia"/>
          <w:color w:val="auto"/>
        </w:rPr>
        <w:t>。</w:t>
      </w:r>
    </w:p>
    <w:p w14:paraId="3AA6BB42">
      <w:pPr>
        <w:pStyle w:val="5"/>
        <w:rPr>
          <w:color w:val="auto"/>
        </w:rPr>
      </w:pPr>
      <w:r>
        <w:rPr>
          <w:rFonts w:hint="eastAsia"/>
          <w:color w:val="auto"/>
        </w:rPr>
        <w:t>预测周期</w:t>
      </w:r>
    </w:p>
    <w:p w14:paraId="296AA0AE">
      <w:pPr>
        <w:pStyle w:val="132"/>
        <w:rPr>
          <w:color w:val="auto"/>
        </w:rPr>
      </w:pPr>
      <w:r>
        <w:rPr>
          <w:rFonts w:hint="eastAsia"/>
          <w:color w:val="auto"/>
        </w:rPr>
        <w:t>选取评价基准年作为预测周期，预测时段取连续1年（基准年为2024年）。</w:t>
      </w:r>
    </w:p>
    <w:p w14:paraId="7AA2F48C">
      <w:pPr>
        <w:pStyle w:val="5"/>
        <w:rPr>
          <w:color w:val="auto"/>
        </w:rPr>
      </w:pPr>
      <w:r>
        <w:rPr>
          <w:rFonts w:hint="eastAsia"/>
          <w:color w:val="auto"/>
        </w:rPr>
        <w:t>预测范围</w:t>
      </w:r>
    </w:p>
    <w:p w14:paraId="588C87AF">
      <w:pPr>
        <w:pStyle w:val="132"/>
        <w:rPr>
          <w:color w:val="auto"/>
        </w:rPr>
      </w:pPr>
      <w:r>
        <w:rPr>
          <w:rFonts w:hint="eastAsia" w:ascii="宋体"/>
          <w:color w:val="auto"/>
        </w:rPr>
        <w:t>根据估算模型</w:t>
      </w:r>
      <w:r>
        <w:rPr>
          <w:rFonts w:hint="eastAsia"/>
          <w:color w:val="auto"/>
        </w:rPr>
        <w:t>AERSCREEN</w:t>
      </w:r>
      <w:r>
        <w:rPr>
          <w:rFonts w:hint="eastAsia" w:ascii="宋体"/>
          <w:color w:val="auto"/>
        </w:rPr>
        <w:t>结果，本项目最大占标率</w:t>
      </w:r>
      <w:r>
        <w:rPr>
          <w:rFonts w:hint="eastAsia"/>
          <w:color w:val="auto"/>
        </w:rPr>
        <w:t>Pmax</w:t>
      </w:r>
      <w:r>
        <w:rPr>
          <w:rFonts w:hint="eastAsia" w:ascii="宋体"/>
          <w:color w:val="auto"/>
        </w:rPr>
        <w:t>为</w:t>
      </w:r>
      <w:r>
        <w:rPr>
          <w:color w:val="auto"/>
        </w:rPr>
        <w:t>6.0</w:t>
      </w:r>
      <w:r>
        <w:rPr>
          <w:rFonts w:hint="eastAsia"/>
          <w:color w:val="auto"/>
        </w:rPr>
        <w:t>1</w:t>
      </w:r>
      <w:r>
        <w:rPr>
          <w:color w:val="auto"/>
        </w:rPr>
        <w:t>%</w:t>
      </w:r>
      <w:r>
        <w:rPr>
          <w:rFonts w:hint="eastAsia"/>
          <w:color w:val="auto"/>
        </w:rPr>
        <w:t>（</w:t>
      </w:r>
      <w:r>
        <w:rPr>
          <w:color w:val="auto"/>
        </w:rPr>
        <w:t>硫酸铵干燥包装排口的PM</w:t>
      </w:r>
      <w:r>
        <w:rPr>
          <w:color w:val="auto"/>
          <w:vertAlign w:val="subscript"/>
        </w:rPr>
        <w:t>2.5</w:t>
      </w:r>
      <w:r>
        <w:rPr>
          <w:rFonts w:hint="eastAsia"/>
          <w:color w:val="auto"/>
        </w:rPr>
        <w:t>）</w:t>
      </w:r>
      <w:r>
        <w:rPr>
          <w:rFonts w:hint="eastAsia" w:ascii="宋体"/>
          <w:color w:val="auto"/>
        </w:rPr>
        <w:t>，建议评价等级为二级，二级评价项目可直接引用估算模型预测结果进行评价，大气环境影响评价范围边长取</w:t>
      </w:r>
      <w:r>
        <w:rPr>
          <w:rFonts w:hint="eastAsia"/>
          <w:color w:val="auto"/>
        </w:rPr>
        <w:t>5km</w:t>
      </w:r>
      <w:r>
        <w:rPr>
          <w:rFonts w:hint="eastAsia" w:ascii="宋体"/>
          <w:color w:val="auto"/>
        </w:rPr>
        <w:t>。</w:t>
      </w:r>
    </w:p>
    <w:p w14:paraId="223E22E9">
      <w:pPr>
        <w:pStyle w:val="132"/>
        <w:rPr>
          <w:color w:val="auto"/>
        </w:rPr>
      </w:pPr>
      <w:r>
        <w:rPr>
          <w:rFonts w:hint="eastAsia" w:ascii="宋体"/>
          <w:color w:val="auto"/>
        </w:rPr>
        <w:t>根据《环境影响评价技术导则</w:t>
      </w:r>
      <w:r>
        <w:rPr>
          <w:rFonts w:hint="eastAsia"/>
          <w:color w:val="auto"/>
        </w:rPr>
        <w:t xml:space="preserve"> </w:t>
      </w:r>
      <w:r>
        <w:rPr>
          <w:rFonts w:hint="eastAsia" w:ascii="宋体"/>
          <w:color w:val="auto"/>
        </w:rPr>
        <w:t>大气环境》（</w:t>
      </w:r>
      <w:r>
        <w:rPr>
          <w:rFonts w:hint="eastAsia"/>
          <w:color w:val="auto"/>
        </w:rPr>
        <w:t>HJ 2.2-2018</w:t>
      </w:r>
      <w:r>
        <w:rPr>
          <w:rFonts w:hint="eastAsia" w:ascii="宋体"/>
          <w:color w:val="auto"/>
        </w:rPr>
        <w:t>），对电力、钢铁、水泥、石化、化工、平板玻璃、有色等高耗能行业的多源项目或以使用高污染燃料为主的多源项目，并且编制环境影响报告书的项目评价等级提高一级。本项目催化剂生产属于专用化学品制造，属于化工项目，因此项目大气环境评价等级确定为一级。</w:t>
      </w:r>
    </w:p>
    <w:p w14:paraId="44CE126C">
      <w:pPr>
        <w:pStyle w:val="132"/>
        <w:rPr>
          <w:color w:val="auto"/>
        </w:rPr>
      </w:pPr>
      <w:r>
        <w:rPr>
          <w:rFonts w:hint="eastAsia"/>
          <w:color w:val="auto"/>
        </w:rPr>
        <w:t>预测范围覆盖评价范围，以厂区为中心，东西向5km、南北向5km的矩形区域。本次网格点设置具体为X方向[m]：[-2500，2500]50；Y方向[m]：[-2500，2500]50。</w:t>
      </w:r>
    </w:p>
    <w:p w14:paraId="30A5818B">
      <w:pPr>
        <w:pStyle w:val="5"/>
        <w:rPr>
          <w:color w:val="auto"/>
        </w:rPr>
      </w:pPr>
      <w:r>
        <w:rPr>
          <w:rFonts w:hint="eastAsia"/>
          <w:color w:val="auto"/>
        </w:rPr>
        <w:t>预测模型</w:t>
      </w:r>
    </w:p>
    <w:p w14:paraId="58676FD6">
      <w:pPr>
        <w:pStyle w:val="132"/>
        <w:rPr>
          <w:color w:val="auto"/>
        </w:rPr>
      </w:pPr>
      <w:r>
        <w:rPr>
          <w:rStyle w:val="133"/>
          <w:rFonts w:hint="eastAsia"/>
          <w:color w:val="auto"/>
        </w:rPr>
        <w:t>本项目筛选等级使用AERSCREEN模型进行筛选，按照HJ2.2-2018《环境影响评价技术导则 大气环境》的要求，本项目评价等级为一级，需要进一步预测采用EIAPROA2018软件中的AERMOD模式进行预测</w:t>
      </w:r>
      <w:r>
        <w:rPr>
          <w:rFonts w:hint="eastAsia" w:ascii="宋体" w:hAnsi="宋体"/>
          <w:color w:val="auto"/>
        </w:rPr>
        <w:t>。</w:t>
      </w:r>
    </w:p>
    <w:p w14:paraId="133A4361">
      <w:pPr>
        <w:pStyle w:val="5"/>
        <w:rPr>
          <w:color w:val="auto"/>
        </w:rPr>
      </w:pPr>
      <w:r>
        <w:rPr>
          <w:rFonts w:hint="eastAsia"/>
          <w:color w:val="auto"/>
        </w:rPr>
        <w:t>地形数据</w:t>
      </w:r>
    </w:p>
    <w:p w14:paraId="3D37A386">
      <w:pPr>
        <w:pStyle w:val="132"/>
        <w:rPr>
          <w:color w:val="auto"/>
        </w:rPr>
      </w:pPr>
      <w:r>
        <w:rPr>
          <w:rFonts w:hint="eastAsia"/>
          <w:color w:val="auto"/>
        </w:rPr>
        <w:t xml:space="preserve">本项目预测已根据地形情况考虑高程对大气污染物扩散条件的影响。地形数据来自美国地理调查局（USGS），精度为90m。本地形特征见图 </w:t>
      </w:r>
      <w:r>
        <w:rPr>
          <w:color w:val="auto"/>
        </w:rPr>
        <w:t>5.2</w:t>
      </w:r>
      <w:r>
        <w:rPr>
          <w:rFonts w:hint="eastAsia"/>
          <w:color w:val="auto"/>
        </w:rPr>
        <w:t>–7。</w:t>
      </w:r>
    </w:p>
    <w:p w14:paraId="7F6530F4">
      <w:pPr>
        <w:autoSpaceDE w:val="0"/>
        <w:autoSpaceDN w:val="0"/>
        <w:adjustRightInd w:val="0"/>
        <w:spacing w:line="240" w:lineRule="exact"/>
        <w:rPr>
          <w:rFonts w:ascii="黑体"/>
          <w:bCs/>
          <w:color w:val="auto"/>
          <w:sz w:val="24"/>
          <w:szCs w:val="24"/>
        </w:rPr>
      </w:pPr>
    </w:p>
    <w:p w14:paraId="68140AF5">
      <w:pPr>
        <w:pStyle w:val="5"/>
        <w:rPr>
          <w:color w:val="auto"/>
        </w:rPr>
      </w:pPr>
      <w:r>
        <w:rPr>
          <w:rFonts w:hint="eastAsia"/>
          <w:color w:val="auto"/>
        </w:rPr>
        <w:t>气象数据信息</w:t>
      </w:r>
    </w:p>
    <w:p w14:paraId="63F53ED4">
      <w:pPr>
        <w:pStyle w:val="132"/>
        <w:rPr>
          <w:color w:val="auto"/>
        </w:rPr>
      </w:pPr>
      <w:r>
        <w:rPr>
          <w:color w:val="auto"/>
        </w:rPr>
        <w:t>此次评价使用所在地年探空气象数据。观测气象参数见</w:t>
      </w:r>
      <w:r>
        <w:rPr>
          <w:rFonts w:hint="eastAsia"/>
          <w:color w:val="auto"/>
        </w:rPr>
        <w:t xml:space="preserve">表 </w:t>
      </w:r>
      <w:r>
        <w:rPr>
          <w:color w:val="auto"/>
        </w:rPr>
        <w:t>5.2</w:t>
      </w:r>
      <w:r>
        <w:rPr>
          <w:rFonts w:hint="eastAsia"/>
          <w:color w:val="auto"/>
        </w:rPr>
        <w:t>–7。</w:t>
      </w:r>
      <w:r>
        <w:rPr>
          <w:color w:val="auto"/>
        </w:rPr>
        <w:t>高空气象参数见</w:t>
      </w:r>
      <w:r>
        <w:rPr>
          <w:rFonts w:hint="eastAsia"/>
          <w:color w:val="auto"/>
        </w:rPr>
        <w:t xml:space="preserve">表 </w:t>
      </w:r>
      <w:r>
        <w:rPr>
          <w:color w:val="auto"/>
        </w:rPr>
        <w:t>5.2</w:t>
      </w:r>
      <w:r>
        <w:rPr>
          <w:rFonts w:hint="eastAsia"/>
          <w:color w:val="auto"/>
        </w:rPr>
        <w:t>–8。</w:t>
      </w:r>
    </w:p>
    <w:p w14:paraId="6B0D1EF9">
      <w:pPr>
        <w:pStyle w:val="1060"/>
        <w:spacing w:before="163"/>
        <w:rPr>
          <w:color w:val="auto"/>
          <w:szCs w:val="23"/>
        </w:rPr>
      </w:pPr>
      <w:bookmarkStart w:id="291" w:name="_Ref220508919"/>
      <w:bookmarkEnd w:id="291"/>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7</w:t>
      </w:r>
      <w:r>
        <w:rPr>
          <w:color w:val="auto"/>
        </w:rPr>
        <w:fldChar w:fldCharType="end"/>
      </w:r>
      <w:r>
        <w:rPr>
          <w:rFonts w:hint="eastAsia"/>
          <w:color w:val="auto"/>
        </w:rPr>
        <w:t xml:space="preserve"> </w:t>
      </w:r>
      <w:r>
        <w:rPr>
          <w:color w:val="auto"/>
          <w:szCs w:val="23"/>
        </w:rPr>
        <w:t xml:space="preserve">  </w:t>
      </w:r>
      <w:r>
        <w:rPr>
          <w:rFonts w:ascii="黑体" w:hAnsi="黑体"/>
          <w:color w:val="auto"/>
          <w:szCs w:val="23"/>
        </w:rPr>
        <w:t>观测气象参数一览表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704"/>
        <w:gridCol w:w="859"/>
        <w:gridCol w:w="857"/>
        <w:gridCol w:w="1000"/>
        <w:gridCol w:w="1004"/>
        <w:gridCol w:w="1000"/>
        <w:gridCol w:w="859"/>
        <w:gridCol w:w="717"/>
        <w:gridCol w:w="1785"/>
      </w:tblGrid>
      <w:tr w14:paraId="6241451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401" w:type="pct"/>
            <w:vMerge w:val="restart"/>
            <w:tcBorders>
              <w:top w:val="single" w:color="000000" w:sz="8" w:space="0"/>
              <w:left w:val="single" w:color="000000" w:sz="8" w:space="0"/>
              <w:bottom w:val="single" w:color="000000" w:sz="2" w:space="0"/>
              <w:right w:val="single" w:color="000000" w:sz="2" w:space="0"/>
            </w:tcBorders>
            <w:vAlign w:val="center"/>
          </w:tcPr>
          <w:p w14:paraId="716A1A42">
            <w:pPr>
              <w:pStyle w:val="129"/>
              <w:widowControl w:val="0"/>
              <w:rPr>
                <w:rFonts w:eastAsia="Times New Roman"/>
                <w:color w:val="auto"/>
              </w:rPr>
            </w:pPr>
            <w:r>
              <w:rPr>
                <w:rFonts w:hint="eastAsia" w:ascii="宋体" w:hAnsi="宋体" w:eastAsia="Times New Roman" w:cs="宋体"/>
                <w:color w:val="auto"/>
              </w:rPr>
              <w:t>气象站</w:t>
            </w:r>
          </w:p>
          <w:p w14:paraId="0E7E5416">
            <w:pPr>
              <w:pStyle w:val="129"/>
              <w:widowControl w:val="0"/>
              <w:rPr>
                <w:rFonts w:eastAsia="Times New Roman"/>
                <w:color w:val="auto"/>
              </w:rPr>
            </w:pPr>
            <w:r>
              <w:rPr>
                <w:rFonts w:hint="eastAsia" w:ascii="宋体" w:hAnsi="宋体" w:eastAsia="Times New Roman" w:cs="宋体"/>
                <w:color w:val="auto"/>
              </w:rPr>
              <w:t>名称</w:t>
            </w:r>
          </w:p>
        </w:tc>
        <w:tc>
          <w:tcPr>
            <w:tcW w:w="489" w:type="pct"/>
            <w:vMerge w:val="restart"/>
            <w:tcBorders>
              <w:top w:val="single" w:color="000000" w:sz="8" w:space="0"/>
              <w:left w:val="single" w:color="000000" w:sz="2" w:space="0"/>
              <w:bottom w:val="single" w:color="000000" w:sz="2" w:space="0"/>
              <w:right w:val="single" w:color="000000" w:sz="2" w:space="0"/>
            </w:tcBorders>
            <w:vAlign w:val="center"/>
          </w:tcPr>
          <w:p w14:paraId="1F6C7815">
            <w:pPr>
              <w:pStyle w:val="129"/>
              <w:widowControl w:val="0"/>
              <w:rPr>
                <w:rFonts w:eastAsia="Times New Roman"/>
                <w:color w:val="auto"/>
              </w:rPr>
            </w:pPr>
            <w:r>
              <w:rPr>
                <w:rFonts w:hint="eastAsia" w:ascii="宋体" w:hAnsi="宋体" w:eastAsia="Times New Roman" w:cs="宋体"/>
                <w:color w:val="auto"/>
              </w:rPr>
              <w:t>气象站</w:t>
            </w:r>
          </w:p>
          <w:p w14:paraId="1F4777ED">
            <w:pPr>
              <w:pStyle w:val="129"/>
              <w:widowControl w:val="0"/>
              <w:rPr>
                <w:rFonts w:eastAsia="Times New Roman"/>
                <w:color w:val="auto"/>
              </w:rPr>
            </w:pPr>
            <w:r>
              <w:rPr>
                <w:rFonts w:hint="eastAsia" w:ascii="宋体" w:hAnsi="宋体" w:eastAsia="Times New Roman" w:cs="宋体"/>
                <w:color w:val="auto"/>
              </w:rPr>
              <w:t>编号</w:t>
            </w:r>
          </w:p>
        </w:tc>
        <w:tc>
          <w:tcPr>
            <w:tcW w:w="488" w:type="pct"/>
            <w:vMerge w:val="restart"/>
            <w:tcBorders>
              <w:top w:val="single" w:color="000000" w:sz="8" w:space="0"/>
              <w:left w:val="single" w:color="000000" w:sz="2" w:space="0"/>
              <w:bottom w:val="single" w:color="000000" w:sz="2" w:space="0"/>
              <w:right w:val="single" w:color="000000" w:sz="2" w:space="0"/>
            </w:tcBorders>
            <w:vAlign w:val="center"/>
          </w:tcPr>
          <w:p w14:paraId="13D07EB7">
            <w:pPr>
              <w:pStyle w:val="129"/>
              <w:widowControl w:val="0"/>
              <w:rPr>
                <w:rFonts w:eastAsia="Times New Roman"/>
                <w:color w:val="auto"/>
              </w:rPr>
            </w:pPr>
            <w:r>
              <w:rPr>
                <w:rFonts w:hint="eastAsia" w:ascii="宋体" w:hAnsi="宋体" w:eastAsia="Times New Roman" w:cs="宋体"/>
                <w:color w:val="auto"/>
              </w:rPr>
              <w:t>气象</w:t>
            </w:r>
          </w:p>
          <w:p w14:paraId="4099EE20">
            <w:pPr>
              <w:pStyle w:val="129"/>
              <w:widowControl w:val="0"/>
              <w:rPr>
                <w:rFonts w:eastAsia="Times New Roman"/>
                <w:color w:val="auto"/>
              </w:rPr>
            </w:pPr>
            <w:r>
              <w:rPr>
                <w:rFonts w:hint="eastAsia" w:ascii="宋体" w:hAnsi="宋体" w:eastAsia="Times New Roman" w:cs="宋体"/>
                <w:color w:val="auto"/>
              </w:rPr>
              <w:t>站等级</w:t>
            </w:r>
          </w:p>
        </w:tc>
        <w:tc>
          <w:tcPr>
            <w:tcW w:w="1140" w:type="pct"/>
            <w:gridSpan w:val="2"/>
            <w:tcBorders>
              <w:top w:val="single" w:color="000000" w:sz="8" w:space="0"/>
              <w:left w:val="single" w:color="000000" w:sz="2" w:space="0"/>
              <w:bottom w:val="single" w:color="000000" w:sz="2" w:space="0"/>
              <w:right w:val="single" w:color="000000" w:sz="2" w:space="0"/>
            </w:tcBorders>
            <w:vAlign w:val="center"/>
          </w:tcPr>
          <w:p w14:paraId="6C510B94">
            <w:pPr>
              <w:pStyle w:val="129"/>
              <w:widowControl w:val="0"/>
              <w:rPr>
                <w:rFonts w:eastAsia="Times New Roman"/>
                <w:color w:val="auto"/>
              </w:rPr>
            </w:pPr>
            <w:r>
              <w:rPr>
                <w:rFonts w:hint="eastAsia" w:ascii="宋体" w:hAnsi="宋体" w:eastAsia="Times New Roman" w:cs="宋体"/>
                <w:color w:val="auto"/>
              </w:rPr>
              <w:t>气象站坐标</w:t>
            </w:r>
            <w:r>
              <w:rPr>
                <w:rFonts w:eastAsia="Times New Roman"/>
                <w:color w:val="auto"/>
              </w:rPr>
              <w:t>/m</w:t>
            </w:r>
          </w:p>
        </w:tc>
        <w:tc>
          <w:tcPr>
            <w:tcW w:w="569" w:type="pct"/>
            <w:vMerge w:val="restart"/>
            <w:tcBorders>
              <w:top w:val="single" w:color="000000" w:sz="8" w:space="0"/>
              <w:left w:val="single" w:color="000000" w:sz="2" w:space="0"/>
              <w:bottom w:val="single" w:color="000000" w:sz="2" w:space="0"/>
              <w:right w:val="single" w:color="000000" w:sz="2" w:space="0"/>
            </w:tcBorders>
            <w:vAlign w:val="center"/>
          </w:tcPr>
          <w:p w14:paraId="7C361151">
            <w:pPr>
              <w:pStyle w:val="129"/>
              <w:widowControl w:val="0"/>
              <w:rPr>
                <w:rFonts w:eastAsia="Times New Roman"/>
                <w:color w:val="auto"/>
              </w:rPr>
            </w:pPr>
            <w:r>
              <w:rPr>
                <w:rFonts w:hint="eastAsia" w:ascii="宋体" w:hAnsi="宋体" w:eastAsia="Times New Roman" w:cs="宋体"/>
                <w:color w:val="auto"/>
              </w:rPr>
              <w:t>相对距离</w:t>
            </w:r>
            <w:r>
              <w:rPr>
                <w:rFonts w:eastAsia="Times New Roman"/>
                <w:color w:val="auto"/>
              </w:rPr>
              <w:t>km</w:t>
            </w:r>
          </w:p>
        </w:tc>
        <w:tc>
          <w:tcPr>
            <w:tcW w:w="489" w:type="pct"/>
            <w:vMerge w:val="restart"/>
            <w:tcBorders>
              <w:top w:val="single" w:color="000000" w:sz="8" w:space="0"/>
              <w:left w:val="single" w:color="000000" w:sz="2" w:space="0"/>
              <w:bottom w:val="single" w:color="000000" w:sz="2" w:space="0"/>
              <w:right w:val="single" w:color="000000" w:sz="2" w:space="0"/>
            </w:tcBorders>
            <w:vAlign w:val="center"/>
          </w:tcPr>
          <w:p w14:paraId="414347A3">
            <w:pPr>
              <w:pStyle w:val="129"/>
              <w:widowControl w:val="0"/>
              <w:rPr>
                <w:rFonts w:eastAsia="Times New Roman"/>
                <w:color w:val="auto"/>
              </w:rPr>
            </w:pPr>
            <w:r>
              <w:rPr>
                <w:rFonts w:hint="eastAsia" w:ascii="宋体" w:hAnsi="宋体" w:eastAsia="Times New Roman" w:cs="宋体"/>
                <w:color w:val="auto"/>
              </w:rPr>
              <w:t>海拔高度</w:t>
            </w:r>
            <w:r>
              <w:rPr>
                <w:rFonts w:eastAsia="Times New Roman"/>
                <w:color w:val="auto"/>
              </w:rPr>
              <w:t>m</w:t>
            </w:r>
          </w:p>
        </w:tc>
        <w:tc>
          <w:tcPr>
            <w:tcW w:w="408" w:type="pct"/>
            <w:vMerge w:val="restart"/>
            <w:tcBorders>
              <w:top w:val="single" w:color="000000" w:sz="8" w:space="0"/>
              <w:left w:val="single" w:color="000000" w:sz="2" w:space="0"/>
              <w:bottom w:val="single" w:color="000000" w:sz="2" w:space="0"/>
              <w:right w:val="single" w:color="000000" w:sz="2" w:space="0"/>
            </w:tcBorders>
            <w:vAlign w:val="center"/>
          </w:tcPr>
          <w:p w14:paraId="4D2011C1">
            <w:pPr>
              <w:pStyle w:val="129"/>
              <w:widowControl w:val="0"/>
              <w:rPr>
                <w:rFonts w:eastAsia="Times New Roman"/>
                <w:color w:val="auto"/>
              </w:rPr>
            </w:pPr>
            <w:r>
              <w:rPr>
                <w:rFonts w:hint="eastAsia" w:ascii="宋体" w:hAnsi="宋体" w:eastAsia="Times New Roman" w:cs="宋体"/>
                <w:color w:val="auto"/>
              </w:rPr>
              <w:t>数据</w:t>
            </w:r>
          </w:p>
          <w:p w14:paraId="6255F546">
            <w:pPr>
              <w:pStyle w:val="129"/>
              <w:widowControl w:val="0"/>
              <w:rPr>
                <w:rFonts w:eastAsia="Times New Roman"/>
                <w:color w:val="auto"/>
              </w:rPr>
            </w:pPr>
            <w:r>
              <w:rPr>
                <w:rFonts w:hint="eastAsia" w:ascii="宋体" w:hAnsi="宋体" w:eastAsia="Times New Roman" w:cs="宋体"/>
                <w:color w:val="auto"/>
              </w:rPr>
              <w:t>年份</w:t>
            </w:r>
          </w:p>
        </w:tc>
        <w:tc>
          <w:tcPr>
            <w:tcW w:w="1016" w:type="pct"/>
            <w:vMerge w:val="restart"/>
            <w:tcBorders>
              <w:top w:val="single" w:color="000000" w:sz="8" w:space="0"/>
              <w:left w:val="single" w:color="000000" w:sz="2" w:space="0"/>
              <w:bottom w:val="single" w:color="000000" w:sz="2" w:space="0"/>
              <w:right w:val="single" w:color="000000" w:sz="8" w:space="0"/>
            </w:tcBorders>
            <w:vAlign w:val="center"/>
          </w:tcPr>
          <w:p w14:paraId="16AF684E">
            <w:pPr>
              <w:pStyle w:val="129"/>
              <w:widowControl w:val="0"/>
              <w:rPr>
                <w:rFonts w:eastAsia="Times New Roman"/>
                <w:color w:val="auto"/>
              </w:rPr>
            </w:pPr>
            <w:r>
              <w:rPr>
                <w:rFonts w:hint="eastAsia" w:ascii="宋体" w:hAnsi="宋体" w:eastAsia="Times New Roman" w:cs="宋体"/>
                <w:color w:val="auto"/>
              </w:rPr>
              <w:t>气象要素</w:t>
            </w:r>
          </w:p>
        </w:tc>
      </w:tr>
      <w:tr w14:paraId="401AC48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401" w:type="pct"/>
            <w:vMerge w:val="continue"/>
            <w:tcBorders>
              <w:top w:val="single" w:color="000000" w:sz="8" w:space="0"/>
              <w:left w:val="single" w:color="000000" w:sz="8" w:space="0"/>
              <w:bottom w:val="single" w:color="000000" w:sz="2" w:space="0"/>
              <w:right w:val="single" w:color="000000" w:sz="2" w:space="0"/>
            </w:tcBorders>
            <w:vAlign w:val="center"/>
          </w:tcPr>
          <w:p w14:paraId="7D0350A6">
            <w:pPr>
              <w:pStyle w:val="129"/>
              <w:widowControl w:val="0"/>
              <w:rPr>
                <w:rFonts w:eastAsia="Times New Roman"/>
                <w:color w:val="auto"/>
              </w:rPr>
            </w:pPr>
          </w:p>
        </w:tc>
        <w:tc>
          <w:tcPr>
            <w:tcW w:w="489" w:type="pct"/>
            <w:vMerge w:val="continue"/>
            <w:tcBorders>
              <w:top w:val="single" w:color="000000" w:sz="8" w:space="0"/>
              <w:left w:val="single" w:color="000000" w:sz="2" w:space="0"/>
              <w:bottom w:val="single" w:color="000000" w:sz="2" w:space="0"/>
              <w:right w:val="single" w:color="000000" w:sz="2" w:space="0"/>
            </w:tcBorders>
            <w:vAlign w:val="center"/>
          </w:tcPr>
          <w:p w14:paraId="0339E858">
            <w:pPr>
              <w:pStyle w:val="129"/>
              <w:widowControl w:val="0"/>
              <w:rPr>
                <w:rFonts w:eastAsia="Times New Roman"/>
                <w:color w:val="auto"/>
              </w:rPr>
            </w:pPr>
          </w:p>
        </w:tc>
        <w:tc>
          <w:tcPr>
            <w:tcW w:w="488" w:type="pct"/>
            <w:vMerge w:val="continue"/>
            <w:tcBorders>
              <w:top w:val="single" w:color="000000" w:sz="8" w:space="0"/>
              <w:left w:val="single" w:color="000000" w:sz="2" w:space="0"/>
              <w:bottom w:val="single" w:color="000000" w:sz="2" w:space="0"/>
              <w:right w:val="single" w:color="000000" w:sz="2" w:space="0"/>
            </w:tcBorders>
            <w:vAlign w:val="center"/>
          </w:tcPr>
          <w:p w14:paraId="5F932B25">
            <w:pPr>
              <w:pStyle w:val="129"/>
              <w:widowControl w:val="0"/>
              <w:rPr>
                <w:rFonts w:eastAsia="Times New Roman"/>
                <w:color w:val="auto"/>
              </w:rPr>
            </w:pPr>
          </w:p>
        </w:tc>
        <w:tc>
          <w:tcPr>
            <w:tcW w:w="569" w:type="pct"/>
            <w:tcBorders>
              <w:top w:val="single" w:color="000000" w:sz="2" w:space="0"/>
              <w:left w:val="single" w:color="000000" w:sz="2" w:space="0"/>
              <w:bottom w:val="single" w:color="000000" w:sz="2" w:space="0"/>
              <w:right w:val="single" w:color="000000" w:sz="2" w:space="0"/>
            </w:tcBorders>
            <w:vAlign w:val="center"/>
          </w:tcPr>
          <w:p w14:paraId="2BEB069B">
            <w:pPr>
              <w:pStyle w:val="129"/>
              <w:widowControl w:val="0"/>
              <w:rPr>
                <w:rFonts w:eastAsia="Times New Roman"/>
                <w:color w:val="auto"/>
              </w:rPr>
            </w:pPr>
            <w:r>
              <w:rPr>
                <w:rFonts w:hint="eastAsia" w:ascii="宋体" w:hAnsi="宋体" w:eastAsia="Times New Roman" w:cs="宋体"/>
                <w:color w:val="auto"/>
              </w:rPr>
              <w:t>经度</w:t>
            </w:r>
          </w:p>
        </w:tc>
        <w:tc>
          <w:tcPr>
            <w:tcW w:w="571" w:type="pct"/>
            <w:tcBorders>
              <w:top w:val="single" w:color="000000" w:sz="2" w:space="0"/>
              <w:left w:val="single" w:color="000000" w:sz="2" w:space="0"/>
              <w:bottom w:val="single" w:color="000000" w:sz="2" w:space="0"/>
              <w:right w:val="single" w:color="000000" w:sz="2" w:space="0"/>
            </w:tcBorders>
            <w:vAlign w:val="center"/>
          </w:tcPr>
          <w:p w14:paraId="726942D2">
            <w:pPr>
              <w:pStyle w:val="129"/>
              <w:widowControl w:val="0"/>
              <w:rPr>
                <w:rFonts w:eastAsia="Times New Roman"/>
                <w:color w:val="auto"/>
              </w:rPr>
            </w:pPr>
            <w:r>
              <w:rPr>
                <w:rFonts w:hint="eastAsia" w:ascii="宋体" w:hAnsi="宋体" w:eastAsia="Times New Roman" w:cs="宋体"/>
                <w:color w:val="auto"/>
              </w:rPr>
              <w:t>纬度</w:t>
            </w:r>
          </w:p>
        </w:tc>
        <w:tc>
          <w:tcPr>
            <w:tcW w:w="569" w:type="pct"/>
            <w:vMerge w:val="continue"/>
            <w:tcBorders>
              <w:top w:val="single" w:color="000000" w:sz="8" w:space="0"/>
              <w:left w:val="single" w:color="000000" w:sz="2" w:space="0"/>
              <w:bottom w:val="single" w:color="000000" w:sz="2" w:space="0"/>
              <w:right w:val="single" w:color="000000" w:sz="2" w:space="0"/>
            </w:tcBorders>
            <w:vAlign w:val="center"/>
          </w:tcPr>
          <w:p w14:paraId="4B355C50">
            <w:pPr>
              <w:pStyle w:val="129"/>
              <w:widowControl w:val="0"/>
              <w:rPr>
                <w:rFonts w:eastAsia="Times New Roman"/>
                <w:color w:val="auto"/>
              </w:rPr>
            </w:pPr>
          </w:p>
        </w:tc>
        <w:tc>
          <w:tcPr>
            <w:tcW w:w="489" w:type="pct"/>
            <w:vMerge w:val="continue"/>
            <w:tcBorders>
              <w:top w:val="single" w:color="000000" w:sz="8" w:space="0"/>
              <w:left w:val="single" w:color="000000" w:sz="2" w:space="0"/>
              <w:bottom w:val="single" w:color="000000" w:sz="2" w:space="0"/>
              <w:right w:val="single" w:color="000000" w:sz="2" w:space="0"/>
            </w:tcBorders>
            <w:vAlign w:val="center"/>
          </w:tcPr>
          <w:p w14:paraId="592343CD">
            <w:pPr>
              <w:pStyle w:val="129"/>
              <w:widowControl w:val="0"/>
              <w:rPr>
                <w:rFonts w:eastAsia="Times New Roman"/>
                <w:color w:val="auto"/>
              </w:rPr>
            </w:pPr>
          </w:p>
        </w:tc>
        <w:tc>
          <w:tcPr>
            <w:tcW w:w="408" w:type="pct"/>
            <w:vMerge w:val="continue"/>
            <w:tcBorders>
              <w:top w:val="single" w:color="000000" w:sz="8" w:space="0"/>
              <w:left w:val="single" w:color="000000" w:sz="2" w:space="0"/>
              <w:bottom w:val="single" w:color="000000" w:sz="2" w:space="0"/>
              <w:right w:val="single" w:color="000000" w:sz="2" w:space="0"/>
            </w:tcBorders>
            <w:vAlign w:val="center"/>
          </w:tcPr>
          <w:p w14:paraId="38ECE80A">
            <w:pPr>
              <w:pStyle w:val="129"/>
              <w:widowControl w:val="0"/>
              <w:rPr>
                <w:rFonts w:eastAsia="Times New Roman"/>
                <w:color w:val="auto"/>
              </w:rPr>
            </w:pPr>
          </w:p>
        </w:tc>
        <w:tc>
          <w:tcPr>
            <w:tcW w:w="1016" w:type="pct"/>
            <w:vMerge w:val="continue"/>
            <w:tcBorders>
              <w:top w:val="single" w:color="000000" w:sz="8" w:space="0"/>
              <w:left w:val="single" w:color="000000" w:sz="2" w:space="0"/>
              <w:bottom w:val="single" w:color="000000" w:sz="2" w:space="0"/>
              <w:right w:val="single" w:color="000000" w:sz="8" w:space="0"/>
            </w:tcBorders>
            <w:vAlign w:val="center"/>
          </w:tcPr>
          <w:p w14:paraId="738E95EE">
            <w:pPr>
              <w:pStyle w:val="129"/>
              <w:widowControl w:val="0"/>
              <w:rPr>
                <w:rFonts w:eastAsia="Times New Roman"/>
                <w:color w:val="auto"/>
              </w:rPr>
            </w:pPr>
          </w:p>
        </w:tc>
      </w:tr>
      <w:tr w14:paraId="689A9A0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401" w:type="pct"/>
            <w:tcBorders>
              <w:top w:val="single" w:color="000000" w:sz="2" w:space="0"/>
              <w:left w:val="single" w:color="000000" w:sz="8" w:space="0"/>
              <w:bottom w:val="single" w:color="000000" w:sz="8" w:space="0"/>
              <w:right w:val="single" w:color="000000" w:sz="2" w:space="0"/>
            </w:tcBorders>
            <w:vAlign w:val="center"/>
          </w:tcPr>
          <w:p w14:paraId="5DF2F6B7">
            <w:pPr>
              <w:pStyle w:val="129"/>
              <w:widowControl w:val="0"/>
              <w:rPr>
                <w:rFonts w:eastAsia="Times New Roman"/>
                <w:color w:val="auto"/>
              </w:rPr>
            </w:pPr>
            <w:r>
              <w:rPr>
                <w:rFonts w:hint="eastAsia" w:ascii="宋体" w:hAnsi="宋体" w:eastAsia="Times New Roman" w:cs="宋体"/>
                <w:color w:val="auto"/>
              </w:rPr>
              <w:t>阜康</w:t>
            </w:r>
          </w:p>
          <w:p w14:paraId="4CEFABBD">
            <w:pPr>
              <w:pStyle w:val="129"/>
              <w:widowControl w:val="0"/>
              <w:rPr>
                <w:rFonts w:eastAsia="Times New Roman"/>
                <w:color w:val="auto"/>
              </w:rPr>
            </w:pPr>
            <w:r>
              <w:rPr>
                <w:rFonts w:hint="eastAsia" w:ascii="宋体" w:hAnsi="宋体" w:eastAsia="Times New Roman" w:cs="宋体"/>
                <w:color w:val="auto"/>
              </w:rPr>
              <w:t>气象站</w:t>
            </w:r>
          </w:p>
        </w:tc>
        <w:tc>
          <w:tcPr>
            <w:tcW w:w="489" w:type="pct"/>
            <w:tcBorders>
              <w:top w:val="single" w:color="000000" w:sz="2" w:space="0"/>
              <w:left w:val="single" w:color="000000" w:sz="2" w:space="0"/>
              <w:bottom w:val="single" w:color="000000" w:sz="8" w:space="0"/>
              <w:right w:val="single" w:color="000000" w:sz="2" w:space="0"/>
            </w:tcBorders>
            <w:vAlign w:val="center"/>
          </w:tcPr>
          <w:p w14:paraId="219C42A9">
            <w:pPr>
              <w:pStyle w:val="129"/>
              <w:widowControl w:val="0"/>
              <w:rPr>
                <w:rFonts w:eastAsia="Times New Roman"/>
                <w:color w:val="auto"/>
              </w:rPr>
            </w:pPr>
            <w:r>
              <w:rPr>
                <w:rFonts w:eastAsia="Times New Roman"/>
                <w:color w:val="auto"/>
              </w:rPr>
              <w:t>51377</w:t>
            </w:r>
          </w:p>
        </w:tc>
        <w:tc>
          <w:tcPr>
            <w:tcW w:w="488" w:type="pct"/>
            <w:tcBorders>
              <w:top w:val="single" w:color="000000" w:sz="2" w:space="0"/>
              <w:left w:val="single" w:color="000000" w:sz="2" w:space="0"/>
              <w:bottom w:val="single" w:color="000000" w:sz="8" w:space="0"/>
              <w:right w:val="single" w:color="000000" w:sz="2" w:space="0"/>
            </w:tcBorders>
            <w:vAlign w:val="center"/>
          </w:tcPr>
          <w:p w14:paraId="02B60E70">
            <w:pPr>
              <w:pStyle w:val="129"/>
              <w:widowControl w:val="0"/>
              <w:rPr>
                <w:rFonts w:eastAsia="Times New Roman"/>
                <w:color w:val="auto"/>
              </w:rPr>
            </w:pPr>
            <w:r>
              <w:rPr>
                <w:rFonts w:hint="eastAsia" w:ascii="宋体" w:hAnsi="宋体" w:eastAsia="Times New Roman" w:cs="宋体"/>
                <w:color w:val="auto"/>
              </w:rPr>
              <w:t>一般站</w:t>
            </w:r>
          </w:p>
        </w:tc>
        <w:tc>
          <w:tcPr>
            <w:tcW w:w="569" w:type="pct"/>
            <w:tcBorders>
              <w:top w:val="single" w:color="000000" w:sz="2" w:space="0"/>
              <w:left w:val="single" w:color="000000" w:sz="2" w:space="0"/>
              <w:bottom w:val="single" w:color="000000" w:sz="8" w:space="0"/>
              <w:right w:val="single" w:color="000000" w:sz="2" w:space="0"/>
            </w:tcBorders>
            <w:vAlign w:val="center"/>
          </w:tcPr>
          <w:p w14:paraId="1D548547">
            <w:pPr>
              <w:pStyle w:val="129"/>
              <w:widowControl w:val="0"/>
              <w:rPr>
                <w:rFonts w:eastAsia="Times New Roman"/>
                <w:color w:val="auto"/>
              </w:rPr>
            </w:pPr>
            <w:r>
              <w:rPr>
                <w:rFonts w:eastAsia="Times New Roman"/>
                <w:color w:val="auto"/>
              </w:rPr>
              <w:t>87.917E</w:t>
            </w:r>
          </w:p>
        </w:tc>
        <w:tc>
          <w:tcPr>
            <w:tcW w:w="571" w:type="pct"/>
            <w:tcBorders>
              <w:top w:val="single" w:color="000000" w:sz="2" w:space="0"/>
              <w:left w:val="single" w:color="000000" w:sz="2" w:space="0"/>
              <w:bottom w:val="single" w:color="000000" w:sz="8" w:space="0"/>
              <w:right w:val="single" w:color="000000" w:sz="2" w:space="0"/>
            </w:tcBorders>
            <w:vAlign w:val="center"/>
          </w:tcPr>
          <w:p w14:paraId="4E89BD2D">
            <w:pPr>
              <w:pStyle w:val="129"/>
              <w:widowControl w:val="0"/>
              <w:rPr>
                <w:rFonts w:eastAsia="Times New Roman"/>
                <w:color w:val="auto"/>
              </w:rPr>
            </w:pPr>
            <w:r>
              <w:rPr>
                <w:rFonts w:eastAsia="Times New Roman"/>
                <w:color w:val="auto"/>
              </w:rPr>
              <w:t>44.167N</w:t>
            </w:r>
          </w:p>
        </w:tc>
        <w:tc>
          <w:tcPr>
            <w:tcW w:w="569" w:type="pct"/>
            <w:tcBorders>
              <w:top w:val="single" w:color="000000" w:sz="2" w:space="0"/>
              <w:left w:val="single" w:color="000000" w:sz="2" w:space="0"/>
              <w:bottom w:val="single" w:color="000000" w:sz="8" w:space="0"/>
              <w:right w:val="single" w:color="000000" w:sz="2" w:space="0"/>
            </w:tcBorders>
            <w:vAlign w:val="center"/>
          </w:tcPr>
          <w:p w14:paraId="152B43AA">
            <w:pPr>
              <w:pStyle w:val="129"/>
              <w:widowControl w:val="0"/>
              <w:rPr>
                <w:rFonts w:eastAsia="Times New Roman"/>
                <w:color w:val="auto"/>
              </w:rPr>
            </w:pPr>
            <w:r>
              <w:rPr>
                <w:rFonts w:eastAsia="Times New Roman"/>
                <w:color w:val="auto"/>
              </w:rPr>
              <w:t>12.37</w:t>
            </w:r>
          </w:p>
        </w:tc>
        <w:tc>
          <w:tcPr>
            <w:tcW w:w="489" w:type="pct"/>
            <w:tcBorders>
              <w:top w:val="single" w:color="000000" w:sz="2" w:space="0"/>
              <w:left w:val="single" w:color="000000" w:sz="2" w:space="0"/>
              <w:bottom w:val="single" w:color="000000" w:sz="8" w:space="0"/>
              <w:right w:val="single" w:color="000000" w:sz="2" w:space="0"/>
            </w:tcBorders>
            <w:vAlign w:val="center"/>
          </w:tcPr>
          <w:p w14:paraId="37CF7BD8">
            <w:pPr>
              <w:pStyle w:val="129"/>
              <w:widowControl w:val="0"/>
              <w:rPr>
                <w:rFonts w:eastAsia="Times New Roman"/>
                <w:color w:val="auto"/>
              </w:rPr>
            </w:pPr>
            <w:r>
              <w:rPr>
                <w:rFonts w:eastAsia="Times New Roman"/>
                <w:color w:val="auto"/>
              </w:rPr>
              <w:t>547</w:t>
            </w:r>
          </w:p>
        </w:tc>
        <w:tc>
          <w:tcPr>
            <w:tcW w:w="408" w:type="pct"/>
            <w:tcBorders>
              <w:top w:val="single" w:color="000000" w:sz="2" w:space="0"/>
              <w:left w:val="single" w:color="000000" w:sz="2" w:space="0"/>
              <w:bottom w:val="single" w:color="000000" w:sz="8" w:space="0"/>
              <w:right w:val="single" w:color="000000" w:sz="2" w:space="0"/>
            </w:tcBorders>
            <w:vAlign w:val="center"/>
          </w:tcPr>
          <w:p w14:paraId="2DCED1F4">
            <w:pPr>
              <w:pStyle w:val="129"/>
              <w:widowControl w:val="0"/>
              <w:rPr>
                <w:rFonts w:eastAsia="Times New Roman"/>
                <w:color w:val="auto"/>
              </w:rPr>
            </w:pPr>
            <w:r>
              <w:rPr>
                <w:rFonts w:eastAsia="Times New Roman"/>
                <w:color w:val="auto"/>
              </w:rPr>
              <w:t>2024</w:t>
            </w:r>
          </w:p>
        </w:tc>
        <w:tc>
          <w:tcPr>
            <w:tcW w:w="1016" w:type="pct"/>
            <w:tcBorders>
              <w:top w:val="single" w:color="000000" w:sz="2" w:space="0"/>
              <w:left w:val="single" w:color="000000" w:sz="2" w:space="0"/>
              <w:bottom w:val="single" w:color="000000" w:sz="8" w:space="0"/>
              <w:right w:val="single" w:color="000000" w:sz="8" w:space="0"/>
            </w:tcBorders>
            <w:vAlign w:val="center"/>
          </w:tcPr>
          <w:p w14:paraId="7259583A">
            <w:pPr>
              <w:pStyle w:val="129"/>
              <w:widowControl w:val="0"/>
              <w:rPr>
                <w:rFonts w:eastAsia="Times New Roman"/>
                <w:color w:val="auto"/>
              </w:rPr>
            </w:pPr>
            <w:r>
              <w:rPr>
                <w:rFonts w:hint="eastAsia" w:ascii="宋体" w:hAnsi="宋体" w:eastAsia="Times New Roman" w:cs="宋体"/>
                <w:color w:val="auto"/>
              </w:rPr>
              <w:t>风向、风速、总云、低云、干球温度</w:t>
            </w:r>
          </w:p>
        </w:tc>
      </w:tr>
    </w:tbl>
    <w:p w14:paraId="0E152E5C">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5DA02B07">
      <w:pPr>
        <w:pStyle w:val="1060"/>
        <w:spacing w:before="163"/>
        <w:rPr>
          <w:color w:val="auto"/>
          <w:szCs w:val="23"/>
        </w:rPr>
      </w:pPr>
      <w:bookmarkStart w:id="292" w:name="_Ref220508923"/>
      <w:bookmarkEnd w:id="292"/>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8</w:t>
      </w:r>
      <w:r>
        <w:rPr>
          <w:color w:val="auto"/>
        </w:rPr>
        <w:fldChar w:fldCharType="end"/>
      </w:r>
      <w:r>
        <w:rPr>
          <w:rFonts w:hint="eastAsia"/>
          <w:color w:val="auto"/>
        </w:rPr>
        <w:t xml:space="preserve"> </w:t>
      </w:r>
      <w:r>
        <w:rPr>
          <w:color w:val="auto"/>
          <w:szCs w:val="23"/>
        </w:rPr>
        <w:t xml:space="preserve">  </w:t>
      </w:r>
      <w:r>
        <w:rPr>
          <w:rFonts w:ascii="黑体" w:hAnsi="黑体"/>
          <w:color w:val="auto"/>
          <w:szCs w:val="23"/>
        </w:rPr>
        <w:t>高空气象一览表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116"/>
        <w:gridCol w:w="1024"/>
        <w:gridCol w:w="1084"/>
        <w:gridCol w:w="1599"/>
        <w:gridCol w:w="903"/>
        <w:gridCol w:w="3060"/>
      </w:tblGrid>
      <w:tr w14:paraId="37CE107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5" w:hRule="atLeast"/>
        </w:trPr>
        <w:tc>
          <w:tcPr>
            <w:tcW w:w="635" w:type="pct"/>
            <w:vMerge w:val="restart"/>
            <w:tcBorders>
              <w:top w:val="single" w:color="000000" w:sz="8" w:space="0"/>
              <w:left w:val="single" w:color="000000" w:sz="8" w:space="0"/>
              <w:bottom w:val="single" w:color="000000" w:sz="2" w:space="0"/>
              <w:right w:val="single" w:color="000000" w:sz="2" w:space="0"/>
            </w:tcBorders>
            <w:vAlign w:val="center"/>
          </w:tcPr>
          <w:p w14:paraId="649FA0CE">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气象站等级</w:t>
            </w:r>
          </w:p>
        </w:tc>
        <w:tc>
          <w:tcPr>
            <w:tcW w:w="1200" w:type="pct"/>
            <w:gridSpan w:val="2"/>
            <w:tcBorders>
              <w:top w:val="single" w:color="000000" w:sz="8" w:space="0"/>
              <w:left w:val="nil"/>
              <w:bottom w:val="single" w:color="000000" w:sz="2" w:space="0"/>
              <w:right w:val="single" w:color="000000" w:sz="2" w:space="0"/>
            </w:tcBorders>
            <w:vAlign w:val="center"/>
          </w:tcPr>
          <w:p w14:paraId="5AE8E2F0">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气象站坐标</w:t>
            </w:r>
          </w:p>
        </w:tc>
        <w:tc>
          <w:tcPr>
            <w:tcW w:w="910" w:type="pct"/>
            <w:vMerge w:val="restart"/>
            <w:tcBorders>
              <w:top w:val="single" w:color="000000" w:sz="8" w:space="0"/>
              <w:left w:val="nil"/>
              <w:bottom w:val="single" w:color="000000" w:sz="2" w:space="0"/>
              <w:right w:val="single" w:color="000000" w:sz="2" w:space="0"/>
            </w:tcBorders>
            <w:vAlign w:val="center"/>
          </w:tcPr>
          <w:p w14:paraId="335704CE">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相对距离（</w:t>
            </w:r>
            <w:r>
              <w:rPr>
                <w:rFonts w:eastAsia="Times New Roman"/>
                <w:color w:val="auto"/>
                <w:sz w:val="21"/>
                <w:szCs w:val="21"/>
              </w:rPr>
              <w:t>km</w:t>
            </w:r>
            <w:r>
              <w:rPr>
                <w:rFonts w:hint="eastAsia" w:ascii="宋体" w:hAnsi="宋体" w:eastAsia="Times New Roman"/>
                <w:color w:val="auto"/>
                <w:sz w:val="21"/>
                <w:szCs w:val="21"/>
              </w:rPr>
              <w:t>）</w:t>
            </w:r>
          </w:p>
        </w:tc>
        <w:tc>
          <w:tcPr>
            <w:tcW w:w="514" w:type="pct"/>
            <w:vMerge w:val="restart"/>
            <w:tcBorders>
              <w:top w:val="single" w:color="000000" w:sz="8" w:space="0"/>
              <w:left w:val="nil"/>
              <w:bottom w:val="single" w:color="000000" w:sz="2" w:space="0"/>
              <w:right w:val="single" w:color="000000" w:sz="2" w:space="0"/>
            </w:tcBorders>
            <w:vAlign w:val="center"/>
          </w:tcPr>
          <w:p w14:paraId="2C6010BA">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数据年份</w:t>
            </w:r>
          </w:p>
        </w:tc>
        <w:tc>
          <w:tcPr>
            <w:tcW w:w="1741" w:type="pct"/>
            <w:vMerge w:val="restart"/>
            <w:tcBorders>
              <w:top w:val="single" w:color="000000" w:sz="8" w:space="0"/>
              <w:left w:val="nil"/>
              <w:bottom w:val="single" w:color="000000" w:sz="2" w:space="0"/>
              <w:right w:val="single" w:color="000000" w:sz="8" w:space="0"/>
            </w:tcBorders>
            <w:vAlign w:val="center"/>
          </w:tcPr>
          <w:p w14:paraId="7C6E8AC1">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气象要素</w:t>
            </w:r>
          </w:p>
        </w:tc>
      </w:tr>
      <w:tr w14:paraId="33CA9E8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90" w:hRule="atLeast"/>
        </w:trPr>
        <w:tc>
          <w:tcPr>
            <w:tcW w:w="635" w:type="pct"/>
            <w:vMerge w:val="continue"/>
            <w:tcBorders>
              <w:top w:val="single" w:color="000000" w:sz="8" w:space="0"/>
              <w:left w:val="single" w:color="000000" w:sz="8" w:space="0"/>
              <w:bottom w:val="single" w:color="000000" w:sz="2" w:space="0"/>
              <w:right w:val="single" w:color="000000" w:sz="2" w:space="0"/>
            </w:tcBorders>
            <w:vAlign w:val="center"/>
          </w:tcPr>
          <w:p w14:paraId="775B6758">
            <w:pPr>
              <w:widowControl w:val="0"/>
              <w:jc w:val="center"/>
              <w:rPr>
                <w:rFonts w:eastAsia="Times New Roman"/>
                <w:color w:val="auto"/>
                <w:sz w:val="21"/>
                <w:szCs w:val="21"/>
              </w:rPr>
            </w:pPr>
          </w:p>
        </w:tc>
        <w:tc>
          <w:tcPr>
            <w:tcW w:w="583" w:type="pct"/>
            <w:tcBorders>
              <w:top w:val="single" w:color="000000" w:sz="2" w:space="0"/>
              <w:left w:val="nil"/>
              <w:bottom w:val="single" w:color="000000" w:sz="2" w:space="0"/>
              <w:right w:val="single" w:color="000000" w:sz="2" w:space="0"/>
            </w:tcBorders>
            <w:vAlign w:val="center"/>
          </w:tcPr>
          <w:p w14:paraId="0898964E">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经度</w:t>
            </w:r>
          </w:p>
        </w:tc>
        <w:tc>
          <w:tcPr>
            <w:tcW w:w="617" w:type="pct"/>
            <w:tcBorders>
              <w:top w:val="single" w:color="000000" w:sz="2" w:space="0"/>
              <w:left w:val="nil"/>
              <w:bottom w:val="single" w:color="000000" w:sz="2" w:space="0"/>
              <w:right w:val="single" w:color="000000" w:sz="2" w:space="0"/>
            </w:tcBorders>
            <w:vAlign w:val="center"/>
          </w:tcPr>
          <w:p w14:paraId="60CAE136">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纬度</w:t>
            </w:r>
          </w:p>
        </w:tc>
        <w:tc>
          <w:tcPr>
            <w:tcW w:w="910" w:type="pct"/>
            <w:vMerge w:val="continue"/>
            <w:tcBorders>
              <w:top w:val="single" w:color="000000" w:sz="8" w:space="0"/>
              <w:left w:val="nil"/>
              <w:bottom w:val="single" w:color="000000" w:sz="2" w:space="0"/>
              <w:right w:val="single" w:color="000000" w:sz="2" w:space="0"/>
            </w:tcBorders>
            <w:vAlign w:val="center"/>
          </w:tcPr>
          <w:p w14:paraId="622EBB44">
            <w:pPr>
              <w:widowControl w:val="0"/>
              <w:jc w:val="center"/>
              <w:rPr>
                <w:rFonts w:eastAsia="Times New Roman"/>
                <w:color w:val="auto"/>
                <w:sz w:val="21"/>
                <w:szCs w:val="21"/>
              </w:rPr>
            </w:pPr>
          </w:p>
        </w:tc>
        <w:tc>
          <w:tcPr>
            <w:tcW w:w="514" w:type="pct"/>
            <w:vMerge w:val="continue"/>
            <w:tcBorders>
              <w:top w:val="single" w:color="000000" w:sz="8" w:space="0"/>
              <w:left w:val="nil"/>
              <w:bottom w:val="single" w:color="000000" w:sz="2" w:space="0"/>
              <w:right w:val="single" w:color="000000" w:sz="2" w:space="0"/>
            </w:tcBorders>
            <w:vAlign w:val="center"/>
          </w:tcPr>
          <w:p w14:paraId="35D31A10">
            <w:pPr>
              <w:widowControl w:val="0"/>
              <w:jc w:val="center"/>
              <w:rPr>
                <w:rFonts w:eastAsia="Times New Roman"/>
                <w:color w:val="auto"/>
                <w:sz w:val="21"/>
                <w:szCs w:val="21"/>
              </w:rPr>
            </w:pPr>
          </w:p>
        </w:tc>
        <w:tc>
          <w:tcPr>
            <w:tcW w:w="1741" w:type="pct"/>
            <w:vMerge w:val="continue"/>
            <w:tcBorders>
              <w:top w:val="single" w:color="000000" w:sz="8" w:space="0"/>
              <w:left w:val="nil"/>
              <w:bottom w:val="single" w:color="000000" w:sz="2" w:space="0"/>
              <w:right w:val="single" w:color="000000" w:sz="8" w:space="0"/>
            </w:tcBorders>
            <w:vAlign w:val="center"/>
          </w:tcPr>
          <w:p w14:paraId="7E9BA309">
            <w:pPr>
              <w:widowControl w:val="0"/>
              <w:jc w:val="center"/>
              <w:rPr>
                <w:rFonts w:eastAsia="Times New Roman"/>
                <w:color w:val="auto"/>
                <w:sz w:val="21"/>
                <w:szCs w:val="21"/>
              </w:rPr>
            </w:pPr>
          </w:p>
        </w:tc>
      </w:tr>
      <w:tr w14:paraId="617FAAA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42" w:hRule="atLeast"/>
        </w:trPr>
        <w:tc>
          <w:tcPr>
            <w:tcW w:w="635" w:type="pct"/>
            <w:tcBorders>
              <w:top w:val="single" w:color="000000" w:sz="2" w:space="0"/>
              <w:left w:val="single" w:color="000000" w:sz="8" w:space="0"/>
              <w:bottom w:val="single" w:color="000000" w:sz="8" w:space="0"/>
              <w:right w:val="single" w:color="000000" w:sz="2" w:space="0"/>
            </w:tcBorders>
            <w:vAlign w:val="center"/>
          </w:tcPr>
          <w:p w14:paraId="7F31AB63">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一般站</w:t>
            </w:r>
          </w:p>
        </w:tc>
        <w:tc>
          <w:tcPr>
            <w:tcW w:w="583" w:type="pct"/>
            <w:tcBorders>
              <w:top w:val="single" w:color="000000" w:sz="2" w:space="0"/>
              <w:left w:val="nil"/>
              <w:bottom w:val="single" w:color="000000" w:sz="8" w:space="0"/>
              <w:right w:val="single" w:color="000000" w:sz="2" w:space="0"/>
            </w:tcBorders>
            <w:vAlign w:val="center"/>
          </w:tcPr>
          <w:p w14:paraId="2F88F43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87.917E</w:t>
            </w:r>
          </w:p>
        </w:tc>
        <w:tc>
          <w:tcPr>
            <w:tcW w:w="617" w:type="pct"/>
            <w:tcBorders>
              <w:top w:val="single" w:color="000000" w:sz="2" w:space="0"/>
              <w:left w:val="nil"/>
              <w:bottom w:val="single" w:color="000000" w:sz="8" w:space="0"/>
              <w:right w:val="single" w:color="000000" w:sz="2" w:space="0"/>
            </w:tcBorders>
            <w:vAlign w:val="center"/>
          </w:tcPr>
          <w:p w14:paraId="340CE620">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44.167N</w:t>
            </w:r>
          </w:p>
        </w:tc>
        <w:tc>
          <w:tcPr>
            <w:tcW w:w="910" w:type="pct"/>
            <w:tcBorders>
              <w:top w:val="single" w:color="000000" w:sz="2" w:space="0"/>
              <w:left w:val="nil"/>
              <w:bottom w:val="single" w:color="000000" w:sz="8" w:space="0"/>
              <w:right w:val="single" w:color="000000" w:sz="2" w:space="0"/>
            </w:tcBorders>
            <w:vAlign w:val="center"/>
          </w:tcPr>
          <w:p w14:paraId="6DE529C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12.37</w:t>
            </w:r>
          </w:p>
        </w:tc>
        <w:tc>
          <w:tcPr>
            <w:tcW w:w="514" w:type="pct"/>
            <w:tcBorders>
              <w:top w:val="single" w:color="000000" w:sz="2" w:space="0"/>
              <w:left w:val="nil"/>
              <w:bottom w:val="single" w:color="000000" w:sz="8" w:space="0"/>
              <w:right w:val="single" w:color="000000" w:sz="2" w:space="0"/>
            </w:tcBorders>
            <w:vAlign w:val="center"/>
          </w:tcPr>
          <w:p w14:paraId="0B815E9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202</w:t>
            </w:r>
            <w:r>
              <w:rPr>
                <w:rFonts w:hint="eastAsia" w:eastAsia="Times New Roman"/>
                <w:color w:val="auto"/>
                <w:sz w:val="21"/>
                <w:szCs w:val="21"/>
              </w:rPr>
              <w:t>4</w:t>
            </w:r>
          </w:p>
        </w:tc>
        <w:tc>
          <w:tcPr>
            <w:tcW w:w="1741" w:type="pct"/>
            <w:tcBorders>
              <w:top w:val="single" w:color="000000" w:sz="2" w:space="0"/>
              <w:left w:val="nil"/>
              <w:bottom w:val="single" w:color="000000" w:sz="8" w:space="0"/>
              <w:right w:val="single" w:color="000000" w:sz="8" w:space="0"/>
            </w:tcBorders>
            <w:vAlign w:val="center"/>
          </w:tcPr>
          <w:p w14:paraId="7D16747C">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气压、离地高度、干球温度</w:t>
            </w:r>
          </w:p>
        </w:tc>
      </w:tr>
    </w:tbl>
    <w:p w14:paraId="79C21723">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5FE9772">
      <w:pPr>
        <w:pStyle w:val="5"/>
        <w:rPr>
          <w:color w:val="auto"/>
        </w:rPr>
      </w:pPr>
      <w:r>
        <w:rPr>
          <w:rFonts w:hint="eastAsia"/>
          <w:color w:val="auto"/>
        </w:rPr>
        <w:t>筛选气象数据</w:t>
      </w:r>
    </w:p>
    <w:p w14:paraId="3304C276">
      <w:pPr>
        <w:pStyle w:val="132"/>
        <w:rPr>
          <w:color w:val="auto"/>
        </w:rPr>
      </w:pPr>
      <w:r>
        <w:rPr>
          <w:rFonts w:hint="eastAsia"/>
          <w:color w:val="auto"/>
        </w:rPr>
        <w:t>筛选气象参数见</w:t>
      </w:r>
      <w:r>
        <w:rPr>
          <w:color w:val="auto"/>
        </w:rPr>
        <w:t>表 5.2</w:t>
      </w:r>
      <w:r>
        <w:rPr>
          <w:rFonts w:hint="eastAsia"/>
          <w:color w:val="auto"/>
        </w:rPr>
        <w:t>-9。</w:t>
      </w:r>
    </w:p>
    <w:p w14:paraId="58A4FEBC">
      <w:pPr>
        <w:pStyle w:val="1060"/>
        <w:spacing w:before="163"/>
        <w:rPr>
          <w:color w:val="auto"/>
          <w:szCs w:val="23"/>
        </w:rPr>
      </w:pPr>
      <w:bookmarkStart w:id="293" w:name="_Ref220509253"/>
      <w:bookmarkEnd w:id="293"/>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9</w:t>
      </w:r>
      <w:r>
        <w:rPr>
          <w:color w:val="auto"/>
        </w:rPr>
        <w:fldChar w:fldCharType="end"/>
      </w:r>
      <w:r>
        <w:rPr>
          <w:rFonts w:hint="eastAsia"/>
          <w:color w:val="auto"/>
        </w:rPr>
        <w:t xml:space="preserve"> </w:t>
      </w:r>
      <w:r>
        <w:rPr>
          <w:color w:val="auto"/>
          <w:szCs w:val="23"/>
        </w:rPr>
        <w:t xml:space="preserve">  </w:t>
      </w:r>
      <w:r>
        <w:rPr>
          <w:rFonts w:ascii="黑体" w:hAnsi="黑体"/>
          <w:color w:val="auto"/>
          <w:szCs w:val="23"/>
        </w:rPr>
        <w:t>筛选气象参数一览表</w:t>
      </w:r>
    </w:p>
    <w:tbl>
      <w:tblPr>
        <w:tblStyle w:val="2429"/>
        <w:tblW w:w="5000"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735"/>
        <w:gridCol w:w="1513"/>
        <w:gridCol w:w="599"/>
        <w:gridCol w:w="1201"/>
        <w:gridCol w:w="1648"/>
        <w:gridCol w:w="1544"/>
        <w:gridCol w:w="1544"/>
      </w:tblGrid>
      <w:tr w14:paraId="6AF9686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2687" w:type="dxa"/>
            <w:gridSpan w:val="3"/>
            <w:tcBorders>
              <w:top w:val="single" w:color="000000" w:sz="8" w:space="0"/>
              <w:left w:val="single" w:color="000000" w:sz="8" w:space="0"/>
              <w:bottom w:val="single" w:color="000000" w:sz="2" w:space="0"/>
              <w:right w:val="single" w:color="000000" w:sz="2" w:space="0"/>
            </w:tcBorders>
            <w:vAlign w:val="center"/>
          </w:tcPr>
          <w:p w14:paraId="4CCD524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AERMET</w:t>
            </w:r>
            <w:r>
              <w:rPr>
                <w:rFonts w:ascii="宋体" w:hAnsi="宋体" w:eastAsia="Times New Roman"/>
                <w:color w:val="auto"/>
                <w:sz w:val="21"/>
                <w:szCs w:val="21"/>
              </w:rPr>
              <w:t>通用地表类型</w:t>
            </w:r>
          </w:p>
        </w:tc>
        <w:tc>
          <w:tcPr>
            <w:tcW w:w="2687" w:type="dxa"/>
            <w:gridSpan w:val="2"/>
            <w:tcBorders>
              <w:top w:val="single" w:color="000000" w:sz="8" w:space="0"/>
              <w:left w:val="single" w:color="000000" w:sz="2" w:space="0"/>
              <w:bottom w:val="single" w:color="000000" w:sz="2" w:space="0"/>
              <w:right w:val="single" w:color="000000" w:sz="2" w:space="0"/>
            </w:tcBorders>
            <w:vAlign w:val="center"/>
          </w:tcPr>
          <w:p w14:paraId="7BDA61C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AERMET</w:t>
            </w:r>
            <w:r>
              <w:rPr>
                <w:rFonts w:ascii="宋体" w:hAnsi="宋体" w:eastAsia="Times New Roman"/>
                <w:color w:val="auto"/>
                <w:sz w:val="21"/>
                <w:szCs w:val="21"/>
              </w:rPr>
              <w:t>通用地表湿度</w:t>
            </w:r>
          </w:p>
        </w:tc>
        <w:tc>
          <w:tcPr>
            <w:tcW w:w="1456" w:type="dxa"/>
            <w:tcBorders>
              <w:top w:val="single" w:color="000000" w:sz="8" w:space="0"/>
              <w:left w:val="single" w:color="000000" w:sz="2" w:space="0"/>
              <w:bottom w:val="single" w:color="000000" w:sz="2" w:space="0"/>
              <w:right w:val="single" w:color="000000" w:sz="2" w:space="0"/>
            </w:tcBorders>
            <w:vAlign w:val="center"/>
          </w:tcPr>
          <w:p w14:paraId="03E61665">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扇区</w:t>
            </w:r>
          </w:p>
        </w:tc>
        <w:tc>
          <w:tcPr>
            <w:tcW w:w="1456" w:type="dxa"/>
            <w:tcBorders>
              <w:top w:val="single" w:color="000000" w:sz="8" w:space="0"/>
              <w:left w:val="single" w:color="000000" w:sz="2" w:space="0"/>
              <w:bottom w:val="single" w:color="000000" w:sz="2" w:space="0"/>
              <w:right w:val="single" w:color="000000" w:sz="8" w:space="0"/>
            </w:tcBorders>
            <w:vAlign w:val="center"/>
          </w:tcPr>
          <w:p w14:paraId="2CF5C0FD">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时段</w:t>
            </w:r>
          </w:p>
        </w:tc>
      </w:tr>
      <w:tr w14:paraId="2761430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2687" w:type="dxa"/>
            <w:gridSpan w:val="3"/>
            <w:tcBorders>
              <w:top w:val="single" w:color="000000" w:sz="2" w:space="0"/>
              <w:left w:val="single" w:color="000000" w:sz="8" w:space="0"/>
              <w:bottom w:val="single" w:color="000000" w:sz="2" w:space="0"/>
              <w:right w:val="single" w:color="000000" w:sz="2" w:space="0"/>
            </w:tcBorders>
            <w:vAlign w:val="center"/>
          </w:tcPr>
          <w:p w14:paraId="7D26FD9F">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沙漠化荒地</w:t>
            </w:r>
          </w:p>
        </w:tc>
        <w:tc>
          <w:tcPr>
            <w:tcW w:w="2687" w:type="dxa"/>
            <w:gridSpan w:val="2"/>
            <w:tcBorders>
              <w:top w:val="single" w:color="000000" w:sz="2" w:space="0"/>
              <w:left w:val="single" w:color="000000" w:sz="2" w:space="0"/>
              <w:bottom w:val="single" w:color="000000" w:sz="2" w:space="0"/>
              <w:right w:val="single" w:color="000000" w:sz="2" w:space="0"/>
            </w:tcBorders>
            <w:vAlign w:val="center"/>
          </w:tcPr>
          <w:p w14:paraId="5BDCC49B">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干燥气候</w:t>
            </w:r>
          </w:p>
        </w:tc>
        <w:tc>
          <w:tcPr>
            <w:tcW w:w="1456" w:type="dxa"/>
            <w:tcBorders>
              <w:top w:val="single" w:color="000000" w:sz="2" w:space="0"/>
              <w:left w:val="single" w:color="000000" w:sz="2" w:space="0"/>
              <w:bottom w:val="single" w:color="000000" w:sz="2" w:space="0"/>
              <w:right w:val="single" w:color="000000" w:sz="2" w:space="0"/>
            </w:tcBorders>
            <w:vAlign w:val="center"/>
          </w:tcPr>
          <w:p w14:paraId="3F6F544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0-360</w:t>
            </w:r>
          </w:p>
        </w:tc>
        <w:tc>
          <w:tcPr>
            <w:tcW w:w="1456" w:type="dxa"/>
            <w:tcBorders>
              <w:top w:val="single" w:color="000000" w:sz="2" w:space="0"/>
              <w:left w:val="single" w:color="000000" w:sz="2" w:space="0"/>
              <w:bottom w:val="single" w:color="000000" w:sz="2" w:space="0"/>
              <w:right w:val="single" w:color="000000" w:sz="8" w:space="0"/>
            </w:tcBorders>
            <w:vAlign w:val="center"/>
          </w:tcPr>
          <w:p w14:paraId="2D01568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2024</w:t>
            </w:r>
            <w:r>
              <w:rPr>
                <w:rFonts w:ascii="宋体" w:hAnsi="宋体" w:eastAsia="Times New Roman"/>
                <w:color w:val="auto"/>
                <w:sz w:val="21"/>
                <w:szCs w:val="21"/>
              </w:rPr>
              <w:t>全年</w:t>
            </w:r>
          </w:p>
        </w:tc>
      </w:tr>
      <w:tr w14:paraId="178A43F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694" w:type="dxa"/>
            <w:tcBorders>
              <w:top w:val="single" w:color="000000" w:sz="2" w:space="0"/>
              <w:left w:val="single" w:color="000000" w:sz="8" w:space="0"/>
              <w:bottom w:val="single" w:color="000000" w:sz="2" w:space="0"/>
              <w:right w:val="single" w:color="000000" w:sz="2" w:space="0"/>
            </w:tcBorders>
            <w:vAlign w:val="center"/>
          </w:tcPr>
          <w:p w14:paraId="59541530">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序号</w:t>
            </w:r>
          </w:p>
        </w:tc>
        <w:tc>
          <w:tcPr>
            <w:tcW w:w="1428" w:type="dxa"/>
            <w:tcBorders>
              <w:top w:val="single" w:color="000000" w:sz="2" w:space="0"/>
              <w:left w:val="single" w:color="000000" w:sz="2" w:space="0"/>
              <w:bottom w:val="single" w:color="000000" w:sz="2" w:space="0"/>
              <w:right w:val="single" w:color="000000" w:sz="2" w:space="0"/>
            </w:tcBorders>
            <w:vAlign w:val="center"/>
          </w:tcPr>
          <w:p w14:paraId="09BDC981">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扇区</w:t>
            </w:r>
          </w:p>
        </w:tc>
        <w:tc>
          <w:tcPr>
            <w:tcW w:w="1698" w:type="dxa"/>
            <w:gridSpan w:val="2"/>
            <w:tcBorders>
              <w:top w:val="single" w:color="000000" w:sz="2" w:space="0"/>
              <w:left w:val="single" w:color="000000" w:sz="2" w:space="0"/>
              <w:bottom w:val="single" w:color="000000" w:sz="2" w:space="0"/>
              <w:right w:val="single" w:color="000000" w:sz="2" w:space="0"/>
            </w:tcBorders>
            <w:vAlign w:val="center"/>
          </w:tcPr>
          <w:p w14:paraId="50E7FF07">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时段</w:t>
            </w:r>
          </w:p>
        </w:tc>
        <w:tc>
          <w:tcPr>
            <w:tcW w:w="1554" w:type="dxa"/>
            <w:tcBorders>
              <w:top w:val="single" w:color="000000" w:sz="2" w:space="0"/>
              <w:left w:val="single" w:color="000000" w:sz="2" w:space="0"/>
              <w:bottom w:val="single" w:color="000000" w:sz="2" w:space="0"/>
              <w:right w:val="single" w:color="000000" w:sz="2" w:space="0"/>
            </w:tcBorders>
            <w:vAlign w:val="center"/>
          </w:tcPr>
          <w:p w14:paraId="6F2F8CFA">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正午反照率</w:t>
            </w:r>
          </w:p>
        </w:tc>
        <w:tc>
          <w:tcPr>
            <w:tcW w:w="1456" w:type="dxa"/>
            <w:tcBorders>
              <w:top w:val="single" w:color="000000" w:sz="2" w:space="0"/>
              <w:left w:val="single" w:color="000000" w:sz="2" w:space="0"/>
              <w:bottom w:val="single" w:color="000000" w:sz="2" w:space="0"/>
              <w:right w:val="single" w:color="000000" w:sz="2" w:space="0"/>
            </w:tcBorders>
            <w:vAlign w:val="center"/>
          </w:tcPr>
          <w:p w14:paraId="0E40401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BOWEN</w:t>
            </w:r>
          </w:p>
        </w:tc>
        <w:tc>
          <w:tcPr>
            <w:tcW w:w="1456" w:type="dxa"/>
            <w:tcBorders>
              <w:top w:val="single" w:color="000000" w:sz="2" w:space="0"/>
              <w:left w:val="single" w:color="000000" w:sz="2" w:space="0"/>
              <w:bottom w:val="single" w:color="000000" w:sz="2" w:space="0"/>
              <w:right w:val="single" w:color="000000" w:sz="8" w:space="0"/>
            </w:tcBorders>
            <w:vAlign w:val="center"/>
          </w:tcPr>
          <w:p w14:paraId="51E69FB8">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粗糙度</w:t>
            </w:r>
          </w:p>
        </w:tc>
      </w:tr>
      <w:tr w14:paraId="411525E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694" w:type="dxa"/>
            <w:tcBorders>
              <w:top w:val="single" w:color="000000" w:sz="2" w:space="0"/>
              <w:left w:val="single" w:color="000000" w:sz="8" w:space="0"/>
              <w:bottom w:val="single" w:color="000000" w:sz="8" w:space="0"/>
              <w:right w:val="single" w:color="000000" w:sz="2" w:space="0"/>
            </w:tcBorders>
            <w:vAlign w:val="center"/>
          </w:tcPr>
          <w:p w14:paraId="2E5F1B3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w:t>
            </w:r>
          </w:p>
        </w:tc>
        <w:tc>
          <w:tcPr>
            <w:tcW w:w="1428" w:type="dxa"/>
            <w:tcBorders>
              <w:top w:val="single" w:color="000000" w:sz="2" w:space="0"/>
              <w:left w:val="single" w:color="000000" w:sz="2" w:space="0"/>
              <w:bottom w:val="single" w:color="000000" w:sz="8" w:space="0"/>
              <w:right w:val="single" w:color="000000" w:sz="2" w:space="0"/>
            </w:tcBorders>
            <w:vAlign w:val="center"/>
          </w:tcPr>
          <w:p w14:paraId="11A348A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0-360</w:t>
            </w:r>
          </w:p>
        </w:tc>
        <w:tc>
          <w:tcPr>
            <w:tcW w:w="1698" w:type="dxa"/>
            <w:gridSpan w:val="2"/>
            <w:tcBorders>
              <w:top w:val="single" w:color="000000" w:sz="2" w:space="0"/>
              <w:left w:val="single" w:color="000000" w:sz="2" w:space="0"/>
              <w:bottom w:val="single" w:color="000000" w:sz="8" w:space="0"/>
              <w:right w:val="single" w:color="000000" w:sz="2" w:space="0"/>
            </w:tcBorders>
            <w:vAlign w:val="center"/>
          </w:tcPr>
          <w:p w14:paraId="4026C8F8">
            <w:pPr>
              <w:widowControl w:val="0"/>
              <w:spacing w:before="100" w:beforeAutospacing="1" w:line="360" w:lineRule="exact"/>
              <w:jc w:val="center"/>
              <w:rPr>
                <w:rFonts w:eastAsia="Times New Roman"/>
                <w:color w:val="auto"/>
                <w:sz w:val="21"/>
                <w:szCs w:val="21"/>
              </w:rPr>
            </w:pPr>
            <w:r>
              <w:rPr>
                <w:rFonts w:ascii="宋体" w:hAnsi="宋体" w:eastAsia="Times New Roman"/>
                <w:color w:val="auto"/>
                <w:sz w:val="21"/>
                <w:szCs w:val="21"/>
              </w:rPr>
              <w:t>全年</w:t>
            </w:r>
          </w:p>
        </w:tc>
        <w:tc>
          <w:tcPr>
            <w:tcW w:w="1554" w:type="dxa"/>
            <w:tcBorders>
              <w:top w:val="single" w:color="000000" w:sz="2" w:space="0"/>
              <w:left w:val="single" w:color="000000" w:sz="2" w:space="0"/>
              <w:bottom w:val="single" w:color="000000" w:sz="8" w:space="0"/>
              <w:right w:val="single" w:color="000000" w:sz="2" w:space="0"/>
            </w:tcBorders>
            <w:vAlign w:val="center"/>
          </w:tcPr>
          <w:p w14:paraId="2AF8A29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0.3275</w:t>
            </w:r>
          </w:p>
        </w:tc>
        <w:tc>
          <w:tcPr>
            <w:tcW w:w="1456" w:type="dxa"/>
            <w:tcBorders>
              <w:top w:val="single" w:color="000000" w:sz="2" w:space="0"/>
              <w:left w:val="single" w:color="000000" w:sz="2" w:space="0"/>
              <w:bottom w:val="single" w:color="000000" w:sz="8" w:space="0"/>
              <w:right w:val="single" w:color="000000" w:sz="2" w:space="0"/>
            </w:tcBorders>
            <w:vAlign w:val="center"/>
          </w:tcPr>
          <w:p w14:paraId="1F8171A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7.75</w:t>
            </w:r>
          </w:p>
        </w:tc>
        <w:tc>
          <w:tcPr>
            <w:tcW w:w="1456" w:type="dxa"/>
            <w:tcBorders>
              <w:top w:val="single" w:color="000000" w:sz="2" w:space="0"/>
              <w:left w:val="single" w:color="000000" w:sz="2" w:space="0"/>
              <w:bottom w:val="single" w:color="000000" w:sz="8" w:space="0"/>
              <w:right w:val="single" w:color="000000" w:sz="8" w:space="0"/>
            </w:tcBorders>
            <w:vAlign w:val="center"/>
          </w:tcPr>
          <w:p w14:paraId="43F24A3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0.2625</w:t>
            </w:r>
          </w:p>
        </w:tc>
      </w:tr>
    </w:tbl>
    <w:p w14:paraId="635CACB1">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7559F9F5">
      <w:pPr>
        <w:pStyle w:val="5"/>
        <w:rPr>
          <w:color w:val="auto"/>
        </w:rPr>
      </w:pPr>
      <w:r>
        <w:rPr>
          <w:rFonts w:hint="eastAsia"/>
          <w:color w:val="auto"/>
        </w:rPr>
        <w:t>评价标准</w:t>
      </w:r>
    </w:p>
    <w:p w14:paraId="17D72F48">
      <w:pPr>
        <w:pStyle w:val="132"/>
        <w:rPr>
          <w:color w:val="auto"/>
        </w:rPr>
      </w:pPr>
      <w:r>
        <w:rPr>
          <w:color w:val="auto"/>
        </w:rPr>
        <w:t>项目排放的SO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等污染物执行《环境空气质量标准》（GB3095-20</w:t>
      </w:r>
      <w:r>
        <w:rPr>
          <w:rFonts w:hint="eastAsia"/>
          <w:color w:val="auto"/>
        </w:rPr>
        <w:t>26</w:t>
      </w:r>
      <w:r>
        <w:rPr>
          <w:color w:val="auto"/>
        </w:rPr>
        <w:t>）二级标准；氨、</w:t>
      </w:r>
      <w:r>
        <w:rPr>
          <w:rFonts w:hint="eastAsia"/>
          <w:color w:val="auto"/>
        </w:rPr>
        <w:t>硫化氢、</w:t>
      </w:r>
      <w:r>
        <w:rPr>
          <w:color w:val="auto"/>
        </w:rPr>
        <w:t>锰及其化合物执行《环境影响评价技术导则 大气环境》（HJ 2.2-2018）附录D标准；镍及其化合物参照《大气污染物综合排放标准详解》（国家环境保护局科技标准司制定，1997年第一版）中的小时值</w:t>
      </w:r>
      <w:r>
        <w:rPr>
          <w:rFonts w:hint="eastAsia"/>
          <w:color w:val="auto"/>
        </w:rPr>
        <w:t>0.03</w:t>
      </w:r>
      <w:r>
        <w:rPr>
          <w:color w:val="auto"/>
        </w:rPr>
        <w:t>mg/m</w:t>
      </w:r>
      <w:r>
        <w:rPr>
          <w:color w:val="auto"/>
          <w:vertAlign w:val="superscript"/>
        </w:rPr>
        <w:t>3</w:t>
      </w:r>
      <w:r>
        <w:rPr>
          <w:color w:val="auto"/>
        </w:rPr>
        <w:t>。</w:t>
      </w:r>
    </w:p>
    <w:p w14:paraId="353D99A0">
      <w:pPr>
        <w:pStyle w:val="5"/>
        <w:rPr>
          <w:color w:val="auto"/>
        </w:rPr>
      </w:pPr>
      <w:r>
        <w:rPr>
          <w:rFonts w:hint="eastAsia"/>
          <w:color w:val="auto"/>
        </w:rPr>
        <w:t>预测点方案</w:t>
      </w:r>
    </w:p>
    <w:p w14:paraId="173B5902">
      <w:pPr>
        <w:pStyle w:val="132"/>
        <w:rPr>
          <w:color w:val="auto"/>
        </w:rPr>
      </w:pPr>
      <w:r>
        <w:rPr>
          <w:rFonts w:hint="eastAsia"/>
          <w:color w:val="auto"/>
        </w:rPr>
        <w:t>预测范围覆盖评价范围、各污染物短期浓度贡献值占标率大于10%的区域即以厂区为中心，东西向5km、南北向5km的矩形区域。本次网格点设置具体为X方向[m]：[-2500，2500]50；Y方向[m]：[-2500，2500]50。</w:t>
      </w:r>
    </w:p>
    <w:p w14:paraId="5AD258F3">
      <w:pPr>
        <w:pStyle w:val="132"/>
        <w:rPr>
          <w:color w:val="auto"/>
        </w:rPr>
      </w:pPr>
      <w:r>
        <w:rPr>
          <w:rFonts w:hint="eastAsia"/>
          <w:color w:val="auto"/>
        </w:rPr>
        <w:t>预测点涵盖评价范围内所有环境空气保护目标见</w:t>
      </w:r>
      <w:r>
        <w:rPr>
          <w:color w:val="auto"/>
        </w:rPr>
        <w:t>表 5.2</w:t>
      </w:r>
      <w:r>
        <w:rPr>
          <w:rFonts w:hint="eastAsia"/>
          <w:color w:val="auto"/>
        </w:rPr>
        <w:t>-10。</w:t>
      </w:r>
    </w:p>
    <w:p w14:paraId="523DDA9A">
      <w:pPr>
        <w:pStyle w:val="1060"/>
        <w:spacing w:before="163"/>
        <w:rPr>
          <w:color w:val="auto"/>
          <w:szCs w:val="23"/>
        </w:rPr>
      </w:pPr>
      <w:bookmarkStart w:id="294" w:name="_Ref220509636"/>
      <w:bookmarkEnd w:id="29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10</w:t>
      </w:r>
      <w:r>
        <w:rPr>
          <w:color w:val="auto"/>
        </w:rPr>
        <w:fldChar w:fldCharType="end"/>
      </w:r>
      <w:r>
        <w:rPr>
          <w:rFonts w:hint="eastAsia"/>
          <w:color w:val="auto"/>
        </w:rPr>
        <w:t xml:space="preserve"> </w:t>
      </w:r>
      <w:r>
        <w:rPr>
          <w:color w:val="auto"/>
          <w:szCs w:val="23"/>
        </w:rPr>
        <w:t xml:space="preserve"> </w:t>
      </w:r>
      <w:r>
        <w:rPr>
          <w:rFonts w:hint="eastAsia" w:ascii="黑体" w:hAnsi="黑体"/>
          <w:color w:val="auto"/>
          <w:szCs w:val="23"/>
        </w:rPr>
        <w:t>环境空气保护目标</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2198"/>
        <w:gridCol w:w="571"/>
        <w:gridCol w:w="571"/>
        <w:gridCol w:w="996"/>
        <w:gridCol w:w="1350"/>
        <w:gridCol w:w="798"/>
        <w:gridCol w:w="1327"/>
        <w:gridCol w:w="975"/>
      </w:tblGrid>
      <w:tr w14:paraId="683A890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251" w:type="pct"/>
            <w:tcBorders>
              <w:top w:val="single" w:color="000000" w:sz="8" w:space="0"/>
              <w:left w:val="single" w:color="000000" w:sz="8" w:space="0"/>
              <w:bottom w:val="single" w:color="000000" w:sz="2" w:space="0"/>
              <w:right w:val="single" w:color="000000" w:sz="2" w:space="0"/>
            </w:tcBorders>
            <w:vAlign w:val="center"/>
          </w:tcPr>
          <w:p w14:paraId="29F81778">
            <w:pPr>
              <w:pStyle w:val="129"/>
              <w:widowControl w:val="0"/>
              <w:rPr>
                <w:rFonts w:eastAsia="Times New Roman"/>
                <w:color w:val="auto"/>
              </w:rPr>
            </w:pPr>
            <w:r>
              <w:rPr>
                <w:rFonts w:hint="eastAsia" w:ascii="宋体" w:hAnsi="宋体" w:eastAsia="Times New Roman" w:cs="宋体"/>
                <w:color w:val="auto"/>
              </w:rPr>
              <w:t>名称</w:t>
            </w:r>
          </w:p>
        </w:tc>
        <w:tc>
          <w:tcPr>
            <w:tcW w:w="650" w:type="pct"/>
            <w:gridSpan w:val="2"/>
            <w:tcBorders>
              <w:top w:val="single" w:color="000000" w:sz="8" w:space="0"/>
              <w:left w:val="single" w:color="000000" w:sz="2" w:space="0"/>
              <w:bottom w:val="single" w:color="000000" w:sz="2" w:space="0"/>
              <w:right w:val="single" w:color="000000" w:sz="2" w:space="0"/>
            </w:tcBorders>
            <w:vAlign w:val="center"/>
          </w:tcPr>
          <w:p w14:paraId="2DA9220C">
            <w:pPr>
              <w:pStyle w:val="129"/>
              <w:widowControl w:val="0"/>
              <w:rPr>
                <w:rFonts w:eastAsia="Times New Roman"/>
                <w:color w:val="auto"/>
              </w:rPr>
            </w:pPr>
            <w:r>
              <w:rPr>
                <w:rFonts w:hint="eastAsia" w:ascii="宋体" w:hAnsi="宋体" w:eastAsia="Times New Roman" w:cs="宋体"/>
                <w:color w:val="auto"/>
              </w:rPr>
              <w:t>坐标</w:t>
            </w:r>
          </w:p>
        </w:tc>
        <w:tc>
          <w:tcPr>
            <w:tcW w:w="567" w:type="pct"/>
            <w:tcBorders>
              <w:top w:val="single" w:color="000000" w:sz="8" w:space="0"/>
              <w:left w:val="single" w:color="000000" w:sz="2" w:space="0"/>
              <w:bottom w:val="single" w:color="000000" w:sz="2" w:space="0"/>
              <w:right w:val="single" w:color="000000" w:sz="2" w:space="0"/>
            </w:tcBorders>
            <w:vAlign w:val="center"/>
          </w:tcPr>
          <w:p w14:paraId="4C8BFCD4">
            <w:pPr>
              <w:pStyle w:val="129"/>
              <w:widowControl w:val="0"/>
              <w:rPr>
                <w:rFonts w:eastAsia="Times New Roman"/>
                <w:color w:val="auto"/>
              </w:rPr>
            </w:pPr>
            <w:r>
              <w:rPr>
                <w:rFonts w:hint="eastAsia" w:ascii="宋体" w:hAnsi="宋体" w:eastAsia="Times New Roman" w:cs="宋体"/>
                <w:color w:val="auto"/>
              </w:rPr>
              <w:t>保护对象</w:t>
            </w:r>
          </w:p>
        </w:tc>
        <w:tc>
          <w:tcPr>
            <w:tcW w:w="768" w:type="pct"/>
            <w:tcBorders>
              <w:top w:val="single" w:color="000000" w:sz="8" w:space="0"/>
              <w:left w:val="single" w:color="000000" w:sz="2" w:space="0"/>
              <w:bottom w:val="single" w:color="000000" w:sz="2" w:space="0"/>
              <w:right w:val="single" w:color="000000" w:sz="2" w:space="0"/>
            </w:tcBorders>
            <w:vAlign w:val="center"/>
          </w:tcPr>
          <w:p w14:paraId="316F1C05">
            <w:pPr>
              <w:pStyle w:val="129"/>
              <w:widowControl w:val="0"/>
              <w:rPr>
                <w:rFonts w:eastAsia="Times New Roman"/>
                <w:color w:val="auto"/>
              </w:rPr>
            </w:pPr>
            <w:r>
              <w:rPr>
                <w:rFonts w:hint="eastAsia" w:ascii="宋体" w:hAnsi="宋体" w:eastAsia="Times New Roman" w:cs="宋体"/>
                <w:color w:val="auto"/>
              </w:rPr>
              <w:t>保护内容</w:t>
            </w:r>
          </w:p>
        </w:tc>
        <w:tc>
          <w:tcPr>
            <w:tcW w:w="454" w:type="pct"/>
            <w:tcBorders>
              <w:top w:val="single" w:color="000000" w:sz="8" w:space="0"/>
              <w:left w:val="single" w:color="000000" w:sz="2" w:space="0"/>
              <w:bottom w:val="single" w:color="000000" w:sz="2" w:space="0"/>
              <w:right w:val="single" w:color="000000" w:sz="2" w:space="0"/>
            </w:tcBorders>
            <w:vAlign w:val="center"/>
          </w:tcPr>
          <w:p w14:paraId="0E92BED7">
            <w:pPr>
              <w:pStyle w:val="129"/>
              <w:widowControl w:val="0"/>
              <w:rPr>
                <w:rFonts w:eastAsia="Times New Roman"/>
                <w:color w:val="auto"/>
              </w:rPr>
            </w:pPr>
            <w:r>
              <w:rPr>
                <w:rFonts w:hint="eastAsia" w:ascii="宋体" w:hAnsi="宋体" w:eastAsia="Times New Roman" w:cs="宋体"/>
                <w:color w:val="auto"/>
              </w:rPr>
              <w:t>环境</w:t>
            </w:r>
          </w:p>
          <w:p w14:paraId="2EAFFB79">
            <w:pPr>
              <w:pStyle w:val="129"/>
              <w:widowControl w:val="0"/>
              <w:rPr>
                <w:rFonts w:eastAsia="Times New Roman"/>
                <w:color w:val="auto"/>
              </w:rPr>
            </w:pPr>
            <w:r>
              <w:rPr>
                <w:rFonts w:hint="eastAsia" w:ascii="宋体" w:hAnsi="宋体" w:eastAsia="Times New Roman" w:cs="宋体"/>
                <w:color w:val="auto"/>
              </w:rPr>
              <w:t>功能区</w:t>
            </w:r>
          </w:p>
        </w:tc>
        <w:tc>
          <w:tcPr>
            <w:tcW w:w="755" w:type="pct"/>
            <w:tcBorders>
              <w:top w:val="single" w:color="000000" w:sz="8" w:space="0"/>
              <w:left w:val="single" w:color="000000" w:sz="2" w:space="0"/>
              <w:bottom w:val="single" w:color="000000" w:sz="2" w:space="0"/>
              <w:right w:val="single" w:color="000000" w:sz="2" w:space="0"/>
            </w:tcBorders>
            <w:vAlign w:val="center"/>
          </w:tcPr>
          <w:p w14:paraId="304F21BB">
            <w:pPr>
              <w:pStyle w:val="129"/>
              <w:widowControl w:val="0"/>
              <w:rPr>
                <w:rFonts w:eastAsia="Times New Roman"/>
                <w:color w:val="auto"/>
              </w:rPr>
            </w:pPr>
            <w:r>
              <w:rPr>
                <w:rFonts w:hint="eastAsia" w:ascii="宋体" w:hAnsi="宋体" w:eastAsia="Times New Roman" w:cs="宋体"/>
                <w:color w:val="auto"/>
              </w:rPr>
              <w:t>相对厂址方位</w:t>
            </w:r>
          </w:p>
        </w:tc>
        <w:tc>
          <w:tcPr>
            <w:tcW w:w="555" w:type="pct"/>
            <w:tcBorders>
              <w:top w:val="single" w:color="000000" w:sz="8" w:space="0"/>
              <w:left w:val="single" w:color="000000" w:sz="2" w:space="0"/>
              <w:bottom w:val="single" w:color="000000" w:sz="2" w:space="0"/>
              <w:right w:val="single" w:color="000000" w:sz="8" w:space="0"/>
            </w:tcBorders>
            <w:vAlign w:val="center"/>
          </w:tcPr>
          <w:p w14:paraId="66CDD56D">
            <w:pPr>
              <w:pStyle w:val="129"/>
              <w:widowControl w:val="0"/>
              <w:rPr>
                <w:rFonts w:eastAsia="Times New Roman"/>
                <w:color w:val="auto"/>
              </w:rPr>
            </w:pPr>
            <w:r>
              <w:rPr>
                <w:rFonts w:hint="eastAsia" w:ascii="宋体" w:hAnsi="宋体" w:eastAsia="Times New Roman" w:cs="宋体"/>
                <w:color w:val="auto"/>
              </w:rPr>
              <w:t>相对厂界</w:t>
            </w:r>
          </w:p>
          <w:p w14:paraId="0181B648">
            <w:pPr>
              <w:pStyle w:val="129"/>
              <w:widowControl w:val="0"/>
              <w:rPr>
                <w:rFonts w:eastAsia="Times New Roman"/>
                <w:color w:val="auto"/>
              </w:rPr>
            </w:pPr>
            <w:r>
              <w:rPr>
                <w:rFonts w:hint="eastAsia" w:ascii="宋体" w:hAnsi="宋体" w:eastAsia="Times New Roman" w:cs="宋体"/>
                <w:color w:val="auto"/>
              </w:rPr>
              <w:t>距离</w:t>
            </w:r>
            <w:r>
              <w:rPr>
                <w:rFonts w:eastAsia="Times New Roman"/>
                <w:color w:val="auto"/>
              </w:rPr>
              <w:t>km</w:t>
            </w:r>
          </w:p>
        </w:tc>
      </w:tr>
      <w:tr w14:paraId="7A0AC61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251" w:type="pct"/>
            <w:tcBorders>
              <w:top w:val="single" w:color="000000" w:sz="2" w:space="0"/>
              <w:left w:val="single" w:color="000000" w:sz="8" w:space="0"/>
              <w:bottom w:val="single" w:color="000000" w:sz="2" w:space="0"/>
              <w:right w:val="single" w:color="000000" w:sz="2" w:space="0"/>
            </w:tcBorders>
            <w:vAlign w:val="center"/>
          </w:tcPr>
          <w:p w14:paraId="28A88799">
            <w:pPr>
              <w:pStyle w:val="129"/>
              <w:widowControl w:val="0"/>
              <w:rPr>
                <w:rFonts w:eastAsia="Times New Roman"/>
                <w:color w:val="auto"/>
              </w:rPr>
            </w:pPr>
            <w:r>
              <w:rPr>
                <w:rFonts w:hint="eastAsia" w:ascii="宋体" w:hAnsi="宋体" w:eastAsia="Times New Roman" w:cs="宋体"/>
                <w:color w:val="auto"/>
              </w:rPr>
              <w:t>新达社区</w:t>
            </w:r>
          </w:p>
        </w:tc>
        <w:tc>
          <w:tcPr>
            <w:tcW w:w="325" w:type="pct"/>
            <w:tcBorders>
              <w:top w:val="single" w:color="000000" w:sz="2" w:space="0"/>
              <w:left w:val="single" w:color="000000" w:sz="2" w:space="0"/>
              <w:bottom w:val="single" w:color="000000" w:sz="2" w:space="0"/>
              <w:right w:val="single" w:color="000000" w:sz="2" w:space="0"/>
            </w:tcBorders>
            <w:vAlign w:val="top"/>
          </w:tcPr>
          <w:p w14:paraId="6466CFA6">
            <w:pPr>
              <w:pStyle w:val="129"/>
              <w:widowControl w:val="0"/>
              <w:rPr>
                <w:rFonts w:eastAsia="Times New Roman"/>
                <w:color w:val="auto"/>
              </w:rPr>
            </w:pPr>
            <w:r>
              <w:rPr>
                <w:rFonts w:eastAsia="Times New Roman"/>
                <w:color w:val="auto"/>
              </w:rPr>
              <w:t>866</w:t>
            </w:r>
          </w:p>
        </w:tc>
        <w:tc>
          <w:tcPr>
            <w:tcW w:w="325" w:type="pct"/>
            <w:tcBorders>
              <w:top w:val="single" w:color="000000" w:sz="2" w:space="0"/>
              <w:left w:val="single" w:color="000000" w:sz="2" w:space="0"/>
              <w:bottom w:val="single" w:color="000000" w:sz="2" w:space="0"/>
              <w:right w:val="single" w:color="000000" w:sz="2" w:space="0"/>
            </w:tcBorders>
            <w:vAlign w:val="top"/>
          </w:tcPr>
          <w:p w14:paraId="5738EFB1">
            <w:pPr>
              <w:pStyle w:val="129"/>
              <w:widowControl w:val="0"/>
              <w:rPr>
                <w:rFonts w:eastAsia="Times New Roman"/>
                <w:color w:val="auto"/>
              </w:rPr>
            </w:pPr>
            <w:r>
              <w:rPr>
                <w:rFonts w:eastAsia="Times New Roman"/>
                <w:color w:val="auto"/>
              </w:rPr>
              <w:t>2185</w:t>
            </w:r>
          </w:p>
        </w:tc>
        <w:tc>
          <w:tcPr>
            <w:tcW w:w="567" w:type="pct"/>
            <w:tcBorders>
              <w:top w:val="single" w:color="000000" w:sz="2" w:space="0"/>
              <w:left w:val="single" w:color="000000" w:sz="2" w:space="0"/>
              <w:bottom w:val="single" w:color="000000" w:sz="2" w:space="0"/>
              <w:right w:val="single" w:color="000000" w:sz="2" w:space="0"/>
            </w:tcBorders>
            <w:vAlign w:val="center"/>
          </w:tcPr>
          <w:p w14:paraId="3E5031B7">
            <w:pPr>
              <w:pStyle w:val="129"/>
              <w:widowControl w:val="0"/>
              <w:rPr>
                <w:rFonts w:eastAsia="Times New Roman"/>
                <w:color w:val="auto"/>
              </w:rPr>
            </w:pPr>
            <w:r>
              <w:rPr>
                <w:rFonts w:hint="eastAsia" w:ascii="宋体" w:hAnsi="宋体" w:eastAsia="Times New Roman" w:cs="宋体"/>
                <w:color w:val="auto"/>
              </w:rPr>
              <w:t>居住区</w:t>
            </w:r>
          </w:p>
        </w:tc>
        <w:tc>
          <w:tcPr>
            <w:tcW w:w="768" w:type="pct"/>
            <w:tcBorders>
              <w:top w:val="single" w:color="000000" w:sz="2" w:space="0"/>
              <w:left w:val="single" w:color="000000" w:sz="2" w:space="0"/>
              <w:bottom w:val="single" w:color="000000" w:sz="2" w:space="0"/>
              <w:right w:val="single" w:color="000000" w:sz="2" w:space="0"/>
            </w:tcBorders>
            <w:vAlign w:val="center"/>
          </w:tcPr>
          <w:p w14:paraId="25902036">
            <w:pPr>
              <w:pStyle w:val="129"/>
              <w:widowControl w:val="0"/>
              <w:rPr>
                <w:rFonts w:eastAsia="Times New Roman"/>
                <w:color w:val="auto"/>
              </w:rPr>
            </w:pPr>
            <w:r>
              <w:rPr>
                <w:rFonts w:hint="eastAsia" w:ascii="宋体" w:hAnsi="宋体" w:eastAsia="Times New Roman" w:cs="宋体"/>
                <w:color w:val="auto"/>
              </w:rPr>
              <w:t>人群健康</w:t>
            </w:r>
          </w:p>
        </w:tc>
        <w:tc>
          <w:tcPr>
            <w:tcW w:w="454" w:type="pct"/>
            <w:tcBorders>
              <w:top w:val="single" w:color="000000" w:sz="2" w:space="0"/>
              <w:left w:val="single" w:color="000000" w:sz="2" w:space="0"/>
              <w:bottom w:val="single" w:color="000000" w:sz="2" w:space="0"/>
              <w:right w:val="single" w:color="000000" w:sz="2" w:space="0"/>
            </w:tcBorders>
            <w:vAlign w:val="center"/>
          </w:tcPr>
          <w:p w14:paraId="25306C38">
            <w:pPr>
              <w:pStyle w:val="129"/>
              <w:widowControl w:val="0"/>
              <w:rPr>
                <w:rFonts w:eastAsia="Times New Roman"/>
                <w:color w:val="auto"/>
              </w:rPr>
            </w:pPr>
            <w:r>
              <w:rPr>
                <w:rFonts w:hint="eastAsia" w:ascii="宋体" w:hAnsi="宋体" w:eastAsia="Times New Roman" w:cs="宋体"/>
                <w:color w:val="auto"/>
              </w:rPr>
              <w:t>二类</w:t>
            </w:r>
          </w:p>
        </w:tc>
        <w:tc>
          <w:tcPr>
            <w:tcW w:w="755" w:type="pct"/>
            <w:tcBorders>
              <w:top w:val="single" w:color="000000" w:sz="2" w:space="0"/>
              <w:left w:val="single" w:color="000000" w:sz="2" w:space="0"/>
              <w:bottom w:val="single" w:color="000000" w:sz="2" w:space="0"/>
              <w:right w:val="single" w:color="000000" w:sz="2" w:space="0"/>
            </w:tcBorders>
            <w:vAlign w:val="center"/>
          </w:tcPr>
          <w:p w14:paraId="4DB46773">
            <w:pPr>
              <w:pStyle w:val="129"/>
              <w:widowControl w:val="0"/>
              <w:rPr>
                <w:rFonts w:eastAsia="Times New Roman"/>
                <w:color w:val="auto"/>
              </w:rPr>
            </w:pPr>
            <w:r>
              <w:rPr>
                <w:rFonts w:hint="eastAsia" w:ascii="宋体" w:hAnsi="宋体" w:eastAsia="Times New Roman" w:cs="宋体"/>
                <w:color w:val="auto"/>
              </w:rPr>
              <w:t>东北</w:t>
            </w:r>
          </w:p>
        </w:tc>
        <w:tc>
          <w:tcPr>
            <w:tcW w:w="555" w:type="pct"/>
            <w:tcBorders>
              <w:top w:val="single" w:color="000000" w:sz="2" w:space="0"/>
              <w:left w:val="single" w:color="000000" w:sz="2" w:space="0"/>
              <w:bottom w:val="single" w:color="000000" w:sz="2" w:space="0"/>
              <w:right w:val="single" w:color="000000" w:sz="8" w:space="0"/>
            </w:tcBorders>
            <w:vAlign w:val="center"/>
          </w:tcPr>
          <w:p w14:paraId="1CF18F14">
            <w:pPr>
              <w:pStyle w:val="129"/>
              <w:widowControl w:val="0"/>
              <w:rPr>
                <w:rFonts w:eastAsia="Times New Roman"/>
                <w:color w:val="auto"/>
              </w:rPr>
            </w:pPr>
            <w:r>
              <w:rPr>
                <w:rFonts w:eastAsia="Times New Roman"/>
                <w:color w:val="auto"/>
              </w:rPr>
              <w:t>2.</w:t>
            </w:r>
            <w:r>
              <w:rPr>
                <w:rFonts w:hint="eastAsia" w:eastAsiaTheme="minorEastAsia"/>
                <w:color w:val="auto"/>
              </w:rPr>
              <w:t>06</w:t>
            </w:r>
          </w:p>
        </w:tc>
      </w:tr>
      <w:tr w14:paraId="03D19F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251" w:type="pct"/>
            <w:tcBorders>
              <w:top w:val="single" w:color="000000" w:sz="2" w:space="0"/>
              <w:left w:val="single" w:color="000000" w:sz="8" w:space="0"/>
              <w:bottom w:val="single" w:color="000000" w:sz="8" w:space="0"/>
              <w:right w:val="single" w:color="000000" w:sz="2" w:space="0"/>
            </w:tcBorders>
            <w:vAlign w:val="center"/>
          </w:tcPr>
          <w:p w14:paraId="0A5F03D5">
            <w:pPr>
              <w:pStyle w:val="129"/>
              <w:widowControl w:val="0"/>
              <w:rPr>
                <w:rFonts w:eastAsia="Times New Roman"/>
                <w:color w:val="auto"/>
              </w:rPr>
            </w:pPr>
            <w:r>
              <w:rPr>
                <w:rFonts w:hint="eastAsia" w:ascii="宋体" w:hAnsi="宋体" w:eastAsia="Times New Roman" w:cs="宋体"/>
                <w:color w:val="auto"/>
              </w:rPr>
              <w:t>乌鲁木齐市第</w:t>
            </w:r>
            <w:r>
              <w:rPr>
                <w:rFonts w:eastAsia="Times New Roman"/>
                <w:color w:val="auto"/>
              </w:rPr>
              <w:t>137</w:t>
            </w:r>
            <w:r>
              <w:rPr>
                <w:rFonts w:hint="eastAsia" w:ascii="宋体" w:hAnsi="宋体" w:eastAsia="Times New Roman" w:cs="宋体"/>
                <w:color w:val="auto"/>
              </w:rPr>
              <w:t>中学</w:t>
            </w:r>
          </w:p>
        </w:tc>
        <w:tc>
          <w:tcPr>
            <w:tcW w:w="325" w:type="pct"/>
            <w:tcBorders>
              <w:top w:val="single" w:color="000000" w:sz="2" w:space="0"/>
              <w:left w:val="single" w:color="000000" w:sz="2" w:space="0"/>
              <w:bottom w:val="single" w:color="000000" w:sz="8" w:space="0"/>
              <w:right w:val="single" w:color="000000" w:sz="2" w:space="0"/>
            </w:tcBorders>
            <w:vAlign w:val="top"/>
          </w:tcPr>
          <w:p w14:paraId="7A22A5F7">
            <w:pPr>
              <w:pStyle w:val="129"/>
              <w:widowControl w:val="0"/>
              <w:rPr>
                <w:rFonts w:eastAsia="Times New Roman"/>
                <w:color w:val="auto"/>
              </w:rPr>
            </w:pPr>
            <w:r>
              <w:rPr>
                <w:rFonts w:eastAsia="Times New Roman"/>
                <w:color w:val="auto"/>
              </w:rPr>
              <w:t>-124</w:t>
            </w:r>
          </w:p>
        </w:tc>
        <w:tc>
          <w:tcPr>
            <w:tcW w:w="325" w:type="pct"/>
            <w:tcBorders>
              <w:top w:val="single" w:color="000000" w:sz="2" w:space="0"/>
              <w:left w:val="single" w:color="000000" w:sz="2" w:space="0"/>
              <w:bottom w:val="single" w:color="000000" w:sz="8" w:space="0"/>
              <w:right w:val="single" w:color="000000" w:sz="2" w:space="0"/>
            </w:tcBorders>
            <w:vAlign w:val="top"/>
          </w:tcPr>
          <w:p w14:paraId="1E45FFA6">
            <w:pPr>
              <w:pStyle w:val="129"/>
              <w:widowControl w:val="0"/>
              <w:rPr>
                <w:rFonts w:eastAsia="Times New Roman"/>
                <w:color w:val="auto"/>
              </w:rPr>
            </w:pPr>
            <w:r>
              <w:rPr>
                <w:rFonts w:eastAsia="Times New Roman"/>
                <w:color w:val="auto"/>
              </w:rPr>
              <w:t>1944</w:t>
            </w:r>
          </w:p>
        </w:tc>
        <w:tc>
          <w:tcPr>
            <w:tcW w:w="567" w:type="pct"/>
            <w:tcBorders>
              <w:top w:val="single" w:color="000000" w:sz="2" w:space="0"/>
              <w:left w:val="single" w:color="000000" w:sz="2" w:space="0"/>
              <w:bottom w:val="single" w:color="000000" w:sz="8" w:space="0"/>
              <w:right w:val="single" w:color="000000" w:sz="2" w:space="0"/>
            </w:tcBorders>
            <w:vAlign w:val="center"/>
          </w:tcPr>
          <w:p w14:paraId="7E6D5426">
            <w:pPr>
              <w:pStyle w:val="129"/>
              <w:widowControl w:val="0"/>
              <w:rPr>
                <w:rFonts w:eastAsia="Times New Roman"/>
                <w:color w:val="auto"/>
              </w:rPr>
            </w:pPr>
            <w:r>
              <w:rPr>
                <w:rFonts w:hint="eastAsia" w:ascii="宋体" w:hAnsi="宋体" w:eastAsia="Times New Roman" w:cs="宋体"/>
                <w:color w:val="auto"/>
              </w:rPr>
              <w:t>学校</w:t>
            </w:r>
          </w:p>
        </w:tc>
        <w:tc>
          <w:tcPr>
            <w:tcW w:w="768" w:type="pct"/>
            <w:tcBorders>
              <w:top w:val="single" w:color="000000" w:sz="2" w:space="0"/>
              <w:left w:val="single" w:color="000000" w:sz="2" w:space="0"/>
              <w:bottom w:val="single" w:color="000000" w:sz="8" w:space="0"/>
              <w:right w:val="single" w:color="000000" w:sz="2" w:space="0"/>
            </w:tcBorders>
            <w:vAlign w:val="center"/>
          </w:tcPr>
          <w:p w14:paraId="434235A2">
            <w:pPr>
              <w:pStyle w:val="129"/>
              <w:widowControl w:val="0"/>
              <w:rPr>
                <w:rFonts w:eastAsia="Times New Roman"/>
                <w:color w:val="auto"/>
              </w:rPr>
            </w:pPr>
            <w:r>
              <w:rPr>
                <w:rFonts w:hint="eastAsia" w:ascii="宋体" w:hAnsi="宋体" w:eastAsia="Times New Roman" w:cs="宋体"/>
                <w:color w:val="auto"/>
              </w:rPr>
              <w:t>学校</w:t>
            </w:r>
          </w:p>
        </w:tc>
        <w:tc>
          <w:tcPr>
            <w:tcW w:w="454" w:type="pct"/>
            <w:tcBorders>
              <w:top w:val="single" w:color="000000" w:sz="2" w:space="0"/>
              <w:left w:val="single" w:color="000000" w:sz="2" w:space="0"/>
              <w:bottom w:val="single" w:color="000000" w:sz="8" w:space="0"/>
              <w:right w:val="single" w:color="000000" w:sz="2" w:space="0"/>
            </w:tcBorders>
            <w:vAlign w:val="center"/>
          </w:tcPr>
          <w:p w14:paraId="5E105D32">
            <w:pPr>
              <w:pStyle w:val="129"/>
              <w:widowControl w:val="0"/>
              <w:rPr>
                <w:rFonts w:eastAsia="Times New Roman"/>
                <w:color w:val="auto"/>
              </w:rPr>
            </w:pPr>
            <w:r>
              <w:rPr>
                <w:rFonts w:hint="eastAsia" w:ascii="宋体" w:hAnsi="宋体" w:eastAsia="Times New Roman" w:cs="宋体"/>
                <w:color w:val="auto"/>
              </w:rPr>
              <w:t>二类</w:t>
            </w:r>
          </w:p>
        </w:tc>
        <w:tc>
          <w:tcPr>
            <w:tcW w:w="755" w:type="pct"/>
            <w:tcBorders>
              <w:top w:val="single" w:color="000000" w:sz="2" w:space="0"/>
              <w:left w:val="single" w:color="000000" w:sz="2" w:space="0"/>
              <w:bottom w:val="single" w:color="000000" w:sz="8" w:space="0"/>
              <w:right w:val="single" w:color="000000" w:sz="2" w:space="0"/>
            </w:tcBorders>
            <w:vAlign w:val="center"/>
          </w:tcPr>
          <w:p w14:paraId="34D41CBC">
            <w:pPr>
              <w:pStyle w:val="129"/>
              <w:widowControl w:val="0"/>
              <w:rPr>
                <w:rFonts w:eastAsia="Times New Roman"/>
                <w:color w:val="auto"/>
              </w:rPr>
            </w:pPr>
            <w:r>
              <w:rPr>
                <w:rFonts w:hint="eastAsia" w:ascii="宋体" w:hAnsi="宋体" w:eastAsia="Times New Roman" w:cs="宋体"/>
                <w:color w:val="auto"/>
              </w:rPr>
              <w:t>东北</w:t>
            </w:r>
          </w:p>
        </w:tc>
        <w:tc>
          <w:tcPr>
            <w:tcW w:w="555" w:type="pct"/>
            <w:tcBorders>
              <w:top w:val="single" w:color="000000" w:sz="2" w:space="0"/>
              <w:left w:val="single" w:color="000000" w:sz="2" w:space="0"/>
              <w:bottom w:val="single" w:color="000000" w:sz="8" w:space="0"/>
              <w:right w:val="single" w:color="000000" w:sz="8" w:space="0"/>
            </w:tcBorders>
            <w:vAlign w:val="center"/>
          </w:tcPr>
          <w:p w14:paraId="485F1C68">
            <w:pPr>
              <w:pStyle w:val="129"/>
              <w:widowControl w:val="0"/>
              <w:rPr>
                <w:rFonts w:eastAsia="Times New Roman"/>
                <w:color w:val="auto"/>
              </w:rPr>
            </w:pPr>
            <w:r>
              <w:rPr>
                <w:rFonts w:hint="eastAsia" w:eastAsiaTheme="minorEastAsia"/>
                <w:color w:val="auto"/>
              </w:rPr>
              <w:t>1.57</w:t>
            </w:r>
          </w:p>
        </w:tc>
      </w:tr>
    </w:tbl>
    <w:p w14:paraId="1BEFCD11">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599AB37B">
      <w:pPr>
        <w:pStyle w:val="5"/>
        <w:rPr>
          <w:color w:val="auto"/>
        </w:rPr>
      </w:pPr>
      <w:r>
        <w:rPr>
          <w:rFonts w:hint="eastAsia"/>
          <w:color w:val="auto"/>
        </w:rPr>
        <w:t>预测内容</w:t>
      </w:r>
    </w:p>
    <w:p w14:paraId="1EE45944">
      <w:pPr>
        <w:pStyle w:val="132"/>
        <w:rPr>
          <w:color w:val="auto"/>
        </w:rPr>
      </w:pPr>
      <w:r>
        <w:rPr>
          <w:rFonts w:hint="eastAsia"/>
          <w:color w:val="auto"/>
        </w:rPr>
        <w:t>根据前文判定，本项目所在区域为达标区，项目大气环境影响评价等级为一级，根据《环境影响评价技术导则 大气环境》（HJ2.2-2018）要求需采用进一步预测模式分析项目排放的污染物对周边环境的影响。大气环境影响预测内容见</w:t>
      </w:r>
      <w:r>
        <w:rPr>
          <w:color w:val="auto"/>
        </w:rPr>
        <w:t>表 5.2</w:t>
      </w:r>
      <w:r>
        <w:rPr>
          <w:rFonts w:hint="eastAsia"/>
          <w:color w:val="auto"/>
        </w:rPr>
        <w:t>-11。</w:t>
      </w:r>
    </w:p>
    <w:p w14:paraId="3941488A">
      <w:pPr>
        <w:pStyle w:val="132"/>
        <w:rPr>
          <w:color w:val="auto"/>
        </w:rPr>
      </w:pPr>
      <w:r>
        <w:rPr>
          <w:rFonts w:hint="eastAsia"/>
          <w:color w:val="auto"/>
        </w:rPr>
        <w:t>由于所在区域颗粒物背景浓度超过《</w:t>
      </w:r>
      <w:r>
        <w:rPr>
          <w:color w:val="auto"/>
        </w:rPr>
        <w:t>环境空气质量标准</w:t>
      </w:r>
      <w:r>
        <w:rPr>
          <w:rFonts w:hint="eastAsia"/>
          <w:color w:val="auto"/>
        </w:rPr>
        <w:t>》（</w:t>
      </w:r>
      <w:r>
        <w:rPr>
          <w:color w:val="auto"/>
        </w:rPr>
        <w:t>GB3095</w:t>
      </w:r>
      <w:r>
        <w:rPr>
          <w:rFonts w:hint="eastAsia"/>
          <w:color w:val="auto"/>
        </w:rPr>
        <w:t>-</w:t>
      </w:r>
      <w:r>
        <w:rPr>
          <w:color w:val="auto"/>
        </w:rPr>
        <w:t>2026</w:t>
      </w:r>
      <w:r>
        <w:rPr>
          <w:rFonts w:hint="eastAsia"/>
          <w:color w:val="auto"/>
        </w:rPr>
        <w:t>），因此本次大气环境影响预测以不达标区进行评价。</w:t>
      </w:r>
    </w:p>
    <w:p w14:paraId="1888B0E0">
      <w:pPr>
        <w:pStyle w:val="1060"/>
        <w:spacing w:before="163"/>
        <w:rPr>
          <w:color w:val="auto"/>
        </w:rPr>
      </w:pPr>
      <w:bookmarkStart w:id="295" w:name="_Ref220509841"/>
      <w:bookmarkEnd w:id="295"/>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11</w:t>
      </w:r>
      <w:r>
        <w:rPr>
          <w:color w:val="auto"/>
        </w:rPr>
        <w:fldChar w:fldCharType="end"/>
      </w:r>
      <w:r>
        <w:rPr>
          <w:rFonts w:hint="eastAsia"/>
          <w:color w:val="auto"/>
        </w:rPr>
        <w:t xml:space="preserve"> </w:t>
      </w:r>
      <w:r>
        <w:rPr>
          <w:color w:val="auto"/>
        </w:rPr>
        <w:t xml:space="preserve">  大气环境影响预测与评价内容一览表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991"/>
        <w:gridCol w:w="2717"/>
        <w:gridCol w:w="1430"/>
        <w:gridCol w:w="1286"/>
        <w:gridCol w:w="2362"/>
      </w:tblGrid>
      <w:tr w14:paraId="3D7F694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64" w:type="pct"/>
            <w:tcBorders>
              <w:top w:val="single" w:color="000000" w:sz="8" w:space="0"/>
              <w:left w:val="single" w:color="000000" w:sz="8" w:space="0"/>
              <w:bottom w:val="single" w:color="000000" w:sz="2" w:space="0"/>
              <w:right w:val="single" w:color="000000" w:sz="2" w:space="0"/>
            </w:tcBorders>
            <w:vAlign w:val="center"/>
          </w:tcPr>
          <w:p w14:paraId="4EF63394">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评价对象</w:t>
            </w:r>
          </w:p>
        </w:tc>
        <w:tc>
          <w:tcPr>
            <w:tcW w:w="1546" w:type="pct"/>
            <w:tcBorders>
              <w:top w:val="single" w:color="000000" w:sz="8" w:space="0"/>
              <w:left w:val="single" w:color="000000" w:sz="2" w:space="0"/>
              <w:bottom w:val="single" w:color="000000" w:sz="2" w:space="0"/>
              <w:right w:val="single" w:color="000000" w:sz="2" w:space="0"/>
            </w:tcBorders>
            <w:vAlign w:val="center"/>
          </w:tcPr>
          <w:p w14:paraId="56258311">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污染源</w:t>
            </w:r>
          </w:p>
        </w:tc>
        <w:tc>
          <w:tcPr>
            <w:tcW w:w="814" w:type="pct"/>
            <w:tcBorders>
              <w:top w:val="single" w:color="000000" w:sz="8" w:space="0"/>
              <w:left w:val="single" w:color="000000" w:sz="2" w:space="0"/>
              <w:bottom w:val="single" w:color="000000" w:sz="2" w:space="0"/>
              <w:right w:val="single" w:color="000000" w:sz="2" w:space="0"/>
            </w:tcBorders>
            <w:vAlign w:val="center"/>
          </w:tcPr>
          <w:p w14:paraId="7821F5E5">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排放形式</w:t>
            </w:r>
          </w:p>
        </w:tc>
        <w:tc>
          <w:tcPr>
            <w:tcW w:w="732" w:type="pct"/>
            <w:tcBorders>
              <w:top w:val="single" w:color="000000" w:sz="8" w:space="0"/>
              <w:left w:val="single" w:color="000000" w:sz="2" w:space="0"/>
              <w:bottom w:val="single" w:color="000000" w:sz="2" w:space="0"/>
              <w:right w:val="single" w:color="000000" w:sz="2" w:space="0"/>
            </w:tcBorders>
            <w:vAlign w:val="center"/>
          </w:tcPr>
          <w:p w14:paraId="49E34069">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预测内容</w:t>
            </w:r>
          </w:p>
        </w:tc>
        <w:tc>
          <w:tcPr>
            <w:tcW w:w="1344" w:type="pct"/>
            <w:tcBorders>
              <w:top w:val="single" w:color="000000" w:sz="8" w:space="0"/>
              <w:left w:val="single" w:color="000000" w:sz="2" w:space="0"/>
              <w:bottom w:val="single" w:color="000000" w:sz="2" w:space="0"/>
              <w:right w:val="single" w:color="000000" w:sz="8" w:space="0"/>
            </w:tcBorders>
            <w:vAlign w:val="center"/>
          </w:tcPr>
          <w:p w14:paraId="2E2ADD7A">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评价内容</w:t>
            </w:r>
          </w:p>
        </w:tc>
      </w:tr>
      <w:tr w14:paraId="0BE033F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64" w:type="pct"/>
            <w:vMerge w:val="restart"/>
            <w:tcBorders>
              <w:top w:val="single" w:color="000000" w:sz="2" w:space="0"/>
              <w:left w:val="single" w:color="000000" w:sz="8" w:space="0"/>
              <w:bottom w:val="single" w:color="000000" w:sz="2" w:space="0"/>
              <w:right w:val="single" w:color="000000" w:sz="2" w:space="0"/>
            </w:tcBorders>
            <w:vAlign w:val="center"/>
          </w:tcPr>
          <w:p w14:paraId="5BF6F8CC">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不达标区评价项目</w:t>
            </w:r>
          </w:p>
        </w:tc>
        <w:tc>
          <w:tcPr>
            <w:tcW w:w="1546" w:type="pct"/>
            <w:tcBorders>
              <w:top w:val="single" w:color="000000" w:sz="2" w:space="0"/>
              <w:left w:val="single" w:color="000000" w:sz="2" w:space="0"/>
              <w:bottom w:val="single" w:color="000000" w:sz="2" w:space="0"/>
              <w:right w:val="single" w:color="000000" w:sz="2" w:space="0"/>
            </w:tcBorders>
            <w:vAlign w:val="center"/>
          </w:tcPr>
          <w:p w14:paraId="2CB39DCD">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新增污染源</w:t>
            </w:r>
          </w:p>
        </w:tc>
        <w:tc>
          <w:tcPr>
            <w:tcW w:w="814" w:type="pct"/>
            <w:tcBorders>
              <w:top w:val="single" w:color="000000" w:sz="2" w:space="0"/>
              <w:left w:val="single" w:color="000000" w:sz="2" w:space="0"/>
              <w:bottom w:val="single" w:color="000000" w:sz="2" w:space="0"/>
              <w:right w:val="single" w:color="000000" w:sz="2" w:space="0"/>
            </w:tcBorders>
            <w:vAlign w:val="center"/>
          </w:tcPr>
          <w:p w14:paraId="01B98656">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正常排放</w:t>
            </w:r>
          </w:p>
        </w:tc>
        <w:tc>
          <w:tcPr>
            <w:tcW w:w="732" w:type="pct"/>
            <w:tcBorders>
              <w:top w:val="single" w:color="000000" w:sz="2" w:space="0"/>
              <w:left w:val="single" w:color="000000" w:sz="2" w:space="0"/>
              <w:bottom w:val="single" w:color="000000" w:sz="2" w:space="0"/>
              <w:right w:val="single" w:color="000000" w:sz="2" w:space="0"/>
            </w:tcBorders>
            <w:vAlign w:val="center"/>
          </w:tcPr>
          <w:p w14:paraId="456341F2">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短期浓度</w:t>
            </w:r>
          </w:p>
          <w:p w14:paraId="0BE5BD4E">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长期浓度</w:t>
            </w:r>
          </w:p>
        </w:tc>
        <w:tc>
          <w:tcPr>
            <w:tcW w:w="1344" w:type="pct"/>
            <w:tcBorders>
              <w:top w:val="single" w:color="000000" w:sz="2" w:space="0"/>
              <w:left w:val="single" w:color="000000" w:sz="2" w:space="0"/>
              <w:bottom w:val="single" w:color="000000" w:sz="2" w:space="0"/>
              <w:right w:val="single" w:color="000000" w:sz="8" w:space="0"/>
            </w:tcBorders>
            <w:vAlign w:val="center"/>
          </w:tcPr>
          <w:p w14:paraId="079C2265">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最大浓度占标率</w:t>
            </w:r>
          </w:p>
        </w:tc>
      </w:tr>
      <w:tr w14:paraId="1EB35A4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64" w:type="pct"/>
            <w:vMerge w:val="continue"/>
            <w:tcBorders>
              <w:top w:val="single" w:color="000000" w:sz="2" w:space="0"/>
              <w:left w:val="single" w:color="000000" w:sz="8" w:space="0"/>
              <w:bottom w:val="single" w:color="000000" w:sz="2" w:space="0"/>
              <w:right w:val="single" w:color="000000" w:sz="2" w:space="0"/>
            </w:tcBorders>
            <w:vAlign w:val="center"/>
          </w:tcPr>
          <w:p w14:paraId="33374CB3">
            <w:pPr>
              <w:widowControl/>
              <w:spacing w:line="360" w:lineRule="exact"/>
              <w:jc w:val="center"/>
              <w:rPr>
                <w:rFonts w:eastAsia="Times New Roman"/>
                <w:color w:val="auto"/>
                <w:sz w:val="21"/>
                <w:szCs w:val="21"/>
              </w:rPr>
            </w:pPr>
          </w:p>
        </w:tc>
        <w:tc>
          <w:tcPr>
            <w:tcW w:w="1546" w:type="pct"/>
            <w:tcBorders>
              <w:top w:val="single" w:color="000000" w:sz="2" w:space="0"/>
              <w:left w:val="single" w:color="000000" w:sz="2" w:space="0"/>
              <w:bottom w:val="single" w:color="000000" w:sz="2" w:space="0"/>
              <w:right w:val="single" w:color="000000" w:sz="2" w:space="0"/>
            </w:tcBorders>
            <w:vAlign w:val="center"/>
          </w:tcPr>
          <w:p w14:paraId="6B86360F">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新增污染源</w:t>
            </w:r>
          </w:p>
          <w:p w14:paraId="16D4BEC9">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w:t>
            </w:r>
          </w:p>
          <w:p w14:paraId="7AA7D6B2">
            <w:pPr>
              <w:widowControl/>
              <w:spacing w:line="360" w:lineRule="exact"/>
              <w:jc w:val="center"/>
              <w:rPr>
                <w:rFonts w:eastAsia="Times New Roman"/>
                <w:color w:val="auto"/>
                <w:sz w:val="21"/>
                <w:szCs w:val="21"/>
              </w:rPr>
            </w:pPr>
            <w:r>
              <w:rPr>
                <w:rFonts w:eastAsia="Times New Roman"/>
                <w:color w:val="auto"/>
                <w:sz w:val="21"/>
                <w:szCs w:val="21"/>
              </w:rPr>
              <w:t>“</w:t>
            </w:r>
            <w:r>
              <w:rPr>
                <w:rFonts w:ascii="宋体" w:hAnsi="宋体" w:eastAsia="Times New Roman" w:cs="宋体"/>
                <w:color w:val="auto"/>
                <w:sz w:val="21"/>
                <w:szCs w:val="21"/>
              </w:rPr>
              <w:t>以新带老</w:t>
            </w:r>
            <w:r>
              <w:rPr>
                <w:rFonts w:eastAsia="Times New Roman"/>
                <w:color w:val="auto"/>
                <w:sz w:val="21"/>
                <w:szCs w:val="21"/>
              </w:rPr>
              <w:t>”</w:t>
            </w:r>
            <w:r>
              <w:rPr>
                <w:rFonts w:ascii="宋体" w:hAnsi="宋体" w:eastAsia="Times New Roman" w:cs="宋体"/>
                <w:color w:val="auto"/>
                <w:sz w:val="21"/>
                <w:szCs w:val="21"/>
              </w:rPr>
              <w:t>污染源（如有）</w:t>
            </w:r>
          </w:p>
          <w:p w14:paraId="13E454EA">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w:t>
            </w:r>
          </w:p>
          <w:p w14:paraId="399A5E5D">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区域削减污染源（如有）</w:t>
            </w:r>
          </w:p>
          <w:p w14:paraId="7222E8F4">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w:t>
            </w:r>
          </w:p>
          <w:p w14:paraId="404FCA4F">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其他在建、拟建污染源</w:t>
            </w:r>
          </w:p>
          <w:p w14:paraId="5011014E">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（如有）</w:t>
            </w:r>
          </w:p>
        </w:tc>
        <w:tc>
          <w:tcPr>
            <w:tcW w:w="814" w:type="pct"/>
            <w:tcBorders>
              <w:top w:val="single" w:color="000000" w:sz="2" w:space="0"/>
              <w:left w:val="single" w:color="000000" w:sz="2" w:space="0"/>
              <w:bottom w:val="single" w:color="000000" w:sz="2" w:space="0"/>
              <w:right w:val="single" w:color="000000" w:sz="2" w:space="0"/>
            </w:tcBorders>
            <w:vAlign w:val="center"/>
          </w:tcPr>
          <w:p w14:paraId="376BE78D">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正常排放</w:t>
            </w:r>
          </w:p>
        </w:tc>
        <w:tc>
          <w:tcPr>
            <w:tcW w:w="732" w:type="pct"/>
            <w:tcBorders>
              <w:top w:val="single" w:color="000000" w:sz="2" w:space="0"/>
              <w:left w:val="single" w:color="000000" w:sz="2" w:space="0"/>
              <w:bottom w:val="single" w:color="000000" w:sz="2" w:space="0"/>
              <w:right w:val="single" w:color="000000" w:sz="2" w:space="0"/>
            </w:tcBorders>
            <w:vAlign w:val="center"/>
          </w:tcPr>
          <w:p w14:paraId="419EDA60">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短期浓度</w:t>
            </w:r>
          </w:p>
          <w:p w14:paraId="062C59AA">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长期浓度</w:t>
            </w:r>
          </w:p>
        </w:tc>
        <w:tc>
          <w:tcPr>
            <w:tcW w:w="1344" w:type="pct"/>
            <w:tcBorders>
              <w:top w:val="single" w:color="000000" w:sz="2" w:space="0"/>
              <w:left w:val="single" w:color="000000" w:sz="2" w:space="0"/>
              <w:bottom w:val="single" w:color="000000" w:sz="2" w:space="0"/>
              <w:right w:val="single" w:color="000000" w:sz="8" w:space="0"/>
            </w:tcBorders>
            <w:vAlign w:val="center"/>
          </w:tcPr>
          <w:p w14:paraId="6E78787E">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叠加达标规划目标浓度后的保证率日平均质量浓度和年平均质量浓度的占标率，或短期浓度的达标情况；年平均质量浓度变化率</w:t>
            </w:r>
          </w:p>
        </w:tc>
      </w:tr>
      <w:tr w14:paraId="41669A7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64" w:type="pct"/>
            <w:vMerge w:val="continue"/>
            <w:tcBorders>
              <w:top w:val="single" w:color="000000" w:sz="2" w:space="0"/>
              <w:left w:val="single" w:color="000000" w:sz="8" w:space="0"/>
              <w:bottom w:val="single" w:color="000000" w:sz="2" w:space="0"/>
              <w:right w:val="single" w:color="000000" w:sz="2" w:space="0"/>
            </w:tcBorders>
            <w:vAlign w:val="center"/>
          </w:tcPr>
          <w:p w14:paraId="619B5432">
            <w:pPr>
              <w:widowControl/>
              <w:spacing w:line="360" w:lineRule="exact"/>
              <w:jc w:val="center"/>
              <w:rPr>
                <w:rFonts w:eastAsia="Times New Roman"/>
                <w:color w:val="auto"/>
                <w:sz w:val="21"/>
                <w:szCs w:val="21"/>
              </w:rPr>
            </w:pPr>
          </w:p>
        </w:tc>
        <w:tc>
          <w:tcPr>
            <w:tcW w:w="1546" w:type="pct"/>
            <w:tcBorders>
              <w:top w:val="single" w:color="000000" w:sz="2" w:space="0"/>
              <w:left w:val="single" w:color="000000" w:sz="2" w:space="0"/>
              <w:bottom w:val="single" w:color="000000" w:sz="2" w:space="0"/>
              <w:right w:val="single" w:color="000000" w:sz="2" w:space="0"/>
            </w:tcBorders>
            <w:vAlign w:val="center"/>
          </w:tcPr>
          <w:p w14:paraId="1EF9EC6A">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新增污染源</w:t>
            </w:r>
          </w:p>
        </w:tc>
        <w:tc>
          <w:tcPr>
            <w:tcW w:w="814" w:type="pct"/>
            <w:tcBorders>
              <w:top w:val="single" w:color="000000" w:sz="2" w:space="0"/>
              <w:left w:val="single" w:color="000000" w:sz="2" w:space="0"/>
              <w:bottom w:val="single" w:color="000000" w:sz="2" w:space="0"/>
              <w:right w:val="single" w:color="000000" w:sz="2" w:space="0"/>
            </w:tcBorders>
            <w:vAlign w:val="center"/>
          </w:tcPr>
          <w:p w14:paraId="74EF67B6">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非正常排放</w:t>
            </w:r>
          </w:p>
        </w:tc>
        <w:tc>
          <w:tcPr>
            <w:tcW w:w="732" w:type="pct"/>
            <w:tcBorders>
              <w:top w:val="single" w:color="000000" w:sz="2" w:space="0"/>
              <w:left w:val="single" w:color="000000" w:sz="2" w:space="0"/>
              <w:bottom w:val="single" w:color="000000" w:sz="2" w:space="0"/>
              <w:right w:val="single" w:color="000000" w:sz="2" w:space="0"/>
            </w:tcBorders>
            <w:vAlign w:val="center"/>
          </w:tcPr>
          <w:p w14:paraId="1F6A9CB7">
            <w:pPr>
              <w:widowControl/>
              <w:spacing w:line="360" w:lineRule="exact"/>
              <w:jc w:val="center"/>
              <w:rPr>
                <w:rFonts w:eastAsia="Times New Roman"/>
                <w:color w:val="auto"/>
                <w:sz w:val="21"/>
                <w:szCs w:val="21"/>
              </w:rPr>
            </w:pPr>
            <w:r>
              <w:rPr>
                <w:rFonts w:eastAsia="Times New Roman"/>
                <w:color w:val="auto"/>
                <w:sz w:val="21"/>
                <w:szCs w:val="21"/>
              </w:rPr>
              <w:t>1h</w:t>
            </w:r>
            <w:r>
              <w:rPr>
                <w:rFonts w:ascii="宋体" w:hAnsi="宋体" w:eastAsia="Times New Roman" w:cs="宋体"/>
                <w:color w:val="auto"/>
                <w:sz w:val="21"/>
                <w:szCs w:val="21"/>
              </w:rPr>
              <w:t>平均质量</w:t>
            </w:r>
          </w:p>
          <w:p w14:paraId="580AEC06">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浓度</w:t>
            </w:r>
          </w:p>
        </w:tc>
        <w:tc>
          <w:tcPr>
            <w:tcW w:w="1344" w:type="pct"/>
            <w:tcBorders>
              <w:top w:val="single" w:color="000000" w:sz="2" w:space="0"/>
              <w:left w:val="single" w:color="000000" w:sz="2" w:space="0"/>
              <w:bottom w:val="single" w:color="000000" w:sz="2" w:space="0"/>
              <w:right w:val="single" w:color="000000" w:sz="8" w:space="0"/>
            </w:tcBorders>
            <w:vAlign w:val="center"/>
          </w:tcPr>
          <w:p w14:paraId="360D9053">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最大浓度占标率</w:t>
            </w:r>
          </w:p>
        </w:tc>
      </w:tr>
      <w:tr w14:paraId="7FE8A40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64" w:type="pct"/>
            <w:tcBorders>
              <w:top w:val="single" w:color="000000" w:sz="2" w:space="0"/>
              <w:left w:val="single" w:color="000000" w:sz="8" w:space="0"/>
              <w:bottom w:val="single" w:color="000000" w:sz="8" w:space="0"/>
              <w:right w:val="single" w:color="000000" w:sz="2" w:space="0"/>
            </w:tcBorders>
            <w:vAlign w:val="center"/>
          </w:tcPr>
          <w:p w14:paraId="183FB62C">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大气环境防护距离</w:t>
            </w:r>
          </w:p>
        </w:tc>
        <w:tc>
          <w:tcPr>
            <w:tcW w:w="1546" w:type="pct"/>
            <w:tcBorders>
              <w:top w:val="single" w:color="000000" w:sz="2" w:space="0"/>
              <w:left w:val="single" w:color="000000" w:sz="2" w:space="0"/>
              <w:bottom w:val="single" w:color="000000" w:sz="8" w:space="0"/>
              <w:right w:val="single" w:color="000000" w:sz="2" w:space="0"/>
            </w:tcBorders>
            <w:vAlign w:val="center"/>
          </w:tcPr>
          <w:p w14:paraId="5F3C76A5">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新增污染源</w:t>
            </w:r>
          </w:p>
          <w:p w14:paraId="2DA08EC7">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w:t>
            </w:r>
          </w:p>
          <w:p w14:paraId="03924548">
            <w:pPr>
              <w:widowControl/>
              <w:spacing w:line="360" w:lineRule="exact"/>
              <w:jc w:val="center"/>
              <w:rPr>
                <w:rFonts w:eastAsia="Times New Roman"/>
                <w:color w:val="auto"/>
                <w:sz w:val="21"/>
                <w:szCs w:val="21"/>
              </w:rPr>
            </w:pPr>
            <w:r>
              <w:rPr>
                <w:rFonts w:eastAsia="Times New Roman"/>
                <w:color w:val="auto"/>
                <w:sz w:val="21"/>
                <w:szCs w:val="21"/>
              </w:rPr>
              <w:t>“</w:t>
            </w:r>
            <w:r>
              <w:rPr>
                <w:rFonts w:ascii="宋体" w:hAnsi="宋体" w:eastAsia="Times New Roman" w:cs="宋体"/>
                <w:color w:val="auto"/>
                <w:sz w:val="21"/>
                <w:szCs w:val="21"/>
              </w:rPr>
              <w:t>以新带老</w:t>
            </w:r>
            <w:r>
              <w:rPr>
                <w:rFonts w:eastAsia="Times New Roman"/>
                <w:color w:val="auto"/>
                <w:sz w:val="21"/>
                <w:szCs w:val="21"/>
              </w:rPr>
              <w:t>”</w:t>
            </w:r>
            <w:r>
              <w:rPr>
                <w:rFonts w:ascii="宋体" w:hAnsi="宋体" w:eastAsia="Times New Roman" w:cs="宋体"/>
                <w:color w:val="auto"/>
                <w:sz w:val="21"/>
                <w:szCs w:val="21"/>
              </w:rPr>
              <w:t>污染源（如有）</w:t>
            </w:r>
          </w:p>
          <w:p w14:paraId="1D789E98">
            <w:pPr>
              <w:widowControl/>
              <w:spacing w:line="360" w:lineRule="exact"/>
              <w:jc w:val="center"/>
              <w:rPr>
                <w:rFonts w:eastAsia="Times New Roman"/>
                <w:color w:val="auto"/>
                <w:sz w:val="21"/>
                <w:szCs w:val="21"/>
              </w:rPr>
            </w:pPr>
            <w:r>
              <w:rPr>
                <w:rFonts w:eastAsia="Times New Roman"/>
                <w:color w:val="auto"/>
                <w:sz w:val="21"/>
                <w:szCs w:val="21"/>
              </w:rPr>
              <w:t>+</w:t>
            </w:r>
          </w:p>
          <w:p w14:paraId="3768F2FA">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项目全厂现有污染源</w:t>
            </w:r>
          </w:p>
        </w:tc>
        <w:tc>
          <w:tcPr>
            <w:tcW w:w="814" w:type="pct"/>
            <w:tcBorders>
              <w:top w:val="single" w:color="000000" w:sz="2" w:space="0"/>
              <w:left w:val="single" w:color="000000" w:sz="2" w:space="0"/>
              <w:bottom w:val="single" w:color="000000" w:sz="8" w:space="0"/>
              <w:right w:val="single" w:color="000000" w:sz="2" w:space="0"/>
            </w:tcBorders>
            <w:vAlign w:val="center"/>
          </w:tcPr>
          <w:p w14:paraId="503E3EC8">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正常排放</w:t>
            </w:r>
          </w:p>
        </w:tc>
        <w:tc>
          <w:tcPr>
            <w:tcW w:w="732" w:type="pct"/>
            <w:tcBorders>
              <w:top w:val="single" w:color="000000" w:sz="2" w:space="0"/>
              <w:left w:val="single" w:color="000000" w:sz="2" w:space="0"/>
              <w:bottom w:val="single" w:color="000000" w:sz="8" w:space="0"/>
              <w:right w:val="single" w:color="000000" w:sz="2" w:space="0"/>
            </w:tcBorders>
            <w:vAlign w:val="center"/>
          </w:tcPr>
          <w:p w14:paraId="7EFB4FF3">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短期浓度</w:t>
            </w:r>
          </w:p>
        </w:tc>
        <w:tc>
          <w:tcPr>
            <w:tcW w:w="1344" w:type="pct"/>
            <w:tcBorders>
              <w:top w:val="single" w:color="000000" w:sz="2" w:space="0"/>
              <w:left w:val="single" w:color="000000" w:sz="2" w:space="0"/>
              <w:bottom w:val="single" w:color="000000" w:sz="8" w:space="0"/>
              <w:right w:val="single" w:color="000000" w:sz="8" w:space="0"/>
            </w:tcBorders>
            <w:vAlign w:val="center"/>
          </w:tcPr>
          <w:p w14:paraId="0A37208E">
            <w:pPr>
              <w:widowControl/>
              <w:spacing w:line="360" w:lineRule="exact"/>
              <w:jc w:val="center"/>
              <w:rPr>
                <w:rFonts w:eastAsia="Times New Roman"/>
                <w:color w:val="auto"/>
                <w:sz w:val="21"/>
                <w:szCs w:val="21"/>
              </w:rPr>
            </w:pPr>
            <w:r>
              <w:rPr>
                <w:rFonts w:ascii="宋体" w:hAnsi="宋体" w:eastAsia="Times New Roman" w:cs="宋体"/>
                <w:color w:val="auto"/>
                <w:sz w:val="21"/>
                <w:szCs w:val="21"/>
              </w:rPr>
              <w:t>大气环境防护距离</w:t>
            </w:r>
          </w:p>
        </w:tc>
      </w:tr>
    </w:tbl>
    <w:p w14:paraId="1AEA76F8">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FE2BF78">
      <w:pPr>
        <w:pStyle w:val="132"/>
        <w:rPr>
          <w:color w:val="auto"/>
        </w:rPr>
      </w:pPr>
      <w:r>
        <w:rPr>
          <w:rFonts w:hint="eastAsia"/>
          <w:color w:val="auto"/>
        </w:rPr>
        <w:t>具体内容：</w:t>
      </w:r>
    </w:p>
    <w:p w14:paraId="28D81AFD">
      <w:pPr>
        <w:pStyle w:val="132"/>
        <w:rPr>
          <w:color w:val="auto"/>
        </w:rPr>
      </w:pPr>
      <w:r>
        <w:rPr>
          <w:rFonts w:hint="eastAsia"/>
          <w:color w:val="auto"/>
        </w:rPr>
        <w:t>①项目正常排放条件下，预测环境空气保护目标和网格点主要污染物的短期浓度和长期浓度贡献值，评价其最大浓度占标率。</w:t>
      </w:r>
    </w:p>
    <w:p w14:paraId="05901ED3">
      <w:pPr>
        <w:pStyle w:val="132"/>
        <w:rPr>
          <w:color w:val="auto"/>
        </w:rPr>
      </w:pPr>
      <w:r>
        <w:rPr>
          <w:rFonts w:hint="eastAsia"/>
          <w:color w:val="auto"/>
        </w:rPr>
        <w:t>②</w:t>
      </w:r>
      <w:r>
        <w:rPr>
          <w:color w:val="auto"/>
        </w:rPr>
        <w:t>项目正常排放条件下，预测评价叠加环境空气质量现状浓度后，环境空气保护目标和网格点主要污染物的保证率日平均质量浓度和年平均质量浓度的达标情况；对于项目排放的主要污染物仅有短期浓度限值的，评价其短期浓度叠加后的达标情况。</w:t>
      </w:r>
      <w:r>
        <w:rPr>
          <w:rFonts w:hint="eastAsia"/>
          <w:color w:val="auto"/>
        </w:rPr>
        <w:t>本项目</w:t>
      </w:r>
      <w:r>
        <w:rPr>
          <w:color w:val="auto"/>
        </w:rPr>
        <w:t>评价范围内还有其他排放同类污染物的在建、拟建项目，还应叠加在建、拟建项目的环境影响。</w:t>
      </w:r>
    </w:p>
    <w:p w14:paraId="04FB4000">
      <w:pPr>
        <w:pStyle w:val="132"/>
        <w:rPr>
          <w:color w:val="auto"/>
        </w:rPr>
      </w:pPr>
      <w:r>
        <w:rPr>
          <w:rFonts w:hint="eastAsia"/>
          <w:color w:val="auto"/>
        </w:rPr>
        <w:t>③项目</w:t>
      </w:r>
      <w:r>
        <w:rPr>
          <w:rFonts w:hint="eastAsia" w:ascii="宋体" w:hAnsi="宋体" w:cs="宋体"/>
          <w:color w:val="auto"/>
        </w:rPr>
        <w:t>年平均质量浓度变化率。</w:t>
      </w:r>
    </w:p>
    <w:p w14:paraId="35D2EE15">
      <w:pPr>
        <w:pStyle w:val="132"/>
        <w:rPr>
          <w:color w:val="auto"/>
        </w:rPr>
      </w:pPr>
      <w:r>
        <w:rPr>
          <w:rFonts w:hint="eastAsia"/>
          <w:color w:val="auto"/>
        </w:rPr>
        <w:t>④</w:t>
      </w:r>
      <w:r>
        <w:rPr>
          <w:color w:val="auto"/>
        </w:rPr>
        <w:t>项目非正常排放条件下，预测评价环境空气保护目标和网格点主要污染物的1h最大浓度贡献值及占标率。</w:t>
      </w:r>
    </w:p>
    <w:p w14:paraId="78046A4D">
      <w:pPr>
        <w:pStyle w:val="132"/>
        <w:rPr>
          <w:color w:val="auto"/>
        </w:rPr>
      </w:pPr>
      <w:r>
        <w:rPr>
          <w:rFonts w:hint="eastAsia"/>
          <w:color w:val="auto"/>
        </w:rPr>
        <w:t>⑤项目正常排放条件下，预测主要污染物在厂界附近的短期浓度，计算大气环境防护距离。</w:t>
      </w:r>
    </w:p>
    <w:p w14:paraId="5C6F0189">
      <w:pPr>
        <w:pStyle w:val="5"/>
        <w:rPr>
          <w:color w:val="auto"/>
        </w:rPr>
      </w:pPr>
      <w:r>
        <w:rPr>
          <w:rFonts w:hint="eastAsia"/>
          <w:color w:val="auto"/>
        </w:rPr>
        <w:t>废气污染源强统计</w:t>
      </w:r>
    </w:p>
    <w:p w14:paraId="299ABE76">
      <w:pPr>
        <w:pStyle w:val="132"/>
        <w:rPr>
          <w:color w:val="auto"/>
        </w:rPr>
      </w:pPr>
      <w:r>
        <w:rPr>
          <w:rFonts w:hint="eastAsia"/>
          <w:color w:val="auto"/>
        </w:rPr>
        <w:t>（1）正常工况</w:t>
      </w:r>
    </w:p>
    <w:p w14:paraId="3089789B">
      <w:pPr>
        <w:pStyle w:val="132"/>
        <w:rPr>
          <w:color w:val="auto"/>
        </w:rPr>
      </w:pPr>
      <w:r>
        <w:rPr>
          <w:rFonts w:hint="eastAsia"/>
          <w:color w:val="auto"/>
        </w:rPr>
        <w:t>根据工程分析结果，本项目有组织废气污染源与无组织废气污染源，正常工况下的有组织废气污染源和无组织废气污染源主要参数见</w:t>
      </w:r>
      <w:r>
        <w:rPr>
          <w:color w:val="auto"/>
        </w:rPr>
        <w:t>表 5.2</w:t>
      </w:r>
      <w:r>
        <w:rPr>
          <w:rFonts w:hint="eastAsia"/>
          <w:color w:val="auto"/>
        </w:rPr>
        <w:t>-14和</w:t>
      </w:r>
      <w:r>
        <w:rPr>
          <w:color w:val="auto"/>
        </w:rPr>
        <w:t>表 5.2</w:t>
      </w:r>
      <w:r>
        <w:rPr>
          <w:rFonts w:hint="eastAsia"/>
          <w:color w:val="auto"/>
        </w:rPr>
        <w:t>-15。</w:t>
      </w:r>
    </w:p>
    <w:p w14:paraId="24E48D94">
      <w:pPr>
        <w:pStyle w:val="132"/>
        <w:rPr>
          <w:color w:val="auto"/>
        </w:rPr>
      </w:pPr>
      <w:r>
        <w:rPr>
          <w:rFonts w:hint="eastAsia"/>
          <w:color w:val="auto"/>
        </w:rPr>
        <w:t>（2）非正常工况</w:t>
      </w:r>
    </w:p>
    <w:p w14:paraId="6F18343D">
      <w:pPr>
        <w:pStyle w:val="132"/>
        <w:rPr>
          <w:color w:val="auto"/>
        </w:rPr>
      </w:pPr>
      <w:r>
        <w:rPr>
          <w:rFonts w:hint="eastAsia"/>
          <w:color w:val="auto"/>
        </w:rPr>
        <w:t>根据大气导则的规定，点火开炉、设备检修、污染物排放控制措施达不到应有效率、工艺设备运转异常等情况下的污染排放归为非正常排放，一般包括开停车、突发性停电、环保设施故障等情况。</w:t>
      </w:r>
    </w:p>
    <w:p w14:paraId="0E990153">
      <w:pPr>
        <w:spacing w:line="360" w:lineRule="auto"/>
        <w:ind w:firstLine="480" w:firstLineChars="200"/>
        <w:jc w:val="both"/>
        <w:rPr>
          <w:color w:val="auto"/>
          <w:sz w:val="24"/>
          <w:szCs w:val="24"/>
        </w:rPr>
      </w:pPr>
      <w:bookmarkStart w:id="296" w:name="OLE_LINK4"/>
      <w:r>
        <w:rPr>
          <w:rFonts w:hint="eastAsia"/>
          <w:color w:val="auto"/>
          <w:sz w:val="24"/>
          <w:szCs w:val="24"/>
        </w:rPr>
        <w:t>根据项目污染特点及工程分析，综合考虑废气污染物种类，废气污染物产生浓度等因素，本次非正常工况主要考虑废气处理系统（SCR脱硝）发生故障，导致NOx去除率下降至0。</w:t>
      </w:r>
    </w:p>
    <w:p w14:paraId="1ED475B1">
      <w:pPr>
        <w:spacing w:line="360" w:lineRule="auto"/>
        <w:ind w:firstLine="480" w:firstLineChars="200"/>
        <w:jc w:val="both"/>
        <w:rPr>
          <w:color w:val="auto"/>
          <w:sz w:val="24"/>
          <w:szCs w:val="24"/>
        </w:rPr>
      </w:pPr>
      <w:r>
        <w:rPr>
          <w:rFonts w:hint="eastAsia"/>
          <w:color w:val="auto"/>
          <w:sz w:val="24"/>
          <w:szCs w:val="24"/>
        </w:rPr>
        <w:t>本次非正常工况的污染源主要参数见表5.2-12。</w:t>
      </w:r>
    </w:p>
    <w:p w14:paraId="57B3C50A">
      <w:pPr>
        <w:spacing w:before="163" w:beforeLines="50"/>
        <w:jc w:val="center"/>
        <w:rPr>
          <w:rFonts w:eastAsia="黑体"/>
          <w:color w:val="auto"/>
          <w:sz w:val="23"/>
          <w:szCs w:val="24"/>
        </w:rPr>
      </w:pP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5.2</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12</w:t>
      </w:r>
      <w:r>
        <w:rPr>
          <w:rFonts w:eastAsia="黑体"/>
          <w:color w:val="auto"/>
          <w:sz w:val="23"/>
          <w:szCs w:val="24"/>
        </w:rPr>
        <w:fldChar w:fldCharType="end"/>
      </w:r>
      <w:r>
        <w:rPr>
          <w:rFonts w:hint="eastAsia" w:eastAsia="黑体"/>
          <w:color w:val="auto"/>
          <w:sz w:val="23"/>
          <w:szCs w:val="24"/>
        </w:rPr>
        <w:t xml:space="preserve"> </w:t>
      </w:r>
      <w:r>
        <w:rPr>
          <w:rFonts w:eastAsia="黑体"/>
          <w:color w:val="auto"/>
          <w:sz w:val="23"/>
          <w:szCs w:val="24"/>
        </w:rPr>
        <w:t xml:space="preserve">  非正常污染源参数一览表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1886"/>
        <w:gridCol w:w="1658"/>
        <w:gridCol w:w="734"/>
        <w:gridCol w:w="717"/>
        <w:gridCol w:w="571"/>
        <w:gridCol w:w="713"/>
        <w:gridCol w:w="859"/>
        <w:gridCol w:w="859"/>
        <w:gridCol w:w="787"/>
      </w:tblGrid>
      <w:tr w14:paraId="3F9FD67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73" w:type="pct"/>
            <w:vMerge w:val="restart"/>
            <w:tcBorders>
              <w:top w:val="single" w:color="000000" w:sz="8" w:space="0"/>
              <w:left w:val="single" w:color="000000" w:sz="8" w:space="0"/>
              <w:bottom w:val="single" w:color="000000" w:sz="2" w:space="0"/>
              <w:right w:val="single" w:color="000000" w:sz="2" w:space="0"/>
            </w:tcBorders>
            <w:vAlign w:val="center"/>
          </w:tcPr>
          <w:p w14:paraId="269B0440">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非正常排放源</w:t>
            </w:r>
          </w:p>
        </w:tc>
        <w:tc>
          <w:tcPr>
            <w:tcW w:w="944" w:type="pct"/>
            <w:vMerge w:val="restart"/>
            <w:tcBorders>
              <w:top w:val="single" w:color="000000" w:sz="8" w:space="0"/>
              <w:left w:val="single" w:color="000000" w:sz="2" w:space="0"/>
              <w:bottom w:val="single" w:color="000000" w:sz="2" w:space="0"/>
              <w:right w:val="single" w:color="000000" w:sz="2" w:space="0"/>
            </w:tcBorders>
            <w:vAlign w:val="center"/>
          </w:tcPr>
          <w:p w14:paraId="23FEC925">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非正常排放原因</w:t>
            </w:r>
          </w:p>
        </w:tc>
        <w:tc>
          <w:tcPr>
            <w:tcW w:w="2046" w:type="pct"/>
            <w:gridSpan w:val="5"/>
            <w:tcBorders>
              <w:top w:val="single" w:color="000000" w:sz="8" w:space="0"/>
              <w:left w:val="single" w:color="000000" w:sz="2" w:space="0"/>
              <w:bottom w:val="single" w:color="000000" w:sz="2" w:space="0"/>
              <w:right w:val="single" w:color="000000" w:sz="2" w:space="0"/>
            </w:tcBorders>
            <w:vAlign w:val="center"/>
          </w:tcPr>
          <w:p w14:paraId="00774545">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污染物非正常排放速率</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kg/h</w:t>
            </w:r>
            <w:r>
              <w:rPr>
                <w:rFonts w:hint="eastAsia" w:ascii="宋体" w:hAnsi="宋体" w:eastAsia="Times New Roman" w:cs="宋体"/>
                <w:color w:val="auto"/>
                <w:sz w:val="21"/>
                <w:szCs w:val="21"/>
              </w:rPr>
              <w:t>）</w:t>
            </w:r>
          </w:p>
        </w:tc>
        <w:tc>
          <w:tcPr>
            <w:tcW w:w="489" w:type="pct"/>
            <w:vMerge w:val="restart"/>
            <w:tcBorders>
              <w:top w:val="single" w:color="000000" w:sz="8" w:space="0"/>
              <w:left w:val="single" w:color="000000" w:sz="2" w:space="0"/>
              <w:bottom w:val="single" w:color="000000" w:sz="2" w:space="0"/>
              <w:right w:val="single" w:color="000000" w:sz="2" w:space="0"/>
            </w:tcBorders>
            <w:vAlign w:val="center"/>
          </w:tcPr>
          <w:p w14:paraId="7AA91DB6">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单次持续时间</w:t>
            </w:r>
            <w:r>
              <w:rPr>
                <w:rFonts w:eastAsia="Times New Roman"/>
                <w:color w:val="auto"/>
                <w:sz w:val="21"/>
                <w:szCs w:val="21"/>
              </w:rPr>
              <w:t>/h</w:t>
            </w:r>
          </w:p>
        </w:tc>
        <w:tc>
          <w:tcPr>
            <w:tcW w:w="448" w:type="pct"/>
            <w:vMerge w:val="restart"/>
            <w:tcBorders>
              <w:top w:val="single" w:color="000000" w:sz="8" w:space="0"/>
              <w:left w:val="single" w:color="000000" w:sz="2" w:space="0"/>
              <w:bottom w:val="single" w:color="000000" w:sz="2" w:space="0"/>
              <w:right w:val="single" w:color="000000" w:sz="8" w:space="0"/>
            </w:tcBorders>
            <w:vAlign w:val="center"/>
          </w:tcPr>
          <w:p w14:paraId="44E5D16B">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年发生频次</w:t>
            </w:r>
            <w:r>
              <w:rPr>
                <w:rFonts w:eastAsia="Times New Roman"/>
                <w:color w:val="auto"/>
                <w:sz w:val="21"/>
                <w:szCs w:val="21"/>
              </w:rPr>
              <w:t>/</w:t>
            </w:r>
            <w:r>
              <w:rPr>
                <w:rFonts w:hint="eastAsia" w:ascii="宋体" w:hAnsi="宋体" w:eastAsia="Times New Roman" w:cs="宋体"/>
                <w:color w:val="auto"/>
                <w:sz w:val="21"/>
                <w:szCs w:val="21"/>
              </w:rPr>
              <w:t>次</w:t>
            </w:r>
          </w:p>
        </w:tc>
      </w:tr>
      <w:tr w14:paraId="16CC9F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73" w:type="pct"/>
            <w:vMerge w:val="continue"/>
            <w:tcBorders>
              <w:top w:val="single" w:color="000000" w:sz="8" w:space="0"/>
              <w:left w:val="single" w:color="000000" w:sz="8" w:space="0"/>
              <w:bottom w:val="single" w:color="000000" w:sz="2" w:space="0"/>
              <w:right w:val="single" w:color="000000" w:sz="2" w:space="0"/>
            </w:tcBorders>
            <w:vAlign w:val="center"/>
          </w:tcPr>
          <w:p w14:paraId="71F2FF26">
            <w:pPr>
              <w:widowControl w:val="0"/>
              <w:spacing w:line="360" w:lineRule="exact"/>
              <w:jc w:val="center"/>
              <w:rPr>
                <w:rFonts w:eastAsia="Times New Roman"/>
                <w:color w:val="auto"/>
                <w:sz w:val="21"/>
                <w:szCs w:val="21"/>
              </w:rPr>
            </w:pPr>
          </w:p>
        </w:tc>
        <w:tc>
          <w:tcPr>
            <w:tcW w:w="944" w:type="pct"/>
            <w:vMerge w:val="continue"/>
            <w:tcBorders>
              <w:top w:val="single" w:color="000000" w:sz="8" w:space="0"/>
              <w:left w:val="single" w:color="000000" w:sz="2" w:space="0"/>
              <w:bottom w:val="single" w:color="000000" w:sz="2" w:space="0"/>
              <w:right w:val="single" w:color="000000" w:sz="2" w:space="0"/>
            </w:tcBorders>
            <w:vAlign w:val="center"/>
          </w:tcPr>
          <w:p w14:paraId="12333AEF">
            <w:pPr>
              <w:widowControl w:val="0"/>
              <w:spacing w:line="360" w:lineRule="exact"/>
              <w:jc w:val="center"/>
              <w:rPr>
                <w:rFonts w:eastAsia="Times New Roman"/>
                <w:color w:val="auto"/>
                <w:sz w:val="21"/>
                <w:szCs w:val="21"/>
              </w:rPr>
            </w:pPr>
          </w:p>
        </w:tc>
        <w:tc>
          <w:tcPr>
            <w:tcW w:w="418" w:type="pct"/>
            <w:tcBorders>
              <w:top w:val="single" w:color="000000" w:sz="2" w:space="0"/>
              <w:left w:val="single" w:color="000000" w:sz="2" w:space="0"/>
              <w:bottom w:val="single" w:color="000000" w:sz="2" w:space="0"/>
              <w:right w:val="single" w:color="000000" w:sz="2" w:space="0"/>
            </w:tcBorders>
            <w:vAlign w:val="center"/>
          </w:tcPr>
          <w:p w14:paraId="5268AC7A">
            <w:pPr>
              <w:widowControl w:val="0"/>
              <w:spacing w:line="360" w:lineRule="exact"/>
              <w:jc w:val="center"/>
              <w:rPr>
                <w:rFonts w:eastAsiaTheme="minorEastAsia"/>
                <w:color w:val="auto"/>
                <w:sz w:val="21"/>
                <w:szCs w:val="21"/>
              </w:rPr>
            </w:pPr>
            <w:r>
              <w:rPr>
                <w:rFonts w:eastAsia="Times New Roman"/>
                <w:color w:val="auto"/>
                <w:sz w:val="21"/>
                <w:szCs w:val="21"/>
              </w:rPr>
              <w:t>NO</w:t>
            </w:r>
            <w:r>
              <w:rPr>
                <w:rFonts w:hint="eastAsia" w:eastAsiaTheme="minorEastAsia"/>
                <w:color w:val="auto"/>
                <w:sz w:val="21"/>
                <w:szCs w:val="21"/>
              </w:rPr>
              <w:t>x</w:t>
            </w:r>
          </w:p>
        </w:tc>
        <w:tc>
          <w:tcPr>
            <w:tcW w:w="408" w:type="pct"/>
            <w:tcBorders>
              <w:top w:val="single" w:color="000000" w:sz="2" w:space="0"/>
              <w:left w:val="single" w:color="000000" w:sz="2" w:space="0"/>
              <w:bottom w:val="single" w:color="000000" w:sz="2" w:space="0"/>
              <w:right w:val="single" w:color="000000" w:sz="2" w:space="0"/>
            </w:tcBorders>
            <w:vAlign w:val="center"/>
          </w:tcPr>
          <w:p w14:paraId="14ADB35E">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颗粒物</w:t>
            </w:r>
          </w:p>
        </w:tc>
        <w:tc>
          <w:tcPr>
            <w:tcW w:w="325" w:type="pct"/>
            <w:tcBorders>
              <w:top w:val="single" w:color="000000" w:sz="2" w:space="0"/>
              <w:left w:val="single" w:color="000000" w:sz="2" w:space="0"/>
              <w:bottom w:val="single" w:color="000000" w:sz="2" w:space="0"/>
              <w:right w:val="single" w:color="000000" w:sz="2" w:space="0"/>
            </w:tcBorders>
            <w:vAlign w:val="center"/>
          </w:tcPr>
          <w:p w14:paraId="66C6D7F7">
            <w:pPr>
              <w:widowControl w:val="0"/>
              <w:spacing w:line="360" w:lineRule="exact"/>
              <w:jc w:val="center"/>
              <w:rPr>
                <w:rFonts w:eastAsia="Times New Roman"/>
                <w:color w:val="auto"/>
                <w:sz w:val="21"/>
                <w:szCs w:val="21"/>
              </w:rPr>
            </w:pPr>
            <w:r>
              <w:rPr>
                <w:rFonts w:hint="eastAsia" w:eastAsia="Times New Roman"/>
                <w:color w:val="auto"/>
                <w:sz w:val="21"/>
                <w:szCs w:val="21"/>
              </w:rPr>
              <w:t>NH</w:t>
            </w:r>
            <w:r>
              <w:rPr>
                <w:rFonts w:hint="eastAsia" w:eastAsia="Times New Roman"/>
                <w:color w:val="auto"/>
                <w:sz w:val="21"/>
                <w:szCs w:val="21"/>
                <w:vertAlign w:val="subscript"/>
              </w:rPr>
              <w:t>3</w:t>
            </w:r>
          </w:p>
        </w:tc>
        <w:tc>
          <w:tcPr>
            <w:tcW w:w="406" w:type="pct"/>
            <w:tcBorders>
              <w:top w:val="single" w:color="000000" w:sz="2" w:space="0"/>
              <w:left w:val="single" w:color="000000" w:sz="2" w:space="0"/>
              <w:bottom w:val="single" w:color="000000" w:sz="2" w:space="0"/>
              <w:right w:val="single" w:color="000000" w:sz="2" w:space="0"/>
            </w:tcBorders>
            <w:vAlign w:val="center"/>
          </w:tcPr>
          <w:p w14:paraId="75580F1F">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镍及其化合物</w:t>
            </w:r>
          </w:p>
        </w:tc>
        <w:tc>
          <w:tcPr>
            <w:tcW w:w="489" w:type="pct"/>
            <w:tcBorders>
              <w:top w:val="single" w:color="000000" w:sz="2" w:space="0"/>
              <w:left w:val="single" w:color="000000" w:sz="2" w:space="0"/>
              <w:bottom w:val="single" w:color="000000" w:sz="2" w:space="0"/>
              <w:right w:val="single" w:color="000000" w:sz="2" w:space="0"/>
            </w:tcBorders>
            <w:vAlign w:val="center"/>
          </w:tcPr>
          <w:p w14:paraId="4E4903C9">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锰及其化合物</w:t>
            </w:r>
          </w:p>
        </w:tc>
        <w:tc>
          <w:tcPr>
            <w:tcW w:w="489" w:type="pct"/>
            <w:vMerge w:val="continue"/>
            <w:tcBorders>
              <w:top w:val="single" w:color="000000" w:sz="8" w:space="0"/>
              <w:left w:val="single" w:color="000000" w:sz="2" w:space="0"/>
              <w:bottom w:val="single" w:color="000000" w:sz="2" w:space="0"/>
              <w:right w:val="single" w:color="000000" w:sz="2" w:space="0"/>
            </w:tcBorders>
            <w:vAlign w:val="center"/>
          </w:tcPr>
          <w:p w14:paraId="622302AB">
            <w:pPr>
              <w:widowControl w:val="0"/>
              <w:spacing w:line="360" w:lineRule="exact"/>
              <w:jc w:val="center"/>
              <w:rPr>
                <w:rFonts w:eastAsia="Times New Roman"/>
                <w:color w:val="auto"/>
                <w:sz w:val="21"/>
                <w:szCs w:val="21"/>
              </w:rPr>
            </w:pPr>
          </w:p>
        </w:tc>
        <w:tc>
          <w:tcPr>
            <w:tcW w:w="448" w:type="pct"/>
            <w:vMerge w:val="continue"/>
            <w:tcBorders>
              <w:top w:val="single" w:color="000000" w:sz="8" w:space="0"/>
              <w:left w:val="single" w:color="000000" w:sz="2" w:space="0"/>
              <w:bottom w:val="single" w:color="000000" w:sz="2" w:space="0"/>
              <w:right w:val="single" w:color="000000" w:sz="8" w:space="0"/>
            </w:tcBorders>
            <w:vAlign w:val="center"/>
          </w:tcPr>
          <w:p w14:paraId="742A535A">
            <w:pPr>
              <w:widowControl w:val="0"/>
              <w:spacing w:line="360" w:lineRule="exact"/>
              <w:jc w:val="center"/>
              <w:rPr>
                <w:rFonts w:eastAsia="Times New Roman"/>
                <w:color w:val="auto"/>
                <w:sz w:val="21"/>
                <w:szCs w:val="21"/>
              </w:rPr>
            </w:pPr>
          </w:p>
        </w:tc>
      </w:tr>
      <w:tr w14:paraId="7E03465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73" w:type="pct"/>
            <w:tcBorders>
              <w:top w:val="single" w:color="000000" w:sz="2" w:space="0"/>
              <w:left w:val="single" w:color="000000" w:sz="8" w:space="0"/>
              <w:bottom w:val="single" w:color="000000" w:sz="8" w:space="0"/>
              <w:right w:val="single" w:color="000000" w:sz="2" w:space="0"/>
            </w:tcBorders>
            <w:vAlign w:val="center"/>
          </w:tcPr>
          <w:p w14:paraId="431D4749">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催化剂生产焙烧废气总排口</w:t>
            </w:r>
          </w:p>
        </w:tc>
        <w:tc>
          <w:tcPr>
            <w:tcW w:w="944" w:type="pct"/>
            <w:tcBorders>
              <w:top w:val="single" w:color="000000" w:sz="2" w:space="0"/>
              <w:left w:val="single" w:color="000000" w:sz="2" w:space="0"/>
              <w:bottom w:val="single" w:color="000000" w:sz="8" w:space="0"/>
              <w:right w:val="single" w:color="000000" w:sz="2" w:space="0"/>
            </w:tcBorders>
            <w:vAlign w:val="center"/>
          </w:tcPr>
          <w:p w14:paraId="5544943C">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脱硝装置故障，效率为</w:t>
            </w:r>
            <w:r>
              <w:rPr>
                <w:rFonts w:eastAsia="Times New Roman"/>
                <w:color w:val="auto"/>
                <w:sz w:val="21"/>
                <w:szCs w:val="21"/>
              </w:rPr>
              <w:t>0</w:t>
            </w:r>
          </w:p>
        </w:tc>
        <w:tc>
          <w:tcPr>
            <w:tcW w:w="418" w:type="pct"/>
            <w:tcBorders>
              <w:top w:val="single" w:color="000000" w:sz="2" w:space="0"/>
              <w:left w:val="single" w:color="000000" w:sz="2" w:space="0"/>
              <w:bottom w:val="single" w:color="000000" w:sz="8" w:space="0"/>
              <w:right w:val="single" w:color="000000" w:sz="2" w:space="0"/>
            </w:tcBorders>
            <w:noWrap/>
            <w:vAlign w:val="center"/>
          </w:tcPr>
          <w:p w14:paraId="42F79E09">
            <w:pPr>
              <w:widowControl w:val="0"/>
              <w:spacing w:line="360" w:lineRule="exact"/>
              <w:jc w:val="center"/>
              <w:rPr>
                <w:rFonts w:eastAsia="Times New Roman"/>
                <w:color w:val="auto"/>
                <w:sz w:val="21"/>
                <w:szCs w:val="21"/>
              </w:rPr>
            </w:pPr>
            <w:r>
              <w:rPr>
                <w:rFonts w:eastAsia="Times New Roman"/>
                <w:color w:val="auto"/>
                <w:sz w:val="21"/>
                <w:szCs w:val="21"/>
              </w:rPr>
              <w:t>4.94</w:t>
            </w:r>
          </w:p>
        </w:tc>
        <w:tc>
          <w:tcPr>
            <w:tcW w:w="408" w:type="pct"/>
            <w:tcBorders>
              <w:top w:val="single" w:color="000000" w:sz="2" w:space="0"/>
              <w:left w:val="single" w:color="000000" w:sz="2" w:space="0"/>
              <w:bottom w:val="single" w:color="000000" w:sz="8" w:space="0"/>
              <w:right w:val="single" w:color="000000" w:sz="2" w:space="0"/>
            </w:tcBorders>
            <w:noWrap/>
            <w:vAlign w:val="center"/>
          </w:tcPr>
          <w:p w14:paraId="307689C0">
            <w:pPr>
              <w:widowControl w:val="0"/>
              <w:spacing w:line="360" w:lineRule="exact"/>
              <w:jc w:val="center"/>
              <w:rPr>
                <w:rFonts w:eastAsiaTheme="minorEastAsia"/>
                <w:color w:val="auto"/>
                <w:sz w:val="21"/>
                <w:szCs w:val="21"/>
              </w:rPr>
            </w:pPr>
            <w:r>
              <w:rPr>
                <w:rFonts w:eastAsia="Times New Roman"/>
                <w:color w:val="auto"/>
                <w:sz w:val="21"/>
                <w:szCs w:val="21"/>
              </w:rPr>
              <w:t>0.</w:t>
            </w:r>
            <w:r>
              <w:rPr>
                <w:rFonts w:hint="eastAsia" w:eastAsia="Times New Roman"/>
                <w:color w:val="auto"/>
                <w:sz w:val="21"/>
                <w:szCs w:val="21"/>
              </w:rPr>
              <w:t>0</w:t>
            </w:r>
            <w:r>
              <w:rPr>
                <w:rFonts w:hint="eastAsia" w:eastAsiaTheme="minorEastAsia"/>
                <w:color w:val="auto"/>
                <w:sz w:val="21"/>
                <w:szCs w:val="21"/>
              </w:rPr>
              <w:t>2</w:t>
            </w:r>
          </w:p>
        </w:tc>
        <w:tc>
          <w:tcPr>
            <w:tcW w:w="325" w:type="pct"/>
            <w:tcBorders>
              <w:top w:val="single" w:color="000000" w:sz="2" w:space="0"/>
              <w:left w:val="single" w:color="000000" w:sz="2" w:space="0"/>
              <w:bottom w:val="single" w:color="000000" w:sz="8" w:space="0"/>
              <w:right w:val="single" w:color="000000" w:sz="2" w:space="0"/>
            </w:tcBorders>
            <w:vAlign w:val="center"/>
          </w:tcPr>
          <w:p w14:paraId="4E8F535B">
            <w:pPr>
              <w:widowControl w:val="0"/>
              <w:spacing w:line="360" w:lineRule="exact"/>
              <w:jc w:val="center"/>
              <w:rPr>
                <w:rFonts w:eastAsia="Times New Roman"/>
                <w:color w:val="auto"/>
                <w:sz w:val="21"/>
                <w:szCs w:val="21"/>
              </w:rPr>
            </w:pPr>
            <w:r>
              <w:rPr>
                <w:rFonts w:eastAsia="Times New Roman"/>
                <w:color w:val="auto"/>
                <w:sz w:val="21"/>
                <w:szCs w:val="21"/>
              </w:rPr>
              <w:t>0.01</w:t>
            </w:r>
          </w:p>
        </w:tc>
        <w:tc>
          <w:tcPr>
            <w:tcW w:w="406" w:type="pct"/>
            <w:tcBorders>
              <w:top w:val="single" w:color="000000" w:sz="2" w:space="0"/>
              <w:left w:val="single" w:color="000000" w:sz="2" w:space="0"/>
              <w:bottom w:val="single" w:color="000000" w:sz="8" w:space="0"/>
              <w:right w:val="single" w:color="000000" w:sz="2" w:space="0"/>
            </w:tcBorders>
            <w:vAlign w:val="center"/>
          </w:tcPr>
          <w:p w14:paraId="6B7DA445">
            <w:pPr>
              <w:widowControl w:val="0"/>
              <w:spacing w:line="360" w:lineRule="exact"/>
              <w:jc w:val="center"/>
              <w:rPr>
                <w:rFonts w:eastAsia="Times New Roman"/>
                <w:color w:val="auto"/>
                <w:sz w:val="21"/>
                <w:szCs w:val="21"/>
              </w:rPr>
            </w:pPr>
            <w:r>
              <w:rPr>
                <w:rFonts w:eastAsia="Times New Roman"/>
                <w:color w:val="auto"/>
                <w:sz w:val="21"/>
                <w:szCs w:val="21"/>
              </w:rPr>
              <w:t>0.0001</w:t>
            </w:r>
          </w:p>
        </w:tc>
        <w:tc>
          <w:tcPr>
            <w:tcW w:w="489" w:type="pct"/>
            <w:tcBorders>
              <w:top w:val="single" w:color="000000" w:sz="2" w:space="0"/>
              <w:left w:val="single" w:color="000000" w:sz="2" w:space="0"/>
              <w:bottom w:val="single" w:color="000000" w:sz="8" w:space="0"/>
              <w:right w:val="single" w:color="000000" w:sz="2" w:space="0"/>
            </w:tcBorders>
            <w:vAlign w:val="center"/>
          </w:tcPr>
          <w:p w14:paraId="4E13DF94">
            <w:pPr>
              <w:widowControl w:val="0"/>
              <w:spacing w:line="360" w:lineRule="exact"/>
              <w:jc w:val="center"/>
              <w:rPr>
                <w:rFonts w:eastAsiaTheme="minorEastAsia"/>
                <w:color w:val="auto"/>
                <w:sz w:val="21"/>
                <w:szCs w:val="21"/>
              </w:rPr>
            </w:pPr>
            <w:r>
              <w:rPr>
                <w:rFonts w:eastAsia="Times New Roman"/>
                <w:color w:val="auto"/>
                <w:sz w:val="21"/>
                <w:szCs w:val="21"/>
              </w:rPr>
              <w:t>0.000</w:t>
            </w:r>
            <w:r>
              <w:rPr>
                <w:rFonts w:hint="eastAsia" w:eastAsiaTheme="minorEastAsia"/>
                <w:color w:val="auto"/>
                <w:sz w:val="21"/>
                <w:szCs w:val="21"/>
              </w:rPr>
              <w:t>1</w:t>
            </w:r>
          </w:p>
        </w:tc>
        <w:tc>
          <w:tcPr>
            <w:tcW w:w="489" w:type="pct"/>
            <w:tcBorders>
              <w:top w:val="single" w:color="000000" w:sz="2" w:space="0"/>
              <w:left w:val="single" w:color="000000" w:sz="2" w:space="0"/>
              <w:bottom w:val="single" w:color="000000" w:sz="8" w:space="0"/>
              <w:right w:val="single" w:color="000000" w:sz="2" w:space="0"/>
            </w:tcBorders>
            <w:noWrap/>
            <w:vAlign w:val="center"/>
          </w:tcPr>
          <w:p w14:paraId="6B751BFC">
            <w:pPr>
              <w:widowControl w:val="0"/>
              <w:spacing w:line="360" w:lineRule="exact"/>
              <w:jc w:val="center"/>
              <w:rPr>
                <w:rFonts w:eastAsia="Times New Roman"/>
                <w:color w:val="auto"/>
                <w:sz w:val="21"/>
                <w:szCs w:val="21"/>
              </w:rPr>
            </w:pPr>
            <w:r>
              <w:rPr>
                <w:rFonts w:eastAsia="Times New Roman"/>
                <w:color w:val="auto"/>
                <w:sz w:val="21"/>
                <w:szCs w:val="21"/>
              </w:rPr>
              <w:t>0.5</w:t>
            </w:r>
          </w:p>
        </w:tc>
        <w:tc>
          <w:tcPr>
            <w:tcW w:w="448" w:type="pct"/>
            <w:tcBorders>
              <w:top w:val="single" w:color="000000" w:sz="2" w:space="0"/>
              <w:left w:val="single" w:color="000000" w:sz="2" w:space="0"/>
              <w:bottom w:val="single" w:color="000000" w:sz="8" w:space="0"/>
              <w:right w:val="single" w:color="000000" w:sz="8" w:space="0"/>
            </w:tcBorders>
            <w:noWrap/>
            <w:vAlign w:val="center"/>
          </w:tcPr>
          <w:p w14:paraId="06BF8FFB">
            <w:pPr>
              <w:widowControl w:val="0"/>
              <w:spacing w:line="360" w:lineRule="exact"/>
              <w:jc w:val="center"/>
              <w:rPr>
                <w:rFonts w:eastAsia="Times New Roman"/>
                <w:color w:val="auto"/>
                <w:sz w:val="21"/>
                <w:szCs w:val="21"/>
              </w:rPr>
            </w:pPr>
            <w:r>
              <w:rPr>
                <w:rFonts w:eastAsia="Times New Roman"/>
                <w:color w:val="auto"/>
                <w:sz w:val="21"/>
                <w:szCs w:val="21"/>
              </w:rPr>
              <w:t>1</w:t>
            </w:r>
          </w:p>
        </w:tc>
      </w:tr>
      <w:bookmarkEnd w:id="296"/>
    </w:tbl>
    <w:p w14:paraId="5EAEF769">
      <w:pPr>
        <w:autoSpaceDE w:val="0"/>
        <w:autoSpaceDN w:val="0"/>
        <w:adjustRightInd w:val="0"/>
        <w:spacing w:line="240" w:lineRule="exact"/>
        <w:rPr>
          <w:rFonts w:ascii="黑体"/>
          <w:bCs/>
          <w:color w:val="auto"/>
          <w:sz w:val="24"/>
          <w:szCs w:val="24"/>
        </w:rPr>
      </w:pPr>
    </w:p>
    <w:p w14:paraId="795655C7">
      <w:pPr>
        <w:pStyle w:val="132"/>
        <w:rPr>
          <w:color w:val="auto"/>
        </w:rPr>
      </w:pPr>
      <w:r>
        <w:rPr>
          <w:rFonts w:hint="eastAsia"/>
          <w:color w:val="auto"/>
        </w:rPr>
        <w:t>（3）在建、拟建源</w:t>
      </w:r>
    </w:p>
    <w:p w14:paraId="00259CF2">
      <w:pPr>
        <w:pStyle w:val="132"/>
        <w:rPr>
          <w:color w:val="auto"/>
        </w:rPr>
      </w:pPr>
      <w:r>
        <w:rPr>
          <w:rFonts w:hint="eastAsia"/>
          <w:color w:val="auto"/>
        </w:rPr>
        <w:t>项目所在区域在建、拟建项目包括</w:t>
      </w:r>
      <w:r>
        <w:rPr>
          <w:color w:val="auto"/>
        </w:rPr>
        <w:t>新疆远洋金属材料科技有限公司年产4万吨高纯超细球形铝粉项目</w:t>
      </w:r>
      <w:r>
        <w:rPr>
          <w:rFonts w:hint="eastAsia"/>
          <w:color w:val="auto"/>
        </w:rPr>
        <w:t>、</w:t>
      </w:r>
      <w:r>
        <w:rPr>
          <w:color w:val="auto"/>
        </w:rPr>
        <w:t>新疆铂航铝业有限公司铝基新材料循环经济综合利用项目</w:t>
      </w:r>
      <w:r>
        <w:rPr>
          <w:rFonts w:hint="eastAsia"/>
          <w:color w:val="auto"/>
        </w:rPr>
        <w:t>，其他污染源废气排放情况见</w:t>
      </w:r>
      <w:r>
        <w:rPr>
          <w:color w:val="auto"/>
        </w:rPr>
        <w:t>表 5.2</w:t>
      </w:r>
      <w:r>
        <w:rPr>
          <w:rFonts w:hint="eastAsia"/>
          <w:color w:val="auto"/>
        </w:rPr>
        <w:t>-16和</w:t>
      </w:r>
      <w:r>
        <w:rPr>
          <w:color w:val="auto"/>
        </w:rPr>
        <w:t>表 5.2</w:t>
      </w:r>
      <w:r>
        <w:rPr>
          <w:rFonts w:hint="eastAsia"/>
          <w:color w:val="auto"/>
        </w:rPr>
        <w:t>-17。</w:t>
      </w:r>
    </w:p>
    <w:p w14:paraId="3E02A7E3">
      <w:pPr>
        <w:pStyle w:val="132"/>
        <w:rPr>
          <w:color w:val="auto"/>
        </w:rPr>
      </w:pPr>
      <w:r>
        <w:rPr>
          <w:rFonts w:hint="eastAsia"/>
          <w:color w:val="auto"/>
        </w:rPr>
        <w:t>（4）区域消减源</w:t>
      </w:r>
    </w:p>
    <w:p w14:paraId="06EF7D3F">
      <w:pPr>
        <w:pStyle w:val="132"/>
        <w:rPr>
          <w:color w:val="auto"/>
        </w:rPr>
      </w:pPr>
      <w:r>
        <w:rPr>
          <w:rFonts w:hint="eastAsia"/>
          <w:color w:val="auto"/>
        </w:rPr>
        <w:t>本项目区域削减源为河南村</w:t>
      </w:r>
      <w:r>
        <w:rPr>
          <w:color w:val="auto"/>
        </w:rPr>
        <w:t>燃煤供热设施拆改项目</w:t>
      </w:r>
      <w:r>
        <w:rPr>
          <w:rFonts w:hint="eastAsia"/>
          <w:color w:val="auto"/>
        </w:rPr>
        <w:t>。</w:t>
      </w:r>
    </w:p>
    <w:p w14:paraId="2CA48A38">
      <w:pPr>
        <w:spacing w:before="163" w:beforeLines="50"/>
        <w:jc w:val="center"/>
        <w:rPr>
          <w:rFonts w:eastAsia="黑体"/>
          <w:color w:val="auto"/>
          <w:sz w:val="23"/>
          <w:szCs w:val="24"/>
        </w:rPr>
      </w:pP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5.2</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13</w:t>
      </w:r>
      <w:r>
        <w:rPr>
          <w:rFonts w:eastAsia="黑体"/>
          <w:color w:val="auto"/>
          <w:sz w:val="23"/>
          <w:szCs w:val="24"/>
        </w:rPr>
        <w:fldChar w:fldCharType="end"/>
      </w:r>
      <w:r>
        <w:rPr>
          <w:rFonts w:hint="eastAsia" w:eastAsia="黑体"/>
          <w:color w:val="auto"/>
          <w:sz w:val="23"/>
          <w:szCs w:val="24"/>
        </w:rPr>
        <w:t xml:space="preserve"> </w:t>
      </w:r>
      <w:r>
        <w:rPr>
          <w:rFonts w:eastAsia="黑体"/>
          <w:color w:val="auto"/>
          <w:sz w:val="23"/>
          <w:szCs w:val="24"/>
        </w:rPr>
        <w:t xml:space="preserve">  </w:t>
      </w:r>
      <w:r>
        <w:rPr>
          <w:rFonts w:hint="eastAsia" w:eastAsia="黑体"/>
          <w:color w:val="auto"/>
          <w:sz w:val="23"/>
          <w:szCs w:val="24"/>
        </w:rPr>
        <w:t>削减源</w:t>
      </w:r>
      <w:r>
        <w:rPr>
          <w:rFonts w:eastAsia="黑体"/>
          <w:color w:val="auto"/>
          <w:sz w:val="23"/>
          <w:szCs w:val="24"/>
        </w:rPr>
        <w:t>参数一览表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3565"/>
        <w:gridCol w:w="2611"/>
        <w:gridCol w:w="2610"/>
      </w:tblGrid>
      <w:tr w14:paraId="18F67D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29" w:type="pct"/>
            <w:vMerge w:val="restart"/>
            <w:vAlign w:val="center"/>
          </w:tcPr>
          <w:p w14:paraId="3F573FE4">
            <w:pPr>
              <w:widowControl w:val="0"/>
              <w:spacing w:line="360" w:lineRule="exact"/>
              <w:jc w:val="center"/>
              <w:rPr>
                <w:color w:val="auto"/>
                <w:sz w:val="21"/>
                <w:szCs w:val="21"/>
              </w:rPr>
            </w:pPr>
            <w:r>
              <w:rPr>
                <w:rFonts w:hint="eastAsia"/>
                <w:color w:val="auto"/>
                <w:sz w:val="21"/>
                <w:szCs w:val="21"/>
              </w:rPr>
              <w:t>削减源名称</w:t>
            </w:r>
          </w:p>
        </w:tc>
        <w:tc>
          <w:tcPr>
            <w:tcW w:w="2971" w:type="pct"/>
            <w:gridSpan w:val="2"/>
            <w:vAlign w:val="center"/>
          </w:tcPr>
          <w:p w14:paraId="113AD47D">
            <w:pPr>
              <w:widowControl w:val="0"/>
              <w:spacing w:line="360" w:lineRule="exact"/>
              <w:jc w:val="center"/>
              <w:rPr>
                <w:color w:val="auto"/>
                <w:sz w:val="21"/>
                <w:szCs w:val="21"/>
              </w:rPr>
            </w:pPr>
            <w:r>
              <w:rPr>
                <w:rFonts w:hint="eastAsia" w:ascii="宋体" w:hAnsi="宋体" w:cs="宋体"/>
                <w:color w:val="auto"/>
                <w:sz w:val="21"/>
                <w:szCs w:val="21"/>
              </w:rPr>
              <w:t>污染物排放速率</w:t>
            </w:r>
            <w:r>
              <w:rPr>
                <w:color w:val="auto"/>
                <w:sz w:val="21"/>
                <w:szCs w:val="21"/>
              </w:rPr>
              <w:t>/</w:t>
            </w:r>
            <w:r>
              <w:rPr>
                <w:rFonts w:hint="eastAsia" w:ascii="宋体" w:hAnsi="宋体" w:cs="宋体"/>
                <w:color w:val="auto"/>
                <w:sz w:val="21"/>
                <w:szCs w:val="21"/>
              </w:rPr>
              <w:t>（</w:t>
            </w:r>
            <w:r>
              <w:rPr>
                <w:color w:val="auto"/>
                <w:sz w:val="21"/>
                <w:szCs w:val="21"/>
              </w:rPr>
              <w:t>kg/h</w:t>
            </w:r>
            <w:r>
              <w:rPr>
                <w:rFonts w:hint="eastAsia" w:ascii="宋体" w:hAnsi="宋体" w:cs="宋体"/>
                <w:color w:val="auto"/>
                <w:sz w:val="21"/>
                <w:szCs w:val="21"/>
              </w:rPr>
              <w:t>）</w:t>
            </w:r>
          </w:p>
        </w:tc>
      </w:tr>
      <w:tr w14:paraId="0DFD1A4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29" w:type="pct"/>
            <w:vMerge w:val="continue"/>
            <w:vAlign w:val="center"/>
          </w:tcPr>
          <w:p w14:paraId="4348CD20">
            <w:pPr>
              <w:widowControl w:val="0"/>
              <w:spacing w:line="360" w:lineRule="exact"/>
              <w:jc w:val="center"/>
              <w:rPr>
                <w:color w:val="auto"/>
                <w:sz w:val="21"/>
                <w:szCs w:val="21"/>
              </w:rPr>
            </w:pPr>
          </w:p>
        </w:tc>
        <w:tc>
          <w:tcPr>
            <w:tcW w:w="1486" w:type="pct"/>
            <w:vAlign w:val="center"/>
          </w:tcPr>
          <w:p w14:paraId="5AF22608">
            <w:pPr>
              <w:widowControl w:val="0"/>
              <w:spacing w:line="360" w:lineRule="exact"/>
              <w:jc w:val="center"/>
              <w:rPr>
                <w:color w:val="auto"/>
                <w:sz w:val="21"/>
                <w:szCs w:val="21"/>
              </w:rPr>
            </w:pPr>
            <w:r>
              <w:rPr>
                <w:rFonts w:hint="eastAsia"/>
                <w:color w:val="auto"/>
                <w:sz w:val="21"/>
                <w:szCs w:val="21"/>
              </w:rPr>
              <w:t>PM</w:t>
            </w:r>
            <w:r>
              <w:rPr>
                <w:rFonts w:hint="eastAsia"/>
                <w:color w:val="auto"/>
                <w:sz w:val="21"/>
                <w:szCs w:val="21"/>
                <w:vertAlign w:val="subscript"/>
              </w:rPr>
              <w:t>10</w:t>
            </w:r>
          </w:p>
        </w:tc>
        <w:tc>
          <w:tcPr>
            <w:tcW w:w="1486" w:type="pct"/>
            <w:vAlign w:val="center"/>
          </w:tcPr>
          <w:p w14:paraId="16A9DFD8">
            <w:pPr>
              <w:widowControl w:val="0"/>
              <w:spacing w:line="360" w:lineRule="exact"/>
              <w:jc w:val="center"/>
              <w:rPr>
                <w:color w:val="auto"/>
                <w:sz w:val="21"/>
                <w:szCs w:val="21"/>
              </w:rPr>
            </w:pPr>
            <w:r>
              <w:rPr>
                <w:rFonts w:hint="eastAsia"/>
                <w:color w:val="auto"/>
                <w:sz w:val="21"/>
                <w:szCs w:val="21"/>
              </w:rPr>
              <w:t>PM</w:t>
            </w:r>
            <w:r>
              <w:rPr>
                <w:rFonts w:hint="eastAsia"/>
                <w:color w:val="auto"/>
                <w:sz w:val="21"/>
                <w:szCs w:val="21"/>
                <w:vertAlign w:val="subscript"/>
              </w:rPr>
              <w:t>2.5</w:t>
            </w:r>
          </w:p>
        </w:tc>
      </w:tr>
      <w:tr w14:paraId="7D3B81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029" w:type="pct"/>
            <w:vAlign w:val="center"/>
          </w:tcPr>
          <w:p w14:paraId="41E57067">
            <w:pPr>
              <w:widowControl w:val="0"/>
              <w:spacing w:line="360" w:lineRule="exact"/>
              <w:jc w:val="center"/>
              <w:rPr>
                <w:color w:val="auto"/>
                <w:sz w:val="21"/>
                <w:szCs w:val="21"/>
              </w:rPr>
            </w:pPr>
            <w:r>
              <w:rPr>
                <w:rFonts w:hint="eastAsia"/>
                <w:color w:val="auto"/>
              </w:rPr>
              <w:t>河南村</w:t>
            </w:r>
            <w:r>
              <w:rPr>
                <w:color w:val="auto"/>
              </w:rPr>
              <w:t>燃煤供热设施拆改项目</w:t>
            </w:r>
          </w:p>
        </w:tc>
        <w:tc>
          <w:tcPr>
            <w:tcW w:w="1486" w:type="pct"/>
            <w:noWrap/>
            <w:vAlign w:val="center"/>
          </w:tcPr>
          <w:p w14:paraId="1A16071F">
            <w:pPr>
              <w:widowControl w:val="0"/>
              <w:spacing w:line="360" w:lineRule="exact"/>
              <w:jc w:val="center"/>
              <w:rPr>
                <w:rFonts w:eastAsiaTheme="minorEastAsia"/>
                <w:color w:val="auto"/>
                <w:sz w:val="21"/>
                <w:szCs w:val="21"/>
              </w:rPr>
            </w:pPr>
            <w:r>
              <w:rPr>
                <w:rFonts w:hint="eastAsia" w:eastAsiaTheme="minorEastAsia"/>
                <w:color w:val="auto"/>
                <w:sz w:val="21"/>
                <w:szCs w:val="21"/>
              </w:rPr>
              <w:t>1.412</w:t>
            </w:r>
          </w:p>
        </w:tc>
        <w:tc>
          <w:tcPr>
            <w:tcW w:w="1486" w:type="pct"/>
            <w:vAlign w:val="center"/>
          </w:tcPr>
          <w:p w14:paraId="5A1BF2B9">
            <w:pPr>
              <w:widowControl w:val="0"/>
              <w:spacing w:line="360" w:lineRule="exact"/>
              <w:jc w:val="center"/>
              <w:rPr>
                <w:rFonts w:eastAsiaTheme="minorEastAsia"/>
                <w:color w:val="auto"/>
                <w:sz w:val="21"/>
                <w:szCs w:val="21"/>
              </w:rPr>
            </w:pPr>
            <w:r>
              <w:rPr>
                <w:rFonts w:hint="eastAsia" w:eastAsiaTheme="minorEastAsia"/>
                <w:color w:val="auto"/>
                <w:sz w:val="21"/>
                <w:szCs w:val="21"/>
              </w:rPr>
              <w:t>0.7058</w:t>
            </w:r>
          </w:p>
        </w:tc>
      </w:tr>
    </w:tbl>
    <w:p w14:paraId="6EE29F66">
      <w:pPr>
        <w:pStyle w:val="1304"/>
        <w:rPr>
          <w:color w:val="auto"/>
        </w:rPr>
      </w:pPr>
    </w:p>
    <w:p w14:paraId="0709FEEC">
      <w:pPr>
        <w:rPr>
          <w:color w:val="auto"/>
          <w:sz w:val="24"/>
          <w:szCs w:val="24"/>
        </w:rPr>
        <w:sectPr>
          <w:type w:val="continuous"/>
          <w:pgSz w:w="11906" w:h="16838"/>
          <w:pgMar w:top="1440" w:right="1588" w:bottom="1389" w:left="1588" w:header="737" w:footer="822" w:gutter="0"/>
          <w:cols w:space="720" w:num="1"/>
          <w:docGrid w:type="lines" w:linePitch="326" w:charSpace="0"/>
        </w:sectPr>
      </w:pPr>
    </w:p>
    <w:p w14:paraId="258568BF">
      <w:pPr>
        <w:pStyle w:val="1060"/>
        <w:spacing w:before="163"/>
        <w:rPr>
          <w:color w:val="auto"/>
        </w:rPr>
      </w:pPr>
      <w:bookmarkStart w:id="297" w:name="_Ref220510716"/>
      <w:bookmarkEnd w:id="297"/>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14</w:t>
      </w:r>
      <w:r>
        <w:rPr>
          <w:color w:val="auto"/>
        </w:rPr>
        <w:fldChar w:fldCharType="end"/>
      </w:r>
      <w:r>
        <w:rPr>
          <w:rFonts w:hint="eastAsia"/>
          <w:color w:val="auto"/>
        </w:rPr>
        <w:t xml:space="preserve"> </w:t>
      </w:r>
      <w:r>
        <w:rPr>
          <w:color w:val="auto"/>
        </w:rPr>
        <w:t xml:space="preserve"> 项目点源参数表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350"/>
        <w:gridCol w:w="2060"/>
        <w:gridCol w:w="571"/>
        <w:gridCol w:w="571"/>
        <w:gridCol w:w="571"/>
        <w:gridCol w:w="713"/>
        <w:gridCol w:w="713"/>
        <w:gridCol w:w="999"/>
        <w:gridCol w:w="854"/>
        <w:gridCol w:w="571"/>
        <w:gridCol w:w="713"/>
        <w:gridCol w:w="713"/>
        <w:gridCol w:w="568"/>
        <w:gridCol w:w="881"/>
        <w:gridCol w:w="546"/>
        <w:gridCol w:w="851"/>
        <w:gridCol w:w="711"/>
        <w:gridCol w:w="762"/>
      </w:tblGrid>
      <w:tr w14:paraId="4C5B36F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vMerge w:val="restart"/>
            <w:tcBorders>
              <w:top w:val="single" w:color="000000" w:sz="8" w:space="0"/>
              <w:left w:val="single" w:color="000000" w:sz="8" w:space="0"/>
              <w:bottom w:val="single" w:color="000000" w:sz="2" w:space="0"/>
              <w:right w:val="single" w:color="000000" w:sz="2" w:space="0"/>
            </w:tcBorders>
            <w:vAlign w:val="center"/>
          </w:tcPr>
          <w:p w14:paraId="0A102608">
            <w:pPr>
              <w:pStyle w:val="129"/>
              <w:widowControl w:val="0"/>
              <w:rPr>
                <w:rFonts w:eastAsia="Times New Roman"/>
                <w:color w:val="auto"/>
              </w:rPr>
            </w:pPr>
            <w:r>
              <w:rPr>
                <w:rFonts w:eastAsia="Times New Roman"/>
                <w:color w:val="auto"/>
              </w:rPr>
              <w:t>编号</w:t>
            </w:r>
          </w:p>
        </w:tc>
        <w:tc>
          <w:tcPr>
            <w:tcW w:w="751" w:type="pct"/>
            <w:vMerge w:val="restart"/>
            <w:tcBorders>
              <w:top w:val="single" w:color="000000" w:sz="8" w:space="0"/>
              <w:left w:val="nil"/>
              <w:bottom w:val="single" w:color="000000" w:sz="2" w:space="0"/>
              <w:right w:val="single" w:color="000000" w:sz="2" w:space="0"/>
            </w:tcBorders>
            <w:vAlign w:val="center"/>
          </w:tcPr>
          <w:p w14:paraId="288FAEB0">
            <w:pPr>
              <w:pStyle w:val="129"/>
              <w:widowControl w:val="0"/>
              <w:rPr>
                <w:rFonts w:eastAsia="Times New Roman"/>
                <w:color w:val="auto"/>
              </w:rPr>
            </w:pPr>
            <w:r>
              <w:rPr>
                <w:rFonts w:eastAsia="Times New Roman"/>
                <w:color w:val="auto"/>
              </w:rPr>
              <w:t>点源名称</w:t>
            </w:r>
          </w:p>
        </w:tc>
        <w:tc>
          <w:tcPr>
            <w:tcW w:w="416" w:type="pct"/>
            <w:gridSpan w:val="2"/>
            <w:tcBorders>
              <w:top w:val="single" w:color="000000" w:sz="8" w:space="0"/>
              <w:left w:val="nil"/>
              <w:bottom w:val="single" w:color="000000" w:sz="2" w:space="0"/>
              <w:right w:val="single" w:color="000000" w:sz="2" w:space="0"/>
            </w:tcBorders>
            <w:vAlign w:val="center"/>
          </w:tcPr>
          <w:p w14:paraId="2B2D6F1B">
            <w:pPr>
              <w:pStyle w:val="129"/>
              <w:widowControl w:val="0"/>
              <w:rPr>
                <w:rFonts w:eastAsia="Times New Roman"/>
                <w:color w:val="auto"/>
              </w:rPr>
            </w:pPr>
            <w:r>
              <w:rPr>
                <w:rFonts w:eastAsia="Times New Roman"/>
                <w:color w:val="auto"/>
              </w:rPr>
              <w:t>排气筒底部中心坐标/m</w:t>
            </w:r>
          </w:p>
        </w:tc>
        <w:tc>
          <w:tcPr>
            <w:tcW w:w="208" w:type="pct"/>
            <w:vMerge w:val="restart"/>
            <w:tcBorders>
              <w:top w:val="single" w:color="000000" w:sz="8" w:space="0"/>
              <w:left w:val="nil"/>
              <w:bottom w:val="single" w:color="000000" w:sz="2" w:space="0"/>
              <w:right w:val="single" w:color="000000" w:sz="2" w:space="0"/>
            </w:tcBorders>
            <w:vAlign w:val="center"/>
          </w:tcPr>
          <w:p w14:paraId="090C1822">
            <w:pPr>
              <w:pStyle w:val="129"/>
              <w:widowControl w:val="0"/>
              <w:rPr>
                <w:rFonts w:eastAsia="Times New Roman"/>
                <w:color w:val="auto"/>
              </w:rPr>
            </w:pPr>
            <w:r>
              <w:rPr>
                <w:rFonts w:eastAsia="Times New Roman"/>
                <w:color w:val="auto"/>
              </w:rPr>
              <w:t>排气筒高度/m</w:t>
            </w:r>
          </w:p>
        </w:tc>
        <w:tc>
          <w:tcPr>
            <w:tcW w:w="260" w:type="pct"/>
            <w:vMerge w:val="restart"/>
            <w:tcBorders>
              <w:top w:val="single" w:color="000000" w:sz="8" w:space="0"/>
              <w:left w:val="nil"/>
              <w:bottom w:val="single" w:color="000000" w:sz="2" w:space="0"/>
              <w:right w:val="single" w:color="000000" w:sz="2" w:space="0"/>
            </w:tcBorders>
            <w:vAlign w:val="center"/>
          </w:tcPr>
          <w:p w14:paraId="3006821B">
            <w:pPr>
              <w:pStyle w:val="129"/>
              <w:widowControl w:val="0"/>
              <w:rPr>
                <w:rFonts w:eastAsia="Times New Roman"/>
                <w:color w:val="auto"/>
              </w:rPr>
            </w:pPr>
            <w:r>
              <w:rPr>
                <w:rFonts w:eastAsia="Times New Roman"/>
                <w:color w:val="auto"/>
              </w:rPr>
              <w:t>排气筒出口内径/m</w:t>
            </w:r>
          </w:p>
        </w:tc>
        <w:tc>
          <w:tcPr>
            <w:tcW w:w="260" w:type="pct"/>
            <w:vMerge w:val="restart"/>
            <w:tcBorders>
              <w:top w:val="single" w:color="000000" w:sz="8" w:space="0"/>
              <w:left w:val="nil"/>
              <w:bottom w:val="single" w:color="000000" w:sz="2" w:space="0"/>
              <w:right w:val="single" w:color="000000" w:sz="2" w:space="0"/>
            </w:tcBorders>
            <w:vAlign w:val="center"/>
          </w:tcPr>
          <w:p w14:paraId="04BA10AA">
            <w:pPr>
              <w:pStyle w:val="129"/>
              <w:widowControl w:val="0"/>
              <w:rPr>
                <w:rFonts w:eastAsia="Times New Roman"/>
                <w:color w:val="auto"/>
              </w:rPr>
            </w:pPr>
            <w:r>
              <w:rPr>
                <w:rFonts w:eastAsia="Times New Roman"/>
                <w:color w:val="auto"/>
              </w:rPr>
              <w:t>烟气温度/℃</w:t>
            </w:r>
          </w:p>
        </w:tc>
        <w:tc>
          <w:tcPr>
            <w:tcW w:w="364" w:type="pct"/>
            <w:vMerge w:val="restart"/>
            <w:tcBorders>
              <w:top w:val="single" w:color="000000" w:sz="8" w:space="0"/>
              <w:left w:val="nil"/>
              <w:bottom w:val="single" w:color="000000" w:sz="2" w:space="0"/>
              <w:right w:val="single" w:color="000000" w:sz="2" w:space="0"/>
            </w:tcBorders>
            <w:vAlign w:val="center"/>
          </w:tcPr>
          <w:p w14:paraId="711E0ED7">
            <w:pPr>
              <w:pStyle w:val="129"/>
              <w:widowControl w:val="0"/>
              <w:rPr>
                <w:rFonts w:eastAsiaTheme="minorEastAsia"/>
                <w:color w:val="auto"/>
              </w:rPr>
            </w:pPr>
            <w:r>
              <w:rPr>
                <w:rFonts w:eastAsia="Times New Roman"/>
                <w:color w:val="auto"/>
              </w:rPr>
              <w:t>烟气流量/</w:t>
            </w:r>
          </w:p>
          <w:p w14:paraId="292C3A14">
            <w:pPr>
              <w:pStyle w:val="129"/>
              <w:widowControl w:val="0"/>
              <w:rPr>
                <w:rFonts w:eastAsia="Times New Roman"/>
                <w:color w:val="auto"/>
              </w:rPr>
            </w:pPr>
            <w:r>
              <w:rPr>
                <w:rFonts w:eastAsia="Times New Roman"/>
                <w:color w:val="auto"/>
              </w:rPr>
              <w:t>Nm</w:t>
            </w:r>
            <w:r>
              <w:rPr>
                <w:rFonts w:eastAsia="Times New Roman"/>
                <w:color w:val="auto"/>
                <w:vertAlign w:val="superscript"/>
              </w:rPr>
              <w:t>3</w:t>
            </w:r>
            <w:r>
              <w:rPr>
                <w:rFonts w:eastAsia="Times New Roman"/>
                <w:color w:val="auto"/>
              </w:rPr>
              <w:t>/h</w:t>
            </w:r>
          </w:p>
        </w:tc>
        <w:tc>
          <w:tcPr>
            <w:tcW w:w="311" w:type="pct"/>
            <w:vMerge w:val="restart"/>
            <w:tcBorders>
              <w:top w:val="single" w:color="000000" w:sz="8" w:space="0"/>
              <w:left w:val="nil"/>
              <w:bottom w:val="single" w:color="000000" w:sz="2" w:space="0"/>
              <w:right w:val="single" w:color="000000" w:sz="2" w:space="0"/>
            </w:tcBorders>
            <w:vAlign w:val="center"/>
          </w:tcPr>
          <w:p w14:paraId="20BCE15E">
            <w:pPr>
              <w:pStyle w:val="129"/>
              <w:widowControl w:val="0"/>
              <w:rPr>
                <w:rFonts w:eastAsia="Times New Roman"/>
                <w:color w:val="auto"/>
              </w:rPr>
            </w:pPr>
            <w:r>
              <w:rPr>
                <w:rFonts w:eastAsia="Times New Roman"/>
                <w:color w:val="auto"/>
              </w:rPr>
              <w:t>年排放</w:t>
            </w:r>
          </w:p>
          <w:p w14:paraId="091E8D4C">
            <w:pPr>
              <w:pStyle w:val="129"/>
              <w:widowControl w:val="0"/>
              <w:rPr>
                <w:rFonts w:eastAsia="Times New Roman"/>
                <w:color w:val="auto"/>
              </w:rPr>
            </w:pPr>
            <w:r>
              <w:rPr>
                <w:rFonts w:eastAsia="Times New Roman"/>
                <w:color w:val="auto"/>
              </w:rPr>
              <w:t>小时数/h</w:t>
            </w:r>
          </w:p>
        </w:tc>
        <w:tc>
          <w:tcPr>
            <w:tcW w:w="208" w:type="pct"/>
            <w:vMerge w:val="restart"/>
            <w:tcBorders>
              <w:top w:val="single" w:color="000000" w:sz="8" w:space="0"/>
              <w:left w:val="nil"/>
              <w:bottom w:val="single" w:color="000000" w:sz="2" w:space="0"/>
              <w:right w:val="single" w:color="000000" w:sz="2" w:space="0"/>
            </w:tcBorders>
            <w:vAlign w:val="center"/>
          </w:tcPr>
          <w:p w14:paraId="741F4E49">
            <w:pPr>
              <w:pStyle w:val="129"/>
              <w:widowControl w:val="0"/>
              <w:rPr>
                <w:rFonts w:eastAsia="Times New Roman"/>
                <w:color w:val="auto"/>
              </w:rPr>
            </w:pPr>
            <w:r>
              <w:rPr>
                <w:rFonts w:eastAsia="Times New Roman"/>
                <w:color w:val="auto"/>
              </w:rPr>
              <w:t>排放</w:t>
            </w:r>
          </w:p>
          <w:p w14:paraId="700B30C4">
            <w:pPr>
              <w:pStyle w:val="129"/>
              <w:widowControl w:val="0"/>
              <w:rPr>
                <w:rFonts w:eastAsia="Times New Roman"/>
                <w:color w:val="auto"/>
              </w:rPr>
            </w:pPr>
            <w:r>
              <w:rPr>
                <w:rFonts w:eastAsia="Times New Roman"/>
                <w:color w:val="auto"/>
              </w:rPr>
              <w:t>工况</w:t>
            </w:r>
          </w:p>
        </w:tc>
        <w:tc>
          <w:tcPr>
            <w:tcW w:w="2094" w:type="pct"/>
            <w:gridSpan w:val="8"/>
            <w:tcBorders>
              <w:top w:val="single" w:color="000000" w:sz="8" w:space="0"/>
              <w:left w:val="nil"/>
              <w:bottom w:val="nil"/>
              <w:right w:val="single" w:color="000000" w:sz="8" w:space="0"/>
            </w:tcBorders>
            <w:vAlign w:val="center"/>
          </w:tcPr>
          <w:p w14:paraId="785ABEEB">
            <w:pPr>
              <w:pStyle w:val="129"/>
              <w:widowControl w:val="0"/>
              <w:rPr>
                <w:rFonts w:eastAsia="Times New Roman"/>
                <w:color w:val="auto"/>
              </w:rPr>
            </w:pPr>
            <w:r>
              <w:rPr>
                <w:rFonts w:eastAsia="Times New Roman"/>
                <w:color w:val="auto"/>
              </w:rPr>
              <w:t>污染物排放速率kg/h</w:t>
            </w:r>
          </w:p>
        </w:tc>
      </w:tr>
      <w:tr w14:paraId="04513FF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vMerge w:val="continue"/>
            <w:tcBorders>
              <w:top w:val="single" w:color="000000" w:sz="8" w:space="0"/>
              <w:left w:val="single" w:color="000000" w:sz="8" w:space="0"/>
              <w:bottom w:val="single" w:color="000000" w:sz="2" w:space="0"/>
              <w:right w:val="single" w:color="000000" w:sz="2" w:space="0"/>
            </w:tcBorders>
            <w:vAlign w:val="center"/>
          </w:tcPr>
          <w:p w14:paraId="62590D87">
            <w:pPr>
              <w:pStyle w:val="129"/>
              <w:widowControl w:val="0"/>
              <w:rPr>
                <w:rFonts w:eastAsia="Times New Roman"/>
                <w:color w:val="auto"/>
              </w:rPr>
            </w:pPr>
          </w:p>
        </w:tc>
        <w:tc>
          <w:tcPr>
            <w:tcW w:w="751" w:type="pct"/>
            <w:vMerge w:val="continue"/>
            <w:tcBorders>
              <w:top w:val="single" w:color="000000" w:sz="8" w:space="0"/>
              <w:left w:val="nil"/>
              <w:bottom w:val="single" w:color="000000" w:sz="2" w:space="0"/>
              <w:right w:val="single" w:color="000000" w:sz="2" w:space="0"/>
            </w:tcBorders>
            <w:vAlign w:val="center"/>
          </w:tcPr>
          <w:p w14:paraId="0D68E5CA">
            <w:pPr>
              <w:pStyle w:val="129"/>
              <w:widowControl w:val="0"/>
              <w:rPr>
                <w:rFonts w:eastAsia="Times New Roman"/>
                <w:color w:val="auto"/>
              </w:rPr>
            </w:pPr>
          </w:p>
        </w:tc>
        <w:tc>
          <w:tcPr>
            <w:tcW w:w="208" w:type="pct"/>
            <w:tcBorders>
              <w:top w:val="single" w:color="000000" w:sz="2" w:space="0"/>
              <w:left w:val="nil"/>
              <w:bottom w:val="single" w:color="000000" w:sz="2" w:space="0"/>
              <w:right w:val="single" w:color="000000" w:sz="2" w:space="0"/>
            </w:tcBorders>
            <w:vAlign w:val="center"/>
          </w:tcPr>
          <w:p w14:paraId="0C441F86">
            <w:pPr>
              <w:pStyle w:val="129"/>
              <w:widowControl w:val="0"/>
              <w:rPr>
                <w:rFonts w:eastAsia="Times New Roman"/>
                <w:color w:val="auto"/>
              </w:rPr>
            </w:pPr>
            <w:r>
              <w:rPr>
                <w:rFonts w:eastAsia="Times New Roman"/>
                <w:color w:val="auto"/>
              </w:rPr>
              <w:t>X</w:t>
            </w:r>
          </w:p>
        </w:tc>
        <w:tc>
          <w:tcPr>
            <w:tcW w:w="208" w:type="pct"/>
            <w:tcBorders>
              <w:top w:val="single" w:color="000000" w:sz="2" w:space="0"/>
              <w:left w:val="nil"/>
              <w:bottom w:val="single" w:color="000000" w:sz="2" w:space="0"/>
              <w:right w:val="single" w:color="000000" w:sz="2" w:space="0"/>
            </w:tcBorders>
            <w:vAlign w:val="center"/>
          </w:tcPr>
          <w:p w14:paraId="2C7A0071">
            <w:pPr>
              <w:pStyle w:val="129"/>
              <w:widowControl w:val="0"/>
              <w:rPr>
                <w:rFonts w:eastAsia="Times New Roman"/>
                <w:color w:val="auto"/>
              </w:rPr>
            </w:pPr>
            <w:r>
              <w:rPr>
                <w:rFonts w:eastAsia="Times New Roman"/>
                <w:color w:val="auto"/>
              </w:rPr>
              <w:t>Y</w:t>
            </w:r>
          </w:p>
        </w:tc>
        <w:tc>
          <w:tcPr>
            <w:tcW w:w="208" w:type="pct"/>
            <w:vMerge w:val="continue"/>
            <w:tcBorders>
              <w:top w:val="single" w:color="000000" w:sz="8" w:space="0"/>
              <w:left w:val="nil"/>
              <w:bottom w:val="single" w:color="000000" w:sz="2" w:space="0"/>
              <w:right w:val="single" w:color="000000" w:sz="2" w:space="0"/>
            </w:tcBorders>
            <w:vAlign w:val="center"/>
          </w:tcPr>
          <w:p w14:paraId="5F6FC1B2">
            <w:pPr>
              <w:pStyle w:val="129"/>
              <w:widowControl w:val="0"/>
              <w:rPr>
                <w:rFonts w:eastAsia="Times New Roman"/>
                <w:color w:val="auto"/>
              </w:rPr>
            </w:pPr>
          </w:p>
        </w:tc>
        <w:tc>
          <w:tcPr>
            <w:tcW w:w="260" w:type="pct"/>
            <w:vMerge w:val="continue"/>
            <w:tcBorders>
              <w:top w:val="single" w:color="000000" w:sz="8" w:space="0"/>
              <w:left w:val="nil"/>
              <w:bottom w:val="single" w:color="000000" w:sz="2" w:space="0"/>
              <w:right w:val="single" w:color="000000" w:sz="2" w:space="0"/>
            </w:tcBorders>
            <w:vAlign w:val="center"/>
          </w:tcPr>
          <w:p w14:paraId="5D66B0EA">
            <w:pPr>
              <w:pStyle w:val="129"/>
              <w:widowControl w:val="0"/>
              <w:rPr>
                <w:rFonts w:eastAsia="Times New Roman"/>
                <w:color w:val="auto"/>
              </w:rPr>
            </w:pPr>
          </w:p>
        </w:tc>
        <w:tc>
          <w:tcPr>
            <w:tcW w:w="260" w:type="pct"/>
            <w:vMerge w:val="continue"/>
            <w:tcBorders>
              <w:top w:val="single" w:color="000000" w:sz="8" w:space="0"/>
              <w:left w:val="nil"/>
              <w:bottom w:val="single" w:color="000000" w:sz="2" w:space="0"/>
              <w:right w:val="single" w:color="000000" w:sz="2" w:space="0"/>
            </w:tcBorders>
            <w:vAlign w:val="center"/>
          </w:tcPr>
          <w:p w14:paraId="479DE663">
            <w:pPr>
              <w:pStyle w:val="129"/>
              <w:widowControl w:val="0"/>
              <w:rPr>
                <w:rFonts w:eastAsia="Times New Roman"/>
                <w:color w:val="auto"/>
              </w:rPr>
            </w:pPr>
          </w:p>
        </w:tc>
        <w:tc>
          <w:tcPr>
            <w:tcW w:w="364" w:type="pct"/>
            <w:vMerge w:val="continue"/>
            <w:tcBorders>
              <w:top w:val="single" w:color="000000" w:sz="8" w:space="0"/>
              <w:left w:val="nil"/>
              <w:bottom w:val="single" w:color="000000" w:sz="2" w:space="0"/>
              <w:right w:val="single" w:color="000000" w:sz="2" w:space="0"/>
            </w:tcBorders>
            <w:vAlign w:val="center"/>
          </w:tcPr>
          <w:p w14:paraId="0F9C3497">
            <w:pPr>
              <w:pStyle w:val="129"/>
              <w:widowControl w:val="0"/>
              <w:rPr>
                <w:rFonts w:eastAsia="Times New Roman"/>
                <w:color w:val="auto"/>
              </w:rPr>
            </w:pPr>
          </w:p>
        </w:tc>
        <w:tc>
          <w:tcPr>
            <w:tcW w:w="311" w:type="pct"/>
            <w:vMerge w:val="continue"/>
            <w:tcBorders>
              <w:top w:val="single" w:color="000000" w:sz="8" w:space="0"/>
              <w:left w:val="nil"/>
              <w:bottom w:val="single" w:color="000000" w:sz="2" w:space="0"/>
              <w:right w:val="single" w:color="000000" w:sz="2" w:space="0"/>
            </w:tcBorders>
            <w:vAlign w:val="center"/>
          </w:tcPr>
          <w:p w14:paraId="769A4969">
            <w:pPr>
              <w:pStyle w:val="129"/>
              <w:widowControl w:val="0"/>
              <w:rPr>
                <w:rFonts w:eastAsia="Times New Roman"/>
                <w:color w:val="auto"/>
              </w:rPr>
            </w:pPr>
          </w:p>
        </w:tc>
        <w:tc>
          <w:tcPr>
            <w:tcW w:w="208" w:type="pct"/>
            <w:vMerge w:val="continue"/>
            <w:tcBorders>
              <w:top w:val="single" w:color="000000" w:sz="8" w:space="0"/>
              <w:left w:val="nil"/>
              <w:bottom w:val="single" w:color="000000" w:sz="2" w:space="0"/>
              <w:right w:val="single" w:color="000000" w:sz="2" w:space="0"/>
            </w:tcBorders>
            <w:vAlign w:val="center"/>
          </w:tcPr>
          <w:p w14:paraId="17FF4911">
            <w:pPr>
              <w:pStyle w:val="129"/>
              <w:widowControl w:val="0"/>
              <w:rPr>
                <w:rFonts w:eastAsia="Times New Roman"/>
                <w:color w:val="auto"/>
              </w:rPr>
            </w:pPr>
          </w:p>
        </w:tc>
        <w:tc>
          <w:tcPr>
            <w:tcW w:w="260" w:type="pct"/>
            <w:tcBorders>
              <w:top w:val="single" w:color="000000" w:sz="2" w:space="0"/>
              <w:left w:val="nil"/>
              <w:bottom w:val="single" w:color="000000" w:sz="2" w:space="0"/>
              <w:right w:val="single" w:color="000000" w:sz="2" w:space="0"/>
            </w:tcBorders>
            <w:vAlign w:val="center"/>
          </w:tcPr>
          <w:p w14:paraId="37A2D7D6">
            <w:pPr>
              <w:pStyle w:val="129"/>
              <w:widowControl w:val="0"/>
              <w:rPr>
                <w:rFonts w:eastAsia="Times New Roman"/>
                <w:color w:val="auto"/>
              </w:rPr>
            </w:pPr>
            <w:r>
              <w:rPr>
                <w:rFonts w:eastAsia="Times New Roman"/>
                <w:color w:val="auto"/>
              </w:rPr>
              <w:t>SO</w:t>
            </w:r>
            <w:r>
              <w:rPr>
                <w:rFonts w:eastAsia="Times New Roman"/>
                <w:color w:val="auto"/>
                <w:vertAlign w:val="subscript"/>
              </w:rPr>
              <w:t>2</w:t>
            </w:r>
          </w:p>
        </w:tc>
        <w:tc>
          <w:tcPr>
            <w:tcW w:w="260" w:type="pct"/>
            <w:tcBorders>
              <w:top w:val="single" w:color="000000" w:sz="2" w:space="0"/>
              <w:left w:val="nil"/>
              <w:bottom w:val="single" w:color="000000" w:sz="2" w:space="0"/>
              <w:right w:val="single" w:color="000000" w:sz="2" w:space="0"/>
            </w:tcBorders>
            <w:vAlign w:val="center"/>
          </w:tcPr>
          <w:p w14:paraId="7D3EEB3B">
            <w:pPr>
              <w:pStyle w:val="129"/>
              <w:widowControl w:val="0"/>
              <w:rPr>
                <w:rFonts w:eastAsia="Times New Roman"/>
                <w:color w:val="auto"/>
              </w:rPr>
            </w:pPr>
            <w:r>
              <w:rPr>
                <w:rFonts w:eastAsia="Times New Roman"/>
                <w:color w:val="auto"/>
              </w:rPr>
              <w:t>NO</w:t>
            </w:r>
            <w:r>
              <w:rPr>
                <w:rFonts w:eastAsia="Times New Roman"/>
                <w:color w:val="auto"/>
                <w:vertAlign w:val="subscript"/>
              </w:rPr>
              <w:t>2</w:t>
            </w:r>
          </w:p>
        </w:tc>
        <w:tc>
          <w:tcPr>
            <w:tcW w:w="207" w:type="pct"/>
            <w:tcBorders>
              <w:top w:val="single" w:color="000000" w:sz="2" w:space="0"/>
              <w:left w:val="nil"/>
              <w:bottom w:val="single" w:color="000000" w:sz="2" w:space="0"/>
              <w:right w:val="single" w:color="000000" w:sz="2" w:space="0"/>
            </w:tcBorders>
            <w:vAlign w:val="center"/>
          </w:tcPr>
          <w:p w14:paraId="71D32301">
            <w:pPr>
              <w:pStyle w:val="129"/>
              <w:widowControl w:val="0"/>
              <w:rPr>
                <w:rFonts w:eastAsia="Times New Roman"/>
                <w:color w:val="auto"/>
              </w:rPr>
            </w:pPr>
            <w:r>
              <w:rPr>
                <w:rFonts w:eastAsia="Times New Roman"/>
                <w:color w:val="auto"/>
              </w:rPr>
              <w:t>PM</w:t>
            </w:r>
            <w:r>
              <w:rPr>
                <w:rFonts w:eastAsia="Times New Roman"/>
                <w:color w:val="auto"/>
                <w:vertAlign w:val="subscript"/>
              </w:rPr>
              <w:t>10</w:t>
            </w:r>
          </w:p>
        </w:tc>
        <w:tc>
          <w:tcPr>
            <w:tcW w:w="321" w:type="pct"/>
            <w:tcBorders>
              <w:top w:val="single" w:color="000000" w:sz="2" w:space="0"/>
              <w:left w:val="nil"/>
              <w:bottom w:val="single" w:color="000000" w:sz="2" w:space="0"/>
              <w:right w:val="single" w:color="000000" w:sz="2" w:space="0"/>
            </w:tcBorders>
            <w:vAlign w:val="center"/>
          </w:tcPr>
          <w:p w14:paraId="4BF2BED8">
            <w:pPr>
              <w:pStyle w:val="129"/>
              <w:widowControl w:val="0"/>
              <w:rPr>
                <w:rFonts w:eastAsia="Times New Roman"/>
                <w:color w:val="auto"/>
              </w:rPr>
            </w:pPr>
            <w:r>
              <w:rPr>
                <w:rFonts w:eastAsia="Times New Roman"/>
                <w:color w:val="auto"/>
              </w:rPr>
              <w:t>PM</w:t>
            </w:r>
            <w:r>
              <w:rPr>
                <w:rFonts w:eastAsia="Times New Roman"/>
                <w:color w:val="auto"/>
                <w:vertAlign w:val="subscript"/>
              </w:rPr>
              <w:t>2.5</w:t>
            </w:r>
          </w:p>
        </w:tc>
        <w:tc>
          <w:tcPr>
            <w:tcW w:w="199" w:type="pct"/>
            <w:tcBorders>
              <w:top w:val="single" w:color="000000" w:sz="2" w:space="0"/>
              <w:left w:val="nil"/>
              <w:bottom w:val="single" w:color="000000" w:sz="2" w:space="0"/>
              <w:right w:val="single" w:color="000000" w:sz="2" w:space="0"/>
            </w:tcBorders>
            <w:vAlign w:val="center"/>
          </w:tcPr>
          <w:p w14:paraId="3A904A72">
            <w:pPr>
              <w:pStyle w:val="129"/>
              <w:widowControl w:val="0"/>
              <w:rPr>
                <w:rFonts w:eastAsia="Times New Roman"/>
                <w:color w:val="auto"/>
              </w:rPr>
            </w:pPr>
            <w:r>
              <w:rPr>
                <w:rFonts w:eastAsia="Times New Roman"/>
                <w:color w:val="auto"/>
              </w:rPr>
              <w:t>NH</w:t>
            </w:r>
            <w:r>
              <w:rPr>
                <w:rFonts w:eastAsia="Times New Roman"/>
                <w:color w:val="auto"/>
                <w:vertAlign w:val="subscript"/>
              </w:rPr>
              <w:t>3</w:t>
            </w:r>
          </w:p>
        </w:tc>
        <w:tc>
          <w:tcPr>
            <w:tcW w:w="310" w:type="pct"/>
            <w:tcBorders>
              <w:top w:val="single" w:color="000000" w:sz="2" w:space="0"/>
              <w:left w:val="nil"/>
              <w:bottom w:val="single" w:color="000000" w:sz="2" w:space="0"/>
              <w:right w:val="single" w:color="000000" w:sz="2" w:space="0"/>
            </w:tcBorders>
            <w:vAlign w:val="center"/>
          </w:tcPr>
          <w:p w14:paraId="4C84D96B">
            <w:pPr>
              <w:pStyle w:val="129"/>
              <w:widowControl w:val="0"/>
              <w:rPr>
                <w:rFonts w:eastAsia="Times New Roman"/>
                <w:color w:val="auto"/>
              </w:rPr>
            </w:pPr>
            <w:r>
              <w:rPr>
                <w:rFonts w:eastAsia="Times New Roman"/>
                <w:color w:val="auto"/>
              </w:rPr>
              <w:t>H</w:t>
            </w:r>
            <w:r>
              <w:rPr>
                <w:rFonts w:eastAsia="Times New Roman"/>
                <w:color w:val="auto"/>
                <w:vertAlign w:val="subscript"/>
              </w:rPr>
              <w:t>2</w:t>
            </w:r>
            <w:r>
              <w:rPr>
                <w:rFonts w:eastAsia="Times New Roman"/>
                <w:color w:val="auto"/>
              </w:rPr>
              <w:t>S</w:t>
            </w:r>
          </w:p>
        </w:tc>
        <w:tc>
          <w:tcPr>
            <w:tcW w:w="259" w:type="pct"/>
            <w:tcBorders>
              <w:top w:val="single" w:color="000000" w:sz="2" w:space="0"/>
              <w:left w:val="nil"/>
              <w:bottom w:val="single" w:color="000000" w:sz="2" w:space="0"/>
              <w:right w:val="single" w:color="000000" w:sz="2" w:space="0"/>
            </w:tcBorders>
            <w:vAlign w:val="center"/>
          </w:tcPr>
          <w:p w14:paraId="1F95CE31">
            <w:pPr>
              <w:pStyle w:val="129"/>
              <w:widowControl w:val="0"/>
              <w:rPr>
                <w:rFonts w:eastAsia="Times New Roman"/>
                <w:color w:val="auto"/>
              </w:rPr>
            </w:pPr>
            <w:r>
              <w:rPr>
                <w:rFonts w:eastAsia="Times New Roman"/>
                <w:color w:val="auto"/>
              </w:rPr>
              <w:t>镍及其化合物</w:t>
            </w:r>
          </w:p>
        </w:tc>
        <w:tc>
          <w:tcPr>
            <w:tcW w:w="277" w:type="pct"/>
            <w:tcBorders>
              <w:top w:val="single" w:color="000000" w:sz="2" w:space="0"/>
              <w:left w:val="nil"/>
              <w:bottom w:val="single" w:color="000000" w:sz="2" w:space="0"/>
              <w:right w:val="single" w:color="000000" w:sz="8" w:space="0"/>
            </w:tcBorders>
            <w:vAlign w:val="center"/>
          </w:tcPr>
          <w:p w14:paraId="5113EBFE">
            <w:pPr>
              <w:pStyle w:val="129"/>
              <w:widowControl w:val="0"/>
              <w:rPr>
                <w:rFonts w:eastAsia="Times New Roman"/>
                <w:color w:val="auto"/>
              </w:rPr>
            </w:pPr>
            <w:r>
              <w:rPr>
                <w:rFonts w:eastAsia="Times New Roman"/>
                <w:color w:val="auto"/>
              </w:rPr>
              <w:t>锰及其化合物</w:t>
            </w:r>
          </w:p>
        </w:tc>
      </w:tr>
      <w:tr w14:paraId="32A361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3C0FFEFC">
            <w:pPr>
              <w:pStyle w:val="129"/>
              <w:widowControl w:val="0"/>
              <w:rPr>
                <w:rFonts w:eastAsia="Times New Roman"/>
                <w:color w:val="auto"/>
              </w:rPr>
            </w:pPr>
            <w:bookmarkStart w:id="298" w:name="_Hlk194008714"/>
            <w:r>
              <w:rPr>
                <w:rFonts w:eastAsia="Times New Roman"/>
                <w:color w:val="auto"/>
              </w:rPr>
              <w:t>1</w:t>
            </w:r>
            <w:bookmarkEnd w:id="298"/>
          </w:p>
        </w:tc>
        <w:tc>
          <w:tcPr>
            <w:tcW w:w="751" w:type="pct"/>
            <w:tcBorders>
              <w:top w:val="single" w:color="000000" w:sz="2" w:space="0"/>
              <w:left w:val="nil"/>
              <w:bottom w:val="single" w:color="000000" w:sz="2" w:space="0"/>
              <w:right w:val="single" w:color="000000" w:sz="2" w:space="0"/>
            </w:tcBorders>
            <w:vAlign w:val="center"/>
          </w:tcPr>
          <w:p w14:paraId="4CB5E6FB">
            <w:pPr>
              <w:pStyle w:val="129"/>
              <w:widowControl w:val="0"/>
              <w:rPr>
                <w:rFonts w:eastAsia="Times New Roman"/>
                <w:color w:val="auto"/>
              </w:rPr>
            </w:pPr>
            <w:r>
              <w:rPr>
                <w:rFonts w:eastAsia="Times New Roman"/>
                <w:color w:val="auto"/>
              </w:rPr>
              <w:t>含氨废气</w:t>
            </w:r>
          </w:p>
        </w:tc>
        <w:tc>
          <w:tcPr>
            <w:tcW w:w="208" w:type="pct"/>
            <w:tcBorders>
              <w:top w:val="single" w:color="000000" w:sz="2" w:space="0"/>
              <w:left w:val="nil"/>
              <w:bottom w:val="single" w:color="000000" w:sz="2" w:space="0"/>
              <w:right w:val="single" w:color="000000" w:sz="2" w:space="0"/>
            </w:tcBorders>
            <w:vAlign w:val="center"/>
          </w:tcPr>
          <w:p w14:paraId="796B186D">
            <w:pPr>
              <w:pStyle w:val="129"/>
              <w:widowControl w:val="0"/>
              <w:rPr>
                <w:rFonts w:eastAsia="Times New Roman"/>
                <w:color w:val="auto"/>
              </w:rPr>
            </w:pPr>
            <w:r>
              <w:rPr>
                <w:rFonts w:eastAsia="Times New Roman"/>
                <w:color w:val="auto"/>
              </w:rPr>
              <w:t>-10</w:t>
            </w:r>
          </w:p>
        </w:tc>
        <w:tc>
          <w:tcPr>
            <w:tcW w:w="208" w:type="pct"/>
            <w:tcBorders>
              <w:top w:val="single" w:color="000000" w:sz="2" w:space="0"/>
              <w:left w:val="nil"/>
              <w:bottom w:val="single" w:color="000000" w:sz="2" w:space="0"/>
              <w:right w:val="single" w:color="000000" w:sz="2" w:space="0"/>
            </w:tcBorders>
            <w:vAlign w:val="center"/>
          </w:tcPr>
          <w:p w14:paraId="1C95075C">
            <w:pPr>
              <w:pStyle w:val="129"/>
              <w:widowControl w:val="0"/>
              <w:rPr>
                <w:rFonts w:eastAsia="Times New Roman"/>
                <w:color w:val="auto"/>
              </w:rPr>
            </w:pPr>
            <w:r>
              <w:rPr>
                <w:rFonts w:eastAsia="Times New Roman"/>
                <w:color w:val="auto"/>
              </w:rPr>
              <w:t>-47</w:t>
            </w:r>
          </w:p>
        </w:tc>
        <w:tc>
          <w:tcPr>
            <w:tcW w:w="208" w:type="pct"/>
            <w:tcBorders>
              <w:top w:val="single" w:color="000000" w:sz="2" w:space="0"/>
              <w:left w:val="nil"/>
              <w:bottom w:val="single" w:color="000000" w:sz="2" w:space="0"/>
              <w:right w:val="single" w:color="000000" w:sz="2" w:space="0"/>
            </w:tcBorders>
            <w:vAlign w:val="center"/>
          </w:tcPr>
          <w:p w14:paraId="1C480E58">
            <w:pPr>
              <w:pStyle w:val="129"/>
              <w:widowControl w:val="0"/>
              <w:rPr>
                <w:rFonts w:eastAsia="Times New Roman"/>
                <w:color w:val="auto"/>
              </w:rPr>
            </w:pPr>
            <w:r>
              <w:rPr>
                <w:rFonts w:eastAsia="Times New Roman"/>
                <w:color w:val="auto"/>
              </w:rPr>
              <w:t>17</w:t>
            </w:r>
          </w:p>
        </w:tc>
        <w:tc>
          <w:tcPr>
            <w:tcW w:w="260" w:type="pct"/>
            <w:tcBorders>
              <w:top w:val="single" w:color="000000" w:sz="2" w:space="0"/>
              <w:left w:val="nil"/>
              <w:bottom w:val="single" w:color="000000" w:sz="2" w:space="0"/>
              <w:right w:val="single" w:color="000000" w:sz="2" w:space="0"/>
            </w:tcBorders>
            <w:vAlign w:val="center"/>
          </w:tcPr>
          <w:p w14:paraId="135B091C">
            <w:pPr>
              <w:pStyle w:val="129"/>
              <w:widowControl w:val="0"/>
              <w:rPr>
                <w:rFonts w:eastAsia="Times New Roman"/>
                <w:color w:val="auto"/>
              </w:rPr>
            </w:pPr>
            <w:r>
              <w:rPr>
                <w:rFonts w:eastAsia="Times New Roman"/>
                <w:color w:val="auto"/>
              </w:rPr>
              <w:t>0.2</w:t>
            </w:r>
          </w:p>
        </w:tc>
        <w:tc>
          <w:tcPr>
            <w:tcW w:w="260" w:type="pct"/>
            <w:tcBorders>
              <w:top w:val="single" w:color="000000" w:sz="2" w:space="0"/>
              <w:left w:val="nil"/>
              <w:bottom w:val="single" w:color="000000" w:sz="2" w:space="0"/>
              <w:right w:val="single" w:color="000000" w:sz="2" w:space="0"/>
            </w:tcBorders>
            <w:vAlign w:val="center"/>
          </w:tcPr>
          <w:p w14:paraId="2679210F">
            <w:pPr>
              <w:pStyle w:val="129"/>
              <w:widowControl w:val="0"/>
              <w:rPr>
                <w:rFonts w:eastAsia="Times New Roman"/>
                <w:color w:val="auto"/>
              </w:rPr>
            </w:pPr>
            <w:r>
              <w:rPr>
                <w:rFonts w:eastAsia="Times New Roman"/>
                <w:color w:val="auto"/>
              </w:rPr>
              <w:t>25</w:t>
            </w:r>
          </w:p>
        </w:tc>
        <w:tc>
          <w:tcPr>
            <w:tcW w:w="364" w:type="pct"/>
            <w:tcBorders>
              <w:top w:val="single" w:color="000000" w:sz="2" w:space="0"/>
              <w:left w:val="nil"/>
              <w:bottom w:val="single" w:color="000000" w:sz="2" w:space="0"/>
              <w:right w:val="single" w:color="000000" w:sz="2" w:space="0"/>
            </w:tcBorders>
            <w:vAlign w:val="center"/>
          </w:tcPr>
          <w:p w14:paraId="0FF60489">
            <w:pPr>
              <w:pStyle w:val="129"/>
              <w:widowControl w:val="0"/>
              <w:rPr>
                <w:rFonts w:eastAsia="Times New Roman"/>
                <w:color w:val="auto"/>
              </w:rPr>
            </w:pPr>
            <w:r>
              <w:rPr>
                <w:rFonts w:eastAsia="Times New Roman"/>
                <w:color w:val="auto"/>
              </w:rPr>
              <w:t>1000</w:t>
            </w:r>
          </w:p>
        </w:tc>
        <w:tc>
          <w:tcPr>
            <w:tcW w:w="311" w:type="pct"/>
            <w:tcBorders>
              <w:top w:val="single" w:color="000000" w:sz="2" w:space="0"/>
              <w:left w:val="nil"/>
              <w:bottom w:val="single" w:color="000000" w:sz="2" w:space="0"/>
              <w:right w:val="single" w:color="000000" w:sz="2" w:space="0"/>
            </w:tcBorders>
            <w:vAlign w:val="center"/>
          </w:tcPr>
          <w:p w14:paraId="6C18A534">
            <w:pPr>
              <w:pStyle w:val="129"/>
              <w:widowControl w:val="0"/>
              <w:rPr>
                <w:rFonts w:eastAsia="Times New Roman"/>
                <w:color w:val="auto"/>
              </w:rPr>
            </w:pPr>
            <w:r>
              <w:rPr>
                <w:rFonts w:eastAsia="Times New Roman"/>
                <w:color w:val="auto"/>
              </w:rPr>
              <w:t>8000</w:t>
            </w:r>
          </w:p>
        </w:tc>
        <w:tc>
          <w:tcPr>
            <w:tcW w:w="208" w:type="pct"/>
            <w:tcBorders>
              <w:top w:val="single" w:color="000000" w:sz="2" w:space="0"/>
              <w:left w:val="nil"/>
              <w:bottom w:val="single" w:color="000000" w:sz="2" w:space="0"/>
              <w:right w:val="single" w:color="000000" w:sz="2" w:space="0"/>
            </w:tcBorders>
            <w:vAlign w:val="center"/>
          </w:tcPr>
          <w:p w14:paraId="0886A6E4">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30BD3AFE">
            <w:pPr>
              <w:pStyle w:val="129"/>
              <w:widowControl w:val="0"/>
              <w:rPr>
                <w:rFonts w:eastAsia="Times New Roman"/>
                <w:color w:val="auto"/>
              </w:rPr>
            </w:pPr>
          </w:p>
        </w:tc>
        <w:tc>
          <w:tcPr>
            <w:tcW w:w="260" w:type="pct"/>
            <w:tcBorders>
              <w:top w:val="single" w:color="000000" w:sz="2" w:space="0"/>
              <w:left w:val="nil"/>
              <w:bottom w:val="single" w:color="000000" w:sz="2" w:space="0"/>
              <w:right w:val="single" w:color="000000" w:sz="2" w:space="0"/>
            </w:tcBorders>
            <w:vAlign w:val="center"/>
          </w:tcPr>
          <w:p w14:paraId="668CE4A8">
            <w:pPr>
              <w:pStyle w:val="129"/>
              <w:widowControl w:val="0"/>
              <w:rPr>
                <w:rFonts w:eastAsia="Times New Roman"/>
                <w:color w:val="auto"/>
              </w:rPr>
            </w:pPr>
          </w:p>
        </w:tc>
        <w:tc>
          <w:tcPr>
            <w:tcW w:w="207" w:type="pct"/>
            <w:tcBorders>
              <w:top w:val="single" w:color="000000" w:sz="2" w:space="0"/>
              <w:left w:val="nil"/>
              <w:bottom w:val="single" w:color="000000" w:sz="2" w:space="0"/>
              <w:right w:val="single" w:color="000000" w:sz="2" w:space="0"/>
            </w:tcBorders>
            <w:vAlign w:val="center"/>
          </w:tcPr>
          <w:p w14:paraId="462CFEB0">
            <w:pPr>
              <w:pStyle w:val="129"/>
              <w:widowControl w:val="0"/>
              <w:rPr>
                <w:rFonts w:eastAsia="Times New Roman"/>
                <w:color w:val="auto"/>
              </w:rPr>
            </w:pPr>
          </w:p>
        </w:tc>
        <w:tc>
          <w:tcPr>
            <w:tcW w:w="321" w:type="pct"/>
            <w:tcBorders>
              <w:top w:val="single" w:color="000000" w:sz="2" w:space="0"/>
              <w:left w:val="nil"/>
              <w:bottom w:val="single" w:color="000000" w:sz="2" w:space="0"/>
              <w:right w:val="single" w:color="000000" w:sz="2" w:space="0"/>
            </w:tcBorders>
            <w:vAlign w:val="center"/>
          </w:tcPr>
          <w:p w14:paraId="473370DE">
            <w:pPr>
              <w:pStyle w:val="129"/>
              <w:widowControl w:val="0"/>
              <w:rPr>
                <w:rFonts w:eastAsia="Times New Roman"/>
                <w:color w:val="auto"/>
              </w:rPr>
            </w:pPr>
          </w:p>
        </w:tc>
        <w:tc>
          <w:tcPr>
            <w:tcW w:w="199" w:type="pct"/>
            <w:tcBorders>
              <w:top w:val="single" w:color="000000" w:sz="2" w:space="0"/>
              <w:left w:val="nil"/>
              <w:bottom w:val="single" w:color="000000" w:sz="2" w:space="0"/>
              <w:right w:val="single" w:color="000000" w:sz="2" w:space="0"/>
            </w:tcBorders>
            <w:vAlign w:val="center"/>
          </w:tcPr>
          <w:p w14:paraId="1B7DC0B4">
            <w:pPr>
              <w:pStyle w:val="129"/>
              <w:widowControl w:val="0"/>
              <w:rPr>
                <w:rFonts w:eastAsia="Times New Roman"/>
                <w:color w:val="auto"/>
              </w:rPr>
            </w:pPr>
            <w:r>
              <w:rPr>
                <w:rFonts w:eastAsia="Times New Roman"/>
                <w:color w:val="auto"/>
              </w:rPr>
              <w:t>0.008</w:t>
            </w:r>
          </w:p>
        </w:tc>
        <w:tc>
          <w:tcPr>
            <w:tcW w:w="310" w:type="pct"/>
            <w:tcBorders>
              <w:top w:val="single" w:color="000000" w:sz="2" w:space="0"/>
              <w:left w:val="nil"/>
              <w:bottom w:val="single" w:color="000000" w:sz="2" w:space="0"/>
              <w:right w:val="single" w:color="000000" w:sz="2" w:space="0"/>
            </w:tcBorders>
            <w:vAlign w:val="center"/>
          </w:tcPr>
          <w:p w14:paraId="42567AE1">
            <w:pPr>
              <w:pStyle w:val="129"/>
              <w:widowControl w:val="0"/>
              <w:rPr>
                <w:rFonts w:eastAsia="Times New Roman"/>
                <w:color w:val="auto"/>
              </w:rPr>
            </w:pPr>
          </w:p>
        </w:tc>
        <w:tc>
          <w:tcPr>
            <w:tcW w:w="259" w:type="pct"/>
            <w:tcBorders>
              <w:top w:val="single" w:color="000000" w:sz="2" w:space="0"/>
              <w:left w:val="nil"/>
              <w:bottom w:val="single" w:color="000000" w:sz="2" w:space="0"/>
              <w:right w:val="single" w:color="000000" w:sz="2" w:space="0"/>
            </w:tcBorders>
            <w:vAlign w:val="center"/>
          </w:tcPr>
          <w:p w14:paraId="0AB4DA24">
            <w:pPr>
              <w:pStyle w:val="129"/>
              <w:widowControl w:val="0"/>
              <w:rPr>
                <w:rFonts w:eastAsia="Times New Roman"/>
                <w:color w:val="auto"/>
              </w:rPr>
            </w:pPr>
          </w:p>
        </w:tc>
        <w:tc>
          <w:tcPr>
            <w:tcW w:w="277" w:type="pct"/>
            <w:tcBorders>
              <w:top w:val="single" w:color="000000" w:sz="2" w:space="0"/>
              <w:left w:val="nil"/>
              <w:bottom w:val="single" w:color="000000" w:sz="2" w:space="0"/>
              <w:right w:val="single" w:color="000000" w:sz="8" w:space="0"/>
            </w:tcBorders>
            <w:vAlign w:val="center"/>
          </w:tcPr>
          <w:p w14:paraId="572146BB">
            <w:pPr>
              <w:pStyle w:val="129"/>
              <w:widowControl w:val="0"/>
              <w:rPr>
                <w:rFonts w:eastAsia="Times New Roman"/>
                <w:color w:val="auto"/>
              </w:rPr>
            </w:pPr>
          </w:p>
        </w:tc>
      </w:tr>
      <w:tr w14:paraId="3AFB8B7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40EDD3F1">
            <w:pPr>
              <w:pStyle w:val="129"/>
              <w:widowControl w:val="0"/>
              <w:rPr>
                <w:rFonts w:eastAsia="Times New Roman"/>
                <w:color w:val="auto"/>
              </w:rPr>
            </w:pPr>
            <w:r>
              <w:rPr>
                <w:rFonts w:eastAsia="Times New Roman"/>
                <w:color w:val="auto"/>
              </w:rPr>
              <w:t>2</w:t>
            </w:r>
          </w:p>
        </w:tc>
        <w:tc>
          <w:tcPr>
            <w:tcW w:w="751" w:type="pct"/>
            <w:tcBorders>
              <w:top w:val="single" w:color="000000" w:sz="2" w:space="0"/>
              <w:left w:val="nil"/>
              <w:bottom w:val="single" w:color="000000" w:sz="2" w:space="0"/>
              <w:right w:val="single" w:color="000000" w:sz="2" w:space="0"/>
            </w:tcBorders>
            <w:vAlign w:val="center"/>
          </w:tcPr>
          <w:p w14:paraId="7EE8A607">
            <w:pPr>
              <w:pStyle w:val="129"/>
              <w:widowControl w:val="0"/>
              <w:rPr>
                <w:rFonts w:eastAsia="Times New Roman"/>
                <w:color w:val="auto"/>
              </w:rPr>
            </w:pPr>
            <w:r>
              <w:rPr>
                <w:rFonts w:eastAsia="Times New Roman"/>
                <w:color w:val="auto"/>
              </w:rPr>
              <w:t>硫酸铵干燥包装排口</w:t>
            </w:r>
          </w:p>
        </w:tc>
        <w:tc>
          <w:tcPr>
            <w:tcW w:w="208" w:type="pct"/>
            <w:tcBorders>
              <w:top w:val="single" w:color="000000" w:sz="2" w:space="0"/>
              <w:left w:val="nil"/>
              <w:bottom w:val="single" w:color="000000" w:sz="2" w:space="0"/>
              <w:right w:val="single" w:color="000000" w:sz="2" w:space="0"/>
            </w:tcBorders>
            <w:vAlign w:val="center"/>
          </w:tcPr>
          <w:p w14:paraId="3E3666CF">
            <w:pPr>
              <w:pStyle w:val="129"/>
              <w:widowControl w:val="0"/>
              <w:rPr>
                <w:rFonts w:eastAsia="Times New Roman"/>
                <w:color w:val="auto"/>
              </w:rPr>
            </w:pPr>
            <w:r>
              <w:rPr>
                <w:rFonts w:eastAsia="Times New Roman"/>
                <w:color w:val="auto"/>
              </w:rPr>
              <w:t>4</w:t>
            </w:r>
          </w:p>
        </w:tc>
        <w:tc>
          <w:tcPr>
            <w:tcW w:w="208" w:type="pct"/>
            <w:tcBorders>
              <w:top w:val="single" w:color="000000" w:sz="2" w:space="0"/>
              <w:left w:val="nil"/>
              <w:bottom w:val="single" w:color="000000" w:sz="2" w:space="0"/>
              <w:right w:val="single" w:color="000000" w:sz="2" w:space="0"/>
            </w:tcBorders>
            <w:vAlign w:val="center"/>
          </w:tcPr>
          <w:p w14:paraId="4812EE3D">
            <w:pPr>
              <w:pStyle w:val="129"/>
              <w:widowControl w:val="0"/>
              <w:rPr>
                <w:rFonts w:eastAsia="Times New Roman"/>
                <w:color w:val="auto"/>
              </w:rPr>
            </w:pPr>
            <w:r>
              <w:rPr>
                <w:rFonts w:eastAsia="Times New Roman"/>
                <w:color w:val="auto"/>
              </w:rPr>
              <w:t>-64</w:t>
            </w:r>
          </w:p>
        </w:tc>
        <w:tc>
          <w:tcPr>
            <w:tcW w:w="208" w:type="pct"/>
            <w:tcBorders>
              <w:top w:val="single" w:color="000000" w:sz="2" w:space="0"/>
              <w:left w:val="nil"/>
              <w:bottom w:val="single" w:color="000000" w:sz="2" w:space="0"/>
              <w:right w:val="single" w:color="000000" w:sz="2" w:space="0"/>
            </w:tcBorders>
            <w:vAlign w:val="center"/>
          </w:tcPr>
          <w:p w14:paraId="194A683D">
            <w:pPr>
              <w:pStyle w:val="129"/>
              <w:widowControl w:val="0"/>
              <w:rPr>
                <w:rFonts w:eastAsia="Times New Roman"/>
                <w:color w:val="auto"/>
              </w:rPr>
            </w:pPr>
            <w:r>
              <w:rPr>
                <w:rFonts w:eastAsia="Times New Roman"/>
                <w:color w:val="auto"/>
              </w:rPr>
              <w:t>17</w:t>
            </w:r>
          </w:p>
        </w:tc>
        <w:tc>
          <w:tcPr>
            <w:tcW w:w="260" w:type="pct"/>
            <w:tcBorders>
              <w:top w:val="single" w:color="000000" w:sz="2" w:space="0"/>
              <w:left w:val="nil"/>
              <w:bottom w:val="single" w:color="000000" w:sz="2" w:space="0"/>
              <w:right w:val="single" w:color="000000" w:sz="2" w:space="0"/>
            </w:tcBorders>
            <w:vAlign w:val="center"/>
          </w:tcPr>
          <w:p w14:paraId="568DA9FA">
            <w:pPr>
              <w:pStyle w:val="129"/>
              <w:widowControl w:val="0"/>
              <w:rPr>
                <w:rFonts w:eastAsia="Times New Roman"/>
                <w:color w:val="auto"/>
              </w:rPr>
            </w:pPr>
            <w:r>
              <w:rPr>
                <w:rFonts w:eastAsia="Times New Roman"/>
                <w:color w:val="auto"/>
              </w:rPr>
              <w:t>1</w:t>
            </w:r>
          </w:p>
        </w:tc>
        <w:tc>
          <w:tcPr>
            <w:tcW w:w="260" w:type="pct"/>
            <w:tcBorders>
              <w:top w:val="single" w:color="000000" w:sz="2" w:space="0"/>
              <w:left w:val="nil"/>
              <w:bottom w:val="single" w:color="000000" w:sz="2" w:space="0"/>
              <w:right w:val="single" w:color="000000" w:sz="2" w:space="0"/>
            </w:tcBorders>
            <w:vAlign w:val="center"/>
          </w:tcPr>
          <w:p w14:paraId="13BEB00B">
            <w:pPr>
              <w:pStyle w:val="129"/>
              <w:widowControl w:val="0"/>
              <w:rPr>
                <w:rFonts w:eastAsia="Times New Roman"/>
                <w:color w:val="auto"/>
              </w:rPr>
            </w:pPr>
            <w:r>
              <w:rPr>
                <w:rFonts w:eastAsia="Times New Roman"/>
                <w:color w:val="auto"/>
              </w:rPr>
              <w:t>40</w:t>
            </w:r>
          </w:p>
        </w:tc>
        <w:tc>
          <w:tcPr>
            <w:tcW w:w="364" w:type="pct"/>
            <w:tcBorders>
              <w:top w:val="single" w:color="000000" w:sz="2" w:space="0"/>
              <w:left w:val="nil"/>
              <w:bottom w:val="single" w:color="000000" w:sz="2" w:space="0"/>
              <w:right w:val="single" w:color="000000" w:sz="2" w:space="0"/>
            </w:tcBorders>
            <w:vAlign w:val="center"/>
          </w:tcPr>
          <w:p w14:paraId="15744FC5">
            <w:pPr>
              <w:pStyle w:val="129"/>
              <w:widowControl w:val="0"/>
              <w:rPr>
                <w:rFonts w:eastAsia="Times New Roman"/>
                <w:color w:val="auto"/>
              </w:rPr>
            </w:pPr>
            <w:r>
              <w:rPr>
                <w:rFonts w:eastAsia="Times New Roman"/>
                <w:color w:val="auto"/>
              </w:rPr>
              <w:t>41500</w:t>
            </w:r>
          </w:p>
        </w:tc>
        <w:tc>
          <w:tcPr>
            <w:tcW w:w="311" w:type="pct"/>
            <w:tcBorders>
              <w:top w:val="single" w:color="000000" w:sz="2" w:space="0"/>
              <w:left w:val="nil"/>
              <w:bottom w:val="single" w:color="000000" w:sz="2" w:space="0"/>
              <w:right w:val="single" w:color="000000" w:sz="2" w:space="0"/>
            </w:tcBorders>
            <w:vAlign w:val="center"/>
          </w:tcPr>
          <w:p w14:paraId="2A24EDC4">
            <w:pPr>
              <w:pStyle w:val="129"/>
              <w:widowControl w:val="0"/>
              <w:rPr>
                <w:rFonts w:eastAsia="Times New Roman"/>
                <w:color w:val="auto"/>
              </w:rPr>
            </w:pPr>
            <w:r>
              <w:rPr>
                <w:rFonts w:eastAsia="Times New Roman"/>
                <w:color w:val="auto"/>
              </w:rPr>
              <w:t>8000</w:t>
            </w:r>
          </w:p>
        </w:tc>
        <w:tc>
          <w:tcPr>
            <w:tcW w:w="208" w:type="pct"/>
            <w:tcBorders>
              <w:top w:val="single" w:color="000000" w:sz="2" w:space="0"/>
              <w:left w:val="nil"/>
              <w:bottom w:val="single" w:color="000000" w:sz="2" w:space="0"/>
              <w:right w:val="single" w:color="000000" w:sz="2" w:space="0"/>
            </w:tcBorders>
            <w:vAlign w:val="center"/>
          </w:tcPr>
          <w:p w14:paraId="65C250B1">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6A9E83FE">
            <w:pPr>
              <w:pStyle w:val="129"/>
              <w:widowControl w:val="0"/>
              <w:rPr>
                <w:rFonts w:eastAsia="Times New Roman"/>
                <w:color w:val="auto"/>
              </w:rPr>
            </w:pPr>
          </w:p>
        </w:tc>
        <w:tc>
          <w:tcPr>
            <w:tcW w:w="260" w:type="pct"/>
            <w:tcBorders>
              <w:top w:val="single" w:color="000000" w:sz="2" w:space="0"/>
              <w:left w:val="nil"/>
              <w:bottom w:val="single" w:color="000000" w:sz="2" w:space="0"/>
              <w:right w:val="single" w:color="000000" w:sz="2" w:space="0"/>
            </w:tcBorders>
            <w:vAlign w:val="center"/>
          </w:tcPr>
          <w:p w14:paraId="5E3AA47A">
            <w:pPr>
              <w:pStyle w:val="129"/>
              <w:widowControl w:val="0"/>
              <w:rPr>
                <w:rFonts w:eastAsia="Times New Roman"/>
                <w:color w:val="auto"/>
              </w:rPr>
            </w:pPr>
          </w:p>
        </w:tc>
        <w:tc>
          <w:tcPr>
            <w:tcW w:w="207" w:type="pct"/>
            <w:tcBorders>
              <w:top w:val="single" w:color="000000" w:sz="2" w:space="0"/>
              <w:left w:val="nil"/>
              <w:bottom w:val="single" w:color="000000" w:sz="2" w:space="0"/>
              <w:right w:val="single" w:color="000000" w:sz="2" w:space="0"/>
            </w:tcBorders>
            <w:vAlign w:val="center"/>
          </w:tcPr>
          <w:p w14:paraId="0AC4CA2B">
            <w:pPr>
              <w:pStyle w:val="129"/>
              <w:widowControl w:val="0"/>
              <w:rPr>
                <w:rFonts w:eastAsia="Times New Roman"/>
                <w:color w:val="auto"/>
              </w:rPr>
            </w:pPr>
            <w:r>
              <w:rPr>
                <w:rFonts w:eastAsia="Times New Roman"/>
                <w:color w:val="auto"/>
              </w:rPr>
              <w:t>0.29</w:t>
            </w:r>
          </w:p>
        </w:tc>
        <w:tc>
          <w:tcPr>
            <w:tcW w:w="321" w:type="pct"/>
            <w:tcBorders>
              <w:top w:val="single" w:color="000000" w:sz="2" w:space="0"/>
              <w:left w:val="nil"/>
              <w:bottom w:val="single" w:color="000000" w:sz="2" w:space="0"/>
              <w:right w:val="single" w:color="000000" w:sz="2" w:space="0"/>
            </w:tcBorders>
            <w:vAlign w:val="center"/>
          </w:tcPr>
          <w:p w14:paraId="3A8C9209">
            <w:pPr>
              <w:pStyle w:val="129"/>
              <w:widowControl w:val="0"/>
              <w:rPr>
                <w:rFonts w:eastAsia="Times New Roman"/>
                <w:color w:val="auto"/>
              </w:rPr>
            </w:pPr>
            <w:r>
              <w:rPr>
                <w:rFonts w:eastAsia="Times New Roman"/>
                <w:color w:val="auto"/>
              </w:rPr>
              <w:t>0.145</w:t>
            </w:r>
          </w:p>
        </w:tc>
        <w:tc>
          <w:tcPr>
            <w:tcW w:w="199" w:type="pct"/>
            <w:tcBorders>
              <w:top w:val="single" w:color="000000" w:sz="2" w:space="0"/>
              <w:left w:val="nil"/>
              <w:bottom w:val="single" w:color="000000" w:sz="2" w:space="0"/>
              <w:right w:val="single" w:color="000000" w:sz="2" w:space="0"/>
            </w:tcBorders>
            <w:vAlign w:val="center"/>
          </w:tcPr>
          <w:p w14:paraId="3DCB48DF">
            <w:pPr>
              <w:pStyle w:val="129"/>
              <w:widowControl w:val="0"/>
              <w:rPr>
                <w:rFonts w:eastAsia="Times New Roman"/>
                <w:color w:val="auto"/>
              </w:rPr>
            </w:pPr>
          </w:p>
        </w:tc>
        <w:tc>
          <w:tcPr>
            <w:tcW w:w="310" w:type="pct"/>
            <w:tcBorders>
              <w:top w:val="single" w:color="000000" w:sz="2" w:space="0"/>
              <w:left w:val="nil"/>
              <w:bottom w:val="single" w:color="000000" w:sz="2" w:space="0"/>
              <w:right w:val="single" w:color="000000" w:sz="2" w:space="0"/>
            </w:tcBorders>
            <w:vAlign w:val="center"/>
          </w:tcPr>
          <w:p w14:paraId="3AB7788A">
            <w:pPr>
              <w:pStyle w:val="129"/>
              <w:widowControl w:val="0"/>
              <w:rPr>
                <w:rFonts w:eastAsia="Times New Roman"/>
                <w:color w:val="auto"/>
              </w:rPr>
            </w:pPr>
          </w:p>
        </w:tc>
        <w:tc>
          <w:tcPr>
            <w:tcW w:w="259" w:type="pct"/>
            <w:tcBorders>
              <w:top w:val="single" w:color="000000" w:sz="2" w:space="0"/>
              <w:left w:val="nil"/>
              <w:bottom w:val="single" w:color="000000" w:sz="2" w:space="0"/>
              <w:right w:val="single" w:color="000000" w:sz="2" w:space="0"/>
            </w:tcBorders>
            <w:vAlign w:val="center"/>
          </w:tcPr>
          <w:p w14:paraId="2B9824B2">
            <w:pPr>
              <w:pStyle w:val="129"/>
              <w:widowControl w:val="0"/>
              <w:rPr>
                <w:rFonts w:eastAsia="Times New Roman"/>
                <w:color w:val="auto"/>
              </w:rPr>
            </w:pPr>
          </w:p>
        </w:tc>
        <w:tc>
          <w:tcPr>
            <w:tcW w:w="277" w:type="pct"/>
            <w:tcBorders>
              <w:top w:val="single" w:color="000000" w:sz="2" w:space="0"/>
              <w:left w:val="nil"/>
              <w:bottom w:val="single" w:color="000000" w:sz="2" w:space="0"/>
              <w:right w:val="single" w:color="000000" w:sz="8" w:space="0"/>
            </w:tcBorders>
            <w:vAlign w:val="center"/>
          </w:tcPr>
          <w:p w14:paraId="06C47CFC">
            <w:pPr>
              <w:pStyle w:val="129"/>
              <w:widowControl w:val="0"/>
              <w:rPr>
                <w:rFonts w:eastAsia="Times New Roman"/>
                <w:color w:val="auto"/>
              </w:rPr>
            </w:pPr>
          </w:p>
        </w:tc>
      </w:tr>
      <w:tr w14:paraId="4D9DE02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5F23203C">
            <w:pPr>
              <w:pStyle w:val="129"/>
              <w:widowControl w:val="0"/>
              <w:rPr>
                <w:rFonts w:eastAsia="Times New Roman"/>
                <w:color w:val="auto"/>
              </w:rPr>
            </w:pPr>
            <w:r>
              <w:rPr>
                <w:rFonts w:eastAsia="Times New Roman"/>
                <w:color w:val="auto"/>
              </w:rPr>
              <w:t>3</w:t>
            </w:r>
          </w:p>
        </w:tc>
        <w:tc>
          <w:tcPr>
            <w:tcW w:w="751" w:type="pct"/>
            <w:tcBorders>
              <w:top w:val="single" w:color="000000" w:sz="2" w:space="0"/>
              <w:left w:val="nil"/>
              <w:bottom w:val="single" w:color="000000" w:sz="2" w:space="0"/>
              <w:right w:val="single" w:color="000000" w:sz="2" w:space="0"/>
            </w:tcBorders>
            <w:vAlign w:val="center"/>
          </w:tcPr>
          <w:p w14:paraId="6198983A">
            <w:pPr>
              <w:pStyle w:val="129"/>
              <w:widowControl w:val="0"/>
              <w:rPr>
                <w:rFonts w:eastAsia="Times New Roman"/>
                <w:color w:val="auto"/>
              </w:rPr>
            </w:pPr>
            <w:r>
              <w:rPr>
                <w:rFonts w:eastAsia="Times New Roman"/>
                <w:color w:val="auto"/>
              </w:rPr>
              <w:t>二氧化碳气</w:t>
            </w:r>
          </w:p>
        </w:tc>
        <w:tc>
          <w:tcPr>
            <w:tcW w:w="208" w:type="pct"/>
            <w:tcBorders>
              <w:top w:val="single" w:color="000000" w:sz="2" w:space="0"/>
              <w:left w:val="nil"/>
              <w:bottom w:val="single" w:color="000000" w:sz="2" w:space="0"/>
              <w:right w:val="single" w:color="000000" w:sz="2" w:space="0"/>
            </w:tcBorders>
            <w:vAlign w:val="center"/>
          </w:tcPr>
          <w:p w14:paraId="3614E1A2">
            <w:pPr>
              <w:pStyle w:val="129"/>
              <w:widowControl w:val="0"/>
              <w:rPr>
                <w:rFonts w:eastAsia="Times New Roman"/>
                <w:color w:val="auto"/>
              </w:rPr>
            </w:pPr>
            <w:r>
              <w:rPr>
                <w:rFonts w:eastAsia="Times New Roman"/>
                <w:color w:val="auto"/>
              </w:rPr>
              <w:t>37</w:t>
            </w:r>
          </w:p>
        </w:tc>
        <w:tc>
          <w:tcPr>
            <w:tcW w:w="208" w:type="pct"/>
            <w:tcBorders>
              <w:top w:val="single" w:color="000000" w:sz="2" w:space="0"/>
              <w:left w:val="nil"/>
              <w:bottom w:val="single" w:color="000000" w:sz="2" w:space="0"/>
              <w:right w:val="single" w:color="000000" w:sz="2" w:space="0"/>
            </w:tcBorders>
            <w:vAlign w:val="center"/>
          </w:tcPr>
          <w:p w14:paraId="5A20C14B">
            <w:pPr>
              <w:pStyle w:val="129"/>
              <w:widowControl w:val="0"/>
              <w:rPr>
                <w:rFonts w:eastAsia="Times New Roman"/>
                <w:color w:val="auto"/>
              </w:rPr>
            </w:pPr>
            <w:r>
              <w:rPr>
                <w:rFonts w:eastAsia="Times New Roman"/>
                <w:color w:val="auto"/>
              </w:rPr>
              <w:t>-17</w:t>
            </w:r>
          </w:p>
        </w:tc>
        <w:tc>
          <w:tcPr>
            <w:tcW w:w="208" w:type="pct"/>
            <w:tcBorders>
              <w:top w:val="single" w:color="000000" w:sz="2" w:space="0"/>
              <w:left w:val="nil"/>
              <w:bottom w:val="single" w:color="000000" w:sz="2" w:space="0"/>
              <w:right w:val="single" w:color="000000" w:sz="2" w:space="0"/>
            </w:tcBorders>
            <w:vAlign w:val="center"/>
          </w:tcPr>
          <w:p w14:paraId="35A431FD">
            <w:pPr>
              <w:pStyle w:val="129"/>
              <w:widowControl w:val="0"/>
              <w:rPr>
                <w:rFonts w:eastAsia="Times New Roman"/>
                <w:color w:val="auto"/>
              </w:rPr>
            </w:pPr>
            <w:r>
              <w:rPr>
                <w:rFonts w:eastAsia="Times New Roman"/>
                <w:color w:val="auto"/>
              </w:rPr>
              <w:t>17</w:t>
            </w:r>
          </w:p>
        </w:tc>
        <w:tc>
          <w:tcPr>
            <w:tcW w:w="260" w:type="pct"/>
            <w:tcBorders>
              <w:top w:val="single" w:color="000000" w:sz="2" w:space="0"/>
              <w:left w:val="nil"/>
              <w:bottom w:val="single" w:color="000000" w:sz="2" w:space="0"/>
              <w:right w:val="single" w:color="000000" w:sz="2" w:space="0"/>
            </w:tcBorders>
            <w:vAlign w:val="center"/>
          </w:tcPr>
          <w:p w14:paraId="771E8548">
            <w:pPr>
              <w:pStyle w:val="129"/>
              <w:widowControl w:val="0"/>
              <w:rPr>
                <w:rFonts w:eastAsia="Times New Roman"/>
                <w:color w:val="auto"/>
              </w:rPr>
            </w:pPr>
            <w:r>
              <w:rPr>
                <w:rFonts w:eastAsia="Times New Roman"/>
                <w:color w:val="auto"/>
              </w:rPr>
              <w:t>0.03</w:t>
            </w:r>
          </w:p>
        </w:tc>
        <w:tc>
          <w:tcPr>
            <w:tcW w:w="260" w:type="pct"/>
            <w:tcBorders>
              <w:top w:val="single" w:color="000000" w:sz="2" w:space="0"/>
              <w:left w:val="nil"/>
              <w:bottom w:val="single" w:color="000000" w:sz="2" w:space="0"/>
              <w:right w:val="single" w:color="000000" w:sz="2" w:space="0"/>
            </w:tcBorders>
            <w:vAlign w:val="center"/>
          </w:tcPr>
          <w:p w14:paraId="68EC1B35">
            <w:pPr>
              <w:pStyle w:val="129"/>
              <w:widowControl w:val="0"/>
              <w:rPr>
                <w:rFonts w:eastAsia="Times New Roman"/>
                <w:color w:val="auto"/>
              </w:rPr>
            </w:pPr>
            <w:r>
              <w:rPr>
                <w:rFonts w:eastAsia="Times New Roman"/>
                <w:color w:val="auto"/>
              </w:rPr>
              <w:t>30</w:t>
            </w:r>
          </w:p>
        </w:tc>
        <w:tc>
          <w:tcPr>
            <w:tcW w:w="364" w:type="pct"/>
            <w:tcBorders>
              <w:top w:val="single" w:color="000000" w:sz="2" w:space="0"/>
              <w:left w:val="nil"/>
              <w:bottom w:val="single" w:color="000000" w:sz="2" w:space="0"/>
              <w:right w:val="single" w:color="000000" w:sz="2" w:space="0"/>
            </w:tcBorders>
            <w:vAlign w:val="center"/>
          </w:tcPr>
          <w:p w14:paraId="44DCAA6D">
            <w:pPr>
              <w:pStyle w:val="129"/>
              <w:widowControl w:val="0"/>
              <w:rPr>
                <w:rFonts w:eastAsia="Times New Roman"/>
                <w:color w:val="auto"/>
              </w:rPr>
            </w:pPr>
            <w:r>
              <w:rPr>
                <w:rFonts w:eastAsia="Times New Roman"/>
                <w:color w:val="auto"/>
              </w:rPr>
              <w:t>57</w:t>
            </w:r>
          </w:p>
        </w:tc>
        <w:tc>
          <w:tcPr>
            <w:tcW w:w="311" w:type="pct"/>
            <w:tcBorders>
              <w:top w:val="single" w:color="000000" w:sz="2" w:space="0"/>
              <w:left w:val="nil"/>
              <w:bottom w:val="single" w:color="000000" w:sz="2" w:space="0"/>
              <w:right w:val="single" w:color="000000" w:sz="2" w:space="0"/>
            </w:tcBorders>
            <w:vAlign w:val="center"/>
          </w:tcPr>
          <w:p w14:paraId="60830032">
            <w:pPr>
              <w:pStyle w:val="129"/>
              <w:widowControl w:val="0"/>
              <w:rPr>
                <w:rFonts w:eastAsia="Times New Roman"/>
                <w:color w:val="auto"/>
              </w:rPr>
            </w:pPr>
            <w:r>
              <w:rPr>
                <w:rFonts w:eastAsia="Times New Roman"/>
                <w:color w:val="auto"/>
              </w:rPr>
              <w:t>8000</w:t>
            </w:r>
          </w:p>
        </w:tc>
        <w:tc>
          <w:tcPr>
            <w:tcW w:w="208" w:type="pct"/>
            <w:tcBorders>
              <w:top w:val="single" w:color="000000" w:sz="2" w:space="0"/>
              <w:left w:val="nil"/>
              <w:bottom w:val="single" w:color="000000" w:sz="2" w:space="0"/>
              <w:right w:val="single" w:color="000000" w:sz="2" w:space="0"/>
            </w:tcBorders>
            <w:vAlign w:val="center"/>
          </w:tcPr>
          <w:p w14:paraId="1CAB6DE2">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77A34A45">
            <w:pPr>
              <w:pStyle w:val="129"/>
              <w:widowControl w:val="0"/>
              <w:rPr>
                <w:rFonts w:eastAsia="Times New Roman"/>
                <w:color w:val="auto"/>
              </w:rPr>
            </w:pPr>
          </w:p>
        </w:tc>
        <w:tc>
          <w:tcPr>
            <w:tcW w:w="260" w:type="pct"/>
            <w:tcBorders>
              <w:top w:val="single" w:color="000000" w:sz="2" w:space="0"/>
              <w:left w:val="nil"/>
              <w:bottom w:val="single" w:color="000000" w:sz="2" w:space="0"/>
              <w:right w:val="single" w:color="000000" w:sz="2" w:space="0"/>
            </w:tcBorders>
            <w:vAlign w:val="center"/>
          </w:tcPr>
          <w:p w14:paraId="4E652ABB">
            <w:pPr>
              <w:pStyle w:val="129"/>
              <w:widowControl w:val="0"/>
              <w:rPr>
                <w:rFonts w:eastAsia="Times New Roman"/>
                <w:color w:val="auto"/>
              </w:rPr>
            </w:pPr>
          </w:p>
        </w:tc>
        <w:tc>
          <w:tcPr>
            <w:tcW w:w="207" w:type="pct"/>
            <w:tcBorders>
              <w:top w:val="single" w:color="000000" w:sz="2" w:space="0"/>
              <w:left w:val="nil"/>
              <w:bottom w:val="single" w:color="000000" w:sz="2" w:space="0"/>
              <w:right w:val="single" w:color="000000" w:sz="2" w:space="0"/>
            </w:tcBorders>
            <w:vAlign w:val="center"/>
          </w:tcPr>
          <w:p w14:paraId="1A2536E8">
            <w:pPr>
              <w:pStyle w:val="129"/>
              <w:widowControl w:val="0"/>
              <w:rPr>
                <w:rFonts w:eastAsia="Times New Roman"/>
                <w:color w:val="auto"/>
              </w:rPr>
            </w:pPr>
          </w:p>
        </w:tc>
        <w:tc>
          <w:tcPr>
            <w:tcW w:w="321" w:type="pct"/>
            <w:tcBorders>
              <w:top w:val="single" w:color="000000" w:sz="2" w:space="0"/>
              <w:left w:val="nil"/>
              <w:bottom w:val="single" w:color="000000" w:sz="2" w:space="0"/>
              <w:right w:val="single" w:color="000000" w:sz="2" w:space="0"/>
            </w:tcBorders>
            <w:vAlign w:val="center"/>
          </w:tcPr>
          <w:p w14:paraId="20B81622">
            <w:pPr>
              <w:pStyle w:val="129"/>
              <w:widowControl w:val="0"/>
              <w:rPr>
                <w:rFonts w:eastAsia="Times New Roman"/>
                <w:color w:val="auto"/>
              </w:rPr>
            </w:pPr>
          </w:p>
        </w:tc>
        <w:tc>
          <w:tcPr>
            <w:tcW w:w="199" w:type="pct"/>
            <w:tcBorders>
              <w:top w:val="single" w:color="000000" w:sz="2" w:space="0"/>
              <w:left w:val="nil"/>
              <w:bottom w:val="single" w:color="000000" w:sz="2" w:space="0"/>
              <w:right w:val="single" w:color="000000" w:sz="2" w:space="0"/>
            </w:tcBorders>
            <w:vAlign w:val="center"/>
          </w:tcPr>
          <w:p w14:paraId="5135E480">
            <w:pPr>
              <w:pStyle w:val="129"/>
              <w:widowControl w:val="0"/>
              <w:rPr>
                <w:rFonts w:eastAsia="Times New Roman"/>
                <w:color w:val="auto"/>
              </w:rPr>
            </w:pPr>
          </w:p>
        </w:tc>
        <w:tc>
          <w:tcPr>
            <w:tcW w:w="310" w:type="pct"/>
            <w:tcBorders>
              <w:top w:val="single" w:color="000000" w:sz="2" w:space="0"/>
              <w:left w:val="nil"/>
              <w:bottom w:val="single" w:color="000000" w:sz="2" w:space="0"/>
              <w:right w:val="single" w:color="000000" w:sz="2" w:space="0"/>
            </w:tcBorders>
            <w:vAlign w:val="center"/>
          </w:tcPr>
          <w:p w14:paraId="1B8BEDA6">
            <w:pPr>
              <w:pStyle w:val="129"/>
              <w:widowControl w:val="0"/>
              <w:rPr>
                <w:rFonts w:eastAsia="Times New Roman"/>
                <w:color w:val="auto"/>
              </w:rPr>
            </w:pPr>
            <w:r>
              <w:rPr>
                <w:rFonts w:eastAsia="Times New Roman"/>
                <w:color w:val="auto"/>
              </w:rPr>
              <w:t>0.000005</w:t>
            </w:r>
          </w:p>
        </w:tc>
        <w:tc>
          <w:tcPr>
            <w:tcW w:w="259" w:type="pct"/>
            <w:tcBorders>
              <w:top w:val="single" w:color="000000" w:sz="2" w:space="0"/>
              <w:left w:val="nil"/>
              <w:bottom w:val="single" w:color="000000" w:sz="2" w:space="0"/>
              <w:right w:val="single" w:color="000000" w:sz="2" w:space="0"/>
            </w:tcBorders>
            <w:vAlign w:val="center"/>
          </w:tcPr>
          <w:p w14:paraId="6228C967">
            <w:pPr>
              <w:pStyle w:val="129"/>
              <w:widowControl w:val="0"/>
              <w:rPr>
                <w:rFonts w:eastAsia="Times New Roman"/>
                <w:color w:val="auto"/>
              </w:rPr>
            </w:pPr>
          </w:p>
        </w:tc>
        <w:tc>
          <w:tcPr>
            <w:tcW w:w="277" w:type="pct"/>
            <w:tcBorders>
              <w:top w:val="single" w:color="000000" w:sz="2" w:space="0"/>
              <w:left w:val="nil"/>
              <w:bottom w:val="single" w:color="000000" w:sz="2" w:space="0"/>
              <w:right w:val="single" w:color="000000" w:sz="8" w:space="0"/>
            </w:tcBorders>
            <w:vAlign w:val="center"/>
          </w:tcPr>
          <w:p w14:paraId="51C354ED">
            <w:pPr>
              <w:pStyle w:val="129"/>
              <w:widowControl w:val="0"/>
              <w:rPr>
                <w:rFonts w:eastAsia="Times New Roman"/>
                <w:color w:val="auto"/>
              </w:rPr>
            </w:pPr>
          </w:p>
        </w:tc>
      </w:tr>
      <w:tr w14:paraId="08CF254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3CAC88F7">
            <w:pPr>
              <w:pStyle w:val="129"/>
              <w:widowControl w:val="0"/>
              <w:rPr>
                <w:rFonts w:eastAsia="Times New Roman"/>
                <w:color w:val="auto"/>
              </w:rPr>
            </w:pPr>
            <w:r>
              <w:rPr>
                <w:rFonts w:eastAsia="Times New Roman"/>
                <w:color w:val="auto"/>
              </w:rPr>
              <w:t>4</w:t>
            </w:r>
          </w:p>
        </w:tc>
        <w:tc>
          <w:tcPr>
            <w:tcW w:w="751" w:type="pct"/>
            <w:tcBorders>
              <w:top w:val="single" w:color="000000" w:sz="2" w:space="0"/>
              <w:left w:val="nil"/>
              <w:bottom w:val="single" w:color="000000" w:sz="2" w:space="0"/>
              <w:right w:val="single" w:color="000000" w:sz="2" w:space="0"/>
            </w:tcBorders>
            <w:vAlign w:val="center"/>
          </w:tcPr>
          <w:p w14:paraId="420F34F0">
            <w:pPr>
              <w:pStyle w:val="129"/>
              <w:widowControl w:val="0"/>
              <w:rPr>
                <w:rFonts w:eastAsia="Times New Roman"/>
                <w:color w:val="auto"/>
              </w:rPr>
            </w:pPr>
            <w:r>
              <w:rPr>
                <w:rFonts w:eastAsia="Times New Roman"/>
                <w:color w:val="auto"/>
              </w:rPr>
              <w:t>碳酸钠干燥包装排口</w:t>
            </w:r>
          </w:p>
        </w:tc>
        <w:tc>
          <w:tcPr>
            <w:tcW w:w="208" w:type="pct"/>
            <w:tcBorders>
              <w:top w:val="single" w:color="000000" w:sz="2" w:space="0"/>
              <w:left w:val="nil"/>
              <w:bottom w:val="single" w:color="000000" w:sz="2" w:space="0"/>
              <w:right w:val="single" w:color="000000" w:sz="2" w:space="0"/>
            </w:tcBorders>
            <w:vAlign w:val="center"/>
          </w:tcPr>
          <w:p w14:paraId="5C6EA06B">
            <w:pPr>
              <w:pStyle w:val="129"/>
              <w:widowControl w:val="0"/>
              <w:rPr>
                <w:rFonts w:eastAsia="Times New Roman"/>
                <w:color w:val="auto"/>
              </w:rPr>
            </w:pPr>
            <w:r>
              <w:rPr>
                <w:rFonts w:eastAsia="Times New Roman"/>
                <w:color w:val="auto"/>
              </w:rPr>
              <w:t>53</w:t>
            </w:r>
          </w:p>
        </w:tc>
        <w:tc>
          <w:tcPr>
            <w:tcW w:w="208" w:type="pct"/>
            <w:tcBorders>
              <w:top w:val="single" w:color="000000" w:sz="2" w:space="0"/>
              <w:left w:val="nil"/>
              <w:bottom w:val="single" w:color="000000" w:sz="2" w:space="0"/>
              <w:right w:val="single" w:color="000000" w:sz="2" w:space="0"/>
            </w:tcBorders>
            <w:vAlign w:val="center"/>
          </w:tcPr>
          <w:p w14:paraId="1B0D22C8">
            <w:pPr>
              <w:pStyle w:val="129"/>
              <w:widowControl w:val="0"/>
              <w:rPr>
                <w:rFonts w:eastAsia="Times New Roman"/>
                <w:color w:val="auto"/>
              </w:rPr>
            </w:pPr>
            <w:r>
              <w:rPr>
                <w:rFonts w:eastAsia="Times New Roman"/>
                <w:color w:val="auto"/>
              </w:rPr>
              <w:t>-52</w:t>
            </w:r>
          </w:p>
        </w:tc>
        <w:tc>
          <w:tcPr>
            <w:tcW w:w="208" w:type="pct"/>
            <w:tcBorders>
              <w:top w:val="single" w:color="000000" w:sz="2" w:space="0"/>
              <w:left w:val="nil"/>
              <w:bottom w:val="single" w:color="000000" w:sz="2" w:space="0"/>
              <w:right w:val="single" w:color="000000" w:sz="2" w:space="0"/>
            </w:tcBorders>
            <w:vAlign w:val="center"/>
          </w:tcPr>
          <w:p w14:paraId="61FC1A70">
            <w:pPr>
              <w:pStyle w:val="129"/>
              <w:widowControl w:val="0"/>
              <w:rPr>
                <w:rFonts w:eastAsia="Times New Roman"/>
                <w:color w:val="auto"/>
              </w:rPr>
            </w:pPr>
            <w:r>
              <w:rPr>
                <w:rFonts w:eastAsia="Times New Roman"/>
                <w:color w:val="auto"/>
              </w:rPr>
              <w:t>17</w:t>
            </w:r>
          </w:p>
        </w:tc>
        <w:tc>
          <w:tcPr>
            <w:tcW w:w="260" w:type="pct"/>
            <w:tcBorders>
              <w:top w:val="single" w:color="000000" w:sz="2" w:space="0"/>
              <w:left w:val="nil"/>
              <w:bottom w:val="single" w:color="000000" w:sz="2" w:space="0"/>
              <w:right w:val="single" w:color="000000" w:sz="2" w:space="0"/>
            </w:tcBorders>
            <w:vAlign w:val="center"/>
          </w:tcPr>
          <w:p w14:paraId="1F8F14FA">
            <w:pPr>
              <w:pStyle w:val="129"/>
              <w:widowControl w:val="0"/>
              <w:rPr>
                <w:rFonts w:eastAsia="Times New Roman"/>
                <w:color w:val="auto"/>
              </w:rPr>
            </w:pPr>
            <w:r>
              <w:rPr>
                <w:rFonts w:eastAsia="Times New Roman"/>
                <w:color w:val="auto"/>
              </w:rPr>
              <w:t>0.3</w:t>
            </w:r>
          </w:p>
        </w:tc>
        <w:tc>
          <w:tcPr>
            <w:tcW w:w="260" w:type="pct"/>
            <w:tcBorders>
              <w:top w:val="single" w:color="000000" w:sz="2" w:space="0"/>
              <w:left w:val="nil"/>
              <w:bottom w:val="single" w:color="000000" w:sz="2" w:space="0"/>
              <w:right w:val="single" w:color="000000" w:sz="2" w:space="0"/>
            </w:tcBorders>
            <w:vAlign w:val="center"/>
          </w:tcPr>
          <w:p w14:paraId="4F248FF0">
            <w:pPr>
              <w:pStyle w:val="129"/>
              <w:widowControl w:val="0"/>
              <w:rPr>
                <w:rFonts w:eastAsia="Times New Roman"/>
                <w:color w:val="auto"/>
              </w:rPr>
            </w:pPr>
            <w:r>
              <w:rPr>
                <w:rFonts w:eastAsia="Times New Roman"/>
                <w:color w:val="auto"/>
              </w:rPr>
              <w:t>40</w:t>
            </w:r>
          </w:p>
        </w:tc>
        <w:tc>
          <w:tcPr>
            <w:tcW w:w="364" w:type="pct"/>
            <w:tcBorders>
              <w:top w:val="single" w:color="000000" w:sz="2" w:space="0"/>
              <w:left w:val="nil"/>
              <w:bottom w:val="single" w:color="000000" w:sz="2" w:space="0"/>
              <w:right w:val="single" w:color="000000" w:sz="2" w:space="0"/>
            </w:tcBorders>
            <w:vAlign w:val="center"/>
          </w:tcPr>
          <w:p w14:paraId="48B2D137">
            <w:pPr>
              <w:pStyle w:val="129"/>
              <w:widowControl w:val="0"/>
              <w:rPr>
                <w:rFonts w:eastAsia="Times New Roman"/>
                <w:color w:val="auto"/>
              </w:rPr>
            </w:pPr>
            <w:r>
              <w:rPr>
                <w:rFonts w:eastAsia="Times New Roman"/>
                <w:color w:val="auto"/>
              </w:rPr>
              <w:t>3000</w:t>
            </w:r>
          </w:p>
        </w:tc>
        <w:tc>
          <w:tcPr>
            <w:tcW w:w="311" w:type="pct"/>
            <w:tcBorders>
              <w:top w:val="single" w:color="000000" w:sz="2" w:space="0"/>
              <w:left w:val="nil"/>
              <w:bottom w:val="single" w:color="000000" w:sz="2" w:space="0"/>
              <w:right w:val="single" w:color="000000" w:sz="2" w:space="0"/>
            </w:tcBorders>
            <w:vAlign w:val="center"/>
          </w:tcPr>
          <w:p w14:paraId="0F10FB75">
            <w:pPr>
              <w:pStyle w:val="129"/>
              <w:widowControl w:val="0"/>
              <w:rPr>
                <w:rFonts w:eastAsia="Times New Roman"/>
                <w:color w:val="auto"/>
              </w:rPr>
            </w:pPr>
            <w:r>
              <w:rPr>
                <w:rFonts w:eastAsia="Times New Roman"/>
                <w:color w:val="auto"/>
              </w:rPr>
              <w:t>8000</w:t>
            </w:r>
          </w:p>
        </w:tc>
        <w:tc>
          <w:tcPr>
            <w:tcW w:w="208" w:type="pct"/>
            <w:tcBorders>
              <w:top w:val="single" w:color="000000" w:sz="2" w:space="0"/>
              <w:left w:val="nil"/>
              <w:bottom w:val="single" w:color="000000" w:sz="2" w:space="0"/>
              <w:right w:val="single" w:color="000000" w:sz="2" w:space="0"/>
            </w:tcBorders>
            <w:vAlign w:val="center"/>
          </w:tcPr>
          <w:p w14:paraId="198B6E21">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150CAB6D">
            <w:pPr>
              <w:pStyle w:val="129"/>
              <w:widowControl w:val="0"/>
              <w:rPr>
                <w:rFonts w:eastAsia="Times New Roman"/>
                <w:color w:val="auto"/>
              </w:rPr>
            </w:pPr>
          </w:p>
        </w:tc>
        <w:tc>
          <w:tcPr>
            <w:tcW w:w="260" w:type="pct"/>
            <w:tcBorders>
              <w:top w:val="single" w:color="000000" w:sz="2" w:space="0"/>
              <w:left w:val="nil"/>
              <w:bottom w:val="single" w:color="000000" w:sz="2" w:space="0"/>
              <w:right w:val="single" w:color="000000" w:sz="2" w:space="0"/>
            </w:tcBorders>
            <w:vAlign w:val="center"/>
          </w:tcPr>
          <w:p w14:paraId="22193A5C">
            <w:pPr>
              <w:pStyle w:val="129"/>
              <w:widowControl w:val="0"/>
              <w:rPr>
                <w:rFonts w:eastAsia="Times New Roman"/>
                <w:color w:val="auto"/>
              </w:rPr>
            </w:pPr>
          </w:p>
        </w:tc>
        <w:tc>
          <w:tcPr>
            <w:tcW w:w="207" w:type="pct"/>
            <w:tcBorders>
              <w:top w:val="single" w:color="000000" w:sz="2" w:space="0"/>
              <w:left w:val="nil"/>
              <w:bottom w:val="single" w:color="000000" w:sz="2" w:space="0"/>
              <w:right w:val="single" w:color="000000" w:sz="2" w:space="0"/>
            </w:tcBorders>
            <w:vAlign w:val="center"/>
          </w:tcPr>
          <w:p w14:paraId="3CE09305">
            <w:pPr>
              <w:pStyle w:val="129"/>
              <w:widowControl w:val="0"/>
              <w:rPr>
                <w:rFonts w:eastAsia="Times New Roman"/>
                <w:color w:val="auto"/>
              </w:rPr>
            </w:pPr>
            <w:r>
              <w:rPr>
                <w:rFonts w:eastAsia="Times New Roman"/>
                <w:color w:val="auto"/>
              </w:rPr>
              <w:t>0.02</w:t>
            </w:r>
          </w:p>
        </w:tc>
        <w:tc>
          <w:tcPr>
            <w:tcW w:w="321" w:type="pct"/>
            <w:tcBorders>
              <w:top w:val="single" w:color="000000" w:sz="2" w:space="0"/>
              <w:left w:val="nil"/>
              <w:bottom w:val="single" w:color="000000" w:sz="2" w:space="0"/>
              <w:right w:val="single" w:color="000000" w:sz="2" w:space="0"/>
            </w:tcBorders>
            <w:vAlign w:val="center"/>
          </w:tcPr>
          <w:p w14:paraId="0E74F81E">
            <w:pPr>
              <w:pStyle w:val="129"/>
              <w:widowControl w:val="0"/>
              <w:rPr>
                <w:rFonts w:eastAsia="Times New Roman"/>
                <w:color w:val="auto"/>
              </w:rPr>
            </w:pPr>
            <w:r>
              <w:rPr>
                <w:rFonts w:eastAsia="Times New Roman"/>
                <w:color w:val="auto"/>
              </w:rPr>
              <w:t>0.010</w:t>
            </w:r>
          </w:p>
        </w:tc>
        <w:tc>
          <w:tcPr>
            <w:tcW w:w="199" w:type="pct"/>
            <w:tcBorders>
              <w:top w:val="single" w:color="000000" w:sz="2" w:space="0"/>
              <w:left w:val="nil"/>
              <w:bottom w:val="single" w:color="000000" w:sz="2" w:space="0"/>
              <w:right w:val="single" w:color="000000" w:sz="2" w:space="0"/>
            </w:tcBorders>
            <w:vAlign w:val="center"/>
          </w:tcPr>
          <w:p w14:paraId="385F4D72">
            <w:pPr>
              <w:pStyle w:val="129"/>
              <w:widowControl w:val="0"/>
              <w:rPr>
                <w:rFonts w:eastAsia="Times New Roman"/>
                <w:color w:val="auto"/>
              </w:rPr>
            </w:pPr>
          </w:p>
        </w:tc>
        <w:tc>
          <w:tcPr>
            <w:tcW w:w="310" w:type="pct"/>
            <w:tcBorders>
              <w:top w:val="single" w:color="000000" w:sz="2" w:space="0"/>
              <w:left w:val="nil"/>
              <w:bottom w:val="single" w:color="000000" w:sz="2" w:space="0"/>
              <w:right w:val="single" w:color="000000" w:sz="2" w:space="0"/>
            </w:tcBorders>
            <w:vAlign w:val="center"/>
          </w:tcPr>
          <w:p w14:paraId="3B2AF13F">
            <w:pPr>
              <w:pStyle w:val="129"/>
              <w:widowControl w:val="0"/>
              <w:rPr>
                <w:rFonts w:eastAsia="Times New Roman"/>
                <w:color w:val="auto"/>
              </w:rPr>
            </w:pPr>
          </w:p>
        </w:tc>
        <w:tc>
          <w:tcPr>
            <w:tcW w:w="259" w:type="pct"/>
            <w:tcBorders>
              <w:top w:val="single" w:color="000000" w:sz="2" w:space="0"/>
              <w:left w:val="nil"/>
              <w:bottom w:val="single" w:color="000000" w:sz="2" w:space="0"/>
              <w:right w:val="single" w:color="000000" w:sz="2" w:space="0"/>
            </w:tcBorders>
            <w:vAlign w:val="center"/>
          </w:tcPr>
          <w:p w14:paraId="7975C7C3">
            <w:pPr>
              <w:pStyle w:val="129"/>
              <w:widowControl w:val="0"/>
              <w:rPr>
                <w:rFonts w:eastAsia="Times New Roman"/>
                <w:color w:val="auto"/>
              </w:rPr>
            </w:pPr>
          </w:p>
        </w:tc>
        <w:tc>
          <w:tcPr>
            <w:tcW w:w="277" w:type="pct"/>
            <w:tcBorders>
              <w:top w:val="single" w:color="000000" w:sz="2" w:space="0"/>
              <w:left w:val="nil"/>
              <w:bottom w:val="single" w:color="000000" w:sz="2" w:space="0"/>
              <w:right w:val="single" w:color="000000" w:sz="8" w:space="0"/>
            </w:tcBorders>
            <w:vAlign w:val="center"/>
          </w:tcPr>
          <w:p w14:paraId="367D87CA">
            <w:pPr>
              <w:pStyle w:val="129"/>
              <w:widowControl w:val="0"/>
              <w:rPr>
                <w:rFonts w:eastAsia="Times New Roman"/>
                <w:color w:val="auto"/>
              </w:rPr>
            </w:pPr>
          </w:p>
        </w:tc>
      </w:tr>
      <w:tr w14:paraId="2C26B8B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0DD5E6EB">
            <w:pPr>
              <w:pStyle w:val="129"/>
              <w:widowControl w:val="0"/>
              <w:rPr>
                <w:rFonts w:eastAsia="Times New Roman"/>
                <w:color w:val="auto"/>
              </w:rPr>
            </w:pPr>
            <w:r>
              <w:rPr>
                <w:rFonts w:eastAsia="Times New Roman"/>
                <w:color w:val="auto"/>
              </w:rPr>
              <w:t>5</w:t>
            </w:r>
          </w:p>
        </w:tc>
        <w:tc>
          <w:tcPr>
            <w:tcW w:w="751" w:type="pct"/>
            <w:tcBorders>
              <w:top w:val="single" w:color="000000" w:sz="2" w:space="0"/>
              <w:left w:val="nil"/>
              <w:bottom w:val="single" w:color="000000" w:sz="2" w:space="0"/>
              <w:right w:val="single" w:color="000000" w:sz="2" w:space="0"/>
            </w:tcBorders>
            <w:vAlign w:val="center"/>
          </w:tcPr>
          <w:p w14:paraId="62087BD8">
            <w:pPr>
              <w:pStyle w:val="129"/>
              <w:widowControl w:val="0"/>
              <w:rPr>
                <w:rFonts w:eastAsia="Times New Roman"/>
                <w:color w:val="auto"/>
              </w:rPr>
            </w:pPr>
            <w:r>
              <w:rPr>
                <w:rFonts w:eastAsia="Times New Roman"/>
                <w:color w:val="auto"/>
              </w:rPr>
              <w:t>水铝石干燥包装排口</w:t>
            </w:r>
          </w:p>
        </w:tc>
        <w:tc>
          <w:tcPr>
            <w:tcW w:w="208" w:type="pct"/>
            <w:tcBorders>
              <w:top w:val="single" w:color="000000" w:sz="2" w:space="0"/>
              <w:left w:val="nil"/>
              <w:bottom w:val="single" w:color="000000" w:sz="2" w:space="0"/>
              <w:right w:val="single" w:color="000000" w:sz="2" w:space="0"/>
            </w:tcBorders>
            <w:vAlign w:val="center"/>
          </w:tcPr>
          <w:p w14:paraId="7A83E954">
            <w:pPr>
              <w:pStyle w:val="129"/>
              <w:widowControl w:val="0"/>
              <w:rPr>
                <w:rFonts w:eastAsia="Times New Roman"/>
                <w:color w:val="auto"/>
              </w:rPr>
            </w:pPr>
            <w:r>
              <w:rPr>
                <w:rFonts w:eastAsia="Times New Roman"/>
                <w:color w:val="auto"/>
              </w:rPr>
              <w:t>62</w:t>
            </w:r>
          </w:p>
        </w:tc>
        <w:tc>
          <w:tcPr>
            <w:tcW w:w="208" w:type="pct"/>
            <w:tcBorders>
              <w:top w:val="single" w:color="000000" w:sz="2" w:space="0"/>
              <w:left w:val="nil"/>
              <w:bottom w:val="single" w:color="000000" w:sz="2" w:space="0"/>
              <w:right w:val="single" w:color="000000" w:sz="2" w:space="0"/>
            </w:tcBorders>
            <w:vAlign w:val="center"/>
          </w:tcPr>
          <w:p w14:paraId="319B2FE1">
            <w:pPr>
              <w:pStyle w:val="129"/>
              <w:widowControl w:val="0"/>
              <w:rPr>
                <w:rFonts w:eastAsia="Times New Roman"/>
                <w:color w:val="auto"/>
              </w:rPr>
            </w:pPr>
            <w:r>
              <w:rPr>
                <w:rFonts w:eastAsia="Times New Roman"/>
                <w:color w:val="auto"/>
              </w:rPr>
              <w:t>-71</w:t>
            </w:r>
          </w:p>
        </w:tc>
        <w:tc>
          <w:tcPr>
            <w:tcW w:w="208" w:type="pct"/>
            <w:tcBorders>
              <w:top w:val="single" w:color="000000" w:sz="2" w:space="0"/>
              <w:left w:val="nil"/>
              <w:bottom w:val="single" w:color="000000" w:sz="2" w:space="0"/>
              <w:right w:val="single" w:color="000000" w:sz="2" w:space="0"/>
            </w:tcBorders>
            <w:vAlign w:val="center"/>
          </w:tcPr>
          <w:p w14:paraId="2988A807">
            <w:pPr>
              <w:pStyle w:val="129"/>
              <w:widowControl w:val="0"/>
              <w:rPr>
                <w:rFonts w:eastAsia="Times New Roman"/>
                <w:color w:val="auto"/>
              </w:rPr>
            </w:pPr>
            <w:r>
              <w:rPr>
                <w:rFonts w:eastAsia="Times New Roman"/>
                <w:color w:val="auto"/>
              </w:rPr>
              <w:t>17</w:t>
            </w:r>
          </w:p>
        </w:tc>
        <w:tc>
          <w:tcPr>
            <w:tcW w:w="260" w:type="pct"/>
            <w:tcBorders>
              <w:top w:val="single" w:color="000000" w:sz="2" w:space="0"/>
              <w:left w:val="nil"/>
              <w:bottom w:val="single" w:color="000000" w:sz="2" w:space="0"/>
              <w:right w:val="single" w:color="000000" w:sz="2" w:space="0"/>
            </w:tcBorders>
            <w:vAlign w:val="center"/>
          </w:tcPr>
          <w:p w14:paraId="7AA2CD7C">
            <w:pPr>
              <w:pStyle w:val="129"/>
              <w:widowControl w:val="0"/>
              <w:rPr>
                <w:rFonts w:eastAsia="Times New Roman"/>
                <w:color w:val="auto"/>
              </w:rPr>
            </w:pPr>
            <w:r>
              <w:rPr>
                <w:rFonts w:eastAsia="Times New Roman"/>
                <w:color w:val="auto"/>
              </w:rPr>
              <w:t>1</w:t>
            </w:r>
          </w:p>
        </w:tc>
        <w:tc>
          <w:tcPr>
            <w:tcW w:w="260" w:type="pct"/>
            <w:tcBorders>
              <w:top w:val="single" w:color="000000" w:sz="2" w:space="0"/>
              <w:left w:val="nil"/>
              <w:bottom w:val="single" w:color="000000" w:sz="2" w:space="0"/>
              <w:right w:val="single" w:color="000000" w:sz="2" w:space="0"/>
            </w:tcBorders>
            <w:vAlign w:val="center"/>
          </w:tcPr>
          <w:p w14:paraId="52B2100C">
            <w:pPr>
              <w:pStyle w:val="129"/>
              <w:widowControl w:val="0"/>
              <w:rPr>
                <w:rFonts w:eastAsia="Times New Roman"/>
                <w:color w:val="auto"/>
              </w:rPr>
            </w:pPr>
            <w:r>
              <w:rPr>
                <w:rFonts w:eastAsia="Times New Roman"/>
                <w:color w:val="auto"/>
              </w:rPr>
              <w:t>40</w:t>
            </w:r>
          </w:p>
        </w:tc>
        <w:tc>
          <w:tcPr>
            <w:tcW w:w="364" w:type="pct"/>
            <w:tcBorders>
              <w:top w:val="single" w:color="000000" w:sz="2" w:space="0"/>
              <w:left w:val="nil"/>
              <w:bottom w:val="single" w:color="000000" w:sz="2" w:space="0"/>
              <w:right w:val="single" w:color="000000" w:sz="2" w:space="0"/>
            </w:tcBorders>
            <w:vAlign w:val="center"/>
          </w:tcPr>
          <w:p w14:paraId="141E7BE5">
            <w:pPr>
              <w:pStyle w:val="129"/>
              <w:widowControl w:val="0"/>
              <w:rPr>
                <w:rFonts w:eastAsia="Times New Roman"/>
                <w:color w:val="auto"/>
              </w:rPr>
            </w:pPr>
            <w:r>
              <w:rPr>
                <w:rFonts w:eastAsia="Times New Roman"/>
                <w:color w:val="auto"/>
              </w:rPr>
              <w:t>36000</w:t>
            </w:r>
          </w:p>
        </w:tc>
        <w:tc>
          <w:tcPr>
            <w:tcW w:w="311" w:type="pct"/>
            <w:tcBorders>
              <w:top w:val="single" w:color="000000" w:sz="2" w:space="0"/>
              <w:left w:val="nil"/>
              <w:bottom w:val="single" w:color="000000" w:sz="2" w:space="0"/>
              <w:right w:val="single" w:color="000000" w:sz="2" w:space="0"/>
            </w:tcBorders>
            <w:vAlign w:val="center"/>
          </w:tcPr>
          <w:p w14:paraId="7083CA5E">
            <w:pPr>
              <w:pStyle w:val="129"/>
              <w:widowControl w:val="0"/>
              <w:rPr>
                <w:rFonts w:eastAsia="Times New Roman"/>
                <w:color w:val="auto"/>
              </w:rPr>
            </w:pPr>
            <w:r>
              <w:rPr>
                <w:rFonts w:eastAsia="Times New Roman"/>
                <w:color w:val="auto"/>
              </w:rPr>
              <w:t>8000</w:t>
            </w:r>
          </w:p>
        </w:tc>
        <w:tc>
          <w:tcPr>
            <w:tcW w:w="208" w:type="pct"/>
            <w:tcBorders>
              <w:top w:val="single" w:color="000000" w:sz="2" w:space="0"/>
              <w:left w:val="nil"/>
              <w:bottom w:val="single" w:color="000000" w:sz="2" w:space="0"/>
              <w:right w:val="single" w:color="000000" w:sz="2" w:space="0"/>
            </w:tcBorders>
            <w:vAlign w:val="center"/>
          </w:tcPr>
          <w:p w14:paraId="0AF7719C">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51CE3215">
            <w:pPr>
              <w:pStyle w:val="129"/>
              <w:widowControl w:val="0"/>
              <w:rPr>
                <w:rFonts w:eastAsia="Times New Roman"/>
                <w:color w:val="auto"/>
              </w:rPr>
            </w:pPr>
            <w:r>
              <w:rPr>
                <w:rFonts w:eastAsia="Times New Roman"/>
                <w:color w:val="auto"/>
              </w:rPr>
              <w:t>0.01</w:t>
            </w:r>
          </w:p>
        </w:tc>
        <w:tc>
          <w:tcPr>
            <w:tcW w:w="260" w:type="pct"/>
            <w:tcBorders>
              <w:top w:val="single" w:color="000000" w:sz="2" w:space="0"/>
              <w:left w:val="nil"/>
              <w:bottom w:val="single" w:color="000000" w:sz="2" w:space="0"/>
              <w:right w:val="single" w:color="000000" w:sz="2" w:space="0"/>
            </w:tcBorders>
            <w:vAlign w:val="center"/>
          </w:tcPr>
          <w:p w14:paraId="6E64233F">
            <w:pPr>
              <w:pStyle w:val="129"/>
              <w:widowControl w:val="0"/>
              <w:rPr>
                <w:rFonts w:eastAsia="Times New Roman"/>
                <w:color w:val="auto"/>
              </w:rPr>
            </w:pPr>
            <w:r>
              <w:rPr>
                <w:rFonts w:eastAsia="Times New Roman"/>
                <w:color w:val="auto"/>
              </w:rPr>
              <w:t>0.135</w:t>
            </w:r>
          </w:p>
        </w:tc>
        <w:tc>
          <w:tcPr>
            <w:tcW w:w="207" w:type="pct"/>
            <w:tcBorders>
              <w:top w:val="single" w:color="000000" w:sz="2" w:space="0"/>
              <w:left w:val="nil"/>
              <w:bottom w:val="single" w:color="000000" w:sz="2" w:space="0"/>
              <w:right w:val="single" w:color="000000" w:sz="2" w:space="0"/>
            </w:tcBorders>
            <w:vAlign w:val="center"/>
          </w:tcPr>
          <w:p w14:paraId="12A91D01">
            <w:pPr>
              <w:pStyle w:val="129"/>
              <w:widowControl w:val="0"/>
              <w:rPr>
                <w:rFonts w:eastAsia="Times New Roman"/>
                <w:color w:val="auto"/>
              </w:rPr>
            </w:pPr>
            <w:r>
              <w:rPr>
                <w:rFonts w:eastAsia="Times New Roman"/>
                <w:color w:val="auto"/>
              </w:rPr>
              <w:t>0.12</w:t>
            </w:r>
          </w:p>
        </w:tc>
        <w:tc>
          <w:tcPr>
            <w:tcW w:w="321" w:type="pct"/>
            <w:tcBorders>
              <w:top w:val="single" w:color="000000" w:sz="2" w:space="0"/>
              <w:left w:val="nil"/>
              <w:bottom w:val="single" w:color="000000" w:sz="2" w:space="0"/>
              <w:right w:val="single" w:color="000000" w:sz="2" w:space="0"/>
            </w:tcBorders>
            <w:vAlign w:val="center"/>
          </w:tcPr>
          <w:p w14:paraId="7CCA5F3D">
            <w:pPr>
              <w:pStyle w:val="129"/>
              <w:widowControl w:val="0"/>
              <w:rPr>
                <w:rFonts w:eastAsia="Times New Roman"/>
                <w:color w:val="auto"/>
              </w:rPr>
            </w:pPr>
            <w:r>
              <w:rPr>
                <w:rFonts w:eastAsia="Times New Roman"/>
                <w:color w:val="auto"/>
              </w:rPr>
              <w:t>0.060</w:t>
            </w:r>
          </w:p>
        </w:tc>
        <w:tc>
          <w:tcPr>
            <w:tcW w:w="199" w:type="pct"/>
            <w:tcBorders>
              <w:top w:val="single" w:color="000000" w:sz="2" w:space="0"/>
              <w:left w:val="nil"/>
              <w:bottom w:val="single" w:color="000000" w:sz="2" w:space="0"/>
              <w:right w:val="single" w:color="000000" w:sz="2" w:space="0"/>
            </w:tcBorders>
            <w:vAlign w:val="center"/>
          </w:tcPr>
          <w:p w14:paraId="7AB4A9FB">
            <w:pPr>
              <w:pStyle w:val="129"/>
              <w:widowControl w:val="0"/>
              <w:rPr>
                <w:rFonts w:eastAsia="Times New Roman"/>
                <w:color w:val="auto"/>
              </w:rPr>
            </w:pPr>
          </w:p>
        </w:tc>
        <w:tc>
          <w:tcPr>
            <w:tcW w:w="310" w:type="pct"/>
            <w:tcBorders>
              <w:top w:val="single" w:color="000000" w:sz="2" w:space="0"/>
              <w:left w:val="nil"/>
              <w:bottom w:val="single" w:color="000000" w:sz="2" w:space="0"/>
              <w:right w:val="single" w:color="000000" w:sz="2" w:space="0"/>
            </w:tcBorders>
            <w:vAlign w:val="center"/>
          </w:tcPr>
          <w:p w14:paraId="7FEA0814">
            <w:pPr>
              <w:pStyle w:val="129"/>
              <w:widowControl w:val="0"/>
              <w:rPr>
                <w:rFonts w:eastAsia="Times New Roman"/>
                <w:color w:val="auto"/>
              </w:rPr>
            </w:pPr>
          </w:p>
        </w:tc>
        <w:tc>
          <w:tcPr>
            <w:tcW w:w="259" w:type="pct"/>
            <w:tcBorders>
              <w:top w:val="single" w:color="000000" w:sz="2" w:space="0"/>
              <w:left w:val="nil"/>
              <w:bottom w:val="single" w:color="000000" w:sz="2" w:space="0"/>
              <w:right w:val="single" w:color="000000" w:sz="2" w:space="0"/>
            </w:tcBorders>
            <w:vAlign w:val="center"/>
          </w:tcPr>
          <w:p w14:paraId="5044D7E2">
            <w:pPr>
              <w:pStyle w:val="129"/>
              <w:widowControl w:val="0"/>
              <w:rPr>
                <w:rFonts w:eastAsia="Times New Roman"/>
                <w:color w:val="auto"/>
              </w:rPr>
            </w:pPr>
          </w:p>
        </w:tc>
        <w:tc>
          <w:tcPr>
            <w:tcW w:w="277" w:type="pct"/>
            <w:tcBorders>
              <w:top w:val="single" w:color="000000" w:sz="2" w:space="0"/>
              <w:left w:val="nil"/>
              <w:bottom w:val="single" w:color="000000" w:sz="2" w:space="0"/>
              <w:right w:val="single" w:color="000000" w:sz="8" w:space="0"/>
            </w:tcBorders>
            <w:vAlign w:val="center"/>
          </w:tcPr>
          <w:p w14:paraId="7C1AD33D">
            <w:pPr>
              <w:pStyle w:val="129"/>
              <w:widowControl w:val="0"/>
              <w:rPr>
                <w:rFonts w:eastAsia="Times New Roman"/>
                <w:color w:val="auto"/>
              </w:rPr>
            </w:pPr>
          </w:p>
        </w:tc>
      </w:tr>
      <w:tr w14:paraId="6DD3E34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6488C0CF">
            <w:pPr>
              <w:pStyle w:val="129"/>
              <w:widowControl w:val="0"/>
              <w:rPr>
                <w:rFonts w:eastAsia="Times New Roman"/>
                <w:color w:val="auto"/>
              </w:rPr>
            </w:pPr>
            <w:r>
              <w:rPr>
                <w:rFonts w:eastAsia="Times New Roman"/>
                <w:color w:val="auto"/>
              </w:rPr>
              <w:t>6</w:t>
            </w:r>
          </w:p>
        </w:tc>
        <w:tc>
          <w:tcPr>
            <w:tcW w:w="751" w:type="pct"/>
            <w:tcBorders>
              <w:top w:val="single" w:color="000000" w:sz="2" w:space="0"/>
              <w:left w:val="nil"/>
              <w:bottom w:val="single" w:color="000000" w:sz="2" w:space="0"/>
              <w:right w:val="single" w:color="000000" w:sz="2" w:space="0"/>
            </w:tcBorders>
            <w:vAlign w:val="center"/>
          </w:tcPr>
          <w:p w14:paraId="6D59A2DB">
            <w:pPr>
              <w:pStyle w:val="129"/>
              <w:widowControl w:val="0"/>
              <w:rPr>
                <w:rFonts w:eastAsia="Times New Roman"/>
                <w:color w:val="auto"/>
              </w:rPr>
            </w:pPr>
            <w:r>
              <w:rPr>
                <w:rFonts w:eastAsia="Times New Roman"/>
                <w:color w:val="auto"/>
              </w:rPr>
              <w:t>催化剂生产干燥废气总排口</w:t>
            </w:r>
          </w:p>
        </w:tc>
        <w:tc>
          <w:tcPr>
            <w:tcW w:w="208" w:type="pct"/>
            <w:tcBorders>
              <w:top w:val="single" w:color="000000" w:sz="2" w:space="0"/>
              <w:left w:val="nil"/>
              <w:bottom w:val="single" w:color="000000" w:sz="2" w:space="0"/>
              <w:right w:val="single" w:color="000000" w:sz="2" w:space="0"/>
            </w:tcBorders>
            <w:vAlign w:val="center"/>
          </w:tcPr>
          <w:p w14:paraId="22C9ADB6">
            <w:pPr>
              <w:pStyle w:val="129"/>
              <w:widowControl w:val="0"/>
              <w:rPr>
                <w:rFonts w:eastAsia="Times New Roman"/>
                <w:color w:val="auto"/>
              </w:rPr>
            </w:pPr>
            <w:r>
              <w:rPr>
                <w:rFonts w:eastAsia="Times New Roman"/>
                <w:color w:val="auto"/>
              </w:rPr>
              <w:t>45</w:t>
            </w:r>
          </w:p>
        </w:tc>
        <w:tc>
          <w:tcPr>
            <w:tcW w:w="208" w:type="pct"/>
            <w:tcBorders>
              <w:top w:val="single" w:color="000000" w:sz="2" w:space="0"/>
              <w:left w:val="nil"/>
              <w:bottom w:val="single" w:color="000000" w:sz="2" w:space="0"/>
              <w:right w:val="single" w:color="000000" w:sz="2" w:space="0"/>
            </w:tcBorders>
            <w:vAlign w:val="center"/>
          </w:tcPr>
          <w:p w14:paraId="2E19E63A">
            <w:pPr>
              <w:pStyle w:val="129"/>
              <w:widowControl w:val="0"/>
              <w:rPr>
                <w:rFonts w:eastAsia="Times New Roman"/>
                <w:color w:val="auto"/>
              </w:rPr>
            </w:pPr>
            <w:r>
              <w:rPr>
                <w:rFonts w:eastAsia="Times New Roman"/>
                <w:color w:val="auto"/>
              </w:rPr>
              <w:t>-93</w:t>
            </w:r>
          </w:p>
        </w:tc>
        <w:tc>
          <w:tcPr>
            <w:tcW w:w="208" w:type="pct"/>
            <w:tcBorders>
              <w:top w:val="single" w:color="000000" w:sz="2" w:space="0"/>
              <w:left w:val="nil"/>
              <w:bottom w:val="single" w:color="000000" w:sz="2" w:space="0"/>
              <w:right w:val="single" w:color="000000" w:sz="2" w:space="0"/>
            </w:tcBorders>
            <w:vAlign w:val="center"/>
          </w:tcPr>
          <w:p w14:paraId="32A20102">
            <w:pPr>
              <w:pStyle w:val="129"/>
              <w:widowControl w:val="0"/>
              <w:rPr>
                <w:rFonts w:eastAsia="Times New Roman"/>
                <w:color w:val="auto"/>
              </w:rPr>
            </w:pPr>
            <w:r>
              <w:rPr>
                <w:rFonts w:eastAsia="Times New Roman"/>
                <w:color w:val="auto"/>
              </w:rPr>
              <w:t>17</w:t>
            </w:r>
          </w:p>
        </w:tc>
        <w:tc>
          <w:tcPr>
            <w:tcW w:w="260" w:type="pct"/>
            <w:tcBorders>
              <w:top w:val="single" w:color="000000" w:sz="2" w:space="0"/>
              <w:left w:val="nil"/>
              <w:bottom w:val="single" w:color="000000" w:sz="2" w:space="0"/>
              <w:right w:val="single" w:color="000000" w:sz="2" w:space="0"/>
            </w:tcBorders>
            <w:vAlign w:val="center"/>
          </w:tcPr>
          <w:p w14:paraId="0C0D7D93">
            <w:pPr>
              <w:pStyle w:val="129"/>
              <w:widowControl w:val="0"/>
              <w:rPr>
                <w:rFonts w:eastAsia="Times New Roman"/>
                <w:color w:val="auto"/>
              </w:rPr>
            </w:pPr>
            <w:r>
              <w:rPr>
                <w:rFonts w:eastAsia="Times New Roman"/>
                <w:color w:val="auto"/>
              </w:rPr>
              <w:t>1</w:t>
            </w:r>
          </w:p>
        </w:tc>
        <w:tc>
          <w:tcPr>
            <w:tcW w:w="260" w:type="pct"/>
            <w:tcBorders>
              <w:top w:val="single" w:color="000000" w:sz="2" w:space="0"/>
              <w:left w:val="nil"/>
              <w:bottom w:val="single" w:color="000000" w:sz="2" w:space="0"/>
              <w:right w:val="single" w:color="000000" w:sz="2" w:space="0"/>
            </w:tcBorders>
            <w:vAlign w:val="center"/>
          </w:tcPr>
          <w:p w14:paraId="7C972DB1">
            <w:pPr>
              <w:pStyle w:val="129"/>
              <w:widowControl w:val="0"/>
              <w:rPr>
                <w:rFonts w:eastAsia="Times New Roman"/>
                <w:color w:val="auto"/>
              </w:rPr>
            </w:pPr>
            <w:r>
              <w:rPr>
                <w:rFonts w:eastAsia="Times New Roman"/>
                <w:color w:val="auto"/>
              </w:rPr>
              <w:t>65</w:t>
            </w:r>
          </w:p>
        </w:tc>
        <w:tc>
          <w:tcPr>
            <w:tcW w:w="364" w:type="pct"/>
            <w:tcBorders>
              <w:top w:val="single" w:color="000000" w:sz="2" w:space="0"/>
              <w:left w:val="nil"/>
              <w:bottom w:val="single" w:color="000000" w:sz="2" w:space="0"/>
              <w:right w:val="single" w:color="000000" w:sz="2" w:space="0"/>
            </w:tcBorders>
            <w:vAlign w:val="center"/>
          </w:tcPr>
          <w:p w14:paraId="4EC0CF78">
            <w:pPr>
              <w:pStyle w:val="129"/>
              <w:widowControl w:val="0"/>
              <w:rPr>
                <w:rFonts w:eastAsia="Times New Roman"/>
                <w:color w:val="auto"/>
              </w:rPr>
            </w:pPr>
            <w:r>
              <w:rPr>
                <w:rFonts w:eastAsia="Times New Roman"/>
                <w:color w:val="auto"/>
              </w:rPr>
              <w:t>46396</w:t>
            </w:r>
          </w:p>
        </w:tc>
        <w:tc>
          <w:tcPr>
            <w:tcW w:w="311" w:type="pct"/>
            <w:tcBorders>
              <w:top w:val="single" w:color="000000" w:sz="2" w:space="0"/>
              <w:left w:val="nil"/>
              <w:bottom w:val="single" w:color="000000" w:sz="2" w:space="0"/>
              <w:right w:val="single" w:color="000000" w:sz="2" w:space="0"/>
            </w:tcBorders>
            <w:vAlign w:val="center"/>
          </w:tcPr>
          <w:p w14:paraId="55E40549">
            <w:pPr>
              <w:pStyle w:val="129"/>
              <w:widowControl w:val="0"/>
              <w:rPr>
                <w:rFonts w:eastAsia="Times New Roman"/>
                <w:color w:val="auto"/>
              </w:rPr>
            </w:pPr>
            <w:r>
              <w:rPr>
                <w:rFonts w:eastAsia="Times New Roman"/>
                <w:color w:val="auto"/>
              </w:rPr>
              <w:t>8000</w:t>
            </w:r>
          </w:p>
        </w:tc>
        <w:tc>
          <w:tcPr>
            <w:tcW w:w="208" w:type="pct"/>
            <w:tcBorders>
              <w:top w:val="single" w:color="000000" w:sz="2" w:space="0"/>
              <w:left w:val="nil"/>
              <w:bottom w:val="single" w:color="000000" w:sz="2" w:space="0"/>
              <w:right w:val="single" w:color="000000" w:sz="2" w:space="0"/>
            </w:tcBorders>
            <w:vAlign w:val="center"/>
          </w:tcPr>
          <w:p w14:paraId="27ABA16E">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7E5CBF9D">
            <w:pPr>
              <w:pStyle w:val="129"/>
              <w:widowControl w:val="0"/>
              <w:rPr>
                <w:rFonts w:eastAsia="Times New Roman"/>
                <w:color w:val="auto"/>
              </w:rPr>
            </w:pPr>
            <w:r>
              <w:rPr>
                <w:rFonts w:eastAsia="Times New Roman"/>
                <w:color w:val="auto"/>
              </w:rPr>
              <w:t>0.02</w:t>
            </w:r>
          </w:p>
        </w:tc>
        <w:tc>
          <w:tcPr>
            <w:tcW w:w="260" w:type="pct"/>
            <w:tcBorders>
              <w:top w:val="single" w:color="000000" w:sz="2" w:space="0"/>
              <w:left w:val="nil"/>
              <w:bottom w:val="single" w:color="000000" w:sz="2" w:space="0"/>
              <w:right w:val="single" w:color="000000" w:sz="2" w:space="0"/>
            </w:tcBorders>
            <w:vAlign w:val="center"/>
          </w:tcPr>
          <w:p w14:paraId="472FF540">
            <w:pPr>
              <w:pStyle w:val="129"/>
              <w:widowControl w:val="0"/>
              <w:rPr>
                <w:rFonts w:eastAsia="Times New Roman"/>
                <w:color w:val="auto"/>
              </w:rPr>
            </w:pPr>
            <w:r>
              <w:rPr>
                <w:rFonts w:eastAsia="Times New Roman"/>
                <w:color w:val="auto"/>
              </w:rPr>
              <w:t>0.216</w:t>
            </w:r>
          </w:p>
        </w:tc>
        <w:tc>
          <w:tcPr>
            <w:tcW w:w="207" w:type="pct"/>
            <w:tcBorders>
              <w:top w:val="single" w:color="000000" w:sz="2" w:space="0"/>
              <w:left w:val="nil"/>
              <w:bottom w:val="single" w:color="000000" w:sz="2" w:space="0"/>
              <w:right w:val="single" w:color="000000" w:sz="2" w:space="0"/>
            </w:tcBorders>
            <w:vAlign w:val="center"/>
          </w:tcPr>
          <w:p w14:paraId="15E084F9">
            <w:pPr>
              <w:pStyle w:val="129"/>
              <w:widowControl w:val="0"/>
              <w:rPr>
                <w:rFonts w:eastAsia="Times New Roman"/>
                <w:color w:val="auto"/>
              </w:rPr>
            </w:pPr>
            <w:r>
              <w:rPr>
                <w:rFonts w:eastAsia="Times New Roman"/>
                <w:color w:val="auto"/>
              </w:rPr>
              <w:t>0.44</w:t>
            </w:r>
          </w:p>
        </w:tc>
        <w:tc>
          <w:tcPr>
            <w:tcW w:w="321" w:type="pct"/>
            <w:tcBorders>
              <w:top w:val="single" w:color="000000" w:sz="2" w:space="0"/>
              <w:left w:val="nil"/>
              <w:bottom w:val="single" w:color="000000" w:sz="2" w:space="0"/>
              <w:right w:val="single" w:color="000000" w:sz="2" w:space="0"/>
            </w:tcBorders>
            <w:vAlign w:val="center"/>
          </w:tcPr>
          <w:p w14:paraId="615A0D6F">
            <w:pPr>
              <w:pStyle w:val="129"/>
              <w:widowControl w:val="0"/>
              <w:rPr>
                <w:rFonts w:eastAsia="Times New Roman"/>
                <w:color w:val="auto"/>
              </w:rPr>
            </w:pPr>
            <w:r>
              <w:rPr>
                <w:rFonts w:eastAsia="Times New Roman"/>
                <w:color w:val="auto"/>
              </w:rPr>
              <w:t>0.220</w:t>
            </w:r>
          </w:p>
        </w:tc>
        <w:tc>
          <w:tcPr>
            <w:tcW w:w="199" w:type="pct"/>
            <w:tcBorders>
              <w:top w:val="single" w:color="000000" w:sz="2" w:space="0"/>
              <w:left w:val="nil"/>
              <w:bottom w:val="single" w:color="000000" w:sz="2" w:space="0"/>
              <w:right w:val="single" w:color="000000" w:sz="2" w:space="0"/>
            </w:tcBorders>
            <w:vAlign w:val="center"/>
          </w:tcPr>
          <w:p w14:paraId="56C25861">
            <w:pPr>
              <w:pStyle w:val="129"/>
              <w:widowControl w:val="0"/>
              <w:rPr>
                <w:rFonts w:eastAsia="Times New Roman"/>
                <w:color w:val="auto"/>
              </w:rPr>
            </w:pPr>
          </w:p>
        </w:tc>
        <w:tc>
          <w:tcPr>
            <w:tcW w:w="310" w:type="pct"/>
            <w:tcBorders>
              <w:top w:val="single" w:color="000000" w:sz="2" w:space="0"/>
              <w:left w:val="nil"/>
              <w:bottom w:val="single" w:color="000000" w:sz="2" w:space="0"/>
              <w:right w:val="single" w:color="000000" w:sz="2" w:space="0"/>
            </w:tcBorders>
            <w:vAlign w:val="center"/>
          </w:tcPr>
          <w:p w14:paraId="78C56125">
            <w:pPr>
              <w:pStyle w:val="129"/>
              <w:widowControl w:val="0"/>
              <w:rPr>
                <w:rFonts w:eastAsia="Times New Roman"/>
                <w:color w:val="auto"/>
              </w:rPr>
            </w:pPr>
          </w:p>
        </w:tc>
        <w:tc>
          <w:tcPr>
            <w:tcW w:w="259" w:type="pct"/>
            <w:tcBorders>
              <w:top w:val="single" w:color="000000" w:sz="2" w:space="0"/>
              <w:left w:val="nil"/>
              <w:bottom w:val="single" w:color="000000" w:sz="2" w:space="0"/>
              <w:right w:val="single" w:color="000000" w:sz="2" w:space="0"/>
            </w:tcBorders>
            <w:vAlign w:val="center"/>
          </w:tcPr>
          <w:p w14:paraId="472CB576">
            <w:pPr>
              <w:pStyle w:val="129"/>
              <w:widowControl w:val="0"/>
              <w:rPr>
                <w:rFonts w:eastAsia="Times New Roman"/>
                <w:color w:val="auto"/>
              </w:rPr>
            </w:pPr>
          </w:p>
        </w:tc>
        <w:tc>
          <w:tcPr>
            <w:tcW w:w="277" w:type="pct"/>
            <w:tcBorders>
              <w:top w:val="single" w:color="000000" w:sz="2" w:space="0"/>
              <w:left w:val="nil"/>
              <w:bottom w:val="single" w:color="000000" w:sz="2" w:space="0"/>
              <w:right w:val="single" w:color="000000" w:sz="8" w:space="0"/>
            </w:tcBorders>
            <w:vAlign w:val="center"/>
          </w:tcPr>
          <w:p w14:paraId="193A54CC">
            <w:pPr>
              <w:pStyle w:val="129"/>
              <w:widowControl w:val="0"/>
              <w:rPr>
                <w:rFonts w:eastAsia="Times New Roman"/>
                <w:color w:val="auto"/>
              </w:rPr>
            </w:pPr>
          </w:p>
        </w:tc>
      </w:tr>
      <w:tr w14:paraId="27A1450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74C344CD">
            <w:pPr>
              <w:pStyle w:val="129"/>
              <w:widowControl w:val="0"/>
              <w:rPr>
                <w:rFonts w:eastAsia="Times New Roman"/>
                <w:color w:val="auto"/>
              </w:rPr>
            </w:pPr>
            <w:r>
              <w:rPr>
                <w:rFonts w:eastAsia="Times New Roman"/>
                <w:color w:val="auto"/>
              </w:rPr>
              <w:t>7</w:t>
            </w:r>
          </w:p>
        </w:tc>
        <w:tc>
          <w:tcPr>
            <w:tcW w:w="751" w:type="pct"/>
            <w:tcBorders>
              <w:top w:val="single" w:color="000000" w:sz="2" w:space="0"/>
              <w:left w:val="nil"/>
              <w:bottom w:val="single" w:color="000000" w:sz="2" w:space="0"/>
              <w:right w:val="single" w:color="000000" w:sz="2" w:space="0"/>
            </w:tcBorders>
            <w:vAlign w:val="center"/>
          </w:tcPr>
          <w:p w14:paraId="02337239">
            <w:pPr>
              <w:pStyle w:val="129"/>
              <w:widowControl w:val="0"/>
              <w:rPr>
                <w:rFonts w:eastAsia="Times New Roman"/>
                <w:color w:val="auto"/>
              </w:rPr>
            </w:pPr>
            <w:r>
              <w:rPr>
                <w:rFonts w:eastAsia="Times New Roman"/>
                <w:color w:val="auto"/>
              </w:rPr>
              <w:t>催化剂生产焙烧废气总排口</w:t>
            </w:r>
          </w:p>
        </w:tc>
        <w:tc>
          <w:tcPr>
            <w:tcW w:w="208" w:type="pct"/>
            <w:tcBorders>
              <w:top w:val="single" w:color="000000" w:sz="2" w:space="0"/>
              <w:left w:val="nil"/>
              <w:bottom w:val="single" w:color="000000" w:sz="2" w:space="0"/>
              <w:right w:val="single" w:color="000000" w:sz="2" w:space="0"/>
            </w:tcBorders>
            <w:vAlign w:val="center"/>
          </w:tcPr>
          <w:p w14:paraId="0AB1B107">
            <w:pPr>
              <w:pStyle w:val="129"/>
              <w:widowControl w:val="0"/>
              <w:rPr>
                <w:rFonts w:eastAsia="Times New Roman"/>
                <w:color w:val="auto"/>
              </w:rPr>
            </w:pPr>
            <w:r>
              <w:rPr>
                <w:rFonts w:eastAsia="Times New Roman"/>
                <w:color w:val="auto"/>
              </w:rPr>
              <w:t>17</w:t>
            </w:r>
          </w:p>
        </w:tc>
        <w:tc>
          <w:tcPr>
            <w:tcW w:w="208" w:type="pct"/>
            <w:tcBorders>
              <w:top w:val="single" w:color="000000" w:sz="2" w:space="0"/>
              <w:left w:val="nil"/>
              <w:bottom w:val="single" w:color="000000" w:sz="2" w:space="0"/>
              <w:right w:val="single" w:color="000000" w:sz="2" w:space="0"/>
            </w:tcBorders>
            <w:vAlign w:val="center"/>
          </w:tcPr>
          <w:p w14:paraId="5DE1157D">
            <w:pPr>
              <w:pStyle w:val="129"/>
              <w:widowControl w:val="0"/>
              <w:rPr>
                <w:rFonts w:eastAsia="Times New Roman"/>
                <w:color w:val="auto"/>
              </w:rPr>
            </w:pPr>
            <w:r>
              <w:rPr>
                <w:rFonts w:eastAsia="Times New Roman"/>
                <w:color w:val="auto"/>
              </w:rPr>
              <w:t>-114</w:t>
            </w:r>
          </w:p>
        </w:tc>
        <w:tc>
          <w:tcPr>
            <w:tcW w:w="208" w:type="pct"/>
            <w:tcBorders>
              <w:top w:val="single" w:color="000000" w:sz="2" w:space="0"/>
              <w:left w:val="nil"/>
              <w:bottom w:val="single" w:color="000000" w:sz="2" w:space="0"/>
              <w:right w:val="single" w:color="000000" w:sz="2" w:space="0"/>
            </w:tcBorders>
            <w:vAlign w:val="center"/>
          </w:tcPr>
          <w:p w14:paraId="1F0232DF">
            <w:pPr>
              <w:pStyle w:val="129"/>
              <w:widowControl w:val="0"/>
              <w:rPr>
                <w:rFonts w:eastAsia="Times New Roman"/>
                <w:color w:val="auto"/>
              </w:rPr>
            </w:pPr>
            <w:r>
              <w:rPr>
                <w:rFonts w:eastAsia="Times New Roman"/>
                <w:color w:val="auto"/>
              </w:rPr>
              <w:t>17</w:t>
            </w:r>
          </w:p>
        </w:tc>
        <w:tc>
          <w:tcPr>
            <w:tcW w:w="260" w:type="pct"/>
            <w:tcBorders>
              <w:top w:val="single" w:color="000000" w:sz="2" w:space="0"/>
              <w:left w:val="nil"/>
              <w:bottom w:val="single" w:color="000000" w:sz="2" w:space="0"/>
              <w:right w:val="single" w:color="000000" w:sz="2" w:space="0"/>
            </w:tcBorders>
            <w:vAlign w:val="center"/>
          </w:tcPr>
          <w:p w14:paraId="326650BB">
            <w:pPr>
              <w:pStyle w:val="129"/>
              <w:widowControl w:val="0"/>
              <w:rPr>
                <w:rFonts w:eastAsia="Times New Roman"/>
                <w:color w:val="auto"/>
              </w:rPr>
            </w:pPr>
            <w:r>
              <w:rPr>
                <w:rFonts w:eastAsia="Times New Roman"/>
                <w:color w:val="auto"/>
              </w:rPr>
              <w:t>0.4</w:t>
            </w:r>
          </w:p>
        </w:tc>
        <w:tc>
          <w:tcPr>
            <w:tcW w:w="260" w:type="pct"/>
            <w:tcBorders>
              <w:top w:val="single" w:color="000000" w:sz="2" w:space="0"/>
              <w:left w:val="nil"/>
              <w:bottom w:val="single" w:color="000000" w:sz="2" w:space="0"/>
              <w:right w:val="single" w:color="000000" w:sz="2" w:space="0"/>
            </w:tcBorders>
            <w:vAlign w:val="center"/>
          </w:tcPr>
          <w:p w14:paraId="1A33E6DC">
            <w:pPr>
              <w:pStyle w:val="129"/>
              <w:widowControl w:val="0"/>
              <w:rPr>
                <w:rFonts w:eastAsia="Times New Roman"/>
                <w:color w:val="auto"/>
              </w:rPr>
            </w:pPr>
            <w:r>
              <w:rPr>
                <w:rFonts w:eastAsia="Times New Roman"/>
                <w:color w:val="auto"/>
              </w:rPr>
              <w:t>80</w:t>
            </w:r>
          </w:p>
        </w:tc>
        <w:tc>
          <w:tcPr>
            <w:tcW w:w="364" w:type="pct"/>
            <w:tcBorders>
              <w:top w:val="single" w:color="000000" w:sz="2" w:space="0"/>
              <w:left w:val="nil"/>
              <w:bottom w:val="single" w:color="000000" w:sz="2" w:space="0"/>
              <w:right w:val="single" w:color="000000" w:sz="2" w:space="0"/>
            </w:tcBorders>
            <w:vAlign w:val="center"/>
          </w:tcPr>
          <w:p w14:paraId="542C3FFE">
            <w:pPr>
              <w:pStyle w:val="129"/>
              <w:widowControl w:val="0"/>
              <w:rPr>
                <w:rFonts w:eastAsia="Times New Roman"/>
                <w:color w:val="auto"/>
              </w:rPr>
            </w:pPr>
            <w:r>
              <w:rPr>
                <w:rFonts w:eastAsia="Times New Roman"/>
                <w:color w:val="auto"/>
              </w:rPr>
              <w:t>5800</w:t>
            </w:r>
          </w:p>
        </w:tc>
        <w:tc>
          <w:tcPr>
            <w:tcW w:w="311" w:type="pct"/>
            <w:tcBorders>
              <w:top w:val="single" w:color="000000" w:sz="2" w:space="0"/>
              <w:left w:val="nil"/>
              <w:bottom w:val="single" w:color="000000" w:sz="2" w:space="0"/>
              <w:right w:val="single" w:color="000000" w:sz="2" w:space="0"/>
            </w:tcBorders>
            <w:vAlign w:val="center"/>
          </w:tcPr>
          <w:p w14:paraId="409FC459">
            <w:pPr>
              <w:pStyle w:val="129"/>
              <w:widowControl w:val="0"/>
              <w:rPr>
                <w:rFonts w:eastAsia="Times New Roman"/>
                <w:color w:val="auto"/>
              </w:rPr>
            </w:pPr>
            <w:r>
              <w:rPr>
                <w:rFonts w:eastAsia="Times New Roman"/>
                <w:color w:val="auto"/>
              </w:rPr>
              <w:t>8000</w:t>
            </w:r>
          </w:p>
        </w:tc>
        <w:tc>
          <w:tcPr>
            <w:tcW w:w="208" w:type="pct"/>
            <w:tcBorders>
              <w:top w:val="single" w:color="000000" w:sz="2" w:space="0"/>
              <w:left w:val="nil"/>
              <w:bottom w:val="single" w:color="000000" w:sz="2" w:space="0"/>
              <w:right w:val="single" w:color="000000" w:sz="2" w:space="0"/>
            </w:tcBorders>
            <w:vAlign w:val="center"/>
          </w:tcPr>
          <w:p w14:paraId="4C3C5256">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412F9C70">
            <w:pPr>
              <w:pStyle w:val="129"/>
              <w:widowControl w:val="0"/>
              <w:rPr>
                <w:rFonts w:eastAsia="Times New Roman"/>
                <w:color w:val="auto"/>
              </w:rPr>
            </w:pPr>
          </w:p>
        </w:tc>
        <w:tc>
          <w:tcPr>
            <w:tcW w:w="260" w:type="pct"/>
            <w:tcBorders>
              <w:top w:val="single" w:color="000000" w:sz="2" w:space="0"/>
              <w:left w:val="nil"/>
              <w:bottom w:val="single" w:color="000000" w:sz="2" w:space="0"/>
              <w:right w:val="single" w:color="000000" w:sz="2" w:space="0"/>
            </w:tcBorders>
            <w:vAlign w:val="center"/>
          </w:tcPr>
          <w:p w14:paraId="5A913D71">
            <w:pPr>
              <w:pStyle w:val="129"/>
              <w:widowControl w:val="0"/>
              <w:rPr>
                <w:rFonts w:eastAsia="Times New Roman"/>
                <w:color w:val="auto"/>
              </w:rPr>
            </w:pPr>
            <w:r>
              <w:rPr>
                <w:rFonts w:eastAsia="Times New Roman"/>
                <w:color w:val="auto"/>
              </w:rPr>
              <w:t>0.333</w:t>
            </w:r>
          </w:p>
        </w:tc>
        <w:tc>
          <w:tcPr>
            <w:tcW w:w="207" w:type="pct"/>
            <w:tcBorders>
              <w:top w:val="single" w:color="000000" w:sz="2" w:space="0"/>
              <w:left w:val="nil"/>
              <w:bottom w:val="single" w:color="000000" w:sz="2" w:space="0"/>
              <w:right w:val="single" w:color="000000" w:sz="2" w:space="0"/>
            </w:tcBorders>
            <w:vAlign w:val="center"/>
          </w:tcPr>
          <w:p w14:paraId="10EF0034">
            <w:pPr>
              <w:pStyle w:val="129"/>
              <w:widowControl w:val="0"/>
              <w:rPr>
                <w:rFonts w:eastAsia="Times New Roman"/>
                <w:color w:val="auto"/>
              </w:rPr>
            </w:pPr>
            <w:r>
              <w:rPr>
                <w:rFonts w:eastAsia="Times New Roman"/>
                <w:color w:val="auto"/>
              </w:rPr>
              <w:t>0.02</w:t>
            </w:r>
          </w:p>
        </w:tc>
        <w:tc>
          <w:tcPr>
            <w:tcW w:w="321" w:type="pct"/>
            <w:tcBorders>
              <w:top w:val="single" w:color="000000" w:sz="2" w:space="0"/>
              <w:left w:val="nil"/>
              <w:bottom w:val="single" w:color="000000" w:sz="2" w:space="0"/>
              <w:right w:val="single" w:color="000000" w:sz="2" w:space="0"/>
            </w:tcBorders>
            <w:vAlign w:val="center"/>
          </w:tcPr>
          <w:p w14:paraId="3BE790CD">
            <w:pPr>
              <w:pStyle w:val="129"/>
              <w:widowControl w:val="0"/>
              <w:rPr>
                <w:rFonts w:eastAsia="Times New Roman"/>
                <w:color w:val="auto"/>
              </w:rPr>
            </w:pPr>
            <w:r>
              <w:rPr>
                <w:rFonts w:eastAsia="Times New Roman"/>
                <w:color w:val="auto"/>
              </w:rPr>
              <w:t>0.010</w:t>
            </w:r>
          </w:p>
        </w:tc>
        <w:tc>
          <w:tcPr>
            <w:tcW w:w="199" w:type="pct"/>
            <w:tcBorders>
              <w:top w:val="single" w:color="000000" w:sz="2" w:space="0"/>
              <w:left w:val="nil"/>
              <w:bottom w:val="single" w:color="000000" w:sz="2" w:space="0"/>
              <w:right w:val="single" w:color="000000" w:sz="2" w:space="0"/>
            </w:tcBorders>
            <w:vAlign w:val="center"/>
          </w:tcPr>
          <w:p w14:paraId="3DAACE02">
            <w:pPr>
              <w:pStyle w:val="129"/>
              <w:widowControl w:val="0"/>
              <w:rPr>
                <w:rFonts w:eastAsia="Times New Roman"/>
                <w:color w:val="auto"/>
              </w:rPr>
            </w:pPr>
            <w:r>
              <w:rPr>
                <w:rFonts w:eastAsia="Times New Roman"/>
                <w:color w:val="auto"/>
              </w:rPr>
              <w:t>0.01</w:t>
            </w:r>
          </w:p>
        </w:tc>
        <w:tc>
          <w:tcPr>
            <w:tcW w:w="310" w:type="pct"/>
            <w:tcBorders>
              <w:top w:val="single" w:color="000000" w:sz="2" w:space="0"/>
              <w:left w:val="nil"/>
              <w:bottom w:val="single" w:color="000000" w:sz="2" w:space="0"/>
              <w:right w:val="single" w:color="000000" w:sz="2" w:space="0"/>
            </w:tcBorders>
            <w:vAlign w:val="center"/>
          </w:tcPr>
          <w:p w14:paraId="5CADEBC8">
            <w:pPr>
              <w:pStyle w:val="129"/>
              <w:widowControl w:val="0"/>
              <w:rPr>
                <w:rFonts w:eastAsia="Times New Roman"/>
                <w:color w:val="auto"/>
              </w:rPr>
            </w:pPr>
          </w:p>
        </w:tc>
        <w:tc>
          <w:tcPr>
            <w:tcW w:w="259" w:type="pct"/>
            <w:tcBorders>
              <w:top w:val="single" w:color="000000" w:sz="2" w:space="0"/>
              <w:left w:val="nil"/>
              <w:bottom w:val="single" w:color="000000" w:sz="2" w:space="0"/>
              <w:right w:val="single" w:color="000000" w:sz="2" w:space="0"/>
            </w:tcBorders>
            <w:vAlign w:val="center"/>
          </w:tcPr>
          <w:p w14:paraId="173B3552">
            <w:pPr>
              <w:pStyle w:val="129"/>
              <w:widowControl w:val="0"/>
              <w:rPr>
                <w:rFonts w:eastAsia="Times New Roman"/>
                <w:color w:val="auto"/>
              </w:rPr>
            </w:pPr>
            <w:r>
              <w:rPr>
                <w:rFonts w:eastAsia="Times New Roman"/>
                <w:color w:val="auto"/>
              </w:rPr>
              <w:t>0.0001</w:t>
            </w:r>
          </w:p>
        </w:tc>
        <w:tc>
          <w:tcPr>
            <w:tcW w:w="277" w:type="pct"/>
            <w:tcBorders>
              <w:top w:val="single" w:color="000000" w:sz="2" w:space="0"/>
              <w:left w:val="nil"/>
              <w:bottom w:val="single" w:color="000000" w:sz="2" w:space="0"/>
              <w:right w:val="single" w:color="000000" w:sz="8" w:space="0"/>
            </w:tcBorders>
            <w:vAlign w:val="center"/>
          </w:tcPr>
          <w:p w14:paraId="55794036">
            <w:pPr>
              <w:pStyle w:val="129"/>
              <w:widowControl w:val="0"/>
              <w:rPr>
                <w:rFonts w:eastAsia="Times New Roman"/>
                <w:color w:val="auto"/>
              </w:rPr>
            </w:pPr>
            <w:r>
              <w:rPr>
                <w:rFonts w:eastAsia="Times New Roman"/>
                <w:color w:val="auto"/>
              </w:rPr>
              <w:t>0.0001</w:t>
            </w:r>
          </w:p>
        </w:tc>
      </w:tr>
      <w:tr w14:paraId="5C17192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70E1656B">
            <w:pPr>
              <w:pStyle w:val="129"/>
              <w:widowControl w:val="0"/>
              <w:rPr>
                <w:rFonts w:eastAsia="Times New Roman"/>
                <w:color w:val="auto"/>
              </w:rPr>
            </w:pPr>
            <w:r>
              <w:rPr>
                <w:rFonts w:eastAsia="Times New Roman"/>
                <w:color w:val="auto"/>
              </w:rPr>
              <w:t>8</w:t>
            </w:r>
          </w:p>
        </w:tc>
        <w:tc>
          <w:tcPr>
            <w:tcW w:w="751" w:type="pct"/>
            <w:tcBorders>
              <w:top w:val="single" w:color="000000" w:sz="2" w:space="0"/>
              <w:left w:val="nil"/>
              <w:bottom w:val="single" w:color="000000" w:sz="2" w:space="0"/>
              <w:right w:val="single" w:color="000000" w:sz="2" w:space="0"/>
            </w:tcBorders>
            <w:vAlign w:val="center"/>
          </w:tcPr>
          <w:p w14:paraId="11FCB834">
            <w:pPr>
              <w:pStyle w:val="129"/>
              <w:widowControl w:val="0"/>
              <w:rPr>
                <w:rFonts w:eastAsia="Times New Roman"/>
                <w:color w:val="auto"/>
              </w:rPr>
            </w:pPr>
            <w:r>
              <w:rPr>
                <w:rFonts w:eastAsia="Times New Roman"/>
                <w:color w:val="auto"/>
              </w:rPr>
              <w:t>混捏、催化剂、载体筛分包装废气</w:t>
            </w:r>
          </w:p>
        </w:tc>
        <w:tc>
          <w:tcPr>
            <w:tcW w:w="208" w:type="pct"/>
            <w:tcBorders>
              <w:top w:val="single" w:color="000000" w:sz="2" w:space="0"/>
              <w:left w:val="nil"/>
              <w:bottom w:val="single" w:color="000000" w:sz="2" w:space="0"/>
              <w:right w:val="single" w:color="000000" w:sz="2" w:space="0"/>
            </w:tcBorders>
            <w:vAlign w:val="center"/>
          </w:tcPr>
          <w:p w14:paraId="27335FF6">
            <w:pPr>
              <w:pStyle w:val="129"/>
              <w:widowControl w:val="0"/>
              <w:rPr>
                <w:rFonts w:eastAsia="Times New Roman"/>
                <w:color w:val="auto"/>
              </w:rPr>
            </w:pPr>
            <w:r>
              <w:rPr>
                <w:rFonts w:eastAsia="Times New Roman"/>
                <w:color w:val="auto"/>
              </w:rPr>
              <w:t>77</w:t>
            </w:r>
          </w:p>
        </w:tc>
        <w:tc>
          <w:tcPr>
            <w:tcW w:w="208" w:type="pct"/>
            <w:tcBorders>
              <w:top w:val="single" w:color="000000" w:sz="2" w:space="0"/>
              <w:left w:val="nil"/>
              <w:bottom w:val="single" w:color="000000" w:sz="2" w:space="0"/>
              <w:right w:val="single" w:color="000000" w:sz="2" w:space="0"/>
            </w:tcBorders>
            <w:vAlign w:val="center"/>
          </w:tcPr>
          <w:p w14:paraId="78F51543">
            <w:pPr>
              <w:pStyle w:val="129"/>
              <w:widowControl w:val="0"/>
              <w:rPr>
                <w:rFonts w:eastAsia="Times New Roman"/>
                <w:color w:val="auto"/>
              </w:rPr>
            </w:pPr>
            <w:r>
              <w:rPr>
                <w:rFonts w:eastAsia="Times New Roman"/>
                <w:color w:val="auto"/>
              </w:rPr>
              <w:t>-83</w:t>
            </w:r>
          </w:p>
        </w:tc>
        <w:tc>
          <w:tcPr>
            <w:tcW w:w="208" w:type="pct"/>
            <w:tcBorders>
              <w:top w:val="single" w:color="000000" w:sz="2" w:space="0"/>
              <w:left w:val="nil"/>
              <w:bottom w:val="single" w:color="000000" w:sz="2" w:space="0"/>
              <w:right w:val="single" w:color="000000" w:sz="2" w:space="0"/>
            </w:tcBorders>
            <w:vAlign w:val="center"/>
          </w:tcPr>
          <w:p w14:paraId="6D3DB4AE">
            <w:pPr>
              <w:pStyle w:val="129"/>
              <w:widowControl w:val="0"/>
              <w:rPr>
                <w:rFonts w:eastAsia="Times New Roman"/>
                <w:color w:val="auto"/>
              </w:rPr>
            </w:pPr>
            <w:r>
              <w:rPr>
                <w:rFonts w:eastAsia="Times New Roman"/>
                <w:color w:val="auto"/>
              </w:rPr>
              <w:t>17</w:t>
            </w:r>
          </w:p>
        </w:tc>
        <w:tc>
          <w:tcPr>
            <w:tcW w:w="260" w:type="pct"/>
            <w:tcBorders>
              <w:top w:val="single" w:color="000000" w:sz="2" w:space="0"/>
              <w:left w:val="nil"/>
              <w:bottom w:val="single" w:color="000000" w:sz="2" w:space="0"/>
              <w:right w:val="single" w:color="000000" w:sz="2" w:space="0"/>
            </w:tcBorders>
            <w:vAlign w:val="center"/>
          </w:tcPr>
          <w:p w14:paraId="73497576">
            <w:pPr>
              <w:pStyle w:val="129"/>
              <w:widowControl w:val="0"/>
              <w:rPr>
                <w:rFonts w:eastAsia="Times New Roman"/>
                <w:color w:val="auto"/>
              </w:rPr>
            </w:pPr>
            <w:r>
              <w:rPr>
                <w:rFonts w:eastAsia="Times New Roman"/>
                <w:color w:val="auto"/>
              </w:rPr>
              <w:t>0.3</w:t>
            </w:r>
          </w:p>
        </w:tc>
        <w:tc>
          <w:tcPr>
            <w:tcW w:w="260" w:type="pct"/>
            <w:tcBorders>
              <w:top w:val="single" w:color="000000" w:sz="2" w:space="0"/>
              <w:left w:val="nil"/>
              <w:bottom w:val="single" w:color="000000" w:sz="2" w:space="0"/>
              <w:right w:val="single" w:color="000000" w:sz="2" w:space="0"/>
            </w:tcBorders>
            <w:vAlign w:val="center"/>
          </w:tcPr>
          <w:p w14:paraId="642C329D">
            <w:pPr>
              <w:pStyle w:val="129"/>
              <w:widowControl w:val="0"/>
              <w:rPr>
                <w:rFonts w:eastAsia="Times New Roman"/>
                <w:color w:val="auto"/>
              </w:rPr>
            </w:pPr>
            <w:r>
              <w:rPr>
                <w:rFonts w:eastAsia="Times New Roman"/>
                <w:color w:val="auto"/>
              </w:rPr>
              <w:t>25</w:t>
            </w:r>
          </w:p>
        </w:tc>
        <w:tc>
          <w:tcPr>
            <w:tcW w:w="364" w:type="pct"/>
            <w:tcBorders>
              <w:top w:val="single" w:color="000000" w:sz="2" w:space="0"/>
              <w:left w:val="nil"/>
              <w:bottom w:val="single" w:color="000000" w:sz="2" w:space="0"/>
              <w:right w:val="single" w:color="000000" w:sz="2" w:space="0"/>
            </w:tcBorders>
            <w:vAlign w:val="center"/>
          </w:tcPr>
          <w:p w14:paraId="0E9EAFE4">
            <w:pPr>
              <w:pStyle w:val="129"/>
              <w:widowControl w:val="0"/>
              <w:rPr>
                <w:rFonts w:eastAsia="Times New Roman"/>
                <w:color w:val="auto"/>
              </w:rPr>
            </w:pPr>
            <w:r>
              <w:rPr>
                <w:rFonts w:eastAsia="Times New Roman"/>
                <w:color w:val="auto"/>
              </w:rPr>
              <w:t>3000</w:t>
            </w:r>
          </w:p>
        </w:tc>
        <w:tc>
          <w:tcPr>
            <w:tcW w:w="311" w:type="pct"/>
            <w:tcBorders>
              <w:top w:val="single" w:color="000000" w:sz="2" w:space="0"/>
              <w:left w:val="nil"/>
              <w:bottom w:val="single" w:color="000000" w:sz="2" w:space="0"/>
              <w:right w:val="single" w:color="000000" w:sz="2" w:space="0"/>
            </w:tcBorders>
            <w:vAlign w:val="center"/>
          </w:tcPr>
          <w:p w14:paraId="78CE8528">
            <w:pPr>
              <w:pStyle w:val="129"/>
              <w:widowControl w:val="0"/>
              <w:rPr>
                <w:rFonts w:eastAsia="Times New Roman"/>
                <w:color w:val="auto"/>
              </w:rPr>
            </w:pPr>
            <w:r>
              <w:rPr>
                <w:rFonts w:eastAsia="Times New Roman"/>
                <w:color w:val="auto"/>
              </w:rPr>
              <w:t>8000</w:t>
            </w:r>
          </w:p>
        </w:tc>
        <w:tc>
          <w:tcPr>
            <w:tcW w:w="208" w:type="pct"/>
            <w:tcBorders>
              <w:top w:val="single" w:color="000000" w:sz="2" w:space="0"/>
              <w:left w:val="nil"/>
              <w:bottom w:val="single" w:color="000000" w:sz="2" w:space="0"/>
              <w:right w:val="single" w:color="000000" w:sz="2" w:space="0"/>
            </w:tcBorders>
            <w:vAlign w:val="center"/>
          </w:tcPr>
          <w:p w14:paraId="25D74CBD">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4FA7B637">
            <w:pPr>
              <w:pStyle w:val="129"/>
              <w:widowControl w:val="0"/>
              <w:rPr>
                <w:rFonts w:eastAsia="Times New Roman"/>
                <w:color w:val="auto"/>
              </w:rPr>
            </w:pPr>
          </w:p>
        </w:tc>
        <w:tc>
          <w:tcPr>
            <w:tcW w:w="260" w:type="pct"/>
            <w:tcBorders>
              <w:top w:val="single" w:color="000000" w:sz="2" w:space="0"/>
              <w:left w:val="nil"/>
              <w:bottom w:val="single" w:color="000000" w:sz="2" w:space="0"/>
              <w:right w:val="single" w:color="000000" w:sz="2" w:space="0"/>
            </w:tcBorders>
            <w:vAlign w:val="center"/>
          </w:tcPr>
          <w:p w14:paraId="700647BA">
            <w:pPr>
              <w:pStyle w:val="129"/>
              <w:widowControl w:val="0"/>
              <w:rPr>
                <w:rFonts w:eastAsia="Times New Roman"/>
                <w:color w:val="auto"/>
              </w:rPr>
            </w:pPr>
          </w:p>
        </w:tc>
        <w:tc>
          <w:tcPr>
            <w:tcW w:w="207" w:type="pct"/>
            <w:tcBorders>
              <w:top w:val="single" w:color="000000" w:sz="2" w:space="0"/>
              <w:left w:val="nil"/>
              <w:bottom w:val="single" w:color="000000" w:sz="2" w:space="0"/>
              <w:right w:val="single" w:color="000000" w:sz="2" w:space="0"/>
            </w:tcBorders>
            <w:vAlign w:val="center"/>
          </w:tcPr>
          <w:p w14:paraId="3BFA8C0D">
            <w:pPr>
              <w:pStyle w:val="129"/>
              <w:widowControl w:val="0"/>
              <w:rPr>
                <w:rFonts w:eastAsia="Times New Roman"/>
                <w:color w:val="auto"/>
              </w:rPr>
            </w:pPr>
            <w:r>
              <w:rPr>
                <w:rFonts w:eastAsia="Times New Roman"/>
                <w:color w:val="auto"/>
              </w:rPr>
              <w:t>0.02</w:t>
            </w:r>
          </w:p>
        </w:tc>
        <w:tc>
          <w:tcPr>
            <w:tcW w:w="321" w:type="pct"/>
            <w:tcBorders>
              <w:top w:val="single" w:color="000000" w:sz="2" w:space="0"/>
              <w:left w:val="nil"/>
              <w:bottom w:val="single" w:color="000000" w:sz="2" w:space="0"/>
              <w:right w:val="single" w:color="000000" w:sz="2" w:space="0"/>
            </w:tcBorders>
            <w:vAlign w:val="center"/>
          </w:tcPr>
          <w:p w14:paraId="15DBB4B4">
            <w:pPr>
              <w:pStyle w:val="129"/>
              <w:widowControl w:val="0"/>
              <w:rPr>
                <w:rFonts w:eastAsia="Times New Roman"/>
                <w:color w:val="auto"/>
              </w:rPr>
            </w:pPr>
            <w:r>
              <w:rPr>
                <w:rFonts w:eastAsia="Times New Roman"/>
                <w:color w:val="auto"/>
              </w:rPr>
              <w:t>0.010</w:t>
            </w:r>
          </w:p>
        </w:tc>
        <w:tc>
          <w:tcPr>
            <w:tcW w:w="199" w:type="pct"/>
            <w:tcBorders>
              <w:top w:val="single" w:color="000000" w:sz="2" w:space="0"/>
              <w:left w:val="nil"/>
              <w:bottom w:val="single" w:color="000000" w:sz="2" w:space="0"/>
              <w:right w:val="single" w:color="000000" w:sz="2" w:space="0"/>
            </w:tcBorders>
            <w:vAlign w:val="center"/>
          </w:tcPr>
          <w:p w14:paraId="28B01909">
            <w:pPr>
              <w:pStyle w:val="129"/>
              <w:widowControl w:val="0"/>
              <w:rPr>
                <w:rFonts w:eastAsia="Times New Roman"/>
                <w:color w:val="auto"/>
              </w:rPr>
            </w:pPr>
          </w:p>
        </w:tc>
        <w:tc>
          <w:tcPr>
            <w:tcW w:w="310" w:type="pct"/>
            <w:tcBorders>
              <w:top w:val="single" w:color="000000" w:sz="2" w:space="0"/>
              <w:left w:val="nil"/>
              <w:bottom w:val="single" w:color="000000" w:sz="2" w:space="0"/>
              <w:right w:val="single" w:color="000000" w:sz="2" w:space="0"/>
            </w:tcBorders>
            <w:vAlign w:val="center"/>
          </w:tcPr>
          <w:p w14:paraId="06BD383A">
            <w:pPr>
              <w:pStyle w:val="129"/>
              <w:widowControl w:val="0"/>
              <w:rPr>
                <w:rFonts w:eastAsia="Times New Roman"/>
                <w:color w:val="auto"/>
              </w:rPr>
            </w:pPr>
          </w:p>
        </w:tc>
        <w:tc>
          <w:tcPr>
            <w:tcW w:w="259" w:type="pct"/>
            <w:tcBorders>
              <w:top w:val="single" w:color="000000" w:sz="2" w:space="0"/>
              <w:left w:val="nil"/>
              <w:bottom w:val="single" w:color="000000" w:sz="2" w:space="0"/>
              <w:right w:val="single" w:color="000000" w:sz="2" w:space="0"/>
            </w:tcBorders>
            <w:vAlign w:val="center"/>
          </w:tcPr>
          <w:p w14:paraId="2422C743">
            <w:pPr>
              <w:pStyle w:val="129"/>
              <w:widowControl w:val="0"/>
              <w:rPr>
                <w:rFonts w:eastAsia="Times New Roman"/>
                <w:color w:val="auto"/>
              </w:rPr>
            </w:pPr>
            <w:r>
              <w:rPr>
                <w:rFonts w:eastAsia="Times New Roman"/>
                <w:color w:val="auto"/>
              </w:rPr>
              <w:t>0.0001</w:t>
            </w:r>
          </w:p>
        </w:tc>
        <w:tc>
          <w:tcPr>
            <w:tcW w:w="277" w:type="pct"/>
            <w:tcBorders>
              <w:top w:val="single" w:color="000000" w:sz="2" w:space="0"/>
              <w:left w:val="nil"/>
              <w:bottom w:val="single" w:color="000000" w:sz="2" w:space="0"/>
              <w:right w:val="single" w:color="000000" w:sz="8" w:space="0"/>
            </w:tcBorders>
            <w:vAlign w:val="center"/>
          </w:tcPr>
          <w:p w14:paraId="65432609">
            <w:pPr>
              <w:pStyle w:val="129"/>
              <w:widowControl w:val="0"/>
              <w:rPr>
                <w:rFonts w:eastAsia="Times New Roman"/>
                <w:color w:val="auto"/>
              </w:rPr>
            </w:pPr>
            <w:r>
              <w:rPr>
                <w:rFonts w:eastAsia="Times New Roman"/>
                <w:color w:val="auto"/>
              </w:rPr>
              <w:t>0.0002</w:t>
            </w:r>
          </w:p>
        </w:tc>
      </w:tr>
      <w:tr w14:paraId="369F99C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2" w:space="0"/>
              <w:right w:val="single" w:color="000000" w:sz="2" w:space="0"/>
            </w:tcBorders>
            <w:vAlign w:val="center"/>
          </w:tcPr>
          <w:p w14:paraId="7D2D1754">
            <w:pPr>
              <w:pStyle w:val="129"/>
              <w:widowControl w:val="0"/>
              <w:rPr>
                <w:rFonts w:eastAsia="Times New Roman"/>
                <w:color w:val="auto"/>
              </w:rPr>
            </w:pPr>
            <w:r>
              <w:rPr>
                <w:rFonts w:eastAsia="Times New Roman"/>
                <w:color w:val="auto"/>
              </w:rPr>
              <w:t>9</w:t>
            </w:r>
          </w:p>
        </w:tc>
        <w:tc>
          <w:tcPr>
            <w:tcW w:w="751" w:type="pct"/>
            <w:tcBorders>
              <w:top w:val="single" w:color="000000" w:sz="2" w:space="0"/>
              <w:left w:val="nil"/>
              <w:bottom w:val="single" w:color="000000" w:sz="2" w:space="0"/>
              <w:right w:val="single" w:color="000000" w:sz="2" w:space="0"/>
            </w:tcBorders>
            <w:vAlign w:val="center"/>
          </w:tcPr>
          <w:p w14:paraId="45E4DEC3">
            <w:pPr>
              <w:pStyle w:val="129"/>
              <w:widowControl w:val="0"/>
              <w:rPr>
                <w:rFonts w:eastAsia="Times New Roman"/>
                <w:color w:val="auto"/>
              </w:rPr>
            </w:pPr>
            <w:r>
              <w:rPr>
                <w:rFonts w:eastAsia="Times New Roman"/>
                <w:color w:val="auto"/>
              </w:rPr>
              <w:t>燃气锅炉废气1</w:t>
            </w:r>
          </w:p>
        </w:tc>
        <w:tc>
          <w:tcPr>
            <w:tcW w:w="208" w:type="pct"/>
            <w:tcBorders>
              <w:top w:val="single" w:color="000000" w:sz="2" w:space="0"/>
              <w:left w:val="nil"/>
              <w:bottom w:val="single" w:color="000000" w:sz="2" w:space="0"/>
              <w:right w:val="single" w:color="000000" w:sz="2" w:space="0"/>
            </w:tcBorders>
            <w:vAlign w:val="center"/>
          </w:tcPr>
          <w:p w14:paraId="7842B262">
            <w:pPr>
              <w:pStyle w:val="129"/>
              <w:widowControl w:val="0"/>
              <w:rPr>
                <w:rFonts w:eastAsia="Times New Roman"/>
                <w:color w:val="auto"/>
              </w:rPr>
            </w:pPr>
            <w:r>
              <w:rPr>
                <w:rFonts w:eastAsia="Times New Roman"/>
                <w:color w:val="auto"/>
              </w:rPr>
              <w:t>24</w:t>
            </w:r>
          </w:p>
        </w:tc>
        <w:tc>
          <w:tcPr>
            <w:tcW w:w="208" w:type="pct"/>
            <w:tcBorders>
              <w:top w:val="single" w:color="000000" w:sz="2" w:space="0"/>
              <w:left w:val="nil"/>
              <w:bottom w:val="single" w:color="000000" w:sz="2" w:space="0"/>
              <w:right w:val="single" w:color="000000" w:sz="2" w:space="0"/>
            </w:tcBorders>
            <w:vAlign w:val="center"/>
          </w:tcPr>
          <w:p w14:paraId="31C247BF">
            <w:pPr>
              <w:pStyle w:val="129"/>
              <w:widowControl w:val="0"/>
              <w:rPr>
                <w:rFonts w:eastAsia="Times New Roman"/>
                <w:color w:val="auto"/>
              </w:rPr>
            </w:pPr>
            <w:r>
              <w:rPr>
                <w:rFonts w:eastAsia="Times New Roman"/>
                <w:color w:val="auto"/>
              </w:rPr>
              <w:t>-126</w:t>
            </w:r>
          </w:p>
        </w:tc>
        <w:tc>
          <w:tcPr>
            <w:tcW w:w="208" w:type="pct"/>
            <w:tcBorders>
              <w:top w:val="single" w:color="000000" w:sz="2" w:space="0"/>
              <w:left w:val="nil"/>
              <w:bottom w:val="single" w:color="000000" w:sz="2" w:space="0"/>
              <w:right w:val="single" w:color="000000" w:sz="2" w:space="0"/>
            </w:tcBorders>
            <w:vAlign w:val="center"/>
          </w:tcPr>
          <w:p w14:paraId="054744D4">
            <w:pPr>
              <w:pStyle w:val="129"/>
              <w:widowControl w:val="0"/>
              <w:rPr>
                <w:rFonts w:eastAsia="Times New Roman"/>
                <w:color w:val="auto"/>
              </w:rPr>
            </w:pPr>
            <w:r>
              <w:rPr>
                <w:rFonts w:eastAsia="Times New Roman"/>
                <w:color w:val="auto"/>
              </w:rPr>
              <w:t>15</w:t>
            </w:r>
          </w:p>
        </w:tc>
        <w:tc>
          <w:tcPr>
            <w:tcW w:w="260" w:type="pct"/>
            <w:tcBorders>
              <w:top w:val="single" w:color="000000" w:sz="2" w:space="0"/>
              <w:left w:val="nil"/>
              <w:bottom w:val="single" w:color="000000" w:sz="2" w:space="0"/>
              <w:right w:val="single" w:color="000000" w:sz="2" w:space="0"/>
            </w:tcBorders>
            <w:vAlign w:val="center"/>
          </w:tcPr>
          <w:p w14:paraId="1A2835B6">
            <w:pPr>
              <w:pStyle w:val="129"/>
              <w:widowControl w:val="0"/>
              <w:rPr>
                <w:rFonts w:eastAsia="Times New Roman"/>
                <w:color w:val="auto"/>
              </w:rPr>
            </w:pPr>
            <w:r>
              <w:rPr>
                <w:rFonts w:eastAsia="Times New Roman"/>
                <w:color w:val="auto"/>
              </w:rPr>
              <w:t>0.4</w:t>
            </w:r>
          </w:p>
        </w:tc>
        <w:tc>
          <w:tcPr>
            <w:tcW w:w="260" w:type="pct"/>
            <w:tcBorders>
              <w:top w:val="single" w:color="000000" w:sz="2" w:space="0"/>
              <w:left w:val="nil"/>
              <w:bottom w:val="single" w:color="000000" w:sz="2" w:space="0"/>
              <w:right w:val="single" w:color="000000" w:sz="2" w:space="0"/>
            </w:tcBorders>
            <w:vAlign w:val="center"/>
          </w:tcPr>
          <w:p w14:paraId="13A13F8B">
            <w:pPr>
              <w:pStyle w:val="129"/>
              <w:widowControl w:val="0"/>
              <w:rPr>
                <w:rFonts w:eastAsia="Times New Roman"/>
                <w:color w:val="auto"/>
              </w:rPr>
            </w:pPr>
            <w:r>
              <w:rPr>
                <w:rFonts w:eastAsia="Times New Roman"/>
                <w:color w:val="auto"/>
              </w:rPr>
              <w:t>80</w:t>
            </w:r>
          </w:p>
        </w:tc>
        <w:tc>
          <w:tcPr>
            <w:tcW w:w="364" w:type="pct"/>
            <w:tcBorders>
              <w:top w:val="single" w:color="000000" w:sz="2" w:space="0"/>
              <w:left w:val="nil"/>
              <w:bottom w:val="single" w:color="000000" w:sz="2" w:space="0"/>
              <w:right w:val="single" w:color="000000" w:sz="2" w:space="0"/>
            </w:tcBorders>
            <w:vAlign w:val="center"/>
          </w:tcPr>
          <w:p w14:paraId="2C0F625B">
            <w:pPr>
              <w:pStyle w:val="129"/>
              <w:widowControl w:val="0"/>
              <w:rPr>
                <w:rFonts w:eastAsia="Times New Roman"/>
                <w:color w:val="auto"/>
              </w:rPr>
            </w:pPr>
            <w:r>
              <w:rPr>
                <w:rFonts w:eastAsia="Times New Roman"/>
                <w:color w:val="auto"/>
              </w:rPr>
              <w:t>6616</w:t>
            </w:r>
          </w:p>
        </w:tc>
        <w:tc>
          <w:tcPr>
            <w:tcW w:w="311" w:type="pct"/>
            <w:tcBorders>
              <w:top w:val="single" w:color="000000" w:sz="2" w:space="0"/>
              <w:left w:val="nil"/>
              <w:bottom w:val="single" w:color="000000" w:sz="2" w:space="0"/>
              <w:right w:val="single" w:color="000000" w:sz="2" w:space="0"/>
            </w:tcBorders>
            <w:vAlign w:val="center"/>
          </w:tcPr>
          <w:p w14:paraId="653D1300">
            <w:pPr>
              <w:pStyle w:val="129"/>
              <w:widowControl w:val="0"/>
              <w:rPr>
                <w:rFonts w:eastAsia="Times New Roman"/>
                <w:color w:val="auto"/>
              </w:rPr>
            </w:pPr>
            <w:r>
              <w:rPr>
                <w:rFonts w:eastAsiaTheme="minorEastAsia"/>
                <w:color w:val="auto"/>
              </w:rPr>
              <w:t>72</w:t>
            </w:r>
            <w:r>
              <w:rPr>
                <w:rFonts w:eastAsia="Times New Roman"/>
                <w:color w:val="auto"/>
              </w:rPr>
              <w:t>0</w:t>
            </w:r>
          </w:p>
        </w:tc>
        <w:tc>
          <w:tcPr>
            <w:tcW w:w="208" w:type="pct"/>
            <w:tcBorders>
              <w:top w:val="single" w:color="000000" w:sz="2" w:space="0"/>
              <w:left w:val="nil"/>
              <w:bottom w:val="single" w:color="000000" w:sz="2" w:space="0"/>
              <w:right w:val="single" w:color="000000" w:sz="2" w:space="0"/>
            </w:tcBorders>
            <w:vAlign w:val="center"/>
          </w:tcPr>
          <w:p w14:paraId="730ECDF3">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2" w:space="0"/>
              <w:right w:val="single" w:color="000000" w:sz="2" w:space="0"/>
            </w:tcBorders>
            <w:vAlign w:val="center"/>
          </w:tcPr>
          <w:p w14:paraId="19FFD326">
            <w:pPr>
              <w:pStyle w:val="129"/>
              <w:widowControl w:val="0"/>
              <w:rPr>
                <w:rFonts w:eastAsia="Times New Roman"/>
                <w:color w:val="auto"/>
              </w:rPr>
            </w:pPr>
            <w:r>
              <w:rPr>
                <w:rFonts w:eastAsia="Times New Roman"/>
                <w:color w:val="auto"/>
              </w:rPr>
              <w:t>0.015</w:t>
            </w:r>
          </w:p>
        </w:tc>
        <w:tc>
          <w:tcPr>
            <w:tcW w:w="260" w:type="pct"/>
            <w:tcBorders>
              <w:top w:val="single" w:color="000000" w:sz="2" w:space="0"/>
              <w:left w:val="nil"/>
              <w:bottom w:val="single" w:color="000000" w:sz="2" w:space="0"/>
              <w:right w:val="single" w:color="000000" w:sz="2" w:space="0"/>
            </w:tcBorders>
            <w:vAlign w:val="center"/>
          </w:tcPr>
          <w:p w14:paraId="065413A1">
            <w:pPr>
              <w:pStyle w:val="129"/>
              <w:widowControl w:val="0"/>
              <w:rPr>
                <w:rFonts w:eastAsia="Times New Roman"/>
                <w:color w:val="auto"/>
              </w:rPr>
            </w:pPr>
            <w:r>
              <w:rPr>
                <w:rFonts w:eastAsia="Times New Roman"/>
                <w:color w:val="auto"/>
              </w:rPr>
              <w:t>0.1674</w:t>
            </w:r>
          </w:p>
        </w:tc>
        <w:tc>
          <w:tcPr>
            <w:tcW w:w="207" w:type="pct"/>
            <w:tcBorders>
              <w:top w:val="single" w:color="000000" w:sz="2" w:space="0"/>
              <w:left w:val="nil"/>
              <w:bottom w:val="single" w:color="000000" w:sz="2" w:space="0"/>
              <w:right w:val="single" w:color="000000" w:sz="2" w:space="0"/>
            </w:tcBorders>
            <w:vAlign w:val="center"/>
          </w:tcPr>
          <w:p w14:paraId="6281AB27">
            <w:pPr>
              <w:pStyle w:val="129"/>
              <w:widowControl w:val="0"/>
              <w:rPr>
                <w:rFonts w:eastAsia="Times New Roman"/>
                <w:color w:val="auto"/>
              </w:rPr>
            </w:pPr>
            <w:r>
              <w:rPr>
                <w:rFonts w:eastAsia="Times New Roman"/>
                <w:color w:val="auto"/>
              </w:rPr>
              <w:t>0.066</w:t>
            </w:r>
          </w:p>
        </w:tc>
        <w:tc>
          <w:tcPr>
            <w:tcW w:w="321" w:type="pct"/>
            <w:tcBorders>
              <w:top w:val="single" w:color="000000" w:sz="2" w:space="0"/>
              <w:left w:val="nil"/>
              <w:bottom w:val="single" w:color="000000" w:sz="2" w:space="0"/>
              <w:right w:val="single" w:color="000000" w:sz="2" w:space="0"/>
            </w:tcBorders>
            <w:vAlign w:val="center"/>
          </w:tcPr>
          <w:p w14:paraId="238FE2B1">
            <w:pPr>
              <w:pStyle w:val="129"/>
              <w:widowControl w:val="0"/>
              <w:rPr>
                <w:rFonts w:eastAsia="Times New Roman"/>
                <w:color w:val="auto"/>
              </w:rPr>
            </w:pPr>
            <w:r>
              <w:rPr>
                <w:rFonts w:eastAsia="Times New Roman"/>
                <w:color w:val="auto"/>
              </w:rPr>
              <w:t>0.033</w:t>
            </w:r>
          </w:p>
        </w:tc>
        <w:tc>
          <w:tcPr>
            <w:tcW w:w="199" w:type="pct"/>
            <w:tcBorders>
              <w:top w:val="single" w:color="000000" w:sz="2" w:space="0"/>
              <w:left w:val="nil"/>
              <w:bottom w:val="single" w:color="000000" w:sz="2" w:space="0"/>
              <w:right w:val="single" w:color="000000" w:sz="2" w:space="0"/>
            </w:tcBorders>
            <w:vAlign w:val="center"/>
          </w:tcPr>
          <w:p w14:paraId="61F86CE0">
            <w:pPr>
              <w:pStyle w:val="129"/>
              <w:widowControl w:val="0"/>
              <w:rPr>
                <w:rFonts w:eastAsia="Times New Roman"/>
                <w:color w:val="auto"/>
              </w:rPr>
            </w:pPr>
          </w:p>
        </w:tc>
        <w:tc>
          <w:tcPr>
            <w:tcW w:w="310" w:type="pct"/>
            <w:tcBorders>
              <w:top w:val="single" w:color="000000" w:sz="2" w:space="0"/>
              <w:left w:val="nil"/>
              <w:bottom w:val="single" w:color="000000" w:sz="2" w:space="0"/>
              <w:right w:val="single" w:color="000000" w:sz="2" w:space="0"/>
            </w:tcBorders>
            <w:vAlign w:val="center"/>
          </w:tcPr>
          <w:p w14:paraId="1275BFA5">
            <w:pPr>
              <w:pStyle w:val="129"/>
              <w:widowControl w:val="0"/>
              <w:rPr>
                <w:rFonts w:eastAsia="Times New Roman"/>
                <w:color w:val="auto"/>
              </w:rPr>
            </w:pPr>
          </w:p>
        </w:tc>
        <w:tc>
          <w:tcPr>
            <w:tcW w:w="259" w:type="pct"/>
            <w:tcBorders>
              <w:top w:val="single" w:color="000000" w:sz="2" w:space="0"/>
              <w:left w:val="nil"/>
              <w:bottom w:val="single" w:color="000000" w:sz="2" w:space="0"/>
              <w:right w:val="single" w:color="000000" w:sz="2" w:space="0"/>
            </w:tcBorders>
            <w:vAlign w:val="center"/>
          </w:tcPr>
          <w:p w14:paraId="4A45D07E">
            <w:pPr>
              <w:pStyle w:val="129"/>
              <w:widowControl w:val="0"/>
              <w:rPr>
                <w:rFonts w:eastAsia="Times New Roman"/>
                <w:color w:val="auto"/>
              </w:rPr>
            </w:pPr>
          </w:p>
        </w:tc>
        <w:tc>
          <w:tcPr>
            <w:tcW w:w="277" w:type="pct"/>
            <w:tcBorders>
              <w:top w:val="single" w:color="000000" w:sz="2" w:space="0"/>
              <w:left w:val="nil"/>
              <w:bottom w:val="single" w:color="000000" w:sz="2" w:space="0"/>
              <w:right w:val="single" w:color="000000" w:sz="8" w:space="0"/>
            </w:tcBorders>
            <w:vAlign w:val="center"/>
          </w:tcPr>
          <w:p w14:paraId="735C4A69">
            <w:pPr>
              <w:pStyle w:val="129"/>
              <w:widowControl w:val="0"/>
              <w:rPr>
                <w:rFonts w:eastAsia="Times New Roman"/>
                <w:color w:val="auto"/>
              </w:rPr>
            </w:pPr>
          </w:p>
        </w:tc>
      </w:tr>
      <w:tr w14:paraId="6C758B0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28" w:type="pct"/>
            <w:tcBorders>
              <w:top w:val="single" w:color="000000" w:sz="2" w:space="0"/>
              <w:left w:val="single" w:color="000000" w:sz="8" w:space="0"/>
              <w:bottom w:val="single" w:color="000000" w:sz="8" w:space="0"/>
              <w:right w:val="single" w:color="000000" w:sz="2" w:space="0"/>
            </w:tcBorders>
            <w:vAlign w:val="center"/>
          </w:tcPr>
          <w:p w14:paraId="23DB360B">
            <w:pPr>
              <w:pStyle w:val="129"/>
              <w:widowControl w:val="0"/>
              <w:rPr>
                <w:rFonts w:eastAsia="Times New Roman"/>
                <w:color w:val="auto"/>
              </w:rPr>
            </w:pPr>
            <w:r>
              <w:rPr>
                <w:rFonts w:eastAsia="Times New Roman"/>
                <w:color w:val="auto"/>
              </w:rPr>
              <w:t>10</w:t>
            </w:r>
          </w:p>
        </w:tc>
        <w:tc>
          <w:tcPr>
            <w:tcW w:w="751" w:type="pct"/>
            <w:tcBorders>
              <w:top w:val="single" w:color="000000" w:sz="2" w:space="0"/>
              <w:left w:val="nil"/>
              <w:bottom w:val="single" w:color="000000" w:sz="8" w:space="0"/>
              <w:right w:val="single" w:color="000000" w:sz="2" w:space="0"/>
            </w:tcBorders>
            <w:vAlign w:val="center"/>
          </w:tcPr>
          <w:p w14:paraId="2BB51A2A">
            <w:pPr>
              <w:pStyle w:val="129"/>
              <w:widowControl w:val="0"/>
              <w:rPr>
                <w:rFonts w:eastAsia="Times New Roman"/>
                <w:color w:val="auto"/>
              </w:rPr>
            </w:pPr>
            <w:r>
              <w:rPr>
                <w:rFonts w:eastAsia="Times New Roman"/>
                <w:color w:val="auto"/>
              </w:rPr>
              <w:t>燃气锅炉废气2</w:t>
            </w:r>
          </w:p>
        </w:tc>
        <w:tc>
          <w:tcPr>
            <w:tcW w:w="208" w:type="pct"/>
            <w:tcBorders>
              <w:top w:val="single" w:color="000000" w:sz="2" w:space="0"/>
              <w:left w:val="nil"/>
              <w:bottom w:val="single" w:color="000000" w:sz="8" w:space="0"/>
              <w:right w:val="single" w:color="000000" w:sz="2" w:space="0"/>
            </w:tcBorders>
            <w:vAlign w:val="center"/>
          </w:tcPr>
          <w:p w14:paraId="5DB992C0">
            <w:pPr>
              <w:pStyle w:val="129"/>
              <w:widowControl w:val="0"/>
              <w:rPr>
                <w:rFonts w:eastAsia="Times New Roman"/>
                <w:color w:val="auto"/>
              </w:rPr>
            </w:pPr>
            <w:r>
              <w:rPr>
                <w:rFonts w:eastAsia="Times New Roman"/>
                <w:color w:val="auto"/>
              </w:rPr>
              <w:t>25</w:t>
            </w:r>
          </w:p>
        </w:tc>
        <w:tc>
          <w:tcPr>
            <w:tcW w:w="208" w:type="pct"/>
            <w:tcBorders>
              <w:top w:val="single" w:color="000000" w:sz="2" w:space="0"/>
              <w:left w:val="nil"/>
              <w:bottom w:val="single" w:color="000000" w:sz="8" w:space="0"/>
              <w:right w:val="single" w:color="000000" w:sz="2" w:space="0"/>
            </w:tcBorders>
            <w:vAlign w:val="center"/>
          </w:tcPr>
          <w:p w14:paraId="333FB342">
            <w:pPr>
              <w:pStyle w:val="129"/>
              <w:widowControl w:val="0"/>
              <w:rPr>
                <w:rFonts w:eastAsia="Times New Roman"/>
                <w:color w:val="auto"/>
              </w:rPr>
            </w:pPr>
            <w:r>
              <w:rPr>
                <w:rFonts w:eastAsia="Times New Roman"/>
                <w:color w:val="auto"/>
              </w:rPr>
              <w:t>-139</w:t>
            </w:r>
          </w:p>
        </w:tc>
        <w:tc>
          <w:tcPr>
            <w:tcW w:w="208" w:type="pct"/>
            <w:tcBorders>
              <w:top w:val="single" w:color="000000" w:sz="2" w:space="0"/>
              <w:left w:val="nil"/>
              <w:bottom w:val="single" w:color="000000" w:sz="8" w:space="0"/>
              <w:right w:val="single" w:color="000000" w:sz="2" w:space="0"/>
            </w:tcBorders>
            <w:vAlign w:val="center"/>
          </w:tcPr>
          <w:p w14:paraId="2DCCA6D9">
            <w:pPr>
              <w:pStyle w:val="129"/>
              <w:widowControl w:val="0"/>
              <w:rPr>
                <w:rFonts w:eastAsia="Times New Roman"/>
                <w:color w:val="auto"/>
              </w:rPr>
            </w:pPr>
            <w:r>
              <w:rPr>
                <w:rFonts w:eastAsia="Times New Roman"/>
                <w:color w:val="auto"/>
              </w:rPr>
              <w:t>15</w:t>
            </w:r>
          </w:p>
        </w:tc>
        <w:tc>
          <w:tcPr>
            <w:tcW w:w="260" w:type="pct"/>
            <w:tcBorders>
              <w:top w:val="single" w:color="000000" w:sz="2" w:space="0"/>
              <w:left w:val="nil"/>
              <w:bottom w:val="single" w:color="000000" w:sz="8" w:space="0"/>
              <w:right w:val="single" w:color="000000" w:sz="2" w:space="0"/>
            </w:tcBorders>
            <w:vAlign w:val="center"/>
          </w:tcPr>
          <w:p w14:paraId="1F298B55">
            <w:pPr>
              <w:pStyle w:val="129"/>
              <w:widowControl w:val="0"/>
              <w:rPr>
                <w:rFonts w:eastAsia="Times New Roman"/>
                <w:color w:val="auto"/>
              </w:rPr>
            </w:pPr>
            <w:r>
              <w:rPr>
                <w:rFonts w:eastAsia="Times New Roman"/>
                <w:color w:val="auto"/>
              </w:rPr>
              <w:t>0.4</w:t>
            </w:r>
          </w:p>
        </w:tc>
        <w:tc>
          <w:tcPr>
            <w:tcW w:w="260" w:type="pct"/>
            <w:tcBorders>
              <w:top w:val="single" w:color="000000" w:sz="2" w:space="0"/>
              <w:left w:val="nil"/>
              <w:bottom w:val="single" w:color="000000" w:sz="8" w:space="0"/>
              <w:right w:val="single" w:color="000000" w:sz="2" w:space="0"/>
            </w:tcBorders>
            <w:vAlign w:val="center"/>
          </w:tcPr>
          <w:p w14:paraId="17D2EDB6">
            <w:pPr>
              <w:pStyle w:val="129"/>
              <w:widowControl w:val="0"/>
              <w:rPr>
                <w:rFonts w:eastAsia="Times New Roman"/>
                <w:color w:val="auto"/>
              </w:rPr>
            </w:pPr>
            <w:r>
              <w:rPr>
                <w:rFonts w:eastAsia="Times New Roman"/>
                <w:color w:val="auto"/>
              </w:rPr>
              <w:t>80</w:t>
            </w:r>
          </w:p>
        </w:tc>
        <w:tc>
          <w:tcPr>
            <w:tcW w:w="364" w:type="pct"/>
            <w:tcBorders>
              <w:top w:val="single" w:color="000000" w:sz="2" w:space="0"/>
              <w:left w:val="nil"/>
              <w:bottom w:val="single" w:color="000000" w:sz="8" w:space="0"/>
              <w:right w:val="single" w:color="000000" w:sz="2" w:space="0"/>
            </w:tcBorders>
            <w:vAlign w:val="center"/>
          </w:tcPr>
          <w:p w14:paraId="11F60A94">
            <w:pPr>
              <w:pStyle w:val="129"/>
              <w:widowControl w:val="0"/>
              <w:rPr>
                <w:rFonts w:eastAsia="Times New Roman"/>
                <w:color w:val="auto"/>
              </w:rPr>
            </w:pPr>
            <w:r>
              <w:rPr>
                <w:rFonts w:eastAsia="Times New Roman"/>
                <w:color w:val="auto"/>
              </w:rPr>
              <w:t>6616</w:t>
            </w:r>
          </w:p>
        </w:tc>
        <w:tc>
          <w:tcPr>
            <w:tcW w:w="311" w:type="pct"/>
            <w:tcBorders>
              <w:top w:val="single" w:color="000000" w:sz="2" w:space="0"/>
              <w:left w:val="nil"/>
              <w:bottom w:val="single" w:color="000000" w:sz="8" w:space="0"/>
              <w:right w:val="single" w:color="000000" w:sz="2" w:space="0"/>
            </w:tcBorders>
            <w:vAlign w:val="center"/>
          </w:tcPr>
          <w:p w14:paraId="270090BB">
            <w:pPr>
              <w:pStyle w:val="129"/>
              <w:widowControl w:val="0"/>
              <w:rPr>
                <w:rFonts w:eastAsia="Times New Roman"/>
                <w:color w:val="auto"/>
              </w:rPr>
            </w:pPr>
            <w:r>
              <w:rPr>
                <w:rFonts w:eastAsiaTheme="minorEastAsia"/>
                <w:color w:val="auto"/>
              </w:rPr>
              <w:t>72</w:t>
            </w:r>
            <w:r>
              <w:rPr>
                <w:rFonts w:eastAsia="Times New Roman"/>
                <w:color w:val="auto"/>
              </w:rPr>
              <w:t>0</w:t>
            </w:r>
          </w:p>
        </w:tc>
        <w:tc>
          <w:tcPr>
            <w:tcW w:w="208" w:type="pct"/>
            <w:tcBorders>
              <w:top w:val="single" w:color="000000" w:sz="2" w:space="0"/>
              <w:left w:val="nil"/>
              <w:bottom w:val="single" w:color="000000" w:sz="8" w:space="0"/>
              <w:right w:val="single" w:color="000000" w:sz="2" w:space="0"/>
            </w:tcBorders>
            <w:vAlign w:val="center"/>
          </w:tcPr>
          <w:p w14:paraId="5BBD1BEA">
            <w:pPr>
              <w:pStyle w:val="129"/>
              <w:widowControl w:val="0"/>
              <w:rPr>
                <w:rFonts w:eastAsia="Times New Roman"/>
                <w:color w:val="auto"/>
              </w:rPr>
            </w:pPr>
            <w:r>
              <w:rPr>
                <w:rFonts w:eastAsia="Times New Roman"/>
                <w:color w:val="auto"/>
              </w:rPr>
              <w:t>正常</w:t>
            </w:r>
          </w:p>
        </w:tc>
        <w:tc>
          <w:tcPr>
            <w:tcW w:w="260" w:type="pct"/>
            <w:tcBorders>
              <w:top w:val="single" w:color="000000" w:sz="2" w:space="0"/>
              <w:left w:val="nil"/>
              <w:bottom w:val="single" w:color="000000" w:sz="8" w:space="0"/>
              <w:right w:val="single" w:color="000000" w:sz="2" w:space="0"/>
            </w:tcBorders>
            <w:vAlign w:val="center"/>
          </w:tcPr>
          <w:p w14:paraId="00E4D2E1">
            <w:pPr>
              <w:pStyle w:val="129"/>
              <w:widowControl w:val="0"/>
              <w:rPr>
                <w:rFonts w:eastAsia="Times New Roman"/>
                <w:color w:val="auto"/>
              </w:rPr>
            </w:pPr>
            <w:r>
              <w:rPr>
                <w:rFonts w:eastAsia="Times New Roman"/>
                <w:color w:val="auto"/>
              </w:rPr>
              <w:t>0.015</w:t>
            </w:r>
          </w:p>
        </w:tc>
        <w:tc>
          <w:tcPr>
            <w:tcW w:w="260" w:type="pct"/>
            <w:tcBorders>
              <w:top w:val="single" w:color="000000" w:sz="2" w:space="0"/>
              <w:left w:val="nil"/>
              <w:bottom w:val="single" w:color="000000" w:sz="8" w:space="0"/>
              <w:right w:val="single" w:color="000000" w:sz="2" w:space="0"/>
            </w:tcBorders>
            <w:vAlign w:val="center"/>
          </w:tcPr>
          <w:p w14:paraId="657AA04F">
            <w:pPr>
              <w:pStyle w:val="129"/>
              <w:widowControl w:val="0"/>
              <w:rPr>
                <w:rFonts w:eastAsia="Times New Roman"/>
                <w:color w:val="auto"/>
              </w:rPr>
            </w:pPr>
            <w:r>
              <w:rPr>
                <w:rFonts w:eastAsia="Times New Roman"/>
                <w:color w:val="auto"/>
              </w:rPr>
              <w:t>0.1674</w:t>
            </w:r>
          </w:p>
        </w:tc>
        <w:tc>
          <w:tcPr>
            <w:tcW w:w="207" w:type="pct"/>
            <w:tcBorders>
              <w:top w:val="single" w:color="000000" w:sz="2" w:space="0"/>
              <w:left w:val="nil"/>
              <w:bottom w:val="single" w:color="000000" w:sz="8" w:space="0"/>
              <w:right w:val="single" w:color="000000" w:sz="2" w:space="0"/>
            </w:tcBorders>
            <w:vAlign w:val="center"/>
          </w:tcPr>
          <w:p w14:paraId="2C64D4BD">
            <w:pPr>
              <w:pStyle w:val="129"/>
              <w:widowControl w:val="0"/>
              <w:rPr>
                <w:rFonts w:eastAsia="Times New Roman"/>
                <w:color w:val="auto"/>
              </w:rPr>
            </w:pPr>
            <w:r>
              <w:rPr>
                <w:rFonts w:eastAsia="Times New Roman"/>
                <w:color w:val="auto"/>
              </w:rPr>
              <w:t>0.066</w:t>
            </w:r>
          </w:p>
        </w:tc>
        <w:tc>
          <w:tcPr>
            <w:tcW w:w="321" w:type="pct"/>
            <w:tcBorders>
              <w:top w:val="single" w:color="000000" w:sz="2" w:space="0"/>
              <w:left w:val="nil"/>
              <w:bottom w:val="single" w:color="000000" w:sz="8" w:space="0"/>
              <w:right w:val="single" w:color="000000" w:sz="2" w:space="0"/>
            </w:tcBorders>
            <w:vAlign w:val="center"/>
          </w:tcPr>
          <w:p w14:paraId="33421407">
            <w:pPr>
              <w:pStyle w:val="129"/>
              <w:widowControl w:val="0"/>
              <w:rPr>
                <w:rFonts w:eastAsia="Times New Roman"/>
                <w:color w:val="auto"/>
              </w:rPr>
            </w:pPr>
            <w:r>
              <w:rPr>
                <w:rFonts w:eastAsia="Times New Roman"/>
                <w:color w:val="auto"/>
              </w:rPr>
              <w:t>0.033</w:t>
            </w:r>
          </w:p>
        </w:tc>
        <w:tc>
          <w:tcPr>
            <w:tcW w:w="199" w:type="pct"/>
            <w:tcBorders>
              <w:top w:val="single" w:color="000000" w:sz="2" w:space="0"/>
              <w:left w:val="nil"/>
              <w:bottom w:val="single" w:color="000000" w:sz="8" w:space="0"/>
              <w:right w:val="single" w:color="000000" w:sz="2" w:space="0"/>
            </w:tcBorders>
            <w:vAlign w:val="center"/>
          </w:tcPr>
          <w:p w14:paraId="09072152">
            <w:pPr>
              <w:pStyle w:val="129"/>
              <w:widowControl w:val="0"/>
              <w:rPr>
                <w:rFonts w:eastAsia="Times New Roman"/>
                <w:color w:val="auto"/>
              </w:rPr>
            </w:pPr>
          </w:p>
        </w:tc>
        <w:tc>
          <w:tcPr>
            <w:tcW w:w="310" w:type="pct"/>
            <w:tcBorders>
              <w:top w:val="single" w:color="000000" w:sz="2" w:space="0"/>
              <w:left w:val="nil"/>
              <w:bottom w:val="single" w:color="000000" w:sz="8" w:space="0"/>
              <w:right w:val="single" w:color="000000" w:sz="2" w:space="0"/>
            </w:tcBorders>
            <w:vAlign w:val="center"/>
          </w:tcPr>
          <w:p w14:paraId="7195F2EB">
            <w:pPr>
              <w:pStyle w:val="129"/>
              <w:widowControl w:val="0"/>
              <w:rPr>
                <w:rFonts w:eastAsia="Times New Roman"/>
                <w:color w:val="auto"/>
              </w:rPr>
            </w:pPr>
          </w:p>
        </w:tc>
        <w:tc>
          <w:tcPr>
            <w:tcW w:w="259" w:type="pct"/>
            <w:tcBorders>
              <w:top w:val="single" w:color="000000" w:sz="2" w:space="0"/>
              <w:left w:val="nil"/>
              <w:bottom w:val="single" w:color="000000" w:sz="8" w:space="0"/>
              <w:right w:val="single" w:color="000000" w:sz="2" w:space="0"/>
            </w:tcBorders>
            <w:vAlign w:val="center"/>
          </w:tcPr>
          <w:p w14:paraId="2095210D">
            <w:pPr>
              <w:pStyle w:val="129"/>
              <w:widowControl w:val="0"/>
              <w:rPr>
                <w:rFonts w:eastAsia="Times New Roman"/>
                <w:color w:val="auto"/>
              </w:rPr>
            </w:pPr>
          </w:p>
        </w:tc>
        <w:tc>
          <w:tcPr>
            <w:tcW w:w="277" w:type="pct"/>
            <w:tcBorders>
              <w:top w:val="single" w:color="000000" w:sz="2" w:space="0"/>
              <w:left w:val="nil"/>
              <w:bottom w:val="single" w:color="000000" w:sz="8" w:space="0"/>
              <w:right w:val="single" w:color="000000" w:sz="8" w:space="0"/>
            </w:tcBorders>
            <w:vAlign w:val="center"/>
          </w:tcPr>
          <w:p w14:paraId="1421B6FC">
            <w:pPr>
              <w:pStyle w:val="129"/>
              <w:widowControl w:val="0"/>
              <w:rPr>
                <w:rFonts w:eastAsia="Times New Roman"/>
                <w:color w:val="auto"/>
              </w:rPr>
            </w:pPr>
          </w:p>
        </w:tc>
      </w:tr>
    </w:tbl>
    <w:p w14:paraId="74648A0D">
      <w:pPr>
        <w:autoSpaceDE w:val="0"/>
        <w:autoSpaceDN w:val="0"/>
        <w:adjustRightInd w:val="0"/>
        <w:spacing w:line="240" w:lineRule="exact"/>
        <w:rPr>
          <w:rFonts w:ascii="黑体"/>
          <w:bCs/>
          <w:color w:val="auto"/>
          <w:sz w:val="24"/>
          <w:szCs w:val="24"/>
        </w:rPr>
      </w:pPr>
    </w:p>
    <w:p w14:paraId="5010F933">
      <w:pPr>
        <w:pStyle w:val="1060"/>
        <w:spacing w:before="163"/>
        <w:rPr>
          <w:color w:val="auto"/>
        </w:rPr>
      </w:pPr>
      <w:bookmarkStart w:id="299" w:name="_Ref220510720"/>
      <w:bookmarkEnd w:id="299"/>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15</w:t>
      </w:r>
      <w:r>
        <w:rPr>
          <w:color w:val="auto"/>
        </w:rPr>
        <w:fldChar w:fldCharType="end"/>
      </w:r>
      <w:r>
        <w:rPr>
          <w:rFonts w:hint="eastAsia"/>
          <w:color w:val="auto"/>
        </w:rPr>
        <w:t xml:space="preserve"> </w:t>
      </w:r>
      <w:r>
        <w:rPr>
          <w:color w:val="auto"/>
        </w:rPr>
        <w:t xml:space="preserve"> 项目面源参数表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476"/>
        <w:gridCol w:w="1681"/>
        <w:gridCol w:w="752"/>
        <w:gridCol w:w="881"/>
        <w:gridCol w:w="1118"/>
        <w:gridCol w:w="1119"/>
        <w:gridCol w:w="1855"/>
        <w:gridCol w:w="1959"/>
        <w:gridCol w:w="1002"/>
        <w:gridCol w:w="921"/>
        <w:gridCol w:w="977"/>
        <w:gridCol w:w="977"/>
      </w:tblGrid>
      <w:tr w14:paraId="3FE419D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74" w:type="pct"/>
            <w:vMerge w:val="restart"/>
            <w:tcBorders>
              <w:top w:val="single" w:color="000000" w:sz="8" w:space="0"/>
              <w:left w:val="single" w:color="000000" w:sz="8" w:space="0"/>
              <w:bottom w:val="single" w:color="000000" w:sz="2" w:space="0"/>
              <w:right w:val="single" w:color="000000" w:sz="2" w:space="0"/>
            </w:tcBorders>
            <w:noWrap/>
            <w:vAlign w:val="center"/>
          </w:tcPr>
          <w:p w14:paraId="363509B2">
            <w:pPr>
              <w:pStyle w:val="129"/>
              <w:widowControl w:val="0"/>
              <w:rPr>
                <w:rFonts w:eastAsia="Times New Roman"/>
                <w:color w:val="auto"/>
              </w:rPr>
            </w:pPr>
            <w:r>
              <w:rPr>
                <w:rFonts w:eastAsia="Times New Roman"/>
                <w:color w:val="auto"/>
              </w:rPr>
              <w:t>编号</w:t>
            </w:r>
          </w:p>
        </w:tc>
        <w:tc>
          <w:tcPr>
            <w:tcW w:w="621" w:type="pct"/>
            <w:vMerge w:val="restart"/>
            <w:tcBorders>
              <w:top w:val="single" w:color="000000" w:sz="8" w:space="0"/>
              <w:left w:val="single" w:color="000000" w:sz="2" w:space="0"/>
              <w:bottom w:val="single" w:color="000000" w:sz="2" w:space="0"/>
              <w:right w:val="single" w:color="000000" w:sz="2" w:space="0"/>
            </w:tcBorders>
            <w:vAlign w:val="center"/>
          </w:tcPr>
          <w:p w14:paraId="2BC1C848">
            <w:pPr>
              <w:pStyle w:val="129"/>
              <w:widowControl w:val="0"/>
              <w:rPr>
                <w:rFonts w:eastAsia="Times New Roman"/>
                <w:color w:val="auto"/>
              </w:rPr>
            </w:pPr>
            <w:r>
              <w:rPr>
                <w:rFonts w:eastAsia="Times New Roman"/>
                <w:color w:val="auto"/>
              </w:rPr>
              <w:t>面源名称</w:t>
            </w:r>
          </w:p>
        </w:tc>
        <w:tc>
          <w:tcPr>
            <w:tcW w:w="604" w:type="pct"/>
            <w:gridSpan w:val="2"/>
            <w:tcBorders>
              <w:top w:val="single" w:color="000000" w:sz="8" w:space="0"/>
              <w:left w:val="single" w:color="000000" w:sz="2" w:space="0"/>
              <w:bottom w:val="single" w:color="000000" w:sz="2" w:space="0"/>
              <w:right w:val="single" w:color="000000" w:sz="2" w:space="0"/>
            </w:tcBorders>
            <w:vAlign w:val="center"/>
          </w:tcPr>
          <w:p w14:paraId="442D4B19">
            <w:pPr>
              <w:pStyle w:val="129"/>
              <w:widowControl w:val="0"/>
              <w:rPr>
                <w:rFonts w:eastAsia="Times New Roman"/>
                <w:color w:val="auto"/>
              </w:rPr>
            </w:pPr>
            <w:r>
              <w:rPr>
                <w:rFonts w:eastAsia="Times New Roman"/>
                <w:color w:val="auto"/>
              </w:rPr>
              <w:t>面源起点坐标/m</w:t>
            </w:r>
          </w:p>
        </w:tc>
        <w:tc>
          <w:tcPr>
            <w:tcW w:w="365" w:type="pct"/>
            <w:vMerge w:val="restart"/>
            <w:tcBorders>
              <w:top w:val="single" w:color="000000" w:sz="8" w:space="0"/>
              <w:left w:val="single" w:color="000000" w:sz="2" w:space="0"/>
              <w:bottom w:val="single" w:color="000000" w:sz="2" w:space="0"/>
              <w:right w:val="single" w:color="000000" w:sz="2" w:space="0"/>
            </w:tcBorders>
            <w:noWrap/>
            <w:vAlign w:val="center"/>
          </w:tcPr>
          <w:p w14:paraId="18A6C8DD">
            <w:pPr>
              <w:pStyle w:val="129"/>
              <w:widowControl w:val="0"/>
              <w:rPr>
                <w:rFonts w:eastAsia="Times New Roman"/>
                <w:color w:val="auto"/>
              </w:rPr>
            </w:pPr>
            <w:r>
              <w:rPr>
                <w:rFonts w:eastAsia="Times New Roman"/>
                <w:color w:val="auto"/>
              </w:rPr>
              <w:t>面源长度/m</w:t>
            </w:r>
          </w:p>
        </w:tc>
        <w:tc>
          <w:tcPr>
            <w:tcW w:w="410" w:type="pct"/>
            <w:vMerge w:val="restart"/>
            <w:tcBorders>
              <w:top w:val="single" w:color="000000" w:sz="8" w:space="0"/>
              <w:left w:val="single" w:color="000000" w:sz="2" w:space="0"/>
              <w:bottom w:val="single" w:color="000000" w:sz="2" w:space="0"/>
              <w:right w:val="single" w:color="000000" w:sz="2" w:space="0"/>
            </w:tcBorders>
            <w:noWrap/>
            <w:vAlign w:val="center"/>
          </w:tcPr>
          <w:p w14:paraId="51748466">
            <w:pPr>
              <w:pStyle w:val="129"/>
              <w:widowControl w:val="0"/>
              <w:rPr>
                <w:rFonts w:eastAsia="Times New Roman"/>
                <w:color w:val="auto"/>
              </w:rPr>
            </w:pPr>
            <w:r>
              <w:rPr>
                <w:rFonts w:eastAsia="Times New Roman"/>
                <w:color w:val="auto"/>
              </w:rPr>
              <w:t>面源宽度/m</w:t>
            </w:r>
          </w:p>
        </w:tc>
        <w:tc>
          <w:tcPr>
            <w:tcW w:w="682" w:type="pct"/>
            <w:vMerge w:val="restart"/>
            <w:tcBorders>
              <w:top w:val="single" w:color="000000" w:sz="8" w:space="0"/>
              <w:left w:val="single" w:color="000000" w:sz="2" w:space="0"/>
              <w:bottom w:val="single" w:color="000000" w:sz="2" w:space="0"/>
              <w:right w:val="single" w:color="000000" w:sz="2" w:space="0"/>
            </w:tcBorders>
            <w:vAlign w:val="center"/>
          </w:tcPr>
          <w:p w14:paraId="7E082D25">
            <w:pPr>
              <w:pStyle w:val="129"/>
              <w:widowControl w:val="0"/>
              <w:rPr>
                <w:rFonts w:eastAsia="Times New Roman"/>
                <w:color w:val="auto"/>
              </w:rPr>
            </w:pPr>
            <w:r>
              <w:rPr>
                <w:rFonts w:eastAsia="Times New Roman"/>
                <w:color w:val="auto"/>
              </w:rPr>
              <w:t>与正北向夹角/（°）</w:t>
            </w:r>
          </w:p>
        </w:tc>
        <w:tc>
          <w:tcPr>
            <w:tcW w:w="718" w:type="pct"/>
            <w:vMerge w:val="restart"/>
            <w:tcBorders>
              <w:top w:val="single" w:color="000000" w:sz="8" w:space="0"/>
              <w:left w:val="single" w:color="000000" w:sz="2" w:space="0"/>
              <w:bottom w:val="single" w:color="000000" w:sz="2" w:space="0"/>
              <w:right w:val="single" w:color="000000" w:sz="2" w:space="0"/>
            </w:tcBorders>
            <w:noWrap/>
            <w:vAlign w:val="center"/>
          </w:tcPr>
          <w:p w14:paraId="1AB8DA75">
            <w:pPr>
              <w:pStyle w:val="129"/>
              <w:widowControl w:val="0"/>
              <w:rPr>
                <w:rFonts w:eastAsia="Times New Roman"/>
                <w:color w:val="auto"/>
              </w:rPr>
            </w:pPr>
            <w:r>
              <w:rPr>
                <w:rFonts w:eastAsia="Times New Roman"/>
                <w:color w:val="auto"/>
              </w:rPr>
              <w:t>面源有效排放高度/m</w:t>
            </w:r>
          </w:p>
        </w:tc>
        <w:tc>
          <w:tcPr>
            <w:tcW w:w="370" w:type="pct"/>
            <w:vMerge w:val="restart"/>
            <w:tcBorders>
              <w:top w:val="single" w:color="000000" w:sz="8" w:space="0"/>
              <w:left w:val="single" w:color="000000" w:sz="2" w:space="0"/>
              <w:bottom w:val="single" w:color="000000" w:sz="2" w:space="0"/>
              <w:right w:val="single" w:color="000000" w:sz="2" w:space="0"/>
            </w:tcBorders>
            <w:vAlign w:val="center"/>
          </w:tcPr>
          <w:p w14:paraId="40A17147">
            <w:pPr>
              <w:pStyle w:val="129"/>
              <w:widowControl w:val="0"/>
              <w:rPr>
                <w:rFonts w:eastAsia="Times New Roman"/>
                <w:color w:val="auto"/>
              </w:rPr>
            </w:pPr>
            <w:r>
              <w:rPr>
                <w:rFonts w:eastAsia="Times New Roman"/>
                <w:color w:val="auto"/>
              </w:rPr>
              <w:t>年排放小时数/h</w:t>
            </w:r>
          </w:p>
        </w:tc>
        <w:tc>
          <w:tcPr>
            <w:tcW w:w="340" w:type="pct"/>
            <w:vMerge w:val="restart"/>
            <w:tcBorders>
              <w:top w:val="single" w:color="000000" w:sz="8" w:space="0"/>
              <w:left w:val="single" w:color="000000" w:sz="2" w:space="0"/>
              <w:bottom w:val="single" w:color="000000" w:sz="2" w:space="0"/>
              <w:right w:val="single" w:color="000000" w:sz="2" w:space="0"/>
            </w:tcBorders>
            <w:vAlign w:val="center"/>
          </w:tcPr>
          <w:p w14:paraId="0C83822B">
            <w:pPr>
              <w:pStyle w:val="129"/>
              <w:widowControl w:val="0"/>
              <w:rPr>
                <w:rFonts w:eastAsia="Times New Roman"/>
                <w:color w:val="auto"/>
              </w:rPr>
            </w:pPr>
            <w:r>
              <w:rPr>
                <w:rFonts w:eastAsia="Times New Roman"/>
                <w:color w:val="auto"/>
              </w:rPr>
              <w:t>排放</w:t>
            </w:r>
          </w:p>
          <w:p w14:paraId="2C256924">
            <w:pPr>
              <w:pStyle w:val="129"/>
              <w:widowControl w:val="0"/>
              <w:rPr>
                <w:rFonts w:eastAsia="Times New Roman"/>
                <w:color w:val="auto"/>
              </w:rPr>
            </w:pPr>
            <w:r>
              <w:rPr>
                <w:rFonts w:eastAsia="Times New Roman"/>
                <w:color w:val="auto"/>
              </w:rPr>
              <w:t>工况</w:t>
            </w:r>
          </w:p>
        </w:tc>
        <w:tc>
          <w:tcPr>
            <w:tcW w:w="716" w:type="pct"/>
            <w:gridSpan w:val="2"/>
            <w:tcBorders>
              <w:top w:val="single" w:color="000000" w:sz="8" w:space="0"/>
              <w:left w:val="single" w:color="000000" w:sz="2" w:space="0"/>
              <w:bottom w:val="nil"/>
              <w:right w:val="single" w:color="000000" w:sz="8" w:space="0"/>
            </w:tcBorders>
            <w:noWrap/>
            <w:vAlign w:val="center"/>
          </w:tcPr>
          <w:p w14:paraId="323F426D">
            <w:pPr>
              <w:pStyle w:val="129"/>
              <w:widowControl w:val="0"/>
              <w:rPr>
                <w:rFonts w:eastAsia="Times New Roman"/>
                <w:color w:val="auto"/>
              </w:rPr>
            </w:pPr>
            <w:r>
              <w:rPr>
                <w:rFonts w:eastAsia="Times New Roman"/>
                <w:color w:val="auto"/>
              </w:rPr>
              <w:t>污染物排放速率kg/h</w:t>
            </w:r>
          </w:p>
        </w:tc>
      </w:tr>
      <w:tr w14:paraId="345F87A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74" w:type="pct"/>
            <w:vMerge w:val="continue"/>
            <w:tcBorders>
              <w:top w:val="single" w:color="000000" w:sz="8" w:space="0"/>
              <w:left w:val="single" w:color="000000" w:sz="8" w:space="0"/>
              <w:bottom w:val="single" w:color="000000" w:sz="2" w:space="0"/>
              <w:right w:val="single" w:color="000000" w:sz="2" w:space="0"/>
            </w:tcBorders>
            <w:vAlign w:val="center"/>
          </w:tcPr>
          <w:p w14:paraId="2CC09A43">
            <w:pPr>
              <w:pStyle w:val="129"/>
              <w:widowControl w:val="0"/>
              <w:rPr>
                <w:rFonts w:eastAsia="Times New Roman"/>
                <w:color w:val="auto"/>
              </w:rPr>
            </w:pPr>
          </w:p>
        </w:tc>
        <w:tc>
          <w:tcPr>
            <w:tcW w:w="621" w:type="pct"/>
            <w:vMerge w:val="continue"/>
            <w:tcBorders>
              <w:top w:val="single" w:color="000000" w:sz="8" w:space="0"/>
              <w:left w:val="single" w:color="000000" w:sz="2" w:space="0"/>
              <w:bottom w:val="single" w:color="000000" w:sz="2" w:space="0"/>
              <w:right w:val="single" w:color="000000" w:sz="2" w:space="0"/>
            </w:tcBorders>
            <w:vAlign w:val="center"/>
          </w:tcPr>
          <w:p w14:paraId="73EABC8D">
            <w:pPr>
              <w:pStyle w:val="129"/>
              <w:widowControl w:val="0"/>
              <w:rPr>
                <w:rFonts w:eastAsia="Times New Roman"/>
                <w:color w:val="auto"/>
              </w:rPr>
            </w:pPr>
          </w:p>
        </w:tc>
        <w:tc>
          <w:tcPr>
            <w:tcW w:w="279" w:type="pct"/>
            <w:tcBorders>
              <w:top w:val="single" w:color="000000" w:sz="2" w:space="0"/>
              <w:left w:val="single" w:color="000000" w:sz="2" w:space="0"/>
              <w:bottom w:val="single" w:color="000000" w:sz="2" w:space="0"/>
              <w:right w:val="single" w:color="000000" w:sz="2" w:space="0"/>
            </w:tcBorders>
            <w:vAlign w:val="center"/>
          </w:tcPr>
          <w:p w14:paraId="0F50609E">
            <w:pPr>
              <w:pStyle w:val="129"/>
              <w:widowControl w:val="0"/>
              <w:rPr>
                <w:rFonts w:eastAsia="Times New Roman"/>
                <w:color w:val="auto"/>
              </w:rPr>
            </w:pPr>
            <w:r>
              <w:rPr>
                <w:rFonts w:eastAsia="Times New Roman"/>
                <w:color w:val="auto"/>
              </w:rPr>
              <w:t>X</w:t>
            </w:r>
          </w:p>
        </w:tc>
        <w:tc>
          <w:tcPr>
            <w:tcW w:w="326" w:type="pct"/>
            <w:tcBorders>
              <w:top w:val="single" w:color="000000" w:sz="2" w:space="0"/>
              <w:left w:val="single" w:color="000000" w:sz="2" w:space="0"/>
              <w:bottom w:val="single" w:color="000000" w:sz="2" w:space="0"/>
              <w:right w:val="single" w:color="000000" w:sz="2" w:space="0"/>
            </w:tcBorders>
            <w:vAlign w:val="center"/>
          </w:tcPr>
          <w:p w14:paraId="19973663">
            <w:pPr>
              <w:pStyle w:val="129"/>
              <w:widowControl w:val="0"/>
              <w:rPr>
                <w:rFonts w:eastAsia="Times New Roman"/>
                <w:color w:val="auto"/>
              </w:rPr>
            </w:pPr>
            <w:r>
              <w:rPr>
                <w:rFonts w:eastAsia="Times New Roman"/>
                <w:color w:val="auto"/>
              </w:rPr>
              <w:t>Y</w:t>
            </w:r>
          </w:p>
        </w:tc>
        <w:tc>
          <w:tcPr>
            <w:tcW w:w="365" w:type="pct"/>
            <w:vMerge w:val="continue"/>
            <w:tcBorders>
              <w:top w:val="single" w:color="000000" w:sz="8" w:space="0"/>
              <w:left w:val="single" w:color="000000" w:sz="2" w:space="0"/>
              <w:bottom w:val="single" w:color="000000" w:sz="2" w:space="0"/>
              <w:right w:val="single" w:color="000000" w:sz="2" w:space="0"/>
            </w:tcBorders>
            <w:vAlign w:val="center"/>
          </w:tcPr>
          <w:p w14:paraId="590E3527">
            <w:pPr>
              <w:pStyle w:val="129"/>
              <w:widowControl w:val="0"/>
              <w:rPr>
                <w:rFonts w:eastAsia="Times New Roman"/>
                <w:color w:val="auto"/>
              </w:rPr>
            </w:pPr>
          </w:p>
        </w:tc>
        <w:tc>
          <w:tcPr>
            <w:tcW w:w="410" w:type="pct"/>
            <w:vMerge w:val="continue"/>
            <w:tcBorders>
              <w:top w:val="single" w:color="000000" w:sz="8" w:space="0"/>
              <w:left w:val="single" w:color="000000" w:sz="2" w:space="0"/>
              <w:bottom w:val="single" w:color="000000" w:sz="2" w:space="0"/>
              <w:right w:val="single" w:color="000000" w:sz="2" w:space="0"/>
            </w:tcBorders>
            <w:vAlign w:val="center"/>
          </w:tcPr>
          <w:p w14:paraId="1119F40F">
            <w:pPr>
              <w:pStyle w:val="129"/>
              <w:widowControl w:val="0"/>
              <w:rPr>
                <w:rFonts w:eastAsia="Times New Roman"/>
                <w:color w:val="auto"/>
              </w:rPr>
            </w:pPr>
          </w:p>
        </w:tc>
        <w:tc>
          <w:tcPr>
            <w:tcW w:w="682" w:type="pct"/>
            <w:vMerge w:val="continue"/>
            <w:tcBorders>
              <w:top w:val="single" w:color="000000" w:sz="8" w:space="0"/>
              <w:left w:val="single" w:color="000000" w:sz="2" w:space="0"/>
              <w:bottom w:val="single" w:color="000000" w:sz="2" w:space="0"/>
              <w:right w:val="single" w:color="000000" w:sz="2" w:space="0"/>
            </w:tcBorders>
            <w:vAlign w:val="center"/>
          </w:tcPr>
          <w:p w14:paraId="2BB4A397">
            <w:pPr>
              <w:pStyle w:val="129"/>
              <w:widowControl w:val="0"/>
              <w:rPr>
                <w:rFonts w:eastAsia="Times New Roman"/>
                <w:color w:val="auto"/>
              </w:rPr>
            </w:pPr>
          </w:p>
        </w:tc>
        <w:tc>
          <w:tcPr>
            <w:tcW w:w="718" w:type="pct"/>
            <w:vMerge w:val="continue"/>
            <w:tcBorders>
              <w:top w:val="single" w:color="000000" w:sz="8" w:space="0"/>
              <w:left w:val="single" w:color="000000" w:sz="2" w:space="0"/>
              <w:bottom w:val="single" w:color="000000" w:sz="2" w:space="0"/>
              <w:right w:val="single" w:color="000000" w:sz="2" w:space="0"/>
            </w:tcBorders>
            <w:vAlign w:val="center"/>
          </w:tcPr>
          <w:p w14:paraId="4BF49DEA">
            <w:pPr>
              <w:pStyle w:val="129"/>
              <w:widowControl w:val="0"/>
              <w:rPr>
                <w:rFonts w:eastAsia="Times New Roman"/>
                <w:color w:val="auto"/>
              </w:rPr>
            </w:pPr>
          </w:p>
        </w:tc>
        <w:tc>
          <w:tcPr>
            <w:tcW w:w="370" w:type="pct"/>
            <w:vMerge w:val="continue"/>
            <w:tcBorders>
              <w:top w:val="single" w:color="000000" w:sz="8" w:space="0"/>
              <w:left w:val="single" w:color="000000" w:sz="2" w:space="0"/>
              <w:bottom w:val="single" w:color="000000" w:sz="2" w:space="0"/>
              <w:right w:val="single" w:color="000000" w:sz="2" w:space="0"/>
            </w:tcBorders>
            <w:vAlign w:val="center"/>
          </w:tcPr>
          <w:p w14:paraId="025AED7B">
            <w:pPr>
              <w:pStyle w:val="129"/>
              <w:widowControl w:val="0"/>
              <w:rPr>
                <w:rFonts w:eastAsia="Times New Roman"/>
                <w:color w:val="auto"/>
              </w:rPr>
            </w:pPr>
          </w:p>
        </w:tc>
        <w:tc>
          <w:tcPr>
            <w:tcW w:w="340" w:type="pct"/>
            <w:vMerge w:val="continue"/>
            <w:tcBorders>
              <w:top w:val="single" w:color="000000" w:sz="8" w:space="0"/>
              <w:left w:val="single" w:color="000000" w:sz="2" w:space="0"/>
              <w:bottom w:val="single" w:color="000000" w:sz="2" w:space="0"/>
              <w:right w:val="single" w:color="000000" w:sz="2" w:space="0"/>
            </w:tcBorders>
            <w:vAlign w:val="center"/>
          </w:tcPr>
          <w:p w14:paraId="7555487E">
            <w:pPr>
              <w:pStyle w:val="129"/>
              <w:widowControl w:val="0"/>
              <w:rPr>
                <w:rFonts w:eastAsia="Times New Roman"/>
                <w:color w:val="auto"/>
              </w:rPr>
            </w:pPr>
          </w:p>
        </w:tc>
        <w:tc>
          <w:tcPr>
            <w:tcW w:w="358" w:type="pct"/>
            <w:tcBorders>
              <w:top w:val="single" w:color="000000" w:sz="2" w:space="0"/>
              <w:left w:val="single" w:color="000000" w:sz="2" w:space="0"/>
              <w:right w:val="single" w:color="000000" w:sz="8" w:space="0"/>
            </w:tcBorders>
            <w:noWrap/>
            <w:vAlign w:val="center"/>
          </w:tcPr>
          <w:p w14:paraId="63CB0E8C">
            <w:pPr>
              <w:pStyle w:val="129"/>
              <w:widowControl w:val="0"/>
              <w:rPr>
                <w:rFonts w:eastAsia="Times New Roman"/>
                <w:color w:val="auto"/>
              </w:rPr>
            </w:pPr>
            <w:r>
              <w:rPr>
                <w:rFonts w:eastAsia="Times New Roman"/>
                <w:color w:val="auto"/>
              </w:rPr>
              <w:t>NH</w:t>
            </w:r>
            <w:r>
              <w:rPr>
                <w:rFonts w:eastAsia="Times New Roman"/>
                <w:color w:val="auto"/>
                <w:vertAlign w:val="subscript"/>
              </w:rPr>
              <w:t>3</w:t>
            </w:r>
          </w:p>
        </w:tc>
        <w:tc>
          <w:tcPr>
            <w:tcW w:w="358" w:type="pct"/>
            <w:tcBorders>
              <w:top w:val="single" w:color="000000" w:sz="2" w:space="0"/>
              <w:left w:val="single" w:color="000000" w:sz="2" w:space="0"/>
              <w:right w:val="single" w:color="000000" w:sz="8" w:space="0"/>
            </w:tcBorders>
            <w:vAlign w:val="center"/>
          </w:tcPr>
          <w:p w14:paraId="7FF9FCAD">
            <w:pPr>
              <w:pStyle w:val="129"/>
              <w:widowControl w:val="0"/>
              <w:rPr>
                <w:rFonts w:eastAsiaTheme="minorEastAsia"/>
                <w:color w:val="auto"/>
              </w:rPr>
            </w:pPr>
            <w:r>
              <w:rPr>
                <w:rFonts w:eastAsiaTheme="minorEastAsia"/>
                <w:color w:val="auto"/>
              </w:rPr>
              <w:t>TSP</w:t>
            </w:r>
          </w:p>
        </w:tc>
      </w:tr>
      <w:tr w14:paraId="5F6CD3A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74" w:type="pct"/>
            <w:tcBorders>
              <w:top w:val="single" w:color="000000" w:sz="2" w:space="0"/>
              <w:left w:val="single" w:color="000000" w:sz="8" w:space="0"/>
              <w:bottom w:val="single" w:color="000000" w:sz="8" w:space="0"/>
              <w:right w:val="single" w:color="000000" w:sz="2" w:space="0"/>
            </w:tcBorders>
            <w:vAlign w:val="center"/>
          </w:tcPr>
          <w:p w14:paraId="4FE44053">
            <w:pPr>
              <w:pStyle w:val="129"/>
              <w:widowControl w:val="0"/>
              <w:rPr>
                <w:rFonts w:eastAsia="Times New Roman"/>
                <w:color w:val="auto"/>
              </w:rPr>
            </w:pPr>
            <w:r>
              <w:rPr>
                <w:rFonts w:eastAsia="Times New Roman"/>
                <w:color w:val="auto"/>
              </w:rPr>
              <w:t>1</w:t>
            </w:r>
          </w:p>
        </w:tc>
        <w:tc>
          <w:tcPr>
            <w:tcW w:w="621" w:type="pct"/>
            <w:tcBorders>
              <w:top w:val="single" w:color="000000" w:sz="2" w:space="0"/>
              <w:left w:val="single" w:color="000000" w:sz="2" w:space="0"/>
              <w:bottom w:val="single" w:color="000000" w:sz="8" w:space="0"/>
              <w:right w:val="single" w:color="000000" w:sz="2" w:space="0"/>
            </w:tcBorders>
            <w:vAlign w:val="center"/>
          </w:tcPr>
          <w:p w14:paraId="02849981">
            <w:pPr>
              <w:pStyle w:val="129"/>
              <w:widowControl w:val="0"/>
              <w:rPr>
                <w:rFonts w:eastAsia="Times New Roman"/>
                <w:color w:val="auto"/>
              </w:rPr>
            </w:pPr>
            <w:r>
              <w:rPr>
                <w:rFonts w:eastAsia="Times New Roman"/>
                <w:color w:val="auto"/>
              </w:rPr>
              <w:t>无组织排放</w:t>
            </w:r>
          </w:p>
        </w:tc>
        <w:tc>
          <w:tcPr>
            <w:tcW w:w="279" w:type="pct"/>
            <w:tcBorders>
              <w:top w:val="single" w:color="000000" w:sz="2" w:space="0"/>
              <w:left w:val="single" w:color="000000" w:sz="2" w:space="0"/>
              <w:bottom w:val="single" w:color="000000" w:sz="8" w:space="0"/>
              <w:right w:val="single" w:color="000000" w:sz="2" w:space="0"/>
            </w:tcBorders>
            <w:vAlign w:val="center"/>
          </w:tcPr>
          <w:p w14:paraId="3401AC2D">
            <w:pPr>
              <w:pStyle w:val="129"/>
              <w:widowControl w:val="0"/>
              <w:rPr>
                <w:rFonts w:eastAsia="Times New Roman"/>
                <w:color w:val="auto"/>
              </w:rPr>
            </w:pPr>
            <w:r>
              <w:rPr>
                <w:rFonts w:eastAsia="Times New Roman"/>
                <w:color w:val="auto"/>
              </w:rPr>
              <w:t>31</w:t>
            </w:r>
          </w:p>
        </w:tc>
        <w:tc>
          <w:tcPr>
            <w:tcW w:w="326" w:type="pct"/>
            <w:tcBorders>
              <w:top w:val="single" w:color="000000" w:sz="2" w:space="0"/>
              <w:left w:val="single" w:color="000000" w:sz="2" w:space="0"/>
              <w:bottom w:val="single" w:color="000000" w:sz="8" w:space="0"/>
              <w:right w:val="single" w:color="000000" w:sz="2" w:space="0"/>
            </w:tcBorders>
            <w:vAlign w:val="center"/>
          </w:tcPr>
          <w:p w14:paraId="3F370AAC">
            <w:pPr>
              <w:pStyle w:val="129"/>
              <w:widowControl w:val="0"/>
              <w:rPr>
                <w:rFonts w:eastAsia="Times New Roman"/>
                <w:color w:val="auto"/>
              </w:rPr>
            </w:pPr>
            <w:r>
              <w:rPr>
                <w:rFonts w:eastAsia="Times New Roman"/>
                <w:color w:val="auto"/>
              </w:rPr>
              <w:t>-79</w:t>
            </w:r>
          </w:p>
        </w:tc>
        <w:tc>
          <w:tcPr>
            <w:tcW w:w="365" w:type="pct"/>
            <w:tcBorders>
              <w:top w:val="single" w:color="000000" w:sz="2" w:space="0"/>
              <w:left w:val="single" w:color="000000" w:sz="2" w:space="0"/>
              <w:bottom w:val="single" w:color="000000" w:sz="8" w:space="0"/>
              <w:right w:val="single" w:color="000000" w:sz="2" w:space="0"/>
            </w:tcBorders>
            <w:vAlign w:val="center"/>
          </w:tcPr>
          <w:p w14:paraId="3DA14E8A">
            <w:pPr>
              <w:pStyle w:val="129"/>
              <w:widowControl w:val="0"/>
              <w:rPr>
                <w:rFonts w:eastAsiaTheme="minorEastAsia"/>
                <w:color w:val="auto"/>
              </w:rPr>
            </w:pPr>
            <w:r>
              <w:rPr>
                <w:rFonts w:eastAsiaTheme="minorEastAsia"/>
                <w:color w:val="auto"/>
              </w:rPr>
              <w:t>99</w:t>
            </w:r>
          </w:p>
        </w:tc>
        <w:tc>
          <w:tcPr>
            <w:tcW w:w="410" w:type="pct"/>
            <w:tcBorders>
              <w:top w:val="single" w:color="000000" w:sz="2" w:space="0"/>
              <w:left w:val="single" w:color="000000" w:sz="2" w:space="0"/>
              <w:bottom w:val="single" w:color="000000" w:sz="8" w:space="0"/>
              <w:right w:val="single" w:color="000000" w:sz="2" w:space="0"/>
            </w:tcBorders>
            <w:vAlign w:val="center"/>
          </w:tcPr>
          <w:p w14:paraId="704EC6BE">
            <w:pPr>
              <w:pStyle w:val="129"/>
              <w:widowControl w:val="0"/>
              <w:rPr>
                <w:rFonts w:eastAsiaTheme="minorEastAsia"/>
                <w:color w:val="auto"/>
              </w:rPr>
            </w:pPr>
            <w:r>
              <w:rPr>
                <w:rFonts w:eastAsiaTheme="minorEastAsia"/>
                <w:color w:val="auto"/>
              </w:rPr>
              <w:t>99</w:t>
            </w:r>
          </w:p>
        </w:tc>
        <w:tc>
          <w:tcPr>
            <w:tcW w:w="682" w:type="pct"/>
            <w:tcBorders>
              <w:top w:val="single" w:color="000000" w:sz="2" w:space="0"/>
              <w:left w:val="single" w:color="000000" w:sz="2" w:space="0"/>
              <w:bottom w:val="single" w:color="000000" w:sz="8" w:space="0"/>
              <w:right w:val="single" w:color="000000" w:sz="2" w:space="0"/>
            </w:tcBorders>
            <w:vAlign w:val="center"/>
          </w:tcPr>
          <w:p w14:paraId="192B5339">
            <w:pPr>
              <w:pStyle w:val="129"/>
              <w:widowControl w:val="0"/>
              <w:rPr>
                <w:rFonts w:eastAsia="Times New Roman"/>
                <w:color w:val="auto"/>
              </w:rPr>
            </w:pPr>
            <w:r>
              <w:rPr>
                <w:rFonts w:eastAsia="Times New Roman"/>
                <w:color w:val="auto"/>
              </w:rPr>
              <w:t>0</w:t>
            </w:r>
          </w:p>
        </w:tc>
        <w:tc>
          <w:tcPr>
            <w:tcW w:w="718" w:type="pct"/>
            <w:tcBorders>
              <w:top w:val="single" w:color="000000" w:sz="2" w:space="0"/>
              <w:left w:val="single" w:color="000000" w:sz="2" w:space="0"/>
              <w:bottom w:val="single" w:color="000000" w:sz="8" w:space="0"/>
              <w:right w:val="single" w:color="000000" w:sz="2" w:space="0"/>
            </w:tcBorders>
            <w:vAlign w:val="center"/>
          </w:tcPr>
          <w:p w14:paraId="2E247046">
            <w:pPr>
              <w:pStyle w:val="129"/>
              <w:widowControl w:val="0"/>
              <w:rPr>
                <w:rFonts w:eastAsiaTheme="minorEastAsia"/>
                <w:color w:val="auto"/>
              </w:rPr>
            </w:pPr>
            <w:r>
              <w:rPr>
                <w:rFonts w:eastAsiaTheme="minorEastAsia"/>
                <w:color w:val="auto"/>
              </w:rPr>
              <w:t>16</w:t>
            </w:r>
          </w:p>
        </w:tc>
        <w:tc>
          <w:tcPr>
            <w:tcW w:w="370" w:type="pct"/>
            <w:tcBorders>
              <w:top w:val="single" w:color="000000" w:sz="2" w:space="0"/>
              <w:left w:val="single" w:color="000000" w:sz="2" w:space="0"/>
              <w:bottom w:val="single" w:color="000000" w:sz="8" w:space="0"/>
              <w:right w:val="single" w:color="000000" w:sz="2" w:space="0"/>
            </w:tcBorders>
            <w:vAlign w:val="center"/>
          </w:tcPr>
          <w:p w14:paraId="46F3FA9B">
            <w:pPr>
              <w:pStyle w:val="129"/>
              <w:widowControl w:val="0"/>
              <w:rPr>
                <w:rFonts w:eastAsia="Times New Roman"/>
                <w:color w:val="auto"/>
              </w:rPr>
            </w:pPr>
            <w:r>
              <w:rPr>
                <w:rFonts w:eastAsia="Times New Roman"/>
                <w:color w:val="auto"/>
              </w:rPr>
              <w:t>8000</w:t>
            </w:r>
          </w:p>
        </w:tc>
        <w:tc>
          <w:tcPr>
            <w:tcW w:w="340" w:type="pct"/>
            <w:tcBorders>
              <w:top w:val="single" w:color="000000" w:sz="2" w:space="0"/>
              <w:left w:val="single" w:color="000000" w:sz="2" w:space="0"/>
              <w:bottom w:val="single" w:color="000000" w:sz="8" w:space="0"/>
              <w:right w:val="single" w:color="000000" w:sz="2" w:space="0"/>
            </w:tcBorders>
            <w:vAlign w:val="center"/>
          </w:tcPr>
          <w:p w14:paraId="18E1E999">
            <w:pPr>
              <w:pStyle w:val="129"/>
              <w:widowControl w:val="0"/>
              <w:rPr>
                <w:rFonts w:eastAsia="Times New Roman"/>
                <w:color w:val="auto"/>
              </w:rPr>
            </w:pPr>
            <w:r>
              <w:rPr>
                <w:rFonts w:eastAsia="Times New Roman"/>
                <w:color w:val="auto"/>
              </w:rPr>
              <w:t>正常</w:t>
            </w:r>
          </w:p>
        </w:tc>
        <w:tc>
          <w:tcPr>
            <w:tcW w:w="358" w:type="pct"/>
            <w:tcBorders>
              <w:left w:val="single" w:color="000000" w:sz="2" w:space="0"/>
              <w:bottom w:val="single" w:color="000000" w:sz="8" w:space="0"/>
              <w:right w:val="single" w:color="000000" w:sz="8" w:space="0"/>
            </w:tcBorders>
            <w:vAlign w:val="center"/>
          </w:tcPr>
          <w:p w14:paraId="2DCB4B87">
            <w:pPr>
              <w:pStyle w:val="129"/>
              <w:widowControl w:val="0"/>
              <w:rPr>
                <w:rFonts w:eastAsia="Times New Roman"/>
                <w:color w:val="auto"/>
              </w:rPr>
            </w:pPr>
            <w:r>
              <w:rPr>
                <w:rFonts w:eastAsia="Times New Roman"/>
                <w:color w:val="auto"/>
              </w:rPr>
              <w:t>0.062</w:t>
            </w:r>
          </w:p>
        </w:tc>
        <w:tc>
          <w:tcPr>
            <w:tcW w:w="358" w:type="pct"/>
            <w:tcBorders>
              <w:left w:val="single" w:color="000000" w:sz="2" w:space="0"/>
              <w:bottom w:val="single" w:color="000000" w:sz="8" w:space="0"/>
              <w:right w:val="single" w:color="000000" w:sz="8" w:space="0"/>
            </w:tcBorders>
            <w:vAlign w:val="center"/>
          </w:tcPr>
          <w:p w14:paraId="6B1D55AE">
            <w:pPr>
              <w:pStyle w:val="129"/>
              <w:widowControl w:val="0"/>
              <w:rPr>
                <w:rFonts w:eastAsiaTheme="minorEastAsia"/>
                <w:color w:val="auto"/>
              </w:rPr>
            </w:pPr>
            <w:r>
              <w:rPr>
                <w:rFonts w:eastAsiaTheme="minorEastAsia"/>
                <w:color w:val="auto"/>
              </w:rPr>
              <w:t>0.11</w:t>
            </w:r>
          </w:p>
        </w:tc>
      </w:tr>
    </w:tbl>
    <w:p w14:paraId="7C2DF80C">
      <w:pPr>
        <w:rPr>
          <w:color w:val="auto"/>
          <w:sz w:val="24"/>
          <w:szCs w:val="24"/>
        </w:rPr>
      </w:pPr>
      <w:bookmarkStart w:id="300" w:name="_Ref195720789"/>
      <w:bookmarkEnd w:id="300"/>
      <w:r>
        <w:rPr>
          <w:color w:val="auto"/>
          <w:sz w:val="24"/>
          <w:szCs w:val="24"/>
        </w:rPr>
        <w:t xml:space="preserve"> </w:t>
      </w:r>
    </w:p>
    <w:p w14:paraId="0A91F02E">
      <w:pPr>
        <w:rPr>
          <w:rFonts w:ascii="黑体"/>
          <w:bCs/>
          <w:color w:val="auto"/>
          <w:sz w:val="24"/>
          <w:szCs w:val="24"/>
        </w:rPr>
        <w:sectPr>
          <w:type w:val="continuous"/>
          <w:pgSz w:w="16838" w:h="11906" w:orient="landscape"/>
          <w:pgMar w:top="1440" w:right="1588" w:bottom="1389" w:left="1588" w:header="851" w:footer="992" w:gutter="0"/>
          <w:cols w:space="720" w:num="1"/>
          <w:docGrid w:type="lines" w:linePitch="326" w:charSpace="0"/>
        </w:sectPr>
      </w:pPr>
    </w:p>
    <w:p w14:paraId="1BB7C617">
      <w:pPr>
        <w:pStyle w:val="4"/>
        <w:rPr>
          <w:color w:val="auto"/>
        </w:rPr>
      </w:pPr>
      <w:r>
        <w:rPr>
          <w:rFonts w:hint="eastAsia"/>
          <w:color w:val="auto"/>
        </w:rPr>
        <w:t>预测结果</w:t>
      </w:r>
    </w:p>
    <w:p w14:paraId="74372EBA">
      <w:pPr>
        <w:pStyle w:val="5"/>
        <w:rPr>
          <w:color w:val="auto"/>
        </w:rPr>
      </w:pPr>
      <w:r>
        <w:rPr>
          <w:rFonts w:hint="eastAsia"/>
          <w:color w:val="auto"/>
        </w:rPr>
        <w:t>主要污染物最大贡献浓度</w:t>
      </w:r>
    </w:p>
    <w:p w14:paraId="040895A0">
      <w:pPr>
        <w:pStyle w:val="132"/>
        <w:rPr>
          <w:color w:val="auto"/>
        </w:rPr>
      </w:pPr>
      <w:r>
        <w:rPr>
          <w:color w:val="auto"/>
        </w:rPr>
        <w:t>项目正常排放条件下，主要污染物在环境空气保护目标和网格点的最大浓度贡献值、发生的时间、占标率及达标情况见表 5.2</w:t>
      </w:r>
      <w:r>
        <w:rPr>
          <w:rFonts w:hint="eastAsia"/>
          <w:color w:val="auto"/>
        </w:rPr>
        <w:t>-18</w:t>
      </w:r>
      <w:r>
        <w:rPr>
          <w:color w:val="auto"/>
        </w:rPr>
        <w:t>。</w:t>
      </w:r>
    </w:p>
    <w:p w14:paraId="5860DEEF">
      <w:pPr>
        <w:pStyle w:val="132"/>
        <w:rPr>
          <w:color w:val="auto"/>
        </w:rPr>
      </w:pPr>
      <w:r>
        <w:rPr>
          <w:rFonts w:hint="eastAsia"/>
          <w:color w:val="auto"/>
        </w:rPr>
        <w:t>由此分析得，新增污染源正常排放下污染物短期浓度贡献值的最大浓度占标率≤100%，新增污染源正常排放下污染物年均浓度贡献值的最大浓度占标率≤30%。</w:t>
      </w:r>
    </w:p>
    <w:p w14:paraId="17555F6D">
      <w:pPr>
        <w:pStyle w:val="1060"/>
        <w:rPr>
          <w:color w:val="auto"/>
        </w:rPr>
      </w:pPr>
      <w:bookmarkStart w:id="301" w:name="_Ref195124259"/>
      <w:bookmarkEnd w:id="301"/>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16</w:t>
      </w:r>
      <w:r>
        <w:rPr>
          <w:color w:val="auto"/>
        </w:rPr>
        <w:fldChar w:fldCharType="end"/>
      </w:r>
      <w:r>
        <w:rPr>
          <w:rFonts w:hint="eastAsia"/>
          <w:color w:val="auto"/>
        </w:rPr>
        <w:t xml:space="preserve"> </w:t>
      </w:r>
      <w:r>
        <w:rPr>
          <w:color w:val="auto"/>
        </w:rPr>
        <w:t xml:space="preserve">  本项目贡献质量浓度预测结果表</w:t>
      </w:r>
    </w:p>
    <w:tbl>
      <w:tblPr>
        <w:tblStyle w:val="2429"/>
        <w:tblW w:w="5000"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889"/>
        <w:gridCol w:w="1505"/>
        <w:gridCol w:w="1505"/>
        <w:gridCol w:w="1351"/>
        <w:gridCol w:w="1503"/>
        <w:gridCol w:w="1053"/>
        <w:gridCol w:w="980"/>
      </w:tblGrid>
      <w:tr w14:paraId="23ABE05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tcBorders>
              <w:top w:val="single" w:color="000000" w:sz="8" w:space="0"/>
              <w:left w:val="single" w:color="000000" w:sz="8" w:space="0"/>
              <w:bottom w:val="single" w:color="000000" w:sz="2" w:space="0"/>
              <w:right w:val="single" w:color="000000" w:sz="2" w:space="0"/>
            </w:tcBorders>
            <w:noWrap/>
            <w:vAlign w:val="center"/>
          </w:tcPr>
          <w:p w14:paraId="413AA1F4">
            <w:pPr>
              <w:pStyle w:val="129"/>
              <w:widowControl w:val="0"/>
              <w:rPr>
                <w:rFonts w:eastAsia="Times New Roman"/>
                <w:color w:val="auto"/>
              </w:rPr>
            </w:pPr>
            <w:r>
              <w:rPr>
                <w:rFonts w:hint="eastAsia" w:ascii="宋体" w:hAnsi="宋体" w:eastAsia="Times New Roman" w:cs="宋体"/>
                <w:color w:val="auto"/>
              </w:rPr>
              <w:t>污染物</w:t>
            </w:r>
          </w:p>
        </w:tc>
        <w:tc>
          <w:tcPr>
            <w:tcW w:w="1492" w:type="dxa"/>
            <w:tcBorders>
              <w:top w:val="single" w:color="000000" w:sz="8" w:space="0"/>
              <w:left w:val="single" w:color="000000" w:sz="2" w:space="0"/>
              <w:bottom w:val="single" w:color="000000" w:sz="2" w:space="0"/>
              <w:right w:val="single" w:color="000000" w:sz="2" w:space="0"/>
            </w:tcBorders>
            <w:noWrap/>
            <w:vAlign w:val="center"/>
          </w:tcPr>
          <w:p w14:paraId="0163E0D1">
            <w:pPr>
              <w:pStyle w:val="129"/>
              <w:widowControl w:val="0"/>
              <w:rPr>
                <w:rFonts w:eastAsia="Times New Roman"/>
                <w:color w:val="auto"/>
              </w:rPr>
            </w:pPr>
            <w:r>
              <w:rPr>
                <w:rFonts w:hint="eastAsia" w:ascii="宋体" w:hAnsi="宋体" w:eastAsia="Times New Roman" w:cs="宋体"/>
                <w:color w:val="auto"/>
              </w:rPr>
              <w:t>预测点</w:t>
            </w:r>
          </w:p>
        </w:tc>
        <w:tc>
          <w:tcPr>
            <w:tcW w:w="1492" w:type="dxa"/>
            <w:tcBorders>
              <w:top w:val="single" w:color="000000" w:sz="8" w:space="0"/>
              <w:left w:val="single" w:color="000000" w:sz="2" w:space="0"/>
              <w:bottom w:val="single" w:color="000000" w:sz="2" w:space="0"/>
              <w:right w:val="single" w:color="000000" w:sz="2" w:space="0"/>
            </w:tcBorders>
            <w:noWrap/>
            <w:vAlign w:val="center"/>
          </w:tcPr>
          <w:p w14:paraId="6FB456DD">
            <w:pPr>
              <w:pStyle w:val="129"/>
              <w:widowControl w:val="0"/>
              <w:rPr>
                <w:rFonts w:eastAsia="Times New Roman"/>
                <w:color w:val="auto"/>
              </w:rPr>
            </w:pPr>
            <w:r>
              <w:rPr>
                <w:rFonts w:hint="eastAsia" w:ascii="宋体" w:hAnsi="宋体" w:eastAsia="Times New Roman" w:cs="宋体"/>
                <w:color w:val="auto"/>
              </w:rPr>
              <w:t>平均时段</w:t>
            </w:r>
          </w:p>
        </w:tc>
        <w:tc>
          <w:tcPr>
            <w:tcW w:w="1339" w:type="dxa"/>
            <w:tcBorders>
              <w:top w:val="single" w:color="000000" w:sz="8" w:space="0"/>
              <w:left w:val="single" w:color="000000" w:sz="2" w:space="0"/>
              <w:bottom w:val="single" w:color="000000" w:sz="2" w:space="0"/>
              <w:right w:val="single" w:color="000000" w:sz="2" w:space="0"/>
            </w:tcBorders>
            <w:noWrap/>
            <w:vAlign w:val="center"/>
          </w:tcPr>
          <w:p w14:paraId="74754B2D">
            <w:pPr>
              <w:pStyle w:val="129"/>
              <w:widowControl w:val="0"/>
              <w:rPr>
                <w:rFonts w:eastAsia="Times New Roman"/>
                <w:color w:val="auto"/>
              </w:rPr>
            </w:pPr>
            <w:r>
              <w:rPr>
                <w:rFonts w:hint="eastAsia" w:ascii="宋体" w:hAnsi="宋体" w:eastAsia="Times New Roman" w:cs="宋体"/>
                <w:color w:val="auto"/>
              </w:rPr>
              <w:t>最大贡献值</w:t>
            </w:r>
            <w:r>
              <w:rPr>
                <w:rFonts w:eastAsia="Times New Roman"/>
                <w:color w:val="auto"/>
              </w:rPr>
              <w:t>/</w:t>
            </w:r>
          </w:p>
          <w:p w14:paraId="52D2027F">
            <w:pPr>
              <w:pStyle w:val="129"/>
              <w:widowControl w:val="0"/>
              <w:rPr>
                <w:rFonts w:eastAsia="Times New Roman"/>
                <w:color w:val="auto"/>
              </w:rPr>
            </w:pPr>
            <w:r>
              <w:rPr>
                <w:rFonts w:eastAsia="Times New Roman"/>
                <w:color w:val="auto"/>
              </w:rPr>
              <w:t>(μg/m</w:t>
            </w:r>
            <w:r>
              <w:rPr>
                <w:rFonts w:eastAsia="Times New Roman"/>
                <w:color w:val="auto"/>
                <w:vertAlign w:val="superscript"/>
              </w:rPr>
              <w:t>3</w:t>
            </w:r>
            <w:r>
              <w:rPr>
                <w:rFonts w:eastAsia="Times New Roman"/>
                <w:color w:val="auto"/>
              </w:rPr>
              <w:t>)</w:t>
            </w:r>
          </w:p>
        </w:tc>
        <w:tc>
          <w:tcPr>
            <w:tcW w:w="1490" w:type="dxa"/>
            <w:tcBorders>
              <w:top w:val="single" w:color="000000" w:sz="8" w:space="0"/>
              <w:left w:val="single" w:color="000000" w:sz="2" w:space="0"/>
              <w:bottom w:val="single" w:color="000000" w:sz="2" w:space="0"/>
              <w:right w:val="single" w:color="000000" w:sz="2" w:space="0"/>
            </w:tcBorders>
            <w:noWrap/>
            <w:vAlign w:val="center"/>
          </w:tcPr>
          <w:p w14:paraId="5DB6936F">
            <w:pPr>
              <w:pStyle w:val="129"/>
              <w:widowControl w:val="0"/>
              <w:rPr>
                <w:rFonts w:eastAsia="Times New Roman"/>
                <w:color w:val="auto"/>
              </w:rPr>
            </w:pPr>
            <w:r>
              <w:rPr>
                <w:rFonts w:hint="eastAsia" w:ascii="宋体" w:hAnsi="宋体" w:eastAsia="Times New Roman" w:cs="宋体"/>
                <w:color w:val="auto"/>
              </w:rPr>
              <w:t>出现时间</w:t>
            </w:r>
          </w:p>
        </w:tc>
        <w:tc>
          <w:tcPr>
            <w:tcW w:w="1044" w:type="dxa"/>
            <w:tcBorders>
              <w:top w:val="single" w:color="000000" w:sz="8" w:space="0"/>
              <w:left w:val="single" w:color="000000" w:sz="2" w:space="0"/>
              <w:bottom w:val="single" w:color="000000" w:sz="2" w:space="0"/>
              <w:right w:val="single" w:color="000000" w:sz="2" w:space="0"/>
            </w:tcBorders>
            <w:noWrap/>
            <w:vAlign w:val="center"/>
          </w:tcPr>
          <w:p w14:paraId="4042E63C">
            <w:pPr>
              <w:pStyle w:val="129"/>
              <w:widowControl w:val="0"/>
              <w:rPr>
                <w:rFonts w:eastAsia="Times New Roman"/>
                <w:color w:val="auto"/>
              </w:rPr>
            </w:pPr>
            <w:r>
              <w:rPr>
                <w:rFonts w:hint="eastAsia" w:ascii="宋体" w:hAnsi="宋体" w:eastAsia="Times New Roman" w:cs="宋体"/>
                <w:color w:val="auto"/>
              </w:rPr>
              <w:t>占标率</w:t>
            </w:r>
            <w:r>
              <w:rPr>
                <w:rFonts w:eastAsia="Times New Roman"/>
                <w:color w:val="auto"/>
              </w:rPr>
              <w:t>/%</w:t>
            </w:r>
          </w:p>
        </w:tc>
        <w:tc>
          <w:tcPr>
            <w:tcW w:w="972" w:type="dxa"/>
            <w:tcBorders>
              <w:top w:val="single" w:color="000000" w:sz="8" w:space="0"/>
              <w:left w:val="single" w:color="000000" w:sz="2" w:space="0"/>
              <w:bottom w:val="single" w:color="000000" w:sz="2" w:space="0"/>
              <w:right w:val="single" w:color="000000" w:sz="8" w:space="0"/>
            </w:tcBorders>
            <w:vAlign w:val="center"/>
          </w:tcPr>
          <w:p w14:paraId="61876EA0">
            <w:pPr>
              <w:pStyle w:val="129"/>
              <w:widowControl w:val="0"/>
              <w:rPr>
                <w:rFonts w:eastAsia="Times New Roman"/>
                <w:color w:val="auto"/>
              </w:rPr>
            </w:pPr>
            <w:r>
              <w:rPr>
                <w:rFonts w:hint="eastAsia" w:ascii="宋体" w:hAnsi="宋体" w:eastAsia="Times New Roman" w:cs="宋体"/>
                <w:color w:val="auto"/>
              </w:rPr>
              <w:t>是否超标</w:t>
            </w:r>
          </w:p>
        </w:tc>
      </w:tr>
      <w:tr w14:paraId="470A417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bottom w:val="single" w:color="000000" w:sz="2" w:space="0"/>
              <w:right w:val="single" w:color="000000" w:sz="2" w:space="0"/>
            </w:tcBorders>
            <w:noWrap/>
            <w:vAlign w:val="center"/>
          </w:tcPr>
          <w:p w14:paraId="13CB53BD">
            <w:pPr>
              <w:pStyle w:val="129"/>
              <w:widowControl w:val="0"/>
              <w:rPr>
                <w:rFonts w:eastAsia="Times New Roman"/>
                <w:color w:val="auto"/>
              </w:rPr>
            </w:pPr>
            <w:r>
              <w:rPr>
                <w:rFonts w:eastAsia="Times New Roman"/>
                <w:color w:val="auto"/>
              </w:rPr>
              <w:t>SO</w:t>
            </w:r>
            <w:r>
              <w:rPr>
                <w:rFonts w:eastAsia="Times New Roman"/>
                <w:color w:val="auto"/>
                <w:vertAlign w:val="subscript"/>
              </w:rPr>
              <w:t>2</w:t>
            </w:r>
          </w:p>
        </w:tc>
        <w:tc>
          <w:tcPr>
            <w:tcW w:w="1492" w:type="dxa"/>
            <w:vMerge w:val="restart"/>
            <w:tcBorders>
              <w:top w:val="single" w:color="000000" w:sz="2" w:space="0"/>
              <w:left w:val="single" w:color="000000" w:sz="2" w:space="0"/>
              <w:bottom w:val="single" w:color="000000" w:sz="2" w:space="0"/>
              <w:right w:val="single" w:color="000000" w:sz="2" w:space="0"/>
            </w:tcBorders>
            <w:noWrap/>
            <w:vAlign w:val="center"/>
          </w:tcPr>
          <w:p w14:paraId="7A58281D">
            <w:pPr>
              <w:pStyle w:val="129"/>
              <w:widowControl w:val="0"/>
              <w:rPr>
                <w:rFonts w:eastAsia="Times New Roman" w:cs="宋体"/>
                <w:color w:val="auto"/>
              </w:rPr>
            </w:pPr>
            <w:r>
              <w:rPr>
                <w:rFonts w:hint="eastAsia" w:ascii="宋体" w:hAnsi="宋体" w:eastAsia="Times New Roman" w:cs="宋体"/>
                <w:color w:val="auto"/>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2307D20E">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7E121DC0">
            <w:pPr>
              <w:pStyle w:val="129"/>
              <w:widowControl w:val="0"/>
              <w:rPr>
                <w:rFonts w:eastAsia="Times New Roman"/>
                <w:color w:val="auto"/>
              </w:rPr>
            </w:pPr>
            <w:r>
              <w:rPr>
                <w:rFonts w:eastAsia="Times New Roman"/>
                <w:color w:val="auto"/>
              </w:rPr>
              <w:t>0.16624</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180C5792">
            <w:pPr>
              <w:pStyle w:val="129"/>
              <w:widowControl w:val="0"/>
              <w:rPr>
                <w:rFonts w:eastAsia="Times New Roman"/>
                <w:color w:val="auto"/>
              </w:rPr>
            </w:pPr>
            <w:r>
              <w:rPr>
                <w:rFonts w:eastAsia="Times New Roman"/>
                <w:color w:val="auto"/>
              </w:rPr>
              <w:t>24061203</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C884997">
            <w:pPr>
              <w:pStyle w:val="129"/>
              <w:widowControl w:val="0"/>
              <w:rPr>
                <w:rFonts w:eastAsia="Times New Roman"/>
                <w:color w:val="auto"/>
              </w:rPr>
            </w:pPr>
            <w:r>
              <w:rPr>
                <w:rFonts w:eastAsia="Times New Roman"/>
                <w:color w:val="auto"/>
              </w:rPr>
              <w:t>0.03</w:t>
            </w:r>
          </w:p>
        </w:tc>
        <w:tc>
          <w:tcPr>
            <w:tcW w:w="972" w:type="dxa"/>
            <w:tcBorders>
              <w:top w:val="single" w:color="000000" w:sz="2" w:space="0"/>
              <w:left w:val="single" w:color="000000" w:sz="2" w:space="0"/>
              <w:bottom w:val="single" w:color="000000" w:sz="2" w:space="0"/>
              <w:right w:val="single" w:color="000000" w:sz="8" w:space="0"/>
            </w:tcBorders>
            <w:vAlign w:val="center"/>
          </w:tcPr>
          <w:p w14:paraId="037BFFA0">
            <w:pPr>
              <w:pStyle w:val="129"/>
              <w:widowControl w:val="0"/>
              <w:rPr>
                <w:rFonts w:eastAsia="Times New Roman"/>
                <w:color w:val="auto"/>
              </w:rPr>
            </w:pPr>
            <w:r>
              <w:rPr>
                <w:rFonts w:hint="eastAsia" w:ascii="宋体" w:hAnsi="宋体" w:eastAsia="Times New Roman" w:cs="宋体"/>
                <w:color w:val="auto"/>
              </w:rPr>
              <w:t>达标</w:t>
            </w:r>
          </w:p>
        </w:tc>
      </w:tr>
      <w:tr w14:paraId="0A2C551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F7E4FBD">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5BC5F9DF">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550FD5B9">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5B8701C2">
            <w:pPr>
              <w:pStyle w:val="129"/>
              <w:widowControl w:val="0"/>
              <w:rPr>
                <w:rFonts w:eastAsia="Times New Roman"/>
                <w:color w:val="auto"/>
              </w:rPr>
            </w:pPr>
            <w:r>
              <w:rPr>
                <w:rFonts w:eastAsia="Times New Roman"/>
                <w:color w:val="auto"/>
              </w:rPr>
              <w:t>0.02565</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655B4A5D">
            <w:pPr>
              <w:pStyle w:val="129"/>
              <w:widowControl w:val="0"/>
              <w:rPr>
                <w:rFonts w:eastAsia="Times New Roman"/>
                <w:color w:val="auto"/>
              </w:rPr>
            </w:pPr>
            <w:r>
              <w:rPr>
                <w:rFonts w:eastAsia="Times New Roman"/>
                <w:color w:val="auto"/>
              </w:rPr>
              <w:t>240612</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A40B849">
            <w:pPr>
              <w:pStyle w:val="129"/>
              <w:widowControl w:val="0"/>
              <w:rPr>
                <w:rFonts w:eastAsia="Times New Roman"/>
                <w:color w:val="auto"/>
              </w:rPr>
            </w:pPr>
            <w:r>
              <w:rPr>
                <w:rFonts w:eastAsia="Times New Roman"/>
                <w:color w:val="auto"/>
              </w:rPr>
              <w:t>0.02</w:t>
            </w:r>
          </w:p>
        </w:tc>
        <w:tc>
          <w:tcPr>
            <w:tcW w:w="972" w:type="dxa"/>
            <w:tcBorders>
              <w:top w:val="single" w:color="000000" w:sz="2" w:space="0"/>
              <w:left w:val="single" w:color="000000" w:sz="2" w:space="0"/>
              <w:bottom w:val="single" w:color="000000" w:sz="2" w:space="0"/>
              <w:right w:val="single" w:color="000000" w:sz="8" w:space="0"/>
            </w:tcBorders>
            <w:vAlign w:val="center"/>
          </w:tcPr>
          <w:p w14:paraId="1FEAB4F1">
            <w:pPr>
              <w:pStyle w:val="129"/>
              <w:widowControl w:val="0"/>
              <w:rPr>
                <w:rFonts w:eastAsia="Times New Roman"/>
                <w:color w:val="auto"/>
              </w:rPr>
            </w:pPr>
            <w:r>
              <w:rPr>
                <w:rFonts w:hint="eastAsia" w:ascii="宋体" w:hAnsi="宋体" w:eastAsia="Times New Roman" w:cs="宋体"/>
                <w:color w:val="auto"/>
              </w:rPr>
              <w:t>达标</w:t>
            </w:r>
          </w:p>
        </w:tc>
      </w:tr>
      <w:tr w14:paraId="2455374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1C967DD">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06A26394">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1ED2D386">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9097C58">
            <w:pPr>
              <w:pStyle w:val="129"/>
              <w:widowControl w:val="0"/>
              <w:rPr>
                <w:rFonts w:eastAsia="Times New Roman"/>
                <w:color w:val="auto"/>
              </w:rPr>
            </w:pPr>
            <w:r>
              <w:rPr>
                <w:rFonts w:eastAsia="Times New Roman"/>
                <w:color w:val="auto"/>
              </w:rPr>
              <w:t>0.00095</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1BF40C72">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C8E2809">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74A2CB11">
            <w:pPr>
              <w:pStyle w:val="129"/>
              <w:widowControl w:val="0"/>
              <w:rPr>
                <w:rFonts w:eastAsia="Times New Roman"/>
                <w:color w:val="auto"/>
              </w:rPr>
            </w:pPr>
            <w:r>
              <w:rPr>
                <w:rFonts w:hint="eastAsia" w:ascii="宋体" w:hAnsi="宋体" w:eastAsia="Times New Roman" w:cs="宋体"/>
                <w:color w:val="auto"/>
              </w:rPr>
              <w:t>达标</w:t>
            </w:r>
          </w:p>
        </w:tc>
      </w:tr>
      <w:tr w14:paraId="0D9DA56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74373CA4">
            <w:pPr>
              <w:pStyle w:val="129"/>
              <w:widowControl w:val="0"/>
              <w:rPr>
                <w:rFonts w:eastAsia="Times New Roman"/>
                <w:color w:val="auto"/>
              </w:rPr>
            </w:pPr>
          </w:p>
        </w:tc>
        <w:tc>
          <w:tcPr>
            <w:tcW w:w="1492" w:type="dxa"/>
            <w:vMerge w:val="restart"/>
            <w:tcBorders>
              <w:top w:val="single" w:color="000000" w:sz="2" w:space="0"/>
              <w:left w:val="single" w:color="000000" w:sz="2" w:space="0"/>
              <w:bottom w:val="single" w:color="000000" w:sz="2" w:space="0"/>
              <w:right w:val="single" w:color="000000" w:sz="2" w:space="0"/>
            </w:tcBorders>
            <w:vAlign w:val="center"/>
          </w:tcPr>
          <w:p w14:paraId="061E5E36">
            <w:pPr>
              <w:pStyle w:val="129"/>
              <w:widowControl w:val="0"/>
              <w:rPr>
                <w:rFonts w:eastAsia="Times New Roman" w:cs="宋体"/>
                <w:color w:val="auto"/>
              </w:rPr>
            </w:pPr>
            <w:r>
              <w:rPr>
                <w:rFonts w:hint="eastAsia" w:ascii="宋体" w:hAnsi="宋体" w:eastAsia="Times New Roman" w:cs="宋体"/>
                <w:color w:val="auto"/>
              </w:rPr>
              <w:t>乌鲁木齐市第</w:t>
            </w:r>
            <w:r>
              <w:rPr>
                <w:rFonts w:eastAsia="Times New Roman" w:cs="宋体"/>
                <w:color w:val="auto"/>
              </w:rPr>
              <w:t>137</w:t>
            </w:r>
            <w:r>
              <w:rPr>
                <w:rFonts w:hint="eastAsia" w:ascii="宋体" w:hAnsi="宋体" w:eastAsia="Times New Roman" w:cs="宋体"/>
                <w:color w:val="auto"/>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5610F031">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62DB78F1">
            <w:pPr>
              <w:pStyle w:val="129"/>
              <w:widowControl w:val="0"/>
              <w:rPr>
                <w:rFonts w:eastAsia="Times New Roman"/>
                <w:color w:val="auto"/>
              </w:rPr>
            </w:pPr>
            <w:r>
              <w:rPr>
                <w:rFonts w:eastAsia="Times New Roman"/>
                <w:color w:val="auto"/>
              </w:rPr>
              <w:t>0.12673</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18BB9A08">
            <w:pPr>
              <w:pStyle w:val="129"/>
              <w:widowControl w:val="0"/>
              <w:rPr>
                <w:rFonts w:eastAsia="Times New Roman"/>
                <w:color w:val="auto"/>
              </w:rPr>
            </w:pPr>
            <w:r>
              <w:rPr>
                <w:rFonts w:eastAsia="Times New Roman"/>
                <w:color w:val="auto"/>
              </w:rPr>
              <w:t>24041107</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010EEA2">
            <w:pPr>
              <w:pStyle w:val="129"/>
              <w:widowControl w:val="0"/>
              <w:rPr>
                <w:rFonts w:eastAsia="Times New Roman"/>
                <w:color w:val="auto"/>
              </w:rPr>
            </w:pPr>
            <w:r>
              <w:rPr>
                <w:rFonts w:eastAsia="Times New Roman"/>
                <w:color w:val="auto"/>
              </w:rPr>
              <w:t>0.03</w:t>
            </w:r>
          </w:p>
        </w:tc>
        <w:tc>
          <w:tcPr>
            <w:tcW w:w="972" w:type="dxa"/>
            <w:tcBorders>
              <w:top w:val="single" w:color="000000" w:sz="2" w:space="0"/>
              <w:left w:val="single" w:color="000000" w:sz="2" w:space="0"/>
              <w:bottom w:val="single" w:color="000000" w:sz="2" w:space="0"/>
              <w:right w:val="single" w:color="000000" w:sz="8" w:space="0"/>
            </w:tcBorders>
            <w:vAlign w:val="center"/>
          </w:tcPr>
          <w:p w14:paraId="549FB2DD">
            <w:pPr>
              <w:pStyle w:val="129"/>
              <w:widowControl w:val="0"/>
              <w:rPr>
                <w:rFonts w:eastAsia="Times New Roman"/>
                <w:color w:val="auto"/>
              </w:rPr>
            </w:pPr>
            <w:r>
              <w:rPr>
                <w:rFonts w:hint="eastAsia" w:ascii="宋体" w:hAnsi="宋体" w:eastAsia="Times New Roman" w:cs="宋体"/>
                <w:color w:val="auto"/>
              </w:rPr>
              <w:t>达标</w:t>
            </w:r>
          </w:p>
        </w:tc>
      </w:tr>
      <w:tr w14:paraId="3E63A42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73DFF19B">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7144AB2F">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2682F38">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21E86F02">
            <w:pPr>
              <w:pStyle w:val="129"/>
              <w:widowControl w:val="0"/>
              <w:rPr>
                <w:rFonts w:eastAsia="Times New Roman"/>
                <w:color w:val="auto"/>
              </w:rPr>
            </w:pPr>
            <w:r>
              <w:rPr>
                <w:rFonts w:eastAsia="Times New Roman"/>
                <w:color w:val="auto"/>
              </w:rPr>
              <w:t>0.00536</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6CF75659">
            <w:pPr>
              <w:pStyle w:val="129"/>
              <w:widowControl w:val="0"/>
              <w:rPr>
                <w:rFonts w:eastAsia="Times New Roman"/>
                <w:color w:val="auto"/>
              </w:rPr>
            </w:pPr>
            <w:r>
              <w:rPr>
                <w:rFonts w:eastAsia="Times New Roman"/>
                <w:color w:val="auto"/>
              </w:rPr>
              <w:t>240411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67B87E21">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2BCBA41D">
            <w:pPr>
              <w:pStyle w:val="129"/>
              <w:widowControl w:val="0"/>
              <w:rPr>
                <w:rFonts w:eastAsia="Times New Roman"/>
                <w:color w:val="auto"/>
              </w:rPr>
            </w:pPr>
            <w:r>
              <w:rPr>
                <w:rFonts w:hint="eastAsia" w:ascii="宋体" w:hAnsi="宋体" w:eastAsia="Times New Roman" w:cs="宋体"/>
                <w:color w:val="auto"/>
              </w:rPr>
              <w:t>达标</w:t>
            </w:r>
          </w:p>
        </w:tc>
      </w:tr>
      <w:tr w14:paraId="651A994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0F9C7DA7">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018D2638">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1EFFEED0">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5B796B71">
            <w:pPr>
              <w:pStyle w:val="129"/>
              <w:widowControl w:val="0"/>
              <w:rPr>
                <w:rFonts w:eastAsia="Times New Roman"/>
                <w:color w:val="auto"/>
              </w:rPr>
            </w:pPr>
            <w:r>
              <w:rPr>
                <w:rFonts w:eastAsia="Times New Roman"/>
                <w:color w:val="auto"/>
              </w:rPr>
              <w:t>0.00022</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5C1BB723">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E4D9D39">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72954F92">
            <w:pPr>
              <w:pStyle w:val="129"/>
              <w:widowControl w:val="0"/>
              <w:rPr>
                <w:rFonts w:eastAsia="Times New Roman"/>
                <w:color w:val="auto"/>
              </w:rPr>
            </w:pPr>
            <w:r>
              <w:rPr>
                <w:rFonts w:hint="eastAsia" w:ascii="宋体" w:hAnsi="宋体" w:eastAsia="Times New Roman" w:cs="宋体"/>
                <w:color w:val="auto"/>
              </w:rPr>
              <w:t>达标</w:t>
            </w:r>
          </w:p>
        </w:tc>
      </w:tr>
      <w:tr w14:paraId="72D98D7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487677AE">
            <w:pPr>
              <w:pStyle w:val="129"/>
              <w:widowControl w:val="0"/>
              <w:rPr>
                <w:rFonts w:eastAsia="Times New Roman"/>
                <w:color w:val="auto"/>
              </w:rPr>
            </w:pPr>
          </w:p>
        </w:tc>
        <w:tc>
          <w:tcPr>
            <w:tcW w:w="1492" w:type="dxa"/>
            <w:vMerge w:val="restart"/>
            <w:tcBorders>
              <w:top w:val="single" w:color="000000" w:sz="2" w:space="0"/>
              <w:left w:val="single" w:color="000000" w:sz="2" w:space="0"/>
              <w:bottom w:val="single" w:color="000000" w:sz="2" w:space="0"/>
              <w:right w:val="single" w:color="000000" w:sz="2" w:space="0"/>
            </w:tcBorders>
            <w:vAlign w:val="center"/>
          </w:tcPr>
          <w:p w14:paraId="03DA2DF9">
            <w:pPr>
              <w:pStyle w:val="129"/>
              <w:widowControl w:val="0"/>
              <w:rPr>
                <w:rFonts w:eastAsia="Times New Roman" w:cs="宋体"/>
                <w:color w:val="auto"/>
              </w:rPr>
            </w:pPr>
            <w:r>
              <w:rPr>
                <w:rFonts w:hint="eastAsia" w:ascii="宋体" w:hAnsi="宋体" w:eastAsia="Times New Roman" w:cs="宋体"/>
                <w:color w:val="auto"/>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6422622D">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61D4572">
            <w:pPr>
              <w:pStyle w:val="129"/>
              <w:widowControl w:val="0"/>
              <w:rPr>
                <w:rFonts w:eastAsia="Times New Roman"/>
                <w:color w:val="auto"/>
              </w:rPr>
            </w:pPr>
            <w:r>
              <w:rPr>
                <w:rFonts w:eastAsia="Times New Roman"/>
                <w:color w:val="auto"/>
              </w:rPr>
              <w:t>0.94569</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7BFDEBDF">
            <w:pPr>
              <w:pStyle w:val="129"/>
              <w:widowControl w:val="0"/>
              <w:rPr>
                <w:rFonts w:eastAsia="Times New Roman"/>
                <w:color w:val="auto"/>
              </w:rPr>
            </w:pPr>
            <w:r>
              <w:rPr>
                <w:rFonts w:eastAsia="Times New Roman"/>
                <w:color w:val="auto"/>
              </w:rPr>
              <w:t>24072513</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574EB276">
            <w:pPr>
              <w:pStyle w:val="129"/>
              <w:widowControl w:val="0"/>
              <w:rPr>
                <w:rFonts w:eastAsia="Times New Roman"/>
                <w:color w:val="auto"/>
              </w:rPr>
            </w:pPr>
            <w:r>
              <w:rPr>
                <w:rFonts w:eastAsia="Times New Roman"/>
                <w:color w:val="auto"/>
              </w:rPr>
              <w:t>0.19</w:t>
            </w:r>
          </w:p>
        </w:tc>
        <w:tc>
          <w:tcPr>
            <w:tcW w:w="972" w:type="dxa"/>
            <w:tcBorders>
              <w:top w:val="single" w:color="000000" w:sz="2" w:space="0"/>
              <w:left w:val="single" w:color="000000" w:sz="2" w:space="0"/>
              <w:bottom w:val="single" w:color="000000" w:sz="2" w:space="0"/>
              <w:right w:val="single" w:color="000000" w:sz="8" w:space="0"/>
            </w:tcBorders>
            <w:vAlign w:val="center"/>
          </w:tcPr>
          <w:p w14:paraId="01213ACD">
            <w:pPr>
              <w:pStyle w:val="129"/>
              <w:widowControl w:val="0"/>
              <w:rPr>
                <w:rFonts w:eastAsia="Times New Roman"/>
                <w:color w:val="auto"/>
              </w:rPr>
            </w:pPr>
            <w:r>
              <w:rPr>
                <w:rFonts w:hint="eastAsia" w:ascii="宋体" w:hAnsi="宋体" w:eastAsia="Times New Roman" w:cs="宋体"/>
                <w:color w:val="auto"/>
              </w:rPr>
              <w:t>达标</w:t>
            </w:r>
          </w:p>
        </w:tc>
      </w:tr>
      <w:tr w14:paraId="2782D91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1F14AA2F">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76D182A5">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5E8DEF46">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062129AC">
            <w:pPr>
              <w:pStyle w:val="129"/>
              <w:widowControl w:val="0"/>
              <w:rPr>
                <w:rFonts w:eastAsia="Times New Roman"/>
                <w:color w:val="auto"/>
              </w:rPr>
            </w:pPr>
            <w:r>
              <w:rPr>
                <w:rFonts w:eastAsia="Times New Roman"/>
                <w:color w:val="auto"/>
              </w:rPr>
              <w:t>0.20728</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1486BC6">
            <w:pPr>
              <w:pStyle w:val="129"/>
              <w:widowControl w:val="0"/>
              <w:rPr>
                <w:rFonts w:eastAsia="Times New Roman"/>
                <w:color w:val="auto"/>
              </w:rPr>
            </w:pPr>
            <w:r>
              <w:rPr>
                <w:rFonts w:eastAsia="Times New Roman"/>
                <w:color w:val="auto"/>
              </w:rPr>
              <w:t>240521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25B5EED">
            <w:pPr>
              <w:pStyle w:val="129"/>
              <w:widowControl w:val="0"/>
              <w:rPr>
                <w:rFonts w:eastAsia="Times New Roman"/>
                <w:color w:val="auto"/>
              </w:rPr>
            </w:pPr>
            <w:r>
              <w:rPr>
                <w:rFonts w:eastAsia="Times New Roman"/>
                <w:color w:val="auto"/>
              </w:rPr>
              <w:t>0.14</w:t>
            </w:r>
          </w:p>
        </w:tc>
        <w:tc>
          <w:tcPr>
            <w:tcW w:w="972" w:type="dxa"/>
            <w:tcBorders>
              <w:top w:val="single" w:color="000000" w:sz="2" w:space="0"/>
              <w:left w:val="single" w:color="000000" w:sz="2" w:space="0"/>
              <w:bottom w:val="single" w:color="000000" w:sz="2" w:space="0"/>
              <w:right w:val="single" w:color="000000" w:sz="8" w:space="0"/>
            </w:tcBorders>
            <w:vAlign w:val="center"/>
          </w:tcPr>
          <w:p w14:paraId="56557553">
            <w:pPr>
              <w:pStyle w:val="129"/>
              <w:widowControl w:val="0"/>
              <w:rPr>
                <w:rFonts w:eastAsia="Times New Roman"/>
                <w:color w:val="auto"/>
              </w:rPr>
            </w:pPr>
            <w:r>
              <w:rPr>
                <w:rFonts w:hint="eastAsia" w:ascii="宋体" w:hAnsi="宋体" w:eastAsia="Times New Roman" w:cs="宋体"/>
                <w:color w:val="auto"/>
              </w:rPr>
              <w:t>达标</w:t>
            </w:r>
          </w:p>
        </w:tc>
      </w:tr>
      <w:tr w14:paraId="5E65D0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1CEABA1">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509B37BF">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6DB688AE">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0EA66371">
            <w:pPr>
              <w:pStyle w:val="129"/>
              <w:widowControl w:val="0"/>
              <w:rPr>
                <w:rFonts w:eastAsia="Times New Roman"/>
                <w:color w:val="auto"/>
              </w:rPr>
            </w:pPr>
            <w:r>
              <w:rPr>
                <w:rFonts w:eastAsia="Times New Roman"/>
                <w:color w:val="auto"/>
              </w:rPr>
              <w:t>0.03999</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20418CA4">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DBD37F6">
            <w:pPr>
              <w:pStyle w:val="129"/>
              <w:widowControl w:val="0"/>
              <w:rPr>
                <w:rFonts w:eastAsia="Times New Roman"/>
                <w:color w:val="auto"/>
              </w:rPr>
            </w:pPr>
            <w:r>
              <w:rPr>
                <w:rFonts w:eastAsia="Times New Roman"/>
                <w:color w:val="auto"/>
              </w:rPr>
              <w:t>0.07</w:t>
            </w:r>
          </w:p>
        </w:tc>
        <w:tc>
          <w:tcPr>
            <w:tcW w:w="972" w:type="dxa"/>
            <w:tcBorders>
              <w:top w:val="single" w:color="000000" w:sz="2" w:space="0"/>
              <w:left w:val="single" w:color="000000" w:sz="2" w:space="0"/>
              <w:bottom w:val="single" w:color="000000" w:sz="2" w:space="0"/>
              <w:right w:val="single" w:color="000000" w:sz="8" w:space="0"/>
            </w:tcBorders>
            <w:vAlign w:val="center"/>
          </w:tcPr>
          <w:p w14:paraId="2F189DAD">
            <w:pPr>
              <w:pStyle w:val="129"/>
              <w:widowControl w:val="0"/>
              <w:rPr>
                <w:rFonts w:eastAsia="Times New Roman"/>
                <w:color w:val="auto"/>
              </w:rPr>
            </w:pPr>
            <w:r>
              <w:rPr>
                <w:rFonts w:hint="eastAsia" w:ascii="宋体" w:hAnsi="宋体" w:eastAsia="Times New Roman" w:cs="宋体"/>
                <w:color w:val="auto"/>
              </w:rPr>
              <w:t>达标</w:t>
            </w:r>
          </w:p>
        </w:tc>
      </w:tr>
      <w:tr w14:paraId="05A81C7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bottom w:val="single" w:color="000000" w:sz="2" w:space="0"/>
              <w:right w:val="single" w:color="000000" w:sz="2" w:space="0"/>
            </w:tcBorders>
            <w:noWrap/>
            <w:vAlign w:val="center"/>
          </w:tcPr>
          <w:p w14:paraId="02F74373">
            <w:pPr>
              <w:pStyle w:val="129"/>
              <w:widowControl w:val="0"/>
              <w:rPr>
                <w:rFonts w:eastAsia="Times New Roman"/>
                <w:color w:val="auto"/>
              </w:rPr>
            </w:pPr>
            <w:r>
              <w:rPr>
                <w:rFonts w:eastAsia="Times New Roman"/>
                <w:color w:val="auto"/>
              </w:rPr>
              <w:t>NO</w:t>
            </w:r>
            <w:r>
              <w:rPr>
                <w:rFonts w:eastAsia="Times New Roman"/>
                <w:color w:val="auto"/>
                <w:vertAlign w:val="subscript"/>
              </w:rPr>
              <w:t>2</w:t>
            </w:r>
          </w:p>
        </w:tc>
        <w:tc>
          <w:tcPr>
            <w:tcW w:w="1492" w:type="dxa"/>
            <w:vMerge w:val="restart"/>
            <w:tcBorders>
              <w:top w:val="single" w:color="000000" w:sz="2" w:space="0"/>
              <w:left w:val="single" w:color="000000" w:sz="2" w:space="0"/>
              <w:bottom w:val="single" w:color="000000" w:sz="2" w:space="0"/>
              <w:right w:val="single" w:color="000000" w:sz="2" w:space="0"/>
            </w:tcBorders>
            <w:noWrap/>
            <w:vAlign w:val="center"/>
          </w:tcPr>
          <w:p w14:paraId="62E34713">
            <w:pPr>
              <w:pStyle w:val="129"/>
              <w:widowControl w:val="0"/>
              <w:rPr>
                <w:rFonts w:eastAsia="Times New Roman" w:cs="宋体"/>
                <w:color w:val="auto"/>
              </w:rPr>
            </w:pPr>
            <w:r>
              <w:rPr>
                <w:rFonts w:hint="eastAsia" w:ascii="宋体" w:hAnsi="宋体" w:eastAsia="Times New Roman" w:cs="宋体"/>
                <w:color w:val="auto"/>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442A9BDD">
            <w:pPr>
              <w:pStyle w:val="129"/>
              <w:widowControl w:val="0"/>
              <w:rPr>
                <w:rFonts w:eastAsia="Times New Roman"/>
                <w:color w:val="auto"/>
              </w:rPr>
            </w:pPr>
            <w:r>
              <w:rPr>
                <w:rFonts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1AA56B6">
            <w:pPr>
              <w:pStyle w:val="129"/>
              <w:widowControl w:val="0"/>
              <w:rPr>
                <w:rFonts w:eastAsia="Times New Roman"/>
                <w:color w:val="auto"/>
              </w:rPr>
            </w:pPr>
            <w:r>
              <w:rPr>
                <w:rFonts w:eastAsia="Times New Roman"/>
                <w:color w:val="auto"/>
              </w:rPr>
              <w:t>3.27642</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6ECD4D65">
            <w:pPr>
              <w:pStyle w:val="129"/>
              <w:widowControl w:val="0"/>
              <w:rPr>
                <w:rFonts w:eastAsia="Times New Roman"/>
                <w:color w:val="auto"/>
              </w:rPr>
            </w:pPr>
            <w:r>
              <w:rPr>
                <w:rFonts w:eastAsia="Times New Roman"/>
                <w:color w:val="auto"/>
              </w:rPr>
              <w:t>24061203</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551F0E41">
            <w:pPr>
              <w:pStyle w:val="129"/>
              <w:widowControl w:val="0"/>
              <w:rPr>
                <w:rFonts w:eastAsia="Times New Roman"/>
                <w:color w:val="auto"/>
              </w:rPr>
            </w:pPr>
            <w:r>
              <w:rPr>
                <w:rFonts w:eastAsia="Times New Roman"/>
                <w:color w:val="auto"/>
              </w:rPr>
              <w:t>1.64</w:t>
            </w:r>
          </w:p>
        </w:tc>
        <w:tc>
          <w:tcPr>
            <w:tcW w:w="972" w:type="dxa"/>
            <w:tcBorders>
              <w:top w:val="single" w:color="000000" w:sz="2" w:space="0"/>
              <w:left w:val="single" w:color="000000" w:sz="2" w:space="0"/>
              <w:bottom w:val="single" w:color="000000" w:sz="2" w:space="0"/>
              <w:right w:val="single" w:color="000000" w:sz="8" w:space="0"/>
            </w:tcBorders>
            <w:vAlign w:val="center"/>
          </w:tcPr>
          <w:p w14:paraId="2372C97A">
            <w:pPr>
              <w:pStyle w:val="129"/>
              <w:widowControl w:val="0"/>
              <w:rPr>
                <w:rFonts w:eastAsia="Times New Roman"/>
                <w:color w:val="auto"/>
              </w:rPr>
            </w:pPr>
            <w:r>
              <w:rPr>
                <w:rFonts w:hint="eastAsia" w:ascii="宋体" w:hAnsi="宋体" w:eastAsia="Times New Roman" w:cs="宋体"/>
                <w:color w:val="auto"/>
              </w:rPr>
              <w:t>达标</w:t>
            </w:r>
          </w:p>
        </w:tc>
      </w:tr>
      <w:tr w14:paraId="5632A01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1D581410">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57066AB3">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2C383A68">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04257868">
            <w:pPr>
              <w:pStyle w:val="129"/>
              <w:widowControl w:val="0"/>
              <w:rPr>
                <w:rFonts w:eastAsia="Times New Roman"/>
                <w:color w:val="auto"/>
              </w:rPr>
            </w:pPr>
            <w:r>
              <w:rPr>
                <w:rFonts w:eastAsia="Times New Roman"/>
                <w:color w:val="auto"/>
              </w:rPr>
              <w:t>0.47789</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2C88F258">
            <w:pPr>
              <w:pStyle w:val="129"/>
              <w:widowControl w:val="0"/>
              <w:rPr>
                <w:rFonts w:eastAsia="Times New Roman"/>
                <w:color w:val="auto"/>
              </w:rPr>
            </w:pPr>
            <w:r>
              <w:rPr>
                <w:rFonts w:eastAsia="Times New Roman"/>
                <w:color w:val="auto"/>
              </w:rPr>
              <w:t>240612</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CC5D52A">
            <w:pPr>
              <w:pStyle w:val="129"/>
              <w:widowControl w:val="0"/>
              <w:rPr>
                <w:rFonts w:eastAsia="Times New Roman"/>
                <w:color w:val="auto"/>
              </w:rPr>
            </w:pPr>
            <w:r>
              <w:rPr>
                <w:rFonts w:eastAsia="Times New Roman"/>
                <w:color w:val="auto"/>
              </w:rPr>
              <w:t>0.60</w:t>
            </w:r>
          </w:p>
        </w:tc>
        <w:tc>
          <w:tcPr>
            <w:tcW w:w="972" w:type="dxa"/>
            <w:tcBorders>
              <w:top w:val="single" w:color="000000" w:sz="2" w:space="0"/>
              <w:left w:val="single" w:color="000000" w:sz="2" w:space="0"/>
              <w:bottom w:val="single" w:color="000000" w:sz="2" w:space="0"/>
              <w:right w:val="single" w:color="000000" w:sz="8" w:space="0"/>
            </w:tcBorders>
            <w:vAlign w:val="center"/>
          </w:tcPr>
          <w:p w14:paraId="6C8F72C3">
            <w:pPr>
              <w:pStyle w:val="129"/>
              <w:widowControl w:val="0"/>
              <w:rPr>
                <w:rFonts w:eastAsia="Times New Roman"/>
                <w:color w:val="auto"/>
              </w:rPr>
            </w:pPr>
            <w:r>
              <w:rPr>
                <w:rFonts w:hint="eastAsia" w:ascii="宋体" w:hAnsi="宋体" w:eastAsia="Times New Roman" w:cs="宋体"/>
                <w:color w:val="auto"/>
              </w:rPr>
              <w:t>达标</w:t>
            </w:r>
          </w:p>
        </w:tc>
      </w:tr>
      <w:tr w14:paraId="45DA419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F3593B6">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75708DC6">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9FBCB0E">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4BA9C81A">
            <w:pPr>
              <w:pStyle w:val="129"/>
              <w:widowControl w:val="0"/>
              <w:rPr>
                <w:rFonts w:eastAsia="Times New Roman"/>
                <w:color w:val="auto"/>
              </w:rPr>
            </w:pPr>
            <w:r>
              <w:rPr>
                <w:rFonts w:eastAsia="Times New Roman"/>
                <w:color w:val="auto"/>
              </w:rPr>
              <w:t>0.01926</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B6E7C90">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68AD8876">
            <w:pPr>
              <w:pStyle w:val="129"/>
              <w:widowControl w:val="0"/>
              <w:rPr>
                <w:rFonts w:eastAsia="Times New Roman"/>
                <w:color w:val="auto"/>
              </w:rPr>
            </w:pPr>
            <w:r>
              <w:rPr>
                <w:rFonts w:eastAsia="Times New Roman"/>
                <w:color w:val="auto"/>
              </w:rPr>
              <w:t>0.05</w:t>
            </w:r>
          </w:p>
        </w:tc>
        <w:tc>
          <w:tcPr>
            <w:tcW w:w="972" w:type="dxa"/>
            <w:tcBorders>
              <w:top w:val="single" w:color="000000" w:sz="2" w:space="0"/>
              <w:left w:val="single" w:color="000000" w:sz="2" w:space="0"/>
              <w:bottom w:val="single" w:color="000000" w:sz="2" w:space="0"/>
              <w:right w:val="single" w:color="000000" w:sz="8" w:space="0"/>
            </w:tcBorders>
            <w:vAlign w:val="center"/>
          </w:tcPr>
          <w:p w14:paraId="64590323">
            <w:pPr>
              <w:pStyle w:val="129"/>
              <w:widowControl w:val="0"/>
              <w:rPr>
                <w:rFonts w:eastAsia="Times New Roman"/>
                <w:color w:val="auto"/>
              </w:rPr>
            </w:pPr>
            <w:r>
              <w:rPr>
                <w:rFonts w:hint="eastAsia" w:ascii="宋体" w:hAnsi="宋体" w:eastAsia="Times New Roman" w:cs="宋体"/>
                <w:color w:val="auto"/>
              </w:rPr>
              <w:t>达标</w:t>
            </w:r>
          </w:p>
        </w:tc>
      </w:tr>
      <w:tr w14:paraId="1E34D20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113ED17">
            <w:pPr>
              <w:pStyle w:val="129"/>
              <w:widowControl w:val="0"/>
              <w:rPr>
                <w:rFonts w:eastAsia="Times New Roman"/>
                <w:color w:val="auto"/>
              </w:rPr>
            </w:pPr>
          </w:p>
        </w:tc>
        <w:tc>
          <w:tcPr>
            <w:tcW w:w="1492" w:type="dxa"/>
            <w:vMerge w:val="restart"/>
            <w:tcBorders>
              <w:top w:val="single" w:color="000000" w:sz="2" w:space="0"/>
              <w:left w:val="single" w:color="000000" w:sz="2" w:space="0"/>
              <w:bottom w:val="single" w:color="000000" w:sz="2" w:space="0"/>
              <w:right w:val="single" w:color="000000" w:sz="2" w:space="0"/>
            </w:tcBorders>
            <w:vAlign w:val="center"/>
          </w:tcPr>
          <w:p w14:paraId="547B6904">
            <w:pPr>
              <w:pStyle w:val="129"/>
              <w:widowControl w:val="0"/>
              <w:rPr>
                <w:rFonts w:eastAsia="Times New Roman" w:cs="宋体"/>
                <w:color w:val="auto"/>
              </w:rPr>
            </w:pPr>
            <w:r>
              <w:rPr>
                <w:rFonts w:hint="eastAsia" w:ascii="宋体" w:hAnsi="宋体" w:eastAsia="Times New Roman" w:cs="宋体"/>
                <w:color w:val="auto"/>
              </w:rPr>
              <w:t>乌鲁木齐市第</w:t>
            </w:r>
            <w:r>
              <w:rPr>
                <w:rFonts w:eastAsia="Times New Roman" w:cs="宋体"/>
                <w:color w:val="auto"/>
              </w:rPr>
              <w:t>137</w:t>
            </w:r>
            <w:r>
              <w:rPr>
                <w:rFonts w:hint="eastAsia" w:ascii="宋体" w:hAnsi="宋体" w:eastAsia="Times New Roman" w:cs="宋体"/>
                <w:color w:val="auto"/>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1D789A3E">
            <w:pPr>
              <w:pStyle w:val="129"/>
              <w:widowControl w:val="0"/>
              <w:rPr>
                <w:rFonts w:eastAsia="Times New Roman"/>
                <w:color w:val="auto"/>
              </w:rPr>
            </w:pPr>
            <w:r>
              <w:rPr>
                <w:rFonts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6C2038E">
            <w:pPr>
              <w:pStyle w:val="129"/>
              <w:widowControl w:val="0"/>
              <w:rPr>
                <w:rFonts w:eastAsia="Times New Roman"/>
                <w:color w:val="auto"/>
              </w:rPr>
            </w:pPr>
            <w:r>
              <w:rPr>
                <w:rFonts w:eastAsia="Times New Roman"/>
                <w:color w:val="auto"/>
              </w:rPr>
              <w:t>2.48694</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C0F3FEB">
            <w:pPr>
              <w:pStyle w:val="129"/>
              <w:widowControl w:val="0"/>
              <w:rPr>
                <w:rFonts w:eastAsia="Times New Roman"/>
                <w:color w:val="auto"/>
              </w:rPr>
            </w:pPr>
            <w:r>
              <w:rPr>
                <w:rFonts w:eastAsia="Times New Roman"/>
                <w:color w:val="auto"/>
              </w:rPr>
              <w:t>24041107</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013F257">
            <w:pPr>
              <w:pStyle w:val="129"/>
              <w:widowControl w:val="0"/>
              <w:rPr>
                <w:rFonts w:eastAsia="Times New Roman"/>
                <w:color w:val="auto"/>
              </w:rPr>
            </w:pPr>
            <w:r>
              <w:rPr>
                <w:rFonts w:eastAsia="Times New Roman"/>
                <w:color w:val="auto"/>
              </w:rPr>
              <w:t>1.24</w:t>
            </w:r>
          </w:p>
        </w:tc>
        <w:tc>
          <w:tcPr>
            <w:tcW w:w="972" w:type="dxa"/>
            <w:tcBorders>
              <w:top w:val="single" w:color="000000" w:sz="2" w:space="0"/>
              <w:left w:val="single" w:color="000000" w:sz="2" w:space="0"/>
              <w:bottom w:val="single" w:color="000000" w:sz="2" w:space="0"/>
              <w:right w:val="single" w:color="000000" w:sz="8" w:space="0"/>
            </w:tcBorders>
            <w:vAlign w:val="center"/>
          </w:tcPr>
          <w:p w14:paraId="1844B086">
            <w:pPr>
              <w:pStyle w:val="129"/>
              <w:widowControl w:val="0"/>
              <w:rPr>
                <w:rFonts w:eastAsia="Times New Roman"/>
                <w:color w:val="auto"/>
              </w:rPr>
            </w:pPr>
            <w:r>
              <w:rPr>
                <w:rFonts w:hint="eastAsia" w:ascii="宋体" w:hAnsi="宋体" w:eastAsia="Times New Roman" w:cs="宋体"/>
                <w:color w:val="auto"/>
              </w:rPr>
              <w:t>达标</w:t>
            </w:r>
          </w:p>
        </w:tc>
      </w:tr>
      <w:tr w14:paraId="1537F40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B69693D">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45F740F8">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39845504">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24BE5C03">
            <w:pPr>
              <w:pStyle w:val="129"/>
              <w:widowControl w:val="0"/>
              <w:rPr>
                <w:rFonts w:eastAsia="Times New Roman"/>
                <w:color w:val="auto"/>
              </w:rPr>
            </w:pPr>
            <w:r>
              <w:rPr>
                <w:rFonts w:eastAsia="Times New Roman"/>
                <w:color w:val="auto"/>
              </w:rPr>
              <w:t>0.10485</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35DCA599">
            <w:pPr>
              <w:pStyle w:val="129"/>
              <w:widowControl w:val="0"/>
              <w:rPr>
                <w:rFonts w:eastAsia="Times New Roman"/>
                <w:color w:val="auto"/>
              </w:rPr>
            </w:pPr>
            <w:r>
              <w:rPr>
                <w:rFonts w:eastAsia="Times New Roman"/>
                <w:color w:val="auto"/>
              </w:rPr>
              <w:t>240411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6CC9B57F">
            <w:pPr>
              <w:pStyle w:val="129"/>
              <w:widowControl w:val="0"/>
              <w:rPr>
                <w:rFonts w:eastAsia="Times New Roman"/>
                <w:color w:val="auto"/>
              </w:rPr>
            </w:pPr>
            <w:r>
              <w:rPr>
                <w:rFonts w:eastAsia="Times New Roman"/>
                <w:color w:val="auto"/>
              </w:rPr>
              <w:t>0.13</w:t>
            </w:r>
          </w:p>
        </w:tc>
        <w:tc>
          <w:tcPr>
            <w:tcW w:w="972" w:type="dxa"/>
            <w:tcBorders>
              <w:top w:val="single" w:color="000000" w:sz="2" w:space="0"/>
              <w:left w:val="single" w:color="000000" w:sz="2" w:space="0"/>
              <w:bottom w:val="single" w:color="000000" w:sz="2" w:space="0"/>
              <w:right w:val="single" w:color="000000" w:sz="8" w:space="0"/>
            </w:tcBorders>
            <w:vAlign w:val="center"/>
          </w:tcPr>
          <w:p w14:paraId="1144BDF4">
            <w:pPr>
              <w:pStyle w:val="129"/>
              <w:widowControl w:val="0"/>
              <w:rPr>
                <w:rFonts w:eastAsia="Times New Roman"/>
                <w:color w:val="auto"/>
              </w:rPr>
            </w:pPr>
            <w:r>
              <w:rPr>
                <w:rFonts w:hint="eastAsia" w:ascii="宋体" w:hAnsi="宋体" w:eastAsia="Times New Roman" w:cs="宋体"/>
                <w:color w:val="auto"/>
              </w:rPr>
              <w:t>达标</w:t>
            </w:r>
          </w:p>
        </w:tc>
      </w:tr>
      <w:tr w14:paraId="4C6519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1E98DDAD">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697CED5E">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8AB1FD6">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57F15C23">
            <w:pPr>
              <w:pStyle w:val="129"/>
              <w:widowControl w:val="0"/>
              <w:rPr>
                <w:rFonts w:eastAsia="Times New Roman"/>
                <w:color w:val="auto"/>
              </w:rPr>
            </w:pPr>
            <w:r>
              <w:rPr>
                <w:rFonts w:eastAsia="Times New Roman"/>
                <w:color w:val="auto"/>
              </w:rPr>
              <w:t>0.00434</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61688D3E">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2FF7E43">
            <w:pPr>
              <w:pStyle w:val="129"/>
              <w:widowControl w:val="0"/>
              <w:rPr>
                <w:rFonts w:eastAsia="Times New Roman"/>
                <w:color w:val="auto"/>
              </w:rPr>
            </w:pPr>
            <w:r>
              <w:rPr>
                <w:rFonts w:eastAsia="Times New Roman"/>
                <w:color w:val="auto"/>
              </w:rPr>
              <w:t>0.01</w:t>
            </w:r>
          </w:p>
        </w:tc>
        <w:tc>
          <w:tcPr>
            <w:tcW w:w="972" w:type="dxa"/>
            <w:tcBorders>
              <w:top w:val="single" w:color="000000" w:sz="2" w:space="0"/>
              <w:left w:val="single" w:color="000000" w:sz="2" w:space="0"/>
              <w:bottom w:val="single" w:color="000000" w:sz="2" w:space="0"/>
              <w:right w:val="single" w:color="000000" w:sz="8" w:space="0"/>
            </w:tcBorders>
            <w:vAlign w:val="center"/>
          </w:tcPr>
          <w:p w14:paraId="1E9B71AF">
            <w:pPr>
              <w:pStyle w:val="129"/>
              <w:widowControl w:val="0"/>
              <w:rPr>
                <w:rFonts w:eastAsia="Times New Roman"/>
                <w:color w:val="auto"/>
              </w:rPr>
            </w:pPr>
            <w:r>
              <w:rPr>
                <w:rFonts w:hint="eastAsia" w:ascii="宋体" w:hAnsi="宋体" w:eastAsia="Times New Roman" w:cs="宋体"/>
                <w:color w:val="auto"/>
              </w:rPr>
              <w:t>达标</w:t>
            </w:r>
          </w:p>
        </w:tc>
      </w:tr>
      <w:tr w14:paraId="2411DE1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5D9F566F">
            <w:pPr>
              <w:pStyle w:val="129"/>
              <w:widowControl w:val="0"/>
              <w:rPr>
                <w:rFonts w:eastAsia="Times New Roman"/>
                <w:color w:val="auto"/>
              </w:rPr>
            </w:pPr>
          </w:p>
        </w:tc>
        <w:tc>
          <w:tcPr>
            <w:tcW w:w="1492" w:type="dxa"/>
            <w:vMerge w:val="restart"/>
            <w:tcBorders>
              <w:top w:val="single" w:color="000000" w:sz="2" w:space="0"/>
              <w:left w:val="single" w:color="000000" w:sz="2" w:space="0"/>
              <w:bottom w:val="single" w:color="000000" w:sz="2" w:space="0"/>
              <w:right w:val="single" w:color="000000" w:sz="2" w:space="0"/>
            </w:tcBorders>
            <w:vAlign w:val="center"/>
          </w:tcPr>
          <w:p w14:paraId="44C3BDE9">
            <w:pPr>
              <w:pStyle w:val="129"/>
              <w:widowControl w:val="0"/>
              <w:rPr>
                <w:rFonts w:eastAsia="Times New Roman" w:cs="宋体"/>
                <w:color w:val="auto"/>
              </w:rPr>
            </w:pPr>
            <w:r>
              <w:rPr>
                <w:rFonts w:hint="eastAsia" w:ascii="宋体" w:hAnsi="宋体" w:eastAsia="Times New Roman" w:cs="宋体"/>
                <w:color w:val="auto"/>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24596877">
            <w:pPr>
              <w:pStyle w:val="129"/>
              <w:widowControl w:val="0"/>
              <w:rPr>
                <w:rFonts w:eastAsia="Times New Roman"/>
                <w:color w:val="auto"/>
              </w:rPr>
            </w:pPr>
            <w:r>
              <w:rPr>
                <w:rFonts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5096863">
            <w:pPr>
              <w:pStyle w:val="129"/>
              <w:widowControl w:val="0"/>
              <w:rPr>
                <w:rFonts w:eastAsia="Times New Roman"/>
                <w:color w:val="auto"/>
              </w:rPr>
            </w:pPr>
            <w:r>
              <w:rPr>
                <w:rFonts w:eastAsia="Times New Roman"/>
                <w:color w:val="auto"/>
              </w:rPr>
              <w:t>18.97431</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24F65890">
            <w:pPr>
              <w:pStyle w:val="129"/>
              <w:widowControl w:val="0"/>
              <w:rPr>
                <w:rFonts w:eastAsia="Times New Roman"/>
                <w:color w:val="auto"/>
              </w:rPr>
            </w:pPr>
            <w:r>
              <w:rPr>
                <w:rFonts w:eastAsia="Times New Roman"/>
                <w:color w:val="auto"/>
              </w:rPr>
              <w:t>24082016</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9B04170">
            <w:pPr>
              <w:pStyle w:val="129"/>
              <w:widowControl w:val="0"/>
              <w:rPr>
                <w:rFonts w:eastAsia="Times New Roman"/>
                <w:color w:val="auto"/>
              </w:rPr>
            </w:pPr>
            <w:r>
              <w:rPr>
                <w:rFonts w:eastAsia="Times New Roman"/>
                <w:color w:val="auto"/>
              </w:rPr>
              <w:t>9.49</w:t>
            </w:r>
          </w:p>
        </w:tc>
        <w:tc>
          <w:tcPr>
            <w:tcW w:w="972" w:type="dxa"/>
            <w:tcBorders>
              <w:top w:val="single" w:color="000000" w:sz="2" w:space="0"/>
              <w:left w:val="single" w:color="000000" w:sz="2" w:space="0"/>
              <w:bottom w:val="single" w:color="000000" w:sz="2" w:space="0"/>
              <w:right w:val="single" w:color="000000" w:sz="8" w:space="0"/>
            </w:tcBorders>
            <w:vAlign w:val="center"/>
          </w:tcPr>
          <w:p w14:paraId="19CB3736">
            <w:pPr>
              <w:pStyle w:val="129"/>
              <w:widowControl w:val="0"/>
              <w:rPr>
                <w:rFonts w:eastAsia="Times New Roman"/>
                <w:color w:val="auto"/>
              </w:rPr>
            </w:pPr>
            <w:r>
              <w:rPr>
                <w:rFonts w:hint="eastAsia" w:ascii="宋体" w:hAnsi="宋体" w:eastAsia="Times New Roman" w:cs="宋体"/>
                <w:color w:val="auto"/>
              </w:rPr>
              <w:t>达标</w:t>
            </w:r>
          </w:p>
        </w:tc>
      </w:tr>
      <w:tr w14:paraId="5A20290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5C812F01">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62F52ABA">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2751AF4">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197E660">
            <w:pPr>
              <w:pStyle w:val="129"/>
              <w:widowControl w:val="0"/>
              <w:rPr>
                <w:rFonts w:eastAsia="Times New Roman"/>
                <w:color w:val="auto"/>
              </w:rPr>
            </w:pPr>
            <w:r>
              <w:rPr>
                <w:rFonts w:eastAsia="Times New Roman"/>
                <w:color w:val="auto"/>
              </w:rPr>
              <w:t>3.85951</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0B6D9B5D">
            <w:pPr>
              <w:pStyle w:val="129"/>
              <w:widowControl w:val="0"/>
              <w:rPr>
                <w:rFonts w:eastAsia="Times New Roman"/>
                <w:color w:val="auto"/>
              </w:rPr>
            </w:pPr>
            <w:r>
              <w:rPr>
                <w:rFonts w:eastAsia="Times New Roman"/>
                <w:color w:val="auto"/>
              </w:rPr>
              <w:t>240521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6EDF1E4">
            <w:pPr>
              <w:pStyle w:val="129"/>
              <w:widowControl w:val="0"/>
              <w:rPr>
                <w:rFonts w:eastAsia="Times New Roman"/>
                <w:color w:val="auto"/>
              </w:rPr>
            </w:pPr>
            <w:r>
              <w:rPr>
                <w:rFonts w:eastAsia="Times New Roman"/>
                <w:color w:val="auto"/>
              </w:rPr>
              <w:t>4.82</w:t>
            </w:r>
          </w:p>
        </w:tc>
        <w:tc>
          <w:tcPr>
            <w:tcW w:w="972" w:type="dxa"/>
            <w:tcBorders>
              <w:top w:val="single" w:color="000000" w:sz="2" w:space="0"/>
              <w:left w:val="single" w:color="000000" w:sz="2" w:space="0"/>
              <w:bottom w:val="single" w:color="000000" w:sz="2" w:space="0"/>
              <w:right w:val="single" w:color="000000" w:sz="8" w:space="0"/>
            </w:tcBorders>
            <w:vAlign w:val="center"/>
          </w:tcPr>
          <w:p w14:paraId="716566A8">
            <w:pPr>
              <w:pStyle w:val="129"/>
              <w:widowControl w:val="0"/>
              <w:rPr>
                <w:rFonts w:eastAsia="Times New Roman"/>
                <w:color w:val="auto"/>
              </w:rPr>
            </w:pPr>
            <w:r>
              <w:rPr>
                <w:rFonts w:hint="eastAsia" w:ascii="宋体" w:hAnsi="宋体" w:eastAsia="Times New Roman" w:cs="宋体"/>
                <w:color w:val="auto"/>
              </w:rPr>
              <w:t>达标</w:t>
            </w:r>
          </w:p>
        </w:tc>
      </w:tr>
      <w:tr w14:paraId="09F8844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1ED2BDE6">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15CBD78E">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48192280">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074D6005">
            <w:pPr>
              <w:pStyle w:val="129"/>
              <w:widowControl w:val="0"/>
              <w:rPr>
                <w:rFonts w:eastAsia="Times New Roman"/>
                <w:color w:val="auto"/>
              </w:rPr>
            </w:pPr>
            <w:r>
              <w:rPr>
                <w:rFonts w:eastAsia="Times New Roman"/>
                <w:color w:val="auto"/>
              </w:rPr>
              <w:t>0.78333</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3E695949">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6A932B92">
            <w:pPr>
              <w:pStyle w:val="129"/>
              <w:widowControl w:val="0"/>
              <w:rPr>
                <w:rFonts w:eastAsia="Times New Roman"/>
                <w:color w:val="auto"/>
              </w:rPr>
            </w:pPr>
            <w:r>
              <w:rPr>
                <w:rFonts w:eastAsia="Times New Roman"/>
                <w:color w:val="auto"/>
              </w:rPr>
              <w:t>1.96</w:t>
            </w:r>
          </w:p>
        </w:tc>
        <w:tc>
          <w:tcPr>
            <w:tcW w:w="972" w:type="dxa"/>
            <w:tcBorders>
              <w:top w:val="single" w:color="000000" w:sz="2" w:space="0"/>
              <w:left w:val="single" w:color="000000" w:sz="2" w:space="0"/>
              <w:bottom w:val="single" w:color="000000" w:sz="2" w:space="0"/>
              <w:right w:val="single" w:color="000000" w:sz="8" w:space="0"/>
            </w:tcBorders>
            <w:vAlign w:val="center"/>
          </w:tcPr>
          <w:p w14:paraId="2AFB6904">
            <w:pPr>
              <w:pStyle w:val="129"/>
              <w:widowControl w:val="0"/>
              <w:rPr>
                <w:rFonts w:eastAsia="Times New Roman"/>
                <w:color w:val="auto"/>
              </w:rPr>
            </w:pPr>
            <w:r>
              <w:rPr>
                <w:rFonts w:hint="eastAsia" w:ascii="宋体" w:hAnsi="宋体" w:eastAsia="Times New Roman" w:cs="宋体"/>
                <w:color w:val="auto"/>
              </w:rPr>
              <w:t>达标</w:t>
            </w:r>
          </w:p>
        </w:tc>
      </w:tr>
      <w:tr w14:paraId="121127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bottom w:val="single" w:color="000000" w:sz="2" w:space="0"/>
              <w:right w:val="single" w:color="000000" w:sz="2" w:space="0"/>
            </w:tcBorders>
            <w:noWrap/>
            <w:vAlign w:val="center"/>
          </w:tcPr>
          <w:p w14:paraId="1DF7C973">
            <w:pPr>
              <w:pStyle w:val="129"/>
              <w:widowControl w:val="0"/>
              <w:rPr>
                <w:rFonts w:eastAsia="Times New Roman"/>
                <w:color w:val="auto"/>
              </w:rPr>
            </w:pPr>
            <w:r>
              <w:rPr>
                <w:rFonts w:eastAsia="Times New Roman"/>
                <w:color w:val="auto"/>
              </w:rPr>
              <w:t>PM</w:t>
            </w:r>
            <w:r>
              <w:rPr>
                <w:rFonts w:eastAsia="Times New Roman"/>
                <w:color w:val="auto"/>
                <w:vertAlign w:val="subscript"/>
              </w:rPr>
              <w:t>10</w:t>
            </w:r>
          </w:p>
        </w:tc>
        <w:tc>
          <w:tcPr>
            <w:tcW w:w="1492" w:type="dxa"/>
            <w:vMerge w:val="restart"/>
            <w:tcBorders>
              <w:top w:val="single" w:color="000000" w:sz="2" w:space="0"/>
              <w:left w:val="single" w:color="000000" w:sz="2" w:space="0"/>
              <w:bottom w:val="single" w:color="000000" w:sz="2" w:space="0"/>
              <w:right w:val="single" w:color="000000" w:sz="2" w:space="0"/>
            </w:tcBorders>
            <w:noWrap/>
            <w:vAlign w:val="center"/>
          </w:tcPr>
          <w:p w14:paraId="45F80DF4">
            <w:pPr>
              <w:pStyle w:val="129"/>
              <w:widowControl w:val="0"/>
              <w:rPr>
                <w:rFonts w:eastAsia="Times New Roman" w:cs="宋体"/>
                <w:color w:val="auto"/>
              </w:rPr>
            </w:pPr>
            <w:r>
              <w:rPr>
                <w:rFonts w:hint="eastAsia" w:ascii="宋体" w:hAnsi="宋体" w:eastAsia="Times New Roman" w:cs="宋体"/>
                <w:color w:val="auto"/>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583C26ED">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6AE3169">
            <w:pPr>
              <w:pStyle w:val="129"/>
              <w:widowControl w:val="0"/>
              <w:rPr>
                <w:rFonts w:eastAsia="Times New Roman"/>
                <w:color w:val="auto"/>
              </w:rPr>
            </w:pPr>
            <w:r>
              <w:rPr>
                <w:rFonts w:eastAsia="Times New Roman"/>
                <w:color w:val="auto"/>
              </w:rPr>
              <w:t>0.39211</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33AA3E6B">
            <w:pPr>
              <w:pStyle w:val="129"/>
              <w:widowControl w:val="0"/>
              <w:rPr>
                <w:rFonts w:eastAsia="Times New Roman"/>
                <w:color w:val="auto"/>
              </w:rPr>
            </w:pPr>
            <w:r>
              <w:rPr>
                <w:rFonts w:eastAsia="Times New Roman"/>
                <w:color w:val="auto"/>
              </w:rPr>
              <w:t>240612</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5296E55">
            <w:pPr>
              <w:pStyle w:val="129"/>
              <w:widowControl w:val="0"/>
              <w:rPr>
                <w:rFonts w:eastAsia="Times New Roman"/>
                <w:color w:val="auto"/>
              </w:rPr>
            </w:pPr>
            <w:r>
              <w:rPr>
                <w:rFonts w:eastAsia="Times New Roman"/>
                <w:color w:val="auto"/>
              </w:rPr>
              <w:t>0.33</w:t>
            </w:r>
          </w:p>
        </w:tc>
        <w:tc>
          <w:tcPr>
            <w:tcW w:w="972" w:type="dxa"/>
            <w:tcBorders>
              <w:top w:val="single" w:color="000000" w:sz="2" w:space="0"/>
              <w:left w:val="single" w:color="000000" w:sz="2" w:space="0"/>
              <w:bottom w:val="single" w:color="000000" w:sz="2" w:space="0"/>
              <w:right w:val="single" w:color="000000" w:sz="8" w:space="0"/>
            </w:tcBorders>
            <w:vAlign w:val="center"/>
          </w:tcPr>
          <w:p w14:paraId="417A7617">
            <w:pPr>
              <w:pStyle w:val="129"/>
              <w:widowControl w:val="0"/>
              <w:rPr>
                <w:rFonts w:eastAsia="Times New Roman"/>
                <w:color w:val="auto"/>
              </w:rPr>
            </w:pPr>
            <w:r>
              <w:rPr>
                <w:rFonts w:hint="eastAsia" w:ascii="宋体" w:hAnsi="宋体" w:eastAsia="Times New Roman" w:cs="宋体"/>
                <w:color w:val="auto"/>
              </w:rPr>
              <w:t>达标</w:t>
            </w:r>
          </w:p>
        </w:tc>
      </w:tr>
      <w:tr w14:paraId="19657CD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3727F65D">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13231DF6">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4541277B">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6F946D9A">
            <w:pPr>
              <w:pStyle w:val="129"/>
              <w:widowControl w:val="0"/>
              <w:rPr>
                <w:rFonts w:eastAsia="Times New Roman"/>
                <w:color w:val="auto"/>
              </w:rPr>
            </w:pPr>
            <w:r>
              <w:rPr>
                <w:rFonts w:eastAsia="Times New Roman"/>
                <w:color w:val="auto"/>
              </w:rPr>
              <w:t>0.01498</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2C3D9792">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51EC81CC">
            <w:pPr>
              <w:pStyle w:val="129"/>
              <w:widowControl w:val="0"/>
              <w:rPr>
                <w:rFonts w:eastAsia="Times New Roman"/>
                <w:color w:val="auto"/>
              </w:rPr>
            </w:pPr>
            <w:r>
              <w:rPr>
                <w:rFonts w:eastAsia="Times New Roman"/>
                <w:color w:val="auto"/>
              </w:rPr>
              <w:t>0.02</w:t>
            </w:r>
          </w:p>
        </w:tc>
        <w:tc>
          <w:tcPr>
            <w:tcW w:w="972" w:type="dxa"/>
            <w:tcBorders>
              <w:top w:val="single" w:color="000000" w:sz="2" w:space="0"/>
              <w:left w:val="single" w:color="000000" w:sz="2" w:space="0"/>
              <w:bottom w:val="single" w:color="000000" w:sz="2" w:space="0"/>
              <w:right w:val="single" w:color="000000" w:sz="8" w:space="0"/>
            </w:tcBorders>
            <w:vAlign w:val="center"/>
          </w:tcPr>
          <w:p w14:paraId="793C4D11">
            <w:pPr>
              <w:pStyle w:val="129"/>
              <w:widowControl w:val="0"/>
              <w:rPr>
                <w:rFonts w:eastAsia="Times New Roman"/>
                <w:color w:val="auto"/>
              </w:rPr>
            </w:pPr>
            <w:r>
              <w:rPr>
                <w:rFonts w:hint="eastAsia" w:ascii="宋体" w:hAnsi="宋体" w:eastAsia="Times New Roman" w:cs="宋体"/>
                <w:color w:val="auto"/>
              </w:rPr>
              <w:t>达标</w:t>
            </w:r>
          </w:p>
        </w:tc>
      </w:tr>
      <w:tr w14:paraId="1ED7E4C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572FABA">
            <w:pPr>
              <w:pStyle w:val="129"/>
              <w:widowControl w:val="0"/>
              <w:rPr>
                <w:rFonts w:eastAsia="Times New Roman"/>
                <w:color w:val="auto"/>
              </w:rPr>
            </w:pPr>
          </w:p>
        </w:tc>
        <w:tc>
          <w:tcPr>
            <w:tcW w:w="1492" w:type="dxa"/>
            <w:vMerge w:val="restart"/>
            <w:tcBorders>
              <w:top w:val="single" w:color="000000" w:sz="2" w:space="0"/>
              <w:left w:val="single" w:color="000000" w:sz="2" w:space="0"/>
              <w:bottom w:val="single" w:color="000000" w:sz="2" w:space="0"/>
              <w:right w:val="single" w:color="000000" w:sz="2" w:space="0"/>
            </w:tcBorders>
            <w:vAlign w:val="center"/>
          </w:tcPr>
          <w:p w14:paraId="07099B5F">
            <w:pPr>
              <w:pStyle w:val="129"/>
              <w:widowControl w:val="0"/>
              <w:rPr>
                <w:rFonts w:eastAsia="Times New Roman" w:cs="宋体"/>
                <w:color w:val="auto"/>
              </w:rPr>
            </w:pPr>
            <w:r>
              <w:rPr>
                <w:rFonts w:hint="eastAsia" w:ascii="宋体" w:hAnsi="宋体" w:eastAsia="Times New Roman" w:cs="宋体"/>
                <w:color w:val="auto"/>
              </w:rPr>
              <w:t>乌鲁木齐市第</w:t>
            </w:r>
            <w:r>
              <w:rPr>
                <w:rFonts w:eastAsia="Times New Roman" w:cs="宋体"/>
                <w:color w:val="auto"/>
              </w:rPr>
              <w:t>137</w:t>
            </w:r>
            <w:r>
              <w:rPr>
                <w:rFonts w:hint="eastAsia" w:ascii="宋体" w:hAnsi="宋体" w:eastAsia="Times New Roman" w:cs="宋体"/>
                <w:color w:val="auto"/>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169A5146">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92CA207">
            <w:pPr>
              <w:pStyle w:val="129"/>
              <w:widowControl w:val="0"/>
              <w:rPr>
                <w:rFonts w:eastAsia="Times New Roman"/>
                <w:color w:val="auto"/>
              </w:rPr>
            </w:pPr>
            <w:r>
              <w:rPr>
                <w:rFonts w:eastAsia="Times New Roman"/>
                <w:color w:val="auto"/>
              </w:rPr>
              <w:t>0.07931</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0050B7D8">
            <w:pPr>
              <w:pStyle w:val="129"/>
              <w:widowControl w:val="0"/>
              <w:rPr>
                <w:rFonts w:eastAsia="Times New Roman"/>
                <w:color w:val="auto"/>
              </w:rPr>
            </w:pPr>
            <w:r>
              <w:rPr>
                <w:rFonts w:eastAsia="Times New Roman"/>
                <w:color w:val="auto"/>
              </w:rPr>
              <w:t>240603</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33A99005">
            <w:pPr>
              <w:pStyle w:val="129"/>
              <w:widowControl w:val="0"/>
              <w:rPr>
                <w:rFonts w:eastAsia="Times New Roman"/>
                <w:color w:val="auto"/>
              </w:rPr>
            </w:pPr>
            <w:r>
              <w:rPr>
                <w:rFonts w:eastAsia="Times New Roman"/>
                <w:color w:val="auto"/>
              </w:rPr>
              <w:t>0.07</w:t>
            </w:r>
          </w:p>
        </w:tc>
        <w:tc>
          <w:tcPr>
            <w:tcW w:w="972" w:type="dxa"/>
            <w:tcBorders>
              <w:top w:val="single" w:color="000000" w:sz="2" w:space="0"/>
              <w:left w:val="single" w:color="000000" w:sz="2" w:space="0"/>
              <w:bottom w:val="single" w:color="000000" w:sz="2" w:space="0"/>
              <w:right w:val="single" w:color="000000" w:sz="8" w:space="0"/>
            </w:tcBorders>
            <w:vAlign w:val="center"/>
          </w:tcPr>
          <w:p w14:paraId="0B06CC4A">
            <w:pPr>
              <w:pStyle w:val="129"/>
              <w:widowControl w:val="0"/>
              <w:rPr>
                <w:rFonts w:eastAsia="Times New Roman"/>
                <w:color w:val="auto"/>
              </w:rPr>
            </w:pPr>
            <w:r>
              <w:rPr>
                <w:rFonts w:hint="eastAsia" w:ascii="宋体" w:hAnsi="宋体" w:eastAsia="Times New Roman" w:cs="宋体"/>
                <w:color w:val="auto"/>
              </w:rPr>
              <w:t>达标</w:t>
            </w:r>
          </w:p>
        </w:tc>
      </w:tr>
      <w:tr w14:paraId="388D6A9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5B70CBCF">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1147A768">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04EE0725">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A94B90F">
            <w:pPr>
              <w:pStyle w:val="129"/>
              <w:widowControl w:val="0"/>
              <w:rPr>
                <w:rFonts w:eastAsia="Times New Roman"/>
                <w:color w:val="auto"/>
              </w:rPr>
            </w:pPr>
            <w:r>
              <w:rPr>
                <w:rFonts w:eastAsia="Times New Roman"/>
                <w:color w:val="auto"/>
              </w:rPr>
              <w:t>0.00406</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768C4B23">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F2B83FC">
            <w:pPr>
              <w:pStyle w:val="129"/>
              <w:widowControl w:val="0"/>
              <w:rPr>
                <w:rFonts w:eastAsia="Times New Roman"/>
                <w:color w:val="auto"/>
              </w:rPr>
            </w:pPr>
            <w:r>
              <w:rPr>
                <w:rFonts w:eastAsia="Times New Roman"/>
                <w:color w:val="auto"/>
              </w:rPr>
              <w:t>0.01</w:t>
            </w:r>
          </w:p>
        </w:tc>
        <w:tc>
          <w:tcPr>
            <w:tcW w:w="972" w:type="dxa"/>
            <w:tcBorders>
              <w:top w:val="single" w:color="000000" w:sz="2" w:space="0"/>
              <w:left w:val="single" w:color="000000" w:sz="2" w:space="0"/>
              <w:bottom w:val="single" w:color="000000" w:sz="2" w:space="0"/>
              <w:right w:val="single" w:color="000000" w:sz="8" w:space="0"/>
            </w:tcBorders>
            <w:vAlign w:val="center"/>
          </w:tcPr>
          <w:p w14:paraId="43734791">
            <w:pPr>
              <w:pStyle w:val="129"/>
              <w:widowControl w:val="0"/>
              <w:rPr>
                <w:rFonts w:eastAsia="Times New Roman"/>
                <w:color w:val="auto"/>
              </w:rPr>
            </w:pPr>
            <w:r>
              <w:rPr>
                <w:rFonts w:hint="eastAsia" w:ascii="宋体" w:hAnsi="宋体" w:eastAsia="Times New Roman" w:cs="宋体"/>
                <w:color w:val="auto"/>
              </w:rPr>
              <w:t>达标</w:t>
            </w:r>
          </w:p>
        </w:tc>
      </w:tr>
      <w:tr w14:paraId="0E24108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243F897D">
            <w:pPr>
              <w:pStyle w:val="129"/>
              <w:widowControl w:val="0"/>
              <w:rPr>
                <w:rFonts w:eastAsia="Times New Roman"/>
                <w:color w:val="auto"/>
              </w:rPr>
            </w:pPr>
          </w:p>
        </w:tc>
        <w:tc>
          <w:tcPr>
            <w:tcW w:w="1492" w:type="dxa"/>
            <w:vMerge w:val="restart"/>
            <w:tcBorders>
              <w:top w:val="single" w:color="000000" w:sz="2" w:space="0"/>
              <w:left w:val="single" w:color="000000" w:sz="2" w:space="0"/>
              <w:bottom w:val="single" w:color="000000" w:sz="2" w:space="0"/>
              <w:right w:val="single" w:color="000000" w:sz="2" w:space="0"/>
            </w:tcBorders>
            <w:vAlign w:val="center"/>
          </w:tcPr>
          <w:p w14:paraId="348A3755">
            <w:pPr>
              <w:pStyle w:val="129"/>
              <w:widowControl w:val="0"/>
              <w:rPr>
                <w:rFonts w:eastAsia="Times New Roman" w:cs="宋体"/>
                <w:color w:val="auto"/>
              </w:rPr>
            </w:pPr>
            <w:r>
              <w:rPr>
                <w:rFonts w:hint="eastAsia" w:ascii="宋体" w:hAnsi="宋体" w:eastAsia="Times New Roman" w:cs="宋体"/>
                <w:color w:val="auto"/>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35799730">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4A9E814">
            <w:pPr>
              <w:pStyle w:val="129"/>
              <w:widowControl w:val="0"/>
              <w:rPr>
                <w:rFonts w:eastAsia="Times New Roman"/>
                <w:color w:val="auto"/>
              </w:rPr>
            </w:pPr>
            <w:r>
              <w:rPr>
                <w:rFonts w:eastAsia="Times New Roman"/>
                <w:color w:val="auto"/>
              </w:rPr>
              <w:t>2.92227</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5539005C">
            <w:pPr>
              <w:pStyle w:val="129"/>
              <w:widowControl w:val="0"/>
              <w:rPr>
                <w:rFonts w:eastAsia="Times New Roman"/>
                <w:color w:val="auto"/>
              </w:rPr>
            </w:pPr>
            <w:r>
              <w:rPr>
                <w:rFonts w:eastAsia="Times New Roman"/>
                <w:color w:val="auto"/>
              </w:rPr>
              <w:t>240521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6CFB300">
            <w:pPr>
              <w:pStyle w:val="129"/>
              <w:widowControl w:val="0"/>
              <w:rPr>
                <w:rFonts w:eastAsia="Times New Roman"/>
                <w:color w:val="auto"/>
              </w:rPr>
            </w:pPr>
            <w:r>
              <w:rPr>
                <w:rFonts w:eastAsia="Times New Roman"/>
                <w:color w:val="auto"/>
              </w:rPr>
              <w:t>2.44</w:t>
            </w:r>
          </w:p>
        </w:tc>
        <w:tc>
          <w:tcPr>
            <w:tcW w:w="972" w:type="dxa"/>
            <w:tcBorders>
              <w:top w:val="single" w:color="000000" w:sz="2" w:space="0"/>
              <w:left w:val="single" w:color="000000" w:sz="2" w:space="0"/>
              <w:bottom w:val="single" w:color="000000" w:sz="2" w:space="0"/>
              <w:right w:val="single" w:color="000000" w:sz="8" w:space="0"/>
            </w:tcBorders>
            <w:vAlign w:val="center"/>
          </w:tcPr>
          <w:p w14:paraId="6912B7DA">
            <w:pPr>
              <w:pStyle w:val="129"/>
              <w:widowControl w:val="0"/>
              <w:rPr>
                <w:rFonts w:eastAsia="Times New Roman"/>
                <w:color w:val="auto"/>
              </w:rPr>
            </w:pPr>
            <w:r>
              <w:rPr>
                <w:rFonts w:hint="eastAsia" w:ascii="宋体" w:hAnsi="宋体" w:eastAsia="Times New Roman" w:cs="宋体"/>
                <w:color w:val="auto"/>
              </w:rPr>
              <w:t>达标</w:t>
            </w:r>
          </w:p>
        </w:tc>
      </w:tr>
      <w:tr w14:paraId="3CAFBD7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189A8E7E">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7C5938E2">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05E83063">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7950A3A">
            <w:pPr>
              <w:pStyle w:val="129"/>
              <w:widowControl w:val="0"/>
              <w:rPr>
                <w:rFonts w:eastAsia="Times New Roman"/>
                <w:color w:val="auto"/>
              </w:rPr>
            </w:pPr>
            <w:r>
              <w:rPr>
                <w:rFonts w:eastAsia="Times New Roman"/>
                <w:color w:val="auto"/>
              </w:rPr>
              <w:t>0.53321</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6BB618C0">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3E07B1B">
            <w:pPr>
              <w:pStyle w:val="129"/>
              <w:widowControl w:val="0"/>
              <w:rPr>
                <w:rFonts w:eastAsia="Times New Roman"/>
                <w:color w:val="auto"/>
              </w:rPr>
            </w:pPr>
            <w:r>
              <w:rPr>
                <w:rFonts w:eastAsia="Times New Roman"/>
                <w:color w:val="auto"/>
              </w:rPr>
              <w:t>0.89</w:t>
            </w:r>
          </w:p>
        </w:tc>
        <w:tc>
          <w:tcPr>
            <w:tcW w:w="972" w:type="dxa"/>
            <w:tcBorders>
              <w:top w:val="single" w:color="000000" w:sz="2" w:space="0"/>
              <w:left w:val="single" w:color="000000" w:sz="2" w:space="0"/>
              <w:bottom w:val="single" w:color="000000" w:sz="2" w:space="0"/>
              <w:right w:val="single" w:color="000000" w:sz="8" w:space="0"/>
            </w:tcBorders>
            <w:vAlign w:val="center"/>
          </w:tcPr>
          <w:p w14:paraId="15DF904E">
            <w:pPr>
              <w:pStyle w:val="129"/>
              <w:widowControl w:val="0"/>
              <w:rPr>
                <w:rFonts w:eastAsia="Times New Roman"/>
                <w:color w:val="auto"/>
              </w:rPr>
            </w:pPr>
            <w:r>
              <w:rPr>
                <w:rFonts w:hint="eastAsia" w:ascii="宋体" w:hAnsi="宋体" w:eastAsia="Times New Roman" w:cs="宋体"/>
                <w:color w:val="auto"/>
              </w:rPr>
              <w:t>达标</w:t>
            </w:r>
          </w:p>
        </w:tc>
      </w:tr>
      <w:tr w14:paraId="5902FDA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bottom w:val="single" w:color="000000" w:sz="2" w:space="0"/>
              <w:right w:val="single" w:color="000000" w:sz="2" w:space="0"/>
            </w:tcBorders>
            <w:noWrap/>
            <w:vAlign w:val="center"/>
          </w:tcPr>
          <w:p w14:paraId="3D04D38D">
            <w:pPr>
              <w:pStyle w:val="129"/>
              <w:widowControl w:val="0"/>
              <w:rPr>
                <w:rFonts w:eastAsia="Times New Roman"/>
                <w:color w:val="auto"/>
              </w:rPr>
            </w:pPr>
            <w:r>
              <w:rPr>
                <w:rFonts w:eastAsia="Times New Roman"/>
                <w:color w:val="auto"/>
              </w:rPr>
              <w:t>PM</w:t>
            </w:r>
            <w:r>
              <w:rPr>
                <w:rFonts w:eastAsia="Times New Roman"/>
                <w:color w:val="auto"/>
                <w:vertAlign w:val="subscript"/>
              </w:rPr>
              <w:t>2.5</w:t>
            </w:r>
          </w:p>
        </w:tc>
        <w:tc>
          <w:tcPr>
            <w:tcW w:w="1492" w:type="dxa"/>
            <w:vMerge w:val="restart"/>
            <w:tcBorders>
              <w:top w:val="single" w:color="000000" w:sz="2" w:space="0"/>
              <w:left w:val="single" w:color="000000" w:sz="2" w:space="0"/>
              <w:bottom w:val="single" w:color="000000" w:sz="2" w:space="0"/>
              <w:right w:val="single" w:color="000000" w:sz="2" w:space="0"/>
            </w:tcBorders>
            <w:noWrap/>
            <w:vAlign w:val="center"/>
          </w:tcPr>
          <w:p w14:paraId="7D34A714">
            <w:pPr>
              <w:pStyle w:val="129"/>
              <w:widowControl w:val="0"/>
              <w:rPr>
                <w:rFonts w:eastAsia="Times New Roman" w:cs="宋体"/>
                <w:color w:val="auto"/>
              </w:rPr>
            </w:pPr>
            <w:r>
              <w:rPr>
                <w:rFonts w:hint="eastAsia" w:ascii="宋体" w:hAnsi="宋体" w:eastAsia="Times New Roman" w:cs="宋体"/>
                <w:color w:val="auto"/>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67FAA8D1">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62B5230">
            <w:pPr>
              <w:pStyle w:val="129"/>
              <w:widowControl w:val="0"/>
              <w:rPr>
                <w:rFonts w:eastAsia="Times New Roman"/>
                <w:color w:val="auto"/>
              </w:rPr>
            </w:pPr>
            <w:r>
              <w:rPr>
                <w:rFonts w:eastAsia="Times New Roman"/>
                <w:color w:val="auto"/>
              </w:rPr>
              <w:t>0.19606</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16FCC35F">
            <w:pPr>
              <w:pStyle w:val="129"/>
              <w:widowControl w:val="0"/>
              <w:rPr>
                <w:rFonts w:eastAsia="Times New Roman"/>
                <w:color w:val="auto"/>
              </w:rPr>
            </w:pPr>
            <w:r>
              <w:rPr>
                <w:rFonts w:eastAsia="Times New Roman"/>
                <w:color w:val="auto"/>
              </w:rPr>
              <w:t>240612</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9DFD55F">
            <w:pPr>
              <w:pStyle w:val="129"/>
              <w:widowControl w:val="0"/>
              <w:rPr>
                <w:rFonts w:eastAsia="Times New Roman"/>
                <w:color w:val="auto"/>
              </w:rPr>
            </w:pPr>
            <w:r>
              <w:rPr>
                <w:rFonts w:eastAsia="Times New Roman"/>
                <w:color w:val="auto"/>
              </w:rPr>
              <w:t>0.33</w:t>
            </w:r>
          </w:p>
        </w:tc>
        <w:tc>
          <w:tcPr>
            <w:tcW w:w="972" w:type="dxa"/>
            <w:tcBorders>
              <w:top w:val="single" w:color="000000" w:sz="2" w:space="0"/>
              <w:left w:val="single" w:color="000000" w:sz="2" w:space="0"/>
              <w:bottom w:val="single" w:color="000000" w:sz="2" w:space="0"/>
              <w:right w:val="single" w:color="000000" w:sz="8" w:space="0"/>
            </w:tcBorders>
            <w:vAlign w:val="center"/>
          </w:tcPr>
          <w:p w14:paraId="1B0990C1">
            <w:pPr>
              <w:pStyle w:val="129"/>
              <w:widowControl w:val="0"/>
              <w:rPr>
                <w:rFonts w:eastAsia="Times New Roman"/>
                <w:color w:val="auto"/>
              </w:rPr>
            </w:pPr>
            <w:r>
              <w:rPr>
                <w:rFonts w:hint="eastAsia" w:ascii="宋体" w:hAnsi="宋体" w:eastAsia="Times New Roman" w:cs="宋体"/>
                <w:color w:val="auto"/>
              </w:rPr>
              <w:t>达标</w:t>
            </w:r>
          </w:p>
        </w:tc>
      </w:tr>
      <w:tr w14:paraId="5BC29C6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2CAAD36">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1463E8E1">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57E9C7AB">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E9DD359">
            <w:pPr>
              <w:pStyle w:val="129"/>
              <w:widowControl w:val="0"/>
              <w:rPr>
                <w:rFonts w:eastAsia="Times New Roman"/>
                <w:color w:val="auto"/>
              </w:rPr>
            </w:pPr>
            <w:r>
              <w:rPr>
                <w:rFonts w:eastAsia="Times New Roman"/>
                <w:color w:val="auto"/>
              </w:rPr>
              <w:t>0.00749</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7C1CA35">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0773B07">
            <w:pPr>
              <w:pStyle w:val="129"/>
              <w:widowControl w:val="0"/>
              <w:rPr>
                <w:rFonts w:eastAsia="Times New Roman"/>
                <w:color w:val="auto"/>
              </w:rPr>
            </w:pPr>
            <w:r>
              <w:rPr>
                <w:rFonts w:eastAsia="Times New Roman"/>
                <w:color w:val="auto"/>
              </w:rPr>
              <w:t>0.02</w:t>
            </w:r>
          </w:p>
        </w:tc>
        <w:tc>
          <w:tcPr>
            <w:tcW w:w="972" w:type="dxa"/>
            <w:tcBorders>
              <w:top w:val="single" w:color="000000" w:sz="2" w:space="0"/>
              <w:left w:val="single" w:color="000000" w:sz="2" w:space="0"/>
              <w:bottom w:val="single" w:color="000000" w:sz="2" w:space="0"/>
              <w:right w:val="single" w:color="000000" w:sz="8" w:space="0"/>
            </w:tcBorders>
            <w:vAlign w:val="center"/>
          </w:tcPr>
          <w:p w14:paraId="29206B56">
            <w:pPr>
              <w:pStyle w:val="129"/>
              <w:widowControl w:val="0"/>
              <w:rPr>
                <w:rFonts w:eastAsia="Times New Roman"/>
                <w:color w:val="auto"/>
              </w:rPr>
            </w:pPr>
            <w:r>
              <w:rPr>
                <w:rFonts w:hint="eastAsia" w:ascii="宋体" w:hAnsi="宋体" w:eastAsia="Times New Roman" w:cs="宋体"/>
                <w:color w:val="auto"/>
              </w:rPr>
              <w:t>达标</w:t>
            </w:r>
          </w:p>
        </w:tc>
      </w:tr>
      <w:tr w14:paraId="636E10C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53F622C8">
            <w:pPr>
              <w:pStyle w:val="129"/>
              <w:widowControl w:val="0"/>
              <w:rPr>
                <w:rFonts w:eastAsia="Times New Roman"/>
                <w:color w:val="auto"/>
              </w:rPr>
            </w:pPr>
          </w:p>
        </w:tc>
        <w:tc>
          <w:tcPr>
            <w:tcW w:w="1492" w:type="dxa"/>
            <w:vMerge w:val="restart"/>
            <w:tcBorders>
              <w:top w:val="single" w:color="000000" w:sz="2" w:space="0"/>
              <w:left w:val="single" w:color="000000" w:sz="2" w:space="0"/>
              <w:bottom w:val="single" w:color="000000" w:sz="2" w:space="0"/>
              <w:right w:val="single" w:color="000000" w:sz="2" w:space="0"/>
            </w:tcBorders>
            <w:vAlign w:val="center"/>
          </w:tcPr>
          <w:p w14:paraId="24A141ED">
            <w:pPr>
              <w:pStyle w:val="129"/>
              <w:widowControl w:val="0"/>
              <w:rPr>
                <w:rFonts w:eastAsia="Times New Roman" w:cs="宋体"/>
                <w:color w:val="auto"/>
              </w:rPr>
            </w:pPr>
            <w:r>
              <w:rPr>
                <w:rFonts w:hint="eastAsia" w:ascii="宋体" w:hAnsi="宋体" w:eastAsia="Times New Roman" w:cs="宋体"/>
                <w:color w:val="auto"/>
              </w:rPr>
              <w:t>乌鲁木齐市第</w:t>
            </w:r>
            <w:r>
              <w:rPr>
                <w:rFonts w:eastAsia="Times New Roman" w:cs="宋体"/>
                <w:color w:val="auto"/>
              </w:rPr>
              <w:t>137</w:t>
            </w:r>
            <w:r>
              <w:rPr>
                <w:rFonts w:hint="eastAsia" w:ascii="宋体" w:hAnsi="宋体" w:eastAsia="Times New Roman" w:cs="宋体"/>
                <w:color w:val="auto"/>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596AF0D2">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76A58C51">
            <w:pPr>
              <w:pStyle w:val="129"/>
              <w:widowControl w:val="0"/>
              <w:rPr>
                <w:rFonts w:eastAsia="Times New Roman"/>
                <w:color w:val="auto"/>
              </w:rPr>
            </w:pPr>
            <w:r>
              <w:rPr>
                <w:rFonts w:eastAsia="Times New Roman"/>
                <w:color w:val="auto"/>
              </w:rPr>
              <w:t>0.03965</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804EC12">
            <w:pPr>
              <w:pStyle w:val="129"/>
              <w:widowControl w:val="0"/>
              <w:rPr>
                <w:rFonts w:eastAsia="Times New Roman"/>
                <w:color w:val="auto"/>
              </w:rPr>
            </w:pPr>
            <w:r>
              <w:rPr>
                <w:rFonts w:eastAsia="Times New Roman"/>
                <w:color w:val="auto"/>
              </w:rPr>
              <w:t>240603</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FE1570F">
            <w:pPr>
              <w:pStyle w:val="129"/>
              <w:widowControl w:val="0"/>
              <w:rPr>
                <w:rFonts w:eastAsia="Times New Roman"/>
                <w:color w:val="auto"/>
              </w:rPr>
            </w:pPr>
            <w:r>
              <w:rPr>
                <w:rFonts w:eastAsia="Times New Roman"/>
                <w:color w:val="auto"/>
              </w:rPr>
              <w:t>0.07</w:t>
            </w:r>
          </w:p>
        </w:tc>
        <w:tc>
          <w:tcPr>
            <w:tcW w:w="972" w:type="dxa"/>
            <w:tcBorders>
              <w:top w:val="single" w:color="000000" w:sz="2" w:space="0"/>
              <w:left w:val="single" w:color="000000" w:sz="2" w:space="0"/>
              <w:bottom w:val="single" w:color="000000" w:sz="2" w:space="0"/>
              <w:right w:val="single" w:color="000000" w:sz="8" w:space="0"/>
            </w:tcBorders>
            <w:vAlign w:val="center"/>
          </w:tcPr>
          <w:p w14:paraId="02D5E991">
            <w:pPr>
              <w:pStyle w:val="129"/>
              <w:widowControl w:val="0"/>
              <w:rPr>
                <w:rFonts w:eastAsia="Times New Roman"/>
                <w:color w:val="auto"/>
              </w:rPr>
            </w:pPr>
            <w:r>
              <w:rPr>
                <w:rFonts w:eastAsia="Times New Roman"/>
                <w:color w:val="auto"/>
              </w:rPr>
              <w:t>达标</w:t>
            </w:r>
          </w:p>
        </w:tc>
      </w:tr>
      <w:tr w14:paraId="502F956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108594FC">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6FB13BFE">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D57852B">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219CB33E">
            <w:pPr>
              <w:pStyle w:val="129"/>
              <w:widowControl w:val="0"/>
              <w:rPr>
                <w:rFonts w:eastAsia="Times New Roman"/>
                <w:color w:val="auto"/>
              </w:rPr>
            </w:pPr>
            <w:r>
              <w:rPr>
                <w:rFonts w:eastAsia="Times New Roman"/>
                <w:color w:val="auto"/>
              </w:rPr>
              <w:t>0.00203</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1395054D">
            <w:pPr>
              <w:pStyle w:val="129"/>
              <w:widowControl w:val="0"/>
              <w:rPr>
                <w:rFonts w:eastAsia="Times New Roman"/>
                <w:color w:val="auto"/>
              </w:rPr>
            </w:pPr>
            <w:r>
              <w:rPr>
                <w:rFonts w:eastAsia="Times New Roman"/>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56F92227">
            <w:pPr>
              <w:pStyle w:val="129"/>
              <w:widowControl w:val="0"/>
              <w:rPr>
                <w:rFonts w:eastAsia="Times New Roman"/>
                <w:color w:val="auto"/>
              </w:rPr>
            </w:pPr>
            <w:r>
              <w:rPr>
                <w:rFonts w:eastAsia="Times New Roman"/>
                <w:color w:val="auto"/>
              </w:rPr>
              <w:t>0.01</w:t>
            </w:r>
          </w:p>
        </w:tc>
        <w:tc>
          <w:tcPr>
            <w:tcW w:w="972" w:type="dxa"/>
            <w:tcBorders>
              <w:top w:val="single" w:color="000000" w:sz="2" w:space="0"/>
              <w:left w:val="single" w:color="000000" w:sz="2" w:space="0"/>
              <w:bottom w:val="single" w:color="000000" w:sz="2" w:space="0"/>
              <w:right w:val="single" w:color="000000" w:sz="8" w:space="0"/>
            </w:tcBorders>
            <w:vAlign w:val="center"/>
          </w:tcPr>
          <w:p w14:paraId="2EA02170">
            <w:pPr>
              <w:pStyle w:val="129"/>
              <w:widowControl w:val="0"/>
              <w:rPr>
                <w:rFonts w:eastAsia="Times New Roman"/>
                <w:color w:val="auto"/>
              </w:rPr>
            </w:pPr>
            <w:r>
              <w:rPr>
                <w:rFonts w:eastAsia="Times New Roman"/>
                <w:color w:val="auto"/>
              </w:rPr>
              <w:t>达标</w:t>
            </w:r>
          </w:p>
        </w:tc>
      </w:tr>
      <w:tr w14:paraId="072AA8F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4C83C12C">
            <w:pPr>
              <w:pStyle w:val="129"/>
              <w:widowControl w:val="0"/>
              <w:rPr>
                <w:rFonts w:eastAsia="Times New Roman"/>
                <w:color w:val="auto"/>
              </w:rPr>
            </w:pPr>
          </w:p>
        </w:tc>
        <w:tc>
          <w:tcPr>
            <w:tcW w:w="1492" w:type="dxa"/>
            <w:vMerge w:val="restart"/>
            <w:tcBorders>
              <w:top w:val="single" w:color="000000" w:sz="2" w:space="0"/>
              <w:left w:val="single" w:color="000000" w:sz="2" w:space="0"/>
              <w:bottom w:val="single" w:color="000000" w:sz="2" w:space="0"/>
              <w:right w:val="single" w:color="000000" w:sz="2" w:space="0"/>
            </w:tcBorders>
            <w:vAlign w:val="center"/>
          </w:tcPr>
          <w:p w14:paraId="7596A1A1">
            <w:pPr>
              <w:pStyle w:val="129"/>
              <w:widowControl w:val="0"/>
              <w:rPr>
                <w:rFonts w:eastAsia="Times New Roman" w:cs="宋体"/>
                <w:color w:val="auto"/>
              </w:rPr>
            </w:pPr>
            <w:r>
              <w:rPr>
                <w:rFonts w:hint="eastAsia" w:ascii="宋体" w:hAnsi="宋体" w:eastAsia="Times New Roman" w:cs="宋体"/>
                <w:color w:val="auto"/>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2EC385DD">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DF34A2D">
            <w:pPr>
              <w:pStyle w:val="129"/>
              <w:widowControl w:val="0"/>
              <w:rPr>
                <w:rFonts w:eastAsia="Times New Roman"/>
                <w:color w:val="auto"/>
              </w:rPr>
            </w:pPr>
            <w:r>
              <w:rPr>
                <w:rFonts w:eastAsia="Times New Roman"/>
                <w:color w:val="auto"/>
              </w:rPr>
              <w:t>1.46114</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1971607D">
            <w:pPr>
              <w:pStyle w:val="129"/>
              <w:widowControl w:val="0"/>
              <w:rPr>
                <w:rFonts w:eastAsia="Times New Roman"/>
                <w:color w:val="auto"/>
              </w:rPr>
            </w:pPr>
            <w:r>
              <w:rPr>
                <w:rFonts w:eastAsia="Times New Roman"/>
                <w:color w:val="auto"/>
              </w:rPr>
              <w:t>240521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D8F6178">
            <w:pPr>
              <w:pStyle w:val="129"/>
              <w:widowControl w:val="0"/>
              <w:rPr>
                <w:rFonts w:eastAsia="Times New Roman"/>
                <w:color w:val="auto"/>
              </w:rPr>
            </w:pPr>
            <w:r>
              <w:rPr>
                <w:rFonts w:eastAsia="Times New Roman"/>
                <w:color w:val="auto"/>
              </w:rPr>
              <w:t>2.44</w:t>
            </w:r>
          </w:p>
        </w:tc>
        <w:tc>
          <w:tcPr>
            <w:tcW w:w="972" w:type="dxa"/>
            <w:tcBorders>
              <w:top w:val="single" w:color="000000" w:sz="2" w:space="0"/>
              <w:left w:val="single" w:color="000000" w:sz="2" w:space="0"/>
              <w:bottom w:val="single" w:color="000000" w:sz="2" w:space="0"/>
              <w:right w:val="single" w:color="000000" w:sz="8" w:space="0"/>
            </w:tcBorders>
            <w:vAlign w:val="center"/>
          </w:tcPr>
          <w:p w14:paraId="709B0C10">
            <w:pPr>
              <w:pStyle w:val="129"/>
              <w:widowControl w:val="0"/>
              <w:rPr>
                <w:rFonts w:eastAsia="Times New Roman"/>
                <w:color w:val="auto"/>
              </w:rPr>
            </w:pPr>
            <w:r>
              <w:rPr>
                <w:rFonts w:eastAsia="Times New Roman"/>
                <w:color w:val="auto"/>
              </w:rPr>
              <w:t>达标</w:t>
            </w:r>
          </w:p>
        </w:tc>
      </w:tr>
      <w:tr w14:paraId="7B82DCC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0AA1D066">
            <w:pPr>
              <w:pStyle w:val="129"/>
              <w:widowControl w:val="0"/>
              <w:rPr>
                <w:rFonts w:eastAsia="Times New Roman"/>
                <w:color w:val="auto"/>
              </w:rPr>
            </w:pPr>
          </w:p>
        </w:tc>
        <w:tc>
          <w:tcPr>
            <w:tcW w:w="1492" w:type="dxa"/>
            <w:vMerge w:val="continue"/>
            <w:tcBorders>
              <w:top w:val="single" w:color="000000" w:sz="2" w:space="0"/>
              <w:left w:val="single" w:color="000000" w:sz="2" w:space="0"/>
              <w:bottom w:val="single" w:color="000000" w:sz="2" w:space="0"/>
              <w:right w:val="single" w:color="000000" w:sz="2" w:space="0"/>
            </w:tcBorders>
            <w:vAlign w:val="center"/>
          </w:tcPr>
          <w:p w14:paraId="7CC48E66">
            <w:pPr>
              <w:pStyle w:val="129"/>
              <w:widowControl w:val="0"/>
              <w:rPr>
                <w:rFonts w:eastAsia="Times New Roman" w:cs="宋体"/>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1B97EBD9">
            <w:pPr>
              <w:pStyle w:val="129"/>
              <w:widowControl w:val="0"/>
              <w:rPr>
                <w:rFonts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2E3FA2FF">
            <w:pPr>
              <w:pStyle w:val="129"/>
              <w:widowControl w:val="0"/>
              <w:rPr>
                <w:rFonts w:eastAsia="Times New Roman"/>
                <w:color w:val="auto"/>
              </w:rPr>
            </w:pPr>
            <w:r>
              <w:rPr>
                <w:rFonts w:eastAsia="Times New Roman"/>
                <w:color w:val="auto"/>
              </w:rPr>
              <w:t>0.2666</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5A5CEF32">
            <w:pPr>
              <w:pStyle w:val="129"/>
              <w:widowControl w:val="0"/>
              <w:rPr>
                <w:rFonts w:eastAsia="Times New Roman"/>
                <w:color w:val="auto"/>
              </w:rPr>
            </w:pPr>
            <w:r>
              <w:rPr>
                <w:rFonts w:eastAsia="Times New Roman"/>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3A5133D8">
            <w:pPr>
              <w:pStyle w:val="129"/>
              <w:widowControl w:val="0"/>
              <w:rPr>
                <w:rFonts w:eastAsia="Times New Roman"/>
                <w:color w:val="auto"/>
              </w:rPr>
            </w:pPr>
            <w:r>
              <w:rPr>
                <w:rFonts w:eastAsia="Times New Roman"/>
                <w:color w:val="auto"/>
              </w:rPr>
              <w:t>0.89</w:t>
            </w:r>
          </w:p>
        </w:tc>
        <w:tc>
          <w:tcPr>
            <w:tcW w:w="972" w:type="dxa"/>
            <w:tcBorders>
              <w:top w:val="single" w:color="000000" w:sz="2" w:space="0"/>
              <w:left w:val="single" w:color="000000" w:sz="2" w:space="0"/>
              <w:bottom w:val="single" w:color="000000" w:sz="2" w:space="0"/>
              <w:right w:val="single" w:color="000000" w:sz="8" w:space="0"/>
            </w:tcBorders>
            <w:vAlign w:val="center"/>
          </w:tcPr>
          <w:p w14:paraId="583EC7C6">
            <w:pPr>
              <w:pStyle w:val="129"/>
              <w:widowControl w:val="0"/>
              <w:rPr>
                <w:rFonts w:eastAsia="Times New Roman"/>
                <w:color w:val="auto"/>
              </w:rPr>
            </w:pPr>
            <w:r>
              <w:rPr>
                <w:rFonts w:eastAsia="Times New Roman"/>
                <w:color w:val="auto"/>
              </w:rPr>
              <w:t>达标</w:t>
            </w:r>
          </w:p>
        </w:tc>
      </w:tr>
      <w:tr w14:paraId="2870F6E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bottom w:val="single" w:color="000000" w:sz="2" w:space="0"/>
              <w:right w:val="single" w:color="000000" w:sz="2" w:space="0"/>
            </w:tcBorders>
            <w:vAlign w:val="center"/>
          </w:tcPr>
          <w:p w14:paraId="665BD28B">
            <w:pPr>
              <w:pStyle w:val="129"/>
              <w:widowControl w:val="0"/>
              <w:rPr>
                <w:rFonts w:eastAsia="Times New Roman"/>
                <w:color w:val="auto"/>
              </w:rPr>
            </w:pPr>
            <w:r>
              <w:rPr>
                <w:rFonts w:hint="eastAsia" w:eastAsia="Times New Roman"/>
                <w:color w:val="auto"/>
              </w:rPr>
              <w:t>NH</w:t>
            </w:r>
            <w:r>
              <w:rPr>
                <w:rFonts w:hint="eastAsia" w:eastAsia="Times New Roman"/>
                <w:color w:val="auto"/>
                <w:vertAlign w:val="subscript"/>
              </w:rPr>
              <w:t>3</w:t>
            </w:r>
          </w:p>
        </w:tc>
        <w:tc>
          <w:tcPr>
            <w:tcW w:w="1492" w:type="dxa"/>
            <w:tcBorders>
              <w:top w:val="single" w:color="000000" w:sz="2" w:space="0"/>
              <w:left w:val="single" w:color="000000" w:sz="2" w:space="0"/>
              <w:bottom w:val="single" w:color="000000" w:sz="2" w:space="0"/>
              <w:right w:val="single" w:color="000000" w:sz="2" w:space="0"/>
            </w:tcBorders>
            <w:vAlign w:val="center"/>
          </w:tcPr>
          <w:p w14:paraId="6BA91734">
            <w:pPr>
              <w:pStyle w:val="129"/>
              <w:widowControl w:val="0"/>
              <w:rPr>
                <w:rFonts w:eastAsia="Times New Roman" w:cs="宋体"/>
                <w:color w:val="auto"/>
              </w:rPr>
            </w:pPr>
            <w:r>
              <w:rPr>
                <w:rFonts w:hint="eastAsia" w:ascii="宋体" w:hAnsi="宋体" w:eastAsia="Times New Roman" w:cs="宋体"/>
                <w:color w:val="auto"/>
                <w:sz w:val="22"/>
                <w:szCs w:val="22"/>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50EC17A2">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0C537181">
            <w:pPr>
              <w:pStyle w:val="129"/>
              <w:widowControl w:val="0"/>
              <w:rPr>
                <w:rFonts w:eastAsia="Times New Roman"/>
                <w:color w:val="auto"/>
              </w:rPr>
            </w:pPr>
            <w:r>
              <w:rPr>
                <w:rFonts w:eastAsia="Times New Roman"/>
                <w:color w:val="auto"/>
              </w:rPr>
              <w:t>1.20382</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7836188F">
            <w:pPr>
              <w:pStyle w:val="129"/>
              <w:widowControl w:val="0"/>
              <w:rPr>
                <w:rFonts w:eastAsia="Times New Roman"/>
                <w:color w:val="auto"/>
              </w:rPr>
            </w:pPr>
            <w:r>
              <w:rPr>
                <w:rFonts w:eastAsia="Times New Roman"/>
                <w:color w:val="auto"/>
              </w:rPr>
              <w:t>24060802</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E5916B7">
            <w:pPr>
              <w:pStyle w:val="129"/>
              <w:widowControl w:val="0"/>
              <w:rPr>
                <w:rFonts w:eastAsia="Times New Roman"/>
                <w:color w:val="auto"/>
              </w:rPr>
            </w:pPr>
            <w:r>
              <w:rPr>
                <w:rFonts w:hint="eastAsia" w:eastAsia="Times New Roman"/>
                <w:color w:val="auto"/>
              </w:rPr>
              <w:t>0.60</w:t>
            </w:r>
          </w:p>
        </w:tc>
        <w:tc>
          <w:tcPr>
            <w:tcW w:w="972" w:type="dxa"/>
            <w:tcBorders>
              <w:top w:val="single" w:color="000000" w:sz="2" w:space="0"/>
              <w:left w:val="single" w:color="000000" w:sz="2" w:space="0"/>
              <w:bottom w:val="single" w:color="000000" w:sz="2" w:space="0"/>
              <w:right w:val="single" w:color="000000" w:sz="8" w:space="0"/>
            </w:tcBorders>
            <w:vAlign w:val="center"/>
          </w:tcPr>
          <w:p w14:paraId="4AC9528E">
            <w:pPr>
              <w:pStyle w:val="129"/>
              <w:widowControl w:val="0"/>
              <w:rPr>
                <w:rFonts w:eastAsia="Times New Roman"/>
                <w:color w:val="auto"/>
              </w:rPr>
            </w:pPr>
            <w:r>
              <w:rPr>
                <w:rFonts w:hint="eastAsia" w:ascii="宋体" w:hAnsi="宋体" w:eastAsia="Times New Roman" w:cs="宋体"/>
                <w:color w:val="auto"/>
              </w:rPr>
              <w:t>达标</w:t>
            </w:r>
          </w:p>
        </w:tc>
      </w:tr>
      <w:tr w14:paraId="3F1D230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10BC527C">
            <w:pPr>
              <w:pStyle w:val="129"/>
              <w:widowControl w:val="0"/>
              <w:rPr>
                <w:rFonts w:eastAsia="Times New Roman"/>
                <w:color w:val="auto"/>
              </w:rPr>
            </w:pPr>
          </w:p>
        </w:tc>
        <w:tc>
          <w:tcPr>
            <w:tcW w:w="1492" w:type="dxa"/>
            <w:tcBorders>
              <w:top w:val="single" w:color="000000" w:sz="2" w:space="0"/>
              <w:left w:val="single" w:color="000000" w:sz="2" w:space="0"/>
              <w:bottom w:val="single" w:color="000000" w:sz="2" w:space="0"/>
              <w:right w:val="single" w:color="000000" w:sz="2" w:space="0"/>
            </w:tcBorders>
            <w:vAlign w:val="center"/>
          </w:tcPr>
          <w:p w14:paraId="23B527BB">
            <w:pPr>
              <w:pStyle w:val="129"/>
              <w:widowControl w:val="0"/>
              <w:rPr>
                <w:rFonts w:eastAsia="Times New Roman" w:cs="宋体"/>
                <w:color w:val="auto"/>
              </w:rPr>
            </w:pPr>
            <w:r>
              <w:rPr>
                <w:rFonts w:hint="eastAsia" w:ascii="宋体" w:hAnsi="宋体" w:eastAsia="Times New Roman" w:cs="宋体"/>
                <w:color w:val="auto"/>
                <w:sz w:val="22"/>
                <w:szCs w:val="22"/>
              </w:rPr>
              <w:t>乌鲁木齐市第</w:t>
            </w:r>
            <w:r>
              <w:rPr>
                <w:rFonts w:hint="eastAsia" w:eastAsia="Times New Roman"/>
                <w:color w:val="auto"/>
                <w:sz w:val="22"/>
                <w:szCs w:val="22"/>
              </w:rPr>
              <w:t>137</w:t>
            </w:r>
            <w:r>
              <w:rPr>
                <w:rFonts w:hint="eastAsia" w:ascii="宋体" w:hAnsi="宋体" w:eastAsia="Times New Roman" w:cs="宋体"/>
                <w:color w:val="auto"/>
                <w:sz w:val="22"/>
                <w:szCs w:val="22"/>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7C1EBC0">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657E1524">
            <w:pPr>
              <w:pStyle w:val="129"/>
              <w:widowControl w:val="0"/>
              <w:rPr>
                <w:rFonts w:eastAsia="Times New Roman"/>
                <w:color w:val="auto"/>
              </w:rPr>
            </w:pPr>
            <w:r>
              <w:rPr>
                <w:rFonts w:eastAsia="Times New Roman"/>
                <w:color w:val="auto"/>
              </w:rPr>
              <w:t>1.19772</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30FDF19A">
            <w:pPr>
              <w:pStyle w:val="129"/>
              <w:widowControl w:val="0"/>
              <w:rPr>
                <w:rFonts w:eastAsia="Times New Roman"/>
                <w:color w:val="auto"/>
              </w:rPr>
            </w:pPr>
            <w:r>
              <w:rPr>
                <w:rFonts w:eastAsia="Times New Roman"/>
                <w:color w:val="auto"/>
              </w:rPr>
              <w:t>24083107</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92A6D86">
            <w:pPr>
              <w:pStyle w:val="129"/>
              <w:widowControl w:val="0"/>
              <w:rPr>
                <w:rFonts w:eastAsia="Times New Roman"/>
                <w:color w:val="auto"/>
              </w:rPr>
            </w:pPr>
            <w:r>
              <w:rPr>
                <w:rFonts w:hint="eastAsia" w:eastAsia="Times New Roman"/>
                <w:color w:val="auto"/>
              </w:rPr>
              <w:t>0.60</w:t>
            </w:r>
          </w:p>
        </w:tc>
        <w:tc>
          <w:tcPr>
            <w:tcW w:w="972" w:type="dxa"/>
            <w:tcBorders>
              <w:top w:val="single" w:color="000000" w:sz="2" w:space="0"/>
              <w:left w:val="single" w:color="000000" w:sz="2" w:space="0"/>
              <w:bottom w:val="single" w:color="000000" w:sz="2" w:space="0"/>
              <w:right w:val="single" w:color="000000" w:sz="8" w:space="0"/>
            </w:tcBorders>
            <w:vAlign w:val="center"/>
          </w:tcPr>
          <w:p w14:paraId="0BB87996">
            <w:pPr>
              <w:pStyle w:val="129"/>
              <w:widowControl w:val="0"/>
              <w:rPr>
                <w:rFonts w:eastAsia="Times New Roman"/>
                <w:color w:val="auto"/>
              </w:rPr>
            </w:pPr>
            <w:r>
              <w:rPr>
                <w:rFonts w:hint="eastAsia" w:ascii="宋体" w:hAnsi="宋体" w:eastAsia="Times New Roman" w:cs="宋体"/>
                <w:color w:val="auto"/>
              </w:rPr>
              <w:t>达标</w:t>
            </w:r>
          </w:p>
        </w:tc>
      </w:tr>
      <w:tr w14:paraId="00E6607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5BD635A3">
            <w:pPr>
              <w:pStyle w:val="129"/>
              <w:widowControl w:val="0"/>
              <w:rPr>
                <w:rFonts w:eastAsia="Times New Roman"/>
                <w:color w:val="auto"/>
              </w:rPr>
            </w:pPr>
          </w:p>
        </w:tc>
        <w:tc>
          <w:tcPr>
            <w:tcW w:w="1492" w:type="dxa"/>
            <w:tcBorders>
              <w:top w:val="single" w:color="000000" w:sz="2" w:space="0"/>
              <w:left w:val="single" w:color="000000" w:sz="2" w:space="0"/>
              <w:bottom w:val="single" w:color="000000" w:sz="2" w:space="0"/>
              <w:right w:val="single" w:color="000000" w:sz="2" w:space="0"/>
            </w:tcBorders>
            <w:vAlign w:val="center"/>
          </w:tcPr>
          <w:p w14:paraId="43D4837C">
            <w:pPr>
              <w:pStyle w:val="129"/>
              <w:widowControl w:val="0"/>
              <w:rPr>
                <w:rFonts w:eastAsia="Times New Roman" w:cs="宋体"/>
                <w:color w:val="auto"/>
              </w:rPr>
            </w:pPr>
            <w:r>
              <w:rPr>
                <w:rFonts w:hint="eastAsia" w:ascii="宋体" w:hAnsi="宋体" w:eastAsia="Times New Roman" w:cs="宋体"/>
                <w:color w:val="auto"/>
                <w:sz w:val="22"/>
                <w:szCs w:val="22"/>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4AC4FAA5">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01D07A8A">
            <w:pPr>
              <w:pStyle w:val="129"/>
              <w:widowControl w:val="0"/>
              <w:rPr>
                <w:rFonts w:eastAsia="Times New Roman"/>
                <w:color w:val="auto"/>
              </w:rPr>
            </w:pPr>
            <w:r>
              <w:rPr>
                <w:rFonts w:eastAsia="Times New Roman"/>
                <w:color w:val="auto"/>
              </w:rPr>
              <w:t>16.87184</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35F9B781">
            <w:pPr>
              <w:pStyle w:val="129"/>
              <w:widowControl w:val="0"/>
              <w:rPr>
                <w:rFonts w:eastAsia="Times New Roman"/>
                <w:color w:val="auto"/>
              </w:rPr>
            </w:pPr>
            <w:r>
              <w:rPr>
                <w:rFonts w:eastAsia="Times New Roman"/>
                <w:color w:val="auto"/>
              </w:rPr>
              <w:t>24100608</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801B29F">
            <w:pPr>
              <w:pStyle w:val="129"/>
              <w:widowControl w:val="0"/>
              <w:rPr>
                <w:rFonts w:eastAsia="Times New Roman"/>
                <w:color w:val="auto"/>
              </w:rPr>
            </w:pPr>
            <w:r>
              <w:rPr>
                <w:rFonts w:hint="eastAsia" w:eastAsia="Times New Roman"/>
                <w:color w:val="auto"/>
              </w:rPr>
              <w:t>8.44</w:t>
            </w:r>
          </w:p>
        </w:tc>
        <w:tc>
          <w:tcPr>
            <w:tcW w:w="972" w:type="dxa"/>
            <w:tcBorders>
              <w:top w:val="single" w:color="000000" w:sz="2" w:space="0"/>
              <w:left w:val="single" w:color="000000" w:sz="2" w:space="0"/>
              <w:bottom w:val="single" w:color="000000" w:sz="2" w:space="0"/>
              <w:right w:val="single" w:color="000000" w:sz="8" w:space="0"/>
            </w:tcBorders>
            <w:vAlign w:val="center"/>
          </w:tcPr>
          <w:p w14:paraId="042E57AE">
            <w:pPr>
              <w:pStyle w:val="129"/>
              <w:widowControl w:val="0"/>
              <w:rPr>
                <w:rFonts w:eastAsia="Times New Roman"/>
                <w:color w:val="auto"/>
              </w:rPr>
            </w:pPr>
            <w:r>
              <w:rPr>
                <w:rFonts w:hint="eastAsia" w:ascii="宋体" w:hAnsi="宋体" w:eastAsia="Times New Roman" w:cs="宋体"/>
                <w:color w:val="auto"/>
              </w:rPr>
              <w:t>达标</w:t>
            </w:r>
          </w:p>
        </w:tc>
      </w:tr>
      <w:tr w14:paraId="4CB39DB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right w:val="single" w:color="000000" w:sz="2" w:space="0"/>
            </w:tcBorders>
            <w:vAlign w:val="center"/>
          </w:tcPr>
          <w:p w14:paraId="211070AE">
            <w:pPr>
              <w:pStyle w:val="129"/>
              <w:widowControl w:val="0"/>
              <w:rPr>
                <w:rFonts w:eastAsiaTheme="minorEastAsia"/>
                <w:color w:val="auto"/>
              </w:rPr>
            </w:pPr>
            <w:r>
              <w:rPr>
                <w:rFonts w:hint="eastAsia" w:eastAsiaTheme="minorEastAsia"/>
                <w:color w:val="auto"/>
              </w:rPr>
              <w:t>H</w:t>
            </w:r>
            <w:r>
              <w:rPr>
                <w:rFonts w:hint="eastAsia" w:eastAsiaTheme="minorEastAsia"/>
                <w:color w:val="auto"/>
                <w:vertAlign w:val="subscript"/>
              </w:rPr>
              <w:t>2</w:t>
            </w:r>
            <w:r>
              <w:rPr>
                <w:rFonts w:hint="eastAsia" w:eastAsiaTheme="minorEastAsia"/>
                <w:color w:val="auto"/>
              </w:rPr>
              <w:t>S</w:t>
            </w:r>
          </w:p>
        </w:tc>
        <w:tc>
          <w:tcPr>
            <w:tcW w:w="1492" w:type="dxa"/>
            <w:tcBorders>
              <w:top w:val="single" w:color="000000" w:sz="2" w:space="0"/>
              <w:left w:val="single" w:color="000000" w:sz="2" w:space="0"/>
              <w:bottom w:val="single" w:color="000000" w:sz="2" w:space="0"/>
              <w:right w:val="single" w:color="000000" w:sz="2" w:space="0"/>
            </w:tcBorders>
            <w:vAlign w:val="center"/>
          </w:tcPr>
          <w:p w14:paraId="0EBF91D1">
            <w:pPr>
              <w:pStyle w:val="129"/>
              <w:widowControl w:val="0"/>
              <w:rPr>
                <w:rFonts w:ascii="宋体" w:hAnsi="宋体" w:eastAsia="Times New Roman" w:cs="宋体"/>
                <w:color w:val="auto"/>
                <w:sz w:val="22"/>
                <w:szCs w:val="22"/>
              </w:rPr>
            </w:pPr>
            <w:r>
              <w:rPr>
                <w:rFonts w:hint="eastAsia" w:ascii="宋体" w:hAnsi="宋体" w:eastAsia="Times New Roman" w:cs="宋体"/>
                <w:color w:val="auto"/>
                <w:sz w:val="22"/>
                <w:szCs w:val="22"/>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6649AC4B">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363A5A2">
            <w:pPr>
              <w:pStyle w:val="129"/>
              <w:widowControl w:val="0"/>
              <w:rPr>
                <w:rFonts w:eastAsia="Times New Roman"/>
                <w:color w:val="auto"/>
              </w:rPr>
            </w:pPr>
            <w:r>
              <w:rPr>
                <w:rFonts w:eastAsia="Times New Roman"/>
                <w:color w:val="auto"/>
              </w:rPr>
              <w:t>0.00007</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10D5F4B2">
            <w:pPr>
              <w:pStyle w:val="129"/>
              <w:widowControl w:val="0"/>
              <w:rPr>
                <w:rFonts w:eastAsia="Times New Roman"/>
                <w:color w:val="auto"/>
              </w:rPr>
            </w:pPr>
            <w:r>
              <w:rPr>
                <w:rFonts w:eastAsia="Times New Roman"/>
                <w:color w:val="auto"/>
              </w:rPr>
              <w:t>24072822</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B191705">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0C950A2A">
            <w:pPr>
              <w:pStyle w:val="129"/>
              <w:widowControl w:val="0"/>
              <w:rPr>
                <w:rFonts w:eastAsia="Times New Roman"/>
                <w:color w:val="auto"/>
              </w:rPr>
            </w:pPr>
            <w:r>
              <w:rPr>
                <w:rFonts w:eastAsia="Times New Roman"/>
                <w:color w:val="auto"/>
              </w:rPr>
              <w:t>达标</w:t>
            </w:r>
          </w:p>
        </w:tc>
      </w:tr>
      <w:tr w14:paraId="14CBA2B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left w:val="single" w:color="000000" w:sz="8" w:space="0"/>
              <w:right w:val="single" w:color="000000" w:sz="2" w:space="0"/>
            </w:tcBorders>
            <w:vAlign w:val="center"/>
          </w:tcPr>
          <w:p w14:paraId="21B72325">
            <w:pPr>
              <w:pStyle w:val="129"/>
              <w:widowControl w:val="0"/>
              <w:rPr>
                <w:rFonts w:eastAsia="Times New Roman"/>
                <w:color w:val="auto"/>
              </w:rPr>
            </w:pPr>
          </w:p>
        </w:tc>
        <w:tc>
          <w:tcPr>
            <w:tcW w:w="1492" w:type="dxa"/>
            <w:tcBorders>
              <w:top w:val="single" w:color="000000" w:sz="2" w:space="0"/>
              <w:left w:val="single" w:color="000000" w:sz="2" w:space="0"/>
              <w:bottom w:val="single" w:color="000000" w:sz="2" w:space="0"/>
              <w:right w:val="single" w:color="000000" w:sz="2" w:space="0"/>
            </w:tcBorders>
            <w:vAlign w:val="center"/>
          </w:tcPr>
          <w:p w14:paraId="09CC00DC">
            <w:pPr>
              <w:pStyle w:val="129"/>
              <w:widowControl w:val="0"/>
              <w:rPr>
                <w:rFonts w:ascii="宋体" w:hAnsi="宋体" w:eastAsia="Times New Roman" w:cs="宋体"/>
                <w:color w:val="auto"/>
                <w:sz w:val="22"/>
                <w:szCs w:val="22"/>
              </w:rPr>
            </w:pPr>
            <w:r>
              <w:rPr>
                <w:rFonts w:hint="eastAsia" w:ascii="宋体" w:hAnsi="宋体" w:eastAsia="Times New Roman" w:cs="宋体"/>
                <w:color w:val="auto"/>
                <w:sz w:val="22"/>
                <w:szCs w:val="22"/>
              </w:rPr>
              <w:t>乌鲁木齐市第</w:t>
            </w:r>
            <w:r>
              <w:rPr>
                <w:rFonts w:hint="eastAsia" w:eastAsia="Times New Roman"/>
                <w:color w:val="auto"/>
                <w:sz w:val="22"/>
                <w:szCs w:val="22"/>
              </w:rPr>
              <w:t>137</w:t>
            </w:r>
            <w:r>
              <w:rPr>
                <w:rFonts w:hint="eastAsia" w:ascii="宋体" w:hAnsi="宋体" w:eastAsia="Times New Roman" w:cs="宋体"/>
                <w:color w:val="auto"/>
                <w:sz w:val="22"/>
                <w:szCs w:val="22"/>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249B729">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104856D">
            <w:pPr>
              <w:pStyle w:val="129"/>
              <w:widowControl w:val="0"/>
              <w:rPr>
                <w:rFonts w:eastAsia="Times New Roman"/>
                <w:color w:val="auto"/>
              </w:rPr>
            </w:pPr>
            <w:r>
              <w:rPr>
                <w:rFonts w:eastAsia="Times New Roman"/>
                <w:color w:val="auto"/>
              </w:rPr>
              <w:t>0.00007</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757F5EDE">
            <w:pPr>
              <w:pStyle w:val="129"/>
              <w:widowControl w:val="0"/>
              <w:rPr>
                <w:rFonts w:eastAsia="Times New Roman"/>
                <w:color w:val="auto"/>
              </w:rPr>
            </w:pPr>
            <w:r>
              <w:rPr>
                <w:rFonts w:eastAsia="Times New Roman"/>
                <w:color w:val="auto"/>
              </w:rPr>
              <w:t>24082824</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3267544C">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4119C5F2">
            <w:pPr>
              <w:pStyle w:val="129"/>
              <w:widowControl w:val="0"/>
              <w:rPr>
                <w:rFonts w:eastAsia="Times New Roman"/>
                <w:color w:val="auto"/>
              </w:rPr>
            </w:pPr>
            <w:r>
              <w:rPr>
                <w:rFonts w:eastAsia="Times New Roman"/>
                <w:color w:val="auto"/>
              </w:rPr>
              <w:t>达标</w:t>
            </w:r>
          </w:p>
        </w:tc>
      </w:tr>
      <w:tr w14:paraId="2B42FE5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left w:val="single" w:color="000000" w:sz="8" w:space="0"/>
              <w:bottom w:val="single" w:color="000000" w:sz="2" w:space="0"/>
              <w:right w:val="single" w:color="000000" w:sz="2" w:space="0"/>
            </w:tcBorders>
            <w:vAlign w:val="center"/>
          </w:tcPr>
          <w:p w14:paraId="632D289B">
            <w:pPr>
              <w:pStyle w:val="129"/>
              <w:widowControl w:val="0"/>
              <w:rPr>
                <w:rFonts w:eastAsia="Times New Roman"/>
                <w:color w:val="auto"/>
              </w:rPr>
            </w:pPr>
          </w:p>
        </w:tc>
        <w:tc>
          <w:tcPr>
            <w:tcW w:w="1492" w:type="dxa"/>
            <w:tcBorders>
              <w:top w:val="single" w:color="000000" w:sz="2" w:space="0"/>
              <w:left w:val="single" w:color="000000" w:sz="2" w:space="0"/>
              <w:bottom w:val="single" w:color="000000" w:sz="2" w:space="0"/>
              <w:right w:val="single" w:color="000000" w:sz="2" w:space="0"/>
            </w:tcBorders>
            <w:vAlign w:val="center"/>
          </w:tcPr>
          <w:p w14:paraId="567BA703">
            <w:pPr>
              <w:pStyle w:val="129"/>
              <w:widowControl w:val="0"/>
              <w:rPr>
                <w:rFonts w:ascii="宋体" w:hAnsi="宋体" w:eastAsia="Times New Roman" w:cs="宋体"/>
                <w:color w:val="auto"/>
                <w:sz w:val="22"/>
                <w:szCs w:val="22"/>
              </w:rPr>
            </w:pPr>
            <w:r>
              <w:rPr>
                <w:rFonts w:hint="eastAsia" w:ascii="宋体" w:hAnsi="宋体" w:eastAsia="Times New Roman" w:cs="宋体"/>
                <w:color w:val="auto"/>
                <w:sz w:val="22"/>
                <w:szCs w:val="22"/>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60C2FCB9">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3662EDB">
            <w:pPr>
              <w:pStyle w:val="129"/>
              <w:widowControl w:val="0"/>
              <w:rPr>
                <w:rFonts w:eastAsia="Times New Roman"/>
                <w:color w:val="auto"/>
              </w:rPr>
            </w:pPr>
            <w:r>
              <w:rPr>
                <w:rFonts w:eastAsia="Times New Roman"/>
                <w:color w:val="auto"/>
              </w:rPr>
              <w:t>0.00064</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722065BE">
            <w:pPr>
              <w:pStyle w:val="129"/>
              <w:widowControl w:val="0"/>
              <w:rPr>
                <w:rFonts w:eastAsia="Times New Roman"/>
                <w:color w:val="auto"/>
              </w:rPr>
            </w:pPr>
            <w:r>
              <w:rPr>
                <w:rFonts w:eastAsia="Times New Roman"/>
                <w:color w:val="auto"/>
              </w:rPr>
              <w:t>24100408</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5FEC1039">
            <w:pPr>
              <w:pStyle w:val="129"/>
              <w:widowControl w:val="0"/>
              <w:rPr>
                <w:rFonts w:eastAsia="Times New Roman"/>
                <w:color w:val="auto"/>
              </w:rPr>
            </w:pPr>
            <w:r>
              <w:rPr>
                <w:rFonts w:eastAsia="Times New Roman"/>
                <w:color w:val="auto"/>
              </w:rPr>
              <w:t>0.01</w:t>
            </w:r>
          </w:p>
        </w:tc>
        <w:tc>
          <w:tcPr>
            <w:tcW w:w="972" w:type="dxa"/>
            <w:tcBorders>
              <w:top w:val="single" w:color="000000" w:sz="2" w:space="0"/>
              <w:left w:val="single" w:color="000000" w:sz="2" w:space="0"/>
              <w:bottom w:val="single" w:color="000000" w:sz="2" w:space="0"/>
              <w:right w:val="single" w:color="000000" w:sz="8" w:space="0"/>
            </w:tcBorders>
            <w:vAlign w:val="center"/>
          </w:tcPr>
          <w:p w14:paraId="7E37519D">
            <w:pPr>
              <w:pStyle w:val="129"/>
              <w:widowControl w:val="0"/>
              <w:rPr>
                <w:rFonts w:eastAsia="Times New Roman"/>
                <w:color w:val="auto"/>
              </w:rPr>
            </w:pPr>
            <w:r>
              <w:rPr>
                <w:rFonts w:eastAsia="Times New Roman"/>
                <w:color w:val="auto"/>
              </w:rPr>
              <w:t>达标</w:t>
            </w:r>
          </w:p>
        </w:tc>
      </w:tr>
      <w:tr w14:paraId="5C8B5F5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bottom w:val="single" w:color="000000" w:sz="2" w:space="0"/>
              <w:right w:val="single" w:color="000000" w:sz="2" w:space="0"/>
            </w:tcBorders>
            <w:vAlign w:val="center"/>
          </w:tcPr>
          <w:p w14:paraId="4424A886">
            <w:pPr>
              <w:pStyle w:val="129"/>
              <w:widowControl w:val="0"/>
              <w:rPr>
                <w:rFonts w:eastAsia="Times New Roman"/>
                <w:color w:val="auto"/>
              </w:rPr>
            </w:pPr>
            <w:r>
              <w:rPr>
                <w:rFonts w:hint="eastAsia" w:ascii="宋体" w:hAnsi="宋体" w:eastAsia="Times New Roman" w:cs="宋体"/>
                <w:color w:val="auto"/>
              </w:rPr>
              <w:t>镍及其化合物</w:t>
            </w:r>
          </w:p>
        </w:tc>
        <w:tc>
          <w:tcPr>
            <w:tcW w:w="1492" w:type="dxa"/>
            <w:tcBorders>
              <w:top w:val="single" w:color="000000" w:sz="2" w:space="0"/>
              <w:left w:val="single" w:color="000000" w:sz="2" w:space="0"/>
              <w:bottom w:val="single" w:color="000000" w:sz="2" w:space="0"/>
              <w:right w:val="single" w:color="000000" w:sz="2" w:space="0"/>
            </w:tcBorders>
            <w:vAlign w:val="center"/>
          </w:tcPr>
          <w:p w14:paraId="4D61F0C0">
            <w:pPr>
              <w:pStyle w:val="129"/>
              <w:widowControl w:val="0"/>
              <w:rPr>
                <w:rFonts w:eastAsia="Times New Roman" w:cs="宋体"/>
                <w:color w:val="auto"/>
              </w:rPr>
            </w:pPr>
            <w:r>
              <w:rPr>
                <w:rFonts w:hint="eastAsia" w:ascii="宋体" w:hAnsi="宋体" w:eastAsia="Times New Roman" w:cs="宋体"/>
                <w:color w:val="auto"/>
                <w:sz w:val="22"/>
                <w:szCs w:val="22"/>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415DC7F2">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45CC72B8">
            <w:pPr>
              <w:pStyle w:val="129"/>
              <w:widowControl w:val="0"/>
              <w:rPr>
                <w:rFonts w:eastAsia="Times New Roman"/>
                <w:color w:val="auto"/>
              </w:rPr>
            </w:pPr>
            <w:r>
              <w:rPr>
                <w:rFonts w:eastAsia="Times New Roman"/>
                <w:color w:val="auto"/>
              </w:rPr>
              <w:t>0.00139</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F59D496">
            <w:pPr>
              <w:pStyle w:val="129"/>
              <w:widowControl w:val="0"/>
              <w:rPr>
                <w:rFonts w:eastAsia="Times New Roman"/>
                <w:color w:val="auto"/>
              </w:rPr>
            </w:pPr>
            <w:r>
              <w:rPr>
                <w:rFonts w:eastAsia="Times New Roman"/>
                <w:color w:val="auto"/>
              </w:rPr>
              <w:t>24080720</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43D4CDE">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7EBABA56">
            <w:pPr>
              <w:pStyle w:val="129"/>
              <w:widowControl w:val="0"/>
              <w:rPr>
                <w:rFonts w:eastAsia="Times New Roman"/>
                <w:color w:val="auto"/>
              </w:rPr>
            </w:pPr>
            <w:r>
              <w:rPr>
                <w:rFonts w:eastAsia="Times New Roman"/>
                <w:color w:val="auto"/>
              </w:rPr>
              <w:t>达标</w:t>
            </w:r>
          </w:p>
        </w:tc>
      </w:tr>
      <w:tr w14:paraId="5C6D02C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9D56E3C">
            <w:pPr>
              <w:pStyle w:val="129"/>
              <w:widowControl w:val="0"/>
              <w:rPr>
                <w:rFonts w:eastAsia="Times New Roman"/>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3BF2E7A3">
            <w:pPr>
              <w:pStyle w:val="129"/>
              <w:widowControl w:val="0"/>
              <w:rPr>
                <w:rFonts w:eastAsia="Times New Roman" w:cs="宋体"/>
                <w:color w:val="auto"/>
              </w:rPr>
            </w:pPr>
            <w:r>
              <w:rPr>
                <w:rFonts w:hint="eastAsia" w:ascii="宋体" w:hAnsi="宋体" w:eastAsia="Times New Roman" w:cs="宋体"/>
                <w:color w:val="auto"/>
                <w:sz w:val="22"/>
                <w:szCs w:val="22"/>
              </w:rPr>
              <w:t>乌鲁木齐市第</w:t>
            </w:r>
            <w:r>
              <w:rPr>
                <w:rFonts w:hint="eastAsia" w:eastAsia="Times New Roman"/>
                <w:color w:val="auto"/>
                <w:sz w:val="22"/>
                <w:szCs w:val="22"/>
              </w:rPr>
              <w:t>137</w:t>
            </w:r>
            <w:r>
              <w:rPr>
                <w:rFonts w:hint="eastAsia" w:ascii="宋体" w:hAnsi="宋体" w:eastAsia="Times New Roman" w:cs="宋体"/>
                <w:color w:val="auto"/>
                <w:sz w:val="22"/>
                <w:szCs w:val="22"/>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0AD2B02">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3E57E0EA">
            <w:pPr>
              <w:pStyle w:val="129"/>
              <w:widowControl w:val="0"/>
              <w:rPr>
                <w:rFonts w:eastAsia="Times New Roman"/>
                <w:color w:val="auto"/>
              </w:rPr>
            </w:pPr>
            <w:r>
              <w:rPr>
                <w:rFonts w:eastAsia="Times New Roman"/>
                <w:color w:val="auto"/>
              </w:rPr>
              <w:t>0.0013</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C5C4E25">
            <w:pPr>
              <w:pStyle w:val="129"/>
              <w:widowControl w:val="0"/>
              <w:rPr>
                <w:rFonts w:eastAsia="Times New Roman"/>
                <w:color w:val="auto"/>
              </w:rPr>
            </w:pPr>
            <w:r>
              <w:rPr>
                <w:rFonts w:eastAsia="Times New Roman"/>
                <w:color w:val="auto"/>
              </w:rPr>
              <w:t>24072321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C2EB2D1">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768EB970">
            <w:pPr>
              <w:pStyle w:val="129"/>
              <w:widowControl w:val="0"/>
              <w:rPr>
                <w:rFonts w:eastAsia="Times New Roman"/>
                <w:color w:val="auto"/>
              </w:rPr>
            </w:pPr>
            <w:r>
              <w:rPr>
                <w:rFonts w:eastAsia="Times New Roman"/>
                <w:color w:val="auto"/>
              </w:rPr>
              <w:t>达标</w:t>
            </w:r>
          </w:p>
        </w:tc>
      </w:tr>
      <w:tr w14:paraId="14A929A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5D0FBD18">
            <w:pPr>
              <w:pStyle w:val="129"/>
              <w:widowControl w:val="0"/>
              <w:rPr>
                <w:rFonts w:eastAsia="Times New Roman"/>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3FD61BC8">
            <w:pPr>
              <w:pStyle w:val="129"/>
              <w:widowControl w:val="0"/>
              <w:rPr>
                <w:rFonts w:eastAsia="Times New Roman" w:cs="宋体"/>
                <w:color w:val="auto"/>
              </w:rPr>
            </w:pPr>
            <w:r>
              <w:rPr>
                <w:rFonts w:hint="eastAsia" w:ascii="宋体" w:hAnsi="宋体" w:eastAsia="Times New Roman" w:cs="宋体"/>
                <w:color w:val="auto"/>
                <w:sz w:val="22"/>
                <w:szCs w:val="22"/>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13F4AE3C">
            <w:pPr>
              <w:pStyle w:val="129"/>
              <w:widowControl w:val="0"/>
              <w:rPr>
                <w:rFonts w:eastAsia="Times New Roman"/>
                <w:color w:val="auto"/>
              </w:rPr>
            </w:pPr>
            <w:r>
              <w:rPr>
                <w:rFonts w:hint="eastAsia" w:eastAsia="Times New Roman"/>
                <w:color w:val="auto"/>
              </w:rPr>
              <w:t>1</w:t>
            </w:r>
            <w:r>
              <w:rPr>
                <w:rFonts w:hint="eastAsia" w:ascii="宋体" w:hAnsi="宋体" w:eastAsia="Times New Roman"/>
                <w:color w:val="auto"/>
              </w:rPr>
              <w:t>小时</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2CCD00D3">
            <w:pPr>
              <w:pStyle w:val="129"/>
              <w:widowControl w:val="0"/>
              <w:rPr>
                <w:rFonts w:eastAsia="Times New Roman"/>
                <w:color w:val="auto"/>
              </w:rPr>
            </w:pPr>
            <w:r>
              <w:rPr>
                <w:rFonts w:eastAsia="Times New Roman"/>
                <w:color w:val="auto"/>
              </w:rPr>
              <w:t>0.01063</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FA56E00">
            <w:pPr>
              <w:pStyle w:val="129"/>
              <w:widowControl w:val="0"/>
              <w:rPr>
                <w:rFonts w:eastAsia="Times New Roman"/>
                <w:color w:val="auto"/>
              </w:rPr>
            </w:pPr>
            <w:r>
              <w:rPr>
                <w:rFonts w:eastAsia="Times New Roman"/>
                <w:color w:val="auto"/>
              </w:rPr>
              <w:t>24082016</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879DD8E">
            <w:pPr>
              <w:pStyle w:val="129"/>
              <w:widowControl w:val="0"/>
              <w:rPr>
                <w:rFonts w:eastAsia="Times New Roman"/>
                <w:color w:val="auto"/>
              </w:rPr>
            </w:pPr>
            <w:r>
              <w:rPr>
                <w:rFonts w:eastAsia="Times New Roman"/>
                <w:color w:val="auto"/>
              </w:rPr>
              <w:t>0.04</w:t>
            </w:r>
          </w:p>
        </w:tc>
        <w:tc>
          <w:tcPr>
            <w:tcW w:w="972" w:type="dxa"/>
            <w:tcBorders>
              <w:top w:val="single" w:color="000000" w:sz="2" w:space="0"/>
              <w:left w:val="single" w:color="000000" w:sz="2" w:space="0"/>
              <w:bottom w:val="single" w:color="000000" w:sz="2" w:space="0"/>
              <w:right w:val="single" w:color="000000" w:sz="8" w:space="0"/>
            </w:tcBorders>
            <w:vAlign w:val="center"/>
          </w:tcPr>
          <w:p w14:paraId="1635451D">
            <w:pPr>
              <w:pStyle w:val="129"/>
              <w:widowControl w:val="0"/>
              <w:rPr>
                <w:rFonts w:eastAsia="Times New Roman"/>
                <w:color w:val="auto"/>
              </w:rPr>
            </w:pPr>
            <w:r>
              <w:rPr>
                <w:rFonts w:eastAsia="Times New Roman"/>
                <w:color w:val="auto"/>
              </w:rPr>
              <w:t>达标</w:t>
            </w:r>
          </w:p>
        </w:tc>
      </w:tr>
      <w:tr w14:paraId="2544FEE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bottom w:val="single" w:color="000000" w:sz="2" w:space="0"/>
              <w:right w:val="single" w:color="000000" w:sz="2" w:space="0"/>
            </w:tcBorders>
            <w:noWrap/>
            <w:vAlign w:val="center"/>
          </w:tcPr>
          <w:p w14:paraId="38B097E8">
            <w:pPr>
              <w:pStyle w:val="129"/>
              <w:widowControl w:val="0"/>
              <w:rPr>
                <w:rFonts w:eastAsia="Times New Roman"/>
                <w:color w:val="auto"/>
              </w:rPr>
            </w:pPr>
            <w:r>
              <w:rPr>
                <w:rFonts w:hint="eastAsia" w:ascii="宋体" w:hAnsi="宋体" w:eastAsia="Times New Roman" w:cs="宋体"/>
                <w:color w:val="auto"/>
              </w:rPr>
              <w:t>锰及其化合物</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69C072C0">
            <w:pPr>
              <w:pStyle w:val="129"/>
              <w:widowControl w:val="0"/>
              <w:rPr>
                <w:rFonts w:eastAsia="Times New Roman" w:cs="宋体"/>
                <w:color w:val="auto"/>
              </w:rPr>
            </w:pPr>
            <w:r>
              <w:rPr>
                <w:rFonts w:hint="eastAsia" w:ascii="宋体" w:hAnsi="宋体" w:eastAsia="Times New Roman" w:cs="宋体"/>
                <w:color w:val="auto"/>
                <w:sz w:val="22"/>
                <w:szCs w:val="22"/>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16FF16EE">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531F6082">
            <w:pPr>
              <w:pStyle w:val="129"/>
              <w:widowControl w:val="0"/>
              <w:rPr>
                <w:rFonts w:eastAsia="Times New Roman"/>
                <w:color w:val="auto"/>
              </w:rPr>
            </w:pPr>
            <w:r>
              <w:rPr>
                <w:rFonts w:eastAsia="Times New Roman"/>
                <w:color w:val="auto"/>
              </w:rPr>
              <w:t>0.00037</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75C62FF8">
            <w:pPr>
              <w:pStyle w:val="129"/>
              <w:widowControl w:val="0"/>
              <w:rPr>
                <w:rFonts w:eastAsia="Times New Roman"/>
                <w:color w:val="auto"/>
              </w:rPr>
            </w:pPr>
            <w:r>
              <w:rPr>
                <w:rFonts w:eastAsia="Times New Roman"/>
                <w:color w:val="auto"/>
              </w:rPr>
              <w:t>240809</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F2B27A4">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459CA3CE">
            <w:pPr>
              <w:pStyle w:val="129"/>
              <w:widowControl w:val="0"/>
              <w:rPr>
                <w:rFonts w:eastAsia="Times New Roman"/>
                <w:color w:val="auto"/>
              </w:rPr>
            </w:pPr>
            <w:r>
              <w:rPr>
                <w:rFonts w:eastAsia="Times New Roman"/>
                <w:color w:val="auto"/>
              </w:rPr>
              <w:t>达标</w:t>
            </w:r>
          </w:p>
        </w:tc>
      </w:tr>
      <w:tr w14:paraId="206EB13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62F31744">
            <w:pPr>
              <w:pStyle w:val="129"/>
              <w:widowControl w:val="0"/>
              <w:rPr>
                <w:rFonts w:eastAsia="Times New Roman"/>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22D06C83">
            <w:pPr>
              <w:pStyle w:val="129"/>
              <w:widowControl w:val="0"/>
              <w:rPr>
                <w:rFonts w:eastAsia="Times New Roman" w:cs="宋体"/>
                <w:color w:val="auto"/>
              </w:rPr>
            </w:pPr>
            <w:r>
              <w:rPr>
                <w:rFonts w:hint="eastAsia" w:ascii="宋体" w:hAnsi="宋体" w:eastAsia="Times New Roman" w:cs="宋体"/>
                <w:color w:val="auto"/>
                <w:sz w:val="22"/>
                <w:szCs w:val="22"/>
              </w:rPr>
              <w:t>乌鲁木齐市第</w:t>
            </w:r>
            <w:r>
              <w:rPr>
                <w:rFonts w:hint="eastAsia" w:eastAsia="Times New Roman"/>
                <w:color w:val="auto"/>
                <w:sz w:val="22"/>
                <w:szCs w:val="22"/>
              </w:rPr>
              <w:t>137</w:t>
            </w:r>
            <w:r>
              <w:rPr>
                <w:rFonts w:hint="eastAsia" w:ascii="宋体" w:hAnsi="宋体" w:eastAsia="Times New Roman" w:cs="宋体"/>
                <w:color w:val="auto"/>
                <w:sz w:val="22"/>
                <w:szCs w:val="22"/>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30DFAB24">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0FB55DD8">
            <w:pPr>
              <w:pStyle w:val="129"/>
              <w:widowControl w:val="0"/>
              <w:rPr>
                <w:rFonts w:eastAsia="Times New Roman"/>
                <w:color w:val="auto"/>
              </w:rPr>
            </w:pPr>
            <w:r>
              <w:rPr>
                <w:rFonts w:eastAsia="Times New Roman"/>
                <w:color w:val="auto"/>
              </w:rPr>
              <w:t>0.00013</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3BDDF22C">
            <w:pPr>
              <w:pStyle w:val="129"/>
              <w:widowControl w:val="0"/>
              <w:rPr>
                <w:rFonts w:eastAsia="Times New Roman"/>
                <w:color w:val="auto"/>
              </w:rPr>
            </w:pPr>
            <w:r>
              <w:rPr>
                <w:rFonts w:eastAsia="Times New Roman"/>
                <w:color w:val="auto"/>
              </w:rPr>
              <w:t>240621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CA05F7F">
            <w:pPr>
              <w:pStyle w:val="129"/>
              <w:widowControl w:val="0"/>
              <w:rPr>
                <w:rFonts w:eastAsia="Times New Roman"/>
                <w:color w:val="auto"/>
              </w:rPr>
            </w:pPr>
            <w:r>
              <w:rPr>
                <w:rFonts w:eastAsia="Times New Roman"/>
                <w:color w:val="auto"/>
              </w:rPr>
              <w:t>0.00</w:t>
            </w:r>
          </w:p>
        </w:tc>
        <w:tc>
          <w:tcPr>
            <w:tcW w:w="972" w:type="dxa"/>
            <w:tcBorders>
              <w:top w:val="single" w:color="000000" w:sz="2" w:space="0"/>
              <w:left w:val="single" w:color="000000" w:sz="2" w:space="0"/>
              <w:bottom w:val="single" w:color="000000" w:sz="2" w:space="0"/>
              <w:right w:val="single" w:color="000000" w:sz="8" w:space="0"/>
            </w:tcBorders>
            <w:vAlign w:val="center"/>
          </w:tcPr>
          <w:p w14:paraId="3F7C58FD">
            <w:pPr>
              <w:pStyle w:val="129"/>
              <w:widowControl w:val="0"/>
              <w:rPr>
                <w:rFonts w:eastAsia="Times New Roman"/>
                <w:color w:val="auto"/>
              </w:rPr>
            </w:pPr>
            <w:r>
              <w:rPr>
                <w:rFonts w:eastAsia="Times New Roman"/>
                <w:color w:val="auto"/>
              </w:rPr>
              <w:t>达标</w:t>
            </w:r>
          </w:p>
        </w:tc>
      </w:tr>
      <w:tr w14:paraId="5CAE46A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top w:val="single" w:color="000000" w:sz="2" w:space="0"/>
              <w:left w:val="single" w:color="000000" w:sz="8" w:space="0"/>
              <w:bottom w:val="single" w:color="000000" w:sz="2" w:space="0"/>
              <w:right w:val="single" w:color="000000" w:sz="2" w:space="0"/>
            </w:tcBorders>
            <w:vAlign w:val="center"/>
          </w:tcPr>
          <w:p w14:paraId="519038A8">
            <w:pPr>
              <w:pStyle w:val="129"/>
              <w:widowControl w:val="0"/>
              <w:rPr>
                <w:rFonts w:eastAsia="Times New Roman"/>
                <w:color w:val="auto"/>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24DA640B">
            <w:pPr>
              <w:pStyle w:val="129"/>
              <w:widowControl w:val="0"/>
              <w:rPr>
                <w:rFonts w:eastAsia="Times New Roman" w:cs="宋体"/>
                <w:color w:val="auto"/>
              </w:rPr>
            </w:pPr>
            <w:r>
              <w:rPr>
                <w:rFonts w:hint="eastAsia" w:ascii="宋体" w:hAnsi="宋体" w:eastAsia="Times New Roman" w:cs="宋体"/>
                <w:color w:val="auto"/>
                <w:sz w:val="22"/>
                <w:szCs w:val="22"/>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693CB9C2">
            <w:pPr>
              <w:pStyle w:val="129"/>
              <w:widowControl w:val="0"/>
              <w:rPr>
                <w:rFonts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59AF376B">
            <w:pPr>
              <w:pStyle w:val="129"/>
              <w:widowControl w:val="0"/>
              <w:rPr>
                <w:rFonts w:eastAsia="Times New Roman"/>
                <w:color w:val="auto"/>
              </w:rPr>
            </w:pPr>
            <w:r>
              <w:rPr>
                <w:rFonts w:eastAsia="Times New Roman"/>
                <w:color w:val="auto"/>
              </w:rPr>
              <w:t>0.00235</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31EDEBF3">
            <w:pPr>
              <w:pStyle w:val="129"/>
              <w:widowControl w:val="0"/>
              <w:rPr>
                <w:rFonts w:eastAsia="Times New Roman"/>
                <w:color w:val="auto"/>
              </w:rPr>
            </w:pPr>
            <w:r>
              <w:rPr>
                <w:rFonts w:eastAsia="Times New Roman"/>
                <w:color w:val="auto"/>
              </w:rPr>
              <w:t>240716</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F818838">
            <w:pPr>
              <w:pStyle w:val="129"/>
              <w:widowControl w:val="0"/>
              <w:rPr>
                <w:rFonts w:eastAsia="Times New Roman"/>
                <w:color w:val="auto"/>
              </w:rPr>
            </w:pPr>
            <w:r>
              <w:rPr>
                <w:rFonts w:eastAsia="Times New Roman"/>
                <w:color w:val="auto"/>
              </w:rPr>
              <w:t>0.02</w:t>
            </w:r>
          </w:p>
        </w:tc>
        <w:tc>
          <w:tcPr>
            <w:tcW w:w="972" w:type="dxa"/>
            <w:tcBorders>
              <w:top w:val="single" w:color="000000" w:sz="2" w:space="0"/>
              <w:left w:val="single" w:color="000000" w:sz="2" w:space="0"/>
              <w:bottom w:val="single" w:color="000000" w:sz="2" w:space="0"/>
              <w:right w:val="single" w:color="000000" w:sz="8" w:space="0"/>
            </w:tcBorders>
            <w:vAlign w:val="center"/>
          </w:tcPr>
          <w:p w14:paraId="775395FF">
            <w:pPr>
              <w:pStyle w:val="129"/>
              <w:widowControl w:val="0"/>
              <w:rPr>
                <w:rFonts w:eastAsia="Times New Roman"/>
                <w:color w:val="auto"/>
              </w:rPr>
            </w:pPr>
            <w:r>
              <w:rPr>
                <w:rFonts w:eastAsia="Times New Roman"/>
                <w:color w:val="auto"/>
              </w:rPr>
              <w:t>达标</w:t>
            </w:r>
          </w:p>
        </w:tc>
      </w:tr>
      <w:tr w14:paraId="2F9234C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restart"/>
            <w:tcBorders>
              <w:top w:val="single" w:color="000000" w:sz="2" w:space="0"/>
              <w:left w:val="single" w:color="000000" w:sz="8" w:space="0"/>
              <w:right w:val="single" w:color="000000" w:sz="2" w:space="0"/>
            </w:tcBorders>
            <w:vAlign w:val="center"/>
          </w:tcPr>
          <w:p w14:paraId="24DA628B">
            <w:pPr>
              <w:pStyle w:val="129"/>
              <w:widowControl w:val="0"/>
              <w:rPr>
                <w:rFonts w:eastAsiaTheme="minorEastAsia"/>
                <w:color w:val="auto"/>
              </w:rPr>
            </w:pPr>
            <w:r>
              <w:rPr>
                <w:rFonts w:hint="eastAsia" w:eastAsiaTheme="minorEastAsia"/>
                <w:color w:val="auto"/>
              </w:rPr>
              <w:t>TSP</w:t>
            </w:r>
          </w:p>
        </w:tc>
        <w:tc>
          <w:tcPr>
            <w:tcW w:w="1492" w:type="dxa"/>
            <w:vMerge w:val="restart"/>
            <w:tcBorders>
              <w:top w:val="single" w:color="000000" w:sz="2" w:space="0"/>
              <w:left w:val="single" w:color="000000" w:sz="2" w:space="0"/>
              <w:right w:val="single" w:color="000000" w:sz="2" w:space="0"/>
            </w:tcBorders>
            <w:noWrap/>
            <w:vAlign w:val="center"/>
          </w:tcPr>
          <w:p w14:paraId="69034676">
            <w:pPr>
              <w:pStyle w:val="129"/>
              <w:widowControl w:val="0"/>
              <w:rPr>
                <w:rFonts w:ascii="宋体" w:hAnsi="宋体" w:eastAsia="Times New Roman" w:cs="宋体"/>
                <w:color w:val="auto"/>
                <w:sz w:val="22"/>
                <w:szCs w:val="22"/>
              </w:rPr>
            </w:pPr>
            <w:r>
              <w:rPr>
                <w:rFonts w:hint="eastAsia" w:ascii="宋体" w:hAnsi="宋体" w:eastAsia="Times New Roman" w:cs="宋体"/>
                <w:color w:val="auto"/>
              </w:rPr>
              <w:t>新达社区</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3DB30026">
            <w:pPr>
              <w:pStyle w:val="129"/>
              <w:widowControl w:val="0"/>
              <w:rPr>
                <w:rFonts w:ascii="宋体" w:hAnsi="宋体"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7197F22">
            <w:pPr>
              <w:pStyle w:val="129"/>
              <w:widowControl w:val="0"/>
              <w:rPr>
                <w:rFonts w:eastAsia="Times New Roman"/>
                <w:color w:val="auto"/>
              </w:rPr>
            </w:pPr>
            <w:r>
              <w:rPr>
                <w:rFonts w:eastAsia="Times New Roman"/>
                <w:color w:val="auto"/>
              </w:rPr>
              <w:t>0.32757</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82F0036">
            <w:pPr>
              <w:pStyle w:val="129"/>
              <w:widowControl w:val="0"/>
              <w:rPr>
                <w:rFonts w:eastAsia="Times New Roman"/>
                <w:color w:val="auto"/>
              </w:rPr>
            </w:pPr>
            <w:r>
              <w:rPr>
                <w:rFonts w:eastAsia="Times New Roman"/>
                <w:color w:val="auto"/>
              </w:rPr>
              <w:t>240723</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E27EEAF">
            <w:pPr>
              <w:pStyle w:val="129"/>
              <w:widowControl w:val="0"/>
              <w:rPr>
                <w:rFonts w:eastAsia="Times New Roman"/>
                <w:color w:val="auto"/>
              </w:rPr>
            </w:pPr>
            <w:r>
              <w:rPr>
                <w:rFonts w:eastAsia="Times New Roman"/>
                <w:color w:val="auto"/>
              </w:rPr>
              <w:t>0.11</w:t>
            </w:r>
          </w:p>
        </w:tc>
        <w:tc>
          <w:tcPr>
            <w:tcW w:w="972" w:type="dxa"/>
            <w:tcBorders>
              <w:top w:val="single" w:color="000000" w:sz="2" w:space="0"/>
              <w:left w:val="single" w:color="000000" w:sz="2" w:space="0"/>
              <w:bottom w:val="single" w:color="000000" w:sz="2" w:space="0"/>
              <w:right w:val="single" w:color="000000" w:sz="8" w:space="0"/>
            </w:tcBorders>
            <w:vAlign w:val="center"/>
          </w:tcPr>
          <w:p w14:paraId="6CFC8BF5">
            <w:pPr>
              <w:pStyle w:val="129"/>
              <w:widowControl w:val="0"/>
              <w:rPr>
                <w:rFonts w:eastAsia="Times New Roman"/>
                <w:color w:val="auto"/>
              </w:rPr>
            </w:pPr>
            <w:r>
              <w:rPr>
                <w:rFonts w:hint="eastAsia" w:ascii="宋体" w:hAnsi="宋体" w:eastAsia="Times New Roman" w:cs="宋体"/>
                <w:color w:val="auto"/>
              </w:rPr>
              <w:t>达标</w:t>
            </w:r>
          </w:p>
        </w:tc>
      </w:tr>
      <w:tr w14:paraId="31E45CF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left w:val="single" w:color="000000" w:sz="8" w:space="0"/>
              <w:right w:val="single" w:color="000000" w:sz="2" w:space="0"/>
            </w:tcBorders>
            <w:vAlign w:val="center"/>
          </w:tcPr>
          <w:p w14:paraId="16FFC363">
            <w:pPr>
              <w:pStyle w:val="129"/>
              <w:widowControl w:val="0"/>
              <w:rPr>
                <w:rFonts w:eastAsia="Times New Roman"/>
                <w:color w:val="auto"/>
              </w:rPr>
            </w:pPr>
          </w:p>
        </w:tc>
        <w:tc>
          <w:tcPr>
            <w:tcW w:w="1492" w:type="dxa"/>
            <w:vMerge w:val="continue"/>
            <w:tcBorders>
              <w:left w:val="single" w:color="000000" w:sz="2" w:space="0"/>
              <w:bottom w:val="single" w:color="000000" w:sz="2" w:space="0"/>
              <w:right w:val="single" w:color="000000" w:sz="2" w:space="0"/>
            </w:tcBorders>
            <w:noWrap/>
            <w:vAlign w:val="center"/>
          </w:tcPr>
          <w:p w14:paraId="6CF76190">
            <w:pPr>
              <w:pStyle w:val="129"/>
              <w:widowControl w:val="0"/>
              <w:rPr>
                <w:rFonts w:ascii="宋体" w:hAnsi="宋体" w:eastAsia="Times New Roman" w:cs="宋体"/>
                <w:color w:val="auto"/>
                <w:sz w:val="22"/>
                <w:szCs w:val="22"/>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6966BEC8">
            <w:pPr>
              <w:pStyle w:val="129"/>
              <w:widowControl w:val="0"/>
              <w:rPr>
                <w:rFonts w:ascii="宋体" w:hAnsi="宋体"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25B1E709">
            <w:pPr>
              <w:pStyle w:val="129"/>
              <w:widowControl w:val="0"/>
              <w:rPr>
                <w:rFonts w:eastAsia="Times New Roman"/>
                <w:color w:val="auto"/>
              </w:rPr>
            </w:pPr>
            <w:r>
              <w:rPr>
                <w:rFonts w:eastAsia="Times New Roman"/>
                <w:color w:val="auto"/>
              </w:rPr>
              <w:t>0.03565</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34F8F8B8">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E6A8A60">
            <w:pPr>
              <w:pStyle w:val="129"/>
              <w:widowControl w:val="0"/>
              <w:rPr>
                <w:rFonts w:eastAsia="Times New Roman"/>
                <w:color w:val="auto"/>
              </w:rPr>
            </w:pPr>
            <w:r>
              <w:rPr>
                <w:rFonts w:eastAsia="Times New Roman"/>
                <w:color w:val="auto"/>
              </w:rPr>
              <w:t>0.02</w:t>
            </w:r>
          </w:p>
        </w:tc>
        <w:tc>
          <w:tcPr>
            <w:tcW w:w="972" w:type="dxa"/>
            <w:tcBorders>
              <w:top w:val="single" w:color="000000" w:sz="2" w:space="0"/>
              <w:left w:val="single" w:color="000000" w:sz="2" w:space="0"/>
              <w:bottom w:val="single" w:color="000000" w:sz="2" w:space="0"/>
              <w:right w:val="single" w:color="000000" w:sz="8" w:space="0"/>
            </w:tcBorders>
            <w:vAlign w:val="center"/>
          </w:tcPr>
          <w:p w14:paraId="684B756A">
            <w:pPr>
              <w:pStyle w:val="129"/>
              <w:widowControl w:val="0"/>
              <w:rPr>
                <w:rFonts w:eastAsia="Times New Roman"/>
                <w:color w:val="auto"/>
              </w:rPr>
            </w:pPr>
            <w:r>
              <w:rPr>
                <w:rFonts w:hint="eastAsia" w:ascii="宋体" w:hAnsi="宋体" w:eastAsia="Times New Roman" w:cs="宋体"/>
                <w:color w:val="auto"/>
              </w:rPr>
              <w:t>达标</w:t>
            </w:r>
          </w:p>
        </w:tc>
      </w:tr>
      <w:tr w14:paraId="266C401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left w:val="single" w:color="000000" w:sz="8" w:space="0"/>
              <w:right w:val="single" w:color="000000" w:sz="2" w:space="0"/>
            </w:tcBorders>
            <w:vAlign w:val="center"/>
          </w:tcPr>
          <w:p w14:paraId="20CF5A6E">
            <w:pPr>
              <w:pStyle w:val="129"/>
              <w:widowControl w:val="0"/>
              <w:rPr>
                <w:rFonts w:eastAsia="Times New Roman"/>
                <w:color w:val="auto"/>
              </w:rPr>
            </w:pPr>
          </w:p>
        </w:tc>
        <w:tc>
          <w:tcPr>
            <w:tcW w:w="1492" w:type="dxa"/>
            <w:vMerge w:val="restart"/>
            <w:tcBorders>
              <w:top w:val="single" w:color="000000" w:sz="2" w:space="0"/>
              <w:left w:val="single" w:color="000000" w:sz="2" w:space="0"/>
              <w:right w:val="single" w:color="000000" w:sz="2" w:space="0"/>
            </w:tcBorders>
            <w:noWrap/>
            <w:vAlign w:val="center"/>
          </w:tcPr>
          <w:p w14:paraId="4DCCFA9D">
            <w:pPr>
              <w:pStyle w:val="129"/>
              <w:widowControl w:val="0"/>
              <w:rPr>
                <w:rFonts w:ascii="宋体" w:hAnsi="宋体" w:eastAsia="Times New Roman" w:cs="宋体"/>
                <w:color w:val="auto"/>
                <w:sz w:val="22"/>
                <w:szCs w:val="22"/>
              </w:rPr>
            </w:pPr>
            <w:r>
              <w:rPr>
                <w:rFonts w:hint="eastAsia" w:ascii="宋体" w:hAnsi="宋体" w:eastAsia="Times New Roman" w:cs="宋体"/>
                <w:color w:val="auto"/>
              </w:rPr>
              <w:t>乌鲁木齐市第</w:t>
            </w:r>
            <w:r>
              <w:rPr>
                <w:rFonts w:eastAsia="Times New Roman" w:cs="宋体"/>
                <w:color w:val="auto"/>
              </w:rPr>
              <w:t>137</w:t>
            </w:r>
            <w:r>
              <w:rPr>
                <w:rFonts w:hint="eastAsia" w:ascii="宋体" w:hAnsi="宋体" w:eastAsia="Times New Roman" w:cs="宋体"/>
                <w:color w:val="auto"/>
              </w:rPr>
              <w:t>中学</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4BB72BE8">
            <w:pPr>
              <w:pStyle w:val="129"/>
              <w:widowControl w:val="0"/>
              <w:rPr>
                <w:rFonts w:ascii="宋体" w:hAnsi="宋体"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4D1C3913">
            <w:pPr>
              <w:pStyle w:val="129"/>
              <w:widowControl w:val="0"/>
              <w:rPr>
                <w:rFonts w:eastAsia="Times New Roman"/>
                <w:color w:val="auto"/>
              </w:rPr>
            </w:pPr>
            <w:r>
              <w:rPr>
                <w:rFonts w:eastAsia="Times New Roman"/>
                <w:color w:val="auto"/>
              </w:rPr>
              <w:t>0.28734</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4EC666EB">
            <w:pPr>
              <w:pStyle w:val="129"/>
              <w:widowControl w:val="0"/>
              <w:rPr>
                <w:rFonts w:eastAsia="Times New Roman"/>
                <w:color w:val="auto"/>
              </w:rPr>
            </w:pPr>
            <w:r>
              <w:rPr>
                <w:rFonts w:eastAsia="Times New Roman"/>
                <w:color w:val="auto"/>
              </w:rPr>
              <w:t>240831</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C67171F">
            <w:pPr>
              <w:pStyle w:val="129"/>
              <w:widowControl w:val="0"/>
              <w:rPr>
                <w:rFonts w:eastAsia="Times New Roman"/>
                <w:color w:val="auto"/>
              </w:rPr>
            </w:pPr>
            <w:r>
              <w:rPr>
                <w:rFonts w:eastAsia="Times New Roman"/>
                <w:color w:val="auto"/>
              </w:rPr>
              <w:t>0.10</w:t>
            </w:r>
          </w:p>
        </w:tc>
        <w:tc>
          <w:tcPr>
            <w:tcW w:w="972" w:type="dxa"/>
            <w:tcBorders>
              <w:top w:val="single" w:color="000000" w:sz="2" w:space="0"/>
              <w:left w:val="single" w:color="000000" w:sz="2" w:space="0"/>
              <w:bottom w:val="single" w:color="000000" w:sz="2" w:space="0"/>
              <w:right w:val="single" w:color="000000" w:sz="8" w:space="0"/>
            </w:tcBorders>
            <w:vAlign w:val="center"/>
          </w:tcPr>
          <w:p w14:paraId="09EEBA43">
            <w:pPr>
              <w:pStyle w:val="129"/>
              <w:widowControl w:val="0"/>
              <w:rPr>
                <w:rFonts w:eastAsia="Times New Roman"/>
                <w:color w:val="auto"/>
              </w:rPr>
            </w:pPr>
            <w:r>
              <w:rPr>
                <w:rFonts w:hint="eastAsia" w:ascii="宋体" w:hAnsi="宋体" w:eastAsia="Times New Roman" w:cs="宋体"/>
                <w:color w:val="auto"/>
              </w:rPr>
              <w:t>达标</w:t>
            </w:r>
          </w:p>
        </w:tc>
      </w:tr>
      <w:tr w14:paraId="0DF5CD7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left w:val="single" w:color="000000" w:sz="8" w:space="0"/>
              <w:right w:val="single" w:color="000000" w:sz="2" w:space="0"/>
            </w:tcBorders>
            <w:vAlign w:val="center"/>
          </w:tcPr>
          <w:p w14:paraId="21E331C2">
            <w:pPr>
              <w:pStyle w:val="129"/>
              <w:widowControl w:val="0"/>
              <w:rPr>
                <w:rFonts w:eastAsia="Times New Roman"/>
                <w:color w:val="auto"/>
              </w:rPr>
            </w:pPr>
          </w:p>
        </w:tc>
        <w:tc>
          <w:tcPr>
            <w:tcW w:w="1492" w:type="dxa"/>
            <w:vMerge w:val="continue"/>
            <w:tcBorders>
              <w:left w:val="single" w:color="000000" w:sz="2" w:space="0"/>
              <w:bottom w:val="single" w:color="000000" w:sz="2" w:space="0"/>
              <w:right w:val="single" w:color="000000" w:sz="2" w:space="0"/>
            </w:tcBorders>
            <w:noWrap/>
            <w:vAlign w:val="center"/>
          </w:tcPr>
          <w:p w14:paraId="23F8A7EF">
            <w:pPr>
              <w:pStyle w:val="129"/>
              <w:widowControl w:val="0"/>
              <w:rPr>
                <w:rFonts w:ascii="宋体" w:hAnsi="宋体" w:eastAsia="Times New Roman" w:cs="宋体"/>
                <w:color w:val="auto"/>
                <w:sz w:val="22"/>
                <w:szCs w:val="22"/>
              </w:rPr>
            </w:pP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154F481B">
            <w:pPr>
              <w:pStyle w:val="129"/>
              <w:widowControl w:val="0"/>
              <w:rPr>
                <w:rFonts w:ascii="宋体" w:hAnsi="宋体"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1D8DE3D7">
            <w:pPr>
              <w:pStyle w:val="129"/>
              <w:widowControl w:val="0"/>
              <w:rPr>
                <w:rFonts w:eastAsia="Times New Roman"/>
                <w:color w:val="auto"/>
              </w:rPr>
            </w:pPr>
            <w:r>
              <w:rPr>
                <w:rFonts w:eastAsia="Times New Roman"/>
                <w:color w:val="auto"/>
              </w:rPr>
              <w:t>0.02245</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676A7323">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9D00337">
            <w:pPr>
              <w:pStyle w:val="129"/>
              <w:widowControl w:val="0"/>
              <w:rPr>
                <w:rFonts w:eastAsia="Times New Roman"/>
                <w:color w:val="auto"/>
              </w:rPr>
            </w:pPr>
            <w:r>
              <w:rPr>
                <w:rFonts w:eastAsia="Times New Roman"/>
                <w:color w:val="auto"/>
              </w:rPr>
              <w:t>0.01</w:t>
            </w:r>
          </w:p>
        </w:tc>
        <w:tc>
          <w:tcPr>
            <w:tcW w:w="972" w:type="dxa"/>
            <w:tcBorders>
              <w:top w:val="single" w:color="000000" w:sz="2" w:space="0"/>
              <w:left w:val="single" w:color="000000" w:sz="2" w:space="0"/>
              <w:bottom w:val="single" w:color="000000" w:sz="2" w:space="0"/>
              <w:right w:val="single" w:color="000000" w:sz="8" w:space="0"/>
            </w:tcBorders>
            <w:vAlign w:val="center"/>
          </w:tcPr>
          <w:p w14:paraId="3C185EB3">
            <w:pPr>
              <w:pStyle w:val="129"/>
              <w:widowControl w:val="0"/>
              <w:rPr>
                <w:rFonts w:eastAsia="Times New Roman"/>
                <w:color w:val="auto"/>
              </w:rPr>
            </w:pPr>
            <w:r>
              <w:rPr>
                <w:rFonts w:hint="eastAsia" w:ascii="宋体" w:hAnsi="宋体" w:eastAsia="Times New Roman" w:cs="宋体"/>
                <w:color w:val="auto"/>
              </w:rPr>
              <w:t>达标</w:t>
            </w:r>
          </w:p>
        </w:tc>
      </w:tr>
      <w:tr w14:paraId="79E960C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left w:val="single" w:color="000000" w:sz="8" w:space="0"/>
              <w:right w:val="single" w:color="000000" w:sz="2" w:space="0"/>
            </w:tcBorders>
            <w:vAlign w:val="center"/>
          </w:tcPr>
          <w:p w14:paraId="29D869A2">
            <w:pPr>
              <w:pStyle w:val="129"/>
              <w:widowControl w:val="0"/>
              <w:rPr>
                <w:rFonts w:eastAsia="Times New Roman"/>
                <w:color w:val="auto"/>
              </w:rPr>
            </w:pPr>
          </w:p>
        </w:tc>
        <w:tc>
          <w:tcPr>
            <w:tcW w:w="1492" w:type="dxa"/>
            <w:vMerge w:val="restart"/>
            <w:tcBorders>
              <w:top w:val="single" w:color="000000" w:sz="2" w:space="0"/>
              <w:left w:val="single" w:color="000000" w:sz="2" w:space="0"/>
              <w:right w:val="single" w:color="000000" w:sz="2" w:space="0"/>
            </w:tcBorders>
            <w:noWrap/>
            <w:vAlign w:val="center"/>
          </w:tcPr>
          <w:p w14:paraId="6E593B0C">
            <w:pPr>
              <w:pStyle w:val="129"/>
              <w:widowControl w:val="0"/>
              <w:rPr>
                <w:rFonts w:ascii="宋体" w:hAnsi="宋体" w:eastAsia="Times New Roman" w:cs="宋体"/>
                <w:color w:val="auto"/>
                <w:sz w:val="22"/>
                <w:szCs w:val="22"/>
              </w:rPr>
            </w:pPr>
            <w:r>
              <w:rPr>
                <w:rFonts w:hint="eastAsia" w:ascii="宋体" w:hAnsi="宋体" w:eastAsia="Times New Roman" w:cs="宋体"/>
                <w:color w:val="auto"/>
              </w:rPr>
              <w:t>网格</w:t>
            </w:r>
          </w:p>
        </w:tc>
        <w:tc>
          <w:tcPr>
            <w:tcW w:w="1492" w:type="dxa"/>
            <w:tcBorders>
              <w:top w:val="single" w:color="000000" w:sz="2" w:space="0"/>
              <w:left w:val="single" w:color="000000" w:sz="2" w:space="0"/>
              <w:bottom w:val="single" w:color="000000" w:sz="2" w:space="0"/>
              <w:right w:val="single" w:color="000000" w:sz="2" w:space="0"/>
            </w:tcBorders>
            <w:noWrap/>
            <w:vAlign w:val="center"/>
          </w:tcPr>
          <w:p w14:paraId="703B3B56">
            <w:pPr>
              <w:pStyle w:val="129"/>
              <w:widowControl w:val="0"/>
              <w:rPr>
                <w:rFonts w:ascii="宋体" w:hAnsi="宋体" w:eastAsia="Times New Roman"/>
                <w:color w:val="auto"/>
              </w:rPr>
            </w:pPr>
            <w:r>
              <w:rPr>
                <w:rFonts w:hint="eastAsia" w:ascii="宋体" w:hAnsi="宋体" w:eastAsia="Times New Roman"/>
                <w:color w:val="auto"/>
              </w:rPr>
              <w:t>日平均</w:t>
            </w:r>
          </w:p>
        </w:tc>
        <w:tc>
          <w:tcPr>
            <w:tcW w:w="1339" w:type="dxa"/>
            <w:tcBorders>
              <w:top w:val="single" w:color="000000" w:sz="2" w:space="0"/>
              <w:left w:val="single" w:color="000000" w:sz="2" w:space="0"/>
              <w:bottom w:val="single" w:color="000000" w:sz="2" w:space="0"/>
              <w:right w:val="single" w:color="000000" w:sz="2" w:space="0"/>
            </w:tcBorders>
            <w:noWrap/>
            <w:vAlign w:val="center"/>
          </w:tcPr>
          <w:p w14:paraId="2B603560">
            <w:pPr>
              <w:pStyle w:val="129"/>
              <w:widowControl w:val="0"/>
              <w:rPr>
                <w:rFonts w:eastAsia="Times New Roman"/>
                <w:color w:val="auto"/>
              </w:rPr>
            </w:pPr>
            <w:r>
              <w:rPr>
                <w:rFonts w:eastAsia="Times New Roman"/>
                <w:color w:val="auto"/>
              </w:rPr>
              <w:t>2.90223</w:t>
            </w:r>
          </w:p>
        </w:tc>
        <w:tc>
          <w:tcPr>
            <w:tcW w:w="1490" w:type="dxa"/>
            <w:tcBorders>
              <w:top w:val="single" w:color="000000" w:sz="2" w:space="0"/>
              <w:left w:val="single" w:color="000000" w:sz="2" w:space="0"/>
              <w:bottom w:val="single" w:color="000000" w:sz="2" w:space="0"/>
              <w:right w:val="single" w:color="000000" w:sz="2" w:space="0"/>
            </w:tcBorders>
            <w:noWrap/>
            <w:vAlign w:val="center"/>
          </w:tcPr>
          <w:p w14:paraId="24EC6357">
            <w:pPr>
              <w:pStyle w:val="129"/>
              <w:widowControl w:val="0"/>
              <w:rPr>
                <w:rFonts w:eastAsia="Times New Roman"/>
                <w:color w:val="auto"/>
              </w:rPr>
            </w:pPr>
            <w:r>
              <w:rPr>
                <w:rFonts w:eastAsia="Times New Roman"/>
                <w:color w:val="auto"/>
              </w:rPr>
              <w:t>241006</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BABD4AD">
            <w:pPr>
              <w:pStyle w:val="129"/>
              <w:widowControl w:val="0"/>
              <w:rPr>
                <w:rFonts w:eastAsia="Times New Roman"/>
                <w:color w:val="auto"/>
              </w:rPr>
            </w:pPr>
            <w:r>
              <w:rPr>
                <w:rFonts w:eastAsia="Times New Roman"/>
                <w:color w:val="auto"/>
              </w:rPr>
              <w:t>0.97</w:t>
            </w:r>
          </w:p>
        </w:tc>
        <w:tc>
          <w:tcPr>
            <w:tcW w:w="972" w:type="dxa"/>
            <w:tcBorders>
              <w:top w:val="single" w:color="000000" w:sz="2" w:space="0"/>
              <w:left w:val="single" w:color="000000" w:sz="2" w:space="0"/>
              <w:bottom w:val="single" w:color="000000" w:sz="2" w:space="0"/>
              <w:right w:val="single" w:color="000000" w:sz="8" w:space="0"/>
            </w:tcBorders>
            <w:vAlign w:val="center"/>
          </w:tcPr>
          <w:p w14:paraId="2A0AC30C">
            <w:pPr>
              <w:pStyle w:val="129"/>
              <w:widowControl w:val="0"/>
              <w:rPr>
                <w:rFonts w:eastAsia="Times New Roman"/>
                <w:color w:val="auto"/>
              </w:rPr>
            </w:pPr>
            <w:r>
              <w:rPr>
                <w:rFonts w:hint="eastAsia" w:ascii="宋体" w:hAnsi="宋体" w:eastAsia="Times New Roman" w:cs="宋体"/>
                <w:color w:val="auto"/>
              </w:rPr>
              <w:t>达标</w:t>
            </w:r>
          </w:p>
        </w:tc>
      </w:tr>
      <w:tr w14:paraId="38CD144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881" w:type="dxa"/>
            <w:vMerge w:val="continue"/>
            <w:tcBorders>
              <w:left w:val="single" w:color="000000" w:sz="8" w:space="0"/>
              <w:bottom w:val="single" w:color="000000" w:sz="2" w:space="0"/>
              <w:right w:val="single" w:color="000000" w:sz="2" w:space="0"/>
            </w:tcBorders>
            <w:vAlign w:val="center"/>
          </w:tcPr>
          <w:p w14:paraId="09337038">
            <w:pPr>
              <w:pStyle w:val="129"/>
              <w:widowControl w:val="0"/>
              <w:rPr>
                <w:rFonts w:eastAsia="Times New Roman"/>
                <w:color w:val="auto"/>
              </w:rPr>
            </w:pPr>
          </w:p>
        </w:tc>
        <w:tc>
          <w:tcPr>
            <w:tcW w:w="1492" w:type="dxa"/>
            <w:vMerge w:val="continue"/>
            <w:tcBorders>
              <w:left w:val="single" w:color="000000" w:sz="2" w:space="0"/>
              <w:bottom w:val="single" w:color="000000" w:sz="8" w:space="0"/>
              <w:right w:val="single" w:color="000000" w:sz="2" w:space="0"/>
            </w:tcBorders>
            <w:noWrap/>
            <w:vAlign w:val="center"/>
          </w:tcPr>
          <w:p w14:paraId="1564BC6F">
            <w:pPr>
              <w:pStyle w:val="129"/>
              <w:widowControl w:val="0"/>
              <w:rPr>
                <w:rFonts w:ascii="宋体" w:hAnsi="宋体" w:eastAsia="Times New Roman" w:cs="宋体"/>
                <w:color w:val="auto"/>
                <w:sz w:val="22"/>
                <w:szCs w:val="22"/>
              </w:rPr>
            </w:pPr>
          </w:p>
        </w:tc>
        <w:tc>
          <w:tcPr>
            <w:tcW w:w="1492" w:type="dxa"/>
            <w:tcBorders>
              <w:top w:val="single" w:color="000000" w:sz="2" w:space="0"/>
              <w:left w:val="single" w:color="000000" w:sz="2" w:space="0"/>
              <w:bottom w:val="single" w:color="000000" w:sz="8" w:space="0"/>
              <w:right w:val="single" w:color="000000" w:sz="2" w:space="0"/>
            </w:tcBorders>
            <w:noWrap/>
            <w:vAlign w:val="center"/>
          </w:tcPr>
          <w:p w14:paraId="549DA89E">
            <w:pPr>
              <w:pStyle w:val="129"/>
              <w:widowControl w:val="0"/>
              <w:rPr>
                <w:rFonts w:ascii="宋体" w:hAnsi="宋体" w:eastAsia="Times New Roman"/>
                <w:color w:val="auto"/>
              </w:rPr>
            </w:pPr>
            <w:r>
              <w:rPr>
                <w:rFonts w:hint="eastAsia" w:ascii="宋体" w:hAnsi="宋体" w:eastAsia="Times New Roman"/>
                <w:color w:val="auto"/>
              </w:rPr>
              <w:t>全时段</w:t>
            </w:r>
          </w:p>
        </w:tc>
        <w:tc>
          <w:tcPr>
            <w:tcW w:w="1339" w:type="dxa"/>
            <w:tcBorders>
              <w:top w:val="single" w:color="000000" w:sz="2" w:space="0"/>
              <w:left w:val="single" w:color="000000" w:sz="2" w:space="0"/>
              <w:bottom w:val="single" w:color="000000" w:sz="8" w:space="0"/>
              <w:right w:val="single" w:color="000000" w:sz="2" w:space="0"/>
            </w:tcBorders>
            <w:noWrap/>
            <w:vAlign w:val="center"/>
          </w:tcPr>
          <w:p w14:paraId="3F5A9B60">
            <w:pPr>
              <w:pStyle w:val="129"/>
              <w:widowControl w:val="0"/>
              <w:rPr>
                <w:rFonts w:eastAsia="Times New Roman"/>
                <w:color w:val="auto"/>
              </w:rPr>
            </w:pPr>
            <w:r>
              <w:rPr>
                <w:rFonts w:eastAsia="Times New Roman"/>
                <w:color w:val="auto"/>
              </w:rPr>
              <w:t>0.61384</w:t>
            </w:r>
          </w:p>
        </w:tc>
        <w:tc>
          <w:tcPr>
            <w:tcW w:w="1490" w:type="dxa"/>
            <w:tcBorders>
              <w:top w:val="single" w:color="000000" w:sz="2" w:space="0"/>
              <w:left w:val="single" w:color="000000" w:sz="2" w:space="0"/>
              <w:bottom w:val="single" w:color="000000" w:sz="8" w:space="0"/>
              <w:right w:val="single" w:color="000000" w:sz="2" w:space="0"/>
            </w:tcBorders>
            <w:noWrap/>
            <w:vAlign w:val="center"/>
          </w:tcPr>
          <w:p w14:paraId="120793E2">
            <w:pPr>
              <w:pStyle w:val="129"/>
              <w:widowControl w:val="0"/>
              <w:rPr>
                <w:rFonts w:eastAsia="Times New Roman"/>
                <w:color w:val="auto"/>
              </w:rPr>
            </w:pPr>
            <w:r>
              <w:rPr>
                <w:rFonts w:hint="eastAsia" w:ascii="宋体" w:hAnsi="宋体" w:eastAsia="Times New Roman" w:cs="宋体"/>
                <w:color w:val="auto"/>
              </w:rPr>
              <w:t>平均值</w:t>
            </w:r>
          </w:p>
        </w:tc>
        <w:tc>
          <w:tcPr>
            <w:tcW w:w="1044" w:type="dxa"/>
            <w:tcBorders>
              <w:top w:val="single" w:color="000000" w:sz="2" w:space="0"/>
              <w:left w:val="single" w:color="000000" w:sz="2" w:space="0"/>
              <w:bottom w:val="single" w:color="000000" w:sz="8" w:space="0"/>
              <w:right w:val="single" w:color="000000" w:sz="2" w:space="0"/>
            </w:tcBorders>
            <w:noWrap/>
            <w:vAlign w:val="center"/>
          </w:tcPr>
          <w:p w14:paraId="47C10F0E">
            <w:pPr>
              <w:pStyle w:val="129"/>
              <w:widowControl w:val="0"/>
              <w:rPr>
                <w:rFonts w:eastAsia="Times New Roman"/>
                <w:color w:val="auto"/>
              </w:rPr>
            </w:pPr>
            <w:r>
              <w:rPr>
                <w:rFonts w:eastAsia="Times New Roman"/>
                <w:color w:val="auto"/>
              </w:rPr>
              <w:t>0.31</w:t>
            </w:r>
          </w:p>
        </w:tc>
        <w:tc>
          <w:tcPr>
            <w:tcW w:w="972" w:type="dxa"/>
            <w:tcBorders>
              <w:top w:val="single" w:color="000000" w:sz="2" w:space="0"/>
              <w:left w:val="single" w:color="000000" w:sz="2" w:space="0"/>
              <w:bottom w:val="single" w:color="000000" w:sz="8" w:space="0"/>
              <w:right w:val="single" w:color="000000" w:sz="8" w:space="0"/>
            </w:tcBorders>
            <w:vAlign w:val="center"/>
          </w:tcPr>
          <w:p w14:paraId="546B70A4">
            <w:pPr>
              <w:pStyle w:val="129"/>
              <w:widowControl w:val="0"/>
              <w:rPr>
                <w:rFonts w:eastAsia="Times New Roman"/>
                <w:color w:val="auto"/>
              </w:rPr>
            </w:pPr>
            <w:r>
              <w:rPr>
                <w:rFonts w:hint="eastAsia" w:ascii="宋体" w:hAnsi="宋体" w:eastAsia="Times New Roman" w:cs="宋体"/>
                <w:color w:val="auto"/>
              </w:rPr>
              <w:t>达标</w:t>
            </w:r>
          </w:p>
        </w:tc>
      </w:tr>
    </w:tbl>
    <w:p w14:paraId="2E8FB352">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59DF2E39">
      <w:pPr>
        <w:pStyle w:val="5"/>
        <w:rPr>
          <w:color w:val="auto"/>
        </w:rPr>
      </w:pPr>
      <w:r>
        <w:rPr>
          <w:rFonts w:hint="eastAsia"/>
          <w:color w:val="auto"/>
        </w:rPr>
        <w:t>主要污染物环境影响叠加浓度</w:t>
      </w:r>
    </w:p>
    <w:p w14:paraId="61FD2DF3">
      <w:pPr>
        <w:pStyle w:val="132"/>
        <w:rPr>
          <w:color w:val="auto"/>
        </w:rPr>
      </w:pPr>
      <w:r>
        <w:rPr>
          <w:rFonts w:hint="eastAsia"/>
          <w:color w:val="auto"/>
        </w:rPr>
        <w:t xml:space="preserve">项目正常排放条件下，项目排放的主要污染物叠加现状浓度后环境空气保护目标和网格点主要污染物保证率日平均浓度和年平均质量浓度预测结果见表 </w:t>
      </w:r>
      <w:r>
        <w:rPr>
          <w:color w:val="auto"/>
        </w:rPr>
        <w:t>5.2</w:t>
      </w:r>
      <w:r>
        <w:rPr>
          <w:rFonts w:hint="eastAsia"/>
          <w:color w:val="auto"/>
        </w:rPr>
        <w:t>-19。</w:t>
      </w:r>
    </w:p>
    <w:p w14:paraId="48D8BD09">
      <w:pPr>
        <w:pStyle w:val="132"/>
        <w:rPr>
          <w:color w:val="auto"/>
        </w:rPr>
      </w:pPr>
      <w:r>
        <w:rPr>
          <w:rFonts w:hint="eastAsia"/>
          <w:color w:val="auto"/>
        </w:rPr>
        <w:t xml:space="preserve">主要污染物叠加现状浓度后，主要污染物保证率日平均质量浓度分布图和年平均质量浓度分布见图 </w:t>
      </w:r>
      <w:r>
        <w:rPr>
          <w:color w:val="auto"/>
        </w:rPr>
        <w:t>5.2</w:t>
      </w:r>
      <w:r>
        <w:rPr>
          <w:rFonts w:hint="eastAsia"/>
          <w:color w:val="auto"/>
        </w:rPr>
        <w:t>-8～</w:t>
      </w:r>
      <w:r>
        <w:rPr>
          <w:color w:val="auto"/>
        </w:rPr>
        <w:t>图 5.2</w:t>
      </w:r>
      <w:r>
        <w:rPr>
          <w:rFonts w:hint="eastAsia"/>
          <w:color w:val="auto"/>
        </w:rPr>
        <w:t>-18。</w:t>
      </w:r>
    </w:p>
    <w:p w14:paraId="3DD8E27A">
      <w:pPr>
        <w:pStyle w:val="132"/>
        <w:rPr>
          <w:color w:val="auto"/>
        </w:rPr>
      </w:pPr>
      <w:r>
        <w:rPr>
          <w:rFonts w:hint="eastAsia"/>
          <w:color w:val="auto"/>
        </w:rPr>
        <w:t>由表5.2-19知，SO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叠加背景值后，保证率日平均质量浓度和年平均质量浓度均符合《环境空气质量标准》（GB3095-2026）二级标准；PM</w:t>
      </w:r>
      <w:r>
        <w:rPr>
          <w:rFonts w:hint="eastAsia"/>
          <w:color w:val="auto"/>
          <w:vertAlign w:val="subscript"/>
        </w:rPr>
        <w:t>10</w:t>
      </w:r>
      <w:r>
        <w:rPr>
          <w:rFonts w:hint="eastAsia"/>
          <w:color w:val="auto"/>
        </w:rPr>
        <w:t>叠加背景值后，保证率日平均质量浓度和年平均质量浓度均超过《环境空气质量标准》（GB3095-2026）二级标准；PM</w:t>
      </w:r>
      <w:r>
        <w:rPr>
          <w:rFonts w:hint="eastAsia"/>
          <w:color w:val="auto"/>
          <w:vertAlign w:val="subscript"/>
        </w:rPr>
        <w:t>2.5</w:t>
      </w:r>
      <w:r>
        <w:rPr>
          <w:rFonts w:hint="eastAsia"/>
          <w:color w:val="auto"/>
        </w:rPr>
        <w:t>叠加背景值后，年平均质量浓度均符合《环境空气质量标准》（GB3095-2026）二级标准，保证率日平均质量浓度超过《环境空气质量标准》（GB3095-2026）二级标准；TSP叠加背景值后，</w:t>
      </w:r>
      <w:r>
        <w:rPr>
          <w:color w:val="auto"/>
        </w:rPr>
        <w:t>短期浓度</w:t>
      </w:r>
      <w:r>
        <w:rPr>
          <w:rFonts w:hint="eastAsia"/>
          <w:color w:val="auto"/>
        </w:rPr>
        <w:t>符合《环境空气质量标准》（GB3095-2026）二级标准；</w:t>
      </w:r>
      <w:r>
        <w:rPr>
          <w:color w:val="auto"/>
        </w:rPr>
        <w:t>氨、</w:t>
      </w:r>
      <w:r>
        <w:rPr>
          <w:rFonts w:hint="eastAsia"/>
          <w:color w:val="auto"/>
        </w:rPr>
        <w:t>硫化氢、</w:t>
      </w:r>
      <w:r>
        <w:rPr>
          <w:color w:val="auto"/>
        </w:rPr>
        <w:t>锰及其化合物</w:t>
      </w:r>
      <w:r>
        <w:rPr>
          <w:rFonts w:hint="eastAsia"/>
          <w:color w:val="auto"/>
        </w:rPr>
        <w:t>叠加背景值后，</w:t>
      </w:r>
      <w:r>
        <w:rPr>
          <w:color w:val="auto"/>
        </w:rPr>
        <w:t>短期浓度满足《环境影响评价技术导则 大气环境》（HJ 2.2-2018）附录D标准；镍及其化合物</w:t>
      </w:r>
      <w:r>
        <w:rPr>
          <w:rFonts w:hint="eastAsia"/>
          <w:color w:val="auto"/>
        </w:rPr>
        <w:t>叠加背景值后，</w:t>
      </w:r>
      <w:r>
        <w:rPr>
          <w:color w:val="auto"/>
        </w:rPr>
        <w:t>短期浓度</w:t>
      </w:r>
      <w:r>
        <w:rPr>
          <w:rFonts w:hint="eastAsia"/>
          <w:color w:val="auto"/>
        </w:rPr>
        <w:t>满足</w:t>
      </w:r>
      <w:r>
        <w:rPr>
          <w:color w:val="auto"/>
        </w:rPr>
        <w:t>《大气污染物综合排放标准详解》（国家环境保护局科技标准司制定，1997年第一版）中的小时值</w:t>
      </w:r>
      <w:r>
        <w:rPr>
          <w:rFonts w:hint="eastAsia"/>
          <w:color w:val="auto"/>
        </w:rPr>
        <w:t>0.03</w:t>
      </w:r>
      <w:r>
        <w:rPr>
          <w:color w:val="auto"/>
        </w:rPr>
        <w:t>mg/m</w:t>
      </w:r>
      <w:r>
        <w:rPr>
          <w:color w:val="auto"/>
          <w:vertAlign w:val="superscript"/>
        </w:rPr>
        <w:t>3</w:t>
      </w:r>
      <w:r>
        <w:rPr>
          <w:color w:val="auto"/>
        </w:rPr>
        <w:t>。</w:t>
      </w:r>
    </w:p>
    <w:p w14:paraId="447544DA">
      <w:pPr>
        <w:pStyle w:val="1060"/>
        <w:rPr>
          <w:color w:val="auto"/>
        </w:rPr>
      </w:pPr>
      <w:bookmarkStart w:id="302" w:name="_Ref195124857"/>
      <w:bookmarkEnd w:id="302"/>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17</w:t>
      </w:r>
      <w:r>
        <w:rPr>
          <w:color w:val="auto"/>
        </w:rPr>
        <w:fldChar w:fldCharType="end"/>
      </w:r>
      <w:r>
        <w:rPr>
          <w:rFonts w:hint="eastAsia"/>
          <w:color w:val="auto"/>
        </w:rPr>
        <w:t xml:space="preserve"> </w:t>
      </w:r>
      <w:r>
        <w:rPr>
          <w:color w:val="auto"/>
        </w:rPr>
        <w:t xml:space="preserve"> </w:t>
      </w:r>
      <w:r>
        <w:rPr>
          <w:rFonts w:hint="eastAsia"/>
          <w:color w:val="auto"/>
        </w:rPr>
        <w:t xml:space="preserve">  </w:t>
      </w:r>
      <w:r>
        <w:rPr>
          <w:color w:val="auto"/>
        </w:rPr>
        <w:t>叠加后环境质量浓度预测结果表</w:t>
      </w:r>
    </w:p>
    <w:tbl>
      <w:tblPr>
        <w:tblStyle w:val="2429"/>
        <w:tblW w:w="5000"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740"/>
        <w:gridCol w:w="1355"/>
        <w:gridCol w:w="1053"/>
        <w:gridCol w:w="1051"/>
        <w:gridCol w:w="752"/>
        <w:gridCol w:w="1045"/>
        <w:gridCol w:w="1387"/>
        <w:gridCol w:w="711"/>
        <w:gridCol w:w="692"/>
      </w:tblGrid>
      <w:tr w14:paraId="09A9B07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tcBorders>
              <w:top w:val="single" w:color="000000" w:sz="8" w:space="0"/>
              <w:left w:val="single" w:color="000000" w:sz="8" w:space="0"/>
              <w:bottom w:val="single" w:color="000000" w:sz="2" w:space="0"/>
              <w:right w:val="single" w:color="000000" w:sz="2" w:space="0"/>
            </w:tcBorders>
            <w:noWrap/>
            <w:vAlign w:val="center"/>
          </w:tcPr>
          <w:p w14:paraId="61DF3390">
            <w:pPr>
              <w:pStyle w:val="129"/>
              <w:widowControl w:val="0"/>
              <w:rPr>
                <w:rFonts w:eastAsia="Times New Roman"/>
                <w:color w:val="auto"/>
              </w:rPr>
            </w:pPr>
            <w:r>
              <w:rPr>
                <w:rFonts w:hint="eastAsia" w:eastAsia="Times New Roman"/>
                <w:color w:val="auto"/>
              </w:rPr>
              <w:t>污染物</w:t>
            </w:r>
          </w:p>
        </w:tc>
        <w:tc>
          <w:tcPr>
            <w:tcW w:w="1343" w:type="dxa"/>
            <w:tcBorders>
              <w:top w:val="single" w:color="000000" w:sz="8" w:space="0"/>
              <w:left w:val="single" w:color="000000" w:sz="2" w:space="0"/>
              <w:bottom w:val="single" w:color="000000" w:sz="2" w:space="0"/>
              <w:right w:val="single" w:color="000000" w:sz="2" w:space="0"/>
            </w:tcBorders>
            <w:noWrap/>
            <w:vAlign w:val="center"/>
          </w:tcPr>
          <w:p w14:paraId="4ACA0962">
            <w:pPr>
              <w:pStyle w:val="129"/>
              <w:widowControl w:val="0"/>
              <w:rPr>
                <w:rFonts w:eastAsia="Times New Roman"/>
                <w:color w:val="auto"/>
              </w:rPr>
            </w:pPr>
            <w:r>
              <w:rPr>
                <w:rFonts w:hint="eastAsia" w:eastAsia="Times New Roman"/>
                <w:color w:val="auto"/>
              </w:rPr>
              <w:t>预测点</w:t>
            </w:r>
          </w:p>
        </w:tc>
        <w:tc>
          <w:tcPr>
            <w:tcW w:w="1044" w:type="dxa"/>
            <w:tcBorders>
              <w:top w:val="single" w:color="000000" w:sz="8" w:space="0"/>
              <w:left w:val="single" w:color="000000" w:sz="2" w:space="0"/>
              <w:bottom w:val="single" w:color="000000" w:sz="2" w:space="0"/>
              <w:right w:val="single" w:color="000000" w:sz="2" w:space="0"/>
            </w:tcBorders>
            <w:noWrap/>
            <w:vAlign w:val="center"/>
          </w:tcPr>
          <w:p w14:paraId="43D6C7EC">
            <w:pPr>
              <w:pStyle w:val="129"/>
              <w:widowControl w:val="0"/>
              <w:rPr>
                <w:rFonts w:eastAsia="Times New Roman"/>
                <w:color w:val="auto"/>
              </w:rPr>
            </w:pPr>
            <w:r>
              <w:rPr>
                <w:rFonts w:hint="eastAsia" w:eastAsia="Times New Roman"/>
                <w:color w:val="auto"/>
              </w:rPr>
              <w:t>平均时段</w:t>
            </w:r>
          </w:p>
        </w:tc>
        <w:tc>
          <w:tcPr>
            <w:tcW w:w="1042" w:type="dxa"/>
            <w:tcBorders>
              <w:top w:val="single" w:color="000000" w:sz="8" w:space="0"/>
              <w:left w:val="single" w:color="000000" w:sz="2" w:space="0"/>
              <w:bottom w:val="single" w:color="000000" w:sz="2" w:space="0"/>
              <w:right w:val="single" w:color="000000" w:sz="2" w:space="0"/>
            </w:tcBorders>
            <w:noWrap/>
            <w:vAlign w:val="center"/>
          </w:tcPr>
          <w:p w14:paraId="21C081FA">
            <w:pPr>
              <w:pStyle w:val="129"/>
              <w:widowControl w:val="0"/>
              <w:rPr>
                <w:rFonts w:eastAsia="Times New Roman"/>
                <w:color w:val="auto"/>
              </w:rPr>
            </w:pPr>
            <w:r>
              <w:rPr>
                <w:rFonts w:hint="eastAsia" w:eastAsia="Times New Roman"/>
                <w:color w:val="auto"/>
              </w:rPr>
              <w:t>贡献值</w:t>
            </w:r>
            <w:r>
              <w:rPr>
                <w:rFonts w:eastAsia="Times New Roman"/>
                <w:color w:val="auto"/>
              </w:rPr>
              <w:t>/</w:t>
            </w:r>
          </w:p>
          <w:p w14:paraId="7147141B">
            <w:pPr>
              <w:pStyle w:val="129"/>
              <w:widowControl w:val="0"/>
              <w:rPr>
                <w:rFonts w:eastAsia="Times New Roman"/>
                <w:color w:val="auto"/>
              </w:rPr>
            </w:pPr>
            <w:r>
              <w:rPr>
                <w:rFonts w:eastAsia="Times New Roman"/>
                <w:color w:val="auto"/>
              </w:rPr>
              <w:t>(μg/m</w:t>
            </w:r>
            <w:r>
              <w:rPr>
                <w:rFonts w:eastAsia="Times New Roman"/>
                <w:color w:val="auto"/>
                <w:vertAlign w:val="superscript"/>
              </w:rPr>
              <w:t>3</w:t>
            </w:r>
            <w:r>
              <w:rPr>
                <w:rFonts w:eastAsia="Times New Roman"/>
                <w:color w:val="auto"/>
              </w:rPr>
              <w:t>)</w:t>
            </w:r>
          </w:p>
        </w:tc>
        <w:tc>
          <w:tcPr>
            <w:tcW w:w="745" w:type="dxa"/>
            <w:tcBorders>
              <w:top w:val="single" w:color="000000" w:sz="8" w:space="0"/>
              <w:left w:val="single" w:color="000000" w:sz="2" w:space="0"/>
              <w:bottom w:val="single" w:color="000000" w:sz="2" w:space="0"/>
              <w:right w:val="single" w:color="000000" w:sz="2" w:space="0"/>
            </w:tcBorders>
            <w:noWrap/>
            <w:vAlign w:val="center"/>
          </w:tcPr>
          <w:p w14:paraId="4EDB4A2A">
            <w:pPr>
              <w:pStyle w:val="129"/>
              <w:widowControl w:val="0"/>
              <w:rPr>
                <w:rFonts w:eastAsia="Times New Roman"/>
                <w:color w:val="auto"/>
              </w:rPr>
            </w:pPr>
            <w:r>
              <w:rPr>
                <w:rFonts w:hint="eastAsia" w:eastAsia="Times New Roman"/>
                <w:color w:val="auto"/>
              </w:rPr>
              <w:t>占标率</w:t>
            </w:r>
            <w:r>
              <w:rPr>
                <w:rFonts w:eastAsia="Times New Roman"/>
                <w:color w:val="auto"/>
              </w:rPr>
              <w:t>/%</w:t>
            </w:r>
          </w:p>
        </w:tc>
        <w:tc>
          <w:tcPr>
            <w:tcW w:w="1036" w:type="dxa"/>
            <w:tcBorders>
              <w:top w:val="single" w:color="000000" w:sz="8" w:space="0"/>
              <w:left w:val="single" w:color="000000" w:sz="2" w:space="0"/>
              <w:bottom w:val="single" w:color="000000" w:sz="2" w:space="0"/>
              <w:right w:val="single" w:color="000000" w:sz="2" w:space="0"/>
            </w:tcBorders>
            <w:vAlign w:val="center"/>
          </w:tcPr>
          <w:p w14:paraId="4DB91EEC">
            <w:pPr>
              <w:pStyle w:val="129"/>
              <w:widowControl w:val="0"/>
              <w:rPr>
                <w:rFonts w:eastAsia="Times New Roman"/>
                <w:color w:val="auto"/>
              </w:rPr>
            </w:pPr>
            <w:r>
              <w:rPr>
                <w:rFonts w:hint="eastAsia" w:eastAsia="Times New Roman"/>
                <w:color w:val="auto"/>
              </w:rPr>
              <w:t>现状浓度</w:t>
            </w:r>
            <w:r>
              <w:rPr>
                <w:rFonts w:eastAsia="Times New Roman"/>
                <w:color w:val="auto"/>
              </w:rPr>
              <w:t>/(μg/m</w:t>
            </w:r>
            <w:r>
              <w:rPr>
                <w:rFonts w:eastAsia="Times New Roman"/>
                <w:color w:val="auto"/>
                <w:vertAlign w:val="superscript"/>
              </w:rPr>
              <w:t>3</w:t>
            </w:r>
            <w:r>
              <w:rPr>
                <w:rFonts w:eastAsia="Times New Roman"/>
                <w:color w:val="auto"/>
              </w:rPr>
              <w:t>)</w:t>
            </w:r>
          </w:p>
        </w:tc>
        <w:tc>
          <w:tcPr>
            <w:tcW w:w="1375" w:type="dxa"/>
            <w:tcBorders>
              <w:top w:val="single" w:color="000000" w:sz="8" w:space="0"/>
              <w:left w:val="single" w:color="000000" w:sz="2" w:space="0"/>
              <w:bottom w:val="single" w:color="000000" w:sz="2" w:space="0"/>
              <w:right w:val="single" w:color="000000" w:sz="2" w:space="0"/>
            </w:tcBorders>
            <w:vAlign w:val="center"/>
          </w:tcPr>
          <w:p w14:paraId="51E432A1">
            <w:pPr>
              <w:pStyle w:val="129"/>
              <w:widowControl w:val="0"/>
              <w:rPr>
                <w:rFonts w:eastAsia="Times New Roman"/>
                <w:color w:val="auto"/>
              </w:rPr>
            </w:pPr>
            <w:r>
              <w:rPr>
                <w:rFonts w:hint="eastAsia" w:eastAsia="Times New Roman"/>
                <w:color w:val="auto"/>
              </w:rPr>
              <w:t>叠加后浓度</w:t>
            </w:r>
            <w:r>
              <w:rPr>
                <w:rFonts w:eastAsia="Times New Roman"/>
                <w:color w:val="auto"/>
              </w:rPr>
              <w:t>/(μg/m</w:t>
            </w:r>
            <w:r>
              <w:rPr>
                <w:rFonts w:eastAsia="Times New Roman"/>
                <w:color w:val="auto"/>
                <w:vertAlign w:val="superscript"/>
              </w:rPr>
              <w:t>3</w:t>
            </w:r>
            <w:r>
              <w:rPr>
                <w:rFonts w:eastAsia="Times New Roman"/>
                <w:color w:val="auto"/>
              </w:rPr>
              <w:t>)</w:t>
            </w:r>
          </w:p>
        </w:tc>
        <w:tc>
          <w:tcPr>
            <w:tcW w:w="705" w:type="dxa"/>
            <w:tcBorders>
              <w:top w:val="single" w:color="000000" w:sz="8" w:space="0"/>
              <w:left w:val="single" w:color="000000" w:sz="2" w:space="0"/>
              <w:bottom w:val="single" w:color="000000" w:sz="2" w:space="0"/>
              <w:right w:val="single" w:color="000000" w:sz="2" w:space="0"/>
            </w:tcBorders>
            <w:vAlign w:val="center"/>
          </w:tcPr>
          <w:p w14:paraId="3A771DBC">
            <w:pPr>
              <w:pStyle w:val="129"/>
              <w:widowControl w:val="0"/>
              <w:rPr>
                <w:rFonts w:eastAsia="Times New Roman"/>
                <w:color w:val="auto"/>
              </w:rPr>
            </w:pPr>
            <w:r>
              <w:rPr>
                <w:rFonts w:hint="eastAsia" w:eastAsia="Times New Roman"/>
                <w:color w:val="auto"/>
              </w:rPr>
              <w:t>占标率</w:t>
            </w:r>
            <w:r>
              <w:rPr>
                <w:rFonts w:eastAsia="Times New Roman"/>
                <w:color w:val="auto"/>
              </w:rPr>
              <w:t>/%</w:t>
            </w:r>
          </w:p>
        </w:tc>
        <w:tc>
          <w:tcPr>
            <w:tcW w:w="686" w:type="dxa"/>
            <w:tcBorders>
              <w:top w:val="single" w:color="000000" w:sz="8" w:space="0"/>
              <w:left w:val="single" w:color="000000" w:sz="2" w:space="0"/>
              <w:bottom w:val="single" w:color="000000" w:sz="2" w:space="0"/>
              <w:right w:val="single" w:color="000000" w:sz="8" w:space="0"/>
            </w:tcBorders>
            <w:vAlign w:val="center"/>
          </w:tcPr>
          <w:p w14:paraId="06BC8792">
            <w:pPr>
              <w:pStyle w:val="129"/>
              <w:widowControl w:val="0"/>
              <w:rPr>
                <w:rFonts w:eastAsia="Times New Roman"/>
                <w:color w:val="auto"/>
              </w:rPr>
            </w:pPr>
            <w:r>
              <w:rPr>
                <w:rFonts w:hint="eastAsia" w:eastAsia="Times New Roman"/>
                <w:color w:val="auto"/>
              </w:rPr>
              <w:t>是否超标</w:t>
            </w:r>
          </w:p>
        </w:tc>
      </w:tr>
      <w:tr w14:paraId="0354975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bottom w:val="single" w:color="000000" w:sz="2" w:space="0"/>
              <w:right w:val="single" w:color="000000" w:sz="2" w:space="0"/>
            </w:tcBorders>
            <w:noWrap/>
            <w:vAlign w:val="center"/>
          </w:tcPr>
          <w:p w14:paraId="4DE2FF66">
            <w:pPr>
              <w:pStyle w:val="129"/>
              <w:widowControl w:val="0"/>
              <w:rPr>
                <w:rFonts w:eastAsia="Times New Roman"/>
                <w:color w:val="auto"/>
              </w:rPr>
            </w:pPr>
            <w:r>
              <w:rPr>
                <w:rFonts w:eastAsia="Times New Roman"/>
                <w:color w:val="auto"/>
              </w:rPr>
              <w:t>SO</w:t>
            </w:r>
            <w:r>
              <w:rPr>
                <w:rFonts w:eastAsia="Times New Roman"/>
                <w:color w:val="auto"/>
                <w:vertAlign w:val="subscript"/>
              </w:rPr>
              <w:t>2</w:t>
            </w:r>
          </w:p>
        </w:tc>
        <w:tc>
          <w:tcPr>
            <w:tcW w:w="1343" w:type="dxa"/>
            <w:vMerge w:val="restart"/>
            <w:tcBorders>
              <w:top w:val="single" w:color="000000" w:sz="2" w:space="0"/>
              <w:left w:val="single" w:color="000000" w:sz="2" w:space="0"/>
              <w:bottom w:val="single" w:color="000000" w:sz="2" w:space="0"/>
              <w:right w:val="single" w:color="000000" w:sz="2" w:space="0"/>
            </w:tcBorders>
            <w:noWrap/>
            <w:vAlign w:val="center"/>
          </w:tcPr>
          <w:p w14:paraId="186CBACF">
            <w:pPr>
              <w:pStyle w:val="129"/>
              <w:widowControl w:val="0"/>
              <w:rPr>
                <w:rFonts w:eastAsia="Times New Roman"/>
                <w:color w:val="auto"/>
              </w:rPr>
            </w:pPr>
            <w:r>
              <w:rPr>
                <w:rFonts w:hint="eastAsia" w:eastAsia="Times New Roman"/>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E474701">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2F7BC6DC">
            <w:pPr>
              <w:pStyle w:val="129"/>
              <w:widowControl w:val="0"/>
              <w:rPr>
                <w:rFonts w:eastAsia="Times New Roman"/>
                <w:color w:val="auto"/>
              </w:rPr>
            </w:pPr>
            <w:r>
              <w:rPr>
                <w:rFonts w:eastAsia="Times New Roman"/>
                <w:color w:val="auto"/>
              </w:rPr>
              <w:t>0.02565</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3A88A310">
            <w:pPr>
              <w:pStyle w:val="129"/>
              <w:widowControl w:val="0"/>
              <w:rPr>
                <w:rFonts w:eastAsia="Times New Roman"/>
                <w:color w:val="auto"/>
              </w:rPr>
            </w:pPr>
            <w:r>
              <w:rPr>
                <w:rFonts w:eastAsia="Times New Roman"/>
                <w:color w:val="auto"/>
              </w:rPr>
              <w:t>0.02</w:t>
            </w:r>
          </w:p>
        </w:tc>
        <w:tc>
          <w:tcPr>
            <w:tcW w:w="1036" w:type="dxa"/>
            <w:tcBorders>
              <w:top w:val="single" w:color="000000" w:sz="2" w:space="0"/>
              <w:left w:val="single" w:color="000000" w:sz="2" w:space="0"/>
              <w:bottom w:val="single" w:color="000000" w:sz="2" w:space="0"/>
              <w:right w:val="single" w:color="000000" w:sz="2" w:space="0"/>
            </w:tcBorders>
            <w:vAlign w:val="center"/>
          </w:tcPr>
          <w:p w14:paraId="26E47F0C">
            <w:pPr>
              <w:pStyle w:val="129"/>
              <w:widowControl w:val="0"/>
              <w:rPr>
                <w:rFonts w:eastAsia="Times New Roman"/>
                <w:color w:val="auto"/>
              </w:rPr>
            </w:pPr>
            <w:r>
              <w:rPr>
                <w:rFonts w:hint="eastAsia" w:eastAsia="Times New Roman"/>
                <w:color w:val="auto"/>
              </w:rPr>
              <w:t>12.0</w:t>
            </w:r>
          </w:p>
        </w:tc>
        <w:tc>
          <w:tcPr>
            <w:tcW w:w="1375" w:type="dxa"/>
            <w:tcBorders>
              <w:top w:val="single" w:color="000000" w:sz="2" w:space="0"/>
              <w:left w:val="single" w:color="000000" w:sz="2" w:space="0"/>
              <w:bottom w:val="single" w:color="000000" w:sz="2" w:space="0"/>
              <w:right w:val="single" w:color="000000" w:sz="2" w:space="0"/>
            </w:tcBorders>
            <w:vAlign w:val="center"/>
          </w:tcPr>
          <w:p w14:paraId="26EAA7DB">
            <w:pPr>
              <w:pStyle w:val="129"/>
              <w:widowControl w:val="0"/>
              <w:rPr>
                <w:rFonts w:eastAsia="Times New Roman"/>
                <w:color w:val="auto"/>
              </w:rPr>
            </w:pPr>
            <w:r>
              <w:rPr>
                <w:rFonts w:hint="eastAsia" w:eastAsia="Times New Roman"/>
                <w:color w:val="auto"/>
              </w:rPr>
              <w:t>12.00002</w:t>
            </w:r>
          </w:p>
        </w:tc>
        <w:tc>
          <w:tcPr>
            <w:tcW w:w="705" w:type="dxa"/>
            <w:tcBorders>
              <w:top w:val="single" w:color="000000" w:sz="2" w:space="0"/>
              <w:left w:val="single" w:color="000000" w:sz="2" w:space="0"/>
              <w:bottom w:val="single" w:color="000000" w:sz="2" w:space="0"/>
              <w:right w:val="single" w:color="000000" w:sz="2" w:space="0"/>
            </w:tcBorders>
            <w:vAlign w:val="center"/>
          </w:tcPr>
          <w:p w14:paraId="133654C1">
            <w:pPr>
              <w:pStyle w:val="129"/>
              <w:widowControl w:val="0"/>
              <w:rPr>
                <w:rFonts w:eastAsia="Times New Roman"/>
                <w:color w:val="auto"/>
              </w:rPr>
            </w:pPr>
            <w:r>
              <w:rPr>
                <w:rFonts w:hint="eastAsia" w:eastAsia="Times New Roman"/>
                <w:color w:val="auto"/>
              </w:rPr>
              <w:t>8.00</w:t>
            </w:r>
          </w:p>
        </w:tc>
        <w:tc>
          <w:tcPr>
            <w:tcW w:w="686" w:type="dxa"/>
            <w:tcBorders>
              <w:top w:val="single" w:color="000000" w:sz="2" w:space="0"/>
              <w:left w:val="single" w:color="000000" w:sz="2" w:space="0"/>
              <w:bottom w:val="single" w:color="000000" w:sz="2" w:space="0"/>
              <w:right w:val="single" w:color="000000" w:sz="8" w:space="0"/>
            </w:tcBorders>
            <w:vAlign w:val="center"/>
          </w:tcPr>
          <w:p w14:paraId="265E1B93">
            <w:pPr>
              <w:pStyle w:val="129"/>
              <w:widowControl w:val="0"/>
              <w:rPr>
                <w:rFonts w:eastAsia="Times New Roman"/>
                <w:color w:val="auto"/>
              </w:rPr>
            </w:pPr>
            <w:r>
              <w:rPr>
                <w:rFonts w:hint="eastAsia" w:ascii="宋体" w:hAnsi="宋体" w:eastAsia="Times New Roman" w:cs="宋体"/>
                <w:color w:val="auto"/>
              </w:rPr>
              <w:t>达标</w:t>
            </w:r>
          </w:p>
        </w:tc>
      </w:tr>
      <w:tr w14:paraId="527BE56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5F3FB721">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2A615FDB">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4A7307E">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4CFC4D1B">
            <w:pPr>
              <w:pStyle w:val="129"/>
              <w:widowControl w:val="0"/>
              <w:rPr>
                <w:rFonts w:eastAsia="Times New Roman"/>
                <w:color w:val="auto"/>
              </w:rPr>
            </w:pPr>
            <w:r>
              <w:rPr>
                <w:rFonts w:eastAsia="Times New Roman"/>
                <w:color w:val="auto"/>
              </w:rPr>
              <w:t>0.00095</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0626DE0D">
            <w:pPr>
              <w:pStyle w:val="129"/>
              <w:widowControl w:val="0"/>
              <w:rPr>
                <w:rFonts w:eastAsia="Times New Roman"/>
                <w:color w:val="auto"/>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1C215903">
            <w:pPr>
              <w:pStyle w:val="129"/>
              <w:widowControl w:val="0"/>
              <w:rPr>
                <w:rFonts w:eastAsia="Times New Roman"/>
                <w:color w:val="auto"/>
              </w:rPr>
            </w:pPr>
            <w:r>
              <w:rPr>
                <w:rFonts w:hint="eastAsia" w:eastAsia="Times New Roman"/>
                <w:color w:val="auto"/>
              </w:rPr>
              <w:t>6.97541</w:t>
            </w:r>
          </w:p>
        </w:tc>
        <w:tc>
          <w:tcPr>
            <w:tcW w:w="1375" w:type="dxa"/>
            <w:tcBorders>
              <w:top w:val="single" w:color="000000" w:sz="2" w:space="0"/>
              <w:left w:val="single" w:color="000000" w:sz="2" w:space="0"/>
              <w:bottom w:val="single" w:color="000000" w:sz="2" w:space="0"/>
              <w:right w:val="single" w:color="000000" w:sz="2" w:space="0"/>
            </w:tcBorders>
            <w:vAlign w:val="center"/>
          </w:tcPr>
          <w:p w14:paraId="46609C16">
            <w:pPr>
              <w:pStyle w:val="129"/>
              <w:widowControl w:val="0"/>
              <w:rPr>
                <w:rFonts w:eastAsia="Times New Roman"/>
                <w:color w:val="auto"/>
              </w:rPr>
            </w:pPr>
            <w:r>
              <w:rPr>
                <w:rFonts w:hint="eastAsia" w:eastAsia="Times New Roman"/>
                <w:color w:val="auto"/>
              </w:rPr>
              <w:t>6.97883</w:t>
            </w:r>
          </w:p>
        </w:tc>
        <w:tc>
          <w:tcPr>
            <w:tcW w:w="705" w:type="dxa"/>
            <w:tcBorders>
              <w:top w:val="single" w:color="000000" w:sz="2" w:space="0"/>
              <w:left w:val="single" w:color="000000" w:sz="2" w:space="0"/>
              <w:bottom w:val="single" w:color="000000" w:sz="2" w:space="0"/>
              <w:right w:val="single" w:color="000000" w:sz="2" w:space="0"/>
            </w:tcBorders>
            <w:vAlign w:val="center"/>
          </w:tcPr>
          <w:p w14:paraId="0350C339">
            <w:pPr>
              <w:pStyle w:val="129"/>
              <w:widowControl w:val="0"/>
              <w:rPr>
                <w:rFonts w:eastAsia="Times New Roman"/>
                <w:color w:val="auto"/>
              </w:rPr>
            </w:pPr>
            <w:r>
              <w:rPr>
                <w:rFonts w:hint="eastAsia" w:eastAsia="Times New Roman"/>
                <w:color w:val="auto"/>
              </w:rPr>
              <w:t>11.63</w:t>
            </w:r>
          </w:p>
        </w:tc>
        <w:tc>
          <w:tcPr>
            <w:tcW w:w="686" w:type="dxa"/>
            <w:tcBorders>
              <w:top w:val="single" w:color="000000" w:sz="2" w:space="0"/>
              <w:left w:val="single" w:color="000000" w:sz="2" w:space="0"/>
              <w:bottom w:val="single" w:color="000000" w:sz="2" w:space="0"/>
              <w:right w:val="single" w:color="000000" w:sz="8" w:space="0"/>
            </w:tcBorders>
            <w:vAlign w:val="center"/>
          </w:tcPr>
          <w:p w14:paraId="4C5E2345">
            <w:pPr>
              <w:pStyle w:val="129"/>
              <w:widowControl w:val="0"/>
              <w:rPr>
                <w:rFonts w:eastAsia="Times New Roman"/>
                <w:color w:val="auto"/>
              </w:rPr>
            </w:pPr>
            <w:r>
              <w:rPr>
                <w:rFonts w:hint="eastAsia" w:eastAsia="Times New Roman"/>
                <w:color w:val="auto"/>
              </w:rPr>
              <w:t>达标</w:t>
            </w:r>
          </w:p>
        </w:tc>
      </w:tr>
      <w:tr w14:paraId="1175AAB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761DBC39">
            <w:pPr>
              <w:pStyle w:val="129"/>
              <w:widowControl w:val="0"/>
              <w:rPr>
                <w:rFonts w:eastAsia="Times New Roman"/>
                <w:color w:val="auto"/>
              </w:rPr>
            </w:pPr>
          </w:p>
        </w:tc>
        <w:tc>
          <w:tcPr>
            <w:tcW w:w="1343" w:type="dxa"/>
            <w:vMerge w:val="restart"/>
            <w:tcBorders>
              <w:top w:val="single" w:color="000000" w:sz="2" w:space="0"/>
              <w:left w:val="single" w:color="000000" w:sz="2" w:space="0"/>
              <w:bottom w:val="single" w:color="000000" w:sz="2" w:space="0"/>
              <w:right w:val="single" w:color="000000" w:sz="2" w:space="0"/>
            </w:tcBorders>
            <w:vAlign w:val="center"/>
          </w:tcPr>
          <w:p w14:paraId="6DCABBEF">
            <w:pPr>
              <w:pStyle w:val="129"/>
              <w:widowControl w:val="0"/>
              <w:rPr>
                <w:rFonts w:eastAsia="Times New Roman"/>
                <w:color w:val="auto"/>
              </w:rPr>
            </w:pPr>
            <w:r>
              <w:rPr>
                <w:rFonts w:hint="eastAsia" w:eastAsia="Times New Roman"/>
                <w:color w:val="auto"/>
              </w:rPr>
              <w:t>乌鲁木齐市第</w:t>
            </w:r>
            <w:r>
              <w:rPr>
                <w:rFonts w:eastAsia="Times New Roman"/>
                <w:color w:val="auto"/>
              </w:rPr>
              <w:t>137</w:t>
            </w:r>
            <w:r>
              <w:rPr>
                <w:rFonts w:hint="eastAsia" w:eastAsia="Times New Roman"/>
                <w:color w:val="auto"/>
              </w:rPr>
              <w:t>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598A8F4">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1C964620">
            <w:pPr>
              <w:pStyle w:val="129"/>
              <w:widowControl w:val="0"/>
              <w:rPr>
                <w:rFonts w:eastAsia="Times New Roman"/>
                <w:color w:val="auto"/>
              </w:rPr>
            </w:pPr>
            <w:r>
              <w:rPr>
                <w:rFonts w:eastAsia="Times New Roman"/>
                <w:color w:val="auto"/>
              </w:rPr>
              <w:t>0.00536</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C0CF6EA">
            <w:pPr>
              <w:pStyle w:val="129"/>
              <w:widowControl w:val="0"/>
              <w:rPr>
                <w:rFonts w:eastAsia="Times New Roman"/>
                <w:color w:val="auto"/>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28695F2D">
            <w:pPr>
              <w:pStyle w:val="129"/>
              <w:widowControl w:val="0"/>
              <w:rPr>
                <w:rFonts w:eastAsia="Times New Roman"/>
                <w:color w:val="auto"/>
              </w:rPr>
            </w:pPr>
            <w:r>
              <w:rPr>
                <w:rFonts w:hint="eastAsia" w:eastAsia="Times New Roman"/>
                <w:color w:val="auto"/>
              </w:rPr>
              <w:t>12.0</w:t>
            </w:r>
          </w:p>
        </w:tc>
        <w:tc>
          <w:tcPr>
            <w:tcW w:w="1375" w:type="dxa"/>
            <w:tcBorders>
              <w:top w:val="single" w:color="000000" w:sz="2" w:space="0"/>
              <w:left w:val="single" w:color="000000" w:sz="2" w:space="0"/>
              <w:bottom w:val="single" w:color="000000" w:sz="2" w:space="0"/>
              <w:right w:val="single" w:color="000000" w:sz="2" w:space="0"/>
            </w:tcBorders>
            <w:vAlign w:val="center"/>
          </w:tcPr>
          <w:p w14:paraId="6D7517F6">
            <w:pPr>
              <w:pStyle w:val="129"/>
              <w:widowControl w:val="0"/>
              <w:rPr>
                <w:rFonts w:eastAsia="Times New Roman"/>
                <w:color w:val="auto"/>
              </w:rPr>
            </w:pPr>
            <w:r>
              <w:rPr>
                <w:rFonts w:hint="eastAsia" w:eastAsia="Times New Roman"/>
                <w:color w:val="auto"/>
              </w:rPr>
              <w:t>12.00001</w:t>
            </w:r>
          </w:p>
        </w:tc>
        <w:tc>
          <w:tcPr>
            <w:tcW w:w="705" w:type="dxa"/>
            <w:tcBorders>
              <w:top w:val="single" w:color="000000" w:sz="2" w:space="0"/>
              <w:left w:val="single" w:color="000000" w:sz="2" w:space="0"/>
              <w:bottom w:val="single" w:color="000000" w:sz="2" w:space="0"/>
              <w:right w:val="single" w:color="000000" w:sz="2" w:space="0"/>
            </w:tcBorders>
            <w:vAlign w:val="center"/>
          </w:tcPr>
          <w:p w14:paraId="402537AC">
            <w:pPr>
              <w:pStyle w:val="129"/>
              <w:widowControl w:val="0"/>
              <w:rPr>
                <w:rFonts w:eastAsia="Times New Roman"/>
                <w:color w:val="auto"/>
              </w:rPr>
            </w:pPr>
            <w:r>
              <w:rPr>
                <w:rFonts w:hint="eastAsia" w:eastAsia="Times New Roman"/>
                <w:color w:val="auto"/>
              </w:rPr>
              <w:t>8.00</w:t>
            </w:r>
          </w:p>
        </w:tc>
        <w:tc>
          <w:tcPr>
            <w:tcW w:w="686" w:type="dxa"/>
            <w:tcBorders>
              <w:top w:val="single" w:color="000000" w:sz="2" w:space="0"/>
              <w:left w:val="single" w:color="000000" w:sz="2" w:space="0"/>
              <w:bottom w:val="single" w:color="000000" w:sz="2" w:space="0"/>
              <w:right w:val="single" w:color="000000" w:sz="8" w:space="0"/>
            </w:tcBorders>
            <w:vAlign w:val="center"/>
          </w:tcPr>
          <w:p w14:paraId="6ED58C56">
            <w:pPr>
              <w:pStyle w:val="129"/>
              <w:widowControl w:val="0"/>
              <w:rPr>
                <w:rFonts w:eastAsia="Times New Roman"/>
                <w:color w:val="auto"/>
              </w:rPr>
            </w:pPr>
            <w:r>
              <w:rPr>
                <w:rFonts w:hint="eastAsia" w:ascii="宋体" w:hAnsi="宋体" w:eastAsia="Times New Roman" w:cs="宋体"/>
                <w:color w:val="auto"/>
              </w:rPr>
              <w:t>达标</w:t>
            </w:r>
          </w:p>
        </w:tc>
      </w:tr>
      <w:tr w14:paraId="5821283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6A220E0F">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37823369">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8FB1472">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734C0FF6">
            <w:pPr>
              <w:pStyle w:val="129"/>
              <w:widowControl w:val="0"/>
              <w:rPr>
                <w:rFonts w:eastAsia="Times New Roman"/>
                <w:color w:val="auto"/>
              </w:rPr>
            </w:pPr>
            <w:r>
              <w:rPr>
                <w:rFonts w:eastAsia="Times New Roman"/>
                <w:color w:val="auto"/>
              </w:rPr>
              <w:t>0.00022</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80D3333">
            <w:pPr>
              <w:pStyle w:val="129"/>
              <w:widowControl w:val="0"/>
              <w:rPr>
                <w:rFonts w:eastAsia="Times New Roman"/>
                <w:color w:val="auto"/>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3D71F57B">
            <w:pPr>
              <w:pStyle w:val="129"/>
              <w:widowControl w:val="0"/>
              <w:rPr>
                <w:rFonts w:eastAsia="Times New Roman"/>
                <w:color w:val="auto"/>
              </w:rPr>
            </w:pPr>
            <w:r>
              <w:rPr>
                <w:rFonts w:hint="eastAsia" w:eastAsia="Times New Roman"/>
                <w:color w:val="auto"/>
              </w:rPr>
              <w:t>6.97541</w:t>
            </w:r>
          </w:p>
        </w:tc>
        <w:tc>
          <w:tcPr>
            <w:tcW w:w="1375" w:type="dxa"/>
            <w:tcBorders>
              <w:top w:val="single" w:color="000000" w:sz="2" w:space="0"/>
              <w:left w:val="single" w:color="000000" w:sz="2" w:space="0"/>
              <w:bottom w:val="single" w:color="000000" w:sz="2" w:space="0"/>
              <w:right w:val="single" w:color="000000" w:sz="2" w:space="0"/>
            </w:tcBorders>
            <w:vAlign w:val="center"/>
          </w:tcPr>
          <w:p w14:paraId="57E3543C">
            <w:pPr>
              <w:pStyle w:val="129"/>
              <w:widowControl w:val="0"/>
              <w:rPr>
                <w:rFonts w:eastAsia="Times New Roman"/>
                <w:color w:val="auto"/>
              </w:rPr>
            </w:pPr>
            <w:r>
              <w:rPr>
                <w:rFonts w:hint="eastAsia" w:eastAsia="Times New Roman"/>
                <w:color w:val="auto"/>
              </w:rPr>
              <w:t>6.97694</w:t>
            </w:r>
          </w:p>
        </w:tc>
        <w:tc>
          <w:tcPr>
            <w:tcW w:w="705" w:type="dxa"/>
            <w:tcBorders>
              <w:top w:val="single" w:color="000000" w:sz="2" w:space="0"/>
              <w:left w:val="single" w:color="000000" w:sz="2" w:space="0"/>
              <w:bottom w:val="single" w:color="000000" w:sz="2" w:space="0"/>
              <w:right w:val="single" w:color="000000" w:sz="2" w:space="0"/>
            </w:tcBorders>
            <w:vAlign w:val="center"/>
          </w:tcPr>
          <w:p w14:paraId="472378DC">
            <w:pPr>
              <w:pStyle w:val="129"/>
              <w:widowControl w:val="0"/>
              <w:rPr>
                <w:rFonts w:eastAsia="Times New Roman"/>
                <w:color w:val="auto"/>
              </w:rPr>
            </w:pPr>
            <w:r>
              <w:rPr>
                <w:rFonts w:hint="eastAsia" w:eastAsia="Times New Roman"/>
                <w:color w:val="auto"/>
              </w:rPr>
              <w:t>11.63</w:t>
            </w:r>
          </w:p>
        </w:tc>
        <w:tc>
          <w:tcPr>
            <w:tcW w:w="686" w:type="dxa"/>
            <w:tcBorders>
              <w:top w:val="single" w:color="000000" w:sz="2" w:space="0"/>
              <w:left w:val="single" w:color="000000" w:sz="2" w:space="0"/>
              <w:bottom w:val="single" w:color="000000" w:sz="2" w:space="0"/>
              <w:right w:val="single" w:color="000000" w:sz="8" w:space="0"/>
            </w:tcBorders>
            <w:vAlign w:val="center"/>
          </w:tcPr>
          <w:p w14:paraId="36E05B73">
            <w:pPr>
              <w:pStyle w:val="129"/>
              <w:widowControl w:val="0"/>
              <w:rPr>
                <w:rFonts w:eastAsia="Times New Roman"/>
                <w:color w:val="auto"/>
              </w:rPr>
            </w:pPr>
            <w:r>
              <w:rPr>
                <w:rFonts w:hint="eastAsia" w:ascii="宋体" w:hAnsi="宋体" w:eastAsia="Times New Roman" w:cs="宋体"/>
                <w:color w:val="auto"/>
              </w:rPr>
              <w:t>达标</w:t>
            </w:r>
          </w:p>
        </w:tc>
      </w:tr>
      <w:tr w14:paraId="0170D9D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0B108CDE">
            <w:pPr>
              <w:pStyle w:val="129"/>
              <w:widowControl w:val="0"/>
              <w:rPr>
                <w:rFonts w:eastAsia="Times New Roman"/>
                <w:color w:val="auto"/>
              </w:rPr>
            </w:pPr>
          </w:p>
        </w:tc>
        <w:tc>
          <w:tcPr>
            <w:tcW w:w="1343" w:type="dxa"/>
            <w:vMerge w:val="restart"/>
            <w:tcBorders>
              <w:top w:val="single" w:color="000000" w:sz="2" w:space="0"/>
              <w:left w:val="single" w:color="000000" w:sz="2" w:space="0"/>
              <w:bottom w:val="single" w:color="000000" w:sz="2" w:space="0"/>
              <w:right w:val="single" w:color="000000" w:sz="2" w:space="0"/>
            </w:tcBorders>
            <w:vAlign w:val="center"/>
          </w:tcPr>
          <w:p w14:paraId="14F8CDAF">
            <w:pPr>
              <w:pStyle w:val="129"/>
              <w:widowControl w:val="0"/>
              <w:rPr>
                <w:rFonts w:eastAsia="Times New Roman"/>
                <w:color w:val="auto"/>
              </w:rPr>
            </w:pPr>
            <w:r>
              <w:rPr>
                <w:rFonts w:hint="eastAsia" w:eastAsia="Times New Roman"/>
                <w:color w:val="auto"/>
              </w:rPr>
              <w:t>网格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7F76C6C">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5A072767">
            <w:pPr>
              <w:pStyle w:val="129"/>
              <w:widowControl w:val="0"/>
              <w:rPr>
                <w:rFonts w:eastAsia="Times New Roman"/>
                <w:color w:val="auto"/>
              </w:rPr>
            </w:pPr>
            <w:r>
              <w:rPr>
                <w:rFonts w:eastAsia="Times New Roman"/>
                <w:color w:val="auto"/>
              </w:rPr>
              <w:t>0.20728</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5F7F6EC9">
            <w:pPr>
              <w:pStyle w:val="129"/>
              <w:widowControl w:val="0"/>
              <w:rPr>
                <w:rFonts w:eastAsia="Times New Roman"/>
                <w:color w:val="auto"/>
              </w:rPr>
            </w:pPr>
            <w:r>
              <w:rPr>
                <w:rFonts w:eastAsia="Times New Roman"/>
                <w:color w:val="auto"/>
              </w:rPr>
              <w:t>0.14</w:t>
            </w:r>
          </w:p>
        </w:tc>
        <w:tc>
          <w:tcPr>
            <w:tcW w:w="1036" w:type="dxa"/>
            <w:tcBorders>
              <w:top w:val="single" w:color="000000" w:sz="2" w:space="0"/>
              <w:left w:val="single" w:color="000000" w:sz="2" w:space="0"/>
              <w:bottom w:val="single" w:color="000000" w:sz="2" w:space="0"/>
              <w:right w:val="single" w:color="000000" w:sz="2" w:space="0"/>
            </w:tcBorders>
            <w:vAlign w:val="center"/>
          </w:tcPr>
          <w:p w14:paraId="36CA0317">
            <w:pPr>
              <w:pStyle w:val="129"/>
              <w:widowControl w:val="0"/>
              <w:rPr>
                <w:rFonts w:eastAsia="Times New Roman"/>
                <w:color w:val="auto"/>
              </w:rPr>
            </w:pPr>
            <w:r>
              <w:rPr>
                <w:rFonts w:hint="eastAsia" w:eastAsia="Times New Roman"/>
                <w:color w:val="auto"/>
              </w:rPr>
              <w:t>12.0</w:t>
            </w:r>
          </w:p>
        </w:tc>
        <w:tc>
          <w:tcPr>
            <w:tcW w:w="1375" w:type="dxa"/>
            <w:tcBorders>
              <w:top w:val="single" w:color="000000" w:sz="2" w:space="0"/>
              <w:left w:val="single" w:color="000000" w:sz="2" w:space="0"/>
              <w:bottom w:val="single" w:color="000000" w:sz="2" w:space="0"/>
              <w:right w:val="single" w:color="000000" w:sz="2" w:space="0"/>
            </w:tcBorders>
            <w:vAlign w:val="center"/>
          </w:tcPr>
          <w:p w14:paraId="7EE55CAC">
            <w:pPr>
              <w:pStyle w:val="129"/>
              <w:widowControl w:val="0"/>
              <w:rPr>
                <w:rFonts w:eastAsia="Times New Roman"/>
                <w:color w:val="auto"/>
              </w:rPr>
            </w:pPr>
            <w:r>
              <w:rPr>
                <w:rFonts w:hint="eastAsia" w:eastAsia="Times New Roman"/>
                <w:color w:val="auto"/>
              </w:rPr>
              <w:t>12.06533</w:t>
            </w:r>
          </w:p>
        </w:tc>
        <w:tc>
          <w:tcPr>
            <w:tcW w:w="705" w:type="dxa"/>
            <w:tcBorders>
              <w:top w:val="single" w:color="000000" w:sz="2" w:space="0"/>
              <w:left w:val="single" w:color="000000" w:sz="2" w:space="0"/>
              <w:bottom w:val="single" w:color="000000" w:sz="2" w:space="0"/>
              <w:right w:val="single" w:color="000000" w:sz="2" w:space="0"/>
            </w:tcBorders>
            <w:vAlign w:val="center"/>
          </w:tcPr>
          <w:p w14:paraId="40213216">
            <w:pPr>
              <w:pStyle w:val="129"/>
              <w:widowControl w:val="0"/>
              <w:rPr>
                <w:rFonts w:eastAsia="Times New Roman"/>
                <w:color w:val="auto"/>
              </w:rPr>
            </w:pPr>
            <w:r>
              <w:rPr>
                <w:rFonts w:hint="eastAsia" w:eastAsia="Times New Roman"/>
                <w:color w:val="auto"/>
              </w:rPr>
              <w:t>8.04</w:t>
            </w:r>
          </w:p>
        </w:tc>
        <w:tc>
          <w:tcPr>
            <w:tcW w:w="686" w:type="dxa"/>
            <w:tcBorders>
              <w:top w:val="single" w:color="000000" w:sz="2" w:space="0"/>
              <w:left w:val="single" w:color="000000" w:sz="2" w:space="0"/>
              <w:bottom w:val="single" w:color="000000" w:sz="2" w:space="0"/>
              <w:right w:val="single" w:color="000000" w:sz="8" w:space="0"/>
            </w:tcBorders>
            <w:vAlign w:val="center"/>
          </w:tcPr>
          <w:p w14:paraId="548B5CB8">
            <w:pPr>
              <w:pStyle w:val="129"/>
              <w:widowControl w:val="0"/>
              <w:rPr>
                <w:rFonts w:eastAsia="Times New Roman"/>
                <w:color w:val="auto"/>
              </w:rPr>
            </w:pPr>
            <w:r>
              <w:rPr>
                <w:rFonts w:hint="eastAsia" w:ascii="宋体" w:hAnsi="宋体" w:eastAsia="Times New Roman" w:cs="宋体"/>
                <w:color w:val="auto"/>
              </w:rPr>
              <w:t>达标</w:t>
            </w:r>
          </w:p>
        </w:tc>
      </w:tr>
      <w:tr w14:paraId="0B70D6E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6160A14E">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531915A3">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45FED87">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6F280950">
            <w:pPr>
              <w:pStyle w:val="129"/>
              <w:widowControl w:val="0"/>
              <w:rPr>
                <w:rFonts w:eastAsia="Times New Roman"/>
                <w:color w:val="auto"/>
              </w:rPr>
            </w:pPr>
            <w:r>
              <w:rPr>
                <w:rFonts w:eastAsia="Times New Roman"/>
                <w:color w:val="auto"/>
              </w:rPr>
              <w:t>0.03999</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6DFA47E2">
            <w:pPr>
              <w:pStyle w:val="129"/>
              <w:widowControl w:val="0"/>
              <w:rPr>
                <w:rFonts w:eastAsia="Times New Roman"/>
                <w:color w:val="auto"/>
              </w:rPr>
            </w:pPr>
            <w:r>
              <w:rPr>
                <w:rFonts w:eastAsia="Times New Roman"/>
                <w:color w:val="auto"/>
              </w:rPr>
              <w:t>0.07</w:t>
            </w:r>
          </w:p>
        </w:tc>
        <w:tc>
          <w:tcPr>
            <w:tcW w:w="1036" w:type="dxa"/>
            <w:tcBorders>
              <w:top w:val="single" w:color="000000" w:sz="2" w:space="0"/>
              <w:left w:val="single" w:color="000000" w:sz="2" w:space="0"/>
              <w:bottom w:val="single" w:color="000000" w:sz="2" w:space="0"/>
              <w:right w:val="single" w:color="000000" w:sz="2" w:space="0"/>
            </w:tcBorders>
            <w:vAlign w:val="center"/>
          </w:tcPr>
          <w:p w14:paraId="35A492D4">
            <w:pPr>
              <w:pStyle w:val="129"/>
              <w:widowControl w:val="0"/>
              <w:rPr>
                <w:rFonts w:eastAsia="Times New Roman"/>
                <w:color w:val="auto"/>
              </w:rPr>
            </w:pPr>
            <w:r>
              <w:rPr>
                <w:rFonts w:hint="eastAsia" w:eastAsia="Times New Roman"/>
                <w:color w:val="auto"/>
              </w:rPr>
              <w:t>6.97541</w:t>
            </w:r>
          </w:p>
        </w:tc>
        <w:tc>
          <w:tcPr>
            <w:tcW w:w="1375" w:type="dxa"/>
            <w:tcBorders>
              <w:top w:val="single" w:color="000000" w:sz="2" w:space="0"/>
              <w:left w:val="single" w:color="000000" w:sz="2" w:space="0"/>
              <w:bottom w:val="single" w:color="000000" w:sz="2" w:space="0"/>
              <w:right w:val="single" w:color="000000" w:sz="2" w:space="0"/>
            </w:tcBorders>
            <w:vAlign w:val="center"/>
          </w:tcPr>
          <w:p w14:paraId="05A18DE2">
            <w:pPr>
              <w:pStyle w:val="129"/>
              <w:widowControl w:val="0"/>
              <w:rPr>
                <w:rFonts w:eastAsia="Times New Roman"/>
                <w:color w:val="auto"/>
              </w:rPr>
            </w:pPr>
            <w:r>
              <w:rPr>
                <w:rFonts w:hint="eastAsia" w:eastAsia="Times New Roman"/>
                <w:color w:val="auto"/>
              </w:rPr>
              <w:t>7.0393</w:t>
            </w:r>
          </w:p>
        </w:tc>
        <w:tc>
          <w:tcPr>
            <w:tcW w:w="705" w:type="dxa"/>
            <w:tcBorders>
              <w:top w:val="single" w:color="000000" w:sz="2" w:space="0"/>
              <w:left w:val="single" w:color="000000" w:sz="2" w:space="0"/>
              <w:bottom w:val="single" w:color="000000" w:sz="2" w:space="0"/>
              <w:right w:val="single" w:color="000000" w:sz="2" w:space="0"/>
            </w:tcBorders>
            <w:vAlign w:val="center"/>
          </w:tcPr>
          <w:p w14:paraId="21CCD9CA">
            <w:pPr>
              <w:pStyle w:val="129"/>
              <w:widowControl w:val="0"/>
              <w:rPr>
                <w:rFonts w:eastAsia="Times New Roman"/>
                <w:color w:val="auto"/>
              </w:rPr>
            </w:pPr>
            <w:r>
              <w:rPr>
                <w:rFonts w:hint="eastAsia" w:eastAsia="Times New Roman"/>
                <w:color w:val="auto"/>
              </w:rPr>
              <w:t>11.73</w:t>
            </w:r>
          </w:p>
        </w:tc>
        <w:tc>
          <w:tcPr>
            <w:tcW w:w="686" w:type="dxa"/>
            <w:tcBorders>
              <w:top w:val="single" w:color="000000" w:sz="2" w:space="0"/>
              <w:left w:val="single" w:color="000000" w:sz="2" w:space="0"/>
              <w:bottom w:val="single" w:color="000000" w:sz="2" w:space="0"/>
              <w:right w:val="single" w:color="000000" w:sz="8" w:space="0"/>
            </w:tcBorders>
            <w:vAlign w:val="center"/>
          </w:tcPr>
          <w:p w14:paraId="4ACBE72F">
            <w:pPr>
              <w:pStyle w:val="129"/>
              <w:widowControl w:val="0"/>
              <w:rPr>
                <w:rFonts w:eastAsia="Times New Roman"/>
                <w:color w:val="auto"/>
              </w:rPr>
            </w:pPr>
            <w:r>
              <w:rPr>
                <w:rFonts w:hint="eastAsia" w:ascii="宋体" w:hAnsi="宋体" w:eastAsia="Times New Roman" w:cs="宋体"/>
                <w:color w:val="auto"/>
              </w:rPr>
              <w:t>达标</w:t>
            </w:r>
          </w:p>
        </w:tc>
      </w:tr>
      <w:tr w14:paraId="33BD74C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bottom w:val="single" w:color="000000" w:sz="2" w:space="0"/>
              <w:right w:val="single" w:color="000000" w:sz="2" w:space="0"/>
            </w:tcBorders>
            <w:noWrap/>
            <w:vAlign w:val="center"/>
          </w:tcPr>
          <w:p w14:paraId="02F069A8">
            <w:pPr>
              <w:pStyle w:val="129"/>
              <w:widowControl w:val="0"/>
              <w:rPr>
                <w:rFonts w:eastAsia="Times New Roman"/>
                <w:color w:val="auto"/>
              </w:rPr>
            </w:pPr>
            <w:r>
              <w:rPr>
                <w:rFonts w:eastAsia="Times New Roman"/>
                <w:color w:val="auto"/>
              </w:rPr>
              <w:t>NO</w:t>
            </w:r>
            <w:r>
              <w:rPr>
                <w:rFonts w:eastAsia="Times New Roman"/>
                <w:color w:val="auto"/>
                <w:vertAlign w:val="subscript"/>
              </w:rPr>
              <w:t>2</w:t>
            </w:r>
          </w:p>
        </w:tc>
        <w:tc>
          <w:tcPr>
            <w:tcW w:w="1343" w:type="dxa"/>
            <w:vMerge w:val="restart"/>
            <w:tcBorders>
              <w:top w:val="single" w:color="000000" w:sz="2" w:space="0"/>
              <w:left w:val="single" w:color="000000" w:sz="2" w:space="0"/>
              <w:bottom w:val="single" w:color="000000" w:sz="2" w:space="0"/>
              <w:right w:val="single" w:color="000000" w:sz="2" w:space="0"/>
            </w:tcBorders>
            <w:noWrap/>
            <w:vAlign w:val="center"/>
          </w:tcPr>
          <w:p w14:paraId="5C12056E">
            <w:pPr>
              <w:pStyle w:val="129"/>
              <w:widowControl w:val="0"/>
              <w:rPr>
                <w:rFonts w:eastAsia="Times New Roman"/>
                <w:color w:val="auto"/>
              </w:rPr>
            </w:pPr>
            <w:r>
              <w:rPr>
                <w:rFonts w:hint="eastAsia" w:eastAsia="Times New Roman"/>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3A673E08">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25C3870F">
            <w:pPr>
              <w:pStyle w:val="129"/>
              <w:widowControl w:val="0"/>
              <w:rPr>
                <w:rFonts w:eastAsia="Times New Roman"/>
                <w:color w:val="auto"/>
              </w:rPr>
            </w:pPr>
            <w:r>
              <w:rPr>
                <w:rFonts w:eastAsia="Times New Roman"/>
                <w:color w:val="auto"/>
              </w:rPr>
              <w:t>0.47789</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59210F3B">
            <w:pPr>
              <w:pStyle w:val="129"/>
              <w:widowControl w:val="0"/>
              <w:rPr>
                <w:rFonts w:eastAsia="Times New Roman"/>
                <w:color w:val="auto"/>
              </w:rPr>
            </w:pPr>
            <w:r>
              <w:rPr>
                <w:rFonts w:eastAsia="Times New Roman"/>
                <w:color w:val="auto"/>
              </w:rPr>
              <w:t>0.60</w:t>
            </w:r>
          </w:p>
        </w:tc>
        <w:tc>
          <w:tcPr>
            <w:tcW w:w="1036" w:type="dxa"/>
            <w:tcBorders>
              <w:top w:val="single" w:color="000000" w:sz="2" w:space="0"/>
              <w:left w:val="single" w:color="000000" w:sz="2" w:space="0"/>
              <w:bottom w:val="single" w:color="000000" w:sz="2" w:space="0"/>
              <w:right w:val="single" w:color="000000" w:sz="2" w:space="0"/>
            </w:tcBorders>
            <w:vAlign w:val="center"/>
          </w:tcPr>
          <w:p w14:paraId="645240E5">
            <w:pPr>
              <w:pStyle w:val="129"/>
              <w:widowControl w:val="0"/>
              <w:rPr>
                <w:rFonts w:eastAsia="Times New Roman"/>
                <w:color w:val="auto"/>
              </w:rPr>
            </w:pPr>
            <w:r>
              <w:rPr>
                <w:rFonts w:hint="eastAsia" w:eastAsia="Times New Roman"/>
                <w:color w:val="auto"/>
              </w:rPr>
              <w:t>70.0</w:t>
            </w:r>
          </w:p>
        </w:tc>
        <w:tc>
          <w:tcPr>
            <w:tcW w:w="1375" w:type="dxa"/>
            <w:tcBorders>
              <w:top w:val="single" w:color="000000" w:sz="2" w:space="0"/>
              <w:left w:val="single" w:color="000000" w:sz="2" w:space="0"/>
              <w:bottom w:val="single" w:color="000000" w:sz="2" w:space="0"/>
              <w:right w:val="single" w:color="000000" w:sz="2" w:space="0"/>
            </w:tcBorders>
            <w:vAlign w:val="center"/>
          </w:tcPr>
          <w:p w14:paraId="429071B3">
            <w:pPr>
              <w:pStyle w:val="129"/>
              <w:widowControl w:val="0"/>
              <w:rPr>
                <w:rFonts w:eastAsia="Times New Roman"/>
                <w:color w:val="auto"/>
              </w:rPr>
            </w:pPr>
            <w:r>
              <w:rPr>
                <w:rFonts w:hint="eastAsia" w:eastAsia="Times New Roman"/>
                <w:color w:val="auto"/>
              </w:rPr>
              <w:t>70.00211</w:t>
            </w:r>
          </w:p>
        </w:tc>
        <w:tc>
          <w:tcPr>
            <w:tcW w:w="705" w:type="dxa"/>
            <w:tcBorders>
              <w:top w:val="single" w:color="000000" w:sz="2" w:space="0"/>
              <w:left w:val="single" w:color="000000" w:sz="2" w:space="0"/>
              <w:bottom w:val="single" w:color="000000" w:sz="2" w:space="0"/>
              <w:right w:val="single" w:color="000000" w:sz="2" w:space="0"/>
            </w:tcBorders>
            <w:vAlign w:val="center"/>
          </w:tcPr>
          <w:p w14:paraId="3A66B812">
            <w:pPr>
              <w:pStyle w:val="129"/>
              <w:widowControl w:val="0"/>
              <w:rPr>
                <w:rFonts w:eastAsia="Times New Roman"/>
                <w:color w:val="auto"/>
              </w:rPr>
            </w:pPr>
            <w:r>
              <w:rPr>
                <w:rFonts w:hint="eastAsia" w:eastAsia="Times New Roman"/>
                <w:color w:val="auto"/>
              </w:rPr>
              <w:t>87.50</w:t>
            </w:r>
          </w:p>
        </w:tc>
        <w:tc>
          <w:tcPr>
            <w:tcW w:w="686" w:type="dxa"/>
            <w:tcBorders>
              <w:top w:val="single" w:color="000000" w:sz="2" w:space="0"/>
              <w:left w:val="single" w:color="000000" w:sz="2" w:space="0"/>
              <w:bottom w:val="single" w:color="000000" w:sz="2" w:space="0"/>
              <w:right w:val="single" w:color="000000" w:sz="8" w:space="0"/>
            </w:tcBorders>
            <w:vAlign w:val="center"/>
          </w:tcPr>
          <w:p w14:paraId="11B04E6D">
            <w:pPr>
              <w:pStyle w:val="129"/>
              <w:widowControl w:val="0"/>
              <w:rPr>
                <w:rFonts w:eastAsia="Times New Roman"/>
                <w:color w:val="auto"/>
              </w:rPr>
            </w:pPr>
            <w:r>
              <w:rPr>
                <w:rFonts w:hint="eastAsia" w:ascii="宋体" w:hAnsi="宋体" w:eastAsia="Times New Roman" w:cs="宋体"/>
                <w:color w:val="auto"/>
              </w:rPr>
              <w:t>达标</w:t>
            </w:r>
          </w:p>
        </w:tc>
      </w:tr>
      <w:tr w14:paraId="3D2AA6B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0636C813">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7EA62E15">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842C9C6">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45438B5E">
            <w:pPr>
              <w:pStyle w:val="129"/>
              <w:widowControl w:val="0"/>
              <w:rPr>
                <w:rFonts w:eastAsia="Times New Roman"/>
                <w:color w:val="auto"/>
              </w:rPr>
            </w:pPr>
            <w:r>
              <w:rPr>
                <w:rFonts w:eastAsia="Times New Roman"/>
                <w:color w:val="auto"/>
              </w:rPr>
              <w:t>0.01926</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B467834">
            <w:pPr>
              <w:pStyle w:val="129"/>
              <w:widowControl w:val="0"/>
              <w:rPr>
                <w:rFonts w:eastAsia="Times New Roman"/>
                <w:color w:val="auto"/>
              </w:rPr>
            </w:pPr>
            <w:r>
              <w:rPr>
                <w:rFonts w:eastAsia="Times New Roman"/>
                <w:color w:val="auto"/>
              </w:rPr>
              <w:t>0.05</w:t>
            </w:r>
          </w:p>
        </w:tc>
        <w:tc>
          <w:tcPr>
            <w:tcW w:w="1036" w:type="dxa"/>
            <w:tcBorders>
              <w:top w:val="single" w:color="000000" w:sz="2" w:space="0"/>
              <w:left w:val="single" w:color="000000" w:sz="2" w:space="0"/>
              <w:bottom w:val="single" w:color="000000" w:sz="2" w:space="0"/>
              <w:right w:val="single" w:color="000000" w:sz="2" w:space="0"/>
            </w:tcBorders>
            <w:vAlign w:val="center"/>
          </w:tcPr>
          <w:p w14:paraId="697E41AC">
            <w:pPr>
              <w:pStyle w:val="129"/>
              <w:widowControl w:val="0"/>
              <w:rPr>
                <w:rFonts w:eastAsia="Times New Roman"/>
                <w:color w:val="auto"/>
              </w:rPr>
            </w:pPr>
            <w:r>
              <w:rPr>
                <w:rFonts w:hint="eastAsia" w:eastAsia="Times New Roman"/>
                <w:color w:val="auto"/>
              </w:rPr>
              <w:t>25.80738</w:t>
            </w:r>
          </w:p>
        </w:tc>
        <w:tc>
          <w:tcPr>
            <w:tcW w:w="1375" w:type="dxa"/>
            <w:tcBorders>
              <w:top w:val="single" w:color="000000" w:sz="2" w:space="0"/>
              <w:left w:val="single" w:color="000000" w:sz="2" w:space="0"/>
              <w:bottom w:val="single" w:color="000000" w:sz="2" w:space="0"/>
              <w:right w:val="single" w:color="000000" w:sz="2" w:space="0"/>
            </w:tcBorders>
            <w:vAlign w:val="center"/>
          </w:tcPr>
          <w:p w14:paraId="2BAA5B12">
            <w:pPr>
              <w:pStyle w:val="129"/>
              <w:widowControl w:val="0"/>
              <w:rPr>
                <w:rFonts w:eastAsia="Times New Roman"/>
                <w:color w:val="auto"/>
              </w:rPr>
            </w:pPr>
            <w:r>
              <w:rPr>
                <w:rFonts w:hint="eastAsia" w:eastAsia="Times New Roman"/>
                <w:color w:val="auto"/>
              </w:rPr>
              <w:t>25.85318</w:t>
            </w:r>
          </w:p>
        </w:tc>
        <w:tc>
          <w:tcPr>
            <w:tcW w:w="705" w:type="dxa"/>
            <w:tcBorders>
              <w:top w:val="single" w:color="000000" w:sz="2" w:space="0"/>
              <w:left w:val="single" w:color="000000" w:sz="2" w:space="0"/>
              <w:bottom w:val="single" w:color="000000" w:sz="2" w:space="0"/>
              <w:right w:val="single" w:color="000000" w:sz="2" w:space="0"/>
            </w:tcBorders>
            <w:vAlign w:val="center"/>
          </w:tcPr>
          <w:p w14:paraId="4174977B">
            <w:pPr>
              <w:pStyle w:val="129"/>
              <w:widowControl w:val="0"/>
              <w:rPr>
                <w:rFonts w:eastAsia="Times New Roman"/>
                <w:color w:val="auto"/>
              </w:rPr>
            </w:pPr>
            <w:r>
              <w:rPr>
                <w:rFonts w:hint="eastAsia" w:eastAsia="Times New Roman"/>
                <w:color w:val="auto"/>
              </w:rPr>
              <w:t>64.63</w:t>
            </w:r>
          </w:p>
        </w:tc>
        <w:tc>
          <w:tcPr>
            <w:tcW w:w="686" w:type="dxa"/>
            <w:tcBorders>
              <w:top w:val="single" w:color="000000" w:sz="2" w:space="0"/>
              <w:left w:val="single" w:color="000000" w:sz="2" w:space="0"/>
              <w:bottom w:val="single" w:color="000000" w:sz="2" w:space="0"/>
              <w:right w:val="single" w:color="000000" w:sz="8" w:space="0"/>
            </w:tcBorders>
            <w:vAlign w:val="center"/>
          </w:tcPr>
          <w:p w14:paraId="30E430A3">
            <w:pPr>
              <w:pStyle w:val="129"/>
              <w:widowControl w:val="0"/>
              <w:rPr>
                <w:rFonts w:eastAsia="Times New Roman"/>
                <w:color w:val="auto"/>
              </w:rPr>
            </w:pPr>
            <w:r>
              <w:rPr>
                <w:rFonts w:hint="eastAsia" w:ascii="宋体" w:hAnsi="宋体" w:eastAsia="Times New Roman" w:cs="宋体"/>
                <w:color w:val="auto"/>
              </w:rPr>
              <w:t>达标</w:t>
            </w:r>
          </w:p>
        </w:tc>
      </w:tr>
      <w:tr w14:paraId="4F80DE3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284AC1F4">
            <w:pPr>
              <w:pStyle w:val="129"/>
              <w:widowControl w:val="0"/>
              <w:rPr>
                <w:rFonts w:eastAsia="Times New Roman"/>
                <w:color w:val="auto"/>
              </w:rPr>
            </w:pPr>
          </w:p>
        </w:tc>
        <w:tc>
          <w:tcPr>
            <w:tcW w:w="1343" w:type="dxa"/>
            <w:vMerge w:val="restart"/>
            <w:tcBorders>
              <w:top w:val="single" w:color="000000" w:sz="2" w:space="0"/>
              <w:left w:val="single" w:color="000000" w:sz="2" w:space="0"/>
              <w:bottom w:val="single" w:color="000000" w:sz="2" w:space="0"/>
              <w:right w:val="single" w:color="000000" w:sz="2" w:space="0"/>
            </w:tcBorders>
            <w:vAlign w:val="center"/>
          </w:tcPr>
          <w:p w14:paraId="56FF70B3">
            <w:pPr>
              <w:pStyle w:val="129"/>
              <w:widowControl w:val="0"/>
              <w:rPr>
                <w:rFonts w:eastAsia="Times New Roman"/>
                <w:color w:val="auto"/>
              </w:rPr>
            </w:pPr>
            <w:r>
              <w:rPr>
                <w:rFonts w:hint="eastAsia" w:eastAsia="Times New Roman"/>
                <w:color w:val="auto"/>
              </w:rPr>
              <w:t>乌鲁木齐市第</w:t>
            </w:r>
            <w:r>
              <w:rPr>
                <w:rFonts w:eastAsia="Times New Roman"/>
                <w:color w:val="auto"/>
              </w:rPr>
              <w:t>137</w:t>
            </w:r>
            <w:r>
              <w:rPr>
                <w:rFonts w:hint="eastAsia" w:eastAsia="Times New Roman"/>
                <w:color w:val="auto"/>
              </w:rPr>
              <w:t>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09372AC">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53A2FCB0">
            <w:pPr>
              <w:pStyle w:val="129"/>
              <w:widowControl w:val="0"/>
              <w:rPr>
                <w:rFonts w:eastAsia="Times New Roman"/>
                <w:color w:val="auto"/>
              </w:rPr>
            </w:pPr>
            <w:r>
              <w:rPr>
                <w:rFonts w:eastAsia="Times New Roman"/>
                <w:color w:val="auto"/>
              </w:rPr>
              <w:t>0.10485</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2EC4BB5D">
            <w:pPr>
              <w:pStyle w:val="129"/>
              <w:widowControl w:val="0"/>
              <w:rPr>
                <w:rFonts w:eastAsia="Times New Roman"/>
                <w:color w:val="auto"/>
              </w:rPr>
            </w:pPr>
            <w:r>
              <w:rPr>
                <w:rFonts w:eastAsia="Times New Roman"/>
                <w:color w:val="auto"/>
              </w:rPr>
              <w:t>0.13</w:t>
            </w:r>
          </w:p>
        </w:tc>
        <w:tc>
          <w:tcPr>
            <w:tcW w:w="1036" w:type="dxa"/>
            <w:tcBorders>
              <w:top w:val="single" w:color="000000" w:sz="2" w:space="0"/>
              <w:left w:val="single" w:color="000000" w:sz="2" w:space="0"/>
              <w:bottom w:val="single" w:color="000000" w:sz="2" w:space="0"/>
              <w:right w:val="single" w:color="000000" w:sz="2" w:space="0"/>
            </w:tcBorders>
            <w:vAlign w:val="center"/>
          </w:tcPr>
          <w:p w14:paraId="4C54A6F1">
            <w:pPr>
              <w:pStyle w:val="129"/>
              <w:widowControl w:val="0"/>
              <w:rPr>
                <w:rFonts w:eastAsia="Times New Roman"/>
                <w:color w:val="auto"/>
              </w:rPr>
            </w:pPr>
            <w:r>
              <w:rPr>
                <w:rFonts w:hint="eastAsia" w:eastAsia="Times New Roman"/>
                <w:color w:val="auto"/>
              </w:rPr>
              <w:t>70.0</w:t>
            </w:r>
          </w:p>
        </w:tc>
        <w:tc>
          <w:tcPr>
            <w:tcW w:w="1375" w:type="dxa"/>
            <w:tcBorders>
              <w:top w:val="single" w:color="000000" w:sz="2" w:space="0"/>
              <w:left w:val="single" w:color="000000" w:sz="2" w:space="0"/>
              <w:bottom w:val="single" w:color="000000" w:sz="2" w:space="0"/>
              <w:right w:val="single" w:color="000000" w:sz="2" w:space="0"/>
            </w:tcBorders>
            <w:vAlign w:val="center"/>
          </w:tcPr>
          <w:p w14:paraId="66954251">
            <w:pPr>
              <w:pStyle w:val="129"/>
              <w:widowControl w:val="0"/>
              <w:rPr>
                <w:rFonts w:eastAsia="Times New Roman"/>
                <w:color w:val="auto"/>
              </w:rPr>
            </w:pPr>
            <w:r>
              <w:rPr>
                <w:rFonts w:hint="eastAsia" w:eastAsia="Times New Roman"/>
                <w:color w:val="auto"/>
              </w:rPr>
              <w:t>70.00011</w:t>
            </w:r>
          </w:p>
        </w:tc>
        <w:tc>
          <w:tcPr>
            <w:tcW w:w="705" w:type="dxa"/>
            <w:tcBorders>
              <w:top w:val="single" w:color="000000" w:sz="2" w:space="0"/>
              <w:left w:val="single" w:color="000000" w:sz="2" w:space="0"/>
              <w:bottom w:val="single" w:color="000000" w:sz="2" w:space="0"/>
              <w:right w:val="single" w:color="000000" w:sz="2" w:space="0"/>
            </w:tcBorders>
            <w:vAlign w:val="center"/>
          </w:tcPr>
          <w:p w14:paraId="071E044E">
            <w:pPr>
              <w:pStyle w:val="129"/>
              <w:widowControl w:val="0"/>
              <w:rPr>
                <w:rFonts w:eastAsia="Times New Roman"/>
                <w:color w:val="auto"/>
              </w:rPr>
            </w:pPr>
            <w:r>
              <w:rPr>
                <w:rFonts w:hint="eastAsia" w:eastAsia="Times New Roman"/>
                <w:color w:val="auto"/>
              </w:rPr>
              <w:t>87.50</w:t>
            </w:r>
          </w:p>
        </w:tc>
        <w:tc>
          <w:tcPr>
            <w:tcW w:w="686" w:type="dxa"/>
            <w:tcBorders>
              <w:top w:val="single" w:color="000000" w:sz="2" w:space="0"/>
              <w:left w:val="single" w:color="000000" w:sz="2" w:space="0"/>
              <w:bottom w:val="single" w:color="000000" w:sz="2" w:space="0"/>
              <w:right w:val="single" w:color="000000" w:sz="8" w:space="0"/>
            </w:tcBorders>
            <w:vAlign w:val="center"/>
          </w:tcPr>
          <w:p w14:paraId="2597E6E0">
            <w:pPr>
              <w:pStyle w:val="129"/>
              <w:widowControl w:val="0"/>
              <w:rPr>
                <w:rFonts w:eastAsia="Times New Roman"/>
                <w:color w:val="auto"/>
              </w:rPr>
            </w:pPr>
            <w:r>
              <w:rPr>
                <w:rFonts w:hint="eastAsia" w:ascii="宋体" w:hAnsi="宋体" w:eastAsia="Times New Roman" w:cs="宋体"/>
                <w:color w:val="auto"/>
              </w:rPr>
              <w:t>达标</w:t>
            </w:r>
          </w:p>
        </w:tc>
      </w:tr>
      <w:tr w14:paraId="453B19D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1DDAB336">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6A19EB6B">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F6948AD">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051608C4">
            <w:pPr>
              <w:pStyle w:val="129"/>
              <w:widowControl w:val="0"/>
              <w:rPr>
                <w:rFonts w:eastAsia="Times New Roman"/>
                <w:color w:val="auto"/>
              </w:rPr>
            </w:pPr>
            <w:r>
              <w:rPr>
                <w:rFonts w:eastAsia="Times New Roman"/>
                <w:color w:val="auto"/>
              </w:rPr>
              <w:t>0.00434</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395AFAAE">
            <w:pPr>
              <w:pStyle w:val="129"/>
              <w:widowControl w:val="0"/>
              <w:rPr>
                <w:rFonts w:eastAsia="Times New Roman"/>
                <w:color w:val="auto"/>
              </w:rPr>
            </w:pPr>
            <w:r>
              <w:rPr>
                <w:rFonts w:eastAsia="Times New Roman"/>
                <w:color w:val="auto"/>
              </w:rPr>
              <w:t>0.01</w:t>
            </w:r>
          </w:p>
        </w:tc>
        <w:tc>
          <w:tcPr>
            <w:tcW w:w="1036" w:type="dxa"/>
            <w:tcBorders>
              <w:top w:val="single" w:color="000000" w:sz="2" w:space="0"/>
              <w:left w:val="single" w:color="000000" w:sz="2" w:space="0"/>
              <w:bottom w:val="single" w:color="000000" w:sz="2" w:space="0"/>
              <w:right w:val="single" w:color="000000" w:sz="2" w:space="0"/>
            </w:tcBorders>
            <w:vAlign w:val="center"/>
          </w:tcPr>
          <w:p w14:paraId="724FB6E1">
            <w:pPr>
              <w:pStyle w:val="129"/>
              <w:widowControl w:val="0"/>
              <w:rPr>
                <w:rFonts w:eastAsia="Times New Roman"/>
                <w:color w:val="auto"/>
              </w:rPr>
            </w:pPr>
            <w:r>
              <w:rPr>
                <w:rFonts w:hint="eastAsia" w:eastAsia="Times New Roman"/>
                <w:color w:val="auto"/>
              </w:rPr>
              <w:t>25.80738</w:t>
            </w:r>
          </w:p>
        </w:tc>
        <w:tc>
          <w:tcPr>
            <w:tcW w:w="1375" w:type="dxa"/>
            <w:tcBorders>
              <w:top w:val="single" w:color="000000" w:sz="2" w:space="0"/>
              <w:left w:val="single" w:color="000000" w:sz="2" w:space="0"/>
              <w:bottom w:val="single" w:color="000000" w:sz="2" w:space="0"/>
              <w:right w:val="single" w:color="000000" w:sz="2" w:space="0"/>
            </w:tcBorders>
            <w:vAlign w:val="center"/>
          </w:tcPr>
          <w:p w14:paraId="7727D57D">
            <w:pPr>
              <w:pStyle w:val="129"/>
              <w:widowControl w:val="0"/>
              <w:rPr>
                <w:rFonts w:eastAsia="Times New Roman"/>
                <w:color w:val="auto"/>
              </w:rPr>
            </w:pPr>
            <w:r>
              <w:rPr>
                <w:rFonts w:hint="eastAsia" w:eastAsia="Times New Roman"/>
                <w:color w:val="auto"/>
              </w:rPr>
              <w:t>25.82606</w:t>
            </w:r>
          </w:p>
        </w:tc>
        <w:tc>
          <w:tcPr>
            <w:tcW w:w="705" w:type="dxa"/>
            <w:tcBorders>
              <w:top w:val="single" w:color="000000" w:sz="2" w:space="0"/>
              <w:left w:val="single" w:color="000000" w:sz="2" w:space="0"/>
              <w:bottom w:val="single" w:color="000000" w:sz="2" w:space="0"/>
              <w:right w:val="single" w:color="000000" w:sz="2" w:space="0"/>
            </w:tcBorders>
            <w:vAlign w:val="center"/>
          </w:tcPr>
          <w:p w14:paraId="4E361113">
            <w:pPr>
              <w:pStyle w:val="129"/>
              <w:widowControl w:val="0"/>
              <w:rPr>
                <w:rFonts w:eastAsia="Times New Roman"/>
                <w:color w:val="auto"/>
              </w:rPr>
            </w:pPr>
            <w:r>
              <w:rPr>
                <w:rFonts w:hint="eastAsia" w:eastAsia="Times New Roman"/>
                <w:color w:val="auto"/>
              </w:rPr>
              <w:t>64.57</w:t>
            </w:r>
          </w:p>
        </w:tc>
        <w:tc>
          <w:tcPr>
            <w:tcW w:w="686" w:type="dxa"/>
            <w:tcBorders>
              <w:top w:val="single" w:color="000000" w:sz="2" w:space="0"/>
              <w:left w:val="single" w:color="000000" w:sz="2" w:space="0"/>
              <w:bottom w:val="single" w:color="000000" w:sz="2" w:space="0"/>
              <w:right w:val="single" w:color="000000" w:sz="8" w:space="0"/>
            </w:tcBorders>
            <w:vAlign w:val="center"/>
          </w:tcPr>
          <w:p w14:paraId="0B39D8B4">
            <w:pPr>
              <w:pStyle w:val="129"/>
              <w:widowControl w:val="0"/>
              <w:rPr>
                <w:rFonts w:eastAsia="Times New Roman"/>
                <w:color w:val="auto"/>
              </w:rPr>
            </w:pPr>
            <w:r>
              <w:rPr>
                <w:rFonts w:hint="eastAsia" w:ascii="宋体" w:hAnsi="宋体" w:eastAsia="Times New Roman" w:cs="宋体"/>
                <w:color w:val="auto"/>
              </w:rPr>
              <w:t>达标</w:t>
            </w:r>
          </w:p>
        </w:tc>
      </w:tr>
      <w:tr w14:paraId="7FD8DF5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075B9D56">
            <w:pPr>
              <w:pStyle w:val="129"/>
              <w:widowControl w:val="0"/>
              <w:rPr>
                <w:rFonts w:eastAsia="Times New Roman"/>
                <w:color w:val="auto"/>
              </w:rPr>
            </w:pPr>
          </w:p>
        </w:tc>
        <w:tc>
          <w:tcPr>
            <w:tcW w:w="1343" w:type="dxa"/>
            <w:vMerge w:val="restart"/>
            <w:tcBorders>
              <w:top w:val="single" w:color="000000" w:sz="2" w:space="0"/>
              <w:left w:val="single" w:color="000000" w:sz="2" w:space="0"/>
              <w:bottom w:val="single" w:color="000000" w:sz="2" w:space="0"/>
              <w:right w:val="single" w:color="000000" w:sz="2" w:space="0"/>
            </w:tcBorders>
            <w:vAlign w:val="center"/>
          </w:tcPr>
          <w:p w14:paraId="60AF9740">
            <w:pPr>
              <w:pStyle w:val="129"/>
              <w:widowControl w:val="0"/>
              <w:rPr>
                <w:rFonts w:eastAsia="Times New Roman"/>
                <w:color w:val="auto"/>
              </w:rPr>
            </w:pPr>
            <w:r>
              <w:rPr>
                <w:rFonts w:hint="eastAsia" w:eastAsia="Times New Roman"/>
                <w:color w:val="auto"/>
              </w:rPr>
              <w:t>网格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B4A5621">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7DD70EB2">
            <w:pPr>
              <w:pStyle w:val="129"/>
              <w:widowControl w:val="0"/>
              <w:rPr>
                <w:rFonts w:eastAsia="Times New Roman"/>
                <w:color w:val="auto"/>
              </w:rPr>
            </w:pPr>
            <w:r>
              <w:rPr>
                <w:rFonts w:eastAsia="Times New Roman"/>
                <w:color w:val="auto"/>
              </w:rPr>
              <w:t>3.85951</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3E5BB348">
            <w:pPr>
              <w:pStyle w:val="129"/>
              <w:widowControl w:val="0"/>
              <w:rPr>
                <w:rFonts w:eastAsia="Times New Roman"/>
                <w:color w:val="auto"/>
              </w:rPr>
            </w:pPr>
            <w:r>
              <w:rPr>
                <w:rFonts w:eastAsia="Times New Roman"/>
                <w:color w:val="auto"/>
              </w:rPr>
              <w:t>4.82</w:t>
            </w:r>
          </w:p>
        </w:tc>
        <w:tc>
          <w:tcPr>
            <w:tcW w:w="1036" w:type="dxa"/>
            <w:tcBorders>
              <w:top w:val="single" w:color="000000" w:sz="2" w:space="0"/>
              <w:left w:val="single" w:color="000000" w:sz="2" w:space="0"/>
              <w:bottom w:val="single" w:color="000000" w:sz="2" w:space="0"/>
              <w:right w:val="single" w:color="000000" w:sz="2" w:space="0"/>
            </w:tcBorders>
            <w:vAlign w:val="center"/>
          </w:tcPr>
          <w:p w14:paraId="5EF9AB4B">
            <w:pPr>
              <w:pStyle w:val="129"/>
              <w:widowControl w:val="0"/>
              <w:rPr>
                <w:rFonts w:eastAsia="Times New Roman"/>
                <w:color w:val="auto"/>
              </w:rPr>
            </w:pPr>
            <w:r>
              <w:rPr>
                <w:rFonts w:hint="eastAsia" w:eastAsia="Times New Roman"/>
                <w:color w:val="auto"/>
              </w:rPr>
              <w:t>70.0</w:t>
            </w:r>
          </w:p>
        </w:tc>
        <w:tc>
          <w:tcPr>
            <w:tcW w:w="1375" w:type="dxa"/>
            <w:tcBorders>
              <w:top w:val="single" w:color="000000" w:sz="2" w:space="0"/>
              <w:left w:val="single" w:color="000000" w:sz="2" w:space="0"/>
              <w:bottom w:val="single" w:color="000000" w:sz="2" w:space="0"/>
              <w:right w:val="single" w:color="000000" w:sz="2" w:space="0"/>
            </w:tcBorders>
            <w:vAlign w:val="center"/>
          </w:tcPr>
          <w:p w14:paraId="2B2D49CB">
            <w:pPr>
              <w:pStyle w:val="129"/>
              <w:widowControl w:val="0"/>
              <w:rPr>
                <w:rFonts w:eastAsia="Times New Roman"/>
                <w:color w:val="auto"/>
              </w:rPr>
            </w:pPr>
            <w:r>
              <w:rPr>
                <w:rFonts w:hint="eastAsia" w:eastAsia="Times New Roman"/>
                <w:color w:val="auto"/>
              </w:rPr>
              <w:t>71.33378</w:t>
            </w:r>
          </w:p>
        </w:tc>
        <w:tc>
          <w:tcPr>
            <w:tcW w:w="705" w:type="dxa"/>
            <w:tcBorders>
              <w:top w:val="single" w:color="000000" w:sz="2" w:space="0"/>
              <w:left w:val="single" w:color="000000" w:sz="2" w:space="0"/>
              <w:bottom w:val="single" w:color="000000" w:sz="2" w:space="0"/>
              <w:right w:val="single" w:color="000000" w:sz="2" w:space="0"/>
            </w:tcBorders>
            <w:vAlign w:val="center"/>
          </w:tcPr>
          <w:p w14:paraId="0374B9A8">
            <w:pPr>
              <w:pStyle w:val="129"/>
              <w:widowControl w:val="0"/>
              <w:rPr>
                <w:rFonts w:eastAsia="Times New Roman"/>
                <w:color w:val="auto"/>
              </w:rPr>
            </w:pPr>
            <w:r>
              <w:rPr>
                <w:rFonts w:hint="eastAsia" w:eastAsia="Times New Roman"/>
                <w:color w:val="auto"/>
              </w:rPr>
              <w:t>89.17</w:t>
            </w:r>
          </w:p>
        </w:tc>
        <w:tc>
          <w:tcPr>
            <w:tcW w:w="686" w:type="dxa"/>
            <w:tcBorders>
              <w:top w:val="single" w:color="000000" w:sz="2" w:space="0"/>
              <w:left w:val="single" w:color="000000" w:sz="2" w:space="0"/>
              <w:bottom w:val="single" w:color="000000" w:sz="2" w:space="0"/>
              <w:right w:val="single" w:color="000000" w:sz="8" w:space="0"/>
            </w:tcBorders>
            <w:vAlign w:val="center"/>
          </w:tcPr>
          <w:p w14:paraId="30030B65">
            <w:pPr>
              <w:pStyle w:val="129"/>
              <w:widowControl w:val="0"/>
              <w:rPr>
                <w:rFonts w:eastAsia="Times New Roman"/>
                <w:color w:val="auto"/>
              </w:rPr>
            </w:pPr>
            <w:r>
              <w:rPr>
                <w:rFonts w:hint="eastAsia" w:ascii="宋体" w:hAnsi="宋体" w:eastAsia="Times New Roman" w:cs="宋体"/>
                <w:color w:val="auto"/>
              </w:rPr>
              <w:t>达标</w:t>
            </w:r>
          </w:p>
        </w:tc>
      </w:tr>
      <w:tr w14:paraId="71739EE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3DFD92B5">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43F1EBEA">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32F458C2">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62FDE1C4">
            <w:pPr>
              <w:pStyle w:val="129"/>
              <w:widowControl w:val="0"/>
              <w:rPr>
                <w:rFonts w:eastAsia="Times New Roman"/>
                <w:color w:val="auto"/>
              </w:rPr>
            </w:pPr>
            <w:r>
              <w:rPr>
                <w:rFonts w:eastAsia="Times New Roman"/>
                <w:color w:val="auto"/>
              </w:rPr>
              <w:t>0.78333</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0CB0D7F">
            <w:pPr>
              <w:pStyle w:val="129"/>
              <w:widowControl w:val="0"/>
              <w:rPr>
                <w:rFonts w:eastAsia="Times New Roman"/>
                <w:color w:val="auto"/>
              </w:rPr>
            </w:pPr>
            <w:r>
              <w:rPr>
                <w:rFonts w:eastAsia="Times New Roman"/>
                <w:color w:val="auto"/>
              </w:rPr>
              <w:t>1.96</w:t>
            </w:r>
          </w:p>
        </w:tc>
        <w:tc>
          <w:tcPr>
            <w:tcW w:w="1036" w:type="dxa"/>
            <w:tcBorders>
              <w:top w:val="single" w:color="000000" w:sz="2" w:space="0"/>
              <w:left w:val="single" w:color="000000" w:sz="2" w:space="0"/>
              <w:bottom w:val="single" w:color="000000" w:sz="2" w:space="0"/>
              <w:right w:val="single" w:color="000000" w:sz="2" w:space="0"/>
            </w:tcBorders>
            <w:vAlign w:val="center"/>
          </w:tcPr>
          <w:p w14:paraId="48D18D30">
            <w:pPr>
              <w:pStyle w:val="129"/>
              <w:widowControl w:val="0"/>
              <w:rPr>
                <w:rFonts w:eastAsia="Times New Roman"/>
                <w:color w:val="auto"/>
              </w:rPr>
            </w:pPr>
            <w:r>
              <w:rPr>
                <w:rFonts w:hint="eastAsia" w:eastAsia="Times New Roman"/>
                <w:color w:val="auto"/>
              </w:rPr>
              <w:t>25.80738</w:t>
            </w:r>
          </w:p>
        </w:tc>
        <w:tc>
          <w:tcPr>
            <w:tcW w:w="1375" w:type="dxa"/>
            <w:tcBorders>
              <w:top w:val="single" w:color="000000" w:sz="2" w:space="0"/>
              <w:left w:val="single" w:color="000000" w:sz="2" w:space="0"/>
              <w:bottom w:val="single" w:color="000000" w:sz="2" w:space="0"/>
              <w:right w:val="single" w:color="000000" w:sz="2" w:space="0"/>
            </w:tcBorders>
            <w:vAlign w:val="center"/>
          </w:tcPr>
          <w:p w14:paraId="2A22524A">
            <w:pPr>
              <w:pStyle w:val="129"/>
              <w:widowControl w:val="0"/>
              <w:rPr>
                <w:rFonts w:eastAsia="Times New Roman"/>
                <w:color w:val="auto"/>
              </w:rPr>
            </w:pPr>
            <w:r>
              <w:rPr>
                <w:rFonts w:hint="eastAsia" w:eastAsia="Times New Roman"/>
                <w:color w:val="auto"/>
              </w:rPr>
              <w:t>26.95081</w:t>
            </w:r>
          </w:p>
        </w:tc>
        <w:tc>
          <w:tcPr>
            <w:tcW w:w="705" w:type="dxa"/>
            <w:tcBorders>
              <w:top w:val="single" w:color="000000" w:sz="2" w:space="0"/>
              <w:left w:val="single" w:color="000000" w:sz="2" w:space="0"/>
              <w:bottom w:val="single" w:color="000000" w:sz="2" w:space="0"/>
              <w:right w:val="single" w:color="000000" w:sz="2" w:space="0"/>
            </w:tcBorders>
            <w:vAlign w:val="center"/>
          </w:tcPr>
          <w:p w14:paraId="01BBB149">
            <w:pPr>
              <w:pStyle w:val="129"/>
              <w:widowControl w:val="0"/>
              <w:rPr>
                <w:rFonts w:eastAsiaTheme="minorEastAsia"/>
                <w:color w:val="auto"/>
              </w:rPr>
            </w:pPr>
            <w:r>
              <w:rPr>
                <w:rFonts w:hint="eastAsia" w:eastAsia="Times New Roman"/>
                <w:color w:val="auto"/>
              </w:rPr>
              <w:t>67.38</w:t>
            </w:r>
          </w:p>
        </w:tc>
        <w:tc>
          <w:tcPr>
            <w:tcW w:w="686" w:type="dxa"/>
            <w:tcBorders>
              <w:top w:val="single" w:color="000000" w:sz="2" w:space="0"/>
              <w:left w:val="single" w:color="000000" w:sz="2" w:space="0"/>
              <w:bottom w:val="single" w:color="000000" w:sz="2" w:space="0"/>
              <w:right w:val="single" w:color="000000" w:sz="8" w:space="0"/>
            </w:tcBorders>
            <w:vAlign w:val="center"/>
          </w:tcPr>
          <w:p w14:paraId="188CED2D">
            <w:pPr>
              <w:pStyle w:val="129"/>
              <w:widowControl w:val="0"/>
              <w:rPr>
                <w:rFonts w:eastAsia="Times New Roman"/>
                <w:color w:val="auto"/>
              </w:rPr>
            </w:pPr>
            <w:r>
              <w:rPr>
                <w:rFonts w:hint="eastAsia" w:ascii="宋体" w:hAnsi="宋体" w:eastAsia="Times New Roman" w:cs="宋体"/>
                <w:color w:val="auto"/>
              </w:rPr>
              <w:t>达标</w:t>
            </w:r>
          </w:p>
        </w:tc>
      </w:tr>
      <w:tr w14:paraId="41D991B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bottom w:val="single" w:color="000000" w:sz="2" w:space="0"/>
              <w:right w:val="single" w:color="000000" w:sz="2" w:space="0"/>
            </w:tcBorders>
            <w:noWrap/>
            <w:vAlign w:val="center"/>
          </w:tcPr>
          <w:p w14:paraId="7BA406AA">
            <w:pPr>
              <w:pStyle w:val="129"/>
              <w:widowControl w:val="0"/>
              <w:rPr>
                <w:rFonts w:eastAsia="Times New Roman"/>
                <w:color w:val="auto"/>
              </w:rPr>
            </w:pPr>
            <w:r>
              <w:rPr>
                <w:rFonts w:eastAsia="Times New Roman"/>
                <w:color w:val="auto"/>
              </w:rPr>
              <w:t>PM</w:t>
            </w:r>
            <w:r>
              <w:rPr>
                <w:rFonts w:eastAsia="Times New Roman"/>
                <w:color w:val="auto"/>
                <w:vertAlign w:val="subscript"/>
              </w:rPr>
              <w:t>10</w:t>
            </w:r>
          </w:p>
        </w:tc>
        <w:tc>
          <w:tcPr>
            <w:tcW w:w="1343" w:type="dxa"/>
            <w:vMerge w:val="restart"/>
            <w:tcBorders>
              <w:top w:val="single" w:color="000000" w:sz="2" w:space="0"/>
              <w:left w:val="single" w:color="000000" w:sz="2" w:space="0"/>
              <w:bottom w:val="single" w:color="000000" w:sz="2" w:space="0"/>
              <w:right w:val="single" w:color="000000" w:sz="2" w:space="0"/>
            </w:tcBorders>
            <w:noWrap/>
            <w:vAlign w:val="center"/>
          </w:tcPr>
          <w:p w14:paraId="5EA0A69C">
            <w:pPr>
              <w:pStyle w:val="129"/>
              <w:widowControl w:val="0"/>
              <w:rPr>
                <w:rFonts w:eastAsia="Times New Roman"/>
                <w:color w:val="auto"/>
              </w:rPr>
            </w:pPr>
            <w:r>
              <w:rPr>
                <w:rFonts w:hint="eastAsia" w:eastAsia="Times New Roman"/>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54249C71">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1B9278DD">
            <w:pPr>
              <w:pStyle w:val="129"/>
              <w:widowControl w:val="0"/>
              <w:rPr>
                <w:rFonts w:eastAsia="Times New Roman"/>
                <w:color w:val="auto"/>
              </w:rPr>
            </w:pPr>
            <w:r>
              <w:rPr>
                <w:rFonts w:eastAsia="Times New Roman"/>
                <w:color w:val="auto"/>
              </w:rPr>
              <w:t>0.39211</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5D3379A5">
            <w:pPr>
              <w:pStyle w:val="129"/>
              <w:widowControl w:val="0"/>
              <w:rPr>
                <w:rFonts w:eastAsia="Times New Roman"/>
                <w:color w:val="auto"/>
              </w:rPr>
            </w:pPr>
            <w:r>
              <w:rPr>
                <w:rFonts w:eastAsia="Times New Roman"/>
                <w:color w:val="auto"/>
              </w:rPr>
              <w:t>0.33</w:t>
            </w:r>
          </w:p>
        </w:tc>
        <w:tc>
          <w:tcPr>
            <w:tcW w:w="1036" w:type="dxa"/>
            <w:tcBorders>
              <w:top w:val="single" w:color="000000" w:sz="2" w:space="0"/>
              <w:left w:val="single" w:color="000000" w:sz="2" w:space="0"/>
              <w:bottom w:val="single" w:color="000000" w:sz="2" w:space="0"/>
              <w:right w:val="single" w:color="000000" w:sz="2" w:space="0"/>
            </w:tcBorders>
            <w:vAlign w:val="center"/>
          </w:tcPr>
          <w:p w14:paraId="1ACE9419">
            <w:pPr>
              <w:pStyle w:val="129"/>
              <w:widowControl w:val="0"/>
              <w:rPr>
                <w:rFonts w:eastAsia="Times New Roman"/>
                <w:color w:val="auto"/>
              </w:rPr>
            </w:pPr>
            <w:r>
              <w:rPr>
                <w:rFonts w:hint="eastAsia" w:eastAsia="Times New Roman"/>
                <w:color w:val="auto"/>
              </w:rPr>
              <w:t>133.3333</w:t>
            </w:r>
          </w:p>
        </w:tc>
        <w:tc>
          <w:tcPr>
            <w:tcW w:w="1375" w:type="dxa"/>
            <w:tcBorders>
              <w:top w:val="single" w:color="000000" w:sz="2" w:space="0"/>
              <w:left w:val="single" w:color="000000" w:sz="2" w:space="0"/>
              <w:bottom w:val="single" w:color="000000" w:sz="2" w:space="0"/>
              <w:right w:val="single" w:color="000000" w:sz="2" w:space="0"/>
            </w:tcBorders>
            <w:vAlign w:val="center"/>
          </w:tcPr>
          <w:p w14:paraId="02143ECE">
            <w:pPr>
              <w:pStyle w:val="129"/>
              <w:widowControl w:val="0"/>
              <w:rPr>
                <w:rFonts w:eastAsia="Times New Roman"/>
                <w:color w:val="auto"/>
              </w:rPr>
            </w:pPr>
            <w:r>
              <w:rPr>
                <w:rFonts w:hint="eastAsia" w:eastAsia="Times New Roman"/>
                <w:color w:val="auto"/>
              </w:rPr>
              <w:t>133.3333</w:t>
            </w:r>
          </w:p>
        </w:tc>
        <w:tc>
          <w:tcPr>
            <w:tcW w:w="705" w:type="dxa"/>
            <w:tcBorders>
              <w:top w:val="single" w:color="000000" w:sz="2" w:space="0"/>
              <w:left w:val="single" w:color="000000" w:sz="2" w:space="0"/>
              <w:bottom w:val="single" w:color="000000" w:sz="2" w:space="0"/>
              <w:right w:val="single" w:color="000000" w:sz="2" w:space="0"/>
            </w:tcBorders>
            <w:vAlign w:val="center"/>
          </w:tcPr>
          <w:p w14:paraId="5DBA0F65">
            <w:pPr>
              <w:pStyle w:val="129"/>
              <w:widowControl w:val="0"/>
              <w:rPr>
                <w:rFonts w:eastAsia="Times New Roman"/>
                <w:color w:val="auto"/>
                <w:highlight w:val="yellow"/>
              </w:rPr>
            </w:pPr>
            <w:r>
              <w:rPr>
                <w:rFonts w:hint="eastAsia" w:eastAsia="Times New Roman"/>
                <w:color w:val="auto"/>
              </w:rPr>
              <w:t>111.11</w:t>
            </w:r>
          </w:p>
        </w:tc>
        <w:tc>
          <w:tcPr>
            <w:tcW w:w="686" w:type="dxa"/>
            <w:tcBorders>
              <w:top w:val="single" w:color="000000" w:sz="2" w:space="0"/>
              <w:left w:val="single" w:color="000000" w:sz="2" w:space="0"/>
              <w:bottom w:val="single" w:color="000000" w:sz="2" w:space="0"/>
              <w:right w:val="single" w:color="000000" w:sz="8" w:space="0"/>
            </w:tcBorders>
            <w:vAlign w:val="center"/>
          </w:tcPr>
          <w:p w14:paraId="45ED7620">
            <w:pPr>
              <w:pStyle w:val="129"/>
              <w:widowControl w:val="0"/>
              <w:rPr>
                <w:rFonts w:eastAsia="Times New Roman"/>
                <w:color w:val="auto"/>
                <w:highlight w:val="yellow"/>
              </w:rPr>
            </w:pPr>
            <w:r>
              <w:rPr>
                <w:rFonts w:hint="eastAsia" w:ascii="宋体" w:hAnsi="宋体" w:eastAsia="Times New Roman" w:cs="宋体"/>
                <w:color w:val="auto"/>
              </w:rPr>
              <w:t>超标</w:t>
            </w:r>
          </w:p>
        </w:tc>
      </w:tr>
      <w:tr w14:paraId="56CE7DB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52B76554">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60B73788">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6FDA4B73">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248D5BF6">
            <w:pPr>
              <w:pStyle w:val="129"/>
              <w:widowControl w:val="0"/>
              <w:rPr>
                <w:rFonts w:eastAsia="Times New Roman"/>
                <w:color w:val="auto"/>
              </w:rPr>
            </w:pPr>
            <w:r>
              <w:rPr>
                <w:rFonts w:eastAsia="Times New Roman"/>
                <w:color w:val="auto"/>
              </w:rPr>
              <w:t>0.01498</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5E0DB678">
            <w:pPr>
              <w:pStyle w:val="129"/>
              <w:widowControl w:val="0"/>
              <w:rPr>
                <w:rFonts w:eastAsia="Times New Roman"/>
                <w:color w:val="auto"/>
              </w:rPr>
            </w:pPr>
            <w:r>
              <w:rPr>
                <w:rFonts w:eastAsia="Times New Roman"/>
                <w:color w:val="auto"/>
              </w:rPr>
              <w:t>0.02</w:t>
            </w:r>
          </w:p>
        </w:tc>
        <w:tc>
          <w:tcPr>
            <w:tcW w:w="1036" w:type="dxa"/>
            <w:tcBorders>
              <w:top w:val="single" w:color="000000" w:sz="2" w:space="0"/>
              <w:left w:val="single" w:color="000000" w:sz="2" w:space="0"/>
              <w:bottom w:val="single" w:color="000000" w:sz="2" w:space="0"/>
              <w:right w:val="single" w:color="000000" w:sz="2" w:space="0"/>
            </w:tcBorders>
            <w:vAlign w:val="center"/>
          </w:tcPr>
          <w:p w14:paraId="4F1E0C15">
            <w:pPr>
              <w:pStyle w:val="129"/>
              <w:widowControl w:val="0"/>
              <w:rPr>
                <w:rFonts w:eastAsia="Times New Roman"/>
                <w:color w:val="auto"/>
              </w:rPr>
            </w:pPr>
            <w:r>
              <w:rPr>
                <w:rFonts w:hint="eastAsia" w:eastAsia="Times New Roman"/>
                <w:color w:val="auto"/>
              </w:rPr>
              <w:t>65.93716</w:t>
            </w:r>
          </w:p>
        </w:tc>
        <w:tc>
          <w:tcPr>
            <w:tcW w:w="1375" w:type="dxa"/>
            <w:tcBorders>
              <w:top w:val="single" w:color="000000" w:sz="2" w:space="0"/>
              <w:left w:val="single" w:color="000000" w:sz="2" w:space="0"/>
              <w:bottom w:val="single" w:color="000000" w:sz="2" w:space="0"/>
              <w:right w:val="single" w:color="000000" w:sz="2" w:space="0"/>
            </w:tcBorders>
            <w:vAlign w:val="center"/>
          </w:tcPr>
          <w:p w14:paraId="4EC27073">
            <w:pPr>
              <w:pStyle w:val="129"/>
              <w:widowControl w:val="0"/>
              <w:rPr>
                <w:rFonts w:eastAsia="Times New Roman"/>
                <w:color w:val="auto"/>
              </w:rPr>
            </w:pPr>
            <w:r>
              <w:rPr>
                <w:rFonts w:hint="eastAsia" w:eastAsia="Times New Roman"/>
                <w:color w:val="auto"/>
              </w:rPr>
              <w:t>65.88539</w:t>
            </w:r>
          </w:p>
        </w:tc>
        <w:tc>
          <w:tcPr>
            <w:tcW w:w="705" w:type="dxa"/>
            <w:tcBorders>
              <w:top w:val="single" w:color="000000" w:sz="2" w:space="0"/>
              <w:left w:val="single" w:color="000000" w:sz="2" w:space="0"/>
              <w:bottom w:val="single" w:color="000000" w:sz="2" w:space="0"/>
              <w:right w:val="single" w:color="000000" w:sz="2" w:space="0"/>
            </w:tcBorders>
            <w:vAlign w:val="center"/>
          </w:tcPr>
          <w:p w14:paraId="1460B80F">
            <w:pPr>
              <w:pStyle w:val="129"/>
              <w:widowControl w:val="0"/>
              <w:rPr>
                <w:rFonts w:eastAsia="Times New Roman"/>
                <w:color w:val="auto"/>
                <w:highlight w:val="yellow"/>
              </w:rPr>
            </w:pPr>
            <w:r>
              <w:rPr>
                <w:rFonts w:hint="eastAsia" w:eastAsia="Times New Roman"/>
                <w:color w:val="auto"/>
              </w:rPr>
              <w:t>109.81</w:t>
            </w:r>
          </w:p>
        </w:tc>
        <w:tc>
          <w:tcPr>
            <w:tcW w:w="686" w:type="dxa"/>
            <w:tcBorders>
              <w:top w:val="single" w:color="000000" w:sz="2" w:space="0"/>
              <w:left w:val="single" w:color="000000" w:sz="2" w:space="0"/>
              <w:bottom w:val="single" w:color="000000" w:sz="2" w:space="0"/>
              <w:right w:val="single" w:color="000000" w:sz="8" w:space="0"/>
            </w:tcBorders>
            <w:vAlign w:val="center"/>
          </w:tcPr>
          <w:p w14:paraId="5D81C77A">
            <w:pPr>
              <w:pStyle w:val="129"/>
              <w:widowControl w:val="0"/>
              <w:rPr>
                <w:rFonts w:eastAsia="Times New Roman"/>
                <w:color w:val="auto"/>
                <w:highlight w:val="yellow"/>
              </w:rPr>
            </w:pPr>
            <w:r>
              <w:rPr>
                <w:rFonts w:hint="eastAsia" w:ascii="宋体" w:hAnsi="宋体" w:eastAsia="Times New Roman" w:cs="宋体"/>
                <w:color w:val="auto"/>
              </w:rPr>
              <w:t>超标</w:t>
            </w:r>
          </w:p>
        </w:tc>
      </w:tr>
      <w:tr w14:paraId="69A2EAB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4AB9D2FC">
            <w:pPr>
              <w:pStyle w:val="129"/>
              <w:widowControl w:val="0"/>
              <w:rPr>
                <w:rFonts w:eastAsia="Times New Roman"/>
                <w:color w:val="auto"/>
              </w:rPr>
            </w:pPr>
          </w:p>
        </w:tc>
        <w:tc>
          <w:tcPr>
            <w:tcW w:w="1343" w:type="dxa"/>
            <w:vMerge w:val="restart"/>
            <w:tcBorders>
              <w:top w:val="single" w:color="000000" w:sz="2" w:space="0"/>
              <w:left w:val="single" w:color="000000" w:sz="2" w:space="0"/>
              <w:bottom w:val="single" w:color="000000" w:sz="2" w:space="0"/>
              <w:right w:val="single" w:color="000000" w:sz="2" w:space="0"/>
            </w:tcBorders>
            <w:vAlign w:val="center"/>
          </w:tcPr>
          <w:p w14:paraId="55DFF0E7">
            <w:pPr>
              <w:pStyle w:val="129"/>
              <w:widowControl w:val="0"/>
              <w:rPr>
                <w:rFonts w:eastAsia="Times New Roman"/>
                <w:color w:val="auto"/>
              </w:rPr>
            </w:pPr>
            <w:r>
              <w:rPr>
                <w:rFonts w:hint="eastAsia" w:eastAsia="Times New Roman"/>
                <w:color w:val="auto"/>
              </w:rPr>
              <w:t>乌鲁木齐市第</w:t>
            </w:r>
            <w:r>
              <w:rPr>
                <w:rFonts w:eastAsia="Times New Roman"/>
                <w:color w:val="auto"/>
              </w:rPr>
              <w:t>137</w:t>
            </w:r>
            <w:r>
              <w:rPr>
                <w:rFonts w:hint="eastAsia" w:eastAsia="Times New Roman"/>
                <w:color w:val="auto"/>
              </w:rPr>
              <w:t>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B29A237">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5740D8B8">
            <w:pPr>
              <w:pStyle w:val="129"/>
              <w:widowControl w:val="0"/>
              <w:rPr>
                <w:rFonts w:eastAsia="Times New Roman"/>
                <w:color w:val="auto"/>
              </w:rPr>
            </w:pPr>
            <w:r>
              <w:rPr>
                <w:rFonts w:eastAsia="Times New Roman"/>
                <w:color w:val="auto"/>
              </w:rPr>
              <w:t>0.07931</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6DC6E248">
            <w:pPr>
              <w:pStyle w:val="129"/>
              <w:widowControl w:val="0"/>
              <w:rPr>
                <w:rFonts w:eastAsia="Times New Roman"/>
                <w:color w:val="auto"/>
              </w:rPr>
            </w:pPr>
            <w:r>
              <w:rPr>
                <w:rFonts w:eastAsia="Times New Roman"/>
                <w:color w:val="auto"/>
              </w:rPr>
              <w:t>0.07</w:t>
            </w:r>
          </w:p>
        </w:tc>
        <w:tc>
          <w:tcPr>
            <w:tcW w:w="1036" w:type="dxa"/>
            <w:tcBorders>
              <w:top w:val="single" w:color="000000" w:sz="2" w:space="0"/>
              <w:left w:val="single" w:color="000000" w:sz="2" w:space="0"/>
              <w:bottom w:val="single" w:color="000000" w:sz="2" w:space="0"/>
              <w:right w:val="single" w:color="000000" w:sz="2" w:space="0"/>
            </w:tcBorders>
            <w:vAlign w:val="center"/>
          </w:tcPr>
          <w:p w14:paraId="01E3E363">
            <w:pPr>
              <w:pStyle w:val="129"/>
              <w:widowControl w:val="0"/>
              <w:rPr>
                <w:rFonts w:eastAsia="Times New Roman"/>
                <w:color w:val="auto"/>
              </w:rPr>
            </w:pPr>
            <w:r>
              <w:rPr>
                <w:rFonts w:hint="eastAsia" w:eastAsia="Times New Roman"/>
                <w:color w:val="auto"/>
              </w:rPr>
              <w:t>133.3333</w:t>
            </w:r>
          </w:p>
        </w:tc>
        <w:tc>
          <w:tcPr>
            <w:tcW w:w="1375" w:type="dxa"/>
            <w:tcBorders>
              <w:top w:val="single" w:color="000000" w:sz="2" w:space="0"/>
              <w:left w:val="single" w:color="000000" w:sz="2" w:space="0"/>
              <w:bottom w:val="single" w:color="000000" w:sz="2" w:space="0"/>
              <w:right w:val="single" w:color="000000" w:sz="2" w:space="0"/>
            </w:tcBorders>
            <w:vAlign w:val="center"/>
          </w:tcPr>
          <w:p w14:paraId="1E9710ED">
            <w:pPr>
              <w:pStyle w:val="129"/>
              <w:widowControl w:val="0"/>
              <w:rPr>
                <w:rFonts w:eastAsia="Times New Roman"/>
                <w:color w:val="auto"/>
              </w:rPr>
            </w:pPr>
            <w:r>
              <w:rPr>
                <w:rFonts w:hint="eastAsia" w:eastAsia="Times New Roman"/>
                <w:color w:val="auto"/>
              </w:rPr>
              <w:t>133.3333</w:t>
            </w:r>
          </w:p>
        </w:tc>
        <w:tc>
          <w:tcPr>
            <w:tcW w:w="705" w:type="dxa"/>
            <w:tcBorders>
              <w:top w:val="single" w:color="000000" w:sz="2" w:space="0"/>
              <w:left w:val="single" w:color="000000" w:sz="2" w:space="0"/>
              <w:bottom w:val="single" w:color="000000" w:sz="2" w:space="0"/>
              <w:right w:val="single" w:color="000000" w:sz="2" w:space="0"/>
            </w:tcBorders>
            <w:vAlign w:val="center"/>
          </w:tcPr>
          <w:p w14:paraId="24712446">
            <w:pPr>
              <w:pStyle w:val="129"/>
              <w:widowControl w:val="0"/>
              <w:rPr>
                <w:rFonts w:eastAsia="Times New Roman"/>
                <w:color w:val="auto"/>
                <w:highlight w:val="yellow"/>
              </w:rPr>
            </w:pPr>
            <w:r>
              <w:rPr>
                <w:rFonts w:hint="eastAsia" w:eastAsia="Times New Roman"/>
                <w:color w:val="auto"/>
              </w:rPr>
              <w:t>111.11</w:t>
            </w:r>
          </w:p>
        </w:tc>
        <w:tc>
          <w:tcPr>
            <w:tcW w:w="686" w:type="dxa"/>
            <w:tcBorders>
              <w:top w:val="single" w:color="000000" w:sz="2" w:space="0"/>
              <w:left w:val="single" w:color="000000" w:sz="2" w:space="0"/>
              <w:bottom w:val="single" w:color="000000" w:sz="2" w:space="0"/>
              <w:right w:val="single" w:color="000000" w:sz="8" w:space="0"/>
            </w:tcBorders>
            <w:vAlign w:val="center"/>
          </w:tcPr>
          <w:p w14:paraId="2389698C">
            <w:pPr>
              <w:pStyle w:val="129"/>
              <w:widowControl w:val="0"/>
              <w:rPr>
                <w:rFonts w:eastAsia="Times New Roman"/>
                <w:color w:val="auto"/>
                <w:highlight w:val="yellow"/>
              </w:rPr>
            </w:pPr>
            <w:r>
              <w:rPr>
                <w:rFonts w:hint="eastAsia" w:ascii="宋体" w:hAnsi="宋体" w:eastAsia="Times New Roman" w:cs="宋体"/>
                <w:color w:val="auto"/>
              </w:rPr>
              <w:t>超标</w:t>
            </w:r>
          </w:p>
        </w:tc>
      </w:tr>
      <w:tr w14:paraId="7DF7653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2A133391">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3DAE0749">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585A4B8B">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1B10ED0A">
            <w:pPr>
              <w:pStyle w:val="129"/>
              <w:widowControl w:val="0"/>
              <w:rPr>
                <w:rFonts w:eastAsia="Times New Roman"/>
                <w:color w:val="auto"/>
              </w:rPr>
            </w:pPr>
            <w:r>
              <w:rPr>
                <w:rFonts w:eastAsia="Times New Roman"/>
                <w:color w:val="auto"/>
              </w:rPr>
              <w:t>0.00406</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73624E6E">
            <w:pPr>
              <w:pStyle w:val="129"/>
              <w:widowControl w:val="0"/>
              <w:rPr>
                <w:rFonts w:eastAsia="Times New Roman"/>
                <w:color w:val="auto"/>
              </w:rPr>
            </w:pPr>
            <w:r>
              <w:rPr>
                <w:rFonts w:eastAsia="Times New Roman"/>
                <w:color w:val="auto"/>
              </w:rPr>
              <w:t>0.01</w:t>
            </w:r>
          </w:p>
        </w:tc>
        <w:tc>
          <w:tcPr>
            <w:tcW w:w="1036" w:type="dxa"/>
            <w:tcBorders>
              <w:top w:val="single" w:color="000000" w:sz="2" w:space="0"/>
              <w:left w:val="single" w:color="000000" w:sz="2" w:space="0"/>
              <w:bottom w:val="single" w:color="000000" w:sz="2" w:space="0"/>
              <w:right w:val="single" w:color="000000" w:sz="2" w:space="0"/>
            </w:tcBorders>
            <w:vAlign w:val="center"/>
          </w:tcPr>
          <w:p w14:paraId="1D67BBD6">
            <w:pPr>
              <w:pStyle w:val="129"/>
              <w:widowControl w:val="0"/>
              <w:rPr>
                <w:rFonts w:eastAsia="Times New Roman"/>
                <w:color w:val="auto"/>
              </w:rPr>
            </w:pPr>
            <w:r>
              <w:rPr>
                <w:rFonts w:hint="eastAsia" w:eastAsia="Times New Roman"/>
                <w:color w:val="auto"/>
              </w:rPr>
              <w:t>65.93716</w:t>
            </w:r>
          </w:p>
        </w:tc>
        <w:tc>
          <w:tcPr>
            <w:tcW w:w="1375" w:type="dxa"/>
            <w:tcBorders>
              <w:top w:val="single" w:color="000000" w:sz="2" w:space="0"/>
              <w:left w:val="single" w:color="000000" w:sz="2" w:space="0"/>
              <w:bottom w:val="single" w:color="000000" w:sz="2" w:space="0"/>
              <w:right w:val="single" w:color="000000" w:sz="2" w:space="0"/>
            </w:tcBorders>
            <w:vAlign w:val="center"/>
          </w:tcPr>
          <w:p w14:paraId="2F9DCD8C">
            <w:pPr>
              <w:pStyle w:val="129"/>
              <w:widowControl w:val="0"/>
              <w:rPr>
                <w:rFonts w:eastAsia="Times New Roman"/>
                <w:color w:val="auto"/>
              </w:rPr>
            </w:pPr>
            <w:r>
              <w:rPr>
                <w:rFonts w:hint="eastAsia" w:eastAsia="Times New Roman"/>
                <w:color w:val="auto"/>
              </w:rPr>
              <w:t>65.83997</w:t>
            </w:r>
          </w:p>
        </w:tc>
        <w:tc>
          <w:tcPr>
            <w:tcW w:w="705" w:type="dxa"/>
            <w:tcBorders>
              <w:top w:val="single" w:color="000000" w:sz="2" w:space="0"/>
              <w:left w:val="single" w:color="000000" w:sz="2" w:space="0"/>
              <w:bottom w:val="single" w:color="000000" w:sz="2" w:space="0"/>
              <w:right w:val="single" w:color="000000" w:sz="2" w:space="0"/>
            </w:tcBorders>
            <w:vAlign w:val="center"/>
          </w:tcPr>
          <w:p w14:paraId="53E32E4D">
            <w:pPr>
              <w:pStyle w:val="129"/>
              <w:widowControl w:val="0"/>
              <w:rPr>
                <w:rFonts w:eastAsia="Times New Roman"/>
                <w:color w:val="auto"/>
                <w:highlight w:val="yellow"/>
              </w:rPr>
            </w:pPr>
            <w:r>
              <w:rPr>
                <w:rFonts w:hint="eastAsia" w:eastAsia="Times New Roman"/>
                <w:color w:val="auto"/>
              </w:rPr>
              <w:t>109.73</w:t>
            </w:r>
          </w:p>
        </w:tc>
        <w:tc>
          <w:tcPr>
            <w:tcW w:w="686" w:type="dxa"/>
            <w:tcBorders>
              <w:top w:val="single" w:color="000000" w:sz="2" w:space="0"/>
              <w:left w:val="single" w:color="000000" w:sz="2" w:space="0"/>
              <w:bottom w:val="single" w:color="000000" w:sz="2" w:space="0"/>
              <w:right w:val="single" w:color="000000" w:sz="8" w:space="0"/>
            </w:tcBorders>
            <w:vAlign w:val="center"/>
          </w:tcPr>
          <w:p w14:paraId="4D7433E3">
            <w:pPr>
              <w:pStyle w:val="129"/>
              <w:widowControl w:val="0"/>
              <w:rPr>
                <w:rFonts w:eastAsia="Times New Roman"/>
                <w:color w:val="auto"/>
                <w:highlight w:val="yellow"/>
              </w:rPr>
            </w:pPr>
            <w:r>
              <w:rPr>
                <w:rFonts w:hint="eastAsia" w:ascii="宋体" w:hAnsi="宋体" w:eastAsia="Times New Roman" w:cs="宋体"/>
                <w:color w:val="auto"/>
              </w:rPr>
              <w:t>超标</w:t>
            </w:r>
          </w:p>
        </w:tc>
      </w:tr>
      <w:tr w14:paraId="35BE6EC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16F35324">
            <w:pPr>
              <w:pStyle w:val="129"/>
              <w:widowControl w:val="0"/>
              <w:rPr>
                <w:rFonts w:eastAsia="Times New Roman"/>
                <w:color w:val="auto"/>
              </w:rPr>
            </w:pPr>
          </w:p>
        </w:tc>
        <w:tc>
          <w:tcPr>
            <w:tcW w:w="1343" w:type="dxa"/>
            <w:vMerge w:val="restart"/>
            <w:tcBorders>
              <w:top w:val="single" w:color="000000" w:sz="2" w:space="0"/>
              <w:left w:val="single" w:color="000000" w:sz="2" w:space="0"/>
              <w:bottom w:val="single" w:color="000000" w:sz="2" w:space="0"/>
              <w:right w:val="single" w:color="000000" w:sz="2" w:space="0"/>
            </w:tcBorders>
            <w:vAlign w:val="center"/>
          </w:tcPr>
          <w:p w14:paraId="0FC9434E">
            <w:pPr>
              <w:pStyle w:val="129"/>
              <w:widowControl w:val="0"/>
              <w:rPr>
                <w:rFonts w:eastAsia="Times New Roman"/>
                <w:color w:val="auto"/>
              </w:rPr>
            </w:pPr>
            <w:r>
              <w:rPr>
                <w:rFonts w:hint="eastAsia" w:eastAsia="Times New Roman"/>
                <w:color w:val="auto"/>
              </w:rPr>
              <w:t>网格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3727B5CB">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0975F7E7">
            <w:pPr>
              <w:pStyle w:val="129"/>
              <w:widowControl w:val="0"/>
              <w:rPr>
                <w:rFonts w:eastAsia="Times New Roman"/>
                <w:color w:val="auto"/>
              </w:rPr>
            </w:pPr>
            <w:r>
              <w:rPr>
                <w:rFonts w:eastAsia="Times New Roman"/>
                <w:color w:val="auto"/>
              </w:rPr>
              <w:t>2.92227</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0DB41384">
            <w:pPr>
              <w:pStyle w:val="129"/>
              <w:widowControl w:val="0"/>
              <w:rPr>
                <w:rFonts w:eastAsia="Times New Roman"/>
                <w:color w:val="auto"/>
              </w:rPr>
            </w:pPr>
            <w:r>
              <w:rPr>
                <w:rFonts w:eastAsia="Times New Roman"/>
                <w:color w:val="auto"/>
              </w:rPr>
              <w:t>2.44</w:t>
            </w:r>
          </w:p>
        </w:tc>
        <w:tc>
          <w:tcPr>
            <w:tcW w:w="1036" w:type="dxa"/>
            <w:tcBorders>
              <w:top w:val="single" w:color="000000" w:sz="2" w:space="0"/>
              <w:left w:val="single" w:color="000000" w:sz="2" w:space="0"/>
              <w:bottom w:val="single" w:color="000000" w:sz="2" w:space="0"/>
              <w:right w:val="single" w:color="000000" w:sz="2" w:space="0"/>
            </w:tcBorders>
            <w:vAlign w:val="center"/>
          </w:tcPr>
          <w:p w14:paraId="505D6414">
            <w:pPr>
              <w:pStyle w:val="129"/>
              <w:widowControl w:val="0"/>
              <w:rPr>
                <w:rFonts w:eastAsia="Times New Roman"/>
                <w:color w:val="auto"/>
              </w:rPr>
            </w:pPr>
            <w:r>
              <w:rPr>
                <w:rFonts w:hint="eastAsia" w:eastAsia="Times New Roman"/>
                <w:color w:val="auto"/>
              </w:rPr>
              <w:t>134.0</w:t>
            </w:r>
          </w:p>
        </w:tc>
        <w:tc>
          <w:tcPr>
            <w:tcW w:w="1375" w:type="dxa"/>
            <w:tcBorders>
              <w:top w:val="single" w:color="000000" w:sz="2" w:space="0"/>
              <w:left w:val="single" w:color="000000" w:sz="2" w:space="0"/>
              <w:bottom w:val="single" w:color="000000" w:sz="2" w:space="0"/>
              <w:right w:val="single" w:color="000000" w:sz="2" w:space="0"/>
            </w:tcBorders>
            <w:vAlign w:val="center"/>
          </w:tcPr>
          <w:p w14:paraId="29D524CA">
            <w:pPr>
              <w:pStyle w:val="129"/>
              <w:widowControl w:val="0"/>
              <w:rPr>
                <w:rFonts w:eastAsia="Times New Roman"/>
                <w:color w:val="auto"/>
              </w:rPr>
            </w:pPr>
            <w:r>
              <w:rPr>
                <w:rFonts w:hint="eastAsia" w:eastAsia="Times New Roman"/>
                <w:color w:val="auto"/>
              </w:rPr>
              <w:t>133.9458</w:t>
            </w:r>
          </w:p>
        </w:tc>
        <w:tc>
          <w:tcPr>
            <w:tcW w:w="705" w:type="dxa"/>
            <w:tcBorders>
              <w:top w:val="single" w:color="000000" w:sz="2" w:space="0"/>
              <w:left w:val="single" w:color="000000" w:sz="2" w:space="0"/>
              <w:bottom w:val="single" w:color="000000" w:sz="2" w:space="0"/>
              <w:right w:val="single" w:color="000000" w:sz="2" w:space="0"/>
            </w:tcBorders>
            <w:vAlign w:val="center"/>
          </w:tcPr>
          <w:p w14:paraId="70F124D5">
            <w:pPr>
              <w:pStyle w:val="129"/>
              <w:widowControl w:val="0"/>
              <w:rPr>
                <w:rFonts w:eastAsia="Times New Roman"/>
                <w:color w:val="auto"/>
                <w:highlight w:val="yellow"/>
              </w:rPr>
            </w:pPr>
            <w:r>
              <w:rPr>
                <w:rFonts w:hint="eastAsia" w:eastAsia="Times New Roman"/>
                <w:color w:val="auto"/>
              </w:rPr>
              <w:t>111.62</w:t>
            </w:r>
          </w:p>
        </w:tc>
        <w:tc>
          <w:tcPr>
            <w:tcW w:w="686" w:type="dxa"/>
            <w:tcBorders>
              <w:top w:val="single" w:color="000000" w:sz="2" w:space="0"/>
              <w:left w:val="single" w:color="000000" w:sz="2" w:space="0"/>
              <w:bottom w:val="single" w:color="000000" w:sz="2" w:space="0"/>
              <w:right w:val="single" w:color="000000" w:sz="8" w:space="0"/>
            </w:tcBorders>
            <w:vAlign w:val="center"/>
          </w:tcPr>
          <w:p w14:paraId="6E1EFC35">
            <w:pPr>
              <w:pStyle w:val="129"/>
              <w:widowControl w:val="0"/>
              <w:rPr>
                <w:rFonts w:eastAsia="Times New Roman"/>
                <w:color w:val="auto"/>
                <w:highlight w:val="yellow"/>
              </w:rPr>
            </w:pPr>
            <w:r>
              <w:rPr>
                <w:rFonts w:hint="eastAsia" w:ascii="宋体" w:hAnsi="宋体" w:eastAsia="Times New Roman" w:cs="宋体"/>
                <w:color w:val="auto"/>
              </w:rPr>
              <w:t>超标</w:t>
            </w:r>
          </w:p>
        </w:tc>
      </w:tr>
      <w:tr w14:paraId="7920D44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65AC5C99">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20693C0A">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031190A">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769A3A18">
            <w:pPr>
              <w:pStyle w:val="129"/>
              <w:widowControl w:val="0"/>
              <w:rPr>
                <w:rFonts w:eastAsia="Times New Roman"/>
                <w:color w:val="auto"/>
              </w:rPr>
            </w:pPr>
            <w:r>
              <w:rPr>
                <w:rFonts w:eastAsia="Times New Roman"/>
                <w:color w:val="auto"/>
              </w:rPr>
              <w:t>0.53321</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15B3A408">
            <w:pPr>
              <w:pStyle w:val="129"/>
              <w:widowControl w:val="0"/>
              <w:rPr>
                <w:rFonts w:eastAsia="Times New Roman"/>
                <w:color w:val="auto"/>
              </w:rPr>
            </w:pPr>
            <w:r>
              <w:rPr>
                <w:rFonts w:eastAsia="Times New Roman"/>
                <w:color w:val="auto"/>
              </w:rPr>
              <w:t>0.89</w:t>
            </w:r>
          </w:p>
        </w:tc>
        <w:tc>
          <w:tcPr>
            <w:tcW w:w="1036" w:type="dxa"/>
            <w:tcBorders>
              <w:top w:val="single" w:color="000000" w:sz="2" w:space="0"/>
              <w:left w:val="single" w:color="000000" w:sz="2" w:space="0"/>
              <w:bottom w:val="single" w:color="000000" w:sz="2" w:space="0"/>
              <w:right w:val="single" w:color="000000" w:sz="2" w:space="0"/>
            </w:tcBorders>
            <w:vAlign w:val="center"/>
          </w:tcPr>
          <w:p w14:paraId="27A88BC4">
            <w:pPr>
              <w:pStyle w:val="129"/>
              <w:widowControl w:val="0"/>
              <w:rPr>
                <w:rFonts w:eastAsia="Times New Roman"/>
                <w:color w:val="auto"/>
              </w:rPr>
            </w:pPr>
            <w:r>
              <w:rPr>
                <w:rFonts w:hint="eastAsia" w:eastAsia="Times New Roman"/>
                <w:color w:val="auto"/>
              </w:rPr>
              <w:t>65.93716</w:t>
            </w:r>
          </w:p>
        </w:tc>
        <w:tc>
          <w:tcPr>
            <w:tcW w:w="1375" w:type="dxa"/>
            <w:tcBorders>
              <w:top w:val="single" w:color="000000" w:sz="2" w:space="0"/>
              <w:left w:val="single" w:color="000000" w:sz="2" w:space="0"/>
              <w:bottom w:val="single" w:color="000000" w:sz="2" w:space="0"/>
              <w:right w:val="single" w:color="000000" w:sz="2" w:space="0"/>
            </w:tcBorders>
            <w:vAlign w:val="center"/>
          </w:tcPr>
          <w:p w14:paraId="0806B546">
            <w:pPr>
              <w:pStyle w:val="129"/>
              <w:widowControl w:val="0"/>
              <w:rPr>
                <w:rFonts w:eastAsia="Times New Roman"/>
                <w:color w:val="auto"/>
              </w:rPr>
            </w:pPr>
            <w:r>
              <w:rPr>
                <w:rFonts w:hint="eastAsia" w:eastAsia="Times New Roman"/>
                <w:color w:val="auto"/>
              </w:rPr>
              <w:t>66.54438</w:t>
            </w:r>
          </w:p>
        </w:tc>
        <w:tc>
          <w:tcPr>
            <w:tcW w:w="705" w:type="dxa"/>
            <w:tcBorders>
              <w:top w:val="single" w:color="000000" w:sz="2" w:space="0"/>
              <w:left w:val="single" w:color="000000" w:sz="2" w:space="0"/>
              <w:bottom w:val="single" w:color="000000" w:sz="2" w:space="0"/>
              <w:right w:val="single" w:color="000000" w:sz="2" w:space="0"/>
            </w:tcBorders>
            <w:vAlign w:val="center"/>
          </w:tcPr>
          <w:p w14:paraId="0464F475">
            <w:pPr>
              <w:pStyle w:val="129"/>
              <w:widowControl w:val="0"/>
              <w:rPr>
                <w:rFonts w:eastAsia="Times New Roman"/>
                <w:color w:val="auto"/>
                <w:highlight w:val="yellow"/>
              </w:rPr>
            </w:pPr>
            <w:r>
              <w:rPr>
                <w:rFonts w:hint="eastAsia" w:eastAsia="Times New Roman"/>
                <w:color w:val="auto"/>
              </w:rPr>
              <w:t>110.91</w:t>
            </w:r>
          </w:p>
        </w:tc>
        <w:tc>
          <w:tcPr>
            <w:tcW w:w="686" w:type="dxa"/>
            <w:tcBorders>
              <w:top w:val="single" w:color="000000" w:sz="2" w:space="0"/>
              <w:left w:val="single" w:color="000000" w:sz="2" w:space="0"/>
              <w:bottom w:val="single" w:color="000000" w:sz="2" w:space="0"/>
              <w:right w:val="single" w:color="000000" w:sz="8" w:space="0"/>
            </w:tcBorders>
            <w:vAlign w:val="center"/>
          </w:tcPr>
          <w:p w14:paraId="3002DE8F">
            <w:pPr>
              <w:pStyle w:val="129"/>
              <w:widowControl w:val="0"/>
              <w:rPr>
                <w:rFonts w:eastAsia="Times New Roman"/>
                <w:color w:val="auto"/>
                <w:highlight w:val="yellow"/>
              </w:rPr>
            </w:pPr>
            <w:r>
              <w:rPr>
                <w:rFonts w:hint="eastAsia" w:ascii="宋体" w:hAnsi="宋体" w:eastAsia="Times New Roman" w:cs="宋体"/>
                <w:color w:val="auto"/>
              </w:rPr>
              <w:t>超标</w:t>
            </w:r>
          </w:p>
        </w:tc>
      </w:tr>
      <w:tr w14:paraId="4145196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bottom w:val="single" w:color="000000" w:sz="2" w:space="0"/>
              <w:right w:val="single" w:color="000000" w:sz="2" w:space="0"/>
            </w:tcBorders>
            <w:noWrap/>
            <w:vAlign w:val="center"/>
          </w:tcPr>
          <w:p w14:paraId="7B7DDC06">
            <w:pPr>
              <w:pStyle w:val="129"/>
              <w:widowControl w:val="0"/>
              <w:rPr>
                <w:rFonts w:eastAsia="Times New Roman"/>
                <w:color w:val="auto"/>
              </w:rPr>
            </w:pPr>
            <w:r>
              <w:rPr>
                <w:rFonts w:eastAsia="Times New Roman"/>
                <w:color w:val="auto"/>
              </w:rPr>
              <w:t>PM</w:t>
            </w:r>
            <w:r>
              <w:rPr>
                <w:rFonts w:eastAsia="Times New Roman"/>
                <w:color w:val="auto"/>
                <w:vertAlign w:val="subscript"/>
              </w:rPr>
              <w:t>2.5</w:t>
            </w:r>
          </w:p>
        </w:tc>
        <w:tc>
          <w:tcPr>
            <w:tcW w:w="1343" w:type="dxa"/>
            <w:vMerge w:val="restart"/>
            <w:tcBorders>
              <w:top w:val="single" w:color="000000" w:sz="2" w:space="0"/>
              <w:left w:val="single" w:color="000000" w:sz="2" w:space="0"/>
              <w:bottom w:val="single" w:color="000000" w:sz="2" w:space="0"/>
              <w:right w:val="single" w:color="000000" w:sz="2" w:space="0"/>
            </w:tcBorders>
            <w:noWrap/>
            <w:vAlign w:val="center"/>
          </w:tcPr>
          <w:p w14:paraId="266EBFCD">
            <w:pPr>
              <w:pStyle w:val="129"/>
              <w:widowControl w:val="0"/>
              <w:rPr>
                <w:rFonts w:eastAsia="Times New Roman"/>
                <w:color w:val="auto"/>
              </w:rPr>
            </w:pPr>
            <w:r>
              <w:rPr>
                <w:rFonts w:hint="eastAsia" w:eastAsia="Times New Roman"/>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1C0EB6D">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611460CE">
            <w:pPr>
              <w:pStyle w:val="129"/>
              <w:widowControl w:val="0"/>
              <w:rPr>
                <w:rFonts w:eastAsia="Times New Roman"/>
                <w:color w:val="auto"/>
              </w:rPr>
            </w:pPr>
            <w:r>
              <w:rPr>
                <w:rFonts w:eastAsia="Times New Roman"/>
                <w:color w:val="auto"/>
              </w:rPr>
              <w:t>0.19606</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65D29F1F">
            <w:pPr>
              <w:pStyle w:val="129"/>
              <w:widowControl w:val="0"/>
              <w:rPr>
                <w:rFonts w:eastAsia="Times New Roman"/>
                <w:color w:val="auto"/>
              </w:rPr>
            </w:pPr>
            <w:r>
              <w:rPr>
                <w:rFonts w:eastAsia="Times New Roman"/>
                <w:color w:val="auto"/>
              </w:rPr>
              <w:t>0.33</w:t>
            </w:r>
          </w:p>
        </w:tc>
        <w:tc>
          <w:tcPr>
            <w:tcW w:w="1036" w:type="dxa"/>
            <w:tcBorders>
              <w:top w:val="single" w:color="000000" w:sz="2" w:space="0"/>
              <w:left w:val="single" w:color="000000" w:sz="2" w:space="0"/>
              <w:bottom w:val="single" w:color="000000" w:sz="2" w:space="0"/>
              <w:right w:val="single" w:color="000000" w:sz="2" w:space="0"/>
            </w:tcBorders>
            <w:vAlign w:val="center"/>
          </w:tcPr>
          <w:p w14:paraId="5C2F4266">
            <w:pPr>
              <w:pStyle w:val="129"/>
              <w:widowControl w:val="0"/>
              <w:rPr>
                <w:rFonts w:eastAsia="Times New Roman"/>
                <w:color w:val="auto"/>
              </w:rPr>
            </w:pPr>
            <w:r>
              <w:rPr>
                <w:rFonts w:hint="eastAsia" w:eastAsia="Times New Roman"/>
                <w:color w:val="auto"/>
              </w:rPr>
              <w:t>65.55556</w:t>
            </w:r>
          </w:p>
        </w:tc>
        <w:tc>
          <w:tcPr>
            <w:tcW w:w="1375" w:type="dxa"/>
            <w:tcBorders>
              <w:top w:val="single" w:color="000000" w:sz="2" w:space="0"/>
              <w:left w:val="single" w:color="000000" w:sz="2" w:space="0"/>
              <w:bottom w:val="single" w:color="000000" w:sz="2" w:space="0"/>
              <w:right w:val="single" w:color="000000" w:sz="2" w:space="0"/>
            </w:tcBorders>
            <w:vAlign w:val="center"/>
          </w:tcPr>
          <w:p w14:paraId="1C13309A">
            <w:pPr>
              <w:pStyle w:val="129"/>
              <w:widowControl w:val="0"/>
              <w:rPr>
                <w:rFonts w:eastAsia="Times New Roman"/>
                <w:color w:val="auto"/>
              </w:rPr>
            </w:pPr>
            <w:r>
              <w:rPr>
                <w:rFonts w:hint="eastAsia" w:eastAsia="Times New Roman"/>
                <w:color w:val="auto"/>
              </w:rPr>
              <w:t>65.55575</w:t>
            </w:r>
          </w:p>
        </w:tc>
        <w:tc>
          <w:tcPr>
            <w:tcW w:w="705" w:type="dxa"/>
            <w:tcBorders>
              <w:top w:val="single" w:color="000000" w:sz="2" w:space="0"/>
              <w:left w:val="single" w:color="000000" w:sz="2" w:space="0"/>
              <w:bottom w:val="single" w:color="000000" w:sz="2" w:space="0"/>
              <w:right w:val="single" w:color="000000" w:sz="2" w:space="0"/>
            </w:tcBorders>
            <w:vAlign w:val="center"/>
          </w:tcPr>
          <w:p w14:paraId="273C4CDA">
            <w:pPr>
              <w:pStyle w:val="129"/>
              <w:widowControl w:val="0"/>
              <w:rPr>
                <w:rFonts w:eastAsia="Times New Roman"/>
                <w:color w:val="auto"/>
                <w:highlight w:val="yellow"/>
              </w:rPr>
            </w:pPr>
            <w:r>
              <w:rPr>
                <w:rFonts w:hint="eastAsia" w:eastAsia="Times New Roman"/>
                <w:color w:val="auto"/>
              </w:rPr>
              <w:t>109.26</w:t>
            </w:r>
          </w:p>
        </w:tc>
        <w:tc>
          <w:tcPr>
            <w:tcW w:w="686" w:type="dxa"/>
            <w:tcBorders>
              <w:top w:val="single" w:color="000000" w:sz="2" w:space="0"/>
              <w:left w:val="single" w:color="000000" w:sz="2" w:space="0"/>
              <w:bottom w:val="single" w:color="000000" w:sz="2" w:space="0"/>
              <w:right w:val="single" w:color="000000" w:sz="8" w:space="0"/>
            </w:tcBorders>
            <w:vAlign w:val="center"/>
          </w:tcPr>
          <w:p w14:paraId="4F5D16EB">
            <w:pPr>
              <w:pStyle w:val="129"/>
              <w:widowControl w:val="0"/>
              <w:rPr>
                <w:rFonts w:eastAsia="Times New Roman"/>
                <w:color w:val="auto"/>
                <w:highlight w:val="yellow"/>
              </w:rPr>
            </w:pPr>
            <w:r>
              <w:rPr>
                <w:rFonts w:hint="eastAsia" w:ascii="宋体" w:hAnsi="宋体" w:eastAsia="Times New Roman" w:cs="宋体"/>
                <w:color w:val="auto"/>
              </w:rPr>
              <w:t>超标</w:t>
            </w:r>
          </w:p>
        </w:tc>
      </w:tr>
      <w:tr w14:paraId="24BE12D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12EC4AB4">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0DFA9D68">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6275533B">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4A06DDF8">
            <w:pPr>
              <w:pStyle w:val="129"/>
              <w:widowControl w:val="0"/>
              <w:rPr>
                <w:rFonts w:eastAsia="Times New Roman"/>
                <w:color w:val="auto"/>
              </w:rPr>
            </w:pPr>
            <w:r>
              <w:rPr>
                <w:rFonts w:eastAsia="Times New Roman"/>
                <w:color w:val="auto"/>
              </w:rPr>
              <w:t>0.00749</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047E3D47">
            <w:pPr>
              <w:pStyle w:val="129"/>
              <w:widowControl w:val="0"/>
              <w:rPr>
                <w:rFonts w:eastAsia="Times New Roman"/>
                <w:color w:val="auto"/>
              </w:rPr>
            </w:pPr>
            <w:r>
              <w:rPr>
                <w:rFonts w:eastAsia="Times New Roman"/>
                <w:color w:val="auto"/>
              </w:rPr>
              <w:t>0.02</w:t>
            </w:r>
          </w:p>
        </w:tc>
        <w:tc>
          <w:tcPr>
            <w:tcW w:w="1036" w:type="dxa"/>
            <w:tcBorders>
              <w:top w:val="single" w:color="000000" w:sz="2" w:space="0"/>
              <w:left w:val="single" w:color="000000" w:sz="2" w:space="0"/>
              <w:bottom w:val="single" w:color="000000" w:sz="2" w:space="0"/>
              <w:right w:val="single" w:color="000000" w:sz="2" w:space="0"/>
            </w:tcBorders>
            <w:vAlign w:val="center"/>
          </w:tcPr>
          <w:p w14:paraId="7A017986">
            <w:pPr>
              <w:pStyle w:val="129"/>
              <w:widowControl w:val="0"/>
              <w:rPr>
                <w:rFonts w:eastAsia="Times New Roman"/>
                <w:color w:val="auto"/>
              </w:rPr>
            </w:pPr>
            <w:r>
              <w:rPr>
                <w:rFonts w:hint="eastAsia" w:eastAsia="Times New Roman"/>
                <w:color w:val="auto"/>
              </w:rPr>
              <w:t>28.38798</w:t>
            </w:r>
          </w:p>
        </w:tc>
        <w:tc>
          <w:tcPr>
            <w:tcW w:w="1375" w:type="dxa"/>
            <w:tcBorders>
              <w:top w:val="single" w:color="000000" w:sz="2" w:space="0"/>
              <w:left w:val="single" w:color="000000" w:sz="2" w:space="0"/>
              <w:bottom w:val="single" w:color="000000" w:sz="2" w:space="0"/>
              <w:right w:val="single" w:color="000000" w:sz="2" w:space="0"/>
            </w:tcBorders>
            <w:vAlign w:val="center"/>
          </w:tcPr>
          <w:p w14:paraId="259FF461">
            <w:pPr>
              <w:pStyle w:val="129"/>
              <w:widowControl w:val="0"/>
              <w:rPr>
                <w:rFonts w:eastAsia="Times New Roman"/>
                <w:color w:val="auto"/>
              </w:rPr>
            </w:pPr>
            <w:r>
              <w:rPr>
                <w:rFonts w:hint="eastAsia" w:eastAsia="Times New Roman"/>
                <w:color w:val="auto"/>
              </w:rPr>
              <w:t>28.36211</w:t>
            </w:r>
          </w:p>
        </w:tc>
        <w:tc>
          <w:tcPr>
            <w:tcW w:w="705" w:type="dxa"/>
            <w:tcBorders>
              <w:top w:val="single" w:color="000000" w:sz="2" w:space="0"/>
              <w:left w:val="single" w:color="000000" w:sz="2" w:space="0"/>
              <w:bottom w:val="single" w:color="000000" w:sz="2" w:space="0"/>
              <w:right w:val="single" w:color="000000" w:sz="2" w:space="0"/>
            </w:tcBorders>
            <w:vAlign w:val="center"/>
          </w:tcPr>
          <w:p w14:paraId="046EF9E5">
            <w:pPr>
              <w:pStyle w:val="129"/>
              <w:widowControl w:val="0"/>
              <w:rPr>
                <w:rFonts w:eastAsia="Times New Roman"/>
                <w:color w:val="auto"/>
                <w:highlight w:val="yellow"/>
              </w:rPr>
            </w:pPr>
            <w:r>
              <w:rPr>
                <w:rFonts w:hint="eastAsia" w:eastAsia="Times New Roman"/>
                <w:color w:val="auto"/>
              </w:rPr>
              <w:t>94.54</w:t>
            </w:r>
          </w:p>
        </w:tc>
        <w:tc>
          <w:tcPr>
            <w:tcW w:w="686" w:type="dxa"/>
            <w:tcBorders>
              <w:top w:val="single" w:color="000000" w:sz="2" w:space="0"/>
              <w:left w:val="single" w:color="000000" w:sz="2" w:space="0"/>
              <w:bottom w:val="single" w:color="000000" w:sz="2" w:space="0"/>
              <w:right w:val="single" w:color="000000" w:sz="8" w:space="0"/>
            </w:tcBorders>
            <w:vAlign w:val="center"/>
          </w:tcPr>
          <w:p w14:paraId="307572B3">
            <w:pPr>
              <w:pStyle w:val="129"/>
              <w:widowControl w:val="0"/>
              <w:rPr>
                <w:rFonts w:eastAsia="Times New Roman"/>
                <w:color w:val="auto"/>
                <w:highlight w:val="yellow"/>
              </w:rPr>
            </w:pPr>
            <w:r>
              <w:rPr>
                <w:rFonts w:hint="eastAsia" w:ascii="宋体" w:hAnsi="宋体" w:eastAsia="Times New Roman" w:cs="宋体"/>
                <w:color w:val="auto"/>
              </w:rPr>
              <w:t>达标</w:t>
            </w:r>
          </w:p>
        </w:tc>
      </w:tr>
      <w:tr w14:paraId="5F4A9F8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2AE4DB4E">
            <w:pPr>
              <w:pStyle w:val="129"/>
              <w:widowControl w:val="0"/>
              <w:rPr>
                <w:rFonts w:eastAsia="Times New Roman"/>
                <w:color w:val="auto"/>
              </w:rPr>
            </w:pPr>
          </w:p>
        </w:tc>
        <w:tc>
          <w:tcPr>
            <w:tcW w:w="1343" w:type="dxa"/>
            <w:vMerge w:val="restart"/>
            <w:tcBorders>
              <w:top w:val="single" w:color="000000" w:sz="2" w:space="0"/>
              <w:left w:val="single" w:color="000000" w:sz="2" w:space="0"/>
              <w:bottom w:val="single" w:color="000000" w:sz="2" w:space="0"/>
              <w:right w:val="single" w:color="000000" w:sz="2" w:space="0"/>
            </w:tcBorders>
            <w:vAlign w:val="center"/>
          </w:tcPr>
          <w:p w14:paraId="28BE1116">
            <w:pPr>
              <w:pStyle w:val="129"/>
              <w:widowControl w:val="0"/>
              <w:rPr>
                <w:rFonts w:eastAsia="Times New Roman"/>
                <w:color w:val="auto"/>
              </w:rPr>
            </w:pPr>
            <w:r>
              <w:rPr>
                <w:rFonts w:hint="eastAsia" w:eastAsia="Times New Roman"/>
                <w:color w:val="auto"/>
              </w:rPr>
              <w:t>乌鲁木齐市第</w:t>
            </w:r>
            <w:r>
              <w:rPr>
                <w:rFonts w:eastAsia="Times New Roman"/>
                <w:color w:val="auto"/>
              </w:rPr>
              <w:t>137</w:t>
            </w:r>
            <w:r>
              <w:rPr>
                <w:rFonts w:hint="eastAsia" w:eastAsia="Times New Roman"/>
                <w:color w:val="auto"/>
              </w:rPr>
              <w:t>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EA232FD">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4F8ADE03">
            <w:pPr>
              <w:pStyle w:val="129"/>
              <w:widowControl w:val="0"/>
              <w:rPr>
                <w:rFonts w:eastAsia="Times New Roman"/>
                <w:color w:val="auto"/>
              </w:rPr>
            </w:pPr>
            <w:r>
              <w:rPr>
                <w:rFonts w:eastAsia="Times New Roman"/>
                <w:color w:val="auto"/>
              </w:rPr>
              <w:t>0.03965</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1D740B95">
            <w:pPr>
              <w:pStyle w:val="129"/>
              <w:widowControl w:val="0"/>
              <w:rPr>
                <w:rFonts w:eastAsia="Times New Roman"/>
                <w:color w:val="auto"/>
              </w:rPr>
            </w:pPr>
            <w:r>
              <w:rPr>
                <w:rFonts w:eastAsia="Times New Roman"/>
                <w:color w:val="auto"/>
              </w:rPr>
              <w:t>0.07</w:t>
            </w:r>
          </w:p>
        </w:tc>
        <w:tc>
          <w:tcPr>
            <w:tcW w:w="1036" w:type="dxa"/>
            <w:tcBorders>
              <w:top w:val="single" w:color="000000" w:sz="2" w:space="0"/>
              <w:left w:val="single" w:color="000000" w:sz="2" w:space="0"/>
              <w:bottom w:val="single" w:color="000000" w:sz="2" w:space="0"/>
              <w:right w:val="single" w:color="000000" w:sz="2" w:space="0"/>
            </w:tcBorders>
            <w:vAlign w:val="center"/>
          </w:tcPr>
          <w:p w14:paraId="07ED1B97">
            <w:pPr>
              <w:pStyle w:val="129"/>
              <w:widowControl w:val="0"/>
              <w:rPr>
                <w:rFonts w:eastAsia="Times New Roman"/>
                <w:color w:val="auto"/>
              </w:rPr>
            </w:pPr>
            <w:r>
              <w:rPr>
                <w:rFonts w:hint="eastAsia" w:eastAsia="Times New Roman"/>
                <w:color w:val="auto"/>
              </w:rPr>
              <w:t>65.55556</w:t>
            </w:r>
          </w:p>
        </w:tc>
        <w:tc>
          <w:tcPr>
            <w:tcW w:w="1375" w:type="dxa"/>
            <w:tcBorders>
              <w:top w:val="single" w:color="000000" w:sz="2" w:space="0"/>
              <w:left w:val="single" w:color="000000" w:sz="2" w:space="0"/>
              <w:bottom w:val="single" w:color="000000" w:sz="2" w:space="0"/>
              <w:right w:val="single" w:color="000000" w:sz="2" w:space="0"/>
            </w:tcBorders>
            <w:vAlign w:val="center"/>
          </w:tcPr>
          <w:p w14:paraId="2E4815C5">
            <w:pPr>
              <w:pStyle w:val="129"/>
              <w:widowControl w:val="0"/>
              <w:rPr>
                <w:rFonts w:eastAsia="Times New Roman"/>
                <w:color w:val="auto"/>
              </w:rPr>
            </w:pPr>
            <w:r>
              <w:rPr>
                <w:rFonts w:hint="eastAsia" w:eastAsia="Times New Roman"/>
                <w:color w:val="auto"/>
              </w:rPr>
              <w:t>65.55557</w:t>
            </w:r>
          </w:p>
        </w:tc>
        <w:tc>
          <w:tcPr>
            <w:tcW w:w="705" w:type="dxa"/>
            <w:tcBorders>
              <w:top w:val="single" w:color="000000" w:sz="2" w:space="0"/>
              <w:left w:val="single" w:color="000000" w:sz="2" w:space="0"/>
              <w:bottom w:val="single" w:color="000000" w:sz="2" w:space="0"/>
              <w:right w:val="single" w:color="000000" w:sz="2" w:space="0"/>
            </w:tcBorders>
            <w:vAlign w:val="center"/>
          </w:tcPr>
          <w:p w14:paraId="1E77FCF6">
            <w:pPr>
              <w:pStyle w:val="129"/>
              <w:widowControl w:val="0"/>
              <w:rPr>
                <w:rFonts w:eastAsia="Times New Roman"/>
                <w:color w:val="auto"/>
                <w:highlight w:val="yellow"/>
              </w:rPr>
            </w:pPr>
            <w:r>
              <w:rPr>
                <w:rFonts w:hint="eastAsia" w:eastAsia="Times New Roman"/>
                <w:color w:val="auto"/>
              </w:rPr>
              <w:t>109.26</w:t>
            </w:r>
          </w:p>
        </w:tc>
        <w:tc>
          <w:tcPr>
            <w:tcW w:w="686" w:type="dxa"/>
            <w:tcBorders>
              <w:top w:val="single" w:color="000000" w:sz="2" w:space="0"/>
              <w:left w:val="single" w:color="000000" w:sz="2" w:space="0"/>
              <w:bottom w:val="single" w:color="000000" w:sz="2" w:space="0"/>
              <w:right w:val="single" w:color="000000" w:sz="8" w:space="0"/>
            </w:tcBorders>
            <w:vAlign w:val="center"/>
          </w:tcPr>
          <w:p w14:paraId="7C302D66">
            <w:pPr>
              <w:pStyle w:val="129"/>
              <w:widowControl w:val="0"/>
              <w:rPr>
                <w:rFonts w:eastAsia="Times New Roman"/>
                <w:color w:val="auto"/>
                <w:highlight w:val="yellow"/>
              </w:rPr>
            </w:pPr>
            <w:r>
              <w:rPr>
                <w:rFonts w:hint="eastAsia" w:ascii="宋体" w:hAnsi="宋体" w:eastAsia="Times New Roman" w:cs="宋体"/>
                <w:color w:val="auto"/>
              </w:rPr>
              <w:t>超标</w:t>
            </w:r>
          </w:p>
        </w:tc>
      </w:tr>
      <w:tr w14:paraId="5E5E300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4CD81461">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1892A881">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4D57197B">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21795B80">
            <w:pPr>
              <w:pStyle w:val="129"/>
              <w:widowControl w:val="0"/>
              <w:rPr>
                <w:rFonts w:eastAsia="Times New Roman"/>
                <w:color w:val="auto"/>
              </w:rPr>
            </w:pPr>
            <w:r>
              <w:rPr>
                <w:rFonts w:eastAsia="Times New Roman"/>
                <w:color w:val="auto"/>
              </w:rPr>
              <w:t>0.00203</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7B812D8">
            <w:pPr>
              <w:pStyle w:val="129"/>
              <w:widowControl w:val="0"/>
              <w:rPr>
                <w:rFonts w:eastAsia="Times New Roman"/>
                <w:color w:val="auto"/>
              </w:rPr>
            </w:pPr>
            <w:r>
              <w:rPr>
                <w:rFonts w:eastAsia="Times New Roman"/>
                <w:color w:val="auto"/>
              </w:rPr>
              <w:t>0.01</w:t>
            </w:r>
          </w:p>
        </w:tc>
        <w:tc>
          <w:tcPr>
            <w:tcW w:w="1036" w:type="dxa"/>
            <w:tcBorders>
              <w:top w:val="single" w:color="000000" w:sz="2" w:space="0"/>
              <w:left w:val="single" w:color="000000" w:sz="2" w:space="0"/>
              <w:bottom w:val="single" w:color="000000" w:sz="2" w:space="0"/>
              <w:right w:val="single" w:color="000000" w:sz="2" w:space="0"/>
            </w:tcBorders>
            <w:vAlign w:val="center"/>
          </w:tcPr>
          <w:p w14:paraId="7BB7BE09">
            <w:pPr>
              <w:pStyle w:val="129"/>
              <w:widowControl w:val="0"/>
              <w:rPr>
                <w:rFonts w:eastAsia="Times New Roman"/>
                <w:color w:val="auto"/>
              </w:rPr>
            </w:pPr>
            <w:r>
              <w:rPr>
                <w:rFonts w:hint="eastAsia" w:eastAsia="Times New Roman"/>
                <w:color w:val="auto"/>
              </w:rPr>
              <w:t>28.38798</w:t>
            </w:r>
          </w:p>
        </w:tc>
        <w:tc>
          <w:tcPr>
            <w:tcW w:w="1375" w:type="dxa"/>
            <w:tcBorders>
              <w:top w:val="single" w:color="000000" w:sz="2" w:space="0"/>
              <w:left w:val="single" w:color="000000" w:sz="2" w:space="0"/>
              <w:bottom w:val="single" w:color="000000" w:sz="2" w:space="0"/>
              <w:right w:val="single" w:color="000000" w:sz="2" w:space="0"/>
            </w:tcBorders>
            <w:vAlign w:val="center"/>
          </w:tcPr>
          <w:p w14:paraId="530249BE">
            <w:pPr>
              <w:pStyle w:val="129"/>
              <w:widowControl w:val="0"/>
              <w:rPr>
                <w:rFonts w:eastAsia="Times New Roman"/>
                <w:color w:val="auto"/>
              </w:rPr>
            </w:pPr>
            <w:r>
              <w:rPr>
                <w:rFonts w:hint="eastAsia" w:eastAsia="Times New Roman"/>
                <w:color w:val="auto"/>
              </w:rPr>
              <w:t>28.3394</w:t>
            </w:r>
          </w:p>
        </w:tc>
        <w:tc>
          <w:tcPr>
            <w:tcW w:w="705" w:type="dxa"/>
            <w:tcBorders>
              <w:top w:val="single" w:color="000000" w:sz="2" w:space="0"/>
              <w:left w:val="single" w:color="000000" w:sz="2" w:space="0"/>
              <w:bottom w:val="single" w:color="000000" w:sz="2" w:space="0"/>
              <w:right w:val="single" w:color="000000" w:sz="2" w:space="0"/>
            </w:tcBorders>
            <w:vAlign w:val="center"/>
          </w:tcPr>
          <w:p w14:paraId="19D3DC36">
            <w:pPr>
              <w:pStyle w:val="129"/>
              <w:widowControl w:val="0"/>
              <w:rPr>
                <w:rFonts w:eastAsia="Times New Roman"/>
                <w:color w:val="auto"/>
                <w:highlight w:val="yellow"/>
              </w:rPr>
            </w:pPr>
            <w:r>
              <w:rPr>
                <w:rFonts w:hint="eastAsia" w:eastAsia="Times New Roman"/>
                <w:color w:val="auto"/>
              </w:rPr>
              <w:t>94.46</w:t>
            </w:r>
          </w:p>
        </w:tc>
        <w:tc>
          <w:tcPr>
            <w:tcW w:w="686" w:type="dxa"/>
            <w:tcBorders>
              <w:top w:val="single" w:color="000000" w:sz="2" w:space="0"/>
              <w:left w:val="single" w:color="000000" w:sz="2" w:space="0"/>
              <w:bottom w:val="single" w:color="000000" w:sz="2" w:space="0"/>
              <w:right w:val="single" w:color="000000" w:sz="8" w:space="0"/>
            </w:tcBorders>
            <w:vAlign w:val="center"/>
          </w:tcPr>
          <w:p w14:paraId="6FB3C374">
            <w:pPr>
              <w:pStyle w:val="129"/>
              <w:widowControl w:val="0"/>
              <w:rPr>
                <w:rFonts w:eastAsia="Times New Roman"/>
                <w:color w:val="auto"/>
                <w:highlight w:val="yellow"/>
              </w:rPr>
            </w:pPr>
            <w:r>
              <w:rPr>
                <w:rFonts w:hint="eastAsia" w:ascii="宋体" w:hAnsi="宋体" w:eastAsia="Times New Roman" w:cs="宋体"/>
                <w:color w:val="auto"/>
              </w:rPr>
              <w:t>达标</w:t>
            </w:r>
          </w:p>
        </w:tc>
      </w:tr>
      <w:tr w14:paraId="2394DF0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5E6646C0">
            <w:pPr>
              <w:pStyle w:val="129"/>
              <w:widowControl w:val="0"/>
              <w:rPr>
                <w:rFonts w:eastAsia="Times New Roman"/>
                <w:color w:val="auto"/>
              </w:rPr>
            </w:pPr>
          </w:p>
        </w:tc>
        <w:tc>
          <w:tcPr>
            <w:tcW w:w="1343" w:type="dxa"/>
            <w:vMerge w:val="restart"/>
            <w:tcBorders>
              <w:top w:val="single" w:color="000000" w:sz="2" w:space="0"/>
              <w:left w:val="single" w:color="000000" w:sz="2" w:space="0"/>
              <w:bottom w:val="single" w:color="000000" w:sz="2" w:space="0"/>
              <w:right w:val="single" w:color="000000" w:sz="2" w:space="0"/>
            </w:tcBorders>
            <w:vAlign w:val="center"/>
          </w:tcPr>
          <w:p w14:paraId="14B52066">
            <w:pPr>
              <w:pStyle w:val="129"/>
              <w:widowControl w:val="0"/>
              <w:rPr>
                <w:rFonts w:eastAsia="Times New Roman"/>
                <w:color w:val="auto"/>
              </w:rPr>
            </w:pPr>
            <w:r>
              <w:rPr>
                <w:rFonts w:hint="eastAsia" w:eastAsia="Times New Roman"/>
                <w:color w:val="auto"/>
              </w:rPr>
              <w:t>网格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3A8AB12">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78B785FC">
            <w:pPr>
              <w:pStyle w:val="129"/>
              <w:widowControl w:val="0"/>
              <w:rPr>
                <w:rFonts w:eastAsia="Times New Roman"/>
                <w:color w:val="auto"/>
              </w:rPr>
            </w:pPr>
            <w:r>
              <w:rPr>
                <w:rFonts w:eastAsia="Times New Roman"/>
                <w:color w:val="auto"/>
              </w:rPr>
              <w:t>1.46114</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339C1A72">
            <w:pPr>
              <w:pStyle w:val="129"/>
              <w:widowControl w:val="0"/>
              <w:rPr>
                <w:rFonts w:eastAsia="Times New Roman"/>
                <w:color w:val="auto"/>
              </w:rPr>
            </w:pPr>
            <w:r>
              <w:rPr>
                <w:rFonts w:eastAsia="Times New Roman"/>
                <w:color w:val="auto"/>
              </w:rPr>
              <w:t>2.44</w:t>
            </w:r>
          </w:p>
        </w:tc>
        <w:tc>
          <w:tcPr>
            <w:tcW w:w="1036" w:type="dxa"/>
            <w:tcBorders>
              <w:top w:val="single" w:color="000000" w:sz="2" w:space="0"/>
              <w:left w:val="single" w:color="000000" w:sz="2" w:space="0"/>
              <w:bottom w:val="single" w:color="000000" w:sz="2" w:space="0"/>
              <w:right w:val="single" w:color="000000" w:sz="2" w:space="0"/>
            </w:tcBorders>
            <w:vAlign w:val="center"/>
          </w:tcPr>
          <w:p w14:paraId="06AF51AC">
            <w:pPr>
              <w:pStyle w:val="129"/>
              <w:widowControl w:val="0"/>
              <w:rPr>
                <w:rFonts w:eastAsia="Times New Roman"/>
                <w:color w:val="auto"/>
              </w:rPr>
            </w:pPr>
            <w:r>
              <w:rPr>
                <w:rFonts w:hint="eastAsia" w:eastAsia="Times New Roman"/>
                <w:color w:val="auto"/>
              </w:rPr>
              <w:t>65.55556</w:t>
            </w:r>
          </w:p>
        </w:tc>
        <w:tc>
          <w:tcPr>
            <w:tcW w:w="1375" w:type="dxa"/>
            <w:tcBorders>
              <w:top w:val="single" w:color="000000" w:sz="2" w:space="0"/>
              <w:left w:val="single" w:color="000000" w:sz="2" w:space="0"/>
              <w:bottom w:val="single" w:color="000000" w:sz="2" w:space="0"/>
              <w:right w:val="single" w:color="000000" w:sz="2" w:space="0"/>
            </w:tcBorders>
            <w:vAlign w:val="center"/>
          </w:tcPr>
          <w:p w14:paraId="0EDCE730">
            <w:pPr>
              <w:pStyle w:val="129"/>
              <w:widowControl w:val="0"/>
              <w:rPr>
                <w:rFonts w:eastAsia="Times New Roman"/>
                <w:color w:val="auto"/>
              </w:rPr>
            </w:pPr>
            <w:r>
              <w:rPr>
                <w:rFonts w:hint="eastAsia" w:eastAsia="Times New Roman"/>
                <w:color w:val="auto"/>
              </w:rPr>
              <w:t>65.90099</w:t>
            </w:r>
          </w:p>
        </w:tc>
        <w:tc>
          <w:tcPr>
            <w:tcW w:w="705" w:type="dxa"/>
            <w:tcBorders>
              <w:top w:val="single" w:color="000000" w:sz="2" w:space="0"/>
              <w:left w:val="single" w:color="000000" w:sz="2" w:space="0"/>
              <w:bottom w:val="single" w:color="000000" w:sz="2" w:space="0"/>
              <w:right w:val="single" w:color="000000" w:sz="2" w:space="0"/>
            </w:tcBorders>
            <w:vAlign w:val="center"/>
          </w:tcPr>
          <w:p w14:paraId="4B9DDCA7">
            <w:pPr>
              <w:pStyle w:val="129"/>
              <w:widowControl w:val="0"/>
              <w:rPr>
                <w:rFonts w:eastAsia="Times New Roman"/>
                <w:color w:val="auto"/>
                <w:highlight w:val="yellow"/>
              </w:rPr>
            </w:pPr>
            <w:r>
              <w:rPr>
                <w:rFonts w:hint="eastAsia" w:eastAsia="Times New Roman"/>
                <w:color w:val="auto"/>
              </w:rPr>
              <w:t>109.83</w:t>
            </w:r>
          </w:p>
        </w:tc>
        <w:tc>
          <w:tcPr>
            <w:tcW w:w="686" w:type="dxa"/>
            <w:tcBorders>
              <w:top w:val="single" w:color="000000" w:sz="2" w:space="0"/>
              <w:left w:val="single" w:color="000000" w:sz="2" w:space="0"/>
              <w:bottom w:val="single" w:color="000000" w:sz="2" w:space="0"/>
              <w:right w:val="single" w:color="000000" w:sz="8" w:space="0"/>
            </w:tcBorders>
            <w:vAlign w:val="center"/>
          </w:tcPr>
          <w:p w14:paraId="0226BFB3">
            <w:pPr>
              <w:pStyle w:val="129"/>
              <w:widowControl w:val="0"/>
              <w:rPr>
                <w:rFonts w:eastAsia="Times New Roman"/>
                <w:color w:val="auto"/>
                <w:highlight w:val="yellow"/>
              </w:rPr>
            </w:pPr>
            <w:r>
              <w:rPr>
                <w:rFonts w:hint="eastAsia" w:ascii="宋体" w:hAnsi="宋体" w:eastAsia="Times New Roman" w:cs="宋体"/>
                <w:color w:val="auto"/>
              </w:rPr>
              <w:t>超标</w:t>
            </w:r>
          </w:p>
        </w:tc>
      </w:tr>
      <w:tr w14:paraId="71476AD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213C5DA5">
            <w:pPr>
              <w:pStyle w:val="129"/>
              <w:widowControl w:val="0"/>
              <w:rPr>
                <w:rFonts w:eastAsia="Times New Roman"/>
                <w:color w:val="auto"/>
              </w:rPr>
            </w:pPr>
          </w:p>
        </w:tc>
        <w:tc>
          <w:tcPr>
            <w:tcW w:w="1343" w:type="dxa"/>
            <w:vMerge w:val="continue"/>
            <w:tcBorders>
              <w:top w:val="single" w:color="000000" w:sz="2" w:space="0"/>
              <w:left w:val="single" w:color="000000" w:sz="2" w:space="0"/>
              <w:bottom w:val="single" w:color="000000" w:sz="2" w:space="0"/>
              <w:right w:val="single" w:color="000000" w:sz="2" w:space="0"/>
            </w:tcBorders>
            <w:vAlign w:val="center"/>
          </w:tcPr>
          <w:p w14:paraId="23E14E79">
            <w:pPr>
              <w:pStyle w:val="129"/>
              <w:widowControl w:val="0"/>
              <w:rPr>
                <w:rFonts w:eastAsia="Times New Roman"/>
                <w:color w:val="auto"/>
              </w:rPr>
            </w:pP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58C2F08">
            <w:pPr>
              <w:pStyle w:val="129"/>
              <w:widowControl w:val="0"/>
              <w:rPr>
                <w:rFonts w:eastAsia="Times New Roman"/>
                <w:color w:val="auto"/>
              </w:rPr>
            </w:pPr>
            <w:r>
              <w:rPr>
                <w:rFonts w:hint="eastAsia" w:eastAsia="Times New Roman"/>
                <w:color w:val="auto"/>
              </w:rPr>
              <w:t>全时段</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3DF50CCA">
            <w:pPr>
              <w:pStyle w:val="129"/>
              <w:widowControl w:val="0"/>
              <w:rPr>
                <w:rFonts w:eastAsia="Times New Roman"/>
                <w:color w:val="auto"/>
              </w:rPr>
            </w:pPr>
            <w:r>
              <w:rPr>
                <w:rFonts w:eastAsia="Times New Roman"/>
                <w:color w:val="auto"/>
              </w:rPr>
              <w:t>0.2666</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7CF874C6">
            <w:pPr>
              <w:pStyle w:val="129"/>
              <w:widowControl w:val="0"/>
              <w:rPr>
                <w:rFonts w:eastAsia="Times New Roman"/>
                <w:color w:val="auto"/>
              </w:rPr>
            </w:pPr>
            <w:r>
              <w:rPr>
                <w:rFonts w:eastAsia="Times New Roman"/>
                <w:color w:val="auto"/>
              </w:rPr>
              <w:t>0.89</w:t>
            </w:r>
          </w:p>
        </w:tc>
        <w:tc>
          <w:tcPr>
            <w:tcW w:w="1036" w:type="dxa"/>
            <w:tcBorders>
              <w:top w:val="single" w:color="000000" w:sz="2" w:space="0"/>
              <w:left w:val="single" w:color="000000" w:sz="2" w:space="0"/>
              <w:bottom w:val="single" w:color="000000" w:sz="2" w:space="0"/>
              <w:right w:val="single" w:color="000000" w:sz="2" w:space="0"/>
            </w:tcBorders>
            <w:vAlign w:val="center"/>
          </w:tcPr>
          <w:p w14:paraId="62A4D680">
            <w:pPr>
              <w:pStyle w:val="129"/>
              <w:widowControl w:val="0"/>
              <w:rPr>
                <w:rFonts w:eastAsia="Times New Roman"/>
                <w:color w:val="auto"/>
              </w:rPr>
            </w:pPr>
            <w:r>
              <w:rPr>
                <w:rFonts w:hint="eastAsia" w:eastAsia="Times New Roman"/>
                <w:color w:val="auto"/>
              </w:rPr>
              <w:t>28.38798</w:t>
            </w:r>
          </w:p>
        </w:tc>
        <w:tc>
          <w:tcPr>
            <w:tcW w:w="1375" w:type="dxa"/>
            <w:tcBorders>
              <w:top w:val="single" w:color="000000" w:sz="2" w:space="0"/>
              <w:left w:val="single" w:color="000000" w:sz="2" w:space="0"/>
              <w:bottom w:val="single" w:color="000000" w:sz="2" w:space="0"/>
              <w:right w:val="single" w:color="000000" w:sz="2" w:space="0"/>
            </w:tcBorders>
            <w:vAlign w:val="center"/>
          </w:tcPr>
          <w:p w14:paraId="68C5CF07">
            <w:pPr>
              <w:pStyle w:val="129"/>
              <w:widowControl w:val="0"/>
              <w:rPr>
                <w:rFonts w:eastAsia="Times New Roman"/>
                <w:color w:val="auto"/>
              </w:rPr>
            </w:pPr>
            <w:r>
              <w:rPr>
                <w:rFonts w:hint="eastAsia" w:eastAsia="Times New Roman"/>
                <w:color w:val="auto"/>
              </w:rPr>
              <w:t>28.6916</w:t>
            </w:r>
          </w:p>
        </w:tc>
        <w:tc>
          <w:tcPr>
            <w:tcW w:w="705" w:type="dxa"/>
            <w:tcBorders>
              <w:top w:val="single" w:color="000000" w:sz="2" w:space="0"/>
              <w:left w:val="single" w:color="000000" w:sz="2" w:space="0"/>
              <w:bottom w:val="single" w:color="000000" w:sz="2" w:space="0"/>
              <w:right w:val="single" w:color="000000" w:sz="2" w:space="0"/>
            </w:tcBorders>
            <w:vAlign w:val="center"/>
          </w:tcPr>
          <w:p w14:paraId="07A43A47">
            <w:pPr>
              <w:pStyle w:val="129"/>
              <w:widowControl w:val="0"/>
              <w:rPr>
                <w:rFonts w:eastAsia="Times New Roman"/>
                <w:color w:val="auto"/>
                <w:highlight w:val="yellow"/>
              </w:rPr>
            </w:pPr>
            <w:r>
              <w:rPr>
                <w:rFonts w:hint="eastAsia" w:eastAsia="Times New Roman"/>
                <w:color w:val="auto"/>
              </w:rPr>
              <w:t>95.64</w:t>
            </w:r>
          </w:p>
        </w:tc>
        <w:tc>
          <w:tcPr>
            <w:tcW w:w="686" w:type="dxa"/>
            <w:tcBorders>
              <w:top w:val="single" w:color="000000" w:sz="2" w:space="0"/>
              <w:left w:val="single" w:color="000000" w:sz="2" w:space="0"/>
              <w:bottom w:val="single" w:color="000000" w:sz="2" w:space="0"/>
              <w:right w:val="single" w:color="000000" w:sz="8" w:space="0"/>
            </w:tcBorders>
            <w:vAlign w:val="center"/>
          </w:tcPr>
          <w:p w14:paraId="425C7D80">
            <w:pPr>
              <w:pStyle w:val="129"/>
              <w:widowControl w:val="0"/>
              <w:rPr>
                <w:rFonts w:eastAsia="Times New Roman"/>
                <w:color w:val="auto"/>
                <w:highlight w:val="yellow"/>
              </w:rPr>
            </w:pPr>
            <w:r>
              <w:rPr>
                <w:rFonts w:hint="eastAsia" w:ascii="宋体" w:hAnsi="宋体" w:eastAsia="Times New Roman" w:cs="宋体"/>
                <w:color w:val="auto"/>
              </w:rPr>
              <w:t>达标</w:t>
            </w:r>
          </w:p>
        </w:tc>
      </w:tr>
      <w:tr w14:paraId="661802C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bottom w:val="single" w:color="000000" w:sz="2" w:space="0"/>
              <w:right w:val="single" w:color="000000" w:sz="2" w:space="0"/>
            </w:tcBorders>
            <w:noWrap/>
            <w:vAlign w:val="center"/>
          </w:tcPr>
          <w:p w14:paraId="5BD9D387">
            <w:pPr>
              <w:pStyle w:val="129"/>
              <w:widowControl w:val="0"/>
              <w:rPr>
                <w:rFonts w:eastAsia="Times New Roman"/>
                <w:color w:val="auto"/>
              </w:rPr>
            </w:pPr>
            <w:r>
              <w:rPr>
                <w:rFonts w:hint="eastAsia" w:eastAsia="Times New Roman"/>
                <w:color w:val="auto"/>
              </w:rPr>
              <w:t>NH</w:t>
            </w:r>
            <w:r>
              <w:rPr>
                <w:rFonts w:hint="eastAsia" w:eastAsia="Times New Roman"/>
                <w:color w:val="auto"/>
                <w:vertAlign w:val="subscript"/>
              </w:rPr>
              <w:t>3</w:t>
            </w: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4E94C8C5">
            <w:pPr>
              <w:pStyle w:val="129"/>
              <w:widowControl w:val="0"/>
              <w:rPr>
                <w:rFonts w:eastAsia="Times New Roman"/>
                <w:color w:val="auto"/>
              </w:rPr>
            </w:pPr>
            <w:r>
              <w:rPr>
                <w:rFonts w:hint="eastAsia" w:eastAsia="Times New Roman"/>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3CE70888">
            <w:pPr>
              <w:pStyle w:val="129"/>
              <w:widowControl w:val="0"/>
              <w:rPr>
                <w:rFonts w:eastAsia="Times New Roman"/>
                <w:color w:val="auto"/>
              </w:rPr>
            </w:pPr>
            <w:r>
              <w:rPr>
                <w:rFonts w:eastAsia="Times New Roman"/>
                <w:color w:val="auto"/>
              </w:rPr>
              <w:t>1</w:t>
            </w:r>
            <w:r>
              <w:rPr>
                <w:rFonts w:hint="eastAsia" w:eastAsia="Times New Roman"/>
                <w:color w:val="auto"/>
              </w:rPr>
              <w:t>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063F1084">
            <w:pPr>
              <w:pStyle w:val="129"/>
              <w:widowControl w:val="0"/>
              <w:rPr>
                <w:rFonts w:eastAsia="Times New Roman"/>
                <w:color w:val="auto"/>
                <w:highlight w:val="yellow"/>
              </w:rPr>
            </w:pPr>
            <w:r>
              <w:rPr>
                <w:rFonts w:eastAsia="Times New Roman"/>
                <w:color w:val="auto"/>
              </w:rPr>
              <w:t>1.20382</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3C6959E4">
            <w:pPr>
              <w:pStyle w:val="129"/>
              <w:widowControl w:val="0"/>
              <w:rPr>
                <w:rFonts w:eastAsia="Times New Roman"/>
                <w:color w:val="auto"/>
                <w:highlight w:val="yellow"/>
              </w:rPr>
            </w:pPr>
            <w:r>
              <w:rPr>
                <w:rFonts w:hint="eastAsia" w:eastAsia="Times New Roman"/>
                <w:color w:val="auto"/>
              </w:rPr>
              <w:t>0.60</w:t>
            </w:r>
          </w:p>
        </w:tc>
        <w:tc>
          <w:tcPr>
            <w:tcW w:w="1036" w:type="dxa"/>
            <w:tcBorders>
              <w:top w:val="single" w:color="000000" w:sz="2" w:space="0"/>
              <w:left w:val="single" w:color="000000" w:sz="2" w:space="0"/>
              <w:bottom w:val="single" w:color="000000" w:sz="2" w:space="0"/>
              <w:right w:val="single" w:color="000000" w:sz="2" w:space="0"/>
            </w:tcBorders>
            <w:vAlign w:val="center"/>
          </w:tcPr>
          <w:p w14:paraId="30AA53AD">
            <w:pPr>
              <w:pStyle w:val="129"/>
              <w:widowControl w:val="0"/>
              <w:rPr>
                <w:rFonts w:eastAsia="Times New Roman"/>
                <w:color w:val="auto"/>
              </w:rPr>
            </w:pPr>
            <w:r>
              <w:rPr>
                <w:rFonts w:hint="eastAsia" w:eastAsia="Times New Roman"/>
                <w:color w:val="auto"/>
              </w:rPr>
              <w:t>180.0</w:t>
            </w:r>
          </w:p>
        </w:tc>
        <w:tc>
          <w:tcPr>
            <w:tcW w:w="1375" w:type="dxa"/>
            <w:tcBorders>
              <w:top w:val="single" w:color="000000" w:sz="2" w:space="0"/>
              <w:left w:val="single" w:color="000000" w:sz="2" w:space="0"/>
              <w:bottom w:val="single" w:color="000000" w:sz="2" w:space="0"/>
              <w:right w:val="single" w:color="000000" w:sz="2" w:space="0"/>
            </w:tcBorders>
            <w:vAlign w:val="center"/>
          </w:tcPr>
          <w:p w14:paraId="1158D124">
            <w:pPr>
              <w:pStyle w:val="129"/>
              <w:widowControl w:val="0"/>
              <w:rPr>
                <w:rFonts w:eastAsia="Times New Roman"/>
                <w:color w:val="auto"/>
              </w:rPr>
            </w:pPr>
            <w:r>
              <w:rPr>
                <w:rFonts w:eastAsia="Times New Roman"/>
                <w:color w:val="auto"/>
              </w:rPr>
              <w:t>181.2038</w:t>
            </w:r>
          </w:p>
        </w:tc>
        <w:tc>
          <w:tcPr>
            <w:tcW w:w="705" w:type="dxa"/>
            <w:tcBorders>
              <w:top w:val="single" w:color="000000" w:sz="2" w:space="0"/>
              <w:left w:val="single" w:color="000000" w:sz="2" w:space="0"/>
              <w:bottom w:val="single" w:color="000000" w:sz="2" w:space="0"/>
              <w:right w:val="single" w:color="000000" w:sz="2" w:space="0"/>
            </w:tcBorders>
            <w:vAlign w:val="center"/>
          </w:tcPr>
          <w:p w14:paraId="175C1BE3">
            <w:pPr>
              <w:pStyle w:val="129"/>
              <w:widowControl w:val="0"/>
              <w:rPr>
                <w:rFonts w:eastAsia="Times New Roman"/>
                <w:color w:val="auto"/>
              </w:rPr>
            </w:pPr>
            <w:r>
              <w:rPr>
                <w:rFonts w:eastAsia="Times New Roman"/>
                <w:color w:val="auto"/>
              </w:rPr>
              <w:t>90.60</w:t>
            </w:r>
          </w:p>
        </w:tc>
        <w:tc>
          <w:tcPr>
            <w:tcW w:w="686" w:type="dxa"/>
            <w:tcBorders>
              <w:top w:val="single" w:color="000000" w:sz="2" w:space="0"/>
              <w:left w:val="single" w:color="000000" w:sz="2" w:space="0"/>
              <w:bottom w:val="single" w:color="000000" w:sz="2" w:space="0"/>
              <w:right w:val="single" w:color="000000" w:sz="8" w:space="0"/>
            </w:tcBorders>
            <w:vAlign w:val="center"/>
          </w:tcPr>
          <w:p w14:paraId="43A683B8">
            <w:pPr>
              <w:pStyle w:val="129"/>
              <w:widowControl w:val="0"/>
              <w:rPr>
                <w:rFonts w:eastAsia="Times New Roman"/>
                <w:color w:val="auto"/>
              </w:rPr>
            </w:pPr>
            <w:r>
              <w:rPr>
                <w:rFonts w:hint="eastAsia" w:ascii="宋体" w:hAnsi="宋体" w:eastAsia="Times New Roman" w:cs="宋体"/>
                <w:color w:val="auto"/>
              </w:rPr>
              <w:t>达标</w:t>
            </w:r>
          </w:p>
        </w:tc>
      </w:tr>
      <w:tr w14:paraId="7A7E9E6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422FA3CC">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38ABAD97">
            <w:pPr>
              <w:pStyle w:val="129"/>
              <w:widowControl w:val="0"/>
              <w:rPr>
                <w:rFonts w:eastAsia="Times New Roman"/>
                <w:color w:val="auto"/>
              </w:rPr>
            </w:pPr>
            <w:r>
              <w:rPr>
                <w:rFonts w:hint="eastAsia" w:eastAsia="Times New Roman"/>
                <w:color w:val="auto"/>
              </w:rPr>
              <w:t>乌鲁木齐市第137中学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D2F4396">
            <w:pPr>
              <w:pStyle w:val="129"/>
              <w:widowControl w:val="0"/>
              <w:rPr>
                <w:rFonts w:eastAsia="Times New Roman"/>
                <w:color w:val="auto"/>
              </w:rPr>
            </w:pPr>
            <w:r>
              <w:rPr>
                <w:rFonts w:eastAsia="Times New Roman"/>
                <w:color w:val="auto"/>
              </w:rPr>
              <w:t>1</w:t>
            </w:r>
            <w:r>
              <w:rPr>
                <w:rFonts w:hint="eastAsia" w:eastAsia="Times New Roman"/>
                <w:color w:val="auto"/>
              </w:rPr>
              <w:t>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0940A125">
            <w:pPr>
              <w:pStyle w:val="129"/>
              <w:widowControl w:val="0"/>
              <w:rPr>
                <w:rFonts w:eastAsia="Times New Roman"/>
                <w:color w:val="auto"/>
                <w:highlight w:val="yellow"/>
              </w:rPr>
            </w:pPr>
            <w:r>
              <w:rPr>
                <w:rFonts w:eastAsia="Times New Roman"/>
                <w:color w:val="auto"/>
              </w:rPr>
              <w:t>1.19772</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0F72BF24">
            <w:pPr>
              <w:pStyle w:val="129"/>
              <w:widowControl w:val="0"/>
              <w:rPr>
                <w:rFonts w:eastAsia="Times New Roman"/>
                <w:color w:val="auto"/>
                <w:highlight w:val="yellow"/>
              </w:rPr>
            </w:pPr>
            <w:r>
              <w:rPr>
                <w:rFonts w:hint="eastAsia" w:eastAsia="Times New Roman"/>
                <w:color w:val="auto"/>
              </w:rPr>
              <w:t>0.60</w:t>
            </w:r>
          </w:p>
        </w:tc>
        <w:tc>
          <w:tcPr>
            <w:tcW w:w="1036" w:type="dxa"/>
            <w:tcBorders>
              <w:top w:val="single" w:color="000000" w:sz="2" w:space="0"/>
              <w:left w:val="single" w:color="000000" w:sz="2" w:space="0"/>
              <w:bottom w:val="single" w:color="000000" w:sz="2" w:space="0"/>
              <w:right w:val="single" w:color="000000" w:sz="2" w:space="0"/>
            </w:tcBorders>
            <w:vAlign w:val="center"/>
          </w:tcPr>
          <w:p w14:paraId="401B927B">
            <w:pPr>
              <w:pStyle w:val="129"/>
              <w:widowControl w:val="0"/>
              <w:rPr>
                <w:rFonts w:eastAsia="Times New Roman"/>
                <w:color w:val="auto"/>
              </w:rPr>
            </w:pPr>
            <w:r>
              <w:rPr>
                <w:rFonts w:hint="eastAsia" w:eastAsia="Times New Roman"/>
                <w:color w:val="auto"/>
              </w:rPr>
              <w:t>180.0</w:t>
            </w:r>
          </w:p>
        </w:tc>
        <w:tc>
          <w:tcPr>
            <w:tcW w:w="1375" w:type="dxa"/>
            <w:tcBorders>
              <w:top w:val="single" w:color="000000" w:sz="2" w:space="0"/>
              <w:left w:val="single" w:color="000000" w:sz="2" w:space="0"/>
              <w:bottom w:val="single" w:color="000000" w:sz="2" w:space="0"/>
              <w:right w:val="single" w:color="000000" w:sz="2" w:space="0"/>
            </w:tcBorders>
            <w:vAlign w:val="center"/>
          </w:tcPr>
          <w:p w14:paraId="7CCF60AE">
            <w:pPr>
              <w:pStyle w:val="129"/>
              <w:widowControl w:val="0"/>
              <w:rPr>
                <w:rFonts w:eastAsia="Times New Roman"/>
                <w:color w:val="auto"/>
              </w:rPr>
            </w:pPr>
            <w:r>
              <w:rPr>
                <w:rFonts w:eastAsia="Times New Roman"/>
                <w:color w:val="auto"/>
              </w:rPr>
              <w:t>181.1977</w:t>
            </w:r>
          </w:p>
        </w:tc>
        <w:tc>
          <w:tcPr>
            <w:tcW w:w="705" w:type="dxa"/>
            <w:tcBorders>
              <w:top w:val="single" w:color="000000" w:sz="2" w:space="0"/>
              <w:left w:val="single" w:color="000000" w:sz="2" w:space="0"/>
              <w:bottom w:val="single" w:color="000000" w:sz="2" w:space="0"/>
              <w:right w:val="single" w:color="000000" w:sz="2" w:space="0"/>
            </w:tcBorders>
            <w:vAlign w:val="center"/>
          </w:tcPr>
          <w:p w14:paraId="3ABCF7E9">
            <w:pPr>
              <w:pStyle w:val="129"/>
              <w:widowControl w:val="0"/>
              <w:rPr>
                <w:rFonts w:eastAsia="Times New Roman"/>
                <w:color w:val="auto"/>
              </w:rPr>
            </w:pPr>
            <w:r>
              <w:rPr>
                <w:rFonts w:eastAsia="Times New Roman"/>
                <w:color w:val="auto"/>
              </w:rPr>
              <w:t>90.60</w:t>
            </w:r>
          </w:p>
        </w:tc>
        <w:tc>
          <w:tcPr>
            <w:tcW w:w="686" w:type="dxa"/>
            <w:tcBorders>
              <w:top w:val="single" w:color="000000" w:sz="2" w:space="0"/>
              <w:left w:val="single" w:color="000000" w:sz="2" w:space="0"/>
              <w:bottom w:val="single" w:color="000000" w:sz="2" w:space="0"/>
              <w:right w:val="single" w:color="000000" w:sz="8" w:space="0"/>
            </w:tcBorders>
            <w:vAlign w:val="center"/>
          </w:tcPr>
          <w:p w14:paraId="7E7F737E">
            <w:pPr>
              <w:pStyle w:val="129"/>
              <w:widowControl w:val="0"/>
              <w:rPr>
                <w:rFonts w:eastAsia="Times New Roman"/>
                <w:color w:val="auto"/>
              </w:rPr>
            </w:pPr>
            <w:r>
              <w:rPr>
                <w:rFonts w:hint="eastAsia" w:ascii="宋体" w:hAnsi="宋体" w:eastAsia="Times New Roman" w:cs="宋体"/>
                <w:color w:val="auto"/>
              </w:rPr>
              <w:t>达标</w:t>
            </w:r>
          </w:p>
        </w:tc>
      </w:tr>
      <w:tr w14:paraId="2838604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669002E0">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3DCB3865">
            <w:pPr>
              <w:pStyle w:val="129"/>
              <w:widowControl w:val="0"/>
              <w:rPr>
                <w:rFonts w:eastAsia="Times New Roman"/>
                <w:color w:val="auto"/>
              </w:rPr>
            </w:pPr>
            <w:r>
              <w:rPr>
                <w:rFonts w:hint="eastAsia" w:eastAsia="Times New Roman"/>
                <w:color w:val="auto"/>
              </w:rPr>
              <w:t>网格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383F5F8C">
            <w:pPr>
              <w:pStyle w:val="129"/>
              <w:widowControl w:val="0"/>
              <w:rPr>
                <w:rFonts w:eastAsia="Times New Roman"/>
                <w:color w:val="auto"/>
              </w:rPr>
            </w:pPr>
            <w:r>
              <w:rPr>
                <w:rFonts w:eastAsia="Times New Roman"/>
                <w:color w:val="auto"/>
              </w:rPr>
              <w:t>1</w:t>
            </w:r>
            <w:r>
              <w:rPr>
                <w:rFonts w:hint="eastAsia" w:eastAsia="Times New Roman"/>
                <w:color w:val="auto"/>
              </w:rPr>
              <w:t>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72414410">
            <w:pPr>
              <w:pStyle w:val="129"/>
              <w:widowControl w:val="0"/>
              <w:rPr>
                <w:rFonts w:eastAsia="Times New Roman"/>
                <w:color w:val="auto"/>
                <w:highlight w:val="yellow"/>
              </w:rPr>
            </w:pPr>
            <w:r>
              <w:rPr>
                <w:rFonts w:eastAsia="Times New Roman"/>
                <w:color w:val="auto"/>
              </w:rPr>
              <w:t>16.87184</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CDD2195">
            <w:pPr>
              <w:pStyle w:val="129"/>
              <w:widowControl w:val="0"/>
              <w:rPr>
                <w:rFonts w:eastAsia="Times New Roman"/>
                <w:color w:val="auto"/>
                <w:highlight w:val="yellow"/>
              </w:rPr>
            </w:pPr>
            <w:r>
              <w:rPr>
                <w:rFonts w:hint="eastAsia" w:eastAsia="Times New Roman"/>
                <w:color w:val="auto"/>
              </w:rPr>
              <w:t>8.44</w:t>
            </w:r>
          </w:p>
        </w:tc>
        <w:tc>
          <w:tcPr>
            <w:tcW w:w="1036" w:type="dxa"/>
            <w:tcBorders>
              <w:top w:val="single" w:color="000000" w:sz="2" w:space="0"/>
              <w:left w:val="single" w:color="000000" w:sz="2" w:space="0"/>
              <w:bottom w:val="single" w:color="000000" w:sz="2" w:space="0"/>
              <w:right w:val="single" w:color="000000" w:sz="2" w:space="0"/>
            </w:tcBorders>
            <w:vAlign w:val="center"/>
          </w:tcPr>
          <w:p w14:paraId="5A5E3010">
            <w:pPr>
              <w:pStyle w:val="129"/>
              <w:widowControl w:val="0"/>
              <w:rPr>
                <w:rFonts w:eastAsia="Times New Roman"/>
                <w:color w:val="auto"/>
              </w:rPr>
            </w:pPr>
            <w:r>
              <w:rPr>
                <w:rFonts w:hint="eastAsia" w:eastAsia="Times New Roman"/>
                <w:color w:val="auto"/>
              </w:rPr>
              <w:t>180.0</w:t>
            </w:r>
          </w:p>
        </w:tc>
        <w:tc>
          <w:tcPr>
            <w:tcW w:w="1375" w:type="dxa"/>
            <w:tcBorders>
              <w:top w:val="single" w:color="000000" w:sz="2" w:space="0"/>
              <w:left w:val="single" w:color="000000" w:sz="2" w:space="0"/>
              <w:bottom w:val="single" w:color="000000" w:sz="2" w:space="0"/>
              <w:right w:val="single" w:color="000000" w:sz="2" w:space="0"/>
            </w:tcBorders>
            <w:vAlign w:val="center"/>
          </w:tcPr>
          <w:p w14:paraId="6A66B4F8">
            <w:pPr>
              <w:pStyle w:val="129"/>
              <w:widowControl w:val="0"/>
              <w:rPr>
                <w:rFonts w:eastAsia="Times New Roman"/>
                <w:color w:val="auto"/>
              </w:rPr>
            </w:pPr>
            <w:r>
              <w:rPr>
                <w:rFonts w:eastAsia="Times New Roman"/>
                <w:color w:val="auto"/>
              </w:rPr>
              <w:t>196.8718</w:t>
            </w:r>
          </w:p>
        </w:tc>
        <w:tc>
          <w:tcPr>
            <w:tcW w:w="705" w:type="dxa"/>
            <w:tcBorders>
              <w:top w:val="single" w:color="000000" w:sz="2" w:space="0"/>
              <w:left w:val="single" w:color="000000" w:sz="2" w:space="0"/>
              <w:bottom w:val="single" w:color="000000" w:sz="2" w:space="0"/>
              <w:right w:val="single" w:color="000000" w:sz="2" w:space="0"/>
            </w:tcBorders>
            <w:vAlign w:val="center"/>
          </w:tcPr>
          <w:p w14:paraId="01398229">
            <w:pPr>
              <w:pStyle w:val="129"/>
              <w:widowControl w:val="0"/>
              <w:rPr>
                <w:rFonts w:eastAsia="Times New Roman"/>
                <w:color w:val="auto"/>
              </w:rPr>
            </w:pPr>
            <w:r>
              <w:rPr>
                <w:rFonts w:eastAsia="Times New Roman"/>
                <w:color w:val="auto"/>
              </w:rPr>
              <w:t>98.44</w:t>
            </w:r>
          </w:p>
        </w:tc>
        <w:tc>
          <w:tcPr>
            <w:tcW w:w="686" w:type="dxa"/>
            <w:tcBorders>
              <w:top w:val="single" w:color="000000" w:sz="2" w:space="0"/>
              <w:left w:val="single" w:color="000000" w:sz="2" w:space="0"/>
              <w:bottom w:val="single" w:color="000000" w:sz="2" w:space="0"/>
              <w:right w:val="single" w:color="000000" w:sz="8" w:space="0"/>
            </w:tcBorders>
            <w:vAlign w:val="center"/>
          </w:tcPr>
          <w:p w14:paraId="1643203C">
            <w:pPr>
              <w:pStyle w:val="129"/>
              <w:widowControl w:val="0"/>
              <w:rPr>
                <w:rFonts w:eastAsia="Times New Roman"/>
                <w:color w:val="auto"/>
              </w:rPr>
            </w:pPr>
            <w:r>
              <w:rPr>
                <w:rFonts w:hint="eastAsia" w:ascii="宋体" w:hAnsi="宋体" w:eastAsia="Times New Roman" w:cs="宋体"/>
                <w:color w:val="auto"/>
              </w:rPr>
              <w:t>达标</w:t>
            </w:r>
          </w:p>
        </w:tc>
      </w:tr>
      <w:tr w14:paraId="37FB478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right w:val="single" w:color="000000" w:sz="2" w:space="0"/>
            </w:tcBorders>
            <w:vAlign w:val="center"/>
          </w:tcPr>
          <w:p w14:paraId="15D1ADBE">
            <w:pPr>
              <w:pStyle w:val="129"/>
              <w:widowControl w:val="0"/>
              <w:rPr>
                <w:rFonts w:eastAsia="Times New Roman"/>
                <w:color w:val="auto"/>
              </w:rPr>
            </w:pPr>
            <w:r>
              <w:rPr>
                <w:rFonts w:hint="eastAsia" w:eastAsiaTheme="minorEastAsia"/>
                <w:color w:val="auto"/>
              </w:rPr>
              <w:t>H</w:t>
            </w:r>
            <w:r>
              <w:rPr>
                <w:rFonts w:hint="eastAsia" w:eastAsiaTheme="minorEastAsia"/>
                <w:color w:val="auto"/>
                <w:vertAlign w:val="subscript"/>
              </w:rPr>
              <w:t>2</w:t>
            </w:r>
            <w:r>
              <w:rPr>
                <w:rFonts w:hint="eastAsia" w:eastAsiaTheme="minorEastAsia"/>
                <w:color w:val="auto"/>
              </w:rPr>
              <w:t>S</w:t>
            </w: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2803011E">
            <w:pPr>
              <w:pStyle w:val="129"/>
              <w:widowControl w:val="0"/>
              <w:rPr>
                <w:rFonts w:eastAsia="Times New Roman"/>
                <w:color w:val="auto"/>
              </w:rPr>
            </w:pPr>
            <w:r>
              <w:rPr>
                <w:rFonts w:hint="eastAsia" w:eastAsia="Times New Roman"/>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64EA8BE">
            <w:pPr>
              <w:pStyle w:val="129"/>
              <w:widowControl w:val="0"/>
              <w:rPr>
                <w:rFonts w:eastAsia="Times New Roman"/>
                <w:color w:val="auto"/>
              </w:rPr>
            </w:pPr>
            <w:r>
              <w:rPr>
                <w:rFonts w:eastAsia="Times New Roman"/>
                <w:color w:val="auto"/>
              </w:rPr>
              <w:t>1</w:t>
            </w:r>
            <w:r>
              <w:rPr>
                <w:rFonts w:hint="eastAsia" w:eastAsia="Times New Roman"/>
                <w:color w:val="auto"/>
              </w:rPr>
              <w:t>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62AC2BC5">
            <w:pPr>
              <w:pStyle w:val="129"/>
              <w:widowControl w:val="0"/>
              <w:rPr>
                <w:rFonts w:eastAsia="Times New Roman"/>
                <w:color w:val="auto"/>
              </w:rPr>
            </w:pPr>
            <w:r>
              <w:rPr>
                <w:rFonts w:eastAsia="Times New Roman"/>
                <w:color w:val="auto"/>
              </w:rPr>
              <w:t>0.00007</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0218033E">
            <w:pPr>
              <w:pStyle w:val="129"/>
              <w:widowControl w:val="0"/>
              <w:rPr>
                <w:rFonts w:eastAsia="Times New Roman"/>
                <w:color w:val="auto"/>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6E411512">
            <w:pPr>
              <w:pStyle w:val="129"/>
              <w:widowControl w:val="0"/>
              <w:rPr>
                <w:rFonts w:eastAsia="Times New Roman"/>
                <w:color w:val="auto"/>
              </w:rPr>
            </w:pPr>
            <w:r>
              <w:rPr>
                <w:rFonts w:hint="eastAsia" w:eastAsia="Times New Roman"/>
                <w:color w:val="auto"/>
              </w:rPr>
              <w:t>9.0</w:t>
            </w:r>
          </w:p>
        </w:tc>
        <w:tc>
          <w:tcPr>
            <w:tcW w:w="1375" w:type="dxa"/>
            <w:tcBorders>
              <w:top w:val="single" w:color="000000" w:sz="2" w:space="0"/>
              <w:left w:val="single" w:color="000000" w:sz="2" w:space="0"/>
              <w:bottom w:val="single" w:color="000000" w:sz="2" w:space="0"/>
              <w:right w:val="single" w:color="000000" w:sz="2" w:space="0"/>
            </w:tcBorders>
            <w:vAlign w:val="center"/>
          </w:tcPr>
          <w:p w14:paraId="51D2528B">
            <w:pPr>
              <w:pStyle w:val="129"/>
              <w:widowControl w:val="0"/>
              <w:rPr>
                <w:rFonts w:eastAsia="Times New Roman"/>
                <w:color w:val="auto"/>
              </w:rPr>
            </w:pPr>
            <w:r>
              <w:rPr>
                <w:rFonts w:hint="eastAsia" w:eastAsia="Times New Roman"/>
                <w:color w:val="auto"/>
              </w:rPr>
              <w:t>9.00007</w:t>
            </w:r>
          </w:p>
        </w:tc>
        <w:tc>
          <w:tcPr>
            <w:tcW w:w="705" w:type="dxa"/>
            <w:tcBorders>
              <w:top w:val="single" w:color="000000" w:sz="2" w:space="0"/>
              <w:left w:val="single" w:color="000000" w:sz="2" w:space="0"/>
              <w:bottom w:val="single" w:color="000000" w:sz="2" w:space="0"/>
              <w:right w:val="single" w:color="000000" w:sz="2" w:space="0"/>
            </w:tcBorders>
            <w:vAlign w:val="center"/>
          </w:tcPr>
          <w:p w14:paraId="0CB58AC5">
            <w:pPr>
              <w:pStyle w:val="129"/>
              <w:widowControl w:val="0"/>
              <w:rPr>
                <w:rFonts w:eastAsia="Times New Roman"/>
                <w:color w:val="auto"/>
              </w:rPr>
            </w:pPr>
            <w:r>
              <w:rPr>
                <w:rFonts w:hint="eastAsia" w:eastAsia="Times New Roman"/>
                <w:color w:val="auto"/>
              </w:rPr>
              <w:t>90.00</w:t>
            </w:r>
          </w:p>
        </w:tc>
        <w:tc>
          <w:tcPr>
            <w:tcW w:w="686" w:type="dxa"/>
            <w:tcBorders>
              <w:top w:val="single" w:color="000000" w:sz="2" w:space="0"/>
              <w:left w:val="single" w:color="000000" w:sz="2" w:space="0"/>
              <w:bottom w:val="single" w:color="000000" w:sz="2" w:space="0"/>
              <w:right w:val="single" w:color="000000" w:sz="8" w:space="0"/>
            </w:tcBorders>
            <w:vAlign w:val="center"/>
          </w:tcPr>
          <w:p w14:paraId="2B996D1A">
            <w:pPr>
              <w:pStyle w:val="129"/>
              <w:widowControl w:val="0"/>
              <w:rPr>
                <w:rFonts w:eastAsia="Times New Roman"/>
                <w:color w:val="auto"/>
              </w:rPr>
            </w:pPr>
            <w:r>
              <w:rPr>
                <w:rFonts w:hint="eastAsia" w:ascii="宋体" w:hAnsi="宋体" w:eastAsia="Times New Roman" w:cs="宋体"/>
                <w:color w:val="auto"/>
              </w:rPr>
              <w:t>达标</w:t>
            </w:r>
          </w:p>
        </w:tc>
      </w:tr>
      <w:tr w14:paraId="383E3AA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left w:val="single" w:color="000000" w:sz="8" w:space="0"/>
              <w:right w:val="single" w:color="000000" w:sz="2" w:space="0"/>
            </w:tcBorders>
            <w:vAlign w:val="center"/>
          </w:tcPr>
          <w:p w14:paraId="3DF2D729">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28351BAF">
            <w:pPr>
              <w:pStyle w:val="129"/>
              <w:widowControl w:val="0"/>
              <w:rPr>
                <w:rFonts w:eastAsia="Times New Roman"/>
                <w:color w:val="auto"/>
              </w:rPr>
            </w:pPr>
            <w:r>
              <w:rPr>
                <w:rFonts w:hint="eastAsia" w:eastAsia="Times New Roman"/>
                <w:color w:val="auto"/>
              </w:rPr>
              <w:t>乌鲁木齐市第137中学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873CF9C">
            <w:pPr>
              <w:pStyle w:val="129"/>
              <w:widowControl w:val="0"/>
              <w:rPr>
                <w:rFonts w:eastAsia="Times New Roman"/>
                <w:color w:val="auto"/>
              </w:rPr>
            </w:pPr>
            <w:r>
              <w:rPr>
                <w:rFonts w:eastAsia="Times New Roman"/>
                <w:color w:val="auto"/>
              </w:rPr>
              <w:t>1</w:t>
            </w:r>
            <w:r>
              <w:rPr>
                <w:rFonts w:hint="eastAsia" w:eastAsia="Times New Roman"/>
                <w:color w:val="auto"/>
              </w:rPr>
              <w:t>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2DF04EA4">
            <w:pPr>
              <w:pStyle w:val="129"/>
              <w:widowControl w:val="0"/>
              <w:rPr>
                <w:rFonts w:eastAsia="Times New Roman"/>
                <w:color w:val="auto"/>
              </w:rPr>
            </w:pPr>
            <w:r>
              <w:rPr>
                <w:rFonts w:eastAsia="Times New Roman"/>
                <w:color w:val="auto"/>
              </w:rPr>
              <w:t>0.00007</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7705C18A">
            <w:pPr>
              <w:pStyle w:val="129"/>
              <w:widowControl w:val="0"/>
              <w:rPr>
                <w:rFonts w:eastAsia="Times New Roman"/>
                <w:color w:val="auto"/>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32DED4C7">
            <w:pPr>
              <w:pStyle w:val="129"/>
              <w:widowControl w:val="0"/>
              <w:rPr>
                <w:rFonts w:eastAsia="Times New Roman"/>
                <w:color w:val="auto"/>
              </w:rPr>
            </w:pPr>
            <w:r>
              <w:rPr>
                <w:rFonts w:hint="eastAsia" w:eastAsia="Times New Roman"/>
                <w:color w:val="auto"/>
              </w:rPr>
              <w:t>9.0</w:t>
            </w:r>
          </w:p>
        </w:tc>
        <w:tc>
          <w:tcPr>
            <w:tcW w:w="1375" w:type="dxa"/>
            <w:tcBorders>
              <w:top w:val="single" w:color="000000" w:sz="2" w:space="0"/>
              <w:left w:val="single" w:color="000000" w:sz="2" w:space="0"/>
              <w:bottom w:val="single" w:color="000000" w:sz="2" w:space="0"/>
              <w:right w:val="single" w:color="000000" w:sz="2" w:space="0"/>
            </w:tcBorders>
            <w:vAlign w:val="center"/>
          </w:tcPr>
          <w:p w14:paraId="2995A3B2">
            <w:pPr>
              <w:pStyle w:val="129"/>
              <w:widowControl w:val="0"/>
              <w:rPr>
                <w:rFonts w:eastAsia="Times New Roman"/>
                <w:color w:val="auto"/>
              </w:rPr>
            </w:pPr>
            <w:r>
              <w:rPr>
                <w:rFonts w:hint="eastAsia" w:eastAsia="Times New Roman"/>
                <w:color w:val="auto"/>
              </w:rPr>
              <w:t>9.00007</w:t>
            </w:r>
          </w:p>
        </w:tc>
        <w:tc>
          <w:tcPr>
            <w:tcW w:w="705" w:type="dxa"/>
            <w:tcBorders>
              <w:top w:val="single" w:color="000000" w:sz="2" w:space="0"/>
              <w:left w:val="single" w:color="000000" w:sz="2" w:space="0"/>
              <w:bottom w:val="single" w:color="000000" w:sz="2" w:space="0"/>
              <w:right w:val="single" w:color="000000" w:sz="2" w:space="0"/>
            </w:tcBorders>
            <w:vAlign w:val="center"/>
          </w:tcPr>
          <w:p w14:paraId="6CB5AF7D">
            <w:pPr>
              <w:pStyle w:val="129"/>
              <w:widowControl w:val="0"/>
              <w:rPr>
                <w:rFonts w:eastAsia="Times New Roman"/>
                <w:color w:val="auto"/>
              </w:rPr>
            </w:pPr>
            <w:r>
              <w:rPr>
                <w:rFonts w:hint="eastAsia" w:eastAsia="Times New Roman"/>
                <w:color w:val="auto"/>
              </w:rPr>
              <w:t>90.00</w:t>
            </w:r>
          </w:p>
        </w:tc>
        <w:tc>
          <w:tcPr>
            <w:tcW w:w="686" w:type="dxa"/>
            <w:tcBorders>
              <w:top w:val="single" w:color="000000" w:sz="2" w:space="0"/>
              <w:left w:val="single" w:color="000000" w:sz="2" w:space="0"/>
              <w:bottom w:val="single" w:color="000000" w:sz="2" w:space="0"/>
              <w:right w:val="single" w:color="000000" w:sz="8" w:space="0"/>
            </w:tcBorders>
            <w:vAlign w:val="center"/>
          </w:tcPr>
          <w:p w14:paraId="111A47B9">
            <w:pPr>
              <w:pStyle w:val="129"/>
              <w:widowControl w:val="0"/>
              <w:rPr>
                <w:rFonts w:eastAsia="Times New Roman"/>
                <w:color w:val="auto"/>
              </w:rPr>
            </w:pPr>
            <w:r>
              <w:rPr>
                <w:rFonts w:hint="eastAsia" w:ascii="宋体" w:hAnsi="宋体" w:eastAsia="Times New Roman" w:cs="宋体"/>
                <w:color w:val="auto"/>
              </w:rPr>
              <w:t>达标</w:t>
            </w:r>
          </w:p>
        </w:tc>
      </w:tr>
      <w:tr w14:paraId="45F126D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left w:val="single" w:color="000000" w:sz="8" w:space="0"/>
              <w:bottom w:val="single" w:color="000000" w:sz="2" w:space="0"/>
              <w:right w:val="single" w:color="000000" w:sz="2" w:space="0"/>
            </w:tcBorders>
            <w:vAlign w:val="center"/>
          </w:tcPr>
          <w:p w14:paraId="465E0113">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1F5C03E8">
            <w:pPr>
              <w:pStyle w:val="129"/>
              <w:widowControl w:val="0"/>
              <w:rPr>
                <w:rFonts w:eastAsia="Times New Roman"/>
                <w:color w:val="auto"/>
              </w:rPr>
            </w:pPr>
            <w:r>
              <w:rPr>
                <w:rFonts w:hint="eastAsia" w:eastAsia="Times New Roman"/>
                <w:color w:val="auto"/>
              </w:rPr>
              <w:t>网格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280E9221">
            <w:pPr>
              <w:pStyle w:val="129"/>
              <w:widowControl w:val="0"/>
              <w:rPr>
                <w:rFonts w:eastAsia="Times New Roman"/>
                <w:color w:val="auto"/>
              </w:rPr>
            </w:pPr>
            <w:r>
              <w:rPr>
                <w:rFonts w:eastAsia="Times New Roman"/>
                <w:color w:val="auto"/>
              </w:rPr>
              <w:t>1</w:t>
            </w:r>
            <w:r>
              <w:rPr>
                <w:rFonts w:hint="eastAsia" w:eastAsia="Times New Roman"/>
                <w:color w:val="auto"/>
              </w:rPr>
              <w:t>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5208D454">
            <w:pPr>
              <w:pStyle w:val="129"/>
              <w:widowControl w:val="0"/>
              <w:rPr>
                <w:rFonts w:eastAsia="Times New Roman"/>
                <w:color w:val="auto"/>
              </w:rPr>
            </w:pPr>
            <w:r>
              <w:rPr>
                <w:rFonts w:eastAsia="Times New Roman"/>
                <w:color w:val="auto"/>
              </w:rPr>
              <w:t>0.00064</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37C67A46">
            <w:pPr>
              <w:pStyle w:val="129"/>
              <w:widowControl w:val="0"/>
              <w:rPr>
                <w:rFonts w:eastAsia="Times New Roman"/>
                <w:color w:val="auto"/>
              </w:rPr>
            </w:pPr>
            <w:r>
              <w:rPr>
                <w:rFonts w:eastAsia="Times New Roman"/>
                <w:color w:val="auto"/>
              </w:rPr>
              <w:t>0.01</w:t>
            </w:r>
          </w:p>
        </w:tc>
        <w:tc>
          <w:tcPr>
            <w:tcW w:w="1036" w:type="dxa"/>
            <w:tcBorders>
              <w:top w:val="single" w:color="000000" w:sz="2" w:space="0"/>
              <w:left w:val="single" w:color="000000" w:sz="2" w:space="0"/>
              <w:bottom w:val="single" w:color="000000" w:sz="2" w:space="0"/>
              <w:right w:val="single" w:color="000000" w:sz="2" w:space="0"/>
            </w:tcBorders>
            <w:vAlign w:val="center"/>
          </w:tcPr>
          <w:p w14:paraId="544DAE83">
            <w:pPr>
              <w:pStyle w:val="129"/>
              <w:widowControl w:val="0"/>
              <w:rPr>
                <w:rFonts w:eastAsia="Times New Roman"/>
                <w:color w:val="auto"/>
              </w:rPr>
            </w:pPr>
            <w:r>
              <w:rPr>
                <w:rFonts w:hint="eastAsia" w:eastAsia="Times New Roman"/>
                <w:color w:val="auto"/>
              </w:rPr>
              <w:t>9.0</w:t>
            </w:r>
          </w:p>
        </w:tc>
        <w:tc>
          <w:tcPr>
            <w:tcW w:w="1375" w:type="dxa"/>
            <w:tcBorders>
              <w:top w:val="single" w:color="000000" w:sz="2" w:space="0"/>
              <w:left w:val="single" w:color="000000" w:sz="2" w:space="0"/>
              <w:bottom w:val="single" w:color="000000" w:sz="2" w:space="0"/>
              <w:right w:val="single" w:color="000000" w:sz="2" w:space="0"/>
            </w:tcBorders>
            <w:vAlign w:val="center"/>
          </w:tcPr>
          <w:p w14:paraId="432CC4B0">
            <w:pPr>
              <w:pStyle w:val="129"/>
              <w:widowControl w:val="0"/>
              <w:rPr>
                <w:rFonts w:eastAsia="Times New Roman"/>
                <w:color w:val="auto"/>
              </w:rPr>
            </w:pPr>
            <w:r>
              <w:rPr>
                <w:rFonts w:hint="eastAsia" w:eastAsia="Times New Roman"/>
                <w:color w:val="auto"/>
              </w:rPr>
              <w:t>9.00064</w:t>
            </w:r>
          </w:p>
        </w:tc>
        <w:tc>
          <w:tcPr>
            <w:tcW w:w="705" w:type="dxa"/>
            <w:tcBorders>
              <w:top w:val="single" w:color="000000" w:sz="2" w:space="0"/>
              <w:left w:val="single" w:color="000000" w:sz="2" w:space="0"/>
              <w:bottom w:val="single" w:color="000000" w:sz="2" w:space="0"/>
              <w:right w:val="single" w:color="000000" w:sz="2" w:space="0"/>
            </w:tcBorders>
            <w:vAlign w:val="center"/>
          </w:tcPr>
          <w:p w14:paraId="27825966">
            <w:pPr>
              <w:pStyle w:val="129"/>
              <w:widowControl w:val="0"/>
              <w:rPr>
                <w:rFonts w:eastAsia="Times New Roman"/>
                <w:color w:val="auto"/>
              </w:rPr>
            </w:pPr>
            <w:r>
              <w:rPr>
                <w:rFonts w:hint="eastAsia" w:eastAsia="Times New Roman"/>
                <w:color w:val="auto"/>
              </w:rPr>
              <w:t>90.01</w:t>
            </w:r>
          </w:p>
        </w:tc>
        <w:tc>
          <w:tcPr>
            <w:tcW w:w="686" w:type="dxa"/>
            <w:tcBorders>
              <w:top w:val="single" w:color="000000" w:sz="2" w:space="0"/>
              <w:left w:val="single" w:color="000000" w:sz="2" w:space="0"/>
              <w:bottom w:val="single" w:color="000000" w:sz="2" w:space="0"/>
              <w:right w:val="single" w:color="000000" w:sz="8" w:space="0"/>
            </w:tcBorders>
            <w:vAlign w:val="center"/>
          </w:tcPr>
          <w:p w14:paraId="4EAC6024">
            <w:pPr>
              <w:pStyle w:val="129"/>
              <w:widowControl w:val="0"/>
              <w:rPr>
                <w:rFonts w:eastAsia="Times New Roman"/>
                <w:color w:val="auto"/>
              </w:rPr>
            </w:pPr>
            <w:r>
              <w:rPr>
                <w:rFonts w:hint="eastAsia" w:ascii="宋体" w:hAnsi="宋体" w:eastAsia="Times New Roman" w:cs="宋体"/>
                <w:color w:val="auto"/>
              </w:rPr>
              <w:t>达标</w:t>
            </w:r>
          </w:p>
        </w:tc>
      </w:tr>
      <w:tr w14:paraId="491327C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bottom w:val="single" w:color="000000" w:sz="2" w:space="0"/>
              <w:right w:val="single" w:color="000000" w:sz="2" w:space="0"/>
            </w:tcBorders>
            <w:noWrap/>
            <w:vAlign w:val="center"/>
          </w:tcPr>
          <w:p w14:paraId="4F6CA155">
            <w:pPr>
              <w:pStyle w:val="129"/>
              <w:widowControl w:val="0"/>
              <w:rPr>
                <w:rFonts w:eastAsia="Times New Roman"/>
                <w:color w:val="auto"/>
              </w:rPr>
            </w:pPr>
            <w:r>
              <w:rPr>
                <w:rFonts w:hint="eastAsia" w:eastAsia="Times New Roman"/>
                <w:color w:val="auto"/>
              </w:rPr>
              <w:t>镍及其化合物</w:t>
            </w: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15762ACC">
            <w:pPr>
              <w:pStyle w:val="129"/>
              <w:widowControl w:val="0"/>
              <w:rPr>
                <w:rFonts w:eastAsia="Times New Roman"/>
                <w:color w:val="auto"/>
              </w:rPr>
            </w:pPr>
            <w:r>
              <w:rPr>
                <w:rFonts w:hint="eastAsia" w:eastAsia="Times New Roman"/>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154A3AE">
            <w:pPr>
              <w:pStyle w:val="129"/>
              <w:widowControl w:val="0"/>
              <w:rPr>
                <w:rFonts w:eastAsia="Times New Roman"/>
                <w:color w:val="auto"/>
              </w:rPr>
            </w:pPr>
            <w:r>
              <w:rPr>
                <w:rFonts w:hint="eastAsia" w:eastAsia="Times New Roman"/>
                <w:color w:val="auto"/>
              </w:rPr>
              <w:t>1小时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571846AA">
            <w:pPr>
              <w:pStyle w:val="129"/>
              <w:widowControl w:val="0"/>
              <w:rPr>
                <w:rFonts w:eastAsia="Times New Roman"/>
                <w:color w:val="auto"/>
                <w:highlight w:val="yellow"/>
              </w:rPr>
            </w:pPr>
            <w:r>
              <w:rPr>
                <w:rFonts w:eastAsia="Times New Roman"/>
                <w:color w:val="auto"/>
              </w:rPr>
              <w:t>0.00139</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595BDCB8">
            <w:pPr>
              <w:pStyle w:val="129"/>
              <w:widowControl w:val="0"/>
              <w:rPr>
                <w:rFonts w:eastAsia="Times New Roman"/>
                <w:color w:val="auto"/>
                <w:highlight w:val="yellow"/>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342F6D70">
            <w:pPr>
              <w:pStyle w:val="129"/>
              <w:widowControl w:val="0"/>
              <w:rPr>
                <w:rFonts w:eastAsia="Times New Roman"/>
                <w:color w:val="auto"/>
              </w:rPr>
            </w:pPr>
            <w:r>
              <w:rPr>
                <w:rFonts w:hint="eastAsia" w:eastAsia="Times New Roman"/>
                <w:color w:val="auto"/>
              </w:rPr>
              <w:t>0.001</w:t>
            </w:r>
          </w:p>
        </w:tc>
        <w:tc>
          <w:tcPr>
            <w:tcW w:w="1375" w:type="dxa"/>
            <w:tcBorders>
              <w:top w:val="single" w:color="000000" w:sz="2" w:space="0"/>
              <w:left w:val="single" w:color="000000" w:sz="2" w:space="0"/>
              <w:bottom w:val="single" w:color="000000" w:sz="2" w:space="0"/>
              <w:right w:val="single" w:color="000000" w:sz="2" w:space="0"/>
            </w:tcBorders>
            <w:vAlign w:val="center"/>
          </w:tcPr>
          <w:p w14:paraId="1A863F6D">
            <w:pPr>
              <w:pStyle w:val="129"/>
              <w:widowControl w:val="0"/>
              <w:rPr>
                <w:rFonts w:eastAsia="Times New Roman"/>
                <w:color w:val="auto"/>
              </w:rPr>
            </w:pPr>
            <w:r>
              <w:rPr>
                <w:rFonts w:hint="eastAsia" w:eastAsia="Times New Roman"/>
                <w:color w:val="auto"/>
              </w:rPr>
              <w:t>0.00239</w:t>
            </w:r>
          </w:p>
        </w:tc>
        <w:tc>
          <w:tcPr>
            <w:tcW w:w="705" w:type="dxa"/>
            <w:tcBorders>
              <w:top w:val="single" w:color="000000" w:sz="2" w:space="0"/>
              <w:left w:val="single" w:color="000000" w:sz="2" w:space="0"/>
              <w:bottom w:val="single" w:color="000000" w:sz="2" w:space="0"/>
              <w:right w:val="single" w:color="000000" w:sz="2" w:space="0"/>
            </w:tcBorders>
            <w:vAlign w:val="center"/>
          </w:tcPr>
          <w:p w14:paraId="2B3BF4FE">
            <w:pPr>
              <w:pStyle w:val="129"/>
              <w:widowControl w:val="0"/>
              <w:rPr>
                <w:rFonts w:eastAsia="Times New Roman"/>
                <w:color w:val="auto"/>
              </w:rPr>
            </w:pPr>
            <w:r>
              <w:rPr>
                <w:rFonts w:hint="eastAsia" w:eastAsia="Times New Roman"/>
                <w:color w:val="auto"/>
              </w:rPr>
              <w:t>0.01</w:t>
            </w:r>
          </w:p>
        </w:tc>
        <w:tc>
          <w:tcPr>
            <w:tcW w:w="686" w:type="dxa"/>
            <w:tcBorders>
              <w:top w:val="single" w:color="000000" w:sz="2" w:space="0"/>
              <w:left w:val="single" w:color="000000" w:sz="2" w:space="0"/>
              <w:bottom w:val="single" w:color="000000" w:sz="2" w:space="0"/>
              <w:right w:val="single" w:color="000000" w:sz="8" w:space="0"/>
            </w:tcBorders>
            <w:vAlign w:val="center"/>
          </w:tcPr>
          <w:p w14:paraId="3632772F">
            <w:pPr>
              <w:pStyle w:val="129"/>
              <w:widowControl w:val="0"/>
              <w:rPr>
                <w:rFonts w:eastAsia="Times New Roman"/>
                <w:color w:val="auto"/>
              </w:rPr>
            </w:pPr>
            <w:r>
              <w:rPr>
                <w:rFonts w:hint="eastAsia" w:ascii="宋体" w:hAnsi="宋体" w:eastAsia="Times New Roman" w:cs="宋体"/>
                <w:color w:val="auto"/>
              </w:rPr>
              <w:t>达标</w:t>
            </w:r>
          </w:p>
        </w:tc>
      </w:tr>
      <w:tr w14:paraId="5AFA1B7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7EE9F819">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70DFCC1E">
            <w:pPr>
              <w:pStyle w:val="129"/>
              <w:widowControl w:val="0"/>
              <w:rPr>
                <w:rFonts w:eastAsia="Times New Roman"/>
                <w:color w:val="auto"/>
              </w:rPr>
            </w:pPr>
            <w:r>
              <w:rPr>
                <w:rFonts w:hint="eastAsia" w:eastAsia="Times New Roman"/>
                <w:color w:val="auto"/>
              </w:rPr>
              <w:t>乌鲁木齐市第137中学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54A6909C">
            <w:pPr>
              <w:pStyle w:val="129"/>
              <w:widowControl w:val="0"/>
              <w:rPr>
                <w:rFonts w:eastAsia="Times New Roman"/>
                <w:color w:val="auto"/>
              </w:rPr>
            </w:pPr>
            <w:r>
              <w:rPr>
                <w:rFonts w:hint="eastAsia" w:eastAsia="Times New Roman"/>
                <w:color w:val="auto"/>
              </w:rPr>
              <w:t>1小时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1506984D">
            <w:pPr>
              <w:pStyle w:val="129"/>
              <w:widowControl w:val="0"/>
              <w:rPr>
                <w:rFonts w:eastAsia="Times New Roman"/>
                <w:color w:val="auto"/>
                <w:highlight w:val="yellow"/>
              </w:rPr>
            </w:pPr>
            <w:r>
              <w:rPr>
                <w:rFonts w:eastAsia="Times New Roman"/>
                <w:color w:val="auto"/>
              </w:rPr>
              <w:t>0.0013</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390D7D77">
            <w:pPr>
              <w:pStyle w:val="129"/>
              <w:widowControl w:val="0"/>
              <w:rPr>
                <w:rFonts w:eastAsia="Times New Roman"/>
                <w:color w:val="auto"/>
                <w:highlight w:val="yellow"/>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5593209C">
            <w:pPr>
              <w:pStyle w:val="129"/>
              <w:widowControl w:val="0"/>
              <w:rPr>
                <w:rFonts w:eastAsia="Times New Roman"/>
                <w:color w:val="auto"/>
              </w:rPr>
            </w:pPr>
            <w:r>
              <w:rPr>
                <w:rFonts w:hint="eastAsia" w:eastAsia="Times New Roman"/>
                <w:color w:val="auto"/>
              </w:rPr>
              <w:t>0.001</w:t>
            </w:r>
          </w:p>
        </w:tc>
        <w:tc>
          <w:tcPr>
            <w:tcW w:w="1375" w:type="dxa"/>
            <w:tcBorders>
              <w:top w:val="single" w:color="000000" w:sz="2" w:space="0"/>
              <w:left w:val="single" w:color="000000" w:sz="2" w:space="0"/>
              <w:bottom w:val="single" w:color="000000" w:sz="2" w:space="0"/>
              <w:right w:val="single" w:color="000000" w:sz="2" w:space="0"/>
            </w:tcBorders>
            <w:vAlign w:val="center"/>
          </w:tcPr>
          <w:p w14:paraId="0856ED79">
            <w:pPr>
              <w:pStyle w:val="129"/>
              <w:widowControl w:val="0"/>
              <w:rPr>
                <w:rFonts w:eastAsia="Times New Roman"/>
                <w:color w:val="auto"/>
              </w:rPr>
            </w:pPr>
            <w:r>
              <w:rPr>
                <w:rFonts w:hint="eastAsia" w:eastAsia="Times New Roman"/>
                <w:color w:val="auto"/>
              </w:rPr>
              <w:t>0.0023</w:t>
            </w:r>
          </w:p>
        </w:tc>
        <w:tc>
          <w:tcPr>
            <w:tcW w:w="705" w:type="dxa"/>
            <w:tcBorders>
              <w:top w:val="single" w:color="000000" w:sz="2" w:space="0"/>
              <w:left w:val="single" w:color="000000" w:sz="2" w:space="0"/>
              <w:bottom w:val="single" w:color="000000" w:sz="2" w:space="0"/>
              <w:right w:val="single" w:color="000000" w:sz="2" w:space="0"/>
            </w:tcBorders>
            <w:vAlign w:val="center"/>
          </w:tcPr>
          <w:p w14:paraId="09E0E48C">
            <w:pPr>
              <w:pStyle w:val="129"/>
              <w:widowControl w:val="0"/>
              <w:rPr>
                <w:rFonts w:eastAsia="Times New Roman"/>
                <w:color w:val="auto"/>
              </w:rPr>
            </w:pPr>
            <w:r>
              <w:rPr>
                <w:rFonts w:hint="eastAsia" w:eastAsia="Times New Roman"/>
                <w:color w:val="auto"/>
              </w:rPr>
              <w:t>0.01</w:t>
            </w:r>
          </w:p>
        </w:tc>
        <w:tc>
          <w:tcPr>
            <w:tcW w:w="686" w:type="dxa"/>
            <w:tcBorders>
              <w:top w:val="single" w:color="000000" w:sz="2" w:space="0"/>
              <w:left w:val="single" w:color="000000" w:sz="2" w:space="0"/>
              <w:bottom w:val="single" w:color="000000" w:sz="2" w:space="0"/>
              <w:right w:val="single" w:color="000000" w:sz="8" w:space="0"/>
            </w:tcBorders>
            <w:vAlign w:val="center"/>
          </w:tcPr>
          <w:p w14:paraId="13AC7B12">
            <w:pPr>
              <w:pStyle w:val="129"/>
              <w:widowControl w:val="0"/>
              <w:rPr>
                <w:rFonts w:eastAsia="Times New Roman"/>
                <w:color w:val="auto"/>
              </w:rPr>
            </w:pPr>
            <w:r>
              <w:rPr>
                <w:rFonts w:hint="eastAsia" w:ascii="宋体" w:hAnsi="宋体" w:eastAsia="Times New Roman" w:cs="宋体"/>
                <w:color w:val="auto"/>
              </w:rPr>
              <w:t>达标</w:t>
            </w:r>
          </w:p>
        </w:tc>
      </w:tr>
      <w:tr w14:paraId="10C89C0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47FC4101">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3356939D">
            <w:pPr>
              <w:pStyle w:val="129"/>
              <w:widowControl w:val="0"/>
              <w:rPr>
                <w:rFonts w:eastAsia="Times New Roman"/>
                <w:color w:val="auto"/>
              </w:rPr>
            </w:pPr>
            <w:r>
              <w:rPr>
                <w:rFonts w:hint="eastAsia" w:eastAsia="Times New Roman"/>
                <w:color w:val="auto"/>
              </w:rPr>
              <w:t>网格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B69B61E">
            <w:pPr>
              <w:pStyle w:val="129"/>
              <w:widowControl w:val="0"/>
              <w:rPr>
                <w:rFonts w:eastAsia="Times New Roman"/>
                <w:color w:val="auto"/>
              </w:rPr>
            </w:pPr>
            <w:r>
              <w:rPr>
                <w:rFonts w:hint="eastAsia" w:eastAsia="Times New Roman"/>
                <w:color w:val="auto"/>
              </w:rPr>
              <w:t>1小时</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417C6CB3">
            <w:pPr>
              <w:pStyle w:val="129"/>
              <w:widowControl w:val="0"/>
              <w:rPr>
                <w:rFonts w:eastAsia="Times New Roman"/>
                <w:color w:val="auto"/>
                <w:highlight w:val="yellow"/>
              </w:rPr>
            </w:pPr>
            <w:r>
              <w:rPr>
                <w:rFonts w:eastAsia="Times New Roman"/>
                <w:color w:val="auto"/>
              </w:rPr>
              <w:t>0.01063</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5D62D3A9">
            <w:pPr>
              <w:pStyle w:val="129"/>
              <w:widowControl w:val="0"/>
              <w:rPr>
                <w:rFonts w:eastAsia="Times New Roman"/>
                <w:color w:val="auto"/>
                <w:highlight w:val="yellow"/>
              </w:rPr>
            </w:pPr>
            <w:r>
              <w:rPr>
                <w:rFonts w:eastAsia="Times New Roman"/>
                <w:color w:val="auto"/>
              </w:rPr>
              <w:t>0.04</w:t>
            </w:r>
          </w:p>
        </w:tc>
        <w:tc>
          <w:tcPr>
            <w:tcW w:w="1036" w:type="dxa"/>
            <w:tcBorders>
              <w:top w:val="single" w:color="000000" w:sz="2" w:space="0"/>
              <w:left w:val="single" w:color="000000" w:sz="2" w:space="0"/>
              <w:bottom w:val="single" w:color="000000" w:sz="2" w:space="0"/>
              <w:right w:val="single" w:color="000000" w:sz="2" w:space="0"/>
            </w:tcBorders>
            <w:vAlign w:val="center"/>
          </w:tcPr>
          <w:p w14:paraId="335EE2EC">
            <w:pPr>
              <w:pStyle w:val="129"/>
              <w:widowControl w:val="0"/>
              <w:rPr>
                <w:rFonts w:eastAsia="Times New Roman"/>
                <w:color w:val="auto"/>
              </w:rPr>
            </w:pPr>
            <w:r>
              <w:rPr>
                <w:rFonts w:hint="eastAsia" w:eastAsia="Times New Roman"/>
                <w:color w:val="auto"/>
              </w:rPr>
              <w:t>0.001</w:t>
            </w:r>
          </w:p>
        </w:tc>
        <w:tc>
          <w:tcPr>
            <w:tcW w:w="1375" w:type="dxa"/>
            <w:tcBorders>
              <w:top w:val="single" w:color="000000" w:sz="2" w:space="0"/>
              <w:left w:val="single" w:color="000000" w:sz="2" w:space="0"/>
              <w:bottom w:val="single" w:color="000000" w:sz="2" w:space="0"/>
              <w:right w:val="single" w:color="000000" w:sz="2" w:space="0"/>
            </w:tcBorders>
            <w:vAlign w:val="center"/>
          </w:tcPr>
          <w:p w14:paraId="5A343A1F">
            <w:pPr>
              <w:pStyle w:val="129"/>
              <w:widowControl w:val="0"/>
              <w:rPr>
                <w:rFonts w:eastAsia="Times New Roman"/>
                <w:color w:val="auto"/>
              </w:rPr>
            </w:pPr>
            <w:r>
              <w:rPr>
                <w:rFonts w:hint="eastAsia" w:eastAsia="Times New Roman"/>
                <w:color w:val="auto"/>
              </w:rPr>
              <w:t>0.01163</w:t>
            </w:r>
          </w:p>
        </w:tc>
        <w:tc>
          <w:tcPr>
            <w:tcW w:w="705" w:type="dxa"/>
            <w:tcBorders>
              <w:top w:val="single" w:color="000000" w:sz="2" w:space="0"/>
              <w:left w:val="single" w:color="000000" w:sz="2" w:space="0"/>
              <w:bottom w:val="single" w:color="000000" w:sz="2" w:space="0"/>
              <w:right w:val="single" w:color="000000" w:sz="2" w:space="0"/>
            </w:tcBorders>
            <w:vAlign w:val="center"/>
          </w:tcPr>
          <w:p w14:paraId="20A68E8E">
            <w:pPr>
              <w:pStyle w:val="129"/>
              <w:widowControl w:val="0"/>
              <w:rPr>
                <w:rFonts w:eastAsia="Times New Roman"/>
                <w:color w:val="auto"/>
              </w:rPr>
            </w:pPr>
            <w:r>
              <w:rPr>
                <w:rFonts w:hint="eastAsia" w:eastAsia="Times New Roman"/>
                <w:color w:val="auto"/>
              </w:rPr>
              <w:t>0.04</w:t>
            </w:r>
          </w:p>
        </w:tc>
        <w:tc>
          <w:tcPr>
            <w:tcW w:w="686" w:type="dxa"/>
            <w:tcBorders>
              <w:top w:val="single" w:color="000000" w:sz="2" w:space="0"/>
              <w:left w:val="single" w:color="000000" w:sz="2" w:space="0"/>
              <w:bottom w:val="single" w:color="000000" w:sz="2" w:space="0"/>
              <w:right w:val="single" w:color="000000" w:sz="8" w:space="0"/>
            </w:tcBorders>
            <w:vAlign w:val="center"/>
          </w:tcPr>
          <w:p w14:paraId="30B7A884">
            <w:pPr>
              <w:pStyle w:val="129"/>
              <w:widowControl w:val="0"/>
              <w:rPr>
                <w:rFonts w:eastAsia="Times New Roman"/>
                <w:color w:val="auto"/>
              </w:rPr>
            </w:pPr>
            <w:r>
              <w:rPr>
                <w:rFonts w:hint="eastAsia" w:ascii="宋体" w:hAnsi="宋体" w:eastAsia="Times New Roman" w:cs="宋体"/>
                <w:color w:val="auto"/>
              </w:rPr>
              <w:t>达标</w:t>
            </w:r>
          </w:p>
        </w:tc>
      </w:tr>
      <w:tr w14:paraId="4A6D2B4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bottom w:val="single" w:color="000000" w:sz="2" w:space="0"/>
              <w:right w:val="single" w:color="000000" w:sz="2" w:space="0"/>
            </w:tcBorders>
            <w:noWrap/>
            <w:vAlign w:val="center"/>
          </w:tcPr>
          <w:p w14:paraId="7B15BA36">
            <w:pPr>
              <w:pStyle w:val="129"/>
              <w:widowControl w:val="0"/>
              <w:rPr>
                <w:rFonts w:eastAsia="Times New Roman"/>
                <w:color w:val="auto"/>
              </w:rPr>
            </w:pPr>
            <w:r>
              <w:rPr>
                <w:rFonts w:hint="eastAsia" w:eastAsia="Times New Roman"/>
                <w:color w:val="auto"/>
              </w:rPr>
              <w:t>锰及其化合物</w:t>
            </w: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0B95A062">
            <w:pPr>
              <w:pStyle w:val="129"/>
              <w:widowControl w:val="0"/>
              <w:rPr>
                <w:rFonts w:eastAsia="Times New Roman"/>
                <w:color w:val="auto"/>
              </w:rPr>
            </w:pPr>
            <w:r>
              <w:rPr>
                <w:rFonts w:hint="eastAsia" w:eastAsia="Times New Roman"/>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06367F56">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73BFAE67">
            <w:pPr>
              <w:pStyle w:val="129"/>
              <w:widowControl w:val="0"/>
              <w:rPr>
                <w:rFonts w:eastAsia="Times New Roman"/>
                <w:color w:val="auto"/>
                <w:highlight w:val="yellow"/>
              </w:rPr>
            </w:pPr>
            <w:r>
              <w:rPr>
                <w:rFonts w:eastAsia="Times New Roman"/>
                <w:color w:val="auto"/>
              </w:rPr>
              <w:t>0.00037</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1B928D0C">
            <w:pPr>
              <w:pStyle w:val="129"/>
              <w:widowControl w:val="0"/>
              <w:rPr>
                <w:rFonts w:eastAsia="Times New Roman"/>
                <w:color w:val="auto"/>
                <w:highlight w:val="yellow"/>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6039C0ED">
            <w:pPr>
              <w:pStyle w:val="129"/>
              <w:widowControl w:val="0"/>
              <w:rPr>
                <w:rFonts w:eastAsia="Times New Roman"/>
                <w:color w:val="auto"/>
              </w:rPr>
            </w:pPr>
            <w:r>
              <w:rPr>
                <w:rFonts w:hint="eastAsia" w:eastAsia="Times New Roman"/>
                <w:color w:val="auto"/>
              </w:rPr>
              <w:t>0.003</w:t>
            </w:r>
          </w:p>
        </w:tc>
        <w:tc>
          <w:tcPr>
            <w:tcW w:w="1375" w:type="dxa"/>
            <w:tcBorders>
              <w:top w:val="single" w:color="000000" w:sz="2" w:space="0"/>
              <w:left w:val="single" w:color="000000" w:sz="2" w:space="0"/>
              <w:bottom w:val="single" w:color="000000" w:sz="2" w:space="0"/>
              <w:right w:val="single" w:color="000000" w:sz="2" w:space="0"/>
            </w:tcBorders>
            <w:vAlign w:val="center"/>
          </w:tcPr>
          <w:p w14:paraId="22AB2D73">
            <w:pPr>
              <w:pStyle w:val="129"/>
              <w:widowControl w:val="0"/>
              <w:rPr>
                <w:rFonts w:eastAsia="Times New Roman"/>
                <w:color w:val="auto"/>
              </w:rPr>
            </w:pPr>
            <w:r>
              <w:rPr>
                <w:rFonts w:hint="eastAsia" w:eastAsia="Times New Roman"/>
                <w:color w:val="auto"/>
              </w:rPr>
              <w:t>0.00337</w:t>
            </w:r>
          </w:p>
        </w:tc>
        <w:tc>
          <w:tcPr>
            <w:tcW w:w="705" w:type="dxa"/>
            <w:tcBorders>
              <w:top w:val="single" w:color="000000" w:sz="2" w:space="0"/>
              <w:left w:val="single" w:color="000000" w:sz="2" w:space="0"/>
              <w:bottom w:val="single" w:color="000000" w:sz="2" w:space="0"/>
              <w:right w:val="single" w:color="000000" w:sz="2" w:space="0"/>
            </w:tcBorders>
            <w:vAlign w:val="center"/>
          </w:tcPr>
          <w:p w14:paraId="1BFB5717">
            <w:pPr>
              <w:pStyle w:val="129"/>
              <w:widowControl w:val="0"/>
              <w:rPr>
                <w:rFonts w:eastAsia="Times New Roman"/>
                <w:color w:val="auto"/>
              </w:rPr>
            </w:pPr>
            <w:r>
              <w:rPr>
                <w:rFonts w:hint="eastAsia" w:eastAsia="Times New Roman"/>
                <w:color w:val="auto"/>
              </w:rPr>
              <w:t>0.03</w:t>
            </w:r>
          </w:p>
        </w:tc>
        <w:tc>
          <w:tcPr>
            <w:tcW w:w="686" w:type="dxa"/>
            <w:tcBorders>
              <w:top w:val="single" w:color="000000" w:sz="2" w:space="0"/>
              <w:left w:val="single" w:color="000000" w:sz="2" w:space="0"/>
              <w:bottom w:val="single" w:color="000000" w:sz="2" w:space="0"/>
              <w:right w:val="single" w:color="000000" w:sz="8" w:space="0"/>
            </w:tcBorders>
            <w:vAlign w:val="center"/>
          </w:tcPr>
          <w:p w14:paraId="1448DDAE">
            <w:pPr>
              <w:pStyle w:val="129"/>
              <w:widowControl w:val="0"/>
              <w:rPr>
                <w:rFonts w:eastAsia="Times New Roman"/>
                <w:color w:val="auto"/>
              </w:rPr>
            </w:pPr>
            <w:r>
              <w:rPr>
                <w:rFonts w:hint="eastAsia" w:ascii="宋体" w:hAnsi="宋体" w:eastAsia="Times New Roman" w:cs="宋体"/>
                <w:color w:val="auto"/>
              </w:rPr>
              <w:t>达标</w:t>
            </w:r>
          </w:p>
        </w:tc>
      </w:tr>
      <w:tr w14:paraId="6392BC4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59217504">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739305D3">
            <w:pPr>
              <w:pStyle w:val="129"/>
              <w:widowControl w:val="0"/>
              <w:rPr>
                <w:rFonts w:eastAsia="Times New Roman"/>
                <w:color w:val="auto"/>
              </w:rPr>
            </w:pPr>
            <w:r>
              <w:rPr>
                <w:rFonts w:hint="eastAsia" w:eastAsia="Times New Roman"/>
                <w:color w:val="auto"/>
              </w:rPr>
              <w:t>乌鲁木齐市第137中学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6A5354A7">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19E3852E">
            <w:pPr>
              <w:pStyle w:val="129"/>
              <w:widowControl w:val="0"/>
              <w:rPr>
                <w:rFonts w:eastAsia="Times New Roman"/>
                <w:color w:val="auto"/>
                <w:highlight w:val="yellow"/>
              </w:rPr>
            </w:pPr>
            <w:r>
              <w:rPr>
                <w:rFonts w:eastAsia="Times New Roman"/>
                <w:color w:val="auto"/>
              </w:rPr>
              <w:t>0.00013</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878E883">
            <w:pPr>
              <w:pStyle w:val="129"/>
              <w:widowControl w:val="0"/>
              <w:rPr>
                <w:rFonts w:eastAsia="Times New Roman"/>
                <w:color w:val="auto"/>
                <w:highlight w:val="yellow"/>
              </w:rPr>
            </w:pPr>
            <w:r>
              <w:rPr>
                <w:rFonts w:eastAsia="Times New Roman"/>
                <w:color w:val="auto"/>
              </w:rPr>
              <w:t>0.00</w:t>
            </w:r>
          </w:p>
        </w:tc>
        <w:tc>
          <w:tcPr>
            <w:tcW w:w="1036" w:type="dxa"/>
            <w:tcBorders>
              <w:top w:val="single" w:color="000000" w:sz="2" w:space="0"/>
              <w:left w:val="single" w:color="000000" w:sz="2" w:space="0"/>
              <w:bottom w:val="single" w:color="000000" w:sz="2" w:space="0"/>
              <w:right w:val="single" w:color="000000" w:sz="2" w:space="0"/>
            </w:tcBorders>
            <w:vAlign w:val="center"/>
          </w:tcPr>
          <w:p w14:paraId="617CC946">
            <w:pPr>
              <w:pStyle w:val="129"/>
              <w:widowControl w:val="0"/>
              <w:rPr>
                <w:rFonts w:eastAsia="Times New Roman"/>
                <w:color w:val="auto"/>
              </w:rPr>
            </w:pPr>
            <w:r>
              <w:rPr>
                <w:rFonts w:hint="eastAsia" w:eastAsia="Times New Roman"/>
                <w:color w:val="auto"/>
              </w:rPr>
              <w:t>0.003</w:t>
            </w:r>
          </w:p>
        </w:tc>
        <w:tc>
          <w:tcPr>
            <w:tcW w:w="1375" w:type="dxa"/>
            <w:tcBorders>
              <w:top w:val="single" w:color="000000" w:sz="2" w:space="0"/>
              <w:left w:val="single" w:color="000000" w:sz="2" w:space="0"/>
              <w:bottom w:val="single" w:color="000000" w:sz="2" w:space="0"/>
              <w:right w:val="single" w:color="000000" w:sz="2" w:space="0"/>
            </w:tcBorders>
            <w:vAlign w:val="center"/>
          </w:tcPr>
          <w:p w14:paraId="0B425A8D">
            <w:pPr>
              <w:pStyle w:val="129"/>
              <w:widowControl w:val="0"/>
              <w:rPr>
                <w:rFonts w:eastAsia="Times New Roman"/>
                <w:color w:val="auto"/>
              </w:rPr>
            </w:pPr>
            <w:r>
              <w:rPr>
                <w:rFonts w:hint="eastAsia" w:eastAsia="Times New Roman"/>
                <w:color w:val="auto"/>
              </w:rPr>
              <w:t>0.00313</w:t>
            </w:r>
          </w:p>
        </w:tc>
        <w:tc>
          <w:tcPr>
            <w:tcW w:w="705" w:type="dxa"/>
            <w:tcBorders>
              <w:top w:val="single" w:color="000000" w:sz="2" w:space="0"/>
              <w:left w:val="single" w:color="000000" w:sz="2" w:space="0"/>
              <w:bottom w:val="single" w:color="000000" w:sz="2" w:space="0"/>
              <w:right w:val="single" w:color="000000" w:sz="2" w:space="0"/>
            </w:tcBorders>
            <w:vAlign w:val="center"/>
          </w:tcPr>
          <w:p w14:paraId="0B9877B7">
            <w:pPr>
              <w:pStyle w:val="129"/>
              <w:widowControl w:val="0"/>
              <w:rPr>
                <w:rFonts w:eastAsia="Times New Roman"/>
                <w:color w:val="auto"/>
              </w:rPr>
            </w:pPr>
            <w:r>
              <w:rPr>
                <w:rFonts w:hint="eastAsia" w:eastAsia="Times New Roman"/>
                <w:color w:val="auto"/>
              </w:rPr>
              <w:t>0.03</w:t>
            </w:r>
          </w:p>
        </w:tc>
        <w:tc>
          <w:tcPr>
            <w:tcW w:w="686" w:type="dxa"/>
            <w:tcBorders>
              <w:top w:val="single" w:color="000000" w:sz="2" w:space="0"/>
              <w:left w:val="single" w:color="000000" w:sz="2" w:space="0"/>
              <w:bottom w:val="single" w:color="000000" w:sz="2" w:space="0"/>
              <w:right w:val="single" w:color="000000" w:sz="8" w:space="0"/>
            </w:tcBorders>
            <w:vAlign w:val="center"/>
          </w:tcPr>
          <w:p w14:paraId="73356C90">
            <w:pPr>
              <w:pStyle w:val="129"/>
              <w:widowControl w:val="0"/>
              <w:rPr>
                <w:rFonts w:eastAsia="Times New Roman"/>
                <w:color w:val="auto"/>
              </w:rPr>
            </w:pPr>
            <w:r>
              <w:rPr>
                <w:rFonts w:hint="eastAsia" w:ascii="宋体" w:hAnsi="宋体" w:eastAsia="Times New Roman" w:cs="宋体"/>
                <w:color w:val="auto"/>
              </w:rPr>
              <w:t>达标</w:t>
            </w:r>
          </w:p>
        </w:tc>
      </w:tr>
      <w:tr w14:paraId="16A88F9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top w:val="single" w:color="000000" w:sz="2" w:space="0"/>
              <w:left w:val="single" w:color="000000" w:sz="8" w:space="0"/>
              <w:bottom w:val="single" w:color="000000" w:sz="2" w:space="0"/>
              <w:right w:val="single" w:color="000000" w:sz="2" w:space="0"/>
            </w:tcBorders>
            <w:vAlign w:val="center"/>
          </w:tcPr>
          <w:p w14:paraId="0F4E0C9F">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4046E9E8">
            <w:pPr>
              <w:pStyle w:val="129"/>
              <w:widowControl w:val="0"/>
              <w:rPr>
                <w:rFonts w:eastAsia="Times New Roman"/>
                <w:color w:val="auto"/>
              </w:rPr>
            </w:pPr>
            <w:r>
              <w:rPr>
                <w:rFonts w:hint="eastAsia" w:eastAsia="Times New Roman"/>
                <w:color w:val="auto"/>
              </w:rPr>
              <w:t>网格</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7B884152">
            <w:pPr>
              <w:pStyle w:val="129"/>
              <w:widowControl w:val="0"/>
              <w:rPr>
                <w:rFonts w:eastAsia="Times New Roman"/>
                <w:color w:val="auto"/>
              </w:rPr>
            </w:pPr>
            <w:r>
              <w:rPr>
                <w:rFonts w:hint="eastAsia" w:eastAsia="Times New Roman"/>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353ED10A">
            <w:pPr>
              <w:pStyle w:val="129"/>
              <w:widowControl w:val="0"/>
              <w:rPr>
                <w:rFonts w:eastAsia="Times New Roman"/>
                <w:color w:val="auto"/>
                <w:highlight w:val="yellow"/>
              </w:rPr>
            </w:pPr>
            <w:r>
              <w:rPr>
                <w:rFonts w:eastAsia="Times New Roman"/>
                <w:color w:val="auto"/>
              </w:rPr>
              <w:t>0.00235</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5E635FD">
            <w:pPr>
              <w:pStyle w:val="129"/>
              <w:widowControl w:val="0"/>
              <w:rPr>
                <w:rFonts w:eastAsia="Times New Roman"/>
                <w:color w:val="auto"/>
                <w:highlight w:val="yellow"/>
              </w:rPr>
            </w:pPr>
            <w:r>
              <w:rPr>
                <w:rFonts w:eastAsia="Times New Roman"/>
                <w:color w:val="auto"/>
              </w:rPr>
              <w:t>0.02</w:t>
            </w:r>
          </w:p>
        </w:tc>
        <w:tc>
          <w:tcPr>
            <w:tcW w:w="1036" w:type="dxa"/>
            <w:tcBorders>
              <w:top w:val="single" w:color="000000" w:sz="2" w:space="0"/>
              <w:left w:val="single" w:color="000000" w:sz="2" w:space="0"/>
              <w:bottom w:val="single" w:color="000000" w:sz="2" w:space="0"/>
              <w:right w:val="single" w:color="000000" w:sz="2" w:space="0"/>
            </w:tcBorders>
            <w:vAlign w:val="center"/>
          </w:tcPr>
          <w:p w14:paraId="2BB1FE15">
            <w:pPr>
              <w:pStyle w:val="129"/>
              <w:widowControl w:val="0"/>
              <w:rPr>
                <w:rFonts w:eastAsia="Times New Roman"/>
                <w:color w:val="auto"/>
              </w:rPr>
            </w:pPr>
            <w:r>
              <w:rPr>
                <w:rFonts w:hint="eastAsia" w:eastAsia="Times New Roman"/>
                <w:color w:val="auto"/>
              </w:rPr>
              <w:t>0.003</w:t>
            </w:r>
          </w:p>
        </w:tc>
        <w:tc>
          <w:tcPr>
            <w:tcW w:w="1375" w:type="dxa"/>
            <w:tcBorders>
              <w:top w:val="single" w:color="000000" w:sz="2" w:space="0"/>
              <w:left w:val="single" w:color="000000" w:sz="2" w:space="0"/>
              <w:bottom w:val="single" w:color="000000" w:sz="2" w:space="0"/>
              <w:right w:val="single" w:color="000000" w:sz="2" w:space="0"/>
            </w:tcBorders>
            <w:vAlign w:val="center"/>
          </w:tcPr>
          <w:p w14:paraId="666D36EE">
            <w:pPr>
              <w:pStyle w:val="129"/>
              <w:widowControl w:val="0"/>
              <w:rPr>
                <w:rFonts w:eastAsia="Times New Roman"/>
                <w:color w:val="auto"/>
              </w:rPr>
            </w:pPr>
            <w:r>
              <w:rPr>
                <w:rFonts w:hint="eastAsia" w:eastAsia="Times New Roman"/>
                <w:color w:val="auto"/>
              </w:rPr>
              <w:t>0.00535</w:t>
            </w:r>
          </w:p>
        </w:tc>
        <w:tc>
          <w:tcPr>
            <w:tcW w:w="705" w:type="dxa"/>
            <w:tcBorders>
              <w:top w:val="single" w:color="000000" w:sz="2" w:space="0"/>
              <w:left w:val="single" w:color="000000" w:sz="2" w:space="0"/>
              <w:bottom w:val="single" w:color="000000" w:sz="2" w:space="0"/>
              <w:right w:val="single" w:color="000000" w:sz="2" w:space="0"/>
            </w:tcBorders>
            <w:vAlign w:val="center"/>
          </w:tcPr>
          <w:p w14:paraId="06E1375C">
            <w:pPr>
              <w:pStyle w:val="129"/>
              <w:widowControl w:val="0"/>
              <w:rPr>
                <w:rFonts w:eastAsia="Times New Roman"/>
                <w:color w:val="auto"/>
              </w:rPr>
            </w:pPr>
            <w:r>
              <w:rPr>
                <w:rFonts w:hint="eastAsia" w:eastAsia="Times New Roman"/>
                <w:color w:val="auto"/>
              </w:rPr>
              <w:t>0.05</w:t>
            </w:r>
          </w:p>
        </w:tc>
        <w:tc>
          <w:tcPr>
            <w:tcW w:w="686" w:type="dxa"/>
            <w:tcBorders>
              <w:top w:val="single" w:color="000000" w:sz="2" w:space="0"/>
              <w:left w:val="single" w:color="000000" w:sz="2" w:space="0"/>
              <w:bottom w:val="single" w:color="000000" w:sz="2" w:space="0"/>
              <w:right w:val="single" w:color="000000" w:sz="8" w:space="0"/>
            </w:tcBorders>
            <w:vAlign w:val="center"/>
          </w:tcPr>
          <w:p w14:paraId="0915714F">
            <w:pPr>
              <w:pStyle w:val="129"/>
              <w:widowControl w:val="0"/>
              <w:rPr>
                <w:rFonts w:eastAsia="Times New Roman"/>
                <w:color w:val="auto"/>
              </w:rPr>
            </w:pPr>
            <w:r>
              <w:rPr>
                <w:rFonts w:hint="eastAsia" w:ascii="宋体" w:hAnsi="宋体" w:eastAsia="Times New Roman" w:cs="宋体"/>
                <w:color w:val="auto"/>
              </w:rPr>
              <w:t>达标</w:t>
            </w:r>
          </w:p>
        </w:tc>
      </w:tr>
      <w:tr w14:paraId="25BEE5A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restart"/>
            <w:tcBorders>
              <w:top w:val="single" w:color="000000" w:sz="2" w:space="0"/>
              <w:left w:val="single" w:color="000000" w:sz="8" w:space="0"/>
              <w:right w:val="single" w:color="000000" w:sz="2" w:space="0"/>
            </w:tcBorders>
            <w:vAlign w:val="center"/>
          </w:tcPr>
          <w:p w14:paraId="5B9A1814">
            <w:pPr>
              <w:pStyle w:val="129"/>
              <w:widowControl w:val="0"/>
              <w:rPr>
                <w:rFonts w:eastAsiaTheme="minorEastAsia"/>
                <w:color w:val="auto"/>
              </w:rPr>
            </w:pPr>
            <w:r>
              <w:rPr>
                <w:rFonts w:hint="eastAsia" w:eastAsiaTheme="minorEastAsia"/>
                <w:color w:val="auto"/>
              </w:rPr>
              <w:t>TSP</w:t>
            </w: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419AB140">
            <w:pPr>
              <w:pStyle w:val="129"/>
              <w:widowControl w:val="0"/>
              <w:rPr>
                <w:rFonts w:eastAsia="Times New Roman"/>
                <w:color w:val="auto"/>
              </w:rPr>
            </w:pPr>
            <w:r>
              <w:rPr>
                <w:rFonts w:hint="eastAsia" w:ascii="宋体" w:hAnsi="宋体" w:eastAsia="Times New Roman" w:cs="宋体"/>
                <w:color w:val="auto"/>
              </w:rPr>
              <w:t>新达社区</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668EB2FF">
            <w:pPr>
              <w:pStyle w:val="129"/>
              <w:widowControl w:val="0"/>
              <w:rPr>
                <w:rFonts w:eastAsia="Times New Roman"/>
                <w:color w:val="auto"/>
              </w:rPr>
            </w:pPr>
            <w:r>
              <w:rPr>
                <w:rFonts w:hint="eastAsia" w:ascii="宋体" w:hAnsi="宋体" w:eastAsia="Times New Roman" w:cs="宋体"/>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0B75DD2C">
            <w:pPr>
              <w:pStyle w:val="129"/>
              <w:widowControl w:val="0"/>
              <w:rPr>
                <w:rFonts w:eastAsia="Times New Roman"/>
                <w:color w:val="auto"/>
              </w:rPr>
            </w:pPr>
            <w:r>
              <w:rPr>
                <w:rFonts w:eastAsia="Times New Roman"/>
                <w:color w:val="auto"/>
              </w:rPr>
              <w:t>0.32757</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3B2901D">
            <w:pPr>
              <w:pStyle w:val="129"/>
              <w:widowControl w:val="0"/>
              <w:rPr>
                <w:rFonts w:eastAsia="Times New Roman"/>
                <w:color w:val="auto"/>
              </w:rPr>
            </w:pPr>
            <w:r>
              <w:rPr>
                <w:rFonts w:eastAsia="Times New Roman"/>
                <w:color w:val="auto"/>
              </w:rPr>
              <w:t>0.11</w:t>
            </w:r>
          </w:p>
        </w:tc>
        <w:tc>
          <w:tcPr>
            <w:tcW w:w="1036" w:type="dxa"/>
            <w:tcBorders>
              <w:top w:val="single" w:color="000000" w:sz="2" w:space="0"/>
              <w:left w:val="single" w:color="000000" w:sz="2" w:space="0"/>
              <w:bottom w:val="single" w:color="000000" w:sz="2" w:space="0"/>
              <w:right w:val="single" w:color="000000" w:sz="2" w:space="0"/>
            </w:tcBorders>
            <w:vAlign w:val="center"/>
          </w:tcPr>
          <w:p w14:paraId="344F8C0A">
            <w:pPr>
              <w:pStyle w:val="129"/>
              <w:widowControl w:val="0"/>
              <w:rPr>
                <w:rFonts w:eastAsia="Times New Roman"/>
                <w:color w:val="auto"/>
              </w:rPr>
            </w:pPr>
            <w:r>
              <w:rPr>
                <w:rFonts w:eastAsia="Times New Roman"/>
                <w:color w:val="auto"/>
              </w:rPr>
              <w:t>163.0</w:t>
            </w:r>
          </w:p>
        </w:tc>
        <w:tc>
          <w:tcPr>
            <w:tcW w:w="1375" w:type="dxa"/>
            <w:tcBorders>
              <w:top w:val="single" w:color="000000" w:sz="2" w:space="0"/>
              <w:left w:val="single" w:color="000000" w:sz="2" w:space="0"/>
              <w:bottom w:val="single" w:color="000000" w:sz="2" w:space="0"/>
              <w:right w:val="single" w:color="000000" w:sz="2" w:space="0"/>
            </w:tcBorders>
            <w:vAlign w:val="center"/>
          </w:tcPr>
          <w:p w14:paraId="6ABC3DDD">
            <w:pPr>
              <w:pStyle w:val="129"/>
              <w:widowControl w:val="0"/>
              <w:rPr>
                <w:rFonts w:eastAsia="Times New Roman"/>
                <w:color w:val="auto"/>
              </w:rPr>
            </w:pPr>
            <w:r>
              <w:rPr>
                <w:rFonts w:eastAsia="Times New Roman"/>
                <w:color w:val="auto"/>
              </w:rPr>
              <w:t>165.7746</w:t>
            </w:r>
          </w:p>
        </w:tc>
        <w:tc>
          <w:tcPr>
            <w:tcW w:w="705" w:type="dxa"/>
            <w:tcBorders>
              <w:top w:val="single" w:color="000000" w:sz="2" w:space="0"/>
              <w:left w:val="single" w:color="000000" w:sz="2" w:space="0"/>
              <w:bottom w:val="single" w:color="000000" w:sz="2" w:space="0"/>
              <w:right w:val="single" w:color="000000" w:sz="2" w:space="0"/>
            </w:tcBorders>
            <w:vAlign w:val="center"/>
          </w:tcPr>
          <w:p w14:paraId="529E2625">
            <w:pPr>
              <w:pStyle w:val="129"/>
              <w:widowControl w:val="0"/>
              <w:rPr>
                <w:rFonts w:eastAsia="Times New Roman"/>
                <w:color w:val="auto"/>
              </w:rPr>
            </w:pPr>
            <w:r>
              <w:rPr>
                <w:rFonts w:eastAsia="Times New Roman"/>
                <w:color w:val="auto"/>
              </w:rPr>
              <w:t>55.26</w:t>
            </w:r>
          </w:p>
        </w:tc>
        <w:tc>
          <w:tcPr>
            <w:tcW w:w="686" w:type="dxa"/>
            <w:tcBorders>
              <w:top w:val="single" w:color="000000" w:sz="2" w:space="0"/>
              <w:left w:val="single" w:color="000000" w:sz="2" w:space="0"/>
              <w:bottom w:val="single" w:color="000000" w:sz="2" w:space="0"/>
              <w:right w:val="single" w:color="000000" w:sz="8" w:space="0"/>
            </w:tcBorders>
            <w:vAlign w:val="center"/>
          </w:tcPr>
          <w:p w14:paraId="182A31A2">
            <w:pPr>
              <w:pStyle w:val="129"/>
              <w:widowControl w:val="0"/>
              <w:rPr>
                <w:rFonts w:eastAsia="Times New Roman"/>
                <w:color w:val="auto"/>
              </w:rPr>
            </w:pPr>
            <w:r>
              <w:rPr>
                <w:rFonts w:hint="eastAsia" w:ascii="宋体" w:hAnsi="宋体" w:eastAsia="Times New Roman" w:cs="宋体"/>
                <w:color w:val="auto"/>
              </w:rPr>
              <w:t>达标</w:t>
            </w:r>
          </w:p>
        </w:tc>
      </w:tr>
      <w:tr w14:paraId="593397C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left w:val="single" w:color="000000" w:sz="8" w:space="0"/>
              <w:right w:val="single" w:color="000000" w:sz="2" w:space="0"/>
            </w:tcBorders>
            <w:vAlign w:val="center"/>
          </w:tcPr>
          <w:p w14:paraId="277DDED0">
            <w:pPr>
              <w:pStyle w:val="129"/>
              <w:widowControl w:val="0"/>
              <w:rPr>
                <w:rFonts w:eastAsia="Times New Roman"/>
                <w:color w:val="auto"/>
              </w:rPr>
            </w:pPr>
          </w:p>
        </w:tc>
        <w:tc>
          <w:tcPr>
            <w:tcW w:w="1343" w:type="dxa"/>
            <w:tcBorders>
              <w:top w:val="single" w:color="000000" w:sz="2" w:space="0"/>
              <w:left w:val="single" w:color="000000" w:sz="2" w:space="0"/>
              <w:bottom w:val="single" w:color="000000" w:sz="2" w:space="0"/>
              <w:right w:val="single" w:color="000000" w:sz="2" w:space="0"/>
            </w:tcBorders>
            <w:noWrap/>
            <w:vAlign w:val="center"/>
          </w:tcPr>
          <w:p w14:paraId="22D9978C">
            <w:pPr>
              <w:pStyle w:val="129"/>
              <w:widowControl w:val="0"/>
              <w:rPr>
                <w:rFonts w:eastAsia="Times New Roman"/>
                <w:color w:val="auto"/>
              </w:rPr>
            </w:pPr>
            <w:r>
              <w:rPr>
                <w:rFonts w:hint="eastAsia" w:ascii="宋体" w:hAnsi="宋体" w:eastAsia="Times New Roman" w:cs="宋体"/>
                <w:color w:val="auto"/>
              </w:rPr>
              <w:t>乌鲁木齐市第</w:t>
            </w:r>
            <w:r>
              <w:rPr>
                <w:rFonts w:hint="eastAsia" w:eastAsia="Times New Roman"/>
                <w:color w:val="auto"/>
              </w:rPr>
              <w:t>137</w:t>
            </w:r>
            <w:r>
              <w:rPr>
                <w:rFonts w:hint="eastAsia" w:ascii="宋体" w:hAnsi="宋体" w:eastAsia="Times New Roman" w:cs="宋体"/>
                <w:color w:val="auto"/>
              </w:rPr>
              <w:t>中学</w:t>
            </w:r>
          </w:p>
        </w:tc>
        <w:tc>
          <w:tcPr>
            <w:tcW w:w="1044" w:type="dxa"/>
            <w:tcBorders>
              <w:top w:val="single" w:color="000000" w:sz="2" w:space="0"/>
              <w:left w:val="single" w:color="000000" w:sz="2" w:space="0"/>
              <w:bottom w:val="single" w:color="000000" w:sz="2" w:space="0"/>
              <w:right w:val="single" w:color="000000" w:sz="2" w:space="0"/>
            </w:tcBorders>
            <w:noWrap/>
            <w:vAlign w:val="center"/>
          </w:tcPr>
          <w:p w14:paraId="1097A25D">
            <w:pPr>
              <w:pStyle w:val="129"/>
              <w:widowControl w:val="0"/>
              <w:rPr>
                <w:rFonts w:eastAsia="Times New Roman"/>
                <w:color w:val="auto"/>
              </w:rPr>
            </w:pPr>
            <w:r>
              <w:rPr>
                <w:rFonts w:hint="eastAsia" w:ascii="宋体" w:hAnsi="宋体" w:eastAsia="Times New Roman" w:cs="宋体"/>
                <w:color w:val="auto"/>
              </w:rPr>
              <w:t>日平均</w:t>
            </w:r>
          </w:p>
        </w:tc>
        <w:tc>
          <w:tcPr>
            <w:tcW w:w="1042" w:type="dxa"/>
            <w:tcBorders>
              <w:top w:val="single" w:color="000000" w:sz="2" w:space="0"/>
              <w:left w:val="single" w:color="000000" w:sz="2" w:space="0"/>
              <w:bottom w:val="single" w:color="000000" w:sz="2" w:space="0"/>
              <w:right w:val="single" w:color="000000" w:sz="2" w:space="0"/>
            </w:tcBorders>
            <w:noWrap/>
            <w:vAlign w:val="center"/>
          </w:tcPr>
          <w:p w14:paraId="243C8EB9">
            <w:pPr>
              <w:pStyle w:val="129"/>
              <w:widowControl w:val="0"/>
              <w:rPr>
                <w:rFonts w:eastAsia="Times New Roman"/>
                <w:color w:val="auto"/>
              </w:rPr>
            </w:pPr>
            <w:r>
              <w:rPr>
                <w:rFonts w:eastAsia="Times New Roman"/>
                <w:color w:val="auto"/>
              </w:rPr>
              <w:t>0.28734</w:t>
            </w:r>
          </w:p>
        </w:tc>
        <w:tc>
          <w:tcPr>
            <w:tcW w:w="745" w:type="dxa"/>
            <w:tcBorders>
              <w:top w:val="single" w:color="000000" w:sz="2" w:space="0"/>
              <w:left w:val="single" w:color="000000" w:sz="2" w:space="0"/>
              <w:bottom w:val="single" w:color="000000" w:sz="2" w:space="0"/>
              <w:right w:val="single" w:color="000000" w:sz="2" w:space="0"/>
            </w:tcBorders>
            <w:noWrap/>
            <w:vAlign w:val="center"/>
          </w:tcPr>
          <w:p w14:paraId="423C06E1">
            <w:pPr>
              <w:pStyle w:val="129"/>
              <w:widowControl w:val="0"/>
              <w:rPr>
                <w:rFonts w:eastAsia="Times New Roman"/>
                <w:color w:val="auto"/>
              </w:rPr>
            </w:pPr>
            <w:r>
              <w:rPr>
                <w:rFonts w:eastAsia="Times New Roman"/>
                <w:color w:val="auto"/>
              </w:rPr>
              <w:t>0.10</w:t>
            </w:r>
          </w:p>
        </w:tc>
        <w:tc>
          <w:tcPr>
            <w:tcW w:w="1036" w:type="dxa"/>
            <w:tcBorders>
              <w:top w:val="single" w:color="000000" w:sz="2" w:space="0"/>
              <w:left w:val="single" w:color="000000" w:sz="2" w:space="0"/>
              <w:bottom w:val="single" w:color="000000" w:sz="2" w:space="0"/>
              <w:right w:val="single" w:color="000000" w:sz="2" w:space="0"/>
            </w:tcBorders>
            <w:vAlign w:val="center"/>
          </w:tcPr>
          <w:p w14:paraId="13E0BE02">
            <w:pPr>
              <w:pStyle w:val="129"/>
              <w:widowControl w:val="0"/>
              <w:rPr>
                <w:rFonts w:eastAsia="Times New Roman"/>
                <w:color w:val="auto"/>
              </w:rPr>
            </w:pPr>
            <w:r>
              <w:rPr>
                <w:rFonts w:eastAsia="Times New Roman"/>
                <w:color w:val="auto"/>
              </w:rPr>
              <w:t>163.0</w:t>
            </w:r>
          </w:p>
        </w:tc>
        <w:tc>
          <w:tcPr>
            <w:tcW w:w="1375" w:type="dxa"/>
            <w:tcBorders>
              <w:top w:val="single" w:color="000000" w:sz="2" w:space="0"/>
              <w:left w:val="single" w:color="000000" w:sz="2" w:space="0"/>
              <w:bottom w:val="single" w:color="000000" w:sz="2" w:space="0"/>
              <w:right w:val="single" w:color="000000" w:sz="2" w:space="0"/>
            </w:tcBorders>
            <w:vAlign w:val="center"/>
          </w:tcPr>
          <w:p w14:paraId="2FE60528">
            <w:pPr>
              <w:pStyle w:val="129"/>
              <w:widowControl w:val="0"/>
              <w:rPr>
                <w:rFonts w:eastAsia="Times New Roman"/>
                <w:color w:val="auto"/>
              </w:rPr>
            </w:pPr>
            <w:r>
              <w:rPr>
                <w:rFonts w:eastAsia="Times New Roman"/>
                <w:color w:val="auto"/>
              </w:rPr>
              <w:t>165.3925</w:t>
            </w:r>
          </w:p>
        </w:tc>
        <w:tc>
          <w:tcPr>
            <w:tcW w:w="705" w:type="dxa"/>
            <w:tcBorders>
              <w:top w:val="single" w:color="000000" w:sz="2" w:space="0"/>
              <w:left w:val="single" w:color="000000" w:sz="2" w:space="0"/>
              <w:bottom w:val="single" w:color="000000" w:sz="2" w:space="0"/>
              <w:right w:val="single" w:color="000000" w:sz="2" w:space="0"/>
            </w:tcBorders>
            <w:vAlign w:val="center"/>
          </w:tcPr>
          <w:p w14:paraId="26608C60">
            <w:pPr>
              <w:pStyle w:val="129"/>
              <w:widowControl w:val="0"/>
              <w:rPr>
                <w:rFonts w:eastAsia="Times New Roman"/>
                <w:color w:val="auto"/>
              </w:rPr>
            </w:pPr>
            <w:r>
              <w:rPr>
                <w:rFonts w:eastAsia="Times New Roman"/>
                <w:color w:val="auto"/>
              </w:rPr>
              <w:t>55.13</w:t>
            </w:r>
          </w:p>
        </w:tc>
        <w:tc>
          <w:tcPr>
            <w:tcW w:w="686" w:type="dxa"/>
            <w:tcBorders>
              <w:top w:val="single" w:color="000000" w:sz="2" w:space="0"/>
              <w:left w:val="single" w:color="000000" w:sz="2" w:space="0"/>
              <w:bottom w:val="single" w:color="000000" w:sz="2" w:space="0"/>
              <w:right w:val="single" w:color="000000" w:sz="8" w:space="0"/>
            </w:tcBorders>
            <w:vAlign w:val="center"/>
          </w:tcPr>
          <w:p w14:paraId="60F6053B">
            <w:pPr>
              <w:pStyle w:val="129"/>
              <w:widowControl w:val="0"/>
              <w:rPr>
                <w:rFonts w:eastAsia="Times New Roman"/>
                <w:color w:val="auto"/>
              </w:rPr>
            </w:pPr>
            <w:r>
              <w:rPr>
                <w:rFonts w:hint="eastAsia" w:ascii="宋体" w:hAnsi="宋体" w:eastAsia="Times New Roman" w:cs="宋体"/>
                <w:color w:val="auto"/>
              </w:rPr>
              <w:t>达标</w:t>
            </w:r>
          </w:p>
        </w:tc>
      </w:tr>
      <w:tr w14:paraId="2D8CF45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34" w:type="dxa"/>
            <w:vMerge w:val="continue"/>
            <w:tcBorders>
              <w:left w:val="single" w:color="000000" w:sz="8" w:space="0"/>
              <w:bottom w:val="single" w:color="000000" w:sz="2" w:space="0"/>
              <w:right w:val="single" w:color="000000" w:sz="2" w:space="0"/>
            </w:tcBorders>
            <w:vAlign w:val="center"/>
          </w:tcPr>
          <w:p w14:paraId="2B5283FD">
            <w:pPr>
              <w:pStyle w:val="129"/>
              <w:widowControl w:val="0"/>
              <w:rPr>
                <w:rFonts w:eastAsia="Times New Roman"/>
                <w:color w:val="auto"/>
              </w:rPr>
            </w:pPr>
          </w:p>
        </w:tc>
        <w:tc>
          <w:tcPr>
            <w:tcW w:w="1343" w:type="dxa"/>
            <w:tcBorders>
              <w:top w:val="single" w:color="000000" w:sz="2" w:space="0"/>
              <w:left w:val="single" w:color="000000" w:sz="2" w:space="0"/>
              <w:bottom w:val="single" w:color="000000" w:sz="8" w:space="0"/>
              <w:right w:val="single" w:color="000000" w:sz="2" w:space="0"/>
            </w:tcBorders>
            <w:noWrap/>
            <w:vAlign w:val="center"/>
          </w:tcPr>
          <w:p w14:paraId="179E3A75">
            <w:pPr>
              <w:pStyle w:val="129"/>
              <w:widowControl w:val="0"/>
              <w:rPr>
                <w:rFonts w:eastAsia="Times New Roman"/>
                <w:color w:val="auto"/>
              </w:rPr>
            </w:pPr>
            <w:r>
              <w:rPr>
                <w:rFonts w:hint="eastAsia" w:ascii="宋体" w:hAnsi="宋体" w:eastAsia="Times New Roman" w:cs="宋体"/>
                <w:color w:val="auto"/>
              </w:rPr>
              <w:t>网格</w:t>
            </w:r>
          </w:p>
        </w:tc>
        <w:tc>
          <w:tcPr>
            <w:tcW w:w="1044" w:type="dxa"/>
            <w:tcBorders>
              <w:top w:val="single" w:color="000000" w:sz="2" w:space="0"/>
              <w:left w:val="single" w:color="000000" w:sz="2" w:space="0"/>
              <w:bottom w:val="single" w:color="000000" w:sz="8" w:space="0"/>
              <w:right w:val="single" w:color="000000" w:sz="2" w:space="0"/>
            </w:tcBorders>
            <w:noWrap/>
            <w:vAlign w:val="center"/>
          </w:tcPr>
          <w:p w14:paraId="2C35612A">
            <w:pPr>
              <w:pStyle w:val="129"/>
              <w:widowControl w:val="0"/>
              <w:rPr>
                <w:rFonts w:eastAsia="Times New Roman"/>
                <w:color w:val="auto"/>
              </w:rPr>
            </w:pPr>
            <w:r>
              <w:rPr>
                <w:rFonts w:hint="eastAsia" w:ascii="宋体" w:hAnsi="宋体" w:eastAsia="Times New Roman" w:cs="宋体"/>
                <w:color w:val="auto"/>
              </w:rPr>
              <w:t>日平均</w:t>
            </w:r>
          </w:p>
        </w:tc>
        <w:tc>
          <w:tcPr>
            <w:tcW w:w="1042" w:type="dxa"/>
            <w:tcBorders>
              <w:top w:val="single" w:color="000000" w:sz="2" w:space="0"/>
              <w:left w:val="single" w:color="000000" w:sz="2" w:space="0"/>
              <w:bottom w:val="single" w:color="000000" w:sz="8" w:space="0"/>
              <w:right w:val="single" w:color="000000" w:sz="2" w:space="0"/>
            </w:tcBorders>
            <w:noWrap/>
            <w:vAlign w:val="center"/>
          </w:tcPr>
          <w:p w14:paraId="16DD46C0">
            <w:pPr>
              <w:pStyle w:val="129"/>
              <w:widowControl w:val="0"/>
              <w:rPr>
                <w:rFonts w:eastAsia="Times New Roman"/>
                <w:color w:val="auto"/>
              </w:rPr>
            </w:pPr>
            <w:r>
              <w:rPr>
                <w:rFonts w:eastAsia="Times New Roman"/>
                <w:color w:val="auto"/>
              </w:rPr>
              <w:t>2.90223</w:t>
            </w:r>
          </w:p>
        </w:tc>
        <w:tc>
          <w:tcPr>
            <w:tcW w:w="745" w:type="dxa"/>
            <w:tcBorders>
              <w:top w:val="single" w:color="000000" w:sz="2" w:space="0"/>
              <w:left w:val="single" w:color="000000" w:sz="2" w:space="0"/>
              <w:bottom w:val="single" w:color="000000" w:sz="8" w:space="0"/>
              <w:right w:val="single" w:color="000000" w:sz="2" w:space="0"/>
            </w:tcBorders>
            <w:noWrap/>
            <w:vAlign w:val="center"/>
          </w:tcPr>
          <w:p w14:paraId="41EFF9F5">
            <w:pPr>
              <w:pStyle w:val="129"/>
              <w:widowControl w:val="0"/>
              <w:rPr>
                <w:rFonts w:eastAsia="Times New Roman"/>
                <w:color w:val="auto"/>
              </w:rPr>
            </w:pPr>
            <w:r>
              <w:rPr>
                <w:rFonts w:eastAsia="Times New Roman"/>
                <w:color w:val="auto"/>
              </w:rPr>
              <w:t>0.97</w:t>
            </w:r>
          </w:p>
        </w:tc>
        <w:tc>
          <w:tcPr>
            <w:tcW w:w="1036" w:type="dxa"/>
            <w:tcBorders>
              <w:top w:val="single" w:color="000000" w:sz="2" w:space="0"/>
              <w:left w:val="single" w:color="000000" w:sz="2" w:space="0"/>
              <w:bottom w:val="single" w:color="000000" w:sz="8" w:space="0"/>
              <w:right w:val="single" w:color="000000" w:sz="2" w:space="0"/>
            </w:tcBorders>
            <w:vAlign w:val="center"/>
          </w:tcPr>
          <w:p w14:paraId="2E550D69">
            <w:pPr>
              <w:pStyle w:val="129"/>
              <w:widowControl w:val="0"/>
              <w:rPr>
                <w:rFonts w:eastAsia="Times New Roman"/>
                <w:color w:val="auto"/>
              </w:rPr>
            </w:pPr>
            <w:r>
              <w:rPr>
                <w:rFonts w:eastAsia="Times New Roman"/>
                <w:color w:val="auto"/>
              </w:rPr>
              <w:t>163.0</w:t>
            </w:r>
          </w:p>
        </w:tc>
        <w:tc>
          <w:tcPr>
            <w:tcW w:w="1375" w:type="dxa"/>
            <w:tcBorders>
              <w:top w:val="single" w:color="000000" w:sz="2" w:space="0"/>
              <w:left w:val="single" w:color="000000" w:sz="2" w:space="0"/>
              <w:bottom w:val="single" w:color="000000" w:sz="8" w:space="0"/>
              <w:right w:val="single" w:color="000000" w:sz="2" w:space="0"/>
            </w:tcBorders>
            <w:vAlign w:val="center"/>
          </w:tcPr>
          <w:p w14:paraId="0FF05415">
            <w:pPr>
              <w:pStyle w:val="129"/>
              <w:widowControl w:val="0"/>
              <w:rPr>
                <w:rFonts w:eastAsia="Times New Roman"/>
                <w:color w:val="auto"/>
              </w:rPr>
            </w:pPr>
            <w:r>
              <w:rPr>
                <w:rFonts w:eastAsia="Times New Roman"/>
                <w:color w:val="auto"/>
              </w:rPr>
              <w:t>176.1872</w:t>
            </w:r>
          </w:p>
        </w:tc>
        <w:tc>
          <w:tcPr>
            <w:tcW w:w="705" w:type="dxa"/>
            <w:tcBorders>
              <w:top w:val="single" w:color="000000" w:sz="2" w:space="0"/>
              <w:left w:val="single" w:color="000000" w:sz="2" w:space="0"/>
              <w:bottom w:val="single" w:color="000000" w:sz="8" w:space="0"/>
              <w:right w:val="single" w:color="000000" w:sz="2" w:space="0"/>
            </w:tcBorders>
            <w:vAlign w:val="center"/>
          </w:tcPr>
          <w:p w14:paraId="11D6626D">
            <w:pPr>
              <w:pStyle w:val="129"/>
              <w:widowControl w:val="0"/>
              <w:rPr>
                <w:rFonts w:eastAsia="Times New Roman"/>
                <w:color w:val="auto"/>
              </w:rPr>
            </w:pPr>
            <w:r>
              <w:rPr>
                <w:rFonts w:eastAsia="Times New Roman"/>
                <w:color w:val="auto"/>
              </w:rPr>
              <w:t>58.73</w:t>
            </w:r>
          </w:p>
        </w:tc>
        <w:tc>
          <w:tcPr>
            <w:tcW w:w="686" w:type="dxa"/>
            <w:tcBorders>
              <w:top w:val="single" w:color="000000" w:sz="2" w:space="0"/>
              <w:left w:val="single" w:color="000000" w:sz="2" w:space="0"/>
              <w:bottom w:val="single" w:color="000000" w:sz="8" w:space="0"/>
              <w:right w:val="single" w:color="000000" w:sz="8" w:space="0"/>
            </w:tcBorders>
            <w:vAlign w:val="center"/>
          </w:tcPr>
          <w:p w14:paraId="688ABD4C">
            <w:pPr>
              <w:pStyle w:val="129"/>
              <w:widowControl w:val="0"/>
              <w:rPr>
                <w:rFonts w:eastAsia="Times New Roman"/>
                <w:color w:val="auto"/>
              </w:rPr>
            </w:pPr>
            <w:r>
              <w:rPr>
                <w:rFonts w:hint="eastAsia" w:ascii="宋体" w:hAnsi="宋体" w:eastAsia="Times New Roman" w:cs="宋体"/>
                <w:color w:val="auto"/>
              </w:rPr>
              <w:t>达标</w:t>
            </w:r>
          </w:p>
        </w:tc>
      </w:tr>
    </w:tbl>
    <w:p w14:paraId="13856387">
      <w:pPr>
        <w:autoSpaceDE w:val="0"/>
        <w:autoSpaceDN w:val="0"/>
        <w:adjustRightInd w:val="0"/>
        <w:spacing w:line="240" w:lineRule="exact"/>
        <w:rPr>
          <w:rFonts w:ascii="黑体"/>
          <w:bCs/>
          <w:color w:val="auto"/>
          <w:sz w:val="24"/>
          <w:szCs w:val="24"/>
        </w:rPr>
      </w:pPr>
    </w:p>
    <w:p w14:paraId="2FAF31A3">
      <w:pPr>
        <w:autoSpaceDE w:val="0"/>
        <w:autoSpaceDN w:val="0"/>
        <w:adjustRightInd w:val="0"/>
        <w:spacing w:line="240" w:lineRule="exact"/>
        <w:rPr>
          <w:rFonts w:ascii="黑体"/>
          <w:bCs/>
          <w:color w:val="auto"/>
          <w:sz w:val="24"/>
          <w:szCs w:val="24"/>
        </w:rPr>
      </w:pPr>
    </w:p>
    <w:p w14:paraId="6F1000CB">
      <w:pPr>
        <w:pStyle w:val="5"/>
        <w:rPr>
          <w:color w:val="auto"/>
        </w:rPr>
      </w:pPr>
      <w:r>
        <w:rPr>
          <w:color w:val="auto"/>
        </w:rPr>
        <w:t>区域环境质量变化情况</w:t>
      </w:r>
    </w:p>
    <w:p w14:paraId="53FB6FFE">
      <w:pPr>
        <w:pStyle w:val="132"/>
        <w:rPr>
          <w:color w:val="auto"/>
        </w:rPr>
      </w:pPr>
      <w:r>
        <w:rPr>
          <w:rFonts w:hint="eastAsia"/>
          <w:color w:val="auto"/>
        </w:rPr>
        <w:t>采用网格进行区域环境质量变化评价，网格点数量m=10201。</w:t>
      </w:r>
    </w:p>
    <w:p w14:paraId="7004540A">
      <w:pPr>
        <w:pStyle w:val="132"/>
        <w:rPr>
          <w:color w:val="auto"/>
        </w:rPr>
      </w:pPr>
      <w:r>
        <w:rPr>
          <w:rFonts w:hint="eastAsia"/>
          <w:color w:val="auto"/>
        </w:rPr>
        <w:t>网格为直角坐标网格，左下角坐标（-</w:t>
      </w:r>
      <w:r>
        <w:rPr>
          <w:color w:val="auto"/>
        </w:rPr>
        <w:t>2</w:t>
      </w:r>
      <w:r>
        <w:rPr>
          <w:rFonts w:hint="eastAsia"/>
          <w:color w:val="auto"/>
        </w:rPr>
        <w:t>500,-</w:t>
      </w:r>
      <w:r>
        <w:rPr>
          <w:color w:val="auto"/>
        </w:rPr>
        <w:t>25</w:t>
      </w:r>
      <w:r>
        <w:rPr>
          <w:rFonts w:hint="eastAsia"/>
          <w:color w:val="auto"/>
        </w:rPr>
        <w:t>00），右上角坐标（</w:t>
      </w:r>
      <w:r>
        <w:rPr>
          <w:color w:val="auto"/>
        </w:rPr>
        <w:t>250</w:t>
      </w:r>
      <w:r>
        <w:rPr>
          <w:rFonts w:hint="eastAsia"/>
          <w:color w:val="auto"/>
        </w:rPr>
        <w:t>0,</w:t>
      </w:r>
      <w:r>
        <w:rPr>
          <w:color w:val="auto"/>
        </w:rPr>
        <w:t>250</w:t>
      </w:r>
      <w:r>
        <w:rPr>
          <w:rFonts w:hint="eastAsia"/>
          <w:color w:val="auto"/>
        </w:rPr>
        <w:t>0）。</w:t>
      </w:r>
    </w:p>
    <w:p w14:paraId="7118EBA1">
      <w:pPr>
        <w:pStyle w:val="132"/>
        <w:rPr>
          <w:color w:val="auto"/>
        </w:rPr>
      </w:pPr>
      <w:r>
        <w:rPr>
          <w:rFonts w:hint="eastAsia"/>
          <w:color w:val="auto"/>
        </w:rPr>
        <w:t>（1）P</w:t>
      </w:r>
      <w:r>
        <w:rPr>
          <w:color w:val="auto"/>
        </w:rPr>
        <w:t>M</w:t>
      </w:r>
      <w:r>
        <w:rPr>
          <w:color w:val="auto"/>
          <w:vertAlign w:val="subscript"/>
        </w:rPr>
        <w:t>10</w:t>
      </w:r>
      <w:r>
        <w:rPr>
          <w:color w:val="auto"/>
        </w:rPr>
        <w:t>环境质量变化情况</w:t>
      </w:r>
    </w:p>
    <w:p w14:paraId="6414842F">
      <w:pPr>
        <w:pStyle w:val="132"/>
        <w:rPr>
          <w:color w:val="auto"/>
        </w:rPr>
      </w:pPr>
      <w:r>
        <w:rPr>
          <w:color w:val="auto"/>
        </w:rPr>
        <w:t>所有网格点上的年平均贡献浓度的算术平均值=5.3809</w:t>
      </w:r>
      <w:r>
        <w:rPr>
          <w:rFonts w:hint="eastAsia"/>
          <w:color w:val="auto"/>
        </w:rPr>
        <w:t>×</w:t>
      </w:r>
      <w:r>
        <w:rPr>
          <w:color w:val="auto"/>
        </w:rPr>
        <w:t>10</w:t>
      </w:r>
      <w:r>
        <w:rPr>
          <w:rFonts w:hint="eastAsia"/>
          <w:color w:val="auto"/>
          <w:vertAlign w:val="superscript"/>
        </w:rPr>
        <w:t>-</w:t>
      </w:r>
      <w:r>
        <w:rPr>
          <w:color w:val="auto"/>
          <w:vertAlign w:val="superscript"/>
        </w:rPr>
        <w:t>2</w:t>
      </w:r>
      <w:r>
        <w:rPr>
          <w:rFonts w:hint="eastAsia"/>
          <w:color w:val="auto"/>
        </w:rPr>
        <w:t>（</w:t>
      </w:r>
      <w:r>
        <w:rPr>
          <w:color w:val="auto"/>
        </w:rPr>
        <w:t>ug/m</w:t>
      </w:r>
      <w:r>
        <w:rPr>
          <w:color w:val="auto"/>
          <w:vertAlign w:val="superscript"/>
        </w:rPr>
        <w:t>3</w:t>
      </w:r>
      <w:r>
        <w:rPr>
          <w:rFonts w:hint="eastAsia"/>
          <w:color w:val="auto"/>
        </w:rPr>
        <w:t>），区域削减源在所有网格点上的年平均贡献浓度的算术平均值=</w:t>
      </w:r>
      <w:r>
        <w:rPr>
          <w:color w:val="auto"/>
        </w:rPr>
        <w:t>8.6937</w:t>
      </w:r>
      <w:r>
        <w:rPr>
          <w:rFonts w:hint="eastAsia"/>
          <w:color w:val="auto"/>
        </w:rPr>
        <w:t>×</w:t>
      </w:r>
      <w:r>
        <w:rPr>
          <w:color w:val="auto"/>
        </w:rPr>
        <w:t>10</w:t>
      </w:r>
      <w:r>
        <w:rPr>
          <w:color w:val="auto"/>
          <w:vertAlign w:val="superscript"/>
        </w:rPr>
        <w:t>-2</w:t>
      </w:r>
      <w:r>
        <w:rPr>
          <w:rFonts w:hint="eastAsia"/>
          <w:color w:val="auto"/>
        </w:rPr>
        <w:t>（</w:t>
      </w:r>
      <w:r>
        <w:rPr>
          <w:color w:val="auto"/>
        </w:rPr>
        <w:t>ug/m</w:t>
      </w:r>
      <w:r>
        <w:rPr>
          <w:color w:val="auto"/>
          <w:vertAlign w:val="superscript"/>
        </w:rPr>
        <w:t>3</w:t>
      </w:r>
      <w:r>
        <w:rPr>
          <w:rFonts w:hint="eastAsia"/>
          <w:color w:val="auto"/>
        </w:rPr>
        <w:t>），实施削减后预测范围的年平均浓度变化率k=</w:t>
      </w:r>
      <w:r>
        <w:rPr>
          <w:color w:val="auto"/>
        </w:rPr>
        <w:t>-</w:t>
      </w:r>
      <w:r>
        <w:rPr>
          <w:rFonts w:hint="eastAsia"/>
          <w:color w:val="auto"/>
        </w:rPr>
        <w:t>38.11</w:t>
      </w:r>
      <w:r>
        <w:rPr>
          <w:color w:val="auto"/>
        </w:rPr>
        <w:t>%</w:t>
      </w:r>
      <w:r>
        <w:rPr>
          <w:rFonts w:hint="eastAsia"/>
          <w:color w:val="auto"/>
        </w:rPr>
        <w:t>，浓度变化率k</w:t>
      </w:r>
      <w:r>
        <w:rPr>
          <w:color w:val="auto"/>
        </w:rPr>
        <w:t>≤</w:t>
      </w:r>
      <w:r>
        <w:rPr>
          <w:rFonts w:hint="eastAsia"/>
          <w:color w:val="auto"/>
        </w:rPr>
        <w:t>-20%,因此区域环境质量整体改善。</w:t>
      </w:r>
    </w:p>
    <w:p w14:paraId="021FF34B">
      <w:pPr>
        <w:pStyle w:val="132"/>
        <w:rPr>
          <w:color w:val="auto"/>
        </w:rPr>
      </w:pPr>
      <w:r>
        <w:rPr>
          <w:rFonts w:hint="eastAsia"/>
          <w:color w:val="auto"/>
        </w:rPr>
        <w:t>（2）</w:t>
      </w:r>
      <w:r>
        <w:rPr>
          <w:color w:val="auto"/>
        </w:rPr>
        <w:t>P</w:t>
      </w:r>
      <w:r>
        <w:rPr>
          <w:rFonts w:hint="eastAsia"/>
          <w:color w:val="auto"/>
        </w:rPr>
        <w:t>M</w:t>
      </w:r>
      <w:r>
        <w:rPr>
          <w:color w:val="auto"/>
          <w:vertAlign w:val="subscript"/>
        </w:rPr>
        <w:t>2.5</w:t>
      </w:r>
      <w:r>
        <w:rPr>
          <w:color w:val="auto"/>
        </w:rPr>
        <w:t>环境质量变化情况</w:t>
      </w:r>
    </w:p>
    <w:p w14:paraId="1EC52D29">
      <w:pPr>
        <w:pStyle w:val="132"/>
        <w:rPr>
          <w:color w:val="auto"/>
        </w:rPr>
      </w:pPr>
      <w:r>
        <w:rPr>
          <w:rFonts w:hint="eastAsia"/>
          <w:color w:val="auto"/>
        </w:rPr>
        <w:t>所有网格点上的年平均贡献浓度的算术平均值=</w:t>
      </w:r>
      <w:r>
        <w:rPr>
          <w:color w:val="auto"/>
        </w:rPr>
        <w:t>2.6904</w:t>
      </w:r>
      <w:r>
        <w:rPr>
          <w:rFonts w:hint="eastAsia"/>
          <w:color w:val="auto"/>
        </w:rPr>
        <w:t>×</w:t>
      </w:r>
      <w:r>
        <w:rPr>
          <w:color w:val="auto"/>
        </w:rPr>
        <w:t>10</w:t>
      </w:r>
      <w:r>
        <w:rPr>
          <w:color w:val="auto"/>
          <w:vertAlign w:val="superscript"/>
        </w:rPr>
        <w:t>-3</w:t>
      </w:r>
      <w:r>
        <w:rPr>
          <w:rFonts w:hint="eastAsia"/>
          <w:color w:val="auto"/>
        </w:rPr>
        <w:t>（</w:t>
      </w:r>
      <w:r>
        <w:rPr>
          <w:color w:val="auto"/>
        </w:rPr>
        <w:t>ug/m</w:t>
      </w:r>
      <w:r>
        <w:rPr>
          <w:color w:val="auto"/>
          <w:vertAlign w:val="superscript"/>
        </w:rPr>
        <w:t>3</w:t>
      </w:r>
      <w:r>
        <w:rPr>
          <w:rFonts w:hint="eastAsia"/>
          <w:color w:val="auto"/>
        </w:rPr>
        <w:t>），区域削减源在所有网格点上的年平均贡献浓度的算术平均值=</w:t>
      </w:r>
      <w:r>
        <w:rPr>
          <w:color w:val="auto"/>
        </w:rPr>
        <w:t>4.3456</w:t>
      </w:r>
      <w:r>
        <w:rPr>
          <w:rFonts w:hint="eastAsia"/>
          <w:color w:val="auto"/>
        </w:rPr>
        <w:t>×</w:t>
      </w:r>
      <w:r>
        <w:rPr>
          <w:color w:val="auto"/>
        </w:rPr>
        <w:t>10</w:t>
      </w:r>
      <w:r>
        <w:rPr>
          <w:color w:val="auto"/>
          <w:vertAlign w:val="superscript"/>
        </w:rPr>
        <w:t>-2</w:t>
      </w:r>
      <w:r>
        <w:rPr>
          <w:rFonts w:hint="eastAsia"/>
          <w:color w:val="auto"/>
        </w:rPr>
        <w:t>（</w:t>
      </w:r>
      <w:r>
        <w:rPr>
          <w:color w:val="auto"/>
        </w:rPr>
        <w:t>ug/m</w:t>
      </w:r>
      <w:r>
        <w:rPr>
          <w:color w:val="auto"/>
          <w:vertAlign w:val="superscript"/>
        </w:rPr>
        <w:t>3</w:t>
      </w:r>
      <w:r>
        <w:rPr>
          <w:rFonts w:hint="eastAsia"/>
          <w:color w:val="auto"/>
        </w:rPr>
        <w:t>），实施削减后预测范围的年平均浓度变化率k=</w:t>
      </w:r>
      <w:r>
        <w:rPr>
          <w:color w:val="auto"/>
        </w:rPr>
        <w:t>-38.09%</w:t>
      </w:r>
      <w:r>
        <w:rPr>
          <w:rFonts w:hint="eastAsia"/>
          <w:color w:val="auto"/>
        </w:rPr>
        <w:t>，浓度变化率k</w:t>
      </w:r>
      <w:r>
        <w:rPr>
          <w:color w:val="auto"/>
        </w:rPr>
        <w:t>≤-</w:t>
      </w:r>
      <w:r>
        <w:rPr>
          <w:rFonts w:hint="eastAsia"/>
          <w:color w:val="auto"/>
        </w:rPr>
        <w:t>20%,因此区域环境质量整体改善。</w:t>
      </w:r>
    </w:p>
    <w:p w14:paraId="0D62381F">
      <w:pPr>
        <w:pStyle w:val="5"/>
        <w:rPr>
          <w:color w:val="auto"/>
        </w:rPr>
      </w:pPr>
      <w:r>
        <w:rPr>
          <w:color w:val="auto"/>
        </w:rPr>
        <w:t>非正常工况影响分析</w:t>
      </w:r>
    </w:p>
    <w:p w14:paraId="0C0FA68D">
      <w:pPr>
        <w:pStyle w:val="132"/>
        <w:rPr>
          <w:color w:val="auto"/>
        </w:rPr>
      </w:pPr>
      <w:r>
        <w:rPr>
          <w:color w:val="auto"/>
        </w:rPr>
        <w:t>本项目非正常工况下的预测结果见表 5.2</w:t>
      </w:r>
      <w:r>
        <w:rPr>
          <w:rFonts w:hint="eastAsia"/>
          <w:color w:val="auto"/>
        </w:rPr>
        <w:t>-20，由分析结果可知：对</w:t>
      </w:r>
      <w:r>
        <w:rPr>
          <w:rFonts w:hint="eastAsia" w:ascii="宋体" w:hAnsi="宋体" w:cs="宋体"/>
          <w:color w:val="auto"/>
        </w:rPr>
        <w:t>催化剂生产焙烧废气总排口</w:t>
      </w:r>
      <w:r>
        <w:rPr>
          <w:rFonts w:hint="eastAsia"/>
          <w:color w:val="auto"/>
        </w:rPr>
        <w:t>废气处理系统（</w:t>
      </w:r>
      <w:r>
        <w:rPr>
          <w:color w:val="auto"/>
        </w:rPr>
        <w:t>SCR</w:t>
      </w:r>
      <w:r>
        <w:rPr>
          <w:rFonts w:hint="eastAsia"/>
          <w:color w:val="auto"/>
        </w:rPr>
        <w:t>脱硝）发生故障设施失效情形进行预测，颗粒物、</w:t>
      </w:r>
      <w:r>
        <w:rPr>
          <w:color w:val="auto"/>
        </w:rPr>
        <w:t>NO</w:t>
      </w:r>
      <w:r>
        <w:rPr>
          <w:color w:val="auto"/>
          <w:vertAlign w:val="subscript"/>
        </w:rPr>
        <w:t>2</w:t>
      </w:r>
      <w:r>
        <w:rPr>
          <w:rFonts w:hint="eastAsia"/>
          <w:color w:val="auto"/>
        </w:rPr>
        <w:t>和</w:t>
      </w:r>
      <w:r>
        <w:rPr>
          <w:color w:val="auto"/>
        </w:rPr>
        <w:t>NH</w:t>
      </w:r>
      <w:r>
        <w:rPr>
          <w:color w:val="auto"/>
          <w:vertAlign w:val="subscript"/>
        </w:rPr>
        <w:t>3</w:t>
      </w:r>
      <w:r>
        <w:rPr>
          <w:rFonts w:hint="eastAsia"/>
          <w:color w:val="auto"/>
        </w:rPr>
        <w:t>、</w:t>
      </w:r>
      <w:r>
        <w:rPr>
          <w:rFonts w:hint="eastAsia" w:ascii="宋体" w:hAnsi="宋体" w:cs="宋体"/>
          <w:color w:val="auto"/>
        </w:rPr>
        <w:t>镍及其化合物、锰及其化合物</w:t>
      </w:r>
      <w:r>
        <w:rPr>
          <w:rFonts w:hint="eastAsia"/>
          <w:color w:val="auto"/>
        </w:rPr>
        <w:t>短期排放贡献值达标，在及时采取措施后，环境影响可控制、可接受。</w:t>
      </w:r>
    </w:p>
    <w:p w14:paraId="4F7525EB">
      <w:pPr>
        <w:pStyle w:val="1060"/>
        <w:rPr>
          <w:color w:val="auto"/>
        </w:rPr>
      </w:pPr>
      <w:bookmarkStart w:id="303" w:name="_Ref220515479"/>
      <w:bookmarkEnd w:id="303"/>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18</w:t>
      </w:r>
      <w:r>
        <w:rPr>
          <w:color w:val="auto"/>
        </w:rPr>
        <w:fldChar w:fldCharType="end"/>
      </w:r>
      <w:r>
        <w:rPr>
          <w:rFonts w:hint="eastAsia"/>
          <w:color w:val="auto"/>
        </w:rPr>
        <w:t xml:space="preserve"> </w:t>
      </w:r>
      <w:r>
        <w:rPr>
          <w:color w:val="auto"/>
        </w:rPr>
        <w:t xml:space="preserve"> 非正常工况下各污染物浓度预测结果统计表</w:t>
      </w:r>
    </w:p>
    <w:tbl>
      <w:tblPr>
        <w:tblStyle w:val="2429"/>
        <w:tblW w:w="5000"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395"/>
        <w:gridCol w:w="1049"/>
        <w:gridCol w:w="1039"/>
        <w:gridCol w:w="1924"/>
        <w:gridCol w:w="1154"/>
        <w:gridCol w:w="1160"/>
        <w:gridCol w:w="1065"/>
      </w:tblGrid>
      <w:tr w14:paraId="176AD8C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94" w:type="pct"/>
            <w:tcBorders>
              <w:top w:val="single" w:color="000000" w:sz="8" w:space="0"/>
              <w:left w:val="single" w:color="000000" w:sz="8" w:space="0"/>
              <w:bottom w:val="single" w:color="000000" w:sz="2" w:space="0"/>
              <w:right w:val="single" w:color="000000" w:sz="2" w:space="0"/>
            </w:tcBorders>
            <w:noWrap/>
            <w:vAlign w:val="center"/>
          </w:tcPr>
          <w:p w14:paraId="5C3C9923">
            <w:pPr>
              <w:pStyle w:val="129"/>
              <w:widowControl w:val="0"/>
              <w:rPr>
                <w:rFonts w:eastAsia="Times New Roman"/>
                <w:color w:val="auto"/>
              </w:rPr>
            </w:pPr>
            <w:r>
              <w:rPr>
                <w:rFonts w:hint="eastAsia" w:ascii="宋体" w:hAnsi="宋体" w:eastAsia="Times New Roman" w:cs="宋体"/>
                <w:color w:val="auto"/>
              </w:rPr>
              <w:t>污染物</w:t>
            </w:r>
          </w:p>
        </w:tc>
        <w:tc>
          <w:tcPr>
            <w:tcW w:w="597" w:type="pct"/>
            <w:tcBorders>
              <w:top w:val="single" w:color="000000" w:sz="8" w:space="0"/>
              <w:left w:val="single" w:color="000000" w:sz="2" w:space="0"/>
              <w:bottom w:val="single" w:color="000000" w:sz="2" w:space="0"/>
              <w:right w:val="single" w:color="000000" w:sz="2" w:space="0"/>
            </w:tcBorders>
            <w:noWrap/>
            <w:vAlign w:val="center"/>
          </w:tcPr>
          <w:p w14:paraId="1BCBBBB8">
            <w:pPr>
              <w:pStyle w:val="129"/>
              <w:widowControl w:val="0"/>
              <w:rPr>
                <w:rFonts w:eastAsia="Times New Roman"/>
                <w:color w:val="auto"/>
              </w:rPr>
            </w:pPr>
            <w:r>
              <w:rPr>
                <w:rFonts w:hint="eastAsia" w:ascii="宋体" w:hAnsi="宋体" w:eastAsia="Times New Roman" w:cs="宋体"/>
                <w:color w:val="auto"/>
              </w:rPr>
              <w:t>预测点</w:t>
            </w:r>
          </w:p>
        </w:tc>
        <w:tc>
          <w:tcPr>
            <w:tcW w:w="591" w:type="pct"/>
            <w:tcBorders>
              <w:top w:val="single" w:color="000000" w:sz="8" w:space="0"/>
              <w:left w:val="single" w:color="000000" w:sz="2" w:space="0"/>
              <w:bottom w:val="single" w:color="000000" w:sz="2" w:space="0"/>
              <w:right w:val="single" w:color="000000" w:sz="2" w:space="0"/>
            </w:tcBorders>
            <w:noWrap/>
            <w:vAlign w:val="center"/>
          </w:tcPr>
          <w:p w14:paraId="71ED39D0">
            <w:pPr>
              <w:pStyle w:val="129"/>
              <w:widowControl w:val="0"/>
              <w:rPr>
                <w:rFonts w:eastAsia="Times New Roman"/>
                <w:color w:val="auto"/>
              </w:rPr>
            </w:pPr>
            <w:r>
              <w:rPr>
                <w:rFonts w:hint="eastAsia" w:ascii="宋体" w:hAnsi="宋体" w:eastAsia="Times New Roman" w:cs="宋体"/>
                <w:color w:val="auto"/>
              </w:rPr>
              <w:t>平均时段</w:t>
            </w:r>
          </w:p>
        </w:tc>
        <w:tc>
          <w:tcPr>
            <w:tcW w:w="1095" w:type="pct"/>
            <w:tcBorders>
              <w:top w:val="single" w:color="000000" w:sz="8" w:space="0"/>
              <w:left w:val="single" w:color="000000" w:sz="2" w:space="0"/>
              <w:bottom w:val="single" w:color="000000" w:sz="2" w:space="0"/>
              <w:right w:val="single" w:color="000000" w:sz="2" w:space="0"/>
            </w:tcBorders>
            <w:noWrap/>
            <w:vAlign w:val="center"/>
          </w:tcPr>
          <w:p w14:paraId="34CFD4B4">
            <w:pPr>
              <w:pStyle w:val="129"/>
              <w:widowControl w:val="0"/>
              <w:rPr>
                <w:rFonts w:eastAsia="Times New Roman"/>
                <w:color w:val="auto"/>
              </w:rPr>
            </w:pPr>
            <w:r>
              <w:rPr>
                <w:rFonts w:hint="eastAsia" w:ascii="宋体" w:hAnsi="宋体" w:eastAsia="Times New Roman" w:cs="宋体"/>
                <w:color w:val="auto"/>
              </w:rPr>
              <w:t>最大贡献值</w:t>
            </w:r>
            <w:r>
              <w:rPr>
                <w:rFonts w:eastAsia="Times New Roman"/>
                <w:color w:val="auto"/>
              </w:rPr>
              <w:t>/(μg/m</w:t>
            </w:r>
            <w:r>
              <w:rPr>
                <w:rFonts w:eastAsia="Times New Roman"/>
                <w:color w:val="auto"/>
                <w:vertAlign w:val="superscript"/>
              </w:rPr>
              <w:t>3</w:t>
            </w:r>
            <w:r>
              <w:rPr>
                <w:rFonts w:eastAsia="Times New Roman"/>
                <w:color w:val="auto"/>
              </w:rPr>
              <w:t>)</w:t>
            </w:r>
          </w:p>
        </w:tc>
        <w:tc>
          <w:tcPr>
            <w:tcW w:w="657" w:type="pct"/>
            <w:tcBorders>
              <w:top w:val="single" w:color="000000" w:sz="8" w:space="0"/>
              <w:left w:val="single" w:color="000000" w:sz="2" w:space="0"/>
              <w:bottom w:val="single" w:color="000000" w:sz="2" w:space="0"/>
              <w:right w:val="single" w:color="000000" w:sz="2" w:space="0"/>
            </w:tcBorders>
            <w:noWrap/>
            <w:vAlign w:val="center"/>
          </w:tcPr>
          <w:p w14:paraId="241FC5D9">
            <w:pPr>
              <w:pStyle w:val="129"/>
              <w:widowControl w:val="0"/>
              <w:rPr>
                <w:rFonts w:eastAsia="Times New Roman"/>
                <w:color w:val="auto"/>
              </w:rPr>
            </w:pPr>
            <w:r>
              <w:rPr>
                <w:rFonts w:hint="eastAsia" w:ascii="宋体" w:hAnsi="宋体" w:eastAsia="Times New Roman" w:cs="宋体"/>
                <w:color w:val="auto"/>
              </w:rPr>
              <w:t>出现时间</w:t>
            </w:r>
          </w:p>
        </w:tc>
        <w:tc>
          <w:tcPr>
            <w:tcW w:w="660" w:type="pct"/>
            <w:tcBorders>
              <w:top w:val="single" w:color="000000" w:sz="8" w:space="0"/>
              <w:left w:val="single" w:color="000000" w:sz="2" w:space="0"/>
              <w:bottom w:val="single" w:color="000000" w:sz="2" w:space="0"/>
              <w:right w:val="single" w:color="000000" w:sz="2" w:space="0"/>
            </w:tcBorders>
            <w:noWrap/>
            <w:vAlign w:val="center"/>
          </w:tcPr>
          <w:p w14:paraId="71F5E21B">
            <w:pPr>
              <w:pStyle w:val="129"/>
              <w:widowControl w:val="0"/>
              <w:rPr>
                <w:rFonts w:eastAsia="Times New Roman"/>
                <w:color w:val="auto"/>
              </w:rPr>
            </w:pPr>
            <w:r>
              <w:rPr>
                <w:rFonts w:hint="eastAsia" w:ascii="宋体" w:hAnsi="宋体" w:eastAsia="Times New Roman" w:cs="宋体"/>
                <w:color w:val="auto"/>
              </w:rPr>
              <w:t>占标率</w:t>
            </w:r>
            <w:r>
              <w:rPr>
                <w:rFonts w:eastAsia="Times New Roman"/>
                <w:color w:val="auto"/>
              </w:rPr>
              <w:t>/%</w:t>
            </w:r>
          </w:p>
        </w:tc>
        <w:tc>
          <w:tcPr>
            <w:tcW w:w="606" w:type="pct"/>
            <w:tcBorders>
              <w:top w:val="single" w:color="000000" w:sz="8" w:space="0"/>
              <w:left w:val="single" w:color="000000" w:sz="2" w:space="0"/>
              <w:bottom w:val="single" w:color="000000" w:sz="2" w:space="0"/>
              <w:right w:val="single" w:color="000000" w:sz="8" w:space="0"/>
            </w:tcBorders>
            <w:vAlign w:val="center"/>
          </w:tcPr>
          <w:p w14:paraId="00F02292">
            <w:pPr>
              <w:pStyle w:val="129"/>
              <w:widowControl w:val="0"/>
              <w:rPr>
                <w:rFonts w:eastAsia="Times New Roman"/>
                <w:color w:val="auto"/>
              </w:rPr>
            </w:pPr>
            <w:r>
              <w:rPr>
                <w:rFonts w:hint="eastAsia" w:ascii="宋体" w:hAnsi="宋体" w:eastAsia="Times New Roman" w:cs="宋体"/>
                <w:color w:val="auto"/>
              </w:rPr>
              <w:t>是否超标</w:t>
            </w:r>
          </w:p>
        </w:tc>
      </w:tr>
      <w:tr w14:paraId="69BC702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94" w:type="pct"/>
            <w:tcBorders>
              <w:top w:val="single" w:color="000000" w:sz="2" w:space="0"/>
              <w:left w:val="single" w:color="000000" w:sz="8" w:space="0"/>
              <w:bottom w:val="single" w:color="000000" w:sz="2" w:space="0"/>
              <w:right w:val="single" w:color="000000" w:sz="2" w:space="0"/>
            </w:tcBorders>
            <w:noWrap/>
            <w:vAlign w:val="center"/>
          </w:tcPr>
          <w:p w14:paraId="790B7521">
            <w:pPr>
              <w:pStyle w:val="129"/>
              <w:widowControl w:val="0"/>
              <w:rPr>
                <w:rFonts w:eastAsia="Times New Roman"/>
                <w:color w:val="auto"/>
              </w:rPr>
            </w:pPr>
            <w:r>
              <w:rPr>
                <w:rFonts w:eastAsia="Times New Roman"/>
                <w:color w:val="auto"/>
              </w:rPr>
              <w:t>NO</w:t>
            </w:r>
            <w:r>
              <w:rPr>
                <w:rFonts w:eastAsia="Times New Roman"/>
                <w:color w:val="auto"/>
                <w:vertAlign w:val="subscript"/>
              </w:rPr>
              <w:t>2</w:t>
            </w:r>
          </w:p>
        </w:tc>
        <w:tc>
          <w:tcPr>
            <w:tcW w:w="597" w:type="pct"/>
            <w:tcBorders>
              <w:top w:val="single" w:color="000000" w:sz="2" w:space="0"/>
              <w:left w:val="single" w:color="000000" w:sz="2" w:space="0"/>
              <w:bottom w:val="single" w:color="000000" w:sz="2" w:space="0"/>
              <w:right w:val="single" w:color="000000" w:sz="2" w:space="0"/>
            </w:tcBorders>
            <w:noWrap/>
            <w:vAlign w:val="center"/>
          </w:tcPr>
          <w:p w14:paraId="47995DB9">
            <w:pPr>
              <w:pStyle w:val="129"/>
              <w:widowControl w:val="0"/>
              <w:rPr>
                <w:rFonts w:eastAsia="Times New Roman"/>
                <w:color w:val="auto"/>
              </w:rPr>
            </w:pPr>
            <w:r>
              <w:rPr>
                <w:rFonts w:hint="eastAsia" w:ascii="宋体" w:hAnsi="宋体" w:eastAsia="Times New Roman" w:cs="宋体"/>
                <w:color w:val="auto"/>
              </w:rPr>
              <w:t>网格</w:t>
            </w:r>
          </w:p>
        </w:tc>
        <w:tc>
          <w:tcPr>
            <w:tcW w:w="591" w:type="pct"/>
            <w:tcBorders>
              <w:top w:val="single" w:color="000000" w:sz="2" w:space="0"/>
              <w:left w:val="single" w:color="000000" w:sz="2" w:space="0"/>
              <w:bottom w:val="single" w:color="000000" w:sz="2" w:space="0"/>
              <w:right w:val="single" w:color="000000" w:sz="2" w:space="0"/>
            </w:tcBorders>
            <w:noWrap/>
            <w:vAlign w:val="center"/>
          </w:tcPr>
          <w:p w14:paraId="61AD65A3">
            <w:pPr>
              <w:pStyle w:val="129"/>
              <w:widowControl w:val="0"/>
              <w:rPr>
                <w:rFonts w:eastAsia="Times New Roman"/>
                <w:color w:val="auto"/>
              </w:rPr>
            </w:pPr>
            <w:r>
              <w:rPr>
                <w:rFonts w:eastAsia="Times New Roman"/>
                <w:color w:val="auto"/>
              </w:rPr>
              <w:t>1</w:t>
            </w:r>
            <w:r>
              <w:rPr>
                <w:rFonts w:hint="eastAsia" w:ascii="宋体" w:hAnsi="宋体" w:eastAsia="Times New Roman" w:cs="宋体"/>
                <w:color w:val="auto"/>
              </w:rPr>
              <w:t>小时</w:t>
            </w:r>
          </w:p>
        </w:tc>
        <w:tc>
          <w:tcPr>
            <w:tcW w:w="1095" w:type="pct"/>
            <w:tcBorders>
              <w:top w:val="single" w:color="000000" w:sz="2" w:space="0"/>
              <w:left w:val="single" w:color="000000" w:sz="2" w:space="0"/>
              <w:bottom w:val="single" w:color="000000" w:sz="2" w:space="0"/>
              <w:right w:val="single" w:color="000000" w:sz="2" w:space="0"/>
            </w:tcBorders>
            <w:noWrap/>
            <w:vAlign w:val="center"/>
          </w:tcPr>
          <w:p w14:paraId="5420F97A">
            <w:pPr>
              <w:pStyle w:val="129"/>
              <w:widowControl w:val="0"/>
              <w:rPr>
                <w:rFonts w:eastAsia="Times New Roman"/>
                <w:color w:val="auto"/>
              </w:rPr>
            </w:pPr>
            <w:r>
              <w:rPr>
                <w:rFonts w:eastAsia="Times New Roman"/>
                <w:color w:val="auto"/>
              </w:rPr>
              <w:t>125.0325</w:t>
            </w:r>
          </w:p>
        </w:tc>
        <w:tc>
          <w:tcPr>
            <w:tcW w:w="657" w:type="pct"/>
            <w:tcBorders>
              <w:top w:val="single" w:color="000000" w:sz="2" w:space="0"/>
              <w:left w:val="single" w:color="000000" w:sz="2" w:space="0"/>
              <w:bottom w:val="single" w:color="000000" w:sz="2" w:space="0"/>
              <w:right w:val="single" w:color="000000" w:sz="2" w:space="0"/>
            </w:tcBorders>
            <w:noWrap/>
            <w:vAlign w:val="center"/>
          </w:tcPr>
          <w:p w14:paraId="100FA04E">
            <w:pPr>
              <w:pStyle w:val="129"/>
              <w:widowControl w:val="0"/>
              <w:rPr>
                <w:rFonts w:eastAsia="Times New Roman"/>
                <w:color w:val="auto"/>
              </w:rPr>
            </w:pPr>
            <w:r>
              <w:rPr>
                <w:rFonts w:eastAsia="Times New Roman"/>
                <w:color w:val="auto"/>
              </w:rPr>
              <w:t>24082016</w:t>
            </w:r>
          </w:p>
        </w:tc>
        <w:tc>
          <w:tcPr>
            <w:tcW w:w="660" w:type="pct"/>
            <w:tcBorders>
              <w:top w:val="single" w:color="000000" w:sz="2" w:space="0"/>
              <w:left w:val="single" w:color="000000" w:sz="2" w:space="0"/>
              <w:bottom w:val="single" w:color="000000" w:sz="2" w:space="0"/>
              <w:right w:val="single" w:color="000000" w:sz="2" w:space="0"/>
            </w:tcBorders>
            <w:noWrap/>
            <w:vAlign w:val="center"/>
          </w:tcPr>
          <w:p w14:paraId="428581CA">
            <w:pPr>
              <w:pStyle w:val="129"/>
              <w:widowControl w:val="0"/>
              <w:rPr>
                <w:rFonts w:eastAsia="Times New Roman"/>
                <w:color w:val="auto"/>
              </w:rPr>
            </w:pPr>
            <w:r>
              <w:rPr>
                <w:rFonts w:eastAsia="Times New Roman"/>
                <w:color w:val="auto"/>
              </w:rPr>
              <w:t>62.52</w:t>
            </w:r>
          </w:p>
        </w:tc>
        <w:tc>
          <w:tcPr>
            <w:tcW w:w="606" w:type="pct"/>
            <w:tcBorders>
              <w:top w:val="single" w:color="000000" w:sz="2" w:space="0"/>
              <w:left w:val="single" w:color="000000" w:sz="2" w:space="0"/>
              <w:bottom w:val="single" w:color="000000" w:sz="2" w:space="0"/>
              <w:right w:val="single" w:color="000000" w:sz="8" w:space="0"/>
            </w:tcBorders>
            <w:vAlign w:val="center"/>
          </w:tcPr>
          <w:p w14:paraId="16D0F7BB">
            <w:pPr>
              <w:pStyle w:val="129"/>
              <w:widowControl w:val="0"/>
              <w:rPr>
                <w:rFonts w:eastAsia="Times New Roman"/>
                <w:color w:val="auto"/>
              </w:rPr>
            </w:pPr>
            <w:r>
              <w:rPr>
                <w:rFonts w:hint="eastAsia" w:ascii="宋体" w:hAnsi="宋体" w:eastAsia="Times New Roman" w:cs="宋体"/>
                <w:color w:val="auto"/>
              </w:rPr>
              <w:t>达标</w:t>
            </w:r>
          </w:p>
        </w:tc>
      </w:tr>
      <w:tr w14:paraId="329A67F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94" w:type="pct"/>
            <w:tcBorders>
              <w:top w:val="single" w:color="000000" w:sz="2" w:space="0"/>
              <w:left w:val="single" w:color="000000" w:sz="8" w:space="0"/>
              <w:bottom w:val="single" w:color="000000" w:sz="2" w:space="0"/>
              <w:right w:val="single" w:color="000000" w:sz="2" w:space="0"/>
            </w:tcBorders>
            <w:noWrap/>
            <w:vAlign w:val="center"/>
          </w:tcPr>
          <w:p w14:paraId="7D26D92F">
            <w:pPr>
              <w:pStyle w:val="129"/>
              <w:widowControl w:val="0"/>
              <w:rPr>
                <w:rFonts w:eastAsia="Times New Roman"/>
                <w:color w:val="auto"/>
              </w:rPr>
            </w:pPr>
            <w:r>
              <w:rPr>
                <w:rFonts w:eastAsia="Times New Roman"/>
                <w:color w:val="auto"/>
              </w:rPr>
              <w:t>PM</w:t>
            </w:r>
            <w:r>
              <w:rPr>
                <w:rFonts w:eastAsia="Times New Roman"/>
                <w:color w:val="auto"/>
                <w:vertAlign w:val="subscript"/>
              </w:rPr>
              <w:t>10</w:t>
            </w:r>
          </w:p>
        </w:tc>
        <w:tc>
          <w:tcPr>
            <w:tcW w:w="597" w:type="pct"/>
            <w:tcBorders>
              <w:top w:val="single" w:color="000000" w:sz="2" w:space="0"/>
              <w:left w:val="single" w:color="000000" w:sz="2" w:space="0"/>
              <w:bottom w:val="single" w:color="000000" w:sz="2" w:space="0"/>
              <w:right w:val="single" w:color="000000" w:sz="2" w:space="0"/>
            </w:tcBorders>
            <w:noWrap/>
            <w:vAlign w:val="center"/>
          </w:tcPr>
          <w:p w14:paraId="5666E48C">
            <w:pPr>
              <w:pStyle w:val="129"/>
              <w:widowControl w:val="0"/>
              <w:rPr>
                <w:rFonts w:eastAsia="Times New Roman"/>
                <w:color w:val="auto"/>
              </w:rPr>
            </w:pPr>
            <w:r>
              <w:rPr>
                <w:rFonts w:hint="eastAsia" w:ascii="宋体" w:hAnsi="宋体" w:eastAsia="Times New Roman" w:cs="宋体"/>
                <w:color w:val="auto"/>
              </w:rPr>
              <w:t>网格</w:t>
            </w:r>
          </w:p>
        </w:tc>
        <w:tc>
          <w:tcPr>
            <w:tcW w:w="591" w:type="pct"/>
            <w:tcBorders>
              <w:top w:val="single" w:color="000000" w:sz="2" w:space="0"/>
              <w:left w:val="single" w:color="000000" w:sz="2" w:space="0"/>
              <w:bottom w:val="single" w:color="000000" w:sz="2" w:space="0"/>
              <w:right w:val="single" w:color="000000" w:sz="2" w:space="0"/>
            </w:tcBorders>
            <w:noWrap/>
            <w:vAlign w:val="center"/>
          </w:tcPr>
          <w:p w14:paraId="445AAE18">
            <w:pPr>
              <w:pStyle w:val="129"/>
              <w:widowControl w:val="0"/>
              <w:rPr>
                <w:rFonts w:eastAsia="Times New Roman"/>
                <w:color w:val="auto"/>
              </w:rPr>
            </w:pPr>
            <w:r>
              <w:rPr>
                <w:rFonts w:hint="eastAsia" w:ascii="宋体" w:hAnsi="宋体" w:eastAsia="Times New Roman" w:cs="宋体"/>
                <w:color w:val="auto"/>
              </w:rPr>
              <w:t>日平均</w:t>
            </w:r>
          </w:p>
        </w:tc>
        <w:tc>
          <w:tcPr>
            <w:tcW w:w="1095" w:type="pct"/>
            <w:tcBorders>
              <w:top w:val="single" w:color="000000" w:sz="2" w:space="0"/>
              <w:left w:val="single" w:color="000000" w:sz="2" w:space="0"/>
              <w:bottom w:val="single" w:color="000000" w:sz="2" w:space="0"/>
              <w:right w:val="single" w:color="000000" w:sz="2" w:space="0"/>
            </w:tcBorders>
            <w:noWrap/>
            <w:vAlign w:val="center"/>
          </w:tcPr>
          <w:p w14:paraId="65D5A363">
            <w:pPr>
              <w:pStyle w:val="129"/>
              <w:widowControl w:val="0"/>
              <w:rPr>
                <w:rFonts w:eastAsia="Times New Roman"/>
                <w:color w:val="auto"/>
              </w:rPr>
            </w:pPr>
            <w:r>
              <w:rPr>
                <w:rFonts w:eastAsia="Times New Roman"/>
                <w:color w:val="auto"/>
              </w:rPr>
              <w:t>2.91923</w:t>
            </w:r>
          </w:p>
        </w:tc>
        <w:tc>
          <w:tcPr>
            <w:tcW w:w="657" w:type="pct"/>
            <w:tcBorders>
              <w:top w:val="single" w:color="000000" w:sz="2" w:space="0"/>
              <w:left w:val="single" w:color="000000" w:sz="2" w:space="0"/>
              <w:bottom w:val="single" w:color="000000" w:sz="2" w:space="0"/>
              <w:right w:val="single" w:color="000000" w:sz="2" w:space="0"/>
            </w:tcBorders>
            <w:noWrap/>
            <w:vAlign w:val="center"/>
          </w:tcPr>
          <w:p w14:paraId="4FE9F08B">
            <w:pPr>
              <w:pStyle w:val="129"/>
              <w:widowControl w:val="0"/>
              <w:rPr>
                <w:rFonts w:eastAsia="Times New Roman"/>
                <w:color w:val="auto"/>
              </w:rPr>
            </w:pPr>
            <w:r>
              <w:rPr>
                <w:rFonts w:eastAsia="Times New Roman"/>
                <w:color w:val="auto"/>
              </w:rPr>
              <w:t>240521</w:t>
            </w:r>
          </w:p>
        </w:tc>
        <w:tc>
          <w:tcPr>
            <w:tcW w:w="660" w:type="pct"/>
            <w:tcBorders>
              <w:top w:val="single" w:color="000000" w:sz="2" w:space="0"/>
              <w:left w:val="single" w:color="000000" w:sz="2" w:space="0"/>
              <w:bottom w:val="single" w:color="000000" w:sz="2" w:space="0"/>
              <w:right w:val="single" w:color="000000" w:sz="2" w:space="0"/>
            </w:tcBorders>
            <w:noWrap/>
            <w:vAlign w:val="center"/>
          </w:tcPr>
          <w:p w14:paraId="5CBDEDB2">
            <w:pPr>
              <w:pStyle w:val="129"/>
              <w:widowControl w:val="0"/>
              <w:rPr>
                <w:rFonts w:eastAsia="Times New Roman"/>
                <w:color w:val="auto"/>
              </w:rPr>
            </w:pPr>
            <w:r>
              <w:rPr>
                <w:rFonts w:eastAsia="Times New Roman"/>
                <w:color w:val="auto"/>
              </w:rPr>
              <w:t>2.43</w:t>
            </w:r>
          </w:p>
        </w:tc>
        <w:tc>
          <w:tcPr>
            <w:tcW w:w="606" w:type="pct"/>
            <w:tcBorders>
              <w:top w:val="single" w:color="000000" w:sz="2" w:space="0"/>
              <w:left w:val="single" w:color="000000" w:sz="2" w:space="0"/>
              <w:bottom w:val="single" w:color="000000" w:sz="2" w:space="0"/>
              <w:right w:val="single" w:color="000000" w:sz="8" w:space="0"/>
            </w:tcBorders>
            <w:vAlign w:val="center"/>
          </w:tcPr>
          <w:p w14:paraId="7D54A066">
            <w:pPr>
              <w:pStyle w:val="129"/>
              <w:widowControl w:val="0"/>
              <w:rPr>
                <w:rFonts w:eastAsia="Times New Roman"/>
                <w:color w:val="auto"/>
              </w:rPr>
            </w:pPr>
            <w:r>
              <w:rPr>
                <w:rFonts w:hint="eastAsia" w:ascii="宋体" w:hAnsi="宋体" w:eastAsia="Times New Roman" w:cs="宋体"/>
                <w:color w:val="auto"/>
              </w:rPr>
              <w:t>达标</w:t>
            </w:r>
          </w:p>
        </w:tc>
      </w:tr>
      <w:tr w14:paraId="17DCBE3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94" w:type="pct"/>
            <w:tcBorders>
              <w:top w:val="single" w:color="000000" w:sz="2" w:space="0"/>
              <w:left w:val="single" w:color="000000" w:sz="8" w:space="0"/>
              <w:bottom w:val="single" w:color="000000" w:sz="2" w:space="0"/>
              <w:right w:val="single" w:color="000000" w:sz="2" w:space="0"/>
            </w:tcBorders>
            <w:noWrap/>
            <w:vAlign w:val="center"/>
          </w:tcPr>
          <w:p w14:paraId="6893FCFF">
            <w:pPr>
              <w:pStyle w:val="129"/>
              <w:widowControl w:val="0"/>
              <w:rPr>
                <w:rFonts w:eastAsia="Times New Roman"/>
                <w:color w:val="auto"/>
              </w:rPr>
            </w:pPr>
            <w:r>
              <w:rPr>
                <w:rFonts w:eastAsia="Times New Roman"/>
                <w:color w:val="auto"/>
              </w:rPr>
              <w:t>PM</w:t>
            </w:r>
            <w:r>
              <w:rPr>
                <w:rFonts w:eastAsia="Times New Roman"/>
                <w:color w:val="auto"/>
                <w:vertAlign w:val="subscript"/>
              </w:rPr>
              <w:t>2.5</w:t>
            </w:r>
          </w:p>
        </w:tc>
        <w:tc>
          <w:tcPr>
            <w:tcW w:w="597" w:type="pct"/>
            <w:tcBorders>
              <w:top w:val="single" w:color="000000" w:sz="2" w:space="0"/>
              <w:left w:val="single" w:color="000000" w:sz="2" w:space="0"/>
              <w:bottom w:val="single" w:color="000000" w:sz="2" w:space="0"/>
              <w:right w:val="single" w:color="000000" w:sz="2" w:space="0"/>
            </w:tcBorders>
            <w:noWrap/>
            <w:vAlign w:val="center"/>
          </w:tcPr>
          <w:p w14:paraId="105DA34C">
            <w:pPr>
              <w:pStyle w:val="129"/>
              <w:widowControl w:val="0"/>
              <w:rPr>
                <w:rFonts w:eastAsia="Times New Roman"/>
                <w:color w:val="auto"/>
              </w:rPr>
            </w:pPr>
            <w:r>
              <w:rPr>
                <w:rFonts w:hint="eastAsia" w:ascii="宋体" w:hAnsi="宋体" w:eastAsia="Times New Roman" w:cs="宋体"/>
                <w:color w:val="auto"/>
              </w:rPr>
              <w:t>网格</w:t>
            </w:r>
          </w:p>
        </w:tc>
        <w:tc>
          <w:tcPr>
            <w:tcW w:w="591" w:type="pct"/>
            <w:tcBorders>
              <w:top w:val="single" w:color="000000" w:sz="2" w:space="0"/>
              <w:left w:val="single" w:color="000000" w:sz="2" w:space="0"/>
              <w:bottom w:val="single" w:color="000000" w:sz="2" w:space="0"/>
              <w:right w:val="single" w:color="000000" w:sz="2" w:space="0"/>
            </w:tcBorders>
            <w:noWrap/>
            <w:vAlign w:val="center"/>
          </w:tcPr>
          <w:p w14:paraId="734E5A38">
            <w:pPr>
              <w:pStyle w:val="129"/>
              <w:widowControl w:val="0"/>
              <w:rPr>
                <w:rFonts w:eastAsia="Times New Roman"/>
                <w:color w:val="auto"/>
              </w:rPr>
            </w:pPr>
            <w:r>
              <w:rPr>
                <w:rFonts w:hint="eastAsia" w:ascii="宋体" w:hAnsi="宋体" w:eastAsia="Times New Roman" w:cs="宋体"/>
                <w:color w:val="auto"/>
              </w:rPr>
              <w:t>日平均</w:t>
            </w:r>
          </w:p>
        </w:tc>
        <w:tc>
          <w:tcPr>
            <w:tcW w:w="1095" w:type="pct"/>
            <w:tcBorders>
              <w:top w:val="single" w:color="000000" w:sz="2" w:space="0"/>
              <w:left w:val="single" w:color="000000" w:sz="2" w:space="0"/>
              <w:bottom w:val="single" w:color="000000" w:sz="2" w:space="0"/>
              <w:right w:val="single" w:color="000000" w:sz="2" w:space="0"/>
            </w:tcBorders>
            <w:noWrap/>
            <w:vAlign w:val="center"/>
          </w:tcPr>
          <w:p w14:paraId="1FE81EB7">
            <w:pPr>
              <w:pStyle w:val="129"/>
              <w:widowControl w:val="0"/>
              <w:rPr>
                <w:rFonts w:eastAsia="Times New Roman"/>
                <w:color w:val="auto"/>
              </w:rPr>
            </w:pPr>
            <w:r>
              <w:rPr>
                <w:rFonts w:eastAsia="Times New Roman"/>
                <w:color w:val="auto"/>
              </w:rPr>
              <w:t>1.45961</w:t>
            </w:r>
          </w:p>
        </w:tc>
        <w:tc>
          <w:tcPr>
            <w:tcW w:w="657" w:type="pct"/>
            <w:tcBorders>
              <w:top w:val="single" w:color="000000" w:sz="2" w:space="0"/>
              <w:left w:val="single" w:color="000000" w:sz="2" w:space="0"/>
              <w:bottom w:val="single" w:color="000000" w:sz="2" w:space="0"/>
              <w:right w:val="single" w:color="000000" w:sz="2" w:space="0"/>
            </w:tcBorders>
            <w:noWrap/>
            <w:vAlign w:val="center"/>
          </w:tcPr>
          <w:p w14:paraId="26EF1C70">
            <w:pPr>
              <w:pStyle w:val="129"/>
              <w:widowControl w:val="0"/>
              <w:rPr>
                <w:rFonts w:eastAsia="Times New Roman"/>
                <w:color w:val="auto"/>
              </w:rPr>
            </w:pPr>
            <w:r>
              <w:rPr>
                <w:rFonts w:eastAsia="Times New Roman"/>
                <w:color w:val="auto"/>
              </w:rPr>
              <w:t>240521</w:t>
            </w:r>
          </w:p>
        </w:tc>
        <w:tc>
          <w:tcPr>
            <w:tcW w:w="660" w:type="pct"/>
            <w:tcBorders>
              <w:top w:val="single" w:color="000000" w:sz="2" w:space="0"/>
              <w:left w:val="single" w:color="000000" w:sz="2" w:space="0"/>
              <w:bottom w:val="single" w:color="000000" w:sz="2" w:space="0"/>
              <w:right w:val="single" w:color="000000" w:sz="2" w:space="0"/>
            </w:tcBorders>
            <w:noWrap/>
            <w:vAlign w:val="center"/>
          </w:tcPr>
          <w:p w14:paraId="3E22B2E1">
            <w:pPr>
              <w:pStyle w:val="129"/>
              <w:widowControl w:val="0"/>
              <w:rPr>
                <w:rFonts w:eastAsia="Times New Roman"/>
                <w:color w:val="auto"/>
              </w:rPr>
            </w:pPr>
            <w:r>
              <w:rPr>
                <w:rFonts w:eastAsia="Times New Roman"/>
                <w:color w:val="auto"/>
              </w:rPr>
              <w:t>2.43</w:t>
            </w:r>
          </w:p>
        </w:tc>
        <w:tc>
          <w:tcPr>
            <w:tcW w:w="606" w:type="pct"/>
            <w:tcBorders>
              <w:top w:val="single" w:color="000000" w:sz="2" w:space="0"/>
              <w:left w:val="single" w:color="000000" w:sz="2" w:space="0"/>
              <w:bottom w:val="single" w:color="000000" w:sz="2" w:space="0"/>
              <w:right w:val="single" w:color="000000" w:sz="8" w:space="0"/>
            </w:tcBorders>
            <w:vAlign w:val="center"/>
          </w:tcPr>
          <w:p w14:paraId="5435326F">
            <w:pPr>
              <w:pStyle w:val="129"/>
              <w:widowControl w:val="0"/>
              <w:rPr>
                <w:rFonts w:eastAsia="Times New Roman"/>
                <w:color w:val="auto"/>
              </w:rPr>
            </w:pPr>
            <w:r>
              <w:rPr>
                <w:rFonts w:hint="eastAsia" w:ascii="宋体" w:hAnsi="宋体" w:eastAsia="Times New Roman" w:cs="宋体"/>
                <w:color w:val="auto"/>
              </w:rPr>
              <w:t>达标</w:t>
            </w:r>
          </w:p>
        </w:tc>
      </w:tr>
      <w:tr w14:paraId="715F43D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94" w:type="pct"/>
            <w:tcBorders>
              <w:top w:val="single" w:color="000000" w:sz="2" w:space="0"/>
              <w:left w:val="single" w:color="000000" w:sz="8" w:space="0"/>
              <w:bottom w:val="single" w:color="000000" w:sz="2" w:space="0"/>
              <w:right w:val="single" w:color="000000" w:sz="2" w:space="0"/>
            </w:tcBorders>
            <w:noWrap/>
            <w:vAlign w:val="center"/>
          </w:tcPr>
          <w:p w14:paraId="0A7A216B">
            <w:pPr>
              <w:pStyle w:val="129"/>
              <w:widowControl w:val="0"/>
              <w:rPr>
                <w:rFonts w:eastAsia="Times New Roman"/>
                <w:color w:val="auto"/>
              </w:rPr>
            </w:pPr>
            <w:r>
              <w:rPr>
                <w:rFonts w:hint="eastAsia" w:eastAsia="Times New Roman"/>
                <w:color w:val="auto"/>
              </w:rPr>
              <w:t>NH</w:t>
            </w:r>
            <w:r>
              <w:rPr>
                <w:rFonts w:hint="eastAsia" w:eastAsia="Times New Roman"/>
                <w:color w:val="auto"/>
                <w:vertAlign w:val="subscript"/>
              </w:rPr>
              <w:t>3</w:t>
            </w:r>
          </w:p>
        </w:tc>
        <w:tc>
          <w:tcPr>
            <w:tcW w:w="597" w:type="pct"/>
            <w:tcBorders>
              <w:top w:val="single" w:color="000000" w:sz="2" w:space="0"/>
              <w:left w:val="single" w:color="000000" w:sz="2" w:space="0"/>
              <w:bottom w:val="single" w:color="000000" w:sz="2" w:space="0"/>
              <w:right w:val="single" w:color="000000" w:sz="2" w:space="0"/>
            </w:tcBorders>
            <w:noWrap/>
            <w:vAlign w:val="center"/>
          </w:tcPr>
          <w:p w14:paraId="0A60CCC2">
            <w:pPr>
              <w:pStyle w:val="129"/>
              <w:widowControl w:val="0"/>
              <w:rPr>
                <w:rFonts w:eastAsia="Times New Roman"/>
                <w:color w:val="auto"/>
              </w:rPr>
            </w:pPr>
            <w:r>
              <w:rPr>
                <w:rFonts w:hint="eastAsia" w:ascii="宋体" w:hAnsi="宋体" w:eastAsia="Times New Roman" w:cs="宋体"/>
                <w:color w:val="auto"/>
              </w:rPr>
              <w:t>网格</w:t>
            </w:r>
          </w:p>
        </w:tc>
        <w:tc>
          <w:tcPr>
            <w:tcW w:w="591" w:type="pct"/>
            <w:tcBorders>
              <w:top w:val="single" w:color="000000" w:sz="2" w:space="0"/>
              <w:left w:val="single" w:color="000000" w:sz="2" w:space="0"/>
              <w:bottom w:val="single" w:color="000000" w:sz="2" w:space="0"/>
              <w:right w:val="single" w:color="000000" w:sz="2" w:space="0"/>
            </w:tcBorders>
            <w:noWrap/>
            <w:vAlign w:val="center"/>
          </w:tcPr>
          <w:p w14:paraId="3E9BDB82">
            <w:pPr>
              <w:pStyle w:val="129"/>
              <w:widowControl w:val="0"/>
              <w:rPr>
                <w:rFonts w:eastAsia="Times New Roman"/>
                <w:color w:val="auto"/>
              </w:rPr>
            </w:pPr>
            <w:r>
              <w:rPr>
                <w:rFonts w:eastAsia="Times New Roman"/>
                <w:color w:val="auto"/>
              </w:rPr>
              <w:t>1</w:t>
            </w:r>
            <w:r>
              <w:rPr>
                <w:rFonts w:hint="eastAsia" w:ascii="宋体" w:hAnsi="宋体" w:eastAsia="Times New Roman" w:cs="宋体"/>
                <w:color w:val="auto"/>
              </w:rPr>
              <w:t>小时</w:t>
            </w:r>
          </w:p>
        </w:tc>
        <w:tc>
          <w:tcPr>
            <w:tcW w:w="1095" w:type="pct"/>
            <w:tcBorders>
              <w:top w:val="single" w:color="000000" w:sz="2" w:space="0"/>
              <w:left w:val="single" w:color="000000" w:sz="2" w:space="0"/>
              <w:bottom w:val="single" w:color="000000" w:sz="2" w:space="0"/>
              <w:right w:val="single" w:color="000000" w:sz="2" w:space="0"/>
            </w:tcBorders>
            <w:noWrap/>
            <w:vAlign w:val="center"/>
          </w:tcPr>
          <w:p w14:paraId="7C40EA6E">
            <w:pPr>
              <w:pStyle w:val="129"/>
              <w:widowControl w:val="0"/>
              <w:rPr>
                <w:rFonts w:eastAsia="Times New Roman"/>
                <w:color w:val="auto"/>
              </w:rPr>
            </w:pPr>
            <w:r>
              <w:rPr>
                <w:rFonts w:eastAsia="Times New Roman"/>
                <w:color w:val="auto"/>
              </w:rPr>
              <w:t>16.88423</w:t>
            </w:r>
          </w:p>
        </w:tc>
        <w:tc>
          <w:tcPr>
            <w:tcW w:w="657" w:type="pct"/>
            <w:tcBorders>
              <w:top w:val="single" w:color="000000" w:sz="2" w:space="0"/>
              <w:left w:val="single" w:color="000000" w:sz="2" w:space="0"/>
              <w:bottom w:val="single" w:color="000000" w:sz="2" w:space="0"/>
              <w:right w:val="single" w:color="000000" w:sz="2" w:space="0"/>
            </w:tcBorders>
            <w:noWrap/>
            <w:vAlign w:val="center"/>
          </w:tcPr>
          <w:p w14:paraId="616E86DA">
            <w:pPr>
              <w:pStyle w:val="129"/>
              <w:widowControl w:val="0"/>
              <w:rPr>
                <w:rFonts w:eastAsia="Times New Roman"/>
                <w:color w:val="auto"/>
              </w:rPr>
            </w:pPr>
            <w:r>
              <w:rPr>
                <w:rFonts w:eastAsia="Times New Roman"/>
                <w:color w:val="auto"/>
              </w:rPr>
              <w:t>24100608</w:t>
            </w:r>
          </w:p>
        </w:tc>
        <w:tc>
          <w:tcPr>
            <w:tcW w:w="660" w:type="pct"/>
            <w:tcBorders>
              <w:top w:val="single" w:color="000000" w:sz="2" w:space="0"/>
              <w:left w:val="single" w:color="000000" w:sz="2" w:space="0"/>
              <w:bottom w:val="single" w:color="000000" w:sz="2" w:space="0"/>
              <w:right w:val="single" w:color="000000" w:sz="2" w:space="0"/>
            </w:tcBorders>
            <w:noWrap/>
            <w:vAlign w:val="center"/>
          </w:tcPr>
          <w:p w14:paraId="68385400">
            <w:pPr>
              <w:pStyle w:val="129"/>
              <w:widowControl w:val="0"/>
              <w:rPr>
                <w:rFonts w:eastAsia="Times New Roman"/>
                <w:color w:val="auto"/>
              </w:rPr>
            </w:pPr>
            <w:r>
              <w:rPr>
                <w:rFonts w:eastAsia="Times New Roman"/>
                <w:color w:val="auto"/>
              </w:rPr>
              <w:t>8.44</w:t>
            </w:r>
          </w:p>
        </w:tc>
        <w:tc>
          <w:tcPr>
            <w:tcW w:w="606" w:type="pct"/>
            <w:tcBorders>
              <w:top w:val="single" w:color="000000" w:sz="2" w:space="0"/>
              <w:left w:val="single" w:color="000000" w:sz="2" w:space="0"/>
              <w:bottom w:val="single" w:color="000000" w:sz="2" w:space="0"/>
              <w:right w:val="single" w:color="000000" w:sz="8" w:space="0"/>
            </w:tcBorders>
            <w:vAlign w:val="center"/>
          </w:tcPr>
          <w:p w14:paraId="53FB7909">
            <w:pPr>
              <w:pStyle w:val="129"/>
              <w:widowControl w:val="0"/>
              <w:rPr>
                <w:rFonts w:eastAsia="Times New Roman"/>
                <w:color w:val="auto"/>
              </w:rPr>
            </w:pPr>
            <w:r>
              <w:rPr>
                <w:rFonts w:hint="eastAsia" w:ascii="宋体" w:hAnsi="宋体" w:eastAsia="Times New Roman" w:cs="宋体"/>
                <w:color w:val="auto"/>
              </w:rPr>
              <w:t>达标</w:t>
            </w:r>
          </w:p>
        </w:tc>
      </w:tr>
      <w:tr w14:paraId="5FC1D98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94" w:type="pct"/>
            <w:tcBorders>
              <w:top w:val="single" w:color="000000" w:sz="2" w:space="0"/>
              <w:left w:val="single" w:color="000000" w:sz="8" w:space="0"/>
              <w:bottom w:val="single" w:color="000000" w:sz="2" w:space="0"/>
              <w:right w:val="single" w:color="000000" w:sz="2" w:space="0"/>
            </w:tcBorders>
            <w:noWrap/>
            <w:vAlign w:val="center"/>
          </w:tcPr>
          <w:p w14:paraId="6EBA1BFE">
            <w:pPr>
              <w:pStyle w:val="129"/>
              <w:widowControl w:val="0"/>
              <w:rPr>
                <w:rFonts w:eastAsia="Times New Roman"/>
                <w:color w:val="auto"/>
              </w:rPr>
            </w:pPr>
            <w:r>
              <w:rPr>
                <w:rFonts w:hint="eastAsia" w:eastAsia="Times New Roman" w:cs="宋体"/>
                <w:color w:val="auto"/>
              </w:rPr>
              <w:t>镍及其化合物</w:t>
            </w:r>
          </w:p>
        </w:tc>
        <w:tc>
          <w:tcPr>
            <w:tcW w:w="597" w:type="pct"/>
            <w:tcBorders>
              <w:top w:val="single" w:color="000000" w:sz="2" w:space="0"/>
              <w:left w:val="single" w:color="000000" w:sz="2" w:space="0"/>
              <w:bottom w:val="single" w:color="000000" w:sz="2" w:space="0"/>
              <w:right w:val="single" w:color="000000" w:sz="2" w:space="0"/>
            </w:tcBorders>
            <w:noWrap/>
            <w:vAlign w:val="center"/>
          </w:tcPr>
          <w:p w14:paraId="74D0C267">
            <w:pPr>
              <w:pStyle w:val="129"/>
              <w:widowControl w:val="0"/>
              <w:rPr>
                <w:rFonts w:eastAsia="Times New Roman"/>
                <w:color w:val="auto"/>
              </w:rPr>
            </w:pPr>
            <w:r>
              <w:rPr>
                <w:rFonts w:hint="eastAsia" w:ascii="宋体" w:hAnsi="宋体" w:eastAsia="Times New Roman" w:cs="宋体"/>
                <w:color w:val="auto"/>
              </w:rPr>
              <w:t>网格</w:t>
            </w:r>
          </w:p>
        </w:tc>
        <w:tc>
          <w:tcPr>
            <w:tcW w:w="591" w:type="pct"/>
            <w:tcBorders>
              <w:top w:val="single" w:color="000000" w:sz="2" w:space="0"/>
              <w:left w:val="single" w:color="000000" w:sz="2" w:space="0"/>
              <w:bottom w:val="single" w:color="000000" w:sz="2" w:space="0"/>
              <w:right w:val="single" w:color="000000" w:sz="2" w:space="0"/>
            </w:tcBorders>
            <w:noWrap/>
            <w:vAlign w:val="center"/>
          </w:tcPr>
          <w:p w14:paraId="07BECF40">
            <w:pPr>
              <w:pStyle w:val="129"/>
              <w:widowControl w:val="0"/>
              <w:rPr>
                <w:rFonts w:eastAsia="Times New Roman"/>
                <w:color w:val="auto"/>
              </w:rPr>
            </w:pPr>
            <w:r>
              <w:rPr>
                <w:rFonts w:eastAsia="Times New Roman"/>
                <w:color w:val="auto"/>
              </w:rPr>
              <w:t>1</w:t>
            </w:r>
            <w:r>
              <w:rPr>
                <w:rFonts w:hint="eastAsia" w:ascii="宋体" w:hAnsi="宋体" w:eastAsia="Times New Roman" w:cs="宋体"/>
                <w:color w:val="auto"/>
              </w:rPr>
              <w:t>小时</w:t>
            </w:r>
          </w:p>
        </w:tc>
        <w:tc>
          <w:tcPr>
            <w:tcW w:w="1095" w:type="pct"/>
            <w:tcBorders>
              <w:top w:val="single" w:color="000000" w:sz="2" w:space="0"/>
              <w:left w:val="single" w:color="000000" w:sz="2" w:space="0"/>
              <w:bottom w:val="single" w:color="000000" w:sz="2" w:space="0"/>
              <w:right w:val="single" w:color="000000" w:sz="2" w:space="0"/>
            </w:tcBorders>
            <w:noWrap/>
            <w:vAlign w:val="center"/>
          </w:tcPr>
          <w:p w14:paraId="3E217808">
            <w:pPr>
              <w:pStyle w:val="129"/>
              <w:widowControl w:val="0"/>
              <w:rPr>
                <w:rFonts w:eastAsia="Times New Roman"/>
                <w:color w:val="auto"/>
              </w:rPr>
            </w:pPr>
            <w:r>
              <w:rPr>
                <w:rFonts w:eastAsia="Times New Roman"/>
                <w:color w:val="auto"/>
              </w:rPr>
              <w:t>0.01063</w:t>
            </w:r>
          </w:p>
        </w:tc>
        <w:tc>
          <w:tcPr>
            <w:tcW w:w="657" w:type="pct"/>
            <w:tcBorders>
              <w:top w:val="single" w:color="000000" w:sz="2" w:space="0"/>
              <w:left w:val="single" w:color="000000" w:sz="2" w:space="0"/>
              <w:bottom w:val="single" w:color="000000" w:sz="2" w:space="0"/>
              <w:right w:val="single" w:color="000000" w:sz="2" w:space="0"/>
            </w:tcBorders>
            <w:noWrap/>
            <w:vAlign w:val="center"/>
          </w:tcPr>
          <w:p w14:paraId="2506A413">
            <w:pPr>
              <w:pStyle w:val="129"/>
              <w:widowControl w:val="0"/>
              <w:rPr>
                <w:rFonts w:eastAsia="Times New Roman"/>
                <w:color w:val="auto"/>
              </w:rPr>
            </w:pPr>
            <w:r>
              <w:rPr>
                <w:rFonts w:eastAsia="Times New Roman"/>
                <w:color w:val="auto"/>
              </w:rPr>
              <w:t>24082016</w:t>
            </w:r>
          </w:p>
        </w:tc>
        <w:tc>
          <w:tcPr>
            <w:tcW w:w="660" w:type="pct"/>
            <w:tcBorders>
              <w:top w:val="single" w:color="000000" w:sz="2" w:space="0"/>
              <w:left w:val="single" w:color="000000" w:sz="2" w:space="0"/>
              <w:bottom w:val="single" w:color="000000" w:sz="2" w:space="0"/>
              <w:right w:val="single" w:color="000000" w:sz="2" w:space="0"/>
            </w:tcBorders>
            <w:noWrap/>
            <w:vAlign w:val="center"/>
          </w:tcPr>
          <w:p w14:paraId="0AD1263A">
            <w:pPr>
              <w:pStyle w:val="129"/>
              <w:widowControl w:val="0"/>
              <w:rPr>
                <w:rFonts w:eastAsia="Times New Roman"/>
                <w:color w:val="auto"/>
              </w:rPr>
            </w:pPr>
            <w:r>
              <w:rPr>
                <w:rFonts w:eastAsia="Times New Roman"/>
                <w:color w:val="auto"/>
              </w:rPr>
              <w:t>0.04</w:t>
            </w:r>
          </w:p>
        </w:tc>
        <w:tc>
          <w:tcPr>
            <w:tcW w:w="606" w:type="pct"/>
            <w:tcBorders>
              <w:top w:val="single" w:color="000000" w:sz="2" w:space="0"/>
              <w:left w:val="single" w:color="000000" w:sz="2" w:space="0"/>
              <w:bottom w:val="single" w:color="000000" w:sz="2" w:space="0"/>
              <w:right w:val="single" w:color="000000" w:sz="8" w:space="0"/>
            </w:tcBorders>
            <w:vAlign w:val="center"/>
          </w:tcPr>
          <w:p w14:paraId="14B430D3">
            <w:pPr>
              <w:pStyle w:val="129"/>
              <w:widowControl w:val="0"/>
              <w:rPr>
                <w:rFonts w:eastAsia="Times New Roman"/>
                <w:color w:val="auto"/>
              </w:rPr>
            </w:pPr>
            <w:r>
              <w:rPr>
                <w:rFonts w:hint="eastAsia" w:ascii="宋体" w:hAnsi="宋体" w:eastAsia="Times New Roman" w:cs="宋体"/>
                <w:color w:val="auto"/>
              </w:rPr>
              <w:t>达标</w:t>
            </w:r>
          </w:p>
        </w:tc>
      </w:tr>
      <w:tr w14:paraId="5062C41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66" w:hRule="atLeast"/>
        </w:trPr>
        <w:tc>
          <w:tcPr>
            <w:tcW w:w="794" w:type="pct"/>
            <w:tcBorders>
              <w:top w:val="single" w:color="000000" w:sz="2" w:space="0"/>
              <w:left w:val="single" w:color="000000" w:sz="8" w:space="0"/>
              <w:bottom w:val="single" w:color="000000" w:sz="8" w:space="0"/>
              <w:right w:val="single" w:color="000000" w:sz="2" w:space="0"/>
            </w:tcBorders>
            <w:noWrap/>
            <w:vAlign w:val="center"/>
          </w:tcPr>
          <w:p w14:paraId="2AC21550">
            <w:pPr>
              <w:pStyle w:val="129"/>
              <w:widowControl w:val="0"/>
              <w:rPr>
                <w:rFonts w:eastAsia="Times New Roman"/>
                <w:color w:val="auto"/>
              </w:rPr>
            </w:pPr>
            <w:r>
              <w:rPr>
                <w:rFonts w:hint="eastAsia" w:eastAsia="Times New Roman" w:cs="宋体"/>
                <w:color w:val="auto"/>
              </w:rPr>
              <w:t>锰及其化合物</w:t>
            </w:r>
          </w:p>
        </w:tc>
        <w:tc>
          <w:tcPr>
            <w:tcW w:w="597" w:type="pct"/>
            <w:tcBorders>
              <w:top w:val="single" w:color="000000" w:sz="2" w:space="0"/>
              <w:left w:val="single" w:color="000000" w:sz="2" w:space="0"/>
              <w:bottom w:val="single" w:color="000000" w:sz="8" w:space="0"/>
              <w:right w:val="single" w:color="000000" w:sz="2" w:space="0"/>
            </w:tcBorders>
            <w:noWrap/>
            <w:vAlign w:val="center"/>
          </w:tcPr>
          <w:p w14:paraId="72B863AB">
            <w:pPr>
              <w:pStyle w:val="129"/>
              <w:widowControl w:val="0"/>
              <w:rPr>
                <w:rFonts w:eastAsia="Times New Roman"/>
                <w:color w:val="auto"/>
              </w:rPr>
            </w:pPr>
            <w:r>
              <w:rPr>
                <w:rFonts w:hint="eastAsia" w:ascii="宋体" w:hAnsi="宋体" w:eastAsia="Times New Roman" w:cs="宋体"/>
                <w:color w:val="auto"/>
              </w:rPr>
              <w:t>网格</w:t>
            </w:r>
          </w:p>
        </w:tc>
        <w:tc>
          <w:tcPr>
            <w:tcW w:w="591" w:type="pct"/>
            <w:tcBorders>
              <w:top w:val="single" w:color="000000" w:sz="2" w:space="0"/>
              <w:left w:val="single" w:color="000000" w:sz="2" w:space="0"/>
              <w:bottom w:val="single" w:color="000000" w:sz="8" w:space="0"/>
              <w:right w:val="single" w:color="000000" w:sz="2" w:space="0"/>
            </w:tcBorders>
            <w:noWrap/>
            <w:vAlign w:val="center"/>
          </w:tcPr>
          <w:p w14:paraId="26D48D82">
            <w:pPr>
              <w:pStyle w:val="129"/>
              <w:widowControl w:val="0"/>
              <w:rPr>
                <w:rFonts w:eastAsia="Times New Roman"/>
                <w:color w:val="auto"/>
              </w:rPr>
            </w:pPr>
            <w:r>
              <w:rPr>
                <w:rFonts w:hint="eastAsia" w:ascii="宋体" w:hAnsi="宋体" w:eastAsia="Times New Roman" w:cs="宋体"/>
                <w:color w:val="auto"/>
              </w:rPr>
              <w:t>日平均</w:t>
            </w:r>
          </w:p>
        </w:tc>
        <w:tc>
          <w:tcPr>
            <w:tcW w:w="1095" w:type="pct"/>
            <w:tcBorders>
              <w:top w:val="single" w:color="000000" w:sz="2" w:space="0"/>
              <w:left w:val="single" w:color="000000" w:sz="2" w:space="0"/>
              <w:bottom w:val="single" w:color="000000" w:sz="8" w:space="0"/>
              <w:right w:val="single" w:color="000000" w:sz="2" w:space="0"/>
            </w:tcBorders>
            <w:noWrap/>
            <w:vAlign w:val="center"/>
          </w:tcPr>
          <w:p w14:paraId="43458DC4">
            <w:pPr>
              <w:pStyle w:val="129"/>
              <w:widowControl w:val="0"/>
              <w:rPr>
                <w:rFonts w:eastAsia="Times New Roman"/>
                <w:color w:val="auto"/>
              </w:rPr>
            </w:pPr>
            <w:r>
              <w:rPr>
                <w:rFonts w:eastAsia="Times New Roman"/>
                <w:color w:val="auto"/>
              </w:rPr>
              <w:t>0.00228</w:t>
            </w:r>
          </w:p>
        </w:tc>
        <w:tc>
          <w:tcPr>
            <w:tcW w:w="657" w:type="pct"/>
            <w:tcBorders>
              <w:top w:val="single" w:color="000000" w:sz="2" w:space="0"/>
              <w:left w:val="single" w:color="000000" w:sz="2" w:space="0"/>
              <w:bottom w:val="single" w:color="000000" w:sz="8" w:space="0"/>
              <w:right w:val="single" w:color="000000" w:sz="2" w:space="0"/>
            </w:tcBorders>
            <w:noWrap/>
            <w:vAlign w:val="center"/>
          </w:tcPr>
          <w:p w14:paraId="5E5C745D">
            <w:pPr>
              <w:pStyle w:val="129"/>
              <w:widowControl w:val="0"/>
              <w:rPr>
                <w:rFonts w:eastAsia="Times New Roman"/>
                <w:color w:val="auto"/>
              </w:rPr>
            </w:pPr>
            <w:r>
              <w:rPr>
                <w:rFonts w:eastAsia="Times New Roman"/>
                <w:color w:val="auto"/>
              </w:rPr>
              <w:t>240716</w:t>
            </w:r>
          </w:p>
        </w:tc>
        <w:tc>
          <w:tcPr>
            <w:tcW w:w="660" w:type="pct"/>
            <w:tcBorders>
              <w:top w:val="single" w:color="000000" w:sz="2" w:space="0"/>
              <w:left w:val="single" w:color="000000" w:sz="2" w:space="0"/>
              <w:bottom w:val="single" w:color="000000" w:sz="8" w:space="0"/>
              <w:right w:val="single" w:color="000000" w:sz="2" w:space="0"/>
            </w:tcBorders>
            <w:noWrap/>
            <w:vAlign w:val="center"/>
          </w:tcPr>
          <w:p w14:paraId="1BE8FDA9">
            <w:pPr>
              <w:pStyle w:val="129"/>
              <w:widowControl w:val="0"/>
              <w:rPr>
                <w:rFonts w:eastAsia="Times New Roman"/>
                <w:color w:val="auto"/>
              </w:rPr>
            </w:pPr>
            <w:r>
              <w:rPr>
                <w:rFonts w:eastAsia="Times New Roman"/>
                <w:color w:val="auto"/>
              </w:rPr>
              <w:t>0.02</w:t>
            </w:r>
          </w:p>
        </w:tc>
        <w:tc>
          <w:tcPr>
            <w:tcW w:w="606" w:type="pct"/>
            <w:tcBorders>
              <w:top w:val="single" w:color="000000" w:sz="2" w:space="0"/>
              <w:left w:val="single" w:color="000000" w:sz="2" w:space="0"/>
              <w:bottom w:val="single" w:color="000000" w:sz="8" w:space="0"/>
              <w:right w:val="single" w:color="000000" w:sz="8" w:space="0"/>
            </w:tcBorders>
            <w:vAlign w:val="center"/>
          </w:tcPr>
          <w:p w14:paraId="5458091F">
            <w:pPr>
              <w:pStyle w:val="129"/>
              <w:widowControl w:val="0"/>
              <w:rPr>
                <w:rFonts w:eastAsia="Times New Roman"/>
                <w:color w:val="auto"/>
              </w:rPr>
            </w:pPr>
            <w:r>
              <w:rPr>
                <w:rFonts w:hint="eastAsia" w:ascii="宋体" w:hAnsi="宋体" w:eastAsia="Times New Roman" w:cs="宋体"/>
                <w:color w:val="auto"/>
              </w:rPr>
              <w:t>达标</w:t>
            </w:r>
          </w:p>
        </w:tc>
      </w:tr>
    </w:tbl>
    <w:p w14:paraId="7809EB1D">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F8DB74A">
      <w:pPr>
        <w:pStyle w:val="5"/>
        <w:rPr>
          <w:color w:val="auto"/>
        </w:rPr>
      </w:pPr>
      <w:r>
        <w:rPr>
          <w:color w:val="auto"/>
        </w:rPr>
        <w:t>大气防护距离</w:t>
      </w:r>
    </w:p>
    <w:p w14:paraId="6ABD602E">
      <w:pPr>
        <w:pStyle w:val="132"/>
        <w:rPr>
          <w:color w:val="auto"/>
        </w:rPr>
      </w:pPr>
      <w:r>
        <w:rPr>
          <w:rFonts w:hint="eastAsia"/>
          <w:color w:val="auto"/>
        </w:rPr>
        <w:t>为保护人群健康，减少正常排放条件下大气污染物对居住区的环境影响，在污染源与居住区之间设置的大气环境防护区域，其范围是从厂界起所有超过环境质量短期浓度标准值的网格区域，以自厂界起至超标区域的最远垂直距离作为大气环境防护距离。</w:t>
      </w:r>
    </w:p>
    <w:p w14:paraId="7E1FBDCB">
      <w:pPr>
        <w:pStyle w:val="132"/>
        <w:rPr>
          <w:color w:val="auto"/>
        </w:rPr>
      </w:pPr>
      <w:r>
        <w:rPr>
          <w:rFonts w:hint="eastAsia"/>
          <w:color w:val="auto"/>
        </w:rPr>
        <w:t>经计算，项目大气环境防护距离计算为0，因此，不设大气环境防护距离。</w:t>
      </w:r>
    </w:p>
    <w:p w14:paraId="22C102F8">
      <w:pPr>
        <w:pStyle w:val="4"/>
        <w:rPr>
          <w:color w:val="auto"/>
        </w:rPr>
      </w:pPr>
      <w:r>
        <w:rPr>
          <w:rFonts w:hint="eastAsia"/>
          <w:color w:val="auto"/>
        </w:rPr>
        <w:t>污染物排放量核算</w:t>
      </w:r>
    </w:p>
    <w:p w14:paraId="619B9F10">
      <w:pPr>
        <w:pStyle w:val="132"/>
        <w:rPr>
          <w:color w:val="auto"/>
        </w:rPr>
      </w:pPr>
      <w:r>
        <w:rPr>
          <w:rFonts w:hint="eastAsia"/>
          <w:color w:val="auto"/>
        </w:rPr>
        <w:t>（1）有组织排放量核算</w:t>
      </w:r>
    </w:p>
    <w:p w14:paraId="2A3200C8">
      <w:pPr>
        <w:pStyle w:val="132"/>
        <w:rPr>
          <w:color w:val="auto"/>
        </w:rPr>
      </w:pPr>
      <w:r>
        <w:rPr>
          <w:rFonts w:hint="eastAsia"/>
          <w:color w:val="auto"/>
        </w:rPr>
        <w:t>本项目大气有组织排放量情况见</w:t>
      </w:r>
      <w:r>
        <w:rPr>
          <w:color w:val="auto"/>
        </w:rPr>
        <w:t>表 5.2</w:t>
      </w:r>
      <w:r>
        <w:rPr>
          <w:rFonts w:hint="eastAsia"/>
          <w:color w:val="auto"/>
        </w:rPr>
        <w:t>-20。</w:t>
      </w:r>
    </w:p>
    <w:p w14:paraId="5B54B592">
      <w:pPr>
        <w:pStyle w:val="1060"/>
        <w:rPr>
          <w:color w:val="auto"/>
          <w:szCs w:val="23"/>
        </w:rPr>
      </w:pPr>
      <w:bookmarkStart w:id="304" w:name="_Ref220516073"/>
      <w:bookmarkEnd w:id="30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19</w:t>
      </w:r>
      <w:r>
        <w:rPr>
          <w:color w:val="auto"/>
        </w:rPr>
        <w:fldChar w:fldCharType="end"/>
      </w:r>
      <w:r>
        <w:rPr>
          <w:rFonts w:hint="eastAsia"/>
          <w:color w:val="auto"/>
        </w:rPr>
        <w:t xml:space="preserve"> </w:t>
      </w:r>
      <w:r>
        <w:rPr>
          <w:color w:val="auto"/>
          <w:szCs w:val="23"/>
        </w:rPr>
        <w:t xml:space="preserve">  </w:t>
      </w:r>
      <w:r>
        <w:rPr>
          <w:rFonts w:ascii="黑体" w:hAnsi="黑体"/>
          <w:color w:val="auto"/>
          <w:szCs w:val="23"/>
        </w:rPr>
        <w:t>大气污染物有组织排放量核算表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377"/>
        <w:gridCol w:w="756"/>
        <w:gridCol w:w="2240"/>
        <w:gridCol w:w="1019"/>
        <w:gridCol w:w="1461"/>
        <w:gridCol w:w="1432"/>
        <w:gridCol w:w="1501"/>
      </w:tblGrid>
      <w:tr w14:paraId="756459B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tcBorders>
              <w:top w:val="single" w:color="000000" w:sz="8" w:space="0"/>
              <w:left w:val="single" w:color="000000" w:sz="8" w:space="0"/>
              <w:bottom w:val="single" w:color="000000" w:sz="2" w:space="0"/>
              <w:right w:val="single" w:color="000000" w:sz="2" w:space="0"/>
            </w:tcBorders>
            <w:vAlign w:val="center"/>
          </w:tcPr>
          <w:p w14:paraId="5BC695BA">
            <w:pPr>
              <w:pStyle w:val="129"/>
              <w:widowControl w:val="0"/>
              <w:rPr>
                <w:rFonts w:eastAsia="Times New Roman"/>
                <w:color w:val="auto"/>
              </w:rPr>
            </w:pPr>
            <w:r>
              <w:rPr>
                <w:rFonts w:hint="eastAsia" w:ascii="宋体" w:hAnsi="宋体" w:eastAsia="Times New Roman" w:cs="宋体"/>
                <w:color w:val="auto"/>
              </w:rPr>
              <w:t>序号</w:t>
            </w:r>
          </w:p>
        </w:tc>
        <w:tc>
          <w:tcPr>
            <w:tcW w:w="1705" w:type="pct"/>
            <w:gridSpan w:val="2"/>
            <w:tcBorders>
              <w:top w:val="single" w:color="000000" w:sz="8" w:space="0"/>
              <w:left w:val="single" w:color="000000" w:sz="2" w:space="0"/>
              <w:bottom w:val="single" w:color="000000" w:sz="2" w:space="0"/>
              <w:right w:val="single" w:color="000000" w:sz="2" w:space="0"/>
            </w:tcBorders>
            <w:vAlign w:val="center"/>
          </w:tcPr>
          <w:p w14:paraId="6C6AEBCA">
            <w:pPr>
              <w:pStyle w:val="129"/>
              <w:widowControl w:val="0"/>
              <w:rPr>
                <w:rFonts w:eastAsia="Times New Roman"/>
                <w:color w:val="auto"/>
              </w:rPr>
            </w:pPr>
            <w:r>
              <w:rPr>
                <w:rFonts w:hint="eastAsia" w:ascii="宋体" w:hAnsi="宋体" w:eastAsia="Times New Roman" w:cs="宋体"/>
                <w:color w:val="auto"/>
              </w:rPr>
              <w:t>排放口编号</w:t>
            </w:r>
          </w:p>
        </w:tc>
        <w:tc>
          <w:tcPr>
            <w:tcW w:w="580" w:type="pct"/>
            <w:tcBorders>
              <w:top w:val="single" w:color="000000" w:sz="8" w:space="0"/>
              <w:left w:val="single" w:color="000000" w:sz="2" w:space="0"/>
              <w:bottom w:val="single" w:color="000000" w:sz="2" w:space="0"/>
              <w:right w:val="single" w:color="000000" w:sz="2" w:space="0"/>
            </w:tcBorders>
            <w:vAlign w:val="center"/>
          </w:tcPr>
          <w:p w14:paraId="5CE4A1D0">
            <w:pPr>
              <w:pStyle w:val="129"/>
              <w:widowControl w:val="0"/>
              <w:rPr>
                <w:rFonts w:eastAsia="Times New Roman"/>
                <w:color w:val="auto"/>
              </w:rPr>
            </w:pPr>
            <w:r>
              <w:rPr>
                <w:rFonts w:hint="eastAsia" w:ascii="宋体" w:hAnsi="宋体" w:eastAsia="Times New Roman" w:cs="宋体"/>
                <w:color w:val="auto"/>
              </w:rPr>
              <w:t>污染物</w:t>
            </w:r>
          </w:p>
        </w:tc>
        <w:tc>
          <w:tcPr>
            <w:tcW w:w="831" w:type="pct"/>
            <w:tcBorders>
              <w:top w:val="single" w:color="000000" w:sz="8" w:space="0"/>
              <w:left w:val="single" w:color="000000" w:sz="2" w:space="0"/>
              <w:bottom w:val="single" w:color="000000" w:sz="2" w:space="0"/>
              <w:right w:val="single" w:color="000000" w:sz="2" w:space="0"/>
            </w:tcBorders>
            <w:vAlign w:val="center"/>
          </w:tcPr>
          <w:p w14:paraId="4A208519">
            <w:pPr>
              <w:pStyle w:val="129"/>
              <w:widowControl w:val="0"/>
              <w:rPr>
                <w:rFonts w:eastAsiaTheme="minorEastAsia"/>
                <w:color w:val="auto"/>
              </w:rPr>
            </w:pPr>
            <w:r>
              <w:rPr>
                <w:rFonts w:hint="eastAsia" w:ascii="宋体" w:hAnsi="宋体" w:eastAsia="Times New Roman" w:cs="宋体"/>
                <w:color w:val="auto"/>
              </w:rPr>
              <w:t>核算排放浓度</w:t>
            </w:r>
            <w:r>
              <w:rPr>
                <w:rFonts w:eastAsia="Times New Roman"/>
                <w:color w:val="auto"/>
              </w:rPr>
              <w:t>/</w:t>
            </w:r>
          </w:p>
          <w:p w14:paraId="5C9EF66F">
            <w:pPr>
              <w:pStyle w:val="129"/>
              <w:widowControl w:val="0"/>
              <w:rPr>
                <w:rFonts w:eastAsia="Times New Roman"/>
                <w:color w:val="auto"/>
              </w:rPr>
            </w:pPr>
            <w:r>
              <w:rPr>
                <w:rFonts w:eastAsia="Times New Roman"/>
                <w:color w:val="auto"/>
              </w:rPr>
              <w:t>(mg/m</w:t>
            </w:r>
            <w:r>
              <w:rPr>
                <w:rFonts w:eastAsia="Times New Roman"/>
                <w:color w:val="auto"/>
                <w:vertAlign w:val="superscript"/>
              </w:rPr>
              <w:t>3</w:t>
            </w:r>
            <w:r>
              <w:rPr>
                <w:rFonts w:eastAsia="Times New Roman"/>
                <w:color w:val="auto"/>
              </w:rPr>
              <w:t>)</w:t>
            </w:r>
          </w:p>
        </w:tc>
        <w:tc>
          <w:tcPr>
            <w:tcW w:w="815" w:type="pct"/>
            <w:tcBorders>
              <w:top w:val="single" w:color="000000" w:sz="8" w:space="0"/>
              <w:left w:val="single" w:color="000000" w:sz="2" w:space="0"/>
              <w:bottom w:val="single" w:color="000000" w:sz="2" w:space="0"/>
              <w:right w:val="single" w:color="000000" w:sz="2" w:space="0"/>
            </w:tcBorders>
            <w:vAlign w:val="center"/>
          </w:tcPr>
          <w:p w14:paraId="5960DECF">
            <w:pPr>
              <w:pStyle w:val="129"/>
              <w:widowControl w:val="0"/>
              <w:rPr>
                <w:rFonts w:eastAsiaTheme="minorEastAsia"/>
                <w:color w:val="auto"/>
              </w:rPr>
            </w:pPr>
            <w:r>
              <w:rPr>
                <w:rFonts w:hint="eastAsia" w:ascii="宋体" w:hAnsi="宋体" w:eastAsia="Times New Roman" w:cs="宋体"/>
                <w:color w:val="auto"/>
              </w:rPr>
              <w:t>核算排放速率</w:t>
            </w:r>
            <w:r>
              <w:rPr>
                <w:rFonts w:eastAsia="Times New Roman"/>
                <w:color w:val="auto"/>
              </w:rPr>
              <w:t>/</w:t>
            </w:r>
          </w:p>
          <w:p w14:paraId="745086E9">
            <w:pPr>
              <w:pStyle w:val="129"/>
              <w:widowControl w:val="0"/>
              <w:rPr>
                <w:rFonts w:eastAsia="Times New Roman"/>
                <w:color w:val="auto"/>
              </w:rPr>
            </w:pPr>
            <w:r>
              <w:rPr>
                <w:rFonts w:eastAsia="Times New Roman"/>
                <w:color w:val="auto"/>
              </w:rPr>
              <w:t>(kg/h)</w:t>
            </w:r>
          </w:p>
        </w:tc>
        <w:tc>
          <w:tcPr>
            <w:tcW w:w="855" w:type="pct"/>
            <w:tcBorders>
              <w:top w:val="single" w:color="000000" w:sz="8" w:space="0"/>
              <w:left w:val="single" w:color="000000" w:sz="2" w:space="0"/>
              <w:bottom w:val="single" w:color="000000" w:sz="2" w:space="0"/>
              <w:right w:val="single" w:color="000000" w:sz="8" w:space="0"/>
            </w:tcBorders>
            <w:vAlign w:val="center"/>
          </w:tcPr>
          <w:p w14:paraId="50547F12">
            <w:pPr>
              <w:pStyle w:val="129"/>
              <w:widowControl w:val="0"/>
              <w:rPr>
                <w:rFonts w:eastAsiaTheme="minorEastAsia"/>
                <w:color w:val="auto"/>
              </w:rPr>
            </w:pPr>
            <w:r>
              <w:rPr>
                <w:rFonts w:hint="eastAsia" w:ascii="宋体" w:hAnsi="宋体" w:eastAsia="Times New Roman" w:cs="宋体"/>
                <w:color w:val="auto"/>
              </w:rPr>
              <w:t>核算年排放量</w:t>
            </w:r>
            <w:r>
              <w:rPr>
                <w:rFonts w:eastAsia="Times New Roman"/>
                <w:color w:val="auto"/>
              </w:rPr>
              <w:t>/</w:t>
            </w:r>
          </w:p>
          <w:p w14:paraId="549BBB11">
            <w:pPr>
              <w:pStyle w:val="129"/>
              <w:widowControl w:val="0"/>
              <w:rPr>
                <w:rFonts w:eastAsia="Times New Roman"/>
                <w:color w:val="auto"/>
              </w:rPr>
            </w:pPr>
            <w:r>
              <w:rPr>
                <w:rFonts w:eastAsia="Times New Roman"/>
                <w:color w:val="auto"/>
              </w:rPr>
              <w:t>(t/a)</w:t>
            </w:r>
          </w:p>
        </w:tc>
      </w:tr>
      <w:tr w14:paraId="39AF503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00" w:type="pct"/>
            <w:gridSpan w:val="7"/>
            <w:tcBorders>
              <w:top w:val="single" w:color="000000" w:sz="2" w:space="0"/>
              <w:left w:val="single" w:color="000000" w:sz="8" w:space="0"/>
              <w:bottom w:val="single" w:color="000000" w:sz="2" w:space="0"/>
              <w:right w:val="single" w:color="000000" w:sz="8" w:space="0"/>
            </w:tcBorders>
            <w:vAlign w:val="center"/>
          </w:tcPr>
          <w:p w14:paraId="25D363FB">
            <w:pPr>
              <w:pStyle w:val="129"/>
              <w:widowControl w:val="0"/>
              <w:rPr>
                <w:rFonts w:eastAsia="Times New Roman"/>
                <w:color w:val="auto"/>
              </w:rPr>
            </w:pPr>
            <w:r>
              <w:rPr>
                <w:rFonts w:hint="eastAsia" w:ascii="宋体" w:hAnsi="宋体" w:eastAsia="Times New Roman" w:cs="宋体"/>
                <w:color w:val="auto"/>
              </w:rPr>
              <w:t>一般排放口</w:t>
            </w:r>
          </w:p>
        </w:tc>
      </w:tr>
      <w:tr w14:paraId="53DCC2D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tcBorders>
              <w:top w:val="single" w:color="000000" w:sz="2" w:space="0"/>
              <w:left w:val="single" w:color="000000" w:sz="8" w:space="0"/>
              <w:bottom w:val="single" w:color="000000" w:sz="2" w:space="0"/>
              <w:right w:val="single" w:color="000000" w:sz="2" w:space="0"/>
            </w:tcBorders>
            <w:vAlign w:val="center"/>
          </w:tcPr>
          <w:p w14:paraId="15A4A153">
            <w:pPr>
              <w:pStyle w:val="129"/>
              <w:widowControl w:val="0"/>
              <w:rPr>
                <w:rFonts w:eastAsia="Times New Roman"/>
                <w:color w:val="auto"/>
              </w:rPr>
            </w:pPr>
            <w:r>
              <w:rPr>
                <w:rFonts w:eastAsia="Times New Roman"/>
                <w:color w:val="auto"/>
              </w:rPr>
              <w:t>1</w:t>
            </w:r>
          </w:p>
        </w:tc>
        <w:tc>
          <w:tcPr>
            <w:tcW w:w="430" w:type="pct"/>
            <w:tcBorders>
              <w:top w:val="single" w:color="000000" w:sz="2" w:space="0"/>
              <w:left w:val="single" w:color="000000" w:sz="2" w:space="0"/>
              <w:bottom w:val="single" w:color="000000" w:sz="2" w:space="0"/>
              <w:right w:val="single" w:color="000000" w:sz="2" w:space="0"/>
            </w:tcBorders>
            <w:vAlign w:val="center"/>
          </w:tcPr>
          <w:p w14:paraId="67CDBD19">
            <w:pPr>
              <w:pStyle w:val="129"/>
              <w:widowControl w:val="0"/>
              <w:rPr>
                <w:rFonts w:eastAsia="Times New Roman"/>
                <w:color w:val="auto"/>
              </w:rPr>
            </w:pPr>
            <w:r>
              <w:rPr>
                <w:rFonts w:hint="eastAsia" w:eastAsiaTheme="minorEastAsia"/>
                <w:color w:val="auto"/>
              </w:rPr>
              <w:t>DA001</w:t>
            </w:r>
          </w:p>
        </w:tc>
        <w:tc>
          <w:tcPr>
            <w:tcW w:w="1275" w:type="pct"/>
            <w:tcBorders>
              <w:top w:val="single" w:color="000000" w:sz="2" w:space="0"/>
              <w:left w:val="single" w:color="000000" w:sz="2" w:space="0"/>
              <w:bottom w:val="single" w:color="000000" w:sz="2" w:space="0"/>
              <w:right w:val="single" w:color="000000" w:sz="2" w:space="0"/>
            </w:tcBorders>
            <w:vAlign w:val="center"/>
          </w:tcPr>
          <w:p w14:paraId="5ADC6104">
            <w:pPr>
              <w:pStyle w:val="129"/>
              <w:widowControl w:val="0"/>
              <w:rPr>
                <w:rFonts w:eastAsia="Times New Roman"/>
                <w:color w:val="auto"/>
              </w:rPr>
            </w:pPr>
            <w:r>
              <w:rPr>
                <w:rFonts w:hint="eastAsia" w:ascii="宋体" w:hAnsi="宋体" w:eastAsia="Times New Roman" w:cs="宋体"/>
                <w:color w:val="auto"/>
              </w:rPr>
              <w:t>含氨废气</w:t>
            </w:r>
          </w:p>
        </w:tc>
        <w:tc>
          <w:tcPr>
            <w:tcW w:w="580" w:type="pct"/>
            <w:tcBorders>
              <w:top w:val="single" w:color="000000" w:sz="2" w:space="0"/>
              <w:left w:val="single" w:color="000000" w:sz="2" w:space="0"/>
              <w:bottom w:val="single" w:color="000000" w:sz="2" w:space="0"/>
              <w:right w:val="single" w:color="000000" w:sz="2" w:space="0"/>
            </w:tcBorders>
            <w:vAlign w:val="center"/>
          </w:tcPr>
          <w:p w14:paraId="5382B6BC">
            <w:pPr>
              <w:pStyle w:val="129"/>
              <w:widowControl w:val="0"/>
              <w:rPr>
                <w:rFonts w:eastAsia="Times New Roman"/>
                <w:color w:val="auto"/>
              </w:rPr>
            </w:pPr>
            <w:r>
              <w:rPr>
                <w:rFonts w:eastAsia="Times New Roman"/>
                <w:color w:val="auto"/>
              </w:rPr>
              <w:t>NH</w:t>
            </w:r>
            <w:r>
              <w:rPr>
                <w:rFonts w:eastAsia="Times New Roman"/>
                <w:color w:val="auto"/>
                <w:vertAlign w:val="subscript"/>
              </w:rPr>
              <w:t>3</w:t>
            </w:r>
          </w:p>
        </w:tc>
        <w:tc>
          <w:tcPr>
            <w:tcW w:w="831" w:type="pct"/>
            <w:tcBorders>
              <w:top w:val="single" w:color="000000" w:sz="2" w:space="0"/>
              <w:left w:val="single" w:color="000000" w:sz="2" w:space="0"/>
              <w:bottom w:val="single" w:color="000000" w:sz="2" w:space="0"/>
              <w:right w:val="single" w:color="000000" w:sz="2" w:space="0"/>
            </w:tcBorders>
            <w:vAlign w:val="center"/>
          </w:tcPr>
          <w:p w14:paraId="58A933CB">
            <w:pPr>
              <w:pStyle w:val="129"/>
              <w:widowControl w:val="0"/>
              <w:rPr>
                <w:rFonts w:eastAsia="Times New Roman"/>
                <w:color w:val="auto"/>
              </w:rPr>
            </w:pPr>
            <w:r>
              <w:rPr>
                <w:rFonts w:eastAsia="Times New Roman"/>
                <w:color w:val="auto"/>
              </w:rPr>
              <w:t>8</w:t>
            </w:r>
          </w:p>
        </w:tc>
        <w:tc>
          <w:tcPr>
            <w:tcW w:w="815" w:type="pct"/>
            <w:tcBorders>
              <w:top w:val="single" w:color="000000" w:sz="2" w:space="0"/>
              <w:left w:val="single" w:color="000000" w:sz="2" w:space="0"/>
              <w:bottom w:val="single" w:color="000000" w:sz="2" w:space="0"/>
              <w:right w:val="single" w:color="000000" w:sz="2" w:space="0"/>
            </w:tcBorders>
            <w:vAlign w:val="center"/>
          </w:tcPr>
          <w:p w14:paraId="6E34E95B">
            <w:pPr>
              <w:pStyle w:val="129"/>
              <w:widowControl w:val="0"/>
              <w:rPr>
                <w:rFonts w:eastAsia="Times New Roman"/>
                <w:color w:val="auto"/>
              </w:rPr>
            </w:pPr>
            <w:r>
              <w:rPr>
                <w:rFonts w:eastAsia="Times New Roman"/>
                <w:color w:val="auto"/>
              </w:rPr>
              <w:t>0.008</w:t>
            </w:r>
          </w:p>
        </w:tc>
        <w:tc>
          <w:tcPr>
            <w:tcW w:w="855" w:type="pct"/>
            <w:tcBorders>
              <w:top w:val="single" w:color="000000" w:sz="2" w:space="0"/>
              <w:left w:val="single" w:color="000000" w:sz="2" w:space="0"/>
              <w:bottom w:val="single" w:color="000000" w:sz="2" w:space="0"/>
              <w:right w:val="single" w:color="000000" w:sz="8" w:space="0"/>
            </w:tcBorders>
            <w:vAlign w:val="center"/>
          </w:tcPr>
          <w:p w14:paraId="7EE93680">
            <w:pPr>
              <w:pStyle w:val="129"/>
              <w:widowControl w:val="0"/>
              <w:rPr>
                <w:rFonts w:eastAsia="Times New Roman"/>
                <w:color w:val="auto"/>
              </w:rPr>
            </w:pPr>
            <w:r>
              <w:rPr>
                <w:rFonts w:eastAsia="Times New Roman"/>
                <w:color w:val="auto"/>
              </w:rPr>
              <w:t>0.07</w:t>
            </w:r>
          </w:p>
        </w:tc>
      </w:tr>
      <w:tr w14:paraId="2A5C913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tcBorders>
              <w:top w:val="single" w:color="000000" w:sz="2" w:space="0"/>
              <w:left w:val="single" w:color="000000" w:sz="8" w:space="0"/>
              <w:right w:val="single" w:color="000000" w:sz="2" w:space="0"/>
            </w:tcBorders>
            <w:vAlign w:val="center"/>
          </w:tcPr>
          <w:p w14:paraId="572A7835">
            <w:pPr>
              <w:pStyle w:val="129"/>
              <w:widowControl w:val="0"/>
              <w:rPr>
                <w:rFonts w:eastAsia="Times New Roman"/>
                <w:color w:val="auto"/>
              </w:rPr>
            </w:pPr>
            <w:r>
              <w:rPr>
                <w:rFonts w:eastAsia="Times New Roman"/>
                <w:color w:val="auto"/>
              </w:rPr>
              <w:t>2</w:t>
            </w:r>
          </w:p>
        </w:tc>
        <w:tc>
          <w:tcPr>
            <w:tcW w:w="430" w:type="pct"/>
            <w:tcBorders>
              <w:top w:val="single" w:color="000000" w:sz="2" w:space="0"/>
              <w:left w:val="single" w:color="000000" w:sz="2" w:space="0"/>
              <w:right w:val="single" w:color="000000" w:sz="2" w:space="0"/>
            </w:tcBorders>
            <w:vAlign w:val="center"/>
          </w:tcPr>
          <w:p w14:paraId="13527082">
            <w:pPr>
              <w:pStyle w:val="129"/>
              <w:widowControl w:val="0"/>
              <w:rPr>
                <w:rFonts w:eastAsia="Times New Roman"/>
                <w:color w:val="auto"/>
              </w:rPr>
            </w:pPr>
            <w:r>
              <w:rPr>
                <w:rFonts w:hint="eastAsia" w:eastAsiaTheme="minorEastAsia"/>
                <w:color w:val="auto"/>
              </w:rPr>
              <w:t>DA002</w:t>
            </w:r>
          </w:p>
        </w:tc>
        <w:tc>
          <w:tcPr>
            <w:tcW w:w="1275" w:type="pct"/>
            <w:tcBorders>
              <w:top w:val="single" w:color="000000" w:sz="2" w:space="0"/>
              <w:left w:val="single" w:color="000000" w:sz="2" w:space="0"/>
              <w:right w:val="single" w:color="000000" w:sz="2" w:space="0"/>
            </w:tcBorders>
            <w:vAlign w:val="center"/>
          </w:tcPr>
          <w:p w14:paraId="5CB2EA3D">
            <w:pPr>
              <w:pStyle w:val="129"/>
              <w:widowControl w:val="0"/>
              <w:rPr>
                <w:rFonts w:eastAsia="Times New Roman"/>
                <w:color w:val="auto"/>
              </w:rPr>
            </w:pPr>
            <w:r>
              <w:rPr>
                <w:rFonts w:hint="eastAsia" w:ascii="宋体" w:hAnsi="宋体" w:eastAsia="Times New Roman" w:cs="宋体"/>
                <w:color w:val="auto"/>
              </w:rPr>
              <w:t>硫酸铵干燥包装排口</w:t>
            </w:r>
          </w:p>
        </w:tc>
        <w:tc>
          <w:tcPr>
            <w:tcW w:w="580" w:type="pct"/>
            <w:tcBorders>
              <w:top w:val="single" w:color="000000" w:sz="2" w:space="0"/>
              <w:left w:val="single" w:color="000000" w:sz="2" w:space="0"/>
              <w:bottom w:val="single" w:color="000000" w:sz="2" w:space="0"/>
              <w:right w:val="single" w:color="000000" w:sz="2" w:space="0"/>
            </w:tcBorders>
            <w:vAlign w:val="center"/>
          </w:tcPr>
          <w:p w14:paraId="56D11D25">
            <w:pPr>
              <w:pStyle w:val="129"/>
              <w:widowControl w:val="0"/>
              <w:rPr>
                <w:rFonts w:eastAsia="Times New Roman"/>
                <w:color w:val="auto"/>
              </w:rPr>
            </w:pPr>
            <w:r>
              <w:rPr>
                <w:rFonts w:hint="eastAsia" w:ascii="宋体" w:hAnsi="宋体" w:eastAsia="Times New Roman" w:cs="宋体"/>
                <w:color w:val="auto"/>
              </w:rPr>
              <w:t>颗粒物</w:t>
            </w:r>
          </w:p>
        </w:tc>
        <w:tc>
          <w:tcPr>
            <w:tcW w:w="831" w:type="pct"/>
            <w:tcBorders>
              <w:top w:val="single" w:color="000000" w:sz="2" w:space="0"/>
              <w:left w:val="single" w:color="000000" w:sz="2" w:space="0"/>
              <w:bottom w:val="single" w:color="000000" w:sz="2" w:space="0"/>
              <w:right w:val="single" w:color="000000" w:sz="2" w:space="0"/>
            </w:tcBorders>
            <w:vAlign w:val="center"/>
          </w:tcPr>
          <w:p w14:paraId="2F57FF5E">
            <w:pPr>
              <w:pStyle w:val="129"/>
              <w:widowControl w:val="0"/>
              <w:rPr>
                <w:rFonts w:eastAsia="Times New Roman"/>
                <w:color w:val="auto"/>
              </w:rPr>
            </w:pPr>
            <w:r>
              <w:rPr>
                <w:rFonts w:eastAsia="Times New Roman"/>
                <w:color w:val="auto"/>
              </w:rPr>
              <w:t>7.1</w:t>
            </w:r>
          </w:p>
        </w:tc>
        <w:tc>
          <w:tcPr>
            <w:tcW w:w="815" w:type="pct"/>
            <w:tcBorders>
              <w:top w:val="single" w:color="000000" w:sz="2" w:space="0"/>
              <w:left w:val="single" w:color="000000" w:sz="2" w:space="0"/>
              <w:bottom w:val="single" w:color="000000" w:sz="2" w:space="0"/>
              <w:right w:val="single" w:color="000000" w:sz="2" w:space="0"/>
            </w:tcBorders>
            <w:vAlign w:val="center"/>
          </w:tcPr>
          <w:p w14:paraId="5DEC7457">
            <w:pPr>
              <w:pStyle w:val="129"/>
              <w:widowControl w:val="0"/>
              <w:rPr>
                <w:rFonts w:eastAsia="Times New Roman"/>
                <w:color w:val="auto"/>
              </w:rPr>
            </w:pPr>
            <w:r>
              <w:rPr>
                <w:rFonts w:eastAsia="Times New Roman"/>
                <w:color w:val="auto"/>
              </w:rPr>
              <w:t>0.29</w:t>
            </w:r>
          </w:p>
        </w:tc>
        <w:tc>
          <w:tcPr>
            <w:tcW w:w="855" w:type="pct"/>
            <w:tcBorders>
              <w:top w:val="single" w:color="000000" w:sz="2" w:space="0"/>
              <w:left w:val="single" w:color="000000" w:sz="2" w:space="0"/>
              <w:bottom w:val="single" w:color="000000" w:sz="2" w:space="0"/>
              <w:right w:val="single" w:color="000000" w:sz="8" w:space="0"/>
            </w:tcBorders>
            <w:vAlign w:val="center"/>
          </w:tcPr>
          <w:p w14:paraId="53381A7A">
            <w:pPr>
              <w:pStyle w:val="129"/>
              <w:widowControl w:val="0"/>
              <w:rPr>
                <w:rFonts w:eastAsia="Times New Roman"/>
                <w:color w:val="auto"/>
              </w:rPr>
            </w:pPr>
            <w:r>
              <w:rPr>
                <w:rFonts w:eastAsia="Times New Roman"/>
                <w:color w:val="auto"/>
              </w:rPr>
              <w:t>2.35</w:t>
            </w:r>
          </w:p>
        </w:tc>
      </w:tr>
      <w:tr w14:paraId="79015F7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restart"/>
            <w:tcBorders>
              <w:top w:val="single" w:color="000000" w:sz="2" w:space="0"/>
              <w:left w:val="single" w:color="000000" w:sz="8" w:space="0"/>
              <w:right w:val="single" w:color="000000" w:sz="2" w:space="0"/>
            </w:tcBorders>
            <w:vAlign w:val="center"/>
          </w:tcPr>
          <w:p w14:paraId="3C3C9F9C">
            <w:pPr>
              <w:pStyle w:val="129"/>
              <w:widowControl w:val="0"/>
              <w:rPr>
                <w:rFonts w:eastAsia="Times New Roman"/>
                <w:color w:val="auto"/>
              </w:rPr>
            </w:pPr>
            <w:r>
              <w:rPr>
                <w:rFonts w:eastAsia="Times New Roman"/>
                <w:color w:val="auto"/>
              </w:rPr>
              <w:t>3</w:t>
            </w:r>
          </w:p>
        </w:tc>
        <w:tc>
          <w:tcPr>
            <w:tcW w:w="430" w:type="pct"/>
            <w:vMerge w:val="restart"/>
            <w:tcBorders>
              <w:top w:val="single" w:color="000000" w:sz="2" w:space="0"/>
              <w:left w:val="single" w:color="000000" w:sz="2" w:space="0"/>
              <w:right w:val="single" w:color="000000" w:sz="2" w:space="0"/>
            </w:tcBorders>
            <w:vAlign w:val="center"/>
          </w:tcPr>
          <w:p w14:paraId="7CC40453">
            <w:pPr>
              <w:pStyle w:val="129"/>
              <w:widowControl w:val="0"/>
              <w:rPr>
                <w:rFonts w:eastAsia="Times New Roman"/>
                <w:color w:val="auto"/>
              </w:rPr>
            </w:pPr>
            <w:r>
              <w:rPr>
                <w:rFonts w:hint="eastAsia" w:eastAsiaTheme="minorEastAsia"/>
                <w:color w:val="auto"/>
              </w:rPr>
              <w:t>DA003</w:t>
            </w:r>
          </w:p>
        </w:tc>
        <w:tc>
          <w:tcPr>
            <w:tcW w:w="1275" w:type="pct"/>
            <w:vMerge w:val="restart"/>
            <w:tcBorders>
              <w:top w:val="single" w:color="000000" w:sz="2" w:space="0"/>
              <w:left w:val="single" w:color="000000" w:sz="2" w:space="0"/>
              <w:right w:val="single" w:color="000000" w:sz="2" w:space="0"/>
            </w:tcBorders>
            <w:vAlign w:val="center"/>
          </w:tcPr>
          <w:p w14:paraId="06E6F07F">
            <w:pPr>
              <w:pStyle w:val="129"/>
              <w:widowControl w:val="0"/>
              <w:rPr>
                <w:rFonts w:eastAsia="Times New Roman"/>
                <w:color w:val="auto"/>
              </w:rPr>
            </w:pPr>
            <w:r>
              <w:rPr>
                <w:rFonts w:hint="eastAsia" w:ascii="宋体" w:hAnsi="宋体" w:eastAsia="Times New Roman" w:cs="宋体"/>
                <w:color w:val="auto"/>
              </w:rPr>
              <w:t>二氧化碳气</w:t>
            </w:r>
          </w:p>
        </w:tc>
        <w:tc>
          <w:tcPr>
            <w:tcW w:w="580" w:type="pct"/>
            <w:tcBorders>
              <w:top w:val="single" w:color="000000" w:sz="2" w:space="0"/>
              <w:left w:val="single" w:color="000000" w:sz="2" w:space="0"/>
              <w:bottom w:val="single" w:color="000000" w:sz="2" w:space="0"/>
              <w:right w:val="single" w:color="000000" w:sz="2" w:space="0"/>
            </w:tcBorders>
            <w:vAlign w:val="center"/>
          </w:tcPr>
          <w:p w14:paraId="64A4F3DA">
            <w:pPr>
              <w:pStyle w:val="129"/>
              <w:widowControl w:val="0"/>
              <w:rPr>
                <w:rFonts w:eastAsia="Times New Roman"/>
                <w:color w:val="auto"/>
              </w:rPr>
            </w:pPr>
            <w:r>
              <w:rPr>
                <w:rFonts w:hint="eastAsia" w:eastAsia="Times New Roman"/>
                <w:color w:val="auto"/>
              </w:rPr>
              <w:t>CO</w:t>
            </w:r>
            <w:r>
              <w:rPr>
                <w:rFonts w:hint="eastAsia" w:eastAsia="Times New Roman"/>
                <w:color w:val="auto"/>
                <w:vertAlign w:val="subscript"/>
              </w:rPr>
              <w:t>2</w:t>
            </w:r>
          </w:p>
        </w:tc>
        <w:tc>
          <w:tcPr>
            <w:tcW w:w="831" w:type="pct"/>
            <w:tcBorders>
              <w:top w:val="single" w:color="000000" w:sz="2" w:space="0"/>
              <w:left w:val="single" w:color="000000" w:sz="2" w:space="0"/>
              <w:bottom w:val="single" w:color="000000" w:sz="2" w:space="0"/>
              <w:right w:val="single" w:color="000000" w:sz="2" w:space="0"/>
            </w:tcBorders>
            <w:vAlign w:val="center"/>
          </w:tcPr>
          <w:p w14:paraId="272BE97C">
            <w:pPr>
              <w:pStyle w:val="129"/>
              <w:widowControl w:val="0"/>
              <w:rPr>
                <w:rFonts w:eastAsia="Times New Roman"/>
                <w:color w:val="auto"/>
              </w:rPr>
            </w:pPr>
            <w:r>
              <w:rPr>
                <w:rFonts w:eastAsia="Times New Roman"/>
                <w:color w:val="auto"/>
              </w:rPr>
              <w:t>99.48%</w:t>
            </w:r>
          </w:p>
        </w:tc>
        <w:tc>
          <w:tcPr>
            <w:tcW w:w="815" w:type="pct"/>
            <w:tcBorders>
              <w:top w:val="single" w:color="000000" w:sz="2" w:space="0"/>
              <w:left w:val="single" w:color="000000" w:sz="2" w:space="0"/>
              <w:bottom w:val="single" w:color="000000" w:sz="2" w:space="0"/>
              <w:right w:val="single" w:color="000000" w:sz="2" w:space="0"/>
            </w:tcBorders>
            <w:vAlign w:val="center"/>
          </w:tcPr>
          <w:p w14:paraId="5AA8F41D">
            <w:pPr>
              <w:pStyle w:val="129"/>
              <w:widowControl w:val="0"/>
              <w:rPr>
                <w:rFonts w:eastAsia="Times New Roman"/>
                <w:color w:val="auto"/>
              </w:rPr>
            </w:pPr>
            <w:r>
              <w:rPr>
                <w:rFonts w:eastAsia="Times New Roman"/>
                <w:color w:val="auto"/>
              </w:rPr>
              <w:t>110.89</w:t>
            </w:r>
          </w:p>
        </w:tc>
        <w:tc>
          <w:tcPr>
            <w:tcW w:w="855" w:type="pct"/>
            <w:tcBorders>
              <w:top w:val="single" w:color="000000" w:sz="2" w:space="0"/>
              <w:left w:val="single" w:color="000000" w:sz="2" w:space="0"/>
              <w:bottom w:val="single" w:color="000000" w:sz="2" w:space="0"/>
              <w:right w:val="single" w:color="000000" w:sz="8" w:space="0"/>
            </w:tcBorders>
            <w:vAlign w:val="center"/>
          </w:tcPr>
          <w:p w14:paraId="1EA9F3F9">
            <w:pPr>
              <w:pStyle w:val="129"/>
              <w:widowControl w:val="0"/>
              <w:rPr>
                <w:rFonts w:eastAsia="Times New Roman"/>
                <w:color w:val="auto"/>
              </w:rPr>
            </w:pPr>
            <w:r>
              <w:rPr>
                <w:rFonts w:eastAsia="Times New Roman"/>
                <w:color w:val="auto"/>
              </w:rPr>
              <w:t>887.1</w:t>
            </w:r>
          </w:p>
        </w:tc>
      </w:tr>
      <w:tr w14:paraId="309C613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left w:val="single" w:color="000000" w:sz="8" w:space="0"/>
              <w:bottom w:val="single" w:color="000000" w:sz="2" w:space="0"/>
              <w:right w:val="single" w:color="000000" w:sz="2" w:space="0"/>
            </w:tcBorders>
            <w:vAlign w:val="center"/>
          </w:tcPr>
          <w:p w14:paraId="44B82110">
            <w:pPr>
              <w:pStyle w:val="129"/>
              <w:widowControl w:val="0"/>
              <w:rPr>
                <w:rFonts w:eastAsia="Times New Roman"/>
                <w:color w:val="auto"/>
              </w:rPr>
            </w:pPr>
          </w:p>
        </w:tc>
        <w:tc>
          <w:tcPr>
            <w:tcW w:w="430" w:type="pct"/>
            <w:vMerge w:val="continue"/>
            <w:tcBorders>
              <w:left w:val="single" w:color="000000" w:sz="2" w:space="0"/>
              <w:bottom w:val="single" w:color="000000" w:sz="2" w:space="0"/>
              <w:right w:val="single" w:color="000000" w:sz="2" w:space="0"/>
            </w:tcBorders>
            <w:vAlign w:val="center"/>
          </w:tcPr>
          <w:p w14:paraId="66D92B91">
            <w:pPr>
              <w:pStyle w:val="129"/>
              <w:widowControl w:val="0"/>
              <w:rPr>
                <w:rFonts w:eastAsiaTheme="minorEastAsia"/>
                <w:color w:val="auto"/>
              </w:rPr>
            </w:pPr>
          </w:p>
        </w:tc>
        <w:tc>
          <w:tcPr>
            <w:tcW w:w="1275" w:type="pct"/>
            <w:vMerge w:val="continue"/>
            <w:tcBorders>
              <w:left w:val="single" w:color="000000" w:sz="2" w:space="0"/>
              <w:bottom w:val="single" w:color="000000" w:sz="2" w:space="0"/>
              <w:right w:val="single" w:color="000000" w:sz="2" w:space="0"/>
            </w:tcBorders>
            <w:vAlign w:val="center"/>
          </w:tcPr>
          <w:p w14:paraId="346941D4">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450F27EC">
            <w:pPr>
              <w:pStyle w:val="129"/>
              <w:widowControl w:val="0"/>
              <w:rPr>
                <w:rFonts w:eastAsia="Times New Roman"/>
                <w:color w:val="auto"/>
              </w:rPr>
            </w:pPr>
            <w:r>
              <w:rPr>
                <w:rFonts w:hint="eastAsia" w:eastAsia="Times New Roman"/>
                <w:color w:val="auto"/>
              </w:rPr>
              <w:t>H</w:t>
            </w:r>
            <w:r>
              <w:rPr>
                <w:rFonts w:hint="eastAsia" w:eastAsia="Times New Roman"/>
                <w:color w:val="auto"/>
                <w:vertAlign w:val="subscript"/>
              </w:rPr>
              <w:t>2</w:t>
            </w:r>
            <w:r>
              <w:rPr>
                <w:rFonts w:hint="eastAsia" w:eastAsia="Times New Roman"/>
                <w:color w:val="auto"/>
              </w:rPr>
              <w:t>S</w:t>
            </w:r>
          </w:p>
        </w:tc>
        <w:tc>
          <w:tcPr>
            <w:tcW w:w="831" w:type="pct"/>
            <w:tcBorders>
              <w:top w:val="single" w:color="000000" w:sz="2" w:space="0"/>
              <w:left w:val="single" w:color="000000" w:sz="2" w:space="0"/>
              <w:bottom w:val="single" w:color="000000" w:sz="2" w:space="0"/>
              <w:right w:val="single" w:color="000000" w:sz="2" w:space="0"/>
            </w:tcBorders>
            <w:vAlign w:val="center"/>
          </w:tcPr>
          <w:p w14:paraId="717B74A1">
            <w:pPr>
              <w:pStyle w:val="129"/>
              <w:widowControl w:val="0"/>
              <w:rPr>
                <w:rFonts w:eastAsia="Times New Roman"/>
                <w:color w:val="auto"/>
              </w:rPr>
            </w:pPr>
            <w:r>
              <w:rPr>
                <w:rFonts w:eastAsia="Times New Roman"/>
                <w:color w:val="auto"/>
              </w:rPr>
              <w:t>0.08</w:t>
            </w:r>
          </w:p>
        </w:tc>
        <w:tc>
          <w:tcPr>
            <w:tcW w:w="815" w:type="pct"/>
            <w:tcBorders>
              <w:top w:val="single" w:color="000000" w:sz="2" w:space="0"/>
              <w:left w:val="single" w:color="000000" w:sz="2" w:space="0"/>
              <w:bottom w:val="single" w:color="000000" w:sz="2" w:space="0"/>
              <w:right w:val="single" w:color="000000" w:sz="2" w:space="0"/>
            </w:tcBorders>
            <w:vAlign w:val="center"/>
          </w:tcPr>
          <w:p w14:paraId="283633E9">
            <w:pPr>
              <w:pStyle w:val="129"/>
              <w:widowControl w:val="0"/>
              <w:rPr>
                <w:rFonts w:eastAsia="Times New Roman"/>
                <w:color w:val="auto"/>
              </w:rPr>
            </w:pPr>
            <w:r>
              <w:rPr>
                <w:rFonts w:eastAsia="Times New Roman"/>
                <w:color w:val="auto"/>
              </w:rPr>
              <w:t>0.000005</w:t>
            </w:r>
          </w:p>
        </w:tc>
        <w:tc>
          <w:tcPr>
            <w:tcW w:w="855" w:type="pct"/>
            <w:tcBorders>
              <w:top w:val="single" w:color="000000" w:sz="2" w:space="0"/>
              <w:left w:val="single" w:color="000000" w:sz="2" w:space="0"/>
              <w:bottom w:val="single" w:color="000000" w:sz="2" w:space="0"/>
              <w:right w:val="single" w:color="000000" w:sz="8" w:space="0"/>
            </w:tcBorders>
            <w:vAlign w:val="center"/>
          </w:tcPr>
          <w:p w14:paraId="42722904">
            <w:pPr>
              <w:pStyle w:val="129"/>
              <w:widowControl w:val="0"/>
              <w:rPr>
                <w:rFonts w:eastAsia="Times New Roman"/>
                <w:color w:val="auto"/>
              </w:rPr>
            </w:pPr>
            <w:r>
              <w:rPr>
                <w:rFonts w:eastAsia="Times New Roman"/>
                <w:color w:val="auto"/>
              </w:rPr>
              <w:t>0.00004</w:t>
            </w:r>
          </w:p>
        </w:tc>
      </w:tr>
      <w:tr w14:paraId="0891DDD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tcBorders>
              <w:top w:val="single" w:color="000000" w:sz="2" w:space="0"/>
              <w:left w:val="single" w:color="000000" w:sz="8" w:space="0"/>
              <w:bottom w:val="single" w:color="000000" w:sz="2" w:space="0"/>
              <w:right w:val="single" w:color="000000" w:sz="2" w:space="0"/>
            </w:tcBorders>
            <w:vAlign w:val="center"/>
          </w:tcPr>
          <w:p w14:paraId="7A4A1786">
            <w:pPr>
              <w:pStyle w:val="129"/>
              <w:widowControl w:val="0"/>
              <w:rPr>
                <w:rFonts w:eastAsia="Times New Roman"/>
                <w:color w:val="auto"/>
              </w:rPr>
            </w:pPr>
            <w:r>
              <w:rPr>
                <w:rFonts w:eastAsia="Times New Roman"/>
                <w:color w:val="auto"/>
              </w:rPr>
              <w:t>4</w:t>
            </w:r>
          </w:p>
        </w:tc>
        <w:tc>
          <w:tcPr>
            <w:tcW w:w="430" w:type="pct"/>
            <w:tcBorders>
              <w:top w:val="single" w:color="000000" w:sz="2" w:space="0"/>
              <w:left w:val="single" w:color="000000" w:sz="2" w:space="0"/>
              <w:bottom w:val="single" w:color="000000" w:sz="2" w:space="0"/>
              <w:right w:val="single" w:color="000000" w:sz="2" w:space="0"/>
            </w:tcBorders>
            <w:vAlign w:val="center"/>
          </w:tcPr>
          <w:p w14:paraId="077577C1">
            <w:pPr>
              <w:pStyle w:val="129"/>
              <w:widowControl w:val="0"/>
              <w:rPr>
                <w:rFonts w:eastAsia="Times New Roman"/>
                <w:color w:val="auto"/>
              </w:rPr>
            </w:pPr>
            <w:r>
              <w:rPr>
                <w:rFonts w:hint="eastAsia" w:eastAsiaTheme="minorEastAsia"/>
                <w:color w:val="auto"/>
              </w:rPr>
              <w:t>DA004</w:t>
            </w:r>
          </w:p>
        </w:tc>
        <w:tc>
          <w:tcPr>
            <w:tcW w:w="1275" w:type="pct"/>
            <w:tcBorders>
              <w:top w:val="single" w:color="000000" w:sz="2" w:space="0"/>
              <w:left w:val="single" w:color="000000" w:sz="2" w:space="0"/>
              <w:bottom w:val="single" w:color="000000" w:sz="2" w:space="0"/>
              <w:right w:val="single" w:color="000000" w:sz="2" w:space="0"/>
            </w:tcBorders>
            <w:vAlign w:val="center"/>
          </w:tcPr>
          <w:p w14:paraId="407FD532">
            <w:pPr>
              <w:pStyle w:val="129"/>
              <w:widowControl w:val="0"/>
              <w:rPr>
                <w:rFonts w:eastAsia="Times New Roman"/>
                <w:color w:val="auto"/>
              </w:rPr>
            </w:pPr>
            <w:r>
              <w:rPr>
                <w:rFonts w:hint="eastAsia" w:ascii="宋体" w:hAnsi="宋体" w:eastAsia="Times New Roman" w:cs="宋体"/>
                <w:color w:val="auto"/>
              </w:rPr>
              <w:t>碳酸钠干燥包装排口</w:t>
            </w:r>
          </w:p>
        </w:tc>
        <w:tc>
          <w:tcPr>
            <w:tcW w:w="580" w:type="pct"/>
            <w:tcBorders>
              <w:top w:val="single" w:color="000000" w:sz="2" w:space="0"/>
              <w:left w:val="single" w:color="000000" w:sz="2" w:space="0"/>
              <w:bottom w:val="single" w:color="000000" w:sz="2" w:space="0"/>
              <w:right w:val="single" w:color="000000" w:sz="2" w:space="0"/>
            </w:tcBorders>
            <w:vAlign w:val="center"/>
          </w:tcPr>
          <w:p w14:paraId="0322ADD8">
            <w:pPr>
              <w:pStyle w:val="129"/>
              <w:widowControl w:val="0"/>
              <w:rPr>
                <w:rFonts w:eastAsia="Times New Roman"/>
                <w:color w:val="auto"/>
              </w:rPr>
            </w:pPr>
            <w:r>
              <w:rPr>
                <w:rFonts w:hint="eastAsia" w:ascii="宋体" w:hAnsi="宋体" w:eastAsia="Times New Roman" w:cs="宋体"/>
                <w:color w:val="auto"/>
              </w:rPr>
              <w:t>颗粒物</w:t>
            </w:r>
          </w:p>
        </w:tc>
        <w:tc>
          <w:tcPr>
            <w:tcW w:w="831" w:type="pct"/>
            <w:tcBorders>
              <w:top w:val="single" w:color="000000" w:sz="2" w:space="0"/>
              <w:left w:val="single" w:color="000000" w:sz="2" w:space="0"/>
              <w:bottom w:val="single" w:color="000000" w:sz="2" w:space="0"/>
              <w:right w:val="single" w:color="000000" w:sz="2" w:space="0"/>
            </w:tcBorders>
            <w:vAlign w:val="center"/>
          </w:tcPr>
          <w:p w14:paraId="6473E04E">
            <w:pPr>
              <w:pStyle w:val="129"/>
              <w:widowControl w:val="0"/>
              <w:rPr>
                <w:rFonts w:eastAsia="Times New Roman"/>
                <w:color w:val="auto"/>
              </w:rPr>
            </w:pPr>
            <w:r>
              <w:rPr>
                <w:rFonts w:eastAsia="Times New Roman"/>
                <w:color w:val="auto"/>
              </w:rPr>
              <w:t>6.4</w:t>
            </w:r>
          </w:p>
        </w:tc>
        <w:tc>
          <w:tcPr>
            <w:tcW w:w="815" w:type="pct"/>
            <w:tcBorders>
              <w:top w:val="single" w:color="000000" w:sz="2" w:space="0"/>
              <w:left w:val="single" w:color="000000" w:sz="2" w:space="0"/>
              <w:bottom w:val="single" w:color="000000" w:sz="2" w:space="0"/>
              <w:right w:val="single" w:color="000000" w:sz="2" w:space="0"/>
            </w:tcBorders>
            <w:vAlign w:val="center"/>
          </w:tcPr>
          <w:p w14:paraId="4C70E9F4">
            <w:pPr>
              <w:pStyle w:val="129"/>
              <w:widowControl w:val="0"/>
              <w:rPr>
                <w:rFonts w:eastAsia="Times New Roman"/>
                <w:color w:val="auto"/>
              </w:rPr>
            </w:pPr>
            <w:r>
              <w:rPr>
                <w:rFonts w:eastAsia="Times New Roman"/>
                <w:color w:val="auto"/>
              </w:rPr>
              <w:t>0.02</w:t>
            </w:r>
          </w:p>
        </w:tc>
        <w:tc>
          <w:tcPr>
            <w:tcW w:w="855" w:type="pct"/>
            <w:tcBorders>
              <w:top w:val="single" w:color="000000" w:sz="2" w:space="0"/>
              <w:left w:val="single" w:color="000000" w:sz="2" w:space="0"/>
              <w:bottom w:val="single" w:color="000000" w:sz="2" w:space="0"/>
              <w:right w:val="single" w:color="000000" w:sz="8" w:space="0"/>
            </w:tcBorders>
            <w:vAlign w:val="center"/>
          </w:tcPr>
          <w:p w14:paraId="22CC096A">
            <w:pPr>
              <w:pStyle w:val="129"/>
              <w:widowControl w:val="0"/>
              <w:rPr>
                <w:rFonts w:eastAsia="Times New Roman"/>
                <w:color w:val="auto"/>
              </w:rPr>
            </w:pPr>
            <w:r>
              <w:rPr>
                <w:rFonts w:eastAsia="Times New Roman"/>
                <w:color w:val="auto"/>
              </w:rPr>
              <w:t>0.15</w:t>
            </w:r>
          </w:p>
        </w:tc>
      </w:tr>
      <w:tr w14:paraId="3334C7D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restart"/>
            <w:tcBorders>
              <w:top w:val="single" w:color="000000" w:sz="2" w:space="0"/>
              <w:left w:val="single" w:color="000000" w:sz="8" w:space="0"/>
              <w:right w:val="single" w:color="000000" w:sz="2" w:space="0"/>
            </w:tcBorders>
            <w:vAlign w:val="center"/>
          </w:tcPr>
          <w:p w14:paraId="5EF8024E">
            <w:pPr>
              <w:pStyle w:val="129"/>
              <w:widowControl w:val="0"/>
              <w:rPr>
                <w:rFonts w:eastAsia="Times New Roman"/>
                <w:color w:val="auto"/>
              </w:rPr>
            </w:pPr>
            <w:r>
              <w:rPr>
                <w:rFonts w:eastAsia="Times New Roman"/>
                <w:color w:val="auto"/>
              </w:rPr>
              <w:t>5</w:t>
            </w:r>
          </w:p>
        </w:tc>
        <w:tc>
          <w:tcPr>
            <w:tcW w:w="430" w:type="pct"/>
            <w:vMerge w:val="restart"/>
            <w:tcBorders>
              <w:top w:val="single" w:color="000000" w:sz="2" w:space="0"/>
              <w:left w:val="single" w:color="000000" w:sz="2" w:space="0"/>
              <w:right w:val="single" w:color="000000" w:sz="2" w:space="0"/>
            </w:tcBorders>
            <w:vAlign w:val="center"/>
          </w:tcPr>
          <w:p w14:paraId="6B7D4093">
            <w:pPr>
              <w:pStyle w:val="129"/>
              <w:widowControl w:val="0"/>
              <w:rPr>
                <w:rFonts w:eastAsia="Times New Roman"/>
                <w:color w:val="auto"/>
              </w:rPr>
            </w:pPr>
            <w:r>
              <w:rPr>
                <w:rFonts w:hint="eastAsia" w:eastAsiaTheme="minorEastAsia"/>
                <w:color w:val="auto"/>
              </w:rPr>
              <w:t>DA005</w:t>
            </w:r>
          </w:p>
        </w:tc>
        <w:tc>
          <w:tcPr>
            <w:tcW w:w="1275" w:type="pct"/>
            <w:vMerge w:val="restart"/>
            <w:tcBorders>
              <w:top w:val="single" w:color="000000" w:sz="2" w:space="0"/>
              <w:left w:val="single" w:color="000000" w:sz="2" w:space="0"/>
              <w:right w:val="single" w:color="000000" w:sz="2" w:space="0"/>
            </w:tcBorders>
            <w:vAlign w:val="center"/>
          </w:tcPr>
          <w:p w14:paraId="3F234A3A">
            <w:pPr>
              <w:pStyle w:val="129"/>
              <w:widowControl w:val="0"/>
              <w:rPr>
                <w:rFonts w:eastAsia="Times New Roman"/>
                <w:color w:val="auto"/>
              </w:rPr>
            </w:pPr>
            <w:r>
              <w:rPr>
                <w:rFonts w:hint="eastAsia" w:ascii="宋体" w:hAnsi="宋体" w:eastAsia="Times New Roman" w:cs="宋体"/>
                <w:color w:val="auto"/>
              </w:rPr>
              <w:t>水铝石干燥包装排口</w:t>
            </w:r>
          </w:p>
        </w:tc>
        <w:tc>
          <w:tcPr>
            <w:tcW w:w="580" w:type="pct"/>
            <w:tcBorders>
              <w:top w:val="single" w:color="000000" w:sz="2" w:space="0"/>
              <w:left w:val="single" w:color="000000" w:sz="2" w:space="0"/>
              <w:bottom w:val="single" w:color="000000" w:sz="2" w:space="0"/>
              <w:right w:val="single" w:color="000000" w:sz="2" w:space="0"/>
            </w:tcBorders>
            <w:vAlign w:val="center"/>
          </w:tcPr>
          <w:p w14:paraId="47E3729B">
            <w:pPr>
              <w:pStyle w:val="129"/>
              <w:widowControl w:val="0"/>
              <w:rPr>
                <w:rFonts w:eastAsia="Times New Roman"/>
                <w:color w:val="auto"/>
              </w:rPr>
            </w:pPr>
            <w:r>
              <w:rPr>
                <w:rFonts w:hint="eastAsia" w:ascii="宋体" w:hAnsi="宋体" w:eastAsia="Times New Roman" w:cs="宋体"/>
                <w:color w:val="auto"/>
              </w:rPr>
              <w:t>颗粒物</w:t>
            </w:r>
          </w:p>
        </w:tc>
        <w:tc>
          <w:tcPr>
            <w:tcW w:w="831" w:type="pct"/>
            <w:tcBorders>
              <w:top w:val="single" w:color="000000" w:sz="2" w:space="0"/>
              <w:left w:val="single" w:color="000000" w:sz="2" w:space="0"/>
              <w:bottom w:val="single" w:color="000000" w:sz="2" w:space="0"/>
              <w:right w:val="single" w:color="000000" w:sz="2" w:space="0"/>
            </w:tcBorders>
            <w:vAlign w:val="center"/>
          </w:tcPr>
          <w:p w14:paraId="7BB06E7C">
            <w:pPr>
              <w:pStyle w:val="129"/>
              <w:widowControl w:val="0"/>
              <w:rPr>
                <w:rFonts w:eastAsia="Times New Roman"/>
                <w:color w:val="auto"/>
              </w:rPr>
            </w:pPr>
            <w:r>
              <w:rPr>
                <w:rFonts w:eastAsia="Times New Roman"/>
                <w:color w:val="auto"/>
              </w:rPr>
              <w:t>3.5</w:t>
            </w:r>
          </w:p>
        </w:tc>
        <w:tc>
          <w:tcPr>
            <w:tcW w:w="815" w:type="pct"/>
            <w:tcBorders>
              <w:top w:val="single" w:color="000000" w:sz="2" w:space="0"/>
              <w:left w:val="single" w:color="000000" w:sz="2" w:space="0"/>
              <w:bottom w:val="single" w:color="000000" w:sz="2" w:space="0"/>
              <w:right w:val="single" w:color="000000" w:sz="2" w:space="0"/>
            </w:tcBorders>
            <w:vAlign w:val="center"/>
          </w:tcPr>
          <w:p w14:paraId="3A8B8482">
            <w:pPr>
              <w:pStyle w:val="129"/>
              <w:widowControl w:val="0"/>
              <w:rPr>
                <w:rFonts w:eastAsia="Times New Roman"/>
                <w:color w:val="auto"/>
              </w:rPr>
            </w:pPr>
            <w:r>
              <w:rPr>
                <w:rFonts w:eastAsia="Times New Roman"/>
                <w:color w:val="auto"/>
              </w:rPr>
              <w:t>0.12</w:t>
            </w:r>
          </w:p>
        </w:tc>
        <w:tc>
          <w:tcPr>
            <w:tcW w:w="855" w:type="pct"/>
            <w:tcBorders>
              <w:top w:val="single" w:color="000000" w:sz="2" w:space="0"/>
              <w:left w:val="single" w:color="000000" w:sz="2" w:space="0"/>
              <w:bottom w:val="single" w:color="000000" w:sz="2" w:space="0"/>
              <w:right w:val="single" w:color="000000" w:sz="8" w:space="0"/>
            </w:tcBorders>
            <w:vAlign w:val="center"/>
          </w:tcPr>
          <w:p w14:paraId="156733A4">
            <w:pPr>
              <w:pStyle w:val="129"/>
              <w:widowControl w:val="0"/>
              <w:rPr>
                <w:rFonts w:eastAsia="Times New Roman"/>
                <w:color w:val="auto"/>
              </w:rPr>
            </w:pPr>
            <w:r>
              <w:rPr>
                <w:rFonts w:eastAsia="Times New Roman"/>
                <w:color w:val="auto"/>
              </w:rPr>
              <w:t>1.00</w:t>
            </w:r>
          </w:p>
        </w:tc>
      </w:tr>
      <w:tr w14:paraId="5D4CA67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left w:val="single" w:color="000000" w:sz="8" w:space="0"/>
              <w:right w:val="single" w:color="000000" w:sz="2" w:space="0"/>
            </w:tcBorders>
            <w:vAlign w:val="center"/>
          </w:tcPr>
          <w:p w14:paraId="0AE32B7F">
            <w:pPr>
              <w:pStyle w:val="129"/>
              <w:widowControl w:val="0"/>
              <w:rPr>
                <w:rFonts w:eastAsia="Times New Roman"/>
                <w:color w:val="auto"/>
              </w:rPr>
            </w:pPr>
          </w:p>
        </w:tc>
        <w:tc>
          <w:tcPr>
            <w:tcW w:w="430" w:type="pct"/>
            <w:vMerge w:val="continue"/>
            <w:tcBorders>
              <w:left w:val="single" w:color="000000" w:sz="2" w:space="0"/>
              <w:right w:val="single" w:color="000000" w:sz="2" w:space="0"/>
            </w:tcBorders>
            <w:vAlign w:val="center"/>
          </w:tcPr>
          <w:p w14:paraId="480856F1">
            <w:pPr>
              <w:pStyle w:val="129"/>
              <w:widowControl w:val="0"/>
              <w:rPr>
                <w:rFonts w:eastAsiaTheme="minorEastAsia"/>
                <w:color w:val="auto"/>
              </w:rPr>
            </w:pPr>
          </w:p>
        </w:tc>
        <w:tc>
          <w:tcPr>
            <w:tcW w:w="1275" w:type="pct"/>
            <w:vMerge w:val="continue"/>
            <w:tcBorders>
              <w:left w:val="single" w:color="000000" w:sz="2" w:space="0"/>
              <w:right w:val="single" w:color="000000" w:sz="2" w:space="0"/>
            </w:tcBorders>
            <w:vAlign w:val="center"/>
          </w:tcPr>
          <w:p w14:paraId="02FC310C">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1FF25681">
            <w:pPr>
              <w:pStyle w:val="129"/>
              <w:widowControl w:val="0"/>
              <w:rPr>
                <w:rFonts w:eastAsia="Times New Roman"/>
                <w:color w:val="auto"/>
              </w:rPr>
            </w:pPr>
            <w:r>
              <w:rPr>
                <w:rStyle w:val="1313"/>
                <w:rFonts w:hint="default" w:ascii="Times New Roman" w:hAnsi="Times New Roman" w:cs="Times New Roman"/>
                <w:color w:val="auto"/>
              </w:rPr>
              <w:t>SO</w:t>
            </w:r>
            <w:r>
              <w:rPr>
                <w:rStyle w:val="1485"/>
                <w:rFonts w:hint="default" w:ascii="Times New Roman" w:hAnsi="Times New Roman"/>
                <w:color w:val="auto"/>
                <w:sz w:val="21"/>
                <w:szCs w:val="21"/>
                <w:vertAlign w:val="subscript"/>
              </w:rPr>
              <w:t>2</w:t>
            </w:r>
          </w:p>
        </w:tc>
        <w:tc>
          <w:tcPr>
            <w:tcW w:w="831" w:type="pct"/>
            <w:tcBorders>
              <w:top w:val="single" w:color="000000" w:sz="2" w:space="0"/>
              <w:left w:val="single" w:color="000000" w:sz="2" w:space="0"/>
              <w:bottom w:val="single" w:color="000000" w:sz="2" w:space="0"/>
              <w:right w:val="single" w:color="000000" w:sz="2" w:space="0"/>
            </w:tcBorders>
            <w:vAlign w:val="center"/>
          </w:tcPr>
          <w:p w14:paraId="2EED4EBC">
            <w:pPr>
              <w:pStyle w:val="129"/>
              <w:widowControl w:val="0"/>
              <w:rPr>
                <w:rFonts w:eastAsia="Times New Roman"/>
                <w:color w:val="auto"/>
              </w:rPr>
            </w:pPr>
            <w:r>
              <w:rPr>
                <w:rFonts w:eastAsia="Times New Roman"/>
                <w:color w:val="auto"/>
              </w:rPr>
              <w:t>0.3</w:t>
            </w:r>
          </w:p>
        </w:tc>
        <w:tc>
          <w:tcPr>
            <w:tcW w:w="815" w:type="pct"/>
            <w:tcBorders>
              <w:top w:val="single" w:color="000000" w:sz="2" w:space="0"/>
              <w:left w:val="single" w:color="000000" w:sz="2" w:space="0"/>
              <w:bottom w:val="single" w:color="000000" w:sz="2" w:space="0"/>
              <w:right w:val="single" w:color="000000" w:sz="2" w:space="0"/>
            </w:tcBorders>
            <w:vAlign w:val="center"/>
          </w:tcPr>
          <w:p w14:paraId="60F251CB">
            <w:pPr>
              <w:pStyle w:val="129"/>
              <w:widowControl w:val="0"/>
              <w:rPr>
                <w:rFonts w:eastAsia="Times New Roman"/>
                <w:color w:val="auto"/>
              </w:rPr>
            </w:pPr>
            <w:r>
              <w:rPr>
                <w:rFonts w:eastAsia="Times New Roman"/>
                <w:color w:val="auto"/>
              </w:rPr>
              <w:t>0.01</w:t>
            </w:r>
          </w:p>
        </w:tc>
        <w:tc>
          <w:tcPr>
            <w:tcW w:w="855" w:type="pct"/>
            <w:tcBorders>
              <w:top w:val="single" w:color="000000" w:sz="2" w:space="0"/>
              <w:left w:val="single" w:color="000000" w:sz="2" w:space="0"/>
              <w:bottom w:val="single" w:color="000000" w:sz="2" w:space="0"/>
              <w:right w:val="single" w:color="000000" w:sz="8" w:space="0"/>
            </w:tcBorders>
            <w:vAlign w:val="center"/>
          </w:tcPr>
          <w:p w14:paraId="4B38CE3C">
            <w:pPr>
              <w:pStyle w:val="129"/>
              <w:widowControl w:val="0"/>
              <w:rPr>
                <w:rFonts w:eastAsia="Times New Roman"/>
                <w:color w:val="auto"/>
              </w:rPr>
            </w:pPr>
            <w:r>
              <w:rPr>
                <w:rFonts w:eastAsia="Times New Roman"/>
                <w:color w:val="auto"/>
              </w:rPr>
              <w:t>0.095</w:t>
            </w:r>
          </w:p>
        </w:tc>
      </w:tr>
      <w:tr w14:paraId="2227272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left w:val="single" w:color="000000" w:sz="8" w:space="0"/>
              <w:bottom w:val="single" w:color="000000" w:sz="2" w:space="0"/>
              <w:right w:val="single" w:color="000000" w:sz="2" w:space="0"/>
            </w:tcBorders>
            <w:vAlign w:val="center"/>
          </w:tcPr>
          <w:p w14:paraId="609A244D">
            <w:pPr>
              <w:pStyle w:val="129"/>
              <w:widowControl w:val="0"/>
              <w:rPr>
                <w:rFonts w:eastAsia="Times New Roman"/>
                <w:color w:val="auto"/>
              </w:rPr>
            </w:pPr>
          </w:p>
        </w:tc>
        <w:tc>
          <w:tcPr>
            <w:tcW w:w="430" w:type="pct"/>
            <w:vMerge w:val="continue"/>
            <w:tcBorders>
              <w:left w:val="single" w:color="000000" w:sz="2" w:space="0"/>
              <w:bottom w:val="single" w:color="000000" w:sz="2" w:space="0"/>
              <w:right w:val="single" w:color="000000" w:sz="2" w:space="0"/>
            </w:tcBorders>
            <w:vAlign w:val="center"/>
          </w:tcPr>
          <w:p w14:paraId="146F835B">
            <w:pPr>
              <w:pStyle w:val="129"/>
              <w:widowControl w:val="0"/>
              <w:rPr>
                <w:rFonts w:eastAsia="Times New Roman"/>
                <w:color w:val="auto"/>
              </w:rPr>
            </w:pPr>
          </w:p>
        </w:tc>
        <w:tc>
          <w:tcPr>
            <w:tcW w:w="1275" w:type="pct"/>
            <w:vMerge w:val="continue"/>
            <w:tcBorders>
              <w:left w:val="single" w:color="000000" w:sz="2" w:space="0"/>
              <w:bottom w:val="single" w:color="000000" w:sz="2" w:space="0"/>
              <w:right w:val="single" w:color="000000" w:sz="2" w:space="0"/>
            </w:tcBorders>
            <w:vAlign w:val="center"/>
          </w:tcPr>
          <w:p w14:paraId="150EE452">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7759E258">
            <w:pPr>
              <w:pStyle w:val="129"/>
              <w:widowControl w:val="0"/>
              <w:rPr>
                <w:rFonts w:eastAsia="Times New Roman"/>
                <w:color w:val="auto"/>
              </w:rPr>
            </w:pPr>
            <w:r>
              <w:rPr>
                <w:rStyle w:val="1313"/>
                <w:rFonts w:hint="default" w:ascii="Times New Roman" w:hAnsi="Times New Roman" w:cs="Times New Roman"/>
                <w:color w:val="auto"/>
              </w:rPr>
              <w:t>NO</w:t>
            </w:r>
            <w:r>
              <w:rPr>
                <w:rStyle w:val="1485"/>
                <w:rFonts w:hint="default" w:ascii="Times New Roman" w:hAnsi="Times New Roman"/>
                <w:color w:val="auto"/>
                <w:sz w:val="21"/>
                <w:szCs w:val="21"/>
                <w:vertAlign w:val="subscript"/>
              </w:rPr>
              <w:t>X</w:t>
            </w:r>
          </w:p>
        </w:tc>
        <w:tc>
          <w:tcPr>
            <w:tcW w:w="831" w:type="pct"/>
            <w:tcBorders>
              <w:top w:val="single" w:color="000000" w:sz="2" w:space="0"/>
              <w:left w:val="single" w:color="000000" w:sz="2" w:space="0"/>
              <w:bottom w:val="single" w:color="000000" w:sz="2" w:space="0"/>
              <w:right w:val="single" w:color="000000" w:sz="2" w:space="0"/>
            </w:tcBorders>
            <w:vAlign w:val="center"/>
          </w:tcPr>
          <w:p w14:paraId="4E4D51E3">
            <w:pPr>
              <w:pStyle w:val="129"/>
              <w:widowControl w:val="0"/>
              <w:rPr>
                <w:rFonts w:eastAsia="Times New Roman"/>
                <w:color w:val="auto"/>
              </w:rPr>
            </w:pPr>
            <w:r>
              <w:rPr>
                <w:rFonts w:eastAsia="Times New Roman"/>
                <w:color w:val="auto"/>
              </w:rPr>
              <w:t>4.0</w:t>
            </w:r>
          </w:p>
        </w:tc>
        <w:tc>
          <w:tcPr>
            <w:tcW w:w="815" w:type="pct"/>
            <w:tcBorders>
              <w:top w:val="single" w:color="000000" w:sz="2" w:space="0"/>
              <w:left w:val="single" w:color="000000" w:sz="2" w:space="0"/>
              <w:bottom w:val="single" w:color="000000" w:sz="2" w:space="0"/>
              <w:right w:val="single" w:color="000000" w:sz="2" w:space="0"/>
            </w:tcBorders>
            <w:vAlign w:val="center"/>
          </w:tcPr>
          <w:p w14:paraId="074B5E7D">
            <w:pPr>
              <w:pStyle w:val="129"/>
              <w:widowControl w:val="0"/>
              <w:rPr>
                <w:rFonts w:eastAsia="Times New Roman"/>
                <w:color w:val="auto"/>
              </w:rPr>
            </w:pPr>
            <w:r>
              <w:rPr>
                <w:rFonts w:eastAsia="Times New Roman"/>
                <w:color w:val="auto"/>
              </w:rPr>
              <w:t>0.15</w:t>
            </w:r>
          </w:p>
        </w:tc>
        <w:tc>
          <w:tcPr>
            <w:tcW w:w="855" w:type="pct"/>
            <w:tcBorders>
              <w:top w:val="single" w:color="000000" w:sz="2" w:space="0"/>
              <w:left w:val="single" w:color="000000" w:sz="2" w:space="0"/>
              <w:bottom w:val="single" w:color="000000" w:sz="2" w:space="0"/>
              <w:right w:val="single" w:color="000000" w:sz="8" w:space="0"/>
            </w:tcBorders>
            <w:vAlign w:val="center"/>
          </w:tcPr>
          <w:p w14:paraId="71749FE6">
            <w:pPr>
              <w:pStyle w:val="129"/>
              <w:widowControl w:val="0"/>
              <w:rPr>
                <w:rFonts w:eastAsia="Times New Roman"/>
                <w:color w:val="auto"/>
              </w:rPr>
            </w:pPr>
            <w:r>
              <w:rPr>
                <w:rFonts w:eastAsia="Times New Roman"/>
                <w:color w:val="auto"/>
              </w:rPr>
              <w:t>1.16</w:t>
            </w:r>
          </w:p>
        </w:tc>
      </w:tr>
      <w:tr w14:paraId="37FF503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restart"/>
            <w:tcBorders>
              <w:top w:val="single" w:color="000000" w:sz="2" w:space="0"/>
              <w:left w:val="single" w:color="000000" w:sz="8" w:space="0"/>
              <w:bottom w:val="single" w:color="000000" w:sz="2" w:space="0"/>
              <w:right w:val="single" w:color="000000" w:sz="2" w:space="0"/>
            </w:tcBorders>
            <w:vAlign w:val="center"/>
          </w:tcPr>
          <w:p w14:paraId="5314D81B">
            <w:pPr>
              <w:pStyle w:val="129"/>
              <w:widowControl w:val="0"/>
              <w:rPr>
                <w:rFonts w:eastAsia="Times New Roman"/>
                <w:color w:val="auto"/>
              </w:rPr>
            </w:pPr>
            <w:r>
              <w:rPr>
                <w:rFonts w:hint="eastAsia" w:eastAsiaTheme="minorEastAsia"/>
                <w:color w:val="auto"/>
              </w:rPr>
              <w:t>6</w:t>
            </w:r>
          </w:p>
        </w:tc>
        <w:tc>
          <w:tcPr>
            <w:tcW w:w="430" w:type="pct"/>
            <w:vMerge w:val="restart"/>
            <w:tcBorders>
              <w:top w:val="single" w:color="000000" w:sz="2" w:space="0"/>
              <w:left w:val="single" w:color="000000" w:sz="2" w:space="0"/>
              <w:bottom w:val="single" w:color="000000" w:sz="2" w:space="0"/>
              <w:right w:val="single" w:color="000000" w:sz="2" w:space="0"/>
            </w:tcBorders>
            <w:vAlign w:val="center"/>
          </w:tcPr>
          <w:p w14:paraId="61B369B6">
            <w:pPr>
              <w:pStyle w:val="129"/>
              <w:widowControl w:val="0"/>
              <w:rPr>
                <w:rFonts w:eastAsia="Times New Roman"/>
                <w:color w:val="auto"/>
              </w:rPr>
            </w:pPr>
            <w:r>
              <w:rPr>
                <w:rFonts w:eastAsia="Times New Roman"/>
                <w:color w:val="auto"/>
              </w:rPr>
              <w:t>DA00</w:t>
            </w:r>
            <w:r>
              <w:rPr>
                <w:rFonts w:hint="eastAsia" w:eastAsiaTheme="minorEastAsia"/>
                <w:color w:val="auto"/>
              </w:rPr>
              <w:t>6</w:t>
            </w:r>
          </w:p>
        </w:tc>
        <w:tc>
          <w:tcPr>
            <w:tcW w:w="1275" w:type="pct"/>
            <w:vMerge w:val="restart"/>
            <w:tcBorders>
              <w:top w:val="single" w:color="000000" w:sz="2" w:space="0"/>
              <w:left w:val="single" w:color="000000" w:sz="2" w:space="0"/>
              <w:bottom w:val="single" w:color="000000" w:sz="2" w:space="0"/>
              <w:right w:val="single" w:color="000000" w:sz="2" w:space="0"/>
            </w:tcBorders>
            <w:vAlign w:val="center"/>
          </w:tcPr>
          <w:p w14:paraId="3AEB4628">
            <w:pPr>
              <w:pStyle w:val="129"/>
              <w:widowControl w:val="0"/>
              <w:rPr>
                <w:rFonts w:eastAsia="Times New Roman"/>
                <w:color w:val="auto"/>
              </w:rPr>
            </w:pPr>
            <w:r>
              <w:rPr>
                <w:rFonts w:hint="eastAsia" w:ascii="宋体" w:hAnsi="宋体" w:eastAsia="Times New Roman" w:cs="宋体"/>
                <w:color w:val="auto"/>
              </w:rPr>
              <w:t>催化剂生产干燥废气总排口</w:t>
            </w:r>
          </w:p>
        </w:tc>
        <w:tc>
          <w:tcPr>
            <w:tcW w:w="580" w:type="pct"/>
            <w:tcBorders>
              <w:top w:val="single" w:color="000000" w:sz="2" w:space="0"/>
              <w:left w:val="single" w:color="000000" w:sz="2" w:space="0"/>
              <w:bottom w:val="single" w:color="000000" w:sz="2" w:space="0"/>
              <w:right w:val="single" w:color="000000" w:sz="2" w:space="0"/>
            </w:tcBorders>
            <w:vAlign w:val="center"/>
          </w:tcPr>
          <w:p w14:paraId="6EEF3A9B">
            <w:pPr>
              <w:pStyle w:val="129"/>
              <w:widowControl w:val="0"/>
              <w:rPr>
                <w:rFonts w:eastAsia="Times New Roman"/>
                <w:color w:val="auto"/>
              </w:rPr>
            </w:pPr>
            <w:r>
              <w:rPr>
                <w:rFonts w:hint="eastAsia" w:eastAsia="Times New Roman"/>
                <w:color w:val="auto"/>
              </w:rPr>
              <w:t>颗粒物</w:t>
            </w:r>
          </w:p>
        </w:tc>
        <w:tc>
          <w:tcPr>
            <w:tcW w:w="831" w:type="pct"/>
            <w:tcBorders>
              <w:top w:val="single" w:color="000000" w:sz="2" w:space="0"/>
              <w:left w:val="single" w:color="000000" w:sz="2" w:space="0"/>
              <w:bottom w:val="single" w:color="000000" w:sz="2" w:space="0"/>
              <w:right w:val="single" w:color="000000" w:sz="2" w:space="0"/>
            </w:tcBorders>
            <w:vAlign w:val="center"/>
          </w:tcPr>
          <w:p w14:paraId="6AA8307C">
            <w:pPr>
              <w:pStyle w:val="129"/>
              <w:widowControl w:val="0"/>
              <w:rPr>
                <w:rFonts w:eastAsia="Times New Roman"/>
                <w:color w:val="auto"/>
              </w:rPr>
            </w:pPr>
            <w:r>
              <w:rPr>
                <w:rFonts w:eastAsia="Times New Roman"/>
                <w:color w:val="auto"/>
              </w:rPr>
              <w:t>9.38</w:t>
            </w:r>
          </w:p>
        </w:tc>
        <w:tc>
          <w:tcPr>
            <w:tcW w:w="815" w:type="pct"/>
            <w:tcBorders>
              <w:top w:val="single" w:color="000000" w:sz="2" w:space="0"/>
              <w:left w:val="single" w:color="000000" w:sz="2" w:space="0"/>
              <w:bottom w:val="single" w:color="000000" w:sz="2" w:space="0"/>
              <w:right w:val="single" w:color="000000" w:sz="2" w:space="0"/>
            </w:tcBorders>
            <w:vAlign w:val="center"/>
          </w:tcPr>
          <w:p w14:paraId="5158FFB4">
            <w:pPr>
              <w:pStyle w:val="129"/>
              <w:widowControl w:val="0"/>
              <w:rPr>
                <w:rFonts w:eastAsia="Times New Roman"/>
                <w:color w:val="auto"/>
              </w:rPr>
            </w:pPr>
            <w:r>
              <w:rPr>
                <w:rFonts w:eastAsia="Times New Roman"/>
                <w:color w:val="auto"/>
              </w:rPr>
              <w:t>0.44</w:t>
            </w:r>
          </w:p>
        </w:tc>
        <w:tc>
          <w:tcPr>
            <w:tcW w:w="855" w:type="pct"/>
            <w:tcBorders>
              <w:top w:val="single" w:color="000000" w:sz="2" w:space="0"/>
              <w:left w:val="single" w:color="000000" w:sz="2" w:space="0"/>
              <w:bottom w:val="single" w:color="000000" w:sz="2" w:space="0"/>
              <w:right w:val="single" w:color="000000" w:sz="8" w:space="0"/>
            </w:tcBorders>
            <w:vAlign w:val="center"/>
          </w:tcPr>
          <w:p w14:paraId="5E56837E">
            <w:pPr>
              <w:pStyle w:val="129"/>
              <w:widowControl w:val="0"/>
              <w:rPr>
                <w:rFonts w:eastAsia="Times New Roman"/>
                <w:color w:val="auto"/>
              </w:rPr>
            </w:pPr>
            <w:r>
              <w:rPr>
                <w:rFonts w:eastAsia="Times New Roman"/>
                <w:color w:val="auto"/>
              </w:rPr>
              <w:t>3.48</w:t>
            </w:r>
          </w:p>
        </w:tc>
      </w:tr>
      <w:tr w14:paraId="4696C7D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58B526D8">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38A016A5">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70917A2D">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18090012">
            <w:pPr>
              <w:pStyle w:val="129"/>
              <w:widowControl w:val="0"/>
              <w:rPr>
                <w:rFonts w:eastAsia="Times New Roman"/>
                <w:color w:val="auto"/>
              </w:rPr>
            </w:pPr>
            <w:r>
              <w:rPr>
                <w:rFonts w:eastAsia="Times New Roman"/>
                <w:color w:val="auto"/>
              </w:rPr>
              <w:t>SO</w:t>
            </w:r>
            <w:r>
              <w:rPr>
                <w:rFonts w:eastAsia="Times New Roman"/>
                <w:color w:val="auto"/>
                <w:vertAlign w:val="subscript"/>
              </w:rPr>
              <w:t>2</w:t>
            </w:r>
          </w:p>
        </w:tc>
        <w:tc>
          <w:tcPr>
            <w:tcW w:w="831" w:type="pct"/>
            <w:tcBorders>
              <w:top w:val="single" w:color="000000" w:sz="2" w:space="0"/>
              <w:left w:val="single" w:color="000000" w:sz="2" w:space="0"/>
              <w:bottom w:val="single" w:color="000000" w:sz="2" w:space="0"/>
              <w:right w:val="single" w:color="000000" w:sz="2" w:space="0"/>
            </w:tcBorders>
            <w:vAlign w:val="center"/>
          </w:tcPr>
          <w:p w14:paraId="2C545F6C">
            <w:pPr>
              <w:pStyle w:val="129"/>
              <w:widowControl w:val="0"/>
              <w:rPr>
                <w:rFonts w:eastAsia="Times New Roman"/>
                <w:color w:val="auto"/>
              </w:rPr>
            </w:pPr>
            <w:r>
              <w:rPr>
                <w:rFonts w:eastAsia="Times New Roman"/>
                <w:color w:val="auto"/>
              </w:rPr>
              <w:t>0.43</w:t>
            </w:r>
          </w:p>
        </w:tc>
        <w:tc>
          <w:tcPr>
            <w:tcW w:w="815" w:type="pct"/>
            <w:tcBorders>
              <w:top w:val="single" w:color="000000" w:sz="2" w:space="0"/>
              <w:left w:val="single" w:color="000000" w:sz="2" w:space="0"/>
              <w:bottom w:val="single" w:color="000000" w:sz="2" w:space="0"/>
              <w:right w:val="single" w:color="000000" w:sz="2" w:space="0"/>
            </w:tcBorders>
            <w:vAlign w:val="center"/>
          </w:tcPr>
          <w:p w14:paraId="3BDD8482">
            <w:pPr>
              <w:pStyle w:val="129"/>
              <w:widowControl w:val="0"/>
              <w:rPr>
                <w:rFonts w:eastAsia="Times New Roman"/>
                <w:color w:val="auto"/>
              </w:rPr>
            </w:pPr>
            <w:r>
              <w:rPr>
                <w:rFonts w:eastAsia="Times New Roman"/>
                <w:color w:val="auto"/>
              </w:rPr>
              <w:t>0.02</w:t>
            </w:r>
          </w:p>
        </w:tc>
        <w:tc>
          <w:tcPr>
            <w:tcW w:w="855" w:type="pct"/>
            <w:tcBorders>
              <w:top w:val="single" w:color="000000" w:sz="2" w:space="0"/>
              <w:left w:val="single" w:color="000000" w:sz="2" w:space="0"/>
              <w:bottom w:val="single" w:color="000000" w:sz="2" w:space="0"/>
              <w:right w:val="single" w:color="000000" w:sz="8" w:space="0"/>
            </w:tcBorders>
            <w:vAlign w:val="center"/>
          </w:tcPr>
          <w:p w14:paraId="3C3133A3">
            <w:pPr>
              <w:pStyle w:val="129"/>
              <w:widowControl w:val="0"/>
              <w:rPr>
                <w:rFonts w:eastAsia="Times New Roman"/>
                <w:color w:val="auto"/>
              </w:rPr>
            </w:pPr>
            <w:r>
              <w:rPr>
                <w:rFonts w:eastAsia="Times New Roman"/>
                <w:color w:val="auto"/>
              </w:rPr>
              <w:t>0.160</w:t>
            </w:r>
          </w:p>
        </w:tc>
      </w:tr>
      <w:tr w14:paraId="7F7DAA0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217D2B7E">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59FA56F1">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73E6310B">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60F45680">
            <w:pPr>
              <w:pStyle w:val="129"/>
              <w:widowControl w:val="0"/>
              <w:rPr>
                <w:rFonts w:eastAsia="Times New Roman"/>
                <w:color w:val="auto"/>
              </w:rPr>
            </w:pPr>
            <w:r>
              <w:rPr>
                <w:rFonts w:eastAsia="Times New Roman"/>
                <w:color w:val="auto"/>
              </w:rPr>
              <w:t>NO</w:t>
            </w:r>
            <w:r>
              <w:rPr>
                <w:rFonts w:eastAsia="Times New Roman"/>
                <w:color w:val="auto"/>
                <w:vertAlign w:val="subscript"/>
              </w:rPr>
              <w:t>X</w:t>
            </w:r>
          </w:p>
        </w:tc>
        <w:tc>
          <w:tcPr>
            <w:tcW w:w="831" w:type="pct"/>
            <w:tcBorders>
              <w:top w:val="single" w:color="000000" w:sz="2" w:space="0"/>
              <w:left w:val="single" w:color="000000" w:sz="2" w:space="0"/>
              <w:bottom w:val="single" w:color="000000" w:sz="2" w:space="0"/>
              <w:right w:val="single" w:color="000000" w:sz="2" w:space="0"/>
            </w:tcBorders>
            <w:vAlign w:val="center"/>
          </w:tcPr>
          <w:p w14:paraId="18A74EBC">
            <w:pPr>
              <w:pStyle w:val="129"/>
              <w:widowControl w:val="0"/>
              <w:rPr>
                <w:rFonts w:eastAsia="Times New Roman"/>
                <w:color w:val="auto"/>
              </w:rPr>
            </w:pPr>
            <w:r>
              <w:rPr>
                <w:rFonts w:eastAsia="Times New Roman"/>
                <w:color w:val="auto"/>
              </w:rPr>
              <w:t>5.28</w:t>
            </w:r>
          </w:p>
        </w:tc>
        <w:tc>
          <w:tcPr>
            <w:tcW w:w="815" w:type="pct"/>
            <w:tcBorders>
              <w:top w:val="single" w:color="000000" w:sz="2" w:space="0"/>
              <w:left w:val="single" w:color="000000" w:sz="2" w:space="0"/>
              <w:bottom w:val="single" w:color="000000" w:sz="2" w:space="0"/>
              <w:right w:val="single" w:color="000000" w:sz="2" w:space="0"/>
            </w:tcBorders>
            <w:vAlign w:val="center"/>
          </w:tcPr>
          <w:p w14:paraId="65843ACA">
            <w:pPr>
              <w:pStyle w:val="129"/>
              <w:widowControl w:val="0"/>
              <w:rPr>
                <w:rFonts w:eastAsia="Times New Roman"/>
                <w:color w:val="auto"/>
              </w:rPr>
            </w:pPr>
            <w:r>
              <w:rPr>
                <w:rFonts w:eastAsia="Times New Roman"/>
                <w:color w:val="auto"/>
              </w:rPr>
              <w:t>0.24</w:t>
            </w:r>
          </w:p>
        </w:tc>
        <w:tc>
          <w:tcPr>
            <w:tcW w:w="855" w:type="pct"/>
            <w:tcBorders>
              <w:top w:val="single" w:color="000000" w:sz="2" w:space="0"/>
              <w:left w:val="single" w:color="000000" w:sz="2" w:space="0"/>
              <w:bottom w:val="single" w:color="000000" w:sz="2" w:space="0"/>
              <w:right w:val="single" w:color="000000" w:sz="8" w:space="0"/>
            </w:tcBorders>
            <w:vAlign w:val="center"/>
          </w:tcPr>
          <w:p w14:paraId="1CD055F0">
            <w:pPr>
              <w:pStyle w:val="129"/>
              <w:widowControl w:val="0"/>
              <w:rPr>
                <w:rFonts w:eastAsia="Times New Roman"/>
                <w:color w:val="auto"/>
              </w:rPr>
            </w:pPr>
            <w:r>
              <w:rPr>
                <w:rFonts w:eastAsia="Times New Roman"/>
                <w:color w:val="auto"/>
              </w:rPr>
              <w:t>1.959</w:t>
            </w:r>
          </w:p>
        </w:tc>
      </w:tr>
      <w:tr w14:paraId="33FD569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restart"/>
            <w:tcBorders>
              <w:top w:val="single" w:color="000000" w:sz="2" w:space="0"/>
              <w:left w:val="single" w:color="000000" w:sz="8" w:space="0"/>
              <w:bottom w:val="single" w:color="000000" w:sz="2" w:space="0"/>
              <w:right w:val="single" w:color="000000" w:sz="2" w:space="0"/>
            </w:tcBorders>
            <w:vAlign w:val="center"/>
          </w:tcPr>
          <w:p w14:paraId="12EFF60E">
            <w:pPr>
              <w:pStyle w:val="129"/>
              <w:widowControl w:val="0"/>
              <w:rPr>
                <w:rFonts w:eastAsia="Times New Roman"/>
                <w:color w:val="auto"/>
              </w:rPr>
            </w:pPr>
            <w:r>
              <w:rPr>
                <w:rFonts w:hint="eastAsia" w:eastAsiaTheme="minorEastAsia"/>
                <w:color w:val="auto"/>
              </w:rPr>
              <w:t>7</w:t>
            </w:r>
          </w:p>
        </w:tc>
        <w:tc>
          <w:tcPr>
            <w:tcW w:w="430" w:type="pct"/>
            <w:vMerge w:val="restart"/>
            <w:tcBorders>
              <w:top w:val="single" w:color="000000" w:sz="2" w:space="0"/>
              <w:left w:val="single" w:color="000000" w:sz="2" w:space="0"/>
              <w:bottom w:val="single" w:color="000000" w:sz="2" w:space="0"/>
              <w:right w:val="single" w:color="000000" w:sz="2" w:space="0"/>
            </w:tcBorders>
            <w:vAlign w:val="center"/>
          </w:tcPr>
          <w:p w14:paraId="1ABF3D26">
            <w:pPr>
              <w:pStyle w:val="129"/>
              <w:widowControl w:val="0"/>
              <w:rPr>
                <w:rFonts w:eastAsia="Times New Roman"/>
                <w:color w:val="auto"/>
              </w:rPr>
            </w:pPr>
            <w:r>
              <w:rPr>
                <w:rFonts w:eastAsia="Times New Roman"/>
                <w:color w:val="auto"/>
              </w:rPr>
              <w:t>DA00</w:t>
            </w:r>
            <w:r>
              <w:rPr>
                <w:rFonts w:hint="eastAsia" w:eastAsiaTheme="minorEastAsia"/>
                <w:color w:val="auto"/>
              </w:rPr>
              <w:t>7</w:t>
            </w:r>
          </w:p>
        </w:tc>
        <w:tc>
          <w:tcPr>
            <w:tcW w:w="1275" w:type="pct"/>
            <w:vMerge w:val="restart"/>
            <w:tcBorders>
              <w:top w:val="single" w:color="000000" w:sz="2" w:space="0"/>
              <w:left w:val="single" w:color="000000" w:sz="2" w:space="0"/>
              <w:bottom w:val="single" w:color="000000" w:sz="2" w:space="0"/>
              <w:right w:val="single" w:color="000000" w:sz="2" w:space="0"/>
            </w:tcBorders>
            <w:vAlign w:val="center"/>
          </w:tcPr>
          <w:p w14:paraId="359987EA">
            <w:pPr>
              <w:pStyle w:val="129"/>
              <w:widowControl w:val="0"/>
              <w:rPr>
                <w:rFonts w:eastAsia="Times New Roman"/>
                <w:color w:val="auto"/>
              </w:rPr>
            </w:pPr>
            <w:r>
              <w:rPr>
                <w:rFonts w:hint="eastAsia" w:ascii="宋体" w:hAnsi="宋体" w:eastAsia="Times New Roman" w:cs="宋体"/>
                <w:color w:val="auto"/>
              </w:rPr>
              <w:t>催化剂生产焙烧废气总排口</w:t>
            </w:r>
          </w:p>
        </w:tc>
        <w:tc>
          <w:tcPr>
            <w:tcW w:w="580" w:type="pct"/>
            <w:tcBorders>
              <w:top w:val="single" w:color="000000" w:sz="2" w:space="0"/>
              <w:left w:val="single" w:color="000000" w:sz="2" w:space="0"/>
              <w:bottom w:val="single" w:color="000000" w:sz="2" w:space="0"/>
              <w:right w:val="single" w:color="000000" w:sz="2" w:space="0"/>
            </w:tcBorders>
            <w:vAlign w:val="center"/>
          </w:tcPr>
          <w:p w14:paraId="5DFFDCD2">
            <w:pPr>
              <w:pStyle w:val="129"/>
              <w:widowControl w:val="0"/>
              <w:rPr>
                <w:rFonts w:eastAsia="Times New Roman"/>
                <w:color w:val="auto"/>
              </w:rPr>
            </w:pPr>
            <w:r>
              <w:rPr>
                <w:rFonts w:hint="eastAsia" w:eastAsia="Times New Roman"/>
                <w:color w:val="auto"/>
              </w:rPr>
              <w:t>颗粒物</w:t>
            </w:r>
          </w:p>
        </w:tc>
        <w:tc>
          <w:tcPr>
            <w:tcW w:w="831" w:type="pct"/>
            <w:tcBorders>
              <w:top w:val="single" w:color="000000" w:sz="2" w:space="0"/>
              <w:left w:val="single" w:color="000000" w:sz="2" w:space="0"/>
              <w:bottom w:val="single" w:color="000000" w:sz="2" w:space="0"/>
              <w:right w:val="single" w:color="000000" w:sz="2" w:space="0"/>
            </w:tcBorders>
            <w:vAlign w:val="center"/>
          </w:tcPr>
          <w:p w14:paraId="3BC742B3">
            <w:pPr>
              <w:pStyle w:val="129"/>
              <w:widowControl w:val="0"/>
              <w:rPr>
                <w:rFonts w:eastAsia="Times New Roman"/>
                <w:color w:val="auto"/>
              </w:rPr>
            </w:pPr>
            <w:r>
              <w:rPr>
                <w:rFonts w:eastAsia="Times New Roman"/>
                <w:color w:val="auto"/>
              </w:rPr>
              <w:t>3.85</w:t>
            </w:r>
          </w:p>
        </w:tc>
        <w:tc>
          <w:tcPr>
            <w:tcW w:w="815" w:type="pct"/>
            <w:tcBorders>
              <w:top w:val="single" w:color="000000" w:sz="2" w:space="0"/>
              <w:left w:val="single" w:color="000000" w:sz="2" w:space="0"/>
              <w:bottom w:val="single" w:color="000000" w:sz="2" w:space="0"/>
              <w:right w:val="single" w:color="000000" w:sz="2" w:space="0"/>
            </w:tcBorders>
            <w:vAlign w:val="center"/>
          </w:tcPr>
          <w:p w14:paraId="6656A1C5">
            <w:pPr>
              <w:pStyle w:val="129"/>
              <w:widowControl w:val="0"/>
              <w:rPr>
                <w:rFonts w:eastAsia="Times New Roman"/>
                <w:color w:val="auto"/>
              </w:rPr>
            </w:pPr>
            <w:r>
              <w:rPr>
                <w:rFonts w:eastAsia="Times New Roman"/>
                <w:color w:val="auto"/>
              </w:rPr>
              <w:t>0.02</w:t>
            </w:r>
          </w:p>
        </w:tc>
        <w:tc>
          <w:tcPr>
            <w:tcW w:w="855" w:type="pct"/>
            <w:tcBorders>
              <w:top w:val="single" w:color="000000" w:sz="2" w:space="0"/>
              <w:left w:val="single" w:color="000000" w:sz="2" w:space="0"/>
              <w:bottom w:val="single" w:color="000000" w:sz="2" w:space="0"/>
              <w:right w:val="single" w:color="000000" w:sz="8" w:space="0"/>
            </w:tcBorders>
            <w:vAlign w:val="center"/>
          </w:tcPr>
          <w:p w14:paraId="2488ED1E">
            <w:pPr>
              <w:pStyle w:val="129"/>
              <w:widowControl w:val="0"/>
              <w:rPr>
                <w:rFonts w:eastAsia="Times New Roman"/>
                <w:color w:val="auto"/>
              </w:rPr>
            </w:pPr>
            <w:r>
              <w:rPr>
                <w:rFonts w:eastAsia="Times New Roman"/>
                <w:color w:val="auto"/>
              </w:rPr>
              <w:t>0.18</w:t>
            </w:r>
          </w:p>
        </w:tc>
      </w:tr>
      <w:tr w14:paraId="72BED17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18F0A027">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623CA6D9">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4BD9B2E4">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79B0A96B">
            <w:pPr>
              <w:pStyle w:val="129"/>
              <w:widowControl w:val="0"/>
              <w:rPr>
                <w:rFonts w:eastAsia="Times New Roman"/>
                <w:color w:val="auto"/>
              </w:rPr>
            </w:pPr>
            <w:r>
              <w:rPr>
                <w:rFonts w:hint="eastAsia" w:eastAsia="Times New Roman"/>
                <w:color w:val="auto"/>
              </w:rPr>
              <w:t>钴及其化合物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096070D9">
            <w:pPr>
              <w:pStyle w:val="129"/>
              <w:widowControl w:val="0"/>
              <w:rPr>
                <w:rFonts w:eastAsia="Times New Roman"/>
                <w:color w:val="auto"/>
              </w:rPr>
            </w:pPr>
            <w:r>
              <w:rPr>
                <w:rFonts w:eastAsia="Times New Roman"/>
                <w:color w:val="auto"/>
              </w:rPr>
              <w:t>0.04</w:t>
            </w:r>
          </w:p>
        </w:tc>
        <w:tc>
          <w:tcPr>
            <w:tcW w:w="815" w:type="pct"/>
            <w:tcBorders>
              <w:top w:val="single" w:color="000000" w:sz="2" w:space="0"/>
              <w:left w:val="single" w:color="000000" w:sz="2" w:space="0"/>
              <w:bottom w:val="single" w:color="000000" w:sz="2" w:space="0"/>
              <w:right w:val="single" w:color="000000" w:sz="2" w:space="0"/>
            </w:tcBorders>
            <w:vAlign w:val="center"/>
          </w:tcPr>
          <w:p w14:paraId="53D5FBCA">
            <w:pPr>
              <w:pStyle w:val="129"/>
              <w:widowControl w:val="0"/>
              <w:rPr>
                <w:rFonts w:eastAsia="Times New Roman"/>
                <w:color w:val="auto"/>
              </w:rPr>
            </w:pPr>
            <w:r>
              <w:rPr>
                <w:rFonts w:eastAsia="Times New Roman"/>
                <w:color w:val="auto"/>
              </w:rPr>
              <w:t>0.0002</w:t>
            </w:r>
          </w:p>
        </w:tc>
        <w:tc>
          <w:tcPr>
            <w:tcW w:w="855" w:type="pct"/>
            <w:tcBorders>
              <w:top w:val="single" w:color="000000" w:sz="2" w:space="0"/>
              <w:left w:val="single" w:color="000000" w:sz="2" w:space="0"/>
              <w:bottom w:val="single" w:color="000000" w:sz="2" w:space="0"/>
              <w:right w:val="single" w:color="000000" w:sz="8" w:space="0"/>
            </w:tcBorders>
            <w:vAlign w:val="center"/>
          </w:tcPr>
          <w:p w14:paraId="53294EBF">
            <w:pPr>
              <w:pStyle w:val="129"/>
              <w:widowControl w:val="0"/>
              <w:rPr>
                <w:rFonts w:eastAsia="Times New Roman"/>
                <w:color w:val="auto"/>
              </w:rPr>
            </w:pPr>
            <w:r>
              <w:rPr>
                <w:rFonts w:eastAsia="Times New Roman"/>
                <w:color w:val="auto"/>
              </w:rPr>
              <w:t>0.0019</w:t>
            </w:r>
          </w:p>
        </w:tc>
      </w:tr>
      <w:tr w14:paraId="1032A49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1D76F1DD">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77297C21">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0D8BFDD2">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4E951045">
            <w:pPr>
              <w:pStyle w:val="129"/>
              <w:widowControl w:val="0"/>
              <w:rPr>
                <w:rFonts w:eastAsia="Times New Roman"/>
                <w:color w:val="auto"/>
              </w:rPr>
            </w:pPr>
            <w:r>
              <w:rPr>
                <w:rFonts w:hint="eastAsia" w:eastAsia="Times New Roman"/>
                <w:color w:val="auto"/>
              </w:rPr>
              <w:t>钼及其化合物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479DFCA2">
            <w:pPr>
              <w:pStyle w:val="129"/>
              <w:widowControl w:val="0"/>
              <w:rPr>
                <w:rFonts w:eastAsia="Times New Roman"/>
                <w:color w:val="auto"/>
              </w:rPr>
            </w:pPr>
            <w:r>
              <w:rPr>
                <w:rFonts w:eastAsia="Times New Roman"/>
                <w:color w:val="auto"/>
              </w:rPr>
              <w:t>0.01</w:t>
            </w:r>
          </w:p>
        </w:tc>
        <w:tc>
          <w:tcPr>
            <w:tcW w:w="815" w:type="pct"/>
            <w:tcBorders>
              <w:top w:val="single" w:color="000000" w:sz="2" w:space="0"/>
              <w:left w:val="single" w:color="000000" w:sz="2" w:space="0"/>
              <w:bottom w:val="single" w:color="000000" w:sz="2" w:space="0"/>
              <w:right w:val="single" w:color="000000" w:sz="2" w:space="0"/>
            </w:tcBorders>
            <w:vAlign w:val="center"/>
          </w:tcPr>
          <w:p w14:paraId="12F1BD54">
            <w:pPr>
              <w:pStyle w:val="129"/>
              <w:widowControl w:val="0"/>
              <w:rPr>
                <w:rFonts w:eastAsiaTheme="minorEastAsia"/>
                <w:color w:val="auto"/>
              </w:rPr>
            </w:pPr>
            <w:r>
              <w:rPr>
                <w:rFonts w:eastAsia="Times New Roman"/>
                <w:color w:val="auto"/>
              </w:rPr>
              <w:t>0.0000</w:t>
            </w:r>
            <w:r>
              <w:rPr>
                <w:rFonts w:hint="eastAsia" w:eastAsiaTheme="minorEastAsia"/>
                <w:color w:val="auto"/>
              </w:rPr>
              <w:t>5</w:t>
            </w:r>
          </w:p>
        </w:tc>
        <w:tc>
          <w:tcPr>
            <w:tcW w:w="855" w:type="pct"/>
            <w:tcBorders>
              <w:top w:val="single" w:color="000000" w:sz="2" w:space="0"/>
              <w:left w:val="single" w:color="000000" w:sz="2" w:space="0"/>
              <w:bottom w:val="single" w:color="000000" w:sz="2" w:space="0"/>
              <w:right w:val="single" w:color="000000" w:sz="8" w:space="0"/>
            </w:tcBorders>
            <w:vAlign w:val="center"/>
          </w:tcPr>
          <w:p w14:paraId="5EF8F743">
            <w:pPr>
              <w:pStyle w:val="129"/>
              <w:widowControl w:val="0"/>
              <w:rPr>
                <w:rFonts w:eastAsia="Times New Roman"/>
                <w:color w:val="auto"/>
              </w:rPr>
            </w:pPr>
            <w:r>
              <w:rPr>
                <w:rFonts w:eastAsia="Times New Roman"/>
                <w:color w:val="auto"/>
              </w:rPr>
              <w:t>0.0004</w:t>
            </w:r>
          </w:p>
        </w:tc>
      </w:tr>
      <w:tr w14:paraId="10C9387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01E07013">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1A38461F">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7BE6D619">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61B06ED2">
            <w:pPr>
              <w:pStyle w:val="129"/>
              <w:widowControl w:val="0"/>
              <w:rPr>
                <w:rFonts w:eastAsia="Times New Roman"/>
                <w:color w:val="auto"/>
              </w:rPr>
            </w:pPr>
            <w:r>
              <w:rPr>
                <w:rFonts w:hint="eastAsia" w:eastAsia="Times New Roman"/>
                <w:color w:val="auto"/>
              </w:rPr>
              <w:t>镍及其化合物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4898644D">
            <w:pPr>
              <w:pStyle w:val="129"/>
              <w:widowControl w:val="0"/>
              <w:rPr>
                <w:rFonts w:eastAsia="Times New Roman"/>
                <w:color w:val="auto"/>
              </w:rPr>
            </w:pPr>
            <w:r>
              <w:rPr>
                <w:rFonts w:eastAsia="Times New Roman"/>
                <w:color w:val="auto"/>
              </w:rPr>
              <w:t>0.01</w:t>
            </w:r>
          </w:p>
        </w:tc>
        <w:tc>
          <w:tcPr>
            <w:tcW w:w="815" w:type="pct"/>
            <w:tcBorders>
              <w:top w:val="single" w:color="000000" w:sz="2" w:space="0"/>
              <w:left w:val="single" w:color="000000" w:sz="2" w:space="0"/>
              <w:bottom w:val="single" w:color="000000" w:sz="2" w:space="0"/>
              <w:right w:val="single" w:color="000000" w:sz="2" w:space="0"/>
            </w:tcBorders>
            <w:vAlign w:val="center"/>
          </w:tcPr>
          <w:p w14:paraId="194CBB09">
            <w:pPr>
              <w:pStyle w:val="129"/>
              <w:widowControl w:val="0"/>
              <w:rPr>
                <w:rFonts w:eastAsia="Times New Roman"/>
                <w:color w:val="auto"/>
              </w:rPr>
            </w:pPr>
            <w:r>
              <w:rPr>
                <w:rFonts w:eastAsia="Times New Roman"/>
                <w:color w:val="auto"/>
              </w:rPr>
              <w:t>0.0001</w:t>
            </w:r>
          </w:p>
        </w:tc>
        <w:tc>
          <w:tcPr>
            <w:tcW w:w="855" w:type="pct"/>
            <w:tcBorders>
              <w:top w:val="single" w:color="000000" w:sz="2" w:space="0"/>
              <w:left w:val="single" w:color="000000" w:sz="2" w:space="0"/>
              <w:bottom w:val="single" w:color="000000" w:sz="2" w:space="0"/>
              <w:right w:val="single" w:color="000000" w:sz="8" w:space="0"/>
            </w:tcBorders>
            <w:vAlign w:val="center"/>
          </w:tcPr>
          <w:p w14:paraId="2FB012AD">
            <w:pPr>
              <w:pStyle w:val="129"/>
              <w:widowControl w:val="0"/>
              <w:rPr>
                <w:rFonts w:eastAsia="Times New Roman"/>
                <w:color w:val="auto"/>
              </w:rPr>
            </w:pPr>
            <w:r>
              <w:rPr>
                <w:rFonts w:eastAsia="Times New Roman"/>
                <w:color w:val="auto"/>
              </w:rPr>
              <w:t>0.0005</w:t>
            </w:r>
          </w:p>
        </w:tc>
      </w:tr>
      <w:tr w14:paraId="78BAD22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1288CB62">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24EF3C61">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08EC1D8C">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65364233">
            <w:pPr>
              <w:pStyle w:val="129"/>
              <w:widowControl w:val="0"/>
              <w:rPr>
                <w:rFonts w:eastAsia="Times New Roman"/>
                <w:color w:val="auto"/>
              </w:rPr>
            </w:pPr>
            <w:r>
              <w:rPr>
                <w:rFonts w:hint="eastAsia" w:eastAsia="Times New Roman"/>
                <w:color w:val="auto"/>
              </w:rPr>
              <w:t>锰及其化合物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6D967D29">
            <w:pPr>
              <w:pStyle w:val="129"/>
              <w:widowControl w:val="0"/>
              <w:rPr>
                <w:rFonts w:eastAsia="Times New Roman"/>
                <w:color w:val="auto"/>
              </w:rPr>
            </w:pPr>
            <w:r>
              <w:rPr>
                <w:rFonts w:eastAsia="Times New Roman"/>
                <w:color w:val="auto"/>
              </w:rPr>
              <w:t>0.02</w:t>
            </w:r>
          </w:p>
        </w:tc>
        <w:tc>
          <w:tcPr>
            <w:tcW w:w="815" w:type="pct"/>
            <w:tcBorders>
              <w:top w:val="single" w:color="000000" w:sz="2" w:space="0"/>
              <w:left w:val="single" w:color="000000" w:sz="2" w:space="0"/>
              <w:bottom w:val="single" w:color="000000" w:sz="2" w:space="0"/>
              <w:right w:val="single" w:color="000000" w:sz="2" w:space="0"/>
            </w:tcBorders>
            <w:vAlign w:val="center"/>
          </w:tcPr>
          <w:p w14:paraId="414C778B">
            <w:pPr>
              <w:pStyle w:val="129"/>
              <w:widowControl w:val="0"/>
              <w:rPr>
                <w:rFonts w:eastAsia="Times New Roman"/>
                <w:color w:val="auto"/>
              </w:rPr>
            </w:pPr>
            <w:r>
              <w:rPr>
                <w:rFonts w:eastAsia="Times New Roman"/>
                <w:color w:val="auto"/>
              </w:rPr>
              <w:t>0.0001</w:t>
            </w:r>
          </w:p>
        </w:tc>
        <w:tc>
          <w:tcPr>
            <w:tcW w:w="855" w:type="pct"/>
            <w:tcBorders>
              <w:top w:val="single" w:color="000000" w:sz="2" w:space="0"/>
              <w:left w:val="single" w:color="000000" w:sz="2" w:space="0"/>
              <w:bottom w:val="single" w:color="000000" w:sz="2" w:space="0"/>
              <w:right w:val="single" w:color="000000" w:sz="8" w:space="0"/>
            </w:tcBorders>
            <w:vAlign w:val="center"/>
          </w:tcPr>
          <w:p w14:paraId="2D92EDD5">
            <w:pPr>
              <w:pStyle w:val="129"/>
              <w:widowControl w:val="0"/>
              <w:rPr>
                <w:rFonts w:eastAsia="Times New Roman"/>
                <w:color w:val="auto"/>
              </w:rPr>
            </w:pPr>
            <w:r>
              <w:rPr>
                <w:rFonts w:eastAsia="Times New Roman"/>
                <w:color w:val="auto"/>
              </w:rPr>
              <w:t>0.0009</w:t>
            </w:r>
          </w:p>
        </w:tc>
      </w:tr>
      <w:tr w14:paraId="3930005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321D10D7">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201BC686">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649BC1EB">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466B39E6">
            <w:pPr>
              <w:pStyle w:val="129"/>
              <w:widowControl w:val="0"/>
              <w:rPr>
                <w:rFonts w:eastAsia="Times New Roman"/>
                <w:color w:val="auto"/>
              </w:rPr>
            </w:pPr>
            <w:r>
              <w:rPr>
                <w:rFonts w:hint="eastAsia" w:eastAsia="Times New Roman"/>
                <w:color w:val="auto"/>
              </w:rPr>
              <w:t>铜及其化合物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1A990B1E">
            <w:pPr>
              <w:pStyle w:val="129"/>
              <w:widowControl w:val="0"/>
              <w:rPr>
                <w:rFonts w:eastAsia="Times New Roman"/>
                <w:color w:val="auto"/>
              </w:rPr>
            </w:pPr>
            <w:r>
              <w:rPr>
                <w:rFonts w:eastAsia="Times New Roman"/>
                <w:color w:val="auto"/>
              </w:rPr>
              <w:t>0.01</w:t>
            </w:r>
          </w:p>
        </w:tc>
        <w:tc>
          <w:tcPr>
            <w:tcW w:w="815" w:type="pct"/>
            <w:tcBorders>
              <w:top w:val="single" w:color="000000" w:sz="2" w:space="0"/>
              <w:left w:val="single" w:color="000000" w:sz="2" w:space="0"/>
              <w:bottom w:val="single" w:color="000000" w:sz="2" w:space="0"/>
              <w:right w:val="single" w:color="000000" w:sz="2" w:space="0"/>
            </w:tcBorders>
            <w:vAlign w:val="center"/>
          </w:tcPr>
          <w:p w14:paraId="7C4C3A36">
            <w:pPr>
              <w:pStyle w:val="129"/>
              <w:widowControl w:val="0"/>
              <w:rPr>
                <w:rFonts w:eastAsiaTheme="minorEastAsia"/>
                <w:color w:val="auto"/>
              </w:rPr>
            </w:pPr>
            <w:r>
              <w:rPr>
                <w:rFonts w:eastAsia="Times New Roman"/>
                <w:color w:val="auto"/>
              </w:rPr>
              <w:t>0.0000</w:t>
            </w:r>
            <w:r>
              <w:rPr>
                <w:rFonts w:hint="eastAsia" w:eastAsiaTheme="minorEastAsia"/>
                <w:color w:val="auto"/>
              </w:rPr>
              <w:t>3</w:t>
            </w:r>
          </w:p>
        </w:tc>
        <w:tc>
          <w:tcPr>
            <w:tcW w:w="855" w:type="pct"/>
            <w:tcBorders>
              <w:top w:val="single" w:color="000000" w:sz="2" w:space="0"/>
              <w:left w:val="single" w:color="000000" w:sz="2" w:space="0"/>
              <w:bottom w:val="single" w:color="000000" w:sz="2" w:space="0"/>
              <w:right w:val="single" w:color="000000" w:sz="8" w:space="0"/>
            </w:tcBorders>
            <w:vAlign w:val="center"/>
          </w:tcPr>
          <w:p w14:paraId="1362324A">
            <w:pPr>
              <w:pStyle w:val="129"/>
              <w:widowControl w:val="0"/>
              <w:rPr>
                <w:rFonts w:eastAsia="Times New Roman"/>
                <w:color w:val="auto"/>
              </w:rPr>
            </w:pPr>
            <w:r>
              <w:rPr>
                <w:rFonts w:eastAsia="Times New Roman"/>
                <w:color w:val="auto"/>
              </w:rPr>
              <w:t>0.0002</w:t>
            </w:r>
          </w:p>
        </w:tc>
      </w:tr>
      <w:tr w14:paraId="26DF450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018A2A68">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2C89839E">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328B01D8">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19D2785A">
            <w:pPr>
              <w:pStyle w:val="129"/>
              <w:widowControl w:val="0"/>
              <w:rPr>
                <w:rFonts w:eastAsia="Times New Roman"/>
                <w:color w:val="auto"/>
              </w:rPr>
            </w:pPr>
            <w:r>
              <w:rPr>
                <w:rFonts w:hint="eastAsia" w:eastAsia="Times New Roman"/>
                <w:color w:val="auto"/>
              </w:rPr>
              <w:t>锆及其化合物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3A5FCB5B">
            <w:pPr>
              <w:pStyle w:val="129"/>
              <w:widowControl w:val="0"/>
              <w:rPr>
                <w:rFonts w:eastAsia="Times New Roman"/>
                <w:color w:val="auto"/>
              </w:rPr>
            </w:pPr>
            <w:r>
              <w:rPr>
                <w:rFonts w:eastAsia="Times New Roman"/>
                <w:color w:val="auto"/>
              </w:rPr>
              <w:t>0.01</w:t>
            </w:r>
          </w:p>
        </w:tc>
        <w:tc>
          <w:tcPr>
            <w:tcW w:w="815" w:type="pct"/>
            <w:tcBorders>
              <w:top w:val="single" w:color="000000" w:sz="2" w:space="0"/>
              <w:left w:val="single" w:color="000000" w:sz="2" w:space="0"/>
              <w:bottom w:val="single" w:color="000000" w:sz="2" w:space="0"/>
              <w:right w:val="single" w:color="000000" w:sz="2" w:space="0"/>
            </w:tcBorders>
            <w:vAlign w:val="center"/>
          </w:tcPr>
          <w:p w14:paraId="08093C2A">
            <w:pPr>
              <w:pStyle w:val="129"/>
              <w:widowControl w:val="0"/>
              <w:rPr>
                <w:rFonts w:eastAsiaTheme="minorEastAsia"/>
                <w:color w:val="auto"/>
              </w:rPr>
            </w:pPr>
            <w:r>
              <w:rPr>
                <w:rFonts w:eastAsia="Times New Roman"/>
                <w:color w:val="auto"/>
              </w:rPr>
              <w:t>0.0000</w:t>
            </w:r>
            <w:r>
              <w:rPr>
                <w:rFonts w:hint="eastAsia" w:eastAsiaTheme="minorEastAsia"/>
                <w:color w:val="auto"/>
              </w:rPr>
              <w:t>5</w:t>
            </w:r>
          </w:p>
        </w:tc>
        <w:tc>
          <w:tcPr>
            <w:tcW w:w="855" w:type="pct"/>
            <w:tcBorders>
              <w:top w:val="single" w:color="000000" w:sz="2" w:space="0"/>
              <w:left w:val="single" w:color="000000" w:sz="2" w:space="0"/>
              <w:bottom w:val="single" w:color="000000" w:sz="2" w:space="0"/>
              <w:right w:val="single" w:color="000000" w:sz="8" w:space="0"/>
            </w:tcBorders>
            <w:vAlign w:val="center"/>
          </w:tcPr>
          <w:p w14:paraId="6555C7CF">
            <w:pPr>
              <w:pStyle w:val="129"/>
              <w:widowControl w:val="0"/>
              <w:rPr>
                <w:rFonts w:eastAsia="Times New Roman"/>
                <w:color w:val="auto"/>
              </w:rPr>
            </w:pPr>
            <w:r>
              <w:rPr>
                <w:rFonts w:eastAsia="Times New Roman"/>
                <w:color w:val="auto"/>
              </w:rPr>
              <w:t>0.0004</w:t>
            </w:r>
          </w:p>
        </w:tc>
      </w:tr>
      <w:tr w14:paraId="41F9CBE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5E6764BF">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3F90D95D">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32EFA6CB">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2EDE83B4">
            <w:pPr>
              <w:pStyle w:val="129"/>
              <w:widowControl w:val="0"/>
              <w:rPr>
                <w:rFonts w:eastAsia="Times New Roman"/>
                <w:color w:val="auto"/>
              </w:rPr>
            </w:pPr>
            <w:r>
              <w:rPr>
                <w:rFonts w:eastAsia="Times New Roman"/>
                <w:color w:val="auto"/>
              </w:rPr>
              <w:t>NH</w:t>
            </w:r>
            <w:r>
              <w:rPr>
                <w:rFonts w:eastAsia="Times New Roman"/>
                <w:color w:val="auto"/>
                <w:vertAlign w:val="subscript"/>
              </w:rPr>
              <w:t>3</w:t>
            </w:r>
          </w:p>
        </w:tc>
        <w:tc>
          <w:tcPr>
            <w:tcW w:w="831" w:type="pct"/>
            <w:tcBorders>
              <w:top w:val="single" w:color="000000" w:sz="2" w:space="0"/>
              <w:left w:val="single" w:color="000000" w:sz="2" w:space="0"/>
              <w:bottom w:val="single" w:color="000000" w:sz="2" w:space="0"/>
              <w:right w:val="single" w:color="000000" w:sz="2" w:space="0"/>
            </w:tcBorders>
            <w:vAlign w:val="center"/>
          </w:tcPr>
          <w:p w14:paraId="296F4E95">
            <w:pPr>
              <w:pStyle w:val="129"/>
              <w:widowControl w:val="0"/>
              <w:rPr>
                <w:rFonts w:eastAsia="Times New Roman"/>
                <w:color w:val="auto"/>
              </w:rPr>
            </w:pPr>
            <w:r>
              <w:rPr>
                <w:rFonts w:eastAsia="Times New Roman"/>
                <w:color w:val="auto"/>
              </w:rPr>
              <w:t>2.50</w:t>
            </w:r>
          </w:p>
        </w:tc>
        <w:tc>
          <w:tcPr>
            <w:tcW w:w="815" w:type="pct"/>
            <w:tcBorders>
              <w:top w:val="single" w:color="000000" w:sz="2" w:space="0"/>
              <w:left w:val="single" w:color="000000" w:sz="2" w:space="0"/>
              <w:bottom w:val="single" w:color="000000" w:sz="2" w:space="0"/>
              <w:right w:val="single" w:color="000000" w:sz="2" w:space="0"/>
            </w:tcBorders>
            <w:vAlign w:val="center"/>
          </w:tcPr>
          <w:p w14:paraId="2E267AD4">
            <w:pPr>
              <w:pStyle w:val="129"/>
              <w:widowControl w:val="0"/>
              <w:rPr>
                <w:rFonts w:eastAsia="Times New Roman"/>
                <w:color w:val="auto"/>
              </w:rPr>
            </w:pPr>
            <w:r>
              <w:rPr>
                <w:rFonts w:eastAsia="Times New Roman"/>
                <w:color w:val="auto"/>
              </w:rPr>
              <w:t>0.01</w:t>
            </w:r>
          </w:p>
        </w:tc>
        <w:tc>
          <w:tcPr>
            <w:tcW w:w="855" w:type="pct"/>
            <w:tcBorders>
              <w:top w:val="single" w:color="000000" w:sz="2" w:space="0"/>
              <w:left w:val="single" w:color="000000" w:sz="2" w:space="0"/>
              <w:bottom w:val="single" w:color="000000" w:sz="2" w:space="0"/>
              <w:right w:val="single" w:color="000000" w:sz="8" w:space="0"/>
            </w:tcBorders>
            <w:vAlign w:val="center"/>
          </w:tcPr>
          <w:p w14:paraId="1542E28C">
            <w:pPr>
              <w:pStyle w:val="129"/>
              <w:widowControl w:val="0"/>
              <w:rPr>
                <w:rFonts w:eastAsia="Times New Roman"/>
                <w:color w:val="auto"/>
              </w:rPr>
            </w:pPr>
            <w:r>
              <w:rPr>
                <w:rFonts w:eastAsia="Times New Roman"/>
                <w:color w:val="auto"/>
              </w:rPr>
              <w:t>0.12</w:t>
            </w:r>
          </w:p>
        </w:tc>
      </w:tr>
      <w:tr w14:paraId="5038F4C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271156B5">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5F383126">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09C25F04">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00C3D8A0">
            <w:pPr>
              <w:pStyle w:val="129"/>
              <w:widowControl w:val="0"/>
              <w:rPr>
                <w:rFonts w:eastAsia="Times New Roman"/>
                <w:color w:val="auto"/>
              </w:rPr>
            </w:pPr>
            <w:r>
              <w:rPr>
                <w:rFonts w:eastAsia="Times New Roman"/>
                <w:color w:val="auto"/>
              </w:rPr>
              <w:t>NOx</w:t>
            </w:r>
          </w:p>
        </w:tc>
        <w:tc>
          <w:tcPr>
            <w:tcW w:w="831" w:type="pct"/>
            <w:tcBorders>
              <w:top w:val="single" w:color="000000" w:sz="2" w:space="0"/>
              <w:left w:val="single" w:color="000000" w:sz="2" w:space="0"/>
              <w:bottom w:val="single" w:color="000000" w:sz="2" w:space="0"/>
              <w:right w:val="single" w:color="000000" w:sz="2" w:space="0"/>
            </w:tcBorders>
            <w:vAlign w:val="center"/>
          </w:tcPr>
          <w:p w14:paraId="745A2021">
            <w:pPr>
              <w:pStyle w:val="129"/>
              <w:widowControl w:val="0"/>
              <w:rPr>
                <w:rFonts w:eastAsia="Times New Roman"/>
                <w:color w:val="auto"/>
              </w:rPr>
            </w:pPr>
            <w:r>
              <w:rPr>
                <w:rFonts w:eastAsia="Times New Roman"/>
                <w:color w:val="auto"/>
              </w:rPr>
              <w:t>63.87</w:t>
            </w:r>
          </w:p>
        </w:tc>
        <w:tc>
          <w:tcPr>
            <w:tcW w:w="815" w:type="pct"/>
            <w:tcBorders>
              <w:top w:val="single" w:color="000000" w:sz="2" w:space="0"/>
              <w:left w:val="single" w:color="000000" w:sz="2" w:space="0"/>
              <w:bottom w:val="single" w:color="000000" w:sz="2" w:space="0"/>
              <w:right w:val="single" w:color="000000" w:sz="2" w:space="0"/>
            </w:tcBorders>
            <w:vAlign w:val="center"/>
          </w:tcPr>
          <w:p w14:paraId="408F800F">
            <w:pPr>
              <w:pStyle w:val="129"/>
              <w:widowControl w:val="0"/>
              <w:rPr>
                <w:rFonts w:eastAsia="Times New Roman"/>
                <w:color w:val="auto"/>
              </w:rPr>
            </w:pPr>
            <w:r>
              <w:rPr>
                <w:rFonts w:eastAsia="Times New Roman"/>
                <w:color w:val="auto"/>
              </w:rPr>
              <w:t>0.37</w:t>
            </w:r>
          </w:p>
        </w:tc>
        <w:tc>
          <w:tcPr>
            <w:tcW w:w="855" w:type="pct"/>
            <w:tcBorders>
              <w:top w:val="single" w:color="000000" w:sz="2" w:space="0"/>
              <w:left w:val="single" w:color="000000" w:sz="2" w:space="0"/>
              <w:bottom w:val="single" w:color="000000" w:sz="2" w:space="0"/>
              <w:right w:val="single" w:color="000000" w:sz="8" w:space="0"/>
            </w:tcBorders>
            <w:vAlign w:val="center"/>
          </w:tcPr>
          <w:p w14:paraId="5C309E62">
            <w:pPr>
              <w:pStyle w:val="129"/>
              <w:widowControl w:val="0"/>
              <w:rPr>
                <w:rFonts w:eastAsia="Times New Roman"/>
                <w:color w:val="auto"/>
              </w:rPr>
            </w:pPr>
            <w:r>
              <w:rPr>
                <w:rFonts w:eastAsia="Times New Roman"/>
                <w:color w:val="auto"/>
              </w:rPr>
              <w:t>2.964</w:t>
            </w:r>
          </w:p>
        </w:tc>
      </w:tr>
      <w:tr w14:paraId="218BCE4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restart"/>
            <w:tcBorders>
              <w:top w:val="single" w:color="000000" w:sz="2" w:space="0"/>
              <w:left w:val="single" w:color="000000" w:sz="8" w:space="0"/>
              <w:bottom w:val="single" w:color="000000" w:sz="2" w:space="0"/>
              <w:right w:val="single" w:color="000000" w:sz="2" w:space="0"/>
            </w:tcBorders>
            <w:vAlign w:val="center"/>
          </w:tcPr>
          <w:p w14:paraId="3412AA8B">
            <w:pPr>
              <w:pStyle w:val="129"/>
              <w:widowControl w:val="0"/>
              <w:rPr>
                <w:rFonts w:eastAsia="Times New Roman"/>
                <w:color w:val="auto"/>
              </w:rPr>
            </w:pPr>
            <w:r>
              <w:rPr>
                <w:rFonts w:hint="eastAsia" w:eastAsiaTheme="minorEastAsia"/>
                <w:color w:val="auto"/>
              </w:rPr>
              <w:t>8</w:t>
            </w:r>
          </w:p>
        </w:tc>
        <w:tc>
          <w:tcPr>
            <w:tcW w:w="430" w:type="pct"/>
            <w:vMerge w:val="restart"/>
            <w:tcBorders>
              <w:top w:val="single" w:color="000000" w:sz="2" w:space="0"/>
              <w:left w:val="single" w:color="000000" w:sz="2" w:space="0"/>
              <w:bottom w:val="single" w:color="000000" w:sz="2" w:space="0"/>
              <w:right w:val="single" w:color="000000" w:sz="2" w:space="0"/>
            </w:tcBorders>
            <w:vAlign w:val="center"/>
          </w:tcPr>
          <w:p w14:paraId="4B2557D5">
            <w:pPr>
              <w:pStyle w:val="129"/>
              <w:widowControl w:val="0"/>
              <w:rPr>
                <w:rFonts w:eastAsia="Times New Roman"/>
                <w:color w:val="auto"/>
              </w:rPr>
            </w:pPr>
            <w:r>
              <w:rPr>
                <w:rFonts w:eastAsia="Times New Roman"/>
                <w:color w:val="auto"/>
              </w:rPr>
              <w:t>DA00</w:t>
            </w:r>
            <w:r>
              <w:rPr>
                <w:rFonts w:hint="eastAsia" w:eastAsiaTheme="minorEastAsia"/>
                <w:color w:val="auto"/>
              </w:rPr>
              <w:t>8</w:t>
            </w:r>
          </w:p>
        </w:tc>
        <w:tc>
          <w:tcPr>
            <w:tcW w:w="1275" w:type="pct"/>
            <w:vMerge w:val="restart"/>
            <w:tcBorders>
              <w:top w:val="single" w:color="000000" w:sz="2" w:space="0"/>
              <w:left w:val="single" w:color="000000" w:sz="2" w:space="0"/>
              <w:bottom w:val="single" w:color="000000" w:sz="2" w:space="0"/>
              <w:right w:val="single" w:color="000000" w:sz="2" w:space="0"/>
            </w:tcBorders>
            <w:vAlign w:val="center"/>
          </w:tcPr>
          <w:p w14:paraId="72A76F33">
            <w:pPr>
              <w:pStyle w:val="129"/>
              <w:widowControl w:val="0"/>
              <w:rPr>
                <w:rFonts w:eastAsia="Times New Roman"/>
                <w:color w:val="auto"/>
              </w:rPr>
            </w:pPr>
            <w:r>
              <w:rPr>
                <w:rFonts w:hint="eastAsia" w:ascii="宋体" w:hAnsi="宋体" w:eastAsia="Times New Roman" w:cs="宋体"/>
                <w:color w:val="auto"/>
              </w:rPr>
              <w:t>混捏、催化剂、载体筛分包装废气</w:t>
            </w:r>
          </w:p>
        </w:tc>
        <w:tc>
          <w:tcPr>
            <w:tcW w:w="580" w:type="pct"/>
            <w:tcBorders>
              <w:top w:val="single" w:color="000000" w:sz="2" w:space="0"/>
              <w:left w:val="single" w:color="000000" w:sz="2" w:space="0"/>
              <w:bottom w:val="single" w:color="000000" w:sz="2" w:space="0"/>
              <w:right w:val="single" w:color="000000" w:sz="2" w:space="0"/>
            </w:tcBorders>
            <w:vAlign w:val="center"/>
          </w:tcPr>
          <w:p w14:paraId="1C61FC27">
            <w:pPr>
              <w:pStyle w:val="129"/>
              <w:widowControl w:val="0"/>
              <w:rPr>
                <w:rFonts w:eastAsia="Times New Roman"/>
                <w:color w:val="auto"/>
              </w:rPr>
            </w:pPr>
            <w:r>
              <w:rPr>
                <w:rFonts w:hint="eastAsia" w:eastAsia="Times New Roman"/>
                <w:color w:val="auto"/>
              </w:rPr>
              <w:t>颗粒物</w:t>
            </w:r>
          </w:p>
        </w:tc>
        <w:tc>
          <w:tcPr>
            <w:tcW w:w="831" w:type="pct"/>
            <w:tcBorders>
              <w:top w:val="single" w:color="000000" w:sz="2" w:space="0"/>
              <w:left w:val="single" w:color="000000" w:sz="2" w:space="0"/>
              <w:bottom w:val="single" w:color="000000" w:sz="2" w:space="0"/>
              <w:right w:val="single" w:color="000000" w:sz="2" w:space="0"/>
            </w:tcBorders>
            <w:vAlign w:val="center"/>
          </w:tcPr>
          <w:p w14:paraId="76132B1F">
            <w:pPr>
              <w:pStyle w:val="129"/>
              <w:widowControl w:val="0"/>
              <w:rPr>
                <w:rFonts w:eastAsia="Times New Roman"/>
                <w:color w:val="auto"/>
              </w:rPr>
            </w:pPr>
            <w:r>
              <w:rPr>
                <w:rFonts w:eastAsia="Times New Roman"/>
                <w:color w:val="auto"/>
              </w:rPr>
              <w:t>6.4</w:t>
            </w:r>
          </w:p>
        </w:tc>
        <w:tc>
          <w:tcPr>
            <w:tcW w:w="815" w:type="pct"/>
            <w:tcBorders>
              <w:top w:val="single" w:color="000000" w:sz="2" w:space="0"/>
              <w:left w:val="single" w:color="000000" w:sz="2" w:space="0"/>
              <w:bottom w:val="single" w:color="000000" w:sz="2" w:space="0"/>
              <w:right w:val="single" w:color="000000" w:sz="2" w:space="0"/>
            </w:tcBorders>
            <w:vAlign w:val="center"/>
          </w:tcPr>
          <w:p w14:paraId="586A44FD">
            <w:pPr>
              <w:pStyle w:val="129"/>
              <w:widowControl w:val="0"/>
              <w:rPr>
                <w:rFonts w:eastAsia="Times New Roman"/>
                <w:color w:val="auto"/>
              </w:rPr>
            </w:pPr>
            <w:r>
              <w:rPr>
                <w:rFonts w:eastAsia="Times New Roman"/>
                <w:color w:val="auto"/>
              </w:rPr>
              <w:t>0.02</w:t>
            </w:r>
          </w:p>
        </w:tc>
        <w:tc>
          <w:tcPr>
            <w:tcW w:w="855" w:type="pct"/>
            <w:tcBorders>
              <w:top w:val="single" w:color="000000" w:sz="2" w:space="0"/>
              <w:left w:val="single" w:color="000000" w:sz="2" w:space="0"/>
              <w:bottom w:val="single" w:color="000000" w:sz="2" w:space="0"/>
              <w:right w:val="single" w:color="000000" w:sz="8" w:space="0"/>
            </w:tcBorders>
            <w:vAlign w:val="center"/>
          </w:tcPr>
          <w:p w14:paraId="7FE57A25">
            <w:pPr>
              <w:pStyle w:val="129"/>
              <w:widowControl w:val="0"/>
              <w:rPr>
                <w:rFonts w:eastAsia="Times New Roman"/>
                <w:color w:val="auto"/>
              </w:rPr>
            </w:pPr>
            <w:r>
              <w:rPr>
                <w:rFonts w:eastAsia="Times New Roman"/>
                <w:color w:val="auto"/>
              </w:rPr>
              <w:t>0.1527</w:t>
            </w:r>
          </w:p>
        </w:tc>
      </w:tr>
      <w:tr w14:paraId="28D482B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0B758F47">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38065895">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66811209">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009DCF2C">
            <w:pPr>
              <w:pStyle w:val="129"/>
              <w:widowControl w:val="0"/>
              <w:rPr>
                <w:rFonts w:eastAsia="Times New Roman"/>
                <w:color w:val="auto"/>
              </w:rPr>
            </w:pPr>
            <w:r>
              <w:rPr>
                <w:rFonts w:hint="eastAsia" w:eastAsia="Times New Roman"/>
                <w:color w:val="auto"/>
              </w:rPr>
              <w:t>钴及其化合物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41216DAD">
            <w:pPr>
              <w:pStyle w:val="129"/>
              <w:widowControl w:val="0"/>
              <w:rPr>
                <w:rFonts w:eastAsia="Times New Roman"/>
                <w:color w:val="auto"/>
              </w:rPr>
            </w:pPr>
            <w:r>
              <w:rPr>
                <w:rFonts w:eastAsia="Times New Roman"/>
                <w:color w:val="auto"/>
              </w:rPr>
              <w:t>0.15</w:t>
            </w:r>
          </w:p>
        </w:tc>
        <w:tc>
          <w:tcPr>
            <w:tcW w:w="815" w:type="pct"/>
            <w:tcBorders>
              <w:top w:val="single" w:color="000000" w:sz="2" w:space="0"/>
              <w:left w:val="single" w:color="000000" w:sz="2" w:space="0"/>
              <w:bottom w:val="single" w:color="000000" w:sz="2" w:space="0"/>
              <w:right w:val="single" w:color="000000" w:sz="2" w:space="0"/>
            </w:tcBorders>
            <w:vAlign w:val="center"/>
          </w:tcPr>
          <w:p w14:paraId="3A796383">
            <w:pPr>
              <w:pStyle w:val="129"/>
              <w:widowControl w:val="0"/>
              <w:rPr>
                <w:rFonts w:eastAsia="Times New Roman"/>
                <w:color w:val="auto"/>
              </w:rPr>
            </w:pPr>
            <w:r>
              <w:rPr>
                <w:rFonts w:eastAsia="Times New Roman"/>
                <w:color w:val="auto"/>
              </w:rPr>
              <w:t>0.0004</w:t>
            </w:r>
          </w:p>
        </w:tc>
        <w:tc>
          <w:tcPr>
            <w:tcW w:w="855" w:type="pct"/>
            <w:tcBorders>
              <w:top w:val="single" w:color="000000" w:sz="2" w:space="0"/>
              <w:left w:val="single" w:color="000000" w:sz="2" w:space="0"/>
              <w:bottom w:val="single" w:color="000000" w:sz="2" w:space="0"/>
              <w:right w:val="single" w:color="000000" w:sz="8" w:space="0"/>
            </w:tcBorders>
            <w:vAlign w:val="center"/>
          </w:tcPr>
          <w:p w14:paraId="5DEB597A">
            <w:pPr>
              <w:pStyle w:val="129"/>
              <w:widowControl w:val="0"/>
              <w:rPr>
                <w:rFonts w:eastAsia="Times New Roman"/>
                <w:color w:val="auto"/>
              </w:rPr>
            </w:pPr>
            <w:r>
              <w:rPr>
                <w:rFonts w:eastAsia="Times New Roman"/>
                <w:color w:val="auto"/>
              </w:rPr>
              <w:t>0.0036</w:t>
            </w:r>
          </w:p>
        </w:tc>
      </w:tr>
      <w:tr w14:paraId="34BDCD0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7BA6DDA6">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4B92143A">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3E1ED6B4">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401F84DE">
            <w:pPr>
              <w:pStyle w:val="129"/>
              <w:widowControl w:val="0"/>
              <w:rPr>
                <w:rFonts w:eastAsia="Times New Roman"/>
                <w:color w:val="auto"/>
              </w:rPr>
            </w:pPr>
            <w:r>
              <w:rPr>
                <w:rFonts w:hint="eastAsia" w:eastAsia="Times New Roman"/>
                <w:color w:val="auto"/>
              </w:rPr>
              <w:t>钼及其化合物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14390B72">
            <w:pPr>
              <w:pStyle w:val="129"/>
              <w:widowControl w:val="0"/>
              <w:rPr>
                <w:rFonts w:eastAsia="Times New Roman"/>
                <w:color w:val="auto"/>
              </w:rPr>
            </w:pPr>
            <w:r>
              <w:rPr>
                <w:rFonts w:eastAsia="Times New Roman"/>
                <w:color w:val="auto"/>
              </w:rPr>
              <w:t>0.03</w:t>
            </w:r>
          </w:p>
        </w:tc>
        <w:tc>
          <w:tcPr>
            <w:tcW w:w="815" w:type="pct"/>
            <w:tcBorders>
              <w:top w:val="single" w:color="000000" w:sz="2" w:space="0"/>
              <w:left w:val="single" w:color="000000" w:sz="2" w:space="0"/>
              <w:bottom w:val="single" w:color="000000" w:sz="2" w:space="0"/>
              <w:right w:val="single" w:color="000000" w:sz="2" w:space="0"/>
            </w:tcBorders>
            <w:vAlign w:val="center"/>
          </w:tcPr>
          <w:p w14:paraId="6B78E33C">
            <w:pPr>
              <w:pStyle w:val="129"/>
              <w:widowControl w:val="0"/>
              <w:rPr>
                <w:rFonts w:eastAsia="Times New Roman"/>
                <w:color w:val="auto"/>
              </w:rPr>
            </w:pPr>
            <w:r>
              <w:rPr>
                <w:rFonts w:eastAsia="Times New Roman"/>
                <w:color w:val="auto"/>
              </w:rPr>
              <w:t>0.0001</w:t>
            </w:r>
          </w:p>
        </w:tc>
        <w:tc>
          <w:tcPr>
            <w:tcW w:w="855" w:type="pct"/>
            <w:tcBorders>
              <w:top w:val="single" w:color="000000" w:sz="2" w:space="0"/>
              <w:left w:val="single" w:color="000000" w:sz="2" w:space="0"/>
              <w:bottom w:val="single" w:color="000000" w:sz="2" w:space="0"/>
              <w:right w:val="single" w:color="000000" w:sz="8" w:space="0"/>
            </w:tcBorders>
            <w:vAlign w:val="center"/>
          </w:tcPr>
          <w:p w14:paraId="17B2784C">
            <w:pPr>
              <w:pStyle w:val="129"/>
              <w:widowControl w:val="0"/>
              <w:rPr>
                <w:rFonts w:eastAsia="Times New Roman"/>
                <w:color w:val="auto"/>
              </w:rPr>
            </w:pPr>
            <w:r>
              <w:rPr>
                <w:rFonts w:eastAsia="Times New Roman"/>
                <w:color w:val="auto"/>
              </w:rPr>
              <w:t>0.0008</w:t>
            </w:r>
          </w:p>
        </w:tc>
      </w:tr>
      <w:tr w14:paraId="0743C34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70707CEE">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2675B76A">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0D0A2837">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59B57D20">
            <w:pPr>
              <w:pStyle w:val="129"/>
              <w:widowControl w:val="0"/>
              <w:rPr>
                <w:rFonts w:eastAsia="Times New Roman"/>
                <w:color w:val="auto"/>
              </w:rPr>
            </w:pPr>
            <w:r>
              <w:rPr>
                <w:rFonts w:hint="eastAsia" w:eastAsia="Times New Roman"/>
                <w:color w:val="auto"/>
              </w:rPr>
              <w:t>镍及其化合物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228E28D7">
            <w:pPr>
              <w:pStyle w:val="129"/>
              <w:widowControl w:val="0"/>
              <w:rPr>
                <w:rFonts w:eastAsia="Times New Roman"/>
                <w:color w:val="auto"/>
              </w:rPr>
            </w:pPr>
            <w:r>
              <w:rPr>
                <w:rFonts w:eastAsia="Times New Roman"/>
                <w:color w:val="auto"/>
              </w:rPr>
              <w:t>0.04</w:t>
            </w:r>
          </w:p>
        </w:tc>
        <w:tc>
          <w:tcPr>
            <w:tcW w:w="815" w:type="pct"/>
            <w:tcBorders>
              <w:top w:val="single" w:color="000000" w:sz="2" w:space="0"/>
              <w:left w:val="single" w:color="000000" w:sz="2" w:space="0"/>
              <w:bottom w:val="single" w:color="000000" w:sz="2" w:space="0"/>
              <w:right w:val="single" w:color="000000" w:sz="2" w:space="0"/>
            </w:tcBorders>
            <w:vAlign w:val="center"/>
          </w:tcPr>
          <w:p w14:paraId="42C18F61">
            <w:pPr>
              <w:pStyle w:val="129"/>
              <w:widowControl w:val="0"/>
              <w:rPr>
                <w:rFonts w:eastAsia="Times New Roman"/>
                <w:color w:val="auto"/>
              </w:rPr>
            </w:pPr>
            <w:r>
              <w:rPr>
                <w:rFonts w:eastAsia="Times New Roman"/>
                <w:color w:val="auto"/>
              </w:rPr>
              <w:t>0.0001</w:t>
            </w:r>
          </w:p>
        </w:tc>
        <w:tc>
          <w:tcPr>
            <w:tcW w:w="855" w:type="pct"/>
            <w:tcBorders>
              <w:top w:val="single" w:color="000000" w:sz="2" w:space="0"/>
              <w:left w:val="single" w:color="000000" w:sz="2" w:space="0"/>
              <w:bottom w:val="single" w:color="000000" w:sz="2" w:space="0"/>
              <w:right w:val="single" w:color="000000" w:sz="8" w:space="0"/>
            </w:tcBorders>
            <w:vAlign w:val="center"/>
          </w:tcPr>
          <w:p w14:paraId="16A65CD3">
            <w:pPr>
              <w:pStyle w:val="129"/>
              <w:widowControl w:val="0"/>
              <w:rPr>
                <w:rFonts w:eastAsia="Times New Roman"/>
                <w:color w:val="auto"/>
              </w:rPr>
            </w:pPr>
            <w:r>
              <w:rPr>
                <w:rFonts w:eastAsia="Times New Roman"/>
                <w:color w:val="auto"/>
              </w:rPr>
              <w:t>0.0009</w:t>
            </w:r>
          </w:p>
        </w:tc>
      </w:tr>
      <w:tr w14:paraId="5199DEF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4DA820BC">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45FCBC3D">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0BCE583D">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061BDB1B">
            <w:pPr>
              <w:pStyle w:val="129"/>
              <w:widowControl w:val="0"/>
              <w:rPr>
                <w:rFonts w:eastAsia="Times New Roman"/>
                <w:color w:val="auto"/>
              </w:rPr>
            </w:pPr>
            <w:r>
              <w:rPr>
                <w:rFonts w:hint="eastAsia" w:eastAsia="Times New Roman"/>
                <w:color w:val="auto"/>
              </w:rPr>
              <w:t>锰及其化合物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75B13E19">
            <w:pPr>
              <w:pStyle w:val="129"/>
              <w:widowControl w:val="0"/>
              <w:rPr>
                <w:rFonts w:eastAsia="Times New Roman"/>
                <w:color w:val="auto"/>
              </w:rPr>
            </w:pPr>
            <w:r>
              <w:rPr>
                <w:rFonts w:eastAsia="Times New Roman"/>
                <w:color w:val="auto"/>
              </w:rPr>
              <w:t>0.07</w:t>
            </w:r>
          </w:p>
        </w:tc>
        <w:tc>
          <w:tcPr>
            <w:tcW w:w="815" w:type="pct"/>
            <w:tcBorders>
              <w:top w:val="single" w:color="000000" w:sz="2" w:space="0"/>
              <w:left w:val="single" w:color="000000" w:sz="2" w:space="0"/>
              <w:bottom w:val="single" w:color="000000" w:sz="2" w:space="0"/>
              <w:right w:val="single" w:color="000000" w:sz="2" w:space="0"/>
            </w:tcBorders>
            <w:vAlign w:val="center"/>
          </w:tcPr>
          <w:p w14:paraId="2BA83421">
            <w:pPr>
              <w:pStyle w:val="129"/>
              <w:widowControl w:val="0"/>
              <w:rPr>
                <w:rFonts w:eastAsia="Times New Roman"/>
                <w:color w:val="auto"/>
              </w:rPr>
            </w:pPr>
            <w:r>
              <w:rPr>
                <w:rFonts w:eastAsia="Times New Roman"/>
                <w:color w:val="auto"/>
              </w:rPr>
              <w:t>0.0002</w:t>
            </w:r>
          </w:p>
        </w:tc>
        <w:tc>
          <w:tcPr>
            <w:tcW w:w="855" w:type="pct"/>
            <w:tcBorders>
              <w:top w:val="single" w:color="000000" w:sz="2" w:space="0"/>
              <w:left w:val="single" w:color="000000" w:sz="2" w:space="0"/>
              <w:bottom w:val="single" w:color="000000" w:sz="2" w:space="0"/>
              <w:right w:val="single" w:color="000000" w:sz="8" w:space="0"/>
            </w:tcBorders>
            <w:vAlign w:val="center"/>
          </w:tcPr>
          <w:p w14:paraId="6EE490F4">
            <w:pPr>
              <w:pStyle w:val="129"/>
              <w:widowControl w:val="0"/>
              <w:rPr>
                <w:rFonts w:eastAsia="Times New Roman"/>
                <w:color w:val="auto"/>
              </w:rPr>
            </w:pPr>
            <w:r>
              <w:rPr>
                <w:rFonts w:eastAsia="Times New Roman"/>
                <w:color w:val="auto"/>
              </w:rPr>
              <w:t>0.0018</w:t>
            </w:r>
          </w:p>
        </w:tc>
      </w:tr>
      <w:tr w14:paraId="1DAC552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170BB387">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36F2F6F1">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21F85E89">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504F5F39">
            <w:pPr>
              <w:pStyle w:val="129"/>
              <w:widowControl w:val="0"/>
              <w:rPr>
                <w:rFonts w:eastAsia="Times New Roman"/>
                <w:color w:val="auto"/>
              </w:rPr>
            </w:pPr>
            <w:r>
              <w:rPr>
                <w:rFonts w:hint="eastAsia" w:eastAsia="Times New Roman"/>
                <w:color w:val="auto"/>
              </w:rPr>
              <w:t>铜及其化合物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1004E30E">
            <w:pPr>
              <w:pStyle w:val="129"/>
              <w:widowControl w:val="0"/>
              <w:rPr>
                <w:rFonts w:eastAsia="Times New Roman"/>
                <w:color w:val="auto"/>
              </w:rPr>
            </w:pPr>
            <w:r>
              <w:rPr>
                <w:rFonts w:eastAsia="Times New Roman"/>
                <w:color w:val="auto"/>
              </w:rPr>
              <w:t>0.02</w:t>
            </w:r>
          </w:p>
        </w:tc>
        <w:tc>
          <w:tcPr>
            <w:tcW w:w="815" w:type="pct"/>
            <w:tcBorders>
              <w:top w:val="single" w:color="000000" w:sz="2" w:space="0"/>
              <w:left w:val="single" w:color="000000" w:sz="2" w:space="0"/>
              <w:bottom w:val="single" w:color="000000" w:sz="2" w:space="0"/>
              <w:right w:val="single" w:color="000000" w:sz="2" w:space="0"/>
            </w:tcBorders>
            <w:vAlign w:val="center"/>
          </w:tcPr>
          <w:p w14:paraId="26873F4B">
            <w:pPr>
              <w:pStyle w:val="129"/>
              <w:widowControl w:val="0"/>
              <w:rPr>
                <w:rFonts w:eastAsia="Times New Roman"/>
                <w:color w:val="auto"/>
              </w:rPr>
            </w:pPr>
            <w:r>
              <w:rPr>
                <w:rFonts w:eastAsia="Times New Roman"/>
                <w:color w:val="auto"/>
              </w:rPr>
              <w:t>0.0001</w:t>
            </w:r>
          </w:p>
        </w:tc>
        <w:tc>
          <w:tcPr>
            <w:tcW w:w="855" w:type="pct"/>
            <w:tcBorders>
              <w:top w:val="single" w:color="000000" w:sz="2" w:space="0"/>
              <w:left w:val="single" w:color="000000" w:sz="2" w:space="0"/>
              <w:bottom w:val="single" w:color="000000" w:sz="2" w:space="0"/>
              <w:right w:val="single" w:color="000000" w:sz="8" w:space="0"/>
            </w:tcBorders>
            <w:vAlign w:val="center"/>
          </w:tcPr>
          <w:p w14:paraId="2D93E45B">
            <w:pPr>
              <w:pStyle w:val="129"/>
              <w:widowControl w:val="0"/>
              <w:rPr>
                <w:rFonts w:eastAsia="Times New Roman"/>
                <w:color w:val="auto"/>
              </w:rPr>
            </w:pPr>
            <w:r>
              <w:rPr>
                <w:rFonts w:eastAsia="Times New Roman"/>
                <w:color w:val="auto"/>
              </w:rPr>
              <w:t>0.0005</w:t>
            </w:r>
          </w:p>
        </w:tc>
      </w:tr>
      <w:tr w14:paraId="731D65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top w:val="single" w:color="000000" w:sz="2" w:space="0"/>
              <w:left w:val="single" w:color="000000" w:sz="8" w:space="0"/>
              <w:bottom w:val="single" w:color="000000" w:sz="2" w:space="0"/>
              <w:right w:val="single" w:color="000000" w:sz="2" w:space="0"/>
            </w:tcBorders>
            <w:vAlign w:val="center"/>
          </w:tcPr>
          <w:p w14:paraId="774C31DA">
            <w:pPr>
              <w:pStyle w:val="129"/>
              <w:widowControl w:val="0"/>
              <w:rPr>
                <w:rFonts w:eastAsia="Times New Roman"/>
                <w:color w:val="auto"/>
              </w:rPr>
            </w:pPr>
          </w:p>
        </w:tc>
        <w:tc>
          <w:tcPr>
            <w:tcW w:w="430" w:type="pct"/>
            <w:vMerge w:val="continue"/>
            <w:tcBorders>
              <w:top w:val="single" w:color="000000" w:sz="2" w:space="0"/>
              <w:left w:val="single" w:color="000000" w:sz="2" w:space="0"/>
              <w:bottom w:val="single" w:color="000000" w:sz="2" w:space="0"/>
              <w:right w:val="single" w:color="000000" w:sz="2" w:space="0"/>
            </w:tcBorders>
            <w:vAlign w:val="center"/>
          </w:tcPr>
          <w:p w14:paraId="4121733A">
            <w:pPr>
              <w:pStyle w:val="129"/>
              <w:widowControl w:val="0"/>
              <w:rPr>
                <w:rFonts w:eastAsia="Times New Roman"/>
                <w:color w:val="auto"/>
              </w:rPr>
            </w:pPr>
          </w:p>
        </w:tc>
        <w:tc>
          <w:tcPr>
            <w:tcW w:w="1275" w:type="pct"/>
            <w:vMerge w:val="continue"/>
            <w:tcBorders>
              <w:top w:val="single" w:color="000000" w:sz="2" w:space="0"/>
              <w:left w:val="single" w:color="000000" w:sz="2" w:space="0"/>
              <w:bottom w:val="single" w:color="000000" w:sz="2" w:space="0"/>
              <w:right w:val="single" w:color="000000" w:sz="2" w:space="0"/>
            </w:tcBorders>
            <w:vAlign w:val="center"/>
          </w:tcPr>
          <w:p w14:paraId="3B4E5BCD">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4824983F">
            <w:pPr>
              <w:pStyle w:val="129"/>
              <w:widowControl w:val="0"/>
              <w:rPr>
                <w:rFonts w:eastAsia="Times New Roman"/>
                <w:color w:val="auto"/>
              </w:rPr>
            </w:pPr>
            <w:r>
              <w:rPr>
                <w:rFonts w:hint="eastAsia" w:eastAsia="Times New Roman"/>
                <w:color w:val="auto"/>
              </w:rPr>
              <w:t>锆及其化合物</w:t>
            </w:r>
          </w:p>
        </w:tc>
        <w:tc>
          <w:tcPr>
            <w:tcW w:w="831" w:type="pct"/>
            <w:tcBorders>
              <w:top w:val="single" w:color="000000" w:sz="2" w:space="0"/>
              <w:left w:val="single" w:color="000000" w:sz="2" w:space="0"/>
              <w:bottom w:val="single" w:color="000000" w:sz="2" w:space="0"/>
              <w:right w:val="single" w:color="000000" w:sz="2" w:space="0"/>
            </w:tcBorders>
            <w:vAlign w:val="center"/>
          </w:tcPr>
          <w:p w14:paraId="3EF17B62">
            <w:pPr>
              <w:pStyle w:val="129"/>
              <w:widowControl w:val="0"/>
              <w:rPr>
                <w:rFonts w:eastAsia="Times New Roman"/>
                <w:color w:val="auto"/>
              </w:rPr>
            </w:pPr>
            <w:r>
              <w:rPr>
                <w:rFonts w:eastAsia="Times New Roman"/>
                <w:color w:val="auto"/>
              </w:rPr>
              <w:t>0.03</w:t>
            </w:r>
          </w:p>
        </w:tc>
        <w:tc>
          <w:tcPr>
            <w:tcW w:w="815" w:type="pct"/>
            <w:tcBorders>
              <w:top w:val="single" w:color="000000" w:sz="2" w:space="0"/>
              <w:left w:val="single" w:color="000000" w:sz="2" w:space="0"/>
              <w:bottom w:val="single" w:color="000000" w:sz="2" w:space="0"/>
              <w:right w:val="single" w:color="000000" w:sz="2" w:space="0"/>
            </w:tcBorders>
            <w:vAlign w:val="center"/>
          </w:tcPr>
          <w:p w14:paraId="511737EA">
            <w:pPr>
              <w:pStyle w:val="129"/>
              <w:widowControl w:val="0"/>
              <w:rPr>
                <w:rFonts w:eastAsia="Times New Roman"/>
                <w:color w:val="auto"/>
              </w:rPr>
            </w:pPr>
            <w:r>
              <w:rPr>
                <w:rFonts w:eastAsia="Times New Roman"/>
                <w:color w:val="auto"/>
              </w:rPr>
              <w:t>0.0001</w:t>
            </w:r>
          </w:p>
        </w:tc>
        <w:tc>
          <w:tcPr>
            <w:tcW w:w="855" w:type="pct"/>
            <w:tcBorders>
              <w:top w:val="single" w:color="000000" w:sz="2" w:space="0"/>
              <w:left w:val="single" w:color="000000" w:sz="2" w:space="0"/>
              <w:bottom w:val="single" w:color="000000" w:sz="2" w:space="0"/>
              <w:right w:val="single" w:color="000000" w:sz="8" w:space="0"/>
            </w:tcBorders>
            <w:vAlign w:val="center"/>
          </w:tcPr>
          <w:p w14:paraId="02C8F9A2">
            <w:pPr>
              <w:pStyle w:val="129"/>
              <w:widowControl w:val="0"/>
              <w:rPr>
                <w:rFonts w:eastAsia="Times New Roman"/>
                <w:color w:val="auto"/>
              </w:rPr>
            </w:pPr>
            <w:r>
              <w:rPr>
                <w:rFonts w:eastAsia="Times New Roman"/>
                <w:color w:val="auto"/>
              </w:rPr>
              <w:t>0.0008</w:t>
            </w:r>
          </w:p>
        </w:tc>
      </w:tr>
      <w:tr w14:paraId="3BCEB4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restart"/>
            <w:tcBorders>
              <w:top w:val="single" w:color="000000" w:sz="2" w:space="0"/>
              <w:left w:val="single" w:color="000000" w:sz="8" w:space="0"/>
              <w:right w:val="single" w:color="000000" w:sz="2" w:space="0"/>
            </w:tcBorders>
            <w:vAlign w:val="center"/>
          </w:tcPr>
          <w:p w14:paraId="49C66C64">
            <w:pPr>
              <w:pStyle w:val="129"/>
              <w:widowControl w:val="0"/>
              <w:rPr>
                <w:rFonts w:eastAsia="Times New Roman"/>
                <w:color w:val="auto"/>
              </w:rPr>
            </w:pPr>
            <w:r>
              <w:rPr>
                <w:rFonts w:hint="eastAsia" w:eastAsiaTheme="minorEastAsia"/>
                <w:color w:val="auto"/>
              </w:rPr>
              <w:t>9</w:t>
            </w:r>
          </w:p>
        </w:tc>
        <w:tc>
          <w:tcPr>
            <w:tcW w:w="430" w:type="pct"/>
            <w:vMerge w:val="restart"/>
            <w:tcBorders>
              <w:top w:val="single" w:color="000000" w:sz="2" w:space="0"/>
              <w:left w:val="single" w:color="000000" w:sz="2" w:space="0"/>
              <w:right w:val="single" w:color="000000" w:sz="2" w:space="0"/>
            </w:tcBorders>
            <w:vAlign w:val="center"/>
          </w:tcPr>
          <w:p w14:paraId="5C390D5F">
            <w:pPr>
              <w:pStyle w:val="129"/>
              <w:widowControl w:val="0"/>
              <w:rPr>
                <w:rFonts w:eastAsia="Times New Roman"/>
                <w:color w:val="auto"/>
              </w:rPr>
            </w:pPr>
            <w:r>
              <w:rPr>
                <w:rFonts w:hint="eastAsia" w:eastAsiaTheme="minorEastAsia"/>
                <w:color w:val="auto"/>
              </w:rPr>
              <w:t>DA009</w:t>
            </w:r>
          </w:p>
        </w:tc>
        <w:tc>
          <w:tcPr>
            <w:tcW w:w="1275" w:type="pct"/>
            <w:vMerge w:val="restart"/>
            <w:tcBorders>
              <w:top w:val="single" w:color="000000" w:sz="2" w:space="0"/>
              <w:left w:val="single" w:color="000000" w:sz="2" w:space="0"/>
              <w:right w:val="single" w:color="000000" w:sz="2" w:space="0"/>
            </w:tcBorders>
            <w:vAlign w:val="center"/>
          </w:tcPr>
          <w:p w14:paraId="13C2D593">
            <w:pPr>
              <w:pStyle w:val="129"/>
              <w:widowControl w:val="0"/>
              <w:rPr>
                <w:rFonts w:ascii="宋体" w:hAnsi="宋体" w:eastAsia="Times New Roman" w:cs="宋体"/>
                <w:color w:val="auto"/>
              </w:rPr>
            </w:pPr>
            <w:r>
              <w:rPr>
                <w:rFonts w:hint="eastAsia" w:ascii="宋体" w:hAnsi="宋体" w:eastAsia="Times New Roman" w:cs="宋体"/>
                <w:color w:val="auto"/>
              </w:rPr>
              <w:t>燃气锅炉</w:t>
            </w:r>
          </w:p>
          <w:p w14:paraId="348816A2">
            <w:pPr>
              <w:pStyle w:val="129"/>
              <w:widowControl w:val="0"/>
              <w:rPr>
                <w:rFonts w:eastAsia="Times New Roman"/>
                <w:color w:val="auto"/>
              </w:rPr>
            </w:pPr>
            <w:r>
              <w:rPr>
                <w:rFonts w:hint="eastAsia" w:ascii="宋体" w:hAnsi="宋体" w:eastAsia="Times New Roman" w:cs="宋体"/>
                <w:color w:val="auto"/>
              </w:rPr>
              <w:t>废气</w:t>
            </w:r>
            <w:r>
              <w:rPr>
                <w:rFonts w:hint="eastAsia" w:eastAsia="Times New Roman"/>
                <w:color w:val="auto"/>
              </w:rPr>
              <w:t>1</w:t>
            </w:r>
          </w:p>
        </w:tc>
        <w:tc>
          <w:tcPr>
            <w:tcW w:w="580" w:type="pct"/>
            <w:tcBorders>
              <w:top w:val="single" w:color="000000" w:sz="2" w:space="0"/>
              <w:left w:val="single" w:color="000000" w:sz="2" w:space="0"/>
              <w:bottom w:val="single" w:color="000000" w:sz="2" w:space="0"/>
              <w:right w:val="single" w:color="000000" w:sz="2" w:space="0"/>
            </w:tcBorders>
            <w:vAlign w:val="center"/>
          </w:tcPr>
          <w:p w14:paraId="63D92176">
            <w:pPr>
              <w:pStyle w:val="129"/>
              <w:widowControl w:val="0"/>
              <w:rPr>
                <w:rFonts w:eastAsia="Times New Roman"/>
                <w:color w:val="auto"/>
              </w:rPr>
            </w:pPr>
            <w:r>
              <w:rPr>
                <w:rFonts w:hint="eastAsia" w:ascii="宋体" w:hAnsi="宋体" w:eastAsia="Times New Roman" w:cs="宋体"/>
                <w:color w:val="auto"/>
              </w:rPr>
              <w:t>颗粒物</w:t>
            </w:r>
          </w:p>
        </w:tc>
        <w:tc>
          <w:tcPr>
            <w:tcW w:w="831" w:type="pct"/>
            <w:tcBorders>
              <w:top w:val="single" w:color="000000" w:sz="2" w:space="0"/>
              <w:left w:val="single" w:color="000000" w:sz="2" w:space="0"/>
              <w:bottom w:val="single" w:color="000000" w:sz="2" w:space="0"/>
              <w:right w:val="single" w:color="000000" w:sz="2" w:space="0"/>
            </w:tcBorders>
            <w:vAlign w:val="center"/>
          </w:tcPr>
          <w:p w14:paraId="1BE59931">
            <w:pPr>
              <w:pStyle w:val="129"/>
              <w:widowControl w:val="0"/>
              <w:rPr>
                <w:rFonts w:eastAsia="Times New Roman"/>
                <w:color w:val="auto"/>
              </w:rPr>
            </w:pPr>
            <w:r>
              <w:rPr>
                <w:rFonts w:eastAsia="Times New Roman"/>
                <w:color w:val="auto"/>
              </w:rPr>
              <w:t>10.00</w:t>
            </w:r>
          </w:p>
        </w:tc>
        <w:tc>
          <w:tcPr>
            <w:tcW w:w="815" w:type="pct"/>
            <w:tcBorders>
              <w:top w:val="single" w:color="000000" w:sz="2" w:space="0"/>
              <w:left w:val="single" w:color="000000" w:sz="2" w:space="0"/>
              <w:bottom w:val="single" w:color="000000" w:sz="2" w:space="0"/>
              <w:right w:val="single" w:color="000000" w:sz="2" w:space="0"/>
            </w:tcBorders>
            <w:vAlign w:val="center"/>
          </w:tcPr>
          <w:p w14:paraId="5232A0CD">
            <w:pPr>
              <w:pStyle w:val="129"/>
              <w:widowControl w:val="0"/>
              <w:rPr>
                <w:rFonts w:eastAsia="Times New Roman"/>
                <w:color w:val="auto"/>
              </w:rPr>
            </w:pPr>
            <w:r>
              <w:rPr>
                <w:rFonts w:eastAsia="Times New Roman"/>
                <w:color w:val="auto"/>
              </w:rPr>
              <w:t>0.066</w:t>
            </w:r>
          </w:p>
        </w:tc>
        <w:tc>
          <w:tcPr>
            <w:tcW w:w="855" w:type="pct"/>
            <w:tcBorders>
              <w:top w:val="single" w:color="000000" w:sz="2" w:space="0"/>
              <w:left w:val="single" w:color="000000" w:sz="2" w:space="0"/>
              <w:bottom w:val="single" w:color="000000" w:sz="2" w:space="0"/>
              <w:right w:val="single" w:color="000000" w:sz="8" w:space="0"/>
            </w:tcBorders>
            <w:vAlign w:val="center"/>
          </w:tcPr>
          <w:p w14:paraId="7B4FB48E">
            <w:pPr>
              <w:pStyle w:val="129"/>
              <w:widowControl w:val="0"/>
              <w:rPr>
                <w:rFonts w:eastAsia="Times New Roman"/>
                <w:color w:val="auto"/>
              </w:rPr>
            </w:pPr>
            <w:r>
              <w:rPr>
                <w:rFonts w:eastAsia="Times New Roman"/>
                <w:color w:val="auto"/>
              </w:rPr>
              <w:t>0.05</w:t>
            </w:r>
          </w:p>
        </w:tc>
      </w:tr>
      <w:tr w14:paraId="1F19DC0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left w:val="single" w:color="000000" w:sz="8" w:space="0"/>
              <w:right w:val="single" w:color="000000" w:sz="2" w:space="0"/>
            </w:tcBorders>
            <w:vAlign w:val="center"/>
          </w:tcPr>
          <w:p w14:paraId="03FD0669">
            <w:pPr>
              <w:pStyle w:val="129"/>
              <w:widowControl w:val="0"/>
              <w:rPr>
                <w:rFonts w:eastAsia="Times New Roman"/>
                <w:color w:val="auto"/>
              </w:rPr>
            </w:pPr>
          </w:p>
        </w:tc>
        <w:tc>
          <w:tcPr>
            <w:tcW w:w="430" w:type="pct"/>
            <w:vMerge w:val="continue"/>
            <w:tcBorders>
              <w:left w:val="single" w:color="000000" w:sz="2" w:space="0"/>
              <w:right w:val="single" w:color="000000" w:sz="2" w:space="0"/>
            </w:tcBorders>
            <w:vAlign w:val="center"/>
          </w:tcPr>
          <w:p w14:paraId="1CEB9D40">
            <w:pPr>
              <w:pStyle w:val="129"/>
              <w:widowControl w:val="0"/>
              <w:rPr>
                <w:rFonts w:eastAsia="Times New Roman"/>
                <w:color w:val="auto"/>
              </w:rPr>
            </w:pPr>
          </w:p>
        </w:tc>
        <w:tc>
          <w:tcPr>
            <w:tcW w:w="1275" w:type="pct"/>
            <w:vMerge w:val="continue"/>
            <w:tcBorders>
              <w:left w:val="single" w:color="000000" w:sz="2" w:space="0"/>
              <w:right w:val="single" w:color="000000" w:sz="2" w:space="0"/>
            </w:tcBorders>
            <w:vAlign w:val="center"/>
          </w:tcPr>
          <w:p w14:paraId="15FC4F15">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0B72A044">
            <w:pPr>
              <w:pStyle w:val="129"/>
              <w:widowControl w:val="0"/>
              <w:rPr>
                <w:rFonts w:eastAsia="Times New Roman"/>
                <w:color w:val="auto"/>
              </w:rPr>
            </w:pPr>
            <w:r>
              <w:rPr>
                <w:rStyle w:val="1313"/>
                <w:rFonts w:hint="default" w:ascii="Times New Roman" w:hAnsi="Times New Roman" w:cs="Times New Roman"/>
                <w:color w:val="auto"/>
              </w:rPr>
              <w:t>SO</w:t>
            </w:r>
            <w:r>
              <w:rPr>
                <w:rStyle w:val="1485"/>
                <w:rFonts w:hint="default" w:ascii="Times New Roman" w:hAnsi="Times New Roman"/>
                <w:color w:val="auto"/>
                <w:sz w:val="21"/>
                <w:szCs w:val="21"/>
                <w:vertAlign w:val="subscript"/>
              </w:rPr>
              <w:t>2</w:t>
            </w:r>
          </w:p>
        </w:tc>
        <w:tc>
          <w:tcPr>
            <w:tcW w:w="831" w:type="pct"/>
            <w:tcBorders>
              <w:top w:val="single" w:color="000000" w:sz="2" w:space="0"/>
              <w:left w:val="single" w:color="000000" w:sz="2" w:space="0"/>
              <w:bottom w:val="single" w:color="000000" w:sz="2" w:space="0"/>
              <w:right w:val="single" w:color="000000" w:sz="2" w:space="0"/>
            </w:tcBorders>
            <w:vAlign w:val="center"/>
          </w:tcPr>
          <w:p w14:paraId="477AF6B1">
            <w:pPr>
              <w:pStyle w:val="129"/>
              <w:widowControl w:val="0"/>
              <w:rPr>
                <w:rFonts w:eastAsia="Times New Roman"/>
                <w:color w:val="auto"/>
              </w:rPr>
            </w:pPr>
            <w:r>
              <w:rPr>
                <w:rFonts w:eastAsia="Times New Roman"/>
                <w:color w:val="auto"/>
              </w:rPr>
              <w:t>2.30</w:t>
            </w:r>
          </w:p>
        </w:tc>
        <w:tc>
          <w:tcPr>
            <w:tcW w:w="815" w:type="pct"/>
            <w:tcBorders>
              <w:top w:val="single" w:color="000000" w:sz="2" w:space="0"/>
              <w:left w:val="single" w:color="000000" w:sz="2" w:space="0"/>
              <w:bottom w:val="single" w:color="000000" w:sz="2" w:space="0"/>
              <w:right w:val="single" w:color="000000" w:sz="2" w:space="0"/>
            </w:tcBorders>
            <w:vAlign w:val="center"/>
          </w:tcPr>
          <w:p w14:paraId="5356C1A9">
            <w:pPr>
              <w:pStyle w:val="129"/>
              <w:widowControl w:val="0"/>
              <w:rPr>
                <w:rFonts w:eastAsia="Times New Roman"/>
                <w:color w:val="auto"/>
              </w:rPr>
            </w:pPr>
            <w:r>
              <w:rPr>
                <w:rFonts w:eastAsia="Times New Roman"/>
                <w:color w:val="auto"/>
              </w:rPr>
              <w:t>0.015</w:t>
            </w:r>
          </w:p>
        </w:tc>
        <w:tc>
          <w:tcPr>
            <w:tcW w:w="855" w:type="pct"/>
            <w:tcBorders>
              <w:top w:val="single" w:color="000000" w:sz="2" w:space="0"/>
              <w:left w:val="single" w:color="000000" w:sz="2" w:space="0"/>
              <w:bottom w:val="single" w:color="000000" w:sz="2" w:space="0"/>
              <w:right w:val="single" w:color="000000" w:sz="8" w:space="0"/>
            </w:tcBorders>
            <w:vAlign w:val="center"/>
          </w:tcPr>
          <w:p w14:paraId="425056AC">
            <w:pPr>
              <w:pStyle w:val="129"/>
              <w:widowControl w:val="0"/>
              <w:rPr>
                <w:rFonts w:eastAsia="Times New Roman"/>
                <w:color w:val="auto"/>
              </w:rPr>
            </w:pPr>
            <w:r>
              <w:rPr>
                <w:rFonts w:eastAsia="Times New Roman"/>
                <w:color w:val="auto"/>
              </w:rPr>
              <w:t>0.01</w:t>
            </w:r>
          </w:p>
        </w:tc>
      </w:tr>
      <w:tr w14:paraId="3C21A24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left w:val="single" w:color="000000" w:sz="8" w:space="0"/>
              <w:bottom w:val="single" w:color="000000" w:sz="2" w:space="0"/>
              <w:right w:val="single" w:color="000000" w:sz="2" w:space="0"/>
            </w:tcBorders>
            <w:vAlign w:val="center"/>
          </w:tcPr>
          <w:p w14:paraId="3E19CBD5">
            <w:pPr>
              <w:pStyle w:val="129"/>
              <w:widowControl w:val="0"/>
              <w:rPr>
                <w:rFonts w:eastAsia="Times New Roman"/>
                <w:color w:val="auto"/>
              </w:rPr>
            </w:pPr>
          </w:p>
        </w:tc>
        <w:tc>
          <w:tcPr>
            <w:tcW w:w="430" w:type="pct"/>
            <w:vMerge w:val="continue"/>
            <w:tcBorders>
              <w:left w:val="single" w:color="000000" w:sz="2" w:space="0"/>
              <w:bottom w:val="single" w:color="000000" w:sz="2" w:space="0"/>
              <w:right w:val="single" w:color="000000" w:sz="2" w:space="0"/>
            </w:tcBorders>
            <w:vAlign w:val="center"/>
          </w:tcPr>
          <w:p w14:paraId="7EAD906E">
            <w:pPr>
              <w:pStyle w:val="129"/>
              <w:widowControl w:val="0"/>
              <w:rPr>
                <w:rFonts w:eastAsia="Times New Roman"/>
                <w:color w:val="auto"/>
              </w:rPr>
            </w:pPr>
          </w:p>
        </w:tc>
        <w:tc>
          <w:tcPr>
            <w:tcW w:w="1275" w:type="pct"/>
            <w:vMerge w:val="continue"/>
            <w:tcBorders>
              <w:left w:val="single" w:color="000000" w:sz="2" w:space="0"/>
              <w:bottom w:val="single" w:color="000000" w:sz="2" w:space="0"/>
              <w:right w:val="single" w:color="000000" w:sz="2" w:space="0"/>
            </w:tcBorders>
            <w:vAlign w:val="center"/>
          </w:tcPr>
          <w:p w14:paraId="638AB4EF">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5B4C2118">
            <w:pPr>
              <w:pStyle w:val="129"/>
              <w:widowControl w:val="0"/>
              <w:rPr>
                <w:rFonts w:eastAsia="Times New Roman"/>
                <w:color w:val="auto"/>
              </w:rPr>
            </w:pPr>
            <w:r>
              <w:rPr>
                <w:rStyle w:val="1313"/>
                <w:rFonts w:hint="default" w:ascii="Times New Roman" w:hAnsi="Times New Roman" w:cs="Times New Roman"/>
                <w:color w:val="auto"/>
              </w:rPr>
              <w:t>NO</w:t>
            </w:r>
            <w:r>
              <w:rPr>
                <w:rStyle w:val="1485"/>
                <w:rFonts w:hint="default" w:ascii="Times New Roman" w:hAnsi="Times New Roman"/>
                <w:color w:val="auto"/>
                <w:sz w:val="21"/>
                <w:szCs w:val="21"/>
                <w:vertAlign w:val="subscript"/>
              </w:rPr>
              <w:t>X</w:t>
            </w:r>
          </w:p>
        </w:tc>
        <w:tc>
          <w:tcPr>
            <w:tcW w:w="831" w:type="pct"/>
            <w:tcBorders>
              <w:top w:val="single" w:color="000000" w:sz="2" w:space="0"/>
              <w:left w:val="single" w:color="000000" w:sz="2" w:space="0"/>
              <w:bottom w:val="single" w:color="000000" w:sz="2" w:space="0"/>
              <w:right w:val="single" w:color="000000" w:sz="2" w:space="0"/>
            </w:tcBorders>
            <w:vAlign w:val="center"/>
          </w:tcPr>
          <w:p w14:paraId="129E819E">
            <w:pPr>
              <w:pStyle w:val="129"/>
              <w:widowControl w:val="0"/>
              <w:rPr>
                <w:rFonts w:eastAsia="Times New Roman"/>
                <w:color w:val="auto"/>
              </w:rPr>
            </w:pPr>
            <w:r>
              <w:rPr>
                <w:rFonts w:eastAsia="Times New Roman"/>
                <w:color w:val="auto"/>
              </w:rPr>
              <w:t>28.12</w:t>
            </w:r>
          </w:p>
        </w:tc>
        <w:tc>
          <w:tcPr>
            <w:tcW w:w="815" w:type="pct"/>
            <w:tcBorders>
              <w:top w:val="single" w:color="000000" w:sz="2" w:space="0"/>
              <w:left w:val="single" w:color="000000" w:sz="2" w:space="0"/>
              <w:bottom w:val="single" w:color="000000" w:sz="2" w:space="0"/>
              <w:right w:val="single" w:color="000000" w:sz="2" w:space="0"/>
            </w:tcBorders>
            <w:vAlign w:val="center"/>
          </w:tcPr>
          <w:p w14:paraId="65DF5374">
            <w:pPr>
              <w:pStyle w:val="129"/>
              <w:widowControl w:val="0"/>
              <w:rPr>
                <w:rFonts w:eastAsia="Times New Roman"/>
                <w:color w:val="auto"/>
              </w:rPr>
            </w:pPr>
            <w:r>
              <w:rPr>
                <w:rFonts w:eastAsia="Times New Roman"/>
                <w:color w:val="auto"/>
              </w:rPr>
              <w:t>0.186</w:t>
            </w:r>
          </w:p>
        </w:tc>
        <w:tc>
          <w:tcPr>
            <w:tcW w:w="855" w:type="pct"/>
            <w:tcBorders>
              <w:top w:val="single" w:color="000000" w:sz="2" w:space="0"/>
              <w:left w:val="single" w:color="000000" w:sz="2" w:space="0"/>
              <w:bottom w:val="single" w:color="000000" w:sz="2" w:space="0"/>
              <w:right w:val="single" w:color="000000" w:sz="8" w:space="0"/>
            </w:tcBorders>
            <w:vAlign w:val="center"/>
          </w:tcPr>
          <w:p w14:paraId="439166CD">
            <w:pPr>
              <w:pStyle w:val="129"/>
              <w:widowControl w:val="0"/>
              <w:rPr>
                <w:rFonts w:eastAsia="Times New Roman"/>
                <w:color w:val="auto"/>
              </w:rPr>
            </w:pPr>
            <w:r>
              <w:rPr>
                <w:rFonts w:eastAsia="Times New Roman"/>
                <w:color w:val="auto"/>
              </w:rPr>
              <w:t>0.13</w:t>
            </w:r>
          </w:p>
        </w:tc>
      </w:tr>
      <w:tr w14:paraId="1DD24EF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restart"/>
            <w:tcBorders>
              <w:top w:val="single" w:color="000000" w:sz="2" w:space="0"/>
              <w:left w:val="single" w:color="000000" w:sz="8" w:space="0"/>
              <w:right w:val="single" w:color="000000" w:sz="2" w:space="0"/>
            </w:tcBorders>
            <w:vAlign w:val="center"/>
          </w:tcPr>
          <w:p w14:paraId="715AAB5F">
            <w:pPr>
              <w:pStyle w:val="129"/>
              <w:widowControl w:val="0"/>
              <w:rPr>
                <w:rFonts w:eastAsia="Times New Roman"/>
                <w:color w:val="auto"/>
              </w:rPr>
            </w:pPr>
            <w:r>
              <w:rPr>
                <w:rFonts w:hint="eastAsia" w:eastAsiaTheme="minorEastAsia"/>
                <w:color w:val="auto"/>
              </w:rPr>
              <w:t>10</w:t>
            </w:r>
          </w:p>
        </w:tc>
        <w:tc>
          <w:tcPr>
            <w:tcW w:w="430" w:type="pct"/>
            <w:vMerge w:val="restart"/>
            <w:tcBorders>
              <w:top w:val="single" w:color="000000" w:sz="2" w:space="0"/>
              <w:left w:val="single" w:color="000000" w:sz="2" w:space="0"/>
              <w:right w:val="single" w:color="000000" w:sz="2" w:space="0"/>
            </w:tcBorders>
            <w:vAlign w:val="center"/>
          </w:tcPr>
          <w:p w14:paraId="3E6D3CD8">
            <w:pPr>
              <w:pStyle w:val="129"/>
              <w:widowControl w:val="0"/>
              <w:rPr>
                <w:rFonts w:eastAsia="Times New Roman"/>
                <w:color w:val="auto"/>
              </w:rPr>
            </w:pPr>
            <w:r>
              <w:rPr>
                <w:rFonts w:hint="eastAsia" w:eastAsiaTheme="minorEastAsia"/>
                <w:color w:val="auto"/>
              </w:rPr>
              <w:t>DA010</w:t>
            </w:r>
          </w:p>
        </w:tc>
        <w:tc>
          <w:tcPr>
            <w:tcW w:w="1275" w:type="pct"/>
            <w:vMerge w:val="restart"/>
            <w:tcBorders>
              <w:top w:val="single" w:color="000000" w:sz="2" w:space="0"/>
              <w:left w:val="single" w:color="000000" w:sz="2" w:space="0"/>
              <w:right w:val="single" w:color="000000" w:sz="2" w:space="0"/>
            </w:tcBorders>
            <w:vAlign w:val="center"/>
          </w:tcPr>
          <w:p w14:paraId="7FC40282">
            <w:pPr>
              <w:pStyle w:val="129"/>
              <w:widowControl w:val="0"/>
              <w:rPr>
                <w:rFonts w:ascii="宋体" w:hAnsi="宋体" w:eastAsia="Times New Roman" w:cs="宋体"/>
                <w:color w:val="auto"/>
              </w:rPr>
            </w:pPr>
            <w:r>
              <w:rPr>
                <w:rFonts w:hint="eastAsia" w:ascii="宋体" w:hAnsi="宋体" w:eastAsia="Times New Roman" w:cs="宋体"/>
                <w:color w:val="auto"/>
              </w:rPr>
              <w:t>燃气锅炉</w:t>
            </w:r>
          </w:p>
          <w:p w14:paraId="1DA11F7A">
            <w:pPr>
              <w:pStyle w:val="129"/>
              <w:widowControl w:val="0"/>
              <w:rPr>
                <w:rFonts w:eastAsia="Times New Roman"/>
                <w:color w:val="auto"/>
              </w:rPr>
            </w:pPr>
            <w:r>
              <w:rPr>
                <w:rFonts w:hint="eastAsia" w:ascii="宋体" w:hAnsi="宋体" w:eastAsia="Times New Roman" w:cs="宋体"/>
                <w:color w:val="auto"/>
              </w:rPr>
              <w:t>废气</w:t>
            </w:r>
            <w:r>
              <w:rPr>
                <w:rFonts w:hint="eastAsia" w:eastAsia="Times New Roman"/>
                <w:color w:val="auto"/>
              </w:rPr>
              <w:t>2</w:t>
            </w:r>
          </w:p>
        </w:tc>
        <w:tc>
          <w:tcPr>
            <w:tcW w:w="580" w:type="pct"/>
            <w:tcBorders>
              <w:top w:val="single" w:color="000000" w:sz="2" w:space="0"/>
              <w:left w:val="single" w:color="000000" w:sz="2" w:space="0"/>
              <w:bottom w:val="single" w:color="000000" w:sz="2" w:space="0"/>
              <w:right w:val="single" w:color="000000" w:sz="2" w:space="0"/>
            </w:tcBorders>
            <w:vAlign w:val="center"/>
          </w:tcPr>
          <w:p w14:paraId="494154AD">
            <w:pPr>
              <w:pStyle w:val="129"/>
              <w:widowControl w:val="0"/>
              <w:rPr>
                <w:rFonts w:eastAsia="Times New Roman"/>
                <w:color w:val="auto"/>
              </w:rPr>
            </w:pPr>
            <w:r>
              <w:rPr>
                <w:rFonts w:hint="eastAsia" w:ascii="宋体" w:hAnsi="宋体" w:eastAsia="Times New Roman" w:cs="宋体"/>
                <w:color w:val="auto"/>
              </w:rPr>
              <w:t>颗粒物</w:t>
            </w:r>
          </w:p>
        </w:tc>
        <w:tc>
          <w:tcPr>
            <w:tcW w:w="831" w:type="pct"/>
            <w:tcBorders>
              <w:top w:val="single" w:color="000000" w:sz="2" w:space="0"/>
              <w:left w:val="single" w:color="000000" w:sz="2" w:space="0"/>
              <w:bottom w:val="single" w:color="000000" w:sz="2" w:space="0"/>
              <w:right w:val="single" w:color="000000" w:sz="2" w:space="0"/>
            </w:tcBorders>
            <w:vAlign w:val="center"/>
          </w:tcPr>
          <w:p w14:paraId="6A5A4404">
            <w:pPr>
              <w:pStyle w:val="129"/>
              <w:widowControl w:val="0"/>
              <w:rPr>
                <w:rFonts w:eastAsia="Times New Roman"/>
                <w:color w:val="auto"/>
              </w:rPr>
            </w:pPr>
            <w:r>
              <w:rPr>
                <w:rFonts w:eastAsia="Times New Roman"/>
                <w:color w:val="auto"/>
              </w:rPr>
              <w:t>10.00</w:t>
            </w:r>
          </w:p>
        </w:tc>
        <w:tc>
          <w:tcPr>
            <w:tcW w:w="815" w:type="pct"/>
            <w:tcBorders>
              <w:top w:val="single" w:color="000000" w:sz="2" w:space="0"/>
              <w:left w:val="single" w:color="000000" w:sz="2" w:space="0"/>
              <w:bottom w:val="single" w:color="000000" w:sz="2" w:space="0"/>
              <w:right w:val="single" w:color="000000" w:sz="2" w:space="0"/>
            </w:tcBorders>
            <w:vAlign w:val="center"/>
          </w:tcPr>
          <w:p w14:paraId="23F03F1F">
            <w:pPr>
              <w:pStyle w:val="129"/>
              <w:widowControl w:val="0"/>
              <w:rPr>
                <w:rFonts w:eastAsia="Times New Roman"/>
                <w:color w:val="auto"/>
              </w:rPr>
            </w:pPr>
            <w:r>
              <w:rPr>
                <w:rFonts w:eastAsia="Times New Roman"/>
                <w:color w:val="auto"/>
              </w:rPr>
              <w:t>0.066</w:t>
            </w:r>
          </w:p>
        </w:tc>
        <w:tc>
          <w:tcPr>
            <w:tcW w:w="855" w:type="pct"/>
            <w:tcBorders>
              <w:top w:val="single" w:color="000000" w:sz="2" w:space="0"/>
              <w:left w:val="single" w:color="000000" w:sz="2" w:space="0"/>
              <w:bottom w:val="single" w:color="000000" w:sz="2" w:space="0"/>
              <w:right w:val="single" w:color="000000" w:sz="8" w:space="0"/>
            </w:tcBorders>
            <w:vAlign w:val="center"/>
          </w:tcPr>
          <w:p w14:paraId="52B250CB">
            <w:pPr>
              <w:pStyle w:val="129"/>
              <w:widowControl w:val="0"/>
              <w:rPr>
                <w:rFonts w:eastAsia="Times New Roman"/>
                <w:color w:val="auto"/>
              </w:rPr>
            </w:pPr>
            <w:r>
              <w:rPr>
                <w:rFonts w:eastAsia="Times New Roman"/>
                <w:color w:val="auto"/>
              </w:rPr>
              <w:t>0.05</w:t>
            </w:r>
          </w:p>
        </w:tc>
      </w:tr>
      <w:tr w14:paraId="32C0298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left w:val="single" w:color="000000" w:sz="8" w:space="0"/>
              <w:right w:val="single" w:color="000000" w:sz="2" w:space="0"/>
            </w:tcBorders>
            <w:vAlign w:val="center"/>
          </w:tcPr>
          <w:p w14:paraId="282D388C">
            <w:pPr>
              <w:pStyle w:val="129"/>
              <w:widowControl w:val="0"/>
              <w:rPr>
                <w:rFonts w:eastAsiaTheme="minorEastAsia"/>
                <w:color w:val="auto"/>
              </w:rPr>
            </w:pPr>
          </w:p>
        </w:tc>
        <w:tc>
          <w:tcPr>
            <w:tcW w:w="430" w:type="pct"/>
            <w:vMerge w:val="continue"/>
            <w:tcBorders>
              <w:left w:val="single" w:color="000000" w:sz="2" w:space="0"/>
              <w:right w:val="single" w:color="000000" w:sz="2" w:space="0"/>
            </w:tcBorders>
            <w:vAlign w:val="center"/>
          </w:tcPr>
          <w:p w14:paraId="69DF1744">
            <w:pPr>
              <w:pStyle w:val="129"/>
              <w:widowControl w:val="0"/>
              <w:rPr>
                <w:rFonts w:eastAsia="Times New Roman"/>
                <w:color w:val="auto"/>
              </w:rPr>
            </w:pPr>
          </w:p>
        </w:tc>
        <w:tc>
          <w:tcPr>
            <w:tcW w:w="1275" w:type="pct"/>
            <w:vMerge w:val="continue"/>
            <w:tcBorders>
              <w:left w:val="single" w:color="000000" w:sz="2" w:space="0"/>
              <w:right w:val="single" w:color="000000" w:sz="2" w:space="0"/>
            </w:tcBorders>
            <w:vAlign w:val="center"/>
          </w:tcPr>
          <w:p w14:paraId="2E8C85B0">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5FF17FAF">
            <w:pPr>
              <w:pStyle w:val="129"/>
              <w:widowControl w:val="0"/>
              <w:rPr>
                <w:rFonts w:eastAsia="Times New Roman"/>
                <w:color w:val="auto"/>
              </w:rPr>
            </w:pPr>
            <w:r>
              <w:rPr>
                <w:rStyle w:val="1313"/>
                <w:rFonts w:hint="default" w:ascii="Times New Roman" w:hAnsi="Times New Roman" w:cs="Times New Roman"/>
                <w:color w:val="auto"/>
              </w:rPr>
              <w:t>SO</w:t>
            </w:r>
            <w:r>
              <w:rPr>
                <w:rStyle w:val="1485"/>
                <w:rFonts w:hint="default" w:ascii="Times New Roman" w:hAnsi="Times New Roman"/>
                <w:color w:val="auto"/>
                <w:sz w:val="21"/>
                <w:szCs w:val="21"/>
                <w:vertAlign w:val="subscript"/>
              </w:rPr>
              <w:t>2</w:t>
            </w:r>
          </w:p>
        </w:tc>
        <w:tc>
          <w:tcPr>
            <w:tcW w:w="831" w:type="pct"/>
            <w:tcBorders>
              <w:top w:val="single" w:color="000000" w:sz="2" w:space="0"/>
              <w:left w:val="single" w:color="000000" w:sz="2" w:space="0"/>
              <w:bottom w:val="single" w:color="000000" w:sz="2" w:space="0"/>
              <w:right w:val="single" w:color="000000" w:sz="2" w:space="0"/>
            </w:tcBorders>
            <w:vAlign w:val="center"/>
          </w:tcPr>
          <w:p w14:paraId="4EBC591B">
            <w:pPr>
              <w:pStyle w:val="129"/>
              <w:widowControl w:val="0"/>
              <w:rPr>
                <w:rFonts w:eastAsia="Times New Roman"/>
                <w:color w:val="auto"/>
              </w:rPr>
            </w:pPr>
            <w:r>
              <w:rPr>
                <w:rFonts w:eastAsia="Times New Roman"/>
                <w:color w:val="auto"/>
              </w:rPr>
              <w:t>2.30</w:t>
            </w:r>
          </w:p>
        </w:tc>
        <w:tc>
          <w:tcPr>
            <w:tcW w:w="815" w:type="pct"/>
            <w:tcBorders>
              <w:top w:val="single" w:color="000000" w:sz="2" w:space="0"/>
              <w:left w:val="single" w:color="000000" w:sz="2" w:space="0"/>
              <w:bottom w:val="single" w:color="000000" w:sz="2" w:space="0"/>
              <w:right w:val="single" w:color="000000" w:sz="2" w:space="0"/>
            </w:tcBorders>
            <w:vAlign w:val="center"/>
          </w:tcPr>
          <w:p w14:paraId="2AB3364E">
            <w:pPr>
              <w:pStyle w:val="129"/>
              <w:widowControl w:val="0"/>
              <w:rPr>
                <w:rFonts w:eastAsia="Times New Roman"/>
                <w:color w:val="auto"/>
              </w:rPr>
            </w:pPr>
            <w:r>
              <w:rPr>
                <w:rFonts w:eastAsia="Times New Roman"/>
                <w:color w:val="auto"/>
              </w:rPr>
              <w:t>0.015</w:t>
            </w:r>
          </w:p>
        </w:tc>
        <w:tc>
          <w:tcPr>
            <w:tcW w:w="855" w:type="pct"/>
            <w:tcBorders>
              <w:top w:val="single" w:color="000000" w:sz="2" w:space="0"/>
              <w:left w:val="single" w:color="000000" w:sz="2" w:space="0"/>
              <w:bottom w:val="single" w:color="000000" w:sz="2" w:space="0"/>
              <w:right w:val="single" w:color="000000" w:sz="8" w:space="0"/>
            </w:tcBorders>
            <w:vAlign w:val="center"/>
          </w:tcPr>
          <w:p w14:paraId="38370B7A">
            <w:pPr>
              <w:pStyle w:val="129"/>
              <w:widowControl w:val="0"/>
              <w:rPr>
                <w:rFonts w:eastAsia="Times New Roman"/>
                <w:color w:val="auto"/>
              </w:rPr>
            </w:pPr>
            <w:r>
              <w:rPr>
                <w:rFonts w:eastAsia="Times New Roman"/>
                <w:color w:val="auto"/>
              </w:rPr>
              <w:t>0.01</w:t>
            </w:r>
          </w:p>
        </w:tc>
      </w:tr>
      <w:tr w14:paraId="1BBFC09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5" w:type="pct"/>
            <w:vMerge w:val="continue"/>
            <w:tcBorders>
              <w:left w:val="single" w:color="000000" w:sz="8" w:space="0"/>
              <w:bottom w:val="single" w:color="000000" w:sz="2" w:space="0"/>
              <w:right w:val="single" w:color="000000" w:sz="2" w:space="0"/>
            </w:tcBorders>
            <w:vAlign w:val="center"/>
          </w:tcPr>
          <w:p w14:paraId="1106E516">
            <w:pPr>
              <w:pStyle w:val="129"/>
              <w:widowControl w:val="0"/>
              <w:rPr>
                <w:rFonts w:eastAsia="Times New Roman"/>
                <w:color w:val="auto"/>
              </w:rPr>
            </w:pPr>
          </w:p>
        </w:tc>
        <w:tc>
          <w:tcPr>
            <w:tcW w:w="430" w:type="pct"/>
            <w:vMerge w:val="continue"/>
            <w:tcBorders>
              <w:left w:val="single" w:color="000000" w:sz="2" w:space="0"/>
              <w:bottom w:val="single" w:color="000000" w:sz="2" w:space="0"/>
              <w:right w:val="single" w:color="000000" w:sz="2" w:space="0"/>
            </w:tcBorders>
            <w:vAlign w:val="center"/>
          </w:tcPr>
          <w:p w14:paraId="508F2ED2">
            <w:pPr>
              <w:pStyle w:val="129"/>
              <w:widowControl w:val="0"/>
              <w:rPr>
                <w:rFonts w:eastAsia="Times New Roman"/>
                <w:color w:val="auto"/>
              </w:rPr>
            </w:pPr>
          </w:p>
        </w:tc>
        <w:tc>
          <w:tcPr>
            <w:tcW w:w="1275" w:type="pct"/>
            <w:vMerge w:val="continue"/>
            <w:tcBorders>
              <w:left w:val="single" w:color="000000" w:sz="2" w:space="0"/>
              <w:bottom w:val="single" w:color="000000" w:sz="2" w:space="0"/>
              <w:right w:val="single" w:color="000000" w:sz="2" w:space="0"/>
            </w:tcBorders>
            <w:vAlign w:val="center"/>
          </w:tcPr>
          <w:p w14:paraId="2004001D">
            <w:pPr>
              <w:pStyle w:val="129"/>
              <w:widowControl w:val="0"/>
              <w:rPr>
                <w:rFonts w:eastAsia="Times New Roman"/>
                <w:color w:val="auto"/>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5485197F">
            <w:pPr>
              <w:pStyle w:val="129"/>
              <w:widowControl w:val="0"/>
              <w:rPr>
                <w:rFonts w:eastAsia="Times New Roman"/>
                <w:color w:val="auto"/>
              </w:rPr>
            </w:pPr>
            <w:r>
              <w:rPr>
                <w:rStyle w:val="1313"/>
                <w:rFonts w:hint="default" w:ascii="Times New Roman" w:hAnsi="Times New Roman" w:cs="Times New Roman"/>
                <w:color w:val="auto"/>
              </w:rPr>
              <w:t>NO</w:t>
            </w:r>
            <w:r>
              <w:rPr>
                <w:rStyle w:val="1485"/>
                <w:rFonts w:hint="default" w:ascii="Times New Roman" w:hAnsi="Times New Roman"/>
                <w:color w:val="auto"/>
                <w:sz w:val="21"/>
                <w:szCs w:val="21"/>
                <w:vertAlign w:val="subscript"/>
              </w:rPr>
              <w:t>X</w:t>
            </w:r>
          </w:p>
        </w:tc>
        <w:tc>
          <w:tcPr>
            <w:tcW w:w="831" w:type="pct"/>
            <w:tcBorders>
              <w:top w:val="single" w:color="000000" w:sz="2" w:space="0"/>
              <w:left w:val="single" w:color="000000" w:sz="2" w:space="0"/>
              <w:bottom w:val="single" w:color="000000" w:sz="2" w:space="0"/>
              <w:right w:val="single" w:color="000000" w:sz="2" w:space="0"/>
            </w:tcBorders>
            <w:vAlign w:val="center"/>
          </w:tcPr>
          <w:p w14:paraId="1130097C">
            <w:pPr>
              <w:pStyle w:val="129"/>
              <w:widowControl w:val="0"/>
              <w:rPr>
                <w:rFonts w:eastAsia="Times New Roman"/>
                <w:color w:val="auto"/>
              </w:rPr>
            </w:pPr>
            <w:r>
              <w:rPr>
                <w:rFonts w:eastAsia="Times New Roman"/>
                <w:color w:val="auto"/>
              </w:rPr>
              <w:t>28.12</w:t>
            </w:r>
          </w:p>
        </w:tc>
        <w:tc>
          <w:tcPr>
            <w:tcW w:w="815" w:type="pct"/>
            <w:tcBorders>
              <w:top w:val="single" w:color="000000" w:sz="2" w:space="0"/>
              <w:left w:val="single" w:color="000000" w:sz="2" w:space="0"/>
              <w:bottom w:val="single" w:color="000000" w:sz="2" w:space="0"/>
              <w:right w:val="single" w:color="000000" w:sz="2" w:space="0"/>
            </w:tcBorders>
            <w:vAlign w:val="center"/>
          </w:tcPr>
          <w:p w14:paraId="7AE8A68C">
            <w:pPr>
              <w:pStyle w:val="129"/>
              <w:widowControl w:val="0"/>
              <w:rPr>
                <w:rFonts w:eastAsia="Times New Roman"/>
                <w:color w:val="auto"/>
              </w:rPr>
            </w:pPr>
            <w:r>
              <w:rPr>
                <w:rFonts w:eastAsia="Times New Roman"/>
                <w:color w:val="auto"/>
              </w:rPr>
              <w:t>0.186</w:t>
            </w:r>
          </w:p>
        </w:tc>
        <w:tc>
          <w:tcPr>
            <w:tcW w:w="855" w:type="pct"/>
            <w:tcBorders>
              <w:top w:val="single" w:color="000000" w:sz="2" w:space="0"/>
              <w:left w:val="single" w:color="000000" w:sz="2" w:space="0"/>
              <w:bottom w:val="single" w:color="000000" w:sz="2" w:space="0"/>
              <w:right w:val="single" w:color="000000" w:sz="8" w:space="0"/>
            </w:tcBorders>
            <w:vAlign w:val="center"/>
          </w:tcPr>
          <w:p w14:paraId="4A4A3428">
            <w:pPr>
              <w:pStyle w:val="129"/>
              <w:widowControl w:val="0"/>
              <w:rPr>
                <w:rFonts w:eastAsia="Times New Roman"/>
                <w:color w:val="auto"/>
              </w:rPr>
            </w:pPr>
            <w:r>
              <w:rPr>
                <w:rFonts w:eastAsia="Times New Roman"/>
                <w:color w:val="auto"/>
              </w:rPr>
              <w:t>0.13</w:t>
            </w:r>
          </w:p>
        </w:tc>
      </w:tr>
      <w:tr w14:paraId="03366DE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restart"/>
            <w:tcBorders>
              <w:top w:val="single" w:color="000000" w:sz="2" w:space="0"/>
              <w:left w:val="single" w:color="000000" w:sz="8" w:space="0"/>
              <w:bottom w:val="single" w:color="000000" w:sz="2" w:space="0"/>
              <w:right w:val="single" w:color="000000" w:sz="2" w:space="0"/>
            </w:tcBorders>
            <w:vAlign w:val="center"/>
          </w:tcPr>
          <w:p w14:paraId="264B52F1">
            <w:pPr>
              <w:pStyle w:val="129"/>
              <w:widowControl w:val="0"/>
              <w:rPr>
                <w:rFonts w:eastAsia="Times New Roman"/>
                <w:color w:val="auto"/>
              </w:rPr>
            </w:pPr>
            <w:r>
              <w:rPr>
                <w:rFonts w:hint="eastAsia" w:ascii="宋体" w:hAnsi="宋体" w:eastAsia="Times New Roman" w:cs="宋体"/>
                <w:color w:val="auto"/>
              </w:rPr>
              <w:t>一般排放口合计</w:t>
            </w: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32B9C058">
            <w:pPr>
              <w:pStyle w:val="129"/>
              <w:widowControl w:val="0"/>
              <w:rPr>
                <w:rFonts w:eastAsia="Times New Roman"/>
                <w:color w:val="auto"/>
              </w:rPr>
            </w:pPr>
            <w:r>
              <w:rPr>
                <w:rFonts w:hint="eastAsia" w:ascii="宋体" w:hAnsi="宋体" w:eastAsia="Times New Roman" w:cs="宋体"/>
                <w:color w:val="auto"/>
              </w:rPr>
              <w:t>颗粒物</w:t>
            </w:r>
          </w:p>
        </w:tc>
        <w:tc>
          <w:tcPr>
            <w:tcW w:w="855" w:type="pct"/>
            <w:tcBorders>
              <w:top w:val="single" w:color="000000" w:sz="2" w:space="0"/>
              <w:left w:val="single" w:color="000000" w:sz="2" w:space="0"/>
              <w:bottom w:val="single" w:color="000000" w:sz="2" w:space="0"/>
              <w:right w:val="single" w:color="000000" w:sz="8" w:space="0"/>
            </w:tcBorders>
            <w:vAlign w:val="bottom"/>
          </w:tcPr>
          <w:p w14:paraId="1B14ACD0">
            <w:pPr>
              <w:pStyle w:val="129"/>
              <w:widowControl w:val="0"/>
              <w:rPr>
                <w:rFonts w:eastAsia="Times New Roman"/>
                <w:color w:val="auto"/>
              </w:rPr>
            </w:pPr>
            <w:r>
              <w:rPr>
                <w:rFonts w:eastAsia="Times New Roman"/>
                <w:color w:val="auto"/>
              </w:rPr>
              <w:t>7.4127</w:t>
            </w:r>
          </w:p>
        </w:tc>
      </w:tr>
      <w:tr w14:paraId="7E5C212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5A23BFB7">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287EA62D">
            <w:pPr>
              <w:pStyle w:val="129"/>
              <w:widowControl w:val="0"/>
              <w:rPr>
                <w:rFonts w:eastAsia="Times New Roman"/>
                <w:color w:val="auto"/>
              </w:rPr>
            </w:pPr>
            <w:r>
              <w:rPr>
                <w:rFonts w:eastAsia="Times New Roman"/>
                <w:color w:val="auto"/>
              </w:rPr>
              <w:t>SO</w:t>
            </w:r>
            <w:r>
              <w:rPr>
                <w:rFonts w:eastAsia="Times New Roman"/>
                <w:color w:val="auto"/>
                <w:vertAlign w:val="subscript"/>
              </w:rPr>
              <w:t>2</w:t>
            </w:r>
          </w:p>
        </w:tc>
        <w:tc>
          <w:tcPr>
            <w:tcW w:w="855" w:type="pct"/>
            <w:tcBorders>
              <w:top w:val="single" w:color="000000" w:sz="2" w:space="0"/>
              <w:left w:val="single" w:color="000000" w:sz="2" w:space="0"/>
              <w:bottom w:val="single" w:color="000000" w:sz="2" w:space="0"/>
              <w:right w:val="single" w:color="000000" w:sz="8" w:space="0"/>
            </w:tcBorders>
            <w:vAlign w:val="bottom"/>
          </w:tcPr>
          <w:p w14:paraId="1DB9DCE6">
            <w:pPr>
              <w:pStyle w:val="129"/>
              <w:widowControl w:val="0"/>
              <w:rPr>
                <w:rFonts w:eastAsia="Times New Roman"/>
                <w:color w:val="auto"/>
              </w:rPr>
            </w:pPr>
            <w:r>
              <w:rPr>
                <w:rFonts w:eastAsia="Times New Roman"/>
                <w:color w:val="auto"/>
              </w:rPr>
              <w:t>0.275</w:t>
            </w:r>
          </w:p>
        </w:tc>
      </w:tr>
      <w:tr w14:paraId="68DF50E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2F706E1F">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073D6179">
            <w:pPr>
              <w:pStyle w:val="129"/>
              <w:widowControl w:val="0"/>
              <w:rPr>
                <w:rFonts w:eastAsia="Times New Roman"/>
                <w:color w:val="auto"/>
              </w:rPr>
            </w:pPr>
            <w:r>
              <w:rPr>
                <w:rFonts w:eastAsia="Times New Roman"/>
                <w:color w:val="auto"/>
              </w:rPr>
              <w:t>NOx</w:t>
            </w:r>
          </w:p>
        </w:tc>
        <w:tc>
          <w:tcPr>
            <w:tcW w:w="855" w:type="pct"/>
            <w:tcBorders>
              <w:top w:val="single" w:color="000000" w:sz="2" w:space="0"/>
              <w:left w:val="single" w:color="000000" w:sz="2" w:space="0"/>
              <w:bottom w:val="single" w:color="000000" w:sz="2" w:space="0"/>
              <w:right w:val="single" w:color="000000" w:sz="8" w:space="0"/>
            </w:tcBorders>
            <w:vAlign w:val="bottom"/>
          </w:tcPr>
          <w:p w14:paraId="58D11A00">
            <w:pPr>
              <w:pStyle w:val="129"/>
              <w:widowControl w:val="0"/>
              <w:rPr>
                <w:rFonts w:eastAsia="Times New Roman"/>
                <w:color w:val="auto"/>
              </w:rPr>
            </w:pPr>
            <w:r>
              <w:rPr>
                <w:rFonts w:eastAsia="Times New Roman"/>
                <w:color w:val="auto"/>
              </w:rPr>
              <w:t>6.343</w:t>
            </w:r>
          </w:p>
        </w:tc>
      </w:tr>
      <w:tr w14:paraId="673DEF5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5A30BFFB">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1B41F440">
            <w:pPr>
              <w:pStyle w:val="129"/>
              <w:widowControl w:val="0"/>
              <w:rPr>
                <w:rFonts w:eastAsia="Times New Roman"/>
                <w:color w:val="auto"/>
              </w:rPr>
            </w:pPr>
            <w:r>
              <w:rPr>
                <w:rFonts w:eastAsia="Times New Roman"/>
                <w:color w:val="auto"/>
              </w:rPr>
              <w:t>NH</w:t>
            </w:r>
            <w:r>
              <w:rPr>
                <w:rFonts w:eastAsia="Times New Roman"/>
                <w:color w:val="auto"/>
                <w:vertAlign w:val="subscript"/>
              </w:rPr>
              <w:t>3</w:t>
            </w:r>
          </w:p>
        </w:tc>
        <w:tc>
          <w:tcPr>
            <w:tcW w:w="855" w:type="pct"/>
            <w:tcBorders>
              <w:top w:val="single" w:color="000000" w:sz="2" w:space="0"/>
              <w:left w:val="single" w:color="000000" w:sz="2" w:space="0"/>
              <w:bottom w:val="single" w:color="000000" w:sz="2" w:space="0"/>
              <w:right w:val="single" w:color="000000" w:sz="8" w:space="0"/>
            </w:tcBorders>
            <w:vAlign w:val="bottom"/>
          </w:tcPr>
          <w:p w14:paraId="4C43FC96">
            <w:pPr>
              <w:pStyle w:val="129"/>
              <w:widowControl w:val="0"/>
              <w:rPr>
                <w:rFonts w:eastAsia="Times New Roman"/>
                <w:color w:val="auto"/>
              </w:rPr>
            </w:pPr>
            <w:r>
              <w:rPr>
                <w:rFonts w:eastAsia="Times New Roman"/>
                <w:color w:val="auto"/>
              </w:rPr>
              <w:t>5.48</w:t>
            </w:r>
          </w:p>
        </w:tc>
      </w:tr>
      <w:tr w14:paraId="29E2E8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4E12D4AF">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43762ABF">
            <w:pPr>
              <w:pStyle w:val="129"/>
              <w:widowControl w:val="0"/>
              <w:rPr>
                <w:rFonts w:eastAsiaTheme="minorEastAsia"/>
                <w:color w:val="auto"/>
              </w:rPr>
            </w:pPr>
            <w:r>
              <w:rPr>
                <w:rFonts w:hint="eastAsia" w:eastAsiaTheme="minorEastAsia"/>
                <w:color w:val="auto"/>
              </w:rPr>
              <w:t>H</w:t>
            </w:r>
            <w:r>
              <w:rPr>
                <w:rFonts w:hint="eastAsia" w:eastAsiaTheme="minorEastAsia"/>
                <w:color w:val="auto"/>
                <w:vertAlign w:val="subscript"/>
              </w:rPr>
              <w:t>2</w:t>
            </w:r>
            <w:r>
              <w:rPr>
                <w:rFonts w:hint="eastAsia" w:eastAsiaTheme="minorEastAsia"/>
                <w:color w:val="auto"/>
              </w:rPr>
              <w:t>S</w:t>
            </w:r>
          </w:p>
        </w:tc>
        <w:tc>
          <w:tcPr>
            <w:tcW w:w="855" w:type="pct"/>
            <w:tcBorders>
              <w:top w:val="single" w:color="000000" w:sz="2" w:space="0"/>
              <w:left w:val="single" w:color="000000" w:sz="2" w:space="0"/>
              <w:bottom w:val="single" w:color="000000" w:sz="2" w:space="0"/>
              <w:right w:val="single" w:color="000000" w:sz="8" w:space="0"/>
            </w:tcBorders>
            <w:vAlign w:val="bottom"/>
          </w:tcPr>
          <w:p w14:paraId="2752ADD1">
            <w:pPr>
              <w:pStyle w:val="129"/>
              <w:widowControl w:val="0"/>
              <w:rPr>
                <w:rFonts w:eastAsia="Times New Roman"/>
                <w:color w:val="auto"/>
              </w:rPr>
            </w:pPr>
            <w:r>
              <w:rPr>
                <w:rFonts w:eastAsia="Times New Roman"/>
                <w:color w:val="auto"/>
              </w:rPr>
              <w:t>0.00004</w:t>
            </w:r>
          </w:p>
        </w:tc>
      </w:tr>
      <w:tr w14:paraId="625D24F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010D54FD">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77821F6F">
            <w:pPr>
              <w:pStyle w:val="129"/>
              <w:widowControl w:val="0"/>
              <w:rPr>
                <w:rFonts w:eastAsia="Times New Roman"/>
                <w:color w:val="auto"/>
              </w:rPr>
            </w:pPr>
            <w:r>
              <w:rPr>
                <w:rFonts w:hint="eastAsia" w:ascii="宋体" w:hAnsi="宋体" w:eastAsia="Times New Roman" w:cs="宋体"/>
                <w:color w:val="auto"/>
              </w:rPr>
              <w:t>钴及其化合物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55FCE800">
            <w:pPr>
              <w:pStyle w:val="129"/>
              <w:widowControl w:val="0"/>
              <w:rPr>
                <w:rFonts w:eastAsia="Times New Roman"/>
                <w:color w:val="auto"/>
              </w:rPr>
            </w:pPr>
            <w:r>
              <w:rPr>
                <w:rFonts w:eastAsia="Times New Roman"/>
                <w:color w:val="auto"/>
              </w:rPr>
              <w:t>0.0055</w:t>
            </w:r>
          </w:p>
        </w:tc>
      </w:tr>
      <w:tr w14:paraId="4BBDC5B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2A60C159">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5CE63917">
            <w:pPr>
              <w:pStyle w:val="129"/>
              <w:widowControl w:val="0"/>
              <w:rPr>
                <w:rFonts w:eastAsia="Times New Roman"/>
                <w:color w:val="auto"/>
              </w:rPr>
            </w:pPr>
            <w:r>
              <w:rPr>
                <w:rFonts w:hint="eastAsia" w:ascii="宋体" w:hAnsi="宋体" w:eastAsia="Times New Roman" w:cs="宋体"/>
                <w:color w:val="auto"/>
              </w:rPr>
              <w:t>钼及其化合物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07290552">
            <w:pPr>
              <w:pStyle w:val="129"/>
              <w:widowControl w:val="0"/>
              <w:rPr>
                <w:rFonts w:eastAsia="Times New Roman"/>
                <w:color w:val="auto"/>
              </w:rPr>
            </w:pPr>
            <w:r>
              <w:rPr>
                <w:rFonts w:eastAsia="Times New Roman"/>
                <w:color w:val="auto"/>
              </w:rPr>
              <w:t>0.0012</w:t>
            </w:r>
          </w:p>
        </w:tc>
      </w:tr>
      <w:tr w14:paraId="2B27282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4A57271E">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0C848CBB">
            <w:pPr>
              <w:pStyle w:val="129"/>
              <w:widowControl w:val="0"/>
              <w:rPr>
                <w:rFonts w:ascii="宋体" w:hAnsi="宋体" w:eastAsia="Times New Roman" w:cs="宋体"/>
                <w:color w:val="auto"/>
              </w:rPr>
            </w:pPr>
            <w:r>
              <w:rPr>
                <w:rFonts w:hint="eastAsia" w:ascii="宋体" w:hAnsi="宋体" w:eastAsia="Times New Roman" w:cs="宋体"/>
                <w:color w:val="auto"/>
              </w:rPr>
              <w:t>镍及其化合物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5417ABD0">
            <w:pPr>
              <w:pStyle w:val="129"/>
              <w:widowControl w:val="0"/>
              <w:rPr>
                <w:rFonts w:eastAsia="Times New Roman"/>
                <w:color w:val="auto"/>
              </w:rPr>
            </w:pPr>
            <w:r>
              <w:rPr>
                <w:rFonts w:eastAsia="Times New Roman"/>
                <w:color w:val="auto"/>
              </w:rPr>
              <w:t>0.0014</w:t>
            </w:r>
          </w:p>
        </w:tc>
      </w:tr>
      <w:tr w14:paraId="4EB8883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183C0EA0">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5309DB47">
            <w:pPr>
              <w:pStyle w:val="129"/>
              <w:widowControl w:val="0"/>
              <w:rPr>
                <w:rFonts w:ascii="宋体" w:hAnsi="宋体" w:eastAsia="Times New Roman" w:cs="宋体"/>
                <w:color w:val="auto"/>
              </w:rPr>
            </w:pPr>
            <w:r>
              <w:rPr>
                <w:rFonts w:hint="eastAsia" w:ascii="宋体" w:hAnsi="宋体" w:eastAsia="Times New Roman" w:cs="宋体"/>
                <w:color w:val="auto"/>
              </w:rPr>
              <w:t>锰及其化合物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3C2E13C0">
            <w:pPr>
              <w:pStyle w:val="129"/>
              <w:widowControl w:val="0"/>
              <w:rPr>
                <w:rFonts w:eastAsia="Times New Roman"/>
                <w:color w:val="auto"/>
              </w:rPr>
            </w:pPr>
            <w:r>
              <w:rPr>
                <w:rFonts w:eastAsia="Times New Roman"/>
                <w:color w:val="auto"/>
              </w:rPr>
              <w:t>0.0027</w:t>
            </w:r>
          </w:p>
        </w:tc>
      </w:tr>
      <w:tr w14:paraId="7B53731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184F5DAF">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37C9CE07">
            <w:pPr>
              <w:pStyle w:val="129"/>
              <w:widowControl w:val="0"/>
              <w:rPr>
                <w:rFonts w:ascii="宋体" w:hAnsi="宋体" w:eastAsia="Times New Roman" w:cs="宋体"/>
                <w:color w:val="auto"/>
              </w:rPr>
            </w:pPr>
            <w:r>
              <w:rPr>
                <w:rFonts w:hint="eastAsia" w:ascii="宋体" w:hAnsi="宋体" w:eastAsia="Times New Roman" w:cs="宋体"/>
                <w:color w:val="auto"/>
              </w:rPr>
              <w:t>铜及其化合物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53F1B902">
            <w:pPr>
              <w:pStyle w:val="129"/>
              <w:widowControl w:val="0"/>
              <w:rPr>
                <w:rFonts w:eastAsia="Times New Roman"/>
                <w:color w:val="auto"/>
              </w:rPr>
            </w:pPr>
            <w:r>
              <w:rPr>
                <w:rFonts w:eastAsia="Times New Roman"/>
                <w:color w:val="auto"/>
              </w:rPr>
              <w:t>0.0007</w:t>
            </w:r>
          </w:p>
        </w:tc>
      </w:tr>
      <w:tr w14:paraId="4D2190F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4B7332BD">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1D6E6064">
            <w:pPr>
              <w:pStyle w:val="129"/>
              <w:widowControl w:val="0"/>
              <w:rPr>
                <w:rFonts w:eastAsia="Times New Roman"/>
                <w:color w:val="auto"/>
              </w:rPr>
            </w:pPr>
            <w:r>
              <w:rPr>
                <w:rFonts w:hint="eastAsia" w:ascii="宋体" w:hAnsi="宋体" w:eastAsia="Times New Roman" w:cs="宋体"/>
                <w:color w:val="auto"/>
              </w:rPr>
              <w:t>锆及其化合物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2E74AD1A">
            <w:pPr>
              <w:pStyle w:val="129"/>
              <w:widowControl w:val="0"/>
              <w:rPr>
                <w:rFonts w:eastAsia="Times New Roman"/>
                <w:color w:val="auto"/>
              </w:rPr>
            </w:pPr>
            <w:r>
              <w:rPr>
                <w:rFonts w:eastAsia="Times New Roman"/>
                <w:color w:val="auto"/>
              </w:rPr>
              <w:t>0.0012</w:t>
            </w:r>
          </w:p>
        </w:tc>
      </w:tr>
      <w:tr w14:paraId="072579E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00" w:type="pct"/>
            <w:gridSpan w:val="7"/>
            <w:tcBorders>
              <w:top w:val="single" w:color="000000" w:sz="2" w:space="0"/>
              <w:left w:val="single" w:color="000000" w:sz="8" w:space="0"/>
              <w:bottom w:val="single" w:color="000000" w:sz="2" w:space="0"/>
              <w:right w:val="single" w:color="000000" w:sz="8" w:space="0"/>
            </w:tcBorders>
            <w:vAlign w:val="center"/>
          </w:tcPr>
          <w:p w14:paraId="1BC246DE">
            <w:pPr>
              <w:pStyle w:val="129"/>
              <w:widowControl w:val="0"/>
              <w:rPr>
                <w:rFonts w:eastAsia="Times New Roman"/>
                <w:color w:val="auto"/>
              </w:rPr>
            </w:pPr>
            <w:r>
              <w:rPr>
                <w:rFonts w:hint="eastAsia" w:ascii="宋体" w:hAnsi="宋体" w:eastAsia="Times New Roman" w:cs="宋体"/>
                <w:color w:val="auto"/>
              </w:rPr>
              <w:t>有组织排放总计</w:t>
            </w:r>
          </w:p>
        </w:tc>
      </w:tr>
      <w:tr w14:paraId="252FFFE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restart"/>
            <w:tcBorders>
              <w:top w:val="single" w:color="000000" w:sz="2" w:space="0"/>
              <w:left w:val="single" w:color="000000" w:sz="8" w:space="0"/>
              <w:bottom w:val="single" w:color="000000" w:sz="2" w:space="0"/>
              <w:right w:val="single" w:color="000000" w:sz="2" w:space="0"/>
            </w:tcBorders>
            <w:vAlign w:val="center"/>
          </w:tcPr>
          <w:p w14:paraId="43C28928">
            <w:pPr>
              <w:pStyle w:val="129"/>
              <w:widowControl w:val="0"/>
              <w:rPr>
                <w:rFonts w:eastAsia="Times New Roman"/>
                <w:color w:val="auto"/>
              </w:rPr>
            </w:pPr>
            <w:r>
              <w:rPr>
                <w:rFonts w:hint="eastAsia" w:ascii="宋体" w:hAnsi="宋体" w:eastAsia="Times New Roman" w:cs="宋体"/>
                <w:color w:val="auto"/>
              </w:rPr>
              <w:t>有组织排放总计</w:t>
            </w:r>
          </w:p>
          <w:p w14:paraId="19148F23">
            <w:pPr>
              <w:pStyle w:val="129"/>
              <w:widowControl w:val="0"/>
              <w:rPr>
                <w:rFonts w:eastAsia="Times New Roman"/>
                <w:color w:val="auto"/>
              </w:rPr>
            </w:pPr>
            <w:r>
              <w:rPr>
                <w:rFonts w:hint="eastAsia" w:ascii="宋体" w:hAnsi="宋体" w:eastAsia="Times New Roman" w:cs="宋体"/>
                <w:color w:val="auto"/>
              </w:rPr>
              <w:t>排放总计</w:t>
            </w: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44C3EFC1">
            <w:pPr>
              <w:pStyle w:val="129"/>
              <w:widowControl w:val="0"/>
              <w:rPr>
                <w:rFonts w:eastAsia="Times New Roman"/>
                <w:color w:val="auto"/>
              </w:rPr>
            </w:pPr>
            <w:r>
              <w:rPr>
                <w:rFonts w:hint="eastAsia" w:ascii="宋体" w:hAnsi="宋体" w:eastAsia="Times New Roman" w:cs="宋体"/>
                <w:color w:val="auto"/>
              </w:rPr>
              <w:t>颗粒物</w:t>
            </w:r>
          </w:p>
        </w:tc>
        <w:tc>
          <w:tcPr>
            <w:tcW w:w="855" w:type="pct"/>
            <w:tcBorders>
              <w:top w:val="single" w:color="000000" w:sz="2" w:space="0"/>
              <w:left w:val="single" w:color="000000" w:sz="2" w:space="0"/>
              <w:bottom w:val="single" w:color="000000" w:sz="2" w:space="0"/>
              <w:right w:val="single" w:color="000000" w:sz="8" w:space="0"/>
            </w:tcBorders>
            <w:vAlign w:val="bottom"/>
          </w:tcPr>
          <w:p w14:paraId="2BD1A83D">
            <w:pPr>
              <w:pStyle w:val="129"/>
              <w:widowControl w:val="0"/>
              <w:rPr>
                <w:rFonts w:eastAsiaTheme="minorEastAsia"/>
                <w:color w:val="auto"/>
              </w:rPr>
            </w:pPr>
            <w:r>
              <w:rPr>
                <w:rFonts w:eastAsia="Times New Roman"/>
                <w:color w:val="auto"/>
              </w:rPr>
              <w:t>7.41</w:t>
            </w:r>
            <w:r>
              <w:rPr>
                <w:rFonts w:hint="eastAsia" w:eastAsiaTheme="minorEastAsia"/>
                <w:color w:val="auto"/>
              </w:rPr>
              <w:t>5</w:t>
            </w:r>
          </w:p>
        </w:tc>
      </w:tr>
      <w:tr w14:paraId="760F0FC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3D7A2A26">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12AFC1BC">
            <w:pPr>
              <w:pStyle w:val="129"/>
              <w:widowControl w:val="0"/>
              <w:rPr>
                <w:rFonts w:eastAsia="Times New Roman"/>
                <w:color w:val="auto"/>
              </w:rPr>
            </w:pPr>
            <w:r>
              <w:rPr>
                <w:rFonts w:eastAsia="Times New Roman"/>
                <w:color w:val="auto"/>
              </w:rPr>
              <w:t>SO</w:t>
            </w:r>
            <w:r>
              <w:rPr>
                <w:rFonts w:eastAsia="Times New Roman"/>
                <w:color w:val="auto"/>
                <w:vertAlign w:val="subscript"/>
              </w:rPr>
              <w:t>2</w:t>
            </w:r>
          </w:p>
        </w:tc>
        <w:tc>
          <w:tcPr>
            <w:tcW w:w="855" w:type="pct"/>
            <w:tcBorders>
              <w:top w:val="single" w:color="000000" w:sz="2" w:space="0"/>
              <w:left w:val="single" w:color="000000" w:sz="2" w:space="0"/>
              <w:bottom w:val="single" w:color="000000" w:sz="2" w:space="0"/>
              <w:right w:val="single" w:color="000000" w:sz="8" w:space="0"/>
            </w:tcBorders>
            <w:vAlign w:val="bottom"/>
          </w:tcPr>
          <w:p w14:paraId="7BA7F92C">
            <w:pPr>
              <w:pStyle w:val="129"/>
              <w:widowControl w:val="0"/>
              <w:rPr>
                <w:rFonts w:eastAsiaTheme="minorEastAsia"/>
                <w:color w:val="auto"/>
              </w:rPr>
            </w:pPr>
            <w:r>
              <w:rPr>
                <w:rFonts w:eastAsia="Times New Roman"/>
                <w:color w:val="auto"/>
              </w:rPr>
              <w:t>0.27</w:t>
            </w:r>
            <w:r>
              <w:rPr>
                <w:rFonts w:hint="eastAsia" w:eastAsiaTheme="minorEastAsia"/>
                <w:color w:val="auto"/>
              </w:rPr>
              <w:t>7</w:t>
            </w:r>
          </w:p>
        </w:tc>
      </w:tr>
      <w:tr w14:paraId="2BC8DF3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3ADE57BC">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7ED8918C">
            <w:pPr>
              <w:pStyle w:val="129"/>
              <w:widowControl w:val="0"/>
              <w:rPr>
                <w:rFonts w:eastAsia="Times New Roman"/>
                <w:color w:val="auto"/>
              </w:rPr>
            </w:pPr>
            <w:r>
              <w:rPr>
                <w:rFonts w:eastAsia="Times New Roman"/>
                <w:color w:val="auto"/>
              </w:rPr>
              <w:t>NOx</w:t>
            </w:r>
          </w:p>
        </w:tc>
        <w:tc>
          <w:tcPr>
            <w:tcW w:w="855" w:type="pct"/>
            <w:tcBorders>
              <w:top w:val="single" w:color="000000" w:sz="2" w:space="0"/>
              <w:left w:val="single" w:color="000000" w:sz="2" w:space="0"/>
              <w:bottom w:val="single" w:color="000000" w:sz="2" w:space="0"/>
              <w:right w:val="single" w:color="000000" w:sz="8" w:space="0"/>
            </w:tcBorders>
            <w:vAlign w:val="bottom"/>
          </w:tcPr>
          <w:p w14:paraId="5554A849">
            <w:pPr>
              <w:pStyle w:val="129"/>
              <w:widowControl w:val="0"/>
              <w:rPr>
                <w:rFonts w:eastAsiaTheme="minorEastAsia"/>
                <w:color w:val="auto"/>
              </w:rPr>
            </w:pPr>
            <w:r>
              <w:rPr>
                <w:rFonts w:eastAsia="Times New Roman"/>
                <w:color w:val="auto"/>
              </w:rPr>
              <w:t>6.3</w:t>
            </w:r>
            <w:r>
              <w:rPr>
                <w:rFonts w:hint="eastAsia" w:eastAsiaTheme="minorEastAsia"/>
                <w:color w:val="auto"/>
              </w:rPr>
              <w:t>54</w:t>
            </w:r>
          </w:p>
        </w:tc>
      </w:tr>
      <w:tr w14:paraId="397BC34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54294ED9">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4FC2C84D">
            <w:pPr>
              <w:pStyle w:val="129"/>
              <w:widowControl w:val="0"/>
              <w:rPr>
                <w:rFonts w:eastAsia="Times New Roman"/>
                <w:color w:val="auto"/>
              </w:rPr>
            </w:pPr>
            <w:r>
              <w:rPr>
                <w:rFonts w:eastAsia="Times New Roman"/>
                <w:color w:val="auto"/>
              </w:rPr>
              <w:t>NH</w:t>
            </w:r>
            <w:r>
              <w:rPr>
                <w:rFonts w:eastAsia="Times New Roman"/>
                <w:color w:val="auto"/>
                <w:vertAlign w:val="subscript"/>
              </w:rPr>
              <w:t>3</w:t>
            </w:r>
          </w:p>
        </w:tc>
        <w:tc>
          <w:tcPr>
            <w:tcW w:w="855" w:type="pct"/>
            <w:tcBorders>
              <w:top w:val="single" w:color="000000" w:sz="2" w:space="0"/>
              <w:left w:val="single" w:color="000000" w:sz="2" w:space="0"/>
              <w:bottom w:val="single" w:color="000000" w:sz="2" w:space="0"/>
              <w:right w:val="single" w:color="000000" w:sz="8" w:space="0"/>
            </w:tcBorders>
            <w:vAlign w:val="bottom"/>
          </w:tcPr>
          <w:p w14:paraId="7E8B1A45">
            <w:pPr>
              <w:pStyle w:val="129"/>
              <w:widowControl w:val="0"/>
              <w:rPr>
                <w:rFonts w:eastAsiaTheme="minorEastAsia"/>
                <w:color w:val="auto"/>
              </w:rPr>
            </w:pPr>
            <w:r>
              <w:rPr>
                <w:rFonts w:hint="eastAsia" w:eastAsiaTheme="minorEastAsia"/>
                <w:color w:val="auto"/>
              </w:rPr>
              <w:t>0.182</w:t>
            </w:r>
          </w:p>
        </w:tc>
      </w:tr>
      <w:tr w14:paraId="108765B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5BFF3828">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691A4DAA">
            <w:pPr>
              <w:pStyle w:val="129"/>
              <w:widowControl w:val="0"/>
              <w:rPr>
                <w:rFonts w:eastAsiaTheme="minorEastAsia"/>
                <w:color w:val="auto"/>
              </w:rPr>
            </w:pPr>
            <w:r>
              <w:rPr>
                <w:rFonts w:hint="eastAsia" w:eastAsiaTheme="minorEastAsia"/>
                <w:color w:val="auto"/>
              </w:rPr>
              <w:t>H</w:t>
            </w:r>
            <w:r>
              <w:rPr>
                <w:rFonts w:hint="eastAsia" w:eastAsiaTheme="minorEastAsia"/>
                <w:color w:val="auto"/>
                <w:vertAlign w:val="subscript"/>
              </w:rPr>
              <w:t>2</w:t>
            </w:r>
            <w:r>
              <w:rPr>
                <w:rFonts w:hint="eastAsia" w:eastAsiaTheme="minorEastAsia"/>
                <w:color w:val="auto"/>
              </w:rPr>
              <w:t>S</w:t>
            </w:r>
          </w:p>
        </w:tc>
        <w:tc>
          <w:tcPr>
            <w:tcW w:w="855" w:type="pct"/>
            <w:tcBorders>
              <w:top w:val="single" w:color="000000" w:sz="2" w:space="0"/>
              <w:left w:val="single" w:color="000000" w:sz="2" w:space="0"/>
              <w:bottom w:val="single" w:color="000000" w:sz="2" w:space="0"/>
              <w:right w:val="single" w:color="000000" w:sz="8" w:space="0"/>
            </w:tcBorders>
            <w:vAlign w:val="bottom"/>
          </w:tcPr>
          <w:p w14:paraId="31226B9E">
            <w:pPr>
              <w:pStyle w:val="129"/>
              <w:widowControl w:val="0"/>
              <w:rPr>
                <w:rFonts w:eastAsia="Times New Roman"/>
                <w:color w:val="auto"/>
              </w:rPr>
            </w:pPr>
            <w:r>
              <w:rPr>
                <w:rFonts w:eastAsia="Times New Roman"/>
                <w:color w:val="auto"/>
              </w:rPr>
              <w:t>0.00004</w:t>
            </w:r>
          </w:p>
        </w:tc>
      </w:tr>
      <w:tr w14:paraId="08BB6DE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3555E4BD">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3B34F689">
            <w:pPr>
              <w:pStyle w:val="129"/>
              <w:widowControl w:val="0"/>
              <w:rPr>
                <w:rFonts w:eastAsia="Times New Roman"/>
                <w:color w:val="auto"/>
              </w:rPr>
            </w:pPr>
            <w:r>
              <w:rPr>
                <w:rFonts w:hint="eastAsia" w:ascii="宋体" w:hAnsi="宋体" w:eastAsia="Times New Roman" w:cs="宋体"/>
                <w:color w:val="auto"/>
              </w:rPr>
              <w:t>钴及其化合物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79E2B15E">
            <w:pPr>
              <w:pStyle w:val="129"/>
              <w:widowControl w:val="0"/>
              <w:rPr>
                <w:rFonts w:eastAsia="Times New Roman"/>
                <w:color w:val="auto"/>
              </w:rPr>
            </w:pPr>
            <w:r>
              <w:rPr>
                <w:rFonts w:eastAsia="Times New Roman"/>
                <w:color w:val="auto"/>
              </w:rPr>
              <w:t>0.0055</w:t>
            </w:r>
          </w:p>
        </w:tc>
      </w:tr>
      <w:tr w14:paraId="5520403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19749323">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283D5320">
            <w:pPr>
              <w:pStyle w:val="129"/>
              <w:widowControl w:val="0"/>
              <w:rPr>
                <w:rFonts w:eastAsia="Times New Roman"/>
                <w:color w:val="auto"/>
              </w:rPr>
            </w:pPr>
            <w:r>
              <w:rPr>
                <w:rFonts w:hint="eastAsia" w:ascii="宋体" w:hAnsi="宋体" w:eastAsia="Times New Roman" w:cs="宋体"/>
                <w:color w:val="auto"/>
              </w:rPr>
              <w:t>钼及其化合物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53AAA8F2">
            <w:pPr>
              <w:pStyle w:val="129"/>
              <w:widowControl w:val="0"/>
              <w:rPr>
                <w:rFonts w:eastAsia="Times New Roman"/>
                <w:color w:val="auto"/>
              </w:rPr>
            </w:pPr>
            <w:r>
              <w:rPr>
                <w:rFonts w:eastAsia="Times New Roman"/>
                <w:color w:val="auto"/>
              </w:rPr>
              <w:t>0.0012</w:t>
            </w:r>
          </w:p>
        </w:tc>
      </w:tr>
      <w:tr w14:paraId="632CC18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514BE122">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6708B1D0">
            <w:pPr>
              <w:pStyle w:val="129"/>
              <w:widowControl w:val="0"/>
              <w:rPr>
                <w:rFonts w:eastAsia="Times New Roman"/>
                <w:color w:val="auto"/>
              </w:rPr>
            </w:pPr>
            <w:r>
              <w:rPr>
                <w:rFonts w:hint="eastAsia" w:ascii="宋体" w:hAnsi="宋体" w:eastAsia="Times New Roman" w:cs="宋体"/>
                <w:color w:val="auto"/>
              </w:rPr>
              <w:t>镍及其化合物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539A57F2">
            <w:pPr>
              <w:pStyle w:val="129"/>
              <w:widowControl w:val="0"/>
              <w:rPr>
                <w:rFonts w:eastAsia="Times New Roman"/>
                <w:color w:val="auto"/>
              </w:rPr>
            </w:pPr>
            <w:r>
              <w:rPr>
                <w:rFonts w:eastAsia="Times New Roman"/>
                <w:color w:val="auto"/>
              </w:rPr>
              <w:t>0.0014</w:t>
            </w:r>
          </w:p>
        </w:tc>
      </w:tr>
      <w:tr w14:paraId="2E4F397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4708E6A7">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3B857E9E">
            <w:pPr>
              <w:pStyle w:val="129"/>
              <w:widowControl w:val="0"/>
              <w:rPr>
                <w:rFonts w:eastAsia="Times New Roman"/>
                <w:color w:val="auto"/>
              </w:rPr>
            </w:pPr>
            <w:r>
              <w:rPr>
                <w:rFonts w:hint="eastAsia" w:ascii="宋体" w:hAnsi="宋体" w:eastAsia="Times New Roman" w:cs="宋体"/>
                <w:color w:val="auto"/>
              </w:rPr>
              <w:t>锰及其化合物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0B574719">
            <w:pPr>
              <w:pStyle w:val="129"/>
              <w:widowControl w:val="0"/>
              <w:rPr>
                <w:rFonts w:eastAsia="Times New Roman"/>
                <w:color w:val="auto"/>
              </w:rPr>
            </w:pPr>
            <w:r>
              <w:rPr>
                <w:rFonts w:eastAsia="Times New Roman"/>
                <w:color w:val="auto"/>
              </w:rPr>
              <w:t>0.0027</w:t>
            </w:r>
          </w:p>
        </w:tc>
      </w:tr>
      <w:tr w14:paraId="459BD42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305B4FBC">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2" w:space="0"/>
              <w:right w:val="single" w:color="000000" w:sz="2" w:space="0"/>
            </w:tcBorders>
            <w:vAlign w:val="center"/>
          </w:tcPr>
          <w:p w14:paraId="3A0EB52A">
            <w:pPr>
              <w:pStyle w:val="129"/>
              <w:widowControl w:val="0"/>
              <w:rPr>
                <w:rFonts w:eastAsia="Times New Roman"/>
                <w:color w:val="auto"/>
              </w:rPr>
            </w:pPr>
            <w:r>
              <w:rPr>
                <w:rFonts w:hint="eastAsia" w:ascii="宋体" w:hAnsi="宋体" w:eastAsia="Times New Roman" w:cs="宋体"/>
                <w:color w:val="auto"/>
              </w:rPr>
              <w:t>铜及其化合物</w:t>
            </w:r>
          </w:p>
        </w:tc>
        <w:tc>
          <w:tcPr>
            <w:tcW w:w="855" w:type="pct"/>
            <w:tcBorders>
              <w:top w:val="single" w:color="000000" w:sz="2" w:space="0"/>
              <w:left w:val="single" w:color="000000" w:sz="2" w:space="0"/>
              <w:bottom w:val="single" w:color="000000" w:sz="2" w:space="0"/>
              <w:right w:val="single" w:color="000000" w:sz="8" w:space="0"/>
            </w:tcBorders>
            <w:vAlign w:val="center"/>
          </w:tcPr>
          <w:p w14:paraId="6148EC3D">
            <w:pPr>
              <w:pStyle w:val="129"/>
              <w:widowControl w:val="0"/>
              <w:rPr>
                <w:rFonts w:eastAsia="Times New Roman"/>
                <w:color w:val="auto"/>
              </w:rPr>
            </w:pPr>
            <w:r>
              <w:rPr>
                <w:rFonts w:eastAsia="Times New Roman"/>
                <w:color w:val="auto"/>
              </w:rPr>
              <w:t>0.0007</w:t>
            </w:r>
          </w:p>
        </w:tc>
      </w:tr>
      <w:tr w14:paraId="6592C47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920" w:type="pct"/>
            <w:gridSpan w:val="3"/>
            <w:vMerge w:val="continue"/>
            <w:tcBorders>
              <w:top w:val="single" w:color="000000" w:sz="2" w:space="0"/>
              <w:left w:val="single" w:color="000000" w:sz="8" w:space="0"/>
              <w:bottom w:val="single" w:color="000000" w:sz="2" w:space="0"/>
              <w:right w:val="single" w:color="000000" w:sz="2" w:space="0"/>
            </w:tcBorders>
            <w:vAlign w:val="center"/>
          </w:tcPr>
          <w:p w14:paraId="0626968A">
            <w:pPr>
              <w:pStyle w:val="129"/>
              <w:widowControl w:val="0"/>
              <w:rPr>
                <w:rFonts w:eastAsia="Times New Roman"/>
                <w:color w:val="auto"/>
              </w:rPr>
            </w:pPr>
          </w:p>
        </w:tc>
        <w:tc>
          <w:tcPr>
            <w:tcW w:w="2225" w:type="pct"/>
            <w:gridSpan w:val="3"/>
            <w:tcBorders>
              <w:top w:val="single" w:color="000000" w:sz="2" w:space="0"/>
              <w:left w:val="single" w:color="000000" w:sz="2" w:space="0"/>
              <w:bottom w:val="single" w:color="000000" w:sz="8" w:space="0"/>
              <w:right w:val="single" w:color="000000" w:sz="2" w:space="0"/>
            </w:tcBorders>
            <w:vAlign w:val="center"/>
          </w:tcPr>
          <w:p w14:paraId="1169F2B8">
            <w:pPr>
              <w:pStyle w:val="129"/>
              <w:widowControl w:val="0"/>
              <w:rPr>
                <w:rFonts w:eastAsia="Times New Roman"/>
                <w:color w:val="auto"/>
              </w:rPr>
            </w:pPr>
            <w:r>
              <w:rPr>
                <w:rFonts w:hint="eastAsia" w:ascii="宋体" w:hAnsi="宋体" w:eastAsia="Times New Roman" w:cs="宋体"/>
                <w:color w:val="auto"/>
              </w:rPr>
              <w:t>锆及其化合物</w:t>
            </w:r>
          </w:p>
        </w:tc>
        <w:tc>
          <w:tcPr>
            <w:tcW w:w="855" w:type="pct"/>
            <w:tcBorders>
              <w:top w:val="single" w:color="000000" w:sz="2" w:space="0"/>
              <w:left w:val="single" w:color="000000" w:sz="2" w:space="0"/>
              <w:bottom w:val="single" w:color="000000" w:sz="8" w:space="0"/>
              <w:right w:val="single" w:color="000000" w:sz="8" w:space="0"/>
            </w:tcBorders>
            <w:vAlign w:val="center"/>
          </w:tcPr>
          <w:p w14:paraId="2891345E">
            <w:pPr>
              <w:pStyle w:val="129"/>
              <w:widowControl w:val="0"/>
              <w:rPr>
                <w:rFonts w:eastAsia="Times New Roman"/>
                <w:color w:val="auto"/>
              </w:rPr>
            </w:pPr>
            <w:r>
              <w:rPr>
                <w:rFonts w:eastAsia="Times New Roman"/>
                <w:color w:val="auto"/>
              </w:rPr>
              <w:t>0.0012</w:t>
            </w:r>
          </w:p>
        </w:tc>
      </w:tr>
    </w:tbl>
    <w:p w14:paraId="4A885D5A">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6C722826">
      <w:pPr>
        <w:pStyle w:val="132"/>
        <w:rPr>
          <w:color w:val="auto"/>
        </w:rPr>
      </w:pPr>
      <w:r>
        <w:rPr>
          <w:rFonts w:hint="eastAsia"/>
          <w:color w:val="auto"/>
        </w:rPr>
        <w:t>（2）无组织排放量核算</w:t>
      </w:r>
    </w:p>
    <w:p w14:paraId="727B2D91">
      <w:pPr>
        <w:pStyle w:val="132"/>
        <w:rPr>
          <w:color w:val="auto"/>
        </w:rPr>
      </w:pPr>
      <w:r>
        <w:rPr>
          <w:rFonts w:hint="eastAsia"/>
          <w:color w:val="auto"/>
        </w:rPr>
        <w:t xml:space="preserve">本项目大气无组织排放量情况见表 </w:t>
      </w:r>
      <w:r>
        <w:rPr>
          <w:color w:val="auto"/>
        </w:rPr>
        <w:t>5.2</w:t>
      </w:r>
      <w:r>
        <w:rPr>
          <w:rFonts w:hint="eastAsia"/>
          <w:color w:val="auto"/>
        </w:rPr>
        <w:t>-21。</w:t>
      </w:r>
    </w:p>
    <w:p w14:paraId="7A9005F0">
      <w:pPr>
        <w:pStyle w:val="1060"/>
        <w:rPr>
          <w:color w:val="auto"/>
          <w:szCs w:val="23"/>
        </w:rPr>
      </w:pPr>
      <w:bookmarkStart w:id="305" w:name="_Ref220516196"/>
      <w:bookmarkEnd w:id="305"/>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20</w:t>
      </w:r>
      <w:r>
        <w:rPr>
          <w:color w:val="auto"/>
        </w:rPr>
        <w:fldChar w:fldCharType="end"/>
      </w:r>
      <w:r>
        <w:rPr>
          <w:rFonts w:hint="eastAsia"/>
          <w:color w:val="auto"/>
        </w:rPr>
        <w:t xml:space="preserve"> </w:t>
      </w:r>
      <w:r>
        <w:rPr>
          <w:color w:val="auto"/>
          <w:szCs w:val="23"/>
        </w:rPr>
        <w:t xml:space="preserve"> </w:t>
      </w:r>
      <w:r>
        <w:rPr>
          <w:rFonts w:ascii="黑体" w:hAnsi="黑体"/>
          <w:color w:val="auto"/>
          <w:szCs w:val="23"/>
        </w:rPr>
        <w:t>大气污染物无组织排放量核算表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597"/>
        <w:gridCol w:w="2063"/>
        <w:gridCol w:w="903"/>
        <w:gridCol w:w="2001"/>
        <w:gridCol w:w="2109"/>
        <w:gridCol w:w="1113"/>
      </w:tblGrid>
      <w:tr w14:paraId="0C3BD9B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340" w:type="pct"/>
            <w:tcBorders>
              <w:top w:val="single" w:color="000000" w:sz="8" w:space="0"/>
              <w:left w:val="single" w:color="000000" w:sz="8" w:space="0"/>
              <w:bottom w:val="single" w:color="000000" w:sz="2" w:space="0"/>
              <w:right w:val="single" w:color="000000" w:sz="2" w:space="0"/>
            </w:tcBorders>
            <w:vAlign w:val="center"/>
          </w:tcPr>
          <w:p w14:paraId="0240C88B">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序号</w:t>
            </w:r>
          </w:p>
        </w:tc>
        <w:tc>
          <w:tcPr>
            <w:tcW w:w="1174" w:type="pct"/>
            <w:tcBorders>
              <w:top w:val="single" w:color="000000" w:sz="8" w:space="0"/>
              <w:left w:val="single" w:color="000000" w:sz="2" w:space="0"/>
              <w:bottom w:val="single" w:color="000000" w:sz="2" w:space="0"/>
              <w:right w:val="single" w:color="000000" w:sz="2" w:space="0"/>
            </w:tcBorders>
            <w:vAlign w:val="center"/>
          </w:tcPr>
          <w:p w14:paraId="0A5A35D2">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产污环节</w:t>
            </w:r>
          </w:p>
        </w:tc>
        <w:tc>
          <w:tcPr>
            <w:tcW w:w="514" w:type="pct"/>
            <w:tcBorders>
              <w:top w:val="single" w:color="000000" w:sz="8" w:space="0"/>
              <w:left w:val="single" w:color="000000" w:sz="2" w:space="0"/>
              <w:bottom w:val="single" w:color="000000" w:sz="2" w:space="0"/>
              <w:right w:val="single" w:color="000000" w:sz="2" w:space="0"/>
            </w:tcBorders>
            <w:vAlign w:val="center"/>
          </w:tcPr>
          <w:p w14:paraId="41CF6B0B">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污染物</w:t>
            </w:r>
          </w:p>
        </w:tc>
        <w:tc>
          <w:tcPr>
            <w:tcW w:w="1139" w:type="pct"/>
            <w:tcBorders>
              <w:top w:val="single" w:color="000000" w:sz="8" w:space="0"/>
              <w:left w:val="single" w:color="000000" w:sz="2" w:space="0"/>
              <w:bottom w:val="single" w:color="000000" w:sz="2" w:space="0"/>
              <w:right w:val="single" w:color="000000" w:sz="2" w:space="0"/>
            </w:tcBorders>
            <w:vAlign w:val="center"/>
          </w:tcPr>
          <w:p w14:paraId="4D4A66D8">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主要污染防治措施</w:t>
            </w:r>
          </w:p>
        </w:tc>
        <w:tc>
          <w:tcPr>
            <w:tcW w:w="1200" w:type="pct"/>
            <w:tcBorders>
              <w:top w:val="single" w:color="000000" w:sz="8" w:space="0"/>
              <w:left w:val="single" w:color="000000" w:sz="2" w:space="0"/>
              <w:bottom w:val="single" w:color="000000" w:sz="2" w:space="0"/>
              <w:right w:val="single" w:color="000000" w:sz="2" w:space="0"/>
            </w:tcBorders>
            <w:vAlign w:val="center"/>
          </w:tcPr>
          <w:p w14:paraId="3A583F91">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核算排放速率</w:t>
            </w:r>
            <w:r>
              <w:rPr>
                <w:rFonts w:hint="eastAsia" w:eastAsia="Times New Roman"/>
                <w:color w:val="auto"/>
                <w:sz w:val="21"/>
                <w:szCs w:val="21"/>
              </w:rPr>
              <w:t>kg/h</w:t>
            </w:r>
          </w:p>
        </w:tc>
        <w:tc>
          <w:tcPr>
            <w:tcW w:w="633" w:type="pct"/>
            <w:tcBorders>
              <w:top w:val="single" w:color="000000" w:sz="8" w:space="0"/>
              <w:left w:val="single" w:color="000000" w:sz="2" w:space="0"/>
              <w:bottom w:val="single" w:color="000000" w:sz="2" w:space="0"/>
              <w:right w:val="single" w:color="000000" w:sz="8" w:space="0"/>
            </w:tcBorders>
            <w:vAlign w:val="center"/>
          </w:tcPr>
          <w:p w14:paraId="668B6202">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年排放</w:t>
            </w:r>
            <w:r>
              <w:rPr>
                <w:rFonts w:eastAsia="Times New Roman"/>
                <w:color w:val="auto"/>
                <w:sz w:val="21"/>
                <w:szCs w:val="21"/>
              </w:rPr>
              <w:t>t/a</w:t>
            </w:r>
          </w:p>
        </w:tc>
      </w:tr>
      <w:tr w14:paraId="57F785D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340" w:type="pct"/>
            <w:vMerge w:val="restart"/>
            <w:tcBorders>
              <w:top w:val="single" w:color="000000" w:sz="2" w:space="0"/>
              <w:left w:val="single" w:color="000000" w:sz="8" w:space="0"/>
              <w:right w:val="single" w:color="000000" w:sz="2" w:space="0"/>
            </w:tcBorders>
            <w:vAlign w:val="center"/>
          </w:tcPr>
          <w:p w14:paraId="6F1D20E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w:t>
            </w:r>
          </w:p>
        </w:tc>
        <w:tc>
          <w:tcPr>
            <w:tcW w:w="1174" w:type="pct"/>
            <w:vMerge w:val="restart"/>
            <w:tcBorders>
              <w:top w:val="single" w:color="000000" w:sz="2" w:space="0"/>
              <w:left w:val="single" w:color="000000" w:sz="2" w:space="0"/>
              <w:right w:val="single" w:color="000000" w:sz="2" w:space="0"/>
            </w:tcBorders>
            <w:vAlign w:val="center"/>
          </w:tcPr>
          <w:p w14:paraId="4B83C6FC">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无组织排放</w:t>
            </w:r>
          </w:p>
        </w:tc>
        <w:tc>
          <w:tcPr>
            <w:tcW w:w="514" w:type="pct"/>
            <w:tcBorders>
              <w:top w:val="single" w:color="000000" w:sz="2" w:space="0"/>
              <w:left w:val="single" w:color="000000" w:sz="2" w:space="0"/>
              <w:bottom w:val="single" w:color="000000" w:sz="2" w:space="0"/>
              <w:right w:val="single" w:color="000000" w:sz="2" w:space="0"/>
            </w:tcBorders>
            <w:vAlign w:val="center"/>
          </w:tcPr>
          <w:p w14:paraId="19758AA4">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NH</w:t>
            </w:r>
            <w:r>
              <w:rPr>
                <w:rFonts w:hint="eastAsia" w:eastAsia="Times New Roman"/>
                <w:color w:val="auto"/>
                <w:sz w:val="21"/>
                <w:szCs w:val="21"/>
                <w:vertAlign w:val="subscript"/>
              </w:rPr>
              <w:t>3</w:t>
            </w:r>
          </w:p>
        </w:tc>
        <w:tc>
          <w:tcPr>
            <w:tcW w:w="1139" w:type="pct"/>
            <w:tcBorders>
              <w:top w:val="single" w:color="000000" w:sz="2" w:space="0"/>
              <w:left w:val="single" w:color="000000" w:sz="2" w:space="0"/>
              <w:bottom w:val="single" w:color="000000" w:sz="2" w:space="0"/>
              <w:right w:val="single" w:color="000000" w:sz="2" w:space="0"/>
            </w:tcBorders>
            <w:vAlign w:val="center"/>
          </w:tcPr>
          <w:p w14:paraId="4D5467EE">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w:t>
            </w:r>
          </w:p>
        </w:tc>
        <w:tc>
          <w:tcPr>
            <w:tcW w:w="1200" w:type="pct"/>
            <w:tcBorders>
              <w:top w:val="single" w:color="000000" w:sz="2" w:space="0"/>
              <w:left w:val="single" w:color="000000" w:sz="2" w:space="0"/>
              <w:bottom w:val="single" w:color="000000" w:sz="2" w:space="0"/>
              <w:right w:val="single" w:color="000000" w:sz="2" w:space="0"/>
            </w:tcBorders>
            <w:vAlign w:val="center"/>
          </w:tcPr>
          <w:p w14:paraId="3A23F1B3">
            <w:pPr>
              <w:pStyle w:val="129"/>
              <w:widowControl w:val="0"/>
              <w:rPr>
                <w:rFonts w:eastAsia="Times New Roman"/>
                <w:color w:val="auto"/>
              </w:rPr>
            </w:pPr>
            <w:r>
              <w:rPr>
                <w:rFonts w:eastAsia="Times New Roman"/>
                <w:color w:val="auto"/>
              </w:rPr>
              <w:t>0.062</w:t>
            </w:r>
          </w:p>
        </w:tc>
        <w:tc>
          <w:tcPr>
            <w:tcW w:w="633" w:type="pct"/>
            <w:tcBorders>
              <w:top w:val="single" w:color="000000" w:sz="2" w:space="0"/>
              <w:left w:val="single" w:color="000000" w:sz="2" w:space="0"/>
              <w:bottom w:val="single" w:color="000000" w:sz="2" w:space="0"/>
              <w:right w:val="single" w:color="000000" w:sz="8" w:space="0"/>
            </w:tcBorders>
            <w:vAlign w:val="center"/>
          </w:tcPr>
          <w:p w14:paraId="0FFC2A82">
            <w:pPr>
              <w:pStyle w:val="129"/>
              <w:widowControl w:val="0"/>
              <w:rPr>
                <w:rFonts w:eastAsia="Times New Roman"/>
                <w:color w:val="auto"/>
              </w:rPr>
            </w:pPr>
            <w:r>
              <w:rPr>
                <w:rFonts w:eastAsia="Times New Roman"/>
                <w:color w:val="auto"/>
              </w:rPr>
              <w:t>0.45</w:t>
            </w:r>
          </w:p>
        </w:tc>
      </w:tr>
      <w:tr w14:paraId="4A48747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340" w:type="pct"/>
            <w:vMerge w:val="continue"/>
            <w:tcBorders>
              <w:left w:val="single" w:color="000000" w:sz="8" w:space="0"/>
              <w:bottom w:val="single" w:color="000000" w:sz="2" w:space="0"/>
              <w:right w:val="single" w:color="000000" w:sz="2" w:space="0"/>
            </w:tcBorders>
            <w:vAlign w:val="center"/>
          </w:tcPr>
          <w:p w14:paraId="4DD61698">
            <w:pPr>
              <w:widowControl w:val="0"/>
              <w:spacing w:before="100" w:beforeAutospacing="1" w:line="360" w:lineRule="exact"/>
              <w:jc w:val="center"/>
              <w:rPr>
                <w:rFonts w:eastAsia="Times New Roman"/>
                <w:color w:val="auto"/>
                <w:sz w:val="21"/>
                <w:szCs w:val="21"/>
              </w:rPr>
            </w:pPr>
          </w:p>
        </w:tc>
        <w:tc>
          <w:tcPr>
            <w:tcW w:w="1174" w:type="pct"/>
            <w:vMerge w:val="continue"/>
            <w:tcBorders>
              <w:left w:val="single" w:color="000000" w:sz="2" w:space="0"/>
              <w:bottom w:val="single" w:color="000000" w:sz="2" w:space="0"/>
              <w:right w:val="single" w:color="000000" w:sz="2" w:space="0"/>
            </w:tcBorders>
            <w:vAlign w:val="center"/>
          </w:tcPr>
          <w:p w14:paraId="292D935F">
            <w:pPr>
              <w:widowControl w:val="0"/>
              <w:spacing w:before="100" w:beforeAutospacing="1" w:line="360" w:lineRule="exact"/>
              <w:jc w:val="center"/>
              <w:rPr>
                <w:rFonts w:ascii="宋体" w:hAnsi="宋体" w:eastAsia="Times New Roman"/>
                <w:color w:val="auto"/>
                <w:sz w:val="21"/>
                <w:szCs w:val="21"/>
              </w:rPr>
            </w:pPr>
          </w:p>
        </w:tc>
        <w:tc>
          <w:tcPr>
            <w:tcW w:w="514" w:type="pct"/>
            <w:tcBorders>
              <w:top w:val="single" w:color="000000" w:sz="2" w:space="0"/>
              <w:left w:val="single" w:color="000000" w:sz="2" w:space="0"/>
              <w:bottom w:val="single" w:color="000000" w:sz="2" w:space="0"/>
              <w:right w:val="single" w:color="000000" w:sz="2" w:space="0"/>
            </w:tcBorders>
            <w:vAlign w:val="center"/>
          </w:tcPr>
          <w:p w14:paraId="547B684C">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TSP</w:t>
            </w:r>
          </w:p>
        </w:tc>
        <w:tc>
          <w:tcPr>
            <w:tcW w:w="1139" w:type="pct"/>
            <w:tcBorders>
              <w:top w:val="single" w:color="000000" w:sz="2" w:space="0"/>
              <w:left w:val="single" w:color="000000" w:sz="2" w:space="0"/>
              <w:bottom w:val="single" w:color="000000" w:sz="2" w:space="0"/>
              <w:right w:val="single" w:color="000000" w:sz="2" w:space="0"/>
            </w:tcBorders>
            <w:vAlign w:val="center"/>
          </w:tcPr>
          <w:p w14:paraId="1D5CFBB6">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w:t>
            </w:r>
          </w:p>
        </w:tc>
        <w:tc>
          <w:tcPr>
            <w:tcW w:w="1200" w:type="pct"/>
            <w:tcBorders>
              <w:top w:val="single" w:color="000000" w:sz="2" w:space="0"/>
              <w:left w:val="single" w:color="000000" w:sz="2" w:space="0"/>
              <w:bottom w:val="single" w:color="000000" w:sz="2" w:space="0"/>
              <w:right w:val="single" w:color="000000" w:sz="2" w:space="0"/>
            </w:tcBorders>
            <w:vAlign w:val="center"/>
          </w:tcPr>
          <w:p w14:paraId="13312F44">
            <w:pPr>
              <w:pStyle w:val="129"/>
              <w:widowControl w:val="0"/>
              <w:rPr>
                <w:rFonts w:eastAsiaTheme="minorEastAsia"/>
                <w:color w:val="auto"/>
              </w:rPr>
            </w:pPr>
            <w:r>
              <w:rPr>
                <w:rFonts w:hint="eastAsia" w:eastAsiaTheme="minorEastAsia"/>
                <w:color w:val="auto"/>
              </w:rPr>
              <w:t>0.11</w:t>
            </w:r>
          </w:p>
        </w:tc>
        <w:tc>
          <w:tcPr>
            <w:tcW w:w="633" w:type="pct"/>
            <w:tcBorders>
              <w:top w:val="single" w:color="000000" w:sz="2" w:space="0"/>
              <w:left w:val="single" w:color="000000" w:sz="2" w:space="0"/>
              <w:bottom w:val="single" w:color="000000" w:sz="2" w:space="0"/>
              <w:right w:val="single" w:color="000000" w:sz="8" w:space="0"/>
            </w:tcBorders>
            <w:vAlign w:val="center"/>
          </w:tcPr>
          <w:p w14:paraId="60EEF561">
            <w:pPr>
              <w:pStyle w:val="129"/>
              <w:widowControl w:val="0"/>
              <w:rPr>
                <w:rFonts w:eastAsiaTheme="minorEastAsia"/>
                <w:color w:val="auto"/>
              </w:rPr>
            </w:pPr>
            <w:r>
              <w:rPr>
                <w:rFonts w:hint="eastAsia" w:eastAsiaTheme="minorEastAsia"/>
                <w:color w:val="auto"/>
              </w:rPr>
              <w:t>0.843</w:t>
            </w:r>
          </w:p>
        </w:tc>
      </w:tr>
      <w:tr w14:paraId="7FB67AA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000" w:type="pct"/>
            <w:gridSpan w:val="6"/>
            <w:tcBorders>
              <w:top w:val="single" w:color="000000" w:sz="2" w:space="0"/>
              <w:left w:val="single" w:color="000000" w:sz="8" w:space="0"/>
              <w:bottom w:val="single" w:color="000000" w:sz="2" w:space="0"/>
              <w:right w:val="single" w:color="000000" w:sz="8" w:space="0"/>
            </w:tcBorders>
            <w:vAlign w:val="center"/>
          </w:tcPr>
          <w:p w14:paraId="58A9A89D">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无组织排放总计</w:t>
            </w:r>
            <w:r>
              <w:rPr>
                <w:rFonts w:hint="eastAsia" w:eastAsia="Times New Roman"/>
                <w:color w:val="auto"/>
                <w:sz w:val="21"/>
                <w:szCs w:val="21"/>
              </w:rPr>
              <w:t xml:space="preserve"> t/a</w:t>
            </w:r>
          </w:p>
        </w:tc>
      </w:tr>
      <w:tr w14:paraId="659FDA1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514" w:type="pct"/>
            <w:gridSpan w:val="2"/>
            <w:vMerge w:val="restart"/>
            <w:tcBorders>
              <w:top w:val="single" w:color="000000" w:sz="2" w:space="0"/>
              <w:left w:val="single" w:color="000000" w:sz="8" w:space="0"/>
              <w:right w:val="single" w:color="000000" w:sz="2" w:space="0"/>
            </w:tcBorders>
            <w:vAlign w:val="center"/>
          </w:tcPr>
          <w:p w14:paraId="168B6C66">
            <w:pPr>
              <w:widowControl w:val="0"/>
              <w:spacing w:before="100" w:beforeAutospacing="1" w:line="360" w:lineRule="exact"/>
              <w:jc w:val="center"/>
              <w:rPr>
                <w:rFonts w:eastAsia="Times New Roman"/>
                <w:color w:val="auto"/>
                <w:sz w:val="21"/>
                <w:szCs w:val="21"/>
              </w:rPr>
            </w:pPr>
            <w:r>
              <w:rPr>
                <w:rFonts w:hint="eastAsia" w:ascii="宋体" w:hAnsi="宋体" w:eastAsia="Times New Roman"/>
                <w:color w:val="auto"/>
                <w:sz w:val="21"/>
                <w:szCs w:val="21"/>
              </w:rPr>
              <w:t>无组织排放量总计</w:t>
            </w:r>
          </w:p>
        </w:tc>
        <w:tc>
          <w:tcPr>
            <w:tcW w:w="2852" w:type="pct"/>
            <w:gridSpan w:val="3"/>
            <w:tcBorders>
              <w:top w:val="single" w:color="000000" w:sz="2" w:space="0"/>
              <w:left w:val="single" w:color="000000" w:sz="2" w:space="0"/>
              <w:bottom w:val="single" w:color="000000" w:sz="2" w:space="0"/>
              <w:right w:val="single" w:color="000000" w:sz="2" w:space="0"/>
            </w:tcBorders>
            <w:vAlign w:val="center"/>
          </w:tcPr>
          <w:p w14:paraId="7DCA4CE8">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NH</w:t>
            </w:r>
            <w:r>
              <w:rPr>
                <w:rFonts w:hint="eastAsia" w:eastAsia="Times New Roman"/>
                <w:color w:val="auto"/>
                <w:sz w:val="21"/>
                <w:szCs w:val="21"/>
                <w:vertAlign w:val="subscript"/>
              </w:rPr>
              <w:t>3</w:t>
            </w:r>
          </w:p>
        </w:tc>
        <w:tc>
          <w:tcPr>
            <w:tcW w:w="633" w:type="pct"/>
            <w:tcBorders>
              <w:top w:val="single" w:color="000000" w:sz="2" w:space="0"/>
              <w:left w:val="single" w:color="000000" w:sz="2" w:space="0"/>
              <w:bottom w:val="single" w:color="000000" w:sz="2" w:space="0"/>
              <w:right w:val="single" w:color="000000" w:sz="8" w:space="0"/>
            </w:tcBorders>
            <w:vAlign w:val="center"/>
          </w:tcPr>
          <w:p w14:paraId="54F567E7">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0.</w:t>
            </w:r>
            <w:r>
              <w:rPr>
                <w:rFonts w:hint="eastAsia" w:eastAsiaTheme="minorEastAsia"/>
                <w:color w:val="auto"/>
                <w:sz w:val="21"/>
                <w:szCs w:val="21"/>
              </w:rPr>
              <w:t>4</w:t>
            </w:r>
            <w:r>
              <w:rPr>
                <w:rFonts w:hint="eastAsia" w:eastAsia="Times New Roman"/>
                <w:color w:val="auto"/>
                <w:sz w:val="21"/>
                <w:szCs w:val="21"/>
              </w:rPr>
              <w:t>5</w:t>
            </w:r>
          </w:p>
        </w:tc>
      </w:tr>
      <w:tr w14:paraId="5476E64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514" w:type="pct"/>
            <w:gridSpan w:val="2"/>
            <w:vMerge w:val="continue"/>
            <w:tcBorders>
              <w:left w:val="single" w:color="000000" w:sz="8" w:space="0"/>
              <w:bottom w:val="single" w:color="000000" w:sz="8" w:space="0"/>
              <w:right w:val="single" w:color="000000" w:sz="2" w:space="0"/>
            </w:tcBorders>
            <w:vAlign w:val="center"/>
          </w:tcPr>
          <w:p w14:paraId="407D8D27">
            <w:pPr>
              <w:widowControl w:val="0"/>
              <w:spacing w:before="100" w:beforeAutospacing="1" w:line="360" w:lineRule="exact"/>
              <w:jc w:val="center"/>
              <w:rPr>
                <w:rFonts w:ascii="宋体" w:hAnsi="宋体" w:eastAsia="Times New Roman"/>
                <w:color w:val="auto"/>
                <w:sz w:val="21"/>
                <w:szCs w:val="21"/>
              </w:rPr>
            </w:pPr>
          </w:p>
        </w:tc>
        <w:tc>
          <w:tcPr>
            <w:tcW w:w="2852" w:type="pct"/>
            <w:gridSpan w:val="3"/>
            <w:tcBorders>
              <w:top w:val="single" w:color="000000" w:sz="2" w:space="0"/>
              <w:left w:val="single" w:color="000000" w:sz="2" w:space="0"/>
              <w:bottom w:val="single" w:color="000000" w:sz="8" w:space="0"/>
              <w:right w:val="single" w:color="000000" w:sz="2" w:space="0"/>
            </w:tcBorders>
            <w:vAlign w:val="center"/>
          </w:tcPr>
          <w:p w14:paraId="2B9CD5E1">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TSP</w:t>
            </w:r>
          </w:p>
        </w:tc>
        <w:tc>
          <w:tcPr>
            <w:tcW w:w="633" w:type="pct"/>
            <w:tcBorders>
              <w:top w:val="single" w:color="000000" w:sz="2" w:space="0"/>
              <w:left w:val="single" w:color="000000" w:sz="2" w:space="0"/>
              <w:bottom w:val="single" w:color="000000" w:sz="8" w:space="0"/>
              <w:right w:val="single" w:color="000000" w:sz="8" w:space="0"/>
            </w:tcBorders>
            <w:vAlign w:val="center"/>
          </w:tcPr>
          <w:p w14:paraId="3AC5E1DE">
            <w:pPr>
              <w:widowControl w:val="0"/>
              <w:spacing w:before="100" w:beforeAutospacing="1" w:line="360" w:lineRule="exact"/>
              <w:jc w:val="center"/>
              <w:rPr>
                <w:rFonts w:eastAsia="Times New Roman"/>
                <w:color w:val="auto"/>
                <w:sz w:val="21"/>
                <w:szCs w:val="21"/>
              </w:rPr>
            </w:pPr>
            <w:r>
              <w:rPr>
                <w:rFonts w:hint="eastAsia" w:eastAsiaTheme="minorEastAsia"/>
                <w:color w:val="auto"/>
              </w:rPr>
              <w:t>0.843</w:t>
            </w:r>
          </w:p>
        </w:tc>
      </w:tr>
    </w:tbl>
    <w:p w14:paraId="706D0975">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210BB47">
      <w:pPr>
        <w:pStyle w:val="132"/>
        <w:rPr>
          <w:color w:val="auto"/>
        </w:rPr>
      </w:pPr>
      <w:r>
        <w:rPr>
          <w:rFonts w:hint="eastAsia"/>
          <w:color w:val="auto"/>
        </w:rPr>
        <w:t>（3）污染物年排放量核算</w:t>
      </w:r>
    </w:p>
    <w:p w14:paraId="76ED4A50">
      <w:pPr>
        <w:pStyle w:val="132"/>
        <w:rPr>
          <w:color w:val="auto"/>
        </w:rPr>
      </w:pPr>
      <w:r>
        <w:rPr>
          <w:color w:val="auto"/>
        </w:rPr>
        <w:t>大气污染物年排放量情况见表 5.2</w:t>
      </w:r>
      <w:r>
        <w:rPr>
          <w:rFonts w:hint="eastAsia"/>
          <w:color w:val="auto"/>
        </w:rPr>
        <w:t>-22</w:t>
      </w:r>
      <w:r>
        <w:rPr>
          <w:color w:val="auto"/>
        </w:rPr>
        <w:t>。</w:t>
      </w:r>
    </w:p>
    <w:p w14:paraId="0848CFC2">
      <w:pPr>
        <w:pStyle w:val="1060"/>
        <w:rPr>
          <w:color w:val="auto"/>
          <w:szCs w:val="23"/>
        </w:rPr>
      </w:pPr>
      <w:bookmarkStart w:id="306" w:name="_Ref220518593"/>
      <w:bookmarkEnd w:id="306"/>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21</w:t>
      </w:r>
      <w:r>
        <w:rPr>
          <w:color w:val="auto"/>
        </w:rPr>
        <w:fldChar w:fldCharType="end"/>
      </w:r>
      <w:r>
        <w:rPr>
          <w:rFonts w:hint="eastAsia"/>
          <w:color w:val="auto"/>
        </w:rPr>
        <w:t xml:space="preserve"> </w:t>
      </w:r>
      <w:r>
        <w:rPr>
          <w:color w:val="auto"/>
          <w:szCs w:val="23"/>
        </w:rPr>
        <w:t xml:space="preserve">  </w:t>
      </w:r>
      <w:r>
        <w:rPr>
          <w:rFonts w:ascii="黑体" w:hAnsi="黑体"/>
          <w:color w:val="auto"/>
          <w:szCs w:val="23"/>
        </w:rPr>
        <w:t>大气污染物年排放量核算表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788"/>
        <w:gridCol w:w="3499"/>
        <w:gridCol w:w="3499"/>
      </w:tblGrid>
      <w:tr w14:paraId="441E8B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8" w:space="0"/>
              <w:left w:val="single" w:color="000000" w:sz="8" w:space="0"/>
              <w:bottom w:val="single" w:color="000000" w:sz="2" w:space="0"/>
              <w:right w:val="single" w:color="000000" w:sz="2" w:space="0"/>
            </w:tcBorders>
            <w:vAlign w:val="center"/>
          </w:tcPr>
          <w:p w14:paraId="6C570025">
            <w:pPr>
              <w:pStyle w:val="129"/>
              <w:widowControl w:val="0"/>
              <w:rPr>
                <w:rFonts w:eastAsia="Times New Roman"/>
                <w:color w:val="auto"/>
              </w:rPr>
            </w:pPr>
            <w:bookmarkStart w:id="307" w:name="_Hlk202278229"/>
            <w:r>
              <w:rPr>
                <w:rFonts w:hint="eastAsia" w:ascii="宋体" w:hAnsi="宋体" w:eastAsia="Times New Roman" w:cs="宋体"/>
                <w:color w:val="auto"/>
              </w:rPr>
              <w:t>序号</w:t>
            </w:r>
            <w:bookmarkEnd w:id="307"/>
          </w:p>
        </w:tc>
        <w:tc>
          <w:tcPr>
            <w:tcW w:w="1991" w:type="pct"/>
            <w:tcBorders>
              <w:top w:val="single" w:color="000000" w:sz="8" w:space="0"/>
              <w:left w:val="single" w:color="000000" w:sz="2" w:space="0"/>
              <w:bottom w:val="single" w:color="000000" w:sz="2" w:space="0"/>
              <w:right w:val="single" w:color="000000" w:sz="2" w:space="0"/>
            </w:tcBorders>
            <w:vAlign w:val="center"/>
          </w:tcPr>
          <w:p w14:paraId="60AD6DE5">
            <w:pPr>
              <w:pStyle w:val="129"/>
              <w:widowControl w:val="0"/>
              <w:rPr>
                <w:rFonts w:eastAsia="Times New Roman"/>
                <w:color w:val="auto"/>
              </w:rPr>
            </w:pPr>
            <w:r>
              <w:rPr>
                <w:rFonts w:hint="eastAsia" w:ascii="宋体" w:hAnsi="宋体" w:eastAsia="Times New Roman" w:cs="宋体"/>
                <w:color w:val="auto"/>
              </w:rPr>
              <w:t>污染物</w:t>
            </w:r>
          </w:p>
        </w:tc>
        <w:tc>
          <w:tcPr>
            <w:tcW w:w="1991" w:type="pct"/>
            <w:tcBorders>
              <w:top w:val="single" w:color="000000" w:sz="8" w:space="0"/>
              <w:left w:val="single" w:color="000000" w:sz="2" w:space="0"/>
              <w:bottom w:val="single" w:color="000000" w:sz="2" w:space="0"/>
              <w:right w:val="single" w:color="000000" w:sz="8" w:space="0"/>
            </w:tcBorders>
            <w:vAlign w:val="center"/>
          </w:tcPr>
          <w:p w14:paraId="785DDE1A">
            <w:pPr>
              <w:pStyle w:val="129"/>
              <w:widowControl w:val="0"/>
              <w:rPr>
                <w:rFonts w:eastAsia="Times New Roman"/>
                <w:color w:val="auto"/>
              </w:rPr>
            </w:pPr>
            <w:r>
              <w:rPr>
                <w:rFonts w:hint="eastAsia" w:ascii="宋体" w:hAnsi="宋体" w:eastAsia="Times New Roman" w:cs="宋体"/>
                <w:color w:val="auto"/>
              </w:rPr>
              <w:t>年排放量</w:t>
            </w:r>
            <w:r>
              <w:rPr>
                <w:rFonts w:eastAsia="Times New Roman"/>
                <w:color w:val="auto"/>
              </w:rPr>
              <w:t>/</w:t>
            </w:r>
            <w:r>
              <w:rPr>
                <w:rFonts w:hint="eastAsia" w:ascii="宋体" w:hAnsi="宋体" w:eastAsia="Times New Roman" w:cs="宋体"/>
                <w:color w:val="auto"/>
              </w:rPr>
              <w:t>（</w:t>
            </w:r>
            <w:r>
              <w:rPr>
                <w:rFonts w:eastAsia="Times New Roman"/>
                <w:color w:val="auto"/>
              </w:rPr>
              <w:t>t/a</w:t>
            </w:r>
            <w:r>
              <w:rPr>
                <w:rFonts w:hint="eastAsia" w:ascii="宋体" w:hAnsi="宋体" w:eastAsia="Times New Roman" w:cs="宋体"/>
                <w:color w:val="auto"/>
              </w:rPr>
              <w:t>）</w:t>
            </w:r>
          </w:p>
        </w:tc>
      </w:tr>
      <w:tr w14:paraId="5F2BE44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62DD5141">
            <w:pPr>
              <w:pStyle w:val="129"/>
              <w:widowControl w:val="0"/>
              <w:rPr>
                <w:rFonts w:eastAsia="Times New Roman"/>
                <w:color w:val="auto"/>
              </w:rPr>
            </w:pPr>
            <w:r>
              <w:rPr>
                <w:rFonts w:eastAsia="Times New Roman"/>
                <w:color w:val="auto"/>
              </w:rPr>
              <w:t>1</w:t>
            </w:r>
          </w:p>
        </w:tc>
        <w:tc>
          <w:tcPr>
            <w:tcW w:w="1991" w:type="pct"/>
            <w:tcBorders>
              <w:top w:val="single" w:color="000000" w:sz="2" w:space="0"/>
              <w:left w:val="single" w:color="000000" w:sz="2" w:space="0"/>
              <w:bottom w:val="single" w:color="000000" w:sz="2" w:space="0"/>
              <w:right w:val="single" w:color="000000" w:sz="2" w:space="0"/>
            </w:tcBorders>
            <w:vAlign w:val="center"/>
          </w:tcPr>
          <w:p w14:paraId="5F83160F">
            <w:pPr>
              <w:pStyle w:val="129"/>
              <w:widowControl w:val="0"/>
              <w:rPr>
                <w:rFonts w:eastAsia="Times New Roman"/>
                <w:color w:val="auto"/>
              </w:rPr>
            </w:pPr>
            <w:r>
              <w:rPr>
                <w:rFonts w:hint="eastAsia" w:eastAsia="Times New Roman"/>
                <w:color w:val="auto"/>
              </w:rPr>
              <w:t>颗粒物</w:t>
            </w:r>
          </w:p>
        </w:tc>
        <w:tc>
          <w:tcPr>
            <w:tcW w:w="1991" w:type="pct"/>
            <w:tcBorders>
              <w:top w:val="single" w:color="000000" w:sz="2" w:space="0"/>
              <w:left w:val="single" w:color="000000" w:sz="2" w:space="0"/>
              <w:bottom w:val="single" w:color="000000" w:sz="2" w:space="0"/>
              <w:right w:val="single" w:color="000000" w:sz="8" w:space="0"/>
            </w:tcBorders>
            <w:vAlign w:val="bottom"/>
          </w:tcPr>
          <w:p w14:paraId="42F2296C">
            <w:pPr>
              <w:pStyle w:val="129"/>
              <w:widowControl w:val="0"/>
              <w:rPr>
                <w:rFonts w:eastAsiaTheme="minorEastAsia"/>
                <w:color w:val="auto"/>
              </w:rPr>
            </w:pPr>
            <w:r>
              <w:rPr>
                <w:rFonts w:hint="eastAsia" w:eastAsiaTheme="minorEastAsia"/>
                <w:color w:val="auto"/>
              </w:rPr>
              <w:t>8.258</w:t>
            </w:r>
          </w:p>
        </w:tc>
      </w:tr>
      <w:tr w14:paraId="2F8D1B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31E09184">
            <w:pPr>
              <w:pStyle w:val="129"/>
              <w:widowControl w:val="0"/>
              <w:rPr>
                <w:rFonts w:eastAsia="Times New Roman"/>
                <w:color w:val="auto"/>
              </w:rPr>
            </w:pPr>
            <w:r>
              <w:rPr>
                <w:rFonts w:eastAsia="Times New Roman"/>
                <w:color w:val="auto"/>
              </w:rPr>
              <w:t>2</w:t>
            </w:r>
          </w:p>
        </w:tc>
        <w:tc>
          <w:tcPr>
            <w:tcW w:w="1991" w:type="pct"/>
            <w:tcBorders>
              <w:top w:val="single" w:color="000000" w:sz="2" w:space="0"/>
              <w:left w:val="single" w:color="000000" w:sz="2" w:space="0"/>
              <w:bottom w:val="single" w:color="000000" w:sz="2" w:space="0"/>
              <w:right w:val="single" w:color="000000" w:sz="2" w:space="0"/>
            </w:tcBorders>
            <w:vAlign w:val="center"/>
          </w:tcPr>
          <w:p w14:paraId="0F3B511E">
            <w:pPr>
              <w:pStyle w:val="129"/>
              <w:widowControl w:val="0"/>
              <w:rPr>
                <w:rFonts w:eastAsia="Times New Roman"/>
                <w:color w:val="auto"/>
              </w:rPr>
            </w:pPr>
            <w:r>
              <w:rPr>
                <w:rFonts w:eastAsia="Times New Roman"/>
                <w:color w:val="auto"/>
              </w:rPr>
              <w:t>SO</w:t>
            </w:r>
            <w:r>
              <w:rPr>
                <w:rFonts w:eastAsia="Times New Roman"/>
                <w:color w:val="auto"/>
                <w:vertAlign w:val="subscript"/>
              </w:rPr>
              <w:t>2</w:t>
            </w:r>
          </w:p>
        </w:tc>
        <w:tc>
          <w:tcPr>
            <w:tcW w:w="1991" w:type="pct"/>
            <w:tcBorders>
              <w:top w:val="single" w:color="000000" w:sz="2" w:space="0"/>
              <w:left w:val="single" w:color="000000" w:sz="2" w:space="0"/>
              <w:bottom w:val="single" w:color="000000" w:sz="2" w:space="0"/>
              <w:right w:val="single" w:color="000000" w:sz="8" w:space="0"/>
            </w:tcBorders>
            <w:vAlign w:val="bottom"/>
          </w:tcPr>
          <w:p w14:paraId="71A3AF68">
            <w:pPr>
              <w:pStyle w:val="129"/>
              <w:widowControl w:val="0"/>
              <w:rPr>
                <w:rFonts w:eastAsiaTheme="minorEastAsia"/>
                <w:color w:val="auto"/>
              </w:rPr>
            </w:pPr>
            <w:r>
              <w:rPr>
                <w:rFonts w:eastAsia="Times New Roman"/>
                <w:color w:val="auto"/>
              </w:rPr>
              <w:t>0.27</w:t>
            </w:r>
            <w:r>
              <w:rPr>
                <w:rFonts w:hint="eastAsia" w:eastAsiaTheme="minorEastAsia"/>
                <w:color w:val="auto"/>
              </w:rPr>
              <w:t>7</w:t>
            </w:r>
          </w:p>
        </w:tc>
      </w:tr>
      <w:tr w14:paraId="739CEE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20"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537313DA">
            <w:pPr>
              <w:pStyle w:val="129"/>
              <w:widowControl w:val="0"/>
              <w:rPr>
                <w:rFonts w:eastAsia="Times New Roman"/>
                <w:color w:val="auto"/>
              </w:rPr>
            </w:pPr>
            <w:r>
              <w:rPr>
                <w:rFonts w:eastAsia="Times New Roman"/>
                <w:color w:val="auto"/>
              </w:rPr>
              <w:t>3</w:t>
            </w:r>
          </w:p>
        </w:tc>
        <w:tc>
          <w:tcPr>
            <w:tcW w:w="1991" w:type="pct"/>
            <w:tcBorders>
              <w:top w:val="single" w:color="000000" w:sz="2" w:space="0"/>
              <w:left w:val="single" w:color="000000" w:sz="2" w:space="0"/>
              <w:bottom w:val="single" w:color="000000" w:sz="2" w:space="0"/>
              <w:right w:val="single" w:color="000000" w:sz="2" w:space="0"/>
            </w:tcBorders>
            <w:vAlign w:val="center"/>
          </w:tcPr>
          <w:p w14:paraId="00CD63DF">
            <w:pPr>
              <w:pStyle w:val="129"/>
              <w:widowControl w:val="0"/>
              <w:rPr>
                <w:rFonts w:eastAsia="Times New Roman"/>
                <w:color w:val="auto"/>
              </w:rPr>
            </w:pPr>
            <w:r>
              <w:rPr>
                <w:rFonts w:eastAsia="Times New Roman"/>
                <w:color w:val="auto"/>
              </w:rPr>
              <w:t>NOx</w:t>
            </w:r>
          </w:p>
        </w:tc>
        <w:tc>
          <w:tcPr>
            <w:tcW w:w="1991" w:type="pct"/>
            <w:tcBorders>
              <w:top w:val="single" w:color="000000" w:sz="2" w:space="0"/>
              <w:left w:val="single" w:color="000000" w:sz="2" w:space="0"/>
              <w:bottom w:val="single" w:color="000000" w:sz="2" w:space="0"/>
              <w:right w:val="single" w:color="000000" w:sz="8" w:space="0"/>
            </w:tcBorders>
            <w:vAlign w:val="bottom"/>
          </w:tcPr>
          <w:p w14:paraId="627D1509">
            <w:pPr>
              <w:pStyle w:val="129"/>
              <w:widowControl w:val="0"/>
              <w:rPr>
                <w:rFonts w:eastAsiaTheme="minorEastAsia"/>
                <w:color w:val="auto"/>
              </w:rPr>
            </w:pPr>
            <w:r>
              <w:rPr>
                <w:rFonts w:eastAsia="Times New Roman"/>
                <w:color w:val="auto"/>
              </w:rPr>
              <w:t>6.3</w:t>
            </w:r>
            <w:r>
              <w:rPr>
                <w:rFonts w:hint="eastAsia" w:eastAsiaTheme="minorEastAsia"/>
                <w:color w:val="auto"/>
              </w:rPr>
              <w:t>54</w:t>
            </w:r>
          </w:p>
        </w:tc>
      </w:tr>
      <w:tr w14:paraId="051D037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66844523">
            <w:pPr>
              <w:pStyle w:val="129"/>
              <w:widowControl w:val="0"/>
              <w:rPr>
                <w:rFonts w:eastAsia="Times New Roman"/>
                <w:color w:val="auto"/>
              </w:rPr>
            </w:pPr>
            <w:r>
              <w:rPr>
                <w:rFonts w:eastAsia="Times New Roman"/>
                <w:color w:val="auto"/>
              </w:rPr>
              <w:t>4</w:t>
            </w:r>
          </w:p>
        </w:tc>
        <w:tc>
          <w:tcPr>
            <w:tcW w:w="1991" w:type="pct"/>
            <w:tcBorders>
              <w:top w:val="single" w:color="000000" w:sz="2" w:space="0"/>
              <w:left w:val="single" w:color="000000" w:sz="2" w:space="0"/>
              <w:bottom w:val="single" w:color="000000" w:sz="2" w:space="0"/>
              <w:right w:val="single" w:color="000000" w:sz="2" w:space="0"/>
            </w:tcBorders>
            <w:vAlign w:val="center"/>
          </w:tcPr>
          <w:p w14:paraId="7B5D3A09">
            <w:pPr>
              <w:pStyle w:val="129"/>
              <w:widowControl w:val="0"/>
              <w:rPr>
                <w:rFonts w:eastAsia="Times New Roman"/>
                <w:color w:val="auto"/>
              </w:rPr>
            </w:pPr>
            <w:r>
              <w:rPr>
                <w:rFonts w:eastAsia="Times New Roman"/>
                <w:color w:val="auto"/>
              </w:rPr>
              <w:t>NH</w:t>
            </w:r>
            <w:r>
              <w:rPr>
                <w:rFonts w:eastAsia="Times New Roman"/>
                <w:color w:val="auto"/>
                <w:vertAlign w:val="subscript"/>
              </w:rPr>
              <w:t>3</w:t>
            </w:r>
          </w:p>
        </w:tc>
        <w:tc>
          <w:tcPr>
            <w:tcW w:w="1991" w:type="pct"/>
            <w:tcBorders>
              <w:top w:val="single" w:color="000000" w:sz="2" w:space="0"/>
              <w:left w:val="single" w:color="000000" w:sz="2" w:space="0"/>
              <w:bottom w:val="single" w:color="000000" w:sz="2" w:space="0"/>
              <w:right w:val="single" w:color="000000" w:sz="8" w:space="0"/>
            </w:tcBorders>
            <w:vAlign w:val="bottom"/>
          </w:tcPr>
          <w:p w14:paraId="428861CE">
            <w:pPr>
              <w:pStyle w:val="129"/>
              <w:widowControl w:val="0"/>
              <w:rPr>
                <w:rFonts w:eastAsiaTheme="minorEastAsia"/>
                <w:color w:val="auto"/>
              </w:rPr>
            </w:pPr>
            <w:r>
              <w:rPr>
                <w:rFonts w:hint="eastAsia" w:eastAsiaTheme="minorEastAsia"/>
                <w:color w:val="auto"/>
              </w:rPr>
              <w:t>0.632</w:t>
            </w:r>
          </w:p>
        </w:tc>
      </w:tr>
      <w:tr w14:paraId="7B8C47D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451AA7B9">
            <w:pPr>
              <w:pStyle w:val="129"/>
              <w:widowControl w:val="0"/>
              <w:rPr>
                <w:rFonts w:eastAsiaTheme="minorEastAsia"/>
                <w:color w:val="auto"/>
              </w:rPr>
            </w:pPr>
            <w:r>
              <w:rPr>
                <w:rFonts w:hint="eastAsia" w:eastAsiaTheme="minorEastAsia"/>
                <w:color w:val="auto"/>
              </w:rPr>
              <w:t>5</w:t>
            </w:r>
          </w:p>
        </w:tc>
        <w:tc>
          <w:tcPr>
            <w:tcW w:w="1991" w:type="pct"/>
            <w:tcBorders>
              <w:top w:val="single" w:color="000000" w:sz="2" w:space="0"/>
              <w:left w:val="single" w:color="000000" w:sz="2" w:space="0"/>
              <w:bottom w:val="single" w:color="000000" w:sz="2" w:space="0"/>
              <w:right w:val="single" w:color="000000" w:sz="2" w:space="0"/>
            </w:tcBorders>
            <w:vAlign w:val="center"/>
          </w:tcPr>
          <w:p w14:paraId="2AA14697">
            <w:pPr>
              <w:pStyle w:val="129"/>
              <w:widowControl w:val="0"/>
              <w:rPr>
                <w:rFonts w:eastAsia="Times New Roman"/>
                <w:color w:val="auto"/>
              </w:rPr>
            </w:pPr>
            <w:r>
              <w:rPr>
                <w:rFonts w:hint="eastAsia" w:eastAsia="Times New Roman"/>
                <w:color w:val="auto"/>
              </w:rPr>
              <w:t>钴及其化合物</w:t>
            </w:r>
          </w:p>
        </w:tc>
        <w:tc>
          <w:tcPr>
            <w:tcW w:w="1991" w:type="pct"/>
            <w:tcBorders>
              <w:top w:val="single" w:color="000000" w:sz="2" w:space="0"/>
              <w:left w:val="single" w:color="000000" w:sz="2" w:space="0"/>
              <w:bottom w:val="single" w:color="000000" w:sz="2" w:space="0"/>
              <w:right w:val="single" w:color="000000" w:sz="8" w:space="0"/>
            </w:tcBorders>
            <w:vAlign w:val="center"/>
          </w:tcPr>
          <w:p w14:paraId="081DD54B">
            <w:pPr>
              <w:pStyle w:val="129"/>
              <w:widowControl w:val="0"/>
              <w:rPr>
                <w:rFonts w:eastAsia="Times New Roman"/>
                <w:color w:val="auto"/>
              </w:rPr>
            </w:pPr>
            <w:r>
              <w:rPr>
                <w:rFonts w:eastAsia="Times New Roman"/>
                <w:color w:val="auto"/>
              </w:rPr>
              <w:t>0.005</w:t>
            </w:r>
          </w:p>
        </w:tc>
      </w:tr>
      <w:tr w14:paraId="50023CC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4FAC88F3">
            <w:pPr>
              <w:pStyle w:val="129"/>
              <w:widowControl w:val="0"/>
              <w:rPr>
                <w:rFonts w:eastAsiaTheme="minorEastAsia"/>
                <w:color w:val="auto"/>
              </w:rPr>
            </w:pPr>
            <w:r>
              <w:rPr>
                <w:rFonts w:hint="eastAsia" w:eastAsiaTheme="minorEastAsia"/>
                <w:color w:val="auto"/>
              </w:rPr>
              <w:t>6</w:t>
            </w:r>
          </w:p>
        </w:tc>
        <w:tc>
          <w:tcPr>
            <w:tcW w:w="1991" w:type="pct"/>
            <w:tcBorders>
              <w:top w:val="single" w:color="000000" w:sz="2" w:space="0"/>
              <w:left w:val="single" w:color="000000" w:sz="2" w:space="0"/>
              <w:bottom w:val="single" w:color="000000" w:sz="2" w:space="0"/>
              <w:right w:val="single" w:color="000000" w:sz="2" w:space="0"/>
            </w:tcBorders>
            <w:vAlign w:val="center"/>
          </w:tcPr>
          <w:p w14:paraId="290EB2B6">
            <w:pPr>
              <w:pStyle w:val="129"/>
              <w:widowControl w:val="0"/>
              <w:rPr>
                <w:rFonts w:eastAsia="Times New Roman"/>
                <w:color w:val="auto"/>
              </w:rPr>
            </w:pPr>
            <w:r>
              <w:rPr>
                <w:rFonts w:hint="eastAsia" w:eastAsia="Times New Roman"/>
                <w:color w:val="auto"/>
              </w:rPr>
              <w:t>钼及其化合物</w:t>
            </w:r>
          </w:p>
        </w:tc>
        <w:tc>
          <w:tcPr>
            <w:tcW w:w="1991" w:type="pct"/>
            <w:tcBorders>
              <w:top w:val="single" w:color="000000" w:sz="2" w:space="0"/>
              <w:left w:val="single" w:color="000000" w:sz="2" w:space="0"/>
              <w:bottom w:val="single" w:color="000000" w:sz="2" w:space="0"/>
              <w:right w:val="single" w:color="000000" w:sz="8" w:space="0"/>
            </w:tcBorders>
            <w:vAlign w:val="center"/>
          </w:tcPr>
          <w:p w14:paraId="33EAC131">
            <w:pPr>
              <w:pStyle w:val="129"/>
              <w:widowControl w:val="0"/>
              <w:rPr>
                <w:rFonts w:eastAsia="Times New Roman"/>
                <w:color w:val="auto"/>
              </w:rPr>
            </w:pPr>
            <w:r>
              <w:rPr>
                <w:rFonts w:eastAsia="Times New Roman"/>
                <w:color w:val="auto"/>
              </w:rPr>
              <w:t>0.001</w:t>
            </w:r>
          </w:p>
        </w:tc>
      </w:tr>
      <w:tr w14:paraId="3CD2503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00E39A09">
            <w:pPr>
              <w:pStyle w:val="129"/>
              <w:widowControl w:val="0"/>
              <w:rPr>
                <w:rFonts w:eastAsiaTheme="minorEastAsia"/>
                <w:color w:val="auto"/>
              </w:rPr>
            </w:pPr>
            <w:r>
              <w:rPr>
                <w:rFonts w:hint="eastAsia" w:eastAsiaTheme="minorEastAsia"/>
                <w:color w:val="auto"/>
              </w:rPr>
              <w:t>7</w:t>
            </w:r>
          </w:p>
        </w:tc>
        <w:tc>
          <w:tcPr>
            <w:tcW w:w="1991" w:type="pct"/>
            <w:tcBorders>
              <w:top w:val="single" w:color="000000" w:sz="2" w:space="0"/>
              <w:left w:val="single" w:color="000000" w:sz="2" w:space="0"/>
              <w:bottom w:val="single" w:color="000000" w:sz="2" w:space="0"/>
              <w:right w:val="single" w:color="000000" w:sz="2" w:space="0"/>
            </w:tcBorders>
            <w:vAlign w:val="center"/>
          </w:tcPr>
          <w:p w14:paraId="3698EDAA">
            <w:pPr>
              <w:pStyle w:val="129"/>
              <w:widowControl w:val="0"/>
              <w:rPr>
                <w:rFonts w:eastAsia="Times New Roman"/>
                <w:color w:val="auto"/>
              </w:rPr>
            </w:pPr>
            <w:r>
              <w:rPr>
                <w:rFonts w:hint="eastAsia" w:eastAsia="Times New Roman"/>
                <w:color w:val="auto"/>
              </w:rPr>
              <w:t>镍及其化合物</w:t>
            </w:r>
          </w:p>
        </w:tc>
        <w:tc>
          <w:tcPr>
            <w:tcW w:w="1991" w:type="pct"/>
            <w:tcBorders>
              <w:top w:val="single" w:color="000000" w:sz="2" w:space="0"/>
              <w:left w:val="single" w:color="000000" w:sz="2" w:space="0"/>
              <w:bottom w:val="single" w:color="000000" w:sz="2" w:space="0"/>
              <w:right w:val="single" w:color="000000" w:sz="8" w:space="0"/>
            </w:tcBorders>
            <w:vAlign w:val="center"/>
          </w:tcPr>
          <w:p w14:paraId="23E2548C">
            <w:pPr>
              <w:pStyle w:val="129"/>
              <w:widowControl w:val="0"/>
              <w:rPr>
                <w:rFonts w:eastAsia="Times New Roman"/>
                <w:color w:val="auto"/>
              </w:rPr>
            </w:pPr>
            <w:r>
              <w:rPr>
                <w:rFonts w:eastAsia="Times New Roman"/>
                <w:color w:val="auto"/>
              </w:rPr>
              <w:t>0.001</w:t>
            </w:r>
          </w:p>
        </w:tc>
      </w:tr>
      <w:tr w14:paraId="349FAD2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6B5CCB50">
            <w:pPr>
              <w:pStyle w:val="129"/>
              <w:widowControl w:val="0"/>
              <w:rPr>
                <w:rFonts w:eastAsiaTheme="minorEastAsia"/>
                <w:color w:val="auto"/>
              </w:rPr>
            </w:pPr>
            <w:r>
              <w:rPr>
                <w:rFonts w:hint="eastAsia" w:eastAsiaTheme="minorEastAsia"/>
                <w:color w:val="auto"/>
              </w:rPr>
              <w:t>8</w:t>
            </w:r>
          </w:p>
        </w:tc>
        <w:tc>
          <w:tcPr>
            <w:tcW w:w="1991" w:type="pct"/>
            <w:tcBorders>
              <w:top w:val="single" w:color="000000" w:sz="2" w:space="0"/>
              <w:left w:val="single" w:color="000000" w:sz="2" w:space="0"/>
              <w:bottom w:val="single" w:color="000000" w:sz="2" w:space="0"/>
              <w:right w:val="single" w:color="000000" w:sz="2" w:space="0"/>
            </w:tcBorders>
            <w:vAlign w:val="center"/>
          </w:tcPr>
          <w:p w14:paraId="61F09AC5">
            <w:pPr>
              <w:pStyle w:val="129"/>
              <w:widowControl w:val="0"/>
              <w:rPr>
                <w:rFonts w:eastAsia="Times New Roman"/>
                <w:color w:val="auto"/>
              </w:rPr>
            </w:pPr>
            <w:r>
              <w:rPr>
                <w:rFonts w:hint="eastAsia" w:eastAsia="Times New Roman"/>
                <w:color w:val="auto"/>
              </w:rPr>
              <w:t>锰及其化合物</w:t>
            </w:r>
          </w:p>
        </w:tc>
        <w:tc>
          <w:tcPr>
            <w:tcW w:w="1991" w:type="pct"/>
            <w:tcBorders>
              <w:top w:val="single" w:color="000000" w:sz="2" w:space="0"/>
              <w:left w:val="single" w:color="000000" w:sz="2" w:space="0"/>
              <w:bottom w:val="single" w:color="000000" w:sz="2" w:space="0"/>
              <w:right w:val="single" w:color="000000" w:sz="8" w:space="0"/>
            </w:tcBorders>
            <w:vAlign w:val="center"/>
          </w:tcPr>
          <w:p w14:paraId="666E682E">
            <w:pPr>
              <w:pStyle w:val="129"/>
              <w:widowControl w:val="0"/>
              <w:rPr>
                <w:rFonts w:eastAsia="Times New Roman"/>
                <w:color w:val="auto"/>
              </w:rPr>
            </w:pPr>
            <w:r>
              <w:rPr>
                <w:rFonts w:eastAsia="Times New Roman"/>
                <w:color w:val="auto"/>
              </w:rPr>
              <w:t>0.003</w:t>
            </w:r>
          </w:p>
        </w:tc>
      </w:tr>
      <w:tr w14:paraId="6B6525D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2" w:space="0"/>
              <w:right w:val="single" w:color="000000" w:sz="2" w:space="0"/>
            </w:tcBorders>
            <w:vAlign w:val="center"/>
          </w:tcPr>
          <w:p w14:paraId="6CC1FE4A">
            <w:pPr>
              <w:pStyle w:val="129"/>
              <w:widowControl w:val="0"/>
              <w:rPr>
                <w:rFonts w:eastAsiaTheme="minorEastAsia"/>
                <w:color w:val="auto"/>
              </w:rPr>
            </w:pPr>
            <w:r>
              <w:rPr>
                <w:rFonts w:hint="eastAsia" w:eastAsiaTheme="minorEastAsia"/>
                <w:color w:val="auto"/>
              </w:rPr>
              <w:t>9</w:t>
            </w:r>
          </w:p>
        </w:tc>
        <w:tc>
          <w:tcPr>
            <w:tcW w:w="1991" w:type="pct"/>
            <w:tcBorders>
              <w:top w:val="single" w:color="000000" w:sz="2" w:space="0"/>
              <w:left w:val="single" w:color="000000" w:sz="2" w:space="0"/>
              <w:bottom w:val="single" w:color="000000" w:sz="2" w:space="0"/>
              <w:right w:val="single" w:color="000000" w:sz="2" w:space="0"/>
            </w:tcBorders>
            <w:vAlign w:val="center"/>
          </w:tcPr>
          <w:p w14:paraId="69455045">
            <w:pPr>
              <w:pStyle w:val="129"/>
              <w:widowControl w:val="0"/>
              <w:rPr>
                <w:rFonts w:eastAsia="Times New Roman"/>
                <w:color w:val="auto"/>
              </w:rPr>
            </w:pPr>
            <w:r>
              <w:rPr>
                <w:rFonts w:hint="eastAsia" w:eastAsia="Times New Roman"/>
                <w:color w:val="auto"/>
              </w:rPr>
              <w:t>铜及其化合物</w:t>
            </w:r>
          </w:p>
        </w:tc>
        <w:tc>
          <w:tcPr>
            <w:tcW w:w="1991" w:type="pct"/>
            <w:tcBorders>
              <w:top w:val="single" w:color="000000" w:sz="2" w:space="0"/>
              <w:left w:val="single" w:color="000000" w:sz="2" w:space="0"/>
              <w:bottom w:val="single" w:color="000000" w:sz="2" w:space="0"/>
              <w:right w:val="single" w:color="000000" w:sz="8" w:space="0"/>
            </w:tcBorders>
            <w:vAlign w:val="center"/>
          </w:tcPr>
          <w:p w14:paraId="23255CC8">
            <w:pPr>
              <w:pStyle w:val="129"/>
              <w:widowControl w:val="0"/>
              <w:rPr>
                <w:rFonts w:eastAsia="Times New Roman"/>
                <w:color w:val="auto"/>
              </w:rPr>
            </w:pPr>
            <w:r>
              <w:rPr>
                <w:rFonts w:eastAsia="Times New Roman"/>
                <w:color w:val="auto"/>
              </w:rPr>
              <w:t>0.001</w:t>
            </w:r>
          </w:p>
        </w:tc>
      </w:tr>
      <w:tr w14:paraId="6B130E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018" w:type="pct"/>
            <w:tcBorders>
              <w:top w:val="single" w:color="000000" w:sz="2" w:space="0"/>
              <w:left w:val="single" w:color="000000" w:sz="8" w:space="0"/>
              <w:bottom w:val="single" w:color="000000" w:sz="8" w:space="0"/>
              <w:right w:val="single" w:color="000000" w:sz="2" w:space="0"/>
            </w:tcBorders>
            <w:vAlign w:val="center"/>
          </w:tcPr>
          <w:p w14:paraId="2269AA5C">
            <w:pPr>
              <w:pStyle w:val="129"/>
              <w:widowControl w:val="0"/>
              <w:rPr>
                <w:rFonts w:eastAsiaTheme="minorEastAsia"/>
                <w:color w:val="auto"/>
              </w:rPr>
            </w:pPr>
            <w:r>
              <w:rPr>
                <w:rFonts w:hint="eastAsia" w:eastAsiaTheme="minorEastAsia"/>
                <w:color w:val="auto"/>
              </w:rPr>
              <w:t>10</w:t>
            </w:r>
          </w:p>
        </w:tc>
        <w:tc>
          <w:tcPr>
            <w:tcW w:w="1991" w:type="pct"/>
            <w:tcBorders>
              <w:top w:val="single" w:color="000000" w:sz="2" w:space="0"/>
              <w:left w:val="single" w:color="000000" w:sz="2" w:space="0"/>
              <w:bottom w:val="single" w:color="000000" w:sz="8" w:space="0"/>
              <w:right w:val="single" w:color="000000" w:sz="2" w:space="0"/>
            </w:tcBorders>
            <w:vAlign w:val="center"/>
          </w:tcPr>
          <w:p w14:paraId="4AB94BA3">
            <w:pPr>
              <w:pStyle w:val="129"/>
              <w:widowControl w:val="0"/>
              <w:rPr>
                <w:rFonts w:eastAsia="Times New Roman"/>
                <w:color w:val="auto"/>
              </w:rPr>
            </w:pPr>
            <w:r>
              <w:rPr>
                <w:rFonts w:hint="eastAsia" w:eastAsia="Times New Roman"/>
                <w:color w:val="auto"/>
              </w:rPr>
              <w:t>锆及其化合物</w:t>
            </w:r>
          </w:p>
        </w:tc>
        <w:tc>
          <w:tcPr>
            <w:tcW w:w="1991" w:type="pct"/>
            <w:tcBorders>
              <w:top w:val="single" w:color="000000" w:sz="2" w:space="0"/>
              <w:left w:val="single" w:color="000000" w:sz="2" w:space="0"/>
              <w:bottom w:val="single" w:color="000000" w:sz="8" w:space="0"/>
              <w:right w:val="single" w:color="000000" w:sz="8" w:space="0"/>
            </w:tcBorders>
            <w:vAlign w:val="center"/>
          </w:tcPr>
          <w:p w14:paraId="4197793E">
            <w:pPr>
              <w:pStyle w:val="129"/>
              <w:widowControl w:val="0"/>
              <w:rPr>
                <w:rFonts w:eastAsia="Times New Roman"/>
                <w:color w:val="auto"/>
              </w:rPr>
            </w:pPr>
            <w:r>
              <w:rPr>
                <w:rFonts w:eastAsia="Times New Roman"/>
                <w:color w:val="auto"/>
              </w:rPr>
              <w:t>0.001</w:t>
            </w:r>
          </w:p>
        </w:tc>
      </w:tr>
    </w:tbl>
    <w:p w14:paraId="552E6890">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706E3759">
      <w:pPr>
        <w:pStyle w:val="132"/>
        <w:rPr>
          <w:color w:val="auto"/>
        </w:rPr>
      </w:pPr>
      <w:r>
        <w:rPr>
          <w:rFonts w:hint="eastAsia"/>
          <w:color w:val="auto"/>
        </w:rPr>
        <w:t>（4）非正常排放量核算</w:t>
      </w:r>
    </w:p>
    <w:p w14:paraId="4F4E45C5">
      <w:pPr>
        <w:pStyle w:val="132"/>
        <w:rPr>
          <w:color w:val="auto"/>
        </w:rPr>
      </w:pPr>
      <w:r>
        <w:rPr>
          <w:rFonts w:hint="eastAsia"/>
          <w:color w:val="auto"/>
        </w:rPr>
        <w:t>非正常排放污染物情况见</w:t>
      </w:r>
      <w:r>
        <w:rPr>
          <w:color w:val="auto"/>
        </w:rPr>
        <w:t>表 5.2</w:t>
      </w:r>
      <w:r>
        <w:rPr>
          <w:rFonts w:hint="eastAsia"/>
          <w:color w:val="auto"/>
        </w:rPr>
        <w:t>-23。</w:t>
      </w:r>
    </w:p>
    <w:p w14:paraId="2766B344">
      <w:pPr>
        <w:pStyle w:val="1060"/>
        <w:rPr>
          <w:color w:val="auto"/>
          <w:szCs w:val="23"/>
        </w:rPr>
      </w:pPr>
      <w:bookmarkStart w:id="308" w:name="_Ref220518659"/>
      <w:bookmarkEnd w:id="30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22</w:t>
      </w:r>
      <w:r>
        <w:rPr>
          <w:color w:val="auto"/>
        </w:rPr>
        <w:fldChar w:fldCharType="end"/>
      </w:r>
      <w:r>
        <w:rPr>
          <w:rFonts w:hint="eastAsia"/>
          <w:color w:val="auto"/>
        </w:rPr>
        <w:t xml:space="preserve"> </w:t>
      </w:r>
      <w:r>
        <w:rPr>
          <w:color w:val="auto"/>
          <w:szCs w:val="23"/>
        </w:rPr>
        <w:t xml:space="preserve"> </w:t>
      </w:r>
      <w:r>
        <w:rPr>
          <w:rFonts w:ascii="黑体" w:hAnsi="黑体"/>
          <w:color w:val="auto"/>
          <w:szCs w:val="23"/>
        </w:rPr>
        <w:t>污染源非正常排放量核算表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054"/>
        <w:gridCol w:w="1061"/>
        <w:gridCol w:w="1664"/>
        <w:gridCol w:w="1362"/>
        <w:gridCol w:w="908"/>
        <w:gridCol w:w="910"/>
        <w:gridCol w:w="1827"/>
      </w:tblGrid>
      <w:tr w14:paraId="540C4F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14" w:hRule="atLeast"/>
        </w:trPr>
        <w:tc>
          <w:tcPr>
            <w:tcW w:w="600" w:type="pct"/>
            <w:vMerge w:val="restart"/>
            <w:vAlign w:val="center"/>
          </w:tcPr>
          <w:p w14:paraId="29F7FC30">
            <w:pPr>
              <w:pStyle w:val="129"/>
              <w:widowControl w:val="0"/>
              <w:rPr>
                <w:color w:val="auto"/>
              </w:rPr>
            </w:pPr>
            <w:r>
              <w:rPr>
                <w:rFonts w:hint="eastAsia"/>
                <w:color w:val="auto"/>
              </w:rPr>
              <w:t>污染源</w:t>
            </w:r>
          </w:p>
        </w:tc>
        <w:tc>
          <w:tcPr>
            <w:tcW w:w="604" w:type="pct"/>
            <w:vMerge w:val="restart"/>
            <w:vAlign w:val="center"/>
          </w:tcPr>
          <w:p w14:paraId="29929807">
            <w:pPr>
              <w:pStyle w:val="129"/>
              <w:widowControl w:val="0"/>
              <w:rPr>
                <w:color w:val="auto"/>
              </w:rPr>
            </w:pPr>
            <w:r>
              <w:rPr>
                <w:rFonts w:hint="eastAsia"/>
                <w:color w:val="auto"/>
              </w:rPr>
              <w:t>非正常排放原因</w:t>
            </w:r>
          </w:p>
        </w:tc>
        <w:tc>
          <w:tcPr>
            <w:tcW w:w="947" w:type="pct"/>
            <w:vMerge w:val="restart"/>
            <w:vAlign w:val="center"/>
          </w:tcPr>
          <w:p w14:paraId="77DF0F2B">
            <w:pPr>
              <w:pStyle w:val="129"/>
              <w:widowControl w:val="0"/>
              <w:rPr>
                <w:color w:val="auto"/>
              </w:rPr>
            </w:pPr>
            <w:r>
              <w:rPr>
                <w:rFonts w:hint="eastAsia"/>
                <w:color w:val="auto"/>
              </w:rPr>
              <w:t>污染物</w:t>
            </w:r>
          </w:p>
        </w:tc>
        <w:tc>
          <w:tcPr>
            <w:tcW w:w="775" w:type="pct"/>
            <w:vMerge w:val="restart"/>
            <w:vAlign w:val="center"/>
          </w:tcPr>
          <w:p w14:paraId="4355E187">
            <w:pPr>
              <w:pStyle w:val="129"/>
              <w:widowControl w:val="0"/>
              <w:rPr>
                <w:color w:val="auto"/>
              </w:rPr>
            </w:pPr>
            <w:r>
              <w:rPr>
                <w:rFonts w:hint="eastAsia"/>
                <w:color w:val="auto"/>
              </w:rPr>
              <w:t>非正常排放速率kg/h</w:t>
            </w:r>
          </w:p>
        </w:tc>
        <w:tc>
          <w:tcPr>
            <w:tcW w:w="517" w:type="pct"/>
            <w:vMerge w:val="restart"/>
            <w:vAlign w:val="center"/>
          </w:tcPr>
          <w:p w14:paraId="50B9CA17">
            <w:pPr>
              <w:pStyle w:val="129"/>
              <w:widowControl w:val="0"/>
              <w:rPr>
                <w:color w:val="auto"/>
              </w:rPr>
            </w:pPr>
            <w:r>
              <w:rPr>
                <w:rFonts w:hint="eastAsia"/>
                <w:color w:val="auto"/>
              </w:rPr>
              <w:t>单次持续时间h</w:t>
            </w:r>
          </w:p>
        </w:tc>
        <w:tc>
          <w:tcPr>
            <w:tcW w:w="518" w:type="pct"/>
            <w:vMerge w:val="restart"/>
            <w:vAlign w:val="center"/>
          </w:tcPr>
          <w:p w14:paraId="028AAA3A">
            <w:pPr>
              <w:pStyle w:val="129"/>
              <w:widowControl w:val="0"/>
              <w:rPr>
                <w:color w:val="auto"/>
              </w:rPr>
            </w:pPr>
            <w:r>
              <w:rPr>
                <w:rFonts w:hint="eastAsia"/>
                <w:color w:val="auto"/>
              </w:rPr>
              <w:t>年发生频次/次</w:t>
            </w:r>
          </w:p>
        </w:tc>
        <w:tc>
          <w:tcPr>
            <w:tcW w:w="1039" w:type="pct"/>
            <w:vMerge w:val="restart"/>
            <w:vAlign w:val="center"/>
          </w:tcPr>
          <w:p w14:paraId="1CB12CB1">
            <w:pPr>
              <w:pStyle w:val="129"/>
              <w:widowControl w:val="0"/>
              <w:rPr>
                <w:color w:val="auto"/>
              </w:rPr>
            </w:pPr>
            <w:r>
              <w:rPr>
                <w:rFonts w:hint="eastAsia"/>
                <w:color w:val="auto"/>
              </w:rPr>
              <w:t>应对措施</w:t>
            </w:r>
          </w:p>
        </w:tc>
      </w:tr>
      <w:tr w14:paraId="651F686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77632ED4">
            <w:pPr>
              <w:pStyle w:val="129"/>
              <w:widowControl w:val="0"/>
              <w:rPr>
                <w:color w:val="auto"/>
              </w:rPr>
            </w:pPr>
          </w:p>
        </w:tc>
        <w:tc>
          <w:tcPr>
            <w:tcW w:w="604" w:type="pct"/>
            <w:vMerge w:val="continue"/>
            <w:vAlign w:val="center"/>
          </w:tcPr>
          <w:p w14:paraId="33088542">
            <w:pPr>
              <w:pStyle w:val="129"/>
              <w:widowControl w:val="0"/>
              <w:rPr>
                <w:color w:val="auto"/>
              </w:rPr>
            </w:pPr>
          </w:p>
        </w:tc>
        <w:tc>
          <w:tcPr>
            <w:tcW w:w="947" w:type="pct"/>
            <w:vMerge w:val="continue"/>
            <w:vAlign w:val="center"/>
          </w:tcPr>
          <w:p w14:paraId="68ED13C2">
            <w:pPr>
              <w:pStyle w:val="129"/>
              <w:widowControl w:val="0"/>
              <w:rPr>
                <w:color w:val="auto"/>
              </w:rPr>
            </w:pPr>
          </w:p>
        </w:tc>
        <w:tc>
          <w:tcPr>
            <w:tcW w:w="775" w:type="pct"/>
            <w:vMerge w:val="continue"/>
            <w:vAlign w:val="center"/>
          </w:tcPr>
          <w:p w14:paraId="6A1BF10F">
            <w:pPr>
              <w:pStyle w:val="129"/>
              <w:widowControl w:val="0"/>
              <w:rPr>
                <w:color w:val="auto"/>
              </w:rPr>
            </w:pPr>
          </w:p>
        </w:tc>
        <w:tc>
          <w:tcPr>
            <w:tcW w:w="517" w:type="pct"/>
            <w:vMerge w:val="continue"/>
            <w:vAlign w:val="center"/>
          </w:tcPr>
          <w:p w14:paraId="4CFBC8C1">
            <w:pPr>
              <w:pStyle w:val="129"/>
              <w:widowControl w:val="0"/>
              <w:rPr>
                <w:color w:val="auto"/>
              </w:rPr>
            </w:pPr>
          </w:p>
        </w:tc>
        <w:tc>
          <w:tcPr>
            <w:tcW w:w="518" w:type="pct"/>
            <w:vMerge w:val="continue"/>
            <w:vAlign w:val="center"/>
          </w:tcPr>
          <w:p w14:paraId="72517B10">
            <w:pPr>
              <w:pStyle w:val="129"/>
              <w:widowControl w:val="0"/>
              <w:rPr>
                <w:color w:val="auto"/>
              </w:rPr>
            </w:pPr>
          </w:p>
        </w:tc>
        <w:tc>
          <w:tcPr>
            <w:tcW w:w="1039" w:type="pct"/>
            <w:vMerge w:val="continue"/>
            <w:vAlign w:val="center"/>
          </w:tcPr>
          <w:p w14:paraId="3AEB04AE">
            <w:pPr>
              <w:pStyle w:val="129"/>
              <w:widowControl w:val="0"/>
              <w:rPr>
                <w:color w:val="auto"/>
              </w:rPr>
            </w:pPr>
          </w:p>
        </w:tc>
      </w:tr>
      <w:tr w14:paraId="1ADF753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restart"/>
            <w:vAlign w:val="center"/>
          </w:tcPr>
          <w:p w14:paraId="00F4B4BA">
            <w:pPr>
              <w:pStyle w:val="129"/>
              <w:widowControl w:val="0"/>
              <w:rPr>
                <w:color w:val="auto"/>
              </w:rPr>
            </w:pPr>
            <w:r>
              <w:rPr>
                <w:rFonts w:hint="eastAsia"/>
                <w:color w:val="auto"/>
              </w:rPr>
              <w:t>催化剂生产焙烧废气总排口</w:t>
            </w:r>
          </w:p>
        </w:tc>
        <w:tc>
          <w:tcPr>
            <w:tcW w:w="604" w:type="pct"/>
            <w:vMerge w:val="restart"/>
            <w:vAlign w:val="center"/>
          </w:tcPr>
          <w:p w14:paraId="46C5E25E">
            <w:pPr>
              <w:pStyle w:val="129"/>
              <w:widowControl w:val="0"/>
              <w:rPr>
                <w:color w:val="auto"/>
              </w:rPr>
            </w:pPr>
            <w:r>
              <w:rPr>
                <w:rFonts w:hint="eastAsia"/>
                <w:color w:val="auto"/>
              </w:rPr>
              <w:t>脱硝装置故障，效率为</w:t>
            </w:r>
            <w:r>
              <w:rPr>
                <w:color w:val="auto"/>
              </w:rPr>
              <w:t>0</w:t>
            </w:r>
          </w:p>
        </w:tc>
        <w:tc>
          <w:tcPr>
            <w:tcW w:w="947" w:type="pct"/>
            <w:vAlign w:val="center"/>
          </w:tcPr>
          <w:p w14:paraId="3089FCBA">
            <w:pPr>
              <w:pStyle w:val="129"/>
              <w:widowControl w:val="0"/>
              <w:rPr>
                <w:color w:val="auto"/>
              </w:rPr>
            </w:pPr>
            <w:r>
              <w:rPr>
                <w:rFonts w:hint="eastAsia"/>
                <w:color w:val="auto"/>
              </w:rPr>
              <w:t>颗粒物</w:t>
            </w:r>
          </w:p>
        </w:tc>
        <w:tc>
          <w:tcPr>
            <w:tcW w:w="775" w:type="pct"/>
            <w:vAlign w:val="center"/>
          </w:tcPr>
          <w:p w14:paraId="38B142F0">
            <w:pPr>
              <w:pStyle w:val="129"/>
              <w:widowControl w:val="0"/>
              <w:rPr>
                <w:color w:val="auto"/>
              </w:rPr>
            </w:pPr>
            <w:r>
              <w:rPr>
                <w:color w:val="auto"/>
              </w:rPr>
              <w:t>0.0</w:t>
            </w:r>
            <w:r>
              <w:rPr>
                <w:rFonts w:hint="eastAsia"/>
                <w:color w:val="auto"/>
              </w:rPr>
              <w:t>2</w:t>
            </w:r>
          </w:p>
        </w:tc>
        <w:tc>
          <w:tcPr>
            <w:tcW w:w="517" w:type="pct"/>
            <w:vMerge w:val="restart"/>
            <w:vAlign w:val="center"/>
          </w:tcPr>
          <w:p w14:paraId="0361C317">
            <w:pPr>
              <w:pStyle w:val="129"/>
              <w:widowControl w:val="0"/>
              <w:rPr>
                <w:color w:val="auto"/>
              </w:rPr>
            </w:pPr>
            <w:r>
              <w:rPr>
                <w:rFonts w:hint="eastAsia"/>
                <w:color w:val="auto"/>
              </w:rPr>
              <w:t>＜1</w:t>
            </w:r>
          </w:p>
        </w:tc>
        <w:tc>
          <w:tcPr>
            <w:tcW w:w="518" w:type="pct"/>
            <w:vMerge w:val="restart"/>
            <w:vAlign w:val="center"/>
          </w:tcPr>
          <w:p w14:paraId="5885EAEC">
            <w:pPr>
              <w:pStyle w:val="129"/>
              <w:widowControl w:val="0"/>
              <w:rPr>
                <w:color w:val="auto"/>
              </w:rPr>
            </w:pPr>
            <w:r>
              <w:rPr>
                <w:rFonts w:hint="eastAsia"/>
                <w:color w:val="auto"/>
              </w:rPr>
              <w:t>＜1</w:t>
            </w:r>
          </w:p>
        </w:tc>
        <w:tc>
          <w:tcPr>
            <w:tcW w:w="1039" w:type="pct"/>
            <w:vMerge w:val="restart"/>
            <w:vAlign w:val="center"/>
          </w:tcPr>
          <w:p w14:paraId="249247F6">
            <w:pPr>
              <w:pStyle w:val="129"/>
              <w:widowControl w:val="0"/>
              <w:rPr>
                <w:color w:val="auto"/>
              </w:rPr>
            </w:pPr>
            <w:r>
              <w:rPr>
                <w:rFonts w:hint="eastAsia"/>
                <w:color w:val="auto"/>
              </w:rPr>
              <w:t>暂停运行，分析故障原因，针对性地着手解决</w:t>
            </w:r>
          </w:p>
        </w:tc>
      </w:tr>
      <w:tr w14:paraId="231E14B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09A1B34E">
            <w:pPr>
              <w:pStyle w:val="129"/>
              <w:widowControl w:val="0"/>
              <w:rPr>
                <w:color w:val="auto"/>
              </w:rPr>
            </w:pPr>
          </w:p>
        </w:tc>
        <w:tc>
          <w:tcPr>
            <w:tcW w:w="604" w:type="pct"/>
            <w:vMerge w:val="continue"/>
            <w:vAlign w:val="center"/>
          </w:tcPr>
          <w:p w14:paraId="1B685A68">
            <w:pPr>
              <w:pStyle w:val="129"/>
              <w:widowControl w:val="0"/>
              <w:rPr>
                <w:color w:val="auto"/>
              </w:rPr>
            </w:pPr>
          </w:p>
        </w:tc>
        <w:tc>
          <w:tcPr>
            <w:tcW w:w="947" w:type="pct"/>
            <w:vAlign w:val="center"/>
          </w:tcPr>
          <w:p w14:paraId="0D60FB8F">
            <w:pPr>
              <w:pStyle w:val="129"/>
              <w:widowControl w:val="0"/>
              <w:rPr>
                <w:color w:val="auto"/>
              </w:rPr>
            </w:pPr>
            <w:r>
              <w:rPr>
                <w:rFonts w:hint="eastAsia"/>
                <w:color w:val="auto"/>
              </w:rPr>
              <w:t>钴及其化合物</w:t>
            </w:r>
          </w:p>
        </w:tc>
        <w:tc>
          <w:tcPr>
            <w:tcW w:w="775" w:type="pct"/>
            <w:vAlign w:val="center"/>
          </w:tcPr>
          <w:p w14:paraId="5C9F6421">
            <w:pPr>
              <w:pStyle w:val="129"/>
              <w:widowControl w:val="0"/>
              <w:rPr>
                <w:color w:val="auto"/>
              </w:rPr>
            </w:pPr>
            <w:r>
              <w:rPr>
                <w:color w:val="auto"/>
              </w:rPr>
              <w:t>0.0002</w:t>
            </w:r>
          </w:p>
        </w:tc>
        <w:tc>
          <w:tcPr>
            <w:tcW w:w="517" w:type="pct"/>
            <w:vMerge w:val="continue"/>
            <w:vAlign w:val="center"/>
          </w:tcPr>
          <w:p w14:paraId="69D13541">
            <w:pPr>
              <w:pStyle w:val="129"/>
              <w:widowControl w:val="0"/>
              <w:rPr>
                <w:color w:val="auto"/>
              </w:rPr>
            </w:pPr>
          </w:p>
        </w:tc>
        <w:tc>
          <w:tcPr>
            <w:tcW w:w="518" w:type="pct"/>
            <w:vMerge w:val="continue"/>
            <w:vAlign w:val="center"/>
          </w:tcPr>
          <w:p w14:paraId="19F4F4B4">
            <w:pPr>
              <w:pStyle w:val="129"/>
              <w:widowControl w:val="0"/>
              <w:rPr>
                <w:color w:val="auto"/>
              </w:rPr>
            </w:pPr>
          </w:p>
        </w:tc>
        <w:tc>
          <w:tcPr>
            <w:tcW w:w="1039" w:type="pct"/>
            <w:vMerge w:val="continue"/>
            <w:vAlign w:val="center"/>
          </w:tcPr>
          <w:p w14:paraId="655C5B0E">
            <w:pPr>
              <w:pStyle w:val="129"/>
              <w:widowControl w:val="0"/>
              <w:rPr>
                <w:color w:val="auto"/>
              </w:rPr>
            </w:pPr>
          </w:p>
        </w:tc>
      </w:tr>
      <w:tr w14:paraId="170441B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540E324F">
            <w:pPr>
              <w:pStyle w:val="129"/>
              <w:widowControl w:val="0"/>
              <w:rPr>
                <w:color w:val="auto"/>
              </w:rPr>
            </w:pPr>
          </w:p>
        </w:tc>
        <w:tc>
          <w:tcPr>
            <w:tcW w:w="604" w:type="pct"/>
            <w:vMerge w:val="continue"/>
            <w:vAlign w:val="center"/>
          </w:tcPr>
          <w:p w14:paraId="3FACDB83">
            <w:pPr>
              <w:pStyle w:val="129"/>
              <w:widowControl w:val="0"/>
              <w:rPr>
                <w:color w:val="auto"/>
              </w:rPr>
            </w:pPr>
          </w:p>
        </w:tc>
        <w:tc>
          <w:tcPr>
            <w:tcW w:w="947" w:type="pct"/>
            <w:vAlign w:val="center"/>
          </w:tcPr>
          <w:p w14:paraId="656E101F">
            <w:pPr>
              <w:pStyle w:val="129"/>
              <w:widowControl w:val="0"/>
              <w:rPr>
                <w:color w:val="auto"/>
              </w:rPr>
            </w:pPr>
            <w:r>
              <w:rPr>
                <w:rFonts w:hint="eastAsia"/>
                <w:color w:val="auto"/>
              </w:rPr>
              <w:t>钼及其化合物</w:t>
            </w:r>
          </w:p>
        </w:tc>
        <w:tc>
          <w:tcPr>
            <w:tcW w:w="775" w:type="pct"/>
            <w:vAlign w:val="center"/>
          </w:tcPr>
          <w:p w14:paraId="4A6D65CE">
            <w:pPr>
              <w:pStyle w:val="129"/>
              <w:widowControl w:val="0"/>
              <w:rPr>
                <w:color w:val="auto"/>
              </w:rPr>
            </w:pPr>
            <w:r>
              <w:rPr>
                <w:color w:val="auto"/>
              </w:rPr>
              <w:t>0.0000</w:t>
            </w:r>
            <w:r>
              <w:rPr>
                <w:rFonts w:hint="eastAsia"/>
                <w:color w:val="auto"/>
              </w:rPr>
              <w:t>5</w:t>
            </w:r>
          </w:p>
        </w:tc>
        <w:tc>
          <w:tcPr>
            <w:tcW w:w="517" w:type="pct"/>
            <w:vMerge w:val="continue"/>
            <w:vAlign w:val="center"/>
          </w:tcPr>
          <w:p w14:paraId="61E762EE">
            <w:pPr>
              <w:pStyle w:val="129"/>
              <w:widowControl w:val="0"/>
              <w:rPr>
                <w:color w:val="auto"/>
              </w:rPr>
            </w:pPr>
          </w:p>
        </w:tc>
        <w:tc>
          <w:tcPr>
            <w:tcW w:w="518" w:type="pct"/>
            <w:vMerge w:val="continue"/>
            <w:vAlign w:val="center"/>
          </w:tcPr>
          <w:p w14:paraId="04CB2F2A">
            <w:pPr>
              <w:pStyle w:val="129"/>
              <w:widowControl w:val="0"/>
              <w:rPr>
                <w:color w:val="auto"/>
              </w:rPr>
            </w:pPr>
          </w:p>
        </w:tc>
        <w:tc>
          <w:tcPr>
            <w:tcW w:w="1039" w:type="pct"/>
            <w:vMerge w:val="continue"/>
            <w:vAlign w:val="center"/>
          </w:tcPr>
          <w:p w14:paraId="01DD048D">
            <w:pPr>
              <w:pStyle w:val="129"/>
              <w:widowControl w:val="0"/>
              <w:rPr>
                <w:color w:val="auto"/>
              </w:rPr>
            </w:pPr>
          </w:p>
        </w:tc>
      </w:tr>
      <w:tr w14:paraId="387179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195A78BB">
            <w:pPr>
              <w:pStyle w:val="129"/>
              <w:widowControl w:val="0"/>
              <w:rPr>
                <w:color w:val="auto"/>
              </w:rPr>
            </w:pPr>
          </w:p>
        </w:tc>
        <w:tc>
          <w:tcPr>
            <w:tcW w:w="604" w:type="pct"/>
            <w:vMerge w:val="continue"/>
            <w:vAlign w:val="center"/>
          </w:tcPr>
          <w:p w14:paraId="3ED66797">
            <w:pPr>
              <w:pStyle w:val="129"/>
              <w:widowControl w:val="0"/>
              <w:rPr>
                <w:color w:val="auto"/>
              </w:rPr>
            </w:pPr>
          </w:p>
        </w:tc>
        <w:tc>
          <w:tcPr>
            <w:tcW w:w="947" w:type="pct"/>
            <w:vAlign w:val="center"/>
          </w:tcPr>
          <w:p w14:paraId="4250D489">
            <w:pPr>
              <w:pStyle w:val="129"/>
              <w:widowControl w:val="0"/>
              <w:rPr>
                <w:color w:val="auto"/>
              </w:rPr>
            </w:pPr>
            <w:r>
              <w:rPr>
                <w:rFonts w:hint="eastAsia"/>
                <w:color w:val="auto"/>
              </w:rPr>
              <w:t>镍及其化合物</w:t>
            </w:r>
          </w:p>
        </w:tc>
        <w:tc>
          <w:tcPr>
            <w:tcW w:w="775" w:type="pct"/>
            <w:vAlign w:val="center"/>
          </w:tcPr>
          <w:p w14:paraId="31F66CF4">
            <w:pPr>
              <w:pStyle w:val="129"/>
              <w:widowControl w:val="0"/>
              <w:rPr>
                <w:color w:val="auto"/>
              </w:rPr>
            </w:pPr>
            <w:r>
              <w:rPr>
                <w:color w:val="auto"/>
              </w:rPr>
              <w:t>0.0001</w:t>
            </w:r>
          </w:p>
        </w:tc>
        <w:tc>
          <w:tcPr>
            <w:tcW w:w="517" w:type="pct"/>
            <w:vMerge w:val="continue"/>
            <w:vAlign w:val="center"/>
          </w:tcPr>
          <w:p w14:paraId="55BE96AB">
            <w:pPr>
              <w:pStyle w:val="129"/>
              <w:widowControl w:val="0"/>
              <w:rPr>
                <w:color w:val="auto"/>
              </w:rPr>
            </w:pPr>
          </w:p>
        </w:tc>
        <w:tc>
          <w:tcPr>
            <w:tcW w:w="518" w:type="pct"/>
            <w:vMerge w:val="continue"/>
            <w:vAlign w:val="center"/>
          </w:tcPr>
          <w:p w14:paraId="0BA709A6">
            <w:pPr>
              <w:pStyle w:val="129"/>
              <w:widowControl w:val="0"/>
              <w:rPr>
                <w:color w:val="auto"/>
              </w:rPr>
            </w:pPr>
          </w:p>
        </w:tc>
        <w:tc>
          <w:tcPr>
            <w:tcW w:w="1039" w:type="pct"/>
            <w:vMerge w:val="continue"/>
            <w:vAlign w:val="center"/>
          </w:tcPr>
          <w:p w14:paraId="2229CB85">
            <w:pPr>
              <w:pStyle w:val="129"/>
              <w:widowControl w:val="0"/>
              <w:rPr>
                <w:color w:val="auto"/>
              </w:rPr>
            </w:pPr>
          </w:p>
        </w:tc>
      </w:tr>
      <w:tr w14:paraId="665BA4E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74443341">
            <w:pPr>
              <w:pStyle w:val="129"/>
              <w:widowControl w:val="0"/>
              <w:rPr>
                <w:color w:val="auto"/>
              </w:rPr>
            </w:pPr>
          </w:p>
        </w:tc>
        <w:tc>
          <w:tcPr>
            <w:tcW w:w="604" w:type="pct"/>
            <w:vMerge w:val="continue"/>
            <w:vAlign w:val="center"/>
          </w:tcPr>
          <w:p w14:paraId="776F439D">
            <w:pPr>
              <w:pStyle w:val="129"/>
              <w:widowControl w:val="0"/>
              <w:rPr>
                <w:color w:val="auto"/>
              </w:rPr>
            </w:pPr>
          </w:p>
        </w:tc>
        <w:tc>
          <w:tcPr>
            <w:tcW w:w="947" w:type="pct"/>
            <w:vAlign w:val="center"/>
          </w:tcPr>
          <w:p w14:paraId="0281D9BF">
            <w:pPr>
              <w:pStyle w:val="129"/>
              <w:widowControl w:val="0"/>
              <w:rPr>
                <w:color w:val="auto"/>
              </w:rPr>
            </w:pPr>
            <w:r>
              <w:rPr>
                <w:rFonts w:hint="eastAsia"/>
                <w:color w:val="auto"/>
              </w:rPr>
              <w:t>锰及其化合物</w:t>
            </w:r>
          </w:p>
        </w:tc>
        <w:tc>
          <w:tcPr>
            <w:tcW w:w="775" w:type="pct"/>
            <w:vAlign w:val="center"/>
          </w:tcPr>
          <w:p w14:paraId="4A8B23AB">
            <w:pPr>
              <w:pStyle w:val="129"/>
              <w:widowControl w:val="0"/>
              <w:rPr>
                <w:color w:val="auto"/>
              </w:rPr>
            </w:pPr>
            <w:r>
              <w:rPr>
                <w:color w:val="auto"/>
              </w:rPr>
              <w:t>0.0001</w:t>
            </w:r>
          </w:p>
        </w:tc>
        <w:tc>
          <w:tcPr>
            <w:tcW w:w="517" w:type="pct"/>
            <w:vMerge w:val="continue"/>
            <w:vAlign w:val="center"/>
          </w:tcPr>
          <w:p w14:paraId="56E42233">
            <w:pPr>
              <w:pStyle w:val="129"/>
              <w:widowControl w:val="0"/>
              <w:rPr>
                <w:color w:val="auto"/>
              </w:rPr>
            </w:pPr>
          </w:p>
        </w:tc>
        <w:tc>
          <w:tcPr>
            <w:tcW w:w="518" w:type="pct"/>
            <w:vMerge w:val="continue"/>
            <w:vAlign w:val="center"/>
          </w:tcPr>
          <w:p w14:paraId="0900EF86">
            <w:pPr>
              <w:pStyle w:val="129"/>
              <w:widowControl w:val="0"/>
              <w:rPr>
                <w:color w:val="auto"/>
              </w:rPr>
            </w:pPr>
          </w:p>
        </w:tc>
        <w:tc>
          <w:tcPr>
            <w:tcW w:w="1039" w:type="pct"/>
            <w:vMerge w:val="continue"/>
            <w:vAlign w:val="center"/>
          </w:tcPr>
          <w:p w14:paraId="03F197DD">
            <w:pPr>
              <w:pStyle w:val="129"/>
              <w:widowControl w:val="0"/>
              <w:rPr>
                <w:color w:val="auto"/>
              </w:rPr>
            </w:pPr>
          </w:p>
        </w:tc>
      </w:tr>
      <w:tr w14:paraId="5627B24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64D1B417">
            <w:pPr>
              <w:pStyle w:val="129"/>
              <w:widowControl w:val="0"/>
              <w:rPr>
                <w:color w:val="auto"/>
              </w:rPr>
            </w:pPr>
          </w:p>
        </w:tc>
        <w:tc>
          <w:tcPr>
            <w:tcW w:w="604" w:type="pct"/>
            <w:vMerge w:val="continue"/>
            <w:vAlign w:val="center"/>
          </w:tcPr>
          <w:p w14:paraId="5BF6BA75">
            <w:pPr>
              <w:pStyle w:val="129"/>
              <w:widowControl w:val="0"/>
              <w:rPr>
                <w:color w:val="auto"/>
              </w:rPr>
            </w:pPr>
          </w:p>
        </w:tc>
        <w:tc>
          <w:tcPr>
            <w:tcW w:w="947" w:type="pct"/>
            <w:vAlign w:val="center"/>
          </w:tcPr>
          <w:p w14:paraId="235C0E1F">
            <w:pPr>
              <w:pStyle w:val="129"/>
              <w:widowControl w:val="0"/>
              <w:rPr>
                <w:color w:val="auto"/>
              </w:rPr>
            </w:pPr>
            <w:r>
              <w:rPr>
                <w:rFonts w:hint="eastAsia"/>
                <w:color w:val="auto"/>
              </w:rPr>
              <w:t>铜及其化合物</w:t>
            </w:r>
          </w:p>
        </w:tc>
        <w:tc>
          <w:tcPr>
            <w:tcW w:w="775" w:type="pct"/>
            <w:vAlign w:val="center"/>
          </w:tcPr>
          <w:p w14:paraId="1D967928">
            <w:pPr>
              <w:pStyle w:val="129"/>
              <w:widowControl w:val="0"/>
              <w:rPr>
                <w:color w:val="auto"/>
              </w:rPr>
            </w:pPr>
            <w:r>
              <w:rPr>
                <w:color w:val="auto"/>
              </w:rPr>
              <w:t>0.0000</w:t>
            </w:r>
            <w:r>
              <w:rPr>
                <w:rFonts w:hint="eastAsia"/>
                <w:color w:val="auto"/>
              </w:rPr>
              <w:t>3</w:t>
            </w:r>
          </w:p>
        </w:tc>
        <w:tc>
          <w:tcPr>
            <w:tcW w:w="517" w:type="pct"/>
            <w:vMerge w:val="continue"/>
            <w:vAlign w:val="center"/>
          </w:tcPr>
          <w:p w14:paraId="30B2A85B">
            <w:pPr>
              <w:pStyle w:val="129"/>
              <w:widowControl w:val="0"/>
              <w:rPr>
                <w:color w:val="auto"/>
              </w:rPr>
            </w:pPr>
          </w:p>
        </w:tc>
        <w:tc>
          <w:tcPr>
            <w:tcW w:w="518" w:type="pct"/>
            <w:vMerge w:val="continue"/>
            <w:vAlign w:val="center"/>
          </w:tcPr>
          <w:p w14:paraId="50F18712">
            <w:pPr>
              <w:pStyle w:val="129"/>
              <w:widowControl w:val="0"/>
              <w:rPr>
                <w:color w:val="auto"/>
              </w:rPr>
            </w:pPr>
          </w:p>
        </w:tc>
        <w:tc>
          <w:tcPr>
            <w:tcW w:w="1039" w:type="pct"/>
            <w:vMerge w:val="continue"/>
            <w:vAlign w:val="center"/>
          </w:tcPr>
          <w:p w14:paraId="5CD7997A">
            <w:pPr>
              <w:pStyle w:val="129"/>
              <w:widowControl w:val="0"/>
              <w:rPr>
                <w:color w:val="auto"/>
              </w:rPr>
            </w:pPr>
          </w:p>
        </w:tc>
      </w:tr>
      <w:tr w14:paraId="143A34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4BEF99F9">
            <w:pPr>
              <w:pStyle w:val="129"/>
              <w:widowControl w:val="0"/>
              <w:rPr>
                <w:color w:val="auto"/>
              </w:rPr>
            </w:pPr>
          </w:p>
        </w:tc>
        <w:tc>
          <w:tcPr>
            <w:tcW w:w="604" w:type="pct"/>
            <w:vMerge w:val="continue"/>
            <w:vAlign w:val="center"/>
          </w:tcPr>
          <w:p w14:paraId="41F2BE2C">
            <w:pPr>
              <w:pStyle w:val="129"/>
              <w:widowControl w:val="0"/>
              <w:rPr>
                <w:color w:val="auto"/>
              </w:rPr>
            </w:pPr>
          </w:p>
        </w:tc>
        <w:tc>
          <w:tcPr>
            <w:tcW w:w="947" w:type="pct"/>
            <w:vAlign w:val="center"/>
          </w:tcPr>
          <w:p w14:paraId="18767A39">
            <w:pPr>
              <w:pStyle w:val="129"/>
              <w:widowControl w:val="0"/>
              <w:rPr>
                <w:color w:val="auto"/>
              </w:rPr>
            </w:pPr>
            <w:r>
              <w:rPr>
                <w:rFonts w:hint="eastAsia"/>
                <w:color w:val="auto"/>
              </w:rPr>
              <w:t>锆及其化合物</w:t>
            </w:r>
          </w:p>
        </w:tc>
        <w:tc>
          <w:tcPr>
            <w:tcW w:w="775" w:type="pct"/>
            <w:vAlign w:val="center"/>
          </w:tcPr>
          <w:p w14:paraId="143BA730">
            <w:pPr>
              <w:pStyle w:val="129"/>
              <w:widowControl w:val="0"/>
              <w:rPr>
                <w:color w:val="auto"/>
              </w:rPr>
            </w:pPr>
            <w:r>
              <w:rPr>
                <w:color w:val="auto"/>
              </w:rPr>
              <w:t>0.0000</w:t>
            </w:r>
            <w:r>
              <w:rPr>
                <w:rFonts w:hint="eastAsia"/>
                <w:color w:val="auto"/>
              </w:rPr>
              <w:t>5</w:t>
            </w:r>
          </w:p>
        </w:tc>
        <w:tc>
          <w:tcPr>
            <w:tcW w:w="517" w:type="pct"/>
            <w:vMerge w:val="continue"/>
            <w:vAlign w:val="center"/>
          </w:tcPr>
          <w:p w14:paraId="4F89A50B">
            <w:pPr>
              <w:pStyle w:val="129"/>
              <w:widowControl w:val="0"/>
              <w:rPr>
                <w:color w:val="auto"/>
              </w:rPr>
            </w:pPr>
          </w:p>
        </w:tc>
        <w:tc>
          <w:tcPr>
            <w:tcW w:w="518" w:type="pct"/>
            <w:vMerge w:val="continue"/>
            <w:vAlign w:val="center"/>
          </w:tcPr>
          <w:p w14:paraId="6E8D7135">
            <w:pPr>
              <w:pStyle w:val="129"/>
              <w:widowControl w:val="0"/>
              <w:rPr>
                <w:color w:val="auto"/>
              </w:rPr>
            </w:pPr>
          </w:p>
        </w:tc>
        <w:tc>
          <w:tcPr>
            <w:tcW w:w="1039" w:type="pct"/>
            <w:vMerge w:val="continue"/>
            <w:vAlign w:val="center"/>
          </w:tcPr>
          <w:p w14:paraId="433CF2C4">
            <w:pPr>
              <w:pStyle w:val="129"/>
              <w:widowControl w:val="0"/>
              <w:rPr>
                <w:color w:val="auto"/>
              </w:rPr>
            </w:pPr>
          </w:p>
        </w:tc>
      </w:tr>
      <w:tr w14:paraId="28BC42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17FA10AB">
            <w:pPr>
              <w:pStyle w:val="129"/>
              <w:widowControl w:val="0"/>
              <w:rPr>
                <w:color w:val="auto"/>
              </w:rPr>
            </w:pPr>
          </w:p>
        </w:tc>
        <w:tc>
          <w:tcPr>
            <w:tcW w:w="604" w:type="pct"/>
            <w:vMerge w:val="continue"/>
            <w:vAlign w:val="center"/>
          </w:tcPr>
          <w:p w14:paraId="6F5E2624">
            <w:pPr>
              <w:pStyle w:val="129"/>
              <w:widowControl w:val="0"/>
              <w:rPr>
                <w:color w:val="auto"/>
              </w:rPr>
            </w:pPr>
          </w:p>
        </w:tc>
        <w:tc>
          <w:tcPr>
            <w:tcW w:w="947" w:type="pct"/>
            <w:vAlign w:val="center"/>
          </w:tcPr>
          <w:p w14:paraId="09EA31DC">
            <w:pPr>
              <w:pStyle w:val="129"/>
              <w:widowControl w:val="0"/>
              <w:rPr>
                <w:color w:val="auto"/>
              </w:rPr>
            </w:pPr>
            <w:r>
              <w:rPr>
                <w:rStyle w:val="1313"/>
                <w:rFonts w:hint="default" w:ascii="Times New Roman" w:hAnsi="Times New Roman" w:cs="Times New Roman"/>
                <w:color w:val="auto"/>
              </w:rPr>
              <w:t>NH</w:t>
            </w:r>
            <w:r>
              <w:rPr>
                <w:rStyle w:val="1485"/>
                <w:rFonts w:hint="default" w:ascii="Times New Roman" w:hAnsi="Times New Roman"/>
                <w:color w:val="auto"/>
                <w:sz w:val="21"/>
                <w:szCs w:val="21"/>
                <w:vertAlign w:val="subscript"/>
              </w:rPr>
              <w:t>3</w:t>
            </w:r>
          </w:p>
        </w:tc>
        <w:tc>
          <w:tcPr>
            <w:tcW w:w="775" w:type="pct"/>
            <w:vAlign w:val="center"/>
          </w:tcPr>
          <w:p w14:paraId="78878548">
            <w:pPr>
              <w:pStyle w:val="129"/>
              <w:widowControl w:val="0"/>
              <w:rPr>
                <w:color w:val="auto"/>
              </w:rPr>
            </w:pPr>
            <w:r>
              <w:rPr>
                <w:color w:val="auto"/>
              </w:rPr>
              <w:t>0.01</w:t>
            </w:r>
          </w:p>
        </w:tc>
        <w:tc>
          <w:tcPr>
            <w:tcW w:w="517" w:type="pct"/>
            <w:vMerge w:val="continue"/>
            <w:vAlign w:val="center"/>
          </w:tcPr>
          <w:p w14:paraId="02111C7D">
            <w:pPr>
              <w:pStyle w:val="129"/>
              <w:widowControl w:val="0"/>
              <w:rPr>
                <w:color w:val="auto"/>
              </w:rPr>
            </w:pPr>
          </w:p>
        </w:tc>
        <w:tc>
          <w:tcPr>
            <w:tcW w:w="518" w:type="pct"/>
            <w:vMerge w:val="continue"/>
            <w:vAlign w:val="center"/>
          </w:tcPr>
          <w:p w14:paraId="657E884D">
            <w:pPr>
              <w:pStyle w:val="129"/>
              <w:widowControl w:val="0"/>
              <w:rPr>
                <w:color w:val="auto"/>
              </w:rPr>
            </w:pPr>
          </w:p>
        </w:tc>
        <w:tc>
          <w:tcPr>
            <w:tcW w:w="1039" w:type="pct"/>
            <w:vMerge w:val="continue"/>
            <w:vAlign w:val="center"/>
          </w:tcPr>
          <w:p w14:paraId="423FE836">
            <w:pPr>
              <w:pStyle w:val="129"/>
              <w:widowControl w:val="0"/>
              <w:rPr>
                <w:color w:val="auto"/>
              </w:rPr>
            </w:pPr>
          </w:p>
        </w:tc>
      </w:tr>
      <w:tr w14:paraId="2407A5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97" w:hRule="atLeast"/>
        </w:trPr>
        <w:tc>
          <w:tcPr>
            <w:tcW w:w="600" w:type="pct"/>
            <w:vMerge w:val="continue"/>
            <w:vAlign w:val="center"/>
          </w:tcPr>
          <w:p w14:paraId="5945600B">
            <w:pPr>
              <w:pStyle w:val="129"/>
              <w:widowControl w:val="0"/>
              <w:rPr>
                <w:color w:val="auto"/>
              </w:rPr>
            </w:pPr>
          </w:p>
        </w:tc>
        <w:tc>
          <w:tcPr>
            <w:tcW w:w="604" w:type="pct"/>
            <w:vMerge w:val="continue"/>
            <w:vAlign w:val="center"/>
          </w:tcPr>
          <w:p w14:paraId="55826FF2">
            <w:pPr>
              <w:pStyle w:val="129"/>
              <w:widowControl w:val="0"/>
              <w:rPr>
                <w:color w:val="auto"/>
              </w:rPr>
            </w:pPr>
          </w:p>
        </w:tc>
        <w:tc>
          <w:tcPr>
            <w:tcW w:w="947" w:type="pct"/>
            <w:vAlign w:val="center"/>
          </w:tcPr>
          <w:p w14:paraId="080D6A9D">
            <w:pPr>
              <w:pStyle w:val="129"/>
              <w:widowControl w:val="0"/>
              <w:rPr>
                <w:color w:val="auto"/>
              </w:rPr>
            </w:pPr>
            <w:r>
              <w:rPr>
                <w:color w:val="auto"/>
              </w:rPr>
              <w:t>NOx</w:t>
            </w:r>
          </w:p>
        </w:tc>
        <w:tc>
          <w:tcPr>
            <w:tcW w:w="775" w:type="pct"/>
            <w:vAlign w:val="center"/>
          </w:tcPr>
          <w:p w14:paraId="05BFB865">
            <w:pPr>
              <w:pStyle w:val="129"/>
              <w:widowControl w:val="0"/>
              <w:rPr>
                <w:color w:val="auto"/>
              </w:rPr>
            </w:pPr>
            <w:r>
              <w:rPr>
                <w:rFonts w:hint="eastAsia"/>
                <w:color w:val="auto"/>
              </w:rPr>
              <w:t>4.94</w:t>
            </w:r>
          </w:p>
        </w:tc>
        <w:tc>
          <w:tcPr>
            <w:tcW w:w="517" w:type="pct"/>
            <w:vMerge w:val="continue"/>
            <w:vAlign w:val="center"/>
          </w:tcPr>
          <w:p w14:paraId="2711A660">
            <w:pPr>
              <w:pStyle w:val="129"/>
              <w:widowControl w:val="0"/>
              <w:rPr>
                <w:color w:val="auto"/>
              </w:rPr>
            </w:pPr>
          </w:p>
        </w:tc>
        <w:tc>
          <w:tcPr>
            <w:tcW w:w="518" w:type="pct"/>
            <w:vMerge w:val="continue"/>
            <w:vAlign w:val="center"/>
          </w:tcPr>
          <w:p w14:paraId="6B2886BE">
            <w:pPr>
              <w:pStyle w:val="129"/>
              <w:widowControl w:val="0"/>
              <w:rPr>
                <w:color w:val="auto"/>
              </w:rPr>
            </w:pPr>
          </w:p>
        </w:tc>
        <w:tc>
          <w:tcPr>
            <w:tcW w:w="1039" w:type="pct"/>
            <w:vMerge w:val="continue"/>
            <w:vAlign w:val="center"/>
          </w:tcPr>
          <w:p w14:paraId="0CC60703">
            <w:pPr>
              <w:pStyle w:val="129"/>
              <w:widowControl w:val="0"/>
              <w:rPr>
                <w:color w:val="auto"/>
              </w:rPr>
            </w:pPr>
          </w:p>
        </w:tc>
      </w:tr>
    </w:tbl>
    <w:p w14:paraId="54622E4C">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5597026F">
      <w:pPr>
        <w:pStyle w:val="4"/>
        <w:rPr>
          <w:color w:val="auto"/>
        </w:rPr>
      </w:pPr>
      <w:r>
        <w:rPr>
          <w:rFonts w:hint="eastAsia"/>
          <w:color w:val="auto"/>
        </w:rPr>
        <w:t>大气环境影响预测结论判定</w:t>
      </w:r>
    </w:p>
    <w:p w14:paraId="1D453A96">
      <w:pPr>
        <w:pStyle w:val="132"/>
        <w:rPr>
          <w:color w:val="auto"/>
        </w:rPr>
      </w:pPr>
      <w:r>
        <w:rPr>
          <w:rFonts w:hint="eastAsia"/>
          <w:color w:val="auto"/>
        </w:rPr>
        <w:t>根据《环境影响评价技术导则 大气环境》（HJ2.2-2018）10.1小节，对建设项目环境影响评价同时满足以下条件时，则认为环境影响可以接受。具体判定过程见</w:t>
      </w:r>
      <w:r>
        <w:rPr>
          <w:color w:val="auto"/>
        </w:rPr>
        <w:t>表 5.2</w:t>
      </w:r>
      <w:r>
        <w:rPr>
          <w:rFonts w:hint="eastAsia"/>
          <w:color w:val="auto"/>
        </w:rPr>
        <w:t>-24。</w:t>
      </w:r>
    </w:p>
    <w:p w14:paraId="03E5534E">
      <w:pPr>
        <w:rPr>
          <w:color w:val="auto"/>
          <w:sz w:val="24"/>
          <w:szCs w:val="24"/>
        </w:rPr>
        <w:sectPr>
          <w:type w:val="continuous"/>
          <w:pgSz w:w="11906" w:h="16838"/>
          <w:pgMar w:top="1440" w:right="1588" w:bottom="1389" w:left="1588" w:header="851" w:footer="992" w:gutter="0"/>
          <w:cols w:space="720" w:num="1"/>
          <w:docGrid w:type="lines" w:linePitch="312" w:charSpace="0"/>
        </w:sectPr>
      </w:pPr>
    </w:p>
    <w:p w14:paraId="0FB97D67">
      <w:pPr>
        <w:pStyle w:val="1060"/>
        <w:rPr>
          <w:color w:val="auto"/>
          <w:szCs w:val="23"/>
        </w:rPr>
      </w:pPr>
      <w:bookmarkStart w:id="309" w:name="_Ref220518674"/>
      <w:bookmarkEnd w:id="309"/>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23</w:t>
      </w:r>
      <w:r>
        <w:rPr>
          <w:color w:val="auto"/>
        </w:rPr>
        <w:fldChar w:fldCharType="end"/>
      </w:r>
      <w:r>
        <w:rPr>
          <w:color w:val="auto"/>
          <w:szCs w:val="23"/>
        </w:rPr>
        <w:t xml:space="preserve"> </w:t>
      </w:r>
      <w:r>
        <w:rPr>
          <w:rFonts w:ascii="黑体" w:hAnsi="黑体"/>
          <w:color w:val="auto"/>
          <w:szCs w:val="23"/>
        </w:rPr>
        <w:t>环境影响评价判定一览表</w:t>
      </w:r>
    </w:p>
    <w:tbl>
      <w:tblPr>
        <w:tblStyle w:val="242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418"/>
        <w:gridCol w:w="3422"/>
        <w:gridCol w:w="856"/>
        <w:gridCol w:w="996"/>
        <w:gridCol w:w="999"/>
        <w:gridCol w:w="927"/>
        <w:gridCol w:w="927"/>
        <w:gridCol w:w="856"/>
        <w:gridCol w:w="854"/>
        <w:gridCol w:w="856"/>
        <w:gridCol w:w="713"/>
        <w:gridCol w:w="713"/>
        <w:gridCol w:w="1183"/>
      </w:tblGrid>
      <w:tr w14:paraId="44483AE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52" w:type="pct"/>
            <w:vMerge w:val="restart"/>
            <w:tcBorders>
              <w:top w:val="single" w:color="000000" w:sz="8" w:space="0"/>
              <w:left w:val="single" w:color="000000" w:sz="8" w:space="0"/>
              <w:bottom w:val="single" w:color="000000" w:sz="2" w:space="0"/>
              <w:right w:val="single" w:color="000000" w:sz="2" w:space="0"/>
            </w:tcBorders>
            <w:vAlign w:val="center"/>
          </w:tcPr>
          <w:p w14:paraId="5A0C9662">
            <w:pPr>
              <w:pStyle w:val="129"/>
              <w:widowControl w:val="0"/>
              <w:rPr>
                <w:rFonts w:eastAsia="Times New Roman"/>
                <w:color w:val="auto"/>
              </w:rPr>
            </w:pPr>
            <w:r>
              <w:rPr>
                <w:rFonts w:hint="eastAsia" w:eastAsia="Times New Roman"/>
                <w:color w:val="auto"/>
              </w:rPr>
              <w:t>序号</w:t>
            </w:r>
          </w:p>
        </w:tc>
        <w:tc>
          <w:tcPr>
            <w:tcW w:w="1247" w:type="pct"/>
            <w:vMerge w:val="restart"/>
            <w:tcBorders>
              <w:top w:val="single" w:color="000000" w:sz="8" w:space="0"/>
              <w:left w:val="single" w:color="000000" w:sz="2" w:space="0"/>
              <w:bottom w:val="single" w:color="000000" w:sz="2" w:space="0"/>
              <w:right w:val="single" w:color="000000" w:sz="2" w:space="0"/>
            </w:tcBorders>
            <w:vAlign w:val="center"/>
          </w:tcPr>
          <w:p w14:paraId="2FF20FC2">
            <w:pPr>
              <w:pStyle w:val="129"/>
              <w:widowControl w:val="0"/>
              <w:rPr>
                <w:rFonts w:eastAsia="Times New Roman"/>
                <w:color w:val="auto"/>
              </w:rPr>
            </w:pPr>
            <w:r>
              <w:rPr>
                <w:rFonts w:hint="eastAsia" w:eastAsia="Times New Roman"/>
                <w:color w:val="auto"/>
              </w:rPr>
              <w:t>判定要求</w:t>
            </w:r>
          </w:p>
        </w:tc>
        <w:tc>
          <w:tcPr>
            <w:tcW w:w="312" w:type="pct"/>
            <w:vMerge w:val="restart"/>
            <w:tcBorders>
              <w:top w:val="single" w:color="000000" w:sz="8" w:space="0"/>
              <w:left w:val="single" w:color="000000" w:sz="2" w:space="0"/>
              <w:bottom w:val="single" w:color="000000" w:sz="2" w:space="0"/>
              <w:right w:val="single" w:color="000000" w:sz="2" w:space="0"/>
            </w:tcBorders>
            <w:vAlign w:val="center"/>
          </w:tcPr>
          <w:p w14:paraId="74535D5D">
            <w:pPr>
              <w:pStyle w:val="129"/>
              <w:widowControl w:val="0"/>
              <w:rPr>
                <w:rFonts w:eastAsia="Times New Roman"/>
                <w:color w:val="auto"/>
              </w:rPr>
            </w:pPr>
            <w:r>
              <w:rPr>
                <w:rFonts w:hint="eastAsia" w:eastAsia="Times New Roman"/>
                <w:color w:val="auto"/>
              </w:rPr>
              <w:t>类别</w:t>
            </w:r>
          </w:p>
        </w:tc>
        <w:tc>
          <w:tcPr>
            <w:tcW w:w="2857" w:type="pct"/>
            <w:gridSpan w:val="9"/>
            <w:tcBorders>
              <w:top w:val="single" w:color="000000" w:sz="8" w:space="0"/>
              <w:left w:val="single" w:color="000000" w:sz="2" w:space="0"/>
              <w:bottom w:val="single" w:color="000000" w:sz="2" w:space="0"/>
              <w:right w:val="single" w:color="000000" w:sz="2" w:space="0"/>
            </w:tcBorders>
            <w:vAlign w:val="center"/>
          </w:tcPr>
          <w:p w14:paraId="3D31BB76">
            <w:pPr>
              <w:pStyle w:val="129"/>
              <w:widowControl w:val="0"/>
              <w:rPr>
                <w:rFonts w:eastAsia="Times New Roman"/>
                <w:color w:val="auto"/>
              </w:rPr>
            </w:pPr>
            <w:r>
              <w:rPr>
                <w:rFonts w:hint="eastAsia" w:eastAsia="Times New Roman"/>
                <w:color w:val="auto"/>
              </w:rPr>
              <w:t>本项目判定结果</w:t>
            </w:r>
          </w:p>
        </w:tc>
        <w:tc>
          <w:tcPr>
            <w:tcW w:w="431" w:type="pct"/>
            <w:vMerge w:val="restart"/>
            <w:tcBorders>
              <w:top w:val="single" w:color="000000" w:sz="8" w:space="0"/>
              <w:left w:val="single" w:color="000000" w:sz="2" w:space="0"/>
              <w:bottom w:val="single" w:color="000000" w:sz="2" w:space="0"/>
              <w:right w:val="single" w:color="000000" w:sz="8" w:space="0"/>
            </w:tcBorders>
            <w:vAlign w:val="center"/>
          </w:tcPr>
          <w:p w14:paraId="37F16F51">
            <w:pPr>
              <w:pStyle w:val="129"/>
              <w:widowControl w:val="0"/>
              <w:rPr>
                <w:rFonts w:eastAsia="Times New Roman"/>
                <w:color w:val="auto"/>
              </w:rPr>
            </w:pPr>
            <w:r>
              <w:rPr>
                <w:rFonts w:hint="eastAsia" w:eastAsia="Times New Roman"/>
                <w:color w:val="auto"/>
              </w:rPr>
              <w:t>判定结论</w:t>
            </w:r>
          </w:p>
        </w:tc>
      </w:tr>
      <w:tr w14:paraId="3A303BE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52" w:type="pct"/>
            <w:vMerge w:val="continue"/>
            <w:tcBorders>
              <w:top w:val="single" w:color="000000" w:sz="8" w:space="0"/>
              <w:left w:val="single" w:color="000000" w:sz="8" w:space="0"/>
              <w:bottom w:val="single" w:color="000000" w:sz="2" w:space="0"/>
              <w:right w:val="single" w:color="000000" w:sz="2" w:space="0"/>
            </w:tcBorders>
            <w:vAlign w:val="center"/>
          </w:tcPr>
          <w:p w14:paraId="2208D73C">
            <w:pPr>
              <w:pStyle w:val="129"/>
              <w:widowControl w:val="0"/>
              <w:rPr>
                <w:rFonts w:eastAsia="Times New Roman"/>
                <w:color w:val="auto"/>
              </w:rPr>
            </w:pPr>
          </w:p>
        </w:tc>
        <w:tc>
          <w:tcPr>
            <w:tcW w:w="1247" w:type="pct"/>
            <w:vMerge w:val="continue"/>
            <w:tcBorders>
              <w:top w:val="single" w:color="000000" w:sz="8" w:space="0"/>
              <w:left w:val="single" w:color="000000" w:sz="2" w:space="0"/>
              <w:bottom w:val="single" w:color="000000" w:sz="2" w:space="0"/>
              <w:right w:val="single" w:color="000000" w:sz="2" w:space="0"/>
            </w:tcBorders>
            <w:vAlign w:val="center"/>
          </w:tcPr>
          <w:p w14:paraId="4835E36D">
            <w:pPr>
              <w:pStyle w:val="129"/>
              <w:widowControl w:val="0"/>
              <w:rPr>
                <w:rFonts w:eastAsia="Times New Roman"/>
                <w:color w:val="auto"/>
              </w:rPr>
            </w:pPr>
          </w:p>
        </w:tc>
        <w:tc>
          <w:tcPr>
            <w:tcW w:w="312" w:type="pct"/>
            <w:vMerge w:val="continue"/>
            <w:tcBorders>
              <w:top w:val="single" w:color="000000" w:sz="8" w:space="0"/>
              <w:left w:val="single" w:color="000000" w:sz="2" w:space="0"/>
              <w:bottom w:val="single" w:color="000000" w:sz="2" w:space="0"/>
              <w:right w:val="single" w:color="000000" w:sz="2" w:space="0"/>
            </w:tcBorders>
            <w:vAlign w:val="center"/>
          </w:tcPr>
          <w:p w14:paraId="5662A324">
            <w:pPr>
              <w:pStyle w:val="129"/>
              <w:widowControl w:val="0"/>
              <w:rPr>
                <w:rFonts w:eastAsia="Times New Roman"/>
                <w:color w:val="auto"/>
              </w:rPr>
            </w:pPr>
          </w:p>
        </w:tc>
        <w:tc>
          <w:tcPr>
            <w:tcW w:w="727" w:type="pct"/>
            <w:gridSpan w:val="2"/>
            <w:tcBorders>
              <w:top w:val="single" w:color="000000" w:sz="2" w:space="0"/>
              <w:left w:val="single" w:color="000000" w:sz="2" w:space="0"/>
              <w:bottom w:val="single" w:color="000000" w:sz="2" w:space="0"/>
              <w:right w:val="single" w:color="000000" w:sz="2" w:space="0"/>
            </w:tcBorders>
            <w:vAlign w:val="center"/>
          </w:tcPr>
          <w:p w14:paraId="21196E0D">
            <w:pPr>
              <w:pStyle w:val="129"/>
              <w:widowControl w:val="0"/>
              <w:rPr>
                <w:rFonts w:eastAsia="Times New Roman"/>
                <w:color w:val="auto"/>
              </w:rPr>
            </w:pPr>
            <w:r>
              <w:rPr>
                <w:rFonts w:hint="eastAsia" w:eastAsia="Times New Roman"/>
                <w:color w:val="auto"/>
              </w:rPr>
              <w:t>不达标污染物%</w:t>
            </w:r>
          </w:p>
        </w:tc>
        <w:tc>
          <w:tcPr>
            <w:tcW w:w="2131" w:type="pct"/>
            <w:gridSpan w:val="7"/>
            <w:tcBorders>
              <w:top w:val="single" w:color="000000" w:sz="2" w:space="0"/>
              <w:left w:val="single" w:color="000000" w:sz="2" w:space="0"/>
              <w:bottom w:val="single" w:color="000000" w:sz="2" w:space="0"/>
              <w:right w:val="single" w:color="000000" w:sz="2" w:space="0"/>
            </w:tcBorders>
            <w:vAlign w:val="center"/>
          </w:tcPr>
          <w:p w14:paraId="679FB79F">
            <w:pPr>
              <w:pStyle w:val="129"/>
              <w:widowControl w:val="0"/>
              <w:rPr>
                <w:rFonts w:eastAsia="Times New Roman"/>
                <w:color w:val="auto"/>
              </w:rPr>
            </w:pPr>
            <w:r>
              <w:rPr>
                <w:rFonts w:hint="eastAsia" w:eastAsia="Times New Roman"/>
                <w:color w:val="auto"/>
              </w:rPr>
              <w:t>达标污染物%</w:t>
            </w:r>
          </w:p>
        </w:tc>
        <w:tc>
          <w:tcPr>
            <w:tcW w:w="431" w:type="pct"/>
            <w:vMerge w:val="continue"/>
            <w:tcBorders>
              <w:top w:val="single" w:color="000000" w:sz="8" w:space="0"/>
              <w:left w:val="single" w:color="000000" w:sz="2" w:space="0"/>
              <w:bottom w:val="single" w:color="000000" w:sz="2" w:space="0"/>
              <w:right w:val="single" w:color="000000" w:sz="8" w:space="0"/>
            </w:tcBorders>
            <w:vAlign w:val="center"/>
          </w:tcPr>
          <w:p w14:paraId="755432DD">
            <w:pPr>
              <w:pStyle w:val="129"/>
              <w:widowControl w:val="0"/>
              <w:rPr>
                <w:rFonts w:eastAsia="Times New Roman"/>
                <w:color w:val="auto"/>
              </w:rPr>
            </w:pPr>
          </w:p>
        </w:tc>
      </w:tr>
      <w:tr w14:paraId="38763B9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52" w:type="pct"/>
            <w:vMerge w:val="continue"/>
            <w:tcBorders>
              <w:top w:val="single" w:color="000000" w:sz="8" w:space="0"/>
              <w:left w:val="single" w:color="000000" w:sz="8" w:space="0"/>
              <w:bottom w:val="single" w:color="000000" w:sz="2" w:space="0"/>
              <w:right w:val="single" w:color="000000" w:sz="2" w:space="0"/>
            </w:tcBorders>
            <w:vAlign w:val="center"/>
          </w:tcPr>
          <w:p w14:paraId="6776CAE2">
            <w:pPr>
              <w:pStyle w:val="129"/>
              <w:widowControl w:val="0"/>
              <w:rPr>
                <w:rFonts w:eastAsia="Times New Roman"/>
                <w:color w:val="auto"/>
              </w:rPr>
            </w:pPr>
          </w:p>
        </w:tc>
        <w:tc>
          <w:tcPr>
            <w:tcW w:w="1247" w:type="pct"/>
            <w:vMerge w:val="continue"/>
            <w:tcBorders>
              <w:top w:val="single" w:color="000000" w:sz="8" w:space="0"/>
              <w:left w:val="single" w:color="000000" w:sz="2" w:space="0"/>
              <w:bottom w:val="single" w:color="000000" w:sz="2" w:space="0"/>
              <w:right w:val="single" w:color="000000" w:sz="2" w:space="0"/>
            </w:tcBorders>
            <w:vAlign w:val="center"/>
          </w:tcPr>
          <w:p w14:paraId="53522242">
            <w:pPr>
              <w:pStyle w:val="129"/>
              <w:widowControl w:val="0"/>
              <w:rPr>
                <w:rFonts w:eastAsia="Times New Roman"/>
                <w:color w:val="auto"/>
              </w:rPr>
            </w:pPr>
          </w:p>
        </w:tc>
        <w:tc>
          <w:tcPr>
            <w:tcW w:w="312" w:type="pct"/>
            <w:vMerge w:val="continue"/>
            <w:tcBorders>
              <w:top w:val="single" w:color="000000" w:sz="8" w:space="0"/>
              <w:left w:val="single" w:color="000000" w:sz="2" w:space="0"/>
              <w:bottom w:val="single" w:color="000000" w:sz="2" w:space="0"/>
              <w:right w:val="single" w:color="000000" w:sz="2" w:space="0"/>
            </w:tcBorders>
            <w:vAlign w:val="center"/>
          </w:tcPr>
          <w:p w14:paraId="10F915DF">
            <w:pPr>
              <w:pStyle w:val="129"/>
              <w:widowControl w:val="0"/>
              <w:rPr>
                <w:rFonts w:eastAsia="Times New Roman"/>
                <w:color w:val="auto"/>
              </w:rPr>
            </w:pPr>
          </w:p>
        </w:tc>
        <w:tc>
          <w:tcPr>
            <w:tcW w:w="363" w:type="pct"/>
            <w:tcBorders>
              <w:top w:val="single" w:color="000000" w:sz="2" w:space="0"/>
              <w:left w:val="single" w:color="000000" w:sz="2" w:space="0"/>
              <w:bottom w:val="single" w:color="000000" w:sz="2" w:space="0"/>
              <w:right w:val="single" w:color="000000" w:sz="2" w:space="0"/>
            </w:tcBorders>
            <w:vAlign w:val="center"/>
          </w:tcPr>
          <w:p w14:paraId="3EC8C1F6">
            <w:pPr>
              <w:pStyle w:val="129"/>
              <w:widowControl w:val="0"/>
              <w:rPr>
                <w:rFonts w:eastAsia="Times New Roman"/>
                <w:color w:val="auto"/>
              </w:rPr>
            </w:pPr>
            <w:r>
              <w:rPr>
                <w:rFonts w:hint="eastAsia" w:eastAsia="Times New Roman"/>
                <w:color w:val="auto"/>
              </w:rPr>
              <w:t>PM</w:t>
            </w:r>
            <w:r>
              <w:rPr>
                <w:rFonts w:hint="eastAsia" w:eastAsia="Times New Roman"/>
                <w:color w:val="auto"/>
                <w:vertAlign w:val="subscript"/>
              </w:rPr>
              <w:t>10</w:t>
            </w:r>
          </w:p>
        </w:tc>
        <w:tc>
          <w:tcPr>
            <w:tcW w:w="364" w:type="pct"/>
            <w:tcBorders>
              <w:top w:val="single" w:color="000000" w:sz="2" w:space="0"/>
              <w:left w:val="single" w:color="000000" w:sz="2" w:space="0"/>
              <w:bottom w:val="single" w:color="000000" w:sz="2" w:space="0"/>
              <w:right w:val="single" w:color="000000" w:sz="2" w:space="0"/>
            </w:tcBorders>
            <w:vAlign w:val="center"/>
          </w:tcPr>
          <w:p w14:paraId="36C5CBD1">
            <w:pPr>
              <w:pStyle w:val="129"/>
              <w:widowControl w:val="0"/>
              <w:rPr>
                <w:rFonts w:eastAsia="Times New Roman"/>
                <w:color w:val="auto"/>
              </w:rPr>
            </w:pPr>
            <w:r>
              <w:rPr>
                <w:rFonts w:hint="eastAsia" w:eastAsia="Times New Roman"/>
                <w:color w:val="auto"/>
              </w:rPr>
              <w:t>PM</w:t>
            </w:r>
            <w:r>
              <w:rPr>
                <w:rFonts w:hint="eastAsia" w:eastAsia="Times New Roman"/>
                <w:color w:val="auto"/>
                <w:vertAlign w:val="subscript"/>
              </w:rPr>
              <w:t>2.5</w:t>
            </w:r>
          </w:p>
        </w:tc>
        <w:tc>
          <w:tcPr>
            <w:tcW w:w="338" w:type="pct"/>
            <w:tcBorders>
              <w:top w:val="single" w:color="000000" w:sz="2" w:space="0"/>
              <w:left w:val="single" w:color="000000" w:sz="2" w:space="0"/>
              <w:right w:val="single" w:color="000000" w:sz="2" w:space="0"/>
            </w:tcBorders>
            <w:vAlign w:val="center"/>
          </w:tcPr>
          <w:p w14:paraId="5D28D569">
            <w:pPr>
              <w:pStyle w:val="129"/>
              <w:widowControl w:val="0"/>
              <w:rPr>
                <w:rFonts w:eastAsia="Times New Roman"/>
                <w:color w:val="auto"/>
              </w:rPr>
            </w:pPr>
            <w:r>
              <w:rPr>
                <w:rFonts w:hint="eastAsia" w:eastAsia="Times New Roman"/>
                <w:color w:val="auto"/>
              </w:rPr>
              <w:t>SO</w:t>
            </w:r>
            <w:r>
              <w:rPr>
                <w:rFonts w:hint="eastAsia" w:eastAsia="Times New Roman"/>
                <w:color w:val="auto"/>
                <w:vertAlign w:val="subscript"/>
              </w:rPr>
              <w:t>2</w:t>
            </w:r>
          </w:p>
        </w:tc>
        <w:tc>
          <w:tcPr>
            <w:tcW w:w="338" w:type="pct"/>
            <w:tcBorders>
              <w:top w:val="single" w:color="000000" w:sz="2" w:space="0"/>
              <w:left w:val="single" w:color="000000" w:sz="2" w:space="0"/>
              <w:right w:val="single" w:color="000000" w:sz="2" w:space="0"/>
            </w:tcBorders>
            <w:vAlign w:val="center"/>
          </w:tcPr>
          <w:p w14:paraId="028FF7BD">
            <w:pPr>
              <w:pStyle w:val="129"/>
              <w:widowControl w:val="0"/>
              <w:rPr>
                <w:rFonts w:eastAsia="Times New Roman"/>
                <w:color w:val="auto"/>
              </w:rPr>
            </w:pPr>
            <w:r>
              <w:rPr>
                <w:rFonts w:hint="eastAsia" w:eastAsia="Times New Roman"/>
                <w:color w:val="auto"/>
              </w:rPr>
              <w:t>NO</w:t>
            </w:r>
            <w:r>
              <w:rPr>
                <w:rFonts w:hint="eastAsia" w:eastAsia="Times New Roman"/>
                <w:color w:val="auto"/>
                <w:vertAlign w:val="subscript"/>
              </w:rPr>
              <w:t>2</w:t>
            </w:r>
          </w:p>
        </w:tc>
        <w:tc>
          <w:tcPr>
            <w:tcW w:w="312" w:type="pct"/>
            <w:tcBorders>
              <w:top w:val="single" w:color="000000" w:sz="2" w:space="0"/>
              <w:left w:val="single" w:color="000000" w:sz="2" w:space="0"/>
              <w:bottom w:val="single" w:color="000000" w:sz="2" w:space="0"/>
              <w:right w:val="single" w:color="000000" w:sz="2" w:space="0"/>
            </w:tcBorders>
            <w:vAlign w:val="center"/>
          </w:tcPr>
          <w:p w14:paraId="681FB1EC">
            <w:pPr>
              <w:pStyle w:val="129"/>
              <w:widowControl w:val="0"/>
              <w:rPr>
                <w:rFonts w:eastAsia="Times New Roman"/>
                <w:color w:val="auto"/>
              </w:rPr>
            </w:pPr>
            <w:r>
              <w:rPr>
                <w:rFonts w:hint="eastAsia" w:eastAsiaTheme="minorEastAsia"/>
                <w:color w:val="auto"/>
              </w:rPr>
              <w:t>H</w:t>
            </w:r>
            <w:r>
              <w:rPr>
                <w:rFonts w:hint="eastAsia" w:eastAsiaTheme="minorEastAsia"/>
                <w:color w:val="auto"/>
                <w:vertAlign w:val="subscript"/>
              </w:rPr>
              <w:t>2</w:t>
            </w:r>
            <w:r>
              <w:rPr>
                <w:rFonts w:hint="eastAsia" w:eastAsiaTheme="minorEastAsia"/>
                <w:color w:val="auto"/>
              </w:rPr>
              <w:t>S</w:t>
            </w:r>
          </w:p>
        </w:tc>
        <w:tc>
          <w:tcPr>
            <w:tcW w:w="311" w:type="pct"/>
            <w:tcBorders>
              <w:top w:val="single" w:color="000000" w:sz="2" w:space="0"/>
              <w:left w:val="single" w:color="000000" w:sz="2" w:space="0"/>
              <w:bottom w:val="single" w:color="000000" w:sz="2" w:space="0"/>
              <w:right w:val="single" w:color="000000" w:sz="2" w:space="0"/>
            </w:tcBorders>
            <w:vAlign w:val="center"/>
          </w:tcPr>
          <w:p w14:paraId="22F9A7A5">
            <w:pPr>
              <w:pStyle w:val="129"/>
              <w:widowControl w:val="0"/>
              <w:rPr>
                <w:rFonts w:eastAsiaTheme="minorEastAsia"/>
                <w:color w:val="auto"/>
              </w:rPr>
            </w:pPr>
            <w:r>
              <w:rPr>
                <w:rFonts w:hint="eastAsia" w:eastAsia="Times New Roman"/>
                <w:color w:val="auto"/>
              </w:rPr>
              <w:t>NH</w:t>
            </w:r>
            <w:r>
              <w:rPr>
                <w:rFonts w:hint="eastAsia" w:eastAsia="Times New Roman"/>
                <w:color w:val="auto"/>
                <w:vertAlign w:val="subscript"/>
              </w:rPr>
              <w:t>3</w:t>
            </w:r>
          </w:p>
        </w:tc>
        <w:tc>
          <w:tcPr>
            <w:tcW w:w="312" w:type="pct"/>
            <w:tcBorders>
              <w:top w:val="single" w:color="000000" w:sz="2" w:space="0"/>
              <w:left w:val="single" w:color="000000" w:sz="2" w:space="0"/>
              <w:bottom w:val="single" w:color="000000" w:sz="2" w:space="0"/>
              <w:right w:val="single" w:color="000000" w:sz="2" w:space="0"/>
            </w:tcBorders>
            <w:vAlign w:val="center"/>
          </w:tcPr>
          <w:p w14:paraId="5EA1278D">
            <w:pPr>
              <w:pStyle w:val="129"/>
              <w:widowControl w:val="0"/>
              <w:rPr>
                <w:rFonts w:eastAsiaTheme="minorEastAsia"/>
                <w:color w:val="auto"/>
              </w:rPr>
            </w:pPr>
            <w:r>
              <w:rPr>
                <w:rFonts w:hint="eastAsia" w:eastAsiaTheme="minorEastAsia"/>
                <w:color w:val="auto"/>
              </w:rPr>
              <w:t>TSP</w:t>
            </w:r>
          </w:p>
        </w:tc>
        <w:tc>
          <w:tcPr>
            <w:tcW w:w="260" w:type="pct"/>
            <w:tcBorders>
              <w:top w:val="single" w:color="000000" w:sz="2" w:space="0"/>
              <w:left w:val="single" w:color="000000" w:sz="2" w:space="0"/>
              <w:bottom w:val="single" w:color="000000" w:sz="2" w:space="0"/>
              <w:right w:val="single" w:color="000000" w:sz="2" w:space="0"/>
            </w:tcBorders>
            <w:vAlign w:val="center"/>
          </w:tcPr>
          <w:p w14:paraId="6777386B">
            <w:pPr>
              <w:pStyle w:val="129"/>
              <w:widowControl w:val="0"/>
              <w:rPr>
                <w:rFonts w:eastAsia="Times New Roman"/>
                <w:color w:val="auto"/>
              </w:rPr>
            </w:pPr>
            <w:r>
              <w:rPr>
                <w:rFonts w:hint="eastAsia" w:eastAsia="Times New Roman"/>
                <w:color w:val="auto"/>
              </w:rPr>
              <w:t>镍及其化合物</w:t>
            </w:r>
          </w:p>
        </w:tc>
        <w:tc>
          <w:tcPr>
            <w:tcW w:w="260" w:type="pct"/>
            <w:tcBorders>
              <w:top w:val="single" w:color="000000" w:sz="2" w:space="0"/>
              <w:left w:val="single" w:color="000000" w:sz="2" w:space="0"/>
              <w:bottom w:val="single" w:color="000000" w:sz="2" w:space="0"/>
              <w:right w:val="single" w:color="000000" w:sz="2" w:space="0"/>
            </w:tcBorders>
            <w:vAlign w:val="center"/>
          </w:tcPr>
          <w:p w14:paraId="63BC45CC">
            <w:pPr>
              <w:pStyle w:val="129"/>
              <w:widowControl w:val="0"/>
              <w:rPr>
                <w:rFonts w:eastAsia="Times New Roman"/>
                <w:color w:val="auto"/>
              </w:rPr>
            </w:pPr>
            <w:r>
              <w:rPr>
                <w:rFonts w:hint="eastAsia" w:eastAsia="Times New Roman"/>
                <w:color w:val="auto"/>
              </w:rPr>
              <w:t>锰及其化合物</w:t>
            </w:r>
          </w:p>
        </w:tc>
        <w:tc>
          <w:tcPr>
            <w:tcW w:w="431" w:type="pct"/>
            <w:vMerge w:val="continue"/>
            <w:tcBorders>
              <w:top w:val="single" w:color="000000" w:sz="8" w:space="0"/>
              <w:left w:val="single" w:color="000000" w:sz="2" w:space="0"/>
              <w:bottom w:val="single" w:color="000000" w:sz="2" w:space="0"/>
              <w:right w:val="single" w:color="000000" w:sz="8" w:space="0"/>
            </w:tcBorders>
            <w:vAlign w:val="center"/>
          </w:tcPr>
          <w:p w14:paraId="48CE96A6">
            <w:pPr>
              <w:pStyle w:val="129"/>
              <w:widowControl w:val="0"/>
              <w:rPr>
                <w:rFonts w:eastAsia="Times New Roman"/>
                <w:color w:val="auto"/>
              </w:rPr>
            </w:pPr>
          </w:p>
        </w:tc>
      </w:tr>
      <w:tr w14:paraId="7B13DB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52" w:type="pct"/>
            <w:tcBorders>
              <w:top w:val="single" w:color="000000" w:sz="2" w:space="0"/>
              <w:left w:val="single" w:color="000000" w:sz="8" w:space="0"/>
              <w:bottom w:val="single" w:color="000000" w:sz="2" w:space="0"/>
              <w:right w:val="single" w:color="000000" w:sz="2" w:space="0"/>
            </w:tcBorders>
            <w:vAlign w:val="center"/>
          </w:tcPr>
          <w:p w14:paraId="2AD8EF2A">
            <w:pPr>
              <w:pStyle w:val="129"/>
              <w:widowControl w:val="0"/>
              <w:rPr>
                <w:rFonts w:eastAsia="Times New Roman"/>
                <w:color w:val="auto"/>
              </w:rPr>
            </w:pPr>
            <w:r>
              <w:rPr>
                <w:rFonts w:hint="eastAsia" w:eastAsia="Times New Roman"/>
                <w:color w:val="auto"/>
              </w:rPr>
              <w:t>a)</w:t>
            </w:r>
          </w:p>
        </w:tc>
        <w:tc>
          <w:tcPr>
            <w:tcW w:w="1247" w:type="pct"/>
            <w:tcBorders>
              <w:top w:val="single" w:color="000000" w:sz="2" w:space="0"/>
              <w:left w:val="single" w:color="000000" w:sz="2" w:space="0"/>
              <w:bottom w:val="single" w:color="000000" w:sz="2" w:space="0"/>
              <w:right w:val="single" w:color="000000" w:sz="2" w:space="0"/>
            </w:tcBorders>
            <w:vAlign w:val="center"/>
          </w:tcPr>
          <w:p w14:paraId="5F5BF9E5">
            <w:pPr>
              <w:pStyle w:val="129"/>
              <w:widowControl w:val="0"/>
              <w:rPr>
                <w:rFonts w:eastAsia="Times New Roman"/>
                <w:color w:val="auto"/>
              </w:rPr>
            </w:pPr>
            <w:r>
              <w:rPr>
                <w:rFonts w:hint="eastAsia" w:eastAsia="Times New Roman"/>
                <w:color w:val="auto"/>
              </w:rPr>
              <w:t>达标规划未包含的新增污染源建设项目，需另有替代源的削减方案</w:t>
            </w:r>
          </w:p>
        </w:tc>
        <w:tc>
          <w:tcPr>
            <w:tcW w:w="312" w:type="pct"/>
            <w:tcBorders>
              <w:top w:val="single" w:color="000000" w:sz="2" w:space="0"/>
              <w:left w:val="single" w:color="000000" w:sz="2" w:space="0"/>
              <w:bottom w:val="single" w:color="000000" w:sz="2" w:space="0"/>
              <w:right w:val="single" w:color="000000" w:sz="2" w:space="0"/>
            </w:tcBorders>
            <w:vAlign w:val="center"/>
          </w:tcPr>
          <w:p w14:paraId="668EA5A6">
            <w:pPr>
              <w:pStyle w:val="129"/>
              <w:widowControl w:val="0"/>
              <w:rPr>
                <w:rFonts w:eastAsia="Times New Roman"/>
                <w:color w:val="auto"/>
              </w:rPr>
            </w:pPr>
            <w:r>
              <w:rPr>
                <w:rFonts w:hint="eastAsia" w:eastAsia="Times New Roman"/>
                <w:color w:val="auto"/>
              </w:rPr>
              <w:t>/</w:t>
            </w:r>
          </w:p>
        </w:tc>
        <w:tc>
          <w:tcPr>
            <w:tcW w:w="363" w:type="pct"/>
            <w:tcBorders>
              <w:top w:val="single" w:color="000000" w:sz="2" w:space="0"/>
              <w:left w:val="single" w:color="000000" w:sz="2" w:space="0"/>
              <w:bottom w:val="single" w:color="000000" w:sz="2" w:space="0"/>
              <w:right w:val="single" w:color="000000" w:sz="2" w:space="0"/>
            </w:tcBorders>
            <w:vAlign w:val="center"/>
          </w:tcPr>
          <w:p w14:paraId="0975BAE2">
            <w:pPr>
              <w:pStyle w:val="129"/>
              <w:widowControl w:val="0"/>
              <w:rPr>
                <w:rFonts w:eastAsia="Times New Roman"/>
                <w:color w:val="auto"/>
              </w:rPr>
            </w:pPr>
            <w:r>
              <w:rPr>
                <w:rFonts w:hint="eastAsia" w:eastAsia="Times New Roman"/>
                <w:color w:val="auto"/>
              </w:rPr>
              <w:t>/</w:t>
            </w:r>
          </w:p>
        </w:tc>
        <w:tc>
          <w:tcPr>
            <w:tcW w:w="364" w:type="pct"/>
            <w:tcBorders>
              <w:top w:val="single" w:color="000000" w:sz="2" w:space="0"/>
              <w:left w:val="single" w:color="000000" w:sz="2" w:space="0"/>
              <w:bottom w:val="single" w:color="000000" w:sz="2" w:space="0"/>
              <w:right w:val="single" w:color="000000" w:sz="2" w:space="0"/>
            </w:tcBorders>
            <w:vAlign w:val="center"/>
          </w:tcPr>
          <w:p w14:paraId="048F20F5">
            <w:pPr>
              <w:pStyle w:val="129"/>
              <w:widowControl w:val="0"/>
              <w:rPr>
                <w:rFonts w:eastAsia="Times New Roman"/>
                <w:color w:val="auto"/>
              </w:rPr>
            </w:pPr>
            <w:r>
              <w:rPr>
                <w:rFonts w:hint="eastAsia" w:eastAsia="Times New Roman"/>
                <w:color w:val="auto"/>
              </w:rPr>
              <w:t>/</w:t>
            </w:r>
          </w:p>
        </w:tc>
        <w:tc>
          <w:tcPr>
            <w:tcW w:w="338" w:type="pct"/>
            <w:tcBorders>
              <w:left w:val="single" w:color="000000" w:sz="2" w:space="0"/>
              <w:right w:val="single" w:color="000000" w:sz="2" w:space="0"/>
            </w:tcBorders>
            <w:vAlign w:val="center"/>
          </w:tcPr>
          <w:p w14:paraId="01F01AF8">
            <w:pPr>
              <w:pStyle w:val="129"/>
              <w:widowControl w:val="0"/>
              <w:rPr>
                <w:rFonts w:eastAsia="Times New Roman"/>
                <w:color w:val="auto"/>
              </w:rPr>
            </w:pPr>
            <w:r>
              <w:rPr>
                <w:rFonts w:hint="eastAsia" w:eastAsia="Times New Roman"/>
                <w:color w:val="auto"/>
              </w:rPr>
              <w:t>/</w:t>
            </w:r>
          </w:p>
        </w:tc>
        <w:tc>
          <w:tcPr>
            <w:tcW w:w="338" w:type="pct"/>
            <w:tcBorders>
              <w:left w:val="single" w:color="000000" w:sz="2" w:space="0"/>
              <w:right w:val="single" w:color="000000" w:sz="2" w:space="0"/>
            </w:tcBorders>
            <w:vAlign w:val="center"/>
          </w:tcPr>
          <w:p w14:paraId="734745E7">
            <w:pPr>
              <w:pStyle w:val="129"/>
              <w:widowControl w:val="0"/>
              <w:rPr>
                <w:rFonts w:eastAsia="Times New Roman"/>
                <w:color w:val="auto"/>
              </w:rPr>
            </w:pPr>
            <w:r>
              <w:rPr>
                <w:rFonts w:hint="eastAsia" w:eastAsia="Times New Roman"/>
                <w:color w:val="auto"/>
              </w:rPr>
              <w:t>/</w:t>
            </w:r>
          </w:p>
        </w:tc>
        <w:tc>
          <w:tcPr>
            <w:tcW w:w="312" w:type="pct"/>
            <w:tcBorders>
              <w:top w:val="single" w:color="000000" w:sz="2" w:space="0"/>
              <w:left w:val="single" w:color="000000" w:sz="2" w:space="0"/>
              <w:bottom w:val="single" w:color="000000" w:sz="2" w:space="0"/>
              <w:right w:val="single" w:color="000000" w:sz="2" w:space="0"/>
            </w:tcBorders>
            <w:vAlign w:val="center"/>
          </w:tcPr>
          <w:p w14:paraId="10519666">
            <w:pPr>
              <w:pStyle w:val="129"/>
              <w:widowControl w:val="0"/>
              <w:rPr>
                <w:rFonts w:eastAsia="Times New Roman"/>
                <w:color w:val="auto"/>
              </w:rPr>
            </w:pPr>
            <w:r>
              <w:rPr>
                <w:rFonts w:hint="eastAsia" w:eastAsia="Times New Roman"/>
                <w:color w:val="auto"/>
              </w:rPr>
              <w:t>/</w:t>
            </w:r>
          </w:p>
        </w:tc>
        <w:tc>
          <w:tcPr>
            <w:tcW w:w="311" w:type="pct"/>
            <w:tcBorders>
              <w:top w:val="single" w:color="000000" w:sz="2" w:space="0"/>
              <w:left w:val="single" w:color="000000" w:sz="2" w:space="0"/>
              <w:bottom w:val="single" w:color="000000" w:sz="2" w:space="0"/>
              <w:right w:val="single" w:color="000000" w:sz="2" w:space="0"/>
            </w:tcBorders>
            <w:vAlign w:val="center"/>
          </w:tcPr>
          <w:p w14:paraId="25038B9E">
            <w:pPr>
              <w:pStyle w:val="129"/>
              <w:widowControl w:val="0"/>
              <w:rPr>
                <w:rFonts w:eastAsia="Times New Roman"/>
                <w:color w:val="auto"/>
              </w:rPr>
            </w:pPr>
            <w:r>
              <w:rPr>
                <w:rFonts w:hint="eastAsia" w:eastAsia="Times New Roman"/>
                <w:color w:val="auto"/>
              </w:rPr>
              <w:t>/</w:t>
            </w:r>
          </w:p>
        </w:tc>
        <w:tc>
          <w:tcPr>
            <w:tcW w:w="312" w:type="pct"/>
            <w:tcBorders>
              <w:top w:val="single" w:color="000000" w:sz="2" w:space="0"/>
              <w:left w:val="single" w:color="000000" w:sz="2" w:space="0"/>
              <w:bottom w:val="single" w:color="000000" w:sz="2" w:space="0"/>
              <w:right w:val="single" w:color="000000" w:sz="2" w:space="0"/>
            </w:tcBorders>
            <w:vAlign w:val="center"/>
          </w:tcPr>
          <w:p w14:paraId="140FE798">
            <w:pPr>
              <w:pStyle w:val="129"/>
              <w:widowControl w:val="0"/>
              <w:rPr>
                <w:rFonts w:eastAsiaTheme="minorEastAsia"/>
                <w:color w:val="auto"/>
              </w:rPr>
            </w:pPr>
            <w:r>
              <w:rPr>
                <w:rFonts w:hint="eastAsia" w:eastAsiaTheme="minorEastAsia"/>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413478BA">
            <w:pPr>
              <w:pStyle w:val="129"/>
              <w:widowControl w:val="0"/>
              <w:rPr>
                <w:rFonts w:eastAsia="Times New Roman"/>
                <w:color w:val="auto"/>
              </w:rPr>
            </w:pPr>
            <w:r>
              <w:rPr>
                <w:rFonts w:hint="eastAsia" w:eastAsia="Times New Roman"/>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15084E7D">
            <w:pPr>
              <w:pStyle w:val="129"/>
              <w:widowControl w:val="0"/>
              <w:rPr>
                <w:rFonts w:eastAsia="Times New Roman"/>
                <w:color w:val="auto"/>
              </w:rPr>
            </w:pPr>
            <w:r>
              <w:rPr>
                <w:rFonts w:hint="eastAsia" w:eastAsia="Times New Roman"/>
                <w:color w:val="auto"/>
              </w:rPr>
              <w:t>/</w:t>
            </w:r>
          </w:p>
        </w:tc>
        <w:tc>
          <w:tcPr>
            <w:tcW w:w="431" w:type="pct"/>
            <w:tcBorders>
              <w:top w:val="single" w:color="000000" w:sz="2" w:space="0"/>
              <w:left w:val="single" w:color="000000" w:sz="2" w:space="0"/>
              <w:bottom w:val="single" w:color="000000" w:sz="2" w:space="0"/>
              <w:right w:val="single" w:color="000000" w:sz="8" w:space="0"/>
            </w:tcBorders>
            <w:vAlign w:val="center"/>
          </w:tcPr>
          <w:p w14:paraId="7AB7DFDB">
            <w:pPr>
              <w:pStyle w:val="129"/>
              <w:widowControl w:val="0"/>
              <w:rPr>
                <w:rFonts w:eastAsia="Times New Roman"/>
                <w:color w:val="auto"/>
              </w:rPr>
            </w:pPr>
            <w:r>
              <w:rPr>
                <w:rFonts w:hint="eastAsia" w:eastAsia="Times New Roman"/>
                <w:color w:val="auto"/>
              </w:rPr>
              <w:t>满足条件</w:t>
            </w:r>
          </w:p>
        </w:tc>
      </w:tr>
      <w:tr w14:paraId="67223C8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898" w:hRule="atLeast"/>
        </w:trPr>
        <w:tc>
          <w:tcPr>
            <w:tcW w:w="152" w:type="pct"/>
            <w:vMerge w:val="restart"/>
            <w:tcBorders>
              <w:top w:val="single" w:color="000000" w:sz="2" w:space="0"/>
              <w:left w:val="single" w:color="000000" w:sz="8" w:space="0"/>
              <w:bottom w:val="single" w:color="000000" w:sz="2" w:space="0"/>
              <w:right w:val="single" w:color="000000" w:sz="2" w:space="0"/>
            </w:tcBorders>
            <w:vAlign w:val="center"/>
          </w:tcPr>
          <w:p w14:paraId="43DBA2E5">
            <w:pPr>
              <w:pStyle w:val="129"/>
              <w:widowControl w:val="0"/>
              <w:rPr>
                <w:rFonts w:eastAsia="Times New Roman"/>
                <w:color w:val="auto"/>
              </w:rPr>
            </w:pPr>
            <w:r>
              <w:rPr>
                <w:rFonts w:hint="eastAsia" w:eastAsia="Times New Roman"/>
                <w:color w:val="auto"/>
              </w:rPr>
              <w:t>b)</w:t>
            </w:r>
          </w:p>
        </w:tc>
        <w:tc>
          <w:tcPr>
            <w:tcW w:w="1247" w:type="pct"/>
            <w:vMerge w:val="restart"/>
            <w:tcBorders>
              <w:top w:val="single" w:color="000000" w:sz="2" w:space="0"/>
              <w:left w:val="single" w:color="000000" w:sz="2" w:space="0"/>
              <w:bottom w:val="single" w:color="000000" w:sz="2" w:space="0"/>
              <w:right w:val="single" w:color="000000" w:sz="2" w:space="0"/>
            </w:tcBorders>
            <w:vAlign w:val="center"/>
          </w:tcPr>
          <w:p w14:paraId="5C04F4D8">
            <w:pPr>
              <w:pStyle w:val="129"/>
              <w:widowControl w:val="0"/>
              <w:rPr>
                <w:rFonts w:eastAsia="Times New Roman"/>
                <w:color w:val="auto"/>
              </w:rPr>
            </w:pPr>
            <w:r>
              <w:rPr>
                <w:rFonts w:hint="eastAsia" w:eastAsia="Times New Roman"/>
                <w:color w:val="auto"/>
              </w:rPr>
              <w:t>新增污染源正常排放下污染物短期浓度贡献值的最大浓度占标率</w:t>
            </w:r>
            <w:r>
              <w:rPr>
                <w:rFonts w:eastAsia="Times New Roman"/>
                <w:color w:val="auto"/>
              </w:rPr>
              <w:t>≤</w:t>
            </w:r>
            <w:r>
              <w:rPr>
                <w:rFonts w:hint="eastAsia" w:eastAsia="Times New Roman"/>
                <w:color w:val="auto"/>
              </w:rPr>
              <w:t>100%</w:t>
            </w:r>
          </w:p>
        </w:tc>
        <w:tc>
          <w:tcPr>
            <w:tcW w:w="312" w:type="pct"/>
            <w:tcBorders>
              <w:top w:val="single" w:color="000000" w:sz="2" w:space="0"/>
              <w:left w:val="single" w:color="000000" w:sz="2" w:space="0"/>
              <w:bottom w:val="single" w:color="000000" w:sz="2" w:space="0"/>
              <w:right w:val="single" w:color="000000" w:sz="2" w:space="0"/>
            </w:tcBorders>
            <w:vAlign w:val="center"/>
          </w:tcPr>
          <w:p w14:paraId="4531F183">
            <w:pPr>
              <w:pStyle w:val="129"/>
              <w:widowControl w:val="0"/>
              <w:rPr>
                <w:rFonts w:eastAsia="Times New Roman"/>
                <w:color w:val="auto"/>
              </w:rPr>
            </w:pPr>
            <w:r>
              <w:rPr>
                <w:rFonts w:hint="eastAsia" w:eastAsia="Times New Roman"/>
                <w:color w:val="auto"/>
              </w:rPr>
              <w:t>小时值</w:t>
            </w:r>
          </w:p>
        </w:tc>
        <w:tc>
          <w:tcPr>
            <w:tcW w:w="363" w:type="pct"/>
            <w:tcBorders>
              <w:top w:val="single" w:color="000000" w:sz="2" w:space="0"/>
              <w:left w:val="single" w:color="000000" w:sz="2" w:space="0"/>
              <w:bottom w:val="single" w:color="000000" w:sz="2" w:space="0"/>
              <w:right w:val="single" w:color="000000" w:sz="2" w:space="0"/>
            </w:tcBorders>
            <w:vAlign w:val="center"/>
          </w:tcPr>
          <w:p w14:paraId="280B0FC6">
            <w:pPr>
              <w:pStyle w:val="129"/>
              <w:widowControl w:val="0"/>
              <w:rPr>
                <w:rFonts w:eastAsia="Times New Roman"/>
                <w:color w:val="auto"/>
              </w:rPr>
            </w:pPr>
            <w:r>
              <w:rPr>
                <w:rFonts w:hint="eastAsia" w:eastAsia="Times New Roman"/>
                <w:color w:val="auto"/>
              </w:rPr>
              <w:t>/</w:t>
            </w:r>
          </w:p>
        </w:tc>
        <w:tc>
          <w:tcPr>
            <w:tcW w:w="364" w:type="pct"/>
            <w:tcBorders>
              <w:top w:val="single" w:color="000000" w:sz="2" w:space="0"/>
              <w:left w:val="single" w:color="000000" w:sz="2" w:space="0"/>
              <w:bottom w:val="single" w:color="000000" w:sz="2" w:space="0"/>
              <w:right w:val="single" w:color="000000" w:sz="2" w:space="0"/>
            </w:tcBorders>
            <w:vAlign w:val="center"/>
          </w:tcPr>
          <w:p w14:paraId="4B68E8F5">
            <w:pPr>
              <w:pStyle w:val="129"/>
              <w:widowControl w:val="0"/>
              <w:rPr>
                <w:rFonts w:eastAsia="Times New Roman"/>
                <w:color w:val="auto"/>
              </w:rPr>
            </w:pPr>
            <w:r>
              <w:rPr>
                <w:rFonts w:hint="eastAsia" w:eastAsia="Times New Roman"/>
                <w:color w:val="auto"/>
              </w:rPr>
              <w:t>/</w:t>
            </w:r>
          </w:p>
        </w:tc>
        <w:tc>
          <w:tcPr>
            <w:tcW w:w="338" w:type="pct"/>
            <w:tcBorders>
              <w:left w:val="single" w:color="000000" w:sz="2" w:space="0"/>
              <w:right w:val="single" w:color="000000" w:sz="2" w:space="0"/>
            </w:tcBorders>
            <w:vAlign w:val="center"/>
          </w:tcPr>
          <w:p w14:paraId="12BDEA87">
            <w:pPr>
              <w:pStyle w:val="129"/>
              <w:widowControl w:val="0"/>
              <w:rPr>
                <w:rFonts w:eastAsiaTheme="minorEastAsia"/>
                <w:color w:val="auto"/>
              </w:rPr>
            </w:pPr>
            <w:r>
              <w:rPr>
                <w:rFonts w:eastAsia="Times New Roman"/>
                <w:color w:val="auto"/>
              </w:rPr>
              <w:t>0.19</w:t>
            </w:r>
          </w:p>
        </w:tc>
        <w:tc>
          <w:tcPr>
            <w:tcW w:w="338" w:type="pct"/>
            <w:tcBorders>
              <w:left w:val="single" w:color="000000" w:sz="2" w:space="0"/>
              <w:right w:val="single" w:color="000000" w:sz="2" w:space="0"/>
            </w:tcBorders>
            <w:vAlign w:val="center"/>
          </w:tcPr>
          <w:p w14:paraId="1ADB099F">
            <w:pPr>
              <w:pStyle w:val="129"/>
              <w:widowControl w:val="0"/>
              <w:rPr>
                <w:rFonts w:eastAsiaTheme="minorEastAsia"/>
                <w:color w:val="auto"/>
              </w:rPr>
            </w:pPr>
            <w:r>
              <w:rPr>
                <w:rFonts w:eastAsia="Times New Roman"/>
                <w:color w:val="auto"/>
              </w:rPr>
              <w:t>9.49</w:t>
            </w:r>
          </w:p>
        </w:tc>
        <w:tc>
          <w:tcPr>
            <w:tcW w:w="312" w:type="pct"/>
            <w:tcBorders>
              <w:top w:val="single" w:color="000000" w:sz="2" w:space="0"/>
              <w:left w:val="single" w:color="000000" w:sz="2" w:space="0"/>
              <w:bottom w:val="single" w:color="000000" w:sz="2" w:space="0"/>
              <w:right w:val="single" w:color="000000" w:sz="2" w:space="0"/>
            </w:tcBorders>
            <w:vAlign w:val="center"/>
          </w:tcPr>
          <w:p w14:paraId="600CE4AA">
            <w:pPr>
              <w:pStyle w:val="129"/>
              <w:widowControl w:val="0"/>
              <w:rPr>
                <w:rFonts w:eastAsiaTheme="minorEastAsia"/>
                <w:color w:val="auto"/>
              </w:rPr>
            </w:pPr>
            <w:r>
              <w:rPr>
                <w:rFonts w:eastAsia="Times New Roman"/>
                <w:color w:val="auto"/>
              </w:rPr>
              <w:t>0.01</w:t>
            </w:r>
          </w:p>
        </w:tc>
        <w:tc>
          <w:tcPr>
            <w:tcW w:w="311" w:type="pct"/>
            <w:tcBorders>
              <w:top w:val="single" w:color="000000" w:sz="2" w:space="0"/>
              <w:left w:val="single" w:color="000000" w:sz="2" w:space="0"/>
              <w:bottom w:val="single" w:color="000000" w:sz="2" w:space="0"/>
              <w:right w:val="single" w:color="000000" w:sz="2" w:space="0"/>
            </w:tcBorders>
            <w:vAlign w:val="center"/>
          </w:tcPr>
          <w:p w14:paraId="69AD27AB">
            <w:pPr>
              <w:pStyle w:val="129"/>
              <w:widowControl w:val="0"/>
              <w:rPr>
                <w:rFonts w:eastAsiaTheme="minorEastAsia"/>
                <w:color w:val="auto"/>
              </w:rPr>
            </w:pPr>
            <w:r>
              <w:rPr>
                <w:rFonts w:eastAsia="Times New Roman"/>
                <w:color w:val="auto"/>
              </w:rPr>
              <w:t>8.44</w:t>
            </w:r>
          </w:p>
        </w:tc>
        <w:tc>
          <w:tcPr>
            <w:tcW w:w="312" w:type="pct"/>
            <w:tcBorders>
              <w:top w:val="single" w:color="000000" w:sz="2" w:space="0"/>
              <w:left w:val="single" w:color="000000" w:sz="2" w:space="0"/>
              <w:bottom w:val="single" w:color="000000" w:sz="2" w:space="0"/>
              <w:right w:val="single" w:color="000000" w:sz="2" w:space="0"/>
            </w:tcBorders>
            <w:vAlign w:val="center"/>
          </w:tcPr>
          <w:p w14:paraId="32D7CA20">
            <w:pPr>
              <w:pStyle w:val="129"/>
              <w:widowControl w:val="0"/>
              <w:rPr>
                <w:rFonts w:eastAsiaTheme="minorEastAsia"/>
                <w:color w:val="auto"/>
              </w:rPr>
            </w:pPr>
            <w:r>
              <w:rPr>
                <w:rFonts w:hint="eastAsia" w:eastAsiaTheme="minorEastAsia"/>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1B7202E5">
            <w:pPr>
              <w:pStyle w:val="129"/>
              <w:widowControl w:val="0"/>
              <w:rPr>
                <w:rFonts w:eastAsiaTheme="minorEastAsia"/>
                <w:color w:val="auto"/>
              </w:rPr>
            </w:pPr>
            <w:r>
              <w:rPr>
                <w:rFonts w:eastAsia="Times New Roman"/>
                <w:color w:val="auto"/>
              </w:rPr>
              <w:t>0.04</w:t>
            </w:r>
          </w:p>
        </w:tc>
        <w:tc>
          <w:tcPr>
            <w:tcW w:w="260" w:type="pct"/>
            <w:tcBorders>
              <w:top w:val="single" w:color="000000" w:sz="2" w:space="0"/>
              <w:left w:val="single" w:color="000000" w:sz="2" w:space="0"/>
              <w:bottom w:val="single" w:color="000000" w:sz="2" w:space="0"/>
              <w:right w:val="single" w:color="000000" w:sz="2" w:space="0"/>
            </w:tcBorders>
            <w:vAlign w:val="center"/>
          </w:tcPr>
          <w:p w14:paraId="7FE5D9CA">
            <w:pPr>
              <w:pStyle w:val="129"/>
              <w:widowControl w:val="0"/>
              <w:rPr>
                <w:rFonts w:eastAsiaTheme="minorEastAsia"/>
                <w:color w:val="auto"/>
              </w:rPr>
            </w:pPr>
            <w:r>
              <w:rPr>
                <w:rFonts w:hint="eastAsia" w:eastAsiaTheme="minorEastAsia"/>
                <w:color w:val="auto"/>
              </w:rPr>
              <w:t>/</w:t>
            </w:r>
          </w:p>
        </w:tc>
        <w:tc>
          <w:tcPr>
            <w:tcW w:w="431" w:type="pct"/>
            <w:vMerge w:val="restart"/>
            <w:tcBorders>
              <w:top w:val="single" w:color="000000" w:sz="2" w:space="0"/>
              <w:left w:val="single" w:color="000000" w:sz="2" w:space="0"/>
              <w:bottom w:val="single" w:color="000000" w:sz="2" w:space="0"/>
              <w:right w:val="single" w:color="000000" w:sz="8" w:space="0"/>
            </w:tcBorders>
            <w:vAlign w:val="center"/>
          </w:tcPr>
          <w:p w14:paraId="2FE108FA">
            <w:pPr>
              <w:pStyle w:val="129"/>
              <w:widowControl w:val="0"/>
              <w:rPr>
                <w:rFonts w:eastAsiaTheme="minorEastAsia"/>
                <w:color w:val="auto"/>
              </w:rPr>
            </w:pPr>
            <w:r>
              <w:rPr>
                <w:rFonts w:hint="eastAsia" w:eastAsia="Times New Roman"/>
                <w:color w:val="auto"/>
              </w:rPr>
              <w:t>满足</w:t>
            </w:r>
            <w:r>
              <w:rPr>
                <w:rFonts w:eastAsia="Times New Roman"/>
                <w:color w:val="auto"/>
              </w:rPr>
              <w:t>≤</w:t>
            </w:r>
            <w:r>
              <w:rPr>
                <w:rFonts w:hint="eastAsia" w:eastAsia="Times New Roman"/>
                <w:color w:val="auto"/>
              </w:rPr>
              <w:t>100%条件</w:t>
            </w:r>
          </w:p>
        </w:tc>
      </w:tr>
      <w:tr w14:paraId="1FA2840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897" w:hRule="atLeast"/>
        </w:trPr>
        <w:tc>
          <w:tcPr>
            <w:tcW w:w="152" w:type="pct"/>
            <w:vMerge w:val="continue"/>
            <w:tcBorders>
              <w:top w:val="single" w:color="000000" w:sz="2" w:space="0"/>
              <w:left w:val="single" w:color="000000" w:sz="8" w:space="0"/>
              <w:bottom w:val="single" w:color="000000" w:sz="2" w:space="0"/>
              <w:right w:val="single" w:color="000000" w:sz="2" w:space="0"/>
            </w:tcBorders>
            <w:vAlign w:val="center"/>
          </w:tcPr>
          <w:p w14:paraId="2779F658">
            <w:pPr>
              <w:pStyle w:val="129"/>
              <w:widowControl w:val="0"/>
              <w:rPr>
                <w:rFonts w:eastAsia="Times New Roman"/>
                <w:color w:val="auto"/>
              </w:rPr>
            </w:pPr>
          </w:p>
        </w:tc>
        <w:tc>
          <w:tcPr>
            <w:tcW w:w="1247" w:type="pct"/>
            <w:vMerge w:val="continue"/>
            <w:tcBorders>
              <w:top w:val="single" w:color="000000" w:sz="2" w:space="0"/>
              <w:left w:val="single" w:color="000000" w:sz="2" w:space="0"/>
              <w:bottom w:val="single" w:color="000000" w:sz="2" w:space="0"/>
              <w:right w:val="single" w:color="000000" w:sz="2" w:space="0"/>
            </w:tcBorders>
            <w:vAlign w:val="center"/>
          </w:tcPr>
          <w:p w14:paraId="0CEC50E2">
            <w:pPr>
              <w:pStyle w:val="129"/>
              <w:widowControl w:val="0"/>
              <w:rPr>
                <w:rFonts w:eastAsia="Times New Roman"/>
                <w:color w:val="auto"/>
              </w:rPr>
            </w:pPr>
          </w:p>
        </w:tc>
        <w:tc>
          <w:tcPr>
            <w:tcW w:w="312" w:type="pct"/>
            <w:tcBorders>
              <w:top w:val="single" w:color="000000" w:sz="2" w:space="0"/>
              <w:left w:val="single" w:color="000000" w:sz="2" w:space="0"/>
              <w:bottom w:val="single" w:color="000000" w:sz="2" w:space="0"/>
              <w:right w:val="single" w:color="000000" w:sz="2" w:space="0"/>
            </w:tcBorders>
            <w:vAlign w:val="center"/>
          </w:tcPr>
          <w:p w14:paraId="60E7A971">
            <w:pPr>
              <w:pStyle w:val="129"/>
              <w:widowControl w:val="0"/>
              <w:rPr>
                <w:rFonts w:eastAsia="Times New Roman"/>
                <w:color w:val="auto"/>
              </w:rPr>
            </w:pPr>
            <w:r>
              <w:rPr>
                <w:rFonts w:hint="eastAsia" w:eastAsia="Times New Roman"/>
                <w:color w:val="auto"/>
              </w:rPr>
              <w:t>日均值</w:t>
            </w:r>
          </w:p>
        </w:tc>
        <w:tc>
          <w:tcPr>
            <w:tcW w:w="363" w:type="pct"/>
            <w:tcBorders>
              <w:top w:val="single" w:color="000000" w:sz="2" w:space="0"/>
              <w:left w:val="single" w:color="000000" w:sz="2" w:space="0"/>
              <w:bottom w:val="single" w:color="000000" w:sz="2" w:space="0"/>
              <w:right w:val="single" w:color="000000" w:sz="2" w:space="0"/>
            </w:tcBorders>
            <w:vAlign w:val="center"/>
          </w:tcPr>
          <w:p w14:paraId="325C4EDC">
            <w:pPr>
              <w:pStyle w:val="129"/>
              <w:widowControl w:val="0"/>
              <w:rPr>
                <w:rFonts w:eastAsiaTheme="minorEastAsia"/>
                <w:color w:val="auto"/>
              </w:rPr>
            </w:pPr>
            <w:r>
              <w:rPr>
                <w:rFonts w:eastAsia="Times New Roman"/>
                <w:color w:val="auto"/>
              </w:rPr>
              <w:t>2.44</w:t>
            </w:r>
          </w:p>
        </w:tc>
        <w:tc>
          <w:tcPr>
            <w:tcW w:w="364" w:type="pct"/>
            <w:tcBorders>
              <w:top w:val="single" w:color="000000" w:sz="2" w:space="0"/>
              <w:left w:val="single" w:color="000000" w:sz="2" w:space="0"/>
              <w:bottom w:val="single" w:color="000000" w:sz="2" w:space="0"/>
              <w:right w:val="single" w:color="000000" w:sz="2" w:space="0"/>
            </w:tcBorders>
            <w:vAlign w:val="center"/>
          </w:tcPr>
          <w:p w14:paraId="1A4A1C99">
            <w:pPr>
              <w:pStyle w:val="129"/>
              <w:widowControl w:val="0"/>
              <w:rPr>
                <w:rFonts w:eastAsia="Times New Roman"/>
                <w:color w:val="auto"/>
              </w:rPr>
            </w:pPr>
            <w:r>
              <w:rPr>
                <w:rFonts w:eastAsia="Times New Roman"/>
                <w:color w:val="auto"/>
              </w:rPr>
              <w:t>2.44</w:t>
            </w:r>
          </w:p>
        </w:tc>
        <w:tc>
          <w:tcPr>
            <w:tcW w:w="338" w:type="pct"/>
            <w:tcBorders>
              <w:left w:val="single" w:color="000000" w:sz="2" w:space="0"/>
              <w:right w:val="single" w:color="000000" w:sz="2" w:space="0"/>
            </w:tcBorders>
            <w:vAlign w:val="center"/>
          </w:tcPr>
          <w:p w14:paraId="2837E8C8">
            <w:pPr>
              <w:pStyle w:val="129"/>
              <w:widowControl w:val="0"/>
              <w:rPr>
                <w:rFonts w:eastAsiaTheme="minorEastAsia"/>
                <w:color w:val="auto"/>
              </w:rPr>
            </w:pPr>
            <w:r>
              <w:rPr>
                <w:rFonts w:eastAsia="Times New Roman"/>
                <w:color w:val="auto"/>
              </w:rPr>
              <w:t>0.14</w:t>
            </w:r>
          </w:p>
        </w:tc>
        <w:tc>
          <w:tcPr>
            <w:tcW w:w="338" w:type="pct"/>
            <w:tcBorders>
              <w:left w:val="single" w:color="000000" w:sz="2" w:space="0"/>
              <w:right w:val="single" w:color="000000" w:sz="2" w:space="0"/>
            </w:tcBorders>
            <w:vAlign w:val="center"/>
          </w:tcPr>
          <w:p w14:paraId="03EA1A46">
            <w:pPr>
              <w:pStyle w:val="129"/>
              <w:widowControl w:val="0"/>
              <w:rPr>
                <w:rFonts w:eastAsiaTheme="minorEastAsia"/>
                <w:color w:val="auto"/>
              </w:rPr>
            </w:pPr>
            <w:r>
              <w:rPr>
                <w:rFonts w:eastAsia="Times New Roman"/>
                <w:color w:val="auto"/>
              </w:rPr>
              <w:t>4.82</w:t>
            </w:r>
          </w:p>
        </w:tc>
        <w:tc>
          <w:tcPr>
            <w:tcW w:w="312" w:type="pct"/>
            <w:tcBorders>
              <w:top w:val="single" w:color="000000" w:sz="2" w:space="0"/>
              <w:left w:val="single" w:color="000000" w:sz="2" w:space="0"/>
              <w:bottom w:val="single" w:color="000000" w:sz="2" w:space="0"/>
              <w:right w:val="single" w:color="000000" w:sz="2" w:space="0"/>
            </w:tcBorders>
            <w:vAlign w:val="center"/>
          </w:tcPr>
          <w:p w14:paraId="46FEAC32">
            <w:pPr>
              <w:pStyle w:val="129"/>
              <w:widowControl w:val="0"/>
              <w:rPr>
                <w:rFonts w:eastAsiaTheme="minorEastAsia"/>
                <w:color w:val="auto"/>
              </w:rPr>
            </w:pPr>
            <w:r>
              <w:rPr>
                <w:rFonts w:hint="eastAsia" w:eastAsia="Times New Roman"/>
                <w:color w:val="auto"/>
              </w:rPr>
              <w:t>/</w:t>
            </w:r>
          </w:p>
        </w:tc>
        <w:tc>
          <w:tcPr>
            <w:tcW w:w="311" w:type="pct"/>
            <w:tcBorders>
              <w:top w:val="single" w:color="000000" w:sz="2" w:space="0"/>
              <w:left w:val="single" w:color="000000" w:sz="2" w:space="0"/>
              <w:bottom w:val="single" w:color="000000" w:sz="2" w:space="0"/>
              <w:right w:val="single" w:color="000000" w:sz="2" w:space="0"/>
            </w:tcBorders>
            <w:vAlign w:val="center"/>
          </w:tcPr>
          <w:p w14:paraId="3320DFEB">
            <w:pPr>
              <w:pStyle w:val="129"/>
              <w:widowControl w:val="0"/>
              <w:rPr>
                <w:rFonts w:eastAsia="Times New Roman"/>
                <w:color w:val="auto"/>
              </w:rPr>
            </w:pPr>
            <w:r>
              <w:rPr>
                <w:rFonts w:hint="eastAsia" w:eastAsia="Times New Roman"/>
                <w:color w:val="auto"/>
              </w:rPr>
              <w:t>/</w:t>
            </w:r>
          </w:p>
        </w:tc>
        <w:tc>
          <w:tcPr>
            <w:tcW w:w="312" w:type="pct"/>
            <w:tcBorders>
              <w:top w:val="single" w:color="000000" w:sz="2" w:space="0"/>
              <w:left w:val="single" w:color="000000" w:sz="2" w:space="0"/>
              <w:bottom w:val="single" w:color="000000" w:sz="2" w:space="0"/>
              <w:right w:val="single" w:color="000000" w:sz="2" w:space="0"/>
            </w:tcBorders>
            <w:vAlign w:val="center"/>
          </w:tcPr>
          <w:p w14:paraId="0F3B077A">
            <w:pPr>
              <w:pStyle w:val="129"/>
              <w:widowControl w:val="0"/>
              <w:rPr>
                <w:rFonts w:eastAsia="Times New Roman"/>
                <w:color w:val="auto"/>
              </w:rPr>
            </w:pPr>
            <w:r>
              <w:rPr>
                <w:rFonts w:eastAsia="Times New Roman"/>
                <w:color w:val="auto"/>
              </w:rPr>
              <w:t>0.97</w:t>
            </w:r>
          </w:p>
        </w:tc>
        <w:tc>
          <w:tcPr>
            <w:tcW w:w="260" w:type="pct"/>
            <w:tcBorders>
              <w:top w:val="single" w:color="000000" w:sz="2" w:space="0"/>
              <w:left w:val="single" w:color="000000" w:sz="2" w:space="0"/>
              <w:bottom w:val="single" w:color="000000" w:sz="2" w:space="0"/>
              <w:right w:val="single" w:color="000000" w:sz="2" w:space="0"/>
            </w:tcBorders>
            <w:vAlign w:val="center"/>
          </w:tcPr>
          <w:p w14:paraId="669A8346">
            <w:pPr>
              <w:pStyle w:val="129"/>
              <w:widowControl w:val="0"/>
              <w:rPr>
                <w:rFonts w:eastAsia="Times New Roman"/>
                <w:color w:val="auto"/>
              </w:rPr>
            </w:pPr>
            <w:r>
              <w:rPr>
                <w:rFonts w:hint="eastAsia" w:eastAsia="Times New Roman"/>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50AAF7DC">
            <w:pPr>
              <w:pStyle w:val="129"/>
              <w:widowControl w:val="0"/>
              <w:rPr>
                <w:rFonts w:eastAsiaTheme="minorEastAsia"/>
                <w:color w:val="auto"/>
              </w:rPr>
            </w:pPr>
            <w:r>
              <w:rPr>
                <w:rFonts w:hint="eastAsia" w:eastAsiaTheme="minorEastAsia"/>
                <w:color w:val="auto"/>
              </w:rPr>
              <w:t>0.02</w:t>
            </w:r>
          </w:p>
        </w:tc>
        <w:tc>
          <w:tcPr>
            <w:tcW w:w="431" w:type="pct"/>
            <w:vMerge w:val="continue"/>
            <w:tcBorders>
              <w:top w:val="single" w:color="000000" w:sz="2" w:space="0"/>
              <w:left w:val="single" w:color="000000" w:sz="2" w:space="0"/>
              <w:bottom w:val="single" w:color="000000" w:sz="2" w:space="0"/>
              <w:right w:val="single" w:color="000000" w:sz="8" w:space="0"/>
            </w:tcBorders>
            <w:vAlign w:val="center"/>
          </w:tcPr>
          <w:p w14:paraId="49F38E2F">
            <w:pPr>
              <w:pStyle w:val="129"/>
              <w:widowControl w:val="0"/>
              <w:rPr>
                <w:rFonts w:eastAsia="Times New Roman"/>
                <w:color w:val="auto"/>
              </w:rPr>
            </w:pPr>
          </w:p>
        </w:tc>
      </w:tr>
      <w:tr w14:paraId="39911CB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52" w:type="pct"/>
            <w:tcBorders>
              <w:top w:val="single" w:color="000000" w:sz="2" w:space="0"/>
              <w:left w:val="single" w:color="000000" w:sz="8" w:space="0"/>
              <w:bottom w:val="single" w:color="000000" w:sz="2" w:space="0"/>
              <w:right w:val="single" w:color="000000" w:sz="2" w:space="0"/>
            </w:tcBorders>
            <w:vAlign w:val="center"/>
          </w:tcPr>
          <w:p w14:paraId="38B0E4E7">
            <w:pPr>
              <w:pStyle w:val="129"/>
              <w:widowControl w:val="0"/>
              <w:rPr>
                <w:rFonts w:eastAsia="Times New Roman"/>
                <w:color w:val="auto"/>
              </w:rPr>
            </w:pPr>
            <w:r>
              <w:rPr>
                <w:rFonts w:hint="eastAsia" w:eastAsia="Times New Roman"/>
                <w:color w:val="auto"/>
              </w:rPr>
              <w:t>c)</w:t>
            </w:r>
          </w:p>
        </w:tc>
        <w:tc>
          <w:tcPr>
            <w:tcW w:w="1247" w:type="pct"/>
            <w:tcBorders>
              <w:top w:val="single" w:color="000000" w:sz="2" w:space="0"/>
              <w:left w:val="single" w:color="000000" w:sz="2" w:space="0"/>
              <w:bottom w:val="single" w:color="000000" w:sz="2" w:space="0"/>
              <w:right w:val="single" w:color="000000" w:sz="2" w:space="0"/>
            </w:tcBorders>
            <w:vAlign w:val="center"/>
          </w:tcPr>
          <w:p w14:paraId="754A4742">
            <w:pPr>
              <w:pStyle w:val="129"/>
              <w:widowControl w:val="0"/>
              <w:rPr>
                <w:rFonts w:eastAsia="Times New Roman"/>
                <w:color w:val="auto"/>
              </w:rPr>
            </w:pPr>
            <w:r>
              <w:rPr>
                <w:rFonts w:hint="eastAsia" w:eastAsia="Times New Roman"/>
                <w:color w:val="auto"/>
              </w:rPr>
              <w:t>新增污染源正常排放下污染物年均浓度贡献值的最大浓度占标率</w:t>
            </w:r>
            <w:r>
              <w:rPr>
                <w:rFonts w:eastAsia="Times New Roman"/>
                <w:color w:val="auto"/>
              </w:rPr>
              <w:t>≤</w:t>
            </w:r>
            <w:r>
              <w:rPr>
                <w:rFonts w:hint="eastAsia" w:eastAsia="Times New Roman"/>
                <w:color w:val="auto"/>
              </w:rPr>
              <w:t>30%（其中一类区</w:t>
            </w:r>
            <w:r>
              <w:rPr>
                <w:rFonts w:eastAsia="Times New Roman"/>
                <w:color w:val="auto"/>
              </w:rPr>
              <w:t>≤</w:t>
            </w:r>
            <w:r>
              <w:rPr>
                <w:rFonts w:hint="eastAsia" w:eastAsia="Times New Roman"/>
                <w:color w:val="auto"/>
              </w:rPr>
              <w:t>10%）</w:t>
            </w:r>
          </w:p>
        </w:tc>
        <w:tc>
          <w:tcPr>
            <w:tcW w:w="312" w:type="pct"/>
            <w:tcBorders>
              <w:top w:val="single" w:color="000000" w:sz="2" w:space="0"/>
              <w:left w:val="single" w:color="000000" w:sz="2" w:space="0"/>
              <w:bottom w:val="single" w:color="000000" w:sz="2" w:space="0"/>
              <w:right w:val="single" w:color="000000" w:sz="2" w:space="0"/>
            </w:tcBorders>
            <w:vAlign w:val="center"/>
          </w:tcPr>
          <w:p w14:paraId="3D9CAAE9">
            <w:pPr>
              <w:pStyle w:val="129"/>
              <w:widowControl w:val="0"/>
              <w:rPr>
                <w:rFonts w:eastAsia="Times New Roman"/>
                <w:color w:val="auto"/>
              </w:rPr>
            </w:pPr>
            <w:r>
              <w:rPr>
                <w:rFonts w:hint="eastAsia" w:eastAsia="Times New Roman"/>
                <w:color w:val="auto"/>
              </w:rPr>
              <w:t>年均值</w:t>
            </w:r>
          </w:p>
        </w:tc>
        <w:tc>
          <w:tcPr>
            <w:tcW w:w="363" w:type="pct"/>
            <w:tcBorders>
              <w:top w:val="single" w:color="000000" w:sz="2" w:space="0"/>
              <w:left w:val="single" w:color="000000" w:sz="2" w:space="0"/>
              <w:bottom w:val="single" w:color="000000" w:sz="2" w:space="0"/>
              <w:right w:val="single" w:color="000000" w:sz="2" w:space="0"/>
            </w:tcBorders>
            <w:vAlign w:val="center"/>
          </w:tcPr>
          <w:p w14:paraId="3E5570E8">
            <w:pPr>
              <w:pStyle w:val="129"/>
              <w:widowControl w:val="0"/>
              <w:rPr>
                <w:rFonts w:eastAsiaTheme="minorEastAsia"/>
                <w:color w:val="auto"/>
              </w:rPr>
            </w:pPr>
            <w:r>
              <w:rPr>
                <w:rFonts w:eastAsia="Times New Roman"/>
                <w:color w:val="auto"/>
              </w:rPr>
              <w:t>0.89</w:t>
            </w:r>
          </w:p>
        </w:tc>
        <w:tc>
          <w:tcPr>
            <w:tcW w:w="364" w:type="pct"/>
            <w:tcBorders>
              <w:top w:val="single" w:color="000000" w:sz="2" w:space="0"/>
              <w:left w:val="single" w:color="000000" w:sz="2" w:space="0"/>
              <w:bottom w:val="single" w:color="000000" w:sz="2" w:space="0"/>
              <w:right w:val="single" w:color="000000" w:sz="2" w:space="0"/>
            </w:tcBorders>
            <w:vAlign w:val="center"/>
          </w:tcPr>
          <w:p w14:paraId="6ED939F6">
            <w:pPr>
              <w:pStyle w:val="129"/>
              <w:widowControl w:val="0"/>
              <w:rPr>
                <w:rFonts w:eastAsia="Times New Roman"/>
                <w:color w:val="auto"/>
              </w:rPr>
            </w:pPr>
            <w:r>
              <w:rPr>
                <w:rFonts w:eastAsia="Times New Roman"/>
                <w:color w:val="auto"/>
              </w:rPr>
              <w:t>0.89</w:t>
            </w:r>
          </w:p>
        </w:tc>
        <w:tc>
          <w:tcPr>
            <w:tcW w:w="338" w:type="pct"/>
            <w:tcBorders>
              <w:left w:val="single" w:color="000000" w:sz="2" w:space="0"/>
              <w:right w:val="single" w:color="000000" w:sz="2" w:space="0"/>
            </w:tcBorders>
            <w:vAlign w:val="center"/>
          </w:tcPr>
          <w:p w14:paraId="1E918FB9">
            <w:pPr>
              <w:pStyle w:val="129"/>
              <w:widowControl w:val="0"/>
              <w:rPr>
                <w:rFonts w:eastAsiaTheme="minorEastAsia"/>
                <w:color w:val="auto"/>
              </w:rPr>
            </w:pPr>
            <w:r>
              <w:rPr>
                <w:rFonts w:eastAsia="Times New Roman"/>
                <w:color w:val="auto"/>
              </w:rPr>
              <w:t>0.07</w:t>
            </w:r>
          </w:p>
        </w:tc>
        <w:tc>
          <w:tcPr>
            <w:tcW w:w="338" w:type="pct"/>
            <w:tcBorders>
              <w:left w:val="single" w:color="000000" w:sz="2" w:space="0"/>
              <w:right w:val="single" w:color="000000" w:sz="2" w:space="0"/>
            </w:tcBorders>
            <w:vAlign w:val="center"/>
          </w:tcPr>
          <w:p w14:paraId="514381B3">
            <w:pPr>
              <w:pStyle w:val="129"/>
              <w:widowControl w:val="0"/>
              <w:rPr>
                <w:rFonts w:eastAsiaTheme="minorEastAsia"/>
                <w:color w:val="auto"/>
              </w:rPr>
            </w:pPr>
            <w:r>
              <w:rPr>
                <w:rFonts w:eastAsia="Times New Roman"/>
                <w:color w:val="auto"/>
              </w:rPr>
              <w:t>1.96</w:t>
            </w:r>
          </w:p>
        </w:tc>
        <w:tc>
          <w:tcPr>
            <w:tcW w:w="312" w:type="pct"/>
            <w:tcBorders>
              <w:top w:val="single" w:color="000000" w:sz="2" w:space="0"/>
              <w:left w:val="single" w:color="000000" w:sz="2" w:space="0"/>
              <w:bottom w:val="single" w:color="000000" w:sz="2" w:space="0"/>
              <w:right w:val="single" w:color="000000" w:sz="2" w:space="0"/>
            </w:tcBorders>
            <w:vAlign w:val="center"/>
          </w:tcPr>
          <w:p w14:paraId="25D39389">
            <w:pPr>
              <w:pStyle w:val="129"/>
              <w:widowControl w:val="0"/>
              <w:rPr>
                <w:rFonts w:eastAsiaTheme="minorEastAsia"/>
                <w:color w:val="auto"/>
              </w:rPr>
            </w:pPr>
            <w:r>
              <w:rPr>
                <w:rFonts w:hint="eastAsia" w:eastAsia="Times New Roman"/>
                <w:color w:val="auto"/>
              </w:rPr>
              <w:t>/</w:t>
            </w:r>
          </w:p>
        </w:tc>
        <w:tc>
          <w:tcPr>
            <w:tcW w:w="311" w:type="pct"/>
            <w:tcBorders>
              <w:top w:val="single" w:color="000000" w:sz="2" w:space="0"/>
              <w:left w:val="single" w:color="000000" w:sz="2" w:space="0"/>
              <w:bottom w:val="single" w:color="000000" w:sz="2" w:space="0"/>
              <w:right w:val="single" w:color="000000" w:sz="2" w:space="0"/>
            </w:tcBorders>
            <w:vAlign w:val="center"/>
          </w:tcPr>
          <w:p w14:paraId="40CFAAA3">
            <w:pPr>
              <w:pStyle w:val="129"/>
              <w:widowControl w:val="0"/>
              <w:rPr>
                <w:rFonts w:eastAsia="Times New Roman"/>
                <w:color w:val="auto"/>
              </w:rPr>
            </w:pPr>
            <w:r>
              <w:rPr>
                <w:rFonts w:hint="eastAsia" w:eastAsia="Times New Roman"/>
                <w:color w:val="auto"/>
              </w:rPr>
              <w:t>/</w:t>
            </w:r>
          </w:p>
        </w:tc>
        <w:tc>
          <w:tcPr>
            <w:tcW w:w="312" w:type="pct"/>
            <w:tcBorders>
              <w:top w:val="single" w:color="000000" w:sz="2" w:space="0"/>
              <w:left w:val="single" w:color="000000" w:sz="2" w:space="0"/>
              <w:bottom w:val="single" w:color="000000" w:sz="2" w:space="0"/>
              <w:right w:val="single" w:color="000000" w:sz="2" w:space="0"/>
            </w:tcBorders>
            <w:vAlign w:val="center"/>
          </w:tcPr>
          <w:p w14:paraId="79D20E12">
            <w:pPr>
              <w:pStyle w:val="129"/>
              <w:widowControl w:val="0"/>
              <w:rPr>
                <w:rFonts w:eastAsia="Times New Roman"/>
                <w:color w:val="auto"/>
              </w:rPr>
            </w:pPr>
            <w:r>
              <w:rPr>
                <w:rFonts w:eastAsia="Times New Roman"/>
                <w:color w:val="auto"/>
              </w:rPr>
              <w:t>0.31</w:t>
            </w:r>
          </w:p>
        </w:tc>
        <w:tc>
          <w:tcPr>
            <w:tcW w:w="260" w:type="pct"/>
            <w:tcBorders>
              <w:top w:val="single" w:color="000000" w:sz="2" w:space="0"/>
              <w:left w:val="single" w:color="000000" w:sz="2" w:space="0"/>
              <w:bottom w:val="single" w:color="000000" w:sz="2" w:space="0"/>
              <w:right w:val="single" w:color="000000" w:sz="2" w:space="0"/>
            </w:tcBorders>
            <w:vAlign w:val="center"/>
          </w:tcPr>
          <w:p w14:paraId="0A72C719">
            <w:pPr>
              <w:pStyle w:val="129"/>
              <w:widowControl w:val="0"/>
              <w:rPr>
                <w:rFonts w:eastAsia="Times New Roman"/>
                <w:color w:val="auto"/>
              </w:rPr>
            </w:pPr>
            <w:r>
              <w:rPr>
                <w:rFonts w:hint="eastAsia" w:eastAsia="Times New Roman"/>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704CB59D">
            <w:pPr>
              <w:pStyle w:val="129"/>
              <w:widowControl w:val="0"/>
              <w:rPr>
                <w:rFonts w:eastAsia="Times New Roman"/>
                <w:color w:val="auto"/>
              </w:rPr>
            </w:pPr>
            <w:r>
              <w:rPr>
                <w:rFonts w:hint="eastAsia" w:eastAsia="Times New Roman"/>
                <w:color w:val="auto"/>
              </w:rPr>
              <w:t>/</w:t>
            </w:r>
          </w:p>
        </w:tc>
        <w:tc>
          <w:tcPr>
            <w:tcW w:w="431" w:type="pct"/>
            <w:tcBorders>
              <w:top w:val="single" w:color="000000" w:sz="2" w:space="0"/>
              <w:left w:val="single" w:color="000000" w:sz="2" w:space="0"/>
              <w:bottom w:val="single" w:color="000000" w:sz="2" w:space="0"/>
              <w:right w:val="single" w:color="000000" w:sz="8" w:space="0"/>
            </w:tcBorders>
            <w:vAlign w:val="center"/>
          </w:tcPr>
          <w:p w14:paraId="49E03654">
            <w:pPr>
              <w:pStyle w:val="129"/>
              <w:widowControl w:val="0"/>
              <w:rPr>
                <w:rFonts w:eastAsia="Times New Roman"/>
                <w:color w:val="auto"/>
              </w:rPr>
            </w:pPr>
            <w:r>
              <w:rPr>
                <w:rFonts w:hint="eastAsia" w:eastAsia="Times New Roman"/>
                <w:color w:val="auto"/>
              </w:rPr>
              <w:t>满足</w:t>
            </w:r>
            <w:r>
              <w:rPr>
                <w:rFonts w:eastAsia="Times New Roman"/>
                <w:color w:val="auto"/>
              </w:rPr>
              <w:t>≤</w:t>
            </w:r>
            <w:r>
              <w:rPr>
                <w:rFonts w:hint="eastAsia" w:eastAsia="Times New Roman"/>
                <w:color w:val="auto"/>
              </w:rPr>
              <w:t>30%条件</w:t>
            </w:r>
          </w:p>
        </w:tc>
      </w:tr>
      <w:tr w14:paraId="28B3BB9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152" w:type="pct"/>
            <w:vMerge w:val="restart"/>
            <w:tcBorders>
              <w:top w:val="single" w:color="000000" w:sz="2" w:space="0"/>
              <w:left w:val="single" w:color="000000" w:sz="8" w:space="0"/>
              <w:bottom w:val="single" w:color="000000" w:sz="2" w:space="0"/>
              <w:right w:val="single" w:color="000000" w:sz="2" w:space="0"/>
            </w:tcBorders>
            <w:vAlign w:val="center"/>
          </w:tcPr>
          <w:p w14:paraId="0F0871E7">
            <w:pPr>
              <w:pStyle w:val="129"/>
              <w:widowControl w:val="0"/>
              <w:rPr>
                <w:rFonts w:eastAsia="Times New Roman"/>
                <w:color w:val="auto"/>
              </w:rPr>
            </w:pPr>
            <w:r>
              <w:rPr>
                <w:rFonts w:hint="eastAsia" w:eastAsia="Times New Roman"/>
                <w:color w:val="auto"/>
              </w:rPr>
              <w:t>d)</w:t>
            </w:r>
          </w:p>
        </w:tc>
        <w:tc>
          <w:tcPr>
            <w:tcW w:w="1247" w:type="pct"/>
            <w:tcBorders>
              <w:top w:val="single" w:color="000000" w:sz="2" w:space="0"/>
              <w:left w:val="single" w:color="000000" w:sz="2" w:space="0"/>
              <w:bottom w:val="single" w:color="000000" w:sz="2" w:space="0"/>
              <w:right w:val="single" w:color="000000" w:sz="2" w:space="0"/>
            </w:tcBorders>
            <w:vAlign w:val="center"/>
          </w:tcPr>
          <w:p w14:paraId="52066C54">
            <w:pPr>
              <w:pStyle w:val="129"/>
              <w:widowControl w:val="0"/>
              <w:rPr>
                <w:rFonts w:eastAsia="Times New Roman"/>
                <w:color w:val="auto"/>
              </w:rPr>
            </w:pPr>
            <w:r>
              <w:rPr>
                <w:rFonts w:hint="eastAsia" w:eastAsia="Times New Roman"/>
                <w:color w:val="auto"/>
              </w:rPr>
              <w:t>项目环境影响符合环境功能区划或满足区域环境质量改善目标。现状浓度超标的污染物评价，叠加达标年目标浓度、区域削减污染源以及在建、拟建项目的环境影响后，污染物的保证率日平均质量浓度和年平均质量浓度均符合环境质量标准或满足达标规划确定的区域环境质量改善目标或按8.8.4计算的预测范围内年平均质量浓度变化率k≤</w:t>
            </w:r>
            <w:r>
              <w:rPr>
                <w:rFonts w:hint="eastAsia" w:ascii="微软雅黑" w:hAnsi="微软雅黑" w:eastAsia="微软雅黑"/>
                <w:color w:val="auto"/>
              </w:rPr>
              <w:t>−</w:t>
            </w:r>
            <w:r>
              <w:rPr>
                <w:rFonts w:hint="eastAsia" w:eastAsia="Times New Roman"/>
                <w:color w:val="auto"/>
              </w:rPr>
              <w:t>20%；</w:t>
            </w:r>
          </w:p>
        </w:tc>
        <w:tc>
          <w:tcPr>
            <w:tcW w:w="312" w:type="pct"/>
            <w:tcBorders>
              <w:top w:val="single" w:color="000000" w:sz="2" w:space="0"/>
              <w:left w:val="single" w:color="000000" w:sz="2" w:space="0"/>
              <w:bottom w:val="single" w:color="000000" w:sz="2" w:space="0"/>
              <w:right w:val="single" w:color="000000" w:sz="2" w:space="0"/>
            </w:tcBorders>
            <w:vAlign w:val="center"/>
          </w:tcPr>
          <w:p w14:paraId="5B76C24F">
            <w:pPr>
              <w:pStyle w:val="129"/>
              <w:widowControl w:val="0"/>
              <w:rPr>
                <w:rFonts w:eastAsia="Times New Roman"/>
                <w:color w:val="auto"/>
              </w:rPr>
            </w:pPr>
            <w:r>
              <w:rPr>
                <w:rFonts w:hint="eastAsia" w:eastAsia="Times New Roman"/>
                <w:color w:val="auto"/>
              </w:rPr>
              <w:t>/</w:t>
            </w:r>
          </w:p>
        </w:tc>
        <w:tc>
          <w:tcPr>
            <w:tcW w:w="363" w:type="pct"/>
            <w:tcBorders>
              <w:top w:val="single" w:color="000000" w:sz="2" w:space="0"/>
              <w:left w:val="single" w:color="000000" w:sz="2" w:space="0"/>
              <w:bottom w:val="single" w:color="000000" w:sz="2" w:space="0"/>
              <w:right w:val="single" w:color="000000" w:sz="2" w:space="0"/>
            </w:tcBorders>
            <w:vAlign w:val="center"/>
          </w:tcPr>
          <w:p w14:paraId="76092AD6">
            <w:pPr>
              <w:pStyle w:val="129"/>
              <w:widowControl w:val="0"/>
              <w:rPr>
                <w:rFonts w:eastAsia="Times New Roman"/>
                <w:color w:val="auto"/>
                <w:highlight w:val="yellow"/>
              </w:rPr>
            </w:pPr>
            <w:r>
              <w:rPr>
                <w:rFonts w:eastAsia="Times New Roman"/>
                <w:color w:val="auto"/>
              </w:rPr>
              <w:t>-</w:t>
            </w:r>
            <w:r>
              <w:rPr>
                <w:rFonts w:hint="eastAsia" w:eastAsia="Times New Roman"/>
                <w:color w:val="auto"/>
              </w:rPr>
              <w:t>38.11</w:t>
            </w:r>
          </w:p>
        </w:tc>
        <w:tc>
          <w:tcPr>
            <w:tcW w:w="364" w:type="pct"/>
            <w:tcBorders>
              <w:top w:val="single" w:color="000000" w:sz="2" w:space="0"/>
              <w:left w:val="single" w:color="000000" w:sz="2" w:space="0"/>
              <w:bottom w:val="single" w:color="000000" w:sz="2" w:space="0"/>
              <w:right w:val="single" w:color="000000" w:sz="2" w:space="0"/>
            </w:tcBorders>
            <w:vAlign w:val="center"/>
          </w:tcPr>
          <w:p w14:paraId="58BD4149">
            <w:pPr>
              <w:pStyle w:val="129"/>
              <w:widowControl w:val="0"/>
              <w:rPr>
                <w:rFonts w:eastAsia="Times New Roman"/>
                <w:color w:val="auto"/>
                <w:highlight w:val="yellow"/>
              </w:rPr>
            </w:pPr>
            <w:r>
              <w:rPr>
                <w:rFonts w:eastAsia="Times New Roman"/>
                <w:color w:val="auto"/>
              </w:rPr>
              <w:t>-38.09</w:t>
            </w:r>
          </w:p>
        </w:tc>
        <w:tc>
          <w:tcPr>
            <w:tcW w:w="338" w:type="pct"/>
            <w:tcBorders>
              <w:left w:val="single" w:color="000000" w:sz="2" w:space="0"/>
              <w:right w:val="single" w:color="000000" w:sz="2" w:space="0"/>
            </w:tcBorders>
            <w:vAlign w:val="center"/>
          </w:tcPr>
          <w:p w14:paraId="6F7E7CEF">
            <w:pPr>
              <w:pStyle w:val="129"/>
              <w:widowControl w:val="0"/>
              <w:rPr>
                <w:rFonts w:eastAsia="Times New Roman"/>
                <w:color w:val="auto"/>
              </w:rPr>
            </w:pPr>
            <w:r>
              <w:rPr>
                <w:rFonts w:hint="eastAsia" w:eastAsia="Times New Roman"/>
                <w:color w:val="auto"/>
              </w:rPr>
              <w:t>/</w:t>
            </w:r>
          </w:p>
        </w:tc>
        <w:tc>
          <w:tcPr>
            <w:tcW w:w="338" w:type="pct"/>
            <w:tcBorders>
              <w:left w:val="single" w:color="000000" w:sz="2" w:space="0"/>
              <w:right w:val="single" w:color="000000" w:sz="2" w:space="0"/>
            </w:tcBorders>
            <w:vAlign w:val="center"/>
          </w:tcPr>
          <w:p w14:paraId="628BE0D9">
            <w:pPr>
              <w:pStyle w:val="129"/>
              <w:widowControl w:val="0"/>
              <w:rPr>
                <w:rFonts w:eastAsia="Times New Roman"/>
                <w:color w:val="auto"/>
              </w:rPr>
            </w:pPr>
            <w:r>
              <w:rPr>
                <w:rFonts w:hint="eastAsia" w:eastAsia="Times New Roman"/>
                <w:color w:val="auto"/>
              </w:rPr>
              <w:t>/</w:t>
            </w:r>
          </w:p>
        </w:tc>
        <w:tc>
          <w:tcPr>
            <w:tcW w:w="312" w:type="pct"/>
            <w:tcBorders>
              <w:top w:val="single" w:color="000000" w:sz="2" w:space="0"/>
              <w:left w:val="single" w:color="000000" w:sz="2" w:space="0"/>
              <w:bottom w:val="single" w:color="000000" w:sz="2" w:space="0"/>
              <w:right w:val="single" w:color="000000" w:sz="2" w:space="0"/>
            </w:tcBorders>
            <w:vAlign w:val="center"/>
          </w:tcPr>
          <w:p w14:paraId="2B3DC0C5">
            <w:pPr>
              <w:pStyle w:val="129"/>
              <w:widowControl w:val="0"/>
              <w:rPr>
                <w:rFonts w:eastAsia="Times New Roman"/>
                <w:color w:val="auto"/>
              </w:rPr>
            </w:pPr>
            <w:r>
              <w:rPr>
                <w:rFonts w:hint="eastAsia" w:eastAsiaTheme="minorEastAsia"/>
                <w:color w:val="auto"/>
              </w:rPr>
              <w:t>/</w:t>
            </w:r>
          </w:p>
        </w:tc>
        <w:tc>
          <w:tcPr>
            <w:tcW w:w="311" w:type="pct"/>
            <w:tcBorders>
              <w:top w:val="single" w:color="000000" w:sz="2" w:space="0"/>
              <w:left w:val="single" w:color="000000" w:sz="2" w:space="0"/>
              <w:bottom w:val="single" w:color="000000" w:sz="2" w:space="0"/>
              <w:right w:val="single" w:color="000000" w:sz="2" w:space="0"/>
            </w:tcBorders>
            <w:vAlign w:val="center"/>
          </w:tcPr>
          <w:p w14:paraId="7B191A88">
            <w:pPr>
              <w:pStyle w:val="129"/>
              <w:widowControl w:val="0"/>
              <w:rPr>
                <w:rFonts w:eastAsiaTheme="minorEastAsia"/>
                <w:color w:val="auto"/>
              </w:rPr>
            </w:pPr>
            <w:r>
              <w:rPr>
                <w:rFonts w:hint="eastAsia" w:eastAsia="Times New Roman"/>
                <w:color w:val="auto"/>
              </w:rPr>
              <w:t>/</w:t>
            </w:r>
          </w:p>
        </w:tc>
        <w:tc>
          <w:tcPr>
            <w:tcW w:w="312" w:type="pct"/>
            <w:tcBorders>
              <w:top w:val="single" w:color="000000" w:sz="2" w:space="0"/>
              <w:left w:val="single" w:color="000000" w:sz="2" w:space="0"/>
              <w:bottom w:val="single" w:color="000000" w:sz="2" w:space="0"/>
              <w:right w:val="single" w:color="000000" w:sz="2" w:space="0"/>
            </w:tcBorders>
            <w:vAlign w:val="center"/>
          </w:tcPr>
          <w:p w14:paraId="0D1BD2DD">
            <w:pPr>
              <w:pStyle w:val="129"/>
              <w:widowControl w:val="0"/>
              <w:rPr>
                <w:rFonts w:eastAsiaTheme="minorEastAsia"/>
                <w:color w:val="auto"/>
              </w:rPr>
            </w:pPr>
            <w:r>
              <w:rPr>
                <w:rFonts w:hint="eastAsia" w:eastAsiaTheme="minorEastAsia"/>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7F751AB5">
            <w:pPr>
              <w:pStyle w:val="129"/>
              <w:widowControl w:val="0"/>
              <w:rPr>
                <w:rFonts w:eastAsia="Times New Roman"/>
                <w:color w:val="auto"/>
              </w:rPr>
            </w:pPr>
            <w:r>
              <w:rPr>
                <w:rFonts w:hint="eastAsia" w:eastAsia="Times New Roman"/>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4A8E9B52">
            <w:pPr>
              <w:pStyle w:val="129"/>
              <w:widowControl w:val="0"/>
              <w:rPr>
                <w:rFonts w:eastAsia="Times New Roman"/>
                <w:color w:val="auto"/>
              </w:rPr>
            </w:pPr>
            <w:r>
              <w:rPr>
                <w:rFonts w:hint="eastAsia" w:eastAsia="Times New Roman"/>
                <w:color w:val="auto"/>
              </w:rPr>
              <w:t>/</w:t>
            </w:r>
          </w:p>
        </w:tc>
        <w:tc>
          <w:tcPr>
            <w:tcW w:w="431" w:type="pct"/>
            <w:tcBorders>
              <w:top w:val="single" w:color="000000" w:sz="2" w:space="0"/>
              <w:left w:val="single" w:color="000000" w:sz="2" w:space="0"/>
              <w:bottom w:val="single" w:color="000000" w:sz="2" w:space="0"/>
              <w:right w:val="single" w:color="000000" w:sz="8" w:space="0"/>
            </w:tcBorders>
            <w:vAlign w:val="center"/>
          </w:tcPr>
          <w:p w14:paraId="5BE98582">
            <w:pPr>
              <w:pStyle w:val="129"/>
              <w:widowControl w:val="0"/>
              <w:rPr>
                <w:rFonts w:eastAsia="Times New Roman"/>
                <w:color w:val="auto"/>
              </w:rPr>
            </w:pPr>
            <w:r>
              <w:rPr>
                <w:rFonts w:hint="eastAsia" w:eastAsia="Times New Roman"/>
                <w:color w:val="auto"/>
              </w:rPr>
              <w:t>/</w:t>
            </w:r>
          </w:p>
        </w:tc>
      </w:tr>
      <w:tr w14:paraId="341EFB5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673" w:hRule="atLeast"/>
        </w:trPr>
        <w:tc>
          <w:tcPr>
            <w:tcW w:w="152" w:type="pct"/>
            <w:vMerge w:val="continue"/>
            <w:tcBorders>
              <w:top w:val="single" w:color="000000" w:sz="2" w:space="0"/>
              <w:left w:val="single" w:color="000000" w:sz="8" w:space="0"/>
              <w:bottom w:val="single" w:color="000000" w:sz="2" w:space="0"/>
              <w:right w:val="single" w:color="000000" w:sz="2" w:space="0"/>
            </w:tcBorders>
            <w:vAlign w:val="center"/>
          </w:tcPr>
          <w:p w14:paraId="122FA6BC">
            <w:pPr>
              <w:pStyle w:val="129"/>
              <w:widowControl w:val="0"/>
              <w:rPr>
                <w:rFonts w:eastAsia="Times New Roman"/>
                <w:color w:val="auto"/>
              </w:rPr>
            </w:pPr>
          </w:p>
        </w:tc>
        <w:tc>
          <w:tcPr>
            <w:tcW w:w="1247" w:type="pct"/>
            <w:vMerge w:val="restart"/>
            <w:tcBorders>
              <w:top w:val="single" w:color="000000" w:sz="2" w:space="0"/>
              <w:left w:val="single" w:color="000000" w:sz="2" w:space="0"/>
              <w:bottom w:val="single" w:color="000000" w:sz="2" w:space="0"/>
              <w:right w:val="single" w:color="000000" w:sz="2" w:space="0"/>
            </w:tcBorders>
            <w:vAlign w:val="center"/>
          </w:tcPr>
          <w:p w14:paraId="491C33D7">
            <w:pPr>
              <w:pStyle w:val="129"/>
              <w:widowControl w:val="0"/>
              <w:rPr>
                <w:rFonts w:eastAsia="Times New Roman"/>
                <w:color w:val="auto"/>
              </w:rPr>
            </w:pPr>
            <w:r>
              <w:rPr>
                <w:rFonts w:hint="eastAsia" w:eastAsia="Times New Roman"/>
                <w:color w:val="auto"/>
              </w:rPr>
              <w:t>对于现状达标的污染物评价，叠加后污染物浓度符合环境质量标准；对于项目排放的主要污染物仅有短期浓度限值的，叠加后的短期浓度符合环境质量标准</w:t>
            </w:r>
          </w:p>
        </w:tc>
        <w:tc>
          <w:tcPr>
            <w:tcW w:w="312" w:type="pct"/>
            <w:tcBorders>
              <w:top w:val="single" w:color="000000" w:sz="2" w:space="0"/>
              <w:left w:val="single" w:color="000000" w:sz="2" w:space="0"/>
              <w:bottom w:val="single" w:color="000000" w:sz="2" w:space="0"/>
              <w:right w:val="single" w:color="000000" w:sz="2" w:space="0"/>
            </w:tcBorders>
            <w:vAlign w:val="center"/>
          </w:tcPr>
          <w:p w14:paraId="59FDAC20">
            <w:pPr>
              <w:pStyle w:val="129"/>
              <w:widowControl w:val="0"/>
              <w:rPr>
                <w:rFonts w:eastAsia="Times New Roman"/>
                <w:color w:val="auto"/>
              </w:rPr>
            </w:pPr>
            <w:r>
              <w:rPr>
                <w:rFonts w:hint="eastAsia" w:eastAsia="Times New Roman"/>
                <w:color w:val="auto"/>
              </w:rPr>
              <w:t>小时值</w:t>
            </w:r>
          </w:p>
        </w:tc>
        <w:tc>
          <w:tcPr>
            <w:tcW w:w="363" w:type="pct"/>
            <w:tcBorders>
              <w:top w:val="single" w:color="000000" w:sz="2" w:space="0"/>
              <w:left w:val="single" w:color="000000" w:sz="2" w:space="0"/>
              <w:bottom w:val="single" w:color="000000" w:sz="2" w:space="0"/>
              <w:right w:val="single" w:color="000000" w:sz="2" w:space="0"/>
            </w:tcBorders>
            <w:vAlign w:val="center"/>
          </w:tcPr>
          <w:p w14:paraId="73C12C7A">
            <w:pPr>
              <w:pStyle w:val="129"/>
              <w:widowControl w:val="0"/>
              <w:rPr>
                <w:rFonts w:eastAsia="Times New Roman"/>
                <w:color w:val="auto"/>
              </w:rPr>
            </w:pPr>
            <w:r>
              <w:rPr>
                <w:rFonts w:hint="eastAsia" w:eastAsia="Times New Roman"/>
                <w:color w:val="auto"/>
              </w:rPr>
              <w:t>/</w:t>
            </w:r>
          </w:p>
        </w:tc>
        <w:tc>
          <w:tcPr>
            <w:tcW w:w="364" w:type="pct"/>
            <w:tcBorders>
              <w:top w:val="single" w:color="000000" w:sz="2" w:space="0"/>
              <w:left w:val="single" w:color="000000" w:sz="2" w:space="0"/>
              <w:bottom w:val="single" w:color="000000" w:sz="2" w:space="0"/>
              <w:right w:val="single" w:color="000000" w:sz="2" w:space="0"/>
            </w:tcBorders>
            <w:vAlign w:val="center"/>
          </w:tcPr>
          <w:p w14:paraId="54D430E4">
            <w:pPr>
              <w:pStyle w:val="129"/>
              <w:widowControl w:val="0"/>
              <w:rPr>
                <w:rFonts w:eastAsia="Times New Roman"/>
                <w:color w:val="auto"/>
              </w:rPr>
            </w:pPr>
            <w:r>
              <w:rPr>
                <w:rFonts w:hint="eastAsia" w:eastAsia="Times New Roman"/>
                <w:color w:val="auto"/>
              </w:rPr>
              <w:t>/</w:t>
            </w:r>
          </w:p>
        </w:tc>
        <w:tc>
          <w:tcPr>
            <w:tcW w:w="338" w:type="pct"/>
            <w:tcBorders>
              <w:left w:val="single" w:color="000000" w:sz="2" w:space="0"/>
              <w:right w:val="single" w:color="000000" w:sz="2" w:space="0"/>
            </w:tcBorders>
            <w:vAlign w:val="center"/>
          </w:tcPr>
          <w:p w14:paraId="6B647C4F">
            <w:pPr>
              <w:pStyle w:val="129"/>
              <w:widowControl w:val="0"/>
              <w:rPr>
                <w:rFonts w:eastAsia="Times New Roman"/>
                <w:color w:val="auto"/>
              </w:rPr>
            </w:pPr>
            <w:r>
              <w:rPr>
                <w:rFonts w:hint="eastAsia" w:eastAsia="Times New Roman"/>
                <w:color w:val="auto"/>
              </w:rPr>
              <w:t>/</w:t>
            </w:r>
          </w:p>
        </w:tc>
        <w:tc>
          <w:tcPr>
            <w:tcW w:w="338" w:type="pct"/>
            <w:tcBorders>
              <w:left w:val="single" w:color="000000" w:sz="2" w:space="0"/>
              <w:right w:val="single" w:color="000000" w:sz="2" w:space="0"/>
            </w:tcBorders>
            <w:vAlign w:val="center"/>
          </w:tcPr>
          <w:p w14:paraId="0901C89B">
            <w:pPr>
              <w:pStyle w:val="129"/>
              <w:widowControl w:val="0"/>
              <w:rPr>
                <w:rFonts w:eastAsia="Times New Roman"/>
                <w:color w:val="auto"/>
              </w:rPr>
            </w:pPr>
            <w:r>
              <w:rPr>
                <w:rFonts w:hint="eastAsia" w:eastAsia="Times New Roman"/>
                <w:color w:val="auto"/>
              </w:rPr>
              <w:t>/</w:t>
            </w:r>
          </w:p>
        </w:tc>
        <w:tc>
          <w:tcPr>
            <w:tcW w:w="312" w:type="pct"/>
            <w:tcBorders>
              <w:top w:val="single" w:color="000000" w:sz="2" w:space="0"/>
              <w:left w:val="single" w:color="000000" w:sz="2" w:space="0"/>
              <w:bottom w:val="single" w:color="000000" w:sz="2" w:space="0"/>
              <w:right w:val="single" w:color="000000" w:sz="2" w:space="0"/>
            </w:tcBorders>
            <w:vAlign w:val="center"/>
          </w:tcPr>
          <w:p w14:paraId="247996FC">
            <w:pPr>
              <w:pStyle w:val="129"/>
              <w:widowControl w:val="0"/>
              <w:rPr>
                <w:rFonts w:eastAsia="Times New Roman"/>
                <w:color w:val="auto"/>
              </w:rPr>
            </w:pPr>
            <w:r>
              <w:rPr>
                <w:rFonts w:hint="eastAsia" w:eastAsia="Times New Roman"/>
                <w:color w:val="auto"/>
              </w:rPr>
              <w:t>90.01</w:t>
            </w:r>
          </w:p>
        </w:tc>
        <w:tc>
          <w:tcPr>
            <w:tcW w:w="311" w:type="pct"/>
            <w:tcBorders>
              <w:top w:val="single" w:color="000000" w:sz="2" w:space="0"/>
              <w:left w:val="single" w:color="000000" w:sz="2" w:space="0"/>
              <w:bottom w:val="single" w:color="000000" w:sz="2" w:space="0"/>
              <w:right w:val="single" w:color="000000" w:sz="2" w:space="0"/>
            </w:tcBorders>
            <w:vAlign w:val="center"/>
          </w:tcPr>
          <w:p w14:paraId="67A20F9F">
            <w:pPr>
              <w:pStyle w:val="129"/>
              <w:widowControl w:val="0"/>
              <w:rPr>
                <w:rFonts w:eastAsia="Times New Roman"/>
                <w:color w:val="auto"/>
              </w:rPr>
            </w:pPr>
            <w:r>
              <w:rPr>
                <w:rFonts w:hint="eastAsia" w:eastAsia="Times New Roman"/>
                <w:color w:val="auto"/>
              </w:rPr>
              <w:t>98.44</w:t>
            </w:r>
          </w:p>
        </w:tc>
        <w:tc>
          <w:tcPr>
            <w:tcW w:w="312" w:type="pct"/>
            <w:tcBorders>
              <w:top w:val="single" w:color="000000" w:sz="2" w:space="0"/>
              <w:left w:val="single" w:color="000000" w:sz="2" w:space="0"/>
              <w:bottom w:val="single" w:color="000000" w:sz="2" w:space="0"/>
              <w:right w:val="single" w:color="000000" w:sz="2" w:space="0"/>
            </w:tcBorders>
            <w:vAlign w:val="center"/>
          </w:tcPr>
          <w:p w14:paraId="4F3E2AF1">
            <w:pPr>
              <w:pStyle w:val="129"/>
              <w:widowControl w:val="0"/>
              <w:rPr>
                <w:rFonts w:eastAsiaTheme="minorEastAsia"/>
                <w:color w:val="auto"/>
              </w:rPr>
            </w:pPr>
            <w:r>
              <w:rPr>
                <w:rFonts w:hint="eastAsia" w:eastAsiaTheme="minorEastAsia"/>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1F0233C6">
            <w:pPr>
              <w:pStyle w:val="129"/>
              <w:widowControl w:val="0"/>
              <w:rPr>
                <w:rFonts w:eastAsia="Times New Roman"/>
                <w:color w:val="auto"/>
              </w:rPr>
            </w:pPr>
            <w:r>
              <w:rPr>
                <w:rFonts w:hint="eastAsia" w:eastAsia="Times New Roman"/>
                <w:color w:val="auto"/>
              </w:rPr>
              <w:t>0.04</w:t>
            </w:r>
          </w:p>
        </w:tc>
        <w:tc>
          <w:tcPr>
            <w:tcW w:w="260" w:type="pct"/>
            <w:tcBorders>
              <w:top w:val="single" w:color="000000" w:sz="2" w:space="0"/>
              <w:left w:val="single" w:color="000000" w:sz="2" w:space="0"/>
              <w:bottom w:val="single" w:color="000000" w:sz="2" w:space="0"/>
              <w:right w:val="single" w:color="000000" w:sz="2" w:space="0"/>
            </w:tcBorders>
            <w:vAlign w:val="center"/>
          </w:tcPr>
          <w:p w14:paraId="3288ECB3">
            <w:pPr>
              <w:pStyle w:val="129"/>
              <w:widowControl w:val="0"/>
              <w:rPr>
                <w:rFonts w:eastAsiaTheme="minorEastAsia"/>
                <w:color w:val="auto"/>
              </w:rPr>
            </w:pPr>
            <w:r>
              <w:rPr>
                <w:rFonts w:hint="eastAsia" w:eastAsiaTheme="minorEastAsia"/>
                <w:color w:val="auto"/>
              </w:rPr>
              <w:t>/</w:t>
            </w:r>
          </w:p>
        </w:tc>
        <w:tc>
          <w:tcPr>
            <w:tcW w:w="431" w:type="pct"/>
            <w:vMerge w:val="restart"/>
            <w:tcBorders>
              <w:top w:val="single" w:color="000000" w:sz="2" w:space="0"/>
              <w:left w:val="single" w:color="000000" w:sz="2" w:space="0"/>
              <w:bottom w:val="single" w:color="000000" w:sz="2" w:space="0"/>
              <w:right w:val="single" w:color="000000" w:sz="8" w:space="0"/>
            </w:tcBorders>
            <w:vAlign w:val="center"/>
          </w:tcPr>
          <w:p w14:paraId="49ED6A97">
            <w:pPr>
              <w:pStyle w:val="129"/>
              <w:widowControl w:val="0"/>
              <w:rPr>
                <w:rFonts w:eastAsia="Times New Roman"/>
                <w:color w:val="auto"/>
              </w:rPr>
            </w:pPr>
            <w:r>
              <w:rPr>
                <w:rFonts w:hint="eastAsia" w:eastAsia="Times New Roman"/>
                <w:color w:val="auto"/>
              </w:rPr>
              <w:t>满足叠加浓度符合环境质量标准的条件</w:t>
            </w:r>
          </w:p>
        </w:tc>
      </w:tr>
      <w:tr w14:paraId="2B82BBE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673" w:hRule="atLeast"/>
        </w:trPr>
        <w:tc>
          <w:tcPr>
            <w:tcW w:w="152" w:type="pct"/>
            <w:vMerge w:val="continue"/>
            <w:tcBorders>
              <w:top w:val="single" w:color="000000" w:sz="2" w:space="0"/>
              <w:left w:val="single" w:color="000000" w:sz="8" w:space="0"/>
              <w:bottom w:val="single" w:color="000000" w:sz="2" w:space="0"/>
              <w:right w:val="single" w:color="000000" w:sz="2" w:space="0"/>
            </w:tcBorders>
            <w:vAlign w:val="center"/>
          </w:tcPr>
          <w:p w14:paraId="239D4CAA">
            <w:pPr>
              <w:pStyle w:val="129"/>
              <w:widowControl w:val="0"/>
              <w:rPr>
                <w:rFonts w:eastAsia="Times New Roman"/>
                <w:color w:val="auto"/>
              </w:rPr>
            </w:pPr>
          </w:p>
        </w:tc>
        <w:tc>
          <w:tcPr>
            <w:tcW w:w="1247" w:type="pct"/>
            <w:vMerge w:val="continue"/>
            <w:tcBorders>
              <w:top w:val="single" w:color="000000" w:sz="2" w:space="0"/>
              <w:left w:val="single" w:color="000000" w:sz="2" w:space="0"/>
              <w:bottom w:val="single" w:color="000000" w:sz="2" w:space="0"/>
              <w:right w:val="single" w:color="000000" w:sz="2" w:space="0"/>
            </w:tcBorders>
            <w:vAlign w:val="center"/>
          </w:tcPr>
          <w:p w14:paraId="6492EC99">
            <w:pPr>
              <w:pStyle w:val="129"/>
              <w:widowControl w:val="0"/>
              <w:rPr>
                <w:rFonts w:eastAsia="Times New Roman"/>
                <w:color w:val="auto"/>
              </w:rPr>
            </w:pPr>
          </w:p>
        </w:tc>
        <w:tc>
          <w:tcPr>
            <w:tcW w:w="312" w:type="pct"/>
            <w:tcBorders>
              <w:top w:val="single" w:color="000000" w:sz="2" w:space="0"/>
              <w:left w:val="single" w:color="000000" w:sz="2" w:space="0"/>
              <w:bottom w:val="single" w:color="000000" w:sz="2" w:space="0"/>
              <w:right w:val="single" w:color="000000" w:sz="2" w:space="0"/>
            </w:tcBorders>
            <w:vAlign w:val="center"/>
          </w:tcPr>
          <w:p w14:paraId="738B976D">
            <w:pPr>
              <w:pStyle w:val="129"/>
              <w:widowControl w:val="0"/>
              <w:rPr>
                <w:rFonts w:eastAsia="Times New Roman"/>
                <w:color w:val="auto"/>
              </w:rPr>
            </w:pPr>
            <w:r>
              <w:rPr>
                <w:rFonts w:hint="eastAsia" w:eastAsia="Times New Roman"/>
                <w:color w:val="auto"/>
              </w:rPr>
              <w:t>日均值</w:t>
            </w:r>
          </w:p>
        </w:tc>
        <w:tc>
          <w:tcPr>
            <w:tcW w:w="363" w:type="pct"/>
            <w:tcBorders>
              <w:top w:val="single" w:color="000000" w:sz="2" w:space="0"/>
              <w:left w:val="single" w:color="000000" w:sz="2" w:space="0"/>
              <w:bottom w:val="single" w:color="000000" w:sz="2" w:space="0"/>
              <w:right w:val="single" w:color="000000" w:sz="2" w:space="0"/>
            </w:tcBorders>
            <w:vAlign w:val="center"/>
          </w:tcPr>
          <w:p w14:paraId="4D3D1560">
            <w:pPr>
              <w:pStyle w:val="129"/>
              <w:widowControl w:val="0"/>
              <w:rPr>
                <w:rFonts w:eastAsiaTheme="minorEastAsia"/>
                <w:color w:val="auto"/>
              </w:rPr>
            </w:pPr>
            <w:r>
              <w:rPr>
                <w:rFonts w:hint="eastAsia" w:eastAsiaTheme="minorEastAsia"/>
                <w:color w:val="auto"/>
              </w:rPr>
              <w:t>/</w:t>
            </w:r>
          </w:p>
        </w:tc>
        <w:tc>
          <w:tcPr>
            <w:tcW w:w="364" w:type="pct"/>
            <w:tcBorders>
              <w:top w:val="single" w:color="000000" w:sz="2" w:space="0"/>
              <w:left w:val="single" w:color="000000" w:sz="2" w:space="0"/>
              <w:bottom w:val="single" w:color="000000" w:sz="2" w:space="0"/>
              <w:right w:val="single" w:color="000000" w:sz="2" w:space="0"/>
            </w:tcBorders>
            <w:vAlign w:val="center"/>
          </w:tcPr>
          <w:p w14:paraId="3B69E98E">
            <w:pPr>
              <w:pStyle w:val="129"/>
              <w:widowControl w:val="0"/>
              <w:rPr>
                <w:rFonts w:eastAsiaTheme="minorEastAsia"/>
                <w:color w:val="auto"/>
              </w:rPr>
            </w:pPr>
            <w:r>
              <w:rPr>
                <w:rFonts w:hint="eastAsia" w:eastAsiaTheme="minorEastAsia"/>
                <w:color w:val="auto"/>
              </w:rPr>
              <w:t>/</w:t>
            </w:r>
          </w:p>
        </w:tc>
        <w:tc>
          <w:tcPr>
            <w:tcW w:w="338" w:type="pct"/>
            <w:tcBorders>
              <w:left w:val="single" w:color="000000" w:sz="2" w:space="0"/>
              <w:right w:val="single" w:color="000000" w:sz="2" w:space="0"/>
            </w:tcBorders>
            <w:vAlign w:val="center"/>
          </w:tcPr>
          <w:p w14:paraId="6931B2B7">
            <w:pPr>
              <w:pStyle w:val="129"/>
              <w:widowControl w:val="0"/>
              <w:rPr>
                <w:rFonts w:eastAsia="Times New Roman"/>
                <w:color w:val="auto"/>
              </w:rPr>
            </w:pPr>
            <w:r>
              <w:rPr>
                <w:rFonts w:hint="eastAsia" w:eastAsia="Times New Roman"/>
                <w:color w:val="auto"/>
              </w:rPr>
              <w:t>8.04</w:t>
            </w:r>
          </w:p>
        </w:tc>
        <w:tc>
          <w:tcPr>
            <w:tcW w:w="338" w:type="pct"/>
            <w:tcBorders>
              <w:left w:val="single" w:color="000000" w:sz="2" w:space="0"/>
              <w:right w:val="single" w:color="000000" w:sz="2" w:space="0"/>
            </w:tcBorders>
            <w:vAlign w:val="center"/>
          </w:tcPr>
          <w:p w14:paraId="32A21749">
            <w:pPr>
              <w:pStyle w:val="129"/>
              <w:widowControl w:val="0"/>
              <w:rPr>
                <w:rFonts w:eastAsia="Times New Roman"/>
                <w:color w:val="auto"/>
              </w:rPr>
            </w:pPr>
            <w:r>
              <w:rPr>
                <w:rFonts w:hint="eastAsia" w:eastAsia="Times New Roman"/>
                <w:color w:val="auto"/>
              </w:rPr>
              <w:t>89.17</w:t>
            </w:r>
          </w:p>
        </w:tc>
        <w:tc>
          <w:tcPr>
            <w:tcW w:w="312" w:type="pct"/>
            <w:tcBorders>
              <w:top w:val="single" w:color="000000" w:sz="2" w:space="0"/>
              <w:left w:val="single" w:color="000000" w:sz="2" w:space="0"/>
              <w:bottom w:val="single" w:color="000000" w:sz="2" w:space="0"/>
              <w:right w:val="single" w:color="000000" w:sz="2" w:space="0"/>
            </w:tcBorders>
            <w:vAlign w:val="center"/>
          </w:tcPr>
          <w:p w14:paraId="0F640837">
            <w:pPr>
              <w:pStyle w:val="129"/>
              <w:widowControl w:val="0"/>
              <w:rPr>
                <w:rFonts w:eastAsia="Times New Roman"/>
                <w:color w:val="auto"/>
              </w:rPr>
            </w:pPr>
            <w:r>
              <w:rPr>
                <w:rFonts w:hint="eastAsia" w:eastAsiaTheme="minorEastAsia"/>
                <w:color w:val="auto"/>
              </w:rPr>
              <w:t>/</w:t>
            </w:r>
          </w:p>
        </w:tc>
        <w:tc>
          <w:tcPr>
            <w:tcW w:w="311" w:type="pct"/>
            <w:tcBorders>
              <w:top w:val="single" w:color="000000" w:sz="2" w:space="0"/>
              <w:left w:val="single" w:color="000000" w:sz="2" w:space="0"/>
              <w:bottom w:val="single" w:color="000000" w:sz="2" w:space="0"/>
              <w:right w:val="single" w:color="000000" w:sz="2" w:space="0"/>
            </w:tcBorders>
            <w:vAlign w:val="center"/>
          </w:tcPr>
          <w:p w14:paraId="0B9BDE68">
            <w:pPr>
              <w:pStyle w:val="129"/>
              <w:widowControl w:val="0"/>
              <w:rPr>
                <w:rFonts w:eastAsiaTheme="minorEastAsia"/>
                <w:color w:val="auto"/>
              </w:rPr>
            </w:pPr>
            <w:r>
              <w:rPr>
                <w:rFonts w:hint="eastAsia" w:eastAsiaTheme="minorEastAsia"/>
                <w:color w:val="auto"/>
              </w:rPr>
              <w:t>/</w:t>
            </w:r>
          </w:p>
        </w:tc>
        <w:tc>
          <w:tcPr>
            <w:tcW w:w="312" w:type="pct"/>
            <w:tcBorders>
              <w:top w:val="single" w:color="000000" w:sz="2" w:space="0"/>
              <w:left w:val="single" w:color="000000" w:sz="2" w:space="0"/>
              <w:bottom w:val="single" w:color="000000" w:sz="2" w:space="0"/>
              <w:right w:val="single" w:color="000000" w:sz="2" w:space="0"/>
            </w:tcBorders>
            <w:vAlign w:val="center"/>
          </w:tcPr>
          <w:p w14:paraId="75AFE6A3">
            <w:pPr>
              <w:pStyle w:val="129"/>
              <w:widowControl w:val="0"/>
              <w:rPr>
                <w:rFonts w:eastAsiaTheme="minorEastAsia"/>
                <w:color w:val="auto"/>
              </w:rPr>
            </w:pPr>
            <w:r>
              <w:rPr>
                <w:rFonts w:eastAsia="Times New Roman"/>
                <w:color w:val="auto"/>
              </w:rPr>
              <w:t>58.73</w:t>
            </w:r>
          </w:p>
        </w:tc>
        <w:tc>
          <w:tcPr>
            <w:tcW w:w="260" w:type="pct"/>
            <w:tcBorders>
              <w:top w:val="single" w:color="000000" w:sz="2" w:space="0"/>
              <w:left w:val="single" w:color="000000" w:sz="2" w:space="0"/>
              <w:bottom w:val="single" w:color="000000" w:sz="2" w:space="0"/>
              <w:right w:val="single" w:color="000000" w:sz="2" w:space="0"/>
            </w:tcBorders>
            <w:vAlign w:val="center"/>
          </w:tcPr>
          <w:p w14:paraId="782FF785">
            <w:pPr>
              <w:pStyle w:val="129"/>
              <w:widowControl w:val="0"/>
              <w:rPr>
                <w:rFonts w:eastAsiaTheme="minorEastAsia"/>
                <w:color w:val="auto"/>
              </w:rPr>
            </w:pPr>
            <w:r>
              <w:rPr>
                <w:rFonts w:hint="eastAsia" w:eastAsiaTheme="minorEastAsia"/>
                <w:color w:val="auto"/>
              </w:rPr>
              <w:t>/</w:t>
            </w:r>
          </w:p>
        </w:tc>
        <w:tc>
          <w:tcPr>
            <w:tcW w:w="260" w:type="pct"/>
            <w:tcBorders>
              <w:top w:val="single" w:color="000000" w:sz="2" w:space="0"/>
              <w:left w:val="single" w:color="000000" w:sz="2" w:space="0"/>
              <w:bottom w:val="single" w:color="000000" w:sz="2" w:space="0"/>
              <w:right w:val="single" w:color="000000" w:sz="2" w:space="0"/>
            </w:tcBorders>
            <w:vAlign w:val="center"/>
          </w:tcPr>
          <w:p w14:paraId="63379057">
            <w:pPr>
              <w:pStyle w:val="129"/>
              <w:widowControl w:val="0"/>
              <w:rPr>
                <w:rFonts w:eastAsia="Times New Roman"/>
                <w:color w:val="auto"/>
              </w:rPr>
            </w:pPr>
            <w:r>
              <w:rPr>
                <w:rFonts w:hint="eastAsia" w:eastAsia="Times New Roman"/>
                <w:color w:val="auto"/>
              </w:rPr>
              <w:t>0.05</w:t>
            </w:r>
          </w:p>
        </w:tc>
        <w:tc>
          <w:tcPr>
            <w:tcW w:w="431" w:type="pct"/>
            <w:vMerge w:val="continue"/>
            <w:tcBorders>
              <w:top w:val="single" w:color="000000" w:sz="2" w:space="0"/>
              <w:left w:val="single" w:color="000000" w:sz="2" w:space="0"/>
              <w:bottom w:val="single" w:color="000000" w:sz="2" w:space="0"/>
              <w:right w:val="single" w:color="000000" w:sz="8" w:space="0"/>
            </w:tcBorders>
            <w:vAlign w:val="center"/>
          </w:tcPr>
          <w:p w14:paraId="65A95084">
            <w:pPr>
              <w:pStyle w:val="129"/>
              <w:widowControl w:val="0"/>
              <w:rPr>
                <w:rFonts w:eastAsia="Times New Roman"/>
                <w:color w:val="auto"/>
              </w:rPr>
            </w:pPr>
          </w:p>
        </w:tc>
      </w:tr>
      <w:tr w14:paraId="11B1427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673" w:hRule="atLeast"/>
        </w:trPr>
        <w:tc>
          <w:tcPr>
            <w:tcW w:w="152" w:type="pct"/>
            <w:vMerge w:val="continue"/>
            <w:tcBorders>
              <w:top w:val="single" w:color="000000" w:sz="2" w:space="0"/>
              <w:left w:val="single" w:color="000000" w:sz="8" w:space="0"/>
              <w:bottom w:val="single" w:color="000000" w:sz="2" w:space="0"/>
              <w:right w:val="single" w:color="000000" w:sz="2" w:space="0"/>
            </w:tcBorders>
            <w:vAlign w:val="center"/>
          </w:tcPr>
          <w:p w14:paraId="516F98F5">
            <w:pPr>
              <w:pStyle w:val="129"/>
              <w:widowControl w:val="0"/>
              <w:rPr>
                <w:rFonts w:eastAsia="Times New Roman"/>
                <w:color w:val="auto"/>
              </w:rPr>
            </w:pPr>
          </w:p>
        </w:tc>
        <w:tc>
          <w:tcPr>
            <w:tcW w:w="1247" w:type="pct"/>
            <w:vMerge w:val="continue"/>
            <w:tcBorders>
              <w:top w:val="single" w:color="000000" w:sz="2" w:space="0"/>
              <w:left w:val="single" w:color="000000" w:sz="2" w:space="0"/>
              <w:bottom w:val="single" w:color="000000" w:sz="2" w:space="0"/>
              <w:right w:val="single" w:color="000000" w:sz="2" w:space="0"/>
            </w:tcBorders>
            <w:vAlign w:val="center"/>
          </w:tcPr>
          <w:p w14:paraId="414BDB80">
            <w:pPr>
              <w:pStyle w:val="129"/>
              <w:widowControl w:val="0"/>
              <w:rPr>
                <w:rFonts w:eastAsia="Times New Roman"/>
                <w:color w:val="auto"/>
              </w:rPr>
            </w:pPr>
          </w:p>
        </w:tc>
        <w:tc>
          <w:tcPr>
            <w:tcW w:w="312" w:type="pct"/>
            <w:tcBorders>
              <w:top w:val="single" w:color="000000" w:sz="2" w:space="0"/>
              <w:left w:val="single" w:color="000000" w:sz="2" w:space="0"/>
              <w:bottom w:val="single" w:color="000000" w:sz="8" w:space="0"/>
              <w:right w:val="single" w:color="000000" w:sz="2" w:space="0"/>
            </w:tcBorders>
            <w:vAlign w:val="center"/>
          </w:tcPr>
          <w:p w14:paraId="163097F1">
            <w:pPr>
              <w:pStyle w:val="129"/>
              <w:widowControl w:val="0"/>
              <w:rPr>
                <w:rFonts w:eastAsia="Times New Roman"/>
                <w:color w:val="auto"/>
              </w:rPr>
            </w:pPr>
            <w:r>
              <w:rPr>
                <w:rFonts w:hint="eastAsia" w:eastAsia="Times New Roman"/>
                <w:color w:val="auto"/>
              </w:rPr>
              <w:t>年均值</w:t>
            </w:r>
          </w:p>
        </w:tc>
        <w:tc>
          <w:tcPr>
            <w:tcW w:w="363" w:type="pct"/>
            <w:tcBorders>
              <w:top w:val="single" w:color="000000" w:sz="2" w:space="0"/>
              <w:left w:val="single" w:color="000000" w:sz="2" w:space="0"/>
              <w:bottom w:val="single" w:color="000000" w:sz="8" w:space="0"/>
              <w:right w:val="single" w:color="000000" w:sz="2" w:space="0"/>
            </w:tcBorders>
            <w:vAlign w:val="center"/>
          </w:tcPr>
          <w:p w14:paraId="6141B53E">
            <w:pPr>
              <w:pStyle w:val="129"/>
              <w:widowControl w:val="0"/>
              <w:rPr>
                <w:rFonts w:eastAsiaTheme="minorEastAsia"/>
                <w:color w:val="auto"/>
              </w:rPr>
            </w:pPr>
            <w:r>
              <w:rPr>
                <w:rFonts w:hint="eastAsia" w:eastAsiaTheme="minorEastAsia"/>
                <w:color w:val="auto"/>
              </w:rPr>
              <w:t>/</w:t>
            </w:r>
          </w:p>
        </w:tc>
        <w:tc>
          <w:tcPr>
            <w:tcW w:w="364" w:type="pct"/>
            <w:tcBorders>
              <w:top w:val="single" w:color="000000" w:sz="2" w:space="0"/>
              <w:left w:val="single" w:color="000000" w:sz="2" w:space="0"/>
              <w:bottom w:val="single" w:color="000000" w:sz="8" w:space="0"/>
              <w:right w:val="single" w:color="000000" w:sz="2" w:space="0"/>
            </w:tcBorders>
            <w:vAlign w:val="center"/>
          </w:tcPr>
          <w:p w14:paraId="30D2EA4F">
            <w:pPr>
              <w:pStyle w:val="129"/>
              <w:widowControl w:val="0"/>
              <w:rPr>
                <w:rFonts w:eastAsiaTheme="minorEastAsia"/>
                <w:color w:val="auto"/>
              </w:rPr>
            </w:pPr>
            <w:r>
              <w:rPr>
                <w:rFonts w:hint="eastAsia" w:eastAsiaTheme="minorEastAsia"/>
                <w:color w:val="auto"/>
              </w:rPr>
              <w:t>/</w:t>
            </w:r>
          </w:p>
        </w:tc>
        <w:tc>
          <w:tcPr>
            <w:tcW w:w="338" w:type="pct"/>
            <w:tcBorders>
              <w:left w:val="single" w:color="000000" w:sz="2" w:space="0"/>
              <w:bottom w:val="single" w:color="000000" w:sz="8" w:space="0"/>
              <w:right w:val="single" w:color="000000" w:sz="2" w:space="0"/>
            </w:tcBorders>
            <w:vAlign w:val="center"/>
          </w:tcPr>
          <w:p w14:paraId="2673A9EC">
            <w:pPr>
              <w:pStyle w:val="129"/>
              <w:widowControl w:val="0"/>
              <w:rPr>
                <w:rFonts w:eastAsia="Times New Roman"/>
                <w:color w:val="auto"/>
              </w:rPr>
            </w:pPr>
            <w:r>
              <w:rPr>
                <w:rFonts w:hint="eastAsia" w:eastAsia="Times New Roman"/>
                <w:color w:val="auto"/>
              </w:rPr>
              <w:t>11.73</w:t>
            </w:r>
          </w:p>
        </w:tc>
        <w:tc>
          <w:tcPr>
            <w:tcW w:w="338" w:type="pct"/>
            <w:tcBorders>
              <w:left w:val="single" w:color="000000" w:sz="2" w:space="0"/>
              <w:bottom w:val="single" w:color="000000" w:sz="8" w:space="0"/>
              <w:right w:val="single" w:color="000000" w:sz="2" w:space="0"/>
            </w:tcBorders>
            <w:vAlign w:val="center"/>
          </w:tcPr>
          <w:p w14:paraId="3E4A98AD">
            <w:pPr>
              <w:pStyle w:val="129"/>
              <w:widowControl w:val="0"/>
              <w:rPr>
                <w:rFonts w:eastAsia="Times New Roman"/>
                <w:color w:val="auto"/>
              </w:rPr>
            </w:pPr>
            <w:r>
              <w:rPr>
                <w:rFonts w:hint="eastAsia" w:eastAsia="Times New Roman"/>
                <w:color w:val="auto"/>
              </w:rPr>
              <w:t>67.38</w:t>
            </w:r>
          </w:p>
        </w:tc>
        <w:tc>
          <w:tcPr>
            <w:tcW w:w="312" w:type="pct"/>
            <w:tcBorders>
              <w:top w:val="single" w:color="000000" w:sz="2" w:space="0"/>
              <w:left w:val="single" w:color="000000" w:sz="2" w:space="0"/>
              <w:bottom w:val="single" w:color="000000" w:sz="8" w:space="0"/>
              <w:right w:val="single" w:color="000000" w:sz="2" w:space="0"/>
            </w:tcBorders>
            <w:vAlign w:val="center"/>
          </w:tcPr>
          <w:p w14:paraId="4ED00BCC">
            <w:pPr>
              <w:pStyle w:val="129"/>
              <w:widowControl w:val="0"/>
              <w:rPr>
                <w:rFonts w:eastAsiaTheme="minorEastAsia"/>
                <w:color w:val="auto"/>
              </w:rPr>
            </w:pPr>
            <w:r>
              <w:rPr>
                <w:rFonts w:hint="eastAsia" w:eastAsiaTheme="minorEastAsia"/>
                <w:color w:val="auto"/>
              </w:rPr>
              <w:t>/</w:t>
            </w:r>
          </w:p>
        </w:tc>
        <w:tc>
          <w:tcPr>
            <w:tcW w:w="311" w:type="pct"/>
            <w:tcBorders>
              <w:top w:val="single" w:color="000000" w:sz="2" w:space="0"/>
              <w:left w:val="single" w:color="000000" w:sz="2" w:space="0"/>
              <w:bottom w:val="single" w:color="000000" w:sz="8" w:space="0"/>
              <w:right w:val="single" w:color="000000" w:sz="2" w:space="0"/>
            </w:tcBorders>
            <w:vAlign w:val="center"/>
          </w:tcPr>
          <w:p w14:paraId="1E6180FB">
            <w:pPr>
              <w:pStyle w:val="129"/>
              <w:widowControl w:val="0"/>
              <w:rPr>
                <w:rFonts w:eastAsiaTheme="minorEastAsia"/>
                <w:color w:val="auto"/>
              </w:rPr>
            </w:pPr>
            <w:r>
              <w:rPr>
                <w:rFonts w:hint="eastAsia" w:eastAsiaTheme="minorEastAsia"/>
                <w:color w:val="auto"/>
              </w:rPr>
              <w:t>/</w:t>
            </w:r>
          </w:p>
        </w:tc>
        <w:tc>
          <w:tcPr>
            <w:tcW w:w="312" w:type="pct"/>
            <w:tcBorders>
              <w:top w:val="single" w:color="000000" w:sz="2" w:space="0"/>
              <w:left w:val="single" w:color="000000" w:sz="2" w:space="0"/>
              <w:bottom w:val="single" w:color="000000" w:sz="8" w:space="0"/>
              <w:right w:val="single" w:color="000000" w:sz="2" w:space="0"/>
            </w:tcBorders>
            <w:vAlign w:val="center"/>
          </w:tcPr>
          <w:p w14:paraId="1D9DD7EE">
            <w:pPr>
              <w:pStyle w:val="129"/>
              <w:widowControl w:val="0"/>
              <w:rPr>
                <w:rFonts w:eastAsiaTheme="minorEastAsia"/>
                <w:color w:val="auto"/>
              </w:rPr>
            </w:pPr>
            <w:r>
              <w:rPr>
                <w:rFonts w:hint="eastAsia" w:eastAsiaTheme="minorEastAsia"/>
                <w:color w:val="auto"/>
              </w:rPr>
              <w:t>/</w:t>
            </w:r>
          </w:p>
        </w:tc>
        <w:tc>
          <w:tcPr>
            <w:tcW w:w="260" w:type="pct"/>
            <w:tcBorders>
              <w:top w:val="single" w:color="000000" w:sz="2" w:space="0"/>
              <w:left w:val="single" w:color="000000" w:sz="2" w:space="0"/>
              <w:bottom w:val="single" w:color="000000" w:sz="8" w:space="0"/>
              <w:right w:val="single" w:color="000000" w:sz="2" w:space="0"/>
            </w:tcBorders>
            <w:vAlign w:val="center"/>
          </w:tcPr>
          <w:p w14:paraId="4B718885">
            <w:pPr>
              <w:pStyle w:val="129"/>
              <w:widowControl w:val="0"/>
              <w:rPr>
                <w:rFonts w:eastAsiaTheme="minorEastAsia"/>
                <w:color w:val="auto"/>
              </w:rPr>
            </w:pPr>
            <w:r>
              <w:rPr>
                <w:rFonts w:hint="eastAsia" w:eastAsiaTheme="minorEastAsia"/>
                <w:color w:val="auto"/>
              </w:rPr>
              <w:t>/</w:t>
            </w:r>
          </w:p>
        </w:tc>
        <w:tc>
          <w:tcPr>
            <w:tcW w:w="260" w:type="pct"/>
            <w:tcBorders>
              <w:top w:val="single" w:color="000000" w:sz="2" w:space="0"/>
              <w:left w:val="single" w:color="000000" w:sz="2" w:space="0"/>
              <w:bottom w:val="single" w:color="000000" w:sz="8" w:space="0"/>
              <w:right w:val="single" w:color="000000" w:sz="2" w:space="0"/>
            </w:tcBorders>
            <w:vAlign w:val="center"/>
          </w:tcPr>
          <w:p w14:paraId="5D8F45F5">
            <w:pPr>
              <w:pStyle w:val="129"/>
              <w:widowControl w:val="0"/>
              <w:rPr>
                <w:rFonts w:eastAsiaTheme="minorEastAsia"/>
                <w:color w:val="auto"/>
              </w:rPr>
            </w:pPr>
            <w:r>
              <w:rPr>
                <w:rFonts w:hint="eastAsia" w:eastAsiaTheme="minorEastAsia"/>
                <w:color w:val="auto"/>
              </w:rPr>
              <w:t>/</w:t>
            </w:r>
          </w:p>
        </w:tc>
        <w:tc>
          <w:tcPr>
            <w:tcW w:w="431" w:type="pct"/>
            <w:vMerge w:val="continue"/>
            <w:tcBorders>
              <w:top w:val="single" w:color="000000" w:sz="2" w:space="0"/>
              <w:left w:val="single" w:color="000000" w:sz="2" w:space="0"/>
              <w:bottom w:val="single" w:color="000000" w:sz="2" w:space="0"/>
              <w:right w:val="single" w:color="000000" w:sz="8" w:space="0"/>
            </w:tcBorders>
            <w:vAlign w:val="center"/>
          </w:tcPr>
          <w:p w14:paraId="5C7BBA91">
            <w:pPr>
              <w:pStyle w:val="129"/>
              <w:widowControl w:val="0"/>
              <w:rPr>
                <w:rFonts w:eastAsia="Times New Roman"/>
                <w:color w:val="auto"/>
              </w:rPr>
            </w:pPr>
          </w:p>
        </w:tc>
      </w:tr>
    </w:tbl>
    <w:p w14:paraId="584F9763">
      <w:pPr>
        <w:rPr>
          <w:rFonts w:ascii="Arial" w:hAnsi="Arial" w:eastAsia="黑体"/>
          <w:b/>
          <w:color w:val="auto"/>
          <w:sz w:val="26"/>
          <w:szCs w:val="26"/>
        </w:rPr>
      </w:pPr>
    </w:p>
    <w:p w14:paraId="006F87BC">
      <w:pPr>
        <w:rPr>
          <w:rFonts w:ascii="Arial" w:hAnsi="Arial" w:eastAsia="黑体"/>
          <w:b/>
          <w:color w:val="auto"/>
          <w:sz w:val="26"/>
          <w:szCs w:val="26"/>
        </w:rPr>
        <w:sectPr>
          <w:type w:val="continuous"/>
          <w:pgSz w:w="16838" w:h="11906" w:orient="landscape"/>
          <w:pgMar w:top="1440" w:right="1588" w:bottom="1389" w:left="1588" w:header="851" w:footer="992" w:gutter="0"/>
          <w:cols w:space="720" w:num="1"/>
          <w:docGrid w:type="lines" w:linePitch="312" w:charSpace="0"/>
        </w:sectPr>
      </w:pPr>
    </w:p>
    <w:p w14:paraId="51B6F7CF">
      <w:pPr>
        <w:pStyle w:val="4"/>
        <w:rPr>
          <w:color w:val="auto"/>
        </w:rPr>
      </w:pPr>
      <w:r>
        <w:rPr>
          <w:rFonts w:hint="eastAsia"/>
          <w:color w:val="auto"/>
        </w:rPr>
        <w:t>大气环境影响预测结论</w:t>
      </w:r>
    </w:p>
    <w:p w14:paraId="734DA919">
      <w:pPr>
        <w:pStyle w:val="132"/>
        <w:rPr>
          <w:color w:val="auto"/>
        </w:rPr>
      </w:pPr>
      <w:bookmarkStart w:id="310" w:name="OLE_LINK154"/>
      <w:bookmarkStart w:id="311" w:name="OLE_LINK153"/>
      <w:r>
        <w:rPr>
          <w:rFonts w:hint="eastAsia"/>
          <w:color w:val="auto"/>
        </w:rPr>
        <w:t>（1）建设工程完成后，各生产工序在各环保设施正常运行条件下，新增污染源正常排放下SO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w:t>
      </w:r>
      <w:r>
        <w:rPr>
          <w:color w:val="auto"/>
        </w:rPr>
        <w:t>镍及其化合物</w:t>
      </w:r>
      <w:r>
        <w:rPr>
          <w:rFonts w:hint="eastAsia"/>
          <w:color w:val="auto"/>
        </w:rPr>
        <w:t>、</w:t>
      </w:r>
      <w:r>
        <w:rPr>
          <w:color w:val="auto"/>
        </w:rPr>
        <w:t>锰及其化合物</w:t>
      </w:r>
      <w:r>
        <w:rPr>
          <w:rFonts w:hint="eastAsia"/>
          <w:color w:val="auto"/>
        </w:rPr>
        <w:t>、TSP污染物短期浓度贡献值的最大浓度占标率≤100%；</w:t>
      </w:r>
    </w:p>
    <w:p w14:paraId="055D14C7">
      <w:pPr>
        <w:pStyle w:val="132"/>
        <w:rPr>
          <w:color w:val="auto"/>
        </w:rPr>
      </w:pPr>
      <w:r>
        <w:rPr>
          <w:rFonts w:hint="eastAsia"/>
          <w:color w:val="auto"/>
        </w:rPr>
        <w:t>（2）建设工程完成后，各生产工序在各环保设施正常运行条件下，新增污染源正常排放下SO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、TSP年均浓度贡献值的最大浓度占标率≤30%；</w:t>
      </w:r>
    </w:p>
    <w:p w14:paraId="5EF2D0F6">
      <w:pPr>
        <w:pStyle w:val="132"/>
        <w:rPr>
          <w:color w:val="auto"/>
        </w:rPr>
      </w:pPr>
      <w:r>
        <w:rPr>
          <w:rFonts w:hint="eastAsia"/>
          <w:color w:val="auto"/>
        </w:rPr>
        <w:t>（3）本项目新增污染源贡献值叠加现状值、在建拟建项目的环境影响后，主要污染物SO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保证率日平均质量浓度和年平均质量浓度满足《环境空气质量标准》（GB3095-2026）中的二级标准浓度限值；TSP叠加背景值后，</w:t>
      </w:r>
      <w:r>
        <w:rPr>
          <w:color w:val="auto"/>
        </w:rPr>
        <w:t>短期浓度</w:t>
      </w:r>
      <w:r>
        <w:rPr>
          <w:rFonts w:hint="eastAsia"/>
          <w:color w:val="auto"/>
        </w:rPr>
        <w:t>符合《环境空气质量标准》（GB3095-2026）二级标准；</w:t>
      </w:r>
      <w:r>
        <w:rPr>
          <w:color w:val="auto"/>
        </w:rPr>
        <w:t>氨、</w:t>
      </w:r>
      <w:r>
        <w:rPr>
          <w:rFonts w:hint="eastAsia"/>
          <w:color w:val="auto"/>
        </w:rPr>
        <w:t>硫化氢、</w:t>
      </w:r>
      <w:r>
        <w:rPr>
          <w:color w:val="auto"/>
        </w:rPr>
        <w:t>锰及其化合物</w:t>
      </w:r>
      <w:r>
        <w:rPr>
          <w:rFonts w:hint="eastAsia"/>
          <w:color w:val="auto"/>
        </w:rPr>
        <w:t>叠加背景值后，</w:t>
      </w:r>
      <w:r>
        <w:rPr>
          <w:color w:val="auto"/>
        </w:rPr>
        <w:t>短期浓度满足《环境影响评价技术导则 大气环境》（HJ 2.2-2018）附录D标准；镍及其化合物</w:t>
      </w:r>
      <w:r>
        <w:rPr>
          <w:rFonts w:hint="eastAsia"/>
          <w:color w:val="auto"/>
        </w:rPr>
        <w:t>叠加背景值后，</w:t>
      </w:r>
      <w:r>
        <w:rPr>
          <w:color w:val="auto"/>
        </w:rPr>
        <w:t>短期浓度</w:t>
      </w:r>
      <w:r>
        <w:rPr>
          <w:rFonts w:hint="eastAsia"/>
          <w:color w:val="auto"/>
        </w:rPr>
        <w:t>满足</w:t>
      </w:r>
      <w:r>
        <w:rPr>
          <w:color w:val="auto"/>
        </w:rPr>
        <w:t>《大气污染物综合排放标准详解》（国家环境保护局科技标准司制定，1997年第一版）中的小时值</w:t>
      </w:r>
      <w:r>
        <w:rPr>
          <w:rFonts w:hint="eastAsia"/>
          <w:color w:val="auto"/>
        </w:rPr>
        <w:t>0.03</w:t>
      </w:r>
      <w:r>
        <w:rPr>
          <w:color w:val="auto"/>
        </w:rPr>
        <w:t>mg/m</w:t>
      </w:r>
      <w:r>
        <w:rPr>
          <w:color w:val="auto"/>
          <w:vertAlign w:val="superscript"/>
        </w:rPr>
        <w:t>3</w:t>
      </w:r>
      <w:r>
        <w:rPr>
          <w:rFonts w:hint="eastAsia"/>
          <w:color w:val="auto"/>
        </w:rPr>
        <w:t>；</w:t>
      </w:r>
    </w:p>
    <w:bookmarkEnd w:id="310"/>
    <w:p w14:paraId="24474FD3">
      <w:pPr>
        <w:pStyle w:val="132"/>
        <w:rPr>
          <w:color w:val="auto"/>
        </w:rPr>
      </w:pPr>
      <w:r>
        <w:rPr>
          <w:rFonts w:hint="eastAsia"/>
          <w:color w:val="auto"/>
        </w:rPr>
        <w:t>（4）PM</w:t>
      </w:r>
      <w:r>
        <w:rPr>
          <w:rFonts w:hint="eastAsia"/>
          <w:color w:val="auto"/>
          <w:vertAlign w:val="subscript"/>
        </w:rPr>
        <w:t>10</w:t>
      </w:r>
      <w:r>
        <w:rPr>
          <w:rFonts w:hint="eastAsia"/>
          <w:color w:val="auto"/>
        </w:rPr>
        <w:t>叠加背景值后，保证率日平均质量浓度和年平均质量浓度均超过《环境空气质量标准》（GB3095-2026）二级标准；PM</w:t>
      </w:r>
      <w:r>
        <w:rPr>
          <w:rFonts w:hint="eastAsia"/>
          <w:color w:val="auto"/>
          <w:vertAlign w:val="subscript"/>
        </w:rPr>
        <w:t>2.5</w:t>
      </w:r>
      <w:r>
        <w:rPr>
          <w:rFonts w:hint="eastAsia"/>
          <w:color w:val="auto"/>
        </w:rPr>
        <w:t>叠加背景值后，年平均质量浓度均符合《环境空气质量标准》（GB3095-2026）二级标准，保证率日平均质量浓度超过《环境空气质量标准》（GB3095-2026）二级标准。</w:t>
      </w:r>
    </w:p>
    <w:p w14:paraId="5ECE1F0D">
      <w:pPr>
        <w:pStyle w:val="132"/>
        <w:rPr>
          <w:color w:val="auto"/>
        </w:rPr>
      </w:pPr>
      <w:r>
        <w:rPr>
          <w:rFonts w:hint="eastAsia"/>
          <w:color w:val="auto"/>
        </w:rPr>
        <w:t>采用网格进行区域环境质量变化评价，实施削减后预测范围PM</w:t>
      </w:r>
      <w:r>
        <w:rPr>
          <w:rFonts w:hint="eastAsia"/>
          <w:color w:val="auto"/>
          <w:vertAlign w:val="subscript"/>
        </w:rPr>
        <w:t>10</w:t>
      </w:r>
      <w:r>
        <w:rPr>
          <w:rFonts w:hint="eastAsia"/>
          <w:color w:val="auto"/>
        </w:rPr>
        <w:t>的年平均浓度变化率k=</w:t>
      </w:r>
      <w:r>
        <w:rPr>
          <w:color w:val="auto"/>
        </w:rPr>
        <w:t>-</w:t>
      </w:r>
      <w:r>
        <w:rPr>
          <w:rFonts w:hint="eastAsia"/>
          <w:color w:val="auto"/>
        </w:rPr>
        <w:t>38.11</w:t>
      </w:r>
      <w:r>
        <w:rPr>
          <w:color w:val="auto"/>
        </w:rPr>
        <w:t>%</w:t>
      </w:r>
      <w:r>
        <w:rPr>
          <w:rFonts w:hint="eastAsia"/>
          <w:color w:val="auto"/>
        </w:rPr>
        <w:t>，PM</w:t>
      </w:r>
      <w:r>
        <w:rPr>
          <w:rFonts w:hint="eastAsia"/>
          <w:color w:val="auto"/>
          <w:vertAlign w:val="subscript"/>
        </w:rPr>
        <w:t>2.5</w:t>
      </w:r>
      <w:r>
        <w:rPr>
          <w:rFonts w:hint="eastAsia"/>
          <w:color w:val="auto"/>
        </w:rPr>
        <w:t>的年平均浓度变化率k=</w:t>
      </w:r>
      <w:r>
        <w:rPr>
          <w:color w:val="auto"/>
        </w:rPr>
        <w:t>-38.09%</w:t>
      </w:r>
      <w:r>
        <w:rPr>
          <w:rFonts w:hint="eastAsia"/>
          <w:color w:val="auto"/>
        </w:rPr>
        <w:t>，浓度变化率k</w:t>
      </w:r>
      <w:r>
        <w:rPr>
          <w:color w:val="auto"/>
        </w:rPr>
        <w:t>≤</w:t>
      </w:r>
      <w:r>
        <w:rPr>
          <w:rFonts w:hint="eastAsia"/>
          <w:color w:val="auto"/>
        </w:rPr>
        <w:t>-20%,因此区域环境质量整体改善。</w:t>
      </w:r>
    </w:p>
    <w:p w14:paraId="248A27EA">
      <w:pPr>
        <w:pStyle w:val="132"/>
        <w:rPr>
          <w:color w:val="auto"/>
        </w:rPr>
      </w:pPr>
      <w:r>
        <w:rPr>
          <w:rFonts w:hint="eastAsia"/>
          <w:color w:val="auto"/>
        </w:rPr>
        <w:t>（5）若发生非正常工况排放，各污染物短期浓度达标，及时采取措施后，不会造成环境质量大幅下降。但事故时间越长，影响范围越大，会对区域大气环境质量造成一定的影响。项目运营需加强生产管理，同时避免环保设施事故排放，减少对周围大气环境及敏感目标的影响。</w:t>
      </w:r>
    </w:p>
    <w:p w14:paraId="632A0EF4">
      <w:pPr>
        <w:pStyle w:val="132"/>
        <w:rPr>
          <w:color w:val="auto"/>
        </w:rPr>
      </w:pPr>
      <w:r>
        <w:rPr>
          <w:rFonts w:hint="eastAsia"/>
          <w:color w:val="auto"/>
        </w:rPr>
        <w:t>（6）本项目不设置大气防护距离。</w:t>
      </w:r>
    </w:p>
    <w:p w14:paraId="5F8C8366">
      <w:pPr>
        <w:pStyle w:val="132"/>
        <w:rPr>
          <w:color w:val="auto"/>
        </w:rPr>
      </w:pPr>
      <w:r>
        <w:rPr>
          <w:rFonts w:hint="eastAsia"/>
          <w:color w:val="auto"/>
        </w:rPr>
        <w:t>（7）根据评价结论判定依据，本项目同时符合现状环境不达标区域中建设项目环境影响可以接受的四大条件，从大气环境评价角度而言，本项目可以建设。</w:t>
      </w:r>
    </w:p>
    <w:bookmarkEnd w:id="311"/>
    <w:p w14:paraId="5150C498">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292E2D9">
      <w:pPr>
        <w:pStyle w:val="3"/>
        <w:rPr>
          <w:color w:val="auto"/>
        </w:rPr>
      </w:pPr>
      <w:bookmarkStart w:id="312" w:name="_Toc196333712"/>
      <w:bookmarkEnd w:id="312"/>
      <w:bookmarkStart w:id="313" w:name="_Toc229930144"/>
      <w:r>
        <w:rPr>
          <w:rFonts w:hint="eastAsia"/>
          <w:color w:val="auto"/>
        </w:rPr>
        <w:t>运营期地表水环境影响预测与评价</w:t>
      </w:r>
      <w:bookmarkEnd w:id="313"/>
    </w:p>
    <w:p w14:paraId="78155A52">
      <w:pPr>
        <w:pStyle w:val="4"/>
        <w:rPr>
          <w:color w:val="auto"/>
        </w:rPr>
      </w:pPr>
      <w:r>
        <w:rPr>
          <w:rFonts w:hint="eastAsia"/>
          <w:color w:val="auto"/>
        </w:rPr>
        <w:t>地表水环境影响分析</w:t>
      </w:r>
    </w:p>
    <w:p w14:paraId="66370488">
      <w:pPr>
        <w:pStyle w:val="132"/>
        <w:rPr>
          <w:color w:val="auto"/>
        </w:rPr>
      </w:pPr>
      <w:r>
        <w:rPr>
          <w:rFonts w:hint="eastAsia"/>
          <w:color w:val="auto"/>
        </w:rPr>
        <w:t>根据地表水环境影响评价工作等级划分结论，本项目地表水评价等级为三级B。根据《环境影响评价技术导则 地表水环境》（HJ2.3-2018），水污染影响型三级B评价可不进行水环境影响预测。且本项目生产废水和生活污水不外排水环境，与地表水不发生水力联系，因此，正常生产情况下项目对地表水环境影响很小。</w:t>
      </w:r>
    </w:p>
    <w:p w14:paraId="67B5C246">
      <w:pPr>
        <w:pStyle w:val="132"/>
        <w:rPr>
          <w:color w:val="auto"/>
        </w:rPr>
      </w:pPr>
      <w:r>
        <w:rPr>
          <w:rFonts w:hint="eastAsia"/>
          <w:color w:val="auto"/>
        </w:rPr>
        <w:t>本项目位于乌鲁木齐甘泉堡经济技术开发区（工业区），</w:t>
      </w:r>
      <w:r>
        <w:rPr>
          <w:color w:val="auto"/>
        </w:rPr>
        <w:t>本工程给水竖向分区为市政直供区，采用城市自来水水压直接供水</w:t>
      </w:r>
      <w:r>
        <w:rPr>
          <w:rFonts w:hint="eastAsia"/>
          <w:color w:val="auto"/>
        </w:rPr>
        <w:t>。</w:t>
      </w:r>
    </w:p>
    <w:p w14:paraId="42EAF4B6">
      <w:pPr>
        <w:pStyle w:val="132"/>
        <w:rPr>
          <w:color w:val="auto"/>
        </w:rPr>
      </w:pPr>
      <w:r>
        <w:rPr>
          <w:rFonts w:hint="eastAsia"/>
          <w:color w:val="auto"/>
        </w:rPr>
        <w:t>本项目废水主要有危险废物处置蒸发冷凝水、</w:t>
      </w:r>
      <w:r>
        <w:rPr>
          <w:color w:val="auto"/>
        </w:rPr>
        <w:t>循环排污水</w:t>
      </w:r>
      <w:r>
        <w:rPr>
          <w:rFonts w:hint="eastAsia"/>
          <w:color w:val="auto"/>
        </w:rPr>
        <w:t>和生活污水等，危险废物处置蒸发冷凝水</w:t>
      </w:r>
      <w:r>
        <w:rPr>
          <w:color w:val="auto"/>
        </w:rPr>
        <w:t>通过管道送乌鲁木齐众荣电子材料科技有限公司回用</w:t>
      </w:r>
      <w:r>
        <w:rPr>
          <w:rFonts w:hint="eastAsia"/>
          <w:color w:val="auto"/>
        </w:rPr>
        <w:t>；</w:t>
      </w:r>
      <w:r>
        <w:rPr>
          <w:color w:val="auto"/>
        </w:rPr>
        <w:t>循环排污水</w:t>
      </w:r>
      <w:r>
        <w:rPr>
          <w:rFonts w:hint="eastAsia"/>
          <w:color w:val="auto"/>
        </w:rPr>
        <w:t>和生活污水均</w:t>
      </w:r>
      <w:r>
        <w:rPr>
          <w:color w:val="auto"/>
        </w:rPr>
        <w:t>排入园区下水管网最终送甘泉堡南区污水处理厂</w:t>
      </w:r>
      <w:r>
        <w:rPr>
          <w:rFonts w:hint="eastAsia"/>
          <w:color w:val="auto"/>
        </w:rPr>
        <w:t>进一步</w:t>
      </w:r>
      <w:r>
        <w:rPr>
          <w:color w:val="auto"/>
        </w:rPr>
        <w:t>处理</w:t>
      </w:r>
      <w:r>
        <w:rPr>
          <w:rFonts w:hint="eastAsia"/>
          <w:color w:val="auto"/>
        </w:rPr>
        <w:t>。</w:t>
      </w:r>
      <w:r>
        <w:rPr>
          <w:color w:val="auto"/>
        </w:rPr>
        <w:t>本项目与地表水不发生水力联系，因此，正常生产情况下项目对地表水环境影响很小。</w:t>
      </w:r>
    </w:p>
    <w:p w14:paraId="4ABAB891">
      <w:pPr>
        <w:pStyle w:val="132"/>
        <w:rPr>
          <w:color w:val="auto"/>
        </w:rPr>
      </w:pPr>
      <w:r>
        <w:rPr>
          <w:color w:val="auto"/>
        </w:rPr>
        <w:t>甘泉堡南区污水处理厂位于禾润街，2016年6月22日甘泉堡南区污水处理厂取得了《关于甘泉堡工业园区污水处理及中水循环利用工程竣工环保验收意见》（乌环验</w:t>
      </w:r>
      <w:r>
        <w:rPr>
          <w:rFonts w:hint="eastAsia"/>
          <w:color w:val="auto"/>
        </w:rPr>
        <w:t>〔2015〕248号</w:t>
      </w:r>
      <w:r>
        <w:rPr>
          <w:color w:val="auto"/>
        </w:rPr>
        <w:t>）。污水处理工程建设规模为10.5万m</w:t>
      </w:r>
      <w:r>
        <w:rPr>
          <w:color w:val="auto"/>
          <w:vertAlign w:val="superscript"/>
        </w:rPr>
        <w:t>3</w:t>
      </w:r>
      <w:r>
        <w:rPr>
          <w:color w:val="auto"/>
        </w:rPr>
        <w:t>/d</w:t>
      </w:r>
      <w:r>
        <w:rPr>
          <w:rFonts w:hint="eastAsia"/>
          <w:color w:val="auto"/>
        </w:rPr>
        <w:t>，</w:t>
      </w:r>
      <w:r>
        <w:rPr>
          <w:color w:val="auto"/>
        </w:rPr>
        <w:t>远期扩建至42万m</w:t>
      </w:r>
      <w:r>
        <w:rPr>
          <w:color w:val="auto"/>
          <w:vertAlign w:val="superscript"/>
        </w:rPr>
        <w:t>3</w:t>
      </w:r>
      <w:r>
        <w:rPr>
          <w:color w:val="auto"/>
        </w:rPr>
        <w:t>/d，采用A</w:t>
      </w:r>
      <w:r>
        <w:rPr>
          <w:color w:val="auto"/>
          <w:vertAlign w:val="superscript"/>
        </w:rPr>
        <w:t>2</w:t>
      </w:r>
      <w:r>
        <w:rPr>
          <w:color w:val="auto"/>
        </w:rPr>
        <w:t>/O+MBR膜生物处理+次氯酸钠消毒，出水水质中pH、BOD</w:t>
      </w:r>
      <w:r>
        <w:rPr>
          <w:color w:val="auto"/>
          <w:vertAlign w:val="subscript"/>
        </w:rPr>
        <w:t>5</w:t>
      </w:r>
      <w:r>
        <w:rPr>
          <w:color w:val="auto"/>
        </w:rPr>
        <w:t>、CODcr、氨氮、总磷执行《地表水环境质量标准》（GB3838-2002）</w:t>
      </w:r>
      <w:r>
        <w:rPr>
          <w:rFonts w:hint="eastAsia"/>
          <w:color w:val="auto"/>
        </w:rPr>
        <w:t>Ⅳ类</w:t>
      </w:r>
      <w:r>
        <w:rPr>
          <w:color w:val="auto"/>
        </w:rPr>
        <w:t>水质标准；悬浮物、浊度、粪大肠杆菌执行《城市污水再生利用景观环境用水水质》（GB/T18921-2002）相关标准；其他污染物执行《城镇污水处理厂污染物排放标准》（GB18918-2002）一级A标准，最终通过污水处理厂自建的排水管线全部排入园区北部北沙窝。</w:t>
      </w:r>
    </w:p>
    <w:p w14:paraId="78477355">
      <w:pPr>
        <w:pStyle w:val="132"/>
        <w:rPr>
          <w:color w:val="auto"/>
        </w:rPr>
      </w:pPr>
      <w:r>
        <w:rPr>
          <w:rFonts w:hint="eastAsia"/>
          <w:color w:val="auto"/>
        </w:rPr>
        <w:t>此外，本项目设置一座有效容积为700m</w:t>
      </w:r>
      <w:r>
        <w:rPr>
          <w:rFonts w:hint="eastAsia"/>
          <w:color w:val="auto"/>
          <w:vertAlign w:val="superscript"/>
        </w:rPr>
        <w:t>3</w:t>
      </w:r>
      <w:r>
        <w:rPr>
          <w:rFonts w:hint="eastAsia"/>
          <w:color w:val="auto"/>
        </w:rPr>
        <w:t>的厂区消防事故水池，用于事故废水的存放，事故状态下产生的事故废水可进入事故水池收纳暂存，事故结束后将事故废水送至污水处理站进行达标处理，不进入地表水体，对地表水环境影响较小。</w:t>
      </w:r>
    </w:p>
    <w:p w14:paraId="5A6444FB">
      <w:pPr>
        <w:pStyle w:val="3"/>
        <w:rPr>
          <w:color w:val="auto"/>
        </w:rPr>
      </w:pPr>
      <w:bookmarkStart w:id="314" w:name="_Toc171109107"/>
      <w:bookmarkEnd w:id="314"/>
      <w:bookmarkStart w:id="315" w:name="_Toc229930145"/>
      <w:bookmarkStart w:id="316" w:name="_Toc196333713"/>
      <w:r>
        <w:rPr>
          <w:rFonts w:hint="eastAsia"/>
          <w:color w:val="auto"/>
        </w:rPr>
        <w:t>运营期地下水环境影响预测与评价</w:t>
      </w:r>
      <w:bookmarkEnd w:id="315"/>
      <w:bookmarkEnd w:id="316"/>
    </w:p>
    <w:p w14:paraId="53B72F84">
      <w:pPr>
        <w:pStyle w:val="4"/>
        <w:rPr>
          <w:color w:val="auto"/>
        </w:rPr>
      </w:pPr>
      <w:r>
        <w:rPr>
          <w:rFonts w:hint="eastAsia"/>
          <w:color w:val="auto"/>
        </w:rPr>
        <w:t>评价区水文地质特征</w:t>
      </w:r>
    </w:p>
    <w:p w14:paraId="5C73AE7A">
      <w:pPr>
        <w:bidi w:val="0"/>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略</w:t>
      </w:r>
      <w:r>
        <w:rPr>
          <w:rFonts w:hint="eastAsia"/>
          <w:color w:val="auto"/>
          <w:sz w:val="24"/>
          <w:szCs w:val="24"/>
          <w:lang w:eastAsia="zh-CN"/>
        </w:rPr>
        <w:t>）</w:t>
      </w:r>
    </w:p>
    <w:p w14:paraId="74AD4C9A">
      <w:pPr>
        <w:pStyle w:val="132"/>
        <w:rPr>
          <w:color w:val="auto"/>
        </w:rPr>
      </w:pPr>
    </w:p>
    <w:p w14:paraId="3760A8E1">
      <w:pPr>
        <w:pStyle w:val="4"/>
        <w:rPr>
          <w:color w:val="auto"/>
        </w:rPr>
      </w:pPr>
      <w:r>
        <w:rPr>
          <w:rFonts w:hint="eastAsia"/>
          <w:color w:val="auto"/>
        </w:rPr>
        <w:t>地下水影响预测分析</w:t>
      </w:r>
    </w:p>
    <w:p w14:paraId="123BA02D">
      <w:pPr>
        <w:pStyle w:val="5"/>
        <w:rPr>
          <w:color w:val="auto"/>
        </w:rPr>
      </w:pPr>
      <w:r>
        <w:rPr>
          <w:rFonts w:hint="eastAsia"/>
          <w:color w:val="auto"/>
        </w:rPr>
        <w:t>污染源和污染途径</w:t>
      </w:r>
    </w:p>
    <w:p w14:paraId="147C890F">
      <w:pPr>
        <w:pStyle w:val="132"/>
        <w:rPr>
          <w:color w:val="auto"/>
        </w:rPr>
      </w:pPr>
      <w:r>
        <w:rPr>
          <w:rFonts w:hint="eastAsia"/>
          <w:color w:val="auto"/>
        </w:rPr>
        <w:t>本工程物料对地下水的影响途径主要是在物料的输送、贮存过程中因防渗层的腐蚀损坏透过地面渗透影响厂址区域地下水。</w:t>
      </w:r>
    </w:p>
    <w:p w14:paraId="08A2CC76">
      <w:pPr>
        <w:pStyle w:val="132"/>
        <w:rPr>
          <w:color w:val="auto"/>
        </w:rPr>
      </w:pPr>
      <w:r>
        <w:rPr>
          <w:rFonts w:hint="eastAsia"/>
          <w:color w:val="auto"/>
        </w:rPr>
        <w:t>项目车间、罐区、消防事故水池、危险废物暂存库等均采取了防渗设计，在防渗系统正常运行的情况下，本项目不会对地下水环境质量造成功能类别的改变。</w:t>
      </w:r>
    </w:p>
    <w:p w14:paraId="688A6D55">
      <w:pPr>
        <w:pStyle w:val="132"/>
        <w:rPr>
          <w:color w:val="auto"/>
        </w:rPr>
      </w:pPr>
      <w:r>
        <w:rPr>
          <w:rFonts w:hint="eastAsia"/>
          <w:color w:val="auto"/>
        </w:rPr>
        <w:t>但从客观上分析，生产区生产运行过程中难免存在着设备的无组织泄漏，甚至存在着由于自然灾害及人为因素引起的事故性排放的可能性，物料可通过渗漏作用对厂址区域地下水产生污染，是对区域地下水产生污染的主要污染源。根据调查，无组织泄漏潜在区通常主要集中在管道接口等处。</w:t>
      </w:r>
    </w:p>
    <w:p w14:paraId="21914500">
      <w:pPr>
        <w:pStyle w:val="5"/>
        <w:rPr>
          <w:color w:val="auto"/>
        </w:rPr>
      </w:pPr>
      <w:r>
        <w:rPr>
          <w:rFonts w:hint="eastAsia"/>
          <w:color w:val="auto"/>
        </w:rPr>
        <w:t>预测时间</w:t>
      </w:r>
    </w:p>
    <w:p w14:paraId="5D10D2C9">
      <w:pPr>
        <w:pStyle w:val="132"/>
        <w:rPr>
          <w:color w:val="auto"/>
        </w:rPr>
      </w:pPr>
      <w:r>
        <w:rPr>
          <w:rFonts w:hint="eastAsia"/>
          <w:color w:val="auto"/>
        </w:rPr>
        <w:t>污水对地下水的影响是在泄漏等非正常情况下发生的，加之地下水隔水性能的差异性、含水层和土壤层分布的各向异性等原因，对地下水的预测只能建立在人为的假设基础之上，预测不同情况下的污染变化。预测时间按本项目运行期间的相关时间段进行，分别预测100d、365d、1000d对地下水环境的影响。</w:t>
      </w:r>
    </w:p>
    <w:p w14:paraId="6973554A">
      <w:pPr>
        <w:pStyle w:val="5"/>
        <w:rPr>
          <w:color w:val="auto"/>
        </w:rPr>
      </w:pPr>
      <w:r>
        <w:rPr>
          <w:rFonts w:hint="eastAsia"/>
          <w:color w:val="auto"/>
        </w:rPr>
        <w:t>预测范围</w:t>
      </w:r>
    </w:p>
    <w:p w14:paraId="089BE3C9">
      <w:pPr>
        <w:pStyle w:val="132"/>
        <w:rPr>
          <w:color w:val="auto"/>
        </w:rPr>
      </w:pPr>
      <w:r>
        <w:rPr>
          <w:rFonts w:hint="eastAsia"/>
          <w:color w:val="auto"/>
        </w:rPr>
        <w:t>本次地下水环境影响评价预测范围与地下水现状调查范围一致。</w:t>
      </w:r>
    </w:p>
    <w:p w14:paraId="5F7E38B6">
      <w:pPr>
        <w:pStyle w:val="5"/>
        <w:rPr>
          <w:color w:val="auto"/>
        </w:rPr>
      </w:pPr>
      <w:r>
        <w:rPr>
          <w:rFonts w:hint="eastAsia"/>
          <w:color w:val="auto"/>
        </w:rPr>
        <w:t>预测情景设定</w:t>
      </w:r>
    </w:p>
    <w:p w14:paraId="08527BC8">
      <w:pPr>
        <w:pStyle w:val="132"/>
        <w:rPr>
          <w:color w:val="auto"/>
        </w:rPr>
      </w:pPr>
      <w:r>
        <w:rPr>
          <w:rFonts w:hint="eastAsia"/>
          <w:color w:val="auto"/>
        </w:rPr>
        <w:t>（1）正常状况</w:t>
      </w:r>
    </w:p>
    <w:p w14:paraId="5F635D14">
      <w:pPr>
        <w:pStyle w:val="132"/>
        <w:rPr>
          <w:color w:val="auto"/>
        </w:rPr>
      </w:pPr>
      <w:r>
        <w:rPr>
          <w:rFonts w:hint="eastAsia"/>
          <w:color w:val="auto"/>
        </w:rPr>
        <w:t>本项目废水主要有危险废物处置蒸发冷凝水、</w:t>
      </w:r>
      <w:r>
        <w:rPr>
          <w:color w:val="auto"/>
        </w:rPr>
        <w:t>循环排污水</w:t>
      </w:r>
      <w:r>
        <w:rPr>
          <w:rFonts w:hint="eastAsia"/>
          <w:color w:val="auto"/>
        </w:rPr>
        <w:t>和生活污水等，危险废物处置蒸发冷凝水</w:t>
      </w:r>
      <w:r>
        <w:rPr>
          <w:color w:val="auto"/>
        </w:rPr>
        <w:t>通过管道送乌鲁木齐众荣电子材料科技有限公司回用</w:t>
      </w:r>
      <w:r>
        <w:rPr>
          <w:rFonts w:hint="eastAsia"/>
          <w:color w:val="auto"/>
        </w:rPr>
        <w:t>；</w:t>
      </w:r>
      <w:r>
        <w:rPr>
          <w:color w:val="auto"/>
        </w:rPr>
        <w:t>循环排污水</w:t>
      </w:r>
      <w:r>
        <w:rPr>
          <w:rFonts w:hint="eastAsia"/>
          <w:color w:val="auto"/>
        </w:rPr>
        <w:t>和生活污水均</w:t>
      </w:r>
      <w:r>
        <w:rPr>
          <w:color w:val="auto"/>
        </w:rPr>
        <w:t>排入园区下水管网最终送甘泉堡南区污水处理厂</w:t>
      </w:r>
      <w:r>
        <w:rPr>
          <w:rFonts w:hint="eastAsia"/>
          <w:color w:val="auto"/>
        </w:rPr>
        <w:t>进一步</w:t>
      </w:r>
      <w:r>
        <w:rPr>
          <w:color w:val="auto"/>
        </w:rPr>
        <w:t>处理</w:t>
      </w:r>
      <w:r>
        <w:rPr>
          <w:rFonts w:hint="eastAsia"/>
          <w:color w:val="auto"/>
        </w:rPr>
        <w:t>。</w:t>
      </w:r>
    </w:p>
    <w:p w14:paraId="01F6B5AA">
      <w:pPr>
        <w:pStyle w:val="132"/>
        <w:rPr>
          <w:color w:val="auto"/>
        </w:rPr>
      </w:pPr>
      <w:r>
        <w:rPr>
          <w:rFonts w:hint="eastAsia"/>
          <w:color w:val="auto"/>
        </w:rPr>
        <w:t>厂区管线敷设尽量采用可视化原则，做到早发现、早处理，且本项目根据厂区可能泄漏至地面区域污染物的性质和生产单元的构筑方式，将厂区划分为重点污染防治区、一般污染防治区和简单防渗区，均采取了防渗设计。在防渗系统正常运行的情况下，本项目生产废水、生活污水向地下渗透将得到很好的控制，不会对地下水质量造成功能类别的改变。按照《环境影响评价技术导则地下水环境》（</w:t>
      </w:r>
      <w:r>
        <w:rPr>
          <w:color w:val="auto"/>
        </w:rPr>
        <w:t>HJ610-2016</w:t>
      </w:r>
      <w:r>
        <w:rPr>
          <w:rFonts w:hint="eastAsia"/>
          <w:color w:val="auto"/>
        </w:rPr>
        <w:t>）要求：</w:t>
      </w:r>
      <w:r>
        <w:rPr>
          <w:color w:val="auto"/>
        </w:rPr>
        <w:t>“9.4.2</w:t>
      </w:r>
      <w:r>
        <w:rPr>
          <w:rFonts w:hint="eastAsia"/>
          <w:color w:val="auto"/>
        </w:rPr>
        <w:t>已依据</w:t>
      </w:r>
      <w:r>
        <w:rPr>
          <w:color w:val="auto"/>
        </w:rPr>
        <w:t>GB16889</w:t>
      </w:r>
      <w:r>
        <w:rPr>
          <w:rFonts w:hint="eastAsia"/>
          <w:color w:val="auto"/>
        </w:rPr>
        <w:t>、</w:t>
      </w:r>
      <w:r>
        <w:rPr>
          <w:color w:val="auto"/>
        </w:rPr>
        <w:t>GB18597</w:t>
      </w:r>
      <w:r>
        <w:rPr>
          <w:rFonts w:hint="eastAsia"/>
          <w:color w:val="auto"/>
        </w:rPr>
        <w:t>、</w:t>
      </w:r>
      <w:r>
        <w:rPr>
          <w:color w:val="auto"/>
        </w:rPr>
        <w:t>GB18598</w:t>
      </w:r>
      <w:r>
        <w:rPr>
          <w:rFonts w:hint="eastAsia"/>
          <w:color w:val="auto"/>
        </w:rPr>
        <w:t>、</w:t>
      </w:r>
      <w:r>
        <w:rPr>
          <w:color w:val="auto"/>
        </w:rPr>
        <w:t>GB18599</w:t>
      </w:r>
      <w:r>
        <w:rPr>
          <w:rFonts w:hint="eastAsia"/>
          <w:color w:val="auto"/>
        </w:rPr>
        <w:t>、</w:t>
      </w:r>
      <w:r>
        <w:rPr>
          <w:color w:val="auto"/>
        </w:rPr>
        <w:t>GB/T50934</w:t>
      </w:r>
      <w:r>
        <w:rPr>
          <w:rFonts w:hint="eastAsia"/>
          <w:color w:val="auto"/>
        </w:rPr>
        <w:t>设计地下水污染防渗措施的建设项目，可不进行正常状况情景下的预测</w:t>
      </w:r>
      <w:r>
        <w:rPr>
          <w:color w:val="auto"/>
        </w:rPr>
        <w:t>”</w:t>
      </w:r>
      <w:r>
        <w:rPr>
          <w:rFonts w:hint="eastAsia"/>
          <w:color w:val="auto"/>
        </w:rPr>
        <w:t>。因此，正常状况下，项目对场地地下包气带及地下水污染的可能性较小。故本评价不再进行正常状况的预测分析。</w:t>
      </w:r>
    </w:p>
    <w:p w14:paraId="70A3F5B9">
      <w:pPr>
        <w:pStyle w:val="132"/>
        <w:rPr>
          <w:color w:val="auto"/>
        </w:rPr>
      </w:pPr>
      <w:r>
        <w:rPr>
          <w:color w:val="auto"/>
        </w:rPr>
        <w:t>（</w:t>
      </w:r>
      <w:r>
        <w:rPr>
          <w:rFonts w:hint="eastAsia"/>
          <w:color w:val="auto"/>
        </w:rPr>
        <w:t>2</w:t>
      </w:r>
      <w:r>
        <w:rPr>
          <w:color w:val="auto"/>
        </w:rPr>
        <w:t>）非正常状况</w:t>
      </w:r>
    </w:p>
    <w:p w14:paraId="5D16B889">
      <w:pPr>
        <w:pStyle w:val="132"/>
        <w:rPr>
          <w:color w:val="auto"/>
        </w:rPr>
      </w:pPr>
      <w:r>
        <w:rPr>
          <w:rFonts w:hint="eastAsia"/>
          <w:color w:val="auto"/>
        </w:rPr>
        <w:t>非正常状况包括项目生产运行阶段的开车、停车、检修等，属于可控状况，污染来源与正常状况相比无显著差异。此外，在防渗层、防溢流、防泄漏、防腐蚀等地下水环境保护措施因系统老化、腐蚀等原因达不到设计要求的状况，污染物可能会渗漏和进入地下环境。</w:t>
      </w:r>
    </w:p>
    <w:p w14:paraId="4BB25A21">
      <w:pPr>
        <w:pStyle w:val="132"/>
        <w:rPr>
          <w:color w:val="auto"/>
        </w:rPr>
      </w:pPr>
      <w:r>
        <w:rPr>
          <w:rFonts w:hint="eastAsia"/>
          <w:color w:val="auto"/>
        </w:rPr>
        <w:t>根据本项目主要排污节点及主要废水污染源汇总结果，项目地下水潜在污染源主要为污水输送管线、罐区等。当地下水防渗系统、管道或罐区储罐出现老化、破损、开裂或达不到设计要求时，这些半地下非可视部位发生渗漏，污染物可能通过漏点逐步渗入包气带并可能影响地下水。本次非正常状况评价按照最不利原则，设置地下水预测情景为液体肥料2蒸发浓缩冷凝水排水管道的接口处作为地下水的主要潜在污染源。</w:t>
      </w:r>
    </w:p>
    <w:p w14:paraId="14386F38">
      <w:pPr>
        <w:pStyle w:val="132"/>
        <w:rPr>
          <w:color w:val="auto"/>
        </w:rPr>
      </w:pPr>
      <w:r>
        <w:rPr>
          <w:rFonts w:hint="eastAsia"/>
          <w:color w:val="auto"/>
        </w:rPr>
        <w:t>（5）预测因子</w:t>
      </w:r>
    </w:p>
    <w:p w14:paraId="540F78E8">
      <w:pPr>
        <w:pStyle w:val="132"/>
        <w:rPr>
          <w:color w:val="auto"/>
        </w:rPr>
      </w:pPr>
      <w:r>
        <w:rPr>
          <w:rFonts w:hint="eastAsia"/>
          <w:color w:val="auto"/>
        </w:rPr>
        <w:t>根据《环境影响评价技术导则 地下水环境》（HJ 610-2016）中预测因子选取的原则和本项目工程分析内容，本次预测情景预测因子选取COD作为代表性污染物进行预测。</w:t>
      </w:r>
    </w:p>
    <w:p w14:paraId="709E33A5">
      <w:pPr>
        <w:pStyle w:val="132"/>
        <w:rPr>
          <w:color w:val="auto"/>
        </w:rPr>
      </w:pPr>
      <w:r>
        <w:rPr>
          <w:rFonts w:hint="eastAsia"/>
          <w:color w:val="auto"/>
        </w:rPr>
        <w:t>（4）非正常工况预测源强</w:t>
      </w:r>
    </w:p>
    <w:p w14:paraId="00303935">
      <w:pPr>
        <w:pStyle w:val="132"/>
        <w:rPr>
          <w:color w:val="auto"/>
          <w:highlight w:val="yellow"/>
        </w:rPr>
      </w:pPr>
      <w:r>
        <w:rPr>
          <w:rFonts w:hint="eastAsia"/>
          <w:color w:val="auto"/>
        </w:rPr>
        <w:t>假如液体肥料2蒸发浓缩冷凝水排水管道的接口处破裂造成泄漏事故，泄漏量按照废水产生量95.90m</w:t>
      </w:r>
      <w:r>
        <w:rPr>
          <w:rFonts w:hint="eastAsia"/>
          <w:color w:val="auto"/>
          <w:vertAlign w:val="superscript"/>
        </w:rPr>
        <w:t>3</w:t>
      </w:r>
      <w:r>
        <w:rPr>
          <w:rFonts w:hint="eastAsia"/>
          <w:color w:val="auto"/>
        </w:rPr>
        <w:t>/h的20%计算（泄漏量大于20%易发觉）。在发现至30天时间内处理完毕，渗漏水按照渗透的方式经过包气带向下运移，假定渗漏的量不被包气带吸附和降解而全部进入含水层计算，同时不考虑渗透本身造成的时间滞后，预测对地下水的影响。</w:t>
      </w:r>
    </w:p>
    <w:p w14:paraId="550F47E5">
      <w:pPr>
        <w:pStyle w:val="132"/>
        <w:rPr>
          <w:color w:val="auto"/>
        </w:rPr>
      </w:pPr>
      <w:r>
        <w:rPr>
          <w:rFonts w:hint="eastAsia"/>
          <w:color w:val="auto"/>
        </w:rPr>
        <w:t>渗入量的计算以污染因子产生量为准，渗漏量为19.18m</w:t>
      </w:r>
      <w:r>
        <w:rPr>
          <w:rFonts w:hint="eastAsia"/>
          <w:color w:val="auto"/>
          <w:vertAlign w:val="superscript"/>
        </w:rPr>
        <w:t>3</w:t>
      </w:r>
      <w:r>
        <w:rPr>
          <w:rFonts w:hint="eastAsia"/>
          <w:color w:val="auto"/>
        </w:rPr>
        <w:t>/h，其COD浓度为20mg/L。</w:t>
      </w:r>
    </w:p>
    <w:p w14:paraId="46460B63">
      <w:pPr>
        <w:pStyle w:val="132"/>
        <w:rPr>
          <w:color w:val="auto"/>
        </w:rPr>
      </w:pPr>
      <w:r>
        <w:rPr>
          <w:rFonts w:hint="eastAsia"/>
          <w:color w:val="auto"/>
        </w:rPr>
        <w:t>COD渗入量为：20×24×30×20%×95.90×10</w:t>
      </w:r>
      <w:r>
        <w:rPr>
          <w:rFonts w:hint="eastAsia"/>
          <w:color w:val="auto"/>
          <w:vertAlign w:val="superscript"/>
        </w:rPr>
        <w:t>-3</w:t>
      </w:r>
      <w:r>
        <w:rPr>
          <w:rFonts w:hint="eastAsia"/>
          <w:color w:val="auto"/>
        </w:rPr>
        <w:t>=276.192kg。</w:t>
      </w:r>
    </w:p>
    <w:p w14:paraId="082FAC1C">
      <w:pPr>
        <w:pStyle w:val="132"/>
        <w:rPr>
          <w:color w:val="auto"/>
        </w:rPr>
      </w:pPr>
      <w:r>
        <w:rPr>
          <w:rFonts w:hint="eastAsia"/>
          <w:color w:val="auto"/>
        </w:rPr>
        <w:t>（5）预测方法</w:t>
      </w:r>
    </w:p>
    <w:p w14:paraId="27EA6B2A">
      <w:pPr>
        <w:pStyle w:val="132"/>
        <w:rPr>
          <w:color w:val="auto"/>
        </w:rPr>
      </w:pPr>
      <w:r>
        <w:rPr>
          <w:rFonts w:hint="eastAsia"/>
          <w:color w:val="auto"/>
        </w:rPr>
        <w:t>根据当地水文资料，园区场地地下水流场多年变化不大，可概括为稳定流。潜水面水力坡度基本与地形坡度一致。此外，建设项目的污染物排放对地下水流场没有明显影响，且含水层的基本水文地质参数变化很小，符合解析模型预测污染物的基本条件。故本次地下水环境影响预测采用HJ610-2016附录中提供的地下水溶质解析解模型。</w:t>
      </w:r>
    </w:p>
    <w:p w14:paraId="671DFE8D">
      <w:pPr>
        <w:pStyle w:val="132"/>
        <w:rPr>
          <w:color w:val="auto"/>
        </w:rPr>
      </w:pPr>
      <w:r>
        <w:rPr>
          <w:rFonts w:hint="eastAsia"/>
          <w:color w:val="auto"/>
        </w:rPr>
        <w:t>（6）预测模型</w:t>
      </w:r>
    </w:p>
    <w:p w14:paraId="04BB4E54">
      <w:pPr>
        <w:pStyle w:val="132"/>
        <w:rPr>
          <w:color w:val="auto"/>
        </w:rPr>
      </w:pPr>
      <w:r>
        <w:rPr>
          <w:rFonts w:hint="eastAsia"/>
          <w:color w:val="auto"/>
        </w:rPr>
        <w:t>非正常状况下，污染物运移通常可概化为两个相互衔接的过程：</w:t>
      </w:r>
      <w:r>
        <w:rPr>
          <w:rFonts w:ascii="Cambria Math" w:hAnsi="Cambria Math"/>
          <w:color w:val="auto"/>
        </w:rPr>
        <w:t>①</w:t>
      </w:r>
      <w:r>
        <w:rPr>
          <w:rFonts w:hint="eastAsia"/>
          <w:color w:val="auto"/>
        </w:rPr>
        <w:t>污染物由地表垂直向下穿过包气带进入潜水含水层的过程；</w:t>
      </w:r>
      <w:r>
        <w:rPr>
          <w:rFonts w:ascii="Cambria Math" w:hAnsi="Cambria Math"/>
          <w:color w:val="auto"/>
        </w:rPr>
        <w:t>②</w:t>
      </w:r>
      <w:r>
        <w:rPr>
          <w:rFonts w:hint="eastAsia"/>
          <w:color w:val="auto"/>
        </w:rPr>
        <w:t>污染物进入潜水含水层后，随地下水流进行迁移的过程。为了考虑最不利的情况和使预测模型简化，本次预测概化为污染物直接进入潜水含水层，然后污染物在潜水含水层中随着水流不断扩散，不考虑污染物在包气带中的吸附净化效应。根据本工程非正常状况下污染源排放形式与排放规律，本次模型可概化为一维稳定流动二维水动力弥散问题的瞬时注入污染物</w:t>
      </w:r>
      <w:r>
        <w:rPr>
          <w:color w:val="auto"/>
        </w:rPr>
        <w:t>—</w:t>
      </w:r>
      <w:r>
        <w:rPr>
          <w:rFonts w:hint="eastAsia"/>
          <w:color w:val="auto"/>
        </w:rPr>
        <w:t>平面瞬时点源的预测模型，其主要假设条件为：</w:t>
      </w:r>
    </w:p>
    <w:p w14:paraId="20B89D99">
      <w:pPr>
        <w:pStyle w:val="132"/>
        <w:rPr>
          <w:color w:val="auto"/>
        </w:rPr>
      </w:pPr>
      <w:r>
        <w:rPr>
          <w:color w:val="auto"/>
        </w:rPr>
        <w:t>a.</w:t>
      </w:r>
      <w:r>
        <w:rPr>
          <w:rFonts w:hint="eastAsia"/>
          <w:color w:val="auto"/>
        </w:rPr>
        <w:t>假定含水层等厚，均质，并在平面无限分布，含水层的厚度、宽度和长度比可忽略；</w:t>
      </w:r>
    </w:p>
    <w:p w14:paraId="6582A915">
      <w:pPr>
        <w:pStyle w:val="132"/>
        <w:rPr>
          <w:color w:val="auto"/>
        </w:rPr>
      </w:pPr>
      <w:r>
        <w:rPr>
          <w:color w:val="auto"/>
        </w:rPr>
        <w:t>b.</w:t>
      </w:r>
      <w:r>
        <w:rPr>
          <w:rFonts w:hint="eastAsia"/>
          <w:color w:val="auto"/>
        </w:rPr>
        <w:t>假定定量的定浓度的污水，在极短时间内注入整个含水层的厚度范围；</w:t>
      </w:r>
    </w:p>
    <w:p w14:paraId="609D74CD">
      <w:pPr>
        <w:pStyle w:val="132"/>
        <w:rPr>
          <w:color w:val="auto"/>
        </w:rPr>
      </w:pPr>
      <w:r>
        <w:rPr>
          <w:color w:val="auto"/>
        </w:rPr>
        <w:t>c.</w:t>
      </w:r>
      <w:r>
        <w:rPr>
          <w:rFonts w:hint="eastAsia"/>
          <w:color w:val="auto"/>
        </w:rPr>
        <w:t>污水的注入对含水层内的天然流场不产生影响。</w:t>
      </w:r>
    </w:p>
    <w:p w14:paraId="1396C513">
      <w:pPr>
        <w:pStyle w:val="132"/>
        <w:rPr>
          <w:color w:val="auto"/>
        </w:rPr>
      </w:pPr>
      <w:r>
        <w:rPr>
          <w:rFonts w:hint="eastAsia"/>
          <w:color w:val="auto"/>
        </w:rPr>
        <w:t>根据《环境影响评价技术导则</w:t>
      </w:r>
      <w:r>
        <w:rPr>
          <w:color w:val="auto"/>
        </w:rPr>
        <w:t xml:space="preserve"> </w:t>
      </w:r>
      <w:r>
        <w:rPr>
          <w:rFonts w:hint="eastAsia"/>
          <w:color w:val="auto"/>
        </w:rPr>
        <w:t>地下水环境》（</w:t>
      </w:r>
      <w:r>
        <w:rPr>
          <w:color w:val="auto"/>
        </w:rPr>
        <w:t>HJ610-2016</w:t>
      </w:r>
      <w:r>
        <w:rPr>
          <w:rFonts w:hint="eastAsia"/>
          <w:color w:val="auto"/>
        </w:rPr>
        <w:t>），一维稳定流动二维水动力弥散问题的瞬时注入示踪剂</w:t>
      </w:r>
      <w:r>
        <w:rPr>
          <w:color w:val="auto"/>
        </w:rPr>
        <w:t>—</w:t>
      </w:r>
      <w:r>
        <w:rPr>
          <w:rFonts w:hint="eastAsia"/>
          <w:color w:val="auto"/>
        </w:rPr>
        <w:t>平面瞬时点源的预测模型为：</w:t>
      </w:r>
    </w:p>
    <w:p w14:paraId="1A133343">
      <w:pPr>
        <w:pStyle w:val="132"/>
        <w:rPr>
          <w:color w:val="auto"/>
        </w:rPr>
      </w:pPr>
      <w:r>
        <w:rPr>
          <w:color w:val="auto"/>
        </w:rPr>
        <w:drawing>
          <wp:inline distT="0" distB="0" distL="0" distR="0">
            <wp:extent cx="3027680" cy="716280"/>
            <wp:effectExtent l="0" t="0" r="127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27680" cy="716280"/>
                    </a:xfrm>
                    <a:prstGeom prst="rect">
                      <a:avLst/>
                    </a:prstGeom>
                    <a:noFill/>
                    <a:ln>
                      <a:noFill/>
                    </a:ln>
                  </pic:spPr>
                </pic:pic>
              </a:graphicData>
            </a:graphic>
          </wp:inline>
        </w:drawing>
      </w:r>
      <w:r>
        <w:rPr>
          <w:color w:val="auto"/>
        </w:rPr>
        <w:t xml:space="preserve"> </w:t>
      </w:r>
    </w:p>
    <w:p w14:paraId="6DA23E25">
      <w:pPr>
        <w:pStyle w:val="132"/>
        <w:rPr>
          <w:color w:val="auto"/>
        </w:rPr>
      </w:pPr>
      <w:r>
        <w:rPr>
          <w:rFonts w:hint="eastAsia"/>
          <w:color w:val="auto"/>
        </w:rPr>
        <w:t>式中：</w:t>
      </w:r>
    </w:p>
    <w:p w14:paraId="0437031D">
      <w:pPr>
        <w:pStyle w:val="132"/>
        <w:rPr>
          <w:color w:val="auto"/>
        </w:rPr>
      </w:pPr>
      <w:r>
        <w:rPr>
          <w:rFonts w:hint="eastAsia"/>
          <w:color w:val="auto"/>
        </w:rPr>
        <w:t>x，y—计算点处的位置坐标；</w:t>
      </w:r>
    </w:p>
    <w:p w14:paraId="4D7F11C7">
      <w:pPr>
        <w:pStyle w:val="132"/>
        <w:rPr>
          <w:color w:val="auto"/>
        </w:rPr>
      </w:pPr>
      <w:r>
        <w:rPr>
          <w:rFonts w:hint="eastAsia"/>
          <w:color w:val="auto"/>
        </w:rPr>
        <w:t>t—时间，d；</w:t>
      </w:r>
    </w:p>
    <w:p w14:paraId="1ED9D982">
      <w:pPr>
        <w:pStyle w:val="132"/>
        <w:rPr>
          <w:color w:val="auto"/>
        </w:rPr>
      </w:pPr>
      <w:r>
        <w:rPr>
          <w:rFonts w:hint="eastAsia"/>
          <w:color w:val="auto"/>
        </w:rPr>
        <w:t>C（x，y，t）—t时刻点x，y处的示踪剂浓度，mg/L；</w:t>
      </w:r>
    </w:p>
    <w:p w14:paraId="267A1E61">
      <w:pPr>
        <w:pStyle w:val="132"/>
        <w:rPr>
          <w:color w:val="auto"/>
        </w:rPr>
      </w:pPr>
      <w:r>
        <w:rPr>
          <w:rFonts w:hint="eastAsia"/>
          <w:color w:val="auto"/>
        </w:rPr>
        <w:t>M—含水层的厚度，m；</w:t>
      </w:r>
    </w:p>
    <w:p w14:paraId="35EC3406">
      <w:pPr>
        <w:pStyle w:val="132"/>
        <w:rPr>
          <w:color w:val="auto"/>
        </w:rPr>
      </w:pPr>
      <w:r>
        <w:rPr>
          <w:rFonts w:hint="eastAsia"/>
          <w:color w:val="auto"/>
        </w:rPr>
        <w:t>m</w:t>
      </w:r>
      <w:r>
        <w:rPr>
          <w:rFonts w:hint="eastAsia"/>
          <w:color w:val="auto"/>
          <w:vertAlign w:val="subscript"/>
        </w:rPr>
        <w:t>M</w:t>
      </w:r>
      <w:r>
        <w:rPr>
          <w:rFonts w:hint="eastAsia"/>
          <w:color w:val="auto"/>
        </w:rPr>
        <w:t>—长度为M的线源瞬时注入污染物的质量，kg；</w:t>
      </w:r>
    </w:p>
    <w:p w14:paraId="41949A47">
      <w:pPr>
        <w:pStyle w:val="132"/>
        <w:rPr>
          <w:color w:val="auto"/>
        </w:rPr>
      </w:pPr>
      <w:r>
        <w:rPr>
          <w:rFonts w:hint="eastAsia"/>
          <w:color w:val="auto"/>
        </w:rPr>
        <w:t>u—地下水流速度，m/d；</w:t>
      </w:r>
    </w:p>
    <w:p w14:paraId="7CEF764C">
      <w:pPr>
        <w:pStyle w:val="132"/>
        <w:rPr>
          <w:color w:val="auto"/>
        </w:rPr>
      </w:pPr>
      <w:r>
        <w:rPr>
          <w:rFonts w:hint="eastAsia"/>
          <w:color w:val="auto"/>
        </w:rPr>
        <w:t>n—孔隙度；</w:t>
      </w:r>
    </w:p>
    <w:p w14:paraId="099A4004">
      <w:pPr>
        <w:pStyle w:val="132"/>
        <w:rPr>
          <w:color w:val="auto"/>
        </w:rPr>
      </w:pPr>
      <w:r>
        <w:rPr>
          <w:rFonts w:hint="eastAsia"/>
          <w:color w:val="auto"/>
        </w:rPr>
        <w:t>D</w:t>
      </w:r>
      <w:r>
        <w:rPr>
          <w:rFonts w:hint="eastAsia"/>
          <w:color w:val="auto"/>
          <w:vertAlign w:val="subscript"/>
        </w:rPr>
        <w:t>L</w:t>
      </w:r>
      <w:r>
        <w:rPr>
          <w:rFonts w:hint="eastAsia"/>
          <w:color w:val="auto"/>
        </w:rPr>
        <w:t xml:space="preserve">—纵向弥散系数，m²/d； </w:t>
      </w:r>
    </w:p>
    <w:p w14:paraId="7D969D69">
      <w:pPr>
        <w:pStyle w:val="132"/>
        <w:rPr>
          <w:color w:val="auto"/>
        </w:rPr>
      </w:pPr>
      <w:r>
        <w:rPr>
          <w:rFonts w:hint="eastAsia"/>
          <w:color w:val="auto"/>
        </w:rPr>
        <w:t>D</w:t>
      </w:r>
      <w:r>
        <w:rPr>
          <w:rFonts w:hint="eastAsia"/>
          <w:color w:val="auto"/>
          <w:vertAlign w:val="subscript"/>
        </w:rPr>
        <w:t>T</w:t>
      </w:r>
      <w:r>
        <w:rPr>
          <w:rFonts w:hint="eastAsia"/>
          <w:color w:val="auto"/>
        </w:rPr>
        <w:t>—横向y方向的弥散系数，m²/d C(x,y,t)——t时刻点x,y处的污染物浓度，mg/L；</w:t>
      </w:r>
    </w:p>
    <w:p w14:paraId="1621BBAF">
      <w:pPr>
        <w:pStyle w:val="132"/>
        <w:rPr>
          <w:color w:val="auto"/>
        </w:rPr>
      </w:pPr>
      <w:r>
        <w:rPr>
          <w:color w:val="auto"/>
        </w:rPr>
        <w:t>π</w:t>
      </w:r>
      <w:r>
        <w:rPr>
          <w:rFonts w:hint="eastAsia"/>
          <w:color w:val="auto"/>
        </w:rPr>
        <w:t>—圆周率。</w:t>
      </w:r>
    </w:p>
    <w:p w14:paraId="2729E9D7">
      <w:pPr>
        <w:pStyle w:val="132"/>
        <w:rPr>
          <w:color w:val="auto"/>
        </w:rPr>
      </w:pPr>
      <w:r>
        <w:rPr>
          <w:rFonts w:hint="eastAsia"/>
          <w:color w:val="auto"/>
        </w:rPr>
        <w:t>（7）预测参数选取</w:t>
      </w:r>
    </w:p>
    <w:p w14:paraId="0DFC989A">
      <w:pPr>
        <w:pStyle w:val="132"/>
        <w:rPr>
          <w:color w:val="auto"/>
        </w:rPr>
      </w:pPr>
      <w:r>
        <w:rPr>
          <w:rFonts w:hint="eastAsia"/>
          <w:color w:val="auto"/>
        </w:rPr>
        <w:t>利用所选取的污染物迁移模型，能否达到对污染物迁移过程的合理预测，关键就在于模型参数的选取和确定是否正确合理。本次评价水文地质参数主要通过收集项目所在区域的勘察成果资料及经验参数来确定。</w:t>
      </w:r>
    </w:p>
    <w:p w14:paraId="2E7707F7">
      <w:pPr>
        <w:pStyle w:val="132"/>
        <w:rPr>
          <w:color w:val="auto"/>
        </w:rPr>
      </w:pPr>
      <w:r>
        <w:rPr>
          <w:color w:val="auto"/>
        </w:rPr>
        <w:t>m</w:t>
      </w:r>
      <w:r>
        <w:rPr>
          <w:color w:val="auto"/>
          <w:vertAlign w:val="subscript"/>
        </w:rPr>
        <w:t>M</w:t>
      </w:r>
      <w:r>
        <w:rPr>
          <w:color w:val="auto"/>
        </w:rPr>
        <w:t>详见预测源强计算，预测中把渗漏的量当成不被包气带吸附和降解而全部进入含水层计算，不考虑渗透本身造成的时间滞后，预测对地下水的影响；</w:t>
      </w:r>
    </w:p>
    <w:p w14:paraId="2779552A">
      <w:pPr>
        <w:pStyle w:val="132"/>
        <w:rPr>
          <w:color w:val="auto"/>
        </w:rPr>
      </w:pPr>
      <w:r>
        <w:rPr>
          <w:rFonts w:hint="eastAsia"/>
          <w:color w:val="auto"/>
        </w:rPr>
        <w:t>M－</w:t>
      </w:r>
      <w:r>
        <w:rPr>
          <w:color w:val="auto"/>
        </w:rPr>
        <w:t>含水层厚度，</w:t>
      </w:r>
      <w:r>
        <w:rPr>
          <w:rFonts w:hint="eastAsia"/>
          <w:color w:val="auto"/>
        </w:rPr>
        <w:t>m</w:t>
      </w:r>
      <w:r>
        <w:rPr>
          <w:color w:val="auto"/>
        </w:rPr>
        <w:t>，评价区域潜水含水层平均厚度取</w:t>
      </w:r>
      <w:r>
        <w:rPr>
          <w:rFonts w:hint="eastAsia"/>
          <w:color w:val="auto"/>
        </w:rPr>
        <w:t>30m</w:t>
      </w:r>
      <w:r>
        <w:rPr>
          <w:color w:val="auto"/>
        </w:rPr>
        <w:t>；</w:t>
      </w:r>
    </w:p>
    <w:p w14:paraId="74C4FC34">
      <w:pPr>
        <w:pStyle w:val="132"/>
        <w:rPr>
          <w:color w:val="auto"/>
        </w:rPr>
      </w:pPr>
      <w:r>
        <w:rPr>
          <w:rFonts w:hint="eastAsia"/>
          <w:color w:val="auto"/>
        </w:rPr>
        <w:t>u－地下水流速度，m/d；参照《环境影响评价技术导则地下水环境》（HJ610-2016），潜水含水层岩性为粉土质砂，渗透系数取0.75m/d。水力坡度</w:t>
      </w:r>
      <w:r>
        <w:rPr>
          <w:color w:val="auto"/>
        </w:rPr>
        <w:t>I为3‰。</w:t>
      </w:r>
      <w:r>
        <w:rPr>
          <w:rFonts w:hint="eastAsia"/>
          <w:color w:val="auto"/>
        </w:rPr>
        <w:t>因此地下水的渗透流速</w:t>
      </w:r>
      <w:r>
        <w:rPr>
          <w:color w:val="auto"/>
        </w:rPr>
        <w:t>u=K×I/n=</w:t>
      </w:r>
      <w:r>
        <w:rPr>
          <w:rFonts w:hint="eastAsia"/>
          <w:color w:val="auto"/>
        </w:rPr>
        <w:t>0.75</w:t>
      </w:r>
      <w:r>
        <w:rPr>
          <w:color w:val="auto"/>
        </w:rPr>
        <w:t>×3‰</w:t>
      </w:r>
      <w:r>
        <w:rPr>
          <w:rFonts w:hint="eastAsia"/>
          <w:color w:val="auto"/>
        </w:rPr>
        <w:t>/0.32=0.007m/d；</w:t>
      </w:r>
    </w:p>
    <w:p w14:paraId="440C4FD3">
      <w:pPr>
        <w:pStyle w:val="132"/>
        <w:rPr>
          <w:color w:val="auto"/>
        </w:rPr>
      </w:pPr>
      <w:r>
        <w:rPr>
          <w:rFonts w:hint="eastAsia"/>
          <w:color w:val="auto"/>
        </w:rPr>
        <w:t>n－有效孔隙度，无量纲，参照《地下水科学概论》中经验范围值，取0.32；</w:t>
      </w:r>
    </w:p>
    <w:p w14:paraId="275F3216">
      <w:pPr>
        <w:pStyle w:val="132"/>
        <w:rPr>
          <w:color w:val="auto"/>
        </w:rPr>
      </w:pPr>
      <w:r>
        <w:rPr>
          <w:rFonts w:hint="eastAsia"/>
          <w:color w:val="auto"/>
        </w:rPr>
        <w:t>纵向</w:t>
      </w:r>
      <w:r>
        <w:rPr>
          <w:color w:val="auto"/>
        </w:rPr>
        <w:t>x</w:t>
      </w:r>
      <w:r>
        <w:rPr>
          <w:rFonts w:hint="eastAsia"/>
          <w:color w:val="auto"/>
        </w:rPr>
        <w:t>方向的弥散系数：参考</w:t>
      </w:r>
      <w:r>
        <w:rPr>
          <w:color w:val="auto"/>
        </w:rPr>
        <w:t>Gelhar</w:t>
      </w:r>
      <w:r>
        <w:rPr>
          <w:rFonts w:hint="eastAsia"/>
          <w:color w:val="auto"/>
        </w:rPr>
        <w:t>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color w:val="auto"/>
        </w:rPr>
        <w:t>α</w:t>
      </w:r>
      <w:r>
        <w:rPr>
          <w:color w:val="auto"/>
          <w:vertAlign w:val="subscript"/>
        </w:rPr>
        <w:t>L</w:t>
      </w:r>
      <w:r>
        <w:rPr>
          <w:rFonts w:hint="eastAsia"/>
          <w:color w:val="auto"/>
        </w:rPr>
        <w:t xml:space="preserve">绘在双对数坐标纸上，见图 </w:t>
      </w:r>
      <w:r>
        <w:rPr>
          <w:color w:val="auto"/>
        </w:rPr>
        <w:t>5.4</w:t>
      </w:r>
      <w:r>
        <w:rPr>
          <w:rFonts w:hint="eastAsia"/>
          <w:color w:val="auto"/>
        </w:rPr>
        <w:t>–</w:t>
      </w:r>
      <w:r>
        <w:rPr>
          <w:color w:val="auto"/>
        </w:rPr>
        <w:t>1</w:t>
      </w:r>
      <w:r>
        <w:rPr>
          <w:rFonts w:hint="eastAsia"/>
          <w:color w:val="auto"/>
        </w:rPr>
        <w:t>，从图上可以看出纵向弥散度</w:t>
      </w:r>
      <w:r>
        <w:rPr>
          <w:color w:val="auto"/>
        </w:rPr>
        <w:t>α</w:t>
      </w:r>
      <w:r>
        <w:rPr>
          <w:color w:val="auto"/>
          <w:vertAlign w:val="subscript"/>
        </w:rPr>
        <w:t>L</w:t>
      </w:r>
      <w:r>
        <w:rPr>
          <w:rFonts w:hint="eastAsia"/>
          <w:color w:val="auto"/>
        </w:rPr>
        <w:t>从整体上随着尺度的增加而增大。基准尺度</w:t>
      </w:r>
      <w:r>
        <w:rPr>
          <w:color w:val="auto"/>
        </w:rPr>
        <w:t>Ls</w:t>
      </w:r>
      <w:r>
        <w:rPr>
          <w:rFonts w:hint="eastAsia"/>
          <w:color w:val="auto"/>
        </w:rPr>
        <w:t>是指研究区大小的度量，一般用溶质运移到观测孔的最大距离表示，或用计算区的近似最大内径长度代替。</w:t>
      </w:r>
    </w:p>
    <w:p w14:paraId="0A114711">
      <w:pPr>
        <w:spacing w:before="100" w:beforeAutospacing="1" w:line="360" w:lineRule="auto"/>
        <w:ind w:firstLine="480" w:firstLineChars="200"/>
        <w:jc w:val="center"/>
        <w:rPr>
          <w:color w:val="auto"/>
          <w:sz w:val="24"/>
          <w:szCs w:val="24"/>
        </w:rPr>
      </w:pPr>
      <w:r>
        <w:rPr>
          <w:color w:val="auto"/>
          <w:sz w:val="24"/>
          <w:szCs w:val="24"/>
        </w:rPr>
        <w:drawing>
          <wp:inline distT="0" distB="0" distL="0" distR="0">
            <wp:extent cx="2898775" cy="22339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98775" cy="2233930"/>
                    </a:xfrm>
                    <a:prstGeom prst="rect">
                      <a:avLst/>
                    </a:prstGeom>
                    <a:noFill/>
                    <a:ln>
                      <a:noFill/>
                    </a:ln>
                  </pic:spPr>
                </pic:pic>
              </a:graphicData>
            </a:graphic>
          </wp:inline>
        </w:drawing>
      </w:r>
      <w:r>
        <w:rPr>
          <w:color w:val="auto"/>
          <w:sz w:val="24"/>
          <w:szCs w:val="24"/>
        </w:rPr>
        <w:t xml:space="preserve"> </w:t>
      </w:r>
    </w:p>
    <w:p w14:paraId="53E01F2E">
      <w:pPr>
        <w:pStyle w:val="1060"/>
        <w:rPr>
          <w:color w:val="auto"/>
          <w:sz w:val="26"/>
          <w:szCs w:val="20"/>
        </w:rPr>
      </w:pPr>
      <w:bookmarkStart w:id="317" w:name="_Ref205512439"/>
      <w:bookmarkEnd w:id="317"/>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szCs w:val="23"/>
        </w:rPr>
        <w:t xml:space="preserve">  </w:t>
      </w:r>
      <w:r>
        <w:rPr>
          <w:color w:val="auto"/>
          <w:szCs w:val="23"/>
        </w:rPr>
        <w:t>lgαL—lgLS</w:t>
      </w:r>
      <w:r>
        <w:rPr>
          <w:rFonts w:hint="eastAsia" w:ascii="黑体" w:hAnsi="黑体"/>
          <w:color w:val="auto"/>
          <w:szCs w:val="23"/>
        </w:rPr>
        <w:t>关系图</w:t>
      </w:r>
    </w:p>
    <w:p w14:paraId="581916E7">
      <w:pPr>
        <w:pStyle w:val="132"/>
        <w:rPr>
          <w:color w:val="auto"/>
        </w:rPr>
      </w:pPr>
      <w:r>
        <w:rPr>
          <w:rFonts w:hint="eastAsia"/>
          <w:color w:val="auto"/>
        </w:rPr>
        <w:t>故本次参考以往研究成果，弥散度参数值取</w:t>
      </w:r>
      <w:r>
        <w:rPr>
          <w:color w:val="auto"/>
        </w:rPr>
        <w:t>5m</w:t>
      </w:r>
      <w:r>
        <w:rPr>
          <w:rFonts w:hint="eastAsia"/>
          <w:color w:val="auto"/>
        </w:rPr>
        <w:t>。由此计算项目区含水层中的纵向弥散系数</w:t>
      </w:r>
      <w:r>
        <w:rPr>
          <w:color w:val="auto"/>
        </w:rPr>
        <w:t>D</w:t>
      </w:r>
      <w:r>
        <w:rPr>
          <w:color w:val="auto"/>
          <w:vertAlign w:val="subscript"/>
        </w:rPr>
        <w:t>L</w:t>
      </w:r>
      <w:r>
        <w:rPr>
          <w:color w:val="auto"/>
        </w:rPr>
        <w:t>=5m×0.</w:t>
      </w:r>
      <w:r>
        <w:rPr>
          <w:rFonts w:hint="eastAsia"/>
          <w:color w:val="auto"/>
        </w:rPr>
        <w:t>007</w:t>
      </w:r>
      <w:r>
        <w:rPr>
          <w:color w:val="auto"/>
        </w:rPr>
        <w:t>m/d=0.</w:t>
      </w:r>
      <w:r>
        <w:rPr>
          <w:rFonts w:hint="eastAsia"/>
          <w:color w:val="auto"/>
        </w:rPr>
        <w:t>035</w:t>
      </w:r>
      <w:r>
        <w:rPr>
          <w:color w:val="auto"/>
        </w:rPr>
        <w:t>(m</w:t>
      </w:r>
      <w:r>
        <w:rPr>
          <w:color w:val="auto"/>
          <w:vertAlign w:val="superscript"/>
        </w:rPr>
        <w:t>2</w:t>
      </w:r>
      <w:r>
        <w:rPr>
          <w:color w:val="auto"/>
        </w:rPr>
        <w:t>/d</w:t>
      </w:r>
      <w:r>
        <w:rPr>
          <w:rFonts w:hint="eastAsia"/>
          <w:color w:val="auto"/>
        </w:rPr>
        <w:t>）；横向</w:t>
      </w:r>
      <w:r>
        <w:rPr>
          <w:color w:val="auto"/>
        </w:rPr>
        <w:t>y</w:t>
      </w:r>
      <w:r>
        <w:rPr>
          <w:rFonts w:hint="eastAsia"/>
          <w:color w:val="auto"/>
        </w:rPr>
        <w:t>方向的弥散系数：</w:t>
      </w:r>
      <w:r>
        <w:rPr>
          <w:color w:val="auto"/>
        </w:rPr>
        <w:t>D</w:t>
      </w:r>
      <w:r>
        <w:rPr>
          <w:color w:val="auto"/>
          <w:vertAlign w:val="subscript"/>
        </w:rPr>
        <w:t>T</w:t>
      </w:r>
      <w:r>
        <w:rPr>
          <w:color w:val="auto"/>
        </w:rPr>
        <w:t>=D</w:t>
      </w:r>
      <w:r>
        <w:rPr>
          <w:color w:val="auto"/>
          <w:vertAlign w:val="subscript"/>
        </w:rPr>
        <w:t>L</w:t>
      </w:r>
      <w:r>
        <w:rPr>
          <w:color w:val="auto"/>
        </w:rPr>
        <w:t>×10%</w:t>
      </w:r>
      <w:r>
        <w:rPr>
          <w:rFonts w:hint="eastAsia"/>
          <w:color w:val="auto"/>
        </w:rPr>
        <w:t>根据经验一般，因此，</w:t>
      </w:r>
      <w:r>
        <w:rPr>
          <w:color w:val="auto"/>
        </w:rPr>
        <w:t>D</w:t>
      </w:r>
      <w:r>
        <w:rPr>
          <w:color w:val="auto"/>
          <w:vertAlign w:val="subscript"/>
        </w:rPr>
        <w:t>T</w:t>
      </w:r>
      <w:r>
        <w:rPr>
          <w:color w:val="auto"/>
        </w:rPr>
        <w:t>=0.0</w:t>
      </w:r>
      <w:r>
        <w:rPr>
          <w:rFonts w:hint="eastAsia"/>
          <w:color w:val="auto"/>
        </w:rPr>
        <w:t>035</w:t>
      </w:r>
      <w:r>
        <w:rPr>
          <w:color w:val="auto"/>
        </w:rPr>
        <w:t>(m</w:t>
      </w:r>
      <w:r>
        <w:rPr>
          <w:color w:val="auto"/>
          <w:vertAlign w:val="superscript"/>
        </w:rPr>
        <w:t>2</w:t>
      </w:r>
      <w:r>
        <w:rPr>
          <w:color w:val="auto"/>
        </w:rPr>
        <w:t>/d</w:t>
      </w:r>
      <w:r>
        <w:rPr>
          <w:rFonts w:hint="eastAsia"/>
          <w:color w:val="auto"/>
        </w:rPr>
        <w:t>）。</w:t>
      </w:r>
    </w:p>
    <w:p w14:paraId="55908B09">
      <w:pPr>
        <w:pStyle w:val="132"/>
        <w:rPr>
          <w:color w:val="auto"/>
        </w:rPr>
      </w:pPr>
      <w:r>
        <w:rPr>
          <w:rFonts w:hint="eastAsia"/>
          <w:color w:val="auto"/>
        </w:rPr>
        <w:t xml:space="preserve">模型中所需参数及来源见表 </w:t>
      </w:r>
      <w:r>
        <w:rPr>
          <w:color w:val="auto"/>
        </w:rPr>
        <w:t>5.4</w:t>
      </w:r>
      <w:r>
        <w:rPr>
          <w:rFonts w:hint="eastAsia"/>
          <w:color w:val="auto"/>
        </w:rPr>
        <w:t>–</w:t>
      </w:r>
      <w:r>
        <w:rPr>
          <w:color w:val="auto"/>
        </w:rPr>
        <w:t>1</w:t>
      </w:r>
      <w:r>
        <w:rPr>
          <w:rFonts w:hint="eastAsia"/>
          <w:color w:val="auto"/>
        </w:rPr>
        <w:t>。</w:t>
      </w:r>
    </w:p>
    <w:p w14:paraId="2532C06C">
      <w:pPr>
        <w:pStyle w:val="132"/>
        <w:rPr>
          <w:color w:val="auto"/>
        </w:rPr>
      </w:pPr>
    </w:p>
    <w:p w14:paraId="270CB525">
      <w:pPr>
        <w:pStyle w:val="1060"/>
        <w:rPr>
          <w:color w:val="auto"/>
        </w:rPr>
      </w:pPr>
      <w:bookmarkStart w:id="318" w:name="_Ref218868654"/>
      <w:bookmarkEnd w:id="31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水质预测模型所需参数一览表</w:t>
      </w:r>
    </w:p>
    <w:tbl>
      <w:tblPr>
        <w:tblStyle w:val="2428"/>
        <w:tblW w:w="5000" w:type="pct"/>
        <w:tblInd w:w="16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043"/>
        <w:gridCol w:w="1652"/>
        <w:gridCol w:w="1699"/>
        <w:gridCol w:w="1464"/>
        <w:gridCol w:w="1464"/>
        <w:gridCol w:w="1464"/>
      </w:tblGrid>
      <w:tr w14:paraId="163FDB6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94" w:type="pct"/>
            <w:tcBorders>
              <w:top w:val="single" w:color="000000" w:sz="8" w:space="0"/>
              <w:left w:val="single" w:color="000000" w:sz="8" w:space="0"/>
              <w:bottom w:val="single" w:color="000000" w:sz="2" w:space="0"/>
              <w:right w:val="single" w:color="000000" w:sz="2" w:space="0"/>
            </w:tcBorders>
            <w:vAlign w:val="center"/>
          </w:tcPr>
          <w:p w14:paraId="2D8E11FA">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参数名称</w:t>
            </w:r>
          </w:p>
        </w:tc>
        <w:tc>
          <w:tcPr>
            <w:tcW w:w="940" w:type="pct"/>
            <w:tcBorders>
              <w:top w:val="single" w:color="000000" w:sz="8" w:space="0"/>
              <w:left w:val="nil"/>
              <w:bottom w:val="single" w:color="000000" w:sz="2" w:space="0"/>
              <w:right w:val="single" w:color="000000" w:sz="2" w:space="0"/>
            </w:tcBorders>
            <w:vAlign w:val="center"/>
          </w:tcPr>
          <w:p w14:paraId="3E546CE0">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含水层厚度（</w:t>
            </w:r>
            <w:r>
              <w:rPr>
                <w:rFonts w:eastAsia="Times New Roman"/>
                <w:color w:val="auto"/>
                <w:sz w:val="21"/>
                <w:szCs w:val="21"/>
              </w:rPr>
              <w:t>M</w:t>
            </w:r>
            <w:r>
              <w:rPr>
                <w:rFonts w:hint="eastAsia" w:ascii="宋体" w:hAnsi="宋体" w:eastAsia="Times New Roman" w:cs="宋体"/>
                <w:color w:val="auto"/>
                <w:sz w:val="21"/>
                <w:szCs w:val="21"/>
              </w:rPr>
              <w:t>）</w:t>
            </w:r>
          </w:p>
        </w:tc>
        <w:tc>
          <w:tcPr>
            <w:tcW w:w="967" w:type="pct"/>
            <w:tcBorders>
              <w:top w:val="single" w:color="000000" w:sz="8" w:space="0"/>
              <w:left w:val="nil"/>
              <w:bottom w:val="single" w:color="000000" w:sz="2" w:space="0"/>
              <w:right w:val="single" w:color="000000" w:sz="2" w:space="0"/>
            </w:tcBorders>
            <w:vAlign w:val="center"/>
          </w:tcPr>
          <w:p w14:paraId="47E1AB09">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含水层渗透系数（</w:t>
            </w:r>
            <w:r>
              <w:rPr>
                <w:rFonts w:eastAsia="Times New Roman"/>
                <w:color w:val="auto"/>
                <w:sz w:val="21"/>
                <w:szCs w:val="21"/>
              </w:rPr>
              <w:t>K</w:t>
            </w:r>
            <w:r>
              <w:rPr>
                <w:rFonts w:hint="eastAsia" w:ascii="宋体" w:hAnsi="宋体" w:eastAsia="Times New Roman" w:cs="宋体"/>
                <w:color w:val="auto"/>
                <w:sz w:val="21"/>
                <w:szCs w:val="21"/>
              </w:rPr>
              <w:t>）</w:t>
            </w:r>
          </w:p>
        </w:tc>
        <w:tc>
          <w:tcPr>
            <w:tcW w:w="833" w:type="pct"/>
            <w:tcBorders>
              <w:top w:val="single" w:color="000000" w:sz="8" w:space="0"/>
              <w:left w:val="nil"/>
              <w:bottom w:val="single" w:color="000000" w:sz="2" w:space="0"/>
              <w:right w:val="single" w:color="000000" w:sz="2" w:space="0"/>
            </w:tcBorders>
            <w:vAlign w:val="center"/>
          </w:tcPr>
          <w:p w14:paraId="376B540F">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地下水流速（</w:t>
            </w:r>
            <w:r>
              <w:rPr>
                <w:rFonts w:eastAsia="Times New Roman"/>
                <w:color w:val="auto"/>
                <w:sz w:val="21"/>
                <w:szCs w:val="21"/>
              </w:rPr>
              <w:t>u</w:t>
            </w:r>
            <w:r>
              <w:rPr>
                <w:rFonts w:hint="eastAsia" w:ascii="宋体" w:hAnsi="宋体" w:eastAsia="Times New Roman" w:cs="宋体"/>
                <w:color w:val="auto"/>
                <w:sz w:val="21"/>
                <w:szCs w:val="21"/>
              </w:rPr>
              <w:t>）</w:t>
            </w:r>
          </w:p>
        </w:tc>
        <w:tc>
          <w:tcPr>
            <w:tcW w:w="833" w:type="pct"/>
            <w:tcBorders>
              <w:top w:val="single" w:color="000000" w:sz="8" w:space="0"/>
              <w:left w:val="nil"/>
              <w:bottom w:val="single" w:color="000000" w:sz="2" w:space="0"/>
              <w:right w:val="single" w:color="000000" w:sz="2" w:space="0"/>
            </w:tcBorders>
            <w:vAlign w:val="center"/>
          </w:tcPr>
          <w:p w14:paraId="2B848A7C">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有效孔隙度（</w:t>
            </w:r>
            <w:r>
              <w:rPr>
                <w:rFonts w:eastAsia="Times New Roman"/>
                <w:color w:val="auto"/>
                <w:sz w:val="21"/>
                <w:szCs w:val="21"/>
              </w:rPr>
              <w:t>n</w:t>
            </w:r>
            <w:r>
              <w:rPr>
                <w:rFonts w:hint="eastAsia" w:ascii="宋体" w:hAnsi="宋体" w:eastAsia="Times New Roman" w:cs="宋体"/>
                <w:color w:val="auto"/>
                <w:sz w:val="21"/>
                <w:szCs w:val="21"/>
              </w:rPr>
              <w:t>）</w:t>
            </w:r>
          </w:p>
        </w:tc>
        <w:tc>
          <w:tcPr>
            <w:tcW w:w="833" w:type="pct"/>
            <w:tcBorders>
              <w:top w:val="single" w:color="000000" w:sz="8" w:space="0"/>
              <w:left w:val="nil"/>
              <w:bottom w:val="single" w:color="000000" w:sz="2" w:space="0"/>
              <w:right w:val="single" w:color="000000" w:sz="8" w:space="0"/>
            </w:tcBorders>
            <w:vAlign w:val="center"/>
          </w:tcPr>
          <w:p w14:paraId="16C1720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弥散系数（</w:t>
            </w:r>
            <w:r>
              <w:rPr>
                <w:rFonts w:eastAsia="Times New Roman"/>
                <w:color w:val="auto"/>
                <w:sz w:val="21"/>
                <w:szCs w:val="21"/>
              </w:rPr>
              <w:t>D</w:t>
            </w:r>
            <w:r>
              <w:rPr>
                <w:rFonts w:eastAsia="Times New Roman"/>
                <w:color w:val="auto"/>
                <w:sz w:val="21"/>
                <w:szCs w:val="21"/>
                <w:vertAlign w:val="subscript"/>
              </w:rPr>
              <w:t>L</w:t>
            </w:r>
            <w:r>
              <w:rPr>
                <w:rFonts w:hint="eastAsia" w:ascii="宋体" w:hAnsi="宋体" w:eastAsia="Times New Roman" w:cs="宋体"/>
                <w:color w:val="auto"/>
                <w:sz w:val="21"/>
                <w:szCs w:val="21"/>
                <w:vertAlign w:val="subscript"/>
              </w:rPr>
              <w:t>）</w:t>
            </w:r>
          </w:p>
        </w:tc>
      </w:tr>
      <w:tr w14:paraId="366F967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94" w:type="pct"/>
            <w:tcBorders>
              <w:top w:val="single" w:color="000000" w:sz="2" w:space="0"/>
              <w:left w:val="single" w:color="000000" w:sz="8" w:space="0"/>
              <w:bottom w:val="single" w:color="000000" w:sz="2" w:space="0"/>
              <w:right w:val="single" w:color="000000" w:sz="2" w:space="0"/>
            </w:tcBorders>
            <w:vAlign w:val="center"/>
          </w:tcPr>
          <w:p w14:paraId="2AD17B27">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单位</w:t>
            </w:r>
          </w:p>
        </w:tc>
        <w:tc>
          <w:tcPr>
            <w:tcW w:w="940" w:type="pct"/>
            <w:tcBorders>
              <w:top w:val="single" w:color="000000" w:sz="2" w:space="0"/>
              <w:left w:val="nil"/>
              <w:bottom w:val="single" w:color="000000" w:sz="2" w:space="0"/>
              <w:right w:val="single" w:color="000000" w:sz="2" w:space="0"/>
            </w:tcBorders>
            <w:vAlign w:val="center"/>
          </w:tcPr>
          <w:p w14:paraId="416E547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m</w:t>
            </w:r>
          </w:p>
        </w:tc>
        <w:tc>
          <w:tcPr>
            <w:tcW w:w="967" w:type="pct"/>
            <w:tcBorders>
              <w:top w:val="single" w:color="000000" w:sz="2" w:space="0"/>
              <w:left w:val="nil"/>
              <w:bottom w:val="single" w:color="000000" w:sz="2" w:space="0"/>
              <w:right w:val="single" w:color="000000" w:sz="2" w:space="0"/>
            </w:tcBorders>
            <w:vAlign w:val="center"/>
          </w:tcPr>
          <w:p w14:paraId="40AC50FF">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m/d</w:t>
            </w:r>
          </w:p>
        </w:tc>
        <w:tc>
          <w:tcPr>
            <w:tcW w:w="833" w:type="pct"/>
            <w:tcBorders>
              <w:top w:val="single" w:color="000000" w:sz="2" w:space="0"/>
              <w:left w:val="nil"/>
              <w:bottom w:val="single" w:color="000000" w:sz="2" w:space="0"/>
              <w:right w:val="single" w:color="000000" w:sz="2" w:space="0"/>
            </w:tcBorders>
            <w:vAlign w:val="center"/>
          </w:tcPr>
          <w:p w14:paraId="2DAC1DB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m/d</w:t>
            </w:r>
          </w:p>
        </w:tc>
        <w:tc>
          <w:tcPr>
            <w:tcW w:w="833" w:type="pct"/>
            <w:tcBorders>
              <w:top w:val="single" w:color="000000" w:sz="2" w:space="0"/>
              <w:left w:val="nil"/>
              <w:bottom w:val="single" w:color="000000" w:sz="2" w:space="0"/>
              <w:right w:val="single" w:color="000000" w:sz="2" w:space="0"/>
            </w:tcBorders>
            <w:vAlign w:val="center"/>
          </w:tcPr>
          <w:p w14:paraId="3EFC5EC7">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无量纲</w:t>
            </w:r>
          </w:p>
        </w:tc>
        <w:tc>
          <w:tcPr>
            <w:tcW w:w="833" w:type="pct"/>
            <w:tcBorders>
              <w:top w:val="single" w:color="000000" w:sz="2" w:space="0"/>
              <w:left w:val="nil"/>
              <w:bottom w:val="single" w:color="000000" w:sz="2" w:space="0"/>
              <w:right w:val="single" w:color="000000" w:sz="8" w:space="0"/>
            </w:tcBorders>
            <w:vAlign w:val="center"/>
          </w:tcPr>
          <w:p w14:paraId="72CCD0B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m</w:t>
            </w:r>
            <w:r>
              <w:rPr>
                <w:rFonts w:eastAsia="Times New Roman"/>
                <w:color w:val="auto"/>
                <w:sz w:val="21"/>
                <w:szCs w:val="21"/>
                <w:vertAlign w:val="superscript"/>
              </w:rPr>
              <w:t>2</w:t>
            </w:r>
            <w:r>
              <w:rPr>
                <w:rFonts w:eastAsia="Times New Roman"/>
                <w:color w:val="auto"/>
                <w:sz w:val="21"/>
                <w:szCs w:val="21"/>
              </w:rPr>
              <w:t>/d</w:t>
            </w:r>
          </w:p>
        </w:tc>
      </w:tr>
      <w:tr w14:paraId="576AFC8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94" w:type="pct"/>
            <w:tcBorders>
              <w:top w:val="single" w:color="000000" w:sz="2" w:space="0"/>
              <w:left w:val="single" w:color="000000" w:sz="8" w:space="0"/>
              <w:bottom w:val="single" w:color="000000" w:sz="8" w:space="0"/>
              <w:right w:val="single" w:color="000000" w:sz="2" w:space="0"/>
            </w:tcBorders>
            <w:vAlign w:val="center"/>
          </w:tcPr>
          <w:p w14:paraId="71ECC7B8">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数值</w:t>
            </w:r>
          </w:p>
        </w:tc>
        <w:tc>
          <w:tcPr>
            <w:tcW w:w="940" w:type="pct"/>
            <w:tcBorders>
              <w:top w:val="single" w:color="000000" w:sz="2" w:space="0"/>
              <w:left w:val="nil"/>
              <w:bottom w:val="single" w:color="000000" w:sz="8" w:space="0"/>
              <w:right w:val="single" w:color="000000" w:sz="2" w:space="0"/>
            </w:tcBorders>
            <w:vAlign w:val="center"/>
          </w:tcPr>
          <w:p w14:paraId="23B6D249">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30</w:t>
            </w:r>
          </w:p>
        </w:tc>
        <w:tc>
          <w:tcPr>
            <w:tcW w:w="967" w:type="pct"/>
            <w:tcBorders>
              <w:top w:val="single" w:color="000000" w:sz="2" w:space="0"/>
              <w:left w:val="nil"/>
              <w:bottom w:val="single" w:color="000000" w:sz="8" w:space="0"/>
              <w:right w:val="single" w:color="000000" w:sz="2" w:space="0"/>
            </w:tcBorders>
            <w:vAlign w:val="center"/>
          </w:tcPr>
          <w:p w14:paraId="37ADF87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0.75</w:t>
            </w:r>
          </w:p>
        </w:tc>
        <w:tc>
          <w:tcPr>
            <w:tcW w:w="833" w:type="pct"/>
            <w:tcBorders>
              <w:top w:val="single" w:color="000000" w:sz="2" w:space="0"/>
              <w:left w:val="nil"/>
              <w:bottom w:val="single" w:color="000000" w:sz="8" w:space="0"/>
              <w:right w:val="single" w:color="000000" w:sz="2" w:space="0"/>
            </w:tcBorders>
            <w:vAlign w:val="center"/>
          </w:tcPr>
          <w:p w14:paraId="28228F34">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0.007</w:t>
            </w:r>
          </w:p>
        </w:tc>
        <w:tc>
          <w:tcPr>
            <w:tcW w:w="833" w:type="pct"/>
            <w:tcBorders>
              <w:top w:val="single" w:color="000000" w:sz="2" w:space="0"/>
              <w:left w:val="nil"/>
              <w:bottom w:val="single" w:color="000000" w:sz="8" w:space="0"/>
              <w:right w:val="single" w:color="000000" w:sz="2" w:space="0"/>
            </w:tcBorders>
            <w:vAlign w:val="center"/>
          </w:tcPr>
          <w:p w14:paraId="50DC95C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0.32</w:t>
            </w:r>
          </w:p>
        </w:tc>
        <w:tc>
          <w:tcPr>
            <w:tcW w:w="833" w:type="pct"/>
            <w:tcBorders>
              <w:top w:val="single" w:color="000000" w:sz="2" w:space="0"/>
              <w:left w:val="nil"/>
              <w:bottom w:val="single" w:color="000000" w:sz="8" w:space="0"/>
              <w:right w:val="single" w:color="000000" w:sz="8" w:space="0"/>
            </w:tcBorders>
            <w:vAlign w:val="center"/>
          </w:tcPr>
          <w:p w14:paraId="396AF5F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0.035</w:t>
            </w:r>
          </w:p>
        </w:tc>
      </w:tr>
    </w:tbl>
    <w:p w14:paraId="3E6724FB">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16028BC6">
      <w:pPr>
        <w:pStyle w:val="4"/>
        <w:rPr>
          <w:color w:val="auto"/>
        </w:rPr>
      </w:pPr>
      <w:r>
        <w:rPr>
          <w:rFonts w:hint="eastAsia"/>
          <w:color w:val="auto"/>
        </w:rPr>
        <w:t>地下水污染预测结果</w:t>
      </w:r>
    </w:p>
    <w:p w14:paraId="7AB8F58E">
      <w:pPr>
        <w:pStyle w:val="132"/>
        <w:rPr>
          <w:color w:val="auto"/>
        </w:rPr>
      </w:pPr>
      <w:r>
        <w:rPr>
          <w:rFonts w:hint="eastAsia"/>
          <w:color w:val="auto"/>
        </w:rPr>
        <w:t>本次模拟预测，根据非正常状况污染分析的情景设计，在选定优先控制污染物的基础上，分别对地下水污染物在不同时段的运移距离、超标范围进行模拟预测，预测在特定时间内污染因子与厂界的位置关系，说明污染物的影响程度。</w:t>
      </w:r>
    </w:p>
    <w:p w14:paraId="65548383">
      <w:pPr>
        <w:pStyle w:val="132"/>
        <w:rPr>
          <w:rFonts w:hint="eastAsia"/>
          <w:color w:val="auto"/>
        </w:rPr>
      </w:pPr>
      <w:r>
        <w:rPr>
          <w:rFonts w:hint="eastAsia"/>
          <w:color w:val="auto"/>
        </w:rPr>
        <w:t>COD进入含水层100天，超标距离为下游3m，预测超标面积为：9m</w:t>
      </w:r>
      <w:r>
        <w:rPr>
          <w:rFonts w:hint="eastAsia"/>
          <w:color w:val="auto"/>
          <w:vertAlign w:val="superscript"/>
        </w:rPr>
        <w:t>2</w:t>
      </w:r>
      <w:r>
        <w:rPr>
          <w:rFonts w:hint="eastAsia"/>
          <w:color w:val="auto"/>
        </w:rPr>
        <w:t>；影响距离为下游8m，预测影响面积为：60m</w:t>
      </w:r>
      <w:r>
        <w:rPr>
          <w:rFonts w:hint="eastAsia"/>
          <w:color w:val="auto"/>
          <w:vertAlign w:val="superscript"/>
        </w:rPr>
        <w:t>2</w:t>
      </w:r>
      <w:r>
        <w:rPr>
          <w:rFonts w:hint="eastAsia"/>
          <w:color w:val="auto"/>
        </w:rPr>
        <w:t>；进入含水层365天，超标距离为下游0m，预测超标面积为：0m</w:t>
      </w:r>
      <w:r>
        <w:rPr>
          <w:rFonts w:hint="eastAsia"/>
          <w:color w:val="auto"/>
          <w:vertAlign w:val="superscript"/>
        </w:rPr>
        <w:t>2</w:t>
      </w:r>
      <w:r>
        <w:rPr>
          <w:rFonts w:hint="eastAsia"/>
          <w:color w:val="auto"/>
        </w:rPr>
        <w:t>；影响距离为下游15m，预测影响面积为：166m</w:t>
      </w:r>
      <w:r>
        <w:rPr>
          <w:rFonts w:hint="eastAsia"/>
          <w:color w:val="auto"/>
          <w:vertAlign w:val="superscript"/>
        </w:rPr>
        <w:t>2</w:t>
      </w:r>
      <w:r>
        <w:rPr>
          <w:rFonts w:hint="eastAsia"/>
          <w:color w:val="auto"/>
        </w:rPr>
        <w:t>；进入含水层1000天，超标距离为下游13m，预测超标面积为：84m</w:t>
      </w:r>
      <w:r>
        <w:rPr>
          <w:rFonts w:hint="eastAsia"/>
          <w:color w:val="auto"/>
          <w:vertAlign w:val="superscript"/>
        </w:rPr>
        <w:t>2</w:t>
      </w:r>
      <w:r>
        <w:rPr>
          <w:rFonts w:hint="eastAsia"/>
          <w:color w:val="auto"/>
        </w:rPr>
        <w:t>；影响距离为下游30m，预测影响面积为：591m</w:t>
      </w:r>
      <w:r>
        <w:rPr>
          <w:rFonts w:hint="eastAsia"/>
          <w:color w:val="auto"/>
          <w:vertAlign w:val="superscript"/>
        </w:rPr>
        <w:t>2</w:t>
      </w:r>
      <w:r>
        <w:rPr>
          <w:rFonts w:hint="eastAsia"/>
          <w:color w:val="auto"/>
        </w:rPr>
        <w:t>。</w:t>
      </w:r>
    </w:p>
    <w:p w14:paraId="76462947">
      <w:pPr>
        <w:autoSpaceDE w:val="0"/>
        <w:autoSpaceDN w:val="0"/>
        <w:adjustRightInd w:val="0"/>
        <w:spacing w:line="240" w:lineRule="exact"/>
        <w:rPr>
          <w:rFonts w:ascii="黑体"/>
          <w:bCs/>
          <w:color w:val="auto"/>
          <w:sz w:val="24"/>
          <w:szCs w:val="24"/>
        </w:rPr>
      </w:pPr>
    </w:p>
    <w:p w14:paraId="7CAA902F">
      <w:pPr>
        <w:pStyle w:val="4"/>
        <w:rPr>
          <w:color w:val="auto"/>
        </w:rPr>
      </w:pPr>
      <w:r>
        <w:rPr>
          <w:rFonts w:hint="eastAsia"/>
          <w:color w:val="auto"/>
        </w:rPr>
        <w:t>地下水环境影响小结</w:t>
      </w:r>
    </w:p>
    <w:p w14:paraId="366A63F8">
      <w:pPr>
        <w:pStyle w:val="132"/>
        <w:rPr>
          <w:color w:val="auto"/>
        </w:rPr>
      </w:pPr>
      <w:r>
        <w:rPr>
          <w:color w:val="auto"/>
        </w:rPr>
        <w:t>经预测，超标距离和影响距离均在厂界内，没有超出厂界范围，因此废水泄漏主要对厂区内的地下水造成较明显的影响，对厂区外下游的地下水影响较小。因此，在采取防渗等地下水治理措施后，可对地下水含水层的超标范围及污染程度进行有效控制，减少对地下水水质的影响。</w:t>
      </w:r>
    </w:p>
    <w:p w14:paraId="2A89F58A">
      <w:pPr>
        <w:pStyle w:val="132"/>
        <w:rPr>
          <w:color w:val="auto"/>
        </w:rPr>
      </w:pPr>
      <w:r>
        <w:rPr>
          <w:color w:val="auto"/>
        </w:rPr>
        <w:t>综合以上模拟预测可以看出，确保防渗措施和渗漏检测有效对于防止地下水遭受污染具有非常重要的意义。本项目监控井合理布设和设置适当的监控周期是控制非正常状况影响范围的重要手段，要通过各种措施避免跑冒滴漏、非正常工况时的泄漏等事故工况的发生，从源头入手保护地下水。</w:t>
      </w:r>
    </w:p>
    <w:p w14:paraId="099D7DD0">
      <w:pPr>
        <w:pStyle w:val="3"/>
        <w:rPr>
          <w:color w:val="auto"/>
        </w:rPr>
      </w:pPr>
      <w:bookmarkStart w:id="319" w:name="_Toc171109108"/>
      <w:bookmarkEnd w:id="319"/>
      <w:bookmarkStart w:id="320" w:name="_Toc229930146"/>
      <w:bookmarkStart w:id="321" w:name="_Toc196333714"/>
      <w:r>
        <w:rPr>
          <w:rFonts w:hint="eastAsia"/>
          <w:color w:val="auto"/>
        </w:rPr>
        <w:t>运营期土壤环境影响预测与评价</w:t>
      </w:r>
      <w:bookmarkEnd w:id="320"/>
      <w:bookmarkEnd w:id="321"/>
    </w:p>
    <w:p w14:paraId="79F03D65">
      <w:pPr>
        <w:pStyle w:val="132"/>
        <w:rPr>
          <w:color w:val="auto"/>
        </w:rPr>
      </w:pPr>
      <w:bookmarkStart w:id="322" w:name="_Toc171109109"/>
      <w:bookmarkEnd w:id="322"/>
      <w:r>
        <w:rPr>
          <w:rFonts w:hint="eastAsia"/>
          <w:color w:val="auto"/>
        </w:rPr>
        <w:t>项目对土壤环境的影响主要来自工业“三废”排放。工业废气中的污染物主要通过降水、扩散和重力作用降落至地面，渗透进入土壤，进而污染土壤环境；工业废水通过灌溉农田或排入河流、湖泊后再作为农业灌溉用水，使土壤环境受到污染；固体废物在掩埋或堆放过程中产生的渗出液、滤液进入土壤，改变土质和土壤结构，影响土壤微生物活动，危害土壤环境。</w:t>
      </w:r>
    </w:p>
    <w:p w14:paraId="10704BAC">
      <w:pPr>
        <w:pStyle w:val="4"/>
        <w:rPr>
          <w:color w:val="auto"/>
        </w:rPr>
      </w:pPr>
      <w:r>
        <w:rPr>
          <w:rFonts w:hint="eastAsia"/>
          <w:color w:val="auto"/>
        </w:rPr>
        <w:t>废气沉降对附近土壤影响分析</w:t>
      </w:r>
    </w:p>
    <w:p w14:paraId="3F13C240">
      <w:pPr>
        <w:pStyle w:val="5"/>
        <w:rPr>
          <w:color w:val="auto"/>
        </w:rPr>
      </w:pPr>
      <w:r>
        <w:rPr>
          <w:rFonts w:hint="eastAsia"/>
          <w:color w:val="auto"/>
        </w:rPr>
        <w:t>正常状况下土壤环境影响分析</w:t>
      </w:r>
    </w:p>
    <w:p w14:paraId="740FF700">
      <w:pPr>
        <w:pStyle w:val="132"/>
        <w:rPr>
          <w:color w:val="auto"/>
        </w:rPr>
      </w:pPr>
      <w:r>
        <w:rPr>
          <w:rFonts w:hint="eastAsia"/>
          <w:color w:val="auto"/>
        </w:rPr>
        <w:t>根据工程分析的源强估算和环境空气影响分析预测结果，并参考有关资料，本项目在运营期正常情况下，由于采取严格、有效的污染源控制措施，大气污染物排放量较小，污染物落地浓度较低，加上土壤具有一定的环境容量，因而在运营期内一般不会超过《土壤环境质量 建设用地土壤污染风险管控标准(试行)》（GB36600-2018）表1建设用地土壤污染风险筛选值和管制值里第二类用地的筛选值要求。但如果长期非正常情况排放的废气污染物，则厂区外围附近土壤将受到一定的污染影响，其通过食物链而危及动植物产品质量和人群健康的问题应引起高度重视。</w:t>
      </w:r>
    </w:p>
    <w:p w14:paraId="2383AE77">
      <w:pPr>
        <w:pStyle w:val="5"/>
        <w:rPr>
          <w:color w:val="auto"/>
        </w:rPr>
      </w:pPr>
      <w:r>
        <w:rPr>
          <w:rFonts w:hint="eastAsia"/>
          <w:color w:val="auto"/>
        </w:rPr>
        <w:t>非正常状况下土壤环境影响分析</w:t>
      </w:r>
    </w:p>
    <w:p w14:paraId="0DC8E1A0">
      <w:pPr>
        <w:pStyle w:val="132"/>
        <w:rPr>
          <w:color w:val="auto"/>
        </w:rPr>
      </w:pPr>
      <w:r>
        <w:rPr>
          <w:rFonts w:hint="eastAsia"/>
          <w:color w:val="auto"/>
        </w:rPr>
        <w:t>非正常状况下，项目在点火开炉、设备检修、污染物排放控制措施达不到应有效率或不能正常运行、工艺设备运转异常等情况下，污染物排放浓度可能短时间出现超标排放、增大污染物在土壤中的赋存和累积，进而造成土壤中污染物的超标，产生直接或间接的影响，但因时间很短，不会造成长时间累积影响的明显增加。工程建设过程中应严格做好大气污染防治措施，做好环保设施的检测及检修，将非正常状况下污染物的环境风险事故降低到最低程度。</w:t>
      </w:r>
    </w:p>
    <w:p w14:paraId="6E847B28">
      <w:pPr>
        <w:pStyle w:val="132"/>
        <w:rPr>
          <w:color w:val="auto"/>
        </w:rPr>
      </w:pPr>
      <w:r>
        <w:rPr>
          <w:rFonts w:hint="eastAsia"/>
          <w:color w:val="auto"/>
        </w:rPr>
        <w:t>项目生产产生的大气主要污染物为</w:t>
      </w:r>
      <w:r>
        <w:rPr>
          <w:color w:val="auto"/>
        </w:rPr>
        <w:t>SO</w:t>
      </w:r>
      <w:r>
        <w:rPr>
          <w:color w:val="auto"/>
          <w:vertAlign w:val="subscript"/>
        </w:rPr>
        <w:t>2</w:t>
      </w:r>
      <w:r>
        <w:rPr>
          <w:rFonts w:hint="eastAsia"/>
          <w:color w:val="auto"/>
        </w:rPr>
        <w:t>、</w:t>
      </w:r>
      <w:r>
        <w:rPr>
          <w:color w:val="auto"/>
        </w:rPr>
        <w:t>NOx</w:t>
      </w:r>
      <w:r>
        <w:rPr>
          <w:rFonts w:hint="eastAsia"/>
          <w:color w:val="auto"/>
        </w:rPr>
        <w:t>、</w:t>
      </w:r>
      <w:r>
        <w:rPr>
          <w:color w:val="auto"/>
        </w:rPr>
        <w:t>PM</w:t>
      </w:r>
      <w:r>
        <w:rPr>
          <w:color w:val="auto"/>
          <w:vertAlign w:val="subscript"/>
        </w:rPr>
        <w:t>10</w:t>
      </w:r>
      <w:r>
        <w:rPr>
          <w:rFonts w:hint="eastAsia"/>
          <w:color w:val="auto"/>
        </w:rPr>
        <w:t>、</w:t>
      </w:r>
      <w:r>
        <w:rPr>
          <w:color w:val="auto"/>
        </w:rPr>
        <w:t>PM</w:t>
      </w:r>
      <w:r>
        <w:rPr>
          <w:color w:val="auto"/>
          <w:vertAlign w:val="subscript"/>
        </w:rPr>
        <w:t>2.5</w:t>
      </w:r>
      <w:r>
        <w:rPr>
          <w:rFonts w:hint="eastAsia"/>
          <w:color w:val="auto"/>
        </w:rPr>
        <w:t>、NH</w:t>
      </w:r>
      <w:r>
        <w:rPr>
          <w:rFonts w:hint="eastAsia"/>
          <w:color w:val="auto"/>
          <w:vertAlign w:val="subscript"/>
        </w:rPr>
        <w:t>3</w:t>
      </w:r>
      <w:r>
        <w:rPr>
          <w:rFonts w:hint="eastAsia"/>
          <w:color w:val="auto"/>
        </w:rPr>
        <w:t>、</w:t>
      </w:r>
      <w:r>
        <w:rPr>
          <w:color w:val="auto"/>
        </w:rPr>
        <w:t>钴及其化合物</w:t>
      </w:r>
      <w:r>
        <w:rPr>
          <w:rFonts w:hint="eastAsia"/>
          <w:color w:val="auto"/>
        </w:rPr>
        <w:t>、</w:t>
      </w:r>
      <w:r>
        <w:rPr>
          <w:color w:val="auto"/>
        </w:rPr>
        <w:t>钼及其化合物</w:t>
      </w:r>
      <w:r>
        <w:rPr>
          <w:rFonts w:hint="eastAsia"/>
          <w:color w:val="auto"/>
        </w:rPr>
        <w:t>、</w:t>
      </w:r>
      <w:r>
        <w:rPr>
          <w:color w:val="auto"/>
        </w:rPr>
        <w:t>镍及其化合物</w:t>
      </w:r>
      <w:r>
        <w:rPr>
          <w:rFonts w:hint="eastAsia"/>
          <w:color w:val="auto"/>
        </w:rPr>
        <w:t>、</w:t>
      </w:r>
      <w:r>
        <w:rPr>
          <w:color w:val="auto"/>
        </w:rPr>
        <w:t>锰及其化合物</w:t>
      </w:r>
      <w:r>
        <w:rPr>
          <w:rFonts w:hint="eastAsia"/>
          <w:color w:val="auto"/>
        </w:rPr>
        <w:t>、</w:t>
      </w:r>
      <w:r>
        <w:rPr>
          <w:color w:val="auto"/>
        </w:rPr>
        <w:t>铜及其化合物</w:t>
      </w:r>
      <w:r>
        <w:rPr>
          <w:rFonts w:hint="eastAsia"/>
          <w:color w:val="auto"/>
        </w:rPr>
        <w:t>、</w:t>
      </w:r>
      <w:r>
        <w:rPr>
          <w:color w:val="auto"/>
        </w:rPr>
        <w:t>锆及其化合物</w:t>
      </w:r>
      <w:r>
        <w:rPr>
          <w:rFonts w:hint="eastAsia"/>
          <w:color w:val="auto"/>
        </w:rPr>
        <w:t>等。假设事故情况下，分析</w:t>
      </w:r>
      <w:r>
        <w:rPr>
          <w:color w:val="auto"/>
        </w:rPr>
        <w:t>镍及其化合物</w:t>
      </w:r>
      <w:r>
        <w:rPr>
          <w:rFonts w:hint="eastAsia"/>
          <w:color w:val="auto"/>
        </w:rPr>
        <w:t>对周边土壤环境的影响。</w:t>
      </w:r>
    </w:p>
    <w:p w14:paraId="6B75AB09">
      <w:pPr>
        <w:pStyle w:val="132"/>
        <w:rPr>
          <w:color w:val="auto"/>
        </w:rPr>
      </w:pPr>
      <w:r>
        <w:rPr>
          <w:rFonts w:hint="eastAsia"/>
          <w:color w:val="auto"/>
        </w:rPr>
        <w:t>预测范围：以项目四周边界外扩200m构成的范围区域，预测范围384225.6m</w:t>
      </w:r>
      <w:r>
        <w:rPr>
          <w:rFonts w:hint="eastAsia"/>
          <w:color w:val="auto"/>
          <w:vertAlign w:val="superscript"/>
        </w:rPr>
        <w:t>2</w:t>
      </w:r>
      <w:r>
        <w:rPr>
          <w:rFonts w:hint="eastAsia"/>
          <w:color w:val="auto"/>
        </w:rPr>
        <w:t>。</w:t>
      </w:r>
    </w:p>
    <w:p w14:paraId="1C2F5BB4">
      <w:pPr>
        <w:pStyle w:val="132"/>
        <w:rPr>
          <w:color w:val="auto"/>
        </w:rPr>
      </w:pPr>
      <w:r>
        <w:rPr>
          <w:rFonts w:hint="eastAsia"/>
          <w:color w:val="auto"/>
        </w:rPr>
        <w:t>预测时段重点为运行期，本工程设计使用年限按20年估算。</w:t>
      </w:r>
    </w:p>
    <w:p w14:paraId="5FDDBD5D">
      <w:pPr>
        <w:pStyle w:val="132"/>
        <w:rPr>
          <w:color w:val="auto"/>
        </w:rPr>
      </w:pPr>
      <w:r>
        <w:rPr>
          <w:rFonts w:hint="eastAsia"/>
          <w:color w:val="auto"/>
        </w:rPr>
        <w:t>采用《环境影响评价技术导则 土壤环境（试行）》（HJ964-2018）附录E方法一进行预测。单位质量土壤中某种物质的增量可用下式计算：</w:t>
      </w:r>
    </w:p>
    <w:p w14:paraId="58B682BC">
      <w:pPr>
        <w:pStyle w:val="132"/>
        <w:rPr>
          <w:color w:val="auto"/>
        </w:rPr>
      </w:pPr>
      <w:r>
        <w:rPr>
          <w:rFonts w:hint="eastAsia"/>
          <w:color w:val="auto"/>
        </w:rPr>
        <w:t>△S=n(Is-Ls-Rs)/(</w:t>
      </w:r>
      <w:r>
        <w:rPr>
          <w:color w:val="auto"/>
        </w:rPr>
        <w:t>ρ</w:t>
      </w:r>
      <w:r>
        <w:rPr>
          <w:rFonts w:hint="eastAsia"/>
          <w:color w:val="auto"/>
        </w:rPr>
        <w:t>b×A×D)</w:t>
      </w:r>
    </w:p>
    <w:p w14:paraId="6CC239FD">
      <w:pPr>
        <w:pStyle w:val="132"/>
        <w:rPr>
          <w:color w:val="auto"/>
        </w:rPr>
      </w:pPr>
      <w:r>
        <w:rPr>
          <w:rFonts w:hint="eastAsia"/>
          <w:color w:val="auto"/>
        </w:rPr>
        <w:t>式中：△S—单位质量土壤中某种物质的增量，g/kg；</w:t>
      </w:r>
    </w:p>
    <w:p w14:paraId="72379AFD">
      <w:pPr>
        <w:pStyle w:val="132"/>
        <w:rPr>
          <w:color w:val="auto"/>
        </w:rPr>
      </w:pPr>
      <w:r>
        <w:rPr>
          <w:rFonts w:hint="eastAsia"/>
          <w:color w:val="auto"/>
        </w:rPr>
        <w:t>Is—预测评价范围内单位年份表层土壤中某种物质的输入量，g，本项目</w:t>
      </w:r>
      <w:r>
        <w:rPr>
          <w:color w:val="auto"/>
        </w:rPr>
        <w:t>镍及其化合物</w:t>
      </w:r>
      <w:r>
        <w:rPr>
          <w:rFonts w:hint="eastAsia"/>
          <w:color w:val="auto"/>
        </w:rPr>
        <w:t>取0.00002g/a。</w:t>
      </w:r>
    </w:p>
    <w:p w14:paraId="5A41D452">
      <w:pPr>
        <w:pStyle w:val="132"/>
        <w:rPr>
          <w:color w:val="auto"/>
        </w:rPr>
      </w:pPr>
      <w:r>
        <w:rPr>
          <w:rFonts w:hint="eastAsia"/>
          <w:color w:val="auto"/>
        </w:rPr>
        <w:t>Ls—预测评价范围内单位年份表层土壤中经淋溶排出的量，g。项目所在地区降雨极少，淋溶排出量取0；</w:t>
      </w:r>
    </w:p>
    <w:p w14:paraId="2A7B23BC">
      <w:pPr>
        <w:pStyle w:val="132"/>
        <w:rPr>
          <w:color w:val="auto"/>
        </w:rPr>
      </w:pPr>
      <w:r>
        <w:rPr>
          <w:rFonts w:hint="eastAsia"/>
          <w:color w:val="auto"/>
        </w:rPr>
        <w:t>Rs—预测评价范围内单位年份表层土壤中经径流排出的量，g。项目所在地区无地表径流，径流排出量取0；</w:t>
      </w:r>
    </w:p>
    <w:p w14:paraId="5116A3E2">
      <w:pPr>
        <w:pStyle w:val="132"/>
        <w:rPr>
          <w:color w:val="auto"/>
        </w:rPr>
      </w:pPr>
      <w:r>
        <w:rPr>
          <w:color w:val="auto"/>
        </w:rPr>
        <w:t>ρ</w:t>
      </w:r>
      <w:r>
        <w:rPr>
          <w:color w:val="auto"/>
          <w:vertAlign w:val="subscript"/>
        </w:rPr>
        <w:t>b</w:t>
      </w:r>
      <w:r>
        <w:rPr>
          <w:rFonts w:hint="eastAsia"/>
          <w:color w:val="auto"/>
        </w:rPr>
        <w:t>—表层土壤容重，取1.74g/cm</w:t>
      </w:r>
      <w:r>
        <w:rPr>
          <w:rFonts w:hint="eastAsia"/>
          <w:color w:val="auto"/>
          <w:vertAlign w:val="superscript"/>
        </w:rPr>
        <w:t>3</w:t>
      </w:r>
      <w:r>
        <w:rPr>
          <w:rFonts w:hint="eastAsia"/>
          <w:color w:val="auto"/>
        </w:rPr>
        <w:t>；</w:t>
      </w:r>
    </w:p>
    <w:p w14:paraId="6C9A04F8">
      <w:pPr>
        <w:pStyle w:val="132"/>
        <w:rPr>
          <w:color w:val="auto"/>
        </w:rPr>
      </w:pPr>
      <w:r>
        <w:rPr>
          <w:rFonts w:hint="eastAsia"/>
          <w:color w:val="auto"/>
        </w:rPr>
        <w:t>A—预测评价范围，384225.6m</w:t>
      </w:r>
      <w:r>
        <w:rPr>
          <w:rFonts w:hint="eastAsia"/>
          <w:color w:val="auto"/>
          <w:vertAlign w:val="superscript"/>
        </w:rPr>
        <w:t>2</w:t>
      </w:r>
      <w:r>
        <w:rPr>
          <w:rFonts w:hint="eastAsia"/>
          <w:color w:val="auto"/>
        </w:rPr>
        <w:t>；</w:t>
      </w:r>
    </w:p>
    <w:p w14:paraId="6BBD7F33">
      <w:pPr>
        <w:pStyle w:val="132"/>
        <w:rPr>
          <w:color w:val="auto"/>
        </w:rPr>
      </w:pPr>
      <w:r>
        <w:rPr>
          <w:rFonts w:hint="eastAsia"/>
          <w:color w:val="auto"/>
        </w:rPr>
        <w:t>D—表层土壤深度，一般取0.5m；</w:t>
      </w:r>
    </w:p>
    <w:p w14:paraId="5FC5B0F3">
      <w:pPr>
        <w:pStyle w:val="132"/>
        <w:rPr>
          <w:color w:val="auto"/>
        </w:rPr>
      </w:pPr>
      <w:r>
        <w:rPr>
          <w:rFonts w:hint="eastAsia"/>
          <w:color w:val="auto"/>
        </w:rPr>
        <w:t>n—持续年份，20a；</w:t>
      </w:r>
    </w:p>
    <w:p w14:paraId="3E2249FF">
      <w:pPr>
        <w:spacing w:line="360" w:lineRule="auto"/>
        <w:ind w:firstLine="480" w:firstLineChars="200"/>
        <w:jc w:val="both"/>
        <w:rPr>
          <w:color w:val="auto"/>
          <w:sz w:val="24"/>
          <w:szCs w:val="24"/>
        </w:rPr>
      </w:pPr>
      <w:r>
        <w:rPr>
          <w:rFonts w:hint="eastAsia"/>
          <w:color w:val="auto"/>
          <w:sz w:val="24"/>
          <w:szCs w:val="24"/>
        </w:rPr>
        <w:t>经计算，单位质量土壤中镍及其化合物污染物的增量为：△</w:t>
      </w:r>
      <w:r>
        <w:rPr>
          <w:color w:val="auto"/>
          <w:sz w:val="24"/>
          <w:szCs w:val="24"/>
        </w:rPr>
        <w:t>S</w:t>
      </w:r>
      <w:r>
        <w:rPr>
          <w:rFonts w:hint="eastAsia"/>
          <w:color w:val="auto"/>
          <w:sz w:val="24"/>
          <w:szCs w:val="24"/>
          <w:vertAlign w:val="subscript"/>
        </w:rPr>
        <w:t>镍及其化合物</w:t>
      </w:r>
      <w:r>
        <w:rPr>
          <w:color w:val="auto"/>
          <w:sz w:val="24"/>
          <w:szCs w:val="24"/>
        </w:rPr>
        <w:t>=</w:t>
      </w:r>
      <w:r>
        <w:rPr>
          <w:rFonts w:hint="eastAsia"/>
          <w:color w:val="auto"/>
          <w:sz w:val="24"/>
          <w:szCs w:val="24"/>
        </w:rPr>
        <w:t>20×0.00002/（1.74×10</w:t>
      </w:r>
      <w:r>
        <w:rPr>
          <w:rFonts w:hint="eastAsia"/>
          <w:color w:val="auto"/>
          <w:sz w:val="24"/>
          <w:szCs w:val="24"/>
          <w:vertAlign w:val="superscript"/>
        </w:rPr>
        <w:t>3</w:t>
      </w:r>
      <w:r>
        <w:rPr>
          <w:rFonts w:hint="eastAsia"/>
          <w:color w:val="auto"/>
          <w:sz w:val="24"/>
          <w:szCs w:val="24"/>
        </w:rPr>
        <w:t>×384225.6×0.5）=1.2×10</w:t>
      </w:r>
      <w:r>
        <w:rPr>
          <w:rFonts w:hint="eastAsia"/>
          <w:color w:val="auto"/>
          <w:sz w:val="24"/>
          <w:szCs w:val="24"/>
          <w:vertAlign w:val="superscript"/>
        </w:rPr>
        <w:t>-12</w:t>
      </w:r>
      <w:r>
        <w:rPr>
          <w:color w:val="auto"/>
          <w:sz w:val="24"/>
          <w:szCs w:val="24"/>
        </w:rPr>
        <w:t>g/kg</w:t>
      </w:r>
      <w:r>
        <w:rPr>
          <w:rFonts w:hint="eastAsia"/>
          <w:color w:val="auto"/>
          <w:sz w:val="24"/>
          <w:szCs w:val="24"/>
        </w:rPr>
        <w:t>。</w:t>
      </w:r>
    </w:p>
    <w:p w14:paraId="447D8ECF">
      <w:pPr>
        <w:pStyle w:val="132"/>
        <w:rPr>
          <w:color w:val="auto"/>
        </w:rPr>
      </w:pPr>
      <w:r>
        <w:rPr>
          <w:rFonts w:hint="eastAsia"/>
          <w:color w:val="auto"/>
        </w:rPr>
        <w:t>单位质量土壤中某种物质的预测值可根据其增量叠加现状值进行计算：</w:t>
      </w:r>
    </w:p>
    <w:p w14:paraId="1FDC6681">
      <w:pPr>
        <w:pStyle w:val="132"/>
        <w:rPr>
          <w:color w:val="auto"/>
        </w:rPr>
      </w:pPr>
      <w:r>
        <w:rPr>
          <w:color w:val="auto"/>
        </w:rPr>
        <w:t>S=Sb+ΔS</w:t>
      </w:r>
    </w:p>
    <w:p w14:paraId="65552B64">
      <w:pPr>
        <w:pStyle w:val="132"/>
        <w:rPr>
          <w:color w:val="auto"/>
        </w:rPr>
      </w:pPr>
      <w:r>
        <w:rPr>
          <w:rFonts w:hint="eastAsia"/>
          <w:color w:val="auto"/>
        </w:rPr>
        <w:t>式中：Sb—单位质量土壤中某种物质的现状值，g/kg，本项目</w:t>
      </w:r>
      <w:r>
        <w:rPr>
          <w:color w:val="auto"/>
        </w:rPr>
        <w:t>镍及其化合物</w:t>
      </w:r>
      <w:r>
        <w:rPr>
          <w:rFonts w:hint="eastAsia"/>
          <w:color w:val="auto"/>
        </w:rPr>
        <w:t>取73g/kg；</w:t>
      </w:r>
    </w:p>
    <w:p w14:paraId="0F6E94F1">
      <w:pPr>
        <w:pStyle w:val="132"/>
        <w:rPr>
          <w:color w:val="auto"/>
        </w:rPr>
      </w:pPr>
      <w:r>
        <w:rPr>
          <w:rFonts w:hint="eastAsia"/>
          <w:color w:val="auto"/>
        </w:rPr>
        <w:t>S—单位质量土壤中某种物质的预测值，g/kg。</w:t>
      </w:r>
    </w:p>
    <w:p w14:paraId="20548D76">
      <w:pPr>
        <w:pStyle w:val="132"/>
        <w:rPr>
          <w:color w:val="auto"/>
        </w:rPr>
      </w:pPr>
      <w:r>
        <w:rPr>
          <w:rFonts w:hint="eastAsia"/>
          <w:color w:val="auto"/>
        </w:rPr>
        <w:t>经计算，单位质量土壤中</w:t>
      </w:r>
      <w:r>
        <w:rPr>
          <w:color w:val="auto"/>
        </w:rPr>
        <w:t>镍及其化合物</w:t>
      </w:r>
      <w:r>
        <w:rPr>
          <w:rFonts w:hint="eastAsia"/>
          <w:color w:val="auto"/>
        </w:rPr>
        <w:t>的预测值分别为：S=33+1.2</w:t>
      </w:r>
      <w:r>
        <w:rPr>
          <w:color w:val="auto"/>
        </w:rPr>
        <w:t>×10</w:t>
      </w:r>
      <w:r>
        <w:rPr>
          <w:color w:val="auto"/>
          <w:vertAlign w:val="superscript"/>
        </w:rPr>
        <w:t>-1</w:t>
      </w:r>
      <w:r>
        <w:rPr>
          <w:rFonts w:hint="eastAsia"/>
          <w:color w:val="auto"/>
          <w:vertAlign w:val="superscript"/>
        </w:rPr>
        <w:t>2</w:t>
      </w:r>
      <w:r>
        <w:rPr>
          <w:rFonts w:hint="eastAsia"/>
          <w:color w:val="auto"/>
        </w:rPr>
        <w:t>=33g/kg。</w:t>
      </w:r>
    </w:p>
    <w:p w14:paraId="66C3AC46">
      <w:pPr>
        <w:pStyle w:val="132"/>
        <w:rPr>
          <w:color w:val="auto"/>
        </w:rPr>
      </w:pPr>
      <w:r>
        <w:rPr>
          <w:rFonts w:hint="eastAsia"/>
          <w:color w:val="auto"/>
        </w:rPr>
        <w:t>根据计算结果，事故情况下，项目厂区周边受到大气污染物</w:t>
      </w:r>
      <w:r>
        <w:rPr>
          <w:color w:val="auto"/>
        </w:rPr>
        <w:t>镍及其化合物</w:t>
      </w:r>
      <w:r>
        <w:rPr>
          <w:rFonts w:hint="eastAsia"/>
          <w:color w:val="auto"/>
        </w:rPr>
        <w:t>的影响较小。</w:t>
      </w:r>
    </w:p>
    <w:p w14:paraId="7BB4F369">
      <w:pPr>
        <w:pStyle w:val="132"/>
        <w:rPr>
          <w:color w:val="auto"/>
        </w:rPr>
      </w:pPr>
      <w:r>
        <w:rPr>
          <w:rFonts w:hint="eastAsia"/>
          <w:color w:val="auto"/>
        </w:rPr>
        <w:t>因此，建设单位在严格落实本环评提出的措施、加强设备管理和养护，保证废气处理设施正常运行情况下，建设项目对土壤环境的影响是可以接受的。</w:t>
      </w:r>
    </w:p>
    <w:p w14:paraId="67EAF841">
      <w:pPr>
        <w:pStyle w:val="4"/>
        <w:rPr>
          <w:color w:val="auto"/>
        </w:rPr>
      </w:pPr>
      <w:bookmarkStart w:id="323" w:name="_Hlk197803771"/>
      <w:bookmarkEnd w:id="323"/>
      <w:r>
        <w:rPr>
          <w:color w:val="auto"/>
        </w:rPr>
        <w:t>垂直入渗对土壤环境的影响</w:t>
      </w:r>
      <w:r>
        <w:rPr>
          <w:rFonts w:hint="eastAsia"/>
          <w:color w:val="auto"/>
        </w:rPr>
        <w:t>分析</w:t>
      </w:r>
    </w:p>
    <w:p w14:paraId="3C42D238">
      <w:pPr>
        <w:pStyle w:val="5"/>
        <w:rPr>
          <w:color w:val="auto"/>
        </w:rPr>
      </w:pPr>
      <w:r>
        <w:rPr>
          <w:color w:val="auto"/>
        </w:rPr>
        <w:t>正常状况下土壤环境影响分析</w:t>
      </w:r>
    </w:p>
    <w:p w14:paraId="6A878ACE">
      <w:pPr>
        <w:pStyle w:val="132"/>
        <w:rPr>
          <w:color w:val="auto"/>
        </w:rPr>
      </w:pPr>
      <w:r>
        <w:rPr>
          <w:color w:val="auto"/>
        </w:rPr>
        <w:t>本项目参照相关技术标准要求，根据场地特性和项目特征，制定分区防渗措施。对于地下及半地下工程构筑物采取重点防渗措施，对于可能发生物料和污染物泄漏的地上构筑物采取一般防渗措施，其他区域按建筑要求做地面硬化处理。因此，在全面落实分区防渗措施的情况下，污染物的垂直入渗对土壤环境影响较小。</w:t>
      </w:r>
    </w:p>
    <w:p w14:paraId="6CE4E038">
      <w:pPr>
        <w:pStyle w:val="5"/>
        <w:rPr>
          <w:color w:val="auto"/>
        </w:rPr>
      </w:pPr>
      <w:r>
        <w:rPr>
          <w:rFonts w:hint="eastAsia"/>
          <w:color w:val="auto"/>
        </w:rPr>
        <w:t>非</w:t>
      </w:r>
      <w:r>
        <w:rPr>
          <w:color w:val="auto"/>
        </w:rPr>
        <w:t>正常状况下土壤环境影响分析</w:t>
      </w:r>
    </w:p>
    <w:p w14:paraId="237AA6F4">
      <w:pPr>
        <w:pStyle w:val="132"/>
        <w:rPr>
          <w:color w:val="auto"/>
        </w:rPr>
      </w:pPr>
      <w:r>
        <w:rPr>
          <w:rFonts w:hint="eastAsia"/>
          <w:color w:val="auto"/>
        </w:rPr>
        <w:t>项目危险废物贮存库、储罐区以及污水管线若没有适当的防漏措施，其中的有害组分渗出后，很容易经过雨水淋溶、地表径流侵蚀而渗入土壤，杀死土壤中的微生物，破坏微生物与周围环境构成系统的平衡，对项目周边土壤环境造成影响，同时这些水分经土壤渗入地下水，对地下水水质也造成污染。</w:t>
      </w:r>
    </w:p>
    <w:p w14:paraId="3363939E">
      <w:pPr>
        <w:pStyle w:val="132"/>
        <w:rPr>
          <w:color w:val="auto"/>
        </w:rPr>
      </w:pPr>
      <w:r>
        <w:rPr>
          <w:rFonts w:hint="eastAsia"/>
          <w:color w:val="auto"/>
        </w:rPr>
        <w:t>根据工程分析，正常情况下，项目危险废物贮存库、回用水池以及污水管道各建构筑物均有防渗措施，防渗层渗透系数</w:t>
      </w:r>
      <w:r>
        <w:rPr>
          <w:color w:val="auto"/>
        </w:rPr>
        <w:t>≤10</w:t>
      </w:r>
      <w:r>
        <w:rPr>
          <w:color w:val="auto"/>
          <w:vertAlign w:val="superscript"/>
        </w:rPr>
        <w:t>-7</w:t>
      </w:r>
      <w:r>
        <w:rPr>
          <w:color w:val="auto"/>
        </w:rPr>
        <w:t>cm/s</w:t>
      </w:r>
      <w:r>
        <w:rPr>
          <w:rFonts w:hint="eastAsia"/>
          <w:color w:val="auto"/>
        </w:rPr>
        <w:t>，其防渗能力均达到了设计要求，具有良好的隔水防渗性能，因此，正常工况下各个环节得到良好控制，项目对土壤的影响较小。</w:t>
      </w:r>
    </w:p>
    <w:p w14:paraId="0E22D7FD">
      <w:pPr>
        <w:pStyle w:val="132"/>
        <w:rPr>
          <w:color w:val="auto"/>
        </w:rPr>
      </w:pPr>
      <w:r>
        <w:rPr>
          <w:rFonts w:hint="eastAsia"/>
          <w:color w:val="auto"/>
        </w:rPr>
        <w:t>且众多学者认为，包气带是连接大气和地下水的重要纽带，在大气降水补给地下水以及地下水通过包气带蒸发过程中扮演着重要的角色。包气带特别是包气带上部的土壤是植物赖以生长的基础，是人类生存环境的主要组成部分。</w:t>
      </w:r>
    </w:p>
    <w:p w14:paraId="69C4B23D">
      <w:pPr>
        <w:pStyle w:val="132"/>
        <w:rPr>
          <w:color w:val="auto"/>
        </w:rPr>
      </w:pPr>
      <w:r>
        <w:rPr>
          <w:rFonts w:hint="eastAsia"/>
          <w:color w:val="auto"/>
        </w:rPr>
        <w:t>本项目假设废机油储罐出现破损，储罐中持续泄漏的石油类物质将对周边土壤环境造成影响。根据《石油类污染物在包气带中的迁移预测》此文的研究，在突发事件下，发生罐体的破裂等情况，有大量的石油泄漏到厂区地面。由于在短期内无法清除，有大量的污染物将渗入到包气带中，到</w:t>
      </w:r>
      <w:r>
        <w:rPr>
          <w:color w:val="auto"/>
        </w:rPr>
        <w:t>50</w:t>
      </w:r>
      <w:r>
        <w:rPr>
          <w:rFonts w:hint="eastAsia"/>
          <w:color w:val="auto"/>
        </w:rPr>
        <w:t>年左右包气带底部浓度达到</w:t>
      </w:r>
      <w:r>
        <w:rPr>
          <w:color w:val="auto"/>
        </w:rPr>
        <w:t>0.5mg/cm</w:t>
      </w:r>
      <w:r>
        <w:rPr>
          <w:color w:val="auto"/>
          <w:vertAlign w:val="superscript"/>
        </w:rPr>
        <w:t>3</w:t>
      </w:r>
      <w:r>
        <w:rPr>
          <w:rFonts w:hint="eastAsia"/>
          <w:color w:val="auto"/>
        </w:rPr>
        <w:t>。从不同的时间段污染物浓度随时间的变化规律看，上面</w:t>
      </w:r>
      <w:r>
        <w:rPr>
          <w:color w:val="auto"/>
        </w:rPr>
        <w:t>50cm</w:t>
      </w:r>
      <w:r>
        <w:rPr>
          <w:rFonts w:hint="eastAsia"/>
          <w:color w:val="auto"/>
        </w:rPr>
        <w:t>的土层在较短的时间内就处于饱和污染状态，在</w:t>
      </w:r>
      <w:r>
        <w:rPr>
          <w:color w:val="auto"/>
        </w:rPr>
        <w:t>50cm</w:t>
      </w:r>
      <w:r>
        <w:rPr>
          <w:rFonts w:hint="eastAsia"/>
          <w:color w:val="auto"/>
        </w:rPr>
        <w:t>以下，污染物的浓度逐渐减少。即随着时间的推移，石油类逐渐向包气带土壤垂向深度迁移，但浓度逐渐降低，在土壤自身的净化作用以及迁移条件下，土壤中的石油类影响会逐渐消失。根据此研究，由于包气带对本项目石油类污染物质在土壤中下渗有阻碍作用，且本项目废润滑油年产生量较小（3t/a），因此本项目污染物对土壤环境危害较小。</w:t>
      </w:r>
    </w:p>
    <w:p w14:paraId="39F6CA3E">
      <w:pPr>
        <w:pStyle w:val="4"/>
        <w:rPr>
          <w:color w:val="auto"/>
        </w:rPr>
      </w:pPr>
      <w:r>
        <w:rPr>
          <w:rFonts w:hint="eastAsia"/>
          <w:color w:val="auto"/>
        </w:rPr>
        <w:t>固体废物对土壤环境的影响分析</w:t>
      </w:r>
    </w:p>
    <w:p w14:paraId="4BB97E92">
      <w:pPr>
        <w:pStyle w:val="132"/>
        <w:rPr>
          <w:color w:val="auto"/>
        </w:rPr>
      </w:pPr>
      <w:r>
        <w:rPr>
          <w:rFonts w:hint="eastAsia"/>
          <w:color w:val="auto"/>
        </w:rPr>
        <w:t>拟建项目产生的固体废物有一般工业固体废物、危险废物及生活垃圾。</w:t>
      </w:r>
    </w:p>
    <w:p w14:paraId="26397CE9">
      <w:pPr>
        <w:pStyle w:val="132"/>
        <w:rPr>
          <w:color w:val="auto"/>
        </w:rPr>
      </w:pPr>
      <w:r>
        <w:rPr>
          <w:rFonts w:hint="eastAsia"/>
          <w:color w:val="auto"/>
        </w:rPr>
        <w:t>固体废物处置遵循分类原则、回收利用原则、减量化原则、无公害原则及分散与集中处理相结合的原则，将不同类型固体废物进行分类收集和堆存，并根据不同污染性质的污染物进行相应的处理及处置。</w:t>
      </w:r>
    </w:p>
    <w:p w14:paraId="0679B045">
      <w:pPr>
        <w:pStyle w:val="132"/>
        <w:rPr>
          <w:color w:val="auto"/>
        </w:rPr>
      </w:pPr>
      <w:r>
        <w:rPr>
          <w:rFonts w:hint="eastAsia"/>
          <w:color w:val="auto"/>
        </w:rPr>
        <w:t>厂区设置1座满足《危险废物贮存污染控制标准》（GB18597-2023）要求的危险废物贮存库，地面采用坚固、防渗、耐腐蚀的材料建造，并设计堵截泄漏的裙脚、泄漏液体收集装置、气体导出口和气体净化装置。库内废物定期由汽车外运至废弃物处置单位。防渗层为至少1m厚粘土层（渗透系数≤10</w:t>
      </w:r>
      <w:r>
        <w:rPr>
          <w:rFonts w:hint="eastAsia"/>
          <w:color w:val="auto"/>
          <w:vertAlign w:val="superscript"/>
        </w:rPr>
        <w:t>-7</w:t>
      </w:r>
      <w:r>
        <w:rPr>
          <w:rFonts w:hint="eastAsia"/>
          <w:color w:val="auto"/>
        </w:rPr>
        <w:t>cm/s）或2mm厚高密度聚乙烯或其他人工材料（渗透系数≤10</w:t>
      </w:r>
      <w:r>
        <w:rPr>
          <w:rFonts w:hint="eastAsia"/>
          <w:color w:val="auto"/>
          <w:vertAlign w:val="superscript"/>
        </w:rPr>
        <w:t>-10</w:t>
      </w:r>
      <w:r>
        <w:rPr>
          <w:rFonts w:hint="eastAsia"/>
          <w:color w:val="auto"/>
        </w:rPr>
        <w:t>cm/s）。项目产生的危险废物分类单独收集并贮存于危险废物贮存库，严禁在厂内外随意堆放或倾倒，定期交由相应危险废物处置资质的单位回收处置，危险废物进入土壤环境的可能性较小。生活垃圾在厂区内集中收集，定期由环卫部门收集后送往垃圾填埋场进行卫生填埋，严禁随意扔撒垃圾。</w:t>
      </w:r>
    </w:p>
    <w:p w14:paraId="056BEE55">
      <w:pPr>
        <w:pStyle w:val="4"/>
        <w:rPr>
          <w:color w:val="auto"/>
        </w:rPr>
      </w:pPr>
      <w:r>
        <w:rPr>
          <w:rFonts w:hint="eastAsia"/>
          <w:color w:val="auto"/>
        </w:rPr>
        <w:t>土壤预测小结</w:t>
      </w:r>
    </w:p>
    <w:p w14:paraId="18A2ED40">
      <w:pPr>
        <w:pStyle w:val="132"/>
        <w:rPr>
          <w:color w:val="auto"/>
        </w:rPr>
      </w:pPr>
      <w:r>
        <w:rPr>
          <w:rFonts w:hint="eastAsia"/>
          <w:color w:val="auto"/>
        </w:rPr>
        <w:t>本项目厂区建设有完善的大气污染防治措施，污染物排放均满足相应标准要求，排入大气环境的污染物经沉降对土壤影响较小。厂区对可能造成土壤污染的废水、固体废弃物均建设相应环保设施及处置措施，同时建设有完善的管理制度，正常情况下能有效防控污染物进入土壤环境，发生土壤环境风险事故的可能性亦较小，污染物经地面漫流及垂直入渗途径对土壤影响较小。</w:t>
      </w:r>
    </w:p>
    <w:p w14:paraId="3D7476D5">
      <w:pPr>
        <w:pStyle w:val="132"/>
        <w:rPr>
          <w:color w:val="auto"/>
        </w:rPr>
      </w:pPr>
      <w:r>
        <w:rPr>
          <w:rFonts w:hint="eastAsia"/>
          <w:color w:val="auto"/>
        </w:rPr>
        <w:t>综上所述，厂区建设对土壤环境产生的影响较小，采取必要的环保措施及后期严格检修、监测措施后，本项目土壤环境影响可接受</w:t>
      </w:r>
      <w:r>
        <w:rPr>
          <w:color w:val="auto"/>
        </w:rPr>
        <w:t>。</w:t>
      </w:r>
    </w:p>
    <w:p w14:paraId="37FFA744">
      <w:pPr>
        <w:pStyle w:val="4"/>
        <w:rPr>
          <w:color w:val="auto"/>
        </w:rPr>
      </w:pPr>
      <w:r>
        <w:rPr>
          <w:rFonts w:hint="eastAsia"/>
          <w:color w:val="auto"/>
        </w:rPr>
        <w:t>土壤环境影响自查表</w:t>
      </w:r>
    </w:p>
    <w:p w14:paraId="65C0A608">
      <w:pPr>
        <w:pStyle w:val="132"/>
        <w:rPr>
          <w:color w:val="auto"/>
        </w:rPr>
      </w:pPr>
      <w:r>
        <w:rPr>
          <w:rFonts w:hint="eastAsia"/>
          <w:color w:val="auto"/>
        </w:rPr>
        <w:t xml:space="preserve">项目环境影响自查表见表 </w:t>
      </w:r>
      <w:r>
        <w:rPr>
          <w:color w:val="auto"/>
        </w:rPr>
        <w:t>5.5</w:t>
      </w:r>
      <w:r>
        <w:rPr>
          <w:color w:val="auto"/>
        </w:rPr>
        <w:noBreakHyphen/>
      </w:r>
      <w:r>
        <w:rPr>
          <w:rFonts w:hint="eastAsia"/>
          <w:color w:val="auto"/>
        </w:rPr>
        <w:t>1。</w:t>
      </w:r>
    </w:p>
    <w:p w14:paraId="2AAE61F1">
      <w:pPr>
        <w:pStyle w:val="1060"/>
        <w:rPr>
          <w:color w:val="auto"/>
          <w:szCs w:val="23"/>
        </w:rPr>
      </w:pPr>
      <w:bookmarkStart w:id="324" w:name="_Ref171361988"/>
      <w:bookmarkEnd w:id="32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szCs w:val="23"/>
        </w:rPr>
        <w:t xml:space="preserve">  </w:t>
      </w:r>
      <w:r>
        <w:rPr>
          <w:rFonts w:hint="eastAsia" w:ascii="黑体" w:hAnsi="黑体"/>
          <w:color w:val="auto"/>
          <w:szCs w:val="23"/>
        </w:rPr>
        <w:t>土壤环境影响评价自查表</w:t>
      </w:r>
    </w:p>
    <w:tbl>
      <w:tblPr>
        <w:tblStyle w:val="2402"/>
        <w:tblW w:w="5000" w:type="pct"/>
        <w:tblInd w:w="16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389"/>
        <w:gridCol w:w="1648"/>
        <w:gridCol w:w="1024"/>
        <w:gridCol w:w="298"/>
        <w:gridCol w:w="1322"/>
        <w:gridCol w:w="1322"/>
        <w:gridCol w:w="64"/>
        <w:gridCol w:w="1892"/>
        <w:gridCol w:w="826"/>
      </w:tblGrid>
      <w:tr w14:paraId="3AE2E0E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020" w:type="dxa"/>
            <w:gridSpan w:val="2"/>
            <w:tcBorders>
              <w:top w:val="single" w:color="000000" w:sz="8" w:space="0"/>
              <w:left w:val="single" w:color="000000" w:sz="8" w:space="0"/>
              <w:bottom w:val="single" w:color="000000" w:sz="2" w:space="0"/>
              <w:right w:val="single" w:color="000000" w:sz="2" w:space="0"/>
            </w:tcBorders>
            <w:vAlign w:val="center"/>
          </w:tcPr>
          <w:p w14:paraId="7EF016A4">
            <w:pPr>
              <w:widowControl w:val="0"/>
              <w:spacing w:before="100" w:beforeAutospacing="1" w:line="360" w:lineRule="exact"/>
              <w:jc w:val="center"/>
              <w:rPr>
                <w:rFonts w:eastAsia="黑体"/>
                <w:color w:val="auto"/>
                <w:sz w:val="21"/>
                <w:szCs w:val="21"/>
              </w:rPr>
            </w:pPr>
            <w:r>
              <w:rPr>
                <w:rFonts w:hint="eastAsia" w:ascii="宋体" w:hAnsi="宋体" w:eastAsia="Times New Roman" w:cs="宋体"/>
                <w:color w:val="auto"/>
                <w:sz w:val="21"/>
                <w:szCs w:val="21"/>
              </w:rPr>
              <w:t>工作内容</w:t>
            </w:r>
          </w:p>
        </w:tc>
        <w:tc>
          <w:tcPr>
            <w:tcW w:w="5871" w:type="dxa"/>
            <w:gridSpan w:val="6"/>
            <w:tcBorders>
              <w:top w:val="single" w:color="000000" w:sz="8" w:space="0"/>
              <w:left w:val="nil"/>
              <w:bottom w:val="single" w:color="000000" w:sz="2" w:space="0"/>
              <w:right w:val="single" w:color="000000" w:sz="2" w:space="0"/>
            </w:tcBorders>
            <w:vAlign w:val="center"/>
          </w:tcPr>
          <w:p w14:paraId="5BA18557">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完成情况</w:t>
            </w:r>
          </w:p>
        </w:tc>
        <w:tc>
          <w:tcPr>
            <w:tcW w:w="819" w:type="dxa"/>
            <w:tcBorders>
              <w:top w:val="single" w:color="000000" w:sz="8" w:space="0"/>
              <w:left w:val="nil"/>
              <w:bottom w:val="single" w:color="000000" w:sz="2" w:space="0"/>
              <w:right w:val="single" w:color="000000" w:sz="8" w:space="0"/>
            </w:tcBorders>
            <w:vAlign w:val="center"/>
          </w:tcPr>
          <w:p w14:paraId="5E854CDF">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备注</w:t>
            </w:r>
          </w:p>
        </w:tc>
      </w:tr>
      <w:tr w14:paraId="7CE24D1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restart"/>
            <w:tcBorders>
              <w:top w:val="nil"/>
              <w:left w:val="single" w:color="000000" w:sz="8" w:space="0"/>
              <w:bottom w:val="single" w:color="000000" w:sz="2" w:space="0"/>
              <w:right w:val="single" w:color="000000" w:sz="2" w:space="0"/>
            </w:tcBorders>
            <w:vAlign w:val="center"/>
          </w:tcPr>
          <w:p w14:paraId="2CDBBCBD">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影</w:t>
            </w:r>
          </w:p>
          <w:p w14:paraId="04E473EF">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响</w:t>
            </w:r>
          </w:p>
          <w:p w14:paraId="4B40400F">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识</w:t>
            </w:r>
          </w:p>
          <w:p w14:paraId="7AE66E0A">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别</w:t>
            </w:r>
          </w:p>
        </w:tc>
        <w:tc>
          <w:tcPr>
            <w:tcW w:w="1634" w:type="dxa"/>
            <w:tcBorders>
              <w:top w:val="single" w:color="000000" w:sz="2" w:space="0"/>
              <w:left w:val="nil"/>
              <w:bottom w:val="single" w:color="000000" w:sz="2" w:space="0"/>
              <w:right w:val="single" w:color="000000" w:sz="2" w:space="0"/>
            </w:tcBorders>
            <w:vAlign w:val="center"/>
          </w:tcPr>
          <w:p w14:paraId="751879BA">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影响类型</w:t>
            </w:r>
          </w:p>
        </w:tc>
        <w:tc>
          <w:tcPr>
            <w:tcW w:w="5871" w:type="dxa"/>
            <w:gridSpan w:val="6"/>
            <w:tcBorders>
              <w:top w:val="single" w:color="000000" w:sz="2" w:space="0"/>
              <w:left w:val="nil"/>
              <w:bottom w:val="single" w:color="000000" w:sz="2" w:space="0"/>
              <w:right w:val="single" w:color="000000" w:sz="2" w:space="0"/>
            </w:tcBorders>
            <w:vAlign w:val="center"/>
          </w:tcPr>
          <w:p w14:paraId="4702DDC4">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污染影响型</w:t>
            </w:r>
            <w:r>
              <w:rPr>
                <w:rFonts w:eastAsia="Times New Roman"/>
                <w:color w:val="auto"/>
                <w:sz w:val="21"/>
                <w:szCs w:val="21"/>
              </w:rPr>
              <w:t>√</w:t>
            </w:r>
            <w:r>
              <w:rPr>
                <w:rFonts w:hint="eastAsia" w:ascii="宋体" w:hAnsi="宋体" w:eastAsia="Times New Roman" w:cs="宋体"/>
                <w:color w:val="auto"/>
                <w:sz w:val="21"/>
                <w:szCs w:val="21"/>
              </w:rPr>
              <w:t>；生态影响型</w:t>
            </w:r>
            <w:r>
              <w:rPr>
                <w:rFonts w:eastAsia="Times New Roman"/>
                <w:color w:val="auto"/>
                <w:sz w:val="21"/>
                <w:szCs w:val="21"/>
              </w:rPr>
              <w:t>□</w:t>
            </w:r>
            <w:r>
              <w:rPr>
                <w:rFonts w:hint="eastAsia" w:ascii="宋体" w:hAnsi="宋体" w:eastAsia="Times New Roman" w:cs="宋体"/>
                <w:color w:val="auto"/>
                <w:sz w:val="21"/>
                <w:szCs w:val="21"/>
              </w:rPr>
              <w:t>；两种兼有</w:t>
            </w:r>
            <w:r>
              <w:rPr>
                <w:rFonts w:eastAsia="Times New Roman"/>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54027228">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w:t>
            </w:r>
          </w:p>
        </w:tc>
      </w:tr>
      <w:tr w14:paraId="538EDAC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10B415B1">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67B0F2E7">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土地利用类型</w:t>
            </w:r>
          </w:p>
        </w:tc>
        <w:tc>
          <w:tcPr>
            <w:tcW w:w="5871" w:type="dxa"/>
            <w:gridSpan w:val="6"/>
            <w:tcBorders>
              <w:top w:val="single" w:color="000000" w:sz="2" w:space="0"/>
              <w:left w:val="nil"/>
              <w:bottom w:val="single" w:color="000000" w:sz="2" w:space="0"/>
              <w:right w:val="single" w:color="000000" w:sz="2" w:space="0"/>
            </w:tcBorders>
            <w:vAlign w:val="center"/>
          </w:tcPr>
          <w:p w14:paraId="0A636C53">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建设用地</w:t>
            </w:r>
            <w:r>
              <w:rPr>
                <w:rFonts w:eastAsia="Times New Roman"/>
                <w:color w:val="auto"/>
                <w:sz w:val="21"/>
                <w:szCs w:val="21"/>
              </w:rPr>
              <w:t>√</w:t>
            </w:r>
            <w:r>
              <w:rPr>
                <w:rFonts w:hint="eastAsia" w:ascii="宋体" w:hAnsi="宋体" w:eastAsia="Times New Roman" w:cs="宋体"/>
                <w:color w:val="auto"/>
                <w:sz w:val="21"/>
                <w:szCs w:val="21"/>
              </w:rPr>
              <w:t>；农用地</w:t>
            </w:r>
            <w:r>
              <w:rPr>
                <w:rFonts w:eastAsia="Times New Roman"/>
                <w:color w:val="auto"/>
                <w:sz w:val="21"/>
                <w:szCs w:val="21"/>
              </w:rPr>
              <w:t>□</w:t>
            </w:r>
            <w:r>
              <w:rPr>
                <w:rFonts w:hint="eastAsia" w:ascii="宋体" w:hAnsi="宋体" w:eastAsia="Times New Roman" w:cs="宋体"/>
                <w:color w:val="auto"/>
                <w:sz w:val="21"/>
                <w:szCs w:val="21"/>
              </w:rPr>
              <w:t>；未利用地</w:t>
            </w:r>
            <w:r>
              <w:rPr>
                <w:rFonts w:eastAsia="Times New Roman"/>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233F6EEA">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有土地利用类型图</w:t>
            </w:r>
          </w:p>
        </w:tc>
      </w:tr>
      <w:tr w14:paraId="29E44E7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2A6BE0FB">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07A2CB1D">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占地规模</w:t>
            </w:r>
          </w:p>
        </w:tc>
        <w:tc>
          <w:tcPr>
            <w:tcW w:w="5871" w:type="dxa"/>
            <w:gridSpan w:val="6"/>
            <w:tcBorders>
              <w:top w:val="single" w:color="000000" w:sz="2" w:space="0"/>
              <w:left w:val="nil"/>
              <w:bottom w:val="single" w:color="000000" w:sz="2" w:space="0"/>
              <w:right w:val="single" w:color="000000" w:sz="2" w:space="0"/>
            </w:tcBorders>
            <w:vAlign w:val="center"/>
          </w:tcPr>
          <w:p w14:paraId="0B56C76B">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w:t>
            </w:r>
            <w:r>
              <w:rPr>
                <w:rFonts w:hint="eastAsia" w:eastAsia="Times New Roman"/>
                <w:color w:val="auto"/>
                <w:sz w:val="21"/>
                <w:szCs w:val="21"/>
              </w:rPr>
              <w:t>3.33</w:t>
            </w:r>
            <w:r>
              <w:rPr>
                <w:rFonts w:eastAsia="Times New Roman"/>
                <w:color w:val="auto"/>
                <w:sz w:val="21"/>
                <w:szCs w:val="21"/>
              </w:rPr>
              <w:t>hm</w:t>
            </w:r>
            <w:r>
              <w:rPr>
                <w:rFonts w:eastAsia="Times New Roman"/>
                <w:color w:val="auto"/>
                <w:sz w:val="21"/>
                <w:szCs w:val="21"/>
                <w:vertAlign w:val="superscript"/>
              </w:rPr>
              <w:t>2</w:t>
            </w:r>
            <w:r>
              <w:rPr>
                <w:rFonts w:hint="eastAsia" w:ascii="宋体" w:hAnsi="宋体" w:eastAsia="Times New Roman" w:cs="宋体"/>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1B2D09F9">
            <w:pPr>
              <w:widowControl w:val="0"/>
              <w:spacing w:before="100" w:beforeAutospacing="1" w:line="360" w:lineRule="exact"/>
              <w:jc w:val="center"/>
              <w:rPr>
                <w:rFonts w:eastAsia="Times New Roman"/>
                <w:color w:val="auto"/>
                <w:sz w:val="21"/>
                <w:szCs w:val="21"/>
              </w:rPr>
            </w:pPr>
          </w:p>
        </w:tc>
      </w:tr>
      <w:tr w14:paraId="7A44555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36A380ED">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3995DF70">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敏感目标信息</w:t>
            </w:r>
          </w:p>
        </w:tc>
        <w:tc>
          <w:tcPr>
            <w:tcW w:w="5871" w:type="dxa"/>
            <w:gridSpan w:val="6"/>
            <w:tcBorders>
              <w:top w:val="single" w:color="000000" w:sz="2" w:space="0"/>
              <w:left w:val="nil"/>
              <w:bottom w:val="single" w:color="000000" w:sz="2" w:space="0"/>
              <w:right w:val="single" w:color="000000" w:sz="2" w:space="0"/>
            </w:tcBorders>
            <w:vAlign w:val="center"/>
          </w:tcPr>
          <w:p w14:paraId="45A98F46">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敏感目标（</w:t>
            </w:r>
            <w:r>
              <w:rPr>
                <w:rFonts w:eastAsia="Times New Roman"/>
                <w:color w:val="auto"/>
                <w:sz w:val="21"/>
                <w:szCs w:val="21"/>
              </w:rPr>
              <w:t>\</w:t>
            </w:r>
            <w:r>
              <w:rPr>
                <w:rFonts w:hint="eastAsia" w:ascii="宋体" w:hAnsi="宋体" w:eastAsia="Times New Roman" w:cs="宋体"/>
                <w:color w:val="auto"/>
                <w:sz w:val="21"/>
                <w:szCs w:val="21"/>
              </w:rPr>
              <w:t>）、方位（</w:t>
            </w:r>
            <w:r>
              <w:rPr>
                <w:rFonts w:eastAsia="Times New Roman"/>
                <w:color w:val="auto"/>
                <w:sz w:val="21"/>
                <w:szCs w:val="21"/>
              </w:rPr>
              <w:t>\</w:t>
            </w:r>
            <w:r>
              <w:rPr>
                <w:rFonts w:hint="eastAsia" w:ascii="宋体" w:hAnsi="宋体" w:eastAsia="Times New Roman" w:cs="宋体"/>
                <w:color w:val="auto"/>
                <w:sz w:val="21"/>
                <w:szCs w:val="21"/>
              </w:rPr>
              <w:t>）、距离（</w:t>
            </w:r>
            <w:r>
              <w:rPr>
                <w:rFonts w:eastAsia="Times New Roman"/>
                <w:color w:val="auto"/>
                <w:sz w:val="21"/>
                <w:szCs w:val="21"/>
              </w:rPr>
              <w:t>\</w:t>
            </w:r>
            <w:r>
              <w:rPr>
                <w:rFonts w:hint="eastAsia" w:ascii="宋体" w:hAnsi="宋体" w:eastAsia="Times New Roman" w:cs="宋体"/>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14EA4421">
            <w:pPr>
              <w:widowControl w:val="0"/>
              <w:spacing w:before="100" w:beforeAutospacing="1" w:line="360" w:lineRule="exact"/>
              <w:jc w:val="center"/>
              <w:rPr>
                <w:rFonts w:eastAsia="Times New Roman"/>
                <w:color w:val="auto"/>
                <w:sz w:val="21"/>
                <w:szCs w:val="21"/>
              </w:rPr>
            </w:pPr>
          </w:p>
        </w:tc>
      </w:tr>
      <w:tr w14:paraId="3B8C1C8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2A8AE304">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2D33E666">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影响途径</w:t>
            </w:r>
          </w:p>
        </w:tc>
        <w:tc>
          <w:tcPr>
            <w:tcW w:w="5871" w:type="dxa"/>
            <w:gridSpan w:val="6"/>
            <w:tcBorders>
              <w:top w:val="single" w:color="000000" w:sz="2" w:space="0"/>
              <w:left w:val="nil"/>
              <w:bottom w:val="single" w:color="000000" w:sz="2" w:space="0"/>
              <w:right w:val="single" w:color="000000" w:sz="2" w:space="0"/>
            </w:tcBorders>
            <w:vAlign w:val="center"/>
          </w:tcPr>
          <w:p w14:paraId="3B1A97A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大气沉降</w:t>
            </w:r>
            <w:r>
              <w:rPr>
                <w:rFonts w:eastAsia="Times New Roman"/>
                <w:color w:val="auto"/>
                <w:sz w:val="21"/>
                <w:szCs w:val="21"/>
              </w:rPr>
              <w:t>√</w:t>
            </w:r>
            <w:r>
              <w:rPr>
                <w:rFonts w:hint="eastAsia" w:ascii="宋体" w:hAnsi="宋体" w:eastAsia="Times New Roman" w:cs="宋体"/>
                <w:color w:val="auto"/>
                <w:sz w:val="21"/>
                <w:szCs w:val="21"/>
              </w:rPr>
              <w:t>；地面漫流</w:t>
            </w:r>
            <w:r>
              <w:rPr>
                <w:rFonts w:eastAsia="Times New Roman"/>
                <w:color w:val="auto"/>
                <w:sz w:val="21"/>
                <w:szCs w:val="21"/>
              </w:rPr>
              <w:t>□</w:t>
            </w:r>
            <w:r>
              <w:rPr>
                <w:rFonts w:hint="eastAsia" w:ascii="宋体" w:hAnsi="宋体" w:eastAsia="Times New Roman" w:cs="宋体"/>
                <w:color w:val="auto"/>
                <w:sz w:val="21"/>
                <w:szCs w:val="21"/>
              </w:rPr>
              <w:t>垂直入渗</w:t>
            </w:r>
            <w:r>
              <w:rPr>
                <w:rFonts w:eastAsia="Times New Roman"/>
                <w:color w:val="auto"/>
                <w:sz w:val="21"/>
                <w:szCs w:val="21"/>
              </w:rPr>
              <w:t>□</w:t>
            </w:r>
            <w:r>
              <w:rPr>
                <w:rFonts w:hint="eastAsia" w:ascii="宋体" w:hAnsi="宋体" w:eastAsia="Times New Roman" w:cs="宋体"/>
                <w:color w:val="auto"/>
                <w:sz w:val="21"/>
                <w:szCs w:val="21"/>
              </w:rPr>
              <w:t>；地下水位</w:t>
            </w:r>
            <w:r>
              <w:rPr>
                <w:rFonts w:eastAsia="Times New Roman"/>
                <w:color w:val="auto"/>
                <w:sz w:val="21"/>
                <w:szCs w:val="21"/>
              </w:rPr>
              <w:t>□</w:t>
            </w:r>
            <w:r>
              <w:rPr>
                <w:rFonts w:hint="eastAsia" w:ascii="宋体" w:hAnsi="宋体" w:eastAsia="Times New Roman" w:cs="宋体"/>
                <w:color w:val="auto"/>
                <w:sz w:val="21"/>
                <w:szCs w:val="21"/>
              </w:rPr>
              <w:t>；其（）</w:t>
            </w:r>
          </w:p>
        </w:tc>
        <w:tc>
          <w:tcPr>
            <w:tcW w:w="819" w:type="dxa"/>
            <w:tcBorders>
              <w:top w:val="single" w:color="000000" w:sz="2" w:space="0"/>
              <w:left w:val="nil"/>
              <w:bottom w:val="single" w:color="000000" w:sz="2" w:space="0"/>
              <w:right w:val="single" w:color="000000" w:sz="8" w:space="0"/>
            </w:tcBorders>
            <w:vAlign w:val="center"/>
          </w:tcPr>
          <w:p w14:paraId="06385E73">
            <w:pPr>
              <w:widowControl w:val="0"/>
              <w:spacing w:before="100" w:beforeAutospacing="1" w:line="360" w:lineRule="exact"/>
              <w:jc w:val="center"/>
              <w:rPr>
                <w:rFonts w:eastAsia="Times New Roman"/>
                <w:color w:val="auto"/>
                <w:sz w:val="21"/>
                <w:szCs w:val="21"/>
              </w:rPr>
            </w:pPr>
          </w:p>
        </w:tc>
      </w:tr>
      <w:tr w14:paraId="3F9797F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092F03BF">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6BAF594D">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全部污染物</w:t>
            </w:r>
          </w:p>
        </w:tc>
        <w:tc>
          <w:tcPr>
            <w:tcW w:w="5871" w:type="dxa"/>
            <w:gridSpan w:val="6"/>
            <w:tcBorders>
              <w:top w:val="single" w:color="000000" w:sz="2" w:space="0"/>
              <w:left w:val="nil"/>
              <w:bottom w:val="single" w:color="000000" w:sz="2" w:space="0"/>
              <w:right w:val="single" w:color="000000" w:sz="2" w:space="0"/>
            </w:tcBorders>
            <w:vAlign w:val="center"/>
          </w:tcPr>
          <w:p w14:paraId="4101D18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SO</w:t>
            </w:r>
            <w:r>
              <w:rPr>
                <w:rFonts w:eastAsia="Times New Roman"/>
                <w:color w:val="auto"/>
                <w:sz w:val="21"/>
                <w:szCs w:val="21"/>
                <w:vertAlign w:val="subscript"/>
              </w:rPr>
              <w:t>2</w:t>
            </w:r>
            <w:r>
              <w:rPr>
                <w:rFonts w:hint="eastAsia" w:ascii="宋体" w:hAnsi="宋体" w:eastAsia="Times New Roman" w:cs="宋体"/>
                <w:color w:val="auto"/>
                <w:sz w:val="21"/>
                <w:szCs w:val="21"/>
              </w:rPr>
              <w:t>、</w:t>
            </w:r>
            <w:r>
              <w:rPr>
                <w:rFonts w:eastAsia="Times New Roman"/>
                <w:color w:val="auto"/>
                <w:sz w:val="21"/>
                <w:szCs w:val="21"/>
              </w:rPr>
              <w:t>NOx</w:t>
            </w:r>
            <w:r>
              <w:rPr>
                <w:rFonts w:hint="eastAsia" w:ascii="宋体" w:hAnsi="宋体" w:eastAsia="Times New Roman" w:cs="宋体"/>
                <w:color w:val="auto"/>
                <w:sz w:val="21"/>
                <w:szCs w:val="21"/>
              </w:rPr>
              <w:t>、</w:t>
            </w:r>
            <w:r>
              <w:rPr>
                <w:rFonts w:eastAsia="Times New Roman"/>
                <w:color w:val="auto"/>
                <w:sz w:val="21"/>
                <w:szCs w:val="21"/>
              </w:rPr>
              <w:t>PM</w:t>
            </w:r>
            <w:r>
              <w:rPr>
                <w:rFonts w:eastAsia="Times New Roman"/>
                <w:color w:val="auto"/>
                <w:sz w:val="21"/>
                <w:szCs w:val="21"/>
                <w:vertAlign w:val="subscript"/>
              </w:rPr>
              <w:t>10</w:t>
            </w:r>
            <w:r>
              <w:rPr>
                <w:rFonts w:hint="eastAsia" w:ascii="宋体" w:hAnsi="宋体" w:eastAsia="Times New Roman" w:cs="宋体"/>
                <w:color w:val="auto"/>
                <w:sz w:val="21"/>
                <w:szCs w:val="21"/>
              </w:rPr>
              <w:t>、</w:t>
            </w:r>
            <w:r>
              <w:rPr>
                <w:rFonts w:eastAsia="Times New Roman"/>
                <w:color w:val="auto"/>
                <w:sz w:val="21"/>
                <w:szCs w:val="21"/>
              </w:rPr>
              <w:t>PM</w:t>
            </w:r>
            <w:r>
              <w:rPr>
                <w:rFonts w:eastAsia="Times New Roman"/>
                <w:color w:val="auto"/>
                <w:sz w:val="21"/>
                <w:szCs w:val="21"/>
                <w:vertAlign w:val="subscript"/>
              </w:rPr>
              <w:t>2.5</w:t>
            </w:r>
            <w:r>
              <w:rPr>
                <w:rFonts w:hint="eastAsia" w:ascii="宋体" w:hAnsi="宋体" w:eastAsia="Times New Roman" w:cs="宋体"/>
                <w:color w:val="auto"/>
                <w:sz w:val="21"/>
                <w:szCs w:val="21"/>
              </w:rPr>
              <w:t>、</w:t>
            </w:r>
            <w:r>
              <w:rPr>
                <w:rFonts w:eastAsia="Times New Roman"/>
                <w:color w:val="auto"/>
                <w:sz w:val="21"/>
                <w:szCs w:val="21"/>
              </w:rPr>
              <w:t>NH</w:t>
            </w:r>
            <w:r>
              <w:rPr>
                <w:rFonts w:eastAsia="Times New Roman"/>
                <w:color w:val="auto"/>
                <w:sz w:val="21"/>
                <w:szCs w:val="21"/>
                <w:vertAlign w:val="subscript"/>
              </w:rPr>
              <w:t>3</w:t>
            </w:r>
            <w:r>
              <w:rPr>
                <w:rFonts w:hint="eastAsia" w:ascii="宋体" w:hAnsi="宋体" w:eastAsia="Times New Roman" w:cs="宋体"/>
                <w:color w:val="auto"/>
                <w:sz w:val="21"/>
                <w:szCs w:val="21"/>
              </w:rPr>
              <w:t>、钴及其化合物、钼及其化合物、镍及其化合物、锰及其化合物、铜及其化合物、锆及其化合物</w:t>
            </w:r>
          </w:p>
        </w:tc>
        <w:tc>
          <w:tcPr>
            <w:tcW w:w="819" w:type="dxa"/>
            <w:tcBorders>
              <w:top w:val="single" w:color="000000" w:sz="2" w:space="0"/>
              <w:left w:val="nil"/>
              <w:bottom w:val="single" w:color="000000" w:sz="2" w:space="0"/>
              <w:right w:val="single" w:color="000000" w:sz="8" w:space="0"/>
            </w:tcBorders>
            <w:vAlign w:val="center"/>
          </w:tcPr>
          <w:p w14:paraId="7DD06AA1">
            <w:pPr>
              <w:widowControl w:val="0"/>
              <w:spacing w:before="100" w:beforeAutospacing="1" w:line="360" w:lineRule="exact"/>
              <w:jc w:val="center"/>
              <w:rPr>
                <w:rFonts w:eastAsia="Times New Roman"/>
                <w:color w:val="auto"/>
                <w:sz w:val="21"/>
                <w:szCs w:val="21"/>
              </w:rPr>
            </w:pPr>
          </w:p>
        </w:tc>
      </w:tr>
      <w:tr w14:paraId="2C690F1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35AE2478">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74B9D07B">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特征因子</w:t>
            </w:r>
          </w:p>
        </w:tc>
        <w:tc>
          <w:tcPr>
            <w:tcW w:w="5871" w:type="dxa"/>
            <w:gridSpan w:val="6"/>
            <w:tcBorders>
              <w:top w:val="single" w:color="000000" w:sz="2" w:space="0"/>
              <w:left w:val="nil"/>
              <w:bottom w:val="single" w:color="000000" w:sz="2" w:space="0"/>
              <w:right w:val="single" w:color="000000" w:sz="2" w:space="0"/>
            </w:tcBorders>
            <w:vAlign w:val="center"/>
          </w:tcPr>
          <w:p w14:paraId="177FE410">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镍及其化合物</w:t>
            </w:r>
          </w:p>
        </w:tc>
        <w:tc>
          <w:tcPr>
            <w:tcW w:w="819" w:type="dxa"/>
            <w:tcBorders>
              <w:top w:val="single" w:color="000000" w:sz="2" w:space="0"/>
              <w:left w:val="nil"/>
              <w:bottom w:val="single" w:color="000000" w:sz="2" w:space="0"/>
              <w:right w:val="single" w:color="000000" w:sz="8" w:space="0"/>
            </w:tcBorders>
            <w:vAlign w:val="center"/>
          </w:tcPr>
          <w:p w14:paraId="205D0A83">
            <w:pPr>
              <w:widowControl w:val="0"/>
              <w:spacing w:before="100" w:beforeAutospacing="1" w:line="360" w:lineRule="exact"/>
              <w:jc w:val="center"/>
              <w:rPr>
                <w:rFonts w:eastAsia="Times New Roman"/>
                <w:color w:val="auto"/>
                <w:sz w:val="21"/>
                <w:szCs w:val="21"/>
              </w:rPr>
            </w:pPr>
          </w:p>
        </w:tc>
      </w:tr>
      <w:tr w14:paraId="16C110B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5575CF55">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239FDD20">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所属土壤环境影响评价项目类别</w:t>
            </w:r>
          </w:p>
        </w:tc>
        <w:tc>
          <w:tcPr>
            <w:tcW w:w="5871" w:type="dxa"/>
            <w:gridSpan w:val="6"/>
            <w:tcBorders>
              <w:top w:val="single" w:color="000000" w:sz="2" w:space="0"/>
              <w:left w:val="nil"/>
              <w:bottom w:val="single" w:color="000000" w:sz="2" w:space="0"/>
              <w:right w:val="single" w:color="000000" w:sz="2" w:space="0"/>
            </w:tcBorders>
            <w:vAlign w:val="center"/>
          </w:tcPr>
          <w:p w14:paraId="46F2E805">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Ⅰ</w:t>
            </w:r>
            <w:r>
              <w:rPr>
                <w:rFonts w:hint="eastAsia" w:ascii="宋体" w:hAnsi="宋体" w:eastAsia="Times New Roman" w:cs="宋体"/>
                <w:color w:val="auto"/>
                <w:sz w:val="21"/>
                <w:szCs w:val="21"/>
              </w:rPr>
              <w:t>类</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Ⅱ</w:t>
            </w:r>
            <w:r>
              <w:rPr>
                <w:rFonts w:hint="eastAsia" w:ascii="宋体" w:hAnsi="宋体" w:eastAsia="Times New Roman" w:cs="宋体"/>
                <w:color w:val="auto"/>
                <w:sz w:val="21"/>
                <w:szCs w:val="21"/>
              </w:rPr>
              <w:t>类</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Ⅲ</w:t>
            </w:r>
            <w:r>
              <w:rPr>
                <w:rFonts w:hint="eastAsia" w:ascii="宋体" w:hAnsi="宋体" w:eastAsia="Times New Roman" w:cs="宋体"/>
                <w:color w:val="auto"/>
                <w:sz w:val="21"/>
                <w:szCs w:val="21"/>
              </w:rPr>
              <w:t>类</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Ⅳ</w:t>
            </w:r>
            <w:r>
              <w:rPr>
                <w:rFonts w:hint="eastAsia" w:ascii="宋体" w:hAnsi="宋体" w:eastAsia="Times New Roman" w:cs="宋体"/>
                <w:color w:val="auto"/>
                <w:sz w:val="21"/>
                <w:szCs w:val="21"/>
              </w:rPr>
              <w:t>类</w:t>
            </w:r>
            <w:r>
              <w:rPr>
                <w:rFonts w:eastAsia="Times New Roman"/>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6FBBE806">
            <w:pPr>
              <w:widowControl w:val="0"/>
              <w:spacing w:before="100" w:beforeAutospacing="1" w:line="360" w:lineRule="exact"/>
              <w:jc w:val="center"/>
              <w:rPr>
                <w:rFonts w:eastAsia="Times New Roman"/>
                <w:color w:val="auto"/>
                <w:sz w:val="21"/>
                <w:szCs w:val="21"/>
              </w:rPr>
            </w:pPr>
          </w:p>
        </w:tc>
      </w:tr>
      <w:tr w14:paraId="3D51362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07AAEA91">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42F564FD">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敏感程度</w:t>
            </w:r>
          </w:p>
        </w:tc>
        <w:tc>
          <w:tcPr>
            <w:tcW w:w="5871" w:type="dxa"/>
            <w:gridSpan w:val="6"/>
            <w:tcBorders>
              <w:top w:val="single" w:color="000000" w:sz="2" w:space="0"/>
              <w:left w:val="nil"/>
              <w:bottom w:val="single" w:color="000000" w:sz="2" w:space="0"/>
              <w:right w:val="single" w:color="000000" w:sz="2" w:space="0"/>
            </w:tcBorders>
            <w:vAlign w:val="center"/>
          </w:tcPr>
          <w:p w14:paraId="5B300D1C">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敏感</w:t>
            </w:r>
            <w:r>
              <w:rPr>
                <w:rFonts w:eastAsia="Times New Roman"/>
                <w:color w:val="auto"/>
                <w:sz w:val="21"/>
                <w:szCs w:val="21"/>
              </w:rPr>
              <w:t>□</w:t>
            </w:r>
            <w:r>
              <w:rPr>
                <w:rFonts w:hint="eastAsia" w:ascii="宋体" w:hAnsi="宋体" w:eastAsia="Times New Roman" w:cs="宋体"/>
                <w:color w:val="auto"/>
                <w:sz w:val="21"/>
                <w:szCs w:val="21"/>
              </w:rPr>
              <w:t>；较敏感</w:t>
            </w:r>
            <w:r>
              <w:rPr>
                <w:rFonts w:eastAsia="Times New Roman"/>
                <w:color w:val="auto"/>
                <w:sz w:val="21"/>
                <w:szCs w:val="21"/>
              </w:rPr>
              <w:t>□</w:t>
            </w:r>
            <w:r>
              <w:rPr>
                <w:rFonts w:hint="eastAsia" w:ascii="宋体" w:hAnsi="宋体" w:eastAsia="Times New Roman" w:cs="宋体"/>
                <w:color w:val="auto"/>
                <w:sz w:val="21"/>
                <w:szCs w:val="21"/>
              </w:rPr>
              <w:t>；不敏感</w:t>
            </w:r>
            <w:r>
              <w:rPr>
                <w:rFonts w:eastAsia="Times New Roman"/>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5D73C4C9">
            <w:pPr>
              <w:widowControl w:val="0"/>
              <w:spacing w:before="100" w:beforeAutospacing="1" w:line="360" w:lineRule="exact"/>
              <w:jc w:val="center"/>
              <w:rPr>
                <w:rFonts w:eastAsia="Times New Roman"/>
                <w:color w:val="auto"/>
                <w:sz w:val="21"/>
                <w:szCs w:val="21"/>
              </w:rPr>
            </w:pPr>
          </w:p>
        </w:tc>
      </w:tr>
      <w:tr w14:paraId="3811A3E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28" w:hRule="atLeast"/>
        </w:trPr>
        <w:tc>
          <w:tcPr>
            <w:tcW w:w="2020" w:type="dxa"/>
            <w:gridSpan w:val="2"/>
            <w:tcBorders>
              <w:top w:val="single" w:color="000000" w:sz="2" w:space="0"/>
              <w:left w:val="single" w:color="000000" w:sz="8" w:space="0"/>
              <w:bottom w:val="single" w:color="000000" w:sz="2" w:space="0"/>
              <w:right w:val="single" w:color="000000" w:sz="2" w:space="0"/>
            </w:tcBorders>
            <w:vAlign w:val="center"/>
          </w:tcPr>
          <w:p w14:paraId="6F97358E">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评价工作等级</w:t>
            </w:r>
          </w:p>
        </w:tc>
        <w:tc>
          <w:tcPr>
            <w:tcW w:w="5871" w:type="dxa"/>
            <w:gridSpan w:val="6"/>
            <w:tcBorders>
              <w:top w:val="single" w:color="000000" w:sz="2" w:space="0"/>
              <w:left w:val="nil"/>
              <w:bottom w:val="single" w:color="000000" w:sz="2" w:space="0"/>
              <w:right w:val="single" w:color="000000" w:sz="2" w:space="0"/>
            </w:tcBorders>
            <w:vAlign w:val="center"/>
          </w:tcPr>
          <w:p w14:paraId="16EE7C0E">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一级</w:t>
            </w:r>
            <w:r>
              <w:rPr>
                <w:rFonts w:eastAsia="Times New Roman"/>
                <w:color w:val="auto"/>
                <w:sz w:val="21"/>
                <w:szCs w:val="21"/>
              </w:rPr>
              <w:t>□</w:t>
            </w:r>
            <w:r>
              <w:rPr>
                <w:rFonts w:hint="eastAsia" w:ascii="宋体" w:hAnsi="宋体" w:eastAsia="Times New Roman" w:cs="宋体"/>
                <w:color w:val="auto"/>
                <w:sz w:val="21"/>
                <w:szCs w:val="21"/>
              </w:rPr>
              <w:t>；二级</w:t>
            </w:r>
            <w:r>
              <w:rPr>
                <w:rFonts w:eastAsia="Times New Roman"/>
                <w:color w:val="auto"/>
                <w:sz w:val="21"/>
                <w:szCs w:val="21"/>
              </w:rPr>
              <w:t>√</w:t>
            </w:r>
            <w:r>
              <w:rPr>
                <w:rFonts w:hint="eastAsia" w:ascii="宋体" w:hAnsi="宋体" w:eastAsia="Times New Roman" w:cs="宋体"/>
                <w:color w:val="auto"/>
                <w:sz w:val="21"/>
                <w:szCs w:val="21"/>
              </w:rPr>
              <w:t>；三级</w:t>
            </w:r>
            <w:r>
              <w:rPr>
                <w:rFonts w:eastAsia="Times New Roman"/>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5619D51D">
            <w:pPr>
              <w:widowControl w:val="0"/>
              <w:spacing w:before="100" w:beforeAutospacing="1" w:line="360" w:lineRule="exact"/>
              <w:jc w:val="center"/>
              <w:rPr>
                <w:rFonts w:eastAsia="Times New Roman"/>
                <w:color w:val="auto"/>
                <w:sz w:val="21"/>
                <w:szCs w:val="21"/>
              </w:rPr>
            </w:pPr>
          </w:p>
        </w:tc>
      </w:tr>
      <w:tr w14:paraId="3963A73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restart"/>
            <w:tcBorders>
              <w:top w:val="nil"/>
              <w:left w:val="single" w:color="000000" w:sz="8" w:space="0"/>
              <w:bottom w:val="single" w:color="000000" w:sz="2" w:space="0"/>
              <w:right w:val="single" w:color="000000" w:sz="2" w:space="0"/>
            </w:tcBorders>
            <w:vAlign w:val="center"/>
          </w:tcPr>
          <w:p w14:paraId="17CADEF8">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现状调查内容</w:t>
            </w:r>
          </w:p>
        </w:tc>
        <w:tc>
          <w:tcPr>
            <w:tcW w:w="1634" w:type="dxa"/>
            <w:tcBorders>
              <w:top w:val="single" w:color="000000" w:sz="2" w:space="0"/>
              <w:left w:val="nil"/>
              <w:bottom w:val="single" w:color="000000" w:sz="2" w:space="0"/>
              <w:right w:val="single" w:color="000000" w:sz="2" w:space="0"/>
            </w:tcBorders>
            <w:vAlign w:val="center"/>
          </w:tcPr>
          <w:p w14:paraId="5CD88D1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资料收集</w:t>
            </w:r>
          </w:p>
        </w:tc>
        <w:tc>
          <w:tcPr>
            <w:tcW w:w="5871" w:type="dxa"/>
            <w:gridSpan w:val="6"/>
            <w:tcBorders>
              <w:top w:val="single" w:color="000000" w:sz="2" w:space="0"/>
              <w:left w:val="nil"/>
              <w:bottom w:val="single" w:color="000000" w:sz="2" w:space="0"/>
              <w:right w:val="single" w:color="000000" w:sz="2" w:space="0"/>
            </w:tcBorders>
            <w:vAlign w:val="center"/>
          </w:tcPr>
          <w:p w14:paraId="7AA9594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a</w:t>
            </w:r>
            <w:r>
              <w:rPr>
                <w:rFonts w:hint="eastAsia" w:ascii="宋体" w:hAnsi="宋体" w:eastAsia="Times New Roman" w:cs="宋体"/>
                <w:color w:val="auto"/>
                <w:sz w:val="21"/>
                <w:szCs w:val="21"/>
              </w:rPr>
              <w:t>）</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b</w:t>
            </w:r>
            <w:r>
              <w:rPr>
                <w:rFonts w:hint="eastAsia" w:ascii="宋体" w:hAnsi="宋体" w:eastAsia="Times New Roman" w:cs="宋体"/>
                <w:color w:val="auto"/>
                <w:sz w:val="21"/>
                <w:szCs w:val="21"/>
              </w:rPr>
              <w:t>）</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c</w:t>
            </w:r>
            <w:r>
              <w:rPr>
                <w:rFonts w:hint="eastAsia" w:ascii="宋体" w:hAnsi="宋体" w:eastAsia="Times New Roman" w:cs="宋体"/>
                <w:color w:val="auto"/>
                <w:sz w:val="21"/>
                <w:szCs w:val="21"/>
              </w:rPr>
              <w:t>）</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d</w:t>
            </w:r>
            <w:r>
              <w:rPr>
                <w:rFonts w:hint="eastAsia" w:ascii="宋体" w:hAnsi="宋体" w:eastAsia="Times New Roman" w:cs="宋体"/>
                <w:color w:val="auto"/>
                <w:sz w:val="21"/>
                <w:szCs w:val="21"/>
              </w:rPr>
              <w:t>）</w:t>
            </w:r>
            <w:r>
              <w:rPr>
                <w:rFonts w:eastAsia="Times New Roman"/>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4DD32C9F">
            <w:pPr>
              <w:widowControl w:val="0"/>
              <w:spacing w:before="100" w:beforeAutospacing="1" w:line="360" w:lineRule="exact"/>
              <w:jc w:val="center"/>
              <w:rPr>
                <w:rFonts w:eastAsia="Times New Roman"/>
                <w:color w:val="auto"/>
                <w:sz w:val="21"/>
                <w:szCs w:val="21"/>
              </w:rPr>
            </w:pPr>
          </w:p>
        </w:tc>
      </w:tr>
      <w:tr w14:paraId="0310B3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3F124EC2">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3C642C4A">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理化特性</w:t>
            </w:r>
          </w:p>
        </w:tc>
        <w:tc>
          <w:tcPr>
            <w:tcW w:w="5871" w:type="dxa"/>
            <w:gridSpan w:val="6"/>
            <w:tcBorders>
              <w:top w:val="single" w:color="000000" w:sz="2" w:space="0"/>
              <w:left w:val="nil"/>
              <w:bottom w:val="single" w:color="000000" w:sz="2" w:space="0"/>
              <w:right w:val="single" w:color="000000" w:sz="2" w:space="0"/>
            </w:tcBorders>
            <w:vAlign w:val="center"/>
          </w:tcPr>
          <w:p w14:paraId="6A03D51E">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pH</w:t>
            </w:r>
            <w:r>
              <w:rPr>
                <w:rFonts w:hint="eastAsia" w:ascii="宋体" w:hAnsi="宋体" w:eastAsia="Times New Roman" w:cs="宋体"/>
                <w:color w:val="auto"/>
                <w:sz w:val="21"/>
                <w:szCs w:val="21"/>
              </w:rPr>
              <w:t>、阳离子交换量、氧化还原电位、饱和导水率、土壤容重、孔隙度等均进行现场调查</w:t>
            </w:r>
          </w:p>
        </w:tc>
        <w:tc>
          <w:tcPr>
            <w:tcW w:w="819" w:type="dxa"/>
            <w:tcBorders>
              <w:top w:val="single" w:color="000000" w:sz="2" w:space="0"/>
              <w:left w:val="nil"/>
              <w:bottom w:val="single" w:color="000000" w:sz="2" w:space="0"/>
              <w:right w:val="single" w:color="000000" w:sz="8" w:space="0"/>
            </w:tcBorders>
            <w:vAlign w:val="center"/>
          </w:tcPr>
          <w:p w14:paraId="3013CF9E">
            <w:pPr>
              <w:widowControl w:val="0"/>
              <w:spacing w:before="100" w:beforeAutospacing="1" w:line="360" w:lineRule="exact"/>
              <w:jc w:val="center"/>
              <w:rPr>
                <w:rFonts w:eastAsia="Times New Roman"/>
                <w:color w:val="auto"/>
                <w:sz w:val="21"/>
                <w:szCs w:val="21"/>
              </w:rPr>
            </w:pPr>
          </w:p>
        </w:tc>
      </w:tr>
      <w:tr w14:paraId="01B4D5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83" w:hRule="atLeast"/>
        </w:trPr>
        <w:tc>
          <w:tcPr>
            <w:tcW w:w="386" w:type="dxa"/>
            <w:vMerge w:val="continue"/>
            <w:tcBorders>
              <w:top w:val="nil"/>
              <w:left w:val="single" w:color="000000" w:sz="8" w:space="0"/>
              <w:bottom w:val="single" w:color="000000" w:sz="2" w:space="0"/>
              <w:right w:val="single" w:color="000000" w:sz="2" w:space="0"/>
            </w:tcBorders>
            <w:vAlign w:val="center"/>
          </w:tcPr>
          <w:p w14:paraId="32C5B358">
            <w:pPr>
              <w:widowControl w:val="0"/>
              <w:jc w:val="center"/>
              <w:rPr>
                <w:rFonts w:eastAsia="Times New Roman"/>
                <w:color w:val="auto"/>
                <w:sz w:val="21"/>
                <w:szCs w:val="21"/>
              </w:rPr>
            </w:pPr>
          </w:p>
        </w:tc>
        <w:tc>
          <w:tcPr>
            <w:tcW w:w="1634" w:type="dxa"/>
            <w:vMerge w:val="restart"/>
            <w:tcBorders>
              <w:top w:val="nil"/>
              <w:left w:val="nil"/>
              <w:bottom w:val="single" w:color="000000" w:sz="2" w:space="0"/>
              <w:right w:val="single" w:color="000000" w:sz="2" w:space="0"/>
            </w:tcBorders>
            <w:vAlign w:val="center"/>
          </w:tcPr>
          <w:p w14:paraId="657DFF80">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现状监测点位</w:t>
            </w:r>
          </w:p>
        </w:tc>
        <w:tc>
          <w:tcPr>
            <w:tcW w:w="1310" w:type="dxa"/>
            <w:gridSpan w:val="2"/>
            <w:tcBorders>
              <w:top w:val="single" w:color="000000" w:sz="2" w:space="0"/>
              <w:left w:val="nil"/>
              <w:bottom w:val="single" w:color="000000" w:sz="2" w:space="0"/>
              <w:right w:val="single" w:color="000000" w:sz="2" w:space="0"/>
            </w:tcBorders>
            <w:vAlign w:val="center"/>
          </w:tcPr>
          <w:p w14:paraId="2DBFBBC0">
            <w:pPr>
              <w:widowControl w:val="0"/>
              <w:spacing w:before="100" w:beforeAutospacing="1" w:line="360" w:lineRule="exact"/>
              <w:jc w:val="center"/>
              <w:rPr>
                <w:rFonts w:eastAsia="Times New Roman"/>
                <w:color w:val="auto"/>
                <w:sz w:val="21"/>
                <w:szCs w:val="21"/>
              </w:rPr>
            </w:pPr>
          </w:p>
        </w:tc>
        <w:tc>
          <w:tcPr>
            <w:tcW w:w="1311" w:type="dxa"/>
            <w:tcBorders>
              <w:top w:val="single" w:color="000000" w:sz="2" w:space="0"/>
              <w:left w:val="nil"/>
              <w:bottom w:val="single" w:color="000000" w:sz="2" w:space="0"/>
              <w:right w:val="single" w:color="000000" w:sz="2" w:space="0"/>
            </w:tcBorders>
            <w:vAlign w:val="center"/>
          </w:tcPr>
          <w:p w14:paraId="2F927DF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占地范围内</w:t>
            </w:r>
          </w:p>
        </w:tc>
        <w:tc>
          <w:tcPr>
            <w:tcW w:w="1311" w:type="dxa"/>
            <w:tcBorders>
              <w:top w:val="single" w:color="000000" w:sz="2" w:space="0"/>
              <w:left w:val="nil"/>
              <w:bottom w:val="single" w:color="000000" w:sz="2" w:space="0"/>
              <w:right w:val="single" w:color="000000" w:sz="2" w:space="0"/>
            </w:tcBorders>
            <w:vAlign w:val="center"/>
          </w:tcPr>
          <w:p w14:paraId="21F6E53D">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占地范围外</w:t>
            </w:r>
          </w:p>
        </w:tc>
        <w:tc>
          <w:tcPr>
            <w:tcW w:w="1939" w:type="dxa"/>
            <w:gridSpan w:val="2"/>
            <w:tcBorders>
              <w:top w:val="single" w:color="000000" w:sz="2" w:space="0"/>
              <w:left w:val="nil"/>
              <w:bottom w:val="single" w:color="000000" w:sz="2" w:space="0"/>
              <w:right w:val="single" w:color="000000" w:sz="2" w:space="0"/>
            </w:tcBorders>
            <w:vAlign w:val="center"/>
          </w:tcPr>
          <w:p w14:paraId="17C528B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深度</w:t>
            </w:r>
          </w:p>
        </w:tc>
        <w:tc>
          <w:tcPr>
            <w:tcW w:w="819" w:type="dxa"/>
            <w:vMerge w:val="restart"/>
            <w:tcBorders>
              <w:top w:val="single" w:color="000000" w:sz="2" w:space="0"/>
              <w:left w:val="nil"/>
              <w:bottom w:val="single" w:color="000000" w:sz="2" w:space="0"/>
              <w:right w:val="single" w:color="000000" w:sz="8" w:space="0"/>
            </w:tcBorders>
            <w:vAlign w:val="center"/>
          </w:tcPr>
          <w:p w14:paraId="01B76F8A">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点位见</w:t>
            </w:r>
          </w:p>
          <w:p w14:paraId="753EB50E">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布置图</w:t>
            </w:r>
          </w:p>
        </w:tc>
      </w:tr>
      <w:tr w14:paraId="170A049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117219C9">
            <w:pPr>
              <w:widowControl w:val="0"/>
              <w:jc w:val="center"/>
              <w:rPr>
                <w:rFonts w:eastAsia="Times New Roman"/>
                <w:color w:val="auto"/>
                <w:sz w:val="21"/>
                <w:szCs w:val="21"/>
              </w:rPr>
            </w:pPr>
          </w:p>
        </w:tc>
        <w:tc>
          <w:tcPr>
            <w:tcW w:w="1634" w:type="dxa"/>
            <w:vMerge w:val="continue"/>
            <w:tcBorders>
              <w:top w:val="nil"/>
              <w:left w:val="nil"/>
              <w:bottom w:val="single" w:color="000000" w:sz="2" w:space="0"/>
              <w:right w:val="single" w:color="000000" w:sz="2" w:space="0"/>
            </w:tcBorders>
            <w:vAlign w:val="center"/>
          </w:tcPr>
          <w:p w14:paraId="6153DC08">
            <w:pPr>
              <w:widowControl w:val="0"/>
              <w:jc w:val="center"/>
              <w:rPr>
                <w:rFonts w:eastAsia="Times New Roman"/>
                <w:color w:val="auto"/>
                <w:sz w:val="21"/>
                <w:szCs w:val="21"/>
              </w:rPr>
            </w:pPr>
          </w:p>
        </w:tc>
        <w:tc>
          <w:tcPr>
            <w:tcW w:w="1310" w:type="dxa"/>
            <w:gridSpan w:val="2"/>
            <w:tcBorders>
              <w:top w:val="single" w:color="000000" w:sz="2" w:space="0"/>
              <w:left w:val="nil"/>
              <w:bottom w:val="single" w:color="000000" w:sz="2" w:space="0"/>
              <w:right w:val="single" w:color="000000" w:sz="2" w:space="0"/>
            </w:tcBorders>
            <w:vAlign w:val="center"/>
          </w:tcPr>
          <w:p w14:paraId="692D0F99">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表层样点数</w:t>
            </w:r>
          </w:p>
        </w:tc>
        <w:tc>
          <w:tcPr>
            <w:tcW w:w="1311" w:type="dxa"/>
            <w:tcBorders>
              <w:top w:val="single" w:color="000000" w:sz="2" w:space="0"/>
              <w:left w:val="nil"/>
              <w:bottom w:val="single" w:color="000000" w:sz="2" w:space="0"/>
              <w:right w:val="single" w:color="000000" w:sz="2" w:space="0"/>
            </w:tcBorders>
            <w:vAlign w:val="center"/>
          </w:tcPr>
          <w:p w14:paraId="00BC419E">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1</w:t>
            </w:r>
          </w:p>
        </w:tc>
        <w:tc>
          <w:tcPr>
            <w:tcW w:w="1311" w:type="dxa"/>
            <w:tcBorders>
              <w:top w:val="single" w:color="000000" w:sz="2" w:space="0"/>
              <w:left w:val="nil"/>
              <w:bottom w:val="single" w:color="000000" w:sz="2" w:space="0"/>
              <w:right w:val="single" w:color="000000" w:sz="2" w:space="0"/>
            </w:tcBorders>
            <w:vAlign w:val="center"/>
          </w:tcPr>
          <w:p w14:paraId="512E067D">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2</w:t>
            </w:r>
          </w:p>
        </w:tc>
        <w:tc>
          <w:tcPr>
            <w:tcW w:w="1939" w:type="dxa"/>
            <w:gridSpan w:val="2"/>
            <w:tcBorders>
              <w:top w:val="single" w:color="000000" w:sz="2" w:space="0"/>
              <w:left w:val="nil"/>
              <w:bottom w:val="single" w:color="000000" w:sz="2" w:space="0"/>
              <w:right w:val="single" w:color="000000" w:sz="2" w:space="0"/>
            </w:tcBorders>
            <w:vAlign w:val="center"/>
          </w:tcPr>
          <w:p w14:paraId="6DBBDD2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0-0.2m</w:t>
            </w:r>
          </w:p>
        </w:tc>
        <w:tc>
          <w:tcPr>
            <w:tcW w:w="819" w:type="dxa"/>
            <w:vMerge w:val="continue"/>
            <w:tcBorders>
              <w:top w:val="single" w:color="000000" w:sz="2" w:space="0"/>
              <w:left w:val="nil"/>
              <w:bottom w:val="single" w:color="000000" w:sz="2" w:space="0"/>
              <w:right w:val="single" w:color="000000" w:sz="8" w:space="0"/>
            </w:tcBorders>
            <w:vAlign w:val="center"/>
          </w:tcPr>
          <w:p w14:paraId="5B20DEA3">
            <w:pPr>
              <w:widowControl w:val="0"/>
              <w:jc w:val="center"/>
              <w:rPr>
                <w:rFonts w:eastAsia="Times New Roman"/>
                <w:color w:val="auto"/>
                <w:sz w:val="21"/>
                <w:szCs w:val="21"/>
              </w:rPr>
            </w:pPr>
          </w:p>
        </w:tc>
      </w:tr>
      <w:tr w14:paraId="1182C9A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765E9B25">
            <w:pPr>
              <w:widowControl w:val="0"/>
              <w:jc w:val="center"/>
              <w:rPr>
                <w:rFonts w:eastAsia="Times New Roman"/>
                <w:color w:val="auto"/>
                <w:sz w:val="21"/>
                <w:szCs w:val="21"/>
              </w:rPr>
            </w:pPr>
          </w:p>
        </w:tc>
        <w:tc>
          <w:tcPr>
            <w:tcW w:w="1634" w:type="dxa"/>
            <w:vMerge w:val="continue"/>
            <w:tcBorders>
              <w:top w:val="nil"/>
              <w:left w:val="nil"/>
              <w:bottom w:val="single" w:color="000000" w:sz="2" w:space="0"/>
              <w:right w:val="single" w:color="000000" w:sz="2" w:space="0"/>
            </w:tcBorders>
            <w:vAlign w:val="center"/>
          </w:tcPr>
          <w:p w14:paraId="2672E489">
            <w:pPr>
              <w:widowControl w:val="0"/>
              <w:jc w:val="center"/>
              <w:rPr>
                <w:rFonts w:eastAsia="Times New Roman"/>
                <w:color w:val="auto"/>
                <w:sz w:val="21"/>
                <w:szCs w:val="21"/>
              </w:rPr>
            </w:pPr>
          </w:p>
        </w:tc>
        <w:tc>
          <w:tcPr>
            <w:tcW w:w="1310" w:type="dxa"/>
            <w:gridSpan w:val="2"/>
            <w:tcBorders>
              <w:top w:val="single" w:color="000000" w:sz="2" w:space="0"/>
              <w:left w:val="nil"/>
              <w:bottom w:val="single" w:color="000000" w:sz="2" w:space="0"/>
              <w:right w:val="single" w:color="000000" w:sz="2" w:space="0"/>
            </w:tcBorders>
            <w:vAlign w:val="center"/>
          </w:tcPr>
          <w:p w14:paraId="20B62C9F">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柱状样点数</w:t>
            </w:r>
          </w:p>
        </w:tc>
        <w:tc>
          <w:tcPr>
            <w:tcW w:w="1311" w:type="dxa"/>
            <w:tcBorders>
              <w:top w:val="single" w:color="000000" w:sz="2" w:space="0"/>
              <w:left w:val="nil"/>
              <w:bottom w:val="single" w:color="000000" w:sz="2" w:space="0"/>
              <w:right w:val="single" w:color="000000" w:sz="2" w:space="0"/>
            </w:tcBorders>
            <w:vAlign w:val="center"/>
          </w:tcPr>
          <w:p w14:paraId="07DA82DE">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3</w:t>
            </w:r>
          </w:p>
        </w:tc>
        <w:tc>
          <w:tcPr>
            <w:tcW w:w="1311" w:type="dxa"/>
            <w:tcBorders>
              <w:top w:val="single" w:color="000000" w:sz="2" w:space="0"/>
              <w:left w:val="nil"/>
              <w:bottom w:val="single" w:color="000000" w:sz="2" w:space="0"/>
              <w:right w:val="single" w:color="000000" w:sz="2" w:space="0"/>
            </w:tcBorders>
            <w:vAlign w:val="center"/>
          </w:tcPr>
          <w:p w14:paraId="64DB2D7A">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2</w:t>
            </w:r>
          </w:p>
        </w:tc>
        <w:tc>
          <w:tcPr>
            <w:tcW w:w="1939" w:type="dxa"/>
            <w:gridSpan w:val="2"/>
            <w:tcBorders>
              <w:top w:val="single" w:color="000000" w:sz="2" w:space="0"/>
              <w:left w:val="nil"/>
              <w:bottom w:val="single" w:color="000000" w:sz="2" w:space="0"/>
              <w:right w:val="single" w:color="000000" w:sz="2" w:space="0"/>
            </w:tcBorders>
            <w:vAlign w:val="center"/>
          </w:tcPr>
          <w:p w14:paraId="476C8F51">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0-3m</w:t>
            </w:r>
          </w:p>
        </w:tc>
        <w:tc>
          <w:tcPr>
            <w:tcW w:w="819" w:type="dxa"/>
            <w:vMerge w:val="continue"/>
            <w:tcBorders>
              <w:top w:val="single" w:color="000000" w:sz="2" w:space="0"/>
              <w:left w:val="nil"/>
              <w:bottom w:val="single" w:color="000000" w:sz="2" w:space="0"/>
              <w:right w:val="single" w:color="000000" w:sz="8" w:space="0"/>
            </w:tcBorders>
            <w:vAlign w:val="center"/>
          </w:tcPr>
          <w:p w14:paraId="2AC2E2C8">
            <w:pPr>
              <w:widowControl w:val="0"/>
              <w:jc w:val="center"/>
              <w:rPr>
                <w:rFonts w:eastAsia="Times New Roman"/>
                <w:color w:val="auto"/>
                <w:sz w:val="21"/>
                <w:szCs w:val="21"/>
              </w:rPr>
            </w:pPr>
          </w:p>
        </w:tc>
      </w:tr>
      <w:tr w14:paraId="34D0A31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617EF1F2">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5E14A86E">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现状监测因子</w:t>
            </w:r>
          </w:p>
        </w:tc>
        <w:tc>
          <w:tcPr>
            <w:tcW w:w="5871" w:type="dxa"/>
            <w:gridSpan w:val="6"/>
            <w:tcBorders>
              <w:top w:val="single" w:color="000000" w:sz="2" w:space="0"/>
              <w:left w:val="nil"/>
              <w:bottom w:val="single" w:color="000000" w:sz="2" w:space="0"/>
              <w:right w:val="single" w:color="000000" w:sz="2" w:space="0"/>
            </w:tcBorders>
            <w:vAlign w:val="center"/>
          </w:tcPr>
          <w:p w14:paraId="598E63CB">
            <w:pPr>
              <w:pStyle w:val="129"/>
              <w:widowControl w:val="0"/>
              <w:rPr>
                <w:rFonts w:eastAsiaTheme="minorEastAsia"/>
                <w:color w:val="auto"/>
              </w:rPr>
            </w:pPr>
            <w:r>
              <w:rPr>
                <w:rFonts w:eastAsia="Times New Roman"/>
                <w:color w:val="auto"/>
              </w:rPr>
              <w:t>GB36600</w:t>
            </w:r>
            <w:r>
              <w:rPr>
                <w:rFonts w:hint="eastAsia" w:ascii="宋体" w:hAnsi="宋体" w:eastAsia="Times New Roman"/>
                <w:color w:val="auto"/>
              </w:rPr>
              <w:t>中表</w:t>
            </w:r>
            <w:r>
              <w:rPr>
                <w:rFonts w:eastAsia="Times New Roman"/>
                <w:color w:val="auto"/>
              </w:rPr>
              <w:t>1</w:t>
            </w:r>
            <w:r>
              <w:rPr>
                <w:rFonts w:hint="eastAsia" w:ascii="宋体" w:hAnsi="宋体" w:eastAsia="Times New Roman"/>
                <w:color w:val="auto"/>
              </w:rPr>
              <w:t>基本</w:t>
            </w:r>
            <w:r>
              <w:rPr>
                <w:rFonts w:eastAsia="Times New Roman"/>
                <w:color w:val="auto"/>
              </w:rPr>
              <w:t>45</w:t>
            </w:r>
            <w:r>
              <w:rPr>
                <w:rFonts w:hint="eastAsia" w:ascii="宋体" w:hAnsi="宋体" w:eastAsia="Times New Roman"/>
                <w:color w:val="auto"/>
              </w:rPr>
              <w:t>项</w:t>
            </w:r>
            <w:r>
              <w:rPr>
                <w:rFonts w:eastAsia="Times New Roman"/>
                <w:color w:val="auto"/>
              </w:rPr>
              <w:t>+pH</w:t>
            </w:r>
            <w:r>
              <w:rPr>
                <w:rFonts w:hint="eastAsia" w:ascii="宋体" w:hAnsi="宋体" w:eastAsia="Times New Roman"/>
                <w:color w:val="auto"/>
              </w:rPr>
              <w:t>、钴、钼、锰</w:t>
            </w:r>
          </w:p>
        </w:tc>
        <w:tc>
          <w:tcPr>
            <w:tcW w:w="819" w:type="dxa"/>
            <w:tcBorders>
              <w:top w:val="single" w:color="000000" w:sz="2" w:space="0"/>
              <w:left w:val="nil"/>
              <w:bottom w:val="single" w:color="000000" w:sz="2" w:space="0"/>
              <w:right w:val="single" w:color="000000" w:sz="8" w:space="0"/>
            </w:tcBorders>
            <w:vAlign w:val="center"/>
          </w:tcPr>
          <w:p w14:paraId="469748CC">
            <w:pPr>
              <w:widowControl w:val="0"/>
              <w:spacing w:before="100" w:beforeAutospacing="1" w:line="360" w:lineRule="exact"/>
              <w:jc w:val="center"/>
              <w:rPr>
                <w:rFonts w:eastAsia="Times New Roman"/>
                <w:color w:val="auto"/>
                <w:sz w:val="21"/>
                <w:szCs w:val="21"/>
              </w:rPr>
            </w:pPr>
          </w:p>
        </w:tc>
      </w:tr>
      <w:tr w14:paraId="51FBEBD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restart"/>
            <w:tcBorders>
              <w:top w:val="nil"/>
              <w:left w:val="single" w:color="000000" w:sz="8" w:space="0"/>
              <w:bottom w:val="single" w:color="000000" w:sz="2" w:space="0"/>
              <w:right w:val="single" w:color="000000" w:sz="2" w:space="0"/>
            </w:tcBorders>
            <w:vAlign w:val="center"/>
          </w:tcPr>
          <w:p w14:paraId="430D48D3">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现状评价</w:t>
            </w:r>
          </w:p>
        </w:tc>
        <w:tc>
          <w:tcPr>
            <w:tcW w:w="1634" w:type="dxa"/>
            <w:tcBorders>
              <w:top w:val="single" w:color="000000" w:sz="2" w:space="0"/>
              <w:left w:val="nil"/>
              <w:bottom w:val="single" w:color="000000" w:sz="2" w:space="0"/>
              <w:right w:val="single" w:color="000000" w:sz="2" w:space="0"/>
            </w:tcBorders>
            <w:vAlign w:val="center"/>
          </w:tcPr>
          <w:p w14:paraId="6FAFAB94">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评价因子</w:t>
            </w:r>
          </w:p>
        </w:tc>
        <w:tc>
          <w:tcPr>
            <w:tcW w:w="5871" w:type="dxa"/>
            <w:gridSpan w:val="6"/>
            <w:tcBorders>
              <w:top w:val="single" w:color="000000" w:sz="2" w:space="0"/>
              <w:left w:val="nil"/>
              <w:bottom w:val="single" w:color="000000" w:sz="2" w:space="0"/>
              <w:right w:val="single" w:color="000000" w:sz="2" w:space="0"/>
            </w:tcBorders>
            <w:vAlign w:val="center"/>
          </w:tcPr>
          <w:p w14:paraId="4156404E">
            <w:pPr>
              <w:pStyle w:val="129"/>
              <w:widowControl w:val="0"/>
              <w:rPr>
                <w:rFonts w:eastAsia="Times New Roman"/>
                <w:color w:val="auto"/>
              </w:rPr>
            </w:pPr>
            <w:r>
              <w:rPr>
                <w:rFonts w:eastAsia="Times New Roman"/>
                <w:color w:val="auto"/>
              </w:rPr>
              <w:t>GB36600</w:t>
            </w:r>
            <w:r>
              <w:rPr>
                <w:rFonts w:hint="eastAsia" w:ascii="宋体" w:hAnsi="宋体" w:eastAsia="Times New Roman"/>
                <w:color w:val="auto"/>
              </w:rPr>
              <w:t>中表</w:t>
            </w:r>
            <w:r>
              <w:rPr>
                <w:rFonts w:eastAsia="Times New Roman"/>
                <w:color w:val="auto"/>
              </w:rPr>
              <w:t>1</w:t>
            </w:r>
            <w:r>
              <w:rPr>
                <w:rFonts w:hint="eastAsia" w:ascii="宋体" w:hAnsi="宋体" w:eastAsia="Times New Roman"/>
                <w:color w:val="auto"/>
              </w:rPr>
              <w:t>基本</w:t>
            </w:r>
            <w:r>
              <w:rPr>
                <w:rFonts w:eastAsia="Times New Roman"/>
                <w:color w:val="auto"/>
              </w:rPr>
              <w:t>45</w:t>
            </w:r>
            <w:r>
              <w:rPr>
                <w:rFonts w:hint="eastAsia" w:ascii="宋体" w:hAnsi="宋体" w:eastAsia="Times New Roman"/>
                <w:color w:val="auto"/>
              </w:rPr>
              <w:t>项</w:t>
            </w:r>
            <w:r>
              <w:rPr>
                <w:rFonts w:eastAsia="Times New Roman"/>
                <w:color w:val="auto"/>
              </w:rPr>
              <w:t>+pH</w:t>
            </w:r>
            <w:r>
              <w:rPr>
                <w:rFonts w:hint="eastAsia" w:ascii="宋体" w:hAnsi="宋体" w:eastAsia="Times New Roman"/>
                <w:color w:val="auto"/>
              </w:rPr>
              <w:t>、钴、钼、锰</w:t>
            </w:r>
          </w:p>
        </w:tc>
        <w:tc>
          <w:tcPr>
            <w:tcW w:w="819" w:type="dxa"/>
            <w:tcBorders>
              <w:top w:val="single" w:color="000000" w:sz="2" w:space="0"/>
              <w:left w:val="nil"/>
              <w:bottom w:val="single" w:color="000000" w:sz="2" w:space="0"/>
              <w:right w:val="single" w:color="000000" w:sz="8" w:space="0"/>
            </w:tcBorders>
            <w:vAlign w:val="center"/>
          </w:tcPr>
          <w:p w14:paraId="24EDCDC6">
            <w:pPr>
              <w:widowControl w:val="0"/>
              <w:spacing w:before="100" w:beforeAutospacing="1" w:line="360" w:lineRule="exact"/>
              <w:jc w:val="center"/>
              <w:rPr>
                <w:rFonts w:eastAsia="Times New Roman"/>
                <w:color w:val="auto"/>
                <w:sz w:val="21"/>
                <w:szCs w:val="21"/>
              </w:rPr>
            </w:pPr>
          </w:p>
        </w:tc>
      </w:tr>
      <w:tr w14:paraId="74955E0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48925DF5">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322B6037">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评价标准</w:t>
            </w:r>
          </w:p>
        </w:tc>
        <w:tc>
          <w:tcPr>
            <w:tcW w:w="5871" w:type="dxa"/>
            <w:gridSpan w:val="6"/>
            <w:tcBorders>
              <w:top w:val="single" w:color="000000" w:sz="2" w:space="0"/>
              <w:left w:val="nil"/>
              <w:bottom w:val="single" w:color="000000" w:sz="2" w:space="0"/>
              <w:right w:val="single" w:color="000000" w:sz="2" w:space="0"/>
            </w:tcBorders>
            <w:vAlign w:val="center"/>
          </w:tcPr>
          <w:p w14:paraId="4516DA26">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GB15618□</w:t>
            </w:r>
            <w:r>
              <w:rPr>
                <w:rFonts w:hint="eastAsia" w:ascii="宋体" w:hAnsi="宋体" w:eastAsia="Times New Roman" w:cs="宋体"/>
                <w:color w:val="auto"/>
                <w:sz w:val="21"/>
                <w:szCs w:val="21"/>
              </w:rPr>
              <w:t>；</w:t>
            </w:r>
            <w:r>
              <w:rPr>
                <w:rFonts w:eastAsia="Times New Roman"/>
                <w:color w:val="auto"/>
                <w:sz w:val="21"/>
                <w:szCs w:val="21"/>
              </w:rPr>
              <w:t>GB36600√</w:t>
            </w:r>
            <w:r>
              <w:rPr>
                <w:rFonts w:hint="eastAsia" w:ascii="宋体" w:hAnsi="宋体" w:eastAsia="Times New Roman" w:cs="宋体"/>
                <w:color w:val="auto"/>
                <w:sz w:val="21"/>
                <w:szCs w:val="21"/>
              </w:rPr>
              <w:t>；表</w:t>
            </w:r>
            <w:r>
              <w:rPr>
                <w:rFonts w:eastAsia="Times New Roman"/>
                <w:color w:val="auto"/>
                <w:sz w:val="21"/>
                <w:szCs w:val="21"/>
              </w:rPr>
              <w:t>D.1□</w:t>
            </w:r>
            <w:r>
              <w:rPr>
                <w:rFonts w:hint="eastAsia" w:ascii="宋体" w:hAnsi="宋体" w:eastAsia="Times New Roman" w:cs="宋体"/>
                <w:color w:val="auto"/>
                <w:sz w:val="21"/>
                <w:szCs w:val="21"/>
              </w:rPr>
              <w:t>；表</w:t>
            </w:r>
            <w:r>
              <w:rPr>
                <w:rFonts w:eastAsia="Times New Roman"/>
                <w:color w:val="auto"/>
                <w:sz w:val="21"/>
                <w:szCs w:val="21"/>
              </w:rPr>
              <w:t>D.2□</w:t>
            </w:r>
            <w:r>
              <w:rPr>
                <w:rFonts w:hint="eastAsia" w:ascii="宋体" w:hAnsi="宋体" w:eastAsia="Times New Roman" w:cs="宋体"/>
                <w:color w:val="auto"/>
                <w:sz w:val="21"/>
                <w:szCs w:val="21"/>
              </w:rPr>
              <w:t>；其他（）</w:t>
            </w:r>
          </w:p>
        </w:tc>
        <w:tc>
          <w:tcPr>
            <w:tcW w:w="819" w:type="dxa"/>
            <w:tcBorders>
              <w:top w:val="single" w:color="000000" w:sz="2" w:space="0"/>
              <w:left w:val="nil"/>
              <w:bottom w:val="single" w:color="000000" w:sz="2" w:space="0"/>
              <w:right w:val="single" w:color="000000" w:sz="8" w:space="0"/>
            </w:tcBorders>
            <w:vAlign w:val="center"/>
          </w:tcPr>
          <w:p w14:paraId="18BBB82D">
            <w:pPr>
              <w:widowControl w:val="0"/>
              <w:spacing w:before="100" w:beforeAutospacing="1" w:line="360" w:lineRule="exact"/>
              <w:jc w:val="center"/>
              <w:rPr>
                <w:rFonts w:eastAsia="Times New Roman"/>
                <w:color w:val="auto"/>
                <w:sz w:val="21"/>
                <w:szCs w:val="21"/>
              </w:rPr>
            </w:pPr>
          </w:p>
        </w:tc>
      </w:tr>
      <w:tr w14:paraId="0A0CD22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21461269">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183CF906">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现状评价结论</w:t>
            </w:r>
          </w:p>
        </w:tc>
        <w:tc>
          <w:tcPr>
            <w:tcW w:w="5871" w:type="dxa"/>
            <w:gridSpan w:val="6"/>
            <w:tcBorders>
              <w:top w:val="single" w:color="000000" w:sz="2" w:space="0"/>
              <w:left w:val="nil"/>
              <w:bottom w:val="single" w:color="000000" w:sz="2" w:space="0"/>
              <w:right w:val="single" w:color="000000" w:sz="2" w:space="0"/>
            </w:tcBorders>
            <w:vAlign w:val="center"/>
          </w:tcPr>
          <w:p w14:paraId="762A1B77">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本项目建设用地土壤满足</w:t>
            </w:r>
            <w:r>
              <w:rPr>
                <w:rFonts w:eastAsia="Times New Roman"/>
                <w:color w:val="auto"/>
                <w:sz w:val="21"/>
                <w:szCs w:val="21"/>
              </w:rPr>
              <w:t>GB36600-2018</w:t>
            </w:r>
            <w:r>
              <w:rPr>
                <w:rFonts w:hint="eastAsia" w:ascii="宋体" w:hAnsi="宋体" w:eastAsia="Times New Roman" w:cs="宋体"/>
                <w:color w:val="auto"/>
                <w:sz w:val="21"/>
                <w:szCs w:val="21"/>
              </w:rPr>
              <w:t>第二类用地筛选值要求</w:t>
            </w:r>
          </w:p>
        </w:tc>
        <w:tc>
          <w:tcPr>
            <w:tcW w:w="819" w:type="dxa"/>
            <w:tcBorders>
              <w:top w:val="single" w:color="000000" w:sz="2" w:space="0"/>
              <w:left w:val="nil"/>
              <w:bottom w:val="single" w:color="000000" w:sz="2" w:space="0"/>
              <w:right w:val="single" w:color="000000" w:sz="8" w:space="0"/>
            </w:tcBorders>
            <w:vAlign w:val="center"/>
          </w:tcPr>
          <w:p w14:paraId="486C9E97">
            <w:pPr>
              <w:widowControl w:val="0"/>
              <w:spacing w:before="100" w:beforeAutospacing="1" w:line="360" w:lineRule="exact"/>
              <w:jc w:val="center"/>
              <w:rPr>
                <w:rFonts w:eastAsia="Times New Roman"/>
                <w:color w:val="auto"/>
                <w:sz w:val="21"/>
                <w:szCs w:val="21"/>
              </w:rPr>
            </w:pPr>
          </w:p>
        </w:tc>
      </w:tr>
      <w:tr w14:paraId="2DC7FDF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restart"/>
            <w:tcBorders>
              <w:top w:val="nil"/>
              <w:left w:val="single" w:color="000000" w:sz="8" w:space="0"/>
              <w:bottom w:val="single" w:color="000000" w:sz="2" w:space="0"/>
              <w:right w:val="single" w:color="000000" w:sz="2" w:space="0"/>
            </w:tcBorders>
            <w:vAlign w:val="center"/>
          </w:tcPr>
          <w:p w14:paraId="28E7376D">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影响预测</w:t>
            </w:r>
          </w:p>
        </w:tc>
        <w:tc>
          <w:tcPr>
            <w:tcW w:w="1634" w:type="dxa"/>
            <w:tcBorders>
              <w:top w:val="single" w:color="000000" w:sz="2" w:space="0"/>
              <w:left w:val="nil"/>
              <w:bottom w:val="single" w:color="000000" w:sz="2" w:space="0"/>
              <w:right w:val="single" w:color="000000" w:sz="2" w:space="0"/>
            </w:tcBorders>
            <w:vAlign w:val="center"/>
          </w:tcPr>
          <w:p w14:paraId="494623D8">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预测因子</w:t>
            </w:r>
          </w:p>
        </w:tc>
        <w:tc>
          <w:tcPr>
            <w:tcW w:w="5871" w:type="dxa"/>
            <w:gridSpan w:val="6"/>
            <w:tcBorders>
              <w:top w:val="single" w:color="000000" w:sz="2" w:space="0"/>
              <w:left w:val="nil"/>
              <w:bottom w:val="single" w:color="000000" w:sz="2" w:space="0"/>
              <w:right w:val="single" w:color="000000" w:sz="2" w:space="0"/>
            </w:tcBorders>
            <w:vAlign w:val="center"/>
          </w:tcPr>
          <w:p w14:paraId="22D9E7BE">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镍及其化合物</w:t>
            </w:r>
          </w:p>
        </w:tc>
        <w:tc>
          <w:tcPr>
            <w:tcW w:w="819" w:type="dxa"/>
            <w:tcBorders>
              <w:top w:val="single" w:color="000000" w:sz="2" w:space="0"/>
              <w:left w:val="nil"/>
              <w:bottom w:val="single" w:color="000000" w:sz="2" w:space="0"/>
              <w:right w:val="single" w:color="000000" w:sz="8" w:space="0"/>
            </w:tcBorders>
            <w:vAlign w:val="center"/>
          </w:tcPr>
          <w:p w14:paraId="1C9C286F">
            <w:pPr>
              <w:widowControl w:val="0"/>
              <w:spacing w:before="100" w:beforeAutospacing="1" w:line="360" w:lineRule="exact"/>
              <w:jc w:val="center"/>
              <w:rPr>
                <w:rFonts w:eastAsia="Times New Roman"/>
                <w:color w:val="auto"/>
                <w:sz w:val="21"/>
                <w:szCs w:val="21"/>
              </w:rPr>
            </w:pPr>
          </w:p>
        </w:tc>
      </w:tr>
      <w:tr w14:paraId="0487CA7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6C65FBA9">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1F747EED">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预测方法</w:t>
            </w:r>
          </w:p>
        </w:tc>
        <w:tc>
          <w:tcPr>
            <w:tcW w:w="5871" w:type="dxa"/>
            <w:gridSpan w:val="6"/>
            <w:tcBorders>
              <w:top w:val="single" w:color="000000" w:sz="2" w:space="0"/>
              <w:left w:val="nil"/>
              <w:bottom w:val="single" w:color="000000" w:sz="2" w:space="0"/>
              <w:right w:val="single" w:color="000000" w:sz="2" w:space="0"/>
            </w:tcBorders>
            <w:vAlign w:val="center"/>
          </w:tcPr>
          <w:p w14:paraId="53361FBD">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附录</w:t>
            </w:r>
            <w:r>
              <w:rPr>
                <w:rFonts w:eastAsia="Times New Roman"/>
                <w:color w:val="auto"/>
                <w:sz w:val="21"/>
                <w:szCs w:val="21"/>
              </w:rPr>
              <w:t>E√</w:t>
            </w:r>
            <w:r>
              <w:rPr>
                <w:rFonts w:hint="eastAsia" w:ascii="宋体" w:hAnsi="宋体" w:eastAsia="Times New Roman" w:cs="宋体"/>
                <w:color w:val="auto"/>
                <w:sz w:val="21"/>
                <w:szCs w:val="21"/>
              </w:rPr>
              <w:t>；其他</w:t>
            </w:r>
            <w:r>
              <w:rPr>
                <w:rFonts w:eastAsia="Times New Roman"/>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5E6C871A">
            <w:pPr>
              <w:widowControl w:val="0"/>
              <w:spacing w:before="100" w:beforeAutospacing="1" w:line="360" w:lineRule="exact"/>
              <w:jc w:val="center"/>
              <w:rPr>
                <w:rFonts w:eastAsia="Times New Roman"/>
                <w:color w:val="auto"/>
                <w:sz w:val="21"/>
                <w:szCs w:val="21"/>
              </w:rPr>
            </w:pPr>
          </w:p>
        </w:tc>
      </w:tr>
      <w:tr w14:paraId="2B8799A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686DE3EE">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5ACE18F8">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预测分析内容</w:t>
            </w:r>
          </w:p>
        </w:tc>
        <w:tc>
          <w:tcPr>
            <w:tcW w:w="5871" w:type="dxa"/>
            <w:gridSpan w:val="6"/>
            <w:tcBorders>
              <w:top w:val="single" w:color="000000" w:sz="2" w:space="0"/>
              <w:left w:val="nil"/>
              <w:bottom w:val="single" w:color="000000" w:sz="2" w:space="0"/>
              <w:right w:val="single" w:color="000000" w:sz="2" w:space="0"/>
            </w:tcBorders>
            <w:vAlign w:val="center"/>
          </w:tcPr>
          <w:p w14:paraId="2FA0D76F">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影响范围（项目占地范围内及占地范围外</w:t>
            </w:r>
            <w:r>
              <w:rPr>
                <w:rFonts w:eastAsia="Times New Roman"/>
                <w:color w:val="auto"/>
                <w:sz w:val="21"/>
                <w:szCs w:val="21"/>
              </w:rPr>
              <w:t>200m</w:t>
            </w:r>
            <w:r>
              <w:rPr>
                <w:rFonts w:hint="eastAsia" w:ascii="宋体" w:hAnsi="宋体" w:eastAsia="Times New Roman" w:cs="宋体"/>
                <w:color w:val="auto"/>
                <w:sz w:val="21"/>
                <w:szCs w:val="21"/>
              </w:rPr>
              <w:t>范围内）</w:t>
            </w:r>
          </w:p>
          <w:p w14:paraId="48758209">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影响程度（较小）</w:t>
            </w:r>
          </w:p>
        </w:tc>
        <w:tc>
          <w:tcPr>
            <w:tcW w:w="819" w:type="dxa"/>
            <w:tcBorders>
              <w:top w:val="single" w:color="000000" w:sz="2" w:space="0"/>
              <w:left w:val="nil"/>
              <w:bottom w:val="single" w:color="000000" w:sz="2" w:space="0"/>
              <w:right w:val="single" w:color="000000" w:sz="8" w:space="0"/>
            </w:tcBorders>
            <w:vAlign w:val="center"/>
          </w:tcPr>
          <w:p w14:paraId="5F0A5C66">
            <w:pPr>
              <w:widowControl w:val="0"/>
              <w:spacing w:before="100" w:beforeAutospacing="1" w:line="360" w:lineRule="exact"/>
              <w:jc w:val="center"/>
              <w:rPr>
                <w:rFonts w:eastAsia="Times New Roman"/>
                <w:color w:val="auto"/>
                <w:sz w:val="21"/>
                <w:szCs w:val="21"/>
              </w:rPr>
            </w:pPr>
          </w:p>
        </w:tc>
      </w:tr>
      <w:tr w14:paraId="04D202B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0C1FA63E">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35395FEE">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预测结论</w:t>
            </w:r>
          </w:p>
        </w:tc>
        <w:tc>
          <w:tcPr>
            <w:tcW w:w="5871" w:type="dxa"/>
            <w:gridSpan w:val="6"/>
            <w:tcBorders>
              <w:top w:val="single" w:color="000000" w:sz="2" w:space="0"/>
              <w:left w:val="nil"/>
              <w:bottom w:val="single" w:color="000000" w:sz="2" w:space="0"/>
              <w:right w:val="single" w:color="000000" w:sz="2" w:space="0"/>
            </w:tcBorders>
            <w:vAlign w:val="center"/>
          </w:tcPr>
          <w:p w14:paraId="75220B4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达标结论：</w:t>
            </w:r>
            <w:r>
              <w:rPr>
                <w:rFonts w:eastAsia="Times New Roman"/>
                <w:color w:val="auto"/>
                <w:sz w:val="21"/>
                <w:szCs w:val="21"/>
              </w:rPr>
              <w:t>a</w:t>
            </w:r>
            <w:r>
              <w:rPr>
                <w:rFonts w:hint="eastAsia" w:ascii="宋体" w:hAnsi="宋体" w:eastAsia="Times New Roman" w:cs="宋体"/>
                <w:color w:val="auto"/>
                <w:sz w:val="21"/>
                <w:szCs w:val="21"/>
              </w:rPr>
              <w:t>）</w:t>
            </w:r>
            <w:r>
              <w:rPr>
                <w:rFonts w:ascii="Segoe UI Symbol" w:hAnsi="Segoe UI Symbol" w:eastAsia="MS Mincho"/>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b</w:t>
            </w:r>
            <w:r>
              <w:rPr>
                <w:rFonts w:hint="eastAsia" w:ascii="宋体" w:hAnsi="宋体" w:eastAsia="Times New Roman" w:cs="宋体"/>
                <w:color w:val="auto"/>
                <w:sz w:val="21"/>
                <w:szCs w:val="21"/>
              </w:rPr>
              <w:t>）</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c</w:t>
            </w:r>
            <w:r>
              <w:rPr>
                <w:rFonts w:hint="eastAsia" w:ascii="宋体" w:hAnsi="宋体" w:eastAsia="Times New Roman" w:cs="宋体"/>
                <w:color w:val="auto"/>
                <w:sz w:val="21"/>
                <w:szCs w:val="21"/>
              </w:rPr>
              <w:t>）</w:t>
            </w:r>
            <w:r>
              <w:rPr>
                <w:rFonts w:eastAsia="Times New Roman"/>
                <w:color w:val="auto"/>
                <w:sz w:val="21"/>
                <w:szCs w:val="21"/>
              </w:rPr>
              <w:t>□</w:t>
            </w:r>
          </w:p>
          <w:p w14:paraId="36173FCB">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不达标结论：</w:t>
            </w:r>
            <w:r>
              <w:rPr>
                <w:rFonts w:eastAsia="Times New Roman"/>
                <w:color w:val="auto"/>
                <w:sz w:val="21"/>
                <w:szCs w:val="21"/>
              </w:rPr>
              <w:t>a</w:t>
            </w:r>
            <w:r>
              <w:rPr>
                <w:rFonts w:hint="eastAsia" w:ascii="宋体" w:hAnsi="宋体" w:eastAsia="Times New Roman" w:cs="宋体"/>
                <w:color w:val="auto"/>
                <w:sz w:val="21"/>
                <w:szCs w:val="21"/>
              </w:rPr>
              <w:t>）</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b</w:t>
            </w:r>
            <w:r>
              <w:rPr>
                <w:rFonts w:hint="eastAsia" w:ascii="宋体" w:hAnsi="宋体" w:eastAsia="Times New Roman" w:cs="宋体"/>
                <w:color w:val="auto"/>
                <w:sz w:val="21"/>
                <w:szCs w:val="21"/>
              </w:rPr>
              <w:t>）</w:t>
            </w:r>
            <w:r>
              <w:rPr>
                <w:rFonts w:eastAsia="Times New Roman"/>
                <w:color w:val="auto"/>
                <w:sz w:val="21"/>
                <w:szCs w:val="21"/>
              </w:rPr>
              <w:t>□</w:t>
            </w:r>
          </w:p>
        </w:tc>
        <w:tc>
          <w:tcPr>
            <w:tcW w:w="819" w:type="dxa"/>
            <w:tcBorders>
              <w:top w:val="single" w:color="000000" w:sz="2" w:space="0"/>
              <w:left w:val="nil"/>
              <w:bottom w:val="single" w:color="000000" w:sz="2" w:space="0"/>
              <w:right w:val="single" w:color="000000" w:sz="8" w:space="0"/>
            </w:tcBorders>
            <w:vAlign w:val="center"/>
          </w:tcPr>
          <w:p w14:paraId="34F70D9D">
            <w:pPr>
              <w:widowControl w:val="0"/>
              <w:spacing w:before="100" w:beforeAutospacing="1" w:line="360" w:lineRule="exact"/>
              <w:jc w:val="center"/>
              <w:rPr>
                <w:rFonts w:eastAsia="Times New Roman"/>
                <w:color w:val="auto"/>
                <w:sz w:val="21"/>
                <w:szCs w:val="21"/>
              </w:rPr>
            </w:pPr>
          </w:p>
        </w:tc>
      </w:tr>
      <w:tr w14:paraId="31AFA77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restart"/>
            <w:tcBorders>
              <w:top w:val="nil"/>
              <w:left w:val="single" w:color="000000" w:sz="8" w:space="0"/>
              <w:bottom w:val="single" w:color="000000" w:sz="2" w:space="0"/>
              <w:right w:val="single" w:color="000000" w:sz="2" w:space="0"/>
            </w:tcBorders>
            <w:vAlign w:val="center"/>
          </w:tcPr>
          <w:p w14:paraId="07BF4003">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防治措施</w:t>
            </w:r>
          </w:p>
        </w:tc>
        <w:tc>
          <w:tcPr>
            <w:tcW w:w="1634" w:type="dxa"/>
            <w:tcBorders>
              <w:top w:val="single" w:color="000000" w:sz="2" w:space="0"/>
              <w:left w:val="nil"/>
              <w:bottom w:val="single" w:color="000000" w:sz="2" w:space="0"/>
              <w:right w:val="single" w:color="000000" w:sz="2" w:space="0"/>
            </w:tcBorders>
            <w:vAlign w:val="center"/>
          </w:tcPr>
          <w:p w14:paraId="4F076D89">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防控措施</w:t>
            </w:r>
          </w:p>
        </w:tc>
        <w:tc>
          <w:tcPr>
            <w:tcW w:w="5871" w:type="dxa"/>
            <w:gridSpan w:val="6"/>
            <w:tcBorders>
              <w:top w:val="single" w:color="000000" w:sz="2" w:space="0"/>
              <w:left w:val="nil"/>
              <w:bottom w:val="single" w:color="000000" w:sz="2" w:space="0"/>
              <w:right w:val="single" w:color="000000" w:sz="2" w:space="0"/>
            </w:tcBorders>
            <w:vAlign w:val="center"/>
          </w:tcPr>
          <w:p w14:paraId="6B01EE51">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土壤环境质量现状保障</w:t>
            </w:r>
            <w:r>
              <w:rPr>
                <w:rFonts w:eastAsia="Times New Roman"/>
                <w:color w:val="auto"/>
                <w:sz w:val="21"/>
                <w:szCs w:val="21"/>
              </w:rPr>
              <w:t>□</w:t>
            </w:r>
            <w:r>
              <w:rPr>
                <w:rFonts w:hint="eastAsia" w:ascii="宋体" w:hAnsi="宋体" w:eastAsia="Times New Roman" w:cs="宋体"/>
                <w:color w:val="auto"/>
                <w:sz w:val="21"/>
                <w:szCs w:val="21"/>
              </w:rPr>
              <w:t>；源头控制</w:t>
            </w:r>
            <w:r>
              <w:rPr>
                <w:rFonts w:eastAsia="Times New Roman"/>
                <w:color w:val="auto"/>
                <w:sz w:val="21"/>
                <w:szCs w:val="21"/>
              </w:rPr>
              <w:t>√</w:t>
            </w:r>
            <w:r>
              <w:rPr>
                <w:rFonts w:hint="eastAsia" w:ascii="宋体" w:hAnsi="宋体" w:eastAsia="Times New Roman" w:cs="宋体"/>
                <w:color w:val="auto"/>
                <w:sz w:val="21"/>
                <w:szCs w:val="21"/>
              </w:rPr>
              <w:t>；过程防控</w:t>
            </w:r>
            <w:r>
              <w:rPr>
                <w:rFonts w:eastAsia="Times New Roman"/>
                <w:color w:val="auto"/>
                <w:sz w:val="21"/>
                <w:szCs w:val="21"/>
              </w:rPr>
              <w:t>√</w:t>
            </w:r>
            <w:r>
              <w:rPr>
                <w:rFonts w:hint="eastAsia" w:ascii="宋体" w:hAnsi="宋体" w:eastAsia="Times New Roman" w:cs="宋体"/>
                <w:color w:val="auto"/>
                <w:sz w:val="21"/>
                <w:szCs w:val="21"/>
              </w:rPr>
              <w:t>；其他（）</w:t>
            </w:r>
          </w:p>
        </w:tc>
        <w:tc>
          <w:tcPr>
            <w:tcW w:w="819" w:type="dxa"/>
            <w:tcBorders>
              <w:top w:val="single" w:color="000000" w:sz="2" w:space="0"/>
              <w:left w:val="nil"/>
              <w:bottom w:val="single" w:color="000000" w:sz="2" w:space="0"/>
              <w:right w:val="single" w:color="000000" w:sz="8" w:space="0"/>
            </w:tcBorders>
            <w:vAlign w:val="center"/>
          </w:tcPr>
          <w:p w14:paraId="4420998E">
            <w:pPr>
              <w:widowControl w:val="0"/>
              <w:spacing w:before="100" w:beforeAutospacing="1" w:line="360" w:lineRule="exact"/>
              <w:jc w:val="center"/>
              <w:rPr>
                <w:rFonts w:eastAsia="Times New Roman"/>
                <w:color w:val="auto"/>
                <w:sz w:val="21"/>
                <w:szCs w:val="21"/>
              </w:rPr>
            </w:pPr>
          </w:p>
        </w:tc>
      </w:tr>
      <w:tr w14:paraId="1C2FF87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3AB75F23">
            <w:pPr>
              <w:widowControl w:val="0"/>
              <w:jc w:val="center"/>
              <w:rPr>
                <w:rFonts w:eastAsia="Times New Roman"/>
                <w:color w:val="auto"/>
                <w:sz w:val="21"/>
                <w:szCs w:val="21"/>
              </w:rPr>
            </w:pPr>
          </w:p>
        </w:tc>
        <w:tc>
          <w:tcPr>
            <w:tcW w:w="1634" w:type="dxa"/>
            <w:vMerge w:val="restart"/>
            <w:tcBorders>
              <w:top w:val="nil"/>
              <w:left w:val="nil"/>
              <w:bottom w:val="single" w:color="000000" w:sz="2" w:space="0"/>
              <w:right w:val="single" w:color="000000" w:sz="2" w:space="0"/>
            </w:tcBorders>
            <w:vAlign w:val="center"/>
          </w:tcPr>
          <w:p w14:paraId="27C98753">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跟踪监测</w:t>
            </w:r>
          </w:p>
        </w:tc>
        <w:tc>
          <w:tcPr>
            <w:tcW w:w="1015" w:type="dxa"/>
            <w:tcBorders>
              <w:top w:val="single" w:color="000000" w:sz="2" w:space="0"/>
              <w:left w:val="nil"/>
              <w:bottom w:val="single" w:color="000000" w:sz="2" w:space="0"/>
              <w:right w:val="single" w:color="000000" w:sz="2" w:space="0"/>
            </w:tcBorders>
            <w:vAlign w:val="center"/>
          </w:tcPr>
          <w:p w14:paraId="79594B2C">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监测点数</w:t>
            </w:r>
          </w:p>
        </w:tc>
        <w:tc>
          <w:tcPr>
            <w:tcW w:w="2980" w:type="dxa"/>
            <w:gridSpan w:val="4"/>
            <w:tcBorders>
              <w:top w:val="single" w:color="000000" w:sz="2" w:space="0"/>
              <w:left w:val="nil"/>
              <w:bottom w:val="single" w:color="000000" w:sz="2" w:space="0"/>
              <w:right w:val="single" w:color="000000" w:sz="2" w:space="0"/>
            </w:tcBorders>
            <w:vAlign w:val="center"/>
          </w:tcPr>
          <w:p w14:paraId="71A5D6E2">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监测指标</w:t>
            </w:r>
          </w:p>
        </w:tc>
        <w:tc>
          <w:tcPr>
            <w:tcW w:w="1876" w:type="dxa"/>
            <w:tcBorders>
              <w:top w:val="single" w:color="000000" w:sz="2" w:space="0"/>
              <w:left w:val="nil"/>
              <w:bottom w:val="single" w:color="000000" w:sz="2" w:space="0"/>
              <w:right w:val="single" w:color="000000" w:sz="2" w:space="0"/>
            </w:tcBorders>
            <w:vAlign w:val="center"/>
          </w:tcPr>
          <w:p w14:paraId="02319EB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监测频次</w:t>
            </w:r>
          </w:p>
        </w:tc>
        <w:tc>
          <w:tcPr>
            <w:tcW w:w="819" w:type="dxa"/>
            <w:vMerge w:val="restart"/>
            <w:tcBorders>
              <w:top w:val="single" w:color="000000" w:sz="2" w:space="0"/>
              <w:left w:val="nil"/>
              <w:bottom w:val="single" w:color="000000" w:sz="2" w:space="0"/>
              <w:right w:val="single" w:color="000000" w:sz="8" w:space="0"/>
            </w:tcBorders>
            <w:vAlign w:val="center"/>
          </w:tcPr>
          <w:p w14:paraId="44A229F2">
            <w:pPr>
              <w:widowControl w:val="0"/>
              <w:spacing w:before="100" w:beforeAutospacing="1" w:line="360" w:lineRule="exact"/>
              <w:jc w:val="center"/>
              <w:rPr>
                <w:rFonts w:eastAsia="Times New Roman"/>
                <w:color w:val="auto"/>
                <w:sz w:val="21"/>
                <w:szCs w:val="21"/>
              </w:rPr>
            </w:pPr>
          </w:p>
        </w:tc>
      </w:tr>
      <w:tr w14:paraId="3959B29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775CC081">
            <w:pPr>
              <w:widowControl w:val="0"/>
              <w:jc w:val="center"/>
              <w:rPr>
                <w:rFonts w:eastAsia="Times New Roman"/>
                <w:color w:val="auto"/>
                <w:sz w:val="21"/>
                <w:szCs w:val="21"/>
              </w:rPr>
            </w:pPr>
          </w:p>
        </w:tc>
        <w:tc>
          <w:tcPr>
            <w:tcW w:w="1634" w:type="dxa"/>
            <w:vMerge w:val="continue"/>
            <w:tcBorders>
              <w:top w:val="nil"/>
              <w:left w:val="nil"/>
              <w:bottom w:val="single" w:color="000000" w:sz="2" w:space="0"/>
              <w:right w:val="single" w:color="000000" w:sz="2" w:space="0"/>
            </w:tcBorders>
            <w:vAlign w:val="center"/>
          </w:tcPr>
          <w:p w14:paraId="3C5200B0">
            <w:pPr>
              <w:widowControl w:val="0"/>
              <w:jc w:val="center"/>
              <w:rPr>
                <w:rFonts w:eastAsia="Times New Roman"/>
                <w:color w:val="auto"/>
                <w:sz w:val="21"/>
                <w:szCs w:val="21"/>
              </w:rPr>
            </w:pPr>
          </w:p>
        </w:tc>
        <w:tc>
          <w:tcPr>
            <w:tcW w:w="1015" w:type="dxa"/>
            <w:tcBorders>
              <w:top w:val="single" w:color="000000" w:sz="2" w:space="0"/>
              <w:left w:val="nil"/>
              <w:bottom w:val="single" w:color="000000" w:sz="2" w:space="0"/>
              <w:right w:val="single" w:color="000000" w:sz="2" w:space="0"/>
            </w:tcBorders>
            <w:vAlign w:val="center"/>
          </w:tcPr>
          <w:p w14:paraId="30F1221A">
            <w:pPr>
              <w:widowControl w:val="0"/>
              <w:spacing w:before="100" w:beforeAutospacing="1" w:line="360" w:lineRule="exact"/>
              <w:jc w:val="center"/>
              <w:rPr>
                <w:rFonts w:eastAsia="Times New Roman"/>
                <w:color w:val="auto"/>
                <w:sz w:val="21"/>
                <w:szCs w:val="21"/>
              </w:rPr>
            </w:pPr>
            <w:r>
              <w:rPr>
                <w:rFonts w:hint="eastAsia" w:eastAsia="Times New Roman"/>
                <w:color w:val="auto"/>
                <w:sz w:val="21"/>
                <w:szCs w:val="21"/>
              </w:rPr>
              <w:t>1</w:t>
            </w:r>
          </w:p>
        </w:tc>
        <w:tc>
          <w:tcPr>
            <w:tcW w:w="2980" w:type="dxa"/>
            <w:gridSpan w:val="4"/>
            <w:tcBorders>
              <w:top w:val="single" w:color="000000" w:sz="2" w:space="0"/>
              <w:left w:val="nil"/>
              <w:bottom w:val="nil"/>
              <w:right w:val="single" w:color="000000" w:sz="2" w:space="0"/>
            </w:tcBorders>
            <w:vAlign w:val="center"/>
          </w:tcPr>
          <w:p w14:paraId="2DB601D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镍及其化合物</w:t>
            </w:r>
          </w:p>
        </w:tc>
        <w:tc>
          <w:tcPr>
            <w:tcW w:w="1876" w:type="dxa"/>
            <w:tcBorders>
              <w:top w:val="single" w:color="000000" w:sz="2" w:space="0"/>
              <w:left w:val="nil"/>
              <w:bottom w:val="single" w:color="000000" w:sz="2" w:space="0"/>
              <w:right w:val="single" w:color="000000" w:sz="2" w:space="0"/>
            </w:tcBorders>
            <w:vAlign w:val="center"/>
          </w:tcPr>
          <w:p w14:paraId="3A711FA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w:t>
            </w:r>
            <w:r>
              <w:rPr>
                <w:rFonts w:hint="eastAsia" w:ascii="宋体" w:hAnsi="宋体" w:eastAsia="Times New Roman" w:cs="宋体"/>
                <w:color w:val="auto"/>
                <w:sz w:val="21"/>
                <w:szCs w:val="21"/>
              </w:rPr>
              <w:t>次</w:t>
            </w:r>
            <w:r>
              <w:rPr>
                <w:rFonts w:eastAsia="Times New Roman"/>
                <w:color w:val="auto"/>
                <w:sz w:val="21"/>
                <w:szCs w:val="21"/>
              </w:rPr>
              <w:t>/3</w:t>
            </w:r>
            <w:r>
              <w:rPr>
                <w:rFonts w:hint="eastAsia" w:ascii="宋体" w:hAnsi="宋体" w:eastAsia="Times New Roman" w:cs="宋体"/>
                <w:color w:val="auto"/>
                <w:sz w:val="21"/>
                <w:szCs w:val="21"/>
              </w:rPr>
              <w:t>年</w:t>
            </w:r>
          </w:p>
        </w:tc>
        <w:tc>
          <w:tcPr>
            <w:tcW w:w="819" w:type="dxa"/>
            <w:vMerge w:val="continue"/>
            <w:tcBorders>
              <w:top w:val="single" w:color="000000" w:sz="2" w:space="0"/>
              <w:left w:val="nil"/>
              <w:bottom w:val="single" w:color="000000" w:sz="2" w:space="0"/>
              <w:right w:val="single" w:color="000000" w:sz="8" w:space="0"/>
            </w:tcBorders>
            <w:vAlign w:val="center"/>
          </w:tcPr>
          <w:p w14:paraId="20D8D46A">
            <w:pPr>
              <w:widowControl w:val="0"/>
              <w:jc w:val="center"/>
              <w:rPr>
                <w:rFonts w:eastAsia="Times New Roman"/>
                <w:color w:val="auto"/>
                <w:sz w:val="21"/>
                <w:szCs w:val="21"/>
              </w:rPr>
            </w:pPr>
          </w:p>
        </w:tc>
      </w:tr>
      <w:tr w14:paraId="2AB24C9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0" w:hRule="atLeast"/>
        </w:trPr>
        <w:tc>
          <w:tcPr>
            <w:tcW w:w="386" w:type="dxa"/>
            <w:vMerge w:val="continue"/>
            <w:tcBorders>
              <w:top w:val="nil"/>
              <w:left w:val="single" w:color="000000" w:sz="8" w:space="0"/>
              <w:bottom w:val="single" w:color="000000" w:sz="2" w:space="0"/>
              <w:right w:val="single" w:color="000000" w:sz="2" w:space="0"/>
            </w:tcBorders>
            <w:vAlign w:val="center"/>
          </w:tcPr>
          <w:p w14:paraId="4123FFCD">
            <w:pPr>
              <w:widowControl w:val="0"/>
              <w:jc w:val="center"/>
              <w:rPr>
                <w:rFonts w:eastAsia="Times New Roman"/>
                <w:color w:val="auto"/>
                <w:sz w:val="21"/>
                <w:szCs w:val="21"/>
              </w:rPr>
            </w:pPr>
          </w:p>
        </w:tc>
        <w:tc>
          <w:tcPr>
            <w:tcW w:w="1634" w:type="dxa"/>
            <w:tcBorders>
              <w:top w:val="single" w:color="000000" w:sz="2" w:space="0"/>
              <w:left w:val="nil"/>
              <w:bottom w:val="single" w:color="000000" w:sz="2" w:space="0"/>
              <w:right w:val="single" w:color="000000" w:sz="2" w:space="0"/>
            </w:tcBorders>
            <w:vAlign w:val="center"/>
          </w:tcPr>
          <w:p w14:paraId="1D192BE0">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信息公开指标</w:t>
            </w:r>
          </w:p>
        </w:tc>
        <w:tc>
          <w:tcPr>
            <w:tcW w:w="5871" w:type="dxa"/>
            <w:gridSpan w:val="6"/>
            <w:tcBorders>
              <w:top w:val="single" w:color="000000" w:sz="2" w:space="0"/>
              <w:left w:val="nil"/>
              <w:bottom w:val="single" w:color="000000" w:sz="2" w:space="0"/>
              <w:right w:val="single" w:color="000000" w:sz="2" w:space="0"/>
            </w:tcBorders>
            <w:vAlign w:val="center"/>
          </w:tcPr>
          <w:p w14:paraId="69B4E007">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w:t>
            </w:r>
          </w:p>
        </w:tc>
        <w:tc>
          <w:tcPr>
            <w:tcW w:w="819" w:type="dxa"/>
            <w:vMerge w:val="continue"/>
            <w:tcBorders>
              <w:top w:val="single" w:color="000000" w:sz="2" w:space="0"/>
              <w:left w:val="nil"/>
              <w:bottom w:val="single" w:color="000000" w:sz="2" w:space="0"/>
              <w:right w:val="single" w:color="000000" w:sz="8" w:space="0"/>
            </w:tcBorders>
            <w:vAlign w:val="center"/>
          </w:tcPr>
          <w:p w14:paraId="5B035A76">
            <w:pPr>
              <w:widowControl w:val="0"/>
              <w:jc w:val="center"/>
              <w:rPr>
                <w:rFonts w:eastAsia="Times New Roman"/>
                <w:color w:val="auto"/>
                <w:sz w:val="21"/>
                <w:szCs w:val="21"/>
              </w:rPr>
            </w:pPr>
          </w:p>
        </w:tc>
      </w:tr>
      <w:tr w14:paraId="0ABE20A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4" w:hRule="atLeast"/>
        </w:trPr>
        <w:tc>
          <w:tcPr>
            <w:tcW w:w="2020" w:type="dxa"/>
            <w:gridSpan w:val="2"/>
            <w:tcBorders>
              <w:top w:val="single" w:color="000000" w:sz="2" w:space="0"/>
              <w:left w:val="single" w:color="000000" w:sz="8" w:space="0"/>
              <w:bottom w:val="single" w:color="000000" w:sz="2" w:space="0"/>
              <w:right w:val="single" w:color="000000" w:sz="2" w:space="0"/>
            </w:tcBorders>
            <w:vAlign w:val="center"/>
          </w:tcPr>
          <w:p w14:paraId="1532048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评价结论</w:t>
            </w:r>
          </w:p>
        </w:tc>
        <w:tc>
          <w:tcPr>
            <w:tcW w:w="5871" w:type="dxa"/>
            <w:gridSpan w:val="6"/>
            <w:tcBorders>
              <w:top w:val="single" w:color="000000" w:sz="2" w:space="0"/>
              <w:left w:val="nil"/>
              <w:bottom w:val="single" w:color="000000" w:sz="2" w:space="0"/>
              <w:right w:val="single" w:color="000000" w:sz="2" w:space="0"/>
            </w:tcBorders>
            <w:vAlign w:val="center"/>
          </w:tcPr>
          <w:p w14:paraId="3AE421DB">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建设项目对土壤环境影响可以接受</w:t>
            </w:r>
          </w:p>
        </w:tc>
        <w:tc>
          <w:tcPr>
            <w:tcW w:w="819" w:type="dxa"/>
            <w:tcBorders>
              <w:top w:val="single" w:color="000000" w:sz="2" w:space="0"/>
              <w:left w:val="nil"/>
              <w:bottom w:val="single" w:color="000000" w:sz="2" w:space="0"/>
              <w:right w:val="single" w:color="000000" w:sz="8" w:space="0"/>
            </w:tcBorders>
            <w:vAlign w:val="center"/>
          </w:tcPr>
          <w:p w14:paraId="5CF3A998">
            <w:pPr>
              <w:widowControl w:val="0"/>
              <w:spacing w:before="100" w:beforeAutospacing="1" w:line="360" w:lineRule="exact"/>
              <w:jc w:val="center"/>
              <w:rPr>
                <w:rFonts w:eastAsia="Times New Roman"/>
                <w:color w:val="auto"/>
                <w:sz w:val="21"/>
                <w:szCs w:val="21"/>
              </w:rPr>
            </w:pPr>
          </w:p>
        </w:tc>
      </w:tr>
      <w:tr w14:paraId="45CF49E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4" w:hRule="atLeast"/>
        </w:trPr>
        <w:tc>
          <w:tcPr>
            <w:tcW w:w="8710" w:type="dxa"/>
            <w:gridSpan w:val="9"/>
            <w:tcBorders>
              <w:top w:val="single" w:color="000000" w:sz="2" w:space="0"/>
              <w:left w:val="single" w:color="000000" w:sz="8" w:space="0"/>
              <w:bottom w:val="single" w:color="000000" w:sz="8" w:space="0"/>
              <w:right w:val="single" w:color="000000" w:sz="8" w:space="0"/>
            </w:tcBorders>
            <w:vAlign w:val="center"/>
          </w:tcPr>
          <w:p w14:paraId="3AF7B136">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注</w:t>
            </w:r>
            <w:r>
              <w:rPr>
                <w:rFonts w:eastAsia="Times New Roman"/>
                <w:color w:val="auto"/>
                <w:sz w:val="21"/>
                <w:szCs w:val="21"/>
              </w:rPr>
              <w:t>1</w:t>
            </w:r>
            <w:r>
              <w:rPr>
                <w:rFonts w:hint="eastAsia" w:ascii="宋体" w:hAnsi="宋体" w:eastAsia="Times New Roman" w:cs="宋体"/>
                <w:color w:val="auto"/>
                <w:sz w:val="21"/>
                <w:szCs w:val="21"/>
              </w:rPr>
              <w:t>：</w:t>
            </w:r>
            <w:r>
              <w:rPr>
                <w:rFonts w:eastAsia="Times New Roman"/>
                <w:color w:val="auto"/>
                <w:sz w:val="21"/>
                <w:szCs w:val="21"/>
              </w:rPr>
              <w:t>“□”</w:t>
            </w:r>
            <w:r>
              <w:rPr>
                <w:rFonts w:hint="eastAsia" w:ascii="宋体" w:hAnsi="宋体" w:eastAsia="Times New Roman" w:cs="宋体"/>
                <w:color w:val="auto"/>
                <w:sz w:val="21"/>
                <w:szCs w:val="21"/>
              </w:rPr>
              <w:t>为勾选项，可</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w:t>
            </w:r>
            <w:r>
              <w:rPr>
                <w:rFonts w:hint="eastAsia" w:ascii="宋体" w:hAnsi="宋体" w:eastAsia="Times New Roman" w:cs="宋体"/>
                <w:color w:val="auto"/>
                <w:sz w:val="21"/>
                <w:szCs w:val="21"/>
              </w:rPr>
              <w:t>（）</w:t>
            </w:r>
            <w:r>
              <w:rPr>
                <w:rFonts w:eastAsia="Times New Roman"/>
                <w:color w:val="auto"/>
                <w:sz w:val="21"/>
                <w:szCs w:val="21"/>
              </w:rPr>
              <w:t>”</w:t>
            </w:r>
            <w:r>
              <w:rPr>
                <w:rFonts w:hint="eastAsia" w:ascii="宋体" w:hAnsi="宋体" w:eastAsia="Times New Roman" w:cs="宋体"/>
                <w:color w:val="auto"/>
                <w:sz w:val="21"/>
                <w:szCs w:val="21"/>
              </w:rPr>
              <w:t>为内容填写项；</w:t>
            </w:r>
            <w:r>
              <w:rPr>
                <w:rFonts w:eastAsia="Times New Roman"/>
                <w:color w:val="auto"/>
                <w:sz w:val="21"/>
                <w:szCs w:val="21"/>
              </w:rPr>
              <w:t>“</w:t>
            </w:r>
            <w:r>
              <w:rPr>
                <w:rFonts w:hint="eastAsia" w:ascii="宋体" w:hAnsi="宋体" w:eastAsia="Times New Roman" w:cs="宋体"/>
                <w:color w:val="auto"/>
                <w:sz w:val="21"/>
                <w:szCs w:val="21"/>
              </w:rPr>
              <w:t>备注</w:t>
            </w:r>
            <w:r>
              <w:rPr>
                <w:rFonts w:eastAsia="Times New Roman"/>
                <w:color w:val="auto"/>
                <w:sz w:val="21"/>
                <w:szCs w:val="21"/>
              </w:rPr>
              <w:t>”</w:t>
            </w:r>
            <w:r>
              <w:rPr>
                <w:rFonts w:hint="eastAsia" w:ascii="宋体" w:hAnsi="宋体" w:eastAsia="Times New Roman" w:cs="宋体"/>
                <w:color w:val="auto"/>
                <w:sz w:val="21"/>
                <w:szCs w:val="21"/>
              </w:rPr>
              <w:t>为其他补充内容。</w:t>
            </w:r>
          </w:p>
          <w:p w14:paraId="4B5638D6">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注</w:t>
            </w:r>
            <w:r>
              <w:rPr>
                <w:rFonts w:eastAsia="Times New Roman"/>
                <w:color w:val="auto"/>
                <w:sz w:val="21"/>
                <w:szCs w:val="21"/>
              </w:rPr>
              <w:t>2</w:t>
            </w:r>
            <w:r>
              <w:rPr>
                <w:rFonts w:hint="eastAsia" w:ascii="宋体" w:hAnsi="宋体" w:eastAsia="Times New Roman" w:cs="宋体"/>
                <w:color w:val="auto"/>
                <w:sz w:val="21"/>
                <w:szCs w:val="21"/>
              </w:rPr>
              <w:t>：需要分别开展土壤环境影响评价工作的，分别填写自查表。</w:t>
            </w:r>
          </w:p>
        </w:tc>
      </w:tr>
    </w:tbl>
    <w:p w14:paraId="3C51F1F0">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EBB5CAE">
      <w:pPr>
        <w:pStyle w:val="3"/>
        <w:rPr>
          <w:color w:val="auto"/>
        </w:rPr>
      </w:pPr>
      <w:bookmarkStart w:id="325" w:name="_Toc196333715"/>
      <w:bookmarkEnd w:id="325"/>
      <w:bookmarkStart w:id="326" w:name="_Toc229930147"/>
      <w:r>
        <w:rPr>
          <w:rFonts w:hint="eastAsia"/>
          <w:color w:val="auto"/>
        </w:rPr>
        <w:t>运营期声环境影响预测与评价</w:t>
      </w:r>
      <w:bookmarkEnd w:id="326"/>
    </w:p>
    <w:p w14:paraId="64DF468A">
      <w:pPr>
        <w:pStyle w:val="4"/>
        <w:rPr>
          <w:color w:val="auto"/>
        </w:rPr>
      </w:pPr>
      <w:r>
        <w:rPr>
          <w:rFonts w:hint="eastAsia"/>
          <w:color w:val="auto"/>
        </w:rPr>
        <w:t>预测范围</w:t>
      </w:r>
    </w:p>
    <w:p w14:paraId="64A21956">
      <w:pPr>
        <w:pStyle w:val="132"/>
        <w:rPr>
          <w:color w:val="auto"/>
        </w:rPr>
      </w:pPr>
      <w:r>
        <w:rPr>
          <w:rFonts w:hint="eastAsia"/>
          <w:color w:val="auto"/>
        </w:rPr>
        <w:t>项目位于乌鲁木齐甘泉堡经济技术开发区（工业区），项目所处的声环境功能区为《声环境质量标准》（GB 3096）规定的3类区；厂界200m范围内无声环境敏感目标，建设项目建设前后受影响人口数量变化不大，根据《环境影响评价技术导则声环境》（HJ 2.4-2021）的规定，建设项目声环境评价等级为三级。</w:t>
      </w:r>
    </w:p>
    <w:p w14:paraId="39B2E616">
      <w:pPr>
        <w:pStyle w:val="132"/>
        <w:rPr>
          <w:color w:val="auto"/>
        </w:rPr>
      </w:pPr>
      <w:r>
        <w:rPr>
          <w:rFonts w:hint="eastAsia"/>
          <w:color w:val="auto"/>
        </w:rPr>
        <w:t>故本项目预测范围即为评价范围，即厂界向外200m范围内。</w:t>
      </w:r>
    </w:p>
    <w:p w14:paraId="1F31BEC6">
      <w:pPr>
        <w:pStyle w:val="4"/>
        <w:rPr>
          <w:color w:val="auto"/>
        </w:rPr>
      </w:pPr>
      <w:r>
        <w:rPr>
          <w:rFonts w:hint="eastAsia"/>
          <w:color w:val="auto"/>
        </w:rPr>
        <w:t>评价标准</w:t>
      </w:r>
    </w:p>
    <w:p w14:paraId="5270712B">
      <w:pPr>
        <w:pStyle w:val="132"/>
        <w:rPr>
          <w:color w:val="auto"/>
        </w:rPr>
      </w:pPr>
      <w:r>
        <w:rPr>
          <w:rFonts w:hint="eastAsia"/>
          <w:color w:val="auto"/>
        </w:rPr>
        <w:t>项目厂区的声功能区划属于《声环境质量标准》（GB3096-2008）的“3类区”，厂界噪声排放标准应执行《工业企业厂界环境噪声排放标准》（GB12348-2008）中的3类标准限值的要求，即昼间65dB(A)，夜间55dB(A)。</w:t>
      </w:r>
    </w:p>
    <w:p w14:paraId="3EB26426">
      <w:pPr>
        <w:pStyle w:val="4"/>
        <w:rPr>
          <w:color w:val="auto"/>
        </w:rPr>
      </w:pPr>
      <w:r>
        <w:rPr>
          <w:rFonts w:hint="eastAsia"/>
          <w:color w:val="auto"/>
        </w:rPr>
        <w:t>预测时段及预测点</w:t>
      </w:r>
    </w:p>
    <w:p w14:paraId="5CB8E45D">
      <w:pPr>
        <w:pStyle w:val="132"/>
        <w:rPr>
          <w:color w:val="auto"/>
        </w:rPr>
      </w:pPr>
      <w:r>
        <w:rPr>
          <w:rFonts w:hint="eastAsia"/>
          <w:color w:val="auto"/>
        </w:rPr>
        <w:t>项目厂界周围200m范围内无声环境敏感目标，因此，本次评价主要预测厂界外1m处噪声贡献值，预测时段为昼间和夜间。</w:t>
      </w:r>
    </w:p>
    <w:p w14:paraId="3C1DA677">
      <w:pPr>
        <w:pStyle w:val="4"/>
        <w:rPr>
          <w:color w:val="auto"/>
        </w:rPr>
      </w:pPr>
      <w:r>
        <w:rPr>
          <w:rFonts w:hint="eastAsia"/>
          <w:color w:val="auto"/>
        </w:rPr>
        <w:t>预测模型</w:t>
      </w:r>
    </w:p>
    <w:p w14:paraId="58880589">
      <w:pPr>
        <w:pStyle w:val="132"/>
        <w:rPr>
          <w:color w:val="auto"/>
        </w:rPr>
      </w:pPr>
      <w:r>
        <w:rPr>
          <w:rFonts w:hint="eastAsia"/>
          <w:color w:val="auto"/>
        </w:rPr>
        <w:t>根据项目建设内容及《环境影响评价技术导则 声环境》（HJ 2.4-2021）的要求，项目环评采用的模型为《环境影响评价技术导则 声环境》（HJ 2.4-2021）附录A（规范性附录）户外声传播的衰减和附录B（规范性附录）中“B.1工业噪声预测计算模型”。</w:t>
      </w:r>
    </w:p>
    <w:p w14:paraId="75493E98">
      <w:pPr>
        <w:pStyle w:val="4"/>
        <w:rPr>
          <w:color w:val="auto"/>
        </w:rPr>
      </w:pPr>
      <w:r>
        <w:rPr>
          <w:rFonts w:hint="eastAsia"/>
          <w:color w:val="auto"/>
        </w:rPr>
        <w:t>评价方法</w:t>
      </w:r>
    </w:p>
    <w:p w14:paraId="15F347A8">
      <w:pPr>
        <w:pStyle w:val="132"/>
        <w:rPr>
          <w:color w:val="auto"/>
        </w:rPr>
      </w:pPr>
      <w:r>
        <w:rPr>
          <w:rFonts w:hint="eastAsia"/>
          <w:color w:val="auto"/>
        </w:rPr>
        <w:t>（1）室内声源等效室外声源声功率级计算方法</w:t>
      </w:r>
    </w:p>
    <w:p w14:paraId="3110A404">
      <w:pPr>
        <w:pStyle w:val="132"/>
        <w:rPr>
          <w:color w:val="auto"/>
        </w:rPr>
      </w:pPr>
      <w:r>
        <w:rPr>
          <w:color w:val="auto"/>
        </w:rPr>
        <w:t>声源位于室内，室内声源可采用等效室外声源声功率级法进行计算。设靠近开口处（或窗户）室内、室外某倍频带的声压级分别为L</w:t>
      </w:r>
      <w:r>
        <w:rPr>
          <w:color w:val="auto"/>
          <w:vertAlign w:val="subscript"/>
        </w:rPr>
        <w:t>p1</w:t>
      </w:r>
      <w:r>
        <w:rPr>
          <w:color w:val="auto"/>
        </w:rPr>
        <w:t>和L</w:t>
      </w:r>
      <w:r>
        <w:rPr>
          <w:color w:val="auto"/>
          <w:vertAlign w:val="subscript"/>
        </w:rPr>
        <w:t>p2</w:t>
      </w:r>
      <w:r>
        <w:rPr>
          <w:color w:val="auto"/>
        </w:rPr>
        <w:t>。若声源所在室内声场为近似扩散声场，按下列公式计算出靠近室外围护结构处的声压级：</w:t>
      </w:r>
    </w:p>
    <w:p w14:paraId="6670F8D4">
      <w:pPr>
        <w:spacing w:before="156" w:beforeLines="50" w:after="100" w:afterAutospacing="1"/>
        <w:jc w:val="center"/>
        <w:rPr>
          <w:rFonts w:eastAsia="黑体"/>
          <w:color w:val="auto"/>
          <w:sz w:val="23"/>
          <w:szCs w:val="23"/>
        </w:rPr>
      </w:pPr>
      <w:r>
        <w:rPr>
          <w:rFonts w:eastAsia="黑体"/>
          <w:color w:val="auto"/>
          <w:sz w:val="23"/>
          <w:szCs w:val="23"/>
        </w:rPr>
        <w:drawing>
          <wp:inline distT="0" distB="0" distL="0" distR="0">
            <wp:extent cx="1405890" cy="250190"/>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05890" cy="250190"/>
                    </a:xfrm>
                    <a:prstGeom prst="rect">
                      <a:avLst/>
                    </a:prstGeom>
                    <a:noFill/>
                    <a:ln>
                      <a:noFill/>
                    </a:ln>
                  </pic:spPr>
                </pic:pic>
              </a:graphicData>
            </a:graphic>
          </wp:inline>
        </w:drawing>
      </w:r>
      <w:r>
        <w:rPr>
          <w:rFonts w:eastAsia="黑体"/>
          <w:color w:val="auto"/>
          <w:sz w:val="23"/>
          <w:szCs w:val="23"/>
        </w:rPr>
        <w:t xml:space="preserve"> </w:t>
      </w:r>
    </w:p>
    <w:p w14:paraId="1706D2E1">
      <w:pPr>
        <w:pStyle w:val="132"/>
        <w:rPr>
          <w:color w:val="auto"/>
        </w:rPr>
      </w:pPr>
      <w:r>
        <w:rPr>
          <w:rFonts w:hint="eastAsia"/>
          <w:color w:val="auto"/>
        </w:rPr>
        <w:t>式中：</w:t>
      </w:r>
    </w:p>
    <w:p w14:paraId="7BD4D0DC">
      <w:pPr>
        <w:pStyle w:val="132"/>
        <w:rPr>
          <w:color w:val="auto"/>
        </w:rPr>
      </w:pPr>
      <w:r>
        <w:rPr>
          <w:rFonts w:hint="eastAsia"/>
          <w:color w:val="auto"/>
        </w:rPr>
        <w:t>L</w:t>
      </w:r>
      <w:r>
        <w:rPr>
          <w:rFonts w:hint="eastAsia"/>
          <w:color w:val="auto"/>
          <w:vertAlign w:val="subscript"/>
        </w:rPr>
        <w:t>P1</w:t>
      </w:r>
      <w:r>
        <w:rPr>
          <w:rFonts w:hint="eastAsia"/>
          <w:color w:val="auto"/>
        </w:rPr>
        <w:t>—靠近开口处（或窗户）室内某倍频带的声压级或A声级，dB；</w:t>
      </w:r>
    </w:p>
    <w:p w14:paraId="2E5D80EF">
      <w:pPr>
        <w:pStyle w:val="132"/>
        <w:rPr>
          <w:color w:val="auto"/>
        </w:rPr>
      </w:pPr>
      <w:r>
        <w:rPr>
          <w:rFonts w:hint="eastAsia"/>
          <w:color w:val="auto"/>
        </w:rPr>
        <w:t>L</w:t>
      </w:r>
      <w:r>
        <w:rPr>
          <w:rFonts w:hint="eastAsia"/>
          <w:color w:val="auto"/>
          <w:vertAlign w:val="subscript"/>
        </w:rPr>
        <w:t>P2</w:t>
      </w:r>
      <w:r>
        <w:rPr>
          <w:rFonts w:hint="eastAsia"/>
          <w:color w:val="auto"/>
        </w:rPr>
        <w:t>—靠近开口处（或窗户）室外某倍频带的声压级或A声级，dB；</w:t>
      </w:r>
    </w:p>
    <w:p w14:paraId="542811C9">
      <w:pPr>
        <w:pStyle w:val="132"/>
        <w:rPr>
          <w:color w:val="auto"/>
        </w:rPr>
      </w:pPr>
      <w:r>
        <w:rPr>
          <w:rFonts w:hint="eastAsia"/>
          <w:color w:val="auto"/>
        </w:rPr>
        <w:t>T</w:t>
      </w:r>
      <w:r>
        <w:rPr>
          <w:rFonts w:hint="eastAsia"/>
          <w:color w:val="auto"/>
          <w:vertAlign w:val="subscript"/>
        </w:rPr>
        <w:t>L</w:t>
      </w:r>
      <w:r>
        <w:rPr>
          <w:rFonts w:hint="eastAsia"/>
          <w:color w:val="auto"/>
        </w:rPr>
        <w:t>—隔墙（或窗户）倍频带或A声级的隔声量，dB。然后按下列公式将室外声源的声压级和透过面积换算成等效的室外声源，计算出中心位置位于透声面积（S）处的等效声源的倍频带声功率级。</w:t>
      </w:r>
    </w:p>
    <w:p w14:paraId="203F385E">
      <w:pPr>
        <w:pStyle w:val="132"/>
        <w:rPr>
          <w:color w:val="auto"/>
        </w:rPr>
      </w:pPr>
      <w:r>
        <w:rPr>
          <w:color w:val="auto"/>
        </w:rPr>
        <w:t>然后按下列公式将室外声源的声压级和透过面积换算成等效的室外声源，计算出中心位置位于透声面积（S）处的等效声源的倍频带声功率级。</w:t>
      </w:r>
    </w:p>
    <w:p w14:paraId="34623AA7">
      <w:pPr>
        <w:pStyle w:val="132"/>
        <w:ind w:firstLine="460"/>
        <w:rPr>
          <w:rFonts w:eastAsia="黑体"/>
          <w:color w:val="auto"/>
          <w:sz w:val="23"/>
          <w:szCs w:val="23"/>
        </w:rPr>
      </w:pPr>
      <w:r>
        <w:rPr>
          <w:rFonts w:eastAsia="黑体"/>
          <w:color w:val="auto"/>
          <w:sz w:val="23"/>
          <w:szCs w:val="23"/>
        </w:rPr>
        <w:drawing>
          <wp:inline distT="0" distB="0" distL="0" distR="0">
            <wp:extent cx="1440815" cy="259080"/>
            <wp:effectExtent l="0" t="0" r="698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440815" cy="259080"/>
                    </a:xfrm>
                    <a:prstGeom prst="rect">
                      <a:avLst/>
                    </a:prstGeom>
                    <a:noFill/>
                    <a:ln>
                      <a:noFill/>
                    </a:ln>
                  </pic:spPr>
                </pic:pic>
              </a:graphicData>
            </a:graphic>
          </wp:inline>
        </w:drawing>
      </w:r>
      <w:r>
        <w:rPr>
          <w:rFonts w:eastAsia="黑体"/>
          <w:color w:val="auto"/>
          <w:sz w:val="23"/>
          <w:szCs w:val="23"/>
        </w:rPr>
        <w:t xml:space="preserve"> </w:t>
      </w:r>
    </w:p>
    <w:p w14:paraId="3770DD9A">
      <w:pPr>
        <w:pStyle w:val="132"/>
        <w:rPr>
          <w:color w:val="auto"/>
        </w:rPr>
      </w:pPr>
      <w:r>
        <w:rPr>
          <w:rFonts w:hint="eastAsia"/>
          <w:color w:val="auto"/>
        </w:rPr>
        <w:t>式中：</w:t>
      </w:r>
    </w:p>
    <w:p w14:paraId="7FF23AFA">
      <w:pPr>
        <w:pStyle w:val="132"/>
        <w:rPr>
          <w:color w:val="auto"/>
        </w:rPr>
      </w:pPr>
      <w:r>
        <w:rPr>
          <w:rFonts w:hint="eastAsia"/>
          <w:color w:val="auto"/>
        </w:rPr>
        <w:t>L</w:t>
      </w:r>
      <w:r>
        <w:rPr>
          <w:rFonts w:hint="eastAsia"/>
          <w:color w:val="auto"/>
          <w:vertAlign w:val="subscript"/>
        </w:rPr>
        <w:t>w</w:t>
      </w:r>
      <w:r>
        <w:rPr>
          <w:rFonts w:hint="eastAsia"/>
          <w:color w:val="auto"/>
        </w:rPr>
        <w:t>—中心位置位于透声面积（S）处的等效声源的倍频带声功率级，dB；</w:t>
      </w:r>
    </w:p>
    <w:p w14:paraId="0ACD8774">
      <w:pPr>
        <w:pStyle w:val="132"/>
        <w:rPr>
          <w:color w:val="auto"/>
        </w:rPr>
      </w:pPr>
      <w:r>
        <w:rPr>
          <w:rFonts w:hint="eastAsia"/>
          <w:color w:val="auto"/>
        </w:rPr>
        <w:t>L</w:t>
      </w:r>
      <w:r>
        <w:rPr>
          <w:rFonts w:hint="eastAsia"/>
          <w:color w:val="auto"/>
          <w:vertAlign w:val="subscript"/>
        </w:rPr>
        <w:t>p2</w:t>
      </w:r>
      <w:r>
        <w:rPr>
          <w:rFonts w:hint="eastAsia"/>
          <w:color w:val="auto"/>
        </w:rPr>
        <w:t>(T)—靠近围护结构处室外声源的声压级，dB；</w:t>
      </w:r>
    </w:p>
    <w:p w14:paraId="09D21FB9">
      <w:pPr>
        <w:pStyle w:val="132"/>
        <w:rPr>
          <w:color w:val="auto"/>
        </w:rPr>
      </w:pPr>
      <w:r>
        <w:rPr>
          <w:rFonts w:hint="eastAsia"/>
          <w:color w:val="auto"/>
        </w:rPr>
        <w:t>S—透声面积，m</w:t>
      </w:r>
      <w:r>
        <w:rPr>
          <w:rFonts w:hint="eastAsia"/>
          <w:color w:val="auto"/>
          <w:vertAlign w:val="superscript"/>
        </w:rPr>
        <w:t>2</w:t>
      </w:r>
      <w:r>
        <w:rPr>
          <w:rFonts w:hint="eastAsia"/>
          <w:color w:val="auto"/>
        </w:rPr>
        <w:t>。</w:t>
      </w:r>
    </w:p>
    <w:p w14:paraId="5D17A09F">
      <w:pPr>
        <w:pStyle w:val="132"/>
        <w:rPr>
          <w:color w:val="auto"/>
        </w:rPr>
      </w:pPr>
      <w:r>
        <w:rPr>
          <w:color w:val="auto"/>
        </w:rPr>
        <w:t>然后按室外声源预测方法计算预测点处的A声级。</w:t>
      </w:r>
    </w:p>
    <w:p w14:paraId="6E79D83D">
      <w:pPr>
        <w:pStyle w:val="132"/>
        <w:rPr>
          <w:color w:val="auto"/>
        </w:rPr>
      </w:pPr>
      <w:r>
        <w:rPr>
          <w:rFonts w:hint="eastAsia"/>
          <w:color w:val="auto"/>
        </w:rPr>
        <w:t>（2）噪声户传播衰减的计算</w:t>
      </w:r>
    </w:p>
    <w:p w14:paraId="53698C41">
      <w:pPr>
        <w:pStyle w:val="132"/>
        <w:rPr>
          <w:color w:val="auto"/>
          <w:kern w:val="2"/>
          <w:shd w:val="clear" w:color="auto" w:fill="FFFFFF"/>
        </w:rPr>
      </w:pPr>
      <w:r>
        <w:rPr>
          <w:color w:val="auto"/>
          <w:kern w:val="2"/>
          <w:shd w:val="clear" w:color="auto" w:fill="FFFFFF"/>
        </w:rPr>
        <w:t>A</w:t>
      </w:r>
      <w:r>
        <w:rPr>
          <w:rFonts w:hint="eastAsia"/>
          <w:color w:val="auto"/>
          <w:kern w:val="2"/>
          <w:shd w:val="clear" w:color="auto" w:fill="FFFFFF"/>
        </w:rPr>
        <w:t>声级的计算公式为：</w:t>
      </w:r>
    </w:p>
    <w:p w14:paraId="13366944">
      <w:pPr>
        <w:pStyle w:val="132"/>
        <w:rPr>
          <w:color w:val="auto"/>
          <w:kern w:val="2"/>
          <w:shd w:val="clear" w:color="auto" w:fill="FFFFFF"/>
        </w:rPr>
      </w:pPr>
      <w:r>
        <w:rPr>
          <w:color w:val="auto"/>
          <w:kern w:val="2"/>
          <w:shd w:val="clear" w:color="auto" w:fill="FFFFFF"/>
        </w:rPr>
        <w:t>L</w:t>
      </w:r>
      <w:r>
        <w:rPr>
          <w:color w:val="auto"/>
          <w:kern w:val="2"/>
          <w:shd w:val="clear" w:color="auto" w:fill="FFFFFF"/>
          <w:vertAlign w:val="subscript"/>
        </w:rPr>
        <w:t>p</w:t>
      </w:r>
      <w:r>
        <w:rPr>
          <w:color w:val="auto"/>
          <w:kern w:val="2"/>
          <w:shd w:val="clear" w:color="auto" w:fill="FFFFFF"/>
        </w:rPr>
        <w:t>(r)=L</w:t>
      </w:r>
      <w:r>
        <w:rPr>
          <w:color w:val="auto"/>
          <w:kern w:val="2"/>
          <w:shd w:val="clear" w:color="auto" w:fill="FFFFFF"/>
          <w:vertAlign w:val="subscript"/>
        </w:rPr>
        <w:t>p(</w:t>
      </w:r>
      <w:r>
        <w:rPr>
          <w:color w:val="auto"/>
          <w:kern w:val="2"/>
          <w:shd w:val="clear" w:color="auto" w:fill="FFFFFF"/>
        </w:rPr>
        <w:t>r</w:t>
      </w:r>
      <w:r>
        <w:rPr>
          <w:color w:val="auto"/>
          <w:kern w:val="2"/>
          <w:shd w:val="clear" w:color="auto" w:fill="FFFFFF"/>
          <w:vertAlign w:val="subscript"/>
        </w:rPr>
        <w:t>0</w:t>
      </w:r>
      <w:r>
        <w:rPr>
          <w:color w:val="auto"/>
          <w:kern w:val="2"/>
          <w:shd w:val="clear" w:color="auto" w:fill="FFFFFF"/>
        </w:rPr>
        <w:t>)+D</w:t>
      </w:r>
      <w:r>
        <w:rPr>
          <w:color w:val="auto"/>
          <w:kern w:val="2"/>
          <w:shd w:val="clear" w:color="auto" w:fill="FFFFFF"/>
          <w:vertAlign w:val="subscript"/>
        </w:rPr>
        <w:t>c</w:t>
      </w:r>
      <w:r>
        <w:rPr>
          <w:color w:val="auto"/>
          <w:kern w:val="2"/>
          <w:shd w:val="clear" w:color="auto" w:fill="FFFFFF"/>
        </w:rPr>
        <w:t>-(A</w:t>
      </w:r>
      <w:r>
        <w:rPr>
          <w:color w:val="auto"/>
          <w:kern w:val="2"/>
          <w:shd w:val="clear" w:color="auto" w:fill="FFFFFF"/>
          <w:vertAlign w:val="subscript"/>
        </w:rPr>
        <w:t>div</w:t>
      </w:r>
      <w:r>
        <w:rPr>
          <w:color w:val="auto"/>
          <w:kern w:val="2"/>
          <w:shd w:val="clear" w:color="auto" w:fill="FFFFFF"/>
        </w:rPr>
        <w:t>+A</w:t>
      </w:r>
      <w:r>
        <w:rPr>
          <w:color w:val="auto"/>
          <w:kern w:val="2"/>
          <w:shd w:val="clear" w:color="auto" w:fill="FFFFFF"/>
          <w:vertAlign w:val="subscript"/>
        </w:rPr>
        <w:t>atm</w:t>
      </w:r>
      <w:r>
        <w:rPr>
          <w:color w:val="auto"/>
          <w:kern w:val="2"/>
          <w:shd w:val="clear" w:color="auto" w:fill="FFFFFF"/>
        </w:rPr>
        <w:t>+A</w:t>
      </w:r>
      <w:r>
        <w:rPr>
          <w:color w:val="auto"/>
          <w:kern w:val="2"/>
          <w:shd w:val="clear" w:color="auto" w:fill="FFFFFF"/>
          <w:vertAlign w:val="subscript"/>
        </w:rPr>
        <w:t>gr</w:t>
      </w:r>
      <w:r>
        <w:rPr>
          <w:color w:val="auto"/>
          <w:kern w:val="2"/>
          <w:shd w:val="clear" w:color="auto" w:fill="FFFFFF"/>
        </w:rPr>
        <w:t>+A</w:t>
      </w:r>
      <w:r>
        <w:rPr>
          <w:color w:val="auto"/>
          <w:kern w:val="2"/>
          <w:shd w:val="clear" w:color="auto" w:fill="FFFFFF"/>
          <w:vertAlign w:val="subscript"/>
        </w:rPr>
        <w:t>bar</w:t>
      </w:r>
      <w:r>
        <w:rPr>
          <w:color w:val="auto"/>
          <w:kern w:val="2"/>
          <w:shd w:val="clear" w:color="auto" w:fill="FFFFFF"/>
        </w:rPr>
        <w:t>+A</w:t>
      </w:r>
      <w:r>
        <w:rPr>
          <w:color w:val="auto"/>
          <w:kern w:val="2"/>
          <w:shd w:val="clear" w:color="auto" w:fill="FFFFFF"/>
          <w:vertAlign w:val="subscript"/>
        </w:rPr>
        <w:t>misc</w:t>
      </w:r>
      <w:r>
        <w:rPr>
          <w:color w:val="auto"/>
          <w:kern w:val="2"/>
          <w:shd w:val="clear" w:color="auto" w:fill="FFFFFF"/>
        </w:rPr>
        <w:t>)</w:t>
      </w:r>
    </w:p>
    <w:p w14:paraId="29710C67">
      <w:pPr>
        <w:pStyle w:val="132"/>
        <w:rPr>
          <w:color w:val="auto"/>
        </w:rPr>
      </w:pPr>
      <w:r>
        <w:rPr>
          <w:rFonts w:hint="eastAsia"/>
          <w:color w:val="auto"/>
        </w:rPr>
        <w:t>其中：</w:t>
      </w:r>
    </w:p>
    <w:p w14:paraId="70F595D2">
      <w:pPr>
        <w:pStyle w:val="132"/>
        <w:rPr>
          <w:color w:val="auto"/>
        </w:rPr>
      </w:pPr>
      <w:r>
        <w:rPr>
          <w:rFonts w:hint="eastAsia"/>
          <w:color w:val="auto"/>
        </w:rPr>
        <w:t>L</w:t>
      </w:r>
      <w:r>
        <w:rPr>
          <w:rFonts w:hint="eastAsia"/>
          <w:color w:val="auto"/>
          <w:vertAlign w:val="subscript"/>
        </w:rPr>
        <w:t>p</w:t>
      </w:r>
      <w:r>
        <w:rPr>
          <w:rFonts w:hint="eastAsia"/>
          <w:color w:val="auto"/>
        </w:rPr>
        <w:t>（r）—距声源r处的声压级，dB；</w:t>
      </w:r>
    </w:p>
    <w:p w14:paraId="1881814B">
      <w:pPr>
        <w:pStyle w:val="132"/>
        <w:rPr>
          <w:color w:val="auto"/>
        </w:rPr>
      </w:pPr>
      <w:r>
        <w:rPr>
          <w:rFonts w:hint="eastAsia"/>
          <w:color w:val="auto"/>
        </w:rPr>
        <w:t>L</w:t>
      </w:r>
      <w:r>
        <w:rPr>
          <w:rFonts w:hint="eastAsia"/>
          <w:color w:val="auto"/>
          <w:vertAlign w:val="subscript"/>
        </w:rPr>
        <w:t>p</w:t>
      </w:r>
      <w:r>
        <w:rPr>
          <w:rFonts w:hint="eastAsia"/>
          <w:color w:val="auto"/>
        </w:rPr>
        <w:t>（r</w:t>
      </w:r>
      <w:r>
        <w:rPr>
          <w:rFonts w:hint="eastAsia"/>
          <w:color w:val="auto"/>
          <w:vertAlign w:val="subscript"/>
        </w:rPr>
        <w:t>0</w:t>
      </w:r>
      <w:r>
        <w:rPr>
          <w:rFonts w:hint="eastAsia"/>
          <w:color w:val="auto"/>
        </w:rPr>
        <w:t>）—参考位置r0处的声压级，dB；</w:t>
      </w:r>
    </w:p>
    <w:p w14:paraId="3B49D238">
      <w:pPr>
        <w:pStyle w:val="132"/>
        <w:rPr>
          <w:color w:val="auto"/>
        </w:rPr>
      </w:pPr>
      <w:r>
        <w:rPr>
          <w:rFonts w:hint="eastAsia"/>
          <w:color w:val="auto"/>
        </w:rPr>
        <w:t>D</w:t>
      </w:r>
      <w:r>
        <w:rPr>
          <w:rFonts w:hint="eastAsia"/>
          <w:color w:val="auto"/>
          <w:vertAlign w:val="subscript"/>
        </w:rPr>
        <w:t>C</w:t>
      </w:r>
      <w:r>
        <w:rPr>
          <w:rFonts w:hint="eastAsia"/>
          <w:color w:val="auto"/>
        </w:rPr>
        <w:t>—指向性校正，它描述点声源的等效连续声压级与产生声功率级Lw的全向点声源在规定方向的声级的偏差程度，dB；</w:t>
      </w:r>
    </w:p>
    <w:p w14:paraId="1A127C1F">
      <w:pPr>
        <w:pStyle w:val="132"/>
        <w:rPr>
          <w:color w:val="auto"/>
        </w:rPr>
      </w:pPr>
      <w:r>
        <w:rPr>
          <w:rFonts w:hint="eastAsia"/>
          <w:color w:val="auto"/>
        </w:rPr>
        <w:t>A</w:t>
      </w:r>
      <w:r>
        <w:rPr>
          <w:rFonts w:hint="eastAsia"/>
          <w:color w:val="auto"/>
          <w:vertAlign w:val="subscript"/>
        </w:rPr>
        <w:t>div</w:t>
      </w:r>
      <w:r>
        <w:rPr>
          <w:rFonts w:hint="eastAsia"/>
          <w:color w:val="auto"/>
        </w:rPr>
        <w:t>—几何发散引起的衰减，dB；</w:t>
      </w:r>
    </w:p>
    <w:p w14:paraId="52307991">
      <w:pPr>
        <w:pStyle w:val="132"/>
        <w:rPr>
          <w:color w:val="auto"/>
        </w:rPr>
      </w:pPr>
      <w:r>
        <w:rPr>
          <w:rFonts w:hint="eastAsia"/>
          <w:color w:val="auto"/>
        </w:rPr>
        <w:t>A</w:t>
      </w:r>
      <w:r>
        <w:rPr>
          <w:rFonts w:hint="eastAsia"/>
          <w:color w:val="auto"/>
          <w:vertAlign w:val="subscript"/>
        </w:rPr>
        <w:t>atm</w:t>
      </w:r>
      <w:r>
        <w:rPr>
          <w:rFonts w:hint="eastAsia"/>
          <w:color w:val="auto"/>
        </w:rPr>
        <w:t>—大气吸收引起的衰减，dB；</w:t>
      </w:r>
    </w:p>
    <w:p w14:paraId="28B49462">
      <w:pPr>
        <w:pStyle w:val="132"/>
        <w:rPr>
          <w:color w:val="auto"/>
        </w:rPr>
      </w:pPr>
      <w:r>
        <w:rPr>
          <w:rFonts w:hint="eastAsia"/>
          <w:color w:val="auto"/>
        </w:rPr>
        <w:t>A</w:t>
      </w:r>
      <w:r>
        <w:rPr>
          <w:rFonts w:hint="eastAsia"/>
          <w:color w:val="auto"/>
          <w:vertAlign w:val="subscript"/>
        </w:rPr>
        <w:t>gr</w:t>
      </w:r>
      <w:r>
        <w:rPr>
          <w:rFonts w:hint="eastAsia"/>
          <w:color w:val="auto"/>
        </w:rPr>
        <w:t>—地面效应引起的衰减，dB；</w:t>
      </w:r>
    </w:p>
    <w:p w14:paraId="32AD2BE0">
      <w:pPr>
        <w:pStyle w:val="132"/>
        <w:rPr>
          <w:color w:val="auto"/>
        </w:rPr>
      </w:pPr>
      <w:r>
        <w:rPr>
          <w:rFonts w:hint="eastAsia"/>
          <w:color w:val="auto"/>
        </w:rPr>
        <w:t>A</w:t>
      </w:r>
      <w:r>
        <w:rPr>
          <w:rFonts w:hint="eastAsia"/>
          <w:color w:val="auto"/>
          <w:vertAlign w:val="subscript"/>
        </w:rPr>
        <w:t>bar</w:t>
      </w:r>
      <w:r>
        <w:rPr>
          <w:rFonts w:hint="eastAsia"/>
          <w:color w:val="auto"/>
        </w:rPr>
        <w:t>—障碍物屏蔽引起的衰减，dB；</w:t>
      </w:r>
    </w:p>
    <w:p w14:paraId="3878F3A9">
      <w:pPr>
        <w:pStyle w:val="132"/>
        <w:rPr>
          <w:color w:val="auto"/>
        </w:rPr>
      </w:pPr>
      <w:r>
        <w:rPr>
          <w:rFonts w:hint="eastAsia"/>
          <w:color w:val="auto"/>
        </w:rPr>
        <w:t>A</w:t>
      </w:r>
      <w:r>
        <w:rPr>
          <w:rFonts w:hint="eastAsia"/>
          <w:color w:val="auto"/>
          <w:vertAlign w:val="subscript"/>
        </w:rPr>
        <w:t>misc</w:t>
      </w:r>
      <w:r>
        <w:rPr>
          <w:rFonts w:hint="eastAsia"/>
          <w:color w:val="auto"/>
        </w:rPr>
        <w:t>—其他多方面效应引起的衰减，dB</w:t>
      </w:r>
      <w:r>
        <w:rPr>
          <w:color w:val="auto"/>
        </w:rPr>
        <w:t>。</w:t>
      </w:r>
    </w:p>
    <w:p w14:paraId="13287895">
      <w:pPr>
        <w:pStyle w:val="132"/>
        <w:rPr>
          <w:color w:val="auto"/>
        </w:rPr>
      </w:pPr>
      <w:r>
        <w:rPr>
          <w:rFonts w:hint="eastAsia"/>
          <w:color w:val="auto"/>
        </w:rPr>
        <w:t>根据现场调查，项目所在地地势较为平坦开阔，周边植被较少，预测点主要集中在厂界外1m处，故本次评价不考虑A</w:t>
      </w:r>
      <w:r>
        <w:rPr>
          <w:rFonts w:hint="eastAsia"/>
          <w:color w:val="auto"/>
          <w:vertAlign w:val="subscript"/>
        </w:rPr>
        <w:t>gr</w:t>
      </w:r>
      <w:r>
        <w:rPr>
          <w:rFonts w:hint="eastAsia"/>
          <w:color w:val="auto"/>
        </w:rPr>
        <w:t>、A</w:t>
      </w:r>
      <w:r>
        <w:rPr>
          <w:rFonts w:hint="eastAsia"/>
          <w:color w:val="auto"/>
          <w:vertAlign w:val="subscript"/>
        </w:rPr>
        <w:t>atm</w:t>
      </w:r>
      <w:r>
        <w:rPr>
          <w:rFonts w:hint="eastAsia"/>
          <w:color w:val="auto"/>
        </w:rPr>
        <w:t>、A</w:t>
      </w:r>
      <w:r>
        <w:rPr>
          <w:rFonts w:hint="eastAsia"/>
          <w:color w:val="auto"/>
          <w:vertAlign w:val="subscript"/>
        </w:rPr>
        <w:t>misc</w:t>
      </w:r>
      <w:r>
        <w:rPr>
          <w:rFonts w:hint="eastAsia"/>
          <w:color w:val="auto"/>
        </w:rPr>
        <w:t>。</w:t>
      </w:r>
    </w:p>
    <w:p w14:paraId="12A6ABF9">
      <w:pPr>
        <w:pStyle w:val="132"/>
        <w:rPr>
          <w:color w:val="auto"/>
        </w:rPr>
      </w:pPr>
      <w:r>
        <w:rPr>
          <w:rFonts w:hint="eastAsia"/>
          <w:color w:val="auto"/>
        </w:rPr>
        <w:t>1）室外点声源的几何发散衰减（A</w:t>
      </w:r>
      <w:r>
        <w:rPr>
          <w:rFonts w:hint="eastAsia"/>
          <w:color w:val="auto"/>
          <w:vertAlign w:val="subscript"/>
        </w:rPr>
        <w:t>diV</w:t>
      </w:r>
      <w:r>
        <w:rPr>
          <w:rFonts w:hint="eastAsia"/>
          <w:color w:val="auto"/>
        </w:rPr>
        <w:t>）</w:t>
      </w:r>
    </w:p>
    <w:p w14:paraId="1F2019A5">
      <w:pPr>
        <w:pStyle w:val="132"/>
        <w:rPr>
          <w:color w:val="auto"/>
        </w:rPr>
      </w:pPr>
      <w:r>
        <w:rPr>
          <w:rFonts w:hint="eastAsia"/>
          <w:color w:val="auto"/>
        </w:rPr>
        <w:t>假定项目声源位于地面时的声场为半自由声场，则：</w:t>
      </w:r>
    </w:p>
    <w:p w14:paraId="2D848C89">
      <w:pPr>
        <w:pStyle w:val="132"/>
        <w:rPr>
          <w:color w:val="auto"/>
          <w:shd w:val="clear" w:color="auto" w:fill="FFFFFF"/>
        </w:rPr>
      </w:pPr>
      <w:r>
        <w:rPr>
          <w:color w:val="auto"/>
        </w:rPr>
        <w:drawing>
          <wp:inline distT="0" distB="0" distL="0" distR="0">
            <wp:extent cx="1457960" cy="259080"/>
            <wp:effectExtent l="0" t="0" r="889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457960" cy="259080"/>
                    </a:xfrm>
                    <a:prstGeom prst="rect">
                      <a:avLst/>
                    </a:prstGeom>
                    <a:noFill/>
                    <a:ln>
                      <a:noFill/>
                    </a:ln>
                  </pic:spPr>
                </pic:pic>
              </a:graphicData>
            </a:graphic>
          </wp:inline>
        </w:drawing>
      </w:r>
      <w:r>
        <w:rPr>
          <w:rFonts w:hint="eastAsia"/>
          <w:color w:val="auto"/>
          <w:shd w:val="clear" w:color="auto" w:fill="FFFFFF"/>
        </w:rPr>
        <w:t xml:space="preserve"> </w:t>
      </w:r>
    </w:p>
    <w:p w14:paraId="51102315">
      <w:pPr>
        <w:pStyle w:val="132"/>
        <w:rPr>
          <w:color w:val="auto"/>
        </w:rPr>
      </w:pPr>
      <w:r>
        <w:rPr>
          <w:rFonts w:hint="eastAsia"/>
          <w:color w:val="auto"/>
        </w:rPr>
        <w:t>式中：</w:t>
      </w:r>
    </w:p>
    <w:p w14:paraId="731EC91F">
      <w:pPr>
        <w:pStyle w:val="132"/>
        <w:rPr>
          <w:color w:val="auto"/>
        </w:rPr>
      </w:pPr>
      <w:r>
        <w:rPr>
          <w:rFonts w:hint="eastAsia"/>
          <w:color w:val="auto"/>
        </w:rPr>
        <w:t>L</w:t>
      </w:r>
      <w:r>
        <w:rPr>
          <w:rFonts w:hint="eastAsia"/>
          <w:color w:val="auto"/>
          <w:vertAlign w:val="subscript"/>
        </w:rPr>
        <w:t>p</w:t>
      </w:r>
      <w:r>
        <w:rPr>
          <w:rFonts w:hint="eastAsia"/>
          <w:color w:val="auto"/>
        </w:rPr>
        <w:t>(r)—预测点处声压级，dB；</w:t>
      </w:r>
    </w:p>
    <w:p w14:paraId="7F16AB0F">
      <w:pPr>
        <w:pStyle w:val="132"/>
        <w:rPr>
          <w:color w:val="auto"/>
        </w:rPr>
      </w:pPr>
      <w:r>
        <w:rPr>
          <w:rFonts w:hint="eastAsia"/>
          <w:color w:val="auto"/>
        </w:rPr>
        <w:t>L</w:t>
      </w:r>
      <w:r>
        <w:rPr>
          <w:rFonts w:hint="eastAsia"/>
          <w:color w:val="auto"/>
          <w:vertAlign w:val="subscript"/>
        </w:rPr>
        <w:t>w</w:t>
      </w:r>
      <w:r>
        <w:rPr>
          <w:rFonts w:hint="eastAsia"/>
          <w:color w:val="auto"/>
        </w:rPr>
        <w:t>—由点声源产生的倍频带声功率级，dB；</w:t>
      </w:r>
    </w:p>
    <w:p w14:paraId="23AD67F2">
      <w:pPr>
        <w:pStyle w:val="132"/>
        <w:rPr>
          <w:color w:val="auto"/>
        </w:rPr>
      </w:pPr>
      <w:r>
        <w:rPr>
          <w:rFonts w:hint="eastAsia"/>
          <w:color w:val="auto"/>
        </w:rPr>
        <w:t>r—预测点距声源的距离。</w:t>
      </w:r>
    </w:p>
    <w:p w14:paraId="4E796E61">
      <w:pPr>
        <w:pStyle w:val="132"/>
        <w:rPr>
          <w:color w:val="auto"/>
        </w:rPr>
      </w:pPr>
      <w:r>
        <w:rPr>
          <w:rFonts w:hint="eastAsia"/>
          <w:color w:val="auto"/>
        </w:rPr>
        <w:t>2）面声源的几何发散衰减</w:t>
      </w:r>
    </w:p>
    <w:p w14:paraId="238C534F">
      <w:pPr>
        <w:pStyle w:val="132"/>
        <w:rPr>
          <w:color w:val="auto"/>
        </w:rPr>
      </w:pPr>
      <w:r>
        <w:rPr>
          <w:rFonts w:hint="eastAsia"/>
          <w:color w:val="auto"/>
        </w:rPr>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r>
        <w:rPr>
          <w:color w:val="auto"/>
        </w:rPr>
        <w:t>。</w:t>
      </w:r>
    </w:p>
    <w:p w14:paraId="5964CFE5">
      <w:pPr>
        <w:spacing w:before="156" w:beforeLines="50" w:after="100" w:afterAutospacing="1"/>
        <w:jc w:val="center"/>
        <w:rPr>
          <w:rFonts w:eastAsia="黑体"/>
          <w:color w:val="auto"/>
          <w:sz w:val="23"/>
          <w:szCs w:val="23"/>
        </w:rPr>
      </w:pPr>
      <w:r>
        <w:rPr>
          <w:rFonts w:eastAsia="黑体"/>
          <w:color w:val="auto"/>
          <w:sz w:val="23"/>
          <w:szCs w:val="23"/>
        </w:rPr>
        <w:drawing>
          <wp:inline distT="0" distB="0" distL="0" distR="0">
            <wp:extent cx="2993390" cy="17595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993390" cy="1759585"/>
                    </a:xfrm>
                    <a:prstGeom prst="rect">
                      <a:avLst/>
                    </a:prstGeom>
                    <a:noFill/>
                    <a:ln>
                      <a:noFill/>
                    </a:ln>
                  </pic:spPr>
                </pic:pic>
              </a:graphicData>
            </a:graphic>
          </wp:inline>
        </w:drawing>
      </w:r>
      <w:r>
        <w:rPr>
          <w:rFonts w:eastAsia="黑体"/>
          <w:color w:val="auto"/>
          <w:sz w:val="23"/>
          <w:szCs w:val="23"/>
        </w:rPr>
        <w:t xml:space="preserve"> </w:t>
      </w:r>
    </w:p>
    <w:p w14:paraId="0B886800">
      <w:pPr>
        <w:pStyle w:val="1060"/>
        <w:rPr>
          <w:color w:val="auto"/>
          <w:sz w:val="26"/>
          <w:szCs w:val="20"/>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color w:val="auto"/>
          <w:szCs w:val="23"/>
        </w:rPr>
        <w:t xml:space="preserve">  </w:t>
      </w:r>
      <w:r>
        <w:rPr>
          <w:rFonts w:hint="eastAsia" w:ascii="黑体" w:hAnsi="黑体"/>
          <w:color w:val="auto"/>
          <w:szCs w:val="23"/>
        </w:rPr>
        <w:t>长方形面声源中心轴线上的衰减特性</w:t>
      </w:r>
    </w:p>
    <w:p w14:paraId="0B0A7962">
      <w:pPr>
        <w:pStyle w:val="132"/>
        <w:rPr>
          <w:color w:val="auto"/>
        </w:rPr>
      </w:pPr>
      <w:r>
        <w:rPr>
          <w:color w:val="auto"/>
        </w:rPr>
        <w:t>上图给出了长方形面声源中心轴线上的声衰减曲线。当预测点和面声源中心距离r处于以下条件时，可按下述方法近似计算：r&lt;a/π时，几乎不衰减（A</w:t>
      </w:r>
      <w:r>
        <w:rPr>
          <w:color w:val="auto"/>
          <w:vertAlign w:val="subscript"/>
        </w:rPr>
        <w:t>div</w:t>
      </w:r>
      <w:r>
        <w:rPr>
          <w:color w:val="auto"/>
        </w:rPr>
        <w:t>≈0）；当a/π&lt;r&lt;b/π，距离加倍衰减3dB左右，类似线声源衰减特性（A</w:t>
      </w:r>
      <w:r>
        <w:rPr>
          <w:color w:val="auto"/>
          <w:vertAlign w:val="subscript"/>
        </w:rPr>
        <w:t>div</w:t>
      </w:r>
      <w:r>
        <w:rPr>
          <w:color w:val="auto"/>
        </w:rPr>
        <w:t>≈10 lg（r/r0））；当r&gt;b/π时，距离加倍衰减趋近于6dB，类似点声源衰减特性（A</w:t>
      </w:r>
      <w:r>
        <w:rPr>
          <w:color w:val="auto"/>
          <w:vertAlign w:val="subscript"/>
        </w:rPr>
        <w:t>div</w:t>
      </w:r>
      <w:r>
        <w:rPr>
          <w:color w:val="auto"/>
        </w:rPr>
        <w:t>≈20 lg（r/r0））。其中面声源的b&gt;a。图中虚线为实际衰减量。</w:t>
      </w:r>
    </w:p>
    <w:p w14:paraId="2BDF4C9D">
      <w:pPr>
        <w:pStyle w:val="132"/>
        <w:rPr>
          <w:color w:val="auto"/>
        </w:rPr>
      </w:pPr>
      <w:r>
        <w:rPr>
          <w:color w:val="auto"/>
        </w:rPr>
        <w:t>3）屏蔽引起的衰减（A</w:t>
      </w:r>
      <w:r>
        <w:rPr>
          <w:color w:val="auto"/>
          <w:vertAlign w:val="subscript"/>
        </w:rPr>
        <w:t>bar</w:t>
      </w:r>
      <w:r>
        <w:rPr>
          <w:color w:val="auto"/>
        </w:rPr>
        <w:t>）</w:t>
      </w:r>
    </w:p>
    <w:p w14:paraId="308AFCBA">
      <w:pPr>
        <w:pStyle w:val="132"/>
        <w:rPr>
          <w:color w:val="auto"/>
        </w:rPr>
      </w:pPr>
      <w:r>
        <w:rPr>
          <w:color w:val="auto"/>
        </w:rPr>
        <w:t>主要考虑厂房衰减的计算，采用双绕射计算，对于下图所示的双绕射情景，可由以下公式计算绕射声与直达声之间的声程差δ：</w:t>
      </w:r>
    </w:p>
    <w:p w14:paraId="5F0E2F4E">
      <w:pPr>
        <w:pStyle w:val="132"/>
        <w:rPr>
          <w:color w:val="auto"/>
          <w:shd w:val="clear" w:color="auto" w:fill="FFFFFF"/>
        </w:rPr>
      </w:pPr>
      <w:r>
        <w:rPr>
          <w:color w:val="auto"/>
        </w:rPr>
        <w:drawing>
          <wp:inline distT="0" distB="0" distL="0" distR="0">
            <wp:extent cx="2216785" cy="53467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216785" cy="534670"/>
                    </a:xfrm>
                    <a:prstGeom prst="rect">
                      <a:avLst/>
                    </a:prstGeom>
                    <a:noFill/>
                    <a:ln>
                      <a:noFill/>
                    </a:ln>
                  </pic:spPr>
                </pic:pic>
              </a:graphicData>
            </a:graphic>
          </wp:inline>
        </w:drawing>
      </w:r>
      <w:r>
        <w:rPr>
          <w:color w:val="auto"/>
          <w:shd w:val="clear" w:color="auto" w:fill="FFFFFF"/>
        </w:rPr>
        <w:t xml:space="preserve"> </w:t>
      </w:r>
    </w:p>
    <w:p w14:paraId="3E39A4F8">
      <w:pPr>
        <w:pStyle w:val="132"/>
        <w:rPr>
          <w:color w:val="auto"/>
        </w:rPr>
      </w:pPr>
      <w:r>
        <w:rPr>
          <w:color w:val="auto"/>
        </w:rPr>
        <w:t>式中：</w:t>
      </w:r>
    </w:p>
    <w:p w14:paraId="447A8B92">
      <w:pPr>
        <w:pStyle w:val="132"/>
        <w:rPr>
          <w:color w:val="auto"/>
        </w:rPr>
      </w:pPr>
      <w:r>
        <w:rPr>
          <w:color w:val="auto"/>
        </w:rPr>
        <w:t>δ—声程差，m；</w:t>
      </w:r>
    </w:p>
    <w:p w14:paraId="2C4932D6">
      <w:pPr>
        <w:pStyle w:val="132"/>
        <w:rPr>
          <w:color w:val="auto"/>
        </w:rPr>
      </w:pPr>
      <w:r>
        <w:rPr>
          <w:color w:val="auto"/>
        </w:rPr>
        <w:t>a—声源和接收点之间的距离在平行于屏障上边界的投影长度，m；</w:t>
      </w:r>
    </w:p>
    <w:p w14:paraId="0F300A92">
      <w:pPr>
        <w:pStyle w:val="132"/>
        <w:rPr>
          <w:color w:val="auto"/>
        </w:rPr>
      </w:pPr>
      <w:r>
        <w:rPr>
          <w:color w:val="auto"/>
        </w:rPr>
        <w:t>d</w:t>
      </w:r>
      <w:r>
        <w:rPr>
          <w:color w:val="auto"/>
          <w:vertAlign w:val="subscript"/>
        </w:rPr>
        <w:t>ss</w:t>
      </w:r>
      <w:r>
        <w:rPr>
          <w:color w:val="auto"/>
        </w:rPr>
        <w:t>—声源到第一绕射边的距离，m；</w:t>
      </w:r>
    </w:p>
    <w:p w14:paraId="411239D0">
      <w:pPr>
        <w:pStyle w:val="132"/>
        <w:rPr>
          <w:color w:val="auto"/>
        </w:rPr>
      </w:pPr>
      <w:r>
        <w:rPr>
          <w:color w:val="auto"/>
        </w:rPr>
        <w:t>d</w:t>
      </w:r>
      <w:r>
        <w:rPr>
          <w:color w:val="auto"/>
          <w:vertAlign w:val="subscript"/>
        </w:rPr>
        <w:t>sr</w:t>
      </w:r>
      <w:r>
        <w:rPr>
          <w:color w:val="auto"/>
        </w:rPr>
        <w:t>—第二绕射边到接收点的距离，m；</w:t>
      </w:r>
    </w:p>
    <w:p w14:paraId="7340B1EF">
      <w:pPr>
        <w:pStyle w:val="132"/>
        <w:rPr>
          <w:color w:val="auto"/>
        </w:rPr>
      </w:pPr>
      <w:r>
        <w:rPr>
          <w:color w:val="auto"/>
        </w:rPr>
        <w:t>e—在双绕射情况下两个绕射边界之间的距离，m；</w:t>
      </w:r>
    </w:p>
    <w:p w14:paraId="13F701B5">
      <w:pPr>
        <w:pStyle w:val="132"/>
        <w:rPr>
          <w:color w:val="auto"/>
          <w:shd w:val="clear" w:color="auto" w:fill="FFFFFF"/>
        </w:rPr>
      </w:pPr>
      <w:r>
        <w:rPr>
          <w:color w:val="auto"/>
        </w:rPr>
        <w:t>d—声源到接收点的直线距离，m。</w:t>
      </w:r>
    </w:p>
    <w:p w14:paraId="0609352E">
      <w:pPr>
        <w:widowControl w:val="0"/>
        <w:autoSpaceDE w:val="0"/>
        <w:autoSpaceDN w:val="0"/>
        <w:adjustRightInd w:val="0"/>
        <w:snapToGrid w:val="0"/>
        <w:spacing w:line="360" w:lineRule="auto"/>
        <w:jc w:val="center"/>
        <w:rPr>
          <w:color w:val="auto"/>
          <w:sz w:val="24"/>
          <w:szCs w:val="24"/>
        </w:rPr>
      </w:pPr>
      <w:r>
        <w:rPr>
          <w:color w:val="auto"/>
          <w:sz w:val="24"/>
          <w:szCs w:val="24"/>
        </w:rPr>
        <w:drawing>
          <wp:inline distT="0" distB="0" distL="0" distR="0">
            <wp:extent cx="3605530" cy="20789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605530" cy="2078990"/>
                    </a:xfrm>
                    <a:prstGeom prst="rect">
                      <a:avLst/>
                    </a:prstGeom>
                    <a:noFill/>
                    <a:ln>
                      <a:noFill/>
                    </a:ln>
                  </pic:spPr>
                </pic:pic>
              </a:graphicData>
            </a:graphic>
          </wp:inline>
        </w:drawing>
      </w:r>
      <w:r>
        <w:rPr>
          <w:color w:val="auto"/>
          <w:sz w:val="24"/>
          <w:szCs w:val="24"/>
        </w:rPr>
        <w:t xml:space="preserve"> </w:t>
      </w:r>
    </w:p>
    <w:p w14:paraId="2A49D092">
      <w:pPr>
        <w:pStyle w:val="1060"/>
        <w:rPr>
          <w:color w:val="auto"/>
          <w:szCs w:val="23"/>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color w:val="auto"/>
          <w:szCs w:val="23"/>
        </w:rPr>
        <w:t xml:space="preserve">   </w:t>
      </w:r>
      <w:r>
        <w:rPr>
          <w:rFonts w:hint="eastAsia" w:ascii="黑体" w:hAnsi="黑体"/>
          <w:color w:val="auto"/>
          <w:szCs w:val="23"/>
        </w:rPr>
        <w:t>双绕射情景图</w:t>
      </w:r>
    </w:p>
    <w:p w14:paraId="6CD346FB">
      <w:pPr>
        <w:pStyle w:val="132"/>
        <w:rPr>
          <w:color w:val="auto"/>
        </w:rPr>
      </w:pPr>
      <w:r>
        <w:rPr>
          <w:rFonts w:hint="eastAsia"/>
          <w:color w:val="auto"/>
        </w:rPr>
        <w:t>屏障衰减在双绕射（即厚屏障）情况下，A</w:t>
      </w:r>
      <w:r>
        <w:rPr>
          <w:rFonts w:hint="eastAsia"/>
          <w:color w:val="auto"/>
          <w:vertAlign w:val="subscript"/>
        </w:rPr>
        <w:t>bar</w:t>
      </w:r>
      <w:r>
        <w:rPr>
          <w:rFonts w:hint="eastAsia"/>
          <w:color w:val="auto"/>
        </w:rPr>
        <w:t>衰减最大值取25dB。</w:t>
      </w:r>
    </w:p>
    <w:p w14:paraId="0056F224">
      <w:pPr>
        <w:pStyle w:val="132"/>
        <w:rPr>
          <w:color w:val="auto"/>
        </w:rPr>
      </w:pPr>
      <w:r>
        <w:rPr>
          <w:rFonts w:hint="eastAsia"/>
          <w:color w:val="auto"/>
        </w:rPr>
        <w:t>（3）噪声源强</w:t>
      </w:r>
    </w:p>
    <w:p w14:paraId="2293F25F">
      <w:pPr>
        <w:pStyle w:val="132"/>
        <w:rPr>
          <w:color w:val="auto"/>
        </w:rPr>
      </w:pPr>
      <w:r>
        <w:rPr>
          <w:rFonts w:hint="eastAsia"/>
          <w:color w:val="auto"/>
        </w:rPr>
        <w:t xml:space="preserve">由工程分析可知，本项目投产后，噪声主要是由于机械的撞击、摩擦、转动等引起的机械性噪声及由于气流的起伏运动或气动力引起的空气动力性噪声。项目噪声源强一览表，见表 </w:t>
      </w:r>
      <w:r>
        <w:rPr>
          <w:color w:val="auto"/>
        </w:rPr>
        <w:t>5.6</w:t>
      </w:r>
      <w:r>
        <w:rPr>
          <w:rFonts w:hint="eastAsia"/>
          <w:color w:val="auto"/>
        </w:rPr>
        <w:t>–</w:t>
      </w:r>
      <w:r>
        <w:rPr>
          <w:color w:val="auto"/>
        </w:rPr>
        <w:t>1</w:t>
      </w:r>
      <w:r>
        <w:rPr>
          <w:rFonts w:hint="eastAsia"/>
          <w:color w:val="auto"/>
        </w:rPr>
        <w:t xml:space="preserve">、表 </w:t>
      </w:r>
      <w:r>
        <w:rPr>
          <w:color w:val="auto"/>
        </w:rPr>
        <w:t>5.6</w:t>
      </w:r>
      <w:r>
        <w:rPr>
          <w:rFonts w:hint="eastAsia"/>
          <w:color w:val="auto"/>
        </w:rPr>
        <w:t>–</w:t>
      </w:r>
      <w:r>
        <w:rPr>
          <w:color w:val="auto"/>
        </w:rPr>
        <w:t>2</w:t>
      </w:r>
      <w:r>
        <w:rPr>
          <w:rFonts w:hint="eastAsia"/>
          <w:color w:val="auto"/>
        </w:rPr>
        <w:t>。</w:t>
      </w:r>
    </w:p>
    <w:p w14:paraId="20C5EF32">
      <w:pPr>
        <w:rPr>
          <w:color w:val="auto"/>
          <w:sz w:val="24"/>
          <w:szCs w:val="24"/>
        </w:rPr>
        <w:sectPr>
          <w:type w:val="continuous"/>
          <w:pgSz w:w="11906" w:h="16838"/>
          <w:pgMar w:top="1440" w:right="1588" w:bottom="1389" w:left="1588" w:header="737" w:footer="822" w:gutter="0"/>
          <w:cols w:space="720" w:num="1"/>
          <w:docGrid w:type="lines" w:linePitch="312" w:charSpace="0"/>
        </w:sectPr>
      </w:pPr>
    </w:p>
    <w:p w14:paraId="64761A5E">
      <w:pPr>
        <w:pStyle w:val="1060"/>
        <w:rPr>
          <w:color w:val="auto"/>
          <w:sz w:val="26"/>
          <w:szCs w:val="20"/>
        </w:rPr>
      </w:pPr>
      <w:bookmarkStart w:id="327" w:name="_Ref168080905"/>
      <w:bookmarkEnd w:id="327"/>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szCs w:val="23"/>
        </w:rPr>
        <w:t xml:space="preserve"> </w:t>
      </w:r>
      <w:r>
        <w:rPr>
          <w:rFonts w:hint="eastAsia" w:ascii="黑体" w:hAnsi="黑体"/>
          <w:color w:val="auto"/>
          <w:szCs w:val="23"/>
        </w:rPr>
        <w:t>工业企业噪声源强调查清单（室外噪声）</w:t>
      </w:r>
    </w:p>
    <w:tbl>
      <w:tblPr>
        <w:tblStyle w:val="2402"/>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579"/>
        <w:gridCol w:w="2788"/>
        <w:gridCol w:w="886"/>
        <w:gridCol w:w="1177"/>
        <w:gridCol w:w="1161"/>
        <w:gridCol w:w="1046"/>
        <w:gridCol w:w="1701"/>
        <w:gridCol w:w="1743"/>
        <w:gridCol w:w="1468"/>
        <w:gridCol w:w="1169"/>
      </w:tblGrid>
      <w:tr w14:paraId="3056207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1" w:type="pct"/>
            <w:vMerge w:val="restart"/>
            <w:tcBorders>
              <w:top w:val="single" w:color="000000" w:sz="8" w:space="0"/>
              <w:left w:val="single" w:color="000000" w:sz="8" w:space="0"/>
              <w:bottom w:val="single" w:color="000000" w:sz="2" w:space="0"/>
              <w:right w:val="single" w:color="000000" w:sz="2" w:space="0"/>
            </w:tcBorders>
            <w:vAlign w:val="center"/>
          </w:tcPr>
          <w:p w14:paraId="21DE73BF">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序</w:t>
            </w:r>
            <w:r>
              <w:rPr>
                <w:rFonts w:hint="eastAsia" w:hAnsi="宋体" w:eastAsia="Times New Roman"/>
                <w:color w:val="auto"/>
                <w:sz w:val="21"/>
                <w:szCs w:val="21"/>
              </w:rPr>
              <w:t>号</w:t>
            </w:r>
          </w:p>
        </w:tc>
        <w:tc>
          <w:tcPr>
            <w:tcW w:w="1016" w:type="pct"/>
            <w:vMerge w:val="restart"/>
            <w:tcBorders>
              <w:top w:val="single" w:color="000000" w:sz="8" w:space="0"/>
              <w:left w:val="nil"/>
              <w:bottom w:val="single" w:color="000000" w:sz="2" w:space="0"/>
              <w:right w:val="single" w:color="000000" w:sz="2" w:space="0"/>
            </w:tcBorders>
            <w:vAlign w:val="center"/>
          </w:tcPr>
          <w:p w14:paraId="6E0B39EE">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声源名称</w:t>
            </w:r>
          </w:p>
        </w:tc>
        <w:tc>
          <w:tcPr>
            <w:tcW w:w="323" w:type="pct"/>
            <w:vMerge w:val="restart"/>
            <w:tcBorders>
              <w:top w:val="single" w:color="000000" w:sz="8" w:space="0"/>
              <w:left w:val="nil"/>
              <w:bottom w:val="single" w:color="000000" w:sz="2" w:space="0"/>
              <w:right w:val="single" w:color="000000" w:sz="2" w:space="0"/>
            </w:tcBorders>
            <w:vAlign w:val="center"/>
          </w:tcPr>
          <w:p w14:paraId="3FBA4D9B">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数量</w:t>
            </w:r>
            <w:r>
              <w:rPr>
                <w:rFonts w:eastAsia="Times New Roman"/>
                <w:color w:val="auto"/>
                <w:sz w:val="21"/>
                <w:szCs w:val="21"/>
              </w:rPr>
              <w:t>/</w:t>
            </w:r>
            <w:r>
              <w:rPr>
                <w:rFonts w:hint="eastAsia" w:ascii="宋体" w:hAnsi="宋体" w:eastAsia="Times New Roman" w:cs="宋体"/>
                <w:color w:val="auto"/>
                <w:sz w:val="21"/>
                <w:szCs w:val="21"/>
              </w:rPr>
              <w:t>台（套）</w:t>
            </w:r>
          </w:p>
        </w:tc>
        <w:tc>
          <w:tcPr>
            <w:tcW w:w="1233" w:type="pct"/>
            <w:gridSpan w:val="3"/>
            <w:tcBorders>
              <w:top w:val="single" w:color="000000" w:sz="8" w:space="0"/>
              <w:left w:val="nil"/>
              <w:bottom w:val="single" w:color="000000" w:sz="2" w:space="0"/>
              <w:right w:val="single" w:color="000000" w:sz="2" w:space="0"/>
            </w:tcBorders>
            <w:vAlign w:val="center"/>
          </w:tcPr>
          <w:p w14:paraId="69400DBF">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空间相对位置</w:t>
            </w:r>
            <w:r>
              <w:rPr>
                <w:rFonts w:eastAsia="Times New Roman"/>
                <w:color w:val="auto"/>
                <w:sz w:val="21"/>
                <w:szCs w:val="21"/>
              </w:rPr>
              <w:t>/m</w:t>
            </w:r>
          </w:p>
        </w:tc>
        <w:tc>
          <w:tcPr>
            <w:tcW w:w="620" w:type="pct"/>
            <w:tcBorders>
              <w:top w:val="single" w:color="000000" w:sz="8" w:space="0"/>
              <w:left w:val="nil"/>
              <w:bottom w:val="single" w:color="000000" w:sz="2" w:space="0"/>
              <w:right w:val="single" w:color="000000" w:sz="2" w:space="0"/>
            </w:tcBorders>
            <w:vAlign w:val="center"/>
          </w:tcPr>
          <w:p w14:paraId="595C3B71">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声源强</w:t>
            </w:r>
          </w:p>
        </w:tc>
        <w:tc>
          <w:tcPr>
            <w:tcW w:w="635" w:type="pct"/>
            <w:vMerge w:val="restart"/>
            <w:tcBorders>
              <w:top w:val="single" w:color="000000" w:sz="8" w:space="0"/>
              <w:left w:val="nil"/>
              <w:bottom w:val="single" w:color="000000" w:sz="2" w:space="0"/>
              <w:right w:val="single" w:color="000000" w:sz="2" w:space="0"/>
            </w:tcBorders>
            <w:vAlign w:val="center"/>
          </w:tcPr>
          <w:p w14:paraId="42613CD6">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声源控制措施</w:t>
            </w:r>
          </w:p>
        </w:tc>
        <w:tc>
          <w:tcPr>
            <w:tcW w:w="535" w:type="pct"/>
            <w:tcBorders>
              <w:top w:val="single" w:color="000000" w:sz="8" w:space="0"/>
              <w:left w:val="nil"/>
              <w:bottom w:val="single" w:color="000000" w:sz="2" w:space="0"/>
              <w:right w:val="single" w:color="000000" w:sz="2" w:space="0"/>
            </w:tcBorders>
            <w:vAlign w:val="center"/>
          </w:tcPr>
          <w:p w14:paraId="2767AEF7">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声源排放值</w:t>
            </w:r>
          </w:p>
        </w:tc>
        <w:tc>
          <w:tcPr>
            <w:tcW w:w="426" w:type="pct"/>
            <w:vMerge w:val="restart"/>
            <w:tcBorders>
              <w:top w:val="single" w:color="000000" w:sz="8" w:space="0"/>
              <w:left w:val="nil"/>
              <w:bottom w:val="single" w:color="000000" w:sz="2" w:space="0"/>
              <w:right w:val="single" w:color="000000" w:sz="8" w:space="0"/>
            </w:tcBorders>
            <w:vAlign w:val="center"/>
          </w:tcPr>
          <w:p w14:paraId="4FB00FAC">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运行时段</w:t>
            </w:r>
            <w:r>
              <w:rPr>
                <w:rFonts w:eastAsia="Times New Roman"/>
                <w:color w:val="auto"/>
                <w:sz w:val="21"/>
                <w:szCs w:val="21"/>
              </w:rPr>
              <w:t>/h</w:t>
            </w:r>
          </w:p>
        </w:tc>
      </w:tr>
      <w:tr w14:paraId="7B51EDD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1" w:type="pct"/>
            <w:vMerge w:val="continue"/>
            <w:tcBorders>
              <w:top w:val="single" w:color="000000" w:sz="8" w:space="0"/>
              <w:left w:val="single" w:color="000000" w:sz="8" w:space="0"/>
              <w:bottom w:val="single" w:color="000000" w:sz="2" w:space="0"/>
              <w:right w:val="single" w:color="000000" w:sz="2" w:space="0"/>
            </w:tcBorders>
            <w:vAlign w:val="center"/>
          </w:tcPr>
          <w:p w14:paraId="73273230">
            <w:pPr>
              <w:widowControl w:val="0"/>
              <w:jc w:val="center"/>
              <w:rPr>
                <w:rFonts w:eastAsia="Times New Roman"/>
                <w:color w:val="auto"/>
                <w:sz w:val="21"/>
                <w:szCs w:val="21"/>
              </w:rPr>
            </w:pPr>
          </w:p>
        </w:tc>
        <w:tc>
          <w:tcPr>
            <w:tcW w:w="1016" w:type="pct"/>
            <w:vMerge w:val="continue"/>
            <w:tcBorders>
              <w:top w:val="single" w:color="000000" w:sz="8" w:space="0"/>
              <w:left w:val="nil"/>
              <w:bottom w:val="single" w:color="000000" w:sz="2" w:space="0"/>
              <w:right w:val="single" w:color="000000" w:sz="2" w:space="0"/>
            </w:tcBorders>
            <w:vAlign w:val="center"/>
          </w:tcPr>
          <w:p w14:paraId="41BD62E8">
            <w:pPr>
              <w:widowControl w:val="0"/>
              <w:jc w:val="center"/>
              <w:rPr>
                <w:rFonts w:eastAsia="Times New Roman"/>
                <w:color w:val="auto"/>
                <w:sz w:val="21"/>
                <w:szCs w:val="21"/>
              </w:rPr>
            </w:pPr>
          </w:p>
        </w:tc>
        <w:tc>
          <w:tcPr>
            <w:tcW w:w="323" w:type="pct"/>
            <w:vMerge w:val="continue"/>
            <w:tcBorders>
              <w:top w:val="single" w:color="000000" w:sz="8" w:space="0"/>
              <w:left w:val="nil"/>
              <w:bottom w:val="single" w:color="000000" w:sz="2" w:space="0"/>
              <w:right w:val="single" w:color="000000" w:sz="2" w:space="0"/>
            </w:tcBorders>
            <w:vAlign w:val="center"/>
          </w:tcPr>
          <w:p w14:paraId="198847B5">
            <w:pPr>
              <w:widowControl w:val="0"/>
              <w:jc w:val="center"/>
              <w:rPr>
                <w:rFonts w:eastAsia="Times New Roman"/>
                <w:color w:val="auto"/>
                <w:sz w:val="21"/>
                <w:szCs w:val="21"/>
              </w:rPr>
            </w:pPr>
          </w:p>
        </w:tc>
        <w:tc>
          <w:tcPr>
            <w:tcW w:w="429" w:type="pct"/>
            <w:tcBorders>
              <w:top w:val="single" w:color="000000" w:sz="2" w:space="0"/>
              <w:left w:val="nil"/>
              <w:bottom w:val="single" w:color="000000" w:sz="2" w:space="0"/>
              <w:right w:val="single" w:color="000000" w:sz="2" w:space="0"/>
            </w:tcBorders>
            <w:vAlign w:val="center"/>
          </w:tcPr>
          <w:p w14:paraId="1C33B409">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X</w:t>
            </w:r>
          </w:p>
        </w:tc>
        <w:tc>
          <w:tcPr>
            <w:tcW w:w="423" w:type="pct"/>
            <w:tcBorders>
              <w:top w:val="single" w:color="000000" w:sz="2" w:space="0"/>
              <w:left w:val="nil"/>
              <w:bottom w:val="single" w:color="000000" w:sz="2" w:space="0"/>
              <w:right w:val="single" w:color="000000" w:sz="2" w:space="0"/>
            </w:tcBorders>
            <w:vAlign w:val="center"/>
          </w:tcPr>
          <w:p w14:paraId="068E897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Y</w:t>
            </w:r>
          </w:p>
        </w:tc>
        <w:tc>
          <w:tcPr>
            <w:tcW w:w="381" w:type="pct"/>
            <w:tcBorders>
              <w:top w:val="single" w:color="000000" w:sz="2" w:space="0"/>
              <w:left w:val="nil"/>
              <w:bottom w:val="single" w:color="000000" w:sz="2" w:space="0"/>
              <w:right w:val="single" w:color="000000" w:sz="2" w:space="0"/>
            </w:tcBorders>
            <w:vAlign w:val="center"/>
          </w:tcPr>
          <w:p w14:paraId="253CB66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Z</w:t>
            </w:r>
          </w:p>
        </w:tc>
        <w:tc>
          <w:tcPr>
            <w:tcW w:w="620" w:type="pct"/>
            <w:tcBorders>
              <w:top w:val="single" w:color="000000" w:sz="2" w:space="0"/>
              <w:left w:val="nil"/>
              <w:bottom w:val="single" w:color="000000" w:sz="2" w:space="0"/>
              <w:right w:val="single" w:color="000000" w:sz="2" w:space="0"/>
            </w:tcBorders>
            <w:vAlign w:val="center"/>
          </w:tcPr>
          <w:p w14:paraId="252D95C2">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声功率级</w:t>
            </w:r>
            <w:r>
              <w:rPr>
                <w:rFonts w:eastAsia="Times New Roman"/>
                <w:color w:val="auto"/>
                <w:sz w:val="21"/>
                <w:szCs w:val="21"/>
              </w:rPr>
              <w:t>/dB(A)</w:t>
            </w:r>
          </w:p>
        </w:tc>
        <w:tc>
          <w:tcPr>
            <w:tcW w:w="635" w:type="pct"/>
            <w:vMerge w:val="continue"/>
            <w:tcBorders>
              <w:top w:val="single" w:color="000000" w:sz="8" w:space="0"/>
              <w:left w:val="nil"/>
              <w:bottom w:val="single" w:color="000000" w:sz="2" w:space="0"/>
              <w:right w:val="single" w:color="000000" w:sz="2" w:space="0"/>
            </w:tcBorders>
            <w:vAlign w:val="center"/>
          </w:tcPr>
          <w:p w14:paraId="60D70A3E">
            <w:pPr>
              <w:widowControl w:val="0"/>
              <w:jc w:val="center"/>
              <w:rPr>
                <w:rFonts w:eastAsia="Times New Roman"/>
                <w:color w:val="auto"/>
                <w:sz w:val="21"/>
                <w:szCs w:val="21"/>
              </w:rPr>
            </w:pPr>
          </w:p>
        </w:tc>
        <w:tc>
          <w:tcPr>
            <w:tcW w:w="535" w:type="pct"/>
            <w:tcBorders>
              <w:top w:val="single" w:color="000000" w:sz="2" w:space="0"/>
              <w:left w:val="nil"/>
              <w:bottom w:val="single" w:color="000000" w:sz="2" w:space="0"/>
              <w:right w:val="single" w:color="000000" w:sz="2" w:space="0"/>
            </w:tcBorders>
            <w:vAlign w:val="center"/>
          </w:tcPr>
          <w:p w14:paraId="34B0D367">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声功率级</w:t>
            </w:r>
            <w:r>
              <w:rPr>
                <w:rFonts w:eastAsia="Times New Roman"/>
                <w:color w:val="auto"/>
                <w:sz w:val="21"/>
                <w:szCs w:val="21"/>
              </w:rPr>
              <w:t>/dB(A)</w:t>
            </w:r>
          </w:p>
        </w:tc>
        <w:tc>
          <w:tcPr>
            <w:tcW w:w="426" w:type="pct"/>
            <w:vMerge w:val="continue"/>
            <w:tcBorders>
              <w:top w:val="single" w:color="000000" w:sz="8" w:space="0"/>
              <w:left w:val="nil"/>
              <w:bottom w:val="single" w:color="000000" w:sz="2" w:space="0"/>
              <w:right w:val="single" w:color="000000" w:sz="8" w:space="0"/>
            </w:tcBorders>
            <w:vAlign w:val="center"/>
          </w:tcPr>
          <w:p w14:paraId="7EAAD8F3">
            <w:pPr>
              <w:widowControl w:val="0"/>
              <w:jc w:val="center"/>
              <w:rPr>
                <w:rFonts w:eastAsia="Times New Roman"/>
                <w:color w:val="auto"/>
                <w:sz w:val="21"/>
                <w:szCs w:val="21"/>
              </w:rPr>
            </w:pPr>
          </w:p>
        </w:tc>
      </w:tr>
      <w:tr w14:paraId="4840876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1" w:type="pct"/>
            <w:tcBorders>
              <w:top w:val="single" w:color="000000" w:sz="2" w:space="0"/>
              <w:left w:val="single" w:color="000000" w:sz="8" w:space="0"/>
              <w:bottom w:val="single" w:color="000000" w:sz="2" w:space="0"/>
              <w:right w:val="single" w:color="000000" w:sz="2" w:space="0"/>
            </w:tcBorders>
            <w:vAlign w:val="center"/>
          </w:tcPr>
          <w:p w14:paraId="111F46C7">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1</w:t>
            </w:r>
          </w:p>
        </w:tc>
        <w:tc>
          <w:tcPr>
            <w:tcW w:w="1016" w:type="pct"/>
            <w:tcBorders>
              <w:top w:val="single" w:color="000000" w:sz="2" w:space="0"/>
              <w:left w:val="nil"/>
              <w:bottom w:val="single" w:color="000000" w:sz="2" w:space="0"/>
              <w:right w:val="single" w:color="000000" w:sz="2" w:space="0"/>
            </w:tcBorders>
            <w:vAlign w:val="center"/>
          </w:tcPr>
          <w:p w14:paraId="77EAEDC5">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风机</w:t>
            </w:r>
          </w:p>
        </w:tc>
        <w:tc>
          <w:tcPr>
            <w:tcW w:w="323" w:type="pct"/>
            <w:tcBorders>
              <w:top w:val="single" w:color="000000" w:sz="2" w:space="0"/>
              <w:left w:val="nil"/>
              <w:bottom w:val="single" w:color="000000" w:sz="2" w:space="0"/>
              <w:right w:val="single" w:color="000000" w:sz="2" w:space="0"/>
            </w:tcBorders>
            <w:vAlign w:val="center"/>
          </w:tcPr>
          <w:p w14:paraId="0AB0A897">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7</w:t>
            </w:r>
          </w:p>
        </w:tc>
        <w:tc>
          <w:tcPr>
            <w:tcW w:w="429" w:type="pct"/>
            <w:tcBorders>
              <w:top w:val="single" w:color="000000" w:sz="2" w:space="0"/>
              <w:left w:val="nil"/>
              <w:bottom w:val="single" w:color="000000" w:sz="2" w:space="0"/>
              <w:right w:val="single" w:color="000000" w:sz="2" w:space="0"/>
            </w:tcBorders>
            <w:vAlign w:val="center"/>
          </w:tcPr>
          <w:p w14:paraId="36404C73">
            <w:pPr>
              <w:widowControl w:val="0"/>
              <w:spacing w:before="100" w:beforeAutospacing="1" w:line="360" w:lineRule="exact"/>
              <w:jc w:val="center"/>
              <w:rPr>
                <w:rFonts w:eastAsia="Times New Roman"/>
                <w:color w:val="auto"/>
                <w:sz w:val="21"/>
                <w:szCs w:val="21"/>
              </w:rPr>
            </w:pPr>
            <w:r>
              <w:rPr>
                <w:rFonts w:eastAsiaTheme="minorEastAsia"/>
                <w:color w:val="auto"/>
              </w:rPr>
              <w:t>58.5</w:t>
            </w:r>
          </w:p>
        </w:tc>
        <w:tc>
          <w:tcPr>
            <w:tcW w:w="423" w:type="pct"/>
            <w:tcBorders>
              <w:top w:val="single" w:color="000000" w:sz="2" w:space="0"/>
              <w:left w:val="nil"/>
              <w:bottom w:val="single" w:color="000000" w:sz="2" w:space="0"/>
              <w:right w:val="single" w:color="000000" w:sz="2" w:space="0"/>
            </w:tcBorders>
            <w:vAlign w:val="center"/>
          </w:tcPr>
          <w:p w14:paraId="5BC195F7">
            <w:pPr>
              <w:widowControl w:val="0"/>
              <w:spacing w:before="100" w:beforeAutospacing="1" w:line="360" w:lineRule="exact"/>
              <w:jc w:val="center"/>
              <w:rPr>
                <w:rFonts w:eastAsia="Times New Roman"/>
                <w:color w:val="auto"/>
                <w:sz w:val="21"/>
                <w:szCs w:val="21"/>
              </w:rPr>
            </w:pPr>
            <w:r>
              <w:rPr>
                <w:rFonts w:eastAsiaTheme="minorEastAsia"/>
                <w:color w:val="auto"/>
              </w:rPr>
              <w:t>-75</w:t>
            </w:r>
          </w:p>
        </w:tc>
        <w:tc>
          <w:tcPr>
            <w:tcW w:w="381" w:type="pct"/>
            <w:tcBorders>
              <w:top w:val="single" w:color="000000" w:sz="2" w:space="0"/>
              <w:left w:val="nil"/>
              <w:bottom w:val="single" w:color="000000" w:sz="2" w:space="0"/>
              <w:right w:val="single" w:color="000000" w:sz="2" w:space="0"/>
            </w:tcBorders>
            <w:vAlign w:val="center"/>
          </w:tcPr>
          <w:p w14:paraId="2CA31BCB">
            <w:pPr>
              <w:widowControl w:val="0"/>
              <w:spacing w:before="100" w:beforeAutospacing="1" w:line="360" w:lineRule="exact"/>
              <w:jc w:val="center"/>
              <w:rPr>
                <w:rFonts w:eastAsia="Times New Roman"/>
                <w:color w:val="auto"/>
                <w:sz w:val="21"/>
                <w:szCs w:val="21"/>
              </w:rPr>
            </w:pPr>
            <w:r>
              <w:rPr>
                <w:rFonts w:hint="eastAsia" w:eastAsiaTheme="minorEastAsia"/>
                <w:color w:val="auto"/>
              </w:rPr>
              <w:t>1</w:t>
            </w:r>
          </w:p>
        </w:tc>
        <w:tc>
          <w:tcPr>
            <w:tcW w:w="620" w:type="pct"/>
            <w:tcBorders>
              <w:top w:val="single" w:color="000000" w:sz="2" w:space="0"/>
              <w:left w:val="nil"/>
              <w:bottom w:val="single" w:color="000000" w:sz="2" w:space="0"/>
              <w:right w:val="single" w:color="000000" w:sz="2" w:space="0"/>
            </w:tcBorders>
            <w:vAlign w:val="center"/>
          </w:tcPr>
          <w:p w14:paraId="086E0647">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96</w:t>
            </w:r>
          </w:p>
        </w:tc>
        <w:tc>
          <w:tcPr>
            <w:tcW w:w="635" w:type="pct"/>
            <w:tcBorders>
              <w:top w:val="single" w:color="000000" w:sz="2" w:space="0"/>
              <w:left w:val="nil"/>
              <w:bottom w:val="single" w:color="000000" w:sz="2" w:space="0"/>
              <w:right w:val="single" w:color="000000" w:sz="2" w:space="0"/>
            </w:tcBorders>
            <w:vAlign w:val="center"/>
          </w:tcPr>
          <w:p w14:paraId="7FF388DD">
            <w:pPr>
              <w:widowControl w:val="0"/>
              <w:spacing w:before="100" w:beforeAutospacing="1" w:line="360" w:lineRule="exact"/>
              <w:jc w:val="center"/>
              <w:rPr>
                <w:rFonts w:eastAsia="Times New Roman"/>
                <w:color w:val="auto"/>
                <w:sz w:val="21"/>
                <w:szCs w:val="21"/>
              </w:rPr>
            </w:pPr>
            <w:r>
              <w:rPr>
                <w:rFonts w:hint="eastAsia" w:eastAsia="Times New Roman"/>
                <w:color w:val="auto"/>
              </w:rPr>
              <w:t>减振基础、室外布置、安装消声器</w:t>
            </w:r>
          </w:p>
        </w:tc>
        <w:tc>
          <w:tcPr>
            <w:tcW w:w="535" w:type="pct"/>
            <w:tcBorders>
              <w:top w:val="single" w:color="000000" w:sz="2" w:space="0"/>
              <w:left w:val="nil"/>
              <w:bottom w:val="single" w:color="000000" w:sz="2" w:space="0"/>
              <w:right w:val="single" w:color="000000" w:sz="2" w:space="0"/>
            </w:tcBorders>
            <w:vAlign w:val="center"/>
          </w:tcPr>
          <w:p w14:paraId="3CD67388">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66</w:t>
            </w:r>
          </w:p>
        </w:tc>
        <w:tc>
          <w:tcPr>
            <w:tcW w:w="426" w:type="pct"/>
            <w:tcBorders>
              <w:top w:val="single" w:color="000000" w:sz="2" w:space="0"/>
              <w:left w:val="nil"/>
              <w:bottom w:val="single" w:color="000000" w:sz="2" w:space="0"/>
              <w:right w:val="single" w:color="000000" w:sz="8" w:space="0"/>
            </w:tcBorders>
            <w:vAlign w:val="center"/>
          </w:tcPr>
          <w:p w14:paraId="0A1AFBF4">
            <w:pPr>
              <w:widowControl w:val="0"/>
              <w:spacing w:before="100" w:beforeAutospacing="1" w:line="360" w:lineRule="exact"/>
              <w:jc w:val="center"/>
              <w:rPr>
                <w:rFonts w:eastAsiaTheme="minorEastAsia"/>
                <w:color w:val="auto"/>
                <w:sz w:val="21"/>
                <w:szCs w:val="21"/>
              </w:rPr>
            </w:pPr>
            <w:r>
              <w:rPr>
                <w:rFonts w:hint="eastAsia" w:eastAsiaTheme="minorEastAsia"/>
                <w:color w:val="auto"/>
                <w:sz w:val="21"/>
                <w:szCs w:val="21"/>
              </w:rPr>
              <w:t>8000</w:t>
            </w:r>
          </w:p>
        </w:tc>
      </w:tr>
    </w:tbl>
    <w:p w14:paraId="6E981485">
      <w:pPr>
        <w:pStyle w:val="1060"/>
        <w:rPr>
          <w:color w:val="auto"/>
        </w:rPr>
      </w:pPr>
      <w:bookmarkStart w:id="328" w:name="_Ref218873273"/>
      <w:bookmarkEnd w:id="32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工业企业噪声源强调查清单（室内噪声）</w:t>
      </w:r>
    </w:p>
    <w:tbl>
      <w:tblPr>
        <w:tblStyle w:val="2402"/>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417"/>
        <w:gridCol w:w="689"/>
        <w:gridCol w:w="557"/>
        <w:gridCol w:w="749"/>
        <w:gridCol w:w="996"/>
        <w:gridCol w:w="1015"/>
        <w:gridCol w:w="428"/>
        <w:gridCol w:w="549"/>
        <w:gridCol w:w="285"/>
        <w:gridCol w:w="568"/>
        <w:gridCol w:w="535"/>
        <w:gridCol w:w="535"/>
        <w:gridCol w:w="535"/>
        <w:gridCol w:w="541"/>
        <w:gridCol w:w="499"/>
        <w:gridCol w:w="499"/>
        <w:gridCol w:w="499"/>
        <w:gridCol w:w="502"/>
        <w:gridCol w:w="713"/>
        <w:gridCol w:w="502"/>
        <w:gridCol w:w="503"/>
        <w:gridCol w:w="503"/>
        <w:gridCol w:w="503"/>
        <w:gridCol w:w="596"/>
      </w:tblGrid>
      <w:tr w14:paraId="75F597B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52" w:type="pct"/>
            <w:vMerge w:val="restart"/>
            <w:tcBorders>
              <w:top w:val="single" w:color="000000" w:sz="8" w:space="0"/>
              <w:left w:val="single" w:color="000000" w:sz="8" w:space="0"/>
              <w:bottom w:val="single" w:color="000000" w:sz="2" w:space="0"/>
              <w:right w:val="single" w:color="000000" w:sz="2" w:space="0"/>
            </w:tcBorders>
            <w:vAlign w:val="center"/>
          </w:tcPr>
          <w:p w14:paraId="5B582DCC">
            <w:pPr>
              <w:pStyle w:val="129"/>
              <w:widowControl w:val="0"/>
              <w:rPr>
                <w:rFonts w:eastAsia="Times New Roman"/>
                <w:color w:val="auto"/>
              </w:rPr>
            </w:pPr>
            <w:r>
              <w:rPr>
                <w:rFonts w:hint="eastAsia" w:eastAsia="Times New Roman"/>
                <w:color w:val="auto"/>
              </w:rPr>
              <w:t>序</w:t>
            </w:r>
            <w:r>
              <w:rPr>
                <w:rFonts w:hint="eastAsia" w:hAnsi="宋体" w:eastAsia="Times New Roman"/>
                <w:color w:val="auto"/>
              </w:rPr>
              <w:t>号</w:t>
            </w:r>
          </w:p>
        </w:tc>
        <w:tc>
          <w:tcPr>
            <w:tcW w:w="251" w:type="pct"/>
            <w:vMerge w:val="restart"/>
            <w:tcBorders>
              <w:top w:val="single" w:color="000000" w:sz="8" w:space="0"/>
              <w:left w:val="single" w:color="000000" w:sz="2" w:space="0"/>
              <w:bottom w:val="single" w:color="000000" w:sz="2" w:space="0"/>
              <w:right w:val="single" w:color="000000" w:sz="2" w:space="0"/>
            </w:tcBorders>
            <w:vAlign w:val="center"/>
          </w:tcPr>
          <w:p w14:paraId="60E1D222">
            <w:pPr>
              <w:pStyle w:val="129"/>
              <w:widowControl w:val="0"/>
              <w:rPr>
                <w:rFonts w:eastAsia="Times New Roman"/>
                <w:color w:val="auto"/>
              </w:rPr>
            </w:pPr>
            <w:r>
              <w:rPr>
                <w:rFonts w:hint="eastAsia" w:eastAsia="Times New Roman"/>
                <w:color w:val="auto"/>
              </w:rPr>
              <w:t>建筑物名称</w:t>
            </w:r>
          </w:p>
        </w:tc>
        <w:tc>
          <w:tcPr>
            <w:tcW w:w="203" w:type="pct"/>
            <w:vMerge w:val="restart"/>
            <w:tcBorders>
              <w:top w:val="single" w:color="000000" w:sz="8" w:space="0"/>
              <w:left w:val="single" w:color="000000" w:sz="2" w:space="0"/>
              <w:bottom w:val="single" w:color="000000" w:sz="2" w:space="0"/>
              <w:right w:val="single" w:color="000000" w:sz="2" w:space="0"/>
            </w:tcBorders>
            <w:vAlign w:val="center"/>
          </w:tcPr>
          <w:p w14:paraId="52475930">
            <w:pPr>
              <w:pStyle w:val="129"/>
              <w:widowControl w:val="0"/>
              <w:rPr>
                <w:rFonts w:eastAsia="Times New Roman"/>
                <w:color w:val="auto"/>
              </w:rPr>
            </w:pPr>
            <w:r>
              <w:rPr>
                <w:rFonts w:hint="eastAsia" w:eastAsia="Times New Roman"/>
                <w:color w:val="auto"/>
              </w:rPr>
              <w:t>声源名称</w:t>
            </w:r>
          </w:p>
        </w:tc>
        <w:tc>
          <w:tcPr>
            <w:tcW w:w="273" w:type="pct"/>
            <w:vMerge w:val="restart"/>
            <w:tcBorders>
              <w:top w:val="single" w:color="000000" w:sz="8" w:space="0"/>
              <w:left w:val="single" w:color="000000" w:sz="2" w:space="0"/>
              <w:bottom w:val="single" w:color="000000" w:sz="2" w:space="0"/>
              <w:right w:val="single" w:color="000000" w:sz="2" w:space="0"/>
            </w:tcBorders>
            <w:vAlign w:val="center"/>
          </w:tcPr>
          <w:p w14:paraId="1635636D">
            <w:pPr>
              <w:pStyle w:val="129"/>
              <w:widowControl w:val="0"/>
              <w:rPr>
                <w:rFonts w:eastAsia="Times New Roman"/>
                <w:color w:val="auto"/>
              </w:rPr>
            </w:pPr>
            <w:r>
              <w:rPr>
                <w:rFonts w:hint="eastAsia" w:eastAsia="Times New Roman"/>
                <w:color w:val="auto"/>
              </w:rPr>
              <w:t>数量</w:t>
            </w:r>
            <w:r>
              <w:rPr>
                <w:rFonts w:eastAsia="Times New Roman"/>
                <w:color w:val="auto"/>
              </w:rPr>
              <w:t>/</w:t>
            </w:r>
            <w:r>
              <w:rPr>
                <w:rFonts w:hint="eastAsia" w:eastAsia="Times New Roman"/>
                <w:color w:val="auto"/>
              </w:rPr>
              <w:t>台（套）</w:t>
            </w:r>
          </w:p>
        </w:tc>
        <w:tc>
          <w:tcPr>
            <w:tcW w:w="363" w:type="pct"/>
            <w:tcBorders>
              <w:top w:val="single" w:color="000000" w:sz="8" w:space="0"/>
              <w:left w:val="single" w:color="000000" w:sz="2" w:space="0"/>
              <w:bottom w:val="single" w:color="000000" w:sz="2" w:space="0"/>
              <w:right w:val="single" w:color="000000" w:sz="2" w:space="0"/>
            </w:tcBorders>
            <w:vAlign w:val="center"/>
          </w:tcPr>
          <w:p w14:paraId="19341009">
            <w:pPr>
              <w:pStyle w:val="129"/>
              <w:widowControl w:val="0"/>
              <w:rPr>
                <w:rFonts w:eastAsia="Times New Roman"/>
                <w:color w:val="auto"/>
              </w:rPr>
            </w:pPr>
            <w:r>
              <w:rPr>
                <w:rFonts w:hint="eastAsia" w:eastAsia="Times New Roman"/>
                <w:color w:val="auto"/>
              </w:rPr>
              <w:t>声源强</w:t>
            </w:r>
          </w:p>
        </w:tc>
        <w:tc>
          <w:tcPr>
            <w:tcW w:w="370" w:type="pct"/>
            <w:vMerge w:val="restart"/>
            <w:tcBorders>
              <w:top w:val="single" w:color="000000" w:sz="8" w:space="0"/>
              <w:left w:val="single" w:color="000000" w:sz="2" w:space="0"/>
              <w:bottom w:val="single" w:color="000000" w:sz="2" w:space="0"/>
              <w:right w:val="single" w:color="000000" w:sz="2" w:space="0"/>
            </w:tcBorders>
            <w:vAlign w:val="center"/>
          </w:tcPr>
          <w:p w14:paraId="7D57EF06">
            <w:pPr>
              <w:pStyle w:val="129"/>
              <w:widowControl w:val="0"/>
              <w:rPr>
                <w:rFonts w:eastAsia="Times New Roman"/>
                <w:color w:val="auto"/>
              </w:rPr>
            </w:pPr>
            <w:r>
              <w:rPr>
                <w:rFonts w:hint="eastAsia" w:eastAsia="Times New Roman"/>
                <w:color w:val="auto"/>
              </w:rPr>
              <w:t>声源控制措施</w:t>
            </w:r>
          </w:p>
        </w:tc>
        <w:tc>
          <w:tcPr>
            <w:tcW w:w="460" w:type="pct"/>
            <w:gridSpan w:val="3"/>
            <w:tcBorders>
              <w:top w:val="single" w:color="000000" w:sz="8" w:space="0"/>
              <w:left w:val="single" w:color="000000" w:sz="2" w:space="0"/>
              <w:bottom w:val="single" w:color="000000" w:sz="2" w:space="0"/>
              <w:right w:val="single" w:color="000000" w:sz="2" w:space="0"/>
            </w:tcBorders>
            <w:vAlign w:val="center"/>
          </w:tcPr>
          <w:p w14:paraId="3179BD81">
            <w:pPr>
              <w:pStyle w:val="129"/>
              <w:widowControl w:val="0"/>
              <w:rPr>
                <w:rFonts w:eastAsia="Times New Roman"/>
                <w:color w:val="auto"/>
              </w:rPr>
            </w:pPr>
            <w:r>
              <w:rPr>
                <w:rFonts w:hint="eastAsia" w:eastAsia="Times New Roman"/>
                <w:color w:val="auto"/>
              </w:rPr>
              <w:t>空间相对位置</w:t>
            </w:r>
            <w:r>
              <w:rPr>
                <w:rFonts w:eastAsia="Times New Roman"/>
                <w:color w:val="auto"/>
              </w:rPr>
              <w:t>/m</w:t>
            </w:r>
          </w:p>
        </w:tc>
        <w:tc>
          <w:tcPr>
            <w:tcW w:w="207" w:type="pct"/>
            <w:vMerge w:val="restart"/>
            <w:tcBorders>
              <w:top w:val="single" w:color="000000" w:sz="8" w:space="0"/>
              <w:left w:val="single" w:color="000000" w:sz="2" w:space="0"/>
              <w:bottom w:val="single" w:color="000000" w:sz="2" w:space="0"/>
              <w:right w:val="single" w:color="000000" w:sz="2" w:space="0"/>
            </w:tcBorders>
            <w:vAlign w:val="center"/>
          </w:tcPr>
          <w:p w14:paraId="2667CF50">
            <w:pPr>
              <w:pStyle w:val="129"/>
              <w:widowControl w:val="0"/>
              <w:rPr>
                <w:rFonts w:eastAsia="Times New Roman"/>
                <w:color w:val="auto"/>
              </w:rPr>
            </w:pPr>
            <w:r>
              <w:rPr>
                <w:rFonts w:hint="eastAsia" w:eastAsia="Times New Roman"/>
                <w:color w:val="auto"/>
              </w:rPr>
              <w:t>运行时段</w:t>
            </w:r>
            <w:r>
              <w:rPr>
                <w:rFonts w:eastAsia="Times New Roman"/>
                <w:color w:val="auto"/>
              </w:rPr>
              <w:t>/h</w:t>
            </w:r>
          </w:p>
        </w:tc>
        <w:tc>
          <w:tcPr>
            <w:tcW w:w="782" w:type="pct"/>
            <w:gridSpan w:val="4"/>
            <w:tcBorders>
              <w:top w:val="single" w:color="000000" w:sz="8" w:space="0"/>
              <w:left w:val="single" w:color="000000" w:sz="2" w:space="0"/>
              <w:bottom w:val="single" w:color="000000" w:sz="2" w:space="0"/>
              <w:right w:val="single" w:color="000000" w:sz="2" w:space="0"/>
            </w:tcBorders>
            <w:vAlign w:val="center"/>
          </w:tcPr>
          <w:p w14:paraId="7788F48B">
            <w:pPr>
              <w:pStyle w:val="129"/>
              <w:widowControl w:val="0"/>
              <w:rPr>
                <w:rFonts w:eastAsia="Times New Roman"/>
                <w:color w:val="auto"/>
              </w:rPr>
            </w:pPr>
            <w:r>
              <w:rPr>
                <w:rFonts w:hint="eastAsia" w:eastAsia="Times New Roman"/>
                <w:color w:val="auto"/>
              </w:rPr>
              <w:t>距室内边界距离</w:t>
            </w:r>
            <w:r>
              <w:rPr>
                <w:rFonts w:eastAsia="Times New Roman"/>
                <w:color w:val="auto"/>
              </w:rPr>
              <w:t>/m</w:t>
            </w:r>
          </w:p>
        </w:tc>
        <w:tc>
          <w:tcPr>
            <w:tcW w:w="729" w:type="pct"/>
            <w:gridSpan w:val="4"/>
            <w:tcBorders>
              <w:top w:val="single" w:color="000000" w:sz="8" w:space="0"/>
              <w:left w:val="single" w:color="000000" w:sz="2" w:space="0"/>
              <w:bottom w:val="nil"/>
              <w:right w:val="single" w:color="000000" w:sz="2" w:space="0"/>
            </w:tcBorders>
            <w:vAlign w:val="center"/>
          </w:tcPr>
          <w:p w14:paraId="5C1A7972">
            <w:pPr>
              <w:pStyle w:val="129"/>
              <w:widowControl w:val="0"/>
              <w:rPr>
                <w:rFonts w:eastAsia="Times New Roman"/>
                <w:color w:val="auto"/>
              </w:rPr>
            </w:pPr>
            <w:r>
              <w:rPr>
                <w:rFonts w:hint="eastAsia" w:eastAsia="Times New Roman"/>
                <w:color w:val="auto"/>
              </w:rPr>
              <w:t>室内边界声级</w:t>
            </w:r>
            <w:r>
              <w:rPr>
                <w:rFonts w:eastAsia="Times New Roman"/>
                <w:color w:val="auto"/>
              </w:rPr>
              <w:t>/dB</w:t>
            </w:r>
            <w:r>
              <w:rPr>
                <w:rFonts w:hint="eastAsia" w:eastAsia="Times New Roman"/>
                <w:color w:val="auto"/>
              </w:rPr>
              <w:t>（</w:t>
            </w:r>
            <w:r>
              <w:rPr>
                <w:rFonts w:eastAsia="Times New Roman"/>
                <w:color w:val="auto"/>
              </w:rPr>
              <w:t>A</w:t>
            </w:r>
            <w:r>
              <w:rPr>
                <w:rFonts w:hint="eastAsia" w:eastAsia="Times New Roman"/>
                <w:color w:val="auto"/>
              </w:rPr>
              <w:t>）</w:t>
            </w:r>
          </w:p>
        </w:tc>
        <w:tc>
          <w:tcPr>
            <w:tcW w:w="260" w:type="pct"/>
            <w:vMerge w:val="restart"/>
            <w:tcBorders>
              <w:top w:val="single" w:color="000000" w:sz="8" w:space="0"/>
              <w:left w:val="single" w:color="000000" w:sz="2" w:space="0"/>
              <w:bottom w:val="single" w:color="000000" w:sz="2" w:space="0"/>
              <w:right w:val="single" w:color="000000" w:sz="2" w:space="0"/>
            </w:tcBorders>
            <w:vAlign w:val="center"/>
          </w:tcPr>
          <w:p w14:paraId="7EB1FB7A">
            <w:pPr>
              <w:pStyle w:val="129"/>
              <w:widowControl w:val="0"/>
              <w:rPr>
                <w:rFonts w:eastAsia="Times New Roman"/>
                <w:color w:val="auto"/>
              </w:rPr>
            </w:pPr>
            <w:r>
              <w:rPr>
                <w:rFonts w:hint="eastAsia" w:eastAsia="Times New Roman"/>
                <w:color w:val="auto"/>
              </w:rPr>
              <w:t>建筑物插入损失</w:t>
            </w:r>
            <w:r>
              <w:rPr>
                <w:rFonts w:eastAsia="Times New Roman"/>
                <w:color w:val="auto"/>
              </w:rPr>
              <w:t>/dB</w:t>
            </w:r>
            <w:r>
              <w:rPr>
                <w:rFonts w:hint="eastAsia" w:eastAsia="Times New Roman"/>
                <w:color w:val="auto"/>
              </w:rPr>
              <w:t>（</w:t>
            </w:r>
            <w:r>
              <w:rPr>
                <w:rFonts w:eastAsia="Times New Roman"/>
                <w:color w:val="auto"/>
              </w:rPr>
              <w:t>A</w:t>
            </w:r>
            <w:r>
              <w:rPr>
                <w:rFonts w:hint="eastAsia" w:eastAsia="Times New Roman"/>
                <w:color w:val="auto"/>
              </w:rPr>
              <w:t>）</w:t>
            </w:r>
          </w:p>
        </w:tc>
        <w:tc>
          <w:tcPr>
            <w:tcW w:w="732" w:type="pct"/>
            <w:gridSpan w:val="4"/>
            <w:tcBorders>
              <w:top w:val="single" w:color="000000" w:sz="8" w:space="0"/>
              <w:left w:val="single" w:color="000000" w:sz="2" w:space="0"/>
              <w:bottom w:val="single" w:color="000000" w:sz="2" w:space="0"/>
              <w:right w:val="single" w:color="000000" w:sz="2" w:space="0"/>
            </w:tcBorders>
            <w:vAlign w:val="center"/>
          </w:tcPr>
          <w:p w14:paraId="0D097B33">
            <w:pPr>
              <w:pStyle w:val="129"/>
              <w:widowControl w:val="0"/>
              <w:rPr>
                <w:rFonts w:eastAsia="Times New Roman"/>
                <w:color w:val="auto"/>
              </w:rPr>
            </w:pPr>
            <w:r>
              <w:rPr>
                <w:rFonts w:hint="eastAsia" w:eastAsia="Times New Roman"/>
                <w:color w:val="auto"/>
              </w:rPr>
              <w:t>建筑物外噪声声压级</w:t>
            </w:r>
            <w:r>
              <w:rPr>
                <w:rFonts w:eastAsia="Times New Roman"/>
                <w:color w:val="auto"/>
              </w:rPr>
              <w:t>/dB(A)</w:t>
            </w:r>
          </w:p>
        </w:tc>
        <w:tc>
          <w:tcPr>
            <w:tcW w:w="217" w:type="pct"/>
            <w:vMerge w:val="restart"/>
            <w:tcBorders>
              <w:top w:val="single" w:color="000000" w:sz="8" w:space="0"/>
              <w:left w:val="single" w:color="000000" w:sz="2" w:space="0"/>
              <w:right w:val="single" w:color="000000" w:sz="8" w:space="0"/>
            </w:tcBorders>
            <w:vAlign w:val="center"/>
          </w:tcPr>
          <w:p w14:paraId="3FC7FB04">
            <w:pPr>
              <w:pStyle w:val="129"/>
              <w:widowControl w:val="0"/>
              <w:rPr>
                <w:rFonts w:eastAsia="Times New Roman"/>
                <w:color w:val="auto"/>
              </w:rPr>
            </w:pPr>
            <w:r>
              <w:rPr>
                <w:rFonts w:hint="eastAsia" w:eastAsia="Times New Roman"/>
                <w:color w:val="auto"/>
              </w:rPr>
              <w:t>建筑物外距离</w:t>
            </w:r>
          </w:p>
        </w:tc>
      </w:tr>
      <w:tr w14:paraId="3C2E0B8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52" w:type="pct"/>
            <w:vMerge w:val="continue"/>
            <w:tcBorders>
              <w:top w:val="single" w:color="000000" w:sz="8" w:space="0"/>
              <w:left w:val="single" w:color="000000" w:sz="8" w:space="0"/>
              <w:bottom w:val="single" w:color="000000" w:sz="2" w:space="0"/>
              <w:right w:val="single" w:color="000000" w:sz="2" w:space="0"/>
            </w:tcBorders>
            <w:vAlign w:val="center"/>
          </w:tcPr>
          <w:p w14:paraId="69CA9B27">
            <w:pPr>
              <w:pStyle w:val="129"/>
              <w:widowControl w:val="0"/>
              <w:rPr>
                <w:rFonts w:eastAsia="Times New Roman"/>
                <w:color w:val="auto"/>
              </w:rPr>
            </w:pPr>
          </w:p>
        </w:tc>
        <w:tc>
          <w:tcPr>
            <w:tcW w:w="251" w:type="pct"/>
            <w:vMerge w:val="continue"/>
            <w:tcBorders>
              <w:top w:val="single" w:color="000000" w:sz="8" w:space="0"/>
              <w:left w:val="single" w:color="000000" w:sz="2" w:space="0"/>
              <w:bottom w:val="single" w:color="000000" w:sz="2" w:space="0"/>
              <w:right w:val="single" w:color="000000" w:sz="2" w:space="0"/>
            </w:tcBorders>
            <w:vAlign w:val="center"/>
          </w:tcPr>
          <w:p w14:paraId="1CAF0641">
            <w:pPr>
              <w:pStyle w:val="129"/>
              <w:widowControl w:val="0"/>
              <w:rPr>
                <w:rFonts w:eastAsia="Times New Roman"/>
                <w:color w:val="auto"/>
              </w:rPr>
            </w:pPr>
          </w:p>
        </w:tc>
        <w:tc>
          <w:tcPr>
            <w:tcW w:w="203" w:type="pct"/>
            <w:vMerge w:val="continue"/>
            <w:tcBorders>
              <w:top w:val="single" w:color="000000" w:sz="8" w:space="0"/>
              <w:left w:val="single" w:color="000000" w:sz="2" w:space="0"/>
              <w:bottom w:val="single" w:color="000000" w:sz="2" w:space="0"/>
              <w:right w:val="single" w:color="000000" w:sz="2" w:space="0"/>
            </w:tcBorders>
            <w:vAlign w:val="center"/>
          </w:tcPr>
          <w:p w14:paraId="018FB25A">
            <w:pPr>
              <w:pStyle w:val="129"/>
              <w:widowControl w:val="0"/>
              <w:rPr>
                <w:rFonts w:eastAsia="Times New Roman"/>
                <w:color w:val="auto"/>
              </w:rPr>
            </w:pPr>
          </w:p>
        </w:tc>
        <w:tc>
          <w:tcPr>
            <w:tcW w:w="273" w:type="pct"/>
            <w:vMerge w:val="continue"/>
            <w:tcBorders>
              <w:top w:val="single" w:color="000000" w:sz="8" w:space="0"/>
              <w:left w:val="single" w:color="000000" w:sz="2" w:space="0"/>
              <w:bottom w:val="single" w:color="000000" w:sz="2" w:space="0"/>
              <w:right w:val="single" w:color="000000" w:sz="2" w:space="0"/>
            </w:tcBorders>
            <w:vAlign w:val="center"/>
          </w:tcPr>
          <w:p w14:paraId="00B9C5CB">
            <w:pPr>
              <w:pStyle w:val="129"/>
              <w:widowControl w:val="0"/>
              <w:rPr>
                <w:rFonts w:eastAsia="Times New Roman"/>
                <w:color w:val="auto"/>
              </w:rPr>
            </w:pPr>
          </w:p>
        </w:tc>
        <w:tc>
          <w:tcPr>
            <w:tcW w:w="363" w:type="pct"/>
            <w:tcBorders>
              <w:top w:val="single" w:color="000000" w:sz="2" w:space="0"/>
              <w:left w:val="single" w:color="000000" w:sz="2" w:space="0"/>
              <w:bottom w:val="single" w:color="000000" w:sz="2" w:space="0"/>
              <w:right w:val="single" w:color="000000" w:sz="2" w:space="0"/>
            </w:tcBorders>
            <w:vAlign w:val="center"/>
          </w:tcPr>
          <w:p w14:paraId="71E5BED5">
            <w:pPr>
              <w:pStyle w:val="129"/>
              <w:widowControl w:val="0"/>
              <w:rPr>
                <w:rFonts w:eastAsia="Times New Roman"/>
                <w:color w:val="auto"/>
              </w:rPr>
            </w:pPr>
            <w:r>
              <w:rPr>
                <w:rFonts w:hint="eastAsia" w:eastAsia="Times New Roman"/>
                <w:color w:val="auto"/>
              </w:rPr>
              <w:t>声功率级</w:t>
            </w:r>
            <w:r>
              <w:rPr>
                <w:rFonts w:eastAsia="Times New Roman"/>
                <w:color w:val="auto"/>
              </w:rPr>
              <w:t>/dB(A)</w:t>
            </w:r>
          </w:p>
        </w:tc>
        <w:tc>
          <w:tcPr>
            <w:tcW w:w="370" w:type="pct"/>
            <w:vMerge w:val="continue"/>
            <w:tcBorders>
              <w:top w:val="single" w:color="000000" w:sz="8" w:space="0"/>
              <w:left w:val="single" w:color="000000" w:sz="2" w:space="0"/>
              <w:bottom w:val="single" w:color="000000" w:sz="2" w:space="0"/>
              <w:right w:val="single" w:color="000000" w:sz="2" w:space="0"/>
            </w:tcBorders>
            <w:vAlign w:val="center"/>
          </w:tcPr>
          <w:p w14:paraId="15D6DEAA">
            <w:pPr>
              <w:pStyle w:val="129"/>
              <w:widowControl w:val="0"/>
              <w:rPr>
                <w:rFonts w:eastAsia="Times New Roman"/>
                <w:color w:val="auto"/>
              </w:rPr>
            </w:pPr>
          </w:p>
        </w:tc>
        <w:tc>
          <w:tcPr>
            <w:tcW w:w="156" w:type="pct"/>
            <w:tcBorders>
              <w:top w:val="single" w:color="000000" w:sz="2" w:space="0"/>
              <w:left w:val="single" w:color="000000" w:sz="2" w:space="0"/>
              <w:bottom w:val="single" w:color="000000" w:sz="2" w:space="0"/>
              <w:right w:val="single" w:color="000000" w:sz="2" w:space="0"/>
            </w:tcBorders>
            <w:vAlign w:val="center"/>
          </w:tcPr>
          <w:p w14:paraId="6F28CC7D">
            <w:pPr>
              <w:pStyle w:val="129"/>
              <w:widowControl w:val="0"/>
              <w:rPr>
                <w:rFonts w:eastAsia="Times New Roman"/>
                <w:color w:val="auto"/>
              </w:rPr>
            </w:pPr>
            <w:r>
              <w:rPr>
                <w:rFonts w:eastAsia="Times New Roman"/>
                <w:color w:val="auto"/>
              </w:rPr>
              <w:t>X</w:t>
            </w:r>
          </w:p>
        </w:tc>
        <w:tc>
          <w:tcPr>
            <w:tcW w:w="200" w:type="pct"/>
            <w:tcBorders>
              <w:top w:val="single" w:color="000000" w:sz="2" w:space="0"/>
              <w:left w:val="single" w:color="000000" w:sz="2" w:space="0"/>
              <w:bottom w:val="single" w:color="000000" w:sz="2" w:space="0"/>
              <w:right w:val="single" w:color="000000" w:sz="2" w:space="0"/>
            </w:tcBorders>
            <w:vAlign w:val="center"/>
          </w:tcPr>
          <w:p w14:paraId="0B39C21D">
            <w:pPr>
              <w:pStyle w:val="129"/>
              <w:widowControl w:val="0"/>
              <w:rPr>
                <w:rFonts w:eastAsia="Times New Roman"/>
                <w:color w:val="auto"/>
              </w:rPr>
            </w:pPr>
            <w:r>
              <w:rPr>
                <w:rFonts w:eastAsia="Times New Roman"/>
                <w:color w:val="auto"/>
              </w:rPr>
              <w:t>Y</w:t>
            </w:r>
          </w:p>
        </w:tc>
        <w:tc>
          <w:tcPr>
            <w:tcW w:w="104" w:type="pct"/>
            <w:tcBorders>
              <w:top w:val="single" w:color="000000" w:sz="2" w:space="0"/>
              <w:left w:val="single" w:color="000000" w:sz="2" w:space="0"/>
              <w:bottom w:val="single" w:color="000000" w:sz="2" w:space="0"/>
              <w:right w:val="single" w:color="000000" w:sz="2" w:space="0"/>
            </w:tcBorders>
            <w:vAlign w:val="center"/>
          </w:tcPr>
          <w:p w14:paraId="41D878D3">
            <w:pPr>
              <w:pStyle w:val="129"/>
              <w:widowControl w:val="0"/>
              <w:rPr>
                <w:rFonts w:eastAsia="Times New Roman"/>
                <w:color w:val="auto"/>
              </w:rPr>
            </w:pPr>
            <w:r>
              <w:rPr>
                <w:rFonts w:eastAsia="Times New Roman"/>
                <w:color w:val="auto"/>
              </w:rPr>
              <w:t>Z</w:t>
            </w:r>
          </w:p>
        </w:tc>
        <w:tc>
          <w:tcPr>
            <w:tcW w:w="207" w:type="pct"/>
            <w:vMerge w:val="continue"/>
            <w:tcBorders>
              <w:top w:val="single" w:color="000000" w:sz="8" w:space="0"/>
              <w:left w:val="single" w:color="000000" w:sz="2" w:space="0"/>
              <w:bottom w:val="single" w:color="000000" w:sz="2" w:space="0"/>
              <w:right w:val="single" w:color="000000" w:sz="2" w:space="0"/>
            </w:tcBorders>
            <w:vAlign w:val="center"/>
          </w:tcPr>
          <w:p w14:paraId="28A00986">
            <w:pPr>
              <w:pStyle w:val="129"/>
              <w:widowControl w:val="0"/>
              <w:rPr>
                <w:rFonts w:eastAsia="Times New Roman"/>
                <w:color w:val="auto"/>
              </w:rPr>
            </w:pPr>
          </w:p>
        </w:tc>
        <w:tc>
          <w:tcPr>
            <w:tcW w:w="195" w:type="pct"/>
            <w:tcBorders>
              <w:top w:val="single" w:color="000000" w:sz="2" w:space="0"/>
              <w:left w:val="single" w:color="000000" w:sz="2" w:space="0"/>
              <w:bottom w:val="single" w:color="000000" w:sz="2" w:space="0"/>
              <w:right w:val="single" w:color="000000" w:sz="2" w:space="0"/>
            </w:tcBorders>
            <w:vAlign w:val="center"/>
          </w:tcPr>
          <w:p w14:paraId="1E9A2F7A">
            <w:pPr>
              <w:pStyle w:val="129"/>
              <w:widowControl w:val="0"/>
              <w:rPr>
                <w:rFonts w:eastAsia="Times New Roman"/>
                <w:color w:val="auto"/>
              </w:rPr>
            </w:pPr>
            <w:r>
              <w:rPr>
                <w:rFonts w:hint="eastAsia" w:eastAsia="Times New Roman"/>
                <w:color w:val="auto"/>
              </w:rPr>
              <w:t>东</w:t>
            </w:r>
          </w:p>
        </w:tc>
        <w:tc>
          <w:tcPr>
            <w:tcW w:w="195" w:type="pct"/>
            <w:tcBorders>
              <w:top w:val="single" w:color="000000" w:sz="2" w:space="0"/>
              <w:left w:val="single" w:color="000000" w:sz="2" w:space="0"/>
              <w:bottom w:val="single" w:color="000000" w:sz="2" w:space="0"/>
              <w:right w:val="single" w:color="000000" w:sz="2" w:space="0"/>
            </w:tcBorders>
            <w:vAlign w:val="center"/>
          </w:tcPr>
          <w:p w14:paraId="1C1C0DF9">
            <w:pPr>
              <w:pStyle w:val="129"/>
              <w:widowControl w:val="0"/>
              <w:rPr>
                <w:rFonts w:eastAsia="Times New Roman"/>
                <w:color w:val="auto"/>
              </w:rPr>
            </w:pPr>
            <w:r>
              <w:rPr>
                <w:rFonts w:hint="eastAsia" w:eastAsia="Times New Roman"/>
                <w:color w:val="auto"/>
              </w:rPr>
              <w:t>南</w:t>
            </w:r>
          </w:p>
        </w:tc>
        <w:tc>
          <w:tcPr>
            <w:tcW w:w="195" w:type="pct"/>
            <w:tcBorders>
              <w:top w:val="single" w:color="000000" w:sz="2" w:space="0"/>
              <w:left w:val="single" w:color="000000" w:sz="2" w:space="0"/>
              <w:bottom w:val="single" w:color="000000" w:sz="2" w:space="0"/>
              <w:right w:val="single" w:color="000000" w:sz="2" w:space="0"/>
            </w:tcBorders>
            <w:vAlign w:val="center"/>
          </w:tcPr>
          <w:p w14:paraId="7B50DB33">
            <w:pPr>
              <w:pStyle w:val="129"/>
              <w:widowControl w:val="0"/>
              <w:rPr>
                <w:rFonts w:eastAsia="Times New Roman"/>
                <w:color w:val="auto"/>
              </w:rPr>
            </w:pPr>
            <w:r>
              <w:rPr>
                <w:rFonts w:hint="eastAsia" w:eastAsia="Times New Roman"/>
                <w:color w:val="auto"/>
              </w:rPr>
              <w:t>西</w:t>
            </w:r>
          </w:p>
        </w:tc>
        <w:tc>
          <w:tcPr>
            <w:tcW w:w="197" w:type="pct"/>
            <w:tcBorders>
              <w:top w:val="single" w:color="000000" w:sz="2" w:space="0"/>
              <w:left w:val="single" w:color="000000" w:sz="2" w:space="0"/>
              <w:bottom w:val="single" w:color="000000" w:sz="2" w:space="0"/>
              <w:right w:val="single" w:color="000000" w:sz="2" w:space="0"/>
            </w:tcBorders>
            <w:vAlign w:val="center"/>
          </w:tcPr>
          <w:p w14:paraId="67F63A3F">
            <w:pPr>
              <w:pStyle w:val="129"/>
              <w:widowControl w:val="0"/>
              <w:rPr>
                <w:rFonts w:eastAsia="Times New Roman"/>
                <w:color w:val="auto"/>
              </w:rPr>
            </w:pPr>
            <w:r>
              <w:rPr>
                <w:rFonts w:hint="eastAsia" w:eastAsia="Times New Roman"/>
                <w:color w:val="auto"/>
              </w:rPr>
              <w:t>北</w:t>
            </w:r>
          </w:p>
        </w:tc>
        <w:tc>
          <w:tcPr>
            <w:tcW w:w="182" w:type="pct"/>
            <w:tcBorders>
              <w:top w:val="single" w:color="000000" w:sz="2" w:space="0"/>
              <w:left w:val="single" w:color="000000" w:sz="2" w:space="0"/>
              <w:bottom w:val="single" w:color="000000" w:sz="2" w:space="0"/>
              <w:right w:val="single" w:color="000000" w:sz="2" w:space="0"/>
            </w:tcBorders>
            <w:vAlign w:val="center"/>
          </w:tcPr>
          <w:p w14:paraId="6C257380">
            <w:pPr>
              <w:pStyle w:val="129"/>
              <w:widowControl w:val="0"/>
              <w:rPr>
                <w:rFonts w:eastAsia="Times New Roman"/>
                <w:color w:val="auto"/>
              </w:rPr>
            </w:pPr>
            <w:r>
              <w:rPr>
                <w:rFonts w:hint="eastAsia" w:eastAsia="Times New Roman"/>
                <w:color w:val="auto"/>
              </w:rPr>
              <w:t>东</w:t>
            </w:r>
          </w:p>
        </w:tc>
        <w:tc>
          <w:tcPr>
            <w:tcW w:w="182" w:type="pct"/>
            <w:tcBorders>
              <w:top w:val="single" w:color="000000" w:sz="2" w:space="0"/>
              <w:left w:val="single" w:color="000000" w:sz="2" w:space="0"/>
              <w:bottom w:val="single" w:color="000000" w:sz="2" w:space="0"/>
              <w:right w:val="single" w:color="000000" w:sz="2" w:space="0"/>
            </w:tcBorders>
            <w:vAlign w:val="center"/>
          </w:tcPr>
          <w:p w14:paraId="73CCF5ED">
            <w:pPr>
              <w:pStyle w:val="129"/>
              <w:widowControl w:val="0"/>
              <w:rPr>
                <w:rFonts w:eastAsia="Times New Roman"/>
                <w:color w:val="auto"/>
              </w:rPr>
            </w:pPr>
            <w:r>
              <w:rPr>
                <w:rFonts w:hint="eastAsia" w:eastAsia="Times New Roman"/>
                <w:color w:val="auto"/>
              </w:rPr>
              <w:t>南</w:t>
            </w:r>
          </w:p>
        </w:tc>
        <w:tc>
          <w:tcPr>
            <w:tcW w:w="182" w:type="pct"/>
            <w:tcBorders>
              <w:top w:val="single" w:color="000000" w:sz="2" w:space="0"/>
              <w:left w:val="single" w:color="000000" w:sz="2" w:space="0"/>
              <w:bottom w:val="single" w:color="000000" w:sz="2" w:space="0"/>
              <w:right w:val="single" w:color="000000" w:sz="2" w:space="0"/>
            </w:tcBorders>
            <w:vAlign w:val="center"/>
          </w:tcPr>
          <w:p w14:paraId="19036BD4">
            <w:pPr>
              <w:pStyle w:val="129"/>
              <w:widowControl w:val="0"/>
              <w:rPr>
                <w:rFonts w:eastAsia="Times New Roman"/>
                <w:color w:val="auto"/>
              </w:rPr>
            </w:pPr>
            <w:r>
              <w:rPr>
                <w:rFonts w:hint="eastAsia" w:eastAsia="Times New Roman"/>
                <w:color w:val="auto"/>
              </w:rPr>
              <w:t>西</w:t>
            </w:r>
          </w:p>
        </w:tc>
        <w:tc>
          <w:tcPr>
            <w:tcW w:w="183" w:type="pct"/>
            <w:tcBorders>
              <w:top w:val="single" w:color="000000" w:sz="2" w:space="0"/>
              <w:left w:val="single" w:color="000000" w:sz="2" w:space="0"/>
              <w:bottom w:val="single" w:color="000000" w:sz="2" w:space="0"/>
              <w:right w:val="single" w:color="000000" w:sz="2" w:space="0"/>
            </w:tcBorders>
            <w:vAlign w:val="center"/>
          </w:tcPr>
          <w:p w14:paraId="334C58B1">
            <w:pPr>
              <w:pStyle w:val="129"/>
              <w:widowControl w:val="0"/>
              <w:rPr>
                <w:rFonts w:eastAsia="Times New Roman"/>
                <w:color w:val="auto"/>
              </w:rPr>
            </w:pPr>
            <w:r>
              <w:rPr>
                <w:rFonts w:hint="eastAsia" w:eastAsia="Times New Roman"/>
                <w:color w:val="auto"/>
              </w:rPr>
              <w:t>北</w:t>
            </w:r>
          </w:p>
        </w:tc>
        <w:tc>
          <w:tcPr>
            <w:tcW w:w="260" w:type="pct"/>
            <w:vMerge w:val="continue"/>
            <w:tcBorders>
              <w:top w:val="single" w:color="000000" w:sz="8" w:space="0"/>
              <w:left w:val="single" w:color="000000" w:sz="2" w:space="0"/>
              <w:bottom w:val="single" w:color="000000" w:sz="2" w:space="0"/>
              <w:right w:val="single" w:color="000000" w:sz="2" w:space="0"/>
            </w:tcBorders>
            <w:vAlign w:val="center"/>
          </w:tcPr>
          <w:p w14:paraId="12F34C61">
            <w:pPr>
              <w:pStyle w:val="129"/>
              <w:widowControl w:val="0"/>
              <w:rPr>
                <w:rFonts w:eastAsia="Times New Roman"/>
                <w:color w:val="auto"/>
              </w:rPr>
            </w:pPr>
          </w:p>
        </w:tc>
        <w:tc>
          <w:tcPr>
            <w:tcW w:w="183" w:type="pct"/>
            <w:tcBorders>
              <w:top w:val="single" w:color="000000" w:sz="2" w:space="0"/>
              <w:left w:val="single" w:color="000000" w:sz="2" w:space="0"/>
              <w:bottom w:val="single" w:color="000000" w:sz="2" w:space="0"/>
              <w:right w:val="single" w:color="000000" w:sz="2" w:space="0"/>
            </w:tcBorders>
            <w:vAlign w:val="center"/>
          </w:tcPr>
          <w:p w14:paraId="1AC5E30F">
            <w:pPr>
              <w:pStyle w:val="129"/>
              <w:widowControl w:val="0"/>
              <w:rPr>
                <w:rFonts w:eastAsia="Times New Roman"/>
                <w:color w:val="auto"/>
              </w:rPr>
            </w:pPr>
            <w:r>
              <w:rPr>
                <w:rFonts w:hint="eastAsia" w:eastAsia="Times New Roman"/>
                <w:color w:val="auto"/>
              </w:rPr>
              <w:t>东</w:t>
            </w:r>
          </w:p>
        </w:tc>
        <w:tc>
          <w:tcPr>
            <w:tcW w:w="183" w:type="pct"/>
            <w:tcBorders>
              <w:top w:val="single" w:color="000000" w:sz="2" w:space="0"/>
              <w:left w:val="single" w:color="000000" w:sz="2" w:space="0"/>
              <w:bottom w:val="single" w:color="000000" w:sz="2" w:space="0"/>
              <w:right w:val="single" w:color="000000" w:sz="2" w:space="0"/>
            </w:tcBorders>
            <w:vAlign w:val="center"/>
          </w:tcPr>
          <w:p w14:paraId="34A4644E">
            <w:pPr>
              <w:pStyle w:val="129"/>
              <w:widowControl w:val="0"/>
              <w:rPr>
                <w:rFonts w:eastAsia="Times New Roman"/>
                <w:color w:val="auto"/>
              </w:rPr>
            </w:pPr>
            <w:r>
              <w:rPr>
                <w:rFonts w:hint="eastAsia" w:eastAsia="Times New Roman"/>
                <w:color w:val="auto"/>
              </w:rPr>
              <w:t>南</w:t>
            </w:r>
          </w:p>
        </w:tc>
        <w:tc>
          <w:tcPr>
            <w:tcW w:w="183" w:type="pct"/>
            <w:tcBorders>
              <w:top w:val="single" w:color="000000" w:sz="2" w:space="0"/>
              <w:left w:val="single" w:color="000000" w:sz="2" w:space="0"/>
              <w:bottom w:val="single" w:color="000000" w:sz="2" w:space="0"/>
              <w:right w:val="single" w:color="000000" w:sz="2" w:space="0"/>
            </w:tcBorders>
            <w:vAlign w:val="center"/>
          </w:tcPr>
          <w:p w14:paraId="21A8E479">
            <w:pPr>
              <w:pStyle w:val="129"/>
              <w:widowControl w:val="0"/>
              <w:rPr>
                <w:rFonts w:eastAsia="Times New Roman"/>
                <w:color w:val="auto"/>
              </w:rPr>
            </w:pPr>
            <w:r>
              <w:rPr>
                <w:rFonts w:hint="eastAsia" w:eastAsia="Times New Roman"/>
                <w:color w:val="auto"/>
              </w:rPr>
              <w:t>西</w:t>
            </w:r>
          </w:p>
        </w:tc>
        <w:tc>
          <w:tcPr>
            <w:tcW w:w="183" w:type="pct"/>
            <w:tcBorders>
              <w:top w:val="single" w:color="000000" w:sz="2" w:space="0"/>
              <w:left w:val="single" w:color="000000" w:sz="2" w:space="0"/>
              <w:bottom w:val="single" w:color="000000" w:sz="2" w:space="0"/>
              <w:right w:val="single" w:color="000000" w:sz="2" w:space="0"/>
            </w:tcBorders>
            <w:vAlign w:val="center"/>
          </w:tcPr>
          <w:p w14:paraId="6751AB27">
            <w:pPr>
              <w:pStyle w:val="129"/>
              <w:widowControl w:val="0"/>
              <w:rPr>
                <w:rFonts w:eastAsia="Times New Roman"/>
                <w:color w:val="auto"/>
              </w:rPr>
            </w:pPr>
            <w:r>
              <w:rPr>
                <w:rFonts w:hint="eastAsia" w:eastAsia="Times New Roman"/>
                <w:color w:val="auto"/>
              </w:rPr>
              <w:t>北</w:t>
            </w:r>
          </w:p>
        </w:tc>
        <w:tc>
          <w:tcPr>
            <w:tcW w:w="217" w:type="pct"/>
            <w:vMerge w:val="continue"/>
            <w:tcBorders>
              <w:left w:val="single" w:color="000000" w:sz="2" w:space="0"/>
              <w:bottom w:val="single" w:color="000000" w:sz="2" w:space="0"/>
              <w:right w:val="single" w:color="000000" w:sz="8" w:space="0"/>
            </w:tcBorders>
            <w:vAlign w:val="center"/>
          </w:tcPr>
          <w:p w14:paraId="431FF606">
            <w:pPr>
              <w:pStyle w:val="129"/>
              <w:widowControl w:val="0"/>
              <w:rPr>
                <w:rFonts w:eastAsia="Times New Roman"/>
                <w:color w:val="auto"/>
              </w:rPr>
            </w:pPr>
          </w:p>
        </w:tc>
      </w:tr>
      <w:tr w14:paraId="29E180D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52" w:type="pct"/>
            <w:tcBorders>
              <w:top w:val="single" w:color="000000" w:sz="2" w:space="0"/>
              <w:left w:val="single" w:color="000000" w:sz="8" w:space="0"/>
              <w:bottom w:val="single" w:color="000000" w:sz="2" w:space="0"/>
              <w:right w:val="single" w:color="000000" w:sz="2" w:space="0"/>
            </w:tcBorders>
            <w:vAlign w:val="center"/>
          </w:tcPr>
          <w:p w14:paraId="4D7C776E">
            <w:pPr>
              <w:pStyle w:val="129"/>
              <w:widowControl w:val="0"/>
              <w:rPr>
                <w:rFonts w:eastAsiaTheme="minorEastAsia"/>
                <w:color w:val="auto"/>
              </w:rPr>
            </w:pPr>
            <w:r>
              <w:rPr>
                <w:rFonts w:hint="eastAsia" w:eastAsiaTheme="minorEastAsia"/>
                <w:color w:val="auto"/>
              </w:rPr>
              <w:t>1</w:t>
            </w:r>
          </w:p>
        </w:tc>
        <w:tc>
          <w:tcPr>
            <w:tcW w:w="251" w:type="pct"/>
            <w:tcBorders>
              <w:top w:val="single" w:color="000000" w:sz="2" w:space="0"/>
              <w:left w:val="single" w:color="000000" w:sz="2" w:space="0"/>
              <w:bottom w:val="single" w:color="000000" w:sz="2" w:space="0"/>
              <w:right w:val="single" w:color="000000" w:sz="2" w:space="0"/>
            </w:tcBorders>
            <w:vAlign w:val="center"/>
          </w:tcPr>
          <w:p w14:paraId="3AFEA4CE">
            <w:pPr>
              <w:pStyle w:val="129"/>
              <w:widowControl w:val="0"/>
              <w:rPr>
                <w:rFonts w:eastAsia="Times New Roman"/>
                <w:color w:val="auto"/>
              </w:rPr>
            </w:pPr>
            <w:r>
              <w:rPr>
                <w:rFonts w:hint="eastAsia" w:eastAsia="Times New Roman"/>
                <w:color w:val="auto"/>
              </w:rPr>
              <w:t>危险废物处置车间</w:t>
            </w:r>
          </w:p>
        </w:tc>
        <w:tc>
          <w:tcPr>
            <w:tcW w:w="203" w:type="pct"/>
            <w:tcBorders>
              <w:top w:val="single" w:color="000000" w:sz="2" w:space="0"/>
              <w:left w:val="single" w:color="000000" w:sz="2" w:space="0"/>
              <w:bottom w:val="single" w:color="000000" w:sz="2" w:space="0"/>
              <w:right w:val="single" w:color="000000" w:sz="2" w:space="0"/>
            </w:tcBorders>
            <w:vAlign w:val="center"/>
          </w:tcPr>
          <w:p w14:paraId="5605579D">
            <w:pPr>
              <w:pStyle w:val="129"/>
              <w:widowControl w:val="0"/>
              <w:rPr>
                <w:rFonts w:eastAsia="Times New Roman"/>
                <w:color w:val="auto"/>
              </w:rPr>
            </w:pPr>
            <w:r>
              <w:rPr>
                <w:rFonts w:hint="eastAsia" w:eastAsia="Times New Roman"/>
                <w:color w:val="auto"/>
              </w:rPr>
              <w:t>机泵</w:t>
            </w:r>
          </w:p>
        </w:tc>
        <w:tc>
          <w:tcPr>
            <w:tcW w:w="273" w:type="pct"/>
            <w:tcBorders>
              <w:top w:val="single" w:color="000000" w:sz="2" w:space="0"/>
              <w:left w:val="single" w:color="000000" w:sz="2" w:space="0"/>
              <w:bottom w:val="single" w:color="000000" w:sz="2" w:space="0"/>
              <w:right w:val="single" w:color="000000" w:sz="2" w:space="0"/>
            </w:tcBorders>
            <w:vAlign w:val="center"/>
          </w:tcPr>
          <w:p w14:paraId="25FF07A4">
            <w:pPr>
              <w:pStyle w:val="129"/>
              <w:widowControl w:val="0"/>
              <w:rPr>
                <w:rFonts w:eastAsiaTheme="minorEastAsia"/>
                <w:color w:val="auto"/>
              </w:rPr>
            </w:pPr>
            <w:r>
              <w:rPr>
                <w:rFonts w:hint="eastAsia" w:eastAsiaTheme="minorEastAsia"/>
                <w:color w:val="auto"/>
              </w:rPr>
              <w:t>16</w:t>
            </w:r>
          </w:p>
        </w:tc>
        <w:tc>
          <w:tcPr>
            <w:tcW w:w="363" w:type="pct"/>
            <w:tcBorders>
              <w:top w:val="single" w:color="000000" w:sz="2" w:space="0"/>
              <w:left w:val="single" w:color="000000" w:sz="2" w:space="0"/>
              <w:bottom w:val="single" w:color="000000" w:sz="2" w:space="0"/>
              <w:right w:val="single" w:color="000000" w:sz="2" w:space="0"/>
            </w:tcBorders>
            <w:vAlign w:val="center"/>
          </w:tcPr>
          <w:p w14:paraId="43D4DDBE">
            <w:pPr>
              <w:pStyle w:val="129"/>
              <w:widowControl w:val="0"/>
              <w:rPr>
                <w:rFonts w:eastAsiaTheme="minorEastAsia"/>
                <w:color w:val="auto"/>
              </w:rPr>
            </w:pPr>
            <w:r>
              <w:rPr>
                <w:rFonts w:hint="eastAsia" w:eastAsiaTheme="minorEastAsia"/>
                <w:color w:val="auto"/>
              </w:rPr>
              <w:t>91</w:t>
            </w:r>
          </w:p>
        </w:tc>
        <w:tc>
          <w:tcPr>
            <w:tcW w:w="370" w:type="pct"/>
            <w:tcBorders>
              <w:top w:val="single" w:color="000000" w:sz="2" w:space="0"/>
              <w:left w:val="single" w:color="000000" w:sz="2" w:space="0"/>
              <w:bottom w:val="single" w:color="000000" w:sz="2" w:space="0"/>
              <w:right w:val="single" w:color="000000" w:sz="2" w:space="0"/>
            </w:tcBorders>
            <w:vAlign w:val="center"/>
          </w:tcPr>
          <w:p w14:paraId="584BA095">
            <w:pPr>
              <w:pStyle w:val="129"/>
              <w:widowControl w:val="0"/>
              <w:rPr>
                <w:rFonts w:eastAsia="Times New Roman"/>
                <w:color w:val="auto"/>
              </w:rPr>
            </w:pPr>
            <w:r>
              <w:rPr>
                <w:rFonts w:hint="eastAsia" w:eastAsia="Times New Roman"/>
                <w:color w:val="auto"/>
              </w:rPr>
              <w:t>减振基础、室内布置</w:t>
            </w:r>
          </w:p>
        </w:tc>
        <w:tc>
          <w:tcPr>
            <w:tcW w:w="156" w:type="pct"/>
            <w:tcBorders>
              <w:top w:val="single" w:color="000000" w:sz="2" w:space="0"/>
              <w:left w:val="single" w:color="000000" w:sz="2" w:space="0"/>
              <w:bottom w:val="single" w:color="000000" w:sz="2" w:space="0"/>
              <w:right w:val="single" w:color="000000" w:sz="2" w:space="0"/>
            </w:tcBorders>
            <w:vAlign w:val="center"/>
          </w:tcPr>
          <w:p w14:paraId="685C56CF">
            <w:pPr>
              <w:pStyle w:val="129"/>
              <w:widowControl w:val="0"/>
              <w:rPr>
                <w:rFonts w:eastAsiaTheme="minorEastAsia"/>
                <w:color w:val="auto"/>
              </w:rPr>
            </w:pPr>
            <w:r>
              <w:rPr>
                <w:rFonts w:eastAsiaTheme="minorEastAsia"/>
                <w:color w:val="auto"/>
              </w:rPr>
              <w:t>-31</w:t>
            </w:r>
          </w:p>
        </w:tc>
        <w:tc>
          <w:tcPr>
            <w:tcW w:w="200" w:type="pct"/>
            <w:tcBorders>
              <w:top w:val="single" w:color="000000" w:sz="2" w:space="0"/>
              <w:left w:val="single" w:color="000000" w:sz="2" w:space="0"/>
              <w:bottom w:val="single" w:color="000000" w:sz="2" w:space="0"/>
              <w:right w:val="single" w:color="000000" w:sz="2" w:space="0"/>
            </w:tcBorders>
            <w:vAlign w:val="center"/>
          </w:tcPr>
          <w:p w14:paraId="397B2582">
            <w:pPr>
              <w:pStyle w:val="129"/>
              <w:widowControl w:val="0"/>
              <w:rPr>
                <w:rFonts w:eastAsiaTheme="minorEastAsia"/>
                <w:color w:val="auto"/>
              </w:rPr>
            </w:pPr>
            <w:r>
              <w:rPr>
                <w:rFonts w:eastAsiaTheme="minorEastAsia"/>
                <w:color w:val="auto"/>
              </w:rPr>
              <w:t>84.7</w:t>
            </w:r>
          </w:p>
        </w:tc>
        <w:tc>
          <w:tcPr>
            <w:tcW w:w="104" w:type="pct"/>
            <w:tcBorders>
              <w:top w:val="single" w:color="000000" w:sz="2" w:space="0"/>
              <w:left w:val="single" w:color="000000" w:sz="2" w:space="0"/>
              <w:bottom w:val="single" w:color="000000" w:sz="2" w:space="0"/>
              <w:right w:val="single" w:color="000000" w:sz="2" w:space="0"/>
            </w:tcBorders>
            <w:vAlign w:val="center"/>
          </w:tcPr>
          <w:p w14:paraId="445AABB1">
            <w:pPr>
              <w:pStyle w:val="129"/>
              <w:widowControl w:val="0"/>
              <w:rPr>
                <w:rFonts w:eastAsiaTheme="minorEastAsia"/>
                <w:color w:val="auto"/>
              </w:rPr>
            </w:pPr>
            <w:r>
              <w:rPr>
                <w:rFonts w:hint="eastAsia" w:eastAsiaTheme="minorEastAsia"/>
                <w:color w:val="auto"/>
              </w:rPr>
              <w:t>1</w:t>
            </w:r>
          </w:p>
        </w:tc>
        <w:tc>
          <w:tcPr>
            <w:tcW w:w="207" w:type="pct"/>
            <w:tcBorders>
              <w:top w:val="single" w:color="000000" w:sz="2" w:space="0"/>
              <w:left w:val="single" w:color="000000" w:sz="2" w:space="0"/>
              <w:bottom w:val="single" w:color="000000" w:sz="2" w:space="0"/>
              <w:right w:val="single" w:color="000000" w:sz="2" w:space="0"/>
            </w:tcBorders>
            <w:vAlign w:val="center"/>
          </w:tcPr>
          <w:p w14:paraId="6579795E">
            <w:pPr>
              <w:pStyle w:val="129"/>
              <w:widowControl w:val="0"/>
              <w:rPr>
                <w:rFonts w:eastAsiaTheme="minorEastAsia"/>
                <w:color w:val="auto"/>
              </w:rPr>
            </w:pPr>
            <w:r>
              <w:rPr>
                <w:rFonts w:hint="eastAsia" w:eastAsiaTheme="minorEastAsia"/>
                <w:color w:val="auto"/>
              </w:rPr>
              <w:t>8000</w:t>
            </w:r>
          </w:p>
        </w:tc>
        <w:tc>
          <w:tcPr>
            <w:tcW w:w="195" w:type="pct"/>
            <w:tcBorders>
              <w:top w:val="single" w:color="000000" w:sz="2" w:space="0"/>
              <w:left w:val="single" w:color="000000" w:sz="2" w:space="0"/>
              <w:bottom w:val="single" w:color="000000" w:sz="2" w:space="0"/>
              <w:right w:val="single" w:color="000000" w:sz="2" w:space="0"/>
            </w:tcBorders>
            <w:vAlign w:val="center"/>
          </w:tcPr>
          <w:p w14:paraId="003203B6">
            <w:pPr>
              <w:pStyle w:val="129"/>
              <w:widowControl w:val="0"/>
              <w:rPr>
                <w:rFonts w:eastAsiaTheme="minorEastAsia"/>
                <w:color w:val="auto"/>
              </w:rPr>
            </w:pPr>
            <w:r>
              <w:rPr>
                <w:rFonts w:eastAsiaTheme="minorEastAsia"/>
                <w:color w:val="auto"/>
              </w:rPr>
              <w:t>103.7</w:t>
            </w:r>
          </w:p>
        </w:tc>
        <w:tc>
          <w:tcPr>
            <w:tcW w:w="195" w:type="pct"/>
            <w:tcBorders>
              <w:top w:val="single" w:color="000000" w:sz="2" w:space="0"/>
              <w:left w:val="single" w:color="000000" w:sz="2" w:space="0"/>
              <w:bottom w:val="single" w:color="000000" w:sz="2" w:space="0"/>
              <w:right w:val="single" w:color="000000" w:sz="2" w:space="0"/>
            </w:tcBorders>
            <w:vAlign w:val="center"/>
          </w:tcPr>
          <w:p w14:paraId="19C51A90">
            <w:pPr>
              <w:pStyle w:val="129"/>
              <w:widowControl w:val="0"/>
              <w:rPr>
                <w:rFonts w:eastAsiaTheme="minorEastAsia"/>
                <w:color w:val="auto"/>
              </w:rPr>
            </w:pPr>
            <w:r>
              <w:rPr>
                <w:rFonts w:eastAsiaTheme="minorEastAsia"/>
                <w:color w:val="auto"/>
              </w:rPr>
              <w:t>49.4</w:t>
            </w:r>
          </w:p>
        </w:tc>
        <w:tc>
          <w:tcPr>
            <w:tcW w:w="195" w:type="pct"/>
            <w:tcBorders>
              <w:top w:val="single" w:color="000000" w:sz="2" w:space="0"/>
              <w:left w:val="single" w:color="000000" w:sz="2" w:space="0"/>
              <w:bottom w:val="single" w:color="000000" w:sz="2" w:space="0"/>
              <w:right w:val="single" w:color="000000" w:sz="2" w:space="0"/>
            </w:tcBorders>
            <w:vAlign w:val="center"/>
          </w:tcPr>
          <w:p w14:paraId="3998B7B1">
            <w:pPr>
              <w:pStyle w:val="129"/>
              <w:widowControl w:val="0"/>
              <w:rPr>
                <w:rFonts w:eastAsiaTheme="minorEastAsia"/>
                <w:color w:val="auto"/>
              </w:rPr>
            </w:pPr>
            <w:r>
              <w:rPr>
                <w:rFonts w:eastAsiaTheme="minorEastAsia"/>
                <w:color w:val="auto"/>
              </w:rPr>
              <w:t>95.5</w:t>
            </w:r>
          </w:p>
        </w:tc>
        <w:tc>
          <w:tcPr>
            <w:tcW w:w="197" w:type="pct"/>
            <w:tcBorders>
              <w:top w:val="single" w:color="000000" w:sz="2" w:space="0"/>
              <w:left w:val="single" w:color="000000" w:sz="2" w:space="0"/>
              <w:bottom w:val="single" w:color="000000" w:sz="2" w:space="0"/>
              <w:right w:val="single" w:color="000000" w:sz="2" w:space="0"/>
            </w:tcBorders>
            <w:vAlign w:val="center"/>
          </w:tcPr>
          <w:p w14:paraId="32CBDE0B">
            <w:pPr>
              <w:pStyle w:val="129"/>
              <w:widowControl w:val="0"/>
              <w:rPr>
                <w:rFonts w:eastAsiaTheme="minorEastAsia"/>
                <w:color w:val="auto"/>
              </w:rPr>
            </w:pPr>
            <w:r>
              <w:rPr>
                <w:rFonts w:eastAsiaTheme="minorEastAsia"/>
                <w:color w:val="auto"/>
              </w:rPr>
              <w:t>52.5</w:t>
            </w:r>
          </w:p>
        </w:tc>
        <w:tc>
          <w:tcPr>
            <w:tcW w:w="182" w:type="pct"/>
            <w:tcBorders>
              <w:top w:val="single" w:color="000000" w:sz="2" w:space="0"/>
              <w:left w:val="single" w:color="000000" w:sz="2" w:space="0"/>
              <w:bottom w:val="single" w:color="000000" w:sz="2" w:space="0"/>
              <w:right w:val="single" w:color="000000" w:sz="2" w:space="0"/>
            </w:tcBorders>
            <w:vAlign w:val="center"/>
          </w:tcPr>
          <w:p w14:paraId="521228C2">
            <w:pPr>
              <w:pStyle w:val="129"/>
              <w:widowControl w:val="0"/>
              <w:rPr>
                <w:rFonts w:eastAsiaTheme="minorEastAsia"/>
                <w:color w:val="auto"/>
              </w:rPr>
            </w:pPr>
            <w:r>
              <w:rPr>
                <w:rFonts w:eastAsiaTheme="minorEastAsia"/>
                <w:color w:val="auto"/>
              </w:rPr>
              <w:t>69.4</w:t>
            </w:r>
          </w:p>
        </w:tc>
        <w:tc>
          <w:tcPr>
            <w:tcW w:w="182" w:type="pct"/>
            <w:tcBorders>
              <w:top w:val="single" w:color="000000" w:sz="2" w:space="0"/>
              <w:left w:val="single" w:color="000000" w:sz="2" w:space="0"/>
              <w:bottom w:val="single" w:color="000000" w:sz="2" w:space="0"/>
              <w:right w:val="single" w:color="000000" w:sz="2" w:space="0"/>
            </w:tcBorders>
            <w:vAlign w:val="center"/>
          </w:tcPr>
          <w:p w14:paraId="1DB26F5F">
            <w:pPr>
              <w:pStyle w:val="129"/>
              <w:widowControl w:val="0"/>
              <w:rPr>
                <w:rFonts w:eastAsiaTheme="minorEastAsia"/>
                <w:color w:val="auto"/>
              </w:rPr>
            </w:pPr>
            <w:r>
              <w:rPr>
                <w:rFonts w:eastAsiaTheme="minorEastAsia"/>
                <w:color w:val="auto"/>
              </w:rPr>
              <w:t>69.4</w:t>
            </w:r>
          </w:p>
        </w:tc>
        <w:tc>
          <w:tcPr>
            <w:tcW w:w="182" w:type="pct"/>
            <w:tcBorders>
              <w:top w:val="single" w:color="000000" w:sz="2" w:space="0"/>
              <w:left w:val="single" w:color="000000" w:sz="2" w:space="0"/>
              <w:bottom w:val="single" w:color="000000" w:sz="2" w:space="0"/>
              <w:right w:val="single" w:color="000000" w:sz="2" w:space="0"/>
            </w:tcBorders>
            <w:vAlign w:val="center"/>
          </w:tcPr>
          <w:p w14:paraId="616761A2">
            <w:pPr>
              <w:pStyle w:val="129"/>
              <w:widowControl w:val="0"/>
              <w:rPr>
                <w:rFonts w:eastAsiaTheme="minorEastAsia"/>
                <w:color w:val="auto"/>
              </w:rPr>
            </w:pPr>
            <w:r>
              <w:rPr>
                <w:rFonts w:eastAsiaTheme="minorEastAsia"/>
                <w:color w:val="auto"/>
              </w:rPr>
              <w:t>69.4</w:t>
            </w:r>
          </w:p>
        </w:tc>
        <w:tc>
          <w:tcPr>
            <w:tcW w:w="183" w:type="pct"/>
            <w:tcBorders>
              <w:top w:val="single" w:color="000000" w:sz="2" w:space="0"/>
              <w:left w:val="single" w:color="000000" w:sz="2" w:space="0"/>
              <w:bottom w:val="single" w:color="000000" w:sz="2" w:space="0"/>
              <w:right w:val="single" w:color="000000" w:sz="2" w:space="0"/>
            </w:tcBorders>
            <w:vAlign w:val="center"/>
          </w:tcPr>
          <w:p w14:paraId="561960B0">
            <w:pPr>
              <w:pStyle w:val="129"/>
              <w:widowControl w:val="0"/>
              <w:rPr>
                <w:rFonts w:eastAsiaTheme="minorEastAsia"/>
                <w:color w:val="auto"/>
              </w:rPr>
            </w:pPr>
            <w:r>
              <w:rPr>
                <w:rFonts w:eastAsiaTheme="minorEastAsia"/>
                <w:color w:val="auto"/>
              </w:rPr>
              <w:t>69.4</w:t>
            </w:r>
          </w:p>
        </w:tc>
        <w:tc>
          <w:tcPr>
            <w:tcW w:w="260" w:type="pct"/>
            <w:tcBorders>
              <w:top w:val="single" w:color="000000" w:sz="2" w:space="0"/>
              <w:left w:val="single" w:color="000000" w:sz="2" w:space="0"/>
              <w:bottom w:val="single" w:color="000000" w:sz="2" w:space="0"/>
              <w:right w:val="single" w:color="000000" w:sz="2" w:space="0"/>
            </w:tcBorders>
            <w:vAlign w:val="center"/>
          </w:tcPr>
          <w:p w14:paraId="269F1BCD">
            <w:pPr>
              <w:pStyle w:val="129"/>
              <w:widowControl w:val="0"/>
              <w:rPr>
                <w:rFonts w:eastAsiaTheme="minorEastAsia"/>
                <w:color w:val="auto"/>
              </w:rPr>
            </w:pPr>
            <w:r>
              <w:rPr>
                <w:rFonts w:eastAsiaTheme="minorEastAsia"/>
                <w:color w:val="auto"/>
              </w:rPr>
              <w:t>26.0</w:t>
            </w:r>
          </w:p>
        </w:tc>
        <w:tc>
          <w:tcPr>
            <w:tcW w:w="183" w:type="pct"/>
            <w:tcBorders>
              <w:top w:val="single" w:color="000000" w:sz="2" w:space="0"/>
              <w:left w:val="single" w:color="000000" w:sz="2" w:space="0"/>
              <w:bottom w:val="single" w:color="000000" w:sz="2" w:space="0"/>
              <w:right w:val="single" w:color="000000" w:sz="2" w:space="0"/>
            </w:tcBorders>
            <w:vAlign w:val="center"/>
          </w:tcPr>
          <w:p w14:paraId="40FA5579">
            <w:pPr>
              <w:pStyle w:val="129"/>
              <w:widowControl w:val="0"/>
              <w:rPr>
                <w:rFonts w:eastAsiaTheme="minorEastAsia"/>
                <w:color w:val="auto"/>
              </w:rPr>
            </w:pPr>
            <w:r>
              <w:rPr>
                <w:rFonts w:eastAsiaTheme="minorEastAsia"/>
                <w:color w:val="auto"/>
              </w:rPr>
              <w:t>43.4</w:t>
            </w:r>
          </w:p>
        </w:tc>
        <w:tc>
          <w:tcPr>
            <w:tcW w:w="183" w:type="pct"/>
            <w:tcBorders>
              <w:top w:val="single" w:color="000000" w:sz="2" w:space="0"/>
              <w:left w:val="single" w:color="000000" w:sz="2" w:space="0"/>
              <w:bottom w:val="single" w:color="000000" w:sz="2" w:space="0"/>
              <w:right w:val="single" w:color="000000" w:sz="2" w:space="0"/>
            </w:tcBorders>
            <w:vAlign w:val="center"/>
          </w:tcPr>
          <w:p w14:paraId="5EADE02B">
            <w:pPr>
              <w:pStyle w:val="129"/>
              <w:widowControl w:val="0"/>
              <w:rPr>
                <w:rFonts w:eastAsiaTheme="minorEastAsia"/>
                <w:color w:val="auto"/>
              </w:rPr>
            </w:pPr>
            <w:r>
              <w:rPr>
                <w:rFonts w:eastAsiaTheme="minorEastAsia"/>
                <w:color w:val="auto"/>
              </w:rPr>
              <w:t>43.4</w:t>
            </w:r>
          </w:p>
        </w:tc>
        <w:tc>
          <w:tcPr>
            <w:tcW w:w="183" w:type="pct"/>
            <w:tcBorders>
              <w:top w:val="single" w:color="000000" w:sz="2" w:space="0"/>
              <w:left w:val="single" w:color="000000" w:sz="2" w:space="0"/>
              <w:bottom w:val="single" w:color="000000" w:sz="2" w:space="0"/>
              <w:right w:val="single" w:color="000000" w:sz="2" w:space="0"/>
            </w:tcBorders>
            <w:vAlign w:val="center"/>
          </w:tcPr>
          <w:p w14:paraId="4F7DA9F6">
            <w:pPr>
              <w:pStyle w:val="129"/>
              <w:widowControl w:val="0"/>
              <w:rPr>
                <w:rFonts w:eastAsiaTheme="minorEastAsia"/>
                <w:color w:val="auto"/>
              </w:rPr>
            </w:pPr>
            <w:r>
              <w:rPr>
                <w:rFonts w:eastAsiaTheme="minorEastAsia"/>
                <w:color w:val="auto"/>
              </w:rPr>
              <w:t>43.4</w:t>
            </w:r>
          </w:p>
        </w:tc>
        <w:tc>
          <w:tcPr>
            <w:tcW w:w="183" w:type="pct"/>
            <w:tcBorders>
              <w:top w:val="single" w:color="000000" w:sz="2" w:space="0"/>
              <w:left w:val="single" w:color="000000" w:sz="2" w:space="0"/>
              <w:bottom w:val="single" w:color="000000" w:sz="2" w:space="0"/>
              <w:right w:val="single" w:color="000000" w:sz="2" w:space="0"/>
            </w:tcBorders>
            <w:vAlign w:val="center"/>
          </w:tcPr>
          <w:p w14:paraId="22EE2221">
            <w:pPr>
              <w:pStyle w:val="129"/>
              <w:widowControl w:val="0"/>
              <w:rPr>
                <w:rFonts w:eastAsiaTheme="minorEastAsia"/>
                <w:color w:val="auto"/>
              </w:rPr>
            </w:pPr>
            <w:r>
              <w:rPr>
                <w:rFonts w:eastAsiaTheme="minorEastAsia"/>
                <w:color w:val="auto"/>
              </w:rPr>
              <w:t>43.4</w:t>
            </w:r>
          </w:p>
        </w:tc>
        <w:tc>
          <w:tcPr>
            <w:tcW w:w="217" w:type="pct"/>
            <w:tcBorders>
              <w:top w:val="single" w:color="000000" w:sz="2" w:space="0"/>
              <w:left w:val="single" w:color="000000" w:sz="2" w:space="0"/>
              <w:bottom w:val="single" w:color="000000" w:sz="2" w:space="0"/>
              <w:right w:val="single" w:color="000000" w:sz="8" w:space="0"/>
            </w:tcBorders>
            <w:vAlign w:val="center"/>
          </w:tcPr>
          <w:p w14:paraId="24A004B6">
            <w:pPr>
              <w:pStyle w:val="129"/>
              <w:widowControl w:val="0"/>
              <w:rPr>
                <w:rFonts w:eastAsia="Times New Roman"/>
                <w:color w:val="auto"/>
              </w:rPr>
            </w:pPr>
            <w:r>
              <w:rPr>
                <w:rFonts w:ascii="Arial" w:hAnsi="Arial" w:eastAsia="Times New Roman" w:cs="Arial"/>
                <w:color w:val="auto"/>
                <w:sz w:val="20"/>
                <w:szCs w:val="20"/>
              </w:rPr>
              <w:t>1</w:t>
            </w:r>
          </w:p>
        </w:tc>
      </w:tr>
      <w:tr w14:paraId="425775C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52" w:type="pct"/>
            <w:tcBorders>
              <w:top w:val="single" w:color="000000" w:sz="2" w:space="0"/>
              <w:left w:val="single" w:color="000000" w:sz="8" w:space="0"/>
              <w:bottom w:val="single" w:color="000000" w:sz="2" w:space="0"/>
              <w:right w:val="single" w:color="000000" w:sz="2" w:space="0"/>
            </w:tcBorders>
            <w:vAlign w:val="center"/>
          </w:tcPr>
          <w:p w14:paraId="4B18F0A7">
            <w:pPr>
              <w:pStyle w:val="129"/>
              <w:widowControl w:val="0"/>
              <w:rPr>
                <w:rFonts w:eastAsiaTheme="minorEastAsia"/>
                <w:color w:val="auto"/>
              </w:rPr>
            </w:pPr>
            <w:r>
              <w:rPr>
                <w:rFonts w:hint="eastAsia" w:eastAsiaTheme="minorEastAsia"/>
                <w:color w:val="auto"/>
              </w:rPr>
              <w:t>2</w:t>
            </w:r>
          </w:p>
        </w:tc>
        <w:tc>
          <w:tcPr>
            <w:tcW w:w="251" w:type="pct"/>
            <w:tcBorders>
              <w:top w:val="single" w:color="000000" w:sz="2" w:space="0"/>
              <w:left w:val="single" w:color="000000" w:sz="2" w:space="0"/>
              <w:right w:val="single" w:color="000000" w:sz="2" w:space="0"/>
            </w:tcBorders>
            <w:vAlign w:val="center"/>
          </w:tcPr>
          <w:p w14:paraId="16D51F1F">
            <w:pPr>
              <w:pStyle w:val="129"/>
              <w:widowControl w:val="0"/>
              <w:rPr>
                <w:rFonts w:eastAsia="Times New Roman"/>
                <w:color w:val="auto"/>
              </w:rPr>
            </w:pPr>
            <w:r>
              <w:rPr>
                <w:rFonts w:hint="eastAsia" w:eastAsia="Times New Roman"/>
                <w:color w:val="auto"/>
              </w:rPr>
              <w:t>催化剂生产车间</w:t>
            </w:r>
          </w:p>
        </w:tc>
        <w:tc>
          <w:tcPr>
            <w:tcW w:w="203" w:type="pct"/>
            <w:tcBorders>
              <w:top w:val="single" w:color="000000" w:sz="2" w:space="0"/>
              <w:left w:val="single" w:color="000000" w:sz="2" w:space="0"/>
              <w:bottom w:val="single" w:color="000000" w:sz="2" w:space="0"/>
              <w:right w:val="single" w:color="000000" w:sz="2" w:space="0"/>
            </w:tcBorders>
            <w:vAlign w:val="center"/>
          </w:tcPr>
          <w:p w14:paraId="0917A3AF">
            <w:pPr>
              <w:pStyle w:val="129"/>
              <w:widowControl w:val="0"/>
              <w:rPr>
                <w:rFonts w:eastAsia="Times New Roman"/>
                <w:color w:val="auto"/>
              </w:rPr>
            </w:pPr>
            <w:r>
              <w:rPr>
                <w:rFonts w:hint="eastAsia" w:eastAsia="Times New Roman"/>
                <w:color w:val="auto"/>
              </w:rPr>
              <w:t>包装机</w:t>
            </w:r>
          </w:p>
        </w:tc>
        <w:tc>
          <w:tcPr>
            <w:tcW w:w="273" w:type="pct"/>
            <w:tcBorders>
              <w:top w:val="single" w:color="000000" w:sz="2" w:space="0"/>
              <w:left w:val="single" w:color="000000" w:sz="2" w:space="0"/>
              <w:bottom w:val="single" w:color="000000" w:sz="2" w:space="0"/>
              <w:right w:val="single" w:color="000000" w:sz="2" w:space="0"/>
            </w:tcBorders>
            <w:vAlign w:val="center"/>
          </w:tcPr>
          <w:p w14:paraId="6AEF259F">
            <w:pPr>
              <w:pStyle w:val="129"/>
              <w:widowControl w:val="0"/>
              <w:rPr>
                <w:rFonts w:eastAsiaTheme="minorEastAsia"/>
                <w:color w:val="auto"/>
              </w:rPr>
            </w:pPr>
            <w:r>
              <w:rPr>
                <w:rFonts w:hint="eastAsia" w:eastAsiaTheme="minorEastAsia"/>
                <w:color w:val="auto"/>
              </w:rPr>
              <w:t>4</w:t>
            </w:r>
          </w:p>
        </w:tc>
        <w:tc>
          <w:tcPr>
            <w:tcW w:w="363" w:type="pct"/>
            <w:tcBorders>
              <w:top w:val="single" w:color="000000" w:sz="2" w:space="0"/>
              <w:left w:val="single" w:color="000000" w:sz="2" w:space="0"/>
              <w:bottom w:val="single" w:color="000000" w:sz="2" w:space="0"/>
              <w:right w:val="single" w:color="000000" w:sz="2" w:space="0"/>
            </w:tcBorders>
            <w:vAlign w:val="center"/>
          </w:tcPr>
          <w:p w14:paraId="738335AD">
            <w:pPr>
              <w:pStyle w:val="129"/>
              <w:widowControl w:val="0"/>
              <w:rPr>
                <w:rFonts w:eastAsiaTheme="minorEastAsia"/>
                <w:color w:val="auto"/>
              </w:rPr>
            </w:pPr>
            <w:r>
              <w:rPr>
                <w:rFonts w:hint="eastAsia" w:eastAsiaTheme="minorEastAsia"/>
                <w:color w:val="auto"/>
              </w:rPr>
              <w:t>86</w:t>
            </w:r>
          </w:p>
        </w:tc>
        <w:tc>
          <w:tcPr>
            <w:tcW w:w="370" w:type="pct"/>
            <w:tcBorders>
              <w:top w:val="single" w:color="000000" w:sz="2" w:space="0"/>
              <w:left w:val="single" w:color="000000" w:sz="2" w:space="0"/>
              <w:bottom w:val="single" w:color="000000" w:sz="2" w:space="0"/>
              <w:right w:val="single" w:color="000000" w:sz="2" w:space="0"/>
            </w:tcBorders>
            <w:vAlign w:val="center"/>
          </w:tcPr>
          <w:p w14:paraId="0BAF23DD">
            <w:pPr>
              <w:pStyle w:val="129"/>
              <w:widowControl w:val="0"/>
              <w:rPr>
                <w:rFonts w:eastAsia="Times New Roman"/>
                <w:color w:val="auto"/>
              </w:rPr>
            </w:pPr>
            <w:r>
              <w:rPr>
                <w:rFonts w:hint="eastAsia" w:eastAsia="Times New Roman"/>
                <w:color w:val="auto"/>
              </w:rPr>
              <w:t>减振基础、室内布置</w:t>
            </w:r>
          </w:p>
        </w:tc>
        <w:tc>
          <w:tcPr>
            <w:tcW w:w="156" w:type="pct"/>
            <w:tcBorders>
              <w:top w:val="single" w:color="000000" w:sz="2" w:space="0"/>
              <w:left w:val="single" w:color="000000" w:sz="2" w:space="0"/>
              <w:bottom w:val="single" w:color="000000" w:sz="2" w:space="0"/>
              <w:right w:val="single" w:color="000000" w:sz="2" w:space="0"/>
            </w:tcBorders>
            <w:vAlign w:val="center"/>
          </w:tcPr>
          <w:p w14:paraId="58FF8C0E">
            <w:pPr>
              <w:pStyle w:val="129"/>
              <w:widowControl w:val="0"/>
              <w:rPr>
                <w:rFonts w:eastAsiaTheme="minorEastAsia"/>
                <w:color w:val="auto"/>
              </w:rPr>
            </w:pPr>
            <w:r>
              <w:rPr>
                <w:rFonts w:eastAsiaTheme="minorEastAsia"/>
                <w:color w:val="auto"/>
              </w:rPr>
              <w:t>59.5</w:t>
            </w:r>
          </w:p>
        </w:tc>
        <w:tc>
          <w:tcPr>
            <w:tcW w:w="200" w:type="pct"/>
            <w:tcBorders>
              <w:top w:val="single" w:color="000000" w:sz="2" w:space="0"/>
              <w:left w:val="single" w:color="000000" w:sz="2" w:space="0"/>
              <w:bottom w:val="single" w:color="000000" w:sz="2" w:space="0"/>
              <w:right w:val="single" w:color="000000" w:sz="2" w:space="0"/>
            </w:tcBorders>
            <w:vAlign w:val="center"/>
          </w:tcPr>
          <w:p w14:paraId="5EACECD2">
            <w:pPr>
              <w:pStyle w:val="129"/>
              <w:widowControl w:val="0"/>
              <w:rPr>
                <w:rFonts w:eastAsiaTheme="minorEastAsia"/>
                <w:color w:val="auto"/>
              </w:rPr>
            </w:pPr>
            <w:r>
              <w:rPr>
                <w:rFonts w:eastAsiaTheme="minorEastAsia"/>
                <w:color w:val="auto"/>
              </w:rPr>
              <w:t>-14.7</w:t>
            </w:r>
          </w:p>
        </w:tc>
        <w:tc>
          <w:tcPr>
            <w:tcW w:w="104" w:type="pct"/>
            <w:tcBorders>
              <w:top w:val="single" w:color="000000" w:sz="2" w:space="0"/>
              <w:left w:val="single" w:color="000000" w:sz="2" w:space="0"/>
              <w:bottom w:val="single" w:color="000000" w:sz="2" w:space="0"/>
              <w:right w:val="single" w:color="000000" w:sz="2" w:space="0"/>
            </w:tcBorders>
            <w:vAlign w:val="center"/>
          </w:tcPr>
          <w:p w14:paraId="2B06182C">
            <w:pPr>
              <w:pStyle w:val="129"/>
              <w:widowControl w:val="0"/>
              <w:rPr>
                <w:rFonts w:eastAsiaTheme="minorEastAsia"/>
                <w:color w:val="auto"/>
              </w:rPr>
            </w:pPr>
            <w:r>
              <w:rPr>
                <w:rFonts w:hint="eastAsia" w:eastAsiaTheme="minorEastAsia"/>
                <w:color w:val="auto"/>
              </w:rPr>
              <w:t>2</w:t>
            </w:r>
          </w:p>
        </w:tc>
        <w:tc>
          <w:tcPr>
            <w:tcW w:w="207" w:type="pct"/>
            <w:tcBorders>
              <w:top w:val="single" w:color="000000" w:sz="2" w:space="0"/>
              <w:left w:val="single" w:color="000000" w:sz="2" w:space="0"/>
              <w:bottom w:val="single" w:color="000000" w:sz="2" w:space="0"/>
              <w:right w:val="single" w:color="000000" w:sz="2" w:space="0"/>
            </w:tcBorders>
            <w:vAlign w:val="center"/>
          </w:tcPr>
          <w:p w14:paraId="23DA0855">
            <w:pPr>
              <w:pStyle w:val="129"/>
              <w:widowControl w:val="0"/>
              <w:rPr>
                <w:rFonts w:eastAsiaTheme="minorEastAsia"/>
                <w:color w:val="auto"/>
              </w:rPr>
            </w:pPr>
            <w:r>
              <w:rPr>
                <w:rFonts w:hint="eastAsia" w:eastAsiaTheme="minorEastAsia"/>
                <w:color w:val="auto"/>
              </w:rPr>
              <w:t>8000</w:t>
            </w:r>
          </w:p>
        </w:tc>
        <w:tc>
          <w:tcPr>
            <w:tcW w:w="195" w:type="pct"/>
            <w:tcBorders>
              <w:top w:val="single" w:color="000000" w:sz="2" w:space="0"/>
              <w:left w:val="single" w:color="000000" w:sz="2" w:space="0"/>
              <w:bottom w:val="single" w:color="000000" w:sz="2" w:space="0"/>
              <w:right w:val="single" w:color="000000" w:sz="2" w:space="0"/>
            </w:tcBorders>
            <w:vAlign w:val="center"/>
          </w:tcPr>
          <w:p w14:paraId="7E7E6F21">
            <w:pPr>
              <w:pStyle w:val="129"/>
              <w:widowControl w:val="0"/>
              <w:rPr>
                <w:rFonts w:eastAsiaTheme="minorEastAsia"/>
                <w:color w:val="auto"/>
              </w:rPr>
            </w:pPr>
            <w:r>
              <w:rPr>
                <w:rFonts w:eastAsiaTheme="minorEastAsia"/>
                <w:color w:val="auto"/>
              </w:rPr>
              <w:t>69.2</w:t>
            </w:r>
          </w:p>
        </w:tc>
        <w:tc>
          <w:tcPr>
            <w:tcW w:w="195" w:type="pct"/>
            <w:tcBorders>
              <w:top w:val="single" w:color="000000" w:sz="2" w:space="0"/>
              <w:left w:val="single" w:color="000000" w:sz="2" w:space="0"/>
              <w:bottom w:val="single" w:color="000000" w:sz="2" w:space="0"/>
              <w:right w:val="single" w:color="000000" w:sz="2" w:space="0"/>
            </w:tcBorders>
            <w:vAlign w:val="center"/>
          </w:tcPr>
          <w:p w14:paraId="537A456A">
            <w:pPr>
              <w:pStyle w:val="129"/>
              <w:widowControl w:val="0"/>
              <w:rPr>
                <w:rFonts w:eastAsiaTheme="minorEastAsia"/>
                <w:color w:val="auto"/>
              </w:rPr>
            </w:pPr>
            <w:r>
              <w:rPr>
                <w:rFonts w:eastAsiaTheme="minorEastAsia"/>
                <w:color w:val="auto"/>
              </w:rPr>
              <w:t>82.8</w:t>
            </w:r>
          </w:p>
        </w:tc>
        <w:tc>
          <w:tcPr>
            <w:tcW w:w="195" w:type="pct"/>
            <w:tcBorders>
              <w:top w:val="single" w:color="000000" w:sz="2" w:space="0"/>
              <w:left w:val="single" w:color="000000" w:sz="2" w:space="0"/>
              <w:bottom w:val="single" w:color="000000" w:sz="2" w:space="0"/>
              <w:right w:val="single" w:color="000000" w:sz="2" w:space="0"/>
            </w:tcBorders>
            <w:vAlign w:val="center"/>
          </w:tcPr>
          <w:p w14:paraId="14C5DA3D">
            <w:pPr>
              <w:pStyle w:val="129"/>
              <w:widowControl w:val="0"/>
              <w:rPr>
                <w:rFonts w:eastAsiaTheme="minorEastAsia"/>
                <w:color w:val="auto"/>
              </w:rPr>
            </w:pPr>
            <w:r>
              <w:rPr>
                <w:rFonts w:eastAsiaTheme="minorEastAsia"/>
                <w:color w:val="auto"/>
              </w:rPr>
              <w:t>146.9</w:t>
            </w:r>
          </w:p>
        </w:tc>
        <w:tc>
          <w:tcPr>
            <w:tcW w:w="197" w:type="pct"/>
            <w:tcBorders>
              <w:top w:val="single" w:color="000000" w:sz="2" w:space="0"/>
              <w:left w:val="single" w:color="000000" w:sz="2" w:space="0"/>
              <w:bottom w:val="single" w:color="000000" w:sz="2" w:space="0"/>
              <w:right w:val="single" w:color="000000" w:sz="2" w:space="0"/>
            </w:tcBorders>
            <w:vAlign w:val="center"/>
          </w:tcPr>
          <w:p w14:paraId="05520AC4">
            <w:pPr>
              <w:pStyle w:val="129"/>
              <w:widowControl w:val="0"/>
              <w:rPr>
                <w:rFonts w:eastAsiaTheme="minorEastAsia"/>
                <w:color w:val="auto"/>
              </w:rPr>
            </w:pPr>
            <w:r>
              <w:rPr>
                <w:rFonts w:eastAsiaTheme="minorEastAsia"/>
                <w:color w:val="auto"/>
              </w:rPr>
              <w:t>41.8</w:t>
            </w:r>
          </w:p>
        </w:tc>
        <w:tc>
          <w:tcPr>
            <w:tcW w:w="182" w:type="pct"/>
            <w:tcBorders>
              <w:top w:val="single" w:color="000000" w:sz="2" w:space="0"/>
              <w:left w:val="single" w:color="000000" w:sz="2" w:space="0"/>
              <w:bottom w:val="single" w:color="000000" w:sz="2" w:space="0"/>
              <w:right w:val="single" w:color="000000" w:sz="2" w:space="0"/>
            </w:tcBorders>
            <w:vAlign w:val="center"/>
          </w:tcPr>
          <w:p w14:paraId="3773A1F3">
            <w:pPr>
              <w:pStyle w:val="129"/>
              <w:widowControl w:val="0"/>
              <w:rPr>
                <w:rFonts w:eastAsiaTheme="minorEastAsia"/>
                <w:color w:val="auto"/>
              </w:rPr>
            </w:pPr>
            <w:r>
              <w:rPr>
                <w:rFonts w:eastAsiaTheme="minorEastAsia"/>
                <w:color w:val="auto"/>
              </w:rPr>
              <w:t>63.9</w:t>
            </w:r>
          </w:p>
        </w:tc>
        <w:tc>
          <w:tcPr>
            <w:tcW w:w="182" w:type="pct"/>
            <w:tcBorders>
              <w:top w:val="single" w:color="000000" w:sz="2" w:space="0"/>
              <w:left w:val="single" w:color="000000" w:sz="2" w:space="0"/>
              <w:bottom w:val="single" w:color="000000" w:sz="2" w:space="0"/>
              <w:right w:val="single" w:color="000000" w:sz="2" w:space="0"/>
            </w:tcBorders>
            <w:vAlign w:val="center"/>
          </w:tcPr>
          <w:p w14:paraId="6A18A936">
            <w:pPr>
              <w:pStyle w:val="129"/>
              <w:widowControl w:val="0"/>
              <w:rPr>
                <w:rFonts w:eastAsiaTheme="minorEastAsia"/>
                <w:color w:val="auto"/>
              </w:rPr>
            </w:pPr>
            <w:r>
              <w:rPr>
                <w:rFonts w:eastAsiaTheme="minorEastAsia"/>
                <w:color w:val="auto"/>
              </w:rPr>
              <w:t>63.9</w:t>
            </w:r>
          </w:p>
        </w:tc>
        <w:tc>
          <w:tcPr>
            <w:tcW w:w="182" w:type="pct"/>
            <w:tcBorders>
              <w:top w:val="single" w:color="000000" w:sz="2" w:space="0"/>
              <w:left w:val="single" w:color="000000" w:sz="2" w:space="0"/>
              <w:bottom w:val="single" w:color="000000" w:sz="2" w:space="0"/>
              <w:right w:val="single" w:color="000000" w:sz="2" w:space="0"/>
            </w:tcBorders>
            <w:vAlign w:val="center"/>
          </w:tcPr>
          <w:p w14:paraId="4F2076D3">
            <w:pPr>
              <w:pStyle w:val="129"/>
              <w:widowControl w:val="0"/>
              <w:rPr>
                <w:rFonts w:eastAsiaTheme="minorEastAsia"/>
                <w:color w:val="auto"/>
              </w:rPr>
            </w:pPr>
            <w:r>
              <w:rPr>
                <w:rFonts w:eastAsiaTheme="minorEastAsia"/>
                <w:color w:val="auto"/>
              </w:rPr>
              <w:t>63.9</w:t>
            </w:r>
          </w:p>
        </w:tc>
        <w:tc>
          <w:tcPr>
            <w:tcW w:w="183" w:type="pct"/>
            <w:tcBorders>
              <w:top w:val="single" w:color="000000" w:sz="2" w:space="0"/>
              <w:left w:val="single" w:color="000000" w:sz="2" w:space="0"/>
              <w:bottom w:val="single" w:color="000000" w:sz="2" w:space="0"/>
              <w:right w:val="single" w:color="000000" w:sz="2" w:space="0"/>
            </w:tcBorders>
            <w:vAlign w:val="center"/>
          </w:tcPr>
          <w:p w14:paraId="2B7B604F">
            <w:pPr>
              <w:pStyle w:val="129"/>
              <w:widowControl w:val="0"/>
              <w:rPr>
                <w:rFonts w:eastAsiaTheme="minorEastAsia"/>
                <w:color w:val="auto"/>
              </w:rPr>
            </w:pPr>
            <w:r>
              <w:rPr>
                <w:rFonts w:eastAsiaTheme="minorEastAsia"/>
                <w:color w:val="auto"/>
              </w:rPr>
              <w:t>63.9</w:t>
            </w:r>
          </w:p>
        </w:tc>
        <w:tc>
          <w:tcPr>
            <w:tcW w:w="260" w:type="pct"/>
            <w:tcBorders>
              <w:top w:val="single" w:color="000000" w:sz="2" w:space="0"/>
              <w:left w:val="single" w:color="000000" w:sz="2" w:space="0"/>
              <w:bottom w:val="single" w:color="000000" w:sz="2" w:space="0"/>
              <w:right w:val="single" w:color="000000" w:sz="2" w:space="0"/>
            </w:tcBorders>
            <w:vAlign w:val="center"/>
          </w:tcPr>
          <w:p w14:paraId="372A8081">
            <w:pPr>
              <w:pStyle w:val="129"/>
              <w:widowControl w:val="0"/>
              <w:rPr>
                <w:rFonts w:eastAsiaTheme="minorEastAsia"/>
                <w:color w:val="auto"/>
              </w:rPr>
            </w:pPr>
            <w:r>
              <w:rPr>
                <w:rFonts w:eastAsiaTheme="minorEastAsia"/>
                <w:color w:val="auto"/>
              </w:rPr>
              <w:t>26.0</w:t>
            </w:r>
          </w:p>
        </w:tc>
        <w:tc>
          <w:tcPr>
            <w:tcW w:w="183" w:type="pct"/>
            <w:tcBorders>
              <w:top w:val="single" w:color="000000" w:sz="2" w:space="0"/>
              <w:left w:val="single" w:color="000000" w:sz="2" w:space="0"/>
              <w:bottom w:val="single" w:color="000000" w:sz="2" w:space="0"/>
              <w:right w:val="single" w:color="000000" w:sz="2" w:space="0"/>
            </w:tcBorders>
            <w:vAlign w:val="center"/>
          </w:tcPr>
          <w:p w14:paraId="7490AB7A">
            <w:pPr>
              <w:pStyle w:val="129"/>
              <w:widowControl w:val="0"/>
              <w:rPr>
                <w:rFonts w:eastAsiaTheme="minorEastAsia"/>
                <w:color w:val="auto"/>
              </w:rPr>
            </w:pPr>
            <w:r>
              <w:rPr>
                <w:rFonts w:eastAsiaTheme="minorEastAsia"/>
                <w:color w:val="auto"/>
              </w:rPr>
              <w:t>37.9</w:t>
            </w:r>
          </w:p>
        </w:tc>
        <w:tc>
          <w:tcPr>
            <w:tcW w:w="183" w:type="pct"/>
            <w:tcBorders>
              <w:top w:val="single" w:color="000000" w:sz="2" w:space="0"/>
              <w:left w:val="single" w:color="000000" w:sz="2" w:space="0"/>
              <w:bottom w:val="single" w:color="000000" w:sz="2" w:space="0"/>
              <w:right w:val="single" w:color="000000" w:sz="2" w:space="0"/>
            </w:tcBorders>
            <w:vAlign w:val="center"/>
          </w:tcPr>
          <w:p w14:paraId="6D0F669F">
            <w:pPr>
              <w:pStyle w:val="129"/>
              <w:widowControl w:val="0"/>
              <w:rPr>
                <w:rFonts w:eastAsiaTheme="minorEastAsia"/>
                <w:color w:val="auto"/>
              </w:rPr>
            </w:pPr>
            <w:r>
              <w:rPr>
                <w:rFonts w:eastAsiaTheme="minorEastAsia"/>
                <w:color w:val="auto"/>
              </w:rPr>
              <w:t>37.9</w:t>
            </w:r>
          </w:p>
        </w:tc>
        <w:tc>
          <w:tcPr>
            <w:tcW w:w="183" w:type="pct"/>
            <w:tcBorders>
              <w:top w:val="single" w:color="000000" w:sz="2" w:space="0"/>
              <w:left w:val="single" w:color="000000" w:sz="2" w:space="0"/>
              <w:bottom w:val="single" w:color="000000" w:sz="2" w:space="0"/>
              <w:right w:val="single" w:color="000000" w:sz="2" w:space="0"/>
            </w:tcBorders>
            <w:vAlign w:val="center"/>
          </w:tcPr>
          <w:p w14:paraId="02E0D2FC">
            <w:pPr>
              <w:pStyle w:val="129"/>
              <w:widowControl w:val="0"/>
              <w:rPr>
                <w:rFonts w:eastAsiaTheme="minorEastAsia"/>
                <w:color w:val="auto"/>
              </w:rPr>
            </w:pPr>
            <w:r>
              <w:rPr>
                <w:rFonts w:eastAsiaTheme="minorEastAsia"/>
                <w:color w:val="auto"/>
              </w:rPr>
              <w:t>37.9</w:t>
            </w:r>
          </w:p>
        </w:tc>
        <w:tc>
          <w:tcPr>
            <w:tcW w:w="183" w:type="pct"/>
            <w:tcBorders>
              <w:top w:val="single" w:color="000000" w:sz="2" w:space="0"/>
              <w:left w:val="single" w:color="000000" w:sz="2" w:space="0"/>
              <w:bottom w:val="single" w:color="000000" w:sz="2" w:space="0"/>
              <w:right w:val="single" w:color="000000" w:sz="2" w:space="0"/>
            </w:tcBorders>
            <w:vAlign w:val="center"/>
          </w:tcPr>
          <w:p w14:paraId="060AAC59">
            <w:pPr>
              <w:pStyle w:val="129"/>
              <w:widowControl w:val="0"/>
              <w:rPr>
                <w:rFonts w:eastAsiaTheme="minorEastAsia"/>
                <w:color w:val="auto"/>
              </w:rPr>
            </w:pPr>
            <w:r>
              <w:rPr>
                <w:rFonts w:eastAsiaTheme="minorEastAsia"/>
                <w:color w:val="auto"/>
              </w:rPr>
              <w:t>37.9</w:t>
            </w:r>
          </w:p>
        </w:tc>
        <w:tc>
          <w:tcPr>
            <w:tcW w:w="217" w:type="pct"/>
            <w:tcBorders>
              <w:top w:val="single" w:color="000000" w:sz="2" w:space="0"/>
              <w:left w:val="single" w:color="000000" w:sz="2" w:space="0"/>
              <w:bottom w:val="single" w:color="000000" w:sz="2" w:space="0"/>
              <w:right w:val="single" w:color="000000" w:sz="8" w:space="0"/>
            </w:tcBorders>
            <w:vAlign w:val="center"/>
          </w:tcPr>
          <w:p w14:paraId="6282788C">
            <w:pPr>
              <w:pStyle w:val="129"/>
              <w:widowControl w:val="0"/>
              <w:rPr>
                <w:rFonts w:eastAsia="Times New Roman"/>
                <w:color w:val="auto"/>
              </w:rPr>
            </w:pPr>
            <w:r>
              <w:rPr>
                <w:rFonts w:ascii="Arial" w:hAnsi="Arial" w:eastAsia="Times New Roman" w:cs="Arial"/>
                <w:color w:val="auto"/>
                <w:sz w:val="20"/>
                <w:szCs w:val="20"/>
              </w:rPr>
              <w:t>1</w:t>
            </w:r>
          </w:p>
        </w:tc>
      </w:tr>
    </w:tbl>
    <w:p w14:paraId="304D550A">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21C43800">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7FA529E5">
      <w:pPr>
        <w:rPr>
          <w:color w:val="auto"/>
          <w:sz w:val="24"/>
          <w:szCs w:val="24"/>
        </w:rPr>
        <w:sectPr>
          <w:type w:val="continuous"/>
          <w:pgSz w:w="16838" w:h="11906" w:orient="landscape"/>
          <w:pgMar w:top="1440" w:right="1588" w:bottom="1389" w:left="1588" w:header="851" w:footer="992" w:gutter="0"/>
          <w:cols w:space="720" w:num="1"/>
          <w:docGrid w:type="lines" w:linePitch="312" w:charSpace="0"/>
        </w:sectPr>
      </w:pPr>
    </w:p>
    <w:p w14:paraId="7E45247B">
      <w:pPr>
        <w:spacing w:before="100" w:beforeAutospacing="1" w:line="360" w:lineRule="auto"/>
        <w:ind w:firstLine="480" w:firstLineChars="200"/>
        <w:jc w:val="both"/>
        <w:rPr>
          <w:color w:val="auto"/>
          <w:sz w:val="24"/>
          <w:szCs w:val="24"/>
        </w:rPr>
      </w:pPr>
      <w:r>
        <w:rPr>
          <w:rFonts w:hint="eastAsia" w:ascii="宋体" w:hAnsi="宋体"/>
          <w:color w:val="auto"/>
          <w:sz w:val="24"/>
          <w:szCs w:val="24"/>
        </w:rPr>
        <w:t>（</w:t>
      </w:r>
      <w:r>
        <w:rPr>
          <w:rFonts w:hint="eastAsia"/>
          <w:color w:val="auto"/>
          <w:sz w:val="24"/>
          <w:szCs w:val="24"/>
        </w:rPr>
        <w:t>4</w:t>
      </w:r>
      <w:r>
        <w:rPr>
          <w:rFonts w:hint="eastAsia" w:ascii="宋体" w:hAnsi="宋体"/>
          <w:color w:val="auto"/>
          <w:sz w:val="24"/>
          <w:szCs w:val="24"/>
        </w:rPr>
        <w:t>）基础数据</w:t>
      </w:r>
    </w:p>
    <w:p w14:paraId="3D959146">
      <w:pPr>
        <w:spacing w:before="100" w:beforeAutospacing="1" w:line="360" w:lineRule="auto"/>
        <w:ind w:firstLine="480" w:firstLineChars="200"/>
        <w:jc w:val="both"/>
        <w:rPr>
          <w:color w:val="auto"/>
          <w:sz w:val="24"/>
          <w:szCs w:val="24"/>
        </w:rPr>
      </w:pPr>
      <w:r>
        <w:rPr>
          <w:rFonts w:hint="eastAsia" w:ascii="宋体" w:hAnsi="宋体"/>
          <w:color w:val="auto"/>
          <w:sz w:val="24"/>
          <w:szCs w:val="24"/>
        </w:rPr>
        <w:t>项目噪声环境影响预测基础数据见表</w:t>
      </w:r>
      <w:r>
        <w:rPr>
          <w:rFonts w:hint="eastAsia"/>
          <w:color w:val="auto"/>
          <w:sz w:val="24"/>
          <w:szCs w:val="24"/>
        </w:rPr>
        <w:t xml:space="preserve"> </w:t>
      </w:r>
      <w:r>
        <w:rPr>
          <w:color w:val="auto"/>
          <w:sz w:val="24"/>
          <w:szCs w:val="24"/>
        </w:rPr>
        <w:t>5.6</w:t>
      </w:r>
      <w:r>
        <w:rPr>
          <w:rFonts w:hint="eastAsia" w:ascii="宋体" w:hAnsi="宋体"/>
          <w:color w:val="auto"/>
          <w:sz w:val="24"/>
          <w:szCs w:val="24"/>
        </w:rPr>
        <w:t>–</w:t>
      </w:r>
      <w:r>
        <w:rPr>
          <w:color w:val="auto"/>
          <w:sz w:val="24"/>
          <w:szCs w:val="24"/>
        </w:rPr>
        <w:t>3</w:t>
      </w:r>
      <w:r>
        <w:rPr>
          <w:rFonts w:hint="eastAsia" w:ascii="宋体" w:hAnsi="宋体"/>
          <w:color w:val="auto"/>
          <w:sz w:val="24"/>
          <w:szCs w:val="24"/>
        </w:rPr>
        <w:t>。</w:t>
      </w:r>
    </w:p>
    <w:p w14:paraId="2DF2F762">
      <w:pPr>
        <w:pStyle w:val="1060"/>
        <w:rPr>
          <w:color w:val="auto"/>
          <w:szCs w:val="23"/>
        </w:rPr>
      </w:pPr>
      <w:bookmarkStart w:id="329" w:name="_Ref168080882"/>
      <w:bookmarkEnd w:id="329"/>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rFonts w:hint="eastAsia"/>
          <w:color w:val="auto"/>
          <w:szCs w:val="23"/>
        </w:rPr>
        <w:t xml:space="preserve">  </w:t>
      </w:r>
      <w:r>
        <w:rPr>
          <w:rFonts w:hint="eastAsia" w:ascii="黑体" w:hAnsi="黑体"/>
          <w:color w:val="auto"/>
          <w:szCs w:val="23"/>
        </w:rPr>
        <w:t>项目噪声环境影响预测基础数据表</w:t>
      </w:r>
    </w:p>
    <w:tbl>
      <w:tblPr>
        <w:tblStyle w:val="2402"/>
        <w:tblW w:w="4998"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844"/>
        <w:gridCol w:w="2452"/>
        <w:gridCol w:w="1568"/>
        <w:gridCol w:w="2918"/>
      </w:tblGrid>
      <w:tr w14:paraId="25AAA0F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50" w:type="pct"/>
            <w:tcBorders>
              <w:top w:val="single" w:color="000000" w:sz="8" w:space="0"/>
              <w:left w:val="single" w:color="000000" w:sz="8" w:space="0"/>
              <w:bottom w:val="single" w:color="000000" w:sz="2" w:space="0"/>
              <w:right w:val="single" w:color="000000" w:sz="2" w:space="0"/>
            </w:tcBorders>
            <w:vAlign w:val="center"/>
          </w:tcPr>
          <w:p w14:paraId="5D0932FB">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序</w:t>
            </w:r>
            <w:r>
              <w:rPr>
                <w:rFonts w:hint="eastAsia" w:hAnsi="宋体" w:eastAsia="Times New Roman"/>
                <w:color w:val="auto"/>
                <w:sz w:val="21"/>
                <w:szCs w:val="21"/>
              </w:rPr>
              <w:t>号</w:t>
            </w:r>
          </w:p>
        </w:tc>
        <w:tc>
          <w:tcPr>
            <w:tcW w:w="1396" w:type="pct"/>
            <w:tcBorders>
              <w:top w:val="single" w:color="000000" w:sz="8" w:space="0"/>
              <w:left w:val="single" w:color="000000" w:sz="2" w:space="0"/>
              <w:bottom w:val="single" w:color="000000" w:sz="2" w:space="0"/>
              <w:right w:val="single" w:color="000000" w:sz="2" w:space="0"/>
            </w:tcBorders>
            <w:vAlign w:val="center"/>
          </w:tcPr>
          <w:p w14:paraId="44F5B2DB">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名称</w:t>
            </w:r>
          </w:p>
        </w:tc>
        <w:tc>
          <w:tcPr>
            <w:tcW w:w="893" w:type="pct"/>
            <w:tcBorders>
              <w:top w:val="single" w:color="000000" w:sz="8" w:space="0"/>
              <w:left w:val="single" w:color="000000" w:sz="2" w:space="0"/>
              <w:bottom w:val="single" w:color="000000" w:sz="2" w:space="0"/>
              <w:right w:val="single" w:color="000000" w:sz="2" w:space="0"/>
            </w:tcBorders>
            <w:vAlign w:val="center"/>
          </w:tcPr>
          <w:p w14:paraId="20DB5613">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单位</w:t>
            </w:r>
          </w:p>
        </w:tc>
        <w:tc>
          <w:tcPr>
            <w:tcW w:w="1661" w:type="pct"/>
            <w:tcBorders>
              <w:top w:val="single" w:color="000000" w:sz="8" w:space="0"/>
              <w:left w:val="single" w:color="000000" w:sz="2" w:space="0"/>
              <w:bottom w:val="single" w:color="000000" w:sz="2" w:space="0"/>
              <w:right w:val="single" w:color="000000" w:sz="8" w:space="0"/>
            </w:tcBorders>
            <w:vAlign w:val="center"/>
          </w:tcPr>
          <w:p w14:paraId="1981DA91">
            <w:pPr>
              <w:widowControl w:val="0"/>
              <w:spacing w:before="100" w:beforeAutospacing="1" w:line="360" w:lineRule="exact"/>
              <w:jc w:val="center"/>
              <w:rPr>
                <w:rFonts w:eastAsia="Times New Roman"/>
                <w:color w:val="auto"/>
                <w:sz w:val="21"/>
                <w:szCs w:val="21"/>
              </w:rPr>
            </w:pPr>
            <w:r>
              <w:rPr>
                <w:rFonts w:hint="eastAsia" w:ascii="宋体" w:hAnsi="宋体" w:eastAsia="Times New Roman" w:cs="宋体"/>
                <w:color w:val="auto"/>
                <w:sz w:val="21"/>
                <w:szCs w:val="21"/>
              </w:rPr>
              <w:t>数据</w:t>
            </w:r>
          </w:p>
        </w:tc>
      </w:tr>
      <w:tr w14:paraId="67D5BD1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50" w:type="pct"/>
            <w:tcBorders>
              <w:top w:val="single" w:color="000000" w:sz="2" w:space="0"/>
              <w:left w:val="single" w:color="000000" w:sz="8" w:space="0"/>
              <w:bottom w:val="single" w:color="000000" w:sz="2" w:space="0"/>
              <w:right w:val="single" w:color="000000" w:sz="2" w:space="0"/>
            </w:tcBorders>
            <w:vAlign w:val="center"/>
          </w:tcPr>
          <w:p w14:paraId="1DEE686B">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1</w:t>
            </w:r>
          </w:p>
        </w:tc>
        <w:tc>
          <w:tcPr>
            <w:tcW w:w="1396" w:type="pct"/>
            <w:tcBorders>
              <w:top w:val="single" w:color="000000" w:sz="2" w:space="0"/>
              <w:left w:val="single" w:color="000000" w:sz="2" w:space="0"/>
              <w:bottom w:val="single" w:color="000000" w:sz="2" w:space="0"/>
              <w:right w:val="single" w:color="000000" w:sz="2" w:space="0"/>
            </w:tcBorders>
            <w:vAlign w:val="center"/>
          </w:tcPr>
          <w:p w14:paraId="5E28A34A">
            <w:pPr>
              <w:pStyle w:val="129"/>
              <w:widowControl w:val="0"/>
              <w:rPr>
                <w:rFonts w:eastAsia="Times New Roman"/>
                <w:color w:val="auto"/>
              </w:rPr>
            </w:pPr>
            <w:r>
              <w:rPr>
                <w:rFonts w:hint="eastAsia" w:eastAsia="Times New Roman"/>
                <w:color w:val="auto"/>
              </w:rPr>
              <w:t>年平均风速</w:t>
            </w:r>
          </w:p>
        </w:tc>
        <w:tc>
          <w:tcPr>
            <w:tcW w:w="893" w:type="pct"/>
            <w:tcBorders>
              <w:top w:val="single" w:color="000000" w:sz="2" w:space="0"/>
              <w:left w:val="single" w:color="000000" w:sz="2" w:space="0"/>
              <w:bottom w:val="single" w:color="000000" w:sz="2" w:space="0"/>
              <w:right w:val="single" w:color="000000" w:sz="2" w:space="0"/>
            </w:tcBorders>
            <w:vAlign w:val="center"/>
          </w:tcPr>
          <w:p w14:paraId="580D4697">
            <w:pPr>
              <w:pStyle w:val="129"/>
              <w:widowControl w:val="0"/>
              <w:rPr>
                <w:rFonts w:eastAsia="Times New Roman"/>
                <w:color w:val="auto"/>
              </w:rPr>
            </w:pPr>
            <w:r>
              <w:rPr>
                <w:rFonts w:eastAsia="Times New Roman"/>
                <w:color w:val="auto"/>
              </w:rPr>
              <w:t>m/s</w:t>
            </w:r>
          </w:p>
        </w:tc>
        <w:tc>
          <w:tcPr>
            <w:tcW w:w="1661" w:type="pct"/>
            <w:tcBorders>
              <w:top w:val="single" w:color="000000" w:sz="2" w:space="0"/>
              <w:left w:val="single" w:color="000000" w:sz="2" w:space="0"/>
              <w:bottom w:val="single" w:color="000000" w:sz="2" w:space="0"/>
              <w:right w:val="single" w:color="000000" w:sz="8" w:space="0"/>
            </w:tcBorders>
            <w:vAlign w:val="center"/>
          </w:tcPr>
          <w:p w14:paraId="105A009A">
            <w:pPr>
              <w:pStyle w:val="129"/>
              <w:widowControl w:val="0"/>
              <w:rPr>
                <w:rFonts w:eastAsia="Times New Roman"/>
                <w:color w:val="auto"/>
              </w:rPr>
            </w:pPr>
            <w:r>
              <w:rPr>
                <w:rFonts w:hint="eastAsia" w:eastAsia="Times New Roman"/>
                <w:color w:val="auto"/>
              </w:rPr>
              <w:t>2.1</w:t>
            </w:r>
          </w:p>
        </w:tc>
      </w:tr>
      <w:tr w14:paraId="6D00D2E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50" w:type="pct"/>
            <w:tcBorders>
              <w:top w:val="single" w:color="000000" w:sz="2" w:space="0"/>
              <w:left w:val="single" w:color="000000" w:sz="8" w:space="0"/>
              <w:bottom w:val="single" w:color="000000" w:sz="2" w:space="0"/>
              <w:right w:val="single" w:color="000000" w:sz="2" w:space="0"/>
            </w:tcBorders>
            <w:vAlign w:val="center"/>
          </w:tcPr>
          <w:p w14:paraId="0DC39DC2">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2</w:t>
            </w:r>
          </w:p>
        </w:tc>
        <w:tc>
          <w:tcPr>
            <w:tcW w:w="1396" w:type="pct"/>
            <w:tcBorders>
              <w:top w:val="single" w:color="000000" w:sz="2" w:space="0"/>
              <w:left w:val="single" w:color="000000" w:sz="2" w:space="0"/>
              <w:bottom w:val="single" w:color="000000" w:sz="2" w:space="0"/>
              <w:right w:val="single" w:color="000000" w:sz="2" w:space="0"/>
            </w:tcBorders>
            <w:vAlign w:val="center"/>
          </w:tcPr>
          <w:p w14:paraId="2487C7C3">
            <w:pPr>
              <w:pStyle w:val="129"/>
              <w:widowControl w:val="0"/>
              <w:rPr>
                <w:rFonts w:eastAsia="Times New Roman"/>
                <w:color w:val="auto"/>
              </w:rPr>
            </w:pPr>
            <w:r>
              <w:rPr>
                <w:rFonts w:hint="eastAsia" w:eastAsia="Times New Roman"/>
                <w:color w:val="auto"/>
              </w:rPr>
              <w:t>主导风向</w:t>
            </w:r>
          </w:p>
        </w:tc>
        <w:tc>
          <w:tcPr>
            <w:tcW w:w="893" w:type="pct"/>
            <w:tcBorders>
              <w:top w:val="single" w:color="000000" w:sz="2" w:space="0"/>
              <w:left w:val="single" w:color="000000" w:sz="2" w:space="0"/>
              <w:bottom w:val="single" w:color="000000" w:sz="2" w:space="0"/>
              <w:right w:val="single" w:color="000000" w:sz="2" w:space="0"/>
            </w:tcBorders>
            <w:vAlign w:val="center"/>
          </w:tcPr>
          <w:p w14:paraId="080744BB">
            <w:pPr>
              <w:pStyle w:val="129"/>
              <w:widowControl w:val="0"/>
              <w:rPr>
                <w:rFonts w:eastAsia="Times New Roman"/>
                <w:color w:val="auto"/>
              </w:rPr>
            </w:pPr>
            <w:r>
              <w:rPr>
                <w:rFonts w:eastAsia="Times New Roman"/>
                <w:color w:val="auto"/>
              </w:rPr>
              <w:t>/</w:t>
            </w:r>
          </w:p>
        </w:tc>
        <w:tc>
          <w:tcPr>
            <w:tcW w:w="1661" w:type="pct"/>
            <w:tcBorders>
              <w:top w:val="single" w:color="000000" w:sz="2" w:space="0"/>
              <w:left w:val="single" w:color="000000" w:sz="2" w:space="0"/>
              <w:bottom w:val="single" w:color="000000" w:sz="2" w:space="0"/>
              <w:right w:val="single" w:color="000000" w:sz="8" w:space="0"/>
            </w:tcBorders>
            <w:vAlign w:val="center"/>
          </w:tcPr>
          <w:p w14:paraId="19E478F3">
            <w:pPr>
              <w:pStyle w:val="129"/>
              <w:widowControl w:val="0"/>
              <w:rPr>
                <w:rFonts w:eastAsia="Times New Roman"/>
                <w:color w:val="auto"/>
              </w:rPr>
            </w:pPr>
            <w:r>
              <w:rPr>
                <w:rFonts w:hint="eastAsia" w:ascii="宋体" w:hAnsi="宋体" w:eastAsia="Times New Roman" w:cs="宋体"/>
                <w:color w:val="auto"/>
              </w:rPr>
              <w:t>东南</w:t>
            </w:r>
            <w:r>
              <w:rPr>
                <w:rFonts w:hint="eastAsia" w:eastAsia="Times New Roman"/>
                <w:color w:val="auto"/>
              </w:rPr>
              <w:t>风</w:t>
            </w:r>
          </w:p>
        </w:tc>
      </w:tr>
      <w:tr w14:paraId="5D5BEF7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50" w:type="pct"/>
            <w:tcBorders>
              <w:top w:val="single" w:color="000000" w:sz="2" w:space="0"/>
              <w:left w:val="single" w:color="000000" w:sz="8" w:space="0"/>
              <w:bottom w:val="single" w:color="000000" w:sz="2" w:space="0"/>
              <w:right w:val="single" w:color="000000" w:sz="2" w:space="0"/>
            </w:tcBorders>
            <w:vAlign w:val="center"/>
          </w:tcPr>
          <w:p w14:paraId="53A7AC7A">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3</w:t>
            </w:r>
          </w:p>
        </w:tc>
        <w:tc>
          <w:tcPr>
            <w:tcW w:w="1396" w:type="pct"/>
            <w:tcBorders>
              <w:top w:val="single" w:color="000000" w:sz="2" w:space="0"/>
              <w:left w:val="single" w:color="000000" w:sz="2" w:space="0"/>
              <w:bottom w:val="single" w:color="000000" w:sz="2" w:space="0"/>
              <w:right w:val="single" w:color="000000" w:sz="2" w:space="0"/>
            </w:tcBorders>
            <w:vAlign w:val="center"/>
          </w:tcPr>
          <w:p w14:paraId="6290A5F3">
            <w:pPr>
              <w:pStyle w:val="129"/>
              <w:widowControl w:val="0"/>
              <w:rPr>
                <w:rFonts w:eastAsia="Times New Roman"/>
                <w:color w:val="auto"/>
              </w:rPr>
            </w:pPr>
            <w:r>
              <w:rPr>
                <w:rFonts w:hint="eastAsia" w:eastAsia="Times New Roman"/>
                <w:color w:val="auto"/>
              </w:rPr>
              <w:t>年平均气温</w:t>
            </w:r>
          </w:p>
        </w:tc>
        <w:tc>
          <w:tcPr>
            <w:tcW w:w="893" w:type="pct"/>
            <w:tcBorders>
              <w:top w:val="single" w:color="000000" w:sz="2" w:space="0"/>
              <w:left w:val="single" w:color="000000" w:sz="2" w:space="0"/>
              <w:bottom w:val="single" w:color="000000" w:sz="2" w:space="0"/>
              <w:right w:val="single" w:color="000000" w:sz="2" w:space="0"/>
            </w:tcBorders>
            <w:vAlign w:val="center"/>
          </w:tcPr>
          <w:p w14:paraId="623B4F1D">
            <w:pPr>
              <w:pStyle w:val="129"/>
              <w:widowControl w:val="0"/>
              <w:rPr>
                <w:rFonts w:eastAsia="Times New Roman"/>
                <w:color w:val="auto"/>
              </w:rPr>
            </w:pPr>
            <w:r>
              <w:rPr>
                <w:rFonts w:eastAsia="Times New Roman"/>
                <w:color w:val="auto"/>
              </w:rPr>
              <w:t>℃</w:t>
            </w:r>
          </w:p>
        </w:tc>
        <w:tc>
          <w:tcPr>
            <w:tcW w:w="1661" w:type="pct"/>
            <w:tcBorders>
              <w:top w:val="single" w:color="000000" w:sz="2" w:space="0"/>
              <w:left w:val="single" w:color="000000" w:sz="2" w:space="0"/>
              <w:bottom w:val="single" w:color="000000" w:sz="2" w:space="0"/>
              <w:right w:val="single" w:color="000000" w:sz="8" w:space="0"/>
            </w:tcBorders>
            <w:vAlign w:val="center"/>
          </w:tcPr>
          <w:p w14:paraId="185704B2">
            <w:pPr>
              <w:pStyle w:val="129"/>
              <w:widowControl w:val="0"/>
              <w:rPr>
                <w:rFonts w:eastAsia="Times New Roman"/>
                <w:color w:val="auto"/>
              </w:rPr>
            </w:pPr>
            <w:r>
              <w:rPr>
                <w:rFonts w:eastAsia="Times New Roman"/>
                <w:color w:val="auto"/>
              </w:rPr>
              <w:t>8.8</w:t>
            </w:r>
          </w:p>
        </w:tc>
      </w:tr>
      <w:tr w14:paraId="496F2F2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50" w:type="pct"/>
            <w:tcBorders>
              <w:top w:val="single" w:color="000000" w:sz="2" w:space="0"/>
              <w:left w:val="single" w:color="000000" w:sz="8" w:space="0"/>
              <w:bottom w:val="single" w:color="000000" w:sz="2" w:space="0"/>
              <w:right w:val="single" w:color="000000" w:sz="2" w:space="0"/>
            </w:tcBorders>
            <w:vAlign w:val="center"/>
          </w:tcPr>
          <w:p w14:paraId="2AFF6B8C">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4</w:t>
            </w:r>
          </w:p>
        </w:tc>
        <w:tc>
          <w:tcPr>
            <w:tcW w:w="1396" w:type="pct"/>
            <w:tcBorders>
              <w:top w:val="single" w:color="000000" w:sz="2" w:space="0"/>
              <w:left w:val="single" w:color="000000" w:sz="2" w:space="0"/>
              <w:bottom w:val="single" w:color="000000" w:sz="2" w:space="0"/>
              <w:right w:val="single" w:color="000000" w:sz="2" w:space="0"/>
            </w:tcBorders>
            <w:vAlign w:val="center"/>
          </w:tcPr>
          <w:p w14:paraId="23CDAB3C">
            <w:pPr>
              <w:pStyle w:val="129"/>
              <w:widowControl w:val="0"/>
              <w:rPr>
                <w:rFonts w:eastAsia="Times New Roman"/>
                <w:color w:val="auto"/>
              </w:rPr>
            </w:pPr>
            <w:r>
              <w:rPr>
                <w:rFonts w:hint="eastAsia" w:eastAsia="Times New Roman"/>
                <w:color w:val="auto"/>
              </w:rPr>
              <w:t>年平均相对湿度</w:t>
            </w:r>
          </w:p>
        </w:tc>
        <w:tc>
          <w:tcPr>
            <w:tcW w:w="893" w:type="pct"/>
            <w:tcBorders>
              <w:top w:val="single" w:color="000000" w:sz="2" w:space="0"/>
              <w:left w:val="single" w:color="000000" w:sz="2" w:space="0"/>
              <w:bottom w:val="single" w:color="000000" w:sz="2" w:space="0"/>
              <w:right w:val="single" w:color="000000" w:sz="2" w:space="0"/>
            </w:tcBorders>
            <w:vAlign w:val="center"/>
          </w:tcPr>
          <w:p w14:paraId="242EDA51">
            <w:pPr>
              <w:pStyle w:val="129"/>
              <w:widowControl w:val="0"/>
              <w:rPr>
                <w:rFonts w:eastAsia="Times New Roman"/>
                <w:color w:val="auto"/>
              </w:rPr>
            </w:pPr>
            <w:r>
              <w:rPr>
                <w:rFonts w:eastAsia="Times New Roman"/>
                <w:color w:val="auto"/>
              </w:rPr>
              <w:t>%</w:t>
            </w:r>
          </w:p>
        </w:tc>
        <w:tc>
          <w:tcPr>
            <w:tcW w:w="1661" w:type="pct"/>
            <w:tcBorders>
              <w:top w:val="single" w:color="000000" w:sz="2" w:space="0"/>
              <w:left w:val="single" w:color="000000" w:sz="2" w:space="0"/>
              <w:bottom w:val="single" w:color="000000" w:sz="2" w:space="0"/>
              <w:right w:val="single" w:color="000000" w:sz="8" w:space="0"/>
            </w:tcBorders>
            <w:vAlign w:val="center"/>
          </w:tcPr>
          <w:p w14:paraId="347A0DC6">
            <w:pPr>
              <w:pStyle w:val="129"/>
              <w:widowControl w:val="0"/>
              <w:rPr>
                <w:rFonts w:eastAsia="Times New Roman"/>
                <w:color w:val="auto"/>
              </w:rPr>
            </w:pPr>
            <w:r>
              <w:rPr>
                <w:rFonts w:hint="eastAsia" w:eastAsia="Times New Roman"/>
                <w:color w:val="auto"/>
              </w:rPr>
              <w:t>58</w:t>
            </w:r>
          </w:p>
        </w:tc>
      </w:tr>
      <w:tr w14:paraId="674160E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50" w:type="pct"/>
            <w:tcBorders>
              <w:top w:val="single" w:color="000000" w:sz="2" w:space="0"/>
              <w:left w:val="single" w:color="000000" w:sz="8" w:space="0"/>
              <w:bottom w:val="single" w:color="000000" w:sz="8" w:space="0"/>
              <w:right w:val="single" w:color="000000" w:sz="2" w:space="0"/>
            </w:tcBorders>
            <w:vAlign w:val="center"/>
          </w:tcPr>
          <w:p w14:paraId="4971F823">
            <w:pPr>
              <w:widowControl w:val="0"/>
              <w:spacing w:before="100" w:beforeAutospacing="1" w:line="360" w:lineRule="exact"/>
              <w:jc w:val="center"/>
              <w:rPr>
                <w:rFonts w:eastAsia="Times New Roman"/>
                <w:color w:val="auto"/>
                <w:sz w:val="21"/>
                <w:szCs w:val="21"/>
              </w:rPr>
            </w:pPr>
            <w:r>
              <w:rPr>
                <w:rFonts w:eastAsia="Times New Roman"/>
                <w:color w:val="auto"/>
                <w:sz w:val="21"/>
                <w:szCs w:val="21"/>
              </w:rPr>
              <w:t>5</w:t>
            </w:r>
          </w:p>
        </w:tc>
        <w:tc>
          <w:tcPr>
            <w:tcW w:w="1396" w:type="pct"/>
            <w:tcBorders>
              <w:top w:val="single" w:color="000000" w:sz="2" w:space="0"/>
              <w:left w:val="single" w:color="000000" w:sz="2" w:space="0"/>
              <w:bottom w:val="single" w:color="000000" w:sz="8" w:space="0"/>
              <w:right w:val="single" w:color="000000" w:sz="2" w:space="0"/>
            </w:tcBorders>
            <w:vAlign w:val="center"/>
          </w:tcPr>
          <w:p w14:paraId="34493D4B">
            <w:pPr>
              <w:pStyle w:val="129"/>
              <w:widowControl w:val="0"/>
              <w:rPr>
                <w:rFonts w:eastAsia="Times New Roman"/>
                <w:color w:val="auto"/>
              </w:rPr>
            </w:pPr>
            <w:r>
              <w:rPr>
                <w:rFonts w:hint="eastAsia" w:eastAsia="Times New Roman"/>
                <w:color w:val="auto"/>
              </w:rPr>
              <w:t>大气压强</w:t>
            </w:r>
          </w:p>
        </w:tc>
        <w:tc>
          <w:tcPr>
            <w:tcW w:w="893" w:type="pct"/>
            <w:tcBorders>
              <w:top w:val="single" w:color="000000" w:sz="2" w:space="0"/>
              <w:left w:val="single" w:color="000000" w:sz="2" w:space="0"/>
              <w:bottom w:val="single" w:color="000000" w:sz="8" w:space="0"/>
              <w:right w:val="single" w:color="000000" w:sz="2" w:space="0"/>
            </w:tcBorders>
            <w:vAlign w:val="center"/>
          </w:tcPr>
          <w:p w14:paraId="78C13345">
            <w:pPr>
              <w:pStyle w:val="129"/>
              <w:widowControl w:val="0"/>
              <w:rPr>
                <w:rFonts w:eastAsia="Times New Roman"/>
                <w:color w:val="auto"/>
              </w:rPr>
            </w:pPr>
            <w:r>
              <w:rPr>
                <w:rFonts w:eastAsia="Times New Roman"/>
                <w:color w:val="auto"/>
              </w:rPr>
              <w:t>hPa</w:t>
            </w:r>
          </w:p>
        </w:tc>
        <w:tc>
          <w:tcPr>
            <w:tcW w:w="1661" w:type="pct"/>
            <w:tcBorders>
              <w:top w:val="single" w:color="000000" w:sz="2" w:space="0"/>
              <w:left w:val="single" w:color="000000" w:sz="2" w:space="0"/>
              <w:bottom w:val="single" w:color="000000" w:sz="8" w:space="0"/>
              <w:right w:val="single" w:color="000000" w:sz="8" w:space="0"/>
            </w:tcBorders>
            <w:vAlign w:val="center"/>
          </w:tcPr>
          <w:p w14:paraId="26D8D3C8">
            <w:pPr>
              <w:pStyle w:val="129"/>
              <w:widowControl w:val="0"/>
              <w:rPr>
                <w:rFonts w:eastAsia="Times New Roman"/>
                <w:color w:val="auto"/>
              </w:rPr>
            </w:pPr>
            <w:r>
              <w:rPr>
                <w:rFonts w:eastAsia="Times New Roman"/>
                <w:color w:val="auto"/>
              </w:rPr>
              <w:t>949.5</w:t>
            </w:r>
          </w:p>
        </w:tc>
      </w:tr>
    </w:tbl>
    <w:p w14:paraId="522FF93A">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15790874">
      <w:pPr>
        <w:pStyle w:val="4"/>
        <w:rPr>
          <w:color w:val="auto"/>
        </w:rPr>
      </w:pPr>
      <w:r>
        <w:rPr>
          <w:rFonts w:hint="eastAsia"/>
          <w:color w:val="auto"/>
        </w:rPr>
        <w:t>预测结果</w:t>
      </w:r>
    </w:p>
    <w:p w14:paraId="5F461092">
      <w:pPr>
        <w:pStyle w:val="132"/>
        <w:rPr>
          <w:color w:val="auto"/>
        </w:rPr>
      </w:pPr>
      <w:r>
        <w:rPr>
          <w:rFonts w:hint="eastAsia"/>
          <w:color w:val="auto"/>
        </w:rPr>
        <w:t xml:space="preserve">在采取评价提出的治理措施后，本项目场区场界贡献值见表 </w:t>
      </w:r>
      <w:r>
        <w:rPr>
          <w:color w:val="auto"/>
        </w:rPr>
        <w:t>5.6</w:t>
      </w:r>
      <w:r>
        <w:rPr>
          <w:rFonts w:hint="eastAsia"/>
          <w:color w:val="auto"/>
        </w:rPr>
        <w:t>–4。</w:t>
      </w:r>
    </w:p>
    <w:p w14:paraId="1DF6A75A">
      <w:pPr>
        <w:pStyle w:val="1060"/>
        <w:rPr>
          <w:color w:val="auto"/>
          <w:szCs w:val="23"/>
        </w:rPr>
      </w:pPr>
      <w:bookmarkStart w:id="330" w:name="_Ref168080875"/>
      <w:bookmarkEnd w:id="33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4</w:t>
      </w:r>
      <w:r>
        <w:rPr>
          <w:color w:val="auto"/>
        </w:rPr>
        <w:fldChar w:fldCharType="end"/>
      </w:r>
      <w:r>
        <w:rPr>
          <w:rFonts w:hint="eastAsia"/>
          <w:color w:val="auto"/>
          <w:szCs w:val="23"/>
        </w:rPr>
        <w:t xml:space="preserve"> </w:t>
      </w:r>
      <w:r>
        <w:rPr>
          <w:rFonts w:hint="eastAsia" w:ascii="黑体" w:hAnsi="黑体"/>
          <w:color w:val="auto"/>
          <w:szCs w:val="23"/>
        </w:rPr>
        <w:t>噪声预测结果一览表</w:t>
      </w:r>
    </w:p>
    <w:tbl>
      <w:tblPr>
        <w:tblStyle w:val="2402"/>
        <w:tblW w:w="5000" w:type="pct"/>
        <w:tblInd w:w="8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1336"/>
        <w:gridCol w:w="903"/>
        <w:gridCol w:w="904"/>
        <w:gridCol w:w="904"/>
        <w:gridCol w:w="1184"/>
        <w:gridCol w:w="1185"/>
        <w:gridCol w:w="1185"/>
        <w:gridCol w:w="1185"/>
      </w:tblGrid>
      <w:tr w14:paraId="2C45189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restart"/>
            <w:tcBorders>
              <w:top w:val="single" w:color="000000" w:sz="8" w:space="0"/>
              <w:left w:val="single" w:color="000000" w:sz="8" w:space="0"/>
              <w:bottom w:val="single" w:color="000000" w:sz="2" w:space="0"/>
              <w:right w:val="single" w:color="000000" w:sz="2" w:space="0"/>
            </w:tcBorders>
            <w:vAlign w:val="center"/>
          </w:tcPr>
          <w:p w14:paraId="1A7EFA45">
            <w:pPr>
              <w:pStyle w:val="129"/>
              <w:widowControl w:val="0"/>
              <w:rPr>
                <w:rFonts w:eastAsia="Times New Roman"/>
                <w:color w:val="auto"/>
              </w:rPr>
            </w:pPr>
            <w:r>
              <w:rPr>
                <w:rFonts w:hint="eastAsia" w:ascii="宋体" w:hAnsi="宋体" w:eastAsia="Times New Roman" w:cs="宋体"/>
                <w:color w:val="auto"/>
              </w:rPr>
              <w:t>预测方位</w:t>
            </w:r>
          </w:p>
        </w:tc>
        <w:tc>
          <w:tcPr>
            <w:tcW w:w="2687" w:type="dxa"/>
            <w:gridSpan w:val="3"/>
            <w:tcBorders>
              <w:top w:val="single" w:color="000000" w:sz="8" w:space="0"/>
              <w:left w:val="single" w:color="000000" w:sz="2" w:space="0"/>
              <w:bottom w:val="single" w:color="000000" w:sz="2" w:space="0"/>
              <w:right w:val="single" w:color="000000" w:sz="2" w:space="0"/>
            </w:tcBorders>
            <w:vAlign w:val="center"/>
          </w:tcPr>
          <w:p w14:paraId="1453E2FD">
            <w:pPr>
              <w:pStyle w:val="129"/>
              <w:widowControl w:val="0"/>
              <w:rPr>
                <w:rFonts w:eastAsia="Times New Roman"/>
                <w:color w:val="auto"/>
              </w:rPr>
            </w:pPr>
            <w:r>
              <w:rPr>
                <w:rFonts w:hint="eastAsia" w:ascii="宋体" w:hAnsi="宋体" w:eastAsia="Times New Roman" w:cs="宋体"/>
                <w:color w:val="auto"/>
              </w:rPr>
              <w:t>空间相对位置</w:t>
            </w:r>
            <w:r>
              <w:rPr>
                <w:rFonts w:eastAsia="Times New Roman"/>
                <w:color w:val="auto"/>
              </w:rPr>
              <w:t>/m</w:t>
            </w:r>
          </w:p>
        </w:tc>
        <w:tc>
          <w:tcPr>
            <w:tcW w:w="1174" w:type="dxa"/>
            <w:vMerge w:val="restart"/>
            <w:tcBorders>
              <w:top w:val="single" w:color="000000" w:sz="8" w:space="0"/>
              <w:left w:val="single" w:color="000000" w:sz="2" w:space="0"/>
              <w:bottom w:val="single" w:color="000000" w:sz="2" w:space="0"/>
              <w:right w:val="single" w:color="000000" w:sz="2" w:space="0"/>
            </w:tcBorders>
            <w:vAlign w:val="center"/>
          </w:tcPr>
          <w:p w14:paraId="7137C70B">
            <w:pPr>
              <w:pStyle w:val="129"/>
              <w:widowControl w:val="0"/>
              <w:rPr>
                <w:rFonts w:eastAsia="Times New Roman"/>
                <w:color w:val="auto"/>
              </w:rPr>
            </w:pPr>
            <w:r>
              <w:rPr>
                <w:rFonts w:hint="eastAsia" w:ascii="宋体" w:hAnsi="宋体" w:eastAsia="Times New Roman" w:cs="宋体"/>
                <w:color w:val="auto"/>
              </w:rPr>
              <w:t>时段</w:t>
            </w:r>
          </w:p>
        </w:tc>
        <w:tc>
          <w:tcPr>
            <w:tcW w:w="1175" w:type="dxa"/>
            <w:vMerge w:val="restart"/>
            <w:tcBorders>
              <w:top w:val="single" w:color="000000" w:sz="8" w:space="0"/>
              <w:left w:val="single" w:color="000000" w:sz="2" w:space="0"/>
              <w:bottom w:val="single" w:color="000000" w:sz="2" w:space="0"/>
              <w:right w:val="single" w:color="000000" w:sz="2" w:space="0"/>
            </w:tcBorders>
            <w:vAlign w:val="center"/>
          </w:tcPr>
          <w:p w14:paraId="03DBE79D">
            <w:pPr>
              <w:pStyle w:val="129"/>
              <w:widowControl w:val="0"/>
              <w:rPr>
                <w:rFonts w:eastAsia="Times New Roman"/>
                <w:color w:val="auto"/>
              </w:rPr>
            </w:pPr>
            <w:r>
              <w:rPr>
                <w:rFonts w:hint="eastAsia" w:ascii="宋体" w:hAnsi="宋体" w:eastAsia="Times New Roman" w:cs="宋体"/>
                <w:color w:val="auto"/>
              </w:rPr>
              <w:t>贡献值</w:t>
            </w:r>
          </w:p>
          <w:p w14:paraId="265113D4">
            <w:pPr>
              <w:pStyle w:val="129"/>
              <w:widowControl w:val="0"/>
              <w:rPr>
                <w:rFonts w:eastAsia="Times New Roman"/>
                <w:color w:val="auto"/>
              </w:rPr>
            </w:pPr>
            <w:r>
              <w:rPr>
                <w:rFonts w:eastAsia="Times New Roman"/>
                <w:color w:val="auto"/>
              </w:rPr>
              <w:t>dB(A)</w:t>
            </w:r>
          </w:p>
        </w:tc>
        <w:tc>
          <w:tcPr>
            <w:tcW w:w="1175" w:type="dxa"/>
            <w:vMerge w:val="restart"/>
            <w:tcBorders>
              <w:top w:val="single" w:color="000000" w:sz="8" w:space="0"/>
              <w:left w:val="single" w:color="000000" w:sz="2" w:space="0"/>
              <w:bottom w:val="single" w:color="000000" w:sz="2" w:space="0"/>
              <w:right w:val="single" w:color="000000" w:sz="2" w:space="0"/>
            </w:tcBorders>
            <w:vAlign w:val="center"/>
          </w:tcPr>
          <w:p w14:paraId="0F7282C9">
            <w:pPr>
              <w:pStyle w:val="129"/>
              <w:widowControl w:val="0"/>
              <w:rPr>
                <w:rFonts w:eastAsia="Times New Roman"/>
                <w:color w:val="auto"/>
              </w:rPr>
            </w:pPr>
            <w:r>
              <w:rPr>
                <w:rFonts w:hint="eastAsia" w:ascii="宋体" w:hAnsi="宋体" w:eastAsia="Times New Roman" w:cs="宋体"/>
                <w:color w:val="auto"/>
              </w:rPr>
              <w:t>标准限值</w:t>
            </w:r>
          </w:p>
          <w:p w14:paraId="37101989">
            <w:pPr>
              <w:pStyle w:val="129"/>
              <w:widowControl w:val="0"/>
              <w:rPr>
                <w:rFonts w:eastAsia="Times New Roman"/>
                <w:color w:val="auto"/>
              </w:rPr>
            </w:pPr>
            <w:r>
              <w:rPr>
                <w:rFonts w:eastAsia="Times New Roman"/>
                <w:color w:val="auto"/>
              </w:rPr>
              <w:t>dB(A)</w:t>
            </w:r>
          </w:p>
        </w:tc>
        <w:tc>
          <w:tcPr>
            <w:tcW w:w="1175" w:type="dxa"/>
            <w:vMerge w:val="restart"/>
            <w:tcBorders>
              <w:top w:val="single" w:color="000000" w:sz="8" w:space="0"/>
              <w:left w:val="single" w:color="000000" w:sz="2" w:space="0"/>
              <w:bottom w:val="single" w:color="000000" w:sz="2" w:space="0"/>
              <w:right w:val="single" w:color="000000" w:sz="8" w:space="0"/>
            </w:tcBorders>
            <w:vAlign w:val="center"/>
          </w:tcPr>
          <w:p w14:paraId="7FB05F4D">
            <w:pPr>
              <w:pStyle w:val="129"/>
              <w:widowControl w:val="0"/>
              <w:rPr>
                <w:rFonts w:eastAsia="Times New Roman"/>
                <w:color w:val="auto"/>
              </w:rPr>
            </w:pPr>
            <w:r>
              <w:rPr>
                <w:rFonts w:hint="eastAsia" w:ascii="宋体" w:hAnsi="宋体" w:eastAsia="Times New Roman" w:cs="宋体"/>
                <w:color w:val="auto"/>
              </w:rPr>
              <w:t>达标情况</w:t>
            </w:r>
          </w:p>
        </w:tc>
      </w:tr>
      <w:tr w14:paraId="1B93D97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continue"/>
            <w:tcBorders>
              <w:top w:val="single" w:color="000000" w:sz="8" w:space="0"/>
              <w:left w:val="single" w:color="000000" w:sz="8" w:space="0"/>
              <w:bottom w:val="single" w:color="000000" w:sz="2" w:space="0"/>
              <w:right w:val="single" w:color="000000" w:sz="2" w:space="0"/>
            </w:tcBorders>
            <w:vAlign w:val="center"/>
          </w:tcPr>
          <w:p w14:paraId="71CC356F">
            <w:pPr>
              <w:pStyle w:val="129"/>
              <w:widowControl w:val="0"/>
              <w:rPr>
                <w:rFonts w:eastAsia="Times New Roman"/>
                <w:color w:val="auto"/>
              </w:rPr>
            </w:pPr>
          </w:p>
        </w:tc>
        <w:tc>
          <w:tcPr>
            <w:tcW w:w="895" w:type="dxa"/>
            <w:tcBorders>
              <w:top w:val="single" w:color="000000" w:sz="2" w:space="0"/>
              <w:left w:val="single" w:color="000000" w:sz="2" w:space="0"/>
              <w:bottom w:val="single" w:color="000000" w:sz="2" w:space="0"/>
              <w:right w:val="single" w:color="000000" w:sz="2" w:space="0"/>
            </w:tcBorders>
            <w:vAlign w:val="center"/>
          </w:tcPr>
          <w:p w14:paraId="422ADD75">
            <w:pPr>
              <w:pStyle w:val="129"/>
              <w:widowControl w:val="0"/>
              <w:rPr>
                <w:rFonts w:eastAsia="Times New Roman"/>
                <w:color w:val="auto"/>
              </w:rPr>
            </w:pPr>
            <w:r>
              <w:rPr>
                <w:rFonts w:eastAsia="Times New Roman"/>
                <w:color w:val="auto"/>
              </w:rPr>
              <w:t>X</w:t>
            </w:r>
          </w:p>
        </w:tc>
        <w:tc>
          <w:tcPr>
            <w:tcW w:w="896" w:type="dxa"/>
            <w:tcBorders>
              <w:top w:val="single" w:color="000000" w:sz="2" w:space="0"/>
              <w:left w:val="single" w:color="000000" w:sz="2" w:space="0"/>
              <w:bottom w:val="single" w:color="000000" w:sz="2" w:space="0"/>
              <w:right w:val="single" w:color="000000" w:sz="2" w:space="0"/>
            </w:tcBorders>
            <w:vAlign w:val="center"/>
          </w:tcPr>
          <w:p w14:paraId="017EAE58">
            <w:pPr>
              <w:pStyle w:val="129"/>
              <w:widowControl w:val="0"/>
              <w:rPr>
                <w:rFonts w:eastAsia="Times New Roman"/>
                <w:color w:val="auto"/>
              </w:rPr>
            </w:pPr>
            <w:r>
              <w:rPr>
                <w:rFonts w:eastAsia="Times New Roman"/>
                <w:color w:val="auto"/>
              </w:rPr>
              <w:t>Y</w:t>
            </w:r>
          </w:p>
        </w:tc>
        <w:tc>
          <w:tcPr>
            <w:tcW w:w="896" w:type="dxa"/>
            <w:tcBorders>
              <w:top w:val="single" w:color="000000" w:sz="2" w:space="0"/>
              <w:left w:val="single" w:color="000000" w:sz="2" w:space="0"/>
              <w:bottom w:val="single" w:color="000000" w:sz="2" w:space="0"/>
              <w:right w:val="single" w:color="000000" w:sz="2" w:space="0"/>
            </w:tcBorders>
            <w:vAlign w:val="center"/>
          </w:tcPr>
          <w:p w14:paraId="73F31B77">
            <w:pPr>
              <w:pStyle w:val="129"/>
              <w:widowControl w:val="0"/>
              <w:rPr>
                <w:rFonts w:eastAsia="Times New Roman"/>
                <w:color w:val="auto"/>
              </w:rPr>
            </w:pPr>
            <w:r>
              <w:rPr>
                <w:rFonts w:eastAsia="Times New Roman"/>
                <w:color w:val="auto"/>
              </w:rPr>
              <w:t>Z</w:t>
            </w:r>
          </w:p>
        </w:tc>
        <w:tc>
          <w:tcPr>
            <w:tcW w:w="1174" w:type="dxa"/>
            <w:vMerge w:val="continue"/>
            <w:tcBorders>
              <w:top w:val="single" w:color="000000" w:sz="8" w:space="0"/>
              <w:left w:val="single" w:color="000000" w:sz="2" w:space="0"/>
              <w:bottom w:val="single" w:color="000000" w:sz="2" w:space="0"/>
              <w:right w:val="single" w:color="000000" w:sz="2" w:space="0"/>
            </w:tcBorders>
            <w:vAlign w:val="center"/>
          </w:tcPr>
          <w:p w14:paraId="50719898">
            <w:pPr>
              <w:pStyle w:val="129"/>
              <w:widowControl w:val="0"/>
              <w:rPr>
                <w:rFonts w:eastAsia="Times New Roman"/>
                <w:color w:val="auto"/>
              </w:rPr>
            </w:pPr>
          </w:p>
        </w:tc>
        <w:tc>
          <w:tcPr>
            <w:tcW w:w="1175" w:type="dxa"/>
            <w:vMerge w:val="continue"/>
            <w:tcBorders>
              <w:top w:val="single" w:color="000000" w:sz="8" w:space="0"/>
              <w:left w:val="single" w:color="000000" w:sz="2" w:space="0"/>
              <w:bottom w:val="single" w:color="000000" w:sz="2" w:space="0"/>
              <w:right w:val="single" w:color="000000" w:sz="2" w:space="0"/>
            </w:tcBorders>
            <w:vAlign w:val="center"/>
          </w:tcPr>
          <w:p w14:paraId="30F7E80B">
            <w:pPr>
              <w:pStyle w:val="129"/>
              <w:widowControl w:val="0"/>
              <w:rPr>
                <w:rFonts w:eastAsia="Times New Roman"/>
                <w:color w:val="auto"/>
              </w:rPr>
            </w:pPr>
          </w:p>
        </w:tc>
        <w:tc>
          <w:tcPr>
            <w:tcW w:w="1175" w:type="dxa"/>
            <w:vMerge w:val="continue"/>
            <w:tcBorders>
              <w:top w:val="single" w:color="000000" w:sz="8" w:space="0"/>
              <w:left w:val="single" w:color="000000" w:sz="2" w:space="0"/>
              <w:bottom w:val="single" w:color="000000" w:sz="2" w:space="0"/>
              <w:right w:val="single" w:color="000000" w:sz="2" w:space="0"/>
            </w:tcBorders>
            <w:vAlign w:val="center"/>
          </w:tcPr>
          <w:p w14:paraId="318DCC42">
            <w:pPr>
              <w:pStyle w:val="129"/>
              <w:widowControl w:val="0"/>
              <w:rPr>
                <w:rFonts w:eastAsia="Times New Roman"/>
                <w:color w:val="auto"/>
              </w:rPr>
            </w:pPr>
          </w:p>
        </w:tc>
        <w:tc>
          <w:tcPr>
            <w:tcW w:w="1175" w:type="dxa"/>
            <w:vMerge w:val="continue"/>
            <w:tcBorders>
              <w:top w:val="single" w:color="000000" w:sz="8" w:space="0"/>
              <w:left w:val="single" w:color="000000" w:sz="2" w:space="0"/>
              <w:bottom w:val="single" w:color="000000" w:sz="2" w:space="0"/>
              <w:right w:val="single" w:color="000000" w:sz="8" w:space="0"/>
            </w:tcBorders>
            <w:vAlign w:val="center"/>
          </w:tcPr>
          <w:p w14:paraId="27E1C6C9">
            <w:pPr>
              <w:pStyle w:val="129"/>
              <w:widowControl w:val="0"/>
              <w:rPr>
                <w:rFonts w:eastAsia="Times New Roman"/>
                <w:color w:val="auto"/>
              </w:rPr>
            </w:pPr>
          </w:p>
        </w:tc>
      </w:tr>
      <w:tr w14:paraId="7379054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restart"/>
            <w:tcBorders>
              <w:top w:val="single" w:color="000000" w:sz="2" w:space="0"/>
              <w:left w:val="single" w:color="000000" w:sz="8" w:space="0"/>
              <w:bottom w:val="single" w:color="000000" w:sz="2" w:space="0"/>
              <w:right w:val="single" w:color="000000" w:sz="2" w:space="0"/>
            </w:tcBorders>
            <w:vAlign w:val="center"/>
          </w:tcPr>
          <w:p w14:paraId="1209CEBF">
            <w:pPr>
              <w:pStyle w:val="129"/>
              <w:widowControl w:val="0"/>
              <w:rPr>
                <w:rFonts w:eastAsia="Times New Roman"/>
                <w:color w:val="auto"/>
              </w:rPr>
            </w:pPr>
            <w:r>
              <w:rPr>
                <w:rFonts w:hint="eastAsia" w:ascii="宋体" w:hAnsi="宋体" w:eastAsia="Times New Roman" w:cs="宋体"/>
                <w:color w:val="auto"/>
              </w:rPr>
              <w:t>东侧</w:t>
            </w:r>
          </w:p>
        </w:tc>
        <w:tc>
          <w:tcPr>
            <w:tcW w:w="895" w:type="dxa"/>
            <w:tcBorders>
              <w:top w:val="single" w:color="000000" w:sz="2" w:space="0"/>
              <w:left w:val="single" w:color="000000" w:sz="2" w:space="0"/>
              <w:bottom w:val="single" w:color="000000" w:sz="2" w:space="0"/>
              <w:right w:val="single" w:color="000000" w:sz="2" w:space="0"/>
            </w:tcBorders>
            <w:vAlign w:val="center"/>
          </w:tcPr>
          <w:p w14:paraId="1D4D312F">
            <w:pPr>
              <w:pStyle w:val="129"/>
              <w:widowControl w:val="0"/>
              <w:rPr>
                <w:rFonts w:eastAsia="Times New Roman"/>
                <w:color w:val="auto"/>
              </w:rPr>
            </w:pPr>
            <w:r>
              <w:rPr>
                <w:rFonts w:eastAsia="Times New Roman"/>
                <w:color w:val="auto"/>
              </w:rPr>
              <w:t>187.9</w:t>
            </w:r>
          </w:p>
        </w:tc>
        <w:tc>
          <w:tcPr>
            <w:tcW w:w="896" w:type="dxa"/>
            <w:tcBorders>
              <w:top w:val="single" w:color="000000" w:sz="2" w:space="0"/>
              <w:left w:val="single" w:color="000000" w:sz="2" w:space="0"/>
              <w:bottom w:val="single" w:color="000000" w:sz="2" w:space="0"/>
              <w:right w:val="single" w:color="000000" w:sz="2" w:space="0"/>
            </w:tcBorders>
            <w:vAlign w:val="center"/>
          </w:tcPr>
          <w:p w14:paraId="3564899A">
            <w:pPr>
              <w:pStyle w:val="129"/>
              <w:widowControl w:val="0"/>
              <w:rPr>
                <w:rFonts w:eastAsia="Times New Roman"/>
                <w:color w:val="auto"/>
              </w:rPr>
            </w:pPr>
            <w:r>
              <w:rPr>
                <w:rFonts w:eastAsia="Times New Roman"/>
                <w:color w:val="auto"/>
              </w:rPr>
              <w:t>-12.1</w:t>
            </w:r>
          </w:p>
        </w:tc>
        <w:tc>
          <w:tcPr>
            <w:tcW w:w="896" w:type="dxa"/>
            <w:tcBorders>
              <w:top w:val="single" w:color="000000" w:sz="2" w:space="0"/>
              <w:left w:val="single" w:color="000000" w:sz="2" w:space="0"/>
              <w:bottom w:val="single" w:color="000000" w:sz="2" w:space="0"/>
              <w:right w:val="single" w:color="000000" w:sz="2" w:space="0"/>
            </w:tcBorders>
            <w:vAlign w:val="center"/>
          </w:tcPr>
          <w:p w14:paraId="6CFFB541">
            <w:pPr>
              <w:pStyle w:val="129"/>
              <w:widowControl w:val="0"/>
              <w:rPr>
                <w:rFonts w:eastAsia="Times New Roman"/>
                <w:color w:val="auto"/>
              </w:rPr>
            </w:pPr>
            <w:r>
              <w:rPr>
                <w:rFonts w:eastAsia="Times New Roman"/>
                <w:color w:val="auto"/>
              </w:rPr>
              <w:t>1.2</w:t>
            </w:r>
          </w:p>
        </w:tc>
        <w:tc>
          <w:tcPr>
            <w:tcW w:w="1174" w:type="dxa"/>
            <w:tcBorders>
              <w:top w:val="single" w:color="000000" w:sz="2" w:space="0"/>
              <w:left w:val="single" w:color="000000" w:sz="2" w:space="0"/>
              <w:bottom w:val="single" w:color="000000" w:sz="2" w:space="0"/>
              <w:right w:val="single" w:color="000000" w:sz="2" w:space="0"/>
            </w:tcBorders>
            <w:vAlign w:val="center"/>
          </w:tcPr>
          <w:p w14:paraId="28D9766D">
            <w:pPr>
              <w:pStyle w:val="129"/>
              <w:widowControl w:val="0"/>
              <w:rPr>
                <w:rFonts w:eastAsia="Times New Roman"/>
                <w:color w:val="auto"/>
              </w:rPr>
            </w:pPr>
            <w:r>
              <w:rPr>
                <w:rFonts w:hint="eastAsia" w:ascii="宋体" w:hAnsi="宋体" w:eastAsia="Times New Roman" w:cs="宋体"/>
                <w:color w:val="auto"/>
              </w:rPr>
              <w:t>昼间</w:t>
            </w:r>
          </w:p>
        </w:tc>
        <w:tc>
          <w:tcPr>
            <w:tcW w:w="1175" w:type="dxa"/>
            <w:tcBorders>
              <w:top w:val="single" w:color="000000" w:sz="2" w:space="0"/>
              <w:left w:val="single" w:color="000000" w:sz="2" w:space="0"/>
              <w:bottom w:val="single" w:color="000000" w:sz="2" w:space="0"/>
              <w:right w:val="single" w:color="000000" w:sz="2" w:space="0"/>
            </w:tcBorders>
            <w:vAlign w:val="center"/>
          </w:tcPr>
          <w:p w14:paraId="39A0F828">
            <w:pPr>
              <w:pStyle w:val="129"/>
              <w:widowControl w:val="0"/>
              <w:rPr>
                <w:rFonts w:eastAsia="Times New Roman"/>
                <w:color w:val="auto"/>
              </w:rPr>
            </w:pPr>
            <w:r>
              <w:rPr>
                <w:rFonts w:eastAsia="Times New Roman"/>
                <w:color w:val="auto"/>
              </w:rPr>
              <w:t>34.7</w:t>
            </w:r>
          </w:p>
        </w:tc>
        <w:tc>
          <w:tcPr>
            <w:tcW w:w="1175" w:type="dxa"/>
            <w:tcBorders>
              <w:top w:val="single" w:color="000000" w:sz="2" w:space="0"/>
              <w:left w:val="single" w:color="000000" w:sz="2" w:space="0"/>
              <w:bottom w:val="single" w:color="000000" w:sz="2" w:space="0"/>
              <w:right w:val="single" w:color="000000" w:sz="2" w:space="0"/>
            </w:tcBorders>
            <w:vAlign w:val="center"/>
          </w:tcPr>
          <w:p w14:paraId="6F5CF816">
            <w:pPr>
              <w:pStyle w:val="129"/>
              <w:widowControl w:val="0"/>
              <w:rPr>
                <w:rFonts w:eastAsia="Times New Roman"/>
                <w:color w:val="auto"/>
              </w:rPr>
            </w:pPr>
            <w:r>
              <w:rPr>
                <w:rFonts w:eastAsia="Times New Roman"/>
                <w:color w:val="auto"/>
              </w:rPr>
              <w:t>65</w:t>
            </w:r>
          </w:p>
        </w:tc>
        <w:tc>
          <w:tcPr>
            <w:tcW w:w="1175" w:type="dxa"/>
            <w:tcBorders>
              <w:top w:val="single" w:color="000000" w:sz="2" w:space="0"/>
              <w:left w:val="single" w:color="000000" w:sz="2" w:space="0"/>
              <w:bottom w:val="single" w:color="000000" w:sz="2" w:space="0"/>
              <w:right w:val="single" w:color="000000" w:sz="8" w:space="0"/>
            </w:tcBorders>
            <w:vAlign w:val="center"/>
          </w:tcPr>
          <w:p w14:paraId="5CA650DD">
            <w:pPr>
              <w:pStyle w:val="129"/>
              <w:widowControl w:val="0"/>
              <w:rPr>
                <w:rFonts w:eastAsia="Times New Roman"/>
                <w:color w:val="auto"/>
              </w:rPr>
            </w:pPr>
            <w:r>
              <w:rPr>
                <w:rFonts w:hint="eastAsia" w:ascii="宋体" w:hAnsi="宋体" w:eastAsia="Times New Roman" w:cs="宋体"/>
                <w:color w:val="auto"/>
              </w:rPr>
              <w:t>达标</w:t>
            </w:r>
          </w:p>
        </w:tc>
      </w:tr>
      <w:tr w14:paraId="2BC9F23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continue"/>
            <w:tcBorders>
              <w:top w:val="single" w:color="000000" w:sz="2" w:space="0"/>
              <w:left w:val="single" w:color="000000" w:sz="8" w:space="0"/>
              <w:bottom w:val="single" w:color="000000" w:sz="2" w:space="0"/>
              <w:right w:val="single" w:color="000000" w:sz="2" w:space="0"/>
            </w:tcBorders>
            <w:vAlign w:val="center"/>
          </w:tcPr>
          <w:p w14:paraId="04CC4A37">
            <w:pPr>
              <w:pStyle w:val="129"/>
              <w:widowControl w:val="0"/>
              <w:rPr>
                <w:rFonts w:eastAsia="Times New Roman"/>
                <w:color w:val="auto"/>
              </w:rPr>
            </w:pPr>
          </w:p>
        </w:tc>
        <w:tc>
          <w:tcPr>
            <w:tcW w:w="895" w:type="dxa"/>
            <w:tcBorders>
              <w:top w:val="single" w:color="000000" w:sz="2" w:space="0"/>
              <w:left w:val="single" w:color="000000" w:sz="2" w:space="0"/>
              <w:bottom w:val="single" w:color="000000" w:sz="2" w:space="0"/>
              <w:right w:val="single" w:color="000000" w:sz="2" w:space="0"/>
            </w:tcBorders>
            <w:vAlign w:val="center"/>
          </w:tcPr>
          <w:p w14:paraId="2C47D628">
            <w:pPr>
              <w:pStyle w:val="129"/>
              <w:widowControl w:val="0"/>
              <w:rPr>
                <w:rFonts w:eastAsia="Times New Roman"/>
                <w:color w:val="auto"/>
              </w:rPr>
            </w:pPr>
            <w:r>
              <w:rPr>
                <w:rFonts w:eastAsia="Times New Roman"/>
                <w:color w:val="auto"/>
              </w:rPr>
              <w:t>187.9</w:t>
            </w:r>
          </w:p>
        </w:tc>
        <w:tc>
          <w:tcPr>
            <w:tcW w:w="896" w:type="dxa"/>
            <w:tcBorders>
              <w:top w:val="single" w:color="000000" w:sz="2" w:space="0"/>
              <w:left w:val="single" w:color="000000" w:sz="2" w:space="0"/>
              <w:bottom w:val="single" w:color="000000" w:sz="2" w:space="0"/>
              <w:right w:val="single" w:color="000000" w:sz="2" w:space="0"/>
            </w:tcBorders>
            <w:vAlign w:val="center"/>
          </w:tcPr>
          <w:p w14:paraId="5AEF7C85">
            <w:pPr>
              <w:pStyle w:val="129"/>
              <w:widowControl w:val="0"/>
              <w:rPr>
                <w:rFonts w:eastAsia="Times New Roman"/>
                <w:color w:val="auto"/>
              </w:rPr>
            </w:pPr>
            <w:r>
              <w:rPr>
                <w:rFonts w:eastAsia="Times New Roman"/>
                <w:color w:val="auto"/>
              </w:rPr>
              <w:t>-12.1</w:t>
            </w:r>
          </w:p>
        </w:tc>
        <w:tc>
          <w:tcPr>
            <w:tcW w:w="896" w:type="dxa"/>
            <w:tcBorders>
              <w:top w:val="single" w:color="000000" w:sz="2" w:space="0"/>
              <w:left w:val="single" w:color="000000" w:sz="2" w:space="0"/>
              <w:bottom w:val="single" w:color="000000" w:sz="2" w:space="0"/>
              <w:right w:val="single" w:color="000000" w:sz="2" w:space="0"/>
            </w:tcBorders>
            <w:vAlign w:val="center"/>
          </w:tcPr>
          <w:p w14:paraId="3088D8CD">
            <w:pPr>
              <w:pStyle w:val="129"/>
              <w:widowControl w:val="0"/>
              <w:rPr>
                <w:rFonts w:eastAsia="Times New Roman"/>
                <w:color w:val="auto"/>
              </w:rPr>
            </w:pPr>
            <w:r>
              <w:rPr>
                <w:rFonts w:eastAsia="Times New Roman"/>
                <w:color w:val="auto"/>
              </w:rPr>
              <w:t>1.2</w:t>
            </w:r>
          </w:p>
        </w:tc>
        <w:tc>
          <w:tcPr>
            <w:tcW w:w="1174" w:type="dxa"/>
            <w:tcBorders>
              <w:top w:val="single" w:color="000000" w:sz="2" w:space="0"/>
              <w:left w:val="single" w:color="000000" w:sz="2" w:space="0"/>
              <w:bottom w:val="single" w:color="000000" w:sz="2" w:space="0"/>
              <w:right w:val="single" w:color="000000" w:sz="2" w:space="0"/>
            </w:tcBorders>
            <w:vAlign w:val="center"/>
          </w:tcPr>
          <w:p w14:paraId="0CF20C30">
            <w:pPr>
              <w:pStyle w:val="129"/>
              <w:widowControl w:val="0"/>
              <w:rPr>
                <w:rFonts w:eastAsia="Times New Roman"/>
                <w:color w:val="auto"/>
              </w:rPr>
            </w:pPr>
            <w:r>
              <w:rPr>
                <w:rFonts w:hint="eastAsia" w:ascii="宋体" w:hAnsi="宋体" w:eastAsia="Times New Roman" w:cs="宋体"/>
                <w:color w:val="auto"/>
              </w:rPr>
              <w:t>夜间</w:t>
            </w:r>
          </w:p>
        </w:tc>
        <w:tc>
          <w:tcPr>
            <w:tcW w:w="1175" w:type="dxa"/>
            <w:tcBorders>
              <w:top w:val="single" w:color="000000" w:sz="2" w:space="0"/>
              <w:left w:val="single" w:color="000000" w:sz="2" w:space="0"/>
              <w:bottom w:val="single" w:color="000000" w:sz="2" w:space="0"/>
              <w:right w:val="single" w:color="000000" w:sz="2" w:space="0"/>
            </w:tcBorders>
            <w:vAlign w:val="center"/>
          </w:tcPr>
          <w:p w14:paraId="3CCA4D80">
            <w:pPr>
              <w:pStyle w:val="129"/>
              <w:widowControl w:val="0"/>
              <w:rPr>
                <w:rFonts w:eastAsia="Times New Roman"/>
                <w:color w:val="auto"/>
              </w:rPr>
            </w:pPr>
            <w:r>
              <w:rPr>
                <w:rFonts w:eastAsia="Times New Roman"/>
                <w:color w:val="auto"/>
              </w:rPr>
              <w:t>34.7</w:t>
            </w:r>
          </w:p>
        </w:tc>
        <w:tc>
          <w:tcPr>
            <w:tcW w:w="1175" w:type="dxa"/>
            <w:tcBorders>
              <w:top w:val="single" w:color="000000" w:sz="2" w:space="0"/>
              <w:left w:val="single" w:color="000000" w:sz="2" w:space="0"/>
              <w:bottom w:val="single" w:color="000000" w:sz="2" w:space="0"/>
              <w:right w:val="single" w:color="000000" w:sz="2" w:space="0"/>
            </w:tcBorders>
            <w:vAlign w:val="center"/>
          </w:tcPr>
          <w:p w14:paraId="380C0CF4">
            <w:pPr>
              <w:pStyle w:val="129"/>
              <w:widowControl w:val="0"/>
              <w:rPr>
                <w:rFonts w:eastAsia="Times New Roman"/>
                <w:color w:val="auto"/>
              </w:rPr>
            </w:pPr>
            <w:r>
              <w:rPr>
                <w:rFonts w:eastAsia="Times New Roman"/>
                <w:color w:val="auto"/>
              </w:rPr>
              <w:t>55</w:t>
            </w:r>
          </w:p>
        </w:tc>
        <w:tc>
          <w:tcPr>
            <w:tcW w:w="1175" w:type="dxa"/>
            <w:tcBorders>
              <w:top w:val="single" w:color="000000" w:sz="2" w:space="0"/>
              <w:left w:val="single" w:color="000000" w:sz="2" w:space="0"/>
              <w:bottom w:val="single" w:color="000000" w:sz="2" w:space="0"/>
              <w:right w:val="single" w:color="000000" w:sz="8" w:space="0"/>
            </w:tcBorders>
            <w:vAlign w:val="center"/>
          </w:tcPr>
          <w:p w14:paraId="4159C43B">
            <w:pPr>
              <w:pStyle w:val="129"/>
              <w:widowControl w:val="0"/>
              <w:rPr>
                <w:rFonts w:eastAsia="Times New Roman"/>
                <w:color w:val="auto"/>
              </w:rPr>
            </w:pPr>
            <w:r>
              <w:rPr>
                <w:rFonts w:hint="eastAsia" w:ascii="宋体" w:hAnsi="宋体" w:eastAsia="Times New Roman" w:cs="宋体"/>
                <w:color w:val="auto"/>
              </w:rPr>
              <w:t>达标</w:t>
            </w:r>
          </w:p>
        </w:tc>
      </w:tr>
      <w:tr w14:paraId="0955D69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restart"/>
            <w:tcBorders>
              <w:top w:val="single" w:color="000000" w:sz="2" w:space="0"/>
              <w:left w:val="single" w:color="000000" w:sz="8" w:space="0"/>
              <w:bottom w:val="single" w:color="000000" w:sz="2" w:space="0"/>
              <w:right w:val="single" w:color="000000" w:sz="2" w:space="0"/>
            </w:tcBorders>
            <w:vAlign w:val="center"/>
          </w:tcPr>
          <w:p w14:paraId="7D5EC9BA">
            <w:pPr>
              <w:pStyle w:val="129"/>
              <w:widowControl w:val="0"/>
              <w:rPr>
                <w:rFonts w:eastAsia="Times New Roman"/>
                <w:color w:val="auto"/>
              </w:rPr>
            </w:pPr>
            <w:r>
              <w:rPr>
                <w:rFonts w:hint="eastAsia" w:ascii="宋体" w:hAnsi="宋体" w:eastAsia="Times New Roman" w:cs="宋体"/>
                <w:color w:val="auto"/>
              </w:rPr>
              <w:t>南侧</w:t>
            </w:r>
          </w:p>
        </w:tc>
        <w:tc>
          <w:tcPr>
            <w:tcW w:w="895" w:type="dxa"/>
            <w:tcBorders>
              <w:top w:val="single" w:color="000000" w:sz="2" w:space="0"/>
              <w:left w:val="single" w:color="000000" w:sz="2" w:space="0"/>
              <w:bottom w:val="single" w:color="000000" w:sz="2" w:space="0"/>
              <w:right w:val="single" w:color="000000" w:sz="2" w:space="0"/>
            </w:tcBorders>
            <w:vAlign w:val="center"/>
          </w:tcPr>
          <w:p w14:paraId="386DCDEC">
            <w:pPr>
              <w:pStyle w:val="129"/>
              <w:widowControl w:val="0"/>
              <w:rPr>
                <w:rFonts w:eastAsia="Times New Roman"/>
                <w:color w:val="auto"/>
              </w:rPr>
            </w:pPr>
            <w:r>
              <w:rPr>
                <w:rFonts w:eastAsia="Times New Roman"/>
                <w:color w:val="auto"/>
              </w:rPr>
              <w:t>129.5</w:t>
            </w:r>
          </w:p>
        </w:tc>
        <w:tc>
          <w:tcPr>
            <w:tcW w:w="896" w:type="dxa"/>
            <w:tcBorders>
              <w:top w:val="single" w:color="000000" w:sz="2" w:space="0"/>
              <w:left w:val="single" w:color="000000" w:sz="2" w:space="0"/>
              <w:bottom w:val="single" w:color="000000" w:sz="2" w:space="0"/>
              <w:right w:val="single" w:color="000000" w:sz="2" w:space="0"/>
            </w:tcBorders>
            <w:vAlign w:val="center"/>
          </w:tcPr>
          <w:p w14:paraId="67819932">
            <w:pPr>
              <w:pStyle w:val="129"/>
              <w:widowControl w:val="0"/>
              <w:rPr>
                <w:rFonts w:eastAsia="Times New Roman"/>
                <w:color w:val="auto"/>
              </w:rPr>
            </w:pPr>
            <w:r>
              <w:rPr>
                <w:rFonts w:eastAsia="Times New Roman"/>
                <w:color w:val="auto"/>
              </w:rPr>
              <w:t>-174.3</w:t>
            </w:r>
          </w:p>
        </w:tc>
        <w:tc>
          <w:tcPr>
            <w:tcW w:w="896" w:type="dxa"/>
            <w:tcBorders>
              <w:top w:val="single" w:color="000000" w:sz="2" w:space="0"/>
              <w:left w:val="single" w:color="000000" w:sz="2" w:space="0"/>
              <w:bottom w:val="single" w:color="000000" w:sz="2" w:space="0"/>
              <w:right w:val="single" w:color="000000" w:sz="2" w:space="0"/>
            </w:tcBorders>
            <w:vAlign w:val="center"/>
          </w:tcPr>
          <w:p w14:paraId="71DEF16C">
            <w:pPr>
              <w:pStyle w:val="129"/>
              <w:widowControl w:val="0"/>
              <w:rPr>
                <w:rFonts w:eastAsia="Times New Roman"/>
                <w:color w:val="auto"/>
              </w:rPr>
            </w:pPr>
            <w:r>
              <w:rPr>
                <w:rFonts w:eastAsia="Times New Roman"/>
                <w:color w:val="auto"/>
              </w:rPr>
              <w:t>1.2</w:t>
            </w:r>
          </w:p>
        </w:tc>
        <w:tc>
          <w:tcPr>
            <w:tcW w:w="1174" w:type="dxa"/>
            <w:tcBorders>
              <w:top w:val="single" w:color="000000" w:sz="2" w:space="0"/>
              <w:left w:val="single" w:color="000000" w:sz="2" w:space="0"/>
              <w:bottom w:val="single" w:color="000000" w:sz="2" w:space="0"/>
              <w:right w:val="single" w:color="000000" w:sz="2" w:space="0"/>
            </w:tcBorders>
            <w:vAlign w:val="center"/>
          </w:tcPr>
          <w:p w14:paraId="10E0A968">
            <w:pPr>
              <w:pStyle w:val="129"/>
              <w:widowControl w:val="0"/>
              <w:rPr>
                <w:rFonts w:eastAsia="Times New Roman"/>
                <w:color w:val="auto"/>
              </w:rPr>
            </w:pPr>
            <w:r>
              <w:rPr>
                <w:rFonts w:hint="eastAsia" w:ascii="宋体" w:hAnsi="宋体" w:eastAsia="Times New Roman" w:cs="宋体"/>
                <w:color w:val="auto"/>
              </w:rPr>
              <w:t>昼间</w:t>
            </w:r>
          </w:p>
        </w:tc>
        <w:tc>
          <w:tcPr>
            <w:tcW w:w="1175" w:type="dxa"/>
            <w:tcBorders>
              <w:top w:val="single" w:color="000000" w:sz="2" w:space="0"/>
              <w:left w:val="single" w:color="000000" w:sz="2" w:space="0"/>
              <w:bottom w:val="single" w:color="000000" w:sz="2" w:space="0"/>
              <w:right w:val="single" w:color="000000" w:sz="2" w:space="0"/>
            </w:tcBorders>
            <w:vAlign w:val="center"/>
          </w:tcPr>
          <w:p w14:paraId="15CFC749">
            <w:pPr>
              <w:pStyle w:val="129"/>
              <w:widowControl w:val="0"/>
              <w:rPr>
                <w:rFonts w:eastAsia="Times New Roman"/>
                <w:color w:val="auto"/>
              </w:rPr>
            </w:pPr>
            <w:r>
              <w:rPr>
                <w:rFonts w:eastAsia="Times New Roman"/>
                <w:color w:val="auto"/>
              </w:rPr>
              <w:t>37.7</w:t>
            </w:r>
          </w:p>
        </w:tc>
        <w:tc>
          <w:tcPr>
            <w:tcW w:w="1175" w:type="dxa"/>
            <w:tcBorders>
              <w:top w:val="single" w:color="000000" w:sz="2" w:space="0"/>
              <w:left w:val="single" w:color="000000" w:sz="2" w:space="0"/>
              <w:bottom w:val="single" w:color="000000" w:sz="2" w:space="0"/>
              <w:right w:val="single" w:color="000000" w:sz="2" w:space="0"/>
            </w:tcBorders>
            <w:vAlign w:val="center"/>
          </w:tcPr>
          <w:p w14:paraId="5F1D0074">
            <w:pPr>
              <w:pStyle w:val="129"/>
              <w:widowControl w:val="0"/>
              <w:rPr>
                <w:rFonts w:eastAsia="Times New Roman"/>
                <w:color w:val="auto"/>
              </w:rPr>
            </w:pPr>
            <w:r>
              <w:rPr>
                <w:rFonts w:eastAsia="Times New Roman"/>
                <w:color w:val="auto"/>
              </w:rPr>
              <w:t>65</w:t>
            </w:r>
          </w:p>
        </w:tc>
        <w:tc>
          <w:tcPr>
            <w:tcW w:w="1175" w:type="dxa"/>
            <w:tcBorders>
              <w:top w:val="single" w:color="000000" w:sz="2" w:space="0"/>
              <w:left w:val="single" w:color="000000" w:sz="2" w:space="0"/>
              <w:bottom w:val="single" w:color="000000" w:sz="2" w:space="0"/>
              <w:right w:val="single" w:color="000000" w:sz="8" w:space="0"/>
            </w:tcBorders>
            <w:vAlign w:val="center"/>
          </w:tcPr>
          <w:p w14:paraId="76A7402C">
            <w:pPr>
              <w:pStyle w:val="129"/>
              <w:widowControl w:val="0"/>
              <w:rPr>
                <w:rFonts w:eastAsia="Times New Roman"/>
                <w:color w:val="auto"/>
              </w:rPr>
            </w:pPr>
            <w:r>
              <w:rPr>
                <w:rFonts w:hint="eastAsia" w:ascii="宋体" w:hAnsi="宋体" w:eastAsia="Times New Roman" w:cs="宋体"/>
                <w:color w:val="auto"/>
              </w:rPr>
              <w:t>达标</w:t>
            </w:r>
          </w:p>
        </w:tc>
      </w:tr>
      <w:tr w14:paraId="132769B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continue"/>
            <w:tcBorders>
              <w:top w:val="single" w:color="000000" w:sz="2" w:space="0"/>
              <w:left w:val="single" w:color="000000" w:sz="8" w:space="0"/>
              <w:bottom w:val="single" w:color="000000" w:sz="2" w:space="0"/>
              <w:right w:val="single" w:color="000000" w:sz="2" w:space="0"/>
            </w:tcBorders>
            <w:vAlign w:val="center"/>
          </w:tcPr>
          <w:p w14:paraId="3D171DFA">
            <w:pPr>
              <w:pStyle w:val="129"/>
              <w:widowControl w:val="0"/>
              <w:rPr>
                <w:rFonts w:eastAsia="Times New Roman"/>
                <w:color w:val="auto"/>
              </w:rPr>
            </w:pPr>
          </w:p>
        </w:tc>
        <w:tc>
          <w:tcPr>
            <w:tcW w:w="895" w:type="dxa"/>
            <w:tcBorders>
              <w:top w:val="single" w:color="000000" w:sz="2" w:space="0"/>
              <w:left w:val="single" w:color="000000" w:sz="2" w:space="0"/>
              <w:bottom w:val="single" w:color="000000" w:sz="2" w:space="0"/>
              <w:right w:val="single" w:color="000000" w:sz="2" w:space="0"/>
            </w:tcBorders>
            <w:vAlign w:val="center"/>
          </w:tcPr>
          <w:p w14:paraId="3AE5CA99">
            <w:pPr>
              <w:pStyle w:val="129"/>
              <w:widowControl w:val="0"/>
              <w:rPr>
                <w:rFonts w:eastAsia="Times New Roman"/>
                <w:color w:val="auto"/>
              </w:rPr>
            </w:pPr>
            <w:r>
              <w:rPr>
                <w:rFonts w:eastAsia="Times New Roman"/>
                <w:color w:val="auto"/>
              </w:rPr>
              <w:t>129.5</w:t>
            </w:r>
          </w:p>
        </w:tc>
        <w:tc>
          <w:tcPr>
            <w:tcW w:w="896" w:type="dxa"/>
            <w:tcBorders>
              <w:top w:val="single" w:color="000000" w:sz="2" w:space="0"/>
              <w:left w:val="single" w:color="000000" w:sz="2" w:space="0"/>
              <w:bottom w:val="single" w:color="000000" w:sz="2" w:space="0"/>
              <w:right w:val="single" w:color="000000" w:sz="2" w:space="0"/>
            </w:tcBorders>
            <w:vAlign w:val="center"/>
          </w:tcPr>
          <w:p w14:paraId="1C9A3410">
            <w:pPr>
              <w:pStyle w:val="129"/>
              <w:widowControl w:val="0"/>
              <w:rPr>
                <w:rFonts w:eastAsia="Times New Roman"/>
                <w:color w:val="auto"/>
              </w:rPr>
            </w:pPr>
            <w:r>
              <w:rPr>
                <w:rFonts w:eastAsia="Times New Roman"/>
                <w:color w:val="auto"/>
              </w:rPr>
              <w:t>-174.3</w:t>
            </w:r>
          </w:p>
        </w:tc>
        <w:tc>
          <w:tcPr>
            <w:tcW w:w="896" w:type="dxa"/>
            <w:tcBorders>
              <w:top w:val="single" w:color="000000" w:sz="2" w:space="0"/>
              <w:left w:val="single" w:color="000000" w:sz="2" w:space="0"/>
              <w:bottom w:val="single" w:color="000000" w:sz="2" w:space="0"/>
              <w:right w:val="single" w:color="000000" w:sz="2" w:space="0"/>
            </w:tcBorders>
            <w:vAlign w:val="center"/>
          </w:tcPr>
          <w:p w14:paraId="62CC138A">
            <w:pPr>
              <w:pStyle w:val="129"/>
              <w:widowControl w:val="0"/>
              <w:rPr>
                <w:rFonts w:eastAsia="Times New Roman"/>
                <w:color w:val="auto"/>
              </w:rPr>
            </w:pPr>
            <w:r>
              <w:rPr>
                <w:rFonts w:eastAsia="Times New Roman"/>
                <w:color w:val="auto"/>
              </w:rPr>
              <w:t>1.2</w:t>
            </w:r>
          </w:p>
        </w:tc>
        <w:tc>
          <w:tcPr>
            <w:tcW w:w="1174" w:type="dxa"/>
            <w:tcBorders>
              <w:top w:val="single" w:color="000000" w:sz="2" w:space="0"/>
              <w:left w:val="single" w:color="000000" w:sz="2" w:space="0"/>
              <w:bottom w:val="single" w:color="000000" w:sz="2" w:space="0"/>
              <w:right w:val="single" w:color="000000" w:sz="2" w:space="0"/>
            </w:tcBorders>
            <w:vAlign w:val="center"/>
          </w:tcPr>
          <w:p w14:paraId="4A168B25">
            <w:pPr>
              <w:pStyle w:val="129"/>
              <w:widowControl w:val="0"/>
              <w:rPr>
                <w:rFonts w:eastAsia="Times New Roman"/>
                <w:color w:val="auto"/>
              </w:rPr>
            </w:pPr>
            <w:r>
              <w:rPr>
                <w:rFonts w:hint="eastAsia" w:ascii="宋体" w:hAnsi="宋体" w:eastAsia="Times New Roman" w:cs="宋体"/>
                <w:color w:val="auto"/>
              </w:rPr>
              <w:t>夜间</w:t>
            </w:r>
          </w:p>
        </w:tc>
        <w:tc>
          <w:tcPr>
            <w:tcW w:w="1175" w:type="dxa"/>
            <w:tcBorders>
              <w:top w:val="single" w:color="000000" w:sz="2" w:space="0"/>
              <w:left w:val="single" w:color="000000" w:sz="2" w:space="0"/>
              <w:bottom w:val="single" w:color="000000" w:sz="2" w:space="0"/>
              <w:right w:val="single" w:color="000000" w:sz="2" w:space="0"/>
            </w:tcBorders>
            <w:vAlign w:val="center"/>
          </w:tcPr>
          <w:p w14:paraId="5DE4E780">
            <w:pPr>
              <w:pStyle w:val="129"/>
              <w:widowControl w:val="0"/>
              <w:rPr>
                <w:rFonts w:eastAsia="Times New Roman"/>
                <w:color w:val="auto"/>
              </w:rPr>
            </w:pPr>
            <w:r>
              <w:rPr>
                <w:rFonts w:eastAsia="Times New Roman"/>
                <w:color w:val="auto"/>
              </w:rPr>
              <w:t>37.7</w:t>
            </w:r>
          </w:p>
        </w:tc>
        <w:tc>
          <w:tcPr>
            <w:tcW w:w="1175" w:type="dxa"/>
            <w:tcBorders>
              <w:top w:val="single" w:color="000000" w:sz="2" w:space="0"/>
              <w:left w:val="single" w:color="000000" w:sz="2" w:space="0"/>
              <w:bottom w:val="single" w:color="000000" w:sz="2" w:space="0"/>
              <w:right w:val="single" w:color="000000" w:sz="2" w:space="0"/>
            </w:tcBorders>
            <w:vAlign w:val="center"/>
          </w:tcPr>
          <w:p w14:paraId="31920A45">
            <w:pPr>
              <w:pStyle w:val="129"/>
              <w:widowControl w:val="0"/>
              <w:rPr>
                <w:rFonts w:eastAsia="Times New Roman"/>
                <w:color w:val="auto"/>
              </w:rPr>
            </w:pPr>
            <w:r>
              <w:rPr>
                <w:rFonts w:eastAsia="Times New Roman"/>
                <w:color w:val="auto"/>
              </w:rPr>
              <w:t>55</w:t>
            </w:r>
          </w:p>
        </w:tc>
        <w:tc>
          <w:tcPr>
            <w:tcW w:w="1175" w:type="dxa"/>
            <w:tcBorders>
              <w:top w:val="single" w:color="000000" w:sz="2" w:space="0"/>
              <w:left w:val="single" w:color="000000" w:sz="2" w:space="0"/>
              <w:bottom w:val="single" w:color="000000" w:sz="2" w:space="0"/>
              <w:right w:val="single" w:color="000000" w:sz="8" w:space="0"/>
            </w:tcBorders>
            <w:vAlign w:val="center"/>
          </w:tcPr>
          <w:p w14:paraId="4AA0BAB4">
            <w:pPr>
              <w:pStyle w:val="129"/>
              <w:widowControl w:val="0"/>
              <w:rPr>
                <w:rFonts w:eastAsia="Times New Roman"/>
                <w:color w:val="auto"/>
              </w:rPr>
            </w:pPr>
            <w:r>
              <w:rPr>
                <w:rFonts w:hint="eastAsia" w:ascii="宋体" w:hAnsi="宋体" w:eastAsia="Times New Roman" w:cs="宋体"/>
                <w:color w:val="auto"/>
              </w:rPr>
              <w:t>达标</w:t>
            </w:r>
          </w:p>
        </w:tc>
      </w:tr>
      <w:tr w14:paraId="46AFEA1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restart"/>
            <w:tcBorders>
              <w:top w:val="single" w:color="000000" w:sz="2" w:space="0"/>
              <w:left w:val="single" w:color="000000" w:sz="8" w:space="0"/>
              <w:bottom w:val="single" w:color="000000" w:sz="2" w:space="0"/>
              <w:right w:val="single" w:color="000000" w:sz="2" w:space="0"/>
            </w:tcBorders>
            <w:vAlign w:val="center"/>
          </w:tcPr>
          <w:p w14:paraId="6A0FD258">
            <w:pPr>
              <w:pStyle w:val="129"/>
              <w:widowControl w:val="0"/>
              <w:rPr>
                <w:rFonts w:eastAsia="Times New Roman"/>
                <w:color w:val="auto"/>
              </w:rPr>
            </w:pPr>
            <w:r>
              <w:rPr>
                <w:rFonts w:hint="eastAsia" w:ascii="宋体" w:hAnsi="宋体" w:eastAsia="Times New Roman" w:cs="宋体"/>
                <w:color w:val="auto"/>
              </w:rPr>
              <w:t>西侧</w:t>
            </w:r>
          </w:p>
        </w:tc>
        <w:tc>
          <w:tcPr>
            <w:tcW w:w="895" w:type="dxa"/>
            <w:tcBorders>
              <w:top w:val="single" w:color="000000" w:sz="2" w:space="0"/>
              <w:left w:val="single" w:color="000000" w:sz="2" w:space="0"/>
              <w:bottom w:val="single" w:color="000000" w:sz="2" w:space="0"/>
              <w:right w:val="single" w:color="000000" w:sz="2" w:space="0"/>
            </w:tcBorders>
            <w:vAlign w:val="center"/>
          </w:tcPr>
          <w:p w14:paraId="7C0568A2">
            <w:pPr>
              <w:pStyle w:val="129"/>
              <w:widowControl w:val="0"/>
              <w:rPr>
                <w:rFonts w:eastAsia="Times New Roman"/>
                <w:color w:val="auto"/>
              </w:rPr>
            </w:pPr>
            <w:r>
              <w:rPr>
                <w:rFonts w:eastAsia="Times New Roman"/>
                <w:color w:val="auto"/>
              </w:rPr>
              <w:t>-121</w:t>
            </w:r>
          </w:p>
        </w:tc>
        <w:tc>
          <w:tcPr>
            <w:tcW w:w="896" w:type="dxa"/>
            <w:tcBorders>
              <w:top w:val="single" w:color="000000" w:sz="2" w:space="0"/>
              <w:left w:val="single" w:color="000000" w:sz="2" w:space="0"/>
              <w:bottom w:val="single" w:color="000000" w:sz="2" w:space="0"/>
              <w:right w:val="single" w:color="000000" w:sz="2" w:space="0"/>
            </w:tcBorders>
            <w:vAlign w:val="center"/>
          </w:tcPr>
          <w:p w14:paraId="768C19EA">
            <w:pPr>
              <w:pStyle w:val="129"/>
              <w:widowControl w:val="0"/>
              <w:rPr>
                <w:rFonts w:eastAsia="Times New Roman"/>
                <w:color w:val="auto"/>
              </w:rPr>
            </w:pPr>
            <w:r>
              <w:rPr>
                <w:rFonts w:eastAsia="Times New Roman"/>
                <w:color w:val="auto"/>
              </w:rPr>
              <w:t>-146.3</w:t>
            </w:r>
          </w:p>
        </w:tc>
        <w:tc>
          <w:tcPr>
            <w:tcW w:w="896" w:type="dxa"/>
            <w:tcBorders>
              <w:top w:val="single" w:color="000000" w:sz="2" w:space="0"/>
              <w:left w:val="single" w:color="000000" w:sz="2" w:space="0"/>
              <w:bottom w:val="single" w:color="000000" w:sz="2" w:space="0"/>
              <w:right w:val="single" w:color="000000" w:sz="2" w:space="0"/>
            </w:tcBorders>
            <w:vAlign w:val="center"/>
          </w:tcPr>
          <w:p w14:paraId="77CB2B01">
            <w:pPr>
              <w:pStyle w:val="129"/>
              <w:widowControl w:val="0"/>
              <w:rPr>
                <w:rFonts w:eastAsia="Times New Roman"/>
                <w:color w:val="auto"/>
              </w:rPr>
            </w:pPr>
            <w:r>
              <w:rPr>
                <w:rFonts w:eastAsia="Times New Roman"/>
                <w:color w:val="auto"/>
              </w:rPr>
              <w:t>1.2</w:t>
            </w:r>
          </w:p>
        </w:tc>
        <w:tc>
          <w:tcPr>
            <w:tcW w:w="1174" w:type="dxa"/>
            <w:tcBorders>
              <w:top w:val="single" w:color="000000" w:sz="2" w:space="0"/>
              <w:left w:val="single" w:color="000000" w:sz="2" w:space="0"/>
              <w:bottom w:val="single" w:color="000000" w:sz="2" w:space="0"/>
              <w:right w:val="single" w:color="000000" w:sz="2" w:space="0"/>
            </w:tcBorders>
            <w:vAlign w:val="center"/>
          </w:tcPr>
          <w:p w14:paraId="483DAF16">
            <w:pPr>
              <w:pStyle w:val="129"/>
              <w:widowControl w:val="0"/>
              <w:rPr>
                <w:rFonts w:eastAsia="Times New Roman"/>
                <w:color w:val="auto"/>
              </w:rPr>
            </w:pPr>
            <w:r>
              <w:rPr>
                <w:rFonts w:hint="eastAsia" w:ascii="宋体" w:hAnsi="宋体" w:eastAsia="Times New Roman" w:cs="宋体"/>
                <w:color w:val="auto"/>
              </w:rPr>
              <w:t>昼间</w:t>
            </w:r>
          </w:p>
        </w:tc>
        <w:tc>
          <w:tcPr>
            <w:tcW w:w="1175" w:type="dxa"/>
            <w:tcBorders>
              <w:top w:val="single" w:color="000000" w:sz="2" w:space="0"/>
              <w:left w:val="single" w:color="000000" w:sz="2" w:space="0"/>
              <w:bottom w:val="single" w:color="000000" w:sz="2" w:space="0"/>
              <w:right w:val="single" w:color="000000" w:sz="2" w:space="0"/>
            </w:tcBorders>
            <w:vAlign w:val="center"/>
          </w:tcPr>
          <w:p w14:paraId="0172C439">
            <w:pPr>
              <w:pStyle w:val="129"/>
              <w:widowControl w:val="0"/>
              <w:rPr>
                <w:rFonts w:eastAsia="Times New Roman"/>
                <w:color w:val="auto"/>
              </w:rPr>
            </w:pPr>
            <w:r>
              <w:rPr>
                <w:rFonts w:eastAsia="Times New Roman"/>
                <w:color w:val="auto"/>
              </w:rPr>
              <w:t>26.7</w:t>
            </w:r>
          </w:p>
        </w:tc>
        <w:tc>
          <w:tcPr>
            <w:tcW w:w="1175" w:type="dxa"/>
            <w:tcBorders>
              <w:top w:val="single" w:color="000000" w:sz="2" w:space="0"/>
              <w:left w:val="single" w:color="000000" w:sz="2" w:space="0"/>
              <w:bottom w:val="single" w:color="000000" w:sz="2" w:space="0"/>
              <w:right w:val="single" w:color="000000" w:sz="2" w:space="0"/>
            </w:tcBorders>
            <w:vAlign w:val="center"/>
          </w:tcPr>
          <w:p w14:paraId="2ADE8165">
            <w:pPr>
              <w:pStyle w:val="129"/>
              <w:widowControl w:val="0"/>
              <w:rPr>
                <w:rFonts w:eastAsia="Times New Roman"/>
                <w:color w:val="auto"/>
              </w:rPr>
            </w:pPr>
            <w:r>
              <w:rPr>
                <w:rFonts w:eastAsia="Times New Roman"/>
                <w:color w:val="auto"/>
              </w:rPr>
              <w:t>65</w:t>
            </w:r>
          </w:p>
        </w:tc>
        <w:tc>
          <w:tcPr>
            <w:tcW w:w="1175" w:type="dxa"/>
            <w:tcBorders>
              <w:top w:val="single" w:color="000000" w:sz="2" w:space="0"/>
              <w:left w:val="single" w:color="000000" w:sz="2" w:space="0"/>
              <w:bottom w:val="single" w:color="000000" w:sz="2" w:space="0"/>
              <w:right w:val="single" w:color="000000" w:sz="8" w:space="0"/>
            </w:tcBorders>
            <w:vAlign w:val="center"/>
          </w:tcPr>
          <w:p w14:paraId="3516CC7F">
            <w:pPr>
              <w:pStyle w:val="129"/>
              <w:widowControl w:val="0"/>
              <w:rPr>
                <w:rFonts w:eastAsia="Times New Roman"/>
                <w:color w:val="auto"/>
              </w:rPr>
            </w:pPr>
            <w:r>
              <w:rPr>
                <w:rFonts w:hint="eastAsia" w:ascii="宋体" w:hAnsi="宋体" w:eastAsia="Times New Roman" w:cs="宋体"/>
                <w:color w:val="auto"/>
              </w:rPr>
              <w:t>达标</w:t>
            </w:r>
          </w:p>
        </w:tc>
      </w:tr>
      <w:tr w14:paraId="352B0DF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continue"/>
            <w:tcBorders>
              <w:top w:val="single" w:color="000000" w:sz="2" w:space="0"/>
              <w:left w:val="single" w:color="000000" w:sz="8" w:space="0"/>
              <w:bottom w:val="single" w:color="000000" w:sz="2" w:space="0"/>
              <w:right w:val="single" w:color="000000" w:sz="2" w:space="0"/>
            </w:tcBorders>
            <w:vAlign w:val="center"/>
          </w:tcPr>
          <w:p w14:paraId="65B403D4">
            <w:pPr>
              <w:pStyle w:val="129"/>
              <w:widowControl w:val="0"/>
              <w:rPr>
                <w:rFonts w:eastAsia="Times New Roman"/>
                <w:color w:val="auto"/>
              </w:rPr>
            </w:pPr>
          </w:p>
        </w:tc>
        <w:tc>
          <w:tcPr>
            <w:tcW w:w="895" w:type="dxa"/>
            <w:tcBorders>
              <w:top w:val="single" w:color="000000" w:sz="2" w:space="0"/>
              <w:left w:val="single" w:color="000000" w:sz="2" w:space="0"/>
              <w:bottom w:val="single" w:color="000000" w:sz="2" w:space="0"/>
              <w:right w:val="single" w:color="000000" w:sz="2" w:space="0"/>
            </w:tcBorders>
            <w:vAlign w:val="center"/>
          </w:tcPr>
          <w:p w14:paraId="4603B63B">
            <w:pPr>
              <w:pStyle w:val="129"/>
              <w:widowControl w:val="0"/>
              <w:rPr>
                <w:rFonts w:eastAsia="Times New Roman"/>
                <w:color w:val="auto"/>
              </w:rPr>
            </w:pPr>
            <w:r>
              <w:rPr>
                <w:rFonts w:eastAsia="Times New Roman"/>
                <w:color w:val="auto"/>
              </w:rPr>
              <w:t>-121</w:t>
            </w:r>
          </w:p>
        </w:tc>
        <w:tc>
          <w:tcPr>
            <w:tcW w:w="896" w:type="dxa"/>
            <w:tcBorders>
              <w:top w:val="single" w:color="000000" w:sz="2" w:space="0"/>
              <w:left w:val="single" w:color="000000" w:sz="2" w:space="0"/>
              <w:bottom w:val="single" w:color="000000" w:sz="2" w:space="0"/>
              <w:right w:val="single" w:color="000000" w:sz="2" w:space="0"/>
            </w:tcBorders>
            <w:vAlign w:val="center"/>
          </w:tcPr>
          <w:p w14:paraId="1772C396">
            <w:pPr>
              <w:pStyle w:val="129"/>
              <w:widowControl w:val="0"/>
              <w:rPr>
                <w:rFonts w:eastAsia="Times New Roman"/>
                <w:color w:val="auto"/>
              </w:rPr>
            </w:pPr>
            <w:r>
              <w:rPr>
                <w:rFonts w:eastAsia="Times New Roman"/>
                <w:color w:val="auto"/>
              </w:rPr>
              <w:t>-146.3</w:t>
            </w:r>
          </w:p>
        </w:tc>
        <w:tc>
          <w:tcPr>
            <w:tcW w:w="896" w:type="dxa"/>
            <w:tcBorders>
              <w:top w:val="single" w:color="000000" w:sz="2" w:space="0"/>
              <w:left w:val="single" w:color="000000" w:sz="2" w:space="0"/>
              <w:bottom w:val="single" w:color="000000" w:sz="2" w:space="0"/>
              <w:right w:val="single" w:color="000000" w:sz="2" w:space="0"/>
            </w:tcBorders>
            <w:vAlign w:val="center"/>
          </w:tcPr>
          <w:p w14:paraId="28C61647">
            <w:pPr>
              <w:pStyle w:val="129"/>
              <w:widowControl w:val="0"/>
              <w:rPr>
                <w:rFonts w:eastAsia="Times New Roman"/>
                <w:color w:val="auto"/>
              </w:rPr>
            </w:pPr>
            <w:r>
              <w:rPr>
                <w:rFonts w:eastAsia="Times New Roman"/>
                <w:color w:val="auto"/>
              </w:rPr>
              <w:t>1.2</w:t>
            </w:r>
          </w:p>
        </w:tc>
        <w:tc>
          <w:tcPr>
            <w:tcW w:w="1174" w:type="dxa"/>
            <w:tcBorders>
              <w:top w:val="single" w:color="000000" w:sz="2" w:space="0"/>
              <w:left w:val="single" w:color="000000" w:sz="2" w:space="0"/>
              <w:bottom w:val="single" w:color="000000" w:sz="2" w:space="0"/>
              <w:right w:val="single" w:color="000000" w:sz="2" w:space="0"/>
            </w:tcBorders>
            <w:vAlign w:val="center"/>
          </w:tcPr>
          <w:p w14:paraId="525171E4">
            <w:pPr>
              <w:pStyle w:val="129"/>
              <w:widowControl w:val="0"/>
              <w:rPr>
                <w:rFonts w:eastAsia="Times New Roman"/>
                <w:color w:val="auto"/>
              </w:rPr>
            </w:pPr>
            <w:r>
              <w:rPr>
                <w:rFonts w:hint="eastAsia" w:ascii="宋体" w:hAnsi="宋体" w:eastAsia="Times New Roman" w:cs="宋体"/>
                <w:color w:val="auto"/>
              </w:rPr>
              <w:t>夜间</w:t>
            </w:r>
          </w:p>
        </w:tc>
        <w:tc>
          <w:tcPr>
            <w:tcW w:w="1175" w:type="dxa"/>
            <w:tcBorders>
              <w:top w:val="single" w:color="000000" w:sz="2" w:space="0"/>
              <w:left w:val="single" w:color="000000" w:sz="2" w:space="0"/>
              <w:bottom w:val="single" w:color="000000" w:sz="2" w:space="0"/>
              <w:right w:val="single" w:color="000000" w:sz="2" w:space="0"/>
            </w:tcBorders>
            <w:vAlign w:val="center"/>
          </w:tcPr>
          <w:p w14:paraId="198B1857">
            <w:pPr>
              <w:pStyle w:val="129"/>
              <w:widowControl w:val="0"/>
              <w:rPr>
                <w:rFonts w:eastAsia="Times New Roman"/>
                <w:color w:val="auto"/>
              </w:rPr>
            </w:pPr>
            <w:r>
              <w:rPr>
                <w:rFonts w:eastAsia="Times New Roman"/>
                <w:color w:val="auto"/>
              </w:rPr>
              <w:t>26.7</w:t>
            </w:r>
          </w:p>
        </w:tc>
        <w:tc>
          <w:tcPr>
            <w:tcW w:w="1175" w:type="dxa"/>
            <w:tcBorders>
              <w:top w:val="single" w:color="000000" w:sz="2" w:space="0"/>
              <w:left w:val="single" w:color="000000" w:sz="2" w:space="0"/>
              <w:bottom w:val="single" w:color="000000" w:sz="2" w:space="0"/>
              <w:right w:val="single" w:color="000000" w:sz="2" w:space="0"/>
            </w:tcBorders>
            <w:vAlign w:val="center"/>
          </w:tcPr>
          <w:p w14:paraId="08317349">
            <w:pPr>
              <w:pStyle w:val="129"/>
              <w:widowControl w:val="0"/>
              <w:rPr>
                <w:rFonts w:eastAsia="Times New Roman"/>
                <w:color w:val="auto"/>
              </w:rPr>
            </w:pPr>
            <w:r>
              <w:rPr>
                <w:rFonts w:eastAsia="Times New Roman"/>
                <w:color w:val="auto"/>
              </w:rPr>
              <w:t>55</w:t>
            </w:r>
          </w:p>
        </w:tc>
        <w:tc>
          <w:tcPr>
            <w:tcW w:w="1175" w:type="dxa"/>
            <w:tcBorders>
              <w:top w:val="single" w:color="000000" w:sz="2" w:space="0"/>
              <w:left w:val="single" w:color="000000" w:sz="2" w:space="0"/>
              <w:bottom w:val="single" w:color="000000" w:sz="2" w:space="0"/>
              <w:right w:val="single" w:color="000000" w:sz="8" w:space="0"/>
            </w:tcBorders>
            <w:vAlign w:val="center"/>
          </w:tcPr>
          <w:p w14:paraId="6C207B67">
            <w:pPr>
              <w:pStyle w:val="129"/>
              <w:widowControl w:val="0"/>
              <w:rPr>
                <w:rFonts w:eastAsia="Times New Roman"/>
                <w:color w:val="auto"/>
              </w:rPr>
            </w:pPr>
            <w:r>
              <w:rPr>
                <w:rFonts w:hint="eastAsia" w:ascii="宋体" w:hAnsi="宋体" w:eastAsia="Times New Roman" w:cs="宋体"/>
                <w:color w:val="auto"/>
              </w:rPr>
              <w:t>达标</w:t>
            </w:r>
          </w:p>
        </w:tc>
      </w:tr>
      <w:tr w14:paraId="6D31449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restart"/>
            <w:tcBorders>
              <w:top w:val="single" w:color="000000" w:sz="2" w:space="0"/>
              <w:left w:val="single" w:color="000000" w:sz="8" w:space="0"/>
              <w:bottom w:val="single" w:color="000000" w:sz="2" w:space="0"/>
              <w:right w:val="single" w:color="000000" w:sz="2" w:space="0"/>
            </w:tcBorders>
            <w:vAlign w:val="center"/>
          </w:tcPr>
          <w:p w14:paraId="4FC46838">
            <w:pPr>
              <w:pStyle w:val="129"/>
              <w:widowControl w:val="0"/>
              <w:rPr>
                <w:rFonts w:eastAsia="Times New Roman"/>
                <w:color w:val="auto"/>
              </w:rPr>
            </w:pPr>
            <w:r>
              <w:rPr>
                <w:rFonts w:hint="eastAsia" w:ascii="宋体" w:hAnsi="宋体" w:eastAsia="Times New Roman" w:cs="宋体"/>
                <w:color w:val="auto"/>
              </w:rPr>
              <w:t>北侧</w:t>
            </w:r>
          </w:p>
        </w:tc>
        <w:tc>
          <w:tcPr>
            <w:tcW w:w="895" w:type="dxa"/>
            <w:tcBorders>
              <w:top w:val="single" w:color="000000" w:sz="2" w:space="0"/>
              <w:left w:val="single" w:color="000000" w:sz="2" w:space="0"/>
              <w:bottom w:val="single" w:color="000000" w:sz="2" w:space="0"/>
              <w:right w:val="single" w:color="000000" w:sz="2" w:space="0"/>
            </w:tcBorders>
            <w:vAlign w:val="center"/>
          </w:tcPr>
          <w:p w14:paraId="3CDF06DC">
            <w:pPr>
              <w:pStyle w:val="129"/>
              <w:widowControl w:val="0"/>
              <w:rPr>
                <w:rFonts w:eastAsia="Times New Roman"/>
                <w:color w:val="auto"/>
              </w:rPr>
            </w:pPr>
            <w:r>
              <w:rPr>
                <w:rFonts w:eastAsia="Times New Roman"/>
                <w:color w:val="auto"/>
              </w:rPr>
              <w:t>-113.1</w:t>
            </w:r>
          </w:p>
        </w:tc>
        <w:tc>
          <w:tcPr>
            <w:tcW w:w="896" w:type="dxa"/>
            <w:tcBorders>
              <w:top w:val="single" w:color="000000" w:sz="2" w:space="0"/>
              <w:left w:val="single" w:color="000000" w:sz="2" w:space="0"/>
              <w:bottom w:val="single" w:color="000000" w:sz="2" w:space="0"/>
              <w:right w:val="single" w:color="000000" w:sz="2" w:space="0"/>
            </w:tcBorders>
            <w:vAlign w:val="center"/>
          </w:tcPr>
          <w:p w14:paraId="5316E995">
            <w:pPr>
              <w:pStyle w:val="129"/>
              <w:widowControl w:val="0"/>
              <w:rPr>
                <w:rFonts w:eastAsia="Times New Roman"/>
                <w:color w:val="auto"/>
              </w:rPr>
            </w:pPr>
            <w:r>
              <w:rPr>
                <w:rFonts w:eastAsia="Times New Roman"/>
                <w:color w:val="auto"/>
              </w:rPr>
              <w:t>188.9</w:t>
            </w:r>
          </w:p>
        </w:tc>
        <w:tc>
          <w:tcPr>
            <w:tcW w:w="896" w:type="dxa"/>
            <w:tcBorders>
              <w:top w:val="single" w:color="000000" w:sz="2" w:space="0"/>
              <w:left w:val="single" w:color="000000" w:sz="2" w:space="0"/>
              <w:bottom w:val="single" w:color="000000" w:sz="2" w:space="0"/>
              <w:right w:val="single" w:color="000000" w:sz="2" w:space="0"/>
            </w:tcBorders>
            <w:vAlign w:val="center"/>
          </w:tcPr>
          <w:p w14:paraId="310BD3CB">
            <w:pPr>
              <w:pStyle w:val="129"/>
              <w:widowControl w:val="0"/>
              <w:rPr>
                <w:rFonts w:eastAsia="Times New Roman"/>
                <w:color w:val="auto"/>
              </w:rPr>
            </w:pPr>
            <w:r>
              <w:rPr>
                <w:rFonts w:eastAsia="Times New Roman"/>
                <w:color w:val="auto"/>
              </w:rPr>
              <w:t>1.2</w:t>
            </w:r>
          </w:p>
        </w:tc>
        <w:tc>
          <w:tcPr>
            <w:tcW w:w="1174" w:type="dxa"/>
            <w:tcBorders>
              <w:top w:val="single" w:color="000000" w:sz="2" w:space="0"/>
              <w:left w:val="single" w:color="000000" w:sz="2" w:space="0"/>
              <w:bottom w:val="single" w:color="000000" w:sz="2" w:space="0"/>
              <w:right w:val="single" w:color="000000" w:sz="2" w:space="0"/>
            </w:tcBorders>
            <w:vAlign w:val="center"/>
          </w:tcPr>
          <w:p w14:paraId="2DC8E458">
            <w:pPr>
              <w:pStyle w:val="129"/>
              <w:widowControl w:val="0"/>
              <w:rPr>
                <w:rFonts w:eastAsia="Times New Roman"/>
                <w:color w:val="auto"/>
              </w:rPr>
            </w:pPr>
            <w:r>
              <w:rPr>
                <w:rFonts w:hint="eastAsia" w:ascii="宋体" w:hAnsi="宋体" w:eastAsia="Times New Roman" w:cs="宋体"/>
                <w:color w:val="auto"/>
              </w:rPr>
              <w:t>昼间</w:t>
            </w:r>
          </w:p>
        </w:tc>
        <w:tc>
          <w:tcPr>
            <w:tcW w:w="1175" w:type="dxa"/>
            <w:tcBorders>
              <w:top w:val="single" w:color="000000" w:sz="2" w:space="0"/>
              <w:left w:val="single" w:color="000000" w:sz="2" w:space="0"/>
              <w:bottom w:val="single" w:color="000000" w:sz="2" w:space="0"/>
              <w:right w:val="single" w:color="000000" w:sz="2" w:space="0"/>
            </w:tcBorders>
            <w:vAlign w:val="center"/>
          </w:tcPr>
          <w:p w14:paraId="0EECD665">
            <w:pPr>
              <w:pStyle w:val="129"/>
              <w:widowControl w:val="0"/>
              <w:rPr>
                <w:rFonts w:eastAsia="Times New Roman"/>
                <w:color w:val="auto"/>
              </w:rPr>
            </w:pPr>
            <w:r>
              <w:rPr>
                <w:rFonts w:eastAsia="Times New Roman"/>
                <w:color w:val="auto"/>
              </w:rPr>
              <w:t>30.8</w:t>
            </w:r>
          </w:p>
        </w:tc>
        <w:tc>
          <w:tcPr>
            <w:tcW w:w="1175" w:type="dxa"/>
            <w:tcBorders>
              <w:top w:val="single" w:color="000000" w:sz="2" w:space="0"/>
              <w:left w:val="single" w:color="000000" w:sz="2" w:space="0"/>
              <w:bottom w:val="single" w:color="000000" w:sz="2" w:space="0"/>
              <w:right w:val="single" w:color="000000" w:sz="2" w:space="0"/>
            </w:tcBorders>
            <w:vAlign w:val="center"/>
          </w:tcPr>
          <w:p w14:paraId="2EE98CAD">
            <w:pPr>
              <w:pStyle w:val="129"/>
              <w:widowControl w:val="0"/>
              <w:rPr>
                <w:rFonts w:eastAsia="Times New Roman"/>
                <w:color w:val="auto"/>
              </w:rPr>
            </w:pPr>
            <w:r>
              <w:rPr>
                <w:rFonts w:eastAsia="Times New Roman"/>
                <w:color w:val="auto"/>
              </w:rPr>
              <w:t>65</w:t>
            </w:r>
          </w:p>
        </w:tc>
        <w:tc>
          <w:tcPr>
            <w:tcW w:w="1175" w:type="dxa"/>
            <w:tcBorders>
              <w:top w:val="single" w:color="000000" w:sz="2" w:space="0"/>
              <w:left w:val="single" w:color="000000" w:sz="2" w:space="0"/>
              <w:bottom w:val="single" w:color="000000" w:sz="2" w:space="0"/>
              <w:right w:val="single" w:color="000000" w:sz="8" w:space="0"/>
            </w:tcBorders>
            <w:vAlign w:val="center"/>
          </w:tcPr>
          <w:p w14:paraId="50C6943A">
            <w:pPr>
              <w:pStyle w:val="129"/>
              <w:widowControl w:val="0"/>
              <w:rPr>
                <w:rFonts w:eastAsia="Times New Roman"/>
                <w:color w:val="auto"/>
              </w:rPr>
            </w:pPr>
            <w:r>
              <w:rPr>
                <w:rFonts w:hint="eastAsia" w:ascii="宋体" w:hAnsi="宋体" w:eastAsia="Times New Roman" w:cs="宋体"/>
                <w:color w:val="auto"/>
              </w:rPr>
              <w:t>达标</w:t>
            </w:r>
          </w:p>
        </w:tc>
      </w:tr>
      <w:tr w14:paraId="6465EA8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324" w:type="dxa"/>
            <w:vMerge w:val="continue"/>
            <w:tcBorders>
              <w:top w:val="single" w:color="000000" w:sz="2" w:space="0"/>
              <w:left w:val="single" w:color="000000" w:sz="8" w:space="0"/>
              <w:bottom w:val="single" w:color="000000" w:sz="2" w:space="0"/>
              <w:right w:val="single" w:color="000000" w:sz="2" w:space="0"/>
            </w:tcBorders>
            <w:vAlign w:val="center"/>
          </w:tcPr>
          <w:p w14:paraId="1620642B">
            <w:pPr>
              <w:pStyle w:val="129"/>
              <w:widowControl w:val="0"/>
              <w:rPr>
                <w:rFonts w:eastAsia="Times New Roman"/>
                <w:color w:val="auto"/>
              </w:rPr>
            </w:pPr>
          </w:p>
        </w:tc>
        <w:tc>
          <w:tcPr>
            <w:tcW w:w="895" w:type="dxa"/>
            <w:tcBorders>
              <w:top w:val="single" w:color="000000" w:sz="2" w:space="0"/>
              <w:left w:val="single" w:color="000000" w:sz="2" w:space="0"/>
              <w:bottom w:val="single" w:color="000000" w:sz="8" w:space="0"/>
              <w:right w:val="single" w:color="000000" w:sz="2" w:space="0"/>
            </w:tcBorders>
            <w:vAlign w:val="center"/>
          </w:tcPr>
          <w:p w14:paraId="73AF71E7">
            <w:pPr>
              <w:pStyle w:val="129"/>
              <w:widowControl w:val="0"/>
              <w:rPr>
                <w:rFonts w:eastAsia="Times New Roman"/>
                <w:color w:val="auto"/>
              </w:rPr>
            </w:pPr>
            <w:r>
              <w:rPr>
                <w:rFonts w:eastAsia="Times New Roman"/>
                <w:color w:val="auto"/>
              </w:rPr>
              <w:t>-113.1</w:t>
            </w:r>
          </w:p>
        </w:tc>
        <w:tc>
          <w:tcPr>
            <w:tcW w:w="896" w:type="dxa"/>
            <w:tcBorders>
              <w:top w:val="single" w:color="000000" w:sz="2" w:space="0"/>
              <w:left w:val="single" w:color="000000" w:sz="2" w:space="0"/>
              <w:bottom w:val="single" w:color="000000" w:sz="8" w:space="0"/>
              <w:right w:val="single" w:color="000000" w:sz="2" w:space="0"/>
            </w:tcBorders>
            <w:vAlign w:val="center"/>
          </w:tcPr>
          <w:p w14:paraId="2CB1922C">
            <w:pPr>
              <w:pStyle w:val="129"/>
              <w:widowControl w:val="0"/>
              <w:rPr>
                <w:rFonts w:eastAsia="Times New Roman"/>
                <w:color w:val="auto"/>
              </w:rPr>
            </w:pPr>
            <w:r>
              <w:rPr>
                <w:rFonts w:eastAsia="Times New Roman"/>
                <w:color w:val="auto"/>
              </w:rPr>
              <w:t>188.9</w:t>
            </w:r>
          </w:p>
        </w:tc>
        <w:tc>
          <w:tcPr>
            <w:tcW w:w="896" w:type="dxa"/>
            <w:tcBorders>
              <w:top w:val="single" w:color="000000" w:sz="2" w:space="0"/>
              <w:left w:val="single" w:color="000000" w:sz="2" w:space="0"/>
              <w:bottom w:val="single" w:color="000000" w:sz="8" w:space="0"/>
              <w:right w:val="single" w:color="000000" w:sz="2" w:space="0"/>
            </w:tcBorders>
            <w:vAlign w:val="center"/>
          </w:tcPr>
          <w:p w14:paraId="33416126">
            <w:pPr>
              <w:pStyle w:val="129"/>
              <w:widowControl w:val="0"/>
              <w:rPr>
                <w:rFonts w:eastAsia="Times New Roman"/>
                <w:color w:val="auto"/>
              </w:rPr>
            </w:pPr>
            <w:r>
              <w:rPr>
                <w:rFonts w:eastAsia="Times New Roman"/>
                <w:color w:val="auto"/>
              </w:rPr>
              <w:t>1.2</w:t>
            </w:r>
          </w:p>
        </w:tc>
        <w:tc>
          <w:tcPr>
            <w:tcW w:w="1174" w:type="dxa"/>
            <w:tcBorders>
              <w:top w:val="single" w:color="000000" w:sz="2" w:space="0"/>
              <w:left w:val="single" w:color="000000" w:sz="2" w:space="0"/>
              <w:bottom w:val="single" w:color="000000" w:sz="8" w:space="0"/>
              <w:right w:val="single" w:color="000000" w:sz="2" w:space="0"/>
            </w:tcBorders>
            <w:vAlign w:val="center"/>
          </w:tcPr>
          <w:p w14:paraId="6E38CD5D">
            <w:pPr>
              <w:pStyle w:val="129"/>
              <w:widowControl w:val="0"/>
              <w:rPr>
                <w:rFonts w:eastAsia="Times New Roman"/>
                <w:color w:val="auto"/>
              </w:rPr>
            </w:pPr>
            <w:r>
              <w:rPr>
                <w:rFonts w:hint="eastAsia" w:ascii="宋体" w:hAnsi="宋体" w:eastAsia="Times New Roman" w:cs="宋体"/>
                <w:color w:val="auto"/>
              </w:rPr>
              <w:t>夜间</w:t>
            </w:r>
          </w:p>
        </w:tc>
        <w:tc>
          <w:tcPr>
            <w:tcW w:w="1175" w:type="dxa"/>
            <w:tcBorders>
              <w:top w:val="single" w:color="000000" w:sz="2" w:space="0"/>
              <w:left w:val="single" w:color="000000" w:sz="2" w:space="0"/>
              <w:bottom w:val="single" w:color="000000" w:sz="8" w:space="0"/>
              <w:right w:val="single" w:color="000000" w:sz="2" w:space="0"/>
            </w:tcBorders>
            <w:vAlign w:val="center"/>
          </w:tcPr>
          <w:p w14:paraId="142B4B78">
            <w:pPr>
              <w:pStyle w:val="129"/>
              <w:widowControl w:val="0"/>
              <w:rPr>
                <w:rFonts w:eastAsia="Times New Roman"/>
                <w:color w:val="auto"/>
              </w:rPr>
            </w:pPr>
            <w:r>
              <w:rPr>
                <w:rFonts w:eastAsia="Times New Roman"/>
                <w:color w:val="auto"/>
              </w:rPr>
              <w:t>30.8</w:t>
            </w:r>
          </w:p>
        </w:tc>
        <w:tc>
          <w:tcPr>
            <w:tcW w:w="1175" w:type="dxa"/>
            <w:tcBorders>
              <w:top w:val="single" w:color="000000" w:sz="2" w:space="0"/>
              <w:left w:val="single" w:color="000000" w:sz="2" w:space="0"/>
              <w:bottom w:val="single" w:color="000000" w:sz="8" w:space="0"/>
              <w:right w:val="single" w:color="000000" w:sz="2" w:space="0"/>
            </w:tcBorders>
            <w:vAlign w:val="center"/>
          </w:tcPr>
          <w:p w14:paraId="5BFAF69C">
            <w:pPr>
              <w:pStyle w:val="129"/>
              <w:widowControl w:val="0"/>
              <w:rPr>
                <w:rFonts w:eastAsia="Times New Roman"/>
                <w:color w:val="auto"/>
              </w:rPr>
            </w:pPr>
            <w:r>
              <w:rPr>
                <w:rFonts w:eastAsia="Times New Roman"/>
                <w:color w:val="auto"/>
              </w:rPr>
              <w:t>55</w:t>
            </w:r>
          </w:p>
        </w:tc>
        <w:tc>
          <w:tcPr>
            <w:tcW w:w="1175" w:type="dxa"/>
            <w:tcBorders>
              <w:top w:val="single" w:color="000000" w:sz="2" w:space="0"/>
              <w:left w:val="single" w:color="000000" w:sz="2" w:space="0"/>
              <w:bottom w:val="single" w:color="000000" w:sz="8" w:space="0"/>
              <w:right w:val="single" w:color="000000" w:sz="8" w:space="0"/>
            </w:tcBorders>
            <w:vAlign w:val="center"/>
          </w:tcPr>
          <w:p w14:paraId="45D3AB78">
            <w:pPr>
              <w:pStyle w:val="129"/>
              <w:widowControl w:val="0"/>
              <w:rPr>
                <w:rFonts w:eastAsia="Times New Roman"/>
                <w:color w:val="auto"/>
              </w:rPr>
            </w:pPr>
            <w:r>
              <w:rPr>
                <w:rFonts w:hint="eastAsia" w:ascii="宋体" w:hAnsi="宋体" w:eastAsia="Times New Roman" w:cs="宋体"/>
                <w:color w:val="auto"/>
              </w:rPr>
              <w:t>达标</w:t>
            </w:r>
          </w:p>
        </w:tc>
      </w:tr>
    </w:tbl>
    <w:p w14:paraId="34E3A911">
      <w:pPr>
        <w:autoSpaceDE w:val="0"/>
        <w:autoSpaceDN w:val="0"/>
        <w:adjustRightInd w:val="0"/>
        <w:spacing w:line="240" w:lineRule="exact"/>
        <w:rPr>
          <w:rFonts w:ascii="黑体"/>
          <w:bCs/>
          <w:color w:val="auto"/>
          <w:sz w:val="24"/>
          <w:szCs w:val="24"/>
        </w:rPr>
      </w:pPr>
      <w:r>
        <w:rPr>
          <w:rFonts w:hint="eastAsia" w:ascii="黑体"/>
          <w:bCs/>
          <w:color w:val="auto"/>
          <w:sz w:val="24"/>
          <w:szCs w:val="24"/>
        </w:rPr>
        <w:t xml:space="preserve"> </w:t>
      </w:r>
    </w:p>
    <w:p w14:paraId="1CD9D176">
      <w:pPr>
        <w:pStyle w:val="132"/>
        <w:rPr>
          <w:color w:val="auto"/>
        </w:rPr>
      </w:pPr>
      <w:r>
        <w:rPr>
          <w:rFonts w:hint="eastAsia"/>
          <w:color w:val="auto"/>
        </w:rPr>
        <w:t>由上表可知，正常工况下，项目厂界噪声满足《工业企业厂界环境噪声排放标准》（GB12348.2008）3类标准。</w:t>
      </w:r>
    </w:p>
    <w:p w14:paraId="6B455F00">
      <w:pPr>
        <w:pStyle w:val="132"/>
        <w:rPr>
          <w:color w:val="auto"/>
        </w:rPr>
      </w:pPr>
      <w:r>
        <w:rPr>
          <w:rFonts w:hint="eastAsia"/>
          <w:color w:val="auto"/>
        </w:rPr>
        <w:t>项目的建设运行并未改变项目区域的声环境功能，因此，本项目的建设运营不会对项目周围的声环境造成明显的不良影响。</w:t>
      </w:r>
    </w:p>
    <w:p w14:paraId="5F5A799C">
      <w:pPr>
        <w:pStyle w:val="3"/>
        <w:rPr>
          <w:color w:val="auto"/>
        </w:rPr>
      </w:pPr>
      <w:bookmarkStart w:id="331" w:name="_Toc171109110"/>
      <w:bookmarkEnd w:id="331"/>
      <w:bookmarkStart w:id="332" w:name="_Toc229930148"/>
      <w:bookmarkStart w:id="333" w:name="_Toc196333716"/>
      <w:r>
        <w:rPr>
          <w:rFonts w:hint="eastAsia"/>
          <w:color w:val="auto"/>
        </w:rPr>
        <w:t>运营期固体废物环境影响分析</w:t>
      </w:r>
      <w:bookmarkEnd w:id="332"/>
      <w:bookmarkEnd w:id="333"/>
    </w:p>
    <w:p w14:paraId="2CF84431">
      <w:pPr>
        <w:pStyle w:val="132"/>
        <w:rPr>
          <w:color w:val="auto"/>
        </w:rPr>
      </w:pPr>
      <w:r>
        <w:rPr>
          <w:rFonts w:hint="eastAsia"/>
          <w:color w:val="auto"/>
        </w:rPr>
        <w:t>本评价主要对本公司固体废物产生、收集、贮存、运输、利用和处置等全过程产生的影响进行全过程分析。</w:t>
      </w:r>
    </w:p>
    <w:p w14:paraId="4B5CE291">
      <w:pPr>
        <w:pStyle w:val="4"/>
        <w:rPr>
          <w:color w:val="auto"/>
        </w:rPr>
      </w:pPr>
      <w:r>
        <w:rPr>
          <w:rFonts w:hint="eastAsia"/>
          <w:color w:val="auto"/>
        </w:rPr>
        <w:t>固体废物产生及处置情况</w:t>
      </w:r>
    </w:p>
    <w:p w14:paraId="456CBB8D">
      <w:pPr>
        <w:pStyle w:val="132"/>
        <w:rPr>
          <w:color w:val="auto"/>
        </w:rPr>
      </w:pPr>
      <w:r>
        <w:rPr>
          <w:color w:val="auto"/>
        </w:rPr>
        <w:t>根据《</w:t>
      </w:r>
      <w:r>
        <w:rPr>
          <w:rFonts w:hint="eastAsia"/>
          <w:color w:val="auto"/>
        </w:rPr>
        <w:t>中华人民共和国固体废物污染环境防治法》《</w:t>
      </w:r>
      <w:r>
        <w:rPr>
          <w:color w:val="auto"/>
        </w:rPr>
        <w:t>有害废物管理办法</w:t>
      </w:r>
      <w:r>
        <w:rPr>
          <w:rFonts w:hint="eastAsia"/>
          <w:color w:val="auto"/>
        </w:rPr>
        <w:t>》《</w:t>
      </w:r>
      <w:r>
        <w:rPr>
          <w:color w:val="auto"/>
        </w:rPr>
        <w:t>国家危险废物名录（2021年版）</w:t>
      </w:r>
      <w:r>
        <w:rPr>
          <w:rFonts w:hint="eastAsia"/>
          <w:color w:val="auto"/>
        </w:rPr>
        <w:t>》《</w:t>
      </w:r>
      <w:r>
        <w:rPr>
          <w:color w:val="auto"/>
        </w:rPr>
        <w:t>一般工业固体废物贮存和填埋污染控制标准》（GB 18599-2020）及《危险废物贮存污染控制标准》（GB 18597-2023）中有关固体废弃物的分类方法，将本项目产生的固体废物分为危险废物、一般工业固体废物和生活垃圾。</w:t>
      </w:r>
    </w:p>
    <w:p w14:paraId="7763F91F">
      <w:pPr>
        <w:pStyle w:val="132"/>
        <w:rPr>
          <w:color w:val="auto"/>
        </w:rPr>
      </w:pPr>
      <w:r>
        <w:rPr>
          <w:color w:val="auto"/>
        </w:rPr>
        <w:t>固废处置遵循分类原则、回收利用原则、减量化原则、无公害原则及分散与集中处理相结合的原则，将不同类型固体废物进行分类收集和堆存，并对不同污染性质的污染物进行定向处置。</w:t>
      </w:r>
    </w:p>
    <w:p w14:paraId="5158FF7D">
      <w:pPr>
        <w:pStyle w:val="132"/>
        <w:rPr>
          <w:color w:val="auto"/>
        </w:rPr>
      </w:pPr>
      <w:r>
        <w:rPr>
          <w:color w:val="auto"/>
        </w:rPr>
        <w:t>结合本项目工程分析可知，项目产生的固体废弃物主要为</w:t>
      </w:r>
      <w:r>
        <w:rPr>
          <w:rFonts w:hint="eastAsia"/>
          <w:color w:val="auto"/>
        </w:rPr>
        <w:t>废膜、废滤袋、废机油、废催化剂、生活垃圾等。其中，危险废物主要为废膜、废机油、废催化剂。</w:t>
      </w:r>
    </w:p>
    <w:p w14:paraId="5E4E4788">
      <w:pPr>
        <w:pStyle w:val="132"/>
        <w:rPr>
          <w:color w:val="auto"/>
        </w:rPr>
      </w:pPr>
      <w:r>
        <w:rPr>
          <w:rFonts w:hint="eastAsia"/>
          <w:color w:val="auto"/>
        </w:rPr>
        <w:t>废滤袋送厂家回收利用；废膜、废机油、废催化剂</w:t>
      </w:r>
      <w:r>
        <w:rPr>
          <w:color w:val="auto"/>
        </w:rPr>
        <w:t>交由有资质的单位处理</w:t>
      </w:r>
      <w:r>
        <w:rPr>
          <w:rFonts w:hint="eastAsia"/>
          <w:color w:val="auto"/>
        </w:rPr>
        <w:t>；生活垃圾</w:t>
      </w:r>
      <w:r>
        <w:rPr>
          <w:color w:val="auto"/>
        </w:rPr>
        <w:t>由园区环卫部门收集处理</w:t>
      </w:r>
      <w:r>
        <w:rPr>
          <w:rFonts w:hint="eastAsia"/>
          <w:color w:val="auto"/>
        </w:rPr>
        <w:t>。</w:t>
      </w:r>
    </w:p>
    <w:p w14:paraId="7C1B2689">
      <w:pPr>
        <w:pStyle w:val="132"/>
        <w:rPr>
          <w:color w:val="auto"/>
        </w:rPr>
      </w:pPr>
      <w:r>
        <w:rPr>
          <w:color w:val="auto"/>
        </w:rPr>
        <w:t>项目运行生产时产生的固体废物情况及去向见</w:t>
      </w:r>
      <w:r>
        <w:rPr>
          <w:rFonts w:hint="eastAsia"/>
          <w:color w:val="auto"/>
        </w:rPr>
        <w:t xml:space="preserve">表 </w:t>
      </w:r>
      <w:r>
        <w:rPr>
          <w:color w:val="auto"/>
        </w:rPr>
        <w:t>5.7</w:t>
      </w:r>
      <w:r>
        <w:rPr>
          <w:rFonts w:hint="eastAsia"/>
          <w:color w:val="auto"/>
        </w:rPr>
        <w:t>-1</w:t>
      </w:r>
      <w:r>
        <w:rPr>
          <w:color w:val="auto"/>
        </w:rPr>
        <w:t>。</w:t>
      </w:r>
    </w:p>
    <w:p w14:paraId="38A258D2">
      <w:pPr>
        <w:pStyle w:val="1060"/>
        <w:rPr>
          <w:color w:val="auto"/>
          <w:szCs w:val="23"/>
        </w:rPr>
      </w:pPr>
      <w:bookmarkStart w:id="334" w:name="_Ref206263572"/>
      <w:bookmarkEnd w:id="33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szCs w:val="23"/>
        </w:rPr>
        <w:t xml:space="preserve">  </w:t>
      </w:r>
      <w:r>
        <w:rPr>
          <w:rFonts w:hint="eastAsia" w:ascii="黑体" w:hAnsi="黑体"/>
          <w:color w:val="auto"/>
          <w:szCs w:val="23"/>
        </w:rPr>
        <w:t>本项目固体废物产生及处置去向</w:t>
      </w:r>
      <w:r>
        <w:rPr>
          <w:rFonts w:ascii="黑体" w:hAnsi="黑体"/>
          <w:color w:val="auto"/>
          <w:szCs w:val="23"/>
        </w:rPr>
        <w:t>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561"/>
        <w:gridCol w:w="1142"/>
        <w:gridCol w:w="1432"/>
        <w:gridCol w:w="861"/>
        <w:gridCol w:w="998"/>
        <w:gridCol w:w="1715"/>
        <w:gridCol w:w="861"/>
        <w:gridCol w:w="1216"/>
      </w:tblGrid>
      <w:tr w14:paraId="40DE671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40" w:hRule="atLeast"/>
        </w:trPr>
        <w:tc>
          <w:tcPr>
            <w:tcW w:w="319" w:type="pct"/>
            <w:vAlign w:val="center"/>
          </w:tcPr>
          <w:p w14:paraId="47363E4A">
            <w:pPr>
              <w:pStyle w:val="129"/>
              <w:widowControl w:val="0"/>
              <w:rPr>
                <w:color w:val="auto"/>
              </w:rPr>
            </w:pPr>
            <w:r>
              <w:rPr>
                <w:color w:val="auto"/>
              </w:rPr>
              <w:t>编号</w:t>
            </w:r>
          </w:p>
        </w:tc>
        <w:tc>
          <w:tcPr>
            <w:tcW w:w="650" w:type="pct"/>
            <w:vAlign w:val="center"/>
          </w:tcPr>
          <w:p w14:paraId="07007A19">
            <w:pPr>
              <w:pStyle w:val="129"/>
              <w:widowControl w:val="0"/>
              <w:rPr>
                <w:color w:val="auto"/>
              </w:rPr>
            </w:pPr>
            <w:r>
              <w:rPr>
                <w:color w:val="auto"/>
              </w:rPr>
              <w:t>固废名称</w:t>
            </w:r>
          </w:p>
        </w:tc>
        <w:tc>
          <w:tcPr>
            <w:tcW w:w="815" w:type="pct"/>
            <w:vAlign w:val="center"/>
          </w:tcPr>
          <w:p w14:paraId="3858C30F">
            <w:pPr>
              <w:pStyle w:val="129"/>
              <w:widowControl w:val="0"/>
              <w:rPr>
                <w:color w:val="auto"/>
              </w:rPr>
            </w:pPr>
            <w:r>
              <w:rPr>
                <w:color w:val="auto"/>
              </w:rPr>
              <w:t>来源</w:t>
            </w:r>
          </w:p>
        </w:tc>
        <w:tc>
          <w:tcPr>
            <w:tcW w:w="490" w:type="pct"/>
            <w:vAlign w:val="center"/>
          </w:tcPr>
          <w:p w14:paraId="403FF635">
            <w:pPr>
              <w:pStyle w:val="129"/>
              <w:widowControl w:val="0"/>
              <w:rPr>
                <w:color w:val="auto"/>
              </w:rPr>
            </w:pPr>
            <w:r>
              <w:rPr>
                <w:color w:val="auto"/>
              </w:rPr>
              <w:t>组成及特性</w:t>
            </w:r>
          </w:p>
        </w:tc>
        <w:tc>
          <w:tcPr>
            <w:tcW w:w="568" w:type="pct"/>
            <w:vAlign w:val="center"/>
          </w:tcPr>
          <w:p w14:paraId="70D52E56">
            <w:pPr>
              <w:pStyle w:val="129"/>
              <w:widowControl w:val="0"/>
              <w:rPr>
                <w:color w:val="auto"/>
              </w:rPr>
            </w:pPr>
            <w:r>
              <w:rPr>
                <w:color w:val="auto"/>
              </w:rPr>
              <w:t>属性</w:t>
            </w:r>
          </w:p>
        </w:tc>
        <w:tc>
          <w:tcPr>
            <w:tcW w:w="976" w:type="pct"/>
            <w:vAlign w:val="center"/>
          </w:tcPr>
          <w:p w14:paraId="3D5F8657">
            <w:pPr>
              <w:pStyle w:val="129"/>
              <w:widowControl w:val="0"/>
              <w:rPr>
                <w:color w:val="auto"/>
              </w:rPr>
            </w:pPr>
            <w:r>
              <w:rPr>
                <w:color w:val="auto"/>
              </w:rPr>
              <w:t>危废代码</w:t>
            </w:r>
          </w:p>
        </w:tc>
        <w:tc>
          <w:tcPr>
            <w:tcW w:w="490" w:type="pct"/>
            <w:vAlign w:val="center"/>
          </w:tcPr>
          <w:p w14:paraId="14B17D11">
            <w:pPr>
              <w:pStyle w:val="129"/>
              <w:widowControl w:val="0"/>
              <w:rPr>
                <w:color w:val="auto"/>
              </w:rPr>
            </w:pPr>
            <w:r>
              <w:rPr>
                <w:color w:val="auto"/>
              </w:rPr>
              <w:t>产生量（t/a）</w:t>
            </w:r>
          </w:p>
        </w:tc>
        <w:tc>
          <w:tcPr>
            <w:tcW w:w="691" w:type="pct"/>
            <w:vAlign w:val="center"/>
          </w:tcPr>
          <w:p w14:paraId="7817B742">
            <w:pPr>
              <w:pStyle w:val="129"/>
              <w:widowControl w:val="0"/>
              <w:rPr>
                <w:color w:val="auto"/>
              </w:rPr>
            </w:pPr>
            <w:r>
              <w:rPr>
                <w:color w:val="auto"/>
              </w:rPr>
              <w:t>治理措施</w:t>
            </w:r>
          </w:p>
        </w:tc>
      </w:tr>
      <w:tr w14:paraId="2341E21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40" w:hRule="atLeast"/>
        </w:trPr>
        <w:tc>
          <w:tcPr>
            <w:tcW w:w="319" w:type="pct"/>
            <w:vAlign w:val="center"/>
          </w:tcPr>
          <w:p w14:paraId="2F26EBC0">
            <w:pPr>
              <w:pStyle w:val="129"/>
              <w:widowControl w:val="0"/>
              <w:rPr>
                <w:color w:val="auto"/>
              </w:rPr>
            </w:pPr>
            <w:r>
              <w:rPr>
                <w:rFonts w:eastAsia="等线"/>
                <w:color w:val="auto"/>
              </w:rPr>
              <w:t>S</w:t>
            </w:r>
            <w:r>
              <w:rPr>
                <w:rFonts w:eastAsia="等线"/>
                <w:color w:val="auto"/>
                <w:vertAlign w:val="subscript"/>
              </w:rPr>
              <w:t>1</w:t>
            </w:r>
          </w:p>
        </w:tc>
        <w:tc>
          <w:tcPr>
            <w:tcW w:w="650" w:type="pct"/>
            <w:vAlign w:val="center"/>
          </w:tcPr>
          <w:p w14:paraId="032EF647">
            <w:pPr>
              <w:pStyle w:val="129"/>
              <w:widowControl w:val="0"/>
              <w:rPr>
                <w:color w:val="auto"/>
              </w:rPr>
            </w:pPr>
            <w:r>
              <w:rPr>
                <w:color w:val="auto"/>
              </w:rPr>
              <w:t>废膜</w:t>
            </w:r>
          </w:p>
        </w:tc>
        <w:tc>
          <w:tcPr>
            <w:tcW w:w="815" w:type="pct"/>
            <w:vAlign w:val="center"/>
          </w:tcPr>
          <w:p w14:paraId="3BAAA6E2">
            <w:pPr>
              <w:pStyle w:val="129"/>
              <w:widowControl w:val="0"/>
              <w:rPr>
                <w:color w:val="auto"/>
              </w:rPr>
            </w:pPr>
            <w:r>
              <w:rPr>
                <w:color w:val="auto"/>
              </w:rPr>
              <w:t>RO膜系统</w:t>
            </w:r>
          </w:p>
        </w:tc>
        <w:tc>
          <w:tcPr>
            <w:tcW w:w="490" w:type="pct"/>
            <w:vAlign w:val="center"/>
          </w:tcPr>
          <w:p w14:paraId="1CD10293">
            <w:pPr>
              <w:pStyle w:val="129"/>
              <w:widowControl w:val="0"/>
              <w:rPr>
                <w:color w:val="auto"/>
              </w:rPr>
            </w:pPr>
            <w:r>
              <w:rPr>
                <w:color w:val="auto"/>
              </w:rPr>
              <w:t>废膜</w:t>
            </w:r>
          </w:p>
        </w:tc>
        <w:tc>
          <w:tcPr>
            <w:tcW w:w="568" w:type="pct"/>
            <w:vAlign w:val="center"/>
          </w:tcPr>
          <w:p w14:paraId="195C7D0C">
            <w:pPr>
              <w:pStyle w:val="129"/>
              <w:widowControl w:val="0"/>
              <w:rPr>
                <w:color w:val="auto"/>
              </w:rPr>
            </w:pPr>
            <w:r>
              <w:rPr>
                <w:color w:val="auto"/>
              </w:rPr>
              <w:t>危险废物</w:t>
            </w:r>
          </w:p>
        </w:tc>
        <w:tc>
          <w:tcPr>
            <w:tcW w:w="976" w:type="pct"/>
            <w:vAlign w:val="center"/>
          </w:tcPr>
          <w:p w14:paraId="0C35FF51">
            <w:pPr>
              <w:pStyle w:val="129"/>
              <w:widowControl w:val="0"/>
              <w:rPr>
                <w:color w:val="auto"/>
              </w:rPr>
            </w:pPr>
            <w:r>
              <w:rPr>
                <w:color w:val="auto"/>
              </w:rPr>
              <w:t>HW49</w:t>
            </w:r>
          </w:p>
          <w:p w14:paraId="0E90849F">
            <w:pPr>
              <w:pStyle w:val="129"/>
              <w:widowControl w:val="0"/>
              <w:rPr>
                <w:color w:val="auto"/>
              </w:rPr>
            </w:pPr>
            <w:r>
              <w:rPr>
                <w:color w:val="auto"/>
              </w:rPr>
              <w:t>（900-041-49）</w:t>
            </w:r>
          </w:p>
        </w:tc>
        <w:tc>
          <w:tcPr>
            <w:tcW w:w="490" w:type="pct"/>
            <w:vAlign w:val="center"/>
          </w:tcPr>
          <w:p w14:paraId="593C7218">
            <w:pPr>
              <w:pStyle w:val="129"/>
              <w:widowControl w:val="0"/>
              <w:rPr>
                <w:color w:val="auto"/>
              </w:rPr>
            </w:pPr>
            <w:r>
              <w:rPr>
                <w:color w:val="auto"/>
              </w:rPr>
              <w:t>10t/10a</w:t>
            </w:r>
          </w:p>
        </w:tc>
        <w:tc>
          <w:tcPr>
            <w:tcW w:w="691" w:type="pct"/>
            <w:vAlign w:val="center"/>
          </w:tcPr>
          <w:p w14:paraId="7EF1F49B">
            <w:pPr>
              <w:pStyle w:val="129"/>
              <w:widowControl w:val="0"/>
              <w:rPr>
                <w:color w:val="auto"/>
              </w:rPr>
            </w:pPr>
            <w:r>
              <w:rPr>
                <w:color w:val="auto"/>
              </w:rPr>
              <w:t>交由有资质的单位处理</w:t>
            </w:r>
          </w:p>
        </w:tc>
      </w:tr>
      <w:tr w14:paraId="0E016EA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40" w:hRule="atLeast"/>
        </w:trPr>
        <w:tc>
          <w:tcPr>
            <w:tcW w:w="319" w:type="pct"/>
            <w:vAlign w:val="center"/>
          </w:tcPr>
          <w:p w14:paraId="318C1321">
            <w:pPr>
              <w:pStyle w:val="129"/>
              <w:widowControl w:val="0"/>
              <w:rPr>
                <w:rFonts w:eastAsia="等线"/>
                <w:color w:val="auto"/>
              </w:rPr>
            </w:pPr>
            <w:r>
              <w:rPr>
                <w:rFonts w:eastAsia="等线"/>
                <w:color w:val="auto"/>
              </w:rPr>
              <w:t>S</w:t>
            </w:r>
            <w:r>
              <w:rPr>
                <w:rFonts w:eastAsia="等线"/>
                <w:color w:val="auto"/>
                <w:vertAlign w:val="subscript"/>
              </w:rPr>
              <w:t>2</w:t>
            </w:r>
          </w:p>
        </w:tc>
        <w:tc>
          <w:tcPr>
            <w:tcW w:w="650" w:type="pct"/>
            <w:vAlign w:val="center"/>
          </w:tcPr>
          <w:p w14:paraId="65C6B35A">
            <w:pPr>
              <w:pStyle w:val="129"/>
              <w:widowControl w:val="0"/>
              <w:rPr>
                <w:color w:val="auto"/>
              </w:rPr>
            </w:pPr>
            <w:r>
              <w:rPr>
                <w:color w:val="auto"/>
              </w:rPr>
              <w:t>废滤袋</w:t>
            </w:r>
          </w:p>
        </w:tc>
        <w:tc>
          <w:tcPr>
            <w:tcW w:w="815" w:type="pct"/>
            <w:vAlign w:val="center"/>
          </w:tcPr>
          <w:p w14:paraId="12DB5FC9">
            <w:pPr>
              <w:pStyle w:val="129"/>
              <w:widowControl w:val="0"/>
              <w:rPr>
                <w:color w:val="auto"/>
              </w:rPr>
            </w:pPr>
            <w:r>
              <w:rPr>
                <w:color w:val="auto"/>
              </w:rPr>
              <w:t>真空压滤机</w:t>
            </w:r>
          </w:p>
        </w:tc>
        <w:tc>
          <w:tcPr>
            <w:tcW w:w="490" w:type="pct"/>
            <w:vAlign w:val="center"/>
          </w:tcPr>
          <w:p w14:paraId="04F65E91">
            <w:pPr>
              <w:pStyle w:val="129"/>
              <w:widowControl w:val="0"/>
              <w:rPr>
                <w:color w:val="auto"/>
              </w:rPr>
            </w:pPr>
            <w:r>
              <w:rPr>
                <w:color w:val="auto"/>
              </w:rPr>
              <w:t>废滤袋</w:t>
            </w:r>
          </w:p>
        </w:tc>
        <w:tc>
          <w:tcPr>
            <w:tcW w:w="568" w:type="pct"/>
            <w:vAlign w:val="center"/>
          </w:tcPr>
          <w:p w14:paraId="7A968B28">
            <w:pPr>
              <w:pStyle w:val="129"/>
              <w:widowControl w:val="0"/>
              <w:rPr>
                <w:color w:val="auto"/>
              </w:rPr>
            </w:pPr>
            <w:r>
              <w:rPr>
                <w:color w:val="auto"/>
              </w:rPr>
              <w:t>一般工业固体废物</w:t>
            </w:r>
          </w:p>
        </w:tc>
        <w:tc>
          <w:tcPr>
            <w:tcW w:w="976" w:type="pct"/>
            <w:vAlign w:val="center"/>
          </w:tcPr>
          <w:p w14:paraId="7C657D5B">
            <w:pPr>
              <w:pStyle w:val="129"/>
              <w:widowControl w:val="0"/>
              <w:rPr>
                <w:color w:val="auto"/>
              </w:rPr>
            </w:pPr>
            <w:r>
              <w:rPr>
                <w:color w:val="auto"/>
              </w:rPr>
              <w:t>SW59</w:t>
            </w:r>
          </w:p>
          <w:p w14:paraId="5C8707C4">
            <w:pPr>
              <w:pStyle w:val="129"/>
              <w:widowControl w:val="0"/>
              <w:rPr>
                <w:color w:val="auto"/>
              </w:rPr>
            </w:pPr>
            <w:r>
              <w:rPr>
                <w:color w:val="auto"/>
              </w:rPr>
              <w:t>（900-009-S59）</w:t>
            </w:r>
          </w:p>
        </w:tc>
        <w:tc>
          <w:tcPr>
            <w:tcW w:w="490" w:type="pct"/>
            <w:vAlign w:val="center"/>
          </w:tcPr>
          <w:p w14:paraId="4341BFD9">
            <w:pPr>
              <w:pStyle w:val="129"/>
              <w:widowControl w:val="0"/>
              <w:rPr>
                <w:color w:val="auto"/>
              </w:rPr>
            </w:pPr>
            <w:r>
              <w:rPr>
                <w:color w:val="auto"/>
              </w:rPr>
              <w:t>0.5</w:t>
            </w:r>
          </w:p>
        </w:tc>
        <w:tc>
          <w:tcPr>
            <w:tcW w:w="691" w:type="pct"/>
            <w:vAlign w:val="center"/>
          </w:tcPr>
          <w:p w14:paraId="4C69B2E9">
            <w:pPr>
              <w:pStyle w:val="129"/>
              <w:widowControl w:val="0"/>
              <w:rPr>
                <w:color w:val="auto"/>
              </w:rPr>
            </w:pPr>
            <w:r>
              <w:rPr>
                <w:color w:val="auto"/>
              </w:rPr>
              <w:t>从厂家回收利用</w:t>
            </w:r>
          </w:p>
        </w:tc>
      </w:tr>
      <w:tr w14:paraId="032001B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25" w:hRule="atLeast"/>
        </w:trPr>
        <w:tc>
          <w:tcPr>
            <w:tcW w:w="319" w:type="pct"/>
            <w:vAlign w:val="center"/>
          </w:tcPr>
          <w:p w14:paraId="67FE1C75">
            <w:pPr>
              <w:pStyle w:val="129"/>
              <w:widowControl w:val="0"/>
              <w:rPr>
                <w:rFonts w:eastAsia="等线"/>
                <w:color w:val="auto"/>
              </w:rPr>
            </w:pPr>
            <w:r>
              <w:rPr>
                <w:rFonts w:eastAsia="等线"/>
                <w:color w:val="auto"/>
              </w:rPr>
              <w:t>S</w:t>
            </w:r>
            <w:r>
              <w:rPr>
                <w:rFonts w:eastAsia="等线"/>
                <w:color w:val="auto"/>
                <w:vertAlign w:val="subscript"/>
              </w:rPr>
              <w:t>3</w:t>
            </w:r>
          </w:p>
        </w:tc>
        <w:tc>
          <w:tcPr>
            <w:tcW w:w="650" w:type="pct"/>
            <w:vAlign w:val="center"/>
          </w:tcPr>
          <w:p w14:paraId="1A96AC04">
            <w:pPr>
              <w:pStyle w:val="129"/>
              <w:widowControl w:val="0"/>
              <w:rPr>
                <w:color w:val="auto"/>
              </w:rPr>
            </w:pPr>
            <w:r>
              <w:rPr>
                <w:color w:val="auto"/>
              </w:rPr>
              <w:t>废机油</w:t>
            </w:r>
          </w:p>
        </w:tc>
        <w:tc>
          <w:tcPr>
            <w:tcW w:w="815" w:type="pct"/>
            <w:vAlign w:val="center"/>
          </w:tcPr>
          <w:p w14:paraId="2151E46E">
            <w:pPr>
              <w:pStyle w:val="129"/>
              <w:widowControl w:val="0"/>
              <w:rPr>
                <w:color w:val="auto"/>
              </w:rPr>
            </w:pPr>
            <w:r>
              <w:rPr>
                <w:color w:val="auto"/>
              </w:rPr>
              <w:t>机械设备维护</w:t>
            </w:r>
          </w:p>
        </w:tc>
        <w:tc>
          <w:tcPr>
            <w:tcW w:w="490" w:type="pct"/>
            <w:vAlign w:val="center"/>
          </w:tcPr>
          <w:p w14:paraId="5DB514AB">
            <w:pPr>
              <w:pStyle w:val="129"/>
              <w:widowControl w:val="0"/>
              <w:rPr>
                <w:color w:val="auto"/>
              </w:rPr>
            </w:pPr>
            <w:r>
              <w:rPr>
                <w:color w:val="auto"/>
              </w:rPr>
              <w:t>废机油</w:t>
            </w:r>
          </w:p>
        </w:tc>
        <w:tc>
          <w:tcPr>
            <w:tcW w:w="568" w:type="pct"/>
            <w:vAlign w:val="center"/>
          </w:tcPr>
          <w:p w14:paraId="06E6D39E">
            <w:pPr>
              <w:pStyle w:val="129"/>
              <w:widowControl w:val="0"/>
              <w:rPr>
                <w:color w:val="auto"/>
              </w:rPr>
            </w:pPr>
            <w:r>
              <w:rPr>
                <w:color w:val="auto"/>
              </w:rPr>
              <w:t>危险废物</w:t>
            </w:r>
          </w:p>
        </w:tc>
        <w:tc>
          <w:tcPr>
            <w:tcW w:w="976" w:type="pct"/>
            <w:vAlign w:val="center"/>
          </w:tcPr>
          <w:p w14:paraId="605112AA">
            <w:pPr>
              <w:pStyle w:val="129"/>
              <w:widowControl w:val="0"/>
              <w:rPr>
                <w:color w:val="auto"/>
              </w:rPr>
            </w:pPr>
            <w:r>
              <w:rPr>
                <w:color w:val="auto"/>
              </w:rPr>
              <w:t>HW08</w:t>
            </w:r>
          </w:p>
          <w:p w14:paraId="2145DB6D">
            <w:pPr>
              <w:pStyle w:val="129"/>
              <w:widowControl w:val="0"/>
              <w:rPr>
                <w:color w:val="auto"/>
              </w:rPr>
            </w:pPr>
            <w:r>
              <w:rPr>
                <w:color w:val="auto"/>
              </w:rPr>
              <w:t>（900-214-08）</w:t>
            </w:r>
          </w:p>
        </w:tc>
        <w:tc>
          <w:tcPr>
            <w:tcW w:w="490" w:type="pct"/>
            <w:vAlign w:val="center"/>
          </w:tcPr>
          <w:p w14:paraId="0FFFAC02">
            <w:pPr>
              <w:pStyle w:val="129"/>
              <w:widowControl w:val="0"/>
              <w:rPr>
                <w:rFonts w:eastAsia="等线"/>
                <w:color w:val="auto"/>
              </w:rPr>
            </w:pPr>
            <w:r>
              <w:rPr>
                <w:rFonts w:eastAsia="等线"/>
                <w:color w:val="auto"/>
              </w:rPr>
              <w:t>0.2</w:t>
            </w:r>
          </w:p>
        </w:tc>
        <w:tc>
          <w:tcPr>
            <w:tcW w:w="691" w:type="pct"/>
            <w:vAlign w:val="center"/>
          </w:tcPr>
          <w:p w14:paraId="5E76802C">
            <w:pPr>
              <w:pStyle w:val="129"/>
              <w:widowControl w:val="0"/>
              <w:rPr>
                <w:color w:val="auto"/>
              </w:rPr>
            </w:pPr>
            <w:r>
              <w:rPr>
                <w:color w:val="auto"/>
              </w:rPr>
              <w:t>交由有资质的单位处理</w:t>
            </w:r>
          </w:p>
        </w:tc>
      </w:tr>
      <w:tr w14:paraId="6283AF7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25" w:hRule="atLeast"/>
        </w:trPr>
        <w:tc>
          <w:tcPr>
            <w:tcW w:w="319" w:type="pct"/>
            <w:vAlign w:val="center"/>
          </w:tcPr>
          <w:p w14:paraId="7DEE61E7">
            <w:pPr>
              <w:pStyle w:val="129"/>
              <w:widowControl w:val="0"/>
              <w:rPr>
                <w:rFonts w:eastAsia="等线"/>
                <w:color w:val="auto"/>
              </w:rPr>
            </w:pPr>
            <w:r>
              <w:rPr>
                <w:rFonts w:eastAsia="等线"/>
                <w:color w:val="auto"/>
              </w:rPr>
              <w:t>S</w:t>
            </w:r>
            <w:r>
              <w:rPr>
                <w:rFonts w:eastAsia="等线"/>
                <w:color w:val="auto"/>
                <w:vertAlign w:val="subscript"/>
              </w:rPr>
              <w:t>4</w:t>
            </w:r>
          </w:p>
        </w:tc>
        <w:tc>
          <w:tcPr>
            <w:tcW w:w="650" w:type="pct"/>
            <w:vAlign w:val="center"/>
          </w:tcPr>
          <w:p w14:paraId="3D2EE35D">
            <w:pPr>
              <w:pStyle w:val="129"/>
              <w:widowControl w:val="0"/>
              <w:rPr>
                <w:color w:val="auto"/>
              </w:rPr>
            </w:pPr>
            <w:r>
              <w:rPr>
                <w:color w:val="auto"/>
              </w:rPr>
              <w:t>废催化剂</w:t>
            </w:r>
          </w:p>
        </w:tc>
        <w:tc>
          <w:tcPr>
            <w:tcW w:w="815" w:type="pct"/>
            <w:vAlign w:val="center"/>
          </w:tcPr>
          <w:p w14:paraId="4AD54EB6">
            <w:pPr>
              <w:pStyle w:val="129"/>
              <w:widowControl w:val="0"/>
              <w:rPr>
                <w:color w:val="auto"/>
              </w:rPr>
            </w:pPr>
            <w:r>
              <w:rPr>
                <w:color w:val="auto"/>
              </w:rPr>
              <w:t>SCR脱硝</w:t>
            </w:r>
          </w:p>
        </w:tc>
        <w:tc>
          <w:tcPr>
            <w:tcW w:w="490" w:type="pct"/>
            <w:vAlign w:val="center"/>
          </w:tcPr>
          <w:p w14:paraId="7439737B">
            <w:pPr>
              <w:pStyle w:val="129"/>
              <w:widowControl w:val="0"/>
              <w:rPr>
                <w:color w:val="auto"/>
              </w:rPr>
            </w:pPr>
            <w:r>
              <w:rPr>
                <w:color w:val="auto"/>
              </w:rPr>
              <w:t>V</w:t>
            </w:r>
            <w:r>
              <w:rPr>
                <w:color w:val="auto"/>
                <w:vertAlign w:val="subscript"/>
              </w:rPr>
              <w:t>2</w:t>
            </w:r>
            <w:r>
              <w:rPr>
                <w:color w:val="auto"/>
              </w:rPr>
              <w:t>O</w:t>
            </w:r>
            <w:r>
              <w:rPr>
                <w:color w:val="auto"/>
                <w:vertAlign w:val="subscript"/>
              </w:rPr>
              <w:t>5</w:t>
            </w:r>
          </w:p>
        </w:tc>
        <w:tc>
          <w:tcPr>
            <w:tcW w:w="568" w:type="pct"/>
            <w:vAlign w:val="center"/>
          </w:tcPr>
          <w:p w14:paraId="5B102DF1">
            <w:pPr>
              <w:pStyle w:val="129"/>
              <w:widowControl w:val="0"/>
              <w:rPr>
                <w:color w:val="auto"/>
              </w:rPr>
            </w:pPr>
            <w:r>
              <w:rPr>
                <w:color w:val="auto"/>
              </w:rPr>
              <w:t>危险废物</w:t>
            </w:r>
          </w:p>
        </w:tc>
        <w:tc>
          <w:tcPr>
            <w:tcW w:w="976" w:type="pct"/>
            <w:vAlign w:val="center"/>
          </w:tcPr>
          <w:p w14:paraId="16BF64EC">
            <w:pPr>
              <w:pStyle w:val="129"/>
              <w:widowControl w:val="0"/>
              <w:rPr>
                <w:color w:val="auto"/>
              </w:rPr>
            </w:pPr>
            <w:r>
              <w:rPr>
                <w:color w:val="auto"/>
              </w:rPr>
              <w:t>HW50</w:t>
            </w:r>
          </w:p>
          <w:p w14:paraId="478F7A91">
            <w:pPr>
              <w:pStyle w:val="129"/>
              <w:widowControl w:val="0"/>
              <w:rPr>
                <w:color w:val="auto"/>
              </w:rPr>
            </w:pPr>
            <w:r>
              <w:rPr>
                <w:color w:val="auto"/>
              </w:rPr>
              <w:t>（772-007-50）</w:t>
            </w:r>
          </w:p>
        </w:tc>
        <w:tc>
          <w:tcPr>
            <w:tcW w:w="490" w:type="pct"/>
            <w:vAlign w:val="center"/>
          </w:tcPr>
          <w:p w14:paraId="665DD56E">
            <w:pPr>
              <w:pStyle w:val="129"/>
              <w:widowControl w:val="0"/>
              <w:rPr>
                <w:rFonts w:eastAsia="等线"/>
                <w:color w:val="auto"/>
              </w:rPr>
            </w:pPr>
            <w:r>
              <w:rPr>
                <w:rFonts w:eastAsia="等线"/>
                <w:color w:val="auto"/>
              </w:rPr>
              <w:t>0.5</w:t>
            </w:r>
          </w:p>
        </w:tc>
        <w:tc>
          <w:tcPr>
            <w:tcW w:w="691" w:type="pct"/>
            <w:vAlign w:val="center"/>
          </w:tcPr>
          <w:p w14:paraId="38D1C51D">
            <w:pPr>
              <w:pStyle w:val="129"/>
              <w:widowControl w:val="0"/>
              <w:rPr>
                <w:color w:val="auto"/>
              </w:rPr>
            </w:pPr>
            <w:r>
              <w:rPr>
                <w:color w:val="auto"/>
              </w:rPr>
              <w:t>交由有资质的单位处理</w:t>
            </w:r>
          </w:p>
        </w:tc>
      </w:tr>
      <w:tr w14:paraId="0A4AE41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25" w:hRule="atLeast"/>
        </w:trPr>
        <w:tc>
          <w:tcPr>
            <w:tcW w:w="319" w:type="pct"/>
            <w:vAlign w:val="center"/>
          </w:tcPr>
          <w:p w14:paraId="70EE6DF2">
            <w:pPr>
              <w:pStyle w:val="129"/>
              <w:widowControl w:val="0"/>
              <w:rPr>
                <w:rFonts w:eastAsia="等线"/>
                <w:color w:val="auto"/>
              </w:rPr>
            </w:pPr>
            <w:r>
              <w:rPr>
                <w:rFonts w:eastAsia="等线"/>
                <w:color w:val="auto"/>
              </w:rPr>
              <w:t>S</w:t>
            </w:r>
            <w:r>
              <w:rPr>
                <w:rFonts w:eastAsia="等线"/>
                <w:color w:val="auto"/>
                <w:vertAlign w:val="subscript"/>
              </w:rPr>
              <w:t>5</w:t>
            </w:r>
          </w:p>
        </w:tc>
        <w:tc>
          <w:tcPr>
            <w:tcW w:w="650" w:type="pct"/>
            <w:vAlign w:val="center"/>
          </w:tcPr>
          <w:p w14:paraId="05FCCC56">
            <w:pPr>
              <w:pStyle w:val="129"/>
              <w:widowControl w:val="0"/>
              <w:rPr>
                <w:color w:val="auto"/>
              </w:rPr>
            </w:pPr>
            <w:r>
              <w:rPr>
                <w:color w:val="auto"/>
              </w:rPr>
              <w:t>生活垃圾</w:t>
            </w:r>
          </w:p>
        </w:tc>
        <w:tc>
          <w:tcPr>
            <w:tcW w:w="815" w:type="pct"/>
            <w:vAlign w:val="center"/>
          </w:tcPr>
          <w:p w14:paraId="4E37B69D">
            <w:pPr>
              <w:pStyle w:val="129"/>
              <w:widowControl w:val="0"/>
              <w:rPr>
                <w:color w:val="auto"/>
              </w:rPr>
            </w:pPr>
            <w:r>
              <w:rPr>
                <w:color w:val="auto"/>
              </w:rPr>
              <w:t>办公生活</w:t>
            </w:r>
          </w:p>
        </w:tc>
        <w:tc>
          <w:tcPr>
            <w:tcW w:w="490" w:type="pct"/>
            <w:vAlign w:val="center"/>
          </w:tcPr>
          <w:p w14:paraId="4A6587CA">
            <w:pPr>
              <w:pStyle w:val="129"/>
              <w:widowControl w:val="0"/>
              <w:rPr>
                <w:color w:val="auto"/>
              </w:rPr>
            </w:pPr>
            <w:r>
              <w:rPr>
                <w:rFonts w:hint="eastAsia" w:ascii="等线" w:hAnsi="等线" w:eastAsia="等线"/>
                <w:color w:val="auto"/>
              </w:rPr>
              <w:t>/</w:t>
            </w:r>
          </w:p>
        </w:tc>
        <w:tc>
          <w:tcPr>
            <w:tcW w:w="568" w:type="pct"/>
            <w:vAlign w:val="center"/>
          </w:tcPr>
          <w:p w14:paraId="341739A8">
            <w:pPr>
              <w:pStyle w:val="129"/>
              <w:widowControl w:val="0"/>
              <w:rPr>
                <w:color w:val="auto"/>
              </w:rPr>
            </w:pPr>
            <w:r>
              <w:rPr>
                <w:color w:val="auto"/>
              </w:rPr>
              <w:t>生活垃圾</w:t>
            </w:r>
          </w:p>
        </w:tc>
        <w:tc>
          <w:tcPr>
            <w:tcW w:w="976" w:type="pct"/>
            <w:vAlign w:val="center"/>
          </w:tcPr>
          <w:p w14:paraId="7A0BC3BC">
            <w:pPr>
              <w:pStyle w:val="129"/>
              <w:widowControl w:val="0"/>
              <w:rPr>
                <w:rFonts w:eastAsia="等线"/>
                <w:color w:val="auto"/>
              </w:rPr>
            </w:pPr>
            <w:r>
              <w:rPr>
                <w:rFonts w:hint="eastAsia" w:ascii="等线" w:hAnsi="等线" w:eastAsia="等线"/>
                <w:color w:val="auto"/>
              </w:rPr>
              <w:t>/</w:t>
            </w:r>
          </w:p>
        </w:tc>
        <w:tc>
          <w:tcPr>
            <w:tcW w:w="490" w:type="pct"/>
            <w:vAlign w:val="center"/>
          </w:tcPr>
          <w:p w14:paraId="3060FE1B">
            <w:pPr>
              <w:pStyle w:val="129"/>
              <w:widowControl w:val="0"/>
              <w:rPr>
                <w:rFonts w:eastAsia="等线"/>
                <w:color w:val="auto"/>
              </w:rPr>
            </w:pPr>
            <w:r>
              <w:rPr>
                <w:rFonts w:eastAsia="等线"/>
                <w:color w:val="auto"/>
              </w:rPr>
              <w:t>32.85</w:t>
            </w:r>
          </w:p>
        </w:tc>
        <w:tc>
          <w:tcPr>
            <w:tcW w:w="691" w:type="pct"/>
            <w:vAlign w:val="center"/>
          </w:tcPr>
          <w:p w14:paraId="14012090">
            <w:pPr>
              <w:pStyle w:val="129"/>
              <w:widowControl w:val="0"/>
              <w:rPr>
                <w:color w:val="auto"/>
              </w:rPr>
            </w:pPr>
            <w:r>
              <w:rPr>
                <w:color w:val="auto"/>
              </w:rPr>
              <w:t>园区环卫部门收集处理</w:t>
            </w:r>
          </w:p>
        </w:tc>
      </w:tr>
    </w:tbl>
    <w:p w14:paraId="761E2863">
      <w:pPr>
        <w:autoSpaceDE w:val="0"/>
        <w:autoSpaceDN w:val="0"/>
        <w:adjustRightInd w:val="0"/>
        <w:spacing w:line="240" w:lineRule="exact"/>
        <w:rPr>
          <w:rFonts w:ascii="黑体"/>
          <w:bCs/>
          <w:color w:val="auto"/>
          <w:sz w:val="24"/>
          <w:szCs w:val="24"/>
        </w:rPr>
      </w:pPr>
    </w:p>
    <w:p w14:paraId="7E0067D4">
      <w:pPr>
        <w:pStyle w:val="4"/>
        <w:rPr>
          <w:color w:val="auto"/>
        </w:rPr>
      </w:pPr>
      <w:bookmarkStart w:id="335" w:name="_Ref206263574"/>
      <w:bookmarkEnd w:id="335"/>
      <w:r>
        <w:rPr>
          <w:color w:val="auto"/>
        </w:rPr>
        <w:t>产生影响的环节</w:t>
      </w:r>
    </w:p>
    <w:p w14:paraId="709C389B">
      <w:pPr>
        <w:pStyle w:val="132"/>
        <w:rPr>
          <w:color w:val="auto"/>
        </w:rPr>
      </w:pPr>
      <w:r>
        <w:rPr>
          <w:color w:val="auto"/>
        </w:rPr>
        <w:t>拟建项目产生的固体废物在产生、收集、贮存、运输、利用和处置过程中可能会对外环境造成影响：</w:t>
      </w:r>
    </w:p>
    <w:p w14:paraId="3434979B">
      <w:pPr>
        <w:pStyle w:val="132"/>
        <w:rPr>
          <w:color w:val="auto"/>
        </w:rPr>
      </w:pPr>
      <w:r>
        <w:rPr>
          <w:color w:val="auto"/>
        </w:rPr>
        <w:t>（1）固体废物，特别是危险废物在产生、分类收集、贮存过</w:t>
      </w:r>
      <w:r>
        <w:rPr>
          <w:rFonts w:hint="eastAsia"/>
          <w:color w:val="auto"/>
        </w:rPr>
        <w:t>程中</w:t>
      </w:r>
      <w:r>
        <w:rPr>
          <w:color w:val="auto"/>
        </w:rPr>
        <w:t>，如危废贮存场所选址不合理、贮存能力不满足要求或管理不善造成的危险废物与一般工业固体废物、生活垃圾的混放；</w:t>
      </w:r>
    </w:p>
    <w:p w14:paraId="60A8F48A">
      <w:pPr>
        <w:pStyle w:val="132"/>
        <w:rPr>
          <w:color w:val="auto"/>
        </w:rPr>
      </w:pPr>
      <w:r>
        <w:rPr>
          <w:color w:val="auto"/>
        </w:rPr>
        <w:t>（2）固体废物，特别是危险废物从厂区内工艺环节产生、运输到贮存场所或处置设施过</w:t>
      </w:r>
      <w:r>
        <w:rPr>
          <w:rFonts w:hint="eastAsia"/>
          <w:color w:val="auto"/>
        </w:rPr>
        <w:t>程中</w:t>
      </w:r>
      <w:r>
        <w:rPr>
          <w:color w:val="auto"/>
        </w:rPr>
        <w:t>可能产生散落、泄漏所引起的环境影响；</w:t>
      </w:r>
    </w:p>
    <w:p w14:paraId="4CBA4D2A">
      <w:pPr>
        <w:pStyle w:val="132"/>
        <w:rPr>
          <w:color w:val="auto"/>
        </w:rPr>
      </w:pPr>
      <w:r>
        <w:rPr>
          <w:color w:val="auto"/>
        </w:rPr>
        <w:t>（3）固体废物，特别是危险废物在综合利用或处置过</w:t>
      </w:r>
      <w:r>
        <w:rPr>
          <w:rFonts w:hint="eastAsia"/>
          <w:color w:val="auto"/>
        </w:rPr>
        <w:t>程中</w:t>
      </w:r>
      <w:r>
        <w:rPr>
          <w:color w:val="auto"/>
        </w:rPr>
        <w:t>对环境造成影响。</w:t>
      </w:r>
    </w:p>
    <w:p w14:paraId="222F27D7">
      <w:pPr>
        <w:pStyle w:val="4"/>
        <w:rPr>
          <w:color w:val="auto"/>
        </w:rPr>
      </w:pPr>
      <w:r>
        <w:rPr>
          <w:rFonts w:hint="eastAsia"/>
          <w:color w:val="auto"/>
        </w:rPr>
        <w:t>贮存场所环境影响分析</w:t>
      </w:r>
    </w:p>
    <w:p w14:paraId="061825F2">
      <w:pPr>
        <w:pStyle w:val="132"/>
        <w:rPr>
          <w:color w:val="auto"/>
        </w:rPr>
      </w:pPr>
      <w:r>
        <w:rPr>
          <w:color w:val="auto"/>
        </w:rPr>
        <w:t>危险废物贮存库按照《危险废物贮存污染控制标准》</w:t>
      </w:r>
      <w:r>
        <w:rPr>
          <w:rFonts w:hint="eastAsia"/>
          <w:color w:val="auto"/>
        </w:rPr>
        <w:t>（</w:t>
      </w:r>
      <w:r>
        <w:rPr>
          <w:color w:val="auto"/>
        </w:rPr>
        <w:t>GB18597-2023），地面采用坚固、防渗、耐腐蚀的材料建造，并设计堵截泄漏的</w:t>
      </w:r>
      <w:r>
        <w:rPr>
          <w:rFonts w:hint="eastAsia"/>
          <w:color w:val="auto"/>
        </w:rPr>
        <w:t>裙角</w:t>
      </w:r>
      <w:r>
        <w:rPr>
          <w:color w:val="auto"/>
        </w:rPr>
        <w:t>、泄漏液体收集装置，发生渗漏情况能及时收集，并且有效防渗阻隔了与外界土壤环境、地下水环境的污染可能性。</w:t>
      </w:r>
    </w:p>
    <w:p w14:paraId="67746949">
      <w:pPr>
        <w:pStyle w:val="4"/>
        <w:rPr>
          <w:color w:val="auto"/>
        </w:rPr>
      </w:pPr>
      <w:r>
        <w:rPr>
          <w:rFonts w:hint="eastAsia"/>
          <w:color w:val="auto"/>
        </w:rPr>
        <w:t>运输过程环境影响分析</w:t>
      </w:r>
    </w:p>
    <w:p w14:paraId="77F81472">
      <w:pPr>
        <w:pStyle w:val="132"/>
        <w:rPr>
          <w:color w:val="auto"/>
        </w:rPr>
      </w:pPr>
      <w:r>
        <w:rPr>
          <w:color w:val="auto"/>
        </w:rPr>
        <w:t>根据危险废物处理处置的“减量化、资源化和无害化”原则，项目处理处置方式优先减量化，其次采取资源化（综合利用）和无害化处置。危险废物应加强管理，分类收集，及时处理，严格执行《危险废物贮存污染控制标准》（GB18597-2023），堆放场地应设有防渗、防流失措施；在清运过程中，要求做好密闭措施，防止固废散发出臭味或</w:t>
      </w:r>
      <w:r>
        <w:rPr>
          <w:rFonts w:hint="eastAsia"/>
          <w:color w:val="auto"/>
        </w:rPr>
        <w:t>抛撒</w:t>
      </w:r>
      <w:r>
        <w:rPr>
          <w:color w:val="auto"/>
        </w:rPr>
        <w:t>遗漏而导致污染扩散。危险废物收集、贮存、运输时应按腐蚀性、毒性、易燃性、反应性和感染性等危险特性对危险废物进行分类、包装并设置相应的标志及标签。在危险废物的收集和转运过程中，应采取相应的安全防护和污染防治措施，包括防爆、防火、防中毒、防感染、防泄漏、防飞扬、防雨或其他防止污染环境的措施。危险废物收集、运输、接收的具体要求见工程分析章节。</w:t>
      </w:r>
    </w:p>
    <w:p w14:paraId="03354E15">
      <w:pPr>
        <w:pStyle w:val="4"/>
        <w:rPr>
          <w:color w:val="auto"/>
        </w:rPr>
      </w:pPr>
      <w:r>
        <w:rPr>
          <w:rFonts w:hint="eastAsia"/>
          <w:color w:val="auto"/>
        </w:rPr>
        <w:t>委托利用或者处置的环境影响分析</w:t>
      </w:r>
    </w:p>
    <w:p w14:paraId="2F012810">
      <w:pPr>
        <w:pStyle w:val="132"/>
        <w:rPr>
          <w:color w:val="auto"/>
        </w:rPr>
      </w:pPr>
      <w:r>
        <w:rPr>
          <w:color w:val="auto"/>
        </w:rPr>
        <w:t>本项目危险废物</w:t>
      </w:r>
      <w:r>
        <w:rPr>
          <w:rFonts w:hint="eastAsia"/>
          <w:color w:val="auto"/>
        </w:rPr>
        <w:t>为废膜、废机油、废催化剂，收集后</w:t>
      </w:r>
      <w:r>
        <w:rPr>
          <w:color w:val="auto"/>
        </w:rPr>
        <w:t>交由有资质的单位处理</w:t>
      </w:r>
      <w:r>
        <w:rPr>
          <w:rFonts w:hint="eastAsia"/>
          <w:color w:val="auto"/>
        </w:rPr>
        <w:t>，此处置</w:t>
      </w:r>
      <w:r>
        <w:rPr>
          <w:color w:val="auto"/>
        </w:rPr>
        <w:t>方案避免了堆存排放占用土地、传播</w:t>
      </w:r>
      <w:r>
        <w:rPr>
          <w:rFonts w:hint="eastAsia"/>
          <w:color w:val="auto"/>
        </w:rPr>
        <w:t>病原</w:t>
      </w:r>
      <w:r>
        <w:rPr>
          <w:color w:val="auto"/>
        </w:rPr>
        <w:t>等隐患。</w:t>
      </w:r>
    </w:p>
    <w:p w14:paraId="5A6ABCA3">
      <w:pPr>
        <w:pStyle w:val="4"/>
        <w:rPr>
          <w:color w:val="auto"/>
        </w:rPr>
      </w:pPr>
      <w:r>
        <w:rPr>
          <w:rFonts w:hint="eastAsia"/>
          <w:color w:val="auto"/>
        </w:rPr>
        <w:t>污染环境影响分析</w:t>
      </w:r>
    </w:p>
    <w:p w14:paraId="4BD3AD5A">
      <w:pPr>
        <w:pStyle w:val="132"/>
        <w:rPr>
          <w:color w:val="auto"/>
        </w:rPr>
      </w:pPr>
      <w:r>
        <w:rPr>
          <w:color w:val="auto"/>
        </w:rPr>
        <w:t>（1）对大气的影响</w:t>
      </w:r>
    </w:p>
    <w:p w14:paraId="12AE445E">
      <w:pPr>
        <w:pStyle w:val="132"/>
        <w:rPr>
          <w:color w:val="auto"/>
        </w:rPr>
      </w:pPr>
      <w:r>
        <w:rPr>
          <w:color w:val="auto"/>
        </w:rPr>
        <w:t>固体废物中的微细颗粒物在长期堆存时，因表面干燥会随风引起扬尘，对周围大气环境造成危害。堆放的污泥、垃圾等固体废物在长期堆放时由于其中的有机物发酵散发恶臭气体，污染大气环境。</w:t>
      </w:r>
    </w:p>
    <w:p w14:paraId="4281887D">
      <w:pPr>
        <w:pStyle w:val="132"/>
        <w:rPr>
          <w:color w:val="auto"/>
        </w:rPr>
      </w:pPr>
      <w:r>
        <w:rPr>
          <w:color w:val="auto"/>
        </w:rPr>
        <w:t>固体废物在堆放过程中，废物所含的细粒、粉末随风扬散；在废物运输及处理过程中缺少相应的防护和净化设施，释放有害气体和粉尘。拟建项目设置危险废物贮存库，固体废物全部入库，不露天堆置，不会产生大风扬尘造成的二次污染。危险废物暂存于满足《危险废物贮存污染控制标准》（GB18597-2023）要求的危险废物贮存库，危险废物定期委托有资质单位采用专用车辆运输至有资质单位处置，建设方应尽量减少固废在厂内的堆存时间，避免污泥产生异味，在采取上述措施的情况下本项目固体废物对环境空气质量影响较小。</w:t>
      </w:r>
    </w:p>
    <w:p w14:paraId="7E5E020B">
      <w:pPr>
        <w:pStyle w:val="132"/>
        <w:rPr>
          <w:color w:val="auto"/>
        </w:rPr>
      </w:pPr>
      <w:r>
        <w:rPr>
          <w:color w:val="auto"/>
        </w:rPr>
        <w:t>（2）对水体的影响</w:t>
      </w:r>
    </w:p>
    <w:p w14:paraId="778149A4">
      <w:pPr>
        <w:pStyle w:val="132"/>
        <w:rPr>
          <w:color w:val="auto"/>
        </w:rPr>
      </w:pPr>
      <w:r>
        <w:rPr>
          <w:color w:val="auto"/>
        </w:rPr>
        <w:t>若不重视监管，将</w:t>
      </w:r>
      <w:r>
        <w:rPr>
          <w:rFonts w:hint="eastAsia"/>
          <w:color w:val="auto"/>
        </w:rPr>
        <w:t>固体废物</w:t>
      </w:r>
      <w:r>
        <w:rPr>
          <w:color w:val="auto"/>
        </w:rPr>
        <w:t>直接排入自然水体</w:t>
      </w:r>
      <w:r>
        <w:rPr>
          <w:rFonts w:hint="eastAsia"/>
          <w:color w:val="auto"/>
        </w:rPr>
        <w:t>，或是</w:t>
      </w:r>
      <w:r>
        <w:rPr>
          <w:color w:val="auto"/>
        </w:rPr>
        <w:t>露天堆放的固体废物被地表径流携带进入水体</w:t>
      </w:r>
      <w:r>
        <w:rPr>
          <w:rFonts w:hint="eastAsia"/>
          <w:color w:val="auto"/>
        </w:rPr>
        <w:t>，或是</w:t>
      </w:r>
      <w:r>
        <w:rPr>
          <w:color w:val="auto"/>
        </w:rPr>
        <w:t>堆放过</w:t>
      </w:r>
      <w:r>
        <w:rPr>
          <w:rFonts w:hint="eastAsia"/>
          <w:color w:val="auto"/>
        </w:rPr>
        <w:t>程中</w:t>
      </w:r>
      <w:r>
        <w:rPr>
          <w:color w:val="auto"/>
        </w:rPr>
        <w:t>飘入空中的废物细小颗粒，通过降雨的冲洗沉积、凝雨沉积以及重力沉降和干沉积而落入地表水系，水体都可溶入有害成分，毒害水生生物，或造成水体富营养化，导致生物死亡等。拟建项目危险废物暂存于</w:t>
      </w:r>
      <w:r>
        <w:rPr>
          <w:rFonts w:hint="eastAsia"/>
          <w:color w:val="auto"/>
        </w:rPr>
        <w:t>危险废物贮存库</w:t>
      </w:r>
      <w:r>
        <w:rPr>
          <w:color w:val="auto"/>
        </w:rPr>
        <w:t>，严格按《危险废物贮存污染控制标准》（GB18597-2023）和有关危险废物转移的管理办法进行管理和转移运输，</w:t>
      </w:r>
      <w:r>
        <w:rPr>
          <w:rFonts w:hint="eastAsia"/>
          <w:color w:val="auto"/>
        </w:rPr>
        <w:t>危险废物贮存库</w:t>
      </w:r>
      <w:r>
        <w:rPr>
          <w:color w:val="auto"/>
        </w:rPr>
        <w:t>均设专人管理，因此，固体废物直接排入自然水体</w:t>
      </w:r>
      <w:r>
        <w:rPr>
          <w:rFonts w:hint="eastAsia"/>
          <w:color w:val="auto"/>
        </w:rPr>
        <w:t>，或是</w:t>
      </w:r>
      <w:r>
        <w:rPr>
          <w:color w:val="auto"/>
        </w:rPr>
        <w:t>露天堆放的可能性很小。</w:t>
      </w:r>
    </w:p>
    <w:p w14:paraId="35F31D47">
      <w:pPr>
        <w:pStyle w:val="132"/>
        <w:rPr>
          <w:color w:val="auto"/>
        </w:rPr>
      </w:pPr>
      <w:r>
        <w:rPr>
          <w:color w:val="auto"/>
        </w:rPr>
        <w:t>（3）对地下水、土壤的影响</w:t>
      </w:r>
    </w:p>
    <w:p w14:paraId="4AB6FAA5">
      <w:pPr>
        <w:pStyle w:val="132"/>
        <w:rPr>
          <w:color w:val="auto"/>
        </w:rPr>
      </w:pPr>
      <w:r>
        <w:rPr>
          <w:color w:val="auto"/>
        </w:rPr>
        <w:t>固体废物的长期露天堆放，其有害成分通过地表径流和雨水的淋溶、渗透作用，通过土壤孔隙向四周和纵深的土壤迁移。在迁移过程中，由于土壤的吸附能力和吸附容量很大，固体废物随着渗滤水在地下水中的迁移，使有害成分在土壤固相中呈现不同程度的积累，导致土壤成分和结构的改变，间接又对在该土壤上生长的植物及土壤中的动物、微生物产生了危害。拟建项目产生的危险废物均暂存于满足要求的危险废物贮存库，采取防风、防雨措施，不存在露天堆放，因此，固体废物特别是危险废物的有害成分进入土壤环境的可能性较小，对周边土壤环境的影响较小。</w:t>
      </w:r>
    </w:p>
    <w:p w14:paraId="68BA5B37">
      <w:pPr>
        <w:pStyle w:val="132"/>
        <w:rPr>
          <w:color w:val="auto"/>
        </w:rPr>
      </w:pPr>
      <w:r>
        <w:rPr>
          <w:color w:val="auto"/>
        </w:rPr>
        <w:t>拟建项目在固体废物堆存场的建设均采用室内仓库，避免了露天堆放对土壤环境的污染和堆存过程中产生扬尘对环境空气的污染；外运的固体废物使用专用车辆进行运输，同时运输过程中注意遮盖，避免物料遗撒，防止运输途中产生扬尘，污染道路沿线的大气环境。另外要求在厂区内暂时存放固体废物特别是危险废物期间应加强管理，分类收集，及时处理，严格执行《危险废物贮存污染控制标准》（GB18597-2023）相关要求，堆放场地应设有防渗、防流失措施；在清运过程中，要求做好密闭措施，防止固废散发出臭味或</w:t>
      </w:r>
      <w:r>
        <w:rPr>
          <w:rFonts w:hint="eastAsia"/>
          <w:color w:val="auto"/>
          <w:lang w:eastAsia="zh-CN"/>
        </w:rPr>
        <w:t>抛撒</w:t>
      </w:r>
      <w:r>
        <w:rPr>
          <w:color w:val="auto"/>
        </w:rPr>
        <w:t>遗漏而导致污染扩散。</w:t>
      </w:r>
    </w:p>
    <w:p w14:paraId="504A2D90">
      <w:pPr>
        <w:pStyle w:val="132"/>
        <w:rPr>
          <w:color w:val="auto"/>
        </w:rPr>
      </w:pPr>
      <w:r>
        <w:rPr>
          <w:color w:val="auto"/>
        </w:rPr>
        <w:t>综上，工程建成投产后，建设单位在加强工业固体废物的管理，妥善处理或处置各类固体废物。本项目固体废物处置措施可行，处置方向明确，本次建设固体废物不会对外环境造成明显影响。</w:t>
      </w:r>
    </w:p>
    <w:p w14:paraId="48C2CC52">
      <w:pPr>
        <w:pStyle w:val="3"/>
        <w:rPr>
          <w:color w:val="auto"/>
        </w:rPr>
      </w:pPr>
      <w:bookmarkStart w:id="336" w:name="_Toc196333717"/>
      <w:bookmarkEnd w:id="336"/>
      <w:bookmarkStart w:id="337" w:name="_Toc229930149"/>
      <w:bookmarkStart w:id="338" w:name="_Toc195694894"/>
      <w:r>
        <w:rPr>
          <w:rFonts w:hint="eastAsia"/>
          <w:color w:val="auto"/>
        </w:rPr>
        <w:t>运营期生态环境影响分析</w:t>
      </w:r>
      <w:bookmarkEnd w:id="337"/>
      <w:bookmarkEnd w:id="338"/>
    </w:p>
    <w:p w14:paraId="74254BEA">
      <w:pPr>
        <w:pStyle w:val="132"/>
        <w:rPr>
          <w:color w:val="auto"/>
        </w:rPr>
      </w:pPr>
      <w:r>
        <w:rPr>
          <w:rFonts w:hint="eastAsia"/>
          <w:color w:val="auto"/>
        </w:rPr>
        <w:t>项目生态影响主要体现在占地影响以及外排废气污染物对植被生态的影响。</w:t>
      </w:r>
    </w:p>
    <w:p w14:paraId="55DE3FF3">
      <w:pPr>
        <w:pStyle w:val="4"/>
        <w:rPr>
          <w:color w:val="auto"/>
        </w:rPr>
      </w:pPr>
      <w:r>
        <w:rPr>
          <w:rFonts w:hint="eastAsia"/>
          <w:color w:val="auto"/>
        </w:rPr>
        <w:t>占地的影响分析</w:t>
      </w:r>
    </w:p>
    <w:p w14:paraId="4A483581">
      <w:pPr>
        <w:pStyle w:val="132"/>
        <w:rPr>
          <w:color w:val="auto"/>
        </w:rPr>
      </w:pPr>
      <w:r>
        <w:rPr>
          <w:rFonts w:hint="eastAsia"/>
          <w:color w:val="auto"/>
        </w:rPr>
        <w:t>项目位于乌鲁木齐甘泉堡经济技术开发区（工业区），</w:t>
      </w:r>
      <w:r>
        <w:rPr>
          <w:color w:val="auto"/>
        </w:rPr>
        <w:t>用地性质为工业用地</w:t>
      </w:r>
      <w:r>
        <w:rPr>
          <w:rFonts w:hint="eastAsia"/>
          <w:color w:val="auto"/>
        </w:rPr>
        <w:t>，项目场地内为戈壁荒地，植被覆盖度很低。</w:t>
      </w:r>
    </w:p>
    <w:p w14:paraId="4F3962BD">
      <w:pPr>
        <w:pStyle w:val="132"/>
        <w:rPr>
          <w:color w:val="auto"/>
        </w:rPr>
      </w:pPr>
      <w:r>
        <w:rPr>
          <w:rFonts w:hint="eastAsia"/>
          <w:color w:val="auto"/>
        </w:rPr>
        <w:t>项目建成后，在项目区空地、道路两侧进行绿化，在生产装置周围绿地种植草皮，同时充分利用厂区道路两旁及零星空地进行绿化，选择耐性好、抗性强的乡土植物，并</w:t>
      </w:r>
      <w:r>
        <w:rPr>
          <w:rFonts w:hint="eastAsia"/>
          <w:color w:val="auto"/>
          <w:lang w:eastAsia="zh-CN"/>
        </w:rPr>
        <w:t>采取</w:t>
      </w:r>
      <w:r>
        <w:rPr>
          <w:rFonts w:hint="eastAsia"/>
          <w:color w:val="auto"/>
        </w:rPr>
        <w:t>草、灌、木相结合的绿化方式。</w:t>
      </w:r>
    </w:p>
    <w:p w14:paraId="678DD46F">
      <w:pPr>
        <w:pStyle w:val="132"/>
        <w:rPr>
          <w:color w:val="auto"/>
        </w:rPr>
      </w:pPr>
      <w:r>
        <w:rPr>
          <w:rFonts w:hint="eastAsia"/>
          <w:color w:val="auto"/>
        </w:rPr>
        <w:t>另外由于构筑物投运、道路硬化、绿化的建成等，将减少扬尘，使厂区及周边水土流失程度得到控制。在进行生态绿化后，其影响环境的因素得到较好控制的情况下，会对项目场地周围环境质量改善起到—定的积极作用。</w:t>
      </w:r>
    </w:p>
    <w:p w14:paraId="471B961E">
      <w:pPr>
        <w:pStyle w:val="4"/>
        <w:rPr>
          <w:color w:val="auto"/>
        </w:rPr>
      </w:pPr>
      <w:r>
        <w:rPr>
          <w:rFonts w:hint="eastAsia"/>
          <w:color w:val="auto"/>
        </w:rPr>
        <w:t>污染物排放对植被的影响</w:t>
      </w:r>
    </w:p>
    <w:p w14:paraId="085AD70A">
      <w:pPr>
        <w:pStyle w:val="132"/>
        <w:rPr>
          <w:color w:val="auto"/>
        </w:rPr>
      </w:pPr>
      <w:r>
        <w:rPr>
          <w:rFonts w:hint="eastAsia"/>
          <w:color w:val="auto"/>
        </w:rPr>
        <w:t>项目建成运行后废气污染物主要有烟（粉）尘、SO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、NH</w:t>
      </w:r>
      <w:r>
        <w:rPr>
          <w:rFonts w:hint="eastAsia"/>
          <w:color w:val="auto"/>
          <w:vertAlign w:val="subscript"/>
        </w:rPr>
        <w:t>3</w:t>
      </w:r>
      <w:r>
        <w:rPr>
          <w:rFonts w:hint="eastAsia"/>
          <w:color w:val="auto"/>
        </w:rPr>
        <w:t>、</w:t>
      </w:r>
      <w:r>
        <w:rPr>
          <w:color w:val="auto"/>
        </w:rPr>
        <w:t>钴及其化合物</w:t>
      </w:r>
      <w:r>
        <w:rPr>
          <w:rFonts w:hint="eastAsia"/>
          <w:color w:val="auto"/>
        </w:rPr>
        <w:t>、</w:t>
      </w:r>
      <w:r>
        <w:rPr>
          <w:color w:val="auto"/>
        </w:rPr>
        <w:t>钼及其化合物</w:t>
      </w:r>
      <w:r>
        <w:rPr>
          <w:rFonts w:hint="eastAsia"/>
          <w:color w:val="auto"/>
        </w:rPr>
        <w:t>、</w:t>
      </w:r>
      <w:r>
        <w:rPr>
          <w:color w:val="auto"/>
        </w:rPr>
        <w:t>镍及其化合物</w:t>
      </w:r>
      <w:r>
        <w:rPr>
          <w:rFonts w:hint="eastAsia"/>
          <w:color w:val="auto"/>
        </w:rPr>
        <w:t>、</w:t>
      </w:r>
      <w:r>
        <w:rPr>
          <w:color w:val="auto"/>
        </w:rPr>
        <w:t>锰及其化合物</w:t>
      </w:r>
      <w:r>
        <w:rPr>
          <w:rFonts w:hint="eastAsia"/>
          <w:color w:val="auto"/>
        </w:rPr>
        <w:t>、</w:t>
      </w:r>
      <w:r>
        <w:rPr>
          <w:color w:val="auto"/>
        </w:rPr>
        <w:t>铜及其化合物</w:t>
      </w:r>
      <w:r>
        <w:rPr>
          <w:rFonts w:hint="eastAsia"/>
          <w:color w:val="auto"/>
        </w:rPr>
        <w:t>、</w:t>
      </w:r>
      <w:r>
        <w:rPr>
          <w:color w:val="auto"/>
        </w:rPr>
        <w:t>锆及其化合物</w:t>
      </w:r>
      <w:r>
        <w:rPr>
          <w:rFonts w:hint="eastAsia"/>
          <w:color w:val="auto"/>
        </w:rPr>
        <w:t>等，对土壤环境及植物的生长具有一定的危害，主要体现在以下方面。</w:t>
      </w:r>
    </w:p>
    <w:p w14:paraId="1FF861D1">
      <w:pPr>
        <w:pStyle w:val="132"/>
        <w:rPr>
          <w:color w:val="auto"/>
        </w:rPr>
      </w:pPr>
      <w:r>
        <w:rPr>
          <w:rFonts w:hint="eastAsia"/>
          <w:color w:val="auto"/>
        </w:rPr>
        <w:t>（1）烟（粉）尘的影响</w:t>
      </w:r>
    </w:p>
    <w:p w14:paraId="16CD57D5">
      <w:pPr>
        <w:pStyle w:val="132"/>
        <w:rPr>
          <w:color w:val="auto"/>
        </w:rPr>
      </w:pPr>
      <w:r>
        <w:rPr>
          <w:rFonts w:hint="eastAsia"/>
          <w:color w:val="auto"/>
        </w:rPr>
        <w:t>烟（粉）尘对植物的影响主要体现在以下几个方面：一是降低大气透明度，增大了太阳光通过大气时的散射强度，减弱了绿色植物的光合作用；二是灰尘对植物有一定的破坏作用，降低了绿色植物同化CO</w:t>
      </w:r>
      <w:r>
        <w:rPr>
          <w:rFonts w:hint="eastAsia"/>
          <w:color w:val="auto"/>
          <w:vertAlign w:val="subscript"/>
        </w:rPr>
        <w:t>2</w:t>
      </w:r>
      <w:r>
        <w:rPr>
          <w:rFonts w:hint="eastAsia"/>
          <w:color w:val="auto"/>
        </w:rPr>
        <w:t>的能力及使农作物出现干旱的可能性增加；三是颗粒物与SO</w:t>
      </w:r>
      <w:r>
        <w:rPr>
          <w:rFonts w:hint="eastAsia"/>
          <w:color w:val="auto"/>
          <w:vertAlign w:val="subscript"/>
        </w:rPr>
        <w:t>2</w:t>
      </w:r>
      <w:r>
        <w:rPr>
          <w:rFonts w:hint="eastAsia"/>
          <w:color w:val="auto"/>
        </w:rPr>
        <w:t>的协同作用还可以增加SO</w:t>
      </w:r>
      <w:r>
        <w:rPr>
          <w:rFonts w:hint="eastAsia"/>
          <w:color w:val="auto"/>
          <w:vertAlign w:val="subscript"/>
        </w:rPr>
        <w:t>2</w:t>
      </w:r>
      <w:r>
        <w:rPr>
          <w:rFonts w:hint="eastAsia"/>
          <w:color w:val="auto"/>
        </w:rPr>
        <w:t>的毒性，加剧叶片腐蚀。同时本项目烟尘中含有少量重金属及其化合物，易在土壤及植被中进行累积。</w:t>
      </w:r>
    </w:p>
    <w:p w14:paraId="5EAF561A">
      <w:pPr>
        <w:pStyle w:val="132"/>
        <w:rPr>
          <w:color w:val="auto"/>
        </w:rPr>
      </w:pPr>
      <w:r>
        <w:rPr>
          <w:rFonts w:hint="eastAsia"/>
          <w:color w:val="auto"/>
        </w:rPr>
        <w:t>（2）SO</w:t>
      </w:r>
      <w:r>
        <w:rPr>
          <w:rFonts w:hint="eastAsia"/>
          <w:color w:val="auto"/>
          <w:vertAlign w:val="subscript"/>
        </w:rPr>
        <w:t>2</w:t>
      </w:r>
      <w:r>
        <w:rPr>
          <w:rFonts w:hint="eastAsia"/>
          <w:color w:val="auto"/>
        </w:rPr>
        <w:t>的影响</w:t>
      </w:r>
    </w:p>
    <w:p w14:paraId="0787077A">
      <w:pPr>
        <w:pStyle w:val="132"/>
        <w:rPr>
          <w:color w:val="auto"/>
        </w:rPr>
      </w:pPr>
      <w:r>
        <w:rPr>
          <w:rFonts w:hint="eastAsia"/>
          <w:color w:val="auto"/>
        </w:rPr>
        <w:t>SO</w:t>
      </w:r>
      <w:r>
        <w:rPr>
          <w:rFonts w:hint="eastAsia"/>
          <w:color w:val="auto"/>
          <w:vertAlign w:val="subscript"/>
        </w:rPr>
        <w:t>2</w:t>
      </w:r>
      <w:r>
        <w:rPr>
          <w:rFonts w:hint="eastAsia"/>
          <w:color w:val="auto"/>
        </w:rPr>
        <w:t>对植被的危害可分为直接危害和间接危害两种。</w:t>
      </w:r>
    </w:p>
    <w:p w14:paraId="6236999A">
      <w:pPr>
        <w:pStyle w:val="132"/>
        <w:rPr>
          <w:color w:val="auto"/>
        </w:rPr>
      </w:pPr>
      <w:r>
        <w:rPr>
          <w:rFonts w:hint="eastAsia"/>
          <w:color w:val="auto"/>
        </w:rPr>
        <w:t>①直接危害</w:t>
      </w:r>
    </w:p>
    <w:p w14:paraId="63AF9152">
      <w:pPr>
        <w:pStyle w:val="132"/>
        <w:rPr>
          <w:color w:val="auto"/>
        </w:rPr>
      </w:pPr>
      <w:r>
        <w:rPr>
          <w:rFonts w:hint="eastAsia"/>
          <w:color w:val="auto"/>
        </w:rPr>
        <w:t>环境空气中SO</w:t>
      </w:r>
      <w:r>
        <w:rPr>
          <w:rFonts w:hint="eastAsia"/>
          <w:color w:val="auto"/>
          <w:vertAlign w:val="subscript"/>
        </w:rPr>
        <w:t>2</w:t>
      </w:r>
      <w:r>
        <w:rPr>
          <w:rFonts w:hint="eastAsia"/>
          <w:color w:val="auto"/>
        </w:rPr>
        <w:t>超过一定浓度时对植物有直接毒害作用。SO</w:t>
      </w:r>
      <w:r>
        <w:rPr>
          <w:rFonts w:hint="eastAsia"/>
          <w:color w:val="auto"/>
          <w:vertAlign w:val="subscript"/>
        </w:rPr>
        <w:t>2</w:t>
      </w:r>
      <w:r>
        <w:rPr>
          <w:rFonts w:hint="eastAsia"/>
          <w:color w:val="auto"/>
        </w:rPr>
        <w:t>对植物造成的伤害最常见叶脉间失绿，甚至被漂白。最敏感的植物有菠菜、黄瓜和燕麦，具有抗性的植物有玉米和芹菜等。成年的叶片首先受到伤害，伤害的程度随接触时间的加长和浓度的增加而增加。由于植物叶片气孔开闭积蓄的不同，萎蔫的植物比胀满的植物耐性高。</w:t>
      </w:r>
    </w:p>
    <w:p w14:paraId="6166D19A">
      <w:pPr>
        <w:pStyle w:val="132"/>
        <w:rPr>
          <w:color w:val="auto"/>
        </w:rPr>
      </w:pPr>
      <w:r>
        <w:rPr>
          <w:rFonts w:hint="eastAsia"/>
          <w:color w:val="auto"/>
        </w:rPr>
        <w:t>根据国家颁布的《保护农作物的大气污染物最高允许浓度》标准，对于小麦等对SO</w:t>
      </w:r>
      <w:r>
        <w:rPr>
          <w:rFonts w:hint="eastAsia"/>
          <w:color w:val="auto"/>
          <w:vertAlign w:val="subscript"/>
        </w:rPr>
        <w:t>2</w:t>
      </w:r>
      <w:r>
        <w:rPr>
          <w:rFonts w:hint="eastAsia"/>
          <w:color w:val="auto"/>
        </w:rPr>
        <w:t>敏感作物，其生长季SO</w:t>
      </w:r>
      <w:r>
        <w:rPr>
          <w:rFonts w:hint="eastAsia"/>
          <w:color w:val="auto"/>
          <w:vertAlign w:val="subscript"/>
        </w:rPr>
        <w:t>2</w:t>
      </w:r>
      <w:r>
        <w:rPr>
          <w:rFonts w:hint="eastAsia"/>
          <w:color w:val="auto"/>
        </w:rPr>
        <w:t>平均浓度应小于0.05mg/m</w:t>
      </w:r>
      <w:r>
        <w:rPr>
          <w:rFonts w:hint="eastAsia"/>
          <w:color w:val="auto"/>
          <w:vertAlign w:val="superscript"/>
        </w:rPr>
        <w:t>3</w:t>
      </w:r>
      <w:r>
        <w:rPr>
          <w:rFonts w:hint="eastAsia"/>
          <w:color w:val="auto"/>
        </w:rPr>
        <w:t>，日均浓度应小于0.15mg/m</w:t>
      </w:r>
      <w:r>
        <w:rPr>
          <w:rFonts w:hint="eastAsia"/>
          <w:color w:val="auto"/>
          <w:vertAlign w:val="superscript"/>
        </w:rPr>
        <w:t>3</w:t>
      </w:r>
      <w:r>
        <w:rPr>
          <w:rFonts w:hint="eastAsia"/>
          <w:color w:val="auto"/>
        </w:rPr>
        <w:t>，任何一次最大值不得超过0.5mg/m</w:t>
      </w:r>
      <w:r>
        <w:rPr>
          <w:rFonts w:hint="eastAsia"/>
          <w:color w:val="auto"/>
          <w:vertAlign w:val="superscript"/>
        </w:rPr>
        <w:t>3</w:t>
      </w:r>
      <w:r>
        <w:rPr>
          <w:rFonts w:hint="eastAsia"/>
          <w:color w:val="auto"/>
        </w:rPr>
        <w:t>；对于棉花、番茄等对SO</w:t>
      </w:r>
      <w:r>
        <w:rPr>
          <w:rFonts w:hint="eastAsia"/>
          <w:color w:val="auto"/>
          <w:vertAlign w:val="subscript"/>
        </w:rPr>
        <w:t>2</w:t>
      </w:r>
      <w:r>
        <w:rPr>
          <w:rFonts w:hint="eastAsia"/>
          <w:color w:val="auto"/>
        </w:rPr>
        <w:t>中等敏感作物，其生长季SO</w:t>
      </w:r>
      <w:r>
        <w:rPr>
          <w:rFonts w:hint="eastAsia"/>
          <w:color w:val="auto"/>
          <w:vertAlign w:val="subscript"/>
        </w:rPr>
        <w:t>2</w:t>
      </w:r>
      <w:r>
        <w:rPr>
          <w:rFonts w:hint="eastAsia"/>
          <w:color w:val="auto"/>
        </w:rPr>
        <w:t>平均浓度应小于0.08mg/m</w:t>
      </w:r>
      <w:r>
        <w:rPr>
          <w:rFonts w:hint="eastAsia"/>
          <w:color w:val="auto"/>
          <w:vertAlign w:val="superscript"/>
        </w:rPr>
        <w:t>3</w:t>
      </w:r>
      <w:r>
        <w:rPr>
          <w:rFonts w:hint="eastAsia"/>
          <w:color w:val="auto"/>
        </w:rPr>
        <w:t>，日均浓度应小于0.25mg/m</w:t>
      </w:r>
      <w:r>
        <w:rPr>
          <w:rFonts w:hint="eastAsia"/>
          <w:color w:val="auto"/>
          <w:vertAlign w:val="superscript"/>
        </w:rPr>
        <w:t>3</w:t>
      </w:r>
      <w:r>
        <w:rPr>
          <w:rFonts w:hint="eastAsia"/>
          <w:color w:val="auto"/>
        </w:rPr>
        <w:t>，任何一次最大值不得超过0.7mg/m</w:t>
      </w:r>
      <w:r>
        <w:rPr>
          <w:rFonts w:hint="eastAsia"/>
          <w:color w:val="auto"/>
          <w:vertAlign w:val="superscript"/>
        </w:rPr>
        <w:t>3</w:t>
      </w:r>
      <w:r>
        <w:rPr>
          <w:rFonts w:hint="eastAsia"/>
          <w:color w:val="auto"/>
        </w:rPr>
        <w:t>。根据大气预测结果，SO</w:t>
      </w:r>
      <w:r>
        <w:rPr>
          <w:rFonts w:hint="eastAsia"/>
          <w:color w:val="auto"/>
          <w:vertAlign w:val="subscript"/>
        </w:rPr>
        <w:t>2</w:t>
      </w:r>
      <w:r>
        <w:rPr>
          <w:rFonts w:hint="eastAsia"/>
          <w:color w:val="auto"/>
        </w:rPr>
        <w:t>的小时最大地面浓度为0.009mg/m</w:t>
      </w:r>
      <w:r>
        <w:rPr>
          <w:rFonts w:hint="eastAsia"/>
          <w:color w:val="auto"/>
          <w:vertAlign w:val="superscript"/>
        </w:rPr>
        <w:t>3</w:t>
      </w:r>
      <w:r>
        <w:rPr>
          <w:rFonts w:hint="eastAsia"/>
          <w:color w:val="auto"/>
        </w:rPr>
        <w:t>，日平均最大地面浓度0.0016mg/m</w:t>
      </w:r>
      <w:r>
        <w:rPr>
          <w:rFonts w:hint="eastAsia"/>
          <w:color w:val="auto"/>
          <w:vertAlign w:val="superscript"/>
        </w:rPr>
        <w:t>3</w:t>
      </w:r>
      <w:r>
        <w:rPr>
          <w:rFonts w:hint="eastAsia"/>
          <w:color w:val="auto"/>
        </w:rPr>
        <w:t>，年平均最大地面浓度0.0005mg/m</w:t>
      </w:r>
      <w:r>
        <w:rPr>
          <w:rFonts w:hint="eastAsia"/>
          <w:color w:val="auto"/>
          <w:vertAlign w:val="superscript"/>
        </w:rPr>
        <w:t>3</w:t>
      </w:r>
      <w:r>
        <w:rPr>
          <w:rFonts w:hint="eastAsia"/>
          <w:color w:val="auto"/>
        </w:rPr>
        <w:t>，均小于敏感作物对SO</w:t>
      </w:r>
      <w:r>
        <w:rPr>
          <w:rFonts w:hint="eastAsia"/>
          <w:color w:val="auto"/>
          <w:vertAlign w:val="subscript"/>
        </w:rPr>
        <w:t>2</w:t>
      </w:r>
      <w:r>
        <w:rPr>
          <w:rFonts w:hint="eastAsia"/>
          <w:color w:val="auto"/>
        </w:rPr>
        <w:t>浓度的要求，项目SO</w:t>
      </w:r>
      <w:r>
        <w:rPr>
          <w:rFonts w:hint="eastAsia"/>
          <w:color w:val="auto"/>
          <w:vertAlign w:val="subscript"/>
        </w:rPr>
        <w:t>2</w:t>
      </w:r>
      <w:r>
        <w:rPr>
          <w:rFonts w:hint="eastAsia"/>
          <w:color w:val="auto"/>
        </w:rPr>
        <w:t>排放对植物生长影响较小。</w:t>
      </w:r>
    </w:p>
    <w:p w14:paraId="4083E07B">
      <w:pPr>
        <w:pStyle w:val="132"/>
        <w:rPr>
          <w:color w:val="auto"/>
        </w:rPr>
      </w:pPr>
      <w:r>
        <w:rPr>
          <w:rFonts w:hint="eastAsia"/>
          <w:color w:val="auto"/>
        </w:rPr>
        <w:t>②间接危害</w:t>
      </w:r>
    </w:p>
    <w:p w14:paraId="1E4798DD">
      <w:pPr>
        <w:pStyle w:val="132"/>
        <w:rPr>
          <w:color w:val="auto"/>
        </w:rPr>
      </w:pPr>
      <w:r>
        <w:rPr>
          <w:rFonts w:hint="eastAsia"/>
          <w:color w:val="auto"/>
        </w:rPr>
        <w:t>主要体现在SO</w:t>
      </w:r>
      <w:r>
        <w:rPr>
          <w:rFonts w:hint="eastAsia"/>
          <w:color w:val="auto"/>
          <w:vertAlign w:val="subscript"/>
        </w:rPr>
        <w:t>2</w:t>
      </w:r>
      <w:r>
        <w:rPr>
          <w:rFonts w:hint="eastAsia"/>
          <w:color w:val="auto"/>
        </w:rPr>
        <w:t>通过各种降水过程以SO</w:t>
      </w:r>
      <w:r>
        <w:rPr>
          <w:rFonts w:hint="eastAsia"/>
          <w:color w:val="auto"/>
          <w:vertAlign w:val="subscript"/>
        </w:rPr>
        <w:t>3</w:t>
      </w:r>
      <w:r>
        <w:rPr>
          <w:rFonts w:hint="eastAsia"/>
          <w:color w:val="auto"/>
          <w:vertAlign w:val="superscript"/>
        </w:rPr>
        <w:t>2-</w:t>
      </w:r>
      <w:r>
        <w:rPr>
          <w:rFonts w:hint="eastAsia"/>
          <w:color w:val="auto"/>
        </w:rPr>
        <w:t>、SO</w:t>
      </w:r>
      <w:r>
        <w:rPr>
          <w:rFonts w:hint="eastAsia"/>
          <w:color w:val="auto"/>
          <w:vertAlign w:val="subscript"/>
        </w:rPr>
        <w:t>4</w:t>
      </w:r>
      <w:r>
        <w:rPr>
          <w:rFonts w:hint="eastAsia"/>
          <w:color w:val="auto"/>
          <w:vertAlign w:val="superscript"/>
        </w:rPr>
        <w:t>2-</w:t>
      </w:r>
      <w:r>
        <w:rPr>
          <w:rFonts w:hint="eastAsia"/>
          <w:color w:val="auto"/>
        </w:rPr>
        <w:t>的形式进入土壤，以土壤溶液中的硫酸盐、吸附态硫酸盐、有机硫化物和矿物硫等“四种形态”存在，其中前两种形态的硫属于水溶性硫，可以被植物根系直接吸收利用或在过量时直接危害植物根系的生长；后两种形态的硫则转化为多种形态的固相硫而成为难溶物质，影响土壤的酸度、重金属活性及土壤微生物的活动，从而影响植物的生长。这一过程比较复杂，在新疆特有的干旱荒漠与水土条件下，间接影响微弱。</w:t>
      </w:r>
    </w:p>
    <w:p w14:paraId="3BC02962">
      <w:pPr>
        <w:pStyle w:val="132"/>
        <w:rPr>
          <w:color w:val="auto"/>
        </w:rPr>
      </w:pPr>
      <w:r>
        <w:rPr>
          <w:rFonts w:hint="eastAsia"/>
          <w:color w:val="auto"/>
        </w:rPr>
        <w:t>（3）NH</w:t>
      </w:r>
      <w:r>
        <w:rPr>
          <w:rFonts w:hint="eastAsia"/>
          <w:color w:val="auto"/>
          <w:vertAlign w:val="subscript"/>
        </w:rPr>
        <w:t>3</w:t>
      </w:r>
      <w:r>
        <w:rPr>
          <w:rFonts w:hint="eastAsia"/>
          <w:color w:val="auto"/>
        </w:rPr>
        <w:t>的影响</w:t>
      </w:r>
    </w:p>
    <w:p w14:paraId="560058EF">
      <w:pPr>
        <w:pStyle w:val="132"/>
        <w:rPr>
          <w:color w:val="auto"/>
        </w:rPr>
      </w:pPr>
      <w:r>
        <w:rPr>
          <w:rFonts w:hint="eastAsia"/>
          <w:color w:val="auto"/>
        </w:rPr>
        <w:t>NH</w:t>
      </w:r>
      <w:r>
        <w:rPr>
          <w:rFonts w:hint="eastAsia"/>
          <w:color w:val="auto"/>
          <w:vertAlign w:val="subscript"/>
        </w:rPr>
        <w:t>3</w:t>
      </w:r>
      <w:r>
        <w:rPr>
          <w:rFonts w:hint="eastAsia"/>
          <w:color w:val="auto"/>
        </w:rPr>
        <w:t>被植物叶片吸收后就会形成碱性的氨离子，并在植物体内积累起来。据相关资料，低浓度的氨气不但不危害植物，而且可被植物叶子吸收和同化，作为氮素营养满足自身所需总氮量的百分之十到二十。但是高浓度的氨气则会干扰植物重要的新陈代谢过程，损伤植物叶片细胞，阻碍植物光合作用和生长，轻者植物叶片受到NH</w:t>
      </w:r>
      <w:r>
        <w:rPr>
          <w:rFonts w:hint="eastAsia"/>
          <w:color w:val="auto"/>
          <w:vertAlign w:val="subscript"/>
        </w:rPr>
        <w:t>3</w:t>
      </w:r>
      <w:r>
        <w:rPr>
          <w:rFonts w:hint="eastAsia"/>
          <w:color w:val="auto"/>
        </w:rPr>
        <w:t>的熏灼伤害，重者出现“氨中毒”和大面积叶片枯死。NH</w:t>
      </w:r>
      <w:r>
        <w:rPr>
          <w:rFonts w:hint="eastAsia"/>
          <w:color w:val="auto"/>
          <w:vertAlign w:val="subscript"/>
        </w:rPr>
        <w:t>3</w:t>
      </w:r>
      <w:r>
        <w:rPr>
          <w:rFonts w:hint="eastAsia"/>
          <w:color w:val="auto"/>
        </w:rPr>
        <w:t>与氮氧化物或二氧化硫共存时，对植物的损害具有协同效应，毒性更为强烈。</w:t>
      </w:r>
    </w:p>
    <w:p w14:paraId="6660BBD6">
      <w:pPr>
        <w:pStyle w:val="132"/>
        <w:rPr>
          <w:color w:val="auto"/>
        </w:rPr>
      </w:pPr>
      <w:r>
        <w:rPr>
          <w:rFonts w:hint="eastAsia"/>
          <w:color w:val="auto"/>
        </w:rPr>
        <w:t>综合上述分析，项目在正常生产废气排放下，废气污染物对周围植被的影响是轻微的，部分还有促进植被生长的作用。但是若长时间发生废气中烟（粉）尘、SO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等事故排放，对厂区周围及园区外植被存在潜在危害影响。项目运行期间应特别注意加强对废气的收集和治理，同时加强废气治理设施的运行管理，减少废气事故排放概率。</w:t>
      </w:r>
    </w:p>
    <w:p w14:paraId="2812F9FA">
      <w:pPr>
        <w:pStyle w:val="4"/>
        <w:rPr>
          <w:color w:val="auto"/>
        </w:rPr>
      </w:pPr>
      <w:r>
        <w:rPr>
          <w:rFonts w:hint="eastAsia"/>
          <w:color w:val="auto"/>
        </w:rPr>
        <w:t>对动物资源的影响分析</w:t>
      </w:r>
    </w:p>
    <w:p w14:paraId="7B0CC19C">
      <w:pPr>
        <w:pStyle w:val="132"/>
        <w:rPr>
          <w:color w:val="auto"/>
        </w:rPr>
      </w:pPr>
      <w:r>
        <w:rPr>
          <w:rFonts w:hint="eastAsia"/>
          <w:color w:val="auto"/>
        </w:rPr>
        <w:t>对于大多数野生动物来说，最大的威胁来自其生境被分割、缩小、破坏和退化。拟建项目位于工业园区，拟选厂址周围存在工业企业以及人为活动，厂址附近没有野生动物，在拟建项目建设完成后，厂区的正常生产不会对野生动物的栖息地和生境再产生干扰和影响，因此，在运营期对野生动物的影响很小。</w:t>
      </w:r>
    </w:p>
    <w:p w14:paraId="336C7D0D">
      <w:pPr>
        <w:pStyle w:val="4"/>
        <w:rPr>
          <w:color w:val="auto"/>
        </w:rPr>
      </w:pPr>
      <w:r>
        <w:rPr>
          <w:rFonts w:hint="eastAsia"/>
          <w:color w:val="auto"/>
        </w:rPr>
        <w:t>厂区绿化对生态环境的正效应</w:t>
      </w:r>
    </w:p>
    <w:p w14:paraId="64062D78">
      <w:pPr>
        <w:pStyle w:val="132"/>
        <w:rPr>
          <w:color w:val="auto"/>
        </w:rPr>
      </w:pPr>
      <w:r>
        <w:rPr>
          <w:rFonts w:hint="eastAsia"/>
          <w:color w:val="auto"/>
        </w:rPr>
        <w:t>项目在道路两旁设计绿化带，绿化带的建设，不仅使施工期占用的植被损失得到补偿，还能净化空气、调节小气候、减少噪声、增加土壤肥力、防止水土流失。运营期做到科学规划造林绿化空间，选择乡土树种、草种，加强对绿化带的养护，有利于改善当地生态环境。</w:t>
      </w:r>
    </w:p>
    <w:p w14:paraId="5C0B34F3">
      <w:pPr>
        <w:pStyle w:val="4"/>
        <w:rPr>
          <w:color w:val="auto"/>
        </w:rPr>
      </w:pPr>
      <w:r>
        <w:rPr>
          <w:rFonts w:hint="eastAsia"/>
          <w:color w:val="auto"/>
        </w:rPr>
        <w:t>小结</w:t>
      </w:r>
    </w:p>
    <w:p w14:paraId="34FB3EBF">
      <w:pPr>
        <w:pStyle w:val="132"/>
        <w:rPr>
          <w:color w:val="auto"/>
        </w:rPr>
      </w:pPr>
      <w:r>
        <w:rPr>
          <w:rFonts w:hint="eastAsia"/>
          <w:color w:val="auto"/>
        </w:rPr>
        <w:t>项目的建设使用园区内工业用地，同时项目厂区在建设完成后会进行相应的绿化和地面硬化措施，故本项目建设不会导致生态环境质量的降低；在建设期和运营期作业常被破坏或影响的植物均为广布种和常见种，且分布也较均匀，因此，尽管项目建设会使原有植被遭到局部损失，但不会使评价区植物群落的种类组成发生变化，也不会造成某种植物的消失。项目投入运营后，将加强厂区及其周围的绿化和植被的恢复及补偿工作，项目在生产过程中不存在破坏植被的工业活动，运营期不会对植物资源产生不利影响；评价区现有的野生动物多为一些常见的鸟类、啮齿类及昆虫等。通过加强施工人员的宣传教育和管理，可减少在建设初期对野生动物的影响，对生态环境的影响较小。</w:t>
      </w:r>
    </w:p>
    <w:p w14:paraId="25A2F184">
      <w:pPr>
        <w:pStyle w:val="132"/>
        <w:rPr>
          <w:color w:val="auto"/>
        </w:rPr>
      </w:pPr>
    </w:p>
    <w:p w14:paraId="77181D68">
      <w:pPr>
        <w:pStyle w:val="132"/>
        <w:rPr>
          <w:color w:val="auto"/>
        </w:rPr>
      </w:pPr>
    </w:p>
    <w:p w14:paraId="732D116B">
      <w:pPr>
        <w:spacing w:before="100" w:beforeAutospacing="1" w:line="360" w:lineRule="auto"/>
        <w:ind w:firstLine="480" w:firstLineChars="200"/>
        <w:jc w:val="both"/>
        <w:rPr>
          <w:color w:val="auto"/>
          <w:sz w:val="24"/>
          <w:szCs w:val="24"/>
        </w:rPr>
        <w:sectPr>
          <w:headerReference r:id="rId23" w:type="first"/>
          <w:footerReference r:id="rId25" w:type="first"/>
          <w:headerReference r:id="rId22" w:type="even"/>
          <w:footerReference r:id="rId24" w:type="even"/>
          <w:type w:val="continuous"/>
          <w:pgSz w:w="11906" w:h="16838"/>
          <w:pgMar w:top="1440" w:right="1588" w:bottom="1389" w:left="1588" w:header="737" w:footer="794" w:gutter="0"/>
          <w:cols w:space="425" w:num="1"/>
          <w:docGrid w:type="lines" w:linePitch="312" w:charSpace="0"/>
        </w:sectPr>
      </w:pPr>
    </w:p>
    <w:bookmarkEnd w:id="255"/>
    <w:bookmarkEnd w:id="256"/>
    <w:bookmarkEnd w:id="258"/>
    <w:bookmarkEnd w:id="259"/>
    <w:bookmarkEnd w:id="260"/>
    <w:bookmarkEnd w:id="261"/>
    <w:bookmarkEnd w:id="262"/>
    <w:bookmarkEnd w:id="263"/>
    <w:p w14:paraId="230232C7">
      <w:pPr>
        <w:pStyle w:val="2"/>
        <w:rPr>
          <w:color w:val="auto"/>
        </w:rPr>
      </w:pPr>
      <w:bookmarkStart w:id="339" w:name="_Toc8639738"/>
      <w:bookmarkEnd w:id="339"/>
      <w:bookmarkStart w:id="340" w:name="_Toc392528455"/>
      <w:bookmarkStart w:id="341" w:name="_Toc469349518"/>
      <w:bookmarkStart w:id="342" w:name="_Toc388867473"/>
      <w:bookmarkStart w:id="343" w:name="_Toc389668217"/>
      <w:bookmarkStart w:id="344" w:name="_Toc272851680"/>
      <w:bookmarkStart w:id="345" w:name="_Toc286617505"/>
      <w:bookmarkStart w:id="346" w:name="_Toc504497371"/>
      <w:bookmarkStart w:id="347" w:name="_Toc229930150"/>
      <w:r>
        <w:rPr>
          <w:color w:val="auto"/>
        </w:rPr>
        <w:t>环境保护措施及其可行性</w:t>
      </w:r>
      <w:bookmarkEnd w:id="340"/>
      <w:bookmarkEnd w:id="341"/>
      <w:bookmarkEnd w:id="342"/>
      <w:bookmarkEnd w:id="343"/>
      <w:bookmarkEnd w:id="344"/>
      <w:bookmarkEnd w:id="345"/>
      <w:r>
        <w:rPr>
          <w:color w:val="auto"/>
        </w:rPr>
        <w:t>论证</w:t>
      </w:r>
      <w:bookmarkEnd w:id="346"/>
      <w:bookmarkEnd w:id="347"/>
    </w:p>
    <w:p w14:paraId="2662CE57">
      <w:pPr>
        <w:pStyle w:val="3"/>
        <w:rPr>
          <w:color w:val="auto"/>
        </w:rPr>
      </w:pPr>
      <w:bookmarkStart w:id="348" w:name="_Toc229930151"/>
      <w:bookmarkStart w:id="349" w:name="_Toc469349519"/>
      <w:bookmarkStart w:id="350" w:name="_Toc388867474"/>
      <w:bookmarkStart w:id="351" w:name="_Toc504497372"/>
      <w:bookmarkStart w:id="352" w:name="_Toc389668218"/>
      <w:bookmarkStart w:id="353" w:name="_Toc392528456"/>
      <w:bookmarkStart w:id="354" w:name="_Toc272851681"/>
      <w:bookmarkStart w:id="355" w:name="_Toc286617506"/>
      <w:r>
        <w:rPr>
          <w:color w:val="auto"/>
        </w:rPr>
        <w:t>施工期环境保护措施</w:t>
      </w:r>
      <w:bookmarkEnd w:id="348"/>
    </w:p>
    <w:p w14:paraId="3792B579">
      <w:pPr>
        <w:pStyle w:val="4"/>
        <w:rPr>
          <w:color w:val="auto"/>
        </w:rPr>
      </w:pPr>
      <w:r>
        <w:rPr>
          <w:color w:val="auto"/>
        </w:rPr>
        <w:t>施工期大气环境保护措施</w:t>
      </w:r>
    </w:p>
    <w:p w14:paraId="1248C2F1">
      <w:pPr>
        <w:pStyle w:val="5"/>
        <w:rPr>
          <w:color w:val="auto"/>
        </w:rPr>
      </w:pPr>
      <w:r>
        <w:rPr>
          <w:color w:val="auto"/>
        </w:rPr>
        <w:t>施工扬尘污染防治措施</w:t>
      </w:r>
    </w:p>
    <w:p w14:paraId="0C6B652E">
      <w:pPr>
        <w:pStyle w:val="132"/>
        <w:rPr>
          <w:color w:val="auto"/>
        </w:rPr>
      </w:pPr>
      <w:r>
        <w:rPr>
          <w:color w:val="auto"/>
        </w:rPr>
        <w:t>项目</w:t>
      </w:r>
      <w:r>
        <w:rPr>
          <w:rFonts w:hint="eastAsia"/>
          <w:color w:val="auto"/>
        </w:rPr>
        <w:t>在</w:t>
      </w:r>
      <w:r>
        <w:rPr>
          <w:color w:val="auto"/>
        </w:rPr>
        <w:t>施工建设过程中，扬尘污染主要来源于土方的挖掘、堆放、清运、回填和场地平整等过程产生的粉尘，施工中的土方运输产生的粉尘，建筑材料如水泥、白灰、砂子以及土方等在其装卸、运输、堆放等过程中，因风力作用而产生的扬尘污染，运输车辆往来造成地面扬尘，施工垃圾及清运过程中产生扬尘。</w:t>
      </w:r>
    </w:p>
    <w:p w14:paraId="0F155015">
      <w:pPr>
        <w:pStyle w:val="132"/>
        <w:rPr>
          <w:color w:val="auto"/>
        </w:rPr>
      </w:pPr>
      <w:r>
        <w:rPr>
          <w:color w:val="auto"/>
        </w:rPr>
        <w:t>项目建设单位应按照《建筑工程绿色环保施工管理规范》（DB/T 4060-2017）、《建筑工程绿色施工规范》（GB/T 50905）、《施工企业安全生产管理规范》（GB50656-2011）以及《防治城市扬尘污染技术规范》（HJ/T393-2007）的相关规定制定施工扬尘污染防治方案，根据施工工序编制施工期内扬尘污染防治任务书，实施扬尘防治全过程管理，责任到每个施工工序，在施工时尽可能做到土方平衡，以减少取土的开挖和弃土的堆积所带来的不利影响。为控制扬尘对大气环境造成的污染，可以在施工期采取以下控制措施：</w:t>
      </w:r>
    </w:p>
    <w:p w14:paraId="3FADFC36">
      <w:pPr>
        <w:pStyle w:val="132"/>
        <w:rPr>
          <w:color w:val="auto"/>
        </w:rPr>
      </w:pPr>
      <w:r>
        <w:rPr>
          <w:rFonts w:hint="eastAsia"/>
          <w:color w:val="auto"/>
        </w:rPr>
        <w:t>（1）扬尘防治管理应符合GB/T 50905的规定，施工现场主要道路、材料堆放场地、露天加工场地应根据用途进行硬化，裸露的场地和集中堆放的土方应采取密目网进行覆盖，以及洒水、固化或绿化措施。</w:t>
      </w:r>
    </w:p>
    <w:p w14:paraId="10B18181">
      <w:pPr>
        <w:pStyle w:val="132"/>
        <w:rPr>
          <w:color w:val="auto"/>
        </w:rPr>
      </w:pPr>
      <w:r>
        <w:rPr>
          <w:rFonts w:hint="eastAsia"/>
          <w:color w:val="auto"/>
        </w:rPr>
        <w:t>（2）运送土方、垃圾、设备及建筑材料等不得污损场外道路，施工现场大门口必须设置冲洗车辆设施，运输车辆必须采取防护措施，保证物料不得散落、飞扬和遗漏。</w:t>
      </w:r>
    </w:p>
    <w:p w14:paraId="04C1FC32">
      <w:pPr>
        <w:pStyle w:val="132"/>
        <w:rPr>
          <w:color w:val="auto"/>
        </w:rPr>
      </w:pPr>
      <w:r>
        <w:rPr>
          <w:rFonts w:hint="eastAsia"/>
          <w:color w:val="auto"/>
        </w:rPr>
        <w:t>（3）施工现场对粉状材料必须封闭存放，对易产生扬尘的堆放材料应采取封闭、半封闭和覆盖措施；可能引起扬尘的材料及建筑垃圾搬运时必须有防尘措施。</w:t>
      </w:r>
    </w:p>
    <w:p w14:paraId="20F4C4D6">
      <w:pPr>
        <w:pStyle w:val="132"/>
        <w:rPr>
          <w:color w:val="auto"/>
        </w:rPr>
      </w:pPr>
      <w:r>
        <w:rPr>
          <w:rFonts w:hint="eastAsia"/>
          <w:color w:val="auto"/>
        </w:rPr>
        <w:t>（4）土方作业阶段应符合GB/T 50905-2014中第3.3.1的规定。采取洒水、覆盖等措施，达到作业区目测扬尘高度小于1.5 m，不得扩散到场区外。</w:t>
      </w:r>
    </w:p>
    <w:p w14:paraId="693001D5">
      <w:pPr>
        <w:pStyle w:val="132"/>
        <w:rPr>
          <w:color w:val="auto"/>
        </w:rPr>
      </w:pPr>
      <w:r>
        <w:rPr>
          <w:rFonts w:hint="eastAsia"/>
          <w:color w:val="auto"/>
        </w:rPr>
        <w:t>（5）大风天气作业应符合HJ/T 393-2007第5.2.3条规定。遇到四级以上大风天气，不应进行土方回填、转运以及其他可能产生扬尘污染的施工；五级及以上大风天气，施工现场应停止工地室外作业及室内喷涂粉刷作业，并对作业面进行覆盖。</w:t>
      </w:r>
    </w:p>
    <w:p w14:paraId="71C33C24">
      <w:pPr>
        <w:pStyle w:val="132"/>
        <w:rPr>
          <w:color w:val="auto"/>
        </w:rPr>
      </w:pPr>
      <w:r>
        <w:rPr>
          <w:rFonts w:hint="eastAsia"/>
          <w:color w:val="auto"/>
        </w:rPr>
        <w:t>（6）浇筑混凝土前清理灰尘和垃圾时，应减少扬尘，不应使用吹风器等易产生扬尘的设备。</w:t>
      </w:r>
    </w:p>
    <w:p w14:paraId="69E72344">
      <w:pPr>
        <w:pStyle w:val="132"/>
        <w:rPr>
          <w:color w:val="auto"/>
        </w:rPr>
      </w:pPr>
      <w:r>
        <w:rPr>
          <w:rFonts w:hint="eastAsia"/>
          <w:color w:val="auto"/>
        </w:rPr>
        <w:t>（7）</w:t>
      </w:r>
      <w:r>
        <w:rPr>
          <w:color w:val="auto"/>
        </w:rPr>
        <w:t>工程建设项目应当使用预拌混凝土、预拌砂浆或密闭搅拌，并设置防尘、除尘装置。不得露天搅拌混凝土、消化石灰、搅拌石灰土。尽量使用石材等成品或半成品，并进行组装施工，以减少石材和木制品切割造成的粉尘污染</w:t>
      </w:r>
      <w:r>
        <w:rPr>
          <w:rFonts w:hint="eastAsia"/>
          <w:color w:val="auto"/>
        </w:rPr>
        <w:t>。</w:t>
      </w:r>
    </w:p>
    <w:p w14:paraId="6340E103">
      <w:pPr>
        <w:pStyle w:val="132"/>
        <w:rPr>
          <w:color w:val="auto"/>
        </w:rPr>
      </w:pPr>
      <w:r>
        <w:rPr>
          <w:rFonts w:hint="eastAsia"/>
          <w:color w:val="auto"/>
        </w:rPr>
        <w:t>（8）</w:t>
      </w:r>
      <w:r>
        <w:rPr>
          <w:color w:val="auto"/>
        </w:rPr>
        <w:t>进出工地的物料、渣土、垃圾运输车辆，应采用密闭斗车，并保证物料不遗撒外漏。如无密闭车斗，物料、垃圾、渣土的装载高度不得超过车辆槽帮上沿，车斗应用苫布遮盖严实。苫布边缘至少要遮住槽帮上沿以下15cm，保证物料、渣土和垃圾等不露出。合理规划施工车辆运输路线，施工车辆应按照规定的路线和时间进行物料、渣土、垃圾的运输，不能随意更改车辆行驶路线</w:t>
      </w:r>
      <w:r>
        <w:rPr>
          <w:rFonts w:hint="eastAsia"/>
          <w:color w:val="auto"/>
        </w:rPr>
        <w:t>。</w:t>
      </w:r>
    </w:p>
    <w:p w14:paraId="4B050CDA">
      <w:pPr>
        <w:pStyle w:val="132"/>
        <w:rPr>
          <w:color w:val="auto"/>
        </w:rPr>
      </w:pPr>
      <w:r>
        <w:rPr>
          <w:rFonts w:hint="eastAsia"/>
          <w:color w:val="auto"/>
        </w:rPr>
        <w:t>（9）</w:t>
      </w:r>
      <w:r>
        <w:rPr>
          <w:color w:val="auto"/>
        </w:rPr>
        <w:t>施工时应在工地建筑结构脚手架外侧设置密目防尘网（不得低于2000目/100cm</w:t>
      </w:r>
      <w:r>
        <w:rPr>
          <w:color w:val="auto"/>
          <w:vertAlign w:val="superscript"/>
        </w:rPr>
        <w:t>2</w:t>
      </w:r>
      <w:r>
        <w:rPr>
          <w:color w:val="auto"/>
        </w:rPr>
        <w:t>）或防尘布</w:t>
      </w:r>
      <w:r>
        <w:rPr>
          <w:rFonts w:hint="eastAsia"/>
          <w:color w:val="auto"/>
        </w:rPr>
        <w:t>。</w:t>
      </w:r>
    </w:p>
    <w:p w14:paraId="1BCADC17">
      <w:pPr>
        <w:pStyle w:val="132"/>
        <w:rPr>
          <w:color w:val="auto"/>
        </w:rPr>
      </w:pPr>
      <w:r>
        <w:rPr>
          <w:rFonts w:hint="eastAsia"/>
          <w:color w:val="auto"/>
        </w:rPr>
        <w:t>（10）结构施工、安装装饰装修阶段，作业区目测扬尘高度小于0.5 m，施工现场非作业区达到目测无扬尘的要求。</w:t>
      </w:r>
    </w:p>
    <w:p w14:paraId="506A307A">
      <w:pPr>
        <w:pStyle w:val="132"/>
        <w:rPr>
          <w:color w:val="auto"/>
        </w:rPr>
      </w:pPr>
      <w:r>
        <w:rPr>
          <w:rFonts w:hint="eastAsia"/>
          <w:color w:val="auto"/>
        </w:rPr>
        <w:t>（11）</w:t>
      </w:r>
      <w:r>
        <w:rPr>
          <w:color w:val="auto"/>
        </w:rPr>
        <w:t>加强施工车辆进出管理。</w:t>
      </w:r>
      <w:r>
        <w:rPr>
          <w:rFonts w:hint="eastAsia"/>
          <w:color w:val="auto"/>
        </w:rPr>
        <w:t>加强建筑施工现场颗粒物排放控制。</w:t>
      </w:r>
    </w:p>
    <w:p w14:paraId="14D29529">
      <w:pPr>
        <w:pStyle w:val="132"/>
        <w:rPr>
          <w:color w:val="auto"/>
        </w:rPr>
      </w:pPr>
      <w:r>
        <w:rPr>
          <w:color w:val="auto"/>
        </w:rPr>
        <w:t>在采取上述措施后，扬尘不会对周围环境产生明显影响。</w:t>
      </w:r>
    </w:p>
    <w:p w14:paraId="6DB0FB64">
      <w:pPr>
        <w:pStyle w:val="5"/>
        <w:rPr>
          <w:color w:val="auto"/>
        </w:rPr>
      </w:pPr>
      <w:r>
        <w:rPr>
          <w:color w:val="auto"/>
        </w:rPr>
        <w:t>施工机械燃料废气污染防治措施</w:t>
      </w:r>
    </w:p>
    <w:p w14:paraId="39A91FB1">
      <w:pPr>
        <w:pStyle w:val="132"/>
        <w:rPr>
          <w:color w:val="auto"/>
        </w:rPr>
      </w:pPr>
      <w:r>
        <w:rPr>
          <w:color w:val="auto"/>
        </w:rPr>
        <w:t>施工</w:t>
      </w:r>
      <w:r>
        <w:rPr>
          <w:rFonts w:hint="eastAsia"/>
          <w:color w:val="auto"/>
        </w:rPr>
        <w:t>车辆、</w:t>
      </w:r>
      <w:r>
        <w:rPr>
          <w:color w:val="auto"/>
        </w:rPr>
        <w:t>机械燃料废气排放的主要污染物为一氧化碳、碳氢化合物、氮氧化物等，环评建议采取以下措施：</w:t>
      </w:r>
    </w:p>
    <w:p w14:paraId="2831A697">
      <w:pPr>
        <w:pStyle w:val="132"/>
        <w:rPr>
          <w:color w:val="auto"/>
        </w:rPr>
      </w:pPr>
      <w:r>
        <w:rPr>
          <w:rFonts w:hint="eastAsia"/>
          <w:color w:val="auto"/>
        </w:rPr>
        <w:t>（1）</w:t>
      </w:r>
      <w:r>
        <w:rPr>
          <w:color w:val="auto"/>
        </w:rPr>
        <w:t>施工机械</w:t>
      </w:r>
      <w:r>
        <w:rPr>
          <w:rFonts w:hint="eastAsia"/>
          <w:color w:val="auto"/>
        </w:rPr>
        <w:t>、车辆设备的尾气排放应符合GB 18352.5（轻型汽车污染物排放限值及测量方法（中国第五阶段））和GB 16297的规定。</w:t>
      </w:r>
    </w:p>
    <w:p w14:paraId="13D0A7CE">
      <w:pPr>
        <w:pStyle w:val="132"/>
        <w:rPr>
          <w:color w:val="auto"/>
        </w:rPr>
      </w:pPr>
      <w:r>
        <w:rPr>
          <w:rFonts w:hint="eastAsia"/>
          <w:color w:val="auto"/>
        </w:rPr>
        <w:t>（2）施工现场严禁焚烧各类废弃物。</w:t>
      </w:r>
    </w:p>
    <w:p w14:paraId="46C23F1C">
      <w:pPr>
        <w:pStyle w:val="132"/>
        <w:rPr>
          <w:color w:val="auto"/>
        </w:rPr>
      </w:pPr>
      <w:r>
        <w:rPr>
          <w:rFonts w:hint="eastAsia"/>
          <w:color w:val="auto"/>
        </w:rPr>
        <w:t>（3）</w:t>
      </w:r>
      <w:r>
        <w:rPr>
          <w:color w:val="auto"/>
        </w:rPr>
        <w:t>严格按照国家相关法规的要求，不使用或严格限制车辆尾气超标的施工车辆</w:t>
      </w:r>
      <w:r>
        <w:rPr>
          <w:rFonts w:hint="eastAsia"/>
          <w:color w:val="auto"/>
        </w:rPr>
        <w:t>。</w:t>
      </w:r>
    </w:p>
    <w:p w14:paraId="24FBF4A2">
      <w:pPr>
        <w:pStyle w:val="132"/>
        <w:rPr>
          <w:color w:val="auto"/>
        </w:rPr>
      </w:pPr>
      <w:r>
        <w:rPr>
          <w:rFonts w:hint="eastAsia"/>
          <w:color w:val="auto"/>
        </w:rPr>
        <w:t>（4）</w:t>
      </w:r>
      <w:r>
        <w:rPr>
          <w:color w:val="auto"/>
        </w:rPr>
        <w:t>加强对在用车的管理和维护保养，保持车辆处于良好运行状态，减少或消除车辆尾气对大气环境的污染</w:t>
      </w:r>
      <w:r>
        <w:rPr>
          <w:rFonts w:hint="eastAsia"/>
          <w:color w:val="auto"/>
        </w:rPr>
        <w:t>。</w:t>
      </w:r>
    </w:p>
    <w:p w14:paraId="70E4AE0F">
      <w:pPr>
        <w:pStyle w:val="132"/>
        <w:rPr>
          <w:color w:val="auto"/>
        </w:rPr>
      </w:pPr>
      <w:r>
        <w:rPr>
          <w:color w:val="auto"/>
        </w:rPr>
        <w:t>在采取上述措施后，施工机械燃料废气不会对周围大气环境产生明显影响。</w:t>
      </w:r>
    </w:p>
    <w:p w14:paraId="0FF67308">
      <w:pPr>
        <w:pStyle w:val="4"/>
        <w:rPr>
          <w:color w:val="auto"/>
        </w:rPr>
      </w:pPr>
      <w:r>
        <w:rPr>
          <w:rFonts w:hint="eastAsia"/>
          <w:color w:val="auto"/>
        </w:rPr>
        <w:t>施工期水环境保护措施</w:t>
      </w:r>
    </w:p>
    <w:p w14:paraId="7CA7BDDD">
      <w:pPr>
        <w:pStyle w:val="132"/>
        <w:rPr>
          <w:color w:val="auto"/>
        </w:rPr>
      </w:pPr>
      <w:r>
        <w:rPr>
          <w:rFonts w:hint="eastAsia"/>
          <w:color w:val="auto"/>
        </w:rPr>
        <w:t>（1）现场机具、设备、车辆冲洗、喷洒路面、绿化浇灌等用水，宜优先采用非传统水源，尽量不使用市政自来水。机具、设备及运输车辆清洗处应当设置沉淀池。废水不得直接排入市政污水管网，宜设立循环用水装置，经三级沉淀后循环使用或用于洒水降尘。</w:t>
      </w:r>
    </w:p>
    <w:p w14:paraId="4A2BBDD2">
      <w:pPr>
        <w:pStyle w:val="132"/>
        <w:rPr>
          <w:color w:val="auto"/>
        </w:rPr>
      </w:pPr>
      <w:r>
        <w:rPr>
          <w:rFonts w:hint="eastAsia"/>
          <w:color w:val="auto"/>
        </w:rPr>
        <w:t>（2）施工现场存放的油料和化学溶剂等物品应设有专门的库房，地面应做防渗漏处理。废弃的油料和化学溶剂应集中处理。</w:t>
      </w:r>
    </w:p>
    <w:p w14:paraId="0B1E08EB">
      <w:pPr>
        <w:pStyle w:val="132"/>
        <w:rPr>
          <w:color w:val="auto"/>
        </w:rPr>
      </w:pPr>
      <w:r>
        <w:rPr>
          <w:rFonts w:hint="eastAsia"/>
          <w:color w:val="auto"/>
        </w:rPr>
        <w:t>（3）食堂应设隔油池，并应及时清理。施工现场设置的临时厕所化粪池必须做抗渗处理。</w:t>
      </w:r>
    </w:p>
    <w:p w14:paraId="1A48DADE">
      <w:pPr>
        <w:pStyle w:val="132"/>
        <w:rPr>
          <w:color w:val="auto"/>
        </w:rPr>
      </w:pPr>
      <w:r>
        <w:rPr>
          <w:rFonts w:hint="eastAsia"/>
          <w:color w:val="auto"/>
        </w:rPr>
        <w:t>（4）食堂、盥洗室、淋浴间的下水管线必须设置过滤网，</w:t>
      </w:r>
      <w:r>
        <w:rPr>
          <w:color w:val="auto"/>
        </w:rPr>
        <w:t>经收集后一起</w:t>
      </w:r>
      <w:r>
        <w:rPr>
          <w:rFonts w:hint="eastAsia"/>
          <w:color w:val="auto"/>
        </w:rPr>
        <w:t>排入园区下水管网。</w:t>
      </w:r>
    </w:p>
    <w:p w14:paraId="780132AA">
      <w:pPr>
        <w:pStyle w:val="132"/>
        <w:rPr>
          <w:color w:val="auto"/>
        </w:rPr>
      </w:pPr>
      <w:r>
        <w:rPr>
          <w:rFonts w:hint="eastAsia"/>
          <w:color w:val="auto"/>
        </w:rPr>
        <w:t>（6）地基施工需要降水时，必须组织专家论证审查，经专家评审通过后，方可实施。</w:t>
      </w:r>
    </w:p>
    <w:p w14:paraId="6101908D">
      <w:pPr>
        <w:pStyle w:val="4"/>
        <w:rPr>
          <w:color w:val="auto"/>
        </w:rPr>
      </w:pPr>
      <w:r>
        <w:rPr>
          <w:rFonts w:hint="eastAsia"/>
          <w:color w:val="auto"/>
        </w:rPr>
        <w:t>施工期声环境保护措施</w:t>
      </w:r>
    </w:p>
    <w:p w14:paraId="1413678A">
      <w:pPr>
        <w:pStyle w:val="132"/>
        <w:rPr>
          <w:color w:val="auto"/>
        </w:rPr>
      </w:pPr>
      <w:r>
        <w:rPr>
          <w:color w:val="auto"/>
        </w:rPr>
        <w:t>针对项目施工噪声的环境影响，建议采取以下控制措施：</w:t>
      </w:r>
    </w:p>
    <w:p w14:paraId="4777C557">
      <w:pPr>
        <w:pStyle w:val="132"/>
        <w:rPr>
          <w:color w:val="auto"/>
        </w:rPr>
      </w:pPr>
      <w:r>
        <w:rPr>
          <w:color w:val="auto"/>
        </w:rPr>
        <w:t>（1）采用低噪音</w:t>
      </w:r>
      <w:r>
        <w:rPr>
          <w:rFonts w:hint="eastAsia"/>
          <w:color w:val="auto"/>
        </w:rPr>
        <w:t>、低振动的机具</w:t>
      </w:r>
      <w:r>
        <w:rPr>
          <w:color w:val="auto"/>
        </w:rPr>
        <w:t>设备</w:t>
      </w:r>
      <w:r>
        <w:rPr>
          <w:rFonts w:hint="eastAsia"/>
          <w:color w:val="auto"/>
        </w:rPr>
        <w:t>，并采取隔音与隔振措施</w:t>
      </w:r>
      <w:r>
        <w:rPr>
          <w:color w:val="auto"/>
        </w:rPr>
        <w:t>。施工中应当与施工单位签订合同，使用低噪声机械设备和运输工具，施工中应设专门人员进行养护维修，严格按照操作规范使用各类机械</w:t>
      </w:r>
      <w:r>
        <w:rPr>
          <w:rFonts w:hint="eastAsia"/>
          <w:color w:val="auto"/>
        </w:rPr>
        <w:t>。</w:t>
      </w:r>
    </w:p>
    <w:p w14:paraId="58DA7AE3">
      <w:pPr>
        <w:pStyle w:val="132"/>
        <w:rPr>
          <w:color w:val="auto"/>
        </w:rPr>
      </w:pPr>
      <w:r>
        <w:rPr>
          <w:color w:val="auto"/>
        </w:rPr>
        <w:t>（2）</w:t>
      </w:r>
      <w:r>
        <w:rPr>
          <w:rFonts w:hint="eastAsia"/>
          <w:color w:val="auto"/>
        </w:rPr>
        <w:t>施工现场的强噪声设备应设置在远离居民区的一侧，并采取降低噪声的措施。</w:t>
      </w:r>
    </w:p>
    <w:p w14:paraId="50A93FF7">
      <w:pPr>
        <w:pStyle w:val="132"/>
        <w:rPr>
          <w:color w:val="auto"/>
        </w:rPr>
      </w:pPr>
      <w:r>
        <w:rPr>
          <w:rFonts w:hint="eastAsia"/>
          <w:color w:val="auto"/>
        </w:rPr>
        <w:t>（3）施工作业时间必须严格遵守施工禁令时间规定。</w:t>
      </w:r>
      <w:r>
        <w:rPr>
          <w:color w:val="auto"/>
        </w:rPr>
        <w:t>合理安排工作时间，防止高噪声设备同时进行施工，桩基施工采用静压桩作业；在模板、支架的拆卸过程中应遵循作业规定，减少碰撞噪声，尽量少用哨子、喇叭等指挥，减少人为噪声；大型噪声设备应避免夜间使用，有特殊要求必须连续作业的，报当地人民政府并经批准或有当地环境保护主管部门的证明，并公告附近居民方可夜间施工作业</w:t>
      </w:r>
      <w:r>
        <w:rPr>
          <w:rFonts w:hint="eastAsia"/>
          <w:color w:val="auto"/>
        </w:rPr>
        <w:t>。</w:t>
      </w:r>
    </w:p>
    <w:p w14:paraId="0807B6FB">
      <w:pPr>
        <w:pStyle w:val="132"/>
        <w:rPr>
          <w:color w:val="auto"/>
        </w:rPr>
      </w:pPr>
      <w:r>
        <w:rPr>
          <w:color w:val="auto"/>
        </w:rPr>
        <w:t>（3）用隔声性能好的隔声构造，在施工场地范围周边设置隔音设施，将施工机械噪声源与周围环境敏感点隔离，使施工噪声控制在隔声构件之内，以减少噪声污染的范围和程度。按照有关规定，在每个施工段对作业区设置围挡，防止对周围敏感点的影响。</w:t>
      </w:r>
    </w:p>
    <w:p w14:paraId="2B038344">
      <w:pPr>
        <w:pStyle w:val="132"/>
        <w:rPr>
          <w:color w:val="auto"/>
        </w:rPr>
      </w:pPr>
      <w:r>
        <w:rPr>
          <w:color w:val="auto"/>
        </w:rPr>
        <w:t>（4）对施工车辆要严格管理。尽量压缩工区汽车数量和行车密度，控制汽车鸣笛；运输</w:t>
      </w:r>
      <w:r>
        <w:rPr>
          <w:rFonts w:hint="eastAsia"/>
          <w:color w:val="auto"/>
        </w:rPr>
        <w:t>材料</w:t>
      </w:r>
      <w:r>
        <w:rPr>
          <w:color w:val="auto"/>
        </w:rPr>
        <w:t>车辆使用低声级喇叭，并</w:t>
      </w:r>
      <w:r>
        <w:rPr>
          <w:rFonts w:hint="eastAsia"/>
          <w:color w:val="auto"/>
        </w:rPr>
        <w:t>严禁</w:t>
      </w:r>
      <w:r>
        <w:rPr>
          <w:color w:val="auto"/>
        </w:rPr>
        <w:t>鸣笛，</w:t>
      </w:r>
      <w:r>
        <w:rPr>
          <w:rFonts w:hint="eastAsia"/>
          <w:color w:val="auto"/>
        </w:rPr>
        <w:t>装卸材料应做到轻拿轻放</w:t>
      </w:r>
      <w:r>
        <w:rPr>
          <w:color w:val="auto"/>
        </w:rPr>
        <w:t>。</w:t>
      </w:r>
    </w:p>
    <w:p w14:paraId="40CF9781">
      <w:pPr>
        <w:pStyle w:val="132"/>
        <w:rPr>
          <w:color w:val="auto"/>
        </w:rPr>
      </w:pPr>
      <w:r>
        <w:rPr>
          <w:color w:val="auto"/>
        </w:rPr>
        <w:t>（5）做好劳动保护工作，让在噪声源附近操作的作业人员</w:t>
      </w:r>
      <w:r>
        <w:rPr>
          <w:rFonts w:hint="eastAsia"/>
          <w:color w:val="auto"/>
        </w:rPr>
        <w:t>佩戴</w:t>
      </w:r>
      <w:r>
        <w:rPr>
          <w:color w:val="auto"/>
        </w:rPr>
        <w:t>防护耳塞。</w:t>
      </w:r>
    </w:p>
    <w:p w14:paraId="76F3F47F">
      <w:pPr>
        <w:pStyle w:val="132"/>
        <w:rPr>
          <w:color w:val="auto"/>
        </w:rPr>
      </w:pPr>
      <w:r>
        <w:rPr>
          <w:color w:val="auto"/>
        </w:rPr>
        <w:t>在采取相应措施并加以科学严格的管理下，根据国内多个文明施工现场的调查，施工</w:t>
      </w:r>
      <w:r>
        <w:rPr>
          <w:rFonts w:hint="eastAsia"/>
          <w:color w:val="auto"/>
        </w:rPr>
        <w:t>期间</w:t>
      </w:r>
      <w:r>
        <w:rPr>
          <w:color w:val="auto"/>
        </w:rPr>
        <w:t>噪声对外环境造成的污染不大，且这种影响仅是暂时性的，随着施工作业结束，影响将立即消失。</w:t>
      </w:r>
    </w:p>
    <w:p w14:paraId="07F794AA">
      <w:pPr>
        <w:pStyle w:val="4"/>
        <w:rPr>
          <w:color w:val="auto"/>
        </w:rPr>
      </w:pPr>
      <w:r>
        <w:rPr>
          <w:rFonts w:hint="eastAsia"/>
          <w:color w:val="auto"/>
        </w:rPr>
        <w:t>施工期固体废物防治措施</w:t>
      </w:r>
    </w:p>
    <w:p w14:paraId="400F0038">
      <w:pPr>
        <w:pStyle w:val="132"/>
        <w:rPr>
          <w:color w:val="auto"/>
        </w:rPr>
      </w:pPr>
      <w:r>
        <w:rPr>
          <w:color w:val="auto"/>
        </w:rPr>
        <w:t>针对项目施工产生的建筑垃圾和施工队伍产生的生活垃圾，按照</w:t>
      </w:r>
      <w:r>
        <w:rPr>
          <w:rFonts w:hint="eastAsia"/>
          <w:color w:val="auto"/>
        </w:rPr>
        <w:t>“</w:t>
      </w:r>
      <w:r>
        <w:rPr>
          <w:color w:val="auto"/>
        </w:rPr>
        <w:t>减量化、资源化、无害化</w:t>
      </w:r>
      <w:r>
        <w:rPr>
          <w:rFonts w:hint="eastAsia"/>
          <w:color w:val="auto"/>
        </w:rPr>
        <w:t>”</w:t>
      </w:r>
      <w:r>
        <w:rPr>
          <w:color w:val="auto"/>
        </w:rPr>
        <w:t>的原则，建议采取以下措施：</w:t>
      </w:r>
    </w:p>
    <w:p w14:paraId="1A88429B">
      <w:pPr>
        <w:pStyle w:val="132"/>
        <w:rPr>
          <w:color w:val="auto"/>
        </w:rPr>
      </w:pPr>
      <w:r>
        <w:rPr>
          <w:color w:val="auto"/>
        </w:rPr>
        <w:t>（1）制定</w:t>
      </w:r>
      <w:r>
        <w:rPr>
          <w:rFonts w:hint="eastAsia"/>
          <w:color w:val="auto"/>
        </w:rPr>
        <w:t>建筑垃圾</w:t>
      </w:r>
      <w:r>
        <w:rPr>
          <w:color w:val="auto"/>
        </w:rPr>
        <w:t>减废计划，</w:t>
      </w:r>
      <w:r>
        <w:rPr>
          <w:rFonts w:hint="eastAsia"/>
          <w:color w:val="auto"/>
        </w:rPr>
        <w:t>按照不同的建筑施工内容，核定建筑垃圾排放量，对建筑垃圾进行分类统计</w:t>
      </w:r>
      <w:r>
        <w:rPr>
          <w:color w:val="auto"/>
        </w:rPr>
        <w:t>等</w:t>
      </w:r>
      <w:r>
        <w:rPr>
          <w:rFonts w:hint="eastAsia"/>
          <w:color w:val="auto"/>
        </w:rPr>
        <w:t>。</w:t>
      </w:r>
    </w:p>
    <w:p w14:paraId="786FFB1D">
      <w:pPr>
        <w:pStyle w:val="132"/>
        <w:rPr>
          <w:color w:val="auto"/>
        </w:rPr>
      </w:pPr>
      <w:r>
        <w:rPr>
          <w:color w:val="auto"/>
        </w:rPr>
        <w:t>（2）采用低废物量的建筑设计及技术。倡导建筑从简、均衡的挖填设计、标准化设计和预制组件的使用，加强原料的管理和使用，减少废物的产生量</w:t>
      </w:r>
      <w:r>
        <w:rPr>
          <w:rFonts w:hint="eastAsia"/>
          <w:color w:val="auto"/>
        </w:rPr>
        <w:t>。</w:t>
      </w:r>
    </w:p>
    <w:p w14:paraId="7B017A52">
      <w:pPr>
        <w:pStyle w:val="132"/>
        <w:rPr>
          <w:color w:val="auto"/>
        </w:rPr>
      </w:pPr>
      <w:r>
        <w:rPr>
          <w:color w:val="auto"/>
        </w:rPr>
        <w:t>（3）施工期产生的固体废物应进行分类收集</w:t>
      </w:r>
      <w:r>
        <w:rPr>
          <w:rFonts w:hint="eastAsia"/>
          <w:color w:val="auto"/>
        </w:rPr>
        <w:t>。加强建筑垃圾的回收再利用，对于碎石类、土石方类建筑垃圾，宜采用地基填埋、铺路等方式提高再利用率，</w:t>
      </w:r>
      <w:r>
        <w:rPr>
          <w:color w:val="auto"/>
        </w:rPr>
        <w:t>生活垃圾应及时交由环卫部门统一清运处置</w:t>
      </w:r>
      <w:r>
        <w:rPr>
          <w:rFonts w:hint="eastAsia"/>
          <w:color w:val="auto"/>
        </w:rPr>
        <w:t>。</w:t>
      </w:r>
    </w:p>
    <w:p w14:paraId="02BEA67C">
      <w:pPr>
        <w:pStyle w:val="132"/>
        <w:rPr>
          <w:color w:val="auto"/>
        </w:rPr>
      </w:pPr>
      <w:r>
        <w:rPr>
          <w:rFonts w:hint="eastAsia"/>
          <w:color w:val="auto"/>
        </w:rPr>
        <w:t>（4）施工现场生活区必须设置封闭式垃圾容器，施工场地生活垃圾必须实行分类处理应符合GB18599规定，应日产日清；有毒有害废弃物处理应按照GB18597的规定，不能作为建筑垃圾外运，严禁污染土壤和地下水。</w:t>
      </w:r>
    </w:p>
    <w:p w14:paraId="67059EEA">
      <w:pPr>
        <w:pStyle w:val="132"/>
        <w:rPr>
          <w:color w:val="auto"/>
        </w:rPr>
      </w:pPr>
      <w:r>
        <w:rPr>
          <w:color w:val="auto"/>
        </w:rPr>
        <w:t>（</w:t>
      </w:r>
      <w:r>
        <w:rPr>
          <w:rFonts w:hint="eastAsia"/>
          <w:color w:val="auto"/>
        </w:rPr>
        <w:t>5</w:t>
      </w:r>
      <w:r>
        <w:rPr>
          <w:color w:val="auto"/>
        </w:rPr>
        <w:t>）在工程竣工后，施工单位应拆除各种临时施工设施，并负责将工地的剩余建筑垃圾、工程渣土处理干净，做到“工完、料尽、场地清”，建设单位应负责督促施工单位的固体废弃物处置清理工作。</w:t>
      </w:r>
    </w:p>
    <w:p w14:paraId="5DAE55DE">
      <w:pPr>
        <w:pStyle w:val="4"/>
        <w:rPr>
          <w:color w:val="auto"/>
        </w:rPr>
      </w:pPr>
      <w:r>
        <w:rPr>
          <w:rFonts w:hint="eastAsia"/>
          <w:color w:val="auto"/>
        </w:rPr>
        <w:t>施工期生态保护措施</w:t>
      </w:r>
    </w:p>
    <w:p w14:paraId="042114D9">
      <w:pPr>
        <w:pStyle w:val="132"/>
        <w:rPr>
          <w:color w:val="auto"/>
        </w:rPr>
      </w:pPr>
      <w:r>
        <w:rPr>
          <w:color w:val="auto"/>
        </w:rPr>
        <w:t>针对项目产生的生态环境影响，建议采取以下措施：</w:t>
      </w:r>
    </w:p>
    <w:p w14:paraId="04296B3A">
      <w:pPr>
        <w:pStyle w:val="132"/>
        <w:rPr>
          <w:color w:val="auto"/>
        </w:rPr>
      </w:pPr>
      <w:r>
        <w:rPr>
          <w:color w:val="auto"/>
        </w:rPr>
        <w:t>（1）合理划定施工活动范围，严格控制和管理运输车辆及重型机械按指定线路行驶，不得离开运输道路随意行驶，应由专人负责，以防破坏土壤和植被，引发水土流失</w:t>
      </w:r>
      <w:r>
        <w:rPr>
          <w:rFonts w:hint="eastAsia"/>
          <w:color w:val="auto"/>
        </w:rPr>
        <w:t>。</w:t>
      </w:r>
    </w:p>
    <w:p w14:paraId="440351DC">
      <w:pPr>
        <w:pStyle w:val="132"/>
        <w:rPr>
          <w:color w:val="auto"/>
        </w:rPr>
      </w:pPr>
      <w:r>
        <w:rPr>
          <w:color w:val="auto"/>
        </w:rPr>
        <w:t>（2）</w:t>
      </w:r>
      <w:r>
        <w:rPr>
          <w:rFonts w:hint="eastAsia"/>
          <w:color w:val="auto"/>
        </w:rPr>
        <w:t>施工现场应采取</w:t>
      </w:r>
      <w:r>
        <w:rPr>
          <w:color w:val="auto"/>
        </w:rPr>
        <w:t>分层开挖、分层堆放、分层填埋</w:t>
      </w:r>
      <w:r>
        <w:rPr>
          <w:rFonts w:hint="eastAsia"/>
          <w:color w:val="auto"/>
        </w:rPr>
        <w:t>等保护地表环境措施，防止土壤侵蚀、流失</w:t>
      </w:r>
      <w:r>
        <w:rPr>
          <w:color w:val="auto"/>
        </w:rPr>
        <w:t>，对有肥力的剥离表层土分层堆放并保存好，以便恢复植被</w:t>
      </w:r>
      <w:r>
        <w:rPr>
          <w:rFonts w:hint="eastAsia"/>
          <w:color w:val="auto"/>
        </w:rPr>
        <w:t>。</w:t>
      </w:r>
    </w:p>
    <w:p w14:paraId="4E682AD4">
      <w:pPr>
        <w:pStyle w:val="132"/>
        <w:rPr>
          <w:color w:val="auto"/>
        </w:rPr>
      </w:pPr>
      <w:r>
        <w:rPr>
          <w:color w:val="auto"/>
        </w:rPr>
        <w:t>（3）科学合理规划，施工临时设施如砂浆拌合站、机修厂、设备停放场、施工营地等应设置在项目永久占地内，避开植被生长良好处，避免在占地范围外进行布设，以防破坏土壤和植被，引发水土流失</w:t>
      </w:r>
      <w:r>
        <w:rPr>
          <w:rFonts w:hint="eastAsia"/>
          <w:color w:val="auto"/>
        </w:rPr>
        <w:t>。</w:t>
      </w:r>
    </w:p>
    <w:p w14:paraId="0D3FF2EA">
      <w:pPr>
        <w:pStyle w:val="132"/>
        <w:rPr>
          <w:color w:val="auto"/>
        </w:rPr>
      </w:pPr>
      <w:r>
        <w:rPr>
          <w:rFonts w:hint="eastAsia"/>
          <w:color w:val="auto"/>
        </w:rPr>
        <w:t>（4）施工时应减少土方开挖、回填量和堆放占用土地，最大限度地减少对土地的扰动；在工程结束后用开挖土方及时进行回填，应尽量做到平衡，宜采取原土回填。</w:t>
      </w:r>
    </w:p>
    <w:p w14:paraId="6956C410">
      <w:pPr>
        <w:pStyle w:val="132"/>
        <w:rPr>
          <w:color w:val="auto"/>
        </w:rPr>
      </w:pPr>
      <w:r>
        <w:rPr>
          <w:rFonts w:hint="eastAsia"/>
          <w:color w:val="auto"/>
        </w:rPr>
        <w:t>（5）施工现场应利用和保护施工用地范围内原有绿色植被。对施工活动造成裸土与植被破坏的情况，宜种植当地或其他合适的植物，以恢复空地地貌，减少土壤侵蚀。</w:t>
      </w:r>
    </w:p>
    <w:p w14:paraId="40AC7779">
      <w:pPr>
        <w:pStyle w:val="132"/>
        <w:rPr>
          <w:color w:val="auto"/>
        </w:rPr>
      </w:pPr>
      <w:r>
        <w:rPr>
          <w:color w:val="auto"/>
        </w:rPr>
        <w:t>（6）合理设定施工场地外的交通运输道路，避开植被生长良好地带，以防破坏土壤和植被</w:t>
      </w:r>
      <w:r>
        <w:rPr>
          <w:rFonts w:hint="eastAsia"/>
          <w:color w:val="auto"/>
        </w:rPr>
        <w:t>。</w:t>
      </w:r>
    </w:p>
    <w:p w14:paraId="337038BF">
      <w:pPr>
        <w:pStyle w:val="132"/>
        <w:rPr>
          <w:color w:val="auto"/>
        </w:rPr>
      </w:pPr>
      <w:r>
        <w:rPr>
          <w:color w:val="auto"/>
        </w:rPr>
        <w:t>（</w:t>
      </w:r>
      <w:r>
        <w:rPr>
          <w:rFonts w:hint="eastAsia"/>
          <w:color w:val="auto"/>
        </w:rPr>
        <w:t>7</w:t>
      </w:r>
      <w:r>
        <w:rPr>
          <w:color w:val="auto"/>
        </w:rPr>
        <w:t>）科学设计工程建筑和装饰，确保厂区工业景观与周边景观相协调。</w:t>
      </w:r>
    </w:p>
    <w:p w14:paraId="733DBE6A">
      <w:pPr>
        <w:pStyle w:val="3"/>
        <w:rPr>
          <w:color w:val="auto"/>
        </w:rPr>
      </w:pPr>
      <w:bookmarkStart w:id="356" w:name="_Toc229930152"/>
      <w:r>
        <w:rPr>
          <w:color w:val="auto"/>
        </w:rPr>
        <w:t>大气环境保护与防治措施</w:t>
      </w:r>
      <w:bookmarkEnd w:id="349"/>
      <w:bookmarkEnd w:id="350"/>
      <w:bookmarkEnd w:id="351"/>
      <w:bookmarkEnd w:id="352"/>
      <w:bookmarkEnd w:id="353"/>
      <w:bookmarkEnd w:id="354"/>
      <w:bookmarkEnd w:id="355"/>
      <w:bookmarkEnd w:id="356"/>
    </w:p>
    <w:p w14:paraId="22BEF034">
      <w:pPr>
        <w:pStyle w:val="4"/>
        <w:rPr>
          <w:color w:val="auto"/>
        </w:rPr>
      </w:pPr>
      <w:r>
        <w:rPr>
          <w:rFonts w:hint="eastAsia"/>
          <w:color w:val="auto"/>
        </w:rPr>
        <w:t>有组织废气</w:t>
      </w:r>
      <w:r>
        <w:rPr>
          <w:color w:val="auto"/>
        </w:rPr>
        <w:t>处理设施</w:t>
      </w:r>
    </w:p>
    <w:p w14:paraId="1211D2EF">
      <w:pPr>
        <w:pStyle w:val="5"/>
        <w:rPr>
          <w:color w:val="auto"/>
        </w:rPr>
      </w:pPr>
      <w:r>
        <w:rPr>
          <w:rFonts w:hint="eastAsia"/>
          <w:color w:val="auto"/>
        </w:rPr>
        <w:t>危险废物有组织废气处理措施</w:t>
      </w:r>
    </w:p>
    <w:p w14:paraId="50D5DEB5">
      <w:pPr>
        <w:pStyle w:val="132"/>
        <w:rPr>
          <w:color w:val="auto"/>
        </w:rPr>
      </w:pPr>
      <w:r>
        <w:rPr>
          <w:rFonts w:hint="eastAsia"/>
          <w:color w:val="auto"/>
        </w:rPr>
        <w:t>危险废物处置废气主要来自氨水使用过程中含氨废气（</w:t>
      </w:r>
      <w:r>
        <w:rPr>
          <w:color w:val="auto"/>
        </w:rPr>
        <w:t>G</w:t>
      </w:r>
      <w:r>
        <w:rPr>
          <w:color w:val="auto"/>
          <w:vertAlign w:val="subscript"/>
        </w:rPr>
        <w:t>1</w:t>
      </w:r>
      <w:r>
        <w:rPr>
          <w:rFonts w:hint="eastAsia"/>
          <w:color w:val="auto"/>
          <w:vertAlign w:val="superscript"/>
        </w:rPr>
        <w:t>①</w:t>
      </w:r>
      <w:r>
        <w:rPr>
          <w:rFonts w:hint="eastAsia"/>
          <w:color w:val="auto"/>
        </w:rPr>
        <w:t>～</w:t>
      </w:r>
      <w:r>
        <w:rPr>
          <w:color w:val="auto"/>
        </w:rPr>
        <w:t>G</w:t>
      </w:r>
      <w:r>
        <w:rPr>
          <w:color w:val="auto"/>
          <w:vertAlign w:val="subscript"/>
        </w:rPr>
        <w:t>1</w:t>
      </w:r>
      <w:r>
        <w:rPr>
          <w:rFonts w:hint="eastAsia"/>
          <w:color w:val="auto"/>
          <w:vertAlign w:val="superscript"/>
        </w:rPr>
        <w:t>⑦</w:t>
      </w:r>
      <w:r>
        <w:rPr>
          <w:rFonts w:hint="eastAsia"/>
          <w:color w:val="auto"/>
        </w:rPr>
        <w:t>），主要含氨，统一收集后通过水洗处理，通过DA001排放口排放；硫酸铵干燥废气（G2）和硫酸铵包装废气（G</w:t>
      </w:r>
      <w:r>
        <w:rPr>
          <w:rFonts w:hint="eastAsia"/>
          <w:color w:val="auto"/>
          <w:vertAlign w:val="subscript"/>
        </w:rPr>
        <w:t>3</w:t>
      </w:r>
      <w:r>
        <w:rPr>
          <w:rFonts w:hint="eastAsia"/>
          <w:color w:val="auto"/>
        </w:rPr>
        <w:t>）主要含有颗粒物和氨，分别采用布袋除尘器处理，处理后废气合并经过DA002排气筒排放；鼓泡反应器产生的少量二氧化碳气（</w:t>
      </w:r>
      <w:r>
        <w:rPr>
          <w:color w:val="auto"/>
        </w:rPr>
        <w:t>G</w:t>
      </w:r>
      <w:r>
        <w:rPr>
          <w:color w:val="auto"/>
          <w:vertAlign w:val="subscript"/>
        </w:rPr>
        <w:t>4</w:t>
      </w:r>
      <w:r>
        <w:rPr>
          <w:rFonts w:hint="eastAsia"/>
          <w:color w:val="auto"/>
          <w:vertAlign w:val="superscript"/>
        </w:rPr>
        <w:t>①</w:t>
      </w:r>
      <w:r>
        <w:rPr>
          <w:rFonts w:hint="eastAsia"/>
          <w:color w:val="auto"/>
        </w:rPr>
        <w:t>、G</w:t>
      </w:r>
      <w:r>
        <w:rPr>
          <w:rFonts w:hint="eastAsia"/>
          <w:color w:val="auto"/>
          <w:vertAlign w:val="subscript"/>
        </w:rPr>
        <w:t>4</w:t>
      </w:r>
      <w:r>
        <w:rPr>
          <w:rFonts w:hint="eastAsia"/>
          <w:color w:val="auto"/>
          <w:vertAlign w:val="superscript"/>
        </w:rPr>
        <w:t>②</w:t>
      </w:r>
      <w:r>
        <w:rPr>
          <w:rFonts w:hint="eastAsia"/>
          <w:color w:val="auto"/>
        </w:rPr>
        <w:t>）含有微量的硫化氢，收集后通过DA003排放口排放，碳酸钠干燥废气（G</w:t>
      </w:r>
      <w:r>
        <w:rPr>
          <w:rFonts w:hint="eastAsia"/>
          <w:color w:val="auto"/>
          <w:vertAlign w:val="subscript"/>
        </w:rPr>
        <w:t>5</w:t>
      </w:r>
      <w:r>
        <w:rPr>
          <w:rFonts w:hint="eastAsia"/>
          <w:color w:val="auto"/>
        </w:rPr>
        <w:t>）和碳酸钠包装废气（G</w:t>
      </w:r>
      <w:r>
        <w:rPr>
          <w:rFonts w:hint="eastAsia"/>
          <w:color w:val="auto"/>
          <w:vertAlign w:val="subscript"/>
        </w:rPr>
        <w:t>6</w:t>
      </w:r>
      <w:r>
        <w:rPr>
          <w:rFonts w:hint="eastAsia"/>
          <w:color w:val="auto"/>
        </w:rPr>
        <w:t>）主要含有颗粒物，分别采用布袋除尘器处理，处理后废气合并经过DA004排放口排放；水铝石干燥废气（G</w:t>
      </w:r>
      <w:r>
        <w:rPr>
          <w:rFonts w:hint="eastAsia"/>
          <w:color w:val="auto"/>
          <w:vertAlign w:val="subscript"/>
        </w:rPr>
        <w:t>7</w:t>
      </w:r>
      <w:r>
        <w:rPr>
          <w:rFonts w:hint="eastAsia"/>
          <w:color w:val="auto"/>
        </w:rPr>
        <w:t>）和水铝石包装废气（G</w:t>
      </w:r>
      <w:r>
        <w:rPr>
          <w:rFonts w:hint="eastAsia"/>
          <w:color w:val="auto"/>
          <w:vertAlign w:val="subscript"/>
        </w:rPr>
        <w:t>8</w:t>
      </w:r>
      <w:r>
        <w:rPr>
          <w:rFonts w:hint="eastAsia"/>
          <w:color w:val="auto"/>
        </w:rPr>
        <w:t>），主要含有颗粒物，分别经过布袋除尘器处理后通过DA005排放口排放。</w:t>
      </w:r>
    </w:p>
    <w:p w14:paraId="37CDB553">
      <w:pPr>
        <w:pStyle w:val="5"/>
        <w:rPr>
          <w:color w:val="auto"/>
        </w:rPr>
      </w:pPr>
      <w:r>
        <w:rPr>
          <w:rFonts w:hint="eastAsia"/>
          <w:color w:val="auto"/>
        </w:rPr>
        <w:t>催化剂生产有组织废气处理措施</w:t>
      </w:r>
    </w:p>
    <w:p w14:paraId="69B1F662">
      <w:pPr>
        <w:pStyle w:val="132"/>
        <w:ind w:left="566" w:firstLine="0" w:firstLineChars="0"/>
        <w:rPr>
          <w:color w:val="auto"/>
        </w:rPr>
      </w:pPr>
      <w:r>
        <w:rPr>
          <w:rFonts w:hint="eastAsia"/>
          <w:color w:val="auto"/>
        </w:rPr>
        <w:t>（1）催化剂生产干燥废气（</w:t>
      </w:r>
      <w:r>
        <w:rPr>
          <w:color w:val="auto"/>
        </w:rPr>
        <w:t>G</w:t>
      </w:r>
      <w:r>
        <w:rPr>
          <w:color w:val="auto"/>
          <w:vertAlign w:val="subscript"/>
        </w:rPr>
        <w:t>10</w:t>
      </w:r>
      <w:r>
        <w:rPr>
          <w:rFonts w:hint="eastAsia"/>
          <w:color w:val="auto"/>
        </w:rPr>
        <w:t>、</w:t>
      </w:r>
      <w:r>
        <w:rPr>
          <w:color w:val="auto"/>
        </w:rPr>
        <w:t>G</w:t>
      </w:r>
      <w:r>
        <w:rPr>
          <w:color w:val="auto"/>
          <w:vertAlign w:val="subscript"/>
        </w:rPr>
        <w:t>11</w:t>
      </w:r>
      <w:r>
        <w:rPr>
          <w:rFonts w:hint="eastAsia"/>
          <w:color w:val="auto"/>
        </w:rPr>
        <w:t>、</w:t>
      </w:r>
      <w:r>
        <w:rPr>
          <w:color w:val="auto"/>
        </w:rPr>
        <w:t>G</w:t>
      </w:r>
      <w:r>
        <w:rPr>
          <w:color w:val="auto"/>
          <w:vertAlign w:val="subscript"/>
        </w:rPr>
        <w:t>12</w:t>
      </w:r>
      <w:r>
        <w:rPr>
          <w:rFonts w:hint="eastAsia"/>
          <w:color w:val="auto"/>
        </w:rPr>
        <w:t>、</w:t>
      </w:r>
      <w:r>
        <w:rPr>
          <w:color w:val="auto"/>
        </w:rPr>
        <w:t>G</w:t>
      </w:r>
      <w:r>
        <w:rPr>
          <w:color w:val="auto"/>
          <w:vertAlign w:val="subscript"/>
        </w:rPr>
        <w:t>13</w:t>
      </w:r>
      <w:r>
        <w:rPr>
          <w:rFonts w:hint="eastAsia"/>
          <w:color w:val="auto"/>
        </w:rPr>
        <w:t>）</w:t>
      </w:r>
    </w:p>
    <w:p w14:paraId="6B460782">
      <w:pPr>
        <w:pStyle w:val="132"/>
        <w:ind w:firstLine="566" w:firstLineChars="236"/>
        <w:rPr>
          <w:color w:val="auto"/>
        </w:rPr>
      </w:pPr>
      <w:r>
        <w:rPr>
          <w:rFonts w:hint="eastAsia"/>
          <w:color w:val="auto"/>
        </w:rPr>
        <w:t>催化剂生产干燥废气主要包括载体干燥废气（</w:t>
      </w:r>
      <w:r>
        <w:rPr>
          <w:color w:val="auto"/>
        </w:rPr>
        <w:t>G</w:t>
      </w:r>
      <w:r>
        <w:rPr>
          <w:color w:val="auto"/>
          <w:vertAlign w:val="subscript"/>
        </w:rPr>
        <w:t>10</w:t>
      </w:r>
      <w:r>
        <w:rPr>
          <w:rFonts w:hint="eastAsia"/>
          <w:color w:val="auto"/>
        </w:rPr>
        <w:t>）、浸渍干燥废气（</w:t>
      </w:r>
      <w:r>
        <w:rPr>
          <w:color w:val="auto"/>
        </w:rPr>
        <w:t>G</w:t>
      </w:r>
      <w:r>
        <w:rPr>
          <w:color w:val="auto"/>
          <w:vertAlign w:val="subscript"/>
        </w:rPr>
        <w:t>12</w:t>
      </w:r>
      <w:r>
        <w:rPr>
          <w:rFonts w:hint="eastAsia"/>
          <w:color w:val="auto"/>
        </w:rPr>
        <w:t>），同时干燥利用载体焙烧和催化剂焙烧燃烧器燃烧过程中的燃烧废气（</w:t>
      </w:r>
      <w:r>
        <w:rPr>
          <w:color w:val="auto"/>
        </w:rPr>
        <w:t>G</w:t>
      </w:r>
      <w:r>
        <w:rPr>
          <w:color w:val="auto"/>
          <w:vertAlign w:val="subscript"/>
        </w:rPr>
        <w:t>11</w:t>
      </w:r>
      <w:r>
        <w:rPr>
          <w:rFonts w:hint="eastAsia"/>
          <w:color w:val="auto"/>
        </w:rPr>
        <w:t>、</w:t>
      </w:r>
      <w:r>
        <w:rPr>
          <w:color w:val="auto"/>
        </w:rPr>
        <w:t>G</w:t>
      </w:r>
      <w:r>
        <w:rPr>
          <w:color w:val="auto"/>
          <w:vertAlign w:val="subscript"/>
        </w:rPr>
        <w:t>13</w:t>
      </w:r>
      <w:r>
        <w:rPr>
          <w:rFonts w:hint="eastAsia"/>
          <w:color w:val="auto"/>
        </w:rPr>
        <w:t>），废气中主要是水汽，含有少量的颗粒物、二氧化硫、氮氧化物，汇集后通过</w:t>
      </w:r>
      <w:r>
        <w:rPr>
          <w:color w:val="auto"/>
        </w:rPr>
        <w:t>DA006</w:t>
      </w:r>
      <w:r>
        <w:rPr>
          <w:rFonts w:hint="eastAsia"/>
          <w:color w:val="auto"/>
        </w:rPr>
        <w:t>排放口排放。</w:t>
      </w:r>
    </w:p>
    <w:p w14:paraId="789AF45E">
      <w:pPr>
        <w:pStyle w:val="132"/>
        <w:ind w:left="566" w:firstLine="0" w:firstLineChars="0"/>
        <w:rPr>
          <w:color w:val="auto"/>
        </w:rPr>
      </w:pPr>
      <w:r>
        <w:rPr>
          <w:rFonts w:hint="eastAsia"/>
          <w:color w:val="auto"/>
        </w:rPr>
        <w:t>（2）催化剂生产焙烧废气（</w:t>
      </w:r>
      <w:r>
        <w:rPr>
          <w:color w:val="auto"/>
        </w:rPr>
        <w:t>G</w:t>
      </w:r>
      <w:r>
        <w:rPr>
          <w:color w:val="auto"/>
          <w:vertAlign w:val="subscript"/>
        </w:rPr>
        <w:t>14</w:t>
      </w:r>
      <w:r>
        <w:rPr>
          <w:rFonts w:hint="eastAsia"/>
          <w:color w:val="auto"/>
        </w:rPr>
        <w:t>、</w:t>
      </w:r>
      <w:r>
        <w:rPr>
          <w:color w:val="auto"/>
        </w:rPr>
        <w:t>G</w:t>
      </w:r>
      <w:r>
        <w:rPr>
          <w:color w:val="auto"/>
          <w:vertAlign w:val="subscript"/>
        </w:rPr>
        <w:t>15</w:t>
      </w:r>
      <w:r>
        <w:rPr>
          <w:rFonts w:hint="eastAsia"/>
          <w:color w:val="auto"/>
        </w:rPr>
        <w:t>）</w:t>
      </w:r>
    </w:p>
    <w:p w14:paraId="6B9DBAF3">
      <w:pPr>
        <w:pStyle w:val="132"/>
        <w:ind w:firstLine="566" w:firstLineChars="236"/>
        <w:rPr>
          <w:color w:val="auto"/>
        </w:rPr>
      </w:pPr>
      <w:r>
        <w:rPr>
          <w:rFonts w:hint="eastAsia"/>
          <w:color w:val="auto"/>
        </w:rPr>
        <w:t>催化剂生产焙烧废气主要包括载体焙烧废气和催化剂焙烧废气，焙烧废气存在化学反应，废气中含有颗粒物、氮氧化物、钴及其化合物、钼及其化合物、镍及其化合物、锰及其化合物、铜及其化合物、锆及其化合物，经过</w:t>
      </w:r>
      <w:r>
        <w:rPr>
          <w:color w:val="auto"/>
        </w:rPr>
        <w:t>SCR</w:t>
      </w:r>
      <w:r>
        <w:rPr>
          <w:rFonts w:hint="eastAsia"/>
          <w:color w:val="auto"/>
        </w:rPr>
        <w:t>脱硝处理后再经过布袋除尘处理，通过</w:t>
      </w:r>
      <w:r>
        <w:rPr>
          <w:color w:val="auto"/>
        </w:rPr>
        <w:t>DA007</w:t>
      </w:r>
      <w:r>
        <w:rPr>
          <w:rFonts w:hint="eastAsia"/>
          <w:color w:val="auto"/>
        </w:rPr>
        <w:t>排放后排放。</w:t>
      </w:r>
    </w:p>
    <w:p w14:paraId="1D19DF69">
      <w:pPr>
        <w:pStyle w:val="132"/>
        <w:ind w:left="566" w:firstLine="0" w:firstLineChars="0"/>
        <w:rPr>
          <w:color w:val="auto"/>
        </w:rPr>
      </w:pPr>
      <w:r>
        <w:rPr>
          <w:rFonts w:hint="eastAsia"/>
          <w:color w:val="auto"/>
        </w:rPr>
        <w:t>（3）催化剂生产筛分包装废气（</w:t>
      </w:r>
      <w:r>
        <w:rPr>
          <w:color w:val="auto"/>
        </w:rPr>
        <w:t>G</w:t>
      </w:r>
      <w:r>
        <w:rPr>
          <w:color w:val="auto"/>
          <w:vertAlign w:val="subscript"/>
        </w:rPr>
        <w:t>9</w:t>
      </w:r>
      <w:r>
        <w:rPr>
          <w:rFonts w:hint="eastAsia"/>
          <w:color w:val="auto"/>
        </w:rPr>
        <w:t>、</w:t>
      </w:r>
      <w:r>
        <w:rPr>
          <w:color w:val="auto"/>
        </w:rPr>
        <w:t>G</w:t>
      </w:r>
      <w:r>
        <w:rPr>
          <w:color w:val="auto"/>
          <w:vertAlign w:val="subscript"/>
        </w:rPr>
        <w:t>16</w:t>
      </w:r>
      <w:r>
        <w:rPr>
          <w:rFonts w:hint="eastAsia"/>
          <w:color w:val="auto"/>
        </w:rPr>
        <w:t>）</w:t>
      </w:r>
    </w:p>
    <w:p w14:paraId="049C7E9D">
      <w:pPr>
        <w:pStyle w:val="132"/>
        <w:ind w:firstLine="566" w:firstLineChars="236"/>
        <w:rPr>
          <w:color w:val="auto"/>
        </w:rPr>
      </w:pPr>
      <w:r>
        <w:rPr>
          <w:rFonts w:hint="eastAsia"/>
          <w:color w:val="auto"/>
        </w:rPr>
        <w:t>催化剂生产载体筛分、催化剂筛分包装过程中产生颗粒物，均通过布袋除尘器处理后通过</w:t>
      </w:r>
      <w:r>
        <w:rPr>
          <w:color w:val="auto"/>
        </w:rPr>
        <w:t>DA005</w:t>
      </w:r>
      <w:r>
        <w:rPr>
          <w:rFonts w:hint="eastAsia"/>
          <w:color w:val="auto"/>
        </w:rPr>
        <w:t>排放口排放。</w:t>
      </w:r>
    </w:p>
    <w:p w14:paraId="02B1FABF">
      <w:pPr>
        <w:pStyle w:val="5"/>
        <w:rPr>
          <w:color w:val="auto"/>
        </w:rPr>
      </w:pPr>
      <w:r>
        <w:rPr>
          <w:color w:val="auto"/>
        </w:rPr>
        <w:t>除尘措施可行性分析</w:t>
      </w:r>
    </w:p>
    <w:p w14:paraId="00ED1D39">
      <w:pPr>
        <w:pStyle w:val="132"/>
        <w:rPr>
          <w:color w:val="auto"/>
        </w:rPr>
      </w:pPr>
      <w:r>
        <w:rPr>
          <w:color w:val="auto"/>
        </w:rPr>
        <w:t>本项目在生产工艺装置各粉尘产生点优先采用抑尘措施控制粉尘产生，采用袋式除尘器处理后达标排放。其中项目气化装置、原煤储运系统等的所有粉尘产生点均采用布袋除尘器处理后达标排放。</w:t>
      </w:r>
    </w:p>
    <w:p w14:paraId="2386D127">
      <w:pPr>
        <w:pStyle w:val="132"/>
        <w:rPr>
          <w:color w:val="auto"/>
        </w:rPr>
      </w:pPr>
      <w:r>
        <w:rPr>
          <w:rFonts w:hint="eastAsia"/>
          <w:color w:val="auto"/>
        </w:rPr>
        <w:t>（1）</w:t>
      </w:r>
      <w:r>
        <w:rPr>
          <w:color w:val="auto"/>
        </w:rPr>
        <w:t>工作原理</w:t>
      </w:r>
    </w:p>
    <w:p w14:paraId="06128D8C">
      <w:pPr>
        <w:pStyle w:val="132"/>
        <w:rPr>
          <w:color w:val="auto"/>
        </w:rPr>
      </w:pPr>
      <w:r>
        <w:rPr>
          <w:color w:val="auto"/>
        </w:rPr>
        <w:t>袋式除尘器是高效除尘设备之一。布袋除尘器的工作机理是含尘废气通过过滤材料，尘粒被过滤下来，过滤材料捕集粗粒粉尘主要靠惯性碰撞作用，捕集细粒粉尘主要靠扩散和筛分作用。</w:t>
      </w:r>
    </w:p>
    <w:p w14:paraId="10CCE607">
      <w:pPr>
        <w:pStyle w:val="132"/>
        <w:rPr>
          <w:color w:val="auto"/>
        </w:rPr>
      </w:pPr>
      <w:r>
        <w:rPr>
          <w:color w:val="auto"/>
        </w:rPr>
        <w:t>据查有关资料，影响袋式除尘器除尘效率的主要是粉尘粒径。对于1μm的尘粒，其分级除尘效率可达98%。对于大于3μm的尘粒，可以稳定地获得99.9%以上的除尘效率。</w:t>
      </w:r>
    </w:p>
    <w:p w14:paraId="1FA1522E">
      <w:pPr>
        <w:jc w:val="center"/>
        <w:rPr>
          <w:color w:val="auto"/>
        </w:rPr>
      </w:pPr>
      <w:r>
        <w:rPr>
          <w:rFonts w:hint="eastAsia"/>
          <w:color w:val="auto"/>
        </w:rPr>
        <w:drawing>
          <wp:inline distT="0" distB="0" distL="0" distR="0">
            <wp:extent cx="2809875" cy="2266950"/>
            <wp:effectExtent l="0" t="0" r="9525" b="0"/>
            <wp:docPr id="98204033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334" name="图片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809875" cy="2266950"/>
                    </a:xfrm>
                    <a:prstGeom prst="rect">
                      <a:avLst/>
                    </a:prstGeom>
                    <a:noFill/>
                    <a:ln>
                      <a:noFill/>
                    </a:ln>
                  </pic:spPr>
                </pic:pic>
              </a:graphicData>
            </a:graphic>
          </wp:inline>
        </w:drawing>
      </w:r>
    </w:p>
    <w:p w14:paraId="0ADA7050">
      <w:pPr>
        <w:jc w:val="center"/>
        <w:rPr>
          <w:color w:val="auto"/>
        </w:rPr>
      </w:pPr>
      <w:r>
        <w:rPr>
          <w:rFonts w:hint="eastAsia"/>
          <w:color w:val="auto"/>
        </w:rPr>
        <w:t>1—积尘的滤料；2—振打后的滤料；3—洁净滤料</w:t>
      </w:r>
    </w:p>
    <w:p w14:paraId="791374BA">
      <w:pPr>
        <w:pStyle w:val="1060"/>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不同粒径粉尘的去除效率图</w:t>
      </w:r>
    </w:p>
    <w:p w14:paraId="7A720CF3">
      <w:pPr>
        <w:rPr>
          <w:color w:val="auto"/>
        </w:rPr>
      </w:pPr>
    </w:p>
    <w:p w14:paraId="0467B4CD">
      <w:pPr>
        <w:pStyle w:val="132"/>
        <w:rPr>
          <w:color w:val="auto"/>
        </w:rPr>
      </w:pPr>
      <w:r>
        <w:rPr>
          <w:rFonts w:hint="eastAsia"/>
          <w:color w:val="auto"/>
        </w:rPr>
        <w:t>（2）</w:t>
      </w:r>
      <w:r>
        <w:rPr>
          <w:color w:val="auto"/>
        </w:rPr>
        <w:t>优点</w:t>
      </w:r>
    </w:p>
    <w:p w14:paraId="198FCCF4">
      <w:pPr>
        <w:pStyle w:val="132"/>
        <w:rPr>
          <w:color w:val="auto"/>
        </w:rPr>
      </w:pPr>
      <w:r>
        <w:rPr>
          <w:color w:val="auto"/>
        </w:rPr>
        <w:t>布袋除尘器属于过滤式除尘器，在钢铁、水泥、化工、电力等行业得到</w:t>
      </w:r>
      <w:r>
        <w:rPr>
          <w:rFonts w:hint="eastAsia"/>
          <w:color w:val="auto"/>
          <w:lang w:eastAsia="zh-CN"/>
        </w:rPr>
        <w:t>广泛</w:t>
      </w:r>
      <w:r>
        <w:rPr>
          <w:color w:val="auto"/>
        </w:rPr>
        <w:t>应用，具有成熟稳定、技术先进、安全可靠、经济合理等优点，具体优点是：</w:t>
      </w:r>
    </w:p>
    <w:p w14:paraId="3CB6741F">
      <w:pPr>
        <w:pStyle w:val="132"/>
        <w:numPr>
          <w:ilvl w:val="0"/>
          <w:numId w:val="24"/>
        </w:numPr>
        <w:ind w:firstLineChars="0"/>
        <w:rPr>
          <w:color w:val="auto"/>
        </w:rPr>
      </w:pPr>
      <w:r>
        <w:rPr>
          <w:color w:val="auto"/>
        </w:rPr>
        <w:t>除尘效率高，对微细粒子的除尘效率可达99%以上；</w:t>
      </w:r>
    </w:p>
    <w:p w14:paraId="3E91AE0A">
      <w:pPr>
        <w:pStyle w:val="132"/>
        <w:numPr>
          <w:ilvl w:val="0"/>
          <w:numId w:val="24"/>
        </w:numPr>
        <w:ind w:firstLineChars="0"/>
        <w:rPr>
          <w:color w:val="auto"/>
        </w:rPr>
      </w:pPr>
      <w:r>
        <w:rPr>
          <w:color w:val="auto"/>
        </w:rPr>
        <w:t>适应性强，对各类性质的粉尘都有很高的除尘效率，如高比阻粉尘和高浓度粉尘等；</w:t>
      </w:r>
    </w:p>
    <w:p w14:paraId="75CE9B3C">
      <w:pPr>
        <w:pStyle w:val="132"/>
        <w:numPr>
          <w:ilvl w:val="0"/>
          <w:numId w:val="24"/>
        </w:numPr>
        <w:ind w:firstLineChars="0"/>
        <w:rPr>
          <w:color w:val="auto"/>
        </w:rPr>
      </w:pPr>
      <w:r>
        <w:rPr>
          <w:color w:val="auto"/>
        </w:rPr>
        <w:t>处理风量范围广，对于小风量和大风量均可处理；</w:t>
      </w:r>
    </w:p>
    <w:p w14:paraId="12263254">
      <w:pPr>
        <w:pStyle w:val="132"/>
        <w:numPr>
          <w:ilvl w:val="0"/>
          <w:numId w:val="24"/>
        </w:numPr>
        <w:ind w:firstLineChars="0"/>
        <w:rPr>
          <w:color w:val="auto"/>
        </w:rPr>
      </w:pPr>
      <w:r>
        <w:rPr>
          <w:color w:val="auto"/>
        </w:rPr>
        <w:t>结构简单，操作方便，占地面积小；</w:t>
      </w:r>
    </w:p>
    <w:p w14:paraId="5E6578C9">
      <w:pPr>
        <w:pStyle w:val="132"/>
        <w:numPr>
          <w:ilvl w:val="0"/>
          <w:numId w:val="24"/>
        </w:numPr>
        <w:ind w:firstLineChars="0"/>
        <w:rPr>
          <w:color w:val="auto"/>
        </w:rPr>
      </w:pPr>
      <w:r>
        <w:rPr>
          <w:color w:val="auto"/>
        </w:rPr>
        <w:t>捕集的干粉尘便于回收利用，没有水污染及污泥处理等问题。</w:t>
      </w:r>
    </w:p>
    <w:p w14:paraId="75D7A0AA">
      <w:pPr>
        <w:pStyle w:val="132"/>
        <w:rPr>
          <w:color w:val="auto"/>
        </w:rPr>
      </w:pPr>
      <w:r>
        <w:rPr>
          <w:rFonts w:hint="eastAsia"/>
          <w:color w:val="auto"/>
        </w:rPr>
        <w:t>（3）</w:t>
      </w:r>
      <w:r>
        <w:rPr>
          <w:color w:val="auto"/>
        </w:rPr>
        <w:t>适用范围</w:t>
      </w:r>
    </w:p>
    <w:p w14:paraId="6C3B9E4E">
      <w:pPr>
        <w:pStyle w:val="132"/>
        <w:rPr>
          <w:color w:val="auto"/>
        </w:rPr>
      </w:pPr>
      <w:r>
        <w:rPr>
          <w:color w:val="auto"/>
        </w:rPr>
        <w:t>根据《</w:t>
      </w:r>
      <w:r>
        <w:rPr>
          <w:rFonts w:hint="eastAsia"/>
          <w:color w:val="auto"/>
        </w:rPr>
        <w:t>袋式除尘工程通用技术规范</w:t>
      </w:r>
      <w:r>
        <w:rPr>
          <w:color w:val="auto"/>
        </w:rPr>
        <w:t>》HJ 2020-2012，袋式除尘器工艺适用于各种风量下的含尘气体净化。以下场合和要求下应优先采用袋式除尘工艺：</w:t>
      </w:r>
    </w:p>
    <w:p w14:paraId="4634FC9D">
      <w:pPr>
        <w:pStyle w:val="132"/>
        <w:rPr>
          <w:color w:val="auto"/>
        </w:rPr>
      </w:pPr>
      <w:r>
        <w:rPr>
          <w:color w:val="auto"/>
        </w:rPr>
        <w:t>粉尘排放浓度限值</w:t>
      </w:r>
      <w:r>
        <w:rPr>
          <w:rFonts w:hint="eastAsia"/>
          <w:color w:val="auto"/>
          <w:lang w:val="en-US" w:eastAsia="zh-CN"/>
        </w:rPr>
        <w:t>＜</w:t>
      </w:r>
      <w:r>
        <w:rPr>
          <w:color w:val="auto"/>
        </w:rPr>
        <w:t xml:space="preserve"> 30mg/m</w:t>
      </w:r>
      <w:r>
        <w:rPr>
          <w:color w:val="auto"/>
          <w:vertAlign w:val="superscript"/>
        </w:rPr>
        <w:t>3</w:t>
      </w:r>
      <w:r>
        <w:rPr>
          <w:color w:val="auto"/>
        </w:rPr>
        <w:t>（标态干排气）；</w:t>
      </w:r>
    </w:p>
    <w:p w14:paraId="79CBEAA0">
      <w:pPr>
        <w:pStyle w:val="132"/>
        <w:numPr>
          <w:ilvl w:val="0"/>
          <w:numId w:val="25"/>
        </w:numPr>
        <w:ind w:firstLineChars="0"/>
        <w:rPr>
          <w:color w:val="auto"/>
        </w:rPr>
      </w:pPr>
      <w:r>
        <w:rPr>
          <w:color w:val="auto"/>
        </w:rPr>
        <w:t>高效捕集微细粒子；</w:t>
      </w:r>
    </w:p>
    <w:p w14:paraId="1EF4E2EE">
      <w:pPr>
        <w:pStyle w:val="132"/>
        <w:numPr>
          <w:ilvl w:val="0"/>
          <w:numId w:val="25"/>
        </w:numPr>
        <w:ind w:firstLineChars="0"/>
        <w:rPr>
          <w:color w:val="auto"/>
        </w:rPr>
      </w:pPr>
      <w:r>
        <w:rPr>
          <w:color w:val="auto"/>
        </w:rPr>
        <w:t>含尘空气的净化；</w:t>
      </w:r>
    </w:p>
    <w:p w14:paraId="33B28008">
      <w:pPr>
        <w:pStyle w:val="132"/>
        <w:numPr>
          <w:ilvl w:val="0"/>
          <w:numId w:val="25"/>
        </w:numPr>
        <w:ind w:firstLineChars="0"/>
        <w:rPr>
          <w:color w:val="auto"/>
        </w:rPr>
      </w:pPr>
      <w:r>
        <w:rPr>
          <w:color w:val="auto"/>
        </w:rPr>
        <w:t>炉窑烟气的净化；</w:t>
      </w:r>
    </w:p>
    <w:p w14:paraId="61E675E4">
      <w:pPr>
        <w:pStyle w:val="132"/>
        <w:numPr>
          <w:ilvl w:val="0"/>
          <w:numId w:val="25"/>
        </w:numPr>
        <w:ind w:firstLineChars="0"/>
        <w:rPr>
          <w:color w:val="auto"/>
        </w:rPr>
      </w:pPr>
      <w:r>
        <w:rPr>
          <w:color w:val="auto"/>
        </w:rPr>
        <w:t>粉尘具有回收价值，可综合利用；</w:t>
      </w:r>
    </w:p>
    <w:p w14:paraId="61459480">
      <w:pPr>
        <w:pStyle w:val="132"/>
        <w:numPr>
          <w:ilvl w:val="0"/>
          <w:numId w:val="25"/>
        </w:numPr>
        <w:ind w:firstLineChars="0"/>
        <w:rPr>
          <w:color w:val="auto"/>
        </w:rPr>
      </w:pPr>
      <w:r>
        <w:rPr>
          <w:color w:val="auto"/>
        </w:rPr>
        <w:t>水资源缺乏或严寒地区；</w:t>
      </w:r>
    </w:p>
    <w:p w14:paraId="455EE930">
      <w:pPr>
        <w:pStyle w:val="132"/>
        <w:numPr>
          <w:ilvl w:val="0"/>
          <w:numId w:val="25"/>
        </w:numPr>
        <w:ind w:firstLineChars="0"/>
        <w:rPr>
          <w:color w:val="auto"/>
        </w:rPr>
      </w:pPr>
      <w:r>
        <w:rPr>
          <w:color w:val="auto"/>
        </w:rPr>
        <w:t>垃圾焚烧烟气净化；</w:t>
      </w:r>
    </w:p>
    <w:p w14:paraId="6524A57C">
      <w:pPr>
        <w:pStyle w:val="132"/>
        <w:numPr>
          <w:ilvl w:val="0"/>
          <w:numId w:val="25"/>
        </w:numPr>
        <w:ind w:firstLineChars="0"/>
        <w:rPr>
          <w:color w:val="auto"/>
        </w:rPr>
      </w:pPr>
      <w:r>
        <w:rPr>
          <w:color w:val="auto"/>
        </w:rPr>
        <w:t>高比电阻粉尘或粉尘浓度波动较大；</w:t>
      </w:r>
    </w:p>
    <w:p w14:paraId="49ED7816">
      <w:pPr>
        <w:pStyle w:val="132"/>
        <w:numPr>
          <w:ilvl w:val="0"/>
          <w:numId w:val="25"/>
        </w:numPr>
        <w:ind w:firstLineChars="0"/>
        <w:rPr>
          <w:color w:val="auto"/>
        </w:rPr>
      </w:pPr>
      <w:r>
        <w:rPr>
          <w:color w:val="auto"/>
        </w:rPr>
        <w:t>净化后气体循环利用</w:t>
      </w:r>
      <w:r>
        <w:rPr>
          <w:rFonts w:hint="eastAsia"/>
          <w:color w:val="auto"/>
        </w:rPr>
        <w:t>。</w:t>
      </w:r>
    </w:p>
    <w:p w14:paraId="3624CF5E">
      <w:pPr>
        <w:pStyle w:val="132"/>
        <w:rPr>
          <w:color w:val="auto"/>
        </w:rPr>
      </w:pPr>
      <w:r>
        <w:rPr>
          <w:rFonts w:hint="eastAsia"/>
          <w:color w:val="auto"/>
        </w:rPr>
        <w:t>（4）</w:t>
      </w:r>
      <w:r>
        <w:rPr>
          <w:color w:val="auto"/>
        </w:rPr>
        <w:t>性能参数</w:t>
      </w:r>
    </w:p>
    <w:p w14:paraId="3D3407CA">
      <w:pPr>
        <w:pStyle w:val="132"/>
        <w:rPr>
          <w:color w:val="auto"/>
        </w:rPr>
      </w:pPr>
      <w:r>
        <w:rPr>
          <w:color w:val="auto"/>
        </w:rPr>
        <w:t>布袋除尘器的滤袋、滤袋框架、电磁脉冲阀、覆膜滤料等需要满足环境保护产品技术要求，烟尘捕集效率≥99.8%，设备阻力＜1200Pa， 过滤速度≥1.0m/min，滤袋寿命≥3年， 烟尘排放浓度低于</w:t>
      </w:r>
      <w:r>
        <w:rPr>
          <w:rFonts w:hint="eastAsia"/>
          <w:color w:val="auto"/>
        </w:rPr>
        <w:t>1</w:t>
      </w:r>
      <w:r>
        <w:rPr>
          <w:color w:val="auto"/>
        </w:rPr>
        <w:t>0 mg/Nm</w:t>
      </w:r>
      <w:r>
        <w:rPr>
          <w:color w:val="auto"/>
          <w:vertAlign w:val="superscript"/>
        </w:rPr>
        <w:t>3</w:t>
      </w:r>
      <w:r>
        <w:rPr>
          <w:color w:val="auto"/>
        </w:rPr>
        <w:t>。</w:t>
      </w:r>
    </w:p>
    <w:p w14:paraId="101BA488">
      <w:pPr>
        <w:pStyle w:val="132"/>
        <w:rPr>
          <w:color w:val="auto"/>
        </w:rPr>
      </w:pPr>
      <w:r>
        <w:rPr>
          <w:rFonts w:hint="eastAsia"/>
          <w:color w:val="auto"/>
        </w:rPr>
        <w:t>（5）</w:t>
      </w:r>
      <w:r>
        <w:rPr>
          <w:color w:val="auto"/>
        </w:rPr>
        <w:t>可行性</w:t>
      </w:r>
    </w:p>
    <w:p w14:paraId="0F83A836">
      <w:pPr>
        <w:pStyle w:val="132"/>
        <w:rPr>
          <w:color w:val="auto"/>
        </w:rPr>
      </w:pPr>
      <w:r>
        <w:rPr>
          <w:color w:val="auto"/>
        </w:rPr>
        <w:t>项目原辅料的粒径大于3μm，使用布袋除尘器除尘效率可达到99</w:t>
      </w:r>
      <w:r>
        <w:rPr>
          <w:rFonts w:hint="eastAsia"/>
          <w:color w:val="auto"/>
        </w:rPr>
        <w:t>.5</w:t>
      </w:r>
      <w:r>
        <w:rPr>
          <w:color w:val="auto"/>
        </w:rPr>
        <w:t>%以上，因此，选用袋式除尘器适合本项目含尘尾气的处理，符合《</w:t>
      </w:r>
      <w:r>
        <w:rPr>
          <w:rFonts w:hint="eastAsia"/>
          <w:color w:val="auto"/>
        </w:rPr>
        <w:t>袋式除尘工程通用技术规范</w:t>
      </w:r>
      <w:r>
        <w:rPr>
          <w:color w:val="auto"/>
        </w:rPr>
        <w:t>》（HJ2020-2012）的要求，</w:t>
      </w:r>
      <w:r>
        <w:rPr>
          <w:rFonts w:hint="eastAsia"/>
          <w:color w:val="auto"/>
        </w:rPr>
        <w:t>经核算，颗粒物排放满足《无机化学工业污染物排放标准》（GB31573-2015）及修改单 表4 大气污染物特别排放限值</w:t>
      </w:r>
      <w:r>
        <w:rPr>
          <w:color w:val="auto"/>
        </w:rPr>
        <w:t>，经济上合理，技术是可行的。</w:t>
      </w:r>
    </w:p>
    <w:p w14:paraId="48D8D8F0">
      <w:pPr>
        <w:pStyle w:val="5"/>
        <w:rPr>
          <w:color w:val="auto"/>
        </w:rPr>
      </w:pPr>
      <w:r>
        <w:rPr>
          <w:color w:val="auto"/>
        </w:rPr>
        <w:t>氮氧化物污染控制措施可行性分析</w:t>
      </w:r>
    </w:p>
    <w:p w14:paraId="4207474E">
      <w:pPr>
        <w:pStyle w:val="132"/>
        <w:rPr>
          <w:color w:val="auto"/>
          <w:lang w:bidi="en-US"/>
        </w:rPr>
      </w:pPr>
      <w:r>
        <w:rPr>
          <w:rFonts w:hint="eastAsia"/>
          <w:color w:val="auto"/>
          <w:lang w:bidi="en-US"/>
        </w:rPr>
        <w:t>（1）低氮燃烧技术</w:t>
      </w:r>
    </w:p>
    <w:p w14:paraId="2C474631">
      <w:pPr>
        <w:pStyle w:val="132"/>
        <w:rPr>
          <w:color w:val="auto"/>
        </w:rPr>
      </w:pPr>
      <w:r>
        <w:rPr>
          <w:rFonts w:hint="eastAsia"/>
          <w:color w:val="auto"/>
          <w:lang w:bidi="en-US"/>
        </w:rPr>
        <w:t>目前</w:t>
      </w:r>
      <w:r>
        <w:rPr>
          <w:color w:val="auto"/>
          <w:lang w:bidi="en-US"/>
        </w:rPr>
        <w:t>，</w:t>
      </w:r>
      <w:r>
        <w:rPr>
          <w:rFonts w:hint="eastAsia"/>
          <w:color w:val="auto"/>
          <w:lang w:bidi="en-US"/>
        </w:rPr>
        <w:t>低氮</w:t>
      </w:r>
      <w:r>
        <w:rPr>
          <w:color w:val="auto"/>
          <w:lang w:bidi="en-US"/>
        </w:rPr>
        <w:t>燃烧</w:t>
      </w:r>
      <w:r>
        <w:rPr>
          <w:rFonts w:hint="eastAsia"/>
          <w:color w:val="auto"/>
          <w:lang w:bidi="en-US"/>
        </w:rPr>
        <w:t>技术是指分级燃烧+烟气再</w:t>
      </w:r>
      <w:r>
        <w:rPr>
          <w:color w:val="auto"/>
          <w:lang w:bidi="en-US"/>
        </w:rPr>
        <w:t>循环</w:t>
      </w:r>
      <w:r>
        <w:rPr>
          <w:rFonts w:hint="eastAsia"/>
          <w:color w:val="auto"/>
          <w:lang w:bidi="en-US"/>
        </w:rPr>
        <w:t>的燃烧</w:t>
      </w:r>
      <w:r>
        <w:rPr>
          <w:color w:val="auto"/>
          <w:lang w:bidi="en-US"/>
        </w:rPr>
        <w:t>技术</w:t>
      </w:r>
      <w:r>
        <w:rPr>
          <w:rFonts w:hint="eastAsia"/>
          <w:color w:val="auto"/>
          <w:lang w:bidi="en-US"/>
        </w:rPr>
        <w:t>；</w:t>
      </w:r>
      <w:r>
        <w:rPr>
          <w:color w:val="auto"/>
          <w:lang w:bidi="en-US"/>
        </w:rPr>
        <w:t>超低氮燃烧技术是</w:t>
      </w:r>
      <w:r>
        <w:rPr>
          <w:rFonts w:hint="eastAsia"/>
          <w:color w:val="auto"/>
          <w:lang w:bidi="en-US"/>
        </w:rPr>
        <w:t>指基于分级</w:t>
      </w:r>
      <w:r>
        <w:rPr>
          <w:color w:val="auto"/>
          <w:lang w:bidi="en-US"/>
        </w:rPr>
        <w:t>燃烧、烟气再循环、</w:t>
      </w:r>
      <w:r>
        <w:rPr>
          <w:rFonts w:hint="eastAsia"/>
          <w:color w:val="auto"/>
          <w:lang w:bidi="en-US"/>
        </w:rPr>
        <w:t>贫燃</w:t>
      </w:r>
      <w:r>
        <w:rPr>
          <w:color w:val="auto"/>
          <w:lang w:bidi="en-US"/>
        </w:rPr>
        <w:t>预混等低氮燃烧技术的深度开发和技术合成的燃烧技术。</w:t>
      </w:r>
    </w:p>
    <w:p w14:paraId="455C8AE2">
      <w:pPr>
        <w:pStyle w:val="132"/>
        <w:numPr>
          <w:ilvl w:val="0"/>
          <w:numId w:val="26"/>
        </w:numPr>
        <w:ind w:firstLineChars="0"/>
        <w:rPr>
          <w:color w:val="auto"/>
        </w:rPr>
      </w:pPr>
      <w:r>
        <w:rPr>
          <w:rFonts w:hint="eastAsia"/>
          <w:color w:val="auto"/>
        </w:rPr>
        <w:t>分级燃烧技术</w:t>
      </w:r>
    </w:p>
    <w:p w14:paraId="0A48EC14">
      <w:pPr>
        <w:pStyle w:val="132"/>
        <w:rPr>
          <w:color w:val="auto"/>
        </w:rPr>
      </w:pPr>
      <w:r>
        <w:rPr>
          <w:rFonts w:hint="eastAsia"/>
          <w:color w:val="auto"/>
        </w:rPr>
        <w:t>热力型NOx生成很大程度上取决于燃烧温度。燃烧温度在当量比接近1时下达到最高，在贫燃或者富燃的情况下进行燃烧，燃烧温度会下降很多。运用该原理开发出了分级燃烧技术。分级燃烧大致可分为空气分级、燃料分级以及空气分级与燃料分级叠加技术三类。其基本原理是在系统空燃比不变的条件下，将燃烧用风或燃料分阶段送入炉膛，避开当量比条件下的最高燃烧温度，减少热力型NOx的生成，从而降低NOx生成浓度。采用分级</w:t>
      </w:r>
      <w:r>
        <w:rPr>
          <w:color w:val="auto"/>
        </w:rPr>
        <w:t>燃</w:t>
      </w:r>
      <w:r>
        <w:rPr>
          <w:rFonts w:hint="eastAsia"/>
          <w:color w:val="auto"/>
        </w:rPr>
        <w:t>烧</w:t>
      </w:r>
      <w:r>
        <w:rPr>
          <w:color w:val="auto"/>
        </w:rPr>
        <w:t>控制技术</w:t>
      </w:r>
      <w:r>
        <w:rPr>
          <w:rFonts w:hint="eastAsia"/>
          <w:color w:val="auto"/>
        </w:rPr>
        <w:t>，烟气中NO</w:t>
      </w:r>
      <w:r>
        <w:rPr>
          <w:rFonts w:hint="eastAsia"/>
          <w:color w:val="auto"/>
          <w:vertAlign w:val="subscript"/>
        </w:rPr>
        <w:t>X</w:t>
      </w:r>
      <w:r>
        <w:rPr>
          <w:rFonts w:hint="eastAsia"/>
          <w:color w:val="auto"/>
        </w:rPr>
        <w:t>产生</w:t>
      </w:r>
      <w:r>
        <w:rPr>
          <w:color w:val="auto"/>
        </w:rPr>
        <w:t>浓度</w:t>
      </w:r>
      <w:r>
        <w:rPr>
          <w:rFonts w:hint="eastAsia"/>
          <w:color w:val="auto"/>
        </w:rPr>
        <w:t>≤</w:t>
      </w:r>
      <w:r>
        <w:rPr>
          <w:color w:val="auto"/>
        </w:rPr>
        <w:t>8</w:t>
      </w:r>
      <w:r>
        <w:rPr>
          <w:rFonts w:hint="eastAsia"/>
          <w:color w:val="auto"/>
        </w:rPr>
        <w:t>0</w:t>
      </w:r>
      <w:r>
        <w:rPr>
          <w:color w:val="auto"/>
        </w:rPr>
        <w:t xml:space="preserve"> </w:t>
      </w:r>
      <w:r>
        <w:rPr>
          <w:rFonts w:hint="eastAsia"/>
          <w:color w:val="auto"/>
        </w:rPr>
        <w:t>mg/m</w:t>
      </w:r>
      <w:r>
        <w:rPr>
          <w:rFonts w:hint="eastAsia"/>
          <w:color w:val="auto"/>
          <w:vertAlign w:val="superscript"/>
        </w:rPr>
        <w:t>3</w:t>
      </w:r>
      <w:r>
        <w:rPr>
          <w:rFonts w:hint="eastAsia"/>
          <w:color w:val="auto"/>
        </w:rPr>
        <w:t>。</w:t>
      </w:r>
    </w:p>
    <w:p w14:paraId="2A9564ED">
      <w:pPr>
        <w:pStyle w:val="132"/>
        <w:rPr>
          <w:color w:val="auto"/>
        </w:rPr>
      </w:pPr>
      <w:r>
        <w:rPr>
          <w:rFonts w:hint="eastAsia"/>
          <w:color w:val="auto"/>
        </w:rPr>
        <w:t>②贫</w:t>
      </w:r>
      <w:r>
        <w:rPr>
          <w:color w:val="auto"/>
        </w:rPr>
        <w:t>燃预混燃烧技术</w:t>
      </w:r>
    </w:p>
    <w:p w14:paraId="404DB1A3">
      <w:pPr>
        <w:pStyle w:val="132"/>
        <w:rPr>
          <w:color w:val="auto"/>
        </w:rPr>
      </w:pPr>
      <w:r>
        <w:rPr>
          <w:rStyle w:val="1719"/>
          <w:rFonts w:hint="default"/>
          <w:color w:val="auto"/>
        </w:rPr>
        <w:t xml:space="preserve">贫燃预混是将燃烧所需的过量空气全部混入燃气再进行燃烧的方式，即混合物点燃之前燃料与氧化剂在分子层面上完全混合，从而避免化学浓度的局部均匀，在燃烧区域里利用过量空气降低火焰温度，从而使热力型 </w:t>
      </w:r>
      <w:r>
        <w:rPr>
          <w:rStyle w:val="1840"/>
          <w:rFonts w:hint="default"/>
          <w:color w:val="auto"/>
        </w:rPr>
        <w:t xml:space="preserve">NOx </w:t>
      </w:r>
      <w:r>
        <w:rPr>
          <w:rStyle w:val="1719"/>
          <w:rFonts w:hint="default"/>
          <w:color w:val="auto"/>
        </w:rPr>
        <w:t>的生成量大大减少。</w:t>
      </w:r>
      <w:r>
        <w:rPr>
          <w:color w:val="auto"/>
        </w:rPr>
        <w:t>燃预混燃烧技术的特点是火焰短</w:t>
      </w:r>
      <w:r>
        <w:rPr>
          <w:rFonts w:hint="eastAsia"/>
          <w:color w:val="auto"/>
        </w:rPr>
        <w:t>，</w:t>
      </w:r>
      <w:r>
        <w:rPr>
          <w:color w:val="auto"/>
        </w:rPr>
        <w:t>附着于燃烧表面，但稳定性较差，稳定</w:t>
      </w:r>
      <w:r>
        <w:rPr>
          <w:rFonts w:hint="eastAsia"/>
          <w:color w:val="auto"/>
        </w:rPr>
        <w:br w:type="textWrapping"/>
      </w:r>
      <w:r>
        <w:rPr>
          <w:color w:val="auto"/>
        </w:rPr>
        <w:t>燃烧的范围较小， 必须采用防止离焰与回火的稳焰措施。 该技术</w:t>
      </w:r>
      <w:r>
        <w:rPr>
          <w:rFonts w:hint="eastAsia"/>
          <w:color w:val="auto"/>
        </w:rPr>
        <w:t>在</w:t>
      </w:r>
      <w:r>
        <w:rPr>
          <w:color w:val="auto"/>
        </w:rPr>
        <w:t>分级燃烧的</w:t>
      </w:r>
      <w:r>
        <w:rPr>
          <w:rFonts w:hint="eastAsia"/>
          <w:color w:val="auto"/>
        </w:rPr>
        <w:t>基础</w:t>
      </w:r>
      <w:r>
        <w:rPr>
          <w:color w:val="auto"/>
        </w:rPr>
        <w:t>上可将燃气锅炉的NOx浓度控制在30mg/m</w:t>
      </w:r>
      <w:r>
        <w:rPr>
          <w:color w:val="auto"/>
          <w:vertAlign w:val="superscript"/>
        </w:rPr>
        <w:t>3</w:t>
      </w:r>
      <w:r>
        <w:rPr>
          <w:rFonts w:hint="eastAsia"/>
          <w:color w:val="auto"/>
        </w:rPr>
        <w:t>之内</w:t>
      </w:r>
      <w:r>
        <w:rPr>
          <w:color w:val="auto"/>
        </w:rPr>
        <w:t>。</w:t>
      </w:r>
    </w:p>
    <w:p w14:paraId="7FA49660">
      <w:pPr>
        <w:pStyle w:val="132"/>
        <w:rPr>
          <w:color w:val="auto"/>
        </w:rPr>
      </w:pPr>
      <w:r>
        <w:rPr>
          <w:rFonts w:hint="eastAsia"/>
          <w:color w:val="auto"/>
        </w:rPr>
        <w:t>③烟气再循环技术</w:t>
      </w:r>
    </w:p>
    <w:p w14:paraId="6829CABF">
      <w:pPr>
        <w:pStyle w:val="132"/>
        <w:rPr>
          <w:color w:val="auto"/>
        </w:rPr>
      </w:pPr>
      <w:r>
        <w:rPr>
          <w:rFonts w:hint="eastAsia"/>
          <w:color w:val="auto"/>
        </w:rPr>
        <w:t>燃烧温度的降低可以通过在火焰区域加入烟气来实现，加入的烟气吸热从而降低了燃烧温度。通过将烟气的燃烧产物加入燃烧区域内，不仅降低了燃烧温度，减少了NOx生成；同时加入的烟气降低了氧气的分压，这将减弱氧气与氮气生成热力型NOx的过程，从而减少NOx的生成。</w:t>
      </w:r>
    </w:p>
    <w:p w14:paraId="2653F48E">
      <w:pPr>
        <w:pStyle w:val="132"/>
        <w:rPr>
          <w:color w:val="auto"/>
        </w:rPr>
      </w:pPr>
      <w:r>
        <w:rPr>
          <w:rFonts w:hint="eastAsia"/>
          <w:color w:val="auto"/>
        </w:rPr>
        <w:t>烟气外循环可以广泛应用于燃气工业锅炉的新建及低氮改造项目，一般与采用分级燃烧的低氮燃烧器联合应用。烟气内循环需要较高的燃气压力，需要进行燃气增压，在工程实施以及用气安全等方面要求较高，主要被应用于14</w:t>
      </w:r>
      <w:r>
        <w:rPr>
          <w:color w:val="auto"/>
        </w:rPr>
        <w:t xml:space="preserve"> </w:t>
      </w:r>
      <w:r>
        <w:rPr>
          <w:rFonts w:hint="eastAsia"/>
          <w:color w:val="auto"/>
        </w:rPr>
        <w:t>MW及以上的大型锅炉项目；从降氮效果来看，分级燃烧的低氮燃烧器与烟气外循环等技术耦合使用时，可以将NOx控制在30</w:t>
      </w:r>
      <w:r>
        <w:rPr>
          <w:color w:val="auto"/>
        </w:rPr>
        <w:t xml:space="preserve"> </w:t>
      </w:r>
      <w:r>
        <w:rPr>
          <w:rFonts w:hint="eastAsia"/>
          <w:color w:val="auto"/>
        </w:rPr>
        <w:t>mg/m</w:t>
      </w:r>
      <w:r>
        <w:rPr>
          <w:rFonts w:hint="eastAsia"/>
          <w:color w:val="auto"/>
          <w:vertAlign w:val="superscript"/>
        </w:rPr>
        <w:t>3</w:t>
      </w:r>
      <w:r>
        <w:rPr>
          <w:rFonts w:hint="eastAsia"/>
          <w:color w:val="auto"/>
        </w:rPr>
        <w:t>以内。</w:t>
      </w:r>
    </w:p>
    <w:p w14:paraId="7DD9A607">
      <w:pPr>
        <w:pStyle w:val="132"/>
        <w:rPr>
          <w:color w:val="auto"/>
        </w:rPr>
      </w:pPr>
      <w:r>
        <w:rPr>
          <w:rFonts w:hint="eastAsia"/>
          <w:color w:val="auto"/>
        </w:rPr>
        <w:t>综上所述，项目采用 “低氮燃烧器+烟气再循环”或“低氮燃烧器+</w:t>
      </w:r>
      <w:r>
        <w:rPr>
          <w:color w:val="auto"/>
        </w:rPr>
        <w:t>燃预混燃烧</w:t>
      </w:r>
      <w:r>
        <w:rPr>
          <w:rFonts w:hint="eastAsia"/>
          <w:color w:val="auto"/>
        </w:rPr>
        <w:t>”技术可将燃气燃烧NO</w:t>
      </w:r>
      <w:r>
        <w:rPr>
          <w:rFonts w:hint="eastAsia"/>
          <w:color w:val="auto"/>
          <w:vertAlign w:val="subscript"/>
        </w:rPr>
        <w:t>X</w:t>
      </w:r>
      <w:r>
        <w:rPr>
          <w:rFonts w:hint="eastAsia"/>
          <w:color w:val="auto"/>
        </w:rPr>
        <w:t>排放浓度</w:t>
      </w:r>
      <w:r>
        <w:rPr>
          <w:color w:val="auto"/>
        </w:rPr>
        <w:t>控制</w:t>
      </w:r>
      <w:r>
        <w:rPr>
          <w:rFonts w:hint="eastAsia"/>
          <w:color w:val="auto"/>
        </w:rPr>
        <w:t>在40</w:t>
      </w:r>
      <w:r>
        <w:rPr>
          <w:color w:val="auto"/>
        </w:rPr>
        <w:t xml:space="preserve"> </w:t>
      </w:r>
      <w:r>
        <w:rPr>
          <w:rFonts w:hint="eastAsia"/>
          <w:color w:val="auto"/>
        </w:rPr>
        <w:t>mg/m</w:t>
      </w:r>
      <w:r>
        <w:rPr>
          <w:rFonts w:hint="eastAsia"/>
          <w:color w:val="auto"/>
          <w:vertAlign w:val="superscript"/>
        </w:rPr>
        <w:t>3</w:t>
      </w:r>
      <w:r>
        <w:rPr>
          <w:rFonts w:hint="eastAsia"/>
          <w:color w:val="auto"/>
        </w:rPr>
        <w:t>内，在经济、技术上可行，燃气燃烧烟气中</w:t>
      </w:r>
      <w:r>
        <w:rPr>
          <w:color w:val="auto"/>
        </w:rPr>
        <w:t>的</w:t>
      </w:r>
      <w:r>
        <w:rPr>
          <w:rFonts w:hint="eastAsia"/>
          <w:color w:val="auto"/>
        </w:rPr>
        <w:t>NO</w:t>
      </w:r>
      <w:r>
        <w:rPr>
          <w:rFonts w:hint="eastAsia"/>
          <w:color w:val="auto"/>
          <w:vertAlign w:val="subscript"/>
        </w:rPr>
        <w:t>X</w:t>
      </w:r>
      <w:r>
        <w:rPr>
          <w:rFonts w:hint="eastAsia"/>
          <w:color w:val="auto"/>
        </w:rPr>
        <w:t>能达标排放。</w:t>
      </w:r>
    </w:p>
    <w:p w14:paraId="21C34E76">
      <w:pPr>
        <w:pStyle w:val="132"/>
        <w:rPr>
          <w:color w:val="auto"/>
        </w:rPr>
      </w:pPr>
      <w:r>
        <w:rPr>
          <w:rFonts w:hint="eastAsia"/>
          <w:color w:val="auto"/>
        </w:rPr>
        <w:t>（2）SCR脱硝技术</w:t>
      </w:r>
    </w:p>
    <w:p w14:paraId="5CA5B857">
      <w:pPr>
        <w:pStyle w:val="132"/>
        <w:rPr>
          <w:color w:val="auto"/>
        </w:rPr>
      </w:pPr>
      <w:r>
        <w:rPr>
          <w:rFonts w:hint="eastAsia"/>
          <w:color w:val="auto"/>
        </w:rPr>
        <w:t>①</w:t>
      </w:r>
      <w:r>
        <w:rPr>
          <w:color w:val="auto"/>
        </w:rPr>
        <w:t>SCR工艺原理</w:t>
      </w:r>
    </w:p>
    <w:p w14:paraId="5C9DD9A4">
      <w:pPr>
        <w:pStyle w:val="132"/>
        <w:rPr>
          <w:color w:val="auto"/>
        </w:rPr>
      </w:pPr>
      <w:r>
        <w:rPr>
          <w:color w:val="auto"/>
        </w:rPr>
        <w:t>选择性催化还原</w:t>
      </w:r>
      <w:r>
        <w:rPr>
          <w:rFonts w:hint="eastAsia"/>
          <w:color w:val="auto"/>
        </w:rPr>
        <w:t>（</w:t>
      </w:r>
      <w:r>
        <w:rPr>
          <w:color w:val="auto"/>
        </w:rPr>
        <w:t>SCR</w:t>
      </w:r>
      <w:r>
        <w:rPr>
          <w:rFonts w:hint="eastAsia"/>
          <w:color w:val="auto"/>
        </w:rPr>
        <w:t>）</w:t>
      </w:r>
      <w:r>
        <w:rPr>
          <w:color w:val="auto"/>
        </w:rPr>
        <w:t>技术是目前应用最多且最有成效的烟气脱硝技术。SCR技术是在金属催化剂作用下，以NH</w:t>
      </w:r>
      <w:r>
        <w:rPr>
          <w:color w:val="auto"/>
          <w:vertAlign w:val="subscript"/>
        </w:rPr>
        <w:t>3</w:t>
      </w:r>
      <w:r>
        <w:rPr>
          <w:color w:val="auto"/>
        </w:rPr>
        <w:t>作为还原剂，将NOx还原成N</w:t>
      </w:r>
      <w:r>
        <w:rPr>
          <w:color w:val="auto"/>
          <w:vertAlign w:val="subscript"/>
        </w:rPr>
        <w:t>2</w:t>
      </w:r>
      <w:r>
        <w:rPr>
          <w:color w:val="auto"/>
        </w:rPr>
        <w:t>和H</w:t>
      </w:r>
      <w:r>
        <w:rPr>
          <w:color w:val="auto"/>
          <w:vertAlign w:val="subscript"/>
        </w:rPr>
        <w:t>2</w:t>
      </w:r>
      <w:r>
        <w:rPr>
          <w:color w:val="auto"/>
        </w:rPr>
        <w:t>O。NH</w:t>
      </w:r>
      <w:r>
        <w:rPr>
          <w:color w:val="auto"/>
          <w:vertAlign w:val="subscript"/>
        </w:rPr>
        <w:t>3</w:t>
      </w:r>
      <w:r>
        <w:rPr>
          <w:color w:val="auto"/>
        </w:rPr>
        <w:t>不和烟气中的残余的O</w:t>
      </w:r>
      <w:r>
        <w:rPr>
          <w:color w:val="auto"/>
          <w:vertAlign w:val="subscript"/>
        </w:rPr>
        <w:t>2</w:t>
      </w:r>
      <w:r>
        <w:rPr>
          <w:color w:val="auto"/>
        </w:rPr>
        <w:t>反应，主要反应方程式为：</w:t>
      </w:r>
    </w:p>
    <w:p w14:paraId="2EB341F8">
      <w:pPr>
        <w:pStyle w:val="132"/>
        <w:rPr>
          <w:color w:val="auto"/>
        </w:rPr>
      </w:pPr>
      <w:r>
        <w:rPr>
          <w:color w:val="auto"/>
        </w:rPr>
        <w:t>4NH</w:t>
      </w:r>
      <w:r>
        <w:rPr>
          <w:color w:val="auto"/>
          <w:vertAlign w:val="subscript"/>
        </w:rPr>
        <w:t>3</w:t>
      </w:r>
      <w:r>
        <w:rPr>
          <w:color w:val="auto"/>
        </w:rPr>
        <w:t>+4NO+O</w:t>
      </w:r>
      <w:r>
        <w:rPr>
          <w:color w:val="auto"/>
          <w:vertAlign w:val="subscript"/>
        </w:rPr>
        <w:t>2</w:t>
      </w:r>
      <w:r>
        <w:rPr>
          <w:rFonts w:hint="eastAsia"/>
          <w:color w:val="auto"/>
        </w:rPr>
        <w:t>→</w:t>
      </w:r>
      <w:r>
        <w:rPr>
          <w:color w:val="auto"/>
        </w:rPr>
        <w:t>4N</w:t>
      </w:r>
      <w:r>
        <w:rPr>
          <w:color w:val="auto"/>
          <w:vertAlign w:val="subscript"/>
        </w:rPr>
        <w:t>2</w:t>
      </w:r>
      <w:r>
        <w:rPr>
          <w:color w:val="auto"/>
        </w:rPr>
        <w:t>+6H</w:t>
      </w:r>
      <w:r>
        <w:rPr>
          <w:color w:val="auto"/>
          <w:vertAlign w:val="subscript"/>
        </w:rPr>
        <w:t>2</w:t>
      </w:r>
      <w:r>
        <w:rPr>
          <w:color w:val="auto"/>
        </w:rPr>
        <w:t xml:space="preserve">O                   </w:t>
      </w:r>
    </w:p>
    <w:p w14:paraId="2DF69552">
      <w:pPr>
        <w:pStyle w:val="132"/>
        <w:rPr>
          <w:color w:val="auto"/>
        </w:rPr>
      </w:pPr>
      <w:r>
        <w:rPr>
          <w:color w:val="auto"/>
        </w:rPr>
        <w:t>8NH</w:t>
      </w:r>
      <w:r>
        <w:rPr>
          <w:color w:val="auto"/>
          <w:vertAlign w:val="subscript"/>
        </w:rPr>
        <w:t>3</w:t>
      </w:r>
      <w:r>
        <w:rPr>
          <w:color w:val="auto"/>
        </w:rPr>
        <w:t>+6NO</w:t>
      </w:r>
      <w:r>
        <w:rPr>
          <w:color w:val="auto"/>
          <w:vertAlign w:val="subscript"/>
        </w:rPr>
        <w:t xml:space="preserve">2 </w:t>
      </w:r>
      <w:r>
        <w:rPr>
          <w:rFonts w:hint="eastAsia"/>
          <w:color w:val="auto"/>
        </w:rPr>
        <w:t>→</w:t>
      </w:r>
      <w:r>
        <w:rPr>
          <w:color w:val="auto"/>
        </w:rPr>
        <w:t>7N</w:t>
      </w:r>
      <w:r>
        <w:rPr>
          <w:color w:val="auto"/>
          <w:vertAlign w:val="subscript"/>
        </w:rPr>
        <w:t>2</w:t>
      </w:r>
      <w:r>
        <w:rPr>
          <w:color w:val="auto"/>
        </w:rPr>
        <w:t>+12H</w:t>
      </w:r>
      <w:r>
        <w:rPr>
          <w:color w:val="auto"/>
          <w:vertAlign w:val="subscript"/>
        </w:rPr>
        <w:t>2</w:t>
      </w:r>
      <w:r>
        <w:rPr>
          <w:color w:val="auto"/>
        </w:rPr>
        <w:t xml:space="preserve">O                    </w:t>
      </w:r>
    </w:p>
    <w:p w14:paraId="67CB368A">
      <w:pPr>
        <w:pStyle w:val="132"/>
        <w:rPr>
          <w:color w:val="auto"/>
        </w:rPr>
      </w:pPr>
      <w:r>
        <w:rPr>
          <w:color w:val="auto"/>
        </w:rPr>
        <w:t>通过采用合适的催化剂，上述反应可以在290℃~410℃的温度范围内有效进行（实际工程中，为了达到较稳定的脱硝效率，建议反应环境为320℃~400℃之间），可以获得高达80%～90%的NOx脱除效率。目前，世界各国采用SCR技术建设的脱硝装置有数百套之多。SCR技术对锅炉烟气NOx控制效果十分显著，占地面积小、技术成熟、易于操作，可作为我国控制NOx污染的主要手段之一。</w:t>
      </w:r>
    </w:p>
    <w:p w14:paraId="79F83E78">
      <w:pPr>
        <w:pStyle w:val="132"/>
        <w:rPr>
          <w:color w:val="auto"/>
        </w:rPr>
      </w:pPr>
      <w:r>
        <w:rPr>
          <w:rFonts w:ascii="Cambria Math" w:hAnsi="Cambria Math" w:cs="Cambria Math"/>
          <w:color w:val="auto"/>
        </w:rPr>
        <w:t>②</w:t>
      </w:r>
      <w:r>
        <w:rPr>
          <w:color w:val="auto"/>
        </w:rPr>
        <w:t>脱硝工艺系统</w:t>
      </w:r>
    </w:p>
    <w:p w14:paraId="438188D7">
      <w:pPr>
        <w:pStyle w:val="132"/>
        <w:rPr>
          <w:color w:val="auto"/>
        </w:rPr>
      </w:pPr>
      <w:r>
        <w:rPr>
          <w:color w:val="auto"/>
        </w:rPr>
        <w:t>SCR系统主要由反应器、催化剂、吹扫装置、氨贮存和喷射装置等组成。SCR过程如下：</w:t>
      </w:r>
    </w:p>
    <w:p w14:paraId="5B6B74B3">
      <w:pPr>
        <w:pStyle w:val="132"/>
        <w:rPr>
          <w:color w:val="auto"/>
        </w:rPr>
      </w:pPr>
      <w:r>
        <w:rPr>
          <w:color w:val="auto"/>
        </w:rPr>
        <w:t>烟气从焚烧装置省煤器出口引出，进入垂直布置的SCR反应器。SCR反应器位于锅炉省煤器出口烟气管线的下游，氨气均匀混合后通过分布导阀和烟气共同进入反应器入口，在反应器内通过催化剂的催化完成还原反应，实现脱硝过程。</w:t>
      </w:r>
    </w:p>
    <w:p w14:paraId="4468D3A4">
      <w:pPr>
        <w:pStyle w:val="132"/>
        <w:rPr>
          <w:color w:val="auto"/>
        </w:rPr>
      </w:pPr>
      <w:r>
        <w:rPr>
          <w:color w:val="auto"/>
        </w:rPr>
        <w:t>a）SCR反应器</w:t>
      </w:r>
    </w:p>
    <w:p w14:paraId="048C018A">
      <w:pPr>
        <w:pStyle w:val="132"/>
        <w:rPr>
          <w:color w:val="auto"/>
        </w:rPr>
      </w:pPr>
      <w:r>
        <w:rPr>
          <w:color w:val="auto"/>
        </w:rPr>
        <w:t>SCR反应器入口设气流均布装置，反应器入口及出口段设导流板，对于反应器内部易于磨损的部位采取必要的防磨措施。反应器内部各类加强板、支架采用不易积灰的型式，同时考虑热膨胀的补偿措施。反应器设置足够大小和数量的人孔门，内部配有可拆卸的催化剂测试元件。SCR反应器能承受运行温度420℃而不产生任何损坏，使用寿命不小于30年。</w:t>
      </w:r>
    </w:p>
    <w:p w14:paraId="0A23BF23">
      <w:pPr>
        <w:pStyle w:val="132"/>
        <w:rPr>
          <w:color w:val="auto"/>
        </w:rPr>
      </w:pPr>
      <w:r>
        <w:rPr>
          <w:color w:val="auto"/>
        </w:rPr>
        <w:t>b）脱硝还原剂</w:t>
      </w:r>
    </w:p>
    <w:p w14:paraId="18685771">
      <w:pPr>
        <w:pStyle w:val="132"/>
        <w:rPr>
          <w:color w:val="auto"/>
        </w:rPr>
      </w:pPr>
      <w:r>
        <w:rPr>
          <w:color w:val="auto"/>
        </w:rPr>
        <w:t>脱硝还原剂氨水通过管道输送至氨水贮罐，液氨贮罐输出的液氨在氨气蒸发槽内经电加热器蒸发为氨气，送到氨气缓冲槽备用。缓冲槽的氨气经调压阀减压后，送入各机组的氨气/空气混合器中，与来自稀释风机的空气充分混合，通过喷氨格栅（AIG）喷嘴喷入烟气中，与烟气混合后进入SCR催化反应器。</w:t>
      </w:r>
    </w:p>
    <w:p w14:paraId="75EF4697">
      <w:pPr>
        <w:pStyle w:val="132"/>
        <w:rPr>
          <w:color w:val="auto"/>
        </w:rPr>
      </w:pPr>
      <w:r>
        <w:rPr>
          <w:rFonts w:hint="eastAsia"/>
          <w:color w:val="auto"/>
        </w:rPr>
        <w:t>根据《排污许可证申请与核发技术规范  专用化学产品制造工业》（HJ1103-2020），选择性催化还原技术（SCR）属于氮氧化物防治可行技术。参考《玻璃制造业污染防治可行技术指南》（HJ2305-2018）SCR脱硝技术的脱硝效率与催化剂的布置层数有关，当催化剂层数分别为1、2和3层时，脱硝效率通常分别可达到50%～60%、75%～85%和85%～95%。项目搜集了与本项目同类SCR设备厂家现有河北普阳钢铁链篦机回转窑烟气脱硝催化剂项目和浙江科特高温新材料有限公司网带炉监测结果监测报告，报告显示，脱硝效率可达95%以上（见附件）。SCR脱硝可行。本项目采用三层催化剂，根据氮平衡核算，本项目催化剂焙烧和载体焙烧过程氮氧化物产生浓度851.6mg/Nm</w:t>
      </w:r>
      <w:r>
        <w:rPr>
          <w:rFonts w:hint="eastAsia"/>
          <w:color w:val="auto"/>
          <w:vertAlign w:val="superscript"/>
        </w:rPr>
        <w:t>3</w:t>
      </w:r>
      <w:r>
        <w:rPr>
          <w:rFonts w:hint="eastAsia"/>
          <w:color w:val="auto"/>
        </w:rPr>
        <w:t>，设计脱硝效率92.5%，经处理后氮氧化物排放浓度63.9mg/Nm</w:t>
      </w:r>
      <w:r>
        <w:rPr>
          <w:rFonts w:hint="eastAsia"/>
          <w:color w:val="auto"/>
          <w:vertAlign w:val="superscript"/>
        </w:rPr>
        <w:t>3</w:t>
      </w:r>
      <w:r>
        <w:rPr>
          <w:rFonts w:hint="eastAsia"/>
          <w:color w:val="auto"/>
        </w:rPr>
        <w:t>，满足《无机化学工业污染物排放标准》（GB31573-2015）及修改单 表4 大气污染物特别排放限值要求。</w:t>
      </w:r>
    </w:p>
    <w:p w14:paraId="77740610">
      <w:pPr>
        <w:pStyle w:val="132"/>
        <w:rPr>
          <w:color w:val="auto"/>
        </w:rPr>
      </w:pPr>
    </w:p>
    <w:p w14:paraId="391993B7">
      <w:pPr>
        <w:pStyle w:val="5"/>
        <w:rPr>
          <w:color w:val="auto"/>
        </w:rPr>
      </w:pPr>
      <w:r>
        <w:rPr>
          <w:rFonts w:hint="eastAsia"/>
          <w:color w:val="auto"/>
        </w:rPr>
        <w:t>氨控制措施</w:t>
      </w:r>
    </w:p>
    <w:p w14:paraId="2544AFB8">
      <w:pPr>
        <w:pStyle w:val="132"/>
        <w:rPr>
          <w:color w:val="auto"/>
        </w:rPr>
      </w:pPr>
      <w:r>
        <w:rPr>
          <w:rFonts w:hint="eastAsia"/>
          <w:color w:val="auto"/>
        </w:rPr>
        <w:t>危险废物处置废气主要来自氨水使用过程中含氨废气（</w:t>
      </w:r>
      <w:r>
        <w:rPr>
          <w:color w:val="auto"/>
        </w:rPr>
        <w:t>G1</w:t>
      </w:r>
      <w:r>
        <w:rPr>
          <w:rFonts w:hint="eastAsia"/>
          <w:color w:val="auto"/>
        </w:rPr>
        <w:t>①～</w:t>
      </w:r>
      <w:r>
        <w:rPr>
          <w:color w:val="auto"/>
        </w:rPr>
        <w:t>G1</w:t>
      </w:r>
      <w:r>
        <w:rPr>
          <w:rFonts w:hint="eastAsia"/>
          <w:color w:val="auto"/>
        </w:rPr>
        <w:t>⑦），主要含氨，统一收集后通过水吸收处理，水吸收工艺流程示意图见图6.2-2。</w:t>
      </w:r>
    </w:p>
    <w:p w14:paraId="5715F052">
      <w:pPr>
        <w:pStyle w:val="132"/>
        <w:jc w:val="center"/>
        <w:rPr>
          <w:color w:val="auto"/>
        </w:rPr>
      </w:pPr>
      <w:r>
        <w:rPr>
          <w:color w:val="auto"/>
        </w:rPr>
        <w:drawing>
          <wp:inline distT="0" distB="0" distL="0" distR="0">
            <wp:extent cx="4381500" cy="2974340"/>
            <wp:effectExtent l="0" t="0" r="0" b="0"/>
            <wp:docPr id="16129255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25554"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409926" cy="2994057"/>
                    </a:xfrm>
                    <a:prstGeom prst="rect">
                      <a:avLst/>
                    </a:prstGeom>
                    <a:noFill/>
                    <a:ln>
                      <a:noFill/>
                    </a:ln>
                  </pic:spPr>
                </pic:pic>
              </a:graphicData>
            </a:graphic>
          </wp:inline>
        </w:drawing>
      </w:r>
    </w:p>
    <w:p w14:paraId="7FB168C1">
      <w:pPr>
        <w:pStyle w:val="1060"/>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 xml:space="preserve">  水吸收系统流程示意图</w:t>
      </w:r>
    </w:p>
    <w:p w14:paraId="540CB4B0">
      <w:pPr>
        <w:pStyle w:val="132"/>
        <w:rPr>
          <w:color w:val="auto"/>
        </w:rPr>
      </w:pPr>
    </w:p>
    <w:p w14:paraId="067CB874">
      <w:pPr>
        <w:pStyle w:val="132"/>
        <w:rPr>
          <w:color w:val="auto"/>
        </w:rPr>
      </w:pPr>
      <w:r>
        <w:rPr>
          <w:rFonts w:hint="eastAsia"/>
          <w:color w:val="auto"/>
        </w:rPr>
        <w:t>氨水储罐挥发氨气的回收，通常采用吸收装置，如图6.2.2所示：氨水储罐和设计氨水使用的反应釜设置呼吸阀，呼吸阀呼气进入氨气吸收罐，用水循环吸收含氨呼吸气，为降低呼吸阀背压，吸收罐采用填料喷淋的方法吸收，不仅降低了呼吸阀背压，还增大了气液接触面积，提高吸收效率，吸收后的吸收液可以制备氨水。项目使用15%的氨水，且生产过程中的反应主要为酸碱中和反应，挥发的氨量很少，使用水吸收处理是可行的，经处理后通过17m排气筒排放，可以满足</w:t>
      </w:r>
      <w:r>
        <w:rPr>
          <w:color w:val="auto"/>
        </w:rPr>
        <w:t>《无机化学工业污染物排放标准》（GB31573-2015）及修改单 表4 大气污染物特别排放限值</w:t>
      </w:r>
      <w:r>
        <w:rPr>
          <w:rFonts w:hint="eastAsia"/>
          <w:color w:val="auto"/>
        </w:rPr>
        <w:t>要求。</w:t>
      </w:r>
    </w:p>
    <w:p w14:paraId="79BCFEEC">
      <w:pPr>
        <w:pStyle w:val="4"/>
        <w:rPr>
          <w:color w:val="auto"/>
        </w:rPr>
      </w:pPr>
      <w:r>
        <w:rPr>
          <w:rFonts w:hint="eastAsia"/>
          <w:color w:val="auto"/>
        </w:rPr>
        <w:t>无组织废气控制措施</w:t>
      </w:r>
    </w:p>
    <w:p w14:paraId="628C9A32">
      <w:pPr>
        <w:pStyle w:val="132"/>
        <w:rPr>
          <w:color w:val="auto"/>
        </w:rPr>
      </w:pPr>
      <w:r>
        <w:rPr>
          <w:rFonts w:hint="eastAsia"/>
          <w:color w:val="auto"/>
        </w:rPr>
        <w:t>本项目</w:t>
      </w:r>
      <w:r>
        <w:rPr>
          <w:color w:val="auto"/>
        </w:rPr>
        <w:t>在工艺生产过程中将不可避免</w:t>
      </w:r>
      <w:r>
        <w:rPr>
          <w:rFonts w:hint="eastAsia"/>
          <w:color w:val="auto"/>
        </w:rPr>
        <w:t>地产生</w:t>
      </w:r>
      <w:r>
        <w:rPr>
          <w:color w:val="auto"/>
        </w:rPr>
        <w:t>一些无组织排放的废气</w:t>
      </w:r>
      <w:r>
        <w:rPr>
          <w:rFonts w:hint="eastAsia"/>
          <w:color w:val="auto"/>
        </w:rPr>
        <w:t>，主要氨水不使用过程中挥发的无组织氨，本项目通过设备密闭，集中收集处置方式减少无组织排放。</w:t>
      </w:r>
    </w:p>
    <w:p w14:paraId="470450BF">
      <w:pPr>
        <w:pStyle w:val="3"/>
        <w:rPr>
          <w:color w:val="auto"/>
        </w:rPr>
      </w:pPr>
      <w:bookmarkStart w:id="357" w:name="_Toc229930153"/>
      <w:r>
        <w:rPr>
          <w:rFonts w:hint="eastAsia"/>
          <w:color w:val="auto"/>
        </w:rPr>
        <w:t>水环境保护与防护措施</w:t>
      </w:r>
      <w:bookmarkEnd w:id="357"/>
    </w:p>
    <w:p w14:paraId="0B9A8E66">
      <w:pPr>
        <w:pStyle w:val="4"/>
        <w:rPr>
          <w:color w:val="auto"/>
        </w:rPr>
      </w:pPr>
      <w:r>
        <w:rPr>
          <w:rFonts w:hint="eastAsia"/>
          <w:color w:val="auto"/>
        </w:rPr>
        <w:t>废水处理方案</w:t>
      </w:r>
    </w:p>
    <w:p w14:paraId="43559ED2">
      <w:pPr>
        <w:pStyle w:val="132"/>
        <w:rPr>
          <w:color w:val="auto"/>
        </w:rPr>
      </w:pPr>
      <w:r>
        <w:rPr>
          <w:rFonts w:hint="eastAsia"/>
          <w:color w:val="auto"/>
        </w:rPr>
        <w:t>（1）危险废物处置盐产品冷凝水（W</w:t>
      </w:r>
      <w:r>
        <w:rPr>
          <w:rFonts w:hint="eastAsia"/>
          <w:color w:val="auto"/>
          <w:vertAlign w:val="subscript"/>
        </w:rPr>
        <w:t>1</w:t>
      </w:r>
      <w:r>
        <w:rPr>
          <w:rFonts w:hint="eastAsia"/>
          <w:color w:val="auto"/>
        </w:rPr>
        <w:t>、W</w:t>
      </w:r>
      <w:r>
        <w:rPr>
          <w:rFonts w:hint="eastAsia"/>
          <w:color w:val="auto"/>
          <w:vertAlign w:val="subscript"/>
        </w:rPr>
        <w:t>2</w:t>
      </w:r>
      <w:r>
        <w:rPr>
          <w:rFonts w:hint="eastAsia"/>
          <w:color w:val="auto"/>
        </w:rPr>
        <w:t>、W</w:t>
      </w:r>
      <w:r>
        <w:rPr>
          <w:rFonts w:hint="eastAsia"/>
          <w:color w:val="auto"/>
          <w:vertAlign w:val="subscript"/>
        </w:rPr>
        <w:t>3</w:t>
      </w:r>
      <w:r>
        <w:rPr>
          <w:rFonts w:hint="eastAsia"/>
          <w:color w:val="auto"/>
        </w:rPr>
        <w:t>、W</w:t>
      </w:r>
      <w:r>
        <w:rPr>
          <w:rFonts w:hint="eastAsia"/>
          <w:color w:val="auto"/>
          <w:vertAlign w:val="subscript"/>
        </w:rPr>
        <w:t>4</w:t>
      </w:r>
      <w:r>
        <w:rPr>
          <w:rFonts w:hint="eastAsia"/>
          <w:color w:val="auto"/>
        </w:rPr>
        <w:t>、W</w:t>
      </w:r>
      <w:r>
        <w:rPr>
          <w:rFonts w:hint="eastAsia"/>
          <w:color w:val="auto"/>
          <w:vertAlign w:val="subscript"/>
        </w:rPr>
        <w:t>5</w:t>
      </w:r>
      <w:r>
        <w:rPr>
          <w:rFonts w:hint="eastAsia"/>
          <w:color w:val="auto"/>
        </w:rPr>
        <w:t>、W</w:t>
      </w:r>
      <w:r>
        <w:rPr>
          <w:rFonts w:hint="eastAsia"/>
          <w:color w:val="auto"/>
          <w:vertAlign w:val="subscript"/>
        </w:rPr>
        <w:t>6</w:t>
      </w:r>
      <w:r>
        <w:rPr>
          <w:rFonts w:hint="eastAsia"/>
          <w:color w:val="auto"/>
        </w:rPr>
        <w:t>）</w:t>
      </w:r>
    </w:p>
    <w:p w14:paraId="46BAA7DE">
      <w:pPr>
        <w:pStyle w:val="132"/>
        <w:rPr>
          <w:color w:val="auto"/>
        </w:rPr>
      </w:pPr>
      <w:r>
        <w:rPr>
          <w:rFonts w:hint="eastAsia"/>
          <w:color w:val="auto"/>
        </w:rPr>
        <w:t>本项目危险废物处理废水主要为各膜系统和蒸发系统产生的冷凝水，包括含硝酸铝废酸液处理冷凝水（W</w:t>
      </w:r>
      <w:r>
        <w:rPr>
          <w:rFonts w:hint="eastAsia"/>
          <w:color w:val="auto"/>
          <w:vertAlign w:val="subscript"/>
        </w:rPr>
        <w:t>1</w:t>
      </w:r>
      <w:r>
        <w:rPr>
          <w:rFonts w:hint="eastAsia"/>
          <w:color w:val="auto"/>
        </w:rPr>
        <w:t>）；硫酸铵蒸发冷凝水（W</w:t>
      </w:r>
      <w:r>
        <w:rPr>
          <w:rFonts w:hint="eastAsia"/>
          <w:color w:val="auto"/>
          <w:vertAlign w:val="subscript"/>
        </w:rPr>
        <w:t>2</w:t>
      </w:r>
      <w:r>
        <w:rPr>
          <w:rFonts w:hint="eastAsia"/>
          <w:color w:val="auto"/>
        </w:rPr>
        <w:t>）；液体肥料2蒸发浓缩冷凝水（W</w:t>
      </w:r>
      <w:r>
        <w:rPr>
          <w:rFonts w:hint="eastAsia"/>
          <w:color w:val="auto"/>
          <w:vertAlign w:val="subscript"/>
        </w:rPr>
        <w:t>3</w:t>
      </w:r>
      <w:r>
        <w:rPr>
          <w:rFonts w:hint="eastAsia"/>
          <w:color w:val="auto"/>
        </w:rPr>
        <w:t>）；碳酸钠浓缩冷凝水（W</w:t>
      </w:r>
      <w:r>
        <w:rPr>
          <w:rFonts w:hint="eastAsia"/>
          <w:color w:val="auto"/>
          <w:vertAlign w:val="subscript"/>
        </w:rPr>
        <w:t>4</w:t>
      </w:r>
      <w:r>
        <w:rPr>
          <w:rFonts w:hint="eastAsia"/>
          <w:color w:val="auto"/>
        </w:rPr>
        <w:t>），水铝石蒸发冷凝水（W</w:t>
      </w:r>
      <w:r>
        <w:rPr>
          <w:rFonts w:hint="eastAsia"/>
          <w:color w:val="auto"/>
          <w:vertAlign w:val="subscript"/>
        </w:rPr>
        <w:t>5</w:t>
      </w:r>
      <w:r>
        <w:rPr>
          <w:rFonts w:hint="eastAsia"/>
          <w:color w:val="auto"/>
        </w:rPr>
        <w:t>），氢氧化钠浓缩冷凝水（W</w:t>
      </w:r>
      <w:r>
        <w:rPr>
          <w:rFonts w:hint="eastAsia"/>
          <w:color w:val="auto"/>
          <w:vertAlign w:val="subscript"/>
        </w:rPr>
        <w:t>6</w:t>
      </w:r>
      <w:r>
        <w:rPr>
          <w:rFonts w:hint="eastAsia"/>
          <w:color w:val="auto"/>
        </w:rPr>
        <w:t>），主要含有少量的盐分，水质满足《无机化学工业污染物排放标准》（GB31573-2015）及修改单和《城市污水再生利用  工业用水水质》（GB/T 19923-2024）要求后3.2m</w:t>
      </w:r>
      <w:r>
        <w:rPr>
          <w:rFonts w:hint="eastAsia"/>
          <w:color w:val="auto"/>
          <w:vertAlign w:val="superscript"/>
        </w:rPr>
        <w:t>3</w:t>
      </w:r>
      <w:r>
        <w:rPr>
          <w:rFonts w:hint="eastAsia"/>
          <w:color w:val="auto"/>
        </w:rPr>
        <w:t>/h用于催化剂生产，剩余201.57m</w:t>
      </w:r>
      <w:r>
        <w:rPr>
          <w:rFonts w:hint="eastAsia"/>
          <w:color w:val="auto"/>
          <w:vertAlign w:val="superscript"/>
        </w:rPr>
        <w:t>3</w:t>
      </w:r>
      <w:r>
        <w:rPr>
          <w:rFonts w:hint="eastAsia"/>
          <w:color w:val="auto"/>
        </w:rPr>
        <w:t>/h通过管道送乌鲁木齐众荣电子材料科技有限公司回用。</w:t>
      </w:r>
    </w:p>
    <w:p w14:paraId="01C6D7BA">
      <w:pPr>
        <w:pStyle w:val="132"/>
        <w:rPr>
          <w:color w:val="auto"/>
        </w:rPr>
      </w:pPr>
      <w:r>
        <w:rPr>
          <w:rFonts w:hint="eastAsia"/>
          <w:color w:val="auto"/>
        </w:rPr>
        <w:t>（2）循环排污水（W</w:t>
      </w:r>
      <w:r>
        <w:rPr>
          <w:rFonts w:hint="eastAsia"/>
          <w:color w:val="auto"/>
          <w:vertAlign w:val="subscript"/>
        </w:rPr>
        <w:t>5</w:t>
      </w:r>
      <w:r>
        <w:rPr>
          <w:rFonts w:hint="eastAsia"/>
          <w:color w:val="auto"/>
        </w:rPr>
        <w:t>）</w:t>
      </w:r>
    </w:p>
    <w:p w14:paraId="444EB983">
      <w:pPr>
        <w:pStyle w:val="132"/>
        <w:rPr>
          <w:color w:val="auto"/>
        </w:rPr>
      </w:pPr>
      <w:r>
        <w:rPr>
          <w:rFonts w:hint="eastAsia"/>
          <w:color w:val="auto"/>
        </w:rPr>
        <w:t>项目循环水系统定期排放循环排污水，属于清静下水，循环水不与物料接触，主要为盐分，满足《污水综合排放标准》（GB/8978-1996）中的三级标准后排入园区下水管网最终送甘泉堡南区污水处理厂处理。</w:t>
      </w:r>
    </w:p>
    <w:p w14:paraId="1B2FA040">
      <w:pPr>
        <w:pStyle w:val="132"/>
        <w:rPr>
          <w:color w:val="auto"/>
        </w:rPr>
      </w:pPr>
      <w:r>
        <w:rPr>
          <w:rFonts w:hint="eastAsia"/>
          <w:color w:val="auto"/>
        </w:rPr>
        <w:t>（3）生活污水</w:t>
      </w:r>
    </w:p>
    <w:p w14:paraId="0D237093">
      <w:pPr>
        <w:pStyle w:val="132"/>
        <w:rPr>
          <w:color w:val="auto"/>
        </w:rPr>
      </w:pPr>
      <w:r>
        <w:rPr>
          <w:rFonts w:hint="eastAsia"/>
          <w:color w:val="auto"/>
        </w:rPr>
        <w:t>本项目劳动定员90人，生活用水量按100L/人/天计算，80%转化为生活污水排放，则生活污水排放量为0.3m</w:t>
      </w:r>
      <w:r>
        <w:rPr>
          <w:rFonts w:hint="eastAsia"/>
          <w:color w:val="auto"/>
          <w:vertAlign w:val="superscript"/>
        </w:rPr>
        <w:t>3</w:t>
      </w:r>
      <w:r>
        <w:rPr>
          <w:rFonts w:hint="eastAsia"/>
          <w:color w:val="auto"/>
        </w:rPr>
        <w:t>/h，主要污染物为COD、BOD、SS、氨氮、总磷、总氮满足《污水综合排放标准》（GB/8978-1996）中的三级标准后排入园区下水管网最终送甘泉堡南区污水处理厂处理。</w:t>
      </w:r>
    </w:p>
    <w:p w14:paraId="23A26928">
      <w:pPr>
        <w:pStyle w:val="4"/>
        <w:rPr>
          <w:color w:val="auto"/>
        </w:rPr>
      </w:pPr>
      <w:r>
        <w:rPr>
          <w:color w:val="auto"/>
        </w:rPr>
        <w:t>废水处理依托可行性分析</w:t>
      </w:r>
    </w:p>
    <w:p w14:paraId="28A8EE63">
      <w:pPr>
        <w:pStyle w:val="132"/>
        <w:rPr>
          <w:bCs/>
          <w:color w:val="auto"/>
        </w:rPr>
      </w:pPr>
      <w:bookmarkStart w:id="358" w:name="_Hlk197809630"/>
      <w:r>
        <w:rPr>
          <w:bCs/>
          <w:color w:val="auto"/>
        </w:rPr>
        <w:t>根据《</w:t>
      </w:r>
      <w:r>
        <w:rPr>
          <w:rFonts w:hint="eastAsia"/>
          <w:color w:val="auto"/>
        </w:rPr>
        <w:t>乌鲁木齐甘泉堡经济技术开发区（工业区）化工园区总体规划（2023-2035）</w:t>
      </w:r>
      <w:r>
        <w:rPr>
          <w:rFonts w:hint="eastAsia"/>
          <w:bCs/>
          <w:color w:val="auto"/>
        </w:rPr>
        <w:t>环境影响报告书</w:t>
      </w:r>
      <w:r>
        <w:rPr>
          <w:bCs/>
          <w:color w:val="auto"/>
        </w:rPr>
        <w:t>》，</w:t>
      </w:r>
      <w:bookmarkStart w:id="359" w:name="_Hlk202460084"/>
      <w:r>
        <w:rPr>
          <w:rFonts w:hint="eastAsia"/>
          <w:color w:val="auto"/>
        </w:rPr>
        <w:t>甘泉堡工业园区内目前已建成甘泉堡南区污水处理厂1座，甘泉堡南区污水处理厂位于禾润街，主要接收甘泉堡园区内经处理过后的生产废水及生活污水。污水处理工程</w:t>
      </w:r>
      <w:r>
        <w:rPr>
          <w:rFonts w:ascii="宋体" w:hAnsi="宋体"/>
          <w:color w:val="auto"/>
        </w:rPr>
        <w:t>建设规模为</w:t>
      </w:r>
      <w:r>
        <w:rPr>
          <w:color w:val="auto"/>
        </w:rPr>
        <w:t>10.5</w:t>
      </w:r>
      <w:r>
        <w:rPr>
          <w:rFonts w:ascii="宋体" w:hAnsi="宋体"/>
          <w:color w:val="auto"/>
        </w:rPr>
        <w:t>万</w:t>
      </w:r>
      <w:r>
        <w:rPr>
          <w:color w:val="auto"/>
        </w:rPr>
        <w:t>m</w:t>
      </w:r>
      <w:r>
        <w:rPr>
          <w:color w:val="auto"/>
          <w:vertAlign w:val="superscript"/>
        </w:rPr>
        <w:t>3</w:t>
      </w:r>
      <w:r>
        <w:rPr>
          <w:color w:val="auto"/>
        </w:rPr>
        <w:t>/d，</w:t>
      </w:r>
      <w:r>
        <w:rPr>
          <w:rFonts w:hint="eastAsia"/>
          <w:color w:val="auto"/>
        </w:rPr>
        <w:t>采用A</w:t>
      </w:r>
      <w:r>
        <w:rPr>
          <w:rFonts w:hint="eastAsia"/>
          <w:color w:val="auto"/>
          <w:vertAlign w:val="superscript"/>
        </w:rPr>
        <w:t>2</w:t>
      </w:r>
      <w:r>
        <w:rPr>
          <w:rFonts w:hint="eastAsia"/>
          <w:color w:val="auto"/>
        </w:rPr>
        <w:t>/O+MBR膜生物处理+次氯酸钠消毒。2022年甘泉堡</w:t>
      </w:r>
      <w:r>
        <w:rPr>
          <w:rFonts w:hint="eastAsia"/>
          <w:color w:val="auto"/>
          <w:lang w:val="en-US" w:eastAsia="zh-CN"/>
        </w:rPr>
        <w:t>南区</w:t>
      </w:r>
      <w:r>
        <w:rPr>
          <w:rFonts w:hint="eastAsia"/>
          <w:color w:val="auto"/>
        </w:rPr>
        <w:t>污水处理厂全年累计处理水量为2259.8268万方，日均处理量为6.1913万方。众欣街（汀泉路）、博润路、渠水街、净明东街、月恒街、四通路等化工园区周边道路已敷设排水管线。南区污水处理厂设计进水指标</w:t>
      </w:r>
      <w:r>
        <w:rPr>
          <w:rFonts w:ascii="宋体" w:hAnsi="宋体"/>
          <w:color w:val="auto"/>
        </w:rPr>
        <w:t>见表</w:t>
      </w:r>
      <w:r>
        <w:rPr>
          <w:rFonts w:hint="eastAsia"/>
          <w:color w:val="auto"/>
        </w:rPr>
        <w:t>3.1.2-1</w:t>
      </w:r>
      <w:r>
        <w:rPr>
          <w:rFonts w:ascii="宋体" w:hAnsi="宋体"/>
          <w:color w:val="auto"/>
        </w:rPr>
        <w:t>。</w:t>
      </w:r>
      <w:r>
        <w:rPr>
          <w:color w:val="auto"/>
        </w:rPr>
        <w:t>2016</w:t>
      </w:r>
      <w:r>
        <w:rPr>
          <w:rFonts w:ascii="宋体" w:hAnsi="宋体"/>
          <w:color w:val="auto"/>
        </w:rPr>
        <w:t>年</w:t>
      </w:r>
      <w:r>
        <w:rPr>
          <w:color w:val="auto"/>
        </w:rPr>
        <w:t>6</w:t>
      </w:r>
      <w:r>
        <w:rPr>
          <w:rFonts w:ascii="宋体" w:hAnsi="宋体"/>
          <w:color w:val="auto"/>
        </w:rPr>
        <w:t>月</w:t>
      </w:r>
      <w:r>
        <w:rPr>
          <w:color w:val="auto"/>
        </w:rPr>
        <w:t>22</w:t>
      </w:r>
      <w:r>
        <w:rPr>
          <w:rFonts w:ascii="宋体" w:hAnsi="宋体"/>
          <w:color w:val="auto"/>
        </w:rPr>
        <w:t>日甘泉堡南区污水处理厂取得了《</w:t>
      </w:r>
      <w:r>
        <w:rPr>
          <w:rFonts w:hint="eastAsia" w:ascii="宋体" w:hAnsi="宋体"/>
          <w:color w:val="auto"/>
        </w:rPr>
        <w:t>关于</w:t>
      </w:r>
      <w:r>
        <w:rPr>
          <w:rFonts w:ascii="宋体" w:hAnsi="宋体"/>
          <w:color w:val="auto"/>
        </w:rPr>
        <w:t>甘泉堡工业园区污水处理及中水循环利用工程</w:t>
      </w:r>
      <w:r>
        <w:rPr>
          <w:rFonts w:hint="eastAsia" w:ascii="宋体" w:hAnsi="宋体"/>
          <w:color w:val="auto"/>
        </w:rPr>
        <w:t>竣工环保验收意见》</w:t>
      </w:r>
      <w:r>
        <w:rPr>
          <w:rFonts w:ascii="宋体" w:hAnsi="宋体"/>
          <w:color w:val="auto"/>
        </w:rPr>
        <w:t>（</w:t>
      </w:r>
      <w:r>
        <w:rPr>
          <w:rFonts w:hint="eastAsia" w:ascii="宋体" w:hAnsi="宋体"/>
          <w:color w:val="auto"/>
        </w:rPr>
        <w:t>乌</w:t>
      </w:r>
      <w:r>
        <w:rPr>
          <w:rFonts w:ascii="宋体" w:hAnsi="宋体"/>
          <w:color w:val="auto"/>
        </w:rPr>
        <w:t>环</w:t>
      </w:r>
      <w:r>
        <w:rPr>
          <w:rFonts w:hint="eastAsia" w:ascii="宋体" w:hAnsi="宋体"/>
          <w:color w:val="auto"/>
        </w:rPr>
        <w:t>验〔2015〕248号</w:t>
      </w:r>
      <w:r>
        <w:rPr>
          <w:rFonts w:ascii="宋体" w:hAnsi="宋体"/>
          <w:color w:val="auto"/>
        </w:rPr>
        <w:t>）</w:t>
      </w:r>
      <w:r>
        <w:rPr>
          <w:rFonts w:hint="eastAsia" w:ascii="宋体" w:hAnsi="宋体"/>
          <w:color w:val="auto"/>
        </w:rPr>
        <w:t>，</w:t>
      </w:r>
      <w:r>
        <w:rPr>
          <w:rFonts w:ascii="宋体" w:hAnsi="宋体"/>
          <w:color w:val="auto"/>
        </w:rPr>
        <w:t>主要污染物</w:t>
      </w:r>
      <w:r>
        <w:rPr>
          <w:color w:val="auto"/>
        </w:rPr>
        <w:t>pH</w:t>
      </w:r>
      <w:r>
        <w:rPr>
          <w:rFonts w:ascii="宋体" w:hAnsi="宋体"/>
          <w:color w:val="auto"/>
        </w:rPr>
        <w:t>、</w:t>
      </w:r>
      <w:r>
        <w:rPr>
          <w:color w:val="auto"/>
        </w:rPr>
        <w:t>BOD</w:t>
      </w:r>
      <w:r>
        <w:rPr>
          <w:color w:val="auto"/>
          <w:vertAlign w:val="subscript"/>
        </w:rPr>
        <w:t>5</w:t>
      </w:r>
      <w:r>
        <w:rPr>
          <w:rFonts w:ascii="宋体" w:hAnsi="宋体"/>
          <w:color w:val="auto"/>
        </w:rPr>
        <w:t>、</w:t>
      </w:r>
      <w:r>
        <w:rPr>
          <w:color w:val="auto"/>
        </w:rPr>
        <w:t xml:space="preserve"> CODcr</w:t>
      </w:r>
      <w:r>
        <w:rPr>
          <w:rFonts w:ascii="宋体" w:hAnsi="宋体"/>
          <w:color w:val="auto"/>
        </w:rPr>
        <w:t>、氨氮、总磷执行《地表水环境质量标准》</w:t>
      </w:r>
      <w:r>
        <w:rPr>
          <w:color w:val="auto"/>
        </w:rPr>
        <w:t>(GB3838-2002)</w:t>
      </w:r>
      <w:r>
        <w:rPr>
          <w:rFonts w:hint="eastAsia"/>
          <w:color w:val="auto"/>
        </w:rPr>
        <w:t>Ⅳ类</w:t>
      </w:r>
      <w:r>
        <w:rPr>
          <w:rFonts w:ascii="宋体" w:hAnsi="宋体"/>
          <w:color w:val="auto"/>
        </w:rPr>
        <w:t>水质标准</w:t>
      </w:r>
      <w:r>
        <w:rPr>
          <w:rFonts w:hint="eastAsia" w:ascii="宋体" w:hAnsi="宋体"/>
          <w:color w:val="auto"/>
        </w:rPr>
        <w:t>；</w:t>
      </w:r>
      <w:r>
        <w:rPr>
          <w:rFonts w:ascii="宋体" w:hAnsi="宋体"/>
          <w:color w:val="auto"/>
        </w:rPr>
        <w:t>悬浮物、浊度、粪大肠杆菌执行《城市污水再生利用景观环境用水水质》</w:t>
      </w:r>
      <w:r>
        <w:rPr>
          <w:color w:val="auto"/>
        </w:rPr>
        <w:t>(GB/T18921-2002)</w:t>
      </w:r>
      <w:r>
        <w:rPr>
          <w:rFonts w:ascii="宋体" w:hAnsi="宋体"/>
          <w:color w:val="auto"/>
        </w:rPr>
        <w:t>相关标准</w:t>
      </w:r>
      <w:r>
        <w:rPr>
          <w:rFonts w:hint="eastAsia" w:ascii="宋体" w:hAnsi="宋体"/>
          <w:color w:val="auto"/>
        </w:rPr>
        <w:t>；</w:t>
      </w:r>
      <w:r>
        <w:rPr>
          <w:rFonts w:ascii="宋体" w:hAnsi="宋体"/>
          <w:color w:val="auto"/>
        </w:rPr>
        <w:t>其他污染物执行《城镇污水处理厂污染物排放标准》</w:t>
      </w:r>
      <w:r>
        <w:rPr>
          <w:color w:val="auto"/>
        </w:rPr>
        <w:t>(GB18918-2002)</w:t>
      </w:r>
      <w:r>
        <w:rPr>
          <w:rFonts w:ascii="宋体" w:hAnsi="宋体"/>
          <w:color w:val="auto"/>
        </w:rPr>
        <w:t>一级</w:t>
      </w:r>
      <w:r>
        <w:rPr>
          <w:color w:val="auto"/>
        </w:rPr>
        <w:t>A</w:t>
      </w:r>
      <w:r>
        <w:rPr>
          <w:rFonts w:ascii="宋体" w:hAnsi="宋体"/>
          <w:color w:val="auto"/>
        </w:rPr>
        <w:t>标准</w:t>
      </w:r>
      <w:r>
        <w:rPr>
          <w:rFonts w:hint="eastAsia" w:ascii="宋体" w:hAnsi="宋体"/>
          <w:color w:val="auto"/>
        </w:rPr>
        <w:t>；</w:t>
      </w:r>
      <w:r>
        <w:rPr>
          <w:rFonts w:ascii="宋体" w:hAnsi="宋体"/>
          <w:color w:val="auto"/>
        </w:rPr>
        <w:t>全部排入北沙窝</w:t>
      </w:r>
      <w:r>
        <w:rPr>
          <w:rFonts w:hint="eastAsia" w:ascii="宋体" w:hAnsi="宋体"/>
          <w:color w:val="auto"/>
        </w:rPr>
        <w:t>。</w:t>
      </w:r>
    </w:p>
    <w:p w14:paraId="73CE110C">
      <w:pPr>
        <w:pStyle w:val="132"/>
        <w:rPr>
          <w:color w:val="auto"/>
        </w:rPr>
      </w:pPr>
      <w:r>
        <w:rPr>
          <w:rFonts w:hint="eastAsia"/>
          <w:color w:val="auto"/>
        </w:rPr>
        <w:t>此外，本项目设置一座有效容积为700m</w:t>
      </w:r>
      <w:r>
        <w:rPr>
          <w:rFonts w:hint="eastAsia"/>
          <w:color w:val="auto"/>
          <w:vertAlign w:val="superscript"/>
        </w:rPr>
        <w:t>3</w:t>
      </w:r>
      <w:r>
        <w:rPr>
          <w:rFonts w:hint="eastAsia"/>
          <w:color w:val="auto"/>
        </w:rPr>
        <w:t>的厂区事故污水池，用于事故废水和初期雨水的存放，事故状态下产生的事故废水可进入事故水池收纳暂存，事故结束后将事故废水送至污水处理站进行达标处理，不进入地表水体，对地表水环境影响较小。</w:t>
      </w:r>
    </w:p>
    <w:bookmarkEnd w:id="358"/>
    <w:bookmarkEnd w:id="359"/>
    <w:p w14:paraId="4370E555">
      <w:pPr>
        <w:pStyle w:val="4"/>
        <w:rPr>
          <w:color w:val="auto"/>
        </w:rPr>
      </w:pPr>
      <w:r>
        <w:rPr>
          <w:color w:val="auto"/>
        </w:rPr>
        <w:t>地下水环境保护措施</w:t>
      </w:r>
    </w:p>
    <w:p w14:paraId="5D1ABDFA">
      <w:pPr>
        <w:pStyle w:val="5"/>
        <w:rPr>
          <w:color w:val="auto"/>
        </w:rPr>
      </w:pPr>
      <w:r>
        <w:rPr>
          <w:rFonts w:hint="eastAsia"/>
          <w:color w:val="auto"/>
        </w:rPr>
        <w:t>防渗原则</w:t>
      </w:r>
    </w:p>
    <w:p w14:paraId="65F70053">
      <w:pPr>
        <w:pStyle w:val="132"/>
        <w:rPr>
          <w:color w:val="auto"/>
        </w:rPr>
      </w:pPr>
      <w:r>
        <w:rPr>
          <w:rFonts w:hint="eastAsia"/>
          <w:color w:val="auto"/>
        </w:rPr>
        <w:t>地下水污染防治措施按照</w:t>
      </w:r>
      <w:r>
        <w:rPr>
          <w:color w:val="auto"/>
        </w:rPr>
        <w:t>“</w:t>
      </w:r>
      <w:r>
        <w:rPr>
          <w:rFonts w:hint="eastAsia"/>
          <w:color w:val="auto"/>
        </w:rPr>
        <w:t>源头控制、分区防治、污染监控、应急响应</w:t>
      </w:r>
      <w:r>
        <w:rPr>
          <w:color w:val="auto"/>
        </w:rPr>
        <w:t>”</w:t>
      </w:r>
      <w:r>
        <w:rPr>
          <w:rFonts w:hint="eastAsia"/>
          <w:color w:val="auto"/>
        </w:rPr>
        <w:t>原则进行设计，从污染物的产生、入渗、扩散、应急响应全阶段进行控制。</w:t>
      </w:r>
    </w:p>
    <w:p w14:paraId="4FD46E8E">
      <w:pPr>
        <w:pStyle w:val="132"/>
        <w:rPr>
          <w:color w:val="auto"/>
        </w:rPr>
      </w:pPr>
      <w:r>
        <w:rPr>
          <w:rFonts w:ascii="Cambria Math" w:hAnsi="Cambria Math" w:cs="Cambria Math"/>
          <w:color w:val="auto"/>
        </w:rPr>
        <w:t>①</w:t>
      </w:r>
      <w:r>
        <w:rPr>
          <w:color w:val="auto"/>
        </w:rPr>
        <w:t xml:space="preserve">源头控制 </w:t>
      </w:r>
    </w:p>
    <w:p w14:paraId="23A227D6">
      <w:pPr>
        <w:pStyle w:val="132"/>
        <w:rPr>
          <w:color w:val="auto"/>
        </w:rPr>
      </w:pPr>
      <w:r>
        <w:rPr>
          <w:color w:val="auto"/>
        </w:rPr>
        <w:t>主要包括在工艺、设备、污水储存及处理构筑物采取相应措施，防止和降低污染物跑、冒、滴、漏，将污染物泄漏的环境风险事故降到最低程度；管线敷设尽量采用“可视化”原则，即管道尽可</w:t>
      </w:r>
      <w:r>
        <w:rPr>
          <w:rFonts w:hint="eastAsia"/>
          <w:color w:val="auto"/>
        </w:rPr>
        <w:t>能在</w:t>
      </w:r>
      <w:r>
        <w:rPr>
          <w:color w:val="auto"/>
        </w:rPr>
        <w:t xml:space="preserve">地上敷设，做到污染物“早发现”早处理，减少由于埋地管道泄漏而造成的地下水污染。 </w:t>
      </w:r>
    </w:p>
    <w:p w14:paraId="1EDF05F3">
      <w:pPr>
        <w:pStyle w:val="132"/>
        <w:rPr>
          <w:color w:val="auto"/>
        </w:rPr>
      </w:pPr>
      <w:r>
        <w:rPr>
          <w:rFonts w:ascii="Cambria Math" w:hAnsi="Cambria Math" w:cs="Cambria Math"/>
          <w:color w:val="auto"/>
        </w:rPr>
        <w:t>②</w:t>
      </w:r>
      <w:r>
        <w:rPr>
          <w:color w:val="auto"/>
        </w:rPr>
        <w:t xml:space="preserve">末端控制措施 </w:t>
      </w:r>
    </w:p>
    <w:p w14:paraId="6CF40082">
      <w:pPr>
        <w:pStyle w:val="132"/>
        <w:rPr>
          <w:color w:val="auto"/>
        </w:rPr>
      </w:pPr>
      <w:r>
        <w:rPr>
          <w:color w:val="auto"/>
        </w:rPr>
        <w:t xml:space="preserve">主要包括厂内污染区地面的防渗措施和泄漏、渗漏污染物收集措施，即在污染区地面进行防渗处理，防止洒落地面的污染物渗入地下，并把滞留在地面的污染物收集起来，集中送至污水处理设施处理；末端控制采取分区防渗原则。 </w:t>
      </w:r>
    </w:p>
    <w:p w14:paraId="67C47522">
      <w:pPr>
        <w:pStyle w:val="132"/>
        <w:rPr>
          <w:color w:val="auto"/>
        </w:rPr>
      </w:pPr>
      <w:r>
        <w:rPr>
          <w:rFonts w:ascii="Cambria Math" w:hAnsi="Cambria Math" w:cs="Cambria Math"/>
          <w:color w:val="auto"/>
        </w:rPr>
        <w:t>③</w:t>
      </w:r>
      <w:r>
        <w:rPr>
          <w:color w:val="auto"/>
        </w:rPr>
        <w:t xml:space="preserve">污染监控体系 </w:t>
      </w:r>
    </w:p>
    <w:p w14:paraId="76CE8791">
      <w:pPr>
        <w:pStyle w:val="132"/>
        <w:rPr>
          <w:color w:val="auto"/>
        </w:rPr>
      </w:pPr>
      <w:r>
        <w:rPr>
          <w:color w:val="auto"/>
        </w:rPr>
        <w:t xml:space="preserve">实施覆盖生产区的地下水污染监控系统，包括建立完善的监测制度、配备先进的检测仪器和设备、科学、合理设置地下水污染监测位置，及时发现污染、及时控制。 </w:t>
      </w:r>
    </w:p>
    <w:p w14:paraId="6C33CD4B">
      <w:pPr>
        <w:pStyle w:val="132"/>
        <w:rPr>
          <w:color w:val="auto"/>
        </w:rPr>
      </w:pPr>
      <w:r>
        <w:rPr>
          <w:rFonts w:ascii="Cambria Math" w:hAnsi="Cambria Math" w:cs="Cambria Math"/>
          <w:color w:val="auto"/>
        </w:rPr>
        <w:t>④</w:t>
      </w:r>
      <w:r>
        <w:rPr>
          <w:color w:val="auto"/>
        </w:rPr>
        <w:t xml:space="preserve">应急响应措施 </w:t>
      </w:r>
    </w:p>
    <w:p w14:paraId="1A57ADC2">
      <w:pPr>
        <w:pStyle w:val="132"/>
        <w:rPr>
          <w:color w:val="auto"/>
        </w:rPr>
      </w:pPr>
      <w:r>
        <w:rPr>
          <w:color w:val="auto"/>
        </w:rPr>
        <w:t xml:space="preserve">包括一旦发现地下水污染事故，立即启动应急预案、采取应急措施控制地下水污染，并使污染得到治理。 </w:t>
      </w:r>
    </w:p>
    <w:p w14:paraId="30B1BA87">
      <w:pPr>
        <w:pStyle w:val="5"/>
        <w:rPr>
          <w:color w:val="auto"/>
        </w:rPr>
      </w:pPr>
      <w:r>
        <w:rPr>
          <w:color w:val="auto"/>
        </w:rPr>
        <w:t>地下水防渗、防污措施。</w:t>
      </w:r>
    </w:p>
    <w:p w14:paraId="2D4D98B9">
      <w:pPr>
        <w:pStyle w:val="132"/>
        <w:rPr>
          <w:bCs/>
          <w:snapToGrid w:val="0"/>
          <w:color w:val="auto"/>
          <w:lang w:eastAsia="zh-TW"/>
        </w:rPr>
      </w:pPr>
      <w:r>
        <w:rPr>
          <w:rFonts w:hint="eastAsia"/>
          <w:bCs/>
          <w:snapToGrid w:val="0"/>
          <w:color w:val="auto"/>
          <w:lang w:eastAsia="zh-TW"/>
        </w:rPr>
        <w:t>本项目</w:t>
      </w:r>
      <w:r>
        <w:rPr>
          <w:bCs/>
          <w:snapToGrid w:val="0"/>
          <w:color w:val="auto"/>
          <w:lang w:eastAsia="zh-TW"/>
        </w:rPr>
        <w:t>根据可能泄漏至地面的污染物的性质和生产单元的构建方式，结合拟建项目总平面布置情况，将厂区各生产、生活功能单元可能产生污染的地区划分为重点防渗区、一般防渗区和简单防渗区，</w:t>
      </w:r>
      <w:r>
        <w:rPr>
          <w:rFonts w:hint="eastAsia"/>
          <w:bCs/>
          <w:snapToGrid w:val="0"/>
          <w:color w:val="auto"/>
          <w:lang w:eastAsia="zh-TW"/>
        </w:rPr>
        <w:t>严格按照《危险废物贮存污染控制标准》（GB 18597-2023）《环境影响评价技术导则 地下水环境》(HJ 610-2016)等相关要求进行防渗，</w:t>
      </w:r>
      <w:r>
        <w:rPr>
          <w:bCs/>
          <w:snapToGrid w:val="0"/>
          <w:color w:val="auto"/>
          <w:lang w:eastAsia="zh-TW"/>
        </w:rPr>
        <w:t>对厂区可能泄漏污染物的地面进行防渗处理，可有效</w:t>
      </w:r>
      <w:r>
        <w:rPr>
          <w:rFonts w:hint="eastAsia"/>
          <w:bCs/>
          <w:snapToGrid w:val="0"/>
          <w:color w:val="auto"/>
          <w:lang w:eastAsia="zh-TW"/>
        </w:rPr>
        <w:t>防止</w:t>
      </w:r>
      <w:r>
        <w:rPr>
          <w:bCs/>
          <w:snapToGrid w:val="0"/>
          <w:color w:val="auto"/>
          <w:lang w:eastAsia="zh-TW"/>
        </w:rPr>
        <w:t>污染物渗入地下，并及时地将泄漏/渗漏的污染物收集并进行集中处理。</w:t>
      </w:r>
    </w:p>
    <w:p w14:paraId="14E8B638">
      <w:pPr>
        <w:pStyle w:val="132"/>
        <w:rPr>
          <w:color w:val="auto"/>
        </w:rPr>
      </w:pPr>
      <w:r>
        <w:rPr>
          <w:color w:val="auto"/>
        </w:rPr>
        <w:t>（1）地面防渗工程设计原则</w:t>
      </w:r>
    </w:p>
    <w:p w14:paraId="3EA340FC">
      <w:pPr>
        <w:pStyle w:val="132"/>
        <w:rPr>
          <w:snapToGrid w:val="0"/>
          <w:color w:val="auto"/>
          <w:lang w:val="zh-TW"/>
        </w:rPr>
      </w:pPr>
      <w:r>
        <w:rPr>
          <w:rFonts w:hint="eastAsia"/>
          <w:bCs/>
          <w:snapToGrid w:val="0"/>
          <w:color w:val="auto"/>
        </w:rPr>
        <w:t>采用</w:t>
      </w:r>
      <w:r>
        <w:rPr>
          <w:bCs/>
          <w:snapToGrid w:val="0"/>
          <w:color w:val="auto"/>
        </w:rPr>
        <w:t>国际国内先进的防渗材料、技术和实施手段，确保工 程建设对区域</w:t>
      </w:r>
      <w:r>
        <w:rPr>
          <w:snapToGrid w:val="0"/>
          <w:color w:val="auto"/>
          <w:lang w:val="zh-TW"/>
        </w:rPr>
        <w:t>内地下水环境影响较小、地下水现有水体功能不发生明显改变；</w:t>
      </w:r>
    </w:p>
    <w:p w14:paraId="1800D7B2">
      <w:pPr>
        <w:pStyle w:val="132"/>
        <w:rPr>
          <w:snapToGrid w:val="0"/>
          <w:color w:val="auto"/>
          <w:lang w:val="zh-TW"/>
        </w:rPr>
      </w:pPr>
      <w:r>
        <w:rPr>
          <w:snapToGrid w:val="0"/>
          <w:color w:val="auto"/>
          <w:lang w:val="zh-TW"/>
        </w:rPr>
        <w:t>坚持分区管理和控制原则，根据场址所在地的工程地质、 水文地质条件和全厂可能发生泄漏的物料性质、排放量，参照相应标 准要求有针对性</w:t>
      </w:r>
      <w:r>
        <w:rPr>
          <w:rFonts w:hint="eastAsia"/>
          <w:snapToGrid w:val="0"/>
          <w:color w:val="auto"/>
          <w:lang w:val="zh-TW"/>
        </w:rPr>
        <w:t>地</w:t>
      </w:r>
      <w:r>
        <w:rPr>
          <w:snapToGrid w:val="0"/>
          <w:color w:val="auto"/>
          <w:lang w:val="zh-TW"/>
        </w:rPr>
        <w:t>分区，并分别设计地面防渗层结构；</w:t>
      </w:r>
    </w:p>
    <w:p w14:paraId="735F7A76">
      <w:pPr>
        <w:pStyle w:val="132"/>
        <w:rPr>
          <w:snapToGrid w:val="0"/>
          <w:color w:val="auto"/>
          <w:lang w:val="zh-TW"/>
        </w:rPr>
      </w:pPr>
      <w:r>
        <w:rPr>
          <w:snapToGrid w:val="0"/>
          <w:color w:val="auto"/>
          <w:lang w:val="zh-TW"/>
        </w:rPr>
        <w:t>坚持“可视化”原则，在满足工程和防渗层结构标准要求 的前提下，尽量在地表实施防渗措施建设，便于泄漏物质的收集和防渗层破损被及时发现；</w:t>
      </w:r>
    </w:p>
    <w:p w14:paraId="30EA06EA">
      <w:pPr>
        <w:pStyle w:val="132"/>
        <w:rPr>
          <w:snapToGrid w:val="0"/>
          <w:color w:val="auto"/>
          <w:lang w:val="zh-TW"/>
        </w:rPr>
      </w:pPr>
      <w:r>
        <w:rPr>
          <w:snapToGrid w:val="0"/>
          <w:color w:val="auto"/>
          <w:lang w:val="zh-TW"/>
        </w:rPr>
        <w:t>在实施防渗区域设置检漏装置，在重点防渗区设置防渗措施的自动检漏装置；</w:t>
      </w:r>
    </w:p>
    <w:p w14:paraId="1D181733">
      <w:pPr>
        <w:pStyle w:val="132"/>
        <w:rPr>
          <w:snapToGrid w:val="0"/>
          <w:color w:val="auto"/>
          <w:lang w:val="zh-TW"/>
        </w:rPr>
      </w:pPr>
      <w:r>
        <w:rPr>
          <w:snapToGrid w:val="0"/>
          <w:color w:val="auto"/>
          <w:lang w:val="zh-TW"/>
        </w:rPr>
        <w:t>被防渗层阻隔和进入防渗层内的渗漏污染物，与厂区其他“三废</w:t>
      </w:r>
      <w:r>
        <w:rPr>
          <w:snapToGrid w:val="0"/>
          <w:color w:val="auto"/>
          <w:lang w:val="zh-TW" w:eastAsia="zh-TW"/>
        </w:rPr>
        <w:t>”</w:t>
      </w:r>
      <w:r>
        <w:rPr>
          <w:snapToGrid w:val="0"/>
          <w:color w:val="auto"/>
          <w:lang w:val="zh-TW"/>
        </w:rPr>
        <w:t>统一收集处理。</w:t>
      </w:r>
    </w:p>
    <w:p w14:paraId="403ED159">
      <w:pPr>
        <w:pStyle w:val="132"/>
        <w:rPr>
          <w:bCs/>
          <w:snapToGrid w:val="0"/>
          <w:color w:val="auto"/>
          <w:lang w:eastAsia="zh-TW"/>
        </w:rPr>
      </w:pPr>
      <w:r>
        <w:rPr>
          <w:color w:val="auto"/>
        </w:rPr>
        <w:t>（2）防渗区划分</w:t>
      </w:r>
    </w:p>
    <w:p w14:paraId="44F22AA8">
      <w:pPr>
        <w:pStyle w:val="132"/>
        <w:rPr>
          <w:bCs/>
          <w:snapToGrid w:val="0"/>
          <w:color w:val="auto"/>
          <w:lang w:eastAsia="zh-TW"/>
        </w:rPr>
      </w:pPr>
      <w:r>
        <w:rPr>
          <w:rFonts w:asciiTheme="minorEastAsia" w:hAnsiTheme="minorEastAsia" w:eastAsiaTheme="minorEastAsia"/>
          <w:bCs/>
          <w:snapToGrid w:val="0"/>
          <w:color w:val="auto"/>
        </w:rPr>
        <w:t xml:space="preserve">① </w:t>
      </w:r>
      <w:r>
        <w:rPr>
          <w:bCs/>
          <w:snapToGrid w:val="0"/>
          <w:color w:val="auto"/>
          <w:lang w:eastAsia="zh-TW"/>
        </w:rPr>
        <w:t>重点防渗区</w:t>
      </w:r>
    </w:p>
    <w:p w14:paraId="195B5B61">
      <w:pPr>
        <w:pStyle w:val="132"/>
        <w:rPr>
          <w:color w:val="auto"/>
        </w:rPr>
      </w:pPr>
      <w:r>
        <w:rPr>
          <w:color w:val="auto"/>
        </w:rPr>
        <w:t>重点防渗区指位于地下或者半地下的生产功能单元，污染地下水环境的污染物泄漏后不容易被及时发现或处理的区域和部位，以及虽可被及时发现并处理，但污染物泄漏后污染状况较严重的生产功能单元，该区域采取严格的防腐、防渗措施。本项目需将</w:t>
      </w:r>
      <w:r>
        <w:rPr>
          <w:rFonts w:hint="eastAsia"/>
          <w:color w:val="auto"/>
        </w:rPr>
        <w:t>危险废物处置和催化剂生产</w:t>
      </w:r>
      <w:r>
        <w:rPr>
          <w:color w:val="auto"/>
        </w:rPr>
        <w:t>车间、危险废物暂存间等作为重点防渗区，整体进行防渗。</w:t>
      </w:r>
    </w:p>
    <w:p w14:paraId="60CD64BD">
      <w:pPr>
        <w:pStyle w:val="2404"/>
        <w:rPr>
          <w:color w:val="auto"/>
        </w:rPr>
      </w:pPr>
      <w:bookmarkStart w:id="360" w:name="_Hlk200965459"/>
      <w:r>
        <w:rPr>
          <w:color w:val="auto"/>
        </w:rPr>
        <w:t>危险废物贮存间防渗参照《危险废物贮存污染控制标准》（GB18597-2023）</w:t>
      </w:r>
      <w:bookmarkEnd w:id="360"/>
      <w:r>
        <w:rPr>
          <w:color w:val="auto"/>
        </w:rPr>
        <w:t>进行设计，要求：防渗层为至少lm厚粘土层（渗透系数≤10</w:t>
      </w:r>
      <w:r>
        <w:rPr>
          <w:color w:val="auto"/>
          <w:vertAlign w:val="superscript"/>
        </w:rPr>
        <w:t>-7</w:t>
      </w:r>
      <w:r>
        <w:rPr>
          <w:color w:val="auto"/>
        </w:rPr>
        <w:t xml:space="preserve"> cm/s)，或2mm厚高密度聚乙烯，或至少 2 mm 厚的</w:t>
      </w:r>
      <w:r>
        <w:rPr>
          <w:rFonts w:hint="eastAsia"/>
          <w:color w:val="auto"/>
        </w:rPr>
        <w:t>其他人工</w:t>
      </w:r>
      <w:r>
        <w:rPr>
          <w:color w:val="auto"/>
        </w:rPr>
        <w:t>材料，渗透系数≤10</w:t>
      </w:r>
      <w:r>
        <w:rPr>
          <w:color w:val="auto"/>
          <w:vertAlign w:val="superscript"/>
        </w:rPr>
        <w:t>-10</w:t>
      </w:r>
      <w:r>
        <w:rPr>
          <w:color w:val="auto"/>
        </w:rPr>
        <w:t>cm/s 。</w:t>
      </w:r>
    </w:p>
    <w:p w14:paraId="429E91F5">
      <w:pPr>
        <w:pStyle w:val="132"/>
        <w:rPr>
          <w:color w:val="auto"/>
        </w:rPr>
      </w:pPr>
      <w:r>
        <w:rPr>
          <w:color w:val="auto"/>
        </w:rPr>
        <w:t>其他重点防渗区防渗层的防渗性能要求：不低于6.0m 、厚渗透系数为1.0×10</w:t>
      </w:r>
      <w:r>
        <w:rPr>
          <w:color w:val="auto"/>
          <w:vertAlign w:val="superscript"/>
        </w:rPr>
        <w:t>-7</w:t>
      </w:r>
      <w:r>
        <w:rPr>
          <w:color w:val="auto"/>
        </w:rPr>
        <w:t>cm/s 的粘土层的防渗性能。</w:t>
      </w:r>
    </w:p>
    <w:p w14:paraId="5852420A">
      <w:pPr>
        <w:pStyle w:val="132"/>
        <w:rPr>
          <w:bCs/>
          <w:snapToGrid w:val="0"/>
          <w:color w:val="auto"/>
          <w:lang w:eastAsia="zh-TW"/>
        </w:rPr>
      </w:pPr>
      <w:bookmarkStart w:id="361" w:name="OLE_LINK129"/>
      <w:r>
        <w:rPr>
          <w:rFonts w:asciiTheme="minorEastAsia" w:hAnsiTheme="minorEastAsia" w:eastAsiaTheme="minorEastAsia"/>
          <w:bCs/>
          <w:snapToGrid w:val="0"/>
          <w:color w:val="auto"/>
        </w:rPr>
        <w:t>②</w:t>
      </w:r>
      <w:r>
        <w:rPr>
          <w:bCs/>
          <w:snapToGrid w:val="0"/>
          <w:color w:val="auto"/>
        </w:rPr>
        <w:t xml:space="preserve"> </w:t>
      </w:r>
      <w:r>
        <w:rPr>
          <w:bCs/>
          <w:snapToGrid w:val="0"/>
          <w:color w:val="auto"/>
          <w:lang w:eastAsia="zh-TW"/>
        </w:rPr>
        <w:t>一般防渗区</w:t>
      </w:r>
    </w:p>
    <w:p w14:paraId="66BC51E5">
      <w:pPr>
        <w:pStyle w:val="132"/>
        <w:rPr>
          <w:color w:val="auto"/>
          <w:szCs w:val="28"/>
        </w:rPr>
      </w:pPr>
      <w:r>
        <w:rPr>
          <w:color w:val="auto"/>
        </w:rPr>
        <w:t>指裸露在地面的生产功能单元，污染物料泄漏容易及时发现和处理的区域，以及其他需采取必要防渗措施的水工建筑物等。一般防渗区防渗层的防渗性能不应低于1.5m厚渗透系数为1.0×10</w:t>
      </w:r>
      <w:r>
        <w:rPr>
          <w:color w:val="auto"/>
          <w:vertAlign w:val="superscript"/>
        </w:rPr>
        <w:t>-7</w:t>
      </w:r>
      <w:r>
        <w:rPr>
          <w:color w:val="auto"/>
        </w:rPr>
        <w:t>cm/s的黏土层的防渗性能</w:t>
      </w:r>
      <w:r>
        <w:rPr>
          <w:rFonts w:hint="eastAsia"/>
          <w:color w:val="auto"/>
        </w:rPr>
        <w:t>，或参照GB16889执行。</w:t>
      </w:r>
    </w:p>
    <w:p w14:paraId="619EBD58">
      <w:pPr>
        <w:pStyle w:val="132"/>
        <w:rPr>
          <w:bCs/>
          <w:snapToGrid w:val="0"/>
          <w:color w:val="auto"/>
        </w:rPr>
      </w:pPr>
      <w:r>
        <w:rPr>
          <w:bCs/>
          <w:snapToGrid w:val="0"/>
          <w:color w:val="auto"/>
          <w:lang w:eastAsia="zh-TW"/>
        </w:rPr>
        <w:t>本项目一般防渗区主要包括</w:t>
      </w:r>
      <w:r>
        <w:rPr>
          <w:bCs/>
          <w:snapToGrid w:val="0"/>
          <w:color w:val="auto"/>
        </w:rPr>
        <w:t>：</w:t>
      </w:r>
      <w:r>
        <w:rPr>
          <w:color w:val="auto"/>
        </w:rPr>
        <w:t>普通物料仓库等</w:t>
      </w:r>
      <w:r>
        <w:rPr>
          <w:rFonts w:hint="eastAsia"/>
          <w:color w:val="auto"/>
        </w:rPr>
        <w:t>、锅炉房、公用工程间、事故水池、消防水池等</w:t>
      </w:r>
      <w:r>
        <w:rPr>
          <w:color w:val="auto"/>
        </w:rPr>
        <w:t>。</w:t>
      </w:r>
    </w:p>
    <w:p w14:paraId="21D2BC2D">
      <w:pPr>
        <w:pStyle w:val="132"/>
        <w:rPr>
          <w:color w:val="auto"/>
        </w:rPr>
      </w:pPr>
      <w:r>
        <w:rPr>
          <w:color w:val="auto"/>
        </w:rPr>
        <w:t>在抗渗钢纤维混凝土面层中掺水泥基渗透结晶型防水剂，其下铺砌砂石基层，原土夯实，可达到防渗的目的。对于混凝土中间的伸缩缝和与实体基础的缝隙，通过填充柔性材料达到防渗的目的</w:t>
      </w:r>
      <w:bookmarkEnd w:id="361"/>
      <w:r>
        <w:rPr>
          <w:color w:val="auto"/>
        </w:rPr>
        <w:t>，渗透系数不大于1.0×10</w:t>
      </w:r>
      <w:r>
        <w:rPr>
          <w:color w:val="auto"/>
          <w:vertAlign w:val="superscript"/>
        </w:rPr>
        <w:t>-7</w:t>
      </w:r>
      <w:r>
        <w:rPr>
          <w:color w:val="auto"/>
        </w:rPr>
        <w:t>cm/s。</w:t>
      </w:r>
    </w:p>
    <w:p w14:paraId="2C89D0B5">
      <w:pPr>
        <w:pStyle w:val="132"/>
        <w:numPr>
          <w:ilvl w:val="0"/>
          <w:numId w:val="27"/>
        </w:numPr>
        <w:ind w:firstLineChars="0"/>
        <w:rPr>
          <w:snapToGrid w:val="0"/>
          <w:color w:val="auto"/>
        </w:rPr>
      </w:pPr>
      <w:r>
        <w:rPr>
          <w:snapToGrid w:val="0"/>
          <w:color w:val="auto"/>
          <w:lang w:eastAsia="zh-TW"/>
        </w:rPr>
        <w:t>简单防渗区</w:t>
      </w:r>
    </w:p>
    <w:p w14:paraId="3E1878BC">
      <w:pPr>
        <w:pStyle w:val="132"/>
        <w:ind w:firstLineChars="0"/>
        <w:rPr>
          <w:snapToGrid w:val="0"/>
          <w:color w:val="auto"/>
        </w:rPr>
      </w:pPr>
      <w:r>
        <w:rPr>
          <w:snapToGrid w:val="0"/>
          <w:color w:val="auto"/>
          <w:lang w:eastAsia="zh-TW"/>
        </w:rPr>
        <w:t>不会对地下水环境造成污染的区域，主要包括</w:t>
      </w:r>
      <w:r>
        <w:rPr>
          <w:rFonts w:hint="eastAsia"/>
          <w:color w:val="auto"/>
        </w:rPr>
        <w:t>办公生活区、中央控制室、变电室、门卫</w:t>
      </w:r>
      <w:r>
        <w:rPr>
          <w:snapToGrid w:val="0"/>
          <w:color w:val="auto"/>
          <w:lang w:eastAsia="zh-TW"/>
        </w:rPr>
        <w:t>等，不</w:t>
      </w:r>
      <w:r>
        <w:rPr>
          <w:rFonts w:hint="eastAsia"/>
          <w:snapToGrid w:val="0"/>
          <w:color w:val="auto"/>
        </w:rPr>
        <w:t>采取</w:t>
      </w:r>
      <w:r>
        <w:rPr>
          <w:snapToGrid w:val="0"/>
          <w:color w:val="auto"/>
          <w:lang w:eastAsia="zh-TW"/>
        </w:rPr>
        <w:t>专门针对地下</w:t>
      </w:r>
      <w:r>
        <w:rPr>
          <w:snapToGrid w:val="0"/>
          <w:color w:val="auto"/>
        </w:rPr>
        <w:t>水</w:t>
      </w:r>
      <w:r>
        <w:rPr>
          <w:snapToGrid w:val="0"/>
          <w:color w:val="auto"/>
          <w:lang w:eastAsia="zh-TW"/>
        </w:rPr>
        <w:t>污染的防治措施</w:t>
      </w:r>
      <w:r>
        <w:rPr>
          <w:snapToGrid w:val="0"/>
          <w:color w:val="auto"/>
        </w:rPr>
        <w:t>，</w:t>
      </w:r>
      <w:r>
        <w:rPr>
          <w:snapToGrid w:val="0"/>
          <w:color w:val="auto"/>
          <w:lang w:eastAsia="zh-TW"/>
        </w:rPr>
        <w:t>进行简单的地面硬化即可。</w:t>
      </w:r>
    </w:p>
    <w:p w14:paraId="4BDC9AFD">
      <w:pPr>
        <w:pStyle w:val="132"/>
        <w:rPr>
          <w:color w:val="auto"/>
        </w:rPr>
      </w:pPr>
      <w:r>
        <w:rPr>
          <w:color w:val="auto"/>
        </w:rPr>
        <w:t>项目厂区</w:t>
      </w:r>
      <w:r>
        <w:rPr>
          <w:rFonts w:hint="eastAsia"/>
          <w:color w:val="auto"/>
        </w:rPr>
        <w:t>分区防渗图见图6.3-2，</w:t>
      </w:r>
      <w:r>
        <w:rPr>
          <w:color w:val="auto"/>
        </w:rPr>
        <w:t>分区污染防治措施一览表</w:t>
      </w:r>
      <w:r>
        <w:rPr>
          <w:rFonts w:hint="eastAsia"/>
          <w:color w:val="auto"/>
        </w:rPr>
        <w:t>见表6.3-1。</w:t>
      </w:r>
      <w:r>
        <w:rPr>
          <w:color w:val="auto"/>
        </w:rPr>
        <w:t xml:space="preserve"> </w:t>
      </w:r>
    </w:p>
    <w:p w14:paraId="6932BBD1">
      <w:pPr>
        <w:pStyle w:val="132"/>
        <w:rPr>
          <w:color w:val="auto"/>
        </w:rPr>
      </w:pPr>
    </w:p>
    <w:p w14:paraId="5A5C2DF2">
      <w:pPr>
        <w:pStyle w:val="132"/>
        <w:rPr>
          <w:rFonts w:ascii="Cambria Math" w:hAnsi="Cambria Math" w:cs="Cambria Math"/>
          <w:color w:val="auto"/>
          <w:lang w:eastAsia="zh-TW"/>
        </w:rPr>
      </w:pPr>
    </w:p>
    <w:p w14:paraId="1D5B81C5">
      <w:pPr>
        <w:pStyle w:val="132"/>
        <w:rPr>
          <w:color w:val="auto"/>
        </w:rPr>
      </w:pPr>
      <w:r>
        <w:rPr>
          <w:color w:val="auto"/>
        </w:rPr>
        <w:t xml:space="preserve"> </w:t>
      </w:r>
    </w:p>
    <w:p w14:paraId="5A8E28C6">
      <w:pPr>
        <w:pStyle w:val="132"/>
        <w:rPr>
          <w:color w:val="auto"/>
        </w:rPr>
        <w:sectPr>
          <w:pgSz w:w="11906" w:h="16838"/>
          <w:pgMar w:top="1440" w:right="1588" w:bottom="1389" w:left="1588" w:header="737" w:footer="794" w:gutter="0"/>
          <w:cols w:space="425" w:num="1"/>
          <w:docGrid w:type="lines" w:linePitch="312" w:charSpace="0"/>
        </w:sectPr>
      </w:pPr>
    </w:p>
    <w:p w14:paraId="1ABF1557">
      <w:pPr>
        <w:pStyle w:val="132"/>
        <w:rPr>
          <w:color w:val="auto"/>
        </w:rPr>
      </w:pPr>
    </w:p>
    <w:p w14:paraId="2FA2632D">
      <w:pPr>
        <w:pStyle w:val="132"/>
        <w:rPr>
          <w:color w:val="auto"/>
        </w:rPr>
      </w:pPr>
    </w:p>
    <w:p w14:paraId="03C39483">
      <w:pPr>
        <w:pStyle w:val="132"/>
        <w:rPr>
          <w:color w:val="auto"/>
        </w:rPr>
      </w:pPr>
    </w:p>
    <w:p w14:paraId="01250CEE">
      <w:pPr>
        <w:pStyle w:val="132"/>
        <w:rPr>
          <w:color w:val="auto"/>
        </w:rPr>
      </w:pPr>
    </w:p>
    <w:p w14:paraId="056DC7CD">
      <w:pPr>
        <w:pStyle w:val="132"/>
        <w:rPr>
          <w:color w:val="auto"/>
        </w:rPr>
      </w:pPr>
      <w:r>
        <w:rPr>
          <w:color w:val="auto"/>
        </w:rPr>
        <mc:AlternateContent>
          <mc:Choice Requires="wps">
            <w:drawing>
              <wp:anchor distT="0" distB="0" distL="114300" distR="114300" simplePos="0" relativeHeight="251694080" behindDoc="0" locked="0" layoutInCell="1" allowOverlap="1">
                <wp:simplePos x="0" y="0"/>
                <wp:positionH relativeFrom="column">
                  <wp:posOffset>632460</wp:posOffset>
                </wp:positionH>
                <wp:positionV relativeFrom="paragraph">
                  <wp:posOffset>6433820</wp:posOffset>
                </wp:positionV>
                <wp:extent cx="661670" cy="784225"/>
                <wp:effectExtent l="0" t="0" r="5080" b="0"/>
                <wp:wrapNone/>
                <wp:docPr id="1555867607" name="矩形 63"/>
                <wp:cNvGraphicFramePr/>
                <a:graphic xmlns:a="http://schemas.openxmlformats.org/drawingml/2006/main">
                  <a:graphicData uri="http://schemas.microsoft.com/office/word/2010/wordprocessingShape">
                    <wps:wsp>
                      <wps:cNvSpPr/>
                      <wps:spPr>
                        <a:xfrm>
                          <a:off x="0" y="0"/>
                          <a:ext cx="661727" cy="7844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BBED0">
                            <w:pPr>
                              <w:snapToGrid w:val="0"/>
                              <w:spacing w:line="400" w:lineRule="exact"/>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简单防渗区</w:t>
                            </w:r>
                          </w:p>
                          <w:p w14:paraId="5053F107">
                            <w:pPr>
                              <w:snapToGrid w:val="0"/>
                              <w:spacing w:line="400" w:lineRule="exact"/>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一般防渗区</w:t>
                            </w:r>
                          </w:p>
                          <w:p w14:paraId="3F526D9D">
                            <w:pPr>
                              <w:snapToGrid w:val="0"/>
                              <w:spacing w:line="400" w:lineRule="exact"/>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重点防渗区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矩形 63" o:spid="_x0000_s1026" o:spt="1" style="position:absolute;left:0pt;margin-left:49.8pt;margin-top:506.6pt;height:61.75pt;width:52.1pt;z-index:251694080;v-text-anchor:middle;mso-width-relative:page;mso-height-relative:page;" fillcolor="#FFFFFF [3212]" filled="t" stroked="f" coordsize="21600,21600" o:gfxdata="UEsDBAoAAAAAAIdO4kAAAAAAAAAAAAAAAAAEAAAAZHJzL1BLAwQUAAAACACHTuJA7lP9kdkAAAAM&#10;AQAADwAAAGRycy9kb3ducmV2LnhtbE2PTU7DMBCF90jcwRokNojaSauEhjgVQgK17Cg9wCQ2SUQ8&#10;jmKnDbdnWMFy3nx6P+VucYM42yn0njQkKwXCUuNNT62G08fL/QOIEJEMDp6shm8bYFddX5VYGH+h&#10;d3s+xlawCYUCNXQxjoWUoemsw7DyoyX+ffrJYeRzaqWZ8MLmbpCpUpl02BMndDja5842X8fZaXjb&#10;36HZbJ78cphzSsO+fj2ccq1vbxL1CCLaJf7B8Fufq0PFnWo/kwli0LDdZkyyrpJ1CoKJVK15TM1S&#10;ss5ykFUp/4+ofgBQSwMEFAAAAAgAh07iQKSpoFJkAgAAuAQAAA4AAABkcnMvZTJvRG9jLnhtbK1U&#10;wW4TMRC9I/EPlu90k9BsoqibKmoUhFTRSgVxdrzerCXbY8ZONuVnkLjxEXwO4jcYezctFA49kIMz&#10;Xs++N/P8Zi8uj9awg8KgwVV8fDbiTDkJtXa7in94v3k15yxE4WphwKmK36vAL5cvX1x0fqEm0IKp&#10;FTICcWHR+Yq3MfpFUQTZKivCGXjl6LABtCLSFndFjaIjdGuKyWhUFh1g7RGkCoGervtDPiDicwCh&#10;abRUa5B7q1zsUVEZEaml0Gof+DJX2zRKxpumCSoyU3HqNOaVSCjeprVYXojFDoVvtRxKEM8p4UlP&#10;VmhHpA9QaxEF26P+C8pqiRCgiWcSbNE3khWhLsajJ9rctcKr3AtJHfyD6OH/wcp3h1tkuiYnTKfT&#10;eTkrRzPOnLB08z+/fPvx/SsrXyeVOh8WlHznb3HYBQpTy8cGbfqnZtgxK3v/oKw6RibpYVmOZxMC&#10;lnQ0m5+fl5OEWTy+7DHENwosS0HFkS4u6ykO1yH2qaeUxBXA6Hqjjckb3G2vDLKDoEve5N+A/kea&#10;cayr+GR6PqLLl4Ks25BlKLSe2g9ux5kwO5oJGTFzO0gMRC4WiXstQttzZNiBwjjqI4nTy5GieNwe&#10;B422UN+Tvgi98YKXG01Q1yLEW4HkNCqFZjHe0NIYoPpgiDhrAT//63nKJwPQKWcdOZdq/7QXqDgz&#10;bx1ZI9n8FOAp2J4Ct7dXQDqNacq9zCG9gNGcwgbBfqQRXSUWOhJOElevyrC5iv0E0ZBLtVrlNLKz&#10;F/Ha3XmZwJNoDlb7CI3O95eE6dUY9CJDZwcMw5cm5vd9znr84C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5T/ZHZAAAADAEAAA8AAAAAAAAAAQAgAAAAIgAAAGRycy9kb3ducmV2LnhtbFBLAQIU&#10;ABQAAAAIAIdO4kCkqaBSZAIAALgEAAAOAAAAAAAAAAEAIAAAACgBAABkcnMvZTJvRG9jLnhtbFBL&#10;BQYAAAAABgAGAFkBAAD+BQAAAAA=&#10;">
                <v:fill on="t" focussize="0,0"/>
                <v:stroke on="f" weight="2pt"/>
                <v:imagedata o:title=""/>
                <o:lock v:ext="edit" aspectratio="f"/>
                <v:textbox inset="0mm,0mm,0mm,0mm">
                  <w:txbxContent>
                    <w:p w14:paraId="327BBED0">
                      <w:pPr>
                        <w:snapToGrid w:val="0"/>
                        <w:spacing w:line="400" w:lineRule="exact"/>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简单防渗区</w:t>
                      </w:r>
                    </w:p>
                    <w:p w14:paraId="5053F107">
                      <w:pPr>
                        <w:snapToGrid w:val="0"/>
                        <w:spacing w:line="400" w:lineRule="exact"/>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一般防渗区</w:t>
                      </w:r>
                    </w:p>
                    <w:p w14:paraId="3F526D9D">
                      <w:pPr>
                        <w:snapToGrid w:val="0"/>
                        <w:spacing w:line="400" w:lineRule="exact"/>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重点防渗区</w:t>
                      </w:r>
                    </w:p>
                  </w:txbxContent>
                </v:textbox>
              </v:rect>
            </w:pict>
          </mc:Fallback>
        </mc:AlternateContent>
      </w:r>
      <w:r>
        <w:rPr>
          <w:color w:val="auto"/>
        </w:rPr>
        <mc:AlternateContent>
          <mc:Choice Requires="wps">
            <w:drawing>
              <wp:anchor distT="0" distB="0" distL="114300" distR="114300" simplePos="0" relativeHeight="251693056" behindDoc="0" locked="0" layoutInCell="1" allowOverlap="1">
                <wp:simplePos x="0" y="0"/>
                <wp:positionH relativeFrom="column">
                  <wp:posOffset>419100</wp:posOffset>
                </wp:positionH>
                <wp:positionV relativeFrom="paragraph">
                  <wp:posOffset>7073265</wp:posOffset>
                </wp:positionV>
                <wp:extent cx="197485" cy="102235"/>
                <wp:effectExtent l="0" t="0" r="12065" b="12065"/>
                <wp:wrapNone/>
                <wp:docPr id="713049299" name="矩形 62"/>
                <wp:cNvGraphicFramePr/>
                <a:graphic xmlns:a="http://schemas.openxmlformats.org/drawingml/2006/main">
                  <a:graphicData uri="http://schemas.microsoft.com/office/word/2010/wordprocessingShape">
                    <wps:wsp>
                      <wps:cNvSpPr/>
                      <wps:spPr>
                        <a:xfrm>
                          <a:off x="0" y="0"/>
                          <a:ext cx="197485" cy="102235"/>
                        </a:xfrm>
                        <a:prstGeom prst="rect">
                          <a:avLst/>
                        </a:prstGeom>
                        <a:solidFill>
                          <a:srgbClr val="EE00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33pt;margin-top:556.95pt;height:8.05pt;width:15.55pt;z-index:251693056;v-text-anchor:middle;mso-width-relative:page;mso-height-relative:page;" fillcolor="#EE0000" filled="t" stroked="t" coordsize="21600,21600" o:gfxdata="UEsDBAoAAAAAAIdO4kAAAAAAAAAAAAAAAAAEAAAAZHJzL1BLAwQUAAAACACHTuJA5OD3E9kAAAAL&#10;AQAADwAAAGRycy9kb3ducmV2LnhtbE2PwU7DMBBE70j8g7VI3KhtKgINcXpAggMHBKUSVzfexCGx&#10;HcVOUvh6tid63NnRzJtie3Q9m3GMbfAK5EoAQ18F0/pGwf7z+eYBWEzaG90Hjwp+MMK2vLwodG7C&#10;4j9w3qWGUYiPuVZgUxpyzmNl0em4CgN6+tVhdDrROTbcjHqhcNfzWyEy7nTrqcHqAZ8sVt1ucgpe&#10;l+/666XJpt+7fXyb49LV9r1T6vpKikdgCY/p3wwnfEKHkpgOYfImsl5BltGURLqU6w0wcmzuJbDD&#10;SVkLAbws+PmG8g9QSwMEFAAAAAgAh07iQM5m+jqHAgAAJgUAAA4AAABkcnMvZTJvRG9jLnhtbK1U&#10;zW4TMRC+I/EOlu90f7JpmyibKkpShFTRSgVxdrx2diX/YTvZlJdB4sZD8DiI12Bsb5u2INEDOWxm&#10;PDPfeL6Z8eziIAXaM+s6rWpcnOQYMUV106ltjT9+uHxzjpHzRDVEaMVqfMccvpi/fjXrzZSVutWi&#10;YRYBiHLT3tS49d5Ms8zRlkniTrRhCoxcW0k8qHabNZb0gC5FVub5adZr2xirKXMOTlfJiAdE+xJA&#10;zXlH2UrTnWTKJ1TLBPFQkms74/A83pZzRv015455JGoMlfr4hSQgb8I3m8/IdGuJaTs6XIG85ArP&#10;apKkU5D0AWpFPEE72/0BJTtqtdPcn1Ats1RIZASqKPJn3Ny2xLBYC1DtzAPp7v/B0vf7G4u6psZn&#10;xSivJuVkgpEiEhr/6+v3nz++odMykNQbNwXfW3NjB82BGCo+cCvDP9SCDpHYuwdi2cEjCofF5Kw6&#10;H2NEwVTkZTkaB8zsGGys82+ZligINbbQt0gn2V85n1zvXUIup0XXXHZCRMVuN0th0Z5Aj9frHH4p&#10;VpiWpNMqHiYcl9xj+ic4QqG+xqejMcwGJTDZHCYKRGmAHae2GBGxhZWh3kb8J8EDakpXLEejap2c&#10;WtKw4XQcbvaPS4QqV8S1KSSmGEKEgiuHNiTig7TRzR10z+o01s7Qyw7ir4jzN8TCHEMlsOn+Gj5c&#10;aKhODxJGrbZf/nYe/GG8wIpRD3sBpX/eEcswEu8UDN6kqKqwSFGpxmclKPaxZfPYonZyqaEtBbwp&#10;hkYx+HtxL3Kr5Sd4EBYhK5iIopA7kTwoS5/2FZ4UyhaL6AbLY4i/UreGBvAwBkovdl7zLo7LkZ2B&#10;NFif2PFh1cN+Ptaj1/F5m/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OD3E9kAAAALAQAADwAA&#10;AAAAAAABACAAAAAiAAAAZHJzL2Rvd25yZXYueG1sUEsBAhQAFAAAAAgAh07iQM5m+jqHAgAAJgUA&#10;AA4AAAAAAAAAAQAgAAAAKAEAAGRycy9lMm9Eb2MueG1sUEsFBgAAAAAGAAYAWQEAACEGA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91008" behindDoc="0" locked="0" layoutInCell="1" allowOverlap="1">
                <wp:simplePos x="0" y="0"/>
                <wp:positionH relativeFrom="column">
                  <wp:posOffset>419100</wp:posOffset>
                </wp:positionH>
                <wp:positionV relativeFrom="paragraph">
                  <wp:posOffset>6554470</wp:posOffset>
                </wp:positionV>
                <wp:extent cx="190500" cy="102235"/>
                <wp:effectExtent l="0" t="0" r="19050" b="12065"/>
                <wp:wrapNone/>
                <wp:docPr id="1442419065" name="矩形 62"/>
                <wp:cNvGraphicFramePr/>
                <a:graphic xmlns:a="http://schemas.openxmlformats.org/drawingml/2006/main">
                  <a:graphicData uri="http://schemas.microsoft.com/office/word/2010/wordprocessingShape">
                    <wps:wsp>
                      <wps:cNvSpPr/>
                      <wps:spPr>
                        <a:xfrm>
                          <a:off x="0" y="0"/>
                          <a:ext cx="190500" cy="102235"/>
                        </a:xfrm>
                        <a:prstGeom prst="rect">
                          <a:avLst/>
                        </a:prstGeom>
                        <a:solidFill>
                          <a:srgbClr val="00B05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33pt;margin-top:516.1pt;height:8.05pt;width:15pt;z-index:251691008;v-text-anchor:middle;mso-width-relative:page;mso-height-relative:page;" fillcolor="#00B050" filled="t" stroked="t" coordsize="21600,21600" o:gfxdata="UEsDBAoAAAAAAIdO4kAAAAAAAAAAAAAAAAAEAAAAZHJzL1BLAwQUAAAACACHTuJAl0AfRNkAAAAL&#10;AQAADwAAAGRycy9kb3ducmV2LnhtbE2PzU7DMBCE70i8g7VI3KjdFKImxKkQiCJ6a6kQRzdekkC8&#10;jmL3j6dnc4Ljzo5mvikWJ9eJAw6h9aRhOlEgkCpvW6o1bN+eb+YgQjRkTecJNZwxwKK8vChMbv2R&#10;1njYxFpwCIXcaGhi7HMpQ9WgM2HieyT+ffrBmcjnUEs7mCOHu04mSqXSmZa4oTE9PjZYfW/2TsMD&#10;Jdt1vXzKsp/XbPWlzu93Lx9Lra+vpuoeRMRT/DPDiM/oUDLTzu/JBtFpSFOeEllXsyQBwY5sVHaj&#10;cjufgSwL+X9D+QtQSwMEFAAAAAgAh07iQDaclUGDAgAAJwUAAA4AAABkcnMvZTJvRG9jLnhtbK1U&#10;zY7TMBC+I/EOlu9s0vQHttp0VVoWIa3YlRbE2XWcJpJjG9tturwMEjcegsdBvAaf7ewvSOyBHtIZ&#10;z8w3nm9mfHJ66CTZC+tarUo6OsopEYrrqlXbkn78cPbiFSXOM1UxqZUo6bVw9HTx/NlJb+ai0I2W&#10;lbAEIMrNe1PSxnszzzLHG9Exd6SNUDDW2nbMQ7XbrLKsB3onsyLPZ1mvbWWs5sI5nK6TkQ6I9imA&#10;uq5bLtaa7zqhfEK1QjKPklzTGkcX8bZ1Lbi/qGsnPJElRaU+fpEE8iZ8s8UJm28tM03Lhyuwp1zh&#10;UU0daxWS3kKtmWdkZ9s/oLqWW+107Y+47rJUSGQEVYzyR9xcNcyIWAuoduaWdPf/YPn7/aUlbYVJ&#10;mEyKyeg4n00pUaxD5399/f7zxzcyKwJLvXFzOF+ZSztoDmIo+VDbLvyjGHKIzF7fMisOnnAcAnea&#10;g3MO0ygvivE0YGZ3wcY6/1bojgShpBaNi3yy/bnzyfXGJeRyWrbVWStlVOx2s5KW7Flocv4aqVKs&#10;NA1Lp5McvyGlS+4x/QMcqUhf0tkY4YQzjHaNkYLYGdDj1JYSJrfYGe5txH8QPKCmdKPVeDx5k5wa&#10;VonhFBT88xKhyjVzTQqJKYZ7S4UrhzYk4oO00dU12md1mmtn+FmL+HPm/CWzGGRUglX3F/jUUqM6&#10;PUiUNNp++dt58Md8wUpJj8VA6Z93zApK5DuFyTvGoADWR2UyfVlAsfctm/sWtetWGm0Z4VExPIrB&#10;38sbsba6+4QXYRmywsQUR+5E8qCsfFpYvClcLJfRDdtjmD9XV4YH8DAGSi93XtdtHJc7dgbSsD+x&#10;48OuhwW9r0evu/dt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XQB9E2QAAAAsBAAAPAAAAAAAA&#10;AAEAIAAAACIAAABkcnMvZG93bnJldi54bWxQSwECFAAUAAAACACHTuJANpyVQYMCAAAnBQAADgAA&#10;AAAAAAABACAAAAAoAQAAZHJzL2Uyb0RvYy54bWxQSwUGAAAAAAYABgBZAQAAHQY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92032" behindDoc="0" locked="0" layoutInCell="1" allowOverlap="1">
                <wp:simplePos x="0" y="0"/>
                <wp:positionH relativeFrom="column">
                  <wp:posOffset>418465</wp:posOffset>
                </wp:positionH>
                <wp:positionV relativeFrom="paragraph">
                  <wp:posOffset>6817995</wp:posOffset>
                </wp:positionV>
                <wp:extent cx="190500" cy="94615"/>
                <wp:effectExtent l="0" t="0" r="19050" b="19685"/>
                <wp:wrapNone/>
                <wp:docPr id="2051734564" name="矩形 62"/>
                <wp:cNvGraphicFramePr/>
                <a:graphic xmlns:a="http://schemas.openxmlformats.org/drawingml/2006/main">
                  <a:graphicData uri="http://schemas.microsoft.com/office/word/2010/wordprocessingShape">
                    <wps:wsp>
                      <wps:cNvSpPr/>
                      <wps:spPr>
                        <a:xfrm>
                          <a:off x="0" y="0"/>
                          <a:ext cx="190500" cy="94615"/>
                        </a:xfrm>
                        <a:prstGeom prst="rect">
                          <a:avLst/>
                        </a:prstGeom>
                        <a:solidFill>
                          <a:srgbClr val="FFFF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32.95pt;margin-top:536.85pt;height:7.45pt;width:15pt;z-index:251692032;v-text-anchor:middle;mso-width-relative:page;mso-height-relative:page;" fillcolor="#FFFF00" filled="t" stroked="t" coordsize="21600,21600" o:gfxdata="UEsDBAoAAAAAAIdO4kAAAAAAAAAAAAAAAAAEAAAAZHJzL1BLAwQUAAAACACHTuJAZE8OaNkAAAAL&#10;AQAADwAAAGRycy9kb3ducmV2LnhtbE2PTUvEMBCG74L/IYzgzU2qmO12my6y0IMIgruCeEub2bZs&#10;k5Qk++G/d3rS4zzz8s4z5eZqR3bGEAfvFGQLAQxd683gOgWf+/ohBxaTdkaP3qGCH4ywqW5vSl0Y&#10;f3EfeN6ljlGJi4VW0Kc0FZzHtker48JP6Gh38MHqRGPouAn6QuV25I9CSG714OhCryfc9tgedyer&#10;4Pv4InH4il2dvb43++3bVMswKXV/l4k1sITX9BeGWZ/UoSKnxp+ciWxUIJ9XlCQulk9LYJRYzaSZ&#10;SZ5L4FXJ//9Q/QJQSwMEFAAAAAgAh07iQIr2LjqEAgAAJgUAAA4AAABkcnMvZTJvRG9jLnhtbK1U&#10;zY7TMBC+I/EOlu9skjbtstWmq6qlCGnFVloQ56njNJb8h+02XV4GiRsPweMgXoOxk/0FiT3QQzrj&#10;GX8z882Mzy+OSpIDd14YXdHiJKeEa2ZqoXcV/fhh/eo1JT6ArkEazSt6wz29mL98cd7ZGR+Z1sia&#10;O4Ig2s86W9E2BDvLMs9arsCfGMs1GhvjFARU3S6rHXSIrmQ2yvNp1hlXW2cY9x5PV72RDojuOYCm&#10;aQTjK8P2iuvQozouIWBJvhXW03nKtmk4C1dN43kgsqJYaUhfDILyNn6z+TnMdg5sK9iQAjwnhSc1&#10;KRAag95BrSAA2TvxB5QSzBlvmnDCjMr6QhIjWEWRP+HmugXLUy1Itbd3pPv/B8veHzaOiLqio3xS&#10;nI7LybSkRIPCzv/6+v3nj29kOoosddbP0PnabtygeRRjycfGqfiPxZBjYvbmjll+DIThYXGWT3Lk&#10;nKHprJwWkwiZ3d+1zoe33CgShYo67FuiEw6XPvSuty4xlDdS1GshZVLcbruUjhwAe7zGHwaK5yBt&#10;C/1pmeNvCOl79xT+EY7UpKvodDyJeQJOdoMThaKyyI7XO0pA7nBlWHAJ/9HlAbUPVyzH4/JN79RC&#10;zYdTZOCfScQqV+Db/koKMeQtNaYcu9DzHqWtqW+we870Y+0tWwu8fwk+bMDhHGMluOnhCj+NNFid&#10;GSRKWuO+/O08+uN4oZWSDvcCS/+8B8cpke80Dt5ZUZYIG5JSTk5HqLiHlu1Di96rpcG2FPimWJbE&#10;6B/krdg4oz7hg7CIUdEEmmHsnuRBWYZ+X/FJYXyxSG64PBbCpb62LILHdmuz2AfTiDQu9+wMpOH6&#10;pI4Pqx7386GevO6f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E8OaNkAAAALAQAADwAAAAAA&#10;AAABACAAAAAiAAAAZHJzL2Rvd25yZXYueG1sUEsBAhQAFAAAAAgAh07iQIr2LjqEAgAAJgUAAA4A&#10;AAAAAAAAAQAgAAAAKAEAAGRycy9lMm9Eb2MueG1sUEsFBgAAAAAGAAYAWQEAAB4GA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2204085</wp:posOffset>
                </wp:positionH>
                <wp:positionV relativeFrom="paragraph">
                  <wp:posOffset>6452870</wp:posOffset>
                </wp:positionV>
                <wp:extent cx="244475" cy="463550"/>
                <wp:effectExtent l="0" t="0" r="22225" b="12700"/>
                <wp:wrapNone/>
                <wp:docPr id="588226057" name="矩形 62"/>
                <wp:cNvGraphicFramePr/>
                <a:graphic xmlns:a="http://schemas.openxmlformats.org/drawingml/2006/main">
                  <a:graphicData uri="http://schemas.microsoft.com/office/word/2010/wordprocessingShape">
                    <wps:wsp>
                      <wps:cNvSpPr/>
                      <wps:spPr>
                        <a:xfrm>
                          <a:off x="0" y="0"/>
                          <a:ext cx="244475" cy="463863"/>
                        </a:xfrm>
                        <a:prstGeom prst="rect">
                          <a:avLst/>
                        </a:prstGeom>
                        <a:solidFill>
                          <a:srgbClr val="00B05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73.55pt;margin-top:508.1pt;height:36.5pt;width:19.25pt;z-index:251688960;v-text-anchor:middle;mso-width-relative:page;mso-height-relative:page;" fillcolor="#00B050" filled="t" stroked="t" coordsize="21600,21600" o:gfxdata="UEsDBAoAAAAAAIdO4kAAAAAAAAAAAAAAAAAEAAAAZHJzL1BLAwQUAAAACACHTuJArWxUv9wAAAAN&#10;AQAADwAAAGRycy9kb3ducmV2LnhtbE2PTU/DMAyG70j8h8hI3FjSjpW2NJ0QiKFx25gQx6w1baFx&#10;qib74tfjneBov49ePy7mR9uLPY6+c6QhmigQSJWrO2o0bN6eb1IQPhiqTe8INZzQw7y8vChMXrsD&#10;rXC/Do3gEvK50dCGMORS+qpFa/zEDUicfbrRmsDj2Mh6NAcut72MlUqkNR3xhdYM+Nhi9b3eWQ0P&#10;FG9WzeIpy36W2euXOr3PXj4WWl9fReoeRMBj+IPhrM/qULLT1u2o9qLXML29ixjlQEVJDIKRaTpL&#10;QGzPqzSLQZaF/P9F+QtQSwMEFAAAAAgAh07iQCpGZHCFAgAAJgUAAA4AAABkcnMvZTJvRG9jLnht&#10;bK1UzW4TMRC+I/EOlu90N5tNGqJuqpBQhFTRSgVxdrx21pL/sJ1syssgceMheBzEazC2t+kPHHog&#10;h82MZ+YbzzczPjs/KIn2zHlhdINHJyVGTFPTCr1t8KePF69mGPlAdEuk0azBt8zj88XLF2e9nbPK&#10;dEa2zCEA0X7e2wZ3Idh5UXjaMUX8ibFMg5Ebp0gA1W2L1pEe0JUsqrKcFr1xrXWGMu/hdJ2NeEB0&#10;zwE0nAvK1obuFNMhozomSYCSfCesx4t0W84ZDVecexaQbDBUGtIXkoC8id9icUbmW0dsJ+hwBfKc&#10;KzypSRGhIekRak0CQTsn/oJSgjrjDQ8n1KgiF5IYgSpG5RNubjpiWaoFqPb2SLr/f7D0w/7aIdE2&#10;eDKbVdW0nJxipImCxv/+9uPXz+9oWkWSeuvn4Htjr92geRBjxQfuVPyHWtAhEXt7JJYdAqJwWNV1&#10;fTrBiIKpno5n03HELO6DrfPhHTMKRaHBDvqW6CT7Sx+y651LzOWNFO2FkDIpbrtZSYf2JPa4fFNO&#10;yhwrbUfyaV3Cb0jps3tK/whHatQ3eDqGcEQJTDaHiQJRWWDH6y1GRG5hZWhwCf9R8ICa041W43H9&#10;Njt1pGXD6eQZl4hVronvckhKMdxbarhybEMmPkob095C95zJY+0tvRAQf0l8uCYO5hgqgU0PV/Dh&#10;0kB1ZpAw6oz7+q/z6A/jBVaMetgLKP3LjjiGkXyvYfBej+o6LlJS6slpBYp7aNk8tOidWhloywje&#10;FEuTGP2DvBO5M+ozPAjLmBVMRFPInUkelFXI+wpPCmXLZXKD5bEkXOobSyN4HANtlrtguEjjcs/O&#10;QBqsT+r4sOpxPx/qyev+eVv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1sVL/cAAAADQEAAA8A&#10;AAAAAAAAAQAgAAAAIgAAAGRycy9kb3ducmV2LnhtbFBLAQIUABQAAAAIAIdO4kAqRmRwhQIAACYF&#10;AAAOAAAAAAAAAAEAIAAAACsBAABkcnMvZTJvRG9jLnhtbFBLBQYAAAAABgAGAFkBAAAiBg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7936" behindDoc="0" locked="0" layoutInCell="1" allowOverlap="1">
                <wp:simplePos x="0" y="0"/>
                <wp:positionH relativeFrom="column">
                  <wp:posOffset>2879090</wp:posOffset>
                </wp:positionH>
                <wp:positionV relativeFrom="paragraph">
                  <wp:posOffset>6445885</wp:posOffset>
                </wp:positionV>
                <wp:extent cx="750570" cy="317500"/>
                <wp:effectExtent l="0" t="0" r="11430" b="25400"/>
                <wp:wrapNone/>
                <wp:docPr id="154301816" name="矩形 62"/>
                <wp:cNvGraphicFramePr/>
                <a:graphic xmlns:a="http://schemas.openxmlformats.org/drawingml/2006/main">
                  <a:graphicData uri="http://schemas.microsoft.com/office/word/2010/wordprocessingShape">
                    <wps:wsp>
                      <wps:cNvSpPr/>
                      <wps:spPr>
                        <a:xfrm>
                          <a:off x="0" y="0"/>
                          <a:ext cx="750626" cy="317652"/>
                        </a:xfrm>
                        <a:prstGeom prst="rect">
                          <a:avLst/>
                        </a:prstGeom>
                        <a:solidFill>
                          <a:srgbClr val="00B05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226.7pt;margin-top:507.55pt;height:25pt;width:59.1pt;z-index:251687936;v-text-anchor:middle;mso-width-relative:page;mso-height-relative:page;" fillcolor="#00B050" filled="t" stroked="t" coordsize="21600,21600" o:gfxdata="UEsDBAoAAAAAAIdO4kAAAAAAAAAAAAAAAAAEAAAAZHJzL1BLAwQUAAAACACHTuJAi6BTYdsAAAAN&#10;AQAADwAAAGRycy9kb3ducmV2LnhtbE2PzU7DMBCE70i8g7VI3Kjt0gQS4lQIRBHcWirE0U2WJBCv&#10;o9j94+nZnuC4M59mZ4r5wfVih2PoPBnQEwUCqfJ1R42B9dvT1S2IEC3VtveEBo4YYF6enxU2r/2e&#10;lrhbxUZwCIXcGmhjHHIpQ9Wis2HiByT2Pv3obORzbGQ92j2Hu15OlUqlsx3xh9YO+NBi9b3aOgP3&#10;NF0vm8Vjlv28ZK9f6viePH8sjLm80OoORMRD/IPhVJ+rQ8mdNn5LdRC9gVlyPWOUDaUTDYKR5Ean&#10;IDYnKWVJloX8v6L8BVBLAwQUAAAACACHTuJAQRSZN4ICAAAmBQAADgAAAGRycy9lMm9Eb2MueG1s&#10;rVTNbhMxEL4j8Q6W73R389cSdYNCQhFSRSsVxNnx2tmV/MfYyaa8DBI3HoLHQbwGY3vbRgWkHshh&#10;M+MZfzPf/Pj81UErshfgO2tqWp2UlAjDbdOZbU0/frh4cUaJD8w0TFkjanorPH21eP7svHdzMbKt&#10;VY0AgiDGz3tX0zYENy8Kz1uhmT+xThg0SguaBVRhWzTAekTXqhiV5azoLTQOLBfe4+k6G+mACE8B&#10;tFJ2XKwt32lhQkYFoVhASr7tnKeLlK2UgocrKb0IRNUUmYb0xSAob+K3WJyz+RaYazs+pMCeksIj&#10;Tpp1BoPeQ61ZYGQH3R9QuuNgvZXhhFtdZCKpIsiiKh/V5qZlTiQuWGrv7ovu/x8sf7+/BtI1OAnT&#10;ybiszqoZJYZpbPyvr99//vhGZqNYpN75OfreuGsYNI9iZHyQoOM/ciGHVNjb+8KKQyAcD0+n5WyE&#10;wBxN4+p0Nk2YxcNlBz68FVaTKNQUsG+pnGx/6QMGRNc7lxjLW9U1F51SSYHtZqWA7Fnscfm6nJb5&#10;rnIty6eTEn+RBuL47J7lYxxlSF/T2RivE85wsiVOFIraYXW82VLC1BZXhgdI+P9OolqNx5M32all&#10;jchJVNMnJBFZrplv85UUYshbGUw5tiEXPkob29xi98DmsfaOX3R4/5L5cM0A5xiZ4KaHK/xIZZGd&#10;HSRKWgtf/nYe/XG80EpJj3uB1D/vGAhK1DuDg/eymkziIiVlMj0doQLHls2xxez0ymJbKnxTHE9i&#10;9A/qTpRg9Sd8EJYxKpqY4Rg7F3lQViHvKz4pXCyXyQ2Xx7FwaW4cj+BxDIxd7oKVXRqXh+oMRcP1&#10;SR0fVj3u57GevB6et8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i6BTYdsAAAANAQAADwAAAAAA&#10;AAABACAAAAAiAAAAZHJzL2Rvd25yZXYueG1sUEsBAhQAFAAAAAgAh07iQEEUmTeCAgAAJgUAAA4A&#10;AAAAAAAAAQAgAAAAKgEAAGRycy9lMm9Eb2MueG1sUEsFBgAAAAAGAAYAWQEAAB4GA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9984" behindDoc="0" locked="0" layoutInCell="1" allowOverlap="1">
                <wp:simplePos x="0" y="0"/>
                <wp:positionH relativeFrom="column">
                  <wp:posOffset>1821815</wp:posOffset>
                </wp:positionH>
                <wp:positionV relativeFrom="paragraph">
                  <wp:posOffset>6452870</wp:posOffset>
                </wp:positionV>
                <wp:extent cx="136525" cy="238760"/>
                <wp:effectExtent l="0" t="0" r="16510" b="27940"/>
                <wp:wrapNone/>
                <wp:docPr id="1208651723" name="矩形 62"/>
                <wp:cNvGraphicFramePr/>
                <a:graphic xmlns:a="http://schemas.openxmlformats.org/drawingml/2006/main">
                  <a:graphicData uri="http://schemas.microsoft.com/office/word/2010/wordprocessingShape">
                    <wps:wsp>
                      <wps:cNvSpPr/>
                      <wps:spPr>
                        <a:xfrm>
                          <a:off x="0" y="0"/>
                          <a:ext cx="136478" cy="238836"/>
                        </a:xfrm>
                        <a:prstGeom prst="rect">
                          <a:avLst/>
                        </a:prstGeom>
                        <a:solidFill>
                          <a:srgbClr val="00B05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43.45pt;margin-top:508.1pt;height:18.8pt;width:10.75pt;z-index:251689984;v-text-anchor:middle;mso-width-relative:page;mso-height-relative:page;" fillcolor="#00B050" filled="t" stroked="t" coordsize="21600,21600" o:gfxdata="UEsDBAoAAAAAAIdO4kAAAAAAAAAAAAAAAAAEAAAAZHJzL1BLAwQUAAAACACHTuJAdddBjdsAAAAN&#10;AQAADwAAAGRycy9kb3ducmV2LnhtbE2PTU/DMAyG70j8h8hI3FjSjlVtaTohEEPjtjEhjllr2kLj&#10;VE32+evxTnC030evHxfzo+3FHkffOdIQTRQIpMrVHTUaNu8vdykIHwzVpneEGk7oYV5eXxUmr92B&#10;Vrhfh0ZwCfncaGhDGHIpfdWiNX7iBiTOvtxoTeBxbGQ9mgOX217GSiXSmo74QmsGfGqx+lnvrIZH&#10;ijerZvGcZedl9vatTh+z18+F1rc3kXoAEfAY/mC46LM6lOy0dTuqveg1xGmSMcqBipIYBCNTld6D&#10;2F5Ws2kKsizk/y/KX1BLAwQUAAAACACHTuJAbImVS4UCAAAnBQAADgAAAGRycy9lMm9Eb2MueG1s&#10;rVTNbhMxEL4j8Q6W73T/kjRE2VQhoQipopUK4ux47exK/sN2sikvg8SNh+BxEK/B2N6maeHQAzls&#10;Zjwz33i+mfH84iAF2jPrOq1qXJzlGDFFddOpbY0/fbx8NcXIeaIaIrRiNb5jDl8sXr6Y92bGSt1q&#10;0TCLAES5WW9q3HpvZlnmaMskcWfaMAVGrq0kHlS7zRpLekCXIivzfJL12jbGasqcg9N1MuIB0T4H&#10;UHPeUbbWdCeZ8gnVMkE8lOTazji8iLflnFF/zbljHokaQ6U+fiEJyJvwzRZzMttaYtqODlcgz7nC&#10;k5ok6RQkPUKtiSdoZ7u/oGRHrXaa+zOqZZYKiYxAFUX+hJvblhgWawGqnTmS7v4fLP2wv7Goa2AS&#10;ynw6GRfnZYWRIhI6//vbj18/v6NJGVjqjZuB8625sYPmQAwlH7iV4R+KQYfI7N2RWXbwiMJhUU1G&#10;5zBYFExlNZ1Wk4CZPQQb6/w7piUKQo0tNC7ySfZXzifXe5eQy2nRNZedEFGx281KWLQnocn5m3yc&#10;p1hhWpJORzn8hpQuucf0j3CEQn2NJxWEI0pgtDmMFIjSAD1ObTEiYgs7Q72N+I+CB9SUrlhV1eht&#10;cmpJw4bT8TMuEapcE9emkJhiuLdQcOXQhkR8kDa6uYP2WZ3m2hl62UH8FXH+hlgYZKgEVt1fw4cL&#10;DdXpQcKo1fbrv86DP8wXWDHqYTGg9C87YhlG4r2CyXtdjEZhk6IyGp+XoNhTy+bUonZypaEtBTwq&#10;hkYx+HtxL3Kr5Wd4EZYhK5iIopA7kTwoK58WFt4UypbL6AbbY4i/UreGBvAwBkovd17zLo7LAzsD&#10;abA/sePDrocFPdWj18P7tv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ddBjdsAAAANAQAADwAA&#10;AAAAAAABACAAAAAiAAAAZHJzL2Rvd25yZXYueG1sUEsBAhQAFAAAAAgAh07iQGyJlUuFAgAAJwUA&#10;AA4AAAAAAAAAAQAgAAAAKgEAAGRycy9lMm9Eb2MueG1sUEsFBgAAAAAGAAYAWQEAACEGA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6912" behindDoc="0" locked="0" layoutInCell="1" allowOverlap="1">
                <wp:simplePos x="0" y="0"/>
                <wp:positionH relativeFrom="column">
                  <wp:posOffset>3110865</wp:posOffset>
                </wp:positionH>
                <wp:positionV relativeFrom="paragraph">
                  <wp:posOffset>4250690</wp:posOffset>
                </wp:positionV>
                <wp:extent cx="358775" cy="469900"/>
                <wp:effectExtent l="0" t="0" r="22225" b="25400"/>
                <wp:wrapNone/>
                <wp:docPr id="100052617" name="矩形 62"/>
                <wp:cNvGraphicFramePr/>
                <a:graphic xmlns:a="http://schemas.openxmlformats.org/drawingml/2006/main">
                  <a:graphicData uri="http://schemas.microsoft.com/office/word/2010/wordprocessingShape">
                    <wps:wsp>
                      <wps:cNvSpPr/>
                      <wps:spPr>
                        <a:xfrm>
                          <a:off x="0" y="0"/>
                          <a:ext cx="358775" cy="469900"/>
                        </a:xfrm>
                        <a:prstGeom prst="rect">
                          <a:avLst/>
                        </a:prstGeom>
                        <a:solidFill>
                          <a:srgbClr val="00B05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244.95pt;margin-top:334.7pt;height:37pt;width:28.25pt;z-index:251686912;v-text-anchor:middle;mso-width-relative:page;mso-height-relative:page;" fillcolor="#00B050" filled="t" stroked="t" coordsize="21600,21600" o:gfxdata="UEsDBAoAAAAAAIdO4kAAAAAAAAAAAAAAAAAEAAAAZHJzL1BLAwQUAAAACACHTuJA57kZ19sAAAAL&#10;AQAADwAAAGRycy9kb3ducmV2LnhtbE2Py07DMBBF90j8gzVI7Kjd4oY6ZFIhEEWw60MVSzc2SSAe&#10;R7H74usxK9jNaI7unFvMT65jBzuE1hPCeCSAWaq8aalG2Kyfb2bAQtRkdOfJIpxtgHl5eVHo3Pgj&#10;Le1hFWuWQijkGqGJsc85D1VjnQ4j31tKtw8/OB3TOtTcDPqYwl3HJ0Jk3OmW0odG9/axsdXXau8Q&#10;HmiyWdaLJ6W+X9Xbpzhvpy/vC8Trq7G4BxbtKf7B8Kuf1KFMTju/JxNYhyBnSiUUIcuUBJaIqczS&#10;sEO4k7cSeFnw/x3KH1BLAwQUAAAACACHTuJA7kTM2IQCAAAmBQAADgAAAGRycy9lMm9Eb2MueG1s&#10;rVRLbhQxEN0jcQfLe9I9/2SUnmiYIQgpIpECYu1x29Mt+UfZMz3hMkjZcQiOg7gGZbvzhUUWbLqr&#10;XOVXfs9VPj07aEX2AnxrTUUHRyUlwnBbt2Zb0c+fzt8cU+IDMzVT1oiK3ghPzxavX512bi6GtrGq&#10;FkAQxPh55yrahODmReF5IzTzR9YJg0FpQbOALmyLGliH6FoVw7KcFp2F2oHlwntcXecg7RHhJYBW&#10;ypaLteU7LUzIqCAUC0jJN63zdJFOK6Xg4VJKLwJRFUWmIX2xCNqb+C0Wp2y+BeaalvdHYC85wjNO&#10;mrUGi95DrVlgZAftX1C65WC9leGIW11kIkkRZDEon2lz3TAnEheU2rt70f3/g+Uf91dA2ho7oSzL&#10;yXA6mFFimMaL//39x6+ft2Q6jCJ1zs8x99pdQe95NCPjgwQd/8iFHJKwN/fCikMgHBdHk+PZbEIJ&#10;x9B4enJSJuGLh80OfHgvrCbRqCjgvSU52f7CByyIqXcpsZa3qq3PW6WSA9vNSgHZs3jH5dtyUua9&#10;yjUsr46R211Jn9MT5hMcZUhX0ekItxPOsLMldhSa2qE63mwpYWqLI8MDJPwnm3vUXG6wGo3G73JS&#10;w2rRr05ecIjIcs18k7ekElF+5K8M/uI1ZOGjtbH1Dd4e2NzW3vHzFvdfMB+uGGAfIxOc9HCJH6ks&#10;srO9RUlj4du/1mM+thdGKelwLpD61x0DQYn6YLDxTgbjcRyk5IwnsyE68DiyeRwxO72yeC0DfFMc&#10;T2bMD+rOlGD1F3wQlrEqhpjhWDuL3DurkOcVnxQulsuUhsPjWLgw145H8NgGxi53wco2tcuDOr1o&#10;OD5JxX7U43w+9lPWw/O2+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nuRnX2wAAAAsBAAAPAAAA&#10;AAAAAAEAIAAAACIAAABkcnMvZG93bnJldi54bWxQSwECFAAUAAAACACHTuJA7kTM2IQCAAAmBQAA&#10;DgAAAAAAAAABACAAAAAqAQAAZHJzL2Uyb0RvYy54bWxQSwUGAAAAAAYABgBZAQAAIAY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5888" behindDoc="0" locked="0" layoutInCell="1" allowOverlap="1">
                <wp:simplePos x="0" y="0"/>
                <wp:positionH relativeFrom="column">
                  <wp:posOffset>1479550</wp:posOffset>
                </wp:positionH>
                <wp:positionV relativeFrom="paragraph">
                  <wp:posOffset>6447790</wp:posOffset>
                </wp:positionV>
                <wp:extent cx="234950" cy="450850"/>
                <wp:effectExtent l="0" t="0" r="12700" b="25400"/>
                <wp:wrapNone/>
                <wp:docPr id="1256053534" name="矩形 62"/>
                <wp:cNvGraphicFramePr/>
                <a:graphic xmlns:a="http://schemas.openxmlformats.org/drawingml/2006/main">
                  <a:graphicData uri="http://schemas.microsoft.com/office/word/2010/wordprocessingShape">
                    <wps:wsp>
                      <wps:cNvSpPr/>
                      <wps:spPr>
                        <a:xfrm>
                          <a:off x="0" y="0"/>
                          <a:ext cx="234950" cy="450850"/>
                        </a:xfrm>
                        <a:prstGeom prst="rect">
                          <a:avLst/>
                        </a:prstGeom>
                        <a:solidFill>
                          <a:srgbClr val="FFFF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16.5pt;margin-top:507.7pt;height:35.5pt;width:18.5pt;z-index:251685888;v-text-anchor:middle;mso-width-relative:page;mso-height-relative:page;" fillcolor="#FFFF00" filled="t" stroked="t" coordsize="21600,21600" o:gfxdata="UEsDBAoAAAAAAIdO4kAAAAAAAAAAAAAAAAAEAAAAZHJzL1BLAwQUAAAACACHTuJAQVQTlNsAAAAN&#10;AQAADwAAAGRycy9kb3ducmV2LnhtbE2PS2vDMBCE74X+B7GF3hrJTuoG13IoAR9KIdCkUHqTra1t&#10;Yj2QlEf/fTen5Lgzw+w31epsJnbEEEdnJWQzAQxt5/Roewlfu+ZpCSwmZbWanEUJfxhhVd/fVarU&#10;7mQ/8bhNPaMSG0slYUjJl5zHbkCj4sx5tOT9umBUojP0XAd1onIz8VyIghs1WvowKI/rAbv99mAk&#10;/OzfChy/Y99k75t2t/7wTRG8lI8PmXgFlvCcrmG44BM61MTUuoPVkU0S8vmctiQyRPa8AEaR/EWQ&#10;1F6kZbEAXlf8dkX9D1BLAwQUAAAACACHTuJAg6b69oICAAAnBQAADgAAAGRycy9lMm9Eb2MueG1s&#10;rVTNbhMxEL4j8Q6W73Q3yW5oo26qKCEIqaKRCuLseO2sJf9hO9mUl0Hi1ofgcRCvwdje/sKhB3LY&#10;zHjG38x8M+Pzi6OS6MCcF0Y3eHRSYsQ0Na3QuwZ//rR+c4qRD0S3RBrNGnzDPL6Yv3513tsZG5vO&#10;yJY5BCDaz3rb4C4EOysKTzumiD8xlmkwcuMUCaC6XdE60gO6ksW4LKdFb1xrnaHMezhdZSMeEN1L&#10;AA3ngrKVoXvFdMiojkkSoCTfCevxPGXLOaPhinPPApINhkpD+kIQkLfxW8zPyWzniO0EHVIgL0nh&#10;WU2KCA1B76FWJBC0d+IvKCWoM97wcEKNKnIhiRGoYlQ+4+a6I5alWoBqb+9J9/8Pln48bBwSLUzC&#10;uJ6W9aSeVBhpoqDzv7/f/vr5A03HkaXe+hk4X9uNGzQPYiz5yJ2K/1AMOiZmb+6ZZceAKByOJ9VZ&#10;DZxTMFV1eQoyoBQPl63z4T0zCkWhwQ4al/gkh0sfsuudS4zljRTtWkiZFLfbLqVDBwJNXsOvLPNd&#10;aTuST6sSfkNIn91T+Cc4UqO+wdNJSpTAaHMYKchZWaDH6x1GRO5gZ2hwCf/J5QE1hxstJ5PqXXbq&#10;SMuG0/oFScQqV8R3+UoKMeQtNaQc25CJj9LWtDfQPmfyXHtL1wLuXxIfNsTBIAPlsOrhCj5cGqjO&#10;DBJGnXHf/nUe/WG+wIpRD4sBpX/dE8cwkh80TN7ZqKriJiWlqt+OQXGPLdvHFr1XSwNtGcGjYmkS&#10;o3+QdyJ3Rn2BF2ERo4KJaAqxM8mDsgx5YeFNoWyxSG6wPZaES31taQSPY6DNYh8MF2lcHtgZSIP9&#10;SR0fdj0u6GM9eT28b/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VQTlNsAAAANAQAADwAAAAAA&#10;AAABACAAAAAiAAAAZHJzL2Rvd25yZXYueG1sUEsBAhQAFAAAAAgAh07iQIOm+vaCAgAAJwUAAA4A&#10;AAAAAAAAAQAgAAAAKgEAAGRycy9lMm9Eb2MueG1sUEsFBgAAAAAGAAYAWQEAAB4GA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4864" behindDoc="0" locked="0" layoutInCell="1" allowOverlap="1">
                <wp:simplePos x="0" y="0"/>
                <wp:positionH relativeFrom="column">
                  <wp:posOffset>1631950</wp:posOffset>
                </wp:positionH>
                <wp:positionV relativeFrom="paragraph">
                  <wp:posOffset>4155440</wp:posOffset>
                </wp:positionV>
                <wp:extent cx="1270000" cy="558800"/>
                <wp:effectExtent l="0" t="0" r="25400" b="12700"/>
                <wp:wrapNone/>
                <wp:docPr id="1774807884" name="矩形 62"/>
                <wp:cNvGraphicFramePr/>
                <a:graphic xmlns:a="http://schemas.openxmlformats.org/drawingml/2006/main">
                  <a:graphicData uri="http://schemas.microsoft.com/office/word/2010/wordprocessingShape">
                    <wps:wsp>
                      <wps:cNvSpPr/>
                      <wps:spPr>
                        <a:xfrm>
                          <a:off x="0" y="0"/>
                          <a:ext cx="1270000" cy="558800"/>
                        </a:xfrm>
                        <a:prstGeom prst="rect">
                          <a:avLst/>
                        </a:prstGeom>
                        <a:solidFill>
                          <a:srgbClr val="FFFF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28.5pt;margin-top:327.2pt;height:44pt;width:100pt;z-index:251684864;v-text-anchor:middle;mso-width-relative:page;mso-height-relative:page;" fillcolor="#FFFF00" filled="t" stroked="t" coordsize="21600,21600" o:gfxdata="UEsDBAoAAAAAAIdO4kAAAAAAAAAAAAAAAAAEAAAAZHJzL1BLAwQUAAAACACHTuJAI/lupdoAAAAL&#10;AQAADwAAAGRycy9kb3ducmV2LnhtbE2PS2vDMBCE74X+B7GF3hrZRnGK63UoAR9KodCkEHKTra1t&#10;Yj2QlEf/fdVe2uPsDLPf1OurntmZfJisQcgXGTAyvVWTGRA+du3DI7AQpVFytoYQvijAurm9qWWl&#10;7MW803kbB5ZKTKgkwhijqzgP/UhahoV1ZJL3ab2WMUk/cOXlJZXrmRdZVnItJ5M+jNLRZqT+uD1p&#10;hMPxuaRpH4Y2f3nrdptX15beId7f5dkTsEjX+BeGH/yEDk1i6uzJqMBmhGK5SlsiQrkUAlhKiN9L&#10;h7AShQDe1Pz/huYbUEsDBBQAAAAIAIdO4kCxQXNshgIAACgFAAAOAAAAZHJzL2Uyb0RvYy54bWyt&#10;VM1uEzEQviPxDpbvdJN004SomypKCEKqaKWCOE+83qwl/2E72ZSXQeLGQ/A4iNdgbG+btiDRA3vw&#10;znjG33i+mfH5xUFJsufOC6MrOjwZUMI1M7XQ24p+/LB+NaXEB9A1SKN5RW+5pxfzly/OOzvjI9Ma&#10;WXNHEET7WWcr2oZgZ0XhWcsV+BNjuUZjY5yCgKrbFrWDDtGVLEaDwVnRGVdbZxj3HndX2Uh7RPcc&#10;QNM0gvGVYTvFdciojksImJJvhfV0nm7bNJyFq6bxPBBZUcw0pBWDoLyJazE/h9nWgW0F668Az7nC&#10;k5wUCI1B76FWEIDsnPgDSgnmjDdNOGFGFTmRxAhmMRw84eamBctTLki1t/ek+/8Hy97vrx0RNXbC&#10;ZFJOB5PptKREg8LK//r6/eePb+RsFFnqrJ+h8429dr3mUYwpHxqn4h+TIYfE7O09s/wQCMPN4Wgy&#10;wI8ShrbxeDpFGWGK42nrfHjLjSJRqKjDyiVCYX/pQ3a9c4nBvJGiXgspk+K2m6V0ZA9Y5TV+iB73&#10;QdoW8m6Zwmccn91T+Ec4UpOuomen43hRwN5usKdQVBb58XpLCcgtDg0LLuE/Otyj5nDD5elp+SY7&#10;tVDzfnccOfjHJWKWK/BtPpJC9EekxivHOmTmo7Qx9S3Wz5nc2N6ytcDzl+DDNTjsZMwEZz1c4dJI&#10;g9mZXqKkNe7L3/ajPzYYWinpcDIw9c87cJwS+U5j670eliXChqSU48kIFffQsnlo0Tu1NFiWIb4q&#10;liUx+gd5JzbOqE/4JCxiVDSBZhg7k9wry5AnFh8VxheL5IbjYyFc6hvLIngstzaLXTCNSO1yZKcn&#10;DQcoVbwf9jihD/XkdXzg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lupdoAAAALAQAADwAA&#10;AAAAAAABACAAAAAiAAAAZHJzL2Rvd25yZXYueG1sUEsBAhQAFAAAAAgAh07iQLFBc2yGAgAAKAUA&#10;AA4AAAAAAAAAAQAgAAAAKQEAAGRycy9lMm9Eb2MueG1sUEsFBgAAAAAGAAYAWQEAACEGA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3840" behindDoc="0" locked="0" layoutInCell="1" allowOverlap="1">
                <wp:simplePos x="0" y="0"/>
                <wp:positionH relativeFrom="column">
                  <wp:posOffset>2997200</wp:posOffset>
                </wp:positionH>
                <wp:positionV relativeFrom="paragraph">
                  <wp:posOffset>1088390</wp:posOffset>
                </wp:positionV>
                <wp:extent cx="158750" cy="222250"/>
                <wp:effectExtent l="0" t="0" r="12700" b="25400"/>
                <wp:wrapNone/>
                <wp:docPr id="2091593523" name="矩形 62"/>
                <wp:cNvGraphicFramePr/>
                <a:graphic xmlns:a="http://schemas.openxmlformats.org/drawingml/2006/main">
                  <a:graphicData uri="http://schemas.microsoft.com/office/word/2010/wordprocessingShape">
                    <wps:wsp>
                      <wps:cNvSpPr/>
                      <wps:spPr>
                        <a:xfrm>
                          <a:off x="0" y="0"/>
                          <a:ext cx="158750" cy="222250"/>
                        </a:xfrm>
                        <a:prstGeom prst="rect">
                          <a:avLst/>
                        </a:prstGeom>
                        <a:solidFill>
                          <a:srgbClr val="EE00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236pt;margin-top:85.7pt;height:17.5pt;width:12.5pt;z-index:251683840;v-text-anchor:middle;mso-width-relative:page;mso-height-relative:page;" fillcolor="#EE0000" filled="t" stroked="t" coordsize="21600,21600" o:gfxdata="UEsDBAoAAAAAAIdO4kAAAAAAAAAAAAAAAAAEAAAAZHJzL1BLAwQUAAAACACHTuJATwltvtoAAAAL&#10;AQAADwAAAGRycy9kb3ducmV2LnhtbE2PzU7DMBCE70i8g7VI3KidKCSQxukBCQ4cEJRKXN1489PE&#10;dhQ7SeHpWU70uDOj2W+K3dkMbMHJd85KiDYCGNrK6c42Eg6fz3cPwHxQVqvBWZTwjR525fVVoXLt&#10;VvuByz40jEqsz5WENoQx59xXLRrlN25ES17tJqMCnVPD9aRWKjcDj4VIuVGdpQ+tGvGpxarfz0bC&#10;63qqv16adP65P/i3xa993b73Ut7eRGILLOA5/IfhD5/QoSSmo5ut9myQkGQxbQlkZFECjBLJY0bK&#10;UUIs0gR4WfDLDeUvUEsDBBQAAAAIAIdO4kCRDvnAhAIAACcFAAAOAAAAZHJzL2Uyb0RvYy54bWyt&#10;VEtuGzEM3RfoHQTtm/GM7XyMjAPDTooCQRMgLbqWNRqPAP1KyR6nlynQXQ/R4xS9Rilp8m2BZlEv&#10;xqRIPZKPpE7P9lqRnQAvralpeTCiRBhuG2k2Nf344eLNMSU+MNMwZY2o6a3w9Gz++tVp72aisp1V&#10;jQCCIMbPelfTLgQ3KwrPO6GZP7BOGDS2FjQLqMKmaID1iK5VUY1Gh0VvoXFgufAeT1fZSAdEeAmg&#10;bVvJxcryrRYmZFQQigUsyXfSeTpP2bat4OGqbb0IRNUUKw3pi0FQXsdvMT9lsw0w10k+pMBeksKz&#10;mjSTBoPeQ61YYGQL8g8oLTlYb9twwK0uciGJEayiHD3j5qZjTqRakGrv7kn3/w+Wv99dA5FNTavR&#10;STk9GU+rMSWGaez8r6/ff/74Rg6ryFLv/Aydb9w1DJpHMZa8b0HHfyyG7BOzt/fMin0gHA/L6fHR&#10;FDnnaKrwhzKiFA+XHfjwVlhNolBTwMYlPtnu0ofseucSY3mrZHMhlUoKbNZLBWTHsMnn5yP85bvK&#10;dSyfTtJhxvHZPYV/gqMM6Wt6OE6JMhztFkcKc9YO6fFmQwlTG9wZHiDhP7k8oOZw5XI8npxnp441&#10;Yjidxsz+kUSscsV8l6+kEMMVZTDl2IZMfJTWtrnF9oHNc+0dv5B4/5L5cM0ABxkpx1UPV/hplcXq&#10;7CBR0ln48rfz6I/zhVZKelwMLP3zloGgRL0zOHkn5WQSNykpk+lRhQo8tqwfW8xWLy22pcRHxfEk&#10;Rv+g7sQWrP6EL8IiRkUTMxxjZ5IHZRnywuKbwsVikdxwexwLl+bG8Qgex8DYxTbYVqZxeWBnIA33&#10;J3V82PW4oI/15PXwvs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8Jbb7aAAAACwEAAA8AAAAA&#10;AAAAAQAgAAAAIgAAAGRycy9kb3ducmV2LnhtbFBLAQIUABQAAAAIAIdO4kCRDvnAhAIAACcFAAAO&#10;AAAAAAAAAAEAIAAAACkBAABkcnMvZTJvRG9jLnhtbFBLBQYAAAAABgAGAFkBAAAfBg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2816" behindDoc="0" locked="0" layoutInCell="1" allowOverlap="1">
                <wp:simplePos x="0" y="0"/>
                <wp:positionH relativeFrom="column">
                  <wp:posOffset>3267075</wp:posOffset>
                </wp:positionH>
                <wp:positionV relativeFrom="paragraph">
                  <wp:posOffset>780415</wp:posOffset>
                </wp:positionV>
                <wp:extent cx="371475" cy="419100"/>
                <wp:effectExtent l="0" t="0" r="28575" b="19050"/>
                <wp:wrapNone/>
                <wp:docPr id="586172451" name="矩形 62"/>
                <wp:cNvGraphicFramePr/>
                <a:graphic xmlns:a="http://schemas.openxmlformats.org/drawingml/2006/main">
                  <a:graphicData uri="http://schemas.microsoft.com/office/word/2010/wordprocessingShape">
                    <wps:wsp>
                      <wps:cNvSpPr/>
                      <wps:spPr>
                        <a:xfrm>
                          <a:off x="0" y="0"/>
                          <a:ext cx="371475" cy="419100"/>
                        </a:xfrm>
                        <a:prstGeom prst="rect">
                          <a:avLst/>
                        </a:prstGeom>
                        <a:solidFill>
                          <a:srgbClr val="FFFF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257.25pt;margin-top:61.45pt;height:33pt;width:29.25pt;z-index:251682816;v-text-anchor:middle;mso-width-relative:page;mso-height-relative:page;" fillcolor="#FFFF00" filled="t" stroked="t" coordsize="21600,21600" o:gfxdata="UEsDBAoAAAAAAIdO4kAAAAAAAAAAAAAAAAAEAAAAZHJzL1BLAwQUAAAACACHTuJAnGV8zNsAAAAL&#10;AQAADwAAAGRycy9kb3ducmV2LnhtbE2PS0vDQBSF94L/YbiCOztJNDGNmRQpZCGCYCtId5PMbRKa&#10;eTAzffjvva7s8p7zce459eqiZ3ZCHyZrBKSLBBia3qrJDAK+tu1DCSxEaZScrUEBPxhg1dze1LJS&#10;9mw+8bSJA6MQEyopYIzRVZyHfkQtw8I6NOTtrdcy0ukHrrw8U7ieeZYkBddyMvRhlA7XI/aHzVEL&#10;2B1eC5y+w9Cmbx/ddv3u2sI7Ie7v0uQFWMRL/Ifhrz5Vh4Y6dfZoVGCzgDx9ygklI8uWwIjInx9p&#10;XUdKWS6BNzW/3tD8AlBLAwQUAAAACACHTuJA9xd5wYQCAAAmBQAADgAAAGRycy9lMm9Eb2MueG1s&#10;rVTNbtNAEL4j8Q6rvVPHiZO0UR0UJQQhVbRSQZw363Vsaf/Y3fyUl0HixkPwOIjX4Nu120YFpB7w&#10;wZ7ZGc/M983MXr4+Kkn2wvnW6JLmZwNKhOamavW2pB8/rF+dU+ID0xWTRouS3glPX89fvrg82JkY&#10;msbISjiCINrPDrakTQh2lmWeN0Ixf2as0DDWxikWoLptVjl2QHQls+FgMMkOxlXWGS68x+mqM9I+&#10;ontOQFPXLRcrw3dK6NBFdUKyAEi+aa2n81RtXQseruvai0BkSYE0pDeSQN7Edza/ZLOtY7ZpeV8C&#10;e04JTzAp1mokfQi1YoGRnWv/CKVa7ow3dTjjRmUdkMQIUOSDJ9zcNsyKhAVUe/tAuv9/Yfn7/Y0j&#10;bVXS8fkknw6LcU6JZgqN//X1+88f38hkGEk6WD+D7629cb3mIUbEx9qp+AUWckzE3j0QK46BcByO&#10;pnkxHVPCYSryi3yQiM8ef7bOh7fCKBKFkjr0LdHJ9lc+ICFc711iLm9kW61bKZPitpuldGTP0OM1&#10;HkSP50zahnWnxQBPhIE4vnPv5NM4UpNDSSejMWaDM0x2jYmCqCzY8XpLCZNbrAwPLsX/dxH5cjQq&#10;3nRODatEV0Q+fkYREeWK+ab7JaXo65YaJcc2dMRHaWOqO3TPmW6sveXrFv9fMR9umMMcAwk2PVzj&#10;VUsDdKaXKGmM+/K38+iP8YKVkgP2AtA/75gTlMh3GoN3kRdFXKSkFOPpEIo7tWxOLXqnlgZtwVCh&#10;uiRG/yDvxdoZ9QkXwiJmhYlpjtwdyb2yDN2+4krhYrFIblgey8KVvrU8Bo/t1maxC6Zu07g8stOT&#10;hvVJHe9XPe7nqZ68Hq+3+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cZXzM2wAAAAsBAAAPAAAA&#10;AAAAAAEAIAAAACIAAABkcnMvZG93bnJldi54bWxQSwECFAAUAAAACACHTuJA9xd5wYQCAAAmBQAA&#10;DgAAAAAAAAABACAAAAAqAQAAZHJzL2Uyb0RvYy54bWxQSwUGAAAAAAYABgBZAQAAIAY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1792" behindDoc="0" locked="0" layoutInCell="1" allowOverlap="1">
                <wp:simplePos x="0" y="0"/>
                <wp:positionH relativeFrom="column">
                  <wp:posOffset>1476375</wp:posOffset>
                </wp:positionH>
                <wp:positionV relativeFrom="paragraph">
                  <wp:posOffset>818515</wp:posOffset>
                </wp:positionV>
                <wp:extent cx="1314450" cy="419100"/>
                <wp:effectExtent l="0" t="0" r="19050" b="19050"/>
                <wp:wrapNone/>
                <wp:docPr id="593787841" name="矩形 62"/>
                <wp:cNvGraphicFramePr/>
                <a:graphic xmlns:a="http://schemas.openxmlformats.org/drawingml/2006/main">
                  <a:graphicData uri="http://schemas.microsoft.com/office/word/2010/wordprocessingShape">
                    <wps:wsp>
                      <wps:cNvSpPr/>
                      <wps:spPr>
                        <a:xfrm>
                          <a:off x="0" y="0"/>
                          <a:ext cx="1314450" cy="419100"/>
                        </a:xfrm>
                        <a:prstGeom prst="rect">
                          <a:avLst/>
                        </a:prstGeom>
                        <a:solidFill>
                          <a:srgbClr val="FFFF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16.25pt;margin-top:64.45pt;height:33pt;width:103.5pt;z-index:251681792;v-text-anchor:middle;mso-width-relative:page;mso-height-relative:page;" fillcolor="#FFFF00" filled="t" stroked="t" coordsize="21600,21600" o:gfxdata="UEsDBAoAAAAAAIdO4kAAAAAAAAAAAAAAAAAEAAAAZHJzL1BLAwQUAAAACACHTuJA1OMqqtoAAAAL&#10;AQAADwAAAGRycy9kb3ducmV2LnhtbE2PT0vDQBDF74LfYRnBm90kraGJ2RQp5CCCYCuIt012TEKz&#10;s0t2+8dv73iyx3nvx5v3qs3FTuKEcxgdKUgXCQikzpmRegUf++ZhDSJETUZPjlDBDwbY1Lc3lS6N&#10;O9M7nnaxFxxCodQKhhh9KWXoBrQ6LJxHYu/bzVZHPudemlmfOdxOMkuSXFo9En8YtMftgN1hd7QK&#10;vg7POY6foW/Sl7d2v331TT57pe7v0uQJRMRL/Ifhrz5Xh5o7te5IJohJQbbMHhllI1sXIJhYLQtW&#10;WlaKVQGyruT1hvoXUEsDBBQAAAAIAIdO4kAgozzkgwIAACcFAAAOAAAAZHJzL2Uyb0RvYy54bWyt&#10;VM2O0zAQviPxDpbvbJo23Z9qU1S1FCGt2JUWxNl1nCaS/7DdpsvLIHHjIXgcxGvw2cnuVgtIeyCH&#10;ZMYz+Wbmmxlfvj4oSfbC+dbokuYnI0qE5qZq9bakHz+sX51T4gPTFZNGi5LeCU9fz1++uOzsTIxN&#10;Y2QlHAGI9rPOlrQJwc6yzPNGKOZPjBUaxto4xQJUt80qxzqgK5mNR6PTrDOuss5w4T1OV72RDoju&#10;OYCmrlsuVobvlNChR3VCsoCSfNNaT+cp27oWPFzXtReByJKi0pDeCAJ5E9/Z/JLNto7ZpuVDCuw5&#10;KTypSbFWI+gD1IoFRnau/QNKtdwZb+pwwo3K+kISI6giHz3h5rZhVqRaQLW3D6T7/wfL3+9vHGmr&#10;kk4vJmfnZ+dFTolmCo3/9fX7zx/fyOk4ktRZP4Pvrb1xg+YhxooPtVPxi1rIIRF790CsOATCcZhP&#10;8qKYgnMOW5Ff5KPEfPb4t3U+vBVGkSiU1KFxiU+2v/IBEeF67xKDeSPbat1KmRS33SylI3uGJq/x&#10;AD2eM2kb1p8WIzyxDuD43r2Xj3GkJl1JTycpUYbRrjFSyFlZ0OP1lhImt9gZHlzC/3cS+XIyKd70&#10;Tg2rRJ9EPn1GErHKFfNN/0sKMeQtNVKOfeiZj9LGVHdonzP9XHvL1y3+v2I+3DCHQQblWPVwjVct&#10;Daozg0RJY9yXv51Hf8wXrJR0WAyU/nnHnKBEvtOYvAu0Mm5SUorp2RiKO7Zsji16p5YGbcFUIbsk&#10;Rv8g78XaGfUJN8IiRoWJaY7YPcmDsgz9wuJO4WKxSG7YHsvClb61PILHdmuz2AVTt2lcHtkZSMP+&#10;pI4Pux4X9FhPXo/32/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1OMqqtoAAAALAQAADwAAAAAA&#10;AAABACAAAAAiAAAAZHJzL2Rvd25yZXYueG1sUEsBAhQAFAAAAAgAh07iQCCjPOSDAgAAJwUAAA4A&#10;AAAAAAAAAQAgAAAAKQEAAGRycy9lMm9Eb2MueG1sUEsFBgAAAAAGAAYAWQEAAB4GA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80768" behindDoc="0" locked="0" layoutInCell="1" allowOverlap="1">
                <wp:simplePos x="0" y="0"/>
                <wp:positionH relativeFrom="column">
                  <wp:posOffset>1619250</wp:posOffset>
                </wp:positionH>
                <wp:positionV relativeFrom="paragraph">
                  <wp:posOffset>1599565</wp:posOffset>
                </wp:positionV>
                <wp:extent cx="1838325" cy="1066800"/>
                <wp:effectExtent l="0" t="0" r="28575" b="19050"/>
                <wp:wrapNone/>
                <wp:docPr id="2145535650" name="矩形 62"/>
                <wp:cNvGraphicFramePr/>
                <a:graphic xmlns:a="http://schemas.openxmlformats.org/drawingml/2006/main">
                  <a:graphicData uri="http://schemas.microsoft.com/office/word/2010/wordprocessingShape">
                    <wps:wsp>
                      <wps:cNvSpPr/>
                      <wps:spPr>
                        <a:xfrm>
                          <a:off x="0" y="0"/>
                          <a:ext cx="1838325" cy="1066800"/>
                        </a:xfrm>
                        <a:prstGeom prst="rect">
                          <a:avLst/>
                        </a:prstGeom>
                        <a:solidFill>
                          <a:srgbClr val="FFFF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27.5pt;margin-top:125.95pt;height:84pt;width:144.75pt;z-index:251680768;v-text-anchor:middle;mso-width-relative:page;mso-height-relative:page;" fillcolor="#FFFF00" filled="t" stroked="t" coordsize="21600,21600" o:gfxdata="UEsDBAoAAAAAAIdO4kAAAAAAAAAAAAAAAAAEAAAAZHJzL1BLAwQUAAAACACHTuJAvwjPYtoAAAAL&#10;AQAADwAAAGRycy9kb3ducmV2LnhtbE2PT0vEMBDF74LfIYzgzU2ztMXWposs9CCC4K4g3tJmbMs2&#10;k5Bk//jtzZ709ob3ePN7zeZiFnZCH2ZLEsQqA4Y0WD3TKOFj3z08AgtRkVaLJZTwgwE27e1No2pt&#10;z/SOp10cWSqhUCsJU4yu5jwMExoVVtYhJe/beqNiOv3ItVfnVG4Wvs6ykhs1U/owKYfbCYfD7mgk&#10;fB2eS5w/w9iJl7d+v311XemdlPd3InsCFvES/8JwxU/o0Cam3h5JB7ZIWBdF2hKvQlTAUqLI8wJY&#10;LyEXVQW8bfj/De0vUEsDBBQAAAAIAIdO4kCcU9Y9hgIAACkFAAAOAAAAZHJzL2Uyb0RvYy54bWyt&#10;VMFu2zAMvQ/YPwi6r7aTOMuCOkWQLMOAYi3QDTsrshwbkCVNUuJ0PzNgt37EPmfYb+xJdtug24Ae&#10;5oNNivQj+Ujq/OLYSnIQ1jVaFTQ7SykRiuuyUbuCfvq4eTWjxHmmSia1EgW9FY5eLF6+OO/MXIx0&#10;rWUpLAGIcvPOFLT23syTxPFatMydaSMUjJW2LfNQ7S4pLeuA3spklKbTpNO2NFZz4RxO172RDoj2&#10;OYC6qhou1prvW6F8j2qFZB4luboxji5itlUluL+qKic8kQVFpT6+EQTyNryTxTmb7ywzdcOHFNhz&#10;UnhSU8sahaAPUGvmGdnb5g+otuFWO135M67bpC8kMoIqsvQJNzc1MyLWAqqdeSDd/T9Y/uFwbUlT&#10;FnSUTfJ8nE9zUKNYi87/+nb388d3Mh0Fljrj5nC+Mdd20BzEUPKxsm34ohhyjMzePjArjp5wHGaz&#10;8Ww8yinhsGXpdDpLI/fJ4+/GOv9O6JYEoaAWrYuMssOl8wgJ13uXEM1p2ZSbRsqo2N12JS05MLR5&#10;gwfo4ZxJU7P+dJLiCYUAx/XuvXyKIxXpCjodBw44w3BXGCqIrQFBTu0oYXKHreHeRvx/J5GtxuPJ&#10;296pZqXok8jyZyQRqlwzV/e/xBBD3lIh5dCInvogbXV5iwZa3U+2M3zT4P9L5vw1sxhlVIJl91d4&#10;VVKjOj1IlNTafv3befDHhMFKSYfVQOlf9swKSuR7hdl7k00mgPVRmeSvR1DsqWV7alH7dqXRlgzX&#10;iuFRDP5e3ouV1e1n3AnLEBUmpjhi9yQPysr3K4tbhYvlMrphfwzzl+rG8AAe2q30cu911cRxeWRn&#10;IA0bFDs+bHtY0VM9ej3ec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wjPYtoAAAALAQAADwAA&#10;AAAAAAABACAAAAAiAAAAZHJzL2Rvd25yZXYueG1sUEsBAhQAFAAAAAgAh07iQJxT1j2GAgAAKQUA&#10;AA4AAAAAAAAAAQAgAAAAKQEAAGRycy9lMm9Eb2MueG1sUEsFBgAAAAAGAAYAWQEAACEGA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79744" behindDoc="0" locked="0" layoutInCell="1" allowOverlap="1">
                <wp:simplePos x="0" y="0"/>
                <wp:positionH relativeFrom="column">
                  <wp:posOffset>1628775</wp:posOffset>
                </wp:positionH>
                <wp:positionV relativeFrom="paragraph">
                  <wp:posOffset>2894965</wp:posOffset>
                </wp:positionV>
                <wp:extent cx="1838325" cy="1066800"/>
                <wp:effectExtent l="0" t="0" r="28575" b="19050"/>
                <wp:wrapNone/>
                <wp:docPr id="1269758171" name="矩形 62"/>
                <wp:cNvGraphicFramePr/>
                <a:graphic xmlns:a="http://schemas.openxmlformats.org/drawingml/2006/main">
                  <a:graphicData uri="http://schemas.microsoft.com/office/word/2010/wordprocessingShape">
                    <wps:wsp>
                      <wps:cNvSpPr/>
                      <wps:spPr>
                        <a:xfrm>
                          <a:off x="0" y="0"/>
                          <a:ext cx="1838325" cy="1066800"/>
                        </a:xfrm>
                        <a:prstGeom prst="rect">
                          <a:avLst/>
                        </a:prstGeom>
                        <a:solidFill>
                          <a:srgbClr val="FFFF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28.25pt;margin-top:227.95pt;height:84pt;width:144.75pt;z-index:251679744;v-text-anchor:middle;mso-width-relative:page;mso-height-relative:page;" fillcolor="#FFFF00" filled="t" stroked="t" coordsize="21600,21600" o:gfxdata="UEsDBAoAAAAAAIdO4kAAAAAAAAAAAAAAAAAEAAAAZHJzL1BLAwQUAAAACACHTuJAqSolT9sAAAAL&#10;AQAADwAAAGRycy9kb3ducmV2LnhtbE2PS0vDQBSF94L/YbiCOztJbAab5qZIIQsRBFtBuptkrklo&#10;5sHM9OG/d1zp8nI/zvlOvbnqmZ3Jh8kahHyRASPTWzWZAeFj3z48AQtRGiVnawjhmwJsmtubWlbK&#10;Xsw7nXdxYCnEhEoijDG6ivPQj6RlWFhHJv2+rNcyptMPXHl5SeF65kWWCa7lZFLDKB1tR+qPu5NG&#10;OByfBU2fYWjzl7duv311rfAO8f4uz9bAIl3jHwy/+kkdmuTU2ZNRgc0IRSnKhCIsy3IFLBHlUqR1&#10;HYIoHlfAm5r/39D8AFBLAwQUAAAACACHTuJA8ZRZEocCAAApBQAADgAAAGRycy9lMm9Eb2MueG1s&#10;rVTNbtNAEL4j8Q6rvVPb+WsaNUFRQhBSRSsVxHmzXseW9o/dTZzyMkjceAgeB/EafLt226iA1AM+&#10;2DM745n5vpnZy9dHJclBON8YPafFWU6J0NyUjd7N6ccPm1dTSnxgumTSaDGnd8LT14uXLy5bOxMD&#10;UxtZCkcQRPtZa+e0DsHOsszzWijmz4wVGsbKOMUCVLfLSsdaRFcyG+T5JGuNK60zXHiP03VnpH1E&#10;95yApqoaLtaG75XQoYvqhGQBkHzdWE8XqdqqEjxcV5UXgcg5BdKQ3kgCeRvf2eKSzXaO2brhfQns&#10;OSU8waRYo5H0IdSaBUb2rvkjlGq4M95U4YwblXVAEiNAUeRPuLmtmRUJC6j29oF0///C8veHG0ea&#10;EpMwmFycj6fFeUGJZgqd//X1+88f38hkEFlqrZ/B+dbeuF7zECPkY+VU/AIMOSZm7x6YFcdAOA6L&#10;6XA6HIwp4bAV+WQyzRP32ePv1vnwVhhFojCnDq1LjLLDlQ9ICdd7l5jNG9mUm0bKpLjddiUdOTC0&#10;eYMH0eM5k7Zm3ekoxxOBII7v3Dv5NI7UpJ3TyXCM8eAMw11hqCAqC4K83lHC5A5bw4NL8f9dRLEa&#10;DkdvOqealaIrohg/o4iIcs183f2SUvR1S42SYyM66qO0NeUdGuhMN9ne8k2D/6+YDzfMYZSBBMse&#10;rvGqpAE600uU1MZ9+dt59MeEwUpJi9UA9M975gQl8p3G7F0Uo1HcpaSMxucDKO7Usj216L1aGbQF&#10;Y4Xqkhj9g7wXK2fUJ9wJy5gVJqY5cnck98oqdCuLW4WL5TK5YX8sC1f61vIYPLZbm+U+mKpJ4/LI&#10;Tk8aNih1vN/2uKKnevJ6vOE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pKiVP2wAAAAsBAAAP&#10;AAAAAAAAAAEAIAAAACIAAABkcnMvZG93bnJldi54bWxQSwECFAAUAAAACACHTuJA8ZRZEocCAAAp&#10;BQAADgAAAAAAAAABACAAAAAqAQAAZHJzL2Uyb0RvYy54bWxQSwUGAAAAAAYABgBZAQAAIwYAAAAA&#10;">
                <v:fill on="t" opacity="26214f" focussize="0,0"/>
                <v:stroke weight="0.5pt" color="#1C334E [3204]" joinstyle="round"/>
                <v:imagedata o:title=""/>
                <o:lock v:ext="edit" aspectratio="f"/>
              </v:rect>
            </w:pict>
          </mc:Fallback>
        </mc:AlternateContent>
      </w:r>
      <w:r>
        <w:rPr>
          <w:color w:val="auto"/>
        </w:rPr>
        <mc:AlternateContent>
          <mc:Choice Requires="wps">
            <w:drawing>
              <wp:anchor distT="0" distB="0" distL="114300" distR="114300" simplePos="0" relativeHeight="251678720" behindDoc="0" locked="0" layoutInCell="1" allowOverlap="1">
                <wp:simplePos x="0" y="0"/>
                <wp:positionH relativeFrom="column">
                  <wp:posOffset>1628775</wp:posOffset>
                </wp:positionH>
                <wp:positionV relativeFrom="paragraph">
                  <wp:posOffset>4923790</wp:posOffset>
                </wp:positionV>
                <wp:extent cx="1838325" cy="1276350"/>
                <wp:effectExtent l="0" t="0" r="28575" b="19050"/>
                <wp:wrapNone/>
                <wp:docPr id="2145987905" name="矩形 62"/>
                <wp:cNvGraphicFramePr/>
                <a:graphic xmlns:a="http://schemas.openxmlformats.org/drawingml/2006/main">
                  <a:graphicData uri="http://schemas.microsoft.com/office/word/2010/wordprocessingShape">
                    <wps:wsp>
                      <wps:cNvSpPr/>
                      <wps:spPr>
                        <a:xfrm>
                          <a:off x="0" y="0"/>
                          <a:ext cx="1838325" cy="1276350"/>
                        </a:xfrm>
                        <a:prstGeom prst="rect">
                          <a:avLst/>
                        </a:prstGeom>
                        <a:solidFill>
                          <a:srgbClr val="EE0000">
                            <a:alpha val="40000"/>
                          </a:srgb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28.25pt;margin-top:387.7pt;height:100.5pt;width:144.75pt;z-index:251678720;v-text-anchor:middle;mso-width-relative:page;mso-height-relative:page;" fillcolor="#EE0000" filled="t" stroked="t" coordsize="21600,21600" o:gfxdata="UEsDBAoAAAAAAIdO4kAAAAAAAAAAAAAAAAAEAAAAZHJzL1BLAwQUAAAACACHTuJAyzdXCtoAAAAL&#10;AQAADwAAAGRycy9kb3ducmV2LnhtbE2PQU+EMBCF7yb+h2ZMvLllNxQUKXsw0YMHo+smXrt0oAht&#10;CS2w+usdT3qczJf3vlfuz3ZgC06h807CdpMAQ1d73blWwvH98eYWWIjKaTV4hxK+MMC+urwoVaH9&#10;6t5wOcSWUYgLhZJgYhwLzkNt0Kqw8SM6+jV+sirSObVcT2qlcDvwXZJk3KrOUYNRIz4YrPvDbCU8&#10;r5/Nx1Obzd/iGF6WsPaNee2lvL7aJvfAIp7jHwy/+qQOFTmd/Ox0YIOEncgEoRLyXKTAiBBpRutO&#10;Eu7yLAVelfz/huoHUEsDBBQAAAAIAIdO4kDwjt+BiQIAACkFAAAOAAAAZHJzL2Uyb0RvYy54bWyt&#10;VM1uEzEQviPxDpbvdLObpE2jbKooaRFSRSsVxNnx2llL/sN2sikvg8SNh+BxEK/B2N42aUGiB3LY&#10;zHjG38x8M+PZxV5JtGPOC6NrXJ4MMGKamkboTY0/frh6M8HIB6IbIo1mNb5nHl/MX7+adXbKKtMa&#10;2TCHAET7aWdr3IZgp0XhacsU8SfGMg1GbpwiAVS3KRpHOkBXsqgGg9OiM66xzlDmPZyushH3iO4l&#10;gIZzQdnK0K1iOmRUxyQJUJJvhfV4nrLlnNFww7lnAckaQ6UhfSEIyOv4LeYzMt04YltB+xTIS1J4&#10;VpMiQkPQR6gVCQRtnfgDSgnqjDc8nFCjilxIYgSqKAfPuLlriWWpFqDa20fS/f+Dpe93tw6JpsZV&#10;ORqfT87OB2OMNFHQ+V9fv//88Q2dVpGlzvopON/ZW9drHsRY8p47Ff+hGLRPzN4/Msv2AVE4LCfD&#10;ybACZAq2sjo7HY4T98XhunU+vGVGoSjU2EHrEqNkd+0DhATXB5cYzRspmishZVLcZr2UDu0ItPny&#10;cgC/fFfaluTTUTrMOD67J8wnOFKjrsYpOUQJDDeHoYKklQWCvN5gROQGtoYGl/CfXO5Rc7hyORyO&#10;LrNTSxrWn45jZv9IIla5Ir7NV1KI/orUkHJsRKY+SmvT3EMDncmT7S29EnD/mvhwSxyMMgw6LHu4&#10;gQ+XBqozvYRRa9yXv51Hf5gwsGLUwWpA6Z+3xDGM5DsNs3dejkZxl5IyGp9VoLhjy/rYordqaaAt&#10;JTwrliYx+gf5IHJn1Cd4ExYxKpiIphA7k9wry5BXFl4VyhaL5Ab7Y0m41neWRvA4BtostsFwkcbl&#10;wE5PGmxQ6ni/7XFFj/XkdXjh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zdXCtoAAAALAQAA&#10;DwAAAAAAAAABACAAAAAiAAAAZHJzL2Rvd25yZXYueG1sUEsBAhQAFAAAAAgAh07iQPCO34GJAgAA&#10;KQUAAA4AAAAAAAAAAQAgAAAAKQEAAGRycy9lMm9Eb2MueG1sUEsFBgAAAAAGAAYAWQEAACQGAAAA&#10;AA==&#10;">
                <v:fill on="t" opacity="26214f" focussize="0,0"/>
                <v:stroke weight="0.5pt" color="#1C334E [3204]" joinstyle="round"/>
                <v:imagedata o:title=""/>
                <o:lock v:ext="edit" aspectratio="f"/>
              </v:rect>
            </w:pict>
          </mc:Fallback>
        </mc:AlternateContent>
      </w:r>
      <w:r>
        <w:rPr>
          <w:color w:val="auto"/>
        </w:rPr>
        <w:drawing>
          <wp:inline distT="0" distB="0" distL="0" distR="0">
            <wp:extent cx="5450840" cy="7549515"/>
            <wp:effectExtent l="19050" t="19050" r="16510" b="13335"/>
            <wp:docPr id="139905374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53745" name="图片 56"/>
                    <pic:cNvPicPr>
                      <a:picLocks noChangeAspect="1" noChangeArrowheads="1"/>
                    </pic:cNvPicPr>
                  </pic:nvPicPr>
                  <pic:blipFill>
                    <a:blip r:embed="rId30" cstate="print">
                      <a:extLst>
                        <a:ext uri="{28A0092B-C50C-407E-A947-70E740481C1C}">
                          <a14:useLocalDpi xmlns:a14="http://schemas.microsoft.com/office/drawing/2010/main" val="0"/>
                        </a:ext>
                      </a:extLst>
                    </a:blip>
                    <a:srcRect l="7140" t="7312" r="3350" b="5019"/>
                    <a:stretch>
                      <a:fillRect/>
                    </a:stretch>
                  </pic:blipFill>
                  <pic:spPr>
                    <a:xfrm>
                      <a:off x="0" y="0"/>
                      <a:ext cx="5465234" cy="7568808"/>
                    </a:xfrm>
                    <a:prstGeom prst="rect">
                      <a:avLst/>
                    </a:prstGeom>
                    <a:noFill/>
                    <a:ln w="12700">
                      <a:solidFill>
                        <a:schemeClr val="tx1"/>
                      </a:solidFill>
                    </a:ln>
                  </pic:spPr>
                </pic:pic>
              </a:graphicData>
            </a:graphic>
          </wp:inline>
        </w:drawing>
      </w:r>
    </w:p>
    <w:p w14:paraId="5F96C5EF">
      <w:pPr>
        <w:pStyle w:val="1060"/>
        <w:rPr>
          <w:color w:val="auto"/>
        </w:rPr>
      </w:pPr>
    </w:p>
    <w:p w14:paraId="36344B95">
      <w:pPr>
        <w:pStyle w:val="1060"/>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6.3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厂区分区防渗图</w:t>
      </w:r>
    </w:p>
    <w:p w14:paraId="0F4460FC">
      <w:pPr>
        <w:pStyle w:val="132"/>
        <w:rPr>
          <w:color w:val="auto"/>
        </w:rPr>
        <w:sectPr>
          <w:type w:val="continuous"/>
          <w:pgSz w:w="11906" w:h="16838"/>
          <w:pgMar w:top="1588" w:right="1389" w:bottom="1588" w:left="1440" w:header="851" w:footer="992" w:gutter="0"/>
          <w:cols w:space="425" w:num="1"/>
          <w:docGrid w:type="lines" w:linePitch="312" w:charSpace="0"/>
        </w:sectPr>
      </w:pPr>
    </w:p>
    <w:p w14:paraId="4D494C75">
      <w:pPr>
        <w:pStyle w:val="1060"/>
        <w:spacing w:before="163"/>
        <w:rPr>
          <w:color w:val="auto"/>
        </w:rPr>
      </w:pPr>
    </w:p>
    <w:p w14:paraId="10070517">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6.3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rStyle w:val="1062"/>
          <w:color w:val="auto"/>
        </w:rPr>
        <w:t>项目厂区分区污染防治措施一览表</w:t>
      </w:r>
      <w:r>
        <w:rPr>
          <w:color w:val="auto"/>
        </w:rPr>
        <w:t xml:space="preserve"> </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494"/>
        <w:gridCol w:w="3305"/>
        <w:gridCol w:w="3987"/>
      </w:tblGrid>
      <w:tr w14:paraId="11EDF3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0" w:type="pct"/>
            <w:vAlign w:val="center"/>
          </w:tcPr>
          <w:p w14:paraId="785AFC00">
            <w:pPr>
              <w:pStyle w:val="129"/>
              <w:widowControl w:val="0"/>
              <w:rPr>
                <w:color w:val="auto"/>
              </w:rPr>
            </w:pPr>
            <w:r>
              <w:rPr>
                <w:color w:val="auto"/>
              </w:rPr>
              <w:t>厂区划分</w:t>
            </w:r>
          </w:p>
        </w:tc>
        <w:tc>
          <w:tcPr>
            <w:tcW w:w="1881" w:type="pct"/>
            <w:vAlign w:val="center"/>
          </w:tcPr>
          <w:p w14:paraId="55827220">
            <w:pPr>
              <w:pStyle w:val="129"/>
              <w:widowControl w:val="0"/>
              <w:rPr>
                <w:color w:val="auto"/>
              </w:rPr>
            </w:pPr>
            <w:r>
              <w:rPr>
                <w:color w:val="auto"/>
              </w:rPr>
              <w:t>具体生产单元</w:t>
            </w:r>
          </w:p>
        </w:tc>
        <w:tc>
          <w:tcPr>
            <w:tcW w:w="2269" w:type="pct"/>
            <w:vAlign w:val="center"/>
          </w:tcPr>
          <w:p w14:paraId="086125A6">
            <w:pPr>
              <w:pStyle w:val="129"/>
              <w:widowControl w:val="0"/>
              <w:rPr>
                <w:color w:val="auto"/>
              </w:rPr>
            </w:pPr>
            <w:r>
              <w:rPr>
                <w:color w:val="auto"/>
              </w:rPr>
              <w:t>防渗系数的要求</w:t>
            </w:r>
          </w:p>
        </w:tc>
      </w:tr>
      <w:tr w14:paraId="06B2487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0" w:type="pct"/>
            <w:vAlign w:val="center"/>
          </w:tcPr>
          <w:p w14:paraId="70A7FBF1">
            <w:pPr>
              <w:pStyle w:val="129"/>
              <w:widowControl w:val="0"/>
              <w:rPr>
                <w:color w:val="auto"/>
              </w:rPr>
            </w:pPr>
            <w:r>
              <w:rPr>
                <w:color w:val="auto"/>
              </w:rPr>
              <w:t>重点防渗区</w:t>
            </w:r>
          </w:p>
        </w:tc>
        <w:tc>
          <w:tcPr>
            <w:tcW w:w="1881" w:type="pct"/>
            <w:vAlign w:val="center"/>
          </w:tcPr>
          <w:p w14:paraId="77793CF1">
            <w:pPr>
              <w:pStyle w:val="129"/>
              <w:widowControl w:val="0"/>
              <w:rPr>
                <w:color w:val="auto"/>
              </w:rPr>
            </w:pPr>
            <w:r>
              <w:rPr>
                <w:rFonts w:hint="eastAsia"/>
                <w:color w:val="auto"/>
              </w:rPr>
              <w:t>危险废物处置和催化剂</w:t>
            </w:r>
            <w:r>
              <w:rPr>
                <w:color w:val="auto"/>
              </w:rPr>
              <w:t>生产车间</w:t>
            </w:r>
          </w:p>
        </w:tc>
        <w:tc>
          <w:tcPr>
            <w:tcW w:w="2269" w:type="pct"/>
            <w:vAlign w:val="center"/>
          </w:tcPr>
          <w:p w14:paraId="0123D514">
            <w:pPr>
              <w:pStyle w:val="129"/>
              <w:widowControl w:val="0"/>
              <w:rPr>
                <w:color w:val="auto"/>
              </w:rPr>
            </w:pPr>
            <w:r>
              <w:rPr>
                <w:rFonts w:hint="eastAsia"/>
                <w:color w:val="auto"/>
              </w:rPr>
              <w:t>等效黏土防渗层Mb≥6.0m，K≤1×</w:t>
            </w:r>
            <w:r>
              <w:rPr>
                <w:color w:val="auto"/>
              </w:rPr>
              <w:t>10</w:t>
            </w:r>
            <w:r>
              <w:rPr>
                <w:color w:val="auto"/>
                <w:vertAlign w:val="superscript"/>
              </w:rPr>
              <w:t>-7</w:t>
            </w:r>
          </w:p>
          <w:p w14:paraId="56B2068E">
            <w:pPr>
              <w:pStyle w:val="129"/>
              <w:widowControl w:val="0"/>
              <w:rPr>
                <w:color w:val="auto"/>
              </w:rPr>
            </w:pPr>
            <w:r>
              <w:rPr>
                <w:rFonts w:hint="eastAsia"/>
                <w:color w:val="auto"/>
              </w:rPr>
              <w:t>cm/s；或参照GB18598执行</w:t>
            </w:r>
          </w:p>
        </w:tc>
      </w:tr>
      <w:tr w14:paraId="568D2E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0" w:type="pct"/>
            <w:vAlign w:val="center"/>
          </w:tcPr>
          <w:p w14:paraId="009291C4">
            <w:pPr>
              <w:pStyle w:val="129"/>
              <w:widowControl w:val="0"/>
              <w:rPr>
                <w:color w:val="auto"/>
              </w:rPr>
            </w:pPr>
            <w:r>
              <w:rPr>
                <w:color w:val="auto"/>
              </w:rPr>
              <w:t>一般防渗区</w:t>
            </w:r>
          </w:p>
        </w:tc>
        <w:tc>
          <w:tcPr>
            <w:tcW w:w="1881" w:type="pct"/>
            <w:vAlign w:val="center"/>
          </w:tcPr>
          <w:p w14:paraId="11EEB6D7">
            <w:pPr>
              <w:pStyle w:val="129"/>
              <w:widowControl w:val="0"/>
              <w:rPr>
                <w:color w:val="auto"/>
              </w:rPr>
            </w:pPr>
            <w:r>
              <w:rPr>
                <w:rFonts w:hint="eastAsia"/>
                <w:color w:val="auto"/>
              </w:rPr>
              <w:t>化学品库房、事故水池、消防水池、</w:t>
            </w:r>
          </w:p>
        </w:tc>
        <w:tc>
          <w:tcPr>
            <w:tcW w:w="2269" w:type="pct"/>
            <w:vAlign w:val="center"/>
          </w:tcPr>
          <w:p w14:paraId="0DE91726">
            <w:pPr>
              <w:pStyle w:val="129"/>
              <w:widowControl w:val="0"/>
              <w:rPr>
                <w:color w:val="auto"/>
              </w:rPr>
            </w:pPr>
            <w:r>
              <w:rPr>
                <w:rFonts w:hint="eastAsia"/>
                <w:color w:val="auto"/>
              </w:rPr>
              <w:t>等效黏土防渗层Mb≥1.5m，K≤1×</w:t>
            </w:r>
            <w:r>
              <w:rPr>
                <w:color w:val="auto"/>
              </w:rPr>
              <w:t>10</w:t>
            </w:r>
            <w:r>
              <w:rPr>
                <w:color w:val="auto"/>
                <w:vertAlign w:val="superscript"/>
              </w:rPr>
              <w:t>-7</w:t>
            </w:r>
          </w:p>
          <w:p w14:paraId="4229BEE5">
            <w:pPr>
              <w:pStyle w:val="129"/>
              <w:widowControl w:val="0"/>
              <w:rPr>
                <w:color w:val="auto"/>
              </w:rPr>
            </w:pPr>
            <w:r>
              <w:rPr>
                <w:rFonts w:hint="eastAsia"/>
                <w:color w:val="auto"/>
              </w:rPr>
              <w:t>cm/s；或参照GB16889执行</w:t>
            </w:r>
          </w:p>
        </w:tc>
      </w:tr>
      <w:tr w14:paraId="431DE5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0" w:type="pct"/>
            <w:vAlign w:val="center"/>
          </w:tcPr>
          <w:p w14:paraId="01330665">
            <w:pPr>
              <w:pStyle w:val="129"/>
              <w:widowControl w:val="0"/>
              <w:rPr>
                <w:color w:val="auto"/>
              </w:rPr>
            </w:pPr>
            <w:r>
              <w:rPr>
                <w:color w:val="auto"/>
              </w:rPr>
              <w:t>简单防渗区</w:t>
            </w:r>
          </w:p>
        </w:tc>
        <w:tc>
          <w:tcPr>
            <w:tcW w:w="1881" w:type="pct"/>
            <w:vAlign w:val="center"/>
          </w:tcPr>
          <w:p w14:paraId="1D890153">
            <w:pPr>
              <w:pStyle w:val="129"/>
              <w:widowControl w:val="0"/>
              <w:rPr>
                <w:color w:val="auto"/>
              </w:rPr>
            </w:pPr>
            <w:r>
              <w:rPr>
                <w:rFonts w:hint="eastAsia"/>
                <w:color w:val="auto"/>
              </w:rPr>
              <w:t>办公生活区、变电室、门卫、</w:t>
            </w:r>
            <w:r>
              <w:rPr>
                <w:color w:val="auto"/>
              </w:rPr>
              <w:t>普通物料仓库等</w:t>
            </w:r>
            <w:r>
              <w:rPr>
                <w:rFonts w:hint="eastAsia"/>
                <w:color w:val="auto"/>
              </w:rPr>
              <w:t>、锅炉房、公用工程间</w:t>
            </w:r>
          </w:p>
        </w:tc>
        <w:tc>
          <w:tcPr>
            <w:tcW w:w="2269" w:type="pct"/>
            <w:vAlign w:val="center"/>
          </w:tcPr>
          <w:p w14:paraId="2C047C36">
            <w:pPr>
              <w:pStyle w:val="129"/>
              <w:widowControl w:val="0"/>
              <w:rPr>
                <w:color w:val="auto"/>
              </w:rPr>
            </w:pPr>
            <w:r>
              <w:rPr>
                <w:rFonts w:hint="eastAsia"/>
                <w:color w:val="auto"/>
              </w:rPr>
              <w:t>一般地面硬化</w:t>
            </w:r>
          </w:p>
        </w:tc>
      </w:tr>
    </w:tbl>
    <w:p w14:paraId="6CF23CE2">
      <w:pPr>
        <w:pStyle w:val="1304"/>
        <w:rPr>
          <w:color w:val="auto"/>
        </w:rPr>
      </w:pPr>
    </w:p>
    <w:p w14:paraId="241688F6">
      <w:pPr>
        <w:pStyle w:val="132"/>
        <w:rPr>
          <w:color w:val="auto"/>
        </w:rPr>
      </w:pPr>
      <w:r>
        <w:rPr>
          <w:color w:val="auto"/>
        </w:rPr>
        <w:t xml:space="preserve">（3）地下水污染应急措施 </w:t>
      </w:r>
    </w:p>
    <w:p w14:paraId="0F911DB6">
      <w:pPr>
        <w:pStyle w:val="132"/>
        <w:rPr>
          <w:color w:val="auto"/>
        </w:rPr>
      </w:pPr>
      <w:r>
        <w:rPr>
          <w:rFonts w:ascii="Cambria Math" w:hAnsi="Cambria Math" w:cs="Cambria Math"/>
          <w:color w:val="auto"/>
        </w:rPr>
        <w:t>①</w:t>
      </w:r>
      <w:r>
        <w:rPr>
          <w:color w:val="auto"/>
        </w:rPr>
        <w:t xml:space="preserve">污染应急预案 </w:t>
      </w:r>
    </w:p>
    <w:p w14:paraId="4D2D8883">
      <w:pPr>
        <w:pStyle w:val="132"/>
        <w:rPr>
          <w:color w:val="auto"/>
        </w:rPr>
      </w:pPr>
      <w:r>
        <w:rPr>
          <w:color w:val="auto"/>
        </w:rPr>
        <w:t>项目应按国家、地方及行业相关规范要求，制定地下水污染应急预案，并在发现地下水受到污染时立刻启动应急预案，采取应急措施阻止污染扩散，防止</w:t>
      </w:r>
      <w:r>
        <w:rPr>
          <w:rFonts w:hint="eastAsia"/>
          <w:color w:val="auto"/>
        </w:rPr>
        <w:t>周</w:t>
      </w:r>
      <w:r>
        <w:rPr>
          <w:color w:val="auto"/>
        </w:rPr>
        <w:t>边居民人体健康及生态环境受到影响。地下水污染应急预案应包括下列要点：</w:t>
      </w:r>
    </w:p>
    <w:p w14:paraId="66DAE8AC">
      <w:pPr>
        <w:pStyle w:val="132"/>
        <w:rPr>
          <w:color w:val="auto"/>
        </w:rPr>
      </w:pPr>
      <w:r>
        <w:rPr>
          <w:color w:val="auto"/>
        </w:rPr>
        <w:t>a</w:t>
      </w:r>
      <w:r>
        <w:rPr>
          <w:rFonts w:hint="eastAsia"/>
          <w:color w:val="auto"/>
        </w:rPr>
        <w:t>.</w:t>
      </w:r>
      <w:r>
        <w:rPr>
          <w:color w:val="auto"/>
        </w:rPr>
        <w:t xml:space="preserve">如发现地下水污染事故，应立即向公司环保部门及行政管理部门报告，调查并确认污染源位置； </w:t>
      </w:r>
    </w:p>
    <w:p w14:paraId="771CFB94">
      <w:pPr>
        <w:pStyle w:val="132"/>
        <w:rPr>
          <w:color w:val="auto"/>
        </w:rPr>
      </w:pPr>
      <w:r>
        <w:rPr>
          <w:color w:val="auto"/>
        </w:rPr>
        <w:t>b</w:t>
      </w:r>
      <w:r>
        <w:rPr>
          <w:rFonts w:hint="eastAsia"/>
          <w:color w:val="auto"/>
        </w:rPr>
        <w:t>.</w:t>
      </w:r>
      <w:r>
        <w:rPr>
          <w:color w:val="auto"/>
        </w:rPr>
        <w:t>采取有效措施及时阻断确认的污染源，防止污染物继续渗漏到地下，导致</w:t>
      </w:r>
      <w:r>
        <w:rPr>
          <w:rFonts w:hint="eastAsia"/>
          <w:color w:val="auto"/>
        </w:rPr>
        <w:t>土</w:t>
      </w:r>
      <w:r>
        <w:rPr>
          <w:color w:val="auto"/>
        </w:rPr>
        <w:t xml:space="preserve">壤和地下水污染范围扩大； </w:t>
      </w:r>
    </w:p>
    <w:p w14:paraId="2DEC4897">
      <w:pPr>
        <w:pStyle w:val="132"/>
        <w:rPr>
          <w:color w:val="auto"/>
        </w:rPr>
      </w:pPr>
      <w:r>
        <w:rPr>
          <w:color w:val="auto"/>
        </w:rPr>
        <w:t>c</w:t>
      </w:r>
      <w:r>
        <w:rPr>
          <w:rFonts w:hint="eastAsia"/>
          <w:color w:val="auto"/>
        </w:rPr>
        <w:t>.</w:t>
      </w:r>
      <w:r>
        <w:rPr>
          <w:color w:val="auto"/>
        </w:rPr>
        <w:t xml:space="preserve">立即对重污染区域采取有效的修复措施，包括开挖并移走重污染土壤作危险废物处置，对重污染区的地下水抽出并送到事故应急池中，防止污染物在地下继续扩散； </w:t>
      </w:r>
    </w:p>
    <w:p w14:paraId="5CA98B04">
      <w:pPr>
        <w:pStyle w:val="132"/>
        <w:rPr>
          <w:color w:val="auto"/>
        </w:rPr>
      </w:pPr>
      <w:r>
        <w:rPr>
          <w:color w:val="auto"/>
        </w:rPr>
        <w:t>d</w:t>
      </w:r>
      <w:r>
        <w:rPr>
          <w:rFonts w:hint="eastAsia"/>
          <w:color w:val="auto"/>
        </w:rPr>
        <w:t>.</w:t>
      </w:r>
      <w:r>
        <w:rPr>
          <w:color w:val="auto"/>
        </w:rPr>
        <w:t xml:space="preserve">对厂区及周边区域的地下水敏感点进行取样监测，确定水质是否受到影响。如果水质受到影响，应及时通知相关方并立即停用受影响的地下水。 </w:t>
      </w:r>
    </w:p>
    <w:p w14:paraId="6F470133">
      <w:pPr>
        <w:pStyle w:val="132"/>
        <w:rPr>
          <w:color w:val="auto"/>
        </w:rPr>
      </w:pPr>
      <w:r>
        <w:rPr>
          <w:rFonts w:ascii="Cambria Math" w:hAnsi="Cambria Math" w:cs="Cambria Math"/>
          <w:color w:val="auto"/>
        </w:rPr>
        <w:t>②</w:t>
      </w:r>
      <w:r>
        <w:rPr>
          <w:color w:val="auto"/>
        </w:rPr>
        <w:t xml:space="preserve">污染应急措施 </w:t>
      </w:r>
    </w:p>
    <w:p w14:paraId="1205FF2F">
      <w:pPr>
        <w:pStyle w:val="132"/>
        <w:rPr>
          <w:color w:val="auto"/>
        </w:rPr>
      </w:pPr>
      <w:r>
        <w:rPr>
          <w:color w:val="auto"/>
        </w:rPr>
        <w:t>a</w:t>
      </w:r>
      <w:r>
        <w:rPr>
          <w:rFonts w:hint="eastAsia"/>
          <w:color w:val="auto"/>
        </w:rPr>
        <w:t>.</w:t>
      </w:r>
      <w:r>
        <w:rPr>
          <w:color w:val="auto"/>
        </w:rPr>
        <w:t xml:space="preserve">危险废物临时贮存设施：发生泄漏时，应首先堵住泄漏源，利用围堰或收液槽收容，然后收集、转移到事故池进行处理。如果已经渗入地下水，应将污染区的地下水抽出并送到污水处理装置，防止污染物在地下继续扩散。 </w:t>
      </w:r>
    </w:p>
    <w:p w14:paraId="0B1B7915">
      <w:pPr>
        <w:pStyle w:val="132"/>
        <w:rPr>
          <w:color w:val="auto"/>
        </w:rPr>
      </w:pPr>
      <w:r>
        <w:rPr>
          <w:color w:val="auto"/>
        </w:rPr>
        <w:t>b</w:t>
      </w:r>
      <w:r>
        <w:rPr>
          <w:rFonts w:hint="eastAsia"/>
          <w:color w:val="auto"/>
        </w:rPr>
        <w:t>.</w:t>
      </w:r>
      <w:r>
        <w:rPr>
          <w:color w:val="auto"/>
        </w:rPr>
        <w:t>项目厂区周围应设置地坎以隔断与外界水体的联系，在发生事故后保证事故废水、消防废水能够进入污水</w:t>
      </w:r>
      <w:r>
        <w:rPr>
          <w:rFonts w:hint="eastAsia"/>
          <w:color w:val="auto"/>
        </w:rPr>
        <w:t>处理</w:t>
      </w:r>
      <w:r>
        <w:rPr>
          <w:color w:val="auto"/>
        </w:rPr>
        <w:t>站进行处理，不得进入周围水体。</w:t>
      </w:r>
    </w:p>
    <w:p w14:paraId="3800C749">
      <w:pPr>
        <w:pStyle w:val="3"/>
        <w:rPr>
          <w:color w:val="auto"/>
        </w:rPr>
      </w:pPr>
      <w:bookmarkStart w:id="362" w:name="_Toc229930154"/>
      <w:r>
        <w:rPr>
          <w:rFonts w:hint="eastAsia"/>
          <w:color w:val="auto"/>
        </w:rPr>
        <w:t>噪声防治措施</w:t>
      </w:r>
      <w:bookmarkEnd w:id="362"/>
    </w:p>
    <w:p w14:paraId="10EA1F41">
      <w:pPr>
        <w:pStyle w:val="132"/>
        <w:rPr>
          <w:color w:val="auto"/>
        </w:rPr>
      </w:pPr>
      <w:r>
        <w:rPr>
          <w:rFonts w:hint="eastAsia"/>
          <w:color w:val="auto"/>
        </w:rPr>
        <w:t>工程噪声主要为机械噪声、空气动力性噪声。机械噪声源为干燥器、包装机等；空气动力性噪声主要为风机等，噪声源强为86~96dB(A)。项目主要从降低噪声源、控制传播途径、厂区合理布局三方面考虑，主要采取以下措施：</w:t>
      </w:r>
    </w:p>
    <w:p w14:paraId="00BDAB07">
      <w:pPr>
        <w:pStyle w:val="132"/>
        <w:rPr>
          <w:color w:val="auto"/>
        </w:rPr>
      </w:pPr>
      <w:r>
        <w:rPr>
          <w:color w:val="auto"/>
        </w:rPr>
        <w:t xml:space="preserve">本项目选用的设备均属于低噪声设备，且主要噪声源均设在封闭的厂房内。但为了进一步降低噪声对周围环境的影响，根据噪声源规划分布以及发声特性，本环评提出如下噪声污染防治措施： </w:t>
      </w:r>
    </w:p>
    <w:p w14:paraId="0756D7AE">
      <w:pPr>
        <w:pStyle w:val="132"/>
        <w:rPr>
          <w:color w:val="auto"/>
        </w:rPr>
      </w:pPr>
      <w:r>
        <w:rPr>
          <w:color w:val="auto"/>
        </w:rPr>
        <w:t xml:space="preserve">（1）制定相关操作规程，做好对生产、装卸过程中的管理，对原料、成品的搬运、装卸做到轻拿轻放，减少原料和成品装卸时的落差，尽量减少瞬时噪声对周边环境产生的影响。 </w:t>
      </w:r>
    </w:p>
    <w:p w14:paraId="299CE12A">
      <w:pPr>
        <w:pStyle w:val="132"/>
        <w:rPr>
          <w:color w:val="auto"/>
        </w:rPr>
      </w:pPr>
      <w:r>
        <w:rPr>
          <w:color w:val="auto"/>
        </w:rPr>
        <w:t>（2）在设计和设备采购阶段，应优先选用先进的低噪音设备，从声源上降低设备本身</w:t>
      </w:r>
      <w:r>
        <w:rPr>
          <w:rFonts w:hint="eastAsia"/>
          <w:color w:val="auto"/>
        </w:rPr>
        <w:t>噪声</w:t>
      </w:r>
      <w:r>
        <w:rPr>
          <w:color w:val="auto"/>
        </w:rPr>
        <w:t>。风机等动力设备选用满足国际标准的低噪声、低振动设备，</w:t>
      </w:r>
      <w:r>
        <w:rPr>
          <w:rFonts w:hint="eastAsia"/>
          <w:color w:val="auto"/>
        </w:rPr>
        <w:t>通风系统</w:t>
      </w:r>
      <w:r>
        <w:rPr>
          <w:color w:val="auto"/>
        </w:rPr>
        <w:t xml:space="preserve">的风机也采用符合国家标准的设备，同时主要应选择本身带减振底座的风机。 </w:t>
      </w:r>
    </w:p>
    <w:p w14:paraId="0276DB05">
      <w:pPr>
        <w:pStyle w:val="132"/>
        <w:rPr>
          <w:color w:val="auto"/>
        </w:rPr>
      </w:pPr>
      <w:r>
        <w:rPr>
          <w:color w:val="auto"/>
        </w:rPr>
        <w:t>（3）在设备安装时，对高噪声设备采取</w:t>
      </w:r>
      <w:r>
        <w:rPr>
          <w:rFonts w:hint="eastAsia"/>
          <w:color w:val="auto"/>
        </w:rPr>
        <w:t>减振</w:t>
      </w:r>
      <w:r>
        <w:rPr>
          <w:color w:val="auto"/>
        </w:rPr>
        <w:t>、</w:t>
      </w:r>
      <w:r>
        <w:rPr>
          <w:rFonts w:hint="eastAsia"/>
          <w:color w:val="auto"/>
        </w:rPr>
        <w:t>隔振</w:t>
      </w:r>
      <w:r>
        <w:rPr>
          <w:color w:val="auto"/>
        </w:rPr>
        <w:t>措施。除选择低</w:t>
      </w:r>
      <w:r>
        <w:rPr>
          <w:rFonts w:hint="eastAsia"/>
          <w:color w:val="auto"/>
        </w:rPr>
        <w:t>噪声</w:t>
      </w:r>
      <w:r>
        <w:rPr>
          <w:color w:val="auto"/>
        </w:rPr>
        <w:t>设备外，在设备四周设置防震沟，采用隔声屏或局部隔声罩</w:t>
      </w:r>
      <w:r>
        <w:rPr>
          <w:rFonts w:hint="eastAsia"/>
          <w:color w:val="auto"/>
        </w:rPr>
        <w:t>；在</w:t>
      </w:r>
      <w:r>
        <w:rPr>
          <w:color w:val="auto"/>
        </w:rPr>
        <w:t xml:space="preserve">设备安装位置设置减振台，将其噪声影响控制在最小范围内。对于设置在屋顶的风机或排气口考虑加设风机隔声罩，排风管道进出口加柔性软接头，以降低风机噪声对周围环境的影响。 </w:t>
      </w:r>
    </w:p>
    <w:p w14:paraId="24BD06FA">
      <w:pPr>
        <w:pStyle w:val="132"/>
        <w:rPr>
          <w:color w:val="auto"/>
        </w:rPr>
      </w:pPr>
      <w:r>
        <w:rPr>
          <w:color w:val="auto"/>
        </w:rPr>
        <w:t>（4）建筑物隔声。本项目建设的为大规模生产车间，所有生产设备均布置在车间内，因此噪声源均封闭在室内。车间所有门窗均采用双层隔声门窗，平时生产时尽量少开门窗以封闭隔声，并在房屋内壁铺设吸声材料</w:t>
      </w:r>
      <w:r>
        <w:rPr>
          <w:rFonts w:hint="eastAsia"/>
          <w:color w:val="auto"/>
        </w:rPr>
        <w:t>，</w:t>
      </w:r>
      <w:r>
        <w:rPr>
          <w:color w:val="auto"/>
        </w:rPr>
        <w:t xml:space="preserve">至少可以降低噪声 20 分贝以上。 </w:t>
      </w:r>
    </w:p>
    <w:p w14:paraId="02C170D7">
      <w:pPr>
        <w:pStyle w:val="132"/>
        <w:rPr>
          <w:color w:val="auto"/>
        </w:rPr>
      </w:pPr>
      <w:r>
        <w:rPr>
          <w:color w:val="auto"/>
        </w:rPr>
        <w:t xml:space="preserve">（5）日常生产需加强对各设备的维修、保养，对其主要磨损部位要及时添加润滑油，确保设备处于良好的运转状态，杜绝因设备不正常运转而产生的高噪音现象。 </w:t>
      </w:r>
    </w:p>
    <w:p w14:paraId="5212A9EE">
      <w:pPr>
        <w:pStyle w:val="132"/>
        <w:rPr>
          <w:color w:val="auto"/>
        </w:rPr>
      </w:pPr>
      <w:r>
        <w:rPr>
          <w:color w:val="auto"/>
        </w:rPr>
        <w:t>（6）厂界及车间外，应加强绿化种植树木，以增加噪声传播过程的衰减量，减少对厂界的影响。</w:t>
      </w:r>
    </w:p>
    <w:p w14:paraId="310DEC0A">
      <w:pPr>
        <w:pStyle w:val="132"/>
        <w:rPr>
          <w:color w:val="auto"/>
        </w:rPr>
      </w:pPr>
      <w:r>
        <w:rPr>
          <w:rFonts w:hint="eastAsia"/>
          <w:color w:val="auto"/>
        </w:rPr>
        <w:t>根据噪声预测结果，在采取上述噪声治理措施和进一步落实削减噪声源强的措施建议基础上，本项目厂界噪声排放低于《工业企业厂界环境噪声排放标准》（GB12348-2008）3 类标准要求。从技术、经济角度考虑，项目噪声防治措施可行。</w:t>
      </w:r>
    </w:p>
    <w:p w14:paraId="7E2502E3">
      <w:pPr>
        <w:pStyle w:val="3"/>
        <w:rPr>
          <w:color w:val="auto"/>
        </w:rPr>
      </w:pPr>
      <w:bookmarkStart w:id="363" w:name="_Toc229930155"/>
      <w:r>
        <w:rPr>
          <w:rFonts w:hint="eastAsia"/>
          <w:color w:val="auto"/>
        </w:rPr>
        <w:t>固废污染防治措施</w:t>
      </w:r>
      <w:bookmarkEnd w:id="363"/>
    </w:p>
    <w:p w14:paraId="6CECB4B3">
      <w:pPr>
        <w:pStyle w:val="4"/>
        <w:rPr>
          <w:color w:val="auto"/>
        </w:rPr>
      </w:pPr>
      <w:r>
        <w:rPr>
          <w:rFonts w:hint="eastAsia"/>
          <w:color w:val="auto"/>
        </w:rPr>
        <w:t>处理措施概述</w:t>
      </w:r>
    </w:p>
    <w:p w14:paraId="4FDD2924">
      <w:pPr>
        <w:pStyle w:val="132"/>
        <w:rPr>
          <w:color w:val="auto"/>
        </w:rPr>
      </w:pPr>
      <w:r>
        <w:rPr>
          <w:rFonts w:hint="eastAsia"/>
          <w:color w:val="auto"/>
        </w:rPr>
        <w:t>RO膜系统会产生废滤膜，属于HW49类危险废物，单次更换10t，更换后送有资质的单位进行处理。真空袋式压滤机使用过程中会出现破损，产生废滤袋，产生量平均为0.5t/a，属于一般工业固体废物。送厂家回收利用。机械设备维护过程中会产生废润滑油，属于HW08类危险废物，使用量约为0.19t/a，废机油产生量0.2t/a，</w:t>
      </w:r>
      <w:r>
        <w:rPr>
          <w:color w:val="auto"/>
        </w:rPr>
        <w:t>送有资质单位处理。</w:t>
      </w:r>
      <w:r>
        <w:rPr>
          <w:rFonts w:hint="eastAsia"/>
          <w:color w:val="auto"/>
        </w:rPr>
        <w:t>生活垃圾年产生量32.85t，由园区环卫部门收集处理。</w:t>
      </w:r>
    </w:p>
    <w:p w14:paraId="72803C7E">
      <w:pPr>
        <w:pStyle w:val="132"/>
        <w:rPr>
          <w:color w:val="auto"/>
        </w:rPr>
      </w:pPr>
      <w:r>
        <w:rPr>
          <w:rFonts w:hint="eastAsia"/>
          <w:color w:val="auto"/>
        </w:rPr>
        <w:t>项目固体废物产生情况见表6.5-1。</w:t>
      </w:r>
    </w:p>
    <w:p w14:paraId="3C9D95A0">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6.5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rStyle w:val="1062"/>
          <w:color w:val="auto"/>
        </w:rPr>
        <w:t>项目厂区分区污染防治措施一览表</w:t>
      </w:r>
      <w:r>
        <w:rPr>
          <w:color w:val="auto"/>
        </w:rPr>
        <w:t xml:space="preserve"> </w:t>
      </w:r>
    </w:p>
    <w:tbl>
      <w:tblPr>
        <w:tblStyle w:val="82"/>
        <w:tblW w:w="5000" w:type="pct"/>
        <w:tblInd w:w="0" w:type="dxa"/>
        <w:tblLayout w:type="autofit"/>
        <w:tblCellMar>
          <w:top w:w="0" w:type="dxa"/>
          <w:left w:w="108" w:type="dxa"/>
          <w:bottom w:w="0" w:type="dxa"/>
          <w:right w:w="108" w:type="dxa"/>
        </w:tblCellMar>
      </w:tblPr>
      <w:tblGrid>
        <w:gridCol w:w="638"/>
        <w:gridCol w:w="1084"/>
        <w:gridCol w:w="1071"/>
        <w:gridCol w:w="934"/>
        <w:gridCol w:w="1031"/>
        <w:gridCol w:w="1616"/>
        <w:gridCol w:w="1031"/>
        <w:gridCol w:w="1541"/>
      </w:tblGrid>
      <w:tr w14:paraId="3055ECD6">
        <w:tblPrEx>
          <w:tblCellMar>
            <w:top w:w="0" w:type="dxa"/>
            <w:left w:w="108" w:type="dxa"/>
            <w:bottom w:w="0" w:type="dxa"/>
            <w:right w:w="108" w:type="dxa"/>
          </w:tblCellMar>
        </w:tblPrEx>
        <w:trPr>
          <w:trHeight w:val="540" w:hRule="atLeast"/>
        </w:trPr>
        <w:tc>
          <w:tcPr>
            <w:tcW w:w="371" w:type="pct"/>
            <w:tcBorders>
              <w:top w:val="single" w:color="000000" w:themeColor="text1" w:sz="8" w:space="0"/>
              <w:left w:val="single" w:color="000000" w:themeColor="text1" w:sz="8" w:space="0"/>
              <w:bottom w:val="single" w:color="000000" w:themeColor="text1" w:sz="2" w:space="0"/>
              <w:right w:val="single" w:color="000000" w:themeColor="text1" w:sz="2" w:space="0"/>
            </w:tcBorders>
            <w:vAlign w:val="center"/>
          </w:tcPr>
          <w:p w14:paraId="0481EBAD">
            <w:pPr>
              <w:pStyle w:val="129"/>
              <w:rPr>
                <w:color w:val="auto"/>
              </w:rPr>
            </w:pPr>
            <w:r>
              <w:rPr>
                <w:rFonts w:hint="eastAsia"/>
                <w:color w:val="auto"/>
              </w:rPr>
              <w:t>编号</w:t>
            </w:r>
          </w:p>
        </w:tc>
        <w:tc>
          <w:tcPr>
            <w:tcW w:w="620"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073B0971">
            <w:pPr>
              <w:pStyle w:val="129"/>
              <w:rPr>
                <w:color w:val="auto"/>
              </w:rPr>
            </w:pPr>
            <w:r>
              <w:rPr>
                <w:rFonts w:hint="eastAsia"/>
                <w:color w:val="auto"/>
              </w:rPr>
              <w:t>固废名称</w:t>
            </w:r>
          </w:p>
        </w:tc>
        <w:tc>
          <w:tcPr>
            <w:tcW w:w="613"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7EE5F35D">
            <w:pPr>
              <w:pStyle w:val="129"/>
              <w:rPr>
                <w:color w:val="auto"/>
              </w:rPr>
            </w:pPr>
            <w:r>
              <w:rPr>
                <w:rFonts w:hint="eastAsia"/>
                <w:color w:val="auto"/>
              </w:rPr>
              <w:t>来源</w:t>
            </w:r>
          </w:p>
        </w:tc>
        <w:tc>
          <w:tcPr>
            <w:tcW w:w="536"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56B62348">
            <w:pPr>
              <w:pStyle w:val="129"/>
              <w:rPr>
                <w:color w:val="auto"/>
              </w:rPr>
            </w:pPr>
            <w:r>
              <w:rPr>
                <w:rFonts w:hint="eastAsia"/>
                <w:color w:val="auto"/>
              </w:rPr>
              <w:t>组成及特性</w:t>
            </w:r>
          </w:p>
        </w:tc>
        <w:tc>
          <w:tcPr>
            <w:tcW w:w="590"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24745B99">
            <w:pPr>
              <w:pStyle w:val="129"/>
              <w:rPr>
                <w:color w:val="auto"/>
              </w:rPr>
            </w:pPr>
            <w:r>
              <w:rPr>
                <w:rFonts w:hint="eastAsia"/>
                <w:color w:val="auto"/>
              </w:rPr>
              <w:t>属性</w:t>
            </w:r>
          </w:p>
        </w:tc>
        <w:tc>
          <w:tcPr>
            <w:tcW w:w="804"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1EEAB947">
            <w:pPr>
              <w:pStyle w:val="129"/>
              <w:rPr>
                <w:color w:val="auto"/>
              </w:rPr>
            </w:pPr>
            <w:r>
              <w:rPr>
                <w:rFonts w:hint="eastAsia"/>
                <w:color w:val="auto"/>
              </w:rPr>
              <w:t>危废代码</w:t>
            </w:r>
          </w:p>
        </w:tc>
        <w:tc>
          <w:tcPr>
            <w:tcW w:w="590" w:type="pct"/>
            <w:tcBorders>
              <w:top w:val="single" w:color="000000" w:themeColor="text1" w:sz="8" w:space="0"/>
              <w:left w:val="single" w:color="000000" w:themeColor="text1" w:sz="2" w:space="0"/>
              <w:bottom w:val="single" w:color="000000" w:themeColor="text1" w:sz="2" w:space="0"/>
              <w:right w:val="single" w:color="000000" w:themeColor="text1" w:sz="2" w:space="0"/>
            </w:tcBorders>
            <w:vAlign w:val="center"/>
          </w:tcPr>
          <w:p w14:paraId="2DD29137">
            <w:pPr>
              <w:pStyle w:val="129"/>
              <w:rPr>
                <w:color w:val="auto"/>
              </w:rPr>
            </w:pPr>
            <w:r>
              <w:rPr>
                <w:rFonts w:hint="eastAsia"/>
                <w:color w:val="auto"/>
              </w:rPr>
              <w:t>产生量（</w:t>
            </w:r>
            <w:r>
              <w:rPr>
                <w:color w:val="auto"/>
              </w:rPr>
              <w:t>t/a</w:t>
            </w:r>
            <w:r>
              <w:rPr>
                <w:rFonts w:hint="eastAsia"/>
                <w:color w:val="auto"/>
              </w:rPr>
              <w:t>）</w:t>
            </w:r>
          </w:p>
        </w:tc>
        <w:tc>
          <w:tcPr>
            <w:tcW w:w="875" w:type="pct"/>
            <w:tcBorders>
              <w:top w:val="single" w:color="000000" w:themeColor="text1" w:sz="8" w:space="0"/>
              <w:left w:val="single" w:color="000000" w:themeColor="text1" w:sz="2" w:space="0"/>
              <w:bottom w:val="single" w:color="000000" w:themeColor="text1" w:sz="2" w:space="0"/>
              <w:right w:val="single" w:color="000000" w:themeColor="text1" w:sz="8" w:space="0"/>
            </w:tcBorders>
            <w:vAlign w:val="center"/>
          </w:tcPr>
          <w:p w14:paraId="0219BC35">
            <w:pPr>
              <w:pStyle w:val="129"/>
              <w:rPr>
                <w:color w:val="auto"/>
              </w:rPr>
            </w:pPr>
            <w:r>
              <w:rPr>
                <w:rFonts w:hint="eastAsia"/>
                <w:color w:val="auto"/>
              </w:rPr>
              <w:t>治理措施</w:t>
            </w:r>
          </w:p>
        </w:tc>
      </w:tr>
      <w:tr w14:paraId="1EB56D65">
        <w:tblPrEx>
          <w:tblCellMar>
            <w:top w:w="0" w:type="dxa"/>
            <w:left w:w="108" w:type="dxa"/>
            <w:bottom w:w="0" w:type="dxa"/>
            <w:right w:w="108" w:type="dxa"/>
          </w:tblCellMar>
        </w:tblPrEx>
        <w:trPr>
          <w:trHeight w:val="540" w:hRule="atLeast"/>
        </w:trPr>
        <w:tc>
          <w:tcPr>
            <w:tcW w:w="371"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6B6B8E55">
            <w:pPr>
              <w:pStyle w:val="129"/>
              <w:rPr>
                <w:color w:val="auto"/>
              </w:rPr>
            </w:pPr>
            <w:r>
              <w:rPr>
                <w:color w:val="auto"/>
              </w:rPr>
              <w:t>S</w:t>
            </w:r>
            <w:r>
              <w:rPr>
                <w:color w:val="auto"/>
                <w:vertAlign w:val="subscript"/>
              </w:rPr>
              <w:t>1</w:t>
            </w:r>
          </w:p>
        </w:tc>
        <w:tc>
          <w:tcPr>
            <w:tcW w:w="62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8403364">
            <w:pPr>
              <w:pStyle w:val="129"/>
              <w:rPr>
                <w:color w:val="auto"/>
              </w:rPr>
            </w:pPr>
            <w:r>
              <w:rPr>
                <w:rFonts w:hint="eastAsia"/>
                <w:color w:val="auto"/>
              </w:rPr>
              <w:t>废膜</w:t>
            </w:r>
          </w:p>
        </w:tc>
        <w:tc>
          <w:tcPr>
            <w:tcW w:w="61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2003501">
            <w:pPr>
              <w:pStyle w:val="129"/>
              <w:rPr>
                <w:color w:val="auto"/>
              </w:rPr>
            </w:pPr>
            <w:r>
              <w:rPr>
                <w:color w:val="auto"/>
              </w:rPr>
              <w:t>RO</w:t>
            </w:r>
            <w:r>
              <w:rPr>
                <w:rFonts w:hint="eastAsia"/>
                <w:color w:val="auto"/>
              </w:rPr>
              <w:t>膜系统</w:t>
            </w:r>
          </w:p>
        </w:tc>
        <w:tc>
          <w:tcPr>
            <w:tcW w:w="53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CFE519D">
            <w:pPr>
              <w:pStyle w:val="129"/>
              <w:rPr>
                <w:color w:val="auto"/>
              </w:rPr>
            </w:pPr>
            <w:r>
              <w:rPr>
                <w:rFonts w:hint="eastAsia"/>
                <w:color w:val="auto"/>
              </w:rPr>
              <w:t>废膜</w:t>
            </w:r>
          </w:p>
        </w:tc>
        <w:tc>
          <w:tcPr>
            <w:tcW w:w="59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38DBD65">
            <w:pPr>
              <w:pStyle w:val="129"/>
              <w:rPr>
                <w:color w:val="auto"/>
              </w:rPr>
            </w:pPr>
            <w:r>
              <w:rPr>
                <w:rFonts w:hint="eastAsia"/>
                <w:color w:val="auto"/>
              </w:rPr>
              <w:t>危险废物</w:t>
            </w:r>
          </w:p>
        </w:tc>
        <w:tc>
          <w:tcPr>
            <w:tcW w:w="80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FA77880">
            <w:pPr>
              <w:pStyle w:val="129"/>
              <w:rPr>
                <w:color w:val="auto"/>
              </w:rPr>
            </w:pPr>
            <w:r>
              <w:rPr>
                <w:color w:val="auto"/>
              </w:rPr>
              <w:t>HW49</w:t>
            </w:r>
            <w:r>
              <w:rPr>
                <w:rFonts w:hint="eastAsia"/>
                <w:color w:val="auto"/>
              </w:rPr>
              <w:t>（</w:t>
            </w:r>
            <w:r>
              <w:rPr>
                <w:color w:val="auto"/>
              </w:rPr>
              <w:t>900-041-49</w:t>
            </w:r>
            <w:r>
              <w:rPr>
                <w:rFonts w:hint="eastAsia"/>
                <w:color w:val="auto"/>
              </w:rPr>
              <w:t>）</w:t>
            </w:r>
          </w:p>
        </w:tc>
        <w:tc>
          <w:tcPr>
            <w:tcW w:w="59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6C691CE">
            <w:pPr>
              <w:pStyle w:val="129"/>
              <w:rPr>
                <w:color w:val="auto"/>
              </w:rPr>
            </w:pPr>
            <w:r>
              <w:rPr>
                <w:color w:val="auto"/>
              </w:rPr>
              <w:t>10t/10a</w:t>
            </w:r>
          </w:p>
        </w:tc>
        <w:tc>
          <w:tcPr>
            <w:tcW w:w="875"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5AD4545D">
            <w:pPr>
              <w:pStyle w:val="129"/>
              <w:rPr>
                <w:color w:val="auto"/>
              </w:rPr>
            </w:pPr>
            <w:r>
              <w:rPr>
                <w:rFonts w:hint="eastAsia"/>
                <w:color w:val="auto"/>
              </w:rPr>
              <w:t>交由有资质的单位处理</w:t>
            </w:r>
          </w:p>
        </w:tc>
      </w:tr>
      <w:tr w14:paraId="64A6E55F">
        <w:tblPrEx>
          <w:tblCellMar>
            <w:top w:w="0" w:type="dxa"/>
            <w:left w:w="108" w:type="dxa"/>
            <w:bottom w:w="0" w:type="dxa"/>
            <w:right w:w="108" w:type="dxa"/>
          </w:tblCellMar>
        </w:tblPrEx>
        <w:trPr>
          <w:trHeight w:val="540" w:hRule="atLeast"/>
        </w:trPr>
        <w:tc>
          <w:tcPr>
            <w:tcW w:w="371"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31328DF7">
            <w:pPr>
              <w:pStyle w:val="129"/>
              <w:rPr>
                <w:color w:val="auto"/>
              </w:rPr>
            </w:pPr>
            <w:r>
              <w:rPr>
                <w:color w:val="auto"/>
              </w:rPr>
              <w:t>S</w:t>
            </w:r>
            <w:r>
              <w:rPr>
                <w:color w:val="auto"/>
                <w:vertAlign w:val="subscript"/>
              </w:rPr>
              <w:t>2</w:t>
            </w:r>
          </w:p>
        </w:tc>
        <w:tc>
          <w:tcPr>
            <w:tcW w:w="62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B7D0123">
            <w:pPr>
              <w:pStyle w:val="129"/>
              <w:rPr>
                <w:color w:val="auto"/>
              </w:rPr>
            </w:pPr>
            <w:r>
              <w:rPr>
                <w:rFonts w:hint="eastAsia"/>
                <w:color w:val="auto"/>
              </w:rPr>
              <w:t>废滤袋</w:t>
            </w:r>
          </w:p>
        </w:tc>
        <w:tc>
          <w:tcPr>
            <w:tcW w:w="61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5A195B4">
            <w:pPr>
              <w:pStyle w:val="129"/>
              <w:rPr>
                <w:color w:val="auto"/>
              </w:rPr>
            </w:pPr>
            <w:r>
              <w:rPr>
                <w:rFonts w:hint="eastAsia"/>
                <w:color w:val="auto"/>
              </w:rPr>
              <w:t>真空压滤机</w:t>
            </w:r>
          </w:p>
        </w:tc>
        <w:tc>
          <w:tcPr>
            <w:tcW w:w="53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2F8C2C7">
            <w:pPr>
              <w:pStyle w:val="129"/>
              <w:rPr>
                <w:color w:val="auto"/>
              </w:rPr>
            </w:pPr>
            <w:r>
              <w:rPr>
                <w:rFonts w:hint="eastAsia"/>
                <w:color w:val="auto"/>
              </w:rPr>
              <w:t>废滤袋</w:t>
            </w:r>
          </w:p>
        </w:tc>
        <w:tc>
          <w:tcPr>
            <w:tcW w:w="59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C552276">
            <w:pPr>
              <w:pStyle w:val="129"/>
              <w:rPr>
                <w:color w:val="auto"/>
              </w:rPr>
            </w:pPr>
            <w:r>
              <w:rPr>
                <w:rFonts w:hint="eastAsia"/>
                <w:color w:val="auto"/>
              </w:rPr>
              <w:t>一般工业固体废物</w:t>
            </w:r>
          </w:p>
        </w:tc>
        <w:tc>
          <w:tcPr>
            <w:tcW w:w="80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917DE5D">
            <w:pPr>
              <w:pStyle w:val="129"/>
              <w:rPr>
                <w:color w:val="auto"/>
              </w:rPr>
            </w:pPr>
          </w:p>
        </w:tc>
        <w:tc>
          <w:tcPr>
            <w:tcW w:w="59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3BA52EE">
            <w:pPr>
              <w:pStyle w:val="129"/>
              <w:rPr>
                <w:color w:val="auto"/>
              </w:rPr>
            </w:pPr>
            <w:r>
              <w:rPr>
                <w:color w:val="auto"/>
              </w:rPr>
              <w:t>0.5</w:t>
            </w:r>
          </w:p>
        </w:tc>
        <w:tc>
          <w:tcPr>
            <w:tcW w:w="875"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6E0C3053">
            <w:pPr>
              <w:pStyle w:val="129"/>
              <w:rPr>
                <w:color w:val="auto"/>
              </w:rPr>
            </w:pPr>
            <w:r>
              <w:rPr>
                <w:rFonts w:hint="eastAsia"/>
                <w:color w:val="auto"/>
              </w:rPr>
              <w:t>从厂家回收利用</w:t>
            </w:r>
          </w:p>
        </w:tc>
      </w:tr>
      <w:tr w14:paraId="20AF0912">
        <w:tblPrEx>
          <w:tblCellMar>
            <w:top w:w="0" w:type="dxa"/>
            <w:left w:w="108" w:type="dxa"/>
            <w:bottom w:w="0" w:type="dxa"/>
            <w:right w:w="108" w:type="dxa"/>
          </w:tblCellMar>
        </w:tblPrEx>
        <w:trPr>
          <w:trHeight w:val="525" w:hRule="atLeast"/>
        </w:trPr>
        <w:tc>
          <w:tcPr>
            <w:tcW w:w="371"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71BA6C36">
            <w:pPr>
              <w:pStyle w:val="129"/>
              <w:rPr>
                <w:color w:val="auto"/>
              </w:rPr>
            </w:pPr>
            <w:r>
              <w:rPr>
                <w:color w:val="auto"/>
              </w:rPr>
              <w:t>S</w:t>
            </w:r>
            <w:r>
              <w:rPr>
                <w:color w:val="auto"/>
                <w:vertAlign w:val="subscript"/>
              </w:rPr>
              <w:t>3</w:t>
            </w:r>
          </w:p>
        </w:tc>
        <w:tc>
          <w:tcPr>
            <w:tcW w:w="62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7D659BE">
            <w:pPr>
              <w:pStyle w:val="129"/>
              <w:rPr>
                <w:color w:val="auto"/>
              </w:rPr>
            </w:pPr>
            <w:r>
              <w:rPr>
                <w:rFonts w:hint="eastAsia"/>
                <w:color w:val="auto"/>
              </w:rPr>
              <w:t>废机油</w:t>
            </w:r>
          </w:p>
        </w:tc>
        <w:tc>
          <w:tcPr>
            <w:tcW w:w="61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53D86E6">
            <w:pPr>
              <w:pStyle w:val="129"/>
              <w:rPr>
                <w:color w:val="auto"/>
              </w:rPr>
            </w:pPr>
            <w:r>
              <w:rPr>
                <w:rFonts w:hint="eastAsia"/>
                <w:color w:val="auto"/>
              </w:rPr>
              <w:t>机械设备维护</w:t>
            </w:r>
          </w:p>
        </w:tc>
        <w:tc>
          <w:tcPr>
            <w:tcW w:w="53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46CD3DC">
            <w:pPr>
              <w:pStyle w:val="129"/>
              <w:rPr>
                <w:color w:val="auto"/>
              </w:rPr>
            </w:pPr>
            <w:r>
              <w:rPr>
                <w:rFonts w:hint="eastAsia"/>
                <w:color w:val="auto"/>
              </w:rPr>
              <w:t>废机油</w:t>
            </w:r>
          </w:p>
        </w:tc>
        <w:tc>
          <w:tcPr>
            <w:tcW w:w="59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E088281">
            <w:pPr>
              <w:pStyle w:val="129"/>
              <w:rPr>
                <w:color w:val="auto"/>
              </w:rPr>
            </w:pPr>
            <w:r>
              <w:rPr>
                <w:rFonts w:hint="eastAsia"/>
                <w:color w:val="auto"/>
              </w:rPr>
              <w:t>危险废物</w:t>
            </w:r>
          </w:p>
        </w:tc>
        <w:tc>
          <w:tcPr>
            <w:tcW w:w="80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78351C5">
            <w:pPr>
              <w:pStyle w:val="129"/>
              <w:rPr>
                <w:color w:val="auto"/>
              </w:rPr>
            </w:pPr>
            <w:r>
              <w:rPr>
                <w:color w:val="auto"/>
              </w:rPr>
              <w:t>HW08</w:t>
            </w:r>
            <w:r>
              <w:rPr>
                <w:rFonts w:hint="eastAsia"/>
                <w:color w:val="auto"/>
              </w:rPr>
              <w:t>（</w:t>
            </w:r>
            <w:r>
              <w:rPr>
                <w:color w:val="auto"/>
              </w:rPr>
              <w:t>900-214-08</w:t>
            </w:r>
            <w:r>
              <w:rPr>
                <w:rFonts w:hint="eastAsia"/>
                <w:color w:val="auto"/>
              </w:rPr>
              <w:t>）</w:t>
            </w:r>
          </w:p>
        </w:tc>
        <w:tc>
          <w:tcPr>
            <w:tcW w:w="59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3E4FAA4">
            <w:pPr>
              <w:pStyle w:val="129"/>
              <w:rPr>
                <w:color w:val="auto"/>
              </w:rPr>
            </w:pPr>
            <w:r>
              <w:rPr>
                <w:color w:val="auto"/>
              </w:rPr>
              <w:t>0.2</w:t>
            </w:r>
          </w:p>
        </w:tc>
        <w:tc>
          <w:tcPr>
            <w:tcW w:w="875"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027013AA">
            <w:pPr>
              <w:pStyle w:val="129"/>
              <w:rPr>
                <w:color w:val="auto"/>
              </w:rPr>
            </w:pPr>
            <w:r>
              <w:rPr>
                <w:rFonts w:hint="eastAsia"/>
                <w:color w:val="auto"/>
              </w:rPr>
              <w:t>交由有资质的单位处理</w:t>
            </w:r>
          </w:p>
        </w:tc>
      </w:tr>
      <w:tr w14:paraId="1F25F2D6">
        <w:tblPrEx>
          <w:tblCellMar>
            <w:top w:w="0" w:type="dxa"/>
            <w:left w:w="108" w:type="dxa"/>
            <w:bottom w:w="0" w:type="dxa"/>
            <w:right w:w="108" w:type="dxa"/>
          </w:tblCellMar>
        </w:tblPrEx>
        <w:trPr>
          <w:trHeight w:val="525" w:hRule="atLeast"/>
        </w:trPr>
        <w:tc>
          <w:tcPr>
            <w:tcW w:w="371" w:type="pct"/>
            <w:tcBorders>
              <w:top w:val="single" w:color="000000" w:themeColor="text1" w:sz="2" w:space="0"/>
              <w:left w:val="single" w:color="000000" w:themeColor="text1" w:sz="8" w:space="0"/>
              <w:bottom w:val="single" w:color="000000" w:themeColor="text1" w:sz="2" w:space="0"/>
              <w:right w:val="single" w:color="000000" w:themeColor="text1" w:sz="2" w:space="0"/>
            </w:tcBorders>
            <w:vAlign w:val="center"/>
          </w:tcPr>
          <w:p w14:paraId="75FBC6BD">
            <w:pPr>
              <w:pStyle w:val="129"/>
              <w:rPr>
                <w:color w:val="auto"/>
              </w:rPr>
            </w:pPr>
            <w:r>
              <w:rPr>
                <w:color w:val="auto"/>
              </w:rPr>
              <w:t>S</w:t>
            </w:r>
            <w:r>
              <w:rPr>
                <w:color w:val="auto"/>
                <w:vertAlign w:val="subscript"/>
              </w:rPr>
              <w:t>4</w:t>
            </w:r>
          </w:p>
        </w:tc>
        <w:tc>
          <w:tcPr>
            <w:tcW w:w="62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7043147">
            <w:pPr>
              <w:pStyle w:val="129"/>
              <w:rPr>
                <w:color w:val="auto"/>
              </w:rPr>
            </w:pPr>
            <w:r>
              <w:rPr>
                <w:rFonts w:hint="eastAsia"/>
                <w:color w:val="auto"/>
              </w:rPr>
              <w:t>废催化剂</w:t>
            </w:r>
          </w:p>
        </w:tc>
        <w:tc>
          <w:tcPr>
            <w:tcW w:w="61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6E34AEE">
            <w:pPr>
              <w:pStyle w:val="129"/>
              <w:rPr>
                <w:color w:val="auto"/>
              </w:rPr>
            </w:pPr>
            <w:r>
              <w:rPr>
                <w:color w:val="auto"/>
              </w:rPr>
              <w:t>SCR</w:t>
            </w:r>
            <w:r>
              <w:rPr>
                <w:rFonts w:hint="eastAsia"/>
                <w:color w:val="auto"/>
              </w:rPr>
              <w:t>脱硝</w:t>
            </w:r>
          </w:p>
        </w:tc>
        <w:tc>
          <w:tcPr>
            <w:tcW w:w="536"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8BE7A01">
            <w:pPr>
              <w:pStyle w:val="129"/>
              <w:rPr>
                <w:color w:val="auto"/>
              </w:rPr>
            </w:pPr>
            <w:r>
              <w:rPr>
                <w:color w:val="auto"/>
              </w:rPr>
              <w:t>V</w:t>
            </w:r>
            <w:r>
              <w:rPr>
                <w:color w:val="auto"/>
                <w:vertAlign w:val="subscript"/>
              </w:rPr>
              <w:t>2</w:t>
            </w:r>
            <w:r>
              <w:rPr>
                <w:color w:val="auto"/>
              </w:rPr>
              <w:t>O</w:t>
            </w:r>
            <w:r>
              <w:rPr>
                <w:color w:val="auto"/>
                <w:vertAlign w:val="subscript"/>
              </w:rPr>
              <w:t>5</w:t>
            </w:r>
          </w:p>
        </w:tc>
        <w:tc>
          <w:tcPr>
            <w:tcW w:w="59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E5B67A1">
            <w:pPr>
              <w:pStyle w:val="129"/>
              <w:rPr>
                <w:color w:val="auto"/>
              </w:rPr>
            </w:pPr>
            <w:r>
              <w:rPr>
                <w:rFonts w:hint="eastAsia"/>
                <w:color w:val="auto"/>
              </w:rPr>
              <w:t>危险废物</w:t>
            </w:r>
          </w:p>
        </w:tc>
        <w:tc>
          <w:tcPr>
            <w:tcW w:w="80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3A38193">
            <w:pPr>
              <w:pStyle w:val="129"/>
              <w:rPr>
                <w:color w:val="auto"/>
              </w:rPr>
            </w:pPr>
            <w:r>
              <w:rPr>
                <w:color w:val="auto"/>
              </w:rPr>
              <w:t>HW50</w:t>
            </w:r>
            <w:r>
              <w:rPr>
                <w:rFonts w:hint="eastAsia"/>
                <w:color w:val="auto"/>
              </w:rPr>
              <w:t>（</w:t>
            </w:r>
            <w:r>
              <w:rPr>
                <w:color w:val="auto"/>
              </w:rPr>
              <w:t>772-007-50</w:t>
            </w:r>
            <w:r>
              <w:rPr>
                <w:rFonts w:hint="eastAsia"/>
                <w:color w:val="auto"/>
              </w:rPr>
              <w:t>）</w:t>
            </w:r>
          </w:p>
        </w:tc>
        <w:tc>
          <w:tcPr>
            <w:tcW w:w="59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2AEC86E">
            <w:pPr>
              <w:pStyle w:val="129"/>
              <w:rPr>
                <w:color w:val="auto"/>
              </w:rPr>
            </w:pPr>
            <w:r>
              <w:rPr>
                <w:color w:val="auto"/>
              </w:rPr>
              <w:t>0.5</w:t>
            </w:r>
          </w:p>
        </w:tc>
        <w:tc>
          <w:tcPr>
            <w:tcW w:w="875" w:type="pct"/>
            <w:tcBorders>
              <w:top w:val="single" w:color="000000" w:themeColor="text1" w:sz="2" w:space="0"/>
              <w:left w:val="single" w:color="000000" w:themeColor="text1" w:sz="2" w:space="0"/>
              <w:bottom w:val="single" w:color="000000" w:themeColor="text1" w:sz="2" w:space="0"/>
              <w:right w:val="single" w:color="000000" w:themeColor="text1" w:sz="8" w:space="0"/>
            </w:tcBorders>
            <w:vAlign w:val="center"/>
          </w:tcPr>
          <w:p w14:paraId="364C109C">
            <w:pPr>
              <w:pStyle w:val="129"/>
              <w:rPr>
                <w:color w:val="auto"/>
              </w:rPr>
            </w:pPr>
            <w:r>
              <w:rPr>
                <w:rFonts w:hint="eastAsia"/>
                <w:color w:val="auto"/>
              </w:rPr>
              <w:t>交由有资质的单位处理</w:t>
            </w:r>
          </w:p>
        </w:tc>
      </w:tr>
      <w:tr w14:paraId="377FD869">
        <w:tblPrEx>
          <w:tblCellMar>
            <w:top w:w="0" w:type="dxa"/>
            <w:left w:w="108" w:type="dxa"/>
            <w:bottom w:w="0" w:type="dxa"/>
            <w:right w:w="108" w:type="dxa"/>
          </w:tblCellMar>
        </w:tblPrEx>
        <w:trPr>
          <w:trHeight w:val="525" w:hRule="atLeast"/>
        </w:trPr>
        <w:tc>
          <w:tcPr>
            <w:tcW w:w="371" w:type="pct"/>
            <w:tcBorders>
              <w:top w:val="single" w:color="000000" w:themeColor="text1" w:sz="2" w:space="0"/>
              <w:left w:val="single" w:color="000000" w:themeColor="text1" w:sz="8" w:space="0"/>
              <w:bottom w:val="single" w:color="000000" w:themeColor="text1" w:sz="8" w:space="0"/>
              <w:right w:val="single" w:color="000000" w:themeColor="text1" w:sz="2" w:space="0"/>
            </w:tcBorders>
            <w:vAlign w:val="center"/>
          </w:tcPr>
          <w:p w14:paraId="0DE1BE22">
            <w:pPr>
              <w:pStyle w:val="129"/>
              <w:rPr>
                <w:color w:val="auto"/>
              </w:rPr>
            </w:pPr>
            <w:r>
              <w:rPr>
                <w:color w:val="auto"/>
              </w:rPr>
              <w:t>S</w:t>
            </w:r>
            <w:r>
              <w:rPr>
                <w:color w:val="auto"/>
                <w:vertAlign w:val="subscript"/>
              </w:rPr>
              <w:t>5</w:t>
            </w:r>
          </w:p>
        </w:tc>
        <w:tc>
          <w:tcPr>
            <w:tcW w:w="620"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2847CF48">
            <w:pPr>
              <w:pStyle w:val="129"/>
              <w:rPr>
                <w:color w:val="auto"/>
              </w:rPr>
            </w:pPr>
            <w:r>
              <w:rPr>
                <w:rFonts w:hint="eastAsia"/>
                <w:color w:val="auto"/>
              </w:rPr>
              <w:t>生活垃圾</w:t>
            </w:r>
          </w:p>
        </w:tc>
        <w:tc>
          <w:tcPr>
            <w:tcW w:w="613"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65E7C815">
            <w:pPr>
              <w:pStyle w:val="129"/>
              <w:rPr>
                <w:color w:val="auto"/>
              </w:rPr>
            </w:pPr>
            <w:r>
              <w:rPr>
                <w:rFonts w:hint="eastAsia"/>
                <w:color w:val="auto"/>
              </w:rPr>
              <w:t>办公生活</w:t>
            </w:r>
          </w:p>
        </w:tc>
        <w:tc>
          <w:tcPr>
            <w:tcW w:w="536"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07F3C00C">
            <w:pPr>
              <w:pStyle w:val="129"/>
              <w:rPr>
                <w:color w:val="auto"/>
              </w:rPr>
            </w:pPr>
            <w:r>
              <w:rPr>
                <w:rFonts w:hint="eastAsia"/>
                <w:color w:val="auto"/>
              </w:rPr>
              <w:t>　</w:t>
            </w:r>
          </w:p>
        </w:tc>
        <w:tc>
          <w:tcPr>
            <w:tcW w:w="590"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2D1B4DD9">
            <w:pPr>
              <w:pStyle w:val="129"/>
              <w:rPr>
                <w:color w:val="auto"/>
              </w:rPr>
            </w:pPr>
            <w:r>
              <w:rPr>
                <w:rFonts w:hint="eastAsia"/>
                <w:color w:val="auto"/>
              </w:rPr>
              <w:t>生活垃圾</w:t>
            </w:r>
          </w:p>
        </w:tc>
        <w:tc>
          <w:tcPr>
            <w:tcW w:w="804"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0B864E3C">
            <w:pPr>
              <w:pStyle w:val="129"/>
              <w:rPr>
                <w:color w:val="auto"/>
              </w:rPr>
            </w:pPr>
            <w:r>
              <w:rPr>
                <w:rFonts w:hint="eastAsia"/>
                <w:color w:val="auto"/>
              </w:rPr>
              <w:t>　</w:t>
            </w:r>
          </w:p>
        </w:tc>
        <w:tc>
          <w:tcPr>
            <w:tcW w:w="590" w:type="pct"/>
            <w:tcBorders>
              <w:top w:val="single" w:color="000000" w:themeColor="text1" w:sz="2" w:space="0"/>
              <w:left w:val="single" w:color="000000" w:themeColor="text1" w:sz="2" w:space="0"/>
              <w:bottom w:val="single" w:color="000000" w:themeColor="text1" w:sz="8" w:space="0"/>
              <w:right w:val="single" w:color="000000" w:themeColor="text1" w:sz="2" w:space="0"/>
            </w:tcBorders>
            <w:vAlign w:val="center"/>
          </w:tcPr>
          <w:p w14:paraId="3A740374">
            <w:pPr>
              <w:pStyle w:val="129"/>
              <w:rPr>
                <w:color w:val="auto"/>
              </w:rPr>
            </w:pPr>
            <w:r>
              <w:rPr>
                <w:color w:val="auto"/>
              </w:rPr>
              <w:t>32.85</w:t>
            </w:r>
          </w:p>
        </w:tc>
        <w:tc>
          <w:tcPr>
            <w:tcW w:w="875" w:type="pct"/>
            <w:tcBorders>
              <w:top w:val="single" w:color="000000" w:themeColor="text1" w:sz="2" w:space="0"/>
              <w:left w:val="single" w:color="000000" w:themeColor="text1" w:sz="2" w:space="0"/>
              <w:bottom w:val="single" w:color="000000" w:themeColor="text1" w:sz="8" w:space="0"/>
              <w:right w:val="single" w:color="000000" w:themeColor="text1" w:sz="8" w:space="0"/>
            </w:tcBorders>
            <w:vAlign w:val="center"/>
          </w:tcPr>
          <w:p w14:paraId="0FB540B3">
            <w:pPr>
              <w:pStyle w:val="129"/>
              <w:rPr>
                <w:color w:val="auto"/>
              </w:rPr>
            </w:pPr>
            <w:r>
              <w:rPr>
                <w:rFonts w:hint="eastAsia"/>
                <w:color w:val="auto"/>
              </w:rPr>
              <w:t>园区环卫部门收集处理</w:t>
            </w:r>
          </w:p>
        </w:tc>
      </w:tr>
    </w:tbl>
    <w:p w14:paraId="3E9E15A0">
      <w:pPr>
        <w:pStyle w:val="4"/>
        <w:rPr>
          <w:color w:val="auto"/>
        </w:rPr>
      </w:pPr>
      <w:r>
        <w:rPr>
          <w:rFonts w:hint="eastAsia"/>
          <w:color w:val="auto"/>
        </w:rPr>
        <w:t>危险废物的暂存及转运</w:t>
      </w:r>
    </w:p>
    <w:p w14:paraId="51B08107">
      <w:pPr>
        <w:pStyle w:val="132"/>
        <w:rPr>
          <w:color w:val="auto"/>
          <w:spacing w:val="-1"/>
        </w:rPr>
      </w:pPr>
      <w:r>
        <w:rPr>
          <w:rFonts w:hint="eastAsia"/>
          <w:color w:val="auto"/>
        </w:rPr>
        <w:t>本项目拟建106m</w:t>
      </w:r>
      <w:r>
        <w:rPr>
          <w:rFonts w:hint="eastAsia"/>
          <w:color w:val="auto"/>
          <w:vertAlign w:val="superscript"/>
        </w:rPr>
        <w:t>2</w:t>
      </w:r>
      <w:r>
        <w:rPr>
          <w:rFonts w:hint="eastAsia"/>
          <w:color w:val="auto"/>
        </w:rPr>
        <w:t>危险废物贮存库，</w:t>
      </w:r>
      <w:r>
        <w:rPr>
          <w:color w:val="auto"/>
          <w:spacing w:val="-4"/>
        </w:rPr>
        <w:t>危险废</w:t>
      </w:r>
      <w:r>
        <w:rPr>
          <w:color w:val="auto"/>
        </w:rPr>
        <w:t>物暂存库制定有管理制度、进出库台账、危险</w:t>
      </w:r>
      <w:r>
        <w:rPr>
          <w:rFonts w:hint="eastAsia"/>
          <w:color w:val="auto"/>
        </w:rPr>
        <w:t>标识牌</w:t>
      </w:r>
      <w:r>
        <w:rPr>
          <w:color w:val="auto"/>
        </w:rPr>
        <w:t>、设置废液导流槽、收集池</w:t>
      </w:r>
      <w:r>
        <w:rPr>
          <w:color w:val="auto"/>
          <w:spacing w:val="11"/>
        </w:rPr>
        <w:t>及消防设施，按照贮存规程操作，基本满足《危险废物贮存污染控制标准》</w:t>
      </w:r>
      <w:r>
        <w:rPr>
          <w:color w:val="auto"/>
          <w:spacing w:val="2"/>
        </w:rPr>
        <w:t>（</w:t>
      </w:r>
      <w:r>
        <w:rPr>
          <w:rFonts w:eastAsia="Times New Roman"/>
          <w:color w:val="auto"/>
        </w:rPr>
        <w:t>GB</w:t>
      </w:r>
      <w:r>
        <w:rPr>
          <w:rFonts w:eastAsia="Times New Roman"/>
          <w:color w:val="auto"/>
          <w:spacing w:val="2"/>
        </w:rPr>
        <w:t>18597-2023</w:t>
      </w:r>
      <w:r>
        <w:rPr>
          <w:color w:val="auto"/>
          <w:spacing w:val="2"/>
        </w:rPr>
        <w:t>）标准要求。危险废物暂存库进行防渗、防雨淋等相关设计和</w:t>
      </w:r>
      <w:r>
        <w:rPr>
          <w:color w:val="auto"/>
        </w:rPr>
        <w:t>管理要求，对地下水和土壤环境造成的影响不大。危险废物的贮存场所设置明显</w:t>
      </w:r>
      <w:r>
        <w:rPr>
          <w:color w:val="auto"/>
          <w:spacing w:val="-1"/>
        </w:rPr>
        <w:t>标志；贮存场所内禁止混放不相容危险废物。</w:t>
      </w:r>
    </w:p>
    <w:p w14:paraId="7B52C494">
      <w:pPr>
        <w:pStyle w:val="4"/>
        <w:rPr>
          <w:color w:val="auto"/>
        </w:rPr>
      </w:pPr>
      <w:r>
        <w:rPr>
          <w:color w:val="auto"/>
        </w:rPr>
        <w:t>危险废物全过程管理措施</w:t>
      </w:r>
    </w:p>
    <w:p w14:paraId="314C5635">
      <w:pPr>
        <w:pStyle w:val="132"/>
        <w:rPr>
          <w:color w:val="auto"/>
        </w:rPr>
      </w:pPr>
      <w:r>
        <w:rPr>
          <w:rFonts w:hint="eastAsia"/>
          <w:color w:val="auto"/>
        </w:rPr>
        <w:t>本项目危险废物在厂内的收集、贮存、运输应按照危险废物收集、贮存、运输技术规范要求采取措施。</w:t>
      </w:r>
    </w:p>
    <w:p w14:paraId="5893ED38">
      <w:pPr>
        <w:pStyle w:val="132"/>
        <w:rPr>
          <w:color w:val="auto"/>
        </w:rPr>
      </w:pPr>
      <w:r>
        <w:rPr>
          <w:rFonts w:hint="eastAsia"/>
          <w:color w:val="auto"/>
        </w:rPr>
        <w:t>（1）暂存</w:t>
      </w:r>
    </w:p>
    <w:p w14:paraId="3E005F80">
      <w:pPr>
        <w:pStyle w:val="132"/>
        <w:rPr>
          <w:color w:val="auto"/>
        </w:rPr>
      </w:pPr>
      <w:r>
        <w:rPr>
          <w:rFonts w:hint="eastAsia"/>
          <w:color w:val="auto"/>
        </w:rPr>
        <w:t>1）设置危险废物暂存仓库。暂存仓库根据危险废物的类别、数量、形态、物理化学性质和污染防治等要求设置必要的贮存分区，避免不相容的危险废物接触、混合。</w:t>
      </w:r>
    </w:p>
    <w:p w14:paraId="2F5C8964">
      <w:pPr>
        <w:pStyle w:val="132"/>
        <w:rPr>
          <w:color w:val="auto"/>
        </w:rPr>
      </w:pPr>
      <w:r>
        <w:rPr>
          <w:rFonts w:hint="eastAsia"/>
          <w:color w:val="auto"/>
        </w:rPr>
        <w:t>2）危险废物暂存仓库内地面、墙面裙脚、堵截泄漏的围堰、接触危险废物的隔板和墙体等采用坚固的材料建造，表面无裂缝。</w:t>
      </w:r>
    </w:p>
    <w:p w14:paraId="0C0F9DA5">
      <w:pPr>
        <w:pStyle w:val="132"/>
        <w:rPr>
          <w:color w:val="auto"/>
        </w:rPr>
      </w:pPr>
      <w:r>
        <w:rPr>
          <w:rFonts w:hint="eastAsia"/>
          <w:color w:val="auto"/>
        </w:rPr>
        <w:t>3）厂内现有危险废物暂存库地面与裙脚已采取表面防渗措施；表面防渗 材料与所接触的物料或污染物相容，可采用抗渗混凝土、高密度聚乙烯膜、钠基膨润土防水毯或其他防渗性能等效的材料。贮存的危险废物直接接触地面已进行 基础防渗，防渗层为至少 2mm 厚高密度聚乙烯膜等人工防渗材料（渗透系数不 大于 10</w:t>
      </w:r>
      <w:r>
        <w:rPr>
          <w:rFonts w:hint="eastAsia"/>
          <w:color w:val="auto"/>
          <w:vertAlign w:val="superscript"/>
        </w:rPr>
        <w:t>-10</w:t>
      </w:r>
      <w:r>
        <w:rPr>
          <w:rFonts w:hint="eastAsia"/>
          <w:color w:val="auto"/>
        </w:rPr>
        <w:t>cm/s）。</w:t>
      </w:r>
    </w:p>
    <w:p w14:paraId="4E1F6E06">
      <w:pPr>
        <w:pStyle w:val="132"/>
        <w:rPr>
          <w:color w:val="auto"/>
        </w:rPr>
      </w:pPr>
      <w:r>
        <w:rPr>
          <w:rFonts w:hint="eastAsia"/>
          <w:color w:val="auto"/>
        </w:rPr>
        <w:t>4）同一座危险废物暂存仓库采用相同的防渗、防腐工艺（包括防渗、防腐 结构或材料），防渗、防腐材料应覆盖所有可能与废物及其渗滤液、渗漏液等接 触的构筑物表面；采用不同防渗、防腐工艺应分别建设贮存分区。</w:t>
      </w:r>
    </w:p>
    <w:p w14:paraId="26CCC707">
      <w:pPr>
        <w:pStyle w:val="132"/>
        <w:rPr>
          <w:color w:val="auto"/>
        </w:rPr>
      </w:pPr>
      <w:r>
        <w:rPr>
          <w:rFonts w:hint="eastAsia"/>
          <w:color w:val="auto"/>
        </w:rPr>
        <w:t>5）采取技术和管理措施防止无关人员进入。</w:t>
      </w:r>
    </w:p>
    <w:p w14:paraId="18FC3222">
      <w:pPr>
        <w:pStyle w:val="132"/>
        <w:rPr>
          <w:color w:val="auto"/>
        </w:rPr>
      </w:pPr>
      <w:r>
        <w:rPr>
          <w:rFonts w:hint="eastAsia"/>
          <w:color w:val="auto"/>
        </w:rPr>
        <w:t>（2）内部转运</w:t>
      </w:r>
    </w:p>
    <w:p w14:paraId="1E1C0CFC">
      <w:pPr>
        <w:pStyle w:val="132"/>
        <w:rPr>
          <w:color w:val="auto"/>
        </w:rPr>
      </w:pPr>
      <w:r>
        <w:rPr>
          <w:color w:val="auto"/>
        </w:rPr>
        <w:t>1）危险废物内部转运应综合考虑厂区的实际情况确定转运路线，尽量避开 办公区。</w:t>
      </w:r>
    </w:p>
    <w:p w14:paraId="352ACFBA">
      <w:pPr>
        <w:pStyle w:val="132"/>
        <w:rPr>
          <w:color w:val="auto"/>
        </w:rPr>
      </w:pPr>
      <w:r>
        <w:rPr>
          <w:color w:val="auto"/>
        </w:rPr>
        <w:t>2）危险废物内部转运作业应采用专用的工具，危险废物内部转运应填写《危 险废物厂内转运记录表》。</w:t>
      </w:r>
    </w:p>
    <w:p w14:paraId="466FE48B">
      <w:pPr>
        <w:pStyle w:val="132"/>
        <w:rPr>
          <w:color w:val="auto"/>
        </w:rPr>
      </w:pPr>
      <w:r>
        <w:rPr>
          <w:color w:val="auto"/>
        </w:rPr>
        <w:t>3）危险废物内部转运结束后，应对转运路线进行检查和清理，确保无危险 废物遗失在转运路线上，并对转运工具进行清洗。</w:t>
      </w:r>
    </w:p>
    <w:p w14:paraId="4D9F7765">
      <w:pPr>
        <w:pStyle w:val="3"/>
        <w:rPr>
          <w:color w:val="auto"/>
        </w:rPr>
      </w:pPr>
      <w:bookmarkStart w:id="364" w:name="_Toc229930156"/>
      <w:r>
        <w:rPr>
          <w:rFonts w:hint="eastAsia"/>
          <w:color w:val="auto"/>
        </w:rPr>
        <w:t>运营期土壤保护措施</w:t>
      </w:r>
      <w:bookmarkEnd w:id="364"/>
    </w:p>
    <w:p w14:paraId="79B441CB">
      <w:pPr>
        <w:pStyle w:val="4"/>
        <w:rPr>
          <w:color w:val="auto"/>
        </w:rPr>
      </w:pPr>
      <w:r>
        <w:rPr>
          <w:rFonts w:hint="eastAsia"/>
          <w:color w:val="auto"/>
        </w:rPr>
        <w:t>保护对象及目标</w:t>
      </w:r>
    </w:p>
    <w:p w14:paraId="134CFC5D">
      <w:pPr>
        <w:pStyle w:val="132"/>
        <w:rPr>
          <w:color w:val="auto"/>
        </w:rPr>
      </w:pPr>
      <w:r>
        <w:rPr>
          <w:rFonts w:hint="eastAsia"/>
          <w:color w:val="auto"/>
        </w:rPr>
        <w:t>本项目保护对象为项目外200m范围内的用地。项目施工运营期间，建设用地满足《土壤环境质量 建设用地土壤污染风险管控标准（试行）》(GB36600-2018) 中第二类用地相关标准。</w:t>
      </w:r>
    </w:p>
    <w:p w14:paraId="0B7A39C1">
      <w:pPr>
        <w:pStyle w:val="4"/>
        <w:rPr>
          <w:color w:val="auto"/>
        </w:rPr>
      </w:pPr>
      <w:r>
        <w:rPr>
          <w:rFonts w:hint="eastAsia"/>
          <w:color w:val="auto"/>
        </w:rPr>
        <w:t>源头控制措施</w:t>
      </w:r>
    </w:p>
    <w:p w14:paraId="6B065CE7">
      <w:pPr>
        <w:pStyle w:val="132"/>
        <w:rPr>
          <w:color w:val="auto"/>
        </w:rPr>
      </w:pPr>
      <w:r>
        <w:rPr>
          <w:rFonts w:hint="eastAsia"/>
          <w:color w:val="auto"/>
        </w:rPr>
        <w:t>项目建设运营过程中，对土壤污染的主要途径为大气污染物沉降，进入土壤环境。故本项目对产生的废气应进行合理的治理和综合利用，尽可能从源头上减少可能污染物产生；另外需防范厂区物料冲刷或泄漏造成的废水或废液入渗污染土壤，严格按照国家相关规范要求，对该厂区采取相应的措施，以防止和降低可能污染物的跑、冒、滴、漏，将水污染物泄漏的环境风险事故降低到最低程度。</w:t>
      </w:r>
    </w:p>
    <w:p w14:paraId="6E27082B">
      <w:pPr>
        <w:pStyle w:val="4"/>
        <w:rPr>
          <w:color w:val="auto"/>
        </w:rPr>
      </w:pPr>
      <w:r>
        <w:rPr>
          <w:rFonts w:hint="eastAsia"/>
          <w:color w:val="auto"/>
        </w:rPr>
        <w:t>防渗措施</w:t>
      </w:r>
    </w:p>
    <w:p w14:paraId="6A715C5E">
      <w:pPr>
        <w:pStyle w:val="132"/>
        <w:rPr>
          <w:color w:val="auto"/>
        </w:rPr>
      </w:pPr>
      <w:r>
        <w:rPr>
          <w:rFonts w:hint="eastAsia"/>
          <w:bCs/>
          <w:snapToGrid w:val="0"/>
          <w:color w:val="auto"/>
          <w:lang w:eastAsia="zh-TW"/>
        </w:rPr>
        <w:t>本项目</w:t>
      </w:r>
      <w:r>
        <w:rPr>
          <w:bCs/>
          <w:snapToGrid w:val="0"/>
          <w:color w:val="auto"/>
          <w:lang w:eastAsia="zh-TW"/>
        </w:rPr>
        <w:t>根据可能泄漏至地面的污染物的性质和生产单元的构建方式</w:t>
      </w:r>
      <w:r>
        <w:rPr>
          <w:rFonts w:hint="eastAsia"/>
          <w:bCs/>
          <w:snapToGrid w:val="0"/>
          <w:color w:val="auto"/>
          <w:lang w:eastAsia="zh-TW"/>
        </w:rPr>
        <w:t>，</w:t>
      </w:r>
      <w:r>
        <w:rPr>
          <w:bCs/>
          <w:snapToGrid w:val="0"/>
          <w:color w:val="auto"/>
          <w:lang w:eastAsia="zh-TW"/>
        </w:rPr>
        <w:t>结合拟建项目总平面布置情况，将厂区各生产、生活功能单元可能产生污染的地区划分为重点防渗区、一般防渗区和简单防渗区，</w:t>
      </w:r>
      <w:r>
        <w:rPr>
          <w:rFonts w:hint="eastAsia"/>
          <w:bCs/>
          <w:snapToGrid w:val="0"/>
          <w:color w:val="auto"/>
          <w:lang w:eastAsia="zh-TW"/>
        </w:rPr>
        <w:t>严格按照《危险废物贮存污染控制标准》（GB 18597-2023）《环境影响评价技术导则 地下水环境》(HJ 610-2016)等相关要求进行防渗，</w:t>
      </w:r>
      <w:r>
        <w:rPr>
          <w:bCs/>
          <w:snapToGrid w:val="0"/>
          <w:color w:val="auto"/>
          <w:lang w:eastAsia="zh-TW"/>
        </w:rPr>
        <w:t>对厂区可能泄漏污染物的地面进行防渗处理，</w:t>
      </w:r>
      <w:r>
        <w:rPr>
          <w:rFonts w:hint="eastAsia"/>
          <w:color w:val="auto"/>
        </w:rPr>
        <w:t>对生产车间等区域全部采用 混凝土硬化。</w:t>
      </w:r>
    </w:p>
    <w:p w14:paraId="19F18101">
      <w:pPr>
        <w:pStyle w:val="132"/>
        <w:rPr>
          <w:color w:val="auto"/>
        </w:rPr>
      </w:pPr>
      <w:r>
        <w:rPr>
          <w:rFonts w:hint="eastAsia"/>
          <w:color w:val="auto"/>
        </w:rPr>
        <w:t>生产装置如发生破损泄漏，废液及废水将沿事故排水管道进入厂内 750m³事故水池，不会造成盐水泄漏污染。</w:t>
      </w:r>
    </w:p>
    <w:p w14:paraId="60EECAB1">
      <w:pPr>
        <w:pStyle w:val="132"/>
        <w:rPr>
          <w:color w:val="auto"/>
        </w:rPr>
      </w:pPr>
      <w:r>
        <w:rPr>
          <w:rFonts w:hint="eastAsia"/>
          <w:color w:val="auto"/>
        </w:rPr>
        <w:t>（3）应急监测</w:t>
      </w:r>
    </w:p>
    <w:p w14:paraId="43E2E582">
      <w:pPr>
        <w:pStyle w:val="132"/>
        <w:rPr>
          <w:color w:val="auto"/>
        </w:rPr>
      </w:pPr>
      <w:r>
        <w:rPr>
          <w:rFonts w:hint="eastAsia"/>
          <w:color w:val="auto"/>
        </w:rPr>
        <w:t>项目运行过程中一旦发生事故，应立即启动应急监测程序，并跟踪监测污染物的迁移情况，直到事故影响根本消除。</w:t>
      </w:r>
    </w:p>
    <w:p w14:paraId="728B73B5">
      <w:pPr>
        <w:pStyle w:val="132"/>
        <w:rPr>
          <w:color w:val="auto"/>
        </w:rPr>
      </w:pPr>
      <w:r>
        <w:rPr>
          <w:rFonts w:hint="eastAsia"/>
          <w:color w:val="auto"/>
        </w:rPr>
        <w:t>安排环境监测人员（本企业）在工作时间10min内、非工作时间20min内要到达事故现场，需实验室分析测试的项目，在采样后24h内必须报出，应急监测专题报告在48h内要报出。如本企业环境检测部门不具备应急监测条件，应在事故发生后的第一时间，联系第三方环境检测机构进行现场检测。根据事故发生源，污染物泄漏种类的分析成果，监测事故的特征因子，监测范围应对事故附近的周界进行采样监测。</w:t>
      </w:r>
    </w:p>
    <w:p w14:paraId="6AE2CB88">
      <w:pPr>
        <w:pStyle w:val="132"/>
        <w:rPr>
          <w:color w:val="auto"/>
        </w:rPr>
      </w:pPr>
      <w:r>
        <w:rPr>
          <w:rFonts w:hint="eastAsia"/>
          <w:color w:val="auto"/>
        </w:rPr>
        <w:t>此外，新疆斯诺环保科技有限公司应完善全厂相应事故应急预案，按照应急预案要求配备防护措施和人员，并按照相关要求进行定期应急演练。</w:t>
      </w:r>
    </w:p>
    <w:p w14:paraId="19A70616">
      <w:pPr>
        <w:pStyle w:val="132"/>
        <w:rPr>
          <w:color w:val="auto"/>
        </w:rPr>
      </w:pPr>
      <w:r>
        <w:rPr>
          <w:rFonts w:hint="eastAsia"/>
          <w:color w:val="auto"/>
        </w:rPr>
        <w:t>（1）完善厂内土壤污染隐患排查制度，保证持续有效防止有毒有害物质渗漏、流失、扬散。催化剂生产装置均应采取严格的管理制度，避免废液、盐水等物料渗漏，严格生产台账管理，排查物料流失情况，防止造成土壤污染。</w:t>
      </w:r>
    </w:p>
    <w:p w14:paraId="37A14033">
      <w:pPr>
        <w:pStyle w:val="132"/>
        <w:rPr>
          <w:color w:val="auto"/>
        </w:rPr>
      </w:pPr>
      <w:r>
        <w:rPr>
          <w:rFonts w:hint="eastAsia"/>
          <w:color w:val="auto"/>
        </w:rPr>
        <w:t>（2）完善厂内自行监测方案，并将监测数据报生态环境管理部门。</w:t>
      </w:r>
    </w:p>
    <w:p w14:paraId="4028C5EF">
      <w:pPr>
        <w:pStyle w:val="4"/>
        <w:rPr>
          <w:color w:val="auto"/>
        </w:rPr>
      </w:pPr>
      <w:r>
        <w:rPr>
          <w:rFonts w:hint="eastAsia"/>
          <w:color w:val="auto"/>
        </w:rPr>
        <w:t>跟踪监测</w:t>
      </w:r>
    </w:p>
    <w:p w14:paraId="773E40C1">
      <w:pPr>
        <w:pStyle w:val="132"/>
        <w:rPr>
          <w:color w:val="auto"/>
        </w:rPr>
      </w:pPr>
      <w:r>
        <w:rPr>
          <w:rFonts w:hint="eastAsia"/>
          <w:color w:val="auto"/>
        </w:rPr>
        <w:t>根据《环境影响评价技术导则 土壤环境（试行）》（HJ964-2018），土壤环境跟踪监测计划应明确监测点位、监测指标、监测频次以及执行标准等。按照《工业企业土壤和地下水自行监测技术指南（试行）》（HJ1209-2021），本项目土壤环境跟踪监测计划见表 6.6-1。</w:t>
      </w:r>
    </w:p>
    <w:p w14:paraId="2A4731A3">
      <w:pPr>
        <w:pStyle w:val="132"/>
        <w:rPr>
          <w:color w:val="auto"/>
        </w:rPr>
      </w:pPr>
      <w:r>
        <w:rPr>
          <w:rFonts w:hint="eastAsia"/>
          <w:color w:val="auto"/>
        </w:rPr>
        <w:t>建设单位要对监测数据存档备查，并根据土壤环境跟踪监测情况定期编制监 测报告并向社会公开。</w:t>
      </w:r>
    </w:p>
    <w:p w14:paraId="08480812">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6.6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土壤环境跟踪监测计划一览表</w:t>
      </w:r>
    </w:p>
    <w:tbl>
      <w:tblPr>
        <w:tblStyle w:val="1937"/>
        <w:tblW w:w="8339"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1088"/>
        <w:gridCol w:w="3467"/>
        <w:gridCol w:w="3784"/>
      </w:tblGrid>
      <w:tr w14:paraId="6F186F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02" w:hRule="atLeast"/>
        </w:trPr>
        <w:tc>
          <w:tcPr>
            <w:tcW w:w="1088" w:type="dxa"/>
            <w:vAlign w:val="center"/>
          </w:tcPr>
          <w:p w14:paraId="4E6A4373">
            <w:pPr>
              <w:pStyle w:val="129"/>
              <w:widowControl w:val="0"/>
              <w:rPr>
                <w:color w:val="auto"/>
              </w:rPr>
            </w:pPr>
            <w:r>
              <w:rPr>
                <w:color w:val="auto"/>
              </w:rPr>
              <w:t>项目类别</w:t>
            </w:r>
          </w:p>
        </w:tc>
        <w:tc>
          <w:tcPr>
            <w:tcW w:w="7251" w:type="dxa"/>
            <w:gridSpan w:val="2"/>
            <w:vAlign w:val="center"/>
          </w:tcPr>
          <w:p w14:paraId="5DAA735C">
            <w:pPr>
              <w:pStyle w:val="129"/>
              <w:widowControl w:val="0"/>
              <w:rPr>
                <w:color w:val="auto"/>
              </w:rPr>
            </w:pPr>
            <w:r>
              <w:rPr>
                <w:color w:val="auto"/>
              </w:rPr>
              <w:t>本项目</w:t>
            </w:r>
          </w:p>
        </w:tc>
      </w:tr>
      <w:tr w14:paraId="0F847A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1" w:hRule="atLeast"/>
        </w:trPr>
        <w:tc>
          <w:tcPr>
            <w:tcW w:w="1088" w:type="dxa"/>
            <w:vAlign w:val="center"/>
          </w:tcPr>
          <w:p w14:paraId="1777B517">
            <w:pPr>
              <w:pStyle w:val="129"/>
              <w:widowControl w:val="0"/>
              <w:rPr>
                <w:color w:val="auto"/>
              </w:rPr>
            </w:pPr>
            <w:r>
              <w:rPr>
                <w:color w:val="auto"/>
                <w:spacing w:val="7"/>
              </w:rPr>
              <w:t>监测点位</w:t>
            </w:r>
          </w:p>
        </w:tc>
        <w:tc>
          <w:tcPr>
            <w:tcW w:w="3467" w:type="dxa"/>
            <w:vAlign w:val="center"/>
          </w:tcPr>
          <w:p w14:paraId="666AFD02">
            <w:pPr>
              <w:pStyle w:val="129"/>
              <w:widowControl w:val="0"/>
              <w:rPr>
                <w:color w:val="auto"/>
              </w:rPr>
            </w:pPr>
            <w:r>
              <w:rPr>
                <w:rFonts w:hint="eastAsia"/>
                <w:color w:val="auto"/>
                <w:spacing w:val="9"/>
              </w:rPr>
              <w:t>危险废物处置车间</w:t>
            </w:r>
            <w:r>
              <w:rPr>
                <w:color w:val="auto"/>
                <w:spacing w:val="9"/>
              </w:rPr>
              <w:t>附近布设一个点位</w:t>
            </w:r>
            <w:r>
              <w:rPr>
                <w:color w:val="auto"/>
                <w:spacing w:val="5"/>
              </w:rPr>
              <w:t>（表层土壤）</w:t>
            </w:r>
          </w:p>
        </w:tc>
        <w:tc>
          <w:tcPr>
            <w:tcW w:w="3784" w:type="dxa"/>
            <w:vAlign w:val="center"/>
          </w:tcPr>
          <w:p w14:paraId="317924C6">
            <w:pPr>
              <w:pStyle w:val="129"/>
              <w:widowControl w:val="0"/>
              <w:rPr>
                <w:color w:val="auto"/>
              </w:rPr>
            </w:pPr>
            <w:r>
              <w:rPr>
                <w:rFonts w:hint="eastAsia"/>
                <w:color w:val="auto"/>
                <w:spacing w:val="8"/>
              </w:rPr>
              <w:t>危险废物处置车间</w:t>
            </w:r>
            <w:r>
              <w:rPr>
                <w:color w:val="auto"/>
                <w:spacing w:val="8"/>
              </w:rPr>
              <w:t>附近布设一个点位（深层土壤）</w:t>
            </w:r>
          </w:p>
        </w:tc>
      </w:tr>
      <w:tr w14:paraId="0077D0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621" w:hRule="atLeast"/>
        </w:trPr>
        <w:tc>
          <w:tcPr>
            <w:tcW w:w="1088" w:type="dxa"/>
            <w:vAlign w:val="center"/>
          </w:tcPr>
          <w:p w14:paraId="6865E1C7">
            <w:pPr>
              <w:pStyle w:val="129"/>
              <w:widowControl w:val="0"/>
              <w:rPr>
                <w:color w:val="auto"/>
              </w:rPr>
            </w:pPr>
            <w:r>
              <w:rPr>
                <w:color w:val="auto"/>
                <w:spacing w:val="7"/>
              </w:rPr>
              <w:t>监测指标</w:t>
            </w:r>
          </w:p>
        </w:tc>
        <w:tc>
          <w:tcPr>
            <w:tcW w:w="3467" w:type="dxa"/>
            <w:vAlign w:val="center"/>
          </w:tcPr>
          <w:p w14:paraId="27937AD1">
            <w:pPr>
              <w:pStyle w:val="129"/>
              <w:widowControl w:val="0"/>
              <w:rPr>
                <w:color w:val="auto"/>
              </w:rPr>
            </w:pPr>
            <w:r>
              <w:rPr>
                <w:rFonts w:eastAsia="Times New Roman"/>
                <w:color w:val="auto"/>
                <w:spacing w:val="-2"/>
              </w:rPr>
              <w:t xml:space="preserve">pH </w:t>
            </w:r>
            <w:r>
              <w:rPr>
                <w:color w:val="auto"/>
                <w:spacing w:val="-2"/>
              </w:rPr>
              <w:t>值、氯离子、砷、镉、铬、</w:t>
            </w:r>
            <w:r>
              <w:rPr>
                <w:color w:val="auto"/>
                <w:spacing w:val="4"/>
              </w:rPr>
              <w:t>铬（六价）、铜、锌、汞、镍、铅等</w:t>
            </w:r>
          </w:p>
        </w:tc>
        <w:tc>
          <w:tcPr>
            <w:tcW w:w="3784" w:type="dxa"/>
            <w:vAlign w:val="center"/>
          </w:tcPr>
          <w:p w14:paraId="5FDB7080">
            <w:pPr>
              <w:pStyle w:val="129"/>
              <w:widowControl w:val="0"/>
              <w:rPr>
                <w:color w:val="auto"/>
              </w:rPr>
            </w:pPr>
            <w:r>
              <w:rPr>
                <w:rFonts w:eastAsia="Times New Roman"/>
                <w:color w:val="auto"/>
              </w:rPr>
              <w:t>pH</w:t>
            </w:r>
            <w:r>
              <w:rPr>
                <w:color w:val="auto"/>
                <w:spacing w:val="8"/>
              </w:rPr>
              <w:t>值、氯离子、砷、镉、铬、</w:t>
            </w:r>
            <w:r>
              <w:rPr>
                <w:color w:val="auto"/>
                <w:spacing w:val="9"/>
              </w:rPr>
              <w:t>铬（六价）、铜、锌、汞、镍、铅等</w:t>
            </w:r>
          </w:p>
        </w:tc>
      </w:tr>
      <w:tr w14:paraId="7E284D2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21" w:hRule="atLeast"/>
        </w:trPr>
        <w:tc>
          <w:tcPr>
            <w:tcW w:w="1088" w:type="dxa"/>
            <w:vAlign w:val="center"/>
          </w:tcPr>
          <w:p w14:paraId="0F90C91F">
            <w:pPr>
              <w:pStyle w:val="129"/>
              <w:widowControl w:val="0"/>
              <w:rPr>
                <w:color w:val="auto"/>
              </w:rPr>
            </w:pPr>
            <w:r>
              <w:rPr>
                <w:color w:val="auto"/>
                <w:spacing w:val="7"/>
              </w:rPr>
              <w:t>监测频次</w:t>
            </w:r>
          </w:p>
        </w:tc>
        <w:tc>
          <w:tcPr>
            <w:tcW w:w="3467" w:type="dxa"/>
            <w:vAlign w:val="center"/>
          </w:tcPr>
          <w:p w14:paraId="40805C8A">
            <w:pPr>
              <w:pStyle w:val="129"/>
              <w:widowControl w:val="0"/>
              <w:rPr>
                <w:color w:val="auto"/>
              </w:rPr>
            </w:pPr>
            <w:r>
              <w:rPr>
                <w:color w:val="auto"/>
                <w:spacing w:val="-3"/>
              </w:rPr>
              <w:t>每年</w:t>
            </w:r>
            <w:r>
              <w:rPr>
                <w:color w:val="auto"/>
                <w:spacing w:val="-20"/>
              </w:rPr>
              <w:t xml:space="preserve"> </w:t>
            </w:r>
            <w:r>
              <w:rPr>
                <w:rFonts w:eastAsia="Times New Roman"/>
                <w:color w:val="auto"/>
                <w:spacing w:val="-3"/>
              </w:rPr>
              <w:t>1</w:t>
            </w:r>
            <w:r>
              <w:rPr>
                <w:rFonts w:eastAsia="Times New Roman"/>
                <w:color w:val="auto"/>
                <w:spacing w:val="17"/>
                <w:w w:val="101"/>
              </w:rPr>
              <w:t xml:space="preserve"> </w:t>
            </w:r>
            <w:r>
              <w:rPr>
                <w:color w:val="auto"/>
                <w:spacing w:val="-3"/>
              </w:rPr>
              <w:t>次</w:t>
            </w:r>
          </w:p>
        </w:tc>
        <w:tc>
          <w:tcPr>
            <w:tcW w:w="3784" w:type="dxa"/>
            <w:vAlign w:val="center"/>
          </w:tcPr>
          <w:p w14:paraId="176AFAE8">
            <w:pPr>
              <w:pStyle w:val="129"/>
              <w:widowControl w:val="0"/>
              <w:rPr>
                <w:color w:val="auto"/>
              </w:rPr>
            </w:pPr>
            <w:r>
              <w:rPr>
                <w:color w:val="auto"/>
                <w:spacing w:val="-5"/>
              </w:rPr>
              <w:t>每</w:t>
            </w:r>
            <w:r>
              <w:rPr>
                <w:color w:val="auto"/>
                <w:spacing w:val="-38"/>
              </w:rPr>
              <w:t xml:space="preserve"> </w:t>
            </w:r>
            <w:r>
              <w:rPr>
                <w:rFonts w:eastAsia="Times New Roman"/>
                <w:color w:val="auto"/>
                <w:spacing w:val="-5"/>
              </w:rPr>
              <w:t>3</w:t>
            </w:r>
            <w:r>
              <w:rPr>
                <w:rFonts w:eastAsia="Times New Roman"/>
                <w:color w:val="auto"/>
                <w:spacing w:val="12"/>
                <w:w w:val="101"/>
              </w:rPr>
              <w:t xml:space="preserve"> </w:t>
            </w:r>
            <w:r>
              <w:rPr>
                <w:color w:val="auto"/>
                <w:spacing w:val="-5"/>
              </w:rPr>
              <w:t>年</w:t>
            </w:r>
            <w:r>
              <w:rPr>
                <w:color w:val="auto"/>
                <w:spacing w:val="-23"/>
              </w:rPr>
              <w:t xml:space="preserve"> </w:t>
            </w:r>
            <w:r>
              <w:rPr>
                <w:rFonts w:eastAsia="Times New Roman"/>
                <w:color w:val="auto"/>
                <w:spacing w:val="-5"/>
              </w:rPr>
              <w:t>1</w:t>
            </w:r>
            <w:r>
              <w:rPr>
                <w:rFonts w:eastAsia="Times New Roman"/>
                <w:color w:val="auto"/>
                <w:spacing w:val="18"/>
              </w:rPr>
              <w:t xml:space="preserve"> </w:t>
            </w:r>
            <w:r>
              <w:rPr>
                <w:color w:val="auto"/>
                <w:spacing w:val="-5"/>
              </w:rPr>
              <w:t>次</w:t>
            </w:r>
          </w:p>
        </w:tc>
      </w:tr>
    </w:tbl>
    <w:p w14:paraId="6B23C354">
      <w:pPr>
        <w:pStyle w:val="1304"/>
        <w:rPr>
          <w:color w:val="auto"/>
        </w:rPr>
      </w:pPr>
    </w:p>
    <w:p w14:paraId="56094D59">
      <w:pPr>
        <w:pStyle w:val="132"/>
        <w:ind w:right="420"/>
        <w:rPr>
          <w:color w:val="auto"/>
        </w:rPr>
      </w:pPr>
    </w:p>
    <w:p w14:paraId="61BBD544">
      <w:pPr>
        <w:pStyle w:val="132"/>
        <w:ind w:right="420"/>
        <w:rPr>
          <w:color w:val="auto"/>
        </w:rPr>
      </w:pPr>
    </w:p>
    <w:p w14:paraId="7515DE88">
      <w:pPr>
        <w:pStyle w:val="132"/>
        <w:ind w:right="420"/>
        <w:rPr>
          <w:color w:val="auto"/>
        </w:rPr>
      </w:pPr>
    </w:p>
    <w:p w14:paraId="61C174FD">
      <w:pPr>
        <w:pStyle w:val="132"/>
        <w:ind w:right="420"/>
        <w:rPr>
          <w:color w:val="auto"/>
        </w:rPr>
        <w:sectPr>
          <w:type w:val="continuous"/>
          <w:pgSz w:w="11906" w:h="16838"/>
          <w:pgMar w:top="1440" w:right="1588" w:bottom="1389" w:left="1588" w:header="737" w:footer="822" w:gutter="0"/>
          <w:cols w:space="425" w:num="1"/>
          <w:docGrid w:type="lines" w:linePitch="326" w:charSpace="0"/>
        </w:sectPr>
      </w:pPr>
    </w:p>
    <w:p w14:paraId="4E3B327D">
      <w:pPr>
        <w:pStyle w:val="2"/>
        <w:rPr>
          <w:color w:val="auto"/>
        </w:rPr>
      </w:pPr>
      <w:bookmarkStart w:id="365" w:name="_Toc229930157"/>
      <w:r>
        <w:rPr>
          <w:color w:val="auto"/>
        </w:rPr>
        <w:t>环境风险评价</w:t>
      </w:r>
      <w:bookmarkEnd w:id="365"/>
    </w:p>
    <w:p w14:paraId="500CCAB6">
      <w:pPr>
        <w:pStyle w:val="3"/>
        <w:rPr>
          <w:color w:val="auto"/>
        </w:rPr>
      </w:pPr>
      <w:bookmarkStart w:id="366" w:name="_Toc229930158"/>
      <w:r>
        <w:rPr>
          <w:rFonts w:hint="eastAsia"/>
          <w:color w:val="auto"/>
        </w:rPr>
        <w:t>综述</w:t>
      </w:r>
      <w:bookmarkEnd w:id="366"/>
    </w:p>
    <w:p w14:paraId="15C99823">
      <w:pPr>
        <w:spacing w:line="360" w:lineRule="auto"/>
        <w:ind w:firstLine="480" w:firstLineChars="200"/>
        <w:rPr>
          <w:color w:val="auto"/>
          <w:sz w:val="24"/>
          <w:szCs w:val="24"/>
        </w:rPr>
      </w:pPr>
      <w:r>
        <w:rPr>
          <w:rFonts w:hint="eastAsia"/>
          <w:color w:val="auto"/>
          <w:sz w:val="24"/>
          <w:szCs w:val="24"/>
        </w:rPr>
        <w:t>根据《建设项目环境风险评价技术导则》（HJ169-2018）和国家环境保护总局《关于防范环境风险加强环境影响评价管理的通知》，项目实施后环境风险评价的基本内容包括风险调查、环境风险潜势初判、风险识别、风险事故情形分析、风险预测与评价、环境风险管理等，具体如下：</w:t>
      </w:r>
    </w:p>
    <w:p w14:paraId="71DE3F64">
      <w:pPr>
        <w:spacing w:line="360" w:lineRule="auto"/>
        <w:ind w:firstLine="480" w:firstLineChars="200"/>
        <w:rPr>
          <w:color w:val="auto"/>
          <w:sz w:val="24"/>
          <w:szCs w:val="24"/>
        </w:rPr>
      </w:pPr>
      <w:r>
        <w:rPr>
          <w:rFonts w:hint="eastAsia"/>
          <w:color w:val="auto"/>
          <w:sz w:val="24"/>
          <w:szCs w:val="24"/>
        </w:rPr>
        <w:t>（1）项目风险调查。在分析建设项目物质及工艺系统危险性和环境敏感性的基础下，进行风险潜势的判断，确定风险评价等级。</w:t>
      </w:r>
    </w:p>
    <w:p w14:paraId="7632E6DF">
      <w:pPr>
        <w:spacing w:line="360" w:lineRule="auto"/>
        <w:ind w:firstLine="480" w:firstLineChars="200"/>
        <w:rPr>
          <w:color w:val="auto"/>
          <w:sz w:val="24"/>
          <w:szCs w:val="24"/>
        </w:rPr>
      </w:pPr>
      <w:r>
        <w:rPr>
          <w:rFonts w:hint="eastAsia"/>
          <w:color w:val="auto"/>
          <w:sz w:val="24"/>
          <w:szCs w:val="24"/>
        </w:rPr>
        <w:t>（2）项目风险识别及风险事故情形分析。明确危险物质在生产系统中的主要分布，筛选具有代表性的风险事故情形，合理设定事故源项。</w:t>
      </w:r>
    </w:p>
    <w:p w14:paraId="19CFE97B">
      <w:pPr>
        <w:spacing w:line="360" w:lineRule="auto"/>
        <w:ind w:firstLine="480" w:firstLineChars="200"/>
        <w:rPr>
          <w:color w:val="auto"/>
          <w:sz w:val="24"/>
          <w:szCs w:val="24"/>
        </w:rPr>
      </w:pPr>
      <w:r>
        <w:rPr>
          <w:rFonts w:hint="eastAsia"/>
          <w:color w:val="auto"/>
          <w:sz w:val="24"/>
          <w:szCs w:val="24"/>
        </w:rPr>
        <w:t>（3）开展预测评价。各环境要素按确定的评价工作等级分别预测评价，并分析说明环境风险危害范围与程度，提出环境风险防范的基本要求。</w:t>
      </w:r>
    </w:p>
    <w:p w14:paraId="583CDFE2">
      <w:pPr>
        <w:spacing w:line="360" w:lineRule="auto"/>
        <w:ind w:firstLine="480" w:firstLineChars="200"/>
        <w:rPr>
          <w:color w:val="auto"/>
          <w:sz w:val="24"/>
          <w:szCs w:val="24"/>
        </w:rPr>
      </w:pPr>
      <w:r>
        <w:rPr>
          <w:rFonts w:hint="eastAsia"/>
          <w:color w:val="auto"/>
          <w:sz w:val="24"/>
          <w:szCs w:val="24"/>
        </w:rPr>
        <w:t>（4）提出环境风险管理对策，明确环境风险防范措施及突发环境事件应急预案编制要求。</w:t>
      </w:r>
    </w:p>
    <w:p w14:paraId="3265D6E4">
      <w:pPr>
        <w:spacing w:line="360" w:lineRule="auto"/>
        <w:ind w:firstLine="480" w:firstLineChars="200"/>
        <w:rPr>
          <w:color w:val="auto"/>
          <w:sz w:val="24"/>
          <w:szCs w:val="24"/>
        </w:rPr>
      </w:pPr>
      <w:r>
        <w:rPr>
          <w:rFonts w:hint="eastAsia"/>
          <w:color w:val="auto"/>
          <w:sz w:val="24"/>
          <w:szCs w:val="24"/>
        </w:rPr>
        <w:t>（5）综合环境风险评价过程，给出评价结论与建议。</w:t>
      </w:r>
    </w:p>
    <w:p w14:paraId="07F1B0FD">
      <w:pPr>
        <w:pStyle w:val="4"/>
        <w:rPr>
          <w:color w:val="auto"/>
        </w:rPr>
      </w:pPr>
      <w:r>
        <w:rPr>
          <w:rFonts w:hint="eastAsia"/>
          <w:color w:val="auto"/>
        </w:rPr>
        <w:t>评价原则</w:t>
      </w:r>
    </w:p>
    <w:p w14:paraId="5E1F8A50">
      <w:pPr>
        <w:snapToGrid w:val="0"/>
        <w:spacing w:line="360" w:lineRule="auto"/>
        <w:ind w:firstLine="482"/>
        <w:rPr>
          <w:color w:val="auto"/>
          <w:sz w:val="24"/>
          <w:szCs w:val="24"/>
        </w:rPr>
      </w:pPr>
      <w:r>
        <w:rPr>
          <w:rFonts w:hint="eastAsia"/>
          <w:color w:val="auto"/>
          <w:sz w:val="24"/>
          <w:szCs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7B0A05F0">
      <w:pPr>
        <w:pStyle w:val="4"/>
        <w:rPr>
          <w:color w:val="auto"/>
        </w:rPr>
      </w:pPr>
      <w:r>
        <w:rPr>
          <w:rFonts w:hint="eastAsia"/>
          <w:color w:val="auto"/>
        </w:rPr>
        <w:t>评价工作程序</w:t>
      </w:r>
    </w:p>
    <w:p w14:paraId="4A92B116">
      <w:pPr>
        <w:pStyle w:val="132"/>
        <w:rPr>
          <w:color w:val="auto"/>
        </w:rPr>
      </w:pPr>
      <w:r>
        <w:rPr>
          <w:rFonts w:hint="eastAsia"/>
          <w:color w:val="auto"/>
        </w:rPr>
        <w:t>环境风险评价程序见图7.1-1。</w:t>
      </w:r>
    </w:p>
    <w:p w14:paraId="78A07E38">
      <w:pPr>
        <w:pStyle w:val="132"/>
        <w:rPr>
          <w:color w:val="auto"/>
        </w:rPr>
      </w:pPr>
    </w:p>
    <w:p w14:paraId="40171365">
      <w:pPr>
        <w:pStyle w:val="132"/>
        <w:ind w:firstLine="0" w:firstLineChars="0"/>
        <w:rPr>
          <w:color w:val="auto"/>
        </w:rPr>
      </w:pPr>
      <w:r>
        <w:rPr>
          <w:color w:val="auto"/>
        </w:rPr>
        <w:drawing>
          <wp:inline distT="0" distB="0" distL="0" distR="0">
            <wp:extent cx="5229225" cy="5410200"/>
            <wp:effectExtent l="0" t="0" r="9525" b="0"/>
            <wp:docPr id="638669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9628" name="图片 1"/>
                    <pic:cNvPicPr>
                      <a:picLocks noChangeAspect="1" noChangeArrowheads="1"/>
                    </pic:cNvPicPr>
                  </pic:nvPicPr>
                  <pic:blipFill>
                    <a:blip r:embed="rId55"/>
                    <a:srcRect/>
                    <a:stretch>
                      <a:fillRect/>
                    </a:stretch>
                  </pic:blipFill>
                  <pic:spPr>
                    <a:xfrm>
                      <a:off x="0" y="0"/>
                      <a:ext cx="5229225" cy="5410200"/>
                    </a:xfrm>
                    <a:prstGeom prst="rect">
                      <a:avLst/>
                    </a:prstGeom>
                    <a:noFill/>
                    <a:ln w="9525">
                      <a:noFill/>
                      <a:miter lim="800000"/>
                      <a:headEnd/>
                      <a:tailEnd/>
                    </a:ln>
                  </pic:spPr>
                </pic:pic>
              </a:graphicData>
            </a:graphic>
          </wp:inline>
        </w:drawing>
      </w:r>
    </w:p>
    <w:p w14:paraId="504FD6A4">
      <w:pPr>
        <w:pStyle w:val="1060"/>
        <w:spacing w:before="163"/>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7.1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环境风险评价工作程序</w:t>
      </w:r>
    </w:p>
    <w:p w14:paraId="21EA4053">
      <w:pPr>
        <w:pStyle w:val="1304"/>
        <w:rPr>
          <w:color w:val="auto"/>
        </w:rPr>
      </w:pPr>
    </w:p>
    <w:p w14:paraId="32B27576">
      <w:pPr>
        <w:pStyle w:val="3"/>
        <w:rPr>
          <w:color w:val="auto"/>
        </w:rPr>
      </w:pPr>
      <w:bookmarkStart w:id="367" w:name="_Toc14438"/>
      <w:bookmarkStart w:id="368" w:name="_Toc220582790"/>
      <w:bookmarkStart w:id="369" w:name="_Toc229930159"/>
      <w:r>
        <w:rPr>
          <w:rFonts w:hint="eastAsia"/>
          <w:color w:val="auto"/>
        </w:rPr>
        <w:t>环境风险调查</w:t>
      </w:r>
      <w:bookmarkEnd w:id="367"/>
      <w:bookmarkEnd w:id="368"/>
      <w:bookmarkEnd w:id="369"/>
    </w:p>
    <w:p w14:paraId="03510A62">
      <w:pPr>
        <w:pStyle w:val="4"/>
        <w:rPr>
          <w:color w:val="auto"/>
        </w:rPr>
      </w:pPr>
      <w:r>
        <w:rPr>
          <w:rFonts w:hint="eastAsia"/>
          <w:color w:val="auto"/>
        </w:rPr>
        <w:t>建设项目风险源调查</w:t>
      </w:r>
    </w:p>
    <w:p w14:paraId="57081543">
      <w:pPr>
        <w:pStyle w:val="132"/>
        <w:rPr>
          <w:color w:val="auto"/>
        </w:rPr>
      </w:pPr>
      <w:r>
        <w:rPr>
          <w:rFonts w:hint="eastAsia"/>
          <w:color w:val="auto"/>
        </w:rPr>
        <w:t>本项目原辅材料包括废酸（含硝酸铝废酸液、含硫酸铝废酸液、含磷酸二氢铝废酸液、含氯化铝废酸液等）、废碱（含偏铝酸钠废碱液、含碳酸钠废碱液等）、尿素、硝酸锆、树脂、氢氧化钾、硫酸、硫酸铝、氨水（15%）、氢氧化铝、氢氧化钠、二氧化碳、拟薄水铝石、硝酸、田菁胶、醋酸钴、硝酸钨、醋酸锆、钼酸、醋酸铁、醋酸镍、醋酸铜、硝酸钯、硝酸铂、醋酸铑等。产品包括拟薄水铝石、磷酸锆、磷酸二氢钾、硫酸铵、氯化铵、硝酸钠、加氢催化剂、脱硝催化剂、一氧化碳转换催化剂、水溶肥、碳酸钠。中间产物包括硝酸铵、磷酸二氢铝、硫酸铝铵、磷酸、氢氧化铝、碳酸钾、碳酸钙、偏铝酸钠。</w:t>
      </w:r>
    </w:p>
    <w:p w14:paraId="6C248601">
      <w:pPr>
        <w:pStyle w:val="132"/>
        <w:rPr>
          <w:color w:val="auto"/>
        </w:rPr>
      </w:pPr>
      <w:r>
        <w:rPr>
          <w:rFonts w:hint="eastAsia"/>
          <w:color w:val="auto"/>
        </w:rPr>
        <w:t>“三废”涉及的物质包括：①废气：颗粒物、氨、SO</w:t>
      </w:r>
      <w:r>
        <w:rPr>
          <w:rFonts w:hint="eastAsia"/>
          <w:color w:val="auto"/>
          <w:vertAlign w:val="subscript"/>
        </w:rPr>
        <w:t>2</w:t>
      </w:r>
      <w:r>
        <w:rPr>
          <w:rFonts w:hint="eastAsia"/>
          <w:color w:val="auto"/>
        </w:rPr>
        <w:t>、NOx、②废水包括废液冷凝水、循环冷却排水、地面及设备冲洗水和生活污水等；③固体废物包括催化剂粉尘、废机油、杂盐和生活垃圾。</w:t>
      </w:r>
    </w:p>
    <w:p w14:paraId="5035BCF6">
      <w:pPr>
        <w:pStyle w:val="132"/>
        <w:rPr>
          <w:color w:val="auto"/>
        </w:rPr>
      </w:pPr>
      <w:r>
        <w:rPr>
          <w:rFonts w:hint="eastAsia"/>
          <w:color w:val="auto"/>
        </w:rPr>
        <w:t>注：项目产生的废水COD浓度小于10000 mg/L，根据《建设项目环境风险评价技术导则》（HJ 169-2018）附录B可知，项目产生废水不属于危险物质；项目产生的废气不会在厂区暂存，因此不计算最大存在量。</w:t>
      </w:r>
    </w:p>
    <w:p w14:paraId="389F1916">
      <w:pPr>
        <w:pStyle w:val="132"/>
        <w:rPr>
          <w:color w:val="auto"/>
        </w:rPr>
      </w:pPr>
      <w:r>
        <w:rPr>
          <w:rFonts w:hint="eastAsia"/>
          <w:color w:val="auto"/>
        </w:rPr>
        <w:t>根据《建设项目环境风险评价技术导则》（HJ169-2018）列入附录B表B.1危险物质包括：含氯化铝废酸液、硫酸铵、硫酸、硝酸、硝酸铵、脱</w:t>
      </w:r>
      <w:r>
        <w:rPr>
          <w:rFonts w:hint="eastAsia"/>
          <w:color w:val="auto"/>
          <w:lang w:eastAsia="zh-CN"/>
        </w:rPr>
        <w:t>硝</w:t>
      </w:r>
      <w:r>
        <w:rPr>
          <w:rFonts w:hint="eastAsia"/>
          <w:color w:val="auto"/>
        </w:rPr>
        <w:t>催化剂、废机油。</w:t>
      </w:r>
    </w:p>
    <w:p w14:paraId="4A92342A">
      <w:pPr>
        <w:spacing w:line="360" w:lineRule="auto"/>
        <w:ind w:firstLine="480" w:firstLineChars="200"/>
        <w:rPr>
          <w:color w:val="auto"/>
          <w:sz w:val="24"/>
          <w:szCs w:val="24"/>
        </w:rPr>
      </w:pPr>
      <w:r>
        <w:rPr>
          <w:rFonts w:hint="eastAsia"/>
          <w:color w:val="auto"/>
          <w:sz w:val="24"/>
          <w:szCs w:val="24"/>
        </w:rPr>
        <w:t>对未列入《建设项目环境风险评价技术导则》（HJ169-2018）附录B表B.1，但根据风险调查需要分析计算的危险物质，其临界量可按表B.2中推荐值选取。表B.2中其他危险物质：健康危险急性毒性物质见GB 30000.18可知：类别1为经口LD50≤5mg/kg，类别2为5mg/kg＜经口LD50≤50mg/kg，类别3为50mg/kg＜经口LD50≤300mg/kg。本项目其他化学品LD50均大于300mg/kg，均不属于表B.2中其他危险物质。仅含硝酸铝（LD</w:t>
      </w:r>
      <w:r>
        <w:rPr>
          <w:color w:val="auto"/>
          <w:sz w:val="24"/>
          <w:szCs w:val="24"/>
        </w:rPr>
        <w:t>50：264mg/kg</w:t>
      </w:r>
      <w:r>
        <w:rPr>
          <w:rFonts w:hint="eastAsia"/>
          <w:color w:val="auto"/>
          <w:sz w:val="24"/>
          <w:szCs w:val="24"/>
        </w:rPr>
        <w:t>）废酸液属于类别3。</w:t>
      </w:r>
    </w:p>
    <w:p w14:paraId="65E7FA8F">
      <w:pPr>
        <w:pStyle w:val="132"/>
        <w:rPr>
          <w:color w:val="auto"/>
        </w:rPr>
      </w:pPr>
      <w:r>
        <w:rPr>
          <w:rFonts w:hint="eastAsia"/>
          <w:color w:val="auto"/>
        </w:rPr>
        <w:t>15%氨水不在《建设项目环境风险评价技术导则》（HJ169-2018）附录B表B.1中危险物质，其LD50=330mg/kg＞300mg/kg，也不属于表B.2中其他危险物质。但常温下极易挥发，泄漏后液态氨水快速挥发出氨气</w:t>
      </w:r>
      <w:r>
        <w:rPr>
          <w:color w:val="auto"/>
        </w:rPr>
        <w:t>（NH₃</w:t>
      </w:r>
      <w:r>
        <w:rPr>
          <w:rFonts w:hint="eastAsia"/>
          <w:color w:val="auto"/>
        </w:rPr>
        <w:t>）</w:t>
      </w:r>
      <w:r>
        <w:rPr>
          <w:rFonts w:ascii="宋体" w:hAnsi="宋体" w:cs="宋体"/>
          <w:color w:val="auto"/>
        </w:rPr>
        <w:t>直接进入环境空气，形成</w:t>
      </w:r>
      <w:r>
        <w:rPr>
          <w:rStyle w:val="110"/>
          <w:rFonts w:ascii="宋体" w:hAnsi="宋体" w:cs="宋体"/>
          <w:b w:val="0"/>
          <w:bCs w:val="0"/>
          <w:color w:val="auto"/>
        </w:rPr>
        <w:t>大气无组织污染</w:t>
      </w:r>
      <w:r>
        <w:rPr>
          <w:rStyle w:val="110"/>
          <w:rFonts w:hint="eastAsia" w:ascii="宋体" w:hAnsi="宋体" w:cs="宋体"/>
          <w:b w:val="0"/>
          <w:bCs w:val="0"/>
          <w:color w:val="auto"/>
        </w:rPr>
        <w:t>，因此列为本项目危险物质</w:t>
      </w:r>
      <w:r>
        <w:rPr>
          <w:rFonts w:ascii="宋体" w:hAnsi="宋体" w:cs="宋体"/>
          <w:color w:val="auto"/>
        </w:rPr>
        <w:t>。</w:t>
      </w:r>
    </w:p>
    <w:p w14:paraId="0F842ED9">
      <w:pPr>
        <w:pStyle w:val="132"/>
        <w:rPr>
          <w:color w:val="auto"/>
        </w:rPr>
      </w:pPr>
      <w:r>
        <w:rPr>
          <w:rFonts w:hint="eastAsia"/>
          <w:color w:val="auto"/>
        </w:rPr>
        <w:t>由此判断本项目生产、使用、储存过程中涉及的有毒有害、易燃易爆危险物质主要有含氯化铝废酸液、含硝酸铝废酸液、硫酸铵、硝酸铵、硫酸、硝酸、脱</w:t>
      </w:r>
      <w:r>
        <w:rPr>
          <w:rFonts w:hint="eastAsia"/>
          <w:color w:val="auto"/>
          <w:lang w:eastAsia="zh-CN"/>
        </w:rPr>
        <w:t>硝</w:t>
      </w:r>
      <w:r>
        <w:rPr>
          <w:rFonts w:hint="eastAsia"/>
          <w:color w:val="auto"/>
        </w:rPr>
        <w:t>催化剂、废机油、15%氨水。</w:t>
      </w:r>
    </w:p>
    <w:p w14:paraId="5D05E7B6">
      <w:pPr>
        <w:pStyle w:val="132"/>
        <w:rPr>
          <w:color w:val="auto"/>
        </w:rPr>
      </w:pPr>
      <w:r>
        <w:rPr>
          <w:rFonts w:hint="eastAsia"/>
          <w:color w:val="auto"/>
        </w:rPr>
        <w:t>根据设计资料，天然气暂存量均按1h使用量计算；装置中危险物质按1h的量计算；硫酸、</w:t>
      </w:r>
      <w:r>
        <w:rPr>
          <w:rFonts w:hint="eastAsia"/>
          <w:color w:val="auto"/>
          <w:lang w:eastAsia="zh-CN"/>
        </w:rPr>
        <w:t>硝酸铵</w:t>
      </w:r>
      <w:r>
        <w:rPr>
          <w:rFonts w:hint="eastAsia"/>
          <w:color w:val="auto"/>
        </w:rPr>
        <w:t>5d的使用量进行存储；废机油暂存量按最大产生量计算。</w:t>
      </w:r>
    </w:p>
    <w:p w14:paraId="469729C0">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color w:val="auto"/>
        </w:rPr>
        <w:t xml:space="preserve">  </w:t>
      </w:r>
      <w:r>
        <w:rPr>
          <w:rFonts w:hint="eastAsia"/>
          <w:color w:val="auto"/>
        </w:rPr>
        <w:t xml:space="preserve">  项目主要风险物质分布情况一览表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615"/>
        <w:gridCol w:w="2474"/>
        <w:gridCol w:w="1859"/>
        <w:gridCol w:w="2147"/>
        <w:gridCol w:w="1691"/>
      </w:tblGrid>
      <w:tr w14:paraId="5113A9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350" w:type="pct"/>
            <w:vAlign w:val="center"/>
          </w:tcPr>
          <w:p w14:paraId="30299586">
            <w:pPr>
              <w:pStyle w:val="129"/>
              <w:widowControl w:val="0"/>
              <w:rPr>
                <w:color w:val="auto"/>
              </w:rPr>
            </w:pPr>
            <w:r>
              <w:rPr>
                <w:rFonts w:hint="eastAsia"/>
                <w:color w:val="auto"/>
              </w:rPr>
              <w:t>序号</w:t>
            </w:r>
          </w:p>
        </w:tc>
        <w:tc>
          <w:tcPr>
            <w:tcW w:w="1408" w:type="pct"/>
            <w:vAlign w:val="center"/>
          </w:tcPr>
          <w:p w14:paraId="465A094D">
            <w:pPr>
              <w:pStyle w:val="129"/>
              <w:widowControl w:val="0"/>
              <w:rPr>
                <w:color w:val="auto"/>
              </w:rPr>
            </w:pPr>
            <w:r>
              <w:rPr>
                <w:rFonts w:hint="eastAsia"/>
                <w:color w:val="auto"/>
              </w:rPr>
              <w:t>生产装置名称</w:t>
            </w:r>
          </w:p>
        </w:tc>
        <w:tc>
          <w:tcPr>
            <w:tcW w:w="1058" w:type="pct"/>
            <w:vAlign w:val="center"/>
          </w:tcPr>
          <w:p w14:paraId="07239DBA">
            <w:pPr>
              <w:pStyle w:val="129"/>
              <w:widowControl w:val="0"/>
              <w:rPr>
                <w:color w:val="auto"/>
              </w:rPr>
            </w:pPr>
            <w:r>
              <w:rPr>
                <w:rFonts w:hint="eastAsia"/>
                <w:color w:val="auto"/>
              </w:rPr>
              <w:t>涉及危险物质</w:t>
            </w:r>
          </w:p>
        </w:tc>
        <w:tc>
          <w:tcPr>
            <w:tcW w:w="1222" w:type="pct"/>
            <w:vAlign w:val="center"/>
          </w:tcPr>
          <w:p w14:paraId="7C66985F">
            <w:pPr>
              <w:pStyle w:val="129"/>
              <w:widowControl w:val="0"/>
              <w:rPr>
                <w:color w:val="auto"/>
              </w:rPr>
            </w:pPr>
            <w:r>
              <w:rPr>
                <w:rFonts w:hint="eastAsia"/>
                <w:color w:val="auto"/>
              </w:rPr>
              <w:t>存储方式及数量</w:t>
            </w:r>
          </w:p>
        </w:tc>
        <w:tc>
          <w:tcPr>
            <w:tcW w:w="962" w:type="pct"/>
            <w:vAlign w:val="center"/>
          </w:tcPr>
          <w:p w14:paraId="06F0705F">
            <w:pPr>
              <w:pStyle w:val="129"/>
              <w:widowControl w:val="0"/>
              <w:rPr>
                <w:color w:val="auto"/>
              </w:rPr>
            </w:pPr>
            <w:r>
              <w:rPr>
                <w:rFonts w:hint="eastAsia"/>
                <w:color w:val="auto"/>
              </w:rPr>
              <w:t>最大存储量t</w:t>
            </w:r>
          </w:p>
        </w:tc>
      </w:tr>
      <w:tr w14:paraId="47021C3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7A632DC4">
            <w:pPr>
              <w:pStyle w:val="129"/>
              <w:widowControl w:val="0"/>
              <w:rPr>
                <w:color w:val="auto"/>
              </w:rPr>
            </w:pPr>
            <w:r>
              <w:rPr>
                <w:color w:val="auto"/>
              </w:rPr>
              <w:t>1</w:t>
            </w:r>
          </w:p>
        </w:tc>
        <w:tc>
          <w:tcPr>
            <w:tcW w:w="1408" w:type="pct"/>
            <w:vAlign w:val="center"/>
          </w:tcPr>
          <w:p w14:paraId="49DFB94E">
            <w:pPr>
              <w:pStyle w:val="129"/>
              <w:widowControl w:val="0"/>
              <w:rPr>
                <w:color w:val="auto"/>
              </w:rPr>
            </w:pPr>
            <w:r>
              <w:rPr>
                <w:rFonts w:hint="eastAsia"/>
                <w:color w:val="auto"/>
              </w:rPr>
              <w:t>燃气锅炉及管道</w:t>
            </w:r>
          </w:p>
        </w:tc>
        <w:tc>
          <w:tcPr>
            <w:tcW w:w="1058" w:type="pct"/>
            <w:vAlign w:val="center"/>
          </w:tcPr>
          <w:p w14:paraId="26D4BDFA">
            <w:pPr>
              <w:pStyle w:val="129"/>
              <w:widowControl w:val="0"/>
              <w:rPr>
                <w:color w:val="auto"/>
              </w:rPr>
            </w:pPr>
            <w:r>
              <w:rPr>
                <w:rFonts w:hint="eastAsia"/>
                <w:color w:val="auto"/>
              </w:rPr>
              <w:t>天然气</w:t>
            </w:r>
          </w:p>
        </w:tc>
        <w:tc>
          <w:tcPr>
            <w:tcW w:w="1222" w:type="pct"/>
            <w:vAlign w:val="center"/>
          </w:tcPr>
          <w:p w14:paraId="4A88F517">
            <w:pPr>
              <w:pStyle w:val="129"/>
              <w:widowControl w:val="0"/>
              <w:rPr>
                <w:color w:val="auto"/>
              </w:rPr>
            </w:pPr>
            <w:r>
              <w:rPr>
                <w:rFonts w:hint="eastAsia"/>
                <w:color w:val="auto"/>
              </w:rPr>
              <w:t>管道及装置</w:t>
            </w:r>
            <w:r>
              <w:rPr>
                <w:color w:val="auto"/>
              </w:rPr>
              <w:t xml:space="preserve"> </w:t>
            </w:r>
          </w:p>
        </w:tc>
        <w:tc>
          <w:tcPr>
            <w:tcW w:w="962" w:type="pct"/>
            <w:vAlign w:val="center"/>
          </w:tcPr>
          <w:p w14:paraId="032F41F6">
            <w:pPr>
              <w:pStyle w:val="129"/>
              <w:widowControl w:val="0"/>
              <w:rPr>
                <w:color w:val="auto"/>
              </w:rPr>
            </w:pPr>
            <w:r>
              <w:rPr>
                <w:color w:val="auto"/>
              </w:rPr>
              <w:t>0.14</w:t>
            </w:r>
          </w:p>
        </w:tc>
      </w:tr>
      <w:tr w14:paraId="4856E4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37020789">
            <w:pPr>
              <w:pStyle w:val="129"/>
              <w:widowControl w:val="0"/>
              <w:rPr>
                <w:color w:val="auto"/>
              </w:rPr>
            </w:pPr>
            <w:r>
              <w:rPr>
                <w:rFonts w:hint="eastAsia"/>
                <w:color w:val="auto"/>
              </w:rPr>
              <w:t>2</w:t>
            </w:r>
          </w:p>
        </w:tc>
        <w:tc>
          <w:tcPr>
            <w:tcW w:w="1408" w:type="pct"/>
            <w:vMerge w:val="restart"/>
            <w:vAlign w:val="center"/>
          </w:tcPr>
          <w:p w14:paraId="63E7E62A">
            <w:pPr>
              <w:pStyle w:val="129"/>
              <w:widowControl w:val="0"/>
              <w:rPr>
                <w:color w:val="auto"/>
              </w:rPr>
            </w:pPr>
            <w:r>
              <w:rPr>
                <w:rFonts w:hint="eastAsia"/>
                <w:color w:val="auto"/>
              </w:rPr>
              <w:t>含</w:t>
            </w:r>
            <w:r>
              <w:rPr>
                <w:color w:val="auto"/>
              </w:rPr>
              <w:t>硝酸铝废酸液处理</w:t>
            </w:r>
            <w:r>
              <w:rPr>
                <w:rFonts w:hint="eastAsia"/>
                <w:color w:val="auto"/>
              </w:rPr>
              <w:t>装置</w:t>
            </w:r>
          </w:p>
        </w:tc>
        <w:tc>
          <w:tcPr>
            <w:tcW w:w="1058" w:type="pct"/>
            <w:shd w:val="clear" w:color="auto" w:fill="FFFFFF"/>
            <w:vAlign w:val="center"/>
          </w:tcPr>
          <w:p w14:paraId="5275B977">
            <w:pPr>
              <w:pStyle w:val="129"/>
              <w:widowControl w:val="0"/>
              <w:rPr>
                <w:color w:val="auto"/>
              </w:rPr>
            </w:pPr>
            <w:r>
              <w:rPr>
                <w:rFonts w:hint="eastAsia"/>
                <w:color w:val="auto"/>
              </w:rPr>
              <w:t>含硝酸铝废酸液</w:t>
            </w:r>
          </w:p>
        </w:tc>
        <w:tc>
          <w:tcPr>
            <w:tcW w:w="1222" w:type="pct"/>
            <w:vAlign w:val="center"/>
          </w:tcPr>
          <w:p w14:paraId="0958ECC4">
            <w:pPr>
              <w:pStyle w:val="129"/>
              <w:widowControl w:val="0"/>
              <w:rPr>
                <w:color w:val="auto"/>
              </w:rPr>
            </w:pPr>
            <w:r>
              <w:rPr>
                <w:rFonts w:hint="eastAsia"/>
                <w:color w:val="auto"/>
              </w:rPr>
              <w:t>管道及装置</w:t>
            </w:r>
          </w:p>
        </w:tc>
        <w:tc>
          <w:tcPr>
            <w:tcW w:w="962" w:type="pct"/>
            <w:vAlign w:val="center"/>
          </w:tcPr>
          <w:p w14:paraId="337FC936">
            <w:pPr>
              <w:pStyle w:val="2582"/>
              <w:widowControl w:val="0"/>
              <w:rPr>
                <w:color w:val="auto"/>
              </w:rPr>
            </w:pPr>
            <w:r>
              <w:rPr>
                <w:rFonts w:hint="eastAsia"/>
                <w:color w:val="auto"/>
              </w:rPr>
              <w:t>3.6</w:t>
            </w:r>
          </w:p>
        </w:tc>
      </w:tr>
      <w:tr w14:paraId="51BB84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48821779">
            <w:pPr>
              <w:pStyle w:val="129"/>
              <w:widowControl w:val="0"/>
              <w:rPr>
                <w:color w:val="auto"/>
              </w:rPr>
            </w:pPr>
            <w:r>
              <w:rPr>
                <w:rFonts w:hint="eastAsia"/>
                <w:color w:val="auto"/>
              </w:rPr>
              <w:t>3</w:t>
            </w:r>
          </w:p>
        </w:tc>
        <w:tc>
          <w:tcPr>
            <w:tcW w:w="1408" w:type="pct"/>
            <w:vMerge w:val="continue"/>
            <w:vAlign w:val="center"/>
          </w:tcPr>
          <w:p w14:paraId="41CB5632">
            <w:pPr>
              <w:pStyle w:val="129"/>
              <w:widowControl w:val="0"/>
              <w:rPr>
                <w:color w:val="auto"/>
              </w:rPr>
            </w:pPr>
          </w:p>
        </w:tc>
        <w:tc>
          <w:tcPr>
            <w:tcW w:w="1058" w:type="pct"/>
            <w:shd w:val="clear" w:color="auto" w:fill="FFFFFF"/>
            <w:vAlign w:val="center"/>
          </w:tcPr>
          <w:p w14:paraId="30B6A2D1">
            <w:pPr>
              <w:pStyle w:val="129"/>
              <w:widowControl w:val="0"/>
              <w:rPr>
                <w:color w:val="auto"/>
              </w:rPr>
            </w:pPr>
            <w:r>
              <w:rPr>
                <w:rFonts w:hint="eastAsia"/>
                <w:color w:val="auto"/>
              </w:rPr>
              <w:t>折为20%氨水</w:t>
            </w:r>
          </w:p>
        </w:tc>
        <w:tc>
          <w:tcPr>
            <w:tcW w:w="1222" w:type="pct"/>
            <w:vAlign w:val="center"/>
          </w:tcPr>
          <w:p w14:paraId="6990FFEB">
            <w:pPr>
              <w:pStyle w:val="129"/>
              <w:widowControl w:val="0"/>
              <w:rPr>
                <w:color w:val="auto"/>
              </w:rPr>
            </w:pPr>
            <w:r>
              <w:rPr>
                <w:rFonts w:hint="eastAsia"/>
                <w:color w:val="auto"/>
              </w:rPr>
              <w:t>管道及装置</w:t>
            </w:r>
          </w:p>
        </w:tc>
        <w:tc>
          <w:tcPr>
            <w:tcW w:w="962" w:type="pct"/>
            <w:vAlign w:val="center"/>
          </w:tcPr>
          <w:p w14:paraId="7AB6CBF6">
            <w:pPr>
              <w:pStyle w:val="2582"/>
              <w:widowControl w:val="0"/>
              <w:rPr>
                <w:color w:val="auto"/>
              </w:rPr>
            </w:pPr>
            <w:r>
              <w:rPr>
                <w:rFonts w:hint="eastAsia"/>
                <w:color w:val="auto"/>
              </w:rPr>
              <w:t>11.25</w:t>
            </w:r>
          </w:p>
        </w:tc>
      </w:tr>
      <w:tr w14:paraId="4859035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21CF08B1">
            <w:pPr>
              <w:pStyle w:val="129"/>
              <w:widowControl w:val="0"/>
              <w:rPr>
                <w:color w:val="auto"/>
              </w:rPr>
            </w:pPr>
            <w:r>
              <w:rPr>
                <w:rFonts w:hint="eastAsia"/>
                <w:color w:val="auto"/>
              </w:rPr>
              <w:t>4</w:t>
            </w:r>
          </w:p>
        </w:tc>
        <w:tc>
          <w:tcPr>
            <w:tcW w:w="1408" w:type="pct"/>
            <w:vMerge w:val="continue"/>
            <w:vAlign w:val="center"/>
          </w:tcPr>
          <w:p w14:paraId="1E8D20CE">
            <w:pPr>
              <w:pStyle w:val="129"/>
              <w:widowControl w:val="0"/>
              <w:rPr>
                <w:color w:val="auto"/>
              </w:rPr>
            </w:pPr>
          </w:p>
        </w:tc>
        <w:tc>
          <w:tcPr>
            <w:tcW w:w="1058" w:type="pct"/>
            <w:shd w:val="clear" w:color="auto" w:fill="FFFFFF"/>
            <w:vAlign w:val="center"/>
          </w:tcPr>
          <w:p w14:paraId="273042A6">
            <w:pPr>
              <w:pStyle w:val="129"/>
              <w:widowControl w:val="0"/>
              <w:rPr>
                <w:color w:val="auto"/>
              </w:rPr>
            </w:pPr>
            <w:r>
              <w:rPr>
                <w:rFonts w:hint="eastAsia"/>
                <w:color w:val="auto"/>
              </w:rPr>
              <w:t>硝酸铵</w:t>
            </w:r>
          </w:p>
        </w:tc>
        <w:tc>
          <w:tcPr>
            <w:tcW w:w="1222" w:type="pct"/>
            <w:vAlign w:val="center"/>
          </w:tcPr>
          <w:p w14:paraId="01799C8C">
            <w:pPr>
              <w:pStyle w:val="129"/>
              <w:widowControl w:val="0"/>
              <w:rPr>
                <w:color w:val="auto"/>
              </w:rPr>
            </w:pPr>
            <w:r>
              <w:rPr>
                <w:rFonts w:hint="eastAsia"/>
                <w:color w:val="auto"/>
              </w:rPr>
              <w:t>管道及装置</w:t>
            </w:r>
          </w:p>
        </w:tc>
        <w:tc>
          <w:tcPr>
            <w:tcW w:w="962" w:type="pct"/>
            <w:vAlign w:val="center"/>
          </w:tcPr>
          <w:p w14:paraId="317749DA">
            <w:pPr>
              <w:pStyle w:val="2582"/>
              <w:widowControl w:val="0"/>
              <w:rPr>
                <w:color w:val="auto"/>
              </w:rPr>
            </w:pPr>
            <w:r>
              <w:rPr>
                <w:rFonts w:hint="eastAsia"/>
                <w:color w:val="auto"/>
              </w:rPr>
              <w:t>5.14</w:t>
            </w:r>
          </w:p>
        </w:tc>
      </w:tr>
      <w:tr w14:paraId="19C9CEF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19E303F5">
            <w:pPr>
              <w:pStyle w:val="129"/>
              <w:widowControl w:val="0"/>
              <w:rPr>
                <w:color w:val="auto"/>
              </w:rPr>
            </w:pPr>
            <w:r>
              <w:rPr>
                <w:rFonts w:hint="eastAsia"/>
                <w:color w:val="auto"/>
              </w:rPr>
              <w:t>5</w:t>
            </w:r>
          </w:p>
        </w:tc>
        <w:tc>
          <w:tcPr>
            <w:tcW w:w="1408" w:type="pct"/>
            <w:vMerge w:val="restart"/>
            <w:vAlign w:val="center"/>
          </w:tcPr>
          <w:p w14:paraId="351B7EDC">
            <w:pPr>
              <w:pStyle w:val="129"/>
              <w:widowControl w:val="0"/>
              <w:rPr>
                <w:color w:val="auto"/>
              </w:rPr>
            </w:pPr>
            <w:r>
              <w:rPr>
                <w:rFonts w:hint="eastAsia"/>
                <w:color w:val="auto"/>
              </w:rPr>
              <w:t>含磷酸二氢铝废酸液处理装置</w:t>
            </w:r>
          </w:p>
        </w:tc>
        <w:tc>
          <w:tcPr>
            <w:tcW w:w="1058" w:type="pct"/>
            <w:shd w:val="clear" w:color="auto" w:fill="FFFFFF"/>
            <w:vAlign w:val="center"/>
          </w:tcPr>
          <w:p w14:paraId="7ADE81E1">
            <w:pPr>
              <w:pStyle w:val="129"/>
              <w:widowControl w:val="0"/>
              <w:rPr>
                <w:color w:val="auto"/>
              </w:rPr>
            </w:pPr>
            <w:r>
              <w:rPr>
                <w:rFonts w:hint="eastAsia"/>
                <w:color w:val="auto"/>
              </w:rPr>
              <w:t>磷酸</w:t>
            </w:r>
          </w:p>
        </w:tc>
        <w:tc>
          <w:tcPr>
            <w:tcW w:w="1222" w:type="pct"/>
            <w:vAlign w:val="center"/>
          </w:tcPr>
          <w:p w14:paraId="45298B46">
            <w:pPr>
              <w:pStyle w:val="129"/>
              <w:widowControl w:val="0"/>
              <w:rPr>
                <w:color w:val="auto"/>
              </w:rPr>
            </w:pPr>
            <w:r>
              <w:rPr>
                <w:rFonts w:hint="eastAsia"/>
                <w:color w:val="auto"/>
              </w:rPr>
              <w:t>管道及装置</w:t>
            </w:r>
          </w:p>
        </w:tc>
        <w:tc>
          <w:tcPr>
            <w:tcW w:w="962" w:type="pct"/>
            <w:vAlign w:val="center"/>
          </w:tcPr>
          <w:p w14:paraId="65D0E40E">
            <w:pPr>
              <w:pStyle w:val="2582"/>
              <w:widowControl w:val="0"/>
              <w:rPr>
                <w:color w:val="auto"/>
              </w:rPr>
            </w:pPr>
            <w:r>
              <w:rPr>
                <w:rFonts w:hint="eastAsia"/>
                <w:color w:val="auto"/>
              </w:rPr>
              <w:t>0.16</w:t>
            </w:r>
          </w:p>
        </w:tc>
      </w:tr>
      <w:tr w14:paraId="48FB15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6E14D5EE">
            <w:pPr>
              <w:pStyle w:val="129"/>
              <w:widowControl w:val="0"/>
              <w:rPr>
                <w:color w:val="auto"/>
              </w:rPr>
            </w:pPr>
            <w:r>
              <w:rPr>
                <w:rFonts w:hint="eastAsia"/>
                <w:color w:val="auto"/>
              </w:rPr>
              <w:t>6</w:t>
            </w:r>
          </w:p>
        </w:tc>
        <w:tc>
          <w:tcPr>
            <w:tcW w:w="1408" w:type="pct"/>
            <w:vMerge w:val="continue"/>
            <w:vAlign w:val="center"/>
          </w:tcPr>
          <w:p w14:paraId="305FF842">
            <w:pPr>
              <w:pStyle w:val="129"/>
              <w:widowControl w:val="0"/>
              <w:rPr>
                <w:color w:val="auto"/>
              </w:rPr>
            </w:pPr>
          </w:p>
        </w:tc>
        <w:tc>
          <w:tcPr>
            <w:tcW w:w="1058" w:type="pct"/>
            <w:shd w:val="clear" w:color="auto" w:fill="FFFFFF"/>
            <w:vAlign w:val="center"/>
          </w:tcPr>
          <w:p w14:paraId="6CC3CBEC">
            <w:pPr>
              <w:pStyle w:val="129"/>
              <w:widowControl w:val="0"/>
              <w:rPr>
                <w:color w:val="auto"/>
              </w:rPr>
            </w:pPr>
            <w:r>
              <w:rPr>
                <w:rFonts w:hint="eastAsia"/>
                <w:color w:val="auto"/>
              </w:rPr>
              <w:t>硫酸</w:t>
            </w:r>
          </w:p>
        </w:tc>
        <w:tc>
          <w:tcPr>
            <w:tcW w:w="1222" w:type="pct"/>
            <w:vAlign w:val="center"/>
          </w:tcPr>
          <w:p w14:paraId="2E7315AC">
            <w:pPr>
              <w:pStyle w:val="129"/>
              <w:widowControl w:val="0"/>
              <w:rPr>
                <w:color w:val="auto"/>
              </w:rPr>
            </w:pPr>
            <w:r>
              <w:rPr>
                <w:rFonts w:hint="eastAsia"/>
                <w:color w:val="auto"/>
              </w:rPr>
              <w:t>管道及装置</w:t>
            </w:r>
          </w:p>
        </w:tc>
        <w:tc>
          <w:tcPr>
            <w:tcW w:w="962" w:type="pct"/>
            <w:vAlign w:val="center"/>
          </w:tcPr>
          <w:p w14:paraId="1013218F">
            <w:pPr>
              <w:pStyle w:val="2582"/>
              <w:widowControl w:val="0"/>
              <w:rPr>
                <w:color w:val="auto"/>
              </w:rPr>
            </w:pPr>
            <w:r>
              <w:rPr>
                <w:rFonts w:hint="eastAsia"/>
                <w:color w:val="auto"/>
              </w:rPr>
              <w:t>0.15</w:t>
            </w:r>
          </w:p>
        </w:tc>
      </w:tr>
      <w:tr w14:paraId="2D7D28D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637ABC66">
            <w:pPr>
              <w:pStyle w:val="129"/>
              <w:widowControl w:val="0"/>
              <w:rPr>
                <w:color w:val="auto"/>
              </w:rPr>
            </w:pPr>
            <w:r>
              <w:rPr>
                <w:rFonts w:hint="eastAsia"/>
                <w:color w:val="auto"/>
              </w:rPr>
              <w:t>7</w:t>
            </w:r>
          </w:p>
        </w:tc>
        <w:tc>
          <w:tcPr>
            <w:tcW w:w="1408" w:type="pct"/>
            <w:vMerge w:val="restart"/>
            <w:vAlign w:val="center"/>
          </w:tcPr>
          <w:p w14:paraId="769A843F">
            <w:pPr>
              <w:pStyle w:val="129"/>
              <w:widowControl w:val="0"/>
              <w:rPr>
                <w:color w:val="auto"/>
              </w:rPr>
            </w:pPr>
            <w:r>
              <w:rPr>
                <w:rFonts w:hint="eastAsia"/>
                <w:color w:val="auto"/>
              </w:rPr>
              <w:t>含硫酸铝、氯化铝废酸液处理装置</w:t>
            </w:r>
          </w:p>
        </w:tc>
        <w:tc>
          <w:tcPr>
            <w:tcW w:w="1058" w:type="pct"/>
            <w:shd w:val="clear" w:color="auto" w:fill="FFFFFF"/>
            <w:vAlign w:val="center"/>
          </w:tcPr>
          <w:p w14:paraId="20D05402">
            <w:pPr>
              <w:pStyle w:val="129"/>
              <w:widowControl w:val="0"/>
              <w:rPr>
                <w:color w:val="auto"/>
              </w:rPr>
            </w:pPr>
            <w:r>
              <w:rPr>
                <w:rFonts w:hint="eastAsia"/>
                <w:color w:val="auto"/>
              </w:rPr>
              <w:t>磷酸</w:t>
            </w:r>
          </w:p>
        </w:tc>
        <w:tc>
          <w:tcPr>
            <w:tcW w:w="1222" w:type="pct"/>
            <w:vAlign w:val="center"/>
          </w:tcPr>
          <w:p w14:paraId="73339296">
            <w:pPr>
              <w:pStyle w:val="129"/>
              <w:widowControl w:val="0"/>
              <w:rPr>
                <w:color w:val="auto"/>
              </w:rPr>
            </w:pPr>
            <w:r>
              <w:rPr>
                <w:rFonts w:hint="eastAsia"/>
                <w:color w:val="auto"/>
              </w:rPr>
              <w:t>管道及装置</w:t>
            </w:r>
          </w:p>
        </w:tc>
        <w:tc>
          <w:tcPr>
            <w:tcW w:w="962" w:type="pct"/>
            <w:vAlign w:val="center"/>
          </w:tcPr>
          <w:p w14:paraId="1C8B77BC">
            <w:pPr>
              <w:pStyle w:val="2582"/>
              <w:widowControl w:val="0"/>
              <w:rPr>
                <w:color w:val="auto"/>
              </w:rPr>
            </w:pPr>
            <w:r>
              <w:rPr>
                <w:rFonts w:hint="eastAsia"/>
                <w:color w:val="auto"/>
              </w:rPr>
              <w:t>0.46</w:t>
            </w:r>
          </w:p>
        </w:tc>
      </w:tr>
      <w:tr w14:paraId="56E6A2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3595574A">
            <w:pPr>
              <w:pStyle w:val="129"/>
              <w:widowControl w:val="0"/>
              <w:rPr>
                <w:color w:val="auto"/>
              </w:rPr>
            </w:pPr>
            <w:r>
              <w:rPr>
                <w:color w:val="auto"/>
              </w:rPr>
              <w:t>8</w:t>
            </w:r>
          </w:p>
        </w:tc>
        <w:tc>
          <w:tcPr>
            <w:tcW w:w="1408" w:type="pct"/>
            <w:vMerge w:val="continue"/>
            <w:vAlign w:val="center"/>
          </w:tcPr>
          <w:p w14:paraId="3D4283C8">
            <w:pPr>
              <w:pStyle w:val="129"/>
              <w:widowControl w:val="0"/>
              <w:rPr>
                <w:color w:val="auto"/>
              </w:rPr>
            </w:pPr>
          </w:p>
        </w:tc>
        <w:tc>
          <w:tcPr>
            <w:tcW w:w="1058" w:type="pct"/>
            <w:shd w:val="clear" w:color="auto" w:fill="FFFFFF"/>
            <w:vAlign w:val="center"/>
          </w:tcPr>
          <w:p w14:paraId="3BC65797">
            <w:pPr>
              <w:pStyle w:val="129"/>
              <w:widowControl w:val="0"/>
              <w:rPr>
                <w:color w:val="auto"/>
              </w:rPr>
            </w:pPr>
            <w:r>
              <w:rPr>
                <w:rFonts w:hint="eastAsia"/>
                <w:color w:val="auto"/>
              </w:rPr>
              <w:t>含氯化铝废酸液</w:t>
            </w:r>
          </w:p>
        </w:tc>
        <w:tc>
          <w:tcPr>
            <w:tcW w:w="1222" w:type="pct"/>
            <w:vAlign w:val="center"/>
          </w:tcPr>
          <w:p w14:paraId="431AFDB8">
            <w:pPr>
              <w:pStyle w:val="129"/>
              <w:widowControl w:val="0"/>
              <w:rPr>
                <w:color w:val="auto"/>
              </w:rPr>
            </w:pPr>
            <w:r>
              <w:rPr>
                <w:rFonts w:hint="eastAsia"/>
                <w:color w:val="auto"/>
              </w:rPr>
              <w:t>管道及装置</w:t>
            </w:r>
          </w:p>
        </w:tc>
        <w:tc>
          <w:tcPr>
            <w:tcW w:w="962" w:type="pct"/>
            <w:vAlign w:val="center"/>
          </w:tcPr>
          <w:p w14:paraId="7D8448B7">
            <w:pPr>
              <w:pStyle w:val="2582"/>
              <w:widowControl w:val="0"/>
              <w:rPr>
                <w:color w:val="auto"/>
              </w:rPr>
            </w:pPr>
            <w:r>
              <w:rPr>
                <w:rFonts w:hint="eastAsia"/>
                <w:color w:val="auto"/>
              </w:rPr>
              <w:t>0.81</w:t>
            </w:r>
          </w:p>
        </w:tc>
      </w:tr>
      <w:tr w14:paraId="698A9CF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68F97744">
            <w:pPr>
              <w:pStyle w:val="129"/>
              <w:widowControl w:val="0"/>
              <w:rPr>
                <w:color w:val="auto"/>
              </w:rPr>
            </w:pPr>
            <w:r>
              <w:rPr>
                <w:color w:val="auto"/>
              </w:rPr>
              <w:t>9</w:t>
            </w:r>
          </w:p>
        </w:tc>
        <w:tc>
          <w:tcPr>
            <w:tcW w:w="1408" w:type="pct"/>
            <w:vMerge w:val="continue"/>
            <w:vAlign w:val="center"/>
          </w:tcPr>
          <w:p w14:paraId="45614CCF">
            <w:pPr>
              <w:pStyle w:val="129"/>
              <w:widowControl w:val="0"/>
              <w:rPr>
                <w:color w:val="auto"/>
              </w:rPr>
            </w:pPr>
          </w:p>
        </w:tc>
        <w:tc>
          <w:tcPr>
            <w:tcW w:w="1058" w:type="pct"/>
            <w:shd w:val="clear" w:color="auto" w:fill="FFFFFF"/>
            <w:vAlign w:val="center"/>
          </w:tcPr>
          <w:p w14:paraId="40CC8AA0">
            <w:pPr>
              <w:pStyle w:val="129"/>
              <w:widowControl w:val="0"/>
              <w:rPr>
                <w:color w:val="auto"/>
              </w:rPr>
            </w:pPr>
            <w:r>
              <w:rPr>
                <w:rFonts w:hint="eastAsia"/>
                <w:color w:val="auto"/>
              </w:rPr>
              <w:t>折为20%氨水</w:t>
            </w:r>
          </w:p>
        </w:tc>
        <w:tc>
          <w:tcPr>
            <w:tcW w:w="1222" w:type="pct"/>
            <w:vAlign w:val="center"/>
          </w:tcPr>
          <w:p w14:paraId="01EEE569">
            <w:pPr>
              <w:pStyle w:val="129"/>
              <w:widowControl w:val="0"/>
              <w:rPr>
                <w:color w:val="auto"/>
              </w:rPr>
            </w:pPr>
            <w:r>
              <w:rPr>
                <w:rFonts w:hint="eastAsia"/>
                <w:color w:val="auto"/>
              </w:rPr>
              <w:t>管道及装置</w:t>
            </w:r>
          </w:p>
        </w:tc>
        <w:tc>
          <w:tcPr>
            <w:tcW w:w="962" w:type="pct"/>
            <w:vAlign w:val="center"/>
          </w:tcPr>
          <w:p w14:paraId="44E392FC">
            <w:pPr>
              <w:pStyle w:val="2582"/>
              <w:widowControl w:val="0"/>
              <w:rPr>
                <w:color w:val="auto"/>
              </w:rPr>
            </w:pPr>
            <w:r>
              <w:rPr>
                <w:rFonts w:hint="eastAsia"/>
                <w:color w:val="auto"/>
              </w:rPr>
              <w:t>10.85</w:t>
            </w:r>
          </w:p>
        </w:tc>
      </w:tr>
      <w:tr w14:paraId="7B2AB7B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05B4DB9F">
            <w:pPr>
              <w:pStyle w:val="129"/>
              <w:widowControl w:val="0"/>
              <w:rPr>
                <w:color w:val="auto"/>
              </w:rPr>
            </w:pPr>
            <w:r>
              <w:rPr>
                <w:color w:val="auto"/>
              </w:rPr>
              <w:t>10</w:t>
            </w:r>
          </w:p>
        </w:tc>
        <w:tc>
          <w:tcPr>
            <w:tcW w:w="1408" w:type="pct"/>
            <w:vMerge w:val="continue"/>
            <w:vAlign w:val="center"/>
          </w:tcPr>
          <w:p w14:paraId="065A0A1A">
            <w:pPr>
              <w:pStyle w:val="129"/>
              <w:widowControl w:val="0"/>
              <w:rPr>
                <w:color w:val="auto"/>
              </w:rPr>
            </w:pPr>
          </w:p>
        </w:tc>
        <w:tc>
          <w:tcPr>
            <w:tcW w:w="1058" w:type="pct"/>
            <w:shd w:val="clear" w:color="auto" w:fill="FFFFFF"/>
            <w:vAlign w:val="center"/>
          </w:tcPr>
          <w:p w14:paraId="474248C8">
            <w:pPr>
              <w:pStyle w:val="129"/>
              <w:widowControl w:val="0"/>
              <w:rPr>
                <w:color w:val="auto"/>
              </w:rPr>
            </w:pPr>
            <w:r>
              <w:rPr>
                <w:rFonts w:hint="eastAsia"/>
                <w:color w:val="auto"/>
              </w:rPr>
              <w:t>硫酸</w:t>
            </w:r>
          </w:p>
        </w:tc>
        <w:tc>
          <w:tcPr>
            <w:tcW w:w="1222" w:type="pct"/>
            <w:vAlign w:val="center"/>
          </w:tcPr>
          <w:p w14:paraId="54EF097B">
            <w:pPr>
              <w:pStyle w:val="129"/>
              <w:widowControl w:val="0"/>
              <w:rPr>
                <w:color w:val="auto"/>
              </w:rPr>
            </w:pPr>
            <w:r>
              <w:rPr>
                <w:rFonts w:hint="eastAsia"/>
                <w:color w:val="auto"/>
              </w:rPr>
              <w:t>管道及装置</w:t>
            </w:r>
          </w:p>
        </w:tc>
        <w:tc>
          <w:tcPr>
            <w:tcW w:w="962" w:type="pct"/>
            <w:vAlign w:val="center"/>
          </w:tcPr>
          <w:p w14:paraId="714B91F1">
            <w:pPr>
              <w:pStyle w:val="2582"/>
              <w:widowControl w:val="0"/>
              <w:rPr>
                <w:color w:val="auto"/>
              </w:rPr>
            </w:pPr>
            <w:r>
              <w:rPr>
                <w:rFonts w:hint="eastAsia"/>
                <w:color w:val="auto"/>
              </w:rPr>
              <w:t>3.71</w:t>
            </w:r>
          </w:p>
        </w:tc>
      </w:tr>
      <w:tr w14:paraId="4A75F80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30D700B6">
            <w:pPr>
              <w:pStyle w:val="129"/>
              <w:widowControl w:val="0"/>
              <w:rPr>
                <w:color w:val="auto"/>
              </w:rPr>
            </w:pPr>
            <w:r>
              <w:rPr>
                <w:color w:val="auto"/>
              </w:rPr>
              <w:t>11</w:t>
            </w:r>
          </w:p>
        </w:tc>
        <w:tc>
          <w:tcPr>
            <w:tcW w:w="1408" w:type="pct"/>
            <w:vMerge w:val="continue"/>
            <w:vAlign w:val="center"/>
          </w:tcPr>
          <w:p w14:paraId="43430B20">
            <w:pPr>
              <w:pStyle w:val="129"/>
              <w:widowControl w:val="0"/>
              <w:rPr>
                <w:color w:val="auto"/>
              </w:rPr>
            </w:pPr>
          </w:p>
        </w:tc>
        <w:tc>
          <w:tcPr>
            <w:tcW w:w="1058" w:type="pct"/>
            <w:shd w:val="clear" w:color="auto" w:fill="FFFFFF"/>
            <w:vAlign w:val="center"/>
          </w:tcPr>
          <w:p w14:paraId="7E0EAFA0">
            <w:pPr>
              <w:pStyle w:val="129"/>
              <w:widowControl w:val="0"/>
              <w:rPr>
                <w:color w:val="auto"/>
              </w:rPr>
            </w:pPr>
            <w:r>
              <w:rPr>
                <w:rFonts w:hint="eastAsia"/>
                <w:color w:val="auto"/>
              </w:rPr>
              <w:t>硫酸铵</w:t>
            </w:r>
          </w:p>
        </w:tc>
        <w:tc>
          <w:tcPr>
            <w:tcW w:w="1222" w:type="pct"/>
            <w:vAlign w:val="center"/>
          </w:tcPr>
          <w:p w14:paraId="147487A3">
            <w:pPr>
              <w:pStyle w:val="129"/>
              <w:widowControl w:val="0"/>
              <w:rPr>
                <w:color w:val="auto"/>
              </w:rPr>
            </w:pPr>
            <w:r>
              <w:rPr>
                <w:rFonts w:hint="eastAsia"/>
                <w:color w:val="auto"/>
              </w:rPr>
              <w:t>管道及装置</w:t>
            </w:r>
          </w:p>
        </w:tc>
        <w:tc>
          <w:tcPr>
            <w:tcW w:w="962" w:type="pct"/>
            <w:vAlign w:val="center"/>
          </w:tcPr>
          <w:p w14:paraId="55842B17">
            <w:pPr>
              <w:pStyle w:val="2582"/>
              <w:widowControl w:val="0"/>
              <w:rPr>
                <w:color w:val="auto"/>
              </w:rPr>
            </w:pPr>
            <w:r>
              <w:rPr>
                <w:rFonts w:hint="eastAsia"/>
                <w:color w:val="auto"/>
              </w:rPr>
              <w:t>9.44</w:t>
            </w:r>
          </w:p>
        </w:tc>
      </w:tr>
      <w:tr w14:paraId="6E8C64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2AB838B9">
            <w:pPr>
              <w:pStyle w:val="129"/>
              <w:widowControl w:val="0"/>
              <w:rPr>
                <w:color w:val="auto"/>
              </w:rPr>
            </w:pPr>
            <w:r>
              <w:rPr>
                <w:color w:val="auto"/>
              </w:rPr>
              <w:t>12</w:t>
            </w:r>
          </w:p>
        </w:tc>
        <w:tc>
          <w:tcPr>
            <w:tcW w:w="1408" w:type="pct"/>
            <w:vAlign w:val="center"/>
          </w:tcPr>
          <w:p w14:paraId="7864DC6F">
            <w:pPr>
              <w:pStyle w:val="129"/>
              <w:widowControl w:val="0"/>
              <w:rPr>
                <w:color w:val="auto"/>
              </w:rPr>
            </w:pPr>
            <w:r>
              <w:rPr>
                <w:rFonts w:hint="eastAsia"/>
                <w:color w:val="auto"/>
              </w:rPr>
              <w:t>拟薄水铝石制造装置</w:t>
            </w:r>
          </w:p>
        </w:tc>
        <w:tc>
          <w:tcPr>
            <w:tcW w:w="1058" w:type="pct"/>
            <w:shd w:val="clear" w:color="auto" w:fill="FFFFFF"/>
            <w:vAlign w:val="center"/>
          </w:tcPr>
          <w:p w14:paraId="50697640">
            <w:pPr>
              <w:pStyle w:val="129"/>
              <w:widowControl w:val="0"/>
              <w:rPr>
                <w:color w:val="auto"/>
              </w:rPr>
            </w:pPr>
            <w:r>
              <w:rPr>
                <w:rFonts w:hint="eastAsia"/>
                <w:color w:val="auto"/>
              </w:rPr>
              <w:t>硫酸</w:t>
            </w:r>
          </w:p>
        </w:tc>
        <w:tc>
          <w:tcPr>
            <w:tcW w:w="1222" w:type="pct"/>
            <w:vAlign w:val="center"/>
          </w:tcPr>
          <w:p w14:paraId="78EA4CB0">
            <w:pPr>
              <w:pStyle w:val="129"/>
              <w:widowControl w:val="0"/>
              <w:rPr>
                <w:color w:val="auto"/>
              </w:rPr>
            </w:pPr>
            <w:r>
              <w:rPr>
                <w:rFonts w:hint="eastAsia"/>
                <w:color w:val="auto"/>
              </w:rPr>
              <w:t>管道及装置</w:t>
            </w:r>
          </w:p>
        </w:tc>
        <w:tc>
          <w:tcPr>
            <w:tcW w:w="962" w:type="pct"/>
            <w:vAlign w:val="center"/>
          </w:tcPr>
          <w:p w14:paraId="4F8CFB2A">
            <w:pPr>
              <w:pStyle w:val="2582"/>
              <w:widowControl w:val="0"/>
              <w:rPr>
                <w:color w:val="auto"/>
              </w:rPr>
            </w:pPr>
            <w:r>
              <w:rPr>
                <w:rFonts w:hint="eastAsia"/>
                <w:color w:val="auto"/>
              </w:rPr>
              <w:t>1.41</w:t>
            </w:r>
          </w:p>
        </w:tc>
      </w:tr>
      <w:tr w14:paraId="6BF23F4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1AFB784E">
            <w:pPr>
              <w:pStyle w:val="129"/>
              <w:widowControl w:val="0"/>
              <w:rPr>
                <w:color w:val="auto"/>
              </w:rPr>
            </w:pPr>
            <w:r>
              <w:rPr>
                <w:color w:val="auto"/>
              </w:rPr>
              <w:t>13</w:t>
            </w:r>
          </w:p>
        </w:tc>
        <w:tc>
          <w:tcPr>
            <w:tcW w:w="1408" w:type="pct"/>
            <w:vMerge w:val="restart"/>
            <w:vAlign w:val="center"/>
          </w:tcPr>
          <w:p w14:paraId="3C430999">
            <w:pPr>
              <w:pStyle w:val="129"/>
              <w:widowControl w:val="0"/>
              <w:rPr>
                <w:color w:val="auto"/>
              </w:rPr>
            </w:pPr>
            <w:r>
              <w:rPr>
                <w:rFonts w:hint="eastAsia"/>
                <w:color w:val="auto"/>
              </w:rPr>
              <w:t>催化剂生产线</w:t>
            </w:r>
          </w:p>
        </w:tc>
        <w:tc>
          <w:tcPr>
            <w:tcW w:w="1058" w:type="pct"/>
            <w:shd w:val="clear" w:color="auto" w:fill="FFFFFF"/>
            <w:vAlign w:val="center"/>
          </w:tcPr>
          <w:p w14:paraId="72D41470">
            <w:pPr>
              <w:pStyle w:val="129"/>
              <w:widowControl w:val="0"/>
              <w:rPr>
                <w:color w:val="auto"/>
              </w:rPr>
            </w:pPr>
            <w:r>
              <w:rPr>
                <w:rFonts w:hint="eastAsia"/>
                <w:color w:val="auto"/>
              </w:rPr>
              <w:t>硝酸</w:t>
            </w:r>
          </w:p>
        </w:tc>
        <w:tc>
          <w:tcPr>
            <w:tcW w:w="1222" w:type="pct"/>
            <w:vAlign w:val="center"/>
          </w:tcPr>
          <w:p w14:paraId="4D20EF11">
            <w:pPr>
              <w:pStyle w:val="129"/>
              <w:widowControl w:val="0"/>
              <w:rPr>
                <w:color w:val="auto"/>
              </w:rPr>
            </w:pPr>
            <w:r>
              <w:rPr>
                <w:rFonts w:hint="eastAsia"/>
                <w:color w:val="auto"/>
              </w:rPr>
              <w:t>管道及装置</w:t>
            </w:r>
          </w:p>
        </w:tc>
        <w:tc>
          <w:tcPr>
            <w:tcW w:w="962" w:type="pct"/>
            <w:vAlign w:val="center"/>
          </w:tcPr>
          <w:p w14:paraId="03804C0D">
            <w:pPr>
              <w:pStyle w:val="2582"/>
              <w:widowControl w:val="0"/>
              <w:rPr>
                <w:color w:val="auto"/>
              </w:rPr>
            </w:pPr>
            <w:r>
              <w:rPr>
                <w:rFonts w:hint="eastAsia"/>
                <w:color w:val="auto"/>
              </w:rPr>
              <w:t>3.69</w:t>
            </w:r>
          </w:p>
        </w:tc>
      </w:tr>
      <w:tr w14:paraId="5B3B809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4772553E">
            <w:pPr>
              <w:pStyle w:val="129"/>
              <w:widowControl w:val="0"/>
              <w:rPr>
                <w:color w:val="auto"/>
              </w:rPr>
            </w:pPr>
            <w:r>
              <w:rPr>
                <w:color w:val="auto"/>
              </w:rPr>
              <w:t>14</w:t>
            </w:r>
          </w:p>
        </w:tc>
        <w:tc>
          <w:tcPr>
            <w:tcW w:w="1408" w:type="pct"/>
            <w:vMerge w:val="continue"/>
            <w:vAlign w:val="center"/>
          </w:tcPr>
          <w:p w14:paraId="083D0C42">
            <w:pPr>
              <w:pStyle w:val="129"/>
              <w:widowControl w:val="0"/>
              <w:rPr>
                <w:color w:val="auto"/>
              </w:rPr>
            </w:pPr>
          </w:p>
        </w:tc>
        <w:tc>
          <w:tcPr>
            <w:tcW w:w="1058" w:type="pct"/>
            <w:vAlign w:val="center"/>
          </w:tcPr>
          <w:p w14:paraId="290C0690">
            <w:pPr>
              <w:pStyle w:val="129"/>
              <w:widowControl w:val="0"/>
              <w:rPr>
                <w:color w:val="auto"/>
              </w:rPr>
            </w:pPr>
            <w:r>
              <w:rPr>
                <w:rFonts w:hint="eastAsia"/>
                <w:color w:val="auto"/>
              </w:rPr>
              <w:t>脱硝催化剂</w:t>
            </w:r>
          </w:p>
        </w:tc>
        <w:tc>
          <w:tcPr>
            <w:tcW w:w="1222" w:type="pct"/>
            <w:vAlign w:val="center"/>
          </w:tcPr>
          <w:p w14:paraId="4D6479D5">
            <w:pPr>
              <w:pStyle w:val="129"/>
              <w:widowControl w:val="0"/>
              <w:rPr>
                <w:color w:val="auto"/>
              </w:rPr>
            </w:pPr>
            <w:r>
              <w:rPr>
                <w:rFonts w:hint="eastAsia"/>
                <w:color w:val="auto"/>
              </w:rPr>
              <w:t>生产设备</w:t>
            </w:r>
          </w:p>
        </w:tc>
        <w:tc>
          <w:tcPr>
            <w:tcW w:w="962" w:type="pct"/>
            <w:vAlign w:val="center"/>
          </w:tcPr>
          <w:p w14:paraId="22A2D113">
            <w:pPr>
              <w:pStyle w:val="129"/>
              <w:widowControl w:val="0"/>
              <w:rPr>
                <w:color w:val="auto"/>
              </w:rPr>
            </w:pPr>
            <w:r>
              <w:rPr>
                <w:color w:val="auto"/>
              </w:rPr>
              <w:t>0.38</w:t>
            </w:r>
          </w:p>
        </w:tc>
      </w:tr>
      <w:tr w14:paraId="6A6DC1B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14C0437F">
            <w:pPr>
              <w:pStyle w:val="129"/>
              <w:widowControl w:val="0"/>
              <w:rPr>
                <w:color w:val="auto"/>
              </w:rPr>
            </w:pPr>
            <w:r>
              <w:rPr>
                <w:rFonts w:hint="eastAsia"/>
                <w:color w:val="auto"/>
              </w:rPr>
              <w:t>15</w:t>
            </w:r>
          </w:p>
        </w:tc>
        <w:tc>
          <w:tcPr>
            <w:tcW w:w="1408" w:type="pct"/>
            <w:vAlign w:val="center"/>
          </w:tcPr>
          <w:p w14:paraId="2EEA2C8A">
            <w:pPr>
              <w:pStyle w:val="129"/>
              <w:widowControl w:val="0"/>
              <w:rPr>
                <w:color w:val="auto"/>
              </w:rPr>
            </w:pPr>
            <w:r>
              <w:rPr>
                <w:rFonts w:hint="eastAsia"/>
                <w:color w:val="auto"/>
              </w:rPr>
              <w:t>危险废物贮存库</w:t>
            </w:r>
          </w:p>
        </w:tc>
        <w:tc>
          <w:tcPr>
            <w:tcW w:w="1058" w:type="pct"/>
            <w:vAlign w:val="center"/>
          </w:tcPr>
          <w:p w14:paraId="68BB75F5">
            <w:pPr>
              <w:pStyle w:val="129"/>
              <w:widowControl w:val="0"/>
              <w:rPr>
                <w:color w:val="auto"/>
              </w:rPr>
            </w:pPr>
            <w:r>
              <w:rPr>
                <w:rFonts w:hint="eastAsia"/>
                <w:color w:val="auto"/>
              </w:rPr>
              <w:t>废机油</w:t>
            </w:r>
          </w:p>
        </w:tc>
        <w:tc>
          <w:tcPr>
            <w:tcW w:w="1222" w:type="pct"/>
            <w:vAlign w:val="center"/>
          </w:tcPr>
          <w:p w14:paraId="7AA9314F">
            <w:pPr>
              <w:pStyle w:val="129"/>
              <w:widowControl w:val="0"/>
              <w:rPr>
                <w:color w:val="auto"/>
              </w:rPr>
            </w:pPr>
            <w:r>
              <w:rPr>
                <w:rFonts w:hint="eastAsia"/>
                <w:color w:val="auto"/>
              </w:rPr>
              <w:t>桶装库房</w:t>
            </w:r>
          </w:p>
        </w:tc>
        <w:tc>
          <w:tcPr>
            <w:tcW w:w="962" w:type="pct"/>
            <w:vAlign w:val="center"/>
          </w:tcPr>
          <w:p w14:paraId="47D5A6D3">
            <w:pPr>
              <w:pStyle w:val="129"/>
              <w:widowControl w:val="0"/>
              <w:rPr>
                <w:color w:val="auto"/>
              </w:rPr>
            </w:pPr>
            <w:r>
              <w:rPr>
                <w:color w:val="auto"/>
              </w:rPr>
              <w:t>0.2</w:t>
            </w:r>
          </w:p>
        </w:tc>
      </w:tr>
      <w:tr w14:paraId="0417C0A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0FACA9BA">
            <w:pPr>
              <w:pStyle w:val="129"/>
              <w:widowControl w:val="0"/>
              <w:rPr>
                <w:color w:val="auto"/>
              </w:rPr>
            </w:pPr>
            <w:r>
              <w:rPr>
                <w:rFonts w:hint="eastAsia"/>
                <w:color w:val="auto"/>
              </w:rPr>
              <w:t>16</w:t>
            </w:r>
          </w:p>
        </w:tc>
        <w:tc>
          <w:tcPr>
            <w:tcW w:w="1408" w:type="pct"/>
            <w:vAlign w:val="center"/>
          </w:tcPr>
          <w:p w14:paraId="6DF7F2CC">
            <w:pPr>
              <w:pStyle w:val="129"/>
              <w:widowControl w:val="0"/>
              <w:rPr>
                <w:color w:val="auto"/>
              </w:rPr>
            </w:pPr>
            <w:r>
              <w:rPr>
                <w:rFonts w:hint="eastAsia"/>
                <w:color w:val="auto"/>
              </w:rPr>
              <w:t>生产车间</w:t>
            </w:r>
          </w:p>
        </w:tc>
        <w:tc>
          <w:tcPr>
            <w:tcW w:w="1058" w:type="pct"/>
            <w:vAlign w:val="center"/>
          </w:tcPr>
          <w:p w14:paraId="5C2A7F15">
            <w:pPr>
              <w:pStyle w:val="129"/>
              <w:widowControl w:val="0"/>
              <w:rPr>
                <w:color w:val="auto"/>
              </w:rPr>
            </w:pPr>
            <w:r>
              <w:rPr>
                <w:rFonts w:hint="eastAsia"/>
                <w:color w:val="auto"/>
              </w:rPr>
              <w:t>硫酸</w:t>
            </w:r>
          </w:p>
        </w:tc>
        <w:tc>
          <w:tcPr>
            <w:tcW w:w="1222" w:type="pct"/>
            <w:vAlign w:val="center"/>
          </w:tcPr>
          <w:p w14:paraId="655A35F3">
            <w:pPr>
              <w:pStyle w:val="129"/>
              <w:widowControl w:val="0"/>
              <w:rPr>
                <w:color w:val="auto"/>
              </w:rPr>
            </w:pPr>
            <w:r>
              <w:rPr>
                <w:rFonts w:hint="eastAsia"/>
                <w:color w:val="auto"/>
              </w:rPr>
              <w:t>1座1000m</w:t>
            </w:r>
            <w:r>
              <w:rPr>
                <w:rFonts w:hint="eastAsia"/>
                <w:color w:val="auto"/>
                <w:vertAlign w:val="superscript"/>
              </w:rPr>
              <w:t>3</w:t>
            </w:r>
            <w:r>
              <w:rPr>
                <w:rFonts w:hint="eastAsia"/>
                <w:color w:val="auto"/>
              </w:rPr>
              <w:t>储罐</w:t>
            </w:r>
          </w:p>
        </w:tc>
        <w:tc>
          <w:tcPr>
            <w:tcW w:w="962" w:type="pct"/>
            <w:vAlign w:val="center"/>
          </w:tcPr>
          <w:p w14:paraId="50D485A4">
            <w:pPr>
              <w:pStyle w:val="129"/>
              <w:widowControl w:val="0"/>
              <w:rPr>
                <w:color w:val="auto"/>
              </w:rPr>
            </w:pPr>
            <w:r>
              <w:rPr>
                <w:color w:val="auto"/>
              </w:rPr>
              <w:t>155.55</w:t>
            </w:r>
          </w:p>
        </w:tc>
      </w:tr>
      <w:tr w14:paraId="7AE115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1E471CAA">
            <w:pPr>
              <w:pStyle w:val="129"/>
              <w:widowControl w:val="0"/>
              <w:rPr>
                <w:color w:val="auto"/>
              </w:rPr>
            </w:pPr>
            <w:r>
              <w:rPr>
                <w:rFonts w:hint="eastAsia"/>
                <w:color w:val="auto"/>
              </w:rPr>
              <w:t>17</w:t>
            </w:r>
          </w:p>
        </w:tc>
        <w:tc>
          <w:tcPr>
            <w:tcW w:w="1408" w:type="pct"/>
            <w:vAlign w:val="center"/>
          </w:tcPr>
          <w:p w14:paraId="2923769B">
            <w:pPr>
              <w:pStyle w:val="129"/>
              <w:widowControl w:val="0"/>
              <w:rPr>
                <w:color w:val="auto"/>
              </w:rPr>
            </w:pPr>
            <w:r>
              <w:rPr>
                <w:rFonts w:hint="eastAsia"/>
                <w:color w:val="auto"/>
              </w:rPr>
              <w:t>生产车间</w:t>
            </w:r>
          </w:p>
        </w:tc>
        <w:tc>
          <w:tcPr>
            <w:tcW w:w="1058" w:type="pct"/>
            <w:vAlign w:val="center"/>
          </w:tcPr>
          <w:p w14:paraId="5089F1C6">
            <w:pPr>
              <w:pStyle w:val="129"/>
              <w:widowControl w:val="0"/>
              <w:rPr>
                <w:color w:val="auto"/>
              </w:rPr>
            </w:pPr>
            <w:r>
              <w:rPr>
                <w:rFonts w:hint="eastAsia"/>
                <w:color w:val="auto"/>
              </w:rPr>
              <w:t>硝酸</w:t>
            </w:r>
          </w:p>
        </w:tc>
        <w:tc>
          <w:tcPr>
            <w:tcW w:w="1222" w:type="pct"/>
            <w:vAlign w:val="center"/>
          </w:tcPr>
          <w:p w14:paraId="570D0E1F">
            <w:pPr>
              <w:pStyle w:val="129"/>
              <w:widowControl w:val="0"/>
              <w:rPr>
                <w:color w:val="auto"/>
              </w:rPr>
            </w:pPr>
            <w:r>
              <w:rPr>
                <w:rFonts w:hint="eastAsia"/>
                <w:color w:val="auto"/>
              </w:rPr>
              <w:t>1座50m</w:t>
            </w:r>
            <w:r>
              <w:rPr>
                <w:rFonts w:hint="eastAsia"/>
                <w:color w:val="auto"/>
                <w:vertAlign w:val="superscript"/>
              </w:rPr>
              <w:t>3</w:t>
            </w:r>
            <w:r>
              <w:rPr>
                <w:rFonts w:hint="eastAsia"/>
                <w:color w:val="auto"/>
              </w:rPr>
              <w:t>储罐</w:t>
            </w:r>
          </w:p>
        </w:tc>
        <w:tc>
          <w:tcPr>
            <w:tcW w:w="962" w:type="pct"/>
            <w:vAlign w:val="center"/>
          </w:tcPr>
          <w:p w14:paraId="2AE3A942">
            <w:pPr>
              <w:pStyle w:val="129"/>
              <w:widowControl w:val="0"/>
              <w:rPr>
                <w:color w:val="auto"/>
              </w:rPr>
            </w:pPr>
            <w:r>
              <w:rPr>
                <w:color w:val="auto"/>
              </w:rPr>
              <w:t>33.79</w:t>
            </w:r>
          </w:p>
        </w:tc>
      </w:tr>
      <w:tr w14:paraId="3D58D19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27FC14E1">
            <w:pPr>
              <w:pStyle w:val="129"/>
              <w:widowControl w:val="0"/>
              <w:rPr>
                <w:color w:val="auto"/>
              </w:rPr>
            </w:pPr>
            <w:r>
              <w:rPr>
                <w:rFonts w:hint="eastAsia"/>
                <w:color w:val="auto"/>
              </w:rPr>
              <w:t>18</w:t>
            </w:r>
          </w:p>
        </w:tc>
        <w:tc>
          <w:tcPr>
            <w:tcW w:w="1408" w:type="pct"/>
            <w:vAlign w:val="center"/>
          </w:tcPr>
          <w:p w14:paraId="0CB9BBCE">
            <w:pPr>
              <w:pStyle w:val="129"/>
              <w:widowControl w:val="0"/>
              <w:rPr>
                <w:color w:val="auto"/>
              </w:rPr>
            </w:pPr>
            <w:r>
              <w:rPr>
                <w:rFonts w:hint="eastAsia"/>
                <w:color w:val="auto"/>
              </w:rPr>
              <w:t>生产车间</w:t>
            </w:r>
          </w:p>
        </w:tc>
        <w:tc>
          <w:tcPr>
            <w:tcW w:w="1058" w:type="pct"/>
            <w:vAlign w:val="center"/>
          </w:tcPr>
          <w:p w14:paraId="4C668CED">
            <w:pPr>
              <w:pStyle w:val="129"/>
              <w:widowControl w:val="0"/>
              <w:rPr>
                <w:color w:val="auto"/>
              </w:rPr>
            </w:pPr>
            <w:r>
              <w:rPr>
                <w:rFonts w:hint="eastAsia"/>
                <w:color w:val="auto"/>
              </w:rPr>
              <w:t>含氯化铝废酸液</w:t>
            </w:r>
          </w:p>
        </w:tc>
        <w:tc>
          <w:tcPr>
            <w:tcW w:w="1222" w:type="pct"/>
            <w:vAlign w:val="center"/>
          </w:tcPr>
          <w:p w14:paraId="153937B1">
            <w:pPr>
              <w:pStyle w:val="129"/>
              <w:widowControl w:val="0"/>
              <w:rPr>
                <w:color w:val="auto"/>
              </w:rPr>
            </w:pPr>
            <w:r>
              <w:rPr>
                <w:rFonts w:hint="eastAsia"/>
                <w:color w:val="auto"/>
              </w:rPr>
              <w:t>1座50m</w:t>
            </w:r>
            <w:r>
              <w:rPr>
                <w:rFonts w:hint="eastAsia"/>
                <w:color w:val="auto"/>
                <w:vertAlign w:val="superscript"/>
              </w:rPr>
              <w:t>3</w:t>
            </w:r>
            <w:r>
              <w:rPr>
                <w:rFonts w:hint="eastAsia"/>
                <w:color w:val="auto"/>
              </w:rPr>
              <w:t>储罐</w:t>
            </w:r>
          </w:p>
        </w:tc>
        <w:tc>
          <w:tcPr>
            <w:tcW w:w="962" w:type="pct"/>
            <w:vAlign w:val="center"/>
          </w:tcPr>
          <w:p w14:paraId="4F1A41BD">
            <w:pPr>
              <w:pStyle w:val="129"/>
              <w:widowControl w:val="0"/>
              <w:rPr>
                <w:color w:val="auto"/>
              </w:rPr>
            </w:pPr>
            <w:r>
              <w:rPr>
                <w:color w:val="auto"/>
              </w:rPr>
              <w:t>1.89</w:t>
            </w:r>
          </w:p>
        </w:tc>
      </w:tr>
      <w:tr w14:paraId="6977C6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136D7735">
            <w:pPr>
              <w:pStyle w:val="129"/>
              <w:widowControl w:val="0"/>
              <w:rPr>
                <w:color w:val="auto"/>
              </w:rPr>
            </w:pPr>
            <w:r>
              <w:rPr>
                <w:rFonts w:hint="eastAsia"/>
                <w:color w:val="auto"/>
              </w:rPr>
              <w:t>19</w:t>
            </w:r>
          </w:p>
        </w:tc>
        <w:tc>
          <w:tcPr>
            <w:tcW w:w="1408" w:type="pct"/>
            <w:vAlign w:val="center"/>
          </w:tcPr>
          <w:p w14:paraId="6982EE90">
            <w:pPr>
              <w:pStyle w:val="129"/>
              <w:widowControl w:val="0"/>
              <w:rPr>
                <w:color w:val="auto"/>
              </w:rPr>
            </w:pPr>
            <w:r>
              <w:rPr>
                <w:rFonts w:hint="eastAsia"/>
                <w:color w:val="auto"/>
              </w:rPr>
              <w:t>生产车间</w:t>
            </w:r>
          </w:p>
        </w:tc>
        <w:tc>
          <w:tcPr>
            <w:tcW w:w="1058" w:type="pct"/>
            <w:vAlign w:val="center"/>
          </w:tcPr>
          <w:p w14:paraId="5F0700FF">
            <w:pPr>
              <w:pStyle w:val="129"/>
              <w:widowControl w:val="0"/>
              <w:rPr>
                <w:color w:val="auto"/>
              </w:rPr>
            </w:pPr>
            <w:r>
              <w:rPr>
                <w:rFonts w:hint="eastAsia"/>
                <w:color w:val="auto"/>
              </w:rPr>
              <w:t>含硝酸铝废酸液</w:t>
            </w:r>
          </w:p>
        </w:tc>
        <w:tc>
          <w:tcPr>
            <w:tcW w:w="1222" w:type="pct"/>
            <w:vAlign w:val="center"/>
          </w:tcPr>
          <w:p w14:paraId="2ABE2C0D">
            <w:pPr>
              <w:pStyle w:val="129"/>
              <w:widowControl w:val="0"/>
              <w:rPr>
                <w:color w:val="auto"/>
              </w:rPr>
            </w:pPr>
            <w:r>
              <w:rPr>
                <w:rFonts w:hint="eastAsia"/>
                <w:color w:val="auto"/>
              </w:rPr>
              <w:t>1座1000m</w:t>
            </w:r>
            <w:r>
              <w:rPr>
                <w:rFonts w:hint="eastAsia"/>
                <w:color w:val="auto"/>
                <w:vertAlign w:val="superscript"/>
              </w:rPr>
              <w:t>3</w:t>
            </w:r>
            <w:r>
              <w:rPr>
                <w:rFonts w:hint="eastAsia"/>
                <w:color w:val="auto"/>
              </w:rPr>
              <w:t>储罐</w:t>
            </w:r>
          </w:p>
        </w:tc>
        <w:tc>
          <w:tcPr>
            <w:tcW w:w="962" w:type="pct"/>
            <w:vAlign w:val="center"/>
          </w:tcPr>
          <w:p w14:paraId="5CACBA66">
            <w:pPr>
              <w:pStyle w:val="129"/>
              <w:widowControl w:val="0"/>
              <w:rPr>
                <w:color w:val="auto"/>
              </w:rPr>
            </w:pPr>
            <w:r>
              <w:rPr>
                <w:color w:val="auto"/>
              </w:rPr>
              <w:t>48.36</w:t>
            </w:r>
          </w:p>
        </w:tc>
      </w:tr>
      <w:tr w14:paraId="336E66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3304289A">
            <w:pPr>
              <w:pStyle w:val="129"/>
              <w:widowControl w:val="0"/>
              <w:rPr>
                <w:color w:val="auto"/>
              </w:rPr>
            </w:pPr>
            <w:r>
              <w:rPr>
                <w:rFonts w:hint="eastAsia"/>
                <w:color w:val="auto"/>
              </w:rPr>
              <w:t>20</w:t>
            </w:r>
          </w:p>
        </w:tc>
        <w:tc>
          <w:tcPr>
            <w:tcW w:w="1408" w:type="pct"/>
            <w:vAlign w:val="center"/>
          </w:tcPr>
          <w:p w14:paraId="41967017">
            <w:pPr>
              <w:pStyle w:val="129"/>
              <w:widowControl w:val="0"/>
              <w:rPr>
                <w:color w:val="auto"/>
              </w:rPr>
            </w:pPr>
            <w:r>
              <w:rPr>
                <w:rFonts w:hint="eastAsia"/>
                <w:color w:val="auto"/>
              </w:rPr>
              <w:t>生产车间</w:t>
            </w:r>
          </w:p>
        </w:tc>
        <w:tc>
          <w:tcPr>
            <w:tcW w:w="1058" w:type="pct"/>
            <w:vAlign w:val="center"/>
          </w:tcPr>
          <w:p w14:paraId="4356FB85">
            <w:pPr>
              <w:pStyle w:val="129"/>
              <w:widowControl w:val="0"/>
              <w:rPr>
                <w:color w:val="auto"/>
              </w:rPr>
            </w:pPr>
            <w:r>
              <w:rPr>
                <w:rFonts w:hint="eastAsia"/>
                <w:color w:val="auto"/>
              </w:rPr>
              <w:t>折为20%氨水</w:t>
            </w:r>
          </w:p>
        </w:tc>
        <w:tc>
          <w:tcPr>
            <w:tcW w:w="1222" w:type="pct"/>
            <w:vAlign w:val="center"/>
          </w:tcPr>
          <w:p w14:paraId="7AFBFCFF">
            <w:pPr>
              <w:pStyle w:val="129"/>
              <w:widowControl w:val="0"/>
              <w:rPr>
                <w:color w:val="auto"/>
              </w:rPr>
            </w:pPr>
            <w:r>
              <w:rPr>
                <w:rFonts w:hint="eastAsia"/>
                <w:color w:val="auto"/>
              </w:rPr>
              <w:t>1座1000m</w:t>
            </w:r>
            <w:r>
              <w:rPr>
                <w:rFonts w:hint="eastAsia"/>
                <w:color w:val="auto"/>
                <w:vertAlign w:val="superscript"/>
              </w:rPr>
              <w:t>3</w:t>
            </w:r>
            <w:r>
              <w:rPr>
                <w:rFonts w:hint="eastAsia"/>
                <w:color w:val="auto"/>
              </w:rPr>
              <w:t>储罐</w:t>
            </w:r>
          </w:p>
        </w:tc>
        <w:tc>
          <w:tcPr>
            <w:tcW w:w="962" w:type="pct"/>
            <w:vAlign w:val="center"/>
          </w:tcPr>
          <w:p w14:paraId="3025C11E">
            <w:pPr>
              <w:pStyle w:val="129"/>
              <w:widowControl w:val="0"/>
              <w:rPr>
                <w:color w:val="auto"/>
              </w:rPr>
            </w:pPr>
            <w:r>
              <w:rPr>
                <w:rFonts w:hint="eastAsia"/>
                <w:color w:val="auto"/>
              </w:rPr>
              <w:t>701.25</w:t>
            </w:r>
          </w:p>
        </w:tc>
      </w:tr>
      <w:tr w14:paraId="1043D8A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2D68BF33">
            <w:pPr>
              <w:pStyle w:val="129"/>
              <w:widowControl w:val="0"/>
              <w:rPr>
                <w:color w:val="auto"/>
              </w:rPr>
            </w:pPr>
            <w:r>
              <w:rPr>
                <w:rFonts w:hint="eastAsia"/>
                <w:color w:val="auto"/>
              </w:rPr>
              <w:t>21</w:t>
            </w:r>
          </w:p>
        </w:tc>
        <w:tc>
          <w:tcPr>
            <w:tcW w:w="1408" w:type="pct"/>
            <w:vAlign w:val="center"/>
          </w:tcPr>
          <w:p w14:paraId="267BCD23">
            <w:pPr>
              <w:pStyle w:val="129"/>
              <w:widowControl w:val="0"/>
              <w:rPr>
                <w:color w:val="auto"/>
              </w:rPr>
            </w:pPr>
            <w:r>
              <w:rPr>
                <w:rFonts w:hint="eastAsia"/>
                <w:color w:val="auto"/>
              </w:rPr>
              <w:t>成品库</w:t>
            </w:r>
          </w:p>
        </w:tc>
        <w:tc>
          <w:tcPr>
            <w:tcW w:w="1058" w:type="pct"/>
            <w:vAlign w:val="center"/>
          </w:tcPr>
          <w:p w14:paraId="767987BC">
            <w:pPr>
              <w:pStyle w:val="129"/>
              <w:widowControl w:val="0"/>
              <w:rPr>
                <w:color w:val="auto"/>
              </w:rPr>
            </w:pPr>
            <w:r>
              <w:rPr>
                <w:rFonts w:hint="eastAsia"/>
                <w:color w:val="auto"/>
              </w:rPr>
              <w:t>硫酸铵</w:t>
            </w:r>
          </w:p>
        </w:tc>
        <w:tc>
          <w:tcPr>
            <w:tcW w:w="1222" w:type="pct"/>
            <w:vAlign w:val="center"/>
          </w:tcPr>
          <w:p w14:paraId="2F593733">
            <w:pPr>
              <w:pStyle w:val="129"/>
              <w:widowControl w:val="0"/>
              <w:rPr>
                <w:color w:val="auto"/>
              </w:rPr>
            </w:pPr>
            <w:r>
              <w:rPr>
                <w:rFonts w:hint="eastAsia"/>
                <w:color w:val="auto"/>
              </w:rPr>
              <w:t>袋装</w:t>
            </w:r>
          </w:p>
        </w:tc>
        <w:tc>
          <w:tcPr>
            <w:tcW w:w="962" w:type="pct"/>
            <w:vAlign w:val="center"/>
          </w:tcPr>
          <w:p w14:paraId="0CA77BC4">
            <w:pPr>
              <w:pStyle w:val="129"/>
              <w:widowControl w:val="0"/>
              <w:rPr>
                <w:color w:val="auto"/>
              </w:rPr>
            </w:pPr>
            <w:r>
              <w:rPr>
                <w:color w:val="auto"/>
              </w:rPr>
              <w:t>2</w:t>
            </w:r>
            <w:r>
              <w:rPr>
                <w:rFonts w:hint="eastAsia"/>
                <w:color w:val="auto"/>
              </w:rPr>
              <w:t>00</w:t>
            </w:r>
          </w:p>
        </w:tc>
      </w:tr>
      <w:tr w14:paraId="3116C1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1" w:hRule="atLeast"/>
        </w:trPr>
        <w:tc>
          <w:tcPr>
            <w:tcW w:w="350" w:type="pct"/>
            <w:vAlign w:val="center"/>
          </w:tcPr>
          <w:p w14:paraId="15DC7A2F">
            <w:pPr>
              <w:pStyle w:val="129"/>
              <w:widowControl w:val="0"/>
              <w:rPr>
                <w:color w:val="auto"/>
              </w:rPr>
            </w:pPr>
            <w:r>
              <w:rPr>
                <w:rFonts w:hint="eastAsia"/>
                <w:color w:val="auto"/>
              </w:rPr>
              <w:t>22</w:t>
            </w:r>
          </w:p>
        </w:tc>
        <w:tc>
          <w:tcPr>
            <w:tcW w:w="1408" w:type="pct"/>
            <w:vAlign w:val="center"/>
          </w:tcPr>
          <w:p w14:paraId="464810ED">
            <w:pPr>
              <w:pStyle w:val="129"/>
              <w:widowControl w:val="0"/>
              <w:rPr>
                <w:color w:val="auto"/>
              </w:rPr>
            </w:pPr>
            <w:r>
              <w:rPr>
                <w:rFonts w:hint="eastAsia"/>
                <w:color w:val="auto"/>
              </w:rPr>
              <w:t>成品库</w:t>
            </w:r>
          </w:p>
        </w:tc>
        <w:tc>
          <w:tcPr>
            <w:tcW w:w="1058" w:type="pct"/>
            <w:vAlign w:val="center"/>
          </w:tcPr>
          <w:p w14:paraId="55BE223F">
            <w:pPr>
              <w:pStyle w:val="129"/>
              <w:widowControl w:val="0"/>
              <w:rPr>
                <w:color w:val="auto"/>
              </w:rPr>
            </w:pPr>
            <w:r>
              <w:rPr>
                <w:rFonts w:hint="eastAsia"/>
                <w:color w:val="auto"/>
              </w:rPr>
              <w:t>脱硝催化剂</w:t>
            </w:r>
          </w:p>
        </w:tc>
        <w:tc>
          <w:tcPr>
            <w:tcW w:w="1222" w:type="pct"/>
            <w:vAlign w:val="center"/>
          </w:tcPr>
          <w:p w14:paraId="7A34B608">
            <w:pPr>
              <w:pStyle w:val="129"/>
              <w:widowControl w:val="0"/>
              <w:rPr>
                <w:color w:val="auto"/>
              </w:rPr>
            </w:pPr>
            <w:r>
              <w:rPr>
                <w:rFonts w:hint="eastAsia"/>
                <w:color w:val="auto"/>
              </w:rPr>
              <w:t>桶装库房</w:t>
            </w:r>
          </w:p>
        </w:tc>
        <w:tc>
          <w:tcPr>
            <w:tcW w:w="962" w:type="pct"/>
            <w:vAlign w:val="center"/>
          </w:tcPr>
          <w:p w14:paraId="5338475E">
            <w:pPr>
              <w:pStyle w:val="129"/>
              <w:widowControl w:val="0"/>
              <w:rPr>
                <w:color w:val="auto"/>
              </w:rPr>
            </w:pPr>
            <w:r>
              <w:rPr>
                <w:color w:val="auto"/>
              </w:rPr>
              <w:t>13.51</w:t>
            </w:r>
          </w:p>
        </w:tc>
      </w:tr>
    </w:tbl>
    <w:p w14:paraId="511301F1">
      <w:pPr>
        <w:pStyle w:val="1304"/>
        <w:rPr>
          <w:color w:val="auto"/>
        </w:rPr>
      </w:pPr>
    </w:p>
    <w:p w14:paraId="613E60AD">
      <w:pPr>
        <w:pStyle w:val="4"/>
        <w:rPr>
          <w:color w:val="auto"/>
        </w:rPr>
      </w:pPr>
      <w:r>
        <w:rPr>
          <w:rFonts w:hint="eastAsia"/>
          <w:color w:val="auto"/>
        </w:rPr>
        <w:t>环境敏感目标调查</w:t>
      </w:r>
    </w:p>
    <w:p w14:paraId="310FBCCB">
      <w:pPr>
        <w:pStyle w:val="132"/>
        <w:rPr>
          <w:color w:val="auto"/>
        </w:rPr>
      </w:pPr>
      <w:r>
        <w:rPr>
          <w:rFonts w:hint="eastAsia"/>
          <w:color w:val="auto"/>
        </w:rPr>
        <w:t>本项目位于乌鲁木齐甘泉堡经济技术开发区（工业区）化工园区，周边主要是工业企业，主要的环境敏感目标分布情况见表7.2-2。</w:t>
      </w:r>
    </w:p>
    <w:p w14:paraId="43CA7975">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环境风险敏感目标调查一览表</w:t>
      </w:r>
    </w:p>
    <w:tbl>
      <w:tblPr>
        <w:tblStyle w:val="2399"/>
        <w:tblW w:w="5017"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1204"/>
        <w:gridCol w:w="756"/>
        <w:gridCol w:w="1954"/>
        <w:gridCol w:w="1352"/>
        <w:gridCol w:w="1201"/>
        <w:gridCol w:w="1201"/>
        <w:gridCol w:w="1148"/>
      </w:tblGrid>
      <w:tr w14:paraId="4B84623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Align w:val="center"/>
          </w:tcPr>
          <w:p w14:paraId="49A262CF">
            <w:pPr>
              <w:pStyle w:val="129"/>
              <w:widowControl w:val="0"/>
              <w:rPr>
                <w:rFonts w:eastAsia="Times New Roman"/>
                <w:color w:val="auto"/>
              </w:rPr>
            </w:pPr>
            <w:r>
              <w:rPr>
                <w:rFonts w:hint="eastAsia" w:ascii="宋体" w:hAnsi="宋体" w:eastAsia="Times New Roman" w:cs="宋体"/>
                <w:color w:val="auto"/>
              </w:rPr>
              <w:t>类别</w:t>
            </w:r>
          </w:p>
        </w:tc>
        <w:tc>
          <w:tcPr>
            <w:tcW w:w="7196" w:type="dxa"/>
            <w:gridSpan w:val="6"/>
            <w:vAlign w:val="center"/>
          </w:tcPr>
          <w:p w14:paraId="75B568DA">
            <w:pPr>
              <w:pStyle w:val="129"/>
              <w:widowControl w:val="0"/>
              <w:rPr>
                <w:rFonts w:eastAsia="Times New Roman"/>
                <w:color w:val="auto"/>
              </w:rPr>
            </w:pPr>
            <w:r>
              <w:rPr>
                <w:rFonts w:hint="eastAsia" w:ascii="宋体" w:hAnsi="宋体" w:eastAsia="Times New Roman" w:cs="宋体"/>
                <w:color w:val="auto"/>
              </w:rPr>
              <w:t>环境敏感特征</w:t>
            </w:r>
          </w:p>
        </w:tc>
      </w:tr>
      <w:tr w14:paraId="184641F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restart"/>
            <w:vAlign w:val="center"/>
          </w:tcPr>
          <w:p w14:paraId="30B99F7E">
            <w:pPr>
              <w:pStyle w:val="129"/>
              <w:widowControl w:val="0"/>
              <w:rPr>
                <w:rFonts w:eastAsia="Times New Roman"/>
                <w:color w:val="auto"/>
              </w:rPr>
            </w:pPr>
            <w:r>
              <w:rPr>
                <w:rFonts w:hint="eastAsia" w:ascii="宋体" w:hAnsi="宋体" w:eastAsia="Times New Roman" w:cs="宋体"/>
                <w:color w:val="auto"/>
              </w:rPr>
              <w:t>大气环境</w:t>
            </w:r>
          </w:p>
        </w:tc>
        <w:tc>
          <w:tcPr>
            <w:tcW w:w="7196" w:type="dxa"/>
            <w:gridSpan w:val="6"/>
            <w:vAlign w:val="center"/>
          </w:tcPr>
          <w:p w14:paraId="5C287CBD">
            <w:pPr>
              <w:pStyle w:val="129"/>
              <w:widowControl w:val="0"/>
              <w:rPr>
                <w:rFonts w:eastAsia="Times New Roman"/>
                <w:color w:val="auto"/>
              </w:rPr>
            </w:pPr>
            <w:r>
              <w:rPr>
                <w:rFonts w:hint="eastAsia" w:ascii="宋体" w:hAnsi="宋体" w:eastAsia="Times New Roman" w:cs="宋体"/>
                <w:color w:val="auto"/>
              </w:rPr>
              <w:t>厂址周边</w:t>
            </w:r>
            <w:r>
              <w:rPr>
                <w:rFonts w:hint="eastAsia" w:eastAsia="Times New Roman"/>
                <w:color w:val="auto"/>
              </w:rPr>
              <w:t>5km</w:t>
            </w:r>
            <w:r>
              <w:rPr>
                <w:rFonts w:hint="eastAsia" w:ascii="宋体" w:hAnsi="宋体" w:eastAsia="Times New Roman" w:cs="宋体"/>
                <w:color w:val="auto"/>
              </w:rPr>
              <w:t>范围内</w:t>
            </w:r>
          </w:p>
        </w:tc>
      </w:tr>
      <w:tr w14:paraId="141C475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5A5C87E0">
            <w:pPr>
              <w:pStyle w:val="129"/>
              <w:widowControl w:val="0"/>
              <w:rPr>
                <w:rFonts w:eastAsia="Times New Roman"/>
                <w:color w:val="auto"/>
              </w:rPr>
            </w:pPr>
          </w:p>
        </w:tc>
        <w:tc>
          <w:tcPr>
            <w:tcW w:w="714" w:type="dxa"/>
            <w:vAlign w:val="center"/>
          </w:tcPr>
          <w:p w14:paraId="2AD58799">
            <w:pPr>
              <w:pStyle w:val="129"/>
              <w:widowControl w:val="0"/>
              <w:rPr>
                <w:rFonts w:eastAsia="Times New Roman"/>
                <w:color w:val="auto"/>
              </w:rPr>
            </w:pPr>
            <w:r>
              <w:rPr>
                <w:rFonts w:hint="eastAsia" w:ascii="宋体" w:hAnsi="宋体" w:eastAsia="Times New Roman" w:cs="宋体"/>
                <w:color w:val="auto"/>
              </w:rPr>
              <w:t>序号</w:t>
            </w:r>
          </w:p>
        </w:tc>
        <w:tc>
          <w:tcPr>
            <w:tcW w:w="1847" w:type="dxa"/>
            <w:vAlign w:val="center"/>
          </w:tcPr>
          <w:p w14:paraId="5CBFCFA6">
            <w:pPr>
              <w:pStyle w:val="129"/>
              <w:widowControl w:val="0"/>
              <w:rPr>
                <w:rFonts w:eastAsia="Times New Roman"/>
                <w:color w:val="auto"/>
              </w:rPr>
            </w:pPr>
            <w:r>
              <w:rPr>
                <w:rFonts w:hint="eastAsia" w:ascii="宋体" w:hAnsi="宋体" w:eastAsia="Times New Roman" w:cs="宋体"/>
                <w:color w:val="auto"/>
              </w:rPr>
              <w:t>敏感目标名称</w:t>
            </w:r>
          </w:p>
        </w:tc>
        <w:tc>
          <w:tcPr>
            <w:tcW w:w="1278" w:type="dxa"/>
            <w:vAlign w:val="center"/>
          </w:tcPr>
          <w:p w14:paraId="458DEFB1">
            <w:pPr>
              <w:pStyle w:val="129"/>
              <w:widowControl w:val="0"/>
              <w:rPr>
                <w:rFonts w:eastAsia="Times New Roman"/>
                <w:color w:val="auto"/>
              </w:rPr>
            </w:pPr>
            <w:r>
              <w:rPr>
                <w:rFonts w:hint="eastAsia" w:ascii="宋体" w:hAnsi="宋体" w:eastAsia="Times New Roman" w:cs="宋体"/>
                <w:color w:val="auto"/>
              </w:rPr>
              <w:t>相对方位</w:t>
            </w:r>
          </w:p>
        </w:tc>
        <w:tc>
          <w:tcPr>
            <w:tcW w:w="1136" w:type="dxa"/>
            <w:vAlign w:val="center"/>
          </w:tcPr>
          <w:p w14:paraId="713131B7">
            <w:pPr>
              <w:pStyle w:val="129"/>
              <w:widowControl w:val="0"/>
              <w:rPr>
                <w:rFonts w:eastAsia="Times New Roman"/>
                <w:color w:val="auto"/>
              </w:rPr>
            </w:pPr>
            <w:r>
              <w:rPr>
                <w:rFonts w:hint="eastAsia" w:ascii="宋体" w:hAnsi="宋体" w:eastAsia="Times New Roman" w:cs="宋体"/>
                <w:color w:val="auto"/>
              </w:rPr>
              <w:t>距离</w:t>
            </w:r>
            <w:r>
              <w:rPr>
                <w:rFonts w:hint="eastAsia" w:eastAsia="Times New Roman"/>
                <w:color w:val="auto"/>
              </w:rPr>
              <w:t>/m</w:t>
            </w:r>
          </w:p>
        </w:tc>
        <w:tc>
          <w:tcPr>
            <w:tcW w:w="1136" w:type="dxa"/>
            <w:vAlign w:val="center"/>
          </w:tcPr>
          <w:p w14:paraId="074D2036">
            <w:pPr>
              <w:pStyle w:val="129"/>
              <w:widowControl w:val="0"/>
              <w:rPr>
                <w:rFonts w:eastAsia="Times New Roman"/>
                <w:color w:val="auto"/>
              </w:rPr>
            </w:pPr>
            <w:r>
              <w:rPr>
                <w:rFonts w:hint="eastAsia" w:ascii="宋体" w:hAnsi="宋体" w:eastAsia="Times New Roman" w:cs="宋体"/>
                <w:color w:val="auto"/>
              </w:rPr>
              <w:t>属性</w:t>
            </w:r>
          </w:p>
        </w:tc>
        <w:tc>
          <w:tcPr>
            <w:tcW w:w="1085" w:type="dxa"/>
            <w:vAlign w:val="center"/>
          </w:tcPr>
          <w:p w14:paraId="34D96C4B">
            <w:pPr>
              <w:pStyle w:val="129"/>
              <w:widowControl w:val="0"/>
              <w:rPr>
                <w:rFonts w:eastAsia="Times New Roman"/>
                <w:color w:val="auto"/>
              </w:rPr>
            </w:pPr>
            <w:r>
              <w:rPr>
                <w:rFonts w:hint="eastAsia" w:ascii="宋体" w:hAnsi="宋体" w:eastAsia="Times New Roman" w:cs="宋体"/>
                <w:color w:val="auto"/>
              </w:rPr>
              <w:t>人口数</w:t>
            </w:r>
          </w:p>
        </w:tc>
      </w:tr>
      <w:tr w14:paraId="15A2A70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1BE8F8F9">
            <w:pPr>
              <w:pStyle w:val="129"/>
              <w:widowControl w:val="0"/>
              <w:rPr>
                <w:rFonts w:eastAsia="Times New Roman"/>
                <w:color w:val="auto"/>
              </w:rPr>
            </w:pPr>
          </w:p>
        </w:tc>
        <w:tc>
          <w:tcPr>
            <w:tcW w:w="714" w:type="dxa"/>
            <w:vAlign w:val="center"/>
          </w:tcPr>
          <w:p w14:paraId="53A41650">
            <w:pPr>
              <w:pStyle w:val="129"/>
              <w:widowControl w:val="0"/>
              <w:rPr>
                <w:rFonts w:eastAsia="Times New Roman"/>
                <w:color w:val="auto"/>
              </w:rPr>
            </w:pPr>
            <w:r>
              <w:rPr>
                <w:rFonts w:hint="eastAsia" w:eastAsia="Times New Roman"/>
                <w:color w:val="auto"/>
              </w:rPr>
              <w:t>1</w:t>
            </w:r>
          </w:p>
        </w:tc>
        <w:tc>
          <w:tcPr>
            <w:tcW w:w="1847" w:type="dxa"/>
            <w:vAlign w:val="center"/>
          </w:tcPr>
          <w:p w14:paraId="58F8DB32">
            <w:pPr>
              <w:pStyle w:val="129"/>
              <w:widowControl w:val="0"/>
              <w:rPr>
                <w:rFonts w:eastAsia="Times New Roman"/>
                <w:color w:val="auto"/>
              </w:rPr>
            </w:pPr>
            <w:r>
              <w:rPr>
                <w:rFonts w:hint="eastAsia" w:eastAsia="Times New Roman"/>
                <w:color w:val="auto"/>
              </w:rPr>
              <w:t>137</w:t>
            </w:r>
            <w:r>
              <w:rPr>
                <w:rFonts w:hint="eastAsia" w:ascii="宋体" w:hAnsi="宋体" w:eastAsia="Times New Roman" w:cs="宋体"/>
                <w:color w:val="auto"/>
              </w:rPr>
              <w:t>中</w:t>
            </w:r>
          </w:p>
        </w:tc>
        <w:tc>
          <w:tcPr>
            <w:tcW w:w="1278" w:type="dxa"/>
            <w:vAlign w:val="center"/>
          </w:tcPr>
          <w:p w14:paraId="5DFDE8BA">
            <w:pPr>
              <w:pStyle w:val="129"/>
              <w:widowControl w:val="0"/>
              <w:rPr>
                <w:rFonts w:eastAsia="Times New Roman"/>
                <w:color w:val="auto"/>
              </w:rPr>
            </w:pPr>
            <w:r>
              <w:rPr>
                <w:rFonts w:hint="eastAsia" w:eastAsia="Times New Roman"/>
                <w:color w:val="auto"/>
              </w:rPr>
              <w:t>N</w:t>
            </w:r>
          </w:p>
        </w:tc>
        <w:tc>
          <w:tcPr>
            <w:tcW w:w="1136" w:type="dxa"/>
            <w:vAlign w:val="center"/>
          </w:tcPr>
          <w:p w14:paraId="70D6000F">
            <w:pPr>
              <w:pStyle w:val="129"/>
              <w:widowControl w:val="0"/>
              <w:rPr>
                <w:rFonts w:eastAsia="Times New Roman"/>
                <w:color w:val="auto"/>
              </w:rPr>
            </w:pPr>
            <w:r>
              <w:rPr>
                <w:rFonts w:hint="eastAsia" w:eastAsia="Times New Roman"/>
                <w:color w:val="auto"/>
              </w:rPr>
              <w:t>2000</w:t>
            </w:r>
          </w:p>
        </w:tc>
        <w:tc>
          <w:tcPr>
            <w:tcW w:w="1136" w:type="dxa"/>
            <w:vAlign w:val="center"/>
          </w:tcPr>
          <w:p w14:paraId="5CCD2D25">
            <w:pPr>
              <w:pStyle w:val="129"/>
              <w:widowControl w:val="0"/>
              <w:rPr>
                <w:rFonts w:eastAsia="Times New Roman"/>
                <w:color w:val="auto"/>
              </w:rPr>
            </w:pPr>
            <w:r>
              <w:rPr>
                <w:rFonts w:hint="eastAsia" w:ascii="宋体" w:hAnsi="宋体" w:eastAsia="Times New Roman" w:cs="宋体"/>
                <w:color w:val="auto"/>
              </w:rPr>
              <w:t>学校</w:t>
            </w:r>
          </w:p>
        </w:tc>
        <w:tc>
          <w:tcPr>
            <w:tcW w:w="1085" w:type="dxa"/>
            <w:vAlign w:val="center"/>
          </w:tcPr>
          <w:p w14:paraId="4649BB49">
            <w:pPr>
              <w:pStyle w:val="129"/>
              <w:widowControl w:val="0"/>
              <w:rPr>
                <w:rFonts w:eastAsia="Times New Roman"/>
                <w:color w:val="auto"/>
              </w:rPr>
            </w:pPr>
            <w:r>
              <w:rPr>
                <w:rFonts w:hint="eastAsia" w:eastAsia="Times New Roman"/>
                <w:color w:val="auto"/>
              </w:rPr>
              <w:t>1200</w:t>
            </w:r>
          </w:p>
        </w:tc>
      </w:tr>
      <w:tr w14:paraId="19DB0AD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1BED8FC8">
            <w:pPr>
              <w:pStyle w:val="129"/>
              <w:widowControl w:val="0"/>
              <w:rPr>
                <w:rFonts w:eastAsia="Times New Roman"/>
                <w:color w:val="auto"/>
              </w:rPr>
            </w:pPr>
          </w:p>
        </w:tc>
        <w:tc>
          <w:tcPr>
            <w:tcW w:w="714" w:type="dxa"/>
            <w:vAlign w:val="center"/>
          </w:tcPr>
          <w:p w14:paraId="03B1AAE6">
            <w:pPr>
              <w:pStyle w:val="129"/>
              <w:widowControl w:val="0"/>
              <w:rPr>
                <w:rFonts w:eastAsia="Times New Roman"/>
                <w:color w:val="auto"/>
              </w:rPr>
            </w:pPr>
            <w:r>
              <w:rPr>
                <w:rFonts w:hint="eastAsia" w:eastAsia="Times New Roman"/>
                <w:color w:val="auto"/>
              </w:rPr>
              <w:t>2</w:t>
            </w:r>
          </w:p>
        </w:tc>
        <w:tc>
          <w:tcPr>
            <w:tcW w:w="1847" w:type="dxa"/>
            <w:vAlign w:val="center"/>
          </w:tcPr>
          <w:p w14:paraId="51F5F8B8">
            <w:pPr>
              <w:pStyle w:val="129"/>
              <w:widowControl w:val="0"/>
              <w:rPr>
                <w:rFonts w:eastAsia="Times New Roman"/>
                <w:color w:val="auto"/>
              </w:rPr>
            </w:pPr>
            <w:r>
              <w:rPr>
                <w:rFonts w:hint="eastAsia" w:ascii="宋体" w:hAnsi="宋体" w:eastAsia="Times New Roman" w:cs="宋体"/>
                <w:color w:val="auto"/>
              </w:rPr>
              <w:t>新达社区</w:t>
            </w:r>
          </w:p>
        </w:tc>
        <w:tc>
          <w:tcPr>
            <w:tcW w:w="1278" w:type="dxa"/>
            <w:vAlign w:val="center"/>
          </w:tcPr>
          <w:p w14:paraId="64538967">
            <w:pPr>
              <w:pStyle w:val="129"/>
              <w:widowControl w:val="0"/>
              <w:rPr>
                <w:rFonts w:eastAsia="Times New Roman"/>
                <w:color w:val="auto"/>
              </w:rPr>
            </w:pPr>
            <w:r>
              <w:rPr>
                <w:rFonts w:hint="eastAsia" w:eastAsia="Times New Roman"/>
                <w:color w:val="auto"/>
              </w:rPr>
              <w:t>NE</w:t>
            </w:r>
          </w:p>
        </w:tc>
        <w:tc>
          <w:tcPr>
            <w:tcW w:w="1136" w:type="dxa"/>
            <w:vAlign w:val="center"/>
          </w:tcPr>
          <w:p w14:paraId="73CB1718">
            <w:pPr>
              <w:pStyle w:val="129"/>
              <w:widowControl w:val="0"/>
              <w:rPr>
                <w:rFonts w:eastAsia="Times New Roman"/>
                <w:color w:val="auto"/>
              </w:rPr>
            </w:pPr>
            <w:r>
              <w:rPr>
                <w:rFonts w:hint="eastAsia" w:eastAsia="Times New Roman"/>
                <w:color w:val="auto"/>
              </w:rPr>
              <w:t>2100</w:t>
            </w:r>
          </w:p>
        </w:tc>
        <w:tc>
          <w:tcPr>
            <w:tcW w:w="1136" w:type="dxa"/>
            <w:vAlign w:val="center"/>
          </w:tcPr>
          <w:p w14:paraId="5141FC63">
            <w:pPr>
              <w:pStyle w:val="129"/>
              <w:widowControl w:val="0"/>
              <w:rPr>
                <w:rFonts w:eastAsia="Times New Roman"/>
                <w:color w:val="auto"/>
              </w:rPr>
            </w:pPr>
            <w:r>
              <w:rPr>
                <w:rFonts w:hint="eastAsia" w:ascii="宋体" w:hAnsi="宋体" w:eastAsia="Times New Roman" w:cs="宋体"/>
                <w:color w:val="auto"/>
              </w:rPr>
              <w:t>人群聚集区</w:t>
            </w:r>
          </w:p>
        </w:tc>
        <w:tc>
          <w:tcPr>
            <w:tcW w:w="1085" w:type="dxa"/>
            <w:vAlign w:val="center"/>
          </w:tcPr>
          <w:p w14:paraId="6B7C47CA">
            <w:pPr>
              <w:pStyle w:val="129"/>
              <w:widowControl w:val="0"/>
              <w:rPr>
                <w:rFonts w:eastAsia="Times New Roman"/>
                <w:color w:val="auto"/>
              </w:rPr>
            </w:pPr>
            <w:r>
              <w:rPr>
                <w:rFonts w:hint="eastAsia" w:eastAsia="Times New Roman"/>
                <w:color w:val="auto"/>
              </w:rPr>
              <w:t>1512</w:t>
            </w:r>
          </w:p>
        </w:tc>
      </w:tr>
      <w:tr w14:paraId="55D1232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90" w:hRule="atLeast"/>
        </w:trPr>
        <w:tc>
          <w:tcPr>
            <w:tcW w:w="1139" w:type="dxa"/>
            <w:vMerge w:val="continue"/>
            <w:vAlign w:val="center"/>
          </w:tcPr>
          <w:p w14:paraId="033AC647">
            <w:pPr>
              <w:pStyle w:val="129"/>
              <w:widowControl w:val="0"/>
              <w:rPr>
                <w:rFonts w:eastAsia="Times New Roman"/>
                <w:color w:val="auto"/>
              </w:rPr>
            </w:pPr>
          </w:p>
        </w:tc>
        <w:tc>
          <w:tcPr>
            <w:tcW w:w="6111" w:type="dxa"/>
            <w:gridSpan w:val="5"/>
            <w:vAlign w:val="center"/>
          </w:tcPr>
          <w:p w14:paraId="00D536D0">
            <w:pPr>
              <w:pStyle w:val="129"/>
              <w:widowControl w:val="0"/>
              <w:rPr>
                <w:rFonts w:eastAsia="Times New Roman"/>
                <w:color w:val="auto"/>
              </w:rPr>
            </w:pPr>
            <w:r>
              <w:rPr>
                <w:rFonts w:hint="eastAsia" w:ascii="宋体" w:hAnsi="宋体" w:eastAsia="Times New Roman" w:cs="宋体"/>
                <w:color w:val="auto"/>
              </w:rPr>
              <w:t>厂址周边</w:t>
            </w:r>
            <w:r>
              <w:rPr>
                <w:rFonts w:hint="eastAsia" w:eastAsia="Times New Roman"/>
                <w:color w:val="auto"/>
              </w:rPr>
              <w:t>500m</w:t>
            </w:r>
            <w:r>
              <w:rPr>
                <w:rFonts w:hint="eastAsia" w:ascii="宋体" w:hAnsi="宋体" w:eastAsia="Times New Roman" w:cs="宋体"/>
                <w:color w:val="auto"/>
              </w:rPr>
              <w:t>范围内人口数小计</w:t>
            </w:r>
          </w:p>
        </w:tc>
        <w:tc>
          <w:tcPr>
            <w:tcW w:w="1085" w:type="dxa"/>
            <w:vAlign w:val="center"/>
          </w:tcPr>
          <w:p w14:paraId="0EA472B4">
            <w:pPr>
              <w:pStyle w:val="129"/>
              <w:widowControl w:val="0"/>
              <w:rPr>
                <w:rFonts w:eastAsia="Times New Roman"/>
                <w:color w:val="auto"/>
              </w:rPr>
            </w:pPr>
            <w:r>
              <w:rPr>
                <w:rFonts w:hint="eastAsia" w:eastAsia="Times New Roman"/>
                <w:color w:val="auto"/>
              </w:rPr>
              <w:t>0</w:t>
            </w:r>
          </w:p>
        </w:tc>
      </w:tr>
      <w:tr w14:paraId="431F7F5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533E459F">
            <w:pPr>
              <w:pStyle w:val="129"/>
              <w:widowControl w:val="0"/>
              <w:rPr>
                <w:rFonts w:eastAsia="Times New Roman"/>
                <w:color w:val="auto"/>
              </w:rPr>
            </w:pPr>
          </w:p>
        </w:tc>
        <w:tc>
          <w:tcPr>
            <w:tcW w:w="6111" w:type="dxa"/>
            <w:gridSpan w:val="5"/>
            <w:vAlign w:val="center"/>
          </w:tcPr>
          <w:p w14:paraId="1701C87E">
            <w:pPr>
              <w:pStyle w:val="129"/>
              <w:widowControl w:val="0"/>
              <w:rPr>
                <w:rFonts w:eastAsia="Times New Roman"/>
                <w:color w:val="auto"/>
              </w:rPr>
            </w:pPr>
            <w:r>
              <w:rPr>
                <w:rFonts w:hint="eastAsia" w:ascii="宋体" w:hAnsi="宋体" w:eastAsia="Times New Roman" w:cs="宋体"/>
                <w:color w:val="auto"/>
              </w:rPr>
              <w:t>厂址周边</w:t>
            </w:r>
            <w:r>
              <w:rPr>
                <w:rFonts w:hint="eastAsia" w:eastAsia="Times New Roman"/>
                <w:color w:val="auto"/>
              </w:rPr>
              <w:t>5000m</w:t>
            </w:r>
            <w:r>
              <w:rPr>
                <w:rFonts w:hint="eastAsia" w:ascii="宋体" w:hAnsi="宋体" w:eastAsia="Times New Roman" w:cs="宋体"/>
                <w:color w:val="auto"/>
              </w:rPr>
              <w:t>范围内人口数小计</w:t>
            </w:r>
          </w:p>
        </w:tc>
        <w:tc>
          <w:tcPr>
            <w:tcW w:w="1085" w:type="dxa"/>
            <w:vAlign w:val="center"/>
          </w:tcPr>
          <w:p w14:paraId="3A755A8C">
            <w:pPr>
              <w:pStyle w:val="129"/>
              <w:widowControl w:val="0"/>
              <w:rPr>
                <w:rFonts w:eastAsia="Times New Roman"/>
                <w:color w:val="auto"/>
              </w:rPr>
            </w:pPr>
            <w:r>
              <w:rPr>
                <w:rFonts w:hint="eastAsia" w:eastAsia="Times New Roman"/>
                <w:color w:val="auto"/>
              </w:rPr>
              <w:t>2712</w:t>
            </w:r>
          </w:p>
        </w:tc>
      </w:tr>
      <w:tr w14:paraId="0A90D9A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2A659F60">
            <w:pPr>
              <w:pStyle w:val="129"/>
              <w:widowControl w:val="0"/>
              <w:rPr>
                <w:rFonts w:eastAsia="Times New Roman"/>
                <w:color w:val="auto"/>
              </w:rPr>
            </w:pPr>
          </w:p>
        </w:tc>
        <w:tc>
          <w:tcPr>
            <w:tcW w:w="6111" w:type="dxa"/>
            <w:gridSpan w:val="5"/>
            <w:vAlign w:val="center"/>
          </w:tcPr>
          <w:p w14:paraId="179FED22">
            <w:pPr>
              <w:pStyle w:val="129"/>
              <w:widowControl w:val="0"/>
              <w:rPr>
                <w:rFonts w:eastAsia="Times New Roman"/>
                <w:color w:val="auto"/>
              </w:rPr>
            </w:pPr>
            <w:r>
              <w:rPr>
                <w:rFonts w:hint="eastAsia" w:ascii="宋体" w:hAnsi="宋体" w:eastAsia="Times New Roman" w:cs="宋体"/>
                <w:color w:val="auto"/>
              </w:rPr>
              <w:t>大气环境敏感程度</w:t>
            </w:r>
            <w:r>
              <w:rPr>
                <w:rFonts w:hint="eastAsia" w:eastAsia="Times New Roman"/>
                <w:color w:val="auto"/>
              </w:rPr>
              <w:t>E</w:t>
            </w:r>
            <w:r>
              <w:rPr>
                <w:rFonts w:hint="eastAsia" w:ascii="宋体" w:hAnsi="宋体" w:eastAsia="Times New Roman" w:cs="宋体"/>
                <w:color w:val="auto"/>
              </w:rPr>
              <w:t>值</w:t>
            </w:r>
          </w:p>
        </w:tc>
        <w:tc>
          <w:tcPr>
            <w:tcW w:w="1085" w:type="dxa"/>
            <w:vAlign w:val="center"/>
          </w:tcPr>
          <w:p w14:paraId="6D590139">
            <w:pPr>
              <w:pStyle w:val="129"/>
              <w:widowControl w:val="0"/>
              <w:rPr>
                <w:rFonts w:eastAsia="Times New Roman"/>
                <w:color w:val="auto"/>
              </w:rPr>
            </w:pPr>
            <w:r>
              <w:rPr>
                <w:rFonts w:eastAsia="Times New Roman"/>
                <w:color w:val="auto"/>
              </w:rPr>
              <w:t>E</w:t>
            </w:r>
            <w:r>
              <w:rPr>
                <w:rFonts w:hint="eastAsia" w:eastAsia="Times New Roman"/>
                <w:color w:val="auto"/>
              </w:rPr>
              <w:t>2</w:t>
            </w:r>
          </w:p>
        </w:tc>
      </w:tr>
      <w:tr w14:paraId="4CDDAE8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restart"/>
            <w:vAlign w:val="center"/>
          </w:tcPr>
          <w:p w14:paraId="71FB7FF6">
            <w:pPr>
              <w:pStyle w:val="129"/>
              <w:widowControl w:val="0"/>
              <w:rPr>
                <w:rFonts w:eastAsia="Times New Roman"/>
                <w:color w:val="auto"/>
              </w:rPr>
            </w:pPr>
            <w:r>
              <w:rPr>
                <w:rFonts w:hint="eastAsia" w:ascii="宋体" w:hAnsi="宋体" w:eastAsia="Times New Roman" w:cs="宋体"/>
                <w:color w:val="auto"/>
              </w:rPr>
              <w:t>地表水</w:t>
            </w:r>
          </w:p>
        </w:tc>
        <w:tc>
          <w:tcPr>
            <w:tcW w:w="7196" w:type="dxa"/>
            <w:gridSpan w:val="6"/>
            <w:vAlign w:val="center"/>
          </w:tcPr>
          <w:p w14:paraId="5868F075">
            <w:pPr>
              <w:pStyle w:val="129"/>
              <w:widowControl w:val="0"/>
              <w:rPr>
                <w:rFonts w:eastAsia="Times New Roman"/>
                <w:color w:val="auto"/>
              </w:rPr>
            </w:pPr>
            <w:r>
              <w:rPr>
                <w:rFonts w:hint="eastAsia" w:ascii="宋体" w:hAnsi="宋体" w:eastAsia="Times New Roman" w:cs="宋体"/>
                <w:color w:val="auto"/>
              </w:rPr>
              <w:t>受纳水体</w:t>
            </w:r>
          </w:p>
        </w:tc>
      </w:tr>
      <w:tr w14:paraId="25DC5D3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6F7CDB03">
            <w:pPr>
              <w:pStyle w:val="129"/>
              <w:widowControl w:val="0"/>
              <w:rPr>
                <w:rFonts w:eastAsia="Times New Roman"/>
                <w:color w:val="auto"/>
              </w:rPr>
            </w:pPr>
          </w:p>
        </w:tc>
        <w:tc>
          <w:tcPr>
            <w:tcW w:w="714" w:type="dxa"/>
            <w:vAlign w:val="center"/>
          </w:tcPr>
          <w:p w14:paraId="23EAF2DC">
            <w:pPr>
              <w:pStyle w:val="129"/>
              <w:widowControl w:val="0"/>
              <w:rPr>
                <w:rFonts w:eastAsia="Times New Roman"/>
                <w:color w:val="auto"/>
              </w:rPr>
            </w:pPr>
            <w:r>
              <w:rPr>
                <w:rFonts w:hint="eastAsia" w:ascii="宋体" w:hAnsi="宋体" w:eastAsia="Times New Roman" w:cs="宋体"/>
                <w:color w:val="auto"/>
              </w:rPr>
              <w:t>序号</w:t>
            </w:r>
          </w:p>
        </w:tc>
        <w:tc>
          <w:tcPr>
            <w:tcW w:w="1847" w:type="dxa"/>
            <w:vAlign w:val="center"/>
          </w:tcPr>
          <w:p w14:paraId="0773A3A3">
            <w:pPr>
              <w:pStyle w:val="129"/>
              <w:widowControl w:val="0"/>
              <w:rPr>
                <w:rFonts w:eastAsia="Times New Roman"/>
                <w:color w:val="auto"/>
              </w:rPr>
            </w:pPr>
            <w:r>
              <w:rPr>
                <w:rFonts w:hint="eastAsia" w:ascii="宋体" w:hAnsi="宋体" w:eastAsia="Times New Roman" w:cs="宋体"/>
                <w:color w:val="auto"/>
              </w:rPr>
              <w:t>受纳水体名称</w:t>
            </w:r>
          </w:p>
        </w:tc>
        <w:tc>
          <w:tcPr>
            <w:tcW w:w="2414" w:type="dxa"/>
            <w:gridSpan w:val="2"/>
            <w:vAlign w:val="center"/>
          </w:tcPr>
          <w:p w14:paraId="7A596327">
            <w:pPr>
              <w:pStyle w:val="129"/>
              <w:widowControl w:val="0"/>
              <w:rPr>
                <w:rFonts w:eastAsia="Times New Roman"/>
                <w:color w:val="auto"/>
              </w:rPr>
            </w:pPr>
            <w:r>
              <w:rPr>
                <w:rFonts w:hint="eastAsia" w:ascii="宋体" w:hAnsi="宋体" w:eastAsia="Times New Roman" w:cs="宋体"/>
                <w:color w:val="auto"/>
              </w:rPr>
              <w:t>排放点水域环境功能</w:t>
            </w:r>
          </w:p>
        </w:tc>
        <w:tc>
          <w:tcPr>
            <w:tcW w:w="2221" w:type="dxa"/>
            <w:gridSpan w:val="2"/>
            <w:vAlign w:val="center"/>
          </w:tcPr>
          <w:p w14:paraId="523DBF2F">
            <w:pPr>
              <w:pStyle w:val="129"/>
              <w:widowControl w:val="0"/>
              <w:rPr>
                <w:rFonts w:eastAsia="Times New Roman"/>
                <w:color w:val="auto"/>
              </w:rPr>
            </w:pPr>
            <w:r>
              <w:rPr>
                <w:rFonts w:hint="eastAsia" w:eastAsia="Times New Roman"/>
                <w:color w:val="auto"/>
              </w:rPr>
              <w:t>24 h</w:t>
            </w:r>
            <w:r>
              <w:rPr>
                <w:rFonts w:hint="eastAsia" w:ascii="宋体" w:hAnsi="宋体" w:eastAsia="Times New Roman" w:cs="宋体"/>
                <w:color w:val="auto"/>
              </w:rPr>
              <w:t>内流经范围</w:t>
            </w:r>
            <w:r>
              <w:rPr>
                <w:rFonts w:hint="eastAsia" w:eastAsia="Times New Roman"/>
                <w:color w:val="auto"/>
              </w:rPr>
              <w:t>/km</w:t>
            </w:r>
          </w:p>
        </w:tc>
      </w:tr>
      <w:tr w14:paraId="385B59F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11F008F4">
            <w:pPr>
              <w:pStyle w:val="129"/>
              <w:widowControl w:val="0"/>
              <w:rPr>
                <w:rFonts w:eastAsia="Times New Roman"/>
                <w:color w:val="auto"/>
              </w:rPr>
            </w:pPr>
          </w:p>
        </w:tc>
        <w:tc>
          <w:tcPr>
            <w:tcW w:w="714" w:type="dxa"/>
            <w:vAlign w:val="center"/>
          </w:tcPr>
          <w:p w14:paraId="40943E8D">
            <w:pPr>
              <w:pStyle w:val="129"/>
              <w:widowControl w:val="0"/>
              <w:rPr>
                <w:rFonts w:eastAsia="Times New Roman"/>
                <w:color w:val="auto"/>
              </w:rPr>
            </w:pPr>
            <w:r>
              <w:rPr>
                <w:rFonts w:hint="eastAsia" w:eastAsia="Times New Roman"/>
                <w:color w:val="auto"/>
              </w:rPr>
              <w:t>1</w:t>
            </w:r>
          </w:p>
        </w:tc>
        <w:tc>
          <w:tcPr>
            <w:tcW w:w="1847" w:type="dxa"/>
            <w:vAlign w:val="center"/>
          </w:tcPr>
          <w:p w14:paraId="12306CC2">
            <w:pPr>
              <w:pStyle w:val="129"/>
              <w:widowControl w:val="0"/>
              <w:rPr>
                <w:rFonts w:eastAsia="Times New Roman"/>
                <w:color w:val="auto"/>
              </w:rPr>
            </w:pPr>
            <w:r>
              <w:rPr>
                <w:rFonts w:hint="eastAsia" w:ascii="宋体" w:hAnsi="宋体" w:eastAsia="Times New Roman" w:cs="宋体"/>
                <w:color w:val="auto"/>
              </w:rPr>
              <w:t>不涉及</w:t>
            </w:r>
          </w:p>
        </w:tc>
        <w:tc>
          <w:tcPr>
            <w:tcW w:w="2414" w:type="dxa"/>
            <w:gridSpan w:val="2"/>
            <w:vAlign w:val="center"/>
          </w:tcPr>
          <w:p w14:paraId="66C91788">
            <w:pPr>
              <w:pStyle w:val="129"/>
              <w:widowControl w:val="0"/>
              <w:rPr>
                <w:rFonts w:eastAsia="Times New Roman"/>
                <w:color w:val="auto"/>
              </w:rPr>
            </w:pPr>
            <w:r>
              <w:rPr>
                <w:rFonts w:hint="eastAsia" w:eastAsia="Times New Roman"/>
                <w:color w:val="auto"/>
              </w:rPr>
              <w:t>/</w:t>
            </w:r>
          </w:p>
        </w:tc>
        <w:tc>
          <w:tcPr>
            <w:tcW w:w="2221" w:type="dxa"/>
            <w:gridSpan w:val="2"/>
            <w:vAlign w:val="center"/>
          </w:tcPr>
          <w:p w14:paraId="4B989A11">
            <w:pPr>
              <w:pStyle w:val="129"/>
              <w:widowControl w:val="0"/>
              <w:rPr>
                <w:rFonts w:eastAsia="Times New Roman"/>
                <w:color w:val="auto"/>
              </w:rPr>
            </w:pPr>
            <w:r>
              <w:rPr>
                <w:rFonts w:hint="eastAsia" w:eastAsia="Times New Roman"/>
                <w:color w:val="auto"/>
              </w:rPr>
              <w:t>/</w:t>
            </w:r>
          </w:p>
        </w:tc>
      </w:tr>
      <w:tr w14:paraId="5DC538F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23971FC4">
            <w:pPr>
              <w:pStyle w:val="129"/>
              <w:widowControl w:val="0"/>
              <w:rPr>
                <w:rFonts w:eastAsia="Times New Roman"/>
                <w:color w:val="auto"/>
              </w:rPr>
            </w:pPr>
          </w:p>
        </w:tc>
        <w:tc>
          <w:tcPr>
            <w:tcW w:w="7196" w:type="dxa"/>
            <w:gridSpan w:val="6"/>
            <w:vAlign w:val="center"/>
          </w:tcPr>
          <w:p w14:paraId="77AA5D2B">
            <w:pPr>
              <w:pStyle w:val="129"/>
              <w:widowControl w:val="0"/>
              <w:rPr>
                <w:rFonts w:eastAsia="Times New Roman"/>
                <w:color w:val="auto"/>
              </w:rPr>
            </w:pPr>
            <w:r>
              <w:rPr>
                <w:rFonts w:hint="eastAsia" w:ascii="宋体" w:hAnsi="宋体" w:eastAsia="Times New Roman" w:cs="宋体"/>
                <w:color w:val="auto"/>
              </w:rPr>
              <w:t>内陆水体排放点下游</w:t>
            </w:r>
            <w:r>
              <w:rPr>
                <w:rFonts w:hint="eastAsia" w:eastAsia="Times New Roman"/>
                <w:color w:val="auto"/>
              </w:rPr>
              <w:t>10km</w:t>
            </w:r>
            <w:r>
              <w:rPr>
                <w:rFonts w:hint="eastAsia" w:ascii="宋体" w:hAnsi="宋体" w:eastAsia="Times New Roman" w:cs="宋体"/>
                <w:color w:val="auto"/>
              </w:rPr>
              <w:t>范围内敏感目标</w:t>
            </w:r>
          </w:p>
        </w:tc>
      </w:tr>
      <w:tr w14:paraId="4BAB498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7226A5B4">
            <w:pPr>
              <w:pStyle w:val="129"/>
              <w:widowControl w:val="0"/>
              <w:rPr>
                <w:rFonts w:eastAsia="Times New Roman"/>
                <w:color w:val="auto"/>
              </w:rPr>
            </w:pPr>
          </w:p>
        </w:tc>
        <w:tc>
          <w:tcPr>
            <w:tcW w:w="714" w:type="dxa"/>
            <w:vAlign w:val="center"/>
          </w:tcPr>
          <w:p w14:paraId="4FAFEC04">
            <w:pPr>
              <w:pStyle w:val="129"/>
              <w:widowControl w:val="0"/>
              <w:rPr>
                <w:rFonts w:eastAsia="Times New Roman"/>
                <w:color w:val="auto"/>
              </w:rPr>
            </w:pPr>
            <w:r>
              <w:rPr>
                <w:rFonts w:hint="eastAsia" w:ascii="宋体" w:hAnsi="宋体" w:eastAsia="Times New Roman" w:cs="宋体"/>
                <w:color w:val="auto"/>
              </w:rPr>
              <w:t>序号</w:t>
            </w:r>
          </w:p>
        </w:tc>
        <w:tc>
          <w:tcPr>
            <w:tcW w:w="1847" w:type="dxa"/>
            <w:vAlign w:val="center"/>
          </w:tcPr>
          <w:p w14:paraId="2AFE3896">
            <w:pPr>
              <w:pStyle w:val="129"/>
              <w:widowControl w:val="0"/>
              <w:rPr>
                <w:rFonts w:eastAsia="Times New Roman"/>
                <w:color w:val="auto"/>
              </w:rPr>
            </w:pPr>
            <w:r>
              <w:rPr>
                <w:rFonts w:hint="eastAsia" w:ascii="宋体" w:hAnsi="宋体" w:eastAsia="Times New Roman" w:cs="宋体"/>
                <w:color w:val="auto"/>
              </w:rPr>
              <w:t>敏感目标名称</w:t>
            </w:r>
          </w:p>
        </w:tc>
        <w:tc>
          <w:tcPr>
            <w:tcW w:w="1278" w:type="dxa"/>
            <w:vAlign w:val="center"/>
          </w:tcPr>
          <w:p w14:paraId="75CD91E1">
            <w:pPr>
              <w:pStyle w:val="129"/>
              <w:widowControl w:val="0"/>
              <w:rPr>
                <w:rFonts w:eastAsia="Times New Roman"/>
                <w:color w:val="auto"/>
              </w:rPr>
            </w:pPr>
            <w:r>
              <w:rPr>
                <w:rFonts w:hint="eastAsia" w:ascii="宋体" w:hAnsi="宋体" w:eastAsia="Times New Roman" w:cs="宋体"/>
                <w:color w:val="auto"/>
              </w:rPr>
              <w:t>环境敏感特征</w:t>
            </w:r>
          </w:p>
        </w:tc>
        <w:tc>
          <w:tcPr>
            <w:tcW w:w="1136" w:type="dxa"/>
            <w:vAlign w:val="center"/>
          </w:tcPr>
          <w:p w14:paraId="6A625833">
            <w:pPr>
              <w:pStyle w:val="129"/>
              <w:widowControl w:val="0"/>
              <w:rPr>
                <w:rFonts w:eastAsia="Times New Roman"/>
                <w:color w:val="auto"/>
              </w:rPr>
            </w:pPr>
            <w:r>
              <w:rPr>
                <w:rFonts w:hint="eastAsia" w:ascii="宋体" w:hAnsi="宋体" w:eastAsia="Times New Roman" w:cs="宋体"/>
                <w:color w:val="auto"/>
              </w:rPr>
              <w:t>水质目标</w:t>
            </w:r>
          </w:p>
        </w:tc>
        <w:tc>
          <w:tcPr>
            <w:tcW w:w="2221" w:type="dxa"/>
            <w:gridSpan w:val="2"/>
            <w:vAlign w:val="center"/>
          </w:tcPr>
          <w:p w14:paraId="59DE9948">
            <w:pPr>
              <w:pStyle w:val="129"/>
              <w:widowControl w:val="0"/>
              <w:rPr>
                <w:rFonts w:eastAsia="Times New Roman"/>
                <w:color w:val="auto"/>
              </w:rPr>
            </w:pPr>
            <w:r>
              <w:rPr>
                <w:rFonts w:hint="eastAsia" w:ascii="宋体" w:hAnsi="宋体" w:eastAsia="Times New Roman" w:cs="宋体"/>
                <w:color w:val="auto"/>
              </w:rPr>
              <w:t>与排放点的距离</w:t>
            </w:r>
            <w:r>
              <w:rPr>
                <w:rFonts w:hint="eastAsia" w:eastAsia="Times New Roman"/>
                <w:color w:val="auto"/>
              </w:rPr>
              <w:t>/m</w:t>
            </w:r>
          </w:p>
        </w:tc>
      </w:tr>
      <w:tr w14:paraId="089AD35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0531A3BB">
            <w:pPr>
              <w:pStyle w:val="129"/>
              <w:widowControl w:val="0"/>
              <w:rPr>
                <w:rFonts w:eastAsia="Times New Roman"/>
                <w:color w:val="auto"/>
              </w:rPr>
            </w:pPr>
          </w:p>
        </w:tc>
        <w:tc>
          <w:tcPr>
            <w:tcW w:w="714" w:type="dxa"/>
            <w:vAlign w:val="center"/>
          </w:tcPr>
          <w:p w14:paraId="5C62F9EC">
            <w:pPr>
              <w:pStyle w:val="129"/>
              <w:widowControl w:val="0"/>
              <w:rPr>
                <w:rFonts w:eastAsia="Times New Roman"/>
                <w:color w:val="auto"/>
              </w:rPr>
            </w:pPr>
            <w:r>
              <w:rPr>
                <w:rFonts w:hint="eastAsia" w:eastAsia="Times New Roman"/>
                <w:color w:val="auto"/>
              </w:rPr>
              <w:t>1</w:t>
            </w:r>
          </w:p>
        </w:tc>
        <w:tc>
          <w:tcPr>
            <w:tcW w:w="1847" w:type="dxa"/>
            <w:vAlign w:val="center"/>
          </w:tcPr>
          <w:p w14:paraId="5C1ACD64">
            <w:pPr>
              <w:pStyle w:val="129"/>
              <w:widowControl w:val="0"/>
              <w:rPr>
                <w:rFonts w:eastAsia="Times New Roman"/>
                <w:color w:val="auto"/>
              </w:rPr>
            </w:pPr>
            <w:r>
              <w:rPr>
                <w:rFonts w:hint="eastAsia" w:ascii="宋体" w:hAnsi="宋体" w:eastAsia="Times New Roman" w:cs="宋体"/>
                <w:color w:val="auto"/>
              </w:rPr>
              <w:t>不涉及</w:t>
            </w:r>
          </w:p>
        </w:tc>
        <w:tc>
          <w:tcPr>
            <w:tcW w:w="1278" w:type="dxa"/>
            <w:vAlign w:val="center"/>
          </w:tcPr>
          <w:p w14:paraId="0B465C6F">
            <w:pPr>
              <w:pStyle w:val="129"/>
              <w:widowControl w:val="0"/>
              <w:rPr>
                <w:rFonts w:eastAsia="Times New Roman"/>
                <w:color w:val="auto"/>
              </w:rPr>
            </w:pPr>
            <w:r>
              <w:rPr>
                <w:rFonts w:hint="eastAsia" w:eastAsia="Times New Roman"/>
                <w:color w:val="auto"/>
              </w:rPr>
              <w:t>/</w:t>
            </w:r>
          </w:p>
        </w:tc>
        <w:tc>
          <w:tcPr>
            <w:tcW w:w="1136" w:type="dxa"/>
            <w:vAlign w:val="center"/>
          </w:tcPr>
          <w:p w14:paraId="2554BF67">
            <w:pPr>
              <w:pStyle w:val="129"/>
              <w:widowControl w:val="0"/>
              <w:rPr>
                <w:rFonts w:eastAsia="Times New Roman"/>
                <w:color w:val="auto"/>
              </w:rPr>
            </w:pPr>
            <w:r>
              <w:rPr>
                <w:rFonts w:hint="eastAsia" w:eastAsia="Times New Roman"/>
                <w:color w:val="auto"/>
              </w:rPr>
              <w:t>/</w:t>
            </w:r>
          </w:p>
        </w:tc>
        <w:tc>
          <w:tcPr>
            <w:tcW w:w="2221" w:type="dxa"/>
            <w:gridSpan w:val="2"/>
            <w:vAlign w:val="center"/>
          </w:tcPr>
          <w:p w14:paraId="3F3FAB49">
            <w:pPr>
              <w:pStyle w:val="129"/>
              <w:widowControl w:val="0"/>
              <w:rPr>
                <w:rFonts w:eastAsia="Times New Roman"/>
                <w:color w:val="auto"/>
              </w:rPr>
            </w:pPr>
            <w:r>
              <w:rPr>
                <w:rFonts w:hint="eastAsia" w:eastAsia="Times New Roman"/>
                <w:color w:val="auto"/>
              </w:rPr>
              <w:t>/</w:t>
            </w:r>
          </w:p>
        </w:tc>
      </w:tr>
      <w:tr w14:paraId="5779805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36AA261E">
            <w:pPr>
              <w:pStyle w:val="129"/>
              <w:widowControl w:val="0"/>
              <w:rPr>
                <w:rFonts w:eastAsia="Times New Roman"/>
                <w:color w:val="auto"/>
              </w:rPr>
            </w:pPr>
          </w:p>
        </w:tc>
        <w:tc>
          <w:tcPr>
            <w:tcW w:w="6111" w:type="dxa"/>
            <w:gridSpan w:val="5"/>
            <w:vAlign w:val="center"/>
          </w:tcPr>
          <w:p w14:paraId="38851641">
            <w:pPr>
              <w:pStyle w:val="129"/>
              <w:widowControl w:val="0"/>
              <w:rPr>
                <w:rFonts w:eastAsia="Times New Roman"/>
                <w:color w:val="auto"/>
              </w:rPr>
            </w:pPr>
            <w:r>
              <w:rPr>
                <w:rFonts w:hint="eastAsia" w:ascii="宋体" w:hAnsi="宋体" w:eastAsia="Times New Roman" w:cs="宋体"/>
                <w:color w:val="auto"/>
              </w:rPr>
              <w:t>地表水环境敏感程度</w:t>
            </w:r>
            <w:r>
              <w:rPr>
                <w:rFonts w:hint="eastAsia" w:eastAsia="Times New Roman"/>
                <w:color w:val="auto"/>
              </w:rPr>
              <w:t>E</w:t>
            </w:r>
            <w:r>
              <w:rPr>
                <w:rFonts w:hint="eastAsia" w:ascii="宋体" w:hAnsi="宋体" w:eastAsia="Times New Roman" w:cs="宋体"/>
                <w:color w:val="auto"/>
              </w:rPr>
              <w:t>值</w:t>
            </w:r>
          </w:p>
        </w:tc>
        <w:tc>
          <w:tcPr>
            <w:tcW w:w="1085" w:type="dxa"/>
            <w:vAlign w:val="center"/>
          </w:tcPr>
          <w:p w14:paraId="64B38EC8">
            <w:pPr>
              <w:pStyle w:val="129"/>
              <w:widowControl w:val="0"/>
              <w:rPr>
                <w:rFonts w:eastAsia="Times New Roman"/>
                <w:color w:val="auto"/>
              </w:rPr>
            </w:pPr>
            <w:r>
              <w:rPr>
                <w:rFonts w:hint="eastAsia" w:eastAsia="Times New Roman"/>
                <w:color w:val="auto"/>
              </w:rPr>
              <w:t>/</w:t>
            </w:r>
          </w:p>
        </w:tc>
      </w:tr>
      <w:tr w14:paraId="22835AE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restart"/>
            <w:vAlign w:val="center"/>
          </w:tcPr>
          <w:p w14:paraId="6B3CB8AE">
            <w:pPr>
              <w:pStyle w:val="129"/>
              <w:widowControl w:val="0"/>
              <w:rPr>
                <w:rFonts w:eastAsia="Times New Roman"/>
                <w:color w:val="auto"/>
              </w:rPr>
            </w:pPr>
            <w:r>
              <w:rPr>
                <w:rFonts w:hint="eastAsia" w:ascii="宋体" w:hAnsi="宋体" w:eastAsia="Times New Roman" w:cs="宋体"/>
                <w:color w:val="auto"/>
              </w:rPr>
              <w:t>地下水</w:t>
            </w:r>
          </w:p>
        </w:tc>
        <w:tc>
          <w:tcPr>
            <w:tcW w:w="714" w:type="dxa"/>
            <w:vAlign w:val="center"/>
          </w:tcPr>
          <w:p w14:paraId="1385E4D3">
            <w:pPr>
              <w:pStyle w:val="129"/>
              <w:widowControl w:val="0"/>
              <w:rPr>
                <w:rFonts w:eastAsia="Times New Roman"/>
                <w:color w:val="auto"/>
              </w:rPr>
            </w:pPr>
            <w:r>
              <w:rPr>
                <w:rFonts w:hint="eastAsia" w:ascii="宋体" w:hAnsi="宋体" w:eastAsia="Times New Roman" w:cs="宋体"/>
                <w:color w:val="auto"/>
              </w:rPr>
              <w:t>序号</w:t>
            </w:r>
          </w:p>
        </w:tc>
        <w:tc>
          <w:tcPr>
            <w:tcW w:w="1847" w:type="dxa"/>
            <w:vAlign w:val="center"/>
          </w:tcPr>
          <w:p w14:paraId="12A81EA3">
            <w:pPr>
              <w:pStyle w:val="129"/>
              <w:widowControl w:val="0"/>
              <w:rPr>
                <w:rFonts w:eastAsia="Times New Roman"/>
                <w:color w:val="auto"/>
              </w:rPr>
            </w:pPr>
            <w:r>
              <w:rPr>
                <w:rFonts w:hint="eastAsia" w:ascii="宋体" w:hAnsi="宋体" w:eastAsia="Times New Roman" w:cs="宋体"/>
                <w:color w:val="auto"/>
              </w:rPr>
              <w:t>环境敏感区名称</w:t>
            </w:r>
          </w:p>
        </w:tc>
        <w:tc>
          <w:tcPr>
            <w:tcW w:w="1278" w:type="dxa"/>
            <w:vAlign w:val="center"/>
          </w:tcPr>
          <w:p w14:paraId="56AC1E97">
            <w:pPr>
              <w:pStyle w:val="129"/>
              <w:widowControl w:val="0"/>
              <w:rPr>
                <w:rFonts w:eastAsia="Times New Roman"/>
                <w:color w:val="auto"/>
              </w:rPr>
            </w:pPr>
            <w:r>
              <w:rPr>
                <w:rFonts w:hint="eastAsia" w:ascii="宋体" w:hAnsi="宋体" w:eastAsia="Times New Roman" w:cs="宋体"/>
                <w:color w:val="auto"/>
              </w:rPr>
              <w:t>环境敏感特征</w:t>
            </w:r>
          </w:p>
        </w:tc>
        <w:tc>
          <w:tcPr>
            <w:tcW w:w="1136" w:type="dxa"/>
            <w:vAlign w:val="center"/>
          </w:tcPr>
          <w:p w14:paraId="241E7CB8">
            <w:pPr>
              <w:pStyle w:val="129"/>
              <w:widowControl w:val="0"/>
              <w:rPr>
                <w:rFonts w:eastAsia="Times New Roman"/>
                <w:color w:val="auto"/>
              </w:rPr>
            </w:pPr>
            <w:r>
              <w:rPr>
                <w:rFonts w:hint="eastAsia" w:ascii="宋体" w:hAnsi="宋体" w:eastAsia="Times New Roman" w:cs="宋体"/>
                <w:color w:val="auto"/>
              </w:rPr>
              <w:t>水质目标</w:t>
            </w:r>
          </w:p>
        </w:tc>
        <w:tc>
          <w:tcPr>
            <w:tcW w:w="1136" w:type="dxa"/>
            <w:vAlign w:val="center"/>
          </w:tcPr>
          <w:p w14:paraId="40A36DF8">
            <w:pPr>
              <w:pStyle w:val="129"/>
              <w:widowControl w:val="0"/>
              <w:rPr>
                <w:rFonts w:eastAsia="Times New Roman"/>
                <w:color w:val="auto"/>
              </w:rPr>
            </w:pPr>
            <w:r>
              <w:rPr>
                <w:rFonts w:hint="eastAsia" w:ascii="宋体" w:hAnsi="宋体" w:eastAsia="Times New Roman" w:cs="宋体"/>
                <w:color w:val="auto"/>
              </w:rPr>
              <w:t>包</w:t>
            </w:r>
            <w:r>
              <w:rPr>
                <w:rFonts w:hint="eastAsia" w:eastAsia="Times New Roman"/>
                <w:color w:val="auto"/>
              </w:rPr>
              <w:t>气带</w:t>
            </w:r>
            <w:r>
              <w:rPr>
                <w:rFonts w:hint="eastAsia" w:ascii="宋体" w:hAnsi="宋体" w:eastAsia="Times New Roman" w:cs="宋体"/>
                <w:color w:val="auto"/>
              </w:rPr>
              <w:t>防污性能</w:t>
            </w:r>
          </w:p>
        </w:tc>
        <w:tc>
          <w:tcPr>
            <w:tcW w:w="1085" w:type="dxa"/>
            <w:vAlign w:val="center"/>
          </w:tcPr>
          <w:p w14:paraId="58BE95BD">
            <w:pPr>
              <w:pStyle w:val="129"/>
              <w:widowControl w:val="0"/>
              <w:rPr>
                <w:rFonts w:eastAsia="Times New Roman"/>
                <w:color w:val="auto"/>
              </w:rPr>
            </w:pPr>
            <w:r>
              <w:rPr>
                <w:rFonts w:hint="eastAsia" w:ascii="宋体" w:hAnsi="宋体" w:eastAsia="Times New Roman" w:cs="宋体"/>
                <w:color w:val="auto"/>
              </w:rPr>
              <w:t>与下游厂界距离</w:t>
            </w:r>
            <w:r>
              <w:rPr>
                <w:rFonts w:eastAsia="Times New Roman"/>
                <w:color w:val="auto"/>
              </w:rPr>
              <w:t>/m</w:t>
            </w:r>
          </w:p>
        </w:tc>
      </w:tr>
      <w:tr w14:paraId="66772FB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24438206">
            <w:pPr>
              <w:pStyle w:val="129"/>
              <w:widowControl w:val="0"/>
              <w:rPr>
                <w:rFonts w:eastAsia="Times New Roman"/>
                <w:color w:val="auto"/>
              </w:rPr>
            </w:pPr>
          </w:p>
        </w:tc>
        <w:tc>
          <w:tcPr>
            <w:tcW w:w="714" w:type="dxa"/>
            <w:vAlign w:val="center"/>
          </w:tcPr>
          <w:p w14:paraId="4CDFF0CD">
            <w:pPr>
              <w:pStyle w:val="129"/>
              <w:widowControl w:val="0"/>
              <w:rPr>
                <w:rFonts w:eastAsia="Times New Roman"/>
                <w:color w:val="auto"/>
              </w:rPr>
            </w:pPr>
            <w:r>
              <w:rPr>
                <w:rFonts w:hint="eastAsia" w:eastAsia="Times New Roman"/>
                <w:color w:val="auto"/>
              </w:rPr>
              <w:t>1</w:t>
            </w:r>
          </w:p>
        </w:tc>
        <w:tc>
          <w:tcPr>
            <w:tcW w:w="1847" w:type="dxa"/>
            <w:vAlign w:val="center"/>
          </w:tcPr>
          <w:p w14:paraId="4625D365">
            <w:pPr>
              <w:pStyle w:val="129"/>
              <w:widowControl w:val="0"/>
              <w:rPr>
                <w:rFonts w:eastAsia="Times New Roman"/>
                <w:color w:val="auto"/>
              </w:rPr>
            </w:pPr>
            <w:r>
              <w:rPr>
                <w:rFonts w:hint="eastAsia" w:eastAsia="Times New Roman"/>
                <w:color w:val="auto"/>
              </w:rPr>
              <w:t>/</w:t>
            </w:r>
          </w:p>
        </w:tc>
        <w:tc>
          <w:tcPr>
            <w:tcW w:w="1278" w:type="dxa"/>
            <w:vAlign w:val="center"/>
          </w:tcPr>
          <w:p w14:paraId="342BAB40">
            <w:pPr>
              <w:pStyle w:val="129"/>
              <w:widowControl w:val="0"/>
              <w:rPr>
                <w:rFonts w:eastAsia="Times New Roman"/>
                <w:color w:val="auto"/>
              </w:rPr>
            </w:pPr>
            <w:r>
              <w:rPr>
                <w:rFonts w:hint="eastAsia" w:eastAsia="Times New Roman"/>
                <w:color w:val="auto"/>
              </w:rPr>
              <w:t>G3</w:t>
            </w:r>
          </w:p>
        </w:tc>
        <w:tc>
          <w:tcPr>
            <w:tcW w:w="1136" w:type="dxa"/>
            <w:vAlign w:val="center"/>
          </w:tcPr>
          <w:p w14:paraId="0A557CC3">
            <w:pPr>
              <w:pStyle w:val="129"/>
              <w:widowControl w:val="0"/>
              <w:rPr>
                <w:rFonts w:eastAsia="Times New Roman"/>
                <w:color w:val="auto"/>
              </w:rPr>
            </w:pPr>
            <w:r>
              <w:rPr>
                <w:rFonts w:hint="eastAsia" w:ascii="宋体" w:hAnsi="宋体" w:eastAsia="Times New Roman" w:cs="宋体"/>
                <w:color w:val="auto"/>
              </w:rPr>
              <w:t>三类</w:t>
            </w:r>
          </w:p>
        </w:tc>
        <w:tc>
          <w:tcPr>
            <w:tcW w:w="1136" w:type="dxa"/>
            <w:vAlign w:val="center"/>
          </w:tcPr>
          <w:p w14:paraId="0C9FF566">
            <w:pPr>
              <w:pStyle w:val="129"/>
              <w:widowControl w:val="0"/>
              <w:rPr>
                <w:rFonts w:eastAsia="Times New Roman"/>
                <w:color w:val="auto"/>
              </w:rPr>
            </w:pPr>
            <w:r>
              <w:rPr>
                <w:rFonts w:eastAsia="Times New Roman"/>
                <w:color w:val="auto"/>
              </w:rPr>
              <w:t>D</w:t>
            </w:r>
            <w:r>
              <w:rPr>
                <w:rFonts w:hint="eastAsia" w:eastAsia="Times New Roman"/>
                <w:color w:val="auto"/>
              </w:rPr>
              <w:t>1</w:t>
            </w:r>
          </w:p>
        </w:tc>
        <w:tc>
          <w:tcPr>
            <w:tcW w:w="1085" w:type="dxa"/>
            <w:vAlign w:val="center"/>
          </w:tcPr>
          <w:p w14:paraId="6F95F224">
            <w:pPr>
              <w:pStyle w:val="129"/>
              <w:widowControl w:val="0"/>
              <w:rPr>
                <w:rFonts w:eastAsia="Times New Roman"/>
                <w:color w:val="auto"/>
              </w:rPr>
            </w:pPr>
            <w:r>
              <w:rPr>
                <w:rFonts w:hint="eastAsia" w:eastAsia="Times New Roman"/>
                <w:color w:val="auto"/>
              </w:rPr>
              <w:t>/</w:t>
            </w:r>
          </w:p>
        </w:tc>
      </w:tr>
      <w:tr w14:paraId="35B8728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139" w:type="dxa"/>
            <w:vMerge w:val="continue"/>
            <w:vAlign w:val="center"/>
          </w:tcPr>
          <w:p w14:paraId="056F256E">
            <w:pPr>
              <w:pStyle w:val="129"/>
              <w:widowControl w:val="0"/>
              <w:rPr>
                <w:rFonts w:eastAsia="Times New Roman"/>
                <w:color w:val="auto"/>
              </w:rPr>
            </w:pPr>
          </w:p>
        </w:tc>
        <w:tc>
          <w:tcPr>
            <w:tcW w:w="6111" w:type="dxa"/>
            <w:gridSpan w:val="5"/>
            <w:vAlign w:val="center"/>
          </w:tcPr>
          <w:p w14:paraId="13FB902E">
            <w:pPr>
              <w:pStyle w:val="129"/>
              <w:widowControl w:val="0"/>
              <w:rPr>
                <w:rFonts w:eastAsia="Times New Roman"/>
                <w:color w:val="auto"/>
              </w:rPr>
            </w:pPr>
            <w:r>
              <w:rPr>
                <w:rFonts w:hint="eastAsia" w:ascii="宋体" w:hAnsi="宋体" w:eastAsia="Times New Roman" w:cs="宋体"/>
                <w:color w:val="auto"/>
              </w:rPr>
              <w:t>地下水环境敏感程度</w:t>
            </w:r>
            <w:r>
              <w:rPr>
                <w:rFonts w:hint="eastAsia" w:eastAsia="Times New Roman"/>
                <w:color w:val="auto"/>
              </w:rPr>
              <w:t>E</w:t>
            </w:r>
            <w:r>
              <w:rPr>
                <w:rFonts w:hint="eastAsia" w:ascii="宋体" w:hAnsi="宋体" w:eastAsia="Times New Roman" w:cs="宋体"/>
                <w:color w:val="auto"/>
              </w:rPr>
              <w:t>值</w:t>
            </w:r>
          </w:p>
        </w:tc>
        <w:tc>
          <w:tcPr>
            <w:tcW w:w="1085" w:type="dxa"/>
            <w:vAlign w:val="center"/>
          </w:tcPr>
          <w:p w14:paraId="34D6F66D">
            <w:pPr>
              <w:pStyle w:val="129"/>
              <w:widowControl w:val="0"/>
              <w:rPr>
                <w:rFonts w:eastAsia="Times New Roman"/>
                <w:color w:val="auto"/>
              </w:rPr>
            </w:pPr>
            <w:r>
              <w:rPr>
                <w:rFonts w:eastAsia="Times New Roman"/>
                <w:color w:val="auto"/>
              </w:rPr>
              <w:t>E</w:t>
            </w:r>
            <w:r>
              <w:rPr>
                <w:rFonts w:hint="eastAsia" w:eastAsia="Times New Roman"/>
                <w:color w:val="auto"/>
              </w:rPr>
              <w:t>2</w:t>
            </w:r>
          </w:p>
        </w:tc>
      </w:tr>
    </w:tbl>
    <w:p w14:paraId="000EE1CB">
      <w:pPr>
        <w:pStyle w:val="1304"/>
        <w:rPr>
          <w:color w:val="auto"/>
        </w:rPr>
      </w:pPr>
    </w:p>
    <w:p w14:paraId="55F8CB10">
      <w:pPr>
        <w:pStyle w:val="3"/>
        <w:rPr>
          <w:color w:val="auto"/>
        </w:rPr>
      </w:pPr>
      <w:bookmarkStart w:id="370" w:name="_Toc229930160"/>
      <w:bookmarkStart w:id="371" w:name="_Toc28123"/>
      <w:bookmarkStart w:id="372" w:name="_Toc220582791"/>
      <w:bookmarkStart w:id="373" w:name="OLE_LINK21"/>
      <w:r>
        <w:rPr>
          <w:rFonts w:hint="eastAsia"/>
          <w:color w:val="auto"/>
        </w:rPr>
        <w:t>环境风险潜势初判</w:t>
      </w:r>
      <w:bookmarkEnd w:id="370"/>
      <w:bookmarkEnd w:id="371"/>
      <w:bookmarkEnd w:id="372"/>
    </w:p>
    <w:bookmarkEnd w:id="373"/>
    <w:p w14:paraId="449305FF">
      <w:pPr>
        <w:pStyle w:val="4"/>
        <w:rPr>
          <w:color w:val="auto"/>
        </w:rPr>
      </w:pPr>
      <w:r>
        <w:rPr>
          <w:rFonts w:hint="eastAsia"/>
          <w:color w:val="auto"/>
        </w:rPr>
        <w:t>危险物质及工艺系统危险性（P）分级</w:t>
      </w:r>
    </w:p>
    <w:p w14:paraId="5759DF4D">
      <w:pPr>
        <w:pStyle w:val="132"/>
        <w:rPr>
          <w:color w:val="auto"/>
        </w:rPr>
      </w:pPr>
      <w:r>
        <w:rPr>
          <w:rFonts w:hint="eastAsia"/>
          <w:color w:val="auto"/>
        </w:rPr>
        <w:t>根据《建设项目环境风险评价技术导则》（HJ 169-2018）的规定，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分别以P1、P2、P3、P4表示。</w:t>
      </w:r>
    </w:p>
    <w:p w14:paraId="2DD87ABE">
      <w:pPr>
        <w:pStyle w:val="5"/>
        <w:rPr>
          <w:color w:val="auto"/>
        </w:rPr>
      </w:pPr>
      <w:r>
        <w:rPr>
          <w:rFonts w:hint="eastAsia"/>
          <w:color w:val="auto"/>
        </w:rPr>
        <w:t>危险物质数量与临界量比值（Q）的确定</w:t>
      </w:r>
    </w:p>
    <w:p w14:paraId="64E9A8D5">
      <w:pPr>
        <w:pStyle w:val="132"/>
        <w:rPr>
          <w:color w:val="auto"/>
        </w:rPr>
      </w:pPr>
      <w:r>
        <w:rPr>
          <w:rFonts w:hint="eastAsia"/>
          <w:color w:val="auto"/>
        </w:rPr>
        <w:t>根据《建设项目环境风险评价技术导则》（HJ169-2018）附录C的规定，项目所涉及的每种危险物质在厂界内的最大存在总量与其对应临界量的比值Q来表征危险性。当只涉及一种危险物质时，计算该物质的总量与其临界值比值，即为Q；当存在多种危险物质时，则按下式计算物质总量与其临界量比值（Q）：</w:t>
      </w:r>
    </w:p>
    <w:p w14:paraId="72FEDD1A">
      <w:pPr>
        <w:pStyle w:val="132"/>
        <w:jc w:val="center"/>
        <w:rPr>
          <w:color w:val="auto"/>
        </w:rPr>
      </w:pPr>
      <w:r>
        <w:rPr>
          <w:color w:val="auto"/>
        </w:rPr>
        <w:drawing>
          <wp:inline distT="0" distB="0" distL="0" distR="0">
            <wp:extent cx="3324225" cy="495300"/>
            <wp:effectExtent l="0" t="0" r="9525" b="0"/>
            <wp:docPr id="721038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38568" name="图片 1"/>
                    <pic:cNvPicPr>
                      <a:picLocks noChangeAspect="1" noChangeArrowheads="1"/>
                    </pic:cNvPicPr>
                  </pic:nvPicPr>
                  <pic:blipFill>
                    <a:blip r:embed="rId56"/>
                    <a:srcRect/>
                    <a:stretch>
                      <a:fillRect/>
                    </a:stretch>
                  </pic:blipFill>
                  <pic:spPr>
                    <a:xfrm>
                      <a:off x="0" y="0"/>
                      <a:ext cx="3324225" cy="495300"/>
                    </a:xfrm>
                    <a:prstGeom prst="rect">
                      <a:avLst/>
                    </a:prstGeom>
                    <a:noFill/>
                    <a:ln w="9525">
                      <a:noFill/>
                      <a:miter lim="800000"/>
                      <a:headEnd/>
                      <a:tailEnd/>
                    </a:ln>
                  </pic:spPr>
                </pic:pic>
              </a:graphicData>
            </a:graphic>
          </wp:inline>
        </w:drawing>
      </w:r>
    </w:p>
    <w:p w14:paraId="36751399">
      <w:pPr>
        <w:pStyle w:val="132"/>
        <w:rPr>
          <w:color w:val="auto"/>
        </w:rPr>
      </w:pPr>
      <w:r>
        <w:rPr>
          <w:rFonts w:hint="eastAsia"/>
          <w:color w:val="auto"/>
        </w:rPr>
        <w:t>式中：q1，q2，…qn—每种危险物质的最大存在总量，t；</w:t>
      </w:r>
    </w:p>
    <w:p w14:paraId="447DB6D0">
      <w:pPr>
        <w:pStyle w:val="132"/>
        <w:rPr>
          <w:color w:val="auto"/>
        </w:rPr>
      </w:pPr>
      <w:r>
        <w:rPr>
          <w:rFonts w:hint="eastAsia"/>
          <w:color w:val="auto"/>
        </w:rPr>
        <w:t>Q1，Q2，…Qn——每种危险物质的临界量，t。</w:t>
      </w:r>
    </w:p>
    <w:p w14:paraId="25DB286C">
      <w:pPr>
        <w:pStyle w:val="132"/>
        <w:rPr>
          <w:color w:val="auto"/>
        </w:rPr>
      </w:pPr>
      <w:r>
        <w:rPr>
          <w:rFonts w:hint="eastAsia"/>
          <w:color w:val="auto"/>
        </w:rPr>
        <w:t>当Q＜1时，该项目环境风险潜势为Ⅰ。</w:t>
      </w:r>
    </w:p>
    <w:p w14:paraId="63AA8F6C">
      <w:pPr>
        <w:pStyle w:val="132"/>
        <w:rPr>
          <w:color w:val="auto"/>
        </w:rPr>
      </w:pPr>
      <w:r>
        <w:rPr>
          <w:rFonts w:hint="eastAsia"/>
          <w:color w:val="auto"/>
        </w:rPr>
        <w:t>当Q≥1时，将Q值划分为：①1≤Q＜10；②10≤Q＜100；③Q≥100。</w:t>
      </w:r>
    </w:p>
    <w:p w14:paraId="214D1A6C">
      <w:pPr>
        <w:pStyle w:val="132"/>
        <w:rPr>
          <w:color w:val="auto"/>
        </w:rPr>
      </w:pPr>
      <w:r>
        <w:rPr>
          <w:rFonts w:hint="eastAsia"/>
          <w:color w:val="auto"/>
        </w:rPr>
        <w:t>本项目生产、使用、储存过程中涉及的有毒有害、易燃易爆危险物质主要含氯化铝废酸液、含硝酸铝废酸液、硫酸铵、硝酸铵、硫酸、硝酸、脱</w:t>
      </w:r>
      <w:r>
        <w:rPr>
          <w:rFonts w:hint="eastAsia"/>
          <w:color w:val="auto"/>
          <w:lang w:eastAsia="zh-CN"/>
        </w:rPr>
        <w:t>硝</w:t>
      </w:r>
      <w:r>
        <w:rPr>
          <w:rFonts w:hint="eastAsia"/>
          <w:color w:val="auto"/>
        </w:rPr>
        <w:t>催化剂、废机油、15%氨水。</w:t>
      </w:r>
    </w:p>
    <w:p w14:paraId="25FB6233">
      <w:pPr>
        <w:pStyle w:val="132"/>
        <w:rPr>
          <w:color w:val="auto"/>
        </w:rPr>
      </w:pPr>
      <w:r>
        <w:rPr>
          <w:rFonts w:hint="eastAsia"/>
          <w:color w:val="auto"/>
        </w:rPr>
        <w:t>按项目Q值确定及涉及风险物质见表7.3-1。</w:t>
      </w:r>
    </w:p>
    <w:p w14:paraId="37F30483">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r>
        <w:rPr>
          <w:rFonts w:hint="eastAsia"/>
          <w:color w:val="auto"/>
        </w:rPr>
        <w:t xml:space="preserve"> 项目Q值确定及涉及风险物质一览表</w:t>
      </w:r>
    </w:p>
    <w:tbl>
      <w:tblPr>
        <w:tblStyle w:val="239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532"/>
        <w:gridCol w:w="1858"/>
        <w:gridCol w:w="1800"/>
        <w:gridCol w:w="1503"/>
        <w:gridCol w:w="1288"/>
        <w:gridCol w:w="1805"/>
      </w:tblGrid>
      <w:tr w14:paraId="70917A9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303" w:type="pct"/>
            <w:vAlign w:val="center"/>
          </w:tcPr>
          <w:p w14:paraId="0100E219">
            <w:pPr>
              <w:pStyle w:val="129"/>
              <w:widowControl w:val="0"/>
              <w:rPr>
                <w:rFonts w:eastAsia="Times New Roman"/>
                <w:color w:val="auto"/>
              </w:rPr>
            </w:pPr>
            <w:r>
              <w:rPr>
                <w:rFonts w:hint="eastAsia" w:eastAsia="Times New Roman"/>
                <w:color w:val="auto"/>
              </w:rPr>
              <w:t>序号</w:t>
            </w:r>
          </w:p>
        </w:tc>
        <w:tc>
          <w:tcPr>
            <w:tcW w:w="1057" w:type="pct"/>
            <w:vAlign w:val="center"/>
          </w:tcPr>
          <w:p w14:paraId="19EE77A8">
            <w:pPr>
              <w:pStyle w:val="129"/>
              <w:widowControl w:val="0"/>
              <w:rPr>
                <w:rFonts w:eastAsia="Times New Roman"/>
                <w:color w:val="auto"/>
              </w:rPr>
            </w:pPr>
            <w:r>
              <w:rPr>
                <w:rFonts w:hint="eastAsia" w:eastAsia="Times New Roman"/>
                <w:color w:val="auto"/>
              </w:rPr>
              <w:t>危险物质名称</w:t>
            </w:r>
          </w:p>
        </w:tc>
        <w:tc>
          <w:tcPr>
            <w:tcW w:w="1024" w:type="pct"/>
            <w:vAlign w:val="center"/>
          </w:tcPr>
          <w:p w14:paraId="6C711FB4">
            <w:pPr>
              <w:pStyle w:val="129"/>
              <w:widowControl w:val="0"/>
              <w:rPr>
                <w:rFonts w:eastAsia="Times New Roman"/>
                <w:color w:val="auto"/>
              </w:rPr>
            </w:pPr>
            <w:r>
              <w:rPr>
                <w:rFonts w:eastAsia="Times New Roman"/>
                <w:color w:val="auto"/>
              </w:rPr>
              <w:t>CAS</w:t>
            </w:r>
            <w:r>
              <w:rPr>
                <w:rFonts w:hint="eastAsia" w:eastAsia="Times New Roman"/>
                <w:color w:val="auto"/>
              </w:rPr>
              <w:t>号</w:t>
            </w:r>
          </w:p>
        </w:tc>
        <w:tc>
          <w:tcPr>
            <w:tcW w:w="855" w:type="pct"/>
            <w:vAlign w:val="center"/>
          </w:tcPr>
          <w:p w14:paraId="4ADA2028">
            <w:pPr>
              <w:pStyle w:val="129"/>
              <w:widowControl w:val="0"/>
              <w:rPr>
                <w:rFonts w:eastAsia="Times New Roman"/>
                <w:color w:val="auto"/>
              </w:rPr>
            </w:pPr>
            <w:r>
              <w:rPr>
                <w:rFonts w:hint="eastAsia" w:eastAsia="Times New Roman"/>
                <w:color w:val="auto"/>
              </w:rPr>
              <w:t>最大存在总量</w:t>
            </w:r>
            <w:r>
              <w:rPr>
                <w:rFonts w:eastAsia="Times New Roman"/>
                <w:color w:val="auto"/>
              </w:rPr>
              <w:t>qn /t</w:t>
            </w:r>
          </w:p>
        </w:tc>
        <w:tc>
          <w:tcPr>
            <w:tcW w:w="732" w:type="pct"/>
            <w:vAlign w:val="center"/>
          </w:tcPr>
          <w:p w14:paraId="2D108602">
            <w:pPr>
              <w:pStyle w:val="129"/>
              <w:widowControl w:val="0"/>
              <w:rPr>
                <w:rFonts w:eastAsia="Times New Roman"/>
                <w:color w:val="auto"/>
              </w:rPr>
            </w:pPr>
            <w:r>
              <w:rPr>
                <w:rFonts w:hint="eastAsia" w:eastAsia="Times New Roman"/>
                <w:color w:val="auto"/>
              </w:rPr>
              <w:t>临界量</w:t>
            </w:r>
            <w:r>
              <w:rPr>
                <w:rFonts w:eastAsia="Times New Roman"/>
                <w:color w:val="auto"/>
              </w:rPr>
              <w:t xml:space="preserve">Qn /t </w:t>
            </w:r>
          </w:p>
        </w:tc>
        <w:tc>
          <w:tcPr>
            <w:tcW w:w="1027" w:type="pct"/>
            <w:vAlign w:val="center"/>
          </w:tcPr>
          <w:p w14:paraId="6DF1CEA5">
            <w:pPr>
              <w:pStyle w:val="129"/>
              <w:widowControl w:val="0"/>
              <w:rPr>
                <w:rFonts w:eastAsia="Times New Roman"/>
                <w:color w:val="auto"/>
              </w:rPr>
            </w:pPr>
            <w:r>
              <w:rPr>
                <w:rFonts w:hint="eastAsia" w:eastAsia="Times New Roman"/>
                <w:color w:val="auto"/>
              </w:rPr>
              <w:t>该种危险物质</w:t>
            </w:r>
            <w:r>
              <w:rPr>
                <w:rFonts w:eastAsia="Times New Roman"/>
                <w:color w:val="auto"/>
              </w:rPr>
              <w:t>Q</w:t>
            </w:r>
            <w:r>
              <w:rPr>
                <w:rFonts w:hint="eastAsia" w:eastAsia="Times New Roman"/>
                <w:color w:val="auto"/>
              </w:rPr>
              <w:t>值</w:t>
            </w:r>
          </w:p>
        </w:tc>
      </w:tr>
      <w:tr w14:paraId="52B4E4B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1817D270">
            <w:pPr>
              <w:pStyle w:val="129"/>
              <w:widowControl w:val="0"/>
              <w:rPr>
                <w:rFonts w:eastAsia="Times New Roman"/>
                <w:color w:val="auto"/>
              </w:rPr>
            </w:pPr>
            <w:r>
              <w:rPr>
                <w:rFonts w:eastAsia="Times New Roman"/>
                <w:color w:val="auto"/>
              </w:rPr>
              <w:t>1</w:t>
            </w:r>
          </w:p>
        </w:tc>
        <w:tc>
          <w:tcPr>
            <w:tcW w:w="1858" w:type="dxa"/>
            <w:vAlign w:val="center"/>
          </w:tcPr>
          <w:p w14:paraId="64F0CA5B">
            <w:pPr>
              <w:pStyle w:val="129"/>
              <w:widowControl w:val="0"/>
              <w:rPr>
                <w:rFonts w:eastAsia="Times New Roman"/>
                <w:color w:val="auto"/>
              </w:rPr>
            </w:pPr>
            <w:r>
              <w:rPr>
                <w:rFonts w:eastAsia="Times New Roman"/>
                <w:color w:val="auto"/>
              </w:rPr>
              <w:t>天然气</w:t>
            </w:r>
          </w:p>
        </w:tc>
        <w:tc>
          <w:tcPr>
            <w:tcW w:w="1800" w:type="dxa"/>
            <w:vAlign w:val="center"/>
          </w:tcPr>
          <w:p w14:paraId="049003B1">
            <w:pPr>
              <w:pStyle w:val="129"/>
              <w:widowControl w:val="0"/>
              <w:rPr>
                <w:rFonts w:eastAsia="Times New Roman"/>
                <w:color w:val="auto"/>
              </w:rPr>
            </w:pPr>
            <w:r>
              <w:rPr>
                <w:rFonts w:eastAsia="Times New Roman"/>
                <w:color w:val="auto"/>
              </w:rPr>
              <w:t>/</w:t>
            </w:r>
          </w:p>
        </w:tc>
        <w:tc>
          <w:tcPr>
            <w:tcW w:w="1503" w:type="dxa"/>
            <w:vAlign w:val="center"/>
          </w:tcPr>
          <w:p w14:paraId="23EA4FBB">
            <w:pPr>
              <w:pStyle w:val="129"/>
              <w:widowControl w:val="0"/>
              <w:rPr>
                <w:rFonts w:eastAsia="Times New Roman"/>
                <w:color w:val="auto"/>
              </w:rPr>
            </w:pPr>
            <w:r>
              <w:rPr>
                <w:rFonts w:eastAsia="Times New Roman"/>
                <w:color w:val="auto"/>
              </w:rPr>
              <w:t>0.14</w:t>
            </w:r>
          </w:p>
        </w:tc>
        <w:tc>
          <w:tcPr>
            <w:tcW w:w="1288" w:type="dxa"/>
            <w:vAlign w:val="center"/>
          </w:tcPr>
          <w:p w14:paraId="6F0175C6">
            <w:pPr>
              <w:pStyle w:val="129"/>
              <w:widowControl w:val="0"/>
              <w:rPr>
                <w:rFonts w:eastAsia="Times New Roman"/>
                <w:color w:val="auto"/>
              </w:rPr>
            </w:pPr>
            <w:r>
              <w:rPr>
                <w:rFonts w:eastAsia="Times New Roman"/>
                <w:color w:val="auto"/>
              </w:rPr>
              <w:t>7.5</w:t>
            </w:r>
          </w:p>
        </w:tc>
        <w:tc>
          <w:tcPr>
            <w:tcW w:w="1805" w:type="dxa"/>
            <w:vAlign w:val="center"/>
          </w:tcPr>
          <w:p w14:paraId="261019A7">
            <w:pPr>
              <w:pStyle w:val="129"/>
              <w:widowControl w:val="0"/>
              <w:rPr>
                <w:rFonts w:eastAsia="Times New Roman"/>
                <w:color w:val="auto"/>
              </w:rPr>
            </w:pPr>
            <w:r>
              <w:rPr>
                <w:rFonts w:eastAsia="Times New Roman"/>
                <w:color w:val="auto"/>
              </w:rPr>
              <w:t>0.02</w:t>
            </w:r>
          </w:p>
        </w:tc>
      </w:tr>
      <w:tr w14:paraId="51396C5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00B76ADF">
            <w:pPr>
              <w:pStyle w:val="129"/>
              <w:widowControl w:val="0"/>
              <w:rPr>
                <w:rFonts w:eastAsia="Times New Roman"/>
                <w:color w:val="auto"/>
              </w:rPr>
            </w:pPr>
            <w:r>
              <w:rPr>
                <w:rFonts w:eastAsia="Times New Roman"/>
                <w:color w:val="auto"/>
              </w:rPr>
              <w:t>2</w:t>
            </w:r>
          </w:p>
        </w:tc>
        <w:tc>
          <w:tcPr>
            <w:tcW w:w="1858" w:type="dxa"/>
            <w:vAlign w:val="center"/>
          </w:tcPr>
          <w:p w14:paraId="178BA270">
            <w:pPr>
              <w:pStyle w:val="129"/>
              <w:widowControl w:val="0"/>
              <w:rPr>
                <w:rFonts w:eastAsia="Times New Roman"/>
                <w:color w:val="auto"/>
              </w:rPr>
            </w:pPr>
            <w:r>
              <w:rPr>
                <w:rFonts w:eastAsia="Times New Roman"/>
                <w:color w:val="auto"/>
              </w:rPr>
              <w:t>含硝酸铝废酸液</w:t>
            </w:r>
          </w:p>
        </w:tc>
        <w:tc>
          <w:tcPr>
            <w:tcW w:w="1800" w:type="dxa"/>
            <w:vAlign w:val="center"/>
          </w:tcPr>
          <w:p w14:paraId="62E369B8">
            <w:pPr>
              <w:pStyle w:val="129"/>
              <w:widowControl w:val="0"/>
              <w:rPr>
                <w:rFonts w:eastAsia="Times New Roman"/>
                <w:color w:val="auto"/>
              </w:rPr>
            </w:pPr>
            <w:r>
              <w:rPr>
                <w:rFonts w:eastAsia="Times New Roman"/>
                <w:color w:val="auto"/>
              </w:rPr>
              <w:t>/</w:t>
            </w:r>
          </w:p>
        </w:tc>
        <w:tc>
          <w:tcPr>
            <w:tcW w:w="1503" w:type="dxa"/>
            <w:vAlign w:val="center"/>
          </w:tcPr>
          <w:p w14:paraId="495BA4AD">
            <w:pPr>
              <w:pStyle w:val="129"/>
              <w:widowControl w:val="0"/>
              <w:rPr>
                <w:rFonts w:eastAsia="Times New Roman"/>
                <w:color w:val="auto"/>
              </w:rPr>
            </w:pPr>
            <w:r>
              <w:rPr>
                <w:rFonts w:eastAsia="Times New Roman"/>
                <w:color w:val="auto"/>
              </w:rPr>
              <w:t>51.96</w:t>
            </w:r>
          </w:p>
        </w:tc>
        <w:tc>
          <w:tcPr>
            <w:tcW w:w="1288" w:type="dxa"/>
            <w:vAlign w:val="center"/>
          </w:tcPr>
          <w:p w14:paraId="5BC9677F">
            <w:pPr>
              <w:pStyle w:val="129"/>
              <w:widowControl w:val="0"/>
              <w:rPr>
                <w:rFonts w:eastAsia="Times New Roman"/>
                <w:color w:val="auto"/>
              </w:rPr>
            </w:pPr>
            <w:r>
              <w:rPr>
                <w:rFonts w:eastAsia="Times New Roman"/>
                <w:color w:val="auto"/>
              </w:rPr>
              <w:t>50</w:t>
            </w:r>
          </w:p>
        </w:tc>
        <w:tc>
          <w:tcPr>
            <w:tcW w:w="1805" w:type="dxa"/>
            <w:vAlign w:val="center"/>
          </w:tcPr>
          <w:p w14:paraId="58946D7E">
            <w:pPr>
              <w:pStyle w:val="129"/>
              <w:widowControl w:val="0"/>
              <w:rPr>
                <w:rFonts w:eastAsia="Times New Roman"/>
                <w:color w:val="auto"/>
              </w:rPr>
            </w:pPr>
            <w:r>
              <w:rPr>
                <w:rFonts w:eastAsia="Times New Roman"/>
                <w:color w:val="auto"/>
              </w:rPr>
              <w:t>1.04</w:t>
            </w:r>
          </w:p>
        </w:tc>
      </w:tr>
      <w:tr w14:paraId="1AA9B1E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22FF13B6">
            <w:pPr>
              <w:pStyle w:val="129"/>
              <w:widowControl w:val="0"/>
              <w:rPr>
                <w:rFonts w:eastAsia="Times New Roman"/>
                <w:color w:val="auto"/>
              </w:rPr>
            </w:pPr>
            <w:r>
              <w:rPr>
                <w:rFonts w:eastAsia="Times New Roman"/>
                <w:color w:val="auto"/>
              </w:rPr>
              <w:t>3</w:t>
            </w:r>
          </w:p>
        </w:tc>
        <w:tc>
          <w:tcPr>
            <w:tcW w:w="1858" w:type="dxa"/>
            <w:vAlign w:val="center"/>
          </w:tcPr>
          <w:p w14:paraId="2EA4047C">
            <w:pPr>
              <w:pStyle w:val="129"/>
              <w:widowControl w:val="0"/>
              <w:rPr>
                <w:rFonts w:eastAsia="Times New Roman"/>
                <w:color w:val="auto"/>
              </w:rPr>
            </w:pPr>
            <w:r>
              <w:rPr>
                <w:rFonts w:eastAsia="Times New Roman"/>
                <w:color w:val="auto"/>
              </w:rPr>
              <w:t>折为20%氨水</w:t>
            </w:r>
          </w:p>
        </w:tc>
        <w:tc>
          <w:tcPr>
            <w:tcW w:w="1800" w:type="dxa"/>
            <w:vAlign w:val="center"/>
          </w:tcPr>
          <w:p w14:paraId="654CDAF1">
            <w:pPr>
              <w:pStyle w:val="129"/>
              <w:widowControl w:val="0"/>
              <w:rPr>
                <w:rFonts w:eastAsia="Times New Roman"/>
                <w:color w:val="auto"/>
              </w:rPr>
            </w:pPr>
            <w:r>
              <w:rPr>
                <w:rFonts w:hint="eastAsia" w:eastAsia="Times New Roman"/>
                <w:color w:val="auto"/>
              </w:rPr>
              <w:t xml:space="preserve">1336-21-6 </w:t>
            </w:r>
          </w:p>
        </w:tc>
        <w:tc>
          <w:tcPr>
            <w:tcW w:w="1503" w:type="dxa"/>
            <w:vAlign w:val="center"/>
          </w:tcPr>
          <w:p w14:paraId="50783DD8">
            <w:pPr>
              <w:pStyle w:val="129"/>
              <w:widowControl w:val="0"/>
              <w:rPr>
                <w:rFonts w:eastAsia="Times New Roman"/>
                <w:color w:val="auto"/>
              </w:rPr>
            </w:pPr>
            <w:r>
              <w:rPr>
                <w:rFonts w:eastAsia="Times New Roman"/>
                <w:color w:val="auto"/>
              </w:rPr>
              <w:t xml:space="preserve">723.35 </w:t>
            </w:r>
          </w:p>
        </w:tc>
        <w:tc>
          <w:tcPr>
            <w:tcW w:w="1288" w:type="dxa"/>
            <w:vAlign w:val="center"/>
          </w:tcPr>
          <w:p w14:paraId="2FE96FB2">
            <w:pPr>
              <w:pStyle w:val="129"/>
              <w:widowControl w:val="0"/>
              <w:rPr>
                <w:rFonts w:eastAsia="Times New Roman"/>
                <w:color w:val="auto"/>
              </w:rPr>
            </w:pPr>
            <w:r>
              <w:rPr>
                <w:rFonts w:eastAsia="Times New Roman"/>
                <w:color w:val="auto"/>
              </w:rPr>
              <w:t>10</w:t>
            </w:r>
          </w:p>
        </w:tc>
        <w:tc>
          <w:tcPr>
            <w:tcW w:w="1805" w:type="dxa"/>
            <w:vAlign w:val="center"/>
          </w:tcPr>
          <w:p w14:paraId="296ECC8B">
            <w:pPr>
              <w:pStyle w:val="129"/>
              <w:widowControl w:val="0"/>
              <w:rPr>
                <w:rFonts w:eastAsia="Times New Roman"/>
                <w:color w:val="auto"/>
              </w:rPr>
            </w:pPr>
            <w:r>
              <w:rPr>
                <w:rFonts w:eastAsia="Times New Roman"/>
                <w:color w:val="auto"/>
              </w:rPr>
              <w:t>72.34</w:t>
            </w:r>
          </w:p>
        </w:tc>
      </w:tr>
      <w:tr w14:paraId="50F8F2E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7B1B0112">
            <w:pPr>
              <w:pStyle w:val="129"/>
              <w:widowControl w:val="0"/>
              <w:rPr>
                <w:rFonts w:eastAsia="Times New Roman"/>
                <w:color w:val="auto"/>
              </w:rPr>
            </w:pPr>
            <w:r>
              <w:rPr>
                <w:rFonts w:eastAsia="Times New Roman"/>
                <w:color w:val="auto"/>
              </w:rPr>
              <w:t>4</w:t>
            </w:r>
          </w:p>
        </w:tc>
        <w:tc>
          <w:tcPr>
            <w:tcW w:w="1858" w:type="dxa"/>
            <w:vAlign w:val="center"/>
          </w:tcPr>
          <w:p w14:paraId="5605100A">
            <w:pPr>
              <w:pStyle w:val="129"/>
              <w:widowControl w:val="0"/>
              <w:rPr>
                <w:rFonts w:eastAsia="Times New Roman"/>
                <w:color w:val="auto"/>
              </w:rPr>
            </w:pPr>
            <w:r>
              <w:rPr>
                <w:rFonts w:eastAsia="Times New Roman"/>
                <w:color w:val="auto"/>
              </w:rPr>
              <w:t>硝酸铵</w:t>
            </w:r>
          </w:p>
        </w:tc>
        <w:tc>
          <w:tcPr>
            <w:tcW w:w="1800" w:type="dxa"/>
            <w:vAlign w:val="center"/>
          </w:tcPr>
          <w:p w14:paraId="1B453D41">
            <w:pPr>
              <w:pStyle w:val="129"/>
              <w:widowControl w:val="0"/>
              <w:rPr>
                <w:rFonts w:eastAsia="Times New Roman"/>
                <w:color w:val="auto"/>
              </w:rPr>
            </w:pPr>
            <w:r>
              <w:rPr>
                <w:rFonts w:hint="eastAsia" w:eastAsia="Times New Roman"/>
                <w:color w:val="auto"/>
              </w:rPr>
              <w:t xml:space="preserve">6484-52-2 </w:t>
            </w:r>
          </w:p>
        </w:tc>
        <w:tc>
          <w:tcPr>
            <w:tcW w:w="1503" w:type="dxa"/>
            <w:vAlign w:val="center"/>
          </w:tcPr>
          <w:p w14:paraId="4A4BB67D">
            <w:pPr>
              <w:pStyle w:val="129"/>
              <w:widowControl w:val="0"/>
              <w:rPr>
                <w:rFonts w:eastAsia="Times New Roman"/>
                <w:color w:val="auto"/>
              </w:rPr>
            </w:pPr>
            <w:r>
              <w:rPr>
                <w:rFonts w:hint="eastAsia" w:eastAsia="Times New Roman"/>
                <w:color w:val="auto"/>
              </w:rPr>
              <w:t xml:space="preserve">5.14 </w:t>
            </w:r>
          </w:p>
        </w:tc>
        <w:tc>
          <w:tcPr>
            <w:tcW w:w="1288" w:type="dxa"/>
            <w:vAlign w:val="center"/>
          </w:tcPr>
          <w:p w14:paraId="55A4A503">
            <w:pPr>
              <w:pStyle w:val="129"/>
              <w:widowControl w:val="0"/>
              <w:rPr>
                <w:rFonts w:eastAsia="Times New Roman"/>
                <w:color w:val="auto"/>
              </w:rPr>
            </w:pPr>
            <w:r>
              <w:rPr>
                <w:rFonts w:eastAsia="Times New Roman"/>
                <w:color w:val="auto"/>
              </w:rPr>
              <w:t>50</w:t>
            </w:r>
          </w:p>
        </w:tc>
        <w:tc>
          <w:tcPr>
            <w:tcW w:w="1805" w:type="dxa"/>
            <w:vAlign w:val="center"/>
          </w:tcPr>
          <w:p w14:paraId="285B487F">
            <w:pPr>
              <w:pStyle w:val="129"/>
              <w:widowControl w:val="0"/>
              <w:rPr>
                <w:rFonts w:eastAsia="Times New Roman"/>
                <w:color w:val="auto"/>
              </w:rPr>
            </w:pPr>
            <w:r>
              <w:rPr>
                <w:rFonts w:eastAsia="Times New Roman"/>
                <w:color w:val="auto"/>
              </w:rPr>
              <w:t>0.10</w:t>
            </w:r>
          </w:p>
        </w:tc>
      </w:tr>
      <w:tr w14:paraId="08C9AA1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798B3552">
            <w:pPr>
              <w:pStyle w:val="129"/>
              <w:widowControl w:val="0"/>
              <w:rPr>
                <w:rFonts w:eastAsia="Times New Roman"/>
                <w:color w:val="auto"/>
              </w:rPr>
            </w:pPr>
            <w:r>
              <w:rPr>
                <w:rFonts w:eastAsia="Times New Roman"/>
                <w:color w:val="auto"/>
              </w:rPr>
              <w:t>5</w:t>
            </w:r>
          </w:p>
        </w:tc>
        <w:tc>
          <w:tcPr>
            <w:tcW w:w="1858" w:type="dxa"/>
            <w:vAlign w:val="center"/>
          </w:tcPr>
          <w:p w14:paraId="6C898DD6">
            <w:pPr>
              <w:pStyle w:val="129"/>
              <w:widowControl w:val="0"/>
              <w:rPr>
                <w:rFonts w:eastAsia="Times New Roman"/>
                <w:color w:val="auto"/>
              </w:rPr>
            </w:pPr>
            <w:r>
              <w:rPr>
                <w:rFonts w:eastAsia="Times New Roman"/>
                <w:color w:val="auto"/>
              </w:rPr>
              <w:t>磷酸</w:t>
            </w:r>
          </w:p>
        </w:tc>
        <w:tc>
          <w:tcPr>
            <w:tcW w:w="1800" w:type="dxa"/>
            <w:vAlign w:val="center"/>
          </w:tcPr>
          <w:p w14:paraId="74133F1A">
            <w:pPr>
              <w:pStyle w:val="129"/>
              <w:widowControl w:val="0"/>
              <w:rPr>
                <w:rFonts w:eastAsia="Times New Roman"/>
                <w:color w:val="auto"/>
              </w:rPr>
            </w:pPr>
            <w:r>
              <w:rPr>
                <w:rFonts w:hint="eastAsia" w:eastAsia="Times New Roman"/>
                <w:color w:val="auto"/>
              </w:rPr>
              <w:t xml:space="preserve">7664-38-2 </w:t>
            </w:r>
          </w:p>
        </w:tc>
        <w:tc>
          <w:tcPr>
            <w:tcW w:w="1503" w:type="dxa"/>
            <w:vAlign w:val="center"/>
          </w:tcPr>
          <w:p w14:paraId="2168CC19">
            <w:pPr>
              <w:pStyle w:val="129"/>
              <w:widowControl w:val="0"/>
              <w:rPr>
                <w:rFonts w:eastAsia="Times New Roman"/>
                <w:color w:val="auto"/>
              </w:rPr>
            </w:pPr>
            <w:r>
              <w:rPr>
                <w:rFonts w:hint="eastAsia" w:eastAsia="Times New Roman"/>
                <w:color w:val="auto"/>
              </w:rPr>
              <w:t xml:space="preserve">0.62 </w:t>
            </w:r>
          </w:p>
        </w:tc>
        <w:tc>
          <w:tcPr>
            <w:tcW w:w="1288" w:type="dxa"/>
            <w:vAlign w:val="center"/>
          </w:tcPr>
          <w:p w14:paraId="4C6A941A">
            <w:pPr>
              <w:pStyle w:val="129"/>
              <w:widowControl w:val="0"/>
              <w:rPr>
                <w:rFonts w:eastAsia="Times New Roman"/>
                <w:color w:val="auto"/>
              </w:rPr>
            </w:pPr>
            <w:r>
              <w:rPr>
                <w:rFonts w:eastAsia="Times New Roman"/>
                <w:color w:val="auto"/>
              </w:rPr>
              <w:t>10</w:t>
            </w:r>
          </w:p>
        </w:tc>
        <w:tc>
          <w:tcPr>
            <w:tcW w:w="1805" w:type="dxa"/>
            <w:vAlign w:val="center"/>
          </w:tcPr>
          <w:p w14:paraId="2FC08C0D">
            <w:pPr>
              <w:pStyle w:val="129"/>
              <w:widowControl w:val="0"/>
              <w:rPr>
                <w:rFonts w:eastAsia="Times New Roman"/>
                <w:color w:val="auto"/>
              </w:rPr>
            </w:pPr>
            <w:r>
              <w:rPr>
                <w:rFonts w:eastAsia="Times New Roman"/>
                <w:color w:val="auto"/>
              </w:rPr>
              <w:t>0.06</w:t>
            </w:r>
          </w:p>
        </w:tc>
      </w:tr>
      <w:tr w14:paraId="70FF5D9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3B8DEB66">
            <w:pPr>
              <w:pStyle w:val="129"/>
              <w:widowControl w:val="0"/>
              <w:rPr>
                <w:rFonts w:eastAsia="Times New Roman"/>
                <w:color w:val="auto"/>
              </w:rPr>
            </w:pPr>
            <w:r>
              <w:rPr>
                <w:rFonts w:eastAsia="Times New Roman"/>
                <w:color w:val="auto"/>
              </w:rPr>
              <w:t>6</w:t>
            </w:r>
          </w:p>
        </w:tc>
        <w:tc>
          <w:tcPr>
            <w:tcW w:w="1858" w:type="dxa"/>
            <w:vAlign w:val="center"/>
          </w:tcPr>
          <w:p w14:paraId="4E8C7BC0">
            <w:pPr>
              <w:pStyle w:val="129"/>
              <w:widowControl w:val="0"/>
              <w:rPr>
                <w:rFonts w:eastAsia="Times New Roman"/>
                <w:color w:val="auto"/>
              </w:rPr>
            </w:pPr>
            <w:r>
              <w:rPr>
                <w:rFonts w:eastAsia="Times New Roman"/>
                <w:color w:val="auto"/>
              </w:rPr>
              <w:t>硫酸</w:t>
            </w:r>
          </w:p>
        </w:tc>
        <w:tc>
          <w:tcPr>
            <w:tcW w:w="1800" w:type="dxa"/>
            <w:vAlign w:val="center"/>
          </w:tcPr>
          <w:p w14:paraId="7E744A77">
            <w:pPr>
              <w:pStyle w:val="129"/>
              <w:widowControl w:val="0"/>
              <w:rPr>
                <w:rFonts w:eastAsia="Times New Roman"/>
                <w:color w:val="auto"/>
              </w:rPr>
            </w:pPr>
            <w:r>
              <w:rPr>
                <w:rFonts w:eastAsia="Times New Roman"/>
                <w:color w:val="auto"/>
              </w:rPr>
              <w:t xml:space="preserve">7664-93-9 </w:t>
            </w:r>
          </w:p>
        </w:tc>
        <w:tc>
          <w:tcPr>
            <w:tcW w:w="1503" w:type="dxa"/>
            <w:vAlign w:val="center"/>
          </w:tcPr>
          <w:p w14:paraId="4E59AFA4">
            <w:pPr>
              <w:pStyle w:val="129"/>
              <w:widowControl w:val="0"/>
              <w:rPr>
                <w:rFonts w:eastAsia="Times New Roman"/>
                <w:color w:val="auto"/>
              </w:rPr>
            </w:pPr>
            <w:r>
              <w:rPr>
                <w:rFonts w:hint="eastAsia" w:eastAsia="Times New Roman"/>
                <w:color w:val="auto"/>
              </w:rPr>
              <w:t xml:space="preserve">160.82 </w:t>
            </w:r>
          </w:p>
        </w:tc>
        <w:tc>
          <w:tcPr>
            <w:tcW w:w="1287" w:type="dxa"/>
            <w:vAlign w:val="center"/>
          </w:tcPr>
          <w:p w14:paraId="61B3FC85">
            <w:pPr>
              <w:pStyle w:val="129"/>
              <w:widowControl w:val="0"/>
              <w:rPr>
                <w:rFonts w:eastAsia="Times New Roman"/>
                <w:color w:val="auto"/>
              </w:rPr>
            </w:pPr>
            <w:r>
              <w:rPr>
                <w:rFonts w:eastAsia="Times New Roman"/>
                <w:color w:val="auto"/>
              </w:rPr>
              <w:t>10</w:t>
            </w:r>
          </w:p>
        </w:tc>
        <w:tc>
          <w:tcPr>
            <w:tcW w:w="1805" w:type="dxa"/>
            <w:vAlign w:val="center"/>
          </w:tcPr>
          <w:p w14:paraId="50EB6144">
            <w:pPr>
              <w:pStyle w:val="129"/>
              <w:widowControl w:val="0"/>
              <w:rPr>
                <w:rFonts w:eastAsia="Times New Roman"/>
                <w:color w:val="auto"/>
              </w:rPr>
            </w:pPr>
            <w:r>
              <w:rPr>
                <w:rFonts w:eastAsia="Times New Roman"/>
                <w:color w:val="auto"/>
              </w:rPr>
              <w:t>16.08</w:t>
            </w:r>
          </w:p>
        </w:tc>
      </w:tr>
      <w:tr w14:paraId="2275883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0FB58B26">
            <w:pPr>
              <w:pStyle w:val="129"/>
              <w:widowControl w:val="0"/>
              <w:rPr>
                <w:rFonts w:eastAsia="Times New Roman"/>
                <w:color w:val="auto"/>
              </w:rPr>
            </w:pPr>
            <w:r>
              <w:rPr>
                <w:rFonts w:eastAsia="Times New Roman"/>
                <w:color w:val="auto"/>
              </w:rPr>
              <w:t>7</w:t>
            </w:r>
          </w:p>
        </w:tc>
        <w:tc>
          <w:tcPr>
            <w:tcW w:w="1858" w:type="dxa"/>
            <w:vAlign w:val="center"/>
          </w:tcPr>
          <w:p w14:paraId="42A7F3DE">
            <w:pPr>
              <w:pStyle w:val="129"/>
              <w:widowControl w:val="0"/>
              <w:rPr>
                <w:rFonts w:eastAsia="Times New Roman"/>
                <w:color w:val="auto"/>
              </w:rPr>
            </w:pPr>
            <w:r>
              <w:rPr>
                <w:rFonts w:eastAsia="Times New Roman"/>
                <w:color w:val="auto"/>
              </w:rPr>
              <w:t>含氯化铝废酸液</w:t>
            </w:r>
          </w:p>
        </w:tc>
        <w:tc>
          <w:tcPr>
            <w:tcW w:w="1800" w:type="dxa"/>
            <w:vAlign w:val="center"/>
          </w:tcPr>
          <w:p w14:paraId="404354EE">
            <w:pPr>
              <w:pStyle w:val="129"/>
              <w:widowControl w:val="0"/>
              <w:rPr>
                <w:rFonts w:eastAsia="Times New Roman"/>
                <w:color w:val="auto"/>
              </w:rPr>
            </w:pPr>
            <w:r>
              <w:rPr>
                <w:rFonts w:hint="eastAsia" w:eastAsia="Times New Roman"/>
                <w:color w:val="auto"/>
              </w:rPr>
              <w:t xml:space="preserve">7446-70-0 </w:t>
            </w:r>
          </w:p>
        </w:tc>
        <w:tc>
          <w:tcPr>
            <w:tcW w:w="1503" w:type="dxa"/>
            <w:vAlign w:val="center"/>
          </w:tcPr>
          <w:p w14:paraId="721DFAA9">
            <w:pPr>
              <w:pStyle w:val="129"/>
              <w:widowControl w:val="0"/>
              <w:rPr>
                <w:rFonts w:eastAsia="Times New Roman"/>
                <w:color w:val="auto"/>
              </w:rPr>
            </w:pPr>
            <w:r>
              <w:rPr>
                <w:rFonts w:eastAsia="Times New Roman"/>
                <w:color w:val="auto"/>
              </w:rPr>
              <w:t xml:space="preserve">2.70 </w:t>
            </w:r>
          </w:p>
        </w:tc>
        <w:tc>
          <w:tcPr>
            <w:tcW w:w="1288" w:type="dxa"/>
            <w:vAlign w:val="center"/>
          </w:tcPr>
          <w:p w14:paraId="03261B30">
            <w:pPr>
              <w:pStyle w:val="129"/>
              <w:widowControl w:val="0"/>
              <w:rPr>
                <w:rFonts w:eastAsia="Times New Roman"/>
                <w:color w:val="auto"/>
              </w:rPr>
            </w:pPr>
            <w:r>
              <w:rPr>
                <w:rFonts w:eastAsia="Times New Roman"/>
                <w:color w:val="auto"/>
              </w:rPr>
              <w:t>5</w:t>
            </w:r>
          </w:p>
        </w:tc>
        <w:tc>
          <w:tcPr>
            <w:tcW w:w="1805" w:type="dxa"/>
            <w:vAlign w:val="center"/>
          </w:tcPr>
          <w:p w14:paraId="67EDA23A">
            <w:pPr>
              <w:pStyle w:val="129"/>
              <w:widowControl w:val="0"/>
              <w:rPr>
                <w:rFonts w:eastAsia="Times New Roman"/>
                <w:color w:val="auto"/>
              </w:rPr>
            </w:pPr>
            <w:r>
              <w:rPr>
                <w:rFonts w:eastAsia="Times New Roman"/>
                <w:color w:val="auto"/>
              </w:rPr>
              <w:t>0.54</w:t>
            </w:r>
          </w:p>
        </w:tc>
      </w:tr>
      <w:tr w14:paraId="60EEF1B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11F70A69">
            <w:pPr>
              <w:pStyle w:val="129"/>
              <w:widowControl w:val="0"/>
              <w:rPr>
                <w:rFonts w:eastAsia="Times New Roman"/>
                <w:color w:val="auto"/>
              </w:rPr>
            </w:pPr>
            <w:r>
              <w:rPr>
                <w:rFonts w:eastAsia="Times New Roman"/>
                <w:color w:val="auto"/>
              </w:rPr>
              <w:t>8</w:t>
            </w:r>
          </w:p>
        </w:tc>
        <w:tc>
          <w:tcPr>
            <w:tcW w:w="1858" w:type="dxa"/>
            <w:vAlign w:val="center"/>
          </w:tcPr>
          <w:p w14:paraId="4D57179D">
            <w:pPr>
              <w:pStyle w:val="129"/>
              <w:widowControl w:val="0"/>
              <w:rPr>
                <w:rFonts w:eastAsia="Times New Roman"/>
                <w:color w:val="auto"/>
              </w:rPr>
            </w:pPr>
            <w:r>
              <w:rPr>
                <w:rFonts w:eastAsia="Times New Roman"/>
                <w:color w:val="auto"/>
              </w:rPr>
              <w:t>硫酸铵</w:t>
            </w:r>
          </w:p>
        </w:tc>
        <w:tc>
          <w:tcPr>
            <w:tcW w:w="1800" w:type="dxa"/>
            <w:vAlign w:val="center"/>
          </w:tcPr>
          <w:p w14:paraId="2131C817">
            <w:pPr>
              <w:pStyle w:val="129"/>
              <w:widowControl w:val="0"/>
              <w:rPr>
                <w:rFonts w:eastAsia="Times New Roman"/>
                <w:color w:val="auto"/>
              </w:rPr>
            </w:pPr>
            <w:r>
              <w:rPr>
                <w:rFonts w:hint="eastAsia" w:eastAsia="Times New Roman"/>
                <w:color w:val="auto"/>
              </w:rPr>
              <w:t>7783-20-2</w:t>
            </w:r>
          </w:p>
        </w:tc>
        <w:tc>
          <w:tcPr>
            <w:tcW w:w="1503" w:type="dxa"/>
            <w:vAlign w:val="center"/>
          </w:tcPr>
          <w:p w14:paraId="0DD5DCF8">
            <w:pPr>
              <w:pStyle w:val="129"/>
              <w:widowControl w:val="0"/>
              <w:rPr>
                <w:rFonts w:eastAsia="Times New Roman"/>
                <w:color w:val="auto"/>
              </w:rPr>
            </w:pPr>
            <w:r>
              <w:rPr>
                <w:rFonts w:eastAsia="Times New Roman"/>
                <w:color w:val="auto"/>
              </w:rPr>
              <w:t>209.44</w:t>
            </w:r>
          </w:p>
        </w:tc>
        <w:tc>
          <w:tcPr>
            <w:tcW w:w="1288" w:type="dxa"/>
            <w:vAlign w:val="center"/>
          </w:tcPr>
          <w:p w14:paraId="608ADBED">
            <w:pPr>
              <w:pStyle w:val="129"/>
              <w:widowControl w:val="0"/>
              <w:rPr>
                <w:rFonts w:eastAsia="Times New Roman"/>
                <w:color w:val="auto"/>
              </w:rPr>
            </w:pPr>
            <w:r>
              <w:rPr>
                <w:rFonts w:eastAsia="Times New Roman"/>
                <w:color w:val="auto"/>
              </w:rPr>
              <w:t>10</w:t>
            </w:r>
          </w:p>
        </w:tc>
        <w:tc>
          <w:tcPr>
            <w:tcW w:w="1805" w:type="dxa"/>
            <w:vAlign w:val="center"/>
          </w:tcPr>
          <w:p w14:paraId="4A23F807">
            <w:pPr>
              <w:pStyle w:val="129"/>
              <w:widowControl w:val="0"/>
              <w:rPr>
                <w:rFonts w:eastAsia="Times New Roman"/>
                <w:color w:val="auto"/>
              </w:rPr>
            </w:pPr>
            <w:r>
              <w:rPr>
                <w:rFonts w:eastAsia="Times New Roman"/>
                <w:color w:val="auto"/>
              </w:rPr>
              <w:t>20.94</w:t>
            </w:r>
          </w:p>
        </w:tc>
      </w:tr>
      <w:tr w14:paraId="63B2217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49BBFD21">
            <w:pPr>
              <w:pStyle w:val="129"/>
              <w:widowControl w:val="0"/>
              <w:rPr>
                <w:rFonts w:eastAsia="Times New Roman"/>
                <w:color w:val="auto"/>
              </w:rPr>
            </w:pPr>
            <w:r>
              <w:rPr>
                <w:rFonts w:eastAsia="Times New Roman"/>
                <w:color w:val="auto"/>
              </w:rPr>
              <w:t>9</w:t>
            </w:r>
          </w:p>
        </w:tc>
        <w:tc>
          <w:tcPr>
            <w:tcW w:w="1858" w:type="dxa"/>
            <w:vAlign w:val="center"/>
          </w:tcPr>
          <w:p w14:paraId="4BEABA4C">
            <w:pPr>
              <w:pStyle w:val="129"/>
              <w:widowControl w:val="0"/>
              <w:rPr>
                <w:rFonts w:eastAsia="Times New Roman"/>
                <w:color w:val="auto"/>
              </w:rPr>
            </w:pPr>
            <w:r>
              <w:rPr>
                <w:rFonts w:hint="eastAsia" w:eastAsia="Times New Roman"/>
                <w:color w:val="auto"/>
              </w:rPr>
              <w:t>硝酸</w:t>
            </w:r>
          </w:p>
        </w:tc>
        <w:tc>
          <w:tcPr>
            <w:tcW w:w="1800" w:type="dxa"/>
            <w:vAlign w:val="center"/>
          </w:tcPr>
          <w:p w14:paraId="06F9D140">
            <w:pPr>
              <w:pStyle w:val="129"/>
              <w:widowControl w:val="0"/>
              <w:rPr>
                <w:rFonts w:eastAsia="Times New Roman"/>
                <w:color w:val="auto"/>
              </w:rPr>
            </w:pPr>
            <w:r>
              <w:rPr>
                <w:rFonts w:eastAsia="Times New Roman"/>
                <w:color w:val="auto"/>
              </w:rPr>
              <w:t>7697-37-2</w:t>
            </w:r>
          </w:p>
        </w:tc>
        <w:tc>
          <w:tcPr>
            <w:tcW w:w="1503" w:type="dxa"/>
            <w:vAlign w:val="center"/>
          </w:tcPr>
          <w:p w14:paraId="38DD3D59">
            <w:pPr>
              <w:pStyle w:val="129"/>
              <w:widowControl w:val="0"/>
              <w:rPr>
                <w:rFonts w:eastAsia="Times New Roman"/>
                <w:color w:val="auto"/>
              </w:rPr>
            </w:pPr>
            <w:r>
              <w:rPr>
                <w:rFonts w:hint="eastAsia" w:eastAsia="Times New Roman"/>
                <w:color w:val="auto"/>
              </w:rPr>
              <w:t>37.48</w:t>
            </w:r>
          </w:p>
        </w:tc>
        <w:tc>
          <w:tcPr>
            <w:tcW w:w="1288" w:type="dxa"/>
            <w:vAlign w:val="center"/>
          </w:tcPr>
          <w:p w14:paraId="1A87428C">
            <w:pPr>
              <w:pStyle w:val="129"/>
              <w:widowControl w:val="0"/>
              <w:rPr>
                <w:rFonts w:eastAsia="Times New Roman"/>
                <w:color w:val="auto"/>
              </w:rPr>
            </w:pPr>
            <w:r>
              <w:rPr>
                <w:rFonts w:hint="eastAsia" w:eastAsia="Times New Roman"/>
                <w:color w:val="auto"/>
              </w:rPr>
              <w:t>7.5</w:t>
            </w:r>
          </w:p>
        </w:tc>
        <w:tc>
          <w:tcPr>
            <w:tcW w:w="1805" w:type="dxa"/>
            <w:vAlign w:val="center"/>
          </w:tcPr>
          <w:p w14:paraId="5210A5B6">
            <w:pPr>
              <w:pStyle w:val="129"/>
              <w:widowControl w:val="0"/>
              <w:rPr>
                <w:rFonts w:eastAsia="Times New Roman"/>
                <w:color w:val="auto"/>
              </w:rPr>
            </w:pPr>
            <w:r>
              <w:rPr>
                <w:rFonts w:eastAsia="Times New Roman"/>
                <w:color w:val="auto"/>
              </w:rPr>
              <w:t>5.00</w:t>
            </w:r>
          </w:p>
        </w:tc>
      </w:tr>
      <w:tr w14:paraId="33C5875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43B9BC39">
            <w:pPr>
              <w:pStyle w:val="129"/>
              <w:widowControl w:val="0"/>
              <w:rPr>
                <w:rFonts w:eastAsia="Times New Roman"/>
                <w:color w:val="auto"/>
              </w:rPr>
            </w:pPr>
            <w:r>
              <w:rPr>
                <w:rFonts w:eastAsia="Times New Roman"/>
                <w:color w:val="auto"/>
              </w:rPr>
              <w:t>10</w:t>
            </w:r>
          </w:p>
        </w:tc>
        <w:tc>
          <w:tcPr>
            <w:tcW w:w="1858" w:type="dxa"/>
            <w:vAlign w:val="center"/>
          </w:tcPr>
          <w:p w14:paraId="4776BE2F">
            <w:pPr>
              <w:pStyle w:val="129"/>
              <w:widowControl w:val="0"/>
              <w:rPr>
                <w:rFonts w:eastAsia="Times New Roman"/>
                <w:color w:val="auto"/>
              </w:rPr>
            </w:pPr>
            <w:r>
              <w:rPr>
                <w:rFonts w:hint="eastAsia" w:eastAsia="Times New Roman"/>
                <w:color w:val="auto"/>
              </w:rPr>
              <w:t>脱硝催化剂</w:t>
            </w:r>
          </w:p>
        </w:tc>
        <w:tc>
          <w:tcPr>
            <w:tcW w:w="1800" w:type="dxa"/>
            <w:vAlign w:val="center"/>
          </w:tcPr>
          <w:p w14:paraId="316AE4FF">
            <w:pPr>
              <w:pStyle w:val="129"/>
              <w:widowControl w:val="0"/>
              <w:rPr>
                <w:rFonts w:eastAsia="Times New Roman"/>
                <w:color w:val="auto"/>
              </w:rPr>
            </w:pPr>
            <w:r>
              <w:rPr>
                <w:rFonts w:hint="eastAsia" w:eastAsia="Times New Roman"/>
                <w:color w:val="auto"/>
              </w:rPr>
              <w:t>/</w:t>
            </w:r>
          </w:p>
        </w:tc>
        <w:tc>
          <w:tcPr>
            <w:tcW w:w="1503" w:type="dxa"/>
            <w:vAlign w:val="center"/>
          </w:tcPr>
          <w:p w14:paraId="6CDFCEE5">
            <w:pPr>
              <w:pStyle w:val="129"/>
              <w:widowControl w:val="0"/>
              <w:rPr>
                <w:rFonts w:eastAsia="Times New Roman"/>
                <w:color w:val="auto"/>
              </w:rPr>
            </w:pPr>
            <w:r>
              <w:rPr>
                <w:rFonts w:hint="eastAsia" w:eastAsia="Times New Roman"/>
                <w:color w:val="auto"/>
              </w:rPr>
              <w:t>13.89</w:t>
            </w:r>
          </w:p>
        </w:tc>
        <w:tc>
          <w:tcPr>
            <w:tcW w:w="1288" w:type="dxa"/>
            <w:vAlign w:val="center"/>
          </w:tcPr>
          <w:p w14:paraId="6111133C">
            <w:pPr>
              <w:pStyle w:val="129"/>
              <w:widowControl w:val="0"/>
              <w:rPr>
                <w:rFonts w:eastAsia="Times New Roman"/>
                <w:color w:val="auto"/>
              </w:rPr>
            </w:pPr>
            <w:r>
              <w:rPr>
                <w:rFonts w:hint="eastAsia" w:eastAsia="Times New Roman"/>
                <w:color w:val="auto"/>
              </w:rPr>
              <w:t>0.25</w:t>
            </w:r>
          </w:p>
        </w:tc>
        <w:tc>
          <w:tcPr>
            <w:tcW w:w="1805" w:type="dxa"/>
            <w:vAlign w:val="center"/>
          </w:tcPr>
          <w:p w14:paraId="671BE24D">
            <w:pPr>
              <w:pStyle w:val="129"/>
              <w:widowControl w:val="0"/>
              <w:rPr>
                <w:rFonts w:eastAsia="Times New Roman"/>
                <w:color w:val="auto"/>
              </w:rPr>
            </w:pPr>
            <w:r>
              <w:rPr>
                <w:rFonts w:eastAsia="Times New Roman"/>
                <w:color w:val="auto"/>
              </w:rPr>
              <w:t>55.56</w:t>
            </w:r>
          </w:p>
        </w:tc>
      </w:tr>
      <w:tr w14:paraId="0309C8E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32" w:type="dxa"/>
            <w:vAlign w:val="center"/>
          </w:tcPr>
          <w:p w14:paraId="3BE575CF">
            <w:pPr>
              <w:pStyle w:val="129"/>
              <w:widowControl w:val="0"/>
              <w:rPr>
                <w:rFonts w:eastAsia="Times New Roman"/>
                <w:color w:val="auto"/>
              </w:rPr>
            </w:pPr>
            <w:r>
              <w:rPr>
                <w:rFonts w:eastAsia="Times New Roman"/>
                <w:color w:val="auto"/>
              </w:rPr>
              <w:t>11</w:t>
            </w:r>
          </w:p>
        </w:tc>
        <w:tc>
          <w:tcPr>
            <w:tcW w:w="1858" w:type="dxa"/>
            <w:vAlign w:val="center"/>
          </w:tcPr>
          <w:p w14:paraId="6CE56D4C">
            <w:pPr>
              <w:pStyle w:val="129"/>
              <w:widowControl w:val="0"/>
              <w:rPr>
                <w:rFonts w:eastAsia="Times New Roman"/>
                <w:color w:val="auto"/>
              </w:rPr>
            </w:pPr>
            <w:r>
              <w:rPr>
                <w:rFonts w:hint="eastAsia" w:eastAsia="Times New Roman"/>
                <w:color w:val="auto"/>
              </w:rPr>
              <w:t>废机油</w:t>
            </w:r>
          </w:p>
        </w:tc>
        <w:tc>
          <w:tcPr>
            <w:tcW w:w="1800" w:type="dxa"/>
            <w:vAlign w:val="center"/>
          </w:tcPr>
          <w:p w14:paraId="389EFA6A">
            <w:pPr>
              <w:pStyle w:val="129"/>
              <w:widowControl w:val="0"/>
              <w:rPr>
                <w:rFonts w:eastAsia="Times New Roman"/>
                <w:color w:val="auto"/>
              </w:rPr>
            </w:pPr>
            <w:r>
              <w:rPr>
                <w:rFonts w:hint="eastAsia" w:eastAsia="Times New Roman"/>
                <w:color w:val="auto"/>
              </w:rPr>
              <w:t>/</w:t>
            </w:r>
          </w:p>
        </w:tc>
        <w:tc>
          <w:tcPr>
            <w:tcW w:w="1503" w:type="dxa"/>
            <w:vAlign w:val="center"/>
          </w:tcPr>
          <w:p w14:paraId="45F98D73">
            <w:pPr>
              <w:pStyle w:val="129"/>
              <w:widowControl w:val="0"/>
              <w:rPr>
                <w:rFonts w:eastAsia="Times New Roman"/>
                <w:color w:val="auto"/>
              </w:rPr>
            </w:pPr>
            <w:r>
              <w:rPr>
                <w:rFonts w:hint="eastAsia" w:eastAsia="Times New Roman"/>
                <w:color w:val="auto"/>
              </w:rPr>
              <w:t>0.2</w:t>
            </w:r>
          </w:p>
        </w:tc>
        <w:tc>
          <w:tcPr>
            <w:tcW w:w="1288" w:type="dxa"/>
            <w:vAlign w:val="center"/>
          </w:tcPr>
          <w:p w14:paraId="11B43F8F">
            <w:pPr>
              <w:pStyle w:val="129"/>
              <w:widowControl w:val="0"/>
              <w:rPr>
                <w:rFonts w:eastAsia="Times New Roman"/>
                <w:color w:val="auto"/>
              </w:rPr>
            </w:pPr>
            <w:r>
              <w:rPr>
                <w:rFonts w:hint="eastAsia" w:eastAsia="Times New Roman"/>
                <w:color w:val="auto"/>
              </w:rPr>
              <w:t>2500</w:t>
            </w:r>
          </w:p>
        </w:tc>
        <w:tc>
          <w:tcPr>
            <w:tcW w:w="1805" w:type="dxa"/>
            <w:vAlign w:val="center"/>
          </w:tcPr>
          <w:p w14:paraId="4AF70F10">
            <w:pPr>
              <w:pStyle w:val="129"/>
              <w:widowControl w:val="0"/>
              <w:rPr>
                <w:rFonts w:eastAsia="Times New Roman"/>
                <w:color w:val="auto"/>
              </w:rPr>
            </w:pPr>
            <w:r>
              <w:rPr>
                <w:rFonts w:eastAsia="Times New Roman"/>
                <w:color w:val="auto"/>
              </w:rPr>
              <w:t>0.00</w:t>
            </w:r>
          </w:p>
        </w:tc>
      </w:tr>
      <w:tr w14:paraId="601E541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3972" w:type="pct"/>
            <w:gridSpan w:val="5"/>
            <w:vAlign w:val="center"/>
          </w:tcPr>
          <w:p w14:paraId="296D3BEF">
            <w:pPr>
              <w:pStyle w:val="129"/>
              <w:widowControl w:val="0"/>
              <w:rPr>
                <w:rFonts w:eastAsia="Times New Roman"/>
                <w:color w:val="auto"/>
              </w:rPr>
            </w:pPr>
            <w:r>
              <w:rPr>
                <w:rFonts w:hint="eastAsia" w:eastAsia="Times New Roman"/>
                <w:color w:val="auto"/>
              </w:rPr>
              <w:t>项目</w:t>
            </w:r>
            <w:r>
              <w:rPr>
                <w:rFonts w:eastAsia="Times New Roman"/>
                <w:color w:val="auto"/>
              </w:rPr>
              <w:t xml:space="preserve">Q </w:t>
            </w:r>
            <w:r>
              <w:rPr>
                <w:rFonts w:hint="eastAsia" w:eastAsia="Times New Roman"/>
                <w:color w:val="auto"/>
              </w:rPr>
              <w:t>值</w:t>
            </w:r>
            <w:r>
              <w:rPr>
                <w:rFonts w:eastAsia="Times New Roman"/>
                <w:color w:val="auto"/>
              </w:rPr>
              <w:t>Σ</w:t>
            </w:r>
          </w:p>
        </w:tc>
        <w:tc>
          <w:tcPr>
            <w:tcW w:w="1027" w:type="pct"/>
            <w:vAlign w:val="center"/>
          </w:tcPr>
          <w:p w14:paraId="5EA0F686">
            <w:pPr>
              <w:pStyle w:val="129"/>
              <w:widowControl w:val="0"/>
              <w:rPr>
                <w:rFonts w:eastAsia="Times New Roman"/>
                <w:color w:val="auto"/>
              </w:rPr>
            </w:pPr>
            <w:r>
              <w:rPr>
                <w:rFonts w:hint="eastAsia" w:eastAsia="Times New Roman"/>
                <w:color w:val="auto"/>
              </w:rPr>
              <w:t>171.68</w:t>
            </w:r>
          </w:p>
        </w:tc>
      </w:tr>
    </w:tbl>
    <w:p w14:paraId="068CAEEE">
      <w:pPr>
        <w:pStyle w:val="1304"/>
        <w:rPr>
          <w:color w:val="auto"/>
        </w:rPr>
      </w:pPr>
    </w:p>
    <w:p w14:paraId="5E1F9941">
      <w:pPr>
        <w:pStyle w:val="132"/>
        <w:rPr>
          <w:color w:val="auto"/>
        </w:rPr>
      </w:pPr>
      <w:r>
        <w:rPr>
          <w:rFonts w:hint="eastAsia"/>
          <w:color w:val="auto"/>
        </w:rPr>
        <w:t>由上表可知，项目全厂突发性环境风险事件风险物质的Q值为171.68，属于Q≥100的情况。</w:t>
      </w:r>
    </w:p>
    <w:p w14:paraId="7D4746AC">
      <w:pPr>
        <w:pStyle w:val="5"/>
        <w:rPr>
          <w:color w:val="auto"/>
        </w:rPr>
      </w:pPr>
      <w:r>
        <w:rPr>
          <w:rFonts w:hint="eastAsia"/>
          <w:color w:val="auto"/>
        </w:rPr>
        <w:t>行业及生产工艺（M）的确定</w:t>
      </w:r>
    </w:p>
    <w:p w14:paraId="326F428D">
      <w:pPr>
        <w:pStyle w:val="132"/>
        <w:rPr>
          <w:color w:val="auto"/>
        </w:rPr>
      </w:pPr>
      <w:r>
        <w:rPr>
          <w:rFonts w:hint="eastAsia"/>
          <w:color w:val="auto"/>
        </w:rPr>
        <w:t>分析项目所属行业及生产工艺特点，按照表7.3-2评估生产工艺情况。具有多套工艺单元的项目，对每套生产工艺分别评分并求和。将M划分为（1）M＞20；（2）10＜M≤20；（3）5＜M≤10；（4）M=5，分别以M1、M2、M3、和M4表示。</w:t>
      </w:r>
    </w:p>
    <w:p w14:paraId="7158DDAE">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2</w:t>
      </w:r>
      <w:r>
        <w:rPr>
          <w:color w:val="auto"/>
        </w:rPr>
        <w:fldChar w:fldCharType="end"/>
      </w:r>
      <w:r>
        <w:rPr>
          <w:rFonts w:hint="eastAsia"/>
          <w:color w:val="auto"/>
        </w:rPr>
        <w:t xml:space="preserve">  行业及生产工艺评估表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585"/>
        <w:gridCol w:w="5743"/>
        <w:gridCol w:w="1458"/>
      </w:tblGrid>
      <w:tr w14:paraId="671709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902" w:type="pct"/>
            <w:vAlign w:val="center"/>
          </w:tcPr>
          <w:p w14:paraId="793D60D5">
            <w:pPr>
              <w:pStyle w:val="129"/>
              <w:widowControl w:val="0"/>
              <w:rPr>
                <w:color w:val="auto"/>
              </w:rPr>
            </w:pPr>
            <w:r>
              <w:rPr>
                <w:color w:val="auto"/>
              </w:rPr>
              <w:t>行业</w:t>
            </w:r>
          </w:p>
        </w:tc>
        <w:tc>
          <w:tcPr>
            <w:tcW w:w="3268" w:type="pct"/>
            <w:vAlign w:val="center"/>
          </w:tcPr>
          <w:p w14:paraId="42B8B8B3">
            <w:pPr>
              <w:pStyle w:val="129"/>
              <w:widowControl w:val="0"/>
              <w:rPr>
                <w:color w:val="auto"/>
              </w:rPr>
            </w:pPr>
            <w:r>
              <w:rPr>
                <w:color w:val="auto"/>
              </w:rPr>
              <w:t>评估依据</w:t>
            </w:r>
          </w:p>
        </w:tc>
        <w:tc>
          <w:tcPr>
            <w:tcW w:w="830" w:type="pct"/>
            <w:vAlign w:val="center"/>
          </w:tcPr>
          <w:p w14:paraId="43928577">
            <w:pPr>
              <w:pStyle w:val="129"/>
              <w:widowControl w:val="0"/>
              <w:rPr>
                <w:color w:val="auto"/>
              </w:rPr>
            </w:pPr>
            <w:r>
              <w:rPr>
                <w:color w:val="auto"/>
              </w:rPr>
              <w:t>分值</w:t>
            </w:r>
          </w:p>
        </w:tc>
      </w:tr>
      <w:tr w14:paraId="75AA15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902" w:type="pct"/>
            <w:vMerge w:val="restart"/>
            <w:vAlign w:val="center"/>
          </w:tcPr>
          <w:p w14:paraId="79CC144D">
            <w:pPr>
              <w:pStyle w:val="129"/>
              <w:widowControl w:val="0"/>
              <w:rPr>
                <w:color w:val="auto"/>
              </w:rPr>
            </w:pPr>
            <w:r>
              <w:rPr>
                <w:color w:val="auto"/>
              </w:rPr>
              <w:t>石化、化工、医药、轻工、化纤、有色冶炼等</w:t>
            </w:r>
          </w:p>
        </w:tc>
        <w:tc>
          <w:tcPr>
            <w:tcW w:w="3268" w:type="pct"/>
            <w:vAlign w:val="center"/>
          </w:tcPr>
          <w:p w14:paraId="2533C58F">
            <w:pPr>
              <w:pStyle w:val="129"/>
              <w:widowControl w:val="0"/>
              <w:rPr>
                <w:color w:val="auto"/>
              </w:rPr>
            </w:pPr>
            <w:r>
              <w:rPr>
                <w:color w:val="auto"/>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830" w:type="pct"/>
            <w:vAlign w:val="center"/>
          </w:tcPr>
          <w:p w14:paraId="4E2ED4E4">
            <w:pPr>
              <w:pStyle w:val="129"/>
              <w:widowControl w:val="0"/>
              <w:rPr>
                <w:color w:val="auto"/>
              </w:rPr>
            </w:pPr>
            <w:r>
              <w:rPr>
                <w:color w:val="auto"/>
              </w:rPr>
              <w:t>10/套</w:t>
            </w:r>
          </w:p>
        </w:tc>
      </w:tr>
      <w:tr w14:paraId="02BBD2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0" w:type="auto"/>
            <w:vMerge w:val="continue"/>
            <w:vAlign w:val="center"/>
          </w:tcPr>
          <w:p w14:paraId="1912632A">
            <w:pPr>
              <w:pStyle w:val="129"/>
              <w:widowControl w:val="0"/>
              <w:rPr>
                <w:color w:val="auto"/>
              </w:rPr>
            </w:pPr>
          </w:p>
        </w:tc>
        <w:tc>
          <w:tcPr>
            <w:tcW w:w="3268" w:type="pct"/>
            <w:vAlign w:val="center"/>
          </w:tcPr>
          <w:p w14:paraId="7172FD13">
            <w:pPr>
              <w:pStyle w:val="129"/>
              <w:widowControl w:val="0"/>
              <w:rPr>
                <w:color w:val="auto"/>
              </w:rPr>
            </w:pPr>
            <w:r>
              <w:rPr>
                <w:color w:val="auto"/>
              </w:rPr>
              <w:t>无机酸制酸工艺、焦化工艺</w:t>
            </w:r>
          </w:p>
        </w:tc>
        <w:tc>
          <w:tcPr>
            <w:tcW w:w="830" w:type="pct"/>
            <w:vAlign w:val="center"/>
          </w:tcPr>
          <w:p w14:paraId="6363B24B">
            <w:pPr>
              <w:pStyle w:val="129"/>
              <w:widowControl w:val="0"/>
              <w:rPr>
                <w:color w:val="auto"/>
              </w:rPr>
            </w:pPr>
            <w:r>
              <w:rPr>
                <w:color w:val="auto"/>
              </w:rPr>
              <w:t>5/套</w:t>
            </w:r>
          </w:p>
        </w:tc>
      </w:tr>
      <w:tr w14:paraId="43C5CF0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0" w:type="auto"/>
            <w:vMerge w:val="continue"/>
            <w:vAlign w:val="center"/>
          </w:tcPr>
          <w:p w14:paraId="7A919C24">
            <w:pPr>
              <w:pStyle w:val="129"/>
              <w:widowControl w:val="0"/>
              <w:rPr>
                <w:color w:val="auto"/>
              </w:rPr>
            </w:pPr>
          </w:p>
        </w:tc>
        <w:tc>
          <w:tcPr>
            <w:tcW w:w="3268" w:type="pct"/>
            <w:vAlign w:val="center"/>
          </w:tcPr>
          <w:p w14:paraId="3F200359">
            <w:pPr>
              <w:pStyle w:val="129"/>
              <w:widowControl w:val="0"/>
              <w:rPr>
                <w:color w:val="auto"/>
              </w:rPr>
            </w:pPr>
            <w:r>
              <w:rPr>
                <w:color w:val="auto"/>
              </w:rPr>
              <w:t>其他高温或高压，且涉及危险物质的工艺过程</w:t>
            </w:r>
            <w:r>
              <w:rPr>
                <w:color w:val="auto"/>
                <w:vertAlign w:val="superscript"/>
              </w:rPr>
              <w:t>a</w:t>
            </w:r>
            <w:r>
              <w:rPr>
                <w:color w:val="auto"/>
              </w:rPr>
              <w:t>、危险物质贮存罐区</w:t>
            </w:r>
          </w:p>
        </w:tc>
        <w:tc>
          <w:tcPr>
            <w:tcW w:w="830" w:type="pct"/>
            <w:vAlign w:val="center"/>
          </w:tcPr>
          <w:p w14:paraId="4A2D37E3">
            <w:pPr>
              <w:pStyle w:val="129"/>
              <w:widowControl w:val="0"/>
              <w:rPr>
                <w:color w:val="auto"/>
              </w:rPr>
            </w:pPr>
            <w:r>
              <w:rPr>
                <w:color w:val="auto"/>
              </w:rPr>
              <w:t>5/套（罐区）</w:t>
            </w:r>
          </w:p>
        </w:tc>
      </w:tr>
      <w:tr w14:paraId="23F5D7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902" w:type="pct"/>
            <w:vAlign w:val="center"/>
          </w:tcPr>
          <w:p w14:paraId="16A488BA">
            <w:pPr>
              <w:pStyle w:val="129"/>
              <w:widowControl w:val="0"/>
              <w:rPr>
                <w:color w:val="auto"/>
              </w:rPr>
            </w:pPr>
            <w:r>
              <w:rPr>
                <w:color w:val="auto"/>
              </w:rPr>
              <w:t>管道、港口/码头等</w:t>
            </w:r>
          </w:p>
        </w:tc>
        <w:tc>
          <w:tcPr>
            <w:tcW w:w="3268" w:type="pct"/>
            <w:vAlign w:val="center"/>
          </w:tcPr>
          <w:p w14:paraId="411E1618">
            <w:pPr>
              <w:pStyle w:val="129"/>
              <w:widowControl w:val="0"/>
              <w:rPr>
                <w:color w:val="auto"/>
              </w:rPr>
            </w:pPr>
            <w:r>
              <w:rPr>
                <w:color w:val="auto"/>
              </w:rPr>
              <w:t>涉及危险物质管道运输项目、港口/码头等</w:t>
            </w:r>
          </w:p>
        </w:tc>
        <w:tc>
          <w:tcPr>
            <w:tcW w:w="830" w:type="pct"/>
            <w:vAlign w:val="center"/>
          </w:tcPr>
          <w:p w14:paraId="3A427E58">
            <w:pPr>
              <w:pStyle w:val="129"/>
              <w:widowControl w:val="0"/>
              <w:rPr>
                <w:color w:val="auto"/>
              </w:rPr>
            </w:pPr>
            <w:r>
              <w:rPr>
                <w:color w:val="auto"/>
              </w:rPr>
              <w:t>10</w:t>
            </w:r>
          </w:p>
        </w:tc>
      </w:tr>
      <w:tr w14:paraId="713944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902" w:type="pct"/>
            <w:vAlign w:val="center"/>
          </w:tcPr>
          <w:p w14:paraId="29659C09">
            <w:pPr>
              <w:pStyle w:val="129"/>
              <w:widowControl w:val="0"/>
              <w:rPr>
                <w:color w:val="auto"/>
              </w:rPr>
            </w:pPr>
            <w:r>
              <w:rPr>
                <w:color w:val="auto"/>
              </w:rPr>
              <w:t>石油天然气</w:t>
            </w:r>
          </w:p>
        </w:tc>
        <w:tc>
          <w:tcPr>
            <w:tcW w:w="3268" w:type="pct"/>
            <w:vAlign w:val="center"/>
          </w:tcPr>
          <w:p w14:paraId="3A1FCBB4">
            <w:pPr>
              <w:pStyle w:val="129"/>
              <w:widowControl w:val="0"/>
              <w:rPr>
                <w:color w:val="auto"/>
              </w:rPr>
            </w:pPr>
            <w:r>
              <w:rPr>
                <w:color w:val="auto"/>
              </w:rPr>
              <w:t>石油、天然气、页岩气开采（含净化），气库（不含加气站的气库），油库（不含加气站的油库）、油气管线</w:t>
            </w:r>
            <w:r>
              <w:rPr>
                <w:color w:val="auto"/>
                <w:vertAlign w:val="superscript"/>
              </w:rPr>
              <w:t>b</w:t>
            </w:r>
            <w:r>
              <w:rPr>
                <w:color w:val="auto"/>
              </w:rPr>
              <w:t>（不含城镇燃气管线）</w:t>
            </w:r>
          </w:p>
        </w:tc>
        <w:tc>
          <w:tcPr>
            <w:tcW w:w="830" w:type="pct"/>
            <w:vAlign w:val="center"/>
          </w:tcPr>
          <w:p w14:paraId="70D68856">
            <w:pPr>
              <w:pStyle w:val="129"/>
              <w:widowControl w:val="0"/>
              <w:rPr>
                <w:color w:val="auto"/>
              </w:rPr>
            </w:pPr>
            <w:r>
              <w:rPr>
                <w:color w:val="auto"/>
              </w:rPr>
              <w:t>10</w:t>
            </w:r>
          </w:p>
        </w:tc>
      </w:tr>
      <w:tr w14:paraId="66A3344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902" w:type="pct"/>
            <w:vAlign w:val="center"/>
          </w:tcPr>
          <w:p w14:paraId="3CF952C8">
            <w:pPr>
              <w:pStyle w:val="129"/>
              <w:widowControl w:val="0"/>
              <w:rPr>
                <w:color w:val="auto"/>
              </w:rPr>
            </w:pPr>
            <w:r>
              <w:rPr>
                <w:color w:val="auto"/>
              </w:rPr>
              <w:t>其他</w:t>
            </w:r>
          </w:p>
        </w:tc>
        <w:tc>
          <w:tcPr>
            <w:tcW w:w="3268" w:type="pct"/>
            <w:vAlign w:val="center"/>
          </w:tcPr>
          <w:p w14:paraId="43E993CE">
            <w:pPr>
              <w:pStyle w:val="129"/>
              <w:widowControl w:val="0"/>
              <w:rPr>
                <w:color w:val="auto"/>
              </w:rPr>
            </w:pPr>
            <w:r>
              <w:rPr>
                <w:color w:val="auto"/>
              </w:rPr>
              <w:t>涉及危险物质使用、贮存的项目</w:t>
            </w:r>
          </w:p>
        </w:tc>
        <w:tc>
          <w:tcPr>
            <w:tcW w:w="830" w:type="pct"/>
            <w:vAlign w:val="center"/>
          </w:tcPr>
          <w:p w14:paraId="72D814CF">
            <w:pPr>
              <w:pStyle w:val="129"/>
              <w:widowControl w:val="0"/>
              <w:rPr>
                <w:color w:val="auto"/>
              </w:rPr>
            </w:pPr>
            <w:r>
              <w:rPr>
                <w:color w:val="auto"/>
              </w:rPr>
              <w:t>5</w:t>
            </w:r>
          </w:p>
        </w:tc>
      </w:tr>
      <w:tr w14:paraId="08D133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00" w:type="pct"/>
            <w:gridSpan w:val="3"/>
            <w:vAlign w:val="center"/>
          </w:tcPr>
          <w:p w14:paraId="1E192AA3">
            <w:pPr>
              <w:pStyle w:val="129"/>
              <w:widowControl w:val="0"/>
              <w:rPr>
                <w:color w:val="auto"/>
              </w:rPr>
            </w:pPr>
            <w:r>
              <w:rPr>
                <w:color w:val="auto"/>
                <w:vertAlign w:val="superscript"/>
              </w:rPr>
              <w:t>a</w:t>
            </w:r>
            <w:r>
              <w:rPr>
                <w:color w:val="auto"/>
              </w:rPr>
              <w:t>温度</w:t>
            </w:r>
            <w:r>
              <w:rPr>
                <w:rFonts w:hint="eastAsia"/>
                <w:color w:val="auto"/>
              </w:rPr>
              <w:t>≥</w:t>
            </w:r>
            <w:r>
              <w:rPr>
                <w:color w:val="auto"/>
              </w:rPr>
              <w:t>300℃</w:t>
            </w:r>
            <w:r>
              <w:rPr>
                <w:rFonts w:hint="eastAsia"/>
                <w:color w:val="auto"/>
              </w:rPr>
              <w:t>，</w:t>
            </w:r>
            <w:r>
              <w:rPr>
                <w:color w:val="auto"/>
              </w:rPr>
              <w:t>高压指压力容器的设计压力(P)</w:t>
            </w:r>
            <w:r>
              <w:rPr>
                <w:rFonts w:hint="eastAsia"/>
                <w:color w:val="auto"/>
              </w:rPr>
              <w:t>≥</w:t>
            </w:r>
            <w:r>
              <w:rPr>
                <w:color w:val="auto"/>
              </w:rPr>
              <w:t>10.0 MPa；</w:t>
            </w:r>
          </w:p>
          <w:p w14:paraId="46857473">
            <w:pPr>
              <w:pStyle w:val="129"/>
              <w:widowControl w:val="0"/>
              <w:rPr>
                <w:color w:val="auto"/>
              </w:rPr>
            </w:pPr>
            <w:r>
              <w:rPr>
                <w:color w:val="auto"/>
                <w:vertAlign w:val="superscript"/>
              </w:rPr>
              <w:t>b</w:t>
            </w:r>
            <w:r>
              <w:rPr>
                <w:color w:val="auto"/>
              </w:rPr>
              <w:t>长输管道运输项目应按站场、管线分段进行评价。</w:t>
            </w:r>
          </w:p>
        </w:tc>
      </w:tr>
    </w:tbl>
    <w:p w14:paraId="5CAABEEF">
      <w:pPr>
        <w:pStyle w:val="1304"/>
        <w:rPr>
          <w:color w:val="auto"/>
        </w:rPr>
      </w:pPr>
      <w:r>
        <w:rPr>
          <w:rFonts w:hint="eastAsia"/>
          <w:color w:val="auto"/>
        </w:rPr>
        <w:t xml:space="preserve"> </w:t>
      </w:r>
    </w:p>
    <w:p w14:paraId="1D6BB11E">
      <w:pPr>
        <w:pStyle w:val="132"/>
        <w:rPr>
          <w:color w:val="auto"/>
        </w:rPr>
      </w:pPr>
      <w:r>
        <w:rPr>
          <w:rFonts w:hint="eastAsia"/>
          <w:color w:val="auto"/>
        </w:rPr>
        <w:t>本项目生产工艺中不含上表中工艺。危险废物贮存有危险废物贮存库、生产车间、成品库共3处，因此本项目M为15分，以M2表示。</w:t>
      </w:r>
    </w:p>
    <w:p w14:paraId="47767AA7">
      <w:pPr>
        <w:pStyle w:val="5"/>
        <w:rPr>
          <w:color w:val="auto"/>
        </w:rPr>
      </w:pPr>
      <w:r>
        <w:rPr>
          <w:rFonts w:hint="eastAsia"/>
          <w:color w:val="auto"/>
        </w:rPr>
        <w:t>危险物质及工艺系数危险性（P）值的确定</w:t>
      </w:r>
    </w:p>
    <w:p w14:paraId="274C3FB2">
      <w:pPr>
        <w:pStyle w:val="132"/>
        <w:rPr>
          <w:color w:val="auto"/>
        </w:rPr>
      </w:pPr>
      <w:r>
        <w:rPr>
          <w:rFonts w:hint="eastAsia"/>
          <w:color w:val="auto"/>
        </w:rPr>
        <w:t>根据危险物质数量与临界量比值（Q）和行业及生产工艺（M）确定危险物质及工艺系统危险性等级（P）判断，其判断依据见表7.3-3。</w:t>
      </w:r>
    </w:p>
    <w:p w14:paraId="33346023">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3</w:t>
      </w:r>
      <w:r>
        <w:rPr>
          <w:color w:val="auto"/>
        </w:rPr>
        <w:fldChar w:fldCharType="end"/>
      </w:r>
      <w:r>
        <w:rPr>
          <w:rFonts w:hint="eastAsia"/>
          <w:color w:val="auto"/>
        </w:rPr>
        <w:t xml:space="preserve">  危险物质及工艺系统危险性等级判断（P）一览表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061"/>
        <w:gridCol w:w="1717"/>
        <w:gridCol w:w="1717"/>
        <w:gridCol w:w="1717"/>
        <w:gridCol w:w="1574"/>
      </w:tblGrid>
      <w:tr w14:paraId="2DAFE9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173" w:type="pct"/>
            <w:vMerge w:val="restart"/>
            <w:vAlign w:val="center"/>
          </w:tcPr>
          <w:p w14:paraId="7B58FBB3">
            <w:pPr>
              <w:pStyle w:val="129"/>
              <w:widowControl w:val="0"/>
              <w:rPr>
                <w:color w:val="auto"/>
              </w:rPr>
            </w:pPr>
            <w:r>
              <w:rPr>
                <w:color w:val="auto"/>
              </w:rPr>
              <w:t>危险物质数量与临界量比值（Q）</w:t>
            </w:r>
          </w:p>
        </w:tc>
        <w:tc>
          <w:tcPr>
            <w:tcW w:w="3827" w:type="pct"/>
            <w:gridSpan w:val="4"/>
            <w:vAlign w:val="center"/>
          </w:tcPr>
          <w:p w14:paraId="1FBCEBD4">
            <w:pPr>
              <w:pStyle w:val="129"/>
              <w:widowControl w:val="0"/>
              <w:rPr>
                <w:color w:val="auto"/>
              </w:rPr>
            </w:pPr>
            <w:r>
              <w:rPr>
                <w:color w:val="auto"/>
              </w:rPr>
              <w:t>行业及生产工艺（P）</w:t>
            </w:r>
          </w:p>
        </w:tc>
      </w:tr>
      <w:tr w14:paraId="2D52996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0" w:type="auto"/>
            <w:vMerge w:val="continue"/>
            <w:vAlign w:val="center"/>
          </w:tcPr>
          <w:p w14:paraId="50A82EE4">
            <w:pPr>
              <w:pStyle w:val="129"/>
              <w:widowControl w:val="0"/>
              <w:rPr>
                <w:color w:val="auto"/>
              </w:rPr>
            </w:pPr>
          </w:p>
        </w:tc>
        <w:tc>
          <w:tcPr>
            <w:tcW w:w="977" w:type="pct"/>
            <w:vAlign w:val="center"/>
          </w:tcPr>
          <w:p w14:paraId="5F1BB220">
            <w:pPr>
              <w:pStyle w:val="129"/>
              <w:widowControl w:val="0"/>
              <w:rPr>
                <w:color w:val="auto"/>
              </w:rPr>
            </w:pPr>
            <w:r>
              <w:rPr>
                <w:color w:val="auto"/>
              </w:rPr>
              <w:t>M1</w:t>
            </w:r>
          </w:p>
        </w:tc>
        <w:tc>
          <w:tcPr>
            <w:tcW w:w="977" w:type="pct"/>
            <w:vAlign w:val="center"/>
          </w:tcPr>
          <w:p w14:paraId="448D5289">
            <w:pPr>
              <w:pStyle w:val="129"/>
              <w:widowControl w:val="0"/>
              <w:rPr>
                <w:color w:val="auto"/>
              </w:rPr>
            </w:pPr>
            <w:r>
              <w:rPr>
                <w:color w:val="auto"/>
              </w:rPr>
              <w:t>M2</w:t>
            </w:r>
          </w:p>
        </w:tc>
        <w:tc>
          <w:tcPr>
            <w:tcW w:w="977" w:type="pct"/>
            <w:vAlign w:val="center"/>
          </w:tcPr>
          <w:p w14:paraId="7CA43499">
            <w:pPr>
              <w:pStyle w:val="129"/>
              <w:widowControl w:val="0"/>
              <w:rPr>
                <w:color w:val="auto"/>
              </w:rPr>
            </w:pPr>
            <w:r>
              <w:rPr>
                <w:color w:val="auto"/>
              </w:rPr>
              <w:t>M3</w:t>
            </w:r>
          </w:p>
        </w:tc>
        <w:tc>
          <w:tcPr>
            <w:tcW w:w="896" w:type="pct"/>
            <w:vAlign w:val="center"/>
          </w:tcPr>
          <w:p w14:paraId="4282C1D3">
            <w:pPr>
              <w:pStyle w:val="129"/>
              <w:widowControl w:val="0"/>
              <w:rPr>
                <w:color w:val="auto"/>
              </w:rPr>
            </w:pPr>
            <w:r>
              <w:rPr>
                <w:color w:val="auto"/>
              </w:rPr>
              <w:t>M4</w:t>
            </w:r>
          </w:p>
        </w:tc>
      </w:tr>
      <w:tr w14:paraId="450709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173" w:type="pct"/>
            <w:vAlign w:val="center"/>
          </w:tcPr>
          <w:p w14:paraId="54D34DB8">
            <w:pPr>
              <w:pStyle w:val="129"/>
              <w:widowControl w:val="0"/>
              <w:rPr>
                <w:color w:val="auto"/>
              </w:rPr>
            </w:pPr>
            <w:r>
              <w:rPr>
                <w:color w:val="auto"/>
              </w:rPr>
              <w:t>Q≥100</w:t>
            </w:r>
          </w:p>
        </w:tc>
        <w:tc>
          <w:tcPr>
            <w:tcW w:w="977" w:type="pct"/>
            <w:vAlign w:val="center"/>
          </w:tcPr>
          <w:p w14:paraId="4959751E">
            <w:pPr>
              <w:pStyle w:val="129"/>
              <w:widowControl w:val="0"/>
              <w:rPr>
                <w:color w:val="auto"/>
              </w:rPr>
            </w:pPr>
            <w:r>
              <w:rPr>
                <w:color w:val="auto"/>
              </w:rPr>
              <w:t>P1</w:t>
            </w:r>
          </w:p>
        </w:tc>
        <w:tc>
          <w:tcPr>
            <w:tcW w:w="977" w:type="pct"/>
            <w:vAlign w:val="center"/>
          </w:tcPr>
          <w:p w14:paraId="07EEE19C">
            <w:pPr>
              <w:pStyle w:val="129"/>
              <w:widowControl w:val="0"/>
              <w:rPr>
                <w:color w:val="auto"/>
              </w:rPr>
            </w:pPr>
            <w:r>
              <w:rPr>
                <w:color w:val="auto"/>
              </w:rPr>
              <w:t>P1</w:t>
            </w:r>
          </w:p>
        </w:tc>
        <w:tc>
          <w:tcPr>
            <w:tcW w:w="977" w:type="pct"/>
            <w:vAlign w:val="center"/>
          </w:tcPr>
          <w:p w14:paraId="7251CBC0">
            <w:pPr>
              <w:pStyle w:val="129"/>
              <w:widowControl w:val="0"/>
              <w:rPr>
                <w:color w:val="auto"/>
              </w:rPr>
            </w:pPr>
            <w:r>
              <w:rPr>
                <w:color w:val="auto"/>
              </w:rPr>
              <w:t>P2</w:t>
            </w:r>
          </w:p>
        </w:tc>
        <w:tc>
          <w:tcPr>
            <w:tcW w:w="896" w:type="pct"/>
            <w:vAlign w:val="center"/>
          </w:tcPr>
          <w:p w14:paraId="470279CA">
            <w:pPr>
              <w:pStyle w:val="129"/>
              <w:widowControl w:val="0"/>
              <w:rPr>
                <w:color w:val="auto"/>
              </w:rPr>
            </w:pPr>
            <w:r>
              <w:rPr>
                <w:color w:val="auto"/>
              </w:rPr>
              <w:t>P3</w:t>
            </w:r>
          </w:p>
        </w:tc>
      </w:tr>
      <w:tr w14:paraId="48363C3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173" w:type="pct"/>
            <w:vAlign w:val="center"/>
          </w:tcPr>
          <w:p w14:paraId="3A0D327C">
            <w:pPr>
              <w:pStyle w:val="129"/>
              <w:widowControl w:val="0"/>
              <w:rPr>
                <w:color w:val="auto"/>
              </w:rPr>
            </w:pPr>
            <w:r>
              <w:rPr>
                <w:color w:val="auto"/>
              </w:rPr>
              <w:t>10≤Q＜100</w:t>
            </w:r>
          </w:p>
        </w:tc>
        <w:tc>
          <w:tcPr>
            <w:tcW w:w="977" w:type="pct"/>
            <w:vAlign w:val="center"/>
          </w:tcPr>
          <w:p w14:paraId="275699F0">
            <w:pPr>
              <w:pStyle w:val="129"/>
              <w:widowControl w:val="0"/>
              <w:rPr>
                <w:color w:val="auto"/>
              </w:rPr>
            </w:pPr>
            <w:r>
              <w:rPr>
                <w:color w:val="auto"/>
              </w:rPr>
              <w:t>P1</w:t>
            </w:r>
          </w:p>
        </w:tc>
        <w:tc>
          <w:tcPr>
            <w:tcW w:w="977" w:type="pct"/>
            <w:vAlign w:val="center"/>
          </w:tcPr>
          <w:p w14:paraId="405C4C54">
            <w:pPr>
              <w:pStyle w:val="129"/>
              <w:widowControl w:val="0"/>
              <w:rPr>
                <w:color w:val="auto"/>
              </w:rPr>
            </w:pPr>
            <w:r>
              <w:rPr>
                <w:color w:val="auto"/>
              </w:rPr>
              <w:t>P2</w:t>
            </w:r>
          </w:p>
        </w:tc>
        <w:tc>
          <w:tcPr>
            <w:tcW w:w="977" w:type="pct"/>
            <w:vAlign w:val="center"/>
          </w:tcPr>
          <w:p w14:paraId="2FE8F893">
            <w:pPr>
              <w:pStyle w:val="129"/>
              <w:widowControl w:val="0"/>
              <w:rPr>
                <w:color w:val="auto"/>
              </w:rPr>
            </w:pPr>
            <w:r>
              <w:rPr>
                <w:color w:val="auto"/>
              </w:rPr>
              <w:t>P3</w:t>
            </w:r>
          </w:p>
        </w:tc>
        <w:tc>
          <w:tcPr>
            <w:tcW w:w="896" w:type="pct"/>
            <w:vAlign w:val="center"/>
          </w:tcPr>
          <w:p w14:paraId="1794F2E0">
            <w:pPr>
              <w:pStyle w:val="129"/>
              <w:widowControl w:val="0"/>
              <w:rPr>
                <w:color w:val="auto"/>
              </w:rPr>
            </w:pPr>
            <w:r>
              <w:rPr>
                <w:color w:val="auto"/>
              </w:rPr>
              <w:t>P4</w:t>
            </w:r>
          </w:p>
        </w:tc>
      </w:tr>
      <w:tr w14:paraId="3F6B2A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173" w:type="pct"/>
            <w:vAlign w:val="center"/>
          </w:tcPr>
          <w:p w14:paraId="63AFDBD8">
            <w:pPr>
              <w:pStyle w:val="129"/>
              <w:widowControl w:val="0"/>
              <w:rPr>
                <w:color w:val="auto"/>
              </w:rPr>
            </w:pPr>
            <w:r>
              <w:rPr>
                <w:color w:val="auto"/>
              </w:rPr>
              <w:t>1≤Q＜10</w:t>
            </w:r>
          </w:p>
        </w:tc>
        <w:tc>
          <w:tcPr>
            <w:tcW w:w="977" w:type="pct"/>
            <w:vAlign w:val="center"/>
          </w:tcPr>
          <w:p w14:paraId="6C91E893">
            <w:pPr>
              <w:pStyle w:val="129"/>
              <w:widowControl w:val="0"/>
              <w:rPr>
                <w:color w:val="auto"/>
              </w:rPr>
            </w:pPr>
            <w:r>
              <w:rPr>
                <w:color w:val="auto"/>
              </w:rPr>
              <w:t>P2</w:t>
            </w:r>
          </w:p>
        </w:tc>
        <w:tc>
          <w:tcPr>
            <w:tcW w:w="977" w:type="pct"/>
            <w:vAlign w:val="center"/>
          </w:tcPr>
          <w:p w14:paraId="349439F4">
            <w:pPr>
              <w:pStyle w:val="129"/>
              <w:widowControl w:val="0"/>
              <w:rPr>
                <w:color w:val="auto"/>
              </w:rPr>
            </w:pPr>
            <w:r>
              <w:rPr>
                <w:color w:val="auto"/>
              </w:rPr>
              <w:t>P3</w:t>
            </w:r>
          </w:p>
        </w:tc>
        <w:tc>
          <w:tcPr>
            <w:tcW w:w="977" w:type="pct"/>
            <w:vAlign w:val="center"/>
          </w:tcPr>
          <w:p w14:paraId="35800482">
            <w:pPr>
              <w:pStyle w:val="129"/>
              <w:widowControl w:val="0"/>
              <w:rPr>
                <w:color w:val="auto"/>
              </w:rPr>
            </w:pPr>
            <w:r>
              <w:rPr>
                <w:color w:val="auto"/>
              </w:rPr>
              <w:t>P4</w:t>
            </w:r>
          </w:p>
        </w:tc>
        <w:tc>
          <w:tcPr>
            <w:tcW w:w="896" w:type="pct"/>
            <w:vAlign w:val="center"/>
          </w:tcPr>
          <w:p w14:paraId="0B39B1EB">
            <w:pPr>
              <w:pStyle w:val="129"/>
              <w:widowControl w:val="0"/>
              <w:rPr>
                <w:color w:val="auto"/>
              </w:rPr>
            </w:pPr>
            <w:r>
              <w:rPr>
                <w:color w:val="auto"/>
              </w:rPr>
              <w:t>P4</w:t>
            </w:r>
          </w:p>
        </w:tc>
      </w:tr>
    </w:tbl>
    <w:p w14:paraId="0D562803">
      <w:pPr>
        <w:pStyle w:val="1304"/>
        <w:rPr>
          <w:color w:val="auto"/>
        </w:rPr>
      </w:pPr>
      <w:r>
        <w:rPr>
          <w:rFonts w:hint="eastAsia"/>
          <w:color w:val="auto"/>
        </w:rPr>
        <w:t xml:space="preserve"> </w:t>
      </w:r>
    </w:p>
    <w:p w14:paraId="3D49A247">
      <w:pPr>
        <w:pStyle w:val="132"/>
        <w:rPr>
          <w:color w:val="auto"/>
        </w:rPr>
      </w:pPr>
      <w:r>
        <w:rPr>
          <w:rFonts w:hint="eastAsia"/>
          <w:color w:val="auto"/>
        </w:rPr>
        <w:t>通过分析结果可知，本项目Q≥100，M以M2表示，根据上表判断，项目风险物质及工艺系统危险性等级为P1。</w:t>
      </w:r>
    </w:p>
    <w:p w14:paraId="4CE3578E">
      <w:pPr>
        <w:pStyle w:val="4"/>
        <w:rPr>
          <w:color w:val="auto"/>
        </w:rPr>
      </w:pPr>
      <w:r>
        <w:rPr>
          <w:rFonts w:hint="eastAsia"/>
          <w:color w:val="auto"/>
        </w:rPr>
        <w:t>环境敏感程度（E）的确定</w:t>
      </w:r>
    </w:p>
    <w:p w14:paraId="48A2D3A7">
      <w:pPr>
        <w:pStyle w:val="132"/>
        <w:rPr>
          <w:color w:val="auto"/>
        </w:rPr>
      </w:pPr>
      <w:r>
        <w:rPr>
          <w:rFonts w:hint="eastAsia"/>
          <w:color w:val="auto"/>
        </w:rPr>
        <w:t>分析危险物质在事故情景下的环境影响途径，如大气、地表水、地下水等。按照《建设项目环境风险评价技术导则》（HJ169-2018）附录D对建设项目各要素环境敏感程度（E）等级进行判断。</w:t>
      </w:r>
    </w:p>
    <w:p w14:paraId="299E8B2E">
      <w:pPr>
        <w:pStyle w:val="5"/>
        <w:rPr>
          <w:color w:val="auto"/>
        </w:rPr>
      </w:pPr>
      <w:r>
        <w:rPr>
          <w:rFonts w:hint="eastAsia"/>
          <w:color w:val="auto"/>
        </w:rPr>
        <w:t>大气环境敏感程度</w:t>
      </w:r>
    </w:p>
    <w:p w14:paraId="424E3190">
      <w:pPr>
        <w:pStyle w:val="132"/>
        <w:rPr>
          <w:color w:val="auto"/>
        </w:rPr>
      </w:pPr>
      <w:r>
        <w:rPr>
          <w:rFonts w:hint="eastAsia"/>
          <w:color w:val="auto"/>
        </w:rPr>
        <w:t>区域大气敏感程度判定见表7.3-4。</w:t>
      </w:r>
    </w:p>
    <w:p w14:paraId="4CD03096">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4</w:t>
      </w:r>
      <w:r>
        <w:rPr>
          <w:color w:val="auto"/>
        </w:rPr>
        <w:fldChar w:fldCharType="end"/>
      </w:r>
      <w:r>
        <w:rPr>
          <w:rFonts w:hint="eastAsia"/>
          <w:color w:val="auto"/>
        </w:rPr>
        <w:t xml:space="preserve">  区域大气环境敏感程度分级判定一览表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37"/>
        <w:gridCol w:w="8049"/>
      </w:tblGrid>
      <w:tr w14:paraId="4891AE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694" w:type="dxa"/>
            <w:vAlign w:val="center"/>
          </w:tcPr>
          <w:p w14:paraId="69E4CB13">
            <w:pPr>
              <w:pStyle w:val="129"/>
              <w:widowControl w:val="0"/>
              <w:rPr>
                <w:color w:val="auto"/>
              </w:rPr>
            </w:pPr>
            <w:r>
              <w:rPr>
                <w:color w:val="auto"/>
              </w:rPr>
              <w:t>分级</w:t>
            </w:r>
          </w:p>
        </w:tc>
        <w:tc>
          <w:tcPr>
            <w:tcW w:w="7582" w:type="dxa"/>
            <w:vAlign w:val="center"/>
          </w:tcPr>
          <w:p w14:paraId="094F76EA">
            <w:pPr>
              <w:pStyle w:val="129"/>
              <w:widowControl w:val="0"/>
              <w:rPr>
                <w:color w:val="auto"/>
              </w:rPr>
            </w:pPr>
            <w:r>
              <w:rPr>
                <w:color w:val="auto"/>
              </w:rPr>
              <w:t>大气环境敏感性</w:t>
            </w:r>
          </w:p>
        </w:tc>
      </w:tr>
      <w:tr w14:paraId="610DA94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694" w:type="dxa"/>
            <w:vAlign w:val="center"/>
          </w:tcPr>
          <w:p w14:paraId="17EAAB83">
            <w:pPr>
              <w:pStyle w:val="129"/>
              <w:widowControl w:val="0"/>
              <w:rPr>
                <w:color w:val="auto"/>
              </w:rPr>
            </w:pPr>
            <w:r>
              <w:rPr>
                <w:color w:val="auto"/>
              </w:rPr>
              <w:t>E1</w:t>
            </w:r>
          </w:p>
        </w:tc>
        <w:tc>
          <w:tcPr>
            <w:tcW w:w="7582" w:type="dxa"/>
            <w:vAlign w:val="center"/>
          </w:tcPr>
          <w:p w14:paraId="20C2824E">
            <w:pPr>
              <w:pStyle w:val="129"/>
              <w:widowControl w:val="0"/>
              <w:rPr>
                <w:color w:val="auto"/>
              </w:rPr>
            </w:pPr>
            <w:r>
              <w:rPr>
                <w:color w:val="auto"/>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29C7BF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694" w:type="dxa"/>
            <w:vAlign w:val="center"/>
          </w:tcPr>
          <w:p w14:paraId="6423D272">
            <w:pPr>
              <w:pStyle w:val="129"/>
              <w:widowControl w:val="0"/>
              <w:rPr>
                <w:color w:val="auto"/>
              </w:rPr>
            </w:pPr>
            <w:r>
              <w:rPr>
                <w:color w:val="auto"/>
              </w:rPr>
              <w:t>E2</w:t>
            </w:r>
          </w:p>
        </w:tc>
        <w:tc>
          <w:tcPr>
            <w:tcW w:w="7582" w:type="dxa"/>
            <w:vAlign w:val="center"/>
          </w:tcPr>
          <w:p w14:paraId="4D4D4E75">
            <w:pPr>
              <w:pStyle w:val="129"/>
              <w:widowControl w:val="0"/>
              <w:rPr>
                <w:color w:val="auto"/>
              </w:rPr>
            </w:pPr>
            <w:r>
              <w:rPr>
                <w:color w:val="auto"/>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02D7494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694" w:type="dxa"/>
            <w:vAlign w:val="center"/>
          </w:tcPr>
          <w:p w14:paraId="6F118CF7">
            <w:pPr>
              <w:pStyle w:val="129"/>
              <w:widowControl w:val="0"/>
              <w:rPr>
                <w:color w:val="auto"/>
              </w:rPr>
            </w:pPr>
            <w:r>
              <w:rPr>
                <w:color w:val="auto"/>
              </w:rPr>
              <w:t>E3</w:t>
            </w:r>
          </w:p>
        </w:tc>
        <w:tc>
          <w:tcPr>
            <w:tcW w:w="7582" w:type="dxa"/>
            <w:vAlign w:val="center"/>
          </w:tcPr>
          <w:p w14:paraId="0F59CB42">
            <w:pPr>
              <w:pStyle w:val="129"/>
              <w:widowControl w:val="0"/>
              <w:rPr>
                <w:color w:val="auto"/>
              </w:rPr>
            </w:pPr>
            <w:r>
              <w:rPr>
                <w:color w:val="auto"/>
              </w:rPr>
              <w:t>周边5km范围内居住区、医疗卫生、文化教育、科研、行政办公等机构人口总数小于1万人；或周边500m范围内人口总数小于500人；油气、化学品输送管线管段周边200m范围内，每千米管段人口数小于100人</w:t>
            </w:r>
          </w:p>
        </w:tc>
      </w:tr>
    </w:tbl>
    <w:p w14:paraId="18228894">
      <w:pPr>
        <w:pStyle w:val="1304"/>
        <w:rPr>
          <w:color w:val="auto"/>
        </w:rPr>
      </w:pPr>
      <w:r>
        <w:rPr>
          <w:rFonts w:hint="eastAsia"/>
          <w:color w:val="auto"/>
        </w:rPr>
        <w:t xml:space="preserve"> </w:t>
      </w:r>
    </w:p>
    <w:p w14:paraId="7FDE4532">
      <w:pPr>
        <w:pStyle w:val="132"/>
        <w:rPr>
          <w:color w:val="auto"/>
        </w:rPr>
      </w:pPr>
      <w:r>
        <w:rPr>
          <w:rFonts w:hint="eastAsia"/>
          <w:color w:val="auto"/>
        </w:rPr>
        <w:t>本项目位于园区，根据现场调查，项目周边5km范围内居住区、医疗卫生、文化教育、科研、行政办公等机构人口总数约2700人，小于1万人，故本项目大气环境敏感程度为E3。</w:t>
      </w:r>
    </w:p>
    <w:p w14:paraId="0D117F2F">
      <w:pPr>
        <w:pStyle w:val="5"/>
        <w:rPr>
          <w:color w:val="auto"/>
        </w:rPr>
      </w:pPr>
      <w:r>
        <w:rPr>
          <w:rFonts w:hint="eastAsia"/>
          <w:color w:val="auto"/>
        </w:rPr>
        <w:t>地表水环境敏感程度</w:t>
      </w:r>
    </w:p>
    <w:p w14:paraId="7348F6D4">
      <w:pPr>
        <w:pStyle w:val="132"/>
        <w:rPr>
          <w:color w:val="auto"/>
        </w:rPr>
      </w:pPr>
      <w:r>
        <w:rPr>
          <w:rFonts w:hint="eastAsia"/>
          <w:color w:val="auto"/>
        </w:rPr>
        <w:t>根据《建设项目环境风险评价技术导则》（HJ169-2018）附录D的规定：区域地表水环境敏感程度依据事故情况下危险物质泄漏到水体的排放点受纳地表水体功能敏感性与下游环境敏感目标情况确定。区域地表水环境敏感程度共分为三种类型，E1为环境高度敏感区，E2为环境中度敏感区，E3为环境低度敏感区，其分级原则见表7.3-5。其中地表水功能敏感性分区和环境敏感目标分级原则分别见表7.3-6和表7.3-7。</w:t>
      </w:r>
    </w:p>
    <w:p w14:paraId="51320B2A">
      <w:pPr>
        <w:pStyle w:val="1060"/>
        <w:spacing w:before="163"/>
        <w:rPr>
          <w:b/>
          <w:bCs/>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5</w:t>
      </w:r>
      <w:r>
        <w:rPr>
          <w:color w:val="auto"/>
        </w:rPr>
        <w:fldChar w:fldCharType="end"/>
      </w:r>
      <w:r>
        <w:rPr>
          <w:rFonts w:hint="eastAsia"/>
          <w:color w:val="auto"/>
        </w:rPr>
        <w:t xml:space="preserve">  地表水环境敏感程度分级</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011"/>
        <w:gridCol w:w="2381"/>
        <w:gridCol w:w="2197"/>
        <w:gridCol w:w="2197"/>
      </w:tblGrid>
      <w:tr w14:paraId="78AFEE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951" w:type="dxa"/>
            <w:vMerge w:val="restart"/>
            <w:vAlign w:val="center"/>
          </w:tcPr>
          <w:p w14:paraId="07E336AF">
            <w:pPr>
              <w:pStyle w:val="129"/>
              <w:widowControl w:val="0"/>
              <w:rPr>
                <w:color w:val="auto"/>
              </w:rPr>
            </w:pPr>
            <w:r>
              <w:rPr>
                <w:color w:val="auto"/>
              </w:rPr>
              <w:t>环境敏感目标</w:t>
            </w:r>
          </w:p>
        </w:tc>
        <w:tc>
          <w:tcPr>
            <w:tcW w:w="6571" w:type="dxa"/>
            <w:gridSpan w:val="3"/>
            <w:vAlign w:val="center"/>
          </w:tcPr>
          <w:p w14:paraId="32B584AF">
            <w:pPr>
              <w:pStyle w:val="129"/>
              <w:widowControl w:val="0"/>
              <w:rPr>
                <w:color w:val="auto"/>
              </w:rPr>
            </w:pPr>
            <w:r>
              <w:rPr>
                <w:color w:val="auto"/>
              </w:rPr>
              <w:t>地表水功能敏感性</w:t>
            </w:r>
          </w:p>
        </w:tc>
      </w:tr>
      <w:tr w14:paraId="5C655F7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0" w:type="auto"/>
            <w:vMerge w:val="continue"/>
            <w:vAlign w:val="center"/>
          </w:tcPr>
          <w:p w14:paraId="10592A61">
            <w:pPr>
              <w:pStyle w:val="129"/>
              <w:widowControl w:val="0"/>
              <w:rPr>
                <w:color w:val="auto"/>
              </w:rPr>
            </w:pPr>
          </w:p>
        </w:tc>
        <w:tc>
          <w:tcPr>
            <w:tcW w:w="2309" w:type="dxa"/>
            <w:vAlign w:val="center"/>
          </w:tcPr>
          <w:p w14:paraId="47BB799E">
            <w:pPr>
              <w:pStyle w:val="129"/>
              <w:widowControl w:val="0"/>
              <w:rPr>
                <w:color w:val="auto"/>
              </w:rPr>
            </w:pPr>
            <w:r>
              <w:rPr>
                <w:color w:val="auto"/>
              </w:rPr>
              <w:t>F1</w:t>
            </w:r>
          </w:p>
        </w:tc>
        <w:tc>
          <w:tcPr>
            <w:tcW w:w="2131" w:type="dxa"/>
            <w:vAlign w:val="center"/>
          </w:tcPr>
          <w:p w14:paraId="7E358CF1">
            <w:pPr>
              <w:pStyle w:val="129"/>
              <w:widowControl w:val="0"/>
              <w:rPr>
                <w:color w:val="auto"/>
              </w:rPr>
            </w:pPr>
            <w:r>
              <w:rPr>
                <w:color w:val="auto"/>
              </w:rPr>
              <w:t>F2</w:t>
            </w:r>
          </w:p>
        </w:tc>
        <w:tc>
          <w:tcPr>
            <w:tcW w:w="2131" w:type="dxa"/>
            <w:vAlign w:val="center"/>
          </w:tcPr>
          <w:p w14:paraId="676D04FE">
            <w:pPr>
              <w:pStyle w:val="129"/>
              <w:widowControl w:val="0"/>
              <w:rPr>
                <w:color w:val="auto"/>
              </w:rPr>
            </w:pPr>
            <w:r>
              <w:rPr>
                <w:color w:val="auto"/>
              </w:rPr>
              <w:t>F3</w:t>
            </w:r>
          </w:p>
        </w:tc>
      </w:tr>
      <w:tr w14:paraId="4438163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951" w:type="dxa"/>
            <w:vAlign w:val="center"/>
          </w:tcPr>
          <w:p w14:paraId="380C0DE1">
            <w:pPr>
              <w:pStyle w:val="129"/>
              <w:widowControl w:val="0"/>
              <w:rPr>
                <w:color w:val="auto"/>
              </w:rPr>
            </w:pPr>
            <w:r>
              <w:rPr>
                <w:color w:val="auto"/>
              </w:rPr>
              <w:t>S1</w:t>
            </w:r>
          </w:p>
        </w:tc>
        <w:tc>
          <w:tcPr>
            <w:tcW w:w="2309" w:type="dxa"/>
            <w:vAlign w:val="center"/>
          </w:tcPr>
          <w:p w14:paraId="417D4CAD">
            <w:pPr>
              <w:pStyle w:val="129"/>
              <w:widowControl w:val="0"/>
              <w:rPr>
                <w:color w:val="auto"/>
              </w:rPr>
            </w:pPr>
            <w:r>
              <w:rPr>
                <w:color w:val="auto"/>
              </w:rPr>
              <w:t>E1</w:t>
            </w:r>
          </w:p>
        </w:tc>
        <w:tc>
          <w:tcPr>
            <w:tcW w:w="2131" w:type="dxa"/>
            <w:vAlign w:val="center"/>
          </w:tcPr>
          <w:p w14:paraId="7EF35DD0">
            <w:pPr>
              <w:pStyle w:val="129"/>
              <w:widowControl w:val="0"/>
              <w:rPr>
                <w:color w:val="auto"/>
              </w:rPr>
            </w:pPr>
            <w:r>
              <w:rPr>
                <w:color w:val="auto"/>
              </w:rPr>
              <w:t>E1</w:t>
            </w:r>
          </w:p>
        </w:tc>
        <w:tc>
          <w:tcPr>
            <w:tcW w:w="2131" w:type="dxa"/>
            <w:vAlign w:val="center"/>
          </w:tcPr>
          <w:p w14:paraId="5962F404">
            <w:pPr>
              <w:pStyle w:val="129"/>
              <w:widowControl w:val="0"/>
              <w:rPr>
                <w:color w:val="auto"/>
              </w:rPr>
            </w:pPr>
            <w:r>
              <w:rPr>
                <w:color w:val="auto"/>
              </w:rPr>
              <w:t>E2</w:t>
            </w:r>
          </w:p>
        </w:tc>
      </w:tr>
      <w:tr w14:paraId="20C6F0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951" w:type="dxa"/>
            <w:vAlign w:val="center"/>
          </w:tcPr>
          <w:p w14:paraId="36BA2BBB">
            <w:pPr>
              <w:pStyle w:val="129"/>
              <w:widowControl w:val="0"/>
              <w:rPr>
                <w:color w:val="auto"/>
              </w:rPr>
            </w:pPr>
            <w:r>
              <w:rPr>
                <w:color w:val="auto"/>
              </w:rPr>
              <w:t>S2</w:t>
            </w:r>
          </w:p>
        </w:tc>
        <w:tc>
          <w:tcPr>
            <w:tcW w:w="2309" w:type="dxa"/>
            <w:vAlign w:val="center"/>
          </w:tcPr>
          <w:p w14:paraId="1F2C6B4B">
            <w:pPr>
              <w:pStyle w:val="129"/>
              <w:widowControl w:val="0"/>
              <w:rPr>
                <w:color w:val="auto"/>
              </w:rPr>
            </w:pPr>
            <w:r>
              <w:rPr>
                <w:color w:val="auto"/>
              </w:rPr>
              <w:t>E1</w:t>
            </w:r>
          </w:p>
        </w:tc>
        <w:tc>
          <w:tcPr>
            <w:tcW w:w="2131" w:type="dxa"/>
            <w:vAlign w:val="center"/>
          </w:tcPr>
          <w:p w14:paraId="061CE53B">
            <w:pPr>
              <w:pStyle w:val="129"/>
              <w:widowControl w:val="0"/>
              <w:rPr>
                <w:color w:val="auto"/>
              </w:rPr>
            </w:pPr>
            <w:r>
              <w:rPr>
                <w:color w:val="auto"/>
              </w:rPr>
              <w:t>E2</w:t>
            </w:r>
          </w:p>
        </w:tc>
        <w:tc>
          <w:tcPr>
            <w:tcW w:w="2131" w:type="dxa"/>
            <w:vAlign w:val="center"/>
          </w:tcPr>
          <w:p w14:paraId="1D92B8C4">
            <w:pPr>
              <w:pStyle w:val="129"/>
              <w:widowControl w:val="0"/>
              <w:rPr>
                <w:color w:val="auto"/>
              </w:rPr>
            </w:pPr>
            <w:r>
              <w:rPr>
                <w:color w:val="auto"/>
              </w:rPr>
              <w:t>E3</w:t>
            </w:r>
          </w:p>
        </w:tc>
      </w:tr>
      <w:tr w14:paraId="627A2B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951" w:type="dxa"/>
            <w:vAlign w:val="center"/>
          </w:tcPr>
          <w:p w14:paraId="0B0EBC69">
            <w:pPr>
              <w:pStyle w:val="129"/>
              <w:widowControl w:val="0"/>
              <w:rPr>
                <w:color w:val="auto"/>
              </w:rPr>
            </w:pPr>
            <w:r>
              <w:rPr>
                <w:color w:val="auto"/>
              </w:rPr>
              <w:t>S3</w:t>
            </w:r>
          </w:p>
        </w:tc>
        <w:tc>
          <w:tcPr>
            <w:tcW w:w="2309" w:type="dxa"/>
            <w:vAlign w:val="center"/>
          </w:tcPr>
          <w:p w14:paraId="4F5EC6A2">
            <w:pPr>
              <w:pStyle w:val="129"/>
              <w:widowControl w:val="0"/>
              <w:rPr>
                <w:color w:val="auto"/>
              </w:rPr>
            </w:pPr>
            <w:r>
              <w:rPr>
                <w:color w:val="auto"/>
              </w:rPr>
              <w:t>E1</w:t>
            </w:r>
          </w:p>
        </w:tc>
        <w:tc>
          <w:tcPr>
            <w:tcW w:w="2131" w:type="dxa"/>
            <w:vAlign w:val="center"/>
          </w:tcPr>
          <w:p w14:paraId="01F7216D">
            <w:pPr>
              <w:pStyle w:val="129"/>
              <w:widowControl w:val="0"/>
              <w:rPr>
                <w:color w:val="auto"/>
              </w:rPr>
            </w:pPr>
            <w:r>
              <w:rPr>
                <w:color w:val="auto"/>
              </w:rPr>
              <w:t>E2</w:t>
            </w:r>
          </w:p>
        </w:tc>
        <w:tc>
          <w:tcPr>
            <w:tcW w:w="2131" w:type="dxa"/>
            <w:vAlign w:val="center"/>
          </w:tcPr>
          <w:p w14:paraId="00CA0DA5">
            <w:pPr>
              <w:pStyle w:val="129"/>
              <w:widowControl w:val="0"/>
              <w:rPr>
                <w:color w:val="auto"/>
              </w:rPr>
            </w:pPr>
            <w:r>
              <w:rPr>
                <w:color w:val="auto"/>
              </w:rPr>
              <w:t>E3</w:t>
            </w:r>
          </w:p>
        </w:tc>
      </w:tr>
    </w:tbl>
    <w:p w14:paraId="03E436C0">
      <w:pPr>
        <w:pStyle w:val="1304"/>
        <w:rPr>
          <w:color w:val="auto"/>
        </w:rPr>
      </w:pPr>
      <w:r>
        <w:rPr>
          <w:rFonts w:hint="eastAsia"/>
          <w:color w:val="auto"/>
        </w:rPr>
        <w:t xml:space="preserve"> </w:t>
      </w:r>
    </w:p>
    <w:p w14:paraId="65151547">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6</w:t>
      </w:r>
      <w:r>
        <w:rPr>
          <w:color w:val="auto"/>
        </w:rPr>
        <w:fldChar w:fldCharType="end"/>
      </w:r>
      <w:r>
        <w:rPr>
          <w:rFonts w:hint="eastAsia"/>
          <w:color w:val="auto"/>
        </w:rPr>
        <w:t xml:space="preserve">  地表水功能敏感性分区</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290"/>
        <w:gridCol w:w="7496"/>
      </w:tblGrid>
      <w:tr w14:paraId="50C9DA8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242" w:type="dxa"/>
            <w:vAlign w:val="center"/>
          </w:tcPr>
          <w:p w14:paraId="74DE211A">
            <w:pPr>
              <w:pStyle w:val="129"/>
              <w:widowControl w:val="0"/>
              <w:rPr>
                <w:color w:val="auto"/>
              </w:rPr>
            </w:pPr>
            <w:r>
              <w:rPr>
                <w:color w:val="auto"/>
              </w:rPr>
              <w:t>敏感性</w:t>
            </w:r>
          </w:p>
        </w:tc>
        <w:tc>
          <w:tcPr>
            <w:tcW w:w="7217" w:type="dxa"/>
            <w:vAlign w:val="center"/>
          </w:tcPr>
          <w:p w14:paraId="08A8DA42">
            <w:pPr>
              <w:pStyle w:val="129"/>
              <w:widowControl w:val="0"/>
              <w:rPr>
                <w:color w:val="auto"/>
              </w:rPr>
            </w:pPr>
            <w:r>
              <w:rPr>
                <w:color w:val="auto"/>
              </w:rPr>
              <w:t>地表水环境敏感特征</w:t>
            </w:r>
          </w:p>
        </w:tc>
      </w:tr>
      <w:tr w14:paraId="74E2226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242" w:type="dxa"/>
            <w:vAlign w:val="center"/>
          </w:tcPr>
          <w:p w14:paraId="6AD19B53">
            <w:pPr>
              <w:pStyle w:val="129"/>
              <w:widowControl w:val="0"/>
              <w:rPr>
                <w:color w:val="auto"/>
              </w:rPr>
            </w:pPr>
            <w:r>
              <w:rPr>
                <w:color w:val="auto"/>
              </w:rPr>
              <w:t>敏感F1</w:t>
            </w:r>
          </w:p>
        </w:tc>
        <w:tc>
          <w:tcPr>
            <w:tcW w:w="7217" w:type="dxa"/>
            <w:vAlign w:val="center"/>
          </w:tcPr>
          <w:p w14:paraId="0640AC07">
            <w:pPr>
              <w:pStyle w:val="129"/>
              <w:widowControl w:val="0"/>
              <w:rPr>
                <w:color w:val="auto"/>
              </w:rPr>
            </w:pPr>
            <w:r>
              <w:rPr>
                <w:color w:val="auto"/>
              </w:rPr>
              <w:t>排放点进入地表水水域环境功能为</w:t>
            </w:r>
            <w:r>
              <w:rPr>
                <w:rFonts w:hint="eastAsia"/>
                <w:color w:val="auto"/>
              </w:rPr>
              <w:t>Ⅱ</w:t>
            </w:r>
            <w:r>
              <w:rPr>
                <w:color w:val="auto"/>
              </w:rPr>
              <w:t>类及以上，或海水水质分类第一类；</w:t>
            </w:r>
          </w:p>
          <w:p w14:paraId="7A14392B">
            <w:pPr>
              <w:pStyle w:val="129"/>
              <w:widowControl w:val="0"/>
              <w:rPr>
                <w:color w:val="auto"/>
              </w:rPr>
            </w:pPr>
            <w:r>
              <w:rPr>
                <w:color w:val="auto"/>
              </w:rPr>
              <w:t>或以发生事故时，危险物质泄漏到水体的排放点算起，排放进入受纳河流最大流速时，24 h流经范围内涉跨国界的</w:t>
            </w:r>
          </w:p>
        </w:tc>
      </w:tr>
      <w:tr w14:paraId="7DA9AD1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242" w:type="dxa"/>
            <w:vAlign w:val="center"/>
          </w:tcPr>
          <w:p w14:paraId="224EA5F5">
            <w:pPr>
              <w:pStyle w:val="129"/>
              <w:widowControl w:val="0"/>
              <w:rPr>
                <w:color w:val="auto"/>
              </w:rPr>
            </w:pPr>
            <w:r>
              <w:rPr>
                <w:color w:val="auto"/>
              </w:rPr>
              <w:t>较敏感F2</w:t>
            </w:r>
          </w:p>
        </w:tc>
        <w:tc>
          <w:tcPr>
            <w:tcW w:w="7217" w:type="dxa"/>
            <w:vAlign w:val="center"/>
          </w:tcPr>
          <w:p w14:paraId="3E416811">
            <w:pPr>
              <w:pStyle w:val="129"/>
              <w:widowControl w:val="0"/>
              <w:rPr>
                <w:color w:val="auto"/>
              </w:rPr>
            </w:pPr>
            <w:r>
              <w:rPr>
                <w:color w:val="auto"/>
              </w:rPr>
              <w:t>排放点进入地表水水域环境功能为</w:t>
            </w:r>
            <w:r>
              <w:rPr>
                <w:rFonts w:hint="eastAsia"/>
                <w:color w:val="auto"/>
              </w:rPr>
              <w:t>Ⅲ</w:t>
            </w:r>
            <w:r>
              <w:rPr>
                <w:color w:val="auto"/>
              </w:rPr>
              <w:t>类，或海水水质分类第二类；</w:t>
            </w:r>
          </w:p>
          <w:p w14:paraId="6E4239A0">
            <w:pPr>
              <w:pStyle w:val="129"/>
              <w:widowControl w:val="0"/>
              <w:rPr>
                <w:color w:val="auto"/>
              </w:rPr>
            </w:pPr>
            <w:r>
              <w:rPr>
                <w:color w:val="auto"/>
              </w:rPr>
              <w:t>或以发生事故时，危险物质泄漏到水体的排放点算起，排放进入受纳河流最大流速时，24 h流经范围内涉跨省界的</w:t>
            </w:r>
          </w:p>
        </w:tc>
      </w:tr>
      <w:tr w14:paraId="590B2B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242" w:type="dxa"/>
            <w:vAlign w:val="center"/>
          </w:tcPr>
          <w:p w14:paraId="7161BF24">
            <w:pPr>
              <w:pStyle w:val="129"/>
              <w:widowControl w:val="0"/>
              <w:rPr>
                <w:color w:val="auto"/>
              </w:rPr>
            </w:pPr>
            <w:r>
              <w:rPr>
                <w:color w:val="auto"/>
              </w:rPr>
              <w:t>低敏感F3</w:t>
            </w:r>
          </w:p>
        </w:tc>
        <w:tc>
          <w:tcPr>
            <w:tcW w:w="7217" w:type="dxa"/>
            <w:vAlign w:val="center"/>
          </w:tcPr>
          <w:p w14:paraId="4DEEB10D">
            <w:pPr>
              <w:pStyle w:val="129"/>
              <w:widowControl w:val="0"/>
              <w:rPr>
                <w:color w:val="auto"/>
              </w:rPr>
            </w:pPr>
            <w:r>
              <w:rPr>
                <w:color w:val="auto"/>
              </w:rPr>
              <w:t>上述地区之外的其他地区</w:t>
            </w:r>
          </w:p>
        </w:tc>
      </w:tr>
    </w:tbl>
    <w:p w14:paraId="1CA39B2C">
      <w:pPr>
        <w:pStyle w:val="1304"/>
        <w:rPr>
          <w:color w:val="auto"/>
        </w:rPr>
      </w:pPr>
      <w:r>
        <w:rPr>
          <w:rFonts w:hint="eastAsia"/>
          <w:color w:val="auto"/>
        </w:rPr>
        <w:t xml:space="preserve"> </w:t>
      </w:r>
    </w:p>
    <w:p w14:paraId="4B84B00A">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7</w:t>
      </w:r>
      <w:r>
        <w:rPr>
          <w:color w:val="auto"/>
        </w:rPr>
        <w:fldChar w:fldCharType="end"/>
      </w:r>
      <w:r>
        <w:rPr>
          <w:rFonts w:hint="eastAsia"/>
          <w:color w:val="auto"/>
        </w:rPr>
        <w:t xml:space="preserve">  环境敏感目标分级</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22"/>
        <w:gridCol w:w="8064"/>
      </w:tblGrid>
      <w:tr w14:paraId="758CAA4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411" w:type="pct"/>
            <w:vAlign w:val="center"/>
          </w:tcPr>
          <w:p w14:paraId="3C624D4B">
            <w:pPr>
              <w:pStyle w:val="129"/>
              <w:widowControl w:val="0"/>
              <w:rPr>
                <w:color w:val="auto"/>
              </w:rPr>
            </w:pPr>
            <w:r>
              <w:rPr>
                <w:color w:val="auto"/>
              </w:rPr>
              <w:t>分级</w:t>
            </w:r>
          </w:p>
        </w:tc>
        <w:tc>
          <w:tcPr>
            <w:tcW w:w="4589" w:type="pct"/>
            <w:vAlign w:val="center"/>
          </w:tcPr>
          <w:p w14:paraId="223C1209">
            <w:pPr>
              <w:pStyle w:val="129"/>
              <w:widowControl w:val="0"/>
              <w:rPr>
                <w:color w:val="auto"/>
              </w:rPr>
            </w:pPr>
            <w:r>
              <w:rPr>
                <w:color w:val="auto"/>
              </w:rPr>
              <w:t>环境敏感目标</w:t>
            </w:r>
          </w:p>
        </w:tc>
      </w:tr>
      <w:tr w14:paraId="07EF0A2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411" w:type="pct"/>
            <w:vAlign w:val="center"/>
          </w:tcPr>
          <w:p w14:paraId="306E2D4E">
            <w:pPr>
              <w:pStyle w:val="129"/>
              <w:widowControl w:val="0"/>
              <w:rPr>
                <w:color w:val="auto"/>
              </w:rPr>
            </w:pPr>
            <w:r>
              <w:rPr>
                <w:color w:val="auto"/>
              </w:rPr>
              <w:t>S1</w:t>
            </w:r>
          </w:p>
        </w:tc>
        <w:tc>
          <w:tcPr>
            <w:tcW w:w="4589" w:type="pct"/>
            <w:vAlign w:val="center"/>
          </w:tcPr>
          <w:p w14:paraId="0DCCE161">
            <w:pPr>
              <w:pStyle w:val="129"/>
              <w:widowControl w:val="0"/>
              <w:rPr>
                <w:color w:val="auto"/>
              </w:rPr>
            </w:pPr>
            <w:r>
              <w:rPr>
                <w:color w:val="auto"/>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690CB0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411" w:type="pct"/>
            <w:vAlign w:val="center"/>
          </w:tcPr>
          <w:p w14:paraId="786436D4">
            <w:pPr>
              <w:pStyle w:val="129"/>
              <w:widowControl w:val="0"/>
              <w:rPr>
                <w:color w:val="auto"/>
              </w:rPr>
            </w:pPr>
            <w:r>
              <w:rPr>
                <w:color w:val="auto"/>
              </w:rPr>
              <w:t>S2</w:t>
            </w:r>
          </w:p>
        </w:tc>
        <w:tc>
          <w:tcPr>
            <w:tcW w:w="4589" w:type="pct"/>
            <w:vAlign w:val="center"/>
          </w:tcPr>
          <w:p w14:paraId="37984E9D">
            <w:pPr>
              <w:pStyle w:val="129"/>
              <w:widowControl w:val="0"/>
              <w:rPr>
                <w:color w:val="auto"/>
              </w:rPr>
            </w:pPr>
            <w:r>
              <w:rPr>
                <w:color w:val="auto"/>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77E17C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411" w:type="pct"/>
            <w:vAlign w:val="center"/>
          </w:tcPr>
          <w:p w14:paraId="26DF0BE9">
            <w:pPr>
              <w:pStyle w:val="129"/>
              <w:widowControl w:val="0"/>
              <w:rPr>
                <w:color w:val="auto"/>
              </w:rPr>
            </w:pPr>
            <w:r>
              <w:rPr>
                <w:color w:val="auto"/>
              </w:rPr>
              <w:t>S3</w:t>
            </w:r>
          </w:p>
        </w:tc>
        <w:tc>
          <w:tcPr>
            <w:tcW w:w="4589" w:type="pct"/>
            <w:vAlign w:val="center"/>
          </w:tcPr>
          <w:p w14:paraId="55D8C3EF">
            <w:pPr>
              <w:pStyle w:val="129"/>
              <w:widowControl w:val="0"/>
              <w:rPr>
                <w:color w:val="auto"/>
              </w:rPr>
            </w:pPr>
            <w:r>
              <w:rPr>
                <w:color w:val="auto"/>
              </w:rPr>
              <w:t>排放点下游（顺水流向）10km范围、近岸海域一个潮周期水质点可能达到的最大水平距离的两倍范围内无上述类型1和类型2包括的敏感保护目标</w:t>
            </w:r>
          </w:p>
        </w:tc>
      </w:tr>
    </w:tbl>
    <w:p w14:paraId="20831094">
      <w:pPr>
        <w:pStyle w:val="1304"/>
        <w:rPr>
          <w:color w:val="auto"/>
        </w:rPr>
      </w:pPr>
      <w:r>
        <w:rPr>
          <w:rFonts w:hint="eastAsia"/>
          <w:color w:val="auto"/>
        </w:rPr>
        <w:t xml:space="preserve"> </w:t>
      </w:r>
    </w:p>
    <w:p w14:paraId="5F1FCE50">
      <w:pPr>
        <w:pStyle w:val="132"/>
        <w:rPr>
          <w:color w:val="auto"/>
        </w:rPr>
      </w:pPr>
      <w:r>
        <w:rPr>
          <w:rFonts w:hint="eastAsia"/>
          <w:color w:val="auto"/>
        </w:rPr>
        <w:t>根据项目工程分析可知，本项目发生事故时含泄漏危险物质的事故水输送到事故水池，不排入地表水体，不存在排放点，</w:t>
      </w:r>
      <w:r>
        <w:rPr>
          <w:color w:val="auto"/>
        </w:rPr>
        <w:t>且项目周边5km范围内无环境地表水体，距离地表水体较远。因此，本项目不考虑风险事故</w:t>
      </w:r>
      <w:r>
        <w:rPr>
          <w:rFonts w:hint="eastAsia"/>
          <w:color w:val="auto"/>
        </w:rPr>
        <w:t>泄漏</w:t>
      </w:r>
      <w:r>
        <w:rPr>
          <w:color w:val="auto"/>
        </w:rPr>
        <w:t>危险物质对地表水体的影响。</w:t>
      </w:r>
    </w:p>
    <w:p w14:paraId="623AB704">
      <w:pPr>
        <w:pStyle w:val="5"/>
        <w:rPr>
          <w:color w:val="auto"/>
        </w:rPr>
      </w:pPr>
      <w:r>
        <w:rPr>
          <w:rFonts w:hint="eastAsia"/>
          <w:color w:val="auto"/>
        </w:rPr>
        <w:t>地下水环境敏感程度</w:t>
      </w:r>
    </w:p>
    <w:p w14:paraId="018BFA23">
      <w:pPr>
        <w:pStyle w:val="132"/>
        <w:rPr>
          <w:color w:val="auto"/>
        </w:rPr>
      </w:pPr>
      <w:r>
        <w:rPr>
          <w:rFonts w:hint="eastAsia"/>
          <w:color w:val="auto"/>
        </w:rPr>
        <w:t>根据《建设项目环境风险评价技术导则》（HJ169-2018）附录D的规定：项目所在区域地下水环境敏感程度依据地下水功能敏感性与包气带防污性能确定。区域地下水环境敏感程度共分为三种类型，其分级原则见</w:t>
      </w:r>
      <w:r>
        <w:rPr>
          <w:rFonts w:hint="eastAsia"/>
          <w:color w:val="auto"/>
        </w:rPr>
        <w:fldChar w:fldCharType="begin"/>
      </w:r>
      <w:r>
        <w:instrText xml:space="preserve"> REF _Ref4350 \h  \* MERGEFORMAT</w:instrText>
      </w:r>
      <w:r>
        <w:rPr>
          <w:rFonts w:hint="eastAsia"/>
          <w:color w:val="auto"/>
        </w:rPr>
        <w:fldChar w:fldCharType="separate"/>
      </w: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rFonts w:hint="eastAsia"/>
          <w:color w:val="auto"/>
        </w:rPr>
        <w:t>8</w:t>
      </w:r>
      <w:r>
        <w:rPr>
          <w:rFonts w:hint="eastAsia"/>
          <w:color w:val="auto"/>
        </w:rPr>
        <w:fldChar w:fldCharType="end"/>
      </w:r>
      <w:r>
        <w:rPr>
          <w:rFonts w:hint="eastAsia"/>
          <w:color w:val="auto"/>
        </w:rPr>
        <w:t>。其中地下水功能敏感性分区和包气带防污性能分级分别见</w:t>
      </w:r>
      <w:r>
        <w:rPr>
          <w:rFonts w:hint="eastAsia"/>
          <w:color w:val="auto"/>
        </w:rPr>
        <w:fldChar w:fldCharType="begin"/>
      </w:r>
      <w:r>
        <w:instrText xml:space="preserve"> REF _Ref4406 \h  \* MERGEFORMAT</w:instrText>
      </w:r>
      <w:r>
        <w:rPr>
          <w:rFonts w:hint="eastAsia"/>
          <w:color w:val="auto"/>
        </w:rPr>
        <w:fldChar w:fldCharType="separate"/>
      </w: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rFonts w:hint="eastAsia"/>
          <w:color w:val="auto"/>
        </w:rPr>
        <w:t>9</w:t>
      </w:r>
      <w:r>
        <w:rPr>
          <w:rFonts w:hint="eastAsia"/>
          <w:color w:val="auto"/>
        </w:rPr>
        <w:fldChar w:fldCharType="end"/>
      </w:r>
      <w:r>
        <w:rPr>
          <w:rFonts w:hint="eastAsia"/>
          <w:color w:val="auto"/>
        </w:rPr>
        <w:t>和</w:t>
      </w:r>
      <w:r>
        <w:rPr>
          <w:rFonts w:hint="eastAsia"/>
          <w:color w:val="auto"/>
        </w:rPr>
        <w:fldChar w:fldCharType="begin"/>
      </w:r>
      <w:r>
        <w:instrText xml:space="preserve"> REF _Ref4435 \h  \* MERGEFORMAT</w:instrText>
      </w:r>
      <w:r>
        <w:rPr>
          <w:rFonts w:hint="eastAsia"/>
          <w:color w:val="auto"/>
        </w:rPr>
        <w:fldChar w:fldCharType="separate"/>
      </w: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rFonts w:hint="eastAsia"/>
          <w:color w:val="auto"/>
        </w:rPr>
        <w:t>10</w:t>
      </w:r>
      <w:r>
        <w:rPr>
          <w:rFonts w:hint="eastAsia"/>
          <w:color w:val="auto"/>
        </w:rPr>
        <w:fldChar w:fldCharType="end"/>
      </w:r>
      <w:r>
        <w:rPr>
          <w:rFonts w:hint="eastAsia"/>
          <w:color w:val="auto"/>
        </w:rPr>
        <w:t>。</w:t>
      </w:r>
    </w:p>
    <w:p w14:paraId="7207B07B">
      <w:pPr>
        <w:pStyle w:val="1060"/>
        <w:spacing w:before="163"/>
        <w:rPr>
          <w:color w:val="auto"/>
        </w:rPr>
      </w:pPr>
      <w:bookmarkStart w:id="374" w:name="_Ref435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8</w:t>
      </w:r>
      <w:r>
        <w:rPr>
          <w:color w:val="auto"/>
        </w:rPr>
        <w:fldChar w:fldCharType="end"/>
      </w:r>
      <w:bookmarkEnd w:id="374"/>
      <w:r>
        <w:rPr>
          <w:rFonts w:hint="eastAsia"/>
          <w:color w:val="auto"/>
        </w:rPr>
        <w:t xml:space="preserve"> 地下水环境敏感程度分级</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011"/>
        <w:gridCol w:w="2381"/>
        <w:gridCol w:w="2197"/>
        <w:gridCol w:w="2197"/>
      </w:tblGrid>
      <w:tr w14:paraId="40547F2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145" w:type="pct"/>
            <w:vMerge w:val="restart"/>
            <w:vAlign w:val="center"/>
          </w:tcPr>
          <w:p w14:paraId="2C0A5F7D">
            <w:pPr>
              <w:pStyle w:val="129"/>
              <w:widowControl w:val="0"/>
              <w:rPr>
                <w:color w:val="auto"/>
              </w:rPr>
            </w:pPr>
            <w:r>
              <w:rPr>
                <w:color w:val="auto"/>
              </w:rPr>
              <w:t>包气带防污性能</w:t>
            </w:r>
          </w:p>
        </w:tc>
        <w:tc>
          <w:tcPr>
            <w:tcW w:w="3855" w:type="pct"/>
            <w:gridSpan w:val="3"/>
            <w:vAlign w:val="center"/>
          </w:tcPr>
          <w:p w14:paraId="24FE06B8">
            <w:pPr>
              <w:pStyle w:val="129"/>
              <w:widowControl w:val="0"/>
              <w:rPr>
                <w:color w:val="auto"/>
              </w:rPr>
            </w:pPr>
            <w:r>
              <w:rPr>
                <w:color w:val="auto"/>
              </w:rPr>
              <w:t>地下水功能敏感性</w:t>
            </w:r>
          </w:p>
        </w:tc>
      </w:tr>
      <w:tr w14:paraId="549FC2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0" w:type="auto"/>
            <w:vMerge w:val="continue"/>
            <w:vAlign w:val="center"/>
          </w:tcPr>
          <w:p w14:paraId="04A00CB6">
            <w:pPr>
              <w:pStyle w:val="129"/>
              <w:widowControl w:val="0"/>
              <w:rPr>
                <w:color w:val="auto"/>
              </w:rPr>
            </w:pPr>
          </w:p>
        </w:tc>
        <w:tc>
          <w:tcPr>
            <w:tcW w:w="1355" w:type="pct"/>
            <w:vAlign w:val="center"/>
          </w:tcPr>
          <w:p w14:paraId="0B146568">
            <w:pPr>
              <w:pStyle w:val="129"/>
              <w:widowControl w:val="0"/>
              <w:rPr>
                <w:color w:val="auto"/>
              </w:rPr>
            </w:pPr>
            <w:r>
              <w:rPr>
                <w:color w:val="auto"/>
              </w:rPr>
              <w:t>G1</w:t>
            </w:r>
          </w:p>
        </w:tc>
        <w:tc>
          <w:tcPr>
            <w:tcW w:w="1250" w:type="pct"/>
            <w:vAlign w:val="center"/>
          </w:tcPr>
          <w:p w14:paraId="2882FE9B">
            <w:pPr>
              <w:pStyle w:val="129"/>
              <w:widowControl w:val="0"/>
              <w:rPr>
                <w:color w:val="auto"/>
              </w:rPr>
            </w:pPr>
            <w:r>
              <w:rPr>
                <w:color w:val="auto"/>
              </w:rPr>
              <w:t>G2</w:t>
            </w:r>
          </w:p>
        </w:tc>
        <w:tc>
          <w:tcPr>
            <w:tcW w:w="1250" w:type="pct"/>
            <w:vAlign w:val="center"/>
          </w:tcPr>
          <w:p w14:paraId="446E4026">
            <w:pPr>
              <w:pStyle w:val="129"/>
              <w:widowControl w:val="0"/>
              <w:rPr>
                <w:color w:val="auto"/>
              </w:rPr>
            </w:pPr>
            <w:r>
              <w:rPr>
                <w:color w:val="auto"/>
              </w:rPr>
              <w:t>G3</w:t>
            </w:r>
          </w:p>
        </w:tc>
      </w:tr>
      <w:tr w14:paraId="4C7640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145" w:type="pct"/>
            <w:vAlign w:val="center"/>
          </w:tcPr>
          <w:p w14:paraId="0FEFDAA7">
            <w:pPr>
              <w:pStyle w:val="129"/>
              <w:widowControl w:val="0"/>
              <w:rPr>
                <w:color w:val="auto"/>
              </w:rPr>
            </w:pPr>
            <w:r>
              <w:rPr>
                <w:color w:val="auto"/>
              </w:rPr>
              <w:t>D1</w:t>
            </w:r>
          </w:p>
        </w:tc>
        <w:tc>
          <w:tcPr>
            <w:tcW w:w="1355" w:type="pct"/>
            <w:vAlign w:val="center"/>
          </w:tcPr>
          <w:p w14:paraId="7FA3F7FB">
            <w:pPr>
              <w:pStyle w:val="129"/>
              <w:widowControl w:val="0"/>
              <w:rPr>
                <w:color w:val="auto"/>
              </w:rPr>
            </w:pPr>
            <w:r>
              <w:rPr>
                <w:color w:val="auto"/>
              </w:rPr>
              <w:t>E1</w:t>
            </w:r>
          </w:p>
        </w:tc>
        <w:tc>
          <w:tcPr>
            <w:tcW w:w="1250" w:type="pct"/>
            <w:vAlign w:val="center"/>
          </w:tcPr>
          <w:p w14:paraId="506D44AE">
            <w:pPr>
              <w:pStyle w:val="129"/>
              <w:widowControl w:val="0"/>
              <w:rPr>
                <w:color w:val="auto"/>
              </w:rPr>
            </w:pPr>
            <w:r>
              <w:rPr>
                <w:color w:val="auto"/>
              </w:rPr>
              <w:t>E1</w:t>
            </w:r>
          </w:p>
        </w:tc>
        <w:tc>
          <w:tcPr>
            <w:tcW w:w="1250" w:type="pct"/>
            <w:vAlign w:val="center"/>
          </w:tcPr>
          <w:p w14:paraId="0AF0A1A7">
            <w:pPr>
              <w:pStyle w:val="129"/>
              <w:widowControl w:val="0"/>
              <w:rPr>
                <w:color w:val="auto"/>
              </w:rPr>
            </w:pPr>
            <w:r>
              <w:rPr>
                <w:color w:val="auto"/>
              </w:rPr>
              <w:t>E2</w:t>
            </w:r>
          </w:p>
        </w:tc>
      </w:tr>
      <w:tr w14:paraId="209733B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145" w:type="pct"/>
            <w:vAlign w:val="center"/>
          </w:tcPr>
          <w:p w14:paraId="6F8FE834">
            <w:pPr>
              <w:pStyle w:val="129"/>
              <w:widowControl w:val="0"/>
              <w:rPr>
                <w:color w:val="auto"/>
              </w:rPr>
            </w:pPr>
            <w:r>
              <w:rPr>
                <w:color w:val="auto"/>
              </w:rPr>
              <w:t>D2</w:t>
            </w:r>
          </w:p>
        </w:tc>
        <w:tc>
          <w:tcPr>
            <w:tcW w:w="1355" w:type="pct"/>
            <w:vAlign w:val="center"/>
          </w:tcPr>
          <w:p w14:paraId="7ECC0A79">
            <w:pPr>
              <w:pStyle w:val="129"/>
              <w:widowControl w:val="0"/>
              <w:rPr>
                <w:color w:val="auto"/>
              </w:rPr>
            </w:pPr>
            <w:r>
              <w:rPr>
                <w:color w:val="auto"/>
              </w:rPr>
              <w:t>E1</w:t>
            </w:r>
          </w:p>
        </w:tc>
        <w:tc>
          <w:tcPr>
            <w:tcW w:w="1250" w:type="pct"/>
            <w:vAlign w:val="center"/>
          </w:tcPr>
          <w:p w14:paraId="74BAC043">
            <w:pPr>
              <w:pStyle w:val="129"/>
              <w:widowControl w:val="0"/>
              <w:rPr>
                <w:color w:val="auto"/>
              </w:rPr>
            </w:pPr>
            <w:r>
              <w:rPr>
                <w:color w:val="auto"/>
              </w:rPr>
              <w:t>E2</w:t>
            </w:r>
          </w:p>
        </w:tc>
        <w:tc>
          <w:tcPr>
            <w:tcW w:w="1250" w:type="pct"/>
            <w:vAlign w:val="center"/>
          </w:tcPr>
          <w:p w14:paraId="3B6EB15E">
            <w:pPr>
              <w:pStyle w:val="129"/>
              <w:widowControl w:val="0"/>
              <w:rPr>
                <w:color w:val="auto"/>
              </w:rPr>
            </w:pPr>
            <w:r>
              <w:rPr>
                <w:color w:val="auto"/>
              </w:rPr>
              <w:t>E3</w:t>
            </w:r>
          </w:p>
        </w:tc>
      </w:tr>
      <w:tr w14:paraId="3996CE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1145" w:type="pct"/>
            <w:vAlign w:val="center"/>
          </w:tcPr>
          <w:p w14:paraId="63A7179E">
            <w:pPr>
              <w:pStyle w:val="129"/>
              <w:widowControl w:val="0"/>
              <w:rPr>
                <w:color w:val="auto"/>
              </w:rPr>
            </w:pPr>
            <w:r>
              <w:rPr>
                <w:color w:val="auto"/>
              </w:rPr>
              <w:t>D3</w:t>
            </w:r>
          </w:p>
        </w:tc>
        <w:tc>
          <w:tcPr>
            <w:tcW w:w="1355" w:type="pct"/>
            <w:vAlign w:val="center"/>
          </w:tcPr>
          <w:p w14:paraId="1C41EE14">
            <w:pPr>
              <w:pStyle w:val="129"/>
              <w:widowControl w:val="0"/>
              <w:rPr>
                <w:color w:val="auto"/>
              </w:rPr>
            </w:pPr>
            <w:r>
              <w:rPr>
                <w:color w:val="auto"/>
              </w:rPr>
              <w:t>E2</w:t>
            </w:r>
          </w:p>
        </w:tc>
        <w:tc>
          <w:tcPr>
            <w:tcW w:w="1250" w:type="pct"/>
            <w:vAlign w:val="center"/>
          </w:tcPr>
          <w:p w14:paraId="28573B66">
            <w:pPr>
              <w:pStyle w:val="129"/>
              <w:widowControl w:val="0"/>
              <w:rPr>
                <w:color w:val="auto"/>
              </w:rPr>
            </w:pPr>
            <w:r>
              <w:rPr>
                <w:color w:val="auto"/>
              </w:rPr>
              <w:t>E3</w:t>
            </w:r>
          </w:p>
        </w:tc>
        <w:tc>
          <w:tcPr>
            <w:tcW w:w="1250" w:type="pct"/>
            <w:vAlign w:val="center"/>
          </w:tcPr>
          <w:p w14:paraId="358E927E">
            <w:pPr>
              <w:pStyle w:val="129"/>
              <w:widowControl w:val="0"/>
              <w:rPr>
                <w:color w:val="auto"/>
              </w:rPr>
            </w:pPr>
            <w:r>
              <w:rPr>
                <w:color w:val="auto"/>
              </w:rPr>
              <w:t>E3</w:t>
            </w:r>
          </w:p>
        </w:tc>
      </w:tr>
    </w:tbl>
    <w:p w14:paraId="698979CC">
      <w:pPr>
        <w:pStyle w:val="1060"/>
        <w:spacing w:before="163"/>
        <w:rPr>
          <w:color w:val="auto"/>
        </w:rPr>
      </w:pPr>
      <w:r>
        <w:rPr>
          <w:rFonts w:hint="eastAsia"/>
          <w:color w:val="auto"/>
        </w:rPr>
        <w:t xml:space="preserve"> </w:t>
      </w:r>
      <w:bookmarkStart w:id="375" w:name="_Ref4406"/>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9</w:t>
      </w:r>
      <w:r>
        <w:rPr>
          <w:color w:val="auto"/>
        </w:rPr>
        <w:fldChar w:fldCharType="end"/>
      </w:r>
      <w:bookmarkEnd w:id="375"/>
      <w:r>
        <w:rPr>
          <w:rFonts w:hint="eastAsia"/>
          <w:color w:val="auto"/>
        </w:rPr>
        <w:t xml:space="preserve">  地下水功能敏感性分区</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042"/>
        <w:gridCol w:w="7744"/>
      </w:tblGrid>
      <w:tr w14:paraId="375549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83" w:type="dxa"/>
            <w:vAlign w:val="center"/>
          </w:tcPr>
          <w:p w14:paraId="5A127EB2">
            <w:pPr>
              <w:pStyle w:val="129"/>
              <w:widowControl w:val="0"/>
              <w:rPr>
                <w:color w:val="auto"/>
              </w:rPr>
            </w:pPr>
            <w:r>
              <w:rPr>
                <w:color w:val="auto"/>
              </w:rPr>
              <w:t>分级</w:t>
            </w:r>
          </w:p>
        </w:tc>
        <w:tc>
          <w:tcPr>
            <w:tcW w:w="7303" w:type="dxa"/>
            <w:vAlign w:val="center"/>
          </w:tcPr>
          <w:p w14:paraId="1293489C">
            <w:pPr>
              <w:pStyle w:val="129"/>
              <w:widowControl w:val="0"/>
              <w:rPr>
                <w:color w:val="auto"/>
              </w:rPr>
            </w:pPr>
            <w:r>
              <w:rPr>
                <w:color w:val="auto"/>
              </w:rPr>
              <w:t>地下水环境敏感特征</w:t>
            </w:r>
          </w:p>
        </w:tc>
      </w:tr>
      <w:tr w14:paraId="1E51EB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83" w:type="dxa"/>
            <w:vAlign w:val="center"/>
          </w:tcPr>
          <w:p w14:paraId="5DE858D8">
            <w:pPr>
              <w:pStyle w:val="129"/>
              <w:widowControl w:val="0"/>
              <w:rPr>
                <w:color w:val="auto"/>
              </w:rPr>
            </w:pPr>
            <w:r>
              <w:rPr>
                <w:color w:val="auto"/>
              </w:rPr>
              <w:t>敏感G1</w:t>
            </w:r>
          </w:p>
        </w:tc>
        <w:tc>
          <w:tcPr>
            <w:tcW w:w="7303" w:type="dxa"/>
            <w:vAlign w:val="center"/>
          </w:tcPr>
          <w:p w14:paraId="35A53794">
            <w:pPr>
              <w:pStyle w:val="129"/>
              <w:widowControl w:val="0"/>
              <w:rPr>
                <w:color w:val="auto"/>
              </w:rPr>
            </w:pPr>
            <w:r>
              <w:rPr>
                <w:color w:val="auto"/>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7EF222F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83" w:type="dxa"/>
            <w:vAlign w:val="center"/>
          </w:tcPr>
          <w:p w14:paraId="47D0ED4C">
            <w:pPr>
              <w:pStyle w:val="129"/>
              <w:widowControl w:val="0"/>
              <w:rPr>
                <w:color w:val="auto"/>
              </w:rPr>
            </w:pPr>
            <w:r>
              <w:rPr>
                <w:color w:val="auto"/>
              </w:rPr>
              <w:t>较敏感G2</w:t>
            </w:r>
          </w:p>
        </w:tc>
        <w:tc>
          <w:tcPr>
            <w:tcW w:w="7303" w:type="dxa"/>
            <w:vAlign w:val="center"/>
          </w:tcPr>
          <w:p w14:paraId="352C48D0">
            <w:pPr>
              <w:pStyle w:val="129"/>
              <w:widowControl w:val="0"/>
              <w:rPr>
                <w:color w:val="auto"/>
                <w:spacing w:val="-8"/>
              </w:rPr>
            </w:pPr>
            <w:r>
              <w:rPr>
                <w:color w:val="auto"/>
                <w:spacing w:val="-8"/>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color w:val="auto"/>
                <w:spacing w:val="-8"/>
                <w:vertAlign w:val="superscript"/>
              </w:rPr>
              <w:t>a</w:t>
            </w:r>
          </w:p>
        </w:tc>
      </w:tr>
      <w:tr w14:paraId="79D8EA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83" w:type="dxa"/>
            <w:vAlign w:val="center"/>
          </w:tcPr>
          <w:p w14:paraId="2A350C11">
            <w:pPr>
              <w:pStyle w:val="129"/>
              <w:widowControl w:val="0"/>
              <w:rPr>
                <w:color w:val="auto"/>
              </w:rPr>
            </w:pPr>
            <w:r>
              <w:rPr>
                <w:color w:val="auto"/>
              </w:rPr>
              <w:t>不敏感G3</w:t>
            </w:r>
          </w:p>
        </w:tc>
        <w:tc>
          <w:tcPr>
            <w:tcW w:w="7303" w:type="dxa"/>
            <w:vAlign w:val="center"/>
          </w:tcPr>
          <w:p w14:paraId="501CBF04">
            <w:pPr>
              <w:pStyle w:val="129"/>
              <w:widowControl w:val="0"/>
              <w:rPr>
                <w:color w:val="auto"/>
              </w:rPr>
            </w:pPr>
            <w:r>
              <w:rPr>
                <w:color w:val="auto"/>
              </w:rPr>
              <w:t>上述地区之外的其他地区</w:t>
            </w:r>
          </w:p>
        </w:tc>
      </w:tr>
      <w:tr w14:paraId="73AF9D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286" w:type="dxa"/>
            <w:gridSpan w:val="2"/>
            <w:vAlign w:val="center"/>
          </w:tcPr>
          <w:p w14:paraId="11A14A64">
            <w:pPr>
              <w:pStyle w:val="129"/>
              <w:widowControl w:val="0"/>
              <w:rPr>
                <w:color w:val="auto"/>
              </w:rPr>
            </w:pPr>
            <w:r>
              <w:rPr>
                <w:rFonts w:hint="eastAsia"/>
                <w:color w:val="auto"/>
                <w:vertAlign w:val="superscript"/>
              </w:rPr>
              <w:t>a</w:t>
            </w:r>
            <w:r>
              <w:rPr>
                <w:rFonts w:hint="eastAsia"/>
                <w:color w:val="auto"/>
              </w:rPr>
              <w:t>“</w:t>
            </w:r>
            <w:r>
              <w:rPr>
                <w:color w:val="auto"/>
              </w:rPr>
              <w:t>环境敏感区</w:t>
            </w:r>
            <w:r>
              <w:rPr>
                <w:rFonts w:hint="eastAsia"/>
                <w:color w:val="auto"/>
              </w:rPr>
              <w:t>”</w:t>
            </w:r>
            <w:r>
              <w:rPr>
                <w:color w:val="auto"/>
              </w:rPr>
              <w:t>是指《建设项目环境影响评价分类管理名录》中所界定的涉及地下水的环境敏感区</w:t>
            </w:r>
          </w:p>
        </w:tc>
      </w:tr>
    </w:tbl>
    <w:p w14:paraId="277A7858">
      <w:pPr>
        <w:pStyle w:val="1060"/>
        <w:spacing w:before="163"/>
        <w:rPr>
          <w:color w:val="auto"/>
        </w:rPr>
      </w:pPr>
      <w:bookmarkStart w:id="376" w:name="_Ref4435"/>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10</w:t>
      </w:r>
      <w:r>
        <w:rPr>
          <w:color w:val="auto"/>
        </w:rPr>
        <w:fldChar w:fldCharType="end"/>
      </w:r>
      <w:bookmarkEnd w:id="376"/>
      <w:r>
        <w:rPr>
          <w:rFonts w:hint="eastAsia"/>
          <w:color w:val="auto"/>
        </w:rPr>
        <w:t xml:space="preserve">  包气带防污性能分级原则一览表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989"/>
        <w:gridCol w:w="7797"/>
      </w:tblGrid>
      <w:tr w14:paraId="7D1A83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59" w:type="dxa"/>
            <w:vAlign w:val="center"/>
          </w:tcPr>
          <w:p w14:paraId="206784AA">
            <w:pPr>
              <w:pStyle w:val="129"/>
              <w:widowControl w:val="0"/>
              <w:rPr>
                <w:color w:val="auto"/>
              </w:rPr>
            </w:pPr>
            <w:r>
              <w:rPr>
                <w:color w:val="auto"/>
              </w:rPr>
              <w:t>分级</w:t>
            </w:r>
          </w:p>
        </w:tc>
        <w:tc>
          <w:tcPr>
            <w:tcW w:w="7563" w:type="dxa"/>
            <w:vAlign w:val="center"/>
          </w:tcPr>
          <w:p w14:paraId="3E59262E">
            <w:pPr>
              <w:pStyle w:val="129"/>
              <w:widowControl w:val="0"/>
              <w:rPr>
                <w:color w:val="auto"/>
              </w:rPr>
            </w:pPr>
            <w:r>
              <w:rPr>
                <w:color w:val="auto"/>
              </w:rPr>
              <w:t>包气带岩土的渗透性能</w:t>
            </w:r>
          </w:p>
        </w:tc>
      </w:tr>
      <w:tr w14:paraId="7E71FA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59" w:type="dxa"/>
            <w:vAlign w:val="center"/>
          </w:tcPr>
          <w:p w14:paraId="7D443DC3">
            <w:pPr>
              <w:pStyle w:val="129"/>
              <w:widowControl w:val="0"/>
              <w:rPr>
                <w:color w:val="auto"/>
              </w:rPr>
            </w:pPr>
            <w:r>
              <w:rPr>
                <w:color w:val="auto"/>
              </w:rPr>
              <w:t>D3</w:t>
            </w:r>
          </w:p>
        </w:tc>
        <w:tc>
          <w:tcPr>
            <w:tcW w:w="7563" w:type="dxa"/>
            <w:vAlign w:val="center"/>
          </w:tcPr>
          <w:p w14:paraId="3E026F3B">
            <w:pPr>
              <w:pStyle w:val="129"/>
              <w:widowControl w:val="0"/>
              <w:rPr>
                <w:color w:val="auto"/>
              </w:rPr>
            </w:pPr>
            <w:r>
              <w:rPr>
                <w:color w:val="auto"/>
              </w:rPr>
              <w:t>Mb≥1.0m，K≤1.0×10</w:t>
            </w:r>
            <w:r>
              <w:rPr>
                <w:color w:val="auto"/>
                <w:vertAlign w:val="superscript"/>
              </w:rPr>
              <w:t>-6</w:t>
            </w:r>
            <w:r>
              <w:rPr>
                <w:color w:val="auto"/>
              </w:rPr>
              <w:t>cm/s，且分布连续、稳定</w:t>
            </w:r>
          </w:p>
        </w:tc>
      </w:tr>
      <w:tr w14:paraId="1D8957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59" w:type="dxa"/>
            <w:vAlign w:val="center"/>
          </w:tcPr>
          <w:p w14:paraId="75B65323">
            <w:pPr>
              <w:pStyle w:val="129"/>
              <w:widowControl w:val="0"/>
              <w:rPr>
                <w:color w:val="auto"/>
              </w:rPr>
            </w:pPr>
            <w:r>
              <w:rPr>
                <w:color w:val="auto"/>
              </w:rPr>
              <w:t>D2</w:t>
            </w:r>
          </w:p>
        </w:tc>
        <w:tc>
          <w:tcPr>
            <w:tcW w:w="7563" w:type="dxa"/>
            <w:vAlign w:val="center"/>
          </w:tcPr>
          <w:p w14:paraId="6EA04B8A">
            <w:pPr>
              <w:pStyle w:val="129"/>
              <w:widowControl w:val="0"/>
              <w:rPr>
                <w:color w:val="auto"/>
              </w:rPr>
            </w:pPr>
            <w:r>
              <w:rPr>
                <w:color w:val="auto"/>
              </w:rPr>
              <w:t>0.5m≤Mb&lt;1.0m，K≤1.0×10</w:t>
            </w:r>
            <w:r>
              <w:rPr>
                <w:color w:val="auto"/>
                <w:vertAlign w:val="superscript"/>
              </w:rPr>
              <w:t>-6</w:t>
            </w:r>
            <w:r>
              <w:rPr>
                <w:color w:val="auto"/>
              </w:rPr>
              <w:t>cm/s，且分布连续、稳定</w:t>
            </w:r>
          </w:p>
          <w:p w14:paraId="167EE7A5">
            <w:pPr>
              <w:pStyle w:val="129"/>
              <w:widowControl w:val="0"/>
              <w:rPr>
                <w:color w:val="auto"/>
              </w:rPr>
            </w:pPr>
            <w:r>
              <w:rPr>
                <w:color w:val="auto"/>
              </w:rPr>
              <w:t>Mb≥1.0m，1.0×10</w:t>
            </w:r>
            <w:r>
              <w:rPr>
                <w:color w:val="auto"/>
                <w:vertAlign w:val="superscript"/>
              </w:rPr>
              <w:t>-6</w:t>
            </w:r>
            <w:r>
              <w:rPr>
                <w:color w:val="auto"/>
              </w:rPr>
              <w:t>cm/s＜K≤1.0×10</w:t>
            </w:r>
            <w:r>
              <w:rPr>
                <w:color w:val="auto"/>
                <w:vertAlign w:val="superscript"/>
              </w:rPr>
              <w:t>-4</w:t>
            </w:r>
            <w:r>
              <w:rPr>
                <w:color w:val="auto"/>
              </w:rPr>
              <w:t>cm/s，且分布连续、稳定</w:t>
            </w:r>
          </w:p>
        </w:tc>
      </w:tr>
      <w:tr w14:paraId="00BE0C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59" w:type="dxa"/>
            <w:vAlign w:val="center"/>
          </w:tcPr>
          <w:p w14:paraId="38FAD394">
            <w:pPr>
              <w:pStyle w:val="129"/>
              <w:widowControl w:val="0"/>
              <w:rPr>
                <w:color w:val="auto"/>
              </w:rPr>
            </w:pPr>
            <w:r>
              <w:rPr>
                <w:color w:val="auto"/>
              </w:rPr>
              <w:t>D1</w:t>
            </w:r>
          </w:p>
        </w:tc>
        <w:tc>
          <w:tcPr>
            <w:tcW w:w="7563" w:type="dxa"/>
            <w:vAlign w:val="center"/>
          </w:tcPr>
          <w:p w14:paraId="0993A8C4">
            <w:pPr>
              <w:pStyle w:val="129"/>
              <w:widowControl w:val="0"/>
              <w:rPr>
                <w:color w:val="auto"/>
              </w:rPr>
            </w:pPr>
            <w:r>
              <w:rPr>
                <w:color w:val="auto"/>
              </w:rPr>
              <w:t>岩（土）层不满足上述“D2”和“D3”条件</w:t>
            </w:r>
          </w:p>
        </w:tc>
      </w:tr>
      <w:tr w14:paraId="12F94CD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522" w:type="dxa"/>
            <w:gridSpan w:val="2"/>
            <w:vAlign w:val="center"/>
          </w:tcPr>
          <w:p w14:paraId="15E1D01B">
            <w:pPr>
              <w:pStyle w:val="129"/>
              <w:widowControl w:val="0"/>
              <w:rPr>
                <w:color w:val="auto"/>
              </w:rPr>
            </w:pPr>
            <w:r>
              <w:rPr>
                <w:color w:val="auto"/>
              </w:rPr>
              <w:t>Mb：岩土层单层厚度。K：渗透系数。</w:t>
            </w:r>
          </w:p>
        </w:tc>
      </w:tr>
    </w:tbl>
    <w:p w14:paraId="0104A4F7">
      <w:pPr>
        <w:pStyle w:val="1304"/>
        <w:rPr>
          <w:color w:val="auto"/>
        </w:rPr>
      </w:pPr>
      <w:r>
        <w:rPr>
          <w:rFonts w:hint="eastAsia"/>
          <w:color w:val="auto"/>
        </w:rPr>
        <w:t xml:space="preserve"> </w:t>
      </w:r>
    </w:p>
    <w:p w14:paraId="2A3947F3">
      <w:pPr>
        <w:pStyle w:val="132"/>
        <w:rPr>
          <w:color w:val="auto"/>
        </w:rPr>
      </w:pPr>
      <w:r>
        <w:rPr>
          <w:rFonts w:hint="eastAsia"/>
          <w:color w:val="auto"/>
        </w:rPr>
        <w:t>本项目所在区域地下水功能敏感性为“不敏感G3”。</w:t>
      </w:r>
    </w:p>
    <w:p w14:paraId="7289F78D">
      <w:pPr>
        <w:pStyle w:val="132"/>
        <w:rPr>
          <w:color w:val="auto"/>
        </w:rPr>
      </w:pPr>
      <w:r>
        <w:rPr>
          <w:rFonts w:hint="eastAsia"/>
          <w:color w:val="auto"/>
        </w:rPr>
        <w:t>根据调查，项目所在区域包气带厚度为0.8m，包气带渗透系数小于2.34×10</w:t>
      </w:r>
      <w:r>
        <w:rPr>
          <w:rFonts w:hint="eastAsia"/>
          <w:color w:val="auto"/>
          <w:vertAlign w:val="superscript"/>
        </w:rPr>
        <w:t>-2</w:t>
      </w:r>
      <w:r>
        <w:rPr>
          <w:rFonts w:hint="eastAsia"/>
          <w:color w:val="auto"/>
        </w:rPr>
        <w:t>cm/s，根据</w:t>
      </w:r>
      <w:r>
        <w:rPr>
          <w:rFonts w:hint="eastAsia"/>
          <w:color w:val="auto"/>
        </w:rPr>
        <w:fldChar w:fldCharType="begin"/>
      </w:r>
      <w:r>
        <w:instrText xml:space="preserve"> REF _Ref4435 \h  \* MERGEFORMAT</w:instrText>
      </w:r>
      <w:r>
        <w:rPr>
          <w:rFonts w:hint="eastAsia"/>
          <w:color w:val="auto"/>
        </w:rPr>
        <w:fldChar w:fldCharType="separate"/>
      </w: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rFonts w:hint="eastAsia"/>
          <w:color w:val="auto"/>
        </w:rPr>
        <w:t>10</w:t>
      </w:r>
      <w:r>
        <w:rPr>
          <w:rFonts w:hint="eastAsia"/>
          <w:color w:val="auto"/>
        </w:rPr>
        <w:fldChar w:fldCharType="end"/>
      </w:r>
      <w:r>
        <w:rPr>
          <w:rFonts w:hint="eastAsia"/>
          <w:color w:val="auto"/>
        </w:rPr>
        <w:t>的判定依据，本项目所在区域包气带防污性能分级为“D1”。</w:t>
      </w:r>
    </w:p>
    <w:p w14:paraId="31EAC7BF">
      <w:pPr>
        <w:pStyle w:val="132"/>
        <w:rPr>
          <w:color w:val="auto"/>
        </w:rPr>
      </w:pPr>
      <w:r>
        <w:rPr>
          <w:rFonts w:hint="eastAsia"/>
          <w:color w:val="auto"/>
        </w:rPr>
        <w:t>根据</w:t>
      </w:r>
      <w:r>
        <w:rPr>
          <w:rFonts w:hint="eastAsia"/>
          <w:color w:val="auto"/>
        </w:rPr>
        <w:fldChar w:fldCharType="begin"/>
      </w:r>
      <w:r>
        <w:instrText xml:space="preserve"> REF _Ref4406 \h  \* MERGEFORMAT</w:instrText>
      </w:r>
      <w:r>
        <w:rPr>
          <w:rFonts w:hint="eastAsia"/>
          <w:color w:val="auto"/>
        </w:rPr>
        <w:fldChar w:fldCharType="separate"/>
      </w: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rFonts w:hint="eastAsia"/>
          <w:color w:val="auto"/>
        </w:rPr>
        <w:t>9</w:t>
      </w:r>
      <w:r>
        <w:rPr>
          <w:rFonts w:hint="eastAsia"/>
          <w:color w:val="auto"/>
        </w:rPr>
        <w:fldChar w:fldCharType="end"/>
      </w:r>
      <w:r>
        <w:rPr>
          <w:rFonts w:hint="eastAsia"/>
          <w:color w:val="auto"/>
        </w:rPr>
        <w:t>的判定依据，项目所在区域的地下水环境敏感程度分级为“E2”。</w:t>
      </w:r>
    </w:p>
    <w:p w14:paraId="16FDB70B">
      <w:pPr>
        <w:pStyle w:val="4"/>
        <w:rPr>
          <w:color w:val="auto"/>
        </w:rPr>
      </w:pPr>
      <w:r>
        <w:rPr>
          <w:rFonts w:hint="eastAsia"/>
          <w:color w:val="auto"/>
        </w:rPr>
        <w:t>环境风险潜势判定</w:t>
      </w:r>
    </w:p>
    <w:p w14:paraId="1E63CD82">
      <w:pPr>
        <w:pStyle w:val="132"/>
        <w:rPr>
          <w:color w:val="auto"/>
        </w:rPr>
      </w:pPr>
      <w:r>
        <w:rPr>
          <w:rFonts w:hint="eastAsia"/>
          <w:color w:val="auto"/>
        </w:rPr>
        <w:t>根据《建设项目环境风险评价技术导则》（HJ169-2018）</w:t>
      </w:r>
      <w:r>
        <w:rPr>
          <w:color w:val="auto"/>
        </w:rPr>
        <w:t>，建设项目环境风险潜势划分为Ⅰ、Ⅱ、Ⅲ、Ⅳ/Ⅳ</w:t>
      </w:r>
      <w:r>
        <w:rPr>
          <w:color w:val="auto"/>
          <w:vertAlign w:val="superscript"/>
        </w:rPr>
        <w:t>+</w:t>
      </w:r>
      <w:r>
        <w:rPr>
          <w:color w:val="auto"/>
        </w:rPr>
        <w:t>级。</w:t>
      </w:r>
    </w:p>
    <w:p w14:paraId="75CFA3A7">
      <w:pPr>
        <w:pStyle w:val="132"/>
        <w:rPr>
          <w:color w:val="auto"/>
        </w:rPr>
      </w:pPr>
      <w:r>
        <w:rPr>
          <w:rFonts w:hint="eastAsia"/>
          <w:color w:val="auto"/>
        </w:rPr>
        <w:t>根据建设项目涉及的物质和工艺系统的危险性及其所在地的环境敏感程度，结合事故情</w:t>
      </w:r>
      <w:r>
        <w:rPr>
          <w:rFonts w:hint="eastAsia"/>
          <w:color w:val="auto"/>
          <w:lang w:eastAsia="zh-CN"/>
        </w:rPr>
        <w:t>形和</w:t>
      </w:r>
      <w:r>
        <w:rPr>
          <w:rFonts w:hint="eastAsia"/>
          <w:color w:val="auto"/>
        </w:rPr>
        <w:t>环境影响途径，对建设项目潜在环境危害程度进行概化分析，进而确定环境风险潜势，确定依据见表7.3-11。</w:t>
      </w:r>
    </w:p>
    <w:p w14:paraId="39C63D0C">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rPr>
        <w:t>7.3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11</w:t>
      </w:r>
      <w:r>
        <w:rPr>
          <w:color w:val="auto"/>
        </w:rPr>
        <w:fldChar w:fldCharType="end"/>
      </w:r>
      <w:r>
        <w:rPr>
          <w:rFonts w:hint="eastAsia"/>
          <w:color w:val="auto"/>
        </w:rPr>
        <w:t xml:space="preserve"> 项目环境风险潜势划分依据一览表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351"/>
        <w:gridCol w:w="1615"/>
        <w:gridCol w:w="1627"/>
        <w:gridCol w:w="1643"/>
        <w:gridCol w:w="1550"/>
      </w:tblGrid>
      <w:tr w14:paraId="25E836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338" w:type="pct"/>
            <w:vMerge w:val="restart"/>
            <w:vAlign w:val="center"/>
          </w:tcPr>
          <w:p w14:paraId="0520C71C">
            <w:pPr>
              <w:pStyle w:val="129"/>
              <w:widowControl w:val="0"/>
              <w:spacing w:line="340" w:lineRule="exact"/>
              <w:rPr>
                <w:color w:val="auto"/>
              </w:rPr>
            </w:pPr>
            <w:r>
              <w:rPr>
                <w:color w:val="auto"/>
              </w:rPr>
              <w:t>环境敏感程度</w:t>
            </w:r>
          </w:p>
        </w:tc>
        <w:tc>
          <w:tcPr>
            <w:tcW w:w="3662" w:type="pct"/>
            <w:gridSpan w:val="4"/>
            <w:vAlign w:val="center"/>
          </w:tcPr>
          <w:p w14:paraId="5583372A">
            <w:pPr>
              <w:pStyle w:val="129"/>
              <w:widowControl w:val="0"/>
              <w:spacing w:line="340" w:lineRule="exact"/>
              <w:rPr>
                <w:color w:val="auto"/>
              </w:rPr>
            </w:pPr>
            <w:r>
              <w:rPr>
                <w:color w:val="auto"/>
              </w:rPr>
              <w:t>危险物质及工艺系统危险性P</w:t>
            </w:r>
          </w:p>
        </w:tc>
      </w:tr>
      <w:tr w14:paraId="2199DCF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0" w:type="auto"/>
            <w:vMerge w:val="continue"/>
            <w:vAlign w:val="center"/>
          </w:tcPr>
          <w:p w14:paraId="588849B2">
            <w:pPr>
              <w:pStyle w:val="129"/>
              <w:widowControl w:val="0"/>
              <w:spacing w:line="340" w:lineRule="exact"/>
              <w:rPr>
                <w:color w:val="auto"/>
              </w:rPr>
            </w:pPr>
          </w:p>
        </w:tc>
        <w:tc>
          <w:tcPr>
            <w:tcW w:w="919" w:type="pct"/>
            <w:vAlign w:val="center"/>
          </w:tcPr>
          <w:p w14:paraId="7F80207B">
            <w:pPr>
              <w:pStyle w:val="129"/>
              <w:widowControl w:val="0"/>
              <w:spacing w:line="340" w:lineRule="exact"/>
              <w:rPr>
                <w:color w:val="auto"/>
              </w:rPr>
            </w:pPr>
            <w:r>
              <w:rPr>
                <w:color w:val="auto"/>
              </w:rPr>
              <w:t>极高危害（P1）</w:t>
            </w:r>
          </w:p>
        </w:tc>
        <w:tc>
          <w:tcPr>
            <w:tcW w:w="926" w:type="pct"/>
            <w:vAlign w:val="center"/>
          </w:tcPr>
          <w:p w14:paraId="716B0152">
            <w:pPr>
              <w:pStyle w:val="129"/>
              <w:widowControl w:val="0"/>
              <w:spacing w:line="340" w:lineRule="exact"/>
              <w:rPr>
                <w:color w:val="auto"/>
              </w:rPr>
            </w:pPr>
            <w:r>
              <w:rPr>
                <w:color w:val="auto"/>
              </w:rPr>
              <w:t>高度危害（P2）</w:t>
            </w:r>
          </w:p>
        </w:tc>
        <w:tc>
          <w:tcPr>
            <w:tcW w:w="935" w:type="pct"/>
            <w:vAlign w:val="center"/>
          </w:tcPr>
          <w:p w14:paraId="311EA3B2">
            <w:pPr>
              <w:pStyle w:val="129"/>
              <w:widowControl w:val="0"/>
              <w:spacing w:line="340" w:lineRule="exact"/>
              <w:rPr>
                <w:color w:val="auto"/>
              </w:rPr>
            </w:pPr>
            <w:r>
              <w:rPr>
                <w:color w:val="auto"/>
              </w:rPr>
              <w:t>中度危害（P3）</w:t>
            </w:r>
          </w:p>
        </w:tc>
        <w:tc>
          <w:tcPr>
            <w:tcW w:w="882" w:type="pct"/>
            <w:vAlign w:val="center"/>
          </w:tcPr>
          <w:p w14:paraId="7F7AB5B5">
            <w:pPr>
              <w:pStyle w:val="129"/>
              <w:widowControl w:val="0"/>
              <w:spacing w:line="340" w:lineRule="exact"/>
              <w:rPr>
                <w:color w:val="auto"/>
              </w:rPr>
            </w:pPr>
            <w:r>
              <w:rPr>
                <w:color w:val="auto"/>
              </w:rPr>
              <w:t>轻度危害（P4）</w:t>
            </w:r>
          </w:p>
        </w:tc>
      </w:tr>
      <w:tr w14:paraId="2B6ACD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338" w:type="pct"/>
            <w:vAlign w:val="center"/>
          </w:tcPr>
          <w:p w14:paraId="26BF8FAF">
            <w:pPr>
              <w:pStyle w:val="129"/>
              <w:widowControl w:val="0"/>
              <w:spacing w:line="340" w:lineRule="exact"/>
              <w:rPr>
                <w:color w:val="auto"/>
              </w:rPr>
            </w:pPr>
            <w:r>
              <w:rPr>
                <w:color w:val="auto"/>
              </w:rPr>
              <w:t>环境高敏感度区（E1）</w:t>
            </w:r>
          </w:p>
        </w:tc>
        <w:tc>
          <w:tcPr>
            <w:tcW w:w="919" w:type="pct"/>
            <w:vAlign w:val="center"/>
          </w:tcPr>
          <w:p w14:paraId="1DF7E1C7">
            <w:pPr>
              <w:pStyle w:val="129"/>
              <w:widowControl w:val="0"/>
              <w:spacing w:line="340" w:lineRule="exact"/>
              <w:rPr>
                <w:color w:val="auto"/>
              </w:rPr>
            </w:pPr>
            <w:r>
              <w:rPr>
                <w:color w:val="auto"/>
              </w:rPr>
              <w:t>IV</w:t>
            </w:r>
            <w:r>
              <w:rPr>
                <w:color w:val="auto"/>
                <w:vertAlign w:val="superscript"/>
              </w:rPr>
              <w:t>+</w:t>
            </w:r>
          </w:p>
        </w:tc>
        <w:tc>
          <w:tcPr>
            <w:tcW w:w="926" w:type="pct"/>
            <w:vAlign w:val="center"/>
          </w:tcPr>
          <w:p w14:paraId="499D416B">
            <w:pPr>
              <w:pStyle w:val="129"/>
              <w:widowControl w:val="0"/>
              <w:spacing w:line="340" w:lineRule="exact"/>
              <w:rPr>
                <w:color w:val="auto"/>
              </w:rPr>
            </w:pPr>
            <w:r>
              <w:rPr>
                <w:color w:val="auto"/>
              </w:rPr>
              <w:t>IV</w:t>
            </w:r>
          </w:p>
        </w:tc>
        <w:tc>
          <w:tcPr>
            <w:tcW w:w="935" w:type="pct"/>
            <w:vAlign w:val="center"/>
          </w:tcPr>
          <w:p w14:paraId="30E39391">
            <w:pPr>
              <w:pStyle w:val="129"/>
              <w:widowControl w:val="0"/>
              <w:spacing w:line="340" w:lineRule="exact"/>
              <w:rPr>
                <w:color w:val="auto"/>
              </w:rPr>
            </w:pPr>
            <w:r>
              <w:rPr>
                <w:color w:val="auto"/>
              </w:rPr>
              <w:t>III</w:t>
            </w:r>
          </w:p>
        </w:tc>
        <w:tc>
          <w:tcPr>
            <w:tcW w:w="882" w:type="pct"/>
            <w:vAlign w:val="center"/>
          </w:tcPr>
          <w:p w14:paraId="25A0F885">
            <w:pPr>
              <w:pStyle w:val="129"/>
              <w:widowControl w:val="0"/>
              <w:spacing w:line="340" w:lineRule="exact"/>
              <w:rPr>
                <w:color w:val="auto"/>
              </w:rPr>
            </w:pPr>
            <w:r>
              <w:rPr>
                <w:color w:val="auto"/>
              </w:rPr>
              <w:t>III</w:t>
            </w:r>
          </w:p>
        </w:tc>
      </w:tr>
      <w:tr w14:paraId="494F86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338" w:type="pct"/>
            <w:vAlign w:val="center"/>
          </w:tcPr>
          <w:p w14:paraId="3B65EFE3">
            <w:pPr>
              <w:pStyle w:val="129"/>
              <w:widowControl w:val="0"/>
              <w:spacing w:line="340" w:lineRule="exact"/>
              <w:rPr>
                <w:color w:val="auto"/>
              </w:rPr>
            </w:pPr>
            <w:r>
              <w:rPr>
                <w:color w:val="auto"/>
              </w:rPr>
              <w:t>环境中敏感度区（E2）</w:t>
            </w:r>
          </w:p>
        </w:tc>
        <w:tc>
          <w:tcPr>
            <w:tcW w:w="919" w:type="pct"/>
            <w:vAlign w:val="center"/>
          </w:tcPr>
          <w:p w14:paraId="50B0BD11">
            <w:pPr>
              <w:pStyle w:val="129"/>
              <w:widowControl w:val="0"/>
              <w:spacing w:line="340" w:lineRule="exact"/>
              <w:rPr>
                <w:color w:val="auto"/>
              </w:rPr>
            </w:pPr>
            <w:r>
              <w:rPr>
                <w:color w:val="auto"/>
              </w:rPr>
              <w:t>IV</w:t>
            </w:r>
          </w:p>
        </w:tc>
        <w:tc>
          <w:tcPr>
            <w:tcW w:w="926" w:type="pct"/>
            <w:vAlign w:val="center"/>
          </w:tcPr>
          <w:p w14:paraId="27521AB5">
            <w:pPr>
              <w:pStyle w:val="129"/>
              <w:widowControl w:val="0"/>
              <w:spacing w:line="340" w:lineRule="exact"/>
              <w:rPr>
                <w:color w:val="auto"/>
              </w:rPr>
            </w:pPr>
            <w:r>
              <w:rPr>
                <w:color w:val="auto"/>
              </w:rPr>
              <w:t>III</w:t>
            </w:r>
          </w:p>
        </w:tc>
        <w:tc>
          <w:tcPr>
            <w:tcW w:w="935" w:type="pct"/>
            <w:vAlign w:val="center"/>
          </w:tcPr>
          <w:p w14:paraId="13D749F4">
            <w:pPr>
              <w:pStyle w:val="129"/>
              <w:widowControl w:val="0"/>
              <w:spacing w:line="340" w:lineRule="exact"/>
              <w:rPr>
                <w:color w:val="auto"/>
              </w:rPr>
            </w:pPr>
            <w:r>
              <w:rPr>
                <w:color w:val="auto"/>
              </w:rPr>
              <w:t>III</w:t>
            </w:r>
          </w:p>
        </w:tc>
        <w:tc>
          <w:tcPr>
            <w:tcW w:w="882" w:type="pct"/>
            <w:vAlign w:val="center"/>
          </w:tcPr>
          <w:p w14:paraId="453CD1F5">
            <w:pPr>
              <w:pStyle w:val="129"/>
              <w:widowControl w:val="0"/>
              <w:spacing w:line="340" w:lineRule="exact"/>
              <w:rPr>
                <w:color w:val="auto"/>
              </w:rPr>
            </w:pPr>
            <w:r>
              <w:rPr>
                <w:color w:val="auto"/>
              </w:rPr>
              <w:t>II</w:t>
            </w:r>
          </w:p>
        </w:tc>
      </w:tr>
      <w:tr w14:paraId="4036A3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338" w:type="pct"/>
            <w:vAlign w:val="center"/>
          </w:tcPr>
          <w:p w14:paraId="0AE06A88">
            <w:pPr>
              <w:pStyle w:val="129"/>
              <w:widowControl w:val="0"/>
              <w:spacing w:line="340" w:lineRule="exact"/>
              <w:rPr>
                <w:color w:val="auto"/>
              </w:rPr>
            </w:pPr>
            <w:r>
              <w:rPr>
                <w:color w:val="auto"/>
              </w:rPr>
              <w:t>环境低敏感度区（E3）</w:t>
            </w:r>
          </w:p>
        </w:tc>
        <w:tc>
          <w:tcPr>
            <w:tcW w:w="919" w:type="pct"/>
            <w:vAlign w:val="center"/>
          </w:tcPr>
          <w:p w14:paraId="5E63911C">
            <w:pPr>
              <w:pStyle w:val="129"/>
              <w:widowControl w:val="0"/>
              <w:spacing w:line="340" w:lineRule="exact"/>
              <w:rPr>
                <w:color w:val="auto"/>
              </w:rPr>
            </w:pPr>
            <w:r>
              <w:rPr>
                <w:color w:val="auto"/>
              </w:rPr>
              <w:t>III</w:t>
            </w:r>
          </w:p>
        </w:tc>
        <w:tc>
          <w:tcPr>
            <w:tcW w:w="926" w:type="pct"/>
            <w:vAlign w:val="center"/>
          </w:tcPr>
          <w:p w14:paraId="2CC2D7BC">
            <w:pPr>
              <w:pStyle w:val="129"/>
              <w:widowControl w:val="0"/>
              <w:spacing w:line="340" w:lineRule="exact"/>
              <w:rPr>
                <w:color w:val="auto"/>
              </w:rPr>
            </w:pPr>
            <w:r>
              <w:rPr>
                <w:color w:val="auto"/>
              </w:rPr>
              <w:t>III</w:t>
            </w:r>
          </w:p>
        </w:tc>
        <w:tc>
          <w:tcPr>
            <w:tcW w:w="935" w:type="pct"/>
            <w:vAlign w:val="center"/>
          </w:tcPr>
          <w:p w14:paraId="49DB04BD">
            <w:pPr>
              <w:pStyle w:val="129"/>
              <w:widowControl w:val="0"/>
              <w:spacing w:line="340" w:lineRule="exact"/>
              <w:rPr>
                <w:color w:val="auto"/>
              </w:rPr>
            </w:pPr>
            <w:r>
              <w:rPr>
                <w:color w:val="auto"/>
              </w:rPr>
              <w:t>II</w:t>
            </w:r>
          </w:p>
        </w:tc>
        <w:tc>
          <w:tcPr>
            <w:tcW w:w="882" w:type="pct"/>
            <w:vAlign w:val="center"/>
          </w:tcPr>
          <w:p w14:paraId="72519E66">
            <w:pPr>
              <w:pStyle w:val="129"/>
              <w:widowControl w:val="0"/>
              <w:spacing w:line="340" w:lineRule="exact"/>
              <w:rPr>
                <w:color w:val="auto"/>
              </w:rPr>
            </w:pPr>
            <w:r>
              <w:rPr>
                <w:color w:val="auto"/>
              </w:rPr>
              <w:t>I</w:t>
            </w:r>
          </w:p>
        </w:tc>
      </w:tr>
      <w:tr w14:paraId="445658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5"/>
            <w:vAlign w:val="center"/>
          </w:tcPr>
          <w:p w14:paraId="0B367C97">
            <w:pPr>
              <w:pStyle w:val="129"/>
              <w:widowControl w:val="0"/>
              <w:spacing w:line="340" w:lineRule="exact"/>
              <w:rPr>
                <w:color w:val="auto"/>
              </w:rPr>
            </w:pPr>
            <w:r>
              <w:rPr>
                <w:color w:val="auto"/>
              </w:rPr>
              <w:t>注：IV</w:t>
            </w:r>
            <w:r>
              <w:rPr>
                <w:color w:val="auto"/>
                <w:vertAlign w:val="superscript"/>
              </w:rPr>
              <w:t>+</w:t>
            </w:r>
            <w:r>
              <w:rPr>
                <w:color w:val="auto"/>
              </w:rPr>
              <w:t>为极高环境风险</w:t>
            </w:r>
          </w:p>
        </w:tc>
      </w:tr>
    </w:tbl>
    <w:p w14:paraId="5734DA87">
      <w:pPr>
        <w:pStyle w:val="132"/>
        <w:rPr>
          <w:color w:val="auto"/>
        </w:rPr>
      </w:pPr>
      <w:r>
        <w:rPr>
          <w:rFonts w:hint="eastAsia"/>
          <w:color w:val="auto"/>
        </w:rPr>
        <w:t xml:space="preserve"> 经上述分析得知，本项目不考虑风险事故泄漏危险物质对地表水体的影响，项目所在区域大气环境敏感程度为E2，项目所在区域地下水环境敏感程度分级为E2，项目风险物质及工艺系统危险性等级</w:t>
      </w:r>
      <w:r>
        <w:rPr>
          <w:color w:val="auto"/>
        </w:rPr>
        <w:t>为P1。从表7.3-11可知，本项目的大气环境风险潜势和地下水环境风险潜势均为Ⅳ级，因此，本项目的环境风险潜势为Ⅳ级。</w:t>
      </w:r>
    </w:p>
    <w:p w14:paraId="21B05F29">
      <w:pPr>
        <w:pStyle w:val="3"/>
        <w:rPr>
          <w:color w:val="auto"/>
        </w:rPr>
      </w:pPr>
      <w:bookmarkStart w:id="377" w:name="_Toc229930161"/>
      <w:bookmarkStart w:id="378" w:name="_Toc11725"/>
      <w:r>
        <w:rPr>
          <w:rFonts w:hint="eastAsia"/>
          <w:color w:val="auto"/>
        </w:rPr>
        <w:t>评价等级及评价范围</w:t>
      </w:r>
      <w:bookmarkEnd w:id="377"/>
      <w:bookmarkEnd w:id="378"/>
    </w:p>
    <w:p w14:paraId="063F73E0">
      <w:pPr>
        <w:pStyle w:val="4"/>
        <w:rPr>
          <w:color w:val="auto"/>
        </w:rPr>
      </w:pPr>
      <w:r>
        <w:rPr>
          <w:rFonts w:hint="eastAsia"/>
          <w:color w:val="auto"/>
        </w:rPr>
        <w:t>评价等级</w:t>
      </w:r>
    </w:p>
    <w:p w14:paraId="4B4D12E5">
      <w:pPr>
        <w:spacing w:line="360" w:lineRule="auto"/>
        <w:ind w:firstLine="480" w:firstLineChars="200"/>
        <w:jc w:val="both"/>
        <w:rPr>
          <w:color w:val="auto"/>
          <w:sz w:val="24"/>
          <w:szCs w:val="24"/>
        </w:rPr>
      </w:pPr>
      <w:r>
        <w:rPr>
          <w:rFonts w:hint="eastAsia"/>
          <w:color w:val="auto"/>
          <w:sz w:val="24"/>
          <w:szCs w:val="24"/>
        </w:rPr>
        <w:t>建设项目环境风险评价工作等级划分为一级、二级、三级，评价等级划分原则见</w:t>
      </w:r>
      <w:r>
        <w:rPr>
          <w:rFonts w:hint="eastAsia"/>
          <w:color w:val="auto"/>
          <w:sz w:val="24"/>
          <w:szCs w:val="24"/>
        </w:rPr>
        <w:fldChar w:fldCharType="begin"/>
      </w:r>
      <w:r>
        <w:rPr>
          <w:color w:val="auto"/>
        </w:rPr>
        <w:instrText xml:space="preserve"> REF _Ref20568 \h  \* MERGEFORMAT</w:instrText>
      </w:r>
      <w:r>
        <w:rPr>
          <w:rFonts w:hint="eastAsia"/>
          <w:color w:val="auto"/>
          <w:sz w:val="24"/>
          <w:szCs w:val="24"/>
        </w:rPr>
        <w:fldChar w:fldCharType="separate"/>
      </w:r>
      <w:r>
        <w:rPr>
          <w:rStyle w:val="1062"/>
          <w:rFonts w:hint="eastAsia"/>
          <w:color w:val="auto"/>
        </w:rPr>
        <w:t xml:space="preserve">表 </w:t>
      </w:r>
      <w:r>
        <w:rPr>
          <w:rStyle w:val="1062"/>
          <w:color w:val="auto"/>
        </w:rPr>
        <w:fldChar w:fldCharType="begin"/>
      </w:r>
      <w:r>
        <w:rPr>
          <w:rStyle w:val="1062"/>
          <w:color w:val="auto"/>
        </w:rPr>
        <w:instrText xml:space="preserve"> </w:instrText>
      </w:r>
      <w:r>
        <w:rPr>
          <w:rStyle w:val="1062"/>
          <w:rFonts w:hint="eastAsia"/>
          <w:color w:val="auto"/>
        </w:rPr>
        <w:instrText xml:space="preserve">STYLEREF 2 \s</w:instrText>
      </w:r>
      <w:r>
        <w:rPr>
          <w:rStyle w:val="1062"/>
          <w:color w:val="auto"/>
        </w:rPr>
        <w:instrText xml:space="preserve"> </w:instrText>
      </w:r>
      <w:r>
        <w:rPr>
          <w:rStyle w:val="1062"/>
          <w:color w:val="auto"/>
        </w:rPr>
        <w:fldChar w:fldCharType="separate"/>
      </w:r>
      <w:r>
        <w:rPr>
          <w:rStyle w:val="1062"/>
          <w:rFonts w:hint="eastAsia"/>
          <w:color w:val="auto"/>
        </w:rPr>
        <w:t>7.4</w:t>
      </w:r>
      <w:r>
        <w:rPr>
          <w:rStyle w:val="1062"/>
          <w:color w:val="auto"/>
        </w:rPr>
        <w:fldChar w:fldCharType="end"/>
      </w:r>
      <w:r>
        <w:rPr>
          <w:rStyle w:val="1062"/>
          <w:color w:val="auto"/>
        </w:rPr>
        <w:noBreakHyphen/>
      </w:r>
      <w:r>
        <w:rPr>
          <w:rStyle w:val="1062"/>
          <w:rFonts w:hint="eastAsia"/>
          <w:color w:val="auto"/>
        </w:rPr>
        <w:t>1</w:t>
      </w:r>
      <w:r>
        <w:rPr>
          <w:rFonts w:hint="eastAsia"/>
          <w:color w:val="auto"/>
          <w:sz w:val="24"/>
          <w:szCs w:val="24"/>
        </w:rPr>
        <w:fldChar w:fldCharType="end"/>
      </w:r>
      <w:r>
        <w:rPr>
          <w:rFonts w:hint="eastAsia"/>
          <w:color w:val="auto"/>
          <w:sz w:val="24"/>
          <w:szCs w:val="24"/>
        </w:rPr>
        <w:t>。根据以上分析，本项目的大气环境要素风险潜势、地下水环境要素风险潜势均为</w:t>
      </w:r>
      <w:r>
        <w:rPr>
          <w:color w:val="auto"/>
          <w:sz w:val="24"/>
          <w:szCs w:val="24"/>
        </w:rPr>
        <w:t>Ⅳ级</w:t>
      </w:r>
      <w:r>
        <w:rPr>
          <w:rFonts w:hint="eastAsia"/>
          <w:color w:val="auto"/>
          <w:sz w:val="24"/>
          <w:szCs w:val="24"/>
        </w:rPr>
        <w:t>，对应评价等级判据表，项目大气环境要素风险评价等级、地下水环境要素风险评价等级均为一级。</w:t>
      </w:r>
    </w:p>
    <w:p w14:paraId="66DAAFB5">
      <w:pPr>
        <w:spacing w:before="163" w:beforeLines="50"/>
        <w:jc w:val="center"/>
        <w:rPr>
          <w:rFonts w:eastAsia="黑体"/>
          <w:color w:val="auto"/>
          <w:sz w:val="23"/>
          <w:szCs w:val="24"/>
        </w:rPr>
      </w:pPr>
      <w:bookmarkStart w:id="379" w:name="_Ref20568"/>
      <w:r>
        <w:rPr>
          <w:rStyle w:val="1062"/>
          <w:rFonts w:hint="eastAsia"/>
          <w:color w:val="auto"/>
        </w:rPr>
        <w:t xml:space="preserve">表 </w:t>
      </w:r>
      <w:r>
        <w:rPr>
          <w:rStyle w:val="1062"/>
          <w:color w:val="auto"/>
        </w:rPr>
        <w:fldChar w:fldCharType="begin"/>
      </w:r>
      <w:r>
        <w:rPr>
          <w:rStyle w:val="1062"/>
          <w:color w:val="auto"/>
        </w:rPr>
        <w:instrText xml:space="preserve"> </w:instrText>
      </w:r>
      <w:r>
        <w:rPr>
          <w:rStyle w:val="1062"/>
          <w:rFonts w:hint="eastAsia"/>
          <w:color w:val="auto"/>
        </w:rPr>
        <w:instrText xml:space="preserve">STYLEREF 2 \s</w:instrText>
      </w:r>
      <w:r>
        <w:rPr>
          <w:rStyle w:val="1062"/>
          <w:color w:val="auto"/>
        </w:rPr>
        <w:instrText xml:space="preserve"> </w:instrText>
      </w:r>
      <w:r>
        <w:rPr>
          <w:rStyle w:val="1062"/>
          <w:color w:val="auto"/>
        </w:rPr>
        <w:fldChar w:fldCharType="separate"/>
      </w:r>
      <w:r>
        <w:rPr>
          <w:rStyle w:val="1062"/>
          <w:rFonts w:hint="eastAsia"/>
          <w:color w:val="auto"/>
        </w:rPr>
        <w:t>7.4</w:t>
      </w:r>
      <w:r>
        <w:rPr>
          <w:rStyle w:val="1062"/>
          <w:color w:val="auto"/>
        </w:rPr>
        <w:fldChar w:fldCharType="end"/>
      </w:r>
      <w:r>
        <w:rPr>
          <w:rStyle w:val="1062"/>
          <w:color w:val="auto"/>
        </w:rPr>
        <w:noBreakHyphen/>
      </w:r>
      <w:r>
        <w:rPr>
          <w:rStyle w:val="1062"/>
          <w:color w:val="auto"/>
        </w:rPr>
        <w:fldChar w:fldCharType="begin"/>
      </w:r>
      <w:r>
        <w:rPr>
          <w:rStyle w:val="1062"/>
          <w:color w:val="auto"/>
        </w:rPr>
        <w:instrText xml:space="preserve"> </w:instrText>
      </w:r>
      <w:r>
        <w:rPr>
          <w:rStyle w:val="1062"/>
          <w:rFonts w:hint="eastAsia"/>
          <w:color w:val="auto"/>
        </w:rPr>
        <w:instrText xml:space="preserve">SEQ 表 \* ARABIC \s 2</w:instrText>
      </w:r>
      <w:r>
        <w:rPr>
          <w:rStyle w:val="1062"/>
          <w:color w:val="auto"/>
        </w:rPr>
        <w:instrText xml:space="preserve"> </w:instrText>
      </w:r>
      <w:r>
        <w:rPr>
          <w:rStyle w:val="1062"/>
          <w:color w:val="auto"/>
        </w:rPr>
        <w:fldChar w:fldCharType="separate"/>
      </w:r>
      <w:r>
        <w:rPr>
          <w:rStyle w:val="1062"/>
          <w:rFonts w:hint="eastAsia"/>
          <w:color w:val="auto"/>
        </w:rPr>
        <w:t>1</w:t>
      </w:r>
      <w:r>
        <w:rPr>
          <w:rStyle w:val="1062"/>
          <w:color w:val="auto"/>
        </w:rPr>
        <w:fldChar w:fldCharType="end"/>
      </w:r>
      <w:bookmarkEnd w:id="379"/>
      <w:r>
        <w:rPr>
          <w:rFonts w:hint="eastAsia" w:eastAsia="黑体"/>
          <w:color w:val="auto"/>
          <w:sz w:val="23"/>
          <w:szCs w:val="24"/>
        </w:rPr>
        <w:t xml:space="preserve"> 建设项目评价等级判据一览表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574"/>
        <w:gridCol w:w="1764"/>
        <w:gridCol w:w="1657"/>
        <w:gridCol w:w="1716"/>
        <w:gridCol w:w="2075"/>
      </w:tblGrid>
      <w:tr w14:paraId="3B448B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560" w:type="dxa"/>
            <w:vAlign w:val="center"/>
          </w:tcPr>
          <w:p w14:paraId="6E93AEC2">
            <w:pPr>
              <w:widowControl w:val="0"/>
              <w:spacing w:line="360" w:lineRule="exact"/>
              <w:jc w:val="center"/>
              <w:rPr>
                <w:color w:val="auto"/>
                <w:sz w:val="21"/>
                <w:szCs w:val="21"/>
              </w:rPr>
            </w:pPr>
            <w:r>
              <w:rPr>
                <w:rFonts w:hint="eastAsia"/>
                <w:color w:val="auto"/>
                <w:sz w:val="21"/>
                <w:szCs w:val="21"/>
              </w:rPr>
              <w:t>环境风险潜势</w:t>
            </w:r>
          </w:p>
        </w:tc>
        <w:tc>
          <w:tcPr>
            <w:tcW w:w="1749" w:type="dxa"/>
            <w:vAlign w:val="center"/>
          </w:tcPr>
          <w:p w14:paraId="32A439EB">
            <w:pPr>
              <w:widowControl w:val="0"/>
              <w:spacing w:line="360" w:lineRule="exact"/>
              <w:jc w:val="center"/>
              <w:rPr>
                <w:color w:val="auto"/>
                <w:sz w:val="21"/>
                <w:szCs w:val="21"/>
              </w:rPr>
            </w:pPr>
            <w:r>
              <w:rPr>
                <w:color w:val="auto"/>
                <w:sz w:val="21"/>
                <w:szCs w:val="21"/>
              </w:rPr>
              <w:t>IV</w:t>
            </w:r>
            <w:r>
              <w:rPr>
                <w:color w:val="auto"/>
                <w:sz w:val="21"/>
                <w:szCs w:val="21"/>
                <w:vertAlign w:val="superscript"/>
              </w:rPr>
              <w:t>+</w:t>
            </w:r>
            <w:r>
              <w:rPr>
                <w:color w:val="auto"/>
                <w:sz w:val="21"/>
                <w:szCs w:val="21"/>
              </w:rPr>
              <w:t>、IV</w:t>
            </w:r>
          </w:p>
        </w:tc>
        <w:tc>
          <w:tcPr>
            <w:tcW w:w="1643" w:type="dxa"/>
            <w:vAlign w:val="center"/>
          </w:tcPr>
          <w:p w14:paraId="614EC682">
            <w:pPr>
              <w:widowControl w:val="0"/>
              <w:spacing w:line="360" w:lineRule="exact"/>
              <w:jc w:val="center"/>
              <w:rPr>
                <w:color w:val="auto"/>
                <w:sz w:val="21"/>
                <w:szCs w:val="21"/>
              </w:rPr>
            </w:pPr>
            <w:r>
              <w:rPr>
                <w:color w:val="auto"/>
                <w:sz w:val="21"/>
                <w:szCs w:val="21"/>
              </w:rPr>
              <w:t>Ⅲ</w:t>
            </w:r>
          </w:p>
        </w:tc>
        <w:tc>
          <w:tcPr>
            <w:tcW w:w="1701" w:type="dxa"/>
            <w:vAlign w:val="center"/>
          </w:tcPr>
          <w:p w14:paraId="262256C6">
            <w:pPr>
              <w:widowControl w:val="0"/>
              <w:spacing w:line="360" w:lineRule="exact"/>
              <w:jc w:val="center"/>
              <w:rPr>
                <w:color w:val="auto"/>
                <w:sz w:val="21"/>
                <w:szCs w:val="21"/>
              </w:rPr>
            </w:pPr>
            <w:r>
              <w:rPr>
                <w:color w:val="auto"/>
                <w:sz w:val="21"/>
                <w:szCs w:val="21"/>
              </w:rPr>
              <w:t>Ⅱ</w:t>
            </w:r>
          </w:p>
        </w:tc>
        <w:tc>
          <w:tcPr>
            <w:tcW w:w="2057" w:type="dxa"/>
            <w:vAlign w:val="center"/>
          </w:tcPr>
          <w:p w14:paraId="0E67B2D7">
            <w:pPr>
              <w:widowControl w:val="0"/>
              <w:spacing w:line="360" w:lineRule="exact"/>
              <w:jc w:val="center"/>
              <w:rPr>
                <w:color w:val="auto"/>
                <w:sz w:val="21"/>
                <w:szCs w:val="21"/>
              </w:rPr>
            </w:pPr>
            <w:r>
              <w:rPr>
                <w:color w:val="auto"/>
                <w:sz w:val="21"/>
                <w:szCs w:val="21"/>
              </w:rPr>
              <w:t>Ⅰ</w:t>
            </w:r>
          </w:p>
        </w:tc>
      </w:tr>
      <w:tr w14:paraId="39865EF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560" w:type="dxa"/>
            <w:vAlign w:val="center"/>
          </w:tcPr>
          <w:p w14:paraId="4FA73842">
            <w:pPr>
              <w:widowControl w:val="0"/>
              <w:spacing w:line="360" w:lineRule="exact"/>
              <w:jc w:val="center"/>
              <w:rPr>
                <w:color w:val="auto"/>
                <w:sz w:val="21"/>
                <w:szCs w:val="21"/>
              </w:rPr>
            </w:pPr>
            <w:r>
              <w:rPr>
                <w:rFonts w:hint="eastAsia"/>
                <w:color w:val="auto"/>
                <w:sz w:val="21"/>
                <w:szCs w:val="21"/>
              </w:rPr>
              <w:t>评价工作等级</w:t>
            </w:r>
          </w:p>
        </w:tc>
        <w:tc>
          <w:tcPr>
            <w:tcW w:w="1749" w:type="dxa"/>
            <w:vAlign w:val="center"/>
          </w:tcPr>
          <w:p w14:paraId="5D26289F">
            <w:pPr>
              <w:widowControl w:val="0"/>
              <w:spacing w:line="360" w:lineRule="exact"/>
              <w:jc w:val="center"/>
              <w:rPr>
                <w:color w:val="auto"/>
                <w:sz w:val="21"/>
                <w:szCs w:val="21"/>
              </w:rPr>
            </w:pPr>
            <w:r>
              <w:rPr>
                <w:rFonts w:hint="eastAsia"/>
                <w:color w:val="auto"/>
                <w:sz w:val="21"/>
                <w:szCs w:val="21"/>
              </w:rPr>
              <w:t>一级</w:t>
            </w:r>
          </w:p>
        </w:tc>
        <w:tc>
          <w:tcPr>
            <w:tcW w:w="1643" w:type="dxa"/>
            <w:vAlign w:val="center"/>
          </w:tcPr>
          <w:p w14:paraId="1BF14424">
            <w:pPr>
              <w:widowControl w:val="0"/>
              <w:spacing w:line="360" w:lineRule="exact"/>
              <w:jc w:val="center"/>
              <w:rPr>
                <w:color w:val="auto"/>
                <w:sz w:val="21"/>
                <w:szCs w:val="21"/>
              </w:rPr>
            </w:pPr>
            <w:r>
              <w:rPr>
                <w:rFonts w:hint="eastAsia"/>
                <w:color w:val="auto"/>
                <w:sz w:val="21"/>
                <w:szCs w:val="21"/>
              </w:rPr>
              <w:t>二级</w:t>
            </w:r>
          </w:p>
        </w:tc>
        <w:tc>
          <w:tcPr>
            <w:tcW w:w="1701" w:type="dxa"/>
            <w:vAlign w:val="center"/>
          </w:tcPr>
          <w:p w14:paraId="11CFCD88">
            <w:pPr>
              <w:widowControl w:val="0"/>
              <w:spacing w:line="360" w:lineRule="exact"/>
              <w:jc w:val="center"/>
              <w:rPr>
                <w:color w:val="auto"/>
                <w:sz w:val="21"/>
                <w:szCs w:val="21"/>
              </w:rPr>
            </w:pPr>
            <w:r>
              <w:rPr>
                <w:rFonts w:hint="eastAsia"/>
                <w:color w:val="auto"/>
                <w:sz w:val="21"/>
                <w:szCs w:val="21"/>
              </w:rPr>
              <w:t>三级</w:t>
            </w:r>
          </w:p>
        </w:tc>
        <w:tc>
          <w:tcPr>
            <w:tcW w:w="2057" w:type="dxa"/>
            <w:vAlign w:val="center"/>
          </w:tcPr>
          <w:p w14:paraId="6C0C9393">
            <w:pPr>
              <w:widowControl w:val="0"/>
              <w:spacing w:line="360" w:lineRule="exact"/>
              <w:jc w:val="center"/>
              <w:rPr>
                <w:color w:val="auto"/>
                <w:sz w:val="21"/>
                <w:szCs w:val="21"/>
              </w:rPr>
            </w:pPr>
            <w:r>
              <w:rPr>
                <w:rFonts w:hint="eastAsia"/>
                <w:color w:val="auto"/>
                <w:sz w:val="21"/>
                <w:szCs w:val="21"/>
              </w:rPr>
              <w:t>简单分析a</w:t>
            </w:r>
          </w:p>
        </w:tc>
      </w:tr>
      <w:tr w14:paraId="453820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60" w:hRule="atLeast"/>
        </w:trPr>
        <w:tc>
          <w:tcPr>
            <w:tcW w:w="8710" w:type="dxa"/>
            <w:gridSpan w:val="5"/>
            <w:vAlign w:val="center"/>
          </w:tcPr>
          <w:p w14:paraId="72F53D28">
            <w:pPr>
              <w:widowControl w:val="0"/>
              <w:spacing w:line="360" w:lineRule="exact"/>
              <w:jc w:val="center"/>
              <w:rPr>
                <w:color w:val="auto"/>
                <w:sz w:val="21"/>
                <w:szCs w:val="21"/>
              </w:rPr>
            </w:pPr>
            <w:r>
              <w:rPr>
                <w:rFonts w:hint="eastAsia"/>
                <w:color w:val="auto"/>
                <w:sz w:val="21"/>
                <w:szCs w:val="21"/>
              </w:rPr>
              <w:t>a 是相对于详细评价工作内容而言，在描述危险物质、环境影响途径、环境危害后果、风险防范措施等方面给出定性的说明</w:t>
            </w:r>
          </w:p>
        </w:tc>
      </w:tr>
    </w:tbl>
    <w:p w14:paraId="1536D62F">
      <w:pPr>
        <w:pStyle w:val="4"/>
        <w:rPr>
          <w:color w:val="auto"/>
        </w:rPr>
      </w:pPr>
      <w:r>
        <w:rPr>
          <w:rFonts w:hint="eastAsia"/>
          <w:color w:val="auto"/>
        </w:rPr>
        <w:t>评价范围</w:t>
      </w:r>
    </w:p>
    <w:p w14:paraId="73C38444">
      <w:pPr>
        <w:spacing w:line="360" w:lineRule="auto"/>
        <w:ind w:firstLine="480" w:firstLineChars="200"/>
        <w:jc w:val="both"/>
        <w:rPr>
          <w:color w:val="auto"/>
          <w:sz w:val="24"/>
          <w:szCs w:val="24"/>
        </w:rPr>
      </w:pPr>
      <w:r>
        <w:rPr>
          <w:rFonts w:hint="eastAsia"/>
          <w:color w:val="auto"/>
          <w:sz w:val="24"/>
          <w:szCs w:val="24"/>
        </w:rPr>
        <w:t>本项目的环境风险评价范围具体如下：</w:t>
      </w:r>
    </w:p>
    <w:p w14:paraId="2EB61193">
      <w:pPr>
        <w:spacing w:line="360" w:lineRule="auto"/>
        <w:ind w:firstLine="480" w:firstLineChars="200"/>
        <w:jc w:val="both"/>
        <w:rPr>
          <w:color w:val="auto"/>
          <w:sz w:val="24"/>
          <w:szCs w:val="24"/>
        </w:rPr>
      </w:pPr>
      <w:r>
        <w:rPr>
          <w:rFonts w:hint="eastAsia"/>
          <w:color w:val="auto"/>
          <w:sz w:val="24"/>
          <w:szCs w:val="24"/>
        </w:rPr>
        <w:t>（1）大气环境风险评价范围</w:t>
      </w:r>
    </w:p>
    <w:p w14:paraId="19CD0B66">
      <w:pPr>
        <w:spacing w:line="360" w:lineRule="auto"/>
        <w:ind w:firstLine="480" w:firstLineChars="200"/>
        <w:jc w:val="both"/>
        <w:rPr>
          <w:color w:val="auto"/>
          <w:sz w:val="24"/>
          <w:szCs w:val="24"/>
        </w:rPr>
      </w:pPr>
      <w:r>
        <w:rPr>
          <w:rFonts w:hint="eastAsia"/>
          <w:color w:val="auto"/>
          <w:sz w:val="24"/>
          <w:szCs w:val="24"/>
        </w:rPr>
        <w:t>项目大气环境风险评价等级为一级，项目大气环境风险评价范围：以项目边界为起点，四周外扩5km的评价范围。</w:t>
      </w:r>
    </w:p>
    <w:p w14:paraId="6A3AF71B">
      <w:pPr>
        <w:spacing w:line="360" w:lineRule="auto"/>
        <w:ind w:firstLine="480" w:firstLineChars="200"/>
        <w:jc w:val="both"/>
        <w:rPr>
          <w:color w:val="auto"/>
          <w:sz w:val="24"/>
          <w:szCs w:val="24"/>
        </w:rPr>
      </w:pPr>
      <w:r>
        <w:rPr>
          <w:rFonts w:hint="eastAsia"/>
          <w:color w:val="auto"/>
          <w:sz w:val="24"/>
          <w:szCs w:val="24"/>
        </w:rPr>
        <w:t>（2）地表水环境风险评价范围</w:t>
      </w:r>
    </w:p>
    <w:p w14:paraId="7326C9B5">
      <w:pPr>
        <w:spacing w:line="360" w:lineRule="auto"/>
        <w:ind w:firstLine="480" w:firstLineChars="200"/>
        <w:jc w:val="both"/>
        <w:rPr>
          <w:color w:val="auto"/>
          <w:sz w:val="24"/>
          <w:szCs w:val="24"/>
        </w:rPr>
      </w:pPr>
      <w:r>
        <w:rPr>
          <w:rFonts w:hint="eastAsia"/>
          <w:color w:val="auto"/>
          <w:sz w:val="24"/>
          <w:szCs w:val="24"/>
        </w:rPr>
        <w:t>项目发生事故时含泄漏危险物质的事故水输送到事故水池，不考虑风险事故泄漏危险物质对地表水体的影响，因此不设地表水环境风险评价范围。</w:t>
      </w:r>
    </w:p>
    <w:p w14:paraId="32150B1B">
      <w:pPr>
        <w:spacing w:line="360" w:lineRule="auto"/>
        <w:ind w:firstLine="480" w:firstLineChars="200"/>
        <w:jc w:val="both"/>
        <w:rPr>
          <w:color w:val="auto"/>
          <w:sz w:val="24"/>
          <w:szCs w:val="24"/>
        </w:rPr>
      </w:pPr>
      <w:r>
        <w:rPr>
          <w:rFonts w:hint="eastAsia"/>
          <w:color w:val="auto"/>
          <w:sz w:val="24"/>
          <w:szCs w:val="24"/>
        </w:rPr>
        <w:t>（3）地下水环境风险评价范围</w:t>
      </w:r>
    </w:p>
    <w:p w14:paraId="6C57E971">
      <w:pPr>
        <w:spacing w:line="360" w:lineRule="auto"/>
        <w:ind w:firstLine="480" w:firstLineChars="200"/>
        <w:jc w:val="both"/>
        <w:rPr>
          <w:color w:val="auto"/>
          <w:sz w:val="24"/>
          <w:szCs w:val="24"/>
        </w:rPr>
      </w:pPr>
      <w:r>
        <w:rPr>
          <w:rFonts w:hint="eastAsia"/>
          <w:color w:val="auto"/>
          <w:sz w:val="24"/>
          <w:szCs w:val="24"/>
        </w:rPr>
        <w:t>项目地下水环境风险评价等级为一级，评价范围为</w:t>
      </w:r>
      <w:r>
        <w:rPr>
          <w:color w:val="auto"/>
          <w:sz w:val="24"/>
          <w:szCs w:val="24"/>
        </w:rPr>
        <w:t>以厂址为中心，</w:t>
      </w:r>
      <w:bookmarkStart w:id="380" w:name="OLE_LINK142"/>
      <w:r>
        <w:rPr>
          <w:color w:val="auto"/>
          <w:sz w:val="24"/>
          <w:szCs w:val="24"/>
        </w:rPr>
        <w:t>沿地下水流向</w:t>
      </w:r>
      <w:r>
        <w:rPr>
          <w:rFonts w:hint="eastAsia"/>
          <w:color w:val="auto"/>
          <w:sz w:val="24"/>
          <w:szCs w:val="24"/>
        </w:rPr>
        <w:t>南</w:t>
      </w:r>
      <w:r>
        <w:rPr>
          <w:color w:val="auto"/>
          <w:sz w:val="24"/>
          <w:szCs w:val="24"/>
        </w:rPr>
        <w:t>侧上游</w:t>
      </w:r>
      <w:r>
        <w:rPr>
          <w:rFonts w:hint="eastAsia"/>
          <w:color w:val="auto"/>
          <w:sz w:val="24"/>
          <w:szCs w:val="24"/>
        </w:rPr>
        <w:t>1</w:t>
      </w:r>
      <w:r>
        <w:rPr>
          <w:color w:val="auto"/>
          <w:sz w:val="24"/>
          <w:szCs w:val="24"/>
        </w:rPr>
        <w:t>km，</w:t>
      </w:r>
      <w:r>
        <w:rPr>
          <w:rFonts w:hint="eastAsia"/>
          <w:color w:val="auto"/>
          <w:sz w:val="24"/>
          <w:szCs w:val="24"/>
        </w:rPr>
        <w:t>北</w:t>
      </w:r>
      <w:r>
        <w:rPr>
          <w:color w:val="auto"/>
          <w:sz w:val="24"/>
          <w:szCs w:val="24"/>
        </w:rPr>
        <w:t>侧下游</w:t>
      </w:r>
      <w:r>
        <w:rPr>
          <w:rFonts w:hint="eastAsia"/>
          <w:color w:val="auto"/>
          <w:sz w:val="24"/>
          <w:szCs w:val="24"/>
        </w:rPr>
        <w:t>4</w:t>
      </w:r>
      <w:r>
        <w:rPr>
          <w:color w:val="auto"/>
          <w:sz w:val="24"/>
          <w:szCs w:val="24"/>
        </w:rPr>
        <w:t>km，侧向</w:t>
      </w:r>
      <w:r>
        <w:rPr>
          <w:rFonts w:hint="eastAsia"/>
          <w:color w:val="auto"/>
          <w:sz w:val="24"/>
          <w:szCs w:val="24"/>
        </w:rPr>
        <w:t>西</w:t>
      </w:r>
      <w:r>
        <w:rPr>
          <w:color w:val="auto"/>
          <w:sz w:val="24"/>
          <w:szCs w:val="24"/>
        </w:rPr>
        <w:t>、</w:t>
      </w:r>
      <w:r>
        <w:rPr>
          <w:rFonts w:hint="eastAsia"/>
          <w:color w:val="auto"/>
          <w:sz w:val="24"/>
          <w:szCs w:val="24"/>
        </w:rPr>
        <w:t>东</w:t>
      </w:r>
      <w:r>
        <w:rPr>
          <w:color w:val="auto"/>
          <w:sz w:val="24"/>
          <w:szCs w:val="24"/>
        </w:rPr>
        <w:t>侧各</w:t>
      </w:r>
      <w:r>
        <w:rPr>
          <w:rFonts w:hint="eastAsia"/>
          <w:color w:val="auto"/>
          <w:sz w:val="24"/>
          <w:szCs w:val="24"/>
        </w:rPr>
        <w:t>2</w:t>
      </w:r>
      <w:r>
        <w:rPr>
          <w:color w:val="auto"/>
          <w:sz w:val="24"/>
          <w:szCs w:val="24"/>
        </w:rPr>
        <w:t>km，面积约</w:t>
      </w:r>
      <w:r>
        <w:rPr>
          <w:rFonts w:hint="eastAsia"/>
          <w:color w:val="auto"/>
          <w:sz w:val="24"/>
          <w:szCs w:val="24"/>
        </w:rPr>
        <w:t>20</w:t>
      </w:r>
      <w:r>
        <w:rPr>
          <w:color w:val="auto"/>
          <w:sz w:val="24"/>
          <w:szCs w:val="24"/>
        </w:rPr>
        <w:t>km</w:t>
      </w:r>
      <w:r>
        <w:rPr>
          <w:color w:val="auto"/>
          <w:sz w:val="24"/>
          <w:szCs w:val="24"/>
          <w:vertAlign w:val="superscript"/>
        </w:rPr>
        <w:t>2</w:t>
      </w:r>
      <w:r>
        <w:rPr>
          <w:color w:val="auto"/>
          <w:sz w:val="24"/>
          <w:szCs w:val="24"/>
        </w:rPr>
        <w:t>的范围</w:t>
      </w:r>
      <w:bookmarkEnd w:id="380"/>
      <w:r>
        <w:rPr>
          <w:color w:val="auto"/>
          <w:sz w:val="24"/>
          <w:szCs w:val="24"/>
        </w:rPr>
        <w:t>。</w:t>
      </w:r>
    </w:p>
    <w:p w14:paraId="03A37DB4">
      <w:pPr>
        <w:pStyle w:val="4"/>
        <w:rPr>
          <w:color w:val="auto"/>
        </w:rPr>
      </w:pPr>
      <w:r>
        <w:rPr>
          <w:rFonts w:hint="eastAsia"/>
          <w:color w:val="auto"/>
        </w:rPr>
        <w:t>预测评价内容</w:t>
      </w:r>
    </w:p>
    <w:p w14:paraId="321A1A5D">
      <w:pPr>
        <w:spacing w:line="360" w:lineRule="auto"/>
        <w:ind w:firstLine="480" w:firstLineChars="200"/>
        <w:jc w:val="both"/>
        <w:rPr>
          <w:color w:val="auto"/>
          <w:sz w:val="24"/>
          <w:szCs w:val="24"/>
        </w:rPr>
      </w:pPr>
      <w:r>
        <w:rPr>
          <w:rFonts w:hint="eastAsia"/>
          <w:color w:val="auto"/>
          <w:sz w:val="24"/>
          <w:szCs w:val="24"/>
        </w:rPr>
        <w:t>各环境要素按确定的评价工作等级分别开展预测评价，分析说明环境风险危害范围与程度，提出环境风险防范的基本要求。</w:t>
      </w:r>
    </w:p>
    <w:p w14:paraId="2E722F90">
      <w:pPr>
        <w:spacing w:line="360" w:lineRule="auto"/>
        <w:ind w:firstLine="480" w:firstLineChars="200"/>
        <w:jc w:val="both"/>
        <w:rPr>
          <w:color w:val="auto"/>
          <w:sz w:val="24"/>
          <w:szCs w:val="24"/>
        </w:rPr>
      </w:pPr>
      <w:r>
        <w:rPr>
          <w:rFonts w:hint="eastAsia"/>
          <w:color w:val="auto"/>
          <w:sz w:val="24"/>
          <w:szCs w:val="24"/>
        </w:rPr>
        <w:t xml:space="preserve">大气环境风险预测一级评价需选取最不利气象条件及事故发生地的最常见气象条件分别进行后果预测。给出风险事故情形下危险物质释放可能造成的大气环境影响范围与程度。 </w:t>
      </w:r>
    </w:p>
    <w:p w14:paraId="6D976F9E">
      <w:pPr>
        <w:spacing w:line="360" w:lineRule="auto"/>
        <w:ind w:firstLine="480" w:firstLineChars="200"/>
        <w:jc w:val="both"/>
        <w:rPr>
          <w:color w:val="auto"/>
          <w:sz w:val="24"/>
          <w:szCs w:val="24"/>
        </w:rPr>
      </w:pPr>
      <w:r>
        <w:rPr>
          <w:rFonts w:hint="eastAsia"/>
          <w:color w:val="auto"/>
          <w:sz w:val="24"/>
          <w:szCs w:val="24"/>
        </w:rPr>
        <w:t>地下水环境风险预测一级评价采用数值法预测地下水环境风险，给出风险事故情形下可能造成的影响范围与程度。</w:t>
      </w:r>
    </w:p>
    <w:p w14:paraId="65A1E51A">
      <w:pPr>
        <w:pStyle w:val="3"/>
        <w:rPr>
          <w:color w:val="auto"/>
        </w:rPr>
      </w:pPr>
      <w:bookmarkStart w:id="381" w:name="_Toc229930162"/>
      <w:bookmarkStart w:id="382" w:name="_Toc220582793"/>
      <w:bookmarkStart w:id="383" w:name="_Toc16696"/>
      <w:r>
        <w:rPr>
          <w:rFonts w:hint="eastAsia"/>
          <w:color w:val="auto"/>
        </w:rPr>
        <w:t>风险识别</w:t>
      </w:r>
      <w:bookmarkEnd w:id="381"/>
      <w:bookmarkEnd w:id="382"/>
      <w:bookmarkEnd w:id="383"/>
    </w:p>
    <w:p w14:paraId="0EDEF515">
      <w:pPr>
        <w:spacing w:line="360" w:lineRule="auto"/>
        <w:ind w:firstLine="480" w:firstLineChars="200"/>
        <w:jc w:val="both"/>
        <w:rPr>
          <w:color w:val="auto"/>
          <w:sz w:val="24"/>
          <w:szCs w:val="24"/>
        </w:rPr>
      </w:pPr>
      <w:r>
        <w:rPr>
          <w:rFonts w:hint="eastAsia"/>
          <w:color w:val="auto"/>
          <w:sz w:val="24"/>
          <w:szCs w:val="24"/>
        </w:rPr>
        <w:t>根据《建设项目环境风险评价技术导则》（HJ 169-2018）的要求，建设项目风险识别内容包括生产过程所涉及的物质危险性识别、生产系统危险性识别以及危险物质向环境转移的途径识别。</w:t>
      </w:r>
    </w:p>
    <w:p w14:paraId="1A6CE9EB">
      <w:pPr>
        <w:pStyle w:val="4"/>
        <w:rPr>
          <w:color w:val="auto"/>
        </w:rPr>
      </w:pPr>
      <w:r>
        <w:rPr>
          <w:rFonts w:hint="eastAsia"/>
          <w:color w:val="auto"/>
        </w:rPr>
        <w:t>物质危险性识别</w:t>
      </w:r>
    </w:p>
    <w:p w14:paraId="5F569431">
      <w:pPr>
        <w:spacing w:line="360" w:lineRule="auto"/>
        <w:ind w:firstLine="480" w:firstLineChars="200"/>
        <w:jc w:val="both"/>
        <w:rPr>
          <w:color w:val="auto"/>
          <w:sz w:val="24"/>
          <w:szCs w:val="24"/>
        </w:rPr>
      </w:pPr>
      <w:r>
        <w:rPr>
          <w:rFonts w:hint="eastAsia"/>
          <w:color w:val="auto"/>
          <w:sz w:val="24"/>
          <w:szCs w:val="24"/>
        </w:rPr>
        <w:t>本项目突发环境事件风险物质含主要原材料、辅助材料、燃料、产品、火灾和爆炸伴生/次生污染物等。项目主要突发环境事件风险物质的理化性质见</w:t>
      </w:r>
      <w:r>
        <w:rPr>
          <w:rFonts w:hint="eastAsia"/>
          <w:color w:val="auto"/>
          <w:sz w:val="24"/>
          <w:szCs w:val="24"/>
        </w:rPr>
        <w:fldChar w:fldCharType="begin"/>
      </w:r>
      <w:r>
        <w:instrText xml:space="preserve"> REF _Ref26583 \h  \* MERGEFORMAT</w:instrText>
      </w:r>
      <w:r>
        <w:rPr>
          <w:rFonts w:hint="eastAsia"/>
          <w:color w:val="auto"/>
          <w:sz w:val="24"/>
          <w:szCs w:val="24"/>
        </w:rPr>
        <w:fldChar w:fldCharType="separate"/>
      </w:r>
      <w:r>
        <w:rPr>
          <w:rFonts w:hint="eastAsia" w:eastAsia="黑体"/>
          <w:color w:val="auto"/>
          <w:sz w:val="24"/>
          <w:szCs w:val="24"/>
        </w:rPr>
        <w:t>表</w:t>
      </w:r>
      <w:r>
        <w:rPr>
          <w:rFonts w:eastAsia="黑体"/>
          <w:color w:val="auto"/>
          <w:sz w:val="24"/>
          <w:szCs w:val="24"/>
        </w:rPr>
        <w:t xml:space="preserve"> </w:t>
      </w:r>
      <w:r>
        <w:rPr>
          <w:rFonts w:eastAsia="黑体"/>
          <w:color w:val="auto"/>
          <w:sz w:val="24"/>
          <w:szCs w:val="24"/>
        </w:rPr>
        <w:fldChar w:fldCharType="begin"/>
      </w:r>
      <w:r>
        <w:rPr>
          <w:rFonts w:eastAsia="黑体"/>
          <w:color w:val="auto"/>
          <w:sz w:val="24"/>
          <w:szCs w:val="24"/>
        </w:rPr>
        <w:instrText xml:space="preserve"> STYLEREF 2 \s </w:instrText>
      </w:r>
      <w:r>
        <w:rPr>
          <w:rFonts w:eastAsia="黑体"/>
          <w:color w:val="auto"/>
          <w:sz w:val="24"/>
          <w:szCs w:val="24"/>
        </w:rPr>
        <w:fldChar w:fldCharType="separate"/>
      </w:r>
      <w:r>
        <w:rPr>
          <w:rFonts w:eastAsia="黑体"/>
          <w:color w:val="auto"/>
          <w:sz w:val="24"/>
          <w:szCs w:val="24"/>
        </w:rPr>
        <w:t>7.5</w:t>
      </w:r>
      <w:r>
        <w:rPr>
          <w:rFonts w:eastAsia="黑体"/>
          <w:color w:val="auto"/>
          <w:sz w:val="24"/>
          <w:szCs w:val="24"/>
        </w:rPr>
        <w:fldChar w:fldCharType="end"/>
      </w:r>
      <w:r>
        <w:rPr>
          <w:rFonts w:eastAsia="黑体"/>
          <w:color w:val="auto"/>
          <w:sz w:val="24"/>
          <w:szCs w:val="24"/>
        </w:rPr>
        <w:noBreakHyphen/>
      </w:r>
      <w:r>
        <w:rPr>
          <w:rFonts w:eastAsia="黑体"/>
          <w:color w:val="auto"/>
          <w:sz w:val="24"/>
          <w:szCs w:val="24"/>
        </w:rPr>
        <w:t>1</w:t>
      </w:r>
      <w:r>
        <w:rPr>
          <w:rFonts w:hint="eastAsia"/>
          <w:color w:val="auto"/>
          <w:sz w:val="24"/>
          <w:szCs w:val="24"/>
        </w:rPr>
        <w:fldChar w:fldCharType="end"/>
      </w:r>
      <w:r>
        <w:rPr>
          <w:rFonts w:hint="eastAsia"/>
          <w:color w:val="auto"/>
          <w:sz w:val="24"/>
          <w:szCs w:val="24"/>
        </w:rPr>
        <w:t>。</w:t>
      </w:r>
    </w:p>
    <w:p w14:paraId="17800201">
      <w:pPr>
        <w:spacing w:line="360" w:lineRule="auto"/>
        <w:ind w:firstLine="480" w:firstLineChars="200"/>
        <w:jc w:val="both"/>
        <w:rPr>
          <w:color w:val="auto"/>
          <w:sz w:val="24"/>
          <w:szCs w:val="24"/>
        </w:rPr>
        <w:sectPr>
          <w:pgSz w:w="11906" w:h="16838"/>
          <w:pgMar w:top="1440" w:right="1588" w:bottom="1389" w:left="1588" w:header="737" w:footer="822" w:gutter="0"/>
          <w:cols w:space="425" w:num="1"/>
          <w:docGrid w:type="lines" w:linePitch="326" w:charSpace="0"/>
        </w:sectPr>
      </w:pPr>
    </w:p>
    <w:p w14:paraId="24D9B0EA">
      <w:pPr>
        <w:spacing w:before="163" w:beforeLines="50"/>
        <w:jc w:val="center"/>
        <w:rPr>
          <w:rFonts w:eastAsia="黑体"/>
          <w:color w:val="auto"/>
          <w:sz w:val="24"/>
          <w:szCs w:val="24"/>
        </w:rPr>
      </w:pPr>
      <w:bookmarkStart w:id="384" w:name="_Ref26583"/>
      <w:r>
        <w:rPr>
          <w:rFonts w:hint="eastAsia" w:eastAsia="黑体"/>
          <w:color w:val="auto"/>
          <w:sz w:val="24"/>
          <w:szCs w:val="24"/>
        </w:rPr>
        <w:t>表</w:t>
      </w:r>
      <w:r>
        <w:rPr>
          <w:rFonts w:eastAsia="黑体"/>
          <w:color w:val="auto"/>
          <w:sz w:val="24"/>
          <w:szCs w:val="24"/>
        </w:rPr>
        <w:t xml:space="preserve"> </w:t>
      </w:r>
      <w:r>
        <w:rPr>
          <w:rFonts w:eastAsia="黑体"/>
          <w:color w:val="auto"/>
          <w:sz w:val="24"/>
          <w:szCs w:val="24"/>
        </w:rPr>
        <w:fldChar w:fldCharType="begin"/>
      </w:r>
      <w:r>
        <w:rPr>
          <w:rFonts w:eastAsia="黑体"/>
          <w:color w:val="auto"/>
          <w:sz w:val="24"/>
          <w:szCs w:val="24"/>
        </w:rPr>
        <w:instrText xml:space="preserve"> STYLEREF 2 \s </w:instrText>
      </w:r>
      <w:r>
        <w:rPr>
          <w:rFonts w:eastAsia="黑体"/>
          <w:color w:val="auto"/>
          <w:sz w:val="24"/>
          <w:szCs w:val="24"/>
        </w:rPr>
        <w:fldChar w:fldCharType="separate"/>
      </w:r>
      <w:r>
        <w:rPr>
          <w:rFonts w:eastAsia="黑体"/>
          <w:color w:val="auto"/>
          <w:sz w:val="24"/>
          <w:szCs w:val="24"/>
        </w:rPr>
        <w:t>7.5</w:t>
      </w:r>
      <w:r>
        <w:rPr>
          <w:rFonts w:eastAsia="黑体"/>
          <w:color w:val="auto"/>
          <w:sz w:val="24"/>
          <w:szCs w:val="24"/>
        </w:rPr>
        <w:fldChar w:fldCharType="end"/>
      </w:r>
      <w:r>
        <w:rPr>
          <w:rFonts w:eastAsia="黑体"/>
          <w:color w:val="auto"/>
          <w:sz w:val="24"/>
          <w:szCs w:val="24"/>
        </w:rPr>
        <w:noBreakHyphen/>
      </w:r>
      <w:r>
        <w:rPr>
          <w:rFonts w:eastAsia="黑体"/>
          <w:color w:val="auto"/>
          <w:sz w:val="24"/>
          <w:szCs w:val="24"/>
        </w:rPr>
        <w:fldChar w:fldCharType="begin"/>
      </w:r>
      <w:r>
        <w:rPr>
          <w:rFonts w:eastAsia="黑体"/>
          <w:color w:val="auto"/>
          <w:sz w:val="24"/>
          <w:szCs w:val="24"/>
        </w:rPr>
        <w:instrText xml:space="preserve"> SEQ 表 \* ARABIC \s 2 </w:instrText>
      </w:r>
      <w:r>
        <w:rPr>
          <w:rFonts w:eastAsia="黑体"/>
          <w:color w:val="auto"/>
          <w:sz w:val="24"/>
          <w:szCs w:val="24"/>
        </w:rPr>
        <w:fldChar w:fldCharType="separate"/>
      </w:r>
      <w:r>
        <w:rPr>
          <w:rFonts w:eastAsia="黑体"/>
          <w:color w:val="auto"/>
          <w:sz w:val="24"/>
          <w:szCs w:val="24"/>
        </w:rPr>
        <w:t>1</w:t>
      </w:r>
      <w:r>
        <w:rPr>
          <w:rFonts w:eastAsia="黑体"/>
          <w:color w:val="auto"/>
          <w:sz w:val="24"/>
          <w:szCs w:val="24"/>
        </w:rPr>
        <w:fldChar w:fldCharType="end"/>
      </w:r>
      <w:bookmarkEnd w:id="384"/>
      <w:r>
        <w:rPr>
          <w:rFonts w:hint="eastAsia" w:eastAsia="黑体"/>
          <w:color w:val="auto"/>
          <w:sz w:val="23"/>
          <w:szCs w:val="24"/>
        </w:rPr>
        <w:t xml:space="preserve">  </w:t>
      </w:r>
      <w:r>
        <w:rPr>
          <w:rFonts w:hint="eastAsia" w:eastAsia="黑体"/>
          <w:color w:val="auto"/>
          <w:sz w:val="24"/>
          <w:szCs w:val="24"/>
        </w:rPr>
        <w:t>主要危险物质理化性质及危险特性一览表</w:t>
      </w:r>
    </w:p>
    <w:tbl>
      <w:tblPr>
        <w:tblStyle w:val="1937"/>
        <w:tblW w:w="4892"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504"/>
        <w:gridCol w:w="1015"/>
        <w:gridCol w:w="943"/>
        <w:gridCol w:w="1228"/>
        <w:gridCol w:w="1652"/>
        <w:gridCol w:w="4902"/>
        <w:gridCol w:w="3178"/>
      </w:tblGrid>
      <w:tr w14:paraId="0E75C06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487" w:hRule="atLeast"/>
        </w:trPr>
        <w:tc>
          <w:tcPr>
            <w:tcW w:w="188" w:type="pct"/>
            <w:vAlign w:val="center"/>
          </w:tcPr>
          <w:p w14:paraId="4E64BE99">
            <w:pPr>
              <w:pStyle w:val="129"/>
              <w:widowControl w:val="0"/>
              <w:rPr>
                <w:color w:val="auto"/>
              </w:rPr>
            </w:pPr>
            <w:r>
              <w:rPr>
                <w:color w:val="auto"/>
              </w:rPr>
              <w:t>序号</w:t>
            </w:r>
          </w:p>
        </w:tc>
        <w:tc>
          <w:tcPr>
            <w:tcW w:w="378" w:type="pct"/>
            <w:vAlign w:val="center"/>
          </w:tcPr>
          <w:p w14:paraId="09F0D943">
            <w:pPr>
              <w:pStyle w:val="129"/>
              <w:widowControl w:val="0"/>
              <w:rPr>
                <w:color w:val="auto"/>
              </w:rPr>
            </w:pPr>
            <w:r>
              <w:rPr>
                <w:color w:val="auto"/>
              </w:rPr>
              <w:t>危险物质</w:t>
            </w:r>
          </w:p>
        </w:tc>
        <w:tc>
          <w:tcPr>
            <w:tcW w:w="351" w:type="pct"/>
            <w:vAlign w:val="center"/>
          </w:tcPr>
          <w:p w14:paraId="77CBA578">
            <w:pPr>
              <w:pStyle w:val="129"/>
              <w:widowControl w:val="0"/>
              <w:rPr>
                <w:color w:val="auto"/>
              </w:rPr>
            </w:pPr>
            <w:r>
              <w:rPr>
                <w:color w:val="auto"/>
              </w:rPr>
              <w:t>相态</w:t>
            </w:r>
          </w:p>
        </w:tc>
        <w:tc>
          <w:tcPr>
            <w:tcW w:w="457" w:type="pct"/>
            <w:vAlign w:val="center"/>
          </w:tcPr>
          <w:p w14:paraId="5A97ED65">
            <w:pPr>
              <w:pStyle w:val="129"/>
              <w:widowControl w:val="0"/>
              <w:rPr>
                <w:color w:val="auto"/>
              </w:rPr>
            </w:pPr>
            <w:r>
              <w:rPr>
                <w:color w:val="auto"/>
              </w:rPr>
              <w:t>水溶解性</w:t>
            </w:r>
          </w:p>
        </w:tc>
        <w:tc>
          <w:tcPr>
            <w:tcW w:w="615" w:type="pct"/>
            <w:vAlign w:val="center"/>
          </w:tcPr>
          <w:p w14:paraId="117B1ED3">
            <w:pPr>
              <w:pStyle w:val="129"/>
              <w:widowControl w:val="0"/>
              <w:rPr>
                <w:color w:val="auto"/>
              </w:rPr>
            </w:pPr>
            <w:r>
              <w:rPr>
                <w:color w:val="auto"/>
              </w:rPr>
              <w:t>毒理性质</w:t>
            </w:r>
          </w:p>
        </w:tc>
        <w:tc>
          <w:tcPr>
            <w:tcW w:w="1825" w:type="pct"/>
            <w:vAlign w:val="center"/>
          </w:tcPr>
          <w:p w14:paraId="3B5A440B">
            <w:pPr>
              <w:pStyle w:val="129"/>
              <w:widowControl w:val="0"/>
              <w:rPr>
                <w:color w:val="auto"/>
              </w:rPr>
            </w:pPr>
            <w:r>
              <w:rPr>
                <w:color w:val="auto"/>
              </w:rPr>
              <w:t>危险特性</w:t>
            </w:r>
          </w:p>
        </w:tc>
        <w:tc>
          <w:tcPr>
            <w:tcW w:w="1183" w:type="pct"/>
            <w:vAlign w:val="center"/>
          </w:tcPr>
          <w:p w14:paraId="10F1271A">
            <w:pPr>
              <w:pStyle w:val="129"/>
              <w:widowControl w:val="0"/>
              <w:rPr>
                <w:color w:val="auto"/>
              </w:rPr>
            </w:pPr>
            <w:r>
              <w:rPr>
                <w:color w:val="auto"/>
              </w:rPr>
              <w:t>理化性质</w:t>
            </w:r>
          </w:p>
        </w:tc>
      </w:tr>
      <w:tr w14:paraId="1B67EB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840" w:hRule="atLeast"/>
        </w:trPr>
        <w:tc>
          <w:tcPr>
            <w:tcW w:w="188" w:type="pct"/>
            <w:vAlign w:val="center"/>
          </w:tcPr>
          <w:p w14:paraId="5662EC7C">
            <w:pPr>
              <w:pStyle w:val="129"/>
              <w:widowControl w:val="0"/>
              <w:rPr>
                <w:color w:val="auto"/>
              </w:rPr>
            </w:pPr>
            <w:r>
              <w:rPr>
                <w:color w:val="auto"/>
              </w:rPr>
              <w:t>1</w:t>
            </w:r>
          </w:p>
        </w:tc>
        <w:tc>
          <w:tcPr>
            <w:tcW w:w="378" w:type="pct"/>
            <w:vAlign w:val="center"/>
          </w:tcPr>
          <w:p w14:paraId="2C172C50">
            <w:pPr>
              <w:pStyle w:val="129"/>
              <w:widowControl w:val="0"/>
              <w:rPr>
                <w:color w:val="auto"/>
              </w:rPr>
            </w:pPr>
            <w:r>
              <w:rPr>
                <w:color w:val="auto"/>
              </w:rPr>
              <w:t>天然气</w:t>
            </w:r>
          </w:p>
        </w:tc>
        <w:tc>
          <w:tcPr>
            <w:tcW w:w="351" w:type="pct"/>
            <w:vAlign w:val="center"/>
          </w:tcPr>
          <w:p w14:paraId="100BB5AF">
            <w:pPr>
              <w:pStyle w:val="129"/>
              <w:widowControl w:val="0"/>
              <w:rPr>
                <w:color w:val="auto"/>
              </w:rPr>
            </w:pPr>
            <w:r>
              <w:rPr>
                <w:color w:val="auto"/>
              </w:rPr>
              <w:t>气体</w:t>
            </w:r>
          </w:p>
        </w:tc>
        <w:tc>
          <w:tcPr>
            <w:tcW w:w="457" w:type="pct"/>
            <w:vAlign w:val="center"/>
          </w:tcPr>
          <w:p w14:paraId="2C45AC07">
            <w:pPr>
              <w:pStyle w:val="129"/>
              <w:widowControl w:val="0"/>
              <w:rPr>
                <w:color w:val="auto"/>
              </w:rPr>
            </w:pPr>
            <w:r>
              <w:rPr>
                <w:color w:val="auto"/>
              </w:rPr>
              <w:t>微溶于水</w:t>
            </w:r>
          </w:p>
        </w:tc>
        <w:tc>
          <w:tcPr>
            <w:tcW w:w="615" w:type="pct"/>
            <w:vAlign w:val="center"/>
          </w:tcPr>
          <w:p w14:paraId="07E55DE4">
            <w:pPr>
              <w:pStyle w:val="129"/>
              <w:widowControl w:val="0"/>
              <w:rPr>
                <w:color w:val="auto"/>
              </w:rPr>
            </w:pPr>
            <w:r>
              <w:rPr>
                <w:color w:val="auto"/>
              </w:rPr>
              <w:t>微毒</w:t>
            </w:r>
          </w:p>
        </w:tc>
        <w:tc>
          <w:tcPr>
            <w:tcW w:w="1825" w:type="pct"/>
            <w:vAlign w:val="center"/>
          </w:tcPr>
          <w:p w14:paraId="054FA309">
            <w:pPr>
              <w:pStyle w:val="129"/>
              <w:widowControl w:val="0"/>
              <w:rPr>
                <w:color w:val="auto"/>
              </w:rPr>
            </w:pPr>
            <w:r>
              <w:rPr>
                <w:color w:val="auto"/>
              </w:rPr>
              <w:t xml:space="preserve">易燃气体，类别1，加压气体 </w:t>
            </w:r>
          </w:p>
        </w:tc>
        <w:tc>
          <w:tcPr>
            <w:tcW w:w="1183" w:type="pct"/>
            <w:vAlign w:val="center"/>
          </w:tcPr>
          <w:p w14:paraId="5B2E5461">
            <w:pPr>
              <w:pStyle w:val="129"/>
              <w:widowControl w:val="0"/>
              <w:rPr>
                <w:color w:val="auto"/>
              </w:rPr>
            </w:pPr>
            <w:r>
              <w:rPr>
                <w:color w:val="auto"/>
              </w:rPr>
              <w:t>无色无臭气体；蒸气压：53.32kPa/-168.8℃；闪点：-188℃；溶解性：微溶于水，溶于醇、乙醚；稳定性：稳定；熔点(℃)：-182.5℃ 沸点：-161.5℃。</w:t>
            </w:r>
          </w:p>
        </w:tc>
      </w:tr>
      <w:tr w14:paraId="14CBA8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10" w:hRule="atLeast"/>
        </w:trPr>
        <w:tc>
          <w:tcPr>
            <w:tcW w:w="188" w:type="pct"/>
            <w:vAlign w:val="center"/>
          </w:tcPr>
          <w:p w14:paraId="7CBC9490">
            <w:pPr>
              <w:pStyle w:val="129"/>
              <w:widowControl w:val="0"/>
              <w:rPr>
                <w:color w:val="auto"/>
              </w:rPr>
            </w:pPr>
            <w:r>
              <w:rPr>
                <w:color w:val="auto"/>
              </w:rPr>
              <w:t>2</w:t>
            </w:r>
          </w:p>
        </w:tc>
        <w:tc>
          <w:tcPr>
            <w:tcW w:w="378" w:type="pct"/>
            <w:vAlign w:val="center"/>
          </w:tcPr>
          <w:p w14:paraId="699C5358">
            <w:pPr>
              <w:pStyle w:val="129"/>
              <w:widowControl w:val="0"/>
              <w:rPr>
                <w:color w:val="auto"/>
              </w:rPr>
            </w:pPr>
            <w:r>
              <w:rPr>
                <w:color w:val="auto"/>
              </w:rPr>
              <w:t>硫酸</w:t>
            </w:r>
          </w:p>
        </w:tc>
        <w:tc>
          <w:tcPr>
            <w:tcW w:w="351" w:type="pct"/>
            <w:vAlign w:val="center"/>
          </w:tcPr>
          <w:p w14:paraId="2D363AB3">
            <w:pPr>
              <w:pStyle w:val="129"/>
              <w:widowControl w:val="0"/>
              <w:rPr>
                <w:color w:val="auto"/>
              </w:rPr>
            </w:pPr>
            <w:r>
              <w:rPr>
                <w:color w:val="auto"/>
              </w:rPr>
              <w:t>液体</w:t>
            </w:r>
          </w:p>
        </w:tc>
        <w:tc>
          <w:tcPr>
            <w:tcW w:w="457" w:type="pct"/>
            <w:vAlign w:val="center"/>
          </w:tcPr>
          <w:p w14:paraId="1476B5CE">
            <w:pPr>
              <w:pStyle w:val="129"/>
              <w:widowControl w:val="0"/>
              <w:rPr>
                <w:color w:val="auto"/>
              </w:rPr>
            </w:pPr>
            <w:r>
              <w:rPr>
                <w:color w:val="auto"/>
              </w:rPr>
              <w:t>与水混溶。</w:t>
            </w:r>
          </w:p>
        </w:tc>
        <w:tc>
          <w:tcPr>
            <w:tcW w:w="615" w:type="pct"/>
            <w:vAlign w:val="center"/>
          </w:tcPr>
          <w:p w14:paraId="29294BF8">
            <w:pPr>
              <w:pStyle w:val="129"/>
              <w:widowControl w:val="0"/>
              <w:rPr>
                <w:color w:val="auto"/>
              </w:rPr>
            </w:pPr>
            <w:r>
              <w:rPr>
                <w:color w:val="auto"/>
              </w:rPr>
              <w:t>LD50：2140 mg/kg；LC50：510mg/m</w:t>
            </w:r>
            <w:r>
              <w:rPr>
                <w:color w:val="auto"/>
                <w:vertAlign w:val="superscript"/>
              </w:rPr>
              <w:t>3</w:t>
            </w:r>
            <w:r>
              <w:rPr>
                <w:color w:val="auto"/>
              </w:rPr>
              <w:t>，2h；320mg/m</w:t>
            </w:r>
            <w:r>
              <w:rPr>
                <w:color w:val="auto"/>
                <w:vertAlign w:val="superscript"/>
              </w:rPr>
              <w:t>3</w:t>
            </w:r>
            <w:r>
              <w:rPr>
                <w:color w:val="auto"/>
              </w:rPr>
              <w:t>，2h(小鼠吸入)</w:t>
            </w:r>
          </w:p>
        </w:tc>
        <w:tc>
          <w:tcPr>
            <w:tcW w:w="1825" w:type="pct"/>
            <w:vAlign w:val="center"/>
          </w:tcPr>
          <w:p w14:paraId="30544269">
            <w:pPr>
              <w:pStyle w:val="129"/>
              <w:widowControl w:val="0"/>
              <w:rPr>
                <w:color w:val="auto"/>
              </w:rPr>
            </w:pPr>
            <w:r>
              <w:rPr>
                <w:color w:val="auto"/>
              </w:rPr>
              <w:t>第8.1类 酸性腐蚀品，遇水大量放热, 可发生沸溅。与易燃物（如苯）和可燃物（如糖、纤维素等）接触会发生剧烈反应，甚至引起燃烧。遇电石、高氯酸盐、雷酸盐、硝酸盐、苦味酸盐、金属粉末等猛烈反应，发生爆炸或燃烧。有强烈的腐蚀性和吸水性。</w:t>
            </w:r>
          </w:p>
        </w:tc>
        <w:tc>
          <w:tcPr>
            <w:tcW w:w="1183" w:type="pct"/>
            <w:vAlign w:val="center"/>
          </w:tcPr>
          <w:p w14:paraId="2B847D67">
            <w:pPr>
              <w:pStyle w:val="129"/>
              <w:widowControl w:val="0"/>
              <w:rPr>
                <w:color w:val="auto"/>
              </w:rPr>
            </w:pPr>
            <w:r>
              <w:rPr>
                <w:color w:val="auto"/>
              </w:rPr>
              <w:t>纯品为无色透明油状液体，无臭。</w:t>
            </w:r>
          </w:p>
        </w:tc>
      </w:tr>
      <w:tr w14:paraId="2F3C43D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10" w:hRule="atLeast"/>
        </w:trPr>
        <w:tc>
          <w:tcPr>
            <w:tcW w:w="188" w:type="pct"/>
            <w:vAlign w:val="center"/>
          </w:tcPr>
          <w:p w14:paraId="640410D9">
            <w:pPr>
              <w:pStyle w:val="129"/>
              <w:widowControl w:val="0"/>
              <w:rPr>
                <w:color w:val="auto"/>
              </w:rPr>
            </w:pPr>
            <w:r>
              <w:rPr>
                <w:color w:val="auto"/>
              </w:rPr>
              <w:t>3</w:t>
            </w:r>
          </w:p>
        </w:tc>
        <w:tc>
          <w:tcPr>
            <w:tcW w:w="378" w:type="pct"/>
            <w:vAlign w:val="center"/>
          </w:tcPr>
          <w:p w14:paraId="0B07393D">
            <w:pPr>
              <w:pStyle w:val="129"/>
              <w:widowControl w:val="0"/>
              <w:rPr>
                <w:color w:val="auto"/>
              </w:rPr>
            </w:pPr>
            <w:r>
              <w:rPr>
                <w:color w:val="auto"/>
              </w:rPr>
              <w:t>硝酸</w:t>
            </w:r>
          </w:p>
        </w:tc>
        <w:tc>
          <w:tcPr>
            <w:tcW w:w="351" w:type="pct"/>
            <w:vAlign w:val="center"/>
          </w:tcPr>
          <w:p w14:paraId="2F2B9BEC">
            <w:pPr>
              <w:pStyle w:val="129"/>
              <w:widowControl w:val="0"/>
              <w:rPr>
                <w:color w:val="auto"/>
              </w:rPr>
            </w:pPr>
            <w:r>
              <w:rPr>
                <w:color w:val="auto"/>
              </w:rPr>
              <w:t>液体</w:t>
            </w:r>
          </w:p>
        </w:tc>
        <w:tc>
          <w:tcPr>
            <w:tcW w:w="457" w:type="pct"/>
            <w:vAlign w:val="center"/>
          </w:tcPr>
          <w:p w14:paraId="37098081">
            <w:pPr>
              <w:pStyle w:val="129"/>
              <w:widowControl w:val="0"/>
              <w:rPr>
                <w:color w:val="auto"/>
              </w:rPr>
            </w:pPr>
            <w:r>
              <w:rPr>
                <w:color w:val="auto"/>
              </w:rPr>
              <w:t>与水混溶。</w:t>
            </w:r>
          </w:p>
        </w:tc>
        <w:tc>
          <w:tcPr>
            <w:tcW w:w="615" w:type="pct"/>
            <w:vAlign w:val="center"/>
          </w:tcPr>
          <w:p w14:paraId="0293B18E">
            <w:pPr>
              <w:pStyle w:val="129"/>
              <w:widowControl w:val="0"/>
              <w:rPr>
                <w:color w:val="auto"/>
              </w:rPr>
            </w:pPr>
            <w:r>
              <w:rPr>
                <w:color w:val="auto"/>
              </w:rPr>
              <w:t>/</w:t>
            </w:r>
          </w:p>
        </w:tc>
        <w:tc>
          <w:tcPr>
            <w:tcW w:w="1825" w:type="pct"/>
            <w:vAlign w:val="center"/>
          </w:tcPr>
          <w:p w14:paraId="770F3C25">
            <w:pPr>
              <w:pStyle w:val="129"/>
              <w:widowControl w:val="0"/>
              <w:rPr>
                <w:color w:val="auto"/>
              </w:rPr>
            </w:pPr>
            <w:r>
              <w:rPr>
                <w:color w:val="auto"/>
              </w:rPr>
              <w:t>第8.1类 酸性腐蚀品，强氧化剂。能与多种物质如金属粉末、电石、硫化氢、松节油等猛烈反应，甚至发生爆炸。与还原剂、可燃物如糖、纤维素、木屑、棉花、稻草或废纱头等接触，引起燃烧并散发出剧毒的棕色烟雾。具有强腐蚀性。</w:t>
            </w:r>
          </w:p>
        </w:tc>
        <w:tc>
          <w:tcPr>
            <w:tcW w:w="1183" w:type="pct"/>
            <w:vAlign w:val="center"/>
          </w:tcPr>
          <w:p w14:paraId="1E83540D">
            <w:pPr>
              <w:pStyle w:val="129"/>
              <w:widowControl w:val="0"/>
              <w:rPr>
                <w:color w:val="auto"/>
              </w:rPr>
            </w:pPr>
            <w:r>
              <w:rPr>
                <w:color w:val="auto"/>
              </w:rPr>
              <w:t>纯品为无色透明发烟液体，有酸味。</w:t>
            </w:r>
          </w:p>
        </w:tc>
      </w:tr>
      <w:tr w14:paraId="4B52555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10" w:hRule="atLeast"/>
        </w:trPr>
        <w:tc>
          <w:tcPr>
            <w:tcW w:w="188" w:type="pct"/>
            <w:vAlign w:val="center"/>
          </w:tcPr>
          <w:p w14:paraId="3602CBF8">
            <w:pPr>
              <w:pStyle w:val="129"/>
              <w:widowControl w:val="0"/>
              <w:rPr>
                <w:color w:val="auto"/>
              </w:rPr>
            </w:pPr>
            <w:r>
              <w:rPr>
                <w:color w:val="auto"/>
              </w:rPr>
              <w:t>4</w:t>
            </w:r>
          </w:p>
        </w:tc>
        <w:tc>
          <w:tcPr>
            <w:tcW w:w="378" w:type="pct"/>
            <w:vAlign w:val="center"/>
          </w:tcPr>
          <w:p w14:paraId="2457CC87">
            <w:pPr>
              <w:pStyle w:val="129"/>
              <w:widowControl w:val="0"/>
              <w:rPr>
                <w:color w:val="auto"/>
              </w:rPr>
            </w:pPr>
            <w:r>
              <w:rPr>
                <w:color w:val="auto"/>
              </w:rPr>
              <w:t>氯化铝（含氯化铝废酸液）</w:t>
            </w:r>
          </w:p>
        </w:tc>
        <w:tc>
          <w:tcPr>
            <w:tcW w:w="351" w:type="pct"/>
            <w:vAlign w:val="center"/>
          </w:tcPr>
          <w:p w14:paraId="574E0BF1">
            <w:pPr>
              <w:pStyle w:val="129"/>
              <w:widowControl w:val="0"/>
              <w:rPr>
                <w:color w:val="auto"/>
              </w:rPr>
            </w:pPr>
            <w:r>
              <w:rPr>
                <w:color w:val="auto"/>
              </w:rPr>
              <w:t>固体（在本项目中呈液体）</w:t>
            </w:r>
          </w:p>
        </w:tc>
        <w:tc>
          <w:tcPr>
            <w:tcW w:w="457" w:type="pct"/>
            <w:vAlign w:val="center"/>
          </w:tcPr>
          <w:p w14:paraId="682CFF87">
            <w:pPr>
              <w:pStyle w:val="129"/>
              <w:widowControl w:val="0"/>
              <w:rPr>
                <w:color w:val="auto"/>
              </w:rPr>
            </w:pPr>
            <w:r>
              <w:rPr>
                <w:color w:val="auto"/>
              </w:rPr>
              <w:t>易溶于水、醇、氯仿、四氯化碳，微溶于苯。</w:t>
            </w:r>
          </w:p>
        </w:tc>
        <w:tc>
          <w:tcPr>
            <w:tcW w:w="615" w:type="pct"/>
            <w:vAlign w:val="center"/>
          </w:tcPr>
          <w:p w14:paraId="2153DC39">
            <w:pPr>
              <w:pStyle w:val="129"/>
              <w:widowControl w:val="0"/>
              <w:rPr>
                <w:color w:val="auto"/>
              </w:rPr>
            </w:pPr>
            <w:r>
              <w:rPr>
                <w:color w:val="auto"/>
              </w:rPr>
              <w:t>LD50：3730mg</w:t>
            </w:r>
            <w:r>
              <w:rPr>
                <w:rFonts w:hint="eastAsia"/>
                <w:color w:val="auto"/>
              </w:rPr>
              <w:t>/</w:t>
            </w:r>
            <w:r>
              <w:rPr>
                <w:color w:val="auto"/>
              </w:rPr>
              <w:t>kg(大鼠经口)</w:t>
            </w:r>
          </w:p>
        </w:tc>
        <w:tc>
          <w:tcPr>
            <w:tcW w:w="1825" w:type="pct"/>
            <w:vAlign w:val="center"/>
          </w:tcPr>
          <w:p w14:paraId="29344C0D">
            <w:pPr>
              <w:pStyle w:val="129"/>
              <w:widowControl w:val="0"/>
              <w:rPr>
                <w:color w:val="auto"/>
              </w:rPr>
            </w:pPr>
            <w:r>
              <w:rPr>
                <w:color w:val="auto"/>
              </w:rPr>
              <w:t>第8.1类 酸性腐蚀品，遇水或水蒸气反应放热并产生有毒的腐蚀性气体。对很多金属尤其是潮湿空气存在下有腐蚀性。</w:t>
            </w:r>
          </w:p>
        </w:tc>
        <w:tc>
          <w:tcPr>
            <w:tcW w:w="1183" w:type="pct"/>
            <w:vAlign w:val="center"/>
          </w:tcPr>
          <w:p w14:paraId="5656644A">
            <w:pPr>
              <w:pStyle w:val="129"/>
              <w:widowControl w:val="0"/>
              <w:rPr>
                <w:color w:val="auto"/>
              </w:rPr>
            </w:pPr>
            <w:r>
              <w:rPr>
                <w:color w:val="auto"/>
              </w:rPr>
              <w:t xml:space="preserve">白色颗粒或粉末，有强盐酸气味。工业品呈淡黄色。饱和蒸气压(kPa)：0.13(100℃)，熔点(℃)：190(253kPa) </w:t>
            </w:r>
          </w:p>
        </w:tc>
      </w:tr>
      <w:tr w14:paraId="22A73BC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566" w:hRule="atLeast"/>
        </w:trPr>
        <w:tc>
          <w:tcPr>
            <w:tcW w:w="188" w:type="pct"/>
            <w:vAlign w:val="center"/>
          </w:tcPr>
          <w:p w14:paraId="30A1622B">
            <w:pPr>
              <w:pStyle w:val="129"/>
              <w:widowControl w:val="0"/>
              <w:rPr>
                <w:color w:val="auto"/>
              </w:rPr>
            </w:pPr>
            <w:r>
              <w:rPr>
                <w:color w:val="auto"/>
              </w:rPr>
              <w:t>5</w:t>
            </w:r>
          </w:p>
        </w:tc>
        <w:tc>
          <w:tcPr>
            <w:tcW w:w="378" w:type="pct"/>
            <w:vAlign w:val="center"/>
          </w:tcPr>
          <w:p w14:paraId="3A3FEADB">
            <w:pPr>
              <w:pStyle w:val="129"/>
              <w:widowControl w:val="0"/>
              <w:rPr>
                <w:color w:val="auto"/>
              </w:rPr>
            </w:pPr>
            <w:r>
              <w:rPr>
                <w:color w:val="auto"/>
              </w:rPr>
              <w:t>硝酸铝（含硝酸铝废酸液）</w:t>
            </w:r>
          </w:p>
        </w:tc>
        <w:tc>
          <w:tcPr>
            <w:tcW w:w="351" w:type="pct"/>
            <w:vAlign w:val="center"/>
          </w:tcPr>
          <w:p w14:paraId="4121A83A">
            <w:pPr>
              <w:pStyle w:val="129"/>
              <w:widowControl w:val="0"/>
              <w:rPr>
                <w:color w:val="auto"/>
              </w:rPr>
            </w:pPr>
            <w:r>
              <w:rPr>
                <w:color w:val="auto"/>
              </w:rPr>
              <w:t>固体（在本项目中呈液体）</w:t>
            </w:r>
          </w:p>
        </w:tc>
        <w:tc>
          <w:tcPr>
            <w:tcW w:w="457" w:type="pct"/>
            <w:vAlign w:val="center"/>
          </w:tcPr>
          <w:p w14:paraId="433F9CA6">
            <w:pPr>
              <w:pStyle w:val="129"/>
              <w:widowControl w:val="0"/>
              <w:rPr>
                <w:color w:val="auto"/>
              </w:rPr>
            </w:pPr>
            <w:r>
              <w:rPr>
                <w:color w:val="auto"/>
              </w:rPr>
              <w:t>易溶于冷水、乙醇、二硫化碳，不溶于乙酸乙酯，微溶于丙酮。</w:t>
            </w:r>
          </w:p>
        </w:tc>
        <w:tc>
          <w:tcPr>
            <w:tcW w:w="615" w:type="pct"/>
            <w:vAlign w:val="center"/>
          </w:tcPr>
          <w:p w14:paraId="7A697580">
            <w:pPr>
              <w:pStyle w:val="129"/>
              <w:widowControl w:val="0"/>
              <w:rPr>
                <w:color w:val="auto"/>
              </w:rPr>
            </w:pPr>
            <w:r>
              <w:rPr>
                <w:color w:val="auto"/>
              </w:rPr>
              <w:t>LD50：264mg</w:t>
            </w:r>
            <w:r>
              <w:rPr>
                <w:rFonts w:hint="eastAsia"/>
                <w:color w:val="auto"/>
              </w:rPr>
              <w:t>/</w:t>
            </w:r>
            <w:r>
              <w:rPr>
                <w:color w:val="auto"/>
              </w:rPr>
              <w:t>kg(大鼠经口)</w:t>
            </w:r>
          </w:p>
        </w:tc>
        <w:tc>
          <w:tcPr>
            <w:tcW w:w="1825" w:type="pct"/>
            <w:vAlign w:val="center"/>
          </w:tcPr>
          <w:p w14:paraId="3ACDB09A">
            <w:pPr>
              <w:pStyle w:val="129"/>
              <w:widowControl w:val="0"/>
              <w:rPr>
                <w:color w:val="auto"/>
              </w:rPr>
            </w:pPr>
            <w:r>
              <w:rPr>
                <w:color w:val="auto"/>
              </w:rPr>
              <w:t>第5.1类 氧化剂，无机氧化剂。与可燃物的混合物易于着火，并会猛烈燃烧。高温时分解，</w:t>
            </w:r>
            <w:r>
              <w:rPr>
                <w:rFonts w:hint="eastAsia"/>
                <w:color w:val="auto"/>
                <w:lang w:eastAsia="zh-CN"/>
              </w:rPr>
              <w:t>释放</w:t>
            </w:r>
            <w:r>
              <w:rPr>
                <w:color w:val="auto"/>
              </w:rPr>
              <w:t>出剧毒的氮氧化物气体。有害燃烧产物：氧化氮、氧化铝。</w:t>
            </w:r>
          </w:p>
        </w:tc>
        <w:tc>
          <w:tcPr>
            <w:tcW w:w="1183" w:type="pct"/>
            <w:vAlign w:val="center"/>
          </w:tcPr>
          <w:p w14:paraId="7FFCDC95">
            <w:pPr>
              <w:pStyle w:val="129"/>
              <w:widowControl w:val="0"/>
              <w:rPr>
                <w:color w:val="auto"/>
              </w:rPr>
            </w:pPr>
            <w:r>
              <w:rPr>
                <w:color w:val="auto"/>
              </w:rPr>
              <w:t>无色或白色易潮解的单斜晶体。熔点(℃)：73.5.</w:t>
            </w:r>
          </w:p>
        </w:tc>
      </w:tr>
      <w:tr w14:paraId="480B8A0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10" w:hRule="atLeast"/>
        </w:trPr>
        <w:tc>
          <w:tcPr>
            <w:tcW w:w="505" w:type="dxa"/>
            <w:vAlign w:val="center"/>
          </w:tcPr>
          <w:p w14:paraId="04AC7698">
            <w:pPr>
              <w:pStyle w:val="129"/>
              <w:widowControl w:val="0"/>
              <w:rPr>
                <w:color w:val="auto"/>
              </w:rPr>
            </w:pPr>
            <w:r>
              <w:rPr>
                <w:rFonts w:hint="eastAsia"/>
                <w:color w:val="auto"/>
              </w:rPr>
              <w:t>6</w:t>
            </w:r>
          </w:p>
        </w:tc>
        <w:tc>
          <w:tcPr>
            <w:tcW w:w="1015" w:type="dxa"/>
            <w:vAlign w:val="center"/>
          </w:tcPr>
          <w:p w14:paraId="674E5505">
            <w:pPr>
              <w:pStyle w:val="129"/>
              <w:widowControl w:val="0"/>
              <w:rPr>
                <w:color w:val="auto"/>
              </w:rPr>
            </w:pPr>
            <w:r>
              <w:rPr>
                <w:rFonts w:hint="eastAsia"/>
                <w:color w:val="auto"/>
              </w:rPr>
              <w:t>氨水</w:t>
            </w:r>
          </w:p>
        </w:tc>
        <w:tc>
          <w:tcPr>
            <w:tcW w:w="945" w:type="dxa"/>
            <w:vAlign w:val="center"/>
          </w:tcPr>
          <w:p w14:paraId="43209CAC">
            <w:pPr>
              <w:pStyle w:val="129"/>
              <w:widowControl w:val="0"/>
              <w:rPr>
                <w:color w:val="auto"/>
              </w:rPr>
            </w:pPr>
            <w:r>
              <w:rPr>
                <w:color w:val="auto"/>
              </w:rPr>
              <w:t>无色透明液体</w:t>
            </w:r>
          </w:p>
        </w:tc>
        <w:tc>
          <w:tcPr>
            <w:tcW w:w="1227" w:type="dxa"/>
            <w:vAlign w:val="center"/>
          </w:tcPr>
          <w:p w14:paraId="552755FD">
            <w:pPr>
              <w:pStyle w:val="129"/>
              <w:widowControl w:val="0"/>
              <w:rPr>
                <w:color w:val="auto"/>
              </w:rPr>
            </w:pPr>
            <w:r>
              <w:rPr>
                <w:rFonts w:hint="eastAsia"/>
                <w:color w:val="auto"/>
              </w:rPr>
              <w:t>溶于水，</w:t>
            </w:r>
            <w:r>
              <w:rPr>
                <w:color w:val="auto"/>
              </w:rPr>
              <w:t>可溶于乙醇、甲醇，不溶于烃类油类。</w:t>
            </w:r>
          </w:p>
        </w:tc>
        <w:tc>
          <w:tcPr>
            <w:tcW w:w="1652" w:type="dxa"/>
            <w:vAlign w:val="center"/>
          </w:tcPr>
          <w:p w14:paraId="611AAD24">
            <w:pPr>
              <w:pStyle w:val="129"/>
              <w:widowControl w:val="0"/>
              <w:rPr>
                <w:color w:val="auto"/>
              </w:rPr>
            </w:pPr>
            <w:r>
              <w:rPr>
                <w:rFonts w:hint="eastAsia"/>
                <w:color w:val="auto"/>
              </w:rPr>
              <w:t>LD50：350mg/kg</w:t>
            </w:r>
            <w:r>
              <w:rPr>
                <w:color w:val="auto"/>
              </w:rPr>
              <w:t>(大鼠经口)</w:t>
            </w:r>
          </w:p>
        </w:tc>
        <w:tc>
          <w:tcPr>
            <w:tcW w:w="4902" w:type="dxa"/>
            <w:vAlign w:val="center"/>
          </w:tcPr>
          <w:p w14:paraId="57711CF0">
            <w:pPr>
              <w:pStyle w:val="129"/>
              <w:widowControl w:val="0"/>
              <w:rPr>
                <w:color w:val="auto"/>
              </w:rPr>
            </w:pPr>
            <w:r>
              <w:rPr>
                <w:rFonts w:hint="eastAsia"/>
                <w:color w:val="auto"/>
              </w:rPr>
              <w:t>属于强碱性腐蚀品，对皮肤、黏膜、眼睛、呼吸道有强腐蚀、灼伤作用；对碳钢、铜、铝、锌等金属有腐蚀作用，仅耐碱防腐材质可贮存。常温持续挥发出氨气，刺激性极强，易造成厂界臭气、大气超标；与空气中 NOₓ、硫酸雾反应生成铵盐颗粒物，加剧大气污染。</w:t>
            </w:r>
          </w:p>
        </w:tc>
        <w:tc>
          <w:tcPr>
            <w:tcW w:w="3178" w:type="dxa"/>
            <w:vAlign w:val="center"/>
          </w:tcPr>
          <w:p w14:paraId="296FFB61">
            <w:pPr>
              <w:pStyle w:val="129"/>
              <w:widowControl w:val="0"/>
              <w:rPr>
                <w:color w:val="auto"/>
              </w:rPr>
            </w:pPr>
            <w:r>
              <w:rPr>
                <w:rFonts w:hint="eastAsia"/>
                <w:color w:val="auto"/>
              </w:rPr>
              <w:t>有强烈刺激性氨臭味。沸点：约 36～38℃（常压下氨气极易挥发），熔点：约-35℃。挥发性：常温极易挥发，温度越高、敞口面积越大，氨气逸散越剧烈。蒸气压：20℃下氨蒸气压高，易形成气相 NH₃扩散。</w:t>
            </w:r>
          </w:p>
        </w:tc>
      </w:tr>
      <w:tr w14:paraId="1938389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10" w:hRule="atLeast"/>
        </w:trPr>
        <w:tc>
          <w:tcPr>
            <w:tcW w:w="188" w:type="pct"/>
            <w:vAlign w:val="center"/>
          </w:tcPr>
          <w:p w14:paraId="7DBC48C6">
            <w:pPr>
              <w:pStyle w:val="129"/>
              <w:widowControl w:val="0"/>
              <w:rPr>
                <w:color w:val="auto"/>
              </w:rPr>
            </w:pPr>
            <w:r>
              <w:rPr>
                <w:rFonts w:hint="eastAsia"/>
                <w:color w:val="auto"/>
              </w:rPr>
              <w:t>7</w:t>
            </w:r>
          </w:p>
        </w:tc>
        <w:tc>
          <w:tcPr>
            <w:tcW w:w="378" w:type="pct"/>
            <w:vAlign w:val="center"/>
          </w:tcPr>
          <w:p w14:paraId="3B40C047">
            <w:pPr>
              <w:pStyle w:val="129"/>
              <w:widowControl w:val="0"/>
              <w:rPr>
                <w:color w:val="auto"/>
              </w:rPr>
            </w:pPr>
            <w:r>
              <w:rPr>
                <w:color w:val="auto"/>
              </w:rPr>
              <w:t>硫酸铵</w:t>
            </w:r>
          </w:p>
        </w:tc>
        <w:tc>
          <w:tcPr>
            <w:tcW w:w="351" w:type="pct"/>
            <w:vAlign w:val="center"/>
          </w:tcPr>
          <w:p w14:paraId="3E1D3072">
            <w:pPr>
              <w:pStyle w:val="129"/>
              <w:widowControl w:val="0"/>
              <w:rPr>
                <w:color w:val="auto"/>
              </w:rPr>
            </w:pPr>
            <w:r>
              <w:rPr>
                <w:color w:val="auto"/>
              </w:rPr>
              <w:t>固体（在本项目中呈液体）</w:t>
            </w:r>
          </w:p>
        </w:tc>
        <w:tc>
          <w:tcPr>
            <w:tcW w:w="457" w:type="pct"/>
            <w:vAlign w:val="center"/>
          </w:tcPr>
          <w:p w14:paraId="00D8584A">
            <w:pPr>
              <w:pStyle w:val="129"/>
              <w:widowControl w:val="0"/>
              <w:rPr>
                <w:color w:val="auto"/>
              </w:rPr>
            </w:pPr>
            <w:r>
              <w:rPr>
                <w:color w:val="auto"/>
              </w:rPr>
              <w:t>溶于水，不溶于醇、丙酮。</w:t>
            </w:r>
          </w:p>
        </w:tc>
        <w:tc>
          <w:tcPr>
            <w:tcW w:w="615" w:type="pct"/>
            <w:vAlign w:val="center"/>
          </w:tcPr>
          <w:p w14:paraId="06BFBE51">
            <w:pPr>
              <w:pStyle w:val="129"/>
              <w:widowControl w:val="0"/>
              <w:rPr>
                <w:color w:val="auto"/>
              </w:rPr>
            </w:pPr>
            <w:r>
              <w:rPr>
                <w:color w:val="auto"/>
              </w:rPr>
              <w:t>LD50：3000mg</w:t>
            </w:r>
            <w:r>
              <w:rPr>
                <w:rFonts w:hint="eastAsia"/>
                <w:color w:val="auto"/>
              </w:rPr>
              <w:t>/</w:t>
            </w:r>
            <w:r>
              <w:rPr>
                <w:color w:val="auto"/>
              </w:rPr>
              <w:t>kg(大鼠经口)</w:t>
            </w:r>
          </w:p>
        </w:tc>
        <w:tc>
          <w:tcPr>
            <w:tcW w:w="1825" w:type="pct"/>
            <w:vAlign w:val="center"/>
          </w:tcPr>
          <w:p w14:paraId="04F4DC15">
            <w:pPr>
              <w:pStyle w:val="129"/>
              <w:widowControl w:val="0"/>
              <w:rPr>
                <w:color w:val="auto"/>
              </w:rPr>
            </w:pPr>
            <w:r>
              <w:rPr>
                <w:color w:val="auto"/>
              </w:rPr>
              <w:t>与次氯酸钠反应生成爆炸性的三氯化氮。受高热分解，放出有毒的烟气。有害燃烧产物：氮氧化物、氧化硫、氨。</w:t>
            </w:r>
          </w:p>
        </w:tc>
        <w:tc>
          <w:tcPr>
            <w:tcW w:w="1183" w:type="pct"/>
            <w:vAlign w:val="center"/>
          </w:tcPr>
          <w:p w14:paraId="40ABC884">
            <w:pPr>
              <w:pStyle w:val="129"/>
              <w:widowControl w:val="0"/>
              <w:rPr>
                <w:color w:val="auto"/>
              </w:rPr>
            </w:pPr>
            <w:r>
              <w:rPr>
                <w:color w:val="auto"/>
              </w:rPr>
              <w:t>白色或微黄色结晶。熔点(℃)：＞280</w:t>
            </w:r>
          </w:p>
        </w:tc>
      </w:tr>
      <w:tr w14:paraId="48779C0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10" w:hRule="atLeast"/>
        </w:trPr>
        <w:tc>
          <w:tcPr>
            <w:tcW w:w="188" w:type="pct"/>
            <w:vAlign w:val="center"/>
          </w:tcPr>
          <w:p w14:paraId="1CE01010">
            <w:pPr>
              <w:pStyle w:val="129"/>
              <w:widowControl w:val="0"/>
              <w:rPr>
                <w:color w:val="auto"/>
              </w:rPr>
            </w:pPr>
            <w:r>
              <w:rPr>
                <w:rFonts w:hint="eastAsia"/>
                <w:color w:val="auto"/>
              </w:rPr>
              <w:t>8</w:t>
            </w:r>
          </w:p>
        </w:tc>
        <w:tc>
          <w:tcPr>
            <w:tcW w:w="378" w:type="pct"/>
            <w:vAlign w:val="center"/>
          </w:tcPr>
          <w:p w14:paraId="5AD4FE6B">
            <w:pPr>
              <w:pStyle w:val="129"/>
              <w:widowControl w:val="0"/>
              <w:rPr>
                <w:color w:val="auto"/>
              </w:rPr>
            </w:pPr>
            <w:r>
              <w:rPr>
                <w:color w:val="auto"/>
              </w:rPr>
              <w:t>脱硝催化剂</w:t>
            </w:r>
          </w:p>
        </w:tc>
        <w:tc>
          <w:tcPr>
            <w:tcW w:w="351" w:type="pct"/>
            <w:vAlign w:val="center"/>
          </w:tcPr>
          <w:p w14:paraId="38312916">
            <w:pPr>
              <w:pStyle w:val="129"/>
              <w:widowControl w:val="0"/>
              <w:rPr>
                <w:color w:val="auto"/>
              </w:rPr>
            </w:pPr>
            <w:r>
              <w:rPr>
                <w:color w:val="auto"/>
              </w:rPr>
              <w:t>固态</w:t>
            </w:r>
          </w:p>
        </w:tc>
        <w:tc>
          <w:tcPr>
            <w:tcW w:w="457" w:type="pct"/>
            <w:vAlign w:val="center"/>
          </w:tcPr>
          <w:p w14:paraId="5101FF24">
            <w:pPr>
              <w:pStyle w:val="129"/>
              <w:widowControl w:val="0"/>
              <w:rPr>
                <w:color w:val="auto"/>
              </w:rPr>
            </w:pPr>
            <w:r>
              <w:rPr>
                <w:color w:val="auto"/>
              </w:rPr>
              <w:t>微溶于水，不溶于乙醇，溶于浓酸、碱。</w:t>
            </w:r>
          </w:p>
        </w:tc>
        <w:tc>
          <w:tcPr>
            <w:tcW w:w="615" w:type="pct"/>
            <w:vAlign w:val="center"/>
          </w:tcPr>
          <w:p w14:paraId="54A5F33A">
            <w:pPr>
              <w:pStyle w:val="129"/>
              <w:widowControl w:val="0"/>
              <w:rPr>
                <w:color w:val="auto"/>
              </w:rPr>
            </w:pPr>
            <w:r>
              <w:rPr>
                <w:color w:val="auto"/>
              </w:rPr>
              <w:t>所含五氧化二钒属高毒类LD50：10mg</w:t>
            </w:r>
            <w:r>
              <w:rPr>
                <w:rFonts w:hint="eastAsia"/>
                <w:color w:val="auto"/>
              </w:rPr>
              <w:t>/</w:t>
            </w:r>
            <w:r>
              <w:rPr>
                <w:color w:val="auto"/>
              </w:rPr>
              <w:t>kg</w:t>
            </w:r>
          </w:p>
        </w:tc>
        <w:tc>
          <w:tcPr>
            <w:tcW w:w="1825" w:type="pct"/>
            <w:vAlign w:val="center"/>
          </w:tcPr>
          <w:p w14:paraId="7D70C82A">
            <w:pPr>
              <w:pStyle w:val="129"/>
              <w:widowControl w:val="0"/>
              <w:rPr>
                <w:color w:val="auto"/>
              </w:rPr>
            </w:pPr>
            <w:r>
              <w:rPr>
                <w:color w:val="auto"/>
              </w:rPr>
              <w:t>未有特殊的燃烧爆炸特性。</w:t>
            </w:r>
          </w:p>
        </w:tc>
        <w:tc>
          <w:tcPr>
            <w:tcW w:w="1183" w:type="pct"/>
            <w:vAlign w:val="center"/>
          </w:tcPr>
          <w:p w14:paraId="6ABBFA20">
            <w:pPr>
              <w:pStyle w:val="129"/>
              <w:widowControl w:val="0"/>
              <w:rPr>
                <w:color w:val="auto"/>
              </w:rPr>
            </w:pPr>
            <w:r>
              <w:rPr>
                <w:color w:val="auto"/>
              </w:rPr>
              <w:t>/</w:t>
            </w:r>
          </w:p>
        </w:tc>
      </w:tr>
      <w:tr w14:paraId="306E5B9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10" w:hRule="atLeast"/>
        </w:trPr>
        <w:tc>
          <w:tcPr>
            <w:tcW w:w="188" w:type="pct"/>
            <w:vAlign w:val="center"/>
          </w:tcPr>
          <w:p w14:paraId="2FA9A2CB">
            <w:pPr>
              <w:pStyle w:val="129"/>
              <w:widowControl w:val="0"/>
              <w:rPr>
                <w:color w:val="auto"/>
              </w:rPr>
            </w:pPr>
            <w:r>
              <w:rPr>
                <w:rFonts w:hint="eastAsia"/>
                <w:color w:val="auto"/>
              </w:rPr>
              <w:t>9</w:t>
            </w:r>
          </w:p>
        </w:tc>
        <w:tc>
          <w:tcPr>
            <w:tcW w:w="378" w:type="pct"/>
            <w:vAlign w:val="center"/>
          </w:tcPr>
          <w:p w14:paraId="19D70EF4">
            <w:pPr>
              <w:pStyle w:val="129"/>
              <w:widowControl w:val="0"/>
              <w:rPr>
                <w:color w:val="auto"/>
              </w:rPr>
            </w:pPr>
            <w:r>
              <w:rPr>
                <w:rFonts w:hint="eastAsia"/>
                <w:color w:val="auto"/>
              </w:rPr>
              <w:t>硝酸铵</w:t>
            </w:r>
          </w:p>
        </w:tc>
        <w:tc>
          <w:tcPr>
            <w:tcW w:w="351" w:type="pct"/>
            <w:vAlign w:val="center"/>
          </w:tcPr>
          <w:p w14:paraId="6A656BDF">
            <w:pPr>
              <w:pStyle w:val="129"/>
              <w:widowControl w:val="0"/>
              <w:rPr>
                <w:color w:val="auto"/>
              </w:rPr>
            </w:pPr>
            <w:r>
              <w:rPr>
                <w:rFonts w:hint="eastAsia"/>
                <w:color w:val="auto"/>
              </w:rPr>
              <w:t>固态</w:t>
            </w:r>
          </w:p>
        </w:tc>
        <w:tc>
          <w:tcPr>
            <w:tcW w:w="457" w:type="pct"/>
            <w:vAlign w:val="center"/>
          </w:tcPr>
          <w:p w14:paraId="4FE843EB">
            <w:pPr>
              <w:pStyle w:val="129"/>
              <w:widowControl w:val="0"/>
              <w:rPr>
                <w:color w:val="auto"/>
              </w:rPr>
            </w:pPr>
            <w:r>
              <w:rPr>
                <w:rFonts w:hint="eastAsia"/>
                <w:color w:val="auto"/>
              </w:rPr>
              <w:t>易溶于水、乙醇、丙酮、氨水，不溶于乙醚。</w:t>
            </w:r>
          </w:p>
        </w:tc>
        <w:tc>
          <w:tcPr>
            <w:tcW w:w="615" w:type="pct"/>
            <w:vAlign w:val="center"/>
          </w:tcPr>
          <w:p w14:paraId="1C827C85">
            <w:pPr>
              <w:pStyle w:val="129"/>
              <w:widowControl w:val="0"/>
              <w:rPr>
                <w:color w:val="auto"/>
              </w:rPr>
            </w:pPr>
            <w:r>
              <w:rPr>
                <w:rFonts w:hint="eastAsia"/>
                <w:color w:val="auto"/>
              </w:rPr>
              <w:t>LD50：4820mg／kg(大鼠经口)</w:t>
            </w:r>
          </w:p>
        </w:tc>
        <w:tc>
          <w:tcPr>
            <w:tcW w:w="1825" w:type="pct"/>
            <w:vAlign w:val="center"/>
          </w:tcPr>
          <w:p w14:paraId="54EFAE3E">
            <w:pPr>
              <w:pStyle w:val="129"/>
              <w:widowControl w:val="0"/>
              <w:rPr>
                <w:color w:val="auto"/>
              </w:rPr>
            </w:pPr>
            <w:r>
              <w:rPr>
                <w:rFonts w:hint="eastAsia"/>
                <w:color w:val="auto"/>
              </w:rPr>
              <w:t>第5.1类 氧化剂，强氧化剂。遇可燃物着火时，能助长火势。与可燃物粉末混合能发生激烈反应而爆炸。受强烈震动也会起爆。急剧加热时可发生爆炸。与还原剂、有机物、易燃物如硫、磷或金属粉末等混合可形成爆炸性混合物。</w:t>
            </w:r>
          </w:p>
        </w:tc>
        <w:tc>
          <w:tcPr>
            <w:tcW w:w="1183" w:type="pct"/>
            <w:vAlign w:val="center"/>
          </w:tcPr>
          <w:p w14:paraId="09FC55A5">
            <w:pPr>
              <w:pStyle w:val="129"/>
              <w:widowControl w:val="0"/>
              <w:rPr>
                <w:color w:val="auto"/>
              </w:rPr>
            </w:pPr>
            <w:r>
              <w:rPr>
                <w:rFonts w:hint="eastAsia"/>
                <w:color w:val="auto"/>
              </w:rPr>
              <w:t>无色无臭的透明结晶或呈白色的小颗粒，有潮解性。沸点：210℃（分解），熔点：169.6℃。</w:t>
            </w:r>
          </w:p>
        </w:tc>
      </w:tr>
    </w:tbl>
    <w:p w14:paraId="14BD19C9">
      <w:pPr>
        <w:autoSpaceDE w:val="0"/>
        <w:autoSpaceDN w:val="0"/>
        <w:adjustRightInd w:val="0"/>
        <w:spacing w:line="240" w:lineRule="exact"/>
        <w:rPr>
          <w:rFonts w:ascii="黑体"/>
          <w:bCs/>
          <w:color w:val="auto"/>
          <w:szCs w:val="28"/>
        </w:rPr>
      </w:pPr>
    </w:p>
    <w:p w14:paraId="3592EAA5">
      <w:pPr>
        <w:tabs>
          <w:tab w:val="left" w:pos="2469"/>
        </w:tabs>
        <w:rPr>
          <w:color w:val="auto"/>
        </w:rPr>
        <w:sectPr>
          <w:type w:val="continuous"/>
          <w:pgSz w:w="16838" w:h="11906" w:orient="landscape"/>
          <w:pgMar w:top="1440" w:right="1588" w:bottom="1389" w:left="1588" w:header="851" w:footer="992" w:gutter="0"/>
          <w:cols w:space="425" w:num="1"/>
          <w:docGrid w:type="lines" w:linePitch="326" w:charSpace="0"/>
        </w:sectPr>
      </w:pPr>
    </w:p>
    <w:p w14:paraId="60407F60">
      <w:pPr>
        <w:pStyle w:val="4"/>
        <w:rPr>
          <w:color w:val="auto"/>
        </w:rPr>
      </w:pPr>
      <w:r>
        <w:rPr>
          <w:rFonts w:hint="eastAsia"/>
          <w:color w:val="auto"/>
        </w:rPr>
        <w:t>生产系统危险性识别</w:t>
      </w:r>
    </w:p>
    <w:p w14:paraId="25637200">
      <w:pPr>
        <w:spacing w:line="360" w:lineRule="auto"/>
        <w:ind w:firstLine="480" w:firstLineChars="200"/>
        <w:jc w:val="both"/>
        <w:rPr>
          <w:color w:val="auto"/>
          <w:sz w:val="24"/>
          <w:szCs w:val="24"/>
        </w:rPr>
      </w:pPr>
      <w:r>
        <w:rPr>
          <w:rFonts w:hint="eastAsia"/>
          <w:color w:val="auto"/>
          <w:sz w:val="24"/>
          <w:szCs w:val="24"/>
        </w:rPr>
        <w:t>生产系统危险性识别，包括主要生产装置、储运设施、公用工程和辅助生产设施，以及环境保护设施等。</w:t>
      </w:r>
    </w:p>
    <w:p w14:paraId="73192198">
      <w:pPr>
        <w:spacing w:line="360" w:lineRule="auto"/>
        <w:ind w:firstLine="480" w:firstLineChars="200"/>
        <w:jc w:val="both"/>
        <w:rPr>
          <w:color w:val="auto"/>
          <w:sz w:val="24"/>
          <w:szCs w:val="24"/>
        </w:rPr>
      </w:pPr>
      <w:r>
        <w:rPr>
          <w:rFonts w:hint="eastAsia"/>
          <w:color w:val="auto"/>
          <w:sz w:val="24"/>
          <w:szCs w:val="24"/>
        </w:rPr>
        <w:t>本项目生产系统危险性识别主要考虑危险废物处理装置、催化剂生产装置、成品库、危险废物贮存库等。具体生产系统危险性识别内容</w:t>
      </w:r>
      <w:r>
        <w:rPr>
          <w:rFonts w:hint="eastAsia"/>
          <w:color w:val="auto"/>
          <w:sz w:val="24"/>
          <w:szCs w:val="24"/>
          <w:lang w:eastAsia="zh-CN"/>
        </w:rPr>
        <w:t>如下</w:t>
      </w:r>
      <w:r>
        <w:rPr>
          <w:rFonts w:hint="eastAsia"/>
          <w:color w:val="auto"/>
          <w:sz w:val="24"/>
          <w:szCs w:val="24"/>
        </w:rPr>
        <w:fldChar w:fldCharType="begin"/>
      </w:r>
      <w:r>
        <w:instrText xml:space="preserve"> REF _Ref12154 \h  \* MERGEFORMAT</w:instrText>
      </w:r>
      <w:r>
        <w:rPr>
          <w:rFonts w:hint="eastAsia"/>
          <w:color w:val="auto"/>
          <w:sz w:val="24"/>
          <w:szCs w:val="24"/>
        </w:rPr>
        <w:fldChar w:fldCharType="separate"/>
      </w: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7.5</w:t>
      </w:r>
      <w:r>
        <w:rPr>
          <w:rFonts w:eastAsia="黑体"/>
          <w:color w:val="auto"/>
          <w:sz w:val="23"/>
          <w:szCs w:val="24"/>
        </w:rPr>
        <w:fldChar w:fldCharType="end"/>
      </w:r>
      <w:r>
        <w:rPr>
          <w:rFonts w:eastAsia="黑体"/>
          <w:color w:val="auto"/>
          <w:sz w:val="23"/>
          <w:szCs w:val="24"/>
        </w:rPr>
        <w:noBreakHyphen/>
      </w:r>
      <w:r>
        <w:rPr>
          <w:rFonts w:hint="eastAsia" w:eastAsia="黑体"/>
          <w:color w:val="auto"/>
          <w:sz w:val="23"/>
          <w:szCs w:val="24"/>
        </w:rPr>
        <w:t>2</w:t>
      </w:r>
      <w:r>
        <w:rPr>
          <w:rFonts w:hint="eastAsia"/>
          <w:color w:val="auto"/>
          <w:sz w:val="24"/>
          <w:szCs w:val="24"/>
        </w:rPr>
        <w:fldChar w:fldCharType="end"/>
      </w:r>
      <w:r>
        <w:rPr>
          <w:rFonts w:hint="eastAsia"/>
          <w:color w:val="auto"/>
          <w:sz w:val="24"/>
          <w:szCs w:val="24"/>
        </w:rPr>
        <w:t>所示。</w:t>
      </w:r>
    </w:p>
    <w:p w14:paraId="262ABBE2">
      <w:pPr>
        <w:spacing w:before="163" w:beforeLines="50"/>
        <w:jc w:val="center"/>
        <w:rPr>
          <w:rFonts w:eastAsia="黑体"/>
          <w:color w:val="auto"/>
          <w:sz w:val="23"/>
          <w:szCs w:val="24"/>
        </w:rPr>
      </w:pPr>
      <w:bookmarkStart w:id="385" w:name="_Ref12154"/>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7.5</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2</w:t>
      </w:r>
      <w:r>
        <w:rPr>
          <w:rFonts w:eastAsia="黑体"/>
          <w:color w:val="auto"/>
          <w:sz w:val="23"/>
          <w:szCs w:val="24"/>
        </w:rPr>
        <w:fldChar w:fldCharType="end"/>
      </w:r>
      <w:bookmarkEnd w:id="385"/>
      <w:r>
        <w:rPr>
          <w:rFonts w:hint="eastAsia" w:eastAsia="黑体"/>
          <w:color w:val="auto"/>
          <w:sz w:val="23"/>
          <w:szCs w:val="24"/>
        </w:rPr>
        <w:t xml:space="preserve">  本项目生产系统危险性识别一览表</w:t>
      </w:r>
    </w:p>
    <w:tbl>
      <w:tblPr>
        <w:tblStyle w:val="2399"/>
        <w:tblW w:w="8504" w:type="dxa"/>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324"/>
        <w:gridCol w:w="1341"/>
        <w:gridCol w:w="1338"/>
        <w:gridCol w:w="900"/>
        <w:gridCol w:w="912"/>
        <w:gridCol w:w="1030"/>
        <w:gridCol w:w="862"/>
        <w:gridCol w:w="1158"/>
        <w:gridCol w:w="639"/>
      </w:tblGrid>
      <w:tr w14:paraId="2814F7C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324" w:type="dxa"/>
            <w:vAlign w:val="center"/>
          </w:tcPr>
          <w:p w14:paraId="507683B9">
            <w:pPr>
              <w:pStyle w:val="129"/>
              <w:widowControl w:val="0"/>
              <w:rPr>
                <w:rFonts w:eastAsia="Times New Roman"/>
                <w:color w:val="auto"/>
              </w:rPr>
            </w:pPr>
            <w:r>
              <w:rPr>
                <w:rFonts w:eastAsia="Times New Roman"/>
                <w:color w:val="auto"/>
              </w:rPr>
              <w:t>序号</w:t>
            </w:r>
          </w:p>
        </w:tc>
        <w:tc>
          <w:tcPr>
            <w:tcW w:w="1341" w:type="dxa"/>
            <w:vAlign w:val="center"/>
          </w:tcPr>
          <w:p w14:paraId="6DA83A01">
            <w:pPr>
              <w:pStyle w:val="129"/>
              <w:widowControl w:val="0"/>
              <w:rPr>
                <w:rFonts w:eastAsia="Times New Roman"/>
                <w:color w:val="auto"/>
              </w:rPr>
            </w:pPr>
            <w:r>
              <w:rPr>
                <w:rFonts w:hint="eastAsia" w:eastAsia="Times New Roman"/>
                <w:color w:val="auto"/>
              </w:rPr>
              <w:t>装置名称</w:t>
            </w:r>
          </w:p>
        </w:tc>
        <w:tc>
          <w:tcPr>
            <w:tcW w:w="1338" w:type="dxa"/>
            <w:vAlign w:val="center"/>
          </w:tcPr>
          <w:p w14:paraId="69C6247C">
            <w:pPr>
              <w:pStyle w:val="129"/>
              <w:widowControl w:val="0"/>
              <w:rPr>
                <w:rFonts w:eastAsia="Times New Roman"/>
                <w:color w:val="auto"/>
              </w:rPr>
            </w:pPr>
            <w:r>
              <w:rPr>
                <w:rFonts w:eastAsia="Times New Roman"/>
                <w:color w:val="auto"/>
              </w:rPr>
              <w:t>主要危险部位</w:t>
            </w:r>
          </w:p>
        </w:tc>
        <w:tc>
          <w:tcPr>
            <w:tcW w:w="900" w:type="dxa"/>
            <w:vAlign w:val="center"/>
          </w:tcPr>
          <w:p w14:paraId="71728714">
            <w:pPr>
              <w:pStyle w:val="129"/>
              <w:widowControl w:val="0"/>
              <w:rPr>
                <w:rFonts w:eastAsia="Times New Roman"/>
                <w:color w:val="auto"/>
              </w:rPr>
            </w:pPr>
            <w:r>
              <w:rPr>
                <w:rFonts w:hint="eastAsia" w:eastAsia="Times New Roman"/>
                <w:color w:val="auto"/>
              </w:rPr>
              <w:t>操作温度（℃）</w:t>
            </w:r>
          </w:p>
        </w:tc>
        <w:tc>
          <w:tcPr>
            <w:tcW w:w="912" w:type="dxa"/>
            <w:vAlign w:val="center"/>
          </w:tcPr>
          <w:p w14:paraId="51B508E5">
            <w:pPr>
              <w:pStyle w:val="129"/>
              <w:widowControl w:val="0"/>
              <w:rPr>
                <w:rFonts w:eastAsia="Times New Roman"/>
                <w:color w:val="auto"/>
              </w:rPr>
            </w:pPr>
            <w:r>
              <w:rPr>
                <w:rFonts w:hint="eastAsia" w:eastAsia="Times New Roman"/>
                <w:color w:val="auto"/>
              </w:rPr>
              <w:t>工作压力（MPa）</w:t>
            </w:r>
          </w:p>
        </w:tc>
        <w:tc>
          <w:tcPr>
            <w:tcW w:w="1030" w:type="dxa"/>
            <w:vAlign w:val="center"/>
          </w:tcPr>
          <w:p w14:paraId="29231222">
            <w:pPr>
              <w:pStyle w:val="129"/>
              <w:widowControl w:val="0"/>
              <w:rPr>
                <w:rFonts w:eastAsia="Times New Roman"/>
                <w:color w:val="auto"/>
              </w:rPr>
            </w:pPr>
            <w:r>
              <w:rPr>
                <w:rFonts w:eastAsia="Times New Roman"/>
                <w:color w:val="auto"/>
              </w:rPr>
              <w:t>主要危险物质</w:t>
            </w:r>
          </w:p>
        </w:tc>
        <w:tc>
          <w:tcPr>
            <w:tcW w:w="862" w:type="dxa"/>
            <w:vAlign w:val="center"/>
          </w:tcPr>
          <w:p w14:paraId="417B6D21">
            <w:pPr>
              <w:pStyle w:val="129"/>
              <w:widowControl w:val="0"/>
              <w:rPr>
                <w:rFonts w:eastAsia="Times New Roman"/>
                <w:color w:val="auto"/>
              </w:rPr>
            </w:pPr>
            <w:r>
              <w:rPr>
                <w:rFonts w:hint="eastAsia" w:eastAsia="Times New Roman"/>
                <w:color w:val="auto"/>
              </w:rPr>
              <w:t>流量（t/h）</w:t>
            </w:r>
          </w:p>
        </w:tc>
        <w:tc>
          <w:tcPr>
            <w:tcW w:w="1158" w:type="dxa"/>
            <w:vAlign w:val="center"/>
          </w:tcPr>
          <w:p w14:paraId="37166F78">
            <w:pPr>
              <w:pStyle w:val="129"/>
              <w:widowControl w:val="0"/>
              <w:rPr>
                <w:rFonts w:eastAsia="Times New Roman"/>
                <w:color w:val="auto"/>
              </w:rPr>
            </w:pPr>
            <w:r>
              <w:rPr>
                <w:rFonts w:hint="eastAsia" w:eastAsia="Times New Roman"/>
                <w:color w:val="auto"/>
              </w:rPr>
              <w:t>风险</w:t>
            </w:r>
            <w:r>
              <w:rPr>
                <w:rFonts w:eastAsia="Times New Roman"/>
                <w:color w:val="auto"/>
              </w:rPr>
              <w:t>类型</w:t>
            </w:r>
          </w:p>
        </w:tc>
        <w:tc>
          <w:tcPr>
            <w:tcW w:w="639" w:type="dxa"/>
            <w:vAlign w:val="center"/>
          </w:tcPr>
          <w:p w14:paraId="72BF1852">
            <w:pPr>
              <w:pStyle w:val="129"/>
              <w:widowControl w:val="0"/>
              <w:rPr>
                <w:rFonts w:eastAsia="Times New Roman"/>
                <w:color w:val="auto"/>
              </w:rPr>
            </w:pPr>
            <w:r>
              <w:rPr>
                <w:rFonts w:eastAsia="Times New Roman"/>
                <w:color w:val="auto"/>
              </w:rPr>
              <w:t>原因</w:t>
            </w:r>
          </w:p>
        </w:tc>
      </w:tr>
      <w:tr w14:paraId="3DD0238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43" w:hRule="atLeast"/>
        </w:trPr>
        <w:tc>
          <w:tcPr>
            <w:tcW w:w="324" w:type="dxa"/>
            <w:vAlign w:val="center"/>
          </w:tcPr>
          <w:p w14:paraId="4773509C">
            <w:pPr>
              <w:pStyle w:val="129"/>
              <w:widowControl w:val="0"/>
              <w:rPr>
                <w:rFonts w:eastAsia="Times New Roman"/>
                <w:color w:val="auto"/>
              </w:rPr>
            </w:pPr>
            <w:r>
              <w:rPr>
                <w:rFonts w:hint="eastAsia" w:eastAsia="Times New Roman"/>
                <w:color w:val="auto"/>
              </w:rPr>
              <w:t>1</w:t>
            </w:r>
          </w:p>
        </w:tc>
        <w:tc>
          <w:tcPr>
            <w:tcW w:w="1341" w:type="dxa"/>
            <w:vAlign w:val="center"/>
          </w:tcPr>
          <w:p w14:paraId="2DE8420C">
            <w:pPr>
              <w:pStyle w:val="129"/>
              <w:widowControl w:val="0"/>
              <w:rPr>
                <w:rFonts w:eastAsia="Times New Roman"/>
                <w:color w:val="auto"/>
              </w:rPr>
            </w:pPr>
            <w:r>
              <w:rPr>
                <w:rFonts w:hint="eastAsia" w:eastAsia="Times New Roman"/>
                <w:color w:val="auto"/>
              </w:rPr>
              <w:t>锅炉</w:t>
            </w:r>
          </w:p>
        </w:tc>
        <w:tc>
          <w:tcPr>
            <w:tcW w:w="1338" w:type="dxa"/>
            <w:vAlign w:val="center"/>
          </w:tcPr>
          <w:p w14:paraId="423A83E0">
            <w:pPr>
              <w:pStyle w:val="129"/>
              <w:widowControl w:val="0"/>
              <w:rPr>
                <w:rFonts w:eastAsia="Times New Roman"/>
                <w:color w:val="auto"/>
              </w:rPr>
            </w:pPr>
            <w:r>
              <w:rPr>
                <w:rFonts w:hint="eastAsia" w:eastAsia="Times New Roman"/>
                <w:color w:val="auto"/>
              </w:rPr>
              <w:t>燃气锅炉及管道</w:t>
            </w:r>
          </w:p>
        </w:tc>
        <w:tc>
          <w:tcPr>
            <w:tcW w:w="900" w:type="dxa"/>
            <w:vAlign w:val="center"/>
          </w:tcPr>
          <w:p w14:paraId="59E20715">
            <w:pPr>
              <w:pStyle w:val="129"/>
              <w:widowControl w:val="0"/>
              <w:rPr>
                <w:rFonts w:eastAsia="Times New Roman"/>
                <w:color w:val="auto"/>
              </w:rPr>
            </w:pPr>
            <w:r>
              <w:rPr>
                <w:rFonts w:hint="eastAsia" w:eastAsia="Times New Roman"/>
                <w:color w:val="auto"/>
              </w:rPr>
              <w:t>/</w:t>
            </w:r>
          </w:p>
        </w:tc>
        <w:tc>
          <w:tcPr>
            <w:tcW w:w="912" w:type="dxa"/>
            <w:vAlign w:val="center"/>
          </w:tcPr>
          <w:p w14:paraId="4F36A13F">
            <w:pPr>
              <w:pStyle w:val="129"/>
              <w:widowControl w:val="0"/>
              <w:rPr>
                <w:rFonts w:eastAsia="Times New Roman"/>
                <w:color w:val="auto"/>
              </w:rPr>
            </w:pPr>
            <w:r>
              <w:rPr>
                <w:rFonts w:hint="eastAsia" w:eastAsia="Times New Roman"/>
                <w:color w:val="auto"/>
              </w:rPr>
              <w:t>/</w:t>
            </w:r>
          </w:p>
        </w:tc>
        <w:tc>
          <w:tcPr>
            <w:tcW w:w="1030" w:type="dxa"/>
            <w:vAlign w:val="center"/>
          </w:tcPr>
          <w:p w14:paraId="7DD4C7F2">
            <w:pPr>
              <w:pStyle w:val="129"/>
              <w:widowControl w:val="0"/>
              <w:rPr>
                <w:rFonts w:eastAsia="Times New Roman"/>
                <w:color w:val="auto"/>
              </w:rPr>
            </w:pPr>
            <w:r>
              <w:rPr>
                <w:rFonts w:hint="eastAsia" w:eastAsia="Times New Roman"/>
                <w:color w:val="auto"/>
              </w:rPr>
              <w:t>天然气</w:t>
            </w:r>
          </w:p>
        </w:tc>
        <w:tc>
          <w:tcPr>
            <w:tcW w:w="862" w:type="dxa"/>
            <w:vAlign w:val="center"/>
          </w:tcPr>
          <w:p w14:paraId="67079BDA">
            <w:pPr>
              <w:pStyle w:val="129"/>
              <w:widowControl w:val="0"/>
              <w:rPr>
                <w:rFonts w:eastAsia="Times New Roman"/>
                <w:color w:val="auto"/>
              </w:rPr>
            </w:pPr>
            <w:r>
              <w:rPr>
                <w:rFonts w:hint="eastAsia" w:eastAsia="Times New Roman"/>
                <w:color w:val="auto"/>
              </w:rPr>
              <w:t>0.14</w:t>
            </w:r>
          </w:p>
        </w:tc>
        <w:tc>
          <w:tcPr>
            <w:tcW w:w="1158" w:type="dxa"/>
            <w:vAlign w:val="center"/>
          </w:tcPr>
          <w:p w14:paraId="29F2EDA9">
            <w:pPr>
              <w:pStyle w:val="129"/>
              <w:widowControl w:val="0"/>
              <w:rPr>
                <w:rFonts w:eastAsia="Times New Roman"/>
                <w:color w:val="auto"/>
              </w:rPr>
            </w:pPr>
            <w:r>
              <w:rPr>
                <w:rFonts w:hint="eastAsia" w:eastAsia="Times New Roman"/>
                <w:color w:val="auto"/>
              </w:rPr>
              <w:t>存在天然气泄漏、中毒、火灾的风险</w:t>
            </w:r>
          </w:p>
        </w:tc>
        <w:tc>
          <w:tcPr>
            <w:tcW w:w="639" w:type="dxa"/>
            <w:vMerge w:val="restart"/>
            <w:vAlign w:val="center"/>
          </w:tcPr>
          <w:p w14:paraId="679442B6">
            <w:pPr>
              <w:pStyle w:val="129"/>
              <w:widowControl w:val="0"/>
              <w:rPr>
                <w:rFonts w:eastAsia="Times New Roman"/>
                <w:color w:val="auto"/>
              </w:rPr>
            </w:pPr>
            <w:r>
              <w:rPr>
                <w:rFonts w:eastAsia="Times New Roman"/>
                <w:color w:val="auto"/>
              </w:rPr>
              <w:t>温度、压力等控制不当、误操作、装置破损</w:t>
            </w:r>
          </w:p>
        </w:tc>
      </w:tr>
      <w:tr w14:paraId="30D5AD0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43" w:hRule="atLeast"/>
        </w:trPr>
        <w:tc>
          <w:tcPr>
            <w:tcW w:w="324" w:type="dxa"/>
            <w:vMerge w:val="restart"/>
            <w:vAlign w:val="center"/>
          </w:tcPr>
          <w:p w14:paraId="74F08D1E">
            <w:pPr>
              <w:pStyle w:val="129"/>
              <w:widowControl w:val="0"/>
              <w:rPr>
                <w:rFonts w:eastAsia="Times New Roman"/>
                <w:color w:val="auto"/>
              </w:rPr>
            </w:pPr>
            <w:r>
              <w:rPr>
                <w:rFonts w:hint="eastAsia" w:eastAsia="Times New Roman"/>
                <w:color w:val="auto"/>
              </w:rPr>
              <w:t>2</w:t>
            </w:r>
          </w:p>
        </w:tc>
        <w:tc>
          <w:tcPr>
            <w:tcW w:w="1341" w:type="dxa"/>
            <w:vMerge w:val="restart"/>
            <w:vAlign w:val="center"/>
          </w:tcPr>
          <w:p w14:paraId="4B62C13E">
            <w:pPr>
              <w:pStyle w:val="129"/>
              <w:widowControl w:val="0"/>
              <w:rPr>
                <w:rFonts w:eastAsia="Times New Roman"/>
                <w:color w:val="auto"/>
              </w:rPr>
            </w:pPr>
            <w:r>
              <w:rPr>
                <w:rFonts w:hint="eastAsia" w:eastAsia="Times New Roman"/>
                <w:color w:val="auto"/>
              </w:rPr>
              <w:t>含</w:t>
            </w:r>
            <w:r>
              <w:rPr>
                <w:rFonts w:eastAsia="Times New Roman"/>
                <w:color w:val="auto"/>
              </w:rPr>
              <w:t>硝酸铝废酸液处理</w:t>
            </w:r>
            <w:r>
              <w:rPr>
                <w:rFonts w:hint="eastAsia" w:eastAsia="Times New Roman"/>
                <w:color w:val="auto"/>
              </w:rPr>
              <w:t>装置</w:t>
            </w:r>
          </w:p>
        </w:tc>
        <w:tc>
          <w:tcPr>
            <w:tcW w:w="1338" w:type="dxa"/>
            <w:vMerge w:val="restart"/>
            <w:vAlign w:val="center"/>
          </w:tcPr>
          <w:p w14:paraId="269C3F6B">
            <w:pPr>
              <w:pStyle w:val="129"/>
              <w:widowControl w:val="0"/>
              <w:rPr>
                <w:rFonts w:eastAsia="Times New Roman"/>
                <w:color w:val="auto"/>
              </w:rPr>
            </w:pPr>
            <w:r>
              <w:rPr>
                <w:rFonts w:hint="eastAsia" w:eastAsia="Times New Roman"/>
                <w:color w:val="auto"/>
              </w:rPr>
              <w:t>反应釜、MVR、混合反应釜</w:t>
            </w:r>
          </w:p>
        </w:tc>
        <w:tc>
          <w:tcPr>
            <w:tcW w:w="900" w:type="dxa"/>
            <w:vMerge w:val="restart"/>
            <w:vAlign w:val="center"/>
          </w:tcPr>
          <w:p w14:paraId="5339A1D2">
            <w:pPr>
              <w:pStyle w:val="129"/>
              <w:widowControl w:val="0"/>
              <w:rPr>
                <w:rFonts w:eastAsia="Times New Roman"/>
                <w:color w:val="auto"/>
              </w:rPr>
            </w:pPr>
            <w:r>
              <w:rPr>
                <w:rFonts w:hint="eastAsia" w:eastAsia="Times New Roman"/>
                <w:color w:val="auto"/>
              </w:rPr>
              <w:t>40–80℃</w:t>
            </w:r>
          </w:p>
        </w:tc>
        <w:tc>
          <w:tcPr>
            <w:tcW w:w="912" w:type="dxa"/>
            <w:vMerge w:val="restart"/>
            <w:vAlign w:val="center"/>
          </w:tcPr>
          <w:p w14:paraId="6501C6BC">
            <w:pPr>
              <w:pStyle w:val="129"/>
              <w:widowControl w:val="0"/>
              <w:rPr>
                <w:rFonts w:eastAsia="Times New Roman"/>
                <w:color w:val="auto"/>
              </w:rPr>
            </w:pPr>
            <w:r>
              <w:rPr>
                <w:rFonts w:hint="eastAsia" w:eastAsia="Times New Roman"/>
                <w:color w:val="auto"/>
              </w:rPr>
              <w:t>常压</w:t>
            </w:r>
          </w:p>
        </w:tc>
        <w:tc>
          <w:tcPr>
            <w:tcW w:w="1030" w:type="dxa"/>
            <w:vAlign w:val="center"/>
          </w:tcPr>
          <w:p w14:paraId="10320526">
            <w:pPr>
              <w:pStyle w:val="129"/>
              <w:widowControl w:val="0"/>
              <w:rPr>
                <w:rFonts w:eastAsia="Times New Roman"/>
                <w:color w:val="auto"/>
              </w:rPr>
            </w:pPr>
            <w:r>
              <w:rPr>
                <w:rFonts w:hint="eastAsia" w:eastAsia="Times New Roman"/>
                <w:color w:val="auto"/>
              </w:rPr>
              <w:t>含硝酸铝废酸液</w:t>
            </w:r>
          </w:p>
        </w:tc>
        <w:tc>
          <w:tcPr>
            <w:tcW w:w="862" w:type="dxa"/>
            <w:vAlign w:val="center"/>
          </w:tcPr>
          <w:p w14:paraId="69FC3707">
            <w:pPr>
              <w:pStyle w:val="129"/>
              <w:widowControl w:val="0"/>
              <w:rPr>
                <w:rFonts w:eastAsia="Times New Roman"/>
                <w:color w:val="auto"/>
              </w:rPr>
            </w:pPr>
            <w:r>
              <w:rPr>
                <w:rFonts w:hint="eastAsia" w:eastAsia="Times New Roman"/>
                <w:color w:val="auto"/>
              </w:rPr>
              <w:t>3.6</w:t>
            </w:r>
          </w:p>
        </w:tc>
        <w:tc>
          <w:tcPr>
            <w:tcW w:w="1158" w:type="dxa"/>
            <w:vMerge w:val="restart"/>
            <w:vAlign w:val="center"/>
          </w:tcPr>
          <w:p w14:paraId="0BD7F88A">
            <w:pPr>
              <w:pStyle w:val="129"/>
              <w:widowControl w:val="0"/>
              <w:rPr>
                <w:rFonts w:eastAsia="Times New Roman"/>
                <w:color w:val="auto"/>
              </w:rPr>
            </w:pPr>
            <w:r>
              <w:rPr>
                <w:rFonts w:eastAsia="Times New Roman"/>
                <w:color w:val="auto"/>
              </w:rPr>
              <w:t>泄漏</w:t>
            </w:r>
            <w:r>
              <w:rPr>
                <w:rFonts w:hint="eastAsia" w:eastAsia="Times New Roman"/>
                <w:color w:val="auto"/>
              </w:rPr>
              <w:t>造成</w:t>
            </w:r>
            <w:r>
              <w:rPr>
                <w:rFonts w:eastAsia="Times New Roman"/>
                <w:color w:val="auto"/>
              </w:rPr>
              <w:t>中毒</w:t>
            </w:r>
            <w:r>
              <w:rPr>
                <w:rFonts w:hint="eastAsia" w:eastAsia="Times New Roman"/>
                <w:color w:val="auto"/>
              </w:rPr>
              <w:t>、污染</w:t>
            </w:r>
          </w:p>
        </w:tc>
        <w:tc>
          <w:tcPr>
            <w:tcW w:w="639" w:type="dxa"/>
            <w:vMerge w:val="continue"/>
            <w:vAlign w:val="center"/>
          </w:tcPr>
          <w:p w14:paraId="7766764F">
            <w:pPr>
              <w:pStyle w:val="129"/>
              <w:widowControl w:val="0"/>
              <w:rPr>
                <w:rFonts w:eastAsia="Times New Roman"/>
                <w:color w:val="auto"/>
              </w:rPr>
            </w:pPr>
          </w:p>
        </w:tc>
      </w:tr>
      <w:tr w14:paraId="78BFD8E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22" w:hRule="atLeast"/>
        </w:trPr>
        <w:tc>
          <w:tcPr>
            <w:tcW w:w="324" w:type="dxa"/>
            <w:vMerge w:val="continue"/>
            <w:vAlign w:val="center"/>
          </w:tcPr>
          <w:p w14:paraId="105C0152">
            <w:pPr>
              <w:pStyle w:val="129"/>
              <w:widowControl w:val="0"/>
              <w:rPr>
                <w:rFonts w:eastAsia="Times New Roman"/>
                <w:color w:val="auto"/>
              </w:rPr>
            </w:pPr>
          </w:p>
        </w:tc>
        <w:tc>
          <w:tcPr>
            <w:tcW w:w="1341" w:type="dxa"/>
            <w:vMerge w:val="continue"/>
            <w:vAlign w:val="center"/>
          </w:tcPr>
          <w:p w14:paraId="34AB7278">
            <w:pPr>
              <w:pStyle w:val="129"/>
              <w:widowControl w:val="0"/>
              <w:rPr>
                <w:rFonts w:eastAsia="Times New Roman"/>
                <w:color w:val="auto"/>
              </w:rPr>
            </w:pPr>
          </w:p>
        </w:tc>
        <w:tc>
          <w:tcPr>
            <w:tcW w:w="1338" w:type="dxa"/>
            <w:vMerge w:val="continue"/>
            <w:vAlign w:val="center"/>
          </w:tcPr>
          <w:p w14:paraId="30532A9B">
            <w:pPr>
              <w:pStyle w:val="129"/>
              <w:widowControl w:val="0"/>
              <w:rPr>
                <w:rFonts w:eastAsia="Times New Roman"/>
                <w:color w:val="auto"/>
              </w:rPr>
            </w:pPr>
          </w:p>
        </w:tc>
        <w:tc>
          <w:tcPr>
            <w:tcW w:w="900" w:type="dxa"/>
            <w:vMerge w:val="continue"/>
            <w:vAlign w:val="center"/>
          </w:tcPr>
          <w:p w14:paraId="01963AF4">
            <w:pPr>
              <w:pStyle w:val="129"/>
              <w:widowControl w:val="0"/>
              <w:rPr>
                <w:rFonts w:eastAsia="Times New Roman"/>
                <w:color w:val="auto"/>
              </w:rPr>
            </w:pPr>
          </w:p>
        </w:tc>
        <w:tc>
          <w:tcPr>
            <w:tcW w:w="912" w:type="dxa"/>
            <w:vMerge w:val="continue"/>
            <w:vAlign w:val="center"/>
          </w:tcPr>
          <w:p w14:paraId="7B60506B">
            <w:pPr>
              <w:pStyle w:val="129"/>
              <w:widowControl w:val="0"/>
              <w:rPr>
                <w:rFonts w:eastAsia="Times New Roman"/>
                <w:color w:val="auto"/>
              </w:rPr>
            </w:pPr>
          </w:p>
        </w:tc>
        <w:tc>
          <w:tcPr>
            <w:tcW w:w="1030" w:type="dxa"/>
            <w:vAlign w:val="center"/>
          </w:tcPr>
          <w:p w14:paraId="38FA1867">
            <w:pPr>
              <w:pStyle w:val="129"/>
              <w:widowControl w:val="0"/>
              <w:rPr>
                <w:rFonts w:eastAsia="Times New Roman"/>
                <w:color w:val="auto"/>
              </w:rPr>
            </w:pPr>
            <w:r>
              <w:rPr>
                <w:rFonts w:hint="eastAsia" w:eastAsia="Times New Roman"/>
                <w:color w:val="auto"/>
              </w:rPr>
              <w:t>氨水</w:t>
            </w:r>
          </w:p>
        </w:tc>
        <w:tc>
          <w:tcPr>
            <w:tcW w:w="862" w:type="dxa"/>
            <w:vAlign w:val="center"/>
          </w:tcPr>
          <w:p w14:paraId="6D86EC46">
            <w:pPr>
              <w:pStyle w:val="129"/>
              <w:widowControl w:val="0"/>
              <w:rPr>
                <w:rFonts w:eastAsia="Times New Roman"/>
                <w:color w:val="auto"/>
              </w:rPr>
            </w:pPr>
            <w:r>
              <w:rPr>
                <w:rFonts w:hint="eastAsia" w:eastAsia="Times New Roman"/>
                <w:color w:val="auto"/>
              </w:rPr>
              <w:t>2.25</w:t>
            </w:r>
          </w:p>
        </w:tc>
        <w:tc>
          <w:tcPr>
            <w:tcW w:w="1158" w:type="dxa"/>
            <w:vMerge w:val="continue"/>
            <w:vAlign w:val="center"/>
          </w:tcPr>
          <w:p w14:paraId="6C2336DB">
            <w:pPr>
              <w:pStyle w:val="129"/>
              <w:widowControl w:val="0"/>
              <w:rPr>
                <w:rFonts w:eastAsia="Times New Roman"/>
                <w:color w:val="auto"/>
              </w:rPr>
            </w:pPr>
          </w:p>
        </w:tc>
        <w:tc>
          <w:tcPr>
            <w:tcW w:w="639" w:type="dxa"/>
            <w:vMerge w:val="continue"/>
            <w:vAlign w:val="center"/>
          </w:tcPr>
          <w:p w14:paraId="1DFC7276">
            <w:pPr>
              <w:pStyle w:val="129"/>
              <w:widowControl w:val="0"/>
              <w:rPr>
                <w:rFonts w:eastAsia="Times New Roman"/>
                <w:color w:val="auto"/>
              </w:rPr>
            </w:pPr>
          </w:p>
        </w:tc>
      </w:tr>
      <w:tr w14:paraId="5247EE5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324" w:type="dxa"/>
            <w:vMerge w:val="continue"/>
            <w:vAlign w:val="center"/>
          </w:tcPr>
          <w:p w14:paraId="72F207E9">
            <w:pPr>
              <w:pStyle w:val="129"/>
              <w:widowControl w:val="0"/>
              <w:rPr>
                <w:rFonts w:eastAsia="Times New Roman"/>
                <w:color w:val="auto"/>
              </w:rPr>
            </w:pPr>
          </w:p>
        </w:tc>
        <w:tc>
          <w:tcPr>
            <w:tcW w:w="1341" w:type="dxa"/>
            <w:vMerge w:val="continue"/>
            <w:vAlign w:val="center"/>
          </w:tcPr>
          <w:p w14:paraId="4A2673C0">
            <w:pPr>
              <w:pStyle w:val="129"/>
              <w:widowControl w:val="0"/>
              <w:rPr>
                <w:rFonts w:eastAsia="Times New Roman"/>
                <w:color w:val="auto"/>
              </w:rPr>
            </w:pPr>
          </w:p>
        </w:tc>
        <w:tc>
          <w:tcPr>
            <w:tcW w:w="1338" w:type="dxa"/>
            <w:vMerge w:val="continue"/>
            <w:vAlign w:val="center"/>
          </w:tcPr>
          <w:p w14:paraId="40335B33">
            <w:pPr>
              <w:pStyle w:val="129"/>
              <w:widowControl w:val="0"/>
              <w:rPr>
                <w:rFonts w:eastAsia="Times New Roman"/>
                <w:color w:val="auto"/>
              </w:rPr>
            </w:pPr>
          </w:p>
        </w:tc>
        <w:tc>
          <w:tcPr>
            <w:tcW w:w="900" w:type="dxa"/>
            <w:vMerge w:val="continue"/>
            <w:vAlign w:val="center"/>
          </w:tcPr>
          <w:p w14:paraId="0D3E9430">
            <w:pPr>
              <w:pStyle w:val="129"/>
              <w:widowControl w:val="0"/>
              <w:rPr>
                <w:rFonts w:eastAsia="Times New Roman"/>
                <w:color w:val="auto"/>
              </w:rPr>
            </w:pPr>
          </w:p>
        </w:tc>
        <w:tc>
          <w:tcPr>
            <w:tcW w:w="912" w:type="dxa"/>
            <w:vMerge w:val="continue"/>
            <w:vAlign w:val="center"/>
          </w:tcPr>
          <w:p w14:paraId="34C7B50D">
            <w:pPr>
              <w:pStyle w:val="129"/>
              <w:widowControl w:val="0"/>
              <w:rPr>
                <w:rFonts w:eastAsia="Times New Roman"/>
                <w:color w:val="auto"/>
              </w:rPr>
            </w:pPr>
          </w:p>
        </w:tc>
        <w:tc>
          <w:tcPr>
            <w:tcW w:w="1030" w:type="dxa"/>
            <w:vAlign w:val="center"/>
          </w:tcPr>
          <w:p w14:paraId="6C7995BA">
            <w:pPr>
              <w:pStyle w:val="129"/>
              <w:widowControl w:val="0"/>
              <w:rPr>
                <w:rFonts w:eastAsia="Times New Roman"/>
                <w:color w:val="auto"/>
              </w:rPr>
            </w:pPr>
            <w:r>
              <w:rPr>
                <w:rFonts w:hint="eastAsia" w:eastAsia="Times New Roman"/>
                <w:color w:val="auto"/>
              </w:rPr>
              <w:t>硝酸铵</w:t>
            </w:r>
          </w:p>
        </w:tc>
        <w:tc>
          <w:tcPr>
            <w:tcW w:w="862" w:type="dxa"/>
            <w:vAlign w:val="center"/>
          </w:tcPr>
          <w:p w14:paraId="0F71F0E4">
            <w:pPr>
              <w:pStyle w:val="129"/>
              <w:widowControl w:val="0"/>
              <w:rPr>
                <w:rFonts w:eastAsia="Times New Roman"/>
                <w:color w:val="auto"/>
              </w:rPr>
            </w:pPr>
            <w:r>
              <w:rPr>
                <w:rFonts w:hint="eastAsia" w:eastAsia="Times New Roman"/>
                <w:color w:val="auto"/>
              </w:rPr>
              <w:t>5.14</w:t>
            </w:r>
          </w:p>
        </w:tc>
        <w:tc>
          <w:tcPr>
            <w:tcW w:w="1158" w:type="dxa"/>
            <w:vAlign w:val="center"/>
          </w:tcPr>
          <w:p w14:paraId="21331919">
            <w:pPr>
              <w:pStyle w:val="129"/>
              <w:widowControl w:val="0"/>
              <w:rPr>
                <w:rFonts w:eastAsia="Times New Roman"/>
                <w:color w:val="auto"/>
              </w:rPr>
            </w:pPr>
            <w:r>
              <w:rPr>
                <w:rFonts w:hint="eastAsia" w:eastAsia="Times New Roman"/>
                <w:color w:val="auto"/>
              </w:rPr>
              <w:t>泄漏可能引起爆炸</w:t>
            </w:r>
          </w:p>
        </w:tc>
        <w:tc>
          <w:tcPr>
            <w:tcW w:w="639" w:type="dxa"/>
            <w:vMerge w:val="continue"/>
            <w:vAlign w:val="center"/>
          </w:tcPr>
          <w:p w14:paraId="40568563">
            <w:pPr>
              <w:pStyle w:val="129"/>
              <w:widowControl w:val="0"/>
              <w:rPr>
                <w:rFonts w:eastAsia="Times New Roman"/>
                <w:color w:val="auto"/>
              </w:rPr>
            </w:pPr>
          </w:p>
        </w:tc>
      </w:tr>
      <w:tr w14:paraId="095A1A1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324" w:type="dxa"/>
            <w:vMerge w:val="restart"/>
            <w:vAlign w:val="center"/>
          </w:tcPr>
          <w:p w14:paraId="2C909053">
            <w:pPr>
              <w:pStyle w:val="129"/>
              <w:widowControl w:val="0"/>
              <w:rPr>
                <w:rFonts w:eastAsia="Times New Roman"/>
                <w:color w:val="auto"/>
              </w:rPr>
            </w:pPr>
            <w:r>
              <w:rPr>
                <w:rFonts w:hint="eastAsia" w:eastAsia="Times New Roman"/>
                <w:color w:val="auto"/>
              </w:rPr>
              <w:t>3</w:t>
            </w:r>
          </w:p>
        </w:tc>
        <w:tc>
          <w:tcPr>
            <w:tcW w:w="1341" w:type="dxa"/>
            <w:vMerge w:val="restart"/>
            <w:vAlign w:val="center"/>
          </w:tcPr>
          <w:p w14:paraId="40FD8383">
            <w:pPr>
              <w:pStyle w:val="129"/>
              <w:widowControl w:val="0"/>
              <w:rPr>
                <w:rFonts w:eastAsia="Times New Roman"/>
                <w:color w:val="auto"/>
              </w:rPr>
            </w:pPr>
            <w:r>
              <w:rPr>
                <w:rFonts w:hint="eastAsia" w:eastAsia="Times New Roman"/>
                <w:color w:val="auto"/>
              </w:rPr>
              <w:t>含磷酸二氢铝废酸液处理装置</w:t>
            </w:r>
          </w:p>
        </w:tc>
        <w:tc>
          <w:tcPr>
            <w:tcW w:w="1338" w:type="dxa"/>
            <w:vMerge w:val="restart"/>
            <w:vAlign w:val="center"/>
          </w:tcPr>
          <w:p w14:paraId="58AB1DBE">
            <w:pPr>
              <w:pStyle w:val="129"/>
              <w:widowControl w:val="0"/>
              <w:rPr>
                <w:rFonts w:eastAsia="Times New Roman"/>
                <w:color w:val="auto"/>
              </w:rPr>
            </w:pPr>
            <w:r>
              <w:rPr>
                <w:rFonts w:hint="eastAsia" w:eastAsia="Times New Roman"/>
                <w:color w:val="auto"/>
              </w:rPr>
              <w:t>离子交换器</w:t>
            </w:r>
          </w:p>
        </w:tc>
        <w:tc>
          <w:tcPr>
            <w:tcW w:w="900" w:type="dxa"/>
            <w:vMerge w:val="restart"/>
            <w:vAlign w:val="center"/>
          </w:tcPr>
          <w:p w14:paraId="37A0E41B">
            <w:pPr>
              <w:pStyle w:val="129"/>
              <w:widowControl w:val="0"/>
              <w:rPr>
                <w:rFonts w:eastAsia="Times New Roman"/>
                <w:color w:val="auto"/>
              </w:rPr>
            </w:pPr>
            <w:r>
              <w:rPr>
                <w:rFonts w:hint="eastAsia" w:eastAsia="Times New Roman"/>
                <w:color w:val="auto"/>
              </w:rPr>
              <w:t>常温</w:t>
            </w:r>
          </w:p>
        </w:tc>
        <w:tc>
          <w:tcPr>
            <w:tcW w:w="912" w:type="dxa"/>
            <w:vMerge w:val="restart"/>
            <w:vAlign w:val="center"/>
          </w:tcPr>
          <w:p w14:paraId="325BB0BB">
            <w:pPr>
              <w:pStyle w:val="129"/>
              <w:widowControl w:val="0"/>
              <w:rPr>
                <w:rFonts w:eastAsia="Times New Roman"/>
                <w:color w:val="auto"/>
              </w:rPr>
            </w:pPr>
            <w:r>
              <w:rPr>
                <w:rFonts w:hint="eastAsia" w:eastAsia="Times New Roman"/>
                <w:color w:val="auto"/>
              </w:rPr>
              <w:t>常压</w:t>
            </w:r>
          </w:p>
        </w:tc>
        <w:tc>
          <w:tcPr>
            <w:tcW w:w="1030" w:type="dxa"/>
            <w:vAlign w:val="center"/>
          </w:tcPr>
          <w:p w14:paraId="0297D65F">
            <w:pPr>
              <w:pStyle w:val="129"/>
              <w:widowControl w:val="0"/>
              <w:rPr>
                <w:rFonts w:eastAsia="Times New Roman"/>
                <w:color w:val="auto"/>
              </w:rPr>
            </w:pPr>
            <w:r>
              <w:rPr>
                <w:rFonts w:hint="eastAsia" w:eastAsia="Times New Roman"/>
                <w:color w:val="auto"/>
              </w:rPr>
              <w:t>磷酸</w:t>
            </w:r>
          </w:p>
        </w:tc>
        <w:tc>
          <w:tcPr>
            <w:tcW w:w="862" w:type="dxa"/>
            <w:vAlign w:val="center"/>
          </w:tcPr>
          <w:p w14:paraId="1607A539">
            <w:pPr>
              <w:pStyle w:val="129"/>
              <w:widowControl w:val="0"/>
              <w:rPr>
                <w:rFonts w:eastAsia="Times New Roman"/>
                <w:color w:val="auto"/>
              </w:rPr>
            </w:pPr>
            <w:r>
              <w:rPr>
                <w:rFonts w:hint="eastAsia" w:eastAsia="Times New Roman"/>
                <w:color w:val="auto"/>
              </w:rPr>
              <w:t>0.16</w:t>
            </w:r>
          </w:p>
        </w:tc>
        <w:tc>
          <w:tcPr>
            <w:tcW w:w="1158" w:type="dxa"/>
            <w:vAlign w:val="center"/>
          </w:tcPr>
          <w:p w14:paraId="3E5A43B7">
            <w:pPr>
              <w:pStyle w:val="129"/>
              <w:widowControl w:val="0"/>
              <w:rPr>
                <w:rFonts w:eastAsia="Times New Roman"/>
                <w:color w:val="auto"/>
              </w:rPr>
            </w:pPr>
            <w:r>
              <w:rPr>
                <w:rFonts w:eastAsia="Times New Roman"/>
                <w:color w:val="auto"/>
              </w:rPr>
              <w:t>泄漏</w:t>
            </w:r>
            <w:r>
              <w:rPr>
                <w:rFonts w:hint="eastAsia" w:eastAsia="Times New Roman"/>
                <w:color w:val="auto"/>
              </w:rPr>
              <w:t>造成</w:t>
            </w:r>
            <w:r>
              <w:rPr>
                <w:rFonts w:eastAsia="Times New Roman"/>
                <w:color w:val="auto"/>
              </w:rPr>
              <w:t>中毒</w:t>
            </w:r>
            <w:r>
              <w:rPr>
                <w:rFonts w:hint="eastAsia" w:eastAsia="Times New Roman"/>
                <w:color w:val="auto"/>
              </w:rPr>
              <w:t>、污染</w:t>
            </w:r>
          </w:p>
        </w:tc>
        <w:tc>
          <w:tcPr>
            <w:tcW w:w="639" w:type="dxa"/>
            <w:vMerge w:val="continue"/>
            <w:vAlign w:val="center"/>
          </w:tcPr>
          <w:p w14:paraId="27E4A351">
            <w:pPr>
              <w:pStyle w:val="129"/>
              <w:widowControl w:val="0"/>
              <w:rPr>
                <w:rFonts w:eastAsia="Times New Roman"/>
                <w:color w:val="auto"/>
              </w:rPr>
            </w:pPr>
          </w:p>
        </w:tc>
      </w:tr>
      <w:tr w14:paraId="73E5597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324" w:type="dxa"/>
            <w:vMerge w:val="continue"/>
            <w:vAlign w:val="center"/>
          </w:tcPr>
          <w:p w14:paraId="60A8B382">
            <w:pPr>
              <w:pStyle w:val="129"/>
              <w:widowControl w:val="0"/>
              <w:rPr>
                <w:rFonts w:eastAsia="Times New Roman"/>
                <w:color w:val="auto"/>
              </w:rPr>
            </w:pPr>
          </w:p>
        </w:tc>
        <w:tc>
          <w:tcPr>
            <w:tcW w:w="1341" w:type="dxa"/>
            <w:vMerge w:val="continue"/>
            <w:vAlign w:val="center"/>
          </w:tcPr>
          <w:p w14:paraId="42FB6E6C">
            <w:pPr>
              <w:pStyle w:val="129"/>
              <w:widowControl w:val="0"/>
              <w:rPr>
                <w:rFonts w:eastAsia="Times New Roman"/>
                <w:color w:val="auto"/>
              </w:rPr>
            </w:pPr>
          </w:p>
        </w:tc>
        <w:tc>
          <w:tcPr>
            <w:tcW w:w="1338" w:type="dxa"/>
            <w:vMerge w:val="continue"/>
            <w:vAlign w:val="center"/>
          </w:tcPr>
          <w:p w14:paraId="42C80A2A">
            <w:pPr>
              <w:pStyle w:val="129"/>
              <w:widowControl w:val="0"/>
              <w:rPr>
                <w:rFonts w:eastAsia="Times New Roman"/>
                <w:color w:val="auto"/>
              </w:rPr>
            </w:pPr>
          </w:p>
        </w:tc>
        <w:tc>
          <w:tcPr>
            <w:tcW w:w="900" w:type="dxa"/>
            <w:vMerge w:val="continue"/>
            <w:vAlign w:val="center"/>
          </w:tcPr>
          <w:p w14:paraId="0F3ABA70">
            <w:pPr>
              <w:pStyle w:val="129"/>
              <w:widowControl w:val="0"/>
              <w:rPr>
                <w:rFonts w:eastAsia="Times New Roman"/>
                <w:color w:val="auto"/>
              </w:rPr>
            </w:pPr>
          </w:p>
        </w:tc>
        <w:tc>
          <w:tcPr>
            <w:tcW w:w="912" w:type="dxa"/>
            <w:vMerge w:val="continue"/>
            <w:vAlign w:val="center"/>
          </w:tcPr>
          <w:p w14:paraId="5B0F119C">
            <w:pPr>
              <w:pStyle w:val="129"/>
              <w:widowControl w:val="0"/>
              <w:rPr>
                <w:rFonts w:eastAsia="Times New Roman"/>
                <w:color w:val="auto"/>
              </w:rPr>
            </w:pPr>
          </w:p>
        </w:tc>
        <w:tc>
          <w:tcPr>
            <w:tcW w:w="1030" w:type="dxa"/>
            <w:vAlign w:val="center"/>
          </w:tcPr>
          <w:p w14:paraId="6C236CFA">
            <w:pPr>
              <w:pStyle w:val="129"/>
              <w:widowControl w:val="0"/>
              <w:rPr>
                <w:rFonts w:eastAsia="Times New Roman"/>
                <w:color w:val="auto"/>
              </w:rPr>
            </w:pPr>
            <w:r>
              <w:rPr>
                <w:rFonts w:hint="eastAsia" w:eastAsia="Times New Roman"/>
                <w:color w:val="auto"/>
              </w:rPr>
              <w:t>硫酸</w:t>
            </w:r>
          </w:p>
        </w:tc>
        <w:tc>
          <w:tcPr>
            <w:tcW w:w="862" w:type="dxa"/>
            <w:vAlign w:val="center"/>
          </w:tcPr>
          <w:p w14:paraId="2618B4D3">
            <w:pPr>
              <w:pStyle w:val="129"/>
              <w:widowControl w:val="0"/>
              <w:rPr>
                <w:rFonts w:eastAsia="Times New Roman"/>
                <w:color w:val="auto"/>
              </w:rPr>
            </w:pPr>
            <w:r>
              <w:rPr>
                <w:rFonts w:hint="eastAsia" w:eastAsia="Times New Roman"/>
                <w:color w:val="auto"/>
              </w:rPr>
              <w:t>0.15</w:t>
            </w:r>
          </w:p>
        </w:tc>
        <w:tc>
          <w:tcPr>
            <w:tcW w:w="1158" w:type="dxa"/>
            <w:vMerge w:val="restart"/>
            <w:vAlign w:val="center"/>
          </w:tcPr>
          <w:p w14:paraId="1CDDBBD3">
            <w:pPr>
              <w:pStyle w:val="129"/>
              <w:widowControl w:val="0"/>
              <w:rPr>
                <w:rFonts w:eastAsia="Times New Roman"/>
                <w:color w:val="auto"/>
              </w:rPr>
            </w:pPr>
            <w:r>
              <w:rPr>
                <w:rFonts w:eastAsia="Times New Roman"/>
                <w:color w:val="auto"/>
              </w:rPr>
              <w:t>泄漏</w:t>
            </w:r>
            <w:r>
              <w:rPr>
                <w:rFonts w:hint="eastAsia" w:eastAsia="Times New Roman"/>
                <w:color w:val="auto"/>
              </w:rPr>
              <w:t>造成</w:t>
            </w:r>
            <w:r>
              <w:rPr>
                <w:rFonts w:eastAsia="Times New Roman"/>
                <w:color w:val="auto"/>
              </w:rPr>
              <w:t>中毒</w:t>
            </w:r>
            <w:r>
              <w:rPr>
                <w:rFonts w:hint="eastAsia" w:eastAsia="Times New Roman"/>
                <w:color w:val="auto"/>
              </w:rPr>
              <w:t>、污染</w:t>
            </w:r>
          </w:p>
        </w:tc>
        <w:tc>
          <w:tcPr>
            <w:tcW w:w="639" w:type="dxa"/>
            <w:vMerge w:val="continue"/>
            <w:vAlign w:val="center"/>
          </w:tcPr>
          <w:p w14:paraId="017B57D6">
            <w:pPr>
              <w:pStyle w:val="129"/>
              <w:widowControl w:val="0"/>
              <w:rPr>
                <w:rFonts w:eastAsia="Times New Roman"/>
                <w:color w:val="auto"/>
              </w:rPr>
            </w:pPr>
          </w:p>
        </w:tc>
      </w:tr>
      <w:tr w14:paraId="36638A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324" w:type="dxa"/>
            <w:vMerge w:val="restart"/>
            <w:vAlign w:val="center"/>
          </w:tcPr>
          <w:p w14:paraId="40A661A8">
            <w:pPr>
              <w:pStyle w:val="129"/>
              <w:widowControl w:val="0"/>
              <w:rPr>
                <w:rFonts w:eastAsia="Times New Roman"/>
                <w:color w:val="auto"/>
              </w:rPr>
            </w:pPr>
            <w:r>
              <w:rPr>
                <w:rFonts w:hint="eastAsia" w:eastAsia="Times New Roman"/>
                <w:color w:val="auto"/>
              </w:rPr>
              <w:t>4</w:t>
            </w:r>
          </w:p>
        </w:tc>
        <w:tc>
          <w:tcPr>
            <w:tcW w:w="1341" w:type="dxa"/>
            <w:vMerge w:val="restart"/>
            <w:vAlign w:val="center"/>
          </w:tcPr>
          <w:p w14:paraId="49FD4239">
            <w:pPr>
              <w:pStyle w:val="129"/>
              <w:widowControl w:val="0"/>
              <w:rPr>
                <w:rFonts w:eastAsia="Times New Roman"/>
                <w:color w:val="auto"/>
              </w:rPr>
            </w:pPr>
            <w:r>
              <w:rPr>
                <w:rFonts w:hint="eastAsia" w:eastAsia="Times New Roman"/>
                <w:color w:val="auto"/>
              </w:rPr>
              <w:t>含硫酸铝、氯化铝废酸液处理装置</w:t>
            </w:r>
          </w:p>
        </w:tc>
        <w:tc>
          <w:tcPr>
            <w:tcW w:w="1338" w:type="dxa"/>
            <w:vMerge w:val="restart"/>
            <w:vAlign w:val="center"/>
          </w:tcPr>
          <w:p w14:paraId="13E25688">
            <w:pPr>
              <w:pStyle w:val="129"/>
              <w:widowControl w:val="0"/>
              <w:rPr>
                <w:rFonts w:eastAsia="Times New Roman"/>
                <w:color w:val="auto"/>
              </w:rPr>
            </w:pPr>
            <w:r>
              <w:rPr>
                <w:rFonts w:hint="eastAsia" w:eastAsia="Times New Roman"/>
                <w:color w:val="auto"/>
              </w:rPr>
              <w:t>反应釜、三效蒸发、干燥包装</w:t>
            </w:r>
          </w:p>
        </w:tc>
        <w:tc>
          <w:tcPr>
            <w:tcW w:w="900" w:type="dxa"/>
            <w:vMerge w:val="restart"/>
            <w:vAlign w:val="center"/>
          </w:tcPr>
          <w:p w14:paraId="6D1E605E">
            <w:pPr>
              <w:pStyle w:val="129"/>
              <w:widowControl w:val="0"/>
              <w:rPr>
                <w:rFonts w:eastAsia="Times New Roman"/>
                <w:color w:val="auto"/>
              </w:rPr>
            </w:pPr>
            <w:r>
              <w:rPr>
                <w:rFonts w:hint="eastAsia" w:eastAsia="Times New Roman"/>
                <w:color w:val="auto"/>
              </w:rPr>
              <w:t>40</w:t>
            </w:r>
          </w:p>
        </w:tc>
        <w:tc>
          <w:tcPr>
            <w:tcW w:w="912" w:type="dxa"/>
            <w:vMerge w:val="restart"/>
            <w:vAlign w:val="center"/>
          </w:tcPr>
          <w:p w14:paraId="4163E27F">
            <w:pPr>
              <w:pStyle w:val="129"/>
              <w:widowControl w:val="0"/>
              <w:rPr>
                <w:rFonts w:eastAsia="Times New Roman"/>
                <w:color w:val="auto"/>
              </w:rPr>
            </w:pPr>
            <w:r>
              <w:rPr>
                <w:rFonts w:hint="eastAsia" w:eastAsia="Times New Roman"/>
                <w:color w:val="auto"/>
              </w:rPr>
              <w:t>常压</w:t>
            </w:r>
          </w:p>
        </w:tc>
        <w:tc>
          <w:tcPr>
            <w:tcW w:w="1030" w:type="dxa"/>
            <w:vAlign w:val="center"/>
          </w:tcPr>
          <w:p w14:paraId="2FF4EECA">
            <w:pPr>
              <w:pStyle w:val="129"/>
              <w:widowControl w:val="0"/>
              <w:rPr>
                <w:rFonts w:eastAsia="Times New Roman"/>
                <w:color w:val="auto"/>
              </w:rPr>
            </w:pPr>
            <w:r>
              <w:rPr>
                <w:rFonts w:hint="eastAsia" w:eastAsia="Times New Roman"/>
                <w:color w:val="auto"/>
              </w:rPr>
              <w:t>磷酸</w:t>
            </w:r>
          </w:p>
        </w:tc>
        <w:tc>
          <w:tcPr>
            <w:tcW w:w="862" w:type="dxa"/>
            <w:vAlign w:val="center"/>
          </w:tcPr>
          <w:p w14:paraId="62798E40">
            <w:pPr>
              <w:pStyle w:val="129"/>
              <w:widowControl w:val="0"/>
              <w:rPr>
                <w:rFonts w:eastAsia="Times New Roman"/>
                <w:color w:val="auto"/>
              </w:rPr>
            </w:pPr>
            <w:r>
              <w:rPr>
                <w:rFonts w:hint="eastAsia" w:eastAsia="Times New Roman"/>
                <w:color w:val="auto"/>
              </w:rPr>
              <w:t>0.46</w:t>
            </w:r>
          </w:p>
        </w:tc>
        <w:tc>
          <w:tcPr>
            <w:tcW w:w="1158" w:type="dxa"/>
            <w:vMerge w:val="continue"/>
            <w:vAlign w:val="center"/>
          </w:tcPr>
          <w:p w14:paraId="6C532967">
            <w:pPr>
              <w:pStyle w:val="129"/>
              <w:widowControl w:val="0"/>
              <w:rPr>
                <w:rFonts w:eastAsia="Times New Roman"/>
                <w:color w:val="auto"/>
              </w:rPr>
            </w:pPr>
          </w:p>
        </w:tc>
        <w:tc>
          <w:tcPr>
            <w:tcW w:w="639" w:type="dxa"/>
            <w:vMerge w:val="continue"/>
            <w:vAlign w:val="center"/>
          </w:tcPr>
          <w:p w14:paraId="4D6853CC">
            <w:pPr>
              <w:pStyle w:val="129"/>
              <w:widowControl w:val="0"/>
              <w:rPr>
                <w:rFonts w:eastAsia="Times New Roman"/>
                <w:color w:val="auto"/>
              </w:rPr>
            </w:pPr>
          </w:p>
        </w:tc>
      </w:tr>
      <w:tr w14:paraId="05642F5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551" w:hRule="atLeast"/>
        </w:trPr>
        <w:tc>
          <w:tcPr>
            <w:tcW w:w="324" w:type="dxa"/>
            <w:vMerge w:val="continue"/>
            <w:vAlign w:val="center"/>
          </w:tcPr>
          <w:p w14:paraId="23D2D3EB">
            <w:pPr>
              <w:pStyle w:val="129"/>
              <w:widowControl w:val="0"/>
              <w:rPr>
                <w:rFonts w:eastAsia="Times New Roman"/>
                <w:color w:val="auto"/>
              </w:rPr>
            </w:pPr>
          </w:p>
        </w:tc>
        <w:tc>
          <w:tcPr>
            <w:tcW w:w="1341" w:type="dxa"/>
            <w:vMerge w:val="continue"/>
            <w:vAlign w:val="center"/>
          </w:tcPr>
          <w:p w14:paraId="6A18A879">
            <w:pPr>
              <w:pStyle w:val="129"/>
              <w:widowControl w:val="0"/>
              <w:rPr>
                <w:rFonts w:eastAsia="Times New Roman"/>
                <w:color w:val="auto"/>
              </w:rPr>
            </w:pPr>
          </w:p>
        </w:tc>
        <w:tc>
          <w:tcPr>
            <w:tcW w:w="1338" w:type="dxa"/>
            <w:vMerge w:val="continue"/>
            <w:vAlign w:val="center"/>
          </w:tcPr>
          <w:p w14:paraId="4F041C72">
            <w:pPr>
              <w:pStyle w:val="129"/>
              <w:widowControl w:val="0"/>
              <w:rPr>
                <w:rFonts w:eastAsia="Times New Roman"/>
                <w:color w:val="auto"/>
              </w:rPr>
            </w:pPr>
          </w:p>
        </w:tc>
        <w:tc>
          <w:tcPr>
            <w:tcW w:w="900" w:type="dxa"/>
            <w:vMerge w:val="continue"/>
            <w:vAlign w:val="center"/>
          </w:tcPr>
          <w:p w14:paraId="6BC4303B">
            <w:pPr>
              <w:pStyle w:val="129"/>
              <w:widowControl w:val="0"/>
              <w:rPr>
                <w:rFonts w:eastAsia="Times New Roman"/>
                <w:color w:val="auto"/>
              </w:rPr>
            </w:pPr>
          </w:p>
        </w:tc>
        <w:tc>
          <w:tcPr>
            <w:tcW w:w="912" w:type="dxa"/>
            <w:vMerge w:val="continue"/>
            <w:vAlign w:val="center"/>
          </w:tcPr>
          <w:p w14:paraId="607B3A12">
            <w:pPr>
              <w:pStyle w:val="129"/>
              <w:widowControl w:val="0"/>
              <w:rPr>
                <w:rFonts w:eastAsia="Times New Roman"/>
                <w:color w:val="auto"/>
              </w:rPr>
            </w:pPr>
          </w:p>
        </w:tc>
        <w:tc>
          <w:tcPr>
            <w:tcW w:w="1030" w:type="dxa"/>
            <w:vAlign w:val="center"/>
          </w:tcPr>
          <w:p w14:paraId="726FC171">
            <w:pPr>
              <w:pStyle w:val="129"/>
              <w:widowControl w:val="0"/>
              <w:rPr>
                <w:rFonts w:eastAsia="Times New Roman"/>
                <w:color w:val="auto"/>
              </w:rPr>
            </w:pPr>
            <w:r>
              <w:rPr>
                <w:rFonts w:hint="eastAsia" w:eastAsia="Times New Roman"/>
                <w:color w:val="auto"/>
              </w:rPr>
              <w:t>含氯化铝废酸液</w:t>
            </w:r>
          </w:p>
        </w:tc>
        <w:tc>
          <w:tcPr>
            <w:tcW w:w="862" w:type="dxa"/>
            <w:vAlign w:val="center"/>
          </w:tcPr>
          <w:p w14:paraId="445D0463">
            <w:pPr>
              <w:pStyle w:val="129"/>
              <w:widowControl w:val="0"/>
              <w:rPr>
                <w:rFonts w:eastAsia="Times New Roman"/>
                <w:color w:val="auto"/>
              </w:rPr>
            </w:pPr>
            <w:r>
              <w:rPr>
                <w:rFonts w:hint="eastAsia" w:eastAsia="Times New Roman"/>
                <w:color w:val="auto"/>
              </w:rPr>
              <w:t>0.81</w:t>
            </w:r>
          </w:p>
        </w:tc>
        <w:tc>
          <w:tcPr>
            <w:tcW w:w="1158" w:type="dxa"/>
            <w:vMerge w:val="continue"/>
            <w:vAlign w:val="center"/>
          </w:tcPr>
          <w:p w14:paraId="3F7E1904">
            <w:pPr>
              <w:pStyle w:val="129"/>
              <w:widowControl w:val="0"/>
              <w:rPr>
                <w:rFonts w:eastAsia="Times New Roman"/>
                <w:color w:val="auto"/>
              </w:rPr>
            </w:pPr>
          </w:p>
        </w:tc>
        <w:tc>
          <w:tcPr>
            <w:tcW w:w="639" w:type="dxa"/>
            <w:vMerge w:val="continue"/>
            <w:vAlign w:val="center"/>
          </w:tcPr>
          <w:p w14:paraId="63927A21">
            <w:pPr>
              <w:pStyle w:val="129"/>
              <w:widowControl w:val="0"/>
              <w:rPr>
                <w:rFonts w:eastAsia="Times New Roman"/>
                <w:color w:val="auto"/>
              </w:rPr>
            </w:pPr>
          </w:p>
        </w:tc>
      </w:tr>
      <w:tr w14:paraId="6B29350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41" w:hRule="atLeast"/>
        </w:trPr>
        <w:tc>
          <w:tcPr>
            <w:tcW w:w="324" w:type="dxa"/>
            <w:vMerge w:val="continue"/>
            <w:vAlign w:val="center"/>
          </w:tcPr>
          <w:p w14:paraId="6F79C16C">
            <w:pPr>
              <w:pStyle w:val="129"/>
              <w:widowControl w:val="0"/>
              <w:rPr>
                <w:rFonts w:eastAsia="Times New Roman"/>
                <w:color w:val="auto"/>
              </w:rPr>
            </w:pPr>
          </w:p>
        </w:tc>
        <w:tc>
          <w:tcPr>
            <w:tcW w:w="1341" w:type="dxa"/>
            <w:vMerge w:val="continue"/>
            <w:vAlign w:val="center"/>
          </w:tcPr>
          <w:p w14:paraId="2CFE46BE">
            <w:pPr>
              <w:pStyle w:val="129"/>
              <w:widowControl w:val="0"/>
              <w:rPr>
                <w:rFonts w:eastAsia="Times New Roman"/>
                <w:color w:val="auto"/>
              </w:rPr>
            </w:pPr>
          </w:p>
        </w:tc>
        <w:tc>
          <w:tcPr>
            <w:tcW w:w="1338" w:type="dxa"/>
            <w:vMerge w:val="continue"/>
            <w:vAlign w:val="center"/>
          </w:tcPr>
          <w:p w14:paraId="31ECC044">
            <w:pPr>
              <w:pStyle w:val="129"/>
              <w:widowControl w:val="0"/>
              <w:rPr>
                <w:rFonts w:eastAsia="Times New Roman"/>
                <w:color w:val="auto"/>
              </w:rPr>
            </w:pPr>
          </w:p>
        </w:tc>
        <w:tc>
          <w:tcPr>
            <w:tcW w:w="900" w:type="dxa"/>
            <w:vMerge w:val="continue"/>
            <w:vAlign w:val="center"/>
          </w:tcPr>
          <w:p w14:paraId="6298B0FD">
            <w:pPr>
              <w:pStyle w:val="129"/>
              <w:widowControl w:val="0"/>
              <w:rPr>
                <w:rFonts w:eastAsia="Times New Roman"/>
                <w:color w:val="auto"/>
              </w:rPr>
            </w:pPr>
          </w:p>
        </w:tc>
        <w:tc>
          <w:tcPr>
            <w:tcW w:w="912" w:type="dxa"/>
            <w:vMerge w:val="continue"/>
            <w:vAlign w:val="center"/>
          </w:tcPr>
          <w:p w14:paraId="16CAD445">
            <w:pPr>
              <w:pStyle w:val="129"/>
              <w:widowControl w:val="0"/>
              <w:rPr>
                <w:rFonts w:eastAsia="Times New Roman"/>
                <w:color w:val="auto"/>
              </w:rPr>
            </w:pPr>
          </w:p>
        </w:tc>
        <w:tc>
          <w:tcPr>
            <w:tcW w:w="1030" w:type="dxa"/>
            <w:vAlign w:val="center"/>
          </w:tcPr>
          <w:p w14:paraId="7E3E264A">
            <w:pPr>
              <w:pStyle w:val="129"/>
              <w:widowControl w:val="0"/>
              <w:rPr>
                <w:rFonts w:eastAsia="Times New Roman"/>
                <w:color w:val="auto"/>
              </w:rPr>
            </w:pPr>
            <w:r>
              <w:rPr>
                <w:rFonts w:hint="eastAsia" w:eastAsia="Times New Roman"/>
                <w:color w:val="auto"/>
              </w:rPr>
              <w:t>氨水</w:t>
            </w:r>
          </w:p>
        </w:tc>
        <w:tc>
          <w:tcPr>
            <w:tcW w:w="862" w:type="dxa"/>
            <w:vAlign w:val="center"/>
          </w:tcPr>
          <w:p w14:paraId="314FF32C">
            <w:pPr>
              <w:pStyle w:val="129"/>
              <w:widowControl w:val="0"/>
              <w:rPr>
                <w:rFonts w:eastAsia="Times New Roman"/>
                <w:color w:val="auto"/>
              </w:rPr>
            </w:pPr>
            <w:r>
              <w:rPr>
                <w:rFonts w:hint="eastAsia" w:eastAsia="Times New Roman"/>
                <w:color w:val="auto"/>
              </w:rPr>
              <w:t>2.17</w:t>
            </w:r>
          </w:p>
        </w:tc>
        <w:tc>
          <w:tcPr>
            <w:tcW w:w="1158" w:type="dxa"/>
            <w:vMerge w:val="continue"/>
            <w:vAlign w:val="center"/>
          </w:tcPr>
          <w:p w14:paraId="6330B66D">
            <w:pPr>
              <w:pStyle w:val="129"/>
              <w:widowControl w:val="0"/>
              <w:rPr>
                <w:rFonts w:eastAsia="Times New Roman"/>
                <w:color w:val="auto"/>
              </w:rPr>
            </w:pPr>
          </w:p>
        </w:tc>
        <w:tc>
          <w:tcPr>
            <w:tcW w:w="639" w:type="dxa"/>
            <w:vMerge w:val="continue"/>
            <w:vAlign w:val="center"/>
          </w:tcPr>
          <w:p w14:paraId="5ED34C76">
            <w:pPr>
              <w:pStyle w:val="129"/>
              <w:widowControl w:val="0"/>
              <w:rPr>
                <w:rFonts w:eastAsia="Times New Roman"/>
                <w:color w:val="auto"/>
              </w:rPr>
            </w:pPr>
          </w:p>
        </w:tc>
      </w:tr>
      <w:tr w14:paraId="6E8CF36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32" w:hRule="atLeast"/>
        </w:trPr>
        <w:tc>
          <w:tcPr>
            <w:tcW w:w="324" w:type="dxa"/>
            <w:vMerge w:val="continue"/>
            <w:vAlign w:val="center"/>
          </w:tcPr>
          <w:p w14:paraId="26E4A93C">
            <w:pPr>
              <w:pStyle w:val="129"/>
              <w:widowControl w:val="0"/>
              <w:rPr>
                <w:rFonts w:eastAsia="Times New Roman"/>
                <w:color w:val="auto"/>
              </w:rPr>
            </w:pPr>
          </w:p>
        </w:tc>
        <w:tc>
          <w:tcPr>
            <w:tcW w:w="1341" w:type="dxa"/>
            <w:vMerge w:val="continue"/>
            <w:vAlign w:val="center"/>
          </w:tcPr>
          <w:p w14:paraId="2D3D2C27">
            <w:pPr>
              <w:pStyle w:val="129"/>
              <w:widowControl w:val="0"/>
              <w:rPr>
                <w:rFonts w:eastAsia="Times New Roman"/>
                <w:color w:val="auto"/>
              </w:rPr>
            </w:pPr>
          </w:p>
        </w:tc>
        <w:tc>
          <w:tcPr>
            <w:tcW w:w="1338" w:type="dxa"/>
            <w:vMerge w:val="continue"/>
            <w:vAlign w:val="center"/>
          </w:tcPr>
          <w:p w14:paraId="1ED3A757">
            <w:pPr>
              <w:pStyle w:val="129"/>
              <w:widowControl w:val="0"/>
              <w:rPr>
                <w:rFonts w:eastAsia="Times New Roman"/>
                <w:color w:val="auto"/>
              </w:rPr>
            </w:pPr>
          </w:p>
        </w:tc>
        <w:tc>
          <w:tcPr>
            <w:tcW w:w="900" w:type="dxa"/>
            <w:vMerge w:val="continue"/>
            <w:vAlign w:val="center"/>
          </w:tcPr>
          <w:p w14:paraId="38C77FE9">
            <w:pPr>
              <w:pStyle w:val="129"/>
              <w:widowControl w:val="0"/>
              <w:rPr>
                <w:rFonts w:eastAsia="Times New Roman"/>
                <w:color w:val="auto"/>
              </w:rPr>
            </w:pPr>
          </w:p>
        </w:tc>
        <w:tc>
          <w:tcPr>
            <w:tcW w:w="912" w:type="dxa"/>
            <w:vMerge w:val="continue"/>
            <w:vAlign w:val="center"/>
          </w:tcPr>
          <w:p w14:paraId="5882D62D">
            <w:pPr>
              <w:pStyle w:val="129"/>
              <w:widowControl w:val="0"/>
              <w:rPr>
                <w:rFonts w:eastAsia="Times New Roman"/>
                <w:color w:val="auto"/>
              </w:rPr>
            </w:pPr>
          </w:p>
        </w:tc>
        <w:tc>
          <w:tcPr>
            <w:tcW w:w="1030" w:type="dxa"/>
            <w:vAlign w:val="center"/>
          </w:tcPr>
          <w:p w14:paraId="2E5F4F98">
            <w:pPr>
              <w:pStyle w:val="129"/>
              <w:widowControl w:val="0"/>
              <w:rPr>
                <w:rFonts w:eastAsia="Times New Roman"/>
                <w:color w:val="auto"/>
              </w:rPr>
            </w:pPr>
            <w:r>
              <w:rPr>
                <w:rFonts w:hint="eastAsia" w:eastAsia="Times New Roman"/>
                <w:color w:val="auto"/>
              </w:rPr>
              <w:t>硫酸</w:t>
            </w:r>
          </w:p>
        </w:tc>
        <w:tc>
          <w:tcPr>
            <w:tcW w:w="862" w:type="dxa"/>
            <w:vAlign w:val="center"/>
          </w:tcPr>
          <w:p w14:paraId="197D4C7E">
            <w:pPr>
              <w:pStyle w:val="129"/>
              <w:widowControl w:val="0"/>
              <w:rPr>
                <w:rFonts w:eastAsia="Times New Roman"/>
                <w:color w:val="auto"/>
              </w:rPr>
            </w:pPr>
            <w:r>
              <w:rPr>
                <w:rFonts w:hint="eastAsia" w:eastAsia="Times New Roman"/>
                <w:color w:val="auto"/>
              </w:rPr>
              <w:t>3.71</w:t>
            </w:r>
          </w:p>
        </w:tc>
        <w:tc>
          <w:tcPr>
            <w:tcW w:w="1158" w:type="dxa"/>
            <w:vMerge w:val="continue"/>
            <w:vAlign w:val="center"/>
          </w:tcPr>
          <w:p w14:paraId="76EC422E">
            <w:pPr>
              <w:pStyle w:val="129"/>
              <w:widowControl w:val="0"/>
              <w:rPr>
                <w:rFonts w:eastAsia="Times New Roman"/>
                <w:color w:val="auto"/>
              </w:rPr>
            </w:pPr>
          </w:p>
        </w:tc>
        <w:tc>
          <w:tcPr>
            <w:tcW w:w="639" w:type="dxa"/>
            <w:vMerge w:val="continue"/>
            <w:vAlign w:val="center"/>
          </w:tcPr>
          <w:p w14:paraId="60B3D8B1">
            <w:pPr>
              <w:pStyle w:val="129"/>
              <w:widowControl w:val="0"/>
              <w:rPr>
                <w:rFonts w:eastAsia="Times New Roman"/>
                <w:color w:val="auto"/>
              </w:rPr>
            </w:pPr>
          </w:p>
        </w:tc>
      </w:tr>
      <w:tr w14:paraId="413B623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34" w:hRule="atLeast"/>
        </w:trPr>
        <w:tc>
          <w:tcPr>
            <w:tcW w:w="324" w:type="dxa"/>
            <w:vMerge w:val="continue"/>
            <w:vAlign w:val="center"/>
          </w:tcPr>
          <w:p w14:paraId="3062FFAD">
            <w:pPr>
              <w:pStyle w:val="129"/>
              <w:widowControl w:val="0"/>
              <w:rPr>
                <w:rFonts w:eastAsia="Times New Roman"/>
                <w:color w:val="auto"/>
              </w:rPr>
            </w:pPr>
          </w:p>
        </w:tc>
        <w:tc>
          <w:tcPr>
            <w:tcW w:w="1341" w:type="dxa"/>
            <w:vMerge w:val="continue"/>
            <w:vAlign w:val="center"/>
          </w:tcPr>
          <w:p w14:paraId="60F7657D">
            <w:pPr>
              <w:pStyle w:val="129"/>
              <w:widowControl w:val="0"/>
              <w:rPr>
                <w:rFonts w:eastAsia="Times New Roman"/>
                <w:color w:val="auto"/>
              </w:rPr>
            </w:pPr>
          </w:p>
        </w:tc>
        <w:tc>
          <w:tcPr>
            <w:tcW w:w="1338" w:type="dxa"/>
            <w:vMerge w:val="continue"/>
            <w:vAlign w:val="center"/>
          </w:tcPr>
          <w:p w14:paraId="0DFD5DDB">
            <w:pPr>
              <w:pStyle w:val="129"/>
              <w:widowControl w:val="0"/>
              <w:rPr>
                <w:rFonts w:eastAsia="Times New Roman"/>
                <w:color w:val="auto"/>
              </w:rPr>
            </w:pPr>
          </w:p>
        </w:tc>
        <w:tc>
          <w:tcPr>
            <w:tcW w:w="900" w:type="dxa"/>
            <w:vMerge w:val="continue"/>
            <w:vAlign w:val="center"/>
          </w:tcPr>
          <w:p w14:paraId="4C064E2F">
            <w:pPr>
              <w:pStyle w:val="129"/>
              <w:widowControl w:val="0"/>
              <w:rPr>
                <w:rFonts w:eastAsia="Times New Roman"/>
                <w:color w:val="auto"/>
              </w:rPr>
            </w:pPr>
          </w:p>
        </w:tc>
        <w:tc>
          <w:tcPr>
            <w:tcW w:w="912" w:type="dxa"/>
            <w:vMerge w:val="continue"/>
            <w:vAlign w:val="center"/>
          </w:tcPr>
          <w:p w14:paraId="28F240AF">
            <w:pPr>
              <w:pStyle w:val="129"/>
              <w:widowControl w:val="0"/>
              <w:rPr>
                <w:rFonts w:eastAsia="Times New Roman"/>
                <w:color w:val="auto"/>
              </w:rPr>
            </w:pPr>
          </w:p>
        </w:tc>
        <w:tc>
          <w:tcPr>
            <w:tcW w:w="1030" w:type="dxa"/>
            <w:vAlign w:val="center"/>
          </w:tcPr>
          <w:p w14:paraId="70A84AB8">
            <w:pPr>
              <w:pStyle w:val="129"/>
              <w:widowControl w:val="0"/>
              <w:rPr>
                <w:rFonts w:eastAsia="Times New Roman"/>
                <w:color w:val="auto"/>
              </w:rPr>
            </w:pPr>
            <w:r>
              <w:rPr>
                <w:rFonts w:hint="eastAsia" w:eastAsia="Times New Roman"/>
                <w:color w:val="auto"/>
              </w:rPr>
              <w:t>硫酸铵</w:t>
            </w:r>
          </w:p>
        </w:tc>
        <w:tc>
          <w:tcPr>
            <w:tcW w:w="862" w:type="dxa"/>
            <w:vAlign w:val="center"/>
          </w:tcPr>
          <w:p w14:paraId="03476A2F">
            <w:pPr>
              <w:pStyle w:val="129"/>
              <w:widowControl w:val="0"/>
              <w:rPr>
                <w:rFonts w:eastAsia="Times New Roman"/>
                <w:color w:val="auto"/>
              </w:rPr>
            </w:pPr>
            <w:r>
              <w:rPr>
                <w:rFonts w:hint="eastAsia" w:eastAsia="Times New Roman"/>
                <w:color w:val="auto"/>
              </w:rPr>
              <w:t>9.44</w:t>
            </w:r>
          </w:p>
        </w:tc>
        <w:tc>
          <w:tcPr>
            <w:tcW w:w="1158" w:type="dxa"/>
            <w:vAlign w:val="center"/>
          </w:tcPr>
          <w:p w14:paraId="65C151EE">
            <w:pPr>
              <w:pStyle w:val="129"/>
              <w:widowControl w:val="0"/>
              <w:rPr>
                <w:rFonts w:eastAsia="Times New Roman"/>
                <w:color w:val="auto"/>
              </w:rPr>
            </w:pPr>
            <w:r>
              <w:rPr>
                <w:rFonts w:hint="eastAsia" w:eastAsia="Times New Roman"/>
                <w:color w:val="auto"/>
              </w:rPr>
              <w:t>泄漏若</w:t>
            </w:r>
            <w:r>
              <w:rPr>
                <w:rFonts w:eastAsia="Times New Roman"/>
                <w:color w:val="auto"/>
              </w:rPr>
              <w:t>受高热分解</w:t>
            </w:r>
            <w:r>
              <w:rPr>
                <w:rFonts w:hint="eastAsia" w:eastAsia="Times New Roman"/>
                <w:color w:val="auto"/>
              </w:rPr>
              <w:t>造成中毒、污染</w:t>
            </w:r>
          </w:p>
        </w:tc>
        <w:tc>
          <w:tcPr>
            <w:tcW w:w="639" w:type="dxa"/>
            <w:vMerge w:val="continue"/>
            <w:vAlign w:val="center"/>
          </w:tcPr>
          <w:p w14:paraId="447114E5">
            <w:pPr>
              <w:pStyle w:val="129"/>
              <w:widowControl w:val="0"/>
              <w:rPr>
                <w:rFonts w:eastAsia="Times New Roman"/>
                <w:color w:val="auto"/>
              </w:rPr>
            </w:pPr>
          </w:p>
        </w:tc>
      </w:tr>
      <w:tr w14:paraId="2FBF6A9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220" w:hRule="atLeast"/>
        </w:trPr>
        <w:tc>
          <w:tcPr>
            <w:tcW w:w="324" w:type="dxa"/>
            <w:vAlign w:val="center"/>
          </w:tcPr>
          <w:p w14:paraId="1E33CDB2">
            <w:pPr>
              <w:pStyle w:val="129"/>
              <w:widowControl w:val="0"/>
              <w:rPr>
                <w:rFonts w:eastAsia="Times New Roman"/>
                <w:color w:val="auto"/>
              </w:rPr>
            </w:pPr>
            <w:r>
              <w:rPr>
                <w:rFonts w:hint="eastAsia" w:eastAsia="Times New Roman"/>
                <w:color w:val="auto"/>
              </w:rPr>
              <w:t>5</w:t>
            </w:r>
          </w:p>
        </w:tc>
        <w:tc>
          <w:tcPr>
            <w:tcW w:w="1341" w:type="dxa"/>
            <w:vAlign w:val="center"/>
          </w:tcPr>
          <w:p w14:paraId="4466E6DA">
            <w:pPr>
              <w:pStyle w:val="129"/>
              <w:widowControl w:val="0"/>
              <w:rPr>
                <w:rFonts w:eastAsia="Times New Roman"/>
                <w:color w:val="auto"/>
              </w:rPr>
            </w:pPr>
            <w:r>
              <w:rPr>
                <w:rFonts w:hint="eastAsia" w:eastAsia="Times New Roman"/>
                <w:color w:val="auto"/>
              </w:rPr>
              <w:t>拟薄水铝石制造装置</w:t>
            </w:r>
          </w:p>
        </w:tc>
        <w:tc>
          <w:tcPr>
            <w:tcW w:w="1338" w:type="dxa"/>
            <w:vAlign w:val="center"/>
          </w:tcPr>
          <w:p w14:paraId="3AB31415">
            <w:pPr>
              <w:pStyle w:val="129"/>
              <w:widowControl w:val="0"/>
              <w:rPr>
                <w:rFonts w:eastAsia="Times New Roman"/>
                <w:color w:val="auto"/>
              </w:rPr>
            </w:pPr>
            <w:r>
              <w:rPr>
                <w:rFonts w:hint="eastAsia" w:eastAsia="Times New Roman"/>
                <w:color w:val="auto"/>
              </w:rPr>
              <w:t>混合反应釜、混合液罐</w:t>
            </w:r>
          </w:p>
        </w:tc>
        <w:tc>
          <w:tcPr>
            <w:tcW w:w="900" w:type="dxa"/>
            <w:vAlign w:val="center"/>
          </w:tcPr>
          <w:p w14:paraId="03165023">
            <w:pPr>
              <w:pStyle w:val="129"/>
              <w:widowControl w:val="0"/>
              <w:rPr>
                <w:rFonts w:eastAsia="Times New Roman"/>
                <w:color w:val="auto"/>
              </w:rPr>
            </w:pPr>
            <w:r>
              <w:rPr>
                <w:rFonts w:hint="eastAsia" w:eastAsia="Times New Roman"/>
                <w:color w:val="auto"/>
              </w:rPr>
              <w:t>常温</w:t>
            </w:r>
          </w:p>
        </w:tc>
        <w:tc>
          <w:tcPr>
            <w:tcW w:w="912" w:type="dxa"/>
            <w:vAlign w:val="center"/>
          </w:tcPr>
          <w:p w14:paraId="0A0CEE6A">
            <w:pPr>
              <w:pStyle w:val="129"/>
              <w:widowControl w:val="0"/>
              <w:rPr>
                <w:rFonts w:eastAsia="Times New Roman"/>
                <w:color w:val="auto"/>
              </w:rPr>
            </w:pPr>
            <w:r>
              <w:rPr>
                <w:rFonts w:hint="eastAsia" w:eastAsia="Times New Roman"/>
                <w:color w:val="auto"/>
              </w:rPr>
              <w:t>常压</w:t>
            </w:r>
          </w:p>
        </w:tc>
        <w:tc>
          <w:tcPr>
            <w:tcW w:w="1030" w:type="dxa"/>
            <w:vAlign w:val="center"/>
          </w:tcPr>
          <w:p w14:paraId="2D23059E">
            <w:pPr>
              <w:pStyle w:val="129"/>
              <w:widowControl w:val="0"/>
              <w:rPr>
                <w:rFonts w:eastAsia="Times New Roman"/>
                <w:color w:val="auto"/>
              </w:rPr>
            </w:pPr>
            <w:r>
              <w:rPr>
                <w:rFonts w:hint="eastAsia" w:eastAsia="Times New Roman"/>
                <w:color w:val="auto"/>
              </w:rPr>
              <w:t>硫酸</w:t>
            </w:r>
          </w:p>
        </w:tc>
        <w:tc>
          <w:tcPr>
            <w:tcW w:w="862" w:type="dxa"/>
            <w:vAlign w:val="center"/>
          </w:tcPr>
          <w:p w14:paraId="339B5635">
            <w:pPr>
              <w:pStyle w:val="129"/>
              <w:widowControl w:val="0"/>
              <w:rPr>
                <w:rFonts w:eastAsia="Times New Roman"/>
                <w:color w:val="auto"/>
              </w:rPr>
            </w:pPr>
            <w:r>
              <w:rPr>
                <w:rFonts w:hint="eastAsia" w:eastAsia="Times New Roman"/>
                <w:color w:val="auto"/>
              </w:rPr>
              <w:t>1.41</w:t>
            </w:r>
          </w:p>
        </w:tc>
        <w:tc>
          <w:tcPr>
            <w:tcW w:w="1158" w:type="dxa"/>
            <w:vMerge w:val="restart"/>
            <w:vAlign w:val="center"/>
          </w:tcPr>
          <w:p w14:paraId="6946F559">
            <w:pPr>
              <w:pStyle w:val="129"/>
              <w:widowControl w:val="0"/>
              <w:rPr>
                <w:rFonts w:eastAsia="Times New Roman"/>
                <w:color w:val="auto"/>
              </w:rPr>
            </w:pPr>
            <w:r>
              <w:rPr>
                <w:rFonts w:eastAsia="Times New Roman"/>
                <w:color w:val="auto"/>
              </w:rPr>
              <w:t>泄漏</w:t>
            </w:r>
            <w:r>
              <w:rPr>
                <w:rFonts w:hint="eastAsia" w:eastAsia="Times New Roman"/>
                <w:color w:val="auto"/>
              </w:rPr>
              <w:t>造成</w:t>
            </w:r>
            <w:r>
              <w:rPr>
                <w:rFonts w:eastAsia="Times New Roman"/>
                <w:color w:val="auto"/>
              </w:rPr>
              <w:t>中毒</w:t>
            </w:r>
            <w:r>
              <w:rPr>
                <w:rFonts w:hint="eastAsia" w:eastAsia="Times New Roman"/>
                <w:color w:val="auto"/>
              </w:rPr>
              <w:t>、污染</w:t>
            </w:r>
          </w:p>
        </w:tc>
        <w:tc>
          <w:tcPr>
            <w:tcW w:w="639" w:type="dxa"/>
            <w:vMerge w:val="continue"/>
            <w:vAlign w:val="center"/>
          </w:tcPr>
          <w:p w14:paraId="623F4177">
            <w:pPr>
              <w:pStyle w:val="129"/>
              <w:widowControl w:val="0"/>
              <w:rPr>
                <w:rFonts w:eastAsia="Times New Roman"/>
                <w:color w:val="auto"/>
              </w:rPr>
            </w:pPr>
          </w:p>
        </w:tc>
      </w:tr>
      <w:tr w14:paraId="5A6F2DB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97" w:hRule="atLeast"/>
        </w:trPr>
        <w:tc>
          <w:tcPr>
            <w:tcW w:w="324" w:type="dxa"/>
            <w:vAlign w:val="center"/>
          </w:tcPr>
          <w:p w14:paraId="5D680B93">
            <w:pPr>
              <w:pStyle w:val="129"/>
              <w:widowControl w:val="0"/>
              <w:rPr>
                <w:rFonts w:eastAsia="Times New Roman"/>
                <w:color w:val="auto"/>
              </w:rPr>
            </w:pPr>
            <w:r>
              <w:rPr>
                <w:rFonts w:hint="eastAsia" w:eastAsia="Times New Roman"/>
                <w:color w:val="auto"/>
              </w:rPr>
              <w:t>6</w:t>
            </w:r>
          </w:p>
        </w:tc>
        <w:tc>
          <w:tcPr>
            <w:tcW w:w="1341" w:type="dxa"/>
            <w:vAlign w:val="center"/>
          </w:tcPr>
          <w:p w14:paraId="7B90EA81">
            <w:pPr>
              <w:pStyle w:val="129"/>
              <w:widowControl w:val="0"/>
              <w:rPr>
                <w:rFonts w:eastAsia="Times New Roman"/>
                <w:color w:val="auto"/>
              </w:rPr>
            </w:pPr>
            <w:r>
              <w:rPr>
                <w:rFonts w:hint="eastAsia" w:eastAsia="Times New Roman"/>
                <w:color w:val="auto"/>
              </w:rPr>
              <w:t>催化剂生产线</w:t>
            </w:r>
          </w:p>
        </w:tc>
        <w:tc>
          <w:tcPr>
            <w:tcW w:w="1338" w:type="dxa"/>
            <w:vAlign w:val="center"/>
          </w:tcPr>
          <w:p w14:paraId="01814A7B">
            <w:pPr>
              <w:pStyle w:val="129"/>
              <w:widowControl w:val="0"/>
              <w:rPr>
                <w:rFonts w:eastAsia="Times New Roman"/>
                <w:color w:val="auto"/>
              </w:rPr>
            </w:pPr>
            <w:r>
              <w:rPr>
                <w:rFonts w:hint="eastAsia" w:eastAsia="Times New Roman"/>
                <w:color w:val="auto"/>
              </w:rPr>
              <w:t>反应釜、干燥炉</w:t>
            </w:r>
          </w:p>
        </w:tc>
        <w:tc>
          <w:tcPr>
            <w:tcW w:w="900" w:type="dxa"/>
            <w:vAlign w:val="center"/>
          </w:tcPr>
          <w:p w14:paraId="58130EA6">
            <w:pPr>
              <w:pStyle w:val="129"/>
              <w:widowControl w:val="0"/>
              <w:rPr>
                <w:rFonts w:eastAsia="Times New Roman"/>
                <w:color w:val="auto"/>
              </w:rPr>
            </w:pPr>
            <w:r>
              <w:rPr>
                <w:rFonts w:hint="eastAsia" w:eastAsia="Times New Roman"/>
                <w:color w:val="auto"/>
              </w:rPr>
              <w:t>常温</w:t>
            </w:r>
          </w:p>
        </w:tc>
        <w:tc>
          <w:tcPr>
            <w:tcW w:w="912" w:type="dxa"/>
            <w:vAlign w:val="center"/>
          </w:tcPr>
          <w:p w14:paraId="6E25D876">
            <w:pPr>
              <w:pStyle w:val="129"/>
              <w:widowControl w:val="0"/>
              <w:rPr>
                <w:rFonts w:eastAsia="Times New Roman"/>
                <w:color w:val="auto"/>
              </w:rPr>
            </w:pPr>
            <w:r>
              <w:rPr>
                <w:rFonts w:hint="eastAsia" w:eastAsia="Times New Roman"/>
                <w:color w:val="auto"/>
              </w:rPr>
              <w:t>常压</w:t>
            </w:r>
          </w:p>
        </w:tc>
        <w:tc>
          <w:tcPr>
            <w:tcW w:w="1030" w:type="dxa"/>
            <w:vAlign w:val="center"/>
          </w:tcPr>
          <w:p w14:paraId="3CEE0A39">
            <w:pPr>
              <w:pStyle w:val="129"/>
              <w:widowControl w:val="0"/>
              <w:rPr>
                <w:rFonts w:eastAsia="Times New Roman"/>
                <w:color w:val="auto"/>
              </w:rPr>
            </w:pPr>
            <w:r>
              <w:rPr>
                <w:rFonts w:hint="eastAsia" w:eastAsia="Times New Roman"/>
                <w:color w:val="auto"/>
              </w:rPr>
              <w:t>硝酸</w:t>
            </w:r>
          </w:p>
        </w:tc>
        <w:tc>
          <w:tcPr>
            <w:tcW w:w="862" w:type="dxa"/>
            <w:vAlign w:val="center"/>
          </w:tcPr>
          <w:p w14:paraId="130B0127">
            <w:pPr>
              <w:pStyle w:val="129"/>
              <w:widowControl w:val="0"/>
              <w:rPr>
                <w:rFonts w:eastAsia="Times New Roman"/>
                <w:color w:val="auto"/>
              </w:rPr>
            </w:pPr>
            <w:r>
              <w:rPr>
                <w:rFonts w:hint="eastAsia" w:eastAsia="Times New Roman"/>
                <w:color w:val="auto"/>
              </w:rPr>
              <w:t>3.69</w:t>
            </w:r>
          </w:p>
        </w:tc>
        <w:tc>
          <w:tcPr>
            <w:tcW w:w="1158" w:type="dxa"/>
            <w:vMerge w:val="continue"/>
            <w:vAlign w:val="center"/>
          </w:tcPr>
          <w:p w14:paraId="283803D8">
            <w:pPr>
              <w:pStyle w:val="129"/>
              <w:widowControl w:val="0"/>
              <w:rPr>
                <w:rFonts w:eastAsia="Times New Roman"/>
                <w:color w:val="auto"/>
              </w:rPr>
            </w:pPr>
          </w:p>
        </w:tc>
        <w:tc>
          <w:tcPr>
            <w:tcW w:w="639" w:type="dxa"/>
            <w:vMerge w:val="continue"/>
            <w:vAlign w:val="center"/>
          </w:tcPr>
          <w:p w14:paraId="07F844AC">
            <w:pPr>
              <w:pStyle w:val="129"/>
              <w:widowControl w:val="0"/>
              <w:rPr>
                <w:rFonts w:eastAsia="Times New Roman"/>
                <w:color w:val="auto"/>
              </w:rPr>
            </w:pPr>
          </w:p>
        </w:tc>
      </w:tr>
    </w:tbl>
    <w:p w14:paraId="763A686D">
      <w:pPr>
        <w:autoSpaceDE w:val="0"/>
        <w:autoSpaceDN w:val="0"/>
        <w:adjustRightInd w:val="0"/>
        <w:spacing w:line="240" w:lineRule="exact"/>
        <w:rPr>
          <w:rFonts w:ascii="黑体"/>
          <w:bCs/>
          <w:color w:val="auto"/>
          <w:szCs w:val="28"/>
          <w:lang w:val="zh-CN"/>
        </w:rPr>
      </w:pPr>
    </w:p>
    <w:p w14:paraId="7FA3A66C">
      <w:pPr>
        <w:autoSpaceDE w:val="0"/>
        <w:autoSpaceDN w:val="0"/>
        <w:adjustRightInd w:val="0"/>
        <w:spacing w:line="240" w:lineRule="exact"/>
        <w:rPr>
          <w:rFonts w:hint="eastAsia" w:ascii="黑体"/>
          <w:bCs/>
          <w:color w:val="auto"/>
          <w:szCs w:val="28"/>
          <w:lang w:val="zh-CN"/>
        </w:rPr>
      </w:pPr>
    </w:p>
    <w:p w14:paraId="39C5035A">
      <w:pPr>
        <w:pStyle w:val="4"/>
        <w:rPr>
          <w:color w:val="auto"/>
        </w:rPr>
      </w:pPr>
      <w:r>
        <w:rPr>
          <w:rFonts w:hint="eastAsia"/>
          <w:color w:val="auto"/>
        </w:rPr>
        <w:t>危险物质运输过程危险性识别</w:t>
      </w:r>
    </w:p>
    <w:p w14:paraId="561E60F2">
      <w:pPr>
        <w:spacing w:line="360" w:lineRule="auto"/>
        <w:ind w:firstLine="480" w:firstLineChars="200"/>
        <w:jc w:val="both"/>
        <w:rPr>
          <w:color w:val="auto"/>
          <w:sz w:val="24"/>
          <w:szCs w:val="24"/>
        </w:rPr>
      </w:pPr>
      <w:r>
        <w:rPr>
          <w:rFonts w:hint="eastAsia"/>
          <w:color w:val="auto"/>
          <w:sz w:val="24"/>
          <w:szCs w:val="24"/>
        </w:rPr>
        <w:t>危险物质有含氯化铝废酸液、含硝酸铝废酸液、硫酸铵、硫酸、硝酸、脱</w:t>
      </w:r>
      <w:r>
        <w:rPr>
          <w:rFonts w:hint="eastAsia"/>
          <w:color w:val="auto"/>
          <w:sz w:val="24"/>
          <w:szCs w:val="24"/>
          <w:lang w:eastAsia="zh-CN"/>
        </w:rPr>
        <w:t>硝</w:t>
      </w:r>
      <w:r>
        <w:rPr>
          <w:rFonts w:hint="eastAsia"/>
          <w:color w:val="auto"/>
          <w:sz w:val="24"/>
          <w:szCs w:val="24"/>
        </w:rPr>
        <w:t>催化剂、废机油，在其运输过程中的风险因素主要来源于人为因素、车辆因素、客观因素和装运因素。</w:t>
      </w:r>
    </w:p>
    <w:p w14:paraId="667A082B">
      <w:pPr>
        <w:spacing w:line="360" w:lineRule="auto"/>
        <w:ind w:firstLine="480" w:firstLineChars="200"/>
        <w:jc w:val="both"/>
        <w:rPr>
          <w:color w:val="auto"/>
          <w:sz w:val="24"/>
          <w:szCs w:val="24"/>
        </w:rPr>
      </w:pPr>
      <w:r>
        <w:rPr>
          <w:rFonts w:hint="eastAsia"/>
          <w:color w:val="auto"/>
          <w:sz w:val="24"/>
          <w:szCs w:val="24"/>
        </w:rPr>
        <w:t>（1）</w:t>
      </w:r>
      <w:r>
        <w:rPr>
          <w:color w:val="auto"/>
          <w:sz w:val="24"/>
          <w:szCs w:val="24"/>
        </w:rPr>
        <w:t>人为因素：人为因素主要由驾驶员、押运员、装卸管理人员的违规工作引起。没有按照规范要求对</w:t>
      </w:r>
      <w:r>
        <w:rPr>
          <w:rFonts w:hint="eastAsia"/>
          <w:color w:val="auto"/>
          <w:sz w:val="24"/>
          <w:szCs w:val="24"/>
        </w:rPr>
        <w:t>危险化学品的要求</w:t>
      </w:r>
      <w:r>
        <w:rPr>
          <w:color w:val="auto"/>
          <w:sz w:val="24"/>
          <w:szCs w:val="24"/>
        </w:rPr>
        <w:t>进行包装、收集，甚至装卸人员违反操作规程野蛮装卸，极容易引起</w:t>
      </w:r>
      <w:r>
        <w:rPr>
          <w:rFonts w:hint="eastAsia"/>
          <w:color w:val="auto"/>
          <w:sz w:val="24"/>
          <w:szCs w:val="24"/>
        </w:rPr>
        <w:t>危险化学品</w:t>
      </w:r>
      <w:r>
        <w:rPr>
          <w:color w:val="auto"/>
          <w:sz w:val="24"/>
          <w:szCs w:val="24"/>
        </w:rPr>
        <w:t>在运输过程中发生</w:t>
      </w:r>
      <w:r>
        <w:rPr>
          <w:rFonts w:hint="eastAsia"/>
          <w:color w:val="auto"/>
          <w:sz w:val="24"/>
          <w:szCs w:val="24"/>
        </w:rPr>
        <w:t>泄漏</w:t>
      </w:r>
      <w:r>
        <w:rPr>
          <w:color w:val="auto"/>
          <w:sz w:val="24"/>
          <w:szCs w:val="24"/>
        </w:rPr>
        <w:t>，在运输过程中疲劳驾驶、盲目开快车、强行会车、超车、酒后驾车等极容易引起</w:t>
      </w:r>
      <w:r>
        <w:rPr>
          <w:rFonts w:hint="eastAsia"/>
          <w:color w:val="auto"/>
          <w:sz w:val="24"/>
          <w:szCs w:val="24"/>
        </w:rPr>
        <w:t>撞车</w:t>
      </w:r>
      <w:r>
        <w:rPr>
          <w:color w:val="auto"/>
          <w:sz w:val="24"/>
          <w:szCs w:val="24"/>
        </w:rPr>
        <w:t>、翻车事故。</w:t>
      </w:r>
    </w:p>
    <w:p w14:paraId="729834CE">
      <w:pPr>
        <w:spacing w:line="360" w:lineRule="auto"/>
        <w:ind w:firstLine="480" w:firstLineChars="200"/>
        <w:jc w:val="both"/>
        <w:rPr>
          <w:color w:val="auto"/>
          <w:sz w:val="24"/>
          <w:szCs w:val="24"/>
        </w:rPr>
      </w:pPr>
      <w:r>
        <w:rPr>
          <w:rFonts w:hint="eastAsia"/>
          <w:color w:val="auto"/>
          <w:sz w:val="24"/>
          <w:szCs w:val="24"/>
        </w:rPr>
        <w:t>（2）</w:t>
      </w:r>
      <w:r>
        <w:rPr>
          <w:color w:val="auto"/>
          <w:sz w:val="24"/>
          <w:szCs w:val="24"/>
        </w:rPr>
        <w:t>车辆因素：</w:t>
      </w:r>
      <w:r>
        <w:rPr>
          <w:rFonts w:hint="eastAsia"/>
          <w:color w:val="auto"/>
          <w:sz w:val="24"/>
          <w:szCs w:val="24"/>
        </w:rPr>
        <w:t>危险化学品</w:t>
      </w:r>
      <w:r>
        <w:rPr>
          <w:color w:val="auto"/>
          <w:sz w:val="24"/>
          <w:szCs w:val="24"/>
        </w:rPr>
        <w:t>运输车辆的安全状况是引起事故的一个重要因素，车辆技术状况的好坏，</w:t>
      </w:r>
      <w:r>
        <w:rPr>
          <w:rFonts w:hint="eastAsia"/>
          <w:color w:val="auto"/>
          <w:sz w:val="24"/>
          <w:szCs w:val="24"/>
        </w:rPr>
        <w:t>是</w:t>
      </w:r>
      <w:r>
        <w:rPr>
          <w:color w:val="auto"/>
          <w:sz w:val="24"/>
          <w:szCs w:val="24"/>
        </w:rPr>
        <w:t>安全运输的基础，如果车况不好会严重影响行车安全，导致事故发生。</w:t>
      </w:r>
    </w:p>
    <w:p w14:paraId="542EC536">
      <w:pPr>
        <w:spacing w:line="360" w:lineRule="auto"/>
        <w:ind w:firstLine="480" w:firstLineChars="200"/>
        <w:jc w:val="both"/>
        <w:rPr>
          <w:color w:val="auto"/>
          <w:sz w:val="24"/>
          <w:szCs w:val="24"/>
        </w:rPr>
      </w:pPr>
      <w:r>
        <w:rPr>
          <w:rFonts w:hint="eastAsia"/>
          <w:color w:val="auto"/>
          <w:sz w:val="24"/>
          <w:szCs w:val="24"/>
        </w:rPr>
        <w:t>（3）</w:t>
      </w:r>
      <w:r>
        <w:rPr>
          <w:color w:val="auto"/>
          <w:sz w:val="24"/>
          <w:szCs w:val="24"/>
        </w:rPr>
        <w:t>客观因素：客观因素指道路状况、天气状况等。如当运输车辆通过地面不平整的道路时会剧烈震动，可能使车辆机件损坏，使</w:t>
      </w:r>
      <w:r>
        <w:rPr>
          <w:rFonts w:hint="eastAsia"/>
          <w:color w:val="auto"/>
          <w:sz w:val="24"/>
          <w:szCs w:val="24"/>
        </w:rPr>
        <w:t>危险化学品</w:t>
      </w:r>
      <w:r>
        <w:rPr>
          <w:color w:val="auto"/>
          <w:sz w:val="24"/>
          <w:szCs w:val="24"/>
        </w:rPr>
        <w:t>包装容器之间发生碰撞而损坏；在泥泞的道路上，在山道、弯道较多的路段容易发生侧滑而引发事故；大雨天、大雾天或冰雪天会因为视线不清、路滑造成车辆碰撞或装车而引发事故。</w:t>
      </w:r>
    </w:p>
    <w:p w14:paraId="2150848E">
      <w:pPr>
        <w:spacing w:line="360" w:lineRule="auto"/>
        <w:ind w:firstLine="480" w:firstLineChars="200"/>
        <w:jc w:val="both"/>
        <w:rPr>
          <w:color w:val="auto"/>
          <w:sz w:val="24"/>
          <w:szCs w:val="24"/>
        </w:rPr>
      </w:pPr>
      <w:r>
        <w:rPr>
          <w:rFonts w:hint="eastAsia"/>
          <w:color w:val="auto"/>
          <w:sz w:val="24"/>
          <w:szCs w:val="24"/>
        </w:rPr>
        <w:t>（4）</w:t>
      </w:r>
      <w:r>
        <w:rPr>
          <w:color w:val="auto"/>
          <w:sz w:val="24"/>
          <w:szCs w:val="24"/>
        </w:rPr>
        <w:t>装运因素：</w:t>
      </w:r>
      <w:r>
        <w:rPr>
          <w:rFonts w:hint="eastAsia"/>
          <w:color w:val="auto"/>
          <w:sz w:val="24"/>
          <w:szCs w:val="24"/>
        </w:rPr>
        <w:t>危险化学品</w:t>
      </w:r>
      <w:r>
        <w:rPr>
          <w:color w:val="auto"/>
          <w:sz w:val="24"/>
          <w:szCs w:val="24"/>
        </w:rPr>
        <w:t>正确的包装和装运是防止运输过</w:t>
      </w:r>
      <w:r>
        <w:rPr>
          <w:rFonts w:hint="eastAsia"/>
          <w:color w:val="auto"/>
          <w:sz w:val="24"/>
          <w:szCs w:val="24"/>
          <w:lang w:eastAsia="zh-CN"/>
        </w:rPr>
        <w:t>程中</w:t>
      </w:r>
      <w:r>
        <w:rPr>
          <w:color w:val="auto"/>
          <w:sz w:val="24"/>
          <w:szCs w:val="24"/>
        </w:rPr>
        <w:t>发生腐蚀、</w:t>
      </w:r>
      <w:r>
        <w:rPr>
          <w:rFonts w:hint="eastAsia"/>
          <w:color w:val="auto"/>
          <w:sz w:val="24"/>
          <w:szCs w:val="24"/>
        </w:rPr>
        <w:t>泄漏</w:t>
      </w:r>
      <w:r>
        <w:rPr>
          <w:color w:val="auto"/>
          <w:sz w:val="24"/>
          <w:szCs w:val="24"/>
        </w:rPr>
        <w:t>、着火等灾害性事故的重要措施，是安全运输的基本条件之一。在实际工作中由于野蛮包装、装运或者包装衬垫材料选用不当，可能导致容器破损，物料</w:t>
      </w:r>
      <w:r>
        <w:rPr>
          <w:rFonts w:hint="eastAsia"/>
          <w:color w:val="auto"/>
          <w:sz w:val="24"/>
          <w:szCs w:val="24"/>
        </w:rPr>
        <w:t>泄漏</w:t>
      </w:r>
      <w:r>
        <w:rPr>
          <w:color w:val="auto"/>
          <w:sz w:val="24"/>
          <w:szCs w:val="24"/>
        </w:rPr>
        <w:t>，引发事故。在配装时，如将性质相抵触的危险化学品同装在同一辆车上，或将灭火方法、抢救措施不同的物品混装在一起，在发生</w:t>
      </w:r>
      <w:r>
        <w:rPr>
          <w:rFonts w:hint="eastAsia"/>
          <w:color w:val="auto"/>
          <w:sz w:val="24"/>
          <w:szCs w:val="24"/>
        </w:rPr>
        <w:t>泄漏</w:t>
      </w:r>
      <w:r>
        <w:rPr>
          <w:color w:val="auto"/>
          <w:sz w:val="24"/>
          <w:szCs w:val="24"/>
        </w:rPr>
        <w:t>时将可能因为混装而引发更大的灾难。</w:t>
      </w:r>
    </w:p>
    <w:p w14:paraId="28FA108E">
      <w:pPr>
        <w:pStyle w:val="4"/>
        <w:rPr>
          <w:color w:val="auto"/>
        </w:rPr>
      </w:pPr>
      <w:r>
        <w:rPr>
          <w:rFonts w:hint="eastAsia"/>
          <w:color w:val="auto"/>
        </w:rPr>
        <w:t>危险物质暂存过程危险性识别</w:t>
      </w:r>
    </w:p>
    <w:p w14:paraId="1C59F0AE">
      <w:pPr>
        <w:spacing w:line="360" w:lineRule="auto"/>
        <w:ind w:firstLine="480" w:firstLineChars="200"/>
        <w:jc w:val="both"/>
        <w:rPr>
          <w:color w:val="auto"/>
          <w:sz w:val="24"/>
          <w:szCs w:val="24"/>
        </w:rPr>
      </w:pPr>
      <w:r>
        <w:rPr>
          <w:rFonts w:hint="eastAsia"/>
          <w:color w:val="auto"/>
          <w:sz w:val="24"/>
          <w:szCs w:val="24"/>
        </w:rPr>
        <w:t>本项目</w:t>
      </w:r>
      <w:r>
        <w:rPr>
          <w:color w:val="auto"/>
          <w:sz w:val="24"/>
          <w:szCs w:val="24"/>
        </w:rPr>
        <w:t>危险</w:t>
      </w:r>
      <w:r>
        <w:rPr>
          <w:rFonts w:hint="eastAsia"/>
          <w:color w:val="auto"/>
          <w:sz w:val="24"/>
          <w:szCs w:val="24"/>
        </w:rPr>
        <w:t>物质的</w:t>
      </w:r>
      <w:r>
        <w:rPr>
          <w:color w:val="auto"/>
          <w:sz w:val="24"/>
          <w:szCs w:val="24"/>
        </w:rPr>
        <w:t>暂存过程风险因素主要为</w:t>
      </w:r>
      <w:r>
        <w:rPr>
          <w:rFonts w:hint="eastAsia"/>
          <w:color w:val="auto"/>
          <w:sz w:val="24"/>
          <w:szCs w:val="24"/>
        </w:rPr>
        <w:t>泄漏</w:t>
      </w:r>
      <w:r>
        <w:rPr>
          <w:color w:val="auto"/>
          <w:sz w:val="24"/>
          <w:szCs w:val="24"/>
        </w:rPr>
        <w:t>和</w:t>
      </w:r>
      <w:r>
        <w:rPr>
          <w:rFonts w:hint="eastAsia"/>
          <w:color w:val="auto"/>
          <w:sz w:val="24"/>
          <w:szCs w:val="24"/>
        </w:rPr>
        <w:t>爆炸、火灾及引发的伴生/次生污染物</w:t>
      </w:r>
      <w:r>
        <w:rPr>
          <w:color w:val="auto"/>
          <w:sz w:val="24"/>
          <w:szCs w:val="24"/>
        </w:rPr>
        <w:t>。</w:t>
      </w:r>
    </w:p>
    <w:p w14:paraId="4172F590">
      <w:pPr>
        <w:pStyle w:val="1065"/>
        <w:numPr>
          <w:ilvl w:val="0"/>
          <w:numId w:val="28"/>
        </w:numPr>
        <w:spacing w:line="360" w:lineRule="auto"/>
        <w:ind w:firstLineChars="0"/>
        <w:jc w:val="both"/>
        <w:rPr>
          <w:color w:val="auto"/>
          <w:sz w:val="24"/>
          <w:szCs w:val="24"/>
        </w:rPr>
      </w:pPr>
      <w:r>
        <w:rPr>
          <w:color w:val="auto"/>
          <w:sz w:val="24"/>
          <w:szCs w:val="24"/>
        </w:rPr>
        <w:t>泄漏</w:t>
      </w:r>
    </w:p>
    <w:p w14:paraId="7243718C">
      <w:pPr>
        <w:spacing w:line="360" w:lineRule="auto"/>
        <w:ind w:firstLine="480" w:firstLineChars="200"/>
        <w:jc w:val="both"/>
        <w:rPr>
          <w:color w:val="auto"/>
          <w:sz w:val="24"/>
          <w:szCs w:val="24"/>
        </w:rPr>
      </w:pPr>
      <w:r>
        <w:rPr>
          <w:rFonts w:hint="eastAsia"/>
          <w:color w:val="auto"/>
          <w:sz w:val="24"/>
          <w:szCs w:val="24"/>
        </w:rPr>
        <w:t>暂存过</w:t>
      </w:r>
      <w:r>
        <w:rPr>
          <w:rFonts w:hint="eastAsia"/>
          <w:color w:val="auto"/>
          <w:sz w:val="24"/>
          <w:szCs w:val="24"/>
          <w:lang w:eastAsia="zh-CN"/>
        </w:rPr>
        <w:t>程中</w:t>
      </w:r>
      <w:r>
        <w:rPr>
          <w:rFonts w:hint="eastAsia"/>
          <w:color w:val="auto"/>
          <w:sz w:val="24"/>
          <w:szCs w:val="24"/>
        </w:rPr>
        <w:t>存在泄漏风险的物质主要为含氯化铝废酸液、含硝酸铝废酸液、硫酸铵、硫酸、硝酸、脱硝催化剂、废机油等，主要风险事故包括含氯化铝废酸液、含硝酸铝废酸液、硫酸铵、硝酸铵、硫酸、硝酸、脱</w:t>
      </w:r>
      <w:r>
        <w:rPr>
          <w:rFonts w:hint="eastAsia"/>
          <w:color w:val="auto"/>
          <w:sz w:val="24"/>
          <w:szCs w:val="24"/>
          <w:lang w:eastAsia="zh-CN"/>
        </w:rPr>
        <w:t>硝</w:t>
      </w:r>
      <w:r>
        <w:rPr>
          <w:rFonts w:hint="eastAsia"/>
          <w:color w:val="auto"/>
          <w:sz w:val="24"/>
          <w:szCs w:val="24"/>
        </w:rPr>
        <w:t>催化剂、废机油、15%氨水若存储不当，</w:t>
      </w:r>
      <w:r>
        <w:rPr>
          <w:rFonts w:hint="eastAsia"/>
          <w:color w:val="auto"/>
          <w:sz w:val="24"/>
          <w:szCs w:val="24"/>
          <w:lang w:eastAsia="zh-CN"/>
        </w:rPr>
        <w:t>泄漏</w:t>
      </w:r>
      <w:r>
        <w:rPr>
          <w:rFonts w:hint="eastAsia"/>
          <w:color w:val="auto"/>
          <w:sz w:val="24"/>
          <w:szCs w:val="24"/>
        </w:rPr>
        <w:t>引发环境风险。此外，管道老化、设备故障或人为操作失误均可能导致这些物质泄漏，不仅会直接</w:t>
      </w:r>
      <w:r>
        <w:rPr>
          <w:rFonts w:hint="eastAsia"/>
          <w:color w:val="auto"/>
          <w:sz w:val="24"/>
          <w:szCs w:val="24"/>
          <w:lang w:eastAsia="zh-CN"/>
        </w:rPr>
        <w:t>威胁</w:t>
      </w:r>
      <w:r>
        <w:rPr>
          <w:rFonts w:hint="eastAsia"/>
          <w:color w:val="auto"/>
          <w:sz w:val="24"/>
          <w:szCs w:val="24"/>
        </w:rPr>
        <w:t>现场人员的生命安全，还可能对周边环境造成长期且难以逆转的损害。</w:t>
      </w:r>
    </w:p>
    <w:p w14:paraId="2067F8B4">
      <w:pPr>
        <w:spacing w:line="360" w:lineRule="auto"/>
        <w:ind w:firstLine="480" w:firstLineChars="200"/>
        <w:jc w:val="both"/>
        <w:rPr>
          <w:color w:val="auto"/>
          <w:sz w:val="24"/>
          <w:szCs w:val="24"/>
        </w:rPr>
      </w:pPr>
      <w:r>
        <w:rPr>
          <w:color w:val="auto"/>
          <w:sz w:val="24"/>
          <w:szCs w:val="24"/>
        </w:rPr>
        <w:t>（2）火灾</w:t>
      </w:r>
    </w:p>
    <w:p w14:paraId="4FBCDA25">
      <w:pPr>
        <w:spacing w:line="360" w:lineRule="auto"/>
        <w:ind w:firstLine="480" w:firstLineChars="200"/>
        <w:jc w:val="both"/>
        <w:rPr>
          <w:color w:val="auto"/>
          <w:sz w:val="24"/>
          <w:szCs w:val="24"/>
        </w:rPr>
      </w:pPr>
      <w:r>
        <w:rPr>
          <w:color w:val="auto"/>
          <w:sz w:val="24"/>
          <w:szCs w:val="24"/>
        </w:rPr>
        <w:t>项目</w:t>
      </w:r>
      <w:r>
        <w:rPr>
          <w:rFonts w:hint="eastAsia"/>
          <w:color w:val="auto"/>
          <w:sz w:val="24"/>
          <w:szCs w:val="24"/>
        </w:rPr>
        <w:t>管道中天然气</w:t>
      </w:r>
      <w:r>
        <w:rPr>
          <w:color w:val="auto"/>
          <w:sz w:val="24"/>
          <w:szCs w:val="24"/>
        </w:rPr>
        <w:t>等为易燃</w:t>
      </w:r>
      <w:r>
        <w:rPr>
          <w:rFonts w:hint="eastAsia"/>
          <w:color w:val="auto"/>
          <w:sz w:val="24"/>
          <w:szCs w:val="24"/>
        </w:rPr>
        <w:t>易爆</w:t>
      </w:r>
      <w:r>
        <w:rPr>
          <w:color w:val="auto"/>
          <w:sz w:val="24"/>
          <w:szCs w:val="24"/>
        </w:rPr>
        <w:t>物质，一旦发生</w:t>
      </w:r>
      <w:r>
        <w:rPr>
          <w:rFonts w:hint="eastAsia"/>
          <w:color w:val="auto"/>
          <w:sz w:val="24"/>
          <w:szCs w:val="24"/>
        </w:rPr>
        <w:t>泄漏</w:t>
      </w:r>
      <w:r>
        <w:rPr>
          <w:color w:val="auto"/>
          <w:sz w:val="24"/>
          <w:szCs w:val="24"/>
        </w:rPr>
        <w:t>，极易引发火灾等危险，可能对周围环境造成破坏，同时废物不完全燃烧可能产生大量的烟尘及有毒物质，主要为CO。</w:t>
      </w:r>
    </w:p>
    <w:p w14:paraId="1B09A598">
      <w:pPr>
        <w:pStyle w:val="4"/>
        <w:rPr>
          <w:color w:val="auto"/>
        </w:rPr>
      </w:pPr>
      <w:r>
        <w:rPr>
          <w:rFonts w:hint="eastAsia"/>
          <w:color w:val="auto"/>
        </w:rPr>
        <w:t>有害物质扩散途径的识别</w:t>
      </w:r>
    </w:p>
    <w:p w14:paraId="5C227E20">
      <w:pPr>
        <w:spacing w:line="360" w:lineRule="auto"/>
        <w:ind w:firstLine="480" w:firstLineChars="200"/>
        <w:jc w:val="both"/>
        <w:rPr>
          <w:color w:val="auto"/>
          <w:sz w:val="24"/>
          <w:szCs w:val="24"/>
        </w:rPr>
      </w:pPr>
      <w:r>
        <w:rPr>
          <w:color w:val="auto"/>
          <w:sz w:val="24"/>
          <w:szCs w:val="24"/>
        </w:rPr>
        <w:t>（1）污染大气环境</w:t>
      </w:r>
    </w:p>
    <w:p w14:paraId="324D7D86">
      <w:pPr>
        <w:spacing w:line="360" w:lineRule="auto"/>
        <w:ind w:firstLine="480" w:firstLineChars="200"/>
        <w:jc w:val="both"/>
        <w:rPr>
          <w:color w:val="auto"/>
          <w:sz w:val="24"/>
          <w:szCs w:val="24"/>
        </w:rPr>
      </w:pPr>
      <w:r>
        <w:rPr>
          <w:rFonts w:hint="eastAsia"/>
          <w:color w:val="auto"/>
          <w:sz w:val="24"/>
          <w:szCs w:val="24"/>
        </w:rPr>
        <w:t>危险化学品物质</w:t>
      </w:r>
      <w:r>
        <w:rPr>
          <w:color w:val="auto"/>
          <w:sz w:val="24"/>
          <w:szCs w:val="24"/>
        </w:rPr>
        <w:t>运输过</w:t>
      </w:r>
      <w:r>
        <w:rPr>
          <w:rFonts w:hint="eastAsia"/>
          <w:color w:val="auto"/>
          <w:sz w:val="24"/>
          <w:szCs w:val="24"/>
          <w:lang w:eastAsia="zh-CN"/>
        </w:rPr>
        <w:t>程中</w:t>
      </w:r>
      <w:r>
        <w:rPr>
          <w:color w:val="auto"/>
          <w:sz w:val="24"/>
          <w:szCs w:val="24"/>
        </w:rPr>
        <w:t>发生风险事故时挥发的废气污染物可能对</w:t>
      </w:r>
      <w:r>
        <w:rPr>
          <w:rFonts w:hint="eastAsia"/>
          <w:color w:val="auto"/>
          <w:sz w:val="24"/>
          <w:szCs w:val="24"/>
        </w:rPr>
        <w:t>大气环境的影响</w:t>
      </w:r>
      <w:r>
        <w:rPr>
          <w:color w:val="auto"/>
          <w:sz w:val="24"/>
          <w:szCs w:val="24"/>
        </w:rPr>
        <w:t>；</w:t>
      </w:r>
      <w:r>
        <w:rPr>
          <w:rFonts w:hint="eastAsia"/>
          <w:color w:val="auto"/>
          <w:sz w:val="24"/>
          <w:szCs w:val="24"/>
        </w:rPr>
        <w:t>天然气</w:t>
      </w:r>
      <w:r>
        <w:rPr>
          <w:color w:val="auto"/>
          <w:sz w:val="24"/>
          <w:szCs w:val="24"/>
        </w:rPr>
        <w:t>等易燃易爆物质在储存或使用过程中由于误操作或遇明火等原因发生火灾、爆炸事故时，燃烧产生的</w:t>
      </w:r>
      <w:r>
        <w:rPr>
          <w:rFonts w:hint="eastAsia"/>
          <w:color w:val="auto"/>
          <w:sz w:val="24"/>
          <w:szCs w:val="24"/>
        </w:rPr>
        <w:t>污染物</w:t>
      </w:r>
      <w:r>
        <w:rPr>
          <w:color w:val="auto"/>
          <w:sz w:val="24"/>
          <w:szCs w:val="24"/>
        </w:rPr>
        <w:t>等污染物将对空气环境造成影响。</w:t>
      </w:r>
    </w:p>
    <w:p w14:paraId="61D546BC">
      <w:pPr>
        <w:spacing w:line="360" w:lineRule="auto"/>
        <w:ind w:firstLine="480" w:firstLineChars="200"/>
        <w:jc w:val="both"/>
        <w:rPr>
          <w:color w:val="auto"/>
          <w:sz w:val="24"/>
          <w:szCs w:val="24"/>
        </w:rPr>
      </w:pPr>
      <w:r>
        <w:rPr>
          <w:rFonts w:hint="eastAsia"/>
          <w:color w:val="auto"/>
          <w:sz w:val="24"/>
          <w:szCs w:val="24"/>
        </w:rPr>
        <w:t>（2）污染地表水环境</w:t>
      </w:r>
    </w:p>
    <w:p w14:paraId="4E0777F5">
      <w:pPr>
        <w:spacing w:line="360" w:lineRule="auto"/>
        <w:ind w:firstLine="480" w:firstLineChars="200"/>
        <w:jc w:val="both"/>
        <w:rPr>
          <w:color w:val="auto"/>
          <w:sz w:val="24"/>
          <w:szCs w:val="24"/>
        </w:rPr>
      </w:pPr>
      <w:r>
        <w:rPr>
          <w:rFonts w:hint="eastAsia"/>
          <w:color w:val="auto"/>
          <w:sz w:val="24"/>
          <w:szCs w:val="24"/>
        </w:rPr>
        <w:t>危险化学品物质</w:t>
      </w:r>
      <w:r>
        <w:rPr>
          <w:color w:val="auto"/>
          <w:sz w:val="24"/>
          <w:szCs w:val="24"/>
        </w:rPr>
        <w:t>运输过程发生风险事故时可能对周边</w:t>
      </w:r>
      <w:r>
        <w:rPr>
          <w:rFonts w:hint="eastAsia"/>
          <w:color w:val="auto"/>
          <w:sz w:val="24"/>
          <w:szCs w:val="24"/>
        </w:rPr>
        <w:t>地表</w:t>
      </w:r>
      <w:r>
        <w:rPr>
          <w:color w:val="auto"/>
          <w:sz w:val="24"/>
          <w:szCs w:val="24"/>
        </w:rPr>
        <w:t>水体造成影响；污水事故性排放时污水中的COD、SS等污染物将对周边</w:t>
      </w:r>
      <w:r>
        <w:rPr>
          <w:rFonts w:hint="eastAsia"/>
          <w:color w:val="auto"/>
          <w:sz w:val="24"/>
          <w:szCs w:val="24"/>
        </w:rPr>
        <w:t>地表</w:t>
      </w:r>
      <w:r>
        <w:rPr>
          <w:color w:val="auto"/>
          <w:sz w:val="24"/>
          <w:szCs w:val="24"/>
        </w:rPr>
        <w:t>水体造成影响；火灾、爆炸事故发生时灭火产生的消防废水处理不当排入地表水体时，将对周边水体造成影响。</w:t>
      </w:r>
    </w:p>
    <w:p w14:paraId="0F91CDCB">
      <w:pPr>
        <w:spacing w:line="360" w:lineRule="auto"/>
        <w:ind w:firstLine="480" w:firstLineChars="200"/>
        <w:jc w:val="both"/>
        <w:rPr>
          <w:color w:val="auto"/>
          <w:sz w:val="24"/>
          <w:szCs w:val="24"/>
        </w:rPr>
      </w:pPr>
      <w:r>
        <w:rPr>
          <w:rFonts w:hint="eastAsia"/>
          <w:color w:val="auto"/>
          <w:sz w:val="24"/>
          <w:szCs w:val="24"/>
        </w:rPr>
        <w:t>（3）污染地下水和土壤环境</w:t>
      </w:r>
    </w:p>
    <w:p w14:paraId="6790ABC7">
      <w:pPr>
        <w:spacing w:line="360" w:lineRule="auto"/>
        <w:ind w:firstLine="480" w:firstLineChars="200"/>
        <w:jc w:val="both"/>
        <w:rPr>
          <w:color w:val="auto"/>
          <w:sz w:val="24"/>
          <w:szCs w:val="24"/>
        </w:rPr>
      </w:pPr>
      <w:r>
        <w:rPr>
          <w:rFonts w:hint="eastAsia"/>
          <w:color w:val="auto"/>
          <w:sz w:val="24"/>
          <w:szCs w:val="24"/>
        </w:rPr>
        <w:t>危险化学品物质</w:t>
      </w:r>
      <w:r>
        <w:rPr>
          <w:color w:val="auto"/>
          <w:sz w:val="24"/>
          <w:szCs w:val="24"/>
        </w:rPr>
        <w:t>运输过程发生风险事故时可能对地下水和土壤环境造成影响；仓库</w:t>
      </w:r>
      <w:r>
        <w:rPr>
          <w:rFonts w:hint="eastAsia"/>
          <w:color w:val="auto"/>
          <w:sz w:val="24"/>
          <w:szCs w:val="24"/>
        </w:rPr>
        <w:t>危险化学品物质</w:t>
      </w:r>
      <w:r>
        <w:rPr>
          <w:color w:val="auto"/>
          <w:sz w:val="24"/>
          <w:szCs w:val="24"/>
        </w:rPr>
        <w:t>、</w:t>
      </w:r>
      <w:r>
        <w:rPr>
          <w:rFonts w:hint="eastAsia"/>
          <w:color w:val="auto"/>
          <w:sz w:val="24"/>
          <w:szCs w:val="24"/>
        </w:rPr>
        <w:t>危险废物贮存库中的危险废物、废液处理设施</w:t>
      </w:r>
      <w:r>
        <w:rPr>
          <w:color w:val="auto"/>
          <w:sz w:val="24"/>
          <w:szCs w:val="24"/>
        </w:rPr>
        <w:t>等在储存过程中由于操作不当、防渗材料破裂等原因将导致</w:t>
      </w:r>
      <w:r>
        <w:rPr>
          <w:rFonts w:hint="eastAsia"/>
          <w:color w:val="auto"/>
          <w:sz w:val="24"/>
          <w:szCs w:val="24"/>
        </w:rPr>
        <w:t>有毒有害物质泄漏</w:t>
      </w:r>
      <w:r>
        <w:rPr>
          <w:color w:val="auto"/>
          <w:sz w:val="24"/>
          <w:szCs w:val="24"/>
        </w:rPr>
        <w:t>污染地下水和土壤环境</w:t>
      </w:r>
      <w:r>
        <w:rPr>
          <w:rFonts w:hint="eastAsia"/>
          <w:color w:val="auto"/>
          <w:sz w:val="24"/>
          <w:szCs w:val="24"/>
        </w:rPr>
        <w:t>。</w:t>
      </w:r>
    </w:p>
    <w:p w14:paraId="341AD2A0">
      <w:pPr>
        <w:pStyle w:val="4"/>
        <w:rPr>
          <w:color w:val="auto"/>
        </w:rPr>
      </w:pPr>
      <w:r>
        <w:rPr>
          <w:rFonts w:hint="eastAsia"/>
          <w:color w:val="auto"/>
        </w:rPr>
        <w:t>伴生/次生污染的识别</w:t>
      </w:r>
    </w:p>
    <w:p w14:paraId="040F1C18">
      <w:pPr>
        <w:spacing w:line="360" w:lineRule="auto"/>
        <w:ind w:firstLine="480" w:firstLineChars="200"/>
        <w:jc w:val="both"/>
        <w:rPr>
          <w:color w:val="auto"/>
          <w:sz w:val="24"/>
          <w:szCs w:val="24"/>
        </w:rPr>
      </w:pPr>
      <w:r>
        <w:rPr>
          <w:rFonts w:hint="eastAsia"/>
          <w:color w:val="auto"/>
          <w:sz w:val="24"/>
          <w:szCs w:val="24"/>
        </w:rPr>
        <w:t>（1）</w:t>
      </w:r>
      <w:r>
        <w:rPr>
          <w:color w:val="auto"/>
          <w:sz w:val="24"/>
          <w:szCs w:val="24"/>
        </w:rPr>
        <w:t>废气污染物</w:t>
      </w:r>
    </w:p>
    <w:p w14:paraId="52B581A2">
      <w:pPr>
        <w:spacing w:line="360" w:lineRule="auto"/>
        <w:ind w:firstLine="480" w:firstLineChars="200"/>
        <w:jc w:val="both"/>
        <w:rPr>
          <w:color w:val="auto"/>
          <w:sz w:val="24"/>
          <w:szCs w:val="24"/>
        </w:rPr>
      </w:pPr>
      <w:r>
        <w:rPr>
          <w:rFonts w:hint="eastAsia"/>
          <w:color w:val="auto"/>
          <w:sz w:val="24"/>
          <w:szCs w:val="24"/>
        </w:rPr>
        <w:t>本项目涉及的含氯化铝废酸液、含硝酸铝废酸液、硫酸铵、硝酸铵、硫酸、硝酸、脱</w:t>
      </w:r>
      <w:r>
        <w:rPr>
          <w:rFonts w:hint="eastAsia"/>
          <w:color w:val="auto"/>
          <w:sz w:val="24"/>
          <w:szCs w:val="24"/>
          <w:lang w:eastAsia="zh-CN"/>
        </w:rPr>
        <w:t>硝</w:t>
      </w:r>
      <w:r>
        <w:rPr>
          <w:rFonts w:hint="eastAsia"/>
          <w:color w:val="auto"/>
          <w:sz w:val="24"/>
          <w:szCs w:val="24"/>
        </w:rPr>
        <w:t>催化剂、废机油、15氨水等属于酸性腐蚀品、有毒、可燃易燃物质，一旦泄漏，或引发火灾、爆炸事故，物质本身、未燃烧物质及</w:t>
      </w:r>
      <w:r>
        <w:rPr>
          <w:color w:val="auto"/>
          <w:sz w:val="24"/>
          <w:szCs w:val="24"/>
        </w:rPr>
        <w:t>CO</w:t>
      </w:r>
      <w:r>
        <w:rPr>
          <w:rFonts w:hint="eastAsia"/>
          <w:color w:val="auto"/>
          <w:sz w:val="24"/>
          <w:szCs w:val="24"/>
        </w:rPr>
        <w:t>等不完全燃烧物质会造成一定程度的次生</w:t>
      </w:r>
      <w:r>
        <w:rPr>
          <w:color w:val="auto"/>
          <w:sz w:val="24"/>
          <w:szCs w:val="24"/>
        </w:rPr>
        <w:t>/</w:t>
      </w:r>
      <w:r>
        <w:rPr>
          <w:rFonts w:hint="eastAsia"/>
          <w:color w:val="auto"/>
          <w:sz w:val="24"/>
          <w:szCs w:val="24"/>
        </w:rPr>
        <w:t>伴生污染</w:t>
      </w:r>
      <w:r>
        <w:rPr>
          <w:color w:val="auto"/>
          <w:sz w:val="24"/>
          <w:szCs w:val="24"/>
        </w:rPr>
        <w:t>。</w:t>
      </w:r>
    </w:p>
    <w:p w14:paraId="183B178B">
      <w:pPr>
        <w:pStyle w:val="1065"/>
        <w:numPr>
          <w:ilvl w:val="0"/>
          <w:numId w:val="28"/>
        </w:numPr>
        <w:spacing w:line="360" w:lineRule="auto"/>
        <w:ind w:firstLineChars="0"/>
        <w:jc w:val="both"/>
        <w:rPr>
          <w:color w:val="auto"/>
          <w:sz w:val="24"/>
          <w:szCs w:val="24"/>
        </w:rPr>
      </w:pPr>
      <w:r>
        <w:rPr>
          <w:color w:val="auto"/>
          <w:sz w:val="24"/>
          <w:szCs w:val="24"/>
        </w:rPr>
        <w:t>废水污染物</w:t>
      </w:r>
    </w:p>
    <w:p w14:paraId="2E02F45B">
      <w:pPr>
        <w:spacing w:line="360" w:lineRule="auto"/>
        <w:ind w:firstLine="480" w:firstLineChars="200"/>
        <w:jc w:val="both"/>
        <w:rPr>
          <w:color w:val="auto"/>
          <w:sz w:val="24"/>
          <w:szCs w:val="24"/>
        </w:rPr>
      </w:pPr>
      <w:r>
        <w:rPr>
          <w:rFonts w:hint="eastAsia"/>
          <w:color w:val="auto"/>
          <w:sz w:val="24"/>
          <w:szCs w:val="24"/>
        </w:rPr>
        <w:t>含氯化铝废酸液、含硝酸铝废酸液、硫酸铵、硫酸、硝酸、脱</w:t>
      </w:r>
      <w:r>
        <w:rPr>
          <w:rFonts w:hint="eastAsia"/>
          <w:color w:val="auto"/>
          <w:sz w:val="24"/>
          <w:szCs w:val="24"/>
          <w:lang w:eastAsia="zh-CN"/>
        </w:rPr>
        <w:t>硝</w:t>
      </w:r>
      <w:r>
        <w:rPr>
          <w:rFonts w:hint="eastAsia"/>
          <w:color w:val="auto"/>
          <w:sz w:val="24"/>
          <w:szCs w:val="24"/>
        </w:rPr>
        <w:t>催化剂、废机油发生泄漏时，将对周边地下水体产生严重污染。</w:t>
      </w:r>
    </w:p>
    <w:p w14:paraId="42651E20">
      <w:pPr>
        <w:spacing w:line="360" w:lineRule="auto"/>
        <w:ind w:firstLine="480" w:firstLineChars="200"/>
        <w:jc w:val="both"/>
        <w:rPr>
          <w:color w:val="auto"/>
          <w:sz w:val="24"/>
          <w:szCs w:val="24"/>
        </w:rPr>
      </w:pPr>
      <w:r>
        <w:rPr>
          <w:rFonts w:hint="eastAsia"/>
          <w:color w:val="auto"/>
          <w:sz w:val="24"/>
          <w:szCs w:val="24"/>
        </w:rPr>
        <w:t>（3）</w:t>
      </w:r>
      <w:r>
        <w:rPr>
          <w:color w:val="auto"/>
          <w:sz w:val="24"/>
          <w:szCs w:val="24"/>
        </w:rPr>
        <w:t>固废污染物</w:t>
      </w:r>
    </w:p>
    <w:p w14:paraId="3C418E03">
      <w:pPr>
        <w:spacing w:line="360" w:lineRule="auto"/>
        <w:ind w:firstLine="480" w:firstLineChars="200"/>
        <w:jc w:val="both"/>
        <w:rPr>
          <w:color w:val="auto"/>
          <w:sz w:val="24"/>
          <w:szCs w:val="24"/>
        </w:rPr>
      </w:pPr>
      <w:r>
        <w:rPr>
          <w:color w:val="auto"/>
          <w:sz w:val="24"/>
          <w:szCs w:val="24"/>
        </w:rPr>
        <w:t>堵漏过程中可能使用的大量拦截、堵漏材料，掺杂一定的物料，若事故排放后随意丢弃、排放，将对环境产生二次污染。</w:t>
      </w:r>
    </w:p>
    <w:p w14:paraId="39F1E182">
      <w:pPr>
        <w:pStyle w:val="4"/>
        <w:rPr>
          <w:color w:val="auto"/>
        </w:rPr>
      </w:pPr>
      <w:r>
        <w:rPr>
          <w:rFonts w:hint="eastAsia"/>
          <w:color w:val="auto"/>
        </w:rPr>
        <w:t>风险识别结果</w:t>
      </w:r>
    </w:p>
    <w:p w14:paraId="0F64F898">
      <w:pPr>
        <w:spacing w:line="360" w:lineRule="auto"/>
        <w:ind w:firstLine="480" w:firstLineChars="200"/>
        <w:jc w:val="both"/>
        <w:rPr>
          <w:color w:val="auto"/>
          <w:sz w:val="24"/>
          <w:szCs w:val="24"/>
        </w:rPr>
      </w:pPr>
      <w:r>
        <w:rPr>
          <w:rFonts w:hint="eastAsia"/>
          <w:color w:val="auto"/>
          <w:sz w:val="24"/>
          <w:szCs w:val="24"/>
        </w:rPr>
        <w:t>综上，本项目涉及的危险物质包括含氯化铝废酸液、含硝酸铝废酸液、硫酸铵、硫酸、硝酸、脱</w:t>
      </w:r>
      <w:r>
        <w:rPr>
          <w:rFonts w:hint="eastAsia"/>
          <w:color w:val="auto"/>
          <w:sz w:val="24"/>
          <w:szCs w:val="24"/>
          <w:lang w:eastAsia="zh-CN"/>
        </w:rPr>
        <w:t>硝</w:t>
      </w:r>
      <w:r>
        <w:rPr>
          <w:rFonts w:hint="eastAsia"/>
          <w:color w:val="auto"/>
          <w:sz w:val="24"/>
          <w:szCs w:val="24"/>
        </w:rPr>
        <w:t>催化剂、废机油等。</w:t>
      </w:r>
    </w:p>
    <w:p w14:paraId="2FA193D2">
      <w:pPr>
        <w:spacing w:line="360" w:lineRule="auto"/>
        <w:ind w:firstLine="480" w:firstLineChars="200"/>
        <w:jc w:val="both"/>
        <w:rPr>
          <w:color w:val="auto"/>
          <w:sz w:val="24"/>
          <w:szCs w:val="24"/>
        </w:rPr>
      </w:pPr>
      <w:r>
        <w:rPr>
          <w:rFonts w:hint="eastAsia"/>
          <w:color w:val="auto"/>
          <w:sz w:val="24"/>
          <w:szCs w:val="24"/>
        </w:rPr>
        <w:t>根据划分原则，厂区识别出6个危险单元，本项目环境风险识别结果见</w:t>
      </w:r>
      <w:r>
        <w:rPr>
          <w:rFonts w:hint="eastAsia"/>
          <w:color w:val="auto"/>
          <w:sz w:val="24"/>
          <w:szCs w:val="24"/>
        </w:rPr>
        <w:fldChar w:fldCharType="begin"/>
      </w:r>
      <w:r>
        <w:instrText xml:space="preserve"> REF _Ref26687 \h  \* MERGEFORMAT</w:instrText>
      </w:r>
      <w:r>
        <w:rPr>
          <w:rFonts w:hint="eastAsia"/>
          <w:color w:val="auto"/>
          <w:sz w:val="24"/>
          <w:szCs w:val="24"/>
        </w:rPr>
        <w:fldChar w:fldCharType="separate"/>
      </w: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7.5</w:t>
      </w:r>
      <w:r>
        <w:rPr>
          <w:rFonts w:eastAsia="黑体"/>
          <w:color w:val="auto"/>
          <w:sz w:val="23"/>
          <w:szCs w:val="24"/>
        </w:rPr>
        <w:fldChar w:fldCharType="end"/>
      </w:r>
      <w:r>
        <w:rPr>
          <w:rFonts w:eastAsia="黑体"/>
          <w:color w:val="auto"/>
          <w:sz w:val="23"/>
          <w:szCs w:val="24"/>
        </w:rPr>
        <w:noBreakHyphen/>
      </w:r>
      <w:r>
        <w:rPr>
          <w:rFonts w:hint="eastAsia" w:eastAsia="黑体"/>
          <w:color w:val="auto"/>
          <w:sz w:val="23"/>
          <w:szCs w:val="24"/>
        </w:rPr>
        <w:t>3</w:t>
      </w:r>
      <w:r>
        <w:rPr>
          <w:rFonts w:hint="eastAsia"/>
          <w:color w:val="auto"/>
          <w:sz w:val="24"/>
          <w:szCs w:val="24"/>
        </w:rPr>
        <w:fldChar w:fldCharType="end"/>
      </w:r>
      <w:r>
        <w:rPr>
          <w:rFonts w:hint="eastAsia"/>
          <w:color w:val="auto"/>
          <w:sz w:val="24"/>
          <w:szCs w:val="24"/>
        </w:rPr>
        <w:t>。</w:t>
      </w:r>
    </w:p>
    <w:p w14:paraId="64B0A665">
      <w:pPr>
        <w:spacing w:before="163" w:beforeLines="50"/>
        <w:jc w:val="center"/>
        <w:rPr>
          <w:rFonts w:eastAsia="黑体"/>
          <w:color w:val="auto"/>
          <w:sz w:val="23"/>
          <w:szCs w:val="24"/>
        </w:rPr>
      </w:pPr>
      <w:bookmarkStart w:id="386" w:name="_Ref26687"/>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7.5</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3</w:t>
      </w:r>
      <w:r>
        <w:rPr>
          <w:rFonts w:eastAsia="黑体"/>
          <w:color w:val="auto"/>
          <w:sz w:val="23"/>
          <w:szCs w:val="24"/>
        </w:rPr>
        <w:fldChar w:fldCharType="end"/>
      </w:r>
      <w:bookmarkEnd w:id="386"/>
      <w:r>
        <w:rPr>
          <w:rFonts w:hint="eastAsia" w:eastAsia="黑体"/>
          <w:color w:val="auto"/>
          <w:sz w:val="23"/>
          <w:szCs w:val="24"/>
        </w:rPr>
        <w:t xml:space="preserve"> 本项目环境风险识别结果一览表</w:t>
      </w:r>
    </w:p>
    <w:tbl>
      <w:tblPr>
        <w:tblStyle w:val="1937"/>
        <w:tblW w:w="4928"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33"/>
        <w:gridCol w:w="719"/>
        <w:gridCol w:w="865"/>
        <w:gridCol w:w="1539"/>
        <w:gridCol w:w="2057"/>
        <w:gridCol w:w="1774"/>
        <w:gridCol w:w="972"/>
      </w:tblGrid>
      <w:tr w14:paraId="385A4DB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838" w:type="pct"/>
            <w:gridSpan w:val="2"/>
            <w:vAlign w:val="center"/>
          </w:tcPr>
          <w:p w14:paraId="67EC58FD">
            <w:pPr>
              <w:widowControl w:val="0"/>
              <w:spacing w:line="360" w:lineRule="exact"/>
              <w:jc w:val="center"/>
              <w:rPr>
                <w:color w:val="auto"/>
                <w:sz w:val="21"/>
                <w:szCs w:val="21"/>
              </w:rPr>
            </w:pPr>
            <w:r>
              <w:rPr>
                <w:color w:val="auto"/>
                <w:sz w:val="21"/>
                <w:szCs w:val="21"/>
              </w:rPr>
              <w:t>危险单元</w:t>
            </w:r>
          </w:p>
        </w:tc>
        <w:tc>
          <w:tcPr>
            <w:tcW w:w="499" w:type="pct"/>
            <w:vAlign w:val="center"/>
          </w:tcPr>
          <w:p w14:paraId="711EDC1E">
            <w:pPr>
              <w:widowControl w:val="0"/>
              <w:spacing w:line="360" w:lineRule="exact"/>
              <w:jc w:val="center"/>
              <w:rPr>
                <w:color w:val="auto"/>
                <w:sz w:val="21"/>
                <w:szCs w:val="21"/>
              </w:rPr>
            </w:pPr>
            <w:r>
              <w:rPr>
                <w:color w:val="auto"/>
                <w:sz w:val="21"/>
                <w:szCs w:val="21"/>
              </w:rPr>
              <w:t>风险源</w:t>
            </w:r>
          </w:p>
        </w:tc>
        <w:tc>
          <w:tcPr>
            <w:tcW w:w="888" w:type="pct"/>
            <w:vAlign w:val="center"/>
          </w:tcPr>
          <w:p w14:paraId="47EF4E8E">
            <w:pPr>
              <w:widowControl w:val="0"/>
              <w:spacing w:line="360" w:lineRule="exact"/>
              <w:jc w:val="center"/>
              <w:rPr>
                <w:color w:val="auto"/>
                <w:sz w:val="21"/>
                <w:szCs w:val="21"/>
              </w:rPr>
            </w:pPr>
            <w:r>
              <w:rPr>
                <w:color w:val="auto"/>
                <w:sz w:val="21"/>
                <w:szCs w:val="21"/>
              </w:rPr>
              <w:t>主要危险物质</w:t>
            </w:r>
          </w:p>
        </w:tc>
        <w:tc>
          <w:tcPr>
            <w:tcW w:w="1187" w:type="pct"/>
            <w:vAlign w:val="center"/>
          </w:tcPr>
          <w:p w14:paraId="42A5678A">
            <w:pPr>
              <w:widowControl w:val="0"/>
              <w:spacing w:line="360" w:lineRule="exact"/>
              <w:jc w:val="center"/>
              <w:rPr>
                <w:color w:val="auto"/>
                <w:sz w:val="21"/>
                <w:szCs w:val="21"/>
              </w:rPr>
            </w:pPr>
            <w:r>
              <w:rPr>
                <w:color w:val="auto"/>
                <w:sz w:val="21"/>
                <w:szCs w:val="21"/>
              </w:rPr>
              <w:t>环境风险类型</w:t>
            </w:r>
          </w:p>
        </w:tc>
        <w:tc>
          <w:tcPr>
            <w:tcW w:w="1024" w:type="pct"/>
            <w:vAlign w:val="center"/>
          </w:tcPr>
          <w:p w14:paraId="5E81FDAF">
            <w:pPr>
              <w:widowControl w:val="0"/>
              <w:spacing w:line="360" w:lineRule="exact"/>
              <w:jc w:val="center"/>
              <w:rPr>
                <w:color w:val="auto"/>
                <w:sz w:val="21"/>
                <w:szCs w:val="21"/>
              </w:rPr>
            </w:pPr>
            <w:r>
              <w:rPr>
                <w:color w:val="auto"/>
                <w:sz w:val="21"/>
                <w:szCs w:val="21"/>
              </w:rPr>
              <w:t>环境影响途径</w:t>
            </w:r>
          </w:p>
        </w:tc>
        <w:tc>
          <w:tcPr>
            <w:tcW w:w="561" w:type="pct"/>
            <w:vAlign w:val="center"/>
          </w:tcPr>
          <w:p w14:paraId="3BEE19A3">
            <w:pPr>
              <w:widowControl w:val="0"/>
              <w:spacing w:line="360" w:lineRule="exact"/>
              <w:jc w:val="center"/>
              <w:rPr>
                <w:color w:val="auto"/>
                <w:sz w:val="21"/>
                <w:szCs w:val="21"/>
              </w:rPr>
            </w:pPr>
            <w:r>
              <w:rPr>
                <w:color w:val="auto"/>
                <w:sz w:val="21"/>
                <w:szCs w:val="21"/>
              </w:rPr>
              <w:t>可能受影响的环境敏感目标</w:t>
            </w:r>
          </w:p>
        </w:tc>
      </w:tr>
      <w:tr w14:paraId="7391CBE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3" w:type="pct"/>
            <w:vAlign w:val="center"/>
          </w:tcPr>
          <w:p w14:paraId="7B654F75">
            <w:pPr>
              <w:widowControl w:val="0"/>
              <w:spacing w:line="360" w:lineRule="exact"/>
              <w:jc w:val="center"/>
              <w:rPr>
                <w:color w:val="auto"/>
                <w:sz w:val="21"/>
                <w:szCs w:val="21"/>
              </w:rPr>
            </w:pPr>
            <w:r>
              <w:rPr>
                <w:rFonts w:hint="eastAsia"/>
                <w:color w:val="auto"/>
                <w:sz w:val="21"/>
                <w:szCs w:val="21"/>
              </w:rPr>
              <w:t>危险</w:t>
            </w:r>
          </w:p>
          <w:p w14:paraId="78A628BF">
            <w:pPr>
              <w:widowControl w:val="0"/>
              <w:spacing w:line="360" w:lineRule="exact"/>
              <w:jc w:val="center"/>
              <w:rPr>
                <w:color w:val="auto"/>
                <w:sz w:val="21"/>
                <w:szCs w:val="21"/>
              </w:rPr>
            </w:pPr>
            <w:r>
              <w:rPr>
                <w:rFonts w:hint="eastAsia"/>
                <w:color w:val="auto"/>
                <w:sz w:val="21"/>
                <w:szCs w:val="21"/>
              </w:rPr>
              <w:t>单元1</w:t>
            </w:r>
          </w:p>
        </w:tc>
        <w:tc>
          <w:tcPr>
            <w:tcW w:w="415" w:type="pct"/>
            <w:vAlign w:val="center"/>
          </w:tcPr>
          <w:p w14:paraId="1976214C">
            <w:pPr>
              <w:widowControl w:val="0"/>
              <w:spacing w:line="360" w:lineRule="exact"/>
              <w:jc w:val="center"/>
              <w:rPr>
                <w:color w:val="auto"/>
                <w:sz w:val="21"/>
                <w:szCs w:val="21"/>
              </w:rPr>
            </w:pPr>
            <w:r>
              <w:rPr>
                <w:rFonts w:hint="eastAsia"/>
                <w:color w:val="auto"/>
                <w:sz w:val="21"/>
                <w:szCs w:val="21"/>
              </w:rPr>
              <w:t>锅炉车间</w:t>
            </w:r>
          </w:p>
        </w:tc>
        <w:tc>
          <w:tcPr>
            <w:tcW w:w="499" w:type="pct"/>
            <w:vAlign w:val="center"/>
          </w:tcPr>
          <w:p w14:paraId="63E82877">
            <w:pPr>
              <w:widowControl w:val="0"/>
              <w:spacing w:line="360" w:lineRule="exact"/>
              <w:jc w:val="center"/>
              <w:rPr>
                <w:color w:val="auto"/>
                <w:sz w:val="21"/>
                <w:szCs w:val="21"/>
              </w:rPr>
            </w:pPr>
            <w:r>
              <w:rPr>
                <w:rFonts w:hint="eastAsia"/>
                <w:color w:val="auto"/>
                <w:sz w:val="21"/>
                <w:szCs w:val="21"/>
              </w:rPr>
              <w:t>锅炉</w:t>
            </w:r>
          </w:p>
        </w:tc>
        <w:tc>
          <w:tcPr>
            <w:tcW w:w="888" w:type="pct"/>
            <w:vAlign w:val="center"/>
          </w:tcPr>
          <w:p w14:paraId="5C653E7C">
            <w:pPr>
              <w:widowControl w:val="0"/>
              <w:spacing w:line="360" w:lineRule="exact"/>
              <w:jc w:val="center"/>
              <w:rPr>
                <w:color w:val="auto"/>
                <w:sz w:val="21"/>
                <w:szCs w:val="21"/>
              </w:rPr>
            </w:pPr>
            <w:r>
              <w:rPr>
                <w:rFonts w:hint="eastAsia"/>
                <w:color w:val="auto"/>
                <w:sz w:val="21"/>
                <w:szCs w:val="21"/>
              </w:rPr>
              <w:t>天然气</w:t>
            </w:r>
          </w:p>
        </w:tc>
        <w:tc>
          <w:tcPr>
            <w:tcW w:w="1187" w:type="pct"/>
            <w:vAlign w:val="center"/>
          </w:tcPr>
          <w:p w14:paraId="331B1269">
            <w:pPr>
              <w:widowControl w:val="0"/>
              <w:spacing w:line="360" w:lineRule="exact"/>
              <w:jc w:val="center"/>
              <w:rPr>
                <w:color w:val="auto"/>
                <w:sz w:val="21"/>
                <w:szCs w:val="21"/>
              </w:rPr>
            </w:pPr>
            <w:r>
              <w:rPr>
                <w:rFonts w:hint="eastAsia"/>
                <w:color w:val="auto"/>
                <w:sz w:val="21"/>
                <w:szCs w:val="21"/>
              </w:rPr>
              <w:t>设备因腐蚀等导致天然气泄漏、中毒、火灾、爆炸的风险</w:t>
            </w:r>
          </w:p>
        </w:tc>
        <w:tc>
          <w:tcPr>
            <w:tcW w:w="1024" w:type="pct"/>
            <w:vAlign w:val="center"/>
          </w:tcPr>
          <w:p w14:paraId="309E072F">
            <w:pPr>
              <w:widowControl w:val="0"/>
              <w:spacing w:line="360" w:lineRule="exact"/>
              <w:jc w:val="center"/>
              <w:rPr>
                <w:color w:val="auto"/>
                <w:sz w:val="21"/>
                <w:szCs w:val="21"/>
              </w:rPr>
            </w:pPr>
            <w:r>
              <w:rPr>
                <w:rFonts w:hint="eastAsia"/>
                <w:color w:val="auto"/>
                <w:sz w:val="21"/>
                <w:szCs w:val="21"/>
              </w:rPr>
              <w:t>泄漏对周边大气环境的污染影响，甚至造成周边人员中毒伤亡。</w:t>
            </w:r>
          </w:p>
        </w:tc>
        <w:tc>
          <w:tcPr>
            <w:tcW w:w="561" w:type="pct"/>
            <w:vMerge w:val="restart"/>
            <w:vAlign w:val="center"/>
          </w:tcPr>
          <w:p w14:paraId="39866307">
            <w:pPr>
              <w:widowControl w:val="0"/>
              <w:spacing w:line="360" w:lineRule="exact"/>
              <w:jc w:val="center"/>
              <w:rPr>
                <w:color w:val="auto"/>
                <w:sz w:val="21"/>
                <w:szCs w:val="21"/>
              </w:rPr>
            </w:pPr>
            <w:r>
              <w:rPr>
                <w:rFonts w:hint="eastAsia"/>
                <w:color w:val="auto"/>
                <w:sz w:val="21"/>
                <w:szCs w:val="21"/>
              </w:rPr>
              <w:t>厂区等周边居民点、周边大气、土壤及地下水等。</w:t>
            </w:r>
          </w:p>
        </w:tc>
      </w:tr>
      <w:tr w14:paraId="2CC8999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3" w:type="pct"/>
            <w:vMerge w:val="restart"/>
            <w:vAlign w:val="center"/>
          </w:tcPr>
          <w:p w14:paraId="3B490868">
            <w:pPr>
              <w:widowControl w:val="0"/>
              <w:spacing w:line="360" w:lineRule="exact"/>
              <w:jc w:val="center"/>
              <w:rPr>
                <w:color w:val="auto"/>
                <w:sz w:val="21"/>
                <w:szCs w:val="21"/>
              </w:rPr>
            </w:pPr>
            <w:r>
              <w:rPr>
                <w:rFonts w:hint="eastAsia"/>
                <w:color w:val="auto"/>
                <w:sz w:val="21"/>
                <w:szCs w:val="21"/>
              </w:rPr>
              <w:t>危险</w:t>
            </w:r>
          </w:p>
          <w:p w14:paraId="7BD4585E">
            <w:pPr>
              <w:widowControl w:val="0"/>
              <w:spacing w:line="360" w:lineRule="exact"/>
              <w:jc w:val="center"/>
              <w:rPr>
                <w:color w:val="auto"/>
                <w:sz w:val="21"/>
                <w:szCs w:val="21"/>
              </w:rPr>
            </w:pPr>
            <w:r>
              <w:rPr>
                <w:rFonts w:hint="eastAsia"/>
                <w:color w:val="auto"/>
                <w:sz w:val="21"/>
                <w:szCs w:val="21"/>
              </w:rPr>
              <w:t>单元2</w:t>
            </w:r>
          </w:p>
        </w:tc>
        <w:tc>
          <w:tcPr>
            <w:tcW w:w="415" w:type="pct"/>
            <w:vMerge w:val="restart"/>
            <w:vAlign w:val="center"/>
          </w:tcPr>
          <w:p w14:paraId="1C4EFF25">
            <w:pPr>
              <w:widowControl w:val="0"/>
              <w:spacing w:line="360" w:lineRule="exact"/>
              <w:jc w:val="center"/>
              <w:rPr>
                <w:color w:val="auto"/>
                <w:sz w:val="21"/>
                <w:szCs w:val="21"/>
              </w:rPr>
            </w:pPr>
            <w:r>
              <w:rPr>
                <w:rFonts w:hint="eastAsia"/>
                <w:color w:val="auto"/>
                <w:sz w:val="21"/>
                <w:szCs w:val="21"/>
              </w:rPr>
              <w:t>生产车间1</w:t>
            </w:r>
          </w:p>
        </w:tc>
        <w:tc>
          <w:tcPr>
            <w:tcW w:w="499" w:type="pct"/>
            <w:vAlign w:val="center"/>
          </w:tcPr>
          <w:p w14:paraId="1D9EDE9F">
            <w:pPr>
              <w:widowControl w:val="0"/>
              <w:spacing w:line="360" w:lineRule="exact"/>
              <w:jc w:val="center"/>
              <w:rPr>
                <w:color w:val="auto"/>
                <w:sz w:val="21"/>
                <w:szCs w:val="21"/>
              </w:rPr>
            </w:pPr>
            <w:r>
              <w:rPr>
                <w:rFonts w:hint="eastAsia"/>
                <w:color w:val="auto"/>
                <w:sz w:val="21"/>
                <w:szCs w:val="21"/>
              </w:rPr>
              <w:t>混合反应釜</w:t>
            </w:r>
          </w:p>
        </w:tc>
        <w:tc>
          <w:tcPr>
            <w:tcW w:w="888" w:type="pct"/>
            <w:vMerge w:val="restart"/>
            <w:vAlign w:val="center"/>
          </w:tcPr>
          <w:p w14:paraId="72CF4BBB">
            <w:pPr>
              <w:widowControl w:val="0"/>
              <w:spacing w:line="360" w:lineRule="exact"/>
              <w:jc w:val="center"/>
              <w:rPr>
                <w:color w:val="auto"/>
                <w:sz w:val="21"/>
                <w:szCs w:val="21"/>
              </w:rPr>
            </w:pPr>
            <w:r>
              <w:rPr>
                <w:rFonts w:hint="eastAsia"/>
                <w:color w:val="auto"/>
                <w:sz w:val="21"/>
                <w:szCs w:val="21"/>
              </w:rPr>
              <w:t>含氯化铝废酸液、含硝酸铝废酸液、硫酸铵、硝酸铵、硫酸、硝酸</w:t>
            </w:r>
          </w:p>
        </w:tc>
        <w:tc>
          <w:tcPr>
            <w:tcW w:w="1187" w:type="pct"/>
            <w:vAlign w:val="center"/>
          </w:tcPr>
          <w:p w14:paraId="15993A33">
            <w:pPr>
              <w:widowControl w:val="0"/>
              <w:spacing w:line="360" w:lineRule="exact"/>
              <w:jc w:val="center"/>
              <w:rPr>
                <w:color w:val="auto"/>
                <w:sz w:val="21"/>
                <w:szCs w:val="21"/>
              </w:rPr>
            </w:pPr>
            <w:r>
              <w:rPr>
                <w:rFonts w:hint="eastAsia"/>
                <w:color w:val="auto"/>
                <w:sz w:val="21"/>
                <w:szCs w:val="21"/>
              </w:rPr>
              <w:t>设备因腐蚀等导致物料泄漏</w:t>
            </w:r>
          </w:p>
        </w:tc>
        <w:tc>
          <w:tcPr>
            <w:tcW w:w="1024" w:type="pct"/>
            <w:tcBorders>
              <w:bottom w:val="single" w:color="auto" w:sz="4" w:space="0"/>
            </w:tcBorders>
            <w:vAlign w:val="center"/>
          </w:tcPr>
          <w:p w14:paraId="325A7458">
            <w:pPr>
              <w:widowControl w:val="0"/>
              <w:spacing w:line="360" w:lineRule="exact"/>
              <w:jc w:val="center"/>
              <w:rPr>
                <w:color w:val="auto"/>
                <w:sz w:val="21"/>
                <w:szCs w:val="21"/>
              </w:rPr>
            </w:pPr>
            <w:r>
              <w:rPr>
                <w:rFonts w:hint="eastAsia"/>
                <w:color w:val="auto"/>
                <w:sz w:val="21"/>
                <w:szCs w:val="21"/>
              </w:rPr>
              <w:t>泄漏对周边地下水环境的污染影响。</w:t>
            </w:r>
          </w:p>
        </w:tc>
        <w:tc>
          <w:tcPr>
            <w:tcW w:w="561" w:type="pct"/>
            <w:vMerge w:val="continue"/>
            <w:vAlign w:val="center"/>
          </w:tcPr>
          <w:p w14:paraId="532E2830">
            <w:pPr>
              <w:widowControl w:val="0"/>
              <w:spacing w:line="360" w:lineRule="exact"/>
              <w:jc w:val="center"/>
              <w:rPr>
                <w:color w:val="auto"/>
                <w:sz w:val="21"/>
                <w:szCs w:val="21"/>
              </w:rPr>
            </w:pPr>
          </w:p>
        </w:tc>
      </w:tr>
      <w:tr w14:paraId="1F9DCA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3" w:type="pct"/>
            <w:vMerge w:val="continue"/>
            <w:vAlign w:val="center"/>
          </w:tcPr>
          <w:p w14:paraId="26B8519A">
            <w:pPr>
              <w:widowControl w:val="0"/>
              <w:spacing w:line="360" w:lineRule="exact"/>
              <w:jc w:val="center"/>
              <w:rPr>
                <w:color w:val="auto"/>
                <w:sz w:val="21"/>
                <w:szCs w:val="21"/>
              </w:rPr>
            </w:pPr>
          </w:p>
        </w:tc>
        <w:tc>
          <w:tcPr>
            <w:tcW w:w="415" w:type="pct"/>
            <w:vMerge w:val="continue"/>
            <w:vAlign w:val="center"/>
          </w:tcPr>
          <w:p w14:paraId="081F5970">
            <w:pPr>
              <w:widowControl w:val="0"/>
              <w:spacing w:line="360" w:lineRule="exact"/>
              <w:jc w:val="center"/>
              <w:rPr>
                <w:color w:val="auto"/>
                <w:sz w:val="21"/>
                <w:szCs w:val="21"/>
              </w:rPr>
            </w:pPr>
          </w:p>
        </w:tc>
        <w:tc>
          <w:tcPr>
            <w:tcW w:w="499" w:type="pct"/>
            <w:vAlign w:val="center"/>
          </w:tcPr>
          <w:p w14:paraId="35B6E505">
            <w:pPr>
              <w:widowControl w:val="0"/>
              <w:spacing w:line="360" w:lineRule="exact"/>
              <w:jc w:val="center"/>
              <w:rPr>
                <w:color w:val="auto"/>
                <w:sz w:val="21"/>
                <w:szCs w:val="21"/>
              </w:rPr>
            </w:pPr>
            <w:r>
              <w:rPr>
                <w:rFonts w:hint="eastAsia"/>
                <w:color w:val="auto"/>
                <w:sz w:val="21"/>
                <w:szCs w:val="21"/>
              </w:rPr>
              <w:t>混合液罐</w:t>
            </w:r>
          </w:p>
        </w:tc>
        <w:tc>
          <w:tcPr>
            <w:tcW w:w="888" w:type="pct"/>
            <w:vMerge w:val="continue"/>
            <w:vAlign w:val="center"/>
          </w:tcPr>
          <w:p w14:paraId="447CC7A9">
            <w:pPr>
              <w:widowControl w:val="0"/>
              <w:spacing w:line="360" w:lineRule="exact"/>
              <w:jc w:val="center"/>
              <w:rPr>
                <w:color w:val="auto"/>
                <w:sz w:val="21"/>
                <w:szCs w:val="21"/>
              </w:rPr>
            </w:pPr>
          </w:p>
        </w:tc>
        <w:tc>
          <w:tcPr>
            <w:tcW w:w="1187" w:type="pct"/>
            <w:vAlign w:val="center"/>
          </w:tcPr>
          <w:p w14:paraId="020465E1">
            <w:pPr>
              <w:widowControl w:val="0"/>
              <w:spacing w:line="360" w:lineRule="exact"/>
              <w:jc w:val="center"/>
              <w:rPr>
                <w:color w:val="auto"/>
                <w:sz w:val="21"/>
                <w:szCs w:val="21"/>
              </w:rPr>
            </w:pPr>
            <w:r>
              <w:rPr>
                <w:rFonts w:hint="eastAsia"/>
                <w:color w:val="auto"/>
                <w:sz w:val="21"/>
                <w:szCs w:val="21"/>
              </w:rPr>
              <w:t>设备因腐蚀等导致物料泄漏</w:t>
            </w:r>
          </w:p>
        </w:tc>
        <w:tc>
          <w:tcPr>
            <w:tcW w:w="1024" w:type="pct"/>
            <w:tcBorders>
              <w:top w:val="single" w:color="auto" w:sz="4" w:space="0"/>
            </w:tcBorders>
            <w:vAlign w:val="center"/>
          </w:tcPr>
          <w:p w14:paraId="7DC52726">
            <w:pPr>
              <w:widowControl w:val="0"/>
              <w:spacing w:line="360" w:lineRule="exact"/>
              <w:jc w:val="center"/>
              <w:rPr>
                <w:color w:val="auto"/>
                <w:sz w:val="21"/>
                <w:szCs w:val="21"/>
              </w:rPr>
            </w:pPr>
            <w:r>
              <w:rPr>
                <w:rFonts w:hint="eastAsia"/>
                <w:color w:val="auto"/>
                <w:sz w:val="21"/>
                <w:szCs w:val="21"/>
              </w:rPr>
              <w:t>泄漏对周边地下水环境的污染影响。</w:t>
            </w:r>
          </w:p>
        </w:tc>
        <w:tc>
          <w:tcPr>
            <w:tcW w:w="561" w:type="pct"/>
            <w:vMerge w:val="continue"/>
            <w:vAlign w:val="center"/>
          </w:tcPr>
          <w:p w14:paraId="0F7BE8C7">
            <w:pPr>
              <w:widowControl w:val="0"/>
              <w:spacing w:line="360" w:lineRule="exact"/>
              <w:jc w:val="center"/>
              <w:rPr>
                <w:color w:val="auto"/>
                <w:sz w:val="21"/>
                <w:szCs w:val="21"/>
              </w:rPr>
            </w:pPr>
          </w:p>
        </w:tc>
      </w:tr>
      <w:tr w14:paraId="4C459F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3" w:type="pct"/>
            <w:vMerge w:val="continue"/>
            <w:vAlign w:val="center"/>
          </w:tcPr>
          <w:p w14:paraId="0361D673">
            <w:pPr>
              <w:widowControl w:val="0"/>
              <w:spacing w:line="360" w:lineRule="exact"/>
              <w:jc w:val="center"/>
              <w:rPr>
                <w:color w:val="auto"/>
                <w:sz w:val="21"/>
                <w:szCs w:val="21"/>
              </w:rPr>
            </w:pPr>
          </w:p>
        </w:tc>
        <w:tc>
          <w:tcPr>
            <w:tcW w:w="415" w:type="pct"/>
            <w:vMerge w:val="continue"/>
            <w:vAlign w:val="center"/>
          </w:tcPr>
          <w:p w14:paraId="5B6CB2CC">
            <w:pPr>
              <w:widowControl w:val="0"/>
              <w:spacing w:line="360" w:lineRule="exact"/>
              <w:jc w:val="center"/>
              <w:rPr>
                <w:color w:val="auto"/>
                <w:sz w:val="21"/>
                <w:szCs w:val="21"/>
              </w:rPr>
            </w:pPr>
          </w:p>
        </w:tc>
        <w:tc>
          <w:tcPr>
            <w:tcW w:w="499" w:type="pct"/>
            <w:vAlign w:val="center"/>
          </w:tcPr>
          <w:p w14:paraId="74141EB6">
            <w:pPr>
              <w:widowControl w:val="0"/>
              <w:spacing w:line="360" w:lineRule="exact"/>
              <w:jc w:val="center"/>
              <w:rPr>
                <w:color w:val="auto"/>
                <w:sz w:val="21"/>
                <w:szCs w:val="21"/>
              </w:rPr>
            </w:pPr>
            <w:r>
              <w:rPr>
                <w:rFonts w:hint="eastAsia"/>
                <w:color w:val="auto"/>
                <w:sz w:val="21"/>
                <w:szCs w:val="21"/>
              </w:rPr>
              <w:t>浓缩釜</w:t>
            </w:r>
          </w:p>
        </w:tc>
        <w:tc>
          <w:tcPr>
            <w:tcW w:w="888" w:type="pct"/>
            <w:tcBorders>
              <w:top w:val="single" w:color="auto" w:sz="4" w:space="0"/>
            </w:tcBorders>
            <w:vAlign w:val="center"/>
          </w:tcPr>
          <w:p w14:paraId="42EB2DD1">
            <w:pPr>
              <w:widowControl w:val="0"/>
              <w:spacing w:line="360" w:lineRule="exact"/>
              <w:jc w:val="center"/>
              <w:rPr>
                <w:color w:val="auto"/>
                <w:sz w:val="21"/>
                <w:szCs w:val="21"/>
              </w:rPr>
            </w:pPr>
            <w:r>
              <w:rPr>
                <w:rFonts w:hint="eastAsia"/>
                <w:color w:val="auto"/>
                <w:sz w:val="21"/>
                <w:szCs w:val="21"/>
              </w:rPr>
              <w:t>硫酸铵</w:t>
            </w:r>
          </w:p>
        </w:tc>
        <w:tc>
          <w:tcPr>
            <w:tcW w:w="1187" w:type="pct"/>
            <w:vAlign w:val="center"/>
          </w:tcPr>
          <w:p w14:paraId="534994F3">
            <w:pPr>
              <w:widowControl w:val="0"/>
              <w:spacing w:line="360" w:lineRule="exact"/>
              <w:jc w:val="center"/>
              <w:rPr>
                <w:color w:val="auto"/>
                <w:sz w:val="21"/>
                <w:szCs w:val="21"/>
              </w:rPr>
            </w:pPr>
            <w:r>
              <w:rPr>
                <w:rFonts w:hint="eastAsia"/>
                <w:color w:val="auto"/>
                <w:sz w:val="21"/>
                <w:szCs w:val="21"/>
              </w:rPr>
              <w:t>设备因腐蚀等导致物料泄漏</w:t>
            </w:r>
          </w:p>
        </w:tc>
        <w:tc>
          <w:tcPr>
            <w:tcW w:w="1024" w:type="pct"/>
            <w:tcBorders>
              <w:top w:val="single" w:color="auto" w:sz="4" w:space="0"/>
            </w:tcBorders>
            <w:vAlign w:val="center"/>
          </w:tcPr>
          <w:p w14:paraId="48E408F1">
            <w:pPr>
              <w:widowControl w:val="0"/>
              <w:spacing w:line="360" w:lineRule="exact"/>
              <w:jc w:val="center"/>
              <w:rPr>
                <w:color w:val="auto"/>
                <w:sz w:val="21"/>
                <w:szCs w:val="21"/>
              </w:rPr>
            </w:pPr>
            <w:r>
              <w:rPr>
                <w:rFonts w:hint="eastAsia"/>
                <w:color w:val="auto"/>
                <w:sz w:val="21"/>
                <w:szCs w:val="21"/>
              </w:rPr>
              <w:t>泄漏对周边地下水环境的污染影响。</w:t>
            </w:r>
          </w:p>
        </w:tc>
        <w:tc>
          <w:tcPr>
            <w:tcW w:w="561" w:type="pct"/>
            <w:vMerge w:val="continue"/>
            <w:vAlign w:val="center"/>
          </w:tcPr>
          <w:p w14:paraId="6F37D725">
            <w:pPr>
              <w:widowControl w:val="0"/>
              <w:spacing w:line="360" w:lineRule="exact"/>
              <w:jc w:val="center"/>
              <w:rPr>
                <w:color w:val="auto"/>
                <w:sz w:val="21"/>
                <w:szCs w:val="21"/>
              </w:rPr>
            </w:pPr>
          </w:p>
        </w:tc>
      </w:tr>
      <w:tr w14:paraId="172A56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3" w:type="pct"/>
            <w:vMerge w:val="continue"/>
            <w:vAlign w:val="center"/>
          </w:tcPr>
          <w:p w14:paraId="25FA466B">
            <w:pPr>
              <w:widowControl w:val="0"/>
              <w:spacing w:line="360" w:lineRule="exact"/>
              <w:jc w:val="center"/>
              <w:rPr>
                <w:color w:val="auto"/>
                <w:sz w:val="21"/>
                <w:szCs w:val="21"/>
              </w:rPr>
            </w:pPr>
          </w:p>
        </w:tc>
        <w:tc>
          <w:tcPr>
            <w:tcW w:w="415" w:type="pct"/>
            <w:vMerge w:val="continue"/>
            <w:vAlign w:val="center"/>
          </w:tcPr>
          <w:p w14:paraId="0D6C4241">
            <w:pPr>
              <w:widowControl w:val="0"/>
              <w:spacing w:line="360" w:lineRule="exact"/>
              <w:jc w:val="center"/>
              <w:rPr>
                <w:color w:val="auto"/>
                <w:sz w:val="21"/>
                <w:szCs w:val="21"/>
              </w:rPr>
            </w:pPr>
          </w:p>
        </w:tc>
        <w:tc>
          <w:tcPr>
            <w:tcW w:w="499" w:type="pct"/>
            <w:vAlign w:val="center"/>
          </w:tcPr>
          <w:p w14:paraId="0D3660C1">
            <w:pPr>
              <w:widowControl w:val="0"/>
              <w:spacing w:line="360" w:lineRule="exact"/>
              <w:jc w:val="center"/>
              <w:rPr>
                <w:color w:val="auto"/>
                <w:sz w:val="21"/>
                <w:szCs w:val="21"/>
              </w:rPr>
            </w:pPr>
            <w:r>
              <w:rPr>
                <w:rFonts w:hint="eastAsia"/>
                <w:color w:val="auto"/>
                <w:sz w:val="21"/>
                <w:szCs w:val="21"/>
              </w:rPr>
              <w:t>干燥器</w:t>
            </w:r>
          </w:p>
        </w:tc>
        <w:tc>
          <w:tcPr>
            <w:tcW w:w="888" w:type="pct"/>
            <w:tcBorders>
              <w:top w:val="single" w:color="auto" w:sz="4" w:space="0"/>
            </w:tcBorders>
            <w:vAlign w:val="center"/>
          </w:tcPr>
          <w:p w14:paraId="7A2A74DF">
            <w:pPr>
              <w:widowControl w:val="0"/>
              <w:spacing w:line="360" w:lineRule="exact"/>
              <w:jc w:val="center"/>
              <w:rPr>
                <w:color w:val="auto"/>
                <w:sz w:val="21"/>
                <w:szCs w:val="21"/>
              </w:rPr>
            </w:pPr>
            <w:r>
              <w:rPr>
                <w:rFonts w:hint="eastAsia"/>
                <w:color w:val="auto"/>
                <w:sz w:val="21"/>
                <w:szCs w:val="21"/>
              </w:rPr>
              <w:t>硫酸铵</w:t>
            </w:r>
          </w:p>
        </w:tc>
        <w:tc>
          <w:tcPr>
            <w:tcW w:w="1187" w:type="pct"/>
            <w:vAlign w:val="center"/>
          </w:tcPr>
          <w:p w14:paraId="49D28805">
            <w:pPr>
              <w:widowControl w:val="0"/>
              <w:spacing w:line="360" w:lineRule="exact"/>
              <w:jc w:val="center"/>
              <w:rPr>
                <w:color w:val="auto"/>
                <w:sz w:val="21"/>
                <w:szCs w:val="21"/>
              </w:rPr>
            </w:pPr>
            <w:r>
              <w:rPr>
                <w:rFonts w:hint="eastAsia"/>
                <w:color w:val="auto"/>
                <w:sz w:val="21"/>
                <w:szCs w:val="21"/>
              </w:rPr>
              <w:t>设备因腐蚀等导致物料泄漏</w:t>
            </w:r>
          </w:p>
        </w:tc>
        <w:tc>
          <w:tcPr>
            <w:tcW w:w="1024" w:type="pct"/>
            <w:tcBorders>
              <w:top w:val="single" w:color="auto" w:sz="4" w:space="0"/>
            </w:tcBorders>
            <w:vAlign w:val="center"/>
          </w:tcPr>
          <w:p w14:paraId="2CB90F25">
            <w:pPr>
              <w:widowControl w:val="0"/>
              <w:spacing w:line="360" w:lineRule="exact"/>
              <w:jc w:val="center"/>
              <w:rPr>
                <w:color w:val="auto"/>
                <w:sz w:val="21"/>
                <w:szCs w:val="21"/>
              </w:rPr>
            </w:pPr>
            <w:r>
              <w:rPr>
                <w:rFonts w:hint="eastAsia"/>
                <w:color w:val="auto"/>
                <w:sz w:val="21"/>
                <w:szCs w:val="21"/>
              </w:rPr>
              <w:t>泄漏对周边地下水环境的污染影响。</w:t>
            </w:r>
          </w:p>
        </w:tc>
        <w:tc>
          <w:tcPr>
            <w:tcW w:w="561" w:type="pct"/>
            <w:vMerge w:val="continue"/>
            <w:vAlign w:val="center"/>
          </w:tcPr>
          <w:p w14:paraId="5286C46C">
            <w:pPr>
              <w:widowControl w:val="0"/>
              <w:spacing w:line="360" w:lineRule="exact"/>
              <w:jc w:val="center"/>
              <w:rPr>
                <w:color w:val="auto"/>
                <w:sz w:val="21"/>
                <w:szCs w:val="21"/>
              </w:rPr>
            </w:pPr>
          </w:p>
        </w:tc>
      </w:tr>
      <w:tr w14:paraId="74F205D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3" w:type="pct"/>
            <w:vMerge w:val="continue"/>
            <w:vAlign w:val="center"/>
          </w:tcPr>
          <w:p w14:paraId="4E35E861">
            <w:pPr>
              <w:widowControl w:val="0"/>
              <w:spacing w:line="360" w:lineRule="exact"/>
              <w:jc w:val="center"/>
              <w:rPr>
                <w:color w:val="auto"/>
                <w:sz w:val="21"/>
                <w:szCs w:val="21"/>
              </w:rPr>
            </w:pPr>
          </w:p>
        </w:tc>
        <w:tc>
          <w:tcPr>
            <w:tcW w:w="415" w:type="pct"/>
            <w:vMerge w:val="continue"/>
            <w:vAlign w:val="center"/>
          </w:tcPr>
          <w:p w14:paraId="0520AF47">
            <w:pPr>
              <w:widowControl w:val="0"/>
              <w:spacing w:line="360" w:lineRule="exact"/>
              <w:jc w:val="center"/>
              <w:rPr>
                <w:color w:val="auto"/>
                <w:sz w:val="21"/>
                <w:szCs w:val="21"/>
              </w:rPr>
            </w:pPr>
          </w:p>
        </w:tc>
        <w:tc>
          <w:tcPr>
            <w:tcW w:w="499" w:type="pct"/>
            <w:vAlign w:val="center"/>
          </w:tcPr>
          <w:p w14:paraId="51F0E8B2">
            <w:pPr>
              <w:widowControl w:val="0"/>
              <w:spacing w:line="360" w:lineRule="exact"/>
              <w:jc w:val="center"/>
              <w:rPr>
                <w:color w:val="auto"/>
                <w:sz w:val="21"/>
                <w:szCs w:val="21"/>
              </w:rPr>
            </w:pPr>
            <w:r>
              <w:rPr>
                <w:rFonts w:hint="eastAsia"/>
                <w:color w:val="auto"/>
                <w:sz w:val="21"/>
                <w:szCs w:val="21"/>
              </w:rPr>
              <w:t>浸渍干燥炉</w:t>
            </w:r>
          </w:p>
        </w:tc>
        <w:tc>
          <w:tcPr>
            <w:tcW w:w="888" w:type="pct"/>
            <w:vAlign w:val="center"/>
          </w:tcPr>
          <w:p w14:paraId="221BCD75">
            <w:pPr>
              <w:widowControl w:val="0"/>
              <w:spacing w:line="360" w:lineRule="exact"/>
              <w:jc w:val="center"/>
              <w:rPr>
                <w:color w:val="auto"/>
                <w:sz w:val="21"/>
                <w:szCs w:val="21"/>
              </w:rPr>
            </w:pPr>
            <w:r>
              <w:rPr>
                <w:rFonts w:hint="eastAsia"/>
                <w:color w:val="auto"/>
                <w:sz w:val="21"/>
                <w:szCs w:val="21"/>
              </w:rPr>
              <w:t>脱硝催化剂</w:t>
            </w:r>
          </w:p>
        </w:tc>
        <w:tc>
          <w:tcPr>
            <w:tcW w:w="1187" w:type="pct"/>
            <w:vAlign w:val="center"/>
          </w:tcPr>
          <w:p w14:paraId="1FA5BE59">
            <w:pPr>
              <w:widowControl w:val="0"/>
              <w:spacing w:line="360" w:lineRule="exact"/>
              <w:jc w:val="center"/>
              <w:rPr>
                <w:color w:val="auto"/>
                <w:sz w:val="21"/>
                <w:szCs w:val="21"/>
              </w:rPr>
            </w:pPr>
            <w:r>
              <w:rPr>
                <w:rFonts w:hint="eastAsia"/>
                <w:color w:val="auto"/>
                <w:sz w:val="21"/>
                <w:szCs w:val="21"/>
              </w:rPr>
              <w:t>设备因腐蚀等导致天然气泄漏</w:t>
            </w:r>
          </w:p>
        </w:tc>
        <w:tc>
          <w:tcPr>
            <w:tcW w:w="1024" w:type="pct"/>
            <w:vAlign w:val="center"/>
          </w:tcPr>
          <w:p w14:paraId="348422B1">
            <w:pPr>
              <w:widowControl w:val="0"/>
              <w:spacing w:line="360" w:lineRule="exact"/>
              <w:jc w:val="center"/>
              <w:rPr>
                <w:color w:val="auto"/>
                <w:sz w:val="21"/>
                <w:szCs w:val="21"/>
              </w:rPr>
            </w:pPr>
            <w:r>
              <w:rPr>
                <w:rFonts w:hint="eastAsia"/>
                <w:color w:val="auto"/>
                <w:sz w:val="21"/>
                <w:szCs w:val="21"/>
              </w:rPr>
              <w:t>泄漏对周边地下水环境的污染影响。</w:t>
            </w:r>
          </w:p>
        </w:tc>
        <w:tc>
          <w:tcPr>
            <w:tcW w:w="561" w:type="pct"/>
            <w:vMerge w:val="continue"/>
            <w:vAlign w:val="center"/>
          </w:tcPr>
          <w:p w14:paraId="4C33A948">
            <w:pPr>
              <w:widowControl w:val="0"/>
              <w:spacing w:line="360" w:lineRule="exact"/>
              <w:jc w:val="center"/>
              <w:rPr>
                <w:color w:val="auto"/>
                <w:sz w:val="21"/>
                <w:szCs w:val="21"/>
              </w:rPr>
            </w:pPr>
          </w:p>
        </w:tc>
      </w:tr>
      <w:tr w14:paraId="1C2EBB7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3" w:type="pct"/>
            <w:vAlign w:val="center"/>
          </w:tcPr>
          <w:p w14:paraId="03D735BF">
            <w:pPr>
              <w:widowControl w:val="0"/>
              <w:spacing w:line="360" w:lineRule="exact"/>
              <w:jc w:val="center"/>
              <w:rPr>
                <w:color w:val="auto"/>
                <w:sz w:val="21"/>
                <w:szCs w:val="21"/>
              </w:rPr>
            </w:pPr>
            <w:r>
              <w:rPr>
                <w:rFonts w:hint="eastAsia"/>
                <w:color w:val="auto"/>
                <w:sz w:val="21"/>
                <w:szCs w:val="21"/>
              </w:rPr>
              <w:t>危险</w:t>
            </w:r>
          </w:p>
          <w:p w14:paraId="723580AE">
            <w:pPr>
              <w:widowControl w:val="0"/>
              <w:spacing w:line="360" w:lineRule="exact"/>
              <w:jc w:val="center"/>
              <w:rPr>
                <w:color w:val="auto"/>
                <w:sz w:val="21"/>
                <w:szCs w:val="21"/>
              </w:rPr>
            </w:pPr>
            <w:r>
              <w:rPr>
                <w:rFonts w:hint="eastAsia"/>
                <w:color w:val="auto"/>
                <w:sz w:val="21"/>
                <w:szCs w:val="21"/>
              </w:rPr>
              <w:t>单元3</w:t>
            </w:r>
          </w:p>
        </w:tc>
        <w:tc>
          <w:tcPr>
            <w:tcW w:w="415" w:type="pct"/>
            <w:vAlign w:val="center"/>
          </w:tcPr>
          <w:p w14:paraId="09967811">
            <w:pPr>
              <w:widowControl w:val="0"/>
              <w:spacing w:line="360" w:lineRule="exact"/>
              <w:jc w:val="center"/>
              <w:rPr>
                <w:color w:val="auto"/>
                <w:sz w:val="21"/>
                <w:szCs w:val="21"/>
              </w:rPr>
            </w:pPr>
            <w:r>
              <w:rPr>
                <w:rFonts w:hint="eastAsia"/>
                <w:color w:val="auto"/>
                <w:sz w:val="21"/>
                <w:szCs w:val="21"/>
              </w:rPr>
              <w:t>成品库</w:t>
            </w:r>
          </w:p>
        </w:tc>
        <w:tc>
          <w:tcPr>
            <w:tcW w:w="499" w:type="pct"/>
            <w:vAlign w:val="center"/>
          </w:tcPr>
          <w:p w14:paraId="6C88EA88">
            <w:pPr>
              <w:widowControl w:val="0"/>
              <w:spacing w:line="360" w:lineRule="exact"/>
              <w:jc w:val="center"/>
              <w:rPr>
                <w:color w:val="auto"/>
                <w:sz w:val="21"/>
                <w:szCs w:val="21"/>
              </w:rPr>
            </w:pPr>
            <w:r>
              <w:rPr>
                <w:rFonts w:hint="eastAsia"/>
                <w:color w:val="auto"/>
                <w:sz w:val="21"/>
                <w:szCs w:val="21"/>
              </w:rPr>
              <w:t>-</w:t>
            </w:r>
          </w:p>
        </w:tc>
        <w:tc>
          <w:tcPr>
            <w:tcW w:w="888" w:type="pct"/>
            <w:vAlign w:val="center"/>
          </w:tcPr>
          <w:p w14:paraId="5B9A52C0">
            <w:pPr>
              <w:widowControl w:val="0"/>
              <w:spacing w:line="360" w:lineRule="exact"/>
              <w:jc w:val="center"/>
              <w:rPr>
                <w:color w:val="auto"/>
                <w:sz w:val="21"/>
                <w:szCs w:val="21"/>
              </w:rPr>
            </w:pPr>
            <w:r>
              <w:rPr>
                <w:rFonts w:hint="eastAsia"/>
                <w:color w:val="auto"/>
                <w:sz w:val="21"/>
                <w:szCs w:val="21"/>
              </w:rPr>
              <w:t>硫酸铵、催化剂</w:t>
            </w:r>
          </w:p>
        </w:tc>
        <w:tc>
          <w:tcPr>
            <w:tcW w:w="1187" w:type="pct"/>
            <w:vAlign w:val="center"/>
          </w:tcPr>
          <w:p w14:paraId="4A656697">
            <w:pPr>
              <w:widowControl w:val="0"/>
              <w:spacing w:line="360" w:lineRule="exact"/>
              <w:jc w:val="center"/>
              <w:rPr>
                <w:color w:val="auto"/>
                <w:sz w:val="21"/>
                <w:szCs w:val="21"/>
              </w:rPr>
            </w:pPr>
            <w:r>
              <w:rPr>
                <w:rFonts w:hint="eastAsia"/>
                <w:color w:val="auto"/>
                <w:sz w:val="21"/>
                <w:szCs w:val="21"/>
              </w:rPr>
              <w:t>因包装桶破裂、质量不合格等问题导致的泄漏</w:t>
            </w:r>
          </w:p>
        </w:tc>
        <w:tc>
          <w:tcPr>
            <w:tcW w:w="1024" w:type="pct"/>
            <w:vAlign w:val="center"/>
          </w:tcPr>
          <w:p w14:paraId="2F1D9CB4">
            <w:pPr>
              <w:widowControl w:val="0"/>
              <w:spacing w:line="360" w:lineRule="exact"/>
              <w:jc w:val="center"/>
              <w:rPr>
                <w:color w:val="auto"/>
                <w:sz w:val="21"/>
                <w:szCs w:val="21"/>
              </w:rPr>
            </w:pPr>
            <w:r>
              <w:rPr>
                <w:rFonts w:hint="eastAsia"/>
                <w:color w:val="auto"/>
                <w:sz w:val="21"/>
                <w:szCs w:val="21"/>
              </w:rPr>
              <w:t>泄漏对周边地下水环境的污染影响。</w:t>
            </w:r>
          </w:p>
        </w:tc>
        <w:tc>
          <w:tcPr>
            <w:tcW w:w="561" w:type="pct"/>
            <w:vMerge w:val="continue"/>
            <w:vAlign w:val="center"/>
          </w:tcPr>
          <w:p w14:paraId="1E1163CF">
            <w:pPr>
              <w:widowControl w:val="0"/>
              <w:spacing w:line="360" w:lineRule="exact"/>
              <w:jc w:val="center"/>
              <w:rPr>
                <w:color w:val="auto"/>
                <w:sz w:val="21"/>
                <w:szCs w:val="21"/>
              </w:rPr>
            </w:pPr>
          </w:p>
        </w:tc>
      </w:tr>
      <w:tr w14:paraId="61F86B3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423" w:type="pct"/>
            <w:vAlign w:val="center"/>
          </w:tcPr>
          <w:p w14:paraId="47D99D37">
            <w:pPr>
              <w:widowControl w:val="0"/>
              <w:spacing w:line="360" w:lineRule="exact"/>
              <w:jc w:val="center"/>
              <w:rPr>
                <w:color w:val="auto"/>
                <w:sz w:val="21"/>
                <w:szCs w:val="21"/>
              </w:rPr>
            </w:pPr>
            <w:r>
              <w:rPr>
                <w:rFonts w:hint="eastAsia"/>
                <w:color w:val="auto"/>
                <w:sz w:val="21"/>
                <w:szCs w:val="21"/>
              </w:rPr>
              <w:t>危险</w:t>
            </w:r>
          </w:p>
          <w:p w14:paraId="0271258B">
            <w:pPr>
              <w:widowControl w:val="0"/>
              <w:spacing w:line="360" w:lineRule="exact"/>
              <w:jc w:val="center"/>
              <w:rPr>
                <w:color w:val="auto"/>
                <w:sz w:val="21"/>
                <w:szCs w:val="21"/>
              </w:rPr>
            </w:pPr>
            <w:r>
              <w:rPr>
                <w:rFonts w:hint="eastAsia"/>
                <w:color w:val="auto"/>
                <w:sz w:val="21"/>
                <w:szCs w:val="21"/>
              </w:rPr>
              <w:t>单元4</w:t>
            </w:r>
          </w:p>
        </w:tc>
        <w:tc>
          <w:tcPr>
            <w:tcW w:w="415" w:type="pct"/>
            <w:vAlign w:val="center"/>
          </w:tcPr>
          <w:p w14:paraId="49BA01D0">
            <w:pPr>
              <w:widowControl w:val="0"/>
              <w:spacing w:line="360" w:lineRule="exact"/>
              <w:jc w:val="center"/>
              <w:rPr>
                <w:color w:val="auto"/>
                <w:sz w:val="21"/>
                <w:szCs w:val="21"/>
              </w:rPr>
            </w:pPr>
            <w:r>
              <w:rPr>
                <w:rFonts w:hint="eastAsia"/>
                <w:color w:val="auto"/>
                <w:sz w:val="21"/>
                <w:szCs w:val="21"/>
              </w:rPr>
              <w:t>危险废物贮存库</w:t>
            </w:r>
          </w:p>
        </w:tc>
        <w:tc>
          <w:tcPr>
            <w:tcW w:w="499" w:type="pct"/>
            <w:vAlign w:val="center"/>
          </w:tcPr>
          <w:p w14:paraId="7FE46ADE">
            <w:pPr>
              <w:widowControl w:val="0"/>
              <w:spacing w:line="360" w:lineRule="exact"/>
              <w:jc w:val="center"/>
              <w:rPr>
                <w:color w:val="auto"/>
                <w:sz w:val="21"/>
                <w:szCs w:val="21"/>
              </w:rPr>
            </w:pPr>
            <w:r>
              <w:rPr>
                <w:rFonts w:hint="eastAsia"/>
                <w:color w:val="auto"/>
                <w:sz w:val="21"/>
                <w:szCs w:val="21"/>
              </w:rPr>
              <w:t>-</w:t>
            </w:r>
          </w:p>
        </w:tc>
        <w:tc>
          <w:tcPr>
            <w:tcW w:w="888" w:type="pct"/>
            <w:vAlign w:val="center"/>
          </w:tcPr>
          <w:p w14:paraId="78E4C37A">
            <w:pPr>
              <w:widowControl w:val="0"/>
              <w:spacing w:line="360" w:lineRule="exact"/>
              <w:jc w:val="center"/>
              <w:rPr>
                <w:color w:val="auto"/>
                <w:sz w:val="21"/>
                <w:szCs w:val="21"/>
              </w:rPr>
            </w:pPr>
            <w:r>
              <w:rPr>
                <w:rFonts w:hint="eastAsia"/>
                <w:color w:val="auto"/>
                <w:sz w:val="21"/>
                <w:szCs w:val="21"/>
              </w:rPr>
              <w:t>废机油等</w:t>
            </w:r>
          </w:p>
        </w:tc>
        <w:tc>
          <w:tcPr>
            <w:tcW w:w="1187" w:type="pct"/>
            <w:vAlign w:val="center"/>
          </w:tcPr>
          <w:p w14:paraId="7B2C10D5">
            <w:pPr>
              <w:widowControl w:val="0"/>
              <w:spacing w:line="360" w:lineRule="exact"/>
              <w:jc w:val="center"/>
              <w:rPr>
                <w:color w:val="auto"/>
                <w:sz w:val="21"/>
                <w:szCs w:val="21"/>
              </w:rPr>
            </w:pPr>
            <w:r>
              <w:rPr>
                <w:rFonts w:hint="eastAsia"/>
                <w:color w:val="auto"/>
                <w:sz w:val="21"/>
                <w:szCs w:val="21"/>
              </w:rPr>
              <w:t>因包装桶破裂、质量不合格等问题导致的泄漏、爆炸或火灾</w:t>
            </w:r>
          </w:p>
        </w:tc>
        <w:tc>
          <w:tcPr>
            <w:tcW w:w="1024" w:type="pct"/>
            <w:vAlign w:val="center"/>
          </w:tcPr>
          <w:p w14:paraId="648EC2C6">
            <w:pPr>
              <w:widowControl w:val="0"/>
              <w:spacing w:line="360" w:lineRule="exact"/>
              <w:jc w:val="center"/>
              <w:rPr>
                <w:color w:val="auto"/>
                <w:sz w:val="21"/>
                <w:szCs w:val="21"/>
              </w:rPr>
            </w:pPr>
            <w:r>
              <w:rPr>
                <w:rFonts w:hint="eastAsia"/>
                <w:color w:val="auto"/>
                <w:sz w:val="21"/>
                <w:szCs w:val="21"/>
              </w:rPr>
              <w:t>含危险物质泄漏对土壤、水环境可能造成污染影响。</w:t>
            </w:r>
          </w:p>
        </w:tc>
        <w:tc>
          <w:tcPr>
            <w:tcW w:w="561" w:type="pct"/>
            <w:vMerge w:val="continue"/>
            <w:vAlign w:val="center"/>
          </w:tcPr>
          <w:p w14:paraId="53D30876">
            <w:pPr>
              <w:widowControl w:val="0"/>
              <w:spacing w:line="360" w:lineRule="exact"/>
              <w:jc w:val="center"/>
              <w:rPr>
                <w:color w:val="auto"/>
                <w:sz w:val="21"/>
                <w:szCs w:val="21"/>
              </w:rPr>
            </w:pPr>
          </w:p>
        </w:tc>
      </w:tr>
    </w:tbl>
    <w:p w14:paraId="1236CADF">
      <w:pPr>
        <w:spacing w:line="240" w:lineRule="exact"/>
        <w:ind w:firstLine="420"/>
        <w:textAlignment w:val="baseline"/>
        <w:rPr>
          <w:rFonts w:hint="eastAsia" w:ascii="黑体" w:hAnsi="黑体" w:eastAsia="黑体"/>
          <w:color w:val="auto"/>
          <w:szCs w:val="21"/>
          <w:u w:color="000000"/>
          <w:lang w:val="zh-CN"/>
        </w:rPr>
      </w:pPr>
    </w:p>
    <w:p w14:paraId="5B1179F8">
      <w:pPr>
        <w:pStyle w:val="3"/>
        <w:rPr>
          <w:color w:val="auto"/>
        </w:rPr>
      </w:pPr>
      <w:bookmarkStart w:id="387" w:name="_Toc220582794"/>
      <w:bookmarkStart w:id="388" w:name="_Toc28832"/>
      <w:bookmarkStart w:id="389" w:name="_Toc229930163"/>
      <w:r>
        <w:rPr>
          <w:rFonts w:hint="eastAsia"/>
          <w:color w:val="auto"/>
        </w:rPr>
        <w:t>风险事故情形分析</w:t>
      </w:r>
      <w:bookmarkEnd w:id="387"/>
      <w:bookmarkEnd w:id="388"/>
      <w:bookmarkEnd w:id="389"/>
    </w:p>
    <w:p w14:paraId="4880F855">
      <w:pPr>
        <w:pStyle w:val="4"/>
        <w:rPr>
          <w:color w:val="auto"/>
        </w:rPr>
      </w:pPr>
      <w:r>
        <w:rPr>
          <w:rFonts w:hint="eastAsia"/>
          <w:color w:val="auto"/>
        </w:rPr>
        <w:t>设定原则</w:t>
      </w:r>
    </w:p>
    <w:p w14:paraId="16C3BB89">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根据《建设项目环境风险评价技术导则》（HJ169-2018）的要求，事故情形的设定应遵循以下原则：</w:t>
      </w:r>
    </w:p>
    <w:p w14:paraId="6DFE2466">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（1）同一种危险物质可能有多种环境风险类型。风险事故情形应包括危险物质泄漏，以及火灾、爆炸等引发的伴生/次生污染物排放情形。对不同环境要素产生影响的风险事故情形，应分别进行设定。</w:t>
      </w:r>
    </w:p>
    <w:p w14:paraId="49C74EA5">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（2）对于火灾、爆炸事故，需将事故中未完全燃烧的危险物质在高温下迅速挥发释放至大气，以及燃烧过程中产生的伴生/次生污染物对环境的影响作为风险事故情形设定的内容。</w:t>
      </w:r>
    </w:p>
    <w:p w14:paraId="7E20F7DD">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（3）设定的风险事故情形发生可能性应处于合理的区间，并与经济技术发展水平相适应。一般而言，发生频率小于10</w:t>
      </w:r>
      <w:r>
        <w:rPr>
          <w:rFonts w:hint="eastAsia"/>
          <w:color w:val="auto"/>
          <w:sz w:val="24"/>
          <w:szCs w:val="24"/>
          <w:shd w:val="clear" w:color="auto" w:fill="FFFFFF"/>
          <w:vertAlign w:val="superscript"/>
        </w:rPr>
        <w:t>-6</w:t>
      </w:r>
      <w:r>
        <w:rPr>
          <w:rFonts w:hint="eastAsia"/>
          <w:color w:val="auto"/>
          <w:sz w:val="24"/>
          <w:szCs w:val="24"/>
          <w:shd w:val="clear" w:color="auto" w:fill="FFFFFF"/>
        </w:rPr>
        <w:t>/年的事件是极小概率事件，可作为代表性事故情形中最大可信事故设定的参考。</w:t>
      </w:r>
    </w:p>
    <w:p w14:paraId="51D1D704">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4）风险事故情形设定的不确定性与筛选。由于事故触发因素具有不确定性，因此事故情形的设定并不能包含全部可能的环境风险，但通过具有代表性的事故情形分析可为风险管理提供科学依据。事故情形的设定应在环境风险识别的基础上筛选，设定的事故情形应具有危险物质、环境危害、影响途径等方面的代表性。</w:t>
      </w:r>
    </w:p>
    <w:p w14:paraId="7A32867F">
      <w:pPr>
        <w:pStyle w:val="4"/>
        <w:rPr>
          <w:color w:val="auto"/>
        </w:rPr>
      </w:pPr>
      <w:r>
        <w:rPr>
          <w:rFonts w:hint="eastAsia"/>
          <w:color w:val="auto"/>
        </w:rPr>
        <w:t>风险事故情形设定</w:t>
      </w:r>
    </w:p>
    <w:p w14:paraId="7F5EB25D">
      <w:pPr>
        <w:spacing w:line="360" w:lineRule="auto"/>
        <w:ind w:firstLine="480" w:firstLineChars="200"/>
        <w:jc w:val="both"/>
        <w:rPr>
          <w:color w:val="auto"/>
          <w:sz w:val="24"/>
          <w:szCs w:val="24"/>
        </w:rPr>
      </w:pPr>
      <w:r>
        <w:rPr>
          <w:rFonts w:hint="eastAsia"/>
          <w:color w:val="auto"/>
          <w:sz w:val="24"/>
          <w:szCs w:val="24"/>
        </w:rPr>
        <w:t>根据《建设项目环境风险评价技术导则》（HJ169-2018）的要求，风险事故情形的设定是在风险识别的基础上，选择对环境影响较大并具有代表性的事故类型，设定风险事故情形。</w:t>
      </w:r>
    </w:p>
    <w:p w14:paraId="6EEDA047">
      <w:pPr>
        <w:spacing w:line="360" w:lineRule="auto"/>
        <w:ind w:firstLine="480" w:firstLineChars="200"/>
        <w:jc w:val="both"/>
        <w:rPr>
          <w:color w:val="auto"/>
          <w:sz w:val="24"/>
          <w:szCs w:val="24"/>
        </w:rPr>
      </w:pPr>
      <w:r>
        <w:rPr>
          <w:rFonts w:hint="eastAsia"/>
          <w:color w:val="auto"/>
          <w:sz w:val="24"/>
          <w:szCs w:val="24"/>
        </w:rPr>
        <w:t>根据风险识别结果，本项目可能产生的对环境有影响的事故类型有：</w:t>
      </w:r>
    </w:p>
    <w:p w14:paraId="2D2AC5CC">
      <w:pPr>
        <w:spacing w:line="360" w:lineRule="auto"/>
        <w:ind w:firstLine="480" w:firstLineChars="200"/>
        <w:jc w:val="both"/>
        <w:rPr>
          <w:color w:val="auto"/>
          <w:sz w:val="24"/>
          <w:szCs w:val="24"/>
        </w:rPr>
      </w:pPr>
      <w:r>
        <w:rPr>
          <w:rFonts w:hint="eastAsia"/>
          <w:color w:val="auto"/>
          <w:sz w:val="24"/>
          <w:szCs w:val="24"/>
        </w:rPr>
        <w:t>（1）装置反应器或者管道输送系统因腐蚀破裂、人为操作不当、设备缺陷等问题导致天然气大量泄漏并遇火引发火灾、爆炸事故进而燃烧过程中产生的伴生</w:t>
      </w:r>
      <w:r>
        <w:rPr>
          <w:color w:val="auto"/>
          <w:sz w:val="24"/>
          <w:szCs w:val="24"/>
        </w:rPr>
        <w:t>/</w:t>
      </w:r>
      <w:r>
        <w:rPr>
          <w:rFonts w:hint="eastAsia"/>
          <w:color w:val="auto"/>
          <w:sz w:val="24"/>
          <w:szCs w:val="24"/>
        </w:rPr>
        <w:t>次生污染物对周边大气环境的污染影响；</w:t>
      </w:r>
    </w:p>
    <w:p w14:paraId="5CF2DC47">
      <w:pPr>
        <w:spacing w:line="360" w:lineRule="auto"/>
        <w:ind w:firstLine="480" w:firstLineChars="200"/>
        <w:jc w:val="both"/>
        <w:rPr>
          <w:color w:val="auto"/>
          <w:sz w:val="24"/>
          <w:szCs w:val="24"/>
        </w:rPr>
      </w:pPr>
      <w:r>
        <w:rPr>
          <w:rFonts w:hint="eastAsia"/>
          <w:color w:val="auto"/>
          <w:sz w:val="24"/>
          <w:szCs w:val="24"/>
        </w:rPr>
        <w:t>（2）装置因温度、腐蚀破裂、人为操作不当、设备缺陷等问题导致硫酸、</w:t>
      </w:r>
      <w:r>
        <w:rPr>
          <w:rFonts w:hint="eastAsia"/>
          <w:color w:val="auto"/>
          <w:sz w:val="24"/>
          <w:szCs w:val="24"/>
          <w:lang w:eastAsia="zh-CN"/>
        </w:rPr>
        <w:t>硝酸泄漏</w:t>
      </w:r>
      <w:r>
        <w:rPr>
          <w:rFonts w:hint="eastAsia"/>
          <w:color w:val="auto"/>
          <w:sz w:val="24"/>
          <w:szCs w:val="24"/>
        </w:rPr>
        <w:t>，其对周边大气、地下水造成影响；</w:t>
      </w:r>
    </w:p>
    <w:p w14:paraId="6BF98055">
      <w:pPr>
        <w:spacing w:line="360" w:lineRule="auto"/>
        <w:ind w:firstLine="480" w:firstLineChars="200"/>
        <w:jc w:val="both"/>
        <w:rPr>
          <w:color w:val="auto"/>
          <w:sz w:val="24"/>
          <w:szCs w:val="24"/>
        </w:rPr>
      </w:pPr>
      <w:r>
        <w:rPr>
          <w:rFonts w:hint="eastAsia"/>
          <w:color w:val="auto"/>
          <w:sz w:val="24"/>
          <w:szCs w:val="24"/>
        </w:rPr>
        <w:t>（3）单盘管防爆电加热器或者管道输送系统因腐蚀破裂、人为操作不当、设备缺陷等问题导致天然气大量泄漏并遇火引发火灾、爆炸事故进而燃烧过程中产生的伴生</w:t>
      </w:r>
      <w:r>
        <w:rPr>
          <w:color w:val="auto"/>
          <w:sz w:val="24"/>
          <w:szCs w:val="24"/>
        </w:rPr>
        <w:t>/</w:t>
      </w:r>
      <w:r>
        <w:rPr>
          <w:rFonts w:hint="eastAsia"/>
          <w:color w:val="auto"/>
          <w:sz w:val="24"/>
          <w:szCs w:val="24"/>
        </w:rPr>
        <w:t>次生污染物对周边大气环境的污染影响；</w:t>
      </w:r>
    </w:p>
    <w:p w14:paraId="5DBD3656">
      <w:pPr>
        <w:spacing w:line="360" w:lineRule="auto"/>
        <w:ind w:firstLine="480" w:firstLineChars="200"/>
        <w:jc w:val="both"/>
        <w:rPr>
          <w:color w:val="auto"/>
          <w:sz w:val="24"/>
          <w:szCs w:val="24"/>
        </w:rPr>
      </w:pPr>
      <w:r>
        <w:rPr>
          <w:rFonts w:hint="eastAsia"/>
          <w:color w:val="auto"/>
          <w:sz w:val="24"/>
          <w:szCs w:val="24"/>
        </w:rPr>
        <w:t>（4）催化剂制备装置因温度、腐蚀破裂、人为操作不当、设备缺陷等问题导致脱硝催化剂</w:t>
      </w:r>
      <w:r>
        <w:rPr>
          <w:rFonts w:hint="eastAsia"/>
          <w:color w:val="auto"/>
          <w:sz w:val="24"/>
          <w:szCs w:val="24"/>
          <w:lang w:eastAsia="zh-CN"/>
        </w:rPr>
        <w:t>泄漏</w:t>
      </w:r>
      <w:r>
        <w:rPr>
          <w:rFonts w:hint="eastAsia"/>
          <w:color w:val="auto"/>
          <w:sz w:val="24"/>
          <w:szCs w:val="24"/>
        </w:rPr>
        <w:t>，其对周边地下水造成影响；</w:t>
      </w:r>
    </w:p>
    <w:p w14:paraId="3EDA6C04">
      <w:pPr>
        <w:spacing w:line="360" w:lineRule="auto"/>
        <w:ind w:firstLine="480" w:firstLineChars="200"/>
        <w:jc w:val="both"/>
        <w:rPr>
          <w:color w:val="auto"/>
          <w:sz w:val="24"/>
          <w:szCs w:val="24"/>
        </w:rPr>
      </w:pPr>
      <w:r>
        <w:rPr>
          <w:rFonts w:hint="eastAsia"/>
          <w:color w:val="auto"/>
          <w:sz w:val="24"/>
          <w:szCs w:val="24"/>
        </w:rPr>
        <w:t>（5）原料库房存储的硫酸、硝酸等包装破裂导致化学品泄漏，对土壤和地下水环境可能造成污染；</w:t>
      </w:r>
    </w:p>
    <w:p w14:paraId="5C6EA912">
      <w:pPr>
        <w:spacing w:line="360" w:lineRule="auto"/>
        <w:ind w:firstLine="480" w:firstLineChars="200"/>
        <w:jc w:val="both"/>
        <w:rPr>
          <w:color w:val="auto"/>
          <w:sz w:val="24"/>
          <w:szCs w:val="24"/>
        </w:rPr>
      </w:pPr>
      <w:r>
        <w:rPr>
          <w:rFonts w:hint="eastAsia"/>
          <w:color w:val="auto"/>
          <w:sz w:val="24"/>
          <w:szCs w:val="24"/>
        </w:rPr>
        <w:t>（6）危险废物贮存库存储有危险废物废机油等，因存储桶腐蚀破裂或者人为操作不当导致废机油泄漏，对土壤和地下水可能造成污染。</w:t>
      </w:r>
    </w:p>
    <w:p w14:paraId="1C590CA8">
      <w:pPr>
        <w:pStyle w:val="4"/>
        <w:rPr>
          <w:color w:val="auto"/>
        </w:rPr>
      </w:pPr>
      <w:r>
        <w:rPr>
          <w:rFonts w:hint="eastAsia"/>
          <w:color w:val="auto"/>
        </w:rPr>
        <w:t>事故概率</w:t>
      </w:r>
    </w:p>
    <w:p w14:paraId="1F4738D6">
      <w:pPr>
        <w:spacing w:line="360" w:lineRule="auto"/>
        <w:ind w:firstLine="480" w:firstLineChars="200"/>
        <w:jc w:val="both"/>
        <w:rPr>
          <w:color w:val="auto"/>
          <w:sz w:val="24"/>
          <w:szCs w:val="24"/>
        </w:rPr>
      </w:pPr>
      <w:r>
        <w:rPr>
          <w:rFonts w:hint="eastAsia"/>
          <w:color w:val="auto"/>
          <w:sz w:val="24"/>
          <w:szCs w:val="24"/>
        </w:rPr>
        <w:t>参考《建设项目环境风险评价技术导则》（HJ169-2018）附录E中有关行业风险事故概率统计分布情况，泄漏事故类型包括容器、管道、泵体、压缩机、装卸臂和装卸软管的泄漏和破裂等，泄漏事故</w:t>
      </w:r>
      <w:r>
        <w:rPr>
          <w:rStyle w:val="133"/>
          <w:rFonts w:hint="eastAsia"/>
          <w:color w:val="auto"/>
        </w:rPr>
        <w:t>频率见</w:t>
      </w:r>
      <w:r>
        <w:rPr>
          <w:rStyle w:val="133"/>
          <w:rFonts w:hint="eastAsia"/>
          <w:color w:val="auto"/>
        </w:rPr>
        <w:fldChar w:fldCharType="begin"/>
      </w:r>
      <w:r>
        <w:rPr>
          <w:rStyle w:val="133"/>
          <w:rFonts w:hint="eastAsia"/>
          <w:color w:val="auto"/>
        </w:rPr>
        <w:instrText xml:space="preserve"> REF _Ref12585 \h </w:instrText>
      </w:r>
      <w:r>
        <w:rPr>
          <w:rStyle w:val="133"/>
          <w:color w:val="auto"/>
        </w:rPr>
        <w:instrText xml:space="preserve"> \* MERGEFORMAT </w:instrText>
      </w:r>
      <w:r>
        <w:rPr>
          <w:rStyle w:val="133"/>
          <w:rFonts w:hint="eastAsia"/>
          <w:color w:val="auto"/>
        </w:rPr>
        <w:fldChar w:fldCharType="separate"/>
      </w:r>
      <w:r>
        <w:rPr>
          <w:rStyle w:val="133"/>
          <w:rFonts w:hint="eastAsia"/>
          <w:color w:val="auto"/>
        </w:rPr>
        <w:t xml:space="preserve">表 </w:t>
      </w:r>
      <w:r>
        <w:rPr>
          <w:rStyle w:val="133"/>
          <w:color w:val="auto"/>
        </w:rPr>
        <w:fldChar w:fldCharType="begin"/>
      </w:r>
      <w:r>
        <w:rPr>
          <w:rStyle w:val="133"/>
          <w:rFonts w:hint="eastAsia"/>
          <w:color w:val="auto"/>
        </w:rPr>
        <w:instrText xml:space="preserve"> STYLEREF</w:instrText>
      </w:r>
      <w:r>
        <w:rPr>
          <w:rFonts w:hint="eastAsia"/>
          <w:color w:val="auto"/>
          <w:sz w:val="24"/>
          <w:szCs w:val="24"/>
        </w:rPr>
        <w:instrText xml:space="preserve"> 2 \s</w:instrText>
      </w:r>
      <w:r>
        <w:rPr>
          <w:color w:val="auto"/>
          <w:sz w:val="24"/>
          <w:szCs w:val="24"/>
        </w:rPr>
        <w:instrText xml:space="preserve"> </w:instrText>
      </w:r>
      <w:r>
        <w:rPr>
          <w:color w:val="auto"/>
          <w:sz w:val="24"/>
          <w:szCs w:val="24"/>
        </w:rPr>
        <w:fldChar w:fldCharType="separate"/>
      </w:r>
      <w:r>
        <w:rPr>
          <w:rFonts w:hint="eastAsia"/>
          <w:color w:val="auto"/>
          <w:sz w:val="24"/>
          <w:szCs w:val="24"/>
        </w:rPr>
        <w:t>7.6</w:t>
      </w:r>
      <w:r>
        <w:rPr>
          <w:color w:val="auto"/>
          <w:sz w:val="24"/>
          <w:szCs w:val="24"/>
        </w:rPr>
        <w:fldChar w:fldCharType="end"/>
      </w:r>
      <w:r>
        <w:rPr>
          <w:color w:val="auto"/>
          <w:sz w:val="24"/>
          <w:szCs w:val="24"/>
        </w:rPr>
        <w:noBreakHyphen/>
      </w:r>
      <w:r>
        <w:rPr>
          <w:rFonts w:hint="eastAsia"/>
          <w:color w:val="auto"/>
          <w:sz w:val="24"/>
          <w:szCs w:val="24"/>
        </w:rPr>
        <w:t>1</w:t>
      </w:r>
      <w:r>
        <w:rPr>
          <w:rStyle w:val="133"/>
          <w:rFonts w:hint="eastAsia"/>
          <w:color w:val="auto"/>
        </w:rPr>
        <w:fldChar w:fldCharType="end"/>
      </w:r>
      <w:r>
        <w:rPr>
          <w:rStyle w:val="133"/>
          <w:rFonts w:hint="eastAsia"/>
          <w:color w:val="auto"/>
        </w:rPr>
        <w:t>。</w:t>
      </w:r>
    </w:p>
    <w:p w14:paraId="0A5C3F3D">
      <w:pPr>
        <w:spacing w:before="163" w:beforeLines="50"/>
        <w:jc w:val="center"/>
        <w:rPr>
          <w:rFonts w:eastAsia="黑体"/>
          <w:color w:val="auto"/>
          <w:sz w:val="23"/>
          <w:szCs w:val="24"/>
        </w:rPr>
      </w:pPr>
      <w:bookmarkStart w:id="390" w:name="_Ref12585"/>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7.6</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1</w:t>
      </w:r>
      <w:r>
        <w:rPr>
          <w:rFonts w:eastAsia="黑体"/>
          <w:color w:val="auto"/>
          <w:sz w:val="23"/>
          <w:szCs w:val="24"/>
        </w:rPr>
        <w:fldChar w:fldCharType="end"/>
      </w:r>
      <w:bookmarkEnd w:id="390"/>
      <w:r>
        <w:rPr>
          <w:rFonts w:hint="eastAsia" w:eastAsia="黑体"/>
          <w:color w:val="auto"/>
          <w:sz w:val="23"/>
          <w:szCs w:val="24"/>
        </w:rPr>
        <w:t xml:space="preserve">  </w:t>
      </w:r>
      <w:r>
        <w:rPr>
          <w:rFonts w:hint="eastAsia" w:ascii="黑体" w:hAnsi="黑体" w:eastAsia="黑体"/>
          <w:color w:val="auto"/>
          <w:sz w:val="23"/>
          <w:szCs w:val="24"/>
        </w:rPr>
        <w:t>泄漏事故频率一览表</w:t>
      </w:r>
    </w:p>
    <w:tbl>
      <w:tblPr>
        <w:tblStyle w:val="239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2123"/>
        <w:gridCol w:w="4633"/>
        <w:gridCol w:w="2030"/>
      </w:tblGrid>
      <w:tr w14:paraId="6987A31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08" w:hRule="atLeast"/>
        </w:trPr>
        <w:tc>
          <w:tcPr>
            <w:tcW w:w="2000" w:type="dxa"/>
            <w:noWrap/>
            <w:vAlign w:val="center"/>
          </w:tcPr>
          <w:p w14:paraId="0FF2C44E">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部件类型</w:t>
            </w:r>
          </w:p>
        </w:tc>
        <w:tc>
          <w:tcPr>
            <w:tcW w:w="4364" w:type="dxa"/>
            <w:vAlign w:val="center"/>
          </w:tcPr>
          <w:p w14:paraId="6F61A033">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泄漏模式</w:t>
            </w:r>
          </w:p>
        </w:tc>
        <w:tc>
          <w:tcPr>
            <w:tcW w:w="1912" w:type="dxa"/>
            <w:noWrap/>
            <w:vAlign w:val="center"/>
          </w:tcPr>
          <w:p w14:paraId="0F4BC9C1">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泄漏频率</w:t>
            </w:r>
          </w:p>
        </w:tc>
      </w:tr>
      <w:tr w14:paraId="5975BB6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540" w:hRule="atLeast"/>
        </w:trPr>
        <w:tc>
          <w:tcPr>
            <w:tcW w:w="2000" w:type="dxa"/>
            <w:noWrap/>
            <w:vAlign w:val="center"/>
          </w:tcPr>
          <w:p w14:paraId="1388891E">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反应器</w:t>
            </w:r>
            <w:r>
              <w:rPr>
                <w:rFonts w:hint="eastAsia" w:eastAsia="Times New Roman"/>
                <w:color w:val="auto"/>
                <w:sz w:val="21"/>
                <w:szCs w:val="21"/>
              </w:rPr>
              <w:t>/</w:t>
            </w:r>
            <w:r>
              <w:rPr>
                <w:rFonts w:hint="eastAsia" w:ascii="宋体" w:hAnsi="宋体" w:eastAsia="Times New Roman" w:cs="宋体"/>
                <w:color w:val="auto"/>
                <w:sz w:val="21"/>
                <w:szCs w:val="21"/>
              </w:rPr>
              <w:t>工艺储罐</w:t>
            </w:r>
            <w:r>
              <w:rPr>
                <w:rFonts w:hint="eastAsia" w:eastAsia="Times New Roman"/>
                <w:color w:val="auto"/>
                <w:sz w:val="21"/>
                <w:szCs w:val="21"/>
              </w:rPr>
              <w:t>/</w:t>
            </w:r>
            <w:r>
              <w:rPr>
                <w:rFonts w:hint="eastAsia" w:ascii="宋体" w:hAnsi="宋体" w:eastAsia="Times New Roman" w:cs="宋体"/>
                <w:color w:val="auto"/>
                <w:sz w:val="21"/>
                <w:szCs w:val="21"/>
              </w:rPr>
              <w:t>气体储罐</w:t>
            </w:r>
            <w:r>
              <w:rPr>
                <w:rFonts w:hint="eastAsia" w:eastAsia="Times New Roman"/>
                <w:color w:val="auto"/>
                <w:sz w:val="21"/>
                <w:szCs w:val="21"/>
              </w:rPr>
              <w:t>/</w:t>
            </w:r>
            <w:r>
              <w:rPr>
                <w:rFonts w:hint="eastAsia" w:ascii="宋体" w:hAnsi="宋体" w:eastAsia="Times New Roman" w:cs="宋体"/>
                <w:color w:val="auto"/>
                <w:sz w:val="21"/>
                <w:szCs w:val="21"/>
              </w:rPr>
              <w:t>塔器</w:t>
            </w:r>
          </w:p>
        </w:tc>
        <w:tc>
          <w:tcPr>
            <w:tcW w:w="4364" w:type="dxa"/>
            <w:vAlign w:val="center"/>
          </w:tcPr>
          <w:p w14:paraId="7800FC9E">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泄漏孔径为</w:t>
            </w:r>
            <w:r>
              <w:rPr>
                <w:rFonts w:hint="eastAsia" w:eastAsia="Times New Roman"/>
                <w:color w:val="auto"/>
                <w:sz w:val="21"/>
                <w:szCs w:val="21"/>
              </w:rPr>
              <w:t>10mm</w:t>
            </w:r>
            <w:r>
              <w:rPr>
                <w:rFonts w:hint="eastAsia" w:ascii="宋体" w:hAnsi="宋体" w:eastAsia="Times New Roman" w:cs="宋体"/>
                <w:color w:val="auto"/>
                <w:sz w:val="21"/>
                <w:szCs w:val="21"/>
              </w:rPr>
              <w:t>孔径</w:t>
            </w:r>
          </w:p>
          <w:p w14:paraId="58E8267E">
            <w:pPr>
              <w:widowControl w:val="0"/>
              <w:spacing w:line="360" w:lineRule="exact"/>
              <w:jc w:val="center"/>
              <w:rPr>
                <w:rFonts w:eastAsia="Times New Roman"/>
                <w:color w:val="auto"/>
                <w:sz w:val="21"/>
                <w:szCs w:val="21"/>
              </w:rPr>
            </w:pPr>
            <w:r>
              <w:rPr>
                <w:rFonts w:hint="eastAsia" w:eastAsia="Times New Roman"/>
                <w:color w:val="auto"/>
                <w:sz w:val="21"/>
                <w:szCs w:val="21"/>
              </w:rPr>
              <w:t>10min</w:t>
            </w:r>
            <w:r>
              <w:rPr>
                <w:rFonts w:hint="eastAsia" w:ascii="宋体" w:hAnsi="宋体" w:eastAsia="Times New Roman" w:cs="宋体"/>
                <w:color w:val="auto"/>
                <w:sz w:val="21"/>
                <w:szCs w:val="21"/>
              </w:rPr>
              <w:t>内储罐泄漏完</w:t>
            </w:r>
          </w:p>
          <w:p w14:paraId="5D199B98">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储罐全破裂</w:t>
            </w:r>
          </w:p>
        </w:tc>
        <w:tc>
          <w:tcPr>
            <w:tcW w:w="1912" w:type="dxa"/>
            <w:noWrap/>
            <w:vAlign w:val="center"/>
          </w:tcPr>
          <w:p w14:paraId="3A72FEAB">
            <w:pPr>
              <w:widowControl w:val="0"/>
              <w:spacing w:line="360" w:lineRule="exact"/>
              <w:jc w:val="center"/>
              <w:rPr>
                <w:rFonts w:eastAsia="Times New Roman"/>
                <w:color w:val="auto"/>
                <w:sz w:val="21"/>
                <w:szCs w:val="21"/>
              </w:rPr>
            </w:pPr>
            <w:r>
              <w:rPr>
                <w:rFonts w:hint="eastAsia" w:eastAsia="Times New Roman"/>
                <w:color w:val="auto"/>
                <w:sz w:val="21"/>
                <w:szCs w:val="21"/>
              </w:rPr>
              <w:t>1.00×10</w:t>
            </w:r>
            <w:r>
              <w:rPr>
                <w:rFonts w:hint="eastAsia" w:eastAsia="Times New Roman"/>
                <w:color w:val="auto"/>
                <w:sz w:val="21"/>
                <w:szCs w:val="21"/>
                <w:vertAlign w:val="superscript"/>
              </w:rPr>
              <w:t>-4</w:t>
            </w:r>
            <w:r>
              <w:rPr>
                <w:rFonts w:hint="eastAsia" w:eastAsia="Times New Roman"/>
                <w:color w:val="auto"/>
                <w:sz w:val="21"/>
                <w:szCs w:val="21"/>
              </w:rPr>
              <w:t>/a</w:t>
            </w:r>
          </w:p>
          <w:p w14:paraId="68A0C7E6">
            <w:pPr>
              <w:widowControl w:val="0"/>
              <w:spacing w:line="360" w:lineRule="exact"/>
              <w:jc w:val="center"/>
              <w:rPr>
                <w:rFonts w:eastAsia="Times New Roman"/>
                <w:color w:val="auto"/>
                <w:sz w:val="21"/>
                <w:szCs w:val="21"/>
              </w:rPr>
            </w:pPr>
            <w:r>
              <w:rPr>
                <w:rFonts w:hint="eastAsia" w:eastAsia="Times New Roman"/>
                <w:color w:val="auto"/>
                <w:sz w:val="21"/>
                <w:szCs w:val="21"/>
              </w:rPr>
              <w:t>5.00×10</w:t>
            </w:r>
            <w:r>
              <w:rPr>
                <w:rFonts w:hint="eastAsia" w:eastAsia="Times New Roman"/>
                <w:color w:val="auto"/>
                <w:sz w:val="21"/>
                <w:szCs w:val="21"/>
                <w:vertAlign w:val="superscript"/>
              </w:rPr>
              <w:t>-6</w:t>
            </w:r>
            <w:r>
              <w:rPr>
                <w:rFonts w:hint="eastAsia" w:eastAsia="Times New Roman"/>
                <w:color w:val="auto"/>
                <w:sz w:val="21"/>
                <w:szCs w:val="21"/>
              </w:rPr>
              <w:t>/a</w:t>
            </w:r>
          </w:p>
          <w:p w14:paraId="7B21C454">
            <w:pPr>
              <w:widowControl w:val="0"/>
              <w:spacing w:line="360" w:lineRule="exact"/>
              <w:jc w:val="center"/>
              <w:rPr>
                <w:rFonts w:eastAsia="Times New Roman"/>
                <w:color w:val="auto"/>
                <w:sz w:val="21"/>
                <w:szCs w:val="21"/>
              </w:rPr>
            </w:pPr>
            <w:r>
              <w:rPr>
                <w:rFonts w:hint="eastAsia" w:eastAsia="Times New Roman"/>
                <w:color w:val="auto"/>
                <w:sz w:val="21"/>
                <w:szCs w:val="21"/>
              </w:rPr>
              <w:t>5.00×10</w:t>
            </w:r>
            <w:r>
              <w:rPr>
                <w:rFonts w:hint="eastAsia" w:eastAsia="Times New Roman"/>
                <w:color w:val="auto"/>
                <w:sz w:val="21"/>
                <w:szCs w:val="21"/>
                <w:vertAlign w:val="superscript"/>
              </w:rPr>
              <w:t>-6</w:t>
            </w:r>
            <w:r>
              <w:rPr>
                <w:rFonts w:hint="eastAsia" w:eastAsia="Times New Roman"/>
                <w:color w:val="auto"/>
                <w:sz w:val="21"/>
                <w:szCs w:val="21"/>
              </w:rPr>
              <w:t>/a</w:t>
            </w:r>
          </w:p>
        </w:tc>
      </w:tr>
      <w:tr w14:paraId="28905C6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735" w:hRule="atLeast"/>
        </w:trPr>
        <w:tc>
          <w:tcPr>
            <w:tcW w:w="2000" w:type="dxa"/>
            <w:noWrap/>
            <w:vAlign w:val="center"/>
          </w:tcPr>
          <w:p w14:paraId="14A460FA">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常压单包容储罐</w:t>
            </w:r>
          </w:p>
        </w:tc>
        <w:tc>
          <w:tcPr>
            <w:tcW w:w="4364" w:type="dxa"/>
            <w:vAlign w:val="center"/>
          </w:tcPr>
          <w:p w14:paraId="01290D86">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泄漏孔径为</w:t>
            </w:r>
            <w:r>
              <w:rPr>
                <w:rFonts w:hint="eastAsia" w:eastAsia="Times New Roman"/>
                <w:color w:val="auto"/>
                <w:sz w:val="21"/>
                <w:szCs w:val="21"/>
              </w:rPr>
              <w:t>10 mm</w:t>
            </w:r>
            <w:r>
              <w:rPr>
                <w:rFonts w:hint="eastAsia" w:ascii="宋体" w:hAnsi="宋体" w:eastAsia="Times New Roman" w:cs="宋体"/>
                <w:color w:val="auto"/>
                <w:sz w:val="21"/>
                <w:szCs w:val="21"/>
              </w:rPr>
              <w:t>孔径</w:t>
            </w:r>
          </w:p>
          <w:p w14:paraId="1EF871B9">
            <w:pPr>
              <w:widowControl w:val="0"/>
              <w:spacing w:line="360" w:lineRule="exact"/>
              <w:jc w:val="center"/>
              <w:rPr>
                <w:rFonts w:eastAsia="Times New Roman"/>
                <w:color w:val="auto"/>
                <w:sz w:val="21"/>
                <w:szCs w:val="21"/>
              </w:rPr>
            </w:pPr>
            <w:r>
              <w:rPr>
                <w:rFonts w:hint="eastAsia" w:eastAsia="Times New Roman"/>
                <w:color w:val="auto"/>
                <w:sz w:val="21"/>
                <w:szCs w:val="21"/>
              </w:rPr>
              <w:t>10min</w:t>
            </w:r>
            <w:r>
              <w:rPr>
                <w:rFonts w:hint="eastAsia" w:ascii="宋体" w:hAnsi="宋体" w:eastAsia="Times New Roman" w:cs="宋体"/>
                <w:color w:val="auto"/>
                <w:sz w:val="21"/>
                <w:szCs w:val="21"/>
              </w:rPr>
              <w:t>内储罐泄漏完</w:t>
            </w:r>
          </w:p>
          <w:p w14:paraId="3C2F87D9">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储罐全破裂</w:t>
            </w:r>
          </w:p>
        </w:tc>
        <w:tc>
          <w:tcPr>
            <w:tcW w:w="1912" w:type="dxa"/>
            <w:noWrap/>
            <w:vAlign w:val="center"/>
          </w:tcPr>
          <w:p w14:paraId="067B534F">
            <w:pPr>
              <w:widowControl w:val="0"/>
              <w:spacing w:line="360" w:lineRule="exact"/>
              <w:jc w:val="center"/>
              <w:rPr>
                <w:rFonts w:eastAsia="Times New Roman"/>
                <w:color w:val="auto"/>
                <w:sz w:val="21"/>
                <w:szCs w:val="21"/>
              </w:rPr>
            </w:pPr>
            <w:r>
              <w:rPr>
                <w:rFonts w:hint="eastAsia" w:eastAsia="Times New Roman"/>
                <w:color w:val="auto"/>
                <w:sz w:val="21"/>
                <w:szCs w:val="21"/>
              </w:rPr>
              <w:t>1.00×10</w:t>
            </w:r>
            <w:r>
              <w:rPr>
                <w:rFonts w:hint="eastAsia" w:eastAsia="Times New Roman"/>
                <w:color w:val="auto"/>
                <w:sz w:val="21"/>
                <w:szCs w:val="21"/>
                <w:vertAlign w:val="superscript"/>
              </w:rPr>
              <w:t>-4</w:t>
            </w:r>
            <w:r>
              <w:rPr>
                <w:rFonts w:hint="eastAsia" w:eastAsia="Times New Roman"/>
                <w:color w:val="auto"/>
                <w:sz w:val="21"/>
                <w:szCs w:val="21"/>
              </w:rPr>
              <w:t>/a</w:t>
            </w:r>
          </w:p>
          <w:p w14:paraId="4437B3CC">
            <w:pPr>
              <w:widowControl w:val="0"/>
              <w:spacing w:line="360" w:lineRule="exact"/>
              <w:jc w:val="center"/>
              <w:rPr>
                <w:rFonts w:eastAsia="Times New Roman"/>
                <w:color w:val="auto"/>
                <w:sz w:val="21"/>
                <w:szCs w:val="21"/>
              </w:rPr>
            </w:pPr>
            <w:r>
              <w:rPr>
                <w:rFonts w:hint="eastAsia" w:eastAsia="Times New Roman"/>
                <w:color w:val="auto"/>
                <w:sz w:val="21"/>
                <w:szCs w:val="21"/>
              </w:rPr>
              <w:t>5.00×10</w:t>
            </w:r>
            <w:r>
              <w:rPr>
                <w:rFonts w:hint="eastAsia" w:eastAsia="Times New Roman"/>
                <w:color w:val="auto"/>
                <w:sz w:val="21"/>
                <w:szCs w:val="21"/>
                <w:vertAlign w:val="superscript"/>
              </w:rPr>
              <w:t>-6</w:t>
            </w:r>
            <w:r>
              <w:rPr>
                <w:rFonts w:hint="eastAsia" w:eastAsia="Times New Roman"/>
                <w:color w:val="auto"/>
                <w:sz w:val="21"/>
                <w:szCs w:val="21"/>
              </w:rPr>
              <w:t>/a</w:t>
            </w:r>
          </w:p>
          <w:p w14:paraId="27F9787F">
            <w:pPr>
              <w:widowControl w:val="0"/>
              <w:spacing w:line="360" w:lineRule="exact"/>
              <w:jc w:val="center"/>
              <w:rPr>
                <w:rFonts w:eastAsia="Times New Roman"/>
                <w:color w:val="auto"/>
                <w:sz w:val="21"/>
                <w:szCs w:val="21"/>
              </w:rPr>
            </w:pPr>
            <w:r>
              <w:rPr>
                <w:rFonts w:hint="eastAsia" w:eastAsia="Times New Roman"/>
                <w:color w:val="auto"/>
                <w:sz w:val="21"/>
                <w:szCs w:val="21"/>
              </w:rPr>
              <w:t>5.00×10</w:t>
            </w:r>
            <w:r>
              <w:rPr>
                <w:rFonts w:hint="eastAsia" w:eastAsia="Times New Roman"/>
                <w:color w:val="auto"/>
                <w:sz w:val="21"/>
                <w:szCs w:val="21"/>
                <w:vertAlign w:val="superscript"/>
              </w:rPr>
              <w:t>-6</w:t>
            </w:r>
            <w:r>
              <w:rPr>
                <w:rFonts w:hint="eastAsia" w:eastAsia="Times New Roman"/>
                <w:color w:val="auto"/>
                <w:sz w:val="21"/>
                <w:szCs w:val="21"/>
              </w:rPr>
              <w:t>/a</w:t>
            </w:r>
          </w:p>
        </w:tc>
      </w:tr>
      <w:tr w14:paraId="6E65D88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570" w:hRule="atLeast"/>
        </w:trPr>
        <w:tc>
          <w:tcPr>
            <w:tcW w:w="2000" w:type="dxa"/>
            <w:noWrap/>
            <w:vAlign w:val="center"/>
          </w:tcPr>
          <w:p w14:paraId="4534D093">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常压双包容储罐</w:t>
            </w:r>
          </w:p>
        </w:tc>
        <w:tc>
          <w:tcPr>
            <w:tcW w:w="4364" w:type="dxa"/>
            <w:vAlign w:val="center"/>
          </w:tcPr>
          <w:p w14:paraId="1632815B">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泄漏孔径为</w:t>
            </w:r>
            <w:r>
              <w:rPr>
                <w:rFonts w:hint="eastAsia" w:eastAsia="Times New Roman"/>
                <w:color w:val="auto"/>
                <w:sz w:val="21"/>
                <w:szCs w:val="21"/>
              </w:rPr>
              <w:t xml:space="preserve">10mm </w:t>
            </w:r>
            <w:r>
              <w:rPr>
                <w:rFonts w:hint="eastAsia" w:ascii="宋体" w:hAnsi="宋体" w:eastAsia="Times New Roman" w:cs="宋体"/>
                <w:color w:val="auto"/>
                <w:sz w:val="21"/>
                <w:szCs w:val="21"/>
              </w:rPr>
              <w:t>孔径</w:t>
            </w:r>
          </w:p>
          <w:p w14:paraId="2A992D64">
            <w:pPr>
              <w:widowControl w:val="0"/>
              <w:spacing w:line="360" w:lineRule="exact"/>
              <w:jc w:val="center"/>
              <w:rPr>
                <w:rFonts w:eastAsia="Times New Roman"/>
                <w:color w:val="auto"/>
                <w:sz w:val="21"/>
                <w:szCs w:val="21"/>
              </w:rPr>
            </w:pPr>
            <w:r>
              <w:rPr>
                <w:rFonts w:hint="eastAsia" w:eastAsia="Times New Roman"/>
                <w:color w:val="auto"/>
                <w:sz w:val="21"/>
                <w:szCs w:val="21"/>
              </w:rPr>
              <w:t>10min</w:t>
            </w:r>
            <w:r>
              <w:rPr>
                <w:rFonts w:hint="eastAsia" w:ascii="宋体" w:hAnsi="宋体" w:eastAsia="Times New Roman" w:cs="宋体"/>
                <w:color w:val="auto"/>
                <w:sz w:val="21"/>
                <w:szCs w:val="21"/>
              </w:rPr>
              <w:t>内储罐泄漏完</w:t>
            </w:r>
          </w:p>
          <w:p w14:paraId="516F2B0C">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储罐全破裂</w:t>
            </w:r>
          </w:p>
        </w:tc>
        <w:tc>
          <w:tcPr>
            <w:tcW w:w="1912" w:type="dxa"/>
            <w:noWrap/>
            <w:vAlign w:val="center"/>
          </w:tcPr>
          <w:p w14:paraId="30D33D68">
            <w:pPr>
              <w:widowControl w:val="0"/>
              <w:spacing w:line="360" w:lineRule="exact"/>
              <w:jc w:val="center"/>
              <w:rPr>
                <w:rFonts w:eastAsia="Times New Roman"/>
                <w:color w:val="auto"/>
                <w:sz w:val="21"/>
                <w:szCs w:val="21"/>
              </w:rPr>
            </w:pPr>
            <w:r>
              <w:rPr>
                <w:rFonts w:hint="eastAsia" w:eastAsia="Times New Roman"/>
                <w:color w:val="auto"/>
                <w:sz w:val="21"/>
                <w:szCs w:val="21"/>
              </w:rPr>
              <w:t>1.00×10</w:t>
            </w:r>
            <w:r>
              <w:rPr>
                <w:rFonts w:hint="eastAsia" w:eastAsia="Times New Roman"/>
                <w:color w:val="auto"/>
                <w:sz w:val="21"/>
                <w:szCs w:val="21"/>
                <w:vertAlign w:val="superscript"/>
              </w:rPr>
              <w:t>-4</w:t>
            </w:r>
            <w:r>
              <w:rPr>
                <w:rFonts w:hint="eastAsia" w:eastAsia="Times New Roman"/>
                <w:color w:val="auto"/>
                <w:sz w:val="21"/>
                <w:szCs w:val="21"/>
              </w:rPr>
              <w:t>/a</w:t>
            </w:r>
          </w:p>
          <w:p w14:paraId="32E794A6">
            <w:pPr>
              <w:widowControl w:val="0"/>
              <w:spacing w:line="360" w:lineRule="exact"/>
              <w:jc w:val="center"/>
              <w:rPr>
                <w:rFonts w:eastAsia="Times New Roman"/>
                <w:color w:val="auto"/>
                <w:sz w:val="21"/>
                <w:szCs w:val="21"/>
              </w:rPr>
            </w:pPr>
            <w:r>
              <w:rPr>
                <w:rFonts w:hint="eastAsia" w:eastAsia="Times New Roman"/>
                <w:color w:val="auto"/>
                <w:sz w:val="21"/>
                <w:szCs w:val="21"/>
              </w:rPr>
              <w:t>1.25×10</w:t>
            </w:r>
            <w:r>
              <w:rPr>
                <w:rFonts w:hint="eastAsia" w:eastAsia="Times New Roman"/>
                <w:color w:val="auto"/>
                <w:sz w:val="21"/>
                <w:szCs w:val="21"/>
                <w:vertAlign w:val="superscript"/>
              </w:rPr>
              <w:t>-8</w:t>
            </w:r>
            <w:r>
              <w:rPr>
                <w:rFonts w:hint="eastAsia" w:eastAsia="Times New Roman"/>
                <w:color w:val="auto"/>
                <w:sz w:val="21"/>
                <w:szCs w:val="21"/>
              </w:rPr>
              <w:t>/a</w:t>
            </w:r>
          </w:p>
          <w:p w14:paraId="793E8449">
            <w:pPr>
              <w:widowControl w:val="0"/>
              <w:spacing w:line="360" w:lineRule="exact"/>
              <w:jc w:val="center"/>
              <w:rPr>
                <w:rFonts w:eastAsia="Times New Roman"/>
                <w:color w:val="auto"/>
                <w:sz w:val="21"/>
                <w:szCs w:val="21"/>
              </w:rPr>
            </w:pPr>
            <w:r>
              <w:rPr>
                <w:rFonts w:hint="eastAsia" w:eastAsia="Times New Roman"/>
                <w:color w:val="auto"/>
                <w:sz w:val="21"/>
                <w:szCs w:val="21"/>
              </w:rPr>
              <w:t>1.25×10</w:t>
            </w:r>
            <w:r>
              <w:rPr>
                <w:rFonts w:hint="eastAsia" w:eastAsia="Times New Roman"/>
                <w:color w:val="auto"/>
                <w:sz w:val="21"/>
                <w:szCs w:val="21"/>
                <w:vertAlign w:val="superscript"/>
              </w:rPr>
              <w:t>-8</w:t>
            </w:r>
            <w:r>
              <w:rPr>
                <w:rFonts w:hint="eastAsia" w:eastAsia="Times New Roman"/>
                <w:color w:val="auto"/>
                <w:sz w:val="21"/>
                <w:szCs w:val="21"/>
              </w:rPr>
              <w:t>/a</w:t>
            </w:r>
          </w:p>
        </w:tc>
      </w:tr>
      <w:tr w14:paraId="4207C17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452" w:hRule="atLeast"/>
        </w:trPr>
        <w:tc>
          <w:tcPr>
            <w:tcW w:w="2000" w:type="dxa"/>
            <w:noWrap/>
            <w:vAlign w:val="center"/>
          </w:tcPr>
          <w:p w14:paraId="542FD3F5">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常压全包容储罐</w:t>
            </w:r>
          </w:p>
        </w:tc>
        <w:tc>
          <w:tcPr>
            <w:tcW w:w="4364" w:type="dxa"/>
            <w:vAlign w:val="center"/>
          </w:tcPr>
          <w:p w14:paraId="49E34B06">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储罐全破裂</w:t>
            </w:r>
          </w:p>
        </w:tc>
        <w:tc>
          <w:tcPr>
            <w:tcW w:w="1912" w:type="dxa"/>
            <w:noWrap/>
            <w:vAlign w:val="center"/>
          </w:tcPr>
          <w:p w14:paraId="2FC20A09">
            <w:pPr>
              <w:widowControl w:val="0"/>
              <w:spacing w:line="360" w:lineRule="exact"/>
              <w:jc w:val="center"/>
              <w:rPr>
                <w:rFonts w:eastAsia="Times New Roman"/>
                <w:color w:val="auto"/>
                <w:sz w:val="21"/>
                <w:szCs w:val="21"/>
              </w:rPr>
            </w:pPr>
            <w:r>
              <w:rPr>
                <w:rFonts w:hint="eastAsia" w:eastAsia="Times New Roman"/>
                <w:color w:val="auto"/>
                <w:sz w:val="21"/>
                <w:szCs w:val="21"/>
              </w:rPr>
              <w:t>1.00×10</w:t>
            </w:r>
            <w:r>
              <w:rPr>
                <w:rFonts w:hint="eastAsia" w:eastAsia="Times New Roman"/>
                <w:color w:val="auto"/>
                <w:sz w:val="21"/>
                <w:szCs w:val="21"/>
                <w:vertAlign w:val="superscript"/>
              </w:rPr>
              <w:t>-8</w:t>
            </w:r>
            <w:r>
              <w:rPr>
                <w:rFonts w:hint="eastAsia" w:eastAsia="Times New Roman"/>
                <w:color w:val="auto"/>
                <w:sz w:val="21"/>
                <w:szCs w:val="21"/>
              </w:rPr>
              <w:t>/a</w:t>
            </w:r>
          </w:p>
        </w:tc>
      </w:tr>
      <w:tr w14:paraId="0C0CEF8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000" w:type="dxa"/>
            <w:noWrap/>
            <w:vAlign w:val="center"/>
          </w:tcPr>
          <w:p w14:paraId="3E9646BA">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内径</w:t>
            </w:r>
            <w:r>
              <w:rPr>
                <w:rFonts w:eastAsia="Times New Roman"/>
                <w:color w:val="auto"/>
                <w:sz w:val="21"/>
                <w:szCs w:val="21"/>
              </w:rPr>
              <w:t>≤</w:t>
            </w:r>
            <w:r>
              <w:rPr>
                <w:rFonts w:hint="eastAsia" w:eastAsia="Times New Roman"/>
                <w:color w:val="auto"/>
                <w:sz w:val="21"/>
                <w:szCs w:val="21"/>
              </w:rPr>
              <w:t>75mm</w:t>
            </w:r>
            <w:r>
              <w:rPr>
                <w:rFonts w:hint="eastAsia" w:ascii="宋体" w:hAnsi="宋体" w:eastAsia="Times New Roman" w:cs="宋体"/>
                <w:color w:val="auto"/>
                <w:sz w:val="21"/>
                <w:szCs w:val="21"/>
              </w:rPr>
              <w:t>的管道</w:t>
            </w:r>
          </w:p>
        </w:tc>
        <w:tc>
          <w:tcPr>
            <w:tcW w:w="4364" w:type="dxa"/>
            <w:vAlign w:val="center"/>
          </w:tcPr>
          <w:p w14:paraId="26242C82">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泄漏孔径为</w:t>
            </w:r>
            <w:r>
              <w:rPr>
                <w:rFonts w:hint="eastAsia" w:eastAsia="Times New Roman"/>
                <w:color w:val="auto"/>
                <w:sz w:val="21"/>
                <w:szCs w:val="21"/>
              </w:rPr>
              <w:t>10%</w:t>
            </w:r>
            <w:r>
              <w:rPr>
                <w:rFonts w:hint="eastAsia" w:ascii="宋体" w:hAnsi="宋体" w:eastAsia="Times New Roman" w:cs="宋体"/>
                <w:color w:val="auto"/>
                <w:sz w:val="21"/>
                <w:szCs w:val="21"/>
              </w:rPr>
              <w:t>孔径</w:t>
            </w:r>
          </w:p>
          <w:p w14:paraId="54CC3005">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全管径泄漏</w:t>
            </w:r>
          </w:p>
        </w:tc>
        <w:tc>
          <w:tcPr>
            <w:tcW w:w="1912" w:type="dxa"/>
            <w:noWrap/>
            <w:vAlign w:val="center"/>
          </w:tcPr>
          <w:p w14:paraId="385B23E2">
            <w:pPr>
              <w:widowControl w:val="0"/>
              <w:spacing w:line="360" w:lineRule="exact"/>
              <w:jc w:val="center"/>
              <w:rPr>
                <w:rFonts w:eastAsia="Times New Roman"/>
                <w:color w:val="auto"/>
                <w:sz w:val="21"/>
                <w:szCs w:val="21"/>
              </w:rPr>
            </w:pPr>
            <w:r>
              <w:rPr>
                <w:rFonts w:hint="eastAsia" w:eastAsia="Times New Roman"/>
                <w:color w:val="auto"/>
                <w:sz w:val="21"/>
                <w:szCs w:val="21"/>
              </w:rPr>
              <w:t>5.00×10</w:t>
            </w:r>
            <w:r>
              <w:rPr>
                <w:rFonts w:hint="eastAsia" w:eastAsia="Times New Roman"/>
                <w:color w:val="auto"/>
                <w:sz w:val="21"/>
                <w:szCs w:val="21"/>
                <w:vertAlign w:val="superscript"/>
              </w:rPr>
              <w:t>-6</w:t>
            </w:r>
            <w:r>
              <w:rPr>
                <w:rFonts w:hint="eastAsia" w:eastAsia="Times New Roman"/>
                <w:color w:val="auto"/>
                <w:sz w:val="21"/>
                <w:szCs w:val="21"/>
              </w:rPr>
              <w:t>/</w:t>
            </w:r>
            <w:r>
              <w:rPr>
                <w:rFonts w:hint="eastAsia" w:ascii="宋体" w:hAnsi="宋体" w:eastAsia="Times New Roman" w:cs="宋体"/>
                <w:color w:val="auto"/>
                <w:sz w:val="21"/>
                <w:szCs w:val="21"/>
              </w:rPr>
              <w:t>（</w:t>
            </w:r>
            <w:r>
              <w:rPr>
                <w:rFonts w:hint="eastAsia" w:eastAsia="Times New Roman"/>
                <w:color w:val="auto"/>
                <w:sz w:val="21"/>
                <w:szCs w:val="21"/>
              </w:rPr>
              <w:t>m</w:t>
            </w:r>
            <w:r>
              <w:rPr>
                <w:rFonts w:eastAsia="Times New Roman"/>
                <w:color w:val="auto"/>
                <w:sz w:val="21"/>
                <w:szCs w:val="21"/>
              </w:rPr>
              <w:t>·</w:t>
            </w:r>
            <w:r>
              <w:rPr>
                <w:rFonts w:hint="eastAsia" w:eastAsia="Times New Roman"/>
                <w:color w:val="auto"/>
                <w:sz w:val="21"/>
                <w:szCs w:val="21"/>
              </w:rPr>
              <w:t>a</w:t>
            </w:r>
            <w:r>
              <w:rPr>
                <w:rFonts w:hint="eastAsia" w:ascii="宋体" w:hAnsi="宋体" w:eastAsia="Times New Roman" w:cs="宋体"/>
                <w:color w:val="auto"/>
                <w:sz w:val="21"/>
                <w:szCs w:val="21"/>
              </w:rPr>
              <w:t>）</w:t>
            </w:r>
          </w:p>
          <w:p w14:paraId="1B7C5671">
            <w:pPr>
              <w:widowControl w:val="0"/>
              <w:spacing w:line="360" w:lineRule="exact"/>
              <w:jc w:val="center"/>
              <w:rPr>
                <w:rFonts w:eastAsia="Times New Roman"/>
                <w:color w:val="auto"/>
                <w:sz w:val="21"/>
                <w:szCs w:val="21"/>
              </w:rPr>
            </w:pPr>
            <w:r>
              <w:rPr>
                <w:rFonts w:hint="eastAsia" w:eastAsia="Times New Roman"/>
                <w:color w:val="auto"/>
                <w:sz w:val="21"/>
                <w:szCs w:val="21"/>
              </w:rPr>
              <w:t>1.00×10</w:t>
            </w:r>
            <w:r>
              <w:rPr>
                <w:rFonts w:hint="eastAsia" w:eastAsia="Times New Roman"/>
                <w:color w:val="auto"/>
                <w:sz w:val="21"/>
                <w:szCs w:val="21"/>
                <w:vertAlign w:val="superscript"/>
              </w:rPr>
              <w:t>-6</w:t>
            </w:r>
            <w:r>
              <w:rPr>
                <w:rFonts w:hint="eastAsia" w:eastAsia="Times New Roman"/>
                <w:color w:val="auto"/>
                <w:sz w:val="21"/>
                <w:szCs w:val="21"/>
              </w:rPr>
              <w:t>/</w:t>
            </w:r>
            <w:r>
              <w:rPr>
                <w:rFonts w:hint="eastAsia" w:ascii="宋体" w:hAnsi="宋体" w:eastAsia="Times New Roman" w:cs="宋体"/>
                <w:color w:val="auto"/>
                <w:sz w:val="21"/>
                <w:szCs w:val="21"/>
              </w:rPr>
              <w:t>（</w:t>
            </w:r>
            <w:r>
              <w:rPr>
                <w:rFonts w:hint="eastAsia" w:eastAsia="Times New Roman"/>
                <w:color w:val="auto"/>
                <w:sz w:val="21"/>
                <w:szCs w:val="21"/>
              </w:rPr>
              <w:t>m</w:t>
            </w:r>
            <w:r>
              <w:rPr>
                <w:rFonts w:eastAsia="Times New Roman"/>
                <w:color w:val="auto"/>
                <w:sz w:val="21"/>
                <w:szCs w:val="21"/>
              </w:rPr>
              <w:t>·</w:t>
            </w:r>
            <w:r>
              <w:rPr>
                <w:rFonts w:hint="eastAsia" w:eastAsia="Times New Roman"/>
                <w:color w:val="auto"/>
                <w:sz w:val="21"/>
                <w:szCs w:val="21"/>
              </w:rPr>
              <w:t>a</w:t>
            </w:r>
            <w:r>
              <w:rPr>
                <w:rFonts w:hint="eastAsia" w:ascii="宋体" w:hAnsi="宋体" w:eastAsia="Times New Roman" w:cs="宋体"/>
                <w:color w:val="auto"/>
                <w:sz w:val="21"/>
                <w:szCs w:val="21"/>
              </w:rPr>
              <w:t>）</w:t>
            </w:r>
          </w:p>
        </w:tc>
      </w:tr>
      <w:tr w14:paraId="31DBC45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000" w:type="dxa"/>
            <w:noWrap/>
            <w:vAlign w:val="center"/>
          </w:tcPr>
          <w:p w14:paraId="674D52D9">
            <w:pPr>
              <w:widowControl w:val="0"/>
              <w:spacing w:line="360" w:lineRule="exact"/>
              <w:jc w:val="center"/>
              <w:rPr>
                <w:rFonts w:eastAsia="Times New Roman"/>
                <w:color w:val="auto"/>
                <w:sz w:val="21"/>
                <w:szCs w:val="21"/>
              </w:rPr>
            </w:pPr>
            <w:r>
              <w:rPr>
                <w:rFonts w:hint="eastAsia" w:eastAsia="Times New Roman"/>
                <w:color w:val="auto"/>
                <w:sz w:val="21"/>
                <w:szCs w:val="21"/>
              </w:rPr>
              <w:t>75mm</w:t>
            </w:r>
            <w:r>
              <w:rPr>
                <w:rFonts w:hint="eastAsia" w:ascii="宋体" w:hAnsi="宋体" w:eastAsia="Times New Roman" w:cs="宋体"/>
                <w:color w:val="auto"/>
                <w:sz w:val="21"/>
                <w:szCs w:val="21"/>
              </w:rPr>
              <w:t>＜内径</w:t>
            </w:r>
            <w:r>
              <w:rPr>
                <w:rFonts w:eastAsia="Times New Roman"/>
                <w:color w:val="auto"/>
                <w:sz w:val="21"/>
                <w:szCs w:val="21"/>
              </w:rPr>
              <w:t>≤</w:t>
            </w:r>
            <w:r>
              <w:rPr>
                <w:rFonts w:hint="eastAsia" w:eastAsia="Times New Roman"/>
                <w:color w:val="auto"/>
                <w:sz w:val="21"/>
                <w:szCs w:val="21"/>
              </w:rPr>
              <w:t>150mm</w:t>
            </w:r>
            <w:r>
              <w:rPr>
                <w:rFonts w:hint="eastAsia" w:ascii="宋体" w:hAnsi="宋体" w:eastAsia="Times New Roman" w:cs="宋体"/>
                <w:color w:val="auto"/>
                <w:sz w:val="21"/>
                <w:szCs w:val="21"/>
              </w:rPr>
              <w:t>的管道</w:t>
            </w:r>
          </w:p>
        </w:tc>
        <w:tc>
          <w:tcPr>
            <w:tcW w:w="4364" w:type="dxa"/>
            <w:vAlign w:val="center"/>
          </w:tcPr>
          <w:p w14:paraId="1C703C01">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泄漏孔径为</w:t>
            </w:r>
            <w:r>
              <w:rPr>
                <w:rFonts w:hint="eastAsia" w:eastAsia="Times New Roman"/>
                <w:color w:val="auto"/>
                <w:sz w:val="21"/>
                <w:szCs w:val="21"/>
              </w:rPr>
              <w:t xml:space="preserve"> 10%</w:t>
            </w:r>
            <w:r>
              <w:rPr>
                <w:rFonts w:hint="eastAsia" w:ascii="宋体" w:hAnsi="宋体" w:eastAsia="Times New Roman" w:cs="宋体"/>
                <w:color w:val="auto"/>
                <w:sz w:val="21"/>
                <w:szCs w:val="21"/>
              </w:rPr>
              <w:t>孔径</w:t>
            </w:r>
          </w:p>
          <w:p w14:paraId="18BABECB">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全管径泄漏</w:t>
            </w:r>
          </w:p>
        </w:tc>
        <w:tc>
          <w:tcPr>
            <w:tcW w:w="1912" w:type="dxa"/>
            <w:noWrap/>
            <w:vAlign w:val="center"/>
          </w:tcPr>
          <w:p w14:paraId="4F362FB6">
            <w:pPr>
              <w:widowControl w:val="0"/>
              <w:spacing w:line="360" w:lineRule="exact"/>
              <w:jc w:val="center"/>
              <w:rPr>
                <w:rFonts w:eastAsia="Times New Roman"/>
                <w:color w:val="auto"/>
                <w:sz w:val="21"/>
                <w:szCs w:val="21"/>
              </w:rPr>
            </w:pPr>
            <w:r>
              <w:rPr>
                <w:rFonts w:hint="eastAsia" w:eastAsia="Times New Roman"/>
                <w:color w:val="auto"/>
                <w:sz w:val="21"/>
                <w:szCs w:val="21"/>
              </w:rPr>
              <w:t>2.00×10</w:t>
            </w:r>
            <w:r>
              <w:rPr>
                <w:rFonts w:hint="eastAsia" w:eastAsia="Times New Roman"/>
                <w:color w:val="auto"/>
                <w:sz w:val="21"/>
                <w:szCs w:val="21"/>
                <w:vertAlign w:val="superscript"/>
              </w:rPr>
              <w:t>-6</w:t>
            </w:r>
            <w:r>
              <w:rPr>
                <w:rFonts w:hint="eastAsia" w:eastAsia="Times New Roman"/>
                <w:color w:val="auto"/>
                <w:sz w:val="21"/>
                <w:szCs w:val="21"/>
              </w:rPr>
              <w:t>/</w:t>
            </w:r>
            <w:r>
              <w:rPr>
                <w:rFonts w:hint="eastAsia" w:ascii="宋体" w:hAnsi="宋体" w:eastAsia="Times New Roman" w:cs="宋体"/>
                <w:color w:val="auto"/>
                <w:sz w:val="21"/>
                <w:szCs w:val="21"/>
              </w:rPr>
              <w:t>（</w:t>
            </w:r>
            <w:r>
              <w:rPr>
                <w:rFonts w:hint="eastAsia" w:eastAsia="Times New Roman"/>
                <w:color w:val="auto"/>
                <w:sz w:val="21"/>
                <w:szCs w:val="21"/>
              </w:rPr>
              <w:t>m</w:t>
            </w:r>
            <w:r>
              <w:rPr>
                <w:rFonts w:eastAsia="Times New Roman"/>
                <w:color w:val="auto"/>
                <w:sz w:val="21"/>
                <w:szCs w:val="21"/>
              </w:rPr>
              <w:t>·</w:t>
            </w:r>
            <w:r>
              <w:rPr>
                <w:rFonts w:hint="eastAsia" w:eastAsia="Times New Roman"/>
                <w:color w:val="auto"/>
                <w:sz w:val="21"/>
                <w:szCs w:val="21"/>
              </w:rPr>
              <w:t>a</w:t>
            </w:r>
            <w:r>
              <w:rPr>
                <w:rFonts w:hint="eastAsia" w:ascii="宋体" w:hAnsi="宋体" w:eastAsia="Times New Roman" w:cs="宋体"/>
                <w:color w:val="auto"/>
                <w:sz w:val="21"/>
                <w:szCs w:val="21"/>
              </w:rPr>
              <w:t>）</w:t>
            </w:r>
          </w:p>
          <w:p w14:paraId="6CD13B45">
            <w:pPr>
              <w:widowControl w:val="0"/>
              <w:spacing w:line="360" w:lineRule="exact"/>
              <w:jc w:val="center"/>
              <w:rPr>
                <w:rFonts w:eastAsia="Times New Roman"/>
                <w:color w:val="auto"/>
                <w:sz w:val="21"/>
                <w:szCs w:val="21"/>
              </w:rPr>
            </w:pPr>
            <w:r>
              <w:rPr>
                <w:rFonts w:hint="eastAsia" w:eastAsia="Times New Roman"/>
                <w:color w:val="auto"/>
                <w:sz w:val="21"/>
                <w:szCs w:val="21"/>
              </w:rPr>
              <w:t>3.0×10</w:t>
            </w:r>
            <w:r>
              <w:rPr>
                <w:rFonts w:hint="eastAsia" w:eastAsia="Times New Roman"/>
                <w:color w:val="auto"/>
                <w:sz w:val="21"/>
                <w:szCs w:val="21"/>
                <w:vertAlign w:val="superscript"/>
              </w:rPr>
              <w:t>-7</w:t>
            </w:r>
            <w:r>
              <w:rPr>
                <w:rFonts w:hint="eastAsia" w:eastAsia="Times New Roman"/>
                <w:color w:val="auto"/>
                <w:sz w:val="21"/>
                <w:szCs w:val="21"/>
              </w:rPr>
              <w:t>/</w:t>
            </w:r>
            <w:r>
              <w:rPr>
                <w:rFonts w:hint="eastAsia" w:ascii="宋体" w:hAnsi="宋体" w:eastAsia="Times New Roman" w:cs="宋体"/>
                <w:color w:val="auto"/>
                <w:sz w:val="21"/>
                <w:szCs w:val="21"/>
              </w:rPr>
              <w:t>（</w:t>
            </w:r>
            <w:r>
              <w:rPr>
                <w:rFonts w:hint="eastAsia" w:eastAsia="Times New Roman"/>
                <w:color w:val="auto"/>
                <w:sz w:val="21"/>
                <w:szCs w:val="21"/>
              </w:rPr>
              <w:t>m</w:t>
            </w:r>
            <w:r>
              <w:rPr>
                <w:rFonts w:eastAsia="Times New Roman"/>
                <w:color w:val="auto"/>
                <w:sz w:val="21"/>
                <w:szCs w:val="21"/>
              </w:rPr>
              <w:t>·</w:t>
            </w:r>
            <w:r>
              <w:rPr>
                <w:rFonts w:hint="eastAsia" w:eastAsia="Times New Roman"/>
                <w:color w:val="auto"/>
                <w:sz w:val="21"/>
                <w:szCs w:val="21"/>
              </w:rPr>
              <w:t>a</w:t>
            </w:r>
            <w:r>
              <w:rPr>
                <w:rFonts w:hint="eastAsia" w:ascii="宋体" w:hAnsi="宋体" w:eastAsia="Times New Roman" w:cs="宋体"/>
                <w:color w:val="auto"/>
                <w:sz w:val="21"/>
                <w:szCs w:val="21"/>
              </w:rPr>
              <w:t>）</w:t>
            </w:r>
          </w:p>
        </w:tc>
      </w:tr>
      <w:tr w14:paraId="618533F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70" w:hRule="atLeast"/>
        </w:trPr>
        <w:tc>
          <w:tcPr>
            <w:tcW w:w="2000" w:type="dxa"/>
            <w:noWrap/>
            <w:vAlign w:val="center"/>
          </w:tcPr>
          <w:p w14:paraId="57075A2D">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内径＞</w:t>
            </w:r>
            <w:r>
              <w:rPr>
                <w:rFonts w:hint="eastAsia" w:eastAsia="Times New Roman"/>
                <w:color w:val="auto"/>
                <w:sz w:val="21"/>
                <w:szCs w:val="21"/>
              </w:rPr>
              <w:t>150mm</w:t>
            </w:r>
            <w:r>
              <w:rPr>
                <w:rFonts w:hint="eastAsia" w:ascii="宋体" w:hAnsi="宋体" w:eastAsia="Times New Roman" w:cs="宋体"/>
                <w:color w:val="auto"/>
                <w:sz w:val="21"/>
                <w:szCs w:val="21"/>
              </w:rPr>
              <w:t>的管道</w:t>
            </w:r>
          </w:p>
        </w:tc>
        <w:tc>
          <w:tcPr>
            <w:tcW w:w="4364" w:type="dxa"/>
            <w:vAlign w:val="center"/>
          </w:tcPr>
          <w:p w14:paraId="501B48C3">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泄漏孔径为</w:t>
            </w:r>
            <w:r>
              <w:rPr>
                <w:rFonts w:hint="eastAsia" w:eastAsia="Times New Roman"/>
                <w:color w:val="auto"/>
                <w:sz w:val="21"/>
                <w:szCs w:val="21"/>
              </w:rPr>
              <w:t xml:space="preserve"> 10%</w:t>
            </w:r>
            <w:r>
              <w:rPr>
                <w:rFonts w:hint="eastAsia" w:ascii="宋体" w:hAnsi="宋体" w:eastAsia="Times New Roman" w:cs="宋体"/>
                <w:color w:val="auto"/>
                <w:sz w:val="21"/>
                <w:szCs w:val="21"/>
              </w:rPr>
              <w:t>孔径（最大</w:t>
            </w:r>
            <w:r>
              <w:rPr>
                <w:rFonts w:hint="eastAsia" w:eastAsia="Times New Roman"/>
                <w:color w:val="auto"/>
                <w:sz w:val="21"/>
                <w:szCs w:val="21"/>
              </w:rPr>
              <w:t>50mm</w:t>
            </w:r>
            <w:r>
              <w:rPr>
                <w:rFonts w:hint="eastAsia" w:ascii="宋体" w:hAnsi="宋体" w:eastAsia="Times New Roman" w:cs="宋体"/>
                <w:color w:val="auto"/>
                <w:sz w:val="21"/>
                <w:szCs w:val="21"/>
              </w:rPr>
              <w:t>）</w:t>
            </w:r>
          </w:p>
          <w:p w14:paraId="41C34791">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全管径泄漏</w:t>
            </w:r>
          </w:p>
        </w:tc>
        <w:tc>
          <w:tcPr>
            <w:tcW w:w="1912" w:type="dxa"/>
            <w:noWrap/>
            <w:vAlign w:val="center"/>
          </w:tcPr>
          <w:p w14:paraId="7B9D60A3">
            <w:pPr>
              <w:widowControl w:val="0"/>
              <w:spacing w:line="360" w:lineRule="exact"/>
              <w:jc w:val="center"/>
              <w:rPr>
                <w:rFonts w:eastAsia="Times New Roman"/>
                <w:color w:val="auto"/>
                <w:sz w:val="21"/>
                <w:szCs w:val="21"/>
              </w:rPr>
            </w:pPr>
            <w:r>
              <w:rPr>
                <w:rFonts w:hint="eastAsia" w:eastAsia="Times New Roman"/>
                <w:color w:val="auto"/>
                <w:sz w:val="21"/>
                <w:szCs w:val="21"/>
              </w:rPr>
              <w:t>2.40×10</w:t>
            </w:r>
            <w:r>
              <w:rPr>
                <w:rFonts w:hint="eastAsia" w:eastAsia="Times New Roman"/>
                <w:color w:val="auto"/>
                <w:sz w:val="21"/>
                <w:szCs w:val="21"/>
                <w:vertAlign w:val="superscript"/>
              </w:rPr>
              <w:t>-6</w:t>
            </w:r>
            <w:r>
              <w:rPr>
                <w:rFonts w:hint="eastAsia" w:eastAsia="Times New Roman"/>
                <w:color w:val="auto"/>
                <w:sz w:val="21"/>
                <w:szCs w:val="21"/>
              </w:rPr>
              <w:t>/</w:t>
            </w:r>
            <w:r>
              <w:rPr>
                <w:rFonts w:hint="eastAsia" w:ascii="宋体" w:hAnsi="宋体" w:eastAsia="Times New Roman" w:cs="宋体"/>
                <w:color w:val="auto"/>
                <w:sz w:val="21"/>
                <w:szCs w:val="21"/>
              </w:rPr>
              <w:t>（</w:t>
            </w:r>
            <w:r>
              <w:rPr>
                <w:rFonts w:hint="eastAsia" w:eastAsia="Times New Roman"/>
                <w:color w:val="auto"/>
                <w:sz w:val="21"/>
                <w:szCs w:val="21"/>
              </w:rPr>
              <w:t>m</w:t>
            </w:r>
            <w:r>
              <w:rPr>
                <w:rFonts w:eastAsia="Times New Roman"/>
                <w:color w:val="auto"/>
                <w:sz w:val="21"/>
                <w:szCs w:val="21"/>
              </w:rPr>
              <w:t>·</w:t>
            </w:r>
            <w:r>
              <w:rPr>
                <w:rFonts w:hint="eastAsia" w:eastAsia="Times New Roman"/>
                <w:color w:val="auto"/>
                <w:sz w:val="21"/>
                <w:szCs w:val="21"/>
              </w:rPr>
              <w:t>a</w:t>
            </w:r>
            <w:r>
              <w:rPr>
                <w:rFonts w:hint="eastAsia" w:ascii="宋体" w:hAnsi="宋体" w:eastAsia="Times New Roman" w:cs="宋体"/>
                <w:color w:val="auto"/>
                <w:sz w:val="21"/>
                <w:szCs w:val="21"/>
              </w:rPr>
              <w:t>）</w:t>
            </w:r>
          </w:p>
          <w:p w14:paraId="5F913AAF">
            <w:pPr>
              <w:widowControl w:val="0"/>
              <w:spacing w:line="360" w:lineRule="exact"/>
              <w:jc w:val="center"/>
              <w:rPr>
                <w:rFonts w:eastAsia="Times New Roman"/>
                <w:color w:val="auto"/>
                <w:sz w:val="21"/>
                <w:szCs w:val="21"/>
              </w:rPr>
            </w:pPr>
            <w:r>
              <w:rPr>
                <w:rFonts w:hint="eastAsia" w:eastAsia="Times New Roman"/>
                <w:color w:val="auto"/>
                <w:sz w:val="21"/>
                <w:szCs w:val="21"/>
              </w:rPr>
              <w:t>1.00×10</w:t>
            </w:r>
            <w:r>
              <w:rPr>
                <w:rFonts w:hint="eastAsia" w:eastAsia="Times New Roman"/>
                <w:color w:val="auto"/>
                <w:sz w:val="21"/>
                <w:szCs w:val="21"/>
                <w:vertAlign w:val="superscript"/>
              </w:rPr>
              <w:t>-7</w:t>
            </w:r>
            <w:r>
              <w:rPr>
                <w:rFonts w:hint="eastAsia" w:eastAsia="Times New Roman"/>
                <w:color w:val="auto"/>
                <w:sz w:val="21"/>
                <w:szCs w:val="21"/>
              </w:rPr>
              <w:t>/</w:t>
            </w:r>
            <w:r>
              <w:rPr>
                <w:rFonts w:hint="eastAsia" w:ascii="宋体" w:hAnsi="宋体" w:eastAsia="Times New Roman" w:cs="宋体"/>
                <w:color w:val="auto"/>
                <w:sz w:val="21"/>
                <w:szCs w:val="21"/>
              </w:rPr>
              <w:t>（</w:t>
            </w:r>
            <w:r>
              <w:rPr>
                <w:rFonts w:hint="eastAsia" w:eastAsia="Times New Roman"/>
                <w:color w:val="auto"/>
                <w:sz w:val="21"/>
                <w:szCs w:val="21"/>
              </w:rPr>
              <w:t>m</w:t>
            </w:r>
            <w:r>
              <w:rPr>
                <w:rFonts w:eastAsia="Times New Roman"/>
                <w:color w:val="auto"/>
                <w:sz w:val="21"/>
                <w:szCs w:val="21"/>
              </w:rPr>
              <w:t>·</w:t>
            </w:r>
            <w:r>
              <w:rPr>
                <w:rFonts w:hint="eastAsia" w:eastAsia="Times New Roman"/>
                <w:color w:val="auto"/>
                <w:sz w:val="21"/>
                <w:szCs w:val="21"/>
              </w:rPr>
              <w:t>a</w:t>
            </w:r>
            <w:r>
              <w:rPr>
                <w:rFonts w:hint="eastAsia" w:ascii="宋体" w:hAnsi="宋体" w:eastAsia="Times New Roman" w:cs="宋体"/>
                <w:color w:val="auto"/>
                <w:sz w:val="21"/>
                <w:szCs w:val="21"/>
              </w:rPr>
              <w:t>）</w:t>
            </w:r>
          </w:p>
        </w:tc>
      </w:tr>
      <w:tr w14:paraId="0E056D9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540" w:hRule="atLeast"/>
        </w:trPr>
        <w:tc>
          <w:tcPr>
            <w:tcW w:w="2000" w:type="dxa"/>
            <w:noWrap/>
            <w:vAlign w:val="center"/>
          </w:tcPr>
          <w:p w14:paraId="4E26CC17">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泵体和压缩机</w:t>
            </w:r>
          </w:p>
        </w:tc>
        <w:tc>
          <w:tcPr>
            <w:tcW w:w="4364" w:type="dxa"/>
            <w:vAlign w:val="center"/>
          </w:tcPr>
          <w:p w14:paraId="41706DE4">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泵体和压缩机最大连接管泄漏孔径为</w:t>
            </w:r>
            <w:r>
              <w:rPr>
                <w:rFonts w:hint="eastAsia" w:eastAsia="Times New Roman"/>
                <w:color w:val="auto"/>
                <w:sz w:val="21"/>
                <w:szCs w:val="21"/>
              </w:rPr>
              <w:t>10%</w:t>
            </w:r>
            <w:r>
              <w:rPr>
                <w:rFonts w:hint="eastAsia" w:ascii="宋体" w:hAnsi="宋体" w:eastAsia="Times New Roman" w:cs="宋体"/>
                <w:color w:val="auto"/>
                <w:sz w:val="21"/>
                <w:szCs w:val="21"/>
              </w:rPr>
              <w:t>孔径（最大</w:t>
            </w:r>
            <w:r>
              <w:rPr>
                <w:rFonts w:hint="eastAsia" w:eastAsia="Times New Roman"/>
                <w:color w:val="auto"/>
                <w:sz w:val="21"/>
                <w:szCs w:val="21"/>
              </w:rPr>
              <w:t xml:space="preserve"> 50 mm</w:t>
            </w:r>
            <w:r>
              <w:rPr>
                <w:rFonts w:hint="eastAsia" w:ascii="宋体" w:hAnsi="宋体" w:eastAsia="Times New Roman" w:cs="宋体"/>
                <w:color w:val="auto"/>
                <w:sz w:val="21"/>
                <w:szCs w:val="21"/>
              </w:rPr>
              <w:t>）泵体</w:t>
            </w:r>
          </w:p>
          <w:p w14:paraId="11348E03">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压缩机最大连接管全管径泄漏</w:t>
            </w:r>
          </w:p>
        </w:tc>
        <w:tc>
          <w:tcPr>
            <w:tcW w:w="1912" w:type="dxa"/>
            <w:noWrap/>
            <w:vAlign w:val="center"/>
          </w:tcPr>
          <w:p w14:paraId="2838B5D3">
            <w:pPr>
              <w:widowControl w:val="0"/>
              <w:spacing w:line="360" w:lineRule="exact"/>
              <w:jc w:val="center"/>
              <w:rPr>
                <w:rFonts w:eastAsia="Times New Roman"/>
                <w:color w:val="auto"/>
                <w:sz w:val="21"/>
                <w:szCs w:val="21"/>
              </w:rPr>
            </w:pPr>
            <w:r>
              <w:rPr>
                <w:rFonts w:hint="eastAsia" w:eastAsia="Times New Roman"/>
                <w:color w:val="auto"/>
                <w:sz w:val="21"/>
                <w:szCs w:val="21"/>
              </w:rPr>
              <w:t>5.00×10</w:t>
            </w:r>
            <w:r>
              <w:rPr>
                <w:rFonts w:hint="eastAsia" w:eastAsia="Times New Roman"/>
                <w:color w:val="auto"/>
                <w:sz w:val="21"/>
                <w:szCs w:val="21"/>
                <w:vertAlign w:val="superscript"/>
              </w:rPr>
              <w:t>-4</w:t>
            </w:r>
            <w:r>
              <w:rPr>
                <w:rFonts w:hint="eastAsia" w:eastAsia="Times New Roman"/>
                <w:color w:val="auto"/>
                <w:sz w:val="21"/>
                <w:szCs w:val="21"/>
              </w:rPr>
              <w:t>/a</w:t>
            </w:r>
          </w:p>
          <w:p w14:paraId="22A423FD">
            <w:pPr>
              <w:widowControl w:val="0"/>
              <w:spacing w:line="360" w:lineRule="exact"/>
              <w:jc w:val="center"/>
              <w:rPr>
                <w:rFonts w:eastAsia="Times New Roman"/>
                <w:color w:val="auto"/>
                <w:sz w:val="21"/>
                <w:szCs w:val="21"/>
              </w:rPr>
            </w:pPr>
            <w:r>
              <w:rPr>
                <w:rFonts w:hint="eastAsia" w:eastAsia="Times New Roman"/>
                <w:color w:val="auto"/>
                <w:sz w:val="21"/>
                <w:szCs w:val="21"/>
              </w:rPr>
              <w:t>1.00×10</w:t>
            </w:r>
            <w:r>
              <w:rPr>
                <w:rFonts w:hint="eastAsia" w:eastAsia="Times New Roman"/>
                <w:color w:val="auto"/>
                <w:sz w:val="21"/>
                <w:szCs w:val="21"/>
                <w:vertAlign w:val="superscript"/>
              </w:rPr>
              <w:t>-4</w:t>
            </w:r>
            <w:r>
              <w:rPr>
                <w:rFonts w:hint="eastAsia" w:eastAsia="Times New Roman"/>
                <w:color w:val="auto"/>
                <w:sz w:val="21"/>
                <w:szCs w:val="21"/>
              </w:rPr>
              <w:t>/a</w:t>
            </w:r>
          </w:p>
        </w:tc>
      </w:tr>
      <w:tr w14:paraId="0DA9332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540" w:hRule="atLeast"/>
        </w:trPr>
        <w:tc>
          <w:tcPr>
            <w:tcW w:w="2000" w:type="dxa"/>
            <w:noWrap/>
            <w:vAlign w:val="center"/>
          </w:tcPr>
          <w:p w14:paraId="01490030">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装卸臂</w:t>
            </w:r>
          </w:p>
        </w:tc>
        <w:tc>
          <w:tcPr>
            <w:tcW w:w="4364" w:type="dxa"/>
            <w:vAlign w:val="center"/>
          </w:tcPr>
          <w:p w14:paraId="6898E0DD">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装卸臂连接管泄漏孔径为</w:t>
            </w:r>
            <w:r>
              <w:rPr>
                <w:rFonts w:hint="eastAsia" w:eastAsia="Times New Roman"/>
                <w:color w:val="auto"/>
                <w:sz w:val="21"/>
                <w:szCs w:val="21"/>
              </w:rPr>
              <w:t xml:space="preserve"> 10%</w:t>
            </w:r>
            <w:r>
              <w:rPr>
                <w:rFonts w:hint="eastAsia" w:ascii="宋体" w:hAnsi="宋体" w:eastAsia="Times New Roman" w:cs="宋体"/>
                <w:color w:val="auto"/>
                <w:sz w:val="21"/>
                <w:szCs w:val="21"/>
              </w:rPr>
              <w:t>孔径（最大</w:t>
            </w:r>
            <w:r>
              <w:rPr>
                <w:rFonts w:hint="eastAsia" w:eastAsia="Times New Roman"/>
                <w:color w:val="auto"/>
                <w:sz w:val="21"/>
                <w:szCs w:val="21"/>
              </w:rPr>
              <w:t>50 mm</w:t>
            </w:r>
            <w:r>
              <w:rPr>
                <w:rFonts w:hint="eastAsia" w:ascii="宋体" w:hAnsi="宋体" w:eastAsia="Times New Roman" w:cs="宋体"/>
                <w:color w:val="auto"/>
                <w:sz w:val="21"/>
                <w:szCs w:val="21"/>
              </w:rPr>
              <w:t>）</w:t>
            </w:r>
          </w:p>
          <w:p w14:paraId="4BF77DAA">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装卸臂全管径泄漏</w:t>
            </w:r>
          </w:p>
        </w:tc>
        <w:tc>
          <w:tcPr>
            <w:tcW w:w="1912" w:type="dxa"/>
            <w:noWrap/>
            <w:vAlign w:val="center"/>
          </w:tcPr>
          <w:p w14:paraId="709CBFF7">
            <w:pPr>
              <w:widowControl w:val="0"/>
              <w:spacing w:line="360" w:lineRule="exact"/>
              <w:jc w:val="center"/>
              <w:rPr>
                <w:rFonts w:eastAsia="Times New Roman"/>
                <w:color w:val="auto"/>
                <w:sz w:val="21"/>
                <w:szCs w:val="21"/>
              </w:rPr>
            </w:pPr>
            <w:r>
              <w:rPr>
                <w:rFonts w:hint="eastAsia" w:eastAsia="Times New Roman"/>
                <w:color w:val="auto"/>
                <w:sz w:val="21"/>
                <w:szCs w:val="21"/>
              </w:rPr>
              <w:t>3.00×10</w:t>
            </w:r>
            <w:r>
              <w:rPr>
                <w:rFonts w:hint="eastAsia" w:eastAsia="Times New Roman"/>
                <w:color w:val="auto"/>
                <w:sz w:val="21"/>
                <w:szCs w:val="21"/>
                <w:vertAlign w:val="superscript"/>
              </w:rPr>
              <w:t>-7</w:t>
            </w:r>
            <w:r>
              <w:rPr>
                <w:rFonts w:hint="eastAsia" w:eastAsia="Times New Roman"/>
                <w:color w:val="auto"/>
                <w:sz w:val="21"/>
                <w:szCs w:val="21"/>
              </w:rPr>
              <w:t>/a</w:t>
            </w:r>
          </w:p>
          <w:p w14:paraId="487D656F">
            <w:pPr>
              <w:widowControl w:val="0"/>
              <w:spacing w:line="360" w:lineRule="exact"/>
              <w:jc w:val="center"/>
              <w:rPr>
                <w:rFonts w:eastAsia="Times New Roman"/>
                <w:color w:val="auto"/>
                <w:sz w:val="21"/>
                <w:szCs w:val="21"/>
              </w:rPr>
            </w:pPr>
            <w:r>
              <w:rPr>
                <w:rFonts w:hint="eastAsia" w:eastAsia="Times New Roman"/>
                <w:color w:val="auto"/>
                <w:sz w:val="21"/>
                <w:szCs w:val="21"/>
              </w:rPr>
              <w:t>3.00×10</w:t>
            </w:r>
            <w:r>
              <w:rPr>
                <w:rFonts w:hint="eastAsia" w:eastAsia="Times New Roman"/>
                <w:color w:val="auto"/>
                <w:sz w:val="21"/>
                <w:szCs w:val="21"/>
                <w:vertAlign w:val="superscript"/>
              </w:rPr>
              <w:t>-8</w:t>
            </w:r>
            <w:r>
              <w:rPr>
                <w:rFonts w:hint="eastAsia" w:eastAsia="Times New Roman"/>
                <w:color w:val="auto"/>
                <w:sz w:val="21"/>
                <w:szCs w:val="21"/>
              </w:rPr>
              <w:t>/a</w:t>
            </w:r>
          </w:p>
        </w:tc>
      </w:tr>
      <w:tr w14:paraId="5B5B7D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540" w:hRule="atLeast"/>
        </w:trPr>
        <w:tc>
          <w:tcPr>
            <w:tcW w:w="2000" w:type="dxa"/>
            <w:noWrap/>
            <w:vAlign w:val="center"/>
          </w:tcPr>
          <w:p w14:paraId="2F1C6B96">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装卸软管</w:t>
            </w:r>
          </w:p>
        </w:tc>
        <w:tc>
          <w:tcPr>
            <w:tcW w:w="4364" w:type="dxa"/>
            <w:vAlign w:val="center"/>
          </w:tcPr>
          <w:p w14:paraId="70581C1A">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装卸软管连接管泄漏孔径为</w:t>
            </w:r>
            <w:r>
              <w:rPr>
                <w:rFonts w:hint="eastAsia" w:eastAsia="Times New Roman"/>
                <w:color w:val="auto"/>
                <w:sz w:val="21"/>
                <w:szCs w:val="21"/>
              </w:rPr>
              <w:t xml:space="preserve"> 10%</w:t>
            </w:r>
            <w:r>
              <w:rPr>
                <w:rFonts w:hint="eastAsia" w:ascii="宋体" w:hAnsi="宋体" w:eastAsia="Times New Roman" w:cs="宋体"/>
                <w:color w:val="auto"/>
                <w:sz w:val="21"/>
                <w:szCs w:val="21"/>
              </w:rPr>
              <w:t>孔径（最大</w:t>
            </w:r>
            <w:r>
              <w:rPr>
                <w:rFonts w:hint="eastAsia" w:eastAsia="Times New Roman"/>
                <w:color w:val="auto"/>
                <w:sz w:val="21"/>
                <w:szCs w:val="21"/>
              </w:rPr>
              <w:t xml:space="preserve"> 50mm</w:t>
            </w:r>
            <w:r>
              <w:rPr>
                <w:rFonts w:hint="eastAsia" w:ascii="宋体" w:hAnsi="宋体" w:eastAsia="Times New Roman" w:cs="宋体"/>
                <w:color w:val="auto"/>
                <w:sz w:val="21"/>
                <w:szCs w:val="21"/>
              </w:rPr>
              <w:t>）</w:t>
            </w:r>
          </w:p>
          <w:p w14:paraId="7F3AFDA3">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装卸软管全管径泄漏</w:t>
            </w:r>
          </w:p>
        </w:tc>
        <w:tc>
          <w:tcPr>
            <w:tcW w:w="1912" w:type="dxa"/>
            <w:noWrap/>
            <w:vAlign w:val="center"/>
          </w:tcPr>
          <w:p w14:paraId="15216182">
            <w:pPr>
              <w:widowControl w:val="0"/>
              <w:spacing w:line="360" w:lineRule="exact"/>
              <w:jc w:val="center"/>
              <w:rPr>
                <w:rFonts w:eastAsia="Times New Roman"/>
                <w:color w:val="auto"/>
                <w:sz w:val="21"/>
                <w:szCs w:val="21"/>
              </w:rPr>
            </w:pPr>
            <w:r>
              <w:rPr>
                <w:rFonts w:hint="eastAsia" w:eastAsia="Times New Roman"/>
                <w:color w:val="auto"/>
                <w:sz w:val="21"/>
                <w:szCs w:val="21"/>
              </w:rPr>
              <w:t>4.00×10</w:t>
            </w:r>
            <w:r>
              <w:rPr>
                <w:rFonts w:hint="eastAsia" w:eastAsia="Times New Roman"/>
                <w:color w:val="auto"/>
                <w:sz w:val="21"/>
                <w:szCs w:val="21"/>
                <w:vertAlign w:val="superscript"/>
              </w:rPr>
              <w:t>-5</w:t>
            </w:r>
            <w:r>
              <w:rPr>
                <w:rFonts w:hint="eastAsia" w:eastAsia="Times New Roman"/>
                <w:color w:val="auto"/>
                <w:sz w:val="21"/>
                <w:szCs w:val="21"/>
              </w:rPr>
              <w:t>/a</w:t>
            </w:r>
          </w:p>
          <w:p w14:paraId="3CA6857A">
            <w:pPr>
              <w:widowControl w:val="0"/>
              <w:spacing w:line="360" w:lineRule="exact"/>
              <w:jc w:val="center"/>
              <w:rPr>
                <w:rFonts w:eastAsia="Times New Roman"/>
                <w:color w:val="auto"/>
                <w:sz w:val="21"/>
                <w:szCs w:val="21"/>
              </w:rPr>
            </w:pPr>
            <w:r>
              <w:rPr>
                <w:rFonts w:hint="eastAsia" w:eastAsia="Times New Roman"/>
                <w:color w:val="auto"/>
                <w:sz w:val="21"/>
                <w:szCs w:val="21"/>
              </w:rPr>
              <w:t>4.00×10</w:t>
            </w:r>
            <w:r>
              <w:rPr>
                <w:rFonts w:hint="eastAsia" w:eastAsia="Times New Roman"/>
                <w:color w:val="auto"/>
                <w:sz w:val="21"/>
                <w:szCs w:val="21"/>
                <w:vertAlign w:val="superscript"/>
              </w:rPr>
              <w:t>-6</w:t>
            </w:r>
            <w:r>
              <w:rPr>
                <w:rFonts w:hint="eastAsia" w:eastAsia="Times New Roman"/>
                <w:color w:val="auto"/>
                <w:sz w:val="21"/>
                <w:szCs w:val="21"/>
              </w:rPr>
              <w:t>/a</w:t>
            </w:r>
          </w:p>
        </w:tc>
      </w:tr>
    </w:tbl>
    <w:p w14:paraId="5FED4B97">
      <w:pPr>
        <w:autoSpaceDE w:val="0"/>
        <w:autoSpaceDN w:val="0"/>
        <w:adjustRightInd w:val="0"/>
        <w:spacing w:line="240" w:lineRule="exact"/>
        <w:rPr>
          <w:rFonts w:hint="eastAsia" w:ascii="宋体" w:hAnsi="宋体"/>
          <w:bCs/>
          <w:color w:val="auto"/>
          <w:lang w:val="zh-CN"/>
        </w:rPr>
      </w:pPr>
      <w:r>
        <w:rPr>
          <w:rFonts w:hint="eastAsia" w:ascii="黑体"/>
          <w:bCs/>
          <w:color w:val="auto"/>
          <w:szCs w:val="28"/>
          <w:lang w:val="zh-CN"/>
        </w:rPr>
        <w:t xml:space="preserve"> </w:t>
      </w:r>
    </w:p>
    <w:p w14:paraId="2D79BBDE">
      <w:pPr>
        <w:spacing w:line="360" w:lineRule="auto"/>
        <w:ind w:firstLine="480" w:firstLineChars="200"/>
        <w:jc w:val="both"/>
        <w:rPr>
          <w:color w:val="auto"/>
          <w:sz w:val="24"/>
          <w:szCs w:val="24"/>
        </w:rPr>
      </w:pPr>
      <w:r>
        <w:rPr>
          <w:rFonts w:hint="eastAsia"/>
          <w:color w:val="auto"/>
          <w:sz w:val="24"/>
          <w:szCs w:val="24"/>
        </w:rPr>
        <w:t>一般情况下，发生频率小于10</w:t>
      </w:r>
      <w:r>
        <w:rPr>
          <w:rFonts w:hint="eastAsia"/>
          <w:color w:val="auto"/>
          <w:sz w:val="24"/>
          <w:szCs w:val="24"/>
          <w:vertAlign w:val="superscript"/>
        </w:rPr>
        <w:t>-6</w:t>
      </w:r>
      <w:r>
        <w:rPr>
          <w:rFonts w:hint="eastAsia"/>
          <w:color w:val="auto"/>
          <w:sz w:val="24"/>
          <w:szCs w:val="24"/>
        </w:rPr>
        <w:t>/年的事件是极小概率事件，可作为代表性事故中的最大可信事故设定的参考。依据对国内外化工行业生产事故的统计，并参考《建设项目环境风险评价技术导则》（HJ169-2018）和《环境风险评价实用技术和方法》（胡二邦主编）中有关化工行业风险事故概率统计分布情况，结合项目当前的经济技术水平，确定项目最大可信事故发生概率如下：</w:t>
      </w:r>
    </w:p>
    <w:p w14:paraId="32290F96">
      <w:pPr>
        <w:spacing w:line="360" w:lineRule="auto"/>
        <w:ind w:firstLine="480" w:firstLineChars="200"/>
        <w:jc w:val="both"/>
        <w:rPr>
          <w:color w:val="auto"/>
          <w:sz w:val="24"/>
          <w:szCs w:val="24"/>
        </w:rPr>
      </w:pPr>
      <w:r>
        <w:rPr>
          <w:rFonts w:hint="eastAsia"/>
          <w:color w:val="auto"/>
          <w:sz w:val="24"/>
          <w:szCs w:val="24"/>
        </w:rPr>
        <w:t>（1）反应器/工艺储罐/气体储罐/塔器、常压单包容储罐全破裂的频率为5.00×10</w:t>
      </w:r>
      <w:r>
        <w:rPr>
          <w:rFonts w:hint="eastAsia"/>
          <w:color w:val="auto"/>
          <w:sz w:val="24"/>
          <w:szCs w:val="24"/>
          <w:vertAlign w:val="superscript"/>
        </w:rPr>
        <w:t>-6</w:t>
      </w:r>
      <w:r>
        <w:rPr>
          <w:rFonts w:hint="eastAsia"/>
          <w:color w:val="auto"/>
          <w:sz w:val="24"/>
          <w:szCs w:val="24"/>
        </w:rPr>
        <w:t>/a，可作为最大可信事故情形；</w:t>
      </w:r>
    </w:p>
    <w:p w14:paraId="6C47C275">
      <w:pPr>
        <w:spacing w:line="360" w:lineRule="auto"/>
        <w:ind w:firstLine="480" w:firstLineChars="200"/>
        <w:jc w:val="both"/>
        <w:rPr>
          <w:color w:val="auto"/>
          <w:sz w:val="24"/>
          <w:szCs w:val="24"/>
        </w:rPr>
      </w:pPr>
      <w:r>
        <w:rPr>
          <w:rFonts w:hint="eastAsia"/>
          <w:color w:val="auto"/>
          <w:sz w:val="24"/>
          <w:szCs w:val="24"/>
        </w:rPr>
        <w:t>（2）内径≤75mm的管道发生全管径泄漏、泵体和压缩机全管径泄漏、装卸软管全管径泄漏的频率均大于或等于1.00×10</w:t>
      </w:r>
      <w:r>
        <w:rPr>
          <w:rFonts w:hint="eastAsia"/>
          <w:color w:val="auto"/>
          <w:sz w:val="24"/>
          <w:szCs w:val="24"/>
          <w:vertAlign w:val="superscript"/>
        </w:rPr>
        <w:t>-6</w:t>
      </w:r>
      <w:r>
        <w:rPr>
          <w:rFonts w:hint="eastAsia"/>
          <w:color w:val="auto"/>
          <w:sz w:val="24"/>
          <w:szCs w:val="24"/>
        </w:rPr>
        <w:t>/a，可作为最大可信事故情形；</w:t>
      </w:r>
    </w:p>
    <w:p w14:paraId="17FC01F6">
      <w:pPr>
        <w:spacing w:line="360" w:lineRule="auto"/>
        <w:ind w:firstLine="480" w:firstLineChars="200"/>
        <w:jc w:val="both"/>
        <w:rPr>
          <w:color w:val="auto"/>
          <w:sz w:val="24"/>
          <w:szCs w:val="24"/>
        </w:rPr>
      </w:pPr>
      <w:r>
        <w:rPr>
          <w:rFonts w:hint="eastAsia"/>
          <w:color w:val="auto"/>
          <w:sz w:val="24"/>
          <w:szCs w:val="24"/>
        </w:rPr>
        <w:t>（3）75mm＜内径≤150mm的管道全管径泄漏的频率小于3.00×10</w:t>
      </w:r>
      <w:r>
        <w:rPr>
          <w:rFonts w:hint="eastAsia"/>
          <w:color w:val="auto"/>
          <w:sz w:val="24"/>
          <w:szCs w:val="24"/>
          <w:vertAlign w:val="superscript"/>
        </w:rPr>
        <w:t>-7</w:t>
      </w:r>
      <w:r>
        <w:rPr>
          <w:rFonts w:hint="eastAsia"/>
          <w:color w:val="auto"/>
          <w:sz w:val="24"/>
          <w:szCs w:val="24"/>
        </w:rPr>
        <w:t>/a，为小概率事件；内径＞150mm管道全管径泄漏的频率小于1.00×10</w:t>
      </w:r>
      <w:r>
        <w:rPr>
          <w:rFonts w:hint="eastAsia"/>
          <w:color w:val="auto"/>
          <w:sz w:val="24"/>
          <w:szCs w:val="24"/>
          <w:vertAlign w:val="superscript"/>
        </w:rPr>
        <w:t>-7</w:t>
      </w:r>
      <w:r>
        <w:rPr>
          <w:rFonts w:hint="eastAsia"/>
          <w:color w:val="auto"/>
          <w:sz w:val="24"/>
          <w:szCs w:val="24"/>
        </w:rPr>
        <w:t>/a，也为小概率事件，因此，内径＞75mm的管道选用50mm孔径泄漏作为最大可信事故情形。</w:t>
      </w:r>
    </w:p>
    <w:p w14:paraId="39E3ECCB">
      <w:pPr>
        <w:pStyle w:val="4"/>
        <w:rPr>
          <w:color w:val="auto"/>
        </w:rPr>
      </w:pPr>
      <w:r>
        <w:rPr>
          <w:rFonts w:hint="eastAsia"/>
          <w:color w:val="auto"/>
        </w:rPr>
        <w:t>最大可信事故判定</w:t>
      </w:r>
    </w:p>
    <w:p w14:paraId="78000AF3">
      <w:pPr>
        <w:spacing w:line="360" w:lineRule="auto"/>
        <w:ind w:firstLine="480" w:firstLineChars="200"/>
        <w:jc w:val="both"/>
        <w:rPr>
          <w:color w:val="auto"/>
          <w:sz w:val="24"/>
          <w:szCs w:val="24"/>
        </w:rPr>
      </w:pPr>
      <w:r>
        <w:rPr>
          <w:rFonts w:hint="eastAsia"/>
          <w:color w:val="auto"/>
          <w:sz w:val="24"/>
          <w:szCs w:val="24"/>
        </w:rPr>
        <w:t>最大可信事故指事故所造成的危害在所有预测的事故中最严重，并且发生该事故的概率不为“0”。类比国内外相关统计数据，按照事故树分析确定本次评价最大可信事故，具体见</w:t>
      </w:r>
      <w:r>
        <w:rPr>
          <w:rFonts w:hint="eastAsia"/>
          <w:color w:val="auto"/>
          <w:sz w:val="24"/>
          <w:szCs w:val="24"/>
        </w:rPr>
        <w:fldChar w:fldCharType="begin"/>
      </w:r>
      <w:r>
        <w:instrText xml:space="preserve"> REF _Ref31463 \h  \* MERGEFORMAT</w:instrText>
      </w:r>
      <w:r>
        <w:rPr>
          <w:rFonts w:hint="eastAsia"/>
          <w:color w:val="auto"/>
          <w:sz w:val="24"/>
          <w:szCs w:val="24"/>
        </w:rPr>
        <w:fldChar w:fldCharType="separate"/>
      </w: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7.6</w:t>
      </w:r>
      <w:r>
        <w:rPr>
          <w:rFonts w:eastAsia="黑体"/>
          <w:color w:val="auto"/>
          <w:sz w:val="23"/>
          <w:szCs w:val="24"/>
        </w:rPr>
        <w:fldChar w:fldCharType="end"/>
      </w:r>
      <w:r>
        <w:rPr>
          <w:rFonts w:eastAsia="黑体"/>
          <w:color w:val="auto"/>
          <w:sz w:val="23"/>
          <w:szCs w:val="24"/>
        </w:rPr>
        <w:noBreakHyphen/>
      </w:r>
      <w:r>
        <w:rPr>
          <w:rFonts w:hint="eastAsia" w:eastAsia="黑体"/>
          <w:color w:val="auto"/>
          <w:sz w:val="23"/>
          <w:szCs w:val="24"/>
        </w:rPr>
        <w:t>2</w:t>
      </w:r>
      <w:r>
        <w:rPr>
          <w:rFonts w:hint="eastAsia"/>
          <w:color w:val="auto"/>
          <w:sz w:val="24"/>
          <w:szCs w:val="24"/>
        </w:rPr>
        <w:fldChar w:fldCharType="end"/>
      </w:r>
      <w:r>
        <w:rPr>
          <w:rFonts w:hint="eastAsia"/>
          <w:color w:val="auto"/>
          <w:sz w:val="24"/>
          <w:szCs w:val="24"/>
        </w:rPr>
        <w:t>。</w:t>
      </w:r>
    </w:p>
    <w:p w14:paraId="34B0F900">
      <w:pPr>
        <w:spacing w:before="163" w:beforeLines="50"/>
        <w:jc w:val="center"/>
        <w:rPr>
          <w:rFonts w:eastAsia="黑体"/>
          <w:color w:val="auto"/>
          <w:sz w:val="23"/>
          <w:szCs w:val="24"/>
        </w:rPr>
      </w:pPr>
      <w:bookmarkStart w:id="391" w:name="_Ref31463"/>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7.6</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2</w:t>
      </w:r>
      <w:r>
        <w:rPr>
          <w:rFonts w:eastAsia="黑体"/>
          <w:color w:val="auto"/>
          <w:sz w:val="23"/>
          <w:szCs w:val="24"/>
        </w:rPr>
        <w:fldChar w:fldCharType="end"/>
      </w:r>
      <w:bookmarkEnd w:id="391"/>
      <w:r>
        <w:rPr>
          <w:rFonts w:hint="eastAsia" w:eastAsia="黑体"/>
          <w:color w:val="auto"/>
          <w:sz w:val="23"/>
          <w:szCs w:val="24"/>
        </w:rPr>
        <w:t xml:space="preserve"> </w:t>
      </w:r>
      <w:r>
        <w:rPr>
          <w:rFonts w:eastAsia="黑体"/>
          <w:color w:val="auto"/>
          <w:sz w:val="23"/>
          <w:szCs w:val="24"/>
        </w:rPr>
        <w:t xml:space="preserve">  </w:t>
      </w:r>
      <w:r>
        <w:rPr>
          <w:rFonts w:hint="eastAsia" w:eastAsia="黑体"/>
          <w:color w:val="auto"/>
          <w:sz w:val="23"/>
          <w:szCs w:val="24"/>
        </w:rPr>
        <w:t>最大可信事故设定一览表</w:t>
      </w:r>
    </w:p>
    <w:tbl>
      <w:tblPr>
        <w:tblStyle w:val="1937"/>
        <w:tblW w:w="4976"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0" w:type="dxa"/>
          <w:bottom w:w="0" w:type="dxa"/>
          <w:right w:w="0" w:type="dxa"/>
        </w:tblCellMar>
      </w:tblPr>
      <w:tblGrid>
        <w:gridCol w:w="486"/>
        <w:gridCol w:w="1396"/>
        <w:gridCol w:w="950"/>
        <w:gridCol w:w="1283"/>
        <w:gridCol w:w="3443"/>
        <w:gridCol w:w="1150"/>
      </w:tblGrid>
      <w:tr w14:paraId="7EFC28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0" w:type="dxa"/>
            <w:bottom w:w="0" w:type="dxa"/>
            <w:right w:w="0" w:type="dxa"/>
          </w:tblCellMar>
        </w:tblPrEx>
        <w:tc>
          <w:tcPr>
            <w:tcW w:w="279" w:type="pct"/>
            <w:vAlign w:val="center"/>
          </w:tcPr>
          <w:p w14:paraId="044D3E0F">
            <w:pPr>
              <w:widowControl w:val="0"/>
              <w:spacing w:line="360" w:lineRule="exact"/>
              <w:jc w:val="center"/>
              <w:rPr>
                <w:color w:val="auto"/>
                <w:sz w:val="21"/>
                <w:szCs w:val="21"/>
              </w:rPr>
            </w:pPr>
            <w:r>
              <w:rPr>
                <w:rFonts w:hint="eastAsia"/>
                <w:color w:val="auto"/>
                <w:sz w:val="21"/>
                <w:szCs w:val="21"/>
              </w:rPr>
              <w:t>序号</w:t>
            </w:r>
          </w:p>
        </w:tc>
        <w:tc>
          <w:tcPr>
            <w:tcW w:w="801" w:type="pct"/>
            <w:vAlign w:val="center"/>
          </w:tcPr>
          <w:p w14:paraId="22527CC0">
            <w:pPr>
              <w:widowControl w:val="0"/>
              <w:spacing w:line="360" w:lineRule="exact"/>
              <w:jc w:val="center"/>
              <w:rPr>
                <w:color w:val="auto"/>
                <w:sz w:val="21"/>
                <w:szCs w:val="21"/>
              </w:rPr>
            </w:pPr>
            <w:r>
              <w:rPr>
                <w:rFonts w:hint="eastAsia"/>
                <w:color w:val="auto"/>
                <w:sz w:val="21"/>
                <w:szCs w:val="21"/>
              </w:rPr>
              <w:t>装置或设备</w:t>
            </w:r>
          </w:p>
        </w:tc>
        <w:tc>
          <w:tcPr>
            <w:tcW w:w="545" w:type="pct"/>
            <w:vAlign w:val="center"/>
          </w:tcPr>
          <w:p w14:paraId="5188872C">
            <w:pPr>
              <w:widowControl w:val="0"/>
              <w:spacing w:line="360" w:lineRule="exact"/>
              <w:jc w:val="center"/>
              <w:rPr>
                <w:color w:val="auto"/>
                <w:sz w:val="21"/>
                <w:szCs w:val="21"/>
              </w:rPr>
            </w:pPr>
            <w:r>
              <w:rPr>
                <w:rFonts w:hint="eastAsia"/>
                <w:color w:val="auto"/>
                <w:sz w:val="21"/>
                <w:szCs w:val="21"/>
              </w:rPr>
              <w:t>危险因子</w:t>
            </w:r>
          </w:p>
        </w:tc>
        <w:tc>
          <w:tcPr>
            <w:tcW w:w="736" w:type="pct"/>
            <w:vAlign w:val="center"/>
          </w:tcPr>
          <w:p w14:paraId="7DB69060">
            <w:pPr>
              <w:widowControl w:val="0"/>
              <w:spacing w:line="360" w:lineRule="exact"/>
              <w:jc w:val="center"/>
              <w:rPr>
                <w:color w:val="auto"/>
                <w:sz w:val="21"/>
                <w:szCs w:val="21"/>
              </w:rPr>
            </w:pPr>
            <w:r>
              <w:rPr>
                <w:rFonts w:hint="eastAsia"/>
                <w:color w:val="auto"/>
                <w:sz w:val="21"/>
                <w:szCs w:val="21"/>
              </w:rPr>
              <w:t>情形</w:t>
            </w:r>
          </w:p>
        </w:tc>
        <w:tc>
          <w:tcPr>
            <w:tcW w:w="1976" w:type="pct"/>
            <w:vAlign w:val="center"/>
          </w:tcPr>
          <w:p w14:paraId="5FCDBA92">
            <w:pPr>
              <w:widowControl w:val="0"/>
              <w:spacing w:line="360" w:lineRule="exact"/>
              <w:jc w:val="center"/>
              <w:rPr>
                <w:color w:val="auto"/>
                <w:sz w:val="21"/>
                <w:szCs w:val="21"/>
              </w:rPr>
            </w:pPr>
            <w:r>
              <w:rPr>
                <w:rFonts w:hint="eastAsia"/>
                <w:color w:val="auto"/>
                <w:sz w:val="21"/>
                <w:szCs w:val="21"/>
              </w:rPr>
              <w:t>最大可信事故</w:t>
            </w:r>
          </w:p>
        </w:tc>
        <w:tc>
          <w:tcPr>
            <w:tcW w:w="660" w:type="pct"/>
            <w:vAlign w:val="center"/>
          </w:tcPr>
          <w:p w14:paraId="727B4B14">
            <w:pPr>
              <w:widowControl w:val="0"/>
              <w:spacing w:line="360" w:lineRule="exact"/>
              <w:jc w:val="center"/>
              <w:rPr>
                <w:color w:val="auto"/>
                <w:sz w:val="21"/>
                <w:szCs w:val="21"/>
              </w:rPr>
            </w:pPr>
            <w:r>
              <w:rPr>
                <w:rFonts w:hint="eastAsia"/>
                <w:color w:val="auto"/>
                <w:sz w:val="21"/>
                <w:szCs w:val="21"/>
              </w:rPr>
              <w:t>影响途径</w:t>
            </w:r>
          </w:p>
        </w:tc>
      </w:tr>
      <w:tr w14:paraId="04C11C2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0" w:type="dxa"/>
            <w:bottom w:w="0" w:type="dxa"/>
            <w:right w:w="0" w:type="dxa"/>
          </w:tblCellMar>
        </w:tblPrEx>
        <w:tc>
          <w:tcPr>
            <w:tcW w:w="279" w:type="pct"/>
            <w:vAlign w:val="center"/>
          </w:tcPr>
          <w:p w14:paraId="2AAB194F">
            <w:pPr>
              <w:widowControl w:val="0"/>
              <w:spacing w:line="360" w:lineRule="exact"/>
              <w:jc w:val="center"/>
              <w:rPr>
                <w:color w:val="auto"/>
                <w:sz w:val="21"/>
                <w:szCs w:val="21"/>
              </w:rPr>
            </w:pPr>
            <w:r>
              <w:rPr>
                <w:rFonts w:hint="eastAsia"/>
                <w:color w:val="auto"/>
                <w:sz w:val="21"/>
                <w:szCs w:val="21"/>
              </w:rPr>
              <w:t>1</w:t>
            </w:r>
          </w:p>
        </w:tc>
        <w:tc>
          <w:tcPr>
            <w:tcW w:w="801" w:type="pct"/>
            <w:vAlign w:val="center"/>
          </w:tcPr>
          <w:p w14:paraId="00F6BEF3">
            <w:pPr>
              <w:widowControl w:val="0"/>
              <w:spacing w:line="360" w:lineRule="exact"/>
              <w:jc w:val="center"/>
              <w:rPr>
                <w:color w:val="auto"/>
                <w:sz w:val="21"/>
                <w:szCs w:val="21"/>
              </w:rPr>
            </w:pPr>
            <w:r>
              <w:rPr>
                <w:rFonts w:hint="eastAsia"/>
                <w:color w:val="auto"/>
                <w:sz w:val="21"/>
                <w:szCs w:val="21"/>
              </w:rPr>
              <w:t>加热器输送管道</w:t>
            </w:r>
          </w:p>
        </w:tc>
        <w:tc>
          <w:tcPr>
            <w:tcW w:w="545" w:type="pct"/>
            <w:vAlign w:val="center"/>
          </w:tcPr>
          <w:p w14:paraId="15081C30">
            <w:pPr>
              <w:widowControl w:val="0"/>
              <w:spacing w:line="360" w:lineRule="exact"/>
              <w:jc w:val="center"/>
              <w:rPr>
                <w:color w:val="auto"/>
                <w:sz w:val="21"/>
                <w:szCs w:val="21"/>
              </w:rPr>
            </w:pPr>
            <w:r>
              <w:rPr>
                <w:rFonts w:hint="eastAsia"/>
                <w:color w:val="auto"/>
                <w:sz w:val="21"/>
                <w:szCs w:val="21"/>
              </w:rPr>
              <w:t>CH</w:t>
            </w:r>
            <w:r>
              <w:rPr>
                <w:rFonts w:hint="eastAsia"/>
                <w:color w:val="auto"/>
                <w:sz w:val="21"/>
                <w:szCs w:val="21"/>
                <w:vertAlign w:val="subscript"/>
              </w:rPr>
              <w:t>4</w:t>
            </w:r>
          </w:p>
        </w:tc>
        <w:tc>
          <w:tcPr>
            <w:tcW w:w="736" w:type="pct"/>
            <w:vAlign w:val="center"/>
          </w:tcPr>
          <w:p w14:paraId="732E21D8">
            <w:pPr>
              <w:widowControl w:val="0"/>
              <w:spacing w:line="360" w:lineRule="exact"/>
              <w:jc w:val="center"/>
              <w:rPr>
                <w:color w:val="auto"/>
                <w:sz w:val="21"/>
                <w:szCs w:val="21"/>
              </w:rPr>
            </w:pPr>
            <w:r>
              <w:rPr>
                <w:rFonts w:hint="eastAsia"/>
                <w:color w:val="auto"/>
                <w:sz w:val="21"/>
                <w:szCs w:val="21"/>
              </w:rPr>
              <w:t>天然气泄漏、火灾</w:t>
            </w:r>
          </w:p>
        </w:tc>
        <w:tc>
          <w:tcPr>
            <w:tcW w:w="1976" w:type="pct"/>
            <w:vAlign w:val="center"/>
          </w:tcPr>
          <w:p w14:paraId="4BD560F4">
            <w:pPr>
              <w:widowControl w:val="0"/>
              <w:spacing w:line="360" w:lineRule="exact"/>
              <w:jc w:val="center"/>
              <w:rPr>
                <w:color w:val="auto"/>
                <w:sz w:val="21"/>
                <w:szCs w:val="21"/>
              </w:rPr>
            </w:pPr>
            <w:r>
              <w:rPr>
                <w:rFonts w:hint="eastAsia"/>
                <w:color w:val="auto"/>
                <w:sz w:val="21"/>
                <w:szCs w:val="21"/>
              </w:rPr>
              <w:t>操作压力、操作温度控制不当导致流化床反应器泄漏，遇火发生火灾爆炸事故以及产生的次生污染。</w:t>
            </w:r>
          </w:p>
        </w:tc>
        <w:tc>
          <w:tcPr>
            <w:tcW w:w="660" w:type="pct"/>
            <w:vAlign w:val="center"/>
          </w:tcPr>
          <w:p w14:paraId="53F54E13">
            <w:pPr>
              <w:widowControl w:val="0"/>
              <w:spacing w:line="360" w:lineRule="exact"/>
              <w:jc w:val="center"/>
              <w:rPr>
                <w:color w:val="auto"/>
                <w:sz w:val="21"/>
                <w:szCs w:val="21"/>
              </w:rPr>
            </w:pPr>
            <w:r>
              <w:rPr>
                <w:rFonts w:hint="eastAsia"/>
                <w:color w:val="auto"/>
                <w:sz w:val="21"/>
                <w:szCs w:val="21"/>
              </w:rPr>
              <w:t>大气</w:t>
            </w:r>
          </w:p>
        </w:tc>
      </w:tr>
      <w:tr w14:paraId="0D547A1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0" w:type="dxa"/>
            <w:bottom w:w="0" w:type="dxa"/>
            <w:right w:w="0" w:type="dxa"/>
          </w:tblCellMar>
        </w:tblPrEx>
        <w:tc>
          <w:tcPr>
            <w:tcW w:w="279" w:type="pct"/>
            <w:vAlign w:val="center"/>
          </w:tcPr>
          <w:p w14:paraId="7F61B132">
            <w:pPr>
              <w:widowControl w:val="0"/>
              <w:spacing w:line="360" w:lineRule="exact"/>
              <w:jc w:val="center"/>
              <w:rPr>
                <w:color w:val="auto"/>
                <w:sz w:val="21"/>
                <w:szCs w:val="21"/>
              </w:rPr>
            </w:pPr>
            <w:r>
              <w:rPr>
                <w:rFonts w:hint="eastAsia"/>
                <w:color w:val="auto"/>
                <w:sz w:val="21"/>
                <w:szCs w:val="21"/>
              </w:rPr>
              <w:t>2</w:t>
            </w:r>
          </w:p>
        </w:tc>
        <w:tc>
          <w:tcPr>
            <w:tcW w:w="801" w:type="pct"/>
            <w:vAlign w:val="center"/>
          </w:tcPr>
          <w:p w14:paraId="61D7D1BC">
            <w:pPr>
              <w:widowControl w:val="0"/>
              <w:spacing w:line="360" w:lineRule="exact"/>
              <w:jc w:val="center"/>
              <w:rPr>
                <w:color w:val="auto"/>
                <w:sz w:val="21"/>
                <w:szCs w:val="21"/>
              </w:rPr>
            </w:pPr>
            <w:r>
              <w:rPr>
                <w:rFonts w:hint="eastAsia"/>
                <w:color w:val="auto"/>
                <w:sz w:val="21"/>
                <w:szCs w:val="21"/>
              </w:rPr>
              <w:t>15氨水储罐</w:t>
            </w:r>
          </w:p>
        </w:tc>
        <w:tc>
          <w:tcPr>
            <w:tcW w:w="545" w:type="pct"/>
            <w:vAlign w:val="center"/>
          </w:tcPr>
          <w:p w14:paraId="2F95FBD4">
            <w:pPr>
              <w:widowControl w:val="0"/>
              <w:spacing w:line="360" w:lineRule="exact"/>
              <w:jc w:val="center"/>
              <w:rPr>
                <w:color w:val="auto"/>
                <w:sz w:val="21"/>
                <w:szCs w:val="21"/>
              </w:rPr>
            </w:pPr>
            <w:r>
              <w:rPr>
                <w:rFonts w:hint="eastAsia"/>
                <w:color w:val="auto"/>
                <w:sz w:val="21"/>
                <w:szCs w:val="21"/>
              </w:rPr>
              <w:t>氨</w:t>
            </w:r>
          </w:p>
        </w:tc>
        <w:tc>
          <w:tcPr>
            <w:tcW w:w="736" w:type="pct"/>
            <w:vAlign w:val="center"/>
          </w:tcPr>
          <w:p w14:paraId="27EAC863">
            <w:pPr>
              <w:widowControl w:val="0"/>
              <w:spacing w:line="360" w:lineRule="exact"/>
              <w:jc w:val="center"/>
              <w:rPr>
                <w:color w:val="auto"/>
                <w:sz w:val="21"/>
                <w:szCs w:val="21"/>
              </w:rPr>
            </w:pPr>
            <w:r>
              <w:rPr>
                <w:rFonts w:hint="eastAsia"/>
                <w:color w:val="auto"/>
                <w:sz w:val="21"/>
                <w:szCs w:val="21"/>
              </w:rPr>
              <w:t>氨水泄漏中毒</w:t>
            </w:r>
          </w:p>
        </w:tc>
        <w:tc>
          <w:tcPr>
            <w:tcW w:w="1976" w:type="pct"/>
            <w:vAlign w:val="center"/>
          </w:tcPr>
          <w:p w14:paraId="751645AB">
            <w:pPr>
              <w:widowControl w:val="0"/>
              <w:spacing w:line="360" w:lineRule="exact"/>
              <w:jc w:val="center"/>
              <w:rPr>
                <w:color w:val="auto"/>
                <w:sz w:val="21"/>
                <w:szCs w:val="21"/>
              </w:rPr>
            </w:pPr>
            <w:r>
              <w:rPr>
                <w:rFonts w:hint="eastAsia"/>
                <w:color w:val="auto"/>
                <w:sz w:val="21"/>
                <w:szCs w:val="21"/>
              </w:rPr>
              <w:t>操作压力、操作温度控制不当导致流化床反应器泄漏，氨挥发污染环境</w:t>
            </w:r>
          </w:p>
        </w:tc>
        <w:tc>
          <w:tcPr>
            <w:tcW w:w="660" w:type="pct"/>
            <w:vAlign w:val="center"/>
          </w:tcPr>
          <w:p w14:paraId="727BAACD">
            <w:pPr>
              <w:widowControl w:val="0"/>
              <w:spacing w:line="360" w:lineRule="exact"/>
              <w:jc w:val="center"/>
              <w:rPr>
                <w:color w:val="auto"/>
                <w:sz w:val="21"/>
                <w:szCs w:val="21"/>
              </w:rPr>
            </w:pPr>
            <w:r>
              <w:rPr>
                <w:rFonts w:hint="eastAsia"/>
                <w:color w:val="auto"/>
                <w:sz w:val="21"/>
                <w:szCs w:val="21"/>
              </w:rPr>
              <w:t>大气</w:t>
            </w:r>
          </w:p>
        </w:tc>
      </w:tr>
    </w:tbl>
    <w:p w14:paraId="7CDC11A0">
      <w:pPr>
        <w:autoSpaceDE w:val="0"/>
        <w:autoSpaceDN w:val="0"/>
        <w:adjustRightInd w:val="0"/>
        <w:spacing w:line="240" w:lineRule="exact"/>
        <w:rPr>
          <w:rFonts w:ascii="黑体"/>
          <w:bCs/>
          <w:color w:val="auto"/>
          <w:sz w:val="24"/>
          <w:szCs w:val="24"/>
          <w:lang w:val="zh-CN"/>
        </w:rPr>
      </w:pPr>
    </w:p>
    <w:p w14:paraId="219D2874">
      <w:pPr>
        <w:numPr>
          <w:ilvl w:val="2"/>
          <w:numId w:val="1"/>
        </w:numPr>
        <w:outlineLvl w:val="2"/>
        <w:rPr>
          <w:rFonts w:eastAsia="黑体"/>
          <w:b/>
          <w:color w:val="auto"/>
          <w:sz w:val="26"/>
        </w:rPr>
      </w:pPr>
      <w:r>
        <w:rPr>
          <w:rFonts w:hint="eastAsia" w:eastAsia="黑体"/>
          <w:b/>
          <w:color w:val="auto"/>
          <w:sz w:val="26"/>
        </w:rPr>
        <w:t>源项分析</w:t>
      </w:r>
    </w:p>
    <w:p w14:paraId="2525B166">
      <w:pPr>
        <w:keepNext/>
        <w:keepLines/>
        <w:numPr>
          <w:ilvl w:val="3"/>
          <w:numId w:val="1"/>
        </w:numPr>
        <w:spacing w:line="360" w:lineRule="auto"/>
        <w:ind w:left="142"/>
        <w:outlineLvl w:val="3"/>
        <w:rPr>
          <w:b/>
          <w:bCs/>
          <w:color w:val="auto"/>
          <w:sz w:val="24"/>
          <w:szCs w:val="28"/>
        </w:rPr>
      </w:pPr>
      <w:r>
        <w:rPr>
          <w:rFonts w:hint="eastAsia"/>
          <w:b/>
          <w:bCs/>
          <w:color w:val="auto"/>
          <w:sz w:val="24"/>
          <w:szCs w:val="28"/>
        </w:rPr>
        <w:t>环境参数选取</w:t>
      </w:r>
    </w:p>
    <w:p w14:paraId="321365EE">
      <w:pPr>
        <w:spacing w:line="360" w:lineRule="auto"/>
        <w:ind w:firstLine="480" w:firstLineChars="200"/>
        <w:jc w:val="both"/>
        <w:rPr>
          <w:color w:val="auto"/>
          <w:sz w:val="24"/>
          <w:szCs w:val="24"/>
        </w:rPr>
      </w:pPr>
      <w:r>
        <w:rPr>
          <w:rFonts w:hint="eastAsia"/>
          <w:color w:val="auto"/>
          <w:sz w:val="24"/>
          <w:szCs w:val="24"/>
        </w:rPr>
        <w:t>根据《建设项目环境风险评价技术导则》（HJ169-2018）中规定，二级评价项目需选取最不利气象条件进行后果预测。环境参数选取具</w:t>
      </w:r>
      <w:r>
        <w:rPr>
          <w:rStyle w:val="133"/>
          <w:rFonts w:hint="eastAsia"/>
          <w:color w:val="auto"/>
        </w:rPr>
        <w:t>体见</w:t>
      </w:r>
      <w:r>
        <w:rPr>
          <w:rStyle w:val="133"/>
          <w:rFonts w:hint="eastAsia"/>
          <w:color w:val="auto"/>
        </w:rPr>
        <w:fldChar w:fldCharType="begin"/>
      </w:r>
      <w:r>
        <w:rPr>
          <w:rStyle w:val="133"/>
          <w:rFonts w:hint="eastAsia"/>
          <w:color w:val="auto"/>
        </w:rPr>
        <w:instrText xml:space="preserve"> REF _Ref12814 \h </w:instrText>
      </w:r>
      <w:r>
        <w:rPr>
          <w:rStyle w:val="133"/>
          <w:color w:val="auto"/>
        </w:rPr>
        <w:instrText xml:space="preserve"> \* MERGEFORMAT </w:instrText>
      </w:r>
      <w:r>
        <w:rPr>
          <w:rStyle w:val="133"/>
          <w:rFonts w:hint="eastAsia"/>
          <w:color w:val="auto"/>
        </w:rPr>
        <w:fldChar w:fldCharType="separate"/>
      </w:r>
      <w:r>
        <w:rPr>
          <w:rStyle w:val="133"/>
          <w:rFonts w:hint="eastAsia"/>
          <w:color w:val="auto"/>
        </w:rPr>
        <w:t>表 7.6-3</w:t>
      </w:r>
      <w:r>
        <w:rPr>
          <w:rStyle w:val="133"/>
          <w:rFonts w:hint="eastAsia"/>
          <w:color w:val="auto"/>
        </w:rPr>
        <w:fldChar w:fldCharType="end"/>
      </w:r>
      <w:r>
        <w:rPr>
          <w:rStyle w:val="133"/>
          <w:rFonts w:hint="eastAsia"/>
          <w:color w:val="auto"/>
        </w:rPr>
        <w:t>。</w:t>
      </w:r>
    </w:p>
    <w:p w14:paraId="2D3A2711">
      <w:pPr>
        <w:spacing w:before="163" w:beforeLines="50"/>
        <w:jc w:val="center"/>
        <w:rPr>
          <w:rFonts w:eastAsia="黑体"/>
          <w:color w:val="auto"/>
          <w:sz w:val="23"/>
          <w:szCs w:val="24"/>
        </w:rPr>
      </w:pPr>
      <w:bookmarkStart w:id="392" w:name="_Ref12814"/>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7.6</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3</w:t>
      </w:r>
      <w:r>
        <w:rPr>
          <w:rFonts w:eastAsia="黑体"/>
          <w:color w:val="auto"/>
          <w:sz w:val="23"/>
          <w:szCs w:val="24"/>
        </w:rPr>
        <w:fldChar w:fldCharType="end"/>
      </w:r>
      <w:bookmarkEnd w:id="392"/>
      <w:r>
        <w:rPr>
          <w:rFonts w:hint="eastAsia" w:eastAsia="黑体"/>
          <w:color w:val="auto"/>
          <w:sz w:val="23"/>
          <w:szCs w:val="24"/>
        </w:rPr>
        <w:t xml:space="preserve">  环境参数选取一览表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553"/>
        <w:gridCol w:w="3804"/>
        <w:gridCol w:w="1671"/>
        <w:gridCol w:w="1758"/>
      </w:tblGrid>
      <w:tr w14:paraId="3F12A81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5000" w:type="pct"/>
            <w:gridSpan w:val="4"/>
            <w:vAlign w:val="center"/>
          </w:tcPr>
          <w:p w14:paraId="2AF97538">
            <w:pPr>
              <w:widowControl w:val="0"/>
              <w:spacing w:line="360" w:lineRule="exact"/>
              <w:jc w:val="center"/>
              <w:rPr>
                <w:color w:val="auto"/>
                <w:sz w:val="21"/>
                <w:szCs w:val="21"/>
              </w:rPr>
            </w:pPr>
            <w:r>
              <w:rPr>
                <w:rFonts w:hint="eastAsia"/>
                <w:color w:val="auto"/>
                <w:sz w:val="21"/>
                <w:szCs w:val="21"/>
              </w:rPr>
              <w:t>当地最常见的气象条件</w:t>
            </w:r>
          </w:p>
        </w:tc>
      </w:tr>
      <w:tr w14:paraId="4C06F85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884" w:type="pct"/>
            <w:vAlign w:val="center"/>
          </w:tcPr>
          <w:p w14:paraId="49C7E794">
            <w:pPr>
              <w:widowControl w:val="0"/>
              <w:spacing w:line="360" w:lineRule="exact"/>
              <w:jc w:val="center"/>
              <w:rPr>
                <w:color w:val="auto"/>
                <w:sz w:val="21"/>
                <w:szCs w:val="21"/>
              </w:rPr>
            </w:pPr>
            <w:r>
              <w:rPr>
                <w:rFonts w:hint="eastAsia" w:hAnsi="宋体"/>
                <w:color w:val="auto"/>
                <w:sz w:val="21"/>
                <w:szCs w:val="21"/>
              </w:rPr>
              <w:t>参数名称</w:t>
            </w:r>
          </w:p>
        </w:tc>
        <w:tc>
          <w:tcPr>
            <w:tcW w:w="2165" w:type="pct"/>
            <w:vAlign w:val="center"/>
          </w:tcPr>
          <w:p w14:paraId="150BF574">
            <w:pPr>
              <w:widowControl w:val="0"/>
              <w:spacing w:line="360" w:lineRule="exact"/>
              <w:jc w:val="center"/>
              <w:rPr>
                <w:color w:val="auto"/>
                <w:sz w:val="21"/>
                <w:szCs w:val="21"/>
              </w:rPr>
            </w:pPr>
            <w:r>
              <w:rPr>
                <w:rFonts w:hint="eastAsia" w:hAnsi="宋体"/>
                <w:color w:val="auto"/>
                <w:sz w:val="21"/>
                <w:szCs w:val="21"/>
              </w:rPr>
              <w:t>参数取值</w:t>
            </w:r>
          </w:p>
        </w:tc>
        <w:tc>
          <w:tcPr>
            <w:tcW w:w="951" w:type="pct"/>
            <w:vAlign w:val="center"/>
          </w:tcPr>
          <w:p w14:paraId="06D43112">
            <w:pPr>
              <w:widowControl w:val="0"/>
              <w:spacing w:line="360" w:lineRule="exact"/>
              <w:jc w:val="center"/>
              <w:rPr>
                <w:color w:val="auto"/>
                <w:sz w:val="21"/>
                <w:szCs w:val="21"/>
              </w:rPr>
            </w:pPr>
            <w:r>
              <w:rPr>
                <w:rFonts w:hint="eastAsia" w:hAnsi="宋体"/>
                <w:color w:val="auto"/>
                <w:sz w:val="21"/>
                <w:szCs w:val="21"/>
              </w:rPr>
              <w:t>参数名称</w:t>
            </w:r>
          </w:p>
        </w:tc>
        <w:tc>
          <w:tcPr>
            <w:tcW w:w="1000" w:type="pct"/>
            <w:vAlign w:val="center"/>
          </w:tcPr>
          <w:p w14:paraId="156B2F6C">
            <w:pPr>
              <w:widowControl w:val="0"/>
              <w:spacing w:line="360" w:lineRule="exact"/>
              <w:jc w:val="center"/>
              <w:rPr>
                <w:color w:val="auto"/>
                <w:sz w:val="21"/>
                <w:szCs w:val="21"/>
              </w:rPr>
            </w:pPr>
            <w:r>
              <w:rPr>
                <w:rFonts w:hint="eastAsia" w:hAnsi="宋体"/>
                <w:color w:val="auto"/>
                <w:sz w:val="21"/>
                <w:szCs w:val="21"/>
              </w:rPr>
              <w:t>参数取值</w:t>
            </w:r>
          </w:p>
        </w:tc>
      </w:tr>
      <w:tr w14:paraId="79EE3C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884" w:type="pct"/>
            <w:vAlign w:val="center"/>
          </w:tcPr>
          <w:p w14:paraId="4271B443">
            <w:pPr>
              <w:widowControl w:val="0"/>
              <w:spacing w:line="360" w:lineRule="exact"/>
              <w:jc w:val="center"/>
              <w:rPr>
                <w:color w:val="auto"/>
                <w:sz w:val="21"/>
                <w:szCs w:val="21"/>
              </w:rPr>
            </w:pPr>
            <w:r>
              <w:rPr>
                <w:rFonts w:hint="eastAsia" w:hAnsi="宋体"/>
                <w:color w:val="auto"/>
                <w:sz w:val="21"/>
                <w:szCs w:val="21"/>
              </w:rPr>
              <w:t>环境气压</w:t>
            </w:r>
          </w:p>
        </w:tc>
        <w:tc>
          <w:tcPr>
            <w:tcW w:w="2165" w:type="pct"/>
            <w:vAlign w:val="center"/>
          </w:tcPr>
          <w:p w14:paraId="1F1D50F3">
            <w:pPr>
              <w:widowControl w:val="0"/>
              <w:spacing w:line="360" w:lineRule="exact"/>
              <w:jc w:val="center"/>
              <w:rPr>
                <w:color w:val="auto"/>
                <w:sz w:val="21"/>
                <w:szCs w:val="21"/>
              </w:rPr>
            </w:pPr>
            <w:r>
              <w:rPr>
                <w:rFonts w:hint="eastAsia"/>
                <w:color w:val="auto"/>
                <w:sz w:val="21"/>
                <w:szCs w:val="21"/>
              </w:rPr>
              <w:t>0.09MPa</w:t>
            </w:r>
          </w:p>
        </w:tc>
        <w:tc>
          <w:tcPr>
            <w:tcW w:w="951" w:type="pct"/>
            <w:vAlign w:val="center"/>
          </w:tcPr>
          <w:p w14:paraId="42B72F40">
            <w:pPr>
              <w:widowControl w:val="0"/>
              <w:spacing w:line="360" w:lineRule="exact"/>
              <w:jc w:val="center"/>
              <w:rPr>
                <w:color w:val="auto"/>
                <w:sz w:val="21"/>
                <w:szCs w:val="21"/>
              </w:rPr>
            </w:pPr>
            <w:r>
              <w:rPr>
                <w:rFonts w:hint="eastAsia" w:hAnsi="宋体"/>
                <w:color w:val="auto"/>
                <w:sz w:val="21"/>
                <w:szCs w:val="21"/>
              </w:rPr>
              <w:t>地面高程</w:t>
            </w:r>
          </w:p>
        </w:tc>
        <w:tc>
          <w:tcPr>
            <w:tcW w:w="1000" w:type="pct"/>
            <w:vAlign w:val="center"/>
          </w:tcPr>
          <w:p w14:paraId="089C9434">
            <w:pPr>
              <w:widowControl w:val="0"/>
              <w:spacing w:line="360" w:lineRule="exact"/>
              <w:jc w:val="center"/>
              <w:rPr>
                <w:color w:val="auto"/>
                <w:sz w:val="21"/>
                <w:szCs w:val="21"/>
              </w:rPr>
            </w:pPr>
            <w:r>
              <w:rPr>
                <w:rFonts w:hint="eastAsia"/>
                <w:color w:val="auto"/>
                <w:sz w:val="21"/>
                <w:szCs w:val="21"/>
              </w:rPr>
              <w:t>1060m</w:t>
            </w:r>
          </w:p>
        </w:tc>
      </w:tr>
      <w:tr w14:paraId="00CF0B2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884" w:type="pct"/>
            <w:vAlign w:val="center"/>
          </w:tcPr>
          <w:p w14:paraId="43892C6D">
            <w:pPr>
              <w:widowControl w:val="0"/>
              <w:spacing w:line="360" w:lineRule="exact"/>
              <w:jc w:val="center"/>
              <w:rPr>
                <w:color w:val="auto"/>
                <w:sz w:val="21"/>
                <w:szCs w:val="21"/>
              </w:rPr>
            </w:pPr>
            <w:r>
              <w:rPr>
                <w:rFonts w:hint="eastAsia" w:hAnsi="宋体"/>
                <w:color w:val="auto"/>
                <w:sz w:val="21"/>
                <w:szCs w:val="21"/>
              </w:rPr>
              <w:t>环境温度</w:t>
            </w:r>
          </w:p>
        </w:tc>
        <w:tc>
          <w:tcPr>
            <w:tcW w:w="2165" w:type="pct"/>
            <w:vAlign w:val="center"/>
          </w:tcPr>
          <w:p w14:paraId="007A23A6">
            <w:pPr>
              <w:widowControl w:val="0"/>
              <w:spacing w:line="360" w:lineRule="exact"/>
              <w:jc w:val="center"/>
              <w:rPr>
                <w:color w:val="auto"/>
                <w:sz w:val="21"/>
                <w:szCs w:val="21"/>
              </w:rPr>
            </w:pPr>
            <w:r>
              <w:rPr>
                <w:rFonts w:hint="eastAsia"/>
                <w:color w:val="auto"/>
                <w:sz w:val="21"/>
                <w:szCs w:val="21"/>
              </w:rPr>
              <w:t>8.38</w:t>
            </w:r>
            <w:r>
              <w:rPr>
                <w:rFonts w:hint="eastAsia" w:hAnsi="宋体"/>
                <w:color w:val="auto"/>
                <w:sz w:val="21"/>
                <w:szCs w:val="21"/>
              </w:rPr>
              <w:t>℃</w:t>
            </w:r>
          </w:p>
        </w:tc>
        <w:tc>
          <w:tcPr>
            <w:tcW w:w="951" w:type="pct"/>
            <w:vAlign w:val="center"/>
          </w:tcPr>
          <w:p w14:paraId="68B646CF">
            <w:pPr>
              <w:widowControl w:val="0"/>
              <w:spacing w:line="360" w:lineRule="exact"/>
              <w:jc w:val="center"/>
              <w:rPr>
                <w:color w:val="auto"/>
                <w:sz w:val="21"/>
                <w:szCs w:val="21"/>
              </w:rPr>
            </w:pPr>
            <w:r>
              <w:rPr>
                <w:rFonts w:hint="eastAsia" w:hAnsi="宋体"/>
                <w:color w:val="auto"/>
                <w:sz w:val="21"/>
                <w:szCs w:val="21"/>
              </w:rPr>
              <w:t>相对湿度</w:t>
            </w:r>
          </w:p>
        </w:tc>
        <w:tc>
          <w:tcPr>
            <w:tcW w:w="1000" w:type="pct"/>
            <w:vAlign w:val="center"/>
          </w:tcPr>
          <w:p w14:paraId="33C7532F">
            <w:pPr>
              <w:widowControl w:val="0"/>
              <w:spacing w:line="360" w:lineRule="exact"/>
              <w:jc w:val="center"/>
              <w:rPr>
                <w:color w:val="auto"/>
                <w:sz w:val="21"/>
                <w:szCs w:val="21"/>
              </w:rPr>
            </w:pPr>
            <w:r>
              <w:rPr>
                <w:rFonts w:hint="eastAsia"/>
                <w:color w:val="auto"/>
                <w:sz w:val="21"/>
                <w:szCs w:val="21"/>
              </w:rPr>
              <w:t>50%</w:t>
            </w:r>
          </w:p>
        </w:tc>
      </w:tr>
      <w:tr w14:paraId="781125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884" w:type="pct"/>
            <w:vAlign w:val="center"/>
          </w:tcPr>
          <w:p w14:paraId="21EC22FA">
            <w:pPr>
              <w:widowControl w:val="0"/>
              <w:spacing w:line="360" w:lineRule="exact"/>
              <w:jc w:val="center"/>
              <w:rPr>
                <w:color w:val="auto"/>
                <w:sz w:val="21"/>
                <w:szCs w:val="21"/>
              </w:rPr>
            </w:pPr>
            <w:r>
              <w:rPr>
                <w:rFonts w:hint="eastAsia" w:hAnsi="宋体"/>
                <w:color w:val="auto"/>
                <w:sz w:val="21"/>
                <w:szCs w:val="21"/>
              </w:rPr>
              <w:t>大气稳定度</w:t>
            </w:r>
          </w:p>
        </w:tc>
        <w:tc>
          <w:tcPr>
            <w:tcW w:w="2165" w:type="pct"/>
            <w:vAlign w:val="center"/>
          </w:tcPr>
          <w:p w14:paraId="7B0686B1">
            <w:pPr>
              <w:widowControl w:val="0"/>
              <w:spacing w:line="360" w:lineRule="exact"/>
              <w:jc w:val="center"/>
              <w:rPr>
                <w:color w:val="auto"/>
                <w:sz w:val="21"/>
                <w:szCs w:val="21"/>
              </w:rPr>
            </w:pPr>
            <w:r>
              <w:rPr>
                <w:rFonts w:hint="eastAsia"/>
                <w:color w:val="auto"/>
                <w:sz w:val="21"/>
                <w:szCs w:val="21"/>
              </w:rPr>
              <w:t>F</w:t>
            </w:r>
          </w:p>
        </w:tc>
        <w:tc>
          <w:tcPr>
            <w:tcW w:w="951" w:type="pct"/>
            <w:vAlign w:val="center"/>
          </w:tcPr>
          <w:p w14:paraId="446A30A5">
            <w:pPr>
              <w:widowControl w:val="0"/>
              <w:spacing w:line="360" w:lineRule="exact"/>
              <w:jc w:val="center"/>
              <w:rPr>
                <w:color w:val="auto"/>
                <w:sz w:val="21"/>
                <w:szCs w:val="21"/>
              </w:rPr>
            </w:pPr>
            <w:r>
              <w:rPr>
                <w:rFonts w:hint="eastAsia" w:hAnsi="宋体"/>
                <w:color w:val="auto"/>
                <w:sz w:val="21"/>
                <w:szCs w:val="21"/>
              </w:rPr>
              <w:t>液池地表类型</w:t>
            </w:r>
          </w:p>
        </w:tc>
        <w:tc>
          <w:tcPr>
            <w:tcW w:w="1000" w:type="pct"/>
            <w:vAlign w:val="center"/>
          </w:tcPr>
          <w:p w14:paraId="38D9013C">
            <w:pPr>
              <w:widowControl w:val="0"/>
              <w:spacing w:line="360" w:lineRule="exact"/>
              <w:jc w:val="center"/>
              <w:rPr>
                <w:color w:val="auto"/>
                <w:sz w:val="21"/>
                <w:szCs w:val="21"/>
              </w:rPr>
            </w:pPr>
            <w:r>
              <w:rPr>
                <w:rFonts w:hint="eastAsia" w:hAnsi="宋体"/>
                <w:color w:val="auto"/>
                <w:sz w:val="21"/>
                <w:szCs w:val="21"/>
              </w:rPr>
              <w:t>水泥</w:t>
            </w:r>
          </w:p>
        </w:tc>
      </w:tr>
      <w:tr w14:paraId="0D89B1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4" w:hRule="atLeast"/>
        </w:trPr>
        <w:tc>
          <w:tcPr>
            <w:tcW w:w="884" w:type="pct"/>
            <w:vAlign w:val="center"/>
          </w:tcPr>
          <w:p w14:paraId="44E11C9F">
            <w:pPr>
              <w:widowControl w:val="0"/>
              <w:spacing w:line="360" w:lineRule="exact"/>
              <w:jc w:val="center"/>
              <w:rPr>
                <w:color w:val="auto"/>
                <w:sz w:val="21"/>
                <w:szCs w:val="21"/>
              </w:rPr>
            </w:pPr>
            <w:r>
              <w:rPr>
                <w:rFonts w:hint="eastAsia" w:hAnsi="宋体"/>
                <w:color w:val="auto"/>
                <w:sz w:val="21"/>
                <w:szCs w:val="21"/>
              </w:rPr>
              <w:t>地表粗糙度</w:t>
            </w:r>
          </w:p>
        </w:tc>
        <w:tc>
          <w:tcPr>
            <w:tcW w:w="2165" w:type="pct"/>
            <w:vAlign w:val="center"/>
          </w:tcPr>
          <w:p w14:paraId="0B13E7B1">
            <w:pPr>
              <w:widowControl w:val="0"/>
              <w:spacing w:line="360" w:lineRule="exact"/>
              <w:jc w:val="center"/>
              <w:rPr>
                <w:color w:val="auto"/>
                <w:sz w:val="21"/>
                <w:szCs w:val="21"/>
              </w:rPr>
            </w:pPr>
            <w:r>
              <w:rPr>
                <w:rFonts w:hint="eastAsia"/>
                <w:color w:val="auto"/>
                <w:sz w:val="21"/>
                <w:szCs w:val="21"/>
              </w:rPr>
              <w:t>10cm</w:t>
            </w:r>
            <w:r>
              <w:rPr>
                <w:rFonts w:hint="eastAsia" w:hAnsi="宋体"/>
                <w:color w:val="auto"/>
                <w:sz w:val="21"/>
                <w:szCs w:val="21"/>
              </w:rPr>
              <w:t>低矮农作物，个别高大障碍物</w:t>
            </w:r>
          </w:p>
        </w:tc>
        <w:tc>
          <w:tcPr>
            <w:tcW w:w="951" w:type="pct"/>
            <w:vAlign w:val="center"/>
          </w:tcPr>
          <w:p w14:paraId="15AC224F">
            <w:pPr>
              <w:widowControl w:val="0"/>
              <w:spacing w:line="360" w:lineRule="exact"/>
              <w:jc w:val="center"/>
              <w:rPr>
                <w:color w:val="auto"/>
                <w:sz w:val="21"/>
                <w:szCs w:val="21"/>
              </w:rPr>
            </w:pPr>
            <w:r>
              <w:rPr>
                <w:rFonts w:hint="eastAsia" w:hAnsi="宋体"/>
                <w:color w:val="auto"/>
                <w:sz w:val="21"/>
                <w:szCs w:val="21"/>
              </w:rPr>
              <w:t>平均风速</w:t>
            </w:r>
          </w:p>
        </w:tc>
        <w:tc>
          <w:tcPr>
            <w:tcW w:w="1000" w:type="pct"/>
            <w:vAlign w:val="center"/>
          </w:tcPr>
          <w:p w14:paraId="07ACDC3C">
            <w:pPr>
              <w:widowControl w:val="0"/>
              <w:spacing w:line="360" w:lineRule="exact"/>
              <w:jc w:val="center"/>
              <w:rPr>
                <w:color w:val="auto"/>
                <w:sz w:val="21"/>
                <w:szCs w:val="21"/>
              </w:rPr>
            </w:pPr>
            <w:r>
              <w:rPr>
                <w:rFonts w:hint="eastAsia"/>
                <w:color w:val="auto"/>
                <w:sz w:val="21"/>
                <w:szCs w:val="21"/>
              </w:rPr>
              <w:t>0.98m/s</w:t>
            </w:r>
          </w:p>
        </w:tc>
      </w:tr>
    </w:tbl>
    <w:p w14:paraId="767414CB">
      <w:pPr>
        <w:jc w:val="center"/>
        <w:rPr>
          <w:rFonts w:ascii="Arial" w:hAnsi="Arial" w:eastAsia="黑体"/>
          <w:b/>
          <w:color w:val="auto"/>
          <w:sz w:val="26"/>
        </w:rPr>
      </w:pPr>
    </w:p>
    <w:p w14:paraId="5E4EA2FC">
      <w:pPr>
        <w:keepNext/>
        <w:keepLines/>
        <w:numPr>
          <w:ilvl w:val="3"/>
          <w:numId w:val="1"/>
        </w:numPr>
        <w:spacing w:line="360" w:lineRule="auto"/>
        <w:outlineLvl w:val="3"/>
        <w:rPr>
          <w:b/>
          <w:bCs/>
          <w:color w:val="auto"/>
          <w:sz w:val="24"/>
          <w:szCs w:val="28"/>
        </w:rPr>
      </w:pPr>
      <w:r>
        <w:rPr>
          <w:rFonts w:hint="eastAsia"/>
          <w:b/>
          <w:bCs/>
          <w:color w:val="auto"/>
          <w:sz w:val="24"/>
          <w:szCs w:val="28"/>
        </w:rPr>
        <w:t>源强计算</w:t>
      </w:r>
    </w:p>
    <w:p w14:paraId="09CF857A">
      <w:pPr>
        <w:spacing w:line="360" w:lineRule="auto"/>
        <w:ind w:firstLine="480" w:firstLineChars="200"/>
        <w:jc w:val="both"/>
        <w:rPr>
          <w:color w:val="auto"/>
          <w:sz w:val="24"/>
          <w:szCs w:val="24"/>
        </w:rPr>
      </w:pPr>
      <w:r>
        <w:rPr>
          <w:rFonts w:hint="eastAsia"/>
          <w:color w:val="auto"/>
          <w:sz w:val="24"/>
          <w:szCs w:val="24"/>
        </w:rPr>
        <w:t>本项目采用《建设项目环境风险评价技术导则》（HJ169-2018）附录F事故源强计算方法确定事故源强。</w:t>
      </w:r>
    </w:p>
    <w:p w14:paraId="79404A52">
      <w:pPr>
        <w:spacing w:line="360" w:lineRule="auto"/>
        <w:ind w:firstLine="480" w:firstLineChars="200"/>
        <w:jc w:val="both"/>
        <w:rPr>
          <w:color w:val="auto"/>
          <w:sz w:val="24"/>
          <w:szCs w:val="24"/>
        </w:rPr>
      </w:pPr>
      <w:r>
        <w:rPr>
          <w:rFonts w:hint="eastAsia"/>
          <w:color w:val="auto"/>
          <w:sz w:val="24"/>
          <w:szCs w:val="24"/>
        </w:rPr>
        <w:t>（1）氨泄漏源强的确定</w:t>
      </w:r>
    </w:p>
    <w:p w14:paraId="3270240D">
      <w:pPr>
        <w:spacing w:line="360" w:lineRule="auto"/>
        <w:ind w:firstLine="480" w:firstLineChars="200"/>
        <w:jc w:val="both"/>
        <w:rPr>
          <w:color w:val="auto"/>
          <w:sz w:val="24"/>
          <w:szCs w:val="24"/>
        </w:rPr>
      </w:pPr>
      <w:r>
        <w:rPr>
          <w:rFonts w:ascii="Calibri" w:hAnsi="Calibri" w:cs="Calibri"/>
          <w:color w:val="auto"/>
          <w:sz w:val="24"/>
          <w:szCs w:val="24"/>
        </w:rPr>
        <w:t>①</w:t>
      </w:r>
      <w:r>
        <w:rPr>
          <w:rFonts w:hint="eastAsia"/>
          <w:color w:val="auto"/>
          <w:sz w:val="24"/>
          <w:szCs w:val="24"/>
        </w:rPr>
        <w:t>液体泄漏速率</w:t>
      </w:r>
      <w:r>
        <w:rPr>
          <w:rFonts w:hint="eastAsia"/>
          <w:color w:val="auto"/>
          <w:sz w:val="24"/>
          <w:szCs w:val="24"/>
          <w:lang w:eastAsia="zh-CN"/>
        </w:rPr>
        <w:t>用伯努利</w:t>
      </w:r>
      <w:r>
        <w:rPr>
          <w:rFonts w:hint="eastAsia"/>
          <w:color w:val="auto"/>
          <w:sz w:val="24"/>
          <w:szCs w:val="24"/>
        </w:rPr>
        <w:t>方程计算液体泄漏速度，公式如下：</w:t>
      </w:r>
    </w:p>
    <w:p w14:paraId="1323CEBB">
      <w:pPr>
        <w:spacing w:line="360" w:lineRule="auto"/>
        <w:ind w:firstLine="480" w:firstLineChars="200"/>
        <w:jc w:val="both"/>
        <w:rPr>
          <w:color w:val="auto"/>
          <w:sz w:val="24"/>
          <w:szCs w:val="24"/>
        </w:rPr>
      </w:pPr>
      <w:r>
        <w:rPr>
          <w:rFonts w:hint="eastAsia"/>
          <w:color w:val="auto"/>
          <w:sz w:val="24"/>
          <w:szCs w:val="24"/>
        </w:rPr>
        <w:fldChar w:fldCharType="begin"/>
      </w:r>
      <w:r>
        <w:rPr>
          <w:rFonts w:hint="eastAsia"/>
          <w:color w:val="auto"/>
          <w:sz w:val="24"/>
          <w:szCs w:val="24"/>
        </w:rPr>
        <w:instrText xml:space="preserve"> INCLUDEPICTURE "C:\\Users\\李俊荷\\AppData\\Local\\Temp\\ksohtml3668\\wps2.png" \* MERGEFORMATINET </w:instrText>
      </w:r>
      <w:r>
        <w:rPr>
          <w:rFonts w:hint="eastAsia"/>
          <w:color w:val="auto"/>
          <w:sz w:val="24"/>
          <w:szCs w:val="24"/>
        </w:rPr>
        <w:fldChar w:fldCharType="separate"/>
      </w:r>
      <w:r>
        <w:rPr>
          <w:rFonts w:hint="eastAsia"/>
          <w:color w:val="auto"/>
          <w:sz w:val="24"/>
          <w:szCs w:val="24"/>
        </w:rPr>
        <w:drawing>
          <wp:inline distT="0" distB="0" distL="114300" distR="114300">
            <wp:extent cx="1800225" cy="493395"/>
            <wp:effectExtent l="0" t="0" r="9525" b="1905"/>
            <wp:docPr id="115" name="图片 91"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1" descr="wps2"/>
                    <pic:cNvPicPr>
                      <a:picLocks noChangeAspect="1"/>
                    </pic:cNvPicPr>
                  </pic:nvPicPr>
                  <pic:blipFill>
                    <a:blip r:embed="rId57"/>
                    <a:stretch>
                      <a:fillRect/>
                    </a:stretch>
                  </pic:blipFill>
                  <pic:spPr>
                    <a:xfrm>
                      <a:off x="0" y="0"/>
                      <a:ext cx="1800225" cy="493395"/>
                    </a:xfrm>
                    <a:prstGeom prst="rect">
                      <a:avLst/>
                    </a:prstGeom>
                    <a:noFill/>
                    <a:ln>
                      <a:noFill/>
                    </a:ln>
                  </pic:spPr>
                </pic:pic>
              </a:graphicData>
            </a:graphic>
          </wp:inline>
        </w:drawing>
      </w:r>
      <w:r>
        <w:rPr>
          <w:rFonts w:hint="eastAsia"/>
          <w:color w:val="auto"/>
          <w:sz w:val="24"/>
          <w:szCs w:val="24"/>
        </w:rPr>
        <w:fldChar w:fldCharType="end"/>
      </w:r>
    </w:p>
    <w:p w14:paraId="5FBEA4C3">
      <w:pPr>
        <w:spacing w:line="360" w:lineRule="auto"/>
        <w:ind w:firstLine="480" w:firstLineChars="200"/>
        <w:jc w:val="both"/>
        <w:rPr>
          <w:color w:val="auto"/>
          <w:sz w:val="24"/>
          <w:szCs w:val="24"/>
        </w:rPr>
      </w:pPr>
      <w:r>
        <w:rPr>
          <w:rFonts w:hint="eastAsia"/>
          <w:color w:val="auto"/>
          <w:sz w:val="24"/>
          <w:szCs w:val="24"/>
        </w:rPr>
        <w:t>式中：Q</w:t>
      </w:r>
      <w:r>
        <w:rPr>
          <w:rFonts w:hint="eastAsia"/>
          <w:color w:val="auto"/>
          <w:sz w:val="24"/>
          <w:szCs w:val="24"/>
          <w:vertAlign w:val="subscript"/>
        </w:rPr>
        <w:t>L</w:t>
      </w:r>
      <w:r>
        <w:rPr>
          <w:rFonts w:hint="eastAsia"/>
          <w:color w:val="auto"/>
          <w:sz w:val="24"/>
          <w:szCs w:val="24"/>
        </w:rPr>
        <w:t>——液体泄漏速度，kg/s；</w:t>
      </w:r>
    </w:p>
    <w:p w14:paraId="2FC3BBF6">
      <w:pPr>
        <w:spacing w:line="360" w:lineRule="auto"/>
        <w:ind w:firstLine="480" w:firstLineChars="200"/>
        <w:jc w:val="both"/>
        <w:rPr>
          <w:color w:val="auto"/>
          <w:sz w:val="24"/>
          <w:szCs w:val="24"/>
        </w:rPr>
      </w:pPr>
      <w:r>
        <w:rPr>
          <w:rFonts w:hint="eastAsia"/>
          <w:color w:val="auto"/>
          <w:sz w:val="24"/>
          <w:szCs w:val="24"/>
        </w:rPr>
        <w:t>P——容器内介质压力，101kPa；</w:t>
      </w:r>
    </w:p>
    <w:p w14:paraId="030E8E29">
      <w:pPr>
        <w:spacing w:line="360" w:lineRule="auto"/>
        <w:ind w:firstLine="480" w:firstLineChars="200"/>
        <w:jc w:val="both"/>
        <w:rPr>
          <w:color w:val="auto"/>
          <w:sz w:val="24"/>
          <w:szCs w:val="24"/>
        </w:rPr>
      </w:pPr>
      <w:r>
        <w:rPr>
          <w:rFonts w:hint="eastAsia"/>
          <w:color w:val="auto"/>
          <w:sz w:val="24"/>
          <w:szCs w:val="24"/>
        </w:rPr>
        <w:t>P0——环境压力，99.77kPa；</w:t>
      </w:r>
    </w:p>
    <w:p w14:paraId="60705A70">
      <w:pPr>
        <w:spacing w:line="360" w:lineRule="auto"/>
        <w:ind w:firstLine="480" w:firstLineChars="200"/>
        <w:jc w:val="both"/>
        <w:rPr>
          <w:color w:val="auto"/>
          <w:sz w:val="24"/>
          <w:szCs w:val="24"/>
        </w:rPr>
      </w:pPr>
      <w:r>
        <w:rPr>
          <w:rFonts w:hint="eastAsia"/>
          <w:color w:val="auto"/>
          <w:sz w:val="24"/>
          <w:szCs w:val="24"/>
        </w:rPr>
        <w:t>G——重力加速度，9.81m/s</w:t>
      </w:r>
      <w:r>
        <w:rPr>
          <w:rFonts w:hint="eastAsia"/>
          <w:color w:val="auto"/>
          <w:sz w:val="24"/>
          <w:szCs w:val="24"/>
          <w:vertAlign w:val="superscript"/>
        </w:rPr>
        <w:t>2</w:t>
      </w:r>
      <w:r>
        <w:rPr>
          <w:rFonts w:hint="eastAsia"/>
          <w:color w:val="auto"/>
          <w:sz w:val="24"/>
          <w:szCs w:val="24"/>
        </w:rPr>
        <w:t>；</w:t>
      </w:r>
    </w:p>
    <w:p w14:paraId="514A6696">
      <w:pPr>
        <w:spacing w:line="360" w:lineRule="auto"/>
        <w:ind w:firstLine="480" w:firstLineChars="200"/>
        <w:jc w:val="both"/>
        <w:rPr>
          <w:color w:val="auto"/>
          <w:sz w:val="24"/>
          <w:szCs w:val="24"/>
        </w:rPr>
      </w:pPr>
      <w:r>
        <w:rPr>
          <w:rFonts w:hint="eastAsia"/>
          <w:color w:val="auto"/>
          <w:sz w:val="24"/>
          <w:szCs w:val="24"/>
        </w:rPr>
        <w:t>H——裂口之上液位高度，8m；</w:t>
      </w:r>
    </w:p>
    <w:p w14:paraId="2E4E688D">
      <w:pPr>
        <w:spacing w:line="360" w:lineRule="auto"/>
        <w:ind w:firstLine="480" w:firstLineChars="200"/>
        <w:jc w:val="both"/>
        <w:rPr>
          <w:color w:val="auto"/>
          <w:sz w:val="24"/>
          <w:szCs w:val="24"/>
        </w:rPr>
      </w:pPr>
      <w:r>
        <w:rPr>
          <w:rFonts w:hint="eastAsia"/>
          <w:color w:val="auto"/>
          <w:sz w:val="24"/>
          <w:szCs w:val="24"/>
        </w:rPr>
        <w:t>Cd——液体泄漏系数，裂口形状为圆形，取0.65；</w:t>
      </w:r>
    </w:p>
    <w:p w14:paraId="110DBDD2">
      <w:pPr>
        <w:spacing w:line="360" w:lineRule="auto"/>
        <w:ind w:firstLine="480" w:firstLineChars="200"/>
        <w:jc w:val="both"/>
        <w:rPr>
          <w:color w:val="auto"/>
          <w:sz w:val="24"/>
          <w:szCs w:val="24"/>
        </w:rPr>
      </w:pPr>
      <w:r>
        <w:rPr>
          <w:rFonts w:hint="eastAsia"/>
          <w:color w:val="auto"/>
          <w:sz w:val="24"/>
          <w:szCs w:val="24"/>
        </w:rPr>
        <w:t>A——裂口面积，0.00008m</w:t>
      </w:r>
      <w:r>
        <w:rPr>
          <w:rFonts w:hint="eastAsia"/>
          <w:color w:val="auto"/>
          <w:sz w:val="24"/>
          <w:szCs w:val="24"/>
          <w:vertAlign w:val="superscript"/>
        </w:rPr>
        <w:t>2</w:t>
      </w:r>
      <w:r>
        <w:rPr>
          <w:rFonts w:hint="eastAsia"/>
          <w:color w:val="auto"/>
          <w:sz w:val="24"/>
          <w:szCs w:val="24"/>
        </w:rPr>
        <w:t>；</w:t>
      </w:r>
    </w:p>
    <w:p w14:paraId="5737D789">
      <w:pPr>
        <w:spacing w:line="360" w:lineRule="auto"/>
        <w:ind w:firstLine="480" w:firstLineChars="200"/>
        <w:jc w:val="both"/>
        <w:rPr>
          <w:color w:val="auto"/>
          <w:sz w:val="24"/>
          <w:szCs w:val="24"/>
        </w:rPr>
      </w:pPr>
      <w:r>
        <w:rPr>
          <w:rFonts w:hint="eastAsia"/>
          <w:color w:val="auto"/>
          <w:sz w:val="24"/>
          <w:szCs w:val="24"/>
        </w:rPr>
        <w:t>ρ——液体密度，930kg/m</w:t>
      </w:r>
      <w:r>
        <w:rPr>
          <w:rFonts w:hint="eastAsia"/>
          <w:color w:val="auto"/>
          <w:sz w:val="24"/>
          <w:szCs w:val="24"/>
          <w:vertAlign w:val="superscript"/>
        </w:rPr>
        <w:t>3</w:t>
      </w:r>
      <w:r>
        <w:rPr>
          <w:rFonts w:hint="eastAsia"/>
          <w:color w:val="auto"/>
          <w:sz w:val="24"/>
          <w:szCs w:val="24"/>
        </w:rPr>
        <w:t>；</w:t>
      </w:r>
    </w:p>
    <w:p w14:paraId="14549018">
      <w:pPr>
        <w:spacing w:line="360" w:lineRule="auto"/>
        <w:ind w:firstLine="480" w:firstLineChars="200"/>
        <w:jc w:val="both"/>
        <w:rPr>
          <w:color w:val="auto"/>
          <w:sz w:val="24"/>
          <w:szCs w:val="24"/>
        </w:rPr>
      </w:pPr>
      <w:r>
        <w:rPr>
          <w:rFonts w:hint="eastAsia"/>
          <w:color w:val="auto"/>
          <w:sz w:val="24"/>
          <w:szCs w:val="24"/>
        </w:rPr>
        <w:t>项目裂口直径假设为10mm，经计算氨泄漏速度Q</w:t>
      </w:r>
      <w:r>
        <w:rPr>
          <w:rFonts w:hint="eastAsia"/>
          <w:color w:val="auto"/>
          <w:sz w:val="24"/>
          <w:szCs w:val="24"/>
          <w:vertAlign w:val="subscript"/>
        </w:rPr>
        <w:t>L</w:t>
      </w:r>
      <w:r>
        <w:rPr>
          <w:rFonts w:hint="eastAsia"/>
          <w:color w:val="auto"/>
          <w:sz w:val="24"/>
          <w:szCs w:val="24"/>
        </w:rPr>
        <w:t>为0.595kg/s。</w:t>
      </w:r>
    </w:p>
    <w:p w14:paraId="0B289CB9">
      <w:pPr>
        <w:spacing w:line="360" w:lineRule="auto"/>
        <w:ind w:firstLine="480" w:firstLineChars="200"/>
        <w:jc w:val="both"/>
        <w:rPr>
          <w:color w:val="auto"/>
          <w:sz w:val="24"/>
          <w:szCs w:val="24"/>
        </w:rPr>
      </w:pPr>
      <w:r>
        <w:rPr>
          <w:rFonts w:ascii="Calibri" w:hAnsi="Calibri" w:cs="Calibri"/>
          <w:color w:val="auto"/>
          <w:sz w:val="24"/>
          <w:szCs w:val="24"/>
        </w:rPr>
        <w:t>②</w:t>
      </w:r>
      <w:r>
        <w:rPr>
          <w:rFonts w:hint="eastAsia"/>
          <w:color w:val="auto"/>
          <w:sz w:val="24"/>
          <w:szCs w:val="24"/>
        </w:rPr>
        <w:t xml:space="preserve">蒸发速率估算 </w:t>
      </w:r>
    </w:p>
    <w:p w14:paraId="30111AEF">
      <w:pPr>
        <w:spacing w:line="360" w:lineRule="auto"/>
        <w:ind w:firstLine="480" w:firstLineChars="200"/>
        <w:jc w:val="both"/>
        <w:rPr>
          <w:color w:val="auto"/>
          <w:sz w:val="24"/>
          <w:szCs w:val="24"/>
        </w:rPr>
      </w:pPr>
      <w:r>
        <w:rPr>
          <w:rFonts w:hint="eastAsia"/>
          <w:color w:val="auto"/>
          <w:sz w:val="24"/>
          <w:szCs w:val="24"/>
        </w:rPr>
        <w:t xml:space="preserve">泄漏液体的蒸发分为闪蒸蒸发、热量蒸发和质量蒸发三种，其蒸发总量为这三种蒸发之和。氨水液体常压下沸点，大于等于环境气温，不会产生热量蒸发，只有质量蒸发。其蒸发速率按下式计算：  </w:t>
      </w:r>
    </w:p>
    <w:p w14:paraId="1B42FF5E">
      <w:pPr>
        <w:spacing w:line="360" w:lineRule="auto"/>
        <w:ind w:firstLine="400" w:firstLineChars="200"/>
        <w:jc w:val="center"/>
        <w:rPr>
          <w:color w:val="auto"/>
          <w:sz w:val="24"/>
          <w:szCs w:val="24"/>
        </w:rPr>
      </w:pPr>
      <w:r>
        <w:rPr>
          <w:color w:val="auto"/>
        </w:rPr>
        <w:drawing>
          <wp:inline distT="0" distB="0" distL="114300" distR="114300">
            <wp:extent cx="1908175" cy="596265"/>
            <wp:effectExtent l="0" t="0" r="15875" b="1333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58"/>
                    <a:stretch>
                      <a:fillRect/>
                    </a:stretch>
                  </pic:blipFill>
                  <pic:spPr>
                    <a:xfrm>
                      <a:off x="0" y="0"/>
                      <a:ext cx="1908175" cy="596265"/>
                    </a:xfrm>
                    <a:prstGeom prst="rect">
                      <a:avLst/>
                    </a:prstGeom>
                    <a:noFill/>
                    <a:ln>
                      <a:noFill/>
                    </a:ln>
                  </pic:spPr>
                </pic:pic>
              </a:graphicData>
            </a:graphic>
          </wp:inline>
        </w:drawing>
      </w:r>
    </w:p>
    <w:p w14:paraId="744B89FE">
      <w:pPr>
        <w:spacing w:line="360" w:lineRule="auto"/>
        <w:ind w:firstLine="480" w:firstLineChars="200"/>
        <w:jc w:val="both"/>
        <w:rPr>
          <w:color w:val="auto"/>
          <w:sz w:val="24"/>
          <w:szCs w:val="24"/>
        </w:rPr>
      </w:pPr>
      <w:r>
        <w:rPr>
          <w:rFonts w:hint="eastAsia"/>
          <w:color w:val="auto"/>
          <w:sz w:val="24"/>
          <w:szCs w:val="24"/>
        </w:rPr>
        <w:t>式中：Q</w:t>
      </w:r>
      <w:r>
        <w:rPr>
          <w:rFonts w:hint="eastAsia"/>
          <w:color w:val="auto"/>
          <w:sz w:val="24"/>
          <w:szCs w:val="24"/>
          <w:vertAlign w:val="subscript"/>
        </w:rPr>
        <w:t>3</w:t>
      </w:r>
      <w:r>
        <w:rPr>
          <w:rFonts w:hint="eastAsia"/>
          <w:color w:val="auto"/>
          <w:sz w:val="24"/>
          <w:szCs w:val="24"/>
        </w:rPr>
        <w:t xml:space="preserve"> ——质量蒸发速率，kg/s； </w:t>
      </w:r>
    </w:p>
    <w:p w14:paraId="10F9D51B">
      <w:pPr>
        <w:spacing w:line="360" w:lineRule="auto"/>
        <w:ind w:firstLine="480" w:firstLineChars="200"/>
        <w:jc w:val="both"/>
        <w:rPr>
          <w:color w:val="auto"/>
          <w:sz w:val="24"/>
          <w:szCs w:val="24"/>
        </w:rPr>
      </w:pPr>
      <w:r>
        <w:rPr>
          <w:rFonts w:hint="eastAsia"/>
          <w:color w:val="auto"/>
          <w:sz w:val="24"/>
          <w:szCs w:val="24"/>
        </w:rPr>
        <w:t xml:space="preserve">p ——液体表面蒸气压，Pa； </w:t>
      </w:r>
    </w:p>
    <w:p w14:paraId="5B711BCA">
      <w:pPr>
        <w:spacing w:line="360" w:lineRule="auto"/>
        <w:ind w:firstLine="480" w:firstLineChars="200"/>
        <w:jc w:val="both"/>
        <w:rPr>
          <w:color w:val="auto"/>
          <w:sz w:val="24"/>
          <w:szCs w:val="24"/>
        </w:rPr>
      </w:pPr>
      <w:r>
        <w:rPr>
          <w:rFonts w:hint="eastAsia"/>
          <w:color w:val="auto"/>
          <w:sz w:val="24"/>
          <w:szCs w:val="24"/>
        </w:rPr>
        <w:t xml:space="preserve">R ——气体常数，J/（mol·K）； </w:t>
      </w:r>
    </w:p>
    <w:p w14:paraId="1D43E9F4">
      <w:pPr>
        <w:spacing w:line="360" w:lineRule="auto"/>
        <w:ind w:firstLine="480" w:firstLineChars="200"/>
        <w:jc w:val="both"/>
        <w:rPr>
          <w:color w:val="auto"/>
          <w:sz w:val="24"/>
          <w:szCs w:val="24"/>
        </w:rPr>
      </w:pPr>
      <w:r>
        <w:rPr>
          <w:rFonts w:hint="eastAsia"/>
          <w:color w:val="auto"/>
          <w:sz w:val="24"/>
          <w:szCs w:val="24"/>
        </w:rPr>
        <w:t>T</w:t>
      </w:r>
      <w:r>
        <w:rPr>
          <w:rFonts w:hint="eastAsia"/>
          <w:color w:val="auto"/>
          <w:sz w:val="24"/>
          <w:szCs w:val="24"/>
          <w:vertAlign w:val="subscript"/>
        </w:rPr>
        <w:t>0</w:t>
      </w:r>
      <w:r>
        <w:rPr>
          <w:rFonts w:hint="eastAsia"/>
          <w:color w:val="auto"/>
          <w:sz w:val="24"/>
          <w:szCs w:val="24"/>
        </w:rPr>
        <w:t xml:space="preserve"> ——环境温度，K； </w:t>
      </w:r>
    </w:p>
    <w:p w14:paraId="5172F9C0">
      <w:pPr>
        <w:spacing w:line="360" w:lineRule="auto"/>
        <w:ind w:firstLine="480" w:firstLineChars="200"/>
        <w:jc w:val="both"/>
        <w:rPr>
          <w:color w:val="auto"/>
          <w:sz w:val="24"/>
          <w:szCs w:val="24"/>
        </w:rPr>
      </w:pPr>
      <w:r>
        <w:rPr>
          <w:rFonts w:hint="eastAsia"/>
          <w:color w:val="auto"/>
          <w:sz w:val="24"/>
          <w:szCs w:val="24"/>
        </w:rPr>
        <w:t xml:space="preserve">M ——物质的摩尔质量，kg/mol； </w:t>
      </w:r>
    </w:p>
    <w:p w14:paraId="42E418DC">
      <w:pPr>
        <w:spacing w:line="360" w:lineRule="auto"/>
        <w:ind w:firstLine="480" w:firstLineChars="200"/>
        <w:jc w:val="both"/>
        <w:rPr>
          <w:color w:val="auto"/>
          <w:sz w:val="24"/>
          <w:szCs w:val="24"/>
        </w:rPr>
      </w:pPr>
      <w:r>
        <w:rPr>
          <w:rFonts w:hint="eastAsia"/>
          <w:color w:val="auto"/>
          <w:sz w:val="24"/>
          <w:szCs w:val="24"/>
        </w:rPr>
        <w:t xml:space="preserve">u ——风速，m/s； </w:t>
      </w:r>
    </w:p>
    <w:p w14:paraId="439A8F28">
      <w:pPr>
        <w:spacing w:line="360" w:lineRule="auto"/>
        <w:ind w:firstLine="480" w:firstLineChars="200"/>
        <w:jc w:val="both"/>
        <w:rPr>
          <w:color w:val="auto"/>
          <w:sz w:val="24"/>
          <w:szCs w:val="24"/>
        </w:rPr>
      </w:pPr>
      <w:r>
        <w:rPr>
          <w:rFonts w:hint="eastAsia"/>
          <w:color w:val="auto"/>
          <w:sz w:val="24"/>
          <w:szCs w:val="24"/>
        </w:rPr>
        <w:t xml:space="preserve">r ——液池半径，常规气象条件6.15m，最不利气象条件6.20m； </w:t>
      </w:r>
    </w:p>
    <w:p w14:paraId="1B72C634">
      <w:pPr>
        <w:spacing w:line="360" w:lineRule="auto"/>
        <w:ind w:firstLine="480" w:firstLineChars="200"/>
        <w:jc w:val="both"/>
        <w:rPr>
          <w:color w:val="auto"/>
          <w:sz w:val="24"/>
          <w:szCs w:val="24"/>
        </w:rPr>
      </w:pPr>
      <w:r>
        <w:rPr>
          <w:rFonts w:hint="eastAsia"/>
          <w:color w:val="auto"/>
          <w:sz w:val="24"/>
          <w:szCs w:val="24"/>
        </w:rPr>
        <w:t>α,n——大气稳定度系数，根据导则附录I表 F.3，F稳定度α=5.285×10</w:t>
      </w:r>
      <w:r>
        <w:rPr>
          <w:rFonts w:hint="eastAsia"/>
          <w:color w:val="auto"/>
          <w:sz w:val="24"/>
          <w:szCs w:val="24"/>
          <w:vertAlign w:val="superscript"/>
        </w:rPr>
        <w:t>-3</w:t>
      </w:r>
      <w:r>
        <w:rPr>
          <w:rFonts w:hint="eastAsia"/>
          <w:color w:val="auto"/>
          <w:sz w:val="24"/>
          <w:szCs w:val="24"/>
        </w:rPr>
        <w:t>，n=0.3。</w:t>
      </w:r>
    </w:p>
    <w:p w14:paraId="1D2A761C">
      <w:pPr>
        <w:spacing w:line="360" w:lineRule="auto"/>
        <w:ind w:firstLine="480" w:firstLineChars="200"/>
        <w:jc w:val="both"/>
        <w:rPr>
          <w:color w:val="auto"/>
          <w:sz w:val="24"/>
          <w:szCs w:val="24"/>
        </w:rPr>
      </w:pPr>
      <w:r>
        <w:rPr>
          <w:rFonts w:hint="eastAsia"/>
          <w:color w:val="auto"/>
          <w:sz w:val="24"/>
          <w:szCs w:val="24"/>
        </w:rPr>
        <w:t>根据氨泄漏速度Q</w:t>
      </w:r>
      <w:r>
        <w:rPr>
          <w:rFonts w:hint="eastAsia"/>
          <w:color w:val="auto"/>
          <w:sz w:val="24"/>
          <w:szCs w:val="24"/>
          <w:vertAlign w:val="subscript"/>
        </w:rPr>
        <w:t>L</w:t>
      </w:r>
      <w:r>
        <w:rPr>
          <w:rFonts w:hint="eastAsia"/>
          <w:color w:val="auto"/>
          <w:sz w:val="24"/>
          <w:szCs w:val="24"/>
        </w:rPr>
        <w:t>为0.595kg/s，计算液池半径。最终计算常规气象条件下蒸发速率为0.0027kg/s，最不利气象条件下蒸发速率为0.0074kg/s。</w:t>
      </w:r>
    </w:p>
    <w:p w14:paraId="0101D303">
      <w:pPr>
        <w:spacing w:line="360" w:lineRule="auto"/>
        <w:ind w:firstLine="480"/>
        <w:jc w:val="both"/>
        <w:rPr>
          <w:color w:val="auto"/>
          <w:sz w:val="24"/>
          <w:szCs w:val="24"/>
        </w:rPr>
      </w:pPr>
      <w:r>
        <w:rPr>
          <w:rFonts w:hint="eastAsia"/>
          <w:color w:val="auto"/>
          <w:sz w:val="24"/>
          <w:szCs w:val="24"/>
        </w:rPr>
        <w:t>（2）天然气输送管道泄漏事故源强</w:t>
      </w:r>
    </w:p>
    <w:p w14:paraId="3E08CE77">
      <w:pPr>
        <w:spacing w:line="360" w:lineRule="auto"/>
        <w:ind w:firstLine="480"/>
        <w:jc w:val="both"/>
        <w:rPr>
          <w:color w:val="auto"/>
          <w:sz w:val="24"/>
          <w:szCs w:val="24"/>
        </w:rPr>
      </w:pPr>
      <w:r>
        <w:rPr>
          <w:rFonts w:hint="eastAsia"/>
          <w:color w:val="auto"/>
          <w:sz w:val="24"/>
          <w:szCs w:val="24"/>
        </w:rPr>
        <w:t>天然气通过管道输送至单盘管防爆电加热器时，管道破裂发生泄漏事故，泄漏时间定为30min。</w:t>
      </w:r>
    </w:p>
    <w:p w14:paraId="72E583CB">
      <w:pPr>
        <w:spacing w:line="360" w:lineRule="auto"/>
        <w:ind w:firstLine="480"/>
        <w:jc w:val="both"/>
        <w:rPr>
          <w:color w:val="auto"/>
          <w:sz w:val="24"/>
          <w:szCs w:val="24"/>
        </w:rPr>
      </w:pPr>
      <w:r>
        <w:rPr>
          <w:rFonts w:hint="eastAsia"/>
          <w:color w:val="auto"/>
          <w:sz w:val="24"/>
          <w:szCs w:val="24"/>
        </w:rPr>
        <w:t>采用风险导则附录F推荐方法确定气体泄漏源强。气体流动属音速流动（临界流），假定气体特性为理想气体，其泄漏速率Q</w:t>
      </w:r>
      <w:r>
        <w:rPr>
          <w:rFonts w:hint="eastAsia"/>
          <w:color w:val="auto"/>
          <w:sz w:val="24"/>
          <w:szCs w:val="24"/>
          <w:vertAlign w:val="subscript"/>
        </w:rPr>
        <w:t>G</w:t>
      </w:r>
      <w:r>
        <w:rPr>
          <w:rFonts w:hint="eastAsia"/>
          <w:color w:val="auto"/>
          <w:sz w:val="24"/>
          <w:szCs w:val="24"/>
        </w:rPr>
        <w:t>按下式计算：</w:t>
      </w:r>
    </w:p>
    <w:p w14:paraId="69FE02DF">
      <w:pPr>
        <w:spacing w:line="360" w:lineRule="auto"/>
        <w:ind w:firstLine="480"/>
        <w:jc w:val="center"/>
        <w:rPr>
          <w:color w:val="auto"/>
          <w:sz w:val="24"/>
          <w:szCs w:val="24"/>
        </w:rPr>
      </w:pPr>
      <w:r>
        <w:rPr>
          <w:color w:val="auto"/>
          <w:sz w:val="24"/>
          <w:szCs w:val="24"/>
        </w:rPr>
        <w:drawing>
          <wp:inline distT="0" distB="0" distL="0" distR="0">
            <wp:extent cx="3438525" cy="571500"/>
            <wp:effectExtent l="0" t="0" r="9525" b="0"/>
            <wp:docPr id="44520856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563" name="图片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438525" cy="571500"/>
                    </a:xfrm>
                    <a:prstGeom prst="rect">
                      <a:avLst/>
                    </a:prstGeom>
                    <a:noFill/>
                    <a:ln>
                      <a:noFill/>
                    </a:ln>
                  </pic:spPr>
                </pic:pic>
              </a:graphicData>
            </a:graphic>
          </wp:inline>
        </w:drawing>
      </w:r>
    </w:p>
    <w:p w14:paraId="50C1163A">
      <w:pPr>
        <w:spacing w:line="360" w:lineRule="auto"/>
        <w:ind w:firstLine="480"/>
        <w:jc w:val="both"/>
        <w:rPr>
          <w:color w:val="auto"/>
          <w:sz w:val="24"/>
          <w:szCs w:val="24"/>
        </w:rPr>
      </w:pPr>
      <w:r>
        <w:rPr>
          <w:rFonts w:hint="eastAsia"/>
          <w:color w:val="auto"/>
          <w:sz w:val="24"/>
          <w:szCs w:val="24"/>
        </w:rPr>
        <w:t>式中：Q</w:t>
      </w:r>
      <w:r>
        <w:rPr>
          <w:rFonts w:hint="eastAsia"/>
          <w:color w:val="auto"/>
          <w:sz w:val="24"/>
          <w:szCs w:val="24"/>
          <w:vertAlign w:val="subscript"/>
        </w:rPr>
        <w:t>G</w:t>
      </w:r>
      <w:r>
        <w:rPr>
          <w:rFonts w:hint="eastAsia"/>
          <w:color w:val="auto"/>
          <w:sz w:val="24"/>
          <w:szCs w:val="24"/>
        </w:rPr>
        <w:t xml:space="preserve">——气体泄漏速率，kg/s； </w:t>
      </w:r>
    </w:p>
    <w:p w14:paraId="1A7E9A85">
      <w:pPr>
        <w:spacing w:line="360" w:lineRule="auto"/>
        <w:ind w:firstLine="480"/>
        <w:jc w:val="both"/>
        <w:rPr>
          <w:color w:val="auto"/>
          <w:sz w:val="24"/>
          <w:szCs w:val="24"/>
        </w:rPr>
      </w:pPr>
      <w:r>
        <w:rPr>
          <w:rFonts w:hint="eastAsia"/>
          <w:color w:val="auto"/>
          <w:sz w:val="24"/>
          <w:szCs w:val="24"/>
        </w:rPr>
        <w:t>P ——容器压力，Pa，</w:t>
      </w:r>
      <w:r>
        <w:rPr>
          <w:rFonts w:hint="eastAsia"/>
          <w:bCs/>
          <w:color w:val="auto"/>
          <w:sz w:val="24"/>
          <w:szCs w:val="24"/>
        </w:rPr>
        <w:t>0.4MPa</w:t>
      </w:r>
      <w:r>
        <w:rPr>
          <w:rFonts w:hint="eastAsia"/>
          <w:color w:val="auto"/>
          <w:sz w:val="24"/>
          <w:szCs w:val="24"/>
        </w:rPr>
        <w:t xml:space="preserve">； </w:t>
      </w:r>
    </w:p>
    <w:p w14:paraId="05FAA5EE">
      <w:pPr>
        <w:spacing w:line="360" w:lineRule="auto"/>
        <w:ind w:firstLine="480"/>
        <w:jc w:val="both"/>
        <w:rPr>
          <w:color w:val="auto"/>
          <w:sz w:val="24"/>
          <w:szCs w:val="24"/>
        </w:rPr>
      </w:pPr>
      <w:r>
        <w:rPr>
          <w:rFonts w:hint="eastAsia"/>
          <w:color w:val="auto"/>
          <w:sz w:val="24"/>
          <w:szCs w:val="24"/>
        </w:rPr>
        <w:t>C</w:t>
      </w:r>
      <w:r>
        <w:rPr>
          <w:rFonts w:hint="eastAsia"/>
          <w:color w:val="auto"/>
          <w:sz w:val="24"/>
          <w:szCs w:val="24"/>
          <w:vertAlign w:val="subscript"/>
        </w:rPr>
        <w:t>d</w:t>
      </w:r>
      <w:r>
        <w:rPr>
          <w:rFonts w:hint="eastAsia"/>
          <w:color w:val="auto"/>
          <w:sz w:val="24"/>
          <w:szCs w:val="24"/>
        </w:rPr>
        <w:t xml:space="preserve"> ——气体泄漏系数；当裂口形状为圆形时取 1.00，三角形时取 0.95，长方形时取 0.90，裂口形状为圆形，取值1；</w:t>
      </w:r>
    </w:p>
    <w:p w14:paraId="7BBC451E">
      <w:pPr>
        <w:spacing w:line="360" w:lineRule="auto"/>
        <w:ind w:firstLine="480"/>
        <w:jc w:val="both"/>
        <w:rPr>
          <w:color w:val="auto"/>
          <w:sz w:val="24"/>
          <w:szCs w:val="24"/>
        </w:rPr>
      </w:pPr>
      <w:r>
        <w:rPr>
          <w:rFonts w:hint="eastAsia"/>
          <w:color w:val="auto"/>
          <w:sz w:val="24"/>
          <w:szCs w:val="24"/>
        </w:rPr>
        <w:t xml:space="preserve">M ——物质的摩尔质量，kg/mol，0.016kg/mol； </w:t>
      </w:r>
    </w:p>
    <w:p w14:paraId="00B48FCE">
      <w:pPr>
        <w:spacing w:line="360" w:lineRule="auto"/>
        <w:ind w:firstLine="480"/>
        <w:jc w:val="both"/>
        <w:rPr>
          <w:color w:val="auto"/>
          <w:sz w:val="24"/>
          <w:szCs w:val="24"/>
        </w:rPr>
      </w:pPr>
      <w:r>
        <w:rPr>
          <w:rFonts w:hint="eastAsia"/>
          <w:color w:val="auto"/>
          <w:sz w:val="24"/>
          <w:szCs w:val="24"/>
        </w:rPr>
        <w:t xml:space="preserve">R ——气体常数，J/(mol·K)； </w:t>
      </w:r>
    </w:p>
    <w:p w14:paraId="29FD87B6">
      <w:pPr>
        <w:spacing w:line="360" w:lineRule="auto"/>
        <w:ind w:firstLine="480"/>
        <w:jc w:val="both"/>
        <w:rPr>
          <w:color w:val="auto"/>
          <w:sz w:val="24"/>
          <w:szCs w:val="24"/>
        </w:rPr>
      </w:pPr>
      <w:r>
        <w:rPr>
          <w:rFonts w:hint="eastAsia"/>
          <w:color w:val="auto"/>
          <w:sz w:val="24"/>
          <w:szCs w:val="24"/>
        </w:rPr>
        <w:t>T</w:t>
      </w:r>
      <w:r>
        <w:rPr>
          <w:rFonts w:hint="eastAsia"/>
          <w:color w:val="auto"/>
          <w:sz w:val="24"/>
          <w:szCs w:val="24"/>
          <w:vertAlign w:val="subscript"/>
        </w:rPr>
        <w:t>G</w:t>
      </w:r>
      <w:r>
        <w:rPr>
          <w:rFonts w:hint="eastAsia"/>
          <w:color w:val="auto"/>
          <w:sz w:val="24"/>
          <w:szCs w:val="24"/>
        </w:rPr>
        <w:t xml:space="preserve"> ——气体温度，K 取298； </w:t>
      </w:r>
    </w:p>
    <w:p w14:paraId="7E4C1B98">
      <w:pPr>
        <w:spacing w:line="360" w:lineRule="auto"/>
        <w:ind w:firstLine="480"/>
        <w:jc w:val="both"/>
        <w:rPr>
          <w:color w:val="auto"/>
          <w:sz w:val="24"/>
          <w:szCs w:val="24"/>
        </w:rPr>
      </w:pPr>
      <w:r>
        <w:rPr>
          <w:rFonts w:hint="eastAsia"/>
          <w:color w:val="auto"/>
          <w:sz w:val="24"/>
          <w:szCs w:val="24"/>
        </w:rPr>
        <w:t>A ——裂口面积，m</w:t>
      </w:r>
      <w:r>
        <w:rPr>
          <w:rFonts w:hint="eastAsia"/>
          <w:color w:val="auto"/>
          <w:sz w:val="24"/>
          <w:szCs w:val="24"/>
          <w:vertAlign w:val="superscript"/>
        </w:rPr>
        <w:t>2</w:t>
      </w:r>
      <w:r>
        <w:rPr>
          <w:rFonts w:hint="eastAsia"/>
          <w:color w:val="auto"/>
          <w:sz w:val="24"/>
          <w:szCs w:val="24"/>
        </w:rPr>
        <w:t>，0.000785m</w:t>
      </w:r>
      <w:r>
        <w:rPr>
          <w:rFonts w:hint="eastAsia"/>
          <w:color w:val="auto"/>
          <w:sz w:val="24"/>
          <w:szCs w:val="24"/>
          <w:vertAlign w:val="superscript"/>
        </w:rPr>
        <w:t>2</w:t>
      </w:r>
      <w:r>
        <w:rPr>
          <w:rFonts w:hint="eastAsia"/>
          <w:color w:val="auto"/>
          <w:sz w:val="24"/>
          <w:szCs w:val="24"/>
        </w:rPr>
        <w:t>；</w:t>
      </w:r>
    </w:p>
    <w:p w14:paraId="48CB90B0">
      <w:pPr>
        <w:spacing w:line="360" w:lineRule="auto"/>
        <w:ind w:firstLine="480"/>
        <w:jc w:val="both"/>
        <w:rPr>
          <w:color w:val="auto"/>
          <w:sz w:val="24"/>
          <w:szCs w:val="24"/>
        </w:rPr>
      </w:pPr>
      <w:r>
        <w:rPr>
          <w:rFonts w:hint="eastAsia"/>
          <w:color w:val="auto"/>
          <w:sz w:val="24"/>
          <w:szCs w:val="24"/>
        </w:rPr>
        <w:t>天然气输送管道参数具体见</w:t>
      </w:r>
      <w:r>
        <w:rPr>
          <w:rFonts w:hint="eastAsia"/>
          <w:color w:val="auto"/>
          <w:sz w:val="24"/>
          <w:szCs w:val="24"/>
        </w:rPr>
        <w:fldChar w:fldCharType="begin"/>
      </w:r>
      <w:r>
        <w:instrText xml:space="preserve"> REF _Ref10996 \h  \* MERGEFORMAT</w:instrText>
      </w:r>
      <w:r>
        <w:rPr>
          <w:rFonts w:hint="eastAsia"/>
          <w:color w:val="auto"/>
          <w:sz w:val="24"/>
          <w:szCs w:val="24"/>
        </w:rPr>
        <w:fldChar w:fldCharType="separate"/>
      </w:r>
      <w:r>
        <w:rPr>
          <w:rFonts w:hint="eastAsia" w:eastAsia="黑体"/>
          <w:color w:val="auto"/>
          <w:sz w:val="23"/>
          <w:szCs w:val="24"/>
        </w:rPr>
        <w:t>表7.6-4</w:t>
      </w:r>
      <w:r>
        <w:rPr>
          <w:rFonts w:hint="eastAsia"/>
          <w:color w:val="auto"/>
          <w:sz w:val="24"/>
          <w:szCs w:val="24"/>
        </w:rPr>
        <w:fldChar w:fldCharType="end"/>
      </w:r>
      <w:r>
        <w:rPr>
          <w:rFonts w:hint="eastAsia"/>
          <w:color w:val="auto"/>
          <w:sz w:val="24"/>
          <w:szCs w:val="24"/>
        </w:rPr>
        <w:t>。</w:t>
      </w:r>
    </w:p>
    <w:p w14:paraId="447A98E9">
      <w:pPr>
        <w:spacing w:before="163" w:beforeLines="50"/>
        <w:jc w:val="center"/>
        <w:rPr>
          <w:rFonts w:eastAsia="黑体"/>
          <w:color w:val="auto"/>
          <w:sz w:val="23"/>
          <w:szCs w:val="24"/>
        </w:rPr>
      </w:pPr>
      <w:bookmarkStart w:id="393" w:name="_Ref10996"/>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7.6</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4</w:t>
      </w:r>
      <w:r>
        <w:rPr>
          <w:rFonts w:eastAsia="黑体"/>
          <w:color w:val="auto"/>
          <w:sz w:val="23"/>
          <w:szCs w:val="24"/>
        </w:rPr>
        <w:fldChar w:fldCharType="end"/>
      </w:r>
      <w:bookmarkEnd w:id="393"/>
      <w:r>
        <w:rPr>
          <w:rFonts w:hint="eastAsia" w:eastAsia="黑体"/>
          <w:color w:val="auto"/>
          <w:sz w:val="23"/>
          <w:szCs w:val="24"/>
        </w:rPr>
        <w:t xml:space="preserve">   </w:t>
      </w:r>
      <w:r>
        <w:rPr>
          <w:rFonts w:eastAsia="黑体"/>
          <w:color w:val="auto"/>
          <w:sz w:val="23"/>
          <w:szCs w:val="24"/>
        </w:rPr>
        <w:t>输送管线</w:t>
      </w:r>
      <w:r>
        <w:rPr>
          <w:rFonts w:hint="eastAsia" w:eastAsia="黑体"/>
          <w:color w:val="auto"/>
          <w:sz w:val="23"/>
          <w:szCs w:val="24"/>
        </w:rPr>
        <w:t>参数选取一览表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2441"/>
        <w:gridCol w:w="1458"/>
        <w:gridCol w:w="2444"/>
        <w:gridCol w:w="2443"/>
      </w:tblGrid>
      <w:tr w14:paraId="0CEE715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305" w:type="dxa"/>
            <w:vAlign w:val="center"/>
          </w:tcPr>
          <w:p w14:paraId="2E490ED8">
            <w:pPr>
              <w:widowControl w:val="0"/>
              <w:spacing w:line="360" w:lineRule="exact"/>
              <w:jc w:val="center"/>
              <w:rPr>
                <w:color w:val="auto"/>
                <w:sz w:val="21"/>
                <w:szCs w:val="21"/>
              </w:rPr>
            </w:pPr>
            <w:r>
              <w:rPr>
                <w:rFonts w:hint="eastAsia"/>
                <w:color w:val="auto"/>
                <w:sz w:val="21"/>
                <w:szCs w:val="21"/>
              </w:rPr>
              <w:t>参数名称</w:t>
            </w:r>
          </w:p>
        </w:tc>
        <w:tc>
          <w:tcPr>
            <w:tcW w:w="1377" w:type="dxa"/>
            <w:vAlign w:val="center"/>
          </w:tcPr>
          <w:p w14:paraId="43CB3309">
            <w:pPr>
              <w:widowControl w:val="0"/>
              <w:spacing w:line="360" w:lineRule="exact"/>
              <w:jc w:val="center"/>
              <w:rPr>
                <w:color w:val="auto"/>
                <w:sz w:val="21"/>
                <w:szCs w:val="21"/>
              </w:rPr>
            </w:pPr>
            <w:r>
              <w:rPr>
                <w:rFonts w:hint="eastAsia"/>
                <w:color w:val="auto"/>
                <w:sz w:val="21"/>
                <w:szCs w:val="21"/>
              </w:rPr>
              <w:t>参数取值</w:t>
            </w:r>
          </w:p>
        </w:tc>
        <w:tc>
          <w:tcPr>
            <w:tcW w:w="2308" w:type="dxa"/>
            <w:vAlign w:val="center"/>
          </w:tcPr>
          <w:p w14:paraId="6571AD72">
            <w:pPr>
              <w:widowControl w:val="0"/>
              <w:spacing w:line="360" w:lineRule="exact"/>
              <w:jc w:val="center"/>
              <w:rPr>
                <w:color w:val="auto"/>
                <w:sz w:val="21"/>
                <w:szCs w:val="21"/>
              </w:rPr>
            </w:pPr>
            <w:r>
              <w:rPr>
                <w:rFonts w:hint="eastAsia"/>
                <w:color w:val="auto"/>
                <w:sz w:val="21"/>
                <w:szCs w:val="21"/>
              </w:rPr>
              <w:t>参数名称</w:t>
            </w:r>
          </w:p>
        </w:tc>
        <w:tc>
          <w:tcPr>
            <w:tcW w:w="2306" w:type="dxa"/>
            <w:vAlign w:val="center"/>
          </w:tcPr>
          <w:p w14:paraId="5517CBB3">
            <w:pPr>
              <w:widowControl w:val="0"/>
              <w:spacing w:line="360" w:lineRule="exact"/>
              <w:jc w:val="center"/>
              <w:rPr>
                <w:color w:val="auto"/>
                <w:sz w:val="21"/>
                <w:szCs w:val="21"/>
              </w:rPr>
            </w:pPr>
            <w:r>
              <w:rPr>
                <w:rFonts w:hint="eastAsia"/>
                <w:color w:val="auto"/>
                <w:sz w:val="21"/>
                <w:szCs w:val="21"/>
              </w:rPr>
              <w:t>参数取值</w:t>
            </w:r>
          </w:p>
        </w:tc>
      </w:tr>
      <w:tr w14:paraId="4159EDB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305" w:type="dxa"/>
            <w:vAlign w:val="center"/>
          </w:tcPr>
          <w:p w14:paraId="327ECBE1">
            <w:pPr>
              <w:widowControl w:val="0"/>
              <w:spacing w:line="360" w:lineRule="exact"/>
              <w:jc w:val="center"/>
              <w:rPr>
                <w:color w:val="auto"/>
                <w:sz w:val="21"/>
                <w:szCs w:val="21"/>
              </w:rPr>
            </w:pPr>
            <w:r>
              <w:rPr>
                <w:rFonts w:hint="eastAsia"/>
                <w:color w:val="auto"/>
                <w:sz w:val="21"/>
                <w:szCs w:val="21"/>
              </w:rPr>
              <w:t>管道内部温度</w:t>
            </w:r>
          </w:p>
        </w:tc>
        <w:tc>
          <w:tcPr>
            <w:tcW w:w="1377" w:type="dxa"/>
            <w:vAlign w:val="center"/>
          </w:tcPr>
          <w:p w14:paraId="45605632">
            <w:pPr>
              <w:widowControl w:val="0"/>
              <w:spacing w:line="360" w:lineRule="exact"/>
              <w:jc w:val="center"/>
              <w:rPr>
                <w:color w:val="auto"/>
                <w:sz w:val="21"/>
                <w:szCs w:val="21"/>
              </w:rPr>
            </w:pPr>
            <w:r>
              <w:rPr>
                <w:rFonts w:hint="eastAsia"/>
                <w:color w:val="auto"/>
                <w:sz w:val="21"/>
                <w:szCs w:val="21"/>
              </w:rPr>
              <w:t>25 ℃</w:t>
            </w:r>
          </w:p>
        </w:tc>
        <w:tc>
          <w:tcPr>
            <w:tcW w:w="2308" w:type="dxa"/>
            <w:vAlign w:val="center"/>
          </w:tcPr>
          <w:p w14:paraId="1BD7A5BE">
            <w:pPr>
              <w:widowControl w:val="0"/>
              <w:spacing w:line="360" w:lineRule="exact"/>
              <w:jc w:val="center"/>
              <w:rPr>
                <w:color w:val="auto"/>
                <w:sz w:val="21"/>
                <w:szCs w:val="21"/>
              </w:rPr>
            </w:pPr>
            <w:r>
              <w:rPr>
                <w:rFonts w:hint="eastAsia"/>
                <w:color w:val="auto"/>
                <w:sz w:val="21"/>
                <w:szCs w:val="21"/>
              </w:rPr>
              <w:t>管道内物质存在形态</w:t>
            </w:r>
          </w:p>
        </w:tc>
        <w:tc>
          <w:tcPr>
            <w:tcW w:w="2306" w:type="dxa"/>
            <w:vAlign w:val="center"/>
          </w:tcPr>
          <w:p w14:paraId="3AFE1AE1">
            <w:pPr>
              <w:widowControl w:val="0"/>
              <w:spacing w:line="360" w:lineRule="exact"/>
              <w:jc w:val="center"/>
              <w:rPr>
                <w:color w:val="auto"/>
                <w:sz w:val="21"/>
                <w:szCs w:val="21"/>
              </w:rPr>
            </w:pPr>
            <w:r>
              <w:rPr>
                <w:rFonts w:hint="eastAsia"/>
                <w:color w:val="auto"/>
                <w:sz w:val="21"/>
                <w:szCs w:val="21"/>
              </w:rPr>
              <w:t>气体</w:t>
            </w:r>
          </w:p>
        </w:tc>
      </w:tr>
      <w:tr w14:paraId="6645A45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305" w:type="dxa"/>
            <w:vAlign w:val="center"/>
          </w:tcPr>
          <w:p w14:paraId="3200BC34">
            <w:pPr>
              <w:widowControl w:val="0"/>
              <w:spacing w:line="360" w:lineRule="exact"/>
              <w:jc w:val="center"/>
              <w:rPr>
                <w:color w:val="auto"/>
                <w:sz w:val="21"/>
                <w:szCs w:val="21"/>
              </w:rPr>
            </w:pPr>
            <w:r>
              <w:rPr>
                <w:rFonts w:hint="eastAsia"/>
                <w:color w:val="auto"/>
                <w:sz w:val="21"/>
                <w:szCs w:val="21"/>
              </w:rPr>
              <w:t>管道内部压力</w:t>
            </w:r>
          </w:p>
        </w:tc>
        <w:tc>
          <w:tcPr>
            <w:tcW w:w="1377" w:type="dxa"/>
            <w:vAlign w:val="center"/>
          </w:tcPr>
          <w:p w14:paraId="6140D800">
            <w:pPr>
              <w:widowControl w:val="0"/>
              <w:spacing w:line="360" w:lineRule="exact"/>
              <w:jc w:val="center"/>
              <w:rPr>
                <w:color w:val="auto"/>
                <w:sz w:val="21"/>
                <w:szCs w:val="21"/>
              </w:rPr>
            </w:pPr>
            <w:r>
              <w:rPr>
                <w:rFonts w:hint="eastAsia"/>
                <w:color w:val="auto"/>
                <w:sz w:val="21"/>
                <w:szCs w:val="21"/>
              </w:rPr>
              <w:t xml:space="preserve">0.4 </w:t>
            </w:r>
            <w:r>
              <w:rPr>
                <w:color w:val="auto"/>
                <w:sz w:val="21"/>
                <w:szCs w:val="21"/>
              </w:rPr>
              <w:t>M</w:t>
            </w:r>
            <w:r>
              <w:rPr>
                <w:rFonts w:hint="eastAsia"/>
                <w:color w:val="auto"/>
                <w:sz w:val="21"/>
                <w:szCs w:val="21"/>
              </w:rPr>
              <w:t>Pa</w:t>
            </w:r>
          </w:p>
        </w:tc>
        <w:tc>
          <w:tcPr>
            <w:tcW w:w="2308" w:type="dxa"/>
            <w:vAlign w:val="center"/>
          </w:tcPr>
          <w:p w14:paraId="0FAB7249">
            <w:pPr>
              <w:widowControl w:val="0"/>
              <w:spacing w:line="360" w:lineRule="exact"/>
              <w:jc w:val="center"/>
              <w:rPr>
                <w:color w:val="auto"/>
                <w:sz w:val="21"/>
                <w:szCs w:val="21"/>
              </w:rPr>
            </w:pPr>
            <w:r>
              <w:rPr>
                <w:rFonts w:hint="eastAsia"/>
                <w:color w:val="auto"/>
                <w:sz w:val="21"/>
                <w:szCs w:val="21"/>
              </w:rPr>
              <w:t>管道裂口面积及形态</w:t>
            </w:r>
          </w:p>
        </w:tc>
        <w:tc>
          <w:tcPr>
            <w:tcW w:w="2306" w:type="dxa"/>
            <w:vAlign w:val="center"/>
          </w:tcPr>
          <w:p w14:paraId="3F4C1EC8">
            <w:pPr>
              <w:widowControl w:val="0"/>
              <w:spacing w:line="360" w:lineRule="exact"/>
              <w:jc w:val="center"/>
              <w:rPr>
                <w:color w:val="auto"/>
                <w:sz w:val="21"/>
                <w:szCs w:val="21"/>
              </w:rPr>
            </w:pPr>
            <w:r>
              <w:rPr>
                <w:rFonts w:hint="eastAsia"/>
                <w:color w:val="auto"/>
                <w:sz w:val="21"/>
                <w:szCs w:val="21"/>
              </w:rPr>
              <w:t xml:space="preserve">圆形0.785 </w:t>
            </w:r>
            <w:r>
              <w:rPr>
                <w:color w:val="auto"/>
                <w:sz w:val="21"/>
                <w:szCs w:val="21"/>
              </w:rPr>
              <w:t>cm</w:t>
            </w:r>
            <w:r>
              <w:rPr>
                <w:color w:val="auto"/>
                <w:sz w:val="21"/>
                <w:szCs w:val="21"/>
                <w:vertAlign w:val="superscript"/>
              </w:rPr>
              <w:t>2</w:t>
            </w:r>
          </w:p>
        </w:tc>
      </w:tr>
    </w:tbl>
    <w:p w14:paraId="18BE749A">
      <w:pPr>
        <w:autoSpaceDE w:val="0"/>
        <w:autoSpaceDN w:val="0"/>
        <w:adjustRightInd w:val="0"/>
        <w:spacing w:line="240" w:lineRule="exact"/>
        <w:rPr>
          <w:rFonts w:ascii="黑体"/>
          <w:bCs/>
          <w:color w:val="auto"/>
          <w:szCs w:val="28"/>
          <w:lang w:val="zh-CN"/>
        </w:rPr>
      </w:pPr>
    </w:p>
    <w:p w14:paraId="5D8BE700">
      <w:pPr>
        <w:spacing w:line="360" w:lineRule="auto"/>
        <w:ind w:firstLine="480" w:firstLineChars="200"/>
        <w:jc w:val="both"/>
        <w:rPr>
          <w:color w:val="auto"/>
          <w:sz w:val="24"/>
          <w:szCs w:val="24"/>
        </w:rPr>
      </w:pPr>
      <w:r>
        <w:rPr>
          <w:rFonts w:hint="eastAsia"/>
          <w:color w:val="auto"/>
          <w:sz w:val="24"/>
          <w:szCs w:val="24"/>
        </w:rPr>
        <w:t>根据风险源强估算软件计算结果，在常规气象条件下和最不利气象条件下，CH</w:t>
      </w:r>
      <w:r>
        <w:rPr>
          <w:rFonts w:hint="eastAsia"/>
          <w:color w:val="auto"/>
          <w:sz w:val="24"/>
          <w:szCs w:val="24"/>
          <w:vertAlign w:val="subscript"/>
        </w:rPr>
        <w:t>4</w:t>
      </w:r>
      <w:r>
        <w:rPr>
          <w:color w:val="auto"/>
          <w:sz w:val="24"/>
          <w:szCs w:val="24"/>
        </w:rPr>
        <w:t>气体</w:t>
      </w:r>
      <w:r>
        <w:rPr>
          <w:rFonts w:hint="eastAsia"/>
          <w:color w:val="auto"/>
          <w:sz w:val="24"/>
          <w:szCs w:val="24"/>
        </w:rPr>
        <w:t>泄漏速率均</w:t>
      </w:r>
      <w:r>
        <w:rPr>
          <w:rFonts w:hint="eastAsia"/>
          <w:color w:val="auto"/>
          <w:sz w:val="24"/>
          <w:szCs w:val="24"/>
          <w:lang w:eastAsia="zh-CN"/>
        </w:rPr>
        <w:t>为</w:t>
      </w:r>
      <w:r>
        <w:rPr>
          <w:rFonts w:hint="eastAsia"/>
          <w:color w:val="auto"/>
          <w:sz w:val="24"/>
          <w:szCs w:val="24"/>
        </w:rPr>
        <w:t>0.06 kg/s。</w:t>
      </w:r>
    </w:p>
    <w:p w14:paraId="5B29C789">
      <w:pPr>
        <w:spacing w:line="360" w:lineRule="auto"/>
        <w:ind w:firstLine="480" w:firstLineChars="200"/>
        <w:jc w:val="both"/>
        <w:rPr>
          <w:color w:val="auto"/>
          <w:sz w:val="24"/>
          <w:szCs w:val="24"/>
        </w:rPr>
      </w:pPr>
      <w:r>
        <w:rPr>
          <w:rFonts w:hint="eastAsia"/>
          <w:color w:val="auto"/>
          <w:sz w:val="24"/>
          <w:szCs w:val="24"/>
        </w:rPr>
        <w:t>（2）火灾伴生/次生污染物产生量估算</w:t>
      </w:r>
    </w:p>
    <w:p w14:paraId="6CD8B91F">
      <w:pPr>
        <w:spacing w:line="360" w:lineRule="auto"/>
        <w:ind w:firstLine="480" w:firstLineChars="200"/>
        <w:jc w:val="both"/>
        <w:rPr>
          <w:color w:val="auto"/>
          <w:sz w:val="24"/>
          <w:szCs w:val="24"/>
        </w:rPr>
      </w:pPr>
      <w:r>
        <w:rPr>
          <w:color w:val="auto"/>
          <w:sz w:val="24"/>
          <w:szCs w:val="24"/>
        </w:rPr>
        <w:t>火灾产生次生污染物中毒性较大的为物料不完全燃料产生的CO</w:t>
      </w:r>
      <w:r>
        <w:rPr>
          <w:rFonts w:hint="eastAsia"/>
          <w:color w:val="auto"/>
          <w:sz w:val="24"/>
          <w:szCs w:val="24"/>
        </w:rPr>
        <w:t>：</w:t>
      </w:r>
    </w:p>
    <w:p w14:paraId="5142B8BF">
      <w:pPr>
        <w:spacing w:line="360" w:lineRule="auto"/>
        <w:ind w:firstLine="480" w:firstLineChars="200"/>
        <w:jc w:val="center"/>
        <w:rPr>
          <w:color w:val="auto"/>
          <w:sz w:val="24"/>
          <w:szCs w:val="24"/>
        </w:rPr>
      </w:pPr>
      <w:r>
        <w:rPr>
          <w:rFonts w:hint="eastAsia"/>
          <w:color w:val="auto"/>
          <w:sz w:val="24"/>
          <w:szCs w:val="24"/>
        </w:rPr>
        <w:t>G</w:t>
      </w:r>
      <w:r>
        <w:rPr>
          <w:rFonts w:hint="eastAsia"/>
          <w:color w:val="auto"/>
          <w:sz w:val="24"/>
          <w:szCs w:val="24"/>
          <w:vertAlign w:val="subscript"/>
        </w:rPr>
        <w:t>CO</w:t>
      </w:r>
      <w:r>
        <w:rPr>
          <w:color w:val="auto"/>
          <w:sz w:val="24"/>
          <w:szCs w:val="24"/>
        </w:rPr>
        <w:t>=</w:t>
      </w:r>
      <w:r>
        <w:rPr>
          <w:rFonts w:hint="eastAsia"/>
          <w:color w:val="auto"/>
          <w:sz w:val="24"/>
          <w:szCs w:val="24"/>
        </w:rPr>
        <w:t>2330q</w:t>
      </w:r>
      <w:r>
        <w:rPr>
          <w:color w:val="auto"/>
          <w:sz w:val="24"/>
          <w:szCs w:val="24"/>
        </w:rPr>
        <w:t>C</w:t>
      </w:r>
      <w:r>
        <w:rPr>
          <w:rFonts w:hint="eastAsia"/>
          <w:color w:val="auto"/>
          <w:sz w:val="24"/>
          <w:szCs w:val="24"/>
        </w:rPr>
        <w:t>Q</w:t>
      </w:r>
    </w:p>
    <w:p w14:paraId="07B6532D">
      <w:pPr>
        <w:spacing w:line="360" w:lineRule="auto"/>
        <w:ind w:firstLine="480" w:firstLineChars="200"/>
        <w:jc w:val="both"/>
        <w:rPr>
          <w:color w:val="auto"/>
          <w:sz w:val="24"/>
          <w:szCs w:val="24"/>
        </w:rPr>
      </w:pPr>
      <w:r>
        <w:rPr>
          <w:rFonts w:hint="eastAsia"/>
          <w:color w:val="auto"/>
          <w:sz w:val="24"/>
          <w:szCs w:val="24"/>
        </w:rPr>
        <w:t>式中：Gco——一氧化碳产生量，kg/s；</w:t>
      </w:r>
    </w:p>
    <w:p w14:paraId="78A1AC60">
      <w:pPr>
        <w:spacing w:line="360" w:lineRule="auto"/>
        <w:ind w:firstLine="480" w:firstLineChars="200"/>
        <w:jc w:val="both"/>
        <w:rPr>
          <w:color w:val="auto"/>
          <w:sz w:val="24"/>
          <w:szCs w:val="24"/>
        </w:rPr>
      </w:pPr>
      <w:r>
        <w:rPr>
          <w:rFonts w:hint="eastAsia"/>
          <w:color w:val="auto"/>
          <w:sz w:val="24"/>
          <w:szCs w:val="24"/>
        </w:rPr>
        <w:t xml:space="preserve">      q——物质中碳的百分含量，%，75%；</w:t>
      </w:r>
    </w:p>
    <w:p w14:paraId="6D5EE691">
      <w:pPr>
        <w:spacing w:line="360" w:lineRule="auto"/>
        <w:ind w:firstLine="480" w:firstLineChars="200"/>
        <w:jc w:val="both"/>
        <w:rPr>
          <w:color w:val="auto"/>
          <w:sz w:val="24"/>
          <w:szCs w:val="24"/>
        </w:rPr>
      </w:pPr>
      <w:r>
        <w:rPr>
          <w:rFonts w:hint="eastAsia"/>
          <w:color w:val="auto"/>
          <w:sz w:val="24"/>
          <w:szCs w:val="24"/>
        </w:rPr>
        <w:t xml:space="preserve">      C——化学不完全燃烧值，%，1.5%～6%，本次取3%。</w:t>
      </w:r>
    </w:p>
    <w:p w14:paraId="6CC04714">
      <w:pPr>
        <w:spacing w:line="360" w:lineRule="auto"/>
        <w:ind w:firstLine="1200" w:firstLineChars="500"/>
        <w:jc w:val="both"/>
        <w:rPr>
          <w:color w:val="auto"/>
          <w:sz w:val="24"/>
          <w:szCs w:val="24"/>
        </w:rPr>
      </w:pPr>
      <w:r>
        <w:rPr>
          <w:rFonts w:hint="eastAsia"/>
          <w:color w:val="auto"/>
          <w:sz w:val="24"/>
          <w:szCs w:val="24"/>
        </w:rPr>
        <w:t>Q——参与燃烧的物质量，t/s，本次为0.00006 t/s。</w:t>
      </w:r>
    </w:p>
    <w:p w14:paraId="2773B497">
      <w:pPr>
        <w:spacing w:line="360" w:lineRule="auto"/>
        <w:ind w:firstLine="480" w:firstLineChars="200"/>
        <w:jc w:val="both"/>
        <w:rPr>
          <w:color w:val="auto"/>
          <w:sz w:val="24"/>
          <w:szCs w:val="24"/>
        </w:rPr>
      </w:pPr>
      <w:r>
        <w:rPr>
          <w:color w:val="auto"/>
          <w:sz w:val="24"/>
          <w:szCs w:val="24"/>
        </w:rPr>
        <w:t>经计算，项目</w:t>
      </w:r>
      <w:r>
        <w:rPr>
          <w:rFonts w:hint="eastAsia"/>
          <w:color w:val="auto"/>
          <w:sz w:val="24"/>
          <w:szCs w:val="24"/>
        </w:rPr>
        <w:t>甲烷</w:t>
      </w:r>
      <w:r>
        <w:rPr>
          <w:color w:val="auto"/>
          <w:sz w:val="24"/>
          <w:szCs w:val="24"/>
        </w:rPr>
        <w:t>燃烧事故</w:t>
      </w:r>
      <w:r>
        <w:rPr>
          <w:rFonts w:hint="eastAsia"/>
          <w:color w:val="auto"/>
          <w:sz w:val="24"/>
          <w:szCs w:val="24"/>
        </w:rPr>
        <w:t>产生</w:t>
      </w:r>
      <w:r>
        <w:rPr>
          <w:color w:val="auto"/>
          <w:sz w:val="24"/>
          <w:szCs w:val="24"/>
        </w:rPr>
        <w:t>次生的CO污染速率为</w:t>
      </w:r>
      <w:r>
        <w:rPr>
          <w:rFonts w:hint="eastAsia"/>
          <w:color w:val="auto"/>
          <w:sz w:val="24"/>
          <w:szCs w:val="24"/>
        </w:rPr>
        <w:t xml:space="preserve">3.14 </w:t>
      </w:r>
      <w:r>
        <w:rPr>
          <w:color w:val="auto"/>
          <w:sz w:val="24"/>
          <w:szCs w:val="24"/>
        </w:rPr>
        <w:t>kg/s</w:t>
      </w:r>
      <w:r>
        <w:rPr>
          <w:rFonts w:hint="eastAsia"/>
          <w:color w:val="auto"/>
          <w:sz w:val="24"/>
          <w:szCs w:val="24"/>
        </w:rPr>
        <w:t>。</w:t>
      </w:r>
    </w:p>
    <w:p w14:paraId="1CE3D51B">
      <w:pPr>
        <w:pStyle w:val="3"/>
        <w:rPr>
          <w:color w:val="auto"/>
        </w:rPr>
      </w:pPr>
      <w:bookmarkStart w:id="394" w:name="_Toc220582795"/>
      <w:bookmarkStart w:id="395" w:name="_Toc229930164"/>
      <w:r>
        <w:rPr>
          <w:rFonts w:hint="eastAsia"/>
          <w:color w:val="auto"/>
        </w:rPr>
        <w:t>环境风险预测与评价</w:t>
      </w:r>
      <w:bookmarkEnd w:id="394"/>
      <w:bookmarkEnd w:id="395"/>
    </w:p>
    <w:p w14:paraId="6B7334E3">
      <w:pPr>
        <w:numPr>
          <w:ilvl w:val="2"/>
          <w:numId w:val="1"/>
        </w:numPr>
        <w:outlineLvl w:val="2"/>
        <w:rPr>
          <w:rFonts w:eastAsia="黑体"/>
          <w:b/>
          <w:color w:val="auto"/>
          <w:sz w:val="26"/>
        </w:rPr>
      </w:pPr>
      <w:r>
        <w:rPr>
          <w:rFonts w:hint="eastAsia" w:eastAsia="黑体"/>
          <w:b/>
          <w:color w:val="auto"/>
          <w:sz w:val="26"/>
        </w:rPr>
        <w:t>环境风险大气环境影响预测与评价</w:t>
      </w:r>
    </w:p>
    <w:p w14:paraId="3DC0DEA1">
      <w:pPr>
        <w:pStyle w:val="5"/>
        <w:rPr>
          <w:color w:val="auto"/>
        </w:rPr>
      </w:pPr>
      <w:r>
        <w:rPr>
          <w:color w:val="auto"/>
        </w:rPr>
        <w:t>模型选取</w:t>
      </w:r>
    </w:p>
    <w:p w14:paraId="2B298B33">
      <w:pPr>
        <w:spacing w:line="360" w:lineRule="auto"/>
        <w:ind w:firstLine="480" w:firstLineChars="200"/>
        <w:jc w:val="both"/>
        <w:rPr>
          <w:color w:val="auto"/>
          <w:sz w:val="24"/>
          <w:szCs w:val="24"/>
        </w:rPr>
      </w:pPr>
      <w:r>
        <w:rPr>
          <w:rFonts w:hint="eastAsia"/>
          <w:color w:val="auto"/>
          <w:sz w:val="24"/>
          <w:szCs w:val="24"/>
        </w:rPr>
        <w:t>预测模型按照HJ169-2018判定确定。</w:t>
      </w:r>
    </w:p>
    <w:p w14:paraId="73CDECA8">
      <w:pPr>
        <w:spacing w:line="360" w:lineRule="auto"/>
        <w:ind w:firstLine="480" w:firstLineChars="200"/>
        <w:jc w:val="both"/>
        <w:rPr>
          <w:color w:val="auto"/>
          <w:sz w:val="24"/>
          <w:szCs w:val="24"/>
        </w:rPr>
      </w:pPr>
      <w:r>
        <w:rPr>
          <w:rFonts w:hint="eastAsia"/>
          <w:color w:val="auto"/>
          <w:sz w:val="24"/>
          <w:szCs w:val="24"/>
        </w:rPr>
        <w:t>（1）氨水泄漏烟团初始密度未大于空气密度，不计算理查德森数。预测模型选用导则中的大气风险预测推荐模型中的多烟团模式AFTOX进行计算。</w:t>
      </w:r>
    </w:p>
    <w:p w14:paraId="3DFCCDA9">
      <w:pPr>
        <w:spacing w:line="360" w:lineRule="auto"/>
        <w:ind w:firstLine="480" w:firstLineChars="200"/>
        <w:jc w:val="both"/>
        <w:rPr>
          <w:color w:val="auto"/>
          <w:sz w:val="24"/>
          <w:szCs w:val="24"/>
        </w:rPr>
      </w:pPr>
      <w:r>
        <w:rPr>
          <w:rFonts w:hint="eastAsia"/>
          <w:color w:val="auto"/>
          <w:sz w:val="24"/>
          <w:szCs w:val="24"/>
        </w:rPr>
        <w:t>（2）天然气泄漏，烟团初始密度未大于空气密度，不计算理查德森数。后续扩散预测模型选用导则中的大气风险预测推荐模型中的 AFTOX 模式。</w:t>
      </w:r>
    </w:p>
    <w:p w14:paraId="266AA423">
      <w:pPr>
        <w:spacing w:line="360" w:lineRule="auto"/>
        <w:ind w:firstLine="480" w:firstLineChars="200"/>
        <w:jc w:val="both"/>
        <w:rPr>
          <w:color w:val="auto"/>
          <w:sz w:val="24"/>
          <w:szCs w:val="24"/>
        </w:rPr>
      </w:pPr>
      <w:r>
        <w:rPr>
          <w:rFonts w:hint="eastAsia"/>
          <w:color w:val="auto"/>
          <w:sz w:val="24"/>
          <w:szCs w:val="24"/>
        </w:rPr>
        <w:t>（3）天然气泄漏，引发火灾爆炸次生污染物CO为轻质气体，预测模型选用导则中的大气风险预测推荐模型中的多烟团模式AFTOX进行计算。</w:t>
      </w:r>
    </w:p>
    <w:p w14:paraId="5F5BC90B">
      <w:pPr>
        <w:spacing w:before="163" w:beforeLines="50"/>
        <w:jc w:val="center"/>
        <w:rPr>
          <w:rFonts w:eastAsia="黑体"/>
          <w:color w:val="auto"/>
          <w:sz w:val="23"/>
          <w:szCs w:val="24"/>
        </w:rPr>
      </w:pP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7.7</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1</w:t>
      </w:r>
      <w:r>
        <w:rPr>
          <w:rFonts w:eastAsia="黑体"/>
          <w:color w:val="auto"/>
          <w:sz w:val="23"/>
          <w:szCs w:val="24"/>
        </w:rPr>
        <w:fldChar w:fldCharType="end"/>
      </w:r>
      <w:r>
        <w:rPr>
          <w:rFonts w:hint="eastAsia" w:eastAsia="黑体"/>
          <w:color w:val="auto"/>
          <w:sz w:val="23"/>
          <w:szCs w:val="24"/>
        </w:rPr>
        <w:t xml:space="preserve">  项目最大可信事故的气体性质一览表</w:t>
      </w:r>
    </w:p>
    <w:tbl>
      <w:tblPr>
        <w:tblStyle w:val="1937"/>
        <w:tblW w:w="4953"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942"/>
        <w:gridCol w:w="1393"/>
        <w:gridCol w:w="1962"/>
        <w:gridCol w:w="1496"/>
        <w:gridCol w:w="2910"/>
      </w:tblGrid>
      <w:tr w14:paraId="7812CDD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41" w:type="pct"/>
            <w:vAlign w:val="center"/>
          </w:tcPr>
          <w:p w14:paraId="5F3C9518">
            <w:pPr>
              <w:widowControl w:val="0"/>
              <w:spacing w:line="360" w:lineRule="exact"/>
              <w:jc w:val="center"/>
              <w:rPr>
                <w:color w:val="auto"/>
                <w:sz w:val="21"/>
                <w:szCs w:val="21"/>
              </w:rPr>
            </w:pPr>
            <w:r>
              <w:rPr>
                <w:rFonts w:hint="eastAsia"/>
                <w:color w:val="auto"/>
                <w:sz w:val="21"/>
                <w:szCs w:val="21"/>
              </w:rPr>
              <w:t>序号</w:t>
            </w:r>
          </w:p>
        </w:tc>
        <w:tc>
          <w:tcPr>
            <w:tcW w:w="800" w:type="pct"/>
            <w:vAlign w:val="center"/>
          </w:tcPr>
          <w:p w14:paraId="32309B5A">
            <w:pPr>
              <w:widowControl w:val="0"/>
              <w:spacing w:line="360" w:lineRule="exact"/>
              <w:jc w:val="center"/>
              <w:rPr>
                <w:color w:val="auto"/>
                <w:sz w:val="21"/>
                <w:szCs w:val="21"/>
              </w:rPr>
            </w:pPr>
            <w:r>
              <w:rPr>
                <w:rFonts w:hint="eastAsia"/>
                <w:color w:val="auto"/>
                <w:sz w:val="21"/>
                <w:szCs w:val="21"/>
              </w:rPr>
              <w:t>气体名称</w:t>
            </w:r>
          </w:p>
        </w:tc>
        <w:tc>
          <w:tcPr>
            <w:tcW w:w="1127" w:type="pct"/>
            <w:vAlign w:val="center"/>
          </w:tcPr>
          <w:p w14:paraId="0DC4992D">
            <w:pPr>
              <w:widowControl w:val="0"/>
              <w:spacing w:line="360" w:lineRule="exact"/>
              <w:jc w:val="center"/>
              <w:rPr>
                <w:color w:val="auto"/>
                <w:sz w:val="21"/>
                <w:szCs w:val="21"/>
              </w:rPr>
            </w:pPr>
            <w:r>
              <w:rPr>
                <w:rFonts w:hint="eastAsia"/>
                <w:color w:val="auto"/>
                <w:sz w:val="21"/>
                <w:szCs w:val="21"/>
              </w:rPr>
              <w:t>理查德森数</w:t>
            </w:r>
            <w:r>
              <w:rPr>
                <w:color w:val="auto"/>
                <w:sz w:val="21"/>
                <w:szCs w:val="21"/>
              </w:rPr>
              <w:t>(Ri)</w:t>
            </w:r>
          </w:p>
        </w:tc>
        <w:tc>
          <w:tcPr>
            <w:tcW w:w="859" w:type="pct"/>
            <w:vAlign w:val="center"/>
          </w:tcPr>
          <w:p w14:paraId="4A34FFC8">
            <w:pPr>
              <w:widowControl w:val="0"/>
              <w:spacing w:line="360" w:lineRule="exact"/>
              <w:jc w:val="center"/>
              <w:rPr>
                <w:color w:val="auto"/>
                <w:sz w:val="21"/>
                <w:szCs w:val="21"/>
              </w:rPr>
            </w:pPr>
            <w:r>
              <w:rPr>
                <w:rFonts w:hint="eastAsia"/>
                <w:color w:val="auto"/>
                <w:sz w:val="21"/>
                <w:szCs w:val="21"/>
              </w:rPr>
              <w:t>气体性质</w:t>
            </w:r>
          </w:p>
        </w:tc>
        <w:tc>
          <w:tcPr>
            <w:tcW w:w="1671" w:type="pct"/>
            <w:vAlign w:val="center"/>
          </w:tcPr>
          <w:p w14:paraId="6E456A7A">
            <w:pPr>
              <w:widowControl w:val="0"/>
              <w:spacing w:line="360" w:lineRule="exact"/>
              <w:jc w:val="center"/>
              <w:rPr>
                <w:color w:val="auto"/>
                <w:sz w:val="21"/>
                <w:szCs w:val="21"/>
              </w:rPr>
            </w:pPr>
            <w:r>
              <w:rPr>
                <w:rFonts w:hint="eastAsia"/>
                <w:color w:val="auto"/>
                <w:sz w:val="21"/>
                <w:szCs w:val="21"/>
              </w:rPr>
              <w:t>备注</w:t>
            </w:r>
          </w:p>
        </w:tc>
      </w:tr>
      <w:tr w14:paraId="206BD06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41" w:type="pct"/>
            <w:vAlign w:val="center"/>
          </w:tcPr>
          <w:p w14:paraId="046EC2BD">
            <w:pPr>
              <w:widowControl w:val="0"/>
              <w:spacing w:line="360" w:lineRule="exact"/>
              <w:jc w:val="center"/>
              <w:rPr>
                <w:color w:val="auto"/>
                <w:sz w:val="21"/>
                <w:szCs w:val="21"/>
              </w:rPr>
            </w:pPr>
            <w:r>
              <w:rPr>
                <w:rFonts w:hint="eastAsia"/>
                <w:color w:val="auto"/>
                <w:sz w:val="21"/>
                <w:szCs w:val="21"/>
              </w:rPr>
              <w:t>1</w:t>
            </w:r>
          </w:p>
        </w:tc>
        <w:tc>
          <w:tcPr>
            <w:tcW w:w="800" w:type="pct"/>
            <w:vAlign w:val="center"/>
          </w:tcPr>
          <w:p w14:paraId="28319139">
            <w:pPr>
              <w:widowControl w:val="0"/>
              <w:spacing w:line="360" w:lineRule="exact"/>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127" w:type="pct"/>
            <w:vAlign w:val="center"/>
          </w:tcPr>
          <w:p w14:paraId="109CF2E7">
            <w:pPr>
              <w:widowControl w:val="0"/>
              <w:spacing w:line="360" w:lineRule="exact"/>
              <w:jc w:val="center"/>
              <w:rPr>
                <w:color w:val="auto"/>
                <w:sz w:val="21"/>
                <w:szCs w:val="21"/>
              </w:rPr>
            </w:pPr>
            <w:r>
              <w:rPr>
                <w:rFonts w:hint="eastAsia"/>
                <w:color w:val="auto"/>
                <w:sz w:val="21"/>
                <w:szCs w:val="21"/>
              </w:rPr>
              <w:t>小于空气密度</w:t>
            </w:r>
          </w:p>
        </w:tc>
        <w:tc>
          <w:tcPr>
            <w:tcW w:w="859" w:type="pct"/>
            <w:vAlign w:val="center"/>
          </w:tcPr>
          <w:p w14:paraId="701F4E6C">
            <w:pPr>
              <w:widowControl w:val="0"/>
              <w:spacing w:line="360" w:lineRule="exact"/>
              <w:jc w:val="center"/>
              <w:rPr>
                <w:color w:val="auto"/>
                <w:sz w:val="21"/>
                <w:szCs w:val="21"/>
              </w:rPr>
            </w:pPr>
            <w:r>
              <w:rPr>
                <w:rFonts w:hint="eastAsia"/>
                <w:color w:val="auto"/>
                <w:sz w:val="21"/>
                <w:szCs w:val="21"/>
              </w:rPr>
              <w:t>轻质</w:t>
            </w:r>
          </w:p>
        </w:tc>
        <w:tc>
          <w:tcPr>
            <w:tcW w:w="1671" w:type="pct"/>
            <w:vAlign w:val="center"/>
          </w:tcPr>
          <w:p w14:paraId="7C108283">
            <w:pPr>
              <w:widowControl w:val="0"/>
              <w:spacing w:line="360" w:lineRule="exact"/>
              <w:jc w:val="center"/>
              <w:rPr>
                <w:color w:val="auto"/>
                <w:sz w:val="21"/>
                <w:szCs w:val="21"/>
              </w:rPr>
            </w:pPr>
            <w:r>
              <w:rPr>
                <w:rFonts w:hint="eastAsia"/>
                <w:color w:val="auto"/>
                <w:sz w:val="21"/>
                <w:szCs w:val="21"/>
              </w:rPr>
              <w:t>氨水储罐泄漏</w:t>
            </w:r>
          </w:p>
        </w:tc>
      </w:tr>
      <w:tr w14:paraId="217B9A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41" w:type="pct"/>
            <w:vAlign w:val="center"/>
          </w:tcPr>
          <w:p w14:paraId="6326E026">
            <w:pPr>
              <w:widowControl w:val="0"/>
              <w:spacing w:line="360" w:lineRule="exact"/>
              <w:jc w:val="center"/>
              <w:rPr>
                <w:color w:val="auto"/>
                <w:sz w:val="21"/>
                <w:szCs w:val="21"/>
              </w:rPr>
            </w:pPr>
            <w:r>
              <w:rPr>
                <w:rFonts w:hint="eastAsia"/>
                <w:color w:val="auto"/>
                <w:sz w:val="21"/>
                <w:szCs w:val="21"/>
              </w:rPr>
              <w:t>2</w:t>
            </w:r>
          </w:p>
        </w:tc>
        <w:tc>
          <w:tcPr>
            <w:tcW w:w="800" w:type="pct"/>
            <w:vAlign w:val="center"/>
          </w:tcPr>
          <w:p w14:paraId="6571FEC0">
            <w:pPr>
              <w:widowControl w:val="0"/>
              <w:spacing w:line="360" w:lineRule="exact"/>
              <w:jc w:val="center"/>
              <w:rPr>
                <w:color w:val="auto"/>
                <w:sz w:val="21"/>
                <w:szCs w:val="21"/>
              </w:rPr>
            </w:pPr>
            <w:r>
              <w:rPr>
                <w:rFonts w:hint="eastAsia"/>
                <w:color w:val="auto"/>
                <w:sz w:val="21"/>
                <w:szCs w:val="21"/>
              </w:rPr>
              <w:t>CH</w:t>
            </w:r>
            <w:r>
              <w:rPr>
                <w:rFonts w:hint="eastAsia"/>
                <w:color w:val="auto"/>
                <w:sz w:val="21"/>
                <w:szCs w:val="21"/>
                <w:vertAlign w:val="subscript"/>
              </w:rPr>
              <w:t>4</w:t>
            </w:r>
          </w:p>
        </w:tc>
        <w:tc>
          <w:tcPr>
            <w:tcW w:w="1127" w:type="pct"/>
            <w:vAlign w:val="center"/>
          </w:tcPr>
          <w:p w14:paraId="6146E9A2">
            <w:pPr>
              <w:widowControl w:val="0"/>
              <w:spacing w:line="360" w:lineRule="exact"/>
              <w:jc w:val="center"/>
              <w:rPr>
                <w:color w:val="auto"/>
                <w:sz w:val="21"/>
                <w:szCs w:val="21"/>
              </w:rPr>
            </w:pPr>
            <w:r>
              <w:rPr>
                <w:rFonts w:hint="eastAsia"/>
                <w:color w:val="auto"/>
                <w:sz w:val="21"/>
                <w:szCs w:val="21"/>
              </w:rPr>
              <w:t>小于空气密度</w:t>
            </w:r>
          </w:p>
        </w:tc>
        <w:tc>
          <w:tcPr>
            <w:tcW w:w="859" w:type="pct"/>
            <w:vAlign w:val="center"/>
          </w:tcPr>
          <w:p w14:paraId="787DDC8A">
            <w:pPr>
              <w:widowControl w:val="0"/>
              <w:spacing w:line="360" w:lineRule="exact"/>
              <w:jc w:val="center"/>
              <w:rPr>
                <w:color w:val="auto"/>
                <w:sz w:val="21"/>
                <w:szCs w:val="21"/>
              </w:rPr>
            </w:pPr>
            <w:r>
              <w:rPr>
                <w:rFonts w:hint="eastAsia"/>
                <w:color w:val="auto"/>
                <w:sz w:val="21"/>
                <w:szCs w:val="21"/>
              </w:rPr>
              <w:t>轻质</w:t>
            </w:r>
          </w:p>
        </w:tc>
        <w:tc>
          <w:tcPr>
            <w:tcW w:w="1671" w:type="pct"/>
            <w:vAlign w:val="center"/>
          </w:tcPr>
          <w:p w14:paraId="0F82A188">
            <w:pPr>
              <w:widowControl w:val="0"/>
              <w:spacing w:line="360" w:lineRule="exact"/>
              <w:jc w:val="center"/>
              <w:rPr>
                <w:color w:val="auto"/>
                <w:sz w:val="21"/>
                <w:szCs w:val="21"/>
              </w:rPr>
            </w:pPr>
            <w:r>
              <w:rPr>
                <w:rFonts w:hint="eastAsia"/>
                <w:color w:val="auto"/>
                <w:sz w:val="21"/>
                <w:szCs w:val="21"/>
              </w:rPr>
              <w:t>天然气输送管道泄漏</w:t>
            </w:r>
          </w:p>
        </w:tc>
      </w:tr>
      <w:tr w14:paraId="7F3CF93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41" w:type="pct"/>
            <w:vAlign w:val="center"/>
          </w:tcPr>
          <w:p w14:paraId="1DE5CDC6">
            <w:pPr>
              <w:widowControl w:val="0"/>
              <w:spacing w:line="360" w:lineRule="exact"/>
              <w:jc w:val="center"/>
              <w:rPr>
                <w:color w:val="auto"/>
                <w:sz w:val="21"/>
                <w:szCs w:val="21"/>
              </w:rPr>
            </w:pPr>
            <w:r>
              <w:rPr>
                <w:rFonts w:hint="eastAsia"/>
                <w:color w:val="auto"/>
                <w:sz w:val="21"/>
                <w:szCs w:val="21"/>
              </w:rPr>
              <w:t>3</w:t>
            </w:r>
          </w:p>
        </w:tc>
        <w:tc>
          <w:tcPr>
            <w:tcW w:w="800" w:type="pct"/>
            <w:vAlign w:val="center"/>
          </w:tcPr>
          <w:p w14:paraId="1413ECA4">
            <w:pPr>
              <w:widowControl w:val="0"/>
              <w:spacing w:line="360" w:lineRule="exact"/>
              <w:jc w:val="center"/>
              <w:rPr>
                <w:color w:val="auto"/>
                <w:sz w:val="21"/>
                <w:szCs w:val="21"/>
              </w:rPr>
            </w:pPr>
            <w:r>
              <w:rPr>
                <w:rFonts w:hint="eastAsia"/>
                <w:color w:val="auto"/>
                <w:sz w:val="21"/>
                <w:szCs w:val="21"/>
              </w:rPr>
              <w:t>次生CO</w:t>
            </w:r>
          </w:p>
        </w:tc>
        <w:tc>
          <w:tcPr>
            <w:tcW w:w="1127" w:type="pct"/>
            <w:vAlign w:val="center"/>
          </w:tcPr>
          <w:p w14:paraId="5B69FC89">
            <w:pPr>
              <w:widowControl w:val="0"/>
              <w:spacing w:line="360" w:lineRule="exact"/>
              <w:jc w:val="center"/>
              <w:rPr>
                <w:color w:val="auto"/>
                <w:sz w:val="21"/>
                <w:szCs w:val="21"/>
              </w:rPr>
            </w:pPr>
            <w:r>
              <w:rPr>
                <w:rFonts w:hint="eastAsia"/>
                <w:color w:val="auto"/>
                <w:sz w:val="21"/>
                <w:szCs w:val="21"/>
              </w:rPr>
              <w:t>小于空气密度</w:t>
            </w:r>
          </w:p>
        </w:tc>
        <w:tc>
          <w:tcPr>
            <w:tcW w:w="859" w:type="pct"/>
            <w:vAlign w:val="center"/>
          </w:tcPr>
          <w:p w14:paraId="0C09ED03">
            <w:pPr>
              <w:widowControl w:val="0"/>
              <w:spacing w:line="360" w:lineRule="exact"/>
              <w:jc w:val="center"/>
              <w:rPr>
                <w:color w:val="auto"/>
                <w:sz w:val="21"/>
                <w:szCs w:val="21"/>
              </w:rPr>
            </w:pPr>
            <w:r>
              <w:rPr>
                <w:rFonts w:hint="eastAsia"/>
                <w:color w:val="auto"/>
                <w:sz w:val="21"/>
                <w:szCs w:val="21"/>
              </w:rPr>
              <w:t>轻质</w:t>
            </w:r>
          </w:p>
        </w:tc>
        <w:tc>
          <w:tcPr>
            <w:tcW w:w="1671" w:type="pct"/>
            <w:vAlign w:val="center"/>
          </w:tcPr>
          <w:p w14:paraId="73D64C60">
            <w:pPr>
              <w:widowControl w:val="0"/>
              <w:spacing w:line="360" w:lineRule="exact"/>
              <w:jc w:val="center"/>
              <w:rPr>
                <w:color w:val="auto"/>
                <w:sz w:val="21"/>
                <w:szCs w:val="21"/>
              </w:rPr>
            </w:pPr>
            <w:r>
              <w:rPr>
                <w:rFonts w:hint="eastAsia"/>
                <w:color w:val="auto"/>
                <w:sz w:val="21"/>
                <w:szCs w:val="21"/>
              </w:rPr>
              <w:t>天然气发生火灾燃烧产生次生CO</w:t>
            </w:r>
          </w:p>
        </w:tc>
      </w:tr>
    </w:tbl>
    <w:p w14:paraId="61323E19">
      <w:pPr>
        <w:autoSpaceDE w:val="0"/>
        <w:autoSpaceDN w:val="0"/>
        <w:adjustRightInd w:val="0"/>
        <w:spacing w:line="240" w:lineRule="exact"/>
        <w:rPr>
          <w:rFonts w:ascii="黑体"/>
          <w:bCs/>
          <w:color w:val="auto"/>
          <w:szCs w:val="28"/>
          <w:lang w:val="zh-CN"/>
        </w:rPr>
      </w:pPr>
    </w:p>
    <w:p w14:paraId="5F85340D">
      <w:pPr>
        <w:keepNext/>
        <w:keepLines/>
        <w:numPr>
          <w:ilvl w:val="3"/>
          <w:numId w:val="1"/>
        </w:numPr>
        <w:spacing w:line="360" w:lineRule="auto"/>
        <w:outlineLvl w:val="3"/>
        <w:rPr>
          <w:b/>
          <w:bCs/>
          <w:color w:val="auto"/>
          <w:sz w:val="24"/>
          <w:szCs w:val="28"/>
        </w:rPr>
      </w:pPr>
      <w:r>
        <w:rPr>
          <w:rFonts w:hint="eastAsia"/>
          <w:b/>
          <w:bCs/>
          <w:color w:val="auto"/>
          <w:sz w:val="24"/>
          <w:szCs w:val="28"/>
        </w:rPr>
        <w:t>事故源参数</w:t>
      </w:r>
    </w:p>
    <w:p w14:paraId="142AB0F0">
      <w:pPr>
        <w:spacing w:before="163" w:after="163" w:line="360" w:lineRule="auto"/>
        <w:ind w:firstLine="480" w:firstLineChars="200"/>
        <w:jc w:val="both"/>
        <w:rPr>
          <w:color w:val="auto"/>
          <w:sz w:val="24"/>
          <w:szCs w:val="24"/>
        </w:rPr>
      </w:pPr>
      <w:r>
        <w:rPr>
          <w:rFonts w:hint="eastAsia"/>
          <w:color w:val="auto"/>
          <w:sz w:val="24"/>
          <w:szCs w:val="24"/>
        </w:rPr>
        <w:t>本项目事故源强见</w:t>
      </w:r>
      <w:r>
        <w:rPr>
          <w:rFonts w:hint="eastAsia"/>
          <w:color w:val="auto"/>
          <w:sz w:val="24"/>
          <w:szCs w:val="24"/>
        </w:rPr>
        <w:fldChar w:fldCharType="begin"/>
      </w:r>
      <w:r>
        <w:instrText xml:space="preserve"> REF _Ref11077 \h  \* MERGEFORMAT</w:instrText>
      </w:r>
      <w:r>
        <w:rPr>
          <w:rFonts w:hint="eastAsia"/>
          <w:color w:val="auto"/>
          <w:sz w:val="24"/>
          <w:szCs w:val="24"/>
        </w:rPr>
        <w:fldChar w:fldCharType="separate"/>
      </w:r>
      <w:r>
        <w:rPr>
          <w:rFonts w:hint="eastAsia"/>
          <w:color w:val="auto"/>
          <w:sz w:val="24"/>
          <w:szCs w:val="24"/>
        </w:rPr>
        <w:t>表 7.7-2</w:t>
      </w:r>
      <w:r>
        <w:rPr>
          <w:rFonts w:hint="eastAsia"/>
          <w:color w:val="auto"/>
          <w:sz w:val="24"/>
          <w:szCs w:val="24"/>
        </w:rPr>
        <w:fldChar w:fldCharType="end"/>
      </w:r>
      <w:r>
        <w:rPr>
          <w:rFonts w:hint="eastAsia"/>
          <w:color w:val="auto"/>
          <w:sz w:val="24"/>
          <w:szCs w:val="24"/>
        </w:rPr>
        <w:t>。</w:t>
      </w:r>
    </w:p>
    <w:p w14:paraId="44D2B556">
      <w:pPr>
        <w:spacing w:before="163" w:beforeLines="50"/>
        <w:jc w:val="center"/>
        <w:rPr>
          <w:rFonts w:eastAsia="黑体"/>
          <w:color w:val="auto"/>
          <w:sz w:val="23"/>
          <w:szCs w:val="24"/>
        </w:rPr>
      </w:pPr>
      <w:bookmarkStart w:id="396" w:name="_Ref11077"/>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7.7</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2</w:t>
      </w:r>
      <w:r>
        <w:rPr>
          <w:rFonts w:eastAsia="黑体"/>
          <w:color w:val="auto"/>
          <w:sz w:val="23"/>
          <w:szCs w:val="24"/>
        </w:rPr>
        <w:fldChar w:fldCharType="end"/>
      </w:r>
      <w:bookmarkEnd w:id="396"/>
      <w:r>
        <w:rPr>
          <w:rFonts w:hint="eastAsia" w:eastAsia="黑体"/>
          <w:color w:val="auto"/>
          <w:sz w:val="23"/>
          <w:szCs w:val="24"/>
        </w:rPr>
        <w:t xml:space="preserve">  事故源强一览表</w:t>
      </w:r>
    </w:p>
    <w:tbl>
      <w:tblPr>
        <w:tblStyle w:val="1937"/>
        <w:tblW w:w="4954"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632"/>
        <w:gridCol w:w="1101"/>
        <w:gridCol w:w="922"/>
        <w:gridCol w:w="830"/>
        <w:gridCol w:w="999"/>
        <w:gridCol w:w="1407"/>
        <w:gridCol w:w="1407"/>
        <w:gridCol w:w="1407"/>
      </w:tblGrid>
      <w:tr w14:paraId="5E2EBE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63" w:type="pct"/>
            <w:vAlign w:val="center"/>
          </w:tcPr>
          <w:p w14:paraId="62838F63">
            <w:pPr>
              <w:widowControl w:val="0"/>
              <w:spacing w:line="360" w:lineRule="exact"/>
              <w:jc w:val="center"/>
              <w:rPr>
                <w:color w:val="auto"/>
                <w:sz w:val="21"/>
                <w:szCs w:val="21"/>
              </w:rPr>
            </w:pPr>
            <w:r>
              <w:rPr>
                <w:rFonts w:hint="eastAsia"/>
                <w:color w:val="auto"/>
                <w:sz w:val="21"/>
                <w:szCs w:val="21"/>
              </w:rPr>
              <w:t>序号</w:t>
            </w:r>
          </w:p>
        </w:tc>
        <w:tc>
          <w:tcPr>
            <w:tcW w:w="632" w:type="pct"/>
            <w:vAlign w:val="center"/>
          </w:tcPr>
          <w:p w14:paraId="6C20BF6D">
            <w:pPr>
              <w:widowControl w:val="0"/>
              <w:spacing w:line="360" w:lineRule="exact"/>
              <w:jc w:val="center"/>
              <w:rPr>
                <w:color w:val="auto"/>
                <w:sz w:val="21"/>
                <w:szCs w:val="21"/>
              </w:rPr>
            </w:pPr>
            <w:r>
              <w:rPr>
                <w:rFonts w:hint="eastAsia"/>
                <w:color w:val="auto"/>
                <w:sz w:val="21"/>
                <w:szCs w:val="21"/>
              </w:rPr>
              <w:t>风险情形</w:t>
            </w:r>
          </w:p>
        </w:tc>
        <w:tc>
          <w:tcPr>
            <w:tcW w:w="529" w:type="pct"/>
            <w:vAlign w:val="center"/>
          </w:tcPr>
          <w:p w14:paraId="3F5C991B">
            <w:pPr>
              <w:widowControl w:val="0"/>
              <w:spacing w:line="360" w:lineRule="exact"/>
              <w:jc w:val="center"/>
              <w:rPr>
                <w:color w:val="auto"/>
                <w:sz w:val="21"/>
                <w:szCs w:val="21"/>
              </w:rPr>
            </w:pPr>
            <w:r>
              <w:rPr>
                <w:color w:val="auto"/>
                <w:sz w:val="21"/>
                <w:szCs w:val="21"/>
              </w:rPr>
              <w:t>危险单元</w:t>
            </w:r>
          </w:p>
        </w:tc>
        <w:tc>
          <w:tcPr>
            <w:tcW w:w="476" w:type="pct"/>
            <w:vAlign w:val="center"/>
          </w:tcPr>
          <w:p w14:paraId="5E6A78D9">
            <w:pPr>
              <w:widowControl w:val="0"/>
              <w:spacing w:line="360" w:lineRule="exact"/>
              <w:jc w:val="center"/>
              <w:rPr>
                <w:color w:val="auto"/>
                <w:sz w:val="21"/>
                <w:szCs w:val="21"/>
              </w:rPr>
            </w:pPr>
            <w:r>
              <w:rPr>
                <w:color w:val="auto"/>
                <w:sz w:val="21"/>
                <w:szCs w:val="21"/>
              </w:rPr>
              <w:t>危险</w:t>
            </w:r>
          </w:p>
          <w:p w14:paraId="35AB0715">
            <w:pPr>
              <w:widowControl w:val="0"/>
              <w:spacing w:line="360" w:lineRule="exact"/>
              <w:jc w:val="center"/>
              <w:rPr>
                <w:color w:val="auto"/>
                <w:sz w:val="21"/>
                <w:szCs w:val="21"/>
              </w:rPr>
            </w:pPr>
            <w:r>
              <w:rPr>
                <w:color w:val="auto"/>
                <w:sz w:val="21"/>
                <w:szCs w:val="21"/>
              </w:rPr>
              <w:t>物质</w:t>
            </w:r>
          </w:p>
        </w:tc>
        <w:tc>
          <w:tcPr>
            <w:tcW w:w="573" w:type="pct"/>
            <w:vAlign w:val="center"/>
          </w:tcPr>
          <w:p w14:paraId="7D3B79D5">
            <w:pPr>
              <w:widowControl w:val="0"/>
              <w:spacing w:line="360" w:lineRule="exact"/>
              <w:jc w:val="center"/>
              <w:rPr>
                <w:color w:val="auto"/>
                <w:sz w:val="21"/>
                <w:szCs w:val="21"/>
              </w:rPr>
            </w:pPr>
            <w:r>
              <w:rPr>
                <w:color w:val="auto"/>
                <w:sz w:val="21"/>
                <w:szCs w:val="21"/>
              </w:rPr>
              <w:t>影响途径</w:t>
            </w:r>
          </w:p>
        </w:tc>
        <w:tc>
          <w:tcPr>
            <w:tcW w:w="807" w:type="pct"/>
            <w:vAlign w:val="center"/>
          </w:tcPr>
          <w:p w14:paraId="6DBDCBF9">
            <w:pPr>
              <w:widowControl w:val="0"/>
              <w:spacing w:line="360" w:lineRule="exact"/>
              <w:jc w:val="center"/>
              <w:rPr>
                <w:color w:val="auto"/>
                <w:sz w:val="21"/>
                <w:szCs w:val="21"/>
              </w:rPr>
            </w:pPr>
            <w:r>
              <w:rPr>
                <w:color w:val="auto"/>
                <w:sz w:val="21"/>
                <w:szCs w:val="21"/>
              </w:rPr>
              <w:t>释放</w:t>
            </w:r>
            <w:r>
              <w:rPr>
                <w:rFonts w:hint="eastAsia"/>
                <w:color w:val="auto"/>
                <w:sz w:val="21"/>
                <w:szCs w:val="21"/>
              </w:rPr>
              <w:t>/</w:t>
            </w:r>
            <w:r>
              <w:rPr>
                <w:color w:val="auto"/>
                <w:sz w:val="21"/>
                <w:szCs w:val="21"/>
              </w:rPr>
              <w:t>泄漏速率</w:t>
            </w:r>
            <w:r>
              <w:rPr>
                <w:rFonts w:hint="eastAsia"/>
                <w:color w:val="auto"/>
                <w:sz w:val="21"/>
                <w:szCs w:val="21"/>
              </w:rPr>
              <w:t>kg/s</w:t>
            </w:r>
          </w:p>
        </w:tc>
        <w:tc>
          <w:tcPr>
            <w:tcW w:w="807" w:type="pct"/>
            <w:vAlign w:val="center"/>
          </w:tcPr>
          <w:p w14:paraId="2547095E">
            <w:pPr>
              <w:widowControl w:val="0"/>
              <w:spacing w:line="360" w:lineRule="exact"/>
              <w:jc w:val="center"/>
              <w:rPr>
                <w:color w:val="auto"/>
                <w:sz w:val="21"/>
                <w:szCs w:val="21"/>
              </w:rPr>
            </w:pPr>
            <w:r>
              <w:rPr>
                <w:rFonts w:hint="eastAsia"/>
                <w:color w:val="auto"/>
                <w:sz w:val="21"/>
                <w:szCs w:val="21"/>
              </w:rPr>
              <w:t>释放或泄漏时间</w:t>
            </w:r>
            <w:r>
              <w:rPr>
                <w:color w:val="auto"/>
                <w:sz w:val="21"/>
                <w:szCs w:val="21"/>
              </w:rPr>
              <w:t>/min</w:t>
            </w:r>
          </w:p>
        </w:tc>
        <w:tc>
          <w:tcPr>
            <w:tcW w:w="807" w:type="pct"/>
            <w:vAlign w:val="center"/>
          </w:tcPr>
          <w:p w14:paraId="313F2302">
            <w:pPr>
              <w:widowControl w:val="0"/>
              <w:spacing w:line="360" w:lineRule="exact"/>
              <w:jc w:val="center"/>
              <w:rPr>
                <w:color w:val="auto"/>
                <w:sz w:val="21"/>
                <w:szCs w:val="21"/>
              </w:rPr>
            </w:pPr>
            <w:r>
              <w:rPr>
                <w:color w:val="auto"/>
                <w:sz w:val="21"/>
                <w:szCs w:val="21"/>
              </w:rPr>
              <w:t>次生污染物速率</w:t>
            </w:r>
            <w:r>
              <w:rPr>
                <w:rFonts w:hint="eastAsia"/>
                <w:color w:val="auto"/>
                <w:sz w:val="21"/>
                <w:szCs w:val="21"/>
              </w:rPr>
              <w:t>kg/s</w:t>
            </w:r>
          </w:p>
        </w:tc>
      </w:tr>
      <w:tr w14:paraId="1FF0BC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63" w:type="pct"/>
            <w:vAlign w:val="center"/>
          </w:tcPr>
          <w:p w14:paraId="4253AAC2">
            <w:pPr>
              <w:widowControl w:val="0"/>
              <w:spacing w:line="360" w:lineRule="exact"/>
              <w:jc w:val="center"/>
              <w:rPr>
                <w:color w:val="auto"/>
                <w:sz w:val="21"/>
                <w:szCs w:val="21"/>
              </w:rPr>
            </w:pPr>
            <w:r>
              <w:rPr>
                <w:rFonts w:hint="eastAsia"/>
                <w:color w:val="auto"/>
                <w:sz w:val="21"/>
                <w:szCs w:val="21"/>
              </w:rPr>
              <w:t>1</w:t>
            </w:r>
          </w:p>
        </w:tc>
        <w:tc>
          <w:tcPr>
            <w:tcW w:w="632" w:type="pct"/>
            <w:vAlign w:val="center"/>
          </w:tcPr>
          <w:p w14:paraId="1ECABBE1">
            <w:pPr>
              <w:widowControl w:val="0"/>
              <w:spacing w:line="360" w:lineRule="exact"/>
              <w:jc w:val="center"/>
              <w:rPr>
                <w:color w:val="auto"/>
                <w:sz w:val="21"/>
                <w:szCs w:val="21"/>
              </w:rPr>
            </w:pPr>
            <w:r>
              <w:rPr>
                <w:rFonts w:hint="eastAsia"/>
                <w:color w:val="auto"/>
                <w:sz w:val="21"/>
                <w:szCs w:val="21"/>
              </w:rPr>
              <w:t>天然气泄漏、火灾</w:t>
            </w:r>
          </w:p>
        </w:tc>
        <w:tc>
          <w:tcPr>
            <w:tcW w:w="529" w:type="pct"/>
            <w:vAlign w:val="center"/>
          </w:tcPr>
          <w:p w14:paraId="629673B0">
            <w:pPr>
              <w:widowControl w:val="0"/>
              <w:spacing w:line="360" w:lineRule="exact"/>
              <w:jc w:val="center"/>
              <w:rPr>
                <w:color w:val="auto"/>
                <w:sz w:val="21"/>
                <w:szCs w:val="21"/>
              </w:rPr>
            </w:pPr>
            <w:r>
              <w:rPr>
                <w:rFonts w:hint="eastAsia"/>
                <w:color w:val="auto"/>
                <w:sz w:val="21"/>
                <w:szCs w:val="21"/>
              </w:rPr>
              <w:t>危险废物处置车间</w:t>
            </w:r>
          </w:p>
        </w:tc>
        <w:tc>
          <w:tcPr>
            <w:tcW w:w="476" w:type="pct"/>
            <w:vAlign w:val="center"/>
          </w:tcPr>
          <w:p w14:paraId="40E115AF">
            <w:pPr>
              <w:widowControl w:val="0"/>
              <w:spacing w:line="360" w:lineRule="exact"/>
              <w:jc w:val="center"/>
              <w:rPr>
                <w:color w:val="auto"/>
                <w:sz w:val="21"/>
                <w:szCs w:val="21"/>
              </w:rPr>
            </w:pPr>
            <w:r>
              <w:rPr>
                <w:rFonts w:hint="eastAsia"/>
                <w:color w:val="auto"/>
                <w:sz w:val="21"/>
                <w:szCs w:val="21"/>
              </w:rPr>
              <w:t>CH</w:t>
            </w:r>
            <w:r>
              <w:rPr>
                <w:rFonts w:hint="eastAsia"/>
                <w:color w:val="auto"/>
                <w:sz w:val="21"/>
                <w:szCs w:val="21"/>
                <w:vertAlign w:val="subscript"/>
              </w:rPr>
              <w:t>4</w:t>
            </w:r>
          </w:p>
        </w:tc>
        <w:tc>
          <w:tcPr>
            <w:tcW w:w="573" w:type="pct"/>
            <w:vAlign w:val="center"/>
          </w:tcPr>
          <w:p w14:paraId="16099FE3">
            <w:pPr>
              <w:widowControl w:val="0"/>
              <w:spacing w:line="360" w:lineRule="exact"/>
              <w:jc w:val="center"/>
              <w:rPr>
                <w:color w:val="auto"/>
                <w:sz w:val="21"/>
                <w:szCs w:val="21"/>
              </w:rPr>
            </w:pPr>
            <w:r>
              <w:rPr>
                <w:rFonts w:hint="eastAsia"/>
                <w:color w:val="auto"/>
                <w:sz w:val="21"/>
                <w:szCs w:val="21"/>
              </w:rPr>
              <w:t>大气</w:t>
            </w:r>
          </w:p>
        </w:tc>
        <w:tc>
          <w:tcPr>
            <w:tcW w:w="807" w:type="pct"/>
            <w:vAlign w:val="center"/>
          </w:tcPr>
          <w:p w14:paraId="0A477B9E">
            <w:pPr>
              <w:widowControl w:val="0"/>
              <w:spacing w:line="360" w:lineRule="exact"/>
              <w:jc w:val="center"/>
              <w:rPr>
                <w:color w:val="auto"/>
                <w:sz w:val="21"/>
                <w:szCs w:val="21"/>
              </w:rPr>
            </w:pPr>
            <w:r>
              <w:rPr>
                <w:rFonts w:hint="eastAsia"/>
                <w:color w:val="auto"/>
                <w:sz w:val="21"/>
                <w:szCs w:val="21"/>
              </w:rPr>
              <w:t>10.466</w:t>
            </w:r>
          </w:p>
        </w:tc>
        <w:tc>
          <w:tcPr>
            <w:tcW w:w="807" w:type="pct"/>
            <w:vAlign w:val="center"/>
          </w:tcPr>
          <w:p w14:paraId="735E200E">
            <w:pPr>
              <w:widowControl w:val="0"/>
              <w:spacing w:line="360" w:lineRule="exact"/>
              <w:jc w:val="center"/>
              <w:rPr>
                <w:color w:val="auto"/>
                <w:sz w:val="21"/>
                <w:szCs w:val="21"/>
              </w:rPr>
            </w:pPr>
            <w:r>
              <w:rPr>
                <w:rFonts w:hint="eastAsia"/>
                <w:color w:val="auto"/>
                <w:sz w:val="21"/>
                <w:szCs w:val="21"/>
              </w:rPr>
              <w:t>30</w:t>
            </w:r>
          </w:p>
        </w:tc>
        <w:tc>
          <w:tcPr>
            <w:tcW w:w="807" w:type="pct"/>
            <w:vAlign w:val="center"/>
          </w:tcPr>
          <w:p w14:paraId="7D00BA1C">
            <w:pPr>
              <w:widowControl w:val="0"/>
              <w:spacing w:line="360" w:lineRule="exact"/>
              <w:jc w:val="center"/>
              <w:rPr>
                <w:color w:val="auto"/>
                <w:sz w:val="21"/>
                <w:szCs w:val="21"/>
              </w:rPr>
            </w:pPr>
            <w:r>
              <w:rPr>
                <w:rFonts w:hint="eastAsia"/>
                <w:color w:val="auto"/>
                <w:sz w:val="21"/>
                <w:szCs w:val="21"/>
              </w:rPr>
              <w:t>CO：0.716</w:t>
            </w:r>
          </w:p>
        </w:tc>
      </w:tr>
    </w:tbl>
    <w:p w14:paraId="7173F696">
      <w:pPr>
        <w:autoSpaceDE w:val="0"/>
        <w:autoSpaceDN w:val="0"/>
        <w:adjustRightInd w:val="0"/>
        <w:spacing w:line="240" w:lineRule="exact"/>
        <w:rPr>
          <w:rFonts w:ascii="黑体"/>
          <w:bCs/>
          <w:color w:val="auto"/>
          <w:szCs w:val="28"/>
          <w:lang w:val="zh-CN"/>
        </w:rPr>
      </w:pPr>
    </w:p>
    <w:p w14:paraId="08C7CFEE">
      <w:pPr>
        <w:keepNext/>
        <w:keepLines/>
        <w:numPr>
          <w:ilvl w:val="3"/>
          <w:numId w:val="1"/>
        </w:numPr>
        <w:spacing w:line="360" w:lineRule="auto"/>
        <w:outlineLvl w:val="3"/>
        <w:rPr>
          <w:b/>
          <w:bCs/>
          <w:color w:val="auto"/>
          <w:sz w:val="24"/>
          <w:szCs w:val="28"/>
        </w:rPr>
      </w:pPr>
      <w:r>
        <w:rPr>
          <w:rFonts w:hint="eastAsia"/>
          <w:b/>
          <w:bCs/>
          <w:color w:val="auto"/>
          <w:sz w:val="24"/>
          <w:szCs w:val="28"/>
        </w:rPr>
        <w:t>气象参数</w:t>
      </w:r>
    </w:p>
    <w:p w14:paraId="7480A59D">
      <w:pPr>
        <w:spacing w:line="360" w:lineRule="auto"/>
        <w:ind w:firstLine="480" w:firstLineChars="200"/>
        <w:jc w:val="both"/>
        <w:rPr>
          <w:color w:val="auto"/>
          <w:sz w:val="24"/>
          <w:szCs w:val="24"/>
        </w:rPr>
      </w:pPr>
      <w:r>
        <w:rPr>
          <w:rFonts w:hint="eastAsia"/>
          <w:color w:val="auto"/>
          <w:sz w:val="24"/>
          <w:szCs w:val="24"/>
        </w:rPr>
        <w:t xml:space="preserve">本项目环境风险评价等级为一级，选取最不利气象条件及事故发生地的最常见气象条件分别进行后果预测。其中最不利气象条件取 F类稳定度，1.5 m/s 风速，温度 25  ℃，相对湿度 50%；最常见气象条件由当地近 3 </w:t>
      </w:r>
      <w:r>
        <w:rPr>
          <w:rFonts w:hint="eastAsia"/>
          <w:color w:val="auto"/>
          <w:sz w:val="24"/>
          <w:szCs w:val="24"/>
          <w:lang w:eastAsia="zh-CN"/>
        </w:rPr>
        <w:t>年内</w:t>
      </w:r>
      <w:r>
        <w:rPr>
          <w:rFonts w:hint="eastAsia"/>
          <w:color w:val="auto"/>
          <w:sz w:val="24"/>
          <w:szCs w:val="24"/>
        </w:rPr>
        <w:t>至少连续 1 年气象观测资料统计分析得出，出现频率最高的稳定度为F类稳定度、该稳定度下的平均风速0.98m/s、日最高平均气温33.34℃、年平均湿度58%。</w:t>
      </w:r>
    </w:p>
    <w:p w14:paraId="065E752B">
      <w:pPr>
        <w:keepNext/>
        <w:keepLines/>
        <w:numPr>
          <w:ilvl w:val="3"/>
          <w:numId w:val="1"/>
        </w:numPr>
        <w:spacing w:line="360" w:lineRule="auto"/>
        <w:outlineLvl w:val="3"/>
        <w:rPr>
          <w:b/>
          <w:bCs/>
          <w:color w:val="auto"/>
          <w:sz w:val="24"/>
          <w:szCs w:val="28"/>
        </w:rPr>
      </w:pPr>
      <w:r>
        <w:rPr>
          <w:rFonts w:hint="eastAsia"/>
          <w:b/>
          <w:bCs/>
          <w:color w:val="auto"/>
          <w:sz w:val="24"/>
          <w:szCs w:val="28"/>
        </w:rPr>
        <w:t>评价因子选取</w:t>
      </w:r>
    </w:p>
    <w:p w14:paraId="70C1B348">
      <w:pPr>
        <w:spacing w:line="360" w:lineRule="auto"/>
        <w:ind w:firstLine="480" w:firstLineChars="200"/>
        <w:jc w:val="both"/>
        <w:rPr>
          <w:color w:val="auto"/>
          <w:sz w:val="24"/>
          <w:szCs w:val="24"/>
        </w:rPr>
      </w:pPr>
      <w:r>
        <w:rPr>
          <w:rFonts w:hint="eastAsia"/>
          <w:color w:val="auto"/>
          <w:sz w:val="24"/>
          <w:szCs w:val="24"/>
        </w:rPr>
        <w:t>项目设定的最大可信事故涉及的风险物质为NH</w:t>
      </w:r>
      <w:r>
        <w:rPr>
          <w:rFonts w:hint="eastAsia"/>
          <w:color w:val="auto"/>
          <w:sz w:val="24"/>
          <w:szCs w:val="24"/>
          <w:vertAlign w:val="subscript"/>
        </w:rPr>
        <w:t>3</w:t>
      </w:r>
      <w:r>
        <w:rPr>
          <w:rFonts w:hint="eastAsia"/>
          <w:color w:val="auto"/>
          <w:sz w:val="24"/>
          <w:szCs w:val="24"/>
        </w:rPr>
        <w:t>、CH</w:t>
      </w:r>
      <w:r>
        <w:rPr>
          <w:rFonts w:hint="eastAsia"/>
          <w:color w:val="auto"/>
          <w:sz w:val="24"/>
          <w:szCs w:val="24"/>
          <w:vertAlign w:val="subscript"/>
        </w:rPr>
        <w:t>4</w:t>
      </w:r>
      <w:r>
        <w:rPr>
          <w:rFonts w:hint="eastAsia"/>
          <w:color w:val="auto"/>
          <w:sz w:val="24"/>
          <w:szCs w:val="24"/>
        </w:rPr>
        <w:t>、CO。</w:t>
      </w:r>
    </w:p>
    <w:p w14:paraId="5207C7FE">
      <w:pPr>
        <w:keepNext/>
        <w:keepLines/>
        <w:numPr>
          <w:ilvl w:val="3"/>
          <w:numId w:val="1"/>
        </w:numPr>
        <w:spacing w:line="360" w:lineRule="auto"/>
        <w:outlineLvl w:val="3"/>
        <w:rPr>
          <w:b/>
          <w:bCs/>
          <w:color w:val="auto"/>
          <w:sz w:val="24"/>
          <w:szCs w:val="28"/>
        </w:rPr>
      </w:pPr>
      <w:r>
        <w:rPr>
          <w:rFonts w:hint="eastAsia"/>
          <w:b/>
          <w:bCs/>
          <w:color w:val="auto"/>
          <w:sz w:val="24"/>
          <w:szCs w:val="28"/>
        </w:rPr>
        <w:t>预测评价标准</w:t>
      </w:r>
    </w:p>
    <w:p w14:paraId="0F90386A">
      <w:pPr>
        <w:spacing w:line="360" w:lineRule="auto"/>
        <w:ind w:firstLine="480" w:firstLineChars="200"/>
        <w:jc w:val="both"/>
        <w:rPr>
          <w:color w:val="auto"/>
          <w:sz w:val="24"/>
          <w:szCs w:val="24"/>
        </w:rPr>
      </w:pPr>
      <w:r>
        <w:rPr>
          <w:rFonts w:hint="eastAsia"/>
          <w:color w:val="auto"/>
          <w:sz w:val="24"/>
          <w:szCs w:val="24"/>
        </w:rPr>
        <w:t>预测评价标准即大气毒性终点浓度，各评价因子大气毒性终点浓度见</w:t>
      </w:r>
      <w:r>
        <w:rPr>
          <w:rStyle w:val="133"/>
          <w:rFonts w:hint="eastAsia"/>
          <w:color w:val="auto"/>
        </w:rPr>
        <w:fldChar w:fldCharType="begin"/>
      </w:r>
      <w:r>
        <w:rPr>
          <w:rStyle w:val="133"/>
          <w:rFonts w:hint="eastAsia"/>
          <w:color w:val="auto"/>
        </w:rPr>
        <w:instrText xml:space="preserve"> REF _Ref10816 \h </w:instrText>
      </w:r>
      <w:r>
        <w:rPr>
          <w:rStyle w:val="133"/>
          <w:color w:val="auto"/>
        </w:rPr>
        <w:instrText xml:space="preserve"> \* MERGEFORMAT </w:instrText>
      </w:r>
      <w:r>
        <w:rPr>
          <w:rStyle w:val="133"/>
          <w:rFonts w:hint="eastAsia"/>
          <w:color w:val="auto"/>
        </w:rPr>
        <w:fldChar w:fldCharType="separate"/>
      </w:r>
      <w:r>
        <w:rPr>
          <w:rStyle w:val="133"/>
          <w:rFonts w:hint="eastAsia"/>
          <w:color w:val="auto"/>
        </w:rPr>
        <w:t>表 7.7-3</w:t>
      </w:r>
      <w:r>
        <w:rPr>
          <w:rStyle w:val="133"/>
          <w:rFonts w:hint="eastAsia"/>
          <w:color w:val="auto"/>
        </w:rPr>
        <w:fldChar w:fldCharType="end"/>
      </w:r>
      <w:r>
        <w:rPr>
          <w:rStyle w:val="133"/>
          <w:rFonts w:hint="eastAsia"/>
          <w:color w:val="auto"/>
        </w:rPr>
        <w:t>。</w:t>
      </w:r>
    </w:p>
    <w:p w14:paraId="2AD0E585">
      <w:pPr>
        <w:spacing w:before="163" w:beforeLines="50"/>
        <w:jc w:val="center"/>
        <w:rPr>
          <w:rFonts w:eastAsia="黑体"/>
          <w:color w:val="auto"/>
          <w:sz w:val="23"/>
          <w:szCs w:val="24"/>
        </w:rPr>
      </w:pPr>
      <w:bookmarkStart w:id="397" w:name="_Ref10816"/>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7.7</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3</w:t>
      </w:r>
      <w:r>
        <w:rPr>
          <w:rFonts w:eastAsia="黑体"/>
          <w:color w:val="auto"/>
          <w:sz w:val="23"/>
          <w:szCs w:val="24"/>
        </w:rPr>
        <w:fldChar w:fldCharType="end"/>
      </w:r>
      <w:bookmarkEnd w:id="397"/>
      <w:r>
        <w:rPr>
          <w:rFonts w:hint="eastAsia" w:eastAsia="黑体"/>
          <w:color w:val="auto"/>
          <w:sz w:val="23"/>
          <w:szCs w:val="24"/>
        </w:rPr>
        <w:t xml:space="preserve">  项目有害物质大气毒性终点浓度选取一览表</w:t>
      </w:r>
    </w:p>
    <w:tbl>
      <w:tblPr>
        <w:tblStyle w:val="1937"/>
        <w:tblW w:w="5112"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713"/>
        <w:gridCol w:w="1044"/>
        <w:gridCol w:w="1490"/>
        <w:gridCol w:w="2896"/>
        <w:gridCol w:w="2840"/>
      </w:tblGrid>
      <w:tr w14:paraId="3D1200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97" w:type="pct"/>
            <w:vAlign w:val="center"/>
          </w:tcPr>
          <w:p w14:paraId="2B01DCD6">
            <w:pPr>
              <w:widowControl w:val="0"/>
              <w:spacing w:line="360" w:lineRule="exact"/>
              <w:jc w:val="center"/>
              <w:rPr>
                <w:color w:val="auto"/>
                <w:sz w:val="21"/>
                <w:szCs w:val="21"/>
              </w:rPr>
            </w:pPr>
            <w:r>
              <w:rPr>
                <w:rFonts w:hint="eastAsia"/>
                <w:color w:val="auto"/>
                <w:sz w:val="21"/>
                <w:szCs w:val="21"/>
              </w:rPr>
              <w:t>序号</w:t>
            </w:r>
          </w:p>
        </w:tc>
        <w:tc>
          <w:tcPr>
            <w:tcW w:w="581" w:type="pct"/>
            <w:vAlign w:val="center"/>
          </w:tcPr>
          <w:p w14:paraId="0181B618">
            <w:pPr>
              <w:widowControl w:val="0"/>
              <w:spacing w:line="360" w:lineRule="exact"/>
              <w:jc w:val="center"/>
              <w:rPr>
                <w:color w:val="auto"/>
                <w:sz w:val="21"/>
                <w:szCs w:val="21"/>
              </w:rPr>
            </w:pPr>
            <w:r>
              <w:rPr>
                <w:rFonts w:hint="eastAsia"/>
                <w:color w:val="auto"/>
                <w:sz w:val="21"/>
                <w:szCs w:val="21"/>
              </w:rPr>
              <w:t>物质名称</w:t>
            </w:r>
          </w:p>
        </w:tc>
        <w:tc>
          <w:tcPr>
            <w:tcW w:w="829" w:type="pct"/>
            <w:vAlign w:val="center"/>
          </w:tcPr>
          <w:p w14:paraId="68335A9B">
            <w:pPr>
              <w:widowControl w:val="0"/>
              <w:spacing w:line="360" w:lineRule="exact"/>
              <w:jc w:val="center"/>
              <w:rPr>
                <w:color w:val="auto"/>
                <w:sz w:val="21"/>
                <w:szCs w:val="21"/>
              </w:rPr>
            </w:pPr>
            <w:r>
              <w:rPr>
                <w:color w:val="auto"/>
                <w:sz w:val="21"/>
                <w:szCs w:val="21"/>
              </w:rPr>
              <w:t>CAS</w:t>
            </w:r>
            <w:r>
              <w:rPr>
                <w:rFonts w:hint="eastAsia"/>
                <w:color w:val="auto"/>
                <w:sz w:val="21"/>
                <w:szCs w:val="21"/>
              </w:rPr>
              <w:t>号</w:t>
            </w:r>
          </w:p>
        </w:tc>
        <w:tc>
          <w:tcPr>
            <w:tcW w:w="1611" w:type="pct"/>
            <w:vAlign w:val="center"/>
          </w:tcPr>
          <w:p w14:paraId="1527ECBD">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-1/</w:t>
            </w:r>
            <w:r>
              <w:rPr>
                <w:rFonts w:hint="eastAsia"/>
                <w:color w:val="auto"/>
                <w:sz w:val="21"/>
                <w:szCs w:val="21"/>
              </w:rPr>
              <w:t>（</w:t>
            </w:r>
            <w:r>
              <w:rPr>
                <w:color w:val="auto"/>
                <w:sz w:val="21"/>
                <w:szCs w:val="21"/>
              </w:rPr>
              <w:t>mg/m</w:t>
            </w:r>
            <w:r>
              <w:rPr>
                <w:color w:val="auto"/>
                <w:sz w:val="21"/>
                <w:szCs w:val="21"/>
                <w:vertAlign w:val="superscript"/>
              </w:rPr>
              <w:t>3</w:t>
            </w:r>
            <w:r>
              <w:rPr>
                <w:rFonts w:hint="eastAsia"/>
                <w:color w:val="auto"/>
                <w:sz w:val="21"/>
                <w:szCs w:val="21"/>
              </w:rPr>
              <w:t>）</w:t>
            </w:r>
          </w:p>
        </w:tc>
        <w:tc>
          <w:tcPr>
            <w:tcW w:w="1580" w:type="pct"/>
            <w:vAlign w:val="center"/>
          </w:tcPr>
          <w:p w14:paraId="37B1DA57">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-2/</w:t>
            </w:r>
            <w:r>
              <w:rPr>
                <w:rFonts w:hint="eastAsia"/>
                <w:color w:val="auto"/>
                <w:sz w:val="21"/>
                <w:szCs w:val="21"/>
              </w:rPr>
              <w:t>（</w:t>
            </w:r>
            <w:r>
              <w:rPr>
                <w:color w:val="auto"/>
                <w:sz w:val="21"/>
                <w:szCs w:val="21"/>
              </w:rPr>
              <w:t>mg/m</w:t>
            </w:r>
            <w:r>
              <w:rPr>
                <w:color w:val="auto"/>
                <w:sz w:val="21"/>
                <w:szCs w:val="21"/>
                <w:vertAlign w:val="superscript"/>
              </w:rPr>
              <w:t>3</w:t>
            </w:r>
            <w:r>
              <w:rPr>
                <w:rFonts w:hint="eastAsia"/>
                <w:color w:val="auto"/>
                <w:sz w:val="21"/>
                <w:szCs w:val="21"/>
              </w:rPr>
              <w:t>）</w:t>
            </w:r>
          </w:p>
        </w:tc>
      </w:tr>
      <w:tr w14:paraId="2B0165A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97" w:type="pct"/>
            <w:vAlign w:val="center"/>
          </w:tcPr>
          <w:p w14:paraId="76AE6C09">
            <w:pPr>
              <w:widowControl w:val="0"/>
              <w:spacing w:line="360" w:lineRule="exact"/>
              <w:jc w:val="center"/>
              <w:rPr>
                <w:color w:val="auto"/>
                <w:sz w:val="21"/>
                <w:szCs w:val="21"/>
              </w:rPr>
            </w:pPr>
            <w:r>
              <w:rPr>
                <w:rFonts w:hint="eastAsia"/>
                <w:color w:val="auto"/>
                <w:sz w:val="21"/>
                <w:szCs w:val="21"/>
              </w:rPr>
              <w:t>1</w:t>
            </w:r>
          </w:p>
        </w:tc>
        <w:tc>
          <w:tcPr>
            <w:tcW w:w="581" w:type="pct"/>
            <w:vAlign w:val="center"/>
          </w:tcPr>
          <w:p w14:paraId="1C738FC8">
            <w:pPr>
              <w:widowControl w:val="0"/>
              <w:spacing w:line="360" w:lineRule="exact"/>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829" w:type="pct"/>
            <w:vAlign w:val="center"/>
          </w:tcPr>
          <w:p w14:paraId="185F9E89">
            <w:pPr>
              <w:widowControl w:val="0"/>
              <w:spacing w:line="360" w:lineRule="exact"/>
              <w:jc w:val="center"/>
              <w:rPr>
                <w:color w:val="auto"/>
                <w:sz w:val="21"/>
                <w:szCs w:val="21"/>
              </w:rPr>
            </w:pPr>
            <w:r>
              <w:rPr>
                <w:rFonts w:hint="eastAsia"/>
                <w:color w:val="auto"/>
                <w:sz w:val="21"/>
                <w:szCs w:val="21"/>
              </w:rPr>
              <w:t xml:space="preserve">7664-41-7 </w:t>
            </w:r>
          </w:p>
        </w:tc>
        <w:tc>
          <w:tcPr>
            <w:tcW w:w="1611" w:type="pct"/>
            <w:vAlign w:val="center"/>
          </w:tcPr>
          <w:p w14:paraId="2751AE0F">
            <w:pPr>
              <w:widowControl w:val="0"/>
              <w:spacing w:line="360" w:lineRule="exact"/>
              <w:jc w:val="center"/>
              <w:rPr>
                <w:color w:val="auto"/>
                <w:sz w:val="21"/>
                <w:szCs w:val="21"/>
              </w:rPr>
            </w:pPr>
            <w:r>
              <w:rPr>
                <w:rFonts w:hint="eastAsia"/>
                <w:color w:val="auto"/>
                <w:sz w:val="21"/>
                <w:szCs w:val="21"/>
              </w:rPr>
              <w:t>770</w:t>
            </w:r>
          </w:p>
        </w:tc>
        <w:tc>
          <w:tcPr>
            <w:tcW w:w="1580" w:type="pct"/>
            <w:vAlign w:val="center"/>
          </w:tcPr>
          <w:p w14:paraId="038F4973">
            <w:pPr>
              <w:widowControl w:val="0"/>
              <w:spacing w:line="360" w:lineRule="exact"/>
              <w:jc w:val="center"/>
              <w:rPr>
                <w:color w:val="auto"/>
                <w:sz w:val="21"/>
                <w:szCs w:val="21"/>
              </w:rPr>
            </w:pPr>
            <w:r>
              <w:rPr>
                <w:rFonts w:hint="eastAsia"/>
                <w:color w:val="auto"/>
                <w:sz w:val="21"/>
                <w:szCs w:val="21"/>
              </w:rPr>
              <w:t>110</w:t>
            </w:r>
          </w:p>
        </w:tc>
      </w:tr>
      <w:tr w14:paraId="04FB74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97" w:type="pct"/>
            <w:vAlign w:val="center"/>
          </w:tcPr>
          <w:p w14:paraId="6FA52C80">
            <w:pPr>
              <w:widowControl w:val="0"/>
              <w:spacing w:line="360" w:lineRule="exact"/>
              <w:jc w:val="center"/>
              <w:rPr>
                <w:color w:val="auto"/>
                <w:sz w:val="21"/>
                <w:szCs w:val="21"/>
              </w:rPr>
            </w:pPr>
            <w:r>
              <w:rPr>
                <w:rFonts w:hint="eastAsia"/>
                <w:color w:val="auto"/>
                <w:sz w:val="21"/>
                <w:szCs w:val="21"/>
              </w:rPr>
              <w:t>2</w:t>
            </w:r>
          </w:p>
        </w:tc>
        <w:tc>
          <w:tcPr>
            <w:tcW w:w="581" w:type="pct"/>
            <w:vAlign w:val="center"/>
          </w:tcPr>
          <w:p w14:paraId="2EA9283B">
            <w:pPr>
              <w:widowControl w:val="0"/>
              <w:spacing w:line="360" w:lineRule="exact"/>
              <w:jc w:val="center"/>
              <w:rPr>
                <w:color w:val="auto"/>
                <w:sz w:val="21"/>
                <w:szCs w:val="21"/>
              </w:rPr>
            </w:pPr>
            <w:r>
              <w:rPr>
                <w:rFonts w:hint="eastAsia"/>
                <w:color w:val="auto"/>
                <w:sz w:val="21"/>
                <w:szCs w:val="21"/>
              </w:rPr>
              <w:t>CH</w:t>
            </w:r>
            <w:r>
              <w:rPr>
                <w:rFonts w:hint="eastAsia"/>
                <w:color w:val="auto"/>
                <w:sz w:val="21"/>
                <w:szCs w:val="21"/>
                <w:vertAlign w:val="subscript"/>
              </w:rPr>
              <w:t>4</w:t>
            </w:r>
          </w:p>
        </w:tc>
        <w:tc>
          <w:tcPr>
            <w:tcW w:w="829" w:type="pct"/>
            <w:vAlign w:val="center"/>
          </w:tcPr>
          <w:p w14:paraId="2A79317B">
            <w:pPr>
              <w:widowControl w:val="0"/>
              <w:spacing w:line="360" w:lineRule="exact"/>
              <w:jc w:val="center"/>
              <w:rPr>
                <w:color w:val="auto"/>
                <w:sz w:val="21"/>
                <w:szCs w:val="21"/>
              </w:rPr>
            </w:pPr>
            <w:r>
              <w:rPr>
                <w:color w:val="auto"/>
                <w:sz w:val="21"/>
                <w:szCs w:val="21"/>
              </w:rPr>
              <w:t>74-82-8</w:t>
            </w:r>
          </w:p>
        </w:tc>
        <w:tc>
          <w:tcPr>
            <w:tcW w:w="1611" w:type="pct"/>
            <w:vAlign w:val="center"/>
          </w:tcPr>
          <w:p w14:paraId="066C118E">
            <w:pPr>
              <w:widowControl w:val="0"/>
              <w:spacing w:line="360" w:lineRule="exact"/>
              <w:jc w:val="center"/>
              <w:rPr>
                <w:color w:val="auto"/>
                <w:sz w:val="21"/>
                <w:szCs w:val="21"/>
              </w:rPr>
            </w:pPr>
            <w:r>
              <w:rPr>
                <w:color w:val="auto"/>
                <w:sz w:val="21"/>
                <w:szCs w:val="21"/>
              </w:rPr>
              <w:t>260000</w:t>
            </w:r>
          </w:p>
        </w:tc>
        <w:tc>
          <w:tcPr>
            <w:tcW w:w="1580" w:type="pct"/>
            <w:vAlign w:val="center"/>
          </w:tcPr>
          <w:p w14:paraId="7AEA2E34">
            <w:pPr>
              <w:widowControl w:val="0"/>
              <w:spacing w:line="360" w:lineRule="exact"/>
              <w:jc w:val="center"/>
              <w:rPr>
                <w:color w:val="auto"/>
                <w:sz w:val="21"/>
                <w:szCs w:val="21"/>
              </w:rPr>
            </w:pPr>
            <w:r>
              <w:rPr>
                <w:color w:val="auto"/>
                <w:sz w:val="21"/>
                <w:szCs w:val="21"/>
              </w:rPr>
              <w:t>150000</w:t>
            </w:r>
          </w:p>
        </w:tc>
      </w:tr>
      <w:tr w14:paraId="42CE34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97" w:type="pct"/>
            <w:vAlign w:val="center"/>
          </w:tcPr>
          <w:p w14:paraId="3DBFBC79">
            <w:pPr>
              <w:widowControl w:val="0"/>
              <w:spacing w:line="360" w:lineRule="exact"/>
              <w:jc w:val="center"/>
              <w:rPr>
                <w:color w:val="auto"/>
                <w:sz w:val="21"/>
                <w:szCs w:val="21"/>
              </w:rPr>
            </w:pPr>
            <w:r>
              <w:rPr>
                <w:rFonts w:hint="eastAsia"/>
                <w:color w:val="auto"/>
                <w:sz w:val="21"/>
                <w:szCs w:val="21"/>
              </w:rPr>
              <w:t>3</w:t>
            </w:r>
          </w:p>
        </w:tc>
        <w:tc>
          <w:tcPr>
            <w:tcW w:w="581" w:type="pct"/>
            <w:vAlign w:val="center"/>
          </w:tcPr>
          <w:p w14:paraId="7FAE3489">
            <w:pPr>
              <w:widowControl w:val="0"/>
              <w:spacing w:line="360" w:lineRule="exact"/>
              <w:jc w:val="center"/>
              <w:rPr>
                <w:color w:val="auto"/>
                <w:sz w:val="21"/>
                <w:szCs w:val="21"/>
              </w:rPr>
            </w:pPr>
            <w:r>
              <w:rPr>
                <w:rFonts w:hint="eastAsia"/>
                <w:color w:val="auto"/>
                <w:sz w:val="21"/>
                <w:szCs w:val="21"/>
              </w:rPr>
              <w:t>CO</w:t>
            </w:r>
          </w:p>
        </w:tc>
        <w:tc>
          <w:tcPr>
            <w:tcW w:w="829" w:type="pct"/>
            <w:vAlign w:val="center"/>
          </w:tcPr>
          <w:p w14:paraId="59227004">
            <w:pPr>
              <w:widowControl w:val="0"/>
              <w:spacing w:line="360" w:lineRule="exact"/>
              <w:jc w:val="center"/>
              <w:rPr>
                <w:color w:val="auto"/>
                <w:sz w:val="21"/>
                <w:szCs w:val="21"/>
              </w:rPr>
            </w:pPr>
            <w:r>
              <w:rPr>
                <w:color w:val="auto"/>
                <w:sz w:val="21"/>
                <w:szCs w:val="21"/>
              </w:rPr>
              <w:t>630-08-0</w:t>
            </w:r>
          </w:p>
        </w:tc>
        <w:tc>
          <w:tcPr>
            <w:tcW w:w="1611" w:type="pct"/>
            <w:vAlign w:val="center"/>
          </w:tcPr>
          <w:p w14:paraId="19303A39">
            <w:pPr>
              <w:widowControl w:val="0"/>
              <w:spacing w:line="360" w:lineRule="exact"/>
              <w:jc w:val="center"/>
              <w:rPr>
                <w:color w:val="auto"/>
                <w:sz w:val="21"/>
                <w:szCs w:val="21"/>
              </w:rPr>
            </w:pPr>
            <w:r>
              <w:rPr>
                <w:rFonts w:hint="eastAsia"/>
                <w:color w:val="auto"/>
                <w:sz w:val="21"/>
                <w:szCs w:val="21"/>
              </w:rPr>
              <w:t>380</w:t>
            </w:r>
          </w:p>
        </w:tc>
        <w:tc>
          <w:tcPr>
            <w:tcW w:w="1580" w:type="pct"/>
            <w:vAlign w:val="center"/>
          </w:tcPr>
          <w:p w14:paraId="6A365E58">
            <w:pPr>
              <w:widowControl w:val="0"/>
              <w:spacing w:line="360" w:lineRule="exact"/>
              <w:jc w:val="center"/>
              <w:rPr>
                <w:color w:val="auto"/>
                <w:sz w:val="21"/>
                <w:szCs w:val="21"/>
              </w:rPr>
            </w:pPr>
            <w:r>
              <w:rPr>
                <w:rFonts w:hint="eastAsia"/>
                <w:color w:val="auto"/>
                <w:sz w:val="21"/>
                <w:szCs w:val="21"/>
              </w:rPr>
              <w:t>95</w:t>
            </w:r>
          </w:p>
        </w:tc>
      </w:tr>
    </w:tbl>
    <w:p w14:paraId="7BB9621C">
      <w:pPr>
        <w:autoSpaceDE w:val="0"/>
        <w:autoSpaceDN w:val="0"/>
        <w:adjustRightInd w:val="0"/>
        <w:spacing w:line="240" w:lineRule="exact"/>
        <w:rPr>
          <w:rFonts w:hint="eastAsia" w:ascii="宋体" w:hAnsi="宋体"/>
          <w:bCs/>
          <w:color w:val="auto"/>
          <w:szCs w:val="28"/>
          <w:lang w:val="zh-CN"/>
        </w:rPr>
      </w:pPr>
      <w:r>
        <w:rPr>
          <w:rFonts w:hint="eastAsia" w:ascii="黑体"/>
          <w:bCs/>
          <w:color w:val="auto"/>
          <w:szCs w:val="28"/>
          <w:lang w:val="zh-CN"/>
        </w:rPr>
        <w:t xml:space="preserve"> </w:t>
      </w:r>
    </w:p>
    <w:p w14:paraId="11F5BAD8">
      <w:pPr>
        <w:spacing w:line="360" w:lineRule="auto"/>
        <w:ind w:firstLine="480" w:firstLineChars="200"/>
        <w:jc w:val="both"/>
        <w:rPr>
          <w:color w:val="auto"/>
          <w:sz w:val="24"/>
          <w:szCs w:val="24"/>
        </w:rPr>
      </w:pPr>
      <w:r>
        <w:rPr>
          <w:rFonts w:hint="eastAsia"/>
          <w:color w:val="auto"/>
          <w:sz w:val="24"/>
          <w:szCs w:val="24"/>
        </w:rPr>
        <w:t>其中“毒性终点浓度-1”为当大气中危险物质浓度低于该限值时，绝大多数人员暴露1h不会对生命造成威胁，当超过该限值时，有可能对人群造成生命威胁；“毒性终点浓度-2”为当大气中危险物质浓度低于该限值时，暴露1h一般不会对人体造成不可逆的伤害，或出现的症状一般不会损伤该个体采取有效防护措施的能力。</w:t>
      </w:r>
    </w:p>
    <w:p w14:paraId="1B0DAEE3">
      <w:pPr>
        <w:keepNext/>
        <w:keepLines/>
        <w:numPr>
          <w:ilvl w:val="3"/>
          <w:numId w:val="1"/>
        </w:numPr>
        <w:spacing w:line="360" w:lineRule="auto"/>
        <w:ind w:left="142"/>
        <w:outlineLvl w:val="3"/>
        <w:rPr>
          <w:b/>
          <w:bCs/>
          <w:color w:val="auto"/>
          <w:sz w:val="24"/>
          <w:szCs w:val="28"/>
        </w:rPr>
      </w:pPr>
      <w:r>
        <w:rPr>
          <w:rFonts w:hint="eastAsia"/>
          <w:b/>
          <w:bCs/>
          <w:color w:val="auto"/>
          <w:sz w:val="24"/>
          <w:szCs w:val="28"/>
        </w:rPr>
        <w:t>预测结果</w:t>
      </w:r>
    </w:p>
    <w:p w14:paraId="76FAF9B4">
      <w:pPr>
        <w:spacing w:line="360" w:lineRule="auto"/>
        <w:ind w:firstLine="480" w:firstLineChars="200"/>
        <w:jc w:val="both"/>
        <w:rPr>
          <w:color w:val="auto"/>
          <w:sz w:val="24"/>
          <w:szCs w:val="24"/>
        </w:rPr>
      </w:pPr>
      <w:r>
        <w:rPr>
          <w:color w:val="auto"/>
          <w:sz w:val="24"/>
          <w:szCs w:val="24"/>
        </w:rPr>
        <w:t>（</w:t>
      </w:r>
      <w:r>
        <w:rPr>
          <w:rFonts w:hint="eastAsia"/>
          <w:color w:val="auto"/>
          <w:sz w:val="24"/>
          <w:szCs w:val="24"/>
        </w:rPr>
        <w:t>1</w:t>
      </w:r>
      <w:r>
        <w:rPr>
          <w:color w:val="auto"/>
          <w:sz w:val="24"/>
          <w:szCs w:val="24"/>
        </w:rPr>
        <w:t>）</w:t>
      </w:r>
      <w:r>
        <w:rPr>
          <w:rFonts w:hint="eastAsia"/>
          <w:color w:val="auto"/>
          <w:sz w:val="24"/>
          <w:szCs w:val="24"/>
        </w:rPr>
        <w:t>氨水泄漏</w:t>
      </w:r>
    </w:p>
    <w:p w14:paraId="154A53EC">
      <w:pPr>
        <w:spacing w:line="360" w:lineRule="auto"/>
        <w:ind w:firstLine="480" w:firstLineChars="200"/>
        <w:jc w:val="both"/>
        <w:rPr>
          <w:color w:val="auto"/>
          <w:sz w:val="24"/>
          <w:szCs w:val="24"/>
        </w:rPr>
      </w:pPr>
      <w:r>
        <w:rPr>
          <w:color w:val="auto"/>
          <w:sz w:val="24"/>
          <w:szCs w:val="24"/>
        </w:rPr>
        <w:t>经多烟团模式AFTOX模型预测，</w:t>
      </w:r>
      <w:r>
        <w:rPr>
          <w:rFonts w:hint="eastAsia"/>
          <w:color w:val="auto"/>
          <w:sz w:val="24"/>
          <w:szCs w:val="24"/>
        </w:rPr>
        <w:t>泄漏</w:t>
      </w:r>
      <w:r>
        <w:rPr>
          <w:color w:val="auto"/>
          <w:sz w:val="24"/>
          <w:szCs w:val="24"/>
        </w:rPr>
        <w:t>事故中，</w:t>
      </w:r>
      <w:r>
        <w:rPr>
          <w:rFonts w:hint="eastAsia"/>
          <w:color w:val="auto"/>
          <w:sz w:val="24"/>
          <w:szCs w:val="24"/>
        </w:rPr>
        <w:t>常规气象条件下氨的“毒性终点浓度-1”和“毒性终点浓度-2”均无对应位置；此范围内不涉及敏感保护目标，对敏感目标基本没有影响。</w:t>
      </w:r>
    </w:p>
    <w:p w14:paraId="5F823D01">
      <w:pPr>
        <w:spacing w:line="360" w:lineRule="auto"/>
        <w:ind w:firstLine="480" w:firstLineChars="200"/>
        <w:jc w:val="both"/>
        <w:rPr>
          <w:color w:val="auto"/>
          <w:sz w:val="24"/>
          <w:szCs w:val="24"/>
        </w:rPr>
      </w:pPr>
      <w:r>
        <w:rPr>
          <w:rFonts w:hint="eastAsia"/>
          <w:color w:val="auto"/>
          <w:sz w:val="24"/>
          <w:szCs w:val="24"/>
        </w:rPr>
        <w:t>轴线最大浓度见</w:t>
      </w:r>
      <w:r>
        <w:rPr>
          <w:rFonts w:hint="eastAsia"/>
          <w:color w:val="auto"/>
          <w:sz w:val="24"/>
          <w:szCs w:val="24"/>
        </w:rPr>
        <w:fldChar w:fldCharType="begin"/>
      </w:r>
      <w:r>
        <w:instrText xml:space="preserve"> REF _Ref10565 \h  \* MERGEFORMAT</w:instrText>
      </w:r>
      <w:r>
        <w:rPr>
          <w:rFonts w:hint="eastAsia"/>
          <w:color w:val="auto"/>
          <w:sz w:val="24"/>
          <w:szCs w:val="24"/>
        </w:rPr>
        <w:fldChar w:fldCharType="separate"/>
      </w:r>
      <w:r>
        <w:rPr>
          <w:rFonts w:hint="eastAsia"/>
          <w:color w:val="auto"/>
          <w:sz w:val="24"/>
          <w:szCs w:val="24"/>
        </w:rPr>
        <w:t>表7.7-4</w:t>
      </w:r>
      <w:r>
        <w:rPr>
          <w:rFonts w:hint="eastAsia"/>
          <w:color w:val="auto"/>
          <w:sz w:val="24"/>
          <w:szCs w:val="24"/>
        </w:rPr>
        <w:fldChar w:fldCharType="end"/>
      </w:r>
      <w:r>
        <w:rPr>
          <w:rFonts w:hint="eastAsia"/>
          <w:color w:val="auto"/>
          <w:sz w:val="24"/>
          <w:szCs w:val="24"/>
        </w:rPr>
        <w:t>、</w:t>
      </w:r>
      <w:r>
        <w:rPr>
          <w:rFonts w:hint="eastAsia"/>
          <w:color w:val="auto"/>
          <w:sz w:val="24"/>
          <w:szCs w:val="24"/>
        </w:rPr>
        <w:fldChar w:fldCharType="begin"/>
      </w:r>
      <w:r>
        <w:instrText xml:space="preserve"> REF _Ref10744 \h  \* MERGEFORMAT</w:instrText>
      </w:r>
      <w:r>
        <w:rPr>
          <w:rFonts w:hint="eastAsia"/>
          <w:color w:val="auto"/>
          <w:sz w:val="24"/>
          <w:szCs w:val="24"/>
        </w:rPr>
        <w:fldChar w:fldCharType="separate"/>
      </w:r>
      <w:r>
        <w:rPr>
          <w:color w:val="auto"/>
          <w:sz w:val="24"/>
          <w:szCs w:val="24"/>
        </w:rPr>
        <w:t xml:space="preserve">图 </w:t>
      </w:r>
      <w:r>
        <w:rPr>
          <w:rFonts w:hint="eastAsia"/>
          <w:color w:val="auto"/>
          <w:sz w:val="24"/>
          <w:szCs w:val="24"/>
        </w:rPr>
        <w:t>7.7-1</w:t>
      </w:r>
      <w:r>
        <w:rPr>
          <w:rFonts w:hint="eastAsia"/>
          <w:color w:val="auto"/>
          <w:sz w:val="24"/>
          <w:szCs w:val="24"/>
        </w:rPr>
        <w:fldChar w:fldCharType="end"/>
      </w:r>
      <w:r>
        <w:rPr>
          <w:rFonts w:hint="eastAsia"/>
          <w:color w:val="auto"/>
          <w:sz w:val="24"/>
          <w:szCs w:val="24"/>
        </w:rPr>
        <w:t>各阈值的廓线对应的位置见</w:t>
      </w:r>
      <w:r>
        <w:rPr>
          <w:rFonts w:hint="eastAsia"/>
          <w:color w:val="auto"/>
          <w:sz w:val="24"/>
          <w:szCs w:val="24"/>
        </w:rPr>
        <w:fldChar w:fldCharType="begin"/>
      </w:r>
      <w:r>
        <w:instrText xml:space="preserve"> REF _Ref10627 \h  \* MERGEFORMAT</w:instrText>
      </w:r>
      <w:r>
        <w:rPr>
          <w:rFonts w:hint="eastAsia"/>
          <w:color w:val="auto"/>
          <w:sz w:val="24"/>
          <w:szCs w:val="24"/>
        </w:rPr>
        <w:fldChar w:fldCharType="separate"/>
      </w:r>
      <w:r>
        <w:rPr>
          <w:rFonts w:hint="eastAsia"/>
          <w:color w:val="auto"/>
          <w:sz w:val="24"/>
          <w:szCs w:val="24"/>
        </w:rPr>
        <w:t>表 7.7-5</w:t>
      </w:r>
      <w:r>
        <w:rPr>
          <w:rFonts w:hint="eastAsia"/>
          <w:color w:val="auto"/>
          <w:sz w:val="24"/>
          <w:szCs w:val="24"/>
        </w:rPr>
        <w:fldChar w:fldCharType="end"/>
      </w:r>
      <w:r>
        <w:rPr>
          <w:rFonts w:hint="eastAsia"/>
          <w:color w:val="auto"/>
          <w:sz w:val="24"/>
          <w:szCs w:val="24"/>
        </w:rPr>
        <w:t>、</w:t>
      </w:r>
      <w:r>
        <w:rPr>
          <w:rFonts w:hint="eastAsia"/>
          <w:color w:val="auto"/>
          <w:sz w:val="24"/>
          <w:szCs w:val="24"/>
        </w:rPr>
        <w:fldChar w:fldCharType="begin"/>
      </w:r>
      <w:r>
        <w:instrText xml:space="preserve"> REF _Ref5880 \h  \* MERGEFORMAT</w:instrText>
      </w:r>
      <w:r>
        <w:rPr>
          <w:rFonts w:hint="eastAsia"/>
          <w:color w:val="auto"/>
          <w:sz w:val="24"/>
          <w:szCs w:val="24"/>
        </w:rPr>
        <w:fldChar w:fldCharType="separate"/>
      </w:r>
      <w:r>
        <w:rPr>
          <w:rFonts w:ascii="黑体" w:hAnsi="黑体" w:eastAsia="黑体"/>
          <w:color w:val="auto"/>
          <w:sz w:val="22"/>
          <w:szCs w:val="22"/>
        </w:rPr>
        <w:t xml:space="preserve">图 </w:t>
      </w:r>
      <w:r>
        <w:rPr>
          <w:rFonts w:ascii="黑体" w:hAnsi="黑体" w:eastAsia="黑体"/>
          <w:color w:val="auto"/>
          <w:sz w:val="22"/>
          <w:szCs w:val="22"/>
        </w:rPr>
        <w:fldChar w:fldCharType="begin"/>
      </w:r>
      <w:r>
        <w:rPr>
          <w:rFonts w:ascii="黑体" w:hAnsi="黑体" w:eastAsia="黑体"/>
          <w:color w:val="auto"/>
          <w:sz w:val="22"/>
          <w:szCs w:val="22"/>
        </w:rPr>
        <w:instrText xml:space="preserve"> STYLEREF 2 \s </w:instrText>
      </w:r>
      <w:r>
        <w:rPr>
          <w:rFonts w:ascii="黑体" w:hAnsi="黑体" w:eastAsia="黑体"/>
          <w:color w:val="auto"/>
          <w:sz w:val="22"/>
          <w:szCs w:val="22"/>
        </w:rPr>
        <w:fldChar w:fldCharType="separate"/>
      </w:r>
      <w:r>
        <w:rPr>
          <w:rFonts w:ascii="黑体" w:hAnsi="黑体" w:eastAsia="黑体"/>
          <w:color w:val="auto"/>
          <w:sz w:val="22"/>
          <w:szCs w:val="22"/>
        </w:rPr>
        <w:t>7.7</w:t>
      </w:r>
      <w:r>
        <w:rPr>
          <w:rFonts w:ascii="黑体" w:hAnsi="黑体" w:eastAsia="黑体"/>
          <w:color w:val="auto"/>
          <w:sz w:val="22"/>
          <w:szCs w:val="22"/>
        </w:rPr>
        <w:fldChar w:fldCharType="end"/>
      </w:r>
      <w:r>
        <w:rPr>
          <w:rFonts w:ascii="黑体" w:hAnsi="黑体" w:eastAsia="黑体"/>
          <w:color w:val="auto"/>
          <w:sz w:val="22"/>
          <w:szCs w:val="22"/>
        </w:rPr>
        <w:noBreakHyphen/>
      </w:r>
      <w:r>
        <w:rPr>
          <w:rFonts w:ascii="黑体" w:hAnsi="黑体" w:eastAsia="黑体"/>
          <w:color w:val="auto"/>
          <w:sz w:val="22"/>
          <w:szCs w:val="22"/>
        </w:rPr>
        <w:t>2</w:t>
      </w:r>
      <w:r>
        <w:rPr>
          <w:rFonts w:hint="eastAsia"/>
          <w:color w:val="auto"/>
          <w:sz w:val="24"/>
          <w:szCs w:val="24"/>
        </w:rPr>
        <w:fldChar w:fldCharType="end"/>
      </w:r>
      <w:r>
        <w:rPr>
          <w:rFonts w:hint="eastAsia"/>
          <w:color w:val="auto"/>
          <w:sz w:val="24"/>
          <w:szCs w:val="24"/>
        </w:rPr>
        <w:t>，网格浓度图见</w:t>
      </w:r>
      <w:r>
        <w:rPr>
          <w:rFonts w:hint="eastAsia"/>
          <w:color w:val="auto"/>
          <w:sz w:val="24"/>
          <w:szCs w:val="24"/>
        </w:rPr>
        <w:fldChar w:fldCharType="begin"/>
      </w:r>
      <w:r>
        <w:instrText xml:space="preserve"> REF _Ref5893 \h  \* MERGEFORMAT</w:instrText>
      </w:r>
      <w:r>
        <w:rPr>
          <w:rFonts w:hint="eastAsia"/>
          <w:color w:val="auto"/>
          <w:sz w:val="24"/>
          <w:szCs w:val="24"/>
        </w:rPr>
        <w:fldChar w:fldCharType="separate"/>
      </w:r>
      <w:r>
        <w:rPr>
          <w:rFonts w:ascii="黑体" w:hAnsi="黑体" w:eastAsia="黑体"/>
          <w:color w:val="auto"/>
          <w:sz w:val="22"/>
          <w:szCs w:val="22"/>
        </w:rPr>
        <w:t xml:space="preserve">图 </w:t>
      </w:r>
      <w:r>
        <w:rPr>
          <w:rFonts w:ascii="黑体" w:hAnsi="黑体" w:eastAsia="黑体"/>
          <w:color w:val="auto"/>
          <w:sz w:val="22"/>
          <w:szCs w:val="22"/>
        </w:rPr>
        <w:fldChar w:fldCharType="begin"/>
      </w:r>
      <w:r>
        <w:rPr>
          <w:rFonts w:ascii="黑体" w:hAnsi="黑体" w:eastAsia="黑体"/>
          <w:color w:val="auto"/>
          <w:sz w:val="22"/>
          <w:szCs w:val="22"/>
        </w:rPr>
        <w:instrText xml:space="preserve"> STYLEREF 2 \s </w:instrText>
      </w:r>
      <w:r>
        <w:rPr>
          <w:rFonts w:ascii="黑体" w:hAnsi="黑体" w:eastAsia="黑体"/>
          <w:color w:val="auto"/>
          <w:sz w:val="22"/>
          <w:szCs w:val="22"/>
        </w:rPr>
        <w:fldChar w:fldCharType="separate"/>
      </w:r>
      <w:r>
        <w:rPr>
          <w:rFonts w:ascii="黑体" w:hAnsi="黑体" w:eastAsia="黑体"/>
          <w:color w:val="auto"/>
          <w:sz w:val="22"/>
          <w:szCs w:val="22"/>
        </w:rPr>
        <w:t>7.7</w:t>
      </w:r>
      <w:r>
        <w:rPr>
          <w:rFonts w:ascii="黑体" w:hAnsi="黑体" w:eastAsia="黑体"/>
          <w:color w:val="auto"/>
          <w:sz w:val="22"/>
          <w:szCs w:val="22"/>
        </w:rPr>
        <w:fldChar w:fldCharType="end"/>
      </w:r>
      <w:r>
        <w:rPr>
          <w:rFonts w:ascii="黑体" w:hAnsi="黑体" w:eastAsia="黑体"/>
          <w:color w:val="auto"/>
          <w:sz w:val="22"/>
          <w:szCs w:val="22"/>
        </w:rPr>
        <w:noBreakHyphen/>
      </w:r>
      <w:r>
        <w:rPr>
          <w:rFonts w:ascii="黑体" w:hAnsi="黑体" w:eastAsia="黑体"/>
          <w:color w:val="auto"/>
          <w:sz w:val="22"/>
          <w:szCs w:val="22"/>
        </w:rPr>
        <w:t>3</w:t>
      </w:r>
      <w:r>
        <w:rPr>
          <w:rFonts w:hint="eastAsia"/>
          <w:color w:val="auto"/>
          <w:sz w:val="24"/>
          <w:szCs w:val="24"/>
        </w:rPr>
        <w:fldChar w:fldCharType="end"/>
      </w:r>
      <w:r>
        <w:rPr>
          <w:rFonts w:hint="eastAsia"/>
          <w:color w:val="auto"/>
          <w:sz w:val="24"/>
          <w:szCs w:val="24"/>
        </w:rPr>
        <w:t>。</w:t>
      </w:r>
    </w:p>
    <w:p w14:paraId="226B3904">
      <w:pPr>
        <w:spacing w:before="163" w:beforeLines="50"/>
        <w:jc w:val="center"/>
        <w:rPr>
          <w:rFonts w:eastAsia="黑体"/>
          <w:color w:val="auto"/>
          <w:sz w:val="23"/>
          <w:szCs w:val="24"/>
        </w:rPr>
      </w:pP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7.7</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4</w:t>
      </w:r>
      <w:r>
        <w:rPr>
          <w:rFonts w:eastAsia="黑体"/>
          <w:color w:val="auto"/>
          <w:sz w:val="23"/>
          <w:szCs w:val="24"/>
        </w:rPr>
        <w:fldChar w:fldCharType="end"/>
      </w:r>
      <w:r>
        <w:rPr>
          <w:rFonts w:hint="eastAsia" w:eastAsia="黑体"/>
          <w:color w:val="auto"/>
          <w:sz w:val="23"/>
          <w:szCs w:val="24"/>
        </w:rPr>
        <w:t xml:space="preserve"> 氨泄漏事轴线最大浓度</w:t>
      </w:r>
    </w:p>
    <w:tbl>
      <w:tblPr>
        <w:tblStyle w:val="2399"/>
        <w:tblW w:w="0" w:type="auto"/>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092"/>
        <w:gridCol w:w="1818"/>
        <w:gridCol w:w="1455"/>
        <w:gridCol w:w="1455"/>
        <w:gridCol w:w="1455"/>
        <w:gridCol w:w="1455"/>
      </w:tblGrid>
      <w:tr w14:paraId="5837C46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365" w:type="dxa"/>
            <w:gridSpan w:val="3"/>
            <w:vAlign w:val="center"/>
          </w:tcPr>
          <w:p w14:paraId="06770647">
            <w:pPr>
              <w:pStyle w:val="129"/>
              <w:widowControl w:val="0"/>
              <w:rPr>
                <w:rFonts w:eastAsia="Times New Roman"/>
                <w:color w:val="auto"/>
              </w:rPr>
            </w:pPr>
            <w:r>
              <w:rPr>
                <w:rFonts w:hint="eastAsia" w:eastAsia="Times New Roman"/>
                <w:color w:val="auto"/>
              </w:rPr>
              <w:t>常规气象条件下</w:t>
            </w:r>
          </w:p>
        </w:tc>
        <w:tc>
          <w:tcPr>
            <w:tcW w:w="4365" w:type="dxa"/>
            <w:gridSpan w:val="3"/>
            <w:vAlign w:val="center"/>
          </w:tcPr>
          <w:p w14:paraId="1F3891A2">
            <w:pPr>
              <w:pStyle w:val="129"/>
              <w:widowControl w:val="0"/>
              <w:rPr>
                <w:rFonts w:eastAsia="Times New Roman"/>
                <w:color w:val="auto"/>
              </w:rPr>
            </w:pPr>
            <w:r>
              <w:rPr>
                <w:rFonts w:hint="eastAsia" w:eastAsia="Times New Roman"/>
                <w:color w:val="auto"/>
              </w:rPr>
              <w:t>最不利气象条件下</w:t>
            </w:r>
          </w:p>
        </w:tc>
      </w:tr>
      <w:tr w14:paraId="2B86C0D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6E766102">
            <w:pPr>
              <w:pStyle w:val="129"/>
              <w:widowControl w:val="0"/>
              <w:rPr>
                <w:rFonts w:eastAsia="Times New Roman"/>
                <w:color w:val="auto"/>
              </w:rPr>
            </w:pPr>
            <w:r>
              <w:rPr>
                <w:rFonts w:hint="eastAsia" w:eastAsia="Times New Roman"/>
                <w:color w:val="auto"/>
              </w:rPr>
              <w:t>距离 (m)</w:t>
            </w:r>
          </w:p>
        </w:tc>
        <w:tc>
          <w:tcPr>
            <w:tcW w:w="1818" w:type="dxa"/>
            <w:vAlign w:val="center"/>
          </w:tcPr>
          <w:p w14:paraId="4E746F67">
            <w:pPr>
              <w:pStyle w:val="129"/>
              <w:widowControl w:val="0"/>
              <w:rPr>
                <w:rFonts w:eastAsia="Times New Roman"/>
                <w:color w:val="auto"/>
              </w:rPr>
            </w:pPr>
            <w:r>
              <w:rPr>
                <w:rFonts w:hint="eastAsia" w:eastAsia="Times New Roman"/>
                <w:color w:val="auto"/>
              </w:rPr>
              <w:t>浓度出现时间（min）</w:t>
            </w:r>
          </w:p>
        </w:tc>
        <w:tc>
          <w:tcPr>
            <w:tcW w:w="1455" w:type="dxa"/>
            <w:vAlign w:val="center"/>
          </w:tcPr>
          <w:p w14:paraId="63E2AEFD">
            <w:pPr>
              <w:pStyle w:val="129"/>
              <w:widowControl w:val="0"/>
              <w:rPr>
                <w:rFonts w:eastAsia="Times New Roman"/>
                <w:color w:val="auto"/>
              </w:rPr>
            </w:pPr>
            <w:r>
              <w:rPr>
                <w:rFonts w:hint="eastAsia" w:eastAsia="Times New Roman"/>
                <w:color w:val="auto"/>
              </w:rPr>
              <w:t>高峰浓度(mg/m</w:t>
            </w:r>
            <w:r>
              <w:rPr>
                <w:rFonts w:hint="eastAsia" w:eastAsia="Times New Roman"/>
                <w:color w:val="auto"/>
                <w:vertAlign w:val="superscript"/>
              </w:rPr>
              <w:t>3</w:t>
            </w:r>
            <w:r>
              <w:rPr>
                <w:rFonts w:hint="eastAsia" w:eastAsia="Times New Roman"/>
                <w:color w:val="auto"/>
              </w:rPr>
              <w:t>)</w:t>
            </w:r>
          </w:p>
        </w:tc>
        <w:tc>
          <w:tcPr>
            <w:tcW w:w="1455" w:type="dxa"/>
            <w:vAlign w:val="center"/>
          </w:tcPr>
          <w:p w14:paraId="0A600152">
            <w:pPr>
              <w:pStyle w:val="129"/>
              <w:widowControl w:val="0"/>
              <w:rPr>
                <w:rFonts w:eastAsia="Times New Roman"/>
                <w:color w:val="auto"/>
              </w:rPr>
            </w:pPr>
            <w:r>
              <w:rPr>
                <w:rFonts w:hint="eastAsia" w:eastAsia="Times New Roman"/>
                <w:color w:val="auto"/>
              </w:rPr>
              <w:t>距离 (m)</w:t>
            </w:r>
          </w:p>
        </w:tc>
        <w:tc>
          <w:tcPr>
            <w:tcW w:w="1455" w:type="dxa"/>
            <w:vAlign w:val="center"/>
          </w:tcPr>
          <w:p w14:paraId="201F5F5D">
            <w:pPr>
              <w:pStyle w:val="129"/>
              <w:widowControl w:val="0"/>
              <w:rPr>
                <w:rFonts w:eastAsia="Times New Roman"/>
                <w:color w:val="auto"/>
              </w:rPr>
            </w:pPr>
            <w:r>
              <w:rPr>
                <w:rFonts w:hint="eastAsia" w:eastAsia="Times New Roman"/>
                <w:color w:val="auto"/>
              </w:rPr>
              <w:t>浓度出现时间（min）</w:t>
            </w:r>
          </w:p>
        </w:tc>
        <w:tc>
          <w:tcPr>
            <w:tcW w:w="1455" w:type="dxa"/>
            <w:vAlign w:val="center"/>
          </w:tcPr>
          <w:p w14:paraId="6E9A2B94">
            <w:pPr>
              <w:pStyle w:val="129"/>
              <w:widowControl w:val="0"/>
              <w:rPr>
                <w:rFonts w:eastAsia="Times New Roman"/>
                <w:color w:val="auto"/>
              </w:rPr>
            </w:pPr>
            <w:r>
              <w:rPr>
                <w:rFonts w:hint="eastAsia" w:eastAsia="Times New Roman"/>
                <w:color w:val="auto"/>
              </w:rPr>
              <w:t>高峰浓度(mg/m</w:t>
            </w:r>
            <w:r>
              <w:rPr>
                <w:rFonts w:hint="eastAsia" w:eastAsia="Times New Roman"/>
                <w:color w:val="auto"/>
                <w:vertAlign w:val="superscript"/>
              </w:rPr>
              <w:t>3</w:t>
            </w:r>
            <w:r>
              <w:rPr>
                <w:rFonts w:hint="eastAsia" w:eastAsia="Times New Roman"/>
                <w:color w:val="auto"/>
              </w:rPr>
              <w:t>)</w:t>
            </w:r>
          </w:p>
        </w:tc>
      </w:tr>
      <w:tr w14:paraId="3468D85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6BA06CCA">
            <w:pPr>
              <w:pStyle w:val="129"/>
              <w:widowControl w:val="0"/>
              <w:rPr>
                <w:rFonts w:eastAsia="Times New Roman"/>
                <w:color w:val="auto"/>
              </w:rPr>
            </w:pPr>
            <w:r>
              <w:rPr>
                <w:rFonts w:hint="eastAsia" w:eastAsia="Times New Roman"/>
                <w:color w:val="auto"/>
              </w:rPr>
              <w:t xml:space="preserve">10.00 </w:t>
            </w:r>
          </w:p>
        </w:tc>
        <w:tc>
          <w:tcPr>
            <w:tcW w:w="1818" w:type="dxa"/>
            <w:vAlign w:val="center"/>
          </w:tcPr>
          <w:p w14:paraId="047A712E">
            <w:pPr>
              <w:pStyle w:val="129"/>
              <w:widowControl w:val="0"/>
              <w:rPr>
                <w:rFonts w:eastAsia="Times New Roman"/>
                <w:color w:val="auto"/>
              </w:rPr>
            </w:pPr>
            <w:r>
              <w:rPr>
                <w:rFonts w:hint="eastAsia" w:eastAsia="Times New Roman"/>
                <w:color w:val="auto"/>
              </w:rPr>
              <w:t xml:space="preserve">0.11 </w:t>
            </w:r>
          </w:p>
        </w:tc>
        <w:tc>
          <w:tcPr>
            <w:tcW w:w="1455" w:type="dxa"/>
            <w:vAlign w:val="center"/>
          </w:tcPr>
          <w:p w14:paraId="6854A57C">
            <w:pPr>
              <w:pStyle w:val="129"/>
              <w:widowControl w:val="0"/>
              <w:rPr>
                <w:rFonts w:eastAsia="Times New Roman"/>
                <w:color w:val="auto"/>
              </w:rPr>
            </w:pPr>
            <w:r>
              <w:rPr>
                <w:rFonts w:hint="eastAsia" w:eastAsia="Times New Roman"/>
                <w:color w:val="auto"/>
              </w:rPr>
              <w:t xml:space="preserve">0.00 </w:t>
            </w:r>
          </w:p>
        </w:tc>
        <w:tc>
          <w:tcPr>
            <w:tcW w:w="1455" w:type="dxa"/>
            <w:vAlign w:val="center"/>
          </w:tcPr>
          <w:p w14:paraId="125D7398">
            <w:pPr>
              <w:pStyle w:val="129"/>
              <w:widowControl w:val="0"/>
              <w:rPr>
                <w:rFonts w:eastAsia="Times New Roman"/>
                <w:color w:val="auto"/>
              </w:rPr>
            </w:pPr>
            <w:r>
              <w:rPr>
                <w:rFonts w:hint="eastAsia" w:eastAsia="Times New Roman"/>
                <w:color w:val="auto"/>
              </w:rPr>
              <w:t xml:space="preserve">10.00 </w:t>
            </w:r>
          </w:p>
        </w:tc>
        <w:tc>
          <w:tcPr>
            <w:tcW w:w="1455" w:type="dxa"/>
            <w:vAlign w:val="center"/>
          </w:tcPr>
          <w:p w14:paraId="26285720">
            <w:pPr>
              <w:pStyle w:val="129"/>
              <w:widowControl w:val="0"/>
              <w:rPr>
                <w:rFonts w:eastAsia="Times New Roman"/>
                <w:color w:val="auto"/>
              </w:rPr>
            </w:pPr>
            <w:r>
              <w:rPr>
                <w:rFonts w:hint="eastAsia" w:eastAsia="Times New Roman"/>
                <w:color w:val="auto"/>
              </w:rPr>
              <w:t xml:space="preserve">0.17 </w:t>
            </w:r>
          </w:p>
        </w:tc>
        <w:tc>
          <w:tcPr>
            <w:tcW w:w="1455" w:type="dxa"/>
            <w:vAlign w:val="center"/>
          </w:tcPr>
          <w:p w14:paraId="74A33659">
            <w:pPr>
              <w:pStyle w:val="129"/>
              <w:widowControl w:val="0"/>
              <w:rPr>
                <w:rFonts w:eastAsia="Times New Roman"/>
                <w:color w:val="auto"/>
              </w:rPr>
            </w:pPr>
            <w:r>
              <w:rPr>
                <w:rFonts w:hint="eastAsia" w:eastAsia="Times New Roman"/>
                <w:color w:val="auto"/>
              </w:rPr>
              <w:t xml:space="preserve">2.56 </w:t>
            </w:r>
          </w:p>
        </w:tc>
      </w:tr>
      <w:tr w14:paraId="7B9148B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35412E25">
            <w:pPr>
              <w:pStyle w:val="129"/>
              <w:widowControl w:val="0"/>
              <w:rPr>
                <w:rFonts w:eastAsia="Times New Roman"/>
                <w:color w:val="auto"/>
              </w:rPr>
            </w:pPr>
            <w:r>
              <w:rPr>
                <w:rFonts w:hint="eastAsia" w:eastAsia="Times New Roman"/>
                <w:color w:val="auto"/>
              </w:rPr>
              <w:t xml:space="preserve">20.00 </w:t>
            </w:r>
          </w:p>
        </w:tc>
        <w:tc>
          <w:tcPr>
            <w:tcW w:w="1818" w:type="dxa"/>
            <w:vAlign w:val="center"/>
          </w:tcPr>
          <w:p w14:paraId="20940A6C">
            <w:pPr>
              <w:pStyle w:val="129"/>
              <w:widowControl w:val="0"/>
              <w:rPr>
                <w:rFonts w:eastAsia="Times New Roman"/>
                <w:color w:val="auto"/>
              </w:rPr>
            </w:pPr>
            <w:r>
              <w:rPr>
                <w:rFonts w:hint="eastAsia" w:eastAsia="Times New Roman"/>
                <w:color w:val="auto"/>
              </w:rPr>
              <w:t xml:space="preserve">0.22 </w:t>
            </w:r>
          </w:p>
        </w:tc>
        <w:tc>
          <w:tcPr>
            <w:tcW w:w="1455" w:type="dxa"/>
            <w:vAlign w:val="center"/>
          </w:tcPr>
          <w:p w14:paraId="6A60A7ED">
            <w:pPr>
              <w:pStyle w:val="129"/>
              <w:widowControl w:val="0"/>
              <w:rPr>
                <w:rFonts w:eastAsia="Times New Roman"/>
                <w:color w:val="auto"/>
              </w:rPr>
            </w:pPr>
            <w:r>
              <w:rPr>
                <w:rFonts w:hint="eastAsia" w:eastAsia="Times New Roman"/>
                <w:color w:val="auto"/>
              </w:rPr>
              <w:t xml:space="preserve">5.72 </w:t>
            </w:r>
          </w:p>
        </w:tc>
        <w:tc>
          <w:tcPr>
            <w:tcW w:w="1455" w:type="dxa"/>
            <w:vAlign w:val="center"/>
          </w:tcPr>
          <w:p w14:paraId="19170F02">
            <w:pPr>
              <w:pStyle w:val="129"/>
              <w:widowControl w:val="0"/>
              <w:rPr>
                <w:rFonts w:eastAsia="Times New Roman"/>
                <w:color w:val="auto"/>
              </w:rPr>
            </w:pPr>
            <w:r>
              <w:rPr>
                <w:rFonts w:hint="eastAsia" w:eastAsia="Times New Roman"/>
                <w:color w:val="auto"/>
              </w:rPr>
              <w:t xml:space="preserve">20.00 </w:t>
            </w:r>
          </w:p>
        </w:tc>
        <w:tc>
          <w:tcPr>
            <w:tcW w:w="1455" w:type="dxa"/>
            <w:vAlign w:val="center"/>
          </w:tcPr>
          <w:p w14:paraId="24A78663">
            <w:pPr>
              <w:pStyle w:val="129"/>
              <w:widowControl w:val="0"/>
              <w:rPr>
                <w:rFonts w:eastAsia="Times New Roman"/>
                <w:color w:val="auto"/>
              </w:rPr>
            </w:pPr>
            <w:r>
              <w:rPr>
                <w:rFonts w:hint="eastAsia" w:eastAsia="Times New Roman"/>
                <w:color w:val="auto"/>
              </w:rPr>
              <w:t xml:space="preserve">0.34 </w:t>
            </w:r>
          </w:p>
        </w:tc>
        <w:tc>
          <w:tcPr>
            <w:tcW w:w="1455" w:type="dxa"/>
            <w:vAlign w:val="center"/>
          </w:tcPr>
          <w:p w14:paraId="49DB4274">
            <w:pPr>
              <w:pStyle w:val="129"/>
              <w:widowControl w:val="0"/>
              <w:rPr>
                <w:rFonts w:eastAsia="Times New Roman"/>
                <w:color w:val="auto"/>
              </w:rPr>
            </w:pPr>
            <w:r>
              <w:rPr>
                <w:rFonts w:hint="eastAsia" w:eastAsia="Times New Roman"/>
                <w:color w:val="auto"/>
              </w:rPr>
              <w:t xml:space="preserve">98.02 </w:t>
            </w:r>
          </w:p>
        </w:tc>
      </w:tr>
      <w:tr w14:paraId="50E98F2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0F9F4F87">
            <w:pPr>
              <w:pStyle w:val="129"/>
              <w:widowControl w:val="0"/>
              <w:rPr>
                <w:rFonts w:eastAsia="Times New Roman"/>
                <w:color w:val="auto"/>
              </w:rPr>
            </w:pPr>
            <w:r>
              <w:rPr>
                <w:rFonts w:hint="eastAsia" w:eastAsia="Times New Roman"/>
                <w:color w:val="auto"/>
              </w:rPr>
              <w:t xml:space="preserve">30.00 </w:t>
            </w:r>
          </w:p>
        </w:tc>
        <w:tc>
          <w:tcPr>
            <w:tcW w:w="1818" w:type="dxa"/>
            <w:vAlign w:val="center"/>
          </w:tcPr>
          <w:p w14:paraId="6DBAA69D">
            <w:pPr>
              <w:pStyle w:val="129"/>
              <w:widowControl w:val="0"/>
              <w:rPr>
                <w:rFonts w:eastAsia="Times New Roman"/>
                <w:color w:val="auto"/>
              </w:rPr>
            </w:pPr>
            <w:r>
              <w:rPr>
                <w:rFonts w:hint="eastAsia" w:eastAsia="Times New Roman"/>
                <w:color w:val="auto"/>
              </w:rPr>
              <w:t xml:space="preserve">0.33 </w:t>
            </w:r>
          </w:p>
        </w:tc>
        <w:tc>
          <w:tcPr>
            <w:tcW w:w="1455" w:type="dxa"/>
            <w:vAlign w:val="center"/>
          </w:tcPr>
          <w:p w14:paraId="2C96B432">
            <w:pPr>
              <w:pStyle w:val="129"/>
              <w:widowControl w:val="0"/>
              <w:rPr>
                <w:rFonts w:eastAsia="Times New Roman"/>
                <w:color w:val="auto"/>
              </w:rPr>
            </w:pPr>
            <w:r>
              <w:rPr>
                <w:rFonts w:hint="eastAsia" w:eastAsia="Times New Roman"/>
                <w:color w:val="auto"/>
              </w:rPr>
              <w:t xml:space="preserve">91.43 </w:t>
            </w:r>
          </w:p>
        </w:tc>
        <w:tc>
          <w:tcPr>
            <w:tcW w:w="1455" w:type="dxa"/>
            <w:vAlign w:val="center"/>
          </w:tcPr>
          <w:p w14:paraId="2C8BB004">
            <w:pPr>
              <w:pStyle w:val="129"/>
              <w:widowControl w:val="0"/>
              <w:rPr>
                <w:rFonts w:eastAsia="Times New Roman"/>
                <w:color w:val="auto"/>
              </w:rPr>
            </w:pPr>
            <w:r>
              <w:rPr>
                <w:rFonts w:hint="eastAsia" w:eastAsia="Times New Roman"/>
                <w:color w:val="auto"/>
              </w:rPr>
              <w:t xml:space="preserve">30.00 </w:t>
            </w:r>
          </w:p>
        </w:tc>
        <w:tc>
          <w:tcPr>
            <w:tcW w:w="1455" w:type="dxa"/>
            <w:vAlign w:val="center"/>
          </w:tcPr>
          <w:p w14:paraId="05EC58BB">
            <w:pPr>
              <w:pStyle w:val="129"/>
              <w:widowControl w:val="0"/>
              <w:rPr>
                <w:rFonts w:eastAsia="Times New Roman"/>
                <w:color w:val="auto"/>
              </w:rPr>
            </w:pPr>
            <w:r>
              <w:rPr>
                <w:rFonts w:hint="eastAsia" w:eastAsia="Times New Roman"/>
                <w:color w:val="auto"/>
              </w:rPr>
              <w:t xml:space="preserve">0.51 </w:t>
            </w:r>
          </w:p>
        </w:tc>
        <w:tc>
          <w:tcPr>
            <w:tcW w:w="1455" w:type="dxa"/>
            <w:vAlign w:val="center"/>
          </w:tcPr>
          <w:p w14:paraId="5714B827">
            <w:pPr>
              <w:pStyle w:val="129"/>
              <w:widowControl w:val="0"/>
              <w:rPr>
                <w:rFonts w:eastAsia="Times New Roman"/>
                <w:color w:val="auto"/>
              </w:rPr>
            </w:pPr>
            <w:r>
              <w:rPr>
                <w:rFonts w:hint="eastAsia" w:eastAsia="Times New Roman"/>
                <w:color w:val="auto"/>
              </w:rPr>
              <w:t xml:space="preserve">92.71 </w:t>
            </w:r>
          </w:p>
        </w:tc>
      </w:tr>
      <w:tr w14:paraId="5B59B5B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2B26977A">
            <w:pPr>
              <w:pStyle w:val="129"/>
              <w:widowControl w:val="0"/>
              <w:rPr>
                <w:rFonts w:eastAsia="Times New Roman"/>
                <w:color w:val="auto"/>
              </w:rPr>
            </w:pPr>
            <w:r>
              <w:rPr>
                <w:rFonts w:hint="eastAsia" w:eastAsia="Times New Roman"/>
                <w:color w:val="auto"/>
              </w:rPr>
              <w:t xml:space="preserve">40.00 </w:t>
            </w:r>
          </w:p>
        </w:tc>
        <w:tc>
          <w:tcPr>
            <w:tcW w:w="1818" w:type="dxa"/>
            <w:vAlign w:val="center"/>
          </w:tcPr>
          <w:p w14:paraId="028DECE7">
            <w:pPr>
              <w:pStyle w:val="129"/>
              <w:widowControl w:val="0"/>
              <w:rPr>
                <w:rFonts w:eastAsia="Times New Roman"/>
                <w:color w:val="auto"/>
              </w:rPr>
            </w:pPr>
            <w:r>
              <w:rPr>
                <w:rFonts w:hint="eastAsia" w:eastAsia="Times New Roman"/>
                <w:color w:val="auto"/>
              </w:rPr>
              <w:t xml:space="preserve">0.44 </w:t>
            </w:r>
          </w:p>
        </w:tc>
        <w:tc>
          <w:tcPr>
            <w:tcW w:w="1455" w:type="dxa"/>
            <w:vAlign w:val="center"/>
          </w:tcPr>
          <w:p w14:paraId="19C61BA2">
            <w:pPr>
              <w:pStyle w:val="129"/>
              <w:widowControl w:val="0"/>
              <w:rPr>
                <w:rFonts w:eastAsia="Times New Roman"/>
                <w:color w:val="auto"/>
              </w:rPr>
            </w:pPr>
            <w:r>
              <w:rPr>
                <w:rFonts w:hint="eastAsia" w:eastAsia="Times New Roman"/>
                <w:color w:val="auto"/>
              </w:rPr>
              <w:t xml:space="preserve">233.51 </w:t>
            </w:r>
          </w:p>
        </w:tc>
        <w:tc>
          <w:tcPr>
            <w:tcW w:w="1455" w:type="dxa"/>
            <w:vAlign w:val="center"/>
          </w:tcPr>
          <w:p w14:paraId="601ED4CB">
            <w:pPr>
              <w:pStyle w:val="129"/>
              <w:widowControl w:val="0"/>
              <w:rPr>
                <w:rFonts w:eastAsia="Times New Roman"/>
                <w:color w:val="auto"/>
              </w:rPr>
            </w:pPr>
            <w:r>
              <w:rPr>
                <w:rFonts w:hint="eastAsia" w:eastAsia="Times New Roman"/>
                <w:color w:val="auto"/>
              </w:rPr>
              <w:t xml:space="preserve">40.00 </w:t>
            </w:r>
          </w:p>
        </w:tc>
        <w:tc>
          <w:tcPr>
            <w:tcW w:w="1455" w:type="dxa"/>
            <w:vAlign w:val="center"/>
          </w:tcPr>
          <w:p w14:paraId="19D65068">
            <w:pPr>
              <w:pStyle w:val="129"/>
              <w:widowControl w:val="0"/>
              <w:rPr>
                <w:rFonts w:eastAsia="Times New Roman"/>
                <w:color w:val="auto"/>
              </w:rPr>
            </w:pPr>
            <w:r>
              <w:rPr>
                <w:rFonts w:hint="eastAsia" w:eastAsia="Times New Roman"/>
                <w:color w:val="auto"/>
              </w:rPr>
              <w:t xml:space="preserve">0.68 </w:t>
            </w:r>
          </w:p>
        </w:tc>
        <w:tc>
          <w:tcPr>
            <w:tcW w:w="1455" w:type="dxa"/>
            <w:vAlign w:val="center"/>
          </w:tcPr>
          <w:p w14:paraId="4DD76565">
            <w:pPr>
              <w:pStyle w:val="129"/>
              <w:widowControl w:val="0"/>
              <w:rPr>
                <w:rFonts w:eastAsia="Times New Roman"/>
                <w:color w:val="auto"/>
              </w:rPr>
            </w:pPr>
            <w:r>
              <w:rPr>
                <w:rFonts w:hint="eastAsia" w:eastAsia="Times New Roman"/>
                <w:color w:val="auto"/>
              </w:rPr>
              <w:t xml:space="preserve">72.04 </w:t>
            </w:r>
          </w:p>
        </w:tc>
      </w:tr>
      <w:tr w14:paraId="0685022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1B9C5DFC">
            <w:pPr>
              <w:pStyle w:val="129"/>
              <w:widowControl w:val="0"/>
              <w:rPr>
                <w:rFonts w:eastAsia="Times New Roman"/>
                <w:color w:val="auto"/>
              </w:rPr>
            </w:pPr>
            <w:r>
              <w:rPr>
                <w:rFonts w:hint="eastAsia" w:eastAsia="Times New Roman"/>
                <w:color w:val="auto"/>
              </w:rPr>
              <w:t xml:space="preserve">50.00 </w:t>
            </w:r>
          </w:p>
        </w:tc>
        <w:tc>
          <w:tcPr>
            <w:tcW w:w="1818" w:type="dxa"/>
            <w:vAlign w:val="center"/>
          </w:tcPr>
          <w:p w14:paraId="58CE4ABC">
            <w:pPr>
              <w:pStyle w:val="129"/>
              <w:widowControl w:val="0"/>
              <w:rPr>
                <w:rFonts w:eastAsia="Times New Roman"/>
                <w:color w:val="auto"/>
              </w:rPr>
            </w:pPr>
            <w:r>
              <w:rPr>
                <w:rFonts w:hint="eastAsia" w:eastAsia="Times New Roman"/>
                <w:color w:val="auto"/>
              </w:rPr>
              <w:t xml:space="preserve">0.56 </w:t>
            </w:r>
          </w:p>
        </w:tc>
        <w:tc>
          <w:tcPr>
            <w:tcW w:w="1455" w:type="dxa"/>
            <w:vAlign w:val="center"/>
          </w:tcPr>
          <w:p w14:paraId="7D16055B">
            <w:pPr>
              <w:pStyle w:val="129"/>
              <w:widowControl w:val="0"/>
              <w:rPr>
                <w:rFonts w:eastAsia="Times New Roman"/>
                <w:color w:val="auto"/>
              </w:rPr>
            </w:pPr>
            <w:r>
              <w:rPr>
                <w:rFonts w:hint="eastAsia" w:eastAsia="Times New Roman"/>
                <w:color w:val="auto"/>
              </w:rPr>
              <w:t xml:space="preserve">336.53 </w:t>
            </w:r>
          </w:p>
        </w:tc>
        <w:tc>
          <w:tcPr>
            <w:tcW w:w="1455" w:type="dxa"/>
            <w:vAlign w:val="center"/>
          </w:tcPr>
          <w:p w14:paraId="50D865F3">
            <w:pPr>
              <w:pStyle w:val="129"/>
              <w:widowControl w:val="0"/>
              <w:rPr>
                <w:rFonts w:eastAsia="Times New Roman"/>
                <w:color w:val="auto"/>
              </w:rPr>
            </w:pPr>
            <w:r>
              <w:rPr>
                <w:rFonts w:hint="eastAsia" w:eastAsia="Times New Roman"/>
                <w:color w:val="auto"/>
              </w:rPr>
              <w:t xml:space="preserve">50.00 </w:t>
            </w:r>
          </w:p>
        </w:tc>
        <w:tc>
          <w:tcPr>
            <w:tcW w:w="1455" w:type="dxa"/>
            <w:vAlign w:val="center"/>
          </w:tcPr>
          <w:p w14:paraId="18CBF8B7">
            <w:pPr>
              <w:pStyle w:val="129"/>
              <w:widowControl w:val="0"/>
              <w:rPr>
                <w:rFonts w:eastAsia="Times New Roman"/>
                <w:color w:val="auto"/>
              </w:rPr>
            </w:pPr>
            <w:r>
              <w:rPr>
                <w:rFonts w:hint="eastAsia" w:eastAsia="Times New Roman"/>
                <w:color w:val="auto"/>
              </w:rPr>
              <w:t xml:space="preserve">0.85 </w:t>
            </w:r>
          </w:p>
        </w:tc>
        <w:tc>
          <w:tcPr>
            <w:tcW w:w="1455" w:type="dxa"/>
            <w:vAlign w:val="center"/>
          </w:tcPr>
          <w:p w14:paraId="64114B5C">
            <w:pPr>
              <w:pStyle w:val="129"/>
              <w:widowControl w:val="0"/>
              <w:rPr>
                <w:rFonts w:eastAsia="Times New Roman"/>
                <w:color w:val="auto"/>
              </w:rPr>
            </w:pPr>
            <w:r>
              <w:rPr>
                <w:rFonts w:hint="eastAsia" w:eastAsia="Times New Roman"/>
                <w:color w:val="auto"/>
              </w:rPr>
              <w:t xml:space="preserve">53.04 </w:t>
            </w:r>
          </w:p>
        </w:tc>
      </w:tr>
      <w:tr w14:paraId="293F2B2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37B17EEB">
            <w:pPr>
              <w:pStyle w:val="129"/>
              <w:widowControl w:val="0"/>
              <w:rPr>
                <w:rFonts w:eastAsia="Times New Roman"/>
                <w:color w:val="auto"/>
              </w:rPr>
            </w:pPr>
            <w:r>
              <w:rPr>
                <w:rFonts w:hint="eastAsia" w:eastAsia="Times New Roman"/>
                <w:color w:val="auto"/>
              </w:rPr>
              <w:t xml:space="preserve">60.00 </w:t>
            </w:r>
          </w:p>
        </w:tc>
        <w:tc>
          <w:tcPr>
            <w:tcW w:w="1818" w:type="dxa"/>
            <w:vAlign w:val="center"/>
          </w:tcPr>
          <w:p w14:paraId="2F5EDFE7">
            <w:pPr>
              <w:pStyle w:val="129"/>
              <w:widowControl w:val="0"/>
              <w:rPr>
                <w:rFonts w:eastAsia="Times New Roman"/>
                <w:color w:val="auto"/>
              </w:rPr>
            </w:pPr>
            <w:r>
              <w:rPr>
                <w:rFonts w:hint="eastAsia" w:eastAsia="Times New Roman"/>
                <w:color w:val="auto"/>
              </w:rPr>
              <w:t xml:space="preserve">0.67 </w:t>
            </w:r>
          </w:p>
        </w:tc>
        <w:tc>
          <w:tcPr>
            <w:tcW w:w="1455" w:type="dxa"/>
            <w:vAlign w:val="center"/>
          </w:tcPr>
          <w:p w14:paraId="65C07549">
            <w:pPr>
              <w:pStyle w:val="129"/>
              <w:widowControl w:val="0"/>
              <w:rPr>
                <w:rFonts w:eastAsia="Times New Roman"/>
                <w:color w:val="auto"/>
              </w:rPr>
            </w:pPr>
            <w:r>
              <w:rPr>
                <w:rFonts w:hint="eastAsia" w:eastAsia="Times New Roman"/>
                <w:color w:val="auto"/>
              </w:rPr>
              <w:t xml:space="preserve">386.11 </w:t>
            </w:r>
          </w:p>
        </w:tc>
        <w:tc>
          <w:tcPr>
            <w:tcW w:w="1455" w:type="dxa"/>
            <w:vAlign w:val="center"/>
          </w:tcPr>
          <w:p w14:paraId="23605F97">
            <w:pPr>
              <w:pStyle w:val="129"/>
              <w:widowControl w:val="0"/>
              <w:rPr>
                <w:rFonts w:eastAsia="Times New Roman"/>
                <w:color w:val="auto"/>
              </w:rPr>
            </w:pPr>
            <w:r>
              <w:rPr>
                <w:rFonts w:hint="eastAsia" w:eastAsia="Times New Roman"/>
                <w:color w:val="auto"/>
              </w:rPr>
              <w:t xml:space="preserve">60.00 </w:t>
            </w:r>
          </w:p>
        </w:tc>
        <w:tc>
          <w:tcPr>
            <w:tcW w:w="1455" w:type="dxa"/>
            <w:vAlign w:val="center"/>
          </w:tcPr>
          <w:p w14:paraId="433FF72D">
            <w:pPr>
              <w:pStyle w:val="129"/>
              <w:widowControl w:val="0"/>
              <w:rPr>
                <w:rFonts w:eastAsia="Times New Roman"/>
                <w:color w:val="auto"/>
              </w:rPr>
            </w:pPr>
            <w:r>
              <w:rPr>
                <w:rFonts w:hint="eastAsia" w:eastAsia="Times New Roman"/>
                <w:color w:val="auto"/>
              </w:rPr>
              <w:t xml:space="preserve">1.02 </w:t>
            </w:r>
          </w:p>
        </w:tc>
        <w:tc>
          <w:tcPr>
            <w:tcW w:w="1455" w:type="dxa"/>
            <w:vAlign w:val="center"/>
          </w:tcPr>
          <w:p w14:paraId="07FA5297">
            <w:pPr>
              <w:pStyle w:val="129"/>
              <w:widowControl w:val="0"/>
              <w:rPr>
                <w:rFonts w:eastAsia="Times New Roman"/>
                <w:color w:val="auto"/>
              </w:rPr>
            </w:pPr>
            <w:r>
              <w:rPr>
                <w:rFonts w:hint="eastAsia" w:eastAsia="Times New Roman"/>
                <w:color w:val="auto"/>
              </w:rPr>
              <w:t xml:space="preserve">39.08 </w:t>
            </w:r>
          </w:p>
        </w:tc>
      </w:tr>
      <w:tr w14:paraId="2172673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7766FE6F">
            <w:pPr>
              <w:pStyle w:val="129"/>
              <w:widowControl w:val="0"/>
              <w:rPr>
                <w:rFonts w:eastAsia="Times New Roman"/>
                <w:color w:val="auto"/>
              </w:rPr>
            </w:pPr>
            <w:r>
              <w:rPr>
                <w:rFonts w:hint="eastAsia" w:eastAsia="Times New Roman"/>
                <w:color w:val="auto"/>
              </w:rPr>
              <w:t xml:space="preserve">70.00 </w:t>
            </w:r>
          </w:p>
        </w:tc>
        <w:tc>
          <w:tcPr>
            <w:tcW w:w="1818" w:type="dxa"/>
            <w:vAlign w:val="center"/>
          </w:tcPr>
          <w:p w14:paraId="453BD9EA">
            <w:pPr>
              <w:pStyle w:val="129"/>
              <w:widowControl w:val="0"/>
              <w:rPr>
                <w:rFonts w:eastAsia="Times New Roman"/>
                <w:color w:val="auto"/>
              </w:rPr>
            </w:pPr>
            <w:r>
              <w:rPr>
                <w:rFonts w:hint="eastAsia" w:eastAsia="Times New Roman"/>
                <w:color w:val="auto"/>
              </w:rPr>
              <w:t xml:space="preserve">0.78 </w:t>
            </w:r>
          </w:p>
        </w:tc>
        <w:tc>
          <w:tcPr>
            <w:tcW w:w="1455" w:type="dxa"/>
            <w:vAlign w:val="center"/>
          </w:tcPr>
          <w:p w14:paraId="2423CDEF">
            <w:pPr>
              <w:pStyle w:val="129"/>
              <w:widowControl w:val="0"/>
              <w:rPr>
                <w:rFonts w:eastAsia="Times New Roman"/>
                <w:color w:val="auto"/>
              </w:rPr>
            </w:pPr>
            <w:r>
              <w:rPr>
                <w:rFonts w:hint="eastAsia" w:eastAsia="Times New Roman"/>
                <w:color w:val="auto"/>
              </w:rPr>
              <w:t xml:space="preserve">400.16 </w:t>
            </w:r>
          </w:p>
        </w:tc>
        <w:tc>
          <w:tcPr>
            <w:tcW w:w="1455" w:type="dxa"/>
            <w:vAlign w:val="center"/>
          </w:tcPr>
          <w:p w14:paraId="0CA02132">
            <w:pPr>
              <w:pStyle w:val="129"/>
              <w:widowControl w:val="0"/>
              <w:rPr>
                <w:rFonts w:eastAsia="Times New Roman"/>
                <w:color w:val="auto"/>
              </w:rPr>
            </w:pPr>
            <w:r>
              <w:rPr>
                <w:rFonts w:hint="eastAsia" w:eastAsia="Times New Roman"/>
                <w:color w:val="auto"/>
              </w:rPr>
              <w:t xml:space="preserve">70.00 </w:t>
            </w:r>
          </w:p>
        </w:tc>
        <w:tc>
          <w:tcPr>
            <w:tcW w:w="1455" w:type="dxa"/>
            <w:vAlign w:val="center"/>
          </w:tcPr>
          <w:p w14:paraId="762626B2">
            <w:pPr>
              <w:pStyle w:val="129"/>
              <w:widowControl w:val="0"/>
              <w:rPr>
                <w:rFonts w:eastAsia="Times New Roman"/>
                <w:color w:val="auto"/>
              </w:rPr>
            </w:pPr>
            <w:r>
              <w:rPr>
                <w:rFonts w:hint="eastAsia" w:eastAsia="Times New Roman"/>
                <w:color w:val="auto"/>
              </w:rPr>
              <w:t xml:space="preserve">1.19 </w:t>
            </w:r>
          </w:p>
        </w:tc>
        <w:tc>
          <w:tcPr>
            <w:tcW w:w="1455" w:type="dxa"/>
            <w:vAlign w:val="center"/>
          </w:tcPr>
          <w:p w14:paraId="30A768F6">
            <w:pPr>
              <w:pStyle w:val="129"/>
              <w:widowControl w:val="0"/>
              <w:rPr>
                <w:rFonts w:eastAsia="Times New Roman"/>
                <w:color w:val="auto"/>
              </w:rPr>
            </w:pPr>
            <w:r>
              <w:rPr>
                <w:rFonts w:hint="eastAsia" w:eastAsia="Times New Roman"/>
                <w:color w:val="auto"/>
              </w:rPr>
              <w:t xml:space="preserve">29.37 </w:t>
            </w:r>
          </w:p>
        </w:tc>
      </w:tr>
      <w:tr w14:paraId="317DD05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3CEF0F4F">
            <w:pPr>
              <w:pStyle w:val="129"/>
              <w:widowControl w:val="0"/>
              <w:rPr>
                <w:rFonts w:eastAsia="Times New Roman"/>
                <w:color w:val="auto"/>
              </w:rPr>
            </w:pPr>
            <w:r>
              <w:rPr>
                <w:rFonts w:hint="eastAsia" w:eastAsia="Times New Roman"/>
                <w:color w:val="auto"/>
              </w:rPr>
              <w:t xml:space="preserve">80.00 </w:t>
            </w:r>
          </w:p>
        </w:tc>
        <w:tc>
          <w:tcPr>
            <w:tcW w:w="1818" w:type="dxa"/>
            <w:vAlign w:val="center"/>
          </w:tcPr>
          <w:p w14:paraId="3A2B317A">
            <w:pPr>
              <w:pStyle w:val="129"/>
              <w:widowControl w:val="0"/>
              <w:rPr>
                <w:rFonts w:eastAsia="Times New Roman"/>
                <w:color w:val="auto"/>
              </w:rPr>
            </w:pPr>
            <w:r>
              <w:rPr>
                <w:rFonts w:hint="eastAsia" w:eastAsia="Times New Roman"/>
                <w:color w:val="auto"/>
              </w:rPr>
              <w:t xml:space="preserve">0.89 </w:t>
            </w:r>
          </w:p>
        </w:tc>
        <w:tc>
          <w:tcPr>
            <w:tcW w:w="1455" w:type="dxa"/>
            <w:vAlign w:val="center"/>
          </w:tcPr>
          <w:p w14:paraId="2615DEC0">
            <w:pPr>
              <w:pStyle w:val="129"/>
              <w:widowControl w:val="0"/>
              <w:rPr>
                <w:rFonts w:eastAsia="Times New Roman"/>
                <w:color w:val="auto"/>
              </w:rPr>
            </w:pPr>
            <w:r>
              <w:rPr>
                <w:rFonts w:hint="eastAsia" w:eastAsia="Times New Roman"/>
                <w:color w:val="auto"/>
              </w:rPr>
              <w:t xml:space="preserve">395.70 </w:t>
            </w:r>
          </w:p>
        </w:tc>
        <w:tc>
          <w:tcPr>
            <w:tcW w:w="1455" w:type="dxa"/>
            <w:vAlign w:val="center"/>
          </w:tcPr>
          <w:p w14:paraId="300F45E4">
            <w:pPr>
              <w:pStyle w:val="129"/>
              <w:widowControl w:val="0"/>
              <w:rPr>
                <w:rFonts w:eastAsia="Times New Roman"/>
                <w:color w:val="auto"/>
              </w:rPr>
            </w:pPr>
            <w:r>
              <w:rPr>
                <w:rFonts w:hint="eastAsia" w:eastAsia="Times New Roman"/>
                <w:color w:val="auto"/>
              </w:rPr>
              <w:t xml:space="preserve">80.00 </w:t>
            </w:r>
          </w:p>
        </w:tc>
        <w:tc>
          <w:tcPr>
            <w:tcW w:w="1455" w:type="dxa"/>
            <w:vAlign w:val="center"/>
          </w:tcPr>
          <w:p w14:paraId="54F90302">
            <w:pPr>
              <w:pStyle w:val="129"/>
              <w:widowControl w:val="0"/>
              <w:rPr>
                <w:rFonts w:eastAsia="Times New Roman"/>
                <w:color w:val="auto"/>
              </w:rPr>
            </w:pPr>
            <w:r>
              <w:rPr>
                <w:rFonts w:hint="eastAsia" w:eastAsia="Times New Roman"/>
                <w:color w:val="auto"/>
              </w:rPr>
              <w:t xml:space="preserve">1.36 </w:t>
            </w:r>
          </w:p>
        </w:tc>
        <w:tc>
          <w:tcPr>
            <w:tcW w:w="1455" w:type="dxa"/>
            <w:vAlign w:val="center"/>
          </w:tcPr>
          <w:p w14:paraId="6FF552FE">
            <w:pPr>
              <w:pStyle w:val="129"/>
              <w:widowControl w:val="0"/>
              <w:rPr>
                <w:rFonts w:eastAsia="Times New Roman"/>
                <w:color w:val="auto"/>
              </w:rPr>
            </w:pPr>
            <w:r>
              <w:rPr>
                <w:rFonts w:hint="eastAsia" w:eastAsia="Times New Roman"/>
                <w:color w:val="auto"/>
              </w:rPr>
              <w:t xml:space="preserve">22.61 </w:t>
            </w:r>
          </w:p>
        </w:tc>
      </w:tr>
      <w:tr w14:paraId="716A8EC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42AF3D74">
            <w:pPr>
              <w:pStyle w:val="129"/>
              <w:widowControl w:val="0"/>
              <w:rPr>
                <w:rFonts w:eastAsia="Times New Roman"/>
                <w:color w:val="auto"/>
              </w:rPr>
            </w:pPr>
            <w:r>
              <w:rPr>
                <w:rFonts w:hint="eastAsia" w:eastAsia="Times New Roman"/>
                <w:color w:val="auto"/>
              </w:rPr>
              <w:t xml:space="preserve">90.00 </w:t>
            </w:r>
          </w:p>
        </w:tc>
        <w:tc>
          <w:tcPr>
            <w:tcW w:w="1818" w:type="dxa"/>
            <w:vAlign w:val="center"/>
          </w:tcPr>
          <w:p w14:paraId="57D5516C">
            <w:pPr>
              <w:pStyle w:val="129"/>
              <w:widowControl w:val="0"/>
              <w:rPr>
                <w:rFonts w:eastAsia="Times New Roman"/>
                <w:color w:val="auto"/>
              </w:rPr>
            </w:pPr>
            <w:r>
              <w:rPr>
                <w:rFonts w:hint="eastAsia" w:eastAsia="Times New Roman"/>
                <w:color w:val="auto"/>
              </w:rPr>
              <w:t xml:space="preserve">1.00 </w:t>
            </w:r>
          </w:p>
        </w:tc>
        <w:tc>
          <w:tcPr>
            <w:tcW w:w="1455" w:type="dxa"/>
            <w:vAlign w:val="center"/>
          </w:tcPr>
          <w:p w14:paraId="2DA1849C">
            <w:pPr>
              <w:pStyle w:val="129"/>
              <w:widowControl w:val="0"/>
              <w:rPr>
                <w:rFonts w:eastAsia="Times New Roman"/>
                <w:color w:val="auto"/>
              </w:rPr>
            </w:pPr>
            <w:r>
              <w:rPr>
                <w:rFonts w:hint="eastAsia" w:eastAsia="Times New Roman"/>
                <w:color w:val="auto"/>
              </w:rPr>
              <w:t xml:space="preserve">382.96 </w:t>
            </w:r>
          </w:p>
        </w:tc>
        <w:tc>
          <w:tcPr>
            <w:tcW w:w="1455" w:type="dxa"/>
            <w:vAlign w:val="center"/>
          </w:tcPr>
          <w:p w14:paraId="28692F7D">
            <w:pPr>
              <w:pStyle w:val="129"/>
              <w:widowControl w:val="0"/>
              <w:rPr>
                <w:rFonts w:eastAsia="Times New Roman"/>
                <w:color w:val="auto"/>
              </w:rPr>
            </w:pPr>
            <w:r>
              <w:rPr>
                <w:rFonts w:hint="eastAsia" w:eastAsia="Times New Roman"/>
                <w:color w:val="auto"/>
              </w:rPr>
              <w:t xml:space="preserve">90.00 </w:t>
            </w:r>
          </w:p>
        </w:tc>
        <w:tc>
          <w:tcPr>
            <w:tcW w:w="1455" w:type="dxa"/>
            <w:vAlign w:val="center"/>
          </w:tcPr>
          <w:p w14:paraId="664F8794">
            <w:pPr>
              <w:pStyle w:val="129"/>
              <w:widowControl w:val="0"/>
              <w:rPr>
                <w:rFonts w:eastAsia="Times New Roman"/>
                <w:color w:val="auto"/>
              </w:rPr>
            </w:pPr>
            <w:r>
              <w:rPr>
                <w:rFonts w:hint="eastAsia" w:eastAsia="Times New Roman"/>
                <w:color w:val="auto"/>
              </w:rPr>
              <w:t xml:space="preserve">1.53 </w:t>
            </w:r>
          </w:p>
        </w:tc>
        <w:tc>
          <w:tcPr>
            <w:tcW w:w="1455" w:type="dxa"/>
            <w:vAlign w:val="center"/>
          </w:tcPr>
          <w:p w14:paraId="14112950">
            <w:pPr>
              <w:pStyle w:val="129"/>
              <w:widowControl w:val="0"/>
              <w:rPr>
                <w:rFonts w:eastAsia="Times New Roman"/>
                <w:color w:val="auto"/>
              </w:rPr>
            </w:pPr>
            <w:r>
              <w:rPr>
                <w:rFonts w:hint="eastAsia" w:eastAsia="Times New Roman"/>
                <w:color w:val="auto"/>
              </w:rPr>
              <w:t xml:space="preserve">17.80 </w:t>
            </w:r>
          </w:p>
        </w:tc>
      </w:tr>
      <w:tr w14:paraId="07513CA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1FF4EC72">
            <w:pPr>
              <w:pStyle w:val="129"/>
              <w:widowControl w:val="0"/>
              <w:rPr>
                <w:rFonts w:eastAsia="Times New Roman"/>
                <w:color w:val="auto"/>
              </w:rPr>
            </w:pPr>
            <w:r>
              <w:rPr>
                <w:rFonts w:hint="eastAsia" w:eastAsia="Times New Roman"/>
                <w:color w:val="auto"/>
              </w:rPr>
              <w:t xml:space="preserve">100.00 </w:t>
            </w:r>
          </w:p>
        </w:tc>
        <w:tc>
          <w:tcPr>
            <w:tcW w:w="1818" w:type="dxa"/>
            <w:vAlign w:val="center"/>
          </w:tcPr>
          <w:p w14:paraId="121F9E12">
            <w:pPr>
              <w:pStyle w:val="129"/>
              <w:widowControl w:val="0"/>
              <w:rPr>
                <w:rFonts w:eastAsia="Times New Roman"/>
                <w:color w:val="auto"/>
              </w:rPr>
            </w:pPr>
            <w:r>
              <w:rPr>
                <w:rFonts w:hint="eastAsia" w:eastAsia="Times New Roman"/>
                <w:color w:val="auto"/>
              </w:rPr>
              <w:t xml:space="preserve">1.11 </w:t>
            </w:r>
          </w:p>
        </w:tc>
        <w:tc>
          <w:tcPr>
            <w:tcW w:w="1455" w:type="dxa"/>
            <w:vAlign w:val="center"/>
          </w:tcPr>
          <w:p w14:paraId="61FFC50B">
            <w:pPr>
              <w:pStyle w:val="129"/>
              <w:widowControl w:val="0"/>
              <w:rPr>
                <w:rFonts w:eastAsia="Times New Roman"/>
                <w:color w:val="auto"/>
              </w:rPr>
            </w:pPr>
            <w:r>
              <w:rPr>
                <w:rFonts w:hint="eastAsia" w:eastAsia="Times New Roman"/>
                <w:color w:val="auto"/>
              </w:rPr>
              <w:t xml:space="preserve">367.08 </w:t>
            </w:r>
          </w:p>
        </w:tc>
        <w:tc>
          <w:tcPr>
            <w:tcW w:w="1455" w:type="dxa"/>
            <w:vAlign w:val="center"/>
          </w:tcPr>
          <w:p w14:paraId="2C373327">
            <w:pPr>
              <w:pStyle w:val="129"/>
              <w:widowControl w:val="0"/>
              <w:rPr>
                <w:rFonts w:eastAsia="Times New Roman"/>
                <w:color w:val="auto"/>
              </w:rPr>
            </w:pPr>
            <w:r>
              <w:rPr>
                <w:rFonts w:hint="eastAsia" w:eastAsia="Times New Roman"/>
                <w:color w:val="auto"/>
              </w:rPr>
              <w:t xml:space="preserve">100.00 </w:t>
            </w:r>
          </w:p>
        </w:tc>
        <w:tc>
          <w:tcPr>
            <w:tcW w:w="1455" w:type="dxa"/>
            <w:vAlign w:val="center"/>
          </w:tcPr>
          <w:p w14:paraId="5CB2382E">
            <w:pPr>
              <w:pStyle w:val="129"/>
              <w:widowControl w:val="0"/>
              <w:rPr>
                <w:rFonts w:eastAsia="Times New Roman"/>
                <w:color w:val="auto"/>
              </w:rPr>
            </w:pPr>
            <w:r>
              <w:rPr>
                <w:rFonts w:hint="eastAsia" w:eastAsia="Times New Roman"/>
                <w:color w:val="auto"/>
              </w:rPr>
              <w:t xml:space="preserve">1.70 </w:t>
            </w:r>
          </w:p>
        </w:tc>
        <w:tc>
          <w:tcPr>
            <w:tcW w:w="1455" w:type="dxa"/>
            <w:vAlign w:val="center"/>
          </w:tcPr>
          <w:p w14:paraId="3C2234D2">
            <w:pPr>
              <w:pStyle w:val="129"/>
              <w:widowControl w:val="0"/>
              <w:rPr>
                <w:rFonts w:eastAsia="Times New Roman"/>
                <w:color w:val="auto"/>
              </w:rPr>
            </w:pPr>
            <w:r>
              <w:rPr>
                <w:rFonts w:hint="eastAsia" w:eastAsia="Times New Roman"/>
                <w:color w:val="auto"/>
              </w:rPr>
              <w:t xml:space="preserve">14.31 </w:t>
            </w:r>
          </w:p>
        </w:tc>
      </w:tr>
      <w:tr w14:paraId="5F24714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52907668">
            <w:pPr>
              <w:pStyle w:val="129"/>
              <w:widowControl w:val="0"/>
              <w:rPr>
                <w:rFonts w:eastAsia="Times New Roman"/>
                <w:color w:val="auto"/>
              </w:rPr>
            </w:pPr>
            <w:r>
              <w:rPr>
                <w:rFonts w:hint="eastAsia" w:eastAsia="Times New Roman"/>
                <w:color w:val="auto"/>
              </w:rPr>
              <w:t xml:space="preserve">370.00 </w:t>
            </w:r>
          </w:p>
        </w:tc>
        <w:tc>
          <w:tcPr>
            <w:tcW w:w="1818" w:type="dxa"/>
            <w:vAlign w:val="center"/>
          </w:tcPr>
          <w:p w14:paraId="0B1B6646">
            <w:pPr>
              <w:pStyle w:val="129"/>
              <w:widowControl w:val="0"/>
              <w:rPr>
                <w:rFonts w:eastAsia="Times New Roman"/>
                <w:color w:val="auto"/>
              </w:rPr>
            </w:pPr>
            <w:r>
              <w:rPr>
                <w:rFonts w:hint="eastAsia" w:eastAsia="Times New Roman"/>
                <w:color w:val="auto"/>
              </w:rPr>
              <w:t xml:space="preserve">4.11 </w:t>
            </w:r>
          </w:p>
        </w:tc>
        <w:tc>
          <w:tcPr>
            <w:tcW w:w="1455" w:type="dxa"/>
            <w:vAlign w:val="center"/>
          </w:tcPr>
          <w:p w14:paraId="352F53E3">
            <w:pPr>
              <w:pStyle w:val="129"/>
              <w:widowControl w:val="0"/>
              <w:rPr>
                <w:rFonts w:eastAsia="Times New Roman"/>
                <w:color w:val="auto"/>
              </w:rPr>
            </w:pPr>
            <w:r>
              <w:rPr>
                <w:rFonts w:hint="eastAsia" w:eastAsia="Times New Roman"/>
                <w:color w:val="auto"/>
              </w:rPr>
              <w:t xml:space="preserve">111.30 </w:t>
            </w:r>
          </w:p>
        </w:tc>
        <w:tc>
          <w:tcPr>
            <w:tcW w:w="1455" w:type="dxa"/>
            <w:vAlign w:val="center"/>
          </w:tcPr>
          <w:p w14:paraId="73B1F7BD">
            <w:pPr>
              <w:pStyle w:val="129"/>
              <w:widowControl w:val="0"/>
              <w:rPr>
                <w:rFonts w:eastAsia="Times New Roman"/>
                <w:color w:val="auto"/>
              </w:rPr>
            </w:pPr>
            <w:r>
              <w:rPr>
                <w:rFonts w:hint="eastAsia" w:eastAsia="Times New Roman"/>
                <w:color w:val="auto"/>
              </w:rPr>
              <w:t xml:space="preserve">500.00 </w:t>
            </w:r>
          </w:p>
        </w:tc>
        <w:tc>
          <w:tcPr>
            <w:tcW w:w="1455" w:type="dxa"/>
            <w:vAlign w:val="center"/>
          </w:tcPr>
          <w:p w14:paraId="0D7A0A6B">
            <w:pPr>
              <w:pStyle w:val="129"/>
              <w:widowControl w:val="0"/>
              <w:rPr>
                <w:rFonts w:eastAsia="Times New Roman"/>
                <w:color w:val="auto"/>
              </w:rPr>
            </w:pPr>
            <w:r>
              <w:rPr>
                <w:rFonts w:hint="eastAsia" w:eastAsia="Times New Roman"/>
                <w:color w:val="auto"/>
              </w:rPr>
              <w:t xml:space="preserve">8.50 </w:t>
            </w:r>
          </w:p>
        </w:tc>
        <w:tc>
          <w:tcPr>
            <w:tcW w:w="1455" w:type="dxa"/>
            <w:vAlign w:val="center"/>
          </w:tcPr>
          <w:p w14:paraId="1DEE6EFC">
            <w:pPr>
              <w:pStyle w:val="129"/>
              <w:widowControl w:val="0"/>
              <w:rPr>
                <w:rFonts w:eastAsia="Times New Roman"/>
                <w:color w:val="auto"/>
              </w:rPr>
            </w:pPr>
            <w:r>
              <w:rPr>
                <w:rFonts w:hint="eastAsia" w:eastAsia="Times New Roman"/>
                <w:color w:val="auto"/>
              </w:rPr>
              <w:t xml:space="preserve">0.42 </w:t>
            </w:r>
          </w:p>
        </w:tc>
      </w:tr>
      <w:tr w14:paraId="185BC9C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141B297C">
            <w:pPr>
              <w:pStyle w:val="129"/>
              <w:widowControl w:val="0"/>
              <w:rPr>
                <w:rFonts w:eastAsia="Times New Roman"/>
                <w:color w:val="auto"/>
              </w:rPr>
            </w:pPr>
            <w:r>
              <w:rPr>
                <w:rFonts w:hint="eastAsia" w:eastAsia="Times New Roman"/>
                <w:color w:val="auto"/>
              </w:rPr>
              <w:t xml:space="preserve">380.00 </w:t>
            </w:r>
          </w:p>
        </w:tc>
        <w:tc>
          <w:tcPr>
            <w:tcW w:w="1818" w:type="dxa"/>
            <w:vAlign w:val="center"/>
          </w:tcPr>
          <w:p w14:paraId="7113285A">
            <w:pPr>
              <w:pStyle w:val="129"/>
              <w:widowControl w:val="0"/>
              <w:rPr>
                <w:rFonts w:eastAsia="Times New Roman"/>
                <w:color w:val="auto"/>
              </w:rPr>
            </w:pPr>
            <w:r>
              <w:rPr>
                <w:rFonts w:hint="eastAsia" w:eastAsia="Times New Roman"/>
                <w:color w:val="auto"/>
              </w:rPr>
              <w:t xml:space="preserve">4.22 </w:t>
            </w:r>
          </w:p>
        </w:tc>
        <w:tc>
          <w:tcPr>
            <w:tcW w:w="1455" w:type="dxa"/>
            <w:vAlign w:val="center"/>
          </w:tcPr>
          <w:p w14:paraId="06FFE847">
            <w:pPr>
              <w:pStyle w:val="129"/>
              <w:widowControl w:val="0"/>
              <w:rPr>
                <w:rFonts w:eastAsia="Times New Roman"/>
                <w:color w:val="auto"/>
              </w:rPr>
            </w:pPr>
            <w:r>
              <w:rPr>
                <w:rFonts w:hint="eastAsia" w:eastAsia="Times New Roman"/>
                <w:color w:val="auto"/>
              </w:rPr>
              <w:t xml:space="preserve">107.40 </w:t>
            </w:r>
          </w:p>
        </w:tc>
        <w:tc>
          <w:tcPr>
            <w:tcW w:w="1455" w:type="dxa"/>
            <w:vAlign w:val="center"/>
          </w:tcPr>
          <w:p w14:paraId="227EAEB5">
            <w:pPr>
              <w:pStyle w:val="129"/>
              <w:widowControl w:val="0"/>
              <w:rPr>
                <w:rFonts w:eastAsia="Times New Roman"/>
                <w:color w:val="auto"/>
              </w:rPr>
            </w:pPr>
            <w:r>
              <w:rPr>
                <w:rFonts w:hint="eastAsia" w:eastAsia="Times New Roman"/>
                <w:color w:val="auto"/>
              </w:rPr>
              <w:t xml:space="preserve">1000.00 </w:t>
            </w:r>
          </w:p>
        </w:tc>
        <w:tc>
          <w:tcPr>
            <w:tcW w:w="1455" w:type="dxa"/>
            <w:vAlign w:val="center"/>
          </w:tcPr>
          <w:p w14:paraId="71011118">
            <w:pPr>
              <w:pStyle w:val="129"/>
              <w:widowControl w:val="0"/>
              <w:rPr>
                <w:rFonts w:eastAsia="Times New Roman"/>
                <w:color w:val="auto"/>
              </w:rPr>
            </w:pPr>
            <w:r>
              <w:rPr>
                <w:rFonts w:hint="eastAsia" w:eastAsia="Times New Roman"/>
                <w:color w:val="auto"/>
              </w:rPr>
              <w:t xml:space="preserve">24.51 </w:t>
            </w:r>
          </w:p>
        </w:tc>
        <w:tc>
          <w:tcPr>
            <w:tcW w:w="1455" w:type="dxa"/>
            <w:vAlign w:val="center"/>
          </w:tcPr>
          <w:p w14:paraId="50F9C087">
            <w:pPr>
              <w:pStyle w:val="129"/>
              <w:widowControl w:val="0"/>
              <w:rPr>
                <w:rFonts w:eastAsia="Times New Roman"/>
                <w:color w:val="auto"/>
              </w:rPr>
            </w:pPr>
            <w:r>
              <w:rPr>
                <w:rFonts w:hint="eastAsia" w:eastAsia="Times New Roman"/>
                <w:color w:val="auto"/>
              </w:rPr>
              <w:t xml:space="preserve">0.08 </w:t>
            </w:r>
          </w:p>
        </w:tc>
      </w:tr>
      <w:tr w14:paraId="6E1A695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145946EB">
            <w:pPr>
              <w:pStyle w:val="129"/>
              <w:widowControl w:val="0"/>
              <w:rPr>
                <w:rFonts w:eastAsia="Times New Roman"/>
                <w:color w:val="auto"/>
              </w:rPr>
            </w:pPr>
            <w:r>
              <w:rPr>
                <w:rFonts w:hint="eastAsia" w:eastAsia="Times New Roman"/>
                <w:color w:val="auto"/>
              </w:rPr>
              <w:t xml:space="preserve">390.00 </w:t>
            </w:r>
          </w:p>
        </w:tc>
        <w:tc>
          <w:tcPr>
            <w:tcW w:w="1818" w:type="dxa"/>
            <w:vAlign w:val="center"/>
          </w:tcPr>
          <w:p w14:paraId="40025480">
            <w:pPr>
              <w:pStyle w:val="129"/>
              <w:widowControl w:val="0"/>
              <w:rPr>
                <w:rFonts w:eastAsia="Times New Roman"/>
                <w:color w:val="auto"/>
              </w:rPr>
            </w:pPr>
            <w:r>
              <w:rPr>
                <w:rFonts w:hint="eastAsia" w:eastAsia="Times New Roman"/>
                <w:color w:val="auto"/>
              </w:rPr>
              <w:t xml:space="preserve">4.33 </w:t>
            </w:r>
          </w:p>
        </w:tc>
        <w:tc>
          <w:tcPr>
            <w:tcW w:w="1455" w:type="dxa"/>
            <w:vAlign w:val="center"/>
          </w:tcPr>
          <w:p w14:paraId="34709601">
            <w:pPr>
              <w:pStyle w:val="129"/>
              <w:widowControl w:val="0"/>
              <w:rPr>
                <w:rFonts w:eastAsia="Times New Roman"/>
                <w:color w:val="auto"/>
              </w:rPr>
            </w:pPr>
            <w:r>
              <w:rPr>
                <w:rFonts w:hint="eastAsia" w:eastAsia="Times New Roman"/>
                <w:color w:val="auto"/>
              </w:rPr>
              <w:t xml:space="preserve">103.70 </w:t>
            </w:r>
          </w:p>
        </w:tc>
        <w:tc>
          <w:tcPr>
            <w:tcW w:w="1455" w:type="dxa"/>
            <w:vAlign w:val="center"/>
          </w:tcPr>
          <w:p w14:paraId="5E378698">
            <w:pPr>
              <w:pStyle w:val="129"/>
              <w:widowControl w:val="0"/>
              <w:rPr>
                <w:rFonts w:eastAsia="Times New Roman"/>
                <w:color w:val="auto"/>
              </w:rPr>
            </w:pPr>
            <w:r>
              <w:rPr>
                <w:rFonts w:hint="eastAsia" w:eastAsia="Times New Roman"/>
                <w:color w:val="auto"/>
              </w:rPr>
              <w:t xml:space="preserve">1500.00 </w:t>
            </w:r>
          </w:p>
        </w:tc>
        <w:tc>
          <w:tcPr>
            <w:tcW w:w="1455" w:type="dxa"/>
            <w:vAlign w:val="center"/>
          </w:tcPr>
          <w:p w14:paraId="13335415">
            <w:pPr>
              <w:pStyle w:val="129"/>
              <w:widowControl w:val="0"/>
              <w:rPr>
                <w:rFonts w:eastAsia="Times New Roman"/>
                <w:color w:val="auto"/>
              </w:rPr>
            </w:pPr>
            <w:r>
              <w:rPr>
                <w:rFonts w:hint="eastAsia" w:eastAsia="Times New Roman"/>
                <w:color w:val="auto"/>
              </w:rPr>
              <w:t xml:space="preserve">33.01 </w:t>
            </w:r>
          </w:p>
        </w:tc>
        <w:tc>
          <w:tcPr>
            <w:tcW w:w="1455" w:type="dxa"/>
            <w:vAlign w:val="center"/>
          </w:tcPr>
          <w:p w14:paraId="332D5B75">
            <w:pPr>
              <w:pStyle w:val="129"/>
              <w:widowControl w:val="0"/>
              <w:rPr>
                <w:rFonts w:eastAsia="Times New Roman"/>
                <w:color w:val="auto"/>
              </w:rPr>
            </w:pPr>
            <w:r>
              <w:rPr>
                <w:rFonts w:hint="eastAsia" w:eastAsia="Times New Roman"/>
                <w:color w:val="auto"/>
              </w:rPr>
              <w:t xml:space="preserve">0.04 </w:t>
            </w:r>
          </w:p>
        </w:tc>
      </w:tr>
      <w:tr w14:paraId="3E873E2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06477C7B">
            <w:pPr>
              <w:pStyle w:val="129"/>
              <w:widowControl w:val="0"/>
              <w:rPr>
                <w:rFonts w:eastAsia="Times New Roman"/>
                <w:color w:val="auto"/>
              </w:rPr>
            </w:pPr>
            <w:r>
              <w:rPr>
                <w:rFonts w:hint="eastAsia" w:eastAsia="Times New Roman"/>
                <w:color w:val="auto"/>
              </w:rPr>
              <w:t xml:space="preserve">400.00 </w:t>
            </w:r>
          </w:p>
        </w:tc>
        <w:tc>
          <w:tcPr>
            <w:tcW w:w="1818" w:type="dxa"/>
            <w:vAlign w:val="center"/>
          </w:tcPr>
          <w:p w14:paraId="7F7F40BD">
            <w:pPr>
              <w:pStyle w:val="129"/>
              <w:widowControl w:val="0"/>
              <w:rPr>
                <w:rFonts w:eastAsia="Times New Roman"/>
                <w:color w:val="auto"/>
              </w:rPr>
            </w:pPr>
            <w:r>
              <w:rPr>
                <w:rFonts w:hint="eastAsia" w:eastAsia="Times New Roman"/>
                <w:color w:val="auto"/>
              </w:rPr>
              <w:t xml:space="preserve">4.44 </w:t>
            </w:r>
          </w:p>
        </w:tc>
        <w:tc>
          <w:tcPr>
            <w:tcW w:w="1455" w:type="dxa"/>
            <w:vAlign w:val="center"/>
          </w:tcPr>
          <w:p w14:paraId="4FE38C7E">
            <w:pPr>
              <w:pStyle w:val="129"/>
              <w:widowControl w:val="0"/>
              <w:rPr>
                <w:rFonts w:eastAsia="Times New Roman"/>
                <w:color w:val="auto"/>
              </w:rPr>
            </w:pPr>
            <w:r>
              <w:rPr>
                <w:rFonts w:hint="eastAsia" w:eastAsia="Times New Roman"/>
                <w:color w:val="auto"/>
              </w:rPr>
              <w:t xml:space="preserve">100.19 </w:t>
            </w:r>
          </w:p>
        </w:tc>
        <w:tc>
          <w:tcPr>
            <w:tcW w:w="1455" w:type="dxa"/>
            <w:vAlign w:val="center"/>
          </w:tcPr>
          <w:p w14:paraId="6791A519">
            <w:pPr>
              <w:pStyle w:val="129"/>
              <w:widowControl w:val="0"/>
              <w:rPr>
                <w:rFonts w:eastAsia="Times New Roman"/>
                <w:color w:val="auto"/>
              </w:rPr>
            </w:pPr>
            <w:r>
              <w:rPr>
                <w:rFonts w:hint="eastAsia" w:eastAsia="Times New Roman"/>
                <w:color w:val="auto"/>
              </w:rPr>
              <w:t xml:space="preserve">2000.00 </w:t>
            </w:r>
          </w:p>
        </w:tc>
        <w:tc>
          <w:tcPr>
            <w:tcW w:w="1455" w:type="dxa"/>
            <w:vAlign w:val="center"/>
          </w:tcPr>
          <w:p w14:paraId="59779C6D">
            <w:pPr>
              <w:pStyle w:val="129"/>
              <w:widowControl w:val="0"/>
              <w:rPr>
                <w:rFonts w:eastAsia="Times New Roman"/>
                <w:color w:val="auto"/>
              </w:rPr>
            </w:pPr>
            <w:r>
              <w:rPr>
                <w:rFonts w:hint="eastAsia" w:eastAsia="Times New Roman"/>
                <w:color w:val="auto"/>
              </w:rPr>
              <w:t xml:space="preserve">41.51 </w:t>
            </w:r>
          </w:p>
        </w:tc>
        <w:tc>
          <w:tcPr>
            <w:tcW w:w="1455" w:type="dxa"/>
            <w:vAlign w:val="center"/>
          </w:tcPr>
          <w:p w14:paraId="5CB8F476">
            <w:pPr>
              <w:pStyle w:val="129"/>
              <w:widowControl w:val="0"/>
              <w:rPr>
                <w:rFonts w:eastAsia="Times New Roman"/>
                <w:color w:val="auto"/>
              </w:rPr>
            </w:pPr>
            <w:r>
              <w:rPr>
                <w:rFonts w:hint="eastAsia" w:eastAsia="Times New Roman"/>
                <w:color w:val="auto"/>
              </w:rPr>
              <w:t xml:space="preserve">0.03 </w:t>
            </w:r>
          </w:p>
        </w:tc>
      </w:tr>
      <w:tr w14:paraId="4C29DB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6568AF4A">
            <w:pPr>
              <w:pStyle w:val="129"/>
              <w:widowControl w:val="0"/>
              <w:rPr>
                <w:rFonts w:eastAsia="Times New Roman"/>
                <w:color w:val="auto"/>
              </w:rPr>
            </w:pPr>
            <w:r>
              <w:rPr>
                <w:rFonts w:hint="eastAsia" w:eastAsia="Times New Roman"/>
                <w:color w:val="auto"/>
              </w:rPr>
              <w:t xml:space="preserve">1000.00 </w:t>
            </w:r>
          </w:p>
        </w:tc>
        <w:tc>
          <w:tcPr>
            <w:tcW w:w="1818" w:type="dxa"/>
            <w:vAlign w:val="center"/>
          </w:tcPr>
          <w:p w14:paraId="7C19A882">
            <w:pPr>
              <w:pStyle w:val="129"/>
              <w:widowControl w:val="0"/>
              <w:rPr>
                <w:rFonts w:eastAsia="Times New Roman"/>
                <w:color w:val="auto"/>
              </w:rPr>
            </w:pPr>
            <w:r>
              <w:rPr>
                <w:rFonts w:hint="eastAsia" w:eastAsia="Times New Roman"/>
                <w:color w:val="auto"/>
              </w:rPr>
              <w:t xml:space="preserve">11.11 </w:t>
            </w:r>
          </w:p>
        </w:tc>
        <w:tc>
          <w:tcPr>
            <w:tcW w:w="1455" w:type="dxa"/>
            <w:vAlign w:val="center"/>
          </w:tcPr>
          <w:p w14:paraId="7F628260">
            <w:pPr>
              <w:pStyle w:val="129"/>
              <w:widowControl w:val="0"/>
              <w:rPr>
                <w:rFonts w:eastAsia="Times New Roman"/>
                <w:color w:val="auto"/>
              </w:rPr>
            </w:pPr>
            <w:r>
              <w:rPr>
                <w:rFonts w:hint="eastAsia" w:eastAsia="Times New Roman"/>
                <w:color w:val="auto"/>
              </w:rPr>
              <w:t xml:space="preserve">25.24 </w:t>
            </w:r>
          </w:p>
        </w:tc>
        <w:tc>
          <w:tcPr>
            <w:tcW w:w="1455" w:type="dxa"/>
            <w:vAlign w:val="center"/>
          </w:tcPr>
          <w:p w14:paraId="0130A686">
            <w:pPr>
              <w:pStyle w:val="129"/>
              <w:widowControl w:val="0"/>
              <w:rPr>
                <w:rFonts w:eastAsia="Times New Roman"/>
                <w:color w:val="auto"/>
              </w:rPr>
            </w:pPr>
            <w:r>
              <w:rPr>
                <w:rFonts w:hint="eastAsia" w:eastAsia="Times New Roman"/>
                <w:color w:val="auto"/>
              </w:rPr>
              <w:t xml:space="preserve">2500.00 </w:t>
            </w:r>
          </w:p>
        </w:tc>
        <w:tc>
          <w:tcPr>
            <w:tcW w:w="1455" w:type="dxa"/>
            <w:vAlign w:val="center"/>
          </w:tcPr>
          <w:p w14:paraId="427109B8">
            <w:pPr>
              <w:pStyle w:val="129"/>
              <w:widowControl w:val="0"/>
              <w:rPr>
                <w:rFonts w:eastAsia="Times New Roman"/>
                <w:color w:val="auto"/>
              </w:rPr>
            </w:pPr>
            <w:r>
              <w:rPr>
                <w:rFonts w:hint="eastAsia" w:eastAsia="Times New Roman"/>
                <w:color w:val="auto"/>
              </w:rPr>
              <w:t xml:space="preserve">50.02 </w:t>
            </w:r>
          </w:p>
        </w:tc>
        <w:tc>
          <w:tcPr>
            <w:tcW w:w="1455" w:type="dxa"/>
            <w:vAlign w:val="center"/>
          </w:tcPr>
          <w:p w14:paraId="058EA3AD">
            <w:pPr>
              <w:pStyle w:val="129"/>
              <w:widowControl w:val="0"/>
              <w:rPr>
                <w:rFonts w:eastAsia="Times New Roman"/>
                <w:color w:val="auto"/>
              </w:rPr>
            </w:pPr>
            <w:r>
              <w:rPr>
                <w:rFonts w:hint="eastAsia" w:eastAsia="Times New Roman"/>
                <w:color w:val="auto"/>
              </w:rPr>
              <w:t xml:space="preserve">0.02 </w:t>
            </w:r>
          </w:p>
        </w:tc>
      </w:tr>
      <w:tr w14:paraId="674F574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7CE5B4EF">
            <w:pPr>
              <w:pStyle w:val="129"/>
              <w:widowControl w:val="0"/>
              <w:rPr>
                <w:rFonts w:eastAsia="Times New Roman"/>
                <w:color w:val="auto"/>
              </w:rPr>
            </w:pPr>
            <w:r>
              <w:rPr>
                <w:rFonts w:hint="eastAsia" w:eastAsia="Times New Roman"/>
                <w:color w:val="auto"/>
              </w:rPr>
              <w:t xml:space="preserve">2000.00 </w:t>
            </w:r>
          </w:p>
        </w:tc>
        <w:tc>
          <w:tcPr>
            <w:tcW w:w="1818" w:type="dxa"/>
            <w:vAlign w:val="center"/>
          </w:tcPr>
          <w:p w14:paraId="135B1F60">
            <w:pPr>
              <w:pStyle w:val="129"/>
              <w:widowControl w:val="0"/>
              <w:rPr>
                <w:rFonts w:eastAsia="Times New Roman"/>
                <w:color w:val="auto"/>
              </w:rPr>
            </w:pPr>
            <w:r>
              <w:rPr>
                <w:rFonts w:hint="eastAsia" w:eastAsia="Times New Roman"/>
                <w:color w:val="auto"/>
              </w:rPr>
              <w:t xml:space="preserve">25.22 </w:t>
            </w:r>
          </w:p>
        </w:tc>
        <w:tc>
          <w:tcPr>
            <w:tcW w:w="1455" w:type="dxa"/>
            <w:vAlign w:val="center"/>
          </w:tcPr>
          <w:p w14:paraId="29CF64BE">
            <w:pPr>
              <w:pStyle w:val="129"/>
              <w:widowControl w:val="0"/>
              <w:rPr>
                <w:rFonts w:eastAsia="Times New Roman"/>
                <w:color w:val="auto"/>
              </w:rPr>
            </w:pPr>
            <w:r>
              <w:rPr>
                <w:rFonts w:hint="eastAsia" w:eastAsia="Times New Roman"/>
                <w:color w:val="auto"/>
              </w:rPr>
              <w:t xml:space="preserve">9.11 </w:t>
            </w:r>
          </w:p>
        </w:tc>
        <w:tc>
          <w:tcPr>
            <w:tcW w:w="1455" w:type="dxa"/>
            <w:vAlign w:val="center"/>
          </w:tcPr>
          <w:p w14:paraId="14588FB6">
            <w:pPr>
              <w:pStyle w:val="129"/>
              <w:widowControl w:val="0"/>
              <w:rPr>
                <w:rFonts w:eastAsia="Times New Roman"/>
                <w:color w:val="auto"/>
              </w:rPr>
            </w:pPr>
            <w:r>
              <w:rPr>
                <w:rFonts w:hint="eastAsia" w:eastAsia="Times New Roman"/>
                <w:color w:val="auto"/>
              </w:rPr>
              <w:t xml:space="preserve">3000.00 </w:t>
            </w:r>
          </w:p>
        </w:tc>
        <w:tc>
          <w:tcPr>
            <w:tcW w:w="1455" w:type="dxa"/>
            <w:vAlign w:val="center"/>
          </w:tcPr>
          <w:p w14:paraId="248E05EC">
            <w:pPr>
              <w:pStyle w:val="129"/>
              <w:widowControl w:val="0"/>
              <w:rPr>
                <w:rFonts w:eastAsia="Times New Roman"/>
                <w:color w:val="auto"/>
              </w:rPr>
            </w:pPr>
            <w:r>
              <w:rPr>
                <w:rFonts w:hint="eastAsia" w:eastAsia="Times New Roman"/>
                <w:color w:val="auto"/>
              </w:rPr>
              <w:t xml:space="preserve">58.52 </w:t>
            </w:r>
          </w:p>
        </w:tc>
        <w:tc>
          <w:tcPr>
            <w:tcW w:w="1455" w:type="dxa"/>
            <w:vAlign w:val="center"/>
          </w:tcPr>
          <w:p w14:paraId="7785E92D">
            <w:pPr>
              <w:pStyle w:val="129"/>
              <w:widowControl w:val="0"/>
              <w:rPr>
                <w:rFonts w:eastAsia="Times New Roman"/>
                <w:color w:val="auto"/>
              </w:rPr>
            </w:pPr>
            <w:r>
              <w:rPr>
                <w:rFonts w:hint="eastAsia" w:eastAsia="Times New Roman"/>
                <w:color w:val="auto"/>
              </w:rPr>
              <w:t xml:space="preserve">0.01 </w:t>
            </w:r>
          </w:p>
        </w:tc>
      </w:tr>
      <w:tr w14:paraId="1702240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69D37F2D">
            <w:pPr>
              <w:pStyle w:val="129"/>
              <w:widowControl w:val="0"/>
              <w:rPr>
                <w:rFonts w:eastAsia="Times New Roman"/>
                <w:color w:val="auto"/>
              </w:rPr>
            </w:pPr>
            <w:r>
              <w:rPr>
                <w:rFonts w:hint="eastAsia" w:eastAsia="Times New Roman"/>
                <w:color w:val="auto"/>
              </w:rPr>
              <w:t xml:space="preserve">3000.00 </w:t>
            </w:r>
          </w:p>
        </w:tc>
        <w:tc>
          <w:tcPr>
            <w:tcW w:w="1818" w:type="dxa"/>
            <w:vAlign w:val="center"/>
          </w:tcPr>
          <w:p w14:paraId="71C2D961">
            <w:pPr>
              <w:pStyle w:val="129"/>
              <w:widowControl w:val="0"/>
              <w:rPr>
                <w:rFonts w:eastAsia="Times New Roman"/>
                <w:color w:val="auto"/>
              </w:rPr>
            </w:pPr>
            <w:r>
              <w:rPr>
                <w:rFonts w:hint="eastAsia" w:eastAsia="Times New Roman"/>
                <w:color w:val="auto"/>
              </w:rPr>
              <w:t xml:space="preserve">37.63 </w:t>
            </w:r>
          </w:p>
        </w:tc>
        <w:tc>
          <w:tcPr>
            <w:tcW w:w="1455" w:type="dxa"/>
            <w:vAlign w:val="center"/>
          </w:tcPr>
          <w:p w14:paraId="5B1A5DFD">
            <w:pPr>
              <w:pStyle w:val="129"/>
              <w:widowControl w:val="0"/>
              <w:rPr>
                <w:rFonts w:eastAsia="Times New Roman"/>
                <w:color w:val="auto"/>
              </w:rPr>
            </w:pPr>
            <w:r>
              <w:rPr>
                <w:rFonts w:hint="eastAsia" w:eastAsia="Times New Roman"/>
                <w:color w:val="auto"/>
              </w:rPr>
              <w:t xml:space="preserve">5.33 </w:t>
            </w:r>
          </w:p>
        </w:tc>
        <w:tc>
          <w:tcPr>
            <w:tcW w:w="1455" w:type="dxa"/>
            <w:vAlign w:val="center"/>
          </w:tcPr>
          <w:p w14:paraId="1D94A793">
            <w:pPr>
              <w:pStyle w:val="129"/>
              <w:widowControl w:val="0"/>
              <w:rPr>
                <w:rFonts w:eastAsia="Times New Roman"/>
                <w:color w:val="auto"/>
              </w:rPr>
            </w:pPr>
            <w:r>
              <w:rPr>
                <w:rFonts w:hint="eastAsia" w:eastAsia="Times New Roman"/>
                <w:color w:val="auto"/>
              </w:rPr>
              <w:t xml:space="preserve">4000.00 </w:t>
            </w:r>
          </w:p>
        </w:tc>
        <w:tc>
          <w:tcPr>
            <w:tcW w:w="1455" w:type="dxa"/>
            <w:vAlign w:val="center"/>
          </w:tcPr>
          <w:p w14:paraId="6AED851F">
            <w:pPr>
              <w:pStyle w:val="129"/>
              <w:widowControl w:val="0"/>
              <w:rPr>
                <w:rFonts w:eastAsia="Times New Roman"/>
                <w:color w:val="auto"/>
              </w:rPr>
            </w:pPr>
            <w:r>
              <w:rPr>
                <w:rFonts w:hint="eastAsia" w:eastAsia="Times New Roman"/>
                <w:color w:val="auto"/>
              </w:rPr>
              <w:t xml:space="preserve">75.53 </w:t>
            </w:r>
          </w:p>
        </w:tc>
        <w:tc>
          <w:tcPr>
            <w:tcW w:w="1455" w:type="dxa"/>
            <w:vAlign w:val="center"/>
          </w:tcPr>
          <w:p w14:paraId="3518E47B">
            <w:pPr>
              <w:pStyle w:val="129"/>
              <w:widowControl w:val="0"/>
              <w:rPr>
                <w:rFonts w:eastAsia="Times New Roman"/>
                <w:color w:val="auto"/>
              </w:rPr>
            </w:pPr>
            <w:r>
              <w:rPr>
                <w:rFonts w:hint="eastAsia" w:eastAsia="Times New Roman"/>
                <w:color w:val="auto"/>
              </w:rPr>
              <w:t xml:space="preserve">0.01 </w:t>
            </w:r>
          </w:p>
        </w:tc>
      </w:tr>
      <w:tr w14:paraId="6F096AB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482C856B">
            <w:pPr>
              <w:pStyle w:val="129"/>
              <w:widowControl w:val="0"/>
              <w:rPr>
                <w:rFonts w:eastAsia="Times New Roman"/>
                <w:color w:val="auto"/>
              </w:rPr>
            </w:pPr>
            <w:r>
              <w:rPr>
                <w:rFonts w:hint="eastAsia" w:eastAsia="Times New Roman"/>
                <w:color w:val="auto"/>
              </w:rPr>
              <w:t xml:space="preserve">4000.00 </w:t>
            </w:r>
          </w:p>
        </w:tc>
        <w:tc>
          <w:tcPr>
            <w:tcW w:w="1818" w:type="dxa"/>
            <w:vAlign w:val="center"/>
          </w:tcPr>
          <w:p w14:paraId="6F073D26">
            <w:pPr>
              <w:pStyle w:val="129"/>
              <w:widowControl w:val="0"/>
              <w:rPr>
                <w:rFonts w:eastAsia="Times New Roman"/>
                <w:color w:val="auto"/>
              </w:rPr>
            </w:pPr>
            <w:r>
              <w:rPr>
                <w:rFonts w:hint="eastAsia" w:eastAsia="Times New Roman"/>
                <w:color w:val="auto"/>
              </w:rPr>
              <w:t xml:space="preserve">49.94 </w:t>
            </w:r>
          </w:p>
        </w:tc>
        <w:tc>
          <w:tcPr>
            <w:tcW w:w="1455" w:type="dxa"/>
            <w:vAlign w:val="center"/>
          </w:tcPr>
          <w:p w14:paraId="03C1CE7F">
            <w:pPr>
              <w:pStyle w:val="129"/>
              <w:widowControl w:val="0"/>
              <w:rPr>
                <w:rFonts w:eastAsia="Times New Roman"/>
                <w:color w:val="auto"/>
              </w:rPr>
            </w:pPr>
            <w:r>
              <w:rPr>
                <w:rFonts w:hint="eastAsia" w:eastAsia="Times New Roman"/>
                <w:color w:val="auto"/>
              </w:rPr>
              <w:t xml:space="preserve">3.65 </w:t>
            </w:r>
          </w:p>
        </w:tc>
        <w:tc>
          <w:tcPr>
            <w:tcW w:w="1455" w:type="dxa"/>
            <w:vAlign w:val="center"/>
          </w:tcPr>
          <w:p w14:paraId="3D1BA2FF">
            <w:pPr>
              <w:pStyle w:val="129"/>
              <w:widowControl w:val="0"/>
              <w:rPr>
                <w:rFonts w:eastAsia="Times New Roman"/>
                <w:color w:val="auto"/>
              </w:rPr>
            </w:pPr>
            <w:r>
              <w:rPr>
                <w:rFonts w:hint="eastAsia" w:eastAsia="Times New Roman"/>
                <w:color w:val="auto"/>
              </w:rPr>
              <w:t xml:space="preserve">5000.00 </w:t>
            </w:r>
          </w:p>
        </w:tc>
        <w:tc>
          <w:tcPr>
            <w:tcW w:w="1455" w:type="dxa"/>
            <w:vAlign w:val="center"/>
          </w:tcPr>
          <w:p w14:paraId="6848E7B4">
            <w:pPr>
              <w:pStyle w:val="129"/>
              <w:widowControl w:val="0"/>
              <w:rPr>
                <w:rFonts w:eastAsia="Times New Roman"/>
                <w:color w:val="auto"/>
              </w:rPr>
            </w:pPr>
            <w:r>
              <w:rPr>
                <w:rFonts w:hint="eastAsia" w:eastAsia="Times New Roman"/>
                <w:color w:val="auto"/>
              </w:rPr>
              <w:t xml:space="preserve">92.53 </w:t>
            </w:r>
          </w:p>
        </w:tc>
        <w:tc>
          <w:tcPr>
            <w:tcW w:w="1455" w:type="dxa"/>
            <w:vAlign w:val="center"/>
          </w:tcPr>
          <w:p w14:paraId="4FEDC0C7">
            <w:pPr>
              <w:pStyle w:val="129"/>
              <w:widowControl w:val="0"/>
              <w:rPr>
                <w:rFonts w:eastAsia="Times New Roman"/>
                <w:color w:val="auto"/>
              </w:rPr>
            </w:pPr>
            <w:r>
              <w:rPr>
                <w:rFonts w:hint="eastAsia" w:eastAsia="Times New Roman"/>
                <w:color w:val="auto"/>
              </w:rPr>
              <w:t xml:space="preserve">0.01 </w:t>
            </w:r>
          </w:p>
        </w:tc>
      </w:tr>
      <w:tr w14:paraId="1750F79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2" w:type="dxa"/>
            <w:vAlign w:val="center"/>
          </w:tcPr>
          <w:p w14:paraId="574F887B">
            <w:pPr>
              <w:pStyle w:val="129"/>
              <w:widowControl w:val="0"/>
              <w:rPr>
                <w:rFonts w:eastAsia="Times New Roman"/>
                <w:color w:val="auto"/>
              </w:rPr>
            </w:pPr>
            <w:r>
              <w:rPr>
                <w:rFonts w:hint="eastAsia" w:eastAsia="Times New Roman"/>
                <w:color w:val="auto"/>
              </w:rPr>
              <w:t xml:space="preserve">5000.00 </w:t>
            </w:r>
          </w:p>
        </w:tc>
        <w:tc>
          <w:tcPr>
            <w:tcW w:w="1818" w:type="dxa"/>
            <w:vAlign w:val="center"/>
          </w:tcPr>
          <w:p w14:paraId="2133B1B9">
            <w:pPr>
              <w:pStyle w:val="129"/>
              <w:widowControl w:val="0"/>
              <w:rPr>
                <w:rFonts w:eastAsia="Times New Roman"/>
                <w:color w:val="auto"/>
              </w:rPr>
            </w:pPr>
            <w:r>
              <w:rPr>
                <w:rFonts w:hint="eastAsia" w:eastAsia="Times New Roman"/>
                <w:color w:val="auto"/>
              </w:rPr>
              <w:t xml:space="preserve">62.36 </w:t>
            </w:r>
          </w:p>
        </w:tc>
        <w:tc>
          <w:tcPr>
            <w:tcW w:w="1455" w:type="dxa"/>
            <w:vAlign w:val="center"/>
          </w:tcPr>
          <w:p w14:paraId="5735D448">
            <w:pPr>
              <w:pStyle w:val="129"/>
              <w:widowControl w:val="0"/>
              <w:rPr>
                <w:rFonts w:eastAsia="Times New Roman"/>
                <w:color w:val="auto"/>
              </w:rPr>
            </w:pPr>
            <w:r>
              <w:rPr>
                <w:rFonts w:hint="eastAsia" w:eastAsia="Times New Roman"/>
                <w:color w:val="auto"/>
              </w:rPr>
              <w:t xml:space="preserve">2.71 </w:t>
            </w:r>
          </w:p>
        </w:tc>
        <w:tc>
          <w:tcPr>
            <w:tcW w:w="1455" w:type="dxa"/>
            <w:vAlign w:val="center"/>
          </w:tcPr>
          <w:p w14:paraId="471DB256">
            <w:pPr>
              <w:pStyle w:val="129"/>
              <w:widowControl w:val="0"/>
              <w:rPr>
                <w:rFonts w:eastAsia="Times New Roman"/>
                <w:color w:val="auto"/>
              </w:rPr>
            </w:pPr>
          </w:p>
        </w:tc>
        <w:tc>
          <w:tcPr>
            <w:tcW w:w="1455" w:type="dxa"/>
            <w:vAlign w:val="center"/>
          </w:tcPr>
          <w:p w14:paraId="594F6176">
            <w:pPr>
              <w:pStyle w:val="129"/>
              <w:widowControl w:val="0"/>
              <w:rPr>
                <w:rFonts w:eastAsia="Times New Roman"/>
                <w:color w:val="auto"/>
              </w:rPr>
            </w:pPr>
          </w:p>
        </w:tc>
        <w:tc>
          <w:tcPr>
            <w:tcW w:w="1455" w:type="dxa"/>
            <w:vAlign w:val="center"/>
          </w:tcPr>
          <w:p w14:paraId="555ACC00">
            <w:pPr>
              <w:pStyle w:val="129"/>
              <w:widowControl w:val="0"/>
              <w:rPr>
                <w:rFonts w:eastAsia="Times New Roman"/>
                <w:color w:val="auto"/>
              </w:rPr>
            </w:pPr>
          </w:p>
        </w:tc>
      </w:tr>
    </w:tbl>
    <w:p w14:paraId="7B4F01FF">
      <w:pPr>
        <w:spacing w:before="163" w:beforeLines="50"/>
        <w:jc w:val="center"/>
        <w:rPr>
          <w:rFonts w:hint="eastAsia" w:eastAsia="黑体"/>
          <w:color w:val="auto"/>
          <w:sz w:val="23"/>
          <w:szCs w:val="24"/>
        </w:rPr>
      </w:pPr>
    </w:p>
    <w:p w14:paraId="1189C41A">
      <w:pPr>
        <w:spacing w:before="163" w:beforeLines="50"/>
        <w:jc w:val="center"/>
        <w:rPr>
          <w:rFonts w:hint="eastAsia" w:eastAsia="黑体"/>
          <w:color w:val="auto"/>
          <w:sz w:val="23"/>
          <w:szCs w:val="24"/>
        </w:rPr>
      </w:pPr>
    </w:p>
    <w:p w14:paraId="183627CE">
      <w:pPr>
        <w:spacing w:before="163" w:beforeLines="50"/>
        <w:jc w:val="center"/>
        <w:rPr>
          <w:rFonts w:eastAsia="黑体"/>
          <w:color w:val="auto"/>
          <w:sz w:val="23"/>
          <w:szCs w:val="24"/>
        </w:rPr>
      </w:pP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7.7</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5</w:t>
      </w:r>
      <w:r>
        <w:rPr>
          <w:rFonts w:eastAsia="黑体"/>
          <w:color w:val="auto"/>
          <w:sz w:val="23"/>
          <w:szCs w:val="24"/>
        </w:rPr>
        <w:fldChar w:fldCharType="end"/>
      </w:r>
      <w:r>
        <w:rPr>
          <w:rFonts w:hint="eastAsia" w:eastAsia="黑体"/>
          <w:color w:val="auto"/>
          <w:sz w:val="23"/>
          <w:szCs w:val="24"/>
        </w:rPr>
        <w:t xml:space="preserve"> 氨泄漏事故阈值的廓线对应位置表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736"/>
        <w:gridCol w:w="1199"/>
        <w:gridCol w:w="1637"/>
        <w:gridCol w:w="48"/>
        <w:gridCol w:w="993"/>
        <w:gridCol w:w="84"/>
        <w:gridCol w:w="1179"/>
        <w:gridCol w:w="72"/>
        <w:gridCol w:w="1838"/>
      </w:tblGrid>
      <w:tr w14:paraId="5BA68A7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1654" w:type="pct"/>
            <w:gridSpan w:val="2"/>
            <w:noWrap/>
            <w:vAlign w:val="center"/>
          </w:tcPr>
          <w:p w14:paraId="70A1D12A">
            <w:pPr>
              <w:widowControl w:val="0"/>
              <w:spacing w:line="360" w:lineRule="exact"/>
              <w:jc w:val="center"/>
              <w:rPr>
                <w:color w:val="auto"/>
                <w:sz w:val="21"/>
                <w:szCs w:val="21"/>
              </w:rPr>
            </w:pPr>
            <w:r>
              <w:rPr>
                <w:rFonts w:hint="eastAsia"/>
                <w:color w:val="auto"/>
                <w:sz w:val="21"/>
                <w:szCs w:val="21"/>
              </w:rPr>
              <w:t>阈值</w:t>
            </w:r>
            <w:r>
              <w:rPr>
                <w:color w:val="auto"/>
                <w:sz w:val="21"/>
                <w:szCs w:val="21"/>
              </w:rPr>
              <w:t xml:space="preserve"> (mg/m</w:t>
            </w:r>
            <w:r>
              <w:rPr>
                <w:color w:val="auto"/>
                <w:sz w:val="21"/>
                <w:szCs w:val="21"/>
                <w:vertAlign w:val="superscript"/>
              </w:rPr>
              <w:t>3</w:t>
            </w:r>
            <w:r>
              <w:rPr>
                <w:color w:val="auto"/>
                <w:sz w:val="21"/>
                <w:szCs w:val="21"/>
              </w:rPr>
              <w:t>)</w:t>
            </w:r>
          </w:p>
        </w:tc>
        <w:tc>
          <w:tcPr>
            <w:tcW w:w="934" w:type="pct"/>
            <w:noWrap/>
            <w:vAlign w:val="center"/>
          </w:tcPr>
          <w:p w14:paraId="0AE23577">
            <w:pPr>
              <w:widowControl w:val="0"/>
              <w:spacing w:line="360" w:lineRule="exact"/>
              <w:jc w:val="center"/>
              <w:rPr>
                <w:color w:val="auto"/>
                <w:sz w:val="21"/>
                <w:szCs w:val="21"/>
              </w:rPr>
            </w:pPr>
            <w:r>
              <w:rPr>
                <w:color w:val="auto"/>
                <w:sz w:val="21"/>
                <w:szCs w:val="21"/>
              </w:rPr>
              <w:t>X</w:t>
            </w:r>
            <w:r>
              <w:rPr>
                <w:rFonts w:hint="eastAsia"/>
                <w:color w:val="auto"/>
                <w:sz w:val="21"/>
                <w:szCs w:val="21"/>
              </w:rPr>
              <w:t>起点</w:t>
            </w:r>
            <w:r>
              <w:rPr>
                <w:color w:val="auto"/>
                <w:sz w:val="21"/>
                <w:szCs w:val="21"/>
              </w:rPr>
              <w:t>(m)</w:t>
            </w:r>
          </w:p>
        </w:tc>
        <w:tc>
          <w:tcPr>
            <w:tcW w:w="597" w:type="pct"/>
            <w:gridSpan w:val="2"/>
            <w:noWrap/>
            <w:vAlign w:val="center"/>
          </w:tcPr>
          <w:p w14:paraId="2329DDCA">
            <w:pPr>
              <w:widowControl w:val="0"/>
              <w:spacing w:line="360" w:lineRule="exact"/>
              <w:jc w:val="center"/>
              <w:rPr>
                <w:color w:val="auto"/>
                <w:sz w:val="21"/>
                <w:szCs w:val="21"/>
              </w:rPr>
            </w:pPr>
            <w:r>
              <w:rPr>
                <w:color w:val="auto"/>
                <w:sz w:val="21"/>
                <w:szCs w:val="21"/>
              </w:rPr>
              <w:t>X</w:t>
            </w:r>
            <w:r>
              <w:rPr>
                <w:rFonts w:hint="eastAsia"/>
                <w:color w:val="auto"/>
                <w:sz w:val="21"/>
                <w:szCs w:val="21"/>
              </w:rPr>
              <w:t>终点</w:t>
            </w:r>
            <w:r>
              <w:rPr>
                <w:color w:val="auto"/>
                <w:sz w:val="21"/>
                <w:szCs w:val="21"/>
              </w:rPr>
              <w:t>(m)</w:t>
            </w:r>
          </w:p>
        </w:tc>
        <w:tc>
          <w:tcPr>
            <w:tcW w:w="723" w:type="pct"/>
            <w:gridSpan w:val="2"/>
            <w:noWrap/>
            <w:vAlign w:val="center"/>
          </w:tcPr>
          <w:p w14:paraId="182E53C5">
            <w:pPr>
              <w:widowControl w:val="0"/>
              <w:spacing w:line="360" w:lineRule="exact"/>
              <w:jc w:val="center"/>
              <w:rPr>
                <w:color w:val="auto"/>
                <w:sz w:val="21"/>
                <w:szCs w:val="21"/>
              </w:rPr>
            </w:pPr>
            <w:r>
              <w:rPr>
                <w:rFonts w:hint="eastAsia"/>
                <w:color w:val="auto"/>
                <w:sz w:val="21"/>
                <w:szCs w:val="21"/>
              </w:rPr>
              <w:t>最大半宽</w:t>
            </w:r>
            <w:r>
              <w:rPr>
                <w:color w:val="auto"/>
                <w:sz w:val="21"/>
                <w:szCs w:val="21"/>
              </w:rPr>
              <w:t>(m)</w:t>
            </w:r>
          </w:p>
        </w:tc>
        <w:tc>
          <w:tcPr>
            <w:tcW w:w="1090" w:type="pct"/>
            <w:gridSpan w:val="2"/>
            <w:noWrap/>
            <w:vAlign w:val="center"/>
          </w:tcPr>
          <w:p w14:paraId="445067AF">
            <w:pPr>
              <w:widowControl w:val="0"/>
              <w:spacing w:line="360" w:lineRule="exact"/>
              <w:jc w:val="center"/>
              <w:rPr>
                <w:color w:val="auto"/>
                <w:sz w:val="21"/>
                <w:szCs w:val="21"/>
              </w:rPr>
            </w:pPr>
            <w:r>
              <w:rPr>
                <w:rFonts w:hint="eastAsia"/>
                <w:color w:val="auto"/>
                <w:sz w:val="21"/>
                <w:szCs w:val="21"/>
              </w:rPr>
              <w:t>最大半宽对应</w:t>
            </w:r>
            <w:r>
              <w:rPr>
                <w:color w:val="auto"/>
                <w:sz w:val="21"/>
                <w:szCs w:val="21"/>
              </w:rPr>
              <w:t>X(m)</w:t>
            </w:r>
          </w:p>
        </w:tc>
      </w:tr>
      <w:tr w14:paraId="0D859B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969" w:type="pct"/>
            <w:vMerge w:val="restart"/>
            <w:tcBorders>
              <w:right w:val="single" w:color="auto" w:sz="4" w:space="0"/>
            </w:tcBorders>
            <w:noWrap/>
            <w:vAlign w:val="center"/>
          </w:tcPr>
          <w:p w14:paraId="1F1B455C">
            <w:pPr>
              <w:widowControl w:val="0"/>
              <w:spacing w:line="360" w:lineRule="exact"/>
              <w:jc w:val="center"/>
              <w:rPr>
                <w:color w:val="auto"/>
                <w:sz w:val="21"/>
                <w:szCs w:val="21"/>
              </w:rPr>
            </w:pPr>
            <w:r>
              <w:rPr>
                <w:rFonts w:hint="eastAsia"/>
                <w:color w:val="auto"/>
                <w:sz w:val="21"/>
                <w:szCs w:val="21"/>
              </w:rPr>
              <w:t>常规气象条件下</w:t>
            </w:r>
          </w:p>
        </w:tc>
        <w:tc>
          <w:tcPr>
            <w:tcW w:w="684" w:type="pct"/>
            <w:tcBorders>
              <w:left w:val="single" w:color="auto" w:sz="4" w:space="0"/>
            </w:tcBorders>
            <w:noWrap/>
            <w:vAlign w:val="center"/>
          </w:tcPr>
          <w:p w14:paraId="7440A87F">
            <w:pPr>
              <w:widowControl w:val="0"/>
              <w:spacing w:line="360" w:lineRule="exact"/>
              <w:jc w:val="center"/>
              <w:rPr>
                <w:color w:val="auto"/>
                <w:sz w:val="21"/>
                <w:szCs w:val="21"/>
              </w:rPr>
            </w:pPr>
            <w:r>
              <w:rPr>
                <w:rFonts w:hint="eastAsia"/>
                <w:color w:val="auto"/>
                <w:sz w:val="21"/>
                <w:szCs w:val="21"/>
              </w:rPr>
              <w:t>110</w:t>
            </w:r>
          </w:p>
        </w:tc>
        <w:tc>
          <w:tcPr>
            <w:tcW w:w="3345" w:type="pct"/>
            <w:gridSpan w:val="7"/>
            <w:noWrap/>
            <w:vAlign w:val="center"/>
          </w:tcPr>
          <w:p w14:paraId="6F8CF450">
            <w:pPr>
              <w:widowControl w:val="0"/>
              <w:spacing w:line="360" w:lineRule="exact"/>
              <w:jc w:val="center"/>
              <w:rPr>
                <w:color w:val="auto"/>
                <w:sz w:val="21"/>
                <w:szCs w:val="21"/>
              </w:rPr>
            </w:pPr>
            <w:r>
              <w:rPr>
                <w:rFonts w:hint="eastAsia" w:ascii="宋体" w:hAnsi="宋体"/>
                <w:color w:val="auto"/>
                <w:sz w:val="18"/>
                <w:szCs w:val="24"/>
                <w:lang w:val="zh-CN"/>
              </w:rPr>
              <w:t>此阈值及以上，无对应位置，因计算浓度均小于此阈值</w:t>
            </w:r>
          </w:p>
        </w:tc>
      </w:tr>
      <w:tr w14:paraId="319D621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969" w:type="pct"/>
            <w:vMerge w:val="continue"/>
            <w:tcBorders>
              <w:right w:val="single" w:color="auto" w:sz="4" w:space="0"/>
            </w:tcBorders>
            <w:noWrap/>
            <w:vAlign w:val="center"/>
          </w:tcPr>
          <w:p w14:paraId="59B3C905">
            <w:pPr>
              <w:widowControl w:val="0"/>
              <w:spacing w:line="360" w:lineRule="exact"/>
              <w:jc w:val="center"/>
              <w:rPr>
                <w:color w:val="auto"/>
                <w:sz w:val="21"/>
                <w:szCs w:val="21"/>
              </w:rPr>
            </w:pPr>
          </w:p>
        </w:tc>
        <w:tc>
          <w:tcPr>
            <w:tcW w:w="684" w:type="pct"/>
            <w:tcBorders>
              <w:left w:val="single" w:color="auto" w:sz="4" w:space="0"/>
            </w:tcBorders>
            <w:noWrap/>
            <w:vAlign w:val="center"/>
          </w:tcPr>
          <w:p w14:paraId="6133A339">
            <w:pPr>
              <w:widowControl w:val="0"/>
              <w:spacing w:line="360" w:lineRule="exact"/>
              <w:jc w:val="center"/>
              <w:rPr>
                <w:color w:val="auto"/>
                <w:sz w:val="21"/>
                <w:szCs w:val="21"/>
              </w:rPr>
            </w:pPr>
            <w:r>
              <w:rPr>
                <w:rFonts w:hint="eastAsia"/>
                <w:color w:val="auto"/>
                <w:sz w:val="21"/>
                <w:szCs w:val="21"/>
              </w:rPr>
              <w:t>770</w:t>
            </w:r>
          </w:p>
        </w:tc>
        <w:tc>
          <w:tcPr>
            <w:tcW w:w="3345" w:type="pct"/>
            <w:gridSpan w:val="7"/>
            <w:noWrap/>
            <w:vAlign w:val="center"/>
          </w:tcPr>
          <w:p w14:paraId="1509BCD1">
            <w:pPr>
              <w:widowControl w:val="0"/>
              <w:spacing w:line="360" w:lineRule="exact"/>
              <w:jc w:val="center"/>
              <w:rPr>
                <w:color w:val="auto"/>
                <w:sz w:val="21"/>
                <w:szCs w:val="21"/>
              </w:rPr>
            </w:pPr>
            <w:r>
              <w:rPr>
                <w:rFonts w:hint="eastAsia" w:ascii="宋体" w:hAnsi="宋体"/>
                <w:color w:val="auto"/>
                <w:sz w:val="18"/>
                <w:szCs w:val="24"/>
                <w:lang w:val="zh-CN"/>
              </w:rPr>
              <w:t>此阈值及以上，无对应位置，因计算浓度均小于此阈值</w:t>
            </w:r>
          </w:p>
        </w:tc>
      </w:tr>
      <w:tr w14:paraId="0ED611E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969" w:type="pct"/>
            <w:vMerge w:val="restart"/>
            <w:tcBorders>
              <w:right w:val="single" w:color="auto" w:sz="4" w:space="0"/>
            </w:tcBorders>
            <w:noWrap/>
            <w:vAlign w:val="center"/>
          </w:tcPr>
          <w:p w14:paraId="7DC9B13F">
            <w:pPr>
              <w:widowControl w:val="0"/>
              <w:spacing w:line="360" w:lineRule="exact"/>
              <w:jc w:val="center"/>
              <w:rPr>
                <w:color w:val="auto"/>
                <w:sz w:val="21"/>
                <w:szCs w:val="21"/>
              </w:rPr>
            </w:pPr>
            <w:r>
              <w:rPr>
                <w:rFonts w:hint="eastAsia"/>
                <w:color w:val="auto"/>
                <w:sz w:val="21"/>
                <w:szCs w:val="21"/>
              </w:rPr>
              <w:t>最不利气象条件下</w:t>
            </w:r>
          </w:p>
        </w:tc>
        <w:tc>
          <w:tcPr>
            <w:tcW w:w="684" w:type="pct"/>
            <w:tcBorders>
              <w:left w:val="single" w:color="auto" w:sz="4" w:space="0"/>
            </w:tcBorders>
            <w:noWrap/>
            <w:vAlign w:val="center"/>
          </w:tcPr>
          <w:p w14:paraId="3DA1BF5D">
            <w:pPr>
              <w:widowControl w:val="0"/>
              <w:spacing w:line="360" w:lineRule="exact"/>
              <w:jc w:val="center"/>
              <w:rPr>
                <w:color w:val="auto"/>
                <w:sz w:val="21"/>
                <w:szCs w:val="21"/>
              </w:rPr>
            </w:pPr>
            <w:r>
              <w:rPr>
                <w:rFonts w:hint="eastAsia"/>
                <w:color w:val="auto"/>
                <w:sz w:val="21"/>
                <w:szCs w:val="21"/>
              </w:rPr>
              <w:t>110</w:t>
            </w:r>
          </w:p>
        </w:tc>
        <w:tc>
          <w:tcPr>
            <w:tcW w:w="963" w:type="pct"/>
            <w:gridSpan w:val="2"/>
            <w:tcBorders>
              <w:right w:val="single" w:color="auto" w:sz="4" w:space="0"/>
            </w:tcBorders>
            <w:noWrap/>
            <w:vAlign w:val="center"/>
          </w:tcPr>
          <w:p w14:paraId="013727D5">
            <w:pPr>
              <w:widowControl w:val="0"/>
              <w:spacing w:line="360" w:lineRule="exact"/>
              <w:jc w:val="center"/>
              <w:rPr>
                <w:color w:val="auto"/>
                <w:sz w:val="21"/>
                <w:szCs w:val="21"/>
              </w:rPr>
            </w:pPr>
            <w:r>
              <w:rPr>
                <w:rFonts w:hint="eastAsia"/>
                <w:color w:val="auto"/>
                <w:sz w:val="21"/>
                <w:szCs w:val="21"/>
              </w:rPr>
              <w:t>40</w:t>
            </w:r>
          </w:p>
        </w:tc>
        <w:tc>
          <w:tcPr>
            <w:tcW w:w="618" w:type="pct"/>
            <w:gridSpan w:val="2"/>
            <w:tcBorders>
              <w:left w:val="single" w:color="auto" w:sz="4" w:space="0"/>
              <w:right w:val="single" w:color="auto" w:sz="4" w:space="0"/>
            </w:tcBorders>
            <w:noWrap/>
            <w:vAlign w:val="center"/>
          </w:tcPr>
          <w:p w14:paraId="3BFFD013">
            <w:pPr>
              <w:widowControl w:val="0"/>
              <w:spacing w:line="360" w:lineRule="exact"/>
              <w:jc w:val="center"/>
              <w:rPr>
                <w:color w:val="auto"/>
                <w:sz w:val="21"/>
                <w:szCs w:val="21"/>
              </w:rPr>
            </w:pPr>
            <w:r>
              <w:rPr>
                <w:rFonts w:hint="eastAsia"/>
                <w:color w:val="auto"/>
                <w:sz w:val="21"/>
                <w:szCs w:val="21"/>
              </w:rPr>
              <w:t>370</w:t>
            </w:r>
          </w:p>
        </w:tc>
        <w:tc>
          <w:tcPr>
            <w:tcW w:w="716" w:type="pct"/>
            <w:gridSpan w:val="2"/>
            <w:tcBorders>
              <w:left w:val="single" w:color="auto" w:sz="4" w:space="0"/>
              <w:right w:val="single" w:color="auto" w:sz="4" w:space="0"/>
            </w:tcBorders>
            <w:noWrap/>
            <w:vAlign w:val="center"/>
          </w:tcPr>
          <w:p w14:paraId="5FDE3D7F">
            <w:pPr>
              <w:widowControl w:val="0"/>
              <w:spacing w:line="360" w:lineRule="exact"/>
              <w:jc w:val="center"/>
              <w:rPr>
                <w:color w:val="auto"/>
                <w:sz w:val="21"/>
                <w:szCs w:val="21"/>
              </w:rPr>
            </w:pPr>
            <w:r>
              <w:rPr>
                <w:rFonts w:hint="eastAsia"/>
                <w:color w:val="auto"/>
                <w:sz w:val="21"/>
                <w:szCs w:val="21"/>
              </w:rPr>
              <w:t>10</w:t>
            </w:r>
          </w:p>
        </w:tc>
        <w:tc>
          <w:tcPr>
            <w:tcW w:w="1046" w:type="pct"/>
            <w:tcBorders>
              <w:left w:val="single" w:color="auto" w:sz="4" w:space="0"/>
            </w:tcBorders>
            <w:noWrap/>
            <w:vAlign w:val="center"/>
          </w:tcPr>
          <w:p w14:paraId="6BEA1936">
            <w:pPr>
              <w:widowControl w:val="0"/>
              <w:spacing w:line="360" w:lineRule="exact"/>
              <w:jc w:val="center"/>
              <w:rPr>
                <w:color w:val="auto"/>
                <w:sz w:val="21"/>
                <w:szCs w:val="21"/>
              </w:rPr>
            </w:pPr>
            <w:r>
              <w:rPr>
                <w:rFonts w:hint="eastAsia"/>
                <w:color w:val="auto"/>
                <w:sz w:val="21"/>
                <w:szCs w:val="21"/>
              </w:rPr>
              <w:t>190</w:t>
            </w:r>
          </w:p>
        </w:tc>
      </w:tr>
      <w:tr w14:paraId="50E95EA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969" w:type="pct"/>
            <w:vMerge w:val="continue"/>
            <w:tcBorders>
              <w:right w:val="single" w:color="auto" w:sz="4" w:space="0"/>
            </w:tcBorders>
            <w:noWrap/>
            <w:vAlign w:val="center"/>
          </w:tcPr>
          <w:p w14:paraId="457A5464">
            <w:pPr>
              <w:widowControl w:val="0"/>
              <w:spacing w:line="360" w:lineRule="exact"/>
              <w:jc w:val="center"/>
              <w:rPr>
                <w:color w:val="auto"/>
                <w:sz w:val="21"/>
                <w:szCs w:val="21"/>
              </w:rPr>
            </w:pPr>
          </w:p>
        </w:tc>
        <w:tc>
          <w:tcPr>
            <w:tcW w:w="684" w:type="pct"/>
            <w:tcBorders>
              <w:left w:val="single" w:color="auto" w:sz="4" w:space="0"/>
            </w:tcBorders>
            <w:noWrap/>
            <w:vAlign w:val="center"/>
          </w:tcPr>
          <w:p w14:paraId="01044903">
            <w:pPr>
              <w:widowControl w:val="0"/>
              <w:spacing w:line="360" w:lineRule="exact"/>
              <w:jc w:val="center"/>
              <w:rPr>
                <w:color w:val="auto"/>
                <w:sz w:val="21"/>
                <w:szCs w:val="21"/>
              </w:rPr>
            </w:pPr>
            <w:r>
              <w:rPr>
                <w:rFonts w:hint="eastAsia"/>
                <w:color w:val="auto"/>
                <w:sz w:val="21"/>
                <w:szCs w:val="21"/>
              </w:rPr>
              <w:t>770</w:t>
            </w:r>
          </w:p>
        </w:tc>
        <w:tc>
          <w:tcPr>
            <w:tcW w:w="3345" w:type="pct"/>
            <w:gridSpan w:val="7"/>
            <w:noWrap/>
            <w:vAlign w:val="center"/>
          </w:tcPr>
          <w:p w14:paraId="1C71B2E9">
            <w:pPr>
              <w:widowControl w:val="0"/>
              <w:jc w:val="center"/>
              <w:rPr>
                <w:color w:val="auto"/>
                <w:sz w:val="21"/>
                <w:szCs w:val="21"/>
              </w:rPr>
            </w:pPr>
            <w:r>
              <w:rPr>
                <w:rFonts w:hint="eastAsia" w:ascii="宋体" w:hAnsi="宋体"/>
                <w:color w:val="auto"/>
                <w:sz w:val="18"/>
                <w:szCs w:val="24"/>
                <w:lang w:val="zh-CN"/>
              </w:rPr>
              <w:t>此阈值及以上，无对应位置，因计算浓度均小于此阈值</w:t>
            </w:r>
          </w:p>
        </w:tc>
      </w:tr>
    </w:tbl>
    <w:p w14:paraId="390DC7DE">
      <w:pPr>
        <w:rPr>
          <w:color w:val="auto"/>
        </w:rPr>
      </w:pPr>
    </w:p>
    <w:p w14:paraId="60B9678A">
      <w:pPr>
        <w:spacing w:line="360" w:lineRule="auto"/>
        <w:ind w:firstLine="480" w:firstLineChars="200"/>
        <w:jc w:val="both"/>
        <w:rPr>
          <w:color w:val="auto"/>
          <w:sz w:val="24"/>
          <w:szCs w:val="24"/>
        </w:rPr>
      </w:pPr>
      <w:r>
        <w:rPr>
          <w:color w:val="auto"/>
          <w:sz w:val="24"/>
          <w:szCs w:val="24"/>
        </w:rPr>
        <w:t>（</w:t>
      </w:r>
      <w:r>
        <w:rPr>
          <w:rFonts w:hint="eastAsia"/>
          <w:color w:val="auto"/>
          <w:sz w:val="24"/>
          <w:szCs w:val="24"/>
        </w:rPr>
        <w:t>2</w:t>
      </w:r>
      <w:r>
        <w:rPr>
          <w:color w:val="auto"/>
          <w:sz w:val="24"/>
          <w:szCs w:val="24"/>
        </w:rPr>
        <w:t>）</w:t>
      </w:r>
      <w:r>
        <w:rPr>
          <w:rFonts w:hint="eastAsia"/>
          <w:color w:val="auto"/>
          <w:sz w:val="24"/>
          <w:szCs w:val="24"/>
        </w:rPr>
        <w:t>天然气输送管道泄漏</w:t>
      </w:r>
    </w:p>
    <w:p w14:paraId="43C5F572">
      <w:pPr>
        <w:spacing w:line="360" w:lineRule="auto"/>
        <w:ind w:firstLine="480" w:firstLineChars="200"/>
        <w:jc w:val="both"/>
        <w:rPr>
          <w:color w:val="auto"/>
          <w:sz w:val="24"/>
          <w:szCs w:val="24"/>
        </w:rPr>
      </w:pPr>
      <w:r>
        <w:rPr>
          <w:color w:val="auto"/>
          <w:sz w:val="24"/>
          <w:szCs w:val="24"/>
        </w:rPr>
        <w:t>经多烟团模式AFTOX模型预测，</w:t>
      </w:r>
      <w:r>
        <w:rPr>
          <w:rFonts w:hint="eastAsia"/>
          <w:color w:val="auto"/>
          <w:sz w:val="24"/>
          <w:szCs w:val="24"/>
        </w:rPr>
        <w:t>天然气管道泄漏</w:t>
      </w:r>
      <w:r>
        <w:rPr>
          <w:color w:val="auto"/>
          <w:sz w:val="24"/>
          <w:szCs w:val="24"/>
        </w:rPr>
        <w:t>事故中，</w:t>
      </w:r>
      <w:r>
        <w:rPr>
          <w:rFonts w:hint="eastAsia"/>
          <w:color w:val="auto"/>
          <w:sz w:val="24"/>
          <w:szCs w:val="24"/>
        </w:rPr>
        <w:t>甲烷的“毒性终点浓度-1”和“毒性终点浓度-2”均无对应位置；此范围内不涉及敏感保护目标，对敏感目标基本没有影响。</w:t>
      </w:r>
    </w:p>
    <w:p w14:paraId="1C65E7DD">
      <w:pPr>
        <w:pStyle w:val="132"/>
        <w:rPr>
          <w:color w:val="auto"/>
        </w:rPr>
      </w:pPr>
      <w:r>
        <w:rPr>
          <w:color w:val="auto"/>
        </w:rPr>
        <w:t>轴线最大浓度见</w:t>
      </w:r>
      <w:r>
        <w:rPr>
          <w:color w:val="auto"/>
        </w:rPr>
        <w:fldChar w:fldCharType="begin"/>
      </w:r>
      <w:r>
        <w:rPr>
          <w:color w:val="auto"/>
        </w:rPr>
        <w:instrText xml:space="preserve"> REF _Ref10565 \h  \* MERGEFORMAT </w:instrText>
      </w:r>
      <w:r>
        <w:rPr>
          <w:color w:val="auto"/>
        </w:rPr>
        <w:fldChar w:fldCharType="separate"/>
      </w: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6</w:t>
      </w:r>
      <w:r>
        <w:rPr>
          <w:color w:val="auto"/>
        </w:rPr>
        <w:fldChar w:fldCharType="end"/>
      </w:r>
      <w:r>
        <w:rPr>
          <w:color w:val="auto"/>
        </w:rPr>
        <w:t>，各阈值的廓线对应的位置见</w:t>
      </w:r>
      <w:r>
        <w:rPr>
          <w:color w:val="auto"/>
        </w:rPr>
        <w:fldChar w:fldCharType="begin"/>
      </w:r>
      <w:r>
        <w:rPr>
          <w:color w:val="auto"/>
        </w:rPr>
        <w:instrText xml:space="preserve"> REF _Ref10565 \h  \* MERGEFORMAT </w:instrText>
      </w:r>
      <w:r>
        <w:rPr>
          <w:color w:val="auto"/>
        </w:rPr>
        <w:fldChar w:fldCharType="separate"/>
      </w: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7</w:t>
      </w:r>
      <w:r>
        <w:rPr>
          <w:color w:val="auto"/>
        </w:rPr>
        <w:fldChar w:fldCharType="end"/>
      </w:r>
      <w:r>
        <w:rPr>
          <w:color w:val="auto"/>
        </w:rPr>
        <w:t>、</w:t>
      </w:r>
      <w:r>
        <w:rPr>
          <w:color w:val="auto"/>
        </w:rPr>
        <w:fldChar w:fldCharType="begin"/>
      </w:r>
      <w:r>
        <w:rPr>
          <w:color w:val="auto"/>
        </w:rPr>
        <w:instrText xml:space="preserve"> REF _Ref8832 \h  \* MERGEFORMAT </w:instrText>
      </w:r>
      <w:r>
        <w:rPr>
          <w:color w:val="auto"/>
        </w:rPr>
        <w:fldChar w:fldCharType="separate"/>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4</w:t>
      </w:r>
      <w:r>
        <w:rPr>
          <w:color w:val="auto"/>
        </w:rPr>
        <w:fldChar w:fldCharType="end"/>
      </w:r>
      <w:r>
        <w:rPr>
          <w:color w:val="auto"/>
        </w:rPr>
        <w:t>、，天然气管道泄漏事故网格点浓度图见</w:t>
      </w:r>
      <w:r>
        <w:rPr>
          <w:color w:val="auto"/>
        </w:rPr>
        <w:fldChar w:fldCharType="begin"/>
      </w:r>
      <w:r>
        <w:rPr>
          <w:color w:val="auto"/>
        </w:rPr>
        <w:instrText xml:space="preserve"> REF _Ref9077 \h  \* MERGEFORMAT </w:instrText>
      </w:r>
      <w:r>
        <w:rPr>
          <w:color w:val="auto"/>
        </w:rPr>
        <w:fldChar w:fldCharType="separate"/>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5</w:t>
      </w:r>
      <w:r>
        <w:rPr>
          <w:color w:val="auto"/>
        </w:rPr>
        <w:fldChar w:fldCharType="end"/>
      </w:r>
      <w:r>
        <w:rPr>
          <w:color w:val="auto"/>
        </w:rPr>
        <w:t>。</w:t>
      </w:r>
    </w:p>
    <w:p w14:paraId="0C7CCDC6">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7.7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6</w:t>
      </w:r>
      <w:r>
        <w:rPr>
          <w:color w:val="auto"/>
        </w:rPr>
        <w:fldChar w:fldCharType="end"/>
      </w:r>
      <w:r>
        <w:rPr>
          <w:rFonts w:hint="eastAsia"/>
          <w:color w:val="auto"/>
        </w:rPr>
        <w:t xml:space="preserve"> 天然气泄漏事轴线最大浓度</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818"/>
        <w:gridCol w:w="1455"/>
        <w:gridCol w:w="1455"/>
        <w:gridCol w:w="1455"/>
        <w:gridCol w:w="1455"/>
      </w:tblGrid>
      <w:tr w14:paraId="2D79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gridSpan w:val="3"/>
          </w:tcPr>
          <w:p w14:paraId="2AEED928">
            <w:pPr>
              <w:pStyle w:val="129"/>
              <w:rPr>
                <w:color w:val="auto"/>
              </w:rPr>
            </w:pPr>
            <w:r>
              <w:rPr>
                <w:rFonts w:hint="eastAsia"/>
                <w:color w:val="auto"/>
              </w:rPr>
              <w:t>常规气象条件下</w:t>
            </w:r>
          </w:p>
        </w:tc>
        <w:tc>
          <w:tcPr>
            <w:tcW w:w="4365" w:type="dxa"/>
            <w:gridSpan w:val="3"/>
          </w:tcPr>
          <w:p w14:paraId="280D9E29">
            <w:pPr>
              <w:pStyle w:val="129"/>
              <w:rPr>
                <w:color w:val="auto"/>
              </w:rPr>
            </w:pPr>
            <w:r>
              <w:rPr>
                <w:rFonts w:hint="eastAsia"/>
                <w:color w:val="auto"/>
              </w:rPr>
              <w:t>最不利气象条件下</w:t>
            </w:r>
          </w:p>
        </w:tc>
      </w:tr>
      <w:tr w14:paraId="1E49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249BD7A9">
            <w:pPr>
              <w:pStyle w:val="129"/>
              <w:rPr>
                <w:color w:val="auto"/>
              </w:rPr>
            </w:pPr>
            <w:r>
              <w:rPr>
                <w:rFonts w:hint="eastAsia"/>
                <w:color w:val="auto"/>
              </w:rPr>
              <w:t>距离 (m)</w:t>
            </w:r>
          </w:p>
        </w:tc>
        <w:tc>
          <w:tcPr>
            <w:tcW w:w="1818" w:type="dxa"/>
            <w:vAlign w:val="center"/>
          </w:tcPr>
          <w:p w14:paraId="09AD3D4C">
            <w:pPr>
              <w:pStyle w:val="129"/>
              <w:rPr>
                <w:color w:val="auto"/>
              </w:rPr>
            </w:pPr>
            <w:r>
              <w:rPr>
                <w:rFonts w:hint="eastAsia"/>
                <w:color w:val="auto"/>
              </w:rPr>
              <w:t>浓度出现时间（min）</w:t>
            </w:r>
          </w:p>
        </w:tc>
        <w:tc>
          <w:tcPr>
            <w:tcW w:w="1455" w:type="dxa"/>
            <w:vAlign w:val="center"/>
          </w:tcPr>
          <w:p w14:paraId="56154A59">
            <w:pPr>
              <w:pStyle w:val="129"/>
              <w:rPr>
                <w:color w:val="auto"/>
              </w:rPr>
            </w:pPr>
            <w:r>
              <w:rPr>
                <w:rFonts w:hint="eastAsia"/>
                <w:color w:val="auto"/>
              </w:rPr>
              <w:t>高峰浓度(mg/m</w:t>
            </w:r>
            <w:r>
              <w:rPr>
                <w:rFonts w:hint="eastAsia"/>
                <w:color w:val="auto"/>
                <w:vertAlign w:val="superscript"/>
              </w:rPr>
              <w:t>3</w:t>
            </w:r>
            <w:r>
              <w:rPr>
                <w:rFonts w:hint="eastAsia"/>
                <w:color w:val="auto"/>
              </w:rPr>
              <w:t>)</w:t>
            </w:r>
          </w:p>
        </w:tc>
        <w:tc>
          <w:tcPr>
            <w:tcW w:w="1455" w:type="dxa"/>
            <w:vAlign w:val="center"/>
          </w:tcPr>
          <w:p w14:paraId="09D22BF3">
            <w:pPr>
              <w:pStyle w:val="129"/>
              <w:rPr>
                <w:color w:val="auto"/>
              </w:rPr>
            </w:pPr>
            <w:r>
              <w:rPr>
                <w:rFonts w:hint="eastAsia"/>
                <w:color w:val="auto"/>
              </w:rPr>
              <w:t>距离 (m)</w:t>
            </w:r>
          </w:p>
        </w:tc>
        <w:tc>
          <w:tcPr>
            <w:tcW w:w="1455" w:type="dxa"/>
            <w:vAlign w:val="center"/>
          </w:tcPr>
          <w:p w14:paraId="5EECC72B">
            <w:pPr>
              <w:pStyle w:val="129"/>
              <w:rPr>
                <w:color w:val="auto"/>
              </w:rPr>
            </w:pPr>
            <w:r>
              <w:rPr>
                <w:rFonts w:hint="eastAsia"/>
                <w:color w:val="auto"/>
              </w:rPr>
              <w:t>浓度出现时间（min）</w:t>
            </w:r>
          </w:p>
        </w:tc>
        <w:tc>
          <w:tcPr>
            <w:tcW w:w="1455" w:type="dxa"/>
            <w:vAlign w:val="center"/>
          </w:tcPr>
          <w:p w14:paraId="3CA197CF">
            <w:pPr>
              <w:pStyle w:val="129"/>
              <w:rPr>
                <w:color w:val="auto"/>
              </w:rPr>
            </w:pPr>
            <w:r>
              <w:rPr>
                <w:rFonts w:hint="eastAsia"/>
                <w:color w:val="auto"/>
              </w:rPr>
              <w:t>高峰浓度(mg/m</w:t>
            </w:r>
            <w:r>
              <w:rPr>
                <w:rFonts w:hint="eastAsia"/>
                <w:color w:val="auto"/>
                <w:vertAlign w:val="superscript"/>
              </w:rPr>
              <w:t>3</w:t>
            </w:r>
            <w:r>
              <w:rPr>
                <w:rFonts w:hint="eastAsia"/>
                <w:color w:val="auto"/>
              </w:rPr>
              <w:t>)</w:t>
            </w:r>
          </w:p>
        </w:tc>
      </w:tr>
      <w:tr w14:paraId="362E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0DC63F8F">
            <w:pPr>
              <w:pStyle w:val="129"/>
              <w:rPr>
                <w:color w:val="auto"/>
              </w:rPr>
            </w:pPr>
            <w:r>
              <w:rPr>
                <w:rFonts w:hint="eastAsia"/>
                <w:color w:val="auto"/>
              </w:rPr>
              <w:t xml:space="preserve">10.00 </w:t>
            </w:r>
          </w:p>
        </w:tc>
        <w:tc>
          <w:tcPr>
            <w:tcW w:w="1818" w:type="dxa"/>
            <w:vAlign w:val="center"/>
          </w:tcPr>
          <w:p w14:paraId="0980FF8F">
            <w:pPr>
              <w:pStyle w:val="129"/>
              <w:rPr>
                <w:color w:val="auto"/>
              </w:rPr>
            </w:pPr>
            <w:r>
              <w:rPr>
                <w:rFonts w:hint="eastAsia"/>
                <w:color w:val="auto"/>
              </w:rPr>
              <w:t xml:space="preserve">0.17 </w:t>
            </w:r>
          </w:p>
        </w:tc>
        <w:tc>
          <w:tcPr>
            <w:tcW w:w="1455" w:type="dxa"/>
            <w:vAlign w:val="center"/>
          </w:tcPr>
          <w:p w14:paraId="34D8C3AD">
            <w:pPr>
              <w:pStyle w:val="129"/>
              <w:rPr>
                <w:color w:val="auto"/>
              </w:rPr>
            </w:pPr>
            <w:r>
              <w:rPr>
                <w:rFonts w:hint="eastAsia"/>
                <w:color w:val="auto"/>
              </w:rPr>
              <w:t xml:space="preserve">5.74 </w:t>
            </w:r>
          </w:p>
        </w:tc>
        <w:tc>
          <w:tcPr>
            <w:tcW w:w="1455" w:type="dxa"/>
            <w:vAlign w:val="center"/>
          </w:tcPr>
          <w:p w14:paraId="7AD79C8F">
            <w:pPr>
              <w:pStyle w:val="129"/>
              <w:rPr>
                <w:color w:val="auto"/>
              </w:rPr>
            </w:pPr>
            <w:r>
              <w:rPr>
                <w:rFonts w:hint="eastAsia"/>
                <w:color w:val="auto"/>
              </w:rPr>
              <w:t xml:space="preserve">10.00 </w:t>
            </w:r>
          </w:p>
        </w:tc>
        <w:tc>
          <w:tcPr>
            <w:tcW w:w="1455" w:type="dxa"/>
            <w:vAlign w:val="center"/>
          </w:tcPr>
          <w:p w14:paraId="3C9E1C8D">
            <w:pPr>
              <w:pStyle w:val="129"/>
              <w:rPr>
                <w:color w:val="auto"/>
              </w:rPr>
            </w:pPr>
            <w:r>
              <w:rPr>
                <w:rFonts w:hint="eastAsia"/>
                <w:color w:val="auto"/>
              </w:rPr>
              <w:t xml:space="preserve">0.11 </w:t>
            </w:r>
          </w:p>
        </w:tc>
        <w:tc>
          <w:tcPr>
            <w:tcW w:w="1455" w:type="dxa"/>
            <w:vAlign w:val="center"/>
          </w:tcPr>
          <w:p w14:paraId="18BA17C7">
            <w:pPr>
              <w:pStyle w:val="129"/>
              <w:rPr>
                <w:color w:val="auto"/>
              </w:rPr>
            </w:pPr>
            <w:r>
              <w:rPr>
                <w:rFonts w:hint="eastAsia"/>
                <w:color w:val="auto"/>
              </w:rPr>
              <w:t xml:space="preserve">0.00 </w:t>
            </w:r>
          </w:p>
        </w:tc>
      </w:tr>
      <w:tr w14:paraId="269B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43A7A6BE">
            <w:pPr>
              <w:pStyle w:val="129"/>
              <w:rPr>
                <w:color w:val="auto"/>
              </w:rPr>
            </w:pPr>
            <w:r>
              <w:rPr>
                <w:rFonts w:hint="eastAsia"/>
                <w:color w:val="auto"/>
              </w:rPr>
              <w:t xml:space="preserve">20.00 </w:t>
            </w:r>
          </w:p>
        </w:tc>
        <w:tc>
          <w:tcPr>
            <w:tcW w:w="1818" w:type="dxa"/>
            <w:vAlign w:val="center"/>
          </w:tcPr>
          <w:p w14:paraId="11B4958D">
            <w:pPr>
              <w:pStyle w:val="129"/>
              <w:rPr>
                <w:color w:val="auto"/>
              </w:rPr>
            </w:pPr>
            <w:r>
              <w:rPr>
                <w:rFonts w:hint="eastAsia"/>
                <w:color w:val="auto"/>
              </w:rPr>
              <w:t xml:space="preserve">0.34 </w:t>
            </w:r>
          </w:p>
        </w:tc>
        <w:tc>
          <w:tcPr>
            <w:tcW w:w="1455" w:type="dxa"/>
            <w:vAlign w:val="center"/>
          </w:tcPr>
          <w:p w14:paraId="57DA037C">
            <w:pPr>
              <w:pStyle w:val="129"/>
              <w:rPr>
                <w:color w:val="auto"/>
              </w:rPr>
            </w:pPr>
            <w:r>
              <w:rPr>
                <w:rFonts w:hint="eastAsia"/>
                <w:color w:val="auto"/>
              </w:rPr>
              <w:t xml:space="preserve">219.45 </w:t>
            </w:r>
          </w:p>
        </w:tc>
        <w:tc>
          <w:tcPr>
            <w:tcW w:w="1455" w:type="dxa"/>
            <w:vAlign w:val="center"/>
          </w:tcPr>
          <w:p w14:paraId="61C48DE7">
            <w:pPr>
              <w:pStyle w:val="129"/>
              <w:rPr>
                <w:color w:val="auto"/>
              </w:rPr>
            </w:pPr>
            <w:r>
              <w:rPr>
                <w:rFonts w:hint="eastAsia"/>
                <w:color w:val="auto"/>
              </w:rPr>
              <w:t xml:space="preserve">20.00 </w:t>
            </w:r>
          </w:p>
        </w:tc>
        <w:tc>
          <w:tcPr>
            <w:tcW w:w="1455" w:type="dxa"/>
            <w:vAlign w:val="center"/>
          </w:tcPr>
          <w:p w14:paraId="4C84B94C">
            <w:pPr>
              <w:pStyle w:val="129"/>
              <w:rPr>
                <w:color w:val="auto"/>
              </w:rPr>
            </w:pPr>
            <w:r>
              <w:rPr>
                <w:rFonts w:hint="eastAsia"/>
                <w:color w:val="auto"/>
              </w:rPr>
              <w:t xml:space="preserve">0.22 </w:t>
            </w:r>
          </w:p>
        </w:tc>
        <w:tc>
          <w:tcPr>
            <w:tcW w:w="1455" w:type="dxa"/>
            <w:vAlign w:val="center"/>
          </w:tcPr>
          <w:p w14:paraId="1AC58568">
            <w:pPr>
              <w:pStyle w:val="129"/>
              <w:rPr>
                <w:color w:val="auto"/>
              </w:rPr>
            </w:pPr>
            <w:r>
              <w:rPr>
                <w:rFonts w:hint="eastAsia"/>
                <w:color w:val="auto"/>
              </w:rPr>
              <w:t xml:space="preserve">4.63 </w:t>
            </w:r>
          </w:p>
        </w:tc>
      </w:tr>
      <w:tr w14:paraId="2792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3EBDF681">
            <w:pPr>
              <w:pStyle w:val="129"/>
              <w:rPr>
                <w:color w:val="auto"/>
              </w:rPr>
            </w:pPr>
            <w:r>
              <w:rPr>
                <w:rFonts w:hint="eastAsia"/>
                <w:color w:val="auto"/>
              </w:rPr>
              <w:t xml:space="preserve">30.00 </w:t>
            </w:r>
          </w:p>
        </w:tc>
        <w:tc>
          <w:tcPr>
            <w:tcW w:w="1818" w:type="dxa"/>
            <w:vAlign w:val="center"/>
          </w:tcPr>
          <w:p w14:paraId="18A69326">
            <w:pPr>
              <w:pStyle w:val="129"/>
              <w:rPr>
                <w:color w:val="auto"/>
              </w:rPr>
            </w:pPr>
            <w:r>
              <w:rPr>
                <w:rFonts w:hint="eastAsia"/>
                <w:color w:val="auto"/>
              </w:rPr>
              <w:t xml:space="preserve">0.51 </w:t>
            </w:r>
          </w:p>
        </w:tc>
        <w:tc>
          <w:tcPr>
            <w:tcW w:w="1455" w:type="dxa"/>
            <w:vAlign w:val="center"/>
          </w:tcPr>
          <w:p w14:paraId="4967DBF1">
            <w:pPr>
              <w:pStyle w:val="129"/>
              <w:rPr>
                <w:color w:val="auto"/>
              </w:rPr>
            </w:pPr>
            <w:r>
              <w:rPr>
                <w:rFonts w:hint="eastAsia"/>
                <w:color w:val="auto"/>
              </w:rPr>
              <w:t xml:space="preserve">207.55 </w:t>
            </w:r>
          </w:p>
        </w:tc>
        <w:tc>
          <w:tcPr>
            <w:tcW w:w="1455" w:type="dxa"/>
            <w:vAlign w:val="center"/>
          </w:tcPr>
          <w:p w14:paraId="306D7CCD">
            <w:pPr>
              <w:pStyle w:val="129"/>
              <w:rPr>
                <w:color w:val="auto"/>
              </w:rPr>
            </w:pPr>
            <w:r>
              <w:rPr>
                <w:rFonts w:hint="eastAsia"/>
                <w:color w:val="auto"/>
              </w:rPr>
              <w:t xml:space="preserve">30.00 </w:t>
            </w:r>
          </w:p>
        </w:tc>
        <w:tc>
          <w:tcPr>
            <w:tcW w:w="1455" w:type="dxa"/>
            <w:vAlign w:val="center"/>
          </w:tcPr>
          <w:p w14:paraId="73598C8D">
            <w:pPr>
              <w:pStyle w:val="129"/>
              <w:rPr>
                <w:color w:val="auto"/>
              </w:rPr>
            </w:pPr>
            <w:r>
              <w:rPr>
                <w:rFonts w:hint="eastAsia"/>
                <w:color w:val="auto"/>
              </w:rPr>
              <w:t xml:space="preserve">0.33 </w:t>
            </w:r>
          </w:p>
        </w:tc>
        <w:tc>
          <w:tcPr>
            <w:tcW w:w="1455" w:type="dxa"/>
            <w:vAlign w:val="center"/>
          </w:tcPr>
          <w:p w14:paraId="4D71F362">
            <w:pPr>
              <w:pStyle w:val="129"/>
              <w:rPr>
                <w:color w:val="auto"/>
              </w:rPr>
            </w:pPr>
            <w:r>
              <w:rPr>
                <w:rFonts w:hint="eastAsia"/>
                <w:color w:val="auto"/>
              </w:rPr>
              <w:t xml:space="preserve">74.10 </w:t>
            </w:r>
          </w:p>
        </w:tc>
      </w:tr>
      <w:tr w14:paraId="28E3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48E872FA">
            <w:pPr>
              <w:pStyle w:val="129"/>
              <w:rPr>
                <w:color w:val="auto"/>
              </w:rPr>
            </w:pPr>
            <w:r>
              <w:rPr>
                <w:rFonts w:hint="eastAsia"/>
                <w:color w:val="auto"/>
              </w:rPr>
              <w:t xml:space="preserve">40.00 </w:t>
            </w:r>
          </w:p>
        </w:tc>
        <w:tc>
          <w:tcPr>
            <w:tcW w:w="1818" w:type="dxa"/>
            <w:vAlign w:val="center"/>
          </w:tcPr>
          <w:p w14:paraId="188FC574">
            <w:pPr>
              <w:pStyle w:val="129"/>
              <w:rPr>
                <w:color w:val="auto"/>
              </w:rPr>
            </w:pPr>
            <w:r>
              <w:rPr>
                <w:rFonts w:hint="eastAsia"/>
                <w:color w:val="auto"/>
              </w:rPr>
              <w:t xml:space="preserve">0.68 </w:t>
            </w:r>
          </w:p>
        </w:tc>
        <w:tc>
          <w:tcPr>
            <w:tcW w:w="1455" w:type="dxa"/>
            <w:vAlign w:val="center"/>
          </w:tcPr>
          <w:p w14:paraId="5E96A471">
            <w:pPr>
              <w:pStyle w:val="129"/>
              <w:rPr>
                <w:color w:val="auto"/>
              </w:rPr>
            </w:pPr>
            <w:r>
              <w:rPr>
                <w:rFonts w:hint="eastAsia"/>
                <w:color w:val="auto"/>
              </w:rPr>
              <w:t xml:space="preserve">161.28 </w:t>
            </w:r>
          </w:p>
        </w:tc>
        <w:tc>
          <w:tcPr>
            <w:tcW w:w="1455" w:type="dxa"/>
            <w:vAlign w:val="center"/>
          </w:tcPr>
          <w:p w14:paraId="542F70D2">
            <w:pPr>
              <w:pStyle w:val="129"/>
              <w:rPr>
                <w:color w:val="auto"/>
              </w:rPr>
            </w:pPr>
            <w:r>
              <w:rPr>
                <w:rFonts w:hint="eastAsia"/>
                <w:color w:val="auto"/>
              </w:rPr>
              <w:t xml:space="preserve">40.00 </w:t>
            </w:r>
          </w:p>
        </w:tc>
        <w:tc>
          <w:tcPr>
            <w:tcW w:w="1455" w:type="dxa"/>
            <w:vAlign w:val="center"/>
          </w:tcPr>
          <w:p w14:paraId="3B08061A">
            <w:pPr>
              <w:pStyle w:val="129"/>
              <w:rPr>
                <w:color w:val="auto"/>
              </w:rPr>
            </w:pPr>
            <w:r>
              <w:rPr>
                <w:rFonts w:hint="eastAsia"/>
                <w:color w:val="auto"/>
              </w:rPr>
              <w:t xml:space="preserve">0.44 </w:t>
            </w:r>
          </w:p>
        </w:tc>
        <w:tc>
          <w:tcPr>
            <w:tcW w:w="1455" w:type="dxa"/>
            <w:vAlign w:val="center"/>
          </w:tcPr>
          <w:p w14:paraId="3DDED6CE">
            <w:pPr>
              <w:pStyle w:val="129"/>
              <w:rPr>
                <w:color w:val="auto"/>
              </w:rPr>
            </w:pPr>
            <w:r>
              <w:rPr>
                <w:rFonts w:hint="eastAsia"/>
                <w:color w:val="auto"/>
              </w:rPr>
              <w:t xml:space="preserve">189.25 </w:t>
            </w:r>
          </w:p>
        </w:tc>
      </w:tr>
      <w:tr w14:paraId="37F7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3AFEA8FE">
            <w:pPr>
              <w:pStyle w:val="129"/>
              <w:rPr>
                <w:color w:val="auto"/>
              </w:rPr>
            </w:pPr>
            <w:r>
              <w:rPr>
                <w:rFonts w:hint="eastAsia"/>
                <w:color w:val="auto"/>
              </w:rPr>
              <w:t xml:space="preserve">50.00 </w:t>
            </w:r>
          </w:p>
        </w:tc>
        <w:tc>
          <w:tcPr>
            <w:tcW w:w="1818" w:type="dxa"/>
            <w:vAlign w:val="center"/>
          </w:tcPr>
          <w:p w14:paraId="56A5E932">
            <w:pPr>
              <w:pStyle w:val="129"/>
              <w:rPr>
                <w:color w:val="auto"/>
              </w:rPr>
            </w:pPr>
            <w:r>
              <w:rPr>
                <w:rFonts w:hint="eastAsia"/>
                <w:color w:val="auto"/>
              </w:rPr>
              <w:t xml:space="preserve">0.85 </w:t>
            </w:r>
          </w:p>
        </w:tc>
        <w:tc>
          <w:tcPr>
            <w:tcW w:w="1455" w:type="dxa"/>
            <w:vAlign w:val="center"/>
          </w:tcPr>
          <w:p w14:paraId="35F00399">
            <w:pPr>
              <w:pStyle w:val="129"/>
              <w:rPr>
                <w:color w:val="auto"/>
              </w:rPr>
            </w:pPr>
            <w:r>
              <w:rPr>
                <w:rFonts w:hint="eastAsia"/>
                <w:color w:val="auto"/>
              </w:rPr>
              <w:t xml:space="preserve">118.75 </w:t>
            </w:r>
          </w:p>
        </w:tc>
        <w:tc>
          <w:tcPr>
            <w:tcW w:w="1455" w:type="dxa"/>
            <w:vAlign w:val="center"/>
          </w:tcPr>
          <w:p w14:paraId="53C6D5A7">
            <w:pPr>
              <w:pStyle w:val="129"/>
              <w:rPr>
                <w:color w:val="auto"/>
              </w:rPr>
            </w:pPr>
            <w:r>
              <w:rPr>
                <w:rFonts w:hint="eastAsia"/>
                <w:color w:val="auto"/>
              </w:rPr>
              <w:t xml:space="preserve">50.00 </w:t>
            </w:r>
          </w:p>
        </w:tc>
        <w:tc>
          <w:tcPr>
            <w:tcW w:w="1455" w:type="dxa"/>
            <w:vAlign w:val="center"/>
          </w:tcPr>
          <w:p w14:paraId="0DFF560A">
            <w:pPr>
              <w:pStyle w:val="129"/>
              <w:rPr>
                <w:color w:val="auto"/>
              </w:rPr>
            </w:pPr>
            <w:r>
              <w:rPr>
                <w:rFonts w:hint="eastAsia"/>
                <w:color w:val="auto"/>
              </w:rPr>
              <w:t xml:space="preserve">0.56 </w:t>
            </w:r>
          </w:p>
        </w:tc>
        <w:tc>
          <w:tcPr>
            <w:tcW w:w="1455" w:type="dxa"/>
            <w:vAlign w:val="center"/>
          </w:tcPr>
          <w:p w14:paraId="17948677">
            <w:pPr>
              <w:pStyle w:val="129"/>
              <w:rPr>
                <w:color w:val="auto"/>
              </w:rPr>
            </w:pPr>
            <w:r>
              <w:rPr>
                <w:rFonts w:hint="eastAsia"/>
                <w:color w:val="auto"/>
              </w:rPr>
              <w:t xml:space="preserve">272.75 </w:t>
            </w:r>
          </w:p>
        </w:tc>
      </w:tr>
      <w:tr w14:paraId="57FD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252AEAB3">
            <w:pPr>
              <w:pStyle w:val="129"/>
              <w:rPr>
                <w:color w:val="auto"/>
              </w:rPr>
            </w:pPr>
            <w:r>
              <w:rPr>
                <w:rFonts w:hint="eastAsia"/>
                <w:color w:val="auto"/>
              </w:rPr>
              <w:t xml:space="preserve">60.00 </w:t>
            </w:r>
          </w:p>
        </w:tc>
        <w:tc>
          <w:tcPr>
            <w:tcW w:w="1818" w:type="dxa"/>
            <w:vAlign w:val="center"/>
          </w:tcPr>
          <w:p w14:paraId="7A7A9AEF">
            <w:pPr>
              <w:pStyle w:val="129"/>
              <w:rPr>
                <w:color w:val="auto"/>
              </w:rPr>
            </w:pPr>
            <w:r>
              <w:rPr>
                <w:rFonts w:hint="eastAsia"/>
                <w:color w:val="auto"/>
              </w:rPr>
              <w:t xml:space="preserve">1.02 </w:t>
            </w:r>
          </w:p>
        </w:tc>
        <w:tc>
          <w:tcPr>
            <w:tcW w:w="1455" w:type="dxa"/>
            <w:vAlign w:val="center"/>
          </w:tcPr>
          <w:p w14:paraId="4C96AEB8">
            <w:pPr>
              <w:pStyle w:val="129"/>
              <w:rPr>
                <w:color w:val="auto"/>
              </w:rPr>
            </w:pPr>
            <w:r>
              <w:rPr>
                <w:rFonts w:hint="eastAsia"/>
                <w:color w:val="auto"/>
              </w:rPr>
              <w:t xml:space="preserve">87.50 </w:t>
            </w:r>
          </w:p>
        </w:tc>
        <w:tc>
          <w:tcPr>
            <w:tcW w:w="1455" w:type="dxa"/>
            <w:vAlign w:val="center"/>
          </w:tcPr>
          <w:p w14:paraId="4BB9B843">
            <w:pPr>
              <w:pStyle w:val="129"/>
              <w:rPr>
                <w:color w:val="auto"/>
              </w:rPr>
            </w:pPr>
            <w:r>
              <w:rPr>
                <w:rFonts w:hint="eastAsia"/>
                <w:color w:val="auto"/>
              </w:rPr>
              <w:t xml:space="preserve">60.00 </w:t>
            </w:r>
          </w:p>
        </w:tc>
        <w:tc>
          <w:tcPr>
            <w:tcW w:w="1455" w:type="dxa"/>
            <w:vAlign w:val="center"/>
          </w:tcPr>
          <w:p w14:paraId="2EDEC000">
            <w:pPr>
              <w:pStyle w:val="129"/>
              <w:rPr>
                <w:color w:val="auto"/>
              </w:rPr>
            </w:pPr>
            <w:r>
              <w:rPr>
                <w:rFonts w:hint="eastAsia"/>
                <w:color w:val="auto"/>
              </w:rPr>
              <w:t xml:space="preserve">0.67 </w:t>
            </w:r>
          </w:p>
        </w:tc>
        <w:tc>
          <w:tcPr>
            <w:tcW w:w="1455" w:type="dxa"/>
            <w:vAlign w:val="center"/>
          </w:tcPr>
          <w:p w14:paraId="32789BCA">
            <w:pPr>
              <w:pStyle w:val="129"/>
              <w:rPr>
                <w:color w:val="auto"/>
              </w:rPr>
            </w:pPr>
            <w:r>
              <w:rPr>
                <w:rFonts w:hint="eastAsia"/>
                <w:color w:val="auto"/>
              </w:rPr>
              <w:t xml:space="preserve">312.93 </w:t>
            </w:r>
          </w:p>
        </w:tc>
      </w:tr>
      <w:tr w14:paraId="6BDF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2DA8D2D7">
            <w:pPr>
              <w:pStyle w:val="129"/>
              <w:rPr>
                <w:color w:val="auto"/>
              </w:rPr>
            </w:pPr>
            <w:r>
              <w:rPr>
                <w:rFonts w:hint="eastAsia"/>
                <w:color w:val="auto"/>
              </w:rPr>
              <w:t xml:space="preserve">70.00 </w:t>
            </w:r>
          </w:p>
        </w:tc>
        <w:tc>
          <w:tcPr>
            <w:tcW w:w="1818" w:type="dxa"/>
            <w:vAlign w:val="center"/>
          </w:tcPr>
          <w:p w14:paraId="40AD5A12">
            <w:pPr>
              <w:pStyle w:val="129"/>
              <w:rPr>
                <w:color w:val="auto"/>
              </w:rPr>
            </w:pPr>
            <w:r>
              <w:rPr>
                <w:rFonts w:hint="eastAsia"/>
                <w:color w:val="auto"/>
              </w:rPr>
              <w:t xml:space="preserve">1.19 </w:t>
            </w:r>
          </w:p>
        </w:tc>
        <w:tc>
          <w:tcPr>
            <w:tcW w:w="1455" w:type="dxa"/>
            <w:vAlign w:val="center"/>
          </w:tcPr>
          <w:p w14:paraId="556547D1">
            <w:pPr>
              <w:pStyle w:val="129"/>
              <w:rPr>
                <w:color w:val="auto"/>
              </w:rPr>
            </w:pPr>
            <w:r>
              <w:rPr>
                <w:rFonts w:hint="eastAsia"/>
                <w:color w:val="auto"/>
              </w:rPr>
              <w:t xml:space="preserve">65.76 </w:t>
            </w:r>
          </w:p>
        </w:tc>
        <w:tc>
          <w:tcPr>
            <w:tcW w:w="1455" w:type="dxa"/>
            <w:vAlign w:val="center"/>
          </w:tcPr>
          <w:p w14:paraId="2981109E">
            <w:pPr>
              <w:pStyle w:val="129"/>
              <w:rPr>
                <w:color w:val="auto"/>
              </w:rPr>
            </w:pPr>
            <w:r>
              <w:rPr>
                <w:rFonts w:hint="eastAsia"/>
                <w:color w:val="auto"/>
              </w:rPr>
              <w:t xml:space="preserve">70.00 </w:t>
            </w:r>
          </w:p>
        </w:tc>
        <w:tc>
          <w:tcPr>
            <w:tcW w:w="1455" w:type="dxa"/>
            <w:vAlign w:val="center"/>
          </w:tcPr>
          <w:p w14:paraId="57674242">
            <w:pPr>
              <w:pStyle w:val="129"/>
              <w:rPr>
                <w:color w:val="auto"/>
              </w:rPr>
            </w:pPr>
            <w:r>
              <w:rPr>
                <w:rFonts w:hint="eastAsia"/>
                <w:color w:val="auto"/>
              </w:rPr>
              <w:t xml:space="preserve">0.78 </w:t>
            </w:r>
          </w:p>
        </w:tc>
        <w:tc>
          <w:tcPr>
            <w:tcW w:w="1455" w:type="dxa"/>
            <w:vAlign w:val="center"/>
          </w:tcPr>
          <w:p w14:paraId="2F65B50B">
            <w:pPr>
              <w:pStyle w:val="129"/>
              <w:rPr>
                <w:color w:val="auto"/>
              </w:rPr>
            </w:pPr>
            <w:r>
              <w:rPr>
                <w:rFonts w:hint="eastAsia"/>
                <w:color w:val="auto"/>
              </w:rPr>
              <w:t xml:space="preserve">324.32 </w:t>
            </w:r>
          </w:p>
        </w:tc>
      </w:tr>
      <w:tr w14:paraId="47FB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6F28DF04">
            <w:pPr>
              <w:pStyle w:val="129"/>
              <w:rPr>
                <w:color w:val="auto"/>
              </w:rPr>
            </w:pPr>
            <w:r>
              <w:rPr>
                <w:rFonts w:hint="eastAsia"/>
                <w:color w:val="auto"/>
              </w:rPr>
              <w:t xml:space="preserve">80.00 </w:t>
            </w:r>
          </w:p>
        </w:tc>
        <w:tc>
          <w:tcPr>
            <w:tcW w:w="1818" w:type="dxa"/>
            <w:vAlign w:val="center"/>
          </w:tcPr>
          <w:p w14:paraId="0E00832F">
            <w:pPr>
              <w:pStyle w:val="129"/>
              <w:rPr>
                <w:color w:val="auto"/>
              </w:rPr>
            </w:pPr>
            <w:r>
              <w:rPr>
                <w:rFonts w:hint="eastAsia"/>
                <w:color w:val="auto"/>
              </w:rPr>
              <w:t xml:space="preserve">1.36 </w:t>
            </w:r>
          </w:p>
        </w:tc>
        <w:tc>
          <w:tcPr>
            <w:tcW w:w="1455" w:type="dxa"/>
            <w:vAlign w:val="center"/>
          </w:tcPr>
          <w:p w14:paraId="44B556C0">
            <w:pPr>
              <w:pStyle w:val="129"/>
              <w:rPr>
                <w:color w:val="auto"/>
              </w:rPr>
            </w:pPr>
            <w:r>
              <w:rPr>
                <w:rFonts w:hint="eastAsia"/>
                <w:color w:val="auto"/>
              </w:rPr>
              <w:t xml:space="preserve">50.61 </w:t>
            </w:r>
          </w:p>
        </w:tc>
        <w:tc>
          <w:tcPr>
            <w:tcW w:w="1455" w:type="dxa"/>
            <w:vAlign w:val="center"/>
          </w:tcPr>
          <w:p w14:paraId="7BCDD1D2">
            <w:pPr>
              <w:pStyle w:val="129"/>
              <w:rPr>
                <w:color w:val="auto"/>
              </w:rPr>
            </w:pPr>
            <w:r>
              <w:rPr>
                <w:rFonts w:hint="eastAsia"/>
                <w:color w:val="auto"/>
              </w:rPr>
              <w:t xml:space="preserve">80.00 </w:t>
            </w:r>
          </w:p>
        </w:tc>
        <w:tc>
          <w:tcPr>
            <w:tcW w:w="1455" w:type="dxa"/>
            <w:vAlign w:val="center"/>
          </w:tcPr>
          <w:p w14:paraId="21F76FD5">
            <w:pPr>
              <w:pStyle w:val="129"/>
              <w:rPr>
                <w:color w:val="auto"/>
              </w:rPr>
            </w:pPr>
            <w:r>
              <w:rPr>
                <w:rFonts w:hint="eastAsia"/>
                <w:color w:val="auto"/>
              </w:rPr>
              <w:t xml:space="preserve">0.89 </w:t>
            </w:r>
          </w:p>
        </w:tc>
        <w:tc>
          <w:tcPr>
            <w:tcW w:w="1455" w:type="dxa"/>
            <w:vAlign w:val="center"/>
          </w:tcPr>
          <w:p w14:paraId="2C8A12AD">
            <w:pPr>
              <w:pStyle w:val="129"/>
              <w:rPr>
                <w:color w:val="auto"/>
              </w:rPr>
            </w:pPr>
            <w:r>
              <w:rPr>
                <w:rFonts w:hint="eastAsia"/>
                <w:color w:val="auto"/>
              </w:rPr>
              <w:t xml:space="preserve">320.70 </w:t>
            </w:r>
          </w:p>
        </w:tc>
      </w:tr>
      <w:tr w14:paraId="1DF0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0B904CF0">
            <w:pPr>
              <w:pStyle w:val="129"/>
              <w:rPr>
                <w:color w:val="auto"/>
              </w:rPr>
            </w:pPr>
            <w:r>
              <w:rPr>
                <w:rFonts w:hint="eastAsia"/>
                <w:color w:val="auto"/>
              </w:rPr>
              <w:t xml:space="preserve">90.00 </w:t>
            </w:r>
          </w:p>
        </w:tc>
        <w:tc>
          <w:tcPr>
            <w:tcW w:w="1818" w:type="dxa"/>
            <w:vAlign w:val="center"/>
          </w:tcPr>
          <w:p w14:paraId="39E445B1">
            <w:pPr>
              <w:pStyle w:val="129"/>
              <w:rPr>
                <w:color w:val="auto"/>
              </w:rPr>
            </w:pPr>
            <w:r>
              <w:rPr>
                <w:rFonts w:hint="eastAsia"/>
                <w:color w:val="auto"/>
              </w:rPr>
              <w:t xml:space="preserve">1.53 </w:t>
            </w:r>
          </w:p>
        </w:tc>
        <w:tc>
          <w:tcPr>
            <w:tcW w:w="1455" w:type="dxa"/>
            <w:vAlign w:val="center"/>
          </w:tcPr>
          <w:p w14:paraId="05525B1D">
            <w:pPr>
              <w:pStyle w:val="129"/>
              <w:rPr>
                <w:color w:val="auto"/>
              </w:rPr>
            </w:pPr>
            <w:r>
              <w:rPr>
                <w:rFonts w:hint="eastAsia"/>
                <w:color w:val="auto"/>
              </w:rPr>
              <w:t xml:space="preserve">39.85 </w:t>
            </w:r>
          </w:p>
        </w:tc>
        <w:tc>
          <w:tcPr>
            <w:tcW w:w="1455" w:type="dxa"/>
            <w:vAlign w:val="center"/>
          </w:tcPr>
          <w:p w14:paraId="437E29C6">
            <w:pPr>
              <w:pStyle w:val="129"/>
              <w:rPr>
                <w:color w:val="auto"/>
              </w:rPr>
            </w:pPr>
            <w:r>
              <w:rPr>
                <w:rFonts w:hint="eastAsia"/>
                <w:color w:val="auto"/>
              </w:rPr>
              <w:t xml:space="preserve">90.00 </w:t>
            </w:r>
          </w:p>
        </w:tc>
        <w:tc>
          <w:tcPr>
            <w:tcW w:w="1455" w:type="dxa"/>
            <w:vAlign w:val="center"/>
          </w:tcPr>
          <w:p w14:paraId="5A155A49">
            <w:pPr>
              <w:pStyle w:val="129"/>
              <w:rPr>
                <w:color w:val="auto"/>
              </w:rPr>
            </w:pPr>
            <w:r>
              <w:rPr>
                <w:rFonts w:hint="eastAsia"/>
                <w:color w:val="auto"/>
              </w:rPr>
              <w:t xml:space="preserve">1.00 </w:t>
            </w:r>
          </w:p>
        </w:tc>
        <w:tc>
          <w:tcPr>
            <w:tcW w:w="1455" w:type="dxa"/>
            <w:vAlign w:val="center"/>
          </w:tcPr>
          <w:p w14:paraId="003575B2">
            <w:pPr>
              <w:pStyle w:val="129"/>
              <w:rPr>
                <w:color w:val="auto"/>
              </w:rPr>
            </w:pPr>
            <w:r>
              <w:rPr>
                <w:rFonts w:hint="eastAsia"/>
                <w:color w:val="auto"/>
              </w:rPr>
              <w:t xml:space="preserve">310.38 </w:t>
            </w:r>
          </w:p>
        </w:tc>
      </w:tr>
      <w:tr w14:paraId="64FD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3ACC4CD7">
            <w:pPr>
              <w:pStyle w:val="129"/>
              <w:rPr>
                <w:color w:val="auto"/>
              </w:rPr>
            </w:pPr>
            <w:r>
              <w:rPr>
                <w:rFonts w:hint="eastAsia"/>
                <w:color w:val="auto"/>
              </w:rPr>
              <w:t xml:space="preserve">100.00 </w:t>
            </w:r>
          </w:p>
        </w:tc>
        <w:tc>
          <w:tcPr>
            <w:tcW w:w="1818" w:type="dxa"/>
            <w:vAlign w:val="center"/>
          </w:tcPr>
          <w:p w14:paraId="4AACB5BD">
            <w:pPr>
              <w:pStyle w:val="129"/>
              <w:rPr>
                <w:color w:val="auto"/>
              </w:rPr>
            </w:pPr>
            <w:r>
              <w:rPr>
                <w:rFonts w:hint="eastAsia"/>
                <w:color w:val="auto"/>
              </w:rPr>
              <w:t xml:space="preserve">1.70 </w:t>
            </w:r>
          </w:p>
        </w:tc>
        <w:tc>
          <w:tcPr>
            <w:tcW w:w="1455" w:type="dxa"/>
            <w:vAlign w:val="center"/>
          </w:tcPr>
          <w:p w14:paraId="5EC4E122">
            <w:pPr>
              <w:pStyle w:val="129"/>
              <w:rPr>
                <w:color w:val="auto"/>
              </w:rPr>
            </w:pPr>
            <w:r>
              <w:rPr>
                <w:rFonts w:hint="eastAsia"/>
                <w:color w:val="auto"/>
              </w:rPr>
              <w:t xml:space="preserve">32.02 </w:t>
            </w:r>
          </w:p>
        </w:tc>
        <w:tc>
          <w:tcPr>
            <w:tcW w:w="1455" w:type="dxa"/>
            <w:vAlign w:val="center"/>
          </w:tcPr>
          <w:p w14:paraId="41FDCE83">
            <w:pPr>
              <w:pStyle w:val="129"/>
              <w:rPr>
                <w:color w:val="auto"/>
              </w:rPr>
            </w:pPr>
            <w:r>
              <w:rPr>
                <w:rFonts w:hint="eastAsia"/>
                <w:color w:val="auto"/>
              </w:rPr>
              <w:t xml:space="preserve">100.00 </w:t>
            </w:r>
          </w:p>
        </w:tc>
        <w:tc>
          <w:tcPr>
            <w:tcW w:w="1455" w:type="dxa"/>
            <w:vAlign w:val="center"/>
          </w:tcPr>
          <w:p w14:paraId="40E8466A">
            <w:pPr>
              <w:pStyle w:val="129"/>
              <w:rPr>
                <w:color w:val="auto"/>
              </w:rPr>
            </w:pPr>
            <w:r>
              <w:rPr>
                <w:rFonts w:hint="eastAsia"/>
                <w:color w:val="auto"/>
              </w:rPr>
              <w:t xml:space="preserve">1.11 </w:t>
            </w:r>
          </w:p>
        </w:tc>
        <w:tc>
          <w:tcPr>
            <w:tcW w:w="1455" w:type="dxa"/>
            <w:vAlign w:val="center"/>
          </w:tcPr>
          <w:p w14:paraId="29E22DA5">
            <w:pPr>
              <w:pStyle w:val="129"/>
              <w:rPr>
                <w:color w:val="auto"/>
              </w:rPr>
            </w:pPr>
            <w:r>
              <w:rPr>
                <w:rFonts w:hint="eastAsia"/>
                <w:color w:val="auto"/>
              </w:rPr>
              <w:t xml:space="preserve">297.51 </w:t>
            </w:r>
          </w:p>
        </w:tc>
      </w:tr>
      <w:tr w14:paraId="4C37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7B2CB4F0">
            <w:pPr>
              <w:pStyle w:val="129"/>
              <w:rPr>
                <w:color w:val="auto"/>
              </w:rPr>
            </w:pPr>
            <w:r>
              <w:rPr>
                <w:rFonts w:hint="eastAsia"/>
                <w:color w:val="auto"/>
              </w:rPr>
              <w:t xml:space="preserve">1000.00 </w:t>
            </w:r>
          </w:p>
        </w:tc>
        <w:tc>
          <w:tcPr>
            <w:tcW w:w="1818" w:type="dxa"/>
            <w:vAlign w:val="center"/>
          </w:tcPr>
          <w:p w14:paraId="7D266042">
            <w:pPr>
              <w:pStyle w:val="129"/>
              <w:rPr>
                <w:color w:val="auto"/>
              </w:rPr>
            </w:pPr>
            <w:r>
              <w:rPr>
                <w:rFonts w:hint="eastAsia"/>
                <w:color w:val="auto"/>
              </w:rPr>
              <w:t xml:space="preserve">24.51 </w:t>
            </w:r>
          </w:p>
        </w:tc>
        <w:tc>
          <w:tcPr>
            <w:tcW w:w="1455" w:type="dxa"/>
            <w:vAlign w:val="center"/>
          </w:tcPr>
          <w:p w14:paraId="4447B498">
            <w:pPr>
              <w:pStyle w:val="129"/>
              <w:rPr>
                <w:color w:val="auto"/>
              </w:rPr>
            </w:pPr>
            <w:r>
              <w:rPr>
                <w:rFonts w:hint="eastAsia"/>
                <w:color w:val="auto"/>
              </w:rPr>
              <w:t xml:space="preserve">0.18 </w:t>
            </w:r>
          </w:p>
        </w:tc>
        <w:tc>
          <w:tcPr>
            <w:tcW w:w="1455" w:type="dxa"/>
            <w:vAlign w:val="center"/>
          </w:tcPr>
          <w:p w14:paraId="0DE8055C">
            <w:pPr>
              <w:pStyle w:val="129"/>
              <w:rPr>
                <w:color w:val="auto"/>
              </w:rPr>
            </w:pPr>
            <w:r>
              <w:rPr>
                <w:rFonts w:hint="eastAsia"/>
                <w:color w:val="auto"/>
              </w:rPr>
              <w:t xml:space="preserve">1000.00 </w:t>
            </w:r>
          </w:p>
        </w:tc>
        <w:tc>
          <w:tcPr>
            <w:tcW w:w="1455" w:type="dxa"/>
            <w:vAlign w:val="center"/>
          </w:tcPr>
          <w:p w14:paraId="1922619B">
            <w:pPr>
              <w:pStyle w:val="129"/>
              <w:rPr>
                <w:color w:val="auto"/>
              </w:rPr>
            </w:pPr>
            <w:r>
              <w:rPr>
                <w:rFonts w:hint="eastAsia"/>
                <w:color w:val="auto"/>
              </w:rPr>
              <w:t xml:space="preserve">11.11 </w:t>
            </w:r>
          </w:p>
        </w:tc>
        <w:tc>
          <w:tcPr>
            <w:tcW w:w="1455" w:type="dxa"/>
            <w:vAlign w:val="center"/>
          </w:tcPr>
          <w:p w14:paraId="57074036">
            <w:pPr>
              <w:pStyle w:val="129"/>
              <w:rPr>
                <w:color w:val="auto"/>
              </w:rPr>
            </w:pPr>
            <w:r>
              <w:rPr>
                <w:rFonts w:hint="eastAsia"/>
                <w:color w:val="auto"/>
              </w:rPr>
              <w:t xml:space="preserve">20.45 </w:t>
            </w:r>
          </w:p>
        </w:tc>
      </w:tr>
      <w:tr w14:paraId="2DE9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00ACD66D">
            <w:pPr>
              <w:pStyle w:val="129"/>
              <w:rPr>
                <w:color w:val="auto"/>
              </w:rPr>
            </w:pPr>
            <w:r>
              <w:rPr>
                <w:rFonts w:hint="eastAsia"/>
                <w:color w:val="auto"/>
              </w:rPr>
              <w:t xml:space="preserve">2000.00 </w:t>
            </w:r>
          </w:p>
        </w:tc>
        <w:tc>
          <w:tcPr>
            <w:tcW w:w="1818" w:type="dxa"/>
            <w:vAlign w:val="center"/>
          </w:tcPr>
          <w:p w14:paraId="01AAB385">
            <w:pPr>
              <w:pStyle w:val="129"/>
              <w:rPr>
                <w:color w:val="auto"/>
              </w:rPr>
            </w:pPr>
            <w:r>
              <w:rPr>
                <w:rFonts w:hint="eastAsia"/>
                <w:color w:val="auto"/>
              </w:rPr>
              <w:t xml:space="preserve">41.51 </w:t>
            </w:r>
          </w:p>
        </w:tc>
        <w:tc>
          <w:tcPr>
            <w:tcW w:w="1455" w:type="dxa"/>
            <w:vAlign w:val="center"/>
          </w:tcPr>
          <w:p w14:paraId="0CB5B755">
            <w:pPr>
              <w:pStyle w:val="129"/>
              <w:rPr>
                <w:color w:val="auto"/>
              </w:rPr>
            </w:pPr>
            <w:r>
              <w:rPr>
                <w:rFonts w:hint="eastAsia"/>
                <w:color w:val="auto"/>
              </w:rPr>
              <w:t xml:space="preserve">0.06 </w:t>
            </w:r>
          </w:p>
        </w:tc>
        <w:tc>
          <w:tcPr>
            <w:tcW w:w="1455" w:type="dxa"/>
            <w:vAlign w:val="center"/>
          </w:tcPr>
          <w:p w14:paraId="3246F7D4">
            <w:pPr>
              <w:pStyle w:val="129"/>
              <w:rPr>
                <w:color w:val="auto"/>
              </w:rPr>
            </w:pPr>
            <w:r>
              <w:rPr>
                <w:rFonts w:hint="eastAsia"/>
                <w:color w:val="auto"/>
              </w:rPr>
              <w:t xml:space="preserve">2000.00 </w:t>
            </w:r>
          </w:p>
        </w:tc>
        <w:tc>
          <w:tcPr>
            <w:tcW w:w="1455" w:type="dxa"/>
            <w:vAlign w:val="center"/>
          </w:tcPr>
          <w:p w14:paraId="679E5734">
            <w:pPr>
              <w:pStyle w:val="129"/>
              <w:rPr>
                <w:color w:val="auto"/>
              </w:rPr>
            </w:pPr>
            <w:r>
              <w:rPr>
                <w:rFonts w:hint="eastAsia"/>
                <w:color w:val="auto"/>
              </w:rPr>
              <w:t xml:space="preserve">25.22 </w:t>
            </w:r>
          </w:p>
        </w:tc>
        <w:tc>
          <w:tcPr>
            <w:tcW w:w="1455" w:type="dxa"/>
            <w:vAlign w:val="center"/>
          </w:tcPr>
          <w:p w14:paraId="408448CC">
            <w:pPr>
              <w:pStyle w:val="129"/>
              <w:rPr>
                <w:color w:val="auto"/>
              </w:rPr>
            </w:pPr>
            <w:r>
              <w:rPr>
                <w:rFonts w:hint="eastAsia"/>
                <w:color w:val="auto"/>
              </w:rPr>
              <w:t xml:space="preserve">7.38 </w:t>
            </w:r>
          </w:p>
        </w:tc>
      </w:tr>
      <w:tr w14:paraId="7040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7384B277">
            <w:pPr>
              <w:pStyle w:val="129"/>
              <w:rPr>
                <w:color w:val="auto"/>
              </w:rPr>
            </w:pPr>
            <w:r>
              <w:rPr>
                <w:rFonts w:hint="eastAsia"/>
                <w:color w:val="auto"/>
              </w:rPr>
              <w:t xml:space="preserve">3000.00 </w:t>
            </w:r>
          </w:p>
        </w:tc>
        <w:tc>
          <w:tcPr>
            <w:tcW w:w="1818" w:type="dxa"/>
            <w:vAlign w:val="center"/>
          </w:tcPr>
          <w:p w14:paraId="44BF7ACA">
            <w:pPr>
              <w:pStyle w:val="129"/>
              <w:rPr>
                <w:color w:val="auto"/>
              </w:rPr>
            </w:pPr>
            <w:r>
              <w:rPr>
                <w:rFonts w:hint="eastAsia"/>
                <w:color w:val="auto"/>
              </w:rPr>
              <w:t xml:space="preserve">58.52 </w:t>
            </w:r>
          </w:p>
        </w:tc>
        <w:tc>
          <w:tcPr>
            <w:tcW w:w="1455" w:type="dxa"/>
            <w:vAlign w:val="center"/>
          </w:tcPr>
          <w:p w14:paraId="00D65F18">
            <w:pPr>
              <w:pStyle w:val="129"/>
              <w:rPr>
                <w:color w:val="auto"/>
              </w:rPr>
            </w:pPr>
            <w:r>
              <w:rPr>
                <w:rFonts w:hint="eastAsia"/>
                <w:color w:val="auto"/>
              </w:rPr>
              <w:t xml:space="preserve">0.03 </w:t>
            </w:r>
          </w:p>
        </w:tc>
        <w:tc>
          <w:tcPr>
            <w:tcW w:w="1455" w:type="dxa"/>
            <w:vAlign w:val="center"/>
          </w:tcPr>
          <w:p w14:paraId="3B0AC8AD">
            <w:pPr>
              <w:pStyle w:val="129"/>
              <w:rPr>
                <w:color w:val="auto"/>
              </w:rPr>
            </w:pPr>
            <w:r>
              <w:rPr>
                <w:rFonts w:hint="eastAsia"/>
                <w:color w:val="auto"/>
              </w:rPr>
              <w:t xml:space="preserve">3000.00 </w:t>
            </w:r>
          </w:p>
        </w:tc>
        <w:tc>
          <w:tcPr>
            <w:tcW w:w="1455" w:type="dxa"/>
            <w:vAlign w:val="center"/>
          </w:tcPr>
          <w:p w14:paraId="27C16E17">
            <w:pPr>
              <w:pStyle w:val="129"/>
              <w:rPr>
                <w:color w:val="auto"/>
              </w:rPr>
            </w:pPr>
            <w:r>
              <w:rPr>
                <w:rFonts w:hint="eastAsia"/>
                <w:color w:val="auto"/>
              </w:rPr>
              <w:t xml:space="preserve">37.63 </w:t>
            </w:r>
          </w:p>
        </w:tc>
        <w:tc>
          <w:tcPr>
            <w:tcW w:w="1455" w:type="dxa"/>
            <w:vAlign w:val="center"/>
          </w:tcPr>
          <w:p w14:paraId="42A9341C">
            <w:pPr>
              <w:pStyle w:val="129"/>
              <w:rPr>
                <w:color w:val="auto"/>
              </w:rPr>
            </w:pPr>
            <w:r>
              <w:rPr>
                <w:rFonts w:hint="eastAsia"/>
                <w:color w:val="auto"/>
              </w:rPr>
              <w:t xml:space="preserve">4.32 </w:t>
            </w:r>
          </w:p>
        </w:tc>
      </w:tr>
      <w:tr w14:paraId="1FE7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0430ACB1">
            <w:pPr>
              <w:pStyle w:val="129"/>
              <w:rPr>
                <w:color w:val="auto"/>
              </w:rPr>
            </w:pPr>
            <w:r>
              <w:rPr>
                <w:rFonts w:hint="eastAsia"/>
                <w:color w:val="auto"/>
              </w:rPr>
              <w:t xml:space="preserve">4000.00 </w:t>
            </w:r>
          </w:p>
        </w:tc>
        <w:tc>
          <w:tcPr>
            <w:tcW w:w="1818" w:type="dxa"/>
            <w:vAlign w:val="center"/>
          </w:tcPr>
          <w:p w14:paraId="5A5DB088">
            <w:pPr>
              <w:pStyle w:val="129"/>
              <w:rPr>
                <w:color w:val="auto"/>
              </w:rPr>
            </w:pPr>
            <w:r>
              <w:rPr>
                <w:rFonts w:hint="eastAsia"/>
                <w:color w:val="auto"/>
              </w:rPr>
              <w:t xml:space="preserve">75.53 </w:t>
            </w:r>
          </w:p>
        </w:tc>
        <w:tc>
          <w:tcPr>
            <w:tcW w:w="1455" w:type="dxa"/>
            <w:vAlign w:val="center"/>
          </w:tcPr>
          <w:p w14:paraId="574A2E04">
            <w:pPr>
              <w:pStyle w:val="129"/>
              <w:rPr>
                <w:color w:val="auto"/>
              </w:rPr>
            </w:pPr>
            <w:r>
              <w:rPr>
                <w:rFonts w:hint="eastAsia"/>
                <w:color w:val="auto"/>
              </w:rPr>
              <w:t xml:space="preserve">0.02 </w:t>
            </w:r>
          </w:p>
        </w:tc>
        <w:tc>
          <w:tcPr>
            <w:tcW w:w="1455" w:type="dxa"/>
            <w:vAlign w:val="center"/>
          </w:tcPr>
          <w:p w14:paraId="53D43CC6">
            <w:pPr>
              <w:pStyle w:val="129"/>
              <w:rPr>
                <w:color w:val="auto"/>
              </w:rPr>
            </w:pPr>
            <w:r>
              <w:rPr>
                <w:rFonts w:hint="eastAsia"/>
                <w:color w:val="auto"/>
              </w:rPr>
              <w:t xml:space="preserve">4000.00 </w:t>
            </w:r>
          </w:p>
        </w:tc>
        <w:tc>
          <w:tcPr>
            <w:tcW w:w="1455" w:type="dxa"/>
            <w:vAlign w:val="center"/>
          </w:tcPr>
          <w:p w14:paraId="102C524C">
            <w:pPr>
              <w:pStyle w:val="129"/>
              <w:rPr>
                <w:color w:val="auto"/>
              </w:rPr>
            </w:pPr>
            <w:r>
              <w:rPr>
                <w:rFonts w:hint="eastAsia"/>
                <w:color w:val="auto"/>
              </w:rPr>
              <w:t xml:space="preserve">49.94 </w:t>
            </w:r>
          </w:p>
        </w:tc>
        <w:tc>
          <w:tcPr>
            <w:tcW w:w="1455" w:type="dxa"/>
            <w:vAlign w:val="center"/>
          </w:tcPr>
          <w:p w14:paraId="0F5DE356">
            <w:pPr>
              <w:pStyle w:val="129"/>
              <w:rPr>
                <w:color w:val="auto"/>
              </w:rPr>
            </w:pPr>
            <w:r>
              <w:rPr>
                <w:rFonts w:hint="eastAsia"/>
                <w:color w:val="auto"/>
              </w:rPr>
              <w:t xml:space="preserve">2.95 </w:t>
            </w:r>
          </w:p>
        </w:tc>
      </w:tr>
      <w:tr w14:paraId="125D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14:paraId="7F61EDDD">
            <w:pPr>
              <w:pStyle w:val="129"/>
              <w:rPr>
                <w:color w:val="auto"/>
              </w:rPr>
            </w:pPr>
            <w:r>
              <w:rPr>
                <w:rFonts w:hint="eastAsia"/>
                <w:color w:val="auto"/>
              </w:rPr>
              <w:t xml:space="preserve">5000.00 </w:t>
            </w:r>
          </w:p>
        </w:tc>
        <w:tc>
          <w:tcPr>
            <w:tcW w:w="1818" w:type="dxa"/>
            <w:vAlign w:val="center"/>
          </w:tcPr>
          <w:p w14:paraId="6AEF371C">
            <w:pPr>
              <w:pStyle w:val="129"/>
              <w:rPr>
                <w:color w:val="auto"/>
              </w:rPr>
            </w:pPr>
            <w:r>
              <w:rPr>
                <w:rFonts w:hint="eastAsia"/>
                <w:color w:val="auto"/>
              </w:rPr>
              <w:t xml:space="preserve">92.53 </w:t>
            </w:r>
          </w:p>
        </w:tc>
        <w:tc>
          <w:tcPr>
            <w:tcW w:w="1455" w:type="dxa"/>
            <w:vAlign w:val="center"/>
          </w:tcPr>
          <w:p w14:paraId="762228E0">
            <w:pPr>
              <w:pStyle w:val="129"/>
              <w:rPr>
                <w:color w:val="auto"/>
              </w:rPr>
            </w:pPr>
            <w:r>
              <w:rPr>
                <w:rFonts w:hint="eastAsia"/>
                <w:color w:val="auto"/>
              </w:rPr>
              <w:t xml:space="preserve">0.01 </w:t>
            </w:r>
          </w:p>
        </w:tc>
        <w:tc>
          <w:tcPr>
            <w:tcW w:w="1455" w:type="dxa"/>
            <w:vAlign w:val="center"/>
          </w:tcPr>
          <w:p w14:paraId="17871562">
            <w:pPr>
              <w:pStyle w:val="129"/>
              <w:rPr>
                <w:color w:val="auto"/>
              </w:rPr>
            </w:pPr>
            <w:r>
              <w:rPr>
                <w:rFonts w:hint="eastAsia"/>
                <w:color w:val="auto"/>
              </w:rPr>
              <w:t xml:space="preserve">5000.00 </w:t>
            </w:r>
          </w:p>
        </w:tc>
        <w:tc>
          <w:tcPr>
            <w:tcW w:w="1455" w:type="dxa"/>
            <w:vAlign w:val="center"/>
          </w:tcPr>
          <w:p w14:paraId="344C1BC1">
            <w:pPr>
              <w:pStyle w:val="129"/>
              <w:rPr>
                <w:color w:val="auto"/>
              </w:rPr>
            </w:pPr>
            <w:r>
              <w:rPr>
                <w:rFonts w:hint="eastAsia"/>
                <w:color w:val="auto"/>
              </w:rPr>
              <w:t xml:space="preserve">62.36 </w:t>
            </w:r>
          </w:p>
        </w:tc>
        <w:tc>
          <w:tcPr>
            <w:tcW w:w="1455" w:type="dxa"/>
            <w:vAlign w:val="center"/>
          </w:tcPr>
          <w:p w14:paraId="66D19C12">
            <w:pPr>
              <w:pStyle w:val="129"/>
              <w:rPr>
                <w:color w:val="auto"/>
              </w:rPr>
            </w:pPr>
            <w:r>
              <w:rPr>
                <w:rFonts w:hint="eastAsia"/>
                <w:color w:val="auto"/>
              </w:rPr>
              <w:t xml:space="preserve">2.20 </w:t>
            </w:r>
          </w:p>
        </w:tc>
      </w:tr>
    </w:tbl>
    <w:p w14:paraId="00EF5211">
      <w:pPr>
        <w:pStyle w:val="1060"/>
        <w:spacing w:before="163"/>
        <w:rPr>
          <w:rFonts w:hint="eastAsia"/>
          <w:color w:val="auto"/>
        </w:rPr>
      </w:pPr>
      <w:bookmarkStart w:id="398" w:name="_Ref10565"/>
    </w:p>
    <w:p w14:paraId="42C7D4D2">
      <w:pPr>
        <w:pStyle w:val="1060"/>
        <w:spacing w:before="163"/>
        <w:rPr>
          <w:rFonts w:hint="eastAsia"/>
          <w:color w:val="auto"/>
        </w:rPr>
      </w:pPr>
    </w:p>
    <w:p w14:paraId="315A2090">
      <w:pPr>
        <w:pStyle w:val="1060"/>
        <w:spacing w:before="1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7.7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7</w:t>
      </w:r>
      <w:r>
        <w:rPr>
          <w:color w:val="auto"/>
        </w:rPr>
        <w:fldChar w:fldCharType="end"/>
      </w:r>
      <w:bookmarkEnd w:id="398"/>
      <w:r>
        <w:rPr>
          <w:rFonts w:hint="eastAsia"/>
          <w:color w:val="auto"/>
        </w:rPr>
        <w:t xml:space="preserve">  最不利气象条件天然气泄漏事故阈值的廓线对应位置表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736"/>
        <w:gridCol w:w="1468"/>
        <w:gridCol w:w="1206"/>
        <w:gridCol w:w="1095"/>
        <w:gridCol w:w="1315"/>
        <w:gridCol w:w="1966"/>
      </w:tblGrid>
      <w:tr w14:paraId="7558BF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1808" w:type="pct"/>
            <w:gridSpan w:val="2"/>
            <w:noWrap/>
            <w:vAlign w:val="center"/>
          </w:tcPr>
          <w:p w14:paraId="69A00070">
            <w:pPr>
              <w:pStyle w:val="129"/>
              <w:widowControl w:val="0"/>
              <w:rPr>
                <w:color w:val="auto"/>
              </w:rPr>
            </w:pPr>
            <w:r>
              <w:rPr>
                <w:rFonts w:hint="eastAsia"/>
                <w:color w:val="auto"/>
              </w:rPr>
              <w:t>阈值</w:t>
            </w:r>
            <w:r>
              <w:rPr>
                <w:color w:val="auto"/>
              </w:rPr>
              <w:t xml:space="preserve"> (mg/m3)</w:t>
            </w:r>
          </w:p>
        </w:tc>
        <w:tc>
          <w:tcPr>
            <w:tcW w:w="690" w:type="pct"/>
            <w:noWrap/>
            <w:vAlign w:val="center"/>
          </w:tcPr>
          <w:p w14:paraId="3A3DB782">
            <w:pPr>
              <w:pStyle w:val="129"/>
              <w:widowControl w:val="0"/>
              <w:rPr>
                <w:color w:val="auto"/>
              </w:rPr>
            </w:pPr>
            <w:r>
              <w:rPr>
                <w:color w:val="auto"/>
              </w:rPr>
              <w:t>X</w:t>
            </w:r>
            <w:r>
              <w:rPr>
                <w:rFonts w:hint="eastAsia"/>
                <w:color w:val="auto"/>
              </w:rPr>
              <w:t>起点</w:t>
            </w:r>
            <w:r>
              <w:rPr>
                <w:color w:val="auto"/>
              </w:rPr>
              <w:t>(m)</w:t>
            </w:r>
          </w:p>
        </w:tc>
        <w:tc>
          <w:tcPr>
            <w:tcW w:w="627" w:type="pct"/>
            <w:noWrap/>
            <w:vAlign w:val="center"/>
          </w:tcPr>
          <w:p w14:paraId="6CB5C280">
            <w:pPr>
              <w:pStyle w:val="129"/>
              <w:widowControl w:val="0"/>
              <w:rPr>
                <w:color w:val="auto"/>
              </w:rPr>
            </w:pPr>
            <w:r>
              <w:rPr>
                <w:color w:val="auto"/>
              </w:rPr>
              <w:t>X</w:t>
            </w:r>
            <w:r>
              <w:rPr>
                <w:rFonts w:hint="eastAsia"/>
                <w:color w:val="auto"/>
              </w:rPr>
              <w:t>终点</w:t>
            </w:r>
            <w:r>
              <w:rPr>
                <w:color w:val="auto"/>
              </w:rPr>
              <w:t>(m)</w:t>
            </w:r>
          </w:p>
        </w:tc>
        <w:tc>
          <w:tcPr>
            <w:tcW w:w="752" w:type="pct"/>
            <w:noWrap/>
            <w:vAlign w:val="center"/>
          </w:tcPr>
          <w:p w14:paraId="13F3A542">
            <w:pPr>
              <w:pStyle w:val="129"/>
              <w:widowControl w:val="0"/>
              <w:rPr>
                <w:color w:val="auto"/>
              </w:rPr>
            </w:pPr>
            <w:r>
              <w:rPr>
                <w:rFonts w:hint="eastAsia"/>
                <w:color w:val="auto"/>
              </w:rPr>
              <w:t>最大半宽</w:t>
            </w:r>
            <w:r>
              <w:rPr>
                <w:color w:val="auto"/>
              </w:rPr>
              <w:t>(m)</w:t>
            </w:r>
          </w:p>
        </w:tc>
        <w:tc>
          <w:tcPr>
            <w:tcW w:w="1121" w:type="pct"/>
            <w:noWrap/>
            <w:vAlign w:val="center"/>
          </w:tcPr>
          <w:p w14:paraId="05179917">
            <w:pPr>
              <w:pStyle w:val="129"/>
              <w:widowControl w:val="0"/>
              <w:rPr>
                <w:color w:val="auto"/>
              </w:rPr>
            </w:pPr>
            <w:r>
              <w:rPr>
                <w:rFonts w:hint="eastAsia"/>
                <w:color w:val="auto"/>
              </w:rPr>
              <w:t>最大半宽对应</w:t>
            </w:r>
            <w:r>
              <w:rPr>
                <w:color w:val="auto"/>
              </w:rPr>
              <w:t>X(m)</w:t>
            </w:r>
          </w:p>
        </w:tc>
      </w:tr>
      <w:tr w14:paraId="4626E78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969" w:type="pct"/>
            <w:vMerge w:val="restart"/>
            <w:tcBorders>
              <w:right w:val="single" w:color="auto" w:sz="4" w:space="0"/>
            </w:tcBorders>
            <w:noWrap/>
            <w:vAlign w:val="center"/>
          </w:tcPr>
          <w:p w14:paraId="68A827AD">
            <w:pPr>
              <w:pStyle w:val="129"/>
              <w:widowControl w:val="0"/>
              <w:rPr>
                <w:color w:val="auto"/>
              </w:rPr>
            </w:pPr>
            <w:r>
              <w:rPr>
                <w:rFonts w:hint="eastAsia"/>
                <w:color w:val="auto"/>
              </w:rPr>
              <w:t>常规气象条件下</w:t>
            </w:r>
          </w:p>
        </w:tc>
        <w:tc>
          <w:tcPr>
            <w:tcW w:w="839" w:type="pct"/>
            <w:tcBorders>
              <w:left w:val="single" w:color="auto" w:sz="4" w:space="0"/>
            </w:tcBorders>
            <w:noWrap/>
            <w:vAlign w:val="center"/>
          </w:tcPr>
          <w:p w14:paraId="160712F5">
            <w:pPr>
              <w:pStyle w:val="129"/>
              <w:widowControl w:val="0"/>
              <w:rPr>
                <w:color w:val="auto"/>
              </w:rPr>
            </w:pPr>
            <w:r>
              <w:rPr>
                <w:color w:val="auto"/>
              </w:rPr>
              <w:t>150000</w:t>
            </w:r>
          </w:p>
        </w:tc>
        <w:tc>
          <w:tcPr>
            <w:tcW w:w="3191" w:type="pct"/>
            <w:gridSpan w:val="4"/>
            <w:noWrap/>
            <w:vAlign w:val="center"/>
          </w:tcPr>
          <w:p w14:paraId="286F0531">
            <w:pPr>
              <w:pStyle w:val="129"/>
              <w:widowControl w:val="0"/>
              <w:rPr>
                <w:color w:val="auto"/>
              </w:rPr>
            </w:pPr>
            <w:r>
              <w:rPr>
                <w:rFonts w:hint="eastAsia"/>
                <w:color w:val="auto"/>
              </w:rPr>
              <w:t>此阈值及以上，无对应位置</w:t>
            </w:r>
          </w:p>
        </w:tc>
      </w:tr>
      <w:tr w14:paraId="3F4CE7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969" w:type="pct"/>
            <w:vMerge w:val="continue"/>
            <w:tcBorders>
              <w:right w:val="single" w:color="auto" w:sz="4" w:space="0"/>
            </w:tcBorders>
            <w:noWrap/>
            <w:vAlign w:val="center"/>
          </w:tcPr>
          <w:p w14:paraId="5D8C8E10">
            <w:pPr>
              <w:pStyle w:val="129"/>
              <w:widowControl w:val="0"/>
              <w:rPr>
                <w:color w:val="auto"/>
              </w:rPr>
            </w:pPr>
          </w:p>
        </w:tc>
        <w:tc>
          <w:tcPr>
            <w:tcW w:w="839" w:type="pct"/>
            <w:tcBorders>
              <w:left w:val="single" w:color="auto" w:sz="4" w:space="0"/>
            </w:tcBorders>
            <w:noWrap/>
            <w:vAlign w:val="center"/>
          </w:tcPr>
          <w:p w14:paraId="7432F737">
            <w:pPr>
              <w:pStyle w:val="129"/>
              <w:widowControl w:val="0"/>
              <w:rPr>
                <w:color w:val="auto"/>
              </w:rPr>
            </w:pPr>
            <w:r>
              <w:rPr>
                <w:color w:val="auto"/>
              </w:rPr>
              <w:t>260000</w:t>
            </w:r>
          </w:p>
        </w:tc>
        <w:tc>
          <w:tcPr>
            <w:tcW w:w="3191" w:type="pct"/>
            <w:gridSpan w:val="4"/>
            <w:noWrap/>
            <w:vAlign w:val="center"/>
          </w:tcPr>
          <w:p w14:paraId="6242FF66">
            <w:pPr>
              <w:pStyle w:val="129"/>
              <w:widowControl w:val="0"/>
              <w:rPr>
                <w:color w:val="auto"/>
              </w:rPr>
            </w:pPr>
            <w:r>
              <w:rPr>
                <w:rFonts w:hint="eastAsia"/>
                <w:color w:val="auto"/>
              </w:rPr>
              <w:t>此阈值及以上，无对应位置</w:t>
            </w:r>
          </w:p>
        </w:tc>
      </w:tr>
      <w:tr w14:paraId="57B689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969" w:type="pct"/>
            <w:vMerge w:val="restart"/>
            <w:tcBorders>
              <w:right w:val="single" w:color="auto" w:sz="4" w:space="0"/>
            </w:tcBorders>
            <w:noWrap/>
            <w:vAlign w:val="center"/>
          </w:tcPr>
          <w:p w14:paraId="044CFA72">
            <w:pPr>
              <w:pStyle w:val="129"/>
              <w:widowControl w:val="0"/>
              <w:rPr>
                <w:color w:val="auto"/>
              </w:rPr>
            </w:pPr>
            <w:r>
              <w:rPr>
                <w:rFonts w:hint="eastAsia"/>
                <w:color w:val="auto"/>
              </w:rPr>
              <w:t>最不利气象条件下</w:t>
            </w:r>
          </w:p>
        </w:tc>
        <w:tc>
          <w:tcPr>
            <w:tcW w:w="839" w:type="pct"/>
            <w:tcBorders>
              <w:left w:val="single" w:color="auto" w:sz="4" w:space="0"/>
            </w:tcBorders>
            <w:noWrap/>
            <w:vAlign w:val="center"/>
          </w:tcPr>
          <w:p w14:paraId="1830A622">
            <w:pPr>
              <w:pStyle w:val="129"/>
              <w:widowControl w:val="0"/>
              <w:rPr>
                <w:color w:val="auto"/>
              </w:rPr>
            </w:pPr>
            <w:r>
              <w:rPr>
                <w:color w:val="auto"/>
              </w:rPr>
              <w:t>150000</w:t>
            </w:r>
          </w:p>
        </w:tc>
        <w:tc>
          <w:tcPr>
            <w:tcW w:w="3191" w:type="pct"/>
            <w:gridSpan w:val="4"/>
            <w:noWrap/>
            <w:vAlign w:val="center"/>
          </w:tcPr>
          <w:p w14:paraId="1D621B1B">
            <w:pPr>
              <w:pStyle w:val="129"/>
              <w:widowControl w:val="0"/>
              <w:rPr>
                <w:color w:val="auto"/>
              </w:rPr>
            </w:pPr>
            <w:r>
              <w:rPr>
                <w:rFonts w:hint="eastAsia"/>
                <w:color w:val="auto"/>
              </w:rPr>
              <w:t>此阈值及以上，无对应位置</w:t>
            </w:r>
          </w:p>
        </w:tc>
      </w:tr>
      <w:tr w14:paraId="4D07FF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trPr>
        <w:tc>
          <w:tcPr>
            <w:tcW w:w="969" w:type="pct"/>
            <w:vMerge w:val="continue"/>
            <w:tcBorders>
              <w:right w:val="single" w:color="auto" w:sz="4" w:space="0"/>
            </w:tcBorders>
            <w:noWrap/>
            <w:vAlign w:val="center"/>
          </w:tcPr>
          <w:p w14:paraId="10C56079">
            <w:pPr>
              <w:pStyle w:val="129"/>
              <w:widowControl w:val="0"/>
              <w:rPr>
                <w:color w:val="auto"/>
              </w:rPr>
            </w:pPr>
          </w:p>
        </w:tc>
        <w:tc>
          <w:tcPr>
            <w:tcW w:w="839" w:type="pct"/>
            <w:tcBorders>
              <w:left w:val="single" w:color="auto" w:sz="4" w:space="0"/>
            </w:tcBorders>
            <w:noWrap/>
            <w:vAlign w:val="center"/>
          </w:tcPr>
          <w:p w14:paraId="7F12B02F">
            <w:pPr>
              <w:pStyle w:val="129"/>
              <w:widowControl w:val="0"/>
              <w:rPr>
                <w:color w:val="auto"/>
              </w:rPr>
            </w:pPr>
            <w:r>
              <w:rPr>
                <w:color w:val="auto"/>
              </w:rPr>
              <w:t>260000</w:t>
            </w:r>
          </w:p>
        </w:tc>
        <w:tc>
          <w:tcPr>
            <w:tcW w:w="3191" w:type="pct"/>
            <w:gridSpan w:val="4"/>
            <w:noWrap/>
            <w:vAlign w:val="center"/>
          </w:tcPr>
          <w:p w14:paraId="0AFDFE0D">
            <w:pPr>
              <w:pStyle w:val="129"/>
              <w:widowControl w:val="0"/>
              <w:rPr>
                <w:color w:val="auto"/>
              </w:rPr>
            </w:pPr>
            <w:r>
              <w:rPr>
                <w:rFonts w:hint="eastAsia"/>
                <w:color w:val="auto"/>
              </w:rPr>
              <w:t>此阈值及以上，无对应位置</w:t>
            </w:r>
          </w:p>
        </w:tc>
      </w:tr>
    </w:tbl>
    <w:p w14:paraId="46E89093">
      <w:pPr>
        <w:pStyle w:val="188"/>
        <w:rPr>
          <w:color w:val="auto"/>
        </w:rPr>
      </w:pPr>
    </w:p>
    <w:p w14:paraId="16433692">
      <w:pPr>
        <w:spacing w:line="360" w:lineRule="auto"/>
        <w:ind w:firstLine="480" w:firstLineChars="200"/>
        <w:jc w:val="both"/>
        <w:rPr>
          <w:color w:val="auto"/>
          <w:sz w:val="24"/>
          <w:szCs w:val="24"/>
        </w:rPr>
      </w:pPr>
      <w:r>
        <w:rPr>
          <w:rFonts w:hint="eastAsia"/>
          <w:color w:val="auto"/>
          <w:sz w:val="24"/>
          <w:szCs w:val="24"/>
        </w:rPr>
        <w:t>（3）天然气泄漏遇火燃烧产生的次生CO</w:t>
      </w:r>
    </w:p>
    <w:p w14:paraId="2B9149BF">
      <w:pPr>
        <w:spacing w:line="360" w:lineRule="auto"/>
        <w:ind w:firstLine="480" w:firstLineChars="200"/>
        <w:jc w:val="both"/>
        <w:rPr>
          <w:color w:val="auto"/>
          <w:sz w:val="24"/>
          <w:szCs w:val="24"/>
        </w:rPr>
      </w:pPr>
      <w:r>
        <w:rPr>
          <w:color w:val="auto"/>
          <w:sz w:val="24"/>
          <w:szCs w:val="24"/>
        </w:rPr>
        <w:t>经多烟团模式AFTOX模型预测，</w:t>
      </w:r>
      <w:r>
        <w:rPr>
          <w:rFonts w:hint="eastAsia"/>
          <w:color w:val="auto"/>
          <w:sz w:val="24"/>
          <w:szCs w:val="24"/>
        </w:rPr>
        <w:t>天然气管道泄漏产生的天然气遇火燃烧</w:t>
      </w:r>
      <w:r>
        <w:rPr>
          <w:color w:val="auto"/>
          <w:sz w:val="24"/>
          <w:szCs w:val="24"/>
        </w:rPr>
        <w:t>事故中，</w:t>
      </w:r>
      <w:r>
        <w:rPr>
          <w:rFonts w:hint="eastAsia"/>
          <w:color w:val="auto"/>
          <w:sz w:val="24"/>
          <w:szCs w:val="24"/>
        </w:rPr>
        <w:t>次生CO的“毒性终点浓度-1”的最远影响距离为60m，次生CO“毒性终点浓度-2”的最远影响距离为230 m，此范围内不涉及敏感保护目标，对敏感目标基本没有影响。</w:t>
      </w:r>
    </w:p>
    <w:p w14:paraId="7FC6DB88">
      <w:pPr>
        <w:pStyle w:val="132"/>
        <w:rPr>
          <w:color w:val="auto"/>
        </w:rPr>
      </w:pPr>
      <w:r>
        <w:rPr>
          <w:color w:val="auto"/>
        </w:rPr>
        <w:t>轴线最大浓度见</w:t>
      </w:r>
      <w:r>
        <w:rPr>
          <w:color w:val="auto"/>
        </w:rPr>
        <w:fldChar w:fldCharType="begin"/>
      </w:r>
      <w:r>
        <w:rPr>
          <w:color w:val="auto"/>
        </w:rPr>
        <w:instrText xml:space="preserve"> REF _Ref29634 \h  \* MERGEFORMAT </w:instrText>
      </w:r>
      <w:r>
        <w:rPr>
          <w:color w:val="auto"/>
        </w:rPr>
        <w:fldChar w:fldCharType="separate"/>
      </w: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8</w:t>
      </w:r>
      <w:r>
        <w:rPr>
          <w:color w:val="auto"/>
        </w:rPr>
        <w:fldChar w:fldCharType="end"/>
      </w:r>
      <w:r>
        <w:rPr>
          <w:color w:val="auto"/>
        </w:rPr>
        <w:t>、</w:t>
      </w:r>
      <w:r>
        <w:rPr>
          <w:color w:val="auto"/>
        </w:rPr>
        <w:fldChar w:fldCharType="begin"/>
      </w:r>
      <w:r>
        <w:rPr>
          <w:color w:val="auto"/>
        </w:rPr>
        <w:instrText xml:space="preserve"> REF _Ref29738 \h  \* MERGEFORMAT </w:instrText>
      </w:r>
      <w:r>
        <w:rPr>
          <w:color w:val="auto"/>
        </w:rPr>
        <w:fldChar w:fldCharType="separate"/>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6</w:t>
      </w:r>
      <w:r>
        <w:rPr>
          <w:color w:val="auto"/>
        </w:rPr>
        <w:fldChar w:fldCharType="end"/>
      </w:r>
      <w:r>
        <w:rPr>
          <w:color w:val="auto"/>
        </w:rPr>
        <w:t>，各阈值的廓线对应的位置见</w:t>
      </w:r>
      <w:r>
        <w:rPr>
          <w:color w:val="auto"/>
        </w:rPr>
        <w:fldChar w:fldCharType="begin"/>
      </w:r>
      <w:r>
        <w:rPr>
          <w:color w:val="auto"/>
        </w:rPr>
        <w:instrText xml:space="preserve"> REF _Ref29650 \h  \* MERGEFORMAT </w:instrText>
      </w:r>
      <w:r>
        <w:rPr>
          <w:color w:val="auto"/>
        </w:rPr>
        <w:fldChar w:fldCharType="separate"/>
      </w: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9</w:t>
      </w:r>
      <w:r>
        <w:rPr>
          <w:color w:val="auto"/>
        </w:rPr>
        <w:fldChar w:fldCharType="end"/>
      </w:r>
      <w:r>
        <w:rPr>
          <w:color w:val="auto"/>
        </w:rPr>
        <w:t>、</w:t>
      </w:r>
      <w:r>
        <w:rPr>
          <w:color w:val="auto"/>
        </w:rPr>
        <w:fldChar w:fldCharType="begin"/>
      </w:r>
      <w:r>
        <w:rPr>
          <w:color w:val="auto"/>
        </w:rPr>
        <w:instrText xml:space="preserve"> REF _Ref29745 \h  \* MERGEFORMAT </w:instrText>
      </w:r>
      <w:r>
        <w:rPr>
          <w:color w:val="auto"/>
        </w:rPr>
        <w:fldChar w:fldCharType="separate"/>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7</w:t>
      </w:r>
      <w:r>
        <w:rPr>
          <w:color w:val="auto"/>
        </w:rPr>
        <w:fldChar w:fldCharType="end"/>
      </w:r>
      <w:r>
        <w:rPr>
          <w:color w:val="auto"/>
        </w:rPr>
        <w:t>，网格浓度图见</w:t>
      </w:r>
      <w:r>
        <w:rPr>
          <w:color w:val="auto"/>
        </w:rPr>
        <w:fldChar w:fldCharType="begin"/>
      </w:r>
      <w:r>
        <w:rPr>
          <w:color w:val="auto"/>
        </w:rPr>
        <w:instrText xml:space="preserve"> REF _Ref29849 \h  \* MERGEFORMAT </w:instrText>
      </w:r>
      <w:r>
        <w:rPr>
          <w:color w:val="auto"/>
        </w:rPr>
        <w:fldChar w:fldCharType="separate"/>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7.7</w:t>
      </w:r>
      <w:r>
        <w:rPr>
          <w:color w:val="auto"/>
        </w:rPr>
        <w:fldChar w:fldCharType="end"/>
      </w:r>
      <w:r>
        <w:rPr>
          <w:color w:val="auto"/>
        </w:rPr>
        <w:noBreakHyphen/>
      </w:r>
      <w:r>
        <w:rPr>
          <w:color w:val="auto"/>
        </w:rPr>
        <w:t>8</w:t>
      </w:r>
      <w:r>
        <w:rPr>
          <w:color w:val="auto"/>
        </w:rPr>
        <w:fldChar w:fldCharType="end"/>
      </w:r>
      <w:r>
        <w:rPr>
          <w:color w:val="auto"/>
        </w:rPr>
        <w:t>。</w:t>
      </w:r>
    </w:p>
    <w:p w14:paraId="0AE0E4A0">
      <w:pPr>
        <w:pStyle w:val="1060"/>
        <w:spacing w:before="163"/>
        <w:rPr>
          <w:color w:val="auto"/>
        </w:rPr>
      </w:pPr>
      <w:bookmarkStart w:id="399" w:name="_Ref2963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7.7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8</w:t>
      </w:r>
      <w:r>
        <w:rPr>
          <w:color w:val="auto"/>
        </w:rPr>
        <w:fldChar w:fldCharType="end"/>
      </w:r>
      <w:bookmarkEnd w:id="399"/>
      <w:r>
        <w:rPr>
          <w:rFonts w:hint="eastAsia"/>
          <w:color w:val="auto"/>
        </w:rPr>
        <w:t xml:space="preserve">  天然气泄漏火灾事故CO轴线最大浓度</w:t>
      </w:r>
    </w:p>
    <w:tbl>
      <w:tblPr>
        <w:tblStyle w:val="2399"/>
        <w:tblW w:w="0" w:type="auto"/>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1091"/>
        <w:gridCol w:w="1815"/>
        <w:gridCol w:w="1453"/>
        <w:gridCol w:w="1453"/>
        <w:gridCol w:w="1454"/>
        <w:gridCol w:w="1454"/>
      </w:tblGrid>
      <w:tr w14:paraId="47B4183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359" w:type="dxa"/>
            <w:gridSpan w:val="3"/>
            <w:vAlign w:val="center"/>
          </w:tcPr>
          <w:p w14:paraId="70AF771C">
            <w:pPr>
              <w:pStyle w:val="129"/>
              <w:widowControl w:val="0"/>
              <w:rPr>
                <w:rFonts w:eastAsia="Times New Roman"/>
                <w:color w:val="auto"/>
              </w:rPr>
            </w:pPr>
            <w:r>
              <w:rPr>
                <w:rFonts w:hint="eastAsia" w:eastAsia="Times New Roman"/>
                <w:color w:val="auto"/>
              </w:rPr>
              <w:t>常规气象条件下</w:t>
            </w:r>
          </w:p>
        </w:tc>
        <w:tc>
          <w:tcPr>
            <w:tcW w:w="4361" w:type="dxa"/>
            <w:gridSpan w:val="3"/>
            <w:vAlign w:val="center"/>
          </w:tcPr>
          <w:p w14:paraId="167954BA">
            <w:pPr>
              <w:pStyle w:val="129"/>
              <w:widowControl w:val="0"/>
              <w:rPr>
                <w:rFonts w:eastAsia="Times New Roman"/>
                <w:color w:val="auto"/>
              </w:rPr>
            </w:pPr>
            <w:r>
              <w:rPr>
                <w:rFonts w:hint="eastAsia" w:eastAsia="Times New Roman"/>
                <w:color w:val="auto"/>
              </w:rPr>
              <w:t>最不利气象条件下</w:t>
            </w:r>
          </w:p>
        </w:tc>
      </w:tr>
      <w:tr w14:paraId="71CD942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6312F6F6">
            <w:pPr>
              <w:pStyle w:val="129"/>
              <w:widowControl w:val="0"/>
              <w:rPr>
                <w:rFonts w:eastAsia="Times New Roman"/>
                <w:color w:val="auto"/>
              </w:rPr>
            </w:pPr>
            <w:r>
              <w:rPr>
                <w:rFonts w:hint="eastAsia" w:eastAsia="Times New Roman"/>
                <w:color w:val="auto"/>
              </w:rPr>
              <w:t>距离 (m)</w:t>
            </w:r>
          </w:p>
        </w:tc>
        <w:tc>
          <w:tcPr>
            <w:tcW w:w="1815" w:type="dxa"/>
            <w:vAlign w:val="center"/>
          </w:tcPr>
          <w:p w14:paraId="69991F8B">
            <w:pPr>
              <w:pStyle w:val="129"/>
              <w:widowControl w:val="0"/>
              <w:rPr>
                <w:rFonts w:eastAsia="Times New Roman"/>
                <w:color w:val="auto"/>
              </w:rPr>
            </w:pPr>
            <w:r>
              <w:rPr>
                <w:rFonts w:hint="eastAsia" w:eastAsia="Times New Roman"/>
                <w:color w:val="auto"/>
              </w:rPr>
              <w:t>浓度出现时间（min）</w:t>
            </w:r>
          </w:p>
        </w:tc>
        <w:tc>
          <w:tcPr>
            <w:tcW w:w="1453" w:type="dxa"/>
            <w:vAlign w:val="center"/>
          </w:tcPr>
          <w:p w14:paraId="325C1214">
            <w:pPr>
              <w:pStyle w:val="129"/>
              <w:widowControl w:val="0"/>
              <w:rPr>
                <w:rFonts w:eastAsia="Times New Roman"/>
                <w:color w:val="auto"/>
              </w:rPr>
            </w:pPr>
            <w:r>
              <w:rPr>
                <w:rFonts w:hint="eastAsia" w:eastAsia="Times New Roman"/>
                <w:color w:val="auto"/>
              </w:rPr>
              <w:t>高峰浓度(mg/m</w:t>
            </w:r>
            <w:r>
              <w:rPr>
                <w:rFonts w:hint="eastAsia" w:eastAsia="Times New Roman"/>
                <w:color w:val="auto"/>
                <w:vertAlign w:val="superscript"/>
              </w:rPr>
              <w:t>3</w:t>
            </w:r>
            <w:r>
              <w:rPr>
                <w:rFonts w:hint="eastAsia" w:eastAsia="Times New Roman"/>
                <w:color w:val="auto"/>
              </w:rPr>
              <w:t>)</w:t>
            </w:r>
          </w:p>
        </w:tc>
        <w:tc>
          <w:tcPr>
            <w:tcW w:w="1453" w:type="dxa"/>
            <w:vAlign w:val="center"/>
          </w:tcPr>
          <w:p w14:paraId="112E6967">
            <w:pPr>
              <w:pStyle w:val="129"/>
              <w:widowControl w:val="0"/>
              <w:rPr>
                <w:rFonts w:eastAsia="Times New Roman"/>
                <w:color w:val="auto"/>
              </w:rPr>
            </w:pPr>
            <w:r>
              <w:rPr>
                <w:rFonts w:hint="eastAsia" w:eastAsia="Times New Roman"/>
                <w:color w:val="auto"/>
              </w:rPr>
              <w:t>距离 (m)</w:t>
            </w:r>
          </w:p>
        </w:tc>
        <w:tc>
          <w:tcPr>
            <w:tcW w:w="1454" w:type="dxa"/>
            <w:vAlign w:val="center"/>
          </w:tcPr>
          <w:p w14:paraId="3C8E499E">
            <w:pPr>
              <w:pStyle w:val="129"/>
              <w:widowControl w:val="0"/>
              <w:rPr>
                <w:rFonts w:eastAsia="Times New Roman"/>
                <w:color w:val="auto"/>
              </w:rPr>
            </w:pPr>
            <w:r>
              <w:rPr>
                <w:rFonts w:hint="eastAsia" w:eastAsia="Times New Roman"/>
                <w:color w:val="auto"/>
              </w:rPr>
              <w:t>浓度出现时间（min）</w:t>
            </w:r>
          </w:p>
        </w:tc>
        <w:tc>
          <w:tcPr>
            <w:tcW w:w="1454" w:type="dxa"/>
            <w:vAlign w:val="center"/>
          </w:tcPr>
          <w:p w14:paraId="39AB0AE4">
            <w:pPr>
              <w:pStyle w:val="129"/>
              <w:widowControl w:val="0"/>
              <w:rPr>
                <w:rFonts w:eastAsia="Times New Roman"/>
                <w:color w:val="auto"/>
              </w:rPr>
            </w:pPr>
            <w:r>
              <w:rPr>
                <w:rFonts w:hint="eastAsia" w:eastAsia="Times New Roman"/>
                <w:color w:val="auto"/>
              </w:rPr>
              <w:t>高峰浓度(mg/m</w:t>
            </w:r>
            <w:r>
              <w:rPr>
                <w:rFonts w:hint="eastAsia" w:eastAsia="Times New Roman"/>
                <w:color w:val="auto"/>
                <w:vertAlign w:val="superscript"/>
              </w:rPr>
              <w:t>3</w:t>
            </w:r>
            <w:r>
              <w:rPr>
                <w:rFonts w:hint="eastAsia" w:eastAsia="Times New Roman"/>
                <w:color w:val="auto"/>
              </w:rPr>
              <w:t>)</w:t>
            </w:r>
          </w:p>
        </w:tc>
      </w:tr>
      <w:tr w14:paraId="1E31CB7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76B9BFBC">
            <w:pPr>
              <w:pStyle w:val="129"/>
              <w:widowControl w:val="0"/>
              <w:rPr>
                <w:rFonts w:eastAsia="Times New Roman"/>
                <w:color w:val="auto"/>
              </w:rPr>
            </w:pPr>
            <w:r>
              <w:rPr>
                <w:rFonts w:hint="eastAsia" w:eastAsia="Times New Roman"/>
                <w:color w:val="auto"/>
              </w:rPr>
              <w:t xml:space="preserve">10.00 </w:t>
            </w:r>
          </w:p>
        </w:tc>
        <w:tc>
          <w:tcPr>
            <w:tcW w:w="1815" w:type="dxa"/>
            <w:vAlign w:val="center"/>
          </w:tcPr>
          <w:p w14:paraId="4EFD7D37">
            <w:pPr>
              <w:pStyle w:val="129"/>
              <w:widowControl w:val="0"/>
              <w:rPr>
                <w:rFonts w:eastAsia="Times New Roman"/>
                <w:color w:val="auto"/>
              </w:rPr>
            </w:pPr>
            <w:r>
              <w:rPr>
                <w:rFonts w:hint="eastAsia" w:eastAsia="Times New Roman"/>
                <w:color w:val="auto"/>
              </w:rPr>
              <w:t xml:space="preserve">0.17 </w:t>
            </w:r>
          </w:p>
        </w:tc>
        <w:tc>
          <w:tcPr>
            <w:tcW w:w="1453" w:type="dxa"/>
            <w:vAlign w:val="center"/>
          </w:tcPr>
          <w:p w14:paraId="6DB992CD">
            <w:pPr>
              <w:pStyle w:val="129"/>
              <w:widowControl w:val="0"/>
              <w:rPr>
                <w:rFonts w:eastAsia="Times New Roman"/>
                <w:color w:val="auto"/>
              </w:rPr>
            </w:pPr>
            <w:r>
              <w:rPr>
                <w:rFonts w:hint="eastAsia" w:eastAsia="Times New Roman"/>
                <w:color w:val="auto"/>
              </w:rPr>
              <w:t xml:space="preserve">0.00 </w:t>
            </w:r>
          </w:p>
        </w:tc>
        <w:tc>
          <w:tcPr>
            <w:tcW w:w="1453" w:type="dxa"/>
            <w:vAlign w:val="center"/>
          </w:tcPr>
          <w:p w14:paraId="0341AAED">
            <w:pPr>
              <w:pStyle w:val="129"/>
              <w:widowControl w:val="0"/>
              <w:rPr>
                <w:rFonts w:eastAsia="Times New Roman"/>
                <w:color w:val="auto"/>
              </w:rPr>
            </w:pPr>
            <w:r>
              <w:rPr>
                <w:rFonts w:hint="eastAsia" w:eastAsia="Times New Roman"/>
                <w:color w:val="auto"/>
              </w:rPr>
              <w:t xml:space="preserve">10.00 </w:t>
            </w:r>
          </w:p>
        </w:tc>
        <w:tc>
          <w:tcPr>
            <w:tcW w:w="1454" w:type="dxa"/>
            <w:vAlign w:val="center"/>
          </w:tcPr>
          <w:p w14:paraId="094701AB">
            <w:pPr>
              <w:pStyle w:val="129"/>
              <w:widowControl w:val="0"/>
              <w:rPr>
                <w:rFonts w:eastAsia="Times New Roman"/>
                <w:color w:val="auto"/>
              </w:rPr>
            </w:pPr>
            <w:r>
              <w:rPr>
                <w:rFonts w:hint="eastAsia" w:eastAsia="Times New Roman"/>
                <w:color w:val="auto"/>
              </w:rPr>
              <w:t xml:space="preserve">0.11 </w:t>
            </w:r>
          </w:p>
        </w:tc>
        <w:tc>
          <w:tcPr>
            <w:tcW w:w="1454" w:type="dxa"/>
            <w:vAlign w:val="center"/>
          </w:tcPr>
          <w:p w14:paraId="0417C01D">
            <w:pPr>
              <w:pStyle w:val="129"/>
              <w:widowControl w:val="0"/>
              <w:rPr>
                <w:rFonts w:eastAsia="Times New Roman"/>
                <w:color w:val="auto"/>
              </w:rPr>
            </w:pPr>
            <w:r>
              <w:rPr>
                <w:rFonts w:hint="eastAsia" w:eastAsia="Times New Roman"/>
                <w:color w:val="auto"/>
              </w:rPr>
              <w:t xml:space="preserve">0.00 </w:t>
            </w:r>
          </w:p>
        </w:tc>
      </w:tr>
      <w:tr w14:paraId="15C9C2D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7757E5AE">
            <w:pPr>
              <w:pStyle w:val="129"/>
              <w:widowControl w:val="0"/>
              <w:rPr>
                <w:rFonts w:eastAsia="Times New Roman"/>
                <w:color w:val="auto"/>
              </w:rPr>
            </w:pPr>
            <w:r>
              <w:rPr>
                <w:rFonts w:hint="eastAsia" w:eastAsia="Times New Roman"/>
                <w:color w:val="auto"/>
              </w:rPr>
              <w:t xml:space="preserve">20.00 </w:t>
            </w:r>
          </w:p>
        </w:tc>
        <w:tc>
          <w:tcPr>
            <w:tcW w:w="1815" w:type="dxa"/>
            <w:vAlign w:val="center"/>
          </w:tcPr>
          <w:p w14:paraId="02133FC6">
            <w:pPr>
              <w:pStyle w:val="129"/>
              <w:widowControl w:val="0"/>
              <w:rPr>
                <w:rFonts w:eastAsia="Times New Roman"/>
                <w:color w:val="auto"/>
              </w:rPr>
            </w:pPr>
            <w:r>
              <w:rPr>
                <w:rFonts w:hint="eastAsia" w:eastAsia="Times New Roman"/>
                <w:color w:val="auto"/>
              </w:rPr>
              <w:t xml:space="preserve">0.34 </w:t>
            </w:r>
          </w:p>
        </w:tc>
        <w:tc>
          <w:tcPr>
            <w:tcW w:w="1453" w:type="dxa"/>
            <w:vAlign w:val="center"/>
          </w:tcPr>
          <w:p w14:paraId="37823046">
            <w:pPr>
              <w:pStyle w:val="129"/>
              <w:widowControl w:val="0"/>
              <w:rPr>
                <w:rFonts w:eastAsia="Times New Roman"/>
                <w:color w:val="auto"/>
              </w:rPr>
            </w:pPr>
            <w:r>
              <w:rPr>
                <w:rFonts w:hint="eastAsia" w:eastAsia="Times New Roman"/>
                <w:color w:val="auto"/>
              </w:rPr>
              <w:t xml:space="preserve">134.49 </w:t>
            </w:r>
          </w:p>
        </w:tc>
        <w:tc>
          <w:tcPr>
            <w:tcW w:w="1453" w:type="dxa"/>
            <w:vAlign w:val="center"/>
          </w:tcPr>
          <w:p w14:paraId="1882C0C1">
            <w:pPr>
              <w:pStyle w:val="129"/>
              <w:widowControl w:val="0"/>
              <w:rPr>
                <w:rFonts w:eastAsia="Times New Roman"/>
                <w:color w:val="auto"/>
              </w:rPr>
            </w:pPr>
            <w:r>
              <w:rPr>
                <w:rFonts w:hint="eastAsia" w:eastAsia="Times New Roman"/>
                <w:color w:val="auto"/>
              </w:rPr>
              <w:t xml:space="preserve">20.00 </w:t>
            </w:r>
          </w:p>
        </w:tc>
        <w:tc>
          <w:tcPr>
            <w:tcW w:w="1454" w:type="dxa"/>
            <w:vAlign w:val="center"/>
          </w:tcPr>
          <w:p w14:paraId="6B2975FE">
            <w:pPr>
              <w:pStyle w:val="129"/>
              <w:widowControl w:val="0"/>
              <w:rPr>
                <w:rFonts w:eastAsia="Times New Roman"/>
                <w:color w:val="auto"/>
              </w:rPr>
            </w:pPr>
            <w:r>
              <w:rPr>
                <w:rFonts w:hint="eastAsia" w:eastAsia="Times New Roman"/>
                <w:color w:val="auto"/>
              </w:rPr>
              <w:t xml:space="preserve">0.22 </w:t>
            </w:r>
          </w:p>
        </w:tc>
        <w:tc>
          <w:tcPr>
            <w:tcW w:w="1454" w:type="dxa"/>
            <w:vAlign w:val="center"/>
          </w:tcPr>
          <w:p w14:paraId="30A06EDC">
            <w:pPr>
              <w:pStyle w:val="129"/>
              <w:widowControl w:val="0"/>
              <w:rPr>
                <w:rFonts w:eastAsia="Times New Roman"/>
                <w:color w:val="auto"/>
              </w:rPr>
            </w:pPr>
            <w:r>
              <w:rPr>
                <w:rFonts w:hint="eastAsia" w:eastAsia="Times New Roman"/>
                <w:color w:val="auto"/>
              </w:rPr>
              <w:t xml:space="preserve">87.87 </w:t>
            </w:r>
          </w:p>
        </w:tc>
      </w:tr>
      <w:tr w14:paraId="3138FFD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78439E0B">
            <w:pPr>
              <w:pStyle w:val="129"/>
              <w:widowControl w:val="0"/>
              <w:rPr>
                <w:rFonts w:eastAsia="Times New Roman"/>
                <w:color w:val="auto"/>
              </w:rPr>
            </w:pPr>
            <w:r>
              <w:rPr>
                <w:rFonts w:hint="eastAsia" w:eastAsia="Times New Roman"/>
                <w:color w:val="auto"/>
              </w:rPr>
              <w:t xml:space="preserve">30.00 </w:t>
            </w:r>
          </w:p>
        </w:tc>
        <w:tc>
          <w:tcPr>
            <w:tcW w:w="1815" w:type="dxa"/>
            <w:vAlign w:val="center"/>
          </w:tcPr>
          <w:p w14:paraId="55130F32">
            <w:pPr>
              <w:pStyle w:val="129"/>
              <w:widowControl w:val="0"/>
              <w:rPr>
                <w:rFonts w:eastAsia="Times New Roman"/>
                <w:color w:val="auto"/>
              </w:rPr>
            </w:pPr>
            <w:r>
              <w:rPr>
                <w:rFonts w:hint="eastAsia" w:eastAsia="Times New Roman"/>
                <w:color w:val="auto"/>
              </w:rPr>
              <w:t xml:space="preserve">0.51 </w:t>
            </w:r>
          </w:p>
        </w:tc>
        <w:tc>
          <w:tcPr>
            <w:tcW w:w="1453" w:type="dxa"/>
            <w:vAlign w:val="center"/>
          </w:tcPr>
          <w:p w14:paraId="573ACD1A">
            <w:pPr>
              <w:pStyle w:val="129"/>
              <w:widowControl w:val="0"/>
              <w:rPr>
                <w:rFonts w:eastAsia="Times New Roman"/>
                <w:color w:val="auto"/>
              </w:rPr>
            </w:pPr>
            <w:r>
              <w:rPr>
                <w:rFonts w:hint="eastAsia" w:eastAsia="Times New Roman"/>
                <w:color w:val="auto"/>
              </w:rPr>
              <w:t xml:space="preserve">2151.40 </w:t>
            </w:r>
          </w:p>
        </w:tc>
        <w:tc>
          <w:tcPr>
            <w:tcW w:w="1453" w:type="dxa"/>
            <w:vAlign w:val="center"/>
          </w:tcPr>
          <w:p w14:paraId="05DB336B">
            <w:pPr>
              <w:pStyle w:val="129"/>
              <w:widowControl w:val="0"/>
              <w:rPr>
                <w:rFonts w:eastAsia="Times New Roman"/>
                <w:color w:val="auto"/>
              </w:rPr>
            </w:pPr>
            <w:r>
              <w:rPr>
                <w:rFonts w:hint="eastAsia" w:eastAsia="Times New Roman"/>
                <w:color w:val="auto"/>
              </w:rPr>
              <w:t xml:space="preserve">30.00 </w:t>
            </w:r>
          </w:p>
        </w:tc>
        <w:tc>
          <w:tcPr>
            <w:tcW w:w="1454" w:type="dxa"/>
            <w:vAlign w:val="center"/>
          </w:tcPr>
          <w:p w14:paraId="45504299">
            <w:pPr>
              <w:pStyle w:val="129"/>
              <w:widowControl w:val="0"/>
              <w:rPr>
                <w:rFonts w:eastAsia="Times New Roman"/>
                <w:color w:val="auto"/>
              </w:rPr>
            </w:pPr>
            <w:r>
              <w:rPr>
                <w:rFonts w:hint="eastAsia" w:eastAsia="Times New Roman"/>
                <w:color w:val="auto"/>
              </w:rPr>
              <w:t xml:space="preserve">0.33 </w:t>
            </w:r>
          </w:p>
        </w:tc>
        <w:tc>
          <w:tcPr>
            <w:tcW w:w="1454" w:type="dxa"/>
            <w:vAlign w:val="center"/>
          </w:tcPr>
          <w:p w14:paraId="3317C04C">
            <w:pPr>
              <w:pStyle w:val="129"/>
              <w:widowControl w:val="0"/>
              <w:rPr>
                <w:rFonts w:eastAsia="Times New Roman"/>
                <w:color w:val="auto"/>
              </w:rPr>
            </w:pPr>
            <w:r>
              <w:rPr>
                <w:rFonts w:hint="eastAsia" w:eastAsia="Times New Roman"/>
                <w:color w:val="auto"/>
              </w:rPr>
              <w:t xml:space="preserve">1405.60 </w:t>
            </w:r>
          </w:p>
        </w:tc>
      </w:tr>
      <w:tr w14:paraId="06E9E9C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72BBF24F">
            <w:pPr>
              <w:pStyle w:val="129"/>
              <w:widowControl w:val="0"/>
              <w:rPr>
                <w:rFonts w:eastAsia="Times New Roman"/>
                <w:color w:val="auto"/>
              </w:rPr>
            </w:pPr>
            <w:r>
              <w:rPr>
                <w:rFonts w:hint="eastAsia" w:eastAsia="Times New Roman"/>
                <w:color w:val="auto"/>
              </w:rPr>
              <w:t xml:space="preserve">40.00 </w:t>
            </w:r>
          </w:p>
        </w:tc>
        <w:tc>
          <w:tcPr>
            <w:tcW w:w="1815" w:type="dxa"/>
            <w:vAlign w:val="center"/>
          </w:tcPr>
          <w:p w14:paraId="2F4BAFAB">
            <w:pPr>
              <w:pStyle w:val="129"/>
              <w:widowControl w:val="0"/>
              <w:rPr>
                <w:rFonts w:eastAsia="Times New Roman"/>
                <w:color w:val="auto"/>
              </w:rPr>
            </w:pPr>
            <w:r>
              <w:rPr>
                <w:rFonts w:hint="eastAsia" w:eastAsia="Times New Roman"/>
                <w:color w:val="auto"/>
              </w:rPr>
              <w:t xml:space="preserve">0.68 </w:t>
            </w:r>
          </w:p>
        </w:tc>
        <w:tc>
          <w:tcPr>
            <w:tcW w:w="1453" w:type="dxa"/>
            <w:vAlign w:val="center"/>
          </w:tcPr>
          <w:p w14:paraId="059F0D6A">
            <w:pPr>
              <w:pStyle w:val="129"/>
              <w:widowControl w:val="0"/>
              <w:rPr>
                <w:rFonts w:eastAsia="Times New Roman"/>
                <w:color w:val="auto"/>
              </w:rPr>
            </w:pPr>
            <w:r>
              <w:rPr>
                <w:rFonts w:hint="eastAsia" w:eastAsia="Times New Roman"/>
                <w:color w:val="auto"/>
              </w:rPr>
              <w:t xml:space="preserve">5494.40 </w:t>
            </w:r>
          </w:p>
        </w:tc>
        <w:tc>
          <w:tcPr>
            <w:tcW w:w="1453" w:type="dxa"/>
            <w:vAlign w:val="center"/>
          </w:tcPr>
          <w:p w14:paraId="41D24A43">
            <w:pPr>
              <w:pStyle w:val="129"/>
              <w:widowControl w:val="0"/>
              <w:rPr>
                <w:rFonts w:eastAsia="Times New Roman"/>
                <w:color w:val="auto"/>
              </w:rPr>
            </w:pPr>
            <w:r>
              <w:rPr>
                <w:rFonts w:hint="eastAsia" w:eastAsia="Times New Roman"/>
                <w:color w:val="auto"/>
              </w:rPr>
              <w:t xml:space="preserve">40.00 </w:t>
            </w:r>
          </w:p>
        </w:tc>
        <w:tc>
          <w:tcPr>
            <w:tcW w:w="1454" w:type="dxa"/>
            <w:vAlign w:val="center"/>
          </w:tcPr>
          <w:p w14:paraId="3B77D35E">
            <w:pPr>
              <w:pStyle w:val="129"/>
              <w:widowControl w:val="0"/>
              <w:rPr>
                <w:rFonts w:eastAsia="Times New Roman"/>
                <w:color w:val="auto"/>
              </w:rPr>
            </w:pPr>
            <w:r>
              <w:rPr>
                <w:rFonts w:hint="eastAsia" w:eastAsia="Times New Roman"/>
                <w:color w:val="auto"/>
              </w:rPr>
              <w:t xml:space="preserve">0.44 </w:t>
            </w:r>
          </w:p>
        </w:tc>
        <w:tc>
          <w:tcPr>
            <w:tcW w:w="1454" w:type="dxa"/>
            <w:vAlign w:val="center"/>
          </w:tcPr>
          <w:p w14:paraId="7EF48D9E">
            <w:pPr>
              <w:pStyle w:val="129"/>
              <w:widowControl w:val="0"/>
              <w:rPr>
                <w:rFonts w:eastAsia="Times New Roman"/>
                <w:color w:val="auto"/>
              </w:rPr>
            </w:pPr>
            <w:r>
              <w:rPr>
                <w:rFonts w:hint="eastAsia" w:eastAsia="Times New Roman"/>
                <w:color w:val="auto"/>
              </w:rPr>
              <w:t xml:space="preserve">3589.70 </w:t>
            </w:r>
          </w:p>
        </w:tc>
      </w:tr>
      <w:tr w14:paraId="387D90B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56B92E42">
            <w:pPr>
              <w:pStyle w:val="129"/>
              <w:widowControl w:val="0"/>
              <w:rPr>
                <w:rFonts w:eastAsia="Times New Roman"/>
                <w:color w:val="auto"/>
              </w:rPr>
            </w:pPr>
            <w:r>
              <w:rPr>
                <w:rFonts w:hint="eastAsia" w:eastAsia="Times New Roman"/>
                <w:color w:val="auto"/>
              </w:rPr>
              <w:t xml:space="preserve">50.00 </w:t>
            </w:r>
          </w:p>
        </w:tc>
        <w:tc>
          <w:tcPr>
            <w:tcW w:w="1815" w:type="dxa"/>
            <w:vAlign w:val="center"/>
          </w:tcPr>
          <w:p w14:paraId="19308D12">
            <w:pPr>
              <w:pStyle w:val="129"/>
              <w:widowControl w:val="0"/>
              <w:rPr>
                <w:rFonts w:eastAsia="Times New Roman"/>
                <w:color w:val="auto"/>
              </w:rPr>
            </w:pPr>
            <w:r>
              <w:rPr>
                <w:rFonts w:hint="eastAsia" w:eastAsia="Times New Roman"/>
                <w:color w:val="auto"/>
              </w:rPr>
              <w:t xml:space="preserve">0.85 </w:t>
            </w:r>
          </w:p>
        </w:tc>
        <w:tc>
          <w:tcPr>
            <w:tcW w:w="1453" w:type="dxa"/>
            <w:vAlign w:val="center"/>
          </w:tcPr>
          <w:p w14:paraId="76A09F03">
            <w:pPr>
              <w:pStyle w:val="129"/>
              <w:widowControl w:val="0"/>
              <w:rPr>
                <w:rFonts w:eastAsia="Times New Roman"/>
                <w:color w:val="auto"/>
              </w:rPr>
            </w:pPr>
            <w:r>
              <w:rPr>
                <w:rFonts w:hint="eastAsia" w:eastAsia="Times New Roman"/>
                <w:color w:val="auto"/>
              </w:rPr>
              <w:t xml:space="preserve">7918.60 </w:t>
            </w:r>
          </w:p>
        </w:tc>
        <w:tc>
          <w:tcPr>
            <w:tcW w:w="1453" w:type="dxa"/>
            <w:vAlign w:val="center"/>
          </w:tcPr>
          <w:p w14:paraId="0B012E21">
            <w:pPr>
              <w:pStyle w:val="129"/>
              <w:widowControl w:val="0"/>
              <w:rPr>
                <w:rFonts w:eastAsia="Times New Roman"/>
                <w:color w:val="auto"/>
              </w:rPr>
            </w:pPr>
            <w:r>
              <w:rPr>
                <w:rFonts w:hint="eastAsia" w:eastAsia="Times New Roman"/>
                <w:color w:val="auto"/>
              </w:rPr>
              <w:t xml:space="preserve">50.00 </w:t>
            </w:r>
          </w:p>
        </w:tc>
        <w:tc>
          <w:tcPr>
            <w:tcW w:w="1454" w:type="dxa"/>
            <w:vAlign w:val="center"/>
          </w:tcPr>
          <w:p w14:paraId="47535B2A">
            <w:pPr>
              <w:pStyle w:val="129"/>
              <w:widowControl w:val="0"/>
              <w:rPr>
                <w:rFonts w:eastAsia="Times New Roman"/>
                <w:color w:val="auto"/>
              </w:rPr>
            </w:pPr>
            <w:r>
              <w:rPr>
                <w:rFonts w:hint="eastAsia" w:eastAsia="Times New Roman"/>
                <w:color w:val="auto"/>
              </w:rPr>
              <w:t xml:space="preserve">0.56 </w:t>
            </w:r>
          </w:p>
        </w:tc>
        <w:tc>
          <w:tcPr>
            <w:tcW w:w="1454" w:type="dxa"/>
            <w:vAlign w:val="center"/>
          </w:tcPr>
          <w:p w14:paraId="63DD366B">
            <w:pPr>
              <w:pStyle w:val="129"/>
              <w:widowControl w:val="0"/>
              <w:rPr>
                <w:rFonts w:eastAsia="Times New Roman"/>
                <w:color w:val="auto"/>
              </w:rPr>
            </w:pPr>
            <w:r>
              <w:rPr>
                <w:rFonts w:hint="eastAsia" w:eastAsia="Times New Roman"/>
                <w:color w:val="auto"/>
              </w:rPr>
              <w:t xml:space="preserve">5173.50 </w:t>
            </w:r>
          </w:p>
        </w:tc>
      </w:tr>
      <w:tr w14:paraId="770E73E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4426BC1D">
            <w:pPr>
              <w:pStyle w:val="129"/>
              <w:widowControl w:val="0"/>
              <w:rPr>
                <w:rFonts w:eastAsia="Times New Roman"/>
                <w:color w:val="auto"/>
              </w:rPr>
            </w:pPr>
            <w:r>
              <w:rPr>
                <w:rFonts w:hint="eastAsia" w:eastAsia="Times New Roman"/>
                <w:color w:val="auto"/>
              </w:rPr>
              <w:t xml:space="preserve">60.00 </w:t>
            </w:r>
          </w:p>
        </w:tc>
        <w:tc>
          <w:tcPr>
            <w:tcW w:w="1815" w:type="dxa"/>
            <w:vAlign w:val="center"/>
          </w:tcPr>
          <w:p w14:paraId="1D0B7E60">
            <w:pPr>
              <w:pStyle w:val="129"/>
              <w:widowControl w:val="0"/>
              <w:rPr>
                <w:rFonts w:eastAsia="Times New Roman"/>
                <w:color w:val="auto"/>
              </w:rPr>
            </w:pPr>
            <w:r>
              <w:rPr>
                <w:rFonts w:hint="eastAsia" w:eastAsia="Times New Roman"/>
                <w:color w:val="auto"/>
              </w:rPr>
              <w:t xml:space="preserve">1.02 </w:t>
            </w:r>
          </w:p>
        </w:tc>
        <w:tc>
          <w:tcPr>
            <w:tcW w:w="1453" w:type="dxa"/>
            <w:vAlign w:val="center"/>
          </w:tcPr>
          <w:p w14:paraId="5CFBFA8C">
            <w:pPr>
              <w:pStyle w:val="129"/>
              <w:widowControl w:val="0"/>
              <w:rPr>
                <w:rFonts w:eastAsia="Times New Roman"/>
                <w:color w:val="auto"/>
              </w:rPr>
            </w:pPr>
            <w:r>
              <w:rPr>
                <w:rFonts w:hint="eastAsia" w:eastAsia="Times New Roman"/>
                <w:color w:val="auto"/>
              </w:rPr>
              <w:t xml:space="preserve">9085.30 </w:t>
            </w:r>
          </w:p>
        </w:tc>
        <w:tc>
          <w:tcPr>
            <w:tcW w:w="1453" w:type="dxa"/>
            <w:vAlign w:val="center"/>
          </w:tcPr>
          <w:p w14:paraId="49C7A640">
            <w:pPr>
              <w:pStyle w:val="129"/>
              <w:widowControl w:val="0"/>
              <w:rPr>
                <w:rFonts w:eastAsia="Times New Roman"/>
                <w:color w:val="auto"/>
              </w:rPr>
            </w:pPr>
            <w:r>
              <w:rPr>
                <w:rFonts w:hint="eastAsia" w:eastAsia="Times New Roman"/>
                <w:color w:val="auto"/>
              </w:rPr>
              <w:t xml:space="preserve">60.00 </w:t>
            </w:r>
          </w:p>
        </w:tc>
        <w:tc>
          <w:tcPr>
            <w:tcW w:w="1454" w:type="dxa"/>
            <w:vAlign w:val="center"/>
          </w:tcPr>
          <w:p w14:paraId="0B41B37B">
            <w:pPr>
              <w:pStyle w:val="129"/>
              <w:widowControl w:val="0"/>
              <w:rPr>
                <w:rFonts w:eastAsia="Times New Roman"/>
                <w:color w:val="auto"/>
              </w:rPr>
            </w:pPr>
            <w:r>
              <w:rPr>
                <w:rFonts w:hint="eastAsia" w:eastAsia="Times New Roman"/>
                <w:color w:val="auto"/>
              </w:rPr>
              <w:t xml:space="preserve">0.67 </w:t>
            </w:r>
          </w:p>
        </w:tc>
        <w:tc>
          <w:tcPr>
            <w:tcW w:w="1454" w:type="dxa"/>
            <w:vAlign w:val="center"/>
          </w:tcPr>
          <w:p w14:paraId="728F1B12">
            <w:pPr>
              <w:pStyle w:val="129"/>
              <w:widowControl w:val="0"/>
              <w:rPr>
                <w:rFonts w:eastAsia="Times New Roman"/>
                <w:color w:val="auto"/>
              </w:rPr>
            </w:pPr>
            <w:r>
              <w:rPr>
                <w:rFonts w:hint="eastAsia" w:eastAsia="Times New Roman"/>
                <w:color w:val="auto"/>
              </w:rPr>
              <w:t xml:space="preserve">5935.70 </w:t>
            </w:r>
          </w:p>
        </w:tc>
      </w:tr>
      <w:tr w14:paraId="5E022F7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00805FC6">
            <w:pPr>
              <w:pStyle w:val="129"/>
              <w:widowControl w:val="0"/>
              <w:rPr>
                <w:rFonts w:eastAsia="Times New Roman"/>
                <w:color w:val="auto"/>
              </w:rPr>
            </w:pPr>
            <w:r>
              <w:rPr>
                <w:rFonts w:hint="eastAsia" w:eastAsia="Times New Roman"/>
                <w:color w:val="auto"/>
              </w:rPr>
              <w:t xml:space="preserve">70.00 </w:t>
            </w:r>
          </w:p>
        </w:tc>
        <w:tc>
          <w:tcPr>
            <w:tcW w:w="1815" w:type="dxa"/>
            <w:vAlign w:val="center"/>
          </w:tcPr>
          <w:p w14:paraId="57E6EB19">
            <w:pPr>
              <w:pStyle w:val="129"/>
              <w:widowControl w:val="0"/>
              <w:rPr>
                <w:rFonts w:eastAsia="Times New Roman"/>
                <w:color w:val="auto"/>
              </w:rPr>
            </w:pPr>
            <w:r>
              <w:rPr>
                <w:rFonts w:hint="eastAsia" w:eastAsia="Times New Roman"/>
                <w:color w:val="auto"/>
              </w:rPr>
              <w:t xml:space="preserve">1.19 </w:t>
            </w:r>
          </w:p>
        </w:tc>
        <w:tc>
          <w:tcPr>
            <w:tcW w:w="1453" w:type="dxa"/>
            <w:vAlign w:val="center"/>
          </w:tcPr>
          <w:p w14:paraId="50D5F274">
            <w:pPr>
              <w:pStyle w:val="129"/>
              <w:widowControl w:val="0"/>
              <w:rPr>
                <w:rFonts w:eastAsia="Times New Roman"/>
                <w:color w:val="auto"/>
              </w:rPr>
            </w:pPr>
            <w:r>
              <w:rPr>
                <w:rFonts w:hint="eastAsia" w:eastAsia="Times New Roman"/>
                <w:color w:val="auto"/>
              </w:rPr>
              <w:t xml:space="preserve">9415.80 </w:t>
            </w:r>
          </w:p>
        </w:tc>
        <w:tc>
          <w:tcPr>
            <w:tcW w:w="1453" w:type="dxa"/>
            <w:vAlign w:val="center"/>
          </w:tcPr>
          <w:p w14:paraId="3AC31F50">
            <w:pPr>
              <w:pStyle w:val="129"/>
              <w:widowControl w:val="0"/>
              <w:rPr>
                <w:rFonts w:eastAsia="Times New Roman"/>
                <w:color w:val="auto"/>
              </w:rPr>
            </w:pPr>
            <w:r>
              <w:rPr>
                <w:rFonts w:hint="eastAsia" w:eastAsia="Times New Roman"/>
                <w:color w:val="auto"/>
              </w:rPr>
              <w:t xml:space="preserve">70.00 </w:t>
            </w:r>
          </w:p>
        </w:tc>
        <w:tc>
          <w:tcPr>
            <w:tcW w:w="1454" w:type="dxa"/>
            <w:vAlign w:val="center"/>
          </w:tcPr>
          <w:p w14:paraId="6A950B5D">
            <w:pPr>
              <w:pStyle w:val="129"/>
              <w:widowControl w:val="0"/>
              <w:rPr>
                <w:rFonts w:eastAsia="Times New Roman"/>
                <w:color w:val="auto"/>
              </w:rPr>
            </w:pPr>
            <w:r>
              <w:rPr>
                <w:rFonts w:hint="eastAsia" w:eastAsia="Times New Roman"/>
                <w:color w:val="auto"/>
              </w:rPr>
              <w:t xml:space="preserve">0.78 </w:t>
            </w:r>
          </w:p>
        </w:tc>
        <w:tc>
          <w:tcPr>
            <w:tcW w:w="1454" w:type="dxa"/>
            <w:vAlign w:val="center"/>
          </w:tcPr>
          <w:p w14:paraId="72E1DDAD">
            <w:pPr>
              <w:pStyle w:val="129"/>
              <w:widowControl w:val="0"/>
              <w:rPr>
                <w:rFonts w:eastAsia="Times New Roman"/>
                <w:color w:val="auto"/>
              </w:rPr>
            </w:pPr>
            <w:r>
              <w:rPr>
                <w:rFonts w:hint="eastAsia" w:eastAsia="Times New Roman"/>
                <w:color w:val="auto"/>
              </w:rPr>
              <w:t xml:space="preserve">6151.70 </w:t>
            </w:r>
          </w:p>
        </w:tc>
      </w:tr>
      <w:tr w14:paraId="0B4A4C6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14E36DDA">
            <w:pPr>
              <w:pStyle w:val="129"/>
              <w:widowControl w:val="0"/>
              <w:rPr>
                <w:rFonts w:eastAsia="Times New Roman"/>
                <w:color w:val="auto"/>
              </w:rPr>
            </w:pPr>
            <w:r>
              <w:rPr>
                <w:rFonts w:hint="eastAsia" w:eastAsia="Times New Roman"/>
                <w:color w:val="auto"/>
              </w:rPr>
              <w:t xml:space="preserve">80.00 </w:t>
            </w:r>
          </w:p>
        </w:tc>
        <w:tc>
          <w:tcPr>
            <w:tcW w:w="1815" w:type="dxa"/>
            <w:vAlign w:val="center"/>
          </w:tcPr>
          <w:p w14:paraId="73FA0F92">
            <w:pPr>
              <w:pStyle w:val="129"/>
              <w:widowControl w:val="0"/>
              <w:rPr>
                <w:rFonts w:eastAsia="Times New Roman"/>
                <w:color w:val="auto"/>
              </w:rPr>
            </w:pPr>
            <w:r>
              <w:rPr>
                <w:rFonts w:hint="eastAsia" w:eastAsia="Times New Roman"/>
                <w:color w:val="auto"/>
              </w:rPr>
              <w:t xml:space="preserve">1.36 </w:t>
            </w:r>
          </w:p>
        </w:tc>
        <w:tc>
          <w:tcPr>
            <w:tcW w:w="1453" w:type="dxa"/>
            <w:vAlign w:val="center"/>
          </w:tcPr>
          <w:p w14:paraId="5B3449E6">
            <w:pPr>
              <w:pStyle w:val="129"/>
              <w:widowControl w:val="0"/>
              <w:rPr>
                <w:rFonts w:eastAsia="Times New Roman"/>
                <w:color w:val="auto"/>
              </w:rPr>
            </w:pPr>
            <w:r>
              <w:rPr>
                <w:rFonts w:hint="eastAsia" w:eastAsia="Times New Roman"/>
                <w:color w:val="auto"/>
              </w:rPr>
              <w:t xml:space="preserve">9310.80 </w:t>
            </w:r>
          </w:p>
        </w:tc>
        <w:tc>
          <w:tcPr>
            <w:tcW w:w="1453" w:type="dxa"/>
            <w:vAlign w:val="center"/>
          </w:tcPr>
          <w:p w14:paraId="0003F21F">
            <w:pPr>
              <w:pStyle w:val="129"/>
              <w:widowControl w:val="0"/>
              <w:rPr>
                <w:rFonts w:eastAsia="Times New Roman"/>
                <w:color w:val="auto"/>
              </w:rPr>
            </w:pPr>
            <w:r>
              <w:rPr>
                <w:rFonts w:hint="eastAsia" w:eastAsia="Times New Roman"/>
                <w:color w:val="auto"/>
              </w:rPr>
              <w:t xml:space="preserve">80.00 </w:t>
            </w:r>
          </w:p>
        </w:tc>
        <w:tc>
          <w:tcPr>
            <w:tcW w:w="1454" w:type="dxa"/>
            <w:vAlign w:val="center"/>
          </w:tcPr>
          <w:p w14:paraId="326C4284">
            <w:pPr>
              <w:pStyle w:val="129"/>
              <w:widowControl w:val="0"/>
              <w:rPr>
                <w:rFonts w:eastAsia="Times New Roman"/>
                <w:color w:val="auto"/>
              </w:rPr>
            </w:pPr>
            <w:r>
              <w:rPr>
                <w:rFonts w:hint="eastAsia" w:eastAsia="Times New Roman"/>
                <w:color w:val="auto"/>
              </w:rPr>
              <w:t xml:space="preserve">0.89 </w:t>
            </w:r>
          </w:p>
        </w:tc>
        <w:tc>
          <w:tcPr>
            <w:tcW w:w="1454" w:type="dxa"/>
            <w:vAlign w:val="center"/>
          </w:tcPr>
          <w:p w14:paraId="7E407EB8">
            <w:pPr>
              <w:pStyle w:val="129"/>
              <w:widowControl w:val="0"/>
              <w:rPr>
                <w:rFonts w:eastAsia="Times New Roman"/>
                <w:color w:val="auto"/>
              </w:rPr>
            </w:pPr>
            <w:r>
              <w:rPr>
                <w:rFonts w:hint="eastAsia" w:eastAsia="Times New Roman"/>
                <w:color w:val="auto"/>
              </w:rPr>
              <w:t xml:space="preserve">6083.10 </w:t>
            </w:r>
          </w:p>
        </w:tc>
      </w:tr>
      <w:tr w14:paraId="3B54DDF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3C6298F0">
            <w:pPr>
              <w:pStyle w:val="129"/>
              <w:widowControl w:val="0"/>
              <w:rPr>
                <w:rFonts w:eastAsia="Times New Roman"/>
                <w:color w:val="auto"/>
              </w:rPr>
            </w:pPr>
            <w:r>
              <w:rPr>
                <w:rFonts w:hint="eastAsia" w:eastAsia="Times New Roman"/>
                <w:color w:val="auto"/>
              </w:rPr>
              <w:t xml:space="preserve">90.00 </w:t>
            </w:r>
          </w:p>
        </w:tc>
        <w:tc>
          <w:tcPr>
            <w:tcW w:w="1815" w:type="dxa"/>
            <w:vAlign w:val="center"/>
          </w:tcPr>
          <w:p w14:paraId="2D91F087">
            <w:pPr>
              <w:pStyle w:val="129"/>
              <w:widowControl w:val="0"/>
              <w:rPr>
                <w:rFonts w:eastAsia="Times New Roman"/>
                <w:color w:val="auto"/>
              </w:rPr>
            </w:pPr>
            <w:r>
              <w:rPr>
                <w:rFonts w:hint="eastAsia" w:eastAsia="Times New Roman"/>
                <w:color w:val="auto"/>
              </w:rPr>
              <w:t xml:space="preserve">1.53 </w:t>
            </w:r>
          </w:p>
        </w:tc>
        <w:tc>
          <w:tcPr>
            <w:tcW w:w="1453" w:type="dxa"/>
            <w:vAlign w:val="center"/>
          </w:tcPr>
          <w:p w14:paraId="52C52D81">
            <w:pPr>
              <w:pStyle w:val="129"/>
              <w:widowControl w:val="0"/>
              <w:rPr>
                <w:rFonts w:eastAsia="Times New Roman"/>
                <w:color w:val="auto"/>
              </w:rPr>
            </w:pPr>
            <w:r>
              <w:rPr>
                <w:rFonts w:hint="eastAsia" w:eastAsia="Times New Roman"/>
                <w:color w:val="auto"/>
              </w:rPr>
              <w:t xml:space="preserve">9011.10 </w:t>
            </w:r>
          </w:p>
        </w:tc>
        <w:tc>
          <w:tcPr>
            <w:tcW w:w="1453" w:type="dxa"/>
            <w:vAlign w:val="center"/>
          </w:tcPr>
          <w:p w14:paraId="716F8C1F">
            <w:pPr>
              <w:pStyle w:val="129"/>
              <w:widowControl w:val="0"/>
              <w:rPr>
                <w:rFonts w:eastAsia="Times New Roman"/>
                <w:color w:val="auto"/>
              </w:rPr>
            </w:pPr>
            <w:r>
              <w:rPr>
                <w:rFonts w:hint="eastAsia" w:eastAsia="Times New Roman"/>
                <w:color w:val="auto"/>
              </w:rPr>
              <w:t xml:space="preserve">90.00 </w:t>
            </w:r>
          </w:p>
        </w:tc>
        <w:tc>
          <w:tcPr>
            <w:tcW w:w="1454" w:type="dxa"/>
            <w:vAlign w:val="center"/>
          </w:tcPr>
          <w:p w14:paraId="5F5F6E6E">
            <w:pPr>
              <w:pStyle w:val="129"/>
              <w:widowControl w:val="0"/>
              <w:rPr>
                <w:rFonts w:eastAsia="Times New Roman"/>
                <w:color w:val="auto"/>
              </w:rPr>
            </w:pPr>
            <w:r>
              <w:rPr>
                <w:rFonts w:hint="eastAsia" w:eastAsia="Times New Roman"/>
                <w:color w:val="auto"/>
              </w:rPr>
              <w:t xml:space="preserve">1.00 </w:t>
            </w:r>
          </w:p>
        </w:tc>
        <w:tc>
          <w:tcPr>
            <w:tcW w:w="1454" w:type="dxa"/>
            <w:vAlign w:val="center"/>
          </w:tcPr>
          <w:p w14:paraId="6B1C64D3">
            <w:pPr>
              <w:pStyle w:val="129"/>
              <w:widowControl w:val="0"/>
              <w:rPr>
                <w:rFonts w:eastAsia="Times New Roman"/>
                <w:color w:val="auto"/>
              </w:rPr>
            </w:pPr>
            <w:r>
              <w:rPr>
                <w:rFonts w:hint="eastAsia" w:eastAsia="Times New Roman"/>
                <w:color w:val="auto"/>
              </w:rPr>
              <w:t xml:space="preserve">5887.20 </w:t>
            </w:r>
          </w:p>
        </w:tc>
      </w:tr>
      <w:tr w14:paraId="2490891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41D39150">
            <w:pPr>
              <w:pStyle w:val="129"/>
              <w:widowControl w:val="0"/>
              <w:rPr>
                <w:rFonts w:eastAsia="Times New Roman"/>
                <w:color w:val="auto"/>
              </w:rPr>
            </w:pPr>
            <w:r>
              <w:rPr>
                <w:rFonts w:hint="eastAsia" w:eastAsia="Times New Roman"/>
                <w:color w:val="auto"/>
              </w:rPr>
              <w:t xml:space="preserve">100.00 </w:t>
            </w:r>
          </w:p>
        </w:tc>
        <w:tc>
          <w:tcPr>
            <w:tcW w:w="1815" w:type="dxa"/>
            <w:vAlign w:val="center"/>
          </w:tcPr>
          <w:p w14:paraId="6C7A8253">
            <w:pPr>
              <w:pStyle w:val="129"/>
              <w:widowControl w:val="0"/>
              <w:rPr>
                <w:rFonts w:eastAsia="Times New Roman"/>
                <w:color w:val="auto"/>
              </w:rPr>
            </w:pPr>
            <w:r>
              <w:rPr>
                <w:rFonts w:hint="eastAsia" w:eastAsia="Times New Roman"/>
                <w:color w:val="auto"/>
              </w:rPr>
              <w:t xml:space="preserve">1.70 </w:t>
            </w:r>
          </w:p>
        </w:tc>
        <w:tc>
          <w:tcPr>
            <w:tcW w:w="1453" w:type="dxa"/>
            <w:vAlign w:val="center"/>
          </w:tcPr>
          <w:p w14:paraId="32E6A94F">
            <w:pPr>
              <w:pStyle w:val="129"/>
              <w:widowControl w:val="0"/>
              <w:rPr>
                <w:rFonts w:eastAsia="Times New Roman"/>
                <w:color w:val="auto"/>
              </w:rPr>
            </w:pPr>
            <w:r>
              <w:rPr>
                <w:rFonts w:hint="eastAsia" w:eastAsia="Times New Roman"/>
                <w:color w:val="auto"/>
              </w:rPr>
              <w:t xml:space="preserve">8637.60 </w:t>
            </w:r>
          </w:p>
        </w:tc>
        <w:tc>
          <w:tcPr>
            <w:tcW w:w="1453" w:type="dxa"/>
            <w:vAlign w:val="center"/>
          </w:tcPr>
          <w:p w14:paraId="55F9F89D">
            <w:pPr>
              <w:pStyle w:val="129"/>
              <w:widowControl w:val="0"/>
              <w:rPr>
                <w:rFonts w:eastAsia="Times New Roman"/>
                <w:color w:val="auto"/>
              </w:rPr>
            </w:pPr>
            <w:r>
              <w:rPr>
                <w:rFonts w:hint="eastAsia" w:eastAsia="Times New Roman"/>
                <w:color w:val="auto"/>
              </w:rPr>
              <w:t xml:space="preserve">100.00 </w:t>
            </w:r>
          </w:p>
        </w:tc>
        <w:tc>
          <w:tcPr>
            <w:tcW w:w="1454" w:type="dxa"/>
            <w:vAlign w:val="center"/>
          </w:tcPr>
          <w:p w14:paraId="71C392B9">
            <w:pPr>
              <w:pStyle w:val="129"/>
              <w:widowControl w:val="0"/>
              <w:rPr>
                <w:rFonts w:eastAsia="Times New Roman"/>
                <w:color w:val="auto"/>
              </w:rPr>
            </w:pPr>
            <w:r>
              <w:rPr>
                <w:rFonts w:hint="eastAsia" w:eastAsia="Times New Roman"/>
                <w:color w:val="auto"/>
              </w:rPr>
              <w:t xml:space="preserve">1.11 </w:t>
            </w:r>
          </w:p>
        </w:tc>
        <w:tc>
          <w:tcPr>
            <w:tcW w:w="1454" w:type="dxa"/>
            <w:vAlign w:val="center"/>
          </w:tcPr>
          <w:p w14:paraId="76E0AE6D">
            <w:pPr>
              <w:pStyle w:val="129"/>
              <w:widowControl w:val="0"/>
              <w:rPr>
                <w:rFonts w:eastAsia="Times New Roman"/>
                <w:color w:val="auto"/>
              </w:rPr>
            </w:pPr>
            <w:r>
              <w:rPr>
                <w:rFonts w:hint="eastAsia" w:eastAsia="Times New Roman"/>
                <w:color w:val="auto"/>
              </w:rPr>
              <w:t xml:space="preserve">5643.20 </w:t>
            </w:r>
          </w:p>
        </w:tc>
      </w:tr>
      <w:tr w14:paraId="1D50572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57E88DE0">
            <w:pPr>
              <w:pStyle w:val="129"/>
              <w:widowControl w:val="0"/>
              <w:rPr>
                <w:rFonts w:eastAsia="Times New Roman"/>
                <w:color w:val="auto"/>
              </w:rPr>
            </w:pPr>
            <w:r>
              <w:rPr>
                <w:rFonts w:hint="eastAsia" w:eastAsia="Times New Roman"/>
                <w:color w:val="auto"/>
              </w:rPr>
              <w:t xml:space="preserve">1000.00 </w:t>
            </w:r>
          </w:p>
        </w:tc>
        <w:tc>
          <w:tcPr>
            <w:tcW w:w="1815" w:type="dxa"/>
            <w:vAlign w:val="center"/>
          </w:tcPr>
          <w:p w14:paraId="0F97A5A4">
            <w:pPr>
              <w:pStyle w:val="129"/>
              <w:widowControl w:val="0"/>
              <w:rPr>
                <w:rFonts w:eastAsia="Times New Roman"/>
                <w:color w:val="auto"/>
              </w:rPr>
            </w:pPr>
            <w:r>
              <w:rPr>
                <w:rFonts w:hint="eastAsia" w:eastAsia="Times New Roman"/>
                <w:color w:val="auto"/>
              </w:rPr>
              <w:t xml:space="preserve">19.41 </w:t>
            </w:r>
          </w:p>
        </w:tc>
        <w:tc>
          <w:tcPr>
            <w:tcW w:w="1453" w:type="dxa"/>
            <w:vAlign w:val="center"/>
          </w:tcPr>
          <w:p w14:paraId="47BA4132">
            <w:pPr>
              <w:pStyle w:val="129"/>
              <w:widowControl w:val="0"/>
              <w:rPr>
                <w:rFonts w:eastAsia="Times New Roman"/>
                <w:color w:val="auto"/>
              </w:rPr>
            </w:pPr>
            <w:r>
              <w:rPr>
                <w:rFonts w:hint="eastAsia" w:eastAsia="Times New Roman"/>
                <w:color w:val="auto"/>
              </w:rPr>
              <w:t xml:space="preserve">593.77 </w:t>
            </w:r>
          </w:p>
        </w:tc>
        <w:tc>
          <w:tcPr>
            <w:tcW w:w="1453" w:type="dxa"/>
            <w:vAlign w:val="center"/>
          </w:tcPr>
          <w:p w14:paraId="4F63F2FB">
            <w:pPr>
              <w:pStyle w:val="129"/>
              <w:widowControl w:val="0"/>
              <w:rPr>
                <w:rFonts w:eastAsia="Times New Roman"/>
                <w:color w:val="auto"/>
              </w:rPr>
            </w:pPr>
            <w:r>
              <w:rPr>
                <w:rFonts w:hint="eastAsia" w:eastAsia="Times New Roman"/>
                <w:color w:val="auto"/>
              </w:rPr>
              <w:t xml:space="preserve">1000.00 </w:t>
            </w:r>
          </w:p>
        </w:tc>
        <w:tc>
          <w:tcPr>
            <w:tcW w:w="1454" w:type="dxa"/>
            <w:vAlign w:val="center"/>
          </w:tcPr>
          <w:p w14:paraId="486D5C87">
            <w:pPr>
              <w:pStyle w:val="129"/>
              <w:widowControl w:val="0"/>
              <w:rPr>
                <w:rFonts w:eastAsia="Times New Roman"/>
                <w:color w:val="auto"/>
              </w:rPr>
            </w:pPr>
            <w:r>
              <w:rPr>
                <w:rFonts w:hint="eastAsia" w:eastAsia="Times New Roman"/>
                <w:color w:val="auto"/>
              </w:rPr>
              <w:t xml:space="preserve">11.11 </w:t>
            </w:r>
          </w:p>
        </w:tc>
        <w:tc>
          <w:tcPr>
            <w:tcW w:w="1454" w:type="dxa"/>
            <w:vAlign w:val="center"/>
          </w:tcPr>
          <w:p w14:paraId="26837C9D">
            <w:pPr>
              <w:pStyle w:val="129"/>
              <w:widowControl w:val="0"/>
              <w:rPr>
                <w:rFonts w:eastAsia="Times New Roman"/>
                <w:color w:val="auto"/>
              </w:rPr>
            </w:pPr>
            <w:r>
              <w:rPr>
                <w:rFonts w:hint="eastAsia" w:eastAsia="Times New Roman"/>
                <w:color w:val="auto"/>
              </w:rPr>
              <w:t xml:space="preserve">387.95 </w:t>
            </w:r>
          </w:p>
        </w:tc>
      </w:tr>
      <w:tr w14:paraId="5B60582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2E2C048E">
            <w:pPr>
              <w:pStyle w:val="129"/>
              <w:widowControl w:val="0"/>
              <w:rPr>
                <w:rFonts w:eastAsia="Times New Roman"/>
                <w:color w:val="auto"/>
              </w:rPr>
            </w:pPr>
            <w:r>
              <w:rPr>
                <w:rFonts w:hint="eastAsia" w:eastAsia="Times New Roman"/>
                <w:color w:val="auto"/>
              </w:rPr>
              <w:t xml:space="preserve">1310.00 </w:t>
            </w:r>
          </w:p>
        </w:tc>
        <w:tc>
          <w:tcPr>
            <w:tcW w:w="1815" w:type="dxa"/>
            <w:vAlign w:val="center"/>
          </w:tcPr>
          <w:p w14:paraId="69B77474">
            <w:pPr>
              <w:pStyle w:val="129"/>
              <w:widowControl w:val="0"/>
              <w:rPr>
                <w:rFonts w:eastAsia="Times New Roman"/>
                <w:color w:val="auto"/>
              </w:rPr>
            </w:pPr>
            <w:r>
              <w:rPr>
                <w:rFonts w:hint="eastAsia" w:eastAsia="Times New Roman"/>
                <w:color w:val="auto"/>
              </w:rPr>
              <w:t xml:space="preserve">25.38 </w:t>
            </w:r>
          </w:p>
        </w:tc>
        <w:tc>
          <w:tcPr>
            <w:tcW w:w="1453" w:type="dxa"/>
            <w:vAlign w:val="center"/>
          </w:tcPr>
          <w:p w14:paraId="3DFB812C">
            <w:pPr>
              <w:pStyle w:val="129"/>
              <w:widowControl w:val="0"/>
              <w:rPr>
                <w:rFonts w:eastAsia="Times New Roman"/>
                <w:color w:val="auto"/>
              </w:rPr>
            </w:pPr>
            <w:r>
              <w:rPr>
                <w:rFonts w:hint="eastAsia" w:eastAsia="Times New Roman"/>
                <w:color w:val="auto"/>
              </w:rPr>
              <w:t xml:space="preserve">384.22 </w:t>
            </w:r>
          </w:p>
        </w:tc>
        <w:tc>
          <w:tcPr>
            <w:tcW w:w="1453" w:type="dxa"/>
            <w:vAlign w:val="center"/>
          </w:tcPr>
          <w:p w14:paraId="74975890">
            <w:pPr>
              <w:pStyle w:val="129"/>
              <w:widowControl w:val="0"/>
              <w:rPr>
                <w:rFonts w:eastAsia="Times New Roman"/>
                <w:color w:val="auto"/>
              </w:rPr>
            </w:pPr>
            <w:r>
              <w:rPr>
                <w:rFonts w:hint="eastAsia" w:eastAsia="Times New Roman"/>
                <w:color w:val="auto"/>
              </w:rPr>
              <w:t xml:space="preserve">1010.00 </w:t>
            </w:r>
          </w:p>
        </w:tc>
        <w:tc>
          <w:tcPr>
            <w:tcW w:w="1454" w:type="dxa"/>
            <w:vAlign w:val="center"/>
          </w:tcPr>
          <w:p w14:paraId="6D2D7582">
            <w:pPr>
              <w:pStyle w:val="129"/>
              <w:widowControl w:val="0"/>
              <w:rPr>
                <w:rFonts w:eastAsia="Times New Roman"/>
                <w:color w:val="auto"/>
              </w:rPr>
            </w:pPr>
            <w:r>
              <w:rPr>
                <w:rFonts w:hint="eastAsia" w:eastAsia="Times New Roman"/>
                <w:color w:val="auto"/>
              </w:rPr>
              <w:t xml:space="preserve">11.22 </w:t>
            </w:r>
          </w:p>
        </w:tc>
        <w:tc>
          <w:tcPr>
            <w:tcW w:w="1454" w:type="dxa"/>
            <w:vAlign w:val="center"/>
          </w:tcPr>
          <w:p w14:paraId="0401FD55">
            <w:pPr>
              <w:pStyle w:val="129"/>
              <w:widowControl w:val="0"/>
              <w:rPr>
                <w:rFonts w:eastAsia="Times New Roman"/>
                <w:color w:val="auto"/>
              </w:rPr>
            </w:pPr>
            <w:r>
              <w:rPr>
                <w:rFonts w:hint="eastAsia" w:eastAsia="Times New Roman"/>
                <w:color w:val="auto"/>
              </w:rPr>
              <w:t xml:space="preserve">381.83 </w:t>
            </w:r>
          </w:p>
        </w:tc>
      </w:tr>
      <w:tr w14:paraId="23F587D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1A22CBCD">
            <w:pPr>
              <w:pStyle w:val="129"/>
              <w:widowControl w:val="0"/>
              <w:rPr>
                <w:rFonts w:eastAsia="Times New Roman"/>
                <w:color w:val="auto"/>
              </w:rPr>
            </w:pPr>
            <w:r>
              <w:rPr>
                <w:rFonts w:hint="eastAsia" w:eastAsia="Times New Roman"/>
                <w:color w:val="auto"/>
              </w:rPr>
              <w:t xml:space="preserve">1320.00 </w:t>
            </w:r>
          </w:p>
        </w:tc>
        <w:tc>
          <w:tcPr>
            <w:tcW w:w="1815" w:type="dxa"/>
            <w:vAlign w:val="center"/>
          </w:tcPr>
          <w:p w14:paraId="43F14613">
            <w:pPr>
              <w:pStyle w:val="129"/>
              <w:widowControl w:val="0"/>
              <w:rPr>
                <w:rFonts w:eastAsia="Times New Roman"/>
                <w:color w:val="auto"/>
              </w:rPr>
            </w:pPr>
            <w:r>
              <w:rPr>
                <w:rFonts w:hint="eastAsia" w:eastAsia="Times New Roman"/>
                <w:color w:val="auto"/>
              </w:rPr>
              <w:t xml:space="preserve">25.55 </w:t>
            </w:r>
          </w:p>
        </w:tc>
        <w:tc>
          <w:tcPr>
            <w:tcW w:w="1453" w:type="dxa"/>
            <w:vAlign w:val="center"/>
          </w:tcPr>
          <w:p w14:paraId="1A1A0F23">
            <w:pPr>
              <w:pStyle w:val="129"/>
              <w:widowControl w:val="0"/>
              <w:rPr>
                <w:rFonts w:eastAsia="Times New Roman"/>
                <w:color w:val="auto"/>
              </w:rPr>
            </w:pPr>
            <w:r>
              <w:rPr>
                <w:rFonts w:hint="eastAsia" w:eastAsia="Times New Roman"/>
                <w:color w:val="auto"/>
              </w:rPr>
              <w:t xml:space="preserve">379.50 </w:t>
            </w:r>
          </w:p>
        </w:tc>
        <w:tc>
          <w:tcPr>
            <w:tcW w:w="1453" w:type="dxa"/>
            <w:vAlign w:val="center"/>
          </w:tcPr>
          <w:p w14:paraId="74C36915">
            <w:pPr>
              <w:pStyle w:val="129"/>
              <w:widowControl w:val="0"/>
              <w:rPr>
                <w:rFonts w:eastAsia="Times New Roman"/>
                <w:color w:val="auto"/>
              </w:rPr>
            </w:pPr>
            <w:r>
              <w:rPr>
                <w:rFonts w:hint="eastAsia" w:eastAsia="Times New Roman"/>
                <w:color w:val="auto"/>
              </w:rPr>
              <w:t xml:space="preserve">2680.00 </w:t>
            </w:r>
          </w:p>
        </w:tc>
        <w:tc>
          <w:tcPr>
            <w:tcW w:w="1454" w:type="dxa"/>
            <w:vAlign w:val="center"/>
          </w:tcPr>
          <w:p w14:paraId="07A353C0">
            <w:pPr>
              <w:pStyle w:val="129"/>
              <w:widowControl w:val="0"/>
              <w:rPr>
                <w:rFonts w:eastAsia="Times New Roman"/>
                <w:color w:val="auto"/>
              </w:rPr>
            </w:pPr>
            <w:r>
              <w:rPr>
                <w:rFonts w:hint="eastAsia" w:eastAsia="Times New Roman"/>
                <w:color w:val="auto"/>
              </w:rPr>
              <w:t xml:space="preserve">33.68 </w:t>
            </w:r>
          </w:p>
        </w:tc>
        <w:tc>
          <w:tcPr>
            <w:tcW w:w="1454" w:type="dxa"/>
            <w:vAlign w:val="center"/>
          </w:tcPr>
          <w:p w14:paraId="1FD0AFD0">
            <w:pPr>
              <w:pStyle w:val="129"/>
              <w:widowControl w:val="0"/>
              <w:rPr>
                <w:rFonts w:eastAsia="Times New Roman"/>
                <w:color w:val="auto"/>
              </w:rPr>
            </w:pPr>
            <w:r>
              <w:rPr>
                <w:rFonts w:hint="eastAsia" w:eastAsia="Times New Roman"/>
                <w:color w:val="auto"/>
              </w:rPr>
              <w:t xml:space="preserve">95.19 </w:t>
            </w:r>
          </w:p>
        </w:tc>
      </w:tr>
      <w:tr w14:paraId="7ED2BAC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1D6935AC">
            <w:pPr>
              <w:pStyle w:val="129"/>
              <w:widowControl w:val="0"/>
              <w:rPr>
                <w:rFonts w:eastAsia="Times New Roman"/>
                <w:color w:val="auto"/>
              </w:rPr>
            </w:pPr>
            <w:r>
              <w:rPr>
                <w:rFonts w:hint="eastAsia" w:eastAsia="Times New Roman"/>
                <w:color w:val="auto"/>
              </w:rPr>
              <w:t xml:space="preserve">2000.00 </w:t>
            </w:r>
          </w:p>
        </w:tc>
        <w:tc>
          <w:tcPr>
            <w:tcW w:w="1815" w:type="dxa"/>
            <w:vAlign w:val="center"/>
          </w:tcPr>
          <w:p w14:paraId="683CD6E8">
            <w:pPr>
              <w:pStyle w:val="129"/>
              <w:widowControl w:val="0"/>
              <w:rPr>
                <w:rFonts w:eastAsia="Times New Roman"/>
                <w:color w:val="auto"/>
              </w:rPr>
            </w:pPr>
            <w:r>
              <w:rPr>
                <w:rFonts w:hint="eastAsia" w:eastAsia="Times New Roman"/>
                <w:color w:val="auto"/>
              </w:rPr>
              <w:t xml:space="preserve">38.61 </w:t>
            </w:r>
          </w:p>
        </w:tc>
        <w:tc>
          <w:tcPr>
            <w:tcW w:w="1453" w:type="dxa"/>
            <w:vAlign w:val="center"/>
          </w:tcPr>
          <w:p w14:paraId="010D70CE">
            <w:pPr>
              <w:pStyle w:val="129"/>
              <w:widowControl w:val="0"/>
              <w:rPr>
                <w:rFonts w:eastAsia="Times New Roman"/>
                <w:color w:val="auto"/>
              </w:rPr>
            </w:pPr>
            <w:r>
              <w:rPr>
                <w:rFonts w:hint="eastAsia" w:eastAsia="Times New Roman"/>
                <w:color w:val="auto"/>
              </w:rPr>
              <w:t xml:space="preserve">214.28 </w:t>
            </w:r>
          </w:p>
        </w:tc>
        <w:tc>
          <w:tcPr>
            <w:tcW w:w="1453" w:type="dxa"/>
            <w:vAlign w:val="center"/>
          </w:tcPr>
          <w:p w14:paraId="7BAD3F3C">
            <w:pPr>
              <w:pStyle w:val="129"/>
              <w:widowControl w:val="0"/>
              <w:rPr>
                <w:rFonts w:eastAsia="Times New Roman"/>
                <w:color w:val="auto"/>
              </w:rPr>
            </w:pPr>
            <w:r>
              <w:rPr>
                <w:rFonts w:hint="eastAsia" w:eastAsia="Times New Roman"/>
                <w:color w:val="auto"/>
              </w:rPr>
              <w:t xml:space="preserve">3000.00 </w:t>
            </w:r>
          </w:p>
        </w:tc>
        <w:tc>
          <w:tcPr>
            <w:tcW w:w="1454" w:type="dxa"/>
            <w:vAlign w:val="center"/>
          </w:tcPr>
          <w:p w14:paraId="405FEE0A">
            <w:pPr>
              <w:pStyle w:val="129"/>
              <w:widowControl w:val="0"/>
              <w:rPr>
                <w:rFonts w:eastAsia="Times New Roman"/>
                <w:color w:val="auto"/>
              </w:rPr>
            </w:pPr>
            <w:r>
              <w:rPr>
                <w:rFonts w:hint="eastAsia" w:eastAsia="Times New Roman"/>
                <w:color w:val="auto"/>
              </w:rPr>
              <w:t xml:space="preserve">37.63 </w:t>
            </w:r>
          </w:p>
        </w:tc>
        <w:tc>
          <w:tcPr>
            <w:tcW w:w="1454" w:type="dxa"/>
            <w:vAlign w:val="center"/>
          </w:tcPr>
          <w:p w14:paraId="3B3BC3C9">
            <w:pPr>
              <w:pStyle w:val="129"/>
              <w:widowControl w:val="0"/>
              <w:rPr>
                <w:rFonts w:eastAsia="Times New Roman"/>
                <w:color w:val="auto"/>
              </w:rPr>
            </w:pPr>
            <w:r>
              <w:rPr>
                <w:rFonts w:hint="eastAsia" w:eastAsia="Times New Roman"/>
                <w:color w:val="auto"/>
              </w:rPr>
              <w:t xml:space="preserve">82.01 </w:t>
            </w:r>
          </w:p>
        </w:tc>
      </w:tr>
      <w:tr w14:paraId="6432695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755540EE">
            <w:pPr>
              <w:pStyle w:val="129"/>
              <w:widowControl w:val="0"/>
              <w:rPr>
                <w:rFonts w:eastAsia="Times New Roman"/>
                <w:color w:val="auto"/>
              </w:rPr>
            </w:pPr>
            <w:r>
              <w:rPr>
                <w:rFonts w:hint="eastAsia" w:eastAsia="Times New Roman"/>
                <w:color w:val="auto"/>
              </w:rPr>
              <w:t xml:space="preserve">3000.00 </w:t>
            </w:r>
          </w:p>
        </w:tc>
        <w:tc>
          <w:tcPr>
            <w:tcW w:w="1815" w:type="dxa"/>
            <w:vAlign w:val="center"/>
          </w:tcPr>
          <w:p w14:paraId="62A8F168">
            <w:pPr>
              <w:pStyle w:val="129"/>
              <w:widowControl w:val="0"/>
              <w:rPr>
                <w:rFonts w:eastAsia="Times New Roman"/>
                <w:color w:val="auto"/>
              </w:rPr>
            </w:pPr>
            <w:r>
              <w:rPr>
                <w:rFonts w:hint="eastAsia" w:eastAsia="Times New Roman"/>
                <w:color w:val="auto"/>
              </w:rPr>
              <w:t xml:space="preserve">57.52 </w:t>
            </w:r>
          </w:p>
        </w:tc>
        <w:tc>
          <w:tcPr>
            <w:tcW w:w="1453" w:type="dxa"/>
            <w:vAlign w:val="center"/>
          </w:tcPr>
          <w:p w14:paraId="064201DE">
            <w:pPr>
              <w:pStyle w:val="129"/>
              <w:widowControl w:val="0"/>
              <w:rPr>
                <w:rFonts w:eastAsia="Times New Roman"/>
                <w:color w:val="auto"/>
              </w:rPr>
            </w:pPr>
            <w:r>
              <w:rPr>
                <w:rFonts w:hint="eastAsia" w:eastAsia="Times New Roman"/>
                <w:color w:val="auto"/>
              </w:rPr>
              <w:t xml:space="preserve">125.53 </w:t>
            </w:r>
          </w:p>
        </w:tc>
        <w:tc>
          <w:tcPr>
            <w:tcW w:w="1453" w:type="dxa"/>
            <w:vAlign w:val="center"/>
          </w:tcPr>
          <w:p w14:paraId="2D4E6862">
            <w:pPr>
              <w:pStyle w:val="129"/>
              <w:widowControl w:val="0"/>
              <w:rPr>
                <w:rFonts w:eastAsia="Times New Roman"/>
                <w:color w:val="auto"/>
              </w:rPr>
            </w:pPr>
            <w:r>
              <w:rPr>
                <w:rFonts w:hint="eastAsia" w:eastAsia="Times New Roman"/>
                <w:color w:val="auto"/>
              </w:rPr>
              <w:t xml:space="preserve">4000.00 </w:t>
            </w:r>
          </w:p>
        </w:tc>
        <w:tc>
          <w:tcPr>
            <w:tcW w:w="1454" w:type="dxa"/>
            <w:vAlign w:val="center"/>
          </w:tcPr>
          <w:p w14:paraId="34073D10">
            <w:pPr>
              <w:pStyle w:val="129"/>
              <w:widowControl w:val="0"/>
              <w:rPr>
                <w:rFonts w:eastAsia="Times New Roman"/>
                <w:color w:val="auto"/>
              </w:rPr>
            </w:pPr>
            <w:r>
              <w:rPr>
                <w:rFonts w:hint="eastAsia" w:eastAsia="Times New Roman"/>
                <w:color w:val="auto"/>
              </w:rPr>
              <w:t xml:space="preserve">49.94 </w:t>
            </w:r>
          </w:p>
        </w:tc>
        <w:tc>
          <w:tcPr>
            <w:tcW w:w="1454" w:type="dxa"/>
            <w:vAlign w:val="center"/>
          </w:tcPr>
          <w:p w14:paraId="14BE50E7">
            <w:pPr>
              <w:pStyle w:val="129"/>
              <w:widowControl w:val="0"/>
              <w:rPr>
                <w:rFonts w:eastAsia="Times New Roman"/>
                <w:color w:val="auto"/>
              </w:rPr>
            </w:pPr>
            <w:r>
              <w:rPr>
                <w:rFonts w:hint="eastAsia" w:eastAsia="Times New Roman"/>
                <w:color w:val="auto"/>
              </w:rPr>
              <w:t xml:space="preserve">56.04 </w:t>
            </w:r>
          </w:p>
        </w:tc>
      </w:tr>
      <w:tr w14:paraId="1C0B171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7CFFE3A7">
            <w:pPr>
              <w:pStyle w:val="129"/>
              <w:widowControl w:val="0"/>
              <w:rPr>
                <w:rFonts w:eastAsia="Times New Roman"/>
                <w:color w:val="auto"/>
              </w:rPr>
            </w:pPr>
            <w:r>
              <w:rPr>
                <w:rFonts w:hint="eastAsia" w:eastAsia="Times New Roman"/>
                <w:color w:val="auto"/>
              </w:rPr>
              <w:t xml:space="preserve">3700.00 </w:t>
            </w:r>
          </w:p>
        </w:tc>
        <w:tc>
          <w:tcPr>
            <w:tcW w:w="1815" w:type="dxa"/>
            <w:vAlign w:val="center"/>
          </w:tcPr>
          <w:p w14:paraId="7FCD6E95">
            <w:pPr>
              <w:pStyle w:val="129"/>
              <w:widowControl w:val="0"/>
              <w:rPr>
                <w:rFonts w:eastAsia="Times New Roman"/>
                <w:color w:val="auto"/>
              </w:rPr>
            </w:pPr>
            <w:r>
              <w:rPr>
                <w:rFonts w:hint="eastAsia" w:eastAsia="Times New Roman"/>
                <w:color w:val="auto"/>
              </w:rPr>
              <w:t xml:space="preserve">70.43 </w:t>
            </w:r>
          </w:p>
        </w:tc>
        <w:tc>
          <w:tcPr>
            <w:tcW w:w="1453" w:type="dxa"/>
            <w:vAlign w:val="center"/>
          </w:tcPr>
          <w:p w14:paraId="07184025">
            <w:pPr>
              <w:pStyle w:val="129"/>
              <w:widowControl w:val="0"/>
              <w:rPr>
                <w:rFonts w:eastAsia="Times New Roman"/>
                <w:color w:val="auto"/>
              </w:rPr>
            </w:pPr>
            <w:r>
              <w:rPr>
                <w:rFonts w:hint="eastAsia" w:eastAsia="Times New Roman"/>
                <w:color w:val="auto"/>
              </w:rPr>
              <w:t xml:space="preserve">95.10 </w:t>
            </w:r>
          </w:p>
        </w:tc>
        <w:tc>
          <w:tcPr>
            <w:tcW w:w="1453" w:type="dxa"/>
            <w:vAlign w:val="center"/>
          </w:tcPr>
          <w:p w14:paraId="48618237">
            <w:pPr>
              <w:pStyle w:val="129"/>
              <w:widowControl w:val="0"/>
              <w:rPr>
                <w:rFonts w:eastAsia="Times New Roman"/>
                <w:color w:val="auto"/>
              </w:rPr>
            </w:pPr>
            <w:r>
              <w:rPr>
                <w:rFonts w:hint="eastAsia" w:eastAsia="Times New Roman"/>
                <w:color w:val="auto"/>
              </w:rPr>
              <w:t xml:space="preserve">5000.00 </w:t>
            </w:r>
          </w:p>
        </w:tc>
        <w:tc>
          <w:tcPr>
            <w:tcW w:w="1454" w:type="dxa"/>
            <w:vAlign w:val="center"/>
          </w:tcPr>
          <w:p w14:paraId="5FCD495A">
            <w:pPr>
              <w:pStyle w:val="129"/>
              <w:widowControl w:val="0"/>
              <w:rPr>
                <w:rFonts w:eastAsia="Times New Roman"/>
                <w:color w:val="auto"/>
              </w:rPr>
            </w:pPr>
            <w:r>
              <w:rPr>
                <w:rFonts w:hint="eastAsia" w:eastAsia="Times New Roman"/>
                <w:color w:val="auto"/>
              </w:rPr>
              <w:t xml:space="preserve">62.36 </w:t>
            </w:r>
          </w:p>
        </w:tc>
        <w:tc>
          <w:tcPr>
            <w:tcW w:w="1454" w:type="dxa"/>
            <w:vAlign w:val="center"/>
          </w:tcPr>
          <w:p w14:paraId="6183E593">
            <w:pPr>
              <w:pStyle w:val="129"/>
              <w:widowControl w:val="0"/>
              <w:rPr>
                <w:rFonts w:eastAsia="Times New Roman"/>
                <w:color w:val="auto"/>
              </w:rPr>
            </w:pPr>
            <w:r>
              <w:rPr>
                <w:rFonts w:hint="eastAsia" w:eastAsia="Times New Roman"/>
                <w:color w:val="auto"/>
              </w:rPr>
              <w:t xml:space="preserve">41.68 </w:t>
            </w:r>
          </w:p>
        </w:tc>
      </w:tr>
      <w:tr w14:paraId="3AB6653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70827DC9">
            <w:pPr>
              <w:pStyle w:val="129"/>
              <w:widowControl w:val="0"/>
              <w:rPr>
                <w:rFonts w:eastAsia="Times New Roman"/>
                <w:color w:val="auto"/>
              </w:rPr>
            </w:pPr>
            <w:r>
              <w:rPr>
                <w:rFonts w:hint="eastAsia" w:eastAsia="Times New Roman"/>
                <w:color w:val="auto"/>
              </w:rPr>
              <w:t xml:space="preserve">4000.00 </w:t>
            </w:r>
          </w:p>
        </w:tc>
        <w:tc>
          <w:tcPr>
            <w:tcW w:w="1815" w:type="dxa"/>
            <w:vAlign w:val="center"/>
          </w:tcPr>
          <w:p w14:paraId="59208872">
            <w:pPr>
              <w:pStyle w:val="129"/>
              <w:widowControl w:val="0"/>
              <w:rPr>
                <w:rFonts w:eastAsia="Times New Roman"/>
                <w:color w:val="auto"/>
              </w:rPr>
            </w:pPr>
            <w:r>
              <w:rPr>
                <w:rFonts w:hint="eastAsia" w:eastAsia="Times New Roman"/>
                <w:color w:val="auto"/>
              </w:rPr>
              <w:t xml:space="preserve">75.53 </w:t>
            </w:r>
          </w:p>
        </w:tc>
        <w:tc>
          <w:tcPr>
            <w:tcW w:w="1453" w:type="dxa"/>
            <w:vAlign w:val="center"/>
          </w:tcPr>
          <w:p w14:paraId="501F6424">
            <w:pPr>
              <w:pStyle w:val="129"/>
              <w:widowControl w:val="0"/>
              <w:rPr>
                <w:rFonts w:eastAsia="Times New Roman"/>
                <w:color w:val="auto"/>
              </w:rPr>
            </w:pPr>
            <w:r>
              <w:rPr>
                <w:rFonts w:hint="eastAsia" w:eastAsia="Times New Roman"/>
                <w:color w:val="auto"/>
              </w:rPr>
              <w:t xml:space="preserve">85.74 </w:t>
            </w:r>
          </w:p>
        </w:tc>
        <w:tc>
          <w:tcPr>
            <w:tcW w:w="1453" w:type="dxa"/>
            <w:vAlign w:val="center"/>
          </w:tcPr>
          <w:p w14:paraId="5F51940A">
            <w:pPr>
              <w:pStyle w:val="129"/>
              <w:widowControl w:val="0"/>
              <w:rPr>
                <w:rFonts w:eastAsia="Times New Roman"/>
                <w:color w:val="auto"/>
              </w:rPr>
            </w:pPr>
          </w:p>
        </w:tc>
        <w:tc>
          <w:tcPr>
            <w:tcW w:w="1454" w:type="dxa"/>
            <w:vAlign w:val="center"/>
          </w:tcPr>
          <w:p w14:paraId="57A9311A">
            <w:pPr>
              <w:pStyle w:val="129"/>
              <w:widowControl w:val="0"/>
              <w:rPr>
                <w:rFonts w:eastAsia="Times New Roman"/>
                <w:color w:val="auto"/>
              </w:rPr>
            </w:pPr>
          </w:p>
        </w:tc>
        <w:tc>
          <w:tcPr>
            <w:tcW w:w="1454" w:type="dxa"/>
            <w:vAlign w:val="center"/>
          </w:tcPr>
          <w:p w14:paraId="10CD9AC0">
            <w:pPr>
              <w:pStyle w:val="129"/>
              <w:widowControl w:val="0"/>
              <w:rPr>
                <w:rFonts w:eastAsia="Times New Roman"/>
                <w:color w:val="auto"/>
              </w:rPr>
            </w:pPr>
          </w:p>
        </w:tc>
      </w:tr>
      <w:tr w14:paraId="5C9C039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1091" w:type="dxa"/>
            <w:vAlign w:val="center"/>
          </w:tcPr>
          <w:p w14:paraId="02566C18">
            <w:pPr>
              <w:pStyle w:val="129"/>
              <w:widowControl w:val="0"/>
              <w:rPr>
                <w:rFonts w:eastAsia="Times New Roman"/>
                <w:color w:val="auto"/>
              </w:rPr>
            </w:pPr>
            <w:r>
              <w:rPr>
                <w:rFonts w:hint="eastAsia" w:eastAsia="Times New Roman"/>
                <w:color w:val="auto"/>
              </w:rPr>
              <w:t xml:space="preserve">5000.00 </w:t>
            </w:r>
          </w:p>
        </w:tc>
        <w:tc>
          <w:tcPr>
            <w:tcW w:w="1815" w:type="dxa"/>
            <w:vAlign w:val="center"/>
          </w:tcPr>
          <w:p w14:paraId="487D7829">
            <w:pPr>
              <w:pStyle w:val="129"/>
              <w:widowControl w:val="0"/>
              <w:rPr>
                <w:rFonts w:eastAsia="Times New Roman"/>
                <w:color w:val="auto"/>
              </w:rPr>
            </w:pPr>
            <w:r>
              <w:rPr>
                <w:rFonts w:hint="eastAsia" w:eastAsia="Times New Roman"/>
                <w:color w:val="auto"/>
              </w:rPr>
              <w:t xml:space="preserve">92.53 </w:t>
            </w:r>
          </w:p>
        </w:tc>
        <w:tc>
          <w:tcPr>
            <w:tcW w:w="1453" w:type="dxa"/>
            <w:vAlign w:val="center"/>
          </w:tcPr>
          <w:p w14:paraId="10779384">
            <w:pPr>
              <w:pStyle w:val="129"/>
              <w:widowControl w:val="0"/>
              <w:rPr>
                <w:rFonts w:eastAsia="Times New Roman"/>
                <w:color w:val="auto"/>
              </w:rPr>
            </w:pPr>
            <w:r>
              <w:rPr>
                <w:rFonts w:hint="eastAsia" w:eastAsia="Times New Roman"/>
                <w:color w:val="auto"/>
              </w:rPr>
              <w:t xml:space="preserve">63.57 </w:t>
            </w:r>
          </w:p>
        </w:tc>
        <w:tc>
          <w:tcPr>
            <w:tcW w:w="1453" w:type="dxa"/>
            <w:vAlign w:val="center"/>
          </w:tcPr>
          <w:p w14:paraId="5662F888">
            <w:pPr>
              <w:pStyle w:val="129"/>
              <w:widowControl w:val="0"/>
              <w:rPr>
                <w:rFonts w:eastAsia="Times New Roman"/>
                <w:color w:val="auto"/>
              </w:rPr>
            </w:pPr>
          </w:p>
        </w:tc>
        <w:tc>
          <w:tcPr>
            <w:tcW w:w="1454" w:type="dxa"/>
            <w:vAlign w:val="center"/>
          </w:tcPr>
          <w:p w14:paraId="2DE5617C">
            <w:pPr>
              <w:pStyle w:val="129"/>
              <w:widowControl w:val="0"/>
              <w:rPr>
                <w:rFonts w:eastAsia="Times New Roman"/>
                <w:color w:val="auto"/>
              </w:rPr>
            </w:pPr>
          </w:p>
        </w:tc>
        <w:tc>
          <w:tcPr>
            <w:tcW w:w="1454" w:type="dxa"/>
            <w:vAlign w:val="center"/>
          </w:tcPr>
          <w:p w14:paraId="53D990FC">
            <w:pPr>
              <w:pStyle w:val="129"/>
              <w:widowControl w:val="0"/>
              <w:rPr>
                <w:rFonts w:eastAsia="Times New Roman"/>
                <w:color w:val="auto"/>
              </w:rPr>
            </w:pPr>
          </w:p>
        </w:tc>
      </w:tr>
    </w:tbl>
    <w:p w14:paraId="68419A5B">
      <w:pPr>
        <w:pStyle w:val="188"/>
        <w:rPr>
          <w:color w:val="auto"/>
        </w:rPr>
      </w:pPr>
    </w:p>
    <w:p w14:paraId="37CB763E">
      <w:pPr>
        <w:pStyle w:val="1060"/>
        <w:spacing w:before="163"/>
        <w:rPr>
          <w:color w:val="auto"/>
        </w:rPr>
      </w:pPr>
      <w:bookmarkStart w:id="400" w:name="_Ref2965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7.7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9</w:t>
      </w:r>
      <w:r>
        <w:rPr>
          <w:color w:val="auto"/>
        </w:rPr>
        <w:fldChar w:fldCharType="end"/>
      </w:r>
      <w:bookmarkEnd w:id="400"/>
      <w:r>
        <w:rPr>
          <w:rFonts w:hint="eastAsia"/>
          <w:color w:val="auto"/>
        </w:rPr>
        <w:t xml:space="preserve"> 天然气泄漏火灾事故次生污染物阈值的廓线对应位置表</w:t>
      </w:r>
    </w:p>
    <w:tbl>
      <w:tblPr>
        <w:tblStyle w:val="1937"/>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1746"/>
        <w:gridCol w:w="815"/>
        <w:gridCol w:w="1274"/>
        <w:gridCol w:w="1393"/>
        <w:gridCol w:w="1566"/>
        <w:gridCol w:w="1992"/>
      </w:tblGrid>
      <w:tr w14:paraId="6C3B4BD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jc w:val="center"/>
        </w:trPr>
        <w:tc>
          <w:tcPr>
            <w:tcW w:w="1456" w:type="pct"/>
            <w:gridSpan w:val="2"/>
            <w:noWrap/>
            <w:vAlign w:val="center"/>
          </w:tcPr>
          <w:p w14:paraId="1383F28E">
            <w:pPr>
              <w:widowControl w:val="0"/>
              <w:spacing w:line="360" w:lineRule="exact"/>
              <w:jc w:val="center"/>
              <w:rPr>
                <w:color w:val="auto"/>
                <w:sz w:val="21"/>
                <w:szCs w:val="21"/>
              </w:rPr>
            </w:pPr>
            <w:r>
              <w:rPr>
                <w:rFonts w:hint="eastAsia"/>
                <w:color w:val="auto"/>
                <w:sz w:val="21"/>
                <w:szCs w:val="21"/>
              </w:rPr>
              <w:t>阈值</w:t>
            </w:r>
            <w:r>
              <w:rPr>
                <w:color w:val="auto"/>
                <w:sz w:val="21"/>
                <w:szCs w:val="21"/>
              </w:rPr>
              <w:t xml:space="preserve"> (mg/m</w:t>
            </w:r>
            <w:r>
              <w:rPr>
                <w:color w:val="auto"/>
                <w:sz w:val="21"/>
                <w:szCs w:val="21"/>
                <w:vertAlign w:val="superscript"/>
              </w:rPr>
              <w:t>3</w:t>
            </w:r>
            <w:r>
              <w:rPr>
                <w:color w:val="auto"/>
                <w:sz w:val="21"/>
                <w:szCs w:val="21"/>
              </w:rPr>
              <w:t>)</w:t>
            </w:r>
          </w:p>
        </w:tc>
        <w:tc>
          <w:tcPr>
            <w:tcW w:w="725" w:type="pct"/>
            <w:noWrap/>
            <w:vAlign w:val="center"/>
          </w:tcPr>
          <w:p w14:paraId="47FCF6BF">
            <w:pPr>
              <w:widowControl w:val="0"/>
              <w:spacing w:line="360" w:lineRule="exact"/>
              <w:jc w:val="center"/>
              <w:rPr>
                <w:color w:val="auto"/>
                <w:sz w:val="21"/>
                <w:szCs w:val="21"/>
              </w:rPr>
            </w:pPr>
            <w:r>
              <w:rPr>
                <w:color w:val="auto"/>
                <w:sz w:val="21"/>
                <w:szCs w:val="21"/>
              </w:rPr>
              <w:t>X</w:t>
            </w:r>
            <w:r>
              <w:rPr>
                <w:rFonts w:hint="eastAsia"/>
                <w:color w:val="auto"/>
                <w:sz w:val="21"/>
                <w:szCs w:val="21"/>
              </w:rPr>
              <w:t>起点</w:t>
            </w:r>
            <w:r>
              <w:rPr>
                <w:color w:val="auto"/>
                <w:sz w:val="21"/>
                <w:szCs w:val="21"/>
              </w:rPr>
              <w:t>(m)</w:t>
            </w:r>
          </w:p>
        </w:tc>
        <w:tc>
          <w:tcPr>
            <w:tcW w:w="793" w:type="pct"/>
            <w:noWrap/>
            <w:vAlign w:val="center"/>
          </w:tcPr>
          <w:p w14:paraId="4E92C9F6">
            <w:pPr>
              <w:widowControl w:val="0"/>
              <w:spacing w:line="360" w:lineRule="exact"/>
              <w:jc w:val="center"/>
              <w:rPr>
                <w:color w:val="auto"/>
                <w:sz w:val="21"/>
                <w:szCs w:val="21"/>
              </w:rPr>
            </w:pPr>
            <w:r>
              <w:rPr>
                <w:color w:val="auto"/>
                <w:sz w:val="21"/>
                <w:szCs w:val="21"/>
              </w:rPr>
              <w:t>X</w:t>
            </w:r>
            <w:r>
              <w:rPr>
                <w:rFonts w:hint="eastAsia"/>
                <w:color w:val="auto"/>
                <w:sz w:val="21"/>
                <w:szCs w:val="21"/>
              </w:rPr>
              <w:t>终点</w:t>
            </w:r>
            <w:r>
              <w:rPr>
                <w:color w:val="auto"/>
                <w:sz w:val="21"/>
                <w:szCs w:val="21"/>
              </w:rPr>
              <w:t>(m)</w:t>
            </w:r>
          </w:p>
        </w:tc>
        <w:tc>
          <w:tcPr>
            <w:tcW w:w="891" w:type="pct"/>
            <w:noWrap/>
            <w:vAlign w:val="center"/>
          </w:tcPr>
          <w:p w14:paraId="705AD4A1">
            <w:pPr>
              <w:widowControl w:val="0"/>
              <w:spacing w:line="360" w:lineRule="exact"/>
              <w:jc w:val="center"/>
              <w:rPr>
                <w:color w:val="auto"/>
                <w:sz w:val="21"/>
                <w:szCs w:val="21"/>
              </w:rPr>
            </w:pPr>
            <w:r>
              <w:rPr>
                <w:rFonts w:hint="eastAsia"/>
                <w:color w:val="auto"/>
                <w:sz w:val="21"/>
                <w:szCs w:val="21"/>
              </w:rPr>
              <w:t>最大半宽</w:t>
            </w:r>
            <w:r>
              <w:rPr>
                <w:color w:val="auto"/>
                <w:sz w:val="21"/>
                <w:szCs w:val="21"/>
              </w:rPr>
              <w:t>(m)</w:t>
            </w:r>
          </w:p>
        </w:tc>
        <w:tc>
          <w:tcPr>
            <w:tcW w:w="1134" w:type="pct"/>
            <w:noWrap/>
            <w:vAlign w:val="center"/>
          </w:tcPr>
          <w:p w14:paraId="679C24C3">
            <w:pPr>
              <w:widowControl w:val="0"/>
              <w:spacing w:line="360" w:lineRule="exact"/>
              <w:jc w:val="center"/>
              <w:rPr>
                <w:color w:val="auto"/>
                <w:sz w:val="21"/>
                <w:szCs w:val="21"/>
              </w:rPr>
            </w:pPr>
            <w:r>
              <w:rPr>
                <w:rFonts w:hint="eastAsia"/>
                <w:color w:val="auto"/>
                <w:sz w:val="21"/>
                <w:szCs w:val="21"/>
              </w:rPr>
              <w:t>最大半宽对应</w:t>
            </w:r>
            <w:r>
              <w:rPr>
                <w:color w:val="auto"/>
                <w:sz w:val="21"/>
                <w:szCs w:val="21"/>
              </w:rPr>
              <w:t>X(m)</w:t>
            </w:r>
          </w:p>
        </w:tc>
      </w:tr>
      <w:tr w14:paraId="2FE59B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jc w:val="center"/>
        </w:trPr>
        <w:tc>
          <w:tcPr>
            <w:tcW w:w="993" w:type="pct"/>
            <w:vMerge w:val="restart"/>
            <w:tcBorders>
              <w:right w:val="single" w:color="auto" w:sz="4" w:space="0"/>
            </w:tcBorders>
            <w:noWrap/>
            <w:vAlign w:val="center"/>
          </w:tcPr>
          <w:p w14:paraId="39D972BD">
            <w:pPr>
              <w:widowControl w:val="0"/>
              <w:spacing w:line="360" w:lineRule="exact"/>
              <w:jc w:val="center"/>
              <w:rPr>
                <w:color w:val="auto"/>
                <w:sz w:val="21"/>
                <w:szCs w:val="21"/>
              </w:rPr>
            </w:pPr>
            <w:r>
              <w:rPr>
                <w:rFonts w:hint="eastAsia"/>
                <w:color w:val="auto"/>
                <w:sz w:val="21"/>
                <w:szCs w:val="21"/>
              </w:rPr>
              <w:t>常规气象条件下</w:t>
            </w:r>
          </w:p>
        </w:tc>
        <w:tc>
          <w:tcPr>
            <w:tcW w:w="814" w:type="dxa"/>
            <w:tcBorders>
              <w:left w:val="single" w:color="auto" w:sz="4" w:space="0"/>
            </w:tcBorders>
            <w:noWrap/>
            <w:vAlign w:val="center"/>
          </w:tcPr>
          <w:p w14:paraId="66138B68">
            <w:pPr>
              <w:widowControl w:val="0"/>
              <w:spacing w:line="360" w:lineRule="exact"/>
              <w:jc w:val="center"/>
              <w:rPr>
                <w:color w:val="auto"/>
                <w:sz w:val="21"/>
                <w:szCs w:val="21"/>
              </w:rPr>
            </w:pPr>
            <w:r>
              <w:rPr>
                <w:rFonts w:hint="eastAsia"/>
                <w:color w:val="auto"/>
                <w:sz w:val="21"/>
                <w:szCs w:val="21"/>
              </w:rPr>
              <w:t>95</w:t>
            </w:r>
          </w:p>
        </w:tc>
        <w:tc>
          <w:tcPr>
            <w:tcW w:w="725" w:type="pct"/>
            <w:tcBorders>
              <w:right w:val="single" w:color="auto" w:sz="4" w:space="0"/>
            </w:tcBorders>
            <w:noWrap/>
            <w:vAlign w:val="center"/>
          </w:tcPr>
          <w:p w14:paraId="16D81151">
            <w:pPr>
              <w:widowControl w:val="0"/>
              <w:spacing w:line="360" w:lineRule="exact"/>
              <w:jc w:val="center"/>
              <w:rPr>
                <w:color w:val="auto"/>
                <w:sz w:val="21"/>
                <w:szCs w:val="21"/>
              </w:rPr>
            </w:pPr>
            <w:r>
              <w:rPr>
                <w:rFonts w:hint="eastAsia"/>
                <w:color w:val="auto"/>
                <w:sz w:val="21"/>
                <w:szCs w:val="21"/>
              </w:rPr>
              <w:t>20</w:t>
            </w:r>
          </w:p>
        </w:tc>
        <w:tc>
          <w:tcPr>
            <w:tcW w:w="793" w:type="pct"/>
            <w:tcBorders>
              <w:left w:val="single" w:color="auto" w:sz="4" w:space="0"/>
              <w:right w:val="single" w:color="auto" w:sz="4" w:space="0"/>
            </w:tcBorders>
            <w:noWrap/>
            <w:vAlign w:val="center"/>
          </w:tcPr>
          <w:p w14:paraId="7A1CFF8D">
            <w:pPr>
              <w:widowControl w:val="0"/>
              <w:spacing w:line="360" w:lineRule="exact"/>
              <w:jc w:val="center"/>
              <w:rPr>
                <w:color w:val="auto"/>
                <w:sz w:val="21"/>
                <w:szCs w:val="21"/>
              </w:rPr>
            </w:pPr>
            <w:r>
              <w:rPr>
                <w:rFonts w:hint="eastAsia"/>
                <w:color w:val="auto"/>
                <w:sz w:val="21"/>
                <w:szCs w:val="21"/>
              </w:rPr>
              <w:t>3700</w:t>
            </w:r>
          </w:p>
        </w:tc>
        <w:tc>
          <w:tcPr>
            <w:tcW w:w="891" w:type="pct"/>
            <w:tcBorders>
              <w:left w:val="single" w:color="auto" w:sz="4" w:space="0"/>
              <w:right w:val="single" w:color="auto" w:sz="4" w:space="0"/>
            </w:tcBorders>
            <w:noWrap/>
            <w:vAlign w:val="center"/>
          </w:tcPr>
          <w:p w14:paraId="4584CE17">
            <w:pPr>
              <w:widowControl w:val="0"/>
              <w:spacing w:line="360" w:lineRule="exact"/>
              <w:jc w:val="center"/>
              <w:rPr>
                <w:color w:val="auto"/>
                <w:sz w:val="21"/>
                <w:szCs w:val="21"/>
              </w:rPr>
            </w:pPr>
            <w:r>
              <w:rPr>
                <w:rFonts w:hint="eastAsia"/>
                <w:color w:val="auto"/>
                <w:sz w:val="21"/>
                <w:szCs w:val="21"/>
              </w:rPr>
              <w:t>84</w:t>
            </w:r>
          </w:p>
        </w:tc>
        <w:tc>
          <w:tcPr>
            <w:tcW w:w="1134" w:type="pct"/>
            <w:tcBorders>
              <w:left w:val="single" w:color="auto" w:sz="4" w:space="0"/>
            </w:tcBorders>
            <w:noWrap/>
            <w:vAlign w:val="center"/>
          </w:tcPr>
          <w:p w14:paraId="12E32A97">
            <w:pPr>
              <w:widowControl w:val="0"/>
              <w:spacing w:line="360" w:lineRule="exact"/>
              <w:jc w:val="center"/>
              <w:rPr>
                <w:color w:val="auto"/>
                <w:sz w:val="21"/>
                <w:szCs w:val="21"/>
              </w:rPr>
            </w:pPr>
            <w:r>
              <w:rPr>
                <w:rFonts w:hint="eastAsia"/>
                <w:color w:val="auto"/>
                <w:sz w:val="21"/>
                <w:szCs w:val="21"/>
              </w:rPr>
              <w:t>1900</w:t>
            </w:r>
          </w:p>
        </w:tc>
      </w:tr>
      <w:tr w14:paraId="0DC3FF3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jc w:val="center"/>
        </w:trPr>
        <w:tc>
          <w:tcPr>
            <w:tcW w:w="993" w:type="pct"/>
            <w:vMerge w:val="continue"/>
            <w:tcBorders>
              <w:right w:val="single" w:color="auto" w:sz="4" w:space="0"/>
            </w:tcBorders>
            <w:noWrap/>
            <w:vAlign w:val="center"/>
          </w:tcPr>
          <w:p w14:paraId="1685A3E4">
            <w:pPr>
              <w:widowControl w:val="0"/>
              <w:spacing w:line="360" w:lineRule="exact"/>
              <w:jc w:val="center"/>
              <w:rPr>
                <w:color w:val="auto"/>
                <w:sz w:val="21"/>
                <w:szCs w:val="21"/>
              </w:rPr>
            </w:pPr>
            <w:r>
              <w:rPr>
                <w:rFonts w:hint="eastAsia"/>
                <w:color w:val="auto"/>
                <w:sz w:val="21"/>
                <w:szCs w:val="21"/>
              </w:rPr>
              <w:t>1900</w:t>
            </w:r>
          </w:p>
        </w:tc>
        <w:tc>
          <w:tcPr>
            <w:tcW w:w="814" w:type="dxa"/>
            <w:tcBorders>
              <w:left w:val="single" w:color="auto" w:sz="4" w:space="0"/>
            </w:tcBorders>
            <w:noWrap/>
            <w:vAlign w:val="center"/>
          </w:tcPr>
          <w:p w14:paraId="1FED0D4A">
            <w:pPr>
              <w:widowControl w:val="0"/>
              <w:spacing w:line="360" w:lineRule="exact"/>
              <w:jc w:val="center"/>
              <w:rPr>
                <w:color w:val="auto"/>
                <w:sz w:val="21"/>
                <w:szCs w:val="21"/>
              </w:rPr>
            </w:pPr>
            <w:r>
              <w:rPr>
                <w:rFonts w:hint="eastAsia"/>
                <w:color w:val="auto"/>
                <w:sz w:val="21"/>
                <w:szCs w:val="21"/>
              </w:rPr>
              <w:t>380</w:t>
            </w:r>
          </w:p>
        </w:tc>
        <w:tc>
          <w:tcPr>
            <w:tcW w:w="725" w:type="pct"/>
            <w:tcBorders>
              <w:right w:val="single" w:color="auto" w:sz="4" w:space="0"/>
            </w:tcBorders>
            <w:noWrap/>
            <w:vAlign w:val="center"/>
          </w:tcPr>
          <w:p w14:paraId="642390D8">
            <w:pPr>
              <w:widowControl w:val="0"/>
              <w:spacing w:line="360" w:lineRule="exact"/>
              <w:jc w:val="center"/>
              <w:rPr>
                <w:color w:val="auto"/>
                <w:sz w:val="21"/>
                <w:szCs w:val="21"/>
              </w:rPr>
            </w:pPr>
            <w:r>
              <w:rPr>
                <w:rFonts w:hint="eastAsia"/>
                <w:color w:val="auto"/>
                <w:sz w:val="21"/>
                <w:szCs w:val="21"/>
              </w:rPr>
              <w:t>30</w:t>
            </w:r>
          </w:p>
        </w:tc>
        <w:tc>
          <w:tcPr>
            <w:tcW w:w="793" w:type="pct"/>
            <w:tcBorders>
              <w:left w:val="single" w:color="auto" w:sz="4" w:space="0"/>
              <w:right w:val="single" w:color="auto" w:sz="4" w:space="0"/>
            </w:tcBorders>
            <w:noWrap/>
            <w:vAlign w:val="center"/>
          </w:tcPr>
          <w:p w14:paraId="43789AD1">
            <w:pPr>
              <w:widowControl w:val="0"/>
              <w:spacing w:line="360" w:lineRule="exact"/>
              <w:jc w:val="center"/>
              <w:rPr>
                <w:color w:val="auto"/>
                <w:sz w:val="21"/>
                <w:szCs w:val="21"/>
              </w:rPr>
            </w:pPr>
            <w:r>
              <w:rPr>
                <w:rFonts w:hint="eastAsia"/>
                <w:color w:val="auto"/>
                <w:sz w:val="21"/>
                <w:szCs w:val="21"/>
              </w:rPr>
              <w:t>1310</w:t>
            </w:r>
          </w:p>
        </w:tc>
        <w:tc>
          <w:tcPr>
            <w:tcW w:w="891" w:type="pct"/>
            <w:tcBorders>
              <w:left w:val="single" w:color="auto" w:sz="4" w:space="0"/>
              <w:right w:val="single" w:color="auto" w:sz="4" w:space="0"/>
            </w:tcBorders>
            <w:noWrap/>
            <w:vAlign w:val="center"/>
          </w:tcPr>
          <w:p w14:paraId="04D8106E">
            <w:pPr>
              <w:widowControl w:val="0"/>
              <w:spacing w:line="360" w:lineRule="exact"/>
              <w:jc w:val="center"/>
              <w:rPr>
                <w:color w:val="auto"/>
                <w:sz w:val="21"/>
                <w:szCs w:val="21"/>
              </w:rPr>
            </w:pPr>
            <w:r>
              <w:rPr>
                <w:rFonts w:hint="eastAsia"/>
                <w:color w:val="auto"/>
                <w:sz w:val="21"/>
                <w:szCs w:val="21"/>
              </w:rPr>
              <w:t>36</w:t>
            </w:r>
          </w:p>
        </w:tc>
        <w:tc>
          <w:tcPr>
            <w:tcW w:w="1134" w:type="pct"/>
            <w:tcBorders>
              <w:left w:val="single" w:color="auto" w:sz="4" w:space="0"/>
            </w:tcBorders>
            <w:noWrap/>
            <w:vAlign w:val="center"/>
          </w:tcPr>
          <w:p w14:paraId="6FFB10E4">
            <w:pPr>
              <w:widowControl w:val="0"/>
              <w:spacing w:line="360" w:lineRule="exact"/>
              <w:jc w:val="center"/>
              <w:rPr>
                <w:color w:val="auto"/>
                <w:sz w:val="21"/>
                <w:szCs w:val="21"/>
              </w:rPr>
            </w:pPr>
            <w:r>
              <w:rPr>
                <w:rFonts w:hint="eastAsia"/>
                <w:color w:val="auto"/>
                <w:sz w:val="21"/>
                <w:szCs w:val="21"/>
              </w:rPr>
              <w:t>640</w:t>
            </w:r>
          </w:p>
        </w:tc>
      </w:tr>
      <w:tr w14:paraId="27FDD0E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jc w:val="center"/>
        </w:trPr>
        <w:tc>
          <w:tcPr>
            <w:tcW w:w="993" w:type="pct"/>
            <w:vMerge w:val="restart"/>
            <w:tcBorders>
              <w:right w:val="single" w:color="auto" w:sz="4" w:space="0"/>
            </w:tcBorders>
            <w:noWrap/>
            <w:vAlign w:val="center"/>
          </w:tcPr>
          <w:p w14:paraId="33232C69">
            <w:pPr>
              <w:widowControl w:val="0"/>
              <w:spacing w:line="360" w:lineRule="exact"/>
              <w:jc w:val="center"/>
              <w:rPr>
                <w:color w:val="auto"/>
                <w:sz w:val="21"/>
                <w:szCs w:val="21"/>
              </w:rPr>
            </w:pPr>
            <w:r>
              <w:rPr>
                <w:rFonts w:hint="eastAsia"/>
                <w:color w:val="auto"/>
                <w:sz w:val="21"/>
                <w:szCs w:val="21"/>
              </w:rPr>
              <w:t>最不利气象条件下</w:t>
            </w:r>
          </w:p>
        </w:tc>
        <w:tc>
          <w:tcPr>
            <w:tcW w:w="814" w:type="dxa"/>
            <w:tcBorders>
              <w:left w:val="single" w:color="auto" w:sz="4" w:space="0"/>
            </w:tcBorders>
            <w:noWrap/>
            <w:vAlign w:val="center"/>
          </w:tcPr>
          <w:p w14:paraId="676B97E7">
            <w:pPr>
              <w:widowControl w:val="0"/>
              <w:spacing w:line="360" w:lineRule="exact"/>
              <w:jc w:val="center"/>
              <w:rPr>
                <w:color w:val="auto"/>
                <w:sz w:val="21"/>
                <w:szCs w:val="21"/>
              </w:rPr>
            </w:pPr>
            <w:r>
              <w:rPr>
                <w:rFonts w:hint="eastAsia"/>
                <w:color w:val="auto"/>
                <w:sz w:val="21"/>
                <w:szCs w:val="21"/>
              </w:rPr>
              <w:t>95</w:t>
            </w:r>
          </w:p>
        </w:tc>
        <w:tc>
          <w:tcPr>
            <w:tcW w:w="725" w:type="pct"/>
            <w:tcBorders>
              <w:right w:val="single" w:color="auto" w:sz="4" w:space="0"/>
            </w:tcBorders>
            <w:noWrap/>
            <w:vAlign w:val="center"/>
          </w:tcPr>
          <w:p w14:paraId="25AF5801">
            <w:pPr>
              <w:widowControl w:val="0"/>
              <w:spacing w:line="360" w:lineRule="exact"/>
              <w:jc w:val="center"/>
              <w:rPr>
                <w:color w:val="auto"/>
                <w:sz w:val="21"/>
                <w:szCs w:val="21"/>
              </w:rPr>
            </w:pPr>
            <w:r>
              <w:rPr>
                <w:rFonts w:hint="eastAsia"/>
                <w:color w:val="auto"/>
                <w:sz w:val="21"/>
                <w:szCs w:val="21"/>
              </w:rPr>
              <w:t>30</w:t>
            </w:r>
          </w:p>
        </w:tc>
        <w:tc>
          <w:tcPr>
            <w:tcW w:w="793" w:type="pct"/>
            <w:tcBorders>
              <w:left w:val="single" w:color="auto" w:sz="4" w:space="0"/>
              <w:right w:val="single" w:color="auto" w:sz="4" w:space="0"/>
            </w:tcBorders>
            <w:noWrap/>
            <w:vAlign w:val="center"/>
          </w:tcPr>
          <w:p w14:paraId="52CFE518">
            <w:pPr>
              <w:widowControl w:val="0"/>
              <w:spacing w:line="360" w:lineRule="exact"/>
              <w:jc w:val="center"/>
              <w:rPr>
                <w:color w:val="auto"/>
                <w:sz w:val="21"/>
                <w:szCs w:val="21"/>
              </w:rPr>
            </w:pPr>
            <w:r>
              <w:rPr>
                <w:rFonts w:hint="eastAsia"/>
                <w:color w:val="auto"/>
                <w:sz w:val="21"/>
                <w:szCs w:val="21"/>
              </w:rPr>
              <w:t>2680</w:t>
            </w:r>
          </w:p>
        </w:tc>
        <w:tc>
          <w:tcPr>
            <w:tcW w:w="891" w:type="pct"/>
            <w:tcBorders>
              <w:left w:val="single" w:color="auto" w:sz="4" w:space="0"/>
              <w:right w:val="single" w:color="auto" w:sz="4" w:space="0"/>
            </w:tcBorders>
            <w:noWrap/>
            <w:vAlign w:val="center"/>
          </w:tcPr>
          <w:p w14:paraId="0C94B58B">
            <w:pPr>
              <w:widowControl w:val="0"/>
              <w:spacing w:line="360" w:lineRule="exact"/>
              <w:jc w:val="center"/>
              <w:rPr>
                <w:color w:val="auto"/>
                <w:sz w:val="21"/>
                <w:szCs w:val="21"/>
              </w:rPr>
            </w:pPr>
            <w:r>
              <w:rPr>
                <w:rFonts w:hint="eastAsia"/>
                <w:color w:val="auto"/>
                <w:sz w:val="21"/>
                <w:szCs w:val="21"/>
              </w:rPr>
              <w:t>63</w:t>
            </w:r>
          </w:p>
        </w:tc>
        <w:tc>
          <w:tcPr>
            <w:tcW w:w="1134" w:type="pct"/>
            <w:tcBorders>
              <w:left w:val="single" w:color="auto" w:sz="4" w:space="0"/>
            </w:tcBorders>
            <w:noWrap/>
            <w:vAlign w:val="center"/>
          </w:tcPr>
          <w:p w14:paraId="40055795">
            <w:pPr>
              <w:widowControl w:val="0"/>
              <w:spacing w:line="360" w:lineRule="exact"/>
              <w:jc w:val="center"/>
              <w:rPr>
                <w:color w:val="auto"/>
                <w:sz w:val="21"/>
                <w:szCs w:val="21"/>
              </w:rPr>
            </w:pPr>
            <w:r>
              <w:rPr>
                <w:rFonts w:hint="eastAsia"/>
                <w:color w:val="auto"/>
                <w:sz w:val="21"/>
                <w:szCs w:val="21"/>
              </w:rPr>
              <w:t>1270</w:t>
            </w:r>
          </w:p>
        </w:tc>
      </w:tr>
      <w:tr w14:paraId="3B43CB9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89" w:hRule="atLeast"/>
          <w:jc w:val="center"/>
        </w:trPr>
        <w:tc>
          <w:tcPr>
            <w:tcW w:w="993" w:type="pct"/>
            <w:vMerge w:val="continue"/>
            <w:tcBorders>
              <w:right w:val="single" w:color="auto" w:sz="4" w:space="0"/>
            </w:tcBorders>
            <w:noWrap/>
            <w:vAlign w:val="center"/>
          </w:tcPr>
          <w:p w14:paraId="4F44560E">
            <w:pPr>
              <w:widowControl w:val="0"/>
              <w:spacing w:line="360" w:lineRule="exact"/>
              <w:jc w:val="center"/>
              <w:rPr>
                <w:color w:val="auto"/>
                <w:sz w:val="21"/>
                <w:szCs w:val="21"/>
              </w:rPr>
            </w:pPr>
          </w:p>
        </w:tc>
        <w:tc>
          <w:tcPr>
            <w:tcW w:w="814" w:type="dxa"/>
            <w:tcBorders>
              <w:left w:val="single" w:color="auto" w:sz="4" w:space="0"/>
            </w:tcBorders>
            <w:noWrap/>
            <w:vAlign w:val="center"/>
          </w:tcPr>
          <w:p w14:paraId="0BA64802">
            <w:pPr>
              <w:widowControl w:val="0"/>
              <w:jc w:val="center"/>
              <w:rPr>
                <w:color w:val="auto"/>
                <w:sz w:val="21"/>
                <w:szCs w:val="21"/>
              </w:rPr>
            </w:pPr>
            <w:r>
              <w:rPr>
                <w:rFonts w:hint="eastAsia"/>
                <w:color w:val="auto"/>
                <w:sz w:val="21"/>
                <w:szCs w:val="21"/>
              </w:rPr>
              <w:t>380</w:t>
            </w:r>
          </w:p>
        </w:tc>
        <w:tc>
          <w:tcPr>
            <w:tcW w:w="725" w:type="pct"/>
            <w:tcBorders>
              <w:right w:val="single" w:color="auto" w:sz="4" w:space="0"/>
            </w:tcBorders>
            <w:noWrap/>
            <w:vAlign w:val="center"/>
          </w:tcPr>
          <w:p w14:paraId="05251DF1">
            <w:pPr>
              <w:widowControl w:val="0"/>
              <w:jc w:val="center"/>
              <w:rPr>
                <w:color w:val="auto"/>
                <w:sz w:val="21"/>
                <w:szCs w:val="21"/>
              </w:rPr>
            </w:pPr>
            <w:r>
              <w:rPr>
                <w:rFonts w:hint="eastAsia"/>
                <w:color w:val="auto"/>
                <w:sz w:val="21"/>
                <w:szCs w:val="21"/>
              </w:rPr>
              <w:t>30</w:t>
            </w:r>
          </w:p>
        </w:tc>
        <w:tc>
          <w:tcPr>
            <w:tcW w:w="793" w:type="pct"/>
            <w:tcBorders>
              <w:left w:val="single" w:color="auto" w:sz="4" w:space="0"/>
              <w:right w:val="single" w:color="auto" w:sz="4" w:space="0"/>
            </w:tcBorders>
            <w:noWrap/>
            <w:vAlign w:val="center"/>
          </w:tcPr>
          <w:p w14:paraId="7BFA5647">
            <w:pPr>
              <w:widowControl w:val="0"/>
              <w:jc w:val="center"/>
              <w:rPr>
                <w:color w:val="auto"/>
                <w:sz w:val="21"/>
                <w:szCs w:val="21"/>
              </w:rPr>
            </w:pPr>
            <w:r>
              <w:rPr>
                <w:rFonts w:hint="eastAsia"/>
                <w:color w:val="auto"/>
                <w:sz w:val="21"/>
                <w:szCs w:val="21"/>
              </w:rPr>
              <w:t>1010</w:t>
            </w:r>
          </w:p>
        </w:tc>
        <w:tc>
          <w:tcPr>
            <w:tcW w:w="891" w:type="pct"/>
            <w:tcBorders>
              <w:left w:val="single" w:color="auto" w:sz="4" w:space="0"/>
              <w:right w:val="single" w:color="auto" w:sz="4" w:space="0"/>
            </w:tcBorders>
            <w:noWrap/>
            <w:vAlign w:val="center"/>
          </w:tcPr>
          <w:p w14:paraId="4DCCD6AE">
            <w:pPr>
              <w:widowControl w:val="0"/>
              <w:jc w:val="center"/>
              <w:rPr>
                <w:color w:val="auto"/>
                <w:sz w:val="21"/>
                <w:szCs w:val="21"/>
              </w:rPr>
            </w:pPr>
            <w:r>
              <w:rPr>
                <w:rFonts w:hint="eastAsia"/>
                <w:color w:val="auto"/>
                <w:sz w:val="21"/>
                <w:szCs w:val="21"/>
              </w:rPr>
              <w:t>28</w:t>
            </w:r>
          </w:p>
        </w:tc>
        <w:tc>
          <w:tcPr>
            <w:tcW w:w="1134" w:type="pct"/>
            <w:tcBorders>
              <w:left w:val="single" w:color="auto" w:sz="4" w:space="0"/>
            </w:tcBorders>
            <w:noWrap/>
            <w:vAlign w:val="center"/>
          </w:tcPr>
          <w:p w14:paraId="4654B8D6">
            <w:pPr>
              <w:widowControl w:val="0"/>
              <w:jc w:val="center"/>
              <w:rPr>
                <w:color w:val="auto"/>
                <w:sz w:val="21"/>
                <w:szCs w:val="21"/>
              </w:rPr>
            </w:pPr>
            <w:r>
              <w:rPr>
                <w:rFonts w:hint="eastAsia"/>
                <w:color w:val="auto"/>
                <w:sz w:val="21"/>
                <w:szCs w:val="21"/>
              </w:rPr>
              <w:t>490</w:t>
            </w:r>
          </w:p>
        </w:tc>
      </w:tr>
    </w:tbl>
    <w:p w14:paraId="7590ADB3">
      <w:pPr>
        <w:spacing w:line="360" w:lineRule="auto"/>
        <w:ind w:firstLine="480" w:firstLineChars="200"/>
        <w:jc w:val="both"/>
        <w:rPr>
          <w:color w:val="auto"/>
          <w:sz w:val="24"/>
          <w:szCs w:val="24"/>
        </w:rPr>
      </w:pPr>
    </w:p>
    <w:p w14:paraId="4A64A75C">
      <w:pPr>
        <w:autoSpaceDE w:val="0"/>
        <w:autoSpaceDN w:val="0"/>
        <w:adjustRightInd w:val="0"/>
        <w:spacing w:line="240" w:lineRule="exact"/>
        <w:rPr>
          <w:rFonts w:ascii="黑体"/>
          <w:bCs/>
          <w:color w:val="auto"/>
          <w:szCs w:val="28"/>
          <w:lang w:val="zh-CN"/>
        </w:rPr>
      </w:pPr>
    </w:p>
    <w:p w14:paraId="12754DAA">
      <w:pPr>
        <w:keepNext/>
        <w:keepLines/>
        <w:numPr>
          <w:ilvl w:val="3"/>
          <w:numId w:val="1"/>
        </w:numPr>
        <w:spacing w:line="360" w:lineRule="auto"/>
        <w:outlineLvl w:val="3"/>
        <w:rPr>
          <w:b/>
          <w:bCs/>
          <w:color w:val="auto"/>
          <w:sz w:val="24"/>
          <w:szCs w:val="28"/>
        </w:rPr>
      </w:pPr>
      <w:r>
        <w:rPr>
          <w:rFonts w:hint="eastAsia"/>
          <w:b/>
          <w:bCs/>
          <w:color w:val="auto"/>
          <w:sz w:val="24"/>
          <w:szCs w:val="28"/>
        </w:rPr>
        <w:t xml:space="preserve"> 小结</w:t>
      </w:r>
    </w:p>
    <w:p w14:paraId="61A35251">
      <w:pPr>
        <w:spacing w:before="163" w:beforeLines="50"/>
        <w:ind w:firstLine="720" w:firstLineChars="300"/>
        <w:jc w:val="left"/>
        <w:rPr>
          <w:rFonts w:hint="eastAsia"/>
          <w:color w:val="auto"/>
          <w:sz w:val="24"/>
          <w:szCs w:val="24"/>
        </w:rPr>
      </w:pPr>
      <w:r>
        <w:rPr>
          <w:rFonts w:hint="eastAsia"/>
          <w:color w:val="auto"/>
          <w:sz w:val="24"/>
          <w:szCs w:val="24"/>
        </w:rPr>
        <w:t>项目各类环境风险事故影响结果汇总见</w:t>
      </w:r>
      <w:r>
        <w:rPr>
          <w:rFonts w:hint="eastAsia"/>
          <w:color w:val="auto"/>
          <w:sz w:val="24"/>
          <w:szCs w:val="24"/>
        </w:rPr>
        <w:fldChar w:fldCharType="begin"/>
      </w:r>
      <w:r>
        <w:instrText xml:space="preserve"> REF _Ref12788 \h  \* MERGEFORMAT</w:instrText>
      </w:r>
      <w:r>
        <w:rPr>
          <w:rFonts w:hint="eastAsia"/>
          <w:color w:val="auto"/>
          <w:sz w:val="24"/>
          <w:szCs w:val="24"/>
        </w:rPr>
        <w:fldChar w:fldCharType="separate"/>
      </w:r>
      <w:r>
        <w:rPr>
          <w:rFonts w:hint="eastAsia"/>
          <w:color w:val="auto"/>
          <w:sz w:val="24"/>
          <w:szCs w:val="24"/>
        </w:rPr>
        <w:t>表 7.7-10</w:t>
      </w:r>
      <w:r>
        <w:rPr>
          <w:rFonts w:hint="eastAsia"/>
          <w:color w:val="auto"/>
          <w:sz w:val="24"/>
          <w:szCs w:val="24"/>
        </w:rPr>
        <w:fldChar w:fldCharType="end"/>
      </w:r>
      <w:r>
        <w:rPr>
          <w:rFonts w:hint="eastAsia"/>
          <w:color w:val="auto"/>
          <w:sz w:val="24"/>
          <w:szCs w:val="24"/>
        </w:rPr>
        <w:t>。</w:t>
      </w:r>
    </w:p>
    <w:p w14:paraId="6FE760D8">
      <w:pPr>
        <w:spacing w:before="163" w:beforeLines="50"/>
        <w:jc w:val="center"/>
        <w:rPr>
          <w:color w:val="auto"/>
          <w:sz w:val="24"/>
          <w:szCs w:val="24"/>
        </w:rPr>
      </w:pPr>
      <w:r>
        <w:rPr>
          <w:rFonts w:hint="eastAsia" w:eastAsia="黑体"/>
          <w:color w:val="auto"/>
          <w:sz w:val="23"/>
          <w:szCs w:val="24"/>
        </w:rPr>
        <w:t xml:space="preserve">表 </w:t>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STYLEREF 2 \s</w:instrText>
      </w:r>
      <w:r>
        <w:rPr>
          <w:rFonts w:eastAsia="黑体"/>
          <w:color w:val="auto"/>
          <w:sz w:val="23"/>
          <w:szCs w:val="24"/>
        </w:rPr>
        <w:instrText xml:space="preserve"> </w:instrText>
      </w:r>
      <w:r>
        <w:rPr>
          <w:rFonts w:eastAsia="黑体"/>
          <w:color w:val="auto"/>
          <w:sz w:val="23"/>
          <w:szCs w:val="24"/>
        </w:rPr>
        <w:fldChar w:fldCharType="separate"/>
      </w:r>
      <w:r>
        <w:rPr>
          <w:rFonts w:eastAsia="黑体"/>
          <w:color w:val="auto"/>
          <w:sz w:val="23"/>
          <w:szCs w:val="24"/>
        </w:rPr>
        <w:t>7.7</w:t>
      </w:r>
      <w:r>
        <w:rPr>
          <w:rFonts w:eastAsia="黑体"/>
          <w:color w:val="auto"/>
          <w:sz w:val="23"/>
          <w:szCs w:val="24"/>
        </w:rPr>
        <w:fldChar w:fldCharType="end"/>
      </w:r>
      <w:r>
        <w:rPr>
          <w:rFonts w:eastAsia="黑体"/>
          <w:color w:val="auto"/>
          <w:sz w:val="23"/>
          <w:szCs w:val="24"/>
        </w:rPr>
        <w:noBreakHyphen/>
      </w:r>
      <w:r>
        <w:rPr>
          <w:rFonts w:eastAsia="黑体"/>
          <w:color w:val="auto"/>
          <w:sz w:val="23"/>
          <w:szCs w:val="24"/>
        </w:rPr>
        <w:fldChar w:fldCharType="begin"/>
      </w:r>
      <w:r>
        <w:rPr>
          <w:rFonts w:eastAsia="黑体"/>
          <w:color w:val="auto"/>
          <w:sz w:val="23"/>
          <w:szCs w:val="24"/>
        </w:rPr>
        <w:instrText xml:space="preserve"> </w:instrText>
      </w:r>
      <w:r>
        <w:rPr>
          <w:rFonts w:hint="eastAsia" w:eastAsia="黑体"/>
          <w:color w:val="auto"/>
          <w:sz w:val="23"/>
          <w:szCs w:val="24"/>
        </w:rPr>
        <w:instrText xml:space="preserve">SEQ 表 \* ARABIC \s 2</w:instrText>
      </w:r>
      <w:r>
        <w:rPr>
          <w:rFonts w:eastAsia="黑体"/>
          <w:color w:val="auto"/>
          <w:sz w:val="23"/>
          <w:szCs w:val="24"/>
        </w:rPr>
        <w:instrText xml:space="preserve"> </w:instrText>
      </w:r>
      <w:r>
        <w:rPr>
          <w:rFonts w:eastAsia="黑体"/>
          <w:color w:val="auto"/>
          <w:sz w:val="23"/>
          <w:szCs w:val="24"/>
        </w:rPr>
        <w:fldChar w:fldCharType="separate"/>
      </w:r>
      <w:r>
        <w:rPr>
          <w:rFonts w:hint="eastAsia" w:eastAsia="黑体"/>
          <w:color w:val="auto"/>
          <w:sz w:val="23"/>
          <w:szCs w:val="24"/>
        </w:rPr>
        <w:t>10</w:t>
      </w:r>
      <w:r>
        <w:rPr>
          <w:rFonts w:eastAsia="黑体"/>
          <w:color w:val="auto"/>
          <w:sz w:val="23"/>
          <w:szCs w:val="24"/>
        </w:rPr>
        <w:fldChar w:fldCharType="end"/>
      </w:r>
      <w:r>
        <w:rPr>
          <w:rFonts w:hint="eastAsia" w:eastAsia="黑体"/>
          <w:color w:val="auto"/>
          <w:sz w:val="23"/>
          <w:szCs w:val="24"/>
        </w:rPr>
        <w:t xml:space="preserve">  各类环境风险事故影响结果统计一览表</w:t>
      </w:r>
    </w:p>
    <w:tbl>
      <w:tblPr>
        <w:tblStyle w:val="1937"/>
        <w:tblpPr w:leftFromText="180" w:rightFromText="180" w:vertAnchor="text" w:horzAnchor="page" w:tblpX="1619" w:tblpY="304"/>
        <w:tblOverlap w:val="never"/>
        <w:tblW w:w="4974"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132"/>
        <w:gridCol w:w="1030"/>
        <w:gridCol w:w="1098"/>
        <w:gridCol w:w="740"/>
        <w:gridCol w:w="2531"/>
        <w:gridCol w:w="857"/>
        <w:gridCol w:w="1352"/>
      </w:tblGrid>
      <w:tr w14:paraId="369B63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Align w:val="center"/>
          </w:tcPr>
          <w:p w14:paraId="40EFD62E">
            <w:pPr>
              <w:widowControl w:val="0"/>
              <w:spacing w:line="360" w:lineRule="exact"/>
              <w:jc w:val="center"/>
              <w:rPr>
                <w:color w:val="auto"/>
                <w:sz w:val="21"/>
                <w:szCs w:val="21"/>
              </w:rPr>
            </w:pPr>
            <w:bookmarkStart w:id="401" w:name="_Ref12788"/>
            <w:r>
              <w:rPr>
                <w:rFonts w:hint="eastAsia"/>
                <w:color w:val="auto"/>
                <w:sz w:val="21"/>
                <w:szCs w:val="21"/>
              </w:rPr>
              <w:t>事故类型</w:t>
            </w:r>
          </w:p>
        </w:tc>
        <w:tc>
          <w:tcPr>
            <w:tcW w:w="589" w:type="pct"/>
            <w:vAlign w:val="center"/>
          </w:tcPr>
          <w:p w14:paraId="6B52C391">
            <w:pPr>
              <w:widowControl w:val="0"/>
              <w:spacing w:line="360" w:lineRule="exact"/>
              <w:jc w:val="center"/>
              <w:rPr>
                <w:color w:val="auto"/>
                <w:sz w:val="21"/>
                <w:szCs w:val="21"/>
              </w:rPr>
            </w:pPr>
            <w:r>
              <w:rPr>
                <w:rFonts w:hint="eastAsia"/>
                <w:color w:val="auto"/>
                <w:sz w:val="21"/>
                <w:szCs w:val="21"/>
              </w:rPr>
              <w:t>装置/设备名称</w:t>
            </w:r>
          </w:p>
        </w:tc>
        <w:tc>
          <w:tcPr>
            <w:tcW w:w="628" w:type="pct"/>
            <w:vAlign w:val="center"/>
          </w:tcPr>
          <w:p w14:paraId="0FEAB3C3">
            <w:pPr>
              <w:widowControl w:val="0"/>
              <w:spacing w:line="360" w:lineRule="exact"/>
              <w:jc w:val="center"/>
              <w:rPr>
                <w:color w:val="auto"/>
                <w:sz w:val="21"/>
                <w:szCs w:val="21"/>
              </w:rPr>
            </w:pPr>
            <w:r>
              <w:rPr>
                <w:rFonts w:hint="eastAsia"/>
                <w:color w:val="auto"/>
                <w:sz w:val="21"/>
                <w:szCs w:val="21"/>
              </w:rPr>
              <w:t>气象条件</w:t>
            </w:r>
          </w:p>
        </w:tc>
        <w:tc>
          <w:tcPr>
            <w:tcW w:w="423" w:type="pct"/>
            <w:vAlign w:val="center"/>
          </w:tcPr>
          <w:p w14:paraId="7F35FA3C">
            <w:pPr>
              <w:widowControl w:val="0"/>
              <w:spacing w:line="360" w:lineRule="exact"/>
              <w:jc w:val="center"/>
              <w:rPr>
                <w:color w:val="auto"/>
                <w:sz w:val="21"/>
                <w:szCs w:val="21"/>
              </w:rPr>
            </w:pPr>
            <w:r>
              <w:rPr>
                <w:rFonts w:hint="eastAsia"/>
                <w:color w:val="auto"/>
                <w:sz w:val="21"/>
                <w:szCs w:val="21"/>
              </w:rPr>
              <w:t>危险物质</w:t>
            </w:r>
          </w:p>
        </w:tc>
        <w:tc>
          <w:tcPr>
            <w:tcW w:w="1937" w:type="pct"/>
            <w:gridSpan w:val="2"/>
            <w:vAlign w:val="center"/>
          </w:tcPr>
          <w:p w14:paraId="696433E6">
            <w:pPr>
              <w:widowControl w:val="0"/>
              <w:spacing w:line="360" w:lineRule="exact"/>
              <w:jc w:val="center"/>
              <w:rPr>
                <w:color w:val="auto"/>
                <w:sz w:val="21"/>
                <w:szCs w:val="21"/>
              </w:rPr>
            </w:pPr>
            <w:r>
              <w:rPr>
                <w:rFonts w:hint="eastAsia"/>
                <w:color w:val="auto"/>
                <w:sz w:val="21"/>
                <w:szCs w:val="21"/>
              </w:rPr>
              <w:t>毒性影响参数</w:t>
            </w:r>
          </w:p>
        </w:tc>
        <w:tc>
          <w:tcPr>
            <w:tcW w:w="773" w:type="pct"/>
            <w:vAlign w:val="center"/>
          </w:tcPr>
          <w:p w14:paraId="206A532B">
            <w:pPr>
              <w:widowControl w:val="0"/>
              <w:spacing w:line="360" w:lineRule="exact"/>
              <w:jc w:val="center"/>
              <w:rPr>
                <w:color w:val="auto"/>
                <w:sz w:val="21"/>
                <w:szCs w:val="21"/>
              </w:rPr>
            </w:pPr>
            <w:r>
              <w:rPr>
                <w:rFonts w:hint="eastAsia"/>
                <w:color w:val="auto"/>
                <w:sz w:val="21"/>
                <w:szCs w:val="21"/>
              </w:rPr>
              <w:t>影响</w:t>
            </w:r>
          </w:p>
          <w:p w14:paraId="6C7D0B9E">
            <w:pPr>
              <w:widowControl w:val="0"/>
              <w:spacing w:line="360" w:lineRule="exact"/>
              <w:jc w:val="center"/>
              <w:rPr>
                <w:color w:val="auto"/>
                <w:sz w:val="21"/>
                <w:szCs w:val="21"/>
              </w:rPr>
            </w:pPr>
            <w:r>
              <w:rPr>
                <w:rFonts w:hint="eastAsia"/>
                <w:color w:val="auto"/>
                <w:sz w:val="21"/>
                <w:szCs w:val="21"/>
              </w:rPr>
              <w:t>范围（m）</w:t>
            </w:r>
          </w:p>
        </w:tc>
      </w:tr>
      <w:tr w14:paraId="7D74AD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58" w:hRule="atLeast"/>
        </w:trPr>
        <w:tc>
          <w:tcPr>
            <w:tcW w:w="647" w:type="pct"/>
            <w:vMerge w:val="restart"/>
            <w:vAlign w:val="center"/>
          </w:tcPr>
          <w:p w14:paraId="0FD01971">
            <w:pPr>
              <w:widowControl w:val="0"/>
              <w:spacing w:line="360" w:lineRule="exact"/>
              <w:jc w:val="center"/>
              <w:rPr>
                <w:color w:val="auto"/>
                <w:sz w:val="21"/>
                <w:szCs w:val="21"/>
              </w:rPr>
            </w:pPr>
            <w:r>
              <w:rPr>
                <w:rFonts w:hint="eastAsia"/>
                <w:color w:val="auto"/>
                <w:sz w:val="21"/>
                <w:szCs w:val="21"/>
              </w:rPr>
              <w:t>氨水储罐泄漏</w:t>
            </w:r>
          </w:p>
        </w:tc>
        <w:tc>
          <w:tcPr>
            <w:tcW w:w="589" w:type="pct"/>
            <w:vMerge w:val="restart"/>
            <w:vAlign w:val="center"/>
          </w:tcPr>
          <w:p w14:paraId="4F761507">
            <w:pPr>
              <w:widowControl w:val="0"/>
              <w:spacing w:line="360" w:lineRule="exact"/>
              <w:jc w:val="center"/>
              <w:rPr>
                <w:color w:val="auto"/>
                <w:sz w:val="21"/>
                <w:szCs w:val="21"/>
              </w:rPr>
            </w:pPr>
            <w:r>
              <w:rPr>
                <w:rFonts w:hint="eastAsia"/>
                <w:color w:val="auto"/>
                <w:sz w:val="21"/>
                <w:szCs w:val="21"/>
              </w:rPr>
              <w:t>储罐/管道</w:t>
            </w:r>
          </w:p>
        </w:tc>
        <w:tc>
          <w:tcPr>
            <w:tcW w:w="628" w:type="pct"/>
            <w:vMerge w:val="restart"/>
            <w:vAlign w:val="center"/>
          </w:tcPr>
          <w:p w14:paraId="17F0CCE2">
            <w:pPr>
              <w:widowControl w:val="0"/>
              <w:spacing w:line="360" w:lineRule="exact"/>
              <w:jc w:val="center"/>
              <w:rPr>
                <w:color w:val="auto"/>
                <w:sz w:val="21"/>
                <w:szCs w:val="21"/>
              </w:rPr>
            </w:pPr>
            <w:r>
              <w:rPr>
                <w:rFonts w:hint="eastAsia"/>
                <w:color w:val="auto"/>
                <w:sz w:val="21"/>
                <w:szCs w:val="21"/>
              </w:rPr>
              <w:t>常规</w:t>
            </w:r>
          </w:p>
        </w:tc>
        <w:tc>
          <w:tcPr>
            <w:tcW w:w="423" w:type="pct"/>
            <w:vMerge w:val="restart"/>
            <w:vAlign w:val="center"/>
          </w:tcPr>
          <w:p w14:paraId="6DC2D31F">
            <w:pPr>
              <w:widowControl w:val="0"/>
              <w:spacing w:line="360" w:lineRule="exact"/>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447" w:type="pct"/>
            <w:tcBorders>
              <w:bottom w:val="single" w:color="auto" w:sz="4" w:space="0"/>
            </w:tcBorders>
            <w:vAlign w:val="center"/>
          </w:tcPr>
          <w:p w14:paraId="77000E44">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-1</w:t>
            </w:r>
            <w:r>
              <w:rPr>
                <w:rFonts w:hint="eastAsia"/>
                <w:color w:val="auto"/>
                <w:sz w:val="21"/>
                <w:szCs w:val="21"/>
              </w:rPr>
              <w:t>(mg/m</w:t>
            </w:r>
            <w:r>
              <w:rPr>
                <w:rFonts w:hint="eastAsia"/>
                <w:color w:val="auto"/>
                <w:sz w:val="21"/>
                <w:szCs w:val="21"/>
                <w:vertAlign w:val="superscript"/>
              </w:rPr>
              <w:t>3</w:t>
            </w:r>
            <w:r>
              <w:rPr>
                <w:rFonts w:hint="eastAsia"/>
                <w:color w:val="auto"/>
                <w:sz w:val="21"/>
                <w:szCs w:val="21"/>
              </w:rPr>
              <w:t>)</w:t>
            </w:r>
          </w:p>
        </w:tc>
        <w:tc>
          <w:tcPr>
            <w:tcW w:w="489" w:type="pct"/>
            <w:tcBorders>
              <w:bottom w:val="single" w:color="auto" w:sz="4" w:space="0"/>
            </w:tcBorders>
            <w:vAlign w:val="center"/>
          </w:tcPr>
          <w:p w14:paraId="61146AF1">
            <w:pPr>
              <w:widowControl w:val="0"/>
              <w:spacing w:line="360" w:lineRule="exact"/>
              <w:jc w:val="center"/>
              <w:rPr>
                <w:color w:val="auto"/>
                <w:sz w:val="21"/>
                <w:szCs w:val="21"/>
              </w:rPr>
            </w:pPr>
            <w:r>
              <w:rPr>
                <w:rFonts w:hint="eastAsia"/>
                <w:color w:val="auto"/>
                <w:sz w:val="21"/>
                <w:szCs w:val="21"/>
              </w:rPr>
              <w:t>110</w:t>
            </w:r>
          </w:p>
        </w:tc>
        <w:tc>
          <w:tcPr>
            <w:tcW w:w="773" w:type="pct"/>
            <w:tcBorders>
              <w:bottom w:val="single" w:color="auto" w:sz="4" w:space="0"/>
            </w:tcBorders>
            <w:vAlign w:val="center"/>
          </w:tcPr>
          <w:p w14:paraId="593FEE1B">
            <w:pPr>
              <w:widowControl w:val="0"/>
              <w:spacing w:line="360" w:lineRule="exact"/>
              <w:jc w:val="center"/>
              <w:rPr>
                <w:color w:val="auto"/>
                <w:sz w:val="21"/>
                <w:szCs w:val="21"/>
              </w:rPr>
            </w:pPr>
            <w:r>
              <w:rPr>
                <w:rFonts w:hint="eastAsia" w:ascii="宋体" w:hAnsi="宋体"/>
                <w:color w:val="auto"/>
                <w:sz w:val="18"/>
                <w:szCs w:val="24"/>
              </w:rPr>
              <w:t>/</w:t>
            </w:r>
          </w:p>
        </w:tc>
      </w:tr>
      <w:tr w14:paraId="1403893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67" w:hRule="atLeast"/>
        </w:trPr>
        <w:tc>
          <w:tcPr>
            <w:tcW w:w="647" w:type="pct"/>
            <w:vMerge w:val="continue"/>
            <w:vAlign w:val="center"/>
          </w:tcPr>
          <w:p w14:paraId="643F4BC3">
            <w:pPr>
              <w:widowControl w:val="0"/>
              <w:spacing w:line="360" w:lineRule="exact"/>
              <w:jc w:val="center"/>
              <w:rPr>
                <w:color w:val="auto"/>
                <w:sz w:val="21"/>
                <w:szCs w:val="21"/>
              </w:rPr>
            </w:pPr>
          </w:p>
        </w:tc>
        <w:tc>
          <w:tcPr>
            <w:tcW w:w="589" w:type="pct"/>
            <w:vMerge w:val="continue"/>
            <w:vAlign w:val="center"/>
          </w:tcPr>
          <w:p w14:paraId="3671E61A">
            <w:pPr>
              <w:widowControl w:val="0"/>
              <w:spacing w:line="360" w:lineRule="exact"/>
              <w:jc w:val="center"/>
              <w:rPr>
                <w:color w:val="auto"/>
                <w:sz w:val="21"/>
                <w:szCs w:val="21"/>
              </w:rPr>
            </w:pPr>
          </w:p>
        </w:tc>
        <w:tc>
          <w:tcPr>
            <w:tcW w:w="628" w:type="pct"/>
            <w:vMerge w:val="continue"/>
            <w:vAlign w:val="center"/>
          </w:tcPr>
          <w:p w14:paraId="09108955">
            <w:pPr>
              <w:widowControl w:val="0"/>
              <w:spacing w:line="360" w:lineRule="exact"/>
              <w:jc w:val="center"/>
              <w:rPr>
                <w:color w:val="auto"/>
                <w:sz w:val="21"/>
                <w:szCs w:val="21"/>
              </w:rPr>
            </w:pPr>
          </w:p>
        </w:tc>
        <w:tc>
          <w:tcPr>
            <w:tcW w:w="423" w:type="pct"/>
            <w:vMerge w:val="continue"/>
            <w:vAlign w:val="center"/>
          </w:tcPr>
          <w:p w14:paraId="64321A4E">
            <w:pPr>
              <w:widowControl w:val="0"/>
              <w:spacing w:line="360" w:lineRule="exact"/>
              <w:jc w:val="center"/>
              <w:rPr>
                <w:color w:val="auto"/>
                <w:sz w:val="21"/>
                <w:szCs w:val="21"/>
              </w:rPr>
            </w:pPr>
          </w:p>
        </w:tc>
        <w:tc>
          <w:tcPr>
            <w:tcW w:w="1447" w:type="pct"/>
            <w:tcBorders>
              <w:top w:val="single" w:color="auto" w:sz="4" w:space="0"/>
            </w:tcBorders>
            <w:vAlign w:val="center"/>
          </w:tcPr>
          <w:p w14:paraId="6CCF4916">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w:t>
            </w:r>
            <w:r>
              <w:rPr>
                <w:rFonts w:hint="eastAsia"/>
                <w:color w:val="auto"/>
                <w:sz w:val="21"/>
                <w:szCs w:val="21"/>
              </w:rPr>
              <w:t>2(mg/m</w:t>
            </w:r>
            <w:r>
              <w:rPr>
                <w:rFonts w:hint="eastAsia"/>
                <w:color w:val="auto"/>
                <w:sz w:val="21"/>
                <w:szCs w:val="21"/>
                <w:vertAlign w:val="superscript"/>
              </w:rPr>
              <w:t>3</w:t>
            </w:r>
            <w:r>
              <w:rPr>
                <w:rFonts w:hint="eastAsia"/>
                <w:color w:val="auto"/>
                <w:sz w:val="21"/>
                <w:szCs w:val="21"/>
              </w:rPr>
              <w:t>)</w:t>
            </w:r>
          </w:p>
        </w:tc>
        <w:tc>
          <w:tcPr>
            <w:tcW w:w="489" w:type="pct"/>
            <w:tcBorders>
              <w:top w:val="single" w:color="auto" w:sz="4" w:space="0"/>
            </w:tcBorders>
            <w:vAlign w:val="center"/>
          </w:tcPr>
          <w:p w14:paraId="2018D6FE">
            <w:pPr>
              <w:widowControl w:val="0"/>
              <w:spacing w:line="360" w:lineRule="exact"/>
              <w:jc w:val="center"/>
              <w:rPr>
                <w:color w:val="auto"/>
                <w:sz w:val="21"/>
                <w:szCs w:val="21"/>
              </w:rPr>
            </w:pPr>
            <w:r>
              <w:rPr>
                <w:rFonts w:hint="eastAsia"/>
                <w:color w:val="auto"/>
                <w:sz w:val="21"/>
                <w:szCs w:val="21"/>
              </w:rPr>
              <w:t>770</w:t>
            </w:r>
          </w:p>
        </w:tc>
        <w:tc>
          <w:tcPr>
            <w:tcW w:w="773" w:type="pct"/>
            <w:tcBorders>
              <w:top w:val="single" w:color="auto" w:sz="4" w:space="0"/>
            </w:tcBorders>
            <w:vAlign w:val="center"/>
          </w:tcPr>
          <w:p w14:paraId="41F4D0ED">
            <w:pPr>
              <w:widowControl w:val="0"/>
              <w:spacing w:line="360" w:lineRule="exact"/>
              <w:jc w:val="center"/>
              <w:rPr>
                <w:color w:val="auto"/>
                <w:sz w:val="21"/>
                <w:szCs w:val="21"/>
              </w:rPr>
            </w:pPr>
            <w:r>
              <w:rPr>
                <w:rFonts w:hint="eastAsia" w:ascii="宋体" w:hAnsi="宋体"/>
                <w:color w:val="auto"/>
                <w:sz w:val="18"/>
                <w:szCs w:val="24"/>
              </w:rPr>
              <w:t>/</w:t>
            </w:r>
          </w:p>
        </w:tc>
      </w:tr>
      <w:tr w14:paraId="15A3D59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93" w:hRule="atLeast"/>
        </w:trPr>
        <w:tc>
          <w:tcPr>
            <w:tcW w:w="647" w:type="pct"/>
            <w:vMerge w:val="continue"/>
            <w:vAlign w:val="center"/>
          </w:tcPr>
          <w:p w14:paraId="24E6357D">
            <w:pPr>
              <w:widowControl w:val="0"/>
              <w:spacing w:line="360" w:lineRule="exact"/>
              <w:jc w:val="center"/>
              <w:rPr>
                <w:color w:val="auto"/>
                <w:sz w:val="21"/>
                <w:szCs w:val="21"/>
              </w:rPr>
            </w:pPr>
          </w:p>
        </w:tc>
        <w:tc>
          <w:tcPr>
            <w:tcW w:w="589" w:type="pct"/>
            <w:vMerge w:val="continue"/>
            <w:vAlign w:val="center"/>
          </w:tcPr>
          <w:p w14:paraId="162FA55B">
            <w:pPr>
              <w:widowControl w:val="0"/>
              <w:spacing w:line="360" w:lineRule="exact"/>
              <w:jc w:val="center"/>
              <w:rPr>
                <w:color w:val="auto"/>
                <w:sz w:val="21"/>
                <w:szCs w:val="21"/>
              </w:rPr>
            </w:pPr>
          </w:p>
        </w:tc>
        <w:tc>
          <w:tcPr>
            <w:tcW w:w="628" w:type="pct"/>
            <w:vMerge w:val="restart"/>
            <w:vAlign w:val="center"/>
          </w:tcPr>
          <w:p w14:paraId="2CE796D8">
            <w:pPr>
              <w:widowControl w:val="0"/>
              <w:spacing w:line="360" w:lineRule="exact"/>
              <w:jc w:val="center"/>
              <w:rPr>
                <w:color w:val="auto"/>
                <w:sz w:val="21"/>
                <w:szCs w:val="21"/>
              </w:rPr>
            </w:pPr>
            <w:r>
              <w:rPr>
                <w:rFonts w:hint="eastAsia"/>
                <w:color w:val="auto"/>
                <w:sz w:val="21"/>
                <w:szCs w:val="21"/>
              </w:rPr>
              <w:t>最不利</w:t>
            </w:r>
          </w:p>
        </w:tc>
        <w:tc>
          <w:tcPr>
            <w:tcW w:w="423" w:type="pct"/>
            <w:vMerge w:val="restart"/>
            <w:vAlign w:val="center"/>
          </w:tcPr>
          <w:p w14:paraId="06EF8104">
            <w:pPr>
              <w:widowControl w:val="0"/>
              <w:spacing w:line="360" w:lineRule="exact"/>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447" w:type="pct"/>
            <w:tcBorders>
              <w:bottom w:val="single" w:color="auto" w:sz="4" w:space="0"/>
            </w:tcBorders>
            <w:vAlign w:val="center"/>
          </w:tcPr>
          <w:p w14:paraId="275300A8">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-1</w:t>
            </w:r>
            <w:r>
              <w:rPr>
                <w:rFonts w:hint="eastAsia"/>
                <w:color w:val="auto"/>
                <w:sz w:val="21"/>
                <w:szCs w:val="21"/>
              </w:rPr>
              <w:t>(mg/m</w:t>
            </w:r>
            <w:r>
              <w:rPr>
                <w:rFonts w:hint="eastAsia"/>
                <w:color w:val="auto"/>
                <w:sz w:val="21"/>
                <w:szCs w:val="21"/>
                <w:vertAlign w:val="superscript"/>
              </w:rPr>
              <w:t>3</w:t>
            </w:r>
            <w:r>
              <w:rPr>
                <w:rFonts w:hint="eastAsia"/>
                <w:color w:val="auto"/>
                <w:sz w:val="21"/>
                <w:szCs w:val="21"/>
              </w:rPr>
              <w:t>)</w:t>
            </w:r>
          </w:p>
        </w:tc>
        <w:tc>
          <w:tcPr>
            <w:tcW w:w="489" w:type="pct"/>
            <w:tcBorders>
              <w:bottom w:val="single" w:color="auto" w:sz="4" w:space="0"/>
            </w:tcBorders>
            <w:vAlign w:val="center"/>
          </w:tcPr>
          <w:p w14:paraId="558D8878">
            <w:pPr>
              <w:widowControl w:val="0"/>
              <w:spacing w:line="360" w:lineRule="exact"/>
              <w:jc w:val="center"/>
              <w:rPr>
                <w:color w:val="auto"/>
                <w:sz w:val="21"/>
                <w:szCs w:val="21"/>
              </w:rPr>
            </w:pPr>
            <w:r>
              <w:rPr>
                <w:rFonts w:hint="eastAsia"/>
                <w:color w:val="auto"/>
                <w:sz w:val="21"/>
                <w:szCs w:val="21"/>
              </w:rPr>
              <w:t>110</w:t>
            </w:r>
          </w:p>
        </w:tc>
        <w:tc>
          <w:tcPr>
            <w:tcW w:w="773" w:type="pct"/>
            <w:tcBorders>
              <w:bottom w:val="single" w:color="auto" w:sz="4" w:space="0"/>
            </w:tcBorders>
            <w:vAlign w:val="center"/>
          </w:tcPr>
          <w:p w14:paraId="5FB0F7FB">
            <w:pPr>
              <w:widowControl w:val="0"/>
              <w:spacing w:line="360" w:lineRule="exact"/>
              <w:jc w:val="center"/>
              <w:rPr>
                <w:color w:val="auto"/>
                <w:sz w:val="21"/>
                <w:szCs w:val="21"/>
              </w:rPr>
            </w:pPr>
            <w:r>
              <w:rPr>
                <w:rFonts w:hint="eastAsia"/>
                <w:color w:val="auto"/>
                <w:sz w:val="21"/>
                <w:szCs w:val="21"/>
              </w:rPr>
              <w:t>370</w:t>
            </w:r>
          </w:p>
        </w:tc>
      </w:tr>
      <w:tr w14:paraId="7E518A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72" w:hRule="atLeast"/>
        </w:trPr>
        <w:tc>
          <w:tcPr>
            <w:tcW w:w="647" w:type="pct"/>
            <w:vMerge w:val="continue"/>
            <w:vAlign w:val="center"/>
          </w:tcPr>
          <w:p w14:paraId="52F86680">
            <w:pPr>
              <w:widowControl w:val="0"/>
              <w:spacing w:line="360" w:lineRule="exact"/>
              <w:jc w:val="center"/>
              <w:rPr>
                <w:color w:val="auto"/>
                <w:sz w:val="21"/>
                <w:szCs w:val="21"/>
              </w:rPr>
            </w:pPr>
          </w:p>
        </w:tc>
        <w:tc>
          <w:tcPr>
            <w:tcW w:w="589" w:type="pct"/>
            <w:vMerge w:val="continue"/>
            <w:vAlign w:val="center"/>
          </w:tcPr>
          <w:p w14:paraId="1DDA98BC">
            <w:pPr>
              <w:widowControl w:val="0"/>
              <w:spacing w:line="360" w:lineRule="exact"/>
              <w:jc w:val="center"/>
              <w:rPr>
                <w:color w:val="auto"/>
                <w:sz w:val="21"/>
                <w:szCs w:val="21"/>
              </w:rPr>
            </w:pPr>
          </w:p>
        </w:tc>
        <w:tc>
          <w:tcPr>
            <w:tcW w:w="628" w:type="pct"/>
            <w:vMerge w:val="continue"/>
            <w:vAlign w:val="center"/>
          </w:tcPr>
          <w:p w14:paraId="360DF7FE">
            <w:pPr>
              <w:widowControl w:val="0"/>
              <w:spacing w:line="360" w:lineRule="exact"/>
              <w:jc w:val="center"/>
              <w:rPr>
                <w:color w:val="auto"/>
                <w:sz w:val="21"/>
                <w:szCs w:val="21"/>
              </w:rPr>
            </w:pPr>
          </w:p>
        </w:tc>
        <w:tc>
          <w:tcPr>
            <w:tcW w:w="423" w:type="pct"/>
            <w:vMerge w:val="continue"/>
            <w:vAlign w:val="center"/>
          </w:tcPr>
          <w:p w14:paraId="44071799">
            <w:pPr>
              <w:widowControl w:val="0"/>
              <w:spacing w:line="360" w:lineRule="exact"/>
              <w:jc w:val="center"/>
              <w:rPr>
                <w:color w:val="auto"/>
                <w:sz w:val="21"/>
                <w:szCs w:val="21"/>
              </w:rPr>
            </w:pPr>
          </w:p>
        </w:tc>
        <w:tc>
          <w:tcPr>
            <w:tcW w:w="1447" w:type="pct"/>
            <w:tcBorders>
              <w:top w:val="single" w:color="auto" w:sz="4" w:space="0"/>
            </w:tcBorders>
            <w:vAlign w:val="center"/>
          </w:tcPr>
          <w:p w14:paraId="060EB627">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w:t>
            </w:r>
            <w:r>
              <w:rPr>
                <w:rFonts w:hint="eastAsia"/>
                <w:color w:val="auto"/>
                <w:sz w:val="21"/>
                <w:szCs w:val="21"/>
              </w:rPr>
              <w:t>2(mg/m</w:t>
            </w:r>
            <w:r>
              <w:rPr>
                <w:rFonts w:hint="eastAsia"/>
                <w:color w:val="auto"/>
                <w:sz w:val="21"/>
                <w:szCs w:val="21"/>
                <w:vertAlign w:val="superscript"/>
              </w:rPr>
              <w:t>3</w:t>
            </w:r>
            <w:r>
              <w:rPr>
                <w:rFonts w:hint="eastAsia"/>
                <w:color w:val="auto"/>
                <w:sz w:val="21"/>
                <w:szCs w:val="21"/>
              </w:rPr>
              <w:t>)</w:t>
            </w:r>
          </w:p>
        </w:tc>
        <w:tc>
          <w:tcPr>
            <w:tcW w:w="489" w:type="pct"/>
            <w:tcBorders>
              <w:top w:val="single" w:color="auto" w:sz="4" w:space="0"/>
            </w:tcBorders>
            <w:vAlign w:val="center"/>
          </w:tcPr>
          <w:p w14:paraId="62F393E9">
            <w:pPr>
              <w:widowControl w:val="0"/>
              <w:spacing w:line="360" w:lineRule="exact"/>
              <w:jc w:val="center"/>
              <w:rPr>
                <w:color w:val="auto"/>
                <w:sz w:val="21"/>
                <w:szCs w:val="21"/>
              </w:rPr>
            </w:pPr>
            <w:r>
              <w:rPr>
                <w:rFonts w:hint="eastAsia"/>
                <w:color w:val="auto"/>
                <w:sz w:val="21"/>
                <w:szCs w:val="21"/>
              </w:rPr>
              <w:t>770</w:t>
            </w:r>
          </w:p>
        </w:tc>
        <w:tc>
          <w:tcPr>
            <w:tcW w:w="773" w:type="pct"/>
            <w:tcBorders>
              <w:top w:val="single" w:color="auto" w:sz="4" w:space="0"/>
            </w:tcBorders>
            <w:vAlign w:val="center"/>
          </w:tcPr>
          <w:p w14:paraId="4105B4A7">
            <w:pPr>
              <w:widowControl w:val="0"/>
              <w:spacing w:line="360" w:lineRule="exact"/>
              <w:jc w:val="center"/>
              <w:rPr>
                <w:color w:val="auto"/>
                <w:sz w:val="21"/>
                <w:szCs w:val="21"/>
              </w:rPr>
            </w:pPr>
            <w:r>
              <w:rPr>
                <w:rFonts w:hint="eastAsia" w:ascii="宋体" w:hAnsi="宋体"/>
                <w:color w:val="auto"/>
                <w:sz w:val="18"/>
                <w:szCs w:val="24"/>
              </w:rPr>
              <w:t>/</w:t>
            </w:r>
          </w:p>
        </w:tc>
      </w:tr>
      <w:tr w14:paraId="3D06BC5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Merge w:val="restart"/>
            <w:vAlign w:val="center"/>
          </w:tcPr>
          <w:p w14:paraId="5E31FE3A">
            <w:pPr>
              <w:widowControl w:val="0"/>
              <w:spacing w:line="360" w:lineRule="exact"/>
              <w:jc w:val="center"/>
              <w:rPr>
                <w:color w:val="auto"/>
                <w:sz w:val="21"/>
                <w:szCs w:val="21"/>
              </w:rPr>
            </w:pPr>
            <w:r>
              <w:rPr>
                <w:rFonts w:hint="eastAsia"/>
                <w:color w:val="auto"/>
                <w:sz w:val="21"/>
                <w:szCs w:val="21"/>
              </w:rPr>
              <w:t>天然气管道泄漏</w:t>
            </w:r>
          </w:p>
        </w:tc>
        <w:tc>
          <w:tcPr>
            <w:tcW w:w="589" w:type="pct"/>
            <w:vMerge w:val="restart"/>
            <w:vAlign w:val="center"/>
          </w:tcPr>
          <w:p w14:paraId="530DDE29">
            <w:pPr>
              <w:widowControl w:val="0"/>
              <w:spacing w:line="360" w:lineRule="exact"/>
              <w:jc w:val="center"/>
              <w:rPr>
                <w:color w:val="auto"/>
                <w:sz w:val="21"/>
                <w:szCs w:val="21"/>
              </w:rPr>
            </w:pPr>
            <w:r>
              <w:rPr>
                <w:rFonts w:hint="eastAsia"/>
                <w:color w:val="auto"/>
                <w:sz w:val="21"/>
                <w:szCs w:val="21"/>
              </w:rPr>
              <w:t>管道</w:t>
            </w:r>
          </w:p>
        </w:tc>
        <w:tc>
          <w:tcPr>
            <w:tcW w:w="628" w:type="pct"/>
            <w:vMerge w:val="restart"/>
            <w:vAlign w:val="center"/>
          </w:tcPr>
          <w:p w14:paraId="485E90B5">
            <w:pPr>
              <w:widowControl w:val="0"/>
              <w:spacing w:line="360" w:lineRule="exact"/>
              <w:jc w:val="center"/>
              <w:rPr>
                <w:color w:val="auto"/>
                <w:sz w:val="21"/>
                <w:szCs w:val="21"/>
              </w:rPr>
            </w:pPr>
            <w:r>
              <w:rPr>
                <w:rFonts w:hint="eastAsia"/>
                <w:color w:val="auto"/>
                <w:sz w:val="21"/>
                <w:szCs w:val="21"/>
              </w:rPr>
              <w:t>常规</w:t>
            </w:r>
          </w:p>
        </w:tc>
        <w:tc>
          <w:tcPr>
            <w:tcW w:w="423" w:type="pct"/>
            <w:vMerge w:val="restart"/>
            <w:vAlign w:val="center"/>
          </w:tcPr>
          <w:p w14:paraId="5E16A447">
            <w:pPr>
              <w:widowControl w:val="0"/>
              <w:spacing w:line="360" w:lineRule="exact"/>
              <w:jc w:val="center"/>
              <w:rPr>
                <w:color w:val="auto"/>
                <w:sz w:val="21"/>
                <w:szCs w:val="21"/>
              </w:rPr>
            </w:pPr>
            <w:r>
              <w:rPr>
                <w:rFonts w:hint="eastAsia"/>
                <w:color w:val="auto"/>
                <w:sz w:val="21"/>
                <w:szCs w:val="21"/>
              </w:rPr>
              <w:t>CH</w:t>
            </w:r>
            <w:r>
              <w:rPr>
                <w:rFonts w:hint="eastAsia"/>
                <w:color w:val="auto"/>
                <w:sz w:val="21"/>
                <w:szCs w:val="21"/>
                <w:vertAlign w:val="subscript"/>
              </w:rPr>
              <w:t>4</w:t>
            </w:r>
          </w:p>
        </w:tc>
        <w:tc>
          <w:tcPr>
            <w:tcW w:w="1447" w:type="pct"/>
            <w:vAlign w:val="center"/>
          </w:tcPr>
          <w:p w14:paraId="5A436614">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-1</w:t>
            </w:r>
            <w:r>
              <w:rPr>
                <w:rFonts w:hint="eastAsia"/>
                <w:color w:val="auto"/>
                <w:sz w:val="21"/>
                <w:szCs w:val="21"/>
              </w:rPr>
              <w:t>(mg/m</w:t>
            </w:r>
            <w:r>
              <w:rPr>
                <w:rFonts w:hint="eastAsia"/>
                <w:color w:val="auto"/>
                <w:sz w:val="21"/>
                <w:szCs w:val="21"/>
                <w:vertAlign w:val="superscript"/>
              </w:rPr>
              <w:t>3</w:t>
            </w:r>
            <w:r>
              <w:rPr>
                <w:rFonts w:hint="eastAsia"/>
                <w:color w:val="auto"/>
                <w:sz w:val="21"/>
                <w:szCs w:val="21"/>
              </w:rPr>
              <w:t>)</w:t>
            </w:r>
          </w:p>
        </w:tc>
        <w:tc>
          <w:tcPr>
            <w:tcW w:w="489" w:type="pct"/>
            <w:vAlign w:val="center"/>
          </w:tcPr>
          <w:p w14:paraId="0DC073A2">
            <w:pPr>
              <w:widowControl w:val="0"/>
              <w:spacing w:line="360" w:lineRule="exact"/>
              <w:jc w:val="center"/>
              <w:rPr>
                <w:color w:val="auto"/>
                <w:sz w:val="21"/>
                <w:szCs w:val="21"/>
              </w:rPr>
            </w:pPr>
            <w:r>
              <w:rPr>
                <w:rFonts w:hint="eastAsia"/>
                <w:color w:val="auto"/>
                <w:sz w:val="21"/>
                <w:szCs w:val="21"/>
              </w:rPr>
              <w:t>260000</w:t>
            </w:r>
          </w:p>
        </w:tc>
        <w:tc>
          <w:tcPr>
            <w:tcW w:w="773" w:type="pct"/>
            <w:vAlign w:val="center"/>
          </w:tcPr>
          <w:p w14:paraId="697744B2">
            <w:pPr>
              <w:widowControl w:val="0"/>
              <w:spacing w:line="360" w:lineRule="exact"/>
              <w:jc w:val="center"/>
              <w:rPr>
                <w:color w:val="auto"/>
                <w:sz w:val="21"/>
                <w:szCs w:val="21"/>
              </w:rPr>
            </w:pPr>
            <w:r>
              <w:rPr>
                <w:rFonts w:hint="eastAsia"/>
                <w:color w:val="auto"/>
                <w:sz w:val="21"/>
                <w:szCs w:val="21"/>
              </w:rPr>
              <w:t>/</w:t>
            </w:r>
          </w:p>
        </w:tc>
      </w:tr>
      <w:tr w14:paraId="103AE2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Merge w:val="continue"/>
            <w:vAlign w:val="center"/>
          </w:tcPr>
          <w:p w14:paraId="794B3EA9">
            <w:pPr>
              <w:widowControl w:val="0"/>
              <w:spacing w:line="360" w:lineRule="exact"/>
              <w:jc w:val="center"/>
              <w:rPr>
                <w:color w:val="auto"/>
                <w:sz w:val="21"/>
                <w:szCs w:val="21"/>
              </w:rPr>
            </w:pPr>
          </w:p>
        </w:tc>
        <w:tc>
          <w:tcPr>
            <w:tcW w:w="589" w:type="pct"/>
            <w:vMerge w:val="continue"/>
            <w:vAlign w:val="center"/>
          </w:tcPr>
          <w:p w14:paraId="47FEC8CB">
            <w:pPr>
              <w:widowControl w:val="0"/>
              <w:spacing w:line="360" w:lineRule="exact"/>
              <w:jc w:val="center"/>
              <w:rPr>
                <w:color w:val="auto"/>
                <w:sz w:val="21"/>
                <w:szCs w:val="21"/>
              </w:rPr>
            </w:pPr>
          </w:p>
        </w:tc>
        <w:tc>
          <w:tcPr>
            <w:tcW w:w="628" w:type="pct"/>
            <w:vMerge w:val="continue"/>
            <w:vAlign w:val="center"/>
          </w:tcPr>
          <w:p w14:paraId="1950E43F">
            <w:pPr>
              <w:widowControl w:val="0"/>
              <w:spacing w:line="360" w:lineRule="exact"/>
              <w:jc w:val="center"/>
              <w:rPr>
                <w:color w:val="auto"/>
                <w:sz w:val="21"/>
                <w:szCs w:val="21"/>
              </w:rPr>
            </w:pPr>
          </w:p>
        </w:tc>
        <w:tc>
          <w:tcPr>
            <w:tcW w:w="423" w:type="pct"/>
            <w:vMerge w:val="continue"/>
            <w:vAlign w:val="center"/>
          </w:tcPr>
          <w:p w14:paraId="6129D163">
            <w:pPr>
              <w:widowControl w:val="0"/>
              <w:spacing w:line="360" w:lineRule="exact"/>
              <w:jc w:val="center"/>
              <w:rPr>
                <w:color w:val="auto"/>
                <w:sz w:val="21"/>
                <w:szCs w:val="21"/>
              </w:rPr>
            </w:pPr>
          </w:p>
        </w:tc>
        <w:tc>
          <w:tcPr>
            <w:tcW w:w="1447" w:type="pct"/>
            <w:vAlign w:val="center"/>
          </w:tcPr>
          <w:p w14:paraId="6C690F7B">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w:t>
            </w:r>
            <w:r>
              <w:rPr>
                <w:rFonts w:hint="eastAsia"/>
                <w:color w:val="auto"/>
                <w:sz w:val="21"/>
                <w:szCs w:val="21"/>
              </w:rPr>
              <w:t>2(mg/m</w:t>
            </w:r>
            <w:r>
              <w:rPr>
                <w:rFonts w:hint="eastAsia"/>
                <w:color w:val="auto"/>
                <w:sz w:val="21"/>
                <w:szCs w:val="21"/>
                <w:vertAlign w:val="superscript"/>
              </w:rPr>
              <w:t>3</w:t>
            </w:r>
            <w:r>
              <w:rPr>
                <w:rFonts w:hint="eastAsia"/>
                <w:color w:val="auto"/>
                <w:sz w:val="21"/>
                <w:szCs w:val="21"/>
              </w:rPr>
              <w:t>)</w:t>
            </w:r>
          </w:p>
        </w:tc>
        <w:tc>
          <w:tcPr>
            <w:tcW w:w="489" w:type="pct"/>
            <w:vAlign w:val="center"/>
          </w:tcPr>
          <w:p w14:paraId="7704810E">
            <w:pPr>
              <w:widowControl w:val="0"/>
              <w:spacing w:line="360" w:lineRule="exact"/>
              <w:jc w:val="center"/>
              <w:rPr>
                <w:color w:val="auto"/>
                <w:sz w:val="21"/>
                <w:szCs w:val="21"/>
              </w:rPr>
            </w:pPr>
            <w:r>
              <w:rPr>
                <w:rFonts w:hint="eastAsia"/>
                <w:color w:val="auto"/>
                <w:sz w:val="21"/>
                <w:szCs w:val="21"/>
              </w:rPr>
              <w:t>150000</w:t>
            </w:r>
          </w:p>
        </w:tc>
        <w:tc>
          <w:tcPr>
            <w:tcW w:w="773" w:type="pct"/>
            <w:vAlign w:val="center"/>
          </w:tcPr>
          <w:p w14:paraId="58DF542B">
            <w:pPr>
              <w:widowControl w:val="0"/>
              <w:spacing w:line="360" w:lineRule="exact"/>
              <w:jc w:val="center"/>
              <w:rPr>
                <w:color w:val="auto"/>
                <w:sz w:val="21"/>
                <w:szCs w:val="21"/>
              </w:rPr>
            </w:pPr>
            <w:r>
              <w:rPr>
                <w:rFonts w:hint="eastAsia"/>
                <w:color w:val="auto"/>
                <w:sz w:val="21"/>
                <w:szCs w:val="21"/>
              </w:rPr>
              <w:t>/</w:t>
            </w:r>
          </w:p>
        </w:tc>
      </w:tr>
      <w:tr w14:paraId="223B7AD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Merge w:val="continue"/>
            <w:vAlign w:val="center"/>
          </w:tcPr>
          <w:p w14:paraId="08EDE4D3">
            <w:pPr>
              <w:widowControl w:val="0"/>
              <w:spacing w:line="360" w:lineRule="exact"/>
              <w:jc w:val="center"/>
              <w:rPr>
                <w:color w:val="auto"/>
                <w:sz w:val="21"/>
                <w:szCs w:val="21"/>
              </w:rPr>
            </w:pPr>
          </w:p>
        </w:tc>
        <w:tc>
          <w:tcPr>
            <w:tcW w:w="589" w:type="pct"/>
            <w:vMerge w:val="restart"/>
            <w:vAlign w:val="center"/>
          </w:tcPr>
          <w:p w14:paraId="79E59EFC">
            <w:pPr>
              <w:widowControl w:val="0"/>
              <w:spacing w:line="360" w:lineRule="exact"/>
              <w:jc w:val="center"/>
              <w:rPr>
                <w:color w:val="auto"/>
                <w:sz w:val="21"/>
                <w:szCs w:val="21"/>
              </w:rPr>
            </w:pPr>
            <w:r>
              <w:rPr>
                <w:rFonts w:hint="eastAsia"/>
                <w:color w:val="auto"/>
                <w:sz w:val="21"/>
                <w:szCs w:val="21"/>
              </w:rPr>
              <w:t>管道</w:t>
            </w:r>
          </w:p>
        </w:tc>
        <w:tc>
          <w:tcPr>
            <w:tcW w:w="628" w:type="pct"/>
            <w:vMerge w:val="restart"/>
            <w:vAlign w:val="center"/>
          </w:tcPr>
          <w:p w14:paraId="6D35B669">
            <w:pPr>
              <w:widowControl w:val="0"/>
              <w:spacing w:line="360" w:lineRule="exact"/>
              <w:jc w:val="center"/>
              <w:rPr>
                <w:color w:val="auto"/>
                <w:sz w:val="21"/>
                <w:szCs w:val="21"/>
              </w:rPr>
            </w:pPr>
            <w:r>
              <w:rPr>
                <w:rFonts w:hint="eastAsia"/>
                <w:color w:val="auto"/>
                <w:sz w:val="21"/>
                <w:szCs w:val="21"/>
              </w:rPr>
              <w:t>最不利</w:t>
            </w:r>
          </w:p>
        </w:tc>
        <w:tc>
          <w:tcPr>
            <w:tcW w:w="423" w:type="pct"/>
            <w:vMerge w:val="restart"/>
            <w:vAlign w:val="center"/>
          </w:tcPr>
          <w:p w14:paraId="5117798E">
            <w:pPr>
              <w:widowControl w:val="0"/>
              <w:spacing w:line="360" w:lineRule="exact"/>
              <w:jc w:val="center"/>
              <w:rPr>
                <w:color w:val="auto"/>
                <w:sz w:val="21"/>
                <w:szCs w:val="21"/>
              </w:rPr>
            </w:pPr>
            <w:r>
              <w:rPr>
                <w:rFonts w:hint="eastAsia"/>
                <w:color w:val="auto"/>
                <w:sz w:val="21"/>
                <w:szCs w:val="21"/>
              </w:rPr>
              <w:t>CH</w:t>
            </w:r>
            <w:r>
              <w:rPr>
                <w:rFonts w:hint="eastAsia"/>
                <w:color w:val="auto"/>
                <w:sz w:val="21"/>
                <w:szCs w:val="21"/>
                <w:vertAlign w:val="subscript"/>
              </w:rPr>
              <w:t>4</w:t>
            </w:r>
          </w:p>
        </w:tc>
        <w:tc>
          <w:tcPr>
            <w:tcW w:w="1447" w:type="pct"/>
            <w:vAlign w:val="center"/>
          </w:tcPr>
          <w:p w14:paraId="13363936">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-1</w:t>
            </w:r>
            <w:r>
              <w:rPr>
                <w:rFonts w:hint="eastAsia"/>
                <w:color w:val="auto"/>
                <w:sz w:val="21"/>
                <w:szCs w:val="21"/>
              </w:rPr>
              <w:t>(mg/m</w:t>
            </w:r>
            <w:r>
              <w:rPr>
                <w:rFonts w:hint="eastAsia"/>
                <w:color w:val="auto"/>
                <w:sz w:val="21"/>
                <w:szCs w:val="21"/>
                <w:vertAlign w:val="superscript"/>
              </w:rPr>
              <w:t>3</w:t>
            </w:r>
            <w:r>
              <w:rPr>
                <w:rFonts w:hint="eastAsia"/>
                <w:color w:val="auto"/>
                <w:sz w:val="21"/>
                <w:szCs w:val="21"/>
              </w:rPr>
              <w:t>)</w:t>
            </w:r>
          </w:p>
        </w:tc>
        <w:tc>
          <w:tcPr>
            <w:tcW w:w="489" w:type="pct"/>
            <w:vAlign w:val="center"/>
          </w:tcPr>
          <w:p w14:paraId="029E1113">
            <w:pPr>
              <w:widowControl w:val="0"/>
              <w:spacing w:line="360" w:lineRule="exact"/>
              <w:jc w:val="center"/>
              <w:rPr>
                <w:color w:val="auto"/>
                <w:sz w:val="21"/>
                <w:szCs w:val="21"/>
              </w:rPr>
            </w:pPr>
            <w:r>
              <w:rPr>
                <w:rFonts w:hint="eastAsia"/>
                <w:color w:val="auto"/>
                <w:sz w:val="21"/>
                <w:szCs w:val="21"/>
              </w:rPr>
              <w:t>260000</w:t>
            </w:r>
          </w:p>
        </w:tc>
        <w:tc>
          <w:tcPr>
            <w:tcW w:w="773" w:type="pct"/>
            <w:vAlign w:val="center"/>
          </w:tcPr>
          <w:p w14:paraId="04FA1A3B">
            <w:pPr>
              <w:widowControl w:val="0"/>
              <w:spacing w:line="360" w:lineRule="exact"/>
              <w:jc w:val="center"/>
              <w:rPr>
                <w:color w:val="auto"/>
                <w:sz w:val="21"/>
                <w:szCs w:val="21"/>
              </w:rPr>
            </w:pPr>
            <w:r>
              <w:rPr>
                <w:rFonts w:hint="eastAsia"/>
                <w:color w:val="auto"/>
                <w:sz w:val="21"/>
                <w:szCs w:val="21"/>
              </w:rPr>
              <w:t>/</w:t>
            </w:r>
          </w:p>
        </w:tc>
      </w:tr>
      <w:tr w14:paraId="3BBDB7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Merge w:val="continue"/>
            <w:vAlign w:val="center"/>
          </w:tcPr>
          <w:p w14:paraId="10D86B1B">
            <w:pPr>
              <w:widowControl w:val="0"/>
              <w:spacing w:line="360" w:lineRule="exact"/>
              <w:jc w:val="center"/>
              <w:rPr>
                <w:color w:val="auto"/>
                <w:sz w:val="21"/>
                <w:szCs w:val="21"/>
              </w:rPr>
            </w:pPr>
          </w:p>
        </w:tc>
        <w:tc>
          <w:tcPr>
            <w:tcW w:w="589" w:type="pct"/>
            <w:vMerge w:val="continue"/>
            <w:vAlign w:val="center"/>
          </w:tcPr>
          <w:p w14:paraId="4B89D718">
            <w:pPr>
              <w:widowControl w:val="0"/>
              <w:spacing w:line="360" w:lineRule="exact"/>
              <w:jc w:val="center"/>
              <w:rPr>
                <w:color w:val="auto"/>
                <w:sz w:val="21"/>
                <w:szCs w:val="21"/>
              </w:rPr>
            </w:pPr>
          </w:p>
        </w:tc>
        <w:tc>
          <w:tcPr>
            <w:tcW w:w="628" w:type="pct"/>
            <w:vMerge w:val="continue"/>
            <w:vAlign w:val="center"/>
          </w:tcPr>
          <w:p w14:paraId="3605053D">
            <w:pPr>
              <w:widowControl w:val="0"/>
              <w:spacing w:line="360" w:lineRule="exact"/>
              <w:jc w:val="center"/>
              <w:rPr>
                <w:color w:val="auto"/>
                <w:sz w:val="21"/>
                <w:szCs w:val="21"/>
              </w:rPr>
            </w:pPr>
          </w:p>
        </w:tc>
        <w:tc>
          <w:tcPr>
            <w:tcW w:w="423" w:type="pct"/>
            <w:vMerge w:val="continue"/>
            <w:vAlign w:val="center"/>
          </w:tcPr>
          <w:p w14:paraId="37A322CB">
            <w:pPr>
              <w:widowControl w:val="0"/>
              <w:spacing w:line="360" w:lineRule="exact"/>
              <w:jc w:val="center"/>
              <w:rPr>
                <w:color w:val="auto"/>
                <w:sz w:val="21"/>
                <w:szCs w:val="21"/>
              </w:rPr>
            </w:pPr>
          </w:p>
        </w:tc>
        <w:tc>
          <w:tcPr>
            <w:tcW w:w="1447" w:type="pct"/>
            <w:vAlign w:val="center"/>
          </w:tcPr>
          <w:p w14:paraId="791BD295">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w:t>
            </w:r>
            <w:r>
              <w:rPr>
                <w:rFonts w:hint="eastAsia"/>
                <w:color w:val="auto"/>
                <w:sz w:val="21"/>
                <w:szCs w:val="21"/>
              </w:rPr>
              <w:t>2(mg/m</w:t>
            </w:r>
            <w:r>
              <w:rPr>
                <w:rFonts w:hint="eastAsia"/>
                <w:color w:val="auto"/>
                <w:sz w:val="21"/>
                <w:szCs w:val="21"/>
                <w:vertAlign w:val="superscript"/>
              </w:rPr>
              <w:t>3</w:t>
            </w:r>
            <w:r>
              <w:rPr>
                <w:rFonts w:hint="eastAsia"/>
                <w:color w:val="auto"/>
                <w:sz w:val="21"/>
                <w:szCs w:val="21"/>
              </w:rPr>
              <w:t>)</w:t>
            </w:r>
          </w:p>
        </w:tc>
        <w:tc>
          <w:tcPr>
            <w:tcW w:w="489" w:type="pct"/>
            <w:vAlign w:val="center"/>
          </w:tcPr>
          <w:p w14:paraId="1DA1D920">
            <w:pPr>
              <w:widowControl w:val="0"/>
              <w:spacing w:line="360" w:lineRule="exact"/>
              <w:jc w:val="center"/>
              <w:rPr>
                <w:color w:val="auto"/>
                <w:sz w:val="21"/>
                <w:szCs w:val="21"/>
              </w:rPr>
            </w:pPr>
            <w:r>
              <w:rPr>
                <w:rFonts w:hint="eastAsia"/>
                <w:color w:val="auto"/>
                <w:sz w:val="21"/>
                <w:szCs w:val="21"/>
              </w:rPr>
              <w:t>150000</w:t>
            </w:r>
          </w:p>
        </w:tc>
        <w:tc>
          <w:tcPr>
            <w:tcW w:w="773" w:type="pct"/>
            <w:vAlign w:val="center"/>
          </w:tcPr>
          <w:p w14:paraId="6C25C554">
            <w:pPr>
              <w:widowControl w:val="0"/>
              <w:spacing w:line="360" w:lineRule="exact"/>
              <w:jc w:val="center"/>
              <w:rPr>
                <w:color w:val="auto"/>
                <w:sz w:val="21"/>
                <w:szCs w:val="21"/>
              </w:rPr>
            </w:pPr>
            <w:r>
              <w:rPr>
                <w:rFonts w:hint="eastAsia"/>
                <w:color w:val="auto"/>
                <w:sz w:val="21"/>
                <w:szCs w:val="21"/>
              </w:rPr>
              <w:t>/</w:t>
            </w:r>
          </w:p>
        </w:tc>
      </w:tr>
      <w:tr w14:paraId="36134B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Merge w:val="restart"/>
            <w:vAlign w:val="center"/>
          </w:tcPr>
          <w:p w14:paraId="659A230C">
            <w:pPr>
              <w:widowControl w:val="0"/>
              <w:spacing w:line="360" w:lineRule="exact"/>
              <w:jc w:val="center"/>
              <w:rPr>
                <w:color w:val="auto"/>
                <w:sz w:val="21"/>
                <w:szCs w:val="21"/>
              </w:rPr>
            </w:pPr>
            <w:r>
              <w:rPr>
                <w:rFonts w:hint="eastAsia"/>
                <w:color w:val="auto"/>
                <w:sz w:val="21"/>
                <w:szCs w:val="21"/>
              </w:rPr>
              <w:t>天然气管道泄漏火灾产生次生CO</w:t>
            </w:r>
          </w:p>
        </w:tc>
        <w:tc>
          <w:tcPr>
            <w:tcW w:w="589" w:type="pct"/>
            <w:vMerge w:val="restart"/>
            <w:vAlign w:val="center"/>
          </w:tcPr>
          <w:p w14:paraId="6FACBD20">
            <w:pPr>
              <w:widowControl w:val="0"/>
              <w:spacing w:line="360" w:lineRule="exact"/>
              <w:jc w:val="center"/>
              <w:rPr>
                <w:color w:val="auto"/>
                <w:sz w:val="21"/>
                <w:szCs w:val="21"/>
              </w:rPr>
            </w:pPr>
          </w:p>
        </w:tc>
        <w:tc>
          <w:tcPr>
            <w:tcW w:w="628" w:type="pct"/>
            <w:vMerge w:val="restart"/>
            <w:vAlign w:val="center"/>
          </w:tcPr>
          <w:p w14:paraId="4B91091C">
            <w:pPr>
              <w:widowControl w:val="0"/>
              <w:spacing w:line="360" w:lineRule="exact"/>
              <w:jc w:val="center"/>
              <w:rPr>
                <w:color w:val="auto"/>
                <w:sz w:val="21"/>
                <w:szCs w:val="21"/>
              </w:rPr>
            </w:pPr>
            <w:r>
              <w:rPr>
                <w:rFonts w:hint="eastAsia"/>
                <w:color w:val="auto"/>
                <w:sz w:val="21"/>
                <w:szCs w:val="21"/>
              </w:rPr>
              <w:t>常规</w:t>
            </w:r>
          </w:p>
        </w:tc>
        <w:tc>
          <w:tcPr>
            <w:tcW w:w="423" w:type="pct"/>
            <w:vMerge w:val="restart"/>
            <w:vAlign w:val="center"/>
          </w:tcPr>
          <w:p w14:paraId="2F836669">
            <w:pPr>
              <w:widowControl w:val="0"/>
              <w:spacing w:line="360" w:lineRule="exact"/>
              <w:jc w:val="center"/>
              <w:rPr>
                <w:color w:val="auto"/>
                <w:sz w:val="21"/>
                <w:szCs w:val="21"/>
              </w:rPr>
            </w:pPr>
            <w:r>
              <w:rPr>
                <w:rFonts w:hint="eastAsia"/>
                <w:color w:val="auto"/>
                <w:sz w:val="21"/>
                <w:szCs w:val="21"/>
              </w:rPr>
              <w:t>CO</w:t>
            </w:r>
          </w:p>
        </w:tc>
        <w:tc>
          <w:tcPr>
            <w:tcW w:w="1447" w:type="pct"/>
            <w:vAlign w:val="center"/>
          </w:tcPr>
          <w:p w14:paraId="55A80870">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-1</w:t>
            </w:r>
            <w:r>
              <w:rPr>
                <w:rFonts w:hint="eastAsia"/>
                <w:color w:val="auto"/>
                <w:sz w:val="21"/>
                <w:szCs w:val="21"/>
              </w:rPr>
              <w:t>(mg/m</w:t>
            </w:r>
            <w:r>
              <w:rPr>
                <w:rFonts w:hint="eastAsia"/>
                <w:color w:val="auto"/>
                <w:sz w:val="21"/>
                <w:szCs w:val="21"/>
                <w:vertAlign w:val="superscript"/>
              </w:rPr>
              <w:t>3</w:t>
            </w:r>
            <w:r>
              <w:rPr>
                <w:rFonts w:hint="eastAsia"/>
                <w:color w:val="auto"/>
                <w:sz w:val="21"/>
                <w:szCs w:val="21"/>
              </w:rPr>
              <w:t>)</w:t>
            </w:r>
          </w:p>
        </w:tc>
        <w:tc>
          <w:tcPr>
            <w:tcW w:w="489" w:type="pct"/>
            <w:vAlign w:val="center"/>
          </w:tcPr>
          <w:p w14:paraId="7F06ADFF">
            <w:pPr>
              <w:widowControl w:val="0"/>
              <w:spacing w:line="360" w:lineRule="exact"/>
              <w:jc w:val="center"/>
              <w:rPr>
                <w:color w:val="auto"/>
                <w:sz w:val="21"/>
                <w:szCs w:val="21"/>
              </w:rPr>
            </w:pPr>
            <w:r>
              <w:rPr>
                <w:rFonts w:hint="eastAsia"/>
                <w:color w:val="auto"/>
                <w:sz w:val="21"/>
                <w:szCs w:val="21"/>
              </w:rPr>
              <w:t>95</w:t>
            </w:r>
          </w:p>
        </w:tc>
        <w:tc>
          <w:tcPr>
            <w:tcW w:w="773" w:type="pct"/>
            <w:vAlign w:val="center"/>
          </w:tcPr>
          <w:p w14:paraId="21D3166E">
            <w:pPr>
              <w:widowControl w:val="0"/>
              <w:spacing w:line="360" w:lineRule="exact"/>
              <w:jc w:val="center"/>
              <w:rPr>
                <w:color w:val="auto"/>
                <w:sz w:val="21"/>
                <w:szCs w:val="21"/>
              </w:rPr>
            </w:pPr>
            <w:r>
              <w:rPr>
                <w:rFonts w:hint="eastAsia"/>
                <w:color w:val="auto"/>
                <w:sz w:val="21"/>
                <w:szCs w:val="21"/>
              </w:rPr>
              <w:t>3700</w:t>
            </w:r>
          </w:p>
        </w:tc>
      </w:tr>
      <w:tr w14:paraId="64EBCAB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Merge w:val="continue"/>
            <w:vAlign w:val="center"/>
          </w:tcPr>
          <w:p w14:paraId="31568DF3">
            <w:pPr>
              <w:widowControl w:val="0"/>
              <w:spacing w:line="360" w:lineRule="exact"/>
              <w:jc w:val="center"/>
              <w:rPr>
                <w:color w:val="auto"/>
                <w:sz w:val="21"/>
                <w:szCs w:val="21"/>
              </w:rPr>
            </w:pPr>
          </w:p>
        </w:tc>
        <w:tc>
          <w:tcPr>
            <w:tcW w:w="589" w:type="pct"/>
            <w:vMerge w:val="continue"/>
            <w:vAlign w:val="center"/>
          </w:tcPr>
          <w:p w14:paraId="686A6CA3">
            <w:pPr>
              <w:widowControl w:val="0"/>
              <w:spacing w:line="360" w:lineRule="exact"/>
              <w:jc w:val="center"/>
              <w:rPr>
                <w:color w:val="auto"/>
                <w:sz w:val="21"/>
                <w:szCs w:val="21"/>
              </w:rPr>
            </w:pPr>
          </w:p>
        </w:tc>
        <w:tc>
          <w:tcPr>
            <w:tcW w:w="628" w:type="pct"/>
            <w:vMerge w:val="continue"/>
            <w:vAlign w:val="center"/>
          </w:tcPr>
          <w:p w14:paraId="1752BD29">
            <w:pPr>
              <w:widowControl w:val="0"/>
              <w:spacing w:line="360" w:lineRule="exact"/>
              <w:jc w:val="center"/>
              <w:rPr>
                <w:color w:val="auto"/>
                <w:sz w:val="21"/>
                <w:szCs w:val="21"/>
              </w:rPr>
            </w:pPr>
          </w:p>
        </w:tc>
        <w:tc>
          <w:tcPr>
            <w:tcW w:w="423" w:type="pct"/>
            <w:vMerge w:val="continue"/>
            <w:vAlign w:val="center"/>
          </w:tcPr>
          <w:p w14:paraId="5F7E3BD0">
            <w:pPr>
              <w:widowControl w:val="0"/>
              <w:spacing w:line="360" w:lineRule="exact"/>
              <w:jc w:val="center"/>
              <w:rPr>
                <w:color w:val="auto"/>
                <w:sz w:val="21"/>
                <w:szCs w:val="21"/>
              </w:rPr>
            </w:pPr>
          </w:p>
        </w:tc>
        <w:tc>
          <w:tcPr>
            <w:tcW w:w="1447" w:type="pct"/>
            <w:vAlign w:val="center"/>
          </w:tcPr>
          <w:p w14:paraId="1909AA60">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w:t>
            </w:r>
            <w:r>
              <w:rPr>
                <w:rFonts w:hint="eastAsia"/>
                <w:color w:val="auto"/>
                <w:sz w:val="21"/>
                <w:szCs w:val="21"/>
              </w:rPr>
              <w:t>2(mg/m</w:t>
            </w:r>
            <w:r>
              <w:rPr>
                <w:rFonts w:hint="eastAsia"/>
                <w:color w:val="auto"/>
                <w:sz w:val="21"/>
                <w:szCs w:val="21"/>
                <w:vertAlign w:val="superscript"/>
              </w:rPr>
              <w:t>3</w:t>
            </w:r>
            <w:r>
              <w:rPr>
                <w:rFonts w:hint="eastAsia"/>
                <w:color w:val="auto"/>
                <w:sz w:val="21"/>
                <w:szCs w:val="21"/>
              </w:rPr>
              <w:t>)</w:t>
            </w:r>
          </w:p>
        </w:tc>
        <w:tc>
          <w:tcPr>
            <w:tcW w:w="489" w:type="pct"/>
            <w:vAlign w:val="center"/>
          </w:tcPr>
          <w:p w14:paraId="036DB870">
            <w:pPr>
              <w:widowControl w:val="0"/>
              <w:spacing w:line="360" w:lineRule="exact"/>
              <w:jc w:val="center"/>
              <w:rPr>
                <w:color w:val="auto"/>
                <w:sz w:val="21"/>
                <w:szCs w:val="21"/>
              </w:rPr>
            </w:pPr>
            <w:r>
              <w:rPr>
                <w:rFonts w:hint="eastAsia"/>
                <w:color w:val="auto"/>
                <w:sz w:val="21"/>
                <w:szCs w:val="21"/>
              </w:rPr>
              <w:t>380</w:t>
            </w:r>
          </w:p>
        </w:tc>
        <w:tc>
          <w:tcPr>
            <w:tcW w:w="773" w:type="pct"/>
            <w:vAlign w:val="center"/>
          </w:tcPr>
          <w:p w14:paraId="3F7B64CB">
            <w:pPr>
              <w:widowControl w:val="0"/>
              <w:spacing w:line="360" w:lineRule="exact"/>
              <w:jc w:val="center"/>
              <w:rPr>
                <w:color w:val="auto"/>
                <w:sz w:val="21"/>
                <w:szCs w:val="21"/>
              </w:rPr>
            </w:pPr>
            <w:r>
              <w:rPr>
                <w:rFonts w:hint="eastAsia"/>
                <w:color w:val="auto"/>
                <w:sz w:val="21"/>
                <w:szCs w:val="21"/>
              </w:rPr>
              <w:t>1310</w:t>
            </w:r>
          </w:p>
        </w:tc>
      </w:tr>
      <w:tr w14:paraId="4DB0A0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Merge w:val="continue"/>
            <w:vAlign w:val="center"/>
          </w:tcPr>
          <w:p w14:paraId="64016D52">
            <w:pPr>
              <w:widowControl w:val="0"/>
              <w:spacing w:line="360" w:lineRule="exact"/>
              <w:jc w:val="center"/>
              <w:rPr>
                <w:color w:val="auto"/>
                <w:sz w:val="21"/>
                <w:szCs w:val="21"/>
              </w:rPr>
            </w:pPr>
          </w:p>
        </w:tc>
        <w:tc>
          <w:tcPr>
            <w:tcW w:w="589" w:type="pct"/>
            <w:vMerge w:val="restart"/>
            <w:vAlign w:val="center"/>
          </w:tcPr>
          <w:p w14:paraId="1E8D70E1">
            <w:pPr>
              <w:widowControl w:val="0"/>
              <w:spacing w:line="360" w:lineRule="exact"/>
              <w:jc w:val="center"/>
              <w:rPr>
                <w:color w:val="auto"/>
                <w:sz w:val="21"/>
                <w:szCs w:val="21"/>
              </w:rPr>
            </w:pPr>
          </w:p>
        </w:tc>
        <w:tc>
          <w:tcPr>
            <w:tcW w:w="628" w:type="pct"/>
            <w:vMerge w:val="restart"/>
            <w:vAlign w:val="center"/>
          </w:tcPr>
          <w:p w14:paraId="5524FE36">
            <w:pPr>
              <w:widowControl w:val="0"/>
              <w:spacing w:line="360" w:lineRule="exact"/>
              <w:jc w:val="center"/>
              <w:rPr>
                <w:color w:val="auto"/>
                <w:sz w:val="21"/>
                <w:szCs w:val="21"/>
              </w:rPr>
            </w:pPr>
            <w:r>
              <w:rPr>
                <w:rFonts w:hint="eastAsia"/>
                <w:color w:val="auto"/>
                <w:sz w:val="21"/>
                <w:szCs w:val="21"/>
              </w:rPr>
              <w:t>最不利</w:t>
            </w:r>
          </w:p>
        </w:tc>
        <w:tc>
          <w:tcPr>
            <w:tcW w:w="423" w:type="pct"/>
            <w:vMerge w:val="restart"/>
            <w:vAlign w:val="center"/>
          </w:tcPr>
          <w:p w14:paraId="2EF7317B">
            <w:pPr>
              <w:widowControl w:val="0"/>
              <w:spacing w:line="360" w:lineRule="exact"/>
              <w:jc w:val="center"/>
              <w:rPr>
                <w:color w:val="auto"/>
                <w:sz w:val="21"/>
                <w:szCs w:val="21"/>
              </w:rPr>
            </w:pPr>
            <w:r>
              <w:rPr>
                <w:rFonts w:hint="eastAsia"/>
                <w:color w:val="auto"/>
                <w:sz w:val="21"/>
                <w:szCs w:val="21"/>
              </w:rPr>
              <w:t>CO</w:t>
            </w:r>
          </w:p>
        </w:tc>
        <w:tc>
          <w:tcPr>
            <w:tcW w:w="1447" w:type="pct"/>
            <w:vAlign w:val="center"/>
          </w:tcPr>
          <w:p w14:paraId="7C3BAEFC">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-1</w:t>
            </w:r>
            <w:r>
              <w:rPr>
                <w:rFonts w:hint="eastAsia"/>
                <w:color w:val="auto"/>
                <w:sz w:val="21"/>
                <w:szCs w:val="21"/>
              </w:rPr>
              <w:t>(mg/m</w:t>
            </w:r>
            <w:r>
              <w:rPr>
                <w:rFonts w:hint="eastAsia"/>
                <w:color w:val="auto"/>
                <w:sz w:val="21"/>
                <w:szCs w:val="21"/>
                <w:vertAlign w:val="superscript"/>
              </w:rPr>
              <w:t>3</w:t>
            </w:r>
            <w:r>
              <w:rPr>
                <w:rFonts w:hint="eastAsia"/>
                <w:color w:val="auto"/>
                <w:sz w:val="21"/>
                <w:szCs w:val="21"/>
              </w:rPr>
              <w:t>)</w:t>
            </w:r>
          </w:p>
        </w:tc>
        <w:tc>
          <w:tcPr>
            <w:tcW w:w="489" w:type="pct"/>
            <w:vAlign w:val="center"/>
          </w:tcPr>
          <w:p w14:paraId="269638AB">
            <w:pPr>
              <w:widowControl w:val="0"/>
              <w:spacing w:line="360" w:lineRule="exact"/>
              <w:jc w:val="center"/>
              <w:rPr>
                <w:color w:val="auto"/>
                <w:sz w:val="21"/>
                <w:szCs w:val="21"/>
              </w:rPr>
            </w:pPr>
            <w:r>
              <w:rPr>
                <w:rFonts w:hint="eastAsia"/>
                <w:color w:val="auto"/>
                <w:sz w:val="21"/>
                <w:szCs w:val="21"/>
              </w:rPr>
              <w:t>95</w:t>
            </w:r>
          </w:p>
        </w:tc>
        <w:tc>
          <w:tcPr>
            <w:tcW w:w="773" w:type="pct"/>
            <w:vAlign w:val="center"/>
          </w:tcPr>
          <w:p w14:paraId="3D0F4F17">
            <w:pPr>
              <w:widowControl w:val="0"/>
              <w:spacing w:line="360" w:lineRule="exact"/>
              <w:jc w:val="center"/>
              <w:rPr>
                <w:color w:val="auto"/>
                <w:sz w:val="21"/>
                <w:szCs w:val="21"/>
              </w:rPr>
            </w:pPr>
            <w:r>
              <w:rPr>
                <w:rFonts w:hint="eastAsia"/>
                <w:color w:val="auto"/>
                <w:sz w:val="21"/>
                <w:szCs w:val="21"/>
              </w:rPr>
              <w:t>2680</w:t>
            </w:r>
          </w:p>
        </w:tc>
      </w:tr>
      <w:tr w14:paraId="55175B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647" w:type="pct"/>
            <w:vMerge w:val="continue"/>
            <w:vAlign w:val="center"/>
          </w:tcPr>
          <w:p w14:paraId="3D2A75F8">
            <w:pPr>
              <w:widowControl w:val="0"/>
              <w:spacing w:line="360" w:lineRule="exact"/>
              <w:jc w:val="center"/>
              <w:rPr>
                <w:color w:val="auto"/>
                <w:sz w:val="21"/>
                <w:szCs w:val="21"/>
              </w:rPr>
            </w:pPr>
          </w:p>
        </w:tc>
        <w:tc>
          <w:tcPr>
            <w:tcW w:w="589" w:type="pct"/>
            <w:vMerge w:val="continue"/>
            <w:vAlign w:val="center"/>
          </w:tcPr>
          <w:p w14:paraId="214E00C2">
            <w:pPr>
              <w:widowControl w:val="0"/>
              <w:spacing w:line="360" w:lineRule="exact"/>
              <w:jc w:val="center"/>
              <w:rPr>
                <w:color w:val="auto"/>
                <w:sz w:val="21"/>
                <w:szCs w:val="21"/>
              </w:rPr>
            </w:pPr>
          </w:p>
        </w:tc>
        <w:tc>
          <w:tcPr>
            <w:tcW w:w="628" w:type="pct"/>
            <w:vMerge w:val="continue"/>
            <w:vAlign w:val="center"/>
          </w:tcPr>
          <w:p w14:paraId="692BB61A">
            <w:pPr>
              <w:widowControl w:val="0"/>
              <w:spacing w:line="360" w:lineRule="exact"/>
              <w:jc w:val="center"/>
              <w:rPr>
                <w:color w:val="auto"/>
                <w:sz w:val="21"/>
                <w:szCs w:val="21"/>
              </w:rPr>
            </w:pPr>
          </w:p>
        </w:tc>
        <w:tc>
          <w:tcPr>
            <w:tcW w:w="423" w:type="pct"/>
            <w:vMerge w:val="continue"/>
            <w:vAlign w:val="center"/>
          </w:tcPr>
          <w:p w14:paraId="3013E70C">
            <w:pPr>
              <w:widowControl w:val="0"/>
              <w:spacing w:line="360" w:lineRule="exact"/>
              <w:jc w:val="center"/>
              <w:rPr>
                <w:color w:val="auto"/>
                <w:sz w:val="21"/>
                <w:szCs w:val="21"/>
              </w:rPr>
            </w:pPr>
          </w:p>
        </w:tc>
        <w:tc>
          <w:tcPr>
            <w:tcW w:w="1447" w:type="pct"/>
            <w:vAlign w:val="center"/>
          </w:tcPr>
          <w:p w14:paraId="2A307A39">
            <w:pPr>
              <w:widowControl w:val="0"/>
              <w:spacing w:line="360" w:lineRule="exact"/>
              <w:jc w:val="center"/>
              <w:rPr>
                <w:color w:val="auto"/>
                <w:sz w:val="21"/>
                <w:szCs w:val="21"/>
              </w:rPr>
            </w:pPr>
            <w:r>
              <w:rPr>
                <w:rFonts w:hint="eastAsia"/>
                <w:color w:val="auto"/>
                <w:sz w:val="21"/>
                <w:szCs w:val="21"/>
              </w:rPr>
              <w:t>毒性终点浓度</w:t>
            </w:r>
            <w:r>
              <w:rPr>
                <w:color w:val="auto"/>
                <w:sz w:val="21"/>
                <w:szCs w:val="21"/>
              </w:rPr>
              <w:t>-</w:t>
            </w:r>
            <w:r>
              <w:rPr>
                <w:rFonts w:hint="eastAsia"/>
                <w:color w:val="auto"/>
                <w:sz w:val="21"/>
                <w:szCs w:val="21"/>
              </w:rPr>
              <w:t>2(mg/m</w:t>
            </w:r>
            <w:r>
              <w:rPr>
                <w:rFonts w:hint="eastAsia"/>
                <w:color w:val="auto"/>
                <w:sz w:val="21"/>
                <w:szCs w:val="21"/>
                <w:vertAlign w:val="superscript"/>
              </w:rPr>
              <w:t>3</w:t>
            </w:r>
            <w:r>
              <w:rPr>
                <w:rFonts w:hint="eastAsia"/>
                <w:color w:val="auto"/>
                <w:sz w:val="21"/>
                <w:szCs w:val="21"/>
              </w:rPr>
              <w:t>)</w:t>
            </w:r>
          </w:p>
        </w:tc>
        <w:tc>
          <w:tcPr>
            <w:tcW w:w="489" w:type="pct"/>
            <w:vAlign w:val="center"/>
          </w:tcPr>
          <w:p w14:paraId="41E5187E">
            <w:pPr>
              <w:widowControl w:val="0"/>
              <w:spacing w:line="360" w:lineRule="exact"/>
              <w:jc w:val="center"/>
              <w:rPr>
                <w:color w:val="auto"/>
                <w:sz w:val="21"/>
                <w:szCs w:val="21"/>
              </w:rPr>
            </w:pPr>
            <w:r>
              <w:rPr>
                <w:rFonts w:hint="eastAsia"/>
                <w:color w:val="auto"/>
                <w:sz w:val="21"/>
                <w:szCs w:val="21"/>
              </w:rPr>
              <w:t>380</w:t>
            </w:r>
          </w:p>
        </w:tc>
        <w:tc>
          <w:tcPr>
            <w:tcW w:w="773" w:type="pct"/>
            <w:vAlign w:val="center"/>
          </w:tcPr>
          <w:p w14:paraId="570D57D1">
            <w:pPr>
              <w:widowControl w:val="0"/>
              <w:spacing w:line="360" w:lineRule="exact"/>
              <w:jc w:val="center"/>
              <w:rPr>
                <w:color w:val="auto"/>
                <w:sz w:val="21"/>
                <w:szCs w:val="21"/>
              </w:rPr>
            </w:pPr>
            <w:r>
              <w:rPr>
                <w:rFonts w:hint="eastAsia"/>
                <w:color w:val="auto"/>
                <w:sz w:val="21"/>
                <w:szCs w:val="21"/>
              </w:rPr>
              <w:t>1010</w:t>
            </w:r>
          </w:p>
        </w:tc>
      </w:tr>
      <w:bookmarkEnd w:id="401"/>
    </w:tbl>
    <w:p w14:paraId="3452D173">
      <w:pPr>
        <w:spacing w:line="360" w:lineRule="auto"/>
        <w:ind w:firstLine="480" w:firstLineChars="200"/>
        <w:jc w:val="both"/>
        <w:rPr>
          <w:color w:val="auto"/>
          <w:sz w:val="24"/>
          <w:szCs w:val="24"/>
        </w:rPr>
      </w:pPr>
      <w:r>
        <w:rPr>
          <w:rFonts w:hint="eastAsia"/>
          <w:color w:val="auto"/>
          <w:sz w:val="24"/>
          <w:szCs w:val="24"/>
        </w:rPr>
        <w:t>由上述分析可以看出，项目事故情况对周边大气环境的最远影响距离为3700m。经预测，对周边敏感目标没有产生影响。</w:t>
      </w:r>
    </w:p>
    <w:p w14:paraId="6839F893">
      <w:pPr>
        <w:spacing w:line="360" w:lineRule="auto"/>
        <w:ind w:firstLine="480" w:firstLineChars="200"/>
        <w:jc w:val="both"/>
        <w:rPr>
          <w:color w:val="auto"/>
          <w:sz w:val="24"/>
          <w:szCs w:val="24"/>
        </w:rPr>
      </w:pPr>
      <w:r>
        <w:rPr>
          <w:rFonts w:hint="eastAsia"/>
          <w:color w:val="auto"/>
          <w:sz w:val="24"/>
          <w:szCs w:val="24"/>
        </w:rPr>
        <w:t>项目应制定完善的应急管理措施和预案，加强管理，落实各项环保措施，定期进行演练，尽量降低环境事故的发生，减少对周边环境的影响。</w:t>
      </w:r>
    </w:p>
    <w:p w14:paraId="13020A67">
      <w:pPr>
        <w:numPr>
          <w:ilvl w:val="2"/>
          <w:numId w:val="1"/>
        </w:numPr>
        <w:outlineLvl w:val="2"/>
        <w:rPr>
          <w:rFonts w:eastAsia="黑体"/>
          <w:b/>
          <w:color w:val="auto"/>
          <w:sz w:val="26"/>
        </w:rPr>
      </w:pPr>
      <w:r>
        <w:rPr>
          <w:rFonts w:hint="eastAsia" w:eastAsia="黑体"/>
          <w:b/>
          <w:color w:val="auto"/>
          <w:sz w:val="26"/>
        </w:rPr>
        <w:t>环境风险地下水影响预测与评价</w:t>
      </w:r>
    </w:p>
    <w:p w14:paraId="5055D394">
      <w:pPr>
        <w:keepNext/>
        <w:keepLines/>
        <w:numPr>
          <w:ilvl w:val="3"/>
          <w:numId w:val="1"/>
        </w:numPr>
        <w:spacing w:line="360" w:lineRule="auto"/>
        <w:outlineLvl w:val="3"/>
        <w:rPr>
          <w:b/>
          <w:bCs/>
          <w:color w:val="auto"/>
          <w:sz w:val="24"/>
          <w:szCs w:val="28"/>
        </w:rPr>
      </w:pPr>
      <w:r>
        <w:rPr>
          <w:rFonts w:hint="eastAsia"/>
          <w:b/>
          <w:bCs/>
          <w:color w:val="auto"/>
          <w:sz w:val="24"/>
          <w:szCs w:val="28"/>
        </w:rPr>
        <w:t>预测模型</w:t>
      </w:r>
    </w:p>
    <w:p w14:paraId="07A2BD85">
      <w:pPr>
        <w:pStyle w:val="132"/>
        <w:rPr>
          <w:color w:val="auto"/>
        </w:rPr>
      </w:pPr>
      <w:r>
        <w:rPr>
          <w:rFonts w:hint="eastAsia"/>
          <w:color w:val="auto"/>
        </w:rPr>
        <w:t>项目地下水风险评价等级为一级评价，项目地下水环境风险情形为废酸罐、硫酸罐等发生泄漏，若发生爆炸事故，灭火过程中产生的消防废水主要污染物为SS，不属于有毒有害物质，消防废水经事故池收集后委托外运处理。在事故池防渗措施失效的情况下，消防废水下渗可能 对项目所在地地下水流场产生影响，影响消防废水中污染物浓度的不确定因素较多，无法确定污染物的浓度，故未对消防废水下渗造成的地下水环境影响进行预测。企业应定期对事故池防渗措施进行检查，避免事故池废水下渗对地下水造成影响。本次评价考虑到硫酸泄漏对地下水的影响。</w:t>
      </w:r>
    </w:p>
    <w:p w14:paraId="094D4840">
      <w:pPr>
        <w:keepNext/>
        <w:keepLines/>
        <w:numPr>
          <w:ilvl w:val="3"/>
          <w:numId w:val="1"/>
        </w:numPr>
        <w:spacing w:line="360" w:lineRule="auto"/>
        <w:outlineLvl w:val="3"/>
        <w:rPr>
          <w:b/>
          <w:bCs/>
          <w:color w:val="auto"/>
          <w:sz w:val="24"/>
          <w:szCs w:val="28"/>
        </w:rPr>
      </w:pPr>
      <w:r>
        <w:rPr>
          <w:rFonts w:hint="eastAsia"/>
          <w:b/>
          <w:bCs/>
          <w:color w:val="auto"/>
          <w:sz w:val="24"/>
          <w:szCs w:val="28"/>
        </w:rPr>
        <w:t>预测时间</w:t>
      </w:r>
    </w:p>
    <w:p w14:paraId="74D963D0">
      <w:pPr>
        <w:pStyle w:val="132"/>
        <w:rPr>
          <w:color w:val="auto"/>
        </w:rPr>
      </w:pPr>
      <w:r>
        <w:rPr>
          <w:rFonts w:hint="eastAsia"/>
          <w:color w:val="auto"/>
        </w:rPr>
        <w:t>根据地下水风险事故源项分析及根据《环境影响评价技术导则 地下水环境》（HJ 610-2016）的相关要求，选取100天、365、1000天作为时间节点，了解污染物在地下水中的迁移规律。在此基础规律上，客观地解析地下水中特征污染物的“补径排”。</w:t>
      </w:r>
    </w:p>
    <w:p w14:paraId="52D714FA">
      <w:pPr>
        <w:pStyle w:val="5"/>
        <w:rPr>
          <w:color w:val="auto"/>
        </w:rPr>
      </w:pPr>
      <w:r>
        <w:rPr>
          <w:rFonts w:hint="eastAsia"/>
          <w:color w:val="auto"/>
        </w:rPr>
        <w:t>情景设定</w:t>
      </w:r>
    </w:p>
    <w:p w14:paraId="204CA2C0">
      <w:pPr>
        <w:pStyle w:val="132"/>
        <w:rPr>
          <w:color w:val="auto"/>
        </w:rPr>
      </w:pPr>
      <w:r>
        <w:rPr>
          <w:rFonts w:hint="eastAsia"/>
          <w:color w:val="auto"/>
        </w:rPr>
        <w:t>事故状况下，硫酸储罐发生泄漏；</w:t>
      </w:r>
    </w:p>
    <w:p w14:paraId="370C50C1">
      <w:pPr>
        <w:pStyle w:val="132"/>
        <w:rPr>
          <w:color w:val="auto"/>
        </w:rPr>
      </w:pPr>
      <w:r>
        <w:rPr>
          <w:rFonts w:hint="eastAsia"/>
          <w:color w:val="auto"/>
        </w:rPr>
        <w:t>模拟污染物：硫酸；</w:t>
      </w:r>
    </w:p>
    <w:p w14:paraId="6E82CE02">
      <w:pPr>
        <w:pStyle w:val="132"/>
        <w:rPr>
          <w:color w:val="auto"/>
        </w:rPr>
      </w:pPr>
      <w:r>
        <w:rPr>
          <w:rFonts w:hint="eastAsia"/>
          <w:color w:val="auto"/>
        </w:rPr>
        <w:t>污染源概化：瞬时泄漏；</w:t>
      </w:r>
    </w:p>
    <w:p w14:paraId="2B261106">
      <w:pPr>
        <w:pStyle w:val="132"/>
        <w:rPr>
          <w:color w:val="auto"/>
        </w:rPr>
      </w:pPr>
      <w:r>
        <w:rPr>
          <w:rFonts w:hint="eastAsia"/>
          <w:color w:val="auto"/>
        </w:rPr>
        <w:t>污染物泄漏量：0.18kg/s；点源瞬时泄漏。</w:t>
      </w:r>
    </w:p>
    <w:p w14:paraId="6E67D50A">
      <w:pPr>
        <w:pStyle w:val="5"/>
        <w:rPr>
          <w:color w:val="auto"/>
        </w:rPr>
      </w:pPr>
      <w:r>
        <w:rPr>
          <w:rFonts w:hint="eastAsia"/>
          <w:color w:val="auto"/>
        </w:rPr>
        <w:t>预测结果</w:t>
      </w:r>
    </w:p>
    <w:p w14:paraId="2064D3E0">
      <w:pPr>
        <w:pStyle w:val="132"/>
        <w:rPr>
          <w:color w:val="auto"/>
        </w:rPr>
      </w:pPr>
      <w:r>
        <w:rPr>
          <w:rFonts w:hint="eastAsia"/>
          <w:color w:val="auto"/>
        </w:rPr>
        <w:t>污染物浓度随时间增加而减小，污染物影响范围及迁移距离随时间增加而增加，第100天、365天、1000天预测最大值分别为0.012mg/L、0.005mg/L、0.001mg/L，其最远影响距离分别为14m、101m、125m，污染物浓度均较低。</w:t>
      </w:r>
    </w:p>
    <w:p w14:paraId="5720F9F0">
      <w:pPr>
        <w:pStyle w:val="132"/>
        <w:rPr>
          <w:color w:val="auto"/>
        </w:rPr>
      </w:pPr>
      <w:r>
        <w:rPr>
          <w:rFonts w:hint="eastAsia"/>
          <w:color w:val="auto"/>
        </w:rPr>
        <w:t>从预测分析结果可知，本项目硫酸发生泄漏事故，对周边的地下水环境影响较小，不会对地下水水质造成恶化。</w:t>
      </w:r>
    </w:p>
    <w:p w14:paraId="2721438E">
      <w:pPr>
        <w:pStyle w:val="132"/>
        <w:rPr>
          <w:color w:val="auto"/>
        </w:rPr>
      </w:pPr>
      <w:r>
        <w:rPr>
          <w:rFonts w:hint="eastAsia"/>
          <w:color w:val="auto"/>
        </w:rPr>
        <w:t>项目区生产装置区、污水处理区、罐区等均采取相应的防渗措施，事故情况下，泄漏危险废物对地下水环境影响可控。</w:t>
      </w:r>
    </w:p>
    <w:p w14:paraId="4229707C">
      <w:pPr>
        <w:numPr>
          <w:ilvl w:val="2"/>
          <w:numId w:val="1"/>
        </w:numPr>
        <w:outlineLvl w:val="2"/>
        <w:rPr>
          <w:rFonts w:eastAsia="黑体"/>
          <w:b/>
          <w:color w:val="auto"/>
          <w:sz w:val="26"/>
        </w:rPr>
      </w:pPr>
      <w:r>
        <w:rPr>
          <w:rFonts w:hint="eastAsia" w:eastAsia="黑体"/>
          <w:b/>
          <w:color w:val="auto"/>
          <w:sz w:val="26"/>
        </w:rPr>
        <w:t>环境风险地表水影响分析</w:t>
      </w:r>
    </w:p>
    <w:p w14:paraId="4ACD0CFA">
      <w:pPr>
        <w:spacing w:line="360" w:lineRule="auto"/>
        <w:ind w:firstLine="480" w:firstLineChars="200"/>
        <w:jc w:val="both"/>
        <w:rPr>
          <w:color w:val="auto"/>
          <w:sz w:val="24"/>
          <w:szCs w:val="24"/>
        </w:rPr>
      </w:pPr>
      <w:r>
        <w:rPr>
          <w:rFonts w:hint="eastAsia"/>
          <w:color w:val="auto"/>
          <w:sz w:val="24"/>
          <w:szCs w:val="24"/>
        </w:rPr>
        <w:t>本项目事故情况下产生的事故废水能够做到有效地收集、调蓄和处理回用，不会对外环境产生影响。极端情形启用事故水池等防控措施，可保障事故废水不排至周边地表水体；距离地表水体较远，事故废水与地表水体不发生水力联系。项目事故情况下，泄漏的物质等产生的事故消防水对地表水环境影响较小。</w:t>
      </w:r>
    </w:p>
    <w:p w14:paraId="3777BB0C">
      <w:pPr>
        <w:pStyle w:val="3"/>
        <w:rPr>
          <w:color w:val="auto"/>
        </w:rPr>
      </w:pPr>
      <w:bookmarkStart w:id="402" w:name="_Toc229930165"/>
      <w:bookmarkStart w:id="403" w:name="_Toc220582796"/>
      <w:r>
        <w:rPr>
          <w:rFonts w:hint="eastAsia"/>
          <w:color w:val="auto"/>
        </w:rPr>
        <w:t>环境风险管理及防范措施</w:t>
      </w:r>
      <w:bookmarkEnd w:id="402"/>
      <w:bookmarkEnd w:id="403"/>
    </w:p>
    <w:p w14:paraId="074F883D">
      <w:pPr>
        <w:numPr>
          <w:ilvl w:val="2"/>
          <w:numId w:val="1"/>
        </w:numPr>
        <w:outlineLvl w:val="2"/>
        <w:rPr>
          <w:rFonts w:eastAsia="黑体"/>
          <w:b/>
          <w:color w:val="auto"/>
          <w:sz w:val="26"/>
        </w:rPr>
      </w:pPr>
      <w:r>
        <w:rPr>
          <w:rFonts w:hint="eastAsia" w:eastAsia="黑体"/>
          <w:b/>
          <w:color w:val="auto"/>
          <w:sz w:val="26"/>
        </w:rPr>
        <w:t>环境风险管理意识</w:t>
      </w:r>
    </w:p>
    <w:p w14:paraId="112A4D93">
      <w:pPr>
        <w:spacing w:line="360" w:lineRule="auto"/>
        <w:ind w:firstLine="480" w:firstLineChars="200"/>
        <w:jc w:val="both"/>
        <w:rPr>
          <w:color w:val="auto"/>
          <w:sz w:val="24"/>
          <w:szCs w:val="24"/>
        </w:rPr>
      </w:pPr>
      <w:r>
        <w:rPr>
          <w:rFonts w:hint="eastAsia"/>
          <w:color w:val="auto"/>
          <w:sz w:val="24"/>
          <w:szCs w:val="24"/>
        </w:rPr>
        <w:t>安全生产是企业立厂之本，对拟建项目存在的事故风险情形来说，需强化风险意识、加强安全管理，具体要求如下。</w:t>
      </w:r>
    </w:p>
    <w:p w14:paraId="1EEEC9D6">
      <w:pPr>
        <w:spacing w:line="360" w:lineRule="auto"/>
        <w:ind w:firstLine="480" w:firstLineChars="200"/>
        <w:jc w:val="both"/>
        <w:rPr>
          <w:color w:val="auto"/>
          <w:sz w:val="24"/>
          <w:szCs w:val="24"/>
        </w:rPr>
      </w:pPr>
      <w:r>
        <w:rPr>
          <w:rFonts w:hint="eastAsia"/>
          <w:color w:val="auto"/>
          <w:sz w:val="24"/>
          <w:szCs w:val="24"/>
        </w:rPr>
        <w:t>（1）强化安全及环境保护意识的教育，提高职工的素质，加强操作人员的岗前培训，进行安全生产、环保、职业卫生等方面的技术培训教育。</w:t>
      </w:r>
    </w:p>
    <w:p w14:paraId="49C1CA84">
      <w:pPr>
        <w:spacing w:line="360" w:lineRule="auto"/>
        <w:ind w:firstLine="480" w:firstLineChars="200"/>
        <w:jc w:val="both"/>
        <w:rPr>
          <w:color w:val="auto"/>
          <w:sz w:val="24"/>
          <w:szCs w:val="24"/>
        </w:rPr>
      </w:pPr>
      <w:r>
        <w:rPr>
          <w:rFonts w:hint="eastAsia"/>
          <w:color w:val="auto"/>
          <w:sz w:val="24"/>
          <w:szCs w:val="24"/>
        </w:rPr>
        <w:t>（2）强化安全生产管理，必须制定完善的岗位责任制度，严格遵守操作规程，严格执行</w:t>
      </w:r>
      <w:r>
        <w:rPr>
          <w:rFonts w:hint="eastAsia"/>
          <w:color w:val="auto"/>
          <w:sz w:val="24"/>
          <w:szCs w:val="24"/>
          <w:lang w:eastAsia="zh-CN"/>
        </w:rPr>
        <w:t>《危险化学品安全管理条例》</w:t>
      </w:r>
      <w:r>
        <w:rPr>
          <w:rFonts w:hint="eastAsia"/>
          <w:color w:val="auto"/>
          <w:sz w:val="24"/>
          <w:szCs w:val="24"/>
        </w:rPr>
        <w:t>及国家、地方关于易燃、易爆、有毒有害物料的贮运安全规定。</w:t>
      </w:r>
    </w:p>
    <w:p w14:paraId="2A831780">
      <w:pPr>
        <w:spacing w:line="360" w:lineRule="auto"/>
        <w:ind w:firstLine="480" w:firstLineChars="200"/>
        <w:jc w:val="both"/>
        <w:rPr>
          <w:color w:val="auto"/>
          <w:sz w:val="24"/>
          <w:szCs w:val="24"/>
        </w:rPr>
      </w:pPr>
      <w:r>
        <w:rPr>
          <w:rFonts w:hint="eastAsia"/>
          <w:color w:val="auto"/>
          <w:sz w:val="24"/>
          <w:szCs w:val="24"/>
        </w:rPr>
        <w:t>（3）建立健全环保及安全管理部门，负责加强监督检查，按规定监测厂内外空气中的有毒有害和易燃易爆物质，及时发现，立即处理，避免污染。</w:t>
      </w:r>
    </w:p>
    <w:p w14:paraId="02295269">
      <w:pPr>
        <w:spacing w:line="360" w:lineRule="auto"/>
        <w:ind w:firstLine="480" w:firstLineChars="200"/>
        <w:jc w:val="both"/>
        <w:rPr>
          <w:color w:val="auto"/>
          <w:sz w:val="24"/>
          <w:szCs w:val="24"/>
        </w:rPr>
      </w:pPr>
      <w:r>
        <w:rPr>
          <w:rFonts w:hint="eastAsia"/>
          <w:color w:val="auto"/>
          <w:sz w:val="24"/>
          <w:szCs w:val="24"/>
        </w:rPr>
        <w:t>（4）严格控制指标，进一步完善并严格执行操作规程。 加强巡检，及时发现问题，正确判断及时处理，排除各种可能的导致火灾、 爆炸的不安全因素。尽量避免装置中存在的燃烧反应，各项工艺指标控制在正常值范围，减少操作， 减少易燃及不稳定物质的贮存数量。</w:t>
      </w:r>
    </w:p>
    <w:p w14:paraId="064B2F82">
      <w:pPr>
        <w:spacing w:line="360" w:lineRule="auto"/>
        <w:ind w:firstLine="480" w:firstLineChars="200"/>
        <w:jc w:val="both"/>
        <w:rPr>
          <w:color w:val="auto"/>
          <w:sz w:val="24"/>
          <w:szCs w:val="24"/>
        </w:rPr>
      </w:pPr>
      <w:r>
        <w:rPr>
          <w:rFonts w:hint="eastAsia"/>
          <w:color w:val="auto"/>
          <w:sz w:val="24"/>
          <w:szCs w:val="24"/>
        </w:rPr>
        <w:t>（5）设备的控制与管理。设备选材合理，精心维护，对关键设备实行“机、电、仪、管、操”“五位一体”的特护，设备工况保持良好，减少泄漏，降低火灾爆炸及中毒危险。定期对压力容器、安全附件和各种测量仪表进行检验和校验。加强控制联锁系统以及消防设备的管理。</w:t>
      </w:r>
    </w:p>
    <w:p w14:paraId="0D6A4BE6">
      <w:pPr>
        <w:numPr>
          <w:ilvl w:val="2"/>
          <w:numId w:val="1"/>
        </w:numPr>
        <w:outlineLvl w:val="2"/>
        <w:rPr>
          <w:rFonts w:eastAsia="黑体"/>
          <w:b/>
          <w:color w:val="auto"/>
          <w:sz w:val="26"/>
        </w:rPr>
      </w:pPr>
      <w:r>
        <w:rPr>
          <w:rFonts w:hint="eastAsia" w:eastAsia="黑体"/>
          <w:b/>
          <w:color w:val="auto"/>
          <w:sz w:val="26"/>
        </w:rPr>
        <w:t>环境风险防范措施</w:t>
      </w:r>
    </w:p>
    <w:p w14:paraId="41EE6D78">
      <w:pPr>
        <w:keepNext/>
        <w:keepLines/>
        <w:numPr>
          <w:ilvl w:val="3"/>
          <w:numId w:val="1"/>
        </w:numPr>
        <w:spacing w:line="360" w:lineRule="auto"/>
        <w:outlineLvl w:val="3"/>
        <w:rPr>
          <w:b/>
          <w:bCs/>
          <w:color w:val="auto"/>
          <w:sz w:val="24"/>
          <w:szCs w:val="28"/>
        </w:rPr>
      </w:pPr>
      <w:r>
        <w:rPr>
          <w:rFonts w:hint="eastAsia"/>
          <w:b/>
          <w:bCs/>
          <w:color w:val="auto"/>
          <w:sz w:val="24"/>
          <w:szCs w:val="28"/>
        </w:rPr>
        <w:t>风险管理防范措施</w:t>
      </w:r>
    </w:p>
    <w:p w14:paraId="72EA64A7">
      <w:pPr>
        <w:spacing w:line="360" w:lineRule="auto"/>
        <w:ind w:firstLine="480" w:firstLineChars="200"/>
        <w:jc w:val="both"/>
        <w:rPr>
          <w:color w:val="auto"/>
          <w:sz w:val="24"/>
          <w:szCs w:val="24"/>
        </w:rPr>
      </w:pPr>
      <w:r>
        <w:rPr>
          <w:rFonts w:hint="eastAsia"/>
          <w:color w:val="auto"/>
          <w:sz w:val="24"/>
          <w:szCs w:val="24"/>
        </w:rPr>
        <w:t xml:space="preserve">（1）制定并完善安全生产操作规程，应包括安全使用危险化学品的工艺规程和安全技术规程，安全运输危险化学品的安全技术规程，安全处理危险化学品废弃物的安全技术规程。 </w:t>
      </w:r>
    </w:p>
    <w:p w14:paraId="25244AEA">
      <w:pPr>
        <w:spacing w:line="360" w:lineRule="auto"/>
        <w:ind w:firstLine="480" w:firstLineChars="200"/>
        <w:jc w:val="both"/>
        <w:rPr>
          <w:color w:val="auto"/>
          <w:sz w:val="24"/>
          <w:szCs w:val="24"/>
        </w:rPr>
      </w:pPr>
      <w:r>
        <w:rPr>
          <w:rFonts w:hint="eastAsia"/>
          <w:color w:val="auto"/>
          <w:sz w:val="24"/>
          <w:szCs w:val="24"/>
        </w:rPr>
        <w:t xml:space="preserve">（2）定期开展操作人员培训和公众教育的内容，加强对应急预案的培训、演练，并不断完善改进，使环境风险降低到最低。 </w:t>
      </w:r>
    </w:p>
    <w:p w14:paraId="7C5AAA60">
      <w:pPr>
        <w:spacing w:line="360" w:lineRule="auto"/>
        <w:ind w:firstLine="480" w:firstLineChars="200"/>
        <w:jc w:val="both"/>
        <w:rPr>
          <w:color w:val="auto"/>
          <w:sz w:val="24"/>
          <w:szCs w:val="24"/>
        </w:rPr>
      </w:pPr>
      <w:r>
        <w:rPr>
          <w:rFonts w:hint="eastAsia"/>
          <w:color w:val="auto"/>
          <w:sz w:val="24"/>
          <w:szCs w:val="24"/>
        </w:rPr>
        <w:t xml:space="preserve">（3）针对本项目生产经营单位可能发生的事故类别和应急职责，编制环境污染事故应急预案。为检验应急预案的有效性、应急准备的完善性、应急响应能力的适应性和应急人员的协同性，应定时进行模拟应急响应演习。 </w:t>
      </w:r>
    </w:p>
    <w:p w14:paraId="3D472DFF">
      <w:pPr>
        <w:spacing w:line="360" w:lineRule="auto"/>
        <w:ind w:firstLine="480" w:firstLineChars="200"/>
        <w:jc w:val="both"/>
        <w:rPr>
          <w:color w:val="auto"/>
          <w:sz w:val="24"/>
          <w:szCs w:val="24"/>
        </w:rPr>
      </w:pPr>
      <w:r>
        <w:rPr>
          <w:rFonts w:hint="eastAsia"/>
          <w:color w:val="auto"/>
          <w:sz w:val="24"/>
          <w:szCs w:val="24"/>
        </w:rPr>
        <w:t>（4）针对本项目生产经营过程中涉及的危险化学品种类较多，本项目应编制环境风险应急预案，在应急预案中进一步完善和细化危险化学品事故排放条件下的具体操作措施，从事故的环境风险三级防护措施体系即源头、过程和终端进行控制，以减轻事故条件下危险化学品泄漏对外环境的影响。</w:t>
      </w:r>
    </w:p>
    <w:p w14:paraId="6EBC52B2">
      <w:pPr>
        <w:keepNext/>
        <w:keepLines/>
        <w:numPr>
          <w:ilvl w:val="3"/>
          <w:numId w:val="1"/>
        </w:numPr>
        <w:spacing w:line="360" w:lineRule="auto"/>
        <w:outlineLvl w:val="3"/>
        <w:rPr>
          <w:b/>
          <w:bCs/>
          <w:color w:val="auto"/>
          <w:sz w:val="24"/>
          <w:szCs w:val="28"/>
        </w:rPr>
      </w:pPr>
      <w:r>
        <w:rPr>
          <w:rFonts w:hint="eastAsia"/>
          <w:b/>
          <w:bCs/>
          <w:color w:val="auto"/>
          <w:sz w:val="24"/>
          <w:szCs w:val="28"/>
        </w:rPr>
        <w:t>选址及总图布置风险防范措施</w:t>
      </w:r>
    </w:p>
    <w:p w14:paraId="49BD664F">
      <w:pPr>
        <w:spacing w:line="360" w:lineRule="auto"/>
        <w:ind w:firstLine="480" w:firstLineChars="200"/>
        <w:jc w:val="both"/>
        <w:rPr>
          <w:color w:val="auto"/>
          <w:sz w:val="24"/>
          <w:szCs w:val="24"/>
        </w:rPr>
      </w:pPr>
      <w:r>
        <w:rPr>
          <w:rFonts w:hint="eastAsia"/>
          <w:color w:val="auto"/>
          <w:sz w:val="24"/>
          <w:szCs w:val="24"/>
        </w:rPr>
        <w:t>拟建项目厂址位于园区，距离厂区周围5km范围内常住居民点较少，故从环境安全角度来看，项目选址比较合理。</w:t>
      </w:r>
    </w:p>
    <w:p w14:paraId="020AB10E">
      <w:pPr>
        <w:spacing w:line="360" w:lineRule="auto"/>
        <w:ind w:firstLine="480" w:firstLineChars="200"/>
        <w:jc w:val="both"/>
        <w:rPr>
          <w:color w:val="auto"/>
          <w:sz w:val="24"/>
          <w:szCs w:val="24"/>
        </w:rPr>
      </w:pPr>
      <w:r>
        <w:rPr>
          <w:rFonts w:hint="eastAsia"/>
          <w:color w:val="auto"/>
          <w:sz w:val="24"/>
          <w:szCs w:val="24"/>
        </w:rPr>
        <w:t>按照《建筑设计防火规范》（GB 50016-2014[2018年版]）等标准规范的要求，充分考虑生产区域内工艺设备之间以及其与周围设施的防火间距和安全卫生防护距离的要求。装置设备的布置间距考虑防火距离及安全疏散通道，并确保足够的消防、检修和操作通道。</w:t>
      </w:r>
    </w:p>
    <w:p w14:paraId="6F371D15">
      <w:pPr>
        <w:keepNext/>
        <w:keepLines/>
        <w:numPr>
          <w:ilvl w:val="3"/>
          <w:numId w:val="1"/>
        </w:numPr>
        <w:spacing w:line="360" w:lineRule="auto"/>
        <w:outlineLvl w:val="3"/>
        <w:rPr>
          <w:b/>
          <w:bCs/>
          <w:color w:val="auto"/>
          <w:sz w:val="24"/>
          <w:szCs w:val="28"/>
        </w:rPr>
      </w:pPr>
      <w:r>
        <w:rPr>
          <w:rFonts w:hint="eastAsia"/>
          <w:b/>
          <w:bCs/>
          <w:color w:val="auto"/>
          <w:sz w:val="24"/>
          <w:szCs w:val="28"/>
        </w:rPr>
        <w:t>工艺技术设计安全防范措施</w:t>
      </w:r>
    </w:p>
    <w:p w14:paraId="306394E9">
      <w:pPr>
        <w:spacing w:line="360" w:lineRule="auto"/>
        <w:ind w:firstLine="480" w:firstLineChars="200"/>
        <w:jc w:val="both"/>
        <w:rPr>
          <w:color w:val="auto"/>
          <w:sz w:val="24"/>
          <w:szCs w:val="24"/>
        </w:rPr>
      </w:pPr>
      <w:r>
        <w:rPr>
          <w:rFonts w:hint="eastAsia"/>
          <w:color w:val="auto"/>
          <w:sz w:val="24"/>
          <w:szCs w:val="24"/>
        </w:rPr>
        <w:t>本项目生产涉及危险物质的工艺系统，对各装置系统须满足以下设计要求：</w:t>
      </w:r>
    </w:p>
    <w:p w14:paraId="775476CC">
      <w:pPr>
        <w:spacing w:line="360" w:lineRule="auto"/>
        <w:ind w:firstLine="480" w:firstLineChars="200"/>
        <w:jc w:val="both"/>
        <w:rPr>
          <w:color w:val="auto"/>
          <w:sz w:val="24"/>
          <w:szCs w:val="24"/>
        </w:rPr>
      </w:pPr>
      <w:r>
        <w:rPr>
          <w:rFonts w:hint="eastAsia"/>
          <w:color w:val="auto"/>
          <w:sz w:val="24"/>
          <w:szCs w:val="24"/>
        </w:rPr>
        <w:t>（1）密闭措施</w:t>
      </w:r>
    </w:p>
    <w:p w14:paraId="7E5E6D3C">
      <w:pPr>
        <w:spacing w:line="360" w:lineRule="auto"/>
        <w:ind w:firstLine="480" w:firstLineChars="200"/>
        <w:jc w:val="both"/>
        <w:rPr>
          <w:color w:val="auto"/>
          <w:sz w:val="24"/>
          <w:szCs w:val="24"/>
        </w:rPr>
      </w:pPr>
      <w:r>
        <w:rPr>
          <w:rFonts w:hint="eastAsia"/>
          <w:color w:val="auto"/>
          <w:sz w:val="24"/>
          <w:szCs w:val="24"/>
        </w:rPr>
        <w:t>项目全厂所有装置、管线和储存设施均设计为密闭系统。容器、泵等设备和与管线连接处的密封按有关规定选型，设计采用成熟、可靠的密封材料和密封技术。各种仪表、计量器、采样器等小件设备均按规范考虑防火、防爆性能。对与大容量储罐相连接的泵、进口设紧急截止阀，可在发生火灾时进行远程紧急制动切断可燃物尽量采用焊接措施，减少不必要的连接点和采样点，所有采样器均选用密闭采样器。</w:t>
      </w:r>
    </w:p>
    <w:p w14:paraId="0791A431">
      <w:pPr>
        <w:spacing w:line="360" w:lineRule="auto"/>
        <w:ind w:firstLine="480" w:firstLineChars="200"/>
        <w:jc w:val="both"/>
        <w:rPr>
          <w:color w:val="auto"/>
          <w:sz w:val="24"/>
          <w:szCs w:val="24"/>
        </w:rPr>
      </w:pPr>
      <w:r>
        <w:rPr>
          <w:rFonts w:hint="eastAsia"/>
          <w:color w:val="auto"/>
          <w:sz w:val="24"/>
          <w:szCs w:val="24"/>
        </w:rPr>
        <w:t>（2）安全泄压措施</w:t>
      </w:r>
    </w:p>
    <w:p w14:paraId="795495FB">
      <w:pPr>
        <w:spacing w:line="360" w:lineRule="auto"/>
        <w:ind w:firstLine="480" w:firstLineChars="200"/>
        <w:jc w:val="both"/>
        <w:rPr>
          <w:color w:val="auto"/>
          <w:sz w:val="24"/>
          <w:szCs w:val="24"/>
        </w:rPr>
      </w:pPr>
      <w:r>
        <w:rPr>
          <w:rFonts w:hint="eastAsia"/>
          <w:color w:val="auto"/>
          <w:sz w:val="24"/>
          <w:szCs w:val="24"/>
        </w:rPr>
        <w:t>装置内所有带压设备的设计严格按《固定式压力容器安全技术监察规程》（TSG21-2016）等相关规范执行，包括在不正常条件下可能超压的设备均设安全阀，关键设备和连续操作压力容器的安全阀设有备阀，安全阀的排放量、定压、背压设计满足最大排放工况时的排放要求，安全阀有定期校验维修的措施。</w:t>
      </w:r>
    </w:p>
    <w:p w14:paraId="3D0AC880">
      <w:pPr>
        <w:spacing w:line="360" w:lineRule="auto"/>
        <w:ind w:firstLine="480" w:firstLineChars="200"/>
        <w:jc w:val="both"/>
        <w:rPr>
          <w:color w:val="auto"/>
          <w:sz w:val="24"/>
          <w:szCs w:val="24"/>
        </w:rPr>
      </w:pPr>
      <w:r>
        <w:rPr>
          <w:rFonts w:hint="eastAsia"/>
          <w:color w:val="auto"/>
          <w:sz w:val="24"/>
          <w:szCs w:val="24"/>
        </w:rPr>
        <w:t>（3）防腐蚀措施</w:t>
      </w:r>
    </w:p>
    <w:p w14:paraId="61BABC53">
      <w:pPr>
        <w:spacing w:line="360" w:lineRule="auto"/>
        <w:ind w:firstLine="480" w:firstLineChars="200"/>
        <w:jc w:val="both"/>
        <w:rPr>
          <w:color w:val="auto"/>
          <w:sz w:val="24"/>
          <w:szCs w:val="24"/>
        </w:rPr>
      </w:pPr>
      <w:r>
        <w:rPr>
          <w:rFonts w:hint="eastAsia"/>
          <w:color w:val="auto"/>
          <w:sz w:val="24"/>
          <w:szCs w:val="24"/>
        </w:rPr>
        <w:t>本项目涉及的腐蚀性危险物质有三氧化硫、氢气、酸碱等，根据操作介质和操作条件不同，选择相应的设备材料，采用不同措施防氢腐蚀、防酸碱腐蚀，设计时考虑腐蚀余量。</w:t>
      </w:r>
    </w:p>
    <w:p w14:paraId="53D7B696">
      <w:pPr>
        <w:spacing w:line="360" w:lineRule="auto"/>
        <w:ind w:firstLine="480" w:firstLineChars="200"/>
        <w:jc w:val="both"/>
        <w:rPr>
          <w:color w:val="auto"/>
          <w:sz w:val="24"/>
          <w:szCs w:val="24"/>
        </w:rPr>
      </w:pPr>
      <w:r>
        <w:rPr>
          <w:rFonts w:hint="eastAsia"/>
          <w:color w:val="auto"/>
          <w:sz w:val="24"/>
          <w:szCs w:val="24"/>
        </w:rPr>
        <w:t>（4）防尘毒伤害措施</w:t>
      </w:r>
    </w:p>
    <w:p w14:paraId="15846AB1">
      <w:pPr>
        <w:spacing w:line="360" w:lineRule="auto"/>
        <w:ind w:firstLine="480" w:firstLineChars="200"/>
        <w:jc w:val="both"/>
        <w:rPr>
          <w:color w:val="auto"/>
          <w:sz w:val="24"/>
          <w:szCs w:val="24"/>
        </w:rPr>
      </w:pPr>
      <w:r>
        <w:rPr>
          <w:rFonts w:hint="eastAsia"/>
          <w:color w:val="auto"/>
          <w:sz w:val="24"/>
          <w:szCs w:val="24"/>
        </w:rPr>
        <w:t>本项目主要危险区在生产工艺装置区及储运区等可能存在可燃气体及有毒气泄漏、释放、积聚处，设置检测报警系统，包括可燃气体探测器及有毒气体探测器，空气中有毒气或可燃气体浓度超过设定限值时立即报警。</w:t>
      </w:r>
    </w:p>
    <w:p w14:paraId="13FDC5BF">
      <w:pPr>
        <w:spacing w:line="360" w:lineRule="auto"/>
        <w:ind w:firstLine="480" w:firstLineChars="200"/>
        <w:jc w:val="both"/>
        <w:rPr>
          <w:color w:val="auto"/>
          <w:sz w:val="24"/>
          <w:szCs w:val="24"/>
        </w:rPr>
      </w:pPr>
      <w:r>
        <w:rPr>
          <w:rFonts w:hint="eastAsia"/>
          <w:color w:val="auto"/>
          <w:sz w:val="24"/>
          <w:szCs w:val="24"/>
        </w:rPr>
        <w:t>除满足以上要求外，本环评对各装置系统提出以下建议：</w:t>
      </w:r>
    </w:p>
    <w:p w14:paraId="0997E1C5">
      <w:pPr>
        <w:spacing w:line="360" w:lineRule="auto"/>
        <w:ind w:firstLine="480" w:firstLineChars="200"/>
        <w:jc w:val="both"/>
        <w:rPr>
          <w:color w:val="auto"/>
          <w:sz w:val="24"/>
          <w:szCs w:val="24"/>
        </w:rPr>
      </w:pPr>
      <w:r>
        <w:rPr>
          <w:rFonts w:hint="eastAsia"/>
          <w:color w:val="auto"/>
          <w:sz w:val="24"/>
          <w:szCs w:val="24"/>
        </w:rPr>
        <w:t>（1）电气设备的正常不带电的金属外壳、电缆金属外皮、电缆支架等均做保护接地；合理确定管道的材质、壁厚、压力等级参数，对管件、法兰、垫片及紧固件进行合理选型。设备和管道的设计、制造、安装和试压应符合国家标准和有关规范要求，压力容器和压力管道投入运行前，应取得有关部门的检测合格证明。</w:t>
      </w:r>
    </w:p>
    <w:p w14:paraId="22BCEA95">
      <w:pPr>
        <w:spacing w:line="360" w:lineRule="auto"/>
        <w:ind w:firstLine="480" w:firstLineChars="200"/>
        <w:jc w:val="both"/>
        <w:rPr>
          <w:color w:val="auto"/>
          <w:sz w:val="24"/>
          <w:szCs w:val="24"/>
        </w:rPr>
      </w:pPr>
      <w:r>
        <w:rPr>
          <w:rFonts w:hint="eastAsia"/>
          <w:color w:val="auto"/>
          <w:sz w:val="24"/>
          <w:szCs w:val="24"/>
        </w:rPr>
        <w:t>（2）涉及有毒、有害气体的工艺管道等各类设施应设计安全阀等防爆泄压系统。</w:t>
      </w:r>
    </w:p>
    <w:p w14:paraId="44800974">
      <w:pPr>
        <w:spacing w:line="360" w:lineRule="auto"/>
        <w:ind w:firstLine="480" w:firstLineChars="200"/>
        <w:jc w:val="both"/>
        <w:rPr>
          <w:color w:val="auto"/>
          <w:sz w:val="24"/>
          <w:szCs w:val="24"/>
        </w:rPr>
      </w:pPr>
      <w:r>
        <w:rPr>
          <w:rFonts w:hint="eastAsia"/>
          <w:color w:val="auto"/>
          <w:sz w:val="24"/>
          <w:szCs w:val="24"/>
        </w:rPr>
        <w:t>（3）选用高质量的设备、管件、阀门等，避免因设计不当引起腐蚀与泄漏。建设单位在安装过程中严格保证安装质量，生产单位在运行过程中严格操作管理和日常维护，严防生产、维修和储运过程中物料的跑冒滴漏发生。</w:t>
      </w:r>
    </w:p>
    <w:p w14:paraId="7EF7913C">
      <w:pPr>
        <w:spacing w:line="360" w:lineRule="auto"/>
        <w:ind w:firstLine="480" w:firstLineChars="200"/>
        <w:jc w:val="both"/>
        <w:rPr>
          <w:color w:val="auto"/>
          <w:sz w:val="24"/>
          <w:szCs w:val="24"/>
        </w:rPr>
      </w:pPr>
      <w:r>
        <w:rPr>
          <w:rFonts w:hint="eastAsia"/>
          <w:color w:val="auto"/>
          <w:sz w:val="24"/>
          <w:szCs w:val="24"/>
        </w:rPr>
        <w:t>（4）有毒有害物料的吨桶等严格按装料系数装存物料，避免因装料过满发生爆炸或泄漏。</w:t>
      </w:r>
      <w:r>
        <w:rPr>
          <w:color w:val="auto"/>
          <w:sz w:val="24"/>
          <w:szCs w:val="24"/>
        </w:rPr>
        <w:t>企业要强化工艺技术管理，严格控制原料配比、反应温度和pH值等工艺参数，建立完善定期检测制度</w:t>
      </w:r>
      <w:r>
        <w:rPr>
          <w:rFonts w:hint="eastAsia"/>
          <w:color w:val="auto"/>
          <w:sz w:val="24"/>
          <w:szCs w:val="24"/>
        </w:rPr>
        <w:t>，</w:t>
      </w:r>
      <w:r>
        <w:rPr>
          <w:color w:val="auto"/>
          <w:sz w:val="24"/>
          <w:szCs w:val="24"/>
        </w:rPr>
        <w:t>提升本质安全水平，加强日常管理，防止生产装置发生火灾、爆炸。</w:t>
      </w:r>
    </w:p>
    <w:p w14:paraId="7A8BB2CA">
      <w:pPr>
        <w:spacing w:line="360" w:lineRule="auto"/>
        <w:ind w:firstLine="480" w:firstLineChars="200"/>
        <w:jc w:val="both"/>
        <w:rPr>
          <w:color w:val="auto"/>
          <w:sz w:val="24"/>
          <w:szCs w:val="24"/>
        </w:rPr>
      </w:pPr>
      <w:r>
        <w:rPr>
          <w:rFonts w:hint="eastAsia"/>
          <w:color w:val="auto"/>
          <w:sz w:val="24"/>
          <w:szCs w:val="24"/>
        </w:rPr>
        <w:t>（5）有毒气体和有毒液体生产及储存区应设置浓度超标报警装置。</w:t>
      </w:r>
    </w:p>
    <w:p w14:paraId="5C56E34C">
      <w:pPr>
        <w:spacing w:line="360" w:lineRule="auto"/>
        <w:ind w:firstLine="480" w:firstLineChars="200"/>
        <w:jc w:val="both"/>
        <w:rPr>
          <w:color w:val="auto"/>
          <w:sz w:val="24"/>
          <w:szCs w:val="24"/>
        </w:rPr>
      </w:pPr>
      <w:r>
        <w:rPr>
          <w:rFonts w:hint="eastAsia"/>
          <w:color w:val="auto"/>
          <w:sz w:val="24"/>
          <w:szCs w:val="24"/>
        </w:rPr>
        <w:t>（6）装置区以及其他存在潜在危险需要经常观测处，应设火焰探测报警装置、连续检测可燃气体浓度的探测报警装置。相应配置适量的现场手动报警按钮；装置应设置紧急切断系统和紧急泄压火炬系统，保证非正常工况下危险物料能够安全排出并安全处置。</w:t>
      </w:r>
    </w:p>
    <w:p w14:paraId="0C5AB474">
      <w:pPr>
        <w:spacing w:line="360" w:lineRule="auto"/>
        <w:ind w:firstLine="480" w:firstLineChars="200"/>
        <w:jc w:val="both"/>
        <w:rPr>
          <w:color w:val="auto"/>
          <w:sz w:val="24"/>
          <w:szCs w:val="24"/>
        </w:rPr>
      </w:pPr>
      <w:r>
        <w:rPr>
          <w:rFonts w:hint="eastAsia"/>
          <w:color w:val="auto"/>
          <w:sz w:val="24"/>
          <w:szCs w:val="24"/>
        </w:rPr>
        <w:t>（7）相关装置区设置安全设施，包括安全阀、爆破片、紧急放空阀、液位计、单向阀。</w:t>
      </w:r>
    </w:p>
    <w:p w14:paraId="0EC97174">
      <w:pPr>
        <w:keepNext/>
        <w:keepLines/>
        <w:numPr>
          <w:ilvl w:val="3"/>
          <w:numId w:val="1"/>
        </w:numPr>
        <w:spacing w:line="360" w:lineRule="auto"/>
        <w:outlineLvl w:val="3"/>
        <w:rPr>
          <w:b/>
          <w:bCs/>
          <w:color w:val="auto"/>
          <w:sz w:val="24"/>
          <w:szCs w:val="28"/>
        </w:rPr>
      </w:pPr>
      <w:r>
        <w:rPr>
          <w:rFonts w:hint="eastAsia"/>
          <w:b/>
          <w:bCs/>
          <w:color w:val="auto"/>
          <w:sz w:val="24"/>
          <w:szCs w:val="28"/>
        </w:rPr>
        <w:t>生产过程风险防范措施</w:t>
      </w:r>
    </w:p>
    <w:p w14:paraId="6112222A">
      <w:pPr>
        <w:spacing w:line="360" w:lineRule="auto"/>
        <w:ind w:firstLine="480" w:firstLineChars="200"/>
        <w:jc w:val="both"/>
        <w:rPr>
          <w:color w:val="auto"/>
          <w:sz w:val="24"/>
          <w:szCs w:val="24"/>
        </w:rPr>
      </w:pPr>
      <w:r>
        <w:rPr>
          <w:rFonts w:hint="eastAsia"/>
          <w:color w:val="auto"/>
          <w:sz w:val="24"/>
          <w:szCs w:val="24"/>
        </w:rPr>
        <w:t>（1）泄漏</w:t>
      </w:r>
    </w:p>
    <w:p w14:paraId="0FB599D9">
      <w:pPr>
        <w:spacing w:line="360" w:lineRule="auto"/>
        <w:ind w:firstLine="480" w:firstLineChars="200"/>
        <w:jc w:val="both"/>
        <w:rPr>
          <w:color w:val="auto"/>
          <w:sz w:val="24"/>
          <w:szCs w:val="24"/>
        </w:rPr>
      </w:pPr>
      <w:r>
        <w:rPr>
          <w:rFonts w:hint="eastAsia"/>
          <w:color w:val="auto"/>
          <w:sz w:val="24"/>
          <w:szCs w:val="24"/>
        </w:rPr>
        <w:t>车间泄漏事故主要可能情况为：物料输送管路和反应器泄漏。</w:t>
      </w:r>
    </w:p>
    <w:p w14:paraId="44DBE596">
      <w:pPr>
        <w:spacing w:line="360" w:lineRule="auto"/>
        <w:ind w:firstLine="480" w:firstLineChars="200"/>
        <w:jc w:val="both"/>
        <w:rPr>
          <w:color w:val="auto"/>
          <w:sz w:val="24"/>
          <w:szCs w:val="24"/>
        </w:rPr>
      </w:pPr>
      <w:r>
        <w:rPr>
          <w:rFonts w:hint="eastAsia"/>
          <w:color w:val="auto"/>
          <w:sz w:val="24"/>
          <w:szCs w:val="24"/>
        </w:rPr>
        <w:t>泄漏发生后，要及时将现场泄漏物进行覆盖、收容、稀释、处理使泄漏物得到安全可靠的处置，防止二次事故的发生。</w:t>
      </w:r>
    </w:p>
    <w:p w14:paraId="43037778">
      <w:pPr>
        <w:spacing w:line="360" w:lineRule="auto"/>
        <w:ind w:firstLine="480" w:firstLineChars="200"/>
        <w:jc w:val="both"/>
        <w:rPr>
          <w:color w:val="auto"/>
          <w:sz w:val="24"/>
          <w:szCs w:val="24"/>
        </w:rPr>
      </w:pPr>
      <w:r>
        <w:rPr>
          <w:rFonts w:hint="eastAsia"/>
          <w:color w:val="auto"/>
          <w:sz w:val="24"/>
          <w:szCs w:val="24"/>
        </w:rPr>
        <w:t>如果化学品为液体，泄漏到地面上时会四处蔓延扩散，难以收集处理。为此需要筑堤堵截或者引流到安全地点。为此需要筑堤堵截或者引流到安全地点。 对于贮罐区发生液体泄漏时，关闭排水阀，防止物料沿管道外流。</w:t>
      </w:r>
    </w:p>
    <w:p w14:paraId="770B1779">
      <w:pPr>
        <w:spacing w:line="360" w:lineRule="auto"/>
        <w:ind w:firstLine="480" w:firstLineChars="200"/>
        <w:jc w:val="both"/>
        <w:rPr>
          <w:color w:val="auto"/>
          <w:sz w:val="24"/>
          <w:szCs w:val="24"/>
        </w:rPr>
      </w:pPr>
      <w:r>
        <w:rPr>
          <w:rFonts w:hint="eastAsia"/>
          <w:color w:val="auto"/>
          <w:sz w:val="24"/>
          <w:szCs w:val="24"/>
        </w:rPr>
        <w:t>①如车间产品中间体发生泄漏，在第一时间切断泄漏源后，迅速对已泄漏物料进行控制，迅速关闭厂区污水出口阀门，最大可能地将泄漏物料控制在车间范围内，避免对水体和土壤造成污染。</w:t>
      </w:r>
    </w:p>
    <w:p w14:paraId="7F9077D6">
      <w:pPr>
        <w:spacing w:line="360" w:lineRule="auto"/>
        <w:ind w:firstLine="480" w:firstLineChars="200"/>
        <w:jc w:val="both"/>
        <w:rPr>
          <w:color w:val="auto"/>
          <w:sz w:val="24"/>
          <w:szCs w:val="24"/>
        </w:rPr>
      </w:pPr>
      <w:r>
        <w:rPr>
          <w:rFonts w:hint="eastAsia"/>
          <w:color w:val="auto"/>
          <w:sz w:val="24"/>
          <w:szCs w:val="24"/>
        </w:rPr>
        <w:t>②对于易挥发液体泄漏，为降低物料向大气中的蒸发速度，可用泡沫或其他覆盖物品覆盖外泄的物料，在其表面形成覆盖层，抑制其蒸发。或者采用低温冷却来降低泄漏物的蒸发。</w:t>
      </w:r>
    </w:p>
    <w:p w14:paraId="645248BF">
      <w:pPr>
        <w:spacing w:line="360" w:lineRule="auto"/>
        <w:ind w:firstLine="480" w:firstLineChars="200"/>
        <w:jc w:val="both"/>
        <w:rPr>
          <w:color w:val="auto"/>
          <w:sz w:val="24"/>
          <w:szCs w:val="24"/>
        </w:rPr>
      </w:pPr>
      <w:r>
        <w:rPr>
          <w:rFonts w:hint="eastAsia"/>
          <w:color w:val="auto"/>
          <w:sz w:val="24"/>
          <w:szCs w:val="24"/>
        </w:rPr>
        <w:t>③对于大型液体泄漏，可选择用隔膜泵将泄漏出的物料抽入容器内或槽车内；当泄漏量小时，可用沙子、吸附材料、中和材料等吸收中和，或者用固化法处理泄漏物。</w:t>
      </w:r>
    </w:p>
    <w:p w14:paraId="43BDB8E7">
      <w:pPr>
        <w:spacing w:line="360" w:lineRule="auto"/>
        <w:ind w:firstLine="480" w:firstLineChars="200"/>
        <w:jc w:val="both"/>
        <w:rPr>
          <w:color w:val="auto"/>
          <w:sz w:val="24"/>
          <w:szCs w:val="24"/>
        </w:rPr>
      </w:pPr>
      <w:r>
        <w:rPr>
          <w:rFonts w:hint="eastAsia"/>
          <w:color w:val="auto"/>
          <w:sz w:val="24"/>
          <w:szCs w:val="24"/>
        </w:rPr>
        <w:t>④对于大面积尾气泄漏，通常是采用水枪或消防水带向有害物蒸气云喷射雾状水，加速气体向高空扩散，使其在安全地带扩散。在使用这一技术时，将产生大量的被污染水，因此应疏通污水排放系统。</w:t>
      </w:r>
    </w:p>
    <w:p w14:paraId="606B56E0">
      <w:pPr>
        <w:spacing w:line="360" w:lineRule="auto"/>
        <w:ind w:firstLine="480" w:firstLineChars="200"/>
        <w:jc w:val="both"/>
        <w:rPr>
          <w:color w:val="auto"/>
          <w:sz w:val="24"/>
          <w:szCs w:val="24"/>
        </w:rPr>
      </w:pPr>
      <w:r>
        <w:rPr>
          <w:rFonts w:hint="eastAsia"/>
          <w:color w:val="auto"/>
          <w:sz w:val="24"/>
          <w:szCs w:val="24"/>
        </w:rPr>
        <w:t>⑤将收集的泄漏物运至废物处理场所处置。用消防水冲洗剩下的少量物料， 冲洗水经预处理后排入本厂污水系统处理。</w:t>
      </w:r>
    </w:p>
    <w:p w14:paraId="10F0AADE">
      <w:pPr>
        <w:spacing w:line="360" w:lineRule="auto"/>
        <w:ind w:firstLine="480" w:firstLineChars="200"/>
        <w:jc w:val="both"/>
        <w:rPr>
          <w:color w:val="auto"/>
          <w:sz w:val="24"/>
          <w:szCs w:val="24"/>
        </w:rPr>
      </w:pPr>
      <w:r>
        <w:rPr>
          <w:rFonts w:hint="eastAsia"/>
          <w:color w:val="auto"/>
          <w:sz w:val="24"/>
          <w:szCs w:val="24"/>
        </w:rPr>
        <w:t>（2）火灾</w:t>
      </w:r>
    </w:p>
    <w:p w14:paraId="7BD7B1CE">
      <w:pPr>
        <w:spacing w:line="360" w:lineRule="auto"/>
        <w:ind w:firstLine="480" w:firstLineChars="200"/>
        <w:jc w:val="both"/>
        <w:rPr>
          <w:color w:val="auto"/>
          <w:sz w:val="24"/>
          <w:szCs w:val="24"/>
        </w:rPr>
      </w:pPr>
      <w:r>
        <w:rPr>
          <w:rFonts w:hint="eastAsia"/>
          <w:color w:val="auto"/>
          <w:sz w:val="24"/>
          <w:szCs w:val="24"/>
        </w:rPr>
        <w:t>①立即关闭着火点相关装置、管道阀门。</w:t>
      </w:r>
    </w:p>
    <w:p w14:paraId="1CCD1DA8">
      <w:pPr>
        <w:spacing w:line="360" w:lineRule="auto"/>
        <w:ind w:firstLine="480" w:firstLineChars="200"/>
        <w:jc w:val="both"/>
        <w:rPr>
          <w:color w:val="auto"/>
          <w:sz w:val="24"/>
          <w:szCs w:val="24"/>
        </w:rPr>
      </w:pPr>
      <w:r>
        <w:rPr>
          <w:rFonts w:hint="eastAsia"/>
          <w:color w:val="auto"/>
          <w:sz w:val="24"/>
          <w:szCs w:val="24"/>
        </w:rPr>
        <w:t>②对于发生在设备、管道上的着火点，使用灭火器进行灭火。</w:t>
      </w:r>
    </w:p>
    <w:p w14:paraId="03F76637">
      <w:pPr>
        <w:spacing w:line="360" w:lineRule="auto"/>
        <w:ind w:firstLine="480" w:firstLineChars="200"/>
        <w:jc w:val="both"/>
        <w:rPr>
          <w:color w:val="auto"/>
          <w:sz w:val="24"/>
          <w:szCs w:val="24"/>
        </w:rPr>
      </w:pPr>
      <w:r>
        <w:rPr>
          <w:rFonts w:hint="eastAsia"/>
          <w:color w:val="auto"/>
          <w:sz w:val="24"/>
          <w:szCs w:val="24"/>
        </w:rPr>
        <w:t>③对于泄漏在地面上的液体的初始火灾，使用灭火器灭火。</w:t>
      </w:r>
    </w:p>
    <w:p w14:paraId="4518F797">
      <w:pPr>
        <w:spacing w:line="360" w:lineRule="auto"/>
        <w:ind w:firstLine="480" w:firstLineChars="200"/>
        <w:jc w:val="both"/>
        <w:rPr>
          <w:color w:val="auto"/>
          <w:sz w:val="24"/>
          <w:szCs w:val="24"/>
        </w:rPr>
      </w:pPr>
      <w:r>
        <w:rPr>
          <w:rFonts w:hint="eastAsia"/>
          <w:color w:val="auto"/>
          <w:sz w:val="24"/>
          <w:szCs w:val="24"/>
        </w:rPr>
        <w:t>④若发生一般可燃物初始火灾，可使用大量的水或消火栓灭火。</w:t>
      </w:r>
    </w:p>
    <w:p w14:paraId="69DF2AC1">
      <w:pPr>
        <w:spacing w:line="360" w:lineRule="auto"/>
        <w:ind w:firstLine="480" w:firstLineChars="200"/>
        <w:jc w:val="both"/>
        <w:rPr>
          <w:color w:val="auto"/>
          <w:sz w:val="24"/>
          <w:szCs w:val="24"/>
        </w:rPr>
      </w:pPr>
      <w:r>
        <w:rPr>
          <w:rFonts w:hint="eastAsia"/>
          <w:color w:val="auto"/>
          <w:sz w:val="24"/>
          <w:szCs w:val="24"/>
        </w:rPr>
        <w:t>1）若初始火灾会涉及电气线路或设施设备时，则应先切断电源，然后再用干粉或二氧化碳灭火器灭火。</w:t>
      </w:r>
    </w:p>
    <w:p w14:paraId="31781238">
      <w:pPr>
        <w:spacing w:line="360" w:lineRule="auto"/>
        <w:ind w:firstLine="480" w:firstLineChars="200"/>
        <w:jc w:val="both"/>
        <w:rPr>
          <w:color w:val="auto"/>
          <w:sz w:val="24"/>
          <w:szCs w:val="24"/>
        </w:rPr>
      </w:pPr>
      <w:r>
        <w:rPr>
          <w:rFonts w:hint="eastAsia"/>
          <w:color w:val="auto"/>
          <w:sz w:val="24"/>
          <w:szCs w:val="24"/>
        </w:rPr>
        <w:t>2）当初始火灾威胁到邻近危险化学品时，应对受威胁的危险化学品进行转移或冷却。</w:t>
      </w:r>
    </w:p>
    <w:p w14:paraId="665FBB98">
      <w:pPr>
        <w:spacing w:line="360" w:lineRule="auto"/>
        <w:ind w:firstLine="480" w:firstLineChars="200"/>
        <w:jc w:val="both"/>
        <w:rPr>
          <w:color w:val="auto"/>
          <w:sz w:val="24"/>
          <w:szCs w:val="24"/>
        </w:rPr>
      </w:pPr>
      <w:r>
        <w:rPr>
          <w:rFonts w:hint="eastAsia"/>
          <w:color w:val="auto"/>
          <w:sz w:val="24"/>
          <w:szCs w:val="24"/>
        </w:rPr>
        <w:t>（3）突发性公用工程事故</w:t>
      </w:r>
    </w:p>
    <w:p w14:paraId="01AC9A7A">
      <w:pPr>
        <w:spacing w:line="360" w:lineRule="auto"/>
        <w:ind w:firstLine="480" w:firstLineChars="200"/>
        <w:jc w:val="both"/>
        <w:rPr>
          <w:color w:val="auto"/>
          <w:sz w:val="24"/>
          <w:szCs w:val="24"/>
        </w:rPr>
      </w:pPr>
      <w:r>
        <w:rPr>
          <w:rFonts w:hint="eastAsia"/>
          <w:color w:val="auto"/>
          <w:sz w:val="24"/>
          <w:szCs w:val="24"/>
        </w:rPr>
        <w:t>突发性公用工程事故，是指全厂性突然停电、气、水、冷冻等或局部化工装置、重要设备的突然性停电、气、水、冷冻等的情况下，有可能反应失控，引发事故。</w:t>
      </w:r>
    </w:p>
    <w:p w14:paraId="55AEEF25">
      <w:pPr>
        <w:spacing w:line="360" w:lineRule="auto"/>
        <w:ind w:firstLine="480" w:firstLineChars="200"/>
        <w:jc w:val="both"/>
        <w:rPr>
          <w:color w:val="auto"/>
          <w:sz w:val="24"/>
          <w:szCs w:val="24"/>
        </w:rPr>
      </w:pPr>
      <w:r>
        <w:rPr>
          <w:rFonts w:hint="eastAsia"/>
          <w:color w:val="auto"/>
          <w:sz w:val="24"/>
          <w:szCs w:val="24"/>
        </w:rPr>
        <w:t>①事故单位主管部门的主管领导在发现事故或接到报告（报警）后必须在 15 分钟内赶到事故现场，最迟不超过20分钟；生产管理中心（总调度室）调度台在接到事故报告后，必须立即调集领导力量组织事故现场的抢修、抢救，各有关单位的领导人员在接到调度指令后，必须在15分钟内赶到事故现场，最迟不超过20分钟。公司主管领导在接到事故报告（报警）后必须在30分钟内赶到事故现场；如有必要，公司主要领导在30分钟内赶到事故现场。</w:t>
      </w:r>
    </w:p>
    <w:p w14:paraId="33193A75">
      <w:pPr>
        <w:spacing w:line="360" w:lineRule="auto"/>
        <w:ind w:firstLine="480" w:firstLineChars="200"/>
        <w:jc w:val="both"/>
        <w:rPr>
          <w:color w:val="auto"/>
          <w:sz w:val="24"/>
          <w:szCs w:val="24"/>
        </w:rPr>
      </w:pPr>
      <w:r>
        <w:rPr>
          <w:rFonts w:hint="eastAsia"/>
          <w:color w:val="auto"/>
          <w:sz w:val="24"/>
          <w:szCs w:val="24"/>
        </w:rPr>
        <w:t>②对于全厂性突然停电，各车间应立即安排好车间停车。电工班应立即启动转换备用电源。</w:t>
      </w:r>
    </w:p>
    <w:p w14:paraId="69E46714">
      <w:pPr>
        <w:spacing w:line="360" w:lineRule="auto"/>
        <w:ind w:firstLine="480" w:firstLineChars="200"/>
        <w:jc w:val="both"/>
        <w:rPr>
          <w:color w:val="auto"/>
          <w:sz w:val="24"/>
          <w:szCs w:val="24"/>
        </w:rPr>
      </w:pPr>
      <w:r>
        <w:rPr>
          <w:rFonts w:hint="eastAsia"/>
          <w:color w:val="auto"/>
          <w:sz w:val="24"/>
          <w:szCs w:val="24"/>
        </w:rPr>
        <w:t>③用备用电源供电时，应分配好用电负荷，并优先确保危险生产岗位正常用电。</w:t>
      </w:r>
    </w:p>
    <w:p w14:paraId="7A535C87">
      <w:pPr>
        <w:spacing w:line="360" w:lineRule="auto"/>
        <w:ind w:firstLine="480" w:firstLineChars="200"/>
        <w:jc w:val="both"/>
        <w:rPr>
          <w:color w:val="auto"/>
          <w:sz w:val="24"/>
          <w:szCs w:val="24"/>
        </w:rPr>
      </w:pPr>
      <w:r>
        <w:rPr>
          <w:rFonts w:hint="eastAsia"/>
          <w:color w:val="auto"/>
          <w:sz w:val="24"/>
          <w:szCs w:val="24"/>
        </w:rPr>
        <w:t>④根据预警情况决定启动应急预案的级别，要求应急单位和人员进入待命状态，并可动员、招募后备人员；</w:t>
      </w:r>
    </w:p>
    <w:p w14:paraId="6B11A751">
      <w:pPr>
        <w:spacing w:line="360" w:lineRule="auto"/>
        <w:ind w:firstLine="480" w:firstLineChars="200"/>
        <w:jc w:val="both"/>
        <w:rPr>
          <w:color w:val="auto"/>
          <w:sz w:val="24"/>
          <w:szCs w:val="24"/>
        </w:rPr>
      </w:pPr>
      <w:r>
        <w:rPr>
          <w:rFonts w:hint="eastAsia"/>
          <w:color w:val="auto"/>
          <w:sz w:val="24"/>
          <w:szCs w:val="24"/>
        </w:rPr>
        <w:t>⑤转移、疏散容易受到事故危害的人员和重要财产，并进行妥善安置；</w:t>
      </w:r>
    </w:p>
    <w:p w14:paraId="1F4CCD6E">
      <w:pPr>
        <w:spacing w:line="360" w:lineRule="auto"/>
        <w:ind w:firstLine="480" w:firstLineChars="200"/>
        <w:jc w:val="both"/>
        <w:rPr>
          <w:color w:val="auto"/>
          <w:sz w:val="24"/>
          <w:szCs w:val="24"/>
        </w:rPr>
      </w:pPr>
      <w:r>
        <w:rPr>
          <w:rFonts w:hint="eastAsia"/>
          <w:color w:val="auto"/>
          <w:sz w:val="24"/>
          <w:szCs w:val="24"/>
        </w:rPr>
        <w:t>⑥调集所需物资和设备；</w:t>
      </w:r>
    </w:p>
    <w:p w14:paraId="6071CA4D">
      <w:pPr>
        <w:spacing w:line="360" w:lineRule="auto"/>
        <w:ind w:firstLine="480" w:firstLineChars="200"/>
        <w:jc w:val="both"/>
        <w:rPr>
          <w:color w:val="auto"/>
          <w:sz w:val="24"/>
          <w:szCs w:val="24"/>
        </w:rPr>
      </w:pPr>
      <w:r>
        <w:rPr>
          <w:rFonts w:hint="eastAsia"/>
          <w:color w:val="auto"/>
          <w:sz w:val="24"/>
          <w:szCs w:val="24"/>
        </w:rPr>
        <w:t>⑦法律、行政法规的其他措施。</w:t>
      </w:r>
    </w:p>
    <w:p w14:paraId="086AE7E8">
      <w:pPr>
        <w:spacing w:line="360" w:lineRule="auto"/>
        <w:ind w:firstLine="480" w:firstLineChars="200"/>
        <w:jc w:val="both"/>
        <w:rPr>
          <w:color w:val="auto"/>
          <w:sz w:val="24"/>
          <w:szCs w:val="24"/>
        </w:rPr>
      </w:pPr>
      <w:r>
        <w:rPr>
          <w:rFonts w:hint="eastAsia"/>
          <w:color w:val="auto"/>
          <w:sz w:val="24"/>
          <w:szCs w:val="24"/>
        </w:rPr>
        <w:t>（5）废气处理设备故障</w:t>
      </w:r>
    </w:p>
    <w:p w14:paraId="084F7365">
      <w:pPr>
        <w:spacing w:line="360" w:lineRule="auto"/>
        <w:ind w:firstLine="480" w:firstLineChars="200"/>
        <w:jc w:val="both"/>
        <w:rPr>
          <w:color w:val="auto"/>
          <w:sz w:val="24"/>
          <w:szCs w:val="24"/>
        </w:rPr>
      </w:pPr>
      <w:r>
        <w:rPr>
          <w:rFonts w:hint="eastAsia"/>
          <w:color w:val="auto"/>
          <w:sz w:val="24"/>
          <w:szCs w:val="24"/>
        </w:rPr>
        <w:t>①如果发现是由于废气及尾气管道泄漏，则应当先关闭尾气阀门，再及时派人维修，直到维修好以后方可打开阀门输气。</w:t>
      </w:r>
    </w:p>
    <w:p w14:paraId="6B0AA170">
      <w:pPr>
        <w:spacing w:line="360" w:lineRule="auto"/>
        <w:ind w:firstLine="480" w:firstLineChars="200"/>
        <w:jc w:val="both"/>
        <w:rPr>
          <w:color w:val="auto"/>
          <w:sz w:val="24"/>
          <w:szCs w:val="24"/>
        </w:rPr>
      </w:pPr>
      <w:r>
        <w:rPr>
          <w:rFonts w:hint="eastAsia"/>
          <w:color w:val="auto"/>
          <w:sz w:val="24"/>
          <w:szCs w:val="24"/>
        </w:rPr>
        <w:t>②操作人员应每天对设施进行检查，对出现异常现象或隐患，应及时解决或向上级部门报告。</w:t>
      </w:r>
    </w:p>
    <w:p w14:paraId="11E024ED">
      <w:pPr>
        <w:spacing w:line="360" w:lineRule="auto"/>
        <w:ind w:firstLine="480" w:firstLineChars="200"/>
        <w:jc w:val="both"/>
        <w:rPr>
          <w:color w:val="auto"/>
          <w:sz w:val="24"/>
          <w:szCs w:val="24"/>
        </w:rPr>
      </w:pPr>
      <w:r>
        <w:rPr>
          <w:rFonts w:hint="eastAsia"/>
          <w:color w:val="auto"/>
          <w:sz w:val="24"/>
          <w:szCs w:val="24"/>
        </w:rPr>
        <w:t>（6）固体废物</w:t>
      </w:r>
    </w:p>
    <w:p w14:paraId="5EF5467A">
      <w:pPr>
        <w:spacing w:line="360" w:lineRule="auto"/>
        <w:ind w:firstLine="480" w:firstLineChars="200"/>
        <w:jc w:val="both"/>
        <w:rPr>
          <w:color w:val="auto"/>
          <w:sz w:val="24"/>
          <w:szCs w:val="24"/>
        </w:rPr>
      </w:pPr>
      <w:r>
        <w:rPr>
          <w:rFonts w:hint="eastAsia"/>
          <w:color w:val="auto"/>
          <w:sz w:val="24"/>
          <w:szCs w:val="24"/>
        </w:rPr>
        <w:t>①当发现固废随意堆放或异样反应时，应当在穿戴好PPE后，组织人员对固废进行搬运，在搬运过程中应当注意轻拿轻放。同时现场应当配备消防器材。</w:t>
      </w:r>
    </w:p>
    <w:p w14:paraId="029DA0DF">
      <w:pPr>
        <w:spacing w:line="360" w:lineRule="auto"/>
        <w:ind w:firstLine="480" w:firstLineChars="200"/>
        <w:jc w:val="both"/>
        <w:rPr>
          <w:color w:val="auto"/>
          <w:sz w:val="24"/>
          <w:szCs w:val="24"/>
        </w:rPr>
      </w:pPr>
      <w:r>
        <w:rPr>
          <w:rFonts w:hint="eastAsia"/>
          <w:color w:val="auto"/>
          <w:sz w:val="24"/>
          <w:szCs w:val="24"/>
        </w:rPr>
        <w:t>②在固废堆放点应当设置防渗措施、围栏和导流沟，防止流体无组织蔓延及渗透。</w:t>
      </w:r>
    </w:p>
    <w:p w14:paraId="743149B9">
      <w:pPr>
        <w:spacing w:line="360" w:lineRule="auto"/>
        <w:ind w:firstLine="480" w:firstLineChars="200"/>
        <w:jc w:val="both"/>
        <w:rPr>
          <w:color w:val="auto"/>
          <w:sz w:val="24"/>
          <w:szCs w:val="24"/>
        </w:rPr>
      </w:pPr>
      <w:r>
        <w:rPr>
          <w:rFonts w:hint="eastAsia"/>
          <w:color w:val="auto"/>
          <w:sz w:val="24"/>
          <w:szCs w:val="24"/>
        </w:rPr>
        <w:t>③废机油等危险废物泄漏至未经防渗的地面后，应急人员应将其收集后，对受污染地面地下水进行重新检测，需将受污染土壤收集后作为危废处置，如地下水受污染则需立即上报上级主管部门后，在上级部门的指导下展开应对措施。</w:t>
      </w:r>
    </w:p>
    <w:p w14:paraId="21E63FB0">
      <w:pPr>
        <w:spacing w:line="360" w:lineRule="auto"/>
        <w:ind w:firstLine="480"/>
        <w:jc w:val="both"/>
        <w:rPr>
          <w:color w:val="auto"/>
          <w:sz w:val="24"/>
          <w:szCs w:val="24"/>
        </w:rPr>
      </w:pPr>
      <w:r>
        <w:rPr>
          <w:rFonts w:hint="eastAsia"/>
          <w:color w:val="auto"/>
          <w:sz w:val="24"/>
          <w:szCs w:val="24"/>
        </w:rPr>
        <w:t>④固体废物应及时运送填埋场处置，避免因散热不及时等引起火灾爆炸等，发生火灾时，应立即采取措施并上报。</w:t>
      </w:r>
    </w:p>
    <w:p w14:paraId="192608B3">
      <w:pPr>
        <w:spacing w:line="360" w:lineRule="auto"/>
        <w:ind w:firstLine="480" w:firstLineChars="200"/>
        <w:jc w:val="both"/>
        <w:rPr>
          <w:color w:val="auto"/>
          <w:sz w:val="24"/>
          <w:szCs w:val="24"/>
        </w:rPr>
      </w:pPr>
      <w:r>
        <w:rPr>
          <w:rFonts w:hint="eastAsia"/>
          <w:color w:val="auto"/>
          <w:sz w:val="24"/>
          <w:szCs w:val="24"/>
        </w:rPr>
        <w:t>⑤发现危废误转和非法转移情况后，应急指挥中心总指挥在了解事件情况后，立即报告至上级环保主管部门和政府部门，由环保和政府部门组织人员展开追回程序。对已产生（或预测）污染的，应积极配合环保（公安）接受调查，必要时积极派员救援并提供物资，使污染程度降低到最小范围。</w:t>
      </w:r>
    </w:p>
    <w:p w14:paraId="6328729F">
      <w:pPr>
        <w:spacing w:line="360" w:lineRule="auto"/>
        <w:ind w:firstLine="480"/>
        <w:jc w:val="both"/>
        <w:rPr>
          <w:color w:val="auto"/>
          <w:sz w:val="24"/>
          <w:szCs w:val="24"/>
        </w:rPr>
      </w:pPr>
      <w:r>
        <w:rPr>
          <w:rFonts w:hint="eastAsia"/>
          <w:color w:val="auto"/>
          <w:sz w:val="24"/>
          <w:szCs w:val="24"/>
        </w:rPr>
        <w:t>⑥如产生异地填埋等， 则立即配合环保部门开展恢复工作。</w:t>
      </w:r>
    </w:p>
    <w:p w14:paraId="21C2356D">
      <w:pPr>
        <w:keepNext/>
        <w:keepLines/>
        <w:numPr>
          <w:ilvl w:val="3"/>
          <w:numId w:val="1"/>
        </w:numPr>
        <w:spacing w:line="360" w:lineRule="auto"/>
        <w:outlineLvl w:val="3"/>
        <w:rPr>
          <w:b/>
          <w:bCs/>
          <w:color w:val="auto"/>
          <w:sz w:val="24"/>
          <w:szCs w:val="28"/>
        </w:rPr>
      </w:pPr>
      <w:r>
        <w:rPr>
          <w:rFonts w:hint="eastAsia"/>
          <w:b/>
          <w:bCs/>
          <w:color w:val="auto"/>
          <w:sz w:val="24"/>
          <w:szCs w:val="28"/>
        </w:rPr>
        <w:t>贮存过程风险防范措施</w:t>
      </w:r>
    </w:p>
    <w:p w14:paraId="32884D26">
      <w:pPr>
        <w:spacing w:line="360" w:lineRule="auto"/>
        <w:ind w:firstLine="480" w:firstLineChars="200"/>
        <w:jc w:val="both"/>
        <w:rPr>
          <w:color w:val="auto"/>
          <w:sz w:val="24"/>
          <w:szCs w:val="24"/>
        </w:rPr>
      </w:pPr>
      <w:r>
        <w:rPr>
          <w:rFonts w:hint="eastAsia"/>
          <w:color w:val="auto"/>
          <w:sz w:val="24"/>
          <w:szCs w:val="24"/>
        </w:rPr>
        <w:t>贮存过程事故风险主要是因设备泄漏而造成的火灾爆炸和水质污染等事故，是安全生产的重要方面。</w:t>
      </w:r>
    </w:p>
    <w:p w14:paraId="32046746">
      <w:pPr>
        <w:spacing w:line="360" w:lineRule="auto"/>
        <w:ind w:firstLine="480" w:firstLineChars="200"/>
        <w:jc w:val="both"/>
        <w:rPr>
          <w:color w:val="auto"/>
          <w:sz w:val="24"/>
          <w:szCs w:val="24"/>
        </w:rPr>
      </w:pPr>
      <w:r>
        <w:rPr>
          <w:rFonts w:hint="eastAsia"/>
          <w:color w:val="auto"/>
          <w:sz w:val="24"/>
          <w:szCs w:val="24"/>
        </w:rPr>
        <w:t>（1）危险化学品贮存的场所必须是经公安消防部门审查批准设置的专门危险化学品库房，露天堆放的必须符合防火防爆要求；爆炸物品、遇湿燃烧物品、剧毒物品和一级易燃物品不能露天堆放。</w:t>
      </w:r>
    </w:p>
    <w:p w14:paraId="6DFAB24E">
      <w:pPr>
        <w:spacing w:line="360" w:lineRule="auto"/>
        <w:ind w:firstLine="480" w:firstLineChars="200"/>
        <w:jc w:val="both"/>
        <w:rPr>
          <w:color w:val="auto"/>
          <w:sz w:val="24"/>
          <w:szCs w:val="24"/>
        </w:rPr>
      </w:pPr>
      <w:r>
        <w:rPr>
          <w:rFonts w:hint="eastAsia"/>
          <w:color w:val="auto"/>
          <w:sz w:val="24"/>
          <w:szCs w:val="24"/>
        </w:rPr>
        <w:t>（2）贮存危险化学品的仓库管理人员，必须经过专业知识培训，熟悉贮存物品的特性、事故处理办法和防护知识，持证上岗，同时，必须配备有关的个人防护用品。</w:t>
      </w:r>
    </w:p>
    <w:p w14:paraId="45975E49">
      <w:pPr>
        <w:spacing w:line="360" w:lineRule="auto"/>
        <w:ind w:firstLine="480" w:firstLineChars="200"/>
        <w:jc w:val="both"/>
        <w:rPr>
          <w:color w:val="auto"/>
          <w:sz w:val="24"/>
          <w:szCs w:val="24"/>
        </w:rPr>
      </w:pPr>
      <w:r>
        <w:rPr>
          <w:rFonts w:hint="eastAsia"/>
          <w:color w:val="auto"/>
          <w:sz w:val="24"/>
          <w:szCs w:val="24"/>
        </w:rPr>
        <w:t>（3）贮存的危险化学品必须设有明显的标志，并按国家规定标准控制不同单位面积的最大贮存限量和距离。</w:t>
      </w:r>
    </w:p>
    <w:p w14:paraId="5B08EB69">
      <w:pPr>
        <w:spacing w:line="360" w:lineRule="auto"/>
        <w:ind w:firstLine="480" w:firstLineChars="200"/>
        <w:jc w:val="both"/>
        <w:rPr>
          <w:color w:val="auto"/>
          <w:sz w:val="24"/>
          <w:szCs w:val="24"/>
        </w:rPr>
      </w:pPr>
      <w:r>
        <w:rPr>
          <w:rFonts w:hint="eastAsia"/>
          <w:color w:val="auto"/>
          <w:sz w:val="24"/>
          <w:szCs w:val="24"/>
        </w:rPr>
        <w:t>（4）贮存危险化学品的库房、场所的消防设施、用电设施、防雷防静电设施等必须符合国家规定的安全要求。</w:t>
      </w:r>
    </w:p>
    <w:p w14:paraId="003C13A2">
      <w:pPr>
        <w:spacing w:line="360" w:lineRule="auto"/>
        <w:ind w:firstLine="480" w:firstLineChars="200"/>
        <w:jc w:val="both"/>
        <w:rPr>
          <w:color w:val="auto"/>
          <w:sz w:val="24"/>
          <w:szCs w:val="24"/>
        </w:rPr>
      </w:pPr>
      <w:r>
        <w:rPr>
          <w:rFonts w:hint="eastAsia"/>
          <w:color w:val="auto"/>
          <w:sz w:val="24"/>
          <w:szCs w:val="24"/>
        </w:rPr>
        <w:t>（5）危险化学品出入库必须检查验收登记，贮存期间定期养护，控制好贮存场所的温度和湿度；装卸、搬运时应轻装轻卸，注意自我防护。</w:t>
      </w:r>
    </w:p>
    <w:p w14:paraId="1BC9E454">
      <w:pPr>
        <w:spacing w:line="360" w:lineRule="auto"/>
        <w:ind w:firstLine="480" w:firstLineChars="200"/>
        <w:jc w:val="both"/>
        <w:rPr>
          <w:color w:val="auto"/>
          <w:sz w:val="24"/>
          <w:szCs w:val="24"/>
        </w:rPr>
      </w:pPr>
      <w:r>
        <w:rPr>
          <w:rFonts w:hint="eastAsia"/>
          <w:color w:val="auto"/>
          <w:sz w:val="24"/>
          <w:szCs w:val="24"/>
        </w:rPr>
        <w:t>（6）要严格遵守有关贮存的安全规定，具体包括《仓库防火安全管理规则》《建筑设计防火规范》等。</w:t>
      </w:r>
    </w:p>
    <w:p w14:paraId="2B492004">
      <w:pPr>
        <w:spacing w:line="360" w:lineRule="auto"/>
        <w:ind w:firstLine="480" w:firstLineChars="200"/>
        <w:jc w:val="both"/>
        <w:rPr>
          <w:color w:val="auto"/>
          <w:sz w:val="24"/>
          <w:szCs w:val="24"/>
        </w:rPr>
      </w:pPr>
      <w:r>
        <w:rPr>
          <w:rFonts w:hint="eastAsia"/>
          <w:color w:val="auto"/>
          <w:sz w:val="24"/>
          <w:szCs w:val="24"/>
        </w:rPr>
        <w:t>（7）危险废物贮存设施的选址、设计、建设、运行管理应满足GB18597、GBZ1和GBZ2的有关要求。</w:t>
      </w:r>
    </w:p>
    <w:p w14:paraId="2F5E15D7">
      <w:pPr>
        <w:spacing w:line="360" w:lineRule="auto"/>
        <w:ind w:firstLine="480" w:firstLineChars="200"/>
        <w:jc w:val="both"/>
        <w:rPr>
          <w:color w:val="auto"/>
          <w:sz w:val="24"/>
          <w:szCs w:val="24"/>
        </w:rPr>
      </w:pPr>
      <w:r>
        <w:rPr>
          <w:rFonts w:hint="eastAsia"/>
          <w:color w:val="auto"/>
          <w:sz w:val="24"/>
          <w:szCs w:val="24"/>
        </w:rPr>
        <w:t>（8）危险废物贮存设施应配备通讯设备、 照明设施和消防设施。</w:t>
      </w:r>
    </w:p>
    <w:p w14:paraId="4778B185">
      <w:pPr>
        <w:spacing w:line="360" w:lineRule="auto"/>
        <w:ind w:firstLine="480" w:firstLineChars="200"/>
        <w:jc w:val="both"/>
        <w:rPr>
          <w:color w:val="auto"/>
          <w:sz w:val="24"/>
          <w:szCs w:val="24"/>
        </w:rPr>
      </w:pPr>
      <w:r>
        <w:rPr>
          <w:rFonts w:hint="eastAsia"/>
          <w:color w:val="auto"/>
          <w:sz w:val="24"/>
          <w:szCs w:val="24"/>
        </w:rPr>
        <w:t>（9）贮存危险废物时应按危险废物的种类和特性进行分区贮存，每个贮存区域之间宜设置挡墙间隔，并应设置防雨、防火、防雷、防扬尘装置。</w:t>
      </w:r>
    </w:p>
    <w:p w14:paraId="7C3F220A">
      <w:pPr>
        <w:spacing w:line="360" w:lineRule="auto"/>
        <w:ind w:firstLine="480" w:firstLineChars="200"/>
        <w:jc w:val="both"/>
        <w:rPr>
          <w:color w:val="auto"/>
          <w:sz w:val="24"/>
          <w:szCs w:val="24"/>
        </w:rPr>
      </w:pPr>
      <w:r>
        <w:rPr>
          <w:rFonts w:hint="eastAsia"/>
          <w:color w:val="auto"/>
          <w:sz w:val="24"/>
          <w:szCs w:val="24"/>
        </w:rPr>
        <w:t>（10）贮存易燃易爆危险废物应配置有机气体报警、火灾报警装置和导除静电的接地装置。</w:t>
      </w:r>
    </w:p>
    <w:p w14:paraId="1D09DAF6">
      <w:pPr>
        <w:spacing w:line="360" w:lineRule="auto"/>
        <w:ind w:firstLine="480" w:firstLineChars="200"/>
        <w:jc w:val="both"/>
        <w:rPr>
          <w:color w:val="auto"/>
          <w:sz w:val="24"/>
          <w:szCs w:val="24"/>
        </w:rPr>
      </w:pPr>
      <w:r>
        <w:rPr>
          <w:rFonts w:hint="eastAsia"/>
          <w:color w:val="auto"/>
          <w:sz w:val="24"/>
          <w:szCs w:val="24"/>
        </w:rPr>
        <w:t>（11）废弃危险化学品贮存应满足GB 15603、《危险化学品安全管理条例</w:t>
      </w:r>
      <w:r>
        <w:rPr>
          <w:rFonts w:hint="eastAsia"/>
          <w:color w:val="auto"/>
          <w:sz w:val="24"/>
          <w:szCs w:val="24"/>
          <w:lang w:eastAsia="zh-CN"/>
        </w:rPr>
        <w:t>》和</w:t>
      </w:r>
      <w:r>
        <w:rPr>
          <w:rFonts w:hint="eastAsia"/>
          <w:color w:val="auto"/>
          <w:sz w:val="24"/>
          <w:szCs w:val="24"/>
        </w:rPr>
        <w:t>《废弃危险化学品污染环境防治办法》的要求。贮存废弃剧毒化学品还应充分考虑防盗要求，采用双钥匙封闭式管理，且有专人24小时看管。</w:t>
      </w:r>
    </w:p>
    <w:p w14:paraId="1E21D6A0">
      <w:pPr>
        <w:spacing w:line="360" w:lineRule="auto"/>
        <w:ind w:firstLine="480" w:firstLineChars="200"/>
        <w:jc w:val="both"/>
        <w:rPr>
          <w:color w:val="auto"/>
          <w:sz w:val="24"/>
          <w:szCs w:val="24"/>
        </w:rPr>
      </w:pPr>
      <w:r>
        <w:rPr>
          <w:rFonts w:hint="eastAsia"/>
          <w:color w:val="auto"/>
          <w:sz w:val="24"/>
          <w:szCs w:val="24"/>
        </w:rPr>
        <w:t>（12）当沸点高于45℃的易挥发介质如选用固定顶储罐储存时，须设置储罐控温和罐顶废气回收或预处理设施，储罐的气相空间宜设置氮气保护系统，储罐排放的废气须收集、处理后达标排放。物料进入储罐过程宜装设平衡管，减少因大呼吸产生的废气的排放量。</w:t>
      </w:r>
    </w:p>
    <w:p w14:paraId="13338800">
      <w:pPr>
        <w:spacing w:line="360" w:lineRule="auto"/>
        <w:ind w:firstLine="480" w:firstLineChars="200"/>
        <w:jc w:val="both"/>
        <w:rPr>
          <w:color w:val="auto"/>
          <w:sz w:val="24"/>
          <w:szCs w:val="24"/>
        </w:rPr>
      </w:pPr>
      <w:r>
        <w:rPr>
          <w:rFonts w:hint="eastAsia"/>
          <w:color w:val="auto"/>
          <w:sz w:val="24"/>
          <w:szCs w:val="24"/>
        </w:rPr>
        <w:t>（13）输送腐蚀性或有毒介质的管道不宜埋地敷设，应架空或地面敷设，并应避免由于法兰、螺纹和填料密封等泄漏而造成对人身或设备的危害；该类管道在低点处不得任意设置放液口，可能排出该类介质的场所应设收集系统或其他收集设施，经处理后排放。</w:t>
      </w:r>
    </w:p>
    <w:p w14:paraId="3AF5339A">
      <w:pPr>
        <w:spacing w:line="360" w:lineRule="auto"/>
        <w:ind w:firstLine="480" w:firstLineChars="200"/>
        <w:jc w:val="both"/>
        <w:rPr>
          <w:color w:val="auto"/>
          <w:sz w:val="24"/>
          <w:szCs w:val="24"/>
        </w:rPr>
      </w:pPr>
      <w:r>
        <w:rPr>
          <w:rFonts w:hint="eastAsia"/>
          <w:color w:val="auto"/>
          <w:sz w:val="24"/>
          <w:szCs w:val="24"/>
        </w:rPr>
        <w:t>（14）可燃气体和可燃液体的管道应架空或沿地敷设，严禁直接埋地敷设。 必须采用管沟敷设时，应采取防止可燃气体、液化烃和可燃液体在管沟内积聚的措施，并在进、出装置及厂房处密封隔断；管沟内的污水应经水封井排入生产污水管道。</w:t>
      </w:r>
    </w:p>
    <w:p w14:paraId="6BC97F59">
      <w:pPr>
        <w:spacing w:line="360" w:lineRule="auto"/>
        <w:ind w:firstLine="480" w:firstLineChars="200"/>
        <w:jc w:val="both"/>
        <w:rPr>
          <w:color w:val="auto"/>
          <w:sz w:val="24"/>
          <w:szCs w:val="24"/>
        </w:rPr>
      </w:pPr>
      <w:r>
        <w:rPr>
          <w:rFonts w:hint="eastAsia"/>
          <w:color w:val="auto"/>
          <w:sz w:val="24"/>
          <w:szCs w:val="24"/>
        </w:rPr>
        <w:t>（15）室外长距离输送极度危害的气体宜采用带惰性气体的管间保护套管输送，并对管间保护气体成分做定期检测。</w:t>
      </w:r>
    </w:p>
    <w:p w14:paraId="2C276275">
      <w:pPr>
        <w:spacing w:line="360" w:lineRule="auto"/>
        <w:ind w:firstLine="480" w:firstLineChars="200"/>
        <w:jc w:val="both"/>
        <w:rPr>
          <w:color w:val="auto"/>
          <w:sz w:val="24"/>
          <w:szCs w:val="24"/>
        </w:rPr>
      </w:pPr>
      <w:r>
        <w:rPr>
          <w:rFonts w:hint="eastAsia"/>
          <w:color w:val="auto"/>
          <w:sz w:val="24"/>
          <w:szCs w:val="24"/>
        </w:rPr>
        <w:t>（16）可燃气体和可燃液体的金属管道除需要采用法兰连接外，均应采用焊接连接。公称直径等于或小于25mm的可燃气体、液化烃和可燃液体的金属管道和阀门采用锥管螺纹连接时，除能产生缝隙腐蚀的介质管道外，应在螺纹处采用密封焊。</w:t>
      </w:r>
    </w:p>
    <w:p w14:paraId="7DF8F658">
      <w:pPr>
        <w:spacing w:line="360" w:lineRule="auto"/>
        <w:ind w:firstLine="480" w:firstLineChars="200"/>
        <w:jc w:val="both"/>
        <w:rPr>
          <w:color w:val="auto"/>
          <w:sz w:val="24"/>
          <w:szCs w:val="24"/>
        </w:rPr>
      </w:pPr>
      <w:r>
        <w:rPr>
          <w:rFonts w:hint="eastAsia"/>
          <w:color w:val="auto"/>
          <w:sz w:val="24"/>
          <w:szCs w:val="24"/>
        </w:rPr>
        <w:t>（17）封闭的管路应设流体膨胀设施；不隔热的液化烃管道应设安全阀；不隔热的易燃、可燃轻质液体的管道亦应采取管道泄压保护措施。</w:t>
      </w:r>
    </w:p>
    <w:p w14:paraId="530F97FC">
      <w:pPr>
        <w:spacing w:line="360" w:lineRule="auto"/>
        <w:ind w:firstLine="480" w:firstLineChars="200"/>
        <w:jc w:val="both"/>
        <w:rPr>
          <w:color w:val="auto"/>
          <w:sz w:val="24"/>
          <w:szCs w:val="24"/>
        </w:rPr>
      </w:pPr>
      <w:r>
        <w:rPr>
          <w:rFonts w:hint="eastAsia"/>
          <w:color w:val="auto"/>
          <w:sz w:val="24"/>
          <w:szCs w:val="24"/>
        </w:rPr>
        <w:t>（18）容器间物料的输送及实施桶装物料加料，不得采用压缩空气或真空的方式抽压，应采用便携式泵或固定泵输送。</w:t>
      </w:r>
    </w:p>
    <w:p w14:paraId="18468EDE">
      <w:pPr>
        <w:spacing w:line="360" w:lineRule="auto"/>
        <w:ind w:firstLine="480" w:firstLineChars="200"/>
        <w:jc w:val="both"/>
        <w:rPr>
          <w:color w:val="auto"/>
          <w:sz w:val="24"/>
          <w:szCs w:val="24"/>
        </w:rPr>
      </w:pPr>
      <w:r>
        <w:rPr>
          <w:rFonts w:hint="eastAsia"/>
          <w:color w:val="auto"/>
          <w:sz w:val="24"/>
          <w:szCs w:val="24"/>
        </w:rPr>
        <w:t>（19）汽车槽车卸料时，甲类液化烃、可燃液体宜采用鹤管或万向卸车鹤管。</w:t>
      </w:r>
    </w:p>
    <w:p w14:paraId="65E398D6">
      <w:pPr>
        <w:spacing w:line="360" w:lineRule="auto"/>
        <w:ind w:firstLine="480" w:firstLineChars="200"/>
        <w:jc w:val="both"/>
        <w:rPr>
          <w:color w:val="auto"/>
          <w:sz w:val="24"/>
          <w:szCs w:val="24"/>
        </w:rPr>
      </w:pPr>
      <w:r>
        <w:rPr>
          <w:rFonts w:hint="eastAsia"/>
          <w:color w:val="auto"/>
          <w:sz w:val="24"/>
          <w:szCs w:val="24"/>
        </w:rPr>
        <w:t>（20）有毒、有害液体的装卸应采用密闭操作技术，配置局部通风和净化系统以及回收系统。</w:t>
      </w:r>
    </w:p>
    <w:p w14:paraId="676B40CD">
      <w:pPr>
        <w:spacing w:line="360" w:lineRule="auto"/>
        <w:ind w:firstLine="480" w:firstLineChars="200"/>
        <w:jc w:val="both"/>
        <w:rPr>
          <w:color w:val="auto"/>
          <w:sz w:val="24"/>
          <w:szCs w:val="24"/>
        </w:rPr>
      </w:pPr>
      <w:r>
        <w:rPr>
          <w:rFonts w:hint="eastAsia"/>
          <w:color w:val="auto"/>
          <w:sz w:val="24"/>
          <w:szCs w:val="24"/>
        </w:rPr>
        <w:t>（21）有毒有害成品液体分装、固体物料包装应采取自动或半自动包装，设置分装介质的挥发性气体、粉尘、漏液的收集、处理措施。</w:t>
      </w:r>
    </w:p>
    <w:p w14:paraId="18A1EA5E">
      <w:pPr>
        <w:spacing w:line="360" w:lineRule="auto"/>
        <w:ind w:firstLine="480" w:firstLineChars="200"/>
        <w:jc w:val="both"/>
        <w:rPr>
          <w:color w:val="auto"/>
          <w:sz w:val="24"/>
          <w:szCs w:val="24"/>
        </w:rPr>
      </w:pPr>
      <w:r>
        <w:rPr>
          <w:rFonts w:hint="eastAsia"/>
          <w:color w:val="auto"/>
          <w:sz w:val="24"/>
          <w:szCs w:val="24"/>
        </w:rPr>
        <w:t>（22）企业必须对危险化学品贮槽做定期的防腐处理，对贮槽壁厚做定期检测，以防破裂而引发重大事故。</w:t>
      </w:r>
    </w:p>
    <w:p w14:paraId="16A8CF39">
      <w:pPr>
        <w:spacing w:line="360" w:lineRule="auto"/>
        <w:ind w:firstLine="480" w:firstLineChars="200"/>
        <w:jc w:val="both"/>
        <w:rPr>
          <w:color w:val="auto"/>
          <w:sz w:val="24"/>
          <w:szCs w:val="24"/>
        </w:rPr>
      </w:pPr>
      <w:r>
        <w:rPr>
          <w:rFonts w:hint="eastAsia"/>
          <w:color w:val="auto"/>
          <w:sz w:val="24"/>
          <w:szCs w:val="24"/>
        </w:rPr>
        <w:t>（23）对厂区进出口和化学品库及危险废物暂存库等重要设施的进出口均设置视频监控系统进行24小时监控。</w:t>
      </w:r>
    </w:p>
    <w:p w14:paraId="65228496">
      <w:pPr>
        <w:keepNext/>
        <w:keepLines/>
        <w:numPr>
          <w:ilvl w:val="3"/>
          <w:numId w:val="1"/>
        </w:numPr>
        <w:spacing w:line="360" w:lineRule="auto"/>
        <w:outlineLvl w:val="3"/>
        <w:rPr>
          <w:b/>
          <w:bCs/>
          <w:color w:val="auto"/>
          <w:sz w:val="24"/>
          <w:szCs w:val="28"/>
        </w:rPr>
      </w:pPr>
      <w:r>
        <w:rPr>
          <w:rFonts w:hint="eastAsia"/>
          <w:b/>
          <w:bCs/>
          <w:color w:val="auto"/>
          <w:sz w:val="24"/>
          <w:szCs w:val="28"/>
        </w:rPr>
        <w:t>运输和装卸风险防范措施</w:t>
      </w:r>
    </w:p>
    <w:p w14:paraId="7845683F">
      <w:pPr>
        <w:spacing w:line="360" w:lineRule="auto"/>
        <w:ind w:firstLine="480" w:firstLineChars="200"/>
        <w:jc w:val="both"/>
        <w:rPr>
          <w:color w:val="auto"/>
          <w:sz w:val="24"/>
          <w:szCs w:val="24"/>
        </w:rPr>
      </w:pPr>
      <w:r>
        <w:rPr>
          <w:rFonts w:hint="eastAsia"/>
          <w:color w:val="auto"/>
          <w:sz w:val="24"/>
          <w:szCs w:val="24"/>
        </w:rPr>
        <w:t>拟建项目运输涉及的危险化学品运输方式为管道、汽车运输，危化品装卸、输送应严格执行《危险化学品安全管理条例</w:t>
      </w:r>
      <w:r>
        <w:rPr>
          <w:rFonts w:hint="eastAsia"/>
          <w:color w:val="auto"/>
          <w:sz w:val="24"/>
          <w:szCs w:val="24"/>
          <w:lang w:eastAsia="zh-CN"/>
        </w:rPr>
        <w:t>》和</w:t>
      </w:r>
      <w:r>
        <w:rPr>
          <w:rFonts w:hint="eastAsia"/>
          <w:color w:val="auto"/>
          <w:sz w:val="24"/>
          <w:szCs w:val="24"/>
        </w:rPr>
        <w:t>《铁路危险货物运输管理规则》（2008年版）的相关规定。</w:t>
      </w:r>
    </w:p>
    <w:p w14:paraId="19BD3F76">
      <w:pPr>
        <w:spacing w:line="360" w:lineRule="auto"/>
        <w:ind w:firstLine="480" w:firstLineChars="200"/>
        <w:jc w:val="both"/>
        <w:rPr>
          <w:color w:val="auto"/>
          <w:sz w:val="24"/>
          <w:szCs w:val="24"/>
        </w:rPr>
      </w:pPr>
      <w:r>
        <w:rPr>
          <w:rFonts w:hint="eastAsia"/>
          <w:color w:val="auto"/>
          <w:sz w:val="24"/>
          <w:szCs w:val="24"/>
        </w:rPr>
        <w:t>（1）运输车辆应具有危运许可证，司机、押运员有上岗证。对于近距离使用槽车运输有毒有害物料，应选择合理的运输路线，勿在居民区和人口稠密区停留；同时对槽车驾驶员进行严格的培训和资格认证。在可能发生事故的设备、材料、物品的周围和主要通道危险地段，出入口等处应装设事故照明灯。</w:t>
      </w:r>
    </w:p>
    <w:p w14:paraId="0C384E0A">
      <w:pPr>
        <w:spacing w:line="360" w:lineRule="auto"/>
        <w:ind w:firstLine="480" w:firstLineChars="200"/>
        <w:jc w:val="both"/>
        <w:rPr>
          <w:color w:val="auto"/>
          <w:sz w:val="24"/>
          <w:szCs w:val="24"/>
        </w:rPr>
      </w:pPr>
      <w:r>
        <w:rPr>
          <w:rFonts w:hint="eastAsia"/>
          <w:color w:val="auto"/>
          <w:sz w:val="24"/>
          <w:szCs w:val="24"/>
        </w:rPr>
        <w:t>（2）运输容器由定点单位生产、经检测、检验合格后方可使用。罐体的质量直接决定了危险化学品道路运输的安全性，罐车生产厂家要提高产品质量，尤其要加强对罐体关键部件如阀门、管路等的质量管理和检验，避免出现故障。另外，要定期对罐车使用情况进行跟踪调查，以便及时根据罐车使用中发生的问题进行改进设计，进一步保障质量和安全。</w:t>
      </w:r>
    </w:p>
    <w:p w14:paraId="671683A3">
      <w:pPr>
        <w:spacing w:line="360" w:lineRule="auto"/>
        <w:ind w:firstLine="480" w:firstLineChars="200"/>
        <w:jc w:val="both"/>
        <w:rPr>
          <w:color w:val="auto"/>
          <w:sz w:val="24"/>
          <w:szCs w:val="24"/>
        </w:rPr>
      </w:pPr>
      <w:r>
        <w:rPr>
          <w:rFonts w:hint="eastAsia"/>
          <w:color w:val="auto"/>
          <w:sz w:val="24"/>
          <w:szCs w:val="24"/>
        </w:rPr>
        <w:t>（3）运输危险化学品的车辆后部安装告示牌，告示牌上标明化学品的名称、种类、最大载质量、施救方法、企业联系电话等。同时车上要配备必要的防毒器具、消防器材，并设有紧急截断阀、易熔塞、阻火器、吹扫置换系统、导静电接地与灭火装置、公路运输泄放阀，预防事故的发生。</w:t>
      </w:r>
    </w:p>
    <w:p w14:paraId="65C4F248">
      <w:pPr>
        <w:spacing w:line="360" w:lineRule="auto"/>
        <w:ind w:firstLine="480" w:firstLineChars="200"/>
        <w:jc w:val="both"/>
        <w:rPr>
          <w:color w:val="auto"/>
          <w:sz w:val="24"/>
          <w:szCs w:val="24"/>
        </w:rPr>
      </w:pPr>
      <w:r>
        <w:rPr>
          <w:rFonts w:hint="eastAsia"/>
          <w:color w:val="auto"/>
          <w:sz w:val="24"/>
          <w:szCs w:val="24"/>
        </w:rPr>
        <w:t>（4）尽量安排危险品运输车辆在交通量较少时段通行。在气候不好的条件下，禁止其上路。</w:t>
      </w:r>
    </w:p>
    <w:p w14:paraId="4F8FADD7">
      <w:pPr>
        <w:spacing w:line="360" w:lineRule="auto"/>
        <w:ind w:firstLine="480" w:firstLineChars="200"/>
        <w:jc w:val="both"/>
        <w:rPr>
          <w:color w:val="auto"/>
          <w:sz w:val="24"/>
          <w:szCs w:val="24"/>
        </w:rPr>
      </w:pPr>
      <w:r>
        <w:rPr>
          <w:rFonts w:hint="eastAsia"/>
          <w:color w:val="auto"/>
          <w:sz w:val="24"/>
          <w:szCs w:val="24"/>
        </w:rPr>
        <w:t>（5）对运输车辆配备GPS定位仪、防护工具。</w:t>
      </w:r>
    </w:p>
    <w:p w14:paraId="560CEA58">
      <w:pPr>
        <w:spacing w:line="360" w:lineRule="auto"/>
        <w:ind w:firstLine="480" w:firstLineChars="200"/>
        <w:jc w:val="both"/>
        <w:rPr>
          <w:color w:val="auto"/>
          <w:sz w:val="24"/>
          <w:szCs w:val="24"/>
        </w:rPr>
      </w:pPr>
      <w:r>
        <w:rPr>
          <w:rFonts w:hint="eastAsia"/>
          <w:color w:val="auto"/>
          <w:sz w:val="24"/>
          <w:szCs w:val="24"/>
        </w:rPr>
        <w:t>（6）建立运输设备的维护与保养的规章制度；制订危险品运输事故应急计划。</w:t>
      </w:r>
    </w:p>
    <w:p w14:paraId="4887189F">
      <w:pPr>
        <w:spacing w:line="360" w:lineRule="auto"/>
        <w:ind w:firstLine="480" w:firstLineChars="200"/>
        <w:jc w:val="both"/>
        <w:rPr>
          <w:color w:val="auto"/>
          <w:sz w:val="24"/>
          <w:szCs w:val="24"/>
        </w:rPr>
      </w:pPr>
      <w:r>
        <w:rPr>
          <w:rFonts w:hint="eastAsia"/>
          <w:color w:val="auto"/>
          <w:sz w:val="24"/>
          <w:szCs w:val="24"/>
        </w:rPr>
        <w:t>（7）装卸、储存专用场地及其安全设施设备实行封闭管理并设立明显的安全警示标志，设施设备布局、作业区域划分、安全防护距离等符合规定。</w:t>
      </w:r>
    </w:p>
    <w:p w14:paraId="01C85FC3">
      <w:pPr>
        <w:spacing w:line="360" w:lineRule="auto"/>
        <w:ind w:firstLine="480" w:firstLineChars="200"/>
        <w:jc w:val="both"/>
        <w:rPr>
          <w:color w:val="auto"/>
          <w:sz w:val="24"/>
          <w:szCs w:val="24"/>
        </w:rPr>
      </w:pPr>
      <w:r>
        <w:rPr>
          <w:rFonts w:hint="eastAsia"/>
          <w:color w:val="auto"/>
          <w:sz w:val="24"/>
          <w:szCs w:val="24"/>
        </w:rPr>
        <w:t>（8）设置有与办理货物危险特性相适应并经相关部门验收合格的仓库、雨棚、场地等设施，配置相应的计量、检测、监控、通信、报警、通风、防火、灭火、防爆、防雷、防静电、防腐蚀、防泄漏、防中毒等安全设施设备，并进行经常性维护、保养，保证设施设备的正常使用。</w:t>
      </w:r>
    </w:p>
    <w:p w14:paraId="7F0E60B3">
      <w:pPr>
        <w:spacing w:line="360" w:lineRule="auto"/>
        <w:ind w:firstLine="480" w:firstLineChars="200"/>
        <w:jc w:val="both"/>
        <w:rPr>
          <w:color w:val="auto"/>
          <w:sz w:val="24"/>
          <w:szCs w:val="24"/>
        </w:rPr>
      </w:pPr>
      <w:r>
        <w:rPr>
          <w:rFonts w:hint="eastAsia"/>
          <w:color w:val="auto"/>
          <w:sz w:val="24"/>
          <w:szCs w:val="24"/>
        </w:rPr>
        <w:t>（9）装卸设备符合安全要求，易燃、易爆的危险货物装卸设备应当采取防爆措施，罐车装运危险货物应当使用栈桥、鹤管等专用装卸设施，危险货物集装箱装卸作业应当使用集装箱专用装卸机械。</w:t>
      </w:r>
    </w:p>
    <w:p w14:paraId="65A0C151">
      <w:pPr>
        <w:spacing w:line="360" w:lineRule="auto"/>
        <w:ind w:firstLine="480" w:firstLineChars="200"/>
        <w:jc w:val="both"/>
        <w:rPr>
          <w:color w:val="auto"/>
          <w:sz w:val="24"/>
          <w:szCs w:val="24"/>
        </w:rPr>
      </w:pPr>
      <w:r>
        <w:rPr>
          <w:rFonts w:hint="eastAsia"/>
          <w:color w:val="auto"/>
          <w:sz w:val="24"/>
          <w:szCs w:val="24"/>
        </w:rPr>
        <w:t>（10）危险货物的包装物、容器、衬垫物的材质以及包装型式、规格、方法和单件质量（重量）等应当与所包装的危险货物的性质和用途相适应；包装能够抗御运输、储存和装卸过程中正常的冲击、振动、堆码和挤压，并便于装卸和搬运；包装外表面应当牢固、清晰地标明危险货物包装标志和包装储运图示标志。</w:t>
      </w:r>
    </w:p>
    <w:p w14:paraId="63252ECB">
      <w:pPr>
        <w:spacing w:line="360" w:lineRule="auto"/>
        <w:ind w:firstLine="480" w:firstLineChars="200"/>
        <w:jc w:val="both"/>
        <w:rPr>
          <w:color w:val="auto"/>
          <w:sz w:val="24"/>
          <w:szCs w:val="24"/>
        </w:rPr>
      </w:pPr>
      <w:r>
        <w:rPr>
          <w:rFonts w:hint="eastAsia"/>
          <w:color w:val="auto"/>
          <w:sz w:val="24"/>
          <w:szCs w:val="24"/>
        </w:rPr>
        <w:t>（11）危险货物装卸前，应对车辆和仓库进行必要的通风和检查。车体应干燥，车内不得留有残渣。装卸危险货物严禁使用明火灯具照明。作业前货运员应向装卸工组详细说明货物的品名、性质，布置装卸作业安全注意事项和需准备的消防器材和安全防护用品。作业时要注意轻拿轻放，堆码整齐牢固，严格按规定的安全作业事项操作，严禁倒放。破损的包装件不准装车。机械作业时机具应能防止产生火花。桶装液体危险货物如无防磨防漏措施不准在车内卧装。顶层装不满的，要采取措施防止危险货物包装件倒塌跌落。</w:t>
      </w:r>
    </w:p>
    <w:p w14:paraId="248110F1">
      <w:pPr>
        <w:spacing w:line="360" w:lineRule="auto"/>
        <w:ind w:firstLine="480" w:firstLineChars="200"/>
        <w:jc w:val="both"/>
        <w:rPr>
          <w:color w:val="auto"/>
          <w:sz w:val="24"/>
          <w:szCs w:val="24"/>
        </w:rPr>
      </w:pPr>
      <w:r>
        <w:rPr>
          <w:rFonts w:hint="eastAsia"/>
          <w:color w:val="auto"/>
          <w:sz w:val="24"/>
          <w:szCs w:val="24"/>
        </w:rPr>
        <w:t>（12）充装非气体类液体危险货物时，应根据液体货车的密度、罐车标记载重量、标记容积确定充装量；充装量不得大于罐车标记载重量；同时要留有膨胀余量、充装量上限不得大于罐体标记容积的95%，下限不得小于罐体标记容积的83%；严禁超装。</w:t>
      </w:r>
    </w:p>
    <w:p w14:paraId="0673B64F">
      <w:pPr>
        <w:spacing w:line="360" w:lineRule="auto"/>
        <w:ind w:firstLine="480" w:firstLineChars="200"/>
        <w:jc w:val="both"/>
        <w:rPr>
          <w:color w:val="auto"/>
          <w:sz w:val="24"/>
          <w:szCs w:val="24"/>
        </w:rPr>
      </w:pPr>
      <w:r>
        <w:rPr>
          <w:rFonts w:hint="eastAsia"/>
          <w:color w:val="auto"/>
          <w:sz w:val="24"/>
          <w:szCs w:val="24"/>
        </w:rPr>
        <w:t>（13）自备罐车装运危险货物，品名范围及车种要求应符合铁道部《危险货物运输规则》中的相关规定；自备罐车装车前，托运人应确认罐车是否良好，罐体外部应保持清洁、标记、文字能清晰易辨。罐体有漏裂，阀、盖、垫及仪表等附件、配件不齐全或作用不良的罐车禁止使用。</w:t>
      </w:r>
    </w:p>
    <w:p w14:paraId="2025B67D">
      <w:pPr>
        <w:spacing w:line="360" w:lineRule="auto"/>
        <w:ind w:firstLine="480" w:firstLineChars="200"/>
        <w:jc w:val="both"/>
        <w:rPr>
          <w:color w:val="auto"/>
          <w:sz w:val="24"/>
          <w:szCs w:val="24"/>
        </w:rPr>
      </w:pPr>
      <w:r>
        <w:rPr>
          <w:rFonts w:hint="eastAsia"/>
          <w:color w:val="auto"/>
          <w:sz w:val="24"/>
          <w:szCs w:val="24"/>
        </w:rPr>
        <w:t>综上，在落实上述运输环境风险防范后，本项目化学品的运输风险可降至最低。</w:t>
      </w:r>
    </w:p>
    <w:p w14:paraId="61D69F51">
      <w:pPr>
        <w:keepNext/>
        <w:keepLines/>
        <w:numPr>
          <w:ilvl w:val="3"/>
          <w:numId w:val="1"/>
        </w:numPr>
        <w:spacing w:line="360" w:lineRule="auto"/>
        <w:outlineLvl w:val="3"/>
        <w:rPr>
          <w:b/>
          <w:bCs/>
          <w:color w:val="auto"/>
          <w:sz w:val="24"/>
          <w:szCs w:val="28"/>
        </w:rPr>
      </w:pPr>
      <w:r>
        <w:rPr>
          <w:rFonts w:hint="eastAsia"/>
          <w:b/>
          <w:bCs/>
          <w:color w:val="auto"/>
          <w:sz w:val="24"/>
          <w:szCs w:val="28"/>
        </w:rPr>
        <w:t>末端处置过程风险防范措施</w:t>
      </w:r>
    </w:p>
    <w:p w14:paraId="01AAD254">
      <w:pPr>
        <w:spacing w:line="360" w:lineRule="auto"/>
        <w:ind w:firstLine="480" w:firstLineChars="200"/>
        <w:jc w:val="both"/>
        <w:rPr>
          <w:color w:val="auto"/>
          <w:sz w:val="24"/>
          <w:szCs w:val="24"/>
        </w:rPr>
      </w:pPr>
      <w:r>
        <w:rPr>
          <w:rFonts w:hint="eastAsia"/>
          <w:color w:val="auto"/>
          <w:sz w:val="24"/>
          <w:szCs w:val="24"/>
        </w:rPr>
        <w:t>（1）废气、废水等末端治理措施必须确保正常运行，如发现人为原因不开启废气治理设施，责任人应受到行政和经济处罚，并承担事故排放责任。若末端治理措施因故不能运行，则生产必须停止。</w:t>
      </w:r>
    </w:p>
    <w:p w14:paraId="11538336">
      <w:pPr>
        <w:spacing w:line="360" w:lineRule="auto"/>
        <w:ind w:firstLine="480" w:firstLineChars="200"/>
        <w:jc w:val="both"/>
        <w:rPr>
          <w:color w:val="auto"/>
          <w:sz w:val="24"/>
          <w:szCs w:val="24"/>
        </w:rPr>
      </w:pPr>
      <w:r>
        <w:rPr>
          <w:rFonts w:hint="eastAsia"/>
          <w:color w:val="auto"/>
          <w:sz w:val="24"/>
          <w:szCs w:val="24"/>
        </w:rPr>
        <w:t>（2）为确保处理效率，在车间设备检修期间，末端处理系统也应同时进行检修，日常应有专人负责进行维护。</w:t>
      </w:r>
    </w:p>
    <w:p w14:paraId="4BDD65EB">
      <w:pPr>
        <w:spacing w:line="360" w:lineRule="auto"/>
        <w:ind w:firstLine="480" w:firstLineChars="200"/>
        <w:jc w:val="both"/>
        <w:rPr>
          <w:color w:val="auto"/>
          <w:sz w:val="24"/>
          <w:szCs w:val="24"/>
        </w:rPr>
      </w:pPr>
      <w:r>
        <w:rPr>
          <w:rFonts w:hint="eastAsia"/>
          <w:color w:val="auto"/>
          <w:sz w:val="24"/>
          <w:szCs w:val="24"/>
        </w:rPr>
        <w:t>（3）应定期检查废气吸收碱液的含量和有效性，确保碱液及时更换，保证吸收效率。</w:t>
      </w:r>
    </w:p>
    <w:p w14:paraId="079BB4CD">
      <w:pPr>
        <w:spacing w:line="360" w:lineRule="auto"/>
        <w:ind w:firstLine="480" w:firstLineChars="200"/>
        <w:jc w:val="both"/>
        <w:rPr>
          <w:color w:val="auto"/>
          <w:sz w:val="24"/>
          <w:szCs w:val="24"/>
        </w:rPr>
      </w:pPr>
      <w:r>
        <w:rPr>
          <w:rFonts w:hint="eastAsia"/>
          <w:color w:val="auto"/>
          <w:sz w:val="24"/>
          <w:szCs w:val="24"/>
        </w:rPr>
        <w:t>（4）各车间、生产工段应制定严格的废水排放制度，确保清污分流，雨污分流，残渣禁止直排。</w:t>
      </w:r>
    </w:p>
    <w:p w14:paraId="7B73DA6F">
      <w:pPr>
        <w:spacing w:line="360" w:lineRule="auto"/>
        <w:ind w:firstLine="480" w:firstLineChars="200"/>
        <w:jc w:val="both"/>
        <w:rPr>
          <w:color w:val="auto"/>
          <w:sz w:val="24"/>
          <w:szCs w:val="24"/>
        </w:rPr>
      </w:pPr>
      <w:r>
        <w:rPr>
          <w:rFonts w:hint="eastAsia"/>
          <w:color w:val="auto"/>
          <w:sz w:val="24"/>
          <w:szCs w:val="24"/>
        </w:rPr>
        <w:t>（5）建立事故排放事先申报制度，未经批准不得排放，便于相关部门应急防范，防止出现超标排放。</w:t>
      </w:r>
    </w:p>
    <w:p w14:paraId="268FDCD8">
      <w:pPr>
        <w:keepNext/>
        <w:keepLines/>
        <w:numPr>
          <w:ilvl w:val="3"/>
          <w:numId w:val="1"/>
        </w:numPr>
        <w:spacing w:line="360" w:lineRule="auto"/>
        <w:outlineLvl w:val="3"/>
        <w:rPr>
          <w:b/>
          <w:bCs/>
          <w:color w:val="auto"/>
          <w:sz w:val="24"/>
          <w:szCs w:val="28"/>
        </w:rPr>
      </w:pPr>
      <w:r>
        <w:rPr>
          <w:rFonts w:hint="eastAsia"/>
          <w:b/>
          <w:bCs/>
          <w:color w:val="auto"/>
          <w:sz w:val="24"/>
          <w:szCs w:val="28"/>
        </w:rPr>
        <w:t>自动控制设计安全防范措施</w:t>
      </w:r>
    </w:p>
    <w:p w14:paraId="78182282">
      <w:pPr>
        <w:spacing w:line="360" w:lineRule="auto"/>
        <w:ind w:firstLine="480" w:firstLineChars="200"/>
        <w:jc w:val="both"/>
        <w:rPr>
          <w:color w:val="auto"/>
          <w:sz w:val="24"/>
          <w:szCs w:val="24"/>
        </w:rPr>
      </w:pPr>
      <w:r>
        <w:rPr>
          <w:rFonts w:hint="eastAsia"/>
          <w:color w:val="auto"/>
          <w:sz w:val="24"/>
          <w:szCs w:val="24"/>
        </w:rPr>
        <w:t>（1）选用自动化水平较高的集散控制系统（DCS）和仪表安全系统（PLC），对生产过程的温度、压力、液位、流量等工艺参数进行集中监控、超限报警和联锁保护。</w:t>
      </w:r>
    </w:p>
    <w:p w14:paraId="50F0BF79">
      <w:pPr>
        <w:spacing w:line="360" w:lineRule="auto"/>
        <w:ind w:firstLine="480" w:firstLineChars="200"/>
        <w:jc w:val="both"/>
        <w:rPr>
          <w:color w:val="auto"/>
          <w:sz w:val="24"/>
          <w:szCs w:val="24"/>
        </w:rPr>
      </w:pPr>
      <w:r>
        <w:rPr>
          <w:rFonts w:hint="eastAsia"/>
          <w:color w:val="auto"/>
          <w:sz w:val="24"/>
          <w:szCs w:val="24"/>
        </w:rPr>
        <w:t xml:space="preserve">（2）对生产中可能导致不安全操作参数如液面、压力等设置高、低限报警。 </w:t>
      </w:r>
    </w:p>
    <w:p w14:paraId="3EEE74AD">
      <w:pPr>
        <w:spacing w:line="360" w:lineRule="auto"/>
        <w:ind w:firstLine="480" w:firstLineChars="200"/>
        <w:jc w:val="both"/>
        <w:rPr>
          <w:color w:val="auto"/>
          <w:sz w:val="24"/>
          <w:szCs w:val="24"/>
        </w:rPr>
      </w:pPr>
      <w:r>
        <w:rPr>
          <w:rFonts w:hint="eastAsia"/>
          <w:color w:val="auto"/>
          <w:sz w:val="24"/>
          <w:szCs w:val="24"/>
        </w:rPr>
        <w:t>（3）按照《石油化工可燃气体和有毒气体检测报警设计标准》GB/T 50493-2019工艺装置区、危险物质贮存区等有可燃、有毒气体的装置处，设置固定式可燃气体报警仪和毒气报警仪（要求具有自动报警功能），操作人员配备便携式气体报警器，及时发现和处理气体泄漏事故。</w:t>
      </w:r>
    </w:p>
    <w:p w14:paraId="5CFEE404">
      <w:pPr>
        <w:keepNext/>
        <w:keepLines/>
        <w:numPr>
          <w:ilvl w:val="3"/>
          <w:numId w:val="1"/>
        </w:numPr>
        <w:spacing w:line="360" w:lineRule="auto"/>
        <w:outlineLvl w:val="3"/>
        <w:rPr>
          <w:b/>
          <w:bCs/>
          <w:color w:val="auto"/>
          <w:sz w:val="24"/>
          <w:szCs w:val="28"/>
        </w:rPr>
      </w:pPr>
      <w:r>
        <w:rPr>
          <w:rFonts w:hint="eastAsia"/>
          <w:b/>
          <w:bCs/>
          <w:color w:val="auto"/>
          <w:sz w:val="24"/>
          <w:szCs w:val="28"/>
        </w:rPr>
        <w:t>电气设计安全方案措施</w:t>
      </w:r>
    </w:p>
    <w:p w14:paraId="397E5F1F">
      <w:pPr>
        <w:spacing w:line="360" w:lineRule="auto"/>
        <w:ind w:firstLine="480" w:firstLineChars="200"/>
        <w:jc w:val="both"/>
        <w:rPr>
          <w:color w:val="auto"/>
          <w:sz w:val="24"/>
          <w:szCs w:val="24"/>
        </w:rPr>
      </w:pPr>
      <w:r>
        <w:rPr>
          <w:rFonts w:hint="eastAsia"/>
          <w:color w:val="auto"/>
          <w:sz w:val="24"/>
          <w:szCs w:val="24"/>
        </w:rPr>
        <w:t>（1）供配电</w:t>
      </w:r>
    </w:p>
    <w:p w14:paraId="4013F0CB">
      <w:pPr>
        <w:spacing w:line="360" w:lineRule="auto"/>
        <w:ind w:firstLine="480" w:firstLineChars="200"/>
        <w:jc w:val="both"/>
        <w:rPr>
          <w:color w:val="auto"/>
          <w:sz w:val="24"/>
          <w:szCs w:val="24"/>
        </w:rPr>
      </w:pPr>
      <w:r>
        <w:rPr>
          <w:rFonts w:hint="eastAsia"/>
          <w:color w:val="auto"/>
          <w:sz w:val="24"/>
          <w:szCs w:val="24"/>
        </w:rPr>
        <w:t>本项目生产装置是常年24小时连续生产，装置的供电为二级负荷。设置了事故电源（UPS），在断电时它向装置的控制系统（DCS）供电，并向马达控制中心（MCC）和变频器柜的控制回路供电，供电延续时间30分钟。另外，仪表压缩空气有30分钟用量的储量，因而可以使仪表系统在停电状态下完成停车所必要的阀门动作。UPS还向消防配电室和马达控制中心的通道应急照明供电，维持照明时间不短于3个小时，便于人员疏散。</w:t>
      </w:r>
    </w:p>
    <w:p w14:paraId="58096EFE">
      <w:pPr>
        <w:spacing w:line="360" w:lineRule="auto"/>
        <w:ind w:firstLine="480" w:firstLineChars="200"/>
        <w:jc w:val="both"/>
        <w:rPr>
          <w:color w:val="auto"/>
          <w:sz w:val="24"/>
          <w:szCs w:val="24"/>
        </w:rPr>
      </w:pPr>
      <w:r>
        <w:rPr>
          <w:rFonts w:hint="eastAsia"/>
          <w:color w:val="auto"/>
          <w:sz w:val="24"/>
          <w:szCs w:val="24"/>
        </w:rPr>
        <w:t>（2）防雷接地系统</w:t>
      </w:r>
    </w:p>
    <w:p w14:paraId="7CF3D88B">
      <w:pPr>
        <w:spacing w:line="360" w:lineRule="auto"/>
        <w:ind w:firstLine="480" w:firstLineChars="200"/>
        <w:jc w:val="both"/>
        <w:rPr>
          <w:color w:val="auto"/>
          <w:sz w:val="24"/>
          <w:szCs w:val="24"/>
        </w:rPr>
      </w:pPr>
      <w:r>
        <w:rPr>
          <w:rFonts w:hint="eastAsia"/>
          <w:color w:val="auto"/>
          <w:sz w:val="24"/>
          <w:szCs w:val="24"/>
        </w:rPr>
        <w:t>根据《建筑物防雷设计规范》GB50057-2010的规定，第二类防雷建筑物，按下述设计防雷接地系统：</w:t>
      </w:r>
    </w:p>
    <w:p w14:paraId="31C73745">
      <w:pPr>
        <w:spacing w:line="360" w:lineRule="auto"/>
        <w:ind w:firstLine="480" w:firstLineChars="200"/>
        <w:jc w:val="both"/>
        <w:rPr>
          <w:color w:val="auto"/>
          <w:sz w:val="24"/>
          <w:szCs w:val="24"/>
        </w:rPr>
      </w:pPr>
      <w:r>
        <w:rPr>
          <w:rFonts w:hint="eastAsia"/>
          <w:color w:val="auto"/>
          <w:sz w:val="24"/>
          <w:szCs w:val="24"/>
        </w:rPr>
        <w:t>①装置区应安装避雷带，防雷接地与保护接地采用共用接地系统，接地电阻不大于1Ω。</w:t>
      </w:r>
    </w:p>
    <w:p w14:paraId="42A025C3">
      <w:pPr>
        <w:spacing w:line="360" w:lineRule="auto"/>
        <w:ind w:firstLine="480" w:firstLineChars="200"/>
        <w:jc w:val="both"/>
        <w:rPr>
          <w:color w:val="auto"/>
          <w:sz w:val="24"/>
          <w:szCs w:val="24"/>
        </w:rPr>
      </w:pPr>
      <w:r>
        <w:rPr>
          <w:rFonts w:hint="eastAsia"/>
          <w:color w:val="auto"/>
          <w:sz w:val="24"/>
          <w:szCs w:val="24"/>
        </w:rPr>
        <w:t>②正常不带电的金属设备外壳，均可靠接地。带电设备通过供电电缆的专用PE线进行接地。钢制电缆桥架的连接处，均进行接地跨接，且每隔30m与电气接地系统连接一次。输送易燃气体、液体等危险物料的管道法兰连接处，均进行静电跨接及防静电接地。</w:t>
      </w:r>
    </w:p>
    <w:p w14:paraId="14D57F90">
      <w:pPr>
        <w:spacing w:line="360" w:lineRule="auto"/>
        <w:ind w:firstLine="480" w:firstLineChars="200"/>
        <w:jc w:val="both"/>
        <w:rPr>
          <w:color w:val="auto"/>
          <w:sz w:val="24"/>
          <w:szCs w:val="24"/>
        </w:rPr>
      </w:pPr>
      <w:r>
        <w:rPr>
          <w:rFonts w:hint="eastAsia"/>
          <w:color w:val="auto"/>
          <w:sz w:val="24"/>
          <w:szCs w:val="24"/>
        </w:rPr>
        <w:t>③移动式电气设备必须设置漏电保护装置，移动式照明使用安全电压。</w:t>
      </w:r>
    </w:p>
    <w:p w14:paraId="5D8B62FF">
      <w:pPr>
        <w:spacing w:line="360" w:lineRule="auto"/>
        <w:ind w:firstLine="480" w:firstLineChars="200"/>
        <w:jc w:val="both"/>
        <w:rPr>
          <w:color w:val="auto"/>
          <w:sz w:val="24"/>
          <w:szCs w:val="24"/>
        </w:rPr>
      </w:pPr>
      <w:r>
        <w:rPr>
          <w:rFonts w:hint="eastAsia"/>
          <w:color w:val="auto"/>
          <w:sz w:val="24"/>
          <w:szCs w:val="24"/>
        </w:rPr>
        <w:t>（3）消防及火灾自动报警系统</w:t>
      </w:r>
    </w:p>
    <w:p w14:paraId="4761A681">
      <w:pPr>
        <w:spacing w:line="360" w:lineRule="auto"/>
        <w:ind w:firstLine="480" w:firstLineChars="200"/>
        <w:jc w:val="both"/>
        <w:rPr>
          <w:color w:val="auto"/>
          <w:sz w:val="24"/>
          <w:szCs w:val="24"/>
        </w:rPr>
      </w:pPr>
      <w:r>
        <w:rPr>
          <w:rFonts w:hint="eastAsia"/>
          <w:color w:val="auto"/>
          <w:sz w:val="24"/>
          <w:szCs w:val="24"/>
        </w:rPr>
        <w:t>根据《石油化工企业设计防火标准》（GB 50160-2008[2018年版]）相关要求，结合本厂实际情况，具体消防及火灾报警系统建设方案如下：</w:t>
      </w:r>
    </w:p>
    <w:p w14:paraId="083D82DA">
      <w:pPr>
        <w:spacing w:line="360" w:lineRule="auto"/>
        <w:ind w:firstLine="480" w:firstLineChars="200"/>
        <w:jc w:val="both"/>
        <w:rPr>
          <w:color w:val="auto"/>
          <w:sz w:val="24"/>
          <w:szCs w:val="24"/>
        </w:rPr>
      </w:pPr>
      <w:r>
        <w:rPr>
          <w:rFonts w:hint="eastAsia"/>
          <w:color w:val="auto"/>
          <w:sz w:val="24"/>
          <w:szCs w:val="24"/>
        </w:rPr>
        <w:t>①消防措施以水消防为主，厂区用水来自园区供水管网，厂区新建消防水池。</w:t>
      </w:r>
    </w:p>
    <w:p w14:paraId="3AD18C75">
      <w:pPr>
        <w:spacing w:line="360" w:lineRule="auto"/>
        <w:ind w:firstLine="480" w:firstLineChars="200"/>
        <w:jc w:val="both"/>
        <w:rPr>
          <w:color w:val="auto"/>
          <w:sz w:val="24"/>
          <w:szCs w:val="24"/>
        </w:rPr>
      </w:pPr>
      <w:r>
        <w:rPr>
          <w:rFonts w:hint="eastAsia"/>
          <w:color w:val="auto"/>
          <w:sz w:val="24"/>
          <w:szCs w:val="24"/>
        </w:rPr>
        <w:t>②界区内稳高压消防给水管网独立环状布置，在工艺装置区、罐区等处设置地上式室外消火栓及室外消火栓箱，室外消火栓布设间距50～60m。工艺装置区四周增设固定式消防水炮，消防水枪及消防水炮均采用水雾两用型。</w:t>
      </w:r>
    </w:p>
    <w:p w14:paraId="1406453D">
      <w:pPr>
        <w:spacing w:line="360" w:lineRule="auto"/>
        <w:ind w:firstLine="480" w:firstLineChars="200"/>
        <w:jc w:val="both"/>
        <w:rPr>
          <w:color w:val="auto"/>
          <w:sz w:val="24"/>
          <w:szCs w:val="24"/>
        </w:rPr>
      </w:pPr>
      <w:r>
        <w:rPr>
          <w:rFonts w:hint="eastAsia"/>
          <w:color w:val="auto"/>
          <w:sz w:val="24"/>
          <w:szCs w:val="24"/>
        </w:rPr>
        <w:t>③工艺装置框架平台高于15m时设置半固定式消防竖管。</w:t>
      </w:r>
    </w:p>
    <w:p w14:paraId="4F9AFBBE">
      <w:pPr>
        <w:spacing w:line="360" w:lineRule="auto"/>
        <w:ind w:firstLine="480" w:firstLineChars="200"/>
        <w:jc w:val="both"/>
        <w:rPr>
          <w:color w:val="auto"/>
          <w:sz w:val="24"/>
          <w:szCs w:val="24"/>
        </w:rPr>
      </w:pPr>
      <w:r>
        <w:rPr>
          <w:rFonts w:hint="eastAsia"/>
          <w:color w:val="auto"/>
          <w:sz w:val="24"/>
          <w:szCs w:val="24"/>
        </w:rPr>
        <w:t>④装置及库房设置快速响应自动喷水灭火系统。</w:t>
      </w:r>
    </w:p>
    <w:p w14:paraId="07B885EA">
      <w:pPr>
        <w:spacing w:line="360" w:lineRule="auto"/>
        <w:ind w:firstLine="480" w:firstLineChars="200"/>
        <w:jc w:val="both"/>
        <w:rPr>
          <w:color w:val="auto"/>
          <w:sz w:val="24"/>
          <w:szCs w:val="24"/>
        </w:rPr>
      </w:pPr>
      <w:r>
        <w:rPr>
          <w:rFonts w:hint="eastAsia"/>
          <w:color w:val="auto"/>
          <w:sz w:val="24"/>
          <w:szCs w:val="24"/>
        </w:rPr>
        <w:t>⑤建筑物内设置室内消火栓，室内消火栓枪采用水/雾两用枪。</w:t>
      </w:r>
    </w:p>
    <w:p w14:paraId="4CF605F9">
      <w:pPr>
        <w:spacing w:line="360" w:lineRule="auto"/>
        <w:ind w:firstLine="480" w:firstLineChars="200"/>
        <w:jc w:val="both"/>
        <w:rPr>
          <w:color w:val="auto"/>
          <w:sz w:val="24"/>
          <w:szCs w:val="24"/>
        </w:rPr>
      </w:pPr>
      <w:r>
        <w:rPr>
          <w:rFonts w:hint="eastAsia"/>
          <w:color w:val="auto"/>
          <w:sz w:val="24"/>
          <w:szCs w:val="24"/>
        </w:rPr>
        <w:t>⑥设一套火灾自动报警系统，该系统由火灾报警控制器、火灾探测器、手动报警按钮等组成。当发生火灾时，由火灾探测器或手动报警按钮迅速将火警信号报至火警控制器，以便迅速采取措施，及时组织扑救。</w:t>
      </w:r>
    </w:p>
    <w:p w14:paraId="1550027E">
      <w:pPr>
        <w:keepNext/>
        <w:keepLines/>
        <w:numPr>
          <w:ilvl w:val="3"/>
          <w:numId w:val="1"/>
        </w:numPr>
        <w:spacing w:line="360" w:lineRule="auto"/>
        <w:outlineLvl w:val="3"/>
        <w:rPr>
          <w:b/>
          <w:bCs/>
          <w:color w:val="auto"/>
          <w:sz w:val="24"/>
          <w:szCs w:val="28"/>
        </w:rPr>
      </w:pPr>
      <w:r>
        <w:rPr>
          <w:rFonts w:hint="eastAsia"/>
          <w:b/>
          <w:bCs/>
          <w:color w:val="auto"/>
          <w:sz w:val="24"/>
          <w:szCs w:val="28"/>
        </w:rPr>
        <w:t>消防火灾报警系统</w:t>
      </w:r>
    </w:p>
    <w:p w14:paraId="397C57DE">
      <w:pPr>
        <w:spacing w:line="360" w:lineRule="auto"/>
        <w:ind w:firstLine="480" w:firstLineChars="200"/>
        <w:jc w:val="both"/>
        <w:rPr>
          <w:color w:val="auto"/>
          <w:sz w:val="24"/>
          <w:szCs w:val="24"/>
        </w:rPr>
      </w:pPr>
      <w:r>
        <w:rPr>
          <w:rFonts w:hint="eastAsia"/>
          <w:color w:val="auto"/>
          <w:sz w:val="24"/>
          <w:szCs w:val="24"/>
        </w:rPr>
        <w:t>本项目设置火灾自动报警系统，该系统由火灾报警控制器、火灾探测器、手动报警按钮等组成。控制室、机柜室、高低压配电室、变压器室等重要及有火灾危险场所设置智能感温/感烟探测器，有消防联动要求的罐区罐体、输煤传输带旁等处设置分布式光纤感温探测器，中央控制室操作室内设置总线制火灾报警控制机柜以管理厂内各装置的火灾监视及报警工作。</w:t>
      </w:r>
    </w:p>
    <w:p w14:paraId="7243AD0C">
      <w:pPr>
        <w:spacing w:line="360" w:lineRule="auto"/>
        <w:ind w:firstLine="480" w:firstLineChars="200"/>
        <w:jc w:val="both"/>
        <w:rPr>
          <w:color w:val="auto"/>
          <w:sz w:val="24"/>
          <w:szCs w:val="24"/>
        </w:rPr>
      </w:pPr>
      <w:r>
        <w:rPr>
          <w:rFonts w:hint="eastAsia"/>
          <w:color w:val="auto"/>
          <w:sz w:val="24"/>
          <w:szCs w:val="24"/>
        </w:rPr>
        <w:t>当发生火灾时，由火灾探测器或手动报警按钮迅速将火警信号报至火警控制器，以便迅速采取措施，及时组织扑救。</w:t>
      </w:r>
    </w:p>
    <w:p w14:paraId="2952978D">
      <w:pPr>
        <w:keepNext/>
        <w:keepLines/>
        <w:numPr>
          <w:ilvl w:val="3"/>
          <w:numId w:val="1"/>
        </w:numPr>
        <w:spacing w:line="360" w:lineRule="auto"/>
        <w:outlineLvl w:val="3"/>
        <w:rPr>
          <w:b/>
          <w:bCs/>
          <w:color w:val="auto"/>
          <w:sz w:val="24"/>
          <w:szCs w:val="28"/>
        </w:rPr>
      </w:pPr>
      <w:r>
        <w:rPr>
          <w:rFonts w:hint="eastAsia"/>
          <w:b/>
          <w:bCs/>
          <w:color w:val="auto"/>
          <w:sz w:val="24"/>
          <w:szCs w:val="28"/>
        </w:rPr>
        <w:t>泄漏、渗漏污染防治措施</w:t>
      </w:r>
    </w:p>
    <w:p w14:paraId="608CCF2B">
      <w:pPr>
        <w:spacing w:line="360" w:lineRule="auto"/>
        <w:ind w:firstLine="480" w:firstLineChars="200"/>
        <w:jc w:val="both"/>
        <w:rPr>
          <w:color w:val="auto"/>
          <w:sz w:val="24"/>
          <w:szCs w:val="24"/>
        </w:rPr>
      </w:pPr>
      <w:r>
        <w:rPr>
          <w:rFonts w:hint="eastAsia"/>
          <w:color w:val="auto"/>
          <w:sz w:val="24"/>
          <w:szCs w:val="24"/>
        </w:rPr>
        <w:t>（1）输料、排污管线</w:t>
      </w:r>
    </w:p>
    <w:p w14:paraId="14F48163">
      <w:pPr>
        <w:spacing w:line="360" w:lineRule="auto"/>
        <w:ind w:firstLine="480" w:firstLineChars="200"/>
        <w:jc w:val="both"/>
        <w:rPr>
          <w:color w:val="auto"/>
          <w:sz w:val="24"/>
          <w:szCs w:val="24"/>
        </w:rPr>
      </w:pPr>
      <w:r>
        <w:rPr>
          <w:rFonts w:ascii="Cambria Math" w:hAnsi="Cambria Math" w:cs="Cambria Math"/>
          <w:color w:val="auto"/>
          <w:sz w:val="24"/>
          <w:szCs w:val="24"/>
        </w:rPr>
        <w:t>①</w:t>
      </w:r>
      <w:r>
        <w:rPr>
          <w:rFonts w:hint="eastAsia"/>
          <w:color w:val="auto"/>
          <w:sz w:val="24"/>
          <w:szCs w:val="24"/>
        </w:rPr>
        <w:t xml:space="preserve"> 爆炸、可燃、易燃类流体，可窒息性、毒性的气体及腐蚀性介质等工艺管线应地上敷设，若确实需要地下敷设时，应在不通行的管沟内敷设，沟底应设大于</w:t>
      </w:r>
      <w:r>
        <w:rPr>
          <w:color w:val="auto"/>
          <w:sz w:val="24"/>
          <w:szCs w:val="24"/>
        </w:rPr>
        <w:t>0.02</w:t>
      </w:r>
      <w:r>
        <w:rPr>
          <w:rFonts w:hint="eastAsia"/>
          <w:color w:val="auto"/>
          <w:sz w:val="24"/>
          <w:szCs w:val="24"/>
        </w:rPr>
        <w:t>坡度坡向检漏井，检漏井内应设集水坑，集水坑的深度不小于</w:t>
      </w:r>
      <w:r>
        <w:rPr>
          <w:color w:val="auto"/>
          <w:sz w:val="24"/>
          <w:szCs w:val="24"/>
        </w:rPr>
        <w:t>30cm</w:t>
      </w:r>
      <w:r>
        <w:rPr>
          <w:rFonts w:hint="eastAsia"/>
          <w:color w:val="auto"/>
          <w:sz w:val="24"/>
          <w:szCs w:val="24"/>
        </w:rPr>
        <w:t>，管沟和集水坑应做防渗处理；</w:t>
      </w:r>
    </w:p>
    <w:p w14:paraId="03146180">
      <w:pPr>
        <w:spacing w:line="360" w:lineRule="auto"/>
        <w:ind w:firstLine="480" w:firstLineChars="200"/>
        <w:jc w:val="both"/>
        <w:rPr>
          <w:color w:val="auto"/>
          <w:sz w:val="24"/>
          <w:szCs w:val="24"/>
        </w:rPr>
      </w:pPr>
      <w:r>
        <w:rPr>
          <w:rFonts w:hint="eastAsia"/>
          <w:color w:val="auto"/>
          <w:sz w:val="24"/>
          <w:szCs w:val="24"/>
        </w:rPr>
        <w:t>② 上述管线除与阀门、仪表、设备等连接可以采用法兰外，应尽量采用焊接；对于输送有毒介质的管线应有明显标记；</w:t>
      </w:r>
    </w:p>
    <w:p w14:paraId="3FED1742">
      <w:pPr>
        <w:spacing w:line="360" w:lineRule="auto"/>
        <w:ind w:firstLine="480" w:firstLineChars="200"/>
        <w:jc w:val="both"/>
        <w:rPr>
          <w:color w:val="auto"/>
          <w:sz w:val="24"/>
          <w:szCs w:val="24"/>
        </w:rPr>
      </w:pPr>
      <w:r>
        <w:rPr>
          <w:rFonts w:hint="eastAsia"/>
          <w:color w:val="auto"/>
          <w:sz w:val="24"/>
          <w:szCs w:val="24"/>
        </w:rPr>
        <w:t>③ 跨越、穿越厂区内道路时，跨越段不得装设阀门、金属波纹管补偿器、法兰和螺纹接头等管件；</w:t>
      </w:r>
    </w:p>
    <w:p w14:paraId="05A21BD2">
      <w:pPr>
        <w:spacing w:line="360" w:lineRule="auto"/>
        <w:ind w:firstLine="480" w:firstLineChars="200"/>
        <w:jc w:val="both"/>
        <w:rPr>
          <w:color w:val="auto"/>
          <w:sz w:val="24"/>
          <w:szCs w:val="24"/>
        </w:rPr>
      </w:pPr>
      <w:r>
        <w:rPr>
          <w:rFonts w:hint="eastAsia"/>
          <w:color w:val="auto"/>
          <w:sz w:val="24"/>
          <w:szCs w:val="24"/>
        </w:rPr>
        <w:t>④ 装置内除输送空气、惰性气体和小口径管道外，所有的螺纹连接管道均需密封焊</w:t>
      </w:r>
      <w:r>
        <w:rPr>
          <w:color w:val="auto"/>
          <w:sz w:val="24"/>
          <w:szCs w:val="24"/>
        </w:rPr>
        <w:t xml:space="preserve"> </w:t>
      </w:r>
      <w:r>
        <w:rPr>
          <w:rFonts w:hint="eastAsia"/>
          <w:color w:val="auto"/>
          <w:sz w:val="24"/>
          <w:szCs w:val="24"/>
        </w:rPr>
        <w:t>接；</w:t>
      </w:r>
    </w:p>
    <w:p w14:paraId="3711ED6E">
      <w:pPr>
        <w:spacing w:line="360" w:lineRule="auto"/>
        <w:ind w:firstLine="480" w:firstLineChars="200"/>
        <w:jc w:val="both"/>
        <w:rPr>
          <w:color w:val="auto"/>
          <w:sz w:val="24"/>
          <w:szCs w:val="24"/>
        </w:rPr>
      </w:pPr>
      <w:r>
        <w:rPr>
          <w:rFonts w:hint="eastAsia"/>
          <w:color w:val="auto"/>
          <w:sz w:val="24"/>
          <w:szCs w:val="24"/>
        </w:rPr>
        <w:t>⑤ 装置外所有输送危险、有毒、腐蚀性介质及价格昂贵的介质管道螺纹连接</w:t>
      </w:r>
      <w:r>
        <w:rPr>
          <w:color w:val="auto"/>
          <w:sz w:val="24"/>
          <w:szCs w:val="24"/>
        </w:rPr>
        <w:t xml:space="preserve"> </w:t>
      </w:r>
      <w:r>
        <w:rPr>
          <w:rFonts w:hint="eastAsia"/>
          <w:color w:val="auto"/>
          <w:sz w:val="24"/>
          <w:szCs w:val="24"/>
        </w:rPr>
        <w:t>要密封焊接；</w:t>
      </w:r>
    </w:p>
    <w:p w14:paraId="45CE59E5">
      <w:pPr>
        <w:spacing w:line="360" w:lineRule="auto"/>
        <w:ind w:firstLine="480" w:firstLineChars="200"/>
        <w:jc w:val="both"/>
        <w:rPr>
          <w:color w:val="auto"/>
          <w:sz w:val="24"/>
          <w:szCs w:val="24"/>
        </w:rPr>
      </w:pPr>
      <w:r>
        <w:rPr>
          <w:rFonts w:hint="eastAsia"/>
          <w:color w:val="auto"/>
          <w:sz w:val="24"/>
          <w:szCs w:val="24"/>
        </w:rPr>
        <w:t>⑥ 管道低点放净口附近宜设地漏、地沟或用软管接至地漏或地沟，不得随意排放，工艺介质调节阀前的排放口应布置在低围堰区；</w:t>
      </w:r>
    </w:p>
    <w:p w14:paraId="185B843B">
      <w:pPr>
        <w:spacing w:line="360" w:lineRule="auto"/>
        <w:ind w:firstLine="480" w:firstLineChars="200"/>
        <w:jc w:val="both"/>
        <w:rPr>
          <w:color w:val="auto"/>
          <w:sz w:val="24"/>
          <w:szCs w:val="24"/>
        </w:rPr>
      </w:pPr>
      <w:r>
        <w:rPr>
          <w:rFonts w:hint="eastAsia"/>
          <w:color w:val="auto"/>
          <w:sz w:val="24"/>
          <w:szCs w:val="24"/>
        </w:rPr>
        <w:t>⑦ 对于高压、有毒有害及易燃类流体管道排放采用双阀，对于所有与易燃、易爆、腐蚀性和有毒介质接触的管线和设备的排污口都必须用管帽或法兰盖、丝堵堵上。</w:t>
      </w:r>
    </w:p>
    <w:p w14:paraId="09EC7D57">
      <w:pPr>
        <w:spacing w:line="360" w:lineRule="auto"/>
        <w:ind w:firstLine="480" w:firstLineChars="200"/>
        <w:jc w:val="both"/>
        <w:rPr>
          <w:color w:val="auto"/>
          <w:sz w:val="24"/>
          <w:szCs w:val="24"/>
        </w:rPr>
      </w:pPr>
      <w:r>
        <w:rPr>
          <w:rFonts w:hint="eastAsia"/>
          <w:color w:val="auto"/>
          <w:sz w:val="24"/>
          <w:szCs w:val="24"/>
        </w:rPr>
        <w:t>（2）生产装置</w:t>
      </w:r>
    </w:p>
    <w:p w14:paraId="50912508">
      <w:pPr>
        <w:spacing w:line="360" w:lineRule="auto"/>
        <w:ind w:firstLine="480" w:firstLineChars="200"/>
        <w:jc w:val="both"/>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① 生产装置区域内易产生泄漏的设备应尽可能集中布置，对易泄漏的区域地面应采用不渗透的建筑材料铺砌地面，并设置围堰；</w:t>
      </w:r>
    </w:p>
    <w:p w14:paraId="6B46871C">
      <w:pPr>
        <w:spacing w:line="360" w:lineRule="auto"/>
        <w:ind w:firstLine="480" w:firstLineChars="200"/>
        <w:jc w:val="both"/>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②为了防止物料泄漏到地面，对于存储和输送有毒有害介质的设备和管线排液阀门应设为双阀，设备及管道排放出的各种含有毒有害介质液体，应加以收集，不得任意排放；</w:t>
      </w:r>
    </w:p>
    <w:p w14:paraId="0BBA29E5">
      <w:pPr>
        <w:spacing w:line="360" w:lineRule="auto"/>
        <w:ind w:firstLine="480" w:firstLineChars="200"/>
        <w:jc w:val="both"/>
        <w:rPr>
          <w:rFonts w:hint="eastAsia" w:asciiTheme="minorEastAsia" w:hAnsiTheme="minorEastAsia" w:eastAsiaTheme="minorEastAsia"/>
          <w:color w:val="auto"/>
          <w:sz w:val="24"/>
          <w:szCs w:val="24"/>
        </w:rPr>
      </w:pPr>
      <w:r>
        <w:rPr>
          <w:rFonts w:cs="Cambria Math" w:asciiTheme="minorEastAsia" w:hAnsiTheme="minorEastAsia" w:eastAsiaTheme="minorEastAsia"/>
          <w:color w:val="auto"/>
          <w:sz w:val="24"/>
          <w:szCs w:val="24"/>
        </w:rPr>
        <w:t>③</w:t>
      </w:r>
      <w:r>
        <w:rPr>
          <w:rFonts w:hint="eastAsia" w:asciiTheme="minorEastAsia" w:hAnsiTheme="minorEastAsia" w:eastAsiaTheme="minorEastAsia"/>
          <w:color w:val="auto"/>
          <w:sz w:val="24"/>
          <w:szCs w:val="24"/>
        </w:rPr>
        <w:t xml:space="preserve"> 对于阶梯式布置装置区域，阶梯间应设有防止泄漏液体漫流的措施；</w:t>
      </w:r>
    </w:p>
    <w:p w14:paraId="7FE5FF3E">
      <w:pPr>
        <w:spacing w:line="360" w:lineRule="auto"/>
        <w:ind w:firstLine="480" w:firstLineChars="200"/>
        <w:jc w:val="both"/>
        <w:rPr>
          <w:rFonts w:hint="eastAsia" w:asciiTheme="minorEastAsia" w:hAnsiTheme="minorEastAsia" w:eastAsiaTheme="minorEastAsia"/>
          <w:color w:val="auto"/>
          <w:sz w:val="24"/>
          <w:szCs w:val="24"/>
        </w:rPr>
      </w:pPr>
      <w:r>
        <w:rPr>
          <w:rFonts w:cs="Cambria Math" w:asciiTheme="minorEastAsia" w:hAnsiTheme="minorEastAsia" w:eastAsiaTheme="minorEastAsia"/>
          <w:color w:val="auto"/>
          <w:sz w:val="24"/>
          <w:szCs w:val="24"/>
        </w:rPr>
        <w:t>④</w:t>
      </w:r>
      <w:r>
        <w:rPr>
          <w:rFonts w:hint="eastAsia" w:asciiTheme="minorEastAsia" w:hAnsiTheme="minorEastAsia" w:eastAsiaTheme="minorEastAsia"/>
          <w:color w:val="auto"/>
          <w:sz w:val="24"/>
          <w:szCs w:val="24"/>
        </w:rPr>
        <w:t xml:space="preserve"> 对于输送酸、碱等强腐蚀性化学物料的区域应设置围堰，围堰的容积应能够容纳装置系统的全部容积，其围堰和地面应做防腐和防渗处理；</w:t>
      </w:r>
    </w:p>
    <w:p w14:paraId="357DF18C">
      <w:pPr>
        <w:spacing w:line="360" w:lineRule="auto"/>
        <w:ind w:firstLine="480" w:firstLineChars="200"/>
        <w:jc w:val="both"/>
        <w:rPr>
          <w:rFonts w:hint="eastAsia" w:asciiTheme="minorEastAsia" w:hAnsiTheme="minorEastAsia" w:eastAsiaTheme="minorEastAsia"/>
          <w:color w:val="auto"/>
          <w:sz w:val="24"/>
          <w:szCs w:val="24"/>
        </w:rPr>
      </w:pPr>
      <w:r>
        <w:rPr>
          <w:rFonts w:cs="Cambria Math" w:asciiTheme="minorEastAsia" w:hAnsiTheme="minorEastAsia" w:eastAsiaTheme="minorEastAsia"/>
          <w:color w:val="auto"/>
          <w:sz w:val="24"/>
          <w:szCs w:val="24"/>
        </w:rPr>
        <w:t>⑤</w:t>
      </w:r>
      <w:r>
        <w:rPr>
          <w:rFonts w:hint="eastAsia" w:asciiTheme="minorEastAsia" w:hAnsiTheme="minorEastAsia" w:eastAsiaTheme="minorEastAsia"/>
          <w:color w:val="auto"/>
          <w:sz w:val="24"/>
          <w:szCs w:val="24"/>
        </w:rPr>
        <w:t xml:space="preserve"> 对于机泵基础周边设置废液收集设施，确保泄漏物料统一收集至处理系统。</w:t>
      </w:r>
    </w:p>
    <w:p w14:paraId="3BA863CC">
      <w:pPr>
        <w:keepNext/>
        <w:keepLines/>
        <w:numPr>
          <w:ilvl w:val="3"/>
          <w:numId w:val="1"/>
        </w:numPr>
        <w:spacing w:line="360" w:lineRule="auto"/>
        <w:outlineLvl w:val="3"/>
        <w:rPr>
          <w:b/>
          <w:bCs/>
          <w:color w:val="auto"/>
          <w:sz w:val="24"/>
          <w:szCs w:val="28"/>
        </w:rPr>
      </w:pPr>
      <w:r>
        <w:rPr>
          <w:rFonts w:hint="eastAsia"/>
          <w:b/>
          <w:bCs/>
          <w:color w:val="auto"/>
          <w:sz w:val="24"/>
          <w:szCs w:val="28"/>
        </w:rPr>
        <w:t>水环境风险防范措施</w:t>
      </w:r>
    </w:p>
    <w:p w14:paraId="46095E14">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本项目水环境风险主要是废水处理设施废水泄漏和装置区和贮存区有毒有害物质泄漏，以及火灾爆炸事故情况下消防废水泄漏对地下水环境的影响。</w:t>
      </w:r>
    </w:p>
    <w:p w14:paraId="706AFE5A">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为防止突发事故状态下的事故废水对地表水造成污染，项目应设置“单元－厂区－园区/区域”事故废水三级预防与控制体系等。体系的设置需符合《事故状态下水体污染的预防与控制技术要求》（Q/SY1190-2013)有关规范要求。</w:t>
      </w:r>
    </w:p>
    <w:p w14:paraId="53ACC1C6">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（1）三级防控系统</w:t>
      </w:r>
    </w:p>
    <w:p w14:paraId="2592A52B">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三级预防与控制体系分为三级，其中第一级预防与控制体系包括装置围堰、罐组防火堤；第二级预防与控制体系为厂区事故池。若出现极端事故情况，当一级、二级预防和控制体系无法达到控制事故水要求时，应启动第三级园区/区域事故水预防与控制系统，将事故液排入园区事故水池。</w:t>
      </w:r>
    </w:p>
    <w:p w14:paraId="05D72D1B">
      <w:pPr>
        <w:numPr>
          <w:ilvl w:val="0"/>
          <w:numId w:val="29"/>
        </w:numPr>
        <w:spacing w:line="360" w:lineRule="auto"/>
        <w:jc w:val="both"/>
        <w:rPr>
          <w:color w:val="auto"/>
          <w:sz w:val="24"/>
          <w:szCs w:val="24"/>
          <w:shd w:val="clear" w:color="auto" w:fill="FFFFFF"/>
        </w:rPr>
      </w:pPr>
      <w:r>
        <w:rPr>
          <w:rFonts w:hint="eastAsia"/>
          <w:color w:val="auto"/>
          <w:sz w:val="24"/>
          <w:szCs w:val="24"/>
          <w:shd w:val="clear" w:color="auto" w:fill="FFFFFF"/>
        </w:rPr>
        <w:t>一级防控体系设置</w:t>
      </w:r>
    </w:p>
    <w:p w14:paraId="2AEA070D">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当装置区发生事故时，装置区排水阀门处于封闭状态。有污染的各生产装置和辅助生产设施界区内消防废水、事故污水首先经装置区内管线重力排入各装置区内初期雨水池，初期雨水池前设置溢流井，初期雨水池储满后，事故水经溢流井、雨水系统管线，并开启事故池前入口阀门，进入事故池。经对消防事故池水质检测，当无污染（满足排放标准）时，由所设事故池污水泵提升排入雨水系统外排出厂，当检测超过排放标准，提升后排入污水处理站进行处理。经对消防事故池水质检测，当无污染（满足排放标准）时，由所设事故池污水泵提升排入雨水系统外排出厂，当检测超过排放标准，提升后排入园区污水处理站进行处理。</w:t>
      </w:r>
    </w:p>
    <w:p w14:paraId="6F1D57EF">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无事故发生，且处于降雨期间，收集初期雨水时，装置区排水阀门处于打开装置，事故水池处于打开状态；收集后期雨水时，装置区排水阀门处于打开装置，事故水池处于关闭状态。</w:t>
      </w:r>
    </w:p>
    <w:p w14:paraId="53C36056">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②二级防控体系设置</w:t>
      </w:r>
    </w:p>
    <w:p w14:paraId="0953AE78">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本项目设置一座有效容积为700m</w:t>
      </w:r>
      <w:r>
        <w:rPr>
          <w:rFonts w:hint="eastAsia"/>
          <w:color w:val="auto"/>
          <w:sz w:val="24"/>
          <w:szCs w:val="24"/>
          <w:shd w:val="clear" w:color="auto" w:fill="FFFFFF"/>
          <w:vertAlign w:val="superscript"/>
        </w:rPr>
        <w:t>3</w:t>
      </w:r>
      <w:r>
        <w:rPr>
          <w:rFonts w:hint="eastAsia"/>
          <w:color w:val="auto"/>
          <w:sz w:val="24"/>
          <w:szCs w:val="24"/>
          <w:shd w:val="clear" w:color="auto" w:fill="FFFFFF"/>
        </w:rPr>
        <w:t>的厂区事故水池，用于</w:t>
      </w:r>
      <w:r>
        <w:rPr>
          <w:color w:val="auto"/>
          <w:sz w:val="24"/>
          <w:szCs w:val="24"/>
          <w:shd w:val="clear" w:color="auto" w:fill="FFFFFF"/>
        </w:rPr>
        <w:t>事故废水</w:t>
      </w:r>
      <w:r>
        <w:rPr>
          <w:rFonts w:hint="eastAsia"/>
          <w:color w:val="auto"/>
          <w:sz w:val="24"/>
          <w:szCs w:val="24"/>
          <w:shd w:val="clear" w:color="auto" w:fill="FFFFFF"/>
        </w:rPr>
        <w:t>和初期雨水</w:t>
      </w:r>
      <w:r>
        <w:rPr>
          <w:color w:val="auto"/>
          <w:sz w:val="24"/>
          <w:szCs w:val="24"/>
          <w:shd w:val="clear" w:color="auto" w:fill="FFFFFF"/>
        </w:rPr>
        <w:t>的存</w:t>
      </w:r>
      <w:r>
        <w:rPr>
          <w:rFonts w:hint="eastAsia"/>
          <w:color w:val="auto"/>
          <w:sz w:val="24"/>
          <w:szCs w:val="24"/>
          <w:shd w:val="clear" w:color="auto" w:fill="FFFFFF"/>
        </w:rPr>
        <w:t>放。该事故池作为全厂消防事故和其他重大事故时污染废水的厂区终端储存、提升设施，将污染物控制在厂区范围内。</w:t>
      </w:r>
    </w:p>
    <w:p w14:paraId="6A58E24B">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参照</w:t>
      </w:r>
      <w:r>
        <w:rPr>
          <w:color w:val="auto"/>
          <w:sz w:val="24"/>
          <w:szCs w:val="24"/>
          <w:shd w:val="clear" w:color="auto" w:fill="FFFFFF"/>
        </w:rPr>
        <w:t>《</w:t>
      </w:r>
      <w:r>
        <w:rPr>
          <w:rFonts w:hint="eastAsia"/>
          <w:color w:val="auto"/>
          <w:sz w:val="24"/>
          <w:szCs w:val="24"/>
          <w:shd w:val="clear" w:color="auto" w:fill="FFFFFF"/>
        </w:rPr>
        <w:t>事故状态下水体污染的预防和控制规范</w:t>
      </w:r>
      <w:r>
        <w:rPr>
          <w:color w:val="auto"/>
          <w:sz w:val="24"/>
          <w:szCs w:val="24"/>
          <w:shd w:val="clear" w:color="auto" w:fill="FFFFFF"/>
        </w:rPr>
        <w:t>》</w:t>
      </w:r>
      <w:r>
        <w:rPr>
          <w:rFonts w:hint="eastAsia"/>
          <w:color w:val="auto"/>
          <w:sz w:val="24"/>
          <w:szCs w:val="24"/>
          <w:shd w:val="clear" w:color="auto" w:fill="FFFFFF"/>
        </w:rPr>
        <w:t>（Q/SY 0819</w:t>
      </w:r>
      <w:r>
        <w:rPr>
          <w:color w:val="auto"/>
          <w:sz w:val="24"/>
          <w:szCs w:val="24"/>
          <w:shd w:val="clear" w:color="auto" w:fill="FFFFFF"/>
        </w:rPr>
        <w:t>0-</w:t>
      </w:r>
      <w:r>
        <w:rPr>
          <w:rFonts w:hint="eastAsia"/>
          <w:color w:val="auto"/>
          <w:sz w:val="24"/>
          <w:szCs w:val="24"/>
          <w:shd w:val="clear" w:color="auto" w:fill="FFFFFF"/>
        </w:rPr>
        <w:t>2019），</w:t>
      </w:r>
      <w:r>
        <w:rPr>
          <w:color w:val="auto"/>
          <w:sz w:val="24"/>
          <w:szCs w:val="24"/>
          <w:shd w:val="clear" w:color="auto" w:fill="FFFFFF"/>
        </w:rPr>
        <w:t>计算如下：</w:t>
      </w:r>
    </w:p>
    <w:p w14:paraId="6EEE59FE">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事故储存设施的总有效容积</w:t>
      </w:r>
      <w:r>
        <w:rPr>
          <w:color w:val="auto"/>
          <w:sz w:val="24"/>
          <w:szCs w:val="24"/>
          <w:shd w:val="clear" w:color="auto" w:fill="FFFFFF"/>
        </w:rPr>
        <w:t>V</w:t>
      </w:r>
      <w:r>
        <w:rPr>
          <w:rFonts w:hint="eastAsia"/>
          <w:color w:val="auto"/>
          <w:sz w:val="24"/>
          <w:szCs w:val="24"/>
          <w:shd w:val="clear" w:color="auto" w:fill="FFFFFF"/>
        </w:rPr>
        <w:t>总</w:t>
      </w:r>
      <w:r>
        <w:rPr>
          <w:color w:val="auto"/>
          <w:sz w:val="24"/>
          <w:szCs w:val="24"/>
          <w:shd w:val="clear" w:color="auto" w:fill="FFFFFF"/>
        </w:rPr>
        <w:t>=</w:t>
      </w:r>
      <w:r>
        <w:rPr>
          <w:rFonts w:hint="eastAsia"/>
          <w:color w:val="auto"/>
          <w:sz w:val="24"/>
          <w:szCs w:val="24"/>
          <w:shd w:val="clear" w:color="auto" w:fill="FFFFFF"/>
        </w:rPr>
        <w:t>（</w:t>
      </w:r>
      <w:r>
        <w:rPr>
          <w:color w:val="auto"/>
          <w:sz w:val="24"/>
          <w:szCs w:val="24"/>
          <w:shd w:val="clear" w:color="auto" w:fill="FFFFFF"/>
        </w:rPr>
        <w:t>V1+V2-V3</w:t>
      </w:r>
      <w:r>
        <w:rPr>
          <w:rFonts w:hint="eastAsia"/>
          <w:color w:val="auto"/>
          <w:sz w:val="24"/>
          <w:szCs w:val="24"/>
          <w:shd w:val="clear" w:color="auto" w:fill="FFFFFF"/>
        </w:rPr>
        <w:t>）max</w:t>
      </w:r>
      <w:r>
        <w:rPr>
          <w:color w:val="auto"/>
          <w:sz w:val="24"/>
          <w:szCs w:val="24"/>
          <w:shd w:val="clear" w:color="auto" w:fill="FFFFFF"/>
        </w:rPr>
        <w:t>+V4+V5</w:t>
      </w:r>
    </w:p>
    <w:p w14:paraId="48FF640D">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式中：</w:t>
      </w:r>
    </w:p>
    <w:p w14:paraId="08AE2D74">
      <w:pPr>
        <w:spacing w:line="360" w:lineRule="auto"/>
        <w:ind w:firstLine="480" w:firstLineChars="200"/>
        <w:jc w:val="both"/>
        <w:rPr>
          <w:color w:val="auto"/>
          <w:sz w:val="24"/>
          <w:szCs w:val="24"/>
          <w:shd w:val="clear" w:color="auto" w:fill="FFFFFF"/>
        </w:rPr>
      </w:pPr>
      <w:r>
        <w:rPr>
          <w:color w:val="auto"/>
          <w:sz w:val="24"/>
          <w:szCs w:val="24"/>
          <w:shd w:val="clear" w:color="auto" w:fill="FFFFFF"/>
        </w:rPr>
        <w:t>V</w:t>
      </w:r>
      <w:r>
        <w:rPr>
          <w:rFonts w:hint="eastAsia"/>
          <w:color w:val="auto"/>
          <w:sz w:val="24"/>
          <w:szCs w:val="24"/>
          <w:shd w:val="clear" w:color="auto" w:fill="FFFFFF"/>
          <w:vertAlign w:val="subscript"/>
        </w:rPr>
        <w:t>总</w:t>
      </w:r>
      <w:r>
        <w:rPr>
          <w:rFonts w:hint="eastAsia"/>
          <w:color w:val="auto"/>
          <w:sz w:val="24"/>
          <w:szCs w:val="24"/>
          <w:shd w:val="clear" w:color="auto" w:fill="FFFFFF"/>
        </w:rPr>
        <w:t>：事故储存设施的总有效容积，m</w:t>
      </w:r>
      <w:r>
        <w:rPr>
          <w:rFonts w:hint="eastAsia"/>
          <w:color w:val="auto"/>
          <w:sz w:val="24"/>
          <w:szCs w:val="24"/>
          <w:shd w:val="clear" w:color="auto" w:fill="FFFFFF"/>
          <w:vertAlign w:val="superscript"/>
        </w:rPr>
        <w:t>3</w:t>
      </w:r>
    </w:p>
    <w:p w14:paraId="1D126FBE">
      <w:pPr>
        <w:spacing w:line="360" w:lineRule="auto"/>
        <w:ind w:firstLine="480" w:firstLineChars="200"/>
        <w:jc w:val="both"/>
        <w:rPr>
          <w:color w:val="auto"/>
          <w:sz w:val="24"/>
          <w:szCs w:val="24"/>
          <w:shd w:val="clear" w:color="auto" w:fill="FFFFFF"/>
        </w:rPr>
      </w:pPr>
      <w:r>
        <w:rPr>
          <w:color w:val="auto"/>
          <w:sz w:val="24"/>
          <w:szCs w:val="24"/>
          <w:shd w:val="clear" w:color="auto" w:fill="FFFFFF"/>
        </w:rPr>
        <w:t>V</w:t>
      </w:r>
      <w:r>
        <w:rPr>
          <w:color w:val="auto"/>
          <w:sz w:val="24"/>
          <w:szCs w:val="24"/>
          <w:shd w:val="clear" w:color="auto" w:fill="FFFFFF"/>
          <w:vertAlign w:val="subscript"/>
        </w:rPr>
        <w:t>1</w:t>
      </w:r>
      <w:r>
        <w:rPr>
          <w:color w:val="auto"/>
          <w:sz w:val="24"/>
          <w:szCs w:val="24"/>
          <w:shd w:val="clear" w:color="auto" w:fill="FFFFFF"/>
        </w:rPr>
        <w:t>：收集系统内发生事故的泄漏量，</w:t>
      </w:r>
      <w:r>
        <w:rPr>
          <w:rFonts w:hint="eastAsia"/>
          <w:color w:val="auto"/>
          <w:sz w:val="24"/>
          <w:szCs w:val="24"/>
          <w:shd w:val="clear" w:color="auto" w:fill="FFFFFF"/>
        </w:rPr>
        <w:t>m</w:t>
      </w:r>
      <w:r>
        <w:rPr>
          <w:rFonts w:hint="eastAsia"/>
          <w:color w:val="auto"/>
          <w:sz w:val="24"/>
          <w:szCs w:val="24"/>
          <w:shd w:val="clear" w:color="auto" w:fill="FFFFFF"/>
          <w:vertAlign w:val="superscript"/>
        </w:rPr>
        <w:t>3</w:t>
      </w:r>
      <w:r>
        <w:rPr>
          <w:rFonts w:hint="eastAsia"/>
          <w:color w:val="auto"/>
          <w:sz w:val="24"/>
          <w:szCs w:val="24"/>
          <w:shd w:val="clear" w:color="auto" w:fill="FFFFFF"/>
        </w:rPr>
        <w:t>。按本项目特点为 0 m</w:t>
      </w:r>
      <w:r>
        <w:rPr>
          <w:rFonts w:hint="eastAsia"/>
          <w:color w:val="auto"/>
          <w:sz w:val="24"/>
          <w:szCs w:val="24"/>
          <w:shd w:val="clear" w:color="auto" w:fill="FFFFFF"/>
          <w:vertAlign w:val="superscript"/>
        </w:rPr>
        <w:t>3</w:t>
      </w:r>
      <w:r>
        <w:rPr>
          <w:rFonts w:hint="eastAsia"/>
          <w:color w:val="auto"/>
          <w:sz w:val="24"/>
          <w:szCs w:val="24"/>
          <w:shd w:val="clear" w:color="auto" w:fill="FFFFFF"/>
        </w:rPr>
        <w:t>。</w:t>
      </w:r>
    </w:p>
    <w:p w14:paraId="67559321">
      <w:pPr>
        <w:spacing w:line="360" w:lineRule="auto"/>
        <w:ind w:firstLine="480" w:firstLineChars="200"/>
        <w:jc w:val="both"/>
        <w:rPr>
          <w:color w:val="auto"/>
          <w:sz w:val="24"/>
          <w:szCs w:val="24"/>
          <w:shd w:val="clear" w:color="auto" w:fill="FFFFFF"/>
        </w:rPr>
      </w:pPr>
      <w:r>
        <w:rPr>
          <w:color w:val="auto"/>
          <w:sz w:val="24"/>
          <w:szCs w:val="24"/>
          <w:shd w:val="clear" w:color="auto" w:fill="FFFFFF"/>
        </w:rPr>
        <w:t>V</w:t>
      </w:r>
      <w:r>
        <w:rPr>
          <w:color w:val="auto"/>
          <w:sz w:val="24"/>
          <w:szCs w:val="24"/>
          <w:shd w:val="clear" w:color="auto" w:fill="FFFFFF"/>
          <w:vertAlign w:val="subscript"/>
        </w:rPr>
        <w:t>2</w:t>
      </w:r>
      <w:r>
        <w:rPr>
          <w:color w:val="auto"/>
          <w:sz w:val="24"/>
          <w:szCs w:val="24"/>
          <w:shd w:val="clear" w:color="auto" w:fill="FFFFFF"/>
        </w:rPr>
        <w:t>：</w:t>
      </w:r>
      <w:r>
        <w:rPr>
          <w:rFonts w:hint="eastAsia"/>
          <w:color w:val="auto"/>
          <w:sz w:val="24"/>
          <w:szCs w:val="24"/>
          <w:shd w:val="clear" w:color="auto" w:fill="FFFFFF"/>
        </w:rPr>
        <w:t>发生事故的储罐、装置的</w:t>
      </w:r>
      <w:r>
        <w:rPr>
          <w:color w:val="auto"/>
          <w:sz w:val="24"/>
          <w:szCs w:val="24"/>
          <w:shd w:val="clear" w:color="auto" w:fill="FFFFFF"/>
        </w:rPr>
        <w:t>消防水量，按小时消防水量×消防历时计算。</w:t>
      </w:r>
      <w:r>
        <w:rPr>
          <w:rFonts w:hint="eastAsia"/>
          <w:color w:val="auto"/>
          <w:sz w:val="24"/>
          <w:szCs w:val="24"/>
          <w:shd w:val="clear" w:color="auto" w:fill="FFFFFF"/>
        </w:rPr>
        <w:t>根据《消防给水及消火栓系统技术规范》（GB50974-2014）及计算消防水量，项目占地面积＜100ha，厂区同一时间内的火灾次数为1次。消防给水设计流量60L/s（216m</w:t>
      </w:r>
      <w:r>
        <w:rPr>
          <w:rFonts w:hint="eastAsia"/>
          <w:color w:val="auto"/>
          <w:sz w:val="24"/>
          <w:szCs w:val="24"/>
          <w:shd w:val="clear" w:color="auto" w:fill="FFFFFF"/>
          <w:vertAlign w:val="superscript"/>
        </w:rPr>
        <w:t>3</w:t>
      </w:r>
      <w:r>
        <w:rPr>
          <w:rFonts w:hint="eastAsia"/>
          <w:color w:val="auto"/>
          <w:sz w:val="24"/>
          <w:szCs w:val="24"/>
          <w:shd w:val="clear" w:color="auto" w:fill="FFFFFF"/>
        </w:rPr>
        <w:t>/h），火灾延续供水时间按3小时考虑，一次最大消防用水量648m</w:t>
      </w:r>
      <w:r>
        <w:rPr>
          <w:rFonts w:hint="eastAsia"/>
          <w:color w:val="auto"/>
          <w:sz w:val="24"/>
          <w:szCs w:val="24"/>
          <w:shd w:val="clear" w:color="auto" w:fill="FFFFFF"/>
          <w:vertAlign w:val="superscript"/>
        </w:rPr>
        <w:t>3</w:t>
      </w:r>
      <w:r>
        <w:rPr>
          <w:rFonts w:hint="eastAsia"/>
          <w:color w:val="auto"/>
          <w:sz w:val="24"/>
          <w:szCs w:val="24"/>
          <w:shd w:val="clear" w:color="auto" w:fill="FFFFFF"/>
        </w:rPr>
        <w:t>。</w:t>
      </w:r>
    </w:p>
    <w:p w14:paraId="58FA414A">
      <w:pPr>
        <w:spacing w:line="360" w:lineRule="auto"/>
        <w:ind w:firstLine="480" w:firstLineChars="200"/>
        <w:jc w:val="both"/>
        <w:rPr>
          <w:color w:val="auto"/>
          <w:sz w:val="24"/>
          <w:szCs w:val="24"/>
          <w:shd w:val="clear" w:color="auto" w:fill="FFFFFF"/>
        </w:rPr>
      </w:pPr>
      <w:r>
        <w:rPr>
          <w:color w:val="auto"/>
          <w:sz w:val="24"/>
          <w:szCs w:val="24"/>
          <w:shd w:val="clear" w:color="auto" w:fill="FFFFFF"/>
        </w:rPr>
        <w:t>V</w:t>
      </w:r>
      <w:r>
        <w:rPr>
          <w:color w:val="auto"/>
          <w:sz w:val="24"/>
          <w:szCs w:val="24"/>
          <w:shd w:val="clear" w:color="auto" w:fill="FFFFFF"/>
          <w:vertAlign w:val="subscript"/>
        </w:rPr>
        <w:t>3</w:t>
      </w:r>
      <w:r>
        <w:rPr>
          <w:color w:val="auto"/>
          <w:sz w:val="24"/>
          <w:szCs w:val="24"/>
          <w:shd w:val="clear" w:color="auto" w:fill="FFFFFF"/>
        </w:rPr>
        <w:t>：发生事故时可以</w:t>
      </w:r>
      <w:r>
        <w:rPr>
          <w:rFonts w:hint="eastAsia"/>
          <w:color w:val="auto"/>
          <w:sz w:val="24"/>
          <w:szCs w:val="24"/>
          <w:shd w:val="clear" w:color="auto" w:fill="FFFFFF"/>
        </w:rPr>
        <w:t>传输</w:t>
      </w:r>
      <w:r>
        <w:rPr>
          <w:color w:val="auto"/>
          <w:sz w:val="24"/>
          <w:szCs w:val="24"/>
          <w:shd w:val="clear" w:color="auto" w:fill="FFFFFF"/>
        </w:rPr>
        <w:t>到其他储存或处理设施的量</w:t>
      </w:r>
      <w:r>
        <w:rPr>
          <w:rFonts w:hint="eastAsia"/>
          <w:color w:val="auto"/>
          <w:sz w:val="24"/>
          <w:szCs w:val="24"/>
          <w:shd w:val="clear" w:color="auto" w:fill="FFFFFF"/>
        </w:rPr>
        <w:t>。项目</w:t>
      </w:r>
      <w:r>
        <w:rPr>
          <w:color w:val="auto"/>
          <w:sz w:val="24"/>
          <w:szCs w:val="24"/>
          <w:shd w:val="clear" w:color="auto" w:fill="FFFFFF"/>
        </w:rPr>
        <w:t>罐区防火堤内容积可作为事故排水储存</w:t>
      </w:r>
      <w:r>
        <w:rPr>
          <w:rFonts w:hint="eastAsia"/>
          <w:color w:val="auto"/>
          <w:sz w:val="24"/>
          <w:szCs w:val="24"/>
          <w:shd w:val="clear" w:color="auto" w:fill="FFFFFF"/>
        </w:rPr>
        <w:t>的</w:t>
      </w:r>
      <w:r>
        <w:rPr>
          <w:color w:val="auto"/>
          <w:sz w:val="24"/>
          <w:szCs w:val="24"/>
          <w:shd w:val="clear" w:color="auto" w:fill="FFFFFF"/>
        </w:rPr>
        <w:t>有效容积</w:t>
      </w:r>
      <w:r>
        <w:rPr>
          <w:rFonts w:hint="eastAsia"/>
          <w:color w:val="auto"/>
          <w:sz w:val="24"/>
          <w:szCs w:val="24"/>
          <w:shd w:val="clear" w:color="auto" w:fill="FFFFFF"/>
        </w:rPr>
        <w:t>。本项目取值为0 m</w:t>
      </w:r>
      <w:r>
        <w:rPr>
          <w:rFonts w:hint="eastAsia"/>
          <w:color w:val="auto"/>
          <w:sz w:val="24"/>
          <w:szCs w:val="24"/>
          <w:shd w:val="clear" w:color="auto" w:fill="FFFFFF"/>
          <w:vertAlign w:val="superscript"/>
        </w:rPr>
        <w:t>3</w:t>
      </w:r>
      <w:r>
        <w:rPr>
          <w:rFonts w:hint="eastAsia"/>
          <w:color w:val="auto"/>
          <w:sz w:val="24"/>
          <w:szCs w:val="24"/>
          <w:shd w:val="clear" w:color="auto" w:fill="FFFFFF"/>
        </w:rPr>
        <w:t>。</w:t>
      </w:r>
    </w:p>
    <w:p w14:paraId="13A787BB">
      <w:pPr>
        <w:spacing w:line="360" w:lineRule="auto"/>
        <w:ind w:firstLine="480" w:firstLineChars="200"/>
        <w:jc w:val="both"/>
        <w:rPr>
          <w:color w:val="auto"/>
          <w:sz w:val="24"/>
          <w:szCs w:val="24"/>
          <w:shd w:val="clear" w:color="auto" w:fill="FFFFFF"/>
        </w:rPr>
      </w:pPr>
      <w:r>
        <w:rPr>
          <w:color w:val="auto"/>
          <w:sz w:val="24"/>
          <w:szCs w:val="24"/>
          <w:shd w:val="clear" w:color="auto" w:fill="FFFFFF"/>
        </w:rPr>
        <w:t>V</w:t>
      </w:r>
      <w:r>
        <w:rPr>
          <w:color w:val="auto"/>
          <w:sz w:val="24"/>
          <w:szCs w:val="24"/>
          <w:shd w:val="clear" w:color="auto" w:fill="FFFFFF"/>
          <w:vertAlign w:val="subscript"/>
        </w:rPr>
        <w:t>4</w:t>
      </w:r>
      <w:r>
        <w:rPr>
          <w:color w:val="auto"/>
          <w:sz w:val="24"/>
          <w:szCs w:val="24"/>
          <w:shd w:val="clear" w:color="auto" w:fill="FFFFFF"/>
        </w:rPr>
        <w:t>：发生事故时进入</w:t>
      </w:r>
      <w:r>
        <w:rPr>
          <w:rFonts w:hint="eastAsia"/>
          <w:color w:val="auto"/>
          <w:sz w:val="24"/>
          <w:szCs w:val="24"/>
          <w:shd w:val="clear" w:color="auto" w:fill="FFFFFF"/>
        </w:rPr>
        <w:t>该收集</w:t>
      </w:r>
      <w:r>
        <w:rPr>
          <w:color w:val="auto"/>
          <w:sz w:val="24"/>
          <w:szCs w:val="24"/>
          <w:shd w:val="clear" w:color="auto" w:fill="FFFFFF"/>
        </w:rPr>
        <w:t>系统的生产污水量，为0m</w:t>
      </w:r>
      <w:r>
        <w:rPr>
          <w:color w:val="auto"/>
          <w:sz w:val="24"/>
          <w:szCs w:val="24"/>
          <w:shd w:val="clear" w:color="auto" w:fill="FFFFFF"/>
          <w:vertAlign w:val="superscript"/>
        </w:rPr>
        <w:t>3</w:t>
      </w:r>
      <w:r>
        <w:rPr>
          <w:color w:val="auto"/>
          <w:sz w:val="24"/>
          <w:szCs w:val="24"/>
          <w:shd w:val="clear" w:color="auto" w:fill="FFFFFF"/>
        </w:rPr>
        <w:t>。</w:t>
      </w:r>
      <w:r>
        <w:rPr>
          <w:rFonts w:hint="eastAsia"/>
          <w:color w:val="auto"/>
          <w:sz w:val="24"/>
          <w:szCs w:val="24"/>
          <w:shd w:val="clear" w:color="auto" w:fill="FFFFFF"/>
        </w:rPr>
        <w:t xml:space="preserve"> </w:t>
      </w:r>
    </w:p>
    <w:p w14:paraId="1D0ECE3A">
      <w:pPr>
        <w:spacing w:line="360" w:lineRule="auto"/>
        <w:ind w:firstLine="480" w:firstLineChars="200"/>
        <w:jc w:val="both"/>
        <w:rPr>
          <w:color w:val="auto"/>
          <w:sz w:val="24"/>
          <w:szCs w:val="24"/>
          <w:shd w:val="clear" w:color="auto" w:fill="FFFFFF"/>
        </w:rPr>
      </w:pPr>
      <w:r>
        <w:rPr>
          <w:color w:val="auto"/>
          <w:sz w:val="24"/>
          <w:szCs w:val="24"/>
          <w:shd w:val="clear" w:color="auto" w:fill="FFFFFF"/>
        </w:rPr>
        <w:t>V</w:t>
      </w:r>
      <w:r>
        <w:rPr>
          <w:color w:val="auto"/>
          <w:sz w:val="24"/>
          <w:szCs w:val="24"/>
          <w:shd w:val="clear" w:color="auto" w:fill="FFFFFF"/>
          <w:vertAlign w:val="subscript"/>
        </w:rPr>
        <w:t>5</w:t>
      </w:r>
      <w:r>
        <w:rPr>
          <w:color w:val="auto"/>
          <w:sz w:val="24"/>
          <w:szCs w:val="24"/>
          <w:shd w:val="clear" w:color="auto" w:fill="FFFFFF"/>
        </w:rPr>
        <w:t>：发生事故时可能进入该系统的</w:t>
      </w:r>
      <w:r>
        <w:rPr>
          <w:rFonts w:hint="eastAsia"/>
          <w:color w:val="auto"/>
          <w:sz w:val="24"/>
          <w:szCs w:val="24"/>
          <w:shd w:val="clear" w:color="auto" w:fill="FFFFFF"/>
        </w:rPr>
        <w:t>降雨</w:t>
      </w:r>
      <w:r>
        <w:rPr>
          <w:color w:val="auto"/>
          <w:sz w:val="24"/>
          <w:szCs w:val="24"/>
          <w:shd w:val="clear" w:color="auto" w:fill="FFFFFF"/>
        </w:rPr>
        <w:t>量，按平均日降雨量计算。</w:t>
      </w:r>
    </w:p>
    <w:p w14:paraId="5C0A50E0">
      <w:pPr>
        <w:spacing w:line="360" w:lineRule="auto"/>
        <w:ind w:firstLine="480" w:firstLineChars="200"/>
        <w:jc w:val="both"/>
        <w:rPr>
          <w:color w:val="auto"/>
          <w:sz w:val="24"/>
          <w:szCs w:val="24"/>
          <w:shd w:val="clear" w:color="auto" w:fill="FFFFFF"/>
        </w:rPr>
      </w:pPr>
      <w:r>
        <w:rPr>
          <w:color w:val="auto"/>
          <w:sz w:val="24"/>
          <w:szCs w:val="24"/>
          <w:shd w:val="clear" w:color="auto" w:fill="FFFFFF"/>
        </w:rPr>
        <w:t>V</w:t>
      </w:r>
      <w:r>
        <w:rPr>
          <w:color w:val="auto"/>
          <w:sz w:val="24"/>
          <w:szCs w:val="24"/>
          <w:shd w:val="clear" w:color="auto" w:fill="FFFFFF"/>
          <w:vertAlign w:val="subscript"/>
        </w:rPr>
        <w:t>5</w:t>
      </w:r>
      <w:r>
        <w:rPr>
          <w:color w:val="auto"/>
          <w:sz w:val="24"/>
          <w:szCs w:val="24"/>
          <w:shd w:val="clear" w:color="auto" w:fill="FFFFFF"/>
        </w:rPr>
        <w:t>=10q</w:t>
      </w:r>
      <w:r>
        <w:rPr>
          <w:rFonts w:hint="eastAsia"/>
          <w:color w:val="auto"/>
          <w:sz w:val="24"/>
          <w:szCs w:val="24"/>
          <w:shd w:val="clear" w:color="auto" w:fill="FFFFFF"/>
        </w:rPr>
        <w:t>f</w:t>
      </w:r>
    </w:p>
    <w:p w14:paraId="12CD77FF">
      <w:pPr>
        <w:spacing w:line="360" w:lineRule="auto"/>
        <w:ind w:firstLine="480" w:firstLineChars="200"/>
        <w:jc w:val="both"/>
        <w:rPr>
          <w:color w:val="auto"/>
          <w:sz w:val="24"/>
          <w:szCs w:val="24"/>
          <w:shd w:val="clear" w:color="auto" w:fill="FFFFFF"/>
        </w:rPr>
      </w:pPr>
      <w:r>
        <w:rPr>
          <w:color w:val="auto"/>
          <w:sz w:val="24"/>
          <w:szCs w:val="24"/>
          <w:shd w:val="clear" w:color="auto" w:fill="FFFFFF"/>
        </w:rPr>
        <w:t>q</w:t>
      </w:r>
      <w:r>
        <w:rPr>
          <w:rFonts w:hint="eastAsia"/>
          <w:color w:val="auto"/>
          <w:sz w:val="24"/>
          <w:szCs w:val="24"/>
          <w:shd w:val="clear" w:color="auto" w:fill="FFFFFF"/>
        </w:rPr>
        <w:t>－</w:t>
      </w:r>
      <w:r>
        <w:rPr>
          <w:color w:val="auto"/>
          <w:sz w:val="24"/>
          <w:szCs w:val="24"/>
          <w:shd w:val="clear" w:color="auto" w:fill="FFFFFF"/>
        </w:rPr>
        <w:t>降雨强度，mm；按平均日降雨量；</w:t>
      </w:r>
    </w:p>
    <w:p w14:paraId="6F812436">
      <w:pPr>
        <w:spacing w:line="360" w:lineRule="auto"/>
        <w:ind w:firstLine="480" w:firstLineChars="200"/>
        <w:jc w:val="both"/>
        <w:rPr>
          <w:color w:val="auto"/>
          <w:sz w:val="24"/>
          <w:szCs w:val="24"/>
          <w:shd w:val="clear" w:color="auto" w:fill="FFFFFF"/>
        </w:rPr>
      </w:pPr>
      <w:r>
        <w:rPr>
          <w:color w:val="auto"/>
          <w:sz w:val="24"/>
          <w:szCs w:val="24"/>
          <w:shd w:val="clear" w:color="auto" w:fill="FFFFFF"/>
        </w:rPr>
        <w:t>qa-年平均降雨量，mm</w:t>
      </w:r>
      <w:r>
        <w:rPr>
          <w:rFonts w:hint="eastAsia"/>
          <w:color w:val="auto"/>
          <w:sz w:val="24"/>
          <w:szCs w:val="24"/>
          <w:shd w:val="clear" w:color="auto" w:fill="FFFFFF"/>
        </w:rPr>
        <w:t>；</w:t>
      </w:r>
      <w:r>
        <w:rPr>
          <w:color w:val="auto"/>
          <w:sz w:val="24"/>
          <w:szCs w:val="24"/>
          <w:shd w:val="clear" w:color="auto" w:fill="FFFFFF"/>
        </w:rPr>
        <w:t>（项目所在地区年平均降雨量</w:t>
      </w:r>
      <w:r>
        <w:rPr>
          <w:rFonts w:hint="eastAsia"/>
          <w:color w:val="auto"/>
          <w:sz w:val="24"/>
          <w:szCs w:val="24"/>
          <w:shd w:val="clear" w:color="auto" w:fill="FFFFFF"/>
        </w:rPr>
        <w:t>约197.8 mm</w:t>
      </w:r>
      <w:r>
        <w:rPr>
          <w:color w:val="auto"/>
          <w:sz w:val="24"/>
          <w:szCs w:val="24"/>
          <w:shd w:val="clear" w:color="auto" w:fill="FFFFFF"/>
        </w:rPr>
        <w:t>）</w:t>
      </w:r>
    </w:p>
    <w:p w14:paraId="48571CC2">
      <w:pPr>
        <w:spacing w:line="360" w:lineRule="auto"/>
        <w:ind w:firstLine="480" w:firstLineChars="200"/>
        <w:jc w:val="both"/>
        <w:rPr>
          <w:color w:val="auto"/>
          <w:sz w:val="24"/>
          <w:szCs w:val="24"/>
          <w:shd w:val="clear" w:color="auto" w:fill="FFFFFF"/>
        </w:rPr>
      </w:pPr>
      <w:r>
        <w:rPr>
          <w:color w:val="auto"/>
          <w:sz w:val="24"/>
          <w:szCs w:val="24"/>
          <w:shd w:val="clear" w:color="auto" w:fill="FFFFFF"/>
        </w:rPr>
        <w:t>n</w:t>
      </w:r>
      <w:r>
        <w:rPr>
          <w:rFonts w:hint="eastAsia"/>
          <w:color w:val="auto"/>
          <w:sz w:val="24"/>
          <w:szCs w:val="24"/>
          <w:shd w:val="clear" w:color="auto" w:fill="FFFFFF"/>
        </w:rPr>
        <w:t>－</w:t>
      </w:r>
      <w:r>
        <w:rPr>
          <w:color w:val="auto"/>
          <w:sz w:val="24"/>
          <w:szCs w:val="24"/>
          <w:shd w:val="clear" w:color="auto" w:fill="FFFFFF"/>
        </w:rPr>
        <w:t>年平均降雨日数。（项目所在地区年平均降雨日数</w:t>
      </w:r>
      <w:r>
        <w:rPr>
          <w:rFonts w:hint="eastAsia"/>
          <w:color w:val="auto"/>
          <w:sz w:val="24"/>
          <w:szCs w:val="24"/>
          <w:shd w:val="clear" w:color="auto" w:fill="FFFFFF"/>
        </w:rPr>
        <w:t>45计</w:t>
      </w:r>
      <w:r>
        <w:rPr>
          <w:color w:val="auto"/>
          <w:sz w:val="24"/>
          <w:szCs w:val="24"/>
          <w:shd w:val="clear" w:color="auto" w:fill="FFFFFF"/>
        </w:rPr>
        <w:t>）</w:t>
      </w:r>
    </w:p>
    <w:p w14:paraId="50F7231B">
      <w:pPr>
        <w:spacing w:line="360" w:lineRule="auto"/>
        <w:ind w:firstLine="480" w:firstLineChars="200"/>
        <w:jc w:val="both"/>
        <w:rPr>
          <w:color w:val="auto"/>
          <w:sz w:val="24"/>
          <w:szCs w:val="24"/>
          <w:shd w:val="clear" w:color="auto" w:fill="FFFFFF"/>
        </w:rPr>
      </w:pPr>
      <w:r>
        <w:rPr>
          <w:color w:val="auto"/>
          <w:sz w:val="24"/>
          <w:szCs w:val="24"/>
          <w:shd w:val="clear" w:color="auto" w:fill="FFFFFF"/>
        </w:rPr>
        <w:t>q=qa/n</w:t>
      </w:r>
    </w:p>
    <w:p w14:paraId="340A9A7A">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f</w:t>
      </w:r>
      <w:r>
        <w:rPr>
          <w:color w:val="auto"/>
          <w:sz w:val="24"/>
          <w:szCs w:val="24"/>
          <w:shd w:val="clear" w:color="auto" w:fill="FFFFFF"/>
        </w:rPr>
        <w:t>—必须进入事故废水收集系统的雨水汇水面积，</w:t>
      </w:r>
      <w:r>
        <w:rPr>
          <w:rFonts w:hint="eastAsia"/>
          <w:color w:val="auto"/>
          <w:sz w:val="24"/>
          <w:szCs w:val="24"/>
          <w:shd w:val="clear" w:color="auto" w:fill="FFFFFF"/>
        </w:rPr>
        <w:t>公顷（</w:t>
      </w:r>
      <w:r>
        <w:rPr>
          <w:color w:val="auto"/>
          <w:sz w:val="24"/>
          <w:szCs w:val="24"/>
          <w:shd w:val="clear" w:color="auto" w:fill="FFFFFF"/>
        </w:rPr>
        <w:t>ha</w:t>
      </w:r>
      <w:r>
        <w:rPr>
          <w:rFonts w:hint="eastAsia"/>
          <w:color w:val="auto"/>
          <w:sz w:val="24"/>
          <w:szCs w:val="24"/>
          <w:shd w:val="clear" w:color="auto" w:fill="FFFFFF"/>
        </w:rPr>
        <w:t>）</w:t>
      </w:r>
      <w:r>
        <w:rPr>
          <w:color w:val="auto"/>
          <w:sz w:val="24"/>
          <w:szCs w:val="24"/>
          <w:shd w:val="clear" w:color="auto" w:fill="FFFFFF"/>
        </w:rPr>
        <w:t>；</w:t>
      </w:r>
    </w:p>
    <w:p w14:paraId="15D501BB">
      <w:pPr>
        <w:spacing w:line="360" w:lineRule="auto"/>
        <w:ind w:firstLine="480" w:firstLineChars="200"/>
        <w:jc w:val="both"/>
        <w:rPr>
          <w:color w:val="auto"/>
          <w:sz w:val="24"/>
          <w:szCs w:val="24"/>
        </w:rPr>
      </w:pPr>
      <w:r>
        <w:rPr>
          <w:rFonts w:hint="eastAsia"/>
          <w:color w:val="auto"/>
          <w:sz w:val="24"/>
          <w:szCs w:val="24"/>
        </w:rPr>
        <w:t>根据相关资料，年平均降雨量按照197.8mm计算，厂区汇水面积按照0.005ha，则V</w:t>
      </w:r>
      <w:r>
        <w:rPr>
          <w:rFonts w:hint="eastAsia"/>
          <w:color w:val="auto"/>
          <w:sz w:val="24"/>
          <w:szCs w:val="24"/>
          <w:vertAlign w:val="subscript"/>
        </w:rPr>
        <w:t>5</w:t>
      </w:r>
      <w:r>
        <w:rPr>
          <w:rFonts w:hint="eastAsia"/>
          <w:color w:val="auto"/>
          <w:sz w:val="24"/>
          <w:szCs w:val="24"/>
        </w:rPr>
        <w:t>=1m</w:t>
      </w:r>
      <w:r>
        <w:rPr>
          <w:rFonts w:hint="eastAsia"/>
          <w:color w:val="auto"/>
          <w:sz w:val="24"/>
          <w:szCs w:val="24"/>
          <w:vertAlign w:val="superscript"/>
        </w:rPr>
        <w:t>3</w:t>
      </w:r>
      <w:r>
        <w:rPr>
          <w:rFonts w:hint="eastAsia"/>
          <w:color w:val="auto"/>
          <w:sz w:val="24"/>
          <w:szCs w:val="24"/>
        </w:rPr>
        <w:t>。</w:t>
      </w:r>
    </w:p>
    <w:p w14:paraId="27B01A62">
      <w:pPr>
        <w:spacing w:line="360" w:lineRule="auto"/>
        <w:ind w:firstLine="480" w:firstLineChars="200"/>
        <w:jc w:val="both"/>
        <w:rPr>
          <w:color w:val="auto"/>
          <w:sz w:val="24"/>
          <w:szCs w:val="24"/>
        </w:rPr>
      </w:pPr>
      <w:r>
        <w:rPr>
          <w:rFonts w:hint="eastAsia"/>
          <w:color w:val="auto"/>
          <w:sz w:val="24"/>
          <w:szCs w:val="24"/>
        </w:rPr>
        <w:t>综上，本项目的事故水池容积为V总=（V</w:t>
      </w:r>
      <w:r>
        <w:rPr>
          <w:rFonts w:hint="eastAsia"/>
          <w:color w:val="auto"/>
          <w:sz w:val="24"/>
          <w:szCs w:val="24"/>
          <w:vertAlign w:val="subscript"/>
        </w:rPr>
        <w:t>l</w:t>
      </w:r>
      <w:r>
        <w:rPr>
          <w:rFonts w:hint="eastAsia"/>
          <w:color w:val="auto"/>
          <w:sz w:val="24"/>
          <w:szCs w:val="24"/>
        </w:rPr>
        <w:t>+V</w:t>
      </w:r>
      <w:r>
        <w:rPr>
          <w:rFonts w:hint="eastAsia"/>
          <w:color w:val="auto"/>
          <w:sz w:val="24"/>
          <w:szCs w:val="24"/>
          <w:vertAlign w:val="subscript"/>
        </w:rPr>
        <w:t>2</w:t>
      </w:r>
      <w:r>
        <w:rPr>
          <w:rFonts w:hint="eastAsia"/>
          <w:color w:val="auto"/>
          <w:sz w:val="24"/>
          <w:szCs w:val="24"/>
        </w:rPr>
        <w:t>－V</w:t>
      </w:r>
      <w:r>
        <w:rPr>
          <w:rFonts w:hint="eastAsia"/>
          <w:color w:val="auto"/>
          <w:sz w:val="24"/>
          <w:szCs w:val="24"/>
          <w:vertAlign w:val="subscript"/>
        </w:rPr>
        <w:t>3</w:t>
      </w:r>
      <w:r>
        <w:rPr>
          <w:rFonts w:hint="eastAsia"/>
          <w:color w:val="auto"/>
          <w:sz w:val="24"/>
          <w:szCs w:val="24"/>
        </w:rPr>
        <w:t>）max+V</w:t>
      </w:r>
      <w:r>
        <w:rPr>
          <w:rFonts w:hint="eastAsia"/>
          <w:color w:val="auto"/>
          <w:sz w:val="24"/>
          <w:szCs w:val="24"/>
          <w:vertAlign w:val="subscript"/>
        </w:rPr>
        <w:t>4</w:t>
      </w:r>
      <w:r>
        <w:rPr>
          <w:rFonts w:hint="eastAsia"/>
          <w:color w:val="auto"/>
          <w:sz w:val="24"/>
          <w:szCs w:val="24"/>
        </w:rPr>
        <w:t>+V</w:t>
      </w:r>
      <w:r>
        <w:rPr>
          <w:rFonts w:hint="eastAsia"/>
          <w:color w:val="auto"/>
          <w:sz w:val="24"/>
          <w:szCs w:val="24"/>
          <w:vertAlign w:val="subscript"/>
        </w:rPr>
        <w:t>5</w:t>
      </w:r>
    </w:p>
    <w:p w14:paraId="29F0E4F7">
      <w:pPr>
        <w:spacing w:line="360" w:lineRule="auto"/>
        <w:ind w:firstLine="480" w:firstLineChars="200"/>
        <w:jc w:val="both"/>
        <w:rPr>
          <w:color w:val="auto"/>
          <w:sz w:val="24"/>
          <w:szCs w:val="24"/>
        </w:rPr>
      </w:pPr>
      <w:r>
        <w:rPr>
          <w:rFonts w:hint="eastAsia"/>
          <w:color w:val="auto"/>
          <w:sz w:val="24"/>
          <w:szCs w:val="24"/>
        </w:rPr>
        <w:t xml:space="preserve">                                  =（0+648-0）+0+1</w:t>
      </w:r>
      <w:r>
        <w:rPr>
          <w:color w:val="auto"/>
          <w:sz w:val="24"/>
          <w:szCs w:val="24"/>
        </w:rPr>
        <w:t>=</w:t>
      </w:r>
      <w:r>
        <w:rPr>
          <w:rFonts w:hint="eastAsia"/>
          <w:color w:val="auto"/>
          <w:sz w:val="24"/>
          <w:szCs w:val="24"/>
        </w:rPr>
        <w:t>649</w:t>
      </w:r>
      <w:r>
        <w:rPr>
          <w:color w:val="auto"/>
          <w:sz w:val="24"/>
          <w:szCs w:val="24"/>
        </w:rPr>
        <w:t>m</w:t>
      </w:r>
      <w:r>
        <w:rPr>
          <w:color w:val="auto"/>
          <w:sz w:val="24"/>
          <w:szCs w:val="24"/>
          <w:vertAlign w:val="superscript"/>
        </w:rPr>
        <w:t>3</w:t>
      </w:r>
    </w:p>
    <w:p w14:paraId="198C9686">
      <w:pPr>
        <w:spacing w:line="360" w:lineRule="auto"/>
        <w:ind w:firstLine="480" w:firstLineChars="200"/>
        <w:jc w:val="both"/>
        <w:rPr>
          <w:color w:val="auto"/>
          <w:sz w:val="24"/>
          <w:szCs w:val="24"/>
        </w:rPr>
      </w:pPr>
      <w:r>
        <w:rPr>
          <w:rFonts w:hint="eastAsia"/>
          <w:color w:val="auto"/>
          <w:sz w:val="24"/>
          <w:szCs w:val="24"/>
        </w:rPr>
        <w:t>本项目在厂区设置1座事故水池，有效容积为700m</w:t>
      </w:r>
      <w:r>
        <w:rPr>
          <w:rFonts w:hint="eastAsia"/>
          <w:color w:val="auto"/>
          <w:sz w:val="24"/>
          <w:szCs w:val="24"/>
          <w:vertAlign w:val="superscript"/>
        </w:rPr>
        <w:t>3</w:t>
      </w:r>
      <w:r>
        <w:rPr>
          <w:rFonts w:hint="eastAsia"/>
          <w:color w:val="auto"/>
          <w:sz w:val="24"/>
          <w:szCs w:val="24"/>
        </w:rPr>
        <w:t>，由此可知，发生事故时，本项目事故水池可以容纳事故状态下产生的事故废水，事故废水需经处理达标后才能排入开发区污水处理厂。</w:t>
      </w:r>
    </w:p>
    <w:p w14:paraId="41774E66">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③三级防控措施</w:t>
      </w:r>
    </w:p>
    <w:p w14:paraId="19076FFB">
      <w:pPr>
        <w:spacing w:line="360" w:lineRule="auto"/>
        <w:ind w:firstLine="480" w:firstLineChars="200"/>
        <w:jc w:val="both"/>
        <w:rPr>
          <w:color w:val="auto"/>
          <w:sz w:val="24"/>
          <w:szCs w:val="24"/>
          <w:shd w:val="clear" w:color="auto" w:fill="FFFFFF"/>
        </w:rPr>
      </w:pPr>
      <w:r>
        <w:rPr>
          <w:rFonts w:hint="eastAsia"/>
          <w:color w:val="auto"/>
          <w:sz w:val="24"/>
          <w:szCs w:val="24"/>
          <w:shd w:val="clear" w:color="auto" w:fill="FFFFFF"/>
        </w:rPr>
        <w:t>企业发生重大风险事故，导致企业自备事故水池无法满足应急救援需求时，可启动园区事故水池使用，园区事故水池正常情况下处于零存量状态，可满足入园企业事故状态下的废水收集，不设置外排口（除排入园区污水处理厂排口）。园区企业发生重大风险事故且启动园区事故水池时，水池收集入口处于打开状态，同步开启污水处理厂排水口，处于收集与处理同步状态。综上，项目采取的“单元—厂区—园区”事故废水三级防控体系可确保事故废水和污染雨水不外流出园区，避免对园区外水环境和区域地下水造成污染。本项目厂内事故废水进入外环境的控制、封堵示意图见下图。</w:t>
      </w:r>
    </w:p>
    <w:p w14:paraId="4D5FAA41">
      <w:pPr>
        <w:keepNext/>
        <w:keepLines/>
        <w:numPr>
          <w:ilvl w:val="3"/>
          <w:numId w:val="1"/>
        </w:numPr>
        <w:spacing w:line="360" w:lineRule="auto"/>
        <w:outlineLvl w:val="3"/>
        <w:rPr>
          <w:b/>
          <w:bCs/>
          <w:color w:val="auto"/>
          <w:sz w:val="24"/>
          <w:szCs w:val="28"/>
        </w:rPr>
      </w:pPr>
      <w:r>
        <w:rPr>
          <w:rFonts w:hint="eastAsia"/>
          <w:b/>
          <w:bCs/>
          <w:color w:val="auto"/>
          <w:sz w:val="24"/>
          <w:szCs w:val="28"/>
        </w:rPr>
        <w:t>地下水环境风险防范措施</w:t>
      </w:r>
    </w:p>
    <w:p w14:paraId="6A1350AF">
      <w:pPr>
        <w:spacing w:line="360" w:lineRule="auto"/>
        <w:ind w:firstLine="480" w:firstLineChars="200"/>
        <w:jc w:val="both"/>
        <w:rPr>
          <w:color w:val="auto"/>
          <w:sz w:val="24"/>
          <w:szCs w:val="24"/>
        </w:rPr>
      </w:pPr>
      <w:r>
        <w:rPr>
          <w:rFonts w:hint="eastAsia"/>
          <w:color w:val="auto"/>
          <w:sz w:val="24"/>
          <w:szCs w:val="24"/>
        </w:rPr>
        <w:t>地下水环境风险防范应重点采取源头控制和分区防渗措施，加强对地下水环境的监控、预警，提出事故应急减缓措施。本项目根据《环境影响评价技术导则 地下水环境》（HJ 610-2016）建设了“源头控制、分区防控、污染监控、应急响应”建立常态下的地下水环境保护措施，一旦在厂内污染源发生泄漏、造成地下水污染的风险事故，应采取相应的应急减缓措施。本报告要求具体措施参照《污染地块地下水修复和风险管控技术导则》（HJ 25.6-2019），风险管控模式是以实现阻断地下水污染物暴露途径，阻止地下水污染扩散为目的，对污染地块进行地下水风险管控的总体思路。通过采取风险管控措施，将地下水污染事故影响范围局限在厂区内很小范围后，启动地下水和土壤修复方案。根据设计方案，本项目拟建750m</w:t>
      </w:r>
      <w:r>
        <w:rPr>
          <w:rFonts w:hint="eastAsia"/>
          <w:color w:val="auto"/>
          <w:sz w:val="24"/>
          <w:szCs w:val="24"/>
          <w:vertAlign w:val="superscript"/>
        </w:rPr>
        <w:t>3</w:t>
      </w:r>
      <w:r>
        <w:rPr>
          <w:rFonts w:hint="eastAsia"/>
          <w:color w:val="auto"/>
          <w:sz w:val="24"/>
          <w:szCs w:val="24"/>
        </w:rPr>
        <w:t>事故池进行事故水收纳，设计容量可以满足消防事故时的消防事故水量和雨水量，确保事故状态下泄漏物料和消防事故废水不出厂区。</w:t>
      </w:r>
    </w:p>
    <w:p w14:paraId="020B37F3">
      <w:pPr>
        <w:spacing w:line="360" w:lineRule="auto"/>
        <w:ind w:firstLine="480" w:firstLineChars="200"/>
        <w:jc w:val="both"/>
        <w:rPr>
          <w:color w:val="auto"/>
          <w:sz w:val="24"/>
          <w:szCs w:val="24"/>
        </w:rPr>
      </w:pPr>
      <w:r>
        <w:rPr>
          <w:rFonts w:hint="eastAsia"/>
          <w:color w:val="auto"/>
          <w:sz w:val="24"/>
          <w:szCs w:val="24"/>
        </w:rPr>
        <w:t>除以上措施外，企业还应对各装置采取分区防渗措施，具体防渗措施及分区方案见措施章节。</w:t>
      </w:r>
    </w:p>
    <w:p w14:paraId="036E07C0">
      <w:pPr>
        <w:spacing w:line="360" w:lineRule="auto"/>
        <w:ind w:firstLine="480" w:firstLineChars="200"/>
        <w:jc w:val="both"/>
        <w:rPr>
          <w:color w:val="auto"/>
          <w:sz w:val="24"/>
          <w:szCs w:val="24"/>
        </w:rPr>
      </w:pPr>
      <w:r>
        <w:rPr>
          <w:rFonts w:hint="eastAsia"/>
          <w:color w:val="auto"/>
          <w:sz w:val="24"/>
          <w:szCs w:val="24"/>
        </w:rPr>
        <w:t>为了及时准确掌握厂址及下游地区地下水环境质量状况和事故状态下地下水体中污染物的动态变化，项目应在厂区及上下游布设有地下水水质监测井；并制定正常生产时场地和保护目标地下水跟踪监测计划，以重点风险源下游布点为主，其中跟踪监测点具有污染控制警戒功能。</w:t>
      </w:r>
    </w:p>
    <w:p w14:paraId="2F2BF325">
      <w:pPr>
        <w:spacing w:line="360" w:lineRule="auto"/>
        <w:ind w:firstLine="480" w:firstLineChars="200"/>
        <w:jc w:val="both"/>
        <w:rPr>
          <w:color w:val="auto"/>
          <w:sz w:val="24"/>
          <w:szCs w:val="24"/>
        </w:rPr>
      </w:pPr>
      <w:r>
        <w:rPr>
          <w:rFonts w:hint="eastAsia"/>
          <w:color w:val="auto"/>
          <w:sz w:val="24"/>
          <w:szCs w:val="24"/>
        </w:rPr>
        <w:t>通过以上分析可知，拟建项目事故状态下泄漏物料和消防事故废水不出厂，通过覆盖厂内、厂外的地下水监控体系掌握可能发生的地下水污染状况做到及时反应和应对。</w:t>
      </w:r>
    </w:p>
    <w:p w14:paraId="441BAB39">
      <w:pPr>
        <w:keepNext/>
        <w:keepLines/>
        <w:numPr>
          <w:ilvl w:val="3"/>
          <w:numId w:val="1"/>
        </w:numPr>
        <w:spacing w:line="360" w:lineRule="auto"/>
        <w:outlineLvl w:val="3"/>
        <w:rPr>
          <w:b/>
          <w:bCs/>
          <w:color w:val="auto"/>
          <w:sz w:val="24"/>
          <w:szCs w:val="28"/>
        </w:rPr>
      </w:pPr>
      <w:r>
        <w:rPr>
          <w:rFonts w:hint="eastAsia"/>
          <w:b/>
          <w:bCs/>
          <w:color w:val="auto"/>
          <w:sz w:val="24"/>
          <w:szCs w:val="28"/>
        </w:rPr>
        <w:t>土壤环境风险防范措施</w:t>
      </w:r>
    </w:p>
    <w:p w14:paraId="74847DA9">
      <w:pPr>
        <w:spacing w:line="360" w:lineRule="auto"/>
        <w:ind w:firstLine="480" w:firstLineChars="200"/>
        <w:jc w:val="both"/>
        <w:rPr>
          <w:color w:val="auto"/>
          <w:sz w:val="24"/>
          <w:szCs w:val="24"/>
        </w:rPr>
      </w:pPr>
      <w:r>
        <w:rPr>
          <w:rFonts w:hint="eastAsia"/>
          <w:color w:val="auto"/>
          <w:sz w:val="24"/>
          <w:szCs w:val="24"/>
        </w:rPr>
        <w:t>本项目对土壤环境的风险主要是纳米管生长车间、原辅料仓库或者管线发生泄漏事故对土壤造成的影响。应采取以下防范措施主要有：</w:t>
      </w:r>
    </w:p>
    <w:p w14:paraId="19D5BDB9">
      <w:pPr>
        <w:spacing w:line="360" w:lineRule="auto"/>
        <w:ind w:firstLine="480" w:firstLineChars="200"/>
        <w:jc w:val="both"/>
        <w:rPr>
          <w:color w:val="auto"/>
          <w:sz w:val="24"/>
          <w:szCs w:val="24"/>
        </w:rPr>
      </w:pPr>
      <w:r>
        <w:rPr>
          <w:rFonts w:hint="eastAsia"/>
          <w:color w:val="auto"/>
          <w:sz w:val="24"/>
          <w:szCs w:val="24"/>
        </w:rPr>
        <w:t>对泄漏物料进行收集回用；应利用围堤收容，然后包括用沙土、砾石或其他惰性材料吸收，然后收集、转移、回收或无害化处理后废弃。</w:t>
      </w:r>
    </w:p>
    <w:p w14:paraId="37DC2977">
      <w:pPr>
        <w:spacing w:line="360" w:lineRule="auto"/>
        <w:ind w:firstLine="480" w:firstLineChars="200"/>
        <w:jc w:val="both"/>
        <w:rPr>
          <w:color w:val="auto"/>
          <w:sz w:val="24"/>
          <w:szCs w:val="24"/>
        </w:rPr>
      </w:pPr>
      <w:r>
        <w:rPr>
          <w:rFonts w:hint="eastAsia"/>
          <w:color w:val="auto"/>
          <w:sz w:val="24"/>
          <w:szCs w:val="24"/>
        </w:rPr>
        <w:t>对污染土壤进行生物修复和绿化处理，及时修复受污染的土壤的植被和生态环境功能。</w:t>
      </w:r>
    </w:p>
    <w:p w14:paraId="142F8A1B">
      <w:pPr>
        <w:keepNext/>
        <w:keepLines/>
        <w:numPr>
          <w:ilvl w:val="3"/>
          <w:numId w:val="1"/>
        </w:numPr>
        <w:spacing w:line="360" w:lineRule="auto"/>
        <w:outlineLvl w:val="3"/>
        <w:rPr>
          <w:b/>
          <w:bCs/>
          <w:color w:val="auto"/>
          <w:sz w:val="24"/>
          <w:szCs w:val="28"/>
        </w:rPr>
      </w:pPr>
      <w:r>
        <w:rPr>
          <w:rFonts w:hint="eastAsia"/>
          <w:b/>
          <w:bCs/>
          <w:color w:val="auto"/>
          <w:sz w:val="24"/>
          <w:szCs w:val="28"/>
        </w:rPr>
        <w:t>安全标志、安全色、警示标识及风向标</w:t>
      </w:r>
    </w:p>
    <w:p w14:paraId="7ED1F968">
      <w:pPr>
        <w:spacing w:line="360" w:lineRule="auto"/>
        <w:ind w:firstLine="480" w:firstLineChars="200"/>
        <w:jc w:val="both"/>
        <w:rPr>
          <w:color w:val="auto"/>
          <w:sz w:val="24"/>
          <w:szCs w:val="24"/>
        </w:rPr>
      </w:pPr>
      <w:r>
        <w:rPr>
          <w:rFonts w:hint="eastAsia"/>
          <w:color w:val="auto"/>
          <w:sz w:val="24"/>
          <w:szCs w:val="24"/>
        </w:rPr>
        <w:t>本工程使用的安全标志和安全色执行《安全色和安全标志》（GB 2894-2025）。在本工程所有可能泄漏有毒有害物料的危险场所高处可视范围内，设置色彩明显的风向标，便于在事故情况下逃生或事故救援指明风向。</w:t>
      </w:r>
    </w:p>
    <w:p w14:paraId="585A158C">
      <w:pPr>
        <w:spacing w:line="360" w:lineRule="auto"/>
        <w:ind w:firstLine="480" w:firstLineChars="200"/>
        <w:jc w:val="both"/>
        <w:rPr>
          <w:color w:val="auto"/>
          <w:sz w:val="24"/>
          <w:szCs w:val="24"/>
        </w:rPr>
      </w:pPr>
      <w:r>
        <w:rPr>
          <w:rFonts w:hint="eastAsia"/>
          <w:color w:val="auto"/>
          <w:sz w:val="24"/>
          <w:szCs w:val="24"/>
        </w:rPr>
        <w:t>按照《使用有毒物品作业场所劳动保护条例》国务院令第352号和《工作场所职业病危害警示标识》（GBZ158-2003）的规定，在使用有毒或有害介质作业场所按规范设置警示线、警示标识和警示牌，警示牌上应有中文警示说明。</w:t>
      </w:r>
    </w:p>
    <w:p w14:paraId="12F984FD">
      <w:pPr>
        <w:keepNext/>
        <w:keepLines/>
        <w:numPr>
          <w:ilvl w:val="3"/>
          <w:numId w:val="1"/>
        </w:numPr>
        <w:spacing w:line="360" w:lineRule="auto"/>
        <w:outlineLvl w:val="3"/>
        <w:rPr>
          <w:b/>
          <w:bCs/>
          <w:color w:val="auto"/>
          <w:sz w:val="24"/>
          <w:szCs w:val="28"/>
        </w:rPr>
      </w:pPr>
      <w:r>
        <w:rPr>
          <w:rFonts w:hint="eastAsia"/>
          <w:b/>
          <w:bCs/>
          <w:color w:val="auto"/>
          <w:sz w:val="24"/>
          <w:szCs w:val="28"/>
        </w:rPr>
        <w:t>事故伴生/次生污染物环境污染防范措施</w:t>
      </w:r>
    </w:p>
    <w:p w14:paraId="096F8B52">
      <w:pPr>
        <w:spacing w:line="360" w:lineRule="auto"/>
        <w:ind w:firstLine="480" w:firstLineChars="200"/>
        <w:jc w:val="both"/>
        <w:rPr>
          <w:color w:val="auto"/>
          <w:sz w:val="24"/>
          <w:szCs w:val="24"/>
        </w:rPr>
      </w:pPr>
      <w:r>
        <w:rPr>
          <w:rFonts w:hint="eastAsia"/>
          <w:color w:val="auto"/>
          <w:sz w:val="24"/>
          <w:szCs w:val="24"/>
        </w:rPr>
        <w:t>当发生事故时往往会同时产生伴生/次生污染物，这些污染物可能通过大气、水排放系统进入环境。发生事故时，要针对所产生的伴生/次生污染物选用不同的消除方法。</w:t>
      </w:r>
    </w:p>
    <w:p w14:paraId="17407F1D">
      <w:pPr>
        <w:spacing w:line="360" w:lineRule="auto"/>
        <w:ind w:firstLine="480" w:firstLineChars="200"/>
        <w:jc w:val="both"/>
        <w:rPr>
          <w:color w:val="auto"/>
          <w:sz w:val="24"/>
          <w:szCs w:val="24"/>
        </w:rPr>
      </w:pPr>
      <w:r>
        <w:rPr>
          <w:rFonts w:hint="eastAsia"/>
          <w:color w:val="auto"/>
          <w:sz w:val="24"/>
          <w:szCs w:val="24"/>
        </w:rPr>
        <w:t>（1）装置区发生泄漏或火灾事故，有消防废水产生。将消防废水引入事故池。根据废水中物料性质，采取预处理或回收利用的方式。若浓度高，用泵等收集设施进行回收；若浓度低，分批送污水处理站处理达标后排放。泡沫覆盖物收集运至废物处理场所处置。严禁消防水将物料带入受纳水体。</w:t>
      </w:r>
    </w:p>
    <w:p w14:paraId="20594976">
      <w:pPr>
        <w:spacing w:line="360" w:lineRule="auto"/>
        <w:ind w:firstLine="480" w:firstLineChars="200"/>
        <w:jc w:val="both"/>
        <w:rPr>
          <w:color w:val="auto"/>
          <w:sz w:val="24"/>
          <w:szCs w:val="24"/>
        </w:rPr>
      </w:pPr>
      <w:r>
        <w:rPr>
          <w:rFonts w:hint="eastAsia"/>
          <w:color w:val="auto"/>
          <w:sz w:val="24"/>
          <w:szCs w:val="24"/>
        </w:rPr>
        <w:t>（2）运输发生泄漏，事故处理中，区域内土壤将受到污染，有被污染的处置材料（如砂土等）及消防废水产生。将刮取受污染的表土及被污染的处置材料（如砂土）委托具有资质的危险废物处置单位对其处理。消防废水用罐车送至附近城市污水处理厂处理达标后排放。</w:t>
      </w:r>
    </w:p>
    <w:p w14:paraId="1C640A1D">
      <w:pPr>
        <w:numPr>
          <w:ilvl w:val="2"/>
          <w:numId w:val="1"/>
        </w:numPr>
        <w:outlineLvl w:val="2"/>
        <w:rPr>
          <w:rFonts w:eastAsia="黑体"/>
          <w:b/>
          <w:color w:val="auto"/>
          <w:sz w:val="26"/>
        </w:rPr>
      </w:pPr>
      <w:r>
        <w:rPr>
          <w:rFonts w:hint="eastAsia" w:eastAsia="黑体"/>
          <w:b/>
          <w:color w:val="auto"/>
          <w:sz w:val="26"/>
        </w:rPr>
        <w:t>事故应急处置措施</w:t>
      </w:r>
    </w:p>
    <w:p w14:paraId="44E4B0A2">
      <w:pPr>
        <w:spacing w:line="360" w:lineRule="auto"/>
        <w:ind w:firstLine="480" w:firstLineChars="200"/>
        <w:jc w:val="both"/>
        <w:rPr>
          <w:color w:val="auto"/>
          <w:sz w:val="24"/>
          <w:szCs w:val="24"/>
        </w:rPr>
      </w:pPr>
      <w:r>
        <w:rPr>
          <w:rFonts w:hint="eastAsia"/>
          <w:color w:val="auto"/>
          <w:sz w:val="24"/>
          <w:szCs w:val="24"/>
        </w:rPr>
        <w:t>（1）事故应急程序</w:t>
      </w:r>
    </w:p>
    <w:p w14:paraId="1459163D">
      <w:pPr>
        <w:spacing w:line="360" w:lineRule="auto"/>
        <w:ind w:firstLine="480" w:firstLineChars="200"/>
        <w:jc w:val="both"/>
        <w:rPr>
          <w:color w:val="auto"/>
          <w:sz w:val="24"/>
          <w:szCs w:val="24"/>
        </w:rPr>
      </w:pPr>
      <w:r>
        <w:rPr>
          <w:rFonts w:hint="eastAsia"/>
          <w:color w:val="auto"/>
          <w:sz w:val="24"/>
          <w:szCs w:val="24"/>
        </w:rPr>
        <w:t>在发生突发性环境污染事故时，应急处置的首要工作是控制事故污染源和防止污染物扩散造成对周围人群、动植物的伤害，防止进一步污染环境。</w:t>
      </w:r>
    </w:p>
    <w:p w14:paraId="38B6DE67">
      <w:pPr>
        <w:spacing w:line="360" w:lineRule="auto"/>
        <w:ind w:firstLine="480" w:firstLineChars="200"/>
        <w:jc w:val="both"/>
        <w:rPr>
          <w:color w:val="auto"/>
          <w:sz w:val="24"/>
          <w:szCs w:val="24"/>
        </w:rPr>
      </w:pPr>
      <w:r>
        <w:rPr>
          <w:rFonts w:hint="eastAsia"/>
          <w:color w:val="auto"/>
          <w:sz w:val="24"/>
          <w:szCs w:val="24"/>
        </w:rPr>
        <w:t>根据本工程实际情况，设立应急救援小组，全面负责应急救援指挥部门人员的组成、职责和分工，争取社会救援，保证应急救援所需经费以及事故调查报告和处理结果的上报。</w:t>
      </w:r>
    </w:p>
    <w:p w14:paraId="5A7EF0C1">
      <w:pPr>
        <w:spacing w:line="360" w:lineRule="auto"/>
        <w:ind w:firstLine="480" w:firstLineChars="200"/>
        <w:jc w:val="both"/>
        <w:rPr>
          <w:color w:val="auto"/>
          <w:sz w:val="24"/>
          <w:szCs w:val="24"/>
        </w:rPr>
      </w:pPr>
      <w:r>
        <w:rPr>
          <w:rFonts w:hint="eastAsia"/>
          <w:color w:val="auto"/>
          <w:sz w:val="24"/>
          <w:szCs w:val="24"/>
        </w:rPr>
        <w:t>（2）评价建议的应急处置措施</w:t>
      </w:r>
    </w:p>
    <w:p w14:paraId="52E70610">
      <w:pPr>
        <w:spacing w:line="360" w:lineRule="auto"/>
        <w:ind w:firstLine="480" w:firstLineChars="200"/>
        <w:jc w:val="both"/>
        <w:rPr>
          <w:color w:val="auto"/>
          <w:sz w:val="24"/>
          <w:szCs w:val="24"/>
        </w:rPr>
      </w:pPr>
      <w:r>
        <w:rPr>
          <w:rFonts w:hint="eastAsia"/>
          <w:color w:val="auto"/>
          <w:sz w:val="24"/>
          <w:szCs w:val="24"/>
        </w:rPr>
        <w:t>①项目涉及的危险化学品泄漏或火灾事故处置措施</w:t>
      </w:r>
    </w:p>
    <w:p w14:paraId="03E06783">
      <w:pPr>
        <w:spacing w:line="360" w:lineRule="auto"/>
        <w:ind w:firstLine="480" w:firstLineChars="200"/>
        <w:jc w:val="both"/>
        <w:rPr>
          <w:color w:val="auto"/>
          <w:sz w:val="24"/>
          <w:szCs w:val="24"/>
        </w:rPr>
      </w:pPr>
      <w:r>
        <w:rPr>
          <w:rFonts w:hint="eastAsia"/>
          <w:color w:val="auto"/>
          <w:sz w:val="24"/>
          <w:szCs w:val="24"/>
        </w:rPr>
        <w:t>项目涉及的危险化学品泄漏或火灾事故处置措施见</w:t>
      </w:r>
      <w:r>
        <w:rPr>
          <w:rFonts w:hint="eastAsia"/>
          <w:color w:val="auto"/>
          <w:sz w:val="24"/>
          <w:szCs w:val="24"/>
        </w:rPr>
        <w:fldChar w:fldCharType="begin"/>
      </w:r>
      <w:r>
        <w:instrText xml:space="preserve"> REF _Ref12968 \h  \* MERGEFORMAT</w:instrText>
      </w:r>
      <w:r>
        <w:rPr>
          <w:rFonts w:hint="eastAsia"/>
          <w:color w:val="auto"/>
          <w:sz w:val="24"/>
          <w:szCs w:val="24"/>
        </w:rPr>
        <w:fldChar w:fldCharType="separate"/>
      </w:r>
      <w:r>
        <w:rPr>
          <w:rFonts w:hint="eastAsia"/>
          <w:color w:val="auto"/>
          <w:sz w:val="24"/>
          <w:szCs w:val="24"/>
        </w:rPr>
        <w:t>表 7.8-1</w:t>
      </w:r>
      <w:r>
        <w:rPr>
          <w:rFonts w:hint="eastAsia"/>
          <w:color w:val="auto"/>
          <w:sz w:val="24"/>
          <w:szCs w:val="24"/>
        </w:rPr>
        <w:fldChar w:fldCharType="end"/>
      </w:r>
      <w:r>
        <w:rPr>
          <w:rFonts w:hint="eastAsia"/>
          <w:color w:val="auto"/>
          <w:sz w:val="24"/>
          <w:szCs w:val="24"/>
        </w:rPr>
        <w:t>。</w:t>
      </w:r>
    </w:p>
    <w:p w14:paraId="52EFBBF2">
      <w:pPr>
        <w:pStyle w:val="1060"/>
        <w:spacing w:before="163"/>
        <w:rPr>
          <w:color w:val="auto"/>
          <w:sz w:val="23"/>
        </w:rPr>
      </w:pPr>
      <w:bookmarkStart w:id="404" w:name="_Ref1296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7.8</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rFonts w:hint="eastAsia"/>
          <w:color w:val="auto"/>
        </w:rPr>
        <w:t>1</w:t>
      </w:r>
      <w:r>
        <w:rPr>
          <w:color w:val="auto"/>
        </w:rPr>
        <w:fldChar w:fldCharType="end"/>
      </w:r>
      <w:bookmarkEnd w:id="404"/>
      <w:r>
        <w:rPr>
          <w:rFonts w:hint="eastAsia"/>
          <w:color w:val="auto"/>
        </w:rPr>
        <w:t xml:space="preserve">  </w:t>
      </w:r>
      <w:r>
        <w:rPr>
          <w:rFonts w:hint="eastAsia" w:ascii="黑体" w:hAnsi="黑体"/>
          <w:color w:val="auto"/>
        </w:rPr>
        <w:t>危险物质</w:t>
      </w:r>
      <w:r>
        <w:rPr>
          <w:rFonts w:hint="eastAsia" w:ascii="黑体" w:hAnsi="黑体"/>
          <w:color w:val="auto"/>
          <w:sz w:val="23"/>
        </w:rPr>
        <w:t>应急处置措施</w:t>
      </w:r>
    </w:p>
    <w:tbl>
      <w:tblPr>
        <w:tblStyle w:val="239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746"/>
        <w:gridCol w:w="750"/>
        <w:gridCol w:w="7290"/>
      </w:tblGrid>
      <w:tr w14:paraId="278708C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1413" w:type="dxa"/>
            <w:gridSpan w:val="2"/>
            <w:vAlign w:val="center"/>
          </w:tcPr>
          <w:p w14:paraId="520A04F6">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处置措施</w:t>
            </w:r>
          </w:p>
        </w:tc>
        <w:tc>
          <w:tcPr>
            <w:tcW w:w="6883" w:type="dxa"/>
            <w:vAlign w:val="center"/>
          </w:tcPr>
          <w:p w14:paraId="656D273C">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内容</w:t>
            </w:r>
          </w:p>
        </w:tc>
      </w:tr>
      <w:tr w14:paraId="45021E0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restart"/>
            <w:vAlign w:val="center"/>
          </w:tcPr>
          <w:p w14:paraId="0268AE49">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天然气</w:t>
            </w:r>
          </w:p>
        </w:tc>
        <w:tc>
          <w:tcPr>
            <w:tcW w:w="709" w:type="dxa"/>
            <w:vAlign w:val="center"/>
          </w:tcPr>
          <w:p w14:paraId="04F2E0E5">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灭火</w:t>
            </w:r>
          </w:p>
        </w:tc>
        <w:tc>
          <w:tcPr>
            <w:tcW w:w="6883" w:type="dxa"/>
            <w:vAlign w:val="center"/>
          </w:tcPr>
          <w:p w14:paraId="74AA5169">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用泡沫、雾状水、二氧化碳、干粉。</w:t>
            </w:r>
          </w:p>
        </w:tc>
      </w:tr>
      <w:tr w14:paraId="5103BE0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continue"/>
            <w:vAlign w:val="center"/>
          </w:tcPr>
          <w:p w14:paraId="7D46A4AB">
            <w:pPr>
              <w:widowControl w:val="0"/>
              <w:spacing w:line="360" w:lineRule="exact"/>
              <w:jc w:val="center"/>
              <w:rPr>
                <w:rFonts w:eastAsia="Times New Roman"/>
                <w:color w:val="auto"/>
                <w:sz w:val="21"/>
                <w:szCs w:val="21"/>
              </w:rPr>
            </w:pPr>
          </w:p>
        </w:tc>
        <w:tc>
          <w:tcPr>
            <w:tcW w:w="709" w:type="dxa"/>
            <w:vAlign w:val="center"/>
          </w:tcPr>
          <w:p w14:paraId="1A2821D2">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储运</w:t>
            </w:r>
          </w:p>
        </w:tc>
        <w:tc>
          <w:tcPr>
            <w:tcW w:w="6883" w:type="dxa"/>
            <w:vAlign w:val="center"/>
          </w:tcPr>
          <w:p w14:paraId="10A625C5">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储存在阴凉、通风良好的专用库房内或大型气柜，远离容易起火的地方。与五氟化溴、氯气、二氧化氯、三氟化氮、液氧、二氟化氧、氧化剂隔离储运。</w:t>
            </w:r>
          </w:p>
        </w:tc>
      </w:tr>
      <w:tr w14:paraId="765D2E3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continue"/>
            <w:vAlign w:val="center"/>
          </w:tcPr>
          <w:p w14:paraId="179EB724">
            <w:pPr>
              <w:widowControl w:val="0"/>
              <w:spacing w:line="360" w:lineRule="exact"/>
              <w:jc w:val="center"/>
              <w:rPr>
                <w:rFonts w:eastAsia="Times New Roman"/>
                <w:color w:val="auto"/>
                <w:sz w:val="21"/>
                <w:szCs w:val="21"/>
              </w:rPr>
            </w:pPr>
          </w:p>
        </w:tc>
        <w:tc>
          <w:tcPr>
            <w:tcW w:w="709" w:type="dxa"/>
            <w:vAlign w:val="center"/>
          </w:tcPr>
          <w:p w14:paraId="3EE49F51">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w:t>
            </w:r>
          </w:p>
        </w:tc>
        <w:tc>
          <w:tcPr>
            <w:tcW w:w="6883" w:type="dxa"/>
            <w:vAlign w:val="center"/>
          </w:tcPr>
          <w:p w14:paraId="63C0CBF4">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切断火源，勿使其燃烧，同时关闭阀门等，制止渗漏；并用雾状水保护阀门人员：操作时必须穿戴防毒面具与手套。对残余废气或钢瓶泄漏出气要用排风机排至空旷地方</w:t>
            </w:r>
          </w:p>
        </w:tc>
      </w:tr>
      <w:tr w14:paraId="42D1F32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restart"/>
            <w:vAlign w:val="center"/>
          </w:tcPr>
          <w:p w14:paraId="6FC23D35">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硝酸</w:t>
            </w:r>
          </w:p>
        </w:tc>
        <w:tc>
          <w:tcPr>
            <w:tcW w:w="709" w:type="dxa"/>
            <w:vAlign w:val="center"/>
          </w:tcPr>
          <w:p w14:paraId="09B2FCA3">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急救</w:t>
            </w:r>
          </w:p>
        </w:tc>
        <w:tc>
          <w:tcPr>
            <w:tcW w:w="6883" w:type="dxa"/>
            <w:vAlign w:val="center"/>
          </w:tcPr>
          <w:p w14:paraId="3292BFB9">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皮肤接触：立即脱去污染的衣着，用大量流动清水冲洗至少</w:t>
            </w:r>
            <w:r>
              <w:rPr>
                <w:rFonts w:eastAsia="Times New Roman"/>
                <w:color w:val="auto"/>
                <w:sz w:val="21"/>
                <w:szCs w:val="21"/>
              </w:rPr>
              <w:t>15</w:t>
            </w:r>
            <w:r>
              <w:rPr>
                <w:rFonts w:hint="eastAsia" w:ascii="宋体" w:hAnsi="宋体" w:eastAsia="Times New Roman" w:cs="宋体"/>
                <w:color w:val="auto"/>
                <w:sz w:val="21"/>
                <w:szCs w:val="21"/>
              </w:rPr>
              <w:t>分钟。就医。眼睛接触：立即提起眼睑，用大量流动清水或生理盐水彻底冲洗至少</w:t>
            </w:r>
            <w:r>
              <w:rPr>
                <w:rFonts w:eastAsia="Times New Roman"/>
                <w:color w:val="auto"/>
                <w:sz w:val="21"/>
                <w:szCs w:val="21"/>
              </w:rPr>
              <w:t>15</w:t>
            </w:r>
            <w:r>
              <w:rPr>
                <w:rFonts w:hint="eastAsia" w:ascii="宋体" w:hAnsi="宋体" w:eastAsia="Times New Roman" w:cs="宋体"/>
                <w:color w:val="auto"/>
                <w:sz w:val="21"/>
                <w:szCs w:val="21"/>
              </w:rPr>
              <w:t>分钟。就医。吸入：迅速脱离现场至空气新鲜处。保持呼吸道通畅。如呼吸困难，给输氧。如呼吸停止，立即进行人工呼吸。就医。食入：用水漱口，给饮牛奶或蛋清。就医。</w:t>
            </w:r>
          </w:p>
        </w:tc>
      </w:tr>
      <w:tr w14:paraId="6E50896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continue"/>
            <w:vAlign w:val="center"/>
          </w:tcPr>
          <w:p w14:paraId="0B68E114">
            <w:pPr>
              <w:widowControl w:val="0"/>
              <w:spacing w:line="360" w:lineRule="exact"/>
              <w:jc w:val="center"/>
              <w:rPr>
                <w:rFonts w:eastAsia="Times New Roman"/>
                <w:color w:val="auto"/>
                <w:sz w:val="21"/>
                <w:szCs w:val="21"/>
              </w:rPr>
            </w:pPr>
          </w:p>
        </w:tc>
        <w:tc>
          <w:tcPr>
            <w:tcW w:w="709" w:type="dxa"/>
            <w:vAlign w:val="center"/>
          </w:tcPr>
          <w:p w14:paraId="518F768F">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防护</w:t>
            </w:r>
          </w:p>
        </w:tc>
        <w:tc>
          <w:tcPr>
            <w:tcW w:w="6883" w:type="dxa"/>
            <w:vAlign w:val="center"/>
          </w:tcPr>
          <w:p w14:paraId="07C431EE">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工程控制：密闭操作，注意通风。尽可能机械化、自动化。提供安全淋浴和洗眼设备。</w:t>
            </w:r>
          </w:p>
          <w:p w14:paraId="0CBC331B">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呼吸系统防护：可能接触其烟雾时，佩戴自吸过滤式防毒面具（全面罩）或空气呼吸器。紧急事态抢救或撤离时，建议佩戴氧气呼吸器。</w:t>
            </w:r>
          </w:p>
          <w:p w14:paraId="2B015CC4">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身体防护：穿橡胶耐酸碱服。</w:t>
            </w:r>
          </w:p>
        </w:tc>
      </w:tr>
      <w:tr w14:paraId="31E2746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continue"/>
            <w:vAlign w:val="center"/>
          </w:tcPr>
          <w:p w14:paraId="22B3B864">
            <w:pPr>
              <w:widowControl w:val="0"/>
              <w:spacing w:line="360" w:lineRule="exact"/>
              <w:jc w:val="center"/>
              <w:rPr>
                <w:rFonts w:eastAsia="Times New Roman"/>
                <w:color w:val="auto"/>
                <w:sz w:val="21"/>
                <w:szCs w:val="21"/>
              </w:rPr>
            </w:pPr>
          </w:p>
        </w:tc>
        <w:tc>
          <w:tcPr>
            <w:tcW w:w="709" w:type="dxa"/>
            <w:vAlign w:val="center"/>
          </w:tcPr>
          <w:p w14:paraId="63B59FEE">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w:t>
            </w:r>
          </w:p>
        </w:tc>
        <w:tc>
          <w:tcPr>
            <w:tcW w:w="6883" w:type="dxa"/>
            <w:vAlign w:val="center"/>
          </w:tcPr>
          <w:p w14:paraId="49C551DD">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迅速撤离泄漏污染区人员至安全区，并进行隔离，严格限制出入。建议应急处理人员戴自给正压式呼吸器，穿防酸碱工作服。从上风处进入现场。尽可能切断泄漏源。防止流入下水道、排洪沟等限制性空间。小量泄漏：将地面洒上苏打灰，然后用大量水冲洗，洗水稀释后放入废水系统。大量泄漏：构筑围堤或挖坑收容。喷雾状水冷却和稀释蒸汽、保护现场人员、把泄漏物稀释成不燃物。用泵转移至槽车或专用收集器内，回收或运至废物处理场所处置。</w:t>
            </w:r>
          </w:p>
        </w:tc>
      </w:tr>
      <w:tr w14:paraId="6D045D1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continue"/>
            <w:vAlign w:val="center"/>
          </w:tcPr>
          <w:p w14:paraId="5798B3EA">
            <w:pPr>
              <w:widowControl w:val="0"/>
              <w:spacing w:line="360" w:lineRule="exact"/>
              <w:jc w:val="center"/>
              <w:rPr>
                <w:rFonts w:eastAsia="Times New Roman"/>
                <w:color w:val="auto"/>
                <w:sz w:val="21"/>
                <w:szCs w:val="21"/>
              </w:rPr>
            </w:pPr>
          </w:p>
        </w:tc>
        <w:tc>
          <w:tcPr>
            <w:tcW w:w="709" w:type="dxa"/>
            <w:vAlign w:val="center"/>
          </w:tcPr>
          <w:p w14:paraId="183AF4B2">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储运</w:t>
            </w:r>
          </w:p>
        </w:tc>
        <w:tc>
          <w:tcPr>
            <w:tcW w:w="6883" w:type="dxa"/>
            <w:vAlign w:val="center"/>
          </w:tcPr>
          <w:p w14:paraId="28CA1E97">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储存于阴凉、通风的库房。远离火种、热源。库温不宜超过</w:t>
            </w:r>
            <w:r>
              <w:rPr>
                <w:rFonts w:eastAsia="Times New Roman"/>
                <w:color w:val="auto"/>
                <w:sz w:val="21"/>
                <w:szCs w:val="21"/>
              </w:rPr>
              <w:t>30℃</w:t>
            </w:r>
            <w:r>
              <w:rPr>
                <w:rFonts w:hint="eastAsia" w:ascii="宋体" w:hAnsi="宋体" w:eastAsia="Times New Roman" w:cs="宋体"/>
                <w:color w:val="auto"/>
                <w:sz w:val="21"/>
                <w:szCs w:val="21"/>
              </w:rPr>
              <w:t>。保持容器密封。应与还原剂、碱类、醇类、碱金属等分开存放，切忌混储。储区应备有泄漏应急处理设备和合适的收容材料。</w:t>
            </w:r>
          </w:p>
        </w:tc>
      </w:tr>
      <w:tr w14:paraId="2173501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restart"/>
            <w:vAlign w:val="center"/>
          </w:tcPr>
          <w:p w14:paraId="5B74648B">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硫酸</w:t>
            </w:r>
          </w:p>
        </w:tc>
        <w:tc>
          <w:tcPr>
            <w:tcW w:w="709" w:type="dxa"/>
            <w:vAlign w:val="center"/>
          </w:tcPr>
          <w:p w14:paraId="1B420808">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泄漏</w:t>
            </w:r>
          </w:p>
        </w:tc>
        <w:tc>
          <w:tcPr>
            <w:tcW w:w="6883" w:type="dxa"/>
            <w:vAlign w:val="center"/>
          </w:tcPr>
          <w:p w14:paraId="4F3AE516">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迅速撤离泄漏污染区人员至安全区，并进行隔离，严格限制出入。建议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14:paraId="1690B8C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continue"/>
            <w:vAlign w:val="center"/>
          </w:tcPr>
          <w:p w14:paraId="5FD446B0">
            <w:pPr>
              <w:widowControl w:val="0"/>
              <w:spacing w:line="360" w:lineRule="exact"/>
              <w:jc w:val="center"/>
              <w:rPr>
                <w:rFonts w:eastAsia="Times New Roman"/>
                <w:color w:val="auto"/>
                <w:sz w:val="21"/>
                <w:szCs w:val="21"/>
              </w:rPr>
            </w:pPr>
          </w:p>
        </w:tc>
        <w:tc>
          <w:tcPr>
            <w:tcW w:w="709" w:type="dxa"/>
            <w:vAlign w:val="center"/>
          </w:tcPr>
          <w:p w14:paraId="6DA8C0F3">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防护</w:t>
            </w:r>
          </w:p>
        </w:tc>
        <w:tc>
          <w:tcPr>
            <w:tcW w:w="6883" w:type="dxa"/>
            <w:vAlign w:val="center"/>
          </w:tcPr>
          <w:p w14:paraId="7DFF2382">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工程控制：密闭操作，注意通风。尽可能机械化、自动化。提供安全淋浴和洗眼设备。</w:t>
            </w:r>
          </w:p>
          <w:p w14:paraId="40022E88">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呼吸系统防护：可能接触其烟雾时，佩戴自吸过滤式防毒面具（全面罩）或空气呼吸器。紧急事态抢救或撤离时，建议佩戴氧气呼吸器。</w:t>
            </w:r>
          </w:p>
          <w:p w14:paraId="2EBFFE6F">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身体防护：穿橡胶耐酸碱服。</w:t>
            </w:r>
          </w:p>
        </w:tc>
      </w:tr>
      <w:tr w14:paraId="58588FD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continue"/>
            <w:vAlign w:val="center"/>
          </w:tcPr>
          <w:p w14:paraId="490E4718">
            <w:pPr>
              <w:widowControl w:val="0"/>
              <w:spacing w:line="360" w:lineRule="exact"/>
              <w:jc w:val="center"/>
              <w:rPr>
                <w:rFonts w:eastAsia="Times New Roman"/>
                <w:color w:val="auto"/>
                <w:sz w:val="21"/>
                <w:szCs w:val="21"/>
              </w:rPr>
            </w:pPr>
          </w:p>
        </w:tc>
        <w:tc>
          <w:tcPr>
            <w:tcW w:w="709" w:type="dxa"/>
            <w:vAlign w:val="center"/>
          </w:tcPr>
          <w:p w14:paraId="43CA4D85">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急救</w:t>
            </w:r>
          </w:p>
        </w:tc>
        <w:tc>
          <w:tcPr>
            <w:tcW w:w="6883" w:type="dxa"/>
            <w:vAlign w:val="center"/>
          </w:tcPr>
          <w:p w14:paraId="430CAD13">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皮肤接触：立即脱去污染的衣着，用大量流动清水冲洗至少</w:t>
            </w:r>
            <w:r>
              <w:rPr>
                <w:rFonts w:eastAsia="Times New Roman"/>
                <w:color w:val="auto"/>
                <w:sz w:val="21"/>
                <w:szCs w:val="21"/>
              </w:rPr>
              <w:t>15</w:t>
            </w:r>
            <w:r>
              <w:rPr>
                <w:rFonts w:hint="eastAsia" w:ascii="宋体" w:hAnsi="宋体" w:eastAsia="Times New Roman" w:cs="宋体"/>
                <w:color w:val="auto"/>
                <w:sz w:val="21"/>
                <w:szCs w:val="21"/>
              </w:rPr>
              <w:t>分钟。就医。眼睛接触：立即提起眼睑，用大量流动清水或生理盐水彻底冲洗至少</w:t>
            </w:r>
            <w:r>
              <w:rPr>
                <w:rFonts w:eastAsia="Times New Roman"/>
                <w:color w:val="auto"/>
                <w:sz w:val="21"/>
                <w:szCs w:val="21"/>
              </w:rPr>
              <w:t>15</w:t>
            </w:r>
            <w:r>
              <w:rPr>
                <w:rFonts w:hint="eastAsia" w:ascii="宋体" w:hAnsi="宋体" w:eastAsia="Times New Roman" w:cs="宋体"/>
                <w:color w:val="auto"/>
                <w:sz w:val="21"/>
                <w:szCs w:val="21"/>
              </w:rPr>
              <w:t>分钟。就医。吸入：迅速脱离现场至空气新鲜处。保持呼吸道通畅。如呼吸困难，给输氧。如呼吸停止，立即进行人工呼吸。就医。食入：用水漱口，给饮牛奶或蛋清。就医。</w:t>
            </w:r>
          </w:p>
        </w:tc>
      </w:tr>
      <w:tr w14:paraId="74261C1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7" w:hRule="atLeast"/>
        </w:trPr>
        <w:tc>
          <w:tcPr>
            <w:tcW w:w="704" w:type="dxa"/>
            <w:vMerge w:val="continue"/>
            <w:vAlign w:val="center"/>
          </w:tcPr>
          <w:p w14:paraId="5893E295">
            <w:pPr>
              <w:widowControl w:val="0"/>
              <w:spacing w:line="360" w:lineRule="exact"/>
              <w:jc w:val="center"/>
              <w:rPr>
                <w:rFonts w:eastAsia="Times New Roman"/>
                <w:color w:val="auto"/>
                <w:sz w:val="21"/>
                <w:szCs w:val="21"/>
              </w:rPr>
            </w:pPr>
          </w:p>
        </w:tc>
        <w:tc>
          <w:tcPr>
            <w:tcW w:w="709" w:type="dxa"/>
            <w:vAlign w:val="center"/>
          </w:tcPr>
          <w:p w14:paraId="3C684B0A">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灭火</w:t>
            </w:r>
          </w:p>
        </w:tc>
        <w:tc>
          <w:tcPr>
            <w:tcW w:w="6883" w:type="dxa"/>
            <w:vAlign w:val="center"/>
          </w:tcPr>
          <w:p w14:paraId="0813A178">
            <w:pPr>
              <w:widowControl w:val="0"/>
              <w:spacing w:line="360" w:lineRule="exact"/>
              <w:jc w:val="center"/>
              <w:rPr>
                <w:rFonts w:eastAsia="Times New Roman"/>
                <w:color w:val="auto"/>
                <w:sz w:val="21"/>
                <w:szCs w:val="21"/>
              </w:rPr>
            </w:pPr>
            <w:r>
              <w:rPr>
                <w:rFonts w:hint="eastAsia" w:ascii="宋体" w:hAnsi="宋体" w:eastAsia="Times New Roman" w:cs="宋体"/>
                <w:color w:val="auto"/>
                <w:sz w:val="21"/>
                <w:szCs w:val="21"/>
              </w:rPr>
              <w:t>消防人员必须穿全身耐酸碱消防服。灭火剂：干粉、二氧化碳、砂土。避免水流冲击物品，以免遇水会放出大量热量发生喷溅而灼伤皮肤。</w:t>
            </w:r>
          </w:p>
        </w:tc>
      </w:tr>
    </w:tbl>
    <w:p w14:paraId="75113BC1">
      <w:pPr>
        <w:autoSpaceDE w:val="0"/>
        <w:autoSpaceDN w:val="0"/>
        <w:adjustRightInd w:val="0"/>
        <w:spacing w:line="240" w:lineRule="exact"/>
        <w:rPr>
          <w:rFonts w:ascii="黑体"/>
          <w:bCs/>
          <w:color w:val="auto"/>
          <w:szCs w:val="28"/>
          <w:lang w:val="zh-CN"/>
        </w:rPr>
      </w:pPr>
      <w:r>
        <w:rPr>
          <w:rFonts w:ascii="黑体"/>
          <w:bCs/>
          <w:color w:val="auto"/>
          <w:szCs w:val="28"/>
          <w:lang w:val="zh-CN"/>
        </w:rPr>
        <w:t xml:space="preserve"> </w:t>
      </w:r>
    </w:p>
    <w:p w14:paraId="312E565F">
      <w:pPr>
        <w:numPr>
          <w:ilvl w:val="2"/>
          <w:numId w:val="1"/>
        </w:numPr>
        <w:outlineLvl w:val="2"/>
        <w:rPr>
          <w:rFonts w:eastAsia="黑体"/>
          <w:b/>
          <w:color w:val="auto"/>
          <w:sz w:val="26"/>
        </w:rPr>
      </w:pPr>
      <w:r>
        <w:rPr>
          <w:rFonts w:hint="eastAsia" w:eastAsia="黑体"/>
          <w:b/>
          <w:color w:val="auto"/>
          <w:sz w:val="26"/>
        </w:rPr>
        <w:t>建立与园区衔接的管理体系</w:t>
      </w:r>
    </w:p>
    <w:p w14:paraId="59B44CB5">
      <w:pPr>
        <w:keepNext/>
        <w:keepLines/>
        <w:numPr>
          <w:ilvl w:val="3"/>
          <w:numId w:val="1"/>
        </w:numPr>
        <w:spacing w:line="360" w:lineRule="auto"/>
        <w:outlineLvl w:val="3"/>
        <w:rPr>
          <w:b/>
          <w:bCs/>
          <w:color w:val="auto"/>
          <w:sz w:val="24"/>
          <w:szCs w:val="28"/>
        </w:rPr>
      </w:pPr>
      <w:r>
        <w:rPr>
          <w:rFonts w:hint="eastAsia"/>
          <w:b/>
          <w:bCs/>
          <w:color w:val="auto"/>
          <w:sz w:val="24"/>
          <w:szCs w:val="28"/>
        </w:rPr>
        <w:t>风险防范措施的衔接</w:t>
      </w:r>
    </w:p>
    <w:p w14:paraId="74EF9F8E">
      <w:pPr>
        <w:spacing w:line="360" w:lineRule="auto"/>
        <w:ind w:firstLine="480" w:firstLineChars="200"/>
        <w:jc w:val="both"/>
        <w:rPr>
          <w:color w:val="auto"/>
          <w:sz w:val="24"/>
          <w:szCs w:val="24"/>
        </w:rPr>
      </w:pPr>
      <w:r>
        <w:rPr>
          <w:rFonts w:hint="eastAsia"/>
          <w:color w:val="auto"/>
          <w:sz w:val="24"/>
          <w:szCs w:val="24"/>
        </w:rPr>
        <w:t>（1）风险报警系统的衔接</w:t>
      </w:r>
    </w:p>
    <w:p w14:paraId="27C908B1">
      <w:pPr>
        <w:spacing w:line="360" w:lineRule="auto"/>
        <w:ind w:firstLine="480" w:firstLineChars="200"/>
        <w:jc w:val="both"/>
        <w:rPr>
          <w:color w:val="auto"/>
          <w:sz w:val="24"/>
          <w:szCs w:val="24"/>
        </w:rPr>
      </w:pPr>
      <w:r>
        <w:rPr>
          <w:rFonts w:hint="eastAsia"/>
          <w:color w:val="auto"/>
          <w:sz w:val="24"/>
          <w:szCs w:val="24"/>
        </w:rPr>
        <w:t>a.企业消防系统与园区、市消防站配套建设；厂内采用电话报警，火灾报警信号报送至厂内值班室，上报至园区消防站及市消防站。</w:t>
      </w:r>
    </w:p>
    <w:p w14:paraId="665F3CC0">
      <w:pPr>
        <w:spacing w:line="360" w:lineRule="auto"/>
        <w:ind w:firstLine="480" w:firstLineChars="200"/>
        <w:jc w:val="both"/>
        <w:rPr>
          <w:color w:val="auto"/>
          <w:sz w:val="24"/>
          <w:szCs w:val="24"/>
        </w:rPr>
      </w:pPr>
      <w:r>
        <w:rPr>
          <w:rFonts w:hint="eastAsia"/>
          <w:color w:val="auto"/>
          <w:sz w:val="24"/>
          <w:szCs w:val="24"/>
        </w:rPr>
        <w:t>b.项目生产过程中所使用的危险化学品种类及数量应及时上报园区应急响应中心，并将可能发生的事故类型及对应的救援方案纳入园区风险管理体系。</w:t>
      </w:r>
    </w:p>
    <w:p w14:paraId="6EAA7268">
      <w:pPr>
        <w:spacing w:line="360" w:lineRule="auto"/>
        <w:ind w:firstLine="480" w:firstLineChars="200"/>
        <w:jc w:val="both"/>
        <w:rPr>
          <w:color w:val="auto"/>
          <w:sz w:val="24"/>
          <w:szCs w:val="24"/>
        </w:rPr>
      </w:pPr>
      <w:r>
        <w:rPr>
          <w:rFonts w:hint="eastAsia"/>
          <w:color w:val="auto"/>
          <w:sz w:val="24"/>
          <w:szCs w:val="24"/>
        </w:rPr>
        <w:t>c.有毒有害及可燃气体在线监测仪，废气、废水排放口信号应接入园区应急响应中心，一旦发生超标或事故排放，应立即启动厂内、园区应急预案。</w:t>
      </w:r>
    </w:p>
    <w:p w14:paraId="1BF3E5C3">
      <w:pPr>
        <w:spacing w:line="360" w:lineRule="auto"/>
        <w:ind w:firstLine="480" w:firstLineChars="200"/>
        <w:jc w:val="both"/>
        <w:rPr>
          <w:color w:val="auto"/>
          <w:sz w:val="24"/>
          <w:szCs w:val="24"/>
        </w:rPr>
      </w:pPr>
      <w:r>
        <w:rPr>
          <w:rFonts w:hint="eastAsia"/>
          <w:color w:val="auto"/>
          <w:sz w:val="24"/>
          <w:szCs w:val="24"/>
        </w:rPr>
        <w:t>（2）应急防范设施的衔接</w:t>
      </w:r>
    </w:p>
    <w:p w14:paraId="76C2258E">
      <w:pPr>
        <w:spacing w:line="360" w:lineRule="auto"/>
        <w:ind w:firstLine="480" w:firstLineChars="200"/>
        <w:jc w:val="both"/>
        <w:rPr>
          <w:color w:val="auto"/>
          <w:sz w:val="24"/>
          <w:szCs w:val="24"/>
        </w:rPr>
      </w:pPr>
      <w:r>
        <w:rPr>
          <w:rFonts w:hint="eastAsia"/>
          <w:color w:val="auto"/>
          <w:sz w:val="24"/>
          <w:szCs w:val="24"/>
        </w:rPr>
        <w:t>当风险事故废水超过企业能够处理范围后，应及时向园区等相关单位请求援助，收集事故废水，以免风险事故进一步扩大。</w:t>
      </w:r>
    </w:p>
    <w:p w14:paraId="1127AFE0">
      <w:pPr>
        <w:spacing w:line="360" w:lineRule="auto"/>
        <w:ind w:firstLine="480" w:firstLineChars="200"/>
        <w:jc w:val="both"/>
        <w:rPr>
          <w:color w:val="auto"/>
          <w:sz w:val="24"/>
          <w:szCs w:val="24"/>
        </w:rPr>
      </w:pPr>
      <w:r>
        <w:rPr>
          <w:rFonts w:hint="eastAsia"/>
          <w:color w:val="auto"/>
          <w:sz w:val="24"/>
          <w:szCs w:val="24"/>
        </w:rPr>
        <w:t>（3）应急救援物资的衔接</w:t>
      </w:r>
    </w:p>
    <w:p w14:paraId="3A92DE72">
      <w:pPr>
        <w:spacing w:line="360" w:lineRule="auto"/>
        <w:ind w:firstLine="480" w:firstLineChars="200"/>
        <w:jc w:val="both"/>
        <w:rPr>
          <w:color w:val="auto"/>
          <w:sz w:val="24"/>
          <w:szCs w:val="24"/>
        </w:rPr>
      </w:pPr>
      <w:r>
        <w:rPr>
          <w:rFonts w:hint="eastAsia"/>
          <w:color w:val="auto"/>
          <w:sz w:val="24"/>
          <w:szCs w:val="24"/>
        </w:rPr>
        <w:t>当企业应急救援物资不能满足事故现场需求时，可在应急指挥中心或园区应急中心协调下向邻近企业请求援助，以免风险事故的扩大，同时应服从园区调度，对其他单位援助请求进行帮助。</w:t>
      </w:r>
    </w:p>
    <w:p w14:paraId="2F6C8C7D">
      <w:pPr>
        <w:keepNext/>
        <w:keepLines/>
        <w:numPr>
          <w:ilvl w:val="3"/>
          <w:numId w:val="1"/>
        </w:numPr>
        <w:spacing w:line="360" w:lineRule="auto"/>
        <w:outlineLvl w:val="3"/>
        <w:rPr>
          <w:b/>
          <w:bCs/>
          <w:color w:val="auto"/>
          <w:sz w:val="24"/>
          <w:szCs w:val="28"/>
        </w:rPr>
      </w:pPr>
      <w:r>
        <w:rPr>
          <w:rFonts w:hint="eastAsia"/>
          <w:b/>
          <w:bCs/>
          <w:color w:val="auto"/>
          <w:sz w:val="24"/>
          <w:szCs w:val="28"/>
        </w:rPr>
        <w:t>风险应急预案的衔接</w:t>
      </w:r>
    </w:p>
    <w:p w14:paraId="72565F6A">
      <w:pPr>
        <w:spacing w:line="360" w:lineRule="auto"/>
        <w:ind w:firstLine="480" w:firstLineChars="200"/>
        <w:jc w:val="both"/>
        <w:rPr>
          <w:color w:val="auto"/>
          <w:sz w:val="24"/>
          <w:szCs w:val="24"/>
        </w:rPr>
      </w:pPr>
      <w:r>
        <w:rPr>
          <w:rFonts w:hint="eastAsia"/>
          <w:color w:val="auto"/>
          <w:sz w:val="24"/>
          <w:szCs w:val="24"/>
        </w:rPr>
        <w:t>（1）应急组织机构、人员的衔接</w:t>
      </w:r>
    </w:p>
    <w:p w14:paraId="769754B3">
      <w:pPr>
        <w:spacing w:line="360" w:lineRule="auto"/>
        <w:ind w:firstLine="480" w:firstLineChars="200"/>
        <w:jc w:val="both"/>
        <w:rPr>
          <w:color w:val="auto"/>
          <w:sz w:val="24"/>
          <w:szCs w:val="24"/>
        </w:rPr>
      </w:pPr>
      <w:r>
        <w:rPr>
          <w:rFonts w:hint="eastAsia"/>
          <w:color w:val="auto"/>
          <w:sz w:val="24"/>
          <w:szCs w:val="24"/>
        </w:rPr>
        <w:t>当发生风险事故时，企业应及时与当地区域或各职能管理部门的应急指挥机构联系，及时将事故发生情况及最新进展向有关部门汇报，并将上级指挥机构的命令及时向项目应急指挥小组汇报。</w:t>
      </w:r>
    </w:p>
    <w:p w14:paraId="26994626">
      <w:pPr>
        <w:spacing w:line="360" w:lineRule="auto"/>
        <w:ind w:firstLine="480" w:firstLineChars="200"/>
        <w:jc w:val="both"/>
        <w:rPr>
          <w:color w:val="auto"/>
          <w:sz w:val="24"/>
          <w:szCs w:val="24"/>
        </w:rPr>
      </w:pPr>
      <w:r>
        <w:rPr>
          <w:rFonts w:hint="eastAsia"/>
          <w:color w:val="auto"/>
          <w:sz w:val="24"/>
          <w:szCs w:val="24"/>
        </w:rPr>
        <w:t>（2）预案分级响应的衔接</w:t>
      </w:r>
    </w:p>
    <w:p w14:paraId="6124E1AA">
      <w:pPr>
        <w:spacing w:line="360" w:lineRule="auto"/>
        <w:ind w:firstLine="480" w:firstLineChars="200"/>
        <w:jc w:val="both"/>
        <w:rPr>
          <w:color w:val="auto"/>
          <w:sz w:val="24"/>
          <w:szCs w:val="24"/>
        </w:rPr>
      </w:pPr>
      <w:r>
        <w:rPr>
          <w:rFonts w:hint="eastAsia"/>
          <w:color w:val="auto"/>
          <w:sz w:val="24"/>
          <w:szCs w:val="24"/>
        </w:rPr>
        <w:t>a.一般污染事故：在污染事故现场处置妥当后，经应急指挥小组研究确定后，向当地环保部门和园区事故应急指挥中心报告处理结果。</w:t>
      </w:r>
    </w:p>
    <w:p w14:paraId="5EF229FF">
      <w:pPr>
        <w:spacing w:line="360" w:lineRule="auto"/>
        <w:ind w:firstLine="480" w:firstLineChars="200"/>
        <w:jc w:val="both"/>
        <w:rPr>
          <w:color w:val="auto"/>
          <w:sz w:val="24"/>
          <w:szCs w:val="24"/>
        </w:rPr>
      </w:pPr>
      <w:r>
        <w:rPr>
          <w:rFonts w:hint="eastAsia"/>
          <w:color w:val="auto"/>
          <w:sz w:val="24"/>
          <w:szCs w:val="24"/>
        </w:rPr>
        <w:t>b.较大或重大污染事故：应急指挥小组在接到事故报警后，及时向园区事故应急指挥部、所在区域应急指挥中心报告，并请求支援；园区应急指挥部进行紧急动员，适时启动区域的环境污染事故应急预案迅速调集救援力量，指挥各园区成员单位、相关职能部门，根据应急预案组成各个应急行动小组，按照各自的职责和现场救援具体方案开展抢险救援工作，场内应急小组听从园区现场指挥部的领导。应急指挥中心同时将有关进展情况向区域应急指挥部汇报；污染事故基本控制稳定后，应急指挥中心将根据专家意见，迅速调集后援力量展开事故处置工作。当污染事故有进一步扩大、发展趋势，或因事故衍生问题造成重大社会不稳定事态，应急指挥中心将根据事态发展，及时调整应急响应级别，发布预警信息，同时向区域应急指挥部和新疆维吾尔自治区环境污染事故应急指挥部请求援助。</w:t>
      </w:r>
    </w:p>
    <w:p w14:paraId="0B42036A">
      <w:pPr>
        <w:spacing w:line="360" w:lineRule="auto"/>
        <w:ind w:firstLine="480" w:firstLineChars="200"/>
        <w:jc w:val="both"/>
        <w:rPr>
          <w:color w:val="auto"/>
          <w:sz w:val="24"/>
          <w:szCs w:val="24"/>
        </w:rPr>
      </w:pPr>
      <w:r>
        <w:rPr>
          <w:rFonts w:hint="eastAsia"/>
          <w:color w:val="auto"/>
          <w:sz w:val="24"/>
          <w:szCs w:val="24"/>
        </w:rPr>
        <w:t>（3）应急培训计划的衔接</w:t>
      </w:r>
    </w:p>
    <w:p w14:paraId="7E89C2EF">
      <w:pPr>
        <w:spacing w:line="360" w:lineRule="auto"/>
        <w:ind w:firstLine="480" w:firstLineChars="200"/>
        <w:jc w:val="both"/>
        <w:rPr>
          <w:color w:val="auto"/>
          <w:sz w:val="24"/>
          <w:szCs w:val="24"/>
        </w:rPr>
      </w:pPr>
      <w:r>
        <w:rPr>
          <w:rFonts w:hint="eastAsia"/>
          <w:color w:val="auto"/>
          <w:sz w:val="24"/>
          <w:szCs w:val="24"/>
        </w:rPr>
        <w:t>企业在开展应急培训计划的同时，还应积极配合园区开展应急培训计划，在发生风险事故时，及时与园区应急组织取得联系。</w:t>
      </w:r>
    </w:p>
    <w:p w14:paraId="06084B55">
      <w:pPr>
        <w:spacing w:line="360" w:lineRule="auto"/>
        <w:ind w:firstLine="480" w:firstLineChars="200"/>
        <w:jc w:val="both"/>
        <w:rPr>
          <w:color w:val="auto"/>
          <w:sz w:val="24"/>
          <w:szCs w:val="24"/>
        </w:rPr>
      </w:pPr>
      <w:r>
        <w:rPr>
          <w:rFonts w:hint="eastAsia"/>
          <w:color w:val="auto"/>
          <w:sz w:val="24"/>
          <w:szCs w:val="24"/>
        </w:rPr>
        <w:t>（4）信息通报系统</w:t>
      </w:r>
    </w:p>
    <w:p w14:paraId="073E9CC7">
      <w:pPr>
        <w:spacing w:line="360" w:lineRule="auto"/>
        <w:ind w:firstLine="480" w:firstLineChars="200"/>
        <w:jc w:val="both"/>
        <w:rPr>
          <w:color w:val="auto"/>
          <w:sz w:val="24"/>
          <w:szCs w:val="24"/>
        </w:rPr>
      </w:pPr>
      <w:r>
        <w:rPr>
          <w:rFonts w:hint="eastAsia"/>
          <w:color w:val="auto"/>
          <w:sz w:val="24"/>
          <w:szCs w:val="24"/>
        </w:rPr>
        <w:t>建设畅通的信息通道，应急指挥部必须与周边企业、园区管委会保持24小时的电话联系。一旦发生风险事故，可在第一时间通知相关单位组织人员疏散、撤离。</w:t>
      </w:r>
    </w:p>
    <w:p w14:paraId="081127CF">
      <w:pPr>
        <w:spacing w:line="360" w:lineRule="auto"/>
        <w:ind w:firstLine="480" w:firstLineChars="200"/>
        <w:jc w:val="both"/>
        <w:rPr>
          <w:color w:val="auto"/>
          <w:sz w:val="24"/>
          <w:szCs w:val="24"/>
        </w:rPr>
      </w:pPr>
      <w:r>
        <w:rPr>
          <w:rFonts w:hint="eastAsia"/>
          <w:color w:val="auto"/>
          <w:sz w:val="24"/>
          <w:szCs w:val="24"/>
        </w:rPr>
        <w:t>（5）公众教育的衔接</w:t>
      </w:r>
    </w:p>
    <w:p w14:paraId="1530D571">
      <w:pPr>
        <w:spacing w:line="360" w:lineRule="auto"/>
        <w:ind w:firstLine="480" w:firstLineChars="200"/>
        <w:jc w:val="both"/>
        <w:rPr>
          <w:color w:val="auto"/>
          <w:sz w:val="24"/>
          <w:szCs w:val="24"/>
        </w:rPr>
      </w:pPr>
      <w:r>
        <w:rPr>
          <w:rFonts w:hint="eastAsia"/>
          <w:color w:val="auto"/>
          <w:sz w:val="24"/>
          <w:szCs w:val="24"/>
        </w:rPr>
        <w:t>企业对厂内和附近地区公众开展教育、培训时，应加强与周边公众和园区相关单位的交流，如发生事故，可更好地疏散、防护污染。</w:t>
      </w:r>
    </w:p>
    <w:p w14:paraId="0D790E18">
      <w:pPr>
        <w:numPr>
          <w:ilvl w:val="1"/>
          <w:numId w:val="1"/>
        </w:numPr>
        <w:outlineLvl w:val="1"/>
        <w:rPr>
          <w:rFonts w:eastAsia="黑体"/>
          <w:b/>
          <w:color w:val="auto"/>
          <w:sz w:val="28"/>
          <w:szCs w:val="30"/>
        </w:rPr>
      </w:pPr>
      <w:bookmarkStart w:id="405" w:name="_Toc220582797"/>
      <w:bookmarkStart w:id="406" w:name="_Toc229930166"/>
      <w:r>
        <w:rPr>
          <w:rFonts w:hint="eastAsia" w:eastAsia="黑体"/>
          <w:b/>
          <w:color w:val="auto"/>
          <w:sz w:val="28"/>
          <w:szCs w:val="30"/>
        </w:rPr>
        <w:t>风险事故应急预案</w:t>
      </w:r>
      <w:bookmarkEnd w:id="405"/>
      <w:bookmarkEnd w:id="406"/>
    </w:p>
    <w:p w14:paraId="781E717A">
      <w:pPr>
        <w:spacing w:line="360" w:lineRule="auto"/>
        <w:ind w:firstLine="480" w:firstLineChars="200"/>
        <w:jc w:val="both"/>
        <w:rPr>
          <w:color w:val="auto"/>
          <w:sz w:val="24"/>
          <w:szCs w:val="24"/>
        </w:rPr>
      </w:pPr>
      <w:r>
        <w:rPr>
          <w:rFonts w:hint="eastAsia"/>
          <w:color w:val="auto"/>
          <w:sz w:val="24"/>
          <w:szCs w:val="24"/>
        </w:rPr>
        <w:t>为加强对突发环境事件的应急管理工作，进一步增强防范和应对突发环境事件的能力，根据《中华人民共和国环境保护法》《企业事业单位突发环境事件应急预案备案管理办法（试行）》（环发〔2015〕4号）、《企业突发环境事件风险评估指南（试行）》（环办〔2014〕34号）和《建设项目环境风险评价技术导则》等法律法规有关规定和要求，建设单位应针对可能发生的重大环境风险事故编制企业突发环境事件应急预案（以下简称应急预案），并经过专家评审，定期进行预案演练。</w:t>
      </w:r>
    </w:p>
    <w:p w14:paraId="42F44F74">
      <w:pPr>
        <w:spacing w:line="360" w:lineRule="auto"/>
        <w:ind w:firstLine="480" w:firstLineChars="200"/>
        <w:jc w:val="both"/>
        <w:rPr>
          <w:color w:val="auto"/>
          <w:sz w:val="24"/>
          <w:szCs w:val="24"/>
        </w:rPr>
      </w:pPr>
      <w:r>
        <w:rPr>
          <w:rFonts w:hint="eastAsia"/>
          <w:color w:val="auto"/>
          <w:sz w:val="24"/>
          <w:szCs w:val="24"/>
        </w:rPr>
        <w:t>应急预案针对企业可能发生危险的场所与部位进行辨识与评估，找出重大危险源，并进行重大事故后果的定量预测(即测算在重大事故发生后的状态对周边地区可能造成的危害程度)。为保证公司员工和周围居民的生命财产安全，防止重特大事故的发生，并能在事故发生后迅速有效地控制处理，防止事故扩大，根据公司实际情况，本着“安全第一，预防为主；统一指挥，分工负责”的原则，制订项目的事故应急预案。</w:t>
      </w:r>
    </w:p>
    <w:p w14:paraId="3198F1FA">
      <w:pPr>
        <w:pStyle w:val="4"/>
        <w:rPr>
          <w:color w:val="auto"/>
        </w:rPr>
      </w:pPr>
      <w:r>
        <w:rPr>
          <w:rFonts w:hint="eastAsia"/>
          <w:color w:val="auto"/>
        </w:rPr>
        <w:t>应急救援指挥领导小组</w:t>
      </w:r>
    </w:p>
    <w:p w14:paraId="5387DFAE">
      <w:pPr>
        <w:spacing w:line="360" w:lineRule="auto"/>
        <w:ind w:firstLine="480" w:firstLineChars="200"/>
        <w:jc w:val="both"/>
        <w:rPr>
          <w:color w:val="auto"/>
          <w:sz w:val="24"/>
          <w:szCs w:val="24"/>
        </w:rPr>
      </w:pPr>
      <w:r>
        <w:rPr>
          <w:rFonts w:hint="eastAsia"/>
          <w:color w:val="auto"/>
          <w:sz w:val="24"/>
          <w:szCs w:val="24"/>
        </w:rPr>
        <w:t>建设单位应成立环境污染事故应急救援指挥领导小组。在发生突发环境污染事故时，负责公司应急救援工作的指挥和组织，认真履行指挥机构职责。</w:t>
      </w:r>
    </w:p>
    <w:p w14:paraId="1E9D0A94">
      <w:pPr>
        <w:pStyle w:val="4"/>
        <w:rPr>
          <w:color w:val="auto"/>
        </w:rPr>
      </w:pPr>
      <w:r>
        <w:rPr>
          <w:rFonts w:hint="eastAsia"/>
          <w:color w:val="auto"/>
        </w:rPr>
        <w:t>应急预案重点内容</w:t>
      </w:r>
    </w:p>
    <w:p w14:paraId="09AB869E">
      <w:pPr>
        <w:spacing w:line="360" w:lineRule="auto"/>
        <w:ind w:firstLine="480" w:firstLineChars="200"/>
        <w:jc w:val="both"/>
        <w:rPr>
          <w:color w:val="auto"/>
          <w:sz w:val="24"/>
          <w:szCs w:val="24"/>
        </w:rPr>
      </w:pPr>
      <w:r>
        <w:rPr>
          <w:rFonts w:hint="eastAsia"/>
          <w:color w:val="auto"/>
          <w:sz w:val="24"/>
          <w:szCs w:val="24"/>
        </w:rPr>
        <w:t>预案包括：总则、应急组织指挥体系与职责、预防与预警、应急处置、应急终止、后期处置、应急保障、责任与奖惩、预案管理、附则、附件组成。</w:t>
      </w:r>
    </w:p>
    <w:p w14:paraId="14580D61">
      <w:pPr>
        <w:spacing w:line="360" w:lineRule="auto"/>
        <w:ind w:firstLine="480" w:firstLineChars="200"/>
        <w:jc w:val="both"/>
        <w:rPr>
          <w:color w:val="auto"/>
          <w:sz w:val="24"/>
          <w:szCs w:val="24"/>
        </w:rPr>
      </w:pPr>
      <w:r>
        <w:rPr>
          <w:rFonts w:hint="eastAsia"/>
          <w:color w:val="auto"/>
          <w:sz w:val="24"/>
          <w:szCs w:val="24"/>
        </w:rPr>
        <w:t>总则部分包括预案的编制目的、编制依据、事件分级、适用范围、工作原则、关系说明等。</w:t>
      </w:r>
    </w:p>
    <w:p w14:paraId="1105FBA3">
      <w:pPr>
        <w:spacing w:line="360" w:lineRule="auto"/>
        <w:ind w:firstLine="480" w:firstLineChars="200"/>
        <w:jc w:val="both"/>
        <w:rPr>
          <w:color w:val="auto"/>
          <w:sz w:val="24"/>
          <w:szCs w:val="24"/>
        </w:rPr>
      </w:pPr>
      <w:r>
        <w:rPr>
          <w:rFonts w:hint="eastAsia"/>
          <w:color w:val="auto"/>
          <w:sz w:val="24"/>
          <w:szCs w:val="24"/>
        </w:rPr>
        <w:t>应急组织指挥体系与职责包括了内部应急组织机构与职责与外部指挥与协调，内部应急组织机构与职责建立了企业内部应急指挥体系并明确职责，本企业内部应急指挥机构设置了应急处置组、警戒疏散组、通讯联络组、后勤保障组、医疗救护组、环境监测组，外部指挥与协调明确了外部参与救援的力量，如市人民医院、消防中队。</w:t>
      </w:r>
    </w:p>
    <w:p w14:paraId="2D9354F0">
      <w:pPr>
        <w:pStyle w:val="4"/>
        <w:rPr>
          <w:color w:val="auto"/>
        </w:rPr>
      </w:pPr>
      <w:r>
        <w:rPr>
          <w:rFonts w:hint="eastAsia"/>
          <w:color w:val="auto"/>
        </w:rPr>
        <w:t>应急事件分级</w:t>
      </w:r>
    </w:p>
    <w:p w14:paraId="082E41EC">
      <w:pPr>
        <w:pStyle w:val="5"/>
        <w:rPr>
          <w:color w:val="auto"/>
        </w:rPr>
      </w:pPr>
      <w:r>
        <w:rPr>
          <w:rFonts w:hint="eastAsia"/>
          <w:color w:val="auto"/>
        </w:rPr>
        <w:t>Ⅰ级 特别重大环境事件</w:t>
      </w:r>
    </w:p>
    <w:p w14:paraId="71A3C031">
      <w:pPr>
        <w:spacing w:line="360" w:lineRule="auto"/>
        <w:ind w:firstLine="480" w:firstLineChars="200"/>
        <w:jc w:val="both"/>
        <w:rPr>
          <w:color w:val="auto"/>
          <w:sz w:val="24"/>
          <w:szCs w:val="24"/>
        </w:rPr>
      </w:pPr>
      <w:r>
        <w:rPr>
          <w:rFonts w:hint="eastAsia"/>
          <w:color w:val="auto"/>
          <w:sz w:val="24"/>
          <w:szCs w:val="24"/>
        </w:rPr>
        <w:t>大量废酸、氨水、重金属原料大面积泄漏，流出厂界；</w:t>
      </w:r>
    </w:p>
    <w:p w14:paraId="32110041">
      <w:pPr>
        <w:spacing w:line="360" w:lineRule="auto"/>
        <w:ind w:firstLine="480" w:firstLineChars="200"/>
        <w:jc w:val="both"/>
        <w:rPr>
          <w:color w:val="auto"/>
          <w:sz w:val="24"/>
          <w:szCs w:val="24"/>
        </w:rPr>
      </w:pPr>
      <w:r>
        <w:rPr>
          <w:rFonts w:hint="eastAsia"/>
          <w:color w:val="auto"/>
          <w:sz w:val="24"/>
          <w:szCs w:val="24"/>
        </w:rPr>
        <w:t>氨气/硝酸分解烟气、焙烧有毒废气大量无组织扩散，影响周边居民区；</w:t>
      </w:r>
    </w:p>
    <w:p w14:paraId="5143792E">
      <w:pPr>
        <w:spacing w:line="360" w:lineRule="auto"/>
        <w:ind w:firstLine="480" w:firstLineChars="200"/>
        <w:jc w:val="both"/>
        <w:rPr>
          <w:color w:val="auto"/>
          <w:sz w:val="24"/>
          <w:szCs w:val="24"/>
        </w:rPr>
      </w:pPr>
      <w:r>
        <w:rPr>
          <w:rFonts w:hint="eastAsia"/>
          <w:color w:val="auto"/>
          <w:sz w:val="24"/>
          <w:szCs w:val="24"/>
        </w:rPr>
        <w:t>火灾爆炸伴随重金属、酸性废液外流，威胁区域地表水、地下水；</w:t>
      </w:r>
    </w:p>
    <w:p w14:paraId="248CC310">
      <w:pPr>
        <w:spacing w:line="360" w:lineRule="auto"/>
        <w:ind w:firstLine="480" w:firstLineChars="200"/>
        <w:jc w:val="both"/>
        <w:rPr>
          <w:color w:val="auto"/>
          <w:sz w:val="24"/>
          <w:szCs w:val="24"/>
        </w:rPr>
      </w:pPr>
      <w:r>
        <w:rPr>
          <w:rFonts w:hint="eastAsia"/>
          <w:color w:val="auto"/>
          <w:sz w:val="24"/>
          <w:szCs w:val="24"/>
        </w:rPr>
        <w:t>需当地政府生态环境、消防、应急、卫健部门介入处置。</w:t>
      </w:r>
    </w:p>
    <w:p w14:paraId="4723FF20">
      <w:pPr>
        <w:pStyle w:val="5"/>
        <w:rPr>
          <w:color w:val="auto"/>
        </w:rPr>
      </w:pPr>
      <w:r>
        <w:rPr>
          <w:rFonts w:hint="eastAsia"/>
          <w:color w:val="auto"/>
        </w:rPr>
        <w:t>Ⅱ级重大环境事件</w:t>
      </w:r>
    </w:p>
    <w:p w14:paraId="4AFF3EF3">
      <w:pPr>
        <w:spacing w:line="360" w:lineRule="auto"/>
        <w:ind w:firstLine="480" w:firstLineChars="200"/>
        <w:jc w:val="both"/>
        <w:rPr>
          <w:color w:val="auto"/>
          <w:sz w:val="24"/>
          <w:szCs w:val="24"/>
        </w:rPr>
      </w:pPr>
      <w:r>
        <w:rPr>
          <w:rFonts w:hint="eastAsia"/>
          <w:color w:val="auto"/>
          <w:sz w:val="24"/>
          <w:szCs w:val="24"/>
        </w:rPr>
        <w:t>车间内储罐/管道破损，酸碱、氨水、重金属物料局部大量泄漏，未流出厂界；</w:t>
      </w:r>
    </w:p>
    <w:p w14:paraId="3D1EBF54">
      <w:pPr>
        <w:spacing w:line="360" w:lineRule="auto"/>
        <w:ind w:firstLine="480" w:firstLineChars="200"/>
        <w:jc w:val="both"/>
        <w:rPr>
          <w:color w:val="auto"/>
          <w:sz w:val="24"/>
          <w:szCs w:val="24"/>
        </w:rPr>
      </w:pPr>
      <w:r>
        <w:rPr>
          <w:rFonts w:hint="eastAsia"/>
          <w:color w:val="auto"/>
          <w:sz w:val="24"/>
          <w:szCs w:val="24"/>
        </w:rPr>
        <w:t>废气治理设施（SCR、布袋除尘）失效，长时间超标排放；</w:t>
      </w:r>
    </w:p>
    <w:p w14:paraId="5F9EC531">
      <w:pPr>
        <w:spacing w:line="360" w:lineRule="auto"/>
        <w:ind w:firstLine="480" w:firstLineChars="200"/>
        <w:jc w:val="both"/>
        <w:rPr>
          <w:color w:val="auto"/>
          <w:sz w:val="24"/>
          <w:szCs w:val="24"/>
        </w:rPr>
      </w:pPr>
      <w:r>
        <w:rPr>
          <w:rFonts w:hint="eastAsia"/>
          <w:color w:val="auto"/>
          <w:sz w:val="24"/>
          <w:szCs w:val="24"/>
        </w:rPr>
        <w:t>车间内火灾，产生大量有毒烟气，可控在厂区内；</w:t>
      </w:r>
    </w:p>
    <w:p w14:paraId="68FFD42C">
      <w:pPr>
        <w:spacing w:line="360" w:lineRule="auto"/>
        <w:ind w:firstLine="480" w:firstLineChars="200"/>
        <w:jc w:val="both"/>
        <w:rPr>
          <w:color w:val="auto"/>
          <w:sz w:val="24"/>
          <w:szCs w:val="24"/>
        </w:rPr>
      </w:pPr>
      <w:r>
        <w:rPr>
          <w:rFonts w:hint="eastAsia"/>
          <w:color w:val="auto"/>
          <w:sz w:val="24"/>
          <w:szCs w:val="24"/>
        </w:rPr>
        <w:t>需公司应急指挥部+园区管委会联动，必要时通知属地环保部门。</w:t>
      </w:r>
    </w:p>
    <w:p w14:paraId="397B80FD">
      <w:pPr>
        <w:pStyle w:val="5"/>
        <w:rPr>
          <w:color w:val="auto"/>
        </w:rPr>
      </w:pPr>
      <w:r>
        <w:rPr>
          <w:rFonts w:hint="eastAsia"/>
          <w:color w:val="auto"/>
        </w:rPr>
        <w:t>Ⅲ级较大环境事件</w:t>
      </w:r>
    </w:p>
    <w:p w14:paraId="52103E0E">
      <w:pPr>
        <w:spacing w:line="360" w:lineRule="auto"/>
        <w:ind w:firstLine="480" w:firstLineChars="200"/>
        <w:jc w:val="both"/>
        <w:rPr>
          <w:color w:val="auto"/>
          <w:sz w:val="24"/>
          <w:szCs w:val="24"/>
        </w:rPr>
      </w:pPr>
      <w:r>
        <w:rPr>
          <w:rFonts w:hint="eastAsia"/>
          <w:color w:val="auto"/>
          <w:sz w:val="24"/>
          <w:szCs w:val="24"/>
        </w:rPr>
        <w:t>反应釜、泵体、法兰少量滴漏、局部溢出，局限单工段；</w:t>
      </w:r>
    </w:p>
    <w:p w14:paraId="54297840">
      <w:pPr>
        <w:spacing w:line="360" w:lineRule="auto"/>
        <w:ind w:firstLine="480" w:firstLineChars="200"/>
        <w:jc w:val="both"/>
        <w:rPr>
          <w:color w:val="auto"/>
          <w:sz w:val="24"/>
          <w:szCs w:val="24"/>
        </w:rPr>
      </w:pPr>
      <w:r>
        <w:rPr>
          <w:rFonts w:hint="eastAsia"/>
          <w:color w:val="auto"/>
          <w:sz w:val="24"/>
          <w:szCs w:val="24"/>
        </w:rPr>
        <w:t>短时氨逃逸、烘干 / 焙烧废气瞬时超标，无扩散风险；</w:t>
      </w:r>
    </w:p>
    <w:p w14:paraId="55F70EEF">
      <w:pPr>
        <w:spacing w:line="360" w:lineRule="auto"/>
        <w:ind w:firstLine="480" w:firstLineChars="200"/>
        <w:jc w:val="both"/>
        <w:rPr>
          <w:color w:val="auto"/>
          <w:sz w:val="24"/>
          <w:szCs w:val="24"/>
        </w:rPr>
      </w:pPr>
      <w:r>
        <w:rPr>
          <w:rFonts w:hint="eastAsia"/>
          <w:color w:val="auto"/>
          <w:sz w:val="24"/>
          <w:szCs w:val="24"/>
        </w:rPr>
        <w:t>小范围粉尘、物料散落，未进入雨水管网；</w:t>
      </w:r>
    </w:p>
    <w:p w14:paraId="0204BEF2">
      <w:pPr>
        <w:spacing w:line="360" w:lineRule="auto"/>
        <w:ind w:firstLine="480" w:firstLineChars="200"/>
        <w:jc w:val="both"/>
        <w:rPr>
          <w:color w:val="auto"/>
          <w:sz w:val="24"/>
          <w:szCs w:val="24"/>
        </w:rPr>
      </w:pPr>
      <w:r>
        <w:rPr>
          <w:rFonts w:hint="eastAsia"/>
          <w:color w:val="auto"/>
          <w:sz w:val="24"/>
          <w:szCs w:val="24"/>
        </w:rPr>
        <w:t xml:space="preserve">车间内部可自行处置，公司应急小组即可控制。 </w:t>
      </w:r>
    </w:p>
    <w:p w14:paraId="0B1DEE68">
      <w:pPr>
        <w:pStyle w:val="5"/>
        <w:rPr>
          <w:color w:val="auto"/>
        </w:rPr>
      </w:pPr>
      <w:r>
        <w:rPr>
          <w:rFonts w:hint="eastAsia"/>
          <w:color w:val="auto"/>
        </w:rPr>
        <w:t>Ⅳ 级一般环境事件</w:t>
      </w:r>
    </w:p>
    <w:p w14:paraId="164FD0DF">
      <w:pPr>
        <w:spacing w:line="360" w:lineRule="auto"/>
        <w:ind w:firstLine="480" w:firstLineChars="200"/>
        <w:jc w:val="both"/>
        <w:rPr>
          <w:color w:val="auto"/>
          <w:sz w:val="24"/>
          <w:szCs w:val="24"/>
        </w:rPr>
      </w:pPr>
      <w:r>
        <w:rPr>
          <w:rFonts w:hint="eastAsia"/>
          <w:color w:val="auto"/>
          <w:sz w:val="24"/>
          <w:szCs w:val="24"/>
        </w:rPr>
        <w:t>设备轻微渗漏、跑冒滴漏，瞬时无组织粉尘；</w:t>
      </w:r>
    </w:p>
    <w:p w14:paraId="0F0CB141">
      <w:pPr>
        <w:spacing w:line="360" w:lineRule="auto"/>
        <w:ind w:firstLine="480" w:firstLineChars="200"/>
        <w:jc w:val="both"/>
        <w:rPr>
          <w:color w:val="auto"/>
          <w:sz w:val="24"/>
          <w:szCs w:val="24"/>
        </w:rPr>
      </w:pPr>
      <w:r>
        <w:rPr>
          <w:rFonts w:hint="eastAsia"/>
          <w:color w:val="auto"/>
          <w:sz w:val="24"/>
          <w:szCs w:val="24"/>
        </w:rPr>
        <w:t>短时异味、少量废气波动，无扩散、无外排风险；</w:t>
      </w:r>
    </w:p>
    <w:p w14:paraId="74F8C252">
      <w:pPr>
        <w:spacing w:line="360" w:lineRule="auto"/>
        <w:ind w:firstLine="480" w:firstLineChars="200"/>
        <w:jc w:val="both"/>
        <w:rPr>
          <w:color w:val="auto"/>
          <w:sz w:val="24"/>
          <w:szCs w:val="24"/>
        </w:rPr>
      </w:pPr>
      <w:r>
        <w:rPr>
          <w:rFonts w:hint="eastAsia"/>
          <w:color w:val="auto"/>
          <w:sz w:val="24"/>
          <w:szCs w:val="24"/>
        </w:rPr>
        <w:t>岗位人员现场即可立即关停、封堵、清理，无环境影响。</w:t>
      </w:r>
    </w:p>
    <w:p w14:paraId="0643B2B9">
      <w:pPr>
        <w:pStyle w:val="4"/>
        <w:rPr>
          <w:color w:val="auto"/>
        </w:rPr>
      </w:pPr>
      <w:r>
        <w:rPr>
          <w:rFonts w:hint="eastAsia"/>
          <w:color w:val="auto"/>
        </w:rPr>
        <w:t>分级响应机制</w:t>
      </w:r>
    </w:p>
    <w:p w14:paraId="6E2C26DD">
      <w:pPr>
        <w:pStyle w:val="5"/>
        <w:rPr>
          <w:color w:val="auto"/>
        </w:rPr>
      </w:pPr>
      <w:r>
        <w:rPr>
          <w:rFonts w:hint="eastAsia"/>
          <w:color w:val="auto"/>
        </w:rPr>
        <w:t xml:space="preserve"> Ⅳ 级（一般）响应</w:t>
      </w:r>
    </w:p>
    <w:p w14:paraId="2EDBED50">
      <w:pPr>
        <w:spacing w:line="360" w:lineRule="auto"/>
        <w:ind w:firstLine="480" w:firstLineChars="200"/>
        <w:jc w:val="both"/>
        <w:rPr>
          <w:color w:val="auto"/>
          <w:sz w:val="24"/>
          <w:szCs w:val="24"/>
        </w:rPr>
      </w:pPr>
      <w:r>
        <w:rPr>
          <w:rFonts w:hint="eastAsia"/>
          <w:color w:val="auto"/>
          <w:sz w:val="24"/>
          <w:szCs w:val="24"/>
        </w:rPr>
        <w:t>启动条件：轻微跑冒滴漏、短时异味、小范围粉尘。</w:t>
      </w:r>
    </w:p>
    <w:p w14:paraId="462BE7CF">
      <w:pPr>
        <w:spacing w:line="360" w:lineRule="auto"/>
        <w:ind w:firstLine="480" w:firstLineChars="200"/>
        <w:jc w:val="both"/>
        <w:rPr>
          <w:color w:val="auto"/>
          <w:sz w:val="24"/>
          <w:szCs w:val="24"/>
        </w:rPr>
      </w:pPr>
      <w:r>
        <w:rPr>
          <w:rFonts w:hint="eastAsia"/>
          <w:color w:val="auto"/>
          <w:sz w:val="24"/>
          <w:szCs w:val="24"/>
        </w:rPr>
        <w:t>响应主体：当班岗位员工 + 车间负责人。</w:t>
      </w:r>
    </w:p>
    <w:p w14:paraId="1D68D08F">
      <w:pPr>
        <w:spacing w:line="360" w:lineRule="auto"/>
        <w:ind w:firstLine="480" w:firstLineChars="200"/>
        <w:jc w:val="both"/>
        <w:rPr>
          <w:color w:val="auto"/>
          <w:sz w:val="24"/>
          <w:szCs w:val="24"/>
        </w:rPr>
      </w:pPr>
      <w:r>
        <w:rPr>
          <w:rFonts w:hint="eastAsia"/>
          <w:color w:val="auto"/>
          <w:sz w:val="24"/>
          <w:szCs w:val="24"/>
        </w:rPr>
        <w:t>处置动作：立即关停对应泵、阀门、设备；</w:t>
      </w:r>
    </w:p>
    <w:p w14:paraId="5915C80D">
      <w:pPr>
        <w:spacing w:line="360" w:lineRule="auto"/>
        <w:ind w:firstLine="480" w:firstLineChars="200"/>
        <w:jc w:val="both"/>
        <w:rPr>
          <w:color w:val="auto"/>
          <w:sz w:val="24"/>
          <w:szCs w:val="24"/>
        </w:rPr>
      </w:pPr>
      <w:r>
        <w:rPr>
          <w:rFonts w:hint="eastAsia"/>
          <w:color w:val="auto"/>
          <w:sz w:val="24"/>
          <w:szCs w:val="24"/>
        </w:rPr>
        <w:t>采用沙土、吸液棉围堵吸附，现场清理；</w:t>
      </w:r>
    </w:p>
    <w:p w14:paraId="33A88D37">
      <w:pPr>
        <w:spacing w:line="360" w:lineRule="auto"/>
        <w:ind w:firstLine="480" w:firstLineChars="200"/>
        <w:jc w:val="both"/>
        <w:rPr>
          <w:color w:val="auto"/>
          <w:sz w:val="24"/>
          <w:szCs w:val="24"/>
        </w:rPr>
      </w:pPr>
      <w:r>
        <w:rPr>
          <w:rFonts w:hint="eastAsia"/>
          <w:color w:val="auto"/>
          <w:sz w:val="24"/>
          <w:szCs w:val="24"/>
        </w:rPr>
        <w:t>检查废气、废水排放，确认无超标、无外流；</w:t>
      </w:r>
    </w:p>
    <w:p w14:paraId="643E3F6F">
      <w:pPr>
        <w:spacing w:line="360" w:lineRule="auto"/>
        <w:ind w:firstLine="480" w:firstLineChars="200"/>
        <w:jc w:val="both"/>
        <w:rPr>
          <w:color w:val="auto"/>
          <w:sz w:val="24"/>
          <w:szCs w:val="24"/>
        </w:rPr>
      </w:pPr>
      <w:r>
        <w:rPr>
          <w:rFonts w:hint="eastAsia"/>
          <w:color w:val="auto"/>
          <w:sz w:val="24"/>
          <w:szCs w:val="24"/>
        </w:rPr>
        <w:t>记录台账，无需上报公司指挥部。</w:t>
      </w:r>
    </w:p>
    <w:p w14:paraId="431477F7">
      <w:pPr>
        <w:pStyle w:val="5"/>
        <w:rPr>
          <w:color w:val="auto"/>
        </w:rPr>
      </w:pPr>
      <w:r>
        <w:rPr>
          <w:rFonts w:hint="eastAsia"/>
          <w:color w:val="auto"/>
        </w:rPr>
        <w:t>Ⅲ 级（较大）响应</w:t>
      </w:r>
    </w:p>
    <w:p w14:paraId="034B1520">
      <w:pPr>
        <w:spacing w:line="360" w:lineRule="auto"/>
        <w:ind w:firstLine="480" w:firstLineChars="200"/>
        <w:jc w:val="both"/>
        <w:rPr>
          <w:color w:val="auto"/>
          <w:sz w:val="24"/>
          <w:szCs w:val="24"/>
        </w:rPr>
      </w:pPr>
      <w:r>
        <w:rPr>
          <w:rFonts w:hint="eastAsia"/>
          <w:color w:val="auto"/>
          <w:sz w:val="24"/>
          <w:szCs w:val="24"/>
        </w:rPr>
        <w:t>启动条件：局部物料泄漏、短时废气超标、小范围物料散落</w:t>
      </w:r>
    </w:p>
    <w:p w14:paraId="727630A8">
      <w:pPr>
        <w:spacing w:line="360" w:lineRule="auto"/>
        <w:ind w:firstLine="480" w:firstLineChars="200"/>
        <w:jc w:val="both"/>
        <w:rPr>
          <w:color w:val="auto"/>
          <w:sz w:val="24"/>
          <w:szCs w:val="24"/>
        </w:rPr>
      </w:pPr>
      <w:r>
        <w:rPr>
          <w:rFonts w:hint="eastAsia"/>
          <w:color w:val="auto"/>
          <w:sz w:val="24"/>
          <w:szCs w:val="24"/>
        </w:rPr>
        <w:t>响应主体：车间应急小组 + 公司环保安环部</w:t>
      </w:r>
    </w:p>
    <w:p w14:paraId="3B359A8A">
      <w:pPr>
        <w:spacing w:line="360" w:lineRule="auto"/>
        <w:ind w:firstLine="480" w:firstLineChars="200"/>
        <w:jc w:val="both"/>
        <w:rPr>
          <w:color w:val="auto"/>
          <w:sz w:val="24"/>
          <w:szCs w:val="24"/>
        </w:rPr>
      </w:pPr>
      <w:r>
        <w:rPr>
          <w:rFonts w:hint="eastAsia"/>
          <w:color w:val="auto"/>
          <w:sz w:val="24"/>
          <w:szCs w:val="24"/>
        </w:rPr>
        <w:t>处置动作：现场停产隔离，划定警戒区域，禁止无关人员进入；</w:t>
      </w:r>
    </w:p>
    <w:p w14:paraId="12767421">
      <w:pPr>
        <w:spacing w:line="360" w:lineRule="auto"/>
        <w:ind w:firstLine="480" w:firstLineChars="200"/>
        <w:jc w:val="both"/>
        <w:rPr>
          <w:color w:val="auto"/>
          <w:sz w:val="24"/>
          <w:szCs w:val="24"/>
        </w:rPr>
      </w:pPr>
      <w:r>
        <w:rPr>
          <w:rFonts w:hint="eastAsia"/>
          <w:color w:val="auto"/>
          <w:sz w:val="24"/>
          <w:szCs w:val="24"/>
        </w:rPr>
        <w:t>启动事故收集池、应急围堰，封堵雨水排口，切断外排通道；</w:t>
      </w:r>
    </w:p>
    <w:p w14:paraId="6551E137">
      <w:pPr>
        <w:spacing w:line="360" w:lineRule="auto"/>
        <w:ind w:firstLine="480" w:firstLineChars="200"/>
        <w:jc w:val="both"/>
        <w:rPr>
          <w:color w:val="auto"/>
          <w:sz w:val="24"/>
          <w:szCs w:val="24"/>
        </w:rPr>
      </w:pPr>
      <w:r>
        <w:rPr>
          <w:rFonts w:hint="eastAsia"/>
          <w:color w:val="auto"/>
          <w:sz w:val="24"/>
          <w:szCs w:val="24"/>
        </w:rPr>
        <w:t>泄漏酸碱 / 氨水导入应急收集池，重金属物料收集封存；</w:t>
      </w:r>
    </w:p>
    <w:p w14:paraId="1139E2E9">
      <w:pPr>
        <w:spacing w:line="360" w:lineRule="auto"/>
        <w:ind w:firstLine="480" w:firstLineChars="200"/>
        <w:jc w:val="both"/>
        <w:rPr>
          <w:color w:val="auto"/>
          <w:sz w:val="24"/>
          <w:szCs w:val="24"/>
        </w:rPr>
      </w:pPr>
      <w:r>
        <w:rPr>
          <w:rFonts w:hint="eastAsia"/>
          <w:color w:val="auto"/>
          <w:sz w:val="24"/>
          <w:szCs w:val="24"/>
        </w:rPr>
        <w:t>检查 SCR、布袋除尘、排气筒运行，故障立即停机检修；</w:t>
      </w:r>
    </w:p>
    <w:p w14:paraId="74C2B5A5">
      <w:pPr>
        <w:spacing w:line="360" w:lineRule="auto"/>
        <w:ind w:firstLine="480" w:firstLineChars="200"/>
        <w:jc w:val="both"/>
        <w:rPr>
          <w:color w:val="auto"/>
          <w:sz w:val="24"/>
          <w:szCs w:val="24"/>
        </w:rPr>
      </w:pPr>
      <w:r>
        <w:rPr>
          <w:rFonts w:hint="eastAsia"/>
          <w:color w:val="auto"/>
          <w:sz w:val="24"/>
          <w:szCs w:val="24"/>
        </w:rPr>
        <w:t>内部通报，实时监测厂界异味、废气，受控后恢复生产。</w:t>
      </w:r>
    </w:p>
    <w:p w14:paraId="6CBF7333">
      <w:pPr>
        <w:pStyle w:val="5"/>
        <w:rPr>
          <w:color w:val="auto"/>
        </w:rPr>
      </w:pPr>
      <w:r>
        <w:rPr>
          <w:rFonts w:hint="eastAsia"/>
          <w:color w:val="auto"/>
        </w:rPr>
        <w:t>Ⅱ 级（重大）响应</w:t>
      </w:r>
    </w:p>
    <w:p w14:paraId="07B359E7">
      <w:pPr>
        <w:spacing w:line="360" w:lineRule="auto"/>
        <w:ind w:firstLine="480" w:firstLineChars="200"/>
        <w:jc w:val="both"/>
        <w:rPr>
          <w:color w:val="auto"/>
          <w:sz w:val="24"/>
          <w:szCs w:val="24"/>
        </w:rPr>
      </w:pPr>
      <w:r>
        <w:rPr>
          <w:rFonts w:hint="eastAsia"/>
          <w:color w:val="auto"/>
          <w:sz w:val="24"/>
          <w:szCs w:val="24"/>
        </w:rPr>
        <w:t>启动条件：大量物料泄漏、治理设施失效长时间超标、车间火灾。</w:t>
      </w:r>
    </w:p>
    <w:p w14:paraId="068C9577">
      <w:pPr>
        <w:spacing w:line="360" w:lineRule="auto"/>
        <w:ind w:firstLine="480" w:firstLineChars="200"/>
        <w:jc w:val="both"/>
        <w:rPr>
          <w:color w:val="auto"/>
          <w:sz w:val="24"/>
          <w:szCs w:val="24"/>
        </w:rPr>
      </w:pPr>
      <w:r>
        <w:rPr>
          <w:rFonts w:hint="eastAsia"/>
          <w:color w:val="auto"/>
          <w:sz w:val="24"/>
          <w:szCs w:val="24"/>
        </w:rPr>
        <w:t>响应主体：公司应急指挥部全面启动。</w:t>
      </w:r>
    </w:p>
    <w:p w14:paraId="5A4E9F97">
      <w:pPr>
        <w:spacing w:line="360" w:lineRule="auto"/>
        <w:ind w:firstLine="480" w:firstLineChars="200"/>
        <w:jc w:val="both"/>
        <w:rPr>
          <w:color w:val="auto"/>
          <w:sz w:val="24"/>
          <w:szCs w:val="24"/>
        </w:rPr>
      </w:pPr>
      <w:r>
        <w:rPr>
          <w:rFonts w:hint="eastAsia"/>
          <w:color w:val="auto"/>
          <w:sz w:val="24"/>
          <w:szCs w:val="24"/>
        </w:rPr>
        <w:t>处置动作：全厂局部 / 全线停产，切断危险源电源、物料输送；启动厂区应急防控体系：围堰、事故池、初期雨水池全部投用，封堵所有雨水外排口；组织人员穿戴防护用具进行堵漏、吸附、中和、收集；开启废气应急处理设施，严控氨、NOₓ、重金属粉尘扩散；同步上报园区管委会、属地生态环境局，随时待命接受指导；开展厂界大气、厂区地表水、土壤应急监测。</w:t>
      </w:r>
    </w:p>
    <w:p w14:paraId="154D47E3">
      <w:pPr>
        <w:pStyle w:val="5"/>
        <w:rPr>
          <w:color w:val="auto"/>
        </w:rPr>
      </w:pPr>
      <w:r>
        <w:rPr>
          <w:rFonts w:hint="eastAsia"/>
          <w:color w:val="auto"/>
        </w:rPr>
        <w:t xml:space="preserve"> Ⅰ级（特别重大）响应</w:t>
      </w:r>
    </w:p>
    <w:p w14:paraId="50CB95BF">
      <w:pPr>
        <w:spacing w:line="360" w:lineRule="auto"/>
        <w:ind w:firstLine="480" w:firstLineChars="200"/>
        <w:jc w:val="both"/>
        <w:rPr>
          <w:color w:val="auto"/>
          <w:sz w:val="24"/>
          <w:szCs w:val="24"/>
        </w:rPr>
      </w:pPr>
      <w:r>
        <w:rPr>
          <w:rFonts w:hint="eastAsia"/>
          <w:color w:val="auto"/>
          <w:sz w:val="24"/>
          <w:szCs w:val="24"/>
        </w:rPr>
        <w:t>启动条件：物料流出厂界、影响周边居民 / 水体、重大火灾次生污染</w:t>
      </w:r>
    </w:p>
    <w:p w14:paraId="2D3CA8C3">
      <w:pPr>
        <w:spacing w:line="360" w:lineRule="auto"/>
        <w:ind w:firstLine="480" w:firstLineChars="200"/>
        <w:jc w:val="both"/>
        <w:rPr>
          <w:color w:val="auto"/>
          <w:sz w:val="24"/>
          <w:szCs w:val="24"/>
        </w:rPr>
      </w:pPr>
      <w:r>
        <w:rPr>
          <w:rFonts w:hint="eastAsia"/>
          <w:color w:val="auto"/>
          <w:sz w:val="24"/>
          <w:szCs w:val="24"/>
        </w:rPr>
        <w:t>响应主体：公司自救 + 报请地方政府应急联动</w:t>
      </w:r>
    </w:p>
    <w:p w14:paraId="0B231BA8">
      <w:pPr>
        <w:spacing w:line="360" w:lineRule="auto"/>
        <w:ind w:firstLine="480" w:firstLineChars="200"/>
        <w:jc w:val="both"/>
        <w:rPr>
          <w:color w:val="auto"/>
          <w:sz w:val="24"/>
          <w:szCs w:val="24"/>
        </w:rPr>
      </w:pPr>
      <w:r>
        <w:rPr>
          <w:rFonts w:hint="eastAsia"/>
          <w:color w:val="auto"/>
          <w:sz w:val="24"/>
          <w:szCs w:val="24"/>
        </w:rPr>
        <w:t>处置动作： 全厂紧急停产，人员疏散至上风向安全区域；全力围堰封堵、截流废液，严防进入外环境河道、管网；配合消防、生态环境、应急、卫健部门开展抢险、监测、疏散； 配合开展周边大气、地表水、地下水、土壤跟踪监测；按政府统一调度开展后续善后、治理、生态修复。</w:t>
      </w:r>
    </w:p>
    <w:p w14:paraId="5CE8B533">
      <w:pPr>
        <w:pStyle w:val="4"/>
        <w:rPr>
          <w:color w:val="auto"/>
        </w:rPr>
      </w:pPr>
      <w:r>
        <w:rPr>
          <w:rFonts w:hint="eastAsia"/>
          <w:color w:val="auto"/>
        </w:rPr>
        <w:t>多部门联动机制</w:t>
      </w:r>
    </w:p>
    <w:p w14:paraId="667C5611">
      <w:pPr>
        <w:pStyle w:val="5"/>
        <w:rPr>
          <w:color w:val="auto"/>
        </w:rPr>
      </w:pPr>
      <w:r>
        <w:rPr>
          <w:rFonts w:hint="eastAsia"/>
          <w:color w:val="auto"/>
        </w:rPr>
        <w:t>内部联动</w:t>
      </w:r>
    </w:p>
    <w:p w14:paraId="4AFEC3A2">
      <w:pPr>
        <w:spacing w:line="360" w:lineRule="auto"/>
        <w:ind w:firstLine="480" w:firstLineChars="200"/>
        <w:jc w:val="both"/>
        <w:rPr>
          <w:color w:val="auto"/>
          <w:sz w:val="24"/>
          <w:szCs w:val="24"/>
        </w:rPr>
      </w:pPr>
      <w:r>
        <w:rPr>
          <w:rFonts w:hint="eastAsia"/>
          <w:color w:val="auto"/>
          <w:sz w:val="24"/>
          <w:szCs w:val="24"/>
        </w:rPr>
        <w:t>生产车间：第一时间发现、停机、隔离、初期封堵；</w:t>
      </w:r>
    </w:p>
    <w:p w14:paraId="2AA4088D">
      <w:pPr>
        <w:spacing w:line="360" w:lineRule="auto"/>
        <w:ind w:firstLine="480" w:firstLineChars="200"/>
        <w:jc w:val="both"/>
        <w:rPr>
          <w:color w:val="auto"/>
          <w:sz w:val="24"/>
          <w:szCs w:val="24"/>
        </w:rPr>
      </w:pPr>
      <w:r>
        <w:rPr>
          <w:rFonts w:hint="eastAsia"/>
          <w:color w:val="auto"/>
          <w:sz w:val="24"/>
          <w:szCs w:val="24"/>
        </w:rPr>
        <w:t>安环部：风险研判、分级判定、废气废水监测、现场指导；</w:t>
      </w:r>
    </w:p>
    <w:p w14:paraId="71E8D5DF">
      <w:pPr>
        <w:spacing w:line="360" w:lineRule="auto"/>
        <w:ind w:firstLine="480" w:firstLineChars="200"/>
        <w:jc w:val="both"/>
        <w:rPr>
          <w:color w:val="auto"/>
          <w:sz w:val="24"/>
          <w:szCs w:val="24"/>
        </w:rPr>
      </w:pPr>
      <w:r>
        <w:rPr>
          <w:rFonts w:hint="eastAsia"/>
          <w:color w:val="auto"/>
          <w:sz w:val="24"/>
          <w:szCs w:val="24"/>
        </w:rPr>
        <w:t>设备维修部：管道储罐堵漏、设备抢修、阀门关停；</w:t>
      </w:r>
    </w:p>
    <w:p w14:paraId="0C61C540">
      <w:pPr>
        <w:spacing w:line="360" w:lineRule="auto"/>
        <w:ind w:firstLine="480" w:firstLineChars="200"/>
        <w:jc w:val="both"/>
        <w:rPr>
          <w:color w:val="auto"/>
          <w:sz w:val="24"/>
          <w:szCs w:val="24"/>
        </w:rPr>
      </w:pPr>
      <w:r>
        <w:rPr>
          <w:rFonts w:hint="eastAsia"/>
          <w:color w:val="auto"/>
          <w:sz w:val="24"/>
          <w:szCs w:val="24"/>
        </w:rPr>
        <w:t>仓储后勤：应急物资调配、防护用品发放、现场后勤保障；</w:t>
      </w:r>
    </w:p>
    <w:p w14:paraId="1DD8D7D5">
      <w:pPr>
        <w:spacing w:line="360" w:lineRule="auto"/>
        <w:ind w:firstLine="480" w:firstLineChars="200"/>
        <w:jc w:val="both"/>
        <w:rPr>
          <w:color w:val="auto"/>
          <w:sz w:val="24"/>
          <w:szCs w:val="24"/>
        </w:rPr>
      </w:pPr>
      <w:r>
        <w:rPr>
          <w:rFonts w:hint="eastAsia"/>
          <w:color w:val="auto"/>
          <w:sz w:val="24"/>
          <w:szCs w:val="24"/>
        </w:rPr>
        <w:t>行政办公室：信息上报、对外联络、人员调度、台账记录。</w:t>
      </w:r>
    </w:p>
    <w:p w14:paraId="22DCC6F8">
      <w:pPr>
        <w:pStyle w:val="5"/>
        <w:rPr>
          <w:color w:val="auto"/>
        </w:rPr>
      </w:pPr>
      <w:r>
        <w:rPr>
          <w:rFonts w:hint="eastAsia"/>
          <w:color w:val="auto"/>
        </w:rPr>
        <w:t>外部联动</w:t>
      </w:r>
    </w:p>
    <w:p w14:paraId="0AC9E19A">
      <w:pPr>
        <w:spacing w:line="360" w:lineRule="auto"/>
        <w:ind w:firstLine="480" w:firstLineChars="200"/>
        <w:jc w:val="both"/>
        <w:rPr>
          <w:color w:val="auto"/>
          <w:sz w:val="24"/>
          <w:szCs w:val="24"/>
        </w:rPr>
      </w:pPr>
      <w:r>
        <w:rPr>
          <w:rFonts w:hint="eastAsia"/>
          <w:color w:val="auto"/>
          <w:sz w:val="24"/>
          <w:szCs w:val="24"/>
        </w:rPr>
        <w:t>工业园区管委会：事故报备、园区应急资源调配、园区管网管控；</w:t>
      </w:r>
    </w:p>
    <w:p w14:paraId="7DE08BB0">
      <w:pPr>
        <w:spacing w:line="360" w:lineRule="auto"/>
        <w:ind w:firstLine="480" w:firstLineChars="200"/>
        <w:jc w:val="both"/>
        <w:rPr>
          <w:color w:val="auto"/>
          <w:sz w:val="24"/>
          <w:szCs w:val="24"/>
        </w:rPr>
      </w:pPr>
      <w:r>
        <w:rPr>
          <w:rFonts w:hint="eastAsia"/>
          <w:color w:val="auto"/>
          <w:sz w:val="24"/>
          <w:szCs w:val="24"/>
        </w:rPr>
        <w:t>属地生态环境局：环境监测、污染管控、执法指导、事件定级；</w:t>
      </w:r>
    </w:p>
    <w:p w14:paraId="2A5BC85D">
      <w:pPr>
        <w:spacing w:line="360" w:lineRule="auto"/>
        <w:ind w:firstLine="480" w:firstLineChars="200"/>
        <w:jc w:val="both"/>
        <w:rPr>
          <w:color w:val="auto"/>
          <w:sz w:val="24"/>
          <w:szCs w:val="24"/>
        </w:rPr>
      </w:pPr>
      <w:r>
        <w:rPr>
          <w:rFonts w:hint="eastAsia"/>
          <w:color w:val="auto"/>
          <w:sz w:val="24"/>
          <w:szCs w:val="24"/>
        </w:rPr>
        <w:t>消防救援大队：火灾扑救、危化品抢险、人员救援；</w:t>
      </w:r>
    </w:p>
    <w:p w14:paraId="1E226124">
      <w:pPr>
        <w:spacing w:line="360" w:lineRule="auto"/>
        <w:ind w:firstLine="480" w:firstLineChars="200"/>
        <w:jc w:val="both"/>
        <w:rPr>
          <w:color w:val="auto"/>
          <w:sz w:val="24"/>
          <w:szCs w:val="24"/>
        </w:rPr>
      </w:pPr>
      <w:r>
        <w:rPr>
          <w:rFonts w:hint="eastAsia"/>
          <w:color w:val="auto"/>
          <w:sz w:val="24"/>
          <w:szCs w:val="24"/>
        </w:rPr>
        <w:t>卫健部门：人员中毒、灼伤应急救治；</w:t>
      </w:r>
    </w:p>
    <w:p w14:paraId="27F57540">
      <w:pPr>
        <w:spacing w:line="360" w:lineRule="auto"/>
        <w:ind w:firstLine="480" w:firstLineChars="200"/>
        <w:jc w:val="both"/>
        <w:rPr>
          <w:color w:val="auto"/>
          <w:sz w:val="24"/>
          <w:szCs w:val="24"/>
        </w:rPr>
      </w:pPr>
      <w:r>
        <w:rPr>
          <w:rFonts w:hint="eastAsia"/>
          <w:color w:val="auto"/>
          <w:sz w:val="24"/>
          <w:szCs w:val="24"/>
        </w:rPr>
        <w:t>周边企业及村居：重大事件时预警告知、疏散联动。</w:t>
      </w:r>
    </w:p>
    <w:p w14:paraId="0E9FE38E">
      <w:pPr>
        <w:pStyle w:val="5"/>
        <w:rPr>
          <w:color w:val="auto"/>
        </w:rPr>
      </w:pPr>
      <w:r>
        <w:rPr>
          <w:rFonts w:hint="eastAsia"/>
          <w:color w:val="auto"/>
        </w:rPr>
        <w:t>联动触发流程</w:t>
      </w:r>
    </w:p>
    <w:p w14:paraId="26E9871E">
      <w:pPr>
        <w:spacing w:line="360" w:lineRule="auto"/>
        <w:ind w:firstLine="480" w:firstLineChars="200"/>
        <w:jc w:val="both"/>
        <w:rPr>
          <w:color w:val="auto"/>
          <w:sz w:val="24"/>
          <w:szCs w:val="24"/>
        </w:rPr>
      </w:pPr>
      <w:r>
        <w:rPr>
          <w:rFonts w:hint="eastAsia"/>
          <w:color w:val="auto"/>
          <w:sz w:val="24"/>
          <w:szCs w:val="24"/>
        </w:rPr>
        <w:t>现场发现人→车间负责人→安环部→公司应急指挥部→分级研判→内部全员联动→超 Ⅱ 级立即上报园区及生态环境部门→配合政府统一处置。</w:t>
      </w:r>
    </w:p>
    <w:p w14:paraId="67F15D24">
      <w:pPr>
        <w:pStyle w:val="4"/>
        <w:rPr>
          <w:color w:val="auto"/>
        </w:rPr>
      </w:pPr>
      <w:r>
        <w:rPr>
          <w:rFonts w:hint="eastAsia"/>
          <w:color w:val="auto"/>
        </w:rPr>
        <w:t>应急物资清单</w:t>
      </w:r>
    </w:p>
    <w:p w14:paraId="318F26B7">
      <w:pPr>
        <w:numPr>
          <w:ilvl w:val="0"/>
          <w:numId w:val="30"/>
        </w:numPr>
        <w:spacing w:line="360" w:lineRule="auto"/>
        <w:ind w:firstLine="480" w:firstLineChars="200"/>
        <w:jc w:val="both"/>
        <w:rPr>
          <w:color w:val="auto"/>
          <w:sz w:val="24"/>
          <w:szCs w:val="24"/>
        </w:rPr>
      </w:pPr>
      <w:r>
        <w:rPr>
          <w:rFonts w:hint="eastAsia"/>
          <w:color w:val="auto"/>
          <w:sz w:val="24"/>
          <w:szCs w:val="24"/>
        </w:rPr>
        <w:t>个体防护类</w:t>
      </w:r>
      <w:r>
        <w:rPr>
          <w:rFonts w:hint="eastAsia"/>
          <w:color w:val="auto"/>
          <w:sz w:val="24"/>
          <w:szCs w:val="24"/>
          <w:lang w:eastAsia="zh-CN"/>
        </w:rPr>
        <w:t>：</w:t>
      </w:r>
      <w:r>
        <w:rPr>
          <w:rFonts w:hint="eastAsia"/>
          <w:color w:val="auto"/>
          <w:sz w:val="24"/>
          <w:szCs w:val="24"/>
        </w:rPr>
        <w:t>耐酸碱防护服、防化服防毒面具（防氨气、酸性气体、有机蒸气）、滤毒罐防尘口罩、N95 口罩 耐酸碱橡胶手套、防化靴 防护眼罩、面屏、安全帽</w:t>
      </w:r>
      <w:r>
        <w:rPr>
          <w:rFonts w:hint="eastAsia"/>
          <w:color w:val="auto"/>
          <w:sz w:val="24"/>
          <w:szCs w:val="24"/>
          <w:lang w:eastAsia="zh-CN"/>
        </w:rPr>
        <w:t>。</w:t>
      </w:r>
    </w:p>
    <w:p w14:paraId="5BCCFEE3">
      <w:pPr>
        <w:numPr>
          <w:ilvl w:val="0"/>
          <w:numId w:val="30"/>
        </w:numPr>
        <w:spacing w:line="360" w:lineRule="auto"/>
        <w:ind w:firstLine="480" w:firstLineChars="200"/>
        <w:jc w:val="both"/>
        <w:rPr>
          <w:color w:val="auto"/>
          <w:sz w:val="24"/>
          <w:szCs w:val="24"/>
        </w:rPr>
      </w:pPr>
      <w:r>
        <w:rPr>
          <w:rFonts w:hint="eastAsia"/>
          <w:color w:val="auto"/>
          <w:sz w:val="24"/>
          <w:szCs w:val="24"/>
        </w:rPr>
        <w:t>泄漏封堵吸附类：应急沙土、吸附棉、吸油毡、围油栏 酸碱中和粉剂（生石灰、碳酸钠、小苏打） 堵漏胶棒、管道堵漏卡箍、临时封堵挡板 塑料防渗膜、应急围堰沙袋专用废液收集桶、防渗收集槽 。</w:t>
      </w:r>
    </w:p>
    <w:p w14:paraId="625B4472">
      <w:pPr>
        <w:numPr>
          <w:ilvl w:val="0"/>
          <w:numId w:val="30"/>
        </w:numPr>
        <w:spacing w:line="360" w:lineRule="auto"/>
        <w:ind w:firstLine="480" w:firstLineChars="200"/>
        <w:jc w:val="both"/>
        <w:rPr>
          <w:color w:val="auto"/>
          <w:sz w:val="24"/>
          <w:szCs w:val="24"/>
        </w:rPr>
      </w:pPr>
      <w:r>
        <w:rPr>
          <w:rFonts w:hint="eastAsia"/>
          <w:color w:val="auto"/>
          <w:sz w:val="24"/>
          <w:szCs w:val="24"/>
        </w:rPr>
        <w:t>消防与灭火类：干粉灭火器、二氧化碳灭火器 消防沙、消防水带、消火栓 灭火毯、防火隔离装备。</w:t>
      </w:r>
    </w:p>
    <w:p w14:paraId="625DBE86">
      <w:pPr>
        <w:numPr>
          <w:ilvl w:val="0"/>
          <w:numId w:val="30"/>
        </w:numPr>
        <w:spacing w:line="360" w:lineRule="auto"/>
        <w:ind w:firstLine="480" w:firstLineChars="200"/>
        <w:jc w:val="both"/>
        <w:rPr>
          <w:color w:val="auto"/>
          <w:sz w:val="24"/>
          <w:szCs w:val="24"/>
        </w:rPr>
      </w:pPr>
      <w:r>
        <w:rPr>
          <w:rFonts w:hint="eastAsia"/>
          <w:color w:val="auto"/>
          <w:sz w:val="24"/>
          <w:szCs w:val="24"/>
        </w:rPr>
        <w:t>废水废气应急管控类：雨水排口应急封堵气囊、封堵挡板 临时应急水泵、软管、中转储罐便携式氨气检测仪、NOₓ检测仪、可燃气体检测仪 便携式 pH 试纸 / 快速检测试剂盒 移动式喷雾降尘、喷淋中和装置。</w:t>
      </w:r>
    </w:p>
    <w:p w14:paraId="41631736">
      <w:pPr>
        <w:numPr>
          <w:ilvl w:val="0"/>
          <w:numId w:val="30"/>
        </w:numPr>
        <w:spacing w:line="360" w:lineRule="auto"/>
        <w:ind w:firstLine="480" w:firstLineChars="200"/>
        <w:jc w:val="both"/>
        <w:rPr>
          <w:color w:val="auto"/>
          <w:sz w:val="24"/>
          <w:szCs w:val="24"/>
        </w:rPr>
      </w:pPr>
      <w:r>
        <w:rPr>
          <w:rFonts w:hint="eastAsia"/>
          <w:color w:val="auto"/>
          <w:sz w:val="24"/>
          <w:szCs w:val="24"/>
        </w:rPr>
        <w:t>现场应急后勤类：应急照明灯具、对讲机、警戒带、警示标识 急救箱（灼伤、外伤、中毒急救药品）应急担架、洗眼器、紧急冲淋装置（车间固定 + 移动式） 应急台账记录表、通讯联络表、应急组织架构图。</w:t>
      </w:r>
    </w:p>
    <w:p w14:paraId="117E481D">
      <w:pPr>
        <w:numPr>
          <w:ilvl w:val="0"/>
          <w:numId w:val="30"/>
        </w:numPr>
        <w:spacing w:line="360" w:lineRule="auto"/>
        <w:ind w:firstLine="480" w:firstLineChars="200"/>
        <w:jc w:val="both"/>
        <w:rPr>
          <w:color w:val="auto"/>
          <w:sz w:val="24"/>
          <w:szCs w:val="24"/>
        </w:rPr>
      </w:pPr>
      <w:r>
        <w:rPr>
          <w:rFonts w:hint="eastAsia"/>
          <w:color w:val="auto"/>
          <w:sz w:val="24"/>
          <w:szCs w:val="24"/>
        </w:rPr>
        <w:t>专项适配物资：氨水泄漏专用吸附中和物资重金属物料专用收集密封袋、防渗周转桶焙烧炉、SCR系统应急备用氨水药剂、管道阀门备件 酸性废酸专用中和、防渗应急套件。</w:t>
      </w:r>
    </w:p>
    <w:p w14:paraId="34A13DAD">
      <w:pPr>
        <w:spacing w:line="360" w:lineRule="auto"/>
        <w:ind w:firstLine="480" w:firstLineChars="200"/>
        <w:jc w:val="both"/>
        <w:rPr>
          <w:color w:val="auto"/>
          <w:sz w:val="24"/>
          <w:szCs w:val="24"/>
        </w:rPr>
      </w:pPr>
      <w:r>
        <w:rPr>
          <w:rFonts w:hint="eastAsia"/>
          <w:color w:val="auto"/>
          <w:sz w:val="24"/>
          <w:szCs w:val="24"/>
        </w:rPr>
        <w:t>新疆斯诺环保科技有限公司应建立企业环境风险应急机制，加强厂区生产车间及其阀门、管道等巡查、监视力度，强化风险管理，强化对员工的职业素质教育，杜绝违章作业。生产车间应配备防毒面具等应急器材。</w:t>
      </w:r>
    </w:p>
    <w:p w14:paraId="28C7F815">
      <w:pPr>
        <w:spacing w:line="360" w:lineRule="auto"/>
        <w:ind w:firstLine="480" w:firstLineChars="200"/>
        <w:jc w:val="both"/>
        <w:rPr>
          <w:color w:val="auto"/>
          <w:sz w:val="24"/>
          <w:szCs w:val="24"/>
        </w:rPr>
      </w:pPr>
      <w:r>
        <w:rPr>
          <w:rFonts w:hint="eastAsia"/>
          <w:color w:val="auto"/>
          <w:sz w:val="24"/>
          <w:szCs w:val="24"/>
        </w:rPr>
        <w:t>应急预案的主要内容</w:t>
      </w:r>
      <w:r>
        <w:rPr>
          <w:rStyle w:val="133"/>
          <w:rFonts w:hint="eastAsia"/>
          <w:color w:val="auto"/>
        </w:rPr>
        <w:t>见</w:t>
      </w:r>
      <w:r>
        <w:rPr>
          <w:rStyle w:val="133"/>
          <w:rFonts w:hint="eastAsia"/>
          <w:color w:val="auto"/>
        </w:rPr>
        <w:fldChar w:fldCharType="begin"/>
      </w:r>
      <w:r>
        <w:rPr>
          <w:rStyle w:val="133"/>
          <w:rFonts w:hint="eastAsia"/>
          <w:color w:val="auto"/>
        </w:rPr>
        <w:instrText xml:space="preserve"> REF _Ref13069 \h </w:instrText>
      </w:r>
      <w:r>
        <w:rPr>
          <w:rStyle w:val="133"/>
          <w:color w:val="auto"/>
        </w:rPr>
        <w:instrText xml:space="preserve"> \* MERGEFORMAT </w:instrText>
      </w:r>
      <w:r>
        <w:rPr>
          <w:rStyle w:val="133"/>
          <w:rFonts w:hint="eastAsia"/>
          <w:color w:val="auto"/>
        </w:rPr>
        <w:fldChar w:fldCharType="separate"/>
      </w:r>
      <w:r>
        <w:rPr>
          <w:rStyle w:val="133"/>
          <w:rFonts w:hint="eastAsia"/>
          <w:color w:val="auto"/>
        </w:rPr>
        <w:t>表 7.9-1</w:t>
      </w:r>
      <w:r>
        <w:rPr>
          <w:rStyle w:val="133"/>
          <w:rFonts w:hint="eastAsia"/>
          <w:color w:val="auto"/>
        </w:rPr>
        <w:fldChar w:fldCharType="end"/>
      </w:r>
      <w:r>
        <w:rPr>
          <w:rStyle w:val="133"/>
          <w:rFonts w:hint="eastAsia"/>
          <w:color w:val="auto"/>
        </w:rPr>
        <w:t>。</w:t>
      </w:r>
    </w:p>
    <w:p w14:paraId="1A84F621">
      <w:pPr>
        <w:spacing w:before="163" w:beforeLines="50"/>
        <w:jc w:val="center"/>
        <w:rPr>
          <w:rFonts w:eastAsia="黑体"/>
          <w:color w:val="auto"/>
          <w:sz w:val="24"/>
          <w:szCs w:val="24"/>
        </w:rPr>
      </w:pPr>
      <w:bookmarkStart w:id="407" w:name="_Ref13069"/>
      <w:r>
        <w:rPr>
          <w:rFonts w:hint="eastAsia" w:eastAsia="黑体"/>
          <w:color w:val="auto"/>
          <w:sz w:val="24"/>
          <w:szCs w:val="24"/>
        </w:rPr>
        <w:t xml:space="preserve">表 </w:t>
      </w:r>
      <w:r>
        <w:rPr>
          <w:rFonts w:eastAsia="黑体"/>
          <w:color w:val="auto"/>
          <w:sz w:val="24"/>
          <w:szCs w:val="24"/>
        </w:rPr>
        <w:fldChar w:fldCharType="begin"/>
      </w:r>
      <w:r>
        <w:rPr>
          <w:rFonts w:eastAsia="黑体"/>
          <w:color w:val="auto"/>
          <w:sz w:val="24"/>
          <w:szCs w:val="24"/>
        </w:rPr>
        <w:instrText xml:space="preserve"> </w:instrText>
      </w:r>
      <w:r>
        <w:rPr>
          <w:rFonts w:hint="eastAsia" w:eastAsia="黑体"/>
          <w:color w:val="auto"/>
          <w:sz w:val="24"/>
          <w:szCs w:val="24"/>
        </w:rPr>
        <w:instrText xml:space="preserve">STYLEREF 3 \s</w:instrText>
      </w:r>
      <w:r>
        <w:rPr>
          <w:rFonts w:eastAsia="黑体"/>
          <w:color w:val="auto"/>
          <w:sz w:val="24"/>
          <w:szCs w:val="24"/>
        </w:rPr>
        <w:instrText xml:space="preserve"> </w:instrText>
      </w:r>
      <w:r>
        <w:rPr>
          <w:rFonts w:eastAsia="黑体"/>
          <w:color w:val="auto"/>
          <w:sz w:val="24"/>
          <w:szCs w:val="24"/>
        </w:rPr>
        <w:fldChar w:fldCharType="separate"/>
      </w:r>
      <w:r>
        <w:rPr>
          <w:rFonts w:eastAsia="黑体"/>
          <w:color w:val="auto"/>
          <w:sz w:val="24"/>
          <w:szCs w:val="24"/>
        </w:rPr>
        <w:t>7</w:t>
      </w:r>
      <w:r>
        <w:rPr>
          <w:rFonts w:hint="eastAsia" w:eastAsia="黑体"/>
          <w:color w:val="auto"/>
          <w:sz w:val="24"/>
          <w:szCs w:val="24"/>
        </w:rPr>
        <w:t>.9</w:t>
      </w:r>
      <w:r>
        <w:rPr>
          <w:rFonts w:eastAsia="黑体"/>
          <w:color w:val="auto"/>
          <w:sz w:val="24"/>
          <w:szCs w:val="24"/>
        </w:rPr>
        <w:fldChar w:fldCharType="end"/>
      </w:r>
      <w:r>
        <w:rPr>
          <w:rFonts w:eastAsia="黑体"/>
          <w:color w:val="auto"/>
          <w:sz w:val="24"/>
          <w:szCs w:val="24"/>
        </w:rPr>
        <w:noBreakHyphen/>
      </w:r>
      <w:bookmarkEnd w:id="407"/>
      <w:r>
        <w:rPr>
          <w:rFonts w:hint="eastAsia" w:eastAsia="黑体"/>
          <w:color w:val="auto"/>
          <w:sz w:val="24"/>
          <w:szCs w:val="24"/>
        </w:rPr>
        <w:t xml:space="preserve">1  </w:t>
      </w:r>
      <w:r>
        <w:rPr>
          <w:rFonts w:hint="eastAsia" w:ascii="黑体" w:hAnsi="黑体" w:eastAsia="黑体"/>
          <w:color w:val="auto"/>
          <w:sz w:val="24"/>
          <w:szCs w:val="24"/>
        </w:rPr>
        <w:t>应急预案主要内容一览表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597"/>
        <w:gridCol w:w="2739"/>
        <w:gridCol w:w="5450"/>
      </w:tblGrid>
      <w:tr w14:paraId="38D760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79E301D0">
            <w:pPr>
              <w:widowControl w:val="0"/>
              <w:spacing w:line="360" w:lineRule="exact"/>
              <w:jc w:val="center"/>
              <w:rPr>
                <w:color w:val="auto"/>
                <w:sz w:val="21"/>
                <w:szCs w:val="21"/>
              </w:rPr>
            </w:pPr>
            <w:r>
              <w:rPr>
                <w:color w:val="auto"/>
                <w:sz w:val="21"/>
                <w:szCs w:val="21"/>
              </w:rPr>
              <w:t>序号</w:t>
            </w:r>
          </w:p>
        </w:tc>
        <w:tc>
          <w:tcPr>
            <w:tcW w:w="1559" w:type="pct"/>
            <w:vAlign w:val="center"/>
          </w:tcPr>
          <w:p w14:paraId="14C980C0">
            <w:pPr>
              <w:widowControl w:val="0"/>
              <w:spacing w:line="360" w:lineRule="exact"/>
              <w:jc w:val="center"/>
              <w:rPr>
                <w:color w:val="auto"/>
                <w:sz w:val="21"/>
                <w:szCs w:val="21"/>
              </w:rPr>
            </w:pPr>
            <w:r>
              <w:rPr>
                <w:color w:val="auto"/>
                <w:sz w:val="21"/>
                <w:szCs w:val="21"/>
              </w:rPr>
              <w:t>项目</w:t>
            </w:r>
          </w:p>
        </w:tc>
        <w:tc>
          <w:tcPr>
            <w:tcW w:w="3101" w:type="pct"/>
            <w:vAlign w:val="center"/>
          </w:tcPr>
          <w:p w14:paraId="115D06B7">
            <w:pPr>
              <w:widowControl w:val="0"/>
              <w:spacing w:line="360" w:lineRule="exact"/>
              <w:jc w:val="center"/>
              <w:rPr>
                <w:color w:val="auto"/>
                <w:sz w:val="21"/>
                <w:szCs w:val="21"/>
              </w:rPr>
            </w:pPr>
            <w:r>
              <w:rPr>
                <w:color w:val="auto"/>
                <w:sz w:val="21"/>
                <w:szCs w:val="21"/>
              </w:rPr>
              <w:t>内容及要求</w:t>
            </w:r>
          </w:p>
        </w:tc>
      </w:tr>
      <w:tr w14:paraId="3EC852D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399C81BC">
            <w:pPr>
              <w:widowControl w:val="0"/>
              <w:spacing w:line="360" w:lineRule="exact"/>
              <w:jc w:val="center"/>
              <w:rPr>
                <w:color w:val="auto"/>
                <w:sz w:val="21"/>
                <w:szCs w:val="21"/>
              </w:rPr>
            </w:pPr>
            <w:r>
              <w:rPr>
                <w:color w:val="auto"/>
                <w:sz w:val="21"/>
                <w:szCs w:val="21"/>
              </w:rPr>
              <w:t>1</w:t>
            </w:r>
          </w:p>
        </w:tc>
        <w:tc>
          <w:tcPr>
            <w:tcW w:w="1559" w:type="pct"/>
            <w:vAlign w:val="center"/>
          </w:tcPr>
          <w:p w14:paraId="4429CE3B">
            <w:pPr>
              <w:widowControl w:val="0"/>
              <w:spacing w:line="360" w:lineRule="exact"/>
              <w:jc w:val="center"/>
              <w:rPr>
                <w:color w:val="auto"/>
                <w:sz w:val="21"/>
                <w:szCs w:val="21"/>
              </w:rPr>
            </w:pPr>
            <w:r>
              <w:rPr>
                <w:color w:val="auto"/>
                <w:sz w:val="21"/>
                <w:szCs w:val="21"/>
              </w:rPr>
              <w:t>应急计划区</w:t>
            </w:r>
          </w:p>
        </w:tc>
        <w:tc>
          <w:tcPr>
            <w:tcW w:w="3101" w:type="pct"/>
            <w:vAlign w:val="center"/>
          </w:tcPr>
          <w:p w14:paraId="12D98B79">
            <w:pPr>
              <w:widowControl w:val="0"/>
              <w:spacing w:line="360" w:lineRule="exact"/>
              <w:jc w:val="center"/>
              <w:rPr>
                <w:color w:val="auto"/>
                <w:sz w:val="21"/>
                <w:szCs w:val="21"/>
              </w:rPr>
            </w:pPr>
            <w:r>
              <w:rPr>
                <w:color w:val="auto"/>
                <w:sz w:val="21"/>
                <w:szCs w:val="21"/>
              </w:rPr>
              <w:t>危险目标：</w:t>
            </w:r>
            <w:r>
              <w:rPr>
                <w:rFonts w:hint="eastAsia"/>
                <w:color w:val="auto"/>
                <w:sz w:val="21"/>
                <w:szCs w:val="21"/>
              </w:rPr>
              <w:t>危险废物处置车间、原料库房、液氮罐区</w:t>
            </w:r>
            <w:r>
              <w:rPr>
                <w:color w:val="auto"/>
                <w:sz w:val="21"/>
                <w:szCs w:val="21"/>
              </w:rPr>
              <w:t xml:space="preserve"> </w:t>
            </w:r>
          </w:p>
        </w:tc>
      </w:tr>
      <w:tr w14:paraId="1E083B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261F9AB7">
            <w:pPr>
              <w:widowControl w:val="0"/>
              <w:spacing w:line="360" w:lineRule="exact"/>
              <w:jc w:val="center"/>
              <w:rPr>
                <w:color w:val="auto"/>
                <w:sz w:val="21"/>
                <w:szCs w:val="21"/>
              </w:rPr>
            </w:pPr>
            <w:r>
              <w:rPr>
                <w:color w:val="auto"/>
                <w:sz w:val="21"/>
                <w:szCs w:val="21"/>
              </w:rPr>
              <w:t>2</w:t>
            </w:r>
          </w:p>
        </w:tc>
        <w:tc>
          <w:tcPr>
            <w:tcW w:w="1559" w:type="pct"/>
            <w:vAlign w:val="center"/>
          </w:tcPr>
          <w:p w14:paraId="257F1B53">
            <w:pPr>
              <w:widowControl w:val="0"/>
              <w:spacing w:line="360" w:lineRule="exact"/>
              <w:jc w:val="center"/>
              <w:rPr>
                <w:color w:val="auto"/>
                <w:sz w:val="21"/>
                <w:szCs w:val="21"/>
              </w:rPr>
            </w:pPr>
            <w:r>
              <w:rPr>
                <w:color w:val="auto"/>
                <w:sz w:val="21"/>
                <w:szCs w:val="21"/>
              </w:rPr>
              <w:t>应急组织机构、人员</w:t>
            </w:r>
          </w:p>
        </w:tc>
        <w:tc>
          <w:tcPr>
            <w:tcW w:w="3101" w:type="pct"/>
            <w:vAlign w:val="center"/>
          </w:tcPr>
          <w:p w14:paraId="18480583">
            <w:pPr>
              <w:widowControl w:val="0"/>
              <w:spacing w:line="360" w:lineRule="exact"/>
              <w:jc w:val="center"/>
              <w:rPr>
                <w:color w:val="auto"/>
                <w:sz w:val="21"/>
                <w:szCs w:val="21"/>
              </w:rPr>
            </w:pPr>
            <w:r>
              <w:rPr>
                <w:color w:val="auto"/>
                <w:sz w:val="21"/>
                <w:szCs w:val="21"/>
              </w:rPr>
              <w:t>厂区、地区应急组织机构、人员</w:t>
            </w:r>
          </w:p>
        </w:tc>
      </w:tr>
      <w:tr w14:paraId="3D3DAC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3CE226BB">
            <w:pPr>
              <w:widowControl w:val="0"/>
              <w:spacing w:line="360" w:lineRule="exact"/>
              <w:jc w:val="center"/>
              <w:rPr>
                <w:color w:val="auto"/>
                <w:sz w:val="21"/>
                <w:szCs w:val="21"/>
              </w:rPr>
            </w:pPr>
            <w:r>
              <w:rPr>
                <w:color w:val="auto"/>
                <w:sz w:val="21"/>
                <w:szCs w:val="21"/>
              </w:rPr>
              <w:t>3</w:t>
            </w:r>
          </w:p>
        </w:tc>
        <w:tc>
          <w:tcPr>
            <w:tcW w:w="1559" w:type="pct"/>
            <w:vAlign w:val="center"/>
          </w:tcPr>
          <w:p w14:paraId="4AF4B3D7">
            <w:pPr>
              <w:widowControl w:val="0"/>
              <w:spacing w:line="360" w:lineRule="exact"/>
              <w:jc w:val="center"/>
              <w:rPr>
                <w:color w:val="auto"/>
                <w:sz w:val="21"/>
                <w:szCs w:val="21"/>
              </w:rPr>
            </w:pPr>
            <w:r>
              <w:rPr>
                <w:color w:val="auto"/>
                <w:sz w:val="21"/>
                <w:szCs w:val="21"/>
              </w:rPr>
              <w:t>预案分级响应条件</w:t>
            </w:r>
          </w:p>
        </w:tc>
        <w:tc>
          <w:tcPr>
            <w:tcW w:w="3101" w:type="pct"/>
            <w:vAlign w:val="center"/>
          </w:tcPr>
          <w:p w14:paraId="28A42C21">
            <w:pPr>
              <w:widowControl w:val="0"/>
              <w:spacing w:line="360" w:lineRule="exact"/>
              <w:jc w:val="center"/>
              <w:rPr>
                <w:color w:val="auto"/>
                <w:sz w:val="21"/>
                <w:szCs w:val="21"/>
              </w:rPr>
            </w:pPr>
            <w:r>
              <w:rPr>
                <w:color w:val="auto"/>
                <w:sz w:val="21"/>
                <w:szCs w:val="21"/>
              </w:rPr>
              <w:t>规定预案级别，分级响应程序及条件</w:t>
            </w:r>
          </w:p>
        </w:tc>
      </w:tr>
      <w:tr w14:paraId="4C57C4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020EB0E5">
            <w:pPr>
              <w:widowControl w:val="0"/>
              <w:spacing w:line="360" w:lineRule="exact"/>
              <w:jc w:val="center"/>
              <w:rPr>
                <w:color w:val="auto"/>
                <w:sz w:val="21"/>
                <w:szCs w:val="21"/>
              </w:rPr>
            </w:pPr>
            <w:r>
              <w:rPr>
                <w:color w:val="auto"/>
                <w:sz w:val="21"/>
                <w:szCs w:val="21"/>
              </w:rPr>
              <w:t>4</w:t>
            </w:r>
          </w:p>
        </w:tc>
        <w:tc>
          <w:tcPr>
            <w:tcW w:w="1559" w:type="pct"/>
            <w:vAlign w:val="center"/>
          </w:tcPr>
          <w:p w14:paraId="08A4FC3D">
            <w:pPr>
              <w:widowControl w:val="0"/>
              <w:spacing w:line="360" w:lineRule="exact"/>
              <w:jc w:val="center"/>
              <w:rPr>
                <w:color w:val="auto"/>
                <w:sz w:val="21"/>
                <w:szCs w:val="21"/>
              </w:rPr>
            </w:pPr>
            <w:r>
              <w:rPr>
                <w:color w:val="auto"/>
                <w:sz w:val="21"/>
                <w:szCs w:val="21"/>
              </w:rPr>
              <w:t>应急救援保障</w:t>
            </w:r>
          </w:p>
        </w:tc>
        <w:tc>
          <w:tcPr>
            <w:tcW w:w="3101" w:type="pct"/>
            <w:vAlign w:val="center"/>
          </w:tcPr>
          <w:p w14:paraId="3C6D68BC">
            <w:pPr>
              <w:widowControl w:val="0"/>
              <w:spacing w:line="360" w:lineRule="exact"/>
              <w:jc w:val="center"/>
              <w:rPr>
                <w:color w:val="auto"/>
                <w:sz w:val="21"/>
                <w:szCs w:val="21"/>
              </w:rPr>
            </w:pPr>
            <w:r>
              <w:rPr>
                <w:color w:val="auto"/>
                <w:sz w:val="21"/>
                <w:szCs w:val="21"/>
              </w:rPr>
              <w:t>应急设施、设备与器材</w:t>
            </w:r>
          </w:p>
        </w:tc>
      </w:tr>
      <w:tr w14:paraId="1B9239D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5E0A5BB4">
            <w:pPr>
              <w:widowControl w:val="0"/>
              <w:spacing w:line="360" w:lineRule="exact"/>
              <w:jc w:val="center"/>
              <w:rPr>
                <w:color w:val="auto"/>
                <w:sz w:val="21"/>
                <w:szCs w:val="21"/>
              </w:rPr>
            </w:pPr>
            <w:r>
              <w:rPr>
                <w:color w:val="auto"/>
                <w:sz w:val="21"/>
                <w:szCs w:val="21"/>
              </w:rPr>
              <w:t>5</w:t>
            </w:r>
          </w:p>
        </w:tc>
        <w:tc>
          <w:tcPr>
            <w:tcW w:w="1559" w:type="pct"/>
            <w:vAlign w:val="center"/>
          </w:tcPr>
          <w:p w14:paraId="4E6CEED1">
            <w:pPr>
              <w:widowControl w:val="0"/>
              <w:spacing w:line="360" w:lineRule="exact"/>
              <w:jc w:val="center"/>
              <w:rPr>
                <w:color w:val="auto"/>
                <w:sz w:val="21"/>
                <w:szCs w:val="21"/>
              </w:rPr>
            </w:pPr>
            <w:r>
              <w:rPr>
                <w:color w:val="auto"/>
                <w:sz w:val="21"/>
                <w:szCs w:val="21"/>
              </w:rPr>
              <w:t>报警、通讯联络方式</w:t>
            </w:r>
          </w:p>
        </w:tc>
        <w:tc>
          <w:tcPr>
            <w:tcW w:w="3101" w:type="pct"/>
            <w:vAlign w:val="center"/>
          </w:tcPr>
          <w:p w14:paraId="4412AD61">
            <w:pPr>
              <w:widowControl w:val="0"/>
              <w:spacing w:line="360" w:lineRule="exact"/>
              <w:jc w:val="center"/>
              <w:rPr>
                <w:color w:val="auto"/>
                <w:sz w:val="21"/>
                <w:szCs w:val="21"/>
              </w:rPr>
            </w:pPr>
            <w:r>
              <w:rPr>
                <w:color w:val="auto"/>
                <w:sz w:val="21"/>
                <w:szCs w:val="21"/>
              </w:rPr>
              <w:t>规定应急状态下的报警通讯方式、通知方式和交通保障、管制等相关内容</w:t>
            </w:r>
          </w:p>
        </w:tc>
      </w:tr>
      <w:tr w14:paraId="1E8A29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53C160D1">
            <w:pPr>
              <w:widowControl w:val="0"/>
              <w:spacing w:line="360" w:lineRule="exact"/>
              <w:jc w:val="center"/>
              <w:rPr>
                <w:color w:val="auto"/>
                <w:sz w:val="21"/>
                <w:szCs w:val="21"/>
              </w:rPr>
            </w:pPr>
            <w:r>
              <w:rPr>
                <w:color w:val="auto"/>
                <w:sz w:val="21"/>
                <w:szCs w:val="21"/>
              </w:rPr>
              <w:t>6</w:t>
            </w:r>
          </w:p>
        </w:tc>
        <w:tc>
          <w:tcPr>
            <w:tcW w:w="1559" w:type="pct"/>
            <w:vAlign w:val="center"/>
          </w:tcPr>
          <w:p w14:paraId="3CAC13DC">
            <w:pPr>
              <w:widowControl w:val="0"/>
              <w:spacing w:line="360" w:lineRule="exact"/>
              <w:jc w:val="center"/>
              <w:rPr>
                <w:color w:val="auto"/>
                <w:sz w:val="21"/>
                <w:szCs w:val="21"/>
              </w:rPr>
            </w:pPr>
            <w:r>
              <w:rPr>
                <w:color w:val="auto"/>
                <w:sz w:val="21"/>
                <w:szCs w:val="21"/>
              </w:rPr>
              <w:t>应急环境监测、抢险、救援及控制措施</w:t>
            </w:r>
          </w:p>
        </w:tc>
        <w:tc>
          <w:tcPr>
            <w:tcW w:w="3101" w:type="pct"/>
            <w:vAlign w:val="center"/>
          </w:tcPr>
          <w:p w14:paraId="3082A1E9">
            <w:pPr>
              <w:widowControl w:val="0"/>
              <w:spacing w:line="360" w:lineRule="exact"/>
              <w:jc w:val="center"/>
              <w:rPr>
                <w:color w:val="auto"/>
                <w:sz w:val="21"/>
                <w:szCs w:val="21"/>
              </w:rPr>
            </w:pPr>
            <w:r>
              <w:rPr>
                <w:color w:val="auto"/>
                <w:sz w:val="21"/>
                <w:szCs w:val="21"/>
              </w:rPr>
              <w:t>由专业队伍负责对事故现场进行侦察监测，对事故性质、参数与后果进行评估，为指挥部门提供决策依据</w:t>
            </w:r>
          </w:p>
        </w:tc>
      </w:tr>
      <w:tr w14:paraId="1BC47F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35786C54">
            <w:pPr>
              <w:widowControl w:val="0"/>
              <w:spacing w:line="360" w:lineRule="exact"/>
              <w:jc w:val="center"/>
              <w:rPr>
                <w:color w:val="auto"/>
                <w:sz w:val="21"/>
                <w:szCs w:val="21"/>
              </w:rPr>
            </w:pPr>
            <w:r>
              <w:rPr>
                <w:color w:val="auto"/>
                <w:sz w:val="21"/>
                <w:szCs w:val="21"/>
              </w:rPr>
              <w:t>7</w:t>
            </w:r>
          </w:p>
        </w:tc>
        <w:tc>
          <w:tcPr>
            <w:tcW w:w="1559" w:type="pct"/>
            <w:vAlign w:val="center"/>
          </w:tcPr>
          <w:p w14:paraId="67E0A190">
            <w:pPr>
              <w:widowControl w:val="0"/>
              <w:spacing w:line="360" w:lineRule="exact"/>
              <w:jc w:val="center"/>
              <w:rPr>
                <w:color w:val="auto"/>
                <w:sz w:val="21"/>
                <w:szCs w:val="21"/>
              </w:rPr>
            </w:pPr>
            <w:r>
              <w:rPr>
                <w:color w:val="auto"/>
                <w:sz w:val="21"/>
                <w:szCs w:val="21"/>
              </w:rPr>
              <w:t>应急防护措施</w:t>
            </w:r>
          </w:p>
        </w:tc>
        <w:tc>
          <w:tcPr>
            <w:tcW w:w="3101" w:type="pct"/>
            <w:vAlign w:val="center"/>
          </w:tcPr>
          <w:p w14:paraId="2FA3035B">
            <w:pPr>
              <w:widowControl w:val="0"/>
              <w:spacing w:line="360" w:lineRule="exact"/>
              <w:jc w:val="center"/>
              <w:rPr>
                <w:color w:val="auto"/>
                <w:sz w:val="21"/>
                <w:szCs w:val="21"/>
              </w:rPr>
            </w:pPr>
            <w:r>
              <w:rPr>
                <w:color w:val="auto"/>
                <w:sz w:val="21"/>
                <w:szCs w:val="21"/>
              </w:rPr>
              <w:t>防火区域控制：事故现场与邻近区域；清除污染措施：事故现场与邻近区域；清除污染设备及配置</w:t>
            </w:r>
          </w:p>
        </w:tc>
      </w:tr>
      <w:tr w14:paraId="3068B6E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5C4B942D">
            <w:pPr>
              <w:widowControl w:val="0"/>
              <w:spacing w:line="360" w:lineRule="exact"/>
              <w:jc w:val="center"/>
              <w:rPr>
                <w:color w:val="auto"/>
                <w:sz w:val="21"/>
                <w:szCs w:val="21"/>
              </w:rPr>
            </w:pPr>
            <w:r>
              <w:rPr>
                <w:color w:val="auto"/>
                <w:sz w:val="21"/>
                <w:szCs w:val="21"/>
              </w:rPr>
              <w:t>8</w:t>
            </w:r>
          </w:p>
        </w:tc>
        <w:tc>
          <w:tcPr>
            <w:tcW w:w="1559" w:type="pct"/>
            <w:vAlign w:val="center"/>
          </w:tcPr>
          <w:p w14:paraId="5A807CDB">
            <w:pPr>
              <w:widowControl w:val="0"/>
              <w:spacing w:line="360" w:lineRule="exact"/>
              <w:jc w:val="center"/>
              <w:rPr>
                <w:color w:val="auto"/>
                <w:sz w:val="21"/>
                <w:szCs w:val="21"/>
              </w:rPr>
            </w:pPr>
            <w:r>
              <w:rPr>
                <w:color w:val="auto"/>
                <w:sz w:val="21"/>
                <w:szCs w:val="21"/>
              </w:rPr>
              <w:t>紧急撤离、疏散</w:t>
            </w:r>
          </w:p>
        </w:tc>
        <w:tc>
          <w:tcPr>
            <w:tcW w:w="3101" w:type="pct"/>
            <w:vAlign w:val="center"/>
          </w:tcPr>
          <w:p w14:paraId="0E42B6BA">
            <w:pPr>
              <w:widowControl w:val="0"/>
              <w:spacing w:line="360" w:lineRule="exact"/>
              <w:jc w:val="center"/>
              <w:rPr>
                <w:color w:val="auto"/>
                <w:sz w:val="21"/>
                <w:szCs w:val="21"/>
              </w:rPr>
            </w:pPr>
            <w:r>
              <w:rPr>
                <w:color w:val="auto"/>
                <w:sz w:val="21"/>
                <w:szCs w:val="21"/>
              </w:rPr>
              <w:t>毒物应急剂量控制：事故现场、厂区、邻近区；撤离组织计划；医疗救护；公众健康</w:t>
            </w:r>
          </w:p>
        </w:tc>
      </w:tr>
      <w:tr w14:paraId="118A4C4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3C3D20F2">
            <w:pPr>
              <w:widowControl w:val="0"/>
              <w:spacing w:line="360" w:lineRule="exact"/>
              <w:jc w:val="center"/>
              <w:rPr>
                <w:color w:val="auto"/>
                <w:sz w:val="21"/>
                <w:szCs w:val="21"/>
              </w:rPr>
            </w:pPr>
            <w:r>
              <w:rPr>
                <w:color w:val="auto"/>
                <w:sz w:val="21"/>
                <w:szCs w:val="21"/>
              </w:rPr>
              <w:t>9</w:t>
            </w:r>
          </w:p>
        </w:tc>
        <w:tc>
          <w:tcPr>
            <w:tcW w:w="1559" w:type="pct"/>
            <w:vAlign w:val="center"/>
          </w:tcPr>
          <w:p w14:paraId="1025AEC5">
            <w:pPr>
              <w:widowControl w:val="0"/>
              <w:spacing w:line="360" w:lineRule="exact"/>
              <w:jc w:val="center"/>
              <w:rPr>
                <w:color w:val="auto"/>
                <w:sz w:val="21"/>
                <w:szCs w:val="21"/>
              </w:rPr>
            </w:pPr>
            <w:r>
              <w:rPr>
                <w:color w:val="auto"/>
                <w:sz w:val="21"/>
                <w:szCs w:val="21"/>
              </w:rPr>
              <w:t>应急救援关闭程序与恢复措施</w:t>
            </w:r>
          </w:p>
        </w:tc>
        <w:tc>
          <w:tcPr>
            <w:tcW w:w="3101" w:type="pct"/>
            <w:vAlign w:val="center"/>
          </w:tcPr>
          <w:p w14:paraId="10AE80A7">
            <w:pPr>
              <w:widowControl w:val="0"/>
              <w:spacing w:line="360" w:lineRule="exact"/>
              <w:jc w:val="center"/>
              <w:rPr>
                <w:color w:val="auto"/>
                <w:sz w:val="21"/>
                <w:szCs w:val="21"/>
              </w:rPr>
            </w:pPr>
            <w:r>
              <w:rPr>
                <w:color w:val="auto"/>
                <w:sz w:val="21"/>
                <w:szCs w:val="21"/>
              </w:rPr>
              <w:t>规定应急状态终止程序；事故现场善后处理，恢复措施；邻近区域接触事故警戒及善后恢复措施</w:t>
            </w:r>
          </w:p>
        </w:tc>
      </w:tr>
      <w:tr w14:paraId="22BE4CB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019D0FD2">
            <w:pPr>
              <w:widowControl w:val="0"/>
              <w:spacing w:line="360" w:lineRule="exact"/>
              <w:jc w:val="center"/>
              <w:rPr>
                <w:color w:val="auto"/>
                <w:sz w:val="21"/>
                <w:szCs w:val="21"/>
              </w:rPr>
            </w:pPr>
            <w:r>
              <w:rPr>
                <w:color w:val="auto"/>
                <w:sz w:val="21"/>
                <w:szCs w:val="21"/>
              </w:rPr>
              <w:t>10</w:t>
            </w:r>
          </w:p>
        </w:tc>
        <w:tc>
          <w:tcPr>
            <w:tcW w:w="1559" w:type="pct"/>
            <w:vAlign w:val="center"/>
          </w:tcPr>
          <w:p w14:paraId="01749E78">
            <w:pPr>
              <w:widowControl w:val="0"/>
              <w:spacing w:line="360" w:lineRule="exact"/>
              <w:jc w:val="center"/>
              <w:rPr>
                <w:color w:val="auto"/>
                <w:sz w:val="21"/>
                <w:szCs w:val="21"/>
              </w:rPr>
            </w:pPr>
            <w:r>
              <w:rPr>
                <w:color w:val="auto"/>
                <w:sz w:val="21"/>
                <w:szCs w:val="21"/>
              </w:rPr>
              <w:t>培训计划</w:t>
            </w:r>
          </w:p>
        </w:tc>
        <w:tc>
          <w:tcPr>
            <w:tcW w:w="3101" w:type="pct"/>
            <w:vAlign w:val="center"/>
          </w:tcPr>
          <w:p w14:paraId="71F01764">
            <w:pPr>
              <w:widowControl w:val="0"/>
              <w:spacing w:line="360" w:lineRule="exact"/>
              <w:jc w:val="center"/>
              <w:rPr>
                <w:color w:val="auto"/>
                <w:sz w:val="21"/>
                <w:szCs w:val="21"/>
              </w:rPr>
            </w:pPr>
            <w:r>
              <w:rPr>
                <w:color w:val="auto"/>
                <w:sz w:val="21"/>
                <w:szCs w:val="21"/>
              </w:rPr>
              <w:t>人员培训；应急预案演练</w:t>
            </w:r>
          </w:p>
        </w:tc>
      </w:tr>
      <w:tr w14:paraId="1749E5C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27" w:hRule="atLeast"/>
        </w:trPr>
        <w:tc>
          <w:tcPr>
            <w:tcW w:w="340" w:type="pct"/>
            <w:vAlign w:val="center"/>
          </w:tcPr>
          <w:p w14:paraId="799159CC">
            <w:pPr>
              <w:widowControl w:val="0"/>
              <w:spacing w:line="360" w:lineRule="exact"/>
              <w:jc w:val="center"/>
              <w:rPr>
                <w:color w:val="auto"/>
                <w:sz w:val="21"/>
                <w:szCs w:val="21"/>
              </w:rPr>
            </w:pPr>
            <w:r>
              <w:rPr>
                <w:color w:val="auto"/>
                <w:sz w:val="21"/>
                <w:szCs w:val="21"/>
              </w:rPr>
              <w:t>11</w:t>
            </w:r>
          </w:p>
        </w:tc>
        <w:tc>
          <w:tcPr>
            <w:tcW w:w="1559" w:type="pct"/>
            <w:vAlign w:val="center"/>
          </w:tcPr>
          <w:p w14:paraId="582EE117">
            <w:pPr>
              <w:widowControl w:val="0"/>
              <w:spacing w:line="360" w:lineRule="exact"/>
              <w:jc w:val="center"/>
              <w:rPr>
                <w:color w:val="auto"/>
                <w:sz w:val="21"/>
                <w:szCs w:val="21"/>
              </w:rPr>
            </w:pPr>
            <w:r>
              <w:rPr>
                <w:color w:val="auto"/>
                <w:sz w:val="21"/>
                <w:szCs w:val="21"/>
              </w:rPr>
              <w:t>公众教育和信息</w:t>
            </w:r>
          </w:p>
        </w:tc>
        <w:tc>
          <w:tcPr>
            <w:tcW w:w="3101" w:type="pct"/>
            <w:vAlign w:val="center"/>
          </w:tcPr>
          <w:p w14:paraId="197E2479">
            <w:pPr>
              <w:widowControl w:val="0"/>
              <w:spacing w:line="360" w:lineRule="exact"/>
              <w:jc w:val="center"/>
              <w:rPr>
                <w:color w:val="auto"/>
                <w:sz w:val="21"/>
                <w:szCs w:val="21"/>
              </w:rPr>
            </w:pPr>
            <w:r>
              <w:rPr>
                <w:color w:val="auto"/>
                <w:sz w:val="21"/>
                <w:szCs w:val="21"/>
              </w:rPr>
              <w:t>公众教育；信息发布</w:t>
            </w:r>
          </w:p>
        </w:tc>
      </w:tr>
    </w:tbl>
    <w:p w14:paraId="09003F56">
      <w:pPr>
        <w:rPr>
          <w:color w:val="auto"/>
        </w:rPr>
      </w:pPr>
    </w:p>
    <w:p w14:paraId="698A8362">
      <w:pPr>
        <w:numPr>
          <w:ilvl w:val="1"/>
          <w:numId w:val="1"/>
        </w:numPr>
        <w:outlineLvl w:val="1"/>
        <w:rPr>
          <w:rFonts w:eastAsia="黑体"/>
          <w:b/>
          <w:color w:val="auto"/>
          <w:sz w:val="28"/>
          <w:szCs w:val="30"/>
        </w:rPr>
      </w:pPr>
      <w:bookmarkStart w:id="408" w:name="_Toc229930167"/>
      <w:bookmarkStart w:id="409" w:name="_Toc220582798"/>
      <w:r>
        <w:rPr>
          <w:rFonts w:hint="eastAsia" w:eastAsia="黑体"/>
          <w:b/>
          <w:color w:val="auto"/>
          <w:sz w:val="28"/>
          <w:szCs w:val="30"/>
        </w:rPr>
        <w:t>环境风险评价结论</w:t>
      </w:r>
      <w:bookmarkEnd w:id="408"/>
      <w:bookmarkEnd w:id="409"/>
    </w:p>
    <w:p w14:paraId="01DF28D6">
      <w:pPr>
        <w:spacing w:line="360" w:lineRule="auto"/>
        <w:ind w:firstLine="480" w:firstLineChars="200"/>
        <w:jc w:val="both"/>
        <w:rPr>
          <w:color w:val="auto"/>
          <w:sz w:val="24"/>
          <w:szCs w:val="24"/>
        </w:rPr>
      </w:pPr>
      <w:r>
        <w:rPr>
          <w:rFonts w:hint="eastAsia"/>
          <w:color w:val="auto"/>
          <w:sz w:val="24"/>
          <w:szCs w:val="24"/>
        </w:rPr>
        <w:t>（1）项目危险因素</w:t>
      </w:r>
    </w:p>
    <w:p w14:paraId="692E523C">
      <w:pPr>
        <w:spacing w:line="360" w:lineRule="auto"/>
        <w:ind w:firstLine="480" w:firstLineChars="200"/>
        <w:jc w:val="both"/>
        <w:rPr>
          <w:color w:val="auto"/>
          <w:sz w:val="24"/>
          <w:szCs w:val="24"/>
        </w:rPr>
      </w:pPr>
      <w:r>
        <w:rPr>
          <w:rFonts w:hint="eastAsia"/>
          <w:color w:val="auto"/>
          <w:sz w:val="24"/>
          <w:szCs w:val="24"/>
        </w:rPr>
        <w:t>本项目涉及的危险物质有氯化铝废酸液、硝酸铝废酸液、硝酸、硫酸铵、催化剂、废机油等。</w:t>
      </w:r>
    </w:p>
    <w:p w14:paraId="3115C65B">
      <w:pPr>
        <w:spacing w:line="360" w:lineRule="auto"/>
        <w:ind w:firstLine="480" w:firstLineChars="200"/>
        <w:jc w:val="both"/>
        <w:rPr>
          <w:color w:val="auto"/>
          <w:sz w:val="24"/>
          <w:szCs w:val="24"/>
        </w:rPr>
      </w:pPr>
      <w:r>
        <w:rPr>
          <w:rFonts w:hint="eastAsia"/>
          <w:color w:val="auto"/>
          <w:sz w:val="24"/>
          <w:szCs w:val="24"/>
        </w:rPr>
        <w:t>最大可信事故类型为天然气管道泄漏及火灾次生/伴生CO事故。</w:t>
      </w:r>
    </w:p>
    <w:p w14:paraId="2B675386">
      <w:pPr>
        <w:spacing w:line="360" w:lineRule="auto"/>
        <w:ind w:firstLine="480" w:firstLineChars="200"/>
        <w:jc w:val="both"/>
        <w:rPr>
          <w:color w:val="auto"/>
          <w:sz w:val="24"/>
          <w:szCs w:val="24"/>
        </w:rPr>
      </w:pPr>
      <w:r>
        <w:rPr>
          <w:rFonts w:hint="eastAsia"/>
          <w:color w:val="auto"/>
          <w:sz w:val="24"/>
          <w:szCs w:val="24"/>
        </w:rPr>
        <w:t>本项目的危险单元共计</w:t>
      </w:r>
      <w:r>
        <w:rPr>
          <w:color w:val="auto"/>
          <w:sz w:val="24"/>
          <w:szCs w:val="24"/>
        </w:rPr>
        <w:t>4</w:t>
      </w:r>
      <w:r>
        <w:rPr>
          <w:rFonts w:hint="eastAsia"/>
          <w:color w:val="auto"/>
          <w:sz w:val="24"/>
          <w:szCs w:val="24"/>
        </w:rPr>
        <w:t>个，包含锅炉车间、生产车间、成品库和危险废物贮存库等。项目的厂界周边</w:t>
      </w:r>
      <w:r>
        <w:rPr>
          <w:color w:val="auto"/>
          <w:sz w:val="24"/>
          <w:szCs w:val="24"/>
        </w:rPr>
        <w:t>5km</w:t>
      </w:r>
      <w:r>
        <w:rPr>
          <w:rFonts w:hint="eastAsia"/>
          <w:color w:val="auto"/>
          <w:sz w:val="24"/>
          <w:szCs w:val="24"/>
        </w:rPr>
        <w:t>范围内，敏感点为137中学、社区等2个敏感点。</w:t>
      </w:r>
    </w:p>
    <w:p w14:paraId="35FBF394">
      <w:pPr>
        <w:spacing w:line="360" w:lineRule="auto"/>
        <w:ind w:firstLine="480" w:firstLineChars="200"/>
        <w:jc w:val="both"/>
        <w:rPr>
          <w:color w:val="auto"/>
          <w:sz w:val="24"/>
          <w:szCs w:val="24"/>
        </w:rPr>
      </w:pPr>
      <w:r>
        <w:rPr>
          <w:rFonts w:hint="eastAsia"/>
          <w:color w:val="auto"/>
          <w:sz w:val="24"/>
          <w:szCs w:val="24"/>
        </w:rPr>
        <w:t>（2）环境敏感性及事故影响</w:t>
      </w:r>
    </w:p>
    <w:p w14:paraId="1DBC3B93">
      <w:pPr>
        <w:spacing w:line="360" w:lineRule="auto"/>
        <w:ind w:firstLine="480" w:firstLineChars="200"/>
        <w:jc w:val="both"/>
        <w:rPr>
          <w:color w:val="auto"/>
          <w:sz w:val="24"/>
          <w:szCs w:val="24"/>
        </w:rPr>
      </w:pPr>
      <w:r>
        <w:rPr>
          <w:rFonts w:hint="eastAsia"/>
          <w:color w:val="auto"/>
          <w:sz w:val="24"/>
          <w:szCs w:val="24"/>
        </w:rPr>
        <w:t>本项目位于园区内，项目周边5km范围内居住区、医疗卫生、文化教育、科研、行政办公等机构人口总数小于1万人。</w:t>
      </w:r>
    </w:p>
    <w:p w14:paraId="594642D4">
      <w:pPr>
        <w:spacing w:line="360" w:lineRule="auto"/>
        <w:ind w:firstLine="480" w:firstLineChars="200"/>
        <w:jc w:val="both"/>
        <w:rPr>
          <w:color w:val="auto"/>
          <w:sz w:val="24"/>
          <w:szCs w:val="24"/>
        </w:rPr>
      </w:pPr>
      <w:r>
        <w:rPr>
          <w:rFonts w:hint="eastAsia"/>
          <w:color w:val="auto"/>
          <w:sz w:val="24"/>
          <w:szCs w:val="24"/>
        </w:rPr>
        <w:t>根据风险模型预测分析结果：</w:t>
      </w:r>
    </w:p>
    <w:p w14:paraId="777EA357">
      <w:pPr>
        <w:spacing w:line="360" w:lineRule="auto"/>
        <w:ind w:firstLine="480" w:firstLineChars="200"/>
        <w:jc w:val="both"/>
        <w:rPr>
          <w:color w:val="auto"/>
          <w:sz w:val="24"/>
          <w:szCs w:val="24"/>
        </w:rPr>
      </w:pPr>
      <w:r>
        <w:rPr>
          <w:rFonts w:hint="eastAsia"/>
          <w:color w:val="auto"/>
          <w:sz w:val="24"/>
          <w:szCs w:val="24"/>
        </w:rPr>
        <w:t>项目天然气管道泄漏事故，毒性终点浓度计算值均小于各对应阈值；火灾次生/伴生CO“毒性终点浓度-1”的最远影响距离为3700m，“毒性终点浓度-2”的最远影响距离为1010m；</w:t>
      </w:r>
    </w:p>
    <w:p w14:paraId="504D4920">
      <w:pPr>
        <w:spacing w:line="360" w:lineRule="auto"/>
        <w:ind w:firstLine="480" w:firstLineChars="200"/>
        <w:jc w:val="both"/>
        <w:rPr>
          <w:color w:val="auto"/>
          <w:sz w:val="24"/>
          <w:szCs w:val="24"/>
        </w:rPr>
      </w:pPr>
      <w:r>
        <w:rPr>
          <w:rFonts w:hint="eastAsia"/>
          <w:color w:val="auto"/>
          <w:sz w:val="24"/>
          <w:szCs w:val="24"/>
        </w:rPr>
        <w:t>本项目周边敏感目标距离项目1.2km，均位于项目区主要导风向上风向或侧下风向，因此，对周边环境有一定的影响，但对处于侧风向的居民区等敏感目标基本无影响。</w:t>
      </w:r>
    </w:p>
    <w:p w14:paraId="3FFB28AB">
      <w:pPr>
        <w:spacing w:line="360" w:lineRule="auto"/>
        <w:ind w:firstLine="480" w:firstLineChars="200"/>
        <w:jc w:val="both"/>
        <w:rPr>
          <w:color w:val="auto"/>
          <w:sz w:val="24"/>
          <w:szCs w:val="24"/>
        </w:rPr>
      </w:pPr>
      <w:r>
        <w:rPr>
          <w:rFonts w:hint="eastAsia"/>
          <w:color w:val="auto"/>
          <w:sz w:val="24"/>
          <w:szCs w:val="24"/>
        </w:rPr>
        <w:t>（3）环境风险防范措施和应急预案</w:t>
      </w:r>
    </w:p>
    <w:p w14:paraId="2153EC02">
      <w:pPr>
        <w:spacing w:line="360" w:lineRule="auto"/>
        <w:ind w:firstLine="480" w:firstLineChars="200"/>
        <w:jc w:val="both"/>
        <w:rPr>
          <w:color w:val="auto"/>
          <w:sz w:val="24"/>
          <w:szCs w:val="24"/>
        </w:rPr>
      </w:pPr>
      <w:r>
        <w:rPr>
          <w:rFonts w:hint="eastAsia"/>
          <w:color w:val="auto"/>
          <w:sz w:val="24"/>
          <w:szCs w:val="24"/>
        </w:rPr>
        <w:t>按照环评要求，项目结合区域环境条件、园区、市等环境风险防控要求，建设以总经理负责制的项目环境风险防控体系，制定防止危险物质进入环境及进入环境后的控制、消减、监测等风险防范措施和突发环境事件应急预案，以减少事故环境风险影响。</w:t>
      </w:r>
    </w:p>
    <w:p w14:paraId="2B91D1EF">
      <w:pPr>
        <w:spacing w:line="360" w:lineRule="auto"/>
        <w:ind w:firstLine="480" w:firstLineChars="200"/>
        <w:jc w:val="both"/>
        <w:rPr>
          <w:color w:val="auto"/>
          <w:sz w:val="24"/>
          <w:szCs w:val="24"/>
        </w:rPr>
      </w:pPr>
      <w:r>
        <w:rPr>
          <w:rFonts w:hint="eastAsia"/>
          <w:color w:val="auto"/>
          <w:sz w:val="24"/>
          <w:szCs w:val="24"/>
        </w:rPr>
        <w:t>⑷环境风险评价结论</w:t>
      </w:r>
    </w:p>
    <w:p w14:paraId="142F8310">
      <w:pPr>
        <w:spacing w:line="360" w:lineRule="auto"/>
        <w:ind w:firstLine="480" w:firstLineChars="200"/>
        <w:jc w:val="both"/>
        <w:rPr>
          <w:color w:val="auto"/>
          <w:sz w:val="24"/>
          <w:szCs w:val="24"/>
        </w:rPr>
      </w:pPr>
      <w:r>
        <w:rPr>
          <w:rFonts w:hint="eastAsia"/>
          <w:color w:val="auto"/>
          <w:sz w:val="24"/>
          <w:szCs w:val="24"/>
        </w:rPr>
        <w:t>综合环境风险评价分析，本项目事故情况在最不利气象条件下，对周边环境有一定的影响，但对处于上风向或侧下风向的居民区等敏感目标基本无影响。</w:t>
      </w:r>
    </w:p>
    <w:p w14:paraId="7DC3A9FE">
      <w:pPr>
        <w:spacing w:line="360" w:lineRule="auto"/>
        <w:ind w:firstLine="480" w:firstLineChars="200"/>
        <w:jc w:val="both"/>
        <w:rPr>
          <w:color w:val="auto"/>
          <w:sz w:val="24"/>
          <w:szCs w:val="24"/>
        </w:rPr>
      </w:pPr>
      <w:r>
        <w:rPr>
          <w:rFonts w:hint="eastAsia"/>
          <w:color w:val="auto"/>
          <w:sz w:val="24"/>
          <w:szCs w:val="24"/>
        </w:rPr>
        <w:t>因此，本项目加强管理、严格落实本环评提出的风险防范措施，环境风险处于可控可接受范围内。</w:t>
      </w:r>
    </w:p>
    <w:p w14:paraId="12DFD14D">
      <w:pPr>
        <w:rPr>
          <w:color w:val="auto"/>
        </w:rPr>
      </w:pPr>
    </w:p>
    <w:p w14:paraId="2F6D2594">
      <w:pPr>
        <w:rPr>
          <w:color w:val="auto"/>
        </w:rPr>
      </w:pPr>
      <w:bookmarkStart w:id="410" w:name="_Toc172020401"/>
    </w:p>
    <w:p w14:paraId="094777DC">
      <w:pPr>
        <w:rPr>
          <w:color w:val="auto"/>
        </w:rPr>
        <w:sectPr>
          <w:type w:val="continuous"/>
          <w:pgSz w:w="11906" w:h="16838"/>
          <w:pgMar w:top="1440" w:right="1588" w:bottom="1389" w:left="1588" w:header="851" w:footer="992" w:gutter="0"/>
          <w:cols w:space="425" w:num="1"/>
          <w:docGrid w:type="lines" w:linePitch="326" w:charSpace="0"/>
        </w:sectPr>
      </w:pPr>
    </w:p>
    <w:bookmarkEnd w:id="410"/>
    <w:p w14:paraId="15CDE547">
      <w:pPr>
        <w:pStyle w:val="2"/>
        <w:rPr>
          <w:color w:val="auto"/>
        </w:rPr>
      </w:pPr>
      <w:bookmarkStart w:id="411" w:name="_Toc229930168"/>
      <w:r>
        <w:rPr>
          <w:color w:val="auto"/>
        </w:rPr>
        <w:t>环境经济损益简要分析</w:t>
      </w:r>
      <w:bookmarkEnd w:id="411"/>
      <w:bookmarkStart w:id="412" w:name="_Hlk174097781"/>
    </w:p>
    <w:p w14:paraId="16E18AAB">
      <w:pPr>
        <w:pStyle w:val="132"/>
        <w:snapToGrid w:val="0"/>
        <w:rPr>
          <w:color w:val="auto"/>
        </w:rPr>
      </w:pPr>
    </w:p>
    <w:p w14:paraId="65918C99">
      <w:pPr>
        <w:pStyle w:val="132"/>
        <w:snapToGrid w:val="0"/>
        <w:rPr>
          <w:color w:val="auto"/>
        </w:rPr>
      </w:pPr>
      <w:r>
        <w:rPr>
          <w:color w:val="auto"/>
        </w:rPr>
        <w:t>环境影响经济损益分析主要是衡量项目的环保投资所能收到的环境效益和经济效益，建设项目应力争达到社会效益、环境效益、经济效益的统一，这样才能符合可持续发展的要求，实现经济</w:t>
      </w:r>
      <w:r>
        <w:rPr>
          <w:rFonts w:hint="eastAsia"/>
          <w:color w:val="auto"/>
        </w:rPr>
        <w:t>的可</w:t>
      </w:r>
      <w:r>
        <w:rPr>
          <w:color w:val="auto"/>
        </w:rPr>
        <w:t>持续发展和环境质量的不断改善。该项目建设在一定程度上给周围环境质量带来一些负面影响，因此有必要进行经济效益、社会效益、环境效益的综合分析，使项目的建设论证更加充分可靠，工程的设计和实施更加完善，以实现社会的良性发展、经济的持续增长和环境质量的保持与改善。</w:t>
      </w:r>
    </w:p>
    <w:p w14:paraId="1BCBB88E">
      <w:pPr>
        <w:pStyle w:val="3"/>
        <w:snapToGrid w:val="0"/>
        <w:spacing w:line="360" w:lineRule="auto"/>
        <w:rPr>
          <w:color w:val="auto"/>
        </w:rPr>
      </w:pPr>
      <w:bookmarkStart w:id="413" w:name="_Toc229930169"/>
      <w:r>
        <w:rPr>
          <w:color w:val="auto"/>
        </w:rPr>
        <w:t>社会效益分析</w:t>
      </w:r>
      <w:bookmarkEnd w:id="413"/>
    </w:p>
    <w:p w14:paraId="7173D36F">
      <w:pPr>
        <w:pStyle w:val="132"/>
        <w:rPr>
          <w:color w:val="auto"/>
        </w:rPr>
      </w:pPr>
      <w:r>
        <w:rPr>
          <w:rFonts w:hint="eastAsia"/>
          <w:color w:val="auto"/>
        </w:rPr>
        <w:t>本项目社会效益十分明显，具有良好的竞争能力和发展前景，符合国家的产业政策和环保政策，特别是对地方经济促进作用突出，对推动地方工业结构调整，促进地区经济可持续发展具有重要意义。</w:t>
      </w:r>
    </w:p>
    <w:p w14:paraId="03833DD7">
      <w:pPr>
        <w:pStyle w:val="132"/>
        <w:rPr>
          <w:color w:val="auto"/>
        </w:rPr>
      </w:pPr>
      <w:r>
        <w:rPr>
          <w:color w:val="auto"/>
        </w:rPr>
        <w:t>项目的社会效益主要表现在：</w:t>
      </w:r>
    </w:p>
    <w:p w14:paraId="5CE825F7">
      <w:pPr>
        <w:pStyle w:val="132"/>
        <w:rPr>
          <w:color w:val="auto"/>
        </w:rPr>
      </w:pPr>
      <w:r>
        <w:rPr>
          <w:color w:val="auto"/>
        </w:rPr>
        <w:t>（1）项目建成后，可充分利用周边优势资源拓宽市场，实现资源利用的效益最大化，</w:t>
      </w:r>
      <w:r>
        <w:rPr>
          <w:rFonts w:hint="eastAsia"/>
          <w:color w:val="auto"/>
        </w:rPr>
        <w:t>为周边企业的废弃物回收利用提供新的解决方案</w:t>
      </w:r>
      <w:r>
        <w:rPr>
          <w:color w:val="auto"/>
        </w:rPr>
        <w:t>，带动相关产业的发展</w:t>
      </w:r>
      <w:r>
        <w:rPr>
          <w:rFonts w:hint="eastAsia"/>
          <w:color w:val="auto"/>
        </w:rPr>
        <w:t>，</w:t>
      </w:r>
      <w:r>
        <w:rPr>
          <w:color w:val="auto"/>
        </w:rPr>
        <w:t>为当地增加了新的经济增长点。</w:t>
      </w:r>
    </w:p>
    <w:p w14:paraId="51054BCC">
      <w:pPr>
        <w:pStyle w:val="132"/>
        <w:rPr>
          <w:color w:val="auto"/>
        </w:rPr>
      </w:pPr>
      <w:r>
        <w:rPr>
          <w:color w:val="auto"/>
        </w:rPr>
        <w:t>（2）本项目促进本地相关产业结构的调整和进一步优化，对周边企业有极大的促进作用，对改善当地经济结构优化及向规模效益型经济发展提供机遇。</w:t>
      </w:r>
    </w:p>
    <w:p w14:paraId="5339AD7F">
      <w:pPr>
        <w:pStyle w:val="132"/>
        <w:rPr>
          <w:color w:val="auto"/>
        </w:rPr>
      </w:pPr>
      <w:r>
        <w:rPr>
          <w:color w:val="auto"/>
        </w:rPr>
        <w:t>（3）此建设项目的实施，在一定程度上改善了部分当地居民的收入水平，为减少或降低贫富收入差距起到一定的效果</w:t>
      </w:r>
      <w:r>
        <w:rPr>
          <w:rFonts w:hint="eastAsia"/>
          <w:color w:val="auto"/>
        </w:rPr>
        <w:t>，使</w:t>
      </w:r>
      <w:r>
        <w:rPr>
          <w:color w:val="auto"/>
        </w:rPr>
        <w:t>部分地区就业人员的收入增加。</w:t>
      </w:r>
    </w:p>
    <w:p w14:paraId="66C1B98D">
      <w:pPr>
        <w:pStyle w:val="132"/>
        <w:rPr>
          <w:color w:val="auto"/>
        </w:rPr>
      </w:pPr>
      <w:r>
        <w:rPr>
          <w:color w:val="auto"/>
        </w:rPr>
        <w:t>（4）项目可给当地提供就业岗位，就地解决劳动力需求关系，接纳本地劳动力将是优选方案，促进社会安定。</w:t>
      </w:r>
    </w:p>
    <w:p w14:paraId="30F83CF3">
      <w:pPr>
        <w:pStyle w:val="3"/>
        <w:spacing w:line="360" w:lineRule="auto"/>
        <w:rPr>
          <w:color w:val="auto"/>
        </w:rPr>
      </w:pPr>
      <w:bookmarkStart w:id="414" w:name="_Toc229930170"/>
      <w:r>
        <w:rPr>
          <w:color w:val="auto"/>
        </w:rPr>
        <w:t>环境效益分析</w:t>
      </w:r>
      <w:bookmarkEnd w:id="414"/>
    </w:p>
    <w:p w14:paraId="3E47113E">
      <w:pPr>
        <w:pStyle w:val="132"/>
        <w:rPr>
          <w:color w:val="auto"/>
        </w:rPr>
      </w:pPr>
      <w:r>
        <w:rPr>
          <w:color w:val="auto"/>
        </w:rPr>
        <w:t xml:space="preserve">本项目环保投资情况见表 </w:t>
      </w:r>
      <w:r>
        <w:rPr>
          <w:rFonts w:hint="eastAsia"/>
          <w:color w:val="auto"/>
        </w:rPr>
        <w:t>8.2-1</w:t>
      </w:r>
      <w:r>
        <w:rPr>
          <w:color w:val="auto"/>
        </w:rPr>
        <w:t>。</w:t>
      </w:r>
    </w:p>
    <w:p w14:paraId="476D3EA1">
      <w:pPr>
        <w:widowControl w:val="0"/>
        <w:spacing w:before="100" w:beforeAutospacing="1" w:after="120" w:line="360" w:lineRule="auto"/>
        <w:ind w:firstLine="480" w:firstLineChars="200"/>
        <w:jc w:val="both"/>
        <w:rPr>
          <w:color w:val="auto"/>
          <w:kern w:val="2"/>
          <w:sz w:val="24"/>
          <w:szCs w:val="24"/>
        </w:rPr>
      </w:pPr>
      <w:r>
        <w:rPr>
          <w:rFonts w:hint="eastAsia"/>
          <w:color w:val="auto"/>
          <w:kern w:val="2"/>
          <w:sz w:val="24"/>
          <w:szCs w:val="24"/>
        </w:rPr>
        <w:t xml:space="preserve"> </w:t>
      </w:r>
    </w:p>
    <w:p w14:paraId="45088ECA">
      <w:pPr>
        <w:widowControl w:val="0"/>
        <w:spacing w:before="100" w:beforeAutospacing="1" w:after="120" w:line="360" w:lineRule="auto"/>
        <w:ind w:firstLine="480" w:firstLineChars="200"/>
        <w:jc w:val="both"/>
        <w:rPr>
          <w:color w:val="auto"/>
          <w:kern w:val="2"/>
          <w:sz w:val="24"/>
          <w:szCs w:val="24"/>
        </w:rPr>
      </w:pPr>
    </w:p>
    <w:p w14:paraId="745AAF3A">
      <w:pPr>
        <w:pStyle w:val="1060"/>
        <w:spacing w:before="120"/>
        <w:rPr>
          <w:color w:val="auto"/>
        </w:rPr>
      </w:pPr>
      <w:r>
        <w:rPr>
          <w:color w:val="auto"/>
        </w:rPr>
        <w:t xml:space="preserve"> 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8.2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环保投资估算</w:t>
      </w:r>
    </w:p>
    <w:tbl>
      <w:tblPr>
        <w:tblStyle w:val="239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990"/>
        <w:gridCol w:w="3292"/>
        <w:gridCol w:w="3283"/>
        <w:gridCol w:w="1555"/>
      </w:tblGrid>
      <w:tr w14:paraId="0335B78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restart"/>
            <w:vAlign w:val="center"/>
          </w:tcPr>
          <w:p w14:paraId="560127B9">
            <w:pPr>
              <w:pStyle w:val="129"/>
              <w:widowControl w:val="0"/>
              <w:rPr>
                <w:rFonts w:eastAsia="Times New Roman"/>
                <w:color w:val="auto"/>
              </w:rPr>
            </w:pPr>
            <w:r>
              <w:rPr>
                <w:rFonts w:hint="eastAsia" w:ascii="宋体" w:hAnsi="宋体" w:eastAsia="Times New Roman" w:cs="宋体"/>
                <w:color w:val="auto"/>
              </w:rPr>
              <w:t>项目</w:t>
            </w:r>
          </w:p>
        </w:tc>
        <w:tc>
          <w:tcPr>
            <w:tcW w:w="3605" w:type="pct"/>
            <w:gridSpan w:val="2"/>
            <w:vMerge w:val="restart"/>
            <w:vAlign w:val="center"/>
          </w:tcPr>
          <w:p w14:paraId="055DD487">
            <w:pPr>
              <w:pStyle w:val="129"/>
              <w:widowControl w:val="0"/>
              <w:rPr>
                <w:rFonts w:eastAsia="Times New Roman"/>
                <w:color w:val="auto"/>
              </w:rPr>
            </w:pPr>
            <w:r>
              <w:rPr>
                <w:rFonts w:hint="eastAsia" w:ascii="宋体" w:hAnsi="宋体" w:eastAsia="Times New Roman" w:cs="宋体"/>
                <w:color w:val="auto"/>
              </w:rPr>
              <w:t>环保设施（处理方式）</w:t>
            </w:r>
          </w:p>
        </w:tc>
        <w:tc>
          <w:tcPr>
            <w:tcW w:w="852" w:type="pct"/>
            <w:vAlign w:val="center"/>
          </w:tcPr>
          <w:p w14:paraId="7BAEFD3B">
            <w:pPr>
              <w:pStyle w:val="129"/>
              <w:widowControl w:val="0"/>
              <w:rPr>
                <w:rFonts w:eastAsia="Times New Roman"/>
                <w:color w:val="auto"/>
              </w:rPr>
            </w:pPr>
            <w:r>
              <w:rPr>
                <w:rFonts w:hint="eastAsia" w:ascii="宋体" w:hAnsi="宋体" w:eastAsia="Times New Roman" w:cs="宋体"/>
                <w:color w:val="auto"/>
              </w:rPr>
              <w:t>投资</w:t>
            </w:r>
          </w:p>
        </w:tc>
      </w:tr>
      <w:tr w14:paraId="6BB04E4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3ECD4EBD">
            <w:pPr>
              <w:pStyle w:val="129"/>
              <w:widowControl w:val="0"/>
              <w:rPr>
                <w:rFonts w:eastAsia="Times New Roman"/>
                <w:color w:val="auto"/>
              </w:rPr>
            </w:pPr>
          </w:p>
        </w:tc>
        <w:tc>
          <w:tcPr>
            <w:tcW w:w="3605" w:type="pct"/>
            <w:gridSpan w:val="2"/>
            <w:vMerge w:val="continue"/>
            <w:vAlign w:val="center"/>
          </w:tcPr>
          <w:p w14:paraId="65528D11">
            <w:pPr>
              <w:pStyle w:val="129"/>
              <w:widowControl w:val="0"/>
              <w:rPr>
                <w:rFonts w:eastAsia="Times New Roman"/>
                <w:color w:val="auto"/>
              </w:rPr>
            </w:pPr>
          </w:p>
        </w:tc>
        <w:tc>
          <w:tcPr>
            <w:tcW w:w="852" w:type="pct"/>
            <w:vAlign w:val="center"/>
          </w:tcPr>
          <w:p w14:paraId="2AFA9EF1">
            <w:pPr>
              <w:pStyle w:val="129"/>
              <w:widowControl w:val="0"/>
              <w:rPr>
                <w:rFonts w:eastAsia="Times New Roman"/>
                <w:color w:val="auto"/>
              </w:rPr>
            </w:pPr>
            <w:r>
              <w:rPr>
                <w:rFonts w:hint="eastAsia" w:ascii="宋体" w:hAnsi="宋体" w:eastAsia="Times New Roman" w:cs="宋体"/>
                <w:color w:val="auto"/>
              </w:rPr>
              <w:t>（万元）</w:t>
            </w:r>
          </w:p>
        </w:tc>
      </w:tr>
      <w:tr w14:paraId="517F0F7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restart"/>
            <w:vAlign w:val="center"/>
          </w:tcPr>
          <w:p w14:paraId="65B6F11F">
            <w:pPr>
              <w:pStyle w:val="129"/>
              <w:widowControl w:val="0"/>
              <w:rPr>
                <w:rFonts w:eastAsia="Times New Roman"/>
                <w:color w:val="auto"/>
              </w:rPr>
            </w:pPr>
            <w:r>
              <w:rPr>
                <w:rFonts w:hint="eastAsia" w:ascii="宋体" w:hAnsi="宋体" w:eastAsia="Times New Roman" w:cs="宋体"/>
                <w:color w:val="auto"/>
              </w:rPr>
              <w:t>废气治理</w:t>
            </w:r>
          </w:p>
        </w:tc>
        <w:tc>
          <w:tcPr>
            <w:tcW w:w="1805" w:type="pct"/>
            <w:vAlign w:val="center"/>
          </w:tcPr>
          <w:p w14:paraId="364D267A">
            <w:pPr>
              <w:pStyle w:val="129"/>
              <w:widowControl w:val="0"/>
              <w:rPr>
                <w:rFonts w:eastAsia="Times New Roman"/>
                <w:color w:val="auto"/>
              </w:rPr>
            </w:pPr>
            <w:r>
              <w:rPr>
                <w:rFonts w:hint="eastAsia" w:ascii="宋体" w:hAnsi="宋体" w:eastAsia="Times New Roman" w:cs="宋体"/>
                <w:color w:val="auto"/>
              </w:rPr>
              <w:t>含氨废气</w:t>
            </w:r>
          </w:p>
        </w:tc>
        <w:tc>
          <w:tcPr>
            <w:tcW w:w="1800" w:type="pct"/>
            <w:vAlign w:val="center"/>
          </w:tcPr>
          <w:p w14:paraId="48C9E598">
            <w:pPr>
              <w:pStyle w:val="129"/>
              <w:widowControl w:val="0"/>
              <w:rPr>
                <w:rFonts w:eastAsia="Times New Roman"/>
                <w:color w:val="auto"/>
              </w:rPr>
            </w:pPr>
            <w:r>
              <w:rPr>
                <w:rFonts w:hint="eastAsia" w:ascii="宋体" w:hAnsi="宋体" w:eastAsia="Times New Roman" w:cs="宋体"/>
                <w:color w:val="auto"/>
              </w:rPr>
              <w:t>水吸收</w:t>
            </w:r>
            <w:r>
              <w:rPr>
                <w:rFonts w:eastAsia="Times New Roman"/>
                <w:color w:val="auto"/>
              </w:rPr>
              <w:t>+17m</w:t>
            </w:r>
            <w:r>
              <w:rPr>
                <w:rFonts w:hint="eastAsia" w:ascii="宋体" w:hAnsi="宋体" w:eastAsia="Times New Roman" w:cs="宋体"/>
                <w:color w:val="auto"/>
              </w:rPr>
              <w:t>排气筒</w:t>
            </w:r>
          </w:p>
        </w:tc>
        <w:tc>
          <w:tcPr>
            <w:tcW w:w="852" w:type="pct"/>
            <w:vAlign w:val="center"/>
          </w:tcPr>
          <w:p w14:paraId="0479D8CE">
            <w:pPr>
              <w:pStyle w:val="129"/>
              <w:widowControl w:val="0"/>
              <w:rPr>
                <w:rFonts w:eastAsia="Times New Roman"/>
                <w:color w:val="auto"/>
              </w:rPr>
            </w:pPr>
            <w:r>
              <w:rPr>
                <w:rFonts w:eastAsia="Times New Roman"/>
                <w:color w:val="auto"/>
              </w:rPr>
              <w:t>5</w:t>
            </w:r>
          </w:p>
        </w:tc>
      </w:tr>
      <w:tr w14:paraId="717B499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1281C7D0">
            <w:pPr>
              <w:pStyle w:val="129"/>
              <w:widowControl w:val="0"/>
              <w:rPr>
                <w:rFonts w:eastAsia="Times New Roman"/>
                <w:color w:val="auto"/>
              </w:rPr>
            </w:pPr>
          </w:p>
        </w:tc>
        <w:tc>
          <w:tcPr>
            <w:tcW w:w="1805" w:type="pct"/>
            <w:vAlign w:val="center"/>
          </w:tcPr>
          <w:p w14:paraId="17DB4025">
            <w:pPr>
              <w:pStyle w:val="129"/>
              <w:widowControl w:val="0"/>
              <w:rPr>
                <w:rFonts w:eastAsia="Times New Roman"/>
                <w:color w:val="auto"/>
              </w:rPr>
            </w:pPr>
            <w:r>
              <w:rPr>
                <w:rFonts w:hint="eastAsia" w:ascii="宋体" w:hAnsi="宋体" w:eastAsia="Times New Roman" w:cs="宋体"/>
                <w:color w:val="auto"/>
              </w:rPr>
              <w:t>硫酸铵干燥废气</w:t>
            </w:r>
          </w:p>
        </w:tc>
        <w:tc>
          <w:tcPr>
            <w:tcW w:w="1800" w:type="pct"/>
            <w:vMerge w:val="restart"/>
            <w:vAlign w:val="center"/>
          </w:tcPr>
          <w:p w14:paraId="51388D27">
            <w:pPr>
              <w:pStyle w:val="129"/>
              <w:widowControl w:val="0"/>
              <w:rPr>
                <w:rFonts w:eastAsia="Times New Roman"/>
                <w:color w:val="auto"/>
              </w:rPr>
            </w:pPr>
            <w:r>
              <w:rPr>
                <w:rFonts w:hint="eastAsia" w:ascii="宋体" w:hAnsi="宋体" w:eastAsia="Times New Roman" w:cs="宋体"/>
                <w:color w:val="auto"/>
              </w:rPr>
              <w:t>布袋除尘器</w:t>
            </w:r>
            <w:r>
              <w:rPr>
                <w:rFonts w:eastAsia="Times New Roman"/>
                <w:color w:val="auto"/>
              </w:rPr>
              <w:t>+17m</w:t>
            </w:r>
            <w:r>
              <w:rPr>
                <w:rFonts w:hint="eastAsia" w:ascii="宋体" w:hAnsi="宋体" w:eastAsia="Times New Roman" w:cs="宋体"/>
                <w:color w:val="auto"/>
              </w:rPr>
              <w:t>排气筒</w:t>
            </w:r>
          </w:p>
        </w:tc>
        <w:tc>
          <w:tcPr>
            <w:tcW w:w="852" w:type="pct"/>
            <w:vAlign w:val="center"/>
          </w:tcPr>
          <w:p w14:paraId="018BF67A">
            <w:pPr>
              <w:pStyle w:val="129"/>
              <w:widowControl w:val="0"/>
              <w:rPr>
                <w:rFonts w:eastAsia="Times New Roman"/>
                <w:color w:val="auto"/>
              </w:rPr>
            </w:pPr>
            <w:r>
              <w:rPr>
                <w:rFonts w:eastAsia="Times New Roman"/>
                <w:color w:val="auto"/>
              </w:rPr>
              <w:t>10</w:t>
            </w:r>
          </w:p>
        </w:tc>
      </w:tr>
      <w:tr w14:paraId="3CCD720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21C3D4B8">
            <w:pPr>
              <w:pStyle w:val="129"/>
              <w:widowControl w:val="0"/>
              <w:rPr>
                <w:rFonts w:eastAsia="Times New Roman"/>
                <w:color w:val="auto"/>
              </w:rPr>
            </w:pPr>
          </w:p>
        </w:tc>
        <w:tc>
          <w:tcPr>
            <w:tcW w:w="1805" w:type="pct"/>
            <w:vAlign w:val="center"/>
          </w:tcPr>
          <w:p w14:paraId="70C45D33">
            <w:pPr>
              <w:pStyle w:val="129"/>
              <w:widowControl w:val="0"/>
              <w:rPr>
                <w:rFonts w:eastAsia="Times New Roman"/>
                <w:color w:val="auto"/>
              </w:rPr>
            </w:pPr>
            <w:r>
              <w:rPr>
                <w:rFonts w:hint="eastAsia" w:ascii="宋体" w:hAnsi="宋体" w:eastAsia="Times New Roman" w:cs="宋体"/>
                <w:color w:val="auto"/>
              </w:rPr>
              <w:t>硫酸铵包装废气</w:t>
            </w:r>
          </w:p>
        </w:tc>
        <w:tc>
          <w:tcPr>
            <w:tcW w:w="1800" w:type="pct"/>
            <w:vMerge w:val="continue"/>
            <w:vAlign w:val="center"/>
          </w:tcPr>
          <w:p w14:paraId="38385CDF">
            <w:pPr>
              <w:pStyle w:val="129"/>
              <w:widowControl w:val="0"/>
              <w:rPr>
                <w:rFonts w:eastAsia="Times New Roman"/>
                <w:color w:val="auto"/>
              </w:rPr>
            </w:pPr>
          </w:p>
        </w:tc>
        <w:tc>
          <w:tcPr>
            <w:tcW w:w="852" w:type="pct"/>
            <w:vAlign w:val="center"/>
          </w:tcPr>
          <w:p w14:paraId="654FADDA">
            <w:pPr>
              <w:pStyle w:val="129"/>
              <w:widowControl w:val="0"/>
              <w:rPr>
                <w:rFonts w:eastAsia="Times New Roman"/>
                <w:color w:val="auto"/>
              </w:rPr>
            </w:pPr>
            <w:r>
              <w:rPr>
                <w:rFonts w:eastAsia="Times New Roman"/>
                <w:color w:val="auto"/>
              </w:rPr>
              <w:t>3</w:t>
            </w:r>
          </w:p>
        </w:tc>
      </w:tr>
      <w:tr w14:paraId="2E5067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309CCE6A">
            <w:pPr>
              <w:pStyle w:val="129"/>
              <w:widowControl w:val="0"/>
              <w:rPr>
                <w:rFonts w:eastAsia="Times New Roman"/>
                <w:color w:val="auto"/>
              </w:rPr>
            </w:pPr>
          </w:p>
        </w:tc>
        <w:tc>
          <w:tcPr>
            <w:tcW w:w="1805" w:type="pct"/>
            <w:vAlign w:val="center"/>
          </w:tcPr>
          <w:p w14:paraId="0AA777C0">
            <w:pPr>
              <w:pStyle w:val="129"/>
              <w:widowControl w:val="0"/>
              <w:rPr>
                <w:rFonts w:eastAsia="Times New Roman"/>
                <w:color w:val="auto"/>
              </w:rPr>
            </w:pPr>
            <w:r>
              <w:rPr>
                <w:rFonts w:hint="eastAsia" w:ascii="宋体" w:hAnsi="宋体" w:eastAsia="Times New Roman" w:cs="宋体"/>
                <w:color w:val="auto"/>
              </w:rPr>
              <w:t>二氧化碳气</w:t>
            </w:r>
          </w:p>
        </w:tc>
        <w:tc>
          <w:tcPr>
            <w:tcW w:w="1800" w:type="pct"/>
            <w:vAlign w:val="center"/>
          </w:tcPr>
          <w:p w14:paraId="55A9BFEA">
            <w:pPr>
              <w:pStyle w:val="129"/>
              <w:widowControl w:val="0"/>
              <w:rPr>
                <w:rFonts w:eastAsia="Times New Roman"/>
                <w:color w:val="auto"/>
              </w:rPr>
            </w:pPr>
            <w:r>
              <w:rPr>
                <w:rFonts w:eastAsia="Times New Roman"/>
                <w:color w:val="auto"/>
              </w:rPr>
              <w:t>17m</w:t>
            </w:r>
            <w:r>
              <w:rPr>
                <w:rFonts w:hint="eastAsia" w:ascii="宋体" w:hAnsi="宋体" w:eastAsia="Times New Roman" w:cs="宋体"/>
                <w:color w:val="auto"/>
              </w:rPr>
              <w:t>排气筒</w:t>
            </w:r>
          </w:p>
        </w:tc>
        <w:tc>
          <w:tcPr>
            <w:tcW w:w="852" w:type="pct"/>
            <w:vAlign w:val="center"/>
          </w:tcPr>
          <w:p w14:paraId="6C345291">
            <w:pPr>
              <w:pStyle w:val="129"/>
              <w:widowControl w:val="0"/>
              <w:rPr>
                <w:rFonts w:eastAsia="Times New Roman"/>
                <w:color w:val="auto"/>
              </w:rPr>
            </w:pPr>
            <w:r>
              <w:rPr>
                <w:rFonts w:eastAsia="Times New Roman"/>
                <w:color w:val="auto"/>
              </w:rPr>
              <w:t>2</w:t>
            </w:r>
          </w:p>
        </w:tc>
      </w:tr>
      <w:tr w14:paraId="6AAAF36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5D99F070">
            <w:pPr>
              <w:pStyle w:val="129"/>
              <w:widowControl w:val="0"/>
              <w:rPr>
                <w:rFonts w:eastAsia="Times New Roman"/>
                <w:color w:val="auto"/>
              </w:rPr>
            </w:pPr>
          </w:p>
        </w:tc>
        <w:tc>
          <w:tcPr>
            <w:tcW w:w="1805" w:type="pct"/>
            <w:vAlign w:val="center"/>
          </w:tcPr>
          <w:p w14:paraId="75A9E57B">
            <w:pPr>
              <w:pStyle w:val="129"/>
              <w:widowControl w:val="0"/>
              <w:rPr>
                <w:rFonts w:eastAsia="Times New Roman"/>
                <w:color w:val="auto"/>
              </w:rPr>
            </w:pPr>
            <w:r>
              <w:rPr>
                <w:rFonts w:hint="eastAsia" w:ascii="宋体" w:hAnsi="宋体" w:eastAsia="Times New Roman" w:cs="宋体"/>
                <w:color w:val="auto"/>
              </w:rPr>
              <w:t>碳酸钠干燥废气</w:t>
            </w:r>
          </w:p>
        </w:tc>
        <w:tc>
          <w:tcPr>
            <w:tcW w:w="1800" w:type="pct"/>
            <w:vMerge w:val="restart"/>
            <w:vAlign w:val="center"/>
          </w:tcPr>
          <w:p w14:paraId="11D59600">
            <w:pPr>
              <w:pStyle w:val="129"/>
              <w:widowControl w:val="0"/>
              <w:rPr>
                <w:rFonts w:eastAsia="Times New Roman"/>
                <w:color w:val="auto"/>
              </w:rPr>
            </w:pPr>
            <w:r>
              <w:rPr>
                <w:rFonts w:hint="eastAsia" w:ascii="宋体" w:hAnsi="宋体" w:eastAsia="Times New Roman" w:cs="宋体"/>
                <w:color w:val="auto"/>
              </w:rPr>
              <w:t>布袋除尘器</w:t>
            </w:r>
            <w:r>
              <w:rPr>
                <w:rFonts w:eastAsia="Times New Roman"/>
                <w:color w:val="auto"/>
              </w:rPr>
              <w:t>+17m</w:t>
            </w:r>
            <w:r>
              <w:rPr>
                <w:rFonts w:hint="eastAsia" w:ascii="宋体" w:hAnsi="宋体" w:eastAsia="Times New Roman" w:cs="宋体"/>
                <w:color w:val="auto"/>
              </w:rPr>
              <w:t>排气筒</w:t>
            </w:r>
          </w:p>
        </w:tc>
        <w:tc>
          <w:tcPr>
            <w:tcW w:w="852" w:type="pct"/>
            <w:vAlign w:val="center"/>
          </w:tcPr>
          <w:p w14:paraId="49E82A48">
            <w:pPr>
              <w:pStyle w:val="129"/>
              <w:widowControl w:val="0"/>
              <w:rPr>
                <w:rFonts w:eastAsia="Times New Roman"/>
                <w:color w:val="auto"/>
              </w:rPr>
            </w:pPr>
            <w:r>
              <w:rPr>
                <w:rFonts w:eastAsia="Times New Roman"/>
                <w:color w:val="auto"/>
              </w:rPr>
              <w:t>5</w:t>
            </w:r>
          </w:p>
        </w:tc>
      </w:tr>
      <w:tr w14:paraId="504FCE3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3B48C229">
            <w:pPr>
              <w:pStyle w:val="129"/>
              <w:widowControl w:val="0"/>
              <w:rPr>
                <w:rFonts w:eastAsia="Times New Roman"/>
                <w:color w:val="auto"/>
              </w:rPr>
            </w:pPr>
          </w:p>
        </w:tc>
        <w:tc>
          <w:tcPr>
            <w:tcW w:w="1805" w:type="pct"/>
            <w:vAlign w:val="center"/>
          </w:tcPr>
          <w:p w14:paraId="714D6F84">
            <w:pPr>
              <w:pStyle w:val="129"/>
              <w:widowControl w:val="0"/>
              <w:rPr>
                <w:rFonts w:eastAsia="Times New Roman"/>
                <w:color w:val="auto"/>
              </w:rPr>
            </w:pPr>
            <w:r>
              <w:rPr>
                <w:rFonts w:hint="eastAsia" w:ascii="宋体" w:hAnsi="宋体" w:eastAsia="Times New Roman" w:cs="宋体"/>
                <w:color w:val="auto"/>
              </w:rPr>
              <w:t>碳酸钠包装废气</w:t>
            </w:r>
          </w:p>
        </w:tc>
        <w:tc>
          <w:tcPr>
            <w:tcW w:w="1800" w:type="pct"/>
            <w:vMerge w:val="continue"/>
            <w:vAlign w:val="center"/>
          </w:tcPr>
          <w:p w14:paraId="42BC05E0">
            <w:pPr>
              <w:pStyle w:val="129"/>
              <w:widowControl w:val="0"/>
              <w:rPr>
                <w:rFonts w:eastAsia="Times New Roman"/>
                <w:color w:val="auto"/>
              </w:rPr>
            </w:pPr>
          </w:p>
        </w:tc>
        <w:tc>
          <w:tcPr>
            <w:tcW w:w="852" w:type="pct"/>
            <w:vAlign w:val="center"/>
          </w:tcPr>
          <w:p w14:paraId="423A4402">
            <w:pPr>
              <w:pStyle w:val="129"/>
              <w:widowControl w:val="0"/>
              <w:rPr>
                <w:rFonts w:eastAsia="Times New Roman"/>
                <w:color w:val="auto"/>
              </w:rPr>
            </w:pPr>
            <w:r>
              <w:rPr>
                <w:rFonts w:eastAsia="Times New Roman"/>
                <w:color w:val="auto"/>
              </w:rPr>
              <w:t>3</w:t>
            </w:r>
          </w:p>
        </w:tc>
      </w:tr>
      <w:tr w14:paraId="1170A9A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20A673B0">
            <w:pPr>
              <w:pStyle w:val="129"/>
              <w:widowControl w:val="0"/>
              <w:rPr>
                <w:rFonts w:eastAsia="Times New Roman"/>
                <w:color w:val="auto"/>
              </w:rPr>
            </w:pPr>
          </w:p>
        </w:tc>
        <w:tc>
          <w:tcPr>
            <w:tcW w:w="1805" w:type="pct"/>
            <w:vAlign w:val="center"/>
          </w:tcPr>
          <w:p w14:paraId="2CB0F5C3">
            <w:pPr>
              <w:pStyle w:val="129"/>
              <w:widowControl w:val="0"/>
              <w:rPr>
                <w:rFonts w:eastAsia="Times New Roman"/>
                <w:color w:val="auto"/>
              </w:rPr>
            </w:pPr>
            <w:r>
              <w:rPr>
                <w:rFonts w:hint="eastAsia" w:ascii="宋体" w:hAnsi="宋体" w:eastAsia="Times New Roman" w:cs="宋体"/>
                <w:color w:val="auto"/>
              </w:rPr>
              <w:t>水铝石干燥废气</w:t>
            </w:r>
          </w:p>
        </w:tc>
        <w:tc>
          <w:tcPr>
            <w:tcW w:w="1800" w:type="pct"/>
            <w:vMerge w:val="restart"/>
            <w:vAlign w:val="center"/>
          </w:tcPr>
          <w:p w14:paraId="1BD116FA">
            <w:pPr>
              <w:pStyle w:val="129"/>
              <w:widowControl w:val="0"/>
              <w:rPr>
                <w:rFonts w:eastAsia="Times New Roman"/>
                <w:color w:val="auto"/>
              </w:rPr>
            </w:pPr>
            <w:r>
              <w:rPr>
                <w:rFonts w:hint="eastAsia" w:ascii="宋体" w:hAnsi="宋体" w:eastAsia="Times New Roman" w:cs="宋体"/>
                <w:color w:val="auto"/>
              </w:rPr>
              <w:t>燃用清洁燃料</w:t>
            </w:r>
            <w:r>
              <w:rPr>
                <w:rFonts w:eastAsia="Times New Roman"/>
                <w:color w:val="auto"/>
              </w:rPr>
              <w:t>+</w:t>
            </w:r>
            <w:r>
              <w:rPr>
                <w:rFonts w:hint="eastAsia" w:ascii="宋体" w:hAnsi="宋体" w:eastAsia="Times New Roman" w:cs="宋体"/>
                <w:color w:val="auto"/>
              </w:rPr>
              <w:t>低氮燃烧器</w:t>
            </w:r>
            <w:r>
              <w:rPr>
                <w:rFonts w:eastAsia="Times New Roman"/>
                <w:color w:val="auto"/>
              </w:rPr>
              <w:t>+</w:t>
            </w:r>
            <w:r>
              <w:rPr>
                <w:rFonts w:hint="eastAsia" w:ascii="宋体" w:hAnsi="宋体" w:eastAsia="Times New Roman" w:cs="宋体"/>
                <w:color w:val="auto"/>
              </w:rPr>
              <w:t>布袋除尘器</w:t>
            </w:r>
            <w:r>
              <w:rPr>
                <w:rFonts w:eastAsia="Times New Roman"/>
                <w:color w:val="auto"/>
              </w:rPr>
              <w:t>+17m</w:t>
            </w:r>
            <w:r>
              <w:rPr>
                <w:rFonts w:hint="eastAsia" w:ascii="宋体" w:hAnsi="宋体" w:eastAsia="Times New Roman" w:cs="宋体"/>
                <w:color w:val="auto"/>
              </w:rPr>
              <w:t>排气筒</w:t>
            </w:r>
          </w:p>
        </w:tc>
        <w:tc>
          <w:tcPr>
            <w:tcW w:w="852" w:type="pct"/>
            <w:vAlign w:val="center"/>
          </w:tcPr>
          <w:p w14:paraId="3F6B4631">
            <w:pPr>
              <w:pStyle w:val="129"/>
              <w:widowControl w:val="0"/>
              <w:rPr>
                <w:rFonts w:eastAsia="Times New Roman"/>
                <w:color w:val="auto"/>
              </w:rPr>
            </w:pPr>
            <w:r>
              <w:rPr>
                <w:rFonts w:eastAsia="Times New Roman"/>
                <w:color w:val="auto"/>
              </w:rPr>
              <w:t>35</w:t>
            </w:r>
          </w:p>
        </w:tc>
      </w:tr>
      <w:tr w14:paraId="42DB354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2A2A56EC">
            <w:pPr>
              <w:pStyle w:val="129"/>
              <w:widowControl w:val="0"/>
              <w:rPr>
                <w:rFonts w:eastAsia="Times New Roman"/>
                <w:color w:val="auto"/>
              </w:rPr>
            </w:pPr>
          </w:p>
        </w:tc>
        <w:tc>
          <w:tcPr>
            <w:tcW w:w="1805" w:type="pct"/>
            <w:vAlign w:val="center"/>
          </w:tcPr>
          <w:p w14:paraId="355565FD">
            <w:pPr>
              <w:pStyle w:val="129"/>
              <w:widowControl w:val="0"/>
              <w:rPr>
                <w:rFonts w:eastAsia="Times New Roman"/>
                <w:color w:val="auto"/>
              </w:rPr>
            </w:pPr>
            <w:r>
              <w:rPr>
                <w:rFonts w:hint="eastAsia" w:ascii="宋体" w:hAnsi="宋体" w:eastAsia="Times New Roman" w:cs="宋体"/>
                <w:color w:val="auto"/>
              </w:rPr>
              <w:t>水铝石包装废气</w:t>
            </w:r>
          </w:p>
        </w:tc>
        <w:tc>
          <w:tcPr>
            <w:tcW w:w="1800" w:type="pct"/>
            <w:vMerge w:val="continue"/>
            <w:vAlign w:val="center"/>
          </w:tcPr>
          <w:p w14:paraId="283674FA">
            <w:pPr>
              <w:pStyle w:val="129"/>
              <w:widowControl w:val="0"/>
              <w:rPr>
                <w:rFonts w:eastAsia="Times New Roman"/>
                <w:color w:val="auto"/>
              </w:rPr>
            </w:pPr>
          </w:p>
        </w:tc>
        <w:tc>
          <w:tcPr>
            <w:tcW w:w="852" w:type="pct"/>
            <w:vAlign w:val="center"/>
          </w:tcPr>
          <w:p w14:paraId="4C325B09">
            <w:pPr>
              <w:pStyle w:val="129"/>
              <w:widowControl w:val="0"/>
              <w:rPr>
                <w:rFonts w:eastAsia="Times New Roman"/>
                <w:color w:val="auto"/>
              </w:rPr>
            </w:pPr>
            <w:r>
              <w:rPr>
                <w:rFonts w:eastAsia="Times New Roman"/>
                <w:color w:val="auto"/>
              </w:rPr>
              <w:t>5</w:t>
            </w:r>
          </w:p>
        </w:tc>
      </w:tr>
      <w:tr w14:paraId="522ADBB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6E9873F5">
            <w:pPr>
              <w:pStyle w:val="129"/>
              <w:widowControl w:val="0"/>
              <w:rPr>
                <w:rFonts w:eastAsia="Times New Roman"/>
                <w:color w:val="auto"/>
              </w:rPr>
            </w:pPr>
          </w:p>
        </w:tc>
        <w:tc>
          <w:tcPr>
            <w:tcW w:w="1805" w:type="pct"/>
            <w:vAlign w:val="center"/>
          </w:tcPr>
          <w:p w14:paraId="69A5658D">
            <w:pPr>
              <w:pStyle w:val="129"/>
              <w:widowControl w:val="0"/>
              <w:rPr>
                <w:rFonts w:eastAsia="Times New Roman"/>
                <w:color w:val="auto"/>
              </w:rPr>
            </w:pPr>
            <w:r>
              <w:rPr>
                <w:rFonts w:hint="eastAsia" w:ascii="宋体" w:hAnsi="宋体" w:eastAsia="Times New Roman" w:cs="宋体"/>
                <w:color w:val="auto"/>
              </w:rPr>
              <w:t>载体干燥烟气</w:t>
            </w:r>
          </w:p>
        </w:tc>
        <w:tc>
          <w:tcPr>
            <w:tcW w:w="1800" w:type="pct"/>
            <w:vAlign w:val="center"/>
          </w:tcPr>
          <w:p w14:paraId="0935D3A1">
            <w:pPr>
              <w:pStyle w:val="129"/>
              <w:widowControl w:val="0"/>
              <w:rPr>
                <w:rFonts w:eastAsia="Times New Roman"/>
                <w:color w:val="auto"/>
              </w:rPr>
            </w:pPr>
            <w:bookmarkStart w:id="415" w:name="RANGE!D12"/>
            <w:r>
              <w:rPr>
                <w:rFonts w:hint="eastAsia" w:ascii="宋体" w:hAnsi="宋体" w:eastAsia="Times New Roman" w:cs="宋体"/>
                <w:color w:val="auto"/>
              </w:rPr>
              <w:t>燃用清洁燃料</w:t>
            </w:r>
            <w:r>
              <w:rPr>
                <w:rFonts w:eastAsia="Times New Roman"/>
                <w:color w:val="auto"/>
              </w:rPr>
              <w:t>+</w:t>
            </w:r>
            <w:r>
              <w:rPr>
                <w:rFonts w:hint="eastAsia" w:ascii="宋体" w:hAnsi="宋体" w:eastAsia="Times New Roman" w:cs="宋体"/>
                <w:color w:val="auto"/>
              </w:rPr>
              <w:t>低氮燃烧器</w:t>
            </w:r>
            <w:bookmarkEnd w:id="415"/>
          </w:p>
        </w:tc>
        <w:tc>
          <w:tcPr>
            <w:tcW w:w="852" w:type="pct"/>
            <w:vAlign w:val="center"/>
          </w:tcPr>
          <w:p w14:paraId="71046F33">
            <w:pPr>
              <w:pStyle w:val="129"/>
              <w:widowControl w:val="0"/>
              <w:rPr>
                <w:rFonts w:eastAsia="Times New Roman"/>
                <w:color w:val="auto"/>
              </w:rPr>
            </w:pPr>
            <w:r>
              <w:rPr>
                <w:rFonts w:eastAsia="Times New Roman"/>
                <w:color w:val="auto"/>
              </w:rPr>
              <w:t>10</w:t>
            </w:r>
          </w:p>
        </w:tc>
      </w:tr>
      <w:tr w14:paraId="1A6899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513B830C">
            <w:pPr>
              <w:pStyle w:val="129"/>
              <w:widowControl w:val="0"/>
              <w:rPr>
                <w:rFonts w:eastAsia="Times New Roman"/>
                <w:color w:val="auto"/>
              </w:rPr>
            </w:pPr>
          </w:p>
        </w:tc>
        <w:tc>
          <w:tcPr>
            <w:tcW w:w="1805" w:type="pct"/>
            <w:vAlign w:val="center"/>
          </w:tcPr>
          <w:p w14:paraId="731F4A75">
            <w:pPr>
              <w:pStyle w:val="129"/>
              <w:widowControl w:val="0"/>
              <w:rPr>
                <w:rFonts w:eastAsia="Times New Roman"/>
                <w:color w:val="auto"/>
              </w:rPr>
            </w:pPr>
            <w:r>
              <w:rPr>
                <w:rFonts w:hint="eastAsia" w:ascii="宋体" w:hAnsi="宋体" w:eastAsia="Times New Roman" w:cs="宋体"/>
                <w:color w:val="auto"/>
              </w:rPr>
              <w:t>载体焙烧炉燃烧器废气（燃料燃烧）</w:t>
            </w:r>
          </w:p>
        </w:tc>
        <w:tc>
          <w:tcPr>
            <w:tcW w:w="1800" w:type="pct"/>
            <w:vAlign w:val="center"/>
          </w:tcPr>
          <w:p w14:paraId="12786850">
            <w:pPr>
              <w:pStyle w:val="129"/>
              <w:widowControl w:val="0"/>
              <w:rPr>
                <w:rFonts w:eastAsia="Times New Roman"/>
                <w:color w:val="auto"/>
              </w:rPr>
            </w:pPr>
            <w:bookmarkStart w:id="416" w:name="RANGE!D13"/>
            <w:r>
              <w:rPr>
                <w:rFonts w:hint="eastAsia" w:ascii="宋体" w:hAnsi="宋体" w:eastAsia="Times New Roman" w:cs="宋体"/>
                <w:color w:val="auto"/>
              </w:rPr>
              <w:t>燃用清洁燃料</w:t>
            </w:r>
            <w:r>
              <w:rPr>
                <w:rFonts w:eastAsia="Times New Roman"/>
                <w:color w:val="auto"/>
              </w:rPr>
              <w:t>+</w:t>
            </w:r>
            <w:r>
              <w:rPr>
                <w:rFonts w:hint="eastAsia" w:ascii="宋体" w:hAnsi="宋体" w:eastAsia="Times New Roman" w:cs="宋体"/>
                <w:color w:val="auto"/>
              </w:rPr>
              <w:t>低氮燃烧器</w:t>
            </w:r>
            <w:bookmarkEnd w:id="416"/>
          </w:p>
        </w:tc>
        <w:tc>
          <w:tcPr>
            <w:tcW w:w="852" w:type="pct"/>
            <w:vAlign w:val="center"/>
          </w:tcPr>
          <w:p w14:paraId="304677A4">
            <w:pPr>
              <w:pStyle w:val="129"/>
              <w:widowControl w:val="0"/>
              <w:rPr>
                <w:rFonts w:eastAsia="Times New Roman"/>
                <w:color w:val="auto"/>
              </w:rPr>
            </w:pPr>
            <w:r>
              <w:rPr>
                <w:rFonts w:eastAsia="Times New Roman"/>
                <w:color w:val="auto"/>
              </w:rPr>
              <w:t>10</w:t>
            </w:r>
          </w:p>
        </w:tc>
      </w:tr>
      <w:tr w14:paraId="7760CBB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39D01C8A">
            <w:pPr>
              <w:pStyle w:val="129"/>
              <w:widowControl w:val="0"/>
              <w:rPr>
                <w:rFonts w:eastAsia="Times New Roman"/>
                <w:color w:val="auto"/>
              </w:rPr>
            </w:pPr>
          </w:p>
        </w:tc>
        <w:tc>
          <w:tcPr>
            <w:tcW w:w="1805" w:type="pct"/>
            <w:vAlign w:val="center"/>
          </w:tcPr>
          <w:p w14:paraId="7FE3A3DC">
            <w:pPr>
              <w:pStyle w:val="129"/>
              <w:widowControl w:val="0"/>
              <w:rPr>
                <w:rFonts w:eastAsia="Times New Roman"/>
                <w:color w:val="auto"/>
              </w:rPr>
            </w:pPr>
            <w:r>
              <w:rPr>
                <w:rFonts w:hint="eastAsia" w:ascii="宋体" w:hAnsi="宋体" w:eastAsia="Times New Roman" w:cs="宋体"/>
                <w:color w:val="auto"/>
              </w:rPr>
              <w:t>催化剂干燥烟气</w:t>
            </w:r>
          </w:p>
        </w:tc>
        <w:tc>
          <w:tcPr>
            <w:tcW w:w="1800" w:type="pct"/>
            <w:vAlign w:val="center"/>
          </w:tcPr>
          <w:p w14:paraId="5B1224EF">
            <w:pPr>
              <w:pStyle w:val="129"/>
              <w:widowControl w:val="0"/>
              <w:rPr>
                <w:rFonts w:eastAsia="Times New Roman"/>
                <w:color w:val="auto"/>
              </w:rPr>
            </w:pPr>
            <w:r>
              <w:rPr>
                <w:rFonts w:hint="eastAsia" w:ascii="宋体" w:hAnsi="宋体" w:eastAsia="Times New Roman" w:cs="宋体"/>
                <w:color w:val="auto"/>
              </w:rPr>
              <w:t>燃用清洁燃料</w:t>
            </w:r>
            <w:r>
              <w:rPr>
                <w:rFonts w:eastAsia="Times New Roman"/>
                <w:color w:val="auto"/>
              </w:rPr>
              <w:t>+</w:t>
            </w:r>
            <w:r>
              <w:rPr>
                <w:rFonts w:hint="eastAsia" w:ascii="宋体" w:hAnsi="宋体" w:eastAsia="Times New Roman" w:cs="宋体"/>
                <w:color w:val="auto"/>
              </w:rPr>
              <w:t>低氮燃烧器</w:t>
            </w:r>
          </w:p>
        </w:tc>
        <w:tc>
          <w:tcPr>
            <w:tcW w:w="852" w:type="pct"/>
            <w:vAlign w:val="center"/>
          </w:tcPr>
          <w:p w14:paraId="621FC1F5">
            <w:pPr>
              <w:pStyle w:val="129"/>
              <w:widowControl w:val="0"/>
              <w:rPr>
                <w:rFonts w:eastAsia="Times New Roman"/>
                <w:color w:val="auto"/>
              </w:rPr>
            </w:pPr>
            <w:r>
              <w:rPr>
                <w:rFonts w:eastAsia="Times New Roman"/>
                <w:color w:val="auto"/>
              </w:rPr>
              <w:t>10</w:t>
            </w:r>
          </w:p>
        </w:tc>
      </w:tr>
      <w:tr w14:paraId="3D061DD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5774F58A">
            <w:pPr>
              <w:pStyle w:val="129"/>
              <w:widowControl w:val="0"/>
              <w:rPr>
                <w:rFonts w:eastAsia="Times New Roman"/>
                <w:color w:val="auto"/>
              </w:rPr>
            </w:pPr>
          </w:p>
        </w:tc>
        <w:tc>
          <w:tcPr>
            <w:tcW w:w="1805" w:type="pct"/>
            <w:vAlign w:val="center"/>
          </w:tcPr>
          <w:p w14:paraId="3CFC8DEB">
            <w:pPr>
              <w:pStyle w:val="129"/>
              <w:widowControl w:val="0"/>
              <w:rPr>
                <w:rFonts w:eastAsia="Times New Roman"/>
                <w:color w:val="auto"/>
              </w:rPr>
            </w:pPr>
            <w:r>
              <w:rPr>
                <w:rFonts w:hint="eastAsia" w:ascii="宋体" w:hAnsi="宋体" w:eastAsia="Times New Roman" w:cs="宋体"/>
                <w:color w:val="auto"/>
              </w:rPr>
              <w:t>催化剂焙烧炉燃烧器废气（燃料燃烧）</w:t>
            </w:r>
          </w:p>
        </w:tc>
        <w:tc>
          <w:tcPr>
            <w:tcW w:w="1800" w:type="pct"/>
            <w:vAlign w:val="center"/>
          </w:tcPr>
          <w:p w14:paraId="3FDD4198">
            <w:pPr>
              <w:pStyle w:val="129"/>
              <w:widowControl w:val="0"/>
              <w:rPr>
                <w:rFonts w:eastAsia="Times New Roman"/>
                <w:color w:val="auto"/>
              </w:rPr>
            </w:pPr>
            <w:r>
              <w:rPr>
                <w:rFonts w:hint="eastAsia" w:ascii="宋体" w:hAnsi="宋体" w:eastAsia="Times New Roman" w:cs="宋体"/>
                <w:color w:val="auto"/>
              </w:rPr>
              <w:t>燃用清洁燃烧</w:t>
            </w:r>
            <w:r>
              <w:rPr>
                <w:rFonts w:eastAsia="Times New Roman"/>
                <w:color w:val="auto"/>
              </w:rPr>
              <w:t>+</w:t>
            </w:r>
            <w:r>
              <w:rPr>
                <w:rFonts w:hint="eastAsia" w:ascii="宋体" w:hAnsi="宋体" w:eastAsia="Times New Roman" w:cs="宋体"/>
                <w:color w:val="auto"/>
              </w:rPr>
              <w:t>低氮燃烧器</w:t>
            </w:r>
          </w:p>
        </w:tc>
        <w:tc>
          <w:tcPr>
            <w:tcW w:w="852" w:type="pct"/>
            <w:vAlign w:val="center"/>
          </w:tcPr>
          <w:p w14:paraId="262A3A2A">
            <w:pPr>
              <w:pStyle w:val="129"/>
              <w:widowControl w:val="0"/>
              <w:rPr>
                <w:rFonts w:eastAsia="Times New Roman"/>
                <w:color w:val="auto"/>
              </w:rPr>
            </w:pPr>
            <w:r>
              <w:rPr>
                <w:rFonts w:eastAsia="Times New Roman"/>
                <w:color w:val="auto"/>
              </w:rPr>
              <w:t>10</w:t>
            </w:r>
          </w:p>
        </w:tc>
      </w:tr>
      <w:tr w14:paraId="69F33FA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2EB3D757">
            <w:pPr>
              <w:pStyle w:val="129"/>
              <w:widowControl w:val="0"/>
              <w:rPr>
                <w:rFonts w:eastAsia="Times New Roman"/>
                <w:color w:val="auto"/>
              </w:rPr>
            </w:pPr>
          </w:p>
        </w:tc>
        <w:tc>
          <w:tcPr>
            <w:tcW w:w="1805" w:type="pct"/>
            <w:vAlign w:val="center"/>
          </w:tcPr>
          <w:p w14:paraId="4458DF59">
            <w:pPr>
              <w:pStyle w:val="129"/>
              <w:widowControl w:val="0"/>
              <w:rPr>
                <w:rFonts w:eastAsia="Times New Roman"/>
                <w:color w:val="auto"/>
              </w:rPr>
            </w:pPr>
            <w:r>
              <w:rPr>
                <w:rFonts w:hint="eastAsia" w:ascii="宋体" w:hAnsi="宋体" w:eastAsia="Times New Roman" w:cs="宋体"/>
                <w:color w:val="auto"/>
              </w:rPr>
              <w:t>催化剂焙烧、载体焙烧烟气</w:t>
            </w:r>
          </w:p>
        </w:tc>
        <w:tc>
          <w:tcPr>
            <w:tcW w:w="1800" w:type="pct"/>
            <w:vAlign w:val="center"/>
          </w:tcPr>
          <w:p w14:paraId="207D42C2">
            <w:pPr>
              <w:pStyle w:val="129"/>
              <w:widowControl w:val="0"/>
              <w:rPr>
                <w:rFonts w:eastAsia="Times New Roman"/>
                <w:color w:val="auto"/>
              </w:rPr>
            </w:pPr>
            <w:r>
              <w:rPr>
                <w:rFonts w:hint="eastAsia" w:ascii="宋体" w:hAnsi="宋体" w:eastAsia="Times New Roman" w:cs="宋体"/>
                <w:color w:val="auto"/>
              </w:rPr>
              <w:t>燃用清燃料</w:t>
            </w:r>
            <w:r>
              <w:rPr>
                <w:rFonts w:eastAsia="Times New Roman"/>
                <w:color w:val="auto"/>
              </w:rPr>
              <w:t>+SCR</w:t>
            </w:r>
            <w:r>
              <w:rPr>
                <w:rFonts w:hint="eastAsia" w:ascii="宋体" w:hAnsi="宋体" w:eastAsia="Times New Roman" w:cs="宋体"/>
                <w:color w:val="auto"/>
              </w:rPr>
              <w:t>脱硝</w:t>
            </w:r>
            <w:r>
              <w:rPr>
                <w:rFonts w:eastAsia="Times New Roman"/>
                <w:color w:val="auto"/>
              </w:rPr>
              <w:t>+</w:t>
            </w:r>
            <w:r>
              <w:rPr>
                <w:rFonts w:hint="eastAsia" w:ascii="宋体" w:hAnsi="宋体" w:eastAsia="Times New Roman" w:cs="宋体"/>
                <w:color w:val="auto"/>
              </w:rPr>
              <w:t>布袋除尘</w:t>
            </w:r>
          </w:p>
        </w:tc>
        <w:tc>
          <w:tcPr>
            <w:tcW w:w="852" w:type="pct"/>
            <w:vAlign w:val="center"/>
          </w:tcPr>
          <w:p w14:paraId="0076D5C3">
            <w:pPr>
              <w:pStyle w:val="129"/>
              <w:widowControl w:val="0"/>
              <w:rPr>
                <w:rFonts w:eastAsia="Times New Roman"/>
                <w:color w:val="auto"/>
              </w:rPr>
            </w:pPr>
            <w:r>
              <w:rPr>
                <w:rFonts w:eastAsia="Times New Roman"/>
                <w:color w:val="auto"/>
              </w:rPr>
              <w:t>200</w:t>
            </w:r>
          </w:p>
        </w:tc>
      </w:tr>
      <w:tr w14:paraId="3E58630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33DEC5A3">
            <w:pPr>
              <w:pStyle w:val="129"/>
              <w:widowControl w:val="0"/>
              <w:rPr>
                <w:rFonts w:eastAsia="Times New Roman"/>
                <w:color w:val="auto"/>
              </w:rPr>
            </w:pPr>
          </w:p>
        </w:tc>
        <w:tc>
          <w:tcPr>
            <w:tcW w:w="1805" w:type="pct"/>
            <w:vAlign w:val="center"/>
          </w:tcPr>
          <w:p w14:paraId="0450D1D7">
            <w:pPr>
              <w:pStyle w:val="129"/>
              <w:widowControl w:val="0"/>
              <w:rPr>
                <w:rFonts w:eastAsia="Times New Roman"/>
                <w:color w:val="auto"/>
              </w:rPr>
            </w:pPr>
            <w:r>
              <w:rPr>
                <w:rFonts w:hint="eastAsia" w:ascii="宋体" w:hAnsi="宋体" w:eastAsia="Times New Roman" w:cs="宋体"/>
                <w:color w:val="auto"/>
              </w:rPr>
              <w:t>催化剂生产干燥废气总排口</w:t>
            </w:r>
          </w:p>
        </w:tc>
        <w:tc>
          <w:tcPr>
            <w:tcW w:w="1800" w:type="pct"/>
            <w:vAlign w:val="center"/>
          </w:tcPr>
          <w:p w14:paraId="2B8ECD7E">
            <w:pPr>
              <w:pStyle w:val="129"/>
              <w:widowControl w:val="0"/>
              <w:rPr>
                <w:rFonts w:eastAsia="Times New Roman"/>
                <w:color w:val="auto"/>
              </w:rPr>
            </w:pPr>
            <w:r>
              <w:rPr>
                <w:rFonts w:eastAsia="Times New Roman"/>
                <w:color w:val="auto"/>
              </w:rPr>
              <w:t>17m</w:t>
            </w:r>
            <w:r>
              <w:rPr>
                <w:rFonts w:hint="eastAsia" w:ascii="宋体" w:hAnsi="宋体" w:eastAsia="Times New Roman" w:cs="宋体"/>
                <w:color w:val="auto"/>
              </w:rPr>
              <w:t>排气筒</w:t>
            </w:r>
          </w:p>
        </w:tc>
        <w:tc>
          <w:tcPr>
            <w:tcW w:w="852" w:type="pct"/>
            <w:vAlign w:val="center"/>
          </w:tcPr>
          <w:p w14:paraId="206E30F1">
            <w:pPr>
              <w:pStyle w:val="129"/>
              <w:widowControl w:val="0"/>
              <w:rPr>
                <w:rFonts w:eastAsia="Times New Roman"/>
                <w:color w:val="auto"/>
              </w:rPr>
            </w:pPr>
            <w:r>
              <w:rPr>
                <w:rFonts w:eastAsia="Times New Roman"/>
                <w:color w:val="auto"/>
              </w:rPr>
              <w:t>2</w:t>
            </w:r>
          </w:p>
        </w:tc>
      </w:tr>
      <w:tr w14:paraId="43EDF40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5FDC8080">
            <w:pPr>
              <w:pStyle w:val="129"/>
              <w:widowControl w:val="0"/>
              <w:rPr>
                <w:rFonts w:eastAsia="Times New Roman"/>
                <w:color w:val="auto"/>
              </w:rPr>
            </w:pPr>
          </w:p>
        </w:tc>
        <w:tc>
          <w:tcPr>
            <w:tcW w:w="1805" w:type="pct"/>
            <w:vAlign w:val="center"/>
          </w:tcPr>
          <w:p w14:paraId="293A90BC">
            <w:pPr>
              <w:pStyle w:val="129"/>
              <w:widowControl w:val="0"/>
              <w:rPr>
                <w:rFonts w:eastAsia="Times New Roman"/>
                <w:color w:val="auto"/>
              </w:rPr>
            </w:pPr>
            <w:r>
              <w:rPr>
                <w:rFonts w:hint="eastAsia" w:ascii="宋体" w:hAnsi="宋体" w:eastAsia="Times New Roman" w:cs="宋体"/>
                <w:color w:val="auto"/>
              </w:rPr>
              <w:t>催化剂生产焙烧废气总排口</w:t>
            </w:r>
          </w:p>
        </w:tc>
        <w:tc>
          <w:tcPr>
            <w:tcW w:w="1800" w:type="pct"/>
            <w:vAlign w:val="center"/>
          </w:tcPr>
          <w:p w14:paraId="46CF34CB">
            <w:pPr>
              <w:pStyle w:val="129"/>
              <w:widowControl w:val="0"/>
              <w:rPr>
                <w:rFonts w:eastAsia="Times New Roman"/>
                <w:color w:val="auto"/>
              </w:rPr>
            </w:pPr>
            <w:r>
              <w:rPr>
                <w:rFonts w:eastAsia="Times New Roman"/>
                <w:color w:val="auto"/>
              </w:rPr>
              <w:t>17m</w:t>
            </w:r>
            <w:r>
              <w:rPr>
                <w:rFonts w:hint="eastAsia" w:ascii="宋体" w:hAnsi="宋体" w:eastAsia="Times New Roman" w:cs="宋体"/>
                <w:color w:val="auto"/>
              </w:rPr>
              <w:t>排气筒</w:t>
            </w:r>
          </w:p>
        </w:tc>
        <w:tc>
          <w:tcPr>
            <w:tcW w:w="852" w:type="pct"/>
            <w:vAlign w:val="center"/>
          </w:tcPr>
          <w:p w14:paraId="162927F1">
            <w:pPr>
              <w:pStyle w:val="129"/>
              <w:widowControl w:val="0"/>
              <w:rPr>
                <w:rFonts w:eastAsia="Times New Roman"/>
                <w:color w:val="auto"/>
              </w:rPr>
            </w:pPr>
            <w:r>
              <w:rPr>
                <w:rFonts w:eastAsia="Times New Roman"/>
                <w:color w:val="auto"/>
              </w:rPr>
              <w:t>2</w:t>
            </w:r>
          </w:p>
        </w:tc>
      </w:tr>
      <w:tr w14:paraId="56CA545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1AB6D80E">
            <w:pPr>
              <w:pStyle w:val="129"/>
              <w:widowControl w:val="0"/>
              <w:rPr>
                <w:rFonts w:eastAsia="Times New Roman"/>
                <w:color w:val="auto"/>
              </w:rPr>
            </w:pPr>
          </w:p>
        </w:tc>
        <w:tc>
          <w:tcPr>
            <w:tcW w:w="1805" w:type="pct"/>
            <w:vAlign w:val="center"/>
          </w:tcPr>
          <w:p w14:paraId="738B5711">
            <w:pPr>
              <w:pStyle w:val="129"/>
              <w:widowControl w:val="0"/>
              <w:rPr>
                <w:rFonts w:eastAsia="Times New Roman"/>
                <w:color w:val="auto"/>
              </w:rPr>
            </w:pPr>
            <w:r>
              <w:rPr>
                <w:rFonts w:hint="eastAsia" w:ascii="宋体" w:hAnsi="宋体" w:eastAsia="Times New Roman" w:cs="宋体"/>
                <w:color w:val="auto"/>
              </w:rPr>
              <w:t>混捏、催化剂、载体筛分包装废气</w:t>
            </w:r>
          </w:p>
        </w:tc>
        <w:tc>
          <w:tcPr>
            <w:tcW w:w="1800" w:type="pct"/>
            <w:vAlign w:val="center"/>
          </w:tcPr>
          <w:p w14:paraId="43981A0A">
            <w:pPr>
              <w:pStyle w:val="129"/>
              <w:widowControl w:val="0"/>
              <w:rPr>
                <w:rFonts w:eastAsia="Times New Roman"/>
                <w:color w:val="auto"/>
              </w:rPr>
            </w:pPr>
            <w:r>
              <w:rPr>
                <w:rFonts w:hint="eastAsia" w:ascii="宋体" w:hAnsi="宋体" w:eastAsia="Times New Roman" w:cs="宋体"/>
                <w:color w:val="auto"/>
              </w:rPr>
              <w:t>布袋除尘</w:t>
            </w:r>
            <w:r>
              <w:rPr>
                <w:rFonts w:eastAsia="Times New Roman"/>
                <w:color w:val="auto"/>
              </w:rPr>
              <w:t>+17m</w:t>
            </w:r>
            <w:r>
              <w:rPr>
                <w:rFonts w:hint="eastAsia" w:ascii="宋体" w:hAnsi="宋体" w:eastAsia="Times New Roman" w:cs="宋体"/>
                <w:color w:val="auto"/>
              </w:rPr>
              <w:t>排气筒</w:t>
            </w:r>
          </w:p>
        </w:tc>
        <w:tc>
          <w:tcPr>
            <w:tcW w:w="852" w:type="pct"/>
            <w:vAlign w:val="center"/>
          </w:tcPr>
          <w:p w14:paraId="3D2BDD01">
            <w:pPr>
              <w:pStyle w:val="129"/>
              <w:widowControl w:val="0"/>
              <w:rPr>
                <w:rFonts w:eastAsia="Times New Roman"/>
                <w:color w:val="auto"/>
              </w:rPr>
            </w:pPr>
            <w:r>
              <w:rPr>
                <w:rFonts w:eastAsia="Times New Roman"/>
                <w:color w:val="auto"/>
              </w:rPr>
              <w:t>25</w:t>
            </w:r>
          </w:p>
        </w:tc>
      </w:tr>
      <w:tr w14:paraId="5D40DB3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2B136E4B">
            <w:pPr>
              <w:pStyle w:val="129"/>
              <w:widowControl w:val="0"/>
              <w:rPr>
                <w:rFonts w:eastAsia="Times New Roman"/>
                <w:color w:val="auto"/>
              </w:rPr>
            </w:pPr>
          </w:p>
        </w:tc>
        <w:tc>
          <w:tcPr>
            <w:tcW w:w="1805" w:type="pct"/>
            <w:vAlign w:val="center"/>
          </w:tcPr>
          <w:p w14:paraId="237B0C6A">
            <w:pPr>
              <w:pStyle w:val="129"/>
              <w:widowControl w:val="0"/>
              <w:rPr>
                <w:rFonts w:eastAsia="Times New Roman"/>
                <w:color w:val="auto"/>
              </w:rPr>
            </w:pPr>
            <w:r>
              <w:rPr>
                <w:rFonts w:hint="eastAsia" w:ascii="宋体" w:hAnsi="宋体" w:eastAsia="Times New Roman" w:cs="宋体"/>
                <w:color w:val="auto"/>
              </w:rPr>
              <w:t>燃气锅炉废气（备用）</w:t>
            </w:r>
          </w:p>
        </w:tc>
        <w:tc>
          <w:tcPr>
            <w:tcW w:w="1800" w:type="pct"/>
            <w:vAlign w:val="center"/>
          </w:tcPr>
          <w:p w14:paraId="4297F7D4">
            <w:pPr>
              <w:pStyle w:val="129"/>
              <w:widowControl w:val="0"/>
              <w:rPr>
                <w:rFonts w:eastAsia="Times New Roman"/>
                <w:color w:val="auto"/>
              </w:rPr>
            </w:pPr>
            <w:r>
              <w:rPr>
                <w:rFonts w:hint="eastAsia" w:ascii="宋体" w:hAnsi="宋体" w:eastAsia="Times New Roman" w:cs="宋体"/>
                <w:color w:val="auto"/>
              </w:rPr>
              <w:t>（燃用清洁燃料</w:t>
            </w:r>
            <w:r>
              <w:rPr>
                <w:rFonts w:eastAsia="Times New Roman"/>
                <w:color w:val="auto"/>
              </w:rPr>
              <w:t>+</w:t>
            </w:r>
            <w:r>
              <w:rPr>
                <w:rFonts w:hint="eastAsia" w:ascii="宋体" w:hAnsi="宋体" w:eastAsia="Times New Roman" w:cs="宋体"/>
                <w:color w:val="auto"/>
              </w:rPr>
              <w:t>低氮燃烧</w:t>
            </w:r>
            <w:r>
              <w:rPr>
                <w:rFonts w:eastAsia="Times New Roman"/>
                <w:color w:val="auto"/>
              </w:rPr>
              <w:t>+17m</w:t>
            </w:r>
            <w:r>
              <w:rPr>
                <w:rFonts w:hint="eastAsia" w:ascii="宋体" w:hAnsi="宋体" w:eastAsia="Times New Roman" w:cs="宋体"/>
                <w:color w:val="auto"/>
              </w:rPr>
              <w:t>排气筒）</w:t>
            </w:r>
            <w:r>
              <w:rPr>
                <w:rFonts w:hint="eastAsia" w:asciiTheme="minorEastAsia" w:hAnsiTheme="minorEastAsia" w:eastAsiaTheme="minorEastAsia"/>
                <w:color w:val="auto"/>
              </w:rPr>
              <w:t>×</w:t>
            </w:r>
            <w:r>
              <w:rPr>
                <w:rFonts w:eastAsia="Times New Roman"/>
                <w:color w:val="auto"/>
              </w:rPr>
              <w:t>2</w:t>
            </w:r>
          </w:p>
        </w:tc>
        <w:tc>
          <w:tcPr>
            <w:tcW w:w="852" w:type="pct"/>
            <w:vAlign w:val="center"/>
          </w:tcPr>
          <w:p w14:paraId="5B0B5821">
            <w:pPr>
              <w:pStyle w:val="129"/>
              <w:widowControl w:val="0"/>
              <w:rPr>
                <w:rFonts w:eastAsia="Times New Roman"/>
                <w:color w:val="auto"/>
              </w:rPr>
            </w:pPr>
            <w:r>
              <w:rPr>
                <w:rFonts w:eastAsia="Times New Roman"/>
                <w:color w:val="auto"/>
              </w:rPr>
              <w:t>50</w:t>
            </w:r>
          </w:p>
        </w:tc>
      </w:tr>
      <w:tr w14:paraId="6CDA921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restart"/>
            <w:vAlign w:val="center"/>
          </w:tcPr>
          <w:p w14:paraId="1C264557">
            <w:pPr>
              <w:pStyle w:val="129"/>
              <w:widowControl w:val="0"/>
              <w:rPr>
                <w:rFonts w:eastAsia="Times New Roman"/>
                <w:color w:val="auto"/>
              </w:rPr>
            </w:pPr>
            <w:r>
              <w:rPr>
                <w:rFonts w:hint="eastAsia" w:ascii="宋体" w:hAnsi="宋体" w:eastAsia="Times New Roman" w:cs="宋体"/>
                <w:color w:val="auto"/>
              </w:rPr>
              <w:t>废水治理</w:t>
            </w:r>
          </w:p>
        </w:tc>
        <w:tc>
          <w:tcPr>
            <w:tcW w:w="1805" w:type="pct"/>
            <w:vAlign w:val="center"/>
          </w:tcPr>
          <w:p w14:paraId="033EE038">
            <w:pPr>
              <w:pStyle w:val="129"/>
              <w:widowControl w:val="0"/>
              <w:rPr>
                <w:rFonts w:eastAsia="Times New Roman"/>
                <w:color w:val="auto"/>
              </w:rPr>
            </w:pPr>
            <w:r>
              <w:rPr>
                <w:rFonts w:hint="eastAsia" w:ascii="宋体" w:hAnsi="宋体" w:eastAsia="Times New Roman" w:cs="宋体"/>
                <w:color w:val="auto"/>
              </w:rPr>
              <w:t>生产废水</w:t>
            </w:r>
          </w:p>
        </w:tc>
        <w:tc>
          <w:tcPr>
            <w:tcW w:w="1800" w:type="pct"/>
            <w:vAlign w:val="center"/>
          </w:tcPr>
          <w:p w14:paraId="1E2C6E02">
            <w:pPr>
              <w:pStyle w:val="129"/>
              <w:widowControl w:val="0"/>
              <w:rPr>
                <w:rFonts w:eastAsia="Times New Roman"/>
                <w:color w:val="auto"/>
              </w:rPr>
            </w:pPr>
            <w:r>
              <w:rPr>
                <w:rFonts w:hint="eastAsia" w:ascii="宋体" w:hAnsi="宋体" w:eastAsia="Times New Roman" w:cs="宋体"/>
                <w:color w:val="auto"/>
              </w:rPr>
              <w:t>产生的冷凝水回用至众和公司管道</w:t>
            </w:r>
          </w:p>
        </w:tc>
        <w:tc>
          <w:tcPr>
            <w:tcW w:w="852" w:type="pct"/>
            <w:vAlign w:val="center"/>
          </w:tcPr>
          <w:p w14:paraId="2984F5E8">
            <w:pPr>
              <w:pStyle w:val="129"/>
              <w:widowControl w:val="0"/>
              <w:rPr>
                <w:rFonts w:eastAsia="Times New Roman"/>
                <w:color w:val="auto"/>
              </w:rPr>
            </w:pPr>
            <w:r>
              <w:rPr>
                <w:rFonts w:eastAsia="Times New Roman"/>
                <w:color w:val="auto"/>
              </w:rPr>
              <w:t>600</w:t>
            </w:r>
          </w:p>
        </w:tc>
      </w:tr>
      <w:tr w14:paraId="012C8EF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18231070">
            <w:pPr>
              <w:pStyle w:val="129"/>
              <w:widowControl w:val="0"/>
              <w:rPr>
                <w:rFonts w:eastAsia="Times New Roman"/>
                <w:color w:val="auto"/>
              </w:rPr>
            </w:pPr>
          </w:p>
        </w:tc>
        <w:tc>
          <w:tcPr>
            <w:tcW w:w="1805" w:type="pct"/>
            <w:vAlign w:val="center"/>
          </w:tcPr>
          <w:p w14:paraId="143A663E">
            <w:pPr>
              <w:pStyle w:val="129"/>
              <w:widowControl w:val="0"/>
              <w:rPr>
                <w:rFonts w:eastAsia="Times New Roman"/>
                <w:color w:val="auto"/>
              </w:rPr>
            </w:pPr>
            <w:r>
              <w:rPr>
                <w:rFonts w:hint="eastAsia" w:ascii="宋体" w:hAnsi="宋体" w:eastAsia="Times New Roman" w:cs="宋体"/>
                <w:color w:val="auto"/>
              </w:rPr>
              <w:t>生活污水</w:t>
            </w:r>
          </w:p>
        </w:tc>
        <w:tc>
          <w:tcPr>
            <w:tcW w:w="1800" w:type="pct"/>
            <w:vAlign w:val="center"/>
          </w:tcPr>
          <w:p w14:paraId="1F710BED">
            <w:pPr>
              <w:pStyle w:val="129"/>
              <w:widowControl w:val="0"/>
              <w:rPr>
                <w:rFonts w:eastAsia="Times New Roman"/>
                <w:color w:val="auto"/>
              </w:rPr>
            </w:pPr>
            <w:r>
              <w:rPr>
                <w:rFonts w:hint="eastAsia" w:ascii="宋体" w:hAnsi="宋体" w:eastAsia="Times New Roman" w:cs="宋体"/>
                <w:color w:val="auto"/>
              </w:rPr>
              <w:t>经管道排入园区管网</w:t>
            </w:r>
          </w:p>
        </w:tc>
        <w:tc>
          <w:tcPr>
            <w:tcW w:w="852" w:type="pct"/>
            <w:vAlign w:val="center"/>
          </w:tcPr>
          <w:p w14:paraId="4EE34DCD">
            <w:pPr>
              <w:pStyle w:val="129"/>
              <w:widowControl w:val="0"/>
              <w:rPr>
                <w:rFonts w:eastAsia="Times New Roman"/>
                <w:color w:val="auto"/>
              </w:rPr>
            </w:pPr>
            <w:r>
              <w:rPr>
                <w:rFonts w:eastAsia="Times New Roman"/>
                <w:color w:val="auto"/>
              </w:rPr>
              <w:t>5</w:t>
            </w:r>
          </w:p>
        </w:tc>
      </w:tr>
      <w:tr w14:paraId="25146AA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Align w:val="center"/>
          </w:tcPr>
          <w:p w14:paraId="25762766">
            <w:pPr>
              <w:pStyle w:val="129"/>
              <w:widowControl w:val="0"/>
              <w:rPr>
                <w:rFonts w:eastAsia="Times New Roman"/>
                <w:color w:val="auto"/>
              </w:rPr>
            </w:pPr>
            <w:r>
              <w:rPr>
                <w:rFonts w:hint="eastAsia" w:ascii="宋体" w:hAnsi="宋体" w:eastAsia="Times New Roman" w:cs="宋体"/>
                <w:color w:val="auto"/>
              </w:rPr>
              <w:t>噪声</w:t>
            </w:r>
          </w:p>
        </w:tc>
        <w:tc>
          <w:tcPr>
            <w:tcW w:w="1805" w:type="pct"/>
            <w:vAlign w:val="center"/>
          </w:tcPr>
          <w:p w14:paraId="40D24355">
            <w:pPr>
              <w:pStyle w:val="129"/>
              <w:widowControl w:val="0"/>
              <w:rPr>
                <w:rFonts w:eastAsia="Times New Roman"/>
                <w:color w:val="auto"/>
              </w:rPr>
            </w:pPr>
            <w:r>
              <w:rPr>
                <w:rFonts w:hint="eastAsia" w:ascii="宋体" w:hAnsi="宋体" w:eastAsia="Times New Roman" w:cs="宋体"/>
                <w:color w:val="auto"/>
              </w:rPr>
              <w:t>机械噪声</w:t>
            </w:r>
          </w:p>
        </w:tc>
        <w:tc>
          <w:tcPr>
            <w:tcW w:w="1800" w:type="pct"/>
            <w:vAlign w:val="center"/>
          </w:tcPr>
          <w:p w14:paraId="5D6DD999">
            <w:pPr>
              <w:pStyle w:val="129"/>
              <w:widowControl w:val="0"/>
              <w:rPr>
                <w:rFonts w:eastAsia="Times New Roman"/>
                <w:color w:val="auto"/>
              </w:rPr>
            </w:pPr>
            <w:r>
              <w:rPr>
                <w:rFonts w:hint="eastAsia" w:ascii="宋体" w:hAnsi="宋体" w:eastAsia="Times New Roman" w:cs="宋体"/>
                <w:color w:val="auto"/>
              </w:rPr>
              <w:t>设备减振基础、隔声、消声等措施</w:t>
            </w:r>
          </w:p>
        </w:tc>
        <w:tc>
          <w:tcPr>
            <w:tcW w:w="852" w:type="pct"/>
            <w:vAlign w:val="center"/>
          </w:tcPr>
          <w:p w14:paraId="5A41B047">
            <w:pPr>
              <w:pStyle w:val="129"/>
              <w:widowControl w:val="0"/>
              <w:rPr>
                <w:rFonts w:eastAsia="Times New Roman"/>
                <w:color w:val="auto"/>
              </w:rPr>
            </w:pPr>
            <w:r>
              <w:rPr>
                <w:rFonts w:eastAsia="Times New Roman"/>
                <w:color w:val="auto"/>
              </w:rPr>
              <w:t>25</w:t>
            </w:r>
          </w:p>
        </w:tc>
      </w:tr>
      <w:tr w14:paraId="07E9F7C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Align w:val="center"/>
          </w:tcPr>
          <w:p w14:paraId="1B4BB6B3">
            <w:pPr>
              <w:pStyle w:val="129"/>
              <w:widowControl w:val="0"/>
              <w:rPr>
                <w:rFonts w:eastAsia="Times New Roman"/>
                <w:color w:val="auto"/>
              </w:rPr>
            </w:pPr>
            <w:r>
              <w:rPr>
                <w:rFonts w:hint="eastAsia" w:ascii="宋体" w:hAnsi="宋体" w:eastAsia="Times New Roman" w:cs="宋体"/>
                <w:color w:val="auto"/>
              </w:rPr>
              <w:t>固废</w:t>
            </w:r>
          </w:p>
        </w:tc>
        <w:tc>
          <w:tcPr>
            <w:tcW w:w="1805" w:type="pct"/>
            <w:vAlign w:val="center"/>
          </w:tcPr>
          <w:p w14:paraId="42ACAF71">
            <w:pPr>
              <w:pStyle w:val="129"/>
              <w:widowControl w:val="0"/>
              <w:rPr>
                <w:rFonts w:eastAsia="Times New Roman"/>
                <w:color w:val="auto"/>
              </w:rPr>
            </w:pPr>
            <w:r>
              <w:rPr>
                <w:rFonts w:hint="eastAsia" w:ascii="宋体" w:hAnsi="宋体" w:eastAsia="Times New Roman" w:cs="宋体"/>
                <w:color w:val="auto"/>
              </w:rPr>
              <w:t>危险废物</w:t>
            </w:r>
          </w:p>
        </w:tc>
        <w:tc>
          <w:tcPr>
            <w:tcW w:w="1800" w:type="pct"/>
            <w:vAlign w:val="center"/>
          </w:tcPr>
          <w:p w14:paraId="75D367A7">
            <w:pPr>
              <w:pStyle w:val="129"/>
              <w:widowControl w:val="0"/>
              <w:rPr>
                <w:rFonts w:eastAsia="Times New Roman"/>
                <w:color w:val="auto"/>
              </w:rPr>
            </w:pPr>
            <w:r>
              <w:rPr>
                <w:rFonts w:hint="eastAsia" w:ascii="宋体" w:hAnsi="宋体" w:eastAsia="Times New Roman" w:cs="宋体"/>
                <w:color w:val="auto"/>
              </w:rPr>
              <w:t>厂区内建设危险废物贮存库</w:t>
            </w:r>
          </w:p>
        </w:tc>
        <w:tc>
          <w:tcPr>
            <w:tcW w:w="852" w:type="pct"/>
            <w:vAlign w:val="center"/>
          </w:tcPr>
          <w:p w14:paraId="4A3C5732">
            <w:pPr>
              <w:pStyle w:val="129"/>
              <w:widowControl w:val="0"/>
              <w:rPr>
                <w:rFonts w:eastAsia="Times New Roman"/>
                <w:color w:val="auto"/>
              </w:rPr>
            </w:pPr>
            <w:r>
              <w:rPr>
                <w:rFonts w:eastAsia="Times New Roman"/>
                <w:color w:val="auto"/>
              </w:rPr>
              <w:t>25</w:t>
            </w:r>
          </w:p>
        </w:tc>
      </w:tr>
      <w:tr w14:paraId="57EEF12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Align w:val="center"/>
          </w:tcPr>
          <w:p w14:paraId="35D436C2">
            <w:pPr>
              <w:pStyle w:val="129"/>
              <w:widowControl w:val="0"/>
              <w:rPr>
                <w:rFonts w:eastAsia="Times New Roman"/>
                <w:color w:val="auto"/>
              </w:rPr>
            </w:pPr>
            <w:r>
              <w:rPr>
                <w:rFonts w:hint="eastAsia" w:ascii="宋体" w:hAnsi="宋体" w:eastAsia="Times New Roman" w:cs="宋体"/>
                <w:color w:val="auto"/>
              </w:rPr>
              <w:t>地下水</w:t>
            </w:r>
            <w:r>
              <w:rPr>
                <w:rFonts w:eastAsia="Times New Roman"/>
                <w:color w:val="auto"/>
              </w:rPr>
              <w:t xml:space="preserve"> </w:t>
            </w:r>
          </w:p>
        </w:tc>
        <w:tc>
          <w:tcPr>
            <w:tcW w:w="3605" w:type="pct"/>
            <w:gridSpan w:val="2"/>
            <w:vAlign w:val="center"/>
          </w:tcPr>
          <w:p w14:paraId="29458EAA">
            <w:pPr>
              <w:pStyle w:val="129"/>
              <w:widowControl w:val="0"/>
              <w:rPr>
                <w:rFonts w:eastAsia="Times New Roman"/>
                <w:color w:val="auto"/>
              </w:rPr>
            </w:pPr>
            <w:r>
              <w:rPr>
                <w:rFonts w:hint="eastAsia" w:ascii="宋体" w:hAnsi="宋体" w:eastAsia="Times New Roman" w:cs="宋体"/>
                <w:color w:val="auto"/>
              </w:rPr>
              <w:t>地下水跟踪监测井</w:t>
            </w:r>
          </w:p>
        </w:tc>
        <w:tc>
          <w:tcPr>
            <w:tcW w:w="852" w:type="pct"/>
            <w:vAlign w:val="center"/>
          </w:tcPr>
          <w:p w14:paraId="6C7ECF98">
            <w:pPr>
              <w:pStyle w:val="129"/>
              <w:widowControl w:val="0"/>
              <w:rPr>
                <w:rFonts w:eastAsia="Times New Roman"/>
                <w:color w:val="auto"/>
              </w:rPr>
            </w:pPr>
            <w:r>
              <w:rPr>
                <w:rFonts w:eastAsia="Times New Roman"/>
                <w:color w:val="auto"/>
              </w:rPr>
              <w:t>20</w:t>
            </w:r>
          </w:p>
        </w:tc>
      </w:tr>
      <w:tr w14:paraId="5C0189F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restart"/>
            <w:vAlign w:val="center"/>
          </w:tcPr>
          <w:p w14:paraId="04A56306">
            <w:pPr>
              <w:pStyle w:val="129"/>
              <w:widowControl w:val="0"/>
              <w:rPr>
                <w:rFonts w:eastAsia="Times New Roman"/>
                <w:color w:val="auto"/>
              </w:rPr>
            </w:pPr>
            <w:r>
              <w:rPr>
                <w:rFonts w:hint="eastAsia" w:ascii="宋体" w:hAnsi="宋体" w:eastAsia="Times New Roman" w:cs="宋体"/>
                <w:color w:val="auto"/>
              </w:rPr>
              <w:t>环境风险</w:t>
            </w:r>
          </w:p>
        </w:tc>
        <w:tc>
          <w:tcPr>
            <w:tcW w:w="1805" w:type="pct"/>
            <w:vAlign w:val="center"/>
          </w:tcPr>
          <w:p w14:paraId="57D47D19">
            <w:pPr>
              <w:pStyle w:val="129"/>
              <w:widowControl w:val="0"/>
              <w:rPr>
                <w:rFonts w:eastAsia="Times New Roman"/>
                <w:color w:val="auto"/>
              </w:rPr>
            </w:pPr>
            <w:r>
              <w:rPr>
                <w:rFonts w:hint="eastAsia" w:ascii="宋体" w:hAnsi="宋体" w:eastAsia="Times New Roman" w:cs="宋体"/>
                <w:color w:val="auto"/>
              </w:rPr>
              <w:t>全厂防渗</w:t>
            </w:r>
          </w:p>
        </w:tc>
        <w:tc>
          <w:tcPr>
            <w:tcW w:w="1800" w:type="pct"/>
            <w:vAlign w:val="center"/>
          </w:tcPr>
          <w:p w14:paraId="0DD01076">
            <w:pPr>
              <w:pStyle w:val="129"/>
              <w:widowControl w:val="0"/>
              <w:rPr>
                <w:rFonts w:eastAsia="Times New Roman"/>
                <w:color w:val="auto"/>
              </w:rPr>
            </w:pPr>
            <w:r>
              <w:rPr>
                <w:rFonts w:hint="eastAsia" w:ascii="宋体" w:hAnsi="宋体" w:eastAsia="Times New Roman" w:cs="宋体"/>
                <w:color w:val="auto"/>
              </w:rPr>
              <w:t>厂区内进行分区防渗处理</w:t>
            </w:r>
          </w:p>
        </w:tc>
        <w:tc>
          <w:tcPr>
            <w:tcW w:w="852" w:type="pct"/>
            <w:vAlign w:val="center"/>
          </w:tcPr>
          <w:p w14:paraId="02143352">
            <w:pPr>
              <w:pStyle w:val="129"/>
              <w:widowControl w:val="0"/>
              <w:rPr>
                <w:rFonts w:eastAsia="Times New Roman"/>
                <w:color w:val="auto"/>
              </w:rPr>
            </w:pPr>
            <w:r>
              <w:rPr>
                <w:rFonts w:eastAsia="Times New Roman"/>
                <w:color w:val="auto"/>
              </w:rPr>
              <w:t>500</w:t>
            </w:r>
          </w:p>
        </w:tc>
      </w:tr>
      <w:tr w14:paraId="450042F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Merge w:val="continue"/>
            <w:vAlign w:val="center"/>
          </w:tcPr>
          <w:p w14:paraId="42166C8C">
            <w:pPr>
              <w:pStyle w:val="129"/>
              <w:widowControl w:val="0"/>
              <w:rPr>
                <w:rFonts w:eastAsia="Times New Roman"/>
                <w:color w:val="auto"/>
              </w:rPr>
            </w:pPr>
          </w:p>
        </w:tc>
        <w:tc>
          <w:tcPr>
            <w:tcW w:w="1805" w:type="pct"/>
            <w:vAlign w:val="center"/>
          </w:tcPr>
          <w:p w14:paraId="714F20F5">
            <w:pPr>
              <w:pStyle w:val="129"/>
              <w:widowControl w:val="0"/>
              <w:rPr>
                <w:rFonts w:eastAsia="Times New Roman"/>
                <w:color w:val="auto"/>
              </w:rPr>
            </w:pPr>
            <w:r>
              <w:rPr>
                <w:rFonts w:hint="eastAsia" w:ascii="宋体" w:hAnsi="宋体" w:eastAsia="Times New Roman" w:cs="宋体"/>
                <w:color w:val="auto"/>
              </w:rPr>
              <w:t>事故水池</w:t>
            </w:r>
          </w:p>
        </w:tc>
        <w:tc>
          <w:tcPr>
            <w:tcW w:w="1800" w:type="pct"/>
            <w:vAlign w:val="center"/>
          </w:tcPr>
          <w:p w14:paraId="03B038A4">
            <w:pPr>
              <w:pStyle w:val="129"/>
              <w:widowControl w:val="0"/>
              <w:rPr>
                <w:rFonts w:eastAsia="Times New Roman"/>
                <w:color w:val="auto"/>
              </w:rPr>
            </w:pPr>
            <w:r>
              <w:rPr>
                <w:rFonts w:hint="eastAsia" w:ascii="宋体" w:hAnsi="宋体" w:eastAsia="Times New Roman" w:cs="宋体"/>
                <w:color w:val="auto"/>
              </w:rPr>
              <w:t>事故水池</w:t>
            </w:r>
            <w:r>
              <w:rPr>
                <w:rFonts w:eastAsia="Times New Roman"/>
                <w:color w:val="auto"/>
              </w:rPr>
              <w:t>1</w:t>
            </w:r>
            <w:r>
              <w:rPr>
                <w:rFonts w:hint="eastAsia" w:ascii="宋体" w:hAnsi="宋体" w:eastAsia="Times New Roman" w:cs="宋体"/>
                <w:color w:val="auto"/>
              </w:rPr>
              <w:t>座，有效容积</w:t>
            </w:r>
            <w:r>
              <w:rPr>
                <w:rFonts w:eastAsia="Times New Roman"/>
                <w:color w:val="auto"/>
              </w:rPr>
              <w:t>700m</w:t>
            </w:r>
            <w:r>
              <w:rPr>
                <w:rFonts w:eastAsia="Times New Roman"/>
                <w:color w:val="auto"/>
                <w:vertAlign w:val="superscript"/>
              </w:rPr>
              <w:t>3</w:t>
            </w:r>
          </w:p>
        </w:tc>
        <w:tc>
          <w:tcPr>
            <w:tcW w:w="852" w:type="pct"/>
            <w:vAlign w:val="center"/>
          </w:tcPr>
          <w:p w14:paraId="1A7992C5">
            <w:pPr>
              <w:pStyle w:val="129"/>
              <w:widowControl w:val="0"/>
              <w:rPr>
                <w:rFonts w:eastAsia="Times New Roman"/>
                <w:color w:val="auto"/>
              </w:rPr>
            </w:pPr>
            <w:r>
              <w:rPr>
                <w:rFonts w:eastAsia="Times New Roman"/>
                <w:color w:val="auto"/>
              </w:rPr>
              <w:t>100</w:t>
            </w:r>
          </w:p>
        </w:tc>
      </w:tr>
      <w:tr w14:paraId="2653D29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148" w:type="pct"/>
            <w:gridSpan w:val="3"/>
            <w:vAlign w:val="center"/>
          </w:tcPr>
          <w:p w14:paraId="3615EECC">
            <w:pPr>
              <w:pStyle w:val="129"/>
              <w:widowControl w:val="0"/>
              <w:rPr>
                <w:rFonts w:eastAsia="Times New Roman"/>
                <w:color w:val="auto"/>
              </w:rPr>
            </w:pPr>
            <w:r>
              <w:rPr>
                <w:rFonts w:hint="eastAsia" w:ascii="宋体" w:hAnsi="宋体" w:eastAsia="Times New Roman" w:cs="宋体"/>
                <w:color w:val="auto"/>
              </w:rPr>
              <w:t>施工期污染防治费用</w:t>
            </w:r>
          </w:p>
        </w:tc>
        <w:tc>
          <w:tcPr>
            <w:tcW w:w="852" w:type="pct"/>
            <w:vAlign w:val="center"/>
          </w:tcPr>
          <w:p w14:paraId="0276E5A0">
            <w:pPr>
              <w:pStyle w:val="129"/>
              <w:widowControl w:val="0"/>
              <w:rPr>
                <w:rFonts w:eastAsia="Times New Roman"/>
                <w:color w:val="auto"/>
              </w:rPr>
            </w:pPr>
            <w:r>
              <w:rPr>
                <w:rFonts w:eastAsia="Times New Roman"/>
                <w:color w:val="auto"/>
              </w:rPr>
              <w:t>25</w:t>
            </w:r>
          </w:p>
        </w:tc>
      </w:tr>
      <w:tr w14:paraId="538761D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543" w:type="pct"/>
            <w:vAlign w:val="center"/>
          </w:tcPr>
          <w:p w14:paraId="78C3A04F">
            <w:pPr>
              <w:pStyle w:val="129"/>
              <w:widowControl w:val="0"/>
              <w:rPr>
                <w:rFonts w:eastAsia="Times New Roman"/>
                <w:color w:val="auto"/>
              </w:rPr>
            </w:pPr>
            <w:r>
              <w:rPr>
                <w:rFonts w:hint="eastAsia" w:ascii="宋体" w:hAnsi="宋体" w:eastAsia="Times New Roman" w:cs="宋体"/>
                <w:color w:val="auto"/>
              </w:rPr>
              <w:t>其他</w:t>
            </w:r>
          </w:p>
        </w:tc>
        <w:tc>
          <w:tcPr>
            <w:tcW w:w="3605" w:type="pct"/>
            <w:gridSpan w:val="2"/>
            <w:vAlign w:val="center"/>
          </w:tcPr>
          <w:p w14:paraId="03E9EE4A">
            <w:pPr>
              <w:pStyle w:val="129"/>
              <w:widowControl w:val="0"/>
              <w:rPr>
                <w:rFonts w:eastAsia="Times New Roman"/>
                <w:color w:val="auto"/>
              </w:rPr>
            </w:pPr>
            <w:r>
              <w:rPr>
                <w:rFonts w:hint="eastAsia" w:ascii="宋体" w:hAnsi="宋体" w:eastAsia="Times New Roman" w:cs="宋体"/>
                <w:color w:val="auto"/>
              </w:rPr>
              <w:t>设置环保机构，建立健全各项环境管理制度，污染源环保标志牌、排污口规范化等</w:t>
            </w:r>
          </w:p>
        </w:tc>
        <w:tc>
          <w:tcPr>
            <w:tcW w:w="852" w:type="pct"/>
            <w:vAlign w:val="center"/>
          </w:tcPr>
          <w:p w14:paraId="40673C76">
            <w:pPr>
              <w:pStyle w:val="129"/>
              <w:widowControl w:val="0"/>
              <w:rPr>
                <w:rFonts w:eastAsia="Times New Roman"/>
                <w:color w:val="auto"/>
              </w:rPr>
            </w:pPr>
            <w:r>
              <w:rPr>
                <w:rFonts w:eastAsia="Times New Roman"/>
                <w:color w:val="auto"/>
              </w:rPr>
              <w:t>10</w:t>
            </w:r>
          </w:p>
        </w:tc>
      </w:tr>
      <w:tr w14:paraId="40591E9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4148" w:type="pct"/>
            <w:gridSpan w:val="3"/>
            <w:vAlign w:val="center"/>
          </w:tcPr>
          <w:p w14:paraId="0BC07ECC">
            <w:pPr>
              <w:pStyle w:val="129"/>
              <w:widowControl w:val="0"/>
              <w:rPr>
                <w:rFonts w:eastAsia="Times New Roman"/>
                <w:color w:val="auto"/>
              </w:rPr>
            </w:pPr>
            <w:r>
              <w:rPr>
                <w:rFonts w:hint="eastAsia" w:ascii="宋体" w:hAnsi="宋体" w:eastAsia="Times New Roman" w:cs="宋体"/>
                <w:color w:val="auto"/>
              </w:rPr>
              <w:t>合计</w:t>
            </w:r>
          </w:p>
        </w:tc>
        <w:tc>
          <w:tcPr>
            <w:tcW w:w="852" w:type="pct"/>
            <w:vAlign w:val="center"/>
          </w:tcPr>
          <w:p w14:paraId="72CD12DA">
            <w:pPr>
              <w:pStyle w:val="129"/>
              <w:widowControl w:val="0"/>
              <w:rPr>
                <w:rFonts w:eastAsia="Times New Roman"/>
                <w:color w:val="auto"/>
              </w:rPr>
            </w:pPr>
            <w:r>
              <w:rPr>
                <w:rFonts w:eastAsia="Times New Roman"/>
                <w:color w:val="auto"/>
              </w:rPr>
              <w:t>1697</w:t>
            </w:r>
          </w:p>
        </w:tc>
      </w:tr>
    </w:tbl>
    <w:p w14:paraId="35F8831E">
      <w:pPr>
        <w:widowControl w:val="0"/>
        <w:tabs>
          <w:tab w:val="left" w:pos="420"/>
        </w:tabs>
        <w:ind w:firstLine="482" w:firstLineChars="200"/>
        <w:contextualSpacing/>
        <w:jc w:val="center"/>
        <w:rPr>
          <w:rFonts w:eastAsia="黑体"/>
          <w:b/>
          <w:color w:val="auto"/>
          <w:kern w:val="16"/>
          <w:sz w:val="24"/>
          <w:szCs w:val="24"/>
        </w:rPr>
      </w:pPr>
    </w:p>
    <w:p w14:paraId="19CAE912">
      <w:pPr>
        <w:pStyle w:val="132"/>
        <w:rPr>
          <w:color w:val="auto"/>
        </w:rPr>
      </w:pPr>
      <w:r>
        <w:rPr>
          <w:rFonts w:hint="eastAsia"/>
          <w:color w:val="auto"/>
        </w:rPr>
        <w:t>本项目估算环保投资1697万元，项目总投资25000万元，环保投资占总投资6.79%。</w:t>
      </w:r>
    </w:p>
    <w:p w14:paraId="185C22D8">
      <w:pPr>
        <w:pStyle w:val="3"/>
        <w:spacing w:line="360" w:lineRule="auto"/>
        <w:rPr>
          <w:color w:val="auto"/>
        </w:rPr>
      </w:pPr>
      <w:bookmarkStart w:id="417" w:name="_Toc229930171"/>
      <w:r>
        <w:rPr>
          <w:color w:val="auto"/>
        </w:rPr>
        <w:t>经济效益分析</w:t>
      </w:r>
      <w:bookmarkEnd w:id="417"/>
    </w:p>
    <w:p w14:paraId="21B18100">
      <w:pPr>
        <w:pStyle w:val="132"/>
        <w:rPr>
          <w:color w:val="auto"/>
        </w:rPr>
      </w:pPr>
      <w:r>
        <w:rPr>
          <w:color w:val="auto"/>
        </w:rPr>
        <w:t>根据项目可研报告经济分析，项目实施后，项目建成投入使用后年平均收入为22550.00万元，年均总成本费用14875.97万元，年均税金及附加2224.24万元，年均利润总额5449.79万元，年均所得税1362.45万元，净利润4087.34万元，总投资收益率45.41%，税后财务内部收益率33.91%，税后财务净现值10065.33万元（Ic=15.00%），税后投资回收期4.23年（含建设期）。各项经济指标的计算结果表明本项目具有财务盈利能力、偿债能力和财务生存能力，在财务上是可行的。</w:t>
      </w:r>
    </w:p>
    <w:p w14:paraId="31AEB03F">
      <w:pPr>
        <w:pStyle w:val="132"/>
        <w:rPr>
          <w:color w:val="auto"/>
        </w:rPr>
      </w:pPr>
      <w:r>
        <w:rPr>
          <w:color w:val="auto"/>
        </w:rPr>
        <w:t>综上分析，本项目的各项经济指标均较好，在生产经营上具有较</w:t>
      </w:r>
      <w:r>
        <w:rPr>
          <w:rFonts w:hint="eastAsia"/>
          <w:color w:val="auto"/>
          <w:lang w:eastAsia="zh-CN"/>
        </w:rPr>
        <w:t>强</w:t>
      </w:r>
      <w:r>
        <w:rPr>
          <w:color w:val="auto"/>
        </w:rPr>
        <w:t>的抗风险能力，对各因素变化具有较强的承受能力，从经济效益角度看，本项目建设是可行的。项目建成后能促进当地产业结构的合理调整，寻找新的经济增长点，增加财政税源，壮大地方经济。</w:t>
      </w:r>
    </w:p>
    <w:p w14:paraId="15AC3329">
      <w:pPr>
        <w:widowControl w:val="0"/>
        <w:spacing w:line="360" w:lineRule="auto"/>
        <w:ind w:firstLine="480" w:firstLineChars="200"/>
        <w:jc w:val="both"/>
        <w:rPr>
          <w:color w:val="auto"/>
          <w:kern w:val="2"/>
          <w:sz w:val="24"/>
          <w:szCs w:val="24"/>
        </w:rPr>
        <w:sectPr>
          <w:type w:val="continuous"/>
          <w:pgSz w:w="12240" w:h="15840"/>
          <w:pgMar w:top="1440" w:right="1588" w:bottom="1389" w:left="1588" w:header="737" w:footer="822" w:gutter="0"/>
          <w:cols w:space="720" w:num="1"/>
          <w:docGrid w:linePitch="272" w:charSpace="0"/>
        </w:sectPr>
      </w:pPr>
      <w:r>
        <w:rPr>
          <w:rFonts w:hint="eastAsia"/>
          <w:color w:val="auto"/>
          <w:kern w:val="2"/>
          <w:sz w:val="24"/>
          <w:szCs w:val="24"/>
        </w:rPr>
        <w:t xml:space="preserve"> </w:t>
      </w:r>
    </w:p>
    <w:p w14:paraId="0A33704F">
      <w:pPr>
        <w:pStyle w:val="2"/>
        <w:rPr>
          <w:color w:val="auto"/>
        </w:rPr>
      </w:pPr>
      <w:bookmarkStart w:id="418" w:name="_Toc229930172"/>
      <w:r>
        <w:rPr>
          <w:color w:val="auto"/>
        </w:rPr>
        <w:t>环境管理与监测计划</w:t>
      </w:r>
      <w:bookmarkEnd w:id="418"/>
      <w:r>
        <w:rPr>
          <w:rFonts w:hint="eastAsia"/>
          <w:color w:val="auto"/>
        </w:rPr>
        <w:t xml:space="preserve"> </w:t>
      </w:r>
    </w:p>
    <w:p w14:paraId="726833F4">
      <w:pPr>
        <w:pStyle w:val="132"/>
        <w:rPr>
          <w:color w:val="auto"/>
        </w:rPr>
      </w:pPr>
      <w:r>
        <w:rPr>
          <w:color w:val="auto"/>
        </w:rPr>
        <w:t>环境管理是环境保护工作的重要内容之一，也是企业管理的主要组成部分。为了贯彻和执行国家和地方环境保护</w:t>
      </w:r>
      <w:r>
        <w:rPr>
          <w:rFonts w:hint="eastAsia"/>
          <w:color w:val="auto"/>
        </w:rPr>
        <w:t>法律法规</w:t>
      </w:r>
      <w:r>
        <w:rPr>
          <w:color w:val="auto"/>
        </w:rPr>
        <w:t>、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p>
    <w:p w14:paraId="229E0CC1">
      <w:pPr>
        <w:pStyle w:val="132"/>
        <w:rPr>
          <w:color w:val="auto"/>
        </w:rPr>
      </w:pPr>
      <w:r>
        <w:rPr>
          <w:color w:val="auto"/>
        </w:rPr>
        <w:t>项目运行时自身的污染主要产生于建设期、运行</w:t>
      </w:r>
      <w:r>
        <w:rPr>
          <w:rFonts w:hint="eastAsia"/>
          <w:color w:val="auto"/>
        </w:rPr>
        <w:t>期</w:t>
      </w:r>
      <w:r>
        <w:rPr>
          <w:color w:val="auto"/>
        </w:rPr>
        <w:t>产生的各类污染。为了使项目建设期和运行期对区域环境的污染影响降至最小，在采取相应的环境环保措施同时，能够了解措施的实际效果和对环境的实际影响，有必要在项目的建设期和运行期进行环境管理</w:t>
      </w:r>
      <w:r>
        <w:rPr>
          <w:rFonts w:hint="eastAsia"/>
          <w:color w:val="auto"/>
        </w:rPr>
        <w:t>和</w:t>
      </w:r>
      <w:r>
        <w:rPr>
          <w:color w:val="auto"/>
        </w:rPr>
        <w:t>环境监测。</w:t>
      </w:r>
    </w:p>
    <w:p w14:paraId="245C1E5C">
      <w:pPr>
        <w:pStyle w:val="132"/>
        <w:rPr>
          <w:color w:val="auto"/>
        </w:rPr>
      </w:pPr>
      <w:r>
        <w:rPr>
          <w:color w:val="auto"/>
        </w:rPr>
        <w:t>建立环境管理体系与监测机构能够帮助企业及早发现问题，使企业在发展生产的同时节约能源、降低原材料的消耗，控制污染物排放量，减轻污染物排放对环境产生的影响，为企业创造更好的经济效益和环境效益，树立良好的社会形象。</w:t>
      </w:r>
    </w:p>
    <w:p w14:paraId="7D056584">
      <w:pPr>
        <w:pStyle w:val="3"/>
        <w:rPr>
          <w:color w:val="auto"/>
        </w:rPr>
      </w:pPr>
      <w:bookmarkStart w:id="419" w:name="_Toc229930173"/>
      <w:r>
        <w:rPr>
          <w:color w:val="auto"/>
        </w:rPr>
        <w:t>环境管理</w:t>
      </w:r>
      <w:bookmarkEnd w:id="419"/>
    </w:p>
    <w:p w14:paraId="53147EB3">
      <w:pPr>
        <w:pStyle w:val="4"/>
        <w:rPr>
          <w:color w:val="auto"/>
        </w:rPr>
      </w:pPr>
      <w:r>
        <w:rPr>
          <w:rFonts w:hint="eastAsia"/>
          <w:color w:val="auto"/>
        </w:rPr>
        <w:t>环境管理机构及职责</w:t>
      </w:r>
    </w:p>
    <w:p w14:paraId="544D7BB5">
      <w:pPr>
        <w:pStyle w:val="132"/>
        <w:rPr>
          <w:color w:val="auto"/>
        </w:rPr>
      </w:pPr>
      <w:r>
        <w:rPr>
          <w:color w:val="auto"/>
        </w:rPr>
        <w:t>环境管理的基本任务是控制污染物的排放量和避免或减轻排出污染物对环境的损害。为了控制污染物的排放，就需要加强计划、生产、技术、质量、设备、劳动等方面的管理，把环境管理渗透到整个企业的管理中，将环境目标与生产目标融合在一起，以减少从生产过程中各环节排出的污染物。</w:t>
      </w:r>
    </w:p>
    <w:p w14:paraId="3B8FB10F">
      <w:pPr>
        <w:pStyle w:val="132"/>
        <w:rPr>
          <w:color w:val="auto"/>
        </w:rPr>
      </w:pPr>
      <w:r>
        <w:rPr>
          <w:color w:val="auto"/>
        </w:rPr>
        <w:t>为了企业生产正常进行，预防安全和环境事故，参照ISO14000环境管理体系，依据ISO14000标准规定的环境管理体系的五大要素，应建立一套完整的管理体系。</w:t>
      </w:r>
    </w:p>
    <w:p w14:paraId="12887248">
      <w:pPr>
        <w:pStyle w:val="132"/>
        <w:rPr>
          <w:color w:val="auto"/>
        </w:rPr>
      </w:pPr>
      <w:r>
        <w:rPr>
          <w:color w:val="auto"/>
        </w:rPr>
        <w:t>项目管理采取总经理负责制，企业环境保护工作由副总经理负责监督落实，下设安环科负责全厂的安全环保工作，各生产装置设置1名环境管理人员负责日常环保管理工作。</w:t>
      </w:r>
    </w:p>
    <w:p w14:paraId="1794E1DE">
      <w:pPr>
        <w:pStyle w:val="132"/>
        <w:rPr>
          <w:color w:val="auto"/>
        </w:rPr>
      </w:pPr>
      <w:r>
        <w:rPr>
          <w:color w:val="auto"/>
        </w:rPr>
        <w:t>环境管理机构和环境监测机构归安环科管理，安环科科长负责环保设备的运行管理和生产设备管理工作。安环科有专人负责企业安全与环保、节能减排等工作，还包括建设项目环境影响评价和“三同时”竣工验收、环保设施运行、环境监测、环境污染事故处理等工作，并配合当地环保部门开展本企业的相关环保执法工作等。</w:t>
      </w:r>
    </w:p>
    <w:p w14:paraId="45A9AD7B">
      <w:pPr>
        <w:pStyle w:val="132"/>
        <w:rPr>
          <w:color w:val="auto"/>
        </w:rPr>
      </w:pPr>
      <w:r>
        <w:rPr>
          <w:color w:val="auto"/>
        </w:rPr>
        <w:t>（1）主管副总经理职责</w:t>
      </w:r>
    </w:p>
    <w:p w14:paraId="19712B7E">
      <w:pPr>
        <w:pStyle w:val="132"/>
        <w:rPr>
          <w:color w:val="auto"/>
        </w:rPr>
      </w:pPr>
      <w:r>
        <w:rPr>
          <w:rFonts w:hint="eastAsia" w:cs="宋体"/>
          <w:color w:val="auto"/>
        </w:rPr>
        <w:t>①</w:t>
      </w:r>
      <w:r>
        <w:rPr>
          <w:color w:val="auto"/>
        </w:rPr>
        <w:t>负责贯彻执行国家环境保护法、环境保护方针和政策。</w:t>
      </w:r>
    </w:p>
    <w:p w14:paraId="259E3227">
      <w:pPr>
        <w:pStyle w:val="132"/>
        <w:rPr>
          <w:color w:val="auto"/>
        </w:rPr>
      </w:pPr>
      <w:r>
        <w:rPr>
          <w:rFonts w:hint="eastAsia" w:cs="宋体"/>
          <w:color w:val="auto"/>
        </w:rPr>
        <w:t>②</w:t>
      </w:r>
      <w:r>
        <w:rPr>
          <w:color w:val="auto"/>
        </w:rPr>
        <w:t>负责建立完整的环保机构，保证人员的落实。</w:t>
      </w:r>
    </w:p>
    <w:p w14:paraId="40F6D08B">
      <w:pPr>
        <w:pStyle w:val="132"/>
        <w:rPr>
          <w:color w:val="auto"/>
        </w:rPr>
      </w:pPr>
      <w:r>
        <w:rPr>
          <w:color w:val="auto"/>
        </w:rPr>
        <w:t>（2）安环科职责</w:t>
      </w:r>
    </w:p>
    <w:p w14:paraId="57AB3E2F">
      <w:pPr>
        <w:pStyle w:val="132"/>
        <w:rPr>
          <w:color w:val="auto"/>
        </w:rPr>
      </w:pPr>
      <w:r>
        <w:rPr>
          <w:rFonts w:hint="eastAsia" w:cs="宋体"/>
          <w:color w:val="auto"/>
        </w:rPr>
        <w:t>①</w:t>
      </w:r>
      <w:r>
        <w:rPr>
          <w:color w:val="auto"/>
        </w:rPr>
        <w:t>贯彻上级领导或环保部门有关的环保制度和规定。</w:t>
      </w:r>
    </w:p>
    <w:p w14:paraId="5F7D7B2C">
      <w:pPr>
        <w:pStyle w:val="132"/>
        <w:rPr>
          <w:color w:val="auto"/>
        </w:rPr>
      </w:pPr>
      <w:r>
        <w:rPr>
          <w:rFonts w:hint="eastAsia" w:cs="宋体"/>
          <w:color w:val="auto"/>
        </w:rPr>
        <w:t>②</w:t>
      </w:r>
      <w:r>
        <w:rPr>
          <w:color w:val="auto"/>
        </w:rPr>
        <w:t>建立环保档案，包括环评报告、环保工程验收报告、污染源监测报告、环保设备运行记录以及其他环境统计资料，并定期向当地环境保护行政主管部门汇报。</w:t>
      </w:r>
    </w:p>
    <w:p w14:paraId="6BEB289D">
      <w:pPr>
        <w:pStyle w:val="132"/>
        <w:rPr>
          <w:color w:val="auto"/>
        </w:rPr>
      </w:pPr>
      <w:r>
        <w:rPr>
          <w:rFonts w:hint="eastAsia" w:cs="宋体"/>
          <w:color w:val="auto"/>
        </w:rPr>
        <w:t>③</w:t>
      </w:r>
      <w:r>
        <w:rPr>
          <w:color w:val="auto"/>
        </w:rPr>
        <w:t>汇总、编报环保年度计划及规划，并监督、检查执行情况。</w:t>
      </w:r>
    </w:p>
    <w:p w14:paraId="378202E0">
      <w:pPr>
        <w:pStyle w:val="132"/>
        <w:rPr>
          <w:color w:val="auto"/>
        </w:rPr>
      </w:pPr>
      <w:r>
        <w:rPr>
          <w:rFonts w:hint="eastAsia" w:cs="宋体"/>
          <w:color w:val="auto"/>
        </w:rPr>
        <w:t>④</w:t>
      </w:r>
      <w:r>
        <w:rPr>
          <w:color w:val="auto"/>
        </w:rPr>
        <w:t>制定环保考核制度和有关奖罚规定。</w:t>
      </w:r>
    </w:p>
    <w:p w14:paraId="11B51E53">
      <w:pPr>
        <w:pStyle w:val="132"/>
        <w:rPr>
          <w:color w:val="auto"/>
        </w:rPr>
      </w:pPr>
      <w:r>
        <w:rPr>
          <w:rFonts w:hint="eastAsia" w:cs="宋体"/>
          <w:color w:val="auto"/>
        </w:rPr>
        <w:t>⑤</w:t>
      </w:r>
      <w:r>
        <w:rPr>
          <w:color w:val="auto"/>
        </w:rPr>
        <w:t>对污染源进行监督管理，贯彻预防为主的方针，发现问题，及时采取措施，并向上级主管部门汇报。</w:t>
      </w:r>
    </w:p>
    <w:p w14:paraId="6C590C8C">
      <w:pPr>
        <w:pStyle w:val="132"/>
        <w:rPr>
          <w:color w:val="auto"/>
        </w:rPr>
      </w:pPr>
      <w:r>
        <w:rPr>
          <w:rFonts w:hint="eastAsia" w:cs="宋体"/>
          <w:color w:val="auto"/>
        </w:rPr>
        <w:t>⑥</w:t>
      </w:r>
      <w:r>
        <w:rPr>
          <w:color w:val="auto"/>
        </w:rPr>
        <w:t>负责组织突发性污染事故的善后处理，追查事故原因，杜绝事故隐患，并参照企业管理规章，提出对事故责任人的处理意见，上报公司。</w:t>
      </w:r>
    </w:p>
    <w:p w14:paraId="2F43521E">
      <w:pPr>
        <w:pStyle w:val="132"/>
        <w:rPr>
          <w:color w:val="auto"/>
        </w:rPr>
      </w:pPr>
      <w:r>
        <w:rPr>
          <w:rFonts w:hint="eastAsia" w:cs="宋体"/>
          <w:color w:val="auto"/>
        </w:rPr>
        <w:t>⑦</w:t>
      </w:r>
      <w:r>
        <w:rPr>
          <w:color w:val="auto"/>
        </w:rPr>
        <w:t>对环境保护的先进经验、先进技术进行推广和应用，并开展环境保护的有关科研工作。</w:t>
      </w:r>
    </w:p>
    <w:p w14:paraId="44B21B18">
      <w:pPr>
        <w:pStyle w:val="132"/>
        <w:rPr>
          <w:color w:val="auto"/>
        </w:rPr>
      </w:pPr>
      <w:r>
        <w:rPr>
          <w:rFonts w:hint="eastAsia" w:cs="宋体"/>
          <w:color w:val="auto"/>
        </w:rPr>
        <w:t>⑧</w:t>
      </w:r>
      <w:r>
        <w:rPr>
          <w:color w:val="auto"/>
        </w:rPr>
        <w:t>组织职工进行环保教育，搞好环境宣传及环保技术培训。</w:t>
      </w:r>
    </w:p>
    <w:p w14:paraId="7FC64B85">
      <w:pPr>
        <w:pStyle w:val="132"/>
        <w:rPr>
          <w:color w:val="auto"/>
        </w:rPr>
      </w:pPr>
      <w:r>
        <w:rPr>
          <w:color w:val="auto"/>
        </w:rPr>
        <w:t>（3）相关职责</w:t>
      </w:r>
    </w:p>
    <w:p w14:paraId="754C2B6B">
      <w:pPr>
        <w:pStyle w:val="132"/>
        <w:rPr>
          <w:color w:val="auto"/>
        </w:rPr>
      </w:pPr>
      <w:r>
        <w:rPr>
          <w:rFonts w:hint="eastAsia" w:cs="宋体"/>
          <w:color w:val="auto"/>
        </w:rPr>
        <w:t>①</w:t>
      </w:r>
      <w:r>
        <w:rPr>
          <w:color w:val="auto"/>
        </w:rPr>
        <w:t>在公司领导下，做好生产区、办公区和生活区的绿化、美化工作。</w:t>
      </w:r>
    </w:p>
    <w:p w14:paraId="062A9CB0">
      <w:pPr>
        <w:pStyle w:val="132"/>
        <w:rPr>
          <w:color w:val="auto"/>
        </w:rPr>
      </w:pPr>
      <w:r>
        <w:rPr>
          <w:rFonts w:hint="eastAsia" w:cs="宋体"/>
          <w:color w:val="auto"/>
        </w:rPr>
        <w:t>②</w:t>
      </w:r>
      <w:r>
        <w:rPr>
          <w:color w:val="auto"/>
        </w:rPr>
        <w:t>按“门前三包卫生责任制”，检查、督促各部门做好卫生、绿化工作。</w:t>
      </w:r>
    </w:p>
    <w:p w14:paraId="2BC9C64F">
      <w:pPr>
        <w:pStyle w:val="132"/>
        <w:rPr>
          <w:color w:val="auto"/>
        </w:rPr>
      </w:pPr>
      <w:r>
        <w:rPr>
          <w:rFonts w:hint="eastAsia" w:cs="宋体"/>
          <w:color w:val="auto"/>
        </w:rPr>
        <w:t>③</w:t>
      </w:r>
      <w:r>
        <w:rPr>
          <w:color w:val="auto"/>
        </w:rPr>
        <w:t>组织做好垃圾的定点堆放和清运工作，以及道路的清扫工作。</w:t>
      </w:r>
    </w:p>
    <w:p w14:paraId="76C98B47">
      <w:pPr>
        <w:pStyle w:val="132"/>
        <w:rPr>
          <w:color w:val="auto"/>
        </w:rPr>
      </w:pPr>
      <w:r>
        <w:rPr>
          <w:color w:val="auto"/>
        </w:rPr>
        <w:t>（4）车间环保人员职责</w:t>
      </w:r>
    </w:p>
    <w:p w14:paraId="2CF1270B">
      <w:pPr>
        <w:pStyle w:val="132"/>
        <w:rPr>
          <w:color w:val="auto"/>
        </w:rPr>
      </w:pPr>
      <w:r>
        <w:rPr>
          <w:rFonts w:hint="eastAsia" w:cs="宋体"/>
          <w:color w:val="auto"/>
        </w:rPr>
        <w:t>①</w:t>
      </w:r>
      <w:r>
        <w:rPr>
          <w:color w:val="auto"/>
        </w:rPr>
        <w:t>负责本部门的具体环境保护工作。</w:t>
      </w:r>
    </w:p>
    <w:p w14:paraId="3A739B67">
      <w:pPr>
        <w:pStyle w:val="132"/>
        <w:rPr>
          <w:color w:val="auto"/>
        </w:rPr>
      </w:pPr>
      <w:r>
        <w:rPr>
          <w:rFonts w:hint="eastAsia" w:cs="宋体"/>
          <w:color w:val="auto"/>
        </w:rPr>
        <w:t>②</w:t>
      </w:r>
      <w:r>
        <w:rPr>
          <w:color w:val="auto"/>
        </w:rPr>
        <w:t>按照安环科的统一部署，提出本部门环保治理项目计划，报安环科及各职能部门。</w:t>
      </w:r>
    </w:p>
    <w:p w14:paraId="001D800F">
      <w:pPr>
        <w:pStyle w:val="132"/>
        <w:rPr>
          <w:color w:val="auto"/>
        </w:rPr>
      </w:pPr>
      <w:r>
        <w:rPr>
          <w:rFonts w:hint="eastAsia" w:cs="宋体"/>
          <w:color w:val="auto"/>
        </w:rPr>
        <w:t>③</w:t>
      </w:r>
      <w:r>
        <w:rPr>
          <w:color w:val="auto"/>
        </w:rPr>
        <w:t>负责本部门环保设施的使用、管理和检查，保证环保设施处于最佳状态。车间主管环保的领导和环保员至少每半个月对所辖范围内的环保设备工作情况进行一次巡回检查。</w:t>
      </w:r>
    </w:p>
    <w:p w14:paraId="06C6776D">
      <w:pPr>
        <w:pStyle w:val="132"/>
        <w:rPr>
          <w:color w:val="auto"/>
        </w:rPr>
      </w:pPr>
      <w:r>
        <w:rPr>
          <w:rFonts w:hint="eastAsia" w:cs="宋体"/>
          <w:color w:val="auto"/>
        </w:rPr>
        <w:t>④</w:t>
      </w:r>
      <w:r>
        <w:rPr>
          <w:color w:val="auto"/>
        </w:rPr>
        <w:t>参加厂内环保会议和污染事故调查，并上报本部门出现的污染事故报告。</w:t>
      </w:r>
    </w:p>
    <w:p w14:paraId="06E03804">
      <w:pPr>
        <w:pStyle w:val="4"/>
        <w:rPr>
          <w:color w:val="auto"/>
        </w:rPr>
      </w:pPr>
      <w:r>
        <w:rPr>
          <w:rFonts w:hint="eastAsia"/>
          <w:color w:val="auto"/>
        </w:rPr>
        <w:t>环境管理依据</w:t>
      </w:r>
    </w:p>
    <w:p w14:paraId="62D1A1C5">
      <w:pPr>
        <w:pStyle w:val="132"/>
        <w:rPr>
          <w:color w:val="auto"/>
        </w:rPr>
      </w:pPr>
      <w:r>
        <w:rPr>
          <w:color w:val="auto"/>
        </w:rPr>
        <w:t>（1）落实国家、地方政府颁布的有关</w:t>
      </w:r>
      <w:r>
        <w:rPr>
          <w:rFonts w:hint="eastAsia"/>
          <w:color w:val="auto"/>
        </w:rPr>
        <w:t>法律法规</w:t>
      </w:r>
    </w:p>
    <w:p w14:paraId="1F37F995">
      <w:pPr>
        <w:pStyle w:val="132"/>
        <w:rPr>
          <w:color w:val="auto"/>
        </w:rPr>
      </w:pPr>
      <w:r>
        <w:rPr>
          <w:color w:val="auto"/>
        </w:rPr>
        <w:t>（2）环境质量标准</w:t>
      </w:r>
    </w:p>
    <w:p w14:paraId="416E951B">
      <w:pPr>
        <w:pStyle w:val="132"/>
        <w:rPr>
          <w:color w:val="auto"/>
        </w:rPr>
      </w:pPr>
      <w:r>
        <w:rPr>
          <w:color w:val="auto"/>
        </w:rPr>
        <w:t>（3）污染物排放标准</w:t>
      </w:r>
    </w:p>
    <w:p w14:paraId="4A5B0DB1">
      <w:pPr>
        <w:pStyle w:val="132"/>
        <w:rPr>
          <w:color w:val="auto"/>
        </w:rPr>
      </w:pPr>
      <w:r>
        <w:rPr>
          <w:color w:val="auto"/>
        </w:rPr>
        <w:t>（4）其他标准</w:t>
      </w:r>
    </w:p>
    <w:p w14:paraId="222913D2">
      <w:pPr>
        <w:pStyle w:val="4"/>
        <w:rPr>
          <w:color w:val="auto"/>
        </w:rPr>
      </w:pPr>
      <w:r>
        <w:rPr>
          <w:rFonts w:hint="eastAsia"/>
          <w:color w:val="auto"/>
        </w:rPr>
        <w:t>环境管理手段和措施</w:t>
      </w:r>
    </w:p>
    <w:p w14:paraId="1CEA34EF">
      <w:pPr>
        <w:pStyle w:val="132"/>
        <w:rPr>
          <w:color w:val="auto"/>
        </w:rPr>
      </w:pPr>
      <w:r>
        <w:rPr>
          <w:color w:val="auto"/>
        </w:rPr>
        <w:t>为了使环境管理工作科学化、规范化、合理化，确保各项环保措施落实到位，企业在环境管理方面采取以下措施：</w:t>
      </w:r>
    </w:p>
    <w:p w14:paraId="5FFD7FE7">
      <w:pPr>
        <w:pStyle w:val="132"/>
        <w:rPr>
          <w:color w:val="auto"/>
        </w:rPr>
      </w:pPr>
      <w:r>
        <w:rPr>
          <w:color w:val="auto"/>
        </w:rPr>
        <w:t>（1）建立ISO14000环境管理体系，建议同时进行QHSE（质量、健康、安全、环保）审核；</w:t>
      </w:r>
    </w:p>
    <w:p w14:paraId="1B209AE9">
      <w:pPr>
        <w:pStyle w:val="132"/>
        <w:rPr>
          <w:color w:val="auto"/>
        </w:rPr>
      </w:pPr>
      <w:r>
        <w:rPr>
          <w:color w:val="auto"/>
        </w:rPr>
        <w:t>（2）制订环境保护岗位目标责任制，将环境管理纳入生产管理体系，环保评估与经济效益评估相结合，建立严格的奖惩机制；</w:t>
      </w:r>
    </w:p>
    <w:p w14:paraId="4CE395E4">
      <w:pPr>
        <w:pStyle w:val="132"/>
        <w:rPr>
          <w:color w:val="auto"/>
        </w:rPr>
      </w:pPr>
      <w:r>
        <w:rPr>
          <w:color w:val="auto"/>
        </w:rPr>
        <w:t>（3）加强环境保护宣传教育工作，进行岗位培训，使全体职工能够意识到环境保护的重要意义，包括与企业生产、生存和发展的关系，全公司应有危机感和责任感，把环保</w:t>
      </w:r>
      <w:r>
        <w:rPr>
          <w:rFonts w:hint="eastAsia"/>
          <w:color w:val="auto"/>
        </w:rPr>
        <w:t>工作落到实处</w:t>
      </w:r>
      <w:r>
        <w:rPr>
          <w:color w:val="auto"/>
        </w:rPr>
        <w:t>，落实到每一位员工；</w:t>
      </w:r>
    </w:p>
    <w:p w14:paraId="51FA1CFA">
      <w:pPr>
        <w:pStyle w:val="132"/>
        <w:rPr>
          <w:color w:val="auto"/>
        </w:rPr>
      </w:pPr>
      <w:r>
        <w:rPr>
          <w:color w:val="auto"/>
        </w:rPr>
        <w:t>（4）加强环境监测数据的统计工作，建立全厂完善的污染源及物料流失档案，严格控制污染物排放总量，确保污染物排放指标达到设计要求；</w:t>
      </w:r>
    </w:p>
    <w:p w14:paraId="033671CC">
      <w:pPr>
        <w:pStyle w:val="132"/>
        <w:rPr>
          <w:color w:val="auto"/>
        </w:rPr>
      </w:pPr>
      <w:r>
        <w:rPr>
          <w:color w:val="auto"/>
        </w:rPr>
        <w:t>（5）强化对环保设施运行监督、管理的职能，建立全厂完善的环保设施运行、维护、维修等技术档案，以及加强对环保设施操作人员的技术培训，确保环境设施处于正常运行情况，污染物排放连续达标；</w:t>
      </w:r>
    </w:p>
    <w:p w14:paraId="5AB863D1">
      <w:pPr>
        <w:pStyle w:val="132"/>
        <w:rPr>
          <w:color w:val="auto"/>
        </w:rPr>
      </w:pPr>
      <w:r>
        <w:rPr>
          <w:color w:val="auto"/>
        </w:rPr>
        <w:t>（6）加强厂区外原料输送管线的巡检，并做记录。</w:t>
      </w:r>
    </w:p>
    <w:p w14:paraId="6EDA386B">
      <w:pPr>
        <w:pStyle w:val="132"/>
        <w:rPr>
          <w:color w:val="auto"/>
        </w:rPr>
      </w:pPr>
      <w:r>
        <w:rPr>
          <w:color w:val="auto"/>
        </w:rPr>
        <w:t>（7）制订应急预案。</w:t>
      </w:r>
    </w:p>
    <w:p w14:paraId="44B35C81">
      <w:pPr>
        <w:pStyle w:val="3"/>
        <w:rPr>
          <w:color w:val="auto"/>
        </w:rPr>
      </w:pPr>
      <w:bookmarkStart w:id="420" w:name="_Toc229930174"/>
      <w:r>
        <w:rPr>
          <w:color w:val="auto"/>
        </w:rPr>
        <w:t>各阶段的环境管理要求</w:t>
      </w:r>
      <w:bookmarkEnd w:id="420"/>
    </w:p>
    <w:p w14:paraId="2FF08F9D">
      <w:pPr>
        <w:pStyle w:val="4"/>
        <w:rPr>
          <w:color w:val="auto"/>
        </w:rPr>
      </w:pPr>
      <w:r>
        <w:rPr>
          <w:rFonts w:hint="eastAsia"/>
          <w:color w:val="auto"/>
        </w:rPr>
        <w:t>项目审批阶段</w:t>
      </w:r>
    </w:p>
    <w:p w14:paraId="3AC25034">
      <w:pPr>
        <w:pStyle w:val="132"/>
        <w:rPr>
          <w:color w:val="auto"/>
        </w:rPr>
      </w:pPr>
      <w:r>
        <w:rPr>
          <w:color w:val="auto"/>
        </w:rPr>
        <w:t>项目环境影响评价文件要按照环境保护部公布《建设项目环境影响评价分类管理目录》的规定，确定环境影响评价文件的类别，委托相应机构编制环境影响评价文件。</w:t>
      </w:r>
    </w:p>
    <w:p w14:paraId="4B8BB062">
      <w:pPr>
        <w:pStyle w:val="132"/>
        <w:rPr>
          <w:color w:val="auto"/>
        </w:rPr>
      </w:pPr>
      <w:r>
        <w:rPr>
          <w:color w:val="auto"/>
        </w:rPr>
        <w:t>企业在委托环评文件编制后应积极配合环评编制单位查勘现场，及时提供环评文件编写所需的各类资料。</w:t>
      </w:r>
    </w:p>
    <w:p w14:paraId="48FA831B">
      <w:pPr>
        <w:pStyle w:val="132"/>
        <w:rPr>
          <w:color w:val="auto"/>
        </w:rPr>
      </w:pPr>
      <w:r>
        <w:rPr>
          <w:color w:val="auto"/>
        </w:rPr>
        <w:t>在环境影响报告书的编制和环境保护主管部门审批或者重新审核环境影响报告书的过程中，应该按规定公开有关环境影响评价的信息，征求公众意见。</w:t>
      </w:r>
    </w:p>
    <w:p w14:paraId="4D84850A">
      <w:pPr>
        <w:pStyle w:val="132"/>
        <w:rPr>
          <w:color w:val="auto"/>
        </w:rPr>
      </w:pPr>
      <w:r>
        <w:rPr>
          <w:color w:val="auto"/>
        </w:rPr>
        <w:t>企业有权要求环评文件编制及审批等单位和个人为其保守商业、技术等秘密。</w:t>
      </w:r>
    </w:p>
    <w:p w14:paraId="6FF0AF7D">
      <w:pPr>
        <w:pStyle w:val="132"/>
        <w:rPr>
          <w:color w:val="auto"/>
        </w:rPr>
      </w:pPr>
      <w:r>
        <w:rPr>
          <w:color w:val="auto"/>
        </w:rPr>
        <w:t>环境影响评价文件，由建设单位报有审批权的环境保护行政主管部门审批，环境影响评价文件未经批准，不得开工建设，自批准之日起超过5年方决定该项目开工建设的，其环境影响评价文件应当报原审批部门重新审核。</w:t>
      </w:r>
    </w:p>
    <w:p w14:paraId="7F894CF6">
      <w:pPr>
        <w:pStyle w:val="4"/>
        <w:rPr>
          <w:color w:val="auto"/>
        </w:rPr>
      </w:pPr>
      <w:r>
        <w:rPr>
          <w:rFonts w:hint="eastAsia"/>
          <w:color w:val="auto"/>
        </w:rPr>
        <w:t>建设施工阶段</w:t>
      </w:r>
    </w:p>
    <w:p w14:paraId="515A71A0">
      <w:pPr>
        <w:pStyle w:val="132"/>
        <w:rPr>
          <w:color w:val="auto"/>
        </w:rPr>
      </w:pPr>
      <w:r>
        <w:rPr>
          <w:color w:val="auto"/>
        </w:rPr>
        <w:t>项目建设中应根据环境影响评价报告中有关施工期污染防治措施及生态环境保护措施的具体要求，进行规范管理，保证守法的规范性。建设单位应会同施工单位做好环保工程设施的施工建设、资金使用情况等资料、文件的整理，建档备查，以季报的形式将环保工程进度情况上报当地环境保护主管部门。</w:t>
      </w:r>
    </w:p>
    <w:p w14:paraId="15C5F57F">
      <w:pPr>
        <w:pStyle w:val="132"/>
        <w:rPr>
          <w:color w:val="auto"/>
        </w:rPr>
      </w:pPr>
      <w:r>
        <w:rPr>
          <w:color w:val="auto"/>
        </w:rPr>
        <w:t>建设单位与施工单位负责落实环境保护主管部门对施工阶段的环保要求以及施工过程中的环保措施；主要是保护施工现场周围的环境，防止对自然环境造成不应有的破坏；防止和减轻废气、污水、粉尘、噪声、震动等对周围生活居住区的污染和危害。具体的管理要求见施工期污染防治措施分析内容。</w:t>
      </w:r>
    </w:p>
    <w:p w14:paraId="6667D1F7">
      <w:pPr>
        <w:pStyle w:val="4"/>
        <w:rPr>
          <w:color w:val="auto"/>
        </w:rPr>
      </w:pPr>
      <w:r>
        <w:rPr>
          <w:rFonts w:hint="eastAsia"/>
          <w:color w:val="auto"/>
        </w:rPr>
        <w:t>竣工环境保护验收阶段</w:t>
      </w:r>
    </w:p>
    <w:p w14:paraId="37EEDFDA">
      <w:pPr>
        <w:pStyle w:val="132"/>
        <w:rPr>
          <w:color w:val="auto"/>
        </w:rPr>
      </w:pPr>
      <w:r>
        <w:rPr>
          <w:color w:val="auto"/>
        </w:rPr>
        <w:t>根据《建设项目竣工环境保护验收暂行办法》，建设项目竣工后建设单位自主开展环境保护验收及相关监督管理。</w:t>
      </w:r>
    </w:p>
    <w:p w14:paraId="620E6FFB">
      <w:pPr>
        <w:pStyle w:val="132"/>
        <w:rPr>
          <w:color w:val="auto"/>
        </w:rPr>
      </w:pPr>
      <w:r>
        <w:rPr>
          <w:color w:val="auto"/>
        </w:rPr>
        <w:t>项目建设中应配套建设气、水、噪声或者固体废物污染防治设施</w:t>
      </w:r>
      <w:r>
        <w:rPr>
          <w:rFonts w:hint="eastAsia"/>
          <w:color w:val="auto"/>
        </w:rPr>
        <w:t>，在</w:t>
      </w:r>
      <w:r>
        <w:rPr>
          <w:color w:val="auto"/>
        </w:rPr>
        <w:t>正式投入生产或使用之前自主开展废水、废气和噪声的环境保护验收，固体废物验收由环境保护主管部门进行验收。</w:t>
      </w:r>
    </w:p>
    <w:p w14:paraId="5EEADC74">
      <w:pPr>
        <w:pStyle w:val="132"/>
        <w:rPr>
          <w:color w:val="auto"/>
        </w:rPr>
      </w:pPr>
      <w:r>
        <w:rPr>
          <w:color w:val="auto"/>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w:t>
      </w:r>
    </w:p>
    <w:p w14:paraId="73183A09">
      <w:pPr>
        <w:pStyle w:val="132"/>
        <w:rPr>
          <w:color w:val="auto"/>
        </w:rPr>
      </w:pPr>
      <w:r>
        <w:rPr>
          <w:color w:val="auto"/>
        </w:rPr>
        <w:t>验收报告分为验收监测（调查）报告、验收意见和其他需要说明的事项等三项内容。</w:t>
      </w:r>
    </w:p>
    <w:p w14:paraId="03775AB1">
      <w:pPr>
        <w:pStyle w:val="132"/>
        <w:rPr>
          <w:color w:val="auto"/>
        </w:rPr>
      </w:pPr>
      <w:r>
        <w:rPr>
          <w:color w:val="auto"/>
        </w:rPr>
        <w:t>建设项目竣工环境保护验收的主要依据、验收的程序和内容具体详见《建设项目竣工环境保护验收暂行办法》中的相关要求。</w:t>
      </w:r>
    </w:p>
    <w:p w14:paraId="14DEEFAD">
      <w:pPr>
        <w:pStyle w:val="132"/>
        <w:rPr>
          <w:color w:val="auto"/>
        </w:rPr>
      </w:pPr>
      <w:r>
        <w:rPr>
          <w:color w:val="auto"/>
        </w:rPr>
        <w:t>建设单位需注意，如本项目被纳入排污许可管理的建设项目中，建设单位应当在项目产生实际污染物排放之前，按照国家排污许可有关管理规定要求，申请排污许可证，不得无证排污或不按证排污。建设项目验收报告中与污染物排放相关的主要内容应当纳入该项目验收完成当年排污许可证执行年报。</w:t>
      </w:r>
    </w:p>
    <w:p w14:paraId="479D7C3D">
      <w:pPr>
        <w:pStyle w:val="4"/>
        <w:rPr>
          <w:color w:val="auto"/>
        </w:rPr>
      </w:pPr>
      <w:r>
        <w:rPr>
          <w:rFonts w:hint="eastAsia"/>
          <w:color w:val="auto"/>
        </w:rPr>
        <w:t>运营期的环境保护管理</w:t>
      </w:r>
    </w:p>
    <w:p w14:paraId="7FB4196E">
      <w:pPr>
        <w:pStyle w:val="132"/>
        <w:rPr>
          <w:color w:val="auto"/>
        </w:rPr>
      </w:pPr>
      <w:r>
        <w:rPr>
          <w:color w:val="auto"/>
        </w:rPr>
        <w:t>（1）根据国家环保政策、标准及环境监测要求，制定该项目运行期环保管理规章制度、各种污染物排放控制指标；</w:t>
      </w:r>
    </w:p>
    <w:p w14:paraId="3B409908">
      <w:pPr>
        <w:pStyle w:val="132"/>
        <w:rPr>
          <w:color w:val="auto"/>
        </w:rPr>
      </w:pPr>
      <w:r>
        <w:rPr>
          <w:color w:val="auto"/>
        </w:rPr>
        <w:t>（2）负责该项目内所有环保设施的日常运行管理，保障各环保设施的正常运行，并对环保设施的改进提出积极的建议；</w:t>
      </w:r>
    </w:p>
    <w:p w14:paraId="383B9C5A">
      <w:pPr>
        <w:pStyle w:val="132"/>
        <w:rPr>
          <w:color w:val="auto"/>
        </w:rPr>
      </w:pPr>
      <w:r>
        <w:rPr>
          <w:color w:val="auto"/>
        </w:rPr>
        <w:t>（3）负责该项目运行期环境监测工作，及时掌握该项目污染状况，整理监测数据，建立污染源档案；</w:t>
      </w:r>
    </w:p>
    <w:p w14:paraId="61E9F75E">
      <w:pPr>
        <w:pStyle w:val="132"/>
        <w:rPr>
          <w:color w:val="auto"/>
        </w:rPr>
      </w:pPr>
      <w:r>
        <w:rPr>
          <w:color w:val="auto"/>
        </w:rPr>
        <w:t>（4）项目运行期的环境管理由安环科承担；负责该项目内所有环保设施的日常运行管理，保障各环保设施的正常运行，并对环保设施的改进提出积极的建议；</w:t>
      </w:r>
    </w:p>
    <w:p w14:paraId="67C3C6B5">
      <w:pPr>
        <w:pStyle w:val="132"/>
        <w:rPr>
          <w:color w:val="auto"/>
        </w:rPr>
      </w:pPr>
      <w:r>
        <w:rPr>
          <w:color w:val="auto"/>
        </w:rPr>
        <w:t>（5）负责对职工进行环保宣传教育工作，以及检查、监督各单位环保制度的执行情况；</w:t>
      </w:r>
    </w:p>
    <w:p w14:paraId="5CAB0DBB">
      <w:pPr>
        <w:pStyle w:val="132"/>
        <w:rPr>
          <w:color w:val="auto"/>
        </w:rPr>
      </w:pPr>
      <w:r>
        <w:rPr>
          <w:color w:val="auto"/>
        </w:rPr>
        <w:t>（6）建立健全环境台账和环境档案管理与保密制度、污染防治设施设计技术改进及运行资料、污染源调查技术档案、环境监测及评价资料、项目平面图和给排水管网图等。</w:t>
      </w:r>
    </w:p>
    <w:p w14:paraId="293AA211">
      <w:pPr>
        <w:pStyle w:val="3"/>
        <w:rPr>
          <w:color w:val="auto"/>
        </w:rPr>
      </w:pPr>
      <w:bookmarkStart w:id="421" w:name="_Toc229930175"/>
      <w:r>
        <w:rPr>
          <w:color w:val="auto"/>
        </w:rPr>
        <w:t>环境管理制度</w:t>
      </w:r>
      <w:bookmarkEnd w:id="421"/>
    </w:p>
    <w:p w14:paraId="49682591">
      <w:pPr>
        <w:pStyle w:val="4"/>
        <w:rPr>
          <w:color w:val="auto"/>
        </w:rPr>
      </w:pPr>
      <w:r>
        <w:rPr>
          <w:rFonts w:hint="eastAsia"/>
          <w:color w:val="auto"/>
        </w:rPr>
        <w:t>污染物排放清单</w:t>
      </w:r>
    </w:p>
    <w:p w14:paraId="3B75F8C7">
      <w:pPr>
        <w:pStyle w:val="132"/>
        <w:rPr>
          <w:color w:val="auto"/>
        </w:rPr>
      </w:pPr>
      <w:r>
        <w:rPr>
          <w:rFonts w:hint="eastAsia"/>
          <w:color w:val="auto"/>
        </w:rPr>
        <w:t>本项目污染物排放清单见表9.3-1。</w:t>
      </w:r>
    </w:p>
    <w:p w14:paraId="37D5C09C">
      <w:pPr>
        <w:widowControl w:val="0"/>
        <w:spacing w:line="360" w:lineRule="auto"/>
        <w:jc w:val="both"/>
        <w:rPr>
          <w:color w:val="auto"/>
          <w:kern w:val="2"/>
          <w:sz w:val="24"/>
          <w:szCs w:val="24"/>
        </w:rPr>
      </w:pPr>
      <w:r>
        <w:rPr>
          <w:rFonts w:hint="eastAsia"/>
          <w:color w:val="auto"/>
          <w:kern w:val="2"/>
          <w:sz w:val="24"/>
          <w:szCs w:val="24"/>
        </w:rPr>
        <w:t xml:space="preserve"> </w:t>
      </w:r>
    </w:p>
    <w:p w14:paraId="1E4B041B">
      <w:pPr>
        <w:rPr>
          <w:color w:val="auto"/>
          <w:kern w:val="2"/>
          <w:sz w:val="24"/>
          <w:szCs w:val="24"/>
        </w:rPr>
        <w:sectPr>
          <w:type w:val="continuous"/>
          <w:pgSz w:w="11906" w:h="16838"/>
          <w:pgMar w:top="1440" w:right="1588" w:bottom="1389" w:left="1588" w:header="737" w:footer="822" w:gutter="0"/>
          <w:cols w:space="720" w:num="1"/>
          <w:docGrid w:type="lines" w:linePitch="312" w:charSpace="0"/>
        </w:sectPr>
      </w:pPr>
    </w:p>
    <w:p w14:paraId="3EE934B5">
      <w:pPr>
        <w:pStyle w:val="1060"/>
        <w:rPr>
          <w:color w:val="auto"/>
        </w:rPr>
      </w:pPr>
    </w:p>
    <w:p w14:paraId="1397E6BD">
      <w:pPr>
        <w:pStyle w:val="1060"/>
        <w:rPr>
          <w:color w:val="auto"/>
        </w:rPr>
      </w:pPr>
    </w:p>
    <w:p w14:paraId="457B921D">
      <w:pPr>
        <w:pStyle w:val="1060"/>
        <w:rPr>
          <w:color w:val="auto"/>
        </w:rPr>
      </w:pPr>
    </w:p>
    <w:p w14:paraId="30A137E1">
      <w:pPr>
        <w:pStyle w:val="1060"/>
        <w:rPr>
          <w:color w:val="auto"/>
        </w:rPr>
      </w:pPr>
    </w:p>
    <w:p w14:paraId="33E9884F">
      <w:pPr>
        <w:pStyle w:val="1060"/>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9.3</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污染物排放清单</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609"/>
        <w:gridCol w:w="2098"/>
        <w:gridCol w:w="1573"/>
        <w:gridCol w:w="1573"/>
        <w:gridCol w:w="715"/>
        <w:gridCol w:w="1207"/>
        <w:gridCol w:w="1011"/>
      </w:tblGrid>
      <w:tr w14:paraId="240B51F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065" w:hRule="atLeast"/>
        </w:trPr>
        <w:tc>
          <w:tcPr>
            <w:tcW w:w="347" w:type="pct"/>
            <w:vAlign w:val="center"/>
          </w:tcPr>
          <w:p w14:paraId="211F02D0">
            <w:pPr>
              <w:pStyle w:val="129"/>
              <w:widowControl w:val="0"/>
              <w:rPr>
                <w:color w:val="auto"/>
              </w:rPr>
            </w:pPr>
            <w:r>
              <w:rPr>
                <w:rFonts w:hint="eastAsia"/>
                <w:color w:val="auto"/>
              </w:rPr>
              <w:t>污染物类别</w:t>
            </w:r>
          </w:p>
        </w:tc>
        <w:tc>
          <w:tcPr>
            <w:tcW w:w="1194" w:type="pct"/>
            <w:vAlign w:val="center"/>
          </w:tcPr>
          <w:p w14:paraId="3DBB9D4F">
            <w:pPr>
              <w:pStyle w:val="129"/>
              <w:widowControl w:val="0"/>
              <w:rPr>
                <w:color w:val="auto"/>
              </w:rPr>
            </w:pPr>
            <w:r>
              <w:rPr>
                <w:rFonts w:hint="eastAsia"/>
                <w:color w:val="auto"/>
              </w:rPr>
              <w:t>污染源</w:t>
            </w:r>
          </w:p>
        </w:tc>
        <w:tc>
          <w:tcPr>
            <w:tcW w:w="895" w:type="pct"/>
            <w:vAlign w:val="center"/>
          </w:tcPr>
          <w:p w14:paraId="618EBEEE">
            <w:pPr>
              <w:pStyle w:val="129"/>
              <w:widowControl w:val="0"/>
              <w:rPr>
                <w:color w:val="auto"/>
              </w:rPr>
            </w:pPr>
            <w:r>
              <w:rPr>
                <w:rFonts w:hint="eastAsia"/>
                <w:color w:val="auto"/>
              </w:rPr>
              <w:t>污染物</w:t>
            </w:r>
            <w:r>
              <w:rPr>
                <w:color w:val="auto"/>
              </w:rPr>
              <w:t>/</w:t>
            </w:r>
            <w:r>
              <w:rPr>
                <w:rFonts w:hint="eastAsia"/>
                <w:color w:val="auto"/>
              </w:rPr>
              <w:t>组成</w:t>
            </w:r>
          </w:p>
        </w:tc>
        <w:tc>
          <w:tcPr>
            <w:tcW w:w="895" w:type="pct"/>
            <w:vAlign w:val="center"/>
          </w:tcPr>
          <w:p w14:paraId="3C3FAB7E">
            <w:pPr>
              <w:pStyle w:val="129"/>
              <w:widowControl w:val="0"/>
              <w:rPr>
                <w:color w:val="auto"/>
              </w:rPr>
            </w:pPr>
            <w:r>
              <w:rPr>
                <w:rFonts w:hint="eastAsia"/>
                <w:color w:val="auto"/>
              </w:rPr>
              <w:t>处理措施</w:t>
            </w:r>
          </w:p>
        </w:tc>
        <w:tc>
          <w:tcPr>
            <w:tcW w:w="407" w:type="pct"/>
            <w:vAlign w:val="center"/>
          </w:tcPr>
          <w:p w14:paraId="71A2E45A">
            <w:pPr>
              <w:widowControl w:val="0"/>
              <w:adjustRightInd w:val="0"/>
              <w:snapToGrid w:val="0"/>
              <w:jc w:val="center"/>
              <w:rPr>
                <w:rFonts w:ascii="Times New Roman Regular" w:hAnsi="Times New Roman Regular" w:cs="Times New Roman Regular"/>
                <w:bCs/>
                <w:color w:val="auto"/>
                <w:sz w:val="21"/>
                <w:szCs w:val="21"/>
              </w:rPr>
            </w:pPr>
            <w:r>
              <w:rPr>
                <w:rFonts w:ascii="Times New Roman Regular" w:hAnsi="Times New Roman Regular" w:cs="Times New Roman Regular"/>
                <w:bCs/>
                <w:color w:val="auto"/>
                <w:sz w:val="21"/>
                <w:szCs w:val="21"/>
              </w:rPr>
              <w:t>排放量</w:t>
            </w:r>
          </w:p>
          <w:p w14:paraId="111F39E6">
            <w:pPr>
              <w:pStyle w:val="129"/>
              <w:widowControl w:val="0"/>
              <w:rPr>
                <w:color w:val="auto"/>
              </w:rPr>
            </w:pPr>
            <w:r>
              <w:rPr>
                <w:rFonts w:ascii="Times New Roman Regular" w:hAnsi="Times New Roman Regular" w:cs="Times New Roman Regular"/>
                <w:bCs/>
                <w:color w:val="auto"/>
              </w:rPr>
              <w:t>t/a</w:t>
            </w:r>
          </w:p>
        </w:tc>
        <w:tc>
          <w:tcPr>
            <w:tcW w:w="687" w:type="pct"/>
            <w:vAlign w:val="center"/>
          </w:tcPr>
          <w:p w14:paraId="75FCE0ED">
            <w:pPr>
              <w:pStyle w:val="129"/>
              <w:widowControl w:val="0"/>
              <w:rPr>
                <w:color w:val="auto"/>
              </w:rPr>
            </w:pPr>
            <w:r>
              <w:rPr>
                <w:rFonts w:hint="eastAsia"/>
                <w:color w:val="auto"/>
              </w:rPr>
              <w:t>排放浓度</w:t>
            </w:r>
            <w:r>
              <w:rPr>
                <w:color w:val="auto"/>
              </w:rPr>
              <w:t>/</w:t>
            </w:r>
            <w:r>
              <w:rPr>
                <w:rFonts w:hint="eastAsia"/>
                <w:color w:val="auto"/>
              </w:rPr>
              <w:t>（</w:t>
            </w:r>
            <w:r>
              <w:rPr>
                <w:color w:val="auto"/>
              </w:rPr>
              <w:t>mg/m</w:t>
            </w:r>
            <w:r>
              <w:rPr>
                <w:color w:val="auto"/>
                <w:vertAlign w:val="superscript"/>
              </w:rPr>
              <w:t>3</w:t>
            </w:r>
            <w:r>
              <w:rPr>
                <w:rFonts w:hint="eastAsia"/>
                <w:color w:val="auto"/>
              </w:rPr>
              <w:t>）</w:t>
            </w:r>
          </w:p>
        </w:tc>
        <w:tc>
          <w:tcPr>
            <w:tcW w:w="575" w:type="pct"/>
            <w:vAlign w:val="center"/>
          </w:tcPr>
          <w:p w14:paraId="014DE308">
            <w:pPr>
              <w:pStyle w:val="129"/>
              <w:widowControl w:val="0"/>
              <w:rPr>
                <w:color w:val="auto"/>
              </w:rPr>
            </w:pPr>
            <w:r>
              <w:rPr>
                <w:rFonts w:hint="eastAsia"/>
                <w:color w:val="auto"/>
              </w:rPr>
              <w:t>排放标准/（</w:t>
            </w:r>
            <w:r>
              <w:rPr>
                <w:color w:val="auto"/>
              </w:rPr>
              <w:t>mg/m</w:t>
            </w:r>
            <w:r>
              <w:rPr>
                <w:color w:val="auto"/>
                <w:vertAlign w:val="superscript"/>
              </w:rPr>
              <w:t>3</w:t>
            </w:r>
            <w:r>
              <w:rPr>
                <w:rFonts w:hint="eastAsia"/>
                <w:color w:val="auto"/>
              </w:rPr>
              <w:t>）</w:t>
            </w:r>
          </w:p>
        </w:tc>
      </w:tr>
      <w:tr w14:paraId="7F0916F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55" w:hRule="atLeast"/>
        </w:trPr>
        <w:tc>
          <w:tcPr>
            <w:tcW w:w="347" w:type="pct"/>
            <w:vMerge w:val="restart"/>
            <w:vAlign w:val="center"/>
          </w:tcPr>
          <w:p w14:paraId="61555DEE">
            <w:pPr>
              <w:pStyle w:val="129"/>
              <w:widowControl w:val="0"/>
              <w:rPr>
                <w:color w:val="auto"/>
              </w:rPr>
            </w:pPr>
            <w:r>
              <w:rPr>
                <w:rFonts w:hint="eastAsia"/>
                <w:color w:val="auto"/>
              </w:rPr>
              <w:t>大气污染物</w:t>
            </w:r>
          </w:p>
        </w:tc>
        <w:tc>
          <w:tcPr>
            <w:tcW w:w="1194" w:type="pct"/>
            <w:vAlign w:val="center"/>
          </w:tcPr>
          <w:p w14:paraId="230164F1">
            <w:pPr>
              <w:pStyle w:val="129"/>
              <w:widowControl w:val="0"/>
              <w:rPr>
                <w:color w:val="auto"/>
              </w:rPr>
            </w:pPr>
            <w:r>
              <w:rPr>
                <w:rFonts w:hint="eastAsia" w:ascii="宋体" w:hAnsi="宋体" w:eastAsia="Times New Roman" w:cs="宋体"/>
                <w:color w:val="auto"/>
              </w:rPr>
              <w:t>含氨废气（</w:t>
            </w:r>
            <w:r>
              <w:rPr>
                <w:rFonts w:eastAsia="Times New Roman"/>
                <w:color w:val="auto"/>
              </w:rPr>
              <w:t>DA00</w:t>
            </w:r>
            <w:r>
              <w:rPr>
                <w:color w:val="auto"/>
              </w:rPr>
              <w:t>1</w:t>
            </w:r>
            <w:r>
              <w:rPr>
                <w:rFonts w:hint="eastAsia" w:ascii="宋体" w:hAnsi="宋体" w:eastAsia="Times New Roman" w:cs="宋体"/>
                <w:color w:val="auto"/>
              </w:rPr>
              <w:t>）</w:t>
            </w:r>
          </w:p>
        </w:tc>
        <w:tc>
          <w:tcPr>
            <w:tcW w:w="895" w:type="pct"/>
            <w:vAlign w:val="center"/>
          </w:tcPr>
          <w:p w14:paraId="078A3BE2">
            <w:pPr>
              <w:pStyle w:val="129"/>
              <w:widowControl w:val="0"/>
              <w:rPr>
                <w:color w:val="auto"/>
              </w:rPr>
            </w:pPr>
            <w:r>
              <w:rPr>
                <w:rFonts w:eastAsia="Times New Roman"/>
                <w:color w:val="auto"/>
              </w:rPr>
              <w:t>NH</w:t>
            </w:r>
            <w:r>
              <w:rPr>
                <w:rFonts w:eastAsia="Times New Roman"/>
                <w:color w:val="auto"/>
                <w:vertAlign w:val="subscript"/>
              </w:rPr>
              <w:t>3</w:t>
            </w:r>
          </w:p>
        </w:tc>
        <w:tc>
          <w:tcPr>
            <w:tcW w:w="895" w:type="pct"/>
            <w:vAlign w:val="center"/>
          </w:tcPr>
          <w:p w14:paraId="5D2807C5">
            <w:pPr>
              <w:pStyle w:val="129"/>
              <w:widowControl w:val="0"/>
              <w:rPr>
                <w:color w:val="auto"/>
              </w:rPr>
            </w:pPr>
            <w:r>
              <w:rPr>
                <w:rFonts w:hint="eastAsia"/>
                <w:color w:val="auto"/>
              </w:rPr>
              <w:t>水洗+17m排气筒</w:t>
            </w:r>
          </w:p>
        </w:tc>
        <w:tc>
          <w:tcPr>
            <w:tcW w:w="407" w:type="pct"/>
            <w:vAlign w:val="center"/>
          </w:tcPr>
          <w:p w14:paraId="63BEF305">
            <w:pPr>
              <w:pStyle w:val="129"/>
              <w:widowControl w:val="0"/>
              <w:rPr>
                <w:color w:val="auto"/>
              </w:rPr>
            </w:pPr>
            <w:r>
              <w:rPr>
                <w:rFonts w:eastAsia="Times New Roman"/>
                <w:color w:val="auto"/>
              </w:rPr>
              <w:t>0.07</w:t>
            </w:r>
          </w:p>
        </w:tc>
        <w:tc>
          <w:tcPr>
            <w:tcW w:w="687" w:type="pct"/>
            <w:vAlign w:val="center"/>
          </w:tcPr>
          <w:p w14:paraId="2F7DFA95">
            <w:pPr>
              <w:pStyle w:val="129"/>
              <w:widowControl w:val="0"/>
              <w:rPr>
                <w:color w:val="auto"/>
              </w:rPr>
            </w:pPr>
            <w:r>
              <w:rPr>
                <w:rFonts w:hint="eastAsia"/>
                <w:color w:val="auto"/>
              </w:rPr>
              <w:t>8</w:t>
            </w:r>
          </w:p>
        </w:tc>
        <w:tc>
          <w:tcPr>
            <w:tcW w:w="575" w:type="pct"/>
            <w:vAlign w:val="center"/>
          </w:tcPr>
          <w:p w14:paraId="0F02F1F6">
            <w:pPr>
              <w:pStyle w:val="129"/>
              <w:widowControl w:val="0"/>
              <w:rPr>
                <w:color w:val="auto"/>
              </w:rPr>
            </w:pPr>
            <w:r>
              <w:rPr>
                <w:rFonts w:hint="eastAsia"/>
                <w:color w:val="auto"/>
              </w:rPr>
              <w:t>10</w:t>
            </w:r>
          </w:p>
        </w:tc>
      </w:tr>
      <w:tr w14:paraId="4420047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1AC2450B">
            <w:pPr>
              <w:pStyle w:val="129"/>
              <w:widowControl w:val="0"/>
              <w:rPr>
                <w:color w:val="auto"/>
              </w:rPr>
            </w:pPr>
          </w:p>
        </w:tc>
        <w:tc>
          <w:tcPr>
            <w:tcW w:w="1194" w:type="pct"/>
            <w:vAlign w:val="center"/>
          </w:tcPr>
          <w:p w14:paraId="29DF65AE">
            <w:pPr>
              <w:pStyle w:val="129"/>
              <w:widowControl w:val="0"/>
              <w:rPr>
                <w:color w:val="auto"/>
              </w:rPr>
            </w:pPr>
            <w:r>
              <w:rPr>
                <w:rFonts w:hint="eastAsia" w:ascii="宋体" w:hAnsi="宋体" w:eastAsia="Times New Roman" w:cs="宋体"/>
                <w:color w:val="auto"/>
              </w:rPr>
              <w:t>硫酸铵干燥包装排口（</w:t>
            </w:r>
            <w:r>
              <w:rPr>
                <w:rFonts w:eastAsia="Times New Roman"/>
                <w:color w:val="auto"/>
              </w:rPr>
              <w:t>DA002</w:t>
            </w:r>
            <w:r>
              <w:rPr>
                <w:rFonts w:hint="eastAsia" w:ascii="宋体" w:hAnsi="宋体" w:eastAsia="Times New Roman" w:cs="宋体"/>
                <w:color w:val="auto"/>
              </w:rPr>
              <w:t>）</w:t>
            </w:r>
          </w:p>
        </w:tc>
        <w:tc>
          <w:tcPr>
            <w:tcW w:w="895" w:type="pct"/>
            <w:vAlign w:val="center"/>
          </w:tcPr>
          <w:p w14:paraId="7A4C7DE7">
            <w:pPr>
              <w:pStyle w:val="129"/>
              <w:widowControl w:val="0"/>
              <w:rPr>
                <w:color w:val="auto"/>
              </w:rPr>
            </w:pPr>
            <w:r>
              <w:rPr>
                <w:rFonts w:hint="eastAsia"/>
                <w:color w:val="auto"/>
              </w:rPr>
              <w:t>颗粒物</w:t>
            </w:r>
          </w:p>
        </w:tc>
        <w:tc>
          <w:tcPr>
            <w:tcW w:w="895" w:type="pct"/>
            <w:vAlign w:val="center"/>
          </w:tcPr>
          <w:p w14:paraId="638701E0">
            <w:pPr>
              <w:pStyle w:val="129"/>
              <w:widowControl w:val="0"/>
              <w:rPr>
                <w:color w:val="auto"/>
              </w:rPr>
            </w:pPr>
            <w:r>
              <w:rPr>
                <w:rFonts w:hint="eastAsia"/>
                <w:color w:val="auto"/>
              </w:rPr>
              <w:t>布袋除尘器+17m排气筒</w:t>
            </w:r>
          </w:p>
        </w:tc>
        <w:tc>
          <w:tcPr>
            <w:tcW w:w="407" w:type="pct"/>
            <w:vAlign w:val="center"/>
          </w:tcPr>
          <w:p w14:paraId="4D5FCB10">
            <w:pPr>
              <w:pStyle w:val="129"/>
              <w:widowControl w:val="0"/>
              <w:rPr>
                <w:color w:val="auto"/>
              </w:rPr>
            </w:pPr>
            <w:r>
              <w:rPr>
                <w:rFonts w:hint="eastAsia"/>
                <w:color w:val="auto"/>
              </w:rPr>
              <w:t>2.35</w:t>
            </w:r>
          </w:p>
        </w:tc>
        <w:tc>
          <w:tcPr>
            <w:tcW w:w="687" w:type="pct"/>
            <w:vAlign w:val="center"/>
          </w:tcPr>
          <w:p w14:paraId="6EFDF2BC">
            <w:pPr>
              <w:pStyle w:val="129"/>
              <w:widowControl w:val="0"/>
              <w:rPr>
                <w:color w:val="auto"/>
              </w:rPr>
            </w:pPr>
            <w:r>
              <w:rPr>
                <w:rFonts w:hint="eastAsia"/>
                <w:color w:val="auto"/>
              </w:rPr>
              <w:t>7.1</w:t>
            </w:r>
          </w:p>
        </w:tc>
        <w:tc>
          <w:tcPr>
            <w:tcW w:w="575" w:type="pct"/>
            <w:vAlign w:val="center"/>
          </w:tcPr>
          <w:p w14:paraId="1F5612E8">
            <w:pPr>
              <w:pStyle w:val="129"/>
              <w:widowControl w:val="0"/>
              <w:rPr>
                <w:color w:val="auto"/>
              </w:rPr>
            </w:pPr>
            <w:r>
              <w:rPr>
                <w:rFonts w:hint="eastAsia"/>
                <w:color w:val="auto"/>
              </w:rPr>
              <w:t>10</w:t>
            </w:r>
          </w:p>
        </w:tc>
      </w:tr>
      <w:tr w14:paraId="1489218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1B57BC7F">
            <w:pPr>
              <w:pStyle w:val="129"/>
              <w:widowControl w:val="0"/>
              <w:rPr>
                <w:color w:val="auto"/>
              </w:rPr>
            </w:pPr>
          </w:p>
        </w:tc>
        <w:tc>
          <w:tcPr>
            <w:tcW w:w="1194" w:type="pct"/>
            <w:vAlign w:val="center"/>
          </w:tcPr>
          <w:p w14:paraId="0FE70C43">
            <w:pPr>
              <w:pStyle w:val="129"/>
              <w:widowControl w:val="0"/>
              <w:rPr>
                <w:rFonts w:hint="eastAsia" w:ascii="宋体" w:hAnsi="宋体" w:cs="宋体" w:eastAsiaTheme="minorEastAsia"/>
                <w:color w:val="auto"/>
              </w:rPr>
            </w:pPr>
            <w:r>
              <w:rPr>
                <w:rFonts w:hint="eastAsia" w:ascii="宋体" w:hAnsi="宋体" w:eastAsia="Times New Roman" w:cs="宋体"/>
                <w:color w:val="auto"/>
              </w:rPr>
              <w:t>二氧化碳气</w:t>
            </w:r>
          </w:p>
          <w:p w14:paraId="2DCE1BB1">
            <w:pPr>
              <w:pStyle w:val="129"/>
              <w:widowControl w:val="0"/>
              <w:rPr>
                <w:color w:val="auto"/>
              </w:rPr>
            </w:pPr>
            <w:r>
              <w:rPr>
                <w:rFonts w:hint="eastAsia" w:ascii="宋体" w:hAnsi="宋体" w:eastAsia="Times New Roman" w:cs="宋体"/>
                <w:color w:val="auto"/>
              </w:rPr>
              <w:t>（</w:t>
            </w:r>
            <w:r>
              <w:rPr>
                <w:rFonts w:eastAsia="Times New Roman"/>
                <w:color w:val="auto"/>
              </w:rPr>
              <w:t>DA00</w:t>
            </w:r>
            <w:r>
              <w:rPr>
                <w:rFonts w:hint="eastAsia" w:eastAsiaTheme="minorEastAsia"/>
                <w:color w:val="auto"/>
              </w:rPr>
              <w:t>3</w:t>
            </w:r>
            <w:r>
              <w:rPr>
                <w:rFonts w:hint="eastAsia" w:ascii="宋体" w:hAnsi="宋体" w:eastAsia="Times New Roman" w:cs="宋体"/>
                <w:color w:val="auto"/>
              </w:rPr>
              <w:t>）</w:t>
            </w:r>
          </w:p>
        </w:tc>
        <w:tc>
          <w:tcPr>
            <w:tcW w:w="895" w:type="pct"/>
            <w:vAlign w:val="center"/>
          </w:tcPr>
          <w:p w14:paraId="5709155D">
            <w:pPr>
              <w:pStyle w:val="129"/>
              <w:widowControl w:val="0"/>
              <w:rPr>
                <w:color w:val="auto"/>
              </w:rPr>
            </w:pPr>
            <w:r>
              <w:rPr>
                <w:rFonts w:eastAsia="Times New Roman"/>
                <w:color w:val="auto"/>
              </w:rPr>
              <w:t>H</w:t>
            </w:r>
            <w:r>
              <w:rPr>
                <w:rFonts w:eastAsia="Times New Roman"/>
                <w:color w:val="auto"/>
                <w:vertAlign w:val="subscript"/>
              </w:rPr>
              <w:t>2</w:t>
            </w:r>
            <w:r>
              <w:rPr>
                <w:rFonts w:eastAsia="Times New Roman"/>
                <w:color w:val="auto"/>
              </w:rPr>
              <w:t>S</w:t>
            </w:r>
          </w:p>
        </w:tc>
        <w:tc>
          <w:tcPr>
            <w:tcW w:w="895" w:type="pct"/>
            <w:vAlign w:val="center"/>
          </w:tcPr>
          <w:p w14:paraId="1285763E">
            <w:pPr>
              <w:pStyle w:val="129"/>
              <w:widowControl w:val="0"/>
              <w:rPr>
                <w:color w:val="auto"/>
              </w:rPr>
            </w:pPr>
            <w:r>
              <w:rPr>
                <w:rFonts w:hint="eastAsia"/>
                <w:color w:val="auto"/>
              </w:rPr>
              <w:t>/</w:t>
            </w:r>
          </w:p>
        </w:tc>
        <w:tc>
          <w:tcPr>
            <w:tcW w:w="407" w:type="pct"/>
            <w:vAlign w:val="center"/>
          </w:tcPr>
          <w:p w14:paraId="2515D9C1">
            <w:pPr>
              <w:pStyle w:val="129"/>
              <w:widowControl w:val="0"/>
              <w:rPr>
                <w:color w:val="auto"/>
              </w:rPr>
            </w:pPr>
            <w:r>
              <w:rPr>
                <w:rFonts w:hint="eastAsia"/>
                <w:color w:val="auto"/>
              </w:rPr>
              <w:t>0.00004</w:t>
            </w:r>
          </w:p>
        </w:tc>
        <w:tc>
          <w:tcPr>
            <w:tcW w:w="687" w:type="pct"/>
            <w:vAlign w:val="center"/>
          </w:tcPr>
          <w:p w14:paraId="524F818D">
            <w:pPr>
              <w:pStyle w:val="129"/>
              <w:widowControl w:val="0"/>
              <w:rPr>
                <w:color w:val="auto"/>
              </w:rPr>
            </w:pPr>
            <w:r>
              <w:rPr>
                <w:rFonts w:hint="eastAsia"/>
                <w:color w:val="auto"/>
              </w:rPr>
              <w:t>0.08</w:t>
            </w:r>
          </w:p>
        </w:tc>
        <w:tc>
          <w:tcPr>
            <w:tcW w:w="575" w:type="pct"/>
            <w:vAlign w:val="center"/>
          </w:tcPr>
          <w:p w14:paraId="4F29E027">
            <w:pPr>
              <w:pStyle w:val="129"/>
              <w:widowControl w:val="0"/>
              <w:rPr>
                <w:color w:val="auto"/>
              </w:rPr>
            </w:pPr>
            <w:r>
              <w:rPr>
                <w:rFonts w:hint="eastAsia"/>
                <w:color w:val="auto"/>
              </w:rPr>
              <w:t>5</w:t>
            </w:r>
          </w:p>
        </w:tc>
      </w:tr>
      <w:tr w14:paraId="39D938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065" w:hRule="atLeast"/>
        </w:trPr>
        <w:tc>
          <w:tcPr>
            <w:tcW w:w="347" w:type="pct"/>
            <w:vMerge w:val="continue"/>
            <w:vAlign w:val="center"/>
          </w:tcPr>
          <w:p w14:paraId="6BD7ADA0">
            <w:pPr>
              <w:pStyle w:val="129"/>
              <w:widowControl w:val="0"/>
              <w:rPr>
                <w:color w:val="auto"/>
              </w:rPr>
            </w:pPr>
          </w:p>
        </w:tc>
        <w:tc>
          <w:tcPr>
            <w:tcW w:w="1194" w:type="pct"/>
            <w:vAlign w:val="center"/>
          </w:tcPr>
          <w:p w14:paraId="4C2CC9D0">
            <w:pPr>
              <w:pStyle w:val="129"/>
              <w:widowControl w:val="0"/>
              <w:rPr>
                <w:color w:val="auto"/>
              </w:rPr>
            </w:pPr>
            <w:r>
              <w:rPr>
                <w:rFonts w:hint="eastAsia" w:ascii="宋体" w:hAnsi="宋体" w:eastAsia="Times New Roman" w:cs="宋体"/>
                <w:color w:val="auto"/>
              </w:rPr>
              <w:t>碳酸钠干燥包装排口（</w:t>
            </w:r>
            <w:r>
              <w:rPr>
                <w:rFonts w:eastAsia="Times New Roman"/>
                <w:color w:val="auto"/>
              </w:rPr>
              <w:t>DA004</w:t>
            </w:r>
            <w:r>
              <w:rPr>
                <w:rFonts w:hint="eastAsia" w:ascii="宋体" w:hAnsi="宋体" w:eastAsia="Times New Roman" w:cs="宋体"/>
                <w:color w:val="auto"/>
              </w:rPr>
              <w:t>）</w:t>
            </w:r>
          </w:p>
        </w:tc>
        <w:tc>
          <w:tcPr>
            <w:tcW w:w="895" w:type="pct"/>
            <w:vAlign w:val="center"/>
          </w:tcPr>
          <w:p w14:paraId="6D46FF9C">
            <w:pPr>
              <w:pStyle w:val="129"/>
              <w:widowControl w:val="0"/>
              <w:rPr>
                <w:color w:val="auto"/>
              </w:rPr>
            </w:pPr>
            <w:r>
              <w:rPr>
                <w:rFonts w:hint="eastAsia"/>
                <w:color w:val="auto"/>
              </w:rPr>
              <w:t>颗粒物</w:t>
            </w:r>
          </w:p>
        </w:tc>
        <w:tc>
          <w:tcPr>
            <w:tcW w:w="895" w:type="pct"/>
            <w:vAlign w:val="center"/>
          </w:tcPr>
          <w:p w14:paraId="57C8F5B6">
            <w:pPr>
              <w:pStyle w:val="129"/>
              <w:widowControl w:val="0"/>
              <w:rPr>
                <w:color w:val="auto"/>
              </w:rPr>
            </w:pPr>
            <w:r>
              <w:rPr>
                <w:rFonts w:hint="eastAsia"/>
                <w:color w:val="auto"/>
              </w:rPr>
              <w:t>布袋除尘器+17m排气筒</w:t>
            </w:r>
          </w:p>
        </w:tc>
        <w:tc>
          <w:tcPr>
            <w:tcW w:w="407" w:type="pct"/>
            <w:vAlign w:val="center"/>
          </w:tcPr>
          <w:p w14:paraId="538732A3">
            <w:pPr>
              <w:pStyle w:val="129"/>
              <w:widowControl w:val="0"/>
              <w:rPr>
                <w:color w:val="auto"/>
              </w:rPr>
            </w:pPr>
            <w:r>
              <w:rPr>
                <w:rFonts w:hint="eastAsia"/>
                <w:color w:val="auto"/>
              </w:rPr>
              <w:t>0.15</w:t>
            </w:r>
          </w:p>
        </w:tc>
        <w:tc>
          <w:tcPr>
            <w:tcW w:w="687" w:type="pct"/>
            <w:vAlign w:val="center"/>
          </w:tcPr>
          <w:p w14:paraId="04AE8A29">
            <w:pPr>
              <w:pStyle w:val="129"/>
              <w:widowControl w:val="0"/>
              <w:rPr>
                <w:color w:val="auto"/>
              </w:rPr>
            </w:pPr>
            <w:r>
              <w:rPr>
                <w:rFonts w:hint="eastAsia"/>
                <w:color w:val="auto"/>
              </w:rPr>
              <w:t>6.4</w:t>
            </w:r>
          </w:p>
        </w:tc>
        <w:tc>
          <w:tcPr>
            <w:tcW w:w="575" w:type="pct"/>
            <w:vAlign w:val="center"/>
          </w:tcPr>
          <w:p w14:paraId="36F6EC6F">
            <w:pPr>
              <w:pStyle w:val="129"/>
              <w:widowControl w:val="0"/>
              <w:rPr>
                <w:color w:val="auto"/>
              </w:rPr>
            </w:pPr>
            <w:r>
              <w:rPr>
                <w:rFonts w:hint="eastAsia"/>
                <w:color w:val="auto"/>
              </w:rPr>
              <w:t>10</w:t>
            </w:r>
          </w:p>
        </w:tc>
      </w:tr>
      <w:tr w14:paraId="4C016CB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5D4F54CD">
            <w:pPr>
              <w:pStyle w:val="129"/>
              <w:widowControl w:val="0"/>
              <w:rPr>
                <w:color w:val="auto"/>
              </w:rPr>
            </w:pPr>
          </w:p>
        </w:tc>
        <w:tc>
          <w:tcPr>
            <w:tcW w:w="1194" w:type="pct"/>
            <w:vMerge w:val="restart"/>
            <w:vAlign w:val="center"/>
          </w:tcPr>
          <w:p w14:paraId="477511BE">
            <w:pPr>
              <w:pStyle w:val="129"/>
              <w:widowControl w:val="0"/>
              <w:rPr>
                <w:color w:val="auto"/>
              </w:rPr>
            </w:pPr>
            <w:r>
              <w:rPr>
                <w:rFonts w:hint="eastAsia" w:ascii="宋体" w:hAnsi="宋体" w:eastAsia="Times New Roman" w:cs="宋体"/>
                <w:color w:val="auto"/>
              </w:rPr>
              <w:t>水铝石干燥包装排口（</w:t>
            </w:r>
            <w:r>
              <w:rPr>
                <w:rFonts w:eastAsia="Times New Roman"/>
                <w:color w:val="auto"/>
              </w:rPr>
              <w:t>DA005</w:t>
            </w:r>
            <w:r>
              <w:rPr>
                <w:rFonts w:hint="eastAsia" w:ascii="宋体" w:hAnsi="宋体" w:eastAsia="Times New Roman" w:cs="宋体"/>
                <w:color w:val="auto"/>
              </w:rPr>
              <w:t>)</w:t>
            </w:r>
          </w:p>
        </w:tc>
        <w:tc>
          <w:tcPr>
            <w:tcW w:w="895" w:type="pct"/>
            <w:vAlign w:val="center"/>
          </w:tcPr>
          <w:p w14:paraId="7136749F">
            <w:pPr>
              <w:pStyle w:val="129"/>
              <w:widowControl w:val="0"/>
              <w:rPr>
                <w:color w:val="auto"/>
              </w:rPr>
            </w:pPr>
            <w:r>
              <w:rPr>
                <w:rFonts w:hint="eastAsia"/>
                <w:color w:val="auto"/>
              </w:rPr>
              <w:t>颗粒物</w:t>
            </w:r>
          </w:p>
        </w:tc>
        <w:tc>
          <w:tcPr>
            <w:tcW w:w="895" w:type="pct"/>
            <w:vMerge w:val="restart"/>
            <w:vAlign w:val="center"/>
          </w:tcPr>
          <w:p w14:paraId="5124E65B">
            <w:pPr>
              <w:pStyle w:val="129"/>
              <w:widowControl w:val="0"/>
              <w:rPr>
                <w:color w:val="auto"/>
              </w:rPr>
            </w:pPr>
            <w:r>
              <w:rPr>
                <w:rFonts w:hint="eastAsia"/>
                <w:color w:val="auto"/>
              </w:rPr>
              <w:t>燃用清洁燃料+低氮燃烧器+布袋除尘器</w:t>
            </w:r>
          </w:p>
        </w:tc>
        <w:tc>
          <w:tcPr>
            <w:tcW w:w="407" w:type="pct"/>
            <w:vAlign w:val="center"/>
          </w:tcPr>
          <w:p w14:paraId="0FA60ECC">
            <w:pPr>
              <w:pStyle w:val="129"/>
              <w:widowControl w:val="0"/>
              <w:rPr>
                <w:color w:val="auto"/>
              </w:rPr>
            </w:pPr>
            <w:r>
              <w:rPr>
                <w:rFonts w:hint="eastAsia"/>
                <w:color w:val="auto"/>
              </w:rPr>
              <w:t>1.00</w:t>
            </w:r>
          </w:p>
        </w:tc>
        <w:tc>
          <w:tcPr>
            <w:tcW w:w="687" w:type="pct"/>
            <w:vAlign w:val="center"/>
          </w:tcPr>
          <w:p w14:paraId="70926480">
            <w:pPr>
              <w:pStyle w:val="129"/>
              <w:widowControl w:val="0"/>
              <w:rPr>
                <w:color w:val="auto"/>
              </w:rPr>
            </w:pPr>
            <w:r>
              <w:rPr>
                <w:rFonts w:hint="eastAsia"/>
                <w:color w:val="auto"/>
              </w:rPr>
              <w:t>3.5</w:t>
            </w:r>
          </w:p>
        </w:tc>
        <w:tc>
          <w:tcPr>
            <w:tcW w:w="575" w:type="pct"/>
            <w:vAlign w:val="center"/>
          </w:tcPr>
          <w:p w14:paraId="3B266BC6">
            <w:pPr>
              <w:pStyle w:val="129"/>
              <w:widowControl w:val="0"/>
              <w:rPr>
                <w:color w:val="auto"/>
              </w:rPr>
            </w:pPr>
            <w:r>
              <w:rPr>
                <w:rFonts w:hint="eastAsia"/>
                <w:color w:val="auto"/>
              </w:rPr>
              <w:t>10</w:t>
            </w:r>
          </w:p>
        </w:tc>
      </w:tr>
      <w:tr w14:paraId="18922F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6DB45D87">
            <w:pPr>
              <w:pStyle w:val="129"/>
              <w:widowControl w:val="0"/>
              <w:rPr>
                <w:color w:val="auto"/>
              </w:rPr>
            </w:pPr>
          </w:p>
        </w:tc>
        <w:tc>
          <w:tcPr>
            <w:tcW w:w="1194" w:type="pct"/>
            <w:vMerge w:val="continue"/>
            <w:vAlign w:val="center"/>
          </w:tcPr>
          <w:p w14:paraId="3B74F4F6">
            <w:pPr>
              <w:pStyle w:val="129"/>
              <w:widowControl w:val="0"/>
              <w:rPr>
                <w:color w:val="auto"/>
              </w:rPr>
            </w:pPr>
          </w:p>
        </w:tc>
        <w:tc>
          <w:tcPr>
            <w:tcW w:w="895" w:type="pct"/>
            <w:vAlign w:val="center"/>
          </w:tcPr>
          <w:p w14:paraId="10E65105">
            <w:pPr>
              <w:pStyle w:val="129"/>
              <w:widowControl w:val="0"/>
              <w:rPr>
                <w:color w:val="auto"/>
              </w:rPr>
            </w:pPr>
            <w:r>
              <w:rPr>
                <w:color w:val="auto"/>
              </w:rPr>
              <w:t>SO2</w:t>
            </w:r>
          </w:p>
        </w:tc>
        <w:tc>
          <w:tcPr>
            <w:tcW w:w="895" w:type="pct"/>
            <w:vMerge w:val="continue"/>
            <w:vAlign w:val="center"/>
          </w:tcPr>
          <w:p w14:paraId="6EBEE383">
            <w:pPr>
              <w:pStyle w:val="129"/>
              <w:widowControl w:val="0"/>
              <w:rPr>
                <w:color w:val="auto"/>
              </w:rPr>
            </w:pPr>
          </w:p>
        </w:tc>
        <w:tc>
          <w:tcPr>
            <w:tcW w:w="407" w:type="pct"/>
            <w:vAlign w:val="center"/>
          </w:tcPr>
          <w:p w14:paraId="2C2B095C">
            <w:pPr>
              <w:pStyle w:val="129"/>
              <w:widowControl w:val="0"/>
              <w:rPr>
                <w:color w:val="auto"/>
              </w:rPr>
            </w:pPr>
            <w:r>
              <w:rPr>
                <w:rFonts w:hint="eastAsia"/>
                <w:color w:val="auto"/>
              </w:rPr>
              <w:t>0.095</w:t>
            </w:r>
          </w:p>
        </w:tc>
        <w:tc>
          <w:tcPr>
            <w:tcW w:w="687" w:type="pct"/>
            <w:vAlign w:val="center"/>
          </w:tcPr>
          <w:p w14:paraId="0A12D023">
            <w:pPr>
              <w:pStyle w:val="129"/>
              <w:widowControl w:val="0"/>
              <w:rPr>
                <w:color w:val="auto"/>
              </w:rPr>
            </w:pPr>
            <w:r>
              <w:rPr>
                <w:color w:val="auto"/>
              </w:rPr>
              <w:t>0.</w:t>
            </w:r>
            <w:r>
              <w:rPr>
                <w:rFonts w:hint="eastAsia"/>
                <w:color w:val="auto"/>
              </w:rPr>
              <w:t>3</w:t>
            </w:r>
          </w:p>
        </w:tc>
        <w:tc>
          <w:tcPr>
            <w:tcW w:w="575" w:type="pct"/>
            <w:vAlign w:val="center"/>
          </w:tcPr>
          <w:p w14:paraId="0EC78DA8">
            <w:pPr>
              <w:pStyle w:val="129"/>
              <w:widowControl w:val="0"/>
              <w:rPr>
                <w:color w:val="auto"/>
              </w:rPr>
            </w:pPr>
            <w:r>
              <w:rPr>
                <w:rFonts w:hint="eastAsia"/>
                <w:color w:val="auto"/>
              </w:rPr>
              <w:t>100</w:t>
            </w:r>
          </w:p>
        </w:tc>
      </w:tr>
      <w:tr w14:paraId="6F11134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3B3C3B9E">
            <w:pPr>
              <w:pStyle w:val="129"/>
              <w:widowControl w:val="0"/>
              <w:rPr>
                <w:color w:val="auto"/>
              </w:rPr>
            </w:pPr>
          </w:p>
        </w:tc>
        <w:tc>
          <w:tcPr>
            <w:tcW w:w="1194" w:type="pct"/>
            <w:vMerge w:val="continue"/>
            <w:vAlign w:val="center"/>
          </w:tcPr>
          <w:p w14:paraId="10C7FD95">
            <w:pPr>
              <w:pStyle w:val="129"/>
              <w:widowControl w:val="0"/>
              <w:rPr>
                <w:color w:val="auto"/>
              </w:rPr>
            </w:pPr>
          </w:p>
        </w:tc>
        <w:tc>
          <w:tcPr>
            <w:tcW w:w="895" w:type="pct"/>
            <w:vAlign w:val="center"/>
          </w:tcPr>
          <w:p w14:paraId="63580728">
            <w:pPr>
              <w:pStyle w:val="129"/>
              <w:widowControl w:val="0"/>
              <w:rPr>
                <w:color w:val="auto"/>
              </w:rPr>
            </w:pPr>
            <w:r>
              <w:rPr>
                <w:color w:val="auto"/>
              </w:rPr>
              <w:t>NO</w:t>
            </w:r>
            <w:r>
              <w:rPr>
                <w:rFonts w:hint="eastAsia"/>
                <w:color w:val="auto"/>
              </w:rPr>
              <w:t>x</w:t>
            </w:r>
          </w:p>
        </w:tc>
        <w:tc>
          <w:tcPr>
            <w:tcW w:w="895" w:type="pct"/>
            <w:vMerge w:val="continue"/>
            <w:vAlign w:val="center"/>
          </w:tcPr>
          <w:p w14:paraId="4317750E">
            <w:pPr>
              <w:pStyle w:val="129"/>
              <w:widowControl w:val="0"/>
              <w:rPr>
                <w:color w:val="auto"/>
              </w:rPr>
            </w:pPr>
          </w:p>
        </w:tc>
        <w:tc>
          <w:tcPr>
            <w:tcW w:w="407" w:type="pct"/>
            <w:vAlign w:val="center"/>
          </w:tcPr>
          <w:p w14:paraId="75F266A9">
            <w:pPr>
              <w:pStyle w:val="129"/>
              <w:widowControl w:val="0"/>
              <w:rPr>
                <w:color w:val="auto"/>
              </w:rPr>
            </w:pPr>
            <w:r>
              <w:rPr>
                <w:rFonts w:hint="eastAsia"/>
                <w:color w:val="auto"/>
              </w:rPr>
              <w:t>1.16</w:t>
            </w:r>
          </w:p>
        </w:tc>
        <w:tc>
          <w:tcPr>
            <w:tcW w:w="687" w:type="pct"/>
            <w:vAlign w:val="center"/>
          </w:tcPr>
          <w:p w14:paraId="6F5953A8">
            <w:pPr>
              <w:pStyle w:val="129"/>
              <w:widowControl w:val="0"/>
              <w:rPr>
                <w:color w:val="auto"/>
              </w:rPr>
            </w:pPr>
            <w:r>
              <w:rPr>
                <w:rFonts w:hint="eastAsia"/>
                <w:color w:val="auto"/>
              </w:rPr>
              <w:t>4.0</w:t>
            </w:r>
          </w:p>
        </w:tc>
        <w:tc>
          <w:tcPr>
            <w:tcW w:w="575" w:type="pct"/>
            <w:vAlign w:val="center"/>
          </w:tcPr>
          <w:p w14:paraId="50EB5462">
            <w:pPr>
              <w:pStyle w:val="129"/>
              <w:widowControl w:val="0"/>
              <w:rPr>
                <w:color w:val="auto"/>
              </w:rPr>
            </w:pPr>
            <w:r>
              <w:rPr>
                <w:rFonts w:hint="eastAsia"/>
                <w:color w:val="auto"/>
              </w:rPr>
              <w:t>100</w:t>
            </w:r>
          </w:p>
        </w:tc>
      </w:tr>
      <w:tr w14:paraId="41B9AEF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7D1DAFA2">
            <w:pPr>
              <w:pStyle w:val="129"/>
              <w:widowControl w:val="0"/>
              <w:rPr>
                <w:color w:val="auto"/>
              </w:rPr>
            </w:pPr>
          </w:p>
        </w:tc>
        <w:tc>
          <w:tcPr>
            <w:tcW w:w="1194" w:type="pct"/>
            <w:vMerge w:val="restart"/>
            <w:vAlign w:val="center"/>
          </w:tcPr>
          <w:p w14:paraId="76E7CB11">
            <w:pPr>
              <w:pStyle w:val="129"/>
              <w:widowControl w:val="0"/>
              <w:rPr>
                <w:color w:val="auto"/>
              </w:rPr>
            </w:pPr>
            <w:r>
              <w:rPr>
                <w:rFonts w:hint="eastAsia"/>
                <w:color w:val="auto"/>
              </w:rPr>
              <w:t>催化剂生产干燥废气总排口</w:t>
            </w:r>
            <w:r>
              <w:rPr>
                <w:rFonts w:hint="eastAsia" w:ascii="宋体" w:hAnsi="宋体" w:eastAsia="Times New Roman" w:cs="宋体"/>
                <w:color w:val="auto"/>
              </w:rPr>
              <w:t>（</w:t>
            </w:r>
            <w:r>
              <w:rPr>
                <w:rFonts w:eastAsia="Times New Roman"/>
                <w:color w:val="auto"/>
              </w:rPr>
              <w:t>DA006</w:t>
            </w:r>
            <w:r>
              <w:rPr>
                <w:rFonts w:hint="eastAsia" w:ascii="宋体" w:hAnsi="宋体" w:eastAsia="Times New Roman" w:cs="宋体"/>
                <w:color w:val="auto"/>
              </w:rPr>
              <w:t>）</w:t>
            </w:r>
          </w:p>
        </w:tc>
        <w:tc>
          <w:tcPr>
            <w:tcW w:w="895" w:type="pct"/>
            <w:vAlign w:val="center"/>
          </w:tcPr>
          <w:p w14:paraId="356636B3">
            <w:pPr>
              <w:pStyle w:val="129"/>
              <w:widowControl w:val="0"/>
              <w:rPr>
                <w:color w:val="auto"/>
              </w:rPr>
            </w:pPr>
            <w:r>
              <w:rPr>
                <w:rFonts w:hint="eastAsia"/>
                <w:color w:val="auto"/>
              </w:rPr>
              <w:t>颗粒物</w:t>
            </w:r>
          </w:p>
        </w:tc>
        <w:tc>
          <w:tcPr>
            <w:tcW w:w="895" w:type="pct"/>
            <w:vMerge w:val="restart"/>
            <w:vAlign w:val="center"/>
          </w:tcPr>
          <w:p w14:paraId="2D4D3DAE">
            <w:pPr>
              <w:pStyle w:val="129"/>
              <w:widowControl w:val="0"/>
              <w:rPr>
                <w:color w:val="auto"/>
              </w:rPr>
            </w:pPr>
            <w:r>
              <w:rPr>
                <w:rFonts w:hint="eastAsia"/>
                <w:color w:val="auto"/>
              </w:rPr>
              <w:t>燃用清燃料+低氮燃烧器</w:t>
            </w:r>
          </w:p>
        </w:tc>
        <w:tc>
          <w:tcPr>
            <w:tcW w:w="407" w:type="pct"/>
            <w:vAlign w:val="center"/>
          </w:tcPr>
          <w:p w14:paraId="07440F16">
            <w:pPr>
              <w:pStyle w:val="129"/>
              <w:widowControl w:val="0"/>
              <w:rPr>
                <w:color w:val="auto"/>
              </w:rPr>
            </w:pPr>
            <w:r>
              <w:rPr>
                <w:rFonts w:hint="eastAsia"/>
                <w:color w:val="auto"/>
              </w:rPr>
              <w:t>3.48</w:t>
            </w:r>
          </w:p>
        </w:tc>
        <w:tc>
          <w:tcPr>
            <w:tcW w:w="687" w:type="pct"/>
            <w:vAlign w:val="center"/>
          </w:tcPr>
          <w:p w14:paraId="59036E6C">
            <w:pPr>
              <w:pStyle w:val="129"/>
              <w:widowControl w:val="0"/>
              <w:rPr>
                <w:color w:val="auto"/>
              </w:rPr>
            </w:pPr>
            <w:r>
              <w:rPr>
                <w:rFonts w:hint="eastAsia"/>
                <w:color w:val="auto"/>
              </w:rPr>
              <w:t>9.38</w:t>
            </w:r>
          </w:p>
        </w:tc>
        <w:tc>
          <w:tcPr>
            <w:tcW w:w="575" w:type="pct"/>
            <w:vAlign w:val="center"/>
          </w:tcPr>
          <w:p w14:paraId="73AFFE3F">
            <w:pPr>
              <w:pStyle w:val="129"/>
              <w:widowControl w:val="0"/>
              <w:rPr>
                <w:color w:val="auto"/>
              </w:rPr>
            </w:pPr>
            <w:r>
              <w:rPr>
                <w:rFonts w:hint="eastAsia"/>
                <w:color w:val="auto"/>
              </w:rPr>
              <w:t>10</w:t>
            </w:r>
          </w:p>
        </w:tc>
      </w:tr>
      <w:tr w14:paraId="6A300CA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0B7B4D13">
            <w:pPr>
              <w:pStyle w:val="129"/>
              <w:widowControl w:val="0"/>
              <w:rPr>
                <w:color w:val="auto"/>
              </w:rPr>
            </w:pPr>
          </w:p>
        </w:tc>
        <w:tc>
          <w:tcPr>
            <w:tcW w:w="1194" w:type="pct"/>
            <w:vMerge w:val="continue"/>
            <w:vAlign w:val="center"/>
          </w:tcPr>
          <w:p w14:paraId="14487C9D">
            <w:pPr>
              <w:pStyle w:val="129"/>
              <w:widowControl w:val="0"/>
              <w:rPr>
                <w:color w:val="auto"/>
              </w:rPr>
            </w:pPr>
          </w:p>
        </w:tc>
        <w:tc>
          <w:tcPr>
            <w:tcW w:w="895" w:type="pct"/>
            <w:vAlign w:val="center"/>
          </w:tcPr>
          <w:p w14:paraId="3BE15B0B">
            <w:pPr>
              <w:pStyle w:val="129"/>
              <w:widowControl w:val="0"/>
              <w:rPr>
                <w:color w:val="auto"/>
              </w:rPr>
            </w:pPr>
            <w:r>
              <w:rPr>
                <w:color w:val="auto"/>
              </w:rPr>
              <w:t>SO</w:t>
            </w:r>
            <w:r>
              <w:rPr>
                <w:color w:val="auto"/>
                <w:vertAlign w:val="subscript"/>
              </w:rPr>
              <w:t>2</w:t>
            </w:r>
          </w:p>
        </w:tc>
        <w:tc>
          <w:tcPr>
            <w:tcW w:w="895" w:type="pct"/>
            <w:vMerge w:val="continue"/>
            <w:vAlign w:val="center"/>
          </w:tcPr>
          <w:p w14:paraId="4F6E7DD3">
            <w:pPr>
              <w:pStyle w:val="129"/>
              <w:widowControl w:val="0"/>
              <w:rPr>
                <w:color w:val="auto"/>
              </w:rPr>
            </w:pPr>
          </w:p>
        </w:tc>
        <w:tc>
          <w:tcPr>
            <w:tcW w:w="407" w:type="pct"/>
            <w:vAlign w:val="center"/>
          </w:tcPr>
          <w:p w14:paraId="5CDDF6C5">
            <w:pPr>
              <w:pStyle w:val="129"/>
              <w:widowControl w:val="0"/>
              <w:rPr>
                <w:color w:val="auto"/>
              </w:rPr>
            </w:pPr>
            <w:r>
              <w:rPr>
                <w:rFonts w:hint="eastAsia"/>
                <w:color w:val="auto"/>
              </w:rPr>
              <w:t>0.16</w:t>
            </w:r>
          </w:p>
        </w:tc>
        <w:tc>
          <w:tcPr>
            <w:tcW w:w="687" w:type="pct"/>
            <w:vAlign w:val="center"/>
          </w:tcPr>
          <w:p w14:paraId="4A50CBB7">
            <w:pPr>
              <w:pStyle w:val="129"/>
              <w:widowControl w:val="0"/>
              <w:rPr>
                <w:color w:val="auto"/>
              </w:rPr>
            </w:pPr>
            <w:r>
              <w:rPr>
                <w:color w:val="auto"/>
              </w:rPr>
              <w:t>0.</w:t>
            </w:r>
            <w:r>
              <w:rPr>
                <w:rFonts w:hint="eastAsia"/>
                <w:color w:val="auto"/>
              </w:rPr>
              <w:t>43</w:t>
            </w:r>
          </w:p>
        </w:tc>
        <w:tc>
          <w:tcPr>
            <w:tcW w:w="575" w:type="pct"/>
            <w:vAlign w:val="center"/>
          </w:tcPr>
          <w:p w14:paraId="18A417C1">
            <w:pPr>
              <w:pStyle w:val="129"/>
              <w:widowControl w:val="0"/>
              <w:rPr>
                <w:color w:val="auto"/>
              </w:rPr>
            </w:pPr>
            <w:r>
              <w:rPr>
                <w:rFonts w:hint="eastAsia"/>
                <w:color w:val="auto"/>
              </w:rPr>
              <w:t>100</w:t>
            </w:r>
          </w:p>
        </w:tc>
      </w:tr>
      <w:tr w14:paraId="089A1AA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5062055C">
            <w:pPr>
              <w:pStyle w:val="129"/>
              <w:widowControl w:val="0"/>
              <w:rPr>
                <w:color w:val="auto"/>
              </w:rPr>
            </w:pPr>
          </w:p>
        </w:tc>
        <w:tc>
          <w:tcPr>
            <w:tcW w:w="1194" w:type="pct"/>
            <w:vMerge w:val="continue"/>
            <w:vAlign w:val="center"/>
          </w:tcPr>
          <w:p w14:paraId="5B747815">
            <w:pPr>
              <w:pStyle w:val="129"/>
              <w:widowControl w:val="0"/>
              <w:rPr>
                <w:color w:val="auto"/>
              </w:rPr>
            </w:pPr>
          </w:p>
        </w:tc>
        <w:tc>
          <w:tcPr>
            <w:tcW w:w="895" w:type="pct"/>
            <w:vAlign w:val="center"/>
          </w:tcPr>
          <w:p w14:paraId="1E2F996B">
            <w:pPr>
              <w:pStyle w:val="129"/>
              <w:widowControl w:val="0"/>
              <w:rPr>
                <w:color w:val="auto"/>
              </w:rPr>
            </w:pPr>
            <w:r>
              <w:rPr>
                <w:color w:val="auto"/>
              </w:rPr>
              <w:t>NOx</w:t>
            </w:r>
          </w:p>
        </w:tc>
        <w:tc>
          <w:tcPr>
            <w:tcW w:w="895" w:type="pct"/>
            <w:vMerge w:val="continue"/>
            <w:vAlign w:val="center"/>
          </w:tcPr>
          <w:p w14:paraId="231D64E8">
            <w:pPr>
              <w:pStyle w:val="129"/>
              <w:widowControl w:val="0"/>
              <w:rPr>
                <w:color w:val="auto"/>
              </w:rPr>
            </w:pPr>
          </w:p>
        </w:tc>
        <w:tc>
          <w:tcPr>
            <w:tcW w:w="407" w:type="pct"/>
            <w:vAlign w:val="center"/>
          </w:tcPr>
          <w:p w14:paraId="39B4D340">
            <w:pPr>
              <w:pStyle w:val="129"/>
              <w:widowControl w:val="0"/>
              <w:rPr>
                <w:color w:val="auto"/>
              </w:rPr>
            </w:pPr>
            <w:r>
              <w:rPr>
                <w:rFonts w:hint="eastAsia"/>
                <w:color w:val="auto"/>
              </w:rPr>
              <w:t>1.959</w:t>
            </w:r>
          </w:p>
        </w:tc>
        <w:tc>
          <w:tcPr>
            <w:tcW w:w="687" w:type="pct"/>
            <w:vAlign w:val="center"/>
          </w:tcPr>
          <w:p w14:paraId="69191637">
            <w:pPr>
              <w:pStyle w:val="129"/>
              <w:widowControl w:val="0"/>
              <w:rPr>
                <w:color w:val="auto"/>
              </w:rPr>
            </w:pPr>
            <w:r>
              <w:rPr>
                <w:rFonts w:hint="eastAsia"/>
                <w:color w:val="auto"/>
              </w:rPr>
              <w:t>5.28</w:t>
            </w:r>
          </w:p>
        </w:tc>
        <w:tc>
          <w:tcPr>
            <w:tcW w:w="575" w:type="pct"/>
            <w:vAlign w:val="center"/>
          </w:tcPr>
          <w:p w14:paraId="02761F44">
            <w:pPr>
              <w:pStyle w:val="129"/>
              <w:widowControl w:val="0"/>
              <w:rPr>
                <w:color w:val="auto"/>
              </w:rPr>
            </w:pPr>
            <w:r>
              <w:rPr>
                <w:rFonts w:hint="eastAsia"/>
                <w:color w:val="auto"/>
              </w:rPr>
              <w:t>100</w:t>
            </w:r>
          </w:p>
        </w:tc>
      </w:tr>
      <w:tr w14:paraId="6656C7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1AFDD6FC">
            <w:pPr>
              <w:pStyle w:val="129"/>
              <w:widowControl w:val="0"/>
              <w:rPr>
                <w:color w:val="auto"/>
              </w:rPr>
            </w:pPr>
          </w:p>
        </w:tc>
        <w:tc>
          <w:tcPr>
            <w:tcW w:w="1194" w:type="pct"/>
            <w:vMerge w:val="restart"/>
            <w:vAlign w:val="center"/>
          </w:tcPr>
          <w:p w14:paraId="172D493F">
            <w:pPr>
              <w:pStyle w:val="129"/>
              <w:widowControl w:val="0"/>
              <w:rPr>
                <w:color w:val="auto"/>
              </w:rPr>
            </w:pPr>
            <w:r>
              <w:rPr>
                <w:rFonts w:hint="eastAsia" w:ascii="宋体" w:hAnsi="宋体" w:eastAsia="Times New Roman" w:cs="宋体"/>
                <w:color w:val="auto"/>
              </w:rPr>
              <w:t>催化剂生产焙烧废气总排口（</w:t>
            </w:r>
            <w:r>
              <w:rPr>
                <w:rFonts w:eastAsia="Times New Roman"/>
                <w:color w:val="auto"/>
              </w:rPr>
              <w:t>DA007</w:t>
            </w:r>
            <w:r>
              <w:rPr>
                <w:rFonts w:hint="eastAsia" w:ascii="宋体" w:hAnsi="宋体" w:eastAsia="Times New Roman" w:cs="宋体"/>
                <w:color w:val="auto"/>
              </w:rPr>
              <w:t>）</w:t>
            </w:r>
          </w:p>
        </w:tc>
        <w:tc>
          <w:tcPr>
            <w:tcW w:w="895" w:type="pct"/>
            <w:vAlign w:val="center"/>
          </w:tcPr>
          <w:p w14:paraId="3F5FB9F6">
            <w:pPr>
              <w:pStyle w:val="129"/>
              <w:widowControl w:val="0"/>
              <w:rPr>
                <w:color w:val="auto"/>
              </w:rPr>
            </w:pPr>
            <w:r>
              <w:rPr>
                <w:rFonts w:hint="eastAsia"/>
                <w:color w:val="auto"/>
              </w:rPr>
              <w:t>颗粒物</w:t>
            </w:r>
          </w:p>
        </w:tc>
        <w:tc>
          <w:tcPr>
            <w:tcW w:w="895" w:type="pct"/>
            <w:vMerge w:val="restart"/>
            <w:vAlign w:val="center"/>
          </w:tcPr>
          <w:p w14:paraId="566DD9CF">
            <w:pPr>
              <w:pStyle w:val="129"/>
              <w:widowControl w:val="0"/>
              <w:rPr>
                <w:color w:val="auto"/>
              </w:rPr>
            </w:pPr>
            <w:r>
              <w:rPr>
                <w:rFonts w:hint="eastAsia" w:ascii="宋体" w:hAnsi="宋体" w:eastAsia="Times New Roman" w:cs="宋体"/>
                <w:color w:val="auto"/>
              </w:rPr>
              <w:t>燃用清燃料+SCR脱硝+布袋除尘</w:t>
            </w:r>
          </w:p>
        </w:tc>
        <w:tc>
          <w:tcPr>
            <w:tcW w:w="407" w:type="pct"/>
            <w:vAlign w:val="center"/>
          </w:tcPr>
          <w:p w14:paraId="4F49CEA3">
            <w:pPr>
              <w:pStyle w:val="129"/>
              <w:widowControl w:val="0"/>
              <w:rPr>
                <w:color w:val="auto"/>
              </w:rPr>
            </w:pPr>
            <w:r>
              <w:rPr>
                <w:rFonts w:hint="eastAsia"/>
                <w:color w:val="auto"/>
              </w:rPr>
              <w:t>0.18</w:t>
            </w:r>
          </w:p>
        </w:tc>
        <w:tc>
          <w:tcPr>
            <w:tcW w:w="687" w:type="pct"/>
            <w:vAlign w:val="center"/>
          </w:tcPr>
          <w:p w14:paraId="5D892764">
            <w:pPr>
              <w:pStyle w:val="129"/>
              <w:widowControl w:val="0"/>
              <w:rPr>
                <w:color w:val="auto"/>
              </w:rPr>
            </w:pPr>
            <w:r>
              <w:rPr>
                <w:rFonts w:hint="eastAsia"/>
                <w:color w:val="auto"/>
              </w:rPr>
              <w:t>3.85</w:t>
            </w:r>
          </w:p>
        </w:tc>
        <w:tc>
          <w:tcPr>
            <w:tcW w:w="575" w:type="pct"/>
            <w:vAlign w:val="center"/>
          </w:tcPr>
          <w:p w14:paraId="71B921E8">
            <w:pPr>
              <w:pStyle w:val="129"/>
              <w:widowControl w:val="0"/>
              <w:rPr>
                <w:color w:val="auto"/>
              </w:rPr>
            </w:pPr>
            <w:r>
              <w:rPr>
                <w:rFonts w:hint="eastAsia"/>
                <w:color w:val="auto"/>
              </w:rPr>
              <w:t>10</w:t>
            </w:r>
          </w:p>
        </w:tc>
      </w:tr>
      <w:tr w14:paraId="0F8227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2A3AF8EF">
            <w:pPr>
              <w:pStyle w:val="129"/>
              <w:widowControl w:val="0"/>
              <w:rPr>
                <w:color w:val="auto"/>
              </w:rPr>
            </w:pPr>
          </w:p>
        </w:tc>
        <w:tc>
          <w:tcPr>
            <w:tcW w:w="1194" w:type="pct"/>
            <w:vMerge w:val="continue"/>
            <w:vAlign w:val="center"/>
          </w:tcPr>
          <w:p w14:paraId="336CA1EC">
            <w:pPr>
              <w:pStyle w:val="129"/>
              <w:widowControl w:val="0"/>
              <w:rPr>
                <w:color w:val="auto"/>
              </w:rPr>
            </w:pPr>
          </w:p>
        </w:tc>
        <w:tc>
          <w:tcPr>
            <w:tcW w:w="895" w:type="pct"/>
            <w:vAlign w:val="center"/>
          </w:tcPr>
          <w:p w14:paraId="698C9DF1">
            <w:pPr>
              <w:pStyle w:val="129"/>
              <w:widowControl w:val="0"/>
              <w:rPr>
                <w:color w:val="auto"/>
              </w:rPr>
            </w:pPr>
            <w:r>
              <w:rPr>
                <w:rFonts w:hint="eastAsia"/>
                <w:color w:val="auto"/>
              </w:rPr>
              <w:t>钴及其化合物</w:t>
            </w:r>
          </w:p>
        </w:tc>
        <w:tc>
          <w:tcPr>
            <w:tcW w:w="895" w:type="pct"/>
            <w:vMerge w:val="continue"/>
            <w:vAlign w:val="center"/>
          </w:tcPr>
          <w:p w14:paraId="52942421">
            <w:pPr>
              <w:pStyle w:val="129"/>
              <w:widowControl w:val="0"/>
              <w:rPr>
                <w:color w:val="auto"/>
              </w:rPr>
            </w:pPr>
          </w:p>
        </w:tc>
        <w:tc>
          <w:tcPr>
            <w:tcW w:w="407" w:type="pct"/>
            <w:vAlign w:val="center"/>
          </w:tcPr>
          <w:p w14:paraId="183AF050">
            <w:pPr>
              <w:pStyle w:val="129"/>
              <w:widowControl w:val="0"/>
              <w:rPr>
                <w:color w:val="auto"/>
              </w:rPr>
            </w:pPr>
            <w:r>
              <w:rPr>
                <w:rFonts w:hint="eastAsia"/>
                <w:color w:val="auto"/>
              </w:rPr>
              <w:t>0.0019</w:t>
            </w:r>
          </w:p>
        </w:tc>
        <w:tc>
          <w:tcPr>
            <w:tcW w:w="687" w:type="pct"/>
            <w:vAlign w:val="center"/>
          </w:tcPr>
          <w:p w14:paraId="2821FD3D">
            <w:pPr>
              <w:pStyle w:val="129"/>
              <w:widowControl w:val="0"/>
              <w:rPr>
                <w:color w:val="auto"/>
              </w:rPr>
            </w:pPr>
            <w:r>
              <w:rPr>
                <w:color w:val="auto"/>
              </w:rPr>
              <w:t>0.</w:t>
            </w:r>
            <w:r>
              <w:rPr>
                <w:rFonts w:hint="eastAsia"/>
                <w:color w:val="auto"/>
              </w:rPr>
              <w:t>04</w:t>
            </w:r>
          </w:p>
        </w:tc>
        <w:tc>
          <w:tcPr>
            <w:tcW w:w="575" w:type="pct"/>
            <w:vAlign w:val="center"/>
          </w:tcPr>
          <w:p w14:paraId="3AFCCE46">
            <w:pPr>
              <w:pStyle w:val="129"/>
              <w:widowControl w:val="0"/>
              <w:rPr>
                <w:color w:val="auto"/>
              </w:rPr>
            </w:pPr>
            <w:r>
              <w:rPr>
                <w:rFonts w:hint="eastAsia"/>
                <w:color w:val="auto"/>
              </w:rPr>
              <w:t>5</w:t>
            </w:r>
          </w:p>
        </w:tc>
      </w:tr>
      <w:tr w14:paraId="186D8AD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0F2C6BF5">
            <w:pPr>
              <w:pStyle w:val="129"/>
              <w:widowControl w:val="0"/>
              <w:rPr>
                <w:color w:val="auto"/>
              </w:rPr>
            </w:pPr>
          </w:p>
        </w:tc>
        <w:tc>
          <w:tcPr>
            <w:tcW w:w="1194" w:type="pct"/>
            <w:vMerge w:val="continue"/>
            <w:vAlign w:val="center"/>
          </w:tcPr>
          <w:p w14:paraId="36365BB0">
            <w:pPr>
              <w:pStyle w:val="129"/>
              <w:widowControl w:val="0"/>
              <w:rPr>
                <w:color w:val="auto"/>
              </w:rPr>
            </w:pPr>
          </w:p>
        </w:tc>
        <w:tc>
          <w:tcPr>
            <w:tcW w:w="895" w:type="pct"/>
            <w:vAlign w:val="center"/>
          </w:tcPr>
          <w:p w14:paraId="5E6845ED">
            <w:pPr>
              <w:pStyle w:val="129"/>
              <w:widowControl w:val="0"/>
              <w:rPr>
                <w:color w:val="auto"/>
              </w:rPr>
            </w:pPr>
            <w:r>
              <w:rPr>
                <w:rFonts w:hint="eastAsia"/>
                <w:color w:val="auto"/>
              </w:rPr>
              <w:t>钼及其化合物</w:t>
            </w:r>
          </w:p>
        </w:tc>
        <w:tc>
          <w:tcPr>
            <w:tcW w:w="895" w:type="pct"/>
            <w:vMerge w:val="continue"/>
            <w:vAlign w:val="center"/>
          </w:tcPr>
          <w:p w14:paraId="614F90E1">
            <w:pPr>
              <w:pStyle w:val="129"/>
              <w:widowControl w:val="0"/>
              <w:rPr>
                <w:color w:val="auto"/>
              </w:rPr>
            </w:pPr>
          </w:p>
        </w:tc>
        <w:tc>
          <w:tcPr>
            <w:tcW w:w="407" w:type="pct"/>
            <w:vAlign w:val="center"/>
          </w:tcPr>
          <w:p w14:paraId="4475E446">
            <w:pPr>
              <w:pStyle w:val="129"/>
              <w:widowControl w:val="0"/>
              <w:rPr>
                <w:color w:val="auto"/>
              </w:rPr>
            </w:pPr>
            <w:r>
              <w:rPr>
                <w:rFonts w:hint="eastAsia"/>
                <w:color w:val="auto"/>
              </w:rPr>
              <w:t>0.0004</w:t>
            </w:r>
          </w:p>
        </w:tc>
        <w:tc>
          <w:tcPr>
            <w:tcW w:w="687" w:type="pct"/>
            <w:vAlign w:val="center"/>
          </w:tcPr>
          <w:p w14:paraId="79C337C7">
            <w:pPr>
              <w:pStyle w:val="129"/>
              <w:widowControl w:val="0"/>
              <w:rPr>
                <w:color w:val="auto"/>
              </w:rPr>
            </w:pPr>
            <w:r>
              <w:rPr>
                <w:color w:val="auto"/>
              </w:rPr>
              <w:t>0.</w:t>
            </w:r>
            <w:r>
              <w:rPr>
                <w:rFonts w:hint="eastAsia"/>
                <w:color w:val="auto"/>
              </w:rPr>
              <w:t>01</w:t>
            </w:r>
          </w:p>
        </w:tc>
        <w:tc>
          <w:tcPr>
            <w:tcW w:w="575" w:type="pct"/>
            <w:vAlign w:val="center"/>
          </w:tcPr>
          <w:p w14:paraId="513FD224">
            <w:pPr>
              <w:pStyle w:val="129"/>
              <w:widowControl w:val="0"/>
              <w:rPr>
                <w:color w:val="auto"/>
              </w:rPr>
            </w:pPr>
            <w:r>
              <w:rPr>
                <w:rFonts w:hint="eastAsia"/>
                <w:color w:val="auto"/>
              </w:rPr>
              <w:t>5</w:t>
            </w:r>
          </w:p>
        </w:tc>
      </w:tr>
      <w:tr w14:paraId="3E968A8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3D752DAE">
            <w:pPr>
              <w:pStyle w:val="129"/>
              <w:widowControl w:val="0"/>
              <w:rPr>
                <w:color w:val="auto"/>
              </w:rPr>
            </w:pPr>
          </w:p>
        </w:tc>
        <w:tc>
          <w:tcPr>
            <w:tcW w:w="1194" w:type="pct"/>
            <w:vMerge w:val="continue"/>
            <w:vAlign w:val="center"/>
          </w:tcPr>
          <w:p w14:paraId="53664D8B">
            <w:pPr>
              <w:pStyle w:val="129"/>
              <w:widowControl w:val="0"/>
              <w:rPr>
                <w:color w:val="auto"/>
              </w:rPr>
            </w:pPr>
          </w:p>
        </w:tc>
        <w:tc>
          <w:tcPr>
            <w:tcW w:w="895" w:type="pct"/>
            <w:vAlign w:val="center"/>
          </w:tcPr>
          <w:p w14:paraId="16B9A577">
            <w:pPr>
              <w:pStyle w:val="129"/>
              <w:widowControl w:val="0"/>
              <w:rPr>
                <w:color w:val="auto"/>
              </w:rPr>
            </w:pPr>
            <w:r>
              <w:rPr>
                <w:rFonts w:hint="eastAsia"/>
                <w:color w:val="auto"/>
              </w:rPr>
              <w:t>镍及其化合物</w:t>
            </w:r>
          </w:p>
        </w:tc>
        <w:tc>
          <w:tcPr>
            <w:tcW w:w="895" w:type="pct"/>
            <w:vMerge w:val="continue"/>
            <w:vAlign w:val="center"/>
          </w:tcPr>
          <w:p w14:paraId="6B0D8325">
            <w:pPr>
              <w:pStyle w:val="129"/>
              <w:widowControl w:val="0"/>
              <w:rPr>
                <w:color w:val="auto"/>
              </w:rPr>
            </w:pPr>
          </w:p>
        </w:tc>
        <w:tc>
          <w:tcPr>
            <w:tcW w:w="407" w:type="pct"/>
            <w:vAlign w:val="center"/>
          </w:tcPr>
          <w:p w14:paraId="006D1623">
            <w:pPr>
              <w:pStyle w:val="129"/>
              <w:widowControl w:val="0"/>
              <w:rPr>
                <w:color w:val="auto"/>
              </w:rPr>
            </w:pPr>
            <w:r>
              <w:rPr>
                <w:rFonts w:hint="eastAsia"/>
                <w:color w:val="auto"/>
              </w:rPr>
              <w:t>0.0005</w:t>
            </w:r>
          </w:p>
        </w:tc>
        <w:tc>
          <w:tcPr>
            <w:tcW w:w="687" w:type="pct"/>
            <w:vAlign w:val="center"/>
          </w:tcPr>
          <w:p w14:paraId="73F6DB35">
            <w:pPr>
              <w:pStyle w:val="129"/>
              <w:widowControl w:val="0"/>
              <w:rPr>
                <w:color w:val="auto"/>
              </w:rPr>
            </w:pPr>
            <w:r>
              <w:rPr>
                <w:color w:val="auto"/>
              </w:rPr>
              <w:t>0.0</w:t>
            </w:r>
            <w:r>
              <w:rPr>
                <w:rFonts w:hint="eastAsia"/>
                <w:color w:val="auto"/>
              </w:rPr>
              <w:t>1</w:t>
            </w:r>
          </w:p>
        </w:tc>
        <w:tc>
          <w:tcPr>
            <w:tcW w:w="575" w:type="pct"/>
            <w:vAlign w:val="center"/>
          </w:tcPr>
          <w:p w14:paraId="60447DAF">
            <w:pPr>
              <w:pStyle w:val="129"/>
              <w:widowControl w:val="0"/>
              <w:rPr>
                <w:color w:val="auto"/>
              </w:rPr>
            </w:pPr>
            <w:r>
              <w:rPr>
                <w:rFonts w:hint="eastAsia"/>
                <w:color w:val="auto"/>
              </w:rPr>
              <w:t>4</w:t>
            </w:r>
          </w:p>
        </w:tc>
      </w:tr>
      <w:tr w14:paraId="3EBE14F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304C27DE">
            <w:pPr>
              <w:pStyle w:val="129"/>
              <w:widowControl w:val="0"/>
              <w:rPr>
                <w:color w:val="auto"/>
              </w:rPr>
            </w:pPr>
          </w:p>
        </w:tc>
        <w:tc>
          <w:tcPr>
            <w:tcW w:w="1194" w:type="pct"/>
            <w:vMerge w:val="continue"/>
            <w:vAlign w:val="center"/>
          </w:tcPr>
          <w:p w14:paraId="74A2418B">
            <w:pPr>
              <w:pStyle w:val="129"/>
              <w:widowControl w:val="0"/>
              <w:rPr>
                <w:color w:val="auto"/>
              </w:rPr>
            </w:pPr>
          </w:p>
        </w:tc>
        <w:tc>
          <w:tcPr>
            <w:tcW w:w="895" w:type="pct"/>
            <w:vAlign w:val="center"/>
          </w:tcPr>
          <w:p w14:paraId="0FB95FCB">
            <w:pPr>
              <w:pStyle w:val="129"/>
              <w:widowControl w:val="0"/>
              <w:rPr>
                <w:color w:val="auto"/>
              </w:rPr>
            </w:pPr>
            <w:r>
              <w:rPr>
                <w:rFonts w:hint="eastAsia"/>
                <w:color w:val="auto"/>
              </w:rPr>
              <w:t>锰及其化合物</w:t>
            </w:r>
          </w:p>
        </w:tc>
        <w:tc>
          <w:tcPr>
            <w:tcW w:w="895" w:type="pct"/>
            <w:vMerge w:val="continue"/>
            <w:vAlign w:val="center"/>
          </w:tcPr>
          <w:p w14:paraId="559CB09B">
            <w:pPr>
              <w:pStyle w:val="129"/>
              <w:widowControl w:val="0"/>
              <w:rPr>
                <w:color w:val="auto"/>
              </w:rPr>
            </w:pPr>
          </w:p>
        </w:tc>
        <w:tc>
          <w:tcPr>
            <w:tcW w:w="407" w:type="pct"/>
            <w:vAlign w:val="center"/>
          </w:tcPr>
          <w:p w14:paraId="77301D8C">
            <w:pPr>
              <w:pStyle w:val="129"/>
              <w:widowControl w:val="0"/>
              <w:rPr>
                <w:color w:val="auto"/>
              </w:rPr>
            </w:pPr>
            <w:r>
              <w:rPr>
                <w:rFonts w:hint="eastAsia"/>
                <w:color w:val="auto"/>
              </w:rPr>
              <w:t>0.0009</w:t>
            </w:r>
          </w:p>
        </w:tc>
        <w:tc>
          <w:tcPr>
            <w:tcW w:w="687" w:type="pct"/>
            <w:vAlign w:val="center"/>
          </w:tcPr>
          <w:p w14:paraId="0BEA6BA3">
            <w:pPr>
              <w:pStyle w:val="129"/>
              <w:widowControl w:val="0"/>
              <w:rPr>
                <w:color w:val="auto"/>
              </w:rPr>
            </w:pPr>
            <w:r>
              <w:rPr>
                <w:color w:val="auto"/>
              </w:rPr>
              <w:t>0.0</w:t>
            </w:r>
            <w:r>
              <w:rPr>
                <w:rFonts w:hint="eastAsia"/>
                <w:color w:val="auto"/>
              </w:rPr>
              <w:t>2</w:t>
            </w:r>
          </w:p>
        </w:tc>
        <w:tc>
          <w:tcPr>
            <w:tcW w:w="575" w:type="pct"/>
            <w:vAlign w:val="center"/>
          </w:tcPr>
          <w:p w14:paraId="3B3015B8">
            <w:pPr>
              <w:pStyle w:val="129"/>
              <w:widowControl w:val="0"/>
              <w:rPr>
                <w:color w:val="auto"/>
              </w:rPr>
            </w:pPr>
            <w:r>
              <w:rPr>
                <w:rFonts w:hint="eastAsia"/>
                <w:color w:val="auto"/>
              </w:rPr>
              <w:t>5</w:t>
            </w:r>
          </w:p>
        </w:tc>
      </w:tr>
      <w:tr w14:paraId="6D2719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1D3697B4">
            <w:pPr>
              <w:pStyle w:val="129"/>
              <w:widowControl w:val="0"/>
              <w:rPr>
                <w:color w:val="auto"/>
              </w:rPr>
            </w:pPr>
          </w:p>
        </w:tc>
        <w:tc>
          <w:tcPr>
            <w:tcW w:w="1194" w:type="pct"/>
            <w:vMerge w:val="continue"/>
            <w:vAlign w:val="center"/>
          </w:tcPr>
          <w:p w14:paraId="52669DAB">
            <w:pPr>
              <w:pStyle w:val="129"/>
              <w:widowControl w:val="0"/>
              <w:rPr>
                <w:color w:val="auto"/>
              </w:rPr>
            </w:pPr>
          </w:p>
        </w:tc>
        <w:tc>
          <w:tcPr>
            <w:tcW w:w="895" w:type="pct"/>
            <w:vAlign w:val="center"/>
          </w:tcPr>
          <w:p w14:paraId="45BB9BB0">
            <w:pPr>
              <w:pStyle w:val="129"/>
              <w:widowControl w:val="0"/>
              <w:rPr>
                <w:color w:val="auto"/>
              </w:rPr>
            </w:pPr>
            <w:r>
              <w:rPr>
                <w:rFonts w:hint="eastAsia"/>
                <w:color w:val="auto"/>
              </w:rPr>
              <w:t>铜及其化合物</w:t>
            </w:r>
          </w:p>
        </w:tc>
        <w:tc>
          <w:tcPr>
            <w:tcW w:w="895" w:type="pct"/>
            <w:vMerge w:val="continue"/>
            <w:vAlign w:val="center"/>
          </w:tcPr>
          <w:p w14:paraId="49507E5C">
            <w:pPr>
              <w:pStyle w:val="129"/>
              <w:widowControl w:val="0"/>
              <w:rPr>
                <w:color w:val="auto"/>
              </w:rPr>
            </w:pPr>
          </w:p>
        </w:tc>
        <w:tc>
          <w:tcPr>
            <w:tcW w:w="407" w:type="pct"/>
            <w:vAlign w:val="center"/>
          </w:tcPr>
          <w:p w14:paraId="300C7DF1">
            <w:pPr>
              <w:pStyle w:val="129"/>
              <w:widowControl w:val="0"/>
              <w:rPr>
                <w:color w:val="auto"/>
              </w:rPr>
            </w:pPr>
            <w:r>
              <w:rPr>
                <w:rFonts w:hint="eastAsia"/>
                <w:color w:val="auto"/>
              </w:rPr>
              <w:t>0.0002</w:t>
            </w:r>
          </w:p>
        </w:tc>
        <w:tc>
          <w:tcPr>
            <w:tcW w:w="687" w:type="pct"/>
            <w:vAlign w:val="center"/>
          </w:tcPr>
          <w:p w14:paraId="6A485D51">
            <w:pPr>
              <w:pStyle w:val="129"/>
              <w:widowControl w:val="0"/>
              <w:rPr>
                <w:color w:val="auto"/>
              </w:rPr>
            </w:pPr>
            <w:r>
              <w:rPr>
                <w:color w:val="auto"/>
              </w:rPr>
              <w:t>0.01</w:t>
            </w:r>
          </w:p>
        </w:tc>
        <w:tc>
          <w:tcPr>
            <w:tcW w:w="575" w:type="pct"/>
            <w:vAlign w:val="center"/>
          </w:tcPr>
          <w:p w14:paraId="7530D34D">
            <w:pPr>
              <w:pStyle w:val="129"/>
              <w:widowControl w:val="0"/>
              <w:rPr>
                <w:color w:val="auto"/>
              </w:rPr>
            </w:pPr>
            <w:r>
              <w:rPr>
                <w:rFonts w:hint="eastAsia"/>
                <w:color w:val="auto"/>
              </w:rPr>
              <w:t>5</w:t>
            </w:r>
          </w:p>
        </w:tc>
      </w:tr>
      <w:tr w14:paraId="130D3E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1018653E">
            <w:pPr>
              <w:pStyle w:val="129"/>
              <w:widowControl w:val="0"/>
              <w:rPr>
                <w:color w:val="auto"/>
              </w:rPr>
            </w:pPr>
          </w:p>
        </w:tc>
        <w:tc>
          <w:tcPr>
            <w:tcW w:w="1194" w:type="pct"/>
            <w:vMerge w:val="continue"/>
            <w:vAlign w:val="center"/>
          </w:tcPr>
          <w:p w14:paraId="12F0BE4A">
            <w:pPr>
              <w:pStyle w:val="129"/>
              <w:widowControl w:val="0"/>
              <w:rPr>
                <w:color w:val="auto"/>
              </w:rPr>
            </w:pPr>
          </w:p>
        </w:tc>
        <w:tc>
          <w:tcPr>
            <w:tcW w:w="895" w:type="pct"/>
            <w:vAlign w:val="center"/>
          </w:tcPr>
          <w:p w14:paraId="38C0CA4A">
            <w:pPr>
              <w:pStyle w:val="129"/>
              <w:widowControl w:val="0"/>
              <w:rPr>
                <w:color w:val="auto"/>
              </w:rPr>
            </w:pPr>
            <w:r>
              <w:rPr>
                <w:rFonts w:hint="eastAsia"/>
                <w:color w:val="auto"/>
              </w:rPr>
              <w:t>锆及其化合物</w:t>
            </w:r>
          </w:p>
        </w:tc>
        <w:tc>
          <w:tcPr>
            <w:tcW w:w="895" w:type="pct"/>
            <w:vMerge w:val="continue"/>
            <w:vAlign w:val="center"/>
          </w:tcPr>
          <w:p w14:paraId="571D5591">
            <w:pPr>
              <w:pStyle w:val="129"/>
              <w:widowControl w:val="0"/>
              <w:rPr>
                <w:color w:val="auto"/>
              </w:rPr>
            </w:pPr>
          </w:p>
        </w:tc>
        <w:tc>
          <w:tcPr>
            <w:tcW w:w="407" w:type="pct"/>
            <w:vAlign w:val="center"/>
          </w:tcPr>
          <w:p w14:paraId="1B688FF8">
            <w:pPr>
              <w:pStyle w:val="129"/>
              <w:widowControl w:val="0"/>
              <w:rPr>
                <w:color w:val="auto"/>
              </w:rPr>
            </w:pPr>
            <w:r>
              <w:rPr>
                <w:rFonts w:hint="eastAsia"/>
                <w:color w:val="auto"/>
              </w:rPr>
              <w:t>0.0004</w:t>
            </w:r>
          </w:p>
        </w:tc>
        <w:tc>
          <w:tcPr>
            <w:tcW w:w="687" w:type="pct"/>
            <w:vAlign w:val="center"/>
          </w:tcPr>
          <w:p w14:paraId="1567CCFA">
            <w:pPr>
              <w:pStyle w:val="129"/>
              <w:widowControl w:val="0"/>
              <w:rPr>
                <w:color w:val="auto"/>
              </w:rPr>
            </w:pPr>
            <w:r>
              <w:rPr>
                <w:color w:val="auto"/>
              </w:rPr>
              <w:t>0.0</w:t>
            </w:r>
            <w:r>
              <w:rPr>
                <w:rFonts w:hint="eastAsia"/>
                <w:color w:val="auto"/>
              </w:rPr>
              <w:t>1</w:t>
            </w:r>
          </w:p>
        </w:tc>
        <w:tc>
          <w:tcPr>
            <w:tcW w:w="575" w:type="pct"/>
            <w:vAlign w:val="center"/>
          </w:tcPr>
          <w:p w14:paraId="4A2F48EB">
            <w:pPr>
              <w:pStyle w:val="129"/>
              <w:widowControl w:val="0"/>
              <w:rPr>
                <w:color w:val="auto"/>
              </w:rPr>
            </w:pPr>
            <w:r>
              <w:rPr>
                <w:rFonts w:hint="eastAsia"/>
                <w:color w:val="auto"/>
              </w:rPr>
              <w:t>5</w:t>
            </w:r>
          </w:p>
        </w:tc>
      </w:tr>
      <w:tr w14:paraId="52A7FF5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7E2D54B7">
            <w:pPr>
              <w:pStyle w:val="129"/>
              <w:widowControl w:val="0"/>
              <w:rPr>
                <w:color w:val="auto"/>
              </w:rPr>
            </w:pPr>
          </w:p>
        </w:tc>
        <w:tc>
          <w:tcPr>
            <w:tcW w:w="1194" w:type="pct"/>
            <w:vMerge w:val="continue"/>
            <w:vAlign w:val="center"/>
          </w:tcPr>
          <w:p w14:paraId="2C17F22F">
            <w:pPr>
              <w:pStyle w:val="129"/>
              <w:widowControl w:val="0"/>
              <w:rPr>
                <w:color w:val="auto"/>
              </w:rPr>
            </w:pPr>
          </w:p>
        </w:tc>
        <w:tc>
          <w:tcPr>
            <w:tcW w:w="895" w:type="pct"/>
            <w:vAlign w:val="center"/>
          </w:tcPr>
          <w:p w14:paraId="2DB2B8BC">
            <w:pPr>
              <w:pStyle w:val="129"/>
              <w:widowControl w:val="0"/>
              <w:rPr>
                <w:color w:val="auto"/>
              </w:rPr>
            </w:pPr>
            <w:r>
              <w:rPr>
                <w:color w:val="auto"/>
              </w:rPr>
              <w:t>NH</w:t>
            </w:r>
            <w:r>
              <w:rPr>
                <w:color w:val="auto"/>
                <w:vertAlign w:val="subscript"/>
              </w:rPr>
              <w:t>3</w:t>
            </w:r>
          </w:p>
        </w:tc>
        <w:tc>
          <w:tcPr>
            <w:tcW w:w="895" w:type="pct"/>
            <w:vMerge w:val="continue"/>
            <w:vAlign w:val="center"/>
          </w:tcPr>
          <w:p w14:paraId="3C65DEF6">
            <w:pPr>
              <w:pStyle w:val="129"/>
              <w:widowControl w:val="0"/>
              <w:rPr>
                <w:color w:val="auto"/>
              </w:rPr>
            </w:pPr>
          </w:p>
        </w:tc>
        <w:tc>
          <w:tcPr>
            <w:tcW w:w="407" w:type="pct"/>
            <w:vAlign w:val="center"/>
          </w:tcPr>
          <w:p w14:paraId="2B2754F7">
            <w:pPr>
              <w:pStyle w:val="129"/>
              <w:widowControl w:val="0"/>
              <w:rPr>
                <w:color w:val="auto"/>
              </w:rPr>
            </w:pPr>
            <w:r>
              <w:rPr>
                <w:rFonts w:hint="eastAsia"/>
                <w:color w:val="auto"/>
              </w:rPr>
              <w:t>0.12</w:t>
            </w:r>
          </w:p>
        </w:tc>
        <w:tc>
          <w:tcPr>
            <w:tcW w:w="687" w:type="pct"/>
            <w:vAlign w:val="center"/>
          </w:tcPr>
          <w:p w14:paraId="1EF35A27">
            <w:pPr>
              <w:pStyle w:val="129"/>
              <w:widowControl w:val="0"/>
              <w:rPr>
                <w:color w:val="auto"/>
              </w:rPr>
            </w:pPr>
            <w:r>
              <w:rPr>
                <w:color w:val="auto"/>
              </w:rPr>
              <w:t>2.50</w:t>
            </w:r>
          </w:p>
        </w:tc>
        <w:tc>
          <w:tcPr>
            <w:tcW w:w="575" w:type="pct"/>
            <w:vAlign w:val="center"/>
          </w:tcPr>
          <w:p w14:paraId="78D65C83">
            <w:pPr>
              <w:pStyle w:val="129"/>
              <w:widowControl w:val="0"/>
              <w:rPr>
                <w:color w:val="auto"/>
              </w:rPr>
            </w:pPr>
            <w:r>
              <w:rPr>
                <w:rFonts w:hint="eastAsia"/>
                <w:color w:val="auto"/>
              </w:rPr>
              <w:t>10</w:t>
            </w:r>
          </w:p>
        </w:tc>
      </w:tr>
      <w:tr w14:paraId="3CBDF4A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11FB2F88">
            <w:pPr>
              <w:pStyle w:val="129"/>
              <w:widowControl w:val="0"/>
              <w:rPr>
                <w:color w:val="auto"/>
              </w:rPr>
            </w:pPr>
          </w:p>
        </w:tc>
        <w:tc>
          <w:tcPr>
            <w:tcW w:w="1194" w:type="pct"/>
            <w:vMerge w:val="continue"/>
            <w:vAlign w:val="center"/>
          </w:tcPr>
          <w:p w14:paraId="6C5B2B1A">
            <w:pPr>
              <w:pStyle w:val="129"/>
              <w:widowControl w:val="0"/>
              <w:rPr>
                <w:color w:val="auto"/>
              </w:rPr>
            </w:pPr>
          </w:p>
        </w:tc>
        <w:tc>
          <w:tcPr>
            <w:tcW w:w="895" w:type="pct"/>
            <w:vAlign w:val="center"/>
          </w:tcPr>
          <w:p w14:paraId="00917537">
            <w:pPr>
              <w:pStyle w:val="129"/>
              <w:widowControl w:val="0"/>
              <w:rPr>
                <w:color w:val="auto"/>
              </w:rPr>
            </w:pPr>
            <w:r>
              <w:rPr>
                <w:color w:val="auto"/>
              </w:rPr>
              <w:t>NOx</w:t>
            </w:r>
          </w:p>
        </w:tc>
        <w:tc>
          <w:tcPr>
            <w:tcW w:w="895" w:type="pct"/>
            <w:vMerge w:val="continue"/>
            <w:vAlign w:val="center"/>
          </w:tcPr>
          <w:p w14:paraId="674A80B1">
            <w:pPr>
              <w:pStyle w:val="129"/>
              <w:widowControl w:val="0"/>
              <w:rPr>
                <w:color w:val="auto"/>
              </w:rPr>
            </w:pPr>
          </w:p>
        </w:tc>
        <w:tc>
          <w:tcPr>
            <w:tcW w:w="407" w:type="pct"/>
            <w:vAlign w:val="center"/>
          </w:tcPr>
          <w:p w14:paraId="3037EB9B">
            <w:pPr>
              <w:pStyle w:val="129"/>
              <w:widowControl w:val="0"/>
              <w:rPr>
                <w:color w:val="auto"/>
              </w:rPr>
            </w:pPr>
            <w:r>
              <w:rPr>
                <w:rFonts w:hint="eastAsia"/>
                <w:color w:val="auto"/>
              </w:rPr>
              <w:t>2.964</w:t>
            </w:r>
          </w:p>
        </w:tc>
        <w:tc>
          <w:tcPr>
            <w:tcW w:w="687" w:type="pct"/>
            <w:vAlign w:val="center"/>
          </w:tcPr>
          <w:p w14:paraId="6C566E6D">
            <w:pPr>
              <w:pStyle w:val="129"/>
              <w:widowControl w:val="0"/>
              <w:rPr>
                <w:color w:val="auto"/>
              </w:rPr>
            </w:pPr>
            <w:r>
              <w:rPr>
                <w:rFonts w:hint="eastAsia"/>
                <w:color w:val="auto"/>
              </w:rPr>
              <w:t>63.87</w:t>
            </w:r>
          </w:p>
        </w:tc>
        <w:tc>
          <w:tcPr>
            <w:tcW w:w="575" w:type="pct"/>
            <w:vAlign w:val="center"/>
          </w:tcPr>
          <w:p w14:paraId="4AD732A0">
            <w:pPr>
              <w:pStyle w:val="129"/>
              <w:widowControl w:val="0"/>
              <w:rPr>
                <w:color w:val="auto"/>
              </w:rPr>
            </w:pPr>
            <w:r>
              <w:rPr>
                <w:rFonts w:hint="eastAsia"/>
                <w:color w:val="auto"/>
              </w:rPr>
              <w:t>100</w:t>
            </w:r>
          </w:p>
        </w:tc>
      </w:tr>
      <w:tr w14:paraId="56AF95D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5E604E70">
            <w:pPr>
              <w:pStyle w:val="129"/>
              <w:widowControl w:val="0"/>
              <w:rPr>
                <w:color w:val="auto"/>
              </w:rPr>
            </w:pPr>
          </w:p>
        </w:tc>
        <w:tc>
          <w:tcPr>
            <w:tcW w:w="1194" w:type="pct"/>
            <w:vMerge w:val="restart"/>
            <w:vAlign w:val="center"/>
          </w:tcPr>
          <w:p w14:paraId="2FAE045E">
            <w:pPr>
              <w:pStyle w:val="129"/>
              <w:widowControl w:val="0"/>
              <w:rPr>
                <w:color w:val="auto"/>
              </w:rPr>
            </w:pPr>
            <w:r>
              <w:rPr>
                <w:rFonts w:hint="eastAsia" w:ascii="宋体" w:hAnsi="宋体" w:eastAsia="Times New Roman" w:cs="宋体"/>
                <w:color w:val="auto"/>
              </w:rPr>
              <w:t>混捏、催化剂、载体筛分包装废气（</w:t>
            </w:r>
            <w:r>
              <w:rPr>
                <w:rFonts w:eastAsia="Times New Roman"/>
                <w:color w:val="auto"/>
              </w:rPr>
              <w:t>DA00</w:t>
            </w:r>
            <w:r>
              <w:rPr>
                <w:rFonts w:hint="eastAsia"/>
                <w:color w:val="auto"/>
              </w:rPr>
              <w:t>8</w:t>
            </w:r>
            <w:r>
              <w:rPr>
                <w:rFonts w:hint="eastAsia" w:ascii="宋体" w:hAnsi="宋体" w:eastAsia="Times New Roman" w:cs="宋体"/>
                <w:color w:val="auto"/>
              </w:rPr>
              <w:t>）</w:t>
            </w:r>
          </w:p>
        </w:tc>
        <w:tc>
          <w:tcPr>
            <w:tcW w:w="895" w:type="pct"/>
            <w:vAlign w:val="center"/>
          </w:tcPr>
          <w:p w14:paraId="41EA5048">
            <w:pPr>
              <w:pStyle w:val="129"/>
              <w:widowControl w:val="0"/>
              <w:rPr>
                <w:color w:val="auto"/>
              </w:rPr>
            </w:pPr>
            <w:r>
              <w:rPr>
                <w:rFonts w:hint="eastAsia"/>
                <w:color w:val="auto"/>
              </w:rPr>
              <w:t>颗粒物</w:t>
            </w:r>
          </w:p>
        </w:tc>
        <w:tc>
          <w:tcPr>
            <w:tcW w:w="895" w:type="pct"/>
            <w:vMerge w:val="restart"/>
            <w:vAlign w:val="center"/>
          </w:tcPr>
          <w:p w14:paraId="5516B498">
            <w:pPr>
              <w:pStyle w:val="129"/>
              <w:widowControl w:val="0"/>
              <w:rPr>
                <w:color w:val="auto"/>
              </w:rPr>
            </w:pPr>
            <w:r>
              <w:rPr>
                <w:rFonts w:hint="eastAsia"/>
                <w:color w:val="auto"/>
              </w:rPr>
              <w:t>布袋除尘</w:t>
            </w:r>
          </w:p>
        </w:tc>
        <w:tc>
          <w:tcPr>
            <w:tcW w:w="407" w:type="pct"/>
            <w:vAlign w:val="center"/>
          </w:tcPr>
          <w:p w14:paraId="631B0E46">
            <w:pPr>
              <w:pStyle w:val="129"/>
              <w:widowControl w:val="0"/>
              <w:rPr>
                <w:color w:val="auto"/>
              </w:rPr>
            </w:pPr>
            <w:r>
              <w:rPr>
                <w:rFonts w:hint="eastAsia"/>
                <w:color w:val="auto"/>
              </w:rPr>
              <w:t>0.1527</w:t>
            </w:r>
          </w:p>
        </w:tc>
        <w:tc>
          <w:tcPr>
            <w:tcW w:w="687" w:type="pct"/>
            <w:vAlign w:val="center"/>
          </w:tcPr>
          <w:p w14:paraId="1FFF7237">
            <w:pPr>
              <w:pStyle w:val="129"/>
              <w:widowControl w:val="0"/>
              <w:rPr>
                <w:color w:val="auto"/>
              </w:rPr>
            </w:pPr>
            <w:r>
              <w:rPr>
                <w:rFonts w:hint="eastAsia"/>
                <w:color w:val="auto"/>
              </w:rPr>
              <w:t>6.4</w:t>
            </w:r>
          </w:p>
        </w:tc>
        <w:tc>
          <w:tcPr>
            <w:tcW w:w="575" w:type="pct"/>
            <w:vAlign w:val="center"/>
          </w:tcPr>
          <w:p w14:paraId="25CD7934">
            <w:pPr>
              <w:pStyle w:val="129"/>
              <w:widowControl w:val="0"/>
              <w:rPr>
                <w:color w:val="auto"/>
              </w:rPr>
            </w:pPr>
            <w:r>
              <w:rPr>
                <w:rFonts w:hint="eastAsia"/>
                <w:color w:val="auto"/>
              </w:rPr>
              <w:t>10</w:t>
            </w:r>
          </w:p>
        </w:tc>
      </w:tr>
      <w:tr w14:paraId="40548D8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2913F355">
            <w:pPr>
              <w:pStyle w:val="129"/>
              <w:widowControl w:val="0"/>
              <w:rPr>
                <w:color w:val="auto"/>
              </w:rPr>
            </w:pPr>
          </w:p>
        </w:tc>
        <w:tc>
          <w:tcPr>
            <w:tcW w:w="1194" w:type="pct"/>
            <w:vMerge w:val="continue"/>
            <w:vAlign w:val="center"/>
          </w:tcPr>
          <w:p w14:paraId="7D6ACD61">
            <w:pPr>
              <w:pStyle w:val="129"/>
              <w:widowControl w:val="0"/>
              <w:rPr>
                <w:color w:val="auto"/>
              </w:rPr>
            </w:pPr>
          </w:p>
        </w:tc>
        <w:tc>
          <w:tcPr>
            <w:tcW w:w="895" w:type="pct"/>
            <w:vAlign w:val="center"/>
          </w:tcPr>
          <w:p w14:paraId="055609B6">
            <w:pPr>
              <w:pStyle w:val="129"/>
              <w:widowControl w:val="0"/>
              <w:rPr>
                <w:color w:val="auto"/>
              </w:rPr>
            </w:pPr>
            <w:r>
              <w:rPr>
                <w:rFonts w:hint="eastAsia"/>
                <w:color w:val="auto"/>
              </w:rPr>
              <w:t>钴及其化合物</w:t>
            </w:r>
          </w:p>
        </w:tc>
        <w:tc>
          <w:tcPr>
            <w:tcW w:w="895" w:type="pct"/>
            <w:vMerge w:val="continue"/>
            <w:vAlign w:val="center"/>
          </w:tcPr>
          <w:p w14:paraId="50BF4E2D">
            <w:pPr>
              <w:pStyle w:val="129"/>
              <w:widowControl w:val="0"/>
              <w:rPr>
                <w:color w:val="auto"/>
              </w:rPr>
            </w:pPr>
          </w:p>
        </w:tc>
        <w:tc>
          <w:tcPr>
            <w:tcW w:w="407" w:type="pct"/>
            <w:vAlign w:val="center"/>
          </w:tcPr>
          <w:p w14:paraId="562703FD">
            <w:pPr>
              <w:pStyle w:val="129"/>
              <w:widowControl w:val="0"/>
              <w:rPr>
                <w:color w:val="auto"/>
              </w:rPr>
            </w:pPr>
            <w:r>
              <w:rPr>
                <w:rFonts w:hint="eastAsia"/>
                <w:color w:val="auto"/>
              </w:rPr>
              <w:t>0.0036</w:t>
            </w:r>
          </w:p>
        </w:tc>
        <w:tc>
          <w:tcPr>
            <w:tcW w:w="687" w:type="pct"/>
            <w:vAlign w:val="center"/>
          </w:tcPr>
          <w:p w14:paraId="31D0F37A">
            <w:pPr>
              <w:pStyle w:val="129"/>
              <w:widowControl w:val="0"/>
              <w:rPr>
                <w:color w:val="auto"/>
              </w:rPr>
            </w:pPr>
            <w:r>
              <w:rPr>
                <w:rFonts w:hint="eastAsia"/>
                <w:color w:val="auto"/>
              </w:rPr>
              <w:t>0.15</w:t>
            </w:r>
          </w:p>
        </w:tc>
        <w:tc>
          <w:tcPr>
            <w:tcW w:w="575" w:type="pct"/>
            <w:vAlign w:val="center"/>
          </w:tcPr>
          <w:p w14:paraId="38195EBF">
            <w:pPr>
              <w:pStyle w:val="129"/>
              <w:widowControl w:val="0"/>
              <w:rPr>
                <w:color w:val="auto"/>
              </w:rPr>
            </w:pPr>
            <w:r>
              <w:rPr>
                <w:rFonts w:hint="eastAsia"/>
                <w:color w:val="auto"/>
              </w:rPr>
              <w:t>5</w:t>
            </w:r>
          </w:p>
        </w:tc>
      </w:tr>
      <w:tr w14:paraId="3521FF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06C6E444">
            <w:pPr>
              <w:pStyle w:val="129"/>
              <w:widowControl w:val="0"/>
              <w:rPr>
                <w:color w:val="auto"/>
              </w:rPr>
            </w:pPr>
          </w:p>
        </w:tc>
        <w:tc>
          <w:tcPr>
            <w:tcW w:w="1194" w:type="pct"/>
            <w:vMerge w:val="continue"/>
            <w:vAlign w:val="center"/>
          </w:tcPr>
          <w:p w14:paraId="172FC538">
            <w:pPr>
              <w:pStyle w:val="129"/>
              <w:widowControl w:val="0"/>
              <w:rPr>
                <w:color w:val="auto"/>
              </w:rPr>
            </w:pPr>
          </w:p>
        </w:tc>
        <w:tc>
          <w:tcPr>
            <w:tcW w:w="895" w:type="pct"/>
            <w:vAlign w:val="center"/>
          </w:tcPr>
          <w:p w14:paraId="1EADB7E2">
            <w:pPr>
              <w:pStyle w:val="129"/>
              <w:widowControl w:val="0"/>
              <w:rPr>
                <w:color w:val="auto"/>
              </w:rPr>
            </w:pPr>
            <w:r>
              <w:rPr>
                <w:rFonts w:hint="eastAsia"/>
                <w:color w:val="auto"/>
              </w:rPr>
              <w:t>钼及其化合物</w:t>
            </w:r>
          </w:p>
        </w:tc>
        <w:tc>
          <w:tcPr>
            <w:tcW w:w="895" w:type="pct"/>
            <w:vMerge w:val="continue"/>
            <w:vAlign w:val="center"/>
          </w:tcPr>
          <w:p w14:paraId="097417F8">
            <w:pPr>
              <w:pStyle w:val="129"/>
              <w:widowControl w:val="0"/>
              <w:rPr>
                <w:color w:val="auto"/>
              </w:rPr>
            </w:pPr>
          </w:p>
        </w:tc>
        <w:tc>
          <w:tcPr>
            <w:tcW w:w="407" w:type="pct"/>
            <w:vAlign w:val="center"/>
          </w:tcPr>
          <w:p w14:paraId="45C847C8">
            <w:pPr>
              <w:pStyle w:val="129"/>
              <w:widowControl w:val="0"/>
              <w:rPr>
                <w:color w:val="auto"/>
              </w:rPr>
            </w:pPr>
            <w:r>
              <w:rPr>
                <w:rFonts w:hint="eastAsia"/>
                <w:color w:val="auto"/>
              </w:rPr>
              <w:t>0.0008</w:t>
            </w:r>
          </w:p>
        </w:tc>
        <w:tc>
          <w:tcPr>
            <w:tcW w:w="687" w:type="pct"/>
            <w:vAlign w:val="center"/>
          </w:tcPr>
          <w:p w14:paraId="2F769076">
            <w:pPr>
              <w:pStyle w:val="129"/>
              <w:widowControl w:val="0"/>
              <w:rPr>
                <w:color w:val="auto"/>
              </w:rPr>
            </w:pPr>
            <w:r>
              <w:rPr>
                <w:color w:val="auto"/>
              </w:rPr>
              <w:t>0.0</w:t>
            </w:r>
            <w:r>
              <w:rPr>
                <w:rFonts w:hint="eastAsia"/>
                <w:color w:val="auto"/>
              </w:rPr>
              <w:t>3</w:t>
            </w:r>
          </w:p>
        </w:tc>
        <w:tc>
          <w:tcPr>
            <w:tcW w:w="575" w:type="pct"/>
            <w:vAlign w:val="center"/>
          </w:tcPr>
          <w:p w14:paraId="7290B94F">
            <w:pPr>
              <w:pStyle w:val="129"/>
              <w:widowControl w:val="0"/>
              <w:rPr>
                <w:color w:val="auto"/>
              </w:rPr>
            </w:pPr>
            <w:r>
              <w:rPr>
                <w:rFonts w:hint="eastAsia"/>
                <w:color w:val="auto"/>
              </w:rPr>
              <w:t>5</w:t>
            </w:r>
          </w:p>
        </w:tc>
      </w:tr>
      <w:tr w14:paraId="79144C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745803DF">
            <w:pPr>
              <w:pStyle w:val="129"/>
              <w:widowControl w:val="0"/>
              <w:rPr>
                <w:color w:val="auto"/>
              </w:rPr>
            </w:pPr>
          </w:p>
        </w:tc>
        <w:tc>
          <w:tcPr>
            <w:tcW w:w="1194" w:type="pct"/>
            <w:vMerge w:val="continue"/>
            <w:vAlign w:val="center"/>
          </w:tcPr>
          <w:p w14:paraId="6F997A0B">
            <w:pPr>
              <w:pStyle w:val="129"/>
              <w:widowControl w:val="0"/>
              <w:rPr>
                <w:color w:val="auto"/>
              </w:rPr>
            </w:pPr>
          </w:p>
        </w:tc>
        <w:tc>
          <w:tcPr>
            <w:tcW w:w="895" w:type="pct"/>
            <w:vAlign w:val="center"/>
          </w:tcPr>
          <w:p w14:paraId="6DEBF7E5">
            <w:pPr>
              <w:pStyle w:val="129"/>
              <w:widowControl w:val="0"/>
              <w:rPr>
                <w:color w:val="auto"/>
              </w:rPr>
            </w:pPr>
            <w:r>
              <w:rPr>
                <w:rFonts w:hint="eastAsia"/>
                <w:color w:val="auto"/>
              </w:rPr>
              <w:t>镍及其化合物</w:t>
            </w:r>
          </w:p>
        </w:tc>
        <w:tc>
          <w:tcPr>
            <w:tcW w:w="895" w:type="pct"/>
            <w:vMerge w:val="continue"/>
            <w:vAlign w:val="center"/>
          </w:tcPr>
          <w:p w14:paraId="10920ECB">
            <w:pPr>
              <w:pStyle w:val="129"/>
              <w:widowControl w:val="0"/>
              <w:rPr>
                <w:color w:val="auto"/>
              </w:rPr>
            </w:pPr>
          </w:p>
        </w:tc>
        <w:tc>
          <w:tcPr>
            <w:tcW w:w="407" w:type="pct"/>
            <w:vAlign w:val="center"/>
          </w:tcPr>
          <w:p w14:paraId="4E4E4C4D">
            <w:pPr>
              <w:pStyle w:val="129"/>
              <w:widowControl w:val="0"/>
              <w:rPr>
                <w:color w:val="auto"/>
              </w:rPr>
            </w:pPr>
            <w:r>
              <w:rPr>
                <w:rFonts w:hint="eastAsia"/>
                <w:color w:val="auto"/>
              </w:rPr>
              <w:t>0.0009</w:t>
            </w:r>
          </w:p>
        </w:tc>
        <w:tc>
          <w:tcPr>
            <w:tcW w:w="687" w:type="pct"/>
            <w:vAlign w:val="center"/>
          </w:tcPr>
          <w:p w14:paraId="2CD1F58C">
            <w:pPr>
              <w:pStyle w:val="129"/>
              <w:widowControl w:val="0"/>
              <w:rPr>
                <w:color w:val="auto"/>
              </w:rPr>
            </w:pPr>
            <w:r>
              <w:rPr>
                <w:color w:val="auto"/>
              </w:rPr>
              <w:t>0.0</w:t>
            </w:r>
            <w:r>
              <w:rPr>
                <w:rFonts w:hint="eastAsia"/>
                <w:color w:val="auto"/>
              </w:rPr>
              <w:t>4</w:t>
            </w:r>
          </w:p>
        </w:tc>
        <w:tc>
          <w:tcPr>
            <w:tcW w:w="575" w:type="pct"/>
            <w:vAlign w:val="center"/>
          </w:tcPr>
          <w:p w14:paraId="0DC5D1F5">
            <w:pPr>
              <w:pStyle w:val="129"/>
              <w:widowControl w:val="0"/>
              <w:rPr>
                <w:color w:val="auto"/>
              </w:rPr>
            </w:pPr>
            <w:r>
              <w:rPr>
                <w:rFonts w:hint="eastAsia"/>
                <w:color w:val="auto"/>
              </w:rPr>
              <w:t>4</w:t>
            </w:r>
          </w:p>
        </w:tc>
      </w:tr>
      <w:tr w14:paraId="28B1C5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1ABACEE3">
            <w:pPr>
              <w:pStyle w:val="129"/>
              <w:widowControl w:val="0"/>
              <w:rPr>
                <w:color w:val="auto"/>
              </w:rPr>
            </w:pPr>
          </w:p>
        </w:tc>
        <w:tc>
          <w:tcPr>
            <w:tcW w:w="1194" w:type="pct"/>
            <w:vMerge w:val="continue"/>
            <w:vAlign w:val="center"/>
          </w:tcPr>
          <w:p w14:paraId="0B9F9609">
            <w:pPr>
              <w:pStyle w:val="129"/>
              <w:widowControl w:val="0"/>
              <w:rPr>
                <w:color w:val="auto"/>
              </w:rPr>
            </w:pPr>
          </w:p>
        </w:tc>
        <w:tc>
          <w:tcPr>
            <w:tcW w:w="895" w:type="pct"/>
            <w:vAlign w:val="center"/>
          </w:tcPr>
          <w:p w14:paraId="044B9A42">
            <w:pPr>
              <w:pStyle w:val="129"/>
              <w:widowControl w:val="0"/>
              <w:rPr>
                <w:color w:val="auto"/>
              </w:rPr>
            </w:pPr>
            <w:r>
              <w:rPr>
                <w:rFonts w:hint="eastAsia"/>
                <w:color w:val="auto"/>
              </w:rPr>
              <w:t>锰及其化合物</w:t>
            </w:r>
          </w:p>
        </w:tc>
        <w:tc>
          <w:tcPr>
            <w:tcW w:w="895" w:type="pct"/>
            <w:vMerge w:val="continue"/>
            <w:vAlign w:val="center"/>
          </w:tcPr>
          <w:p w14:paraId="63699849">
            <w:pPr>
              <w:pStyle w:val="129"/>
              <w:widowControl w:val="0"/>
              <w:rPr>
                <w:color w:val="auto"/>
              </w:rPr>
            </w:pPr>
          </w:p>
        </w:tc>
        <w:tc>
          <w:tcPr>
            <w:tcW w:w="407" w:type="pct"/>
            <w:vAlign w:val="center"/>
          </w:tcPr>
          <w:p w14:paraId="65041F34">
            <w:pPr>
              <w:pStyle w:val="129"/>
              <w:widowControl w:val="0"/>
              <w:rPr>
                <w:color w:val="auto"/>
              </w:rPr>
            </w:pPr>
            <w:r>
              <w:rPr>
                <w:rFonts w:hint="eastAsia"/>
                <w:color w:val="auto"/>
              </w:rPr>
              <w:t>0.0018</w:t>
            </w:r>
          </w:p>
        </w:tc>
        <w:tc>
          <w:tcPr>
            <w:tcW w:w="687" w:type="pct"/>
            <w:vAlign w:val="center"/>
          </w:tcPr>
          <w:p w14:paraId="6A2E034D">
            <w:pPr>
              <w:pStyle w:val="129"/>
              <w:widowControl w:val="0"/>
              <w:rPr>
                <w:color w:val="auto"/>
              </w:rPr>
            </w:pPr>
            <w:r>
              <w:rPr>
                <w:color w:val="auto"/>
              </w:rPr>
              <w:t>0.</w:t>
            </w:r>
            <w:r>
              <w:rPr>
                <w:rFonts w:hint="eastAsia"/>
                <w:color w:val="auto"/>
              </w:rPr>
              <w:t>07</w:t>
            </w:r>
          </w:p>
        </w:tc>
        <w:tc>
          <w:tcPr>
            <w:tcW w:w="575" w:type="pct"/>
            <w:vAlign w:val="center"/>
          </w:tcPr>
          <w:p w14:paraId="02419305">
            <w:pPr>
              <w:pStyle w:val="129"/>
              <w:widowControl w:val="0"/>
              <w:rPr>
                <w:color w:val="auto"/>
              </w:rPr>
            </w:pPr>
            <w:r>
              <w:rPr>
                <w:rFonts w:hint="eastAsia"/>
                <w:color w:val="auto"/>
              </w:rPr>
              <w:t>5</w:t>
            </w:r>
          </w:p>
        </w:tc>
      </w:tr>
      <w:tr w14:paraId="226EA31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46F124DF">
            <w:pPr>
              <w:pStyle w:val="129"/>
              <w:widowControl w:val="0"/>
              <w:rPr>
                <w:color w:val="auto"/>
              </w:rPr>
            </w:pPr>
          </w:p>
        </w:tc>
        <w:tc>
          <w:tcPr>
            <w:tcW w:w="1194" w:type="pct"/>
            <w:vMerge w:val="continue"/>
            <w:vAlign w:val="center"/>
          </w:tcPr>
          <w:p w14:paraId="2C206A29">
            <w:pPr>
              <w:pStyle w:val="129"/>
              <w:widowControl w:val="0"/>
              <w:rPr>
                <w:color w:val="auto"/>
              </w:rPr>
            </w:pPr>
          </w:p>
        </w:tc>
        <w:tc>
          <w:tcPr>
            <w:tcW w:w="895" w:type="pct"/>
            <w:vAlign w:val="center"/>
          </w:tcPr>
          <w:p w14:paraId="729576FD">
            <w:pPr>
              <w:pStyle w:val="129"/>
              <w:widowControl w:val="0"/>
              <w:rPr>
                <w:color w:val="auto"/>
              </w:rPr>
            </w:pPr>
            <w:r>
              <w:rPr>
                <w:rFonts w:hint="eastAsia"/>
                <w:color w:val="auto"/>
              </w:rPr>
              <w:t>铜及其化合物</w:t>
            </w:r>
          </w:p>
        </w:tc>
        <w:tc>
          <w:tcPr>
            <w:tcW w:w="895" w:type="pct"/>
            <w:vMerge w:val="continue"/>
            <w:vAlign w:val="center"/>
          </w:tcPr>
          <w:p w14:paraId="6B02CEC7">
            <w:pPr>
              <w:pStyle w:val="129"/>
              <w:widowControl w:val="0"/>
              <w:rPr>
                <w:color w:val="auto"/>
              </w:rPr>
            </w:pPr>
          </w:p>
        </w:tc>
        <w:tc>
          <w:tcPr>
            <w:tcW w:w="407" w:type="pct"/>
            <w:vAlign w:val="center"/>
          </w:tcPr>
          <w:p w14:paraId="65C3A6B2">
            <w:pPr>
              <w:pStyle w:val="129"/>
              <w:widowControl w:val="0"/>
              <w:rPr>
                <w:color w:val="auto"/>
              </w:rPr>
            </w:pPr>
            <w:r>
              <w:rPr>
                <w:rFonts w:hint="eastAsia"/>
                <w:color w:val="auto"/>
              </w:rPr>
              <w:t>0.0005</w:t>
            </w:r>
          </w:p>
        </w:tc>
        <w:tc>
          <w:tcPr>
            <w:tcW w:w="687" w:type="pct"/>
            <w:vAlign w:val="center"/>
          </w:tcPr>
          <w:p w14:paraId="1DDEE4FD">
            <w:pPr>
              <w:pStyle w:val="129"/>
              <w:widowControl w:val="0"/>
              <w:rPr>
                <w:color w:val="auto"/>
              </w:rPr>
            </w:pPr>
            <w:r>
              <w:rPr>
                <w:color w:val="auto"/>
              </w:rPr>
              <w:t>0.0</w:t>
            </w:r>
            <w:r>
              <w:rPr>
                <w:rFonts w:hint="eastAsia"/>
                <w:color w:val="auto"/>
              </w:rPr>
              <w:t>2</w:t>
            </w:r>
          </w:p>
        </w:tc>
        <w:tc>
          <w:tcPr>
            <w:tcW w:w="575" w:type="pct"/>
            <w:vAlign w:val="center"/>
          </w:tcPr>
          <w:p w14:paraId="0B038E16">
            <w:pPr>
              <w:pStyle w:val="129"/>
              <w:widowControl w:val="0"/>
              <w:rPr>
                <w:color w:val="auto"/>
              </w:rPr>
            </w:pPr>
            <w:r>
              <w:rPr>
                <w:rFonts w:hint="eastAsia"/>
                <w:color w:val="auto"/>
              </w:rPr>
              <w:t>5</w:t>
            </w:r>
          </w:p>
        </w:tc>
      </w:tr>
      <w:tr w14:paraId="347A43F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097416BB">
            <w:pPr>
              <w:pStyle w:val="129"/>
              <w:widowControl w:val="0"/>
              <w:rPr>
                <w:color w:val="auto"/>
              </w:rPr>
            </w:pPr>
          </w:p>
        </w:tc>
        <w:tc>
          <w:tcPr>
            <w:tcW w:w="1194" w:type="pct"/>
            <w:vMerge w:val="continue"/>
            <w:vAlign w:val="center"/>
          </w:tcPr>
          <w:p w14:paraId="4598C831">
            <w:pPr>
              <w:pStyle w:val="129"/>
              <w:widowControl w:val="0"/>
              <w:rPr>
                <w:color w:val="auto"/>
              </w:rPr>
            </w:pPr>
          </w:p>
        </w:tc>
        <w:tc>
          <w:tcPr>
            <w:tcW w:w="895" w:type="pct"/>
            <w:vAlign w:val="center"/>
          </w:tcPr>
          <w:p w14:paraId="1144EBDA">
            <w:pPr>
              <w:pStyle w:val="129"/>
              <w:widowControl w:val="0"/>
              <w:rPr>
                <w:color w:val="auto"/>
              </w:rPr>
            </w:pPr>
            <w:r>
              <w:rPr>
                <w:rFonts w:hint="eastAsia"/>
                <w:color w:val="auto"/>
              </w:rPr>
              <w:t>锆及其化合物</w:t>
            </w:r>
          </w:p>
        </w:tc>
        <w:tc>
          <w:tcPr>
            <w:tcW w:w="895" w:type="pct"/>
            <w:vMerge w:val="continue"/>
            <w:vAlign w:val="center"/>
          </w:tcPr>
          <w:p w14:paraId="1C18BAD4">
            <w:pPr>
              <w:pStyle w:val="129"/>
              <w:widowControl w:val="0"/>
              <w:rPr>
                <w:color w:val="auto"/>
              </w:rPr>
            </w:pPr>
          </w:p>
        </w:tc>
        <w:tc>
          <w:tcPr>
            <w:tcW w:w="407" w:type="pct"/>
            <w:vAlign w:val="center"/>
          </w:tcPr>
          <w:p w14:paraId="7BC40611">
            <w:pPr>
              <w:pStyle w:val="129"/>
              <w:widowControl w:val="0"/>
              <w:rPr>
                <w:color w:val="auto"/>
              </w:rPr>
            </w:pPr>
            <w:r>
              <w:rPr>
                <w:rFonts w:hint="eastAsia"/>
                <w:color w:val="auto"/>
              </w:rPr>
              <w:t>0.0008</w:t>
            </w:r>
          </w:p>
        </w:tc>
        <w:tc>
          <w:tcPr>
            <w:tcW w:w="687" w:type="pct"/>
            <w:vAlign w:val="center"/>
          </w:tcPr>
          <w:p w14:paraId="2A29BD14">
            <w:pPr>
              <w:pStyle w:val="129"/>
              <w:widowControl w:val="0"/>
              <w:rPr>
                <w:color w:val="auto"/>
              </w:rPr>
            </w:pPr>
            <w:r>
              <w:rPr>
                <w:color w:val="auto"/>
              </w:rPr>
              <w:t>0.0</w:t>
            </w:r>
            <w:r>
              <w:rPr>
                <w:rFonts w:hint="eastAsia"/>
                <w:color w:val="auto"/>
              </w:rPr>
              <w:t>3</w:t>
            </w:r>
          </w:p>
        </w:tc>
        <w:tc>
          <w:tcPr>
            <w:tcW w:w="575" w:type="pct"/>
            <w:vAlign w:val="center"/>
          </w:tcPr>
          <w:p w14:paraId="1E476855">
            <w:pPr>
              <w:pStyle w:val="129"/>
              <w:widowControl w:val="0"/>
              <w:rPr>
                <w:color w:val="auto"/>
              </w:rPr>
            </w:pPr>
            <w:r>
              <w:rPr>
                <w:rFonts w:hint="eastAsia"/>
                <w:color w:val="auto"/>
              </w:rPr>
              <w:t>5</w:t>
            </w:r>
          </w:p>
        </w:tc>
      </w:tr>
      <w:tr w14:paraId="6B57205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518E58AF">
            <w:pPr>
              <w:pStyle w:val="129"/>
              <w:widowControl w:val="0"/>
              <w:rPr>
                <w:color w:val="auto"/>
              </w:rPr>
            </w:pPr>
          </w:p>
        </w:tc>
        <w:tc>
          <w:tcPr>
            <w:tcW w:w="1194" w:type="pct"/>
            <w:vMerge w:val="restart"/>
            <w:vAlign w:val="center"/>
          </w:tcPr>
          <w:p w14:paraId="5CED1860">
            <w:pPr>
              <w:pStyle w:val="129"/>
              <w:widowControl w:val="0"/>
              <w:rPr>
                <w:color w:val="auto"/>
              </w:rPr>
            </w:pPr>
            <w:r>
              <w:rPr>
                <w:rFonts w:hint="eastAsia"/>
                <w:color w:val="auto"/>
              </w:rPr>
              <w:t>燃气锅炉废气（备用）</w:t>
            </w:r>
          </w:p>
        </w:tc>
        <w:tc>
          <w:tcPr>
            <w:tcW w:w="895" w:type="pct"/>
            <w:vAlign w:val="center"/>
          </w:tcPr>
          <w:p w14:paraId="0ECCFCCF">
            <w:pPr>
              <w:pStyle w:val="129"/>
              <w:widowControl w:val="0"/>
              <w:rPr>
                <w:color w:val="auto"/>
              </w:rPr>
            </w:pPr>
            <w:r>
              <w:rPr>
                <w:rFonts w:hint="eastAsia"/>
                <w:color w:val="auto"/>
              </w:rPr>
              <w:t>颗粒物</w:t>
            </w:r>
          </w:p>
        </w:tc>
        <w:tc>
          <w:tcPr>
            <w:tcW w:w="895" w:type="pct"/>
            <w:vMerge w:val="restart"/>
            <w:vAlign w:val="center"/>
          </w:tcPr>
          <w:p w14:paraId="690B542F">
            <w:pPr>
              <w:pStyle w:val="129"/>
              <w:widowControl w:val="0"/>
              <w:rPr>
                <w:color w:val="auto"/>
              </w:rPr>
            </w:pPr>
            <w:r>
              <w:rPr>
                <w:rFonts w:hint="eastAsia"/>
                <w:color w:val="auto"/>
              </w:rPr>
              <w:t>燃用清洁燃料</w:t>
            </w:r>
          </w:p>
        </w:tc>
        <w:tc>
          <w:tcPr>
            <w:tcW w:w="407" w:type="pct"/>
            <w:vAlign w:val="center"/>
          </w:tcPr>
          <w:p w14:paraId="72A977BF">
            <w:pPr>
              <w:pStyle w:val="129"/>
              <w:widowControl w:val="0"/>
              <w:rPr>
                <w:color w:val="auto"/>
              </w:rPr>
            </w:pPr>
            <w:r>
              <w:rPr>
                <w:rFonts w:hint="eastAsia"/>
                <w:color w:val="auto"/>
              </w:rPr>
              <w:t>0.05</w:t>
            </w:r>
          </w:p>
        </w:tc>
        <w:tc>
          <w:tcPr>
            <w:tcW w:w="687" w:type="pct"/>
            <w:vAlign w:val="center"/>
          </w:tcPr>
          <w:p w14:paraId="6A63D112">
            <w:pPr>
              <w:pStyle w:val="129"/>
              <w:widowControl w:val="0"/>
              <w:rPr>
                <w:color w:val="auto"/>
              </w:rPr>
            </w:pPr>
            <w:r>
              <w:rPr>
                <w:rFonts w:hint="eastAsia"/>
                <w:color w:val="auto"/>
              </w:rPr>
              <w:t>10</w:t>
            </w:r>
          </w:p>
        </w:tc>
        <w:tc>
          <w:tcPr>
            <w:tcW w:w="575" w:type="pct"/>
            <w:vAlign w:val="center"/>
          </w:tcPr>
          <w:p w14:paraId="125894F4">
            <w:pPr>
              <w:pStyle w:val="129"/>
              <w:widowControl w:val="0"/>
              <w:rPr>
                <w:color w:val="auto"/>
              </w:rPr>
            </w:pPr>
            <w:r>
              <w:rPr>
                <w:rFonts w:hint="eastAsia"/>
                <w:color w:val="auto"/>
              </w:rPr>
              <w:t>10</w:t>
            </w:r>
          </w:p>
        </w:tc>
      </w:tr>
      <w:tr w14:paraId="67E5B3E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087FAECD">
            <w:pPr>
              <w:pStyle w:val="129"/>
              <w:widowControl w:val="0"/>
              <w:rPr>
                <w:color w:val="auto"/>
              </w:rPr>
            </w:pPr>
          </w:p>
        </w:tc>
        <w:tc>
          <w:tcPr>
            <w:tcW w:w="1194" w:type="pct"/>
            <w:vMerge w:val="continue"/>
            <w:vAlign w:val="center"/>
          </w:tcPr>
          <w:p w14:paraId="2561AD31">
            <w:pPr>
              <w:pStyle w:val="129"/>
              <w:widowControl w:val="0"/>
              <w:rPr>
                <w:color w:val="auto"/>
              </w:rPr>
            </w:pPr>
          </w:p>
        </w:tc>
        <w:tc>
          <w:tcPr>
            <w:tcW w:w="895" w:type="pct"/>
            <w:vAlign w:val="center"/>
          </w:tcPr>
          <w:p w14:paraId="2F3DE58D">
            <w:pPr>
              <w:pStyle w:val="129"/>
              <w:widowControl w:val="0"/>
              <w:rPr>
                <w:color w:val="auto"/>
              </w:rPr>
            </w:pPr>
            <w:r>
              <w:rPr>
                <w:color w:val="auto"/>
              </w:rPr>
              <w:t>SO2</w:t>
            </w:r>
          </w:p>
        </w:tc>
        <w:tc>
          <w:tcPr>
            <w:tcW w:w="895" w:type="pct"/>
            <w:vMerge w:val="continue"/>
            <w:vAlign w:val="center"/>
          </w:tcPr>
          <w:p w14:paraId="749C2743">
            <w:pPr>
              <w:pStyle w:val="129"/>
              <w:widowControl w:val="0"/>
              <w:rPr>
                <w:color w:val="auto"/>
              </w:rPr>
            </w:pPr>
          </w:p>
        </w:tc>
        <w:tc>
          <w:tcPr>
            <w:tcW w:w="407" w:type="pct"/>
            <w:vAlign w:val="center"/>
          </w:tcPr>
          <w:p w14:paraId="259B3BC3">
            <w:pPr>
              <w:pStyle w:val="129"/>
              <w:widowControl w:val="0"/>
              <w:rPr>
                <w:color w:val="auto"/>
              </w:rPr>
            </w:pPr>
            <w:r>
              <w:rPr>
                <w:rFonts w:hint="eastAsia"/>
                <w:color w:val="auto"/>
              </w:rPr>
              <w:t>0.01</w:t>
            </w:r>
          </w:p>
        </w:tc>
        <w:tc>
          <w:tcPr>
            <w:tcW w:w="687" w:type="pct"/>
            <w:vAlign w:val="center"/>
          </w:tcPr>
          <w:p w14:paraId="4F507C95">
            <w:pPr>
              <w:pStyle w:val="129"/>
              <w:widowControl w:val="0"/>
              <w:rPr>
                <w:color w:val="auto"/>
              </w:rPr>
            </w:pPr>
            <w:r>
              <w:rPr>
                <w:color w:val="auto"/>
              </w:rPr>
              <w:t>2.30</w:t>
            </w:r>
          </w:p>
        </w:tc>
        <w:tc>
          <w:tcPr>
            <w:tcW w:w="575" w:type="pct"/>
            <w:vAlign w:val="center"/>
          </w:tcPr>
          <w:p w14:paraId="5DC84AAD">
            <w:pPr>
              <w:pStyle w:val="129"/>
              <w:widowControl w:val="0"/>
              <w:rPr>
                <w:color w:val="auto"/>
              </w:rPr>
            </w:pPr>
            <w:r>
              <w:rPr>
                <w:rFonts w:hint="eastAsia"/>
                <w:color w:val="auto"/>
              </w:rPr>
              <w:t>100</w:t>
            </w:r>
          </w:p>
        </w:tc>
      </w:tr>
      <w:tr w14:paraId="2F0A522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72346635">
            <w:pPr>
              <w:pStyle w:val="129"/>
              <w:widowControl w:val="0"/>
              <w:rPr>
                <w:color w:val="auto"/>
              </w:rPr>
            </w:pPr>
          </w:p>
        </w:tc>
        <w:tc>
          <w:tcPr>
            <w:tcW w:w="1194" w:type="pct"/>
            <w:vMerge w:val="continue"/>
            <w:vAlign w:val="center"/>
          </w:tcPr>
          <w:p w14:paraId="5F41FAA9">
            <w:pPr>
              <w:pStyle w:val="129"/>
              <w:widowControl w:val="0"/>
              <w:rPr>
                <w:color w:val="auto"/>
              </w:rPr>
            </w:pPr>
          </w:p>
        </w:tc>
        <w:tc>
          <w:tcPr>
            <w:tcW w:w="895" w:type="pct"/>
            <w:vAlign w:val="center"/>
          </w:tcPr>
          <w:p w14:paraId="013A0588">
            <w:pPr>
              <w:pStyle w:val="129"/>
              <w:widowControl w:val="0"/>
              <w:rPr>
                <w:color w:val="auto"/>
              </w:rPr>
            </w:pPr>
            <w:r>
              <w:rPr>
                <w:color w:val="auto"/>
              </w:rPr>
              <w:t>NOX</w:t>
            </w:r>
          </w:p>
        </w:tc>
        <w:tc>
          <w:tcPr>
            <w:tcW w:w="895" w:type="pct"/>
            <w:vAlign w:val="center"/>
          </w:tcPr>
          <w:p w14:paraId="29F2E79B">
            <w:pPr>
              <w:pStyle w:val="129"/>
              <w:widowControl w:val="0"/>
              <w:rPr>
                <w:color w:val="auto"/>
              </w:rPr>
            </w:pPr>
            <w:r>
              <w:rPr>
                <w:rFonts w:hint="eastAsia"/>
                <w:color w:val="auto"/>
              </w:rPr>
              <w:t>低氮燃烧</w:t>
            </w:r>
          </w:p>
        </w:tc>
        <w:tc>
          <w:tcPr>
            <w:tcW w:w="407" w:type="pct"/>
            <w:vAlign w:val="center"/>
          </w:tcPr>
          <w:p w14:paraId="66ABFDCC">
            <w:pPr>
              <w:pStyle w:val="129"/>
              <w:widowControl w:val="0"/>
              <w:rPr>
                <w:color w:val="auto"/>
              </w:rPr>
            </w:pPr>
            <w:r>
              <w:rPr>
                <w:rFonts w:hint="eastAsia"/>
                <w:color w:val="auto"/>
              </w:rPr>
              <w:t>0.13</w:t>
            </w:r>
          </w:p>
        </w:tc>
        <w:tc>
          <w:tcPr>
            <w:tcW w:w="687" w:type="pct"/>
            <w:vAlign w:val="center"/>
          </w:tcPr>
          <w:p w14:paraId="6F34744E">
            <w:pPr>
              <w:pStyle w:val="129"/>
              <w:widowControl w:val="0"/>
              <w:rPr>
                <w:color w:val="auto"/>
              </w:rPr>
            </w:pPr>
            <w:r>
              <w:rPr>
                <w:color w:val="auto"/>
              </w:rPr>
              <w:t>28.12</w:t>
            </w:r>
          </w:p>
        </w:tc>
        <w:tc>
          <w:tcPr>
            <w:tcW w:w="575" w:type="pct"/>
            <w:vAlign w:val="center"/>
          </w:tcPr>
          <w:p w14:paraId="4A5EB9CA">
            <w:pPr>
              <w:pStyle w:val="129"/>
              <w:widowControl w:val="0"/>
              <w:rPr>
                <w:color w:val="auto"/>
              </w:rPr>
            </w:pPr>
            <w:r>
              <w:rPr>
                <w:rFonts w:hint="eastAsia"/>
                <w:color w:val="auto"/>
              </w:rPr>
              <w:t>100</w:t>
            </w:r>
          </w:p>
        </w:tc>
      </w:tr>
      <w:tr w14:paraId="1BCE85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39FD6400">
            <w:pPr>
              <w:pStyle w:val="129"/>
              <w:widowControl w:val="0"/>
              <w:rPr>
                <w:color w:val="auto"/>
              </w:rPr>
            </w:pPr>
          </w:p>
        </w:tc>
        <w:tc>
          <w:tcPr>
            <w:tcW w:w="1194" w:type="pct"/>
            <w:vMerge w:val="restart"/>
            <w:vAlign w:val="center"/>
          </w:tcPr>
          <w:p w14:paraId="48F22DB0">
            <w:pPr>
              <w:pStyle w:val="129"/>
              <w:widowControl w:val="0"/>
              <w:rPr>
                <w:color w:val="auto"/>
              </w:rPr>
            </w:pPr>
            <w:r>
              <w:rPr>
                <w:rFonts w:hint="eastAsia"/>
                <w:color w:val="auto"/>
              </w:rPr>
              <w:t>燃气锅炉废气（备用）</w:t>
            </w:r>
          </w:p>
        </w:tc>
        <w:tc>
          <w:tcPr>
            <w:tcW w:w="895" w:type="pct"/>
            <w:vAlign w:val="center"/>
          </w:tcPr>
          <w:p w14:paraId="0DCFA30A">
            <w:pPr>
              <w:pStyle w:val="129"/>
              <w:widowControl w:val="0"/>
              <w:rPr>
                <w:color w:val="auto"/>
              </w:rPr>
            </w:pPr>
            <w:r>
              <w:rPr>
                <w:rFonts w:hint="eastAsia"/>
                <w:color w:val="auto"/>
              </w:rPr>
              <w:t>颗粒物</w:t>
            </w:r>
          </w:p>
        </w:tc>
        <w:tc>
          <w:tcPr>
            <w:tcW w:w="895" w:type="pct"/>
            <w:vMerge w:val="restart"/>
            <w:vAlign w:val="center"/>
          </w:tcPr>
          <w:p w14:paraId="71AE71E6">
            <w:pPr>
              <w:pStyle w:val="129"/>
              <w:widowControl w:val="0"/>
              <w:rPr>
                <w:color w:val="auto"/>
              </w:rPr>
            </w:pPr>
            <w:r>
              <w:rPr>
                <w:rFonts w:hint="eastAsia"/>
                <w:color w:val="auto"/>
              </w:rPr>
              <w:t>燃用清洁燃料</w:t>
            </w:r>
          </w:p>
        </w:tc>
        <w:tc>
          <w:tcPr>
            <w:tcW w:w="407" w:type="pct"/>
            <w:vAlign w:val="center"/>
          </w:tcPr>
          <w:p w14:paraId="4C547865">
            <w:pPr>
              <w:pStyle w:val="129"/>
              <w:widowControl w:val="0"/>
              <w:rPr>
                <w:color w:val="auto"/>
              </w:rPr>
            </w:pPr>
            <w:r>
              <w:rPr>
                <w:rFonts w:hint="eastAsia"/>
                <w:color w:val="auto"/>
              </w:rPr>
              <w:t>0.05</w:t>
            </w:r>
          </w:p>
        </w:tc>
        <w:tc>
          <w:tcPr>
            <w:tcW w:w="687" w:type="pct"/>
            <w:vAlign w:val="center"/>
          </w:tcPr>
          <w:p w14:paraId="5F9B8DA3">
            <w:pPr>
              <w:pStyle w:val="129"/>
              <w:widowControl w:val="0"/>
              <w:rPr>
                <w:color w:val="auto"/>
              </w:rPr>
            </w:pPr>
            <w:r>
              <w:rPr>
                <w:rFonts w:hint="eastAsia"/>
                <w:color w:val="auto"/>
              </w:rPr>
              <w:t>10</w:t>
            </w:r>
          </w:p>
        </w:tc>
        <w:tc>
          <w:tcPr>
            <w:tcW w:w="575" w:type="pct"/>
            <w:vAlign w:val="center"/>
          </w:tcPr>
          <w:p w14:paraId="6D9582F9">
            <w:pPr>
              <w:pStyle w:val="129"/>
              <w:widowControl w:val="0"/>
              <w:rPr>
                <w:color w:val="auto"/>
              </w:rPr>
            </w:pPr>
            <w:r>
              <w:rPr>
                <w:rFonts w:hint="eastAsia"/>
                <w:color w:val="auto"/>
              </w:rPr>
              <w:t>10</w:t>
            </w:r>
          </w:p>
        </w:tc>
      </w:tr>
      <w:tr w14:paraId="656CD65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5CEC8FAD">
            <w:pPr>
              <w:pStyle w:val="129"/>
              <w:widowControl w:val="0"/>
              <w:rPr>
                <w:color w:val="auto"/>
              </w:rPr>
            </w:pPr>
          </w:p>
        </w:tc>
        <w:tc>
          <w:tcPr>
            <w:tcW w:w="1194" w:type="pct"/>
            <w:vMerge w:val="continue"/>
            <w:vAlign w:val="center"/>
          </w:tcPr>
          <w:p w14:paraId="7A50C3A6">
            <w:pPr>
              <w:pStyle w:val="129"/>
              <w:widowControl w:val="0"/>
              <w:rPr>
                <w:color w:val="auto"/>
              </w:rPr>
            </w:pPr>
          </w:p>
        </w:tc>
        <w:tc>
          <w:tcPr>
            <w:tcW w:w="895" w:type="pct"/>
            <w:vAlign w:val="center"/>
          </w:tcPr>
          <w:p w14:paraId="076EB56A">
            <w:pPr>
              <w:pStyle w:val="129"/>
              <w:widowControl w:val="0"/>
              <w:rPr>
                <w:color w:val="auto"/>
              </w:rPr>
            </w:pPr>
            <w:r>
              <w:rPr>
                <w:color w:val="auto"/>
              </w:rPr>
              <w:t>SO2</w:t>
            </w:r>
          </w:p>
        </w:tc>
        <w:tc>
          <w:tcPr>
            <w:tcW w:w="895" w:type="pct"/>
            <w:vMerge w:val="continue"/>
            <w:vAlign w:val="center"/>
          </w:tcPr>
          <w:p w14:paraId="3D324B98">
            <w:pPr>
              <w:pStyle w:val="129"/>
              <w:widowControl w:val="0"/>
              <w:rPr>
                <w:color w:val="auto"/>
              </w:rPr>
            </w:pPr>
          </w:p>
        </w:tc>
        <w:tc>
          <w:tcPr>
            <w:tcW w:w="407" w:type="pct"/>
            <w:vAlign w:val="center"/>
          </w:tcPr>
          <w:p w14:paraId="4D8AE6E0">
            <w:pPr>
              <w:pStyle w:val="129"/>
              <w:widowControl w:val="0"/>
              <w:rPr>
                <w:color w:val="auto"/>
              </w:rPr>
            </w:pPr>
            <w:r>
              <w:rPr>
                <w:rFonts w:hint="eastAsia"/>
                <w:color w:val="auto"/>
              </w:rPr>
              <w:t>0.01</w:t>
            </w:r>
          </w:p>
        </w:tc>
        <w:tc>
          <w:tcPr>
            <w:tcW w:w="687" w:type="pct"/>
            <w:vAlign w:val="center"/>
          </w:tcPr>
          <w:p w14:paraId="64C8055A">
            <w:pPr>
              <w:pStyle w:val="129"/>
              <w:widowControl w:val="0"/>
              <w:rPr>
                <w:color w:val="auto"/>
              </w:rPr>
            </w:pPr>
            <w:r>
              <w:rPr>
                <w:rFonts w:hint="eastAsia"/>
                <w:color w:val="auto"/>
              </w:rPr>
              <w:t>2.30</w:t>
            </w:r>
          </w:p>
        </w:tc>
        <w:tc>
          <w:tcPr>
            <w:tcW w:w="575" w:type="pct"/>
            <w:vAlign w:val="center"/>
          </w:tcPr>
          <w:p w14:paraId="68822FB3">
            <w:pPr>
              <w:pStyle w:val="129"/>
              <w:widowControl w:val="0"/>
              <w:rPr>
                <w:color w:val="auto"/>
              </w:rPr>
            </w:pPr>
            <w:r>
              <w:rPr>
                <w:rFonts w:hint="eastAsia"/>
                <w:color w:val="auto"/>
              </w:rPr>
              <w:t>100</w:t>
            </w:r>
          </w:p>
        </w:tc>
      </w:tr>
      <w:tr w14:paraId="1C5E0A6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47" w:type="pct"/>
            <w:vMerge w:val="continue"/>
            <w:vAlign w:val="center"/>
          </w:tcPr>
          <w:p w14:paraId="1B67D286">
            <w:pPr>
              <w:pStyle w:val="129"/>
              <w:widowControl w:val="0"/>
              <w:rPr>
                <w:color w:val="auto"/>
              </w:rPr>
            </w:pPr>
          </w:p>
        </w:tc>
        <w:tc>
          <w:tcPr>
            <w:tcW w:w="1194" w:type="pct"/>
            <w:vMerge w:val="continue"/>
            <w:vAlign w:val="center"/>
          </w:tcPr>
          <w:p w14:paraId="79042F60">
            <w:pPr>
              <w:pStyle w:val="129"/>
              <w:widowControl w:val="0"/>
              <w:rPr>
                <w:color w:val="auto"/>
              </w:rPr>
            </w:pPr>
          </w:p>
        </w:tc>
        <w:tc>
          <w:tcPr>
            <w:tcW w:w="895" w:type="pct"/>
            <w:vAlign w:val="center"/>
          </w:tcPr>
          <w:p w14:paraId="309A67C4">
            <w:pPr>
              <w:pStyle w:val="129"/>
              <w:widowControl w:val="0"/>
              <w:rPr>
                <w:color w:val="auto"/>
              </w:rPr>
            </w:pPr>
            <w:r>
              <w:rPr>
                <w:color w:val="auto"/>
              </w:rPr>
              <w:t>NOX</w:t>
            </w:r>
          </w:p>
        </w:tc>
        <w:tc>
          <w:tcPr>
            <w:tcW w:w="895" w:type="pct"/>
            <w:vAlign w:val="center"/>
          </w:tcPr>
          <w:p w14:paraId="2E8BA7A4">
            <w:pPr>
              <w:pStyle w:val="129"/>
              <w:widowControl w:val="0"/>
              <w:rPr>
                <w:color w:val="auto"/>
              </w:rPr>
            </w:pPr>
            <w:r>
              <w:rPr>
                <w:rFonts w:hint="eastAsia"/>
                <w:color w:val="auto"/>
              </w:rPr>
              <w:t>低氮燃烧</w:t>
            </w:r>
          </w:p>
        </w:tc>
        <w:tc>
          <w:tcPr>
            <w:tcW w:w="407" w:type="pct"/>
            <w:vAlign w:val="center"/>
          </w:tcPr>
          <w:p w14:paraId="3EAB0576">
            <w:pPr>
              <w:pStyle w:val="129"/>
              <w:widowControl w:val="0"/>
              <w:rPr>
                <w:color w:val="auto"/>
              </w:rPr>
            </w:pPr>
            <w:r>
              <w:rPr>
                <w:rFonts w:hint="eastAsia"/>
                <w:color w:val="auto"/>
              </w:rPr>
              <w:t>0.13</w:t>
            </w:r>
          </w:p>
        </w:tc>
        <w:tc>
          <w:tcPr>
            <w:tcW w:w="687" w:type="pct"/>
            <w:vAlign w:val="center"/>
          </w:tcPr>
          <w:p w14:paraId="41FD5343">
            <w:pPr>
              <w:pStyle w:val="129"/>
              <w:widowControl w:val="0"/>
              <w:rPr>
                <w:color w:val="auto"/>
              </w:rPr>
            </w:pPr>
            <w:r>
              <w:rPr>
                <w:rFonts w:hint="eastAsia"/>
                <w:color w:val="auto"/>
              </w:rPr>
              <w:t>28.12</w:t>
            </w:r>
          </w:p>
        </w:tc>
        <w:tc>
          <w:tcPr>
            <w:tcW w:w="575" w:type="pct"/>
            <w:vAlign w:val="center"/>
          </w:tcPr>
          <w:p w14:paraId="2E70118D">
            <w:pPr>
              <w:pStyle w:val="129"/>
              <w:widowControl w:val="0"/>
              <w:rPr>
                <w:color w:val="auto"/>
              </w:rPr>
            </w:pPr>
            <w:r>
              <w:rPr>
                <w:rFonts w:hint="eastAsia"/>
                <w:color w:val="auto"/>
              </w:rPr>
              <w:t>100</w:t>
            </w:r>
          </w:p>
        </w:tc>
      </w:tr>
      <w:tr w14:paraId="37CCA8E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541" w:type="pct"/>
            <w:gridSpan w:val="2"/>
            <w:vAlign w:val="center"/>
          </w:tcPr>
          <w:p w14:paraId="5EC172B2">
            <w:pPr>
              <w:pStyle w:val="129"/>
              <w:widowControl w:val="0"/>
              <w:rPr>
                <w:color w:val="auto"/>
              </w:rPr>
            </w:pPr>
            <w:r>
              <w:rPr>
                <w:rFonts w:hint="eastAsia"/>
                <w:color w:val="auto"/>
              </w:rPr>
              <w:t>无组织排放废气</w:t>
            </w:r>
          </w:p>
        </w:tc>
        <w:tc>
          <w:tcPr>
            <w:tcW w:w="895" w:type="pct"/>
            <w:vAlign w:val="center"/>
          </w:tcPr>
          <w:p w14:paraId="3E5A04BC">
            <w:pPr>
              <w:pStyle w:val="129"/>
              <w:widowControl w:val="0"/>
              <w:rPr>
                <w:color w:val="auto"/>
              </w:rPr>
            </w:pPr>
            <w:r>
              <w:rPr>
                <w:color w:val="auto"/>
              </w:rPr>
              <w:t>NH3</w:t>
            </w:r>
          </w:p>
        </w:tc>
        <w:tc>
          <w:tcPr>
            <w:tcW w:w="895" w:type="pct"/>
            <w:vAlign w:val="center"/>
          </w:tcPr>
          <w:p w14:paraId="1E74739F">
            <w:pPr>
              <w:pStyle w:val="129"/>
              <w:widowControl w:val="0"/>
              <w:rPr>
                <w:color w:val="auto"/>
              </w:rPr>
            </w:pPr>
            <w:r>
              <w:rPr>
                <w:color w:val="auto"/>
              </w:rPr>
              <w:t>/</w:t>
            </w:r>
          </w:p>
        </w:tc>
        <w:tc>
          <w:tcPr>
            <w:tcW w:w="407" w:type="pct"/>
            <w:vAlign w:val="center"/>
          </w:tcPr>
          <w:p w14:paraId="74844DA3">
            <w:pPr>
              <w:pStyle w:val="129"/>
              <w:widowControl w:val="0"/>
              <w:rPr>
                <w:color w:val="auto"/>
              </w:rPr>
            </w:pPr>
            <w:r>
              <w:rPr>
                <w:rFonts w:hint="eastAsia"/>
                <w:color w:val="auto"/>
              </w:rPr>
              <w:t>0.45</w:t>
            </w:r>
          </w:p>
        </w:tc>
        <w:tc>
          <w:tcPr>
            <w:tcW w:w="687" w:type="pct"/>
            <w:vAlign w:val="center"/>
          </w:tcPr>
          <w:p w14:paraId="12A34CDF">
            <w:pPr>
              <w:pStyle w:val="129"/>
              <w:widowControl w:val="0"/>
              <w:rPr>
                <w:color w:val="auto"/>
              </w:rPr>
            </w:pPr>
            <w:r>
              <w:rPr>
                <w:color w:val="auto"/>
              </w:rPr>
              <w:t>/</w:t>
            </w:r>
          </w:p>
        </w:tc>
        <w:tc>
          <w:tcPr>
            <w:tcW w:w="575" w:type="pct"/>
            <w:vAlign w:val="center"/>
          </w:tcPr>
          <w:p w14:paraId="1DC8B4CC">
            <w:pPr>
              <w:pStyle w:val="129"/>
              <w:widowControl w:val="0"/>
              <w:rPr>
                <w:color w:val="auto"/>
              </w:rPr>
            </w:pPr>
            <w:r>
              <w:rPr>
                <w:rFonts w:hint="eastAsia"/>
                <w:color w:val="auto"/>
              </w:rPr>
              <w:t>1.5</w:t>
            </w:r>
          </w:p>
        </w:tc>
      </w:tr>
      <w:tr w14:paraId="372AE4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60" w:hRule="atLeast"/>
        </w:trPr>
        <w:tc>
          <w:tcPr>
            <w:tcW w:w="347" w:type="pct"/>
            <w:vMerge w:val="restart"/>
            <w:vAlign w:val="center"/>
          </w:tcPr>
          <w:p w14:paraId="4178D254">
            <w:pPr>
              <w:pStyle w:val="129"/>
              <w:widowControl w:val="0"/>
              <w:rPr>
                <w:color w:val="auto"/>
              </w:rPr>
            </w:pPr>
            <w:r>
              <w:rPr>
                <w:rFonts w:hint="eastAsia"/>
                <w:color w:val="auto"/>
              </w:rPr>
              <w:t>废水</w:t>
            </w:r>
          </w:p>
        </w:tc>
        <w:tc>
          <w:tcPr>
            <w:tcW w:w="1194" w:type="pct"/>
            <w:vMerge w:val="restart"/>
            <w:vAlign w:val="center"/>
          </w:tcPr>
          <w:p w14:paraId="5329B8A1">
            <w:pPr>
              <w:pStyle w:val="129"/>
              <w:widowControl w:val="0"/>
              <w:rPr>
                <w:color w:val="auto"/>
              </w:rPr>
            </w:pPr>
            <w:r>
              <w:rPr>
                <w:rFonts w:hint="eastAsia" w:ascii="宋体" w:hAnsi="宋体" w:eastAsia="Times New Roman" w:cs="宋体"/>
                <w:color w:val="auto"/>
              </w:rPr>
              <w:t>含硝酸铝废酸液处理冷凝水</w:t>
            </w:r>
          </w:p>
        </w:tc>
        <w:tc>
          <w:tcPr>
            <w:tcW w:w="895" w:type="pct"/>
            <w:vAlign w:val="center"/>
          </w:tcPr>
          <w:p w14:paraId="029CE9B6">
            <w:pPr>
              <w:pStyle w:val="129"/>
              <w:widowControl w:val="0"/>
              <w:rPr>
                <w:color w:val="auto"/>
              </w:rPr>
            </w:pPr>
            <w:r>
              <w:rPr>
                <w:color w:val="auto"/>
              </w:rPr>
              <w:t>COD</w:t>
            </w:r>
          </w:p>
        </w:tc>
        <w:tc>
          <w:tcPr>
            <w:tcW w:w="895" w:type="pct"/>
            <w:vMerge w:val="restart"/>
            <w:vAlign w:val="center"/>
          </w:tcPr>
          <w:p w14:paraId="58BE89D6">
            <w:pPr>
              <w:pStyle w:val="129"/>
              <w:widowControl w:val="0"/>
              <w:rPr>
                <w:color w:val="auto"/>
              </w:rPr>
            </w:pPr>
            <w:r>
              <w:rPr>
                <w:rFonts w:hint="eastAsia" w:eastAsia="Times New Roman"/>
                <w:color w:val="auto"/>
              </w:rPr>
              <w:t>3.2m</w:t>
            </w:r>
            <w:r>
              <w:rPr>
                <w:rFonts w:hint="eastAsia" w:eastAsia="Times New Roman"/>
                <w:color w:val="auto"/>
                <w:vertAlign w:val="superscript"/>
              </w:rPr>
              <w:t>3</w:t>
            </w:r>
            <w:r>
              <w:rPr>
                <w:rFonts w:hint="eastAsia" w:eastAsia="Times New Roman"/>
                <w:color w:val="auto"/>
              </w:rPr>
              <w:t>/h</w:t>
            </w:r>
            <w:r>
              <w:rPr>
                <w:rFonts w:hint="eastAsia" w:ascii="宋体" w:hAnsi="宋体" w:cs="宋体"/>
                <w:color w:val="auto"/>
              </w:rPr>
              <w:t>用于催化剂生产，剩余</w:t>
            </w:r>
            <w:r>
              <w:rPr>
                <w:rFonts w:hint="eastAsia" w:eastAsia="Times New Roman"/>
                <w:color w:val="auto"/>
              </w:rPr>
              <w:t>201.57m</w:t>
            </w:r>
            <w:r>
              <w:rPr>
                <w:rFonts w:hint="eastAsia" w:eastAsia="Times New Roman"/>
                <w:color w:val="auto"/>
                <w:vertAlign w:val="superscript"/>
              </w:rPr>
              <w:t>3</w:t>
            </w:r>
            <w:r>
              <w:rPr>
                <w:rFonts w:hint="eastAsia" w:eastAsia="Times New Roman"/>
                <w:color w:val="auto"/>
              </w:rPr>
              <w:t>/h</w:t>
            </w:r>
            <w:r>
              <w:rPr>
                <w:rFonts w:hint="eastAsia" w:ascii="宋体" w:hAnsi="宋体" w:cs="宋体"/>
                <w:color w:val="auto"/>
              </w:rPr>
              <w:t>送乌鲁木齐众荣电子材料科技有限公司厂</w:t>
            </w:r>
          </w:p>
        </w:tc>
        <w:tc>
          <w:tcPr>
            <w:tcW w:w="407" w:type="pct"/>
            <w:vAlign w:val="center"/>
          </w:tcPr>
          <w:p w14:paraId="20BAC2B8">
            <w:pPr>
              <w:pStyle w:val="129"/>
              <w:widowControl w:val="0"/>
              <w:rPr>
                <w:color w:val="auto"/>
              </w:rPr>
            </w:pPr>
            <w:r>
              <w:rPr>
                <w:rFonts w:hint="eastAsia"/>
                <w:color w:val="auto"/>
              </w:rPr>
              <w:t>12.01</w:t>
            </w:r>
          </w:p>
        </w:tc>
        <w:tc>
          <w:tcPr>
            <w:tcW w:w="687" w:type="pct"/>
            <w:vAlign w:val="center"/>
          </w:tcPr>
          <w:p w14:paraId="37CCCD82">
            <w:pPr>
              <w:pStyle w:val="129"/>
              <w:widowControl w:val="0"/>
              <w:rPr>
                <w:color w:val="auto"/>
              </w:rPr>
            </w:pPr>
            <w:r>
              <w:rPr>
                <w:color w:val="auto"/>
              </w:rPr>
              <w:t>20</w:t>
            </w:r>
            <w:r>
              <w:rPr>
                <w:rFonts w:hint="eastAsia"/>
                <w:color w:val="auto"/>
                <w:kern w:val="2"/>
              </w:rPr>
              <w:t>mg/L</w:t>
            </w:r>
          </w:p>
        </w:tc>
        <w:tc>
          <w:tcPr>
            <w:tcW w:w="575" w:type="pct"/>
            <w:vAlign w:val="center"/>
          </w:tcPr>
          <w:p w14:paraId="46F4C4B3">
            <w:pPr>
              <w:pStyle w:val="129"/>
              <w:widowControl w:val="0"/>
              <w:rPr>
                <w:color w:val="auto"/>
              </w:rPr>
            </w:pPr>
            <w:r>
              <w:rPr>
                <w:color w:val="auto"/>
                <w:kern w:val="2"/>
              </w:rPr>
              <w:t>50</w:t>
            </w:r>
            <w:r>
              <w:rPr>
                <w:rFonts w:hint="eastAsia"/>
                <w:color w:val="auto"/>
                <w:kern w:val="2"/>
              </w:rPr>
              <w:t>mg/L</w:t>
            </w:r>
          </w:p>
        </w:tc>
      </w:tr>
      <w:tr w14:paraId="50AD78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60" w:hRule="atLeast"/>
        </w:trPr>
        <w:tc>
          <w:tcPr>
            <w:tcW w:w="347" w:type="pct"/>
            <w:vMerge w:val="continue"/>
            <w:vAlign w:val="center"/>
          </w:tcPr>
          <w:p w14:paraId="037A30E5">
            <w:pPr>
              <w:pStyle w:val="129"/>
              <w:widowControl w:val="0"/>
              <w:rPr>
                <w:color w:val="auto"/>
              </w:rPr>
            </w:pPr>
          </w:p>
        </w:tc>
        <w:tc>
          <w:tcPr>
            <w:tcW w:w="1194" w:type="pct"/>
            <w:vMerge w:val="continue"/>
            <w:vAlign w:val="center"/>
          </w:tcPr>
          <w:p w14:paraId="01B26097">
            <w:pPr>
              <w:pStyle w:val="129"/>
              <w:widowControl w:val="0"/>
              <w:rPr>
                <w:color w:val="auto"/>
              </w:rPr>
            </w:pPr>
          </w:p>
        </w:tc>
        <w:tc>
          <w:tcPr>
            <w:tcW w:w="895" w:type="pct"/>
            <w:vAlign w:val="center"/>
          </w:tcPr>
          <w:p w14:paraId="33303874">
            <w:pPr>
              <w:pStyle w:val="129"/>
              <w:widowControl w:val="0"/>
              <w:rPr>
                <w:color w:val="auto"/>
              </w:rPr>
            </w:pPr>
            <w:r>
              <w:rPr>
                <w:color w:val="auto"/>
              </w:rPr>
              <w:t>TDS</w:t>
            </w:r>
          </w:p>
        </w:tc>
        <w:tc>
          <w:tcPr>
            <w:tcW w:w="895" w:type="pct"/>
            <w:vMerge w:val="continue"/>
            <w:vAlign w:val="center"/>
          </w:tcPr>
          <w:p w14:paraId="5BF28B70">
            <w:pPr>
              <w:pStyle w:val="129"/>
              <w:widowControl w:val="0"/>
              <w:rPr>
                <w:color w:val="auto"/>
              </w:rPr>
            </w:pPr>
          </w:p>
        </w:tc>
        <w:tc>
          <w:tcPr>
            <w:tcW w:w="407" w:type="pct"/>
            <w:vAlign w:val="center"/>
          </w:tcPr>
          <w:p w14:paraId="02DC3B9B">
            <w:pPr>
              <w:pStyle w:val="129"/>
              <w:widowControl w:val="0"/>
              <w:rPr>
                <w:color w:val="auto"/>
              </w:rPr>
            </w:pPr>
            <w:r>
              <w:rPr>
                <w:rFonts w:hint="eastAsia"/>
                <w:color w:val="auto"/>
              </w:rPr>
              <w:t>90.07</w:t>
            </w:r>
          </w:p>
        </w:tc>
        <w:tc>
          <w:tcPr>
            <w:tcW w:w="687" w:type="pct"/>
            <w:vAlign w:val="center"/>
          </w:tcPr>
          <w:p w14:paraId="55E75CB5">
            <w:pPr>
              <w:pStyle w:val="129"/>
              <w:widowControl w:val="0"/>
              <w:rPr>
                <w:color w:val="auto"/>
              </w:rPr>
            </w:pPr>
            <w:r>
              <w:rPr>
                <w:rFonts w:hint="eastAsia"/>
                <w:color w:val="auto"/>
              </w:rPr>
              <w:t>15</w:t>
            </w:r>
            <w:r>
              <w:rPr>
                <w:color w:val="auto"/>
              </w:rPr>
              <w:t>0</w:t>
            </w:r>
            <w:r>
              <w:rPr>
                <w:rFonts w:hint="eastAsia"/>
                <w:color w:val="auto"/>
                <w:kern w:val="2"/>
              </w:rPr>
              <w:t>mg/L</w:t>
            </w:r>
          </w:p>
        </w:tc>
        <w:tc>
          <w:tcPr>
            <w:tcW w:w="575" w:type="pct"/>
            <w:vAlign w:val="center"/>
          </w:tcPr>
          <w:p w14:paraId="27DC7CD3">
            <w:pPr>
              <w:pStyle w:val="129"/>
              <w:widowControl w:val="0"/>
              <w:rPr>
                <w:color w:val="auto"/>
              </w:rPr>
            </w:pPr>
            <w:r>
              <w:rPr>
                <w:color w:val="auto"/>
                <w:kern w:val="2"/>
              </w:rPr>
              <w:t>1000</w:t>
            </w:r>
            <w:r>
              <w:rPr>
                <w:rFonts w:hint="eastAsia"/>
                <w:color w:val="auto"/>
                <w:kern w:val="2"/>
              </w:rPr>
              <w:t>mg/L</w:t>
            </w:r>
          </w:p>
        </w:tc>
      </w:tr>
      <w:tr w14:paraId="0C275F3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60" w:hRule="atLeast"/>
        </w:trPr>
        <w:tc>
          <w:tcPr>
            <w:tcW w:w="347" w:type="pct"/>
            <w:vMerge w:val="continue"/>
            <w:vAlign w:val="center"/>
          </w:tcPr>
          <w:p w14:paraId="2A003B9F">
            <w:pPr>
              <w:pStyle w:val="129"/>
              <w:widowControl w:val="0"/>
              <w:rPr>
                <w:color w:val="auto"/>
              </w:rPr>
            </w:pPr>
          </w:p>
        </w:tc>
        <w:tc>
          <w:tcPr>
            <w:tcW w:w="1194" w:type="pct"/>
            <w:vMerge w:val="restart"/>
            <w:vAlign w:val="center"/>
          </w:tcPr>
          <w:p w14:paraId="65FC12DC">
            <w:pPr>
              <w:pStyle w:val="129"/>
              <w:widowControl w:val="0"/>
              <w:rPr>
                <w:color w:val="auto"/>
              </w:rPr>
            </w:pPr>
            <w:r>
              <w:rPr>
                <w:rFonts w:hint="eastAsia" w:ascii="宋体" w:hAnsi="宋体" w:eastAsia="Times New Roman" w:cs="宋体"/>
                <w:color w:val="auto"/>
              </w:rPr>
              <w:t>硫酸铵蒸发冷凝水</w:t>
            </w:r>
          </w:p>
        </w:tc>
        <w:tc>
          <w:tcPr>
            <w:tcW w:w="895" w:type="pct"/>
            <w:vAlign w:val="center"/>
          </w:tcPr>
          <w:p w14:paraId="126C626F">
            <w:pPr>
              <w:pStyle w:val="129"/>
              <w:widowControl w:val="0"/>
              <w:rPr>
                <w:color w:val="auto"/>
              </w:rPr>
            </w:pPr>
            <w:r>
              <w:rPr>
                <w:color w:val="auto"/>
              </w:rPr>
              <w:t>COD</w:t>
            </w:r>
          </w:p>
        </w:tc>
        <w:tc>
          <w:tcPr>
            <w:tcW w:w="895" w:type="pct"/>
            <w:vMerge w:val="continue"/>
            <w:vAlign w:val="center"/>
          </w:tcPr>
          <w:p w14:paraId="6308EE00">
            <w:pPr>
              <w:pStyle w:val="129"/>
              <w:widowControl w:val="0"/>
              <w:rPr>
                <w:color w:val="auto"/>
              </w:rPr>
            </w:pPr>
          </w:p>
        </w:tc>
        <w:tc>
          <w:tcPr>
            <w:tcW w:w="407" w:type="pct"/>
            <w:vAlign w:val="center"/>
          </w:tcPr>
          <w:p w14:paraId="689F603F">
            <w:pPr>
              <w:pStyle w:val="129"/>
              <w:widowControl w:val="0"/>
              <w:rPr>
                <w:color w:val="auto"/>
              </w:rPr>
            </w:pPr>
            <w:r>
              <w:rPr>
                <w:rFonts w:hint="eastAsia"/>
                <w:color w:val="auto"/>
              </w:rPr>
              <w:t>2.20</w:t>
            </w:r>
          </w:p>
        </w:tc>
        <w:tc>
          <w:tcPr>
            <w:tcW w:w="687" w:type="pct"/>
            <w:vAlign w:val="center"/>
          </w:tcPr>
          <w:p w14:paraId="453C4074">
            <w:pPr>
              <w:pStyle w:val="129"/>
              <w:widowControl w:val="0"/>
              <w:rPr>
                <w:color w:val="auto"/>
              </w:rPr>
            </w:pPr>
            <w:r>
              <w:rPr>
                <w:rFonts w:hint="eastAsia"/>
                <w:color w:val="auto"/>
              </w:rPr>
              <w:t>20</w:t>
            </w:r>
            <w:r>
              <w:rPr>
                <w:rFonts w:hint="eastAsia"/>
                <w:color w:val="auto"/>
                <w:kern w:val="2"/>
              </w:rPr>
              <w:t>mg/L</w:t>
            </w:r>
          </w:p>
        </w:tc>
        <w:tc>
          <w:tcPr>
            <w:tcW w:w="575" w:type="pct"/>
            <w:vAlign w:val="center"/>
          </w:tcPr>
          <w:p w14:paraId="33818DBD">
            <w:pPr>
              <w:pStyle w:val="129"/>
              <w:widowControl w:val="0"/>
              <w:rPr>
                <w:color w:val="auto"/>
                <w:kern w:val="2"/>
              </w:rPr>
            </w:pPr>
            <w:r>
              <w:rPr>
                <w:color w:val="auto"/>
                <w:kern w:val="2"/>
              </w:rPr>
              <w:t>50</w:t>
            </w:r>
            <w:r>
              <w:rPr>
                <w:rFonts w:hint="eastAsia"/>
                <w:color w:val="auto"/>
                <w:kern w:val="2"/>
              </w:rPr>
              <w:t>mg/L</w:t>
            </w:r>
          </w:p>
        </w:tc>
      </w:tr>
      <w:tr w14:paraId="0FFE61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60" w:hRule="atLeast"/>
        </w:trPr>
        <w:tc>
          <w:tcPr>
            <w:tcW w:w="347" w:type="pct"/>
            <w:vMerge w:val="continue"/>
            <w:vAlign w:val="center"/>
          </w:tcPr>
          <w:p w14:paraId="5D7C3C09">
            <w:pPr>
              <w:pStyle w:val="129"/>
              <w:widowControl w:val="0"/>
              <w:rPr>
                <w:color w:val="auto"/>
              </w:rPr>
            </w:pPr>
          </w:p>
        </w:tc>
        <w:tc>
          <w:tcPr>
            <w:tcW w:w="1194" w:type="pct"/>
            <w:vMerge w:val="continue"/>
            <w:vAlign w:val="center"/>
          </w:tcPr>
          <w:p w14:paraId="0217FF90">
            <w:pPr>
              <w:pStyle w:val="129"/>
              <w:widowControl w:val="0"/>
              <w:rPr>
                <w:color w:val="auto"/>
              </w:rPr>
            </w:pPr>
          </w:p>
        </w:tc>
        <w:tc>
          <w:tcPr>
            <w:tcW w:w="895" w:type="pct"/>
            <w:vAlign w:val="center"/>
          </w:tcPr>
          <w:p w14:paraId="6DB3E611">
            <w:pPr>
              <w:pStyle w:val="129"/>
              <w:widowControl w:val="0"/>
              <w:rPr>
                <w:color w:val="auto"/>
              </w:rPr>
            </w:pPr>
            <w:r>
              <w:rPr>
                <w:color w:val="auto"/>
              </w:rPr>
              <w:t>TDS</w:t>
            </w:r>
          </w:p>
        </w:tc>
        <w:tc>
          <w:tcPr>
            <w:tcW w:w="895" w:type="pct"/>
            <w:vMerge w:val="continue"/>
            <w:vAlign w:val="center"/>
          </w:tcPr>
          <w:p w14:paraId="298E0135">
            <w:pPr>
              <w:pStyle w:val="129"/>
              <w:widowControl w:val="0"/>
              <w:rPr>
                <w:color w:val="auto"/>
              </w:rPr>
            </w:pPr>
          </w:p>
        </w:tc>
        <w:tc>
          <w:tcPr>
            <w:tcW w:w="407" w:type="pct"/>
            <w:vAlign w:val="center"/>
          </w:tcPr>
          <w:p w14:paraId="47D10F5E">
            <w:pPr>
              <w:pStyle w:val="129"/>
              <w:widowControl w:val="0"/>
              <w:rPr>
                <w:color w:val="auto"/>
              </w:rPr>
            </w:pPr>
            <w:r>
              <w:rPr>
                <w:rFonts w:hint="eastAsia"/>
                <w:color w:val="auto"/>
              </w:rPr>
              <w:t>16.48</w:t>
            </w:r>
          </w:p>
        </w:tc>
        <w:tc>
          <w:tcPr>
            <w:tcW w:w="687" w:type="pct"/>
            <w:vAlign w:val="center"/>
          </w:tcPr>
          <w:p w14:paraId="3A475D12">
            <w:pPr>
              <w:pStyle w:val="129"/>
              <w:widowControl w:val="0"/>
              <w:rPr>
                <w:color w:val="auto"/>
              </w:rPr>
            </w:pPr>
            <w:r>
              <w:rPr>
                <w:rFonts w:hint="eastAsia"/>
                <w:color w:val="auto"/>
              </w:rPr>
              <w:t>150</w:t>
            </w:r>
            <w:r>
              <w:rPr>
                <w:rFonts w:hint="eastAsia"/>
                <w:color w:val="auto"/>
                <w:kern w:val="2"/>
              </w:rPr>
              <w:t>mg/L</w:t>
            </w:r>
          </w:p>
        </w:tc>
        <w:tc>
          <w:tcPr>
            <w:tcW w:w="575" w:type="pct"/>
            <w:vAlign w:val="center"/>
          </w:tcPr>
          <w:p w14:paraId="5ECA3FCC">
            <w:pPr>
              <w:pStyle w:val="129"/>
              <w:widowControl w:val="0"/>
              <w:rPr>
                <w:color w:val="auto"/>
              </w:rPr>
            </w:pPr>
            <w:r>
              <w:rPr>
                <w:color w:val="auto"/>
                <w:kern w:val="2"/>
              </w:rPr>
              <w:t>1000</w:t>
            </w:r>
            <w:r>
              <w:rPr>
                <w:rFonts w:hint="eastAsia"/>
                <w:color w:val="auto"/>
                <w:kern w:val="2"/>
              </w:rPr>
              <w:t>mg/L</w:t>
            </w:r>
          </w:p>
        </w:tc>
      </w:tr>
      <w:tr w14:paraId="07743C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2CE21286">
            <w:pPr>
              <w:pStyle w:val="129"/>
              <w:widowControl w:val="0"/>
              <w:rPr>
                <w:color w:val="auto"/>
              </w:rPr>
            </w:pPr>
          </w:p>
        </w:tc>
        <w:tc>
          <w:tcPr>
            <w:tcW w:w="1194" w:type="pct"/>
            <w:vMerge w:val="restart"/>
            <w:vAlign w:val="center"/>
          </w:tcPr>
          <w:p w14:paraId="77ED7418">
            <w:pPr>
              <w:pStyle w:val="129"/>
              <w:widowControl w:val="0"/>
              <w:rPr>
                <w:color w:val="auto"/>
              </w:rPr>
            </w:pPr>
            <w:r>
              <w:rPr>
                <w:rFonts w:hint="eastAsia" w:ascii="宋体" w:hAnsi="宋体" w:eastAsia="Times New Roman" w:cs="宋体"/>
                <w:color w:val="auto"/>
              </w:rPr>
              <w:t>水铝石蒸发冷凝水</w:t>
            </w:r>
          </w:p>
        </w:tc>
        <w:tc>
          <w:tcPr>
            <w:tcW w:w="895" w:type="pct"/>
            <w:vAlign w:val="center"/>
          </w:tcPr>
          <w:p w14:paraId="6B8BBF9E">
            <w:pPr>
              <w:pStyle w:val="129"/>
              <w:widowControl w:val="0"/>
              <w:rPr>
                <w:color w:val="auto"/>
              </w:rPr>
            </w:pPr>
            <w:r>
              <w:rPr>
                <w:color w:val="auto"/>
              </w:rPr>
              <w:t>COD</w:t>
            </w:r>
          </w:p>
        </w:tc>
        <w:tc>
          <w:tcPr>
            <w:tcW w:w="895" w:type="pct"/>
            <w:vMerge w:val="continue"/>
            <w:vAlign w:val="center"/>
          </w:tcPr>
          <w:p w14:paraId="6B42F6D3">
            <w:pPr>
              <w:pStyle w:val="129"/>
              <w:widowControl w:val="0"/>
              <w:rPr>
                <w:color w:val="auto"/>
              </w:rPr>
            </w:pPr>
          </w:p>
        </w:tc>
        <w:tc>
          <w:tcPr>
            <w:tcW w:w="407" w:type="pct"/>
            <w:vAlign w:val="center"/>
          </w:tcPr>
          <w:p w14:paraId="0303E22F">
            <w:pPr>
              <w:pStyle w:val="129"/>
              <w:widowControl w:val="0"/>
              <w:rPr>
                <w:color w:val="auto"/>
              </w:rPr>
            </w:pPr>
            <w:r>
              <w:rPr>
                <w:rFonts w:hint="eastAsia"/>
                <w:color w:val="auto"/>
              </w:rPr>
              <w:t>0.25</w:t>
            </w:r>
          </w:p>
        </w:tc>
        <w:tc>
          <w:tcPr>
            <w:tcW w:w="687" w:type="pct"/>
            <w:vAlign w:val="center"/>
          </w:tcPr>
          <w:p w14:paraId="4708DD58">
            <w:pPr>
              <w:pStyle w:val="129"/>
              <w:widowControl w:val="0"/>
              <w:rPr>
                <w:color w:val="auto"/>
              </w:rPr>
            </w:pPr>
            <w:r>
              <w:rPr>
                <w:rFonts w:hint="eastAsia"/>
                <w:color w:val="auto"/>
              </w:rPr>
              <w:t>20</w:t>
            </w:r>
            <w:r>
              <w:rPr>
                <w:rFonts w:hint="eastAsia"/>
                <w:color w:val="auto"/>
                <w:kern w:val="2"/>
              </w:rPr>
              <w:t>mg/L</w:t>
            </w:r>
          </w:p>
        </w:tc>
        <w:tc>
          <w:tcPr>
            <w:tcW w:w="575" w:type="pct"/>
            <w:vAlign w:val="center"/>
          </w:tcPr>
          <w:p w14:paraId="3A20629F">
            <w:pPr>
              <w:pStyle w:val="129"/>
              <w:widowControl w:val="0"/>
              <w:rPr>
                <w:color w:val="auto"/>
                <w:kern w:val="2"/>
              </w:rPr>
            </w:pPr>
            <w:r>
              <w:rPr>
                <w:color w:val="auto"/>
                <w:kern w:val="2"/>
              </w:rPr>
              <w:t>50</w:t>
            </w:r>
            <w:r>
              <w:rPr>
                <w:rFonts w:hint="eastAsia"/>
                <w:color w:val="auto"/>
                <w:kern w:val="2"/>
              </w:rPr>
              <w:t>mg/L</w:t>
            </w:r>
          </w:p>
        </w:tc>
      </w:tr>
      <w:tr w14:paraId="47C7C7F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114523A2">
            <w:pPr>
              <w:pStyle w:val="129"/>
              <w:widowControl w:val="0"/>
              <w:rPr>
                <w:color w:val="auto"/>
              </w:rPr>
            </w:pPr>
          </w:p>
        </w:tc>
        <w:tc>
          <w:tcPr>
            <w:tcW w:w="1194" w:type="pct"/>
            <w:vMerge w:val="continue"/>
            <w:vAlign w:val="center"/>
          </w:tcPr>
          <w:p w14:paraId="2474A8DD">
            <w:pPr>
              <w:pStyle w:val="129"/>
              <w:widowControl w:val="0"/>
              <w:rPr>
                <w:color w:val="auto"/>
              </w:rPr>
            </w:pPr>
          </w:p>
        </w:tc>
        <w:tc>
          <w:tcPr>
            <w:tcW w:w="895" w:type="pct"/>
            <w:vAlign w:val="center"/>
          </w:tcPr>
          <w:p w14:paraId="2A7EE3CE">
            <w:pPr>
              <w:pStyle w:val="129"/>
              <w:widowControl w:val="0"/>
              <w:rPr>
                <w:color w:val="auto"/>
              </w:rPr>
            </w:pPr>
            <w:r>
              <w:rPr>
                <w:color w:val="auto"/>
              </w:rPr>
              <w:t>TDS</w:t>
            </w:r>
          </w:p>
        </w:tc>
        <w:tc>
          <w:tcPr>
            <w:tcW w:w="895" w:type="pct"/>
            <w:vMerge w:val="continue"/>
            <w:vAlign w:val="center"/>
          </w:tcPr>
          <w:p w14:paraId="60F60E2E">
            <w:pPr>
              <w:pStyle w:val="129"/>
              <w:widowControl w:val="0"/>
              <w:rPr>
                <w:color w:val="auto"/>
              </w:rPr>
            </w:pPr>
          </w:p>
        </w:tc>
        <w:tc>
          <w:tcPr>
            <w:tcW w:w="407" w:type="pct"/>
            <w:vAlign w:val="center"/>
          </w:tcPr>
          <w:p w14:paraId="5A8AEB54">
            <w:pPr>
              <w:pStyle w:val="129"/>
              <w:widowControl w:val="0"/>
              <w:rPr>
                <w:color w:val="auto"/>
              </w:rPr>
            </w:pPr>
            <w:r>
              <w:rPr>
                <w:rFonts w:hint="eastAsia"/>
                <w:color w:val="auto"/>
              </w:rPr>
              <w:t>1.90</w:t>
            </w:r>
          </w:p>
        </w:tc>
        <w:tc>
          <w:tcPr>
            <w:tcW w:w="687" w:type="pct"/>
            <w:vAlign w:val="center"/>
          </w:tcPr>
          <w:p w14:paraId="1E72CF95">
            <w:pPr>
              <w:pStyle w:val="129"/>
              <w:widowControl w:val="0"/>
              <w:rPr>
                <w:color w:val="auto"/>
              </w:rPr>
            </w:pPr>
            <w:r>
              <w:rPr>
                <w:rFonts w:hint="eastAsia"/>
                <w:color w:val="auto"/>
              </w:rPr>
              <w:t>200</w:t>
            </w:r>
            <w:r>
              <w:rPr>
                <w:rFonts w:hint="eastAsia"/>
                <w:color w:val="auto"/>
                <w:kern w:val="2"/>
              </w:rPr>
              <w:t>mg/L</w:t>
            </w:r>
          </w:p>
        </w:tc>
        <w:tc>
          <w:tcPr>
            <w:tcW w:w="575" w:type="pct"/>
            <w:vAlign w:val="center"/>
          </w:tcPr>
          <w:p w14:paraId="35924758">
            <w:pPr>
              <w:pStyle w:val="129"/>
              <w:widowControl w:val="0"/>
              <w:rPr>
                <w:color w:val="auto"/>
              </w:rPr>
            </w:pPr>
            <w:r>
              <w:rPr>
                <w:color w:val="auto"/>
                <w:kern w:val="2"/>
              </w:rPr>
              <w:t>1000</w:t>
            </w:r>
            <w:r>
              <w:rPr>
                <w:rFonts w:hint="eastAsia"/>
                <w:color w:val="auto"/>
                <w:kern w:val="2"/>
              </w:rPr>
              <w:t>mg/L</w:t>
            </w:r>
          </w:p>
        </w:tc>
      </w:tr>
      <w:tr w14:paraId="752FC3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60" w:hRule="atLeast"/>
        </w:trPr>
        <w:tc>
          <w:tcPr>
            <w:tcW w:w="347" w:type="pct"/>
            <w:vMerge w:val="continue"/>
            <w:vAlign w:val="center"/>
          </w:tcPr>
          <w:p w14:paraId="565050FC">
            <w:pPr>
              <w:pStyle w:val="129"/>
              <w:widowControl w:val="0"/>
              <w:rPr>
                <w:color w:val="auto"/>
              </w:rPr>
            </w:pPr>
          </w:p>
        </w:tc>
        <w:tc>
          <w:tcPr>
            <w:tcW w:w="1194" w:type="pct"/>
            <w:vMerge w:val="restart"/>
            <w:vAlign w:val="center"/>
          </w:tcPr>
          <w:p w14:paraId="623FBB19">
            <w:pPr>
              <w:pStyle w:val="129"/>
              <w:widowControl w:val="0"/>
              <w:rPr>
                <w:color w:val="auto"/>
              </w:rPr>
            </w:pPr>
            <w:r>
              <w:rPr>
                <w:rFonts w:hint="eastAsia" w:ascii="宋体" w:hAnsi="宋体" w:eastAsia="Times New Roman" w:cs="宋体"/>
                <w:color w:val="auto"/>
              </w:rPr>
              <w:t>液体肥料2蒸发浓缩冷凝水</w:t>
            </w:r>
          </w:p>
        </w:tc>
        <w:tc>
          <w:tcPr>
            <w:tcW w:w="895" w:type="pct"/>
            <w:vAlign w:val="center"/>
          </w:tcPr>
          <w:p w14:paraId="41F988F8">
            <w:pPr>
              <w:pStyle w:val="129"/>
              <w:widowControl w:val="0"/>
              <w:rPr>
                <w:color w:val="auto"/>
              </w:rPr>
            </w:pPr>
            <w:r>
              <w:rPr>
                <w:color w:val="auto"/>
              </w:rPr>
              <w:t>COD</w:t>
            </w:r>
          </w:p>
        </w:tc>
        <w:tc>
          <w:tcPr>
            <w:tcW w:w="895" w:type="pct"/>
            <w:vMerge w:val="continue"/>
            <w:vAlign w:val="center"/>
          </w:tcPr>
          <w:p w14:paraId="1D087899">
            <w:pPr>
              <w:pStyle w:val="129"/>
              <w:widowControl w:val="0"/>
              <w:rPr>
                <w:color w:val="auto"/>
              </w:rPr>
            </w:pPr>
          </w:p>
        </w:tc>
        <w:tc>
          <w:tcPr>
            <w:tcW w:w="407" w:type="pct"/>
            <w:vAlign w:val="center"/>
          </w:tcPr>
          <w:p w14:paraId="69074BA3">
            <w:pPr>
              <w:pStyle w:val="129"/>
              <w:widowControl w:val="0"/>
              <w:rPr>
                <w:color w:val="auto"/>
              </w:rPr>
            </w:pPr>
            <w:r>
              <w:rPr>
                <w:rFonts w:hint="eastAsia"/>
                <w:color w:val="auto"/>
              </w:rPr>
              <w:t>15.34</w:t>
            </w:r>
          </w:p>
        </w:tc>
        <w:tc>
          <w:tcPr>
            <w:tcW w:w="687" w:type="pct"/>
            <w:vAlign w:val="center"/>
          </w:tcPr>
          <w:p w14:paraId="57EDA60C">
            <w:pPr>
              <w:pStyle w:val="129"/>
              <w:widowControl w:val="0"/>
              <w:rPr>
                <w:color w:val="auto"/>
              </w:rPr>
            </w:pPr>
            <w:r>
              <w:rPr>
                <w:rFonts w:hint="eastAsia"/>
                <w:color w:val="auto"/>
              </w:rPr>
              <w:t>20</w:t>
            </w:r>
            <w:r>
              <w:rPr>
                <w:rFonts w:hint="eastAsia"/>
                <w:color w:val="auto"/>
                <w:kern w:val="2"/>
              </w:rPr>
              <w:t>mg/L</w:t>
            </w:r>
          </w:p>
        </w:tc>
        <w:tc>
          <w:tcPr>
            <w:tcW w:w="575" w:type="pct"/>
            <w:vAlign w:val="center"/>
          </w:tcPr>
          <w:p w14:paraId="53080189">
            <w:pPr>
              <w:pStyle w:val="129"/>
              <w:widowControl w:val="0"/>
              <w:rPr>
                <w:color w:val="auto"/>
                <w:kern w:val="2"/>
              </w:rPr>
            </w:pPr>
            <w:r>
              <w:rPr>
                <w:color w:val="auto"/>
                <w:kern w:val="2"/>
              </w:rPr>
              <w:t>50</w:t>
            </w:r>
            <w:r>
              <w:rPr>
                <w:rFonts w:hint="eastAsia"/>
                <w:color w:val="auto"/>
                <w:kern w:val="2"/>
              </w:rPr>
              <w:t>mg/L</w:t>
            </w:r>
          </w:p>
        </w:tc>
      </w:tr>
      <w:tr w14:paraId="5B58C65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60" w:hRule="atLeast"/>
        </w:trPr>
        <w:tc>
          <w:tcPr>
            <w:tcW w:w="347" w:type="pct"/>
            <w:vMerge w:val="continue"/>
            <w:vAlign w:val="center"/>
          </w:tcPr>
          <w:p w14:paraId="445F9074">
            <w:pPr>
              <w:pStyle w:val="129"/>
              <w:widowControl w:val="0"/>
              <w:rPr>
                <w:color w:val="auto"/>
              </w:rPr>
            </w:pPr>
          </w:p>
        </w:tc>
        <w:tc>
          <w:tcPr>
            <w:tcW w:w="1194" w:type="pct"/>
            <w:vMerge w:val="continue"/>
            <w:vAlign w:val="center"/>
          </w:tcPr>
          <w:p w14:paraId="21359CC4">
            <w:pPr>
              <w:pStyle w:val="129"/>
              <w:widowControl w:val="0"/>
              <w:rPr>
                <w:color w:val="auto"/>
              </w:rPr>
            </w:pPr>
          </w:p>
        </w:tc>
        <w:tc>
          <w:tcPr>
            <w:tcW w:w="895" w:type="pct"/>
            <w:vAlign w:val="center"/>
          </w:tcPr>
          <w:p w14:paraId="20CBD0E3">
            <w:pPr>
              <w:pStyle w:val="129"/>
              <w:widowControl w:val="0"/>
              <w:rPr>
                <w:color w:val="auto"/>
              </w:rPr>
            </w:pPr>
            <w:r>
              <w:rPr>
                <w:color w:val="auto"/>
              </w:rPr>
              <w:t>TDS</w:t>
            </w:r>
          </w:p>
        </w:tc>
        <w:tc>
          <w:tcPr>
            <w:tcW w:w="895" w:type="pct"/>
            <w:vMerge w:val="continue"/>
            <w:vAlign w:val="center"/>
          </w:tcPr>
          <w:p w14:paraId="46196B75">
            <w:pPr>
              <w:pStyle w:val="129"/>
              <w:widowControl w:val="0"/>
              <w:rPr>
                <w:color w:val="auto"/>
              </w:rPr>
            </w:pPr>
          </w:p>
        </w:tc>
        <w:tc>
          <w:tcPr>
            <w:tcW w:w="407" w:type="pct"/>
            <w:vAlign w:val="center"/>
          </w:tcPr>
          <w:p w14:paraId="583C3CEC">
            <w:pPr>
              <w:pStyle w:val="129"/>
              <w:widowControl w:val="0"/>
              <w:rPr>
                <w:color w:val="auto"/>
              </w:rPr>
            </w:pPr>
            <w:r>
              <w:rPr>
                <w:rFonts w:hint="eastAsia"/>
                <w:color w:val="auto"/>
              </w:rPr>
              <w:t>115.08</w:t>
            </w:r>
          </w:p>
        </w:tc>
        <w:tc>
          <w:tcPr>
            <w:tcW w:w="687" w:type="pct"/>
            <w:vAlign w:val="center"/>
          </w:tcPr>
          <w:p w14:paraId="19FA0646">
            <w:pPr>
              <w:pStyle w:val="129"/>
              <w:widowControl w:val="0"/>
              <w:rPr>
                <w:color w:val="auto"/>
              </w:rPr>
            </w:pPr>
            <w:r>
              <w:rPr>
                <w:rFonts w:hint="eastAsia"/>
                <w:color w:val="auto"/>
              </w:rPr>
              <w:t>150</w:t>
            </w:r>
            <w:r>
              <w:rPr>
                <w:rFonts w:hint="eastAsia"/>
                <w:color w:val="auto"/>
                <w:kern w:val="2"/>
              </w:rPr>
              <w:t>mg/L</w:t>
            </w:r>
          </w:p>
        </w:tc>
        <w:tc>
          <w:tcPr>
            <w:tcW w:w="575" w:type="pct"/>
            <w:vAlign w:val="center"/>
          </w:tcPr>
          <w:p w14:paraId="27CF6B6C">
            <w:pPr>
              <w:pStyle w:val="129"/>
              <w:widowControl w:val="0"/>
              <w:rPr>
                <w:color w:val="auto"/>
              </w:rPr>
            </w:pPr>
            <w:r>
              <w:rPr>
                <w:color w:val="auto"/>
                <w:kern w:val="2"/>
              </w:rPr>
              <w:t>1000</w:t>
            </w:r>
            <w:r>
              <w:rPr>
                <w:rFonts w:hint="eastAsia"/>
                <w:color w:val="auto"/>
                <w:kern w:val="2"/>
              </w:rPr>
              <w:t>mg/L</w:t>
            </w:r>
          </w:p>
        </w:tc>
      </w:tr>
      <w:tr w14:paraId="5C18726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77BE6CC5">
            <w:pPr>
              <w:pStyle w:val="129"/>
              <w:widowControl w:val="0"/>
              <w:rPr>
                <w:color w:val="auto"/>
              </w:rPr>
            </w:pPr>
          </w:p>
        </w:tc>
        <w:tc>
          <w:tcPr>
            <w:tcW w:w="1194" w:type="pct"/>
            <w:vMerge w:val="restart"/>
            <w:vAlign w:val="center"/>
          </w:tcPr>
          <w:p w14:paraId="5F5FA7FE">
            <w:pPr>
              <w:pStyle w:val="129"/>
              <w:widowControl w:val="0"/>
              <w:rPr>
                <w:color w:val="auto"/>
              </w:rPr>
            </w:pPr>
            <w:r>
              <w:rPr>
                <w:rFonts w:hint="eastAsia" w:ascii="宋体" w:hAnsi="宋体" w:eastAsia="Times New Roman" w:cs="宋体"/>
                <w:color w:val="auto"/>
              </w:rPr>
              <w:t>碳酸钠浓缩冷凝水</w:t>
            </w:r>
          </w:p>
        </w:tc>
        <w:tc>
          <w:tcPr>
            <w:tcW w:w="895" w:type="pct"/>
            <w:vAlign w:val="center"/>
          </w:tcPr>
          <w:p w14:paraId="73BCA0CC">
            <w:pPr>
              <w:pStyle w:val="129"/>
              <w:widowControl w:val="0"/>
              <w:rPr>
                <w:color w:val="auto"/>
              </w:rPr>
            </w:pPr>
            <w:r>
              <w:rPr>
                <w:color w:val="auto"/>
              </w:rPr>
              <w:t>COD</w:t>
            </w:r>
          </w:p>
        </w:tc>
        <w:tc>
          <w:tcPr>
            <w:tcW w:w="895" w:type="pct"/>
            <w:vMerge w:val="continue"/>
            <w:vAlign w:val="center"/>
          </w:tcPr>
          <w:p w14:paraId="2671B709">
            <w:pPr>
              <w:pStyle w:val="129"/>
              <w:widowControl w:val="0"/>
              <w:rPr>
                <w:color w:val="auto"/>
              </w:rPr>
            </w:pPr>
          </w:p>
        </w:tc>
        <w:tc>
          <w:tcPr>
            <w:tcW w:w="407" w:type="pct"/>
            <w:vAlign w:val="center"/>
          </w:tcPr>
          <w:p w14:paraId="738790BC">
            <w:pPr>
              <w:pStyle w:val="129"/>
              <w:widowControl w:val="0"/>
              <w:rPr>
                <w:color w:val="auto"/>
              </w:rPr>
            </w:pPr>
            <w:r>
              <w:rPr>
                <w:rFonts w:hint="eastAsia"/>
                <w:color w:val="auto"/>
              </w:rPr>
              <w:t>2.17</w:t>
            </w:r>
          </w:p>
        </w:tc>
        <w:tc>
          <w:tcPr>
            <w:tcW w:w="687" w:type="pct"/>
            <w:vAlign w:val="center"/>
          </w:tcPr>
          <w:p w14:paraId="32C86C8A">
            <w:pPr>
              <w:pStyle w:val="129"/>
              <w:widowControl w:val="0"/>
              <w:rPr>
                <w:color w:val="auto"/>
              </w:rPr>
            </w:pPr>
            <w:r>
              <w:rPr>
                <w:rFonts w:hint="eastAsia"/>
                <w:color w:val="auto"/>
              </w:rPr>
              <w:t>20</w:t>
            </w:r>
            <w:r>
              <w:rPr>
                <w:rFonts w:hint="eastAsia"/>
                <w:color w:val="auto"/>
                <w:kern w:val="2"/>
              </w:rPr>
              <w:t>mg/L</w:t>
            </w:r>
          </w:p>
        </w:tc>
        <w:tc>
          <w:tcPr>
            <w:tcW w:w="575" w:type="pct"/>
            <w:vAlign w:val="center"/>
          </w:tcPr>
          <w:p w14:paraId="4DF8C7DE">
            <w:pPr>
              <w:pStyle w:val="129"/>
              <w:widowControl w:val="0"/>
              <w:rPr>
                <w:color w:val="auto"/>
                <w:kern w:val="2"/>
              </w:rPr>
            </w:pPr>
            <w:r>
              <w:rPr>
                <w:color w:val="auto"/>
                <w:kern w:val="2"/>
              </w:rPr>
              <w:t>50</w:t>
            </w:r>
            <w:r>
              <w:rPr>
                <w:rFonts w:hint="eastAsia"/>
                <w:color w:val="auto"/>
                <w:kern w:val="2"/>
              </w:rPr>
              <w:t>mg/L</w:t>
            </w:r>
          </w:p>
        </w:tc>
      </w:tr>
      <w:tr w14:paraId="150A65F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30E9C2B2">
            <w:pPr>
              <w:pStyle w:val="129"/>
              <w:widowControl w:val="0"/>
              <w:rPr>
                <w:color w:val="auto"/>
              </w:rPr>
            </w:pPr>
          </w:p>
        </w:tc>
        <w:tc>
          <w:tcPr>
            <w:tcW w:w="1194" w:type="pct"/>
            <w:vMerge w:val="continue"/>
            <w:vAlign w:val="center"/>
          </w:tcPr>
          <w:p w14:paraId="12DEE203">
            <w:pPr>
              <w:pStyle w:val="129"/>
              <w:widowControl w:val="0"/>
              <w:rPr>
                <w:color w:val="auto"/>
              </w:rPr>
            </w:pPr>
          </w:p>
        </w:tc>
        <w:tc>
          <w:tcPr>
            <w:tcW w:w="895" w:type="pct"/>
            <w:vAlign w:val="center"/>
          </w:tcPr>
          <w:p w14:paraId="0B913B2D">
            <w:pPr>
              <w:pStyle w:val="129"/>
              <w:widowControl w:val="0"/>
              <w:rPr>
                <w:color w:val="auto"/>
              </w:rPr>
            </w:pPr>
            <w:r>
              <w:rPr>
                <w:color w:val="auto"/>
              </w:rPr>
              <w:t>TDS</w:t>
            </w:r>
          </w:p>
        </w:tc>
        <w:tc>
          <w:tcPr>
            <w:tcW w:w="895" w:type="pct"/>
            <w:vMerge w:val="continue"/>
            <w:vAlign w:val="center"/>
          </w:tcPr>
          <w:p w14:paraId="5D97D5A8">
            <w:pPr>
              <w:pStyle w:val="129"/>
              <w:widowControl w:val="0"/>
              <w:rPr>
                <w:color w:val="auto"/>
              </w:rPr>
            </w:pPr>
          </w:p>
        </w:tc>
        <w:tc>
          <w:tcPr>
            <w:tcW w:w="407" w:type="pct"/>
            <w:vAlign w:val="center"/>
          </w:tcPr>
          <w:p w14:paraId="24EC8399">
            <w:pPr>
              <w:pStyle w:val="129"/>
              <w:widowControl w:val="0"/>
              <w:rPr>
                <w:color w:val="auto"/>
              </w:rPr>
            </w:pPr>
            <w:r>
              <w:rPr>
                <w:rFonts w:hint="eastAsia"/>
                <w:color w:val="auto"/>
              </w:rPr>
              <w:t>16.25</w:t>
            </w:r>
          </w:p>
        </w:tc>
        <w:tc>
          <w:tcPr>
            <w:tcW w:w="687" w:type="pct"/>
            <w:vAlign w:val="center"/>
          </w:tcPr>
          <w:p w14:paraId="208137D6">
            <w:pPr>
              <w:pStyle w:val="129"/>
              <w:widowControl w:val="0"/>
              <w:rPr>
                <w:color w:val="auto"/>
              </w:rPr>
            </w:pPr>
            <w:r>
              <w:rPr>
                <w:rFonts w:hint="eastAsia"/>
                <w:color w:val="auto"/>
              </w:rPr>
              <w:t>150</w:t>
            </w:r>
            <w:r>
              <w:rPr>
                <w:rFonts w:hint="eastAsia"/>
                <w:color w:val="auto"/>
                <w:kern w:val="2"/>
              </w:rPr>
              <w:t>mg/L</w:t>
            </w:r>
          </w:p>
        </w:tc>
        <w:tc>
          <w:tcPr>
            <w:tcW w:w="575" w:type="pct"/>
            <w:vAlign w:val="center"/>
          </w:tcPr>
          <w:p w14:paraId="1847C983">
            <w:pPr>
              <w:pStyle w:val="129"/>
              <w:widowControl w:val="0"/>
              <w:rPr>
                <w:color w:val="auto"/>
              </w:rPr>
            </w:pPr>
            <w:r>
              <w:rPr>
                <w:color w:val="auto"/>
                <w:kern w:val="2"/>
              </w:rPr>
              <w:t>1000</w:t>
            </w:r>
            <w:r>
              <w:rPr>
                <w:rFonts w:hint="eastAsia"/>
                <w:color w:val="auto"/>
                <w:kern w:val="2"/>
              </w:rPr>
              <w:t>mg/L</w:t>
            </w:r>
          </w:p>
        </w:tc>
      </w:tr>
      <w:tr w14:paraId="5470C4C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4AF71B49">
            <w:pPr>
              <w:pStyle w:val="129"/>
              <w:widowControl w:val="0"/>
              <w:rPr>
                <w:color w:val="auto"/>
              </w:rPr>
            </w:pPr>
          </w:p>
        </w:tc>
        <w:tc>
          <w:tcPr>
            <w:tcW w:w="1194" w:type="pct"/>
            <w:vMerge w:val="restart"/>
            <w:vAlign w:val="center"/>
          </w:tcPr>
          <w:p w14:paraId="04DE95D7">
            <w:pPr>
              <w:pStyle w:val="129"/>
              <w:widowControl w:val="0"/>
              <w:rPr>
                <w:color w:val="auto"/>
              </w:rPr>
            </w:pPr>
            <w:r>
              <w:rPr>
                <w:rFonts w:hint="eastAsia" w:ascii="宋体" w:hAnsi="宋体" w:eastAsia="Times New Roman" w:cs="宋体"/>
                <w:color w:val="auto"/>
              </w:rPr>
              <w:t>氢氧化钠浓缩冷凝水</w:t>
            </w:r>
          </w:p>
        </w:tc>
        <w:tc>
          <w:tcPr>
            <w:tcW w:w="895" w:type="pct"/>
            <w:vAlign w:val="center"/>
          </w:tcPr>
          <w:p w14:paraId="6A27162B">
            <w:pPr>
              <w:pStyle w:val="129"/>
              <w:widowControl w:val="0"/>
              <w:rPr>
                <w:color w:val="auto"/>
              </w:rPr>
            </w:pPr>
            <w:r>
              <w:rPr>
                <w:rFonts w:eastAsia="Times New Roman"/>
                <w:color w:val="auto"/>
              </w:rPr>
              <w:t>COD</w:t>
            </w:r>
          </w:p>
        </w:tc>
        <w:tc>
          <w:tcPr>
            <w:tcW w:w="895" w:type="pct"/>
            <w:vMerge w:val="continue"/>
            <w:vAlign w:val="center"/>
          </w:tcPr>
          <w:p w14:paraId="788A713E">
            <w:pPr>
              <w:pStyle w:val="129"/>
              <w:widowControl w:val="0"/>
              <w:rPr>
                <w:color w:val="auto"/>
              </w:rPr>
            </w:pPr>
          </w:p>
        </w:tc>
        <w:tc>
          <w:tcPr>
            <w:tcW w:w="407" w:type="pct"/>
            <w:vAlign w:val="center"/>
          </w:tcPr>
          <w:p w14:paraId="722760DD">
            <w:pPr>
              <w:pStyle w:val="129"/>
              <w:widowControl w:val="0"/>
              <w:rPr>
                <w:color w:val="auto"/>
              </w:rPr>
            </w:pPr>
            <w:r>
              <w:rPr>
                <w:rFonts w:hint="eastAsia"/>
                <w:color w:val="auto"/>
              </w:rPr>
              <w:t>0.79</w:t>
            </w:r>
          </w:p>
        </w:tc>
        <w:tc>
          <w:tcPr>
            <w:tcW w:w="687" w:type="pct"/>
            <w:vAlign w:val="center"/>
          </w:tcPr>
          <w:p w14:paraId="6BBBFC89">
            <w:pPr>
              <w:pStyle w:val="129"/>
              <w:widowControl w:val="0"/>
              <w:rPr>
                <w:color w:val="auto"/>
              </w:rPr>
            </w:pPr>
            <w:r>
              <w:rPr>
                <w:rFonts w:hint="eastAsia"/>
                <w:color w:val="auto"/>
              </w:rPr>
              <w:t>20</w:t>
            </w:r>
            <w:r>
              <w:rPr>
                <w:rFonts w:hint="eastAsia"/>
                <w:color w:val="auto"/>
                <w:kern w:val="2"/>
              </w:rPr>
              <w:t>mg/L</w:t>
            </w:r>
          </w:p>
        </w:tc>
        <w:tc>
          <w:tcPr>
            <w:tcW w:w="575" w:type="pct"/>
            <w:vAlign w:val="center"/>
          </w:tcPr>
          <w:p w14:paraId="25D41685">
            <w:pPr>
              <w:pStyle w:val="129"/>
              <w:widowControl w:val="0"/>
              <w:rPr>
                <w:color w:val="auto"/>
                <w:kern w:val="2"/>
              </w:rPr>
            </w:pPr>
            <w:r>
              <w:rPr>
                <w:color w:val="auto"/>
                <w:kern w:val="2"/>
              </w:rPr>
              <w:t>50</w:t>
            </w:r>
            <w:r>
              <w:rPr>
                <w:rFonts w:hint="eastAsia"/>
                <w:color w:val="auto"/>
                <w:kern w:val="2"/>
              </w:rPr>
              <w:t>mg/L</w:t>
            </w:r>
          </w:p>
        </w:tc>
      </w:tr>
      <w:tr w14:paraId="3588FB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053B0089">
            <w:pPr>
              <w:pStyle w:val="129"/>
              <w:widowControl w:val="0"/>
              <w:rPr>
                <w:color w:val="auto"/>
              </w:rPr>
            </w:pPr>
          </w:p>
        </w:tc>
        <w:tc>
          <w:tcPr>
            <w:tcW w:w="1194" w:type="pct"/>
            <w:vMerge w:val="continue"/>
            <w:vAlign w:val="center"/>
          </w:tcPr>
          <w:p w14:paraId="43903840">
            <w:pPr>
              <w:pStyle w:val="129"/>
              <w:widowControl w:val="0"/>
              <w:rPr>
                <w:color w:val="auto"/>
              </w:rPr>
            </w:pPr>
          </w:p>
        </w:tc>
        <w:tc>
          <w:tcPr>
            <w:tcW w:w="895" w:type="pct"/>
            <w:vAlign w:val="center"/>
          </w:tcPr>
          <w:p w14:paraId="0ECAB6BC">
            <w:pPr>
              <w:pStyle w:val="129"/>
              <w:widowControl w:val="0"/>
              <w:rPr>
                <w:color w:val="auto"/>
              </w:rPr>
            </w:pPr>
            <w:r>
              <w:rPr>
                <w:rFonts w:eastAsia="Times New Roman"/>
                <w:color w:val="auto"/>
              </w:rPr>
              <w:t>TDS</w:t>
            </w:r>
          </w:p>
        </w:tc>
        <w:tc>
          <w:tcPr>
            <w:tcW w:w="895" w:type="pct"/>
            <w:vMerge w:val="continue"/>
            <w:vAlign w:val="center"/>
          </w:tcPr>
          <w:p w14:paraId="11D108B7">
            <w:pPr>
              <w:pStyle w:val="129"/>
              <w:widowControl w:val="0"/>
              <w:rPr>
                <w:color w:val="auto"/>
              </w:rPr>
            </w:pPr>
          </w:p>
        </w:tc>
        <w:tc>
          <w:tcPr>
            <w:tcW w:w="407" w:type="pct"/>
            <w:vAlign w:val="center"/>
          </w:tcPr>
          <w:p w14:paraId="1B4813B9">
            <w:pPr>
              <w:pStyle w:val="129"/>
              <w:widowControl w:val="0"/>
              <w:rPr>
                <w:color w:val="auto"/>
              </w:rPr>
            </w:pPr>
            <w:r>
              <w:rPr>
                <w:rFonts w:hint="eastAsia"/>
                <w:color w:val="auto"/>
              </w:rPr>
              <w:t>5.94</w:t>
            </w:r>
          </w:p>
        </w:tc>
        <w:tc>
          <w:tcPr>
            <w:tcW w:w="687" w:type="pct"/>
            <w:vAlign w:val="center"/>
          </w:tcPr>
          <w:p w14:paraId="37295F5F">
            <w:pPr>
              <w:pStyle w:val="129"/>
              <w:widowControl w:val="0"/>
              <w:rPr>
                <w:color w:val="auto"/>
              </w:rPr>
            </w:pPr>
            <w:r>
              <w:rPr>
                <w:rFonts w:hint="eastAsia"/>
                <w:color w:val="auto"/>
              </w:rPr>
              <w:t>150</w:t>
            </w:r>
            <w:r>
              <w:rPr>
                <w:rFonts w:hint="eastAsia"/>
                <w:color w:val="auto"/>
                <w:kern w:val="2"/>
              </w:rPr>
              <w:t>mg/L</w:t>
            </w:r>
          </w:p>
        </w:tc>
        <w:tc>
          <w:tcPr>
            <w:tcW w:w="575" w:type="pct"/>
            <w:vAlign w:val="center"/>
          </w:tcPr>
          <w:p w14:paraId="493C9E12">
            <w:pPr>
              <w:pStyle w:val="129"/>
              <w:widowControl w:val="0"/>
              <w:rPr>
                <w:color w:val="auto"/>
                <w:kern w:val="2"/>
              </w:rPr>
            </w:pPr>
            <w:r>
              <w:rPr>
                <w:color w:val="auto"/>
                <w:kern w:val="2"/>
              </w:rPr>
              <w:t>1000</w:t>
            </w:r>
            <w:r>
              <w:rPr>
                <w:rFonts w:hint="eastAsia"/>
                <w:color w:val="auto"/>
                <w:kern w:val="2"/>
              </w:rPr>
              <w:t>mg/L</w:t>
            </w:r>
          </w:p>
        </w:tc>
      </w:tr>
      <w:tr w14:paraId="6337F79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631A75A6">
            <w:pPr>
              <w:pStyle w:val="129"/>
              <w:widowControl w:val="0"/>
              <w:rPr>
                <w:color w:val="auto"/>
              </w:rPr>
            </w:pPr>
          </w:p>
        </w:tc>
        <w:tc>
          <w:tcPr>
            <w:tcW w:w="1194" w:type="pct"/>
            <w:vMerge w:val="restart"/>
            <w:vAlign w:val="center"/>
          </w:tcPr>
          <w:p w14:paraId="09204723">
            <w:pPr>
              <w:pStyle w:val="129"/>
              <w:widowControl w:val="0"/>
              <w:rPr>
                <w:color w:val="auto"/>
              </w:rPr>
            </w:pPr>
            <w:r>
              <w:rPr>
                <w:rFonts w:hint="eastAsia" w:ascii="宋体" w:hAnsi="宋体" w:eastAsia="Times New Roman" w:cs="宋体"/>
                <w:color w:val="auto"/>
              </w:rPr>
              <w:t>循环冷却排污</w:t>
            </w:r>
          </w:p>
        </w:tc>
        <w:tc>
          <w:tcPr>
            <w:tcW w:w="895" w:type="pct"/>
            <w:vAlign w:val="center"/>
          </w:tcPr>
          <w:p w14:paraId="3655B76C">
            <w:pPr>
              <w:pStyle w:val="129"/>
              <w:widowControl w:val="0"/>
              <w:rPr>
                <w:rFonts w:eastAsia="Times New Roman"/>
                <w:color w:val="auto"/>
              </w:rPr>
            </w:pPr>
            <w:r>
              <w:rPr>
                <w:rFonts w:eastAsia="Times New Roman"/>
                <w:color w:val="auto"/>
              </w:rPr>
              <w:t>COD</w:t>
            </w:r>
          </w:p>
        </w:tc>
        <w:tc>
          <w:tcPr>
            <w:tcW w:w="895" w:type="pct"/>
            <w:vMerge w:val="restart"/>
            <w:vAlign w:val="center"/>
          </w:tcPr>
          <w:p w14:paraId="116A7C6F">
            <w:pPr>
              <w:pStyle w:val="129"/>
              <w:widowControl w:val="0"/>
              <w:rPr>
                <w:color w:val="auto"/>
              </w:rPr>
            </w:pPr>
            <w:r>
              <w:rPr>
                <w:rFonts w:hint="eastAsia" w:ascii="宋体" w:hAnsi="宋体" w:eastAsia="Times New Roman" w:cs="宋体"/>
                <w:color w:val="auto"/>
              </w:rPr>
              <w:t>送园区污水处理厂处理</w:t>
            </w:r>
          </w:p>
        </w:tc>
        <w:tc>
          <w:tcPr>
            <w:tcW w:w="407" w:type="pct"/>
            <w:vAlign w:val="center"/>
          </w:tcPr>
          <w:p w14:paraId="3D346BC4">
            <w:pPr>
              <w:pStyle w:val="129"/>
              <w:widowControl w:val="0"/>
              <w:rPr>
                <w:color w:val="auto"/>
              </w:rPr>
            </w:pPr>
            <w:r>
              <w:rPr>
                <w:rFonts w:hint="eastAsia"/>
                <w:color w:val="auto"/>
              </w:rPr>
              <w:t>0.731</w:t>
            </w:r>
          </w:p>
        </w:tc>
        <w:tc>
          <w:tcPr>
            <w:tcW w:w="687" w:type="pct"/>
            <w:vAlign w:val="center"/>
          </w:tcPr>
          <w:p w14:paraId="1F1715F2">
            <w:pPr>
              <w:pStyle w:val="129"/>
              <w:widowControl w:val="0"/>
              <w:rPr>
                <w:color w:val="auto"/>
              </w:rPr>
            </w:pPr>
            <w:r>
              <w:rPr>
                <w:rFonts w:hint="eastAsia"/>
                <w:color w:val="auto"/>
              </w:rPr>
              <w:t>20</w:t>
            </w:r>
            <w:r>
              <w:rPr>
                <w:rFonts w:hint="eastAsia"/>
                <w:color w:val="auto"/>
                <w:kern w:val="2"/>
              </w:rPr>
              <w:t>mg/L</w:t>
            </w:r>
          </w:p>
        </w:tc>
        <w:tc>
          <w:tcPr>
            <w:tcW w:w="575" w:type="pct"/>
            <w:vAlign w:val="center"/>
          </w:tcPr>
          <w:p w14:paraId="53B1B34A">
            <w:pPr>
              <w:pStyle w:val="129"/>
              <w:widowControl w:val="0"/>
              <w:rPr>
                <w:color w:val="auto"/>
                <w:kern w:val="2"/>
              </w:rPr>
            </w:pPr>
            <w:r>
              <w:rPr>
                <w:color w:val="auto"/>
                <w:kern w:val="2"/>
              </w:rPr>
              <w:t>50</w:t>
            </w:r>
            <w:r>
              <w:rPr>
                <w:rFonts w:hint="eastAsia"/>
                <w:color w:val="auto"/>
                <w:kern w:val="2"/>
              </w:rPr>
              <w:t>0mg/L</w:t>
            </w:r>
          </w:p>
        </w:tc>
      </w:tr>
      <w:tr w14:paraId="2B3F1F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75218622">
            <w:pPr>
              <w:pStyle w:val="129"/>
              <w:widowControl w:val="0"/>
              <w:rPr>
                <w:color w:val="auto"/>
              </w:rPr>
            </w:pPr>
          </w:p>
        </w:tc>
        <w:tc>
          <w:tcPr>
            <w:tcW w:w="1194" w:type="pct"/>
            <w:vMerge w:val="continue"/>
            <w:vAlign w:val="center"/>
          </w:tcPr>
          <w:p w14:paraId="2223CE59">
            <w:pPr>
              <w:pStyle w:val="129"/>
              <w:widowControl w:val="0"/>
              <w:rPr>
                <w:color w:val="auto"/>
              </w:rPr>
            </w:pPr>
          </w:p>
        </w:tc>
        <w:tc>
          <w:tcPr>
            <w:tcW w:w="895" w:type="pct"/>
            <w:vAlign w:val="center"/>
          </w:tcPr>
          <w:p w14:paraId="52AFF9E2">
            <w:pPr>
              <w:pStyle w:val="129"/>
              <w:widowControl w:val="0"/>
              <w:rPr>
                <w:rFonts w:eastAsia="Times New Roman"/>
                <w:color w:val="auto"/>
              </w:rPr>
            </w:pPr>
            <w:r>
              <w:rPr>
                <w:rFonts w:eastAsia="Times New Roman"/>
                <w:color w:val="auto"/>
              </w:rPr>
              <w:t>TDS</w:t>
            </w:r>
          </w:p>
        </w:tc>
        <w:tc>
          <w:tcPr>
            <w:tcW w:w="895" w:type="pct"/>
            <w:vMerge w:val="continue"/>
            <w:vAlign w:val="center"/>
          </w:tcPr>
          <w:p w14:paraId="44122CDE">
            <w:pPr>
              <w:pStyle w:val="129"/>
              <w:widowControl w:val="0"/>
              <w:rPr>
                <w:color w:val="auto"/>
              </w:rPr>
            </w:pPr>
          </w:p>
        </w:tc>
        <w:tc>
          <w:tcPr>
            <w:tcW w:w="407" w:type="pct"/>
            <w:vAlign w:val="center"/>
          </w:tcPr>
          <w:p w14:paraId="08500B5B">
            <w:pPr>
              <w:pStyle w:val="129"/>
              <w:widowControl w:val="0"/>
              <w:rPr>
                <w:color w:val="auto"/>
              </w:rPr>
            </w:pPr>
            <w:r>
              <w:rPr>
                <w:rFonts w:hint="eastAsia"/>
                <w:color w:val="auto"/>
              </w:rPr>
              <w:t>54.84</w:t>
            </w:r>
          </w:p>
        </w:tc>
        <w:tc>
          <w:tcPr>
            <w:tcW w:w="687" w:type="pct"/>
            <w:vAlign w:val="center"/>
          </w:tcPr>
          <w:p w14:paraId="01D05936">
            <w:pPr>
              <w:pStyle w:val="129"/>
              <w:widowControl w:val="0"/>
              <w:rPr>
                <w:color w:val="auto"/>
              </w:rPr>
            </w:pPr>
            <w:r>
              <w:rPr>
                <w:rFonts w:hint="eastAsia"/>
                <w:color w:val="auto"/>
              </w:rPr>
              <w:t>1500</w:t>
            </w:r>
            <w:r>
              <w:rPr>
                <w:rFonts w:hint="eastAsia"/>
                <w:color w:val="auto"/>
                <w:kern w:val="2"/>
              </w:rPr>
              <w:t>mg/L</w:t>
            </w:r>
          </w:p>
        </w:tc>
        <w:tc>
          <w:tcPr>
            <w:tcW w:w="575" w:type="pct"/>
            <w:vAlign w:val="center"/>
          </w:tcPr>
          <w:p w14:paraId="30FB141B">
            <w:pPr>
              <w:pStyle w:val="129"/>
              <w:widowControl w:val="0"/>
              <w:rPr>
                <w:color w:val="auto"/>
                <w:kern w:val="2"/>
              </w:rPr>
            </w:pPr>
            <w:r>
              <w:rPr>
                <w:rFonts w:hint="eastAsia"/>
                <w:color w:val="auto"/>
                <w:kern w:val="2"/>
              </w:rPr>
              <w:t>/</w:t>
            </w:r>
          </w:p>
        </w:tc>
      </w:tr>
      <w:tr w14:paraId="193FD3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2F986037">
            <w:pPr>
              <w:pStyle w:val="129"/>
              <w:widowControl w:val="0"/>
              <w:rPr>
                <w:color w:val="auto"/>
              </w:rPr>
            </w:pPr>
          </w:p>
        </w:tc>
        <w:tc>
          <w:tcPr>
            <w:tcW w:w="1194" w:type="pct"/>
            <w:vMerge w:val="restart"/>
            <w:vAlign w:val="center"/>
          </w:tcPr>
          <w:p w14:paraId="03AFF3ED">
            <w:pPr>
              <w:pStyle w:val="129"/>
              <w:widowControl w:val="0"/>
              <w:rPr>
                <w:color w:val="auto"/>
              </w:rPr>
            </w:pPr>
            <w:r>
              <w:rPr>
                <w:rFonts w:hint="eastAsia" w:ascii="宋体" w:hAnsi="宋体" w:eastAsia="Times New Roman" w:cs="宋体"/>
                <w:color w:val="auto"/>
              </w:rPr>
              <w:t>锅炉排污水（备用）</w:t>
            </w:r>
          </w:p>
        </w:tc>
        <w:tc>
          <w:tcPr>
            <w:tcW w:w="895" w:type="pct"/>
            <w:vAlign w:val="center"/>
          </w:tcPr>
          <w:p w14:paraId="102D8BB0">
            <w:pPr>
              <w:pStyle w:val="129"/>
              <w:widowControl w:val="0"/>
              <w:rPr>
                <w:rFonts w:eastAsia="Times New Roman"/>
                <w:color w:val="auto"/>
              </w:rPr>
            </w:pPr>
            <w:r>
              <w:rPr>
                <w:rFonts w:eastAsia="Times New Roman"/>
                <w:color w:val="auto"/>
              </w:rPr>
              <w:t>COD</w:t>
            </w:r>
          </w:p>
        </w:tc>
        <w:tc>
          <w:tcPr>
            <w:tcW w:w="895" w:type="pct"/>
            <w:vMerge w:val="continue"/>
            <w:vAlign w:val="center"/>
          </w:tcPr>
          <w:p w14:paraId="3E54A871">
            <w:pPr>
              <w:pStyle w:val="129"/>
              <w:widowControl w:val="0"/>
              <w:rPr>
                <w:color w:val="auto"/>
              </w:rPr>
            </w:pPr>
          </w:p>
        </w:tc>
        <w:tc>
          <w:tcPr>
            <w:tcW w:w="407" w:type="pct"/>
            <w:vAlign w:val="center"/>
          </w:tcPr>
          <w:p w14:paraId="50CED828">
            <w:pPr>
              <w:pStyle w:val="129"/>
              <w:widowControl w:val="0"/>
              <w:rPr>
                <w:color w:val="auto"/>
              </w:rPr>
            </w:pPr>
            <w:r>
              <w:rPr>
                <w:rFonts w:hint="eastAsia"/>
                <w:color w:val="auto"/>
              </w:rPr>
              <w:t>1.280</w:t>
            </w:r>
          </w:p>
        </w:tc>
        <w:tc>
          <w:tcPr>
            <w:tcW w:w="687" w:type="pct"/>
            <w:vAlign w:val="center"/>
          </w:tcPr>
          <w:p w14:paraId="2A475FF5">
            <w:pPr>
              <w:pStyle w:val="129"/>
              <w:widowControl w:val="0"/>
              <w:rPr>
                <w:color w:val="auto"/>
              </w:rPr>
            </w:pPr>
            <w:r>
              <w:rPr>
                <w:rFonts w:hint="eastAsia"/>
                <w:color w:val="auto"/>
              </w:rPr>
              <w:t>200</w:t>
            </w:r>
            <w:r>
              <w:rPr>
                <w:rFonts w:hint="eastAsia"/>
                <w:color w:val="auto"/>
                <w:kern w:val="2"/>
              </w:rPr>
              <w:t>mg/L</w:t>
            </w:r>
          </w:p>
        </w:tc>
        <w:tc>
          <w:tcPr>
            <w:tcW w:w="575" w:type="pct"/>
            <w:vAlign w:val="center"/>
          </w:tcPr>
          <w:p w14:paraId="0F390349">
            <w:pPr>
              <w:pStyle w:val="129"/>
              <w:widowControl w:val="0"/>
              <w:rPr>
                <w:color w:val="auto"/>
                <w:kern w:val="2"/>
              </w:rPr>
            </w:pPr>
            <w:r>
              <w:rPr>
                <w:rFonts w:hint="eastAsia"/>
                <w:color w:val="auto"/>
                <w:kern w:val="2"/>
              </w:rPr>
              <w:t>3</w:t>
            </w:r>
            <w:r>
              <w:rPr>
                <w:color w:val="auto"/>
                <w:kern w:val="2"/>
              </w:rPr>
              <w:t>0</w:t>
            </w:r>
            <w:r>
              <w:rPr>
                <w:rFonts w:hint="eastAsia"/>
                <w:color w:val="auto"/>
                <w:kern w:val="2"/>
              </w:rPr>
              <w:t>0mg/L</w:t>
            </w:r>
          </w:p>
        </w:tc>
      </w:tr>
      <w:tr w14:paraId="639A105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40AA2FA2">
            <w:pPr>
              <w:pStyle w:val="129"/>
              <w:widowControl w:val="0"/>
              <w:rPr>
                <w:color w:val="auto"/>
              </w:rPr>
            </w:pPr>
          </w:p>
        </w:tc>
        <w:tc>
          <w:tcPr>
            <w:tcW w:w="1194" w:type="pct"/>
            <w:vMerge w:val="continue"/>
            <w:vAlign w:val="center"/>
          </w:tcPr>
          <w:p w14:paraId="5BF22202">
            <w:pPr>
              <w:pStyle w:val="129"/>
              <w:widowControl w:val="0"/>
              <w:rPr>
                <w:color w:val="auto"/>
              </w:rPr>
            </w:pPr>
          </w:p>
        </w:tc>
        <w:tc>
          <w:tcPr>
            <w:tcW w:w="895" w:type="pct"/>
            <w:vAlign w:val="center"/>
          </w:tcPr>
          <w:p w14:paraId="730F7D7E">
            <w:pPr>
              <w:pStyle w:val="129"/>
              <w:widowControl w:val="0"/>
              <w:rPr>
                <w:rFonts w:eastAsia="Times New Roman"/>
                <w:color w:val="auto"/>
              </w:rPr>
            </w:pPr>
            <w:r>
              <w:rPr>
                <w:rFonts w:eastAsia="Times New Roman"/>
                <w:color w:val="auto"/>
              </w:rPr>
              <w:t>TDS</w:t>
            </w:r>
          </w:p>
        </w:tc>
        <w:tc>
          <w:tcPr>
            <w:tcW w:w="895" w:type="pct"/>
            <w:vMerge w:val="continue"/>
            <w:vAlign w:val="center"/>
          </w:tcPr>
          <w:p w14:paraId="344E31A7">
            <w:pPr>
              <w:pStyle w:val="129"/>
              <w:widowControl w:val="0"/>
              <w:rPr>
                <w:color w:val="auto"/>
              </w:rPr>
            </w:pPr>
          </w:p>
        </w:tc>
        <w:tc>
          <w:tcPr>
            <w:tcW w:w="407" w:type="pct"/>
            <w:vAlign w:val="center"/>
          </w:tcPr>
          <w:p w14:paraId="36D39648">
            <w:pPr>
              <w:pStyle w:val="129"/>
              <w:widowControl w:val="0"/>
              <w:rPr>
                <w:color w:val="auto"/>
              </w:rPr>
            </w:pPr>
            <w:r>
              <w:rPr>
                <w:rFonts w:hint="eastAsia"/>
                <w:color w:val="auto"/>
              </w:rPr>
              <w:t>0.000</w:t>
            </w:r>
          </w:p>
        </w:tc>
        <w:tc>
          <w:tcPr>
            <w:tcW w:w="687" w:type="pct"/>
            <w:vAlign w:val="center"/>
          </w:tcPr>
          <w:p w14:paraId="6E390DFD">
            <w:pPr>
              <w:pStyle w:val="129"/>
              <w:widowControl w:val="0"/>
              <w:rPr>
                <w:color w:val="auto"/>
              </w:rPr>
            </w:pPr>
            <w:r>
              <w:rPr>
                <w:rFonts w:hint="eastAsia"/>
                <w:color w:val="auto"/>
              </w:rPr>
              <w:t>0.074</w:t>
            </w:r>
            <w:r>
              <w:rPr>
                <w:rFonts w:hint="eastAsia"/>
                <w:color w:val="auto"/>
                <w:kern w:val="2"/>
              </w:rPr>
              <w:t>mg/L</w:t>
            </w:r>
          </w:p>
        </w:tc>
        <w:tc>
          <w:tcPr>
            <w:tcW w:w="575" w:type="pct"/>
            <w:vAlign w:val="center"/>
          </w:tcPr>
          <w:p w14:paraId="1DDA87D7">
            <w:pPr>
              <w:pStyle w:val="129"/>
              <w:widowControl w:val="0"/>
              <w:rPr>
                <w:color w:val="auto"/>
                <w:kern w:val="2"/>
              </w:rPr>
            </w:pPr>
            <w:r>
              <w:rPr>
                <w:rFonts w:hint="eastAsia"/>
                <w:color w:val="auto"/>
                <w:kern w:val="2"/>
              </w:rPr>
              <w:t>/</w:t>
            </w:r>
          </w:p>
        </w:tc>
      </w:tr>
      <w:tr w14:paraId="7B8E5A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60" w:hRule="atLeast"/>
        </w:trPr>
        <w:tc>
          <w:tcPr>
            <w:tcW w:w="347" w:type="pct"/>
            <w:vMerge w:val="continue"/>
            <w:vAlign w:val="center"/>
          </w:tcPr>
          <w:p w14:paraId="28725750">
            <w:pPr>
              <w:pStyle w:val="129"/>
              <w:widowControl w:val="0"/>
              <w:rPr>
                <w:color w:val="auto"/>
              </w:rPr>
            </w:pPr>
          </w:p>
        </w:tc>
        <w:tc>
          <w:tcPr>
            <w:tcW w:w="1194" w:type="pct"/>
            <w:vMerge w:val="restart"/>
            <w:vAlign w:val="center"/>
          </w:tcPr>
          <w:p w14:paraId="458C7340">
            <w:pPr>
              <w:pStyle w:val="129"/>
              <w:widowControl w:val="0"/>
              <w:rPr>
                <w:color w:val="auto"/>
              </w:rPr>
            </w:pPr>
            <w:r>
              <w:rPr>
                <w:color w:val="auto"/>
              </w:rPr>
              <w:t>生活污水</w:t>
            </w:r>
          </w:p>
        </w:tc>
        <w:tc>
          <w:tcPr>
            <w:tcW w:w="895" w:type="pct"/>
            <w:vAlign w:val="center"/>
          </w:tcPr>
          <w:p w14:paraId="382E3A43">
            <w:pPr>
              <w:pStyle w:val="129"/>
              <w:widowControl w:val="0"/>
              <w:rPr>
                <w:color w:val="auto"/>
              </w:rPr>
            </w:pPr>
            <w:r>
              <w:rPr>
                <w:color w:val="auto"/>
              </w:rPr>
              <w:t>COD</w:t>
            </w:r>
          </w:p>
        </w:tc>
        <w:tc>
          <w:tcPr>
            <w:tcW w:w="895" w:type="pct"/>
            <w:vMerge w:val="continue"/>
            <w:vAlign w:val="center"/>
          </w:tcPr>
          <w:p w14:paraId="607DF846">
            <w:pPr>
              <w:pStyle w:val="129"/>
              <w:widowControl w:val="0"/>
              <w:rPr>
                <w:color w:val="auto"/>
              </w:rPr>
            </w:pPr>
          </w:p>
        </w:tc>
        <w:tc>
          <w:tcPr>
            <w:tcW w:w="407" w:type="pct"/>
            <w:vAlign w:val="center"/>
          </w:tcPr>
          <w:p w14:paraId="5BAA90C3">
            <w:pPr>
              <w:pStyle w:val="129"/>
              <w:widowControl w:val="0"/>
              <w:rPr>
                <w:color w:val="auto"/>
              </w:rPr>
            </w:pPr>
            <w:r>
              <w:rPr>
                <w:rFonts w:hint="eastAsia"/>
                <w:color w:val="auto"/>
              </w:rPr>
              <w:t>0.720</w:t>
            </w:r>
          </w:p>
        </w:tc>
        <w:tc>
          <w:tcPr>
            <w:tcW w:w="687" w:type="pct"/>
            <w:vAlign w:val="center"/>
          </w:tcPr>
          <w:p w14:paraId="398061EE">
            <w:pPr>
              <w:pStyle w:val="129"/>
              <w:widowControl w:val="0"/>
              <w:rPr>
                <w:color w:val="auto"/>
              </w:rPr>
            </w:pPr>
            <w:r>
              <w:rPr>
                <w:color w:val="auto"/>
              </w:rPr>
              <w:t>300</w:t>
            </w:r>
            <w:r>
              <w:rPr>
                <w:rFonts w:hint="eastAsia"/>
                <w:color w:val="auto"/>
                <w:kern w:val="2"/>
              </w:rPr>
              <w:t>mg/L</w:t>
            </w:r>
          </w:p>
        </w:tc>
        <w:tc>
          <w:tcPr>
            <w:tcW w:w="575" w:type="pct"/>
            <w:vAlign w:val="center"/>
          </w:tcPr>
          <w:p w14:paraId="0D39C02E">
            <w:pPr>
              <w:pStyle w:val="129"/>
              <w:widowControl w:val="0"/>
              <w:rPr>
                <w:color w:val="auto"/>
                <w:kern w:val="2"/>
              </w:rPr>
            </w:pPr>
            <w:r>
              <w:rPr>
                <w:color w:val="auto"/>
                <w:kern w:val="2"/>
              </w:rPr>
              <w:t>50</w:t>
            </w:r>
            <w:r>
              <w:rPr>
                <w:rFonts w:hint="eastAsia"/>
                <w:color w:val="auto"/>
                <w:kern w:val="2"/>
              </w:rPr>
              <w:t>0mg/L</w:t>
            </w:r>
          </w:p>
        </w:tc>
      </w:tr>
      <w:tr w14:paraId="44B3830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60" w:hRule="atLeast"/>
        </w:trPr>
        <w:tc>
          <w:tcPr>
            <w:tcW w:w="347" w:type="pct"/>
            <w:vMerge w:val="continue"/>
            <w:vAlign w:val="center"/>
          </w:tcPr>
          <w:p w14:paraId="1F35F6F9">
            <w:pPr>
              <w:pStyle w:val="129"/>
              <w:widowControl w:val="0"/>
              <w:rPr>
                <w:color w:val="auto"/>
              </w:rPr>
            </w:pPr>
          </w:p>
        </w:tc>
        <w:tc>
          <w:tcPr>
            <w:tcW w:w="1194" w:type="pct"/>
            <w:vMerge w:val="continue"/>
            <w:vAlign w:val="center"/>
          </w:tcPr>
          <w:p w14:paraId="74507736">
            <w:pPr>
              <w:pStyle w:val="129"/>
              <w:widowControl w:val="0"/>
              <w:rPr>
                <w:color w:val="auto"/>
              </w:rPr>
            </w:pPr>
          </w:p>
        </w:tc>
        <w:tc>
          <w:tcPr>
            <w:tcW w:w="895" w:type="pct"/>
            <w:vAlign w:val="center"/>
          </w:tcPr>
          <w:p w14:paraId="4DFA3AC4">
            <w:pPr>
              <w:pStyle w:val="129"/>
              <w:widowControl w:val="0"/>
              <w:rPr>
                <w:color w:val="auto"/>
              </w:rPr>
            </w:pPr>
            <w:r>
              <w:rPr>
                <w:color w:val="auto"/>
              </w:rPr>
              <w:t>BOD</w:t>
            </w:r>
          </w:p>
        </w:tc>
        <w:tc>
          <w:tcPr>
            <w:tcW w:w="895" w:type="pct"/>
            <w:vMerge w:val="continue"/>
            <w:vAlign w:val="center"/>
          </w:tcPr>
          <w:p w14:paraId="13AD5DA1">
            <w:pPr>
              <w:pStyle w:val="129"/>
              <w:widowControl w:val="0"/>
              <w:rPr>
                <w:color w:val="auto"/>
              </w:rPr>
            </w:pPr>
          </w:p>
        </w:tc>
        <w:tc>
          <w:tcPr>
            <w:tcW w:w="407" w:type="pct"/>
            <w:vAlign w:val="center"/>
          </w:tcPr>
          <w:p w14:paraId="7CED9697">
            <w:pPr>
              <w:pStyle w:val="129"/>
              <w:widowControl w:val="0"/>
              <w:rPr>
                <w:color w:val="auto"/>
              </w:rPr>
            </w:pPr>
            <w:r>
              <w:rPr>
                <w:rFonts w:hint="eastAsia"/>
                <w:color w:val="auto"/>
              </w:rPr>
              <w:t>0.360</w:t>
            </w:r>
          </w:p>
        </w:tc>
        <w:tc>
          <w:tcPr>
            <w:tcW w:w="687" w:type="pct"/>
            <w:vAlign w:val="center"/>
          </w:tcPr>
          <w:p w14:paraId="41B72C65">
            <w:pPr>
              <w:pStyle w:val="129"/>
              <w:widowControl w:val="0"/>
              <w:rPr>
                <w:color w:val="auto"/>
              </w:rPr>
            </w:pPr>
            <w:r>
              <w:rPr>
                <w:color w:val="auto"/>
              </w:rPr>
              <w:t>150</w:t>
            </w:r>
            <w:r>
              <w:rPr>
                <w:rFonts w:hint="eastAsia"/>
                <w:color w:val="auto"/>
                <w:kern w:val="2"/>
              </w:rPr>
              <w:t>mg/L</w:t>
            </w:r>
          </w:p>
        </w:tc>
        <w:tc>
          <w:tcPr>
            <w:tcW w:w="575" w:type="pct"/>
            <w:vAlign w:val="center"/>
          </w:tcPr>
          <w:p w14:paraId="2B2EFD2D">
            <w:pPr>
              <w:pStyle w:val="129"/>
              <w:widowControl w:val="0"/>
              <w:rPr>
                <w:color w:val="auto"/>
              </w:rPr>
            </w:pPr>
            <w:r>
              <w:rPr>
                <w:rFonts w:hint="eastAsia"/>
                <w:color w:val="auto"/>
                <w:kern w:val="2"/>
              </w:rPr>
              <w:t>3</w:t>
            </w:r>
            <w:r>
              <w:rPr>
                <w:color w:val="auto"/>
                <w:kern w:val="2"/>
              </w:rPr>
              <w:t>0</w:t>
            </w:r>
            <w:r>
              <w:rPr>
                <w:rFonts w:hint="eastAsia"/>
                <w:color w:val="auto"/>
                <w:kern w:val="2"/>
              </w:rPr>
              <w:t>0mg/L</w:t>
            </w:r>
          </w:p>
        </w:tc>
      </w:tr>
      <w:tr w14:paraId="32B1F48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60" w:hRule="atLeast"/>
        </w:trPr>
        <w:tc>
          <w:tcPr>
            <w:tcW w:w="347" w:type="pct"/>
            <w:vMerge w:val="continue"/>
            <w:vAlign w:val="center"/>
          </w:tcPr>
          <w:p w14:paraId="35B7BCE1">
            <w:pPr>
              <w:pStyle w:val="129"/>
              <w:widowControl w:val="0"/>
              <w:rPr>
                <w:color w:val="auto"/>
              </w:rPr>
            </w:pPr>
          </w:p>
        </w:tc>
        <w:tc>
          <w:tcPr>
            <w:tcW w:w="1194" w:type="pct"/>
            <w:vMerge w:val="continue"/>
            <w:vAlign w:val="center"/>
          </w:tcPr>
          <w:p w14:paraId="64D5C2D3">
            <w:pPr>
              <w:pStyle w:val="129"/>
              <w:widowControl w:val="0"/>
              <w:rPr>
                <w:color w:val="auto"/>
              </w:rPr>
            </w:pPr>
          </w:p>
        </w:tc>
        <w:tc>
          <w:tcPr>
            <w:tcW w:w="895" w:type="pct"/>
            <w:vAlign w:val="center"/>
          </w:tcPr>
          <w:p w14:paraId="77A0169B">
            <w:pPr>
              <w:pStyle w:val="129"/>
              <w:widowControl w:val="0"/>
              <w:rPr>
                <w:color w:val="auto"/>
              </w:rPr>
            </w:pPr>
            <w:r>
              <w:rPr>
                <w:color w:val="auto"/>
              </w:rPr>
              <w:t>SS</w:t>
            </w:r>
          </w:p>
        </w:tc>
        <w:tc>
          <w:tcPr>
            <w:tcW w:w="895" w:type="pct"/>
            <w:vMerge w:val="continue"/>
            <w:vAlign w:val="center"/>
          </w:tcPr>
          <w:p w14:paraId="53901F1C">
            <w:pPr>
              <w:pStyle w:val="129"/>
              <w:widowControl w:val="0"/>
              <w:rPr>
                <w:color w:val="auto"/>
              </w:rPr>
            </w:pPr>
          </w:p>
        </w:tc>
        <w:tc>
          <w:tcPr>
            <w:tcW w:w="407" w:type="pct"/>
            <w:vAlign w:val="center"/>
          </w:tcPr>
          <w:p w14:paraId="5B06571A">
            <w:pPr>
              <w:pStyle w:val="129"/>
              <w:widowControl w:val="0"/>
              <w:rPr>
                <w:color w:val="auto"/>
              </w:rPr>
            </w:pPr>
            <w:r>
              <w:rPr>
                <w:rFonts w:hint="eastAsia"/>
                <w:color w:val="auto"/>
              </w:rPr>
              <w:t>1.200</w:t>
            </w:r>
          </w:p>
        </w:tc>
        <w:tc>
          <w:tcPr>
            <w:tcW w:w="687" w:type="pct"/>
            <w:vAlign w:val="center"/>
          </w:tcPr>
          <w:p w14:paraId="1D4869CC">
            <w:pPr>
              <w:pStyle w:val="129"/>
              <w:widowControl w:val="0"/>
              <w:rPr>
                <w:color w:val="auto"/>
              </w:rPr>
            </w:pPr>
            <w:r>
              <w:rPr>
                <w:color w:val="auto"/>
              </w:rPr>
              <w:t>500</w:t>
            </w:r>
            <w:r>
              <w:rPr>
                <w:rFonts w:hint="eastAsia"/>
                <w:color w:val="auto"/>
                <w:kern w:val="2"/>
              </w:rPr>
              <w:t>mg/L</w:t>
            </w:r>
          </w:p>
        </w:tc>
        <w:tc>
          <w:tcPr>
            <w:tcW w:w="575" w:type="pct"/>
            <w:vAlign w:val="center"/>
          </w:tcPr>
          <w:p w14:paraId="7E0F796B">
            <w:pPr>
              <w:pStyle w:val="129"/>
              <w:widowControl w:val="0"/>
              <w:rPr>
                <w:color w:val="auto"/>
              </w:rPr>
            </w:pPr>
            <w:r>
              <w:rPr>
                <w:rFonts w:hint="eastAsia"/>
                <w:color w:val="auto"/>
                <w:kern w:val="2"/>
              </w:rPr>
              <w:t>400mg/L</w:t>
            </w:r>
          </w:p>
        </w:tc>
      </w:tr>
      <w:tr w14:paraId="08F665A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60" w:hRule="atLeast"/>
        </w:trPr>
        <w:tc>
          <w:tcPr>
            <w:tcW w:w="347" w:type="pct"/>
            <w:vMerge w:val="continue"/>
            <w:vAlign w:val="center"/>
          </w:tcPr>
          <w:p w14:paraId="6FFFE0FF">
            <w:pPr>
              <w:pStyle w:val="129"/>
              <w:widowControl w:val="0"/>
              <w:rPr>
                <w:color w:val="auto"/>
              </w:rPr>
            </w:pPr>
          </w:p>
        </w:tc>
        <w:tc>
          <w:tcPr>
            <w:tcW w:w="1194" w:type="pct"/>
            <w:vMerge w:val="continue"/>
            <w:vAlign w:val="center"/>
          </w:tcPr>
          <w:p w14:paraId="466788AD">
            <w:pPr>
              <w:pStyle w:val="129"/>
              <w:widowControl w:val="0"/>
              <w:rPr>
                <w:color w:val="auto"/>
              </w:rPr>
            </w:pPr>
          </w:p>
        </w:tc>
        <w:tc>
          <w:tcPr>
            <w:tcW w:w="895" w:type="pct"/>
            <w:vAlign w:val="center"/>
          </w:tcPr>
          <w:p w14:paraId="0CF34060">
            <w:pPr>
              <w:pStyle w:val="129"/>
              <w:widowControl w:val="0"/>
              <w:rPr>
                <w:color w:val="auto"/>
              </w:rPr>
            </w:pPr>
            <w:r>
              <w:rPr>
                <w:color w:val="auto"/>
              </w:rPr>
              <w:t>氨氮</w:t>
            </w:r>
          </w:p>
        </w:tc>
        <w:tc>
          <w:tcPr>
            <w:tcW w:w="895" w:type="pct"/>
            <w:vMerge w:val="continue"/>
            <w:vAlign w:val="center"/>
          </w:tcPr>
          <w:p w14:paraId="6AF94916">
            <w:pPr>
              <w:pStyle w:val="129"/>
              <w:widowControl w:val="0"/>
              <w:rPr>
                <w:color w:val="auto"/>
              </w:rPr>
            </w:pPr>
          </w:p>
        </w:tc>
        <w:tc>
          <w:tcPr>
            <w:tcW w:w="407" w:type="pct"/>
            <w:vAlign w:val="center"/>
          </w:tcPr>
          <w:p w14:paraId="7875C341">
            <w:pPr>
              <w:pStyle w:val="129"/>
              <w:widowControl w:val="0"/>
              <w:rPr>
                <w:color w:val="auto"/>
              </w:rPr>
            </w:pPr>
            <w:r>
              <w:rPr>
                <w:rFonts w:hint="eastAsia"/>
                <w:color w:val="auto"/>
              </w:rPr>
              <w:t>0.072</w:t>
            </w:r>
          </w:p>
        </w:tc>
        <w:tc>
          <w:tcPr>
            <w:tcW w:w="687" w:type="pct"/>
            <w:vAlign w:val="center"/>
          </w:tcPr>
          <w:p w14:paraId="58D094F7">
            <w:pPr>
              <w:pStyle w:val="129"/>
              <w:widowControl w:val="0"/>
              <w:rPr>
                <w:color w:val="auto"/>
              </w:rPr>
            </w:pPr>
            <w:r>
              <w:rPr>
                <w:color w:val="auto"/>
              </w:rPr>
              <w:t>30</w:t>
            </w:r>
            <w:r>
              <w:rPr>
                <w:rFonts w:hint="eastAsia"/>
                <w:color w:val="auto"/>
                <w:kern w:val="2"/>
              </w:rPr>
              <w:t>mg/L</w:t>
            </w:r>
          </w:p>
        </w:tc>
        <w:tc>
          <w:tcPr>
            <w:tcW w:w="575" w:type="pct"/>
            <w:vAlign w:val="center"/>
          </w:tcPr>
          <w:p w14:paraId="54EFA76A">
            <w:pPr>
              <w:pStyle w:val="129"/>
              <w:widowControl w:val="0"/>
              <w:rPr>
                <w:color w:val="auto"/>
              </w:rPr>
            </w:pPr>
            <w:r>
              <w:rPr>
                <w:rFonts w:hint="eastAsia"/>
                <w:color w:val="auto"/>
                <w:kern w:val="2"/>
              </w:rPr>
              <w:t>/</w:t>
            </w:r>
          </w:p>
        </w:tc>
      </w:tr>
      <w:tr w14:paraId="7BE025B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60" w:hRule="atLeast"/>
        </w:trPr>
        <w:tc>
          <w:tcPr>
            <w:tcW w:w="347" w:type="pct"/>
            <w:vMerge w:val="continue"/>
            <w:vAlign w:val="center"/>
          </w:tcPr>
          <w:p w14:paraId="6FA575FA">
            <w:pPr>
              <w:pStyle w:val="129"/>
              <w:widowControl w:val="0"/>
              <w:rPr>
                <w:color w:val="auto"/>
              </w:rPr>
            </w:pPr>
          </w:p>
        </w:tc>
        <w:tc>
          <w:tcPr>
            <w:tcW w:w="1194" w:type="pct"/>
            <w:vMerge w:val="continue"/>
            <w:vAlign w:val="center"/>
          </w:tcPr>
          <w:p w14:paraId="39ABE345">
            <w:pPr>
              <w:pStyle w:val="129"/>
              <w:widowControl w:val="0"/>
              <w:rPr>
                <w:color w:val="auto"/>
              </w:rPr>
            </w:pPr>
          </w:p>
        </w:tc>
        <w:tc>
          <w:tcPr>
            <w:tcW w:w="895" w:type="pct"/>
            <w:vAlign w:val="center"/>
          </w:tcPr>
          <w:p w14:paraId="123A93D4">
            <w:pPr>
              <w:pStyle w:val="129"/>
              <w:widowControl w:val="0"/>
              <w:rPr>
                <w:color w:val="auto"/>
              </w:rPr>
            </w:pPr>
            <w:r>
              <w:rPr>
                <w:color w:val="auto"/>
              </w:rPr>
              <w:t>总磷</w:t>
            </w:r>
          </w:p>
        </w:tc>
        <w:tc>
          <w:tcPr>
            <w:tcW w:w="895" w:type="pct"/>
            <w:vMerge w:val="continue"/>
            <w:vAlign w:val="center"/>
          </w:tcPr>
          <w:p w14:paraId="6C45E39C">
            <w:pPr>
              <w:pStyle w:val="129"/>
              <w:widowControl w:val="0"/>
              <w:rPr>
                <w:color w:val="auto"/>
              </w:rPr>
            </w:pPr>
          </w:p>
        </w:tc>
        <w:tc>
          <w:tcPr>
            <w:tcW w:w="407" w:type="pct"/>
            <w:vAlign w:val="center"/>
          </w:tcPr>
          <w:p w14:paraId="5039CF55">
            <w:pPr>
              <w:pStyle w:val="129"/>
              <w:widowControl w:val="0"/>
              <w:rPr>
                <w:color w:val="auto"/>
              </w:rPr>
            </w:pPr>
            <w:r>
              <w:rPr>
                <w:rFonts w:hint="eastAsia"/>
                <w:color w:val="auto"/>
              </w:rPr>
              <w:t>0.010</w:t>
            </w:r>
          </w:p>
        </w:tc>
        <w:tc>
          <w:tcPr>
            <w:tcW w:w="687" w:type="pct"/>
            <w:vAlign w:val="center"/>
          </w:tcPr>
          <w:p w14:paraId="54D3CCDD">
            <w:pPr>
              <w:pStyle w:val="129"/>
              <w:widowControl w:val="0"/>
              <w:rPr>
                <w:color w:val="auto"/>
              </w:rPr>
            </w:pPr>
            <w:r>
              <w:rPr>
                <w:color w:val="auto"/>
              </w:rPr>
              <w:t>4</w:t>
            </w:r>
            <w:r>
              <w:rPr>
                <w:rFonts w:hint="eastAsia"/>
                <w:color w:val="auto"/>
                <w:kern w:val="2"/>
              </w:rPr>
              <w:t>mg/L</w:t>
            </w:r>
          </w:p>
        </w:tc>
        <w:tc>
          <w:tcPr>
            <w:tcW w:w="575" w:type="pct"/>
            <w:vAlign w:val="center"/>
          </w:tcPr>
          <w:p w14:paraId="5C672415">
            <w:pPr>
              <w:pStyle w:val="129"/>
              <w:widowControl w:val="0"/>
              <w:rPr>
                <w:color w:val="auto"/>
              </w:rPr>
            </w:pPr>
            <w:r>
              <w:rPr>
                <w:rFonts w:hint="eastAsia"/>
                <w:color w:val="auto"/>
                <w:kern w:val="2"/>
              </w:rPr>
              <w:t>/</w:t>
            </w:r>
          </w:p>
        </w:tc>
      </w:tr>
      <w:tr w14:paraId="1F83E9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60" w:hRule="atLeast"/>
        </w:trPr>
        <w:tc>
          <w:tcPr>
            <w:tcW w:w="347" w:type="pct"/>
            <w:vMerge w:val="continue"/>
            <w:vAlign w:val="center"/>
          </w:tcPr>
          <w:p w14:paraId="611514B5">
            <w:pPr>
              <w:pStyle w:val="129"/>
              <w:widowControl w:val="0"/>
              <w:rPr>
                <w:color w:val="auto"/>
              </w:rPr>
            </w:pPr>
          </w:p>
        </w:tc>
        <w:tc>
          <w:tcPr>
            <w:tcW w:w="1194" w:type="pct"/>
            <w:vMerge w:val="continue"/>
            <w:vAlign w:val="center"/>
          </w:tcPr>
          <w:p w14:paraId="00C85B92">
            <w:pPr>
              <w:pStyle w:val="129"/>
              <w:widowControl w:val="0"/>
              <w:rPr>
                <w:color w:val="auto"/>
              </w:rPr>
            </w:pPr>
          </w:p>
        </w:tc>
        <w:tc>
          <w:tcPr>
            <w:tcW w:w="895" w:type="pct"/>
            <w:vAlign w:val="center"/>
          </w:tcPr>
          <w:p w14:paraId="216D8E2A">
            <w:pPr>
              <w:pStyle w:val="129"/>
              <w:widowControl w:val="0"/>
              <w:rPr>
                <w:color w:val="auto"/>
              </w:rPr>
            </w:pPr>
            <w:r>
              <w:rPr>
                <w:color w:val="auto"/>
              </w:rPr>
              <w:t>总氮</w:t>
            </w:r>
          </w:p>
        </w:tc>
        <w:tc>
          <w:tcPr>
            <w:tcW w:w="895" w:type="pct"/>
            <w:vMerge w:val="continue"/>
            <w:vAlign w:val="center"/>
          </w:tcPr>
          <w:p w14:paraId="02F3957D">
            <w:pPr>
              <w:pStyle w:val="129"/>
              <w:widowControl w:val="0"/>
              <w:rPr>
                <w:color w:val="auto"/>
              </w:rPr>
            </w:pPr>
          </w:p>
        </w:tc>
        <w:tc>
          <w:tcPr>
            <w:tcW w:w="407" w:type="pct"/>
            <w:vAlign w:val="center"/>
          </w:tcPr>
          <w:p w14:paraId="55BA8C2D">
            <w:pPr>
              <w:pStyle w:val="129"/>
              <w:widowControl w:val="0"/>
              <w:rPr>
                <w:color w:val="auto"/>
              </w:rPr>
            </w:pPr>
            <w:r>
              <w:rPr>
                <w:rFonts w:hint="eastAsia"/>
                <w:color w:val="auto"/>
              </w:rPr>
              <w:t>0.120</w:t>
            </w:r>
          </w:p>
        </w:tc>
        <w:tc>
          <w:tcPr>
            <w:tcW w:w="687" w:type="pct"/>
            <w:vAlign w:val="center"/>
          </w:tcPr>
          <w:p w14:paraId="70A07F8A">
            <w:pPr>
              <w:pStyle w:val="129"/>
              <w:widowControl w:val="0"/>
              <w:rPr>
                <w:color w:val="auto"/>
              </w:rPr>
            </w:pPr>
            <w:r>
              <w:rPr>
                <w:color w:val="auto"/>
              </w:rPr>
              <w:t>50</w:t>
            </w:r>
            <w:r>
              <w:rPr>
                <w:rFonts w:hint="eastAsia"/>
                <w:color w:val="auto"/>
                <w:kern w:val="2"/>
              </w:rPr>
              <w:t>mg/L</w:t>
            </w:r>
          </w:p>
        </w:tc>
        <w:tc>
          <w:tcPr>
            <w:tcW w:w="575" w:type="pct"/>
            <w:vAlign w:val="center"/>
          </w:tcPr>
          <w:p w14:paraId="5849BA7B">
            <w:pPr>
              <w:pStyle w:val="129"/>
              <w:widowControl w:val="0"/>
              <w:rPr>
                <w:color w:val="auto"/>
              </w:rPr>
            </w:pPr>
            <w:r>
              <w:rPr>
                <w:rFonts w:hint="eastAsia"/>
                <w:color w:val="auto"/>
                <w:kern w:val="2"/>
              </w:rPr>
              <w:t>/</w:t>
            </w:r>
          </w:p>
        </w:tc>
      </w:tr>
      <w:tr w14:paraId="59173E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60" w:hRule="atLeast"/>
        </w:trPr>
        <w:tc>
          <w:tcPr>
            <w:tcW w:w="347" w:type="pct"/>
            <w:vAlign w:val="center"/>
          </w:tcPr>
          <w:p w14:paraId="22A1FE7D">
            <w:pPr>
              <w:pStyle w:val="129"/>
              <w:widowControl w:val="0"/>
              <w:rPr>
                <w:color w:val="auto"/>
              </w:rPr>
            </w:pPr>
            <w:r>
              <w:rPr>
                <w:rFonts w:hint="eastAsia" w:ascii="宋体" w:hAnsi="宋体" w:eastAsia="Times New Roman"/>
                <w:color w:val="auto"/>
                <w:kern w:val="2"/>
              </w:rPr>
              <w:t>噪声</w:t>
            </w:r>
          </w:p>
        </w:tc>
        <w:tc>
          <w:tcPr>
            <w:tcW w:w="2089" w:type="pct"/>
            <w:gridSpan w:val="2"/>
            <w:vAlign w:val="center"/>
          </w:tcPr>
          <w:p w14:paraId="3BACC838">
            <w:pPr>
              <w:pStyle w:val="129"/>
              <w:widowControl w:val="0"/>
              <w:rPr>
                <w:color w:val="auto"/>
              </w:rPr>
            </w:pPr>
            <w:r>
              <w:rPr>
                <w:rFonts w:hint="eastAsia" w:ascii="宋体" w:hAnsi="宋体" w:eastAsia="Times New Roman"/>
                <w:color w:val="auto"/>
                <w:kern w:val="2"/>
              </w:rPr>
              <w:t>机械噪声、空气动力性噪声</w:t>
            </w:r>
          </w:p>
        </w:tc>
        <w:tc>
          <w:tcPr>
            <w:tcW w:w="895" w:type="pct"/>
            <w:vAlign w:val="center"/>
          </w:tcPr>
          <w:p w14:paraId="6E89D8C5">
            <w:pPr>
              <w:widowControl w:val="0"/>
              <w:spacing w:before="100" w:beforeAutospacing="1" w:line="360" w:lineRule="exact"/>
              <w:jc w:val="center"/>
              <w:rPr>
                <w:rFonts w:ascii="宋体" w:hAnsi="宋体" w:eastAsia="Times New Roman"/>
                <w:color w:val="auto"/>
                <w:kern w:val="2"/>
                <w:sz w:val="21"/>
                <w:szCs w:val="21"/>
              </w:rPr>
            </w:pPr>
            <w:r>
              <w:rPr>
                <w:rFonts w:hint="eastAsia" w:ascii="宋体" w:hAnsi="宋体" w:eastAsia="Times New Roman"/>
                <w:color w:val="auto"/>
                <w:kern w:val="2"/>
                <w:sz w:val="21"/>
                <w:szCs w:val="21"/>
              </w:rPr>
              <w:t>隔声、吸声、减振、消声装置及措施等</w:t>
            </w:r>
          </w:p>
        </w:tc>
        <w:tc>
          <w:tcPr>
            <w:tcW w:w="1669" w:type="pct"/>
            <w:gridSpan w:val="3"/>
            <w:vAlign w:val="center"/>
          </w:tcPr>
          <w:p w14:paraId="394DE1E5">
            <w:pPr>
              <w:widowControl w:val="0"/>
              <w:spacing w:before="100" w:beforeAutospacing="1" w:line="360" w:lineRule="exact"/>
              <w:jc w:val="center"/>
              <w:rPr>
                <w:rFonts w:eastAsia="Times New Roman"/>
                <w:color w:val="auto"/>
                <w:kern w:val="2"/>
                <w:sz w:val="21"/>
                <w:szCs w:val="21"/>
              </w:rPr>
            </w:pPr>
            <w:r>
              <w:rPr>
                <w:rFonts w:hint="eastAsia" w:ascii="宋体" w:hAnsi="宋体" w:eastAsia="Times New Roman"/>
                <w:color w:val="auto"/>
                <w:kern w:val="2"/>
                <w:sz w:val="21"/>
                <w:szCs w:val="21"/>
              </w:rPr>
              <w:t>昼间≤</w:t>
            </w:r>
            <w:r>
              <w:rPr>
                <w:rFonts w:hint="eastAsia" w:eastAsia="Times New Roman"/>
                <w:color w:val="auto"/>
                <w:kern w:val="2"/>
                <w:sz w:val="21"/>
                <w:szCs w:val="21"/>
              </w:rPr>
              <w:t>65dB(A)</w:t>
            </w:r>
          </w:p>
          <w:p w14:paraId="7BDFF06B">
            <w:pPr>
              <w:pStyle w:val="129"/>
              <w:widowControl w:val="0"/>
              <w:rPr>
                <w:color w:val="auto"/>
                <w:kern w:val="2"/>
              </w:rPr>
            </w:pPr>
            <w:r>
              <w:rPr>
                <w:rFonts w:hint="eastAsia" w:ascii="宋体" w:hAnsi="宋体" w:eastAsia="Times New Roman"/>
                <w:color w:val="auto"/>
                <w:kern w:val="2"/>
              </w:rPr>
              <w:t>夜间≤</w:t>
            </w:r>
            <w:r>
              <w:rPr>
                <w:rFonts w:hint="eastAsia" w:eastAsia="Times New Roman"/>
                <w:color w:val="auto"/>
                <w:kern w:val="2"/>
              </w:rPr>
              <w:t>55dB(A)</w:t>
            </w:r>
          </w:p>
        </w:tc>
      </w:tr>
      <w:tr w14:paraId="6041C4D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restart"/>
            <w:vAlign w:val="center"/>
          </w:tcPr>
          <w:p w14:paraId="6BB5F70F">
            <w:pPr>
              <w:pStyle w:val="129"/>
              <w:widowControl w:val="0"/>
              <w:rPr>
                <w:rFonts w:ascii="宋体" w:hAnsi="宋体" w:eastAsia="Times New Roman"/>
                <w:color w:val="auto"/>
                <w:kern w:val="2"/>
              </w:rPr>
            </w:pPr>
            <w:r>
              <w:rPr>
                <w:rFonts w:hint="eastAsia" w:ascii="宋体" w:hAnsi="宋体" w:eastAsia="Times New Roman"/>
                <w:color w:val="auto"/>
                <w:kern w:val="2"/>
              </w:rPr>
              <w:t>固体废物</w:t>
            </w:r>
          </w:p>
        </w:tc>
        <w:tc>
          <w:tcPr>
            <w:tcW w:w="2089" w:type="pct"/>
            <w:gridSpan w:val="2"/>
            <w:vAlign w:val="center"/>
          </w:tcPr>
          <w:p w14:paraId="3ED3DA35">
            <w:pPr>
              <w:pStyle w:val="129"/>
              <w:widowControl w:val="0"/>
              <w:rPr>
                <w:rFonts w:ascii="宋体" w:hAnsi="宋体" w:eastAsia="Times New Roman"/>
                <w:color w:val="auto"/>
                <w:kern w:val="2"/>
              </w:rPr>
            </w:pPr>
            <w:r>
              <w:rPr>
                <w:rFonts w:hint="eastAsia" w:ascii="宋体" w:hAnsi="宋体" w:eastAsia="Times New Roman"/>
                <w:color w:val="auto"/>
                <w:kern w:val="2"/>
              </w:rPr>
              <w:t>废机油</w:t>
            </w:r>
          </w:p>
        </w:tc>
        <w:tc>
          <w:tcPr>
            <w:tcW w:w="895" w:type="pct"/>
            <w:vAlign w:val="center"/>
          </w:tcPr>
          <w:p w14:paraId="6067027C">
            <w:pPr>
              <w:pStyle w:val="129"/>
              <w:widowControl w:val="0"/>
              <w:rPr>
                <w:rFonts w:ascii="宋体" w:hAnsi="宋体" w:eastAsia="Times New Roman"/>
                <w:color w:val="auto"/>
                <w:kern w:val="2"/>
              </w:rPr>
            </w:pPr>
            <w:r>
              <w:rPr>
                <w:rFonts w:hint="eastAsia" w:ascii="宋体" w:hAnsi="宋体" w:eastAsia="Times New Roman"/>
                <w:color w:val="auto"/>
                <w:kern w:val="2"/>
              </w:rPr>
              <w:t>交由有资质的单位处理</w:t>
            </w:r>
          </w:p>
        </w:tc>
        <w:tc>
          <w:tcPr>
            <w:tcW w:w="1669" w:type="pct"/>
            <w:gridSpan w:val="3"/>
            <w:vMerge w:val="restart"/>
            <w:vAlign w:val="center"/>
          </w:tcPr>
          <w:p w14:paraId="6AD74A14">
            <w:pPr>
              <w:pStyle w:val="129"/>
              <w:widowControl w:val="0"/>
              <w:rPr>
                <w:rFonts w:hint="eastAsia" w:ascii="宋体" w:hAnsi="宋体"/>
                <w:color w:val="auto"/>
                <w:kern w:val="2"/>
              </w:rPr>
            </w:pPr>
            <w:r>
              <w:rPr>
                <w:rFonts w:hint="eastAsia" w:ascii="宋体" w:hAnsi="宋体"/>
                <w:color w:val="auto"/>
                <w:kern w:val="2"/>
              </w:rPr>
              <w:t>/</w:t>
            </w:r>
          </w:p>
        </w:tc>
      </w:tr>
      <w:tr w14:paraId="1186D23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80" w:hRule="atLeast"/>
        </w:trPr>
        <w:tc>
          <w:tcPr>
            <w:tcW w:w="347" w:type="pct"/>
            <w:vMerge w:val="continue"/>
            <w:vAlign w:val="center"/>
          </w:tcPr>
          <w:p w14:paraId="56297BBE">
            <w:pPr>
              <w:pStyle w:val="129"/>
              <w:widowControl w:val="0"/>
              <w:rPr>
                <w:color w:val="auto"/>
              </w:rPr>
            </w:pPr>
          </w:p>
        </w:tc>
        <w:tc>
          <w:tcPr>
            <w:tcW w:w="2089" w:type="pct"/>
            <w:gridSpan w:val="2"/>
            <w:vAlign w:val="center"/>
          </w:tcPr>
          <w:p w14:paraId="107D09BC">
            <w:pPr>
              <w:pStyle w:val="129"/>
              <w:widowControl w:val="0"/>
              <w:rPr>
                <w:rFonts w:ascii="宋体" w:hAnsi="宋体" w:eastAsia="Times New Roman"/>
                <w:color w:val="auto"/>
                <w:kern w:val="2"/>
              </w:rPr>
            </w:pPr>
            <w:r>
              <w:rPr>
                <w:rFonts w:hint="eastAsia" w:ascii="宋体" w:hAnsi="宋体" w:eastAsia="Times New Roman"/>
                <w:color w:val="auto"/>
                <w:kern w:val="2"/>
              </w:rPr>
              <w:t>生活垃圾</w:t>
            </w:r>
          </w:p>
        </w:tc>
        <w:tc>
          <w:tcPr>
            <w:tcW w:w="895" w:type="pct"/>
            <w:vAlign w:val="center"/>
          </w:tcPr>
          <w:p w14:paraId="27EB1F61">
            <w:pPr>
              <w:pStyle w:val="129"/>
              <w:widowControl w:val="0"/>
              <w:rPr>
                <w:rFonts w:ascii="宋体" w:hAnsi="宋体" w:eastAsia="Times New Roman"/>
                <w:color w:val="auto"/>
                <w:kern w:val="2"/>
              </w:rPr>
            </w:pPr>
            <w:r>
              <w:rPr>
                <w:rFonts w:hint="eastAsia" w:ascii="宋体" w:hAnsi="宋体" w:eastAsia="Times New Roman"/>
                <w:color w:val="auto"/>
                <w:kern w:val="2"/>
              </w:rPr>
              <w:t>园区环卫部门收集处理</w:t>
            </w:r>
          </w:p>
        </w:tc>
        <w:tc>
          <w:tcPr>
            <w:tcW w:w="1669" w:type="pct"/>
            <w:gridSpan w:val="3"/>
            <w:vMerge w:val="continue"/>
            <w:vAlign w:val="center"/>
          </w:tcPr>
          <w:p w14:paraId="021F9AEB">
            <w:pPr>
              <w:pStyle w:val="129"/>
              <w:widowControl w:val="0"/>
              <w:rPr>
                <w:rFonts w:ascii="宋体" w:hAnsi="宋体" w:eastAsia="Times New Roman"/>
                <w:color w:val="auto"/>
                <w:kern w:val="2"/>
              </w:rPr>
            </w:pPr>
          </w:p>
        </w:tc>
      </w:tr>
    </w:tbl>
    <w:p w14:paraId="7C3B14DE">
      <w:pPr>
        <w:rPr>
          <w:color w:val="auto"/>
          <w:kern w:val="2"/>
          <w:sz w:val="24"/>
          <w:szCs w:val="24"/>
        </w:rPr>
      </w:pPr>
    </w:p>
    <w:p w14:paraId="019C82C9">
      <w:pPr>
        <w:pStyle w:val="4"/>
        <w:rPr>
          <w:color w:val="auto"/>
        </w:rPr>
      </w:pPr>
      <w:r>
        <w:rPr>
          <w:rFonts w:hint="eastAsia"/>
          <w:color w:val="auto"/>
        </w:rPr>
        <w:t>排污许可制度</w:t>
      </w:r>
    </w:p>
    <w:p w14:paraId="6C520F7D">
      <w:pPr>
        <w:pStyle w:val="132"/>
        <w:rPr>
          <w:color w:val="auto"/>
        </w:rPr>
      </w:pPr>
      <w:r>
        <w:rPr>
          <w:color w:val="auto"/>
        </w:rPr>
        <w:t>国务院于2021年1月24日发布《排污许可管理条例》，条例指出：依照法律规定实行排污许可管理的企业事业单位和其他生产经营者（以</w:t>
      </w:r>
      <w:r>
        <w:rPr>
          <w:rFonts w:hint="eastAsia"/>
          <w:color w:val="auto"/>
        </w:rPr>
        <w:t>下简</w:t>
      </w:r>
      <w:r>
        <w:rPr>
          <w:color w:val="auto"/>
        </w:rPr>
        <w:t>称排污单位），应当依照本条例规定申请取得排污许可证；未取得排污许可证的，不得排放污染物。排污单位应当向其生产经营场所所在地设区的市级以上地方人民政府生态环境主管部门（以</w:t>
      </w:r>
      <w:r>
        <w:rPr>
          <w:rFonts w:hint="eastAsia"/>
          <w:color w:val="auto"/>
        </w:rPr>
        <w:t>下简</w:t>
      </w:r>
      <w:r>
        <w:rPr>
          <w:color w:val="auto"/>
        </w:rPr>
        <w:t>称审批部门）申请取得排污许可证。</w:t>
      </w:r>
    </w:p>
    <w:p w14:paraId="232930A4">
      <w:pPr>
        <w:widowControl w:val="0"/>
        <w:spacing w:line="360" w:lineRule="auto"/>
        <w:jc w:val="both"/>
        <w:rPr>
          <w:color w:val="auto"/>
          <w:kern w:val="2"/>
          <w:sz w:val="24"/>
          <w:szCs w:val="24"/>
        </w:rPr>
      </w:pPr>
      <w:r>
        <w:rPr>
          <w:rFonts w:ascii="宋体" w:hAnsi="宋体"/>
          <w:color w:val="auto"/>
          <w:kern w:val="2"/>
          <w:sz w:val="24"/>
          <w:szCs w:val="24"/>
        </w:rPr>
        <w:t>因此，本项目在报批环评报告书后、项目实际运行前，应尽快申领排污许可证，作为本项目合法运行的前提。排污许可证申请及核发按《排污许可管理办法》填报执行。</w:t>
      </w:r>
    </w:p>
    <w:p w14:paraId="7E3BB6C0">
      <w:pPr>
        <w:pStyle w:val="4"/>
        <w:rPr>
          <w:color w:val="auto"/>
        </w:rPr>
      </w:pPr>
      <w:r>
        <w:rPr>
          <w:rFonts w:hint="eastAsia"/>
          <w:color w:val="auto"/>
        </w:rPr>
        <w:t>环境信息公开</w:t>
      </w:r>
    </w:p>
    <w:p w14:paraId="53DEE646">
      <w:pPr>
        <w:pStyle w:val="132"/>
        <w:rPr>
          <w:color w:val="auto"/>
        </w:rPr>
      </w:pPr>
      <w:r>
        <w:rPr>
          <w:color w:val="auto"/>
        </w:rPr>
        <w:t>《企业环境信息依法披露管理办法》（部令第24号）要求，排污企业应当按照《企业环境信息依法披露格式准则》（环办综合〔2021〕32号）编制年度环境信息依法披露报告和临时环境信息依法披露报告，并上传至企业环境信息依法披露系统。</w:t>
      </w:r>
    </w:p>
    <w:p w14:paraId="2934F574">
      <w:pPr>
        <w:pStyle w:val="132"/>
        <w:rPr>
          <w:color w:val="auto"/>
        </w:rPr>
      </w:pPr>
      <w:r>
        <w:rPr>
          <w:color w:val="auto"/>
        </w:rPr>
        <w:t>企业应当建立健全环境信息依法披露管理制度，规范工作规程，明确工作职责，建立准确的环境信息管理台账，妥善保存相关原始记录，科学统计归集相关环境信息。企业披露环境信息所使用的相关数据及表述应当符合环境监测、环境统计等方面的标准和技术规范要求，优先使用符合国家监测规范的污染物监测数据、排污许可证执行报告数据等。</w:t>
      </w:r>
    </w:p>
    <w:p w14:paraId="6FB93DCD">
      <w:pPr>
        <w:pStyle w:val="4"/>
        <w:rPr>
          <w:color w:val="auto"/>
        </w:rPr>
      </w:pPr>
      <w:r>
        <w:rPr>
          <w:rFonts w:hint="eastAsia"/>
          <w:color w:val="auto"/>
        </w:rPr>
        <w:t>污染源自动监控管理</w:t>
      </w:r>
    </w:p>
    <w:p w14:paraId="3084D96F">
      <w:pPr>
        <w:pStyle w:val="132"/>
        <w:rPr>
          <w:color w:val="auto"/>
        </w:rPr>
      </w:pPr>
      <w:r>
        <w:rPr>
          <w:color w:val="auto"/>
        </w:rPr>
        <w:t>项目应按照《污染源自动监控管理办法》及当地环境主管部门要求，在厂区废水处理设施排口安装污染物自动监控装置。</w:t>
      </w:r>
    </w:p>
    <w:p w14:paraId="739649D1">
      <w:pPr>
        <w:pStyle w:val="132"/>
        <w:rPr>
          <w:color w:val="auto"/>
        </w:rPr>
      </w:pPr>
      <w:r>
        <w:rPr>
          <w:color w:val="auto"/>
        </w:rPr>
        <w:t>排污单位自行运行污染源自动监控设施的，应当保证其正常运行。由取得环境污染治理设施运营资质的单位运行污染源自动监控设施的，排污单位应当配合、监督运营单位正常运行；运营单位应当保证污染源自动监控设施正常运行。污染源自动监控设施的生产者、销售者以及排污单位和运营单位应当接受和配合监督检查机构的现场监督检查，并按照要求提供相关技术资料。</w:t>
      </w:r>
    </w:p>
    <w:p w14:paraId="679AD69A">
      <w:pPr>
        <w:pStyle w:val="132"/>
        <w:rPr>
          <w:color w:val="auto"/>
        </w:rPr>
      </w:pPr>
      <w:r>
        <w:rPr>
          <w:color w:val="auto"/>
        </w:rPr>
        <w:t>污染源自动监控设施发生故障不能正常使用的，排污单位或者运营单位应当在发生故障后12小时内向有管辖权的监督检查机构报告，并及时检修，保证在5个工作日内恢复正常运行。停运期间，排污单位或者运营单位应当按照有关规定和技术规范，采用手工监测等方式，对污染物排放状况进行监测，并报送监测数据。</w:t>
      </w:r>
    </w:p>
    <w:p w14:paraId="3A27BF91">
      <w:pPr>
        <w:pStyle w:val="4"/>
        <w:rPr>
          <w:color w:val="auto"/>
        </w:rPr>
      </w:pPr>
      <w:r>
        <w:rPr>
          <w:rFonts w:hint="eastAsia"/>
          <w:color w:val="auto"/>
        </w:rPr>
        <w:t>排污口规范化</w:t>
      </w:r>
    </w:p>
    <w:p w14:paraId="21ECED8D">
      <w:pPr>
        <w:pStyle w:val="132"/>
        <w:rPr>
          <w:color w:val="auto"/>
        </w:rPr>
      </w:pPr>
      <w:r>
        <w:rPr>
          <w:color w:val="auto"/>
        </w:rPr>
        <w:t>企业废气排放口、废水排污口、噪声排放源和固体废物贮存、处置场所应适于采样、监测计量等工作条件</w:t>
      </w:r>
      <w:r>
        <w:rPr>
          <w:rFonts w:hint="eastAsia"/>
          <w:color w:val="auto"/>
        </w:rPr>
        <w:t>；在线监测仪器的安装位置必须避开振动、强磁场干扰，采样探头应安装在烟气或水流分布均匀、具有代表性的管段，并严格按照技术规范要求的前后直管段长度进行布设；</w:t>
      </w:r>
      <w:r>
        <w:rPr>
          <w:color w:val="auto"/>
        </w:rPr>
        <w:t>排污单位应按所在地环境保护主管部门的要求设立标志。</w:t>
      </w:r>
    </w:p>
    <w:p w14:paraId="196205D4">
      <w:pPr>
        <w:pStyle w:val="132"/>
        <w:rPr>
          <w:color w:val="auto"/>
        </w:rPr>
      </w:pPr>
      <w:r>
        <w:rPr>
          <w:color w:val="auto"/>
        </w:rPr>
        <w:t>本项目应按《环境保护图形标志—排放口（源）》（GB15562.1-1995）规定的图形，在各气、声排污口（源）挂牌标识，做到各排污口（源）的环保标志明显，便于企业管理和公众监督。</w:t>
      </w:r>
    </w:p>
    <w:p w14:paraId="6086540E">
      <w:pPr>
        <w:pStyle w:val="132"/>
        <w:rPr>
          <w:color w:val="auto"/>
        </w:rPr>
      </w:pPr>
      <w:r>
        <w:rPr>
          <w:color w:val="auto"/>
        </w:rPr>
        <w:t>列入总量控制污染物的排污口为管理的重点，排污口应便于采样与计量监测，便于日常现场监督检查。排污口位置必须合理确定，按要求规范化管理。</w:t>
      </w:r>
    </w:p>
    <w:p w14:paraId="1C538636">
      <w:pPr>
        <w:pStyle w:val="132"/>
        <w:rPr>
          <w:color w:val="auto"/>
        </w:rPr>
      </w:pPr>
      <w:r>
        <w:rPr>
          <w:color w:val="auto"/>
        </w:rPr>
        <w:t>污染物排放口的环保图形标志牌应设置在靠近采样点的醒目位置处，标志牌设置高度为其上缘距地面约2m。</w:t>
      </w:r>
    </w:p>
    <w:p w14:paraId="4B509963">
      <w:pPr>
        <w:pStyle w:val="132"/>
        <w:rPr>
          <w:color w:val="auto"/>
        </w:rPr>
      </w:pPr>
      <w:r>
        <w:rPr>
          <w:color w:val="auto"/>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14:paraId="6E1947A6">
      <w:pPr>
        <w:pStyle w:val="132"/>
        <w:rPr>
          <w:color w:val="auto"/>
        </w:rPr>
      </w:pPr>
      <w:r>
        <w:rPr>
          <w:color w:val="auto"/>
        </w:rPr>
        <w:t>环境保护图形标志具体设置图形见</w:t>
      </w:r>
      <w:r>
        <w:rPr>
          <w:rFonts w:hint="eastAsia"/>
          <w:color w:val="auto"/>
        </w:rPr>
        <w:t>表9.3-2，危险废物识别标志见表9.3-3，危险特性警示图形见表9.3-4。</w:t>
      </w:r>
    </w:p>
    <w:p w14:paraId="5ADE9F98">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 xml:space="preserve">  </w:t>
      </w:r>
      <w:r>
        <w:rPr>
          <w:color w:val="auto"/>
        </w:rPr>
        <w:t>环境保护图形标志设置图形表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780"/>
        <w:gridCol w:w="2145"/>
        <w:gridCol w:w="2143"/>
        <w:gridCol w:w="1988"/>
        <w:gridCol w:w="1731"/>
      </w:tblGrid>
      <w:tr w14:paraId="690FC12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43" w:type="dxa"/>
            <w:vAlign w:val="center"/>
          </w:tcPr>
          <w:p w14:paraId="299D6077">
            <w:pPr>
              <w:pStyle w:val="129"/>
              <w:widowControl w:val="0"/>
              <w:rPr>
                <w:color w:val="auto"/>
              </w:rPr>
            </w:pPr>
            <w:r>
              <w:rPr>
                <w:rFonts w:hint="eastAsia" w:ascii="宋体" w:hAnsi="宋体" w:cs="宋体"/>
                <w:color w:val="auto"/>
              </w:rPr>
              <w:t>序号</w:t>
            </w:r>
          </w:p>
        </w:tc>
        <w:tc>
          <w:tcPr>
            <w:tcW w:w="2041" w:type="dxa"/>
            <w:vAlign w:val="center"/>
          </w:tcPr>
          <w:p w14:paraId="158A6B55">
            <w:pPr>
              <w:pStyle w:val="129"/>
              <w:widowControl w:val="0"/>
              <w:rPr>
                <w:color w:val="auto"/>
              </w:rPr>
            </w:pPr>
            <w:r>
              <w:rPr>
                <w:rFonts w:hint="eastAsia" w:ascii="宋体" w:hAnsi="宋体" w:cs="宋体"/>
                <w:color w:val="auto"/>
              </w:rPr>
              <w:t>提示图形符号</w:t>
            </w:r>
          </w:p>
          <w:p w14:paraId="7A4454E5">
            <w:pPr>
              <w:pStyle w:val="129"/>
              <w:widowControl w:val="0"/>
              <w:rPr>
                <w:color w:val="auto"/>
              </w:rPr>
            </w:pPr>
            <w:r>
              <w:rPr>
                <w:rFonts w:hint="eastAsia" w:ascii="宋体" w:hAnsi="宋体" w:cs="宋体"/>
                <w:color w:val="auto"/>
              </w:rPr>
              <w:t>背景颜色：绿色</w:t>
            </w:r>
          </w:p>
          <w:p w14:paraId="2A79DE29">
            <w:pPr>
              <w:pStyle w:val="129"/>
              <w:widowControl w:val="0"/>
              <w:rPr>
                <w:color w:val="auto"/>
              </w:rPr>
            </w:pPr>
            <w:r>
              <w:rPr>
                <w:rFonts w:hint="eastAsia" w:ascii="宋体" w:hAnsi="宋体" w:cs="宋体"/>
                <w:color w:val="auto"/>
              </w:rPr>
              <w:t>图形颜色：白色</w:t>
            </w:r>
          </w:p>
        </w:tc>
        <w:tc>
          <w:tcPr>
            <w:tcW w:w="2039" w:type="dxa"/>
            <w:vAlign w:val="center"/>
          </w:tcPr>
          <w:p w14:paraId="204CA63C">
            <w:pPr>
              <w:pStyle w:val="129"/>
              <w:widowControl w:val="0"/>
              <w:rPr>
                <w:color w:val="auto"/>
              </w:rPr>
            </w:pPr>
            <w:r>
              <w:rPr>
                <w:rFonts w:hint="eastAsia" w:ascii="宋体" w:hAnsi="宋体" w:cs="宋体"/>
                <w:color w:val="auto"/>
              </w:rPr>
              <w:t>警告图像符号</w:t>
            </w:r>
          </w:p>
          <w:p w14:paraId="37920F62">
            <w:pPr>
              <w:pStyle w:val="129"/>
              <w:widowControl w:val="0"/>
              <w:rPr>
                <w:color w:val="auto"/>
              </w:rPr>
            </w:pPr>
            <w:r>
              <w:rPr>
                <w:rFonts w:hint="eastAsia" w:ascii="宋体" w:hAnsi="宋体" w:cs="宋体"/>
                <w:color w:val="auto"/>
              </w:rPr>
              <w:t>背景颜色：黄色</w:t>
            </w:r>
          </w:p>
          <w:p w14:paraId="7964F64B">
            <w:pPr>
              <w:pStyle w:val="129"/>
              <w:widowControl w:val="0"/>
              <w:rPr>
                <w:color w:val="auto"/>
              </w:rPr>
            </w:pPr>
            <w:r>
              <w:rPr>
                <w:rFonts w:hint="eastAsia" w:ascii="宋体" w:hAnsi="宋体" w:cs="宋体"/>
                <w:color w:val="auto"/>
              </w:rPr>
              <w:t>图形颜色：黑色</w:t>
            </w:r>
          </w:p>
        </w:tc>
        <w:tc>
          <w:tcPr>
            <w:tcW w:w="1892" w:type="dxa"/>
            <w:vAlign w:val="center"/>
          </w:tcPr>
          <w:p w14:paraId="31499754">
            <w:pPr>
              <w:pStyle w:val="129"/>
              <w:widowControl w:val="0"/>
              <w:rPr>
                <w:color w:val="auto"/>
              </w:rPr>
            </w:pPr>
            <w:r>
              <w:rPr>
                <w:rFonts w:hint="eastAsia" w:ascii="宋体" w:hAnsi="宋体" w:cs="宋体"/>
                <w:color w:val="auto"/>
              </w:rPr>
              <w:t>名称</w:t>
            </w:r>
          </w:p>
        </w:tc>
        <w:tc>
          <w:tcPr>
            <w:tcW w:w="1648" w:type="dxa"/>
            <w:vAlign w:val="center"/>
          </w:tcPr>
          <w:p w14:paraId="6F3F438F">
            <w:pPr>
              <w:pStyle w:val="129"/>
              <w:widowControl w:val="0"/>
              <w:rPr>
                <w:color w:val="auto"/>
              </w:rPr>
            </w:pPr>
            <w:r>
              <w:rPr>
                <w:rFonts w:hint="eastAsia" w:ascii="宋体" w:hAnsi="宋体" w:cs="宋体"/>
                <w:color w:val="auto"/>
              </w:rPr>
              <w:t>功能</w:t>
            </w:r>
          </w:p>
        </w:tc>
      </w:tr>
      <w:tr w14:paraId="2211D7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633" w:hRule="atLeast"/>
        </w:trPr>
        <w:tc>
          <w:tcPr>
            <w:tcW w:w="743" w:type="dxa"/>
            <w:vAlign w:val="center"/>
          </w:tcPr>
          <w:p w14:paraId="1C72E1D9">
            <w:pPr>
              <w:pStyle w:val="129"/>
              <w:widowControl w:val="0"/>
              <w:rPr>
                <w:color w:val="auto"/>
              </w:rPr>
            </w:pPr>
            <w:r>
              <w:rPr>
                <w:color w:val="auto"/>
              </w:rPr>
              <w:t>1</w:t>
            </w:r>
          </w:p>
        </w:tc>
        <w:tc>
          <w:tcPr>
            <w:tcW w:w="2041" w:type="dxa"/>
            <w:vAlign w:val="center"/>
          </w:tcPr>
          <w:tbl>
            <w:tblPr>
              <w:tblStyle w:val="82"/>
              <w:tblpPr w:leftFromText="180" w:rightFromText="180" w:vertAnchor="text" w:tblpXSpec="center" w:tblpY="1"/>
              <w:tblOverlap w:val="never"/>
              <w:tblW w:w="0" w:type="auto"/>
              <w:tblCellSpacing w:w="0" w:type="dxa"/>
              <w:tblInd w:w="0" w:type="dxa"/>
              <w:tblLayout w:type="fixed"/>
              <w:tblCellMar>
                <w:top w:w="0" w:type="dxa"/>
                <w:left w:w="0" w:type="dxa"/>
                <w:bottom w:w="0" w:type="dxa"/>
                <w:right w:w="0" w:type="dxa"/>
              </w:tblCellMar>
            </w:tblPr>
            <w:tblGrid>
              <w:gridCol w:w="210"/>
              <w:gridCol w:w="480"/>
            </w:tblGrid>
            <w:tr w14:paraId="3667C666">
              <w:tblPrEx>
                <w:tblCellMar>
                  <w:top w:w="0" w:type="dxa"/>
                  <w:left w:w="0" w:type="dxa"/>
                  <w:bottom w:w="0" w:type="dxa"/>
                  <w:right w:w="0" w:type="dxa"/>
                </w:tblCellMar>
              </w:tblPrEx>
              <w:trPr>
                <w:gridAfter w:val="1"/>
                <w:wAfter w:w="480" w:type="dxa"/>
                <w:tblCellSpacing w:w="0" w:type="dxa"/>
              </w:trPr>
              <w:tc>
                <w:tcPr>
                  <w:tcW w:w="210" w:type="dxa"/>
                  <w:vAlign w:val="center"/>
                </w:tcPr>
                <w:p w14:paraId="7E4EF707">
                  <w:pPr>
                    <w:pStyle w:val="129"/>
                    <w:rPr>
                      <w:color w:val="auto"/>
                    </w:rPr>
                  </w:pPr>
                </w:p>
              </w:tc>
            </w:tr>
            <w:tr w14:paraId="43972092">
              <w:tblPrEx>
                <w:tblCellMar>
                  <w:top w:w="0" w:type="dxa"/>
                  <w:left w:w="0" w:type="dxa"/>
                  <w:bottom w:w="0" w:type="dxa"/>
                  <w:right w:w="0" w:type="dxa"/>
                </w:tblCellMar>
              </w:tblPrEx>
              <w:trPr>
                <w:tblCellSpacing w:w="0" w:type="dxa"/>
              </w:trPr>
              <w:tc>
                <w:tcPr>
                  <w:tcW w:w="210" w:type="dxa"/>
                  <w:vAlign w:val="center"/>
                </w:tcPr>
                <w:p w14:paraId="4632FE76">
                  <w:pPr>
                    <w:pStyle w:val="129"/>
                    <w:rPr>
                      <w:color w:val="auto"/>
                    </w:rPr>
                  </w:pPr>
                </w:p>
              </w:tc>
              <w:tc>
                <w:tcPr>
                  <w:tcW w:w="480" w:type="dxa"/>
                  <w:vAlign w:val="center"/>
                </w:tcPr>
                <w:p w14:paraId="2D58D2AE">
                  <w:pPr>
                    <w:pStyle w:val="129"/>
                    <w:rPr>
                      <w:rFonts w:cs="宋体"/>
                      <w:color w:val="auto"/>
                      <w:sz w:val="24"/>
                      <w:szCs w:val="24"/>
                    </w:rPr>
                  </w:pPr>
                </w:p>
              </w:tc>
            </w:tr>
          </w:tbl>
          <w:p w14:paraId="17C96632">
            <w:pPr>
              <w:pStyle w:val="129"/>
              <w:widowControl w:val="0"/>
              <w:rPr>
                <w:color w:val="auto"/>
              </w:rPr>
            </w:pPr>
            <w:r>
              <w:rPr>
                <w:rFonts w:hint="eastAsia" w:cs="宋体"/>
                <w:color w:val="auto"/>
                <w:sz w:val="24"/>
                <w:szCs w:val="24"/>
              </w:rPr>
              <w:drawing>
                <wp:anchor distT="0" distB="0" distL="114300" distR="114300" simplePos="0" relativeHeight="251671552" behindDoc="0" locked="0" layoutInCell="1" allowOverlap="1">
                  <wp:simplePos x="0" y="0"/>
                  <wp:positionH relativeFrom="column">
                    <wp:posOffset>145415</wp:posOffset>
                  </wp:positionH>
                  <wp:positionV relativeFrom="paragraph">
                    <wp:posOffset>40640</wp:posOffset>
                  </wp:positionV>
                  <wp:extent cx="1017905" cy="948690"/>
                  <wp:effectExtent l="0" t="0" r="0" b="381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17905" cy="948690"/>
                          </a:xfrm>
                          <a:prstGeom prst="rect">
                            <a:avLst/>
                          </a:prstGeom>
                          <a:noFill/>
                          <a:ln>
                            <a:noFill/>
                          </a:ln>
                        </pic:spPr>
                      </pic:pic>
                    </a:graphicData>
                  </a:graphic>
                </wp:anchor>
              </w:drawing>
            </w:r>
          </w:p>
        </w:tc>
        <w:tc>
          <w:tcPr>
            <w:tcW w:w="2039" w:type="dxa"/>
            <w:vAlign w:val="center"/>
          </w:tcPr>
          <w:tbl>
            <w:tblPr>
              <w:tblStyle w:val="82"/>
              <w:tblW w:w="0" w:type="auto"/>
              <w:jc w:val="center"/>
              <w:tblCellSpacing w:w="0" w:type="dxa"/>
              <w:tblLayout w:type="fixed"/>
              <w:tblCellMar>
                <w:top w:w="0" w:type="dxa"/>
                <w:left w:w="0" w:type="dxa"/>
                <w:bottom w:w="0" w:type="dxa"/>
                <w:right w:w="0" w:type="dxa"/>
              </w:tblCellMar>
            </w:tblPr>
            <w:tblGrid>
              <w:gridCol w:w="285"/>
              <w:gridCol w:w="480"/>
            </w:tblGrid>
            <w:tr w14:paraId="696C7A06">
              <w:tblPrEx>
                <w:tblCellMar>
                  <w:top w:w="0" w:type="dxa"/>
                  <w:left w:w="0" w:type="dxa"/>
                  <w:bottom w:w="0" w:type="dxa"/>
                  <w:right w:w="0" w:type="dxa"/>
                </w:tblCellMar>
              </w:tblPrEx>
              <w:trPr>
                <w:gridAfter w:val="1"/>
                <w:wAfter w:w="480" w:type="dxa"/>
                <w:tblCellSpacing w:w="0" w:type="dxa"/>
                <w:jc w:val="center"/>
              </w:trPr>
              <w:tc>
                <w:tcPr>
                  <w:tcW w:w="285" w:type="dxa"/>
                  <w:vAlign w:val="center"/>
                </w:tcPr>
                <w:p w14:paraId="246247E2">
                  <w:pPr>
                    <w:pStyle w:val="129"/>
                    <w:rPr>
                      <w:color w:val="auto"/>
                    </w:rPr>
                  </w:pPr>
                </w:p>
              </w:tc>
            </w:tr>
            <w:tr w14:paraId="5BC1CA2E">
              <w:tblPrEx>
                <w:tblCellMar>
                  <w:top w:w="0" w:type="dxa"/>
                  <w:left w:w="0" w:type="dxa"/>
                  <w:bottom w:w="0" w:type="dxa"/>
                  <w:right w:w="0" w:type="dxa"/>
                </w:tblCellMar>
              </w:tblPrEx>
              <w:trPr>
                <w:tblCellSpacing w:w="0" w:type="dxa"/>
                <w:jc w:val="center"/>
              </w:trPr>
              <w:tc>
                <w:tcPr>
                  <w:tcW w:w="285" w:type="dxa"/>
                  <w:vAlign w:val="center"/>
                </w:tcPr>
                <w:p w14:paraId="0192189E">
                  <w:pPr>
                    <w:pStyle w:val="129"/>
                    <w:rPr>
                      <w:color w:val="auto"/>
                    </w:rPr>
                  </w:pPr>
                  <w:r>
                    <w:rPr>
                      <w:rFonts w:hint="eastAsia" w:cs="宋体"/>
                      <w:color w:val="auto"/>
                      <w:sz w:val="24"/>
                      <w:szCs w:val="24"/>
                    </w:rPr>
                    <w:drawing>
                      <wp:anchor distT="0" distB="0" distL="114300" distR="114300" simplePos="0" relativeHeight="251672576" behindDoc="0" locked="0" layoutInCell="1" allowOverlap="1">
                        <wp:simplePos x="0" y="0"/>
                        <wp:positionH relativeFrom="column">
                          <wp:posOffset>-196215</wp:posOffset>
                        </wp:positionH>
                        <wp:positionV relativeFrom="paragraph">
                          <wp:posOffset>-411480</wp:posOffset>
                        </wp:positionV>
                        <wp:extent cx="931545" cy="862330"/>
                        <wp:effectExtent l="0" t="0" r="1905"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931545" cy="862330"/>
                                </a:xfrm>
                                <a:prstGeom prst="rect">
                                  <a:avLst/>
                                </a:prstGeom>
                                <a:noFill/>
                                <a:ln>
                                  <a:noFill/>
                                </a:ln>
                              </pic:spPr>
                            </pic:pic>
                          </a:graphicData>
                        </a:graphic>
                      </wp:anchor>
                    </w:drawing>
                  </w:r>
                </w:p>
              </w:tc>
              <w:tc>
                <w:tcPr>
                  <w:tcW w:w="480" w:type="dxa"/>
                  <w:vAlign w:val="center"/>
                </w:tcPr>
                <w:p w14:paraId="5CC7101B">
                  <w:pPr>
                    <w:pStyle w:val="129"/>
                    <w:rPr>
                      <w:rFonts w:cs="宋体"/>
                      <w:color w:val="auto"/>
                      <w:sz w:val="24"/>
                      <w:szCs w:val="24"/>
                    </w:rPr>
                  </w:pPr>
                </w:p>
              </w:tc>
            </w:tr>
          </w:tbl>
          <w:p w14:paraId="34761B02">
            <w:pPr>
              <w:pStyle w:val="129"/>
              <w:widowControl w:val="0"/>
              <w:rPr>
                <w:color w:val="auto"/>
              </w:rPr>
            </w:pPr>
          </w:p>
        </w:tc>
        <w:tc>
          <w:tcPr>
            <w:tcW w:w="1892" w:type="dxa"/>
            <w:vAlign w:val="center"/>
          </w:tcPr>
          <w:p w14:paraId="31F6DC77">
            <w:pPr>
              <w:pStyle w:val="129"/>
              <w:widowControl w:val="0"/>
              <w:rPr>
                <w:color w:val="auto"/>
              </w:rPr>
            </w:pPr>
            <w:r>
              <w:rPr>
                <w:rFonts w:hint="eastAsia" w:ascii="宋体" w:hAnsi="宋体" w:cs="宋体"/>
                <w:color w:val="auto"/>
              </w:rPr>
              <w:t>废气排放口</w:t>
            </w:r>
          </w:p>
        </w:tc>
        <w:tc>
          <w:tcPr>
            <w:tcW w:w="1648" w:type="dxa"/>
            <w:vAlign w:val="center"/>
          </w:tcPr>
          <w:p w14:paraId="667498AB">
            <w:pPr>
              <w:pStyle w:val="129"/>
              <w:widowControl w:val="0"/>
              <w:rPr>
                <w:color w:val="auto"/>
              </w:rPr>
            </w:pPr>
            <w:r>
              <w:rPr>
                <w:rFonts w:hint="eastAsia" w:ascii="宋体" w:hAnsi="宋体" w:cs="宋体"/>
                <w:color w:val="auto"/>
              </w:rPr>
              <w:t>表示废气向大气排放</w:t>
            </w:r>
          </w:p>
        </w:tc>
      </w:tr>
      <w:tr w14:paraId="00ACFE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633" w:hRule="atLeast"/>
        </w:trPr>
        <w:tc>
          <w:tcPr>
            <w:tcW w:w="743" w:type="dxa"/>
            <w:vAlign w:val="center"/>
          </w:tcPr>
          <w:p w14:paraId="217F5B82">
            <w:pPr>
              <w:pStyle w:val="129"/>
              <w:widowControl w:val="0"/>
              <w:rPr>
                <w:color w:val="auto"/>
              </w:rPr>
            </w:pPr>
            <w:r>
              <w:rPr>
                <w:rFonts w:hint="eastAsia"/>
                <w:color w:val="auto"/>
              </w:rPr>
              <w:t>2</w:t>
            </w:r>
          </w:p>
        </w:tc>
        <w:tc>
          <w:tcPr>
            <w:tcW w:w="2041" w:type="dxa"/>
            <w:vAlign w:val="center"/>
          </w:tcPr>
          <w:tbl>
            <w:tblPr>
              <w:tblStyle w:val="82"/>
              <w:tblW w:w="0" w:type="auto"/>
              <w:jc w:val="center"/>
              <w:tblCellSpacing w:w="0" w:type="dxa"/>
              <w:tblLayout w:type="fixed"/>
              <w:tblCellMar>
                <w:top w:w="0" w:type="dxa"/>
                <w:left w:w="0" w:type="dxa"/>
                <w:bottom w:w="0" w:type="dxa"/>
                <w:right w:w="0" w:type="dxa"/>
              </w:tblCellMar>
            </w:tblPr>
            <w:tblGrid>
              <w:gridCol w:w="210"/>
              <w:gridCol w:w="480"/>
            </w:tblGrid>
            <w:tr w14:paraId="77103A95">
              <w:tblPrEx>
                <w:tblCellMar>
                  <w:top w:w="0" w:type="dxa"/>
                  <w:left w:w="0" w:type="dxa"/>
                  <w:bottom w:w="0" w:type="dxa"/>
                  <w:right w:w="0" w:type="dxa"/>
                </w:tblCellMar>
              </w:tblPrEx>
              <w:trPr>
                <w:gridAfter w:val="1"/>
                <w:wAfter w:w="480" w:type="dxa"/>
                <w:tblCellSpacing w:w="0" w:type="dxa"/>
                <w:jc w:val="center"/>
              </w:trPr>
              <w:tc>
                <w:tcPr>
                  <w:tcW w:w="210" w:type="dxa"/>
                  <w:vAlign w:val="center"/>
                </w:tcPr>
                <w:p w14:paraId="2DE64C77">
                  <w:pPr>
                    <w:pStyle w:val="129"/>
                    <w:rPr>
                      <w:color w:val="auto"/>
                    </w:rPr>
                  </w:pPr>
                </w:p>
              </w:tc>
            </w:tr>
            <w:tr w14:paraId="466B9616">
              <w:tblPrEx>
                <w:tblCellMar>
                  <w:top w:w="0" w:type="dxa"/>
                  <w:left w:w="0" w:type="dxa"/>
                  <w:bottom w:w="0" w:type="dxa"/>
                  <w:right w:w="0" w:type="dxa"/>
                </w:tblCellMar>
              </w:tblPrEx>
              <w:trPr>
                <w:tblCellSpacing w:w="0" w:type="dxa"/>
                <w:jc w:val="center"/>
              </w:trPr>
              <w:tc>
                <w:tcPr>
                  <w:tcW w:w="210" w:type="dxa"/>
                  <w:vAlign w:val="center"/>
                </w:tcPr>
                <w:p w14:paraId="44A45FAA">
                  <w:pPr>
                    <w:pStyle w:val="129"/>
                    <w:rPr>
                      <w:color w:val="auto"/>
                    </w:rPr>
                  </w:pPr>
                </w:p>
              </w:tc>
              <w:tc>
                <w:tcPr>
                  <w:tcW w:w="480" w:type="dxa"/>
                  <w:vAlign w:val="center"/>
                </w:tcPr>
                <w:p w14:paraId="70F6C835">
                  <w:pPr>
                    <w:pStyle w:val="129"/>
                    <w:rPr>
                      <w:rFonts w:cs="宋体"/>
                      <w:color w:val="auto"/>
                      <w:sz w:val="24"/>
                      <w:szCs w:val="24"/>
                    </w:rPr>
                  </w:pPr>
                  <w:r>
                    <w:rPr>
                      <w:rFonts w:hint="eastAsia" w:cs="宋体"/>
                      <w:color w:val="auto"/>
                      <w:sz w:val="24"/>
                      <w:szCs w:val="24"/>
                    </w:rPr>
                    <w:drawing>
                      <wp:anchor distT="0" distB="0" distL="114300" distR="114300" simplePos="0" relativeHeight="251669504" behindDoc="0" locked="0" layoutInCell="1" allowOverlap="1">
                        <wp:simplePos x="0" y="0"/>
                        <wp:positionH relativeFrom="column">
                          <wp:posOffset>-428625</wp:posOffset>
                        </wp:positionH>
                        <wp:positionV relativeFrom="paragraph">
                          <wp:posOffset>-452755</wp:posOffset>
                        </wp:positionV>
                        <wp:extent cx="974725" cy="902335"/>
                        <wp:effectExtent l="0" t="0" r="0"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74725" cy="902335"/>
                                </a:xfrm>
                                <a:prstGeom prst="rect">
                                  <a:avLst/>
                                </a:prstGeom>
                                <a:noFill/>
                                <a:ln>
                                  <a:noFill/>
                                </a:ln>
                              </pic:spPr>
                            </pic:pic>
                          </a:graphicData>
                        </a:graphic>
                      </wp:anchor>
                    </w:drawing>
                  </w:r>
                </w:p>
              </w:tc>
            </w:tr>
          </w:tbl>
          <w:p w14:paraId="28699526">
            <w:pPr>
              <w:pStyle w:val="129"/>
              <w:widowControl w:val="0"/>
              <w:rPr>
                <w:color w:val="auto"/>
              </w:rPr>
            </w:pPr>
          </w:p>
        </w:tc>
        <w:tc>
          <w:tcPr>
            <w:tcW w:w="2039" w:type="dxa"/>
            <w:vAlign w:val="center"/>
          </w:tcPr>
          <w:tbl>
            <w:tblPr>
              <w:tblStyle w:val="82"/>
              <w:tblW w:w="0" w:type="auto"/>
              <w:jc w:val="center"/>
              <w:tblCellSpacing w:w="0" w:type="dxa"/>
              <w:tblLayout w:type="fixed"/>
              <w:tblCellMar>
                <w:top w:w="0" w:type="dxa"/>
                <w:left w:w="0" w:type="dxa"/>
                <w:bottom w:w="0" w:type="dxa"/>
                <w:right w:w="0" w:type="dxa"/>
              </w:tblCellMar>
            </w:tblPr>
            <w:tblGrid>
              <w:gridCol w:w="255"/>
              <w:gridCol w:w="480"/>
            </w:tblGrid>
            <w:tr w14:paraId="05BC5D8C">
              <w:tblPrEx>
                <w:tblCellMar>
                  <w:top w:w="0" w:type="dxa"/>
                  <w:left w:w="0" w:type="dxa"/>
                  <w:bottom w:w="0" w:type="dxa"/>
                  <w:right w:w="0" w:type="dxa"/>
                </w:tblCellMar>
              </w:tblPrEx>
              <w:trPr>
                <w:gridAfter w:val="1"/>
                <w:wAfter w:w="480" w:type="dxa"/>
                <w:tblCellSpacing w:w="0" w:type="dxa"/>
                <w:jc w:val="center"/>
              </w:trPr>
              <w:tc>
                <w:tcPr>
                  <w:tcW w:w="255" w:type="dxa"/>
                  <w:vAlign w:val="center"/>
                </w:tcPr>
                <w:p w14:paraId="758B8D65">
                  <w:pPr>
                    <w:pStyle w:val="129"/>
                    <w:rPr>
                      <w:color w:val="auto"/>
                    </w:rPr>
                  </w:pPr>
                </w:p>
              </w:tc>
            </w:tr>
            <w:tr w14:paraId="4B3A3D6D">
              <w:tblPrEx>
                <w:tblCellMar>
                  <w:top w:w="0" w:type="dxa"/>
                  <w:left w:w="0" w:type="dxa"/>
                  <w:bottom w:w="0" w:type="dxa"/>
                  <w:right w:w="0" w:type="dxa"/>
                </w:tblCellMar>
              </w:tblPrEx>
              <w:trPr>
                <w:tblCellSpacing w:w="0" w:type="dxa"/>
                <w:jc w:val="center"/>
              </w:trPr>
              <w:tc>
                <w:tcPr>
                  <w:tcW w:w="255" w:type="dxa"/>
                  <w:vAlign w:val="center"/>
                </w:tcPr>
                <w:p w14:paraId="265D6F18">
                  <w:pPr>
                    <w:pStyle w:val="129"/>
                    <w:rPr>
                      <w:color w:val="auto"/>
                    </w:rPr>
                  </w:pPr>
                </w:p>
              </w:tc>
              <w:tc>
                <w:tcPr>
                  <w:tcW w:w="480" w:type="dxa"/>
                  <w:vAlign w:val="center"/>
                </w:tcPr>
                <w:p w14:paraId="697BBE23">
                  <w:pPr>
                    <w:pStyle w:val="129"/>
                    <w:rPr>
                      <w:rFonts w:cs="宋体"/>
                      <w:color w:val="auto"/>
                      <w:sz w:val="24"/>
                      <w:szCs w:val="24"/>
                    </w:rPr>
                  </w:pPr>
                </w:p>
              </w:tc>
            </w:tr>
          </w:tbl>
          <w:p w14:paraId="145349FA">
            <w:pPr>
              <w:pStyle w:val="129"/>
              <w:widowControl w:val="0"/>
              <w:rPr>
                <w:color w:val="auto"/>
              </w:rPr>
            </w:pPr>
            <w:r>
              <w:rPr>
                <w:rFonts w:hint="eastAsia" w:cs="宋体"/>
                <w:color w:val="auto"/>
                <w:sz w:val="24"/>
                <w:szCs w:val="24"/>
              </w:rPr>
              <w:drawing>
                <wp:anchor distT="0" distB="0" distL="114300" distR="114300" simplePos="0" relativeHeight="251668480" behindDoc="0" locked="0" layoutInCell="1" allowOverlap="1">
                  <wp:simplePos x="0" y="0"/>
                  <wp:positionH relativeFrom="column">
                    <wp:posOffset>178435</wp:posOffset>
                  </wp:positionH>
                  <wp:positionV relativeFrom="paragraph">
                    <wp:posOffset>-358775</wp:posOffset>
                  </wp:positionV>
                  <wp:extent cx="972820" cy="900430"/>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972820" cy="900430"/>
                          </a:xfrm>
                          <a:prstGeom prst="rect">
                            <a:avLst/>
                          </a:prstGeom>
                          <a:noFill/>
                          <a:ln>
                            <a:noFill/>
                          </a:ln>
                        </pic:spPr>
                      </pic:pic>
                    </a:graphicData>
                  </a:graphic>
                </wp:anchor>
              </w:drawing>
            </w:r>
          </w:p>
        </w:tc>
        <w:tc>
          <w:tcPr>
            <w:tcW w:w="1892" w:type="dxa"/>
            <w:vAlign w:val="center"/>
          </w:tcPr>
          <w:p w14:paraId="5A49CB51">
            <w:pPr>
              <w:pStyle w:val="129"/>
              <w:widowControl w:val="0"/>
              <w:rPr>
                <w:color w:val="auto"/>
              </w:rPr>
            </w:pPr>
            <w:r>
              <w:rPr>
                <w:rFonts w:hint="eastAsia" w:ascii="宋体" w:hAnsi="宋体" w:cs="宋体"/>
                <w:color w:val="auto"/>
              </w:rPr>
              <w:t>废水排放口</w:t>
            </w:r>
          </w:p>
        </w:tc>
        <w:tc>
          <w:tcPr>
            <w:tcW w:w="1648" w:type="dxa"/>
            <w:vAlign w:val="center"/>
          </w:tcPr>
          <w:p w14:paraId="5C09D7E9">
            <w:pPr>
              <w:pStyle w:val="129"/>
              <w:widowControl w:val="0"/>
              <w:rPr>
                <w:color w:val="auto"/>
              </w:rPr>
            </w:pPr>
            <w:r>
              <w:rPr>
                <w:rFonts w:hint="eastAsia" w:ascii="宋体" w:hAnsi="宋体" w:cs="宋体"/>
                <w:color w:val="auto"/>
              </w:rPr>
              <w:t>表示废水向水体排放</w:t>
            </w:r>
          </w:p>
        </w:tc>
      </w:tr>
      <w:tr w14:paraId="277BA6A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633" w:hRule="atLeast"/>
        </w:trPr>
        <w:tc>
          <w:tcPr>
            <w:tcW w:w="743" w:type="dxa"/>
            <w:vMerge w:val="restart"/>
            <w:vAlign w:val="center"/>
          </w:tcPr>
          <w:p w14:paraId="07B233EC">
            <w:pPr>
              <w:pStyle w:val="129"/>
              <w:widowControl w:val="0"/>
              <w:rPr>
                <w:color w:val="auto"/>
              </w:rPr>
            </w:pPr>
            <w:r>
              <w:rPr>
                <w:color w:val="auto"/>
              </w:rPr>
              <w:t>3</w:t>
            </w:r>
          </w:p>
        </w:tc>
        <w:tc>
          <w:tcPr>
            <w:tcW w:w="2041" w:type="dxa"/>
            <w:vAlign w:val="center"/>
          </w:tcPr>
          <w:tbl>
            <w:tblPr>
              <w:tblStyle w:val="82"/>
              <w:tblW w:w="0" w:type="auto"/>
              <w:jc w:val="center"/>
              <w:tblCellSpacing w:w="0" w:type="dxa"/>
              <w:tblLayout w:type="fixed"/>
              <w:tblCellMar>
                <w:top w:w="0" w:type="dxa"/>
                <w:left w:w="0" w:type="dxa"/>
                <w:bottom w:w="0" w:type="dxa"/>
                <w:right w:w="0" w:type="dxa"/>
              </w:tblCellMar>
            </w:tblPr>
            <w:tblGrid>
              <w:gridCol w:w="255"/>
              <w:gridCol w:w="480"/>
            </w:tblGrid>
            <w:tr w14:paraId="475CD8E0">
              <w:tblPrEx>
                <w:tblCellMar>
                  <w:top w:w="0" w:type="dxa"/>
                  <w:left w:w="0" w:type="dxa"/>
                  <w:bottom w:w="0" w:type="dxa"/>
                  <w:right w:w="0" w:type="dxa"/>
                </w:tblCellMar>
              </w:tblPrEx>
              <w:trPr>
                <w:gridAfter w:val="1"/>
                <w:wAfter w:w="480" w:type="dxa"/>
                <w:tblCellSpacing w:w="0" w:type="dxa"/>
                <w:jc w:val="center"/>
              </w:trPr>
              <w:tc>
                <w:tcPr>
                  <w:tcW w:w="255" w:type="dxa"/>
                  <w:vAlign w:val="center"/>
                </w:tcPr>
                <w:p w14:paraId="5A7EA3C0">
                  <w:pPr>
                    <w:pStyle w:val="129"/>
                    <w:rPr>
                      <w:color w:val="auto"/>
                    </w:rPr>
                  </w:pPr>
                  <w:r>
                    <w:rPr>
                      <w:rFonts w:hint="eastAsia" w:cs="宋体"/>
                      <w:color w:val="auto"/>
                      <w:sz w:val="24"/>
                      <w:szCs w:val="24"/>
                    </w:rPr>
                    <w:drawing>
                      <wp:anchor distT="0" distB="0" distL="114300" distR="114300" simplePos="0" relativeHeight="251666432" behindDoc="0" locked="0" layoutInCell="1" allowOverlap="1">
                        <wp:simplePos x="0" y="0"/>
                        <wp:positionH relativeFrom="column">
                          <wp:posOffset>-280035</wp:posOffset>
                        </wp:positionH>
                        <wp:positionV relativeFrom="paragraph">
                          <wp:posOffset>-236855</wp:posOffset>
                        </wp:positionV>
                        <wp:extent cx="1005205" cy="930910"/>
                        <wp:effectExtent l="0" t="0" r="4445" b="254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005205" cy="930910"/>
                                </a:xfrm>
                                <a:prstGeom prst="rect">
                                  <a:avLst/>
                                </a:prstGeom>
                                <a:noFill/>
                                <a:ln>
                                  <a:noFill/>
                                </a:ln>
                              </pic:spPr>
                            </pic:pic>
                          </a:graphicData>
                        </a:graphic>
                      </wp:anchor>
                    </w:drawing>
                  </w:r>
                </w:p>
              </w:tc>
            </w:tr>
            <w:tr w14:paraId="228CBDCA">
              <w:tblPrEx>
                <w:tblCellMar>
                  <w:top w:w="0" w:type="dxa"/>
                  <w:left w:w="0" w:type="dxa"/>
                  <w:bottom w:w="0" w:type="dxa"/>
                  <w:right w:w="0" w:type="dxa"/>
                </w:tblCellMar>
              </w:tblPrEx>
              <w:trPr>
                <w:tblCellSpacing w:w="0" w:type="dxa"/>
                <w:jc w:val="center"/>
              </w:trPr>
              <w:tc>
                <w:tcPr>
                  <w:tcW w:w="255" w:type="dxa"/>
                  <w:vAlign w:val="center"/>
                </w:tcPr>
                <w:p w14:paraId="4FF8DC8B">
                  <w:pPr>
                    <w:pStyle w:val="129"/>
                    <w:rPr>
                      <w:color w:val="auto"/>
                    </w:rPr>
                  </w:pPr>
                </w:p>
              </w:tc>
              <w:tc>
                <w:tcPr>
                  <w:tcW w:w="480" w:type="dxa"/>
                  <w:vAlign w:val="center"/>
                </w:tcPr>
                <w:p w14:paraId="1931B22A">
                  <w:pPr>
                    <w:pStyle w:val="129"/>
                    <w:rPr>
                      <w:rFonts w:cs="宋体"/>
                      <w:color w:val="auto"/>
                      <w:sz w:val="24"/>
                      <w:szCs w:val="24"/>
                    </w:rPr>
                  </w:pPr>
                </w:p>
              </w:tc>
            </w:tr>
          </w:tbl>
          <w:p w14:paraId="0C59C1A2">
            <w:pPr>
              <w:pStyle w:val="129"/>
              <w:widowControl w:val="0"/>
              <w:rPr>
                <w:color w:val="auto"/>
              </w:rPr>
            </w:pPr>
          </w:p>
        </w:tc>
        <w:tc>
          <w:tcPr>
            <w:tcW w:w="2039" w:type="dxa"/>
            <w:vAlign w:val="center"/>
          </w:tcPr>
          <w:tbl>
            <w:tblPr>
              <w:tblStyle w:val="82"/>
              <w:tblW w:w="0" w:type="auto"/>
              <w:jc w:val="center"/>
              <w:tblCellSpacing w:w="0" w:type="dxa"/>
              <w:tblLayout w:type="fixed"/>
              <w:tblCellMar>
                <w:top w:w="0" w:type="dxa"/>
                <w:left w:w="0" w:type="dxa"/>
                <w:bottom w:w="0" w:type="dxa"/>
                <w:right w:w="0" w:type="dxa"/>
              </w:tblCellMar>
            </w:tblPr>
            <w:tblGrid>
              <w:gridCol w:w="255"/>
              <w:gridCol w:w="480"/>
            </w:tblGrid>
            <w:tr w14:paraId="6877703F">
              <w:tblPrEx>
                <w:tblCellMar>
                  <w:top w:w="0" w:type="dxa"/>
                  <w:left w:w="0" w:type="dxa"/>
                  <w:bottom w:w="0" w:type="dxa"/>
                  <w:right w:w="0" w:type="dxa"/>
                </w:tblCellMar>
              </w:tblPrEx>
              <w:trPr>
                <w:gridAfter w:val="1"/>
                <w:wAfter w:w="480" w:type="dxa"/>
                <w:tblCellSpacing w:w="0" w:type="dxa"/>
                <w:jc w:val="center"/>
              </w:trPr>
              <w:tc>
                <w:tcPr>
                  <w:tcW w:w="255" w:type="dxa"/>
                  <w:vAlign w:val="center"/>
                </w:tcPr>
                <w:p w14:paraId="6A660FC2">
                  <w:pPr>
                    <w:pStyle w:val="129"/>
                    <w:rPr>
                      <w:color w:val="auto"/>
                    </w:rPr>
                  </w:pPr>
                </w:p>
              </w:tc>
            </w:tr>
            <w:tr w14:paraId="681B2E01">
              <w:tblPrEx>
                <w:tblCellMar>
                  <w:top w:w="0" w:type="dxa"/>
                  <w:left w:w="0" w:type="dxa"/>
                  <w:bottom w:w="0" w:type="dxa"/>
                  <w:right w:w="0" w:type="dxa"/>
                </w:tblCellMar>
              </w:tblPrEx>
              <w:trPr>
                <w:tblCellSpacing w:w="0" w:type="dxa"/>
                <w:jc w:val="center"/>
              </w:trPr>
              <w:tc>
                <w:tcPr>
                  <w:tcW w:w="255" w:type="dxa"/>
                  <w:vAlign w:val="center"/>
                </w:tcPr>
                <w:p w14:paraId="491A1ADF">
                  <w:pPr>
                    <w:pStyle w:val="129"/>
                    <w:rPr>
                      <w:color w:val="auto"/>
                    </w:rPr>
                  </w:pPr>
                  <w:r>
                    <w:rPr>
                      <w:rFonts w:hint="eastAsia" w:cs="宋体"/>
                      <w:color w:val="auto"/>
                      <w:sz w:val="24"/>
                      <w:szCs w:val="24"/>
                    </w:rPr>
                    <w:drawing>
                      <wp:anchor distT="0" distB="0" distL="114300" distR="114300" simplePos="0" relativeHeight="251667456" behindDoc="0" locked="0" layoutInCell="1" allowOverlap="1">
                        <wp:simplePos x="0" y="0"/>
                        <wp:positionH relativeFrom="column">
                          <wp:posOffset>-255270</wp:posOffset>
                        </wp:positionH>
                        <wp:positionV relativeFrom="paragraph">
                          <wp:posOffset>-372745</wp:posOffset>
                        </wp:positionV>
                        <wp:extent cx="948690" cy="836930"/>
                        <wp:effectExtent l="0" t="0" r="3810" b="127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948690" cy="836930"/>
                                </a:xfrm>
                                <a:prstGeom prst="rect">
                                  <a:avLst/>
                                </a:prstGeom>
                                <a:noFill/>
                                <a:ln>
                                  <a:noFill/>
                                </a:ln>
                              </pic:spPr>
                            </pic:pic>
                          </a:graphicData>
                        </a:graphic>
                      </wp:anchor>
                    </w:drawing>
                  </w:r>
                </w:p>
              </w:tc>
              <w:tc>
                <w:tcPr>
                  <w:tcW w:w="480" w:type="dxa"/>
                  <w:vAlign w:val="center"/>
                </w:tcPr>
                <w:p w14:paraId="0985ABC4">
                  <w:pPr>
                    <w:pStyle w:val="129"/>
                    <w:rPr>
                      <w:rFonts w:cs="宋体"/>
                      <w:color w:val="auto"/>
                      <w:sz w:val="24"/>
                      <w:szCs w:val="24"/>
                    </w:rPr>
                  </w:pPr>
                </w:p>
              </w:tc>
            </w:tr>
          </w:tbl>
          <w:p w14:paraId="75C0D837">
            <w:pPr>
              <w:pStyle w:val="129"/>
              <w:widowControl w:val="0"/>
              <w:rPr>
                <w:color w:val="auto"/>
              </w:rPr>
            </w:pPr>
          </w:p>
        </w:tc>
        <w:tc>
          <w:tcPr>
            <w:tcW w:w="1892" w:type="dxa"/>
            <w:vAlign w:val="center"/>
          </w:tcPr>
          <w:p w14:paraId="0233BFDA">
            <w:pPr>
              <w:pStyle w:val="129"/>
              <w:widowControl w:val="0"/>
              <w:rPr>
                <w:color w:val="auto"/>
              </w:rPr>
            </w:pPr>
            <w:r>
              <w:rPr>
                <w:rFonts w:hint="eastAsia" w:ascii="宋体" w:hAnsi="宋体" w:cs="宋体"/>
                <w:color w:val="auto"/>
              </w:rPr>
              <w:t>一般固体废物储存</w:t>
            </w:r>
          </w:p>
        </w:tc>
        <w:tc>
          <w:tcPr>
            <w:tcW w:w="1648" w:type="dxa"/>
            <w:vAlign w:val="center"/>
          </w:tcPr>
          <w:p w14:paraId="1653CA11">
            <w:pPr>
              <w:pStyle w:val="129"/>
              <w:widowControl w:val="0"/>
              <w:rPr>
                <w:color w:val="auto"/>
              </w:rPr>
            </w:pPr>
            <w:r>
              <w:rPr>
                <w:rFonts w:hint="eastAsia" w:ascii="宋体" w:hAnsi="宋体" w:cs="宋体"/>
                <w:color w:val="auto"/>
              </w:rPr>
              <w:t>表示固废储存处置场所</w:t>
            </w:r>
          </w:p>
        </w:tc>
      </w:tr>
      <w:tr w14:paraId="67ECEAA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577" w:hRule="atLeast"/>
        </w:trPr>
        <w:tc>
          <w:tcPr>
            <w:tcW w:w="743" w:type="dxa"/>
            <w:vMerge w:val="continue"/>
            <w:vAlign w:val="center"/>
          </w:tcPr>
          <w:p w14:paraId="4DB603AD">
            <w:pPr>
              <w:pStyle w:val="129"/>
              <w:widowControl w:val="0"/>
              <w:rPr>
                <w:color w:val="auto"/>
              </w:rPr>
            </w:pPr>
          </w:p>
        </w:tc>
        <w:tc>
          <w:tcPr>
            <w:tcW w:w="2041" w:type="dxa"/>
            <w:vAlign w:val="center"/>
          </w:tcPr>
          <w:p w14:paraId="5AB7F2F7">
            <w:pPr>
              <w:pStyle w:val="129"/>
              <w:widowControl w:val="0"/>
              <w:rPr>
                <w:color w:val="auto"/>
              </w:rPr>
            </w:pPr>
            <w:r>
              <w:rPr>
                <w:color w:val="auto"/>
              </w:rPr>
              <w:t>-</w:t>
            </w:r>
          </w:p>
        </w:tc>
        <w:tc>
          <w:tcPr>
            <w:tcW w:w="2039" w:type="dxa"/>
            <w:vAlign w:val="center"/>
          </w:tcPr>
          <w:tbl>
            <w:tblPr>
              <w:tblStyle w:val="82"/>
              <w:tblW w:w="0" w:type="auto"/>
              <w:jc w:val="center"/>
              <w:tblCellSpacing w:w="0" w:type="dxa"/>
              <w:tblLayout w:type="fixed"/>
              <w:tblCellMar>
                <w:top w:w="0" w:type="dxa"/>
                <w:left w:w="0" w:type="dxa"/>
                <w:bottom w:w="0" w:type="dxa"/>
                <w:right w:w="0" w:type="dxa"/>
              </w:tblCellMar>
            </w:tblPr>
            <w:tblGrid>
              <w:gridCol w:w="240"/>
              <w:gridCol w:w="480"/>
            </w:tblGrid>
            <w:tr w14:paraId="7B4A0502">
              <w:tblPrEx>
                <w:tblCellMar>
                  <w:top w:w="0" w:type="dxa"/>
                  <w:left w:w="0" w:type="dxa"/>
                  <w:bottom w:w="0" w:type="dxa"/>
                  <w:right w:w="0" w:type="dxa"/>
                </w:tblCellMar>
              </w:tblPrEx>
              <w:trPr>
                <w:gridAfter w:val="1"/>
                <w:wAfter w:w="480" w:type="dxa"/>
                <w:tblCellSpacing w:w="0" w:type="dxa"/>
                <w:jc w:val="center"/>
              </w:trPr>
              <w:tc>
                <w:tcPr>
                  <w:tcW w:w="240" w:type="dxa"/>
                  <w:vAlign w:val="center"/>
                </w:tcPr>
                <w:p w14:paraId="5DF0D5E1">
                  <w:pPr>
                    <w:pStyle w:val="129"/>
                    <w:rPr>
                      <w:color w:val="auto"/>
                    </w:rPr>
                  </w:pPr>
                </w:p>
              </w:tc>
            </w:tr>
            <w:tr w14:paraId="0F73AA60">
              <w:tblPrEx>
                <w:tblCellMar>
                  <w:top w:w="0" w:type="dxa"/>
                  <w:left w:w="0" w:type="dxa"/>
                  <w:bottom w:w="0" w:type="dxa"/>
                  <w:right w:w="0" w:type="dxa"/>
                </w:tblCellMar>
              </w:tblPrEx>
              <w:trPr>
                <w:tblCellSpacing w:w="0" w:type="dxa"/>
                <w:jc w:val="center"/>
              </w:trPr>
              <w:tc>
                <w:tcPr>
                  <w:tcW w:w="240" w:type="dxa"/>
                  <w:vAlign w:val="center"/>
                </w:tcPr>
                <w:p w14:paraId="61AF099F">
                  <w:pPr>
                    <w:pStyle w:val="129"/>
                    <w:rPr>
                      <w:color w:val="auto"/>
                    </w:rPr>
                  </w:pPr>
                  <w:r>
                    <w:rPr>
                      <w:rFonts w:hint="eastAsia" w:cs="宋体"/>
                      <w:color w:val="auto"/>
                      <w:sz w:val="24"/>
                      <w:szCs w:val="24"/>
                    </w:rPr>
                    <w:drawing>
                      <wp:anchor distT="0" distB="0" distL="114300" distR="114300" simplePos="0" relativeHeight="251670528" behindDoc="0" locked="0" layoutInCell="1" allowOverlap="1">
                        <wp:simplePos x="0" y="0"/>
                        <wp:positionH relativeFrom="column">
                          <wp:posOffset>-249555</wp:posOffset>
                        </wp:positionH>
                        <wp:positionV relativeFrom="paragraph">
                          <wp:posOffset>-414655</wp:posOffset>
                        </wp:positionV>
                        <wp:extent cx="934720" cy="865505"/>
                        <wp:effectExtent l="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34720" cy="865505"/>
                                </a:xfrm>
                                <a:prstGeom prst="rect">
                                  <a:avLst/>
                                </a:prstGeom>
                                <a:noFill/>
                                <a:ln>
                                  <a:noFill/>
                                </a:ln>
                              </pic:spPr>
                            </pic:pic>
                          </a:graphicData>
                        </a:graphic>
                      </wp:anchor>
                    </w:drawing>
                  </w:r>
                </w:p>
              </w:tc>
              <w:tc>
                <w:tcPr>
                  <w:tcW w:w="480" w:type="dxa"/>
                  <w:vAlign w:val="center"/>
                </w:tcPr>
                <w:p w14:paraId="1311082F">
                  <w:pPr>
                    <w:pStyle w:val="129"/>
                    <w:rPr>
                      <w:rFonts w:cs="宋体"/>
                      <w:color w:val="auto"/>
                      <w:sz w:val="24"/>
                      <w:szCs w:val="24"/>
                    </w:rPr>
                  </w:pPr>
                </w:p>
              </w:tc>
            </w:tr>
          </w:tbl>
          <w:p w14:paraId="635BDA4C">
            <w:pPr>
              <w:pStyle w:val="129"/>
              <w:widowControl w:val="0"/>
              <w:rPr>
                <w:color w:val="auto"/>
              </w:rPr>
            </w:pPr>
          </w:p>
        </w:tc>
        <w:tc>
          <w:tcPr>
            <w:tcW w:w="1892" w:type="dxa"/>
            <w:vAlign w:val="center"/>
          </w:tcPr>
          <w:p w14:paraId="55D28301">
            <w:pPr>
              <w:pStyle w:val="129"/>
              <w:widowControl w:val="0"/>
              <w:rPr>
                <w:color w:val="auto"/>
              </w:rPr>
            </w:pPr>
            <w:r>
              <w:rPr>
                <w:rFonts w:hint="eastAsia" w:ascii="宋体" w:hAnsi="宋体" w:cs="宋体"/>
                <w:color w:val="auto"/>
              </w:rPr>
              <w:t>危险固体废物储存</w:t>
            </w:r>
          </w:p>
        </w:tc>
        <w:tc>
          <w:tcPr>
            <w:tcW w:w="1648" w:type="dxa"/>
            <w:vAlign w:val="center"/>
          </w:tcPr>
          <w:p w14:paraId="07F89EB3">
            <w:pPr>
              <w:pStyle w:val="129"/>
              <w:widowControl w:val="0"/>
              <w:rPr>
                <w:color w:val="auto"/>
              </w:rPr>
            </w:pPr>
            <w:r>
              <w:rPr>
                <w:rFonts w:hint="eastAsia" w:ascii="宋体" w:hAnsi="宋体" w:cs="宋体"/>
                <w:color w:val="auto"/>
              </w:rPr>
              <w:t>表示固废储存处置场所</w:t>
            </w:r>
          </w:p>
        </w:tc>
      </w:tr>
      <w:tr w14:paraId="3E4D05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633" w:hRule="atLeast"/>
        </w:trPr>
        <w:tc>
          <w:tcPr>
            <w:tcW w:w="743" w:type="dxa"/>
            <w:vAlign w:val="center"/>
          </w:tcPr>
          <w:p w14:paraId="06F205C6">
            <w:pPr>
              <w:pStyle w:val="129"/>
              <w:widowControl w:val="0"/>
              <w:rPr>
                <w:color w:val="auto"/>
              </w:rPr>
            </w:pPr>
            <w:r>
              <w:rPr>
                <w:color w:val="auto"/>
              </w:rPr>
              <w:t>4</w:t>
            </w:r>
          </w:p>
        </w:tc>
        <w:tc>
          <w:tcPr>
            <w:tcW w:w="2041" w:type="dxa"/>
            <w:vAlign w:val="center"/>
          </w:tcPr>
          <w:tbl>
            <w:tblPr>
              <w:tblStyle w:val="82"/>
              <w:tblW w:w="0" w:type="auto"/>
              <w:jc w:val="center"/>
              <w:tblCellSpacing w:w="0" w:type="dxa"/>
              <w:tblLayout w:type="fixed"/>
              <w:tblCellMar>
                <w:top w:w="0" w:type="dxa"/>
                <w:left w:w="0" w:type="dxa"/>
                <w:bottom w:w="0" w:type="dxa"/>
                <w:right w:w="0" w:type="dxa"/>
              </w:tblCellMar>
            </w:tblPr>
            <w:tblGrid>
              <w:gridCol w:w="255"/>
              <w:gridCol w:w="480"/>
            </w:tblGrid>
            <w:tr w14:paraId="1E71CD0E">
              <w:tblPrEx>
                <w:tblCellMar>
                  <w:top w:w="0" w:type="dxa"/>
                  <w:left w:w="0" w:type="dxa"/>
                  <w:bottom w:w="0" w:type="dxa"/>
                  <w:right w:w="0" w:type="dxa"/>
                </w:tblCellMar>
              </w:tblPrEx>
              <w:trPr>
                <w:gridAfter w:val="1"/>
                <w:wAfter w:w="480" w:type="dxa"/>
                <w:tblCellSpacing w:w="0" w:type="dxa"/>
                <w:jc w:val="center"/>
              </w:trPr>
              <w:tc>
                <w:tcPr>
                  <w:tcW w:w="255" w:type="dxa"/>
                  <w:vAlign w:val="center"/>
                </w:tcPr>
                <w:p w14:paraId="0DD423E5">
                  <w:pPr>
                    <w:pStyle w:val="129"/>
                    <w:rPr>
                      <w:color w:val="auto"/>
                    </w:rPr>
                  </w:pPr>
                </w:p>
              </w:tc>
            </w:tr>
            <w:tr w14:paraId="781D2CFB">
              <w:tblPrEx>
                <w:tblCellMar>
                  <w:top w:w="0" w:type="dxa"/>
                  <w:left w:w="0" w:type="dxa"/>
                  <w:bottom w:w="0" w:type="dxa"/>
                  <w:right w:w="0" w:type="dxa"/>
                </w:tblCellMar>
              </w:tblPrEx>
              <w:trPr>
                <w:tblCellSpacing w:w="0" w:type="dxa"/>
                <w:jc w:val="center"/>
              </w:trPr>
              <w:tc>
                <w:tcPr>
                  <w:tcW w:w="255" w:type="dxa"/>
                  <w:vAlign w:val="center"/>
                </w:tcPr>
                <w:p w14:paraId="0ED442CB">
                  <w:pPr>
                    <w:pStyle w:val="129"/>
                    <w:rPr>
                      <w:color w:val="auto"/>
                    </w:rPr>
                  </w:pPr>
                  <w:r>
                    <w:rPr>
                      <w:rFonts w:hint="eastAsia" w:cs="宋体"/>
                      <w:color w:val="auto"/>
                      <w:sz w:val="24"/>
                      <w:szCs w:val="24"/>
                    </w:rPr>
                    <w:drawing>
                      <wp:anchor distT="0" distB="0" distL="114300" distR="114300" simplePos="0" relativeHeight="251673600" behindDoc="0" locked="0" layoutInCell="1" allowOverlap="1">
                        <wp:simplePos x="0" y="0"/>
                        <wp:positionH relativeFrom="column">
                          <wp:posOffset>-280035</wp:posOffset>
                        </wp:positionH>
                        <wp:positionV relativeFrom="paragraph">
                          <wp:posOffset>-472440</wp:posOffset>
                        </wp:positionV>
                        <wp:extent cx="1016635" cy="941070"/>
                        <wp:effectExtent l="0" t="0" r="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016635" cy="941070"/>
                                </a:xfrm>
                                <a:prstGeom prst="rect">
                                  <a:avLst/>
                                </a:prstGeom>
                                <a:noFill/>
                                <a:ln>
                                  <a:noFill/>
                                </a:ln>
                              </pic:spPr>
                            </pic:pic>
                          </a:graphicData>
                        </a:graphic>
                      </wp:anchor>
                    </w:drawing>
                  </w:r>
                </w:p>
              </w:tc>
              <w:tc>
                <w:tcPr>
                  <w:tcW w:w="480" w:type="dxa"/>
                  <w:vAlign w:val="center"/>
                </w:tcPr>
                <w:p w14:paraId="00131BC6">
                  <w:pPr>
                    <w:pStyle w:val="129"/>
                    <w:rPr>
                      <w:rFonts w:cs="宋体"/>
                      <w:color w:val="auto"/>
                      <w:sz w:val="24"/>
                      <w:szCs w:val="24"/>
                    </w:rPr>
                  </w:pPr>
                </w:p>
              </w:tc>
            </w:tr>
          </w:tbl>
          <w:p w14:paraId="12537FEA">
            <w:pPr>
              <w:pStyle w:val="129"/>
              <w:widowControl w:val="0"/>
              <w:rPr>
                <w:color w:val="auto"/>
              </w:rPr>
            </w:pPr>
          </w:p>
        </w:tc>
        <w:tc>
          <w:tcPr>
            <w:tcW w:w="2039" w:type="dxa"/>
            <w:vAlign w:val="center"/>
          </w:tcPr>
          <w:tbl>
            <w:tblPr>
              <w:tblStyle w:val="82"/>
              <w:tblW w:w="0" w:type="auto"/>
              <w:jc w:val="center"/>
              <w:tblCellSpacing w:w="0" w:type="dxa"/>
              <w:tblLayout w:type="fixed"/>
              <w:tblCellMar>
                <w:top w:w="0" w:type="dxa"/>
                <w:left w:w="0" w:type="dxa"/>
                <w:bottom w:w="0" w:type="dxa"/>
                <w:right w:w="0" w:type="dxa"/>
              </w:tblCellMar>
            </w:tblPr>
            <w:tblGrid>
              <w:gridCol w:w="255"/>
              <w:gridCol w:w="480"/>
            </w:tblGrid>
            <w:tr w14:paraId="5E1C781C">
              <w:tblPrEx>
                <w:tblCellMar>
                  <w:top w:w="0" w:type="dxa"/>
                  <w:left w:w="0" w:type="dxa"/>
                  <w:bottom w:w="0" w:type="dxa"/>
                  <w:right w:w="0" w:type="dxa"/>
                </w:tblCellMar>
              </w:tblPrEx>
              <w:trPr>
                <w:gridAfter w:val="1"/>
                <w:wAfter w:w="480" w:type="dxa"/>
                <w:tblCellSpacing w:w="0" w:type="dxa"/>
                <w:jc w:val="center"/>
              </w:trPr>
              <w:tc>
                <w:tcPr>
                  <w:tcW w:w="255" w:type="dxa"/>
                  <w:vAlign w:val="center"/>
                </w:tcPr>
                <w:p w14:paraId="285EF652">
                  <w:pPr>
                    <w:pStyle w:val="129"/>
                    <w:rPr>
                      <w:color w:val="auto"/>
                    </w:rPr>
                  </w:pPr>
                </w:p>
              </w:tc>
            </w:tr>
            <w:tr w14:paraId="32D8C1FF">
              <w:tblPrEx>
                <w:tblCellMar>
                  <w:top w:w="0" w:type="dxa"/>
                  <w:left w:w="0" w:type="dxa"/>
                  <w:bottom w:w="0" w:type="dxa"/>
                  <w:right w:w="0" w:type="dxa"/>
                </w:tblCellMar>
              </w:tblPrEx>
              <w:trPr>
                <w:tblCellSpacing w:w="0" w:type="dxa"/>
                <w:jc w:val="center"/>
              </w:trPr>
              <w:tc>
                <w:tcPr>
                  <w:tcW w:w="255" w:type="dxa"/>
                  <w:vAlign w:val="center"/>
                </w:tcPr>
                <w:p w14:paraId="0538BF97">
                  <w:pPr>
                    <w:pStyle w:val="129"/>
                    <w:rPr>
                      <w:color w:val="auto"/>
                    </w:rPr>
                  </w:pPr>
                </w:p>
              </w:tc>
              <w:tc>
                <w:tcPr>
                  <w:tcW w:w="480" w:type="dxa"/>
                  <w:vAlign w:val="center"/>
                </w:tcPr>
                <w:p w14:paraId="6D1AA92B">
                  <w:pPr>
                    <w:pStyle w:val="129"/>
                    <w:rPr>
                      <w:rFonts w:cs="宋体"/>
                      <w:color w:val="auto"/>
                      <w:sz w:val="24"/>
                      <w:szCs w:val="24"/>
                    </w:rPr>
                  </w:pPr>
                  <w:r>
                    <w:rPr>
                      <w:rFonts w:hint="eastAsia" w:cs="宋体"/>
                      <w:color w:val="auto"/>
                      <w:sz w:val="24"/>
                      <w:szCs w:val="24"/>
                    </w:rPr>
                    <w:drawing>
                      <wp:anchor distT="0" distB="0" distL="114300" distR="114300" simplePos="0" relativeHeight="251674624" behindDoc="0" locked="0" layoutInCell="1" allowOverlap="1">
                        <wp:simplePos x="0" y="0"/>
                        <wp:positionH relativeFrom="column">
                          <wp:posOffset>-410845</wp:posOffset>
                        </wp:positionH>
                        <wp:positionV relativeFrom="paragraph">
                          <wp:posOffset>-469265</wp:posOffset>
                        </wp:positionV>
                        <wp:extent cx="972185" cy="899795"/>
                        <wp:effectExtent l="0" t="0" r="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972185" cy="899795"/>
                                </a:xfrm>
                                <a:prstGeom prst="rect">
                                  <a:avLst/>
                                </a:prstGeom>
                                <a:noFill/>
                                <a:ln>
                                  <a:noFill/>
                                </a:ln>
                              </pic:spPr>
                            </pic:pic>
                          </a:graphicData>
                        </a:graphic>
                      </wp:anchor>
                    </w:drawing>
                  </w:r>
                </w:p>
              </w:tc>
            </w:tr>
          </w:tbl>
          <w:p w14:paraId="4097125A">
            <w:pPr>
              <w:pStyle w:val="129"/>
              <w:widowControl w:val="0"/>
              <w:rPr>
                <w:color w:val="auto"/>
              </w:rPr>
            </w:pPr>
          </w:p>
        </w:tc>
        <w:tc>
          <w:tcPr>
            <w:tcW w:w="1892" w:type="dxa"/>
            <w:vAlign w:val="center"/>
          </w:tcPr>
          <w:p w14:paraId="7EA7E1CE">
            <w:pPr>
              <w:pStyle w:val="129"/>
              <w:widowControl w:val="0"/>
              <w:rPr>
                <w:color w:val="auto"/>
              </w:rPr>
            </w:pPr>
            <w:r>
              <w:rPr>
                <w:rFonts w:hint="eastAsia" w:ascii="宋体" w:hAnsi="宋体" w:cs="宋体"/>
                <w:color w:val="auto"/>
              </w:rPr>
              <w:t>噪声源</w:t>
            </w:r>
          </w:p>
        </w:tc>
        <w:tc>
          <w:tcPr>
            <w:tcW w:w="1648" w:type="dxa"/>
            <w:vAlign w:val="center"/>
          </w:tcPr>
          <w:p w14:paraId="098E973F">
            <w:pPr>
              <w:pStyle w:val="129"/>
              <w:widowControl w:val="0"/>
              <w:rPr>
                <w:color w:val="auto"/>
              </w:rPr>
            </w:pPr>
            <w:r>
              <w:rPr>
                <w:rFonts w:hint="eastAsia" w:ascii="宋体" w:hAnsi="宋体" w:cs="宋体"/>
                <w:color w:val="auto"/>
              </w:rPr>
              <w:t>表示噪声向外环境排放</w:t>
            </w:r>
          </w:p>
        </w:tc>
      </w:tr>
    </w:tbl>
    <w:p w14:paraId="2BDED998">
      <w:pPr>
        <w:widowControl w:val="0"/>
        <w:tabs>
          <w:tab w:val="left" w:pos="420"/>
        </w:tabs>
        <w:contextualSpacing/>
        <w:jc w:val="center"/>
        <w:rPr>
          <w:rFonts w:eastAsia="黑体"/>
          <w:b/>
          <w:color w:val="auto"/>
          <w:kern w:val="16"/>
          <w:sz w:val="24"/>
          <w:szCs w:val="24"/>
        </w:rPr>
      </w:pPr>
      <w:r>
        <w:rPr>
          <w:rFonts w:eastAsia="黑体"/>
          <w:b/>
          <w:color w:val="auto"/>
          <w:kern w:val="16"/>
          <w:sz w:val="24"/>
          <w:szCs w:val="24"/>
        </w:rPr>
        <w:t xml:space="preserve"> </w:t>
      </w:r>
    </w:p>
    <w:p w14:paraId="1F4E74B6">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 xml:space="preserve">  </w:t>
      </w:r>
      <w:r>
        <w:rPr>
          <w:color w:val="auto"/>
        </w:rPr>
        <w:t>危险废物识别标志表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4500"/>
        <w:gridCol w:w="4286"/>
      </w:tblGrid>
      <w:tr w14:paraId="05F09E3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561" w:type="pct"/>
            <w:vAlign w:val="center"/>
          </w:tcPr>
          <w:p w14:paraId="1FE03174">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危险废物标签设置示意图</w:t>
            </w:r>
          </w:p>
        </w:tc>
        <w:tc>
          <w:tcPr>
            <w:tcW w:w="2439" w:type="pct"/>
            <w:vAlign w:val="center"/>
          </w:tcPr>
          <w:p w14:paraId="76D5DF9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附着式危险废物贮存分区标志设置示意图</w:t>
            </w:r>
          </w:p>
        </w:tc>
      </w:tr>
      <w:tr w14:paraId="4D655A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551" w:hRule="atLeast"/>
        </w:trPr>
        <w:tc>
          <w:tcPr>
            <w:tcW w:w="2561"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645"/>
              <w:gridCol w:w="2921"/>
            </w:tblGrid>
            <w:tr w14:paraId="6DB95050">
              <w:tblPrEx>
                <w:tblCellMar>
                  <w:top w:w="0" w:type="dxa"/>
                  <w:left w:w="0" w:type="dxa"/>
                  <w:bottom w:w="0" w:type="dxa"/>
                  <w:right w:w="0" w:type="dxa"/>
                </w:tblCellMar>
              </w:tblPrEx>
              <w:trPr>
                <w:gridAfter w:val="1"/>
                <w:wAfter w:w="2921" w:type="dxa"/>
                <w:tblCellSpacing w:w="0" w:type="dxa"/>
                <w:jc w:val="center"/>
              </w:trPr>
              <w:tc>
                <w:tcPr>
                  <w:tcW w:w="645" w:type="dxa"/>
                  <w:vAlign w:val="center"/>
                </w:tcPr>
                <w:p w14:paraId="7AF39573">
                  <w:pPr>
                    <w:widowControl w:val="0"/>
                    <w:spacing w:before="100" w:beforeAutospacing="1" w:line="360" w:lineRule="exact"/>
                    <w:jc w:val="center"/>
                    <w:rPr>
                      <w:color w:val="auto"/>
                      <w:kern w:val="2"/>
                      <w:sz w:val="21"/>
                      <w:szCs w:val="21"/>
                    </w:rPr>
                  </w:pPr>
                </w:p>
              </w:tc>
            </w:tr>
            <w:tr w14:paraId="617FE5F6">
              <w:tblPrEx>
                <w:tblCellMar>
                  <w:top w:w="0" w:type="dxa"/>
                  <w:left w:w="0" w:type="dxa"/>
                  <w:bottom w:w="0" w:type="dxa"/>
                  <w:right w:w="0" w:type="dxa"/>
                </w:tblCellMar>
              </w:tblPrEx>
              <w:trPr>
                <w:tblCellSpacing w:w="0" w:type="dxa"/>
                <w:jc w:val="center"/>
              </w:trPr>
              <w:tc>
                <w:tcPr>
                  <w:tcW w:w="0" w:type="auto"/>
                  <w:vAlign w:val="center"/>
                </w:tcPr>
                <w:p w14:paraId="794B10DC">
                  <w:pPr>
                    <w:rPr>
                      <w:rFonts w:eastAsia="Times New Roman"/>
                      <w:color w:val="auto"/>
                    </w:rPr>
                  </w:pPr>
                </w:p>
              </w:tc>
              <w:tc>
                <w:tcPr>
                  <w:tcW w:w="0" w:type="auto"/>
                  <w:vAlign w:val="center"/>
                </w:tcPr>
                <w:p w14:paraId="4FD2B53E">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1854835" cy="1440815"/>
                        <wp:effectExtent l="0" t="0" r="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854835" cy="1440815"/>
                                </a:xfrm>
                                <a:prstGeom prst="rect">
                                  <a:avLst/>
                                </a:prstGeom>
                                <a:noFill/>
                                <a:ln>
                                  <a:noFill/>
                                </a:ln>
                              </pic:spPr>
                            </pic:pic>
                          </a:graphicData>
                        </a:graphic>
                      </wp:inline>
                    </w:drawing>
                  </w:r>
                </w:p>
              </w:tc>
            </w:tr>
          </w:tbl>
          <w:p w14:paraId="02A5F16D">
            <w:pPr>
              <w:widowControl w:val="0"/>
              <w:spacing w:before="100" w:beforeAutospacing="1" w:line="360" w:lineRule="exact"/>
              <w:jc w:val="center"/>
              <w:rPr>
                <w:color w:val="auto"/>
                <w:kern w:val="2"/>
                <w:sz w:val="21"/>
                <w:szCs w:val="21"/>
              </w:rPr>
            </w:pPr>
          </w:p>
        </w:tc>
        <w:tc>
          <w:tcPr>
            <w:tcW w:w="2439"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525"/>
              <w:gridCol w:w="2975"/>
            </w:tblGrid>
            <w:tr w14:paraId="2AE6E00B">
              <w:tblPrEx>
                <w:tblCellMar>
                  <w:top w:w="0" w:type="dxa"/>
                  <w:left w:w="0" w:type="dxa"/>
                  <w:bottom w:w="0" w:type="dxa"/>
                  <w:right w:w="0" w:type="dxa"/>
                </w:tblCellMar>
              </w:tblPrEx>
              <w:trPr>
                <w:gridAfter w:val="1"/>
                <w:wAfter w:w="2975" w:type="dxa"/>
                <w:tblCellSpacing w:w="0" w:type="dxa"/>
                <w:jc w:val="center"/>
              </w:trPr>
              <w:tc>
                <w:tcPr>
                  <w:tcW w:w="525" w:type="dxa"/>
                  <w:vAlign w:val="center"/>
                </w:tcPr>
                <w:p w14:paraId="332B9B05">
                  <w:pPr>
                    <w:widowControl w:val="0"/>
                    <w:spacing w:before="100" w:beforeAutospacing="1" w:line="360" w:lineRule="exact"/>
                    <w:jc w:val="center"/>
                    <w:rPr>
                      <w:color w:val="auto"/>
                      <w:kern w:val="2"/>
                      <w:sz w:val="21"/>
                      <w:szCs w:val="21"/>
                    </w:rPr>
                  </w:pPr>
                </w:p>
              </w:tc>
            </w:tr>
            <w:tr w14:paraId="7813FC12">
              <w:tblPrEx>
                <w:tblCellMar>
                  <w:top w:w="0" w:type="dxa"/>
                  <w:left w:w="0" w:type="dxa"/>
                  <w:bottom w:w="0" w:type="dxa"/>
                  <w:right w:w="0" w:type="dxa"/>
                </w:tblCellMar>
              </w:tblPrEx>
              <w:trPr>
                <w:tblCellSpacing w:w="0" w:type="dxa"/>
                <w:jc w:val="center"/>
              </w:trPr>
              <w:tc>
                <w:tcPr>
                  <w:tcW w:w="0" w:type="auto"/>
                  <w:vAlign w:val="center"/>
                </w:tcPr>
                <w:p w14:paraId="762DCC93">
                  <w:pPr>
                    <w:rPr>
                      <w:rFonts w:eastAsia="Times New Roman"/>
                      <w:color w:val="auto"/>
                    </w:rPr>
                  </w:pPr>
                </w:p>
              </w:tc>
              <w:tc>
                <w:tcPr>
                  <w:tcW w:w="0" w:type="auto"/>
                  <w:vAlign w:val="center"/>
                </w:tcPr>
                <w:p w14:paraId="560E27A6">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1889125" cy="1440815"/>
                        <wp:effectExtent l="0" t="0" r="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889125" cy="1440815"/>
                                </a:xfrm>
                                <a:prstGeom prst="rect">
                                  <a:avLst/>
                                </a:prstGeom>
                                <a:noFill/>
                                <a:ln>
                                  <a:noFill/>
                                </a:ln>
                              </pic:spPr>
                            </pic:pic>
                          </a:graphicData>
                        </a:graphic>
                      </wp:inline>
                    </w:drawing>
                  </w:r>
                </w:p>
              </w:tc>
            </w:tr>
          </w:tbl>
          <w:p w14:paraId="31BA268A">
            <w:pPr>
              <w:widowControl w:val="0"/>
              <w:spacing w:before="100" w:beforeAutospacing="1" w:line="360" w:lineRule="exact"/>
              <w:jc w:val="center"/>
              <w:rPr>
                <w:color w:val="auto"/>
                <w:kern w:val="2"/>
                <w:sz w:val="21"/>
                <w:szCs w:val="21"/>
              </w:rPr>
            </w:pPr>
          </w:p>
        </w:tc>
      </w:tr>
      <w:tr w14:paraId="52703DA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561" w:type="pct"/>
            <w:vAlign w:val="center"/>
          </w:tcPr>
          <w:p w14:paraId="444C7B5F">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附着式危险废物设施标志设置示意图</w:t>
            </w:r>
          </w:p>
        </w:tc>
        <w:tc>
          <w:tcPr>
            <w:tcW w:w="2439" w:type="pct"/>
            <w:vAlign w:val="center"/>
          </w:tcPr>
          <w:p w14:paraId="4525B3D1">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危险废物标签样式示意图</w:t>
            </w:r>
          </w:p>
        </w:tc>
      </w:tr>
      <w:tr w14:paraId="6E8C9AF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551" w:hRule="atLeast"/>
        </w:trPr>
        <w:tc>
          <w:tcPr>
            <w:tcW w:w="2561"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330"/>
              <w:gridCol w:w="3630"/>
            </w:tblGrid>
            <w:tr w14:paraId="0F8516EA">
              <w:tblPrEx>
                <w:tblCellMar>
                  <w:top w:w="0" w:type="dxa"/>
                  <w:left w:w="0" w:type="dxa"/>
                  <w:bottom w:w="0" w:type="dxa"/>
                  <w:right w:w="0" w:type="dxa"/>
                </w:tblCellMar>
              </w:tblPrEx>
              <w:trPr>
                <w:gridAfter w:val="1"/>
                <w:wAfter w:w="3630" w:type="dxa"/>
                <w:tblCellSpacing w:w="0" w:type="dxa"/>
                <w:jc w:val="center"/>
              </w:trPr>
              <w:tc>
                <w:tcPr>
                  <w:tcW w:w="330" w:type="dxa"/>
                  <w:vAlign w:val="center"/>
                </w:tcPr>
                <w:p w14:paraId="36F92820">
                  <w:pPr>
                    <w:widowControl w:val="0"/>
                    <w:spacing w:before="100" w:beforeAutospacing="1" w:line="360" w:lineRule="exact"/>
                    <w:jc w:val="center"/>
                    <w:rPr>
                      <w:color w:val="auto"/>
                      <w:kern w:val="2"/>
                      <w:sz w:val="21"/>
                      <w:szCs w:val="21"/>
                    </w:rPr>
                  </w:pPr>
                </w:p>
              </w:tc>
            </w:tr>
            <w:tr w14:paraId="5BA6C9E4">
              <w:tblPrEx>
                <w:tblCellMar>
                  <w:top w:w="0" w:type="dxa"/>
                  <w:left w:w="0" w:type="dxa"/>
                  <w:bottom w:w="0" w:type="dxa"/>
                  <w:right w:w="0" w:type="dxa"/>
                </w:tblCellMar>
              </w:tblPrEx>
              <w:trPr>
                <w:tblCellSpacing w:w="0" w:type="dxa"/>
                <w:jc w:val="center"/>
              </w:trPr>
              <w:tc>
                <w:tcPr>
                  <w:tcW w:w="0" w:type="auto"/>
                  <w:vAlign w:val="center"/>
                </w:tcPr>
                <w:p w14:paraId="7FCCC6D3">
                  <w:pPr>
                    <w:rPr>
                      <w:rFonts w:eastAsia="Times New Roman"/>
                      <w:color w:val="auto"/>
                    </w:rPr>
                  </w:pPr>
                </w:p>
              </w:tc>
              <w:tc>
                <w:tcPr>
                  <w:tcW w:w="0" w:type="auto"/>
                  <w:vAlign w:val="center"/>
                </w:tcPr>
                <w:p w14:paraId="6DF49937">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2303145" cy="1440815"/>
                        <wp:effectExtent l="0" t="0" r="1905"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303145" cy="1440815"/>
                                </a:xfrm>
                                <a:prstGeom prst="rect">
                                  <a:avLst/>
                                </a:prstGeom>
                                <a:noFill/>
                                <a:ln>
                                  <a:noFill/>
                                </a:ln>
                              </pic:spPr>
                            </pic:pic>
                          </a:graphicData>
                        </a:graphic>
                      </wp:inline>
                    </w:drawing>
                  </w:r>
                </w:p>
              </w:tc>
            </w:tr>
          </w:tbl>
          <w:p w14:paraId="289C13DC">
            <w:pPr>
              <w:widowControl w:val="0"/>
              <w:spacing w:before="100" w:beforeAutospacing="1" w:line="360" w:lineRule="exact"/>
              <w:jc w:val="center"/>
              <w:rPr>
                <w:color w:val="auto"/>
                <w:kern w:val="2"/>
                <w:sz w:val="21"/>
                <w:szCs w:val="21"/>
              </w:rPr>
            </w:pPr>
          </w:p>
        </w:tc>
        <w:tc>
          <w:tcPr>
            <w:tcW w:w="2439"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825"/>
              <w:gridCol w:w="2280"/>
            </w:tblGrid>
            <w:tr w14:paraId="0E78A445">
              <w:tblPrEx>
                <w:tblCellMar>
                  <w:top w:w="0" w:type="dxa"/>
                  <w:left w:w="0" w:type="dxa"/>
                  <w:bottom w:w="0" w:type="dxa"/>
                  <w:right w:w="0" w:type="dxa"/>
                </w:tblCellMar>
              </w:tblPrEx>
              <w:trPr>
                <w:gridAfter w:val="1"/>
                <w:wAfter w:w="2280" w:type="dxa"/>
                <w:tblCellSpacing w:w="0" w:type="dxa"/>
                <w:jc w:val="center"/>
              </w:trPr>
              <w:tc>
                <w:tcPr>
                  <w:tcW w:w="825" w:type="dxa"/>
                  <w:vAlign w:val="center"/>
                </w:tcPr>
                <w:p w14:paraId="06B2A535">
                  <w:pPr>
                    <w:widowControl w:val="0"/>
                    <w:spacing w:before="100" w:beforeAutospacing="1" w:line="360" w:lineRule="exact"/>
                    <w:jc w:val="center"/>
                    <w:rPr>
                      <w:color w:val="auto"/>
                      <w:kern w:val="2"/>
                      <w:sz w:val="21"/>
                      <w:szCs w:val="21"/>
                    </w:rPr>
                  </w:pPr>
                </w:p>
              </w:tc>
            </w:tr>
            <w:tr w14:paraId="00780798">
              <w:tblPrEx>
                <w:tblCellMar>
                  <w:top w:w="0" w:type="dxa"/>
                  <w:left w:w="0" w:type="dxa"/>
                  <w:bottom w:w="0" w:type="dxa"/>
                  <w:right w:w="0" w:type="dxa"/>
                </w:tblCellMar>
              </w:tblPrEx>
              <w:trPr>
                <w:tblCellSpacing w:w="0" w:type="dxa"/>
                <w:jc w:val="center"/>
              </w:trPr>
              <w:tc>
                <w:tcPr>
                  <w:tcW w:w="0" w:type="auto"/>
                  <w:vAlign w:val="center"/>
                </w:tcPr>
                <w:p w14:paraId="45429F84">
                  <w:pPr>
                    <w:rPr>
                      <w:rFonts w:eastAsia="Times New Roman"/>
                      <w:color w:val="auto"/>
                    </w:rPr>
                  </w:pPr>
                </w:p>
              </w:tc>
              <w:tc>
                <w:tcPr>
                  <w:tcW w:w="0" w:type="auto"/>
                  <w:vAlign w:val="center"/>
                </w:tcPr>
                <w:p w14:paraId="27EE6A7D">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1440815" cy="1440815"/>
                        <wp:effectExtent l="0" t="0" r="6985"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440815" cy="1440815"/>
                                </a:xfrm>
                                <a:prstGeom prst="rect">
                                  <a:avLst/>
                                </a:prstGeom>
                                <a:noFill/>
                                <a:ln>
                                  <a:noFill/>
                                </a:ln>
                              </pic:spPr>
                            </pic:pic>
                          </a:graphicData>
                        </a:graphic>
                      </wp:inline>
                    </w:drawing>
                  </w:r>
                </w:p>
              </w:tc>
            </w:tr>
          </w:tbl>
          <w:p w14:paraId="17C7FEF4">
            <w:pPr>
              <w:widowControl w:val="0"/>
              <w:spacing w:before="100" w:beforeAutospacing="1" w:line="360" w:lineRule="exact"/>
              <w:jc w:val="center"/>
              <w:rPr>
                <w:color w:val="auto"/>
                <w:kern w:val="2"/>
                <w:sz w:val="21"/>
                <w:szCs w:val="21"/>
              </w:rPr>
            </w:pPr>
          </w:p>
        </w:tc>
      </w:tr>
      <w:tr w14:paraId="0EDCA9D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561" w:type="pct"/>
            <w:vAlign w:val="center"/>
          </w:tcPr>
          <w:p w14:paraId="232240F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危险废物贮存分区标志样式示意图</w:t>
            </w:r>
          </w:p>
        </w:tc>
        <w:tc>
          <w:tcPr>
            <w:tcW w:w="2439" w:type="pct"/>
            <w:vAlign w:val="center"/>
          </w:tcPr>
          <w:p w14:paraId="74237216">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危险废物贮存设施标志</w:t>
            </w:r>
          </w:p>
        </w:tc>
      </w:tr>
      <w:tr w14:paraId="683F156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551" w:hRule="atLeast"/>
        </w:trPr>
        <w:tc>
          <w:tcPr>
            <w:tcW w:w="2561"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750"/>
              <w:gridCol w:w="2703"/>
            </w:tblGrid>
            <w:tr w14:paraId="499403EA">
              <w:tblPrEx>
                <w:tblCellMar>
                  <w:top w:w="0" w:type="dxa"/>
                  <w:left w:w="0" w:type="dxa"/>
                  <w:bottom w:w="0" w:type="dxa"/>
                  <w:right w:w="0" w:type="dxa"/>
                </w:tblCellMar>
              </w:tblPrEx>
              <w:trPr>
                <w:gridAfter w:val="1"/>
                <w:wAfter w:w="2703" w:type="dxa"/>
                <w:tblCellSpacing w:w="0" w:type="dxa"/>
                <w:jc w:val="center"/>
              </w:trPr>
              <w:tc>
                <w:tcPr>
                  <w:tcW w:w="750" w:type="dxa"/>
                  <w:vAlign w:val="center"/>
                </w:tcPr>
                <w:p w14:paraId="426C2353">
                  <w:pPr>
                    <w:widowControl w:val="0"/>
                    <w:spacing w:before="100" w:beforeAutospacing="1" w:line="360" w:lineRule="exact"/>
                    <w:jc w:val="center"/>
                    <w:rPr>
                      <w:color w:val="auto"/>
                      <w:kern w:val="2"/>
                      <w:sz w:val="21"/>
                      <w:szCs w:val="21"/>
                    </w:rPr>
                  </w:pPr>
                </w:p>
              </w:tc>
            </w:tr>
            <w:tr w14:paraId="20D1E879">
              <w:tblPrEx>
                <w:tblCellMar>
                  <w:top w:w="0" w:type="dxa"/>
                  <w:left w:w="0" w:type="dxa"/>
                  <w:bottom w:w="0" w:type="dxa"/>
                  <w:right w:w="0" w:type="dxa"/>
                </w:tblCellMar>
              </w:tblPrEx>
              <w:trPr>
                <w:tblCellSpacing w:w="0" w:type="dxa"/>
                <w:jc w:val="center"/>
              </w:trPr>
              <w:tc>
                <w:tcPr>
                  <w:tcW w:w="0" w:type="auto"/>
                  <w:vAlign w:val="center"/>
                </w:tcPr>
                <w:p w14:paraId="4E66FCE7">
                  <w:pPr>
                    <w:rPr>
                      <w:rFonts w:eastAsia="Times New Roman"/>
                      <w:color w:val="auto"/>
                    </w:rPr>
                  </w:pPr>
                </w:p>
              </w:tc>
              <w:tc>
                <w:tcPr>
                  <w:tcW w:w="0" w:type="auto"/>
                  <w:vAlign w:val="center"/>
                </w:tcPr>
                <w:p w14:paraId="6000FC0A">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1716405" cy="1440815"/>
                        <wp:effectExtent l="0" t="0" r="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716405" cy="1440815"/>
                                </a:xfrm>
                                <a:prstGeom prst="rect">
                                  <a:avLst/>
                                </a:prstGeom>
                                <a:noFill/>
                                <a:ln>
                                  <a:noFill/>
                                </a:ln>
                              </pic:spPr>
                            </pic:pic>
                          </a:graphicData>
                        </a:graphic>
                      </wp:inline>
                    </w:drawing>
                  </w:r>
                </w:p>
              </w:tc>
            </w:tr>
          </w:tbl>
          <w:p w14:paraId="2FD01F75">
            <w:pPr>
              <w:widowControl w:val="0"/>
              <w:spacing w:before="100" w:beforeAutospacing="1" w:line="360" w:lineRule="exact"/>
              <w:jc w:val="center"/>
              <w:rPr>
                <w:color w:val="auto"/>
                <w:kern w:val="2"/>
                <w:sz w:val="21"/>
                <w:szCs w:val="21"/>
              </w:rPr>
            </w:pPr>
          </w:p>
        </w:tc>
        <w:tc>
          <w:tcPr>
            <w:tcW w:w="2439"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240"/>
              <w:gridCol w:w="3420"/>
            </w:tblGrid>
            <w:tr w14:paraId="4834C713">
              <w:tblPrEx>
                <w:tblCellMar>
                  <w:top w:w="0" w:type="dxa"/>
                  <w:left w:w="0" w:type="dxa"/>
                  <w:bottom w:w="0" w:type="dxa"/>
                  <w:right w:w="0" w:type="dxa"/>
                </w:tblCellMar>
              </w:tblPrEx>
              <w:trPr>
                <w:gridAfter w:val="1"/>
                <w:wAfter w:w="3420" w:type="dxa"/>
                <w:tblCellSpacing w:w="0" w:type="dxa"/>
                <w:jc w:val="center"/>
              </w:trPr>
              <w:tc>
                <w:tcPr>
                  <w:tcW w:w="240" w:type="dxa"/>
                  <w:vAlign w:val="center"/>
                </w:tcPr>
                <w:p w14:paraId="5E539981">
                  <w:pPr>
                    <w:widowControl w:val="0"/>
                    <w:spacing w:before="100" w:beforeAutospacing="1" w:line="360" w:lineRule="exact"/>
                    <w:jc w:val="center"/>
                    <w:rPr>
                      <w:color w:val="auto"/>
                      <w:kern w:val="2"/>
                      <w:sz w:val="21"/>
                      <w:szCs w:val="21"/>
                    </w:rPr>
                  </w:pPr>
                </w:p>
              </w:tc>
            </w:tr>
            <w:tr w14:paraId="49DFC73D">
              <w:tblPrEx>
                <w:tblCellMar>
                  <w:top w:w="0" w:type="dxa"/>
                  <w:left w:w="0" w:type="dxa"/>
                  <w:bottom w:w="0" w:type="dxa"/>
                  <w:right w:w="0" w:type="dxa"/>
                </w:tblCellMar>
              </w:tblPrEx>
              <w:trPr>
                <w:tblCellSpacing w:w="0" w:type="dxa"/>
                <w:jc w:val="center"/>
              </w:trPr>
              <w:tc>
                <w:tcPr>
                  <w:tcW w:w="0" w:type="auto"/>
                  <w:vAlign w:val="center"/>
                </w:tcPr>
                <w:p w14:paraId="2BC5FC3F">
                  <w:pPr>
                    <w:rPr>
                      <w:rFonts w:eastAsia="Times New Roman"/>
                      <w:color w:val="auto"/>
                    </w:rPr>
                  </w:pPr>
                </w:p>
              </w:tc>
              <w:tc>
                <w:tcPr>
                  <w:tcW w:w="0" w:type="auto"/>
                  <w:vAlign w:val="center"/>
                </w:tcPr>
                <w:p w14:paraId="656AB648">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2165350" cy="1440815"/>
                        <wp:effectExtent l="0" t="0" r="635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165350" cy="1440815"/>
                                </a:xfrm>
                                <a:prstGeom prst="rect">
                                  <a:avLst/>
                                </a:prstGeom>
                                <a:noFill/>
                                <a:ln>
                                  <a:noFill/>
                                </a:ln>
                              </pic:spPr>
                            </pic:pic>
                          </a:graphicData>
                        </a:graphic>
                      </wp:inline>
                    </w:drawing>
                  </w:r>
                </w:p>
              </w:tc>
            </w:tr>
          </w:tbl>
          <w:p w14:paraId="28EB5C42">
            <w:pPr>
              <w:widowControl w:val="0"/>
              <w:spacing w:before="100" w:beforeAutospacing="1" w:line="360" w:lineRule="exact"/>
              <w:jc w:val="center"/>
              <w:rPr>
                <w:color w:val="auto"/>
                <w:kern w:val="2"/>
                <w:sz w:val="21"/>
                <w:szCs w:val="21"/>
              </w:rPr>
            </w:pPr>
          </w:p>
        </w:tc>
      </w:tr>
      <w:tr w14:paraId="7A421D8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2561" w:type="pct"/>
            <w:vAlign w:val="center"/>
          </w:tcPr>
          <w:p w14:paraId="57262BC6">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危险废物利用设施标志</w:t>
            </w:r>
          </w:p>
        </w:tc>
        <w:tc>
          <w:tcPr>
            <w:tcW w:w="2439" w:type="pct"/>
            <w:vAlign w:val="center"/>
          </w:tcPr>
          <w:p w14:paraId="6E6A2CB5">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危险废物处置设施标志</w:t>
            </w:r>
          </w:p>
        </w:tc>
      </w:tr>
      <w:tr w14:paraId="0FDC557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2551" w:hRule="atLeast"/>
        </w:trPr>
        <w:tc>
          <w:tcPr>
            <w:tcW w:w="2561"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390"/>
              <w:gridCol w:w="3420"/>
            </w:tblGrid>
            <w:tr w14:paraId="52F21104">
              <w:tblPrEx>
                <w:tblCellMar>
                  <w:top w:w="0" w:type="dxa"/>
                  <w:left w:w="0" w:type="dxa"/>
                  <w:bottom w:w="0" w:type="dxa"/>
                  <w:right w:w="0" w:type="dxa"/>
                </w:tblCellMar>
              </w:tblPrEx>
              <w:trPr>
                <w:gridAfter w:val="1"/>
                <w:wAfter w:w="3420" w:type="dxa"/>
                <w:tblCellSpacing w:w="0" w:type="dxa"/>
                <w:jc w:val="center"/>
              </w:trPr>
              <w:tc>
                <w:tcPr>
                  <w:tcW w:w="390" w:type="dxa"/>
                  <w:vAlign w:val="center"/>
                </w:tcPr>
                <w:p w14:paraId="5573B4F5">
                  <w:pPr>
                    <w:widowControl w:val="0"/>
                    <w:spacing w:before="100" w:beforeAutospacing="1" w:line="360" w:lineRule="exact"/>
                    <w:jc w:val="center"/>
                    <w:rPr>
                      <w:color w:val="auto"/>
                      <w:kern w:val="2"/>
                      <w:sz w:val="21"/>
                      <w:szCs w:val="21"/>
                    </w:rPr>
                  </w:pPr>
                </w:p>
              </w:tc>
            </w:tr>
            <w:tr w14:paraId="424D900F">
              <w:tblPrEx>
                <w:tblCellMar>
                  <w:top w:w="0" w:type="dxa"/>
                  <w:left w:w="0" w:type="dxa"/>
                  <w:bottom w:w="0" w:type="dxa"/>
                  <w:right w:w="0" w:type="dxa"/>
                </w:tblCellMar>
              </w:tblPrEx>
              <w:trPr>
                <w:tblCellSpacing w:w="0" w:type="dxa"/>
                <w:jc w:val="center"/>
              </w:trPr>
              <w:tc>
                <w:tcPr>
                  <w:tcW w:w="0" w:type="auto"/>
                  <w:vAlign w:val="center"/>
                </w:tcPr>
                <w:p w14:paraId="2B83A384">
                  <w:pPr>
                    <w:rPr>
                      <w:rFonts w:eastAsia="Times New Roman"/>
                      <w:color w:val="auto"/>
                    </w:rPr>
                  </w:pPr>
                </w:p>
              </w:tc>
              <w:tc>
                <w:tcPr>
                  <w:tcW w:w="0" w:type="auto"/>
                  <w:vAlign w:val="center"/>
                </w:tcPr>
                <w:p w14:paraId="7424C95B">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2165350" cy="1440815"/>
                        <wp:effectExtent l="0" t="0" r="6350" b="6985"/>
                        <wp:docPr id="537419925" name="图片 53741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19925" name="图片 5374199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65350" cy="1440815"/>
                                </a:xfrm>
                                <a:prstGeom prst="rect">
                                  <a:avLst/>
                                </a:prstGeom>
                                <a:noFill/>
                                <a:ln>
                                  <a:noFill/>
                                </a:ln>
                              </pic:spPr>
                            </pic:pic>
                          </a:graphicData>
                        </a:graphic>
                      </wp:inline>
                    </w:drawing>
                  </w:r>
                </w:p>
              </w:tc>
            </w:tr>
          </w:tbl>
          <w:p w14:paraId="349C6DC9">
            <w:pPr>
              <w:widowControl w:val="0"/>
              <w:spacing w:before="100" w:beforeAutospacing="1" w:line="360" w:lineRule="exact"/>
              <w:jc w:val="center"/>
              <w:rPr>
                <w:color w:val="auto"/>
                <w:kern w:val="2"/>
                <w:sz w:val="21"/>
                <w:szCs w:val="21"/>
              </w:rPr>
            </w:pPr>
          </w:p>
        </w:tc>
        <w:tc>
          <w:tcPr>
            <w:tcW w:w="2439"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300"/>
              <w:gridCol w:w="3420"/>
            </w:tblGrid>
            <w:tr w14:paraId="7715AB6A">
              <w:tblPrEx>
                <w:tblCellMar>
                  <w:top w:w="0" w:type="dxa"/>
                  <w:left w:w="0" w:type="dxa"/>
                  <w:bottom w:w="0" w:type="dxa"/>
                  <w:right w:w="0" w:type="dxa"/>
                </w:tblCellMar>
              </w:tblPrEx>
              <w:trPr>
                <w:gridAfter w:val="1"/>
                <w:wAfter w:w="3420" w:type="dxa"/>
                <w:tblCellSpacing w:w="0" w:type="dxa"/>
                <w:jc w:val="center"/>
              </w:trPr>
              <w:tc>
                <w:tcPr>
                  <w:tcW w:w="300" w:type="dxa"/>
                  <w:vAlign w:val="center"/>
                </w:tcPr>
                <w:p w14:paraId="702C85CB">
                  <w:pPr>
                    <w:widowControl w:val="0"/>
                    <w:spacing w:before="100" w:beforeAutospacing="1" w:line="360" w:lineRule="exact"/>
                    <w:jc w:val="center"/>
                    <w:rPr>
                      <w:color w:val="auto"/>
                      <w:kern w:val="2"/>
                      <w:sz w:val="21"/>
                      <w:szCs w:val="21"/>
                    </w:rPr>
                  </w:pPr>
                </w:p>
              </w:tc>
            </w:tr>
            <w:tr w14:paraId="3008BEA9">
              <w:tblPrEx>
                <w:tblCellMar>
                  <w:top w:w="0" w:type="dxa"/>
                  <w:left w:w="0" w:type="dxa"/>
                  <w:bottom w:w="0" w:type="dxa"/>
                  <w:right w:w="0" w:type="dxa"/>
                </w:tblCellMar>
              </w:tblPrEx>
              <w:trPr>
                <w:tblCellSpacing w:w="0" w:type="dxa"/>
                <w:jc w:val="center"/>
              </w:trPr>
              <w:tc>
                <w:tcPr>
                  <w:tcW w:w="0" w:type="auto"/>
                  <w:vAlign w:val="center"/>
                </w:tcPr>
                <w:p w14:paraId="155DE64A">
                  <w:pPr>
                    <w:rPr>
                      <w:rFonts w:eastAsia="Times New Roman"/>
                      <w:color w:val="auto"/>
                    </w:rPr>
                  </w:pPr>
                </w:p>
              </w:tc>
              <w:tc>
                <w:tcPr>
                  <w:tcW w:w="0" w:type="auto"/>
                  <w:vAlign w:val="center"/>
                </w:tcPr>
                <w:p w14:paraId="4E586432">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2165350" cy="1440815"/>
                        <wp:effectExtent l="0" t="0" r="635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165350" cy="1440815"/>
                                </a:xfrm>
                                <a:prstGeom prst="rect">
                                  <a:avLst/>
                                </a:prstGeom>
                                <a:noFill/>
                                <a:ln>
                                  <a:noFill/>
                                </a:ln>
                              </pic:spPr>
                            </pic:pic>
                          </a:graphicData>
                        </a:graphic>
                      </wp:inline>
                    </w:drawing>
                  </w:r>
                </w:p>
              </w:tc>
            </w:tr>
          </w:tbl>
          <w:p w14:paraId="5A8733D5">
            <w:pPr>
              <w:widowControl w:val="0"/>
              <w:spacing w:before="100" w:beforeAutospacing="1" w:line="360" w:lineRule="exact"/>
              <w:jc w:val="center"/>
              <w:rPr>
                <w:color w:val="auto"/>
                <w:kern w:val="2"/>
                <w:sz w:val="21"/>
                <w:szCs w:val="21"/>
              </w:rPr>
            </w:pPr>
          </w:p>
        </w:tc>
      </w:tr>
    </w:tbl>
    <w:p w14:paraId="12C6621D">
      <w:pPr>
        <w:widowControl w:val="0"/>
        <w:tabs>
          <w:tab w:val="left" w:pos="420"/>
        </w:tabs>
        <w:contextualSpacing/>
        <w:jc w:val="both"/>
        <w:rPr>
          <w:rFonts w:eastAsia="黑体"/>
          <w:b/>
          <w:color w:val="auto"/>
          <w:kern w:val="16"/>
          <w:sz w:val="24"/>
          <w:szCs w:val="24"/>
        </w:rPr>
      </w:pPr>
      <w:r>
        <w:rPr>
          <w:rFonts w:eastAsia="黑体"/>
          <w:b/>
          <w:color w:val="auto"/>
          <w:kern w:val="16"/>
          <w:sz w:val="24"/>
          <w:szCs w:val="24"/>
        </w:rPr>
        <w:t xml:space="preserve"> </w:t>
      </w:r>
    </w:p>
    <w:p w14:paraId="5FAE9D64">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rFonts w:hint="eastAsia"/>
          <w:color w:val="auto"/>
        </w:rPr>
        <w:t xml:space="preserve"> 危险特性警示图形表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004"/>
        <w:gridCol w:w="1763"/>
        <w:gridCol w:w="2970"/>
        <w:gridCol w:w="3049"/>
      </w:tblGrid>
      <w:tr w14:paraId="470FCB8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71" w:type="pct"/>
            <w:vAlign w:val="center"/>
          </w:tcPr>
          <w:p w14:paraId="48D901A2">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序号</w:t>
            </w:r>
          </w:p>
        </w:tc>
        <w:tc>
          <w:tcPr>
            <w:tcW w:w="1003" w:type="pct"/>
            <w:vAlign w:val="center"/>
          </w:tcPr>
          <w:p w14:paraId="48208AC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危险特性</w:t>
            </w:r>
          </w:p>
        </w:tc>
        <w:tc>
          <w:tcPr>
            <w:tcW w:w="1690" w:type="pct"/>
            <w:vAlign w:val="center"/>
          </w:tcPr>
          <w:p w14:paraId="2379CA58">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警示图形</w:t>
            </w:r>
          </w:p>
        </w:tc>
        <w:tc>
          <w:tcPr>
            <w:tcW w:w="1735" w:type="pct"/>
            <w:vAlign w:val="center"/>
          </w:tcPr>
          <w:p w14:paraId="12544CB7">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图形颜色</w:t>
            </w:r>
          </w:p>
        </w:tc>
      </w:tr>
      <w:tr w14:paraId="3CF5C61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956" w:hRule="atLeast"/>
        </w:trPr>
        <w:tc>
          <w:tcPr>
            <w:tcW w:w="571" w:type="pct"/>
            <w:vAlign w:val="center"/>
          </w:tcPr>
          <w:p w14:paraId="44005CC7">
            <w:pPr>
              <w:widowControl w:val="0"/>
              <w:spacing w:before="100" w:beforeAutospacing="1" w:line="360" w:lineRule="exact"/>
              <w:jc w:val="center"/>
              <w:rPr>
                <w:color w:val="auto"/>
                <w:kern w:val="2"/>
                <w:sz w:val="21"/>
                <w:szCs w:val="21"/>
              </w:rPr>
            </w:pPr>
            <w:r>
              <w:rPr>
                <w:color w:val="auto"/>
                <w:kern w:val="2"/>
                <w:sz w:val="21"/>
                <w:szCs w:val="21"/>
              </w:rPr>
              <w:t>1</w:t>
            </w:r>
          </w:p>
        </w:tc>
        <w:tc>
          <w:tcPr>
            <w:tcW w:w="1003" w:type="pct"/>
            <w:vAlign w:val="center"/>
          </w:tcPr>
          <w:p w14:paraId="5CF40A7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腐蚀性</w:t>
            </w:r>
          </w:p>
        </w:tc>
        <w:tc>
          <w:tcPr>
            <w:tcW w:w="1690"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540"/>
              <w:gridCol w:w="1685"/>
            </w:tblGrid>
            <w:tr w14:paraId="4C9B5178">
              <w:tblPrEx>
                <w:tblCellMar>
                  <w:top w:w="0" w:type="dxa"/>
                  <w:left w:w="0" w:type="dxa"/>
                  <w:bottom w:w="0" w:type="dxa"/>
                  <w:right w:w="0" w:type="dxa"/>
                </w:tblCellMar>
              </w:tblPrEx>
              <w:trPr>
                <w:gridAfter w:val="1"/>
                <w:wAfter w:w="1685" w:type="dxa"/>
                <w:tblCellSpacing w:w="0" w:type="dxa"/>
                <w:jc w:val="center"/>
              </w:trPr>
              <w:tc>
                <w:tcPr>
                  <w:tcW w:w="540" w:type="dxa"/>
                  <w:vAlign w:val="center"/>
                </w:tcPr>
                <w:p w14:paraId="19437990">
                  <w:pPr>
                    <w:widowControl w:val="0"/>
                    <w:spacing w:before="100" w:beforeAutospacing="1" w:line="360" w:lineRule="exact"/>
                    <w:jc w:val="center"/>
                    <w:rPr>
                      <w:color w:val="auto"/>
                      <w:kern w:val="2"/>
                      <w:sz w:val="21"/>
                      <w:szCs w:val="21"/>
                    </w:rPr>
                  </w:pPr>
                </w:p>
              </w:tc>
            </w:tr>
            <w:tr w14:paraId="3D77B396">
              <w:tblPrEx>
                <w:tblCellMar>
                  <w:top w:w="0" w:type="dxa"/>
                  <w:left w:w="0" w:type="dxa"/>
                  <w:bottom w:w="0" w:type="dxa"/>
                  <w:right w:w="0" w:type="dxa"/>
                </w:tblCellMar>
              </w:tblPrEx>
              <w:trPr>
                <w:tblCellSpacing w:w="0" w:type="dxa"/>
                <w:jc w:val="center"/>
              </w:trPr>
              <w:tc>
                <w:tcPr>
                  <w:tcW w:w="0" w:type="auto"/>
                  <w:vAlign w:val="center"/>
                </w:tcPr>
                <w:p w14:paraId="7D913F5B">
                  <w:pPr>
                    <w:rPr>
                      <w:rFonts w:eastAsia="Times New Roman"/>
                      <w:color w:val="auto"/>
                    </w:rPr>
                  </w:pPr>
                </w:p>
              </w:tc>
              <w:tc>
                <w:tcPr>
                  <w:tcW w:w="0" w:type="auto"/>
                  <w:vAlign w:val="center"/>
                </w:tcPr>
                <w:p w14:paraId="4838934C">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1069975" cy="108712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069975" cy="1087120"/>
                                </a:xfrm>
                                <a:prstGeom prst="rect">
                                  <a:avLst/>
                                </a:prstGeom>
                                <a:noFill/>
                                <a:ln>
                                  <a:noFill/>
                                </a:ln>
                              </pic:spPr>
                            </pic:pic>
                          </a:graphicData>
                        </a:graphic>
                      </wp:inline>
                    </w:drawing>
                  </w:r>
                </w:p>
              </w:tc>
            </w:tr>
          </w:tbl>
          <w:p w14:paraId="34314754">
            <w:pPr>
              <w:widowControl w:val="0"/>
              <w:spacing w:before="100" w:beforeAutospacing="1" w:line="360" w:lineRule="exact"/>
              <w:jc w:val="center"/>
              <w:rPr>
                <w:color w:val="auto"/>
                <w:kern w:val="2"/>
                <w:sz w:val="21"/>
                <w:szCs w:val="21"/>
              </w:rPr>
            </w:pPr>
          </w:p>
        </w:tc>
        <w:tc>
          <w:tcPr>
            <w:tcW w:w="1735" w:type="pct"/>
            <w:vAlign w:val="center"/>
          </w:tcPr>
          <w:p w14:paraId="618A2014">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符号：黑色</w:t>
            </w:r>
          </w:p>
          <w:p w14:paraId="0AFD92CF">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底色：上白下黑</w:t>
            </w:r>
          </w:p>
        </w:tc>
      </w:tr>
      <w:tr w14:paraId="30FABA5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956" w:hRule="atLeast"/>
        </w:trPr>
        <w:tc>
          <w:tcPr>
            <w:tcW w:w="571" w:type="pct"/>
            <w:vAlign w:val="center"/>
          </w:tcPr>
          <w:p w14:paraId="3BBE7292">
            <w:pPr>
              <w:widowControl w:val="0"/>
              <w:spacing w:before="100" w:beforeAutospacing="1" w:line="360" w:lineRule="exact"/>
              <w:jc w:val="center"/>
              <w:rPr>
                <w:color w:val="auto"/>
                <w:kern w:val="2"/>
                <w:sz w:val="21"/>
                <w:szCs w:val="21"/>
              </w:rPr>
            </w:pPr>
            <w:r>
              <w:rPr>
                <w:rFonts w:hint="eastAsia"/>
                <w:color w:val="auto"/>
                <w:kern w:val="2"/>
                <w:sz w:val="21"/>
                <w:szCs w:val="21"/>
              </w:rPr>
              <w:t>2</w:t>
            </w:r>
          </w:p>
        </w:tc>
        <w:tc>
          <w:tcPr>
            <w:tcW w:w="1003" w:type="pct"/>
            <w:vAlign w:val="center"/>
          </w:tcPr>
          <w:p w14:paraId="143E26A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毒性</w:t>
            </w:r>
          </w:p>
        </w:tc>
        <w:tc>
          <w:tcPr>
            <w:tcW w:w="1690"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495"/>
              <w:gridCol w:w="1770"/>
            </w:tblGrid>
            <w:tr w14:paraId="5B528BE9">
              <w:tblPrEx>
                <w:tblCellMar>
                  <w:top w:w="0" w:type="dxa"/>
                  <w:left w:w="0" w:type="dxa"/>
                  <w:bottom w:w="0" w:type="dxa"/>
                  <w:right w:w="0" w:type="dxa"/>
                </w:tblCellMar>
              </w:tblPrEx>
              <w:trPr>
                <w:gridAfter w:val="1"/>
                <w:wAfter w:w="1770" w:type="dxa"/>
                <w:tblCellSpacing w:w="0" w:type="dxa"/>
                <w:jc w:val="center"/>
              </w:trPr>
              <w:tc>
                <w:tcPr>
                  <w:tcW w:w="495" w:type="dxa"/>
                  <w:vAlign w:val="center"/>
                </w:tcPr>
                <w:p w14:paraId="2F5E9A4F">
                  <w:pPr>
                    <w:widowControl w:val="0"/>
                    <w:spacing w:before="100" w:beforeAutospacing="1" w:line="360" w:lineRule="exact"/>
                    <w:jc w:val="center"/>
                    <w:rPr>
                      <w:color w:val="auto"/>
                      <w:kern w:val="2"/>
                      <w:sz w:val="21"/>
                      <w:szCs w:val="21"/>
                    </w:rPr>
                  </w:pPr>
                </w:p>
              </w:tc>
            </w:tr>
            <w:tr w14:paraId="397D9B10">
              <w:tblPrEx>
                <w:tblCellMar>
                  <w:top w:w="0" w:type="dxa"/>
                  <w:left w:w="0" w:type="dxa"/>
                  <w:bottom w:w="0" w:type="dxa"/>
                  <w:right w:w="0" w:type="dxa"/>
                </w:tblCellMar>
              </w:tblPrEx>
              <w:trPr>
                <w:tblCellSpacing w:w="0" w:type="dxa"/>
                <w:jc w:val="center"/>
              </w:trPr>
              <w:tc>
                <w:tcPr>
                  <w:tcW w:w="0" w:type="auto"/>
                  <w:vAlign w:val="center"/>
                </w:tcPr>
                <w:p w14:paraId="08CE40DD">
                  <w:pPr>
                    <w:rPr>
                      <w:rFonts w:eastAsia="Times New Roman"/>
                      <w:color w:val="auto"/>
                    </w:rPr>
                  </w:pPr>
                </w:p>
              </w:tc>
              <w:tc>
                <w:tcPr>
                  <w:tcW w:w="0" w:type="auto"/>
                  <w:vAlign w:val="center"/>
                </w:tcPr>
                <w:p w14:paraId="6B9B223E">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1121410" cy="108712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121410" cy="1087120"/>
                                </a:xfrm>
                                <a:prstGeom prst="rect">
                                  <a:avLst/>
                                </a:prstGeom>
                                <a:noFill/>
                                <a:ln>
                                  <a:noFill/>
                                </a:ln>
                              </pic:spPr>
                            </pic:pic>
                          </a:graphicData>
                        </a:graphic>
                      </wp:inline>
                    </w:drawing>
                  </w:r>
                </w:p>
              </w:tc>
            </w:tr>
          </w:tbl>
          <w:p w14:paraId="22B27614">
            <w:pPr>
              <w:widowControl w:val="0"/>
              <w:spacing w:before="100" w:beforeAutospacing="1" w:line="360" w:lineRule="exact"/>
              <w:jc w:val="center"/>
              <w:rPr>
                <w:color w:val="auto"/>
                <w:kern w:val="2"/>
                <w:sz w:val="21"/>
                <w:szCs w:val="21"/>
              </w:rPr>
            </w:pPr>
          </w:p>
        </w:tc>
        <w:tc>
          <w:tcPr>
            <w:tcW w:w="1735" w:type="pct"/>
            <w:vAlign w:val="center"/>
          </w:tcPr>
          <w:p w14:paraId="336898C3">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符号：黑色</w:t>
            </w:r>
          </w:p>
          <w:p w14:paraId="4EB92CDB">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底色：白色</w:t>
            </w:r>
          </w:p>
        </w:tc>
      </w:tr>
      <w:tr w14:paraId="365A6C8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956" w:hRule="atLeast"/>
        </w:trPr>
        <w:tc>
          <w:tcPr>
            <w:tcW w:w="571" w:type="pct"/>
            <w:vAlign w:val="center"/>
          </w:tcPr>
          <w:p w14:paraId="1DCC0502">
            <w:pPr>
              <w:widowControl w:val="0"/>
              <w:spacing w:before="100" w:beforeAutospacing="1" w:line="360" w:lineRule="exact"/>
              <w:jc w:val="center"/>
              <w:rPr>
                <w:color w:val="auto"/>
                <w:kern w:val="2"/>
                <w:sz w:val="21"/>
                <w:szCs w:val="21"/>
              </w:rPr>
            </w:pPr>
            <w:r>
              <w:rPr>
                <w:color w:val="auto"/>
                <w:kern w:val="2"/>
                <w:sz w:val="21"/>
                <w:szCs w:val="21"/>
              </w:rPr>
              <w:t>3</w:t>
            </w:r>
          </w:p>
        </w:tc>
        <w:tc>
          <w:tcPr>
            <w:tcW w:w="1003" w:type="pct"/>
            <w:vAlign w:val="center"/>
          </w:tcPr>
          <w:p w14:paraId="36E8F04C">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易燃性</w:t>
            </w:r>
          </w:p>
        </w:tc>
        <w:tc>
          <w:tcPr>
            <w:tcW w:w="1690"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465"/>
              <w:gridCol w:w="1834"/>
            </w:tblGrid>
            <w:tr w14:paraId="3305DB54">
              <w:tblPrEx>
                <w:tblCellMar>
                  <w:top w:w="0" w:type="dxa"/>
                  <w:left w:w="0" w:type="dxa"/>
                  <w:bottom w:w="0" w:type="dxa"/>
                  <w:right w:w="0" w:type="dxa"/>
                </w:tblCellMar>
              </w:tblPrEx>
              <w:trPr>
                <w:gridAfter w:val="1"/>
                <w:wAfter w:w="1834" w:type="dxa"/>
                <w:tblCellSpacing w:w="0" w:type="dxa"/>
                <w:jc w:val="center"/>
              </w:trPr>
              <w:tc>
                <w:tcPr>
                  <w:tcW w:w="465" w:type="dxa"/>
                  <w:vAlign w:val="center"/>
                </w:tcPr>
                <w:p w14:paraId="215773E5">
                  <w:pPr>
                    <w:widowControl w:val="0"/>
                    <w:spacing w:before="100" w:beforeAutospacing="1" w:line="360" w:lineRule="exact"/>
                    <w:jc w:val="center"/>
                    <w:rPr>
                      <w:color w:val="auto"/>
                      <w:kern w:val="2"/>
                      <w:sz w:val="21"/>
                      <w:szCs w:val="21"/>
                    </w:rPr>
                  </w:pPr>
                </w:p>
              </w:tc>
            </w:tr>
            <w:tr w14:paraId="6FA64851">
              <w:tblPrEx>
                <w:tblCellMar>
                  <w:top w:w="0" w:type="dxa"/>
                  <w:left w:w="0" w:type="dxa"/>
                  <w:bottom w:w="0" w:type="dxa"/>
                  <w:right w:w="0" w:type="dxa"/>
                </w:tblCellMar>
              </w:tblPrEx>
              <w:trPr>
                <w:tblCellSpacing w:w="0" w:type="dxa"/>
                <w:jc w:val="center"/>
              </w:trPr>
              <w:tc>
                <w:tcPr>
                  <w:tcW w:w="0" w:type="auto"/>
                  <w:vAlign w:val="center"/>
                </w:tcPr>
                <w:p w14:paraId="02BBF5C5">
                  <w:pPr>
                    <w:rPr>
                      <w:rFonts w:eastAsia="Times New Roman"/>
                      <w:color w:val="auto"/>
                    </w:rPr>
                  </w:pPr>
                </w:p>
              </w:tc>
              <w:tc>
                <w:tcPr>
                  <w:tcW w:w="0" w:type="auto"/>
                  <w:vAlign w:val="center"/>
                </w:tcPr>
                <w:p w14:paraId="7FD02848">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1164590" cy="108712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164590" cy="1087120"/>
                                </a:xfrm>
                                <a:prstGeom prst="rect">
                                  <a:avLst/>
                                </a:prstGeom>
                                <a:noFill/>
                                <a:ln>
                                  <a:noFill/>
                                </a:ln>
                              </pic:spPr>
                            </pic:pic>
                          </a:graphicData>
                        </a:graphic>
                      </wp:inline>
                    </w:drawing>
                  </w:r>
                </w:p>
              </w:tc>
            </w:tr>
          </w:tbl>
          <w:p w14:paraId="59314D6D">
            <w:pPr>
              <w:widowControl w:val="0"/>
              <w:spacing w:before="100" w:beforeAutospacing="1" w:line="360" w:lineRule="exact"/>
              <w:jc w:val="center"/>
              <w:rPr>
                <w:color w:val="auto"/>
                <w:kern w:val="2"/>
                <w:sz w:val="21"/>
                <w:szCs w:val="21"/>
              </w:rPr>
            </w:pPr>
          </w:p>
        </w:tc>
        <w:tc>
          <w:tcPr>
            <w:tcW w:w="1735" w:type="pct"/>
            <w:vAlign w:val="center"/>
          </w:tcPr>
          <w:p w14:paraId="53742E21">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符号：黑色</w:t>
            </w:r>
          </w:p>
          <w:p w14:paraId="2B1A9888">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底色：红色（</w:t>
            </w:r>
            <w:r>
              <w:rPr>
                <w:rFonts w:hint="eastAsia"/>
                <w:color w:val="auto"/>
                <w:kern w:val="2"/>
                <w:sz w:val="21"/>
                <w:szCs w:val="21"/>
              </w:rPr>
              <w:t>RGB</w:t>
            </w:r>
            <w:r>
              <w:rPr>
                <w:rFonts w:hint="eastAsia" w:ascii="宋体" w:hAnsi="宋体"/>
                <w:color w:val="auto"/>
                <w:kern w:val="2"/>
                <w:sz w:val="21"/>
                <w:szCs w:val="21"/>
              </w:rPr>
              <w:t>：</w:t>
            </w:r>
            <w:r>
              <w:rPr>
                <w:rFonts w:hint="eastAsia"/>
                <w:color w:val="auto"/>
                <w:kern w:val="2"/>
                <w:sz w:val="21"/>
                <w:szCs w:val="21"/>
              </w:rPr>
              <w:t>255,0,0</w:t>
            </w:r>
            <w:r>
              <w:rPr>
                <w:rFonts w:hint="eastAsia" w:ascii="宋体" w:hAnsi="宋体"/>
                <w:color w:val="auto"/>
                <w:kern w:val="2"/>
                <w:sz w:val="21"/>
                <w:szCs w:val="21"/>
              </w:rPr>
              <w:t>）</w:t>
            </w:r>
          </w:p>
        </w:tc>
      </w:tr>
      <w:tr w14:paraId="0670F94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956" w:hRule="atLeast"/>
        </w:trPr>
        <w:tc>
          <w:tcPr>
            <w:tcW w:w="571" w:type="pct"/>
            <w:vAlign w:val="center"/>
          </w:tcPr>
          <w:p w14:paraId="46015533">
            <w:pPr>
              <w:widowControl w:val="0"/>
              <w:spacing w:before="100" w:beforeAutospacing="1" w:line="360" w:lineRule="exact"/>
              <w:jc w:val="center"/>
              <w:rPr>
                <w:color w:val="auto"/>
                <w:kern w:val="2"/>
                <w:sz w:val="21"/>
                <w:szCs w:val="21"/>
              </w:rPr>
            </w:pPr>
            <w:r>
              <w:rPr>
                <w:color w:val="auto"/>
                <w:kern w:val="2"/>
                <w:sz w:val="21"/>
                <w:szCs w:val="21"/>
              </w:rPr>
              <w:t>4</w:t>
            </w:r>
          </w:p>
        </w:tc>
        <w:tc>
          <w:tcPr>
            <w:tcW w:w="1003" w:type="pct"/>
            <w:vAlign w:val="center"/>
          </w:tcPr>
          <w:p w14:paraId="3C2E522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反应性</w:t>
            </w:r>
          </w:p>
        </w:tc>
        <w:tc>
          <w:tcPr>
            <w:tcW w:w="1690" w:type="pct"/>
            <w:vAlign w:val="center"/>
          </w:tcPr>
          <w:tbl>
            <w:tblPr>
              <w:tblStyle w:val="82"/>
              <w:tblW w:w="0" w:type="auto"/>
              <w:jc w:val="center"/>
              <w:tblCellSpacing w:w="0" w:type="dxa"/>
              <w:tblLayout w:type="autofit"/>
              <w:tblCellMar>
                <w:top w:w="0" w:type="dxa"/>
                <w:left w:w="0" w:type="dxa"/>
                <w:bottom w:w="0" w:type="dxa"/>
                <w:right w:w="0" w:type="dxa"/>
              </w:tblCellMar>
            </w:tblPr>
            <w:tblGrid>
              <w:gridCol w:w="510"/>
              <w:gridCol w:w="1740"/>
            </w:tblGrid>
            <w:tr w14:paraId="7F5F06EB">
              <w:tblPrEx>
                <w:tblCellMar>
                  <w:top w:w="0" w:type="dxa"/>
                  <w:left w:w="0" w:type="dxa"/>
                  <w:bottom w:w="0" w:type="dxa"/>
                  <w:right w:w="0" w:type="dxa"/>
                </w:tblCellMar>
              </w:tblPrEx>
              <w:trPr>
                <w:gridAfter w:val="1"/>
                <w:wAfter w:w="1740" w:type="dxa"/>
                <w:tblCellSpacing w:w="0" w:type="dxa"/>
                <w:jc w:val="center"/>
              </w:trPr>
              <w:tc>
                <w:tcPr>
                  <w:tcW w:w="510" w:type="dxa"/>
                  <w:vAlign w:val="center"/>
                </w:tcPr>
                <w:p w14:paraId="58138195">
                  <w:pPr>
                    <w:widowControl w:val="0"/>
                    <w:spacing w:before="100" w:beforeAutospacing="1" w:line="360" w:lineRule="exact"/>
                    <w:jc w:val="center"/>
                    <w:rPr>
                      <w:color w:val="auto"/>
                      <w:kern w:val="2"/>
                      <w:sz w:val="21"/>
                      <w:szCs w:val="21"/>
                    </w:rPr>
                  </w:pPr>
                </w:p>
              </w:tc>
            </w:tr>
            <w:tr w14:paraId="0BE94793">
              <w:tblPrEx>
                <w:tblCellMar>
                  <w:top w:w="0" w:type="dxa"/>
                  <w:left w:w="0" w:type="dxa"/>
                  <w:bottom w:w="0" w:type="dxa"/>
                  <w:right w:w="0" w:type="dxa"/>
                </w:tblCellMar>
              </w:tblPrEx>
              <w:trPr>
                <w:tblCellSpacing w:w="0" w:type="dxa"/>
                <w:jc w:val="center"/>
              </w:trPr>
              <w:tc>
                <w:tcPr>
                  <w:tcW w:w="0" w:type="auto"/>
                  <w:vAlign w:val="center"/>
                </w:tcPr>
                <w:p w14:paraId="7B9964BF">
                  <w:pPr>
                    <w:rPr>
                      <w:rFonts w:eastAsia="Times New Roman"/>
                      <w:color w:val="auto"/>
                    </w:rPr>
                  </w:pPr>
                </w:p>
              </w:tc>
              <w:tc>
                <w:tcPr>
                  <w:tcW w:w="0" w:type="auto"/>
                  <w:vAlign w:val="center"/>
                </w:tcPr>
                <w:p w14:paraId="46BAEB7F">
                  <w:pPr>
                    <w:rPr>
                      <w:rFonts w:hint="eastAsia" w:ascii="宋体" w:hAnsi="宋体" w:cs="宋体"/>
                      <w:color w:val="auto"/>
                      <w:sz w:val="24"/>
                      <w:szCs w:val="24"/>
                    </w:rPr>
                  </w:pPr>
                  <w:r>
                    <w:rPr>
                      <w:rFonts w:hint="eastAsia" w:ascii="宋体" w:hAnsi="宋体" w:cs="宋体"/>
                      <w:color w:val="auto"/>
                      <w:sz w:val="24"/>
                      <w:szCs w:val="24"/>
                    </w:rPr>
                    <w:drawing>
                      <wp:inline distT="0" distB="0" distL="0" distR="0">
                        <wp:extent cx="1095375" cy="108712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095375" cy="1087120"/>
                                </a:xfrm>
                                <a:prstGeom prst="rect">
                                  <a:avLst/>
                                </a:prstGeom>
                                <a:noFill/>
                                <a:ln>
                                  <a:noFill/>
                                </a:ln>
                              </pic:spPr>
                            </pic:pic>
                          </a:graphicData>
                        </a:graphic>
                      </wp:inline>
                    </w:drawing>
                  </w:r>
                </w:p>
              </w:tc>
            </w:tr>
          </w:tbl>
          <w:p w14:paraId="0F6B7D1D">
            <w:pPr>
              <w:widowControl w:val="0"/>
              <w:spacing w:before="100" w:beforeAutospacing="1" w:line="360" w:lineRule="exact"/>
              <w:jc w:val="center"/>
              <w:rPr>
                <w:color w:val="auto"/>
                <w:kern w:val="2"/>
                <w:sz w:val="21"/>
                <w:szCs w:val="21"/>
              </w:rPr>
            </w:pPr>
          </w:p>
        </w:tc>
        <w:tc>
          <w:tcPr>
            <w:tcW w:w="1735" w:type="pct"/>
            <w:vAlign w:val="center"/>
          </w:tcPr>
          <w:p w14:paraId="29AB898B">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符号：黑色</w:t>
            </w:r>
          </w:p>
          <w:p w14:paraId="34C86254">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底色：黄色（</w:t>
            </w:r>
            <w:r>
              <w:rPr>
                <w:rFonts w:hint="eastAsia"/>
                <w:color w:val="auto"/>
                <w:kern w:val="2"/>
                <w:sz w:val="21"/>
                <w:szCs w:val="21"/>
              </w:rPr>
              <w:t>RGB</w:t>
            </w:r>
            <w:r>
              <w:rPr>
                <w:rFonts w:hint="eastAsia" w:ascii="宋体" w:hAnsi="宋体"/>
                <w:color w:val="auto"/>
                <w:kern w:val="2"/>
                <w:sz w:val="21"/>
                <w:szCs w:val="21"/>
              </w:rPr>
              <w:t>：</w:t>
            </w:r>
            <w:r>
              <w:rPr>
                <w:rFonts w:hint="eastAsia"/>
                <w:color w:val="auto"/>
                <w:kern w:val="2"/>
                <w:sz w:val="21"/>
                <w:szCs w:val="21"/>
              </w:rPr>
              <w:t>255,255,0</w:t>
            </w:r>
            <w:r>
              <w:rPr>
                <w:rFonts w:hint="eastAsia" w:ascii="宋体" w:hAnsi="宋体"/>
                <w:color w:val="auto"/>
                <w:kern w:val="2"/>
                <w:sz w:val="21"/>
                <w:szCs w:val="21"/>
              </w:rPr>
              <w:t>）</w:t>
            </w:r>
          </w:p>
        </w:tc>
      </w:tr>
    </w:tbl>
    <w:p w14:paraId="3717B438">
      <w:pPr>
        <w:pStyle w:val="132"/>
        <w:rPr>
          <w:color w:val="auto"/>
        </w:rPr>
      </w:pPr>
    </w:p>
    <w:p w14:paraId="23698E41">
      <w:pPr>
        <w:pStyle w:val="132"/>
        <w:rPr>
          <w:color w:val="auto"/>
        </w:rPr>
      </w:pPr>
      <w:r>
        <w:rPr>
          <w:rFonts w:hint="eastAsia"/>
          <w:color w:val="auto"/>
        </w:rPr>
        <w:t>项目排污口规范化管理具体要求见表9.3-5。</w:t>
      </w:r>
    </w:p>
    <w:p w14:paraId="23831926">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r>
        <w:rPr>
          <w:rFonts w:hint="eastAsia"/>
          <w:color w:val="auto"/>
        </w:rPr>
        <w:t xml:space="preserve">  排污口规范化管理要求</w:t>
      </w:r>
      <w:r>
        <w:rPr>
          <w:color w:val="auto"/>
        </w:rPr>
        <w:t>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737"/>
        <w:gridCol w:w="8049"/>
      </w:tblGrid>
      <w:tr w14:paraId="6C12D81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02" w:type="dxa"/>
            <w:vAlign w:val="center"/>
          </w:tcPr>
          <w:p w14:paraId="77688FDB">
            <w:pPr>
              <w:widowControl w:val="0"/>
              <w:spacing w:line="360" w:lineRule="exact"/>
              <w:jc w:val="center"/>
              <w:rPr>
                <w:color w:val="auto"/>
                <w:kern w:val="2"/>
                <w:sz w:val="21"/>
                <w:szCs w:val="21"/>
              </w:rPr>
            </w:pPr>
            <w:r>
              <w:rPr>
                <w:rFonts w:ascii="宋体" w:hAnsi="宋体"/>
                <w:color w:val="auto"/>
                <w:kern w:val="2"/>
                <w:sz w:val="21"/>
                <w:szCs w:val="21"/>
              </w:rPr>
              <w:t>项目</w:t>
            </w:r>
          </w:p>
        </w:tc>
        <w:tc>
          <w:tcPr>
            <w:tcW w:w="7660" w:type="dxa"/>
            <w:vAlign w:val="center"/>
          </w:tcPr>
          <w:p w14:paraId="0163C896">
            <w:pPr>
              <w:widowControl w:val="0"/>
              <w:spacing w:line="360" w:lineRule="exact"/>
              <w:jc w:val="center"/>
              <w:rPr>
                <w:color w:val="auto"/>
                <w:kern w:val="2"/>
                <w:sz w:val="21"/>
                <w:szCs w:val="21"/>
              </w:rPr>
            </w:pPr>
            <w:r>
              <w:rPr>
                <w:rFonts w:hint="eastAsia" w:ascii="宋体" w:hAnsi="宋体"/>
                <w:color w:val="auto"/>
                <w:kern w:val="2"/>
                <w:sz w:val="21"/>
                <w:szCs w:val="21"/>
              </w:rPr>
              <w:t>主要要求内容</w:t>
            </w:r>
          </w:p>
        </w:tc>
      </w:tr>
      <w:tr w14:paraId="0233C4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02" w:type="dxa"/>
            <w:vAlign w:val="center"/>
          </w:tcPr>
          <w:p w14:paraId="29F7D926">
            <w:pPr>
              <w:widowControl w:val="0"/>
              <w:spacing w:line="360" w:lineRule="exact"/>
              <w:jc w:val="center"/>
              <w:rPr>
                <w:color w:val="auto"/>
                <w:kern w:val="2"/>
                <w:sz w:val="21"/>
                <w:szCs w:val="21"/>
              </w:rPr>
            </w:pPr>
            <w:r>
              <w:rPr>
                <w:rFonts w:hint="eastAsia" w:ascii="宋体" w:hAnsi="宋体"/>
                <w:color w:val="auto"/>
                <w:kern w:val="2"/>
                <w:sz w:val="21"/>
                <w:szCs w:val="21"/>
              </w:rPr>
              <w:t>基本</w:t>
            </w:r>
          </w:p>
          <w:p w14:paraId="24524512">
            <w:pPr>
              <w:widowControl w:val="0"/>
              <w:spacing w:line="360" w:lineRule="exact"/>
              <w:jc w:val="center"/>
              <w:rPr>
                <w:color w:val="auto"/>
                <w:kern w:val="2"/>
                <w:sz w:val="21"/>
                <w:szCs w:val="21"/>
              </w:rPr>
            </w:pPr>
            <w:r>
              <w:rPr>
                <w:rFonts w:hint="eastAsia" w:ascii="宋体" w:hAnsi="宋体"/>
                <w:color w:val="auto"/>
                <w:kern w:val="2"/>
                <w:sz w:val="21"/>
                <w:szCs w:val="21"/>
              </w:rPr>
              <w:t>原则</w:t>
            </w:r>
          </w:p>
        </w:tc>
        <w:tc>
          <w:tcPr>
            <w:tcW w:w="7660" w:type="dxa"/>
            <w:vAlign w:val="center"/>
          </w:tcPr>
          <w:p w14:paraId="03309B36">
            <w:pPr>
              <w:widowControl w:val="0"/>
              <w:spacing w:line="360" w:lineRule="exact"/>
              <w:jc w:val="center"/>
              <w:rPr>
                <w:color w:val="auto"/>
                <w:kern w:val="2"/>
                <w:sz w:val="21"/>
                <w:szCs w:val="21"/>
              </w:rPr>
            </w:pPr>
            <w:r>
              <w:rPr>
                <w:rFonts w:hint="eastAsia"/>
                <w:color w:val="auto"/>
                <w:kern w:val="2"/>
                <w:sz w:val="21"/>
                <w:szCs w:val="21"/>
              </w:rPr>
              <w:t>1、</w:t>
            </w:r>
            <w:r>
              <w:rPr>
                <w:rFonts w:hint="eastAsia" w:ascii="宋体" w:hAnsi="宋体"/>
                <w:color w:val="auto"/>
                <w:kern w:val="2"/>
                <w:sz w:val="21"/>
                <w:szCs w:val="21"/>
              </w:rPr>
              <w:t>凡向环境排放污染物的一切排污口必须进行规范化管理；</w:t>
            </w:r>
          </w:p>
          <w:p w14:paraId="7ABF07A8">
            <w:pPr>
              <w:widowControl w:val="0"/>
              <w:spacing w:line="360" w:lineRule="exact"/>
              <w:jc w:val="center"/>
              <w:rPr>
                <w:color w:val="auto"/>
                <w:kern w:val="2"/>
                <w:sz w:val="21"/>
                <w:szCs w:val="21"/>
              </w:rPr>
            </w:pPr>
            <w:r>
              <w:rPr>
                <w:rFonts w:hint="eastAsia"/>
                <w:color w:val="auto"/>
                <w:kern w:val="2"/>
                <w:sz w:val="21"/>
                <w:szCs w:val="21"/>
              </w:rPr>
              <w:t>2、</w:t>
            </w:r>
            <w:r>
              <w:rPr>
                <w:rFonts w:hint="eastAsia" w:ascii="宋体" w:hAnsi="宋体"/>
                <w:color w:val="auto"/>
                <w:kern w:val="2"/>
                <w:sz w:val="21"/>
                <w:szCs w:val="21"/>
              </w:rPr>
              <w:t>将总量控制的污染物排污口及行业特征污染物排放口列为管理的重点；</w:t>
            </w:r>
          </w:p>
          <w:p w14:paraId="0D95BC36">
            <w:pPr>
              <w:widowControl w:val="0"/>
              <w:spacing w:line="360" w:lineRule="exact"/>
              <w:jc w:val="center"/>
              <w:rPr>
                <w:color w:val="auto"/>
                <w:kern w:val="2"/>
                <w:sz w:val="21"/>
                <w:szCs w:val="21"/>
              </w:rPr>
            </w:pPr>
            <w:r>
              <w:rPr>
                <w:rFonts w:hint="eastAsia"/>
                <w:color w:val="auto"/>
                <w:kern w:val="2"/>
                <w:sz w:val="21"/>
                <w:szCs w:val="21"/>
              </w:rPr>
              <w:t>3、</w:t>
            </w:r>
            <w:r>
              <w:rPr>
                <w:rFonts w:hint="eastAsia" w:ascii="宋体" w:hAnsi="宋体"/>
                <w:color w:val="auto"/>
                <w:kern w:val="2"/>
                <w:sz w:val="21"/>
                <w:szCs w:val="21"/>
              </w:rPr>
              <w:t>排污口设置应便于采样和计量监测，便于日常现场监督和检查；</w:t>
            </w:r>
          </w:p>
          <w:p w14:paraId="446217B1">
            <w:pPr>
              <w:widowControl w:val="0"/>
              <w:spacing w:line="360" w:lineRule="exact"/>
              <w:jc w:val="center"/>
              <w:rPr>
                <w:color w:val="auto"/>
                <w:kern w:val="2"/>
                <w:sz w:val="21"/>
                <w:szCs w:val="21"/>
              </w:rPr>
            </w:pPr>
            <w:r>
              <w:rPr>
                <w:color w:val="auto"/>
                <w:kern w:val="2"/>
                <w:sz w:val="21"/>
                <w:szCs w:val="21"/>
              </w:rPr>
              <w:t>4</w:t>
            </w:r>
            <w:r>
              <w:rPr>
                <w:rFonts w:hint="eastAsia" w:ascii="宋体" w:hAnsi="宋体"/>
                <w:color w:val="auto"/>
                <w:kern w:val="2"/>
                <w:sz w:val="21"/>
                <w:szCs w:val="21"/>
              </w:rPr>
              <w:t>、如实向环保行政主管部门申报排污口位置，排污种类、数量、浓度与排放去向等。</w:t>
            </w:r>
          </w:p>
        </w:tc>
      </w:tr>
      <w:tr w14:paraId="42B9C74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02" w:type="dxa"/>
            <w:vAlign w:val="center"/>
          </w:tcPr>
          <w:p w14:paraId="1700B5D9">
            <w:pPr>
              <w:widowControl w:val="0"/>
              <w:spacing w:line="360" w:lineRule="exact"/>
              <w:jc w:val="center"/>
              <w:rPr>
                <w:color w:val="auto"/>
                <w:kern w:val="2"/>
                <w:sz w:val="21"/>
                <w:szCs w:val="21"/>
              </w:rPr>
            </w:pPr>
            <w:r>
              <w:rPr>
                <w:rFonts w:hint="eastAsia" w:ascii="宋体" w:hAnsi="宋体"/>
                <w:color w:val="auto"/>
                <w:kern w:val="2"/>
                <w:sz w:val="21"/>
                <w:szCs w:val="21"/>
              </w:rPr>
              <w:t>技术</w:t>
            </w:r>
          </w:p>
          <w:p w14:paraId="114CF0B2">
            <w:pPr>
              <w:widowControl w:val="0"/>
              <w:spacing w:line="360" w:lineRule="exact"/>
              <w:jc w:val="center"/>
              <w:rPr>
                <w:color w:val="auto"/>
                <w:kern w:val="2"/>
                <w:sz w:val="21"/>
                <w:szCs w:val="21"/>
              </w:rPr>
            </w:pPr>
            <w:r>
              <w:rPr>
                <w:rFonts w:hint="eastAsia" w:ascii="宋体" w:hAnsi="宋体"/>
                <w:color w:val="auto"/>
                <w:kern w:val="2"/>
                <w:sz w:val="21"/>
                <w:szCs w:val="21"/>
              </w:rPr>
              <w:t>要求</w:t>
            </w:r>
          </w:p>
        </w:tc>
        <w:tc>
          <w:tcPr>
            <w:tcW w:w="7660" w:type="dxa"/>
            <w:vAlign w:val="center"/>
          </w:tcPr>
          <w:p w14:paraId="4FBAA33F">
            <w:pPr>
              <w:widowControl w:val="0"/>
              <w:spacing w:line="360" w:lineRule="exact"/>
              <w:jc w:val="center"/>
              <w:rPr>
                <w:color w:val="auto"/>
                <w:kern w:val="2"/>
                <w:sz w:val="21"/>
                <w:szCs w:val="21"/>
              </w:rPr>
            </w:pPr>
            <w:r>
              <w:rPr>
                <w:rFonts w:hint="eastAsia"/>
                <w:color w:val="auto"/>
                <w:kern w:val="2"/>
                <w:sz w:val="21"/>
                <w:szCs w:val="21"/>
              </w:rPr>
              <w:t>1、</w:t>
            </w:r>
            <w:r>
              <w:rPr>
                <w:rFonts w:hint="eastAsia" w:ascii="宋体" w:hAnsi="宋体"/>
                <w:color w:val="auto"/>
                <w:kern w:val="2"/>
                <w:sz w:val="21"/>
                <w:szCs w:val="21"/>
              </w:rPr>
              <w:t>排污口位置必须按照环监〔1996〕470号要求合理确定，实行规范化管理；</w:t>
            </w:r>
          </w:p>
          <w:p w14:paraId="461585C6">
            <w:pPr>
              <w:widowControl w:val="0"/>
              <w:spacing w:line="360" w:lineRule="exact"/>
              <w:jc w:val="center"/>
              <w:rPr>
                <w:color w:val="auto"/>
                <w:kern w:val="2"/>
                <w:sz w:val="21"/>
                <w:szCs w:val="21"/>
              </w:rPr>
            </w:pPr>
            <w:r>
              <w:rPr>
                <w:color w:val="auto"/>
                <w:kern w:val="2"/>
                <w:sz w:val="21"/>
                <w:szCs w:val="21"/>
              </w:rPr>
              <w:t>2</w:t>
            </w:r>
            <w:r>
              <w:rPr>
                <w:rFonts w:hint="eastAsia" w:ascii="宋体" w:hAnsi="宋体"/>
                <w:color w:val="auto"/>
                <w:kern w:val="2"/>
                <w:sz w:val="21"/>
                <w:szCs w:val="21"/>
              </w:rPr>
              <w:t>、具体设置应符合《污染源监测技术规范》的规定与要求；</w:t>
            </w:r>
          </w:p>
        </w:tc>
      </w:tr>
      <w:tr w14:paraId="778A72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02" w:type="dxa"/>
            <w:vAlign w:val="center"/>
          </w:tcPr>
          <w:p w14:paraId="6C1E1002">
            <w:pPr>
              <w:widowControl w:val="0"/>
              <w:spacing w:line="360" w:lineRule="exact"/>
              <w:jc w:val="center"/>
              <w:rPr>
                <w:color w:val="auto"/>
                <w:kern w:val="2"/>
                <w:sz w:val="21"/>
                <w:szCs w:val="21"/>
              </w:rPr>
            </w:pPr>
            <w:r>
              <w:rPr>
                <w:rFonts w:hint="eastAsia" w:ascii="宋体" w:hAnsi="宋体"/>
                <w:color w:val="auto"/>
                <w:kern w:val="2"/>
                <w:sz w:val="21"/>
                <w:szCs w:val="21"/>
              </w:rPr>
              <w:t>立标</w:t>
            </w:r>
          </w:p>
          <w:p w14:paraId="5858FF2E">
            <w:pPr>
              <w:widowControl w:val="0"/>
              <w:spacing w:line="360" w:lineRule="exact"/>
              <w:jc w:val="center"/>
              <w:rPr>
                <w:color w:val="auto"/>
                <w:kern w:val="2"/>
                <w:sz w:val="21"/>
                <w:szCs w:val="21"/>
              </w:rPr>
            </w:pPr>
            <w:r>
              <w:rPr>
                <w:rFonts w:hint="eastAsia" w:ascii="宋体" w:hAnsi="宋体"/>
                <w:color w:val="auto"/>
                <w:kern w:val="2"/>
                <w:sz w:val="21"/>
                <w:szCs w:val="21"/>
              </w:rPr>
              <w:t>管理</w:t>
            </w:r>
          </w:p>
        </w:tc>
        <w:tc>
          <w:tcPr>
            <w:tcW w:w="7660" w:type="dxa"/>
            <w:vAlign w:val="center"/>
          </w:tcPr>
          <w:p w14:paraId="69427B9F">
            <w:pPr>
              <w:widowControl w:val="0"/>
              <w:spacing w:line="360" w:lineRule="exact"/>
              <w:jc w:val="center"/>
              <w:rPr>
                <w:color w:val="auto"/>
                <w:kern w:val="2"/>
                <w:sz w:val="21"/>
                <w:szCs w:val="21"/>
              </w:rPr>
            </w:pPr>
            <w:r>
              <w:rPr>
                <w:color w:val="auto"/>
                <w:kern w:val="2"/>
                <w:sz w:val="21"/>
                <w:szCs w:val="21"/>
              </w:rPr>
              <w:t>1</w:t>
            </w:r>
            <w:r>
              <w:rPr>
                <w:rFonts w:hint="eastAsia" w:ascii="宋体" w:hAnsi="宋体"/>
                <w:color w:val="auto"/>
                <w:kern w:val="2"/>
                <w:sz w:val="21"/>
                <w:szCs w:val="21"/>
              </w:rPr>
              <w:t>、排污口必须按照国家《环境保护图形标志》相关规定，设置环保图形标志牌；</w:t>
            </w:r>
          </w:p>
          <w:p w14:paraId="368D82E4">
            <w:pPr>
              <w:widowControl w:val="0"/>
              <w:spacing w:line="360" w:lineRule="exact"/>
              <w:jc w:val="center"/>
              <w:rPr>
                <w:color w:val="auto"/>
                <w:kern w:val="2"/>
                <w:sz w:val="21"/>
                <w:szCs w:val="21"/>
              </w:rPr>
            </w:pPr>
            <w:r>
              <w:rPr>
                <w:color w:val="auto"/>
                <w:kern w:val="2"/>
                <w:sz w:val="21"/>
                <w:szCs w:val="21"/>
              </w:rPr>
              <w:t>2</w:t>
            </w:r>
            <w:r>
              <w:rPr>
                <w:rFonts w:hint="eastAsia" w:ascii="宋体" w:hAnsi="宋体"/>
                <w:color w:val="auto"/>
                <w:kern w:val="2"/>
                <w:sz w:val="21"/>
                <w:szCs w:val="21"/>
              </w:rPr>
              <w:t>、标志牌设置位置应距排污口及固体废物贮存（处置）场或采样点较近且醒目处，设置高度一般为标志牌上缘距离地面约</w:t>
            </w:r>
            <w:r>
              <w:rPr>
                <w:color w:val="auto"/>
                <w:kern w:val="2"/>
                <w:sz w:val="21"/>
                <w:szCs w:val="21"/>
              </w:rPr>
              <w:t>2m</w:t>
            </w:r>
            <w:r>
              <w:rPr>
                <w:rFonts w:hint="eastAsia" w:ascii="宋体" w:hAnsi="宋体"/>
                <w:color w:val="auto"/>
                <w:kern w:val="2"/>
                <w:sz w:val="21"/>
                <w:szCs w:val="21"/>
              </w:rPr>
              <w:t>；</w:t>
            </w:r>
          </w:p>
          <w:p w14:paraId="6DE32F87">
            <w:pPr>
              <w:widowControl w:val="0"/>
              <w:spacing w:line="360" w:lineRule="exact"/>
              <w:jc w:val="center"/>
              <w:rPr>
                <w:color w:val="auto"/>
                <w:kern w:val="2"/>
                <w:sz w:val="21"/>
                <w:szCs w:val="21"/>
              </w:rPr>
            </w:pPr>
            <w:r>
              <w:rPr>
                <w:color w:val="auto"/>
                <w:kern w:val="2"/>
                <w:sz w:val="21"/>
                <w:szCs w:val="21"/>
              </w:rPr>
              <w:t>3</w:t>
            </w:r>
            <w:r>
              <w:rPr>
                <w:rFonts w:hint="eastAsia" w:ascii="宋体" w:hAnsi="宋体"/>
                <w:color w:val="auto"/>
                <w:kern w:val="2"/>
                <w:sz w:val="21"/>
                <w:szCs w:val="21"/>
              </w:rPr>
              <w:t>、重点排污单位排污口设立式标志牌，一般单位排污口可设立式或平面固定式提示性环保图形标志牌；</w:t>
            </w:r>
          </w:p>
          <w:p w14:paraId="3FA351EB">
            <w:pPr>
              <w:widowControl w:val="0"/>
              <w:spacing w:line="360" w:lineRule="exact"/>
              <w:jc w:val="center"/>
              <w:rPr>
                <w:color w:val="auto"/>
                <w:kern w:val="2"/>
                <w:sz w:val="21"/>
                <w:szCs w:val="21"/>
              </w:rPr>
            </w:pPr>
            <w:r>
              <w:rPr>
                <w:color w:val="auto"/>
                <w:kern w:val="2"/>
                <w:sz w:val="21"/>
                <w:szCs w:val="21"/>
              </w:rPr>
              <w:t>4</w:t>
            </w:r>
            <w:r>
              <w:rPr>
                <w:rFonts w:hint="eastAsia" w:ascii="宋体" w:hAnsi="宋体"/>
                <w:color w:val="auto"/>
                <w:kern w:val="2"/>
                <w:sz w:val="21"/>
                <w:szCs w:val="21"/>
              </w:rPr>
              <w:t>、对危险物贮存、处置场所，必须设置警告性环境保护图形标志牌。</w:t>
            </w:r>
          </w:p>
        </w:tc>
      </w:tr>
      <w:tr w14:paraId="193CD1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702" w:type="dxa"/>
            <w:vAlign w:val="center"/>
          </w:tcPr>
          <w:p w14:paraId="154CC3FC">
            <w:pPr>
              <w:widowControl w:val="0"/>
              <w:spacing w:line="360" w:lineRule="exact"/>
              <w:jc w:val="center"/>
              <w:rPr>
                <w:color w:val="auto"/>
                <w:kern w:val="2"/>
                <w:sz w:val="21"/>
                <w:szCs w:val="21"/>
              </w:rPr>
            </w:pPr>
            <w:r>
              <w:rPr>
                <w:rFonts w:ascii="宋体" w:hAnsi="宋体"/>
                <w:color w:val="auto"/>
                <w:kern w:val="2"/>
                <w:sz w:val="21"/>
                <w:szCs w:val="21"/>
              </w:rPr>
              <w:t>建档</w:t>
            </w:r>
          </w:p>
          <w:p w14:paraId="3D0754EB">
            <w:pPr>
              <w:widowControl w:val="0"/>
              <w:spacing w:line="360" w:lineRule="exact"/>
              <w:jc w:val="center"/>
              <w:rPr>
                <w:color w:val="auto"/>
                <w:kern w:val="2"/>
                <w:sz w:val="21"/>
                <w:szCs w:val="21"/>
              </w:rPr>
            </w:pPr>
            <w:r>
              <w:rPr>
                <w:rFonts w:hint="eastAsia" w:ascii="宋体" w:hAnsi="宋体"/>
                <w:color w:val="auto"/>
                <w:kern w:val="2"/>
                <w:sz w:val="21"/>
                <w:szCs w:val="21"/>
              </w:rPr>
              <w:t>管理</w:t>
            </w:r>
          </w:p>
        </w:tc>
        <w:tc>
          <w:tcPr>
            <w:tcW w:w="7660" w:type="dxa"/>
            <w:vAlign w:val="center"/>
          </w:tcPr>
          <w:p w14:paraId="5D5181F4">
            <w:pPr>
              <w:widowControl w:val="0"/>
              <w:spacing w:line="360" w:lineRule="exact"/>
              <w:jc w:val="center"/>
              <w:rPr>
                <w:color w:val="auto"/>
                <w:kern w:val="2"/>
                <w:sz w:val="21"/>
                <w:szCs w:val="21"/>
              </w:rPr>
            </w:pPr>
            <w:r>
              <w:rPr>
                <w:color w:val="auto"/>
                <w:kern w:val="2"/>
                <w:sz w:val="21"/>
                <w:szCs w:val="21"/>
              </w:rPr>
              <w:t>1</w:t>
            </w:r>
            <w:r>
              <w:rPr>
                <w:rFonts w:hint="eastAsia" w:ascii="宋体" w:hAnsi="宋体"/>
                <w:color w:val="auto"/>
                <w:kern w:val="2"/>
                <w:sz w:val="21"/>
                <w:szCs w:val="21"/>
              </w:rPr>
              <w:t>、使用《中华人民共和国规范化排污口标志登记证》，并按要求填写有关内容；</w:t>
            </w:r>
          </w:p>
          <w:p w14:paraId="1AF34B87">
            <w:pPr>
              <w:widowControl w:val="0"/>
              <w:spacing w:line="360" w:lineRule="exact"/>
              <w:jc w:val="center"/>
              <w:rPr>
                <w:color w:val="auto"/>
                <w:kern w:val="2"/>
                <w:sz w:val="21"/>
                <w:szCs w:val="21"/>
              </w:rPr>
            </w:pPr>
            <w:r>
              <w:rPr>
                <w:color w:val="auto"/>
                <w:kern w:val="2"/>
                <w:sz w:val="21"/>
                <w:szCs w:val="21"/>
              </w:rPr>
              <w:t>2</w:t>
            </w:r>
            <w:r>
              <w:rPr>
                <w:rFonts w:hint="eastAsia" w:ascii="宋体" w:hAnsi="宋体"/>
                <w:color w:val="auto"/>
                <w:kern w:val="2"/>
                <w:sz w:val="21"/>
                <w:szCs w:val="21"/>
              </w:rPr>
              <w:t>、严格按照环境管理监控计划及排污口管理内容要求，在工程建成后将主要污染物种类、数量、排放浓度与去向，立标及环保设施</w:t>
            </w:r>
            <w:r>
              <w:rPr>
                <w:rFonts w:ascii="宋体" w:hAnsi="宋体"/>
                <w:color w:val="auto"/>
                <w:kern w:val="2"/>
                <w:sz w:val="21"/>
                <w:szCs w:val="21"/>
              </w:rPr>
              <w:t>运行情况记录在案，并及时上报；</w:t>
            </w:r>
          </w:p>
          <w:p w14:paraId="02A54460">
            <w:pPr>
              <w:widowControl w:val="0"/>
              <w:spacing w:line="360" w:lineRule="exact"/>
              <w:jc w:val="center"/>
              <w:rPr>
                <w:color w:val="auto"/>
                <w:kern w:val="2"/>
                <w:sz w:val="21"/>
                <w:szCs w:val="21"/>
              </w:rPr>
            </w:pPr>
            <w:r>
              <w:rPr>
                <w:color w:val="auto"/>
                <w:kern w:val="2"/>
                <w:sz w:val="21"/>
                <w:szCs w:val="21"/>
              </w:rPr>
              <w:t>3</w:t>
            </w:r>
            <w:r>
              <w:rPr>
                <w:rFonts w:ascii="宋体" w:hAnsi="宋体"/>
                <w:color w:val="auto"/>
                <w:kern w:val="2"/>
                <w:sz w:val="21"/>
                <w:szCs w:val="21"/>
              </w:rPr>
              <w:t>、选派有专业技能环保人员对排污口进行管理，做到责任明确、奖罚分明</w:t>
            </w:r>
            <w:r>
              <w:rPr>
                <w:rFonts w:hint="eastAsia" w:ascii="宋体" w:hAnsi="宋体"/>
                <w:color w:val="auto"/>
                <w:kern w:val="2"/>
                <w:sz w:val="21"/>
                <w:szCs w:val="21"/>
              </w:rPr>
              <w:t>。</w:t>
            </w:r>
          </w:p>
        </w:tc>
      </w:tr>
    </w:tbl>
    <w:p w14:paraId="4D3FA3F4">
      <w:pPr>
        <w:pStyle w:val="3"/>
        <w:rPr>
          <w:color w:val="auto"/>
        </w:rPr>
      </w:pPr>
      <w:bookmarkStart w:id="422" w:name="_Toc229930176"/>
      <w:r>
        <w:rPr>
          <w:color w:val="auto"/>
        </w:rPr>
        <w:t>环境监测</w:t>
      </w:r>
      <w:bookmarkEnd w:id="422"/>
    </w:p>
    <w:p w14:paraId="1D81AC0C">
      <w:pPr>
        <w:pStyle w:val="4"/>
        <w:rPr>
          <w:color w:val="auto"/>
        </w:rPr>
      </w:pPr>
      <w:r>
        <w:rPr>
          <w:rFonts w:hint="eastAsia"/>
          <w:color w:val="auto"/>
        </w:rPr>
        <w:t>环境监测的意义</w:t>
      </w:r>
    </w:p>
    <w:p w14:paraId="12B20B20">
      <w:pPr>
        <w:pStyle w:val="132"/>
        <w:rPr>
          <w:color w:val="auto"/>
        </w:rPr>
      </w:pPr>
      <w:r>
        <w:rPr>
          <w:color w:val="auto"/>
        </w:rPr>
        <w:t>环境监测(包括污染源监测)是企业环境保护的重要组成部分，也是企业的一项规范化制度。环境监测是环保工作的重要组成部分，它是弄清污染物的来源、性质、数量和分布，正确评价环境质量和处理装置效果必不可少的手段。通过环境监测，进行数据整理分析，建立监测档案，可为污染源治理，掌握污染物排放变化规律提供依据，为上级生态环境部门进行区域环境规划、管理执法提供依据。同时，环境监测也是企业实现污染物总量控制，做到清洁生产的重要保证手段之一。</w:t>
      </w:r>
    </w:p>
    <w:p w14:paraId="53617808">
      <w:pPr>
        <w:pStyle w:val="132"/>
        <w:rPr>
          <w:color w:val="auto"/>
        </w:rPr>
      </w:pPr>
      <w:r>
        <w:rPr>
          <w:color w:val="auto"/>
        </w:rPr>
        <w:t>本项目作为工业项目，建立自身环境监测手段是十分必要的。</w:t>
      </w:r>
    </w:p>
    <w:p w14:paraId="5D46A797">
      <w:pPr>
        <w:pStyle w:val="4"/>
        <w:rPr>
          <w:color w:val="auto"/>
        </w:rPr>
      </w:pPr>
      <w:r>
        <w:rPr>
          <w:rFonts w:hint="eastAsia"/>
          <w:color w:val="auto"/>
        </w:rPr>
        <w:t>环境监测工作</w:t>
      </w:r>
    </w:p>
    <w:p w14:paraId="7A984024">
      <w:pPr>
        <w:pStyle w:val="132"/>
        <w:rPr>
          <w:color w:val="auto"/>
        </w:rPr>
      </w:pPr>
      <w:r>
        <w:rPr>
          <w:color w:val="auto"/>
        </w:rPr>
        <w:t>本项目的综合楼内设置有分析化验室，本项目企业日常监测工作由其承担。中央化验室下设有化学分析、电化学分析、天平、加热、药品储存、色谱、原子吸收光谱、仪器分析、样品、产品检验、标准样品配制、蒸馏水、生物分析、水质分析等相关部门，并配备有气体分析仪、原子吸收光谱仪、色谱仪、紫外可见分光光度计、显微镜、多功能微量硫分析仪、水质分析仪、电子分析天平、光学分析天平、气体分析仪、全自动电位滴定仪、箱式电炉、K-F水分分析仪等实验室分析设备。分析化验室具备对生产过程中的废水、废气、废渣等进行日常监测的能力。</w:t>
      </w:r>
    </w:p>
    <w:p w14:paraId="3DE1A1AF">
      <w:pPr>
        <w:pStyle w:val="4"/>
        <w:rPr>
          <w:color w:val="auto"/>
        </w:rPr>
      </w:pPr>
      <w:r>
        <w:rPr>
          <w:rFonts w:hint="eastAsia"/>
          <w:color w:val="auto"/>
        </w:rPr>
        <w:t>监测项目</w:t>
      </w:r>
    </w:p>
    <w:p w14:paraId="1404931D">
      <w:pPr>
        <w:pStyle w:val="132"/>
        <w:rPr>
          <w:color w:val="auto"/>
        </w:rPr>
      </w:pPr>
      <w:r>
        <w:rPr>
          <w:color w:val="auto"/>
        </w:rPr>
        <w:t>本项目施工期环境监控计划见</w:t>
      </w:r>
      <w:r>
        <w:rPr>
          <w:rFonts w:hint="eastAsia"/>
          <w:color w:val="auto"/>
        </w:rPr>
        <w:t>表9.4.3-1。</w:t>
      </w:r>
    </w:p>
    <w:p w14:paraId="0E8C7F87">
      <w:pPr>
        <w:pStyle w:val="1060"/>
        <w:rPr>
          <w:b/>
          <w:color w:val="auto"/>
          <w:kern w:val="16"/>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b/>
          <w:color w:val="auto"/>
          <w:kern w:val="16"/>
        </w:rPr>
        <w:t xml:space="preserve">  </w:t>
      </w:r>
      <w:r>
        <w:rPr>
          <w:rFonts w:hint="eastAsia" w:ascii="黑体" w:hAnsi="黑体"/>
          <w:b/>
          <w:color w:val="auto"/>
          <w:kern w:val="16"/>
        </w:rPr>
        <w:t>施工期监测计划</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755"/>
        <w:gridCol w:w="1833"/>
        <w:gridCol w:w="1683"/>
        <w:gridCol w:w="1757"/>
        <w:gridCol w:w="1758"/>
      </w:tblGrid>
      <w:tr w14:paraId="241ACD1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99" w:type="pct"/>
            <w:vAlign w:val="center"/>
          </w:tcPr>
          <w:p w14:paraId="3F05162A">
            <w:pPr>
              <w:widowControl w:val="0"/>
              <w:spacing w:before="100" w:beforeAutospacing="1" w:line="360" w:lineRule="exact"/>
              <w:jc w:val="center"/>
              <w:rPr>
                <w:color w:val="auto"/>
                <w:kern w:val="2"/>
                <w:sz w:val="21"/>
                <w:szCs w:val="21"/>
              </w:rPr>
            </w:pPr>
            <w:r>
              <w:rPr>
                <w:rFonts w:ascii="宋体" w:hAnsi="宋体"/>
                <w:color w:val="auto"/>
                <w:kern w:val="2"/>
                <w:sz w:val="21"/>
                <w:szCs w:val="21"/>
              </w:rPr>
              <w:t>类型</w:t>
            </w:r>
          </w:p>
        </w:tc>
        <w:tc>
          <w:tcPr>
            <w:tcW w:w="1043" w:type="pct"/>
            <w:vAlign w:val="center"/>
          </w:tcPr>
          <w:p w14:paraId="413024F8">
            <w:pPr>
              <w:widowControl w:val="0"/>
              <w:spacing w:before="100" w:beforeAutospacing="1" w:line="360" w:lineRule="exact"/>
              <w:jc w:val="center"/>
              <w:rPr>
                <w:color w:val="auto"/>
                <w:kern w:val="2"/>
                <w:sz w:val="21"/>
                <w:szCs w:val="21"/>
              </w:rPr>
            </w:pPr>
            <w:r>
              <w:rPr>
                <w:rFonts w:ascii="宋体" w:hAnsi="宋体"/>
                <w:color w:val="auto"/>
                <w:kern w:val="2"/>
                <w:sz w:val="21"/>
                <w:szCs w:val="21"/>
              </w:rPr>
              <w:t>监测对象点位</w:t>
            </w:r>
          </w:p>
        </w:tc>
        <w:tc>
          <w:tcPr>
            <w:tcW w:w="958" w:type="pct"/>
            <w:vAlign w:val="center"/>
          </w:tcPr>
          <w:p w14:paraId="6F072485">
            <w:pPr>
              <w:widowControl w:val="0"/>
              <w:spacing w:before="100" w:beforeAutospacing="1" w:line="360" w:lineRule="exact"/>
              <w:jc w:val="center"/>
              <w:rPr>
                <w:color w:val="auto"/>
                <w:kern w:val="2"/>
                <w:sz w:val="21"/>
                <w:szCs w:val="21"/>
              </w:rPr>
            </w:pPr>
            <w:r>
              <w:rPr>
                <w:rFonts w:ascii="宋体" w:hAnsi="宋体"/>
                <w:color w:val="auto"/>
                <w:kern w:val="2"/>
                <w:sz w:val="21"/>
                <w:szCs w:val="21"/>
              </w:rPr>
              <w:t>监测项目</w:t>
            </w:r>
          </w:p>
        </w:tc>
        <w:tc>
          <w:tcPr>
            <w:tcW w:w="1000" w:type="pct"/>
            <w:vAlign w:val="center"/>
          </w:tcPr>
          <w:p w14:paraId="0010E7C6">
            <w:pPr>
              <w:widowControl w:val="0"/>
              <w:spacing w:before="100" w:beforeAutospacing="1" w:line="360" w:lineRule="exact"/>
              <w:jc w:val="center"/>
              <w:rPr>
                <w:color w:val="auto"/>
                <w:kern w:val="2"/>
                <w:sz w:val="21"/>
                <w:szCs w:val="21"/>
              </w:rPr>
            </w:pPr>
            <w:r>
              <w:rPr>
                <w:rFonts w:ascii="宋体" w:hAnsi="宋体"/>
                <w:color w:val="auto"/>
                <w:kern w:val="2"/>
                <w:sz w:val="21"/>
                <w:szCs w:val="21"/>
              </w:rPr>
              <w:t>监测频率</w:t>
            </w:r>
          </w:p>
        </w:tc>
        <w:tc>
          <w:tcPr>
            <w:tcW w:w="1000" w:type="pct"/>
            <w:vAlign w:val="center"/>
          </w:tcPr>
          <w:p w14:paraId="2398484F">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监测</w:t>
            </w:r>
            <w:r>
              <w:rPr>
                <w:rFonts w:ascii="宋体" w:hAnsi="宋体"/>
                <w:color w:val="auto"/>
                <w:kern w:val="2"/>
                <w:sz w:val="21"/>
                <w:szCs w:val="21"/>
              </w:rPr>
              <w:t>方式</w:t>
            </w:r>
          </w:p>
        </w:tc>
      </w:tr>
      <w:tr w14:paraId="6361071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99" w:type="pct"/>
            <w:vAlign w:val="center"/>
          </w:tcPr>
          <w:p w14:paraId="333A393B">
            <w:pPr>
              <w:widowControl w:val="0"/>
              <w:spacing w:before="100" w:beforeAutospacing="1" w:line="360" w:lineRule="exact"/>
              <w:jc w:val="center"/>
              <w:rPr>
                <w:color w:val="auto"/>
                <w:kern w:val="2"/>
                <w:sz w:val="21"/>
                <w:szCs w:val="21"/>
              </w:rPr>
            </w:pPr>
            <w:r>
              <w:rPr>
                <w:rFonts w:ascii="宋体" w:hAnsi="宋体"/>
                <w:color w:val="auto"/>
                <w:kern w:val="2"/>
                <w:sz w:val="21"/>
                <w:szCs w:val="21"/>
              </w:rPr>
              <w:t>施工扬尘</w:t>
            </w:r>
          </w:p>
        </w:tc>
        <w:tc>
          <w:tcPr>
            <w:tcW w:w="1043" w:type="pct"/>
            <w:vAlign w:val="center"/>
          </w:tcPr>
          <w:p w14:paraId="5BB2526A">
            <w:pPr>
              <w:widowControl w:val="0"/>
              <w:spacing w:before="100" w:beforeAutospacing="1" w:line="360" w:lineRule="exact"/>
              <w:jc w:val="center"/>
              <w:rPr>
                <w:color w:val="auto"/>
                <w:kern w:val="2"/>
                <w:sz w:val="21"/>
                <w:szCs w:val="21"/>
              </w:rPr>
            </w:pPr>
            <w:r>
              <w:rPr>
                <w:rFonts w:ascii="宋体" w:hAnsi="宋体"/>
                <w:color w:val="auto"/>
                <w:kern w:val="2"/>
                <w:sz w:val="21"/>
                <w:szCs w:val="21"/>
              </w:rPr>
              <w:t>施工场地下风向</w:t>
            </w:r>
          </w:p>
        </w:tc>
        <w:tc>
          <w:tcPr>
            <w:tcW w:w="958" w:type="pct"/>
            <w:vAlign w:val="center"/>
          </w:tcPr>
          <w:p w14:paraId="63109F5F">
            <w:pPr>
              <w:widowControl w:val="0"/>
              <w:spacing w:before="100" w:beforeAutospacing="1" w:line="360" w:lineRule="exact"/>
              <w:jc w:val="center"/>
              <w:rPr>
                <w:color w:val="auto"/>
                <w:kern w:val="2"/>
                <w:sz w:val="21"/>
                <w:szCs w:val="21"/>
              </w:rPr>
            </w:pPr>
            <w:r>
              <w:rPr>
                <w:color w:val="auto"/>
                <w:kern w:val="2"/>
                <w:sz w:val="21"/>
                <w:szCs w:val="21"/>
              </w:rPr>
              <w:t>TSP</w:t>
            </w:r>
          </w:p>
        </w:tc>
        <w:tc>
          <w:tcPr>
            <w:tcW w:w="1000" w:type="pct"/>
            <w:vAlign w:val="center"/>
          </w:tcPr>
          <w:p w14:paraId="0FBEEAD0">
            <w:pPr>
              <w:widowControl w:val="0"/>
              <w:spacing w:before="100" w:beforeAutospacing="1" w:line="360" w:lineRule="exact"/>
              <w:jc w:val="center"/>
              <w:rPr>
                <w:color w:val="auto"/>
                <w:kern w:val="2"/>
                <w:sz w:val="21"/>
                <w:szCs w:val="21"/>
              </w:rPr>
            </w:pPr>
            <w:r>
              <w:rPr>
                <w:rFonts w:ascii="宋体" w:hAnsi="宋体"/>
                <w:color w:val="auto"/>
                <w:kern w:val="2"/>
                <w:sz w:val="21"/>
                <w:szCs w:val="21"/>
              </w:rPr>
              <w:t>每月一次</w:t>
            </w:r>
          </w:p>
        </w:tc>
        <w:tc>
          <w:tcPr>
            <w:tcW w:w="1000" w:type="pct"/>
            <w:vAlign w:val="center"/>
          </w:tcPr>
          <w:p w14:paraId="2A42E53C">
            <w:pPr>
              <w:widowControl w:val="0"/>
              <w:spacing w:before="100" w:beforeAutospacing="1" w:line="360" w:lineRule="exact"/>
              <w:jc w:val="center"/>
              <w:rPr>
                <w:color w:val="auto"/>
                <w:kern w:val="2"/>
                <w:sz w:val="21"/>
                <w:szCs w:val="21"/>
              </w:rPr>
            </w:pPr>
            <w:r>
              <w:rPr>
                <w:rFonts w:ascii="宋体" w:hAnsi="宋体"/>
                <w:color w:val="auto"/>
                <w:kern w:val="2"/>
                <w:sz w:val="21"/>
                <w:szCs w:val="21"/>
              </w:rPr>
              <w:t>委托</w:t>
            </w:r>
          </w:p>
        </w:tc>
      </w:tr>
      <w:tr w14:paraId="7F4C8C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999" w:type="pct"/>
            <w:vAlign w:val="center"/>
          </w:tcPr>
          <w:p w14:paraId="1C58C99B">
            <w:pPr>
              <w:widowControl w:val="0"/>
              <w:spacing w:before="100" w:beforeAutospacing="1" w:line="360" w:lineRule="exact"/>
              <w:jc w:val="center"/>
              <w:rPr>
                <w:color w:val="auto"/>
                <w:kern w:val="2"/>
                <w:sz w:val="21"/>
                <w:szCs w:val="21"/>
              </w:rPr>
            </w:pPr>
            <w:r>
              <w:rPr>
                <w:rFonts w:ascii="宋体" w:hAnsi="宋体"/>
                <w:color w:val="auto"/>
                <w:kern w:val="2"/>
                <w:sz w:val="21"/>
                <w:szCs w:val="21"/>
              </w:rPr>
              <w:t>施工噪声</w:t>
            </w:r>
          </w:p>
        </w:tc>
        <w:tc>
          <w:tcPr>
            <w:tcW w:w="1043" w:type="pct"/>
            <w:vAlign w:val="center"/>
          </w:tcPr>
          <w:p w14:paraId="153AFC27">
            <w:pPr>
              <w:widowControl w:val="0"/>
              <w:spacing w:before="100" w:beforeAutospacing="1" w:line="360" w:lineRule="exact"/>
              <w:jc w:val="center"/>
              <w:rPr>
                <w:color w:val="auto"/>
                <w:kern w:val="2"/>
                <w:sz w:val="21"/>
                <w:szCs w:val="21"/>
              </w:rPr>
            </w:pPr>
            <w:r>
              <w:rPr>
                <w:rFonts w:ascii="宋体" w:hAnsi="宋体"/>
                <w:color w:val="auto"/>
                <w:kern w:val="2"/>
                <w:sz w:val="21"/>
                <w:szCs w:val="21"/>
              </w:rPr>
              <w:t>施工区外围</w:t>
            </w:r>
          </w:p>
        </w:tc>
        <w:tc>
          <w:tcPr>
            <w:tcW w:w="958" w:type="pct"/>
            <w:vAlign w:val="center"/>
          </w:tcPr>
          <w:p w14:paraId="12E82A87">
            <w:pPr>
              <w:widowControl w:val="0"/>
              <w:spacing w:before="100" w:beforeAutospacing="1" w:line="360" w:lineRule="exact"/>
              <w:jc w:val="center"/>
              <w:rPr>
                <w:color w:val="auto"/>
                <w:kern w:val="2"/>
                <w:sz w:val="21"/>
                <w:szCs w:val="21"/>
              </w:rPr>
            </w:pPr>
            <w:r>
              <w:rPr>
                <w:rFonts w:ascii="宋体" w:hAnsi="宋体"/>
                <w:color w:val="auto"/>
                <w:kern w:val="2"/>
                <w:sz w:val="21"/>
                <w:szCs w:val="21"/>
              </w:rPr>
              <w:t>等效</w:t>
            </w:r>
            <w:r>
              <w:rPr>
                <w:color w:val="auto"/>
                <w:kern w:val="2"/>
                <w:sz w:val="21"/>
                <w:szCs w:val="21"/>
              </w:rPr>
              <w:t>A</w:t>
            </w:r>
            <w:r>
              <w:rPr>
                <w:rFonts w:ascii="宋体" w:hAnsi="宋体"/>
                <w:color w:val="auto"/>
                <w:kern w:val="2"/>
                <w:sz w:val="21"/>
                <w:szCs w:val="21"/>
              </w:rPr>
              <w:t>声级</w:t>
            </w:r>
          </w:p>
        </w:tc>
        <w:tc>
          <w:tcPr>
            <w:tcW w:w="1000" w:type="pct"/>
            <w:vAlign w:val="center"/>
          </w:tcPr>
          <w:p w14:paraId="6FB44605">
            <w:pPr>
              <w:widowControl w:val="0"/>
              <w:spacing w:before="100" w:beforeAutospacing="1" w:line="360" w:lineRule="exact"/>
              <w:jc w:val="center"/>
              <w:rPr>
                <w:color w:val="auto"/>
                <w:kern w:val="2"/>
                <w:sz w:val="21"/>
                <w:szCs w:val="21"/>
              </w:rPr>
            </w:pPr>
            <w:r>
              <w:rPr>
                <w:rFonts w:ascii="宋体" w:hAnsi="宋体"/>
                <w:color w:val="auto"/>
                <w:kern w:val="2"/>
                <w:sz w:val="21"/>
                <w:szCs w:val="21"/>
              </w:rPr>
              <w:t>每月一次</w:t>
            </w:r>
          </w:p>
        </w:tc>
        <w:tc>
          <w:tcPr>
            <w:tcW w:w="1000" w:type="pct"/>
            <w:vAlign w:val="center"/>
          </w:tcPr>
          <w:p w14:paraId="71EF2ADE">
            <w:pPr>
              <w:widowControl w:val="0"/>
              <w:spacing w:before="100" w:beforeAutospacing="1" w:line="360" w:lineRule="exact"/>
              <w:jc w:val="center"/>
              <w:rPr>
                <w:color w:val="auto"/>
                <w:kern w:val="2"/>
                <w:sz w:val="21"/>
                <w:szCs w:val="21"/>
              </w:rPr>
            </w:pPr>
            <w:r>
              <w:rPr>
                <w:rFonts w:ascii="宋体" w:hAnsi="宋体"/>
                <w:color w:val="auto"/>
                <w:kern w:val="2"/>
                <w:sz w:val="21"/>
                <w:szCs w:val="21"/>
              </w:rPr>
              <w:t>委托</w:t>
            </w:r>
          </w:p>
        </w:tc>
      </w:tr>
    </w:tbl>
    <w:p w14:paraId="36C9E057">
      <w:pPr>
        <w:pStyle w:val="132"/>
        <w:rPr>
          <w:color w:val="auto"/>
        </w:rPr>
      </w:pPr>
      <w:r>
        <w:rPr>
          <w:color w:val="auto"/>
        </w:rPr>
        <w:t>根据《环境影响评价技术导则 大气环境》（HJ2.2-2018），应选用Pi≥1的其他污染物作为环境监测因子，本项目仅有TSP＞1%。运营期环境监测工作内容汇总见</w:t>
      </w:r>
      <w:r>
        <w:rPr>
          <w:rFonts w:hint="eastAsia"/>
          <w:color w:val="auto"/>
        </w:rPr>
        <w:t>表9.4-2。</w:t>
      </w:r>
    </w:p>
    <w:p w14:paraId="79B02B04">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 xml:space="preserve"> 运营期环境监测计划</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930"/>
        <w:gridCol w:w="1287"/>
        <w:gridCol w:w="5634"/>
        <w:gridCol w:w="935"/>
      </w:tblGrid>
      <w:tr w14:paraId="7C9B53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29" w:type="pct"/>
            <w:vAlign w:val="center"/>
          </w:tcPr>
          <w:p w14:paraId="766F283E">
            <w:pPr>
              <w:pStyle w:val="129"/>
              <w:widowControl w:val="0"/>
              <w:rPr>
                <w:color w:val="auto"/>
              </w:rPr>
            </w:pPr>
            <w:r>
              <w:rPr>
                <w:rFonts w:hint="eastAsia" w:ascii="宋体" w:hAnsi="宋体" w:cs="宋体"/>
                <w:color w:val="auto"/>
              </w:rPr>
              <w:t>项目</w:t>
            </w:r>
          </w:p>
        </w:tc>
        <w:tc>
          <w:tcPr>
            <w:tcW w:w="732" w:type="pct"/>
            <w:vAlign w:val="center"/>
          </w:tcPr>
          <w:p w14:paraId="2167D307">
            <w:pPr>
              <w:pStyle w:val="129"/>
              <w:widowControl w:val="0"/>
              <w:rPr>
                <w:color w:val="auto"/>
              </w:rPr>
            </w:pPr>
            <w:r>
              <w:rPr>
                <w:rFonts w:hint="eastAsia" w:ascii="宋体" w:hAnsi="宋体" w:cs="宋体"/>
                <w:color w:val="auto"/>
              </w:rPr>
              <w:t>监测地点</w:t>
            </w:r>
          </w:p>
        </w:tc>
        <w:tc>
          <w:tcPr>
            <w:tcW w:w="3205" w:type="pct"/>
            <w:vAlign w:val="center"/>
          </w:tcPr>
          <w:p w14:paraId="27177ACD">
            <w:pPr>
              <w:pStyle w:val="129"/>
              <w:widowControl w:val="0"/>
              <w:rPr>
                <w:color w:val="auto"/>
              </w:rPr>
            </w:pPr>
            <w:r>
              <w:rPr>
                <w:rFonts w:hint="eastAsia" w:ascii="宋体" w:hAnsi="宋体" w:cs="宋体"/>
                <w:color w:val="auto"/>
              </w:rPr>
              <w:t>监测内容</w:t>
            </w:r>
          </w:p>
        </w:tc>
        <w:tc>
          <w:tcPr>
            <w:tcW w:w="532" w:type="pct"/>
            <w:vAlign w:val="center"/>
          </w:tcPr>
          <w:p w14:paraId="4ACEDA59">
            <w:pPr>
              <w:pStyle w:val="129"/>
              <w:widowControl w:val="0"/>
              <w:rPr>
                <w:color w:val="auto"/>
              </w:rPr>
            </w:pPr>
            <w:r>
              <w:rPr>
                <w:rFonts w:hint="eastAsia" w:ascii="宋体" w:hAnsi="宋体" w:cs="宋体"/>
                <w:color w:val="auto"/>
              </w:rPr>
              <w:t>监测频率</w:t>
            </w:r>
          </w:p>
        </w:tc>
      </w:tr>
      <w:tr w14:paraId="6D96E96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29" w:type="pct"/>
            <w:vAlign w:val="center"/>
          </w:tcPr>
          <w:p w14:paraId="6DEFDC3A">
            <w:pPr>
              <w:pStyle w:val="129"/>
              <w:widowControl w:val="0"/>
              <w:rPr>
                <w:color w:val="auto"/>
              </w:rPr>
            </w:pPr>
            <w:r>
              <w:rPr>
                <w:rFonts w:hint="eastAsia" w:ascii="宋体" w:hAnsi="宋体" w:cs="宋体"/>
                <w:color w:val="auto"/>
              </w:rPr>
              <w:t>环境空气</w:t>
            </w:r>
          </w:p>
        </w:tc>
        <w:tc>
          <w:tcPr>
            <w:tcW w:w="732" w:type="pct"/>
            <w:vAlign w:val="center"/>
          </w:tcPr>
          <w:p w14:paraId="25E08632">
            <w:pPr>
              <w:pStyle w:val="129"/>
              <w:widowControl w:val="0"/>
              <w:rPr>
                <w:color w:val="auto"/>
              </w:rPr>
            </w:pPr>
            <w:r>
              <w:rPr>
                <w:rFonts w:hint="eastAsia" w:ascii="宋体" w:hAnsi="宋体" w:cs="宋体"/>
                <w:color w:val="auto"/>
              </w:rPr>
              <w:t>厂区下风向</w:t>
            </w:r>
          </w:p>
        </w:tc>
        <w:tc>
          <w:tcPr>
            <w:tcW w:w="3205" w:type="pct"/>
            <w:vAlign w:val="center"/>
          </w:tcPr>
          <w:p w14:paraId="31890003">
            <w:pPr>
              <w:pStyle w:val="129"/>
              <w:widowControl w:val="0"/>
              <w:rPr>
                <w:color w:val="auto"/>
              </w:rPr>
            </w:pPr>
            <w:r>
              <w:rPr>
                <w:rFonts w:hint="eastAsia"/>
                <w:color w:val="auto"/>
              </w:rPr>
              <w:t>TSP</w:t>
            </w:r>
          </w:p>
        </w:tc>
        <w:tc>
          <w:tcPr>
            <w:tcW w:w="532" w:type="pct"/>
            <w:vAlign w:val="center"/>
          </w:tcPr>
          <w:p w14:paraId="6FD23061">
            <w:pPr>
              <w:pStyle w:val="129"/>
              <w:widowControl w:val="0"/>
              <w:rPr>
                <w:color w:val="auto"/>
              </w:rPr>
            </w:pPr>
            <w:r>
              <w:rPr>
                <w:rFonts w:hint="eastAsia"/>
                <w:color w:val="auto"/>
              </w:rPr>
              <w:t>1</w:t>
            </w:r>
            <w:r>
              <w:rPr>
                <w:rFonts w:hint="eastAsia" w:ascii="宋体" w:hAnsi="宋体" w:cs="宋体"/>
                <w:color w:val="auto"/>
              </w:rPr>
              <w:t>次</w:t>
            </w:r>
            <w:r>
              <w:rPr>
                <w:rFonts w:hint="eastAsia"/>
                <w:color w:val="auto"/>
              </w:rPr>
              <w:t>/</w:t>
            </w:r>
            <w:r>
              <w:rPr>
                <w:rFonts w:hint="eastAsia" w:ascii="宋体" w:hAnsi="宋体" w:cs="宋体"/>
                <w:color w:val="auto"/>
              </w:rPr>
              <w:t>季度</w:t>
            </w:r>
          </w:p>
        </w:tc>
      </w:tr>
      <w:tr w14:paraId="718F18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29" w:type="pct"/>
            <w:vAlign w:val="center"/>
          </w:tcPr>
          <w:p w14:paraId="51851179">
            <w:pPr>
              <w:pStyle w:val="129"/>
              <w:widowControl w:val="0"/>
              <w:rPr>
                <w:color w:val="auto"/>
              </w:rPr>
            </w:pPr>
            <w:r>
              <w:rPr>
                <w:rFonts w:hint="eastAsia" w:ascii="宋体" w:hAnsi="宋体" w:cs="宋体"/>
                <w:color w:val="auto"/>
              </w:rPr>
              <w:t>地下水</w:t>
            </w:r>
          </w:p>
        </w:tc>
        <w:tc>
          <w:tcPr>
            <w:tcW w:w="732" w:type="pct"/>
            <w:vAlign w:val="center"/>
          </w:tcPr>
          <w:p w14:paraId="78FC2EF0">
            <w:pPr>
              <w:pStyle w:val="129"/>
              <w:widowControl w:val="0"/>
              <w:rPr>
                <w:color w:val="auto"/>
              </w:rPr>
            </w:pPr>
            <w:r>
              <w:rPr>
                <w:rFonts w:hint="eastAsia" w:ascii="宋体" w:hAnsi="宋体" w:cs="宋体"/>
                <w:color w:val="auto"/>
              </w:rPr>
              <w:t>拟建厂址周围及地下水上、下游</w:t>
            </w:r>
          </w:p>
        </w:tc>
        <w:tc>
          <w:tcPr>
            <w:tcW w:w="3205" w:type="pct"/>
            <w:vAlign w:val="center"/>
          </w:tcPr>
          <w:p w14:paraId="7DA1A12C">
            <w:pPr>
              <w:pStyle w:val="129"/>
              <w:widowControl w:val="0"/>
              <w:rPr>
                <w:color w:val="auto"/>
              </w:rPr>
            </w:pPr>
            <w:r>
              <w:rPr>
                <w:color w:val="auto"/>
              </w:rPr>
              <w:t>K</w:t>
            </w:r>
            <w:r>
              <w:rPr>
                <w:color w:val="auto"/>
                <w:vertAlign w:val="superscript"/>
              </w:rPr>
              <w:t>+</w:t>
            </w:r>
            <w:r>
              <w:rPr>
                <w:rFonts w:hint="eastAsia" w:ascii="宋体" w:hAnsi="宋体" w:cs="宋体"/>
                <w:color w:val="auto"/>
              </w:rPr>
              <w:t>、</w:t>
            </w:r>
            <w:r>
              <w:rPr>
                <w:color w:val="auto"/>
              </w:rPr>
              <w:t>Na</w:t>
            </w:r>
            <w:r>
              <w:rPr>
                <w:color w:val="auto"/>
                <w:vertAlign w:val="superscript"/>
              </w:rPr>
              <w:t>+</w:t>
            </w:r>
            <w:r>
              <w:rPr>
                <w:rFonts w:hint="eastAsia" w:ascii="宋体" w:hAnsi="宋体" w:cs="宋体"/>
                <w:color w:val="auto"/>
              </w:rPr>
              <w:t>、</w:t>
            </w:r>
            <w:r>
              <w:rPr>
                <w:color w:val="auto"/>
              </w:rPr>
              <w:t>Ca</w:t>
            </w:r>
            <w:r>
              <w:rPr>
                <w:color w:val="auto"/>
                <w:vertAlign w:val="superscript"/>
              </w:rPr>
              <w:t>2+</w:t>
            </w:r>
            <w:r>
              <w:rPr>
                <w:rFonts w:hint="eastAsia" w:ascii="宋体" w:hAnsi="宋体" w:cs="宋体"/>
                <w:color w:val="auto"/>
              </w:rPr>
              <w:t>、</w:t>
            </w:r>
            <w:r>
              <w:rPr>
                <w:color w:val="auto"/>
              </w:rPr>
              <w:t>Mg</w:t>
            </w:r>
            <w:r>
              <w:rPr>
                <w:color w:val="auto"/>
                <w:vertAlign w:val="superscript"/>
              </w:rPr>
              <w:t>2+</w:t>
            </w:r>
            <w:r>
              <w:rPr>
                <w:rFonts w:hint="eastAsia" w:ascii="宋体" w:hAnsi="宋体" w:cs="宋体"/>
                <w:color w:val="auto"/>
              </w:rPr>
              <w:t>、</w:t>
            </w:r>
            <w:r>
              <w:rPr>
                <w:color w:val="auto"/>
              </w:rPr>
              <w:t>CO</w:t>
            </w:r>
            <w:r>
              <w:rPr>
                <w:color w:val="auto"/>
                <w:vertAlign w:val="subscript"/>
              </w:rPr>
              <w:t>3</w:t>
            </w:r>
            <w:r>
              <w:rPr>
                <w:color w:val="auto"/>
                <w:vertAlign w:val="superscript"/>
              </w:rPr>
              <w:t>2-</w:t>
            </w:r>
            <w:r>
              <w:rPr>
                <w:rFonts w:hint="eastAsia" w:ascii="宋体" w:hAnsi="宋体" w:cs="宋体"/>
                <w:color w:val="auto"/>
              </w:rPr>
              <w:t>、</w:t>
            </w:r>
            <w:r>
              <w:rPr>
                <w:color w:val="auto"/>
              </w:rPr>
              <w:t>HCO</w:t>
            </w:r>
            <w:r>
              <w:rPr>
                <w:color w:val="auto"/>
                <w:vertAlign w:val="superscript"/>
              </w:rPr>
              <w:t>3-</w:t>
            </w:r>
            <w:r>
              <w:rPr>
                <w:rFonts w:hint="eastAsia" w:ascii="宋体" w:hAnsi="宋体" w:cs="宋体"/>
                <w:color w:val="auto"/>
              </w:rPr>
              <w:t>、</w:t>
            </w:r>
            <w:r>
              <w:rPr>
                <w:color w:val="auto"/>
              </w:rPr>
              <w:t>Cl</w:t>
            </w:r>
            <w:r>
              <w:rPr>
                <w:color w:val="auto"/>
                <w:vertAlign w:val="superscript"/>
              </w:rPr>
              <w:t>-</w:t>
            </w:r>
            <w:r>
              <w:rPr>
                <w:rFonts w:hint="eastAsia" w:ascii="宋体" w:hAnsi="宋体" w:cs="宋体"/>
                <w:color w:val="auto"/>
              </w:rPr>
              <w:t>、</w:t>
            </w:r>
            <w:r>
              <w:rPr>
                <w:color w:val="auto"/>
              </w:rPr>
              <w:t>SO</w:t>
            </w:r>
            <w:r>
              <w:rPr>
                <w:color w:val="auto"/>
                <w:vertAlign w:val="subscript"/>
              </w:rPr>
              <w:t>4</w:t>
            </w:r>
            <w:r>
              <w:rPr>
                <w:color w:val="auto"/>
                <w:vertAlign w:val="superscript"/>
              </w:rPr>
              <w:t>2-</w:t>
            </w:r>
            <w:r>
              <w:rPr>
                <w:rFonts w:hint="eastAsia" w:ascii="宋体" w:hAnsi="宋体" w:cs="宋体"/>
                <w:color w:val="auto"/>
              </w:rPr>
              <w:t>、</w:t>
            </w:r>
            <w:r>
              <w:rPr>
                <w:color w:val="auto"/>
              </w:rPr>
              <w:t>pH</w:t>
            </w:r>
            <w:r>
              <w:rPr>
                <w:rFonts w:hint="eastAsia" w:ascii="宋体" w:hAnsi="宋体" w:cs="宋体"/>
                <w:color w:val="auto"/>
              </w:rPr>
              <w:t>、氨氮（以</w:t>
            </w:r>
            <w:r>
              <w:rPr>
                <w:color w:val="auto"/>
              </w:rPr>
              <w:t>N</w:t>
            </w:r>
            <w:r>
              <w:rPr>
                <w:rFonts w:hint="eastAsia" w:ascii="宋体" w:hAnsi="宋体" w:cs="宋体"/>
                <w:color w:val="auto"/>
              </w:rPr>
              <w:t>计）、硝酸盐（以</w:t>
            </w:r>
            <w:r>
              <w:rPr>
                <w:color w:val="auto"/>
              </w:rPr>
              <w:t>N</w:t>
            </w:r>
            <w:r>
              <w:rPr>
                <w:rFonts w:hint="eastAsia" w:ascii="宋体" w:hAnsi="宋体" w:cs="宋体"/>
                <w:color w:val="auto"/>
              </w:rPr>
              <w:t>计）、亚硝酸盐（以</w:t>
            </w:r>
            <w:r>
              <w:rPr>
                <w:color w:val="auto"/>
              </w:rPr>
              <w:t>N</w:t>
            </w:r>
            <w:r>
              <w:rPr>
                <w:rFonts w:hint="eastAsia" w:ascii="宋体" w:hAnsi="宋体" w:cs="宋体"/>
                <w:color w:val="auto"/>
              </w:rPr>
              <w:t>计）、铝、砷、汞、铬</w:t>
            </w:r>
            <w:r>
              <w:rPr>
                <w:color w:val="auto"/>
              </w:rPr>
              <w:t>(</w:t>
            </w:r>
            <w:r>
              <w:rPr>
                <w:rFonts w:hint="eastAsia" w:ascii="宋体" w:hAnsi="宋体" w:cs="宋体"/>
                <w:color w:val="auto"/>
              </w:rPr>
              <w:t>六价</w:t>
            </w:r>
            <w:r>
              <w:rPr>
                <w:color w:val="auto"/>
              </w:rPr>
              <w:t>)</w:t>
            </w:r>
            <w:r>
              <w:rPr>
                <w:rFonts w:hint="eastAsia" w:ascii="宋体" w:hAnsi="宋体" w:cs="宋体"/>
                <w:color w:val="auto"/>
              </w:rPr>
              <w:t>、总硬度、铅、氟化物、镉、铁、锰、铜、钼、镍、钴、锌、溶解性总固体、耗氧量、硫酸盐、氯化物</w:t>
            </w:r>
          </w:p>
        </w:tc>
        <w:tc>
          <w:tcPr>
            <w:tcW w:w="532" w:type="pct"/>
            <w:vAlign w:val="center"/>
          </w:tcPr>
          <w:p w14:paraId="3CB11C15">
            <w:pPr>
              <w:pStyle w:val="129"/>
              <w:widowControl w:val="0"/>
              <w:rPr>
                <w:color w:val="auto"/>
              </w:rPr>
            </w:pPr>
            <w:r>
              <w:rPr>
                <w:rFonts w:hint="eastAsia"/>
                <w:color w:val="auto"/>
              </w:rPr>
              <w:t>1</w:t>
            </w:r>
            <w:r>
              <w:rPr>
                <w:rFonts w:hint="eastAsia" w:ascii="宋体" w:hAnsi="宋体" w:cs="宋体"/>
                <w:color w:val="auto"/>
              </w:rPr>
              <w:t>次</w:t>
            </w:r>
            <w:r>
              <w:rPr>
                <w:rFonts w:hint="eastAsia"/>
                <w:color w:val="auto"/>
              </w:rPr>
              <w:t>/</w:t>
            </w:r>
            <w:r>
              <w:rPr>
                <w:rFonts w:hint="eastAsia" w:ascii="宋体" w:hAnsi="宋体" w:cs="宋体"/>
                <w:color w:val="auto"/>
              </w:rPr>
              <w:t>年</w:t>
            </w:r>
          </w:p>
        </w:tc>
      </w:tr>
      <w:tr w14:paraId="46B90B7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29" w:type="pct"/>
            <w:vAlign w:val="center"/>
          </w:tcPr>
          <w:p w14:paraId="19A38D60">
            <w:pPr>
              <w:pStyle w:val="129"/>
              <w:widowControl w:val="0"/>
              <w:rPr>
                <w:color w:val="auto"/>
              </w:rPr>
            </w:pPr>
            <w:r>
              <w:rPr>
                <w:rFonts w:hint="eastAsia" w:ascii="宋体" w:hAnsi="宋体" w:cs="宋体"/>
                <w:color w:val="auto"/>
              </w:rPr>
              <w:t>土壤</w:t>
            </w:r>
          </w:p>
        </w:tc>
        <w:tc>
          <w:tcPr>
            <w:tcW w:w="732" w:type="pct"/>
            <w:vAlign w:val="center"/>
          </w:tcPr>
          <w:p w14:paraId="3273623C">
            <w:pPr>
              <w:pStyle w:val="129"/>
              <w:widowControl w:val="0"/>
              <w:rPr>
                <w:color w:val="auto"/>
              </w:rPr>
            </w:pPr>
            <w:r>
              <w:rPr>
                <w:rFonts w:hint="eastAsia" w:ascii="宋体" w:hAnsi="宋体" w:cs="宋体"/>
                <w:color w:val="auto"/>
              </w:rPr>
              <w:t>厂区内及占地范围内</w:t>
            </w:r>
          </w:p>
        </w:tc>
        <w:tc>
          <w:tcPr>
            <w:tcW w:w="3205" w:type="pct"/>
            <w:vAlign w:val="center"/>
          </w:tcPr>
          <w:p w14:paraId="0F8C60C8">
            <w:pPr>
              <w:pStyle w:val="129"/>
              <w:widowControl w:val="0"/>
              <w:rPr>
                <w:color w:val="auto"/>
              </w:rPr>
            </w:pPr>
            <w:r>
              <w:rPr>
                <w:color w:val="auto"/>
              </w:rPr>
              <w:t>pH</w:t>
            </w:r>
            <w:r>
              <w:rPr>
                <w:rFonts w:hint="eastAsia" w:ascii="宋体" w:hAnsi="宋体" w:cs="宋体"/>
                <w:color w:val="auto"/>
              </w:rPr>
              <w:t>、钴、钼</w:t>
            </w:r>
          </w:p>
        </w:tc>
        <w:tc>
          <w:tcPr>
            <w:tcW w:w="532" w:type="pct"/>
            <w:vAlign w:val="center"/>
          </w:tcPr>
          <w:p w14:paraId="176988FD">
            <w:pPr>
              <w:pStyle w:val="129"/>
              <w:widowControl w:val="0"/>
              <w:rPr>
                <w:color w:val="auto"/>
              </w:rPr>
            </w:pPr>
            <w:r>
              <w:rPr>
                <w:rFonts w:hint="eastAsia"/>
                <w:color w:val="auto"/>
              </w:rPr>
              <w:t>1</w:t>
            </w:r>
            <w:r>
              <w:rPr>
                <w:rFonts w:hint="eastAsia" w:ascii="宋体" w:hAnsi="宋体" w:cs="宋体"/>
                <w:color w:val="auto"/>
              </w:rPr>
              <w:t>次</w:t>
            </w:r>
            <w:r>
              <w:rPr>
                <w:rFonts w:hint="eastAsia"/>
                <w:color w:val="auto"/>
              </w:rPr>
              <w:t>/</w:t>
            </w:r>
            <w:r>
              <w:rPr>
                <w:rFonts w:hint="eastAsia" w:ascii="宋体" w:hAnsi="宋体" w:cs="宋体"/>
                <w:color w:val="auto"/>
              </w:rPr>
              <w:t>年</w:t>
            </w:r>
          </w:p>
        </w:tc>
      </w:tr>
    </w:tbl>
    <w:p w14:paraId="43F94E29">
      <w:pPr>
        <w:pStyle w:val="132"/>
        <w:rPr>
          <w:color w:val="auto"/>
        </w:rPr>
      </w:pPr>
      <w:r>
        <w:rPr>
          <w:color w:val="auto"/>
        </w:rPr>
        <w:t>企业自行监测按照《排污单位自行监测技术指南 总则》（HJ 819-2017）、《排污单位自行监测技术指南 无机化学工业》（HJ 1138-2020）执行，运营期污染源监测安排见表</w:t>
      </w:r>
      <w:r>
        <w:rPr>
          <w:rFonts w:hint="eastAsia"/>
          <w:color w:val="auto"/>
        </w:rPr>
        <w:t>2.4-3</w:t>
      </w:r>
      <w:r>
        <w:rPr>
          <w:color w:val="auto"/>
        </w:rPr>
        <w:t>。</w:t>
      </w:r>
    </w:p>
    <w:p w14:paraId="4E385FBF">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 xml:space="preserve">  </w:t>
      </w:r>
      <w:r>
        <w:rPr>
          <w:color w:val="auto"/>
        </w:rPr>
        <w:t>运营期污染源监测安排</w:t>
      </w:r>
    </w:p>
    <w:tbl>
      <w:tblPr>
        <w:tblStyle w:val="1937"/>
        <w:tblW w:w="4999"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fixed"/>
        <w:tblCellMar>
          <w:top w:w="0" w:type="dxa"/>
          <w:left w:w="28" w:type="dxa"/>
          <w:bottom w:w="0" w:type="dxa"/>
          <w:right w:w="28" w:type="dxa"/>
        </w:tblCellMar>
      </w:tblPr>
      <w:tblGrid>
        <w:gridCol w:w="627"/>
        <w:gridCol w:w="1936"/>
        <w:gridCol w:w="2145"/>
        <w:gridCol w:w="1146"/>
        <w:gridCol w:w="1574"/>
        <w:gridCol w:w="1357"/>
      </w:tblGrid>
      <w:tr w14:paraId="174244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63BE0EF5">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编号</w:t>
            </w:r>
          </w:p>
        </w:tc>
        <w:tc>
          <w:tcPr>
            <w:tcW w:w="1102" w:type="pct"/>
            <w:noWrap/>
            <w:vAlign w:val="center"/>
          </w:tcPr>
          <w:p w14:paraId="0D50AE6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污染源名称</w:t>
            </w:r>
          </w:p>
        </w:tc>
        <w:tc>
          <w:tcPr>
            <w:tcW w:w="1221" w:type="pct"/>
            <w:noWrap/>
            <w:vAlign w:val="center"/>
          </w:tcPr>
          <w:p w14:paraId="6B3FD114">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监测指标</w:t>
            </w:r>
          </w:p>
        </w:tc>
        <w:tc>
          <w:tcPr>
            <w:tcW w:w="652" w:type="pct"/>
            <w:noWrap/>
            <w:vAlign w:val="center"/>
          </w:tcPr>
          <w:p w14:paraId="0A44CB6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监测频次</w:t>
            </w:r>
          </w:p>
        </w:tc>
        <w:tc>
          <w:tcPr>
            <w:tcW w:w="896" w:type="pct"/>
            <w:noWrap/>
            <w:vAlign w:val="center"/>
          </w:tcPr>
          <w:p w14:paraId="0C3CE274">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执行标准</w:t>
            </w:r>
          </w:p>
        </w:tc>
        <w:tc>
          <w:tcPr>
            <w:tcW w:w="772" w:type="pct"/>
            <w:noWrap/>
            <w:vAlign w:val="center"/>
          </w:tcPr>
          <w:p w14:paraId="16C8250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监测指南</w:t>
            </w:r>
          </w:p>
        </w:tc>
      </w:tr>
      <w:tr w14:paraId="037B6D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6"/>
            <w:noWrap/>
            <w:vAlign w:val="center"/>
          </w:tcPr>
          <w:p w14:paraId="64434358">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有组织废气</w:t>
            </w:r>
          </w:p>
        </w:tc>
      </w:tr>
      <w:tr w14:paraId="5A79C6D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311521AA">
            <w:pPr>
              <w:widowControl w:val="0"/>
              <w:spacing w:before="100" w:beforeAutospacing="1" w:line="360" w:lineRule="exact"/>
              <w:jc w:val="center"/>
              <w:rPr>
                <w:color w:val="auto"/>
                <w:kern w:val="2"/>
                <w:sz w:val="21"/>
                <w:szCs w:val="21"/>
              </w:rPr>
            </w:pPr>
            <w:r>
              <w:rPr>
                <w:rFonts w:hint="eastAsia"/>
                <w:color w:val="auto"/>
                <w:kern w:val="2"/>
                <w:sz w:val="21"/>
                <w:szCs w:val="21"/>
              </w:rPr>
              <w:t>1</w:t>
            </w:r>
          </w:p>
        </w:tc>
        <w:tc>
          <w:tcPr>
            <w:tcW w:w="1102" w:type="pct"/>
            <w:noWrap/>
            <w:vAlign w:val="center"/>
          </w:tcPr>
          <w:p w14:paraId="12B93879">
            <w:pPr>
              <w:widowControl w:val="0"/>
              <w:spacing w:before="100" w:beforeAutospacing="1" w:line="360" w:lineRule="exact"/>
              <w:jc w:val="center"/>
              <w:rPr>
                <w:color w:val="auto"/>
                <w:kern w:val="2"/>
                <w:sz w:val="21"/>
                <w:szCs w:val="21"/>
              </w:rPr>
            </w:pPr>
            <w:r>
              <w:rPr>
                <w:rFonts w:hint="eastAsia" w:ascii="宋体" w:hAnsi="宋体" w:eastAsia="Times New Roman" w:cs="宋体"/>
                <w:color w:val="auto"/>
                <w:sz w:val="21"/>
                <w:szCs w:val="21"/>
              </w:rPr>
              <w:t>含氨废气</w:t>
            </w:r>
            <w:r>
              <w:rPr>
                <w:rFonts w:hint="eastAsia" w:ascii="宋体" w:hAnsi="宋体"/>
                <w:color w:val="auto"/>
                <w:kern w:val="2"/>
                <w:sz w:val="21"/>
                <w:szCs w:val="21"/>
              </w:rPr>
              <w:t>排放筒</w:t>
            </w:r>
            <w:r>
              <w:rPr>
                <w:rFonts w:hint="eastAsia"/>
                <w:color w:val="auto"/>
                <w:kern w:val="2"/>
                <w:sz w:val="21"/>
                <w:szCs w:val="21"/>
              </w:rPr>
              <w:t>DA001</w:t>
            </w:r>
          </w:p>
        </w:tc>
        <w:tc>
          <w:tcPr>
            <w:tcW w:w="1221" w:type="pct"/>
            <w:noWrap/>
            <w:vAlign w:val="center"/>
          </w:tcPr>
          <w:p w14:paraId="66B838E5">
            <w:pPr>
              <w:widowControl w:val="0"/>
              <w:spacing w:before="100" w:beforeAutospacing="1" w:line="360" w:lineRule="exact"/>
              <w:jc w:val="center"/>
              <w:rPr>
                <w:color w:val="auto"/>
                <w:kern w:val="2"/>
                <w:sz w:val="21"/>
                <w:szCs w:val="21"/>
              </w:rPr>
            </w:pPr>
            <w:r>
              <w:rPr>
                <w:rFonts w:hint="eastAsia"/>
                <w:color w:val="auto"/>
                <w:kern w:val="2"/>
                <w:sz w:val="21"/>
                <w:szCs w:val="21"/>
              </w:rPr>
              <w:t>NH</w:t>
            </w:r>
            <w:r>
              <w:rPr>
                <w:rFonts w:hint="eastAsia"/>
                <w:color w:val="auto"/>
                <w:kern w:val="2"/>
                <w:sz w:val="21"/>
                <w:szCs w:val="21"/>
                <w:vertAlign w:val="subscript"/>
              </w:rPr>
              <w:t>3</w:t>
            </w:r>
          </w:p>
        </w:tc>
        <w:tc>
          <w:tcPr>
            <w:tcW w:w="652" w:type="pct"/>
            <w:noWrap/>
            <w:vAlign w:val="center"/>
          </w:tcPr>
          <w:p w14:paraId="446B9936">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半年</w:t>
            </w:r>
          </w:p>
        </w:tc>
        <w:tc>
          <w:tcPr>
            <w:tcW w:w="896" w:type="pct"/>
            <w:vMerge w:val="restart"/>
            <w:noWrap/>
            <w:vAlign w:val="center"/>
          </w:tcPr>
          <w:p w14:paraId="6EE1754C">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《无机化学工业污染物排放标准》（</w:t>
            </w:r>
            <w:r>
              <w:rPr>
                <w:rFonts w:hint="eastAsia"/>
                <w:color w:val="auto"/>
                <w:kern w:val="2"/>
                <w:sz w:val="21"/>
                <w:szCs w:val="21"/>
              </w:rPr>
              <w:t>GB31573-2015</w:t>
            </w:r>
            <w:r>
              <w:rPr>
                <w:rFonts w:hint="eastAsia" w:ascii="宋体" w:hAnsi="宋体"/>
                <w:color w:val="auto"/>
                <w:kern w:val="2"/>
                <w:sz w:val="21"/>
                <w:szCs w:val="21"/>
              </w:rPr>
              <w:t>）及修改单表</w:t>
            </w:r>
            <w:r>
              <w:rPr>
                <w:rFonts w:hint="eastAsia"/>
                <w:color w:val="auto"/>
                <w:kern w:val="2"/>
                <w:sz w:val="21"/>
                <w:szCs w:val="21"/>
              </w:rPr>
              <w:t xml:space="preserve">4 </w:t>
            </w:r>
          </w:p>
        </w:tc>
        <w:tc>
          <w:tcPr>
            <w:tcW w:w="772" w:type="pct"/>
            <w:vMerge w:val="restart"/>
            <w:noWrap/>
            <w:vAlign w:val="center"/>
          </w:tcPr>
          <w:p w14:paraId="5A5DC5C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《排污单位自行监测技术指南</w:t>
            </w:r>
            <w:r>
              <w:rPr>
                <w:rFonts w:hint="eastAsia"/>
                <w:color w:val="auto"/>
                <w:kern w:val="2"/>
                <w:sz w:val="21"/>
                <w:szCs w:val="21"/>
              </w:rPr>
              <w:t xml:space="preserve"> </w:t>
            </w:r>
            <w:r>
              <w:rPr>
                <w:rFonts w:hint="eastAsia" w:ascii="宋体" w:hAnsi="宋体"/>
                <w:color w:val="auto"/>
                <w:kern w:val="2"/>
                <w:sz w:val="21"/>
                <w:szCs w:val="21"/>
              </w:rPr>
              <w:t>无机化学工业》（</w:t>
            </w:r>
            <w:r>
              <w:rPr>
                <w:rFonts w:hint="eastAsia"/>
                <w:color w:val="auto"/>
                <w:kern w:val="2"/>
                <w:sz w:val="21"/>
                <w:szCs w:val="21"/>
              </w:rPr>
              <w:t>HJ 1138-2020</w:t>
            </w:r>
            <w:r>
              <w:rPr>
                <w:rFonts w:hint="eastAsia" w:ascii="宋体" w:hAnsi="宋体"/>
                <w:color w:val="auto"/>
                <w:kern w:val="2"/>
                <w:sz w:val="21"/>
                <w:szCs w:val="21"/>
              </w:rPr>
              <w:t>）</w:t>
            </w:r>
          </w:p>
        </w:tc>
      </w:tr>
      <w:tr w14:paraId="0B91A1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0CCE6553">
            <w:pPr>
              <w:widowControl w:val="0"/>
              <w:spacing w:before="100" w:beforeAutospacing="1" w:line="360" w:lineRule="exact"/>
              <w:jc w:val="center"/>
              <w:rPr>
                <w:color w:val="auto"/>
                <w:kern w:val="2"/>
                <w:sz w:val="21"/>
                <w:szCs w:val="21"/>
              </w:rPr>
            </w:pPr>
            <w:r>
              <w:rPr>
                <w:rFonts w:hint="eastAsia"/>
                <w:color w:val="auto"/>
                <w:kern w:val="2"/>
                <w:sz w:val="21"/>
                <w:szCs w:val="21"/>
              </w:rPr>
              <w:t>2</w:t>
            </w:r>
          </w:p>
        </w:tc>
        <w:tc>
          <w:tcPr>
            <w:tcW w:w="1102" w:type="pct"/>
            <w:noWrap/>
            <w:vAlign w:val="center"/>
          </w:tcPr>
          <w:p w14:paraId="6511E99B">
            <w:pPr>
              <w:widowControl w:val="0"/>
              <w:spacing w:before="100" w:beforeAutospacing="1" w:line="360" w:lineRule="exact"/>
              <w:jc w:val="center"/>
              <w:rPr>
                <w:color w:val="auto"/>
                <w:kern w:val="2"/>
                <w:sz w:val="21"/>
                <w:szCs w:val="21"/>
              </w:rPr>
            </w:pPr>
            <w:r>
              <w:rPr>
                <w:rFonts w:hint="eastAsia" w:ascii="宋体" w:hAnsi="宋体" w:eastAsia="Times New Roman" w:cs="宋体"/>
                <w:color w:val="auto"/>
                <w:sz w:val="21"/>
                <w:szCs w:val="21"/>
              </w:rPr>
              <w:t>硫酸铵干燥包装排口</w:t>
            </w:r>
            <w:r>
              <w:rPr>
                <w:rFonts w:eastAsia="Times New Roman"/>
                <w:color w:val="auto"/>
                <w:sz w:val="21"/>
                <w:szCs w:val="21"/>
              </w:rPr>
              <w:t>DA002</w:t>
            </w:r>
          </w:p>
        </w:tc>
        <w:tc>
          <w:tcPr>
            <w:tcW w:w="1221" w:type="pct"/>
            <w:noWrap/>
            <w:vAlign w:val="center"/>
          </w:tcPr>
          <w:p w14:paraId="7B3BD1F2">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颗粒物、</w:t>
            </w:r>
            <w:r>
              <w:rPr>
                <w:rFonts w:hint="eastAsia"/>
                <w:color w:val="auto"/>
                <w:kern w:val="2"/>
                <w:sz w:val="21"/>
                <w:szCs w:val="21"/>
              </w:rPr>
              <w:t>NH</w:t>
            </w:r>
            <w:r>
              <w:rPr>
                <w:rFonts w:hint="eastAsia"/>
                <w:color w:val="auto"/>
                <w:kern w:val="2"/>
                <w:sz w:val="21"/>
                <w:szCs w:val="21"/>
                <w:vertAlign w:val="subscript"/>
              </w:rPr>
              <w:t>3</w:t>
            </w:r>
          </w:p>
        </w:tc>
        <w:tc>
          <w:tcPr>
            <w:tcW w:w="652" w:type="pct"/>
            <w:noWrap/>
            <w:vAlign w:val="center"/>
          </w:tcPr>
          <w:p w14:paraId="40F22DAC">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半年</w:t>
            </w:r>
          </w:p>
        </w:tc>
        <w:tc>
          <w:tcPr>
            <w:tcW w:w="896" w:type="pct"/>
            <w:vMerge w:val="continue"/>
            <w:noWrap/>
            <w:vAlign w:val="center"/>
          </w:tcPr>
          <w:p w14:paraId="25CEE399">
            <w:pPr>
              <w:widowControl w:val="0"/>
              <w:jc w:val="both"/>
              <w:rPr>
                <w:color w:val="auto"/>
                <w:kern w:val="2"/>
                <w:sz w:val="21"/>
                <w:szCs w:val="21"/>
              </w:rPr>
            </w:pPr>
          </w:p>
        </w:tc>
        <w:tc>
          <w:tcPr>
            <w:tcW w:w="772" w:type="pct"/>
            <w:vMerge w:val="continue"/>
            <w:noWrap/>
            <w:vAlign w:val="center"/>
          </w:tcPr>
          <w:p w14:paraId="0CFE1C55">
            <w:pPr>
              <w:widowControl w:val="0"/>
              <w:jc w:val="both"/>
              <w:rPr>
                <w:color w:val="auto"/>
                <w:kern w:val="2"/>
                <w:sz w:val="21"/>
                <w:szCs w:val="21"/>
              </w:rPr>
            </w:pPr>
          </w:p>
        </w:tc>
      </w:tr>
      <w:tr w14:paraId="1FAB8F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6CF7176B">
            <w:pPr>
              <w:widowControl w:val="0"/>
              <w:spacing w:before="100" w:beforeAutospacing="1" w:line="360" w:lineRule="exact"/>
              <w:jc w:val="center"/>
              <w:rPr>
                <w:color w:val="auto"/>
                <w:kern w:val="2"/>
                <w:sz w:val="21"/>
                <w:szCs w:val="21"/>
              </w:rPr>
            </w:pPr>
            <w:r>
              <w:rPr>
                <w:rFonts w:hint="eastAsia"/>
                <w:color w:val="auto"/>
                <w:kern w:val="2"/>
                <w:sz w:val="21"/>
                <w:szCs w:val="21"/>
              </w:rPr>
              <w:t>3</w:t>
            </w:r>
          </w:p>
        </w:tc>
        <w:tc>
          <w:tcPr>
            <w:tcW w:w="1102" w:type="pct"/>
            <w:noWrap/>
            <w:vAlign w:val="center"/>
          </w:tcPr>
          <w:p w14:paraId="5E4A4773">
            <w:pPr>
              <w:widowControl w:val="0"/>
              <w:spacing w:before="100" w:beforeAutospacing="1" w:line="360" w:lineRule="exact"/>
              <w:jc w:val="center"/>
              <w:rPr>
                <w:color w:val="auto"/>
                <w:kern w:val="2"/>
                <w:sz w:val="21"/>
                <w:szCs w:val="21"/>
              </w:rPr>
            </w:pPr>
            <w:r>
              <w:rPr>
                <w:rFonts w:hint="eastAsia" w:ascii="宋体" w:hAnsi="宋体" w:eastAsia="Times New Roman" w:cs="宋体"/>
                <w:color w:val="auto"/>
                <w:sz w:val="21"/>
                <w:szCs w:val="21"/>
              </w:rPr>
              <w:t>二氧化碳气</w:t>
            </w:r>
            <w:r>
              <w:rPr>
                <w:rFonts w:hint="eastAsia" w:ascii="宋体" w:hAnsi="宋体"/>
                <w:color w:val="auto"/>
                <w:kern w:val="2"/>
                <w:sz w:val="21"/>
                <w:szCs w:val="21"/>
              </w:rPr>
              <w:t>排气口</w:t>
            </w:r>
            <w:r>
              <w:rPr>
                <w:rFonts w:hint="eastAsia"/>
                <w:color w:val="auto"/>
                <w:kern w:val="2"/>
                <w:sz w:val="21"/>
                <w:szCs w:val="21"/>
              </w:rPr>
              <w:t>DA003</w:t>
            </w:r>
          </w:p>
        </w:tc>
        <w:tc>
          <w:tcPr>
            <w:tcW w:w="1221" w:type="pct"/>
            <w:noWrap/>
            <w:vAlign w:val="center"/>
          </w:tcPr>
          <w:p w14:paraId="62A3F00D">
            <w:pPr>
              <w:widowControl w:val="0"/>
              <w:spacing w:before="100" w:beforeAutospacing="1" w:line="360" w:lineRule="exact"/>
              <w:jc w:val="center"/>
              <w:rPr>
                <w:color w:val="auto"/>
                <w:kern w:val="2"/>
                <w:sz w:val="21"/>
                <w:szCs w:val="21"/>
              </w:rPr>
            </w:pPr>
            <w:r>
              <w:rPr>
                <w:rFonts w:eastAsia="Times New Roman"/>
                <w:color w:val="auto"/>
                <w:sz w:val="21"/>
                <w:szCs w:val="21"/>
              </w:rPr>
              <w:t>CO</w:t>
            </w:r>
            <w:r>
              <w:rPr>
                <w:rFonts w:eastAsia="Times New Roman"/>
                <w:color w:val="auto"/>
                <w:sz w:val="21"/>
                <w:szCs w:val="21"/>
                <w:vertAlign w:val="subscript"/>
              </w:rPr>
              <w:t>2</w:t>
            </w:r>
            <w:r>
              <w:rPr>
                <w:color w:val="auto"/>
                <w:sz w:val="21"/>
                <w:szCs w:val="21"/>
                <w:vertAlign w:val="subscript"/>
              </w:rPr>
              <w:t>、</w:t>
            </w:r>
            <w:r>
              <w:rPr>
                <w:rFonts w:eastAsia="Times New Roman"/>
                <w:color w:val="auto"/>
                <w:sz w:val="21"/>
                <w:szCs w:val="21"/>
              </w:rPr>
              <w:t>H</w:t>
            </w:r>
            <w:r>
              <w:rPr>
                <w:rFonts w:eastAsia="Times New Roman"/>
                <w:color w:val="auto"/>
                <w:sz w:val="21"/>
                <w:szCs w:val="21"/>
                <w:vertAlign w:val="subscript"/>
              </w:rPr>
              <w:t>2</w:t>
            </w:r>
            <w:r>
              <w:rPr>
                <w:rFonts w:eastAsia="Times New Roman"/>
                <w:color w:val="auto"/>
                <w:sz w:val="21"/>
                <w:szCs w:val="21"/>
              </w:rPr>
              <w:t>S</w:t>
            </w:r>
          </w:p>
        </w:tc>
        <w:tc>
          <w:tcPr>
            <w:tcW w:w="652" w:type="pct"/>
            <w:noWrap/>
            <w:vAlign w:val="center"/>
          </w:tcPr>
          <w:p w14:paraId="463D046E">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半年</w:t>
            </w:r>
          </w:p>
        </w:tc>
        <w:tc>
          <w:tcPr>
            <w:tcW w:w="896" w:type="pct"/>
            <w:vMerge w:val="continue"/>
            <w:noWrap/>
            <w:vAlign w:val="center"/>
          </w:tcPr>
          <w:p w14:paraId="2DDFC468">
            <w:pPr>
              <w:widowControl w:val="0"/>
              <w:jc w:val="both"/>
              <w:rPr>
                <w:color w:val="auto"/>
                <w:kern w:val="2"/>
                <w:sz w:val="21"/>
                <w:szCs w:val="21"/>
              </w:rPr>
            </w:pPr>
          </w:p>
        </w:tc>
        <w:tc>
          <w:tcPr>
            <w:tcW w:w="772" w:type="pct"/>
            <w:vMerge w:val="continue"/>
            <w:noWrap/>
            <w:vAlign w:val="center"/>
          </w:tcPr>
          <w:p w14:paraId="7C7E9874">
            <w:pPr>
              <w:widowControl w:val="0"/>
              <w:jc w:val="both"/>
              <w:rPr>
                <w:color w:val="auto"/>
                <w:kern w:val="2"/>
                <w:sz w:val="21"/>
                <w:szCs w:val="21"/>
              </w:rPr>
            </w:pPr>
          </w:p>
        </w:tc>
      </w:tr>
      <w:tr w14:paraId="6094A77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13B4C615">
            <w:pPr>
              <w:widowControl w:val="0"/>
              <w:spacing w:before="100" w:beforeAutospacing="1" w:line="360" w:lineRule="exact"/>
              <w:jc w:val="center"/>
              <w:rPr>
                <w:color w:val="auto"/>
                <w:kern w:val="2"/>
                <w:sz w:val="21"/>
                <w:szCs w:val="21"/>
              </w:rPr>
            </w:pPr>
            <w:r>
              <w:rPr>
                <w:rFonts w:hint="eastAsia"/>
                <w:color w:val="auto"/>
                <w:kern w:val="2"/>
                <w:sz w:val="21"/>
                <w:szCs w:val="21"/>
              </w:rPr>
              <w:t>4</w:t>
            </w:r>
          </w:p>
        </w:tc>
        <w:tc>
          <w:tcPr>
            <w:tcW w:w="1102" w:type="pct"/>
            <w:noWrap/>
            <w:vAlign w:val="center"/>
          </w:tcPr>
          <w:p w14:paraId="191FD75E">
            <w:pPr>
              <w:widowControl w:val="0"/>
              <w:spacing w:before="100" w:beforeAutospacing="1" w:line="360" w:lineRule="exact"/>
              <w:jc w:val="center"/>
              <w:rPr>
                <w:color w:val="auto"/>
                <w:kern w:val="2"/>
                <w:sz w:val="21"/>
                <w:szCs w:val="21"/>
              </w:rPr>
            </w:pPr>
            <w:r>
              <w:rPr>
                <w:rFonts w:hint="eastAsia" w:ascii="宋体" w:hAnsi="宋体" w:eastAsia="Times New Roman" w:cs="宋体"/>
                <w:color w:val="auto"/>
                <w:sz w:val="21"/>
                <w:szCs w:val="21"/>
              </w:rPr>
              <w:t>碳酸钠干燥包装排口</w:t>
            </w:r>
            <w:r>
              <w:rPr>
                <w:rFonts w:eastAsia="Times New Roman"/>
                <w:color w:val="auto"/>
                <w:sz w:val="21"/>
                <w:szCs w:val="21"/>
              </w:rPr>
              <w:t>DA004</w:t>
            </w:r>
          </w:p>
        </w:tc>
        <w:tc>
          <w:tcPr>
            <w:tcW w:w="1221" w:type="pct"/>
            <w:noWrap/>
            <w:vAlign w:val="center"/>
          </w:tcPr>
          <w:p w14:paraId="7595EC6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颗粒物</w:t>
            </w:r>
          </w:p>
        </w:tc>
        <w:tc>
          <w:tcPr>
            <w:tcW w:w="652" w:type="pct"/>
            <w:noWrap/>
            <w:vAlign w:val="center"/>
          </w:tcPr>
          <w:p w14:paraId="139B925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半年</w:t>
            </w:r>
          </w:p>
        </w:tc>
        <w:tc>
          <w:tcPr>
            <w:tcW w:w="896" w:type="pct"/>
            <w:vMerge w:val="continue"/>
            <w:noWrap/>
            <w:vAlign w:val="center"/>
          </w:tcPr>
          <w:p w14:paraId="524A3347">
            <w:pPr>
              <w:widowControl w:val="0"/>
              <w:jc w:val="both"/>
              <w:rPr>
                <w:color w:val="auto"/>
                <w:kern w:val="2"/>
                <w:sz w:val="21"/>
                <w:szCs w:val="21"/>
              </w:rPr>
            </w:pPr>
          </w:p>
        </w:tc>
        <w:tc>
          <w:tcPr>
            <w:tcW w:w="772" w:type="pct"/>
            <w:vMerge w:val="continue"/>
            <w:noWrap/>
            <w:vAlign w:val="center"/>
          </w:tcPr>
          <w:p w14:paraId="039E078F">
            <w:pPr>
              <w:widowControl w:val="0"/>
              <w:jc w:val="both"/>
              <w:rPr>
                <w:color w:val="auto"/>
                <w:kern w:val="2"/>
                <w:sz w:val="21"/>
                <w:szCs w:val="21"/>
              </w:rPr>
            </w:pPr>
          </w:p>
        </w:tc>
      </w:tr>
      <w:tr w14:paraId="78CD606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41E9EBCE">
            <w:pPr>
              <w:widowControl w:val="0"/>
              <w:spacing w:before="100" w:beforeAutospacing="1" w:line="360" w:lineRule="exact"/>
              <w:jc w:val="center"/>
              <w:rPr>
                <w:color w:val="auto"/>
                <w:kern w:val="2"/>
                <w:sz w:val="21"/>
                <w:szCs w:val="21"/>
              </w:rPr>
            </w:pPr>
            <w:r>
              <w:rPr>
                <w:rFonts w:hint="eastAsia"/>
                <w:color w:val="auto"/>
                <w:kern w:val="2"/>
                <w:sz w:val="21"/>
                <w:szCs w:val="21"/>
              </w:rPr>
              <w:t>5</w:t>
            </w:r>
          </w:p>
        </w:tc>
        <w:tc>
          <w:tcPr>
            <w:tcW w:w="1102" w:type="pct"/>
            <w:noWrap/>
            <w:vAlign w:val="center"/>
          </w:tcPr>
          <w:p w14:paraId="46081AAC">
            <w:pPr>
              <w:widowControl w:val="0"/>
              <w:spacing w:before="100" w:beforeAutospacing="1" w:line="360" w:lineRule="exact"/>
              <w:jc w:val="center"/>
              <w:rPr>
                <w:color w:val="auto"/>
                <w:kern w:val="2"/>
                <w:sz w:val="21"/>
                <w:szCs w:val="21"/>
              </w:rPr>
            </w:pPr>
            <w:r>
              <w:rPr>
                <w:rFonts w:hint="eastAsia" w:ascii="宋体" w:hAnsi="宋体" w:eastAsia="Times New Roman" w:cs="宋体"/>
                <w:color w:val="auto"/>
                <w:sz w:val="21"/>
                <w:szCs w:val="21"/>
              </w:rPr>
              <w:t>水铝石干燥包装排口</w:t>
            </w:r>
            <w:r>
              <w:rPr>
                <w:rFonts w:hint="eastAsia"/>
                <w:color w:val="auto"/>
                <w:kern w:val="2"/>
                <w:sz w:val="21"/>
                <w:szCs w:val="21"/>
              </w:rPr>
              <w:t>DA005</w:t>
            </w:r>
          </w:p>
        </w:tc>
        <w:tc>
          <w:tcPr>
            <w:tcW w:w="1221" w:type="pct"/>
            <w:noWrap/>
            <w:vAlign w:val="center"/>
          </w:tcPr>
          <w:p w14:paraId="3FF41459">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颗粒物、</w:t>
            </w:r>
            <w:r>
              <w:rPr>
                <w:rFonts w:eastAsia="Times New Roman"/>
                <w:color w:val="auto"/>
                <w:sz w:val="21"/>
                <w:szCs w:val="21"/>
              </w:rPr>
              <w:t>SO</w:t>
            </w:r>
            <w:r>
              <w:rPr>
                <w:rFonts w:eastAsia="Times New Roman"/>
                <w:color w:val="auto"/>
                <w:sz w:val="21"/>
                <w:szCs w:val="21"/>
                <w:vertAlign w:val="subscript"/>
              </w:rPr>
              <w:t>2</w:t>
            </w:r>
            <w:r>
              <w:rPr>
                <w:rFonts w:hint="eastAsia"/>
                <w:color w:val="auto"/>
                <w:sz w:val="21"/>
                <w:szCs w:val="21"/>
                <w:vertAlign w:val="subscript"/>
              </w:rPr>
              <w:t>、</w:t>
            </w:r>
            <w:r>
              <w:rPr>
                <w:rFonts w:eastAsia="Times New Roman"/>
                <w:color w:val="auto"/>
                <w:sz w:val="21"/>
                <w:szCs w:val="21"/>
              </w:rPr>
              <w:t>NOx</w:t>
            </w:r>
          </w:p>
        </w:tc>
        <w:tc>
          <w:tcPr>
            <w:tcW w:w="652" w:type="pct"/>
            <w:noWrap/>
            <w:vAlign w:val="center"/>
          </w:tcPr>
          <w:p w14:paraId="11BD6856">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半年</w:t>
            </w:r>
          </w:p>
        </w:tc>
        <w:tc>
          <w:tcPr>
            <w:tcW w:w="896" w:type="pct"/>
            <w:vMerge w:val="continue"/>
            <w:noWrap/>
            <w:vAlign w:val="center"/>
          </w:tcPr>
          <w:p w14:paraId="2A586217">
            <w:pPr>
              <w:widowControl w:val="0"/>
              <w:jc w:val="both"/>
              <w:rPr>
                <w:color w:val="auto"/>
                <w:kern w:val="2"/>
                <w:sz w:val="21"/>
                <w:szCs w:val="21"/>
              </w:rPr>
            </w:pPr>
          </w:p>
        </w:tc>
        <w:tc>
          <w:tcPr>
            <w:tcW w:w="772" w:type="pct"/>
            <w:vMerge w:val="continue"/>
            <w:noWrap/>
            <w:vAlign w:val="center"/>
          </w:tcPr>
          <w:p w14:paraId="1BB7E4B3">
            <w:pPr>
              <w:widowControl w:val="0"/>
              <w:jc w:val="both"/>
              <w:rPr>
                <w:color w:val="auto"/>
                <w:kern w:val="2"/>
                <w:sz w:val="21"/>
                <w:szCs w:val="21"/>
              </w:rPr>
            </w:pPr>
          </w:p>
        </w:tc>
      </w:tr>
      <w:tr w14:paraId="0413F73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79F8EE51">
            <w:pPr>
              <w:widowControl w:val="0"/>
              <w:spacing w:before="100" w:beforeAutospacing="1" w:line="360" w:lineRule="exact"/>
              <w:jc w:val="center"/>
              <w:rPr>
                <w:color w:val="auto"/>
                <w:kern w:val="2"/>
                <w:sz w:val="21"/>
                <w:szCs w:val="21"/>
              </w:rPr>
            </w:pPr>
            <w:r>
              <w:rPr>
                <w:rFonts w:hint="eastAsia"/>
                <w:color w:val="auto"/>
                <w:kern w:val="2"/>
                <w:sz w:val="21"/>
                <w:szCs w:val="21"/>
              </w:rPr>
              <w:t>6</w:t>
            </w:r>
          </w:p>
        </w:tc>
        <w:tc>
          <w:tcPr>
            <w:tcW w:w="1102" w:type="pct"/>
            <w:noWrap/>
            <w:vAlign w:val="center"/>
          </w:tcPr>
          <w:p w14:paraId="5DDB8698">
            <w:pPr>
              <w:widowControl w:val="0"/>
              <w:spacing w:before="100" w:beforeAutospacing="1"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催化剂生产干燥废气总排口</w:t>
            </w:r>
            <w:r>
              <w:rPr>
                <w:rFonts w:eastAsia="Times New Roman"/>
                <w:color w:val="auto"/>
                <w:sz w:val="21"/>
                <w:szCs w:val="21"/>
              </w:rPr>
              <w:t>DA006</w:t>
            </w:r>
          </w:p>
        </w:tc>
        <w:tc>
          <w:tcPr>
            <w:tcW w:w="1221" w:type="pct"/>
            <w:noWrap/>
            <w:vAlign w:val="center"/>
          </w:tcPr>
          <w:p w14:paraId="49C76815">
            <w:pPr>
              <w:widowControl w:val="0"/>
              <w:spacing w:before="100" w:beforeAutospacing="1" w:line="360" w:lineRule="exact"/>
              <w:jc w:val="center"/>
              <w:rPr>
                <w:rFonts w:hint="eastAsia" w:ascii="宋体" w:hAnsi="宋体"/>
                <w:color w:val="auto"/>
                <w:kern w:val="2"/>
                <w:sz w:val="21"/>
                <w:szCs w:val="21"/>
              </w:rPr>
            </w:pPr>
            <w:r>
              <w:rPr>
                <w:rFonts w:hint="eastAsia" w:ascii="宋体" w:hAnsi="宋体" w:eastAsia="Times New Roman" w:cs="宋体"/>
                <w:color w:val="auto"/>
                <w:sz w:val="21"/>
                <w:szCs w:val="21"/>
              </w:rPr>
              <w:t>颗粒物</w:t>
            </w:r>
            <w:r>
              <w:rPr>
                <w:rFonts w:hint="eastAsia" w:ascii="宋体" w:hAnsi="宋体" w:cs="宋体"/>
                <w:color w:val="auto"/>
                <w:sz w:val="21"/>
                <w:szCs w:val="21"/>
              </w:rPr>
              <w:t>、</w:t>
            </w:r>
            <w:r>
              <w:rPr>
                <w:rFonts w:eastAsia="Times New Roman"/>
                <w:color w:val="auto"/>
                <w:sz w:val="21"/>
                <w:szCs w:val="21"/>
              </w:rPr>
              <w:t>SO</w:t>
            </w:r>
            <w:r>
              <w:rPr>
                <w:rFonts w:eastAsia="Times New Roman"/>
                <w:color w:val="auto"/>
                <w:sz w:val="21"/>
                <w:szCs w:val="21"/>
                <w:vertAlign w:val="subscript"/>
              </w:rPr>
              <w:t>2</w:t>
            </w:r>
            <w:r>
              <w:rPr>
                <w:rFonts w:hint="eastAsia"/>
                <w:color w:val="auto"/>
                <w:sz w:val="21"/>
                <w:szCs w:val="21"/>
              </w:rPr>
              <w:t>、</w:t>
            </w:r>
            <w:r>
              <w:rPr>
                <w:rFonts w:eastAsia="Times New Roman"/>
                <w:color w:val="auto"/>
                <w:sz w:val="21"/>
                <w:szCs w:val="21"/>
              </w:rPr>
              <w:t>NOx</w:t>
            </w:r>
          </w:p>
        </w:tc>
        <w:tc>
          <w:tcPr>
            <w:tcW w:w="652" w:type="pct"/>
            <w:noWrap/>
            <w:vAlign w:val="center"/>
          </w:tcPr>
          <w:p w14:paraId="01F0D8EE">
            <w:pPr>
              <w:widowControl w:val="0"/>
              <w:spacing w:before="100" w:beforeAutospacing="1" w:line="360" w:lineRule="exact"/>
              <w:jc w:val="center"/>
              <w:rPr>
                <w:rFonts w:hint="eastAsia" w:ascii="宋体" w:hAnsi="宋体"/>
                <w:color w:val="auto"/>
                <w:kern w:val="2"/>
                <w:sz w:val="21"/>
                <w:szCs w:val="21"/>
              </w:rPr>
            </w:pPr>
            <w:r>
              <w:rPr>
                <w:rFonts w:hint="eastAsia" w:ascii="宋体" w:hAnsi="宋体"/>
                <w:color w:val="auto"/>
                <w:kern w:val="2"/>
                <w:sz w:val="21"/>
                <w:szCs w:val="21"/>
              </w:rPr>
              <w:t>半年</w:t>
            </w:r>
          </w:p>
        </w:tc>
        <w:tc>
          <w:tcPr>
            <w:tcW w:w="896" w:type="pct"/>
            <w:vMerge w:val="continue"/>
            <w:noWrap/>
            <w:vAlign w:val="center"/>
          </w:tcPr>
          <w:p w14:paraId="0FBEDA23">
            <w:pPr>
              <w:widowControl w:val="0"/>
              <w:jc w:val="both"/>
              <w:rPr>
                <w:color w:val="auto"/>
                <w:kern w:val="2"/>
                <w:sz w:val="21"/>
                <w:szCs w:val="21"/>
              </w:rPr>
            </w:pPr>
          </w:p>
        </w:tc>
        <w:tc>
          <w:tcPr>
            <w:tcW w:w="772" w:type="pct"/>
            <w:vMerge w:val="continue"/>
            <w:noWrap/>
            <w:vAlign w:val="center"/>
          </w:tcPr>
          <w:p w14:paraId="27C3229F">
            <w:pPr>
              <w:widowControl w:val="0"/>
              <w:jc w:val="both"/>
              <w:rPr>
                <w:color w:val="auto"/>
                <w:kern w:val="2"/>
                <w:sz w:val="21"/>
                <w:szCs w:val="21"/>
              </w:rPr>
            </w:pPr>
          </w:p>
        </w:tc>
      </w:tr>
      <w:tr w14:paraId="1E8464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0CFEECF1">
            <w:pPr>
              <w:widowControl w:val="0"/>
              <w:spacing w:before="100" w:beforeAutospacing="1" w:line="360" w:lineRule="exact"/>
              <w:jc w:val="center"/>
              <w:rPr>
                <w:color w:val="auto"/>
                <w:kern w:val="2"/>
                <w:sz w:val="21"/>
                <w:szCs w:val="21"/>
              </w:rPr>
            </w:pPr>
            <w:r>
              <w:rPr>
                <w:rFonts w:hint="eastAsia"/>
                <w:color w:val="auto"/>
                <w:kern w:val="2"/>
                <w:sz w:val="21"/>
                <w:szCs w:val="21"/>
              </w:rPr>
              <w:t>7</w:t>
            </w:r>
          </w:p>
        </w:tc>
        <w:tc>
          <w:tcPr>
            <w:tcW w:w="1102" w:type="pct"/>
            <w:noWrap/>
            <w:vAlign w:val="center"/>
          </w:tcPr>
          <w:p w14:paraId="2AD4A0BC">
            <w:pPr>
              <w:widowControl w:val="0"/>
              <w:spacing w:before="100" w:beforeAutospacing="1" w:line="360" w:lineRule="exact"/>
              <w:jc w:val="center"/>
              <w:rPr>
                <w:rFonts w:ascii="宋体" w:hAnsi="宋体" w:eastAsia="Times New Roman" w:cs="宋体"/>
                <w:color w:val="auto"/>
                <w:sz w:val="21"/>
                <w:szCs w:val="21"/>
              </w:rPr>
            </w:pPr>
            <w:r>
              <w:rPr>
                <w:rFonts w:hint="eastAsia" w:ascii="宋体" w:hAnsi="宋体" w:eastAsia="Times New Roman" w:cs="宋体"/>
                <w:color w:val="auto"/>
                <w:sz w:val="21"/>
                <w:szCs w:val="21"/>
              </w:rPr>
              <w:t>催化剂生产焙烧废气总排口</w:t>
            </w:r>
            <w:r>
              <w:rPr>
                <w:rFonts w:eastAsia="Times New Roman"/>
                <w:color w:val="auto"/>
                <w:sz w:val="21"/>
                <w:szCs w:val="21"/>
              </w:rPr>
              <w:t>DA007</w:t>
            </w:r>
          </w:p>
        </w:tc>
        <w:tc>
          <w:tcPr>
            <w:tcW w:w="1221" w:type="pct"/>
            <w:noWrap/>
            <w:vAlign w:val="center"/>
          </w:tcPr>
          <w:p w14:paraId="3A271534">
            <w:pPr>
              <w:pStyle w:val="129"/>
              <w:widowControl w:val="0"/>
              <w:rPr>
                <w:color w:val="auto"/>
                <w:kern w:val="2"/>
              </w:rPr>
            </w:pPr>
            <w:r>
              <w:rPr>
                <w:rFonts w:hint="eastAsia"/>
                <w:color w:val="auto"/>
              </w:rPr>
              <w:t>颗粒物、钴及其化合物、钼及其化合物、锰及其化合物、铜及其化合物、锆及其化合物、</w:t>
            </w:r>
            <w:r>
              <w:rPr>
                <w:color w:val="auto"/>
              </w:rPr>
              <w:t>NH</w:t>
            </w:r>
            <w:r>
              <w:rPr>
                <w:color w:val="auto"/>
                <w:vertAlign w:val="subscript"/>
              </w:rPr>
              <w:t>3</w:t>
            </w:r>
            <w:r>
              <w:rPr>
                <w:rFonts w:hint="eastAsia"/>
                <w:color w:val="auto"/>
                <w:vertAlign w:val="subscript"/>
              </w:rPr>
              <w:t>、</w:t>
            </w:r>
            <w:r>
              <w:rPr>
                <w:color w:val="auto"/>
              </w:rPr>
              <w:t>NOx</w:t>
            </w:r>
          </w:p>
        </w:tc>
        <w:tc>
          <w:tcPr>
            <w:tcW w:w="652" w:type="pct"/>
            <w:noWrap/>
            <w:vAlign w:val="center"/>
          </w:tcPr>
          <w:p w14:paraId="08653B9E">
            <w:pPr>
              <w:widowControl w:val="0"/>
              <w:spacing w:before="100" w:beforeAutospacing="1" w:line="360" w:lineRule="exact"/>
              <w:jc w:val="center"/>
              <w:rPr>
                <w:rFonts w:hint="eastAsia" w:ascii="宋体" w:hAnsi="宋体"/>
                <w:color w:val="auto"/>
                <w:kern w:val="2"/>
                <w:sz w:val="21"/>
                <w:szCs w:val="21"/>
              </w:rPr>
            </w:pPr>
            <w:r>
              <w:rPr>
                <w:rFonts w:hint="eastAsia" w:ascii="宋体" w:hAnsi="宋体"/>
                <w:color w:val="auto"/>
                <w:kern w:val="2"/>
                <w:sz w:val="21"/>
                <w:szCs w:val="21"/>
              </w:rPr>
              <w:t>半年</w:t>
            </w:r>
          </w:p>
        </w:tc>
        <w:tc>
          <w:tcPr>
            <w:tcW w:w="896" w:type="pct"/>
            <w:vMerge w:val="continue"/>
            <w:noWrap/>
            <w:vAlign w:val="center"/>
          </w:tcPr>
          <w:p w14:paraId="2EACDA11">
            <w:pPr>
              <w:widowControl w:val="0"/>
              <w:jc w:val="both"/>
              <w:rPr>
                <w:color w:val="auto"/>
                <w:kern w:val="2"/>
                <w:sz w:val="21"/>
                <w:szCs w:val="21"/>
              </w:rPr>
            </w:pPr>
          </w:p>
        </w:tc>
        <w:tc>
          <w:tcPr>
            <w:tcW w:w="772" w:type="pct"/>
            <w:vMerge w:val="continue"/>
            <w:noWrap/>
            <w:vAlign w:val="center"/>
          </w:tcPr>
          <w:p w14:paraId="38368476">
            <w:pPr>
              <w:widowControl w:val="0"/>
              <w:jc w:val="both"/>
              <w:rPr>
                <w:color w:val="auto"/>
                <w:kern w:val="2"/>
                <w:sz w:val="21"/>
                <w:szCs w:val="21"/>
              </w:rPr>
            </w:pPr>
          </w:p>
        </w:tc>
      </w:tr>
      <w:tr w14:paraId="575175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581EE68D">
            <w:pPr>
              <w:widowControl w:val="0"/>
              <w:spacing w:before="100" w:beforeAutospacing="1" w:line="360" w:lineRule="exact"/>
              <w:jc w:val="center"/>
              <w:rPr>
                <w:color w:val="auto"/>
                <w:kern w:val="2"/>
                <w:sz w:val="21"/>
                <w:szCs w:val="21"/>
              </w:rPr>
            </w:pPr>
            <w:r>
              <w:rPr>
                <w:rFonts w:hint="eastAsia"/>
                <w:color w:val="auto"/>
                <w:kern w:val="2"/>
                <w:sz w:val="21"/>
                <w:szCs w:val="21"/>
              </w:rPr>
              <w:t>8</w:t>
            </w:r>
          </w:p>
        </w:tc>
        <w:tc>
          <w:tcPr>
            <w:tcW w:w="1102" w:type="pct"/>
            <w:noWrap/>
            <w:vAlign w:val="center"/>
          </w:tcPr>
          <w:p w14:paraId="347F8EC2">
            <w:pPr>
              <w:widowControl w:val="0"/>
              <w:spacing w:before="100" w:beforeAutospacing="1" w:line="360" w:lineRule="exact"/>
              <w:jc w:val="center"/>
              <w:rPr>
                <w:rFonts w:hint="eastAsia" w:ascii="宋体" w:hAnsi="宋体" w:cs="宋体"/>
                <w:color w:val="auto"/>
                <w:sz w:val="21"/>
                <w:szCs w:val="21"/>
              </w:rPr>
            </w:pPr>
            <w:r>
              <w:rPr>
                <w:rFonts w:hint="eastAsia" w:ascii="宋体" w:hAnsi="宋体" w:eastAsia="Times New Roman" w:cs="宋体"/>
                <w:color w:val="auto"/>
                <w:sz w:val="21"/>
                <w:szCs w:val="21"/>
              </w:rPr>
              <w:t>混捏、催化剂、载体筛分包装废气总排口</w:t>
            </w:r>
            <w:r>
              <w:rPr>
                <w:rFonts w:eastAsia="Times New Roman"/>
                <w:color w:val="auto"/>
                <w:sz w:val="21"/>
                <w:szCs w:val="21"/>
              </w:rPr>
              <w:t>DA00</w:t>
            </w:r>
            <w:r>
              <w:rPr>
                <w:rFonts w:hint="eastAsia"/>
                <w:color w:val="auto"/>
                <w:sz w:val="21"/>
                <w:szCs w:val="21"/>
              </w:rPr>
              <w:t>8</w:t>
            </w:r>
          </w:p>
        </w:tc>
        <w:tc>
          <w:tcPr>
            <w:tcW w:w="1221" w:type="pct"/>
            <w:noWrap/>
            <w:vAlign w:val="center"/>
          </w:tcPr>
          <w:p w14:paraId="1C9472A8">
            <w:pPr>
              <w:pStyle w:val="129"/>
              <w:widowControl w:val="0"/>
              <w:rPr>
                <w:color w:val="auto"/>
              </w:rPr>
            </w:pPr>
            <w:r>
              <w:rPr>
                <w:rFonts w:hint="eastAsia"/>
                <w:color w:val="auto"/>
              </w:rPr>
              <w:t>颗粒物、钴及其化合物、钼及其化合物、镍及其化合物、锰及其化合物、铜及其化合物、锆及其化合物</w:t>
            </w:r>
          </w:p>
        </w:tc>
        <w:tc>
          <w:tcPr>
            <w:tcW w:w="652" w:type="pct"/>
            <w:noWrap/>
            <w:vAlign w:val="center"/>
          </w:tcPr>
          <w:p w14:paraId="05FF6A21">
            <w:pPr>
              <w:widowControl w:val="0"/>
              <w:spacing w:before="100" w:beforeAutospacing="1" w:line="360" w:lineRule="exact"/>
              <w:jc w:val="center"/>
              <w:rPr>
                <w:rFonts w:hint="eastAsia" w:ascii="宋体" w:hAnsi="宋体"/>
                <w:color w:val="auto"/>
                <w:kern w:val="2"/>
                <w:sz w:val="21"/>
                <w:szCs w:val="21"/>
              </w:rPr>
            </w:pPr>
            <w:r>
              <w:rPr>
                <w:rFonts w:hint="eastAsia" w:ascii="宋体" w:hAnsi="宋体"/>
                <w:color w:val="auto"/>
                <w:kern w:val="2"/>
                <w:sz w:val="21"/>
                <w:szCs w:val="21"/>
              </w:rPr>
              <w:t>半年</w:t>
            </w:r>
          </w:p>
        </w:tc>
        <w:tc>
          <w:tcPr>
            <w:tcW w:w="896" w:type="pct"/>
            <w:vMerge w:val="continue"/>
            <w:noWrap/>
            <w:vAlign w:val="center"/>
          </w:tcPr>
          <w:p w14:paraId="32973853">
            <w:pPr>
              <w:widowControl w:val="0"/>
              <w:jc w:val="both"/>
              <w:rPr>
                <w:color w:val="auto"/>
                <w:kern w:val="2"/>
                <w:sz w:val="21"/>
                <w:szCs w:val="21"/>
              </w:rPr>
            </w:pPr>
          </w:p>
        </w:tc>
        <w:tc>
          <w:tcPr>
            <w:tcW w:w="772" w:type="pct"/>
            <w:vMerge w:val="continue"/>
            <w:noWrap/>
            <w:vAlign w:val="center"/>
          </w:tcPr>
          <w:p w14:paraId="6E5894CD">
            <w:pPr>
              <w:widowControl w:val="0"/>
              <w:jc w:val="both"/>
              <w:rPr>
                <w:color w:val="auto"/>
                <w:kern w:val="2"/>
                <w:sz w:val="21"/>
                <w:szCs w:val="21"/>
              </w:rPr>
            </w:pPr>
          </w:p>
        </w:tc>
      </w:tr>
      <w:tr w14:paraId="645F71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6"/>
            <w:noWrap/>
            <w:vAlign w:val="center"/>
          </w:tcPr>
          <w:p w14:paraId="6B1D76B2">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无组织废气</w:t>
            </w:r>
          </w:p>
        </w:tc>
      </w:tr>
      <w:tr w14:paraId="387441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3C96840E">
            <w:pPr>
              <w:widowControl w:val="0"/>
              <w:spacing w:before="100" w:beforeAutospacing="1" w:line="360" w:lineRule="exact"/>
              <w:jc w:val="center"/>
              <w:rPr>
                <w:color w:val="auto"/>
                <w:kern w:val="2"/>
                <w:sz w:val="21"/>
                <w:szCs w:val="21"/>
              </w:rPr>
            </w:pPr>
            <w:r>
              <w:rPr>
                <w:rFonts w:hint="eastAsia"/>
                <w:color w:val="auto"/>
                <w:kern w:val="2"/>
                <w:sz w:val="21"/>
                <w:szCs w:val="21"/>
              </w:rPr>
              <w:t>9</w:t>
            </w:r>
          </w:p>
        </w:tc>
        <w:tc>
          <w:tcPr>
            <w:tcW w:w="1102" w:type="pct"/>
            <w:noWrap/>
            <w:vAlign w:val="center"/>
          </w:tcPr>
          <w:p w14:paraId="7554D5C3">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厂界</w:t>
            </w:r>
          </w:p>
        </w:tc>
        <w:tc>
          <w:tcPr>
            <w:tcW w:w="1221" w:type="pct"/>
            <w:noWrap/>
            <w:vAlign w:val="center"/>
          </w:tcPr>
          <w:p w14:paraId="5299A162">
            <w:pPr>
              <w:widowControl w:val="0"/>
              <w:spacing w:before="100" w:beforeAutospacing="1" w:line="360" w:lineRule="exact"/>
              <w:jc w:val="center"/>
              <w:rPr>
                <w:color w:val="auto"/>
                <w:kern w:val="2"/>
                <w:sz w:val="21"/>
                <w:szCs w:val="21"/>
              </w:rPr>
            </w:pPr>
            <w:r>
              <w:rPr>
                <w:rFonts w:hint="eastAsia"/>
                <w:color w:val="auto"/>
                <w:kern w:val="2"/>
                <w:sz w:val="21"/>
                <w:szCs w:val="21"/>
              </w:rPr>
              <w:t>NH</w:t>
            </w:r>
            <w:r>
              <w:rPr>
                <w:rFonts w:hint="eastAsia"/>
                <w:color w:val="auto"/>
                <w:kern w:val="2"/>
                <w:sz w:val="21"/>
                <w:szCs w:val="21"/>
                <w:vertAlign w:val="subscript"/>
              </w:rPr>
              <w:t>3</w:t>
            </w:r>
          </w:p>
        </w:tc>
        <w:tc>
          <w:tcPr>
            <w:tcW w:w="652" w:type="pct"/>
            <w:noWrap/>
            <w:vAlign w:val="center"/>
          </w:tcPr>
          <w:p w14:paraId="6AD11D11">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半年</w:t>
            </w:r>
          </w:p>
        </w:tc>
        <w:tc>
          <w:tcPr>
            <w:tcW w:w="896" w:type="pct"/>
            <w:noWrap/>
            <w:vAlign w:val="center"/>
          </w:tcPr>
          <w:p w14:paraId="735507A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《无机化学工业污染物排放标准》（</w:t>
            </w:r>
            <w:r>
              <w:rPr>
                <w:rFonts w:hint="eastAsia"/>
                <w:color w:val="auto"/>
                <w:kern w:val="2"/>
                <w:sz w:val="21"/>
                <w:szCs w:val="21"/>
              </w:rPr>
              <w:t>GB31573-2015</w:t>
            </w:r>
            <w:r>
              <w:rPr>
                <w:rFonts w:hint="eastAsia" w:ascii="宋体" w:hAnsi="宋体"/>
                <w:color w:val="auto"/>
                <w:kern w:val="2"/>
                <w:sz w:val="21"/>
                <w:szCs w:val="21"/>
              </w:rPr>
              <w:t>）及修改单表</w:t>
            </w:r>
            <w:r>
              <w:rPr>
                <w:rFonts w:hint="eastAsia"/>
                <w:color w:val="auto"/>
                <w:kern w:val="2"/>
                <w:sz w:val="21"/>
                <w:szCs w:val="21"/>
              </w:rPr>
              <w:t>5</w:t>
            </w:r>
          </w:p>
        </w:tc>
        <w:tc>
          <w:tcPr>
            <w:tcW w:w="772" w:type="pct"/>
            <w:noWrap/>
            <w:vAlign w:val="center"/>
          </w:tcPr>
          <w:p w14:paraId="2013F394">
            <w:pPr>
              <w:widowControl w:val="0"/>
              <w:spacing w:before="100" w:beforeAutospacing="1" w:line="360" w:lineRule="exact"/>
              <w:jc w:val="center"/>
              <w:rPr>
                <w:color w:val="auto"/>
                <w:kern w:val="2"/>
                <w:sz w:val="21"/>
                <w:szCs w:val="21"/>
              </w:rPr>
            </w:pPr>
            <w:bookmarkStart w:id="423" w:name="OLE_LINK145"/>
            <w:r>
              <w:rPr>
                <w:rFonts w:hint="eastAsia" w:ascii="宋体" w:hAnsi="宋体"/>
                <w:color w:val="auto"/>
                <w:kern w:val="2"/>
                <w:sz w:val="21"/>
                <w:szCs w:val="21"/>
              </w:rPr>
              <w:t>《排污单位自行监测技术指南</w:t>
            </w:r>
            <w:r>
              <w:rPr>
                <w:rFonts w:hint="eastAsia"/>
                <w:color w:val="auto"/>
                <w:kern w:val="2"/>
                <w:sz w:val="21"/>
                <w:szCs w:val="21"/>
              </w:rPr>
              <w:t xml:space="preserve"> </w:t>
            </w:r>
            <w:r>
              <w:rPr>
                <w:rFonts w:hint="eastAsia" w:ascii="宋体" w:hAnsi="宋体"/>
                <w:color w:val="auto"/>
                <w:kern w:val="2"/>
                <w:sz w:val="21"/>
                <w:szCs w:val="21"/>
              </w:rPr>
              <w:t>无机化学工业》（</w:t>
            </w:r>
            <w:r>
              <w:rPr>
                <w:rFonts w:hint="eastAsia"/>
                <w:color w:val="auto"/>
                <w:kern w:val="2"/>
                <w:sz w:val="21"/>
                <w:szCs w:val="21"/>
              </w:rPr>
              <w:t>HJ 1138-2020</w:t>
            </w:r>
            <w:r>
              <w:rPr>
                <w:rFonts w:hint="eastAsia" w:ascii="宋体" w:hAnsi="宋体"/>
                <w:color w:val="auto"/>
                <w:kern w:val="2"/>
                <w:sz w:val="21"/>
                <w:szCs w:val="21"/>
              </w:rPr>
              <w:t>）</w:t>
            </w:r>
            <w:bookmarkEnd w:id="423"/>
          </w:p>
        </w:tc>
      </w:tr>
      <w:tr w14:paraId="2A513F4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6"/>
            <w:noWrap/>
            <w:vAlign w:val="center"/>
          </w:tcPr>
          <w:p w14:paraId="5EF2F942">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废水</w:t>
            </w:r>
          </w:p>
        </w:tc>
      </w:tr>
      <w:tr w14:paraId="36ACAC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09F47822">
            <w:pPr>
              <w:widowControl w:val="0"/>
              <w:spacing w:before="100" w:beforeAutospacing="1" w:line="360" w:lineRule="exact"/>
              <w:jc w:val="center"/>
              <w:rPr>
                <w:color w:val="auto"/>
                <w:kern w:val="2"/>
                <w:sz w:val="21"/>
                <w:szCs w:val="21"/>
              </w:rPr>
            </w:pPr>
            <w:r>
              <w:rPr>
                <w:rFonts w:hint="eastAsia"/>
                <w:color w:val="auto"/>
                <w:kern w:val="2"/>
                <w:sz w:val="21"/>
                <w:szCs w:val="21"/>
              </w:rPr>
              <w:t>11</w:t>
            </w:r>
          </w:p>
        </w:tc>
        <w:tc>
          <w:tcPr>
            <w:tcW w:w="1102" w:type="pct"/>
            <w:noWrap/>
            <w:vAlign w:val="center"/>
          </w:tcPr>
          <w:p w14:paraId="02B169D3">
            <w:pPr>
              <w:pStyle w:val="129"/>
              <w:widowControl w:val="0"/>
              <w:rPr>
                <w:color w:val="auto"/>
              </w:rPr>
            </w:pPr>
            <w:r>
              <w:rPr>
                <w:rFonts w:hint="eastAsia"/>
                <w:color w:val="auto"/>
              </w:rPr>
              <w:t>废水总</w:t>
            </w:r>
          </w:p>
          <w:p w14:paraId="6B358357">
            <w:pPr>
              <w:pStyle w:val="129"/>
              <w:widowControl w:val="0"/>
              <w:rPr>
                <w:color w:val="auto"/>
              </w:rPr>
            </w:pPr>
            <w:r>
              <w:rPr>
                <w:rFonts w:hint="eastAsia"/>
                <w:color w:val="auto"/>
              </w:rPr>
              <w:t>排放口</w:t>
            </w:r>
          </w:p>
        </w:tc>
        <w:tc>
          <w:tcPr>
            <w:tcW w:w="1221" w:type="pct"/>
            <w:noWrap/>
            <w:vAlign w:val="center"/>
          </w:tcPr>
          <w:p w14:paraId="7EFC8994">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流量、</w:t>
            </w:r>
            <w:r>
              <w:rPr>
                <w:rFonts w:hint="eastAsia"/>
                <w:color w:val="auto"/>
                <w:kern w:val="2"/>
                <w:sz w:val="21"/>
                <w:szCs w:val="21"/>
              </w:rPr>
              <w:t>pH</w:t>
            </w:r>
            <w:r>
              <w:rPr>
                <w:rFonts w:hint="eastAsia" w:ascii="宋体" w:hAnsi="宋体"/>
                <w:color w:val="auto"/>
                <w:kern w:val="2"/>
                <w:sz w:val="21"/>
                <w:szCs w:val="21"/>
              </w:rPr>
              <w:t>值、</w:t>
            </w:r>
            <w:r>
              <w:rPr>
                <w:rFonts w:hint="eastAsia"/>
                <w:color w:val="auto"/>
                <w:kern w:val="2"/>
                <w:sz w:val="21"/>
                <w:szCs w:val="21"/>
              </w:rPr>
              <w:t>COD</w:t>
            </w:r>
            <w:r>
              <w:rPr>
                <w:rFonts w:hint="eastAsia" w:ascii="宋体" w:hAnsi="宋体"/>
                <w:color w:val="auto"/>
                <w:kern w:val="2"/>
                <w:sz w:val="21"/>
                <w:szCs w:val="21"/>
              </w:rPr>
              <w:t>、氨氮、总氮、总磷、</w:t>
            </w:r>
            <w:r>
              <w:rPr>
                <w:rFonts w:hint="eastAsia"/>
                <w:color w:val="auto"/>
                <w:kern w:val="2"/>
                <w:sz w:val="21"/>
                <w:szCs w:val="21"/>
              </w:rPr>
              <w:t>SS</w:t>
            </w:r>
          </w:p>
        </w:tc>
        <w:tc>
          <w:tcPr>
            <w:tcW w:w="652" w:type="pct"/>
            <w:noWrap/>
            <w:vAlign w:val="center"/>
          </w:tcPr>
          <w:p w14:paraId="3936F5F7">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半年</w:t>
            </w:r>
          </w:p>
        </w:tc>
        <w:tc>
          <w:tcPr>
            <w:tcW w:w="896" w:type="pct"/>
            <w:noWrap/>
            <w:vAlign w:val="center"/>
          </w:tcPr>
          <w:p w14:paraId="0C86E0AC">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《污水综合排放标准》（</w:t>
            </w:r>
            <w:r>
              <w:rPr>
                <w:color w:val="auto"/>
                <w:kern w:val="2"/>
                <w:sz w:val="21"/>
                <w:szCs w:val="21"/>
              </w:rPr>
              <w:t>GB8978-1996</w:t>
            </w:r>
            <w:r>
              <w:rPr>
                <w:rFonts w:hint="eastAsia" w:ascii="宋体" w:hAnsi="宋体"/>
                <w:color w:val="auto"/>
                <w:kern w:val="2"/>
                <w:sz w:val="21"/>
                <w:szCs w:val="21"/>
              </w:rPr>
              <w:t>）三级标准</w:t>
            </w:r>
          </w:p>
        </w:tc>
        <w:tc>
          <w:tcPr>
            <w:tcW w:w="772" w:type="pct"/>
            <w:noWrap/>
            <w:vAlign w:val="center"/>
          </w:tcPr>
          <w:p w14:paraId="2D65D517">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《排污单位自行监测技术指南 总则》（</w:t>
            </w:r>
            <w:r>
              <w:rPr>
                <w:color w:val="auto"/>
                <w:kern w:val="2"/>
                <w:sz w:val="21"/>
                <w:szCs w:val="21"/>
              </w:rPr>
              <w:t>HJ 819-2017</w:t>
            </w:r>
            <w:r>
              <w:rPr>
                <w:rFonts w:hint="eastAsia" w:ascii="宋体" w:hAnsi="宋体"/>
                <w:color w:val="auto"/>
                <w:kern w:val="2"/>
                <w:sz w:val="21"/>
                <w:szCs w:val="21"/>
              </w:rPr>
              <w:t>）</w:t>
            </w:r>
          </w:p>
        </w:tc>
      </w:tr>
      <w:tr w14:paraId="570497F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105" w:hRule="atLeast"/>
        </w:trPr>
        <w:tc>
          <w:tcPr>
            <w:tcW w:w="357" w:type="pct"/>
            <w:vMerge w:val="restart"/>
            <w:noWrap/>
            <w:vAlign w:val="center"/>
          </w:tcPr>
          <w:p w14:paraId="0787DC6B">
            <w:pPr>
              <w:widowControl w:val="0"/>
              <w:spacing w:before="100" w:beforeAutospacing="1" w:line="360" w:lineRule="exact"/>
              <w:jc w:val="center"/>
              <w:rPr>
                <w:rFonts w:hint="eastAsia"/>
                <w:color w:val="auto"/>
                <w:kern w:val="2"/>
                <w:sz w:val="21"/>
                <w:szCs w:val="21"/>
              </w:rPr>
            </w:pPr>
            <w:r>
              <w:rPr>
                <w:rFonts w:hint="eastAsia"/>
                <w:color w:val="auto"/>
                <w:kern w:val="2"/>
                <w:sz w:val="21"/>
                <w:szCs w:val="21"/>
              </w:rPr>
              <w:t>12</w:t>
            </w:r>
          </w:p>
        </w:tc>
        <w:tc>
          <w:tcPr>
            <w:tcW w:w="1102" w:type="pct"/>
            <w:vMerge w:val="restart"/>
            <w:noWrap/>
            <w:vAlign w:val="center"/>
          </w:tcPr>
          <w:p w14:paraId="021F9852">
            <w:pPr>
              <w:pStyle w:val="129"/>
              <w:widowControl w:val="0"/>
              <w:rPr>
                <w:rFonts w:hint="eastAsia"/>
                <w:color w:val="auto"/>
              </w:rPr>
            </w:pPr>
            <w:r>
              <w:rPr>
                <w:rFonts w:hint="eastAsia"/>
                <w:color w:val="auto"/>
              </w:rPr>
              <w:t>冷凝水</w:t>
            </w:r>
          </w:p>
        </w:tc>
        <w:tc>
          <w:tcPr>
            <w:tcW w:w="1221" w:type="pct"/>
            <w:noWrap/>
            <w:vAlign w:val="center"/>
          </w:tcPr>
          <w:p w14:paraId="112322AD">
            <w:pPr>
              <w:widowControl w:val="0"/>
              <w:spacing w:before="100" w:beforeAutospacing="1" w:line="360" w:lineRule="exact"/>
              <w:jc w:val="center"/>
              <w:rPr>
                <w:rFonts w:hint="eastAsia" w:ascii="宋体" w:hAnsi="宋体"/>
                <w:color w:val="auto"/>
                <w:kern w:val="2"/>
                <w:sz w:val="21"/>
                <w:szCs w:val="21"/>
              </w:rPr>
            </w:pPr>
            <w:r>
              <w:rPr>
                <w:rFonts w:hint="eastAsia" w:ascii="宋体" w:hAnsi="宋体"/>
                <w:color w:val="auto"/>
                <w:kern w:val="2"/>
                <w:sz w:val="21"/>
                <w:szCs w:val="21"/>
              </w:rPr>
              <w:t>TDS</w:t>
            </w:r>
          </w:p>
        </w:tc>
        <w:tc>
          <w:tcPr>
            <w:tcW w:w="652" w:type="pct"/>
            <w:noWrap/>
            <w:vAlign w:val="center"/>
          </w:tcPr>
          <w:p w14:paraId="0BF60778">
            <w:pPr>
              <w:widowControl w:val="0"/>
              <w:spacing w:before="100" w:beforeAutospacing="1" w:line="360" w:lineRule="exact"/>
              <w:jc w:val="center"/>
              <w:rPr>
                <w:rFonts w:hint="eastAsia" w:ascii="宋体" w:hAnsi="宋体"/>
                <w:color w:val="auto"/>
                <w:kern w:val="2"/>
                <w:sz w:val="21"/>
                <w:szCs w:val="21"/>
              </w:rPr>
            </w:pPr>
            <w:r>
              <w:rPr>
                <w:rFonts w:hint="eastAsia" w:ascii="宋体" w:hAnsi="宋体"/>
                <w:color w:val="auto"/>
                <w:kern w:val="2"/>
                <w:sz w:val="21"/>
                <w:szCs w:val="21"/>
              </w:rPr>
              <w:t>在线</w:t>
            </w:r>
          </w:p>
        </w:tc>
        <w:tc>
          <w:tcPr>
            <w:tcW w:w="896" w:type="pct"/>
            <w:vMerge w:val="restart"/>
            <w:noWrap/>
            <w:vAlign w:val="center"/>
          </w:tcPr>
          <w:p w14:paraId="78894822">
            <w:pPr>
              <w:widowControl w:val="0"/>
              <w:spacing w:before="100" w:beforeAutospacing="1" w:line="360" w:lineRule="exact"/>
              <w:jc w:val="center"/>
              <w:rPr>
                <w:rFonts w:hint="eastAsia" w:ascii="宋体" w:hAnsi="宋体"/>
                <w:color w:val="auto"/>
                <w:kern w:val="2"/>
                <w:sz w:val="21"/>
                <w:szCs w:val="21"/>
              </w:rPr>
            </w:pPr>
            <w:r>
              <w:rPr>
                <w:rFonts w:ascii="宋体" w:hAnsi="宋体"/>
                <w:color w:val="auto"/>
                <w:kern w:val="2"/>
                <w:sz w:val="21"/>
                <w:szCs w:val="21"/>
              </w:rPr>
              <w:t>《无机化学工业污染物排放标准》（GB31573-2015）及修改单和《城市污水再生利用  工业用水水质》（GB/T 19923-2024）</w:t>
            </w:r>
          </w:p>
        </w:tc>
        <w:tc>
          <w:tcPr>
            <w:tcW w:w="772" w:type="pct"/>
            <w:vMerge w:val="restart"/>
            <w:noWrap/>
            <w:vAlign w:val="center"/>
          </w:tcPr>
          <w:p w14:paraId="45A145EE">
            <w:pPr>
              <w:widowControl w:val="0"/>
              <w:spacing w:before="100" w:beforeAutospacing="1" w:line="360" w:lineRule="exact"/>
              <w:jc w:val="center"/>
              <w:rPr>
                <w:rFonts w:hint="eastAsia" w:ascii="宋体" w:hAnsi="宋体"/>
                <w:color w:val="auto"/>
                <w:kern w:val="2"/>
                <w:sz w:val="21"/>
                <w:szCs w:val="21"/>
              </w:rPr>
            </w:pPr>
            <w:r>
              <w:rPr>
                <w:rFonts w:ascii="宋体" w:hAnsi="宋体"/>
                <w:color w:val="auto"/>
                <w:kern w:val="2"/>
                <w:sz w:val="21"/>
                <w:szCs w:val="21"/>
              </w:rPr>
              <w:t>《排污单位自行监测技术指南 无机化学工业》（HJ 1138-2020）</w:t>
            </w:r>
          </w:p>
        </w:tc>
      </w:tr>
      <w:tr w14:paraId="309254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vMerge w:val="continue"/>
            <w:noWrap/>
            <w:vAlign w:val="center"/>
          </w:tcPr>
          <w:p w14:paraId="2BC0E153">
            <w:pPr>
              <w:widowControl w:val="0"/>
              <w:spacing w:before="100" w:beforeAutospacing="1" w:line="360" w:lineRule="exact"/>
              <w:jc w:val="center"/>
              <w:rPr>
                <w:rFonts w:hint="eastAsia"/>
                <w:color w:val="auto"/>
                <w:kern w:val="2"/>
                <w:sz w:val="21"/>
                <w:szCs w:val="21"/>
              </w:rPr>
            </w:pPr>
          </w:p>
        </w:tc>
        <w:tc>
          <w:tcPr>
            <w:tcW w:w="1102" w:type="pct"/>
            <w:vMerge w:val="continue"/>
            <w:noWrap/>
            <w:vAlign w:val="center"/>
          </w:tcPr>
          <w:p w14:paraId="2190EF04">
            <w:pPr>
              <w:pStyle w:val="129"/>
              <w:widowControl w:val="0"/>
              <w:rPr>
                <w:rFonts w:hint="eastAsia"/>
                <w:color w:val="auto"/>
              </w:rPr>
            </w:pPr>
          </w:p>
        </w:tc>
        <w:tc>
          <w:tcPr>
            <w:tcW w:w="1221" w:type="pct"/>
            <w:noWrap/>
            <w:vAlign w:val="center"/>
          </w:tcPr>
          <w:p w14:paraId="502E3954">
            <w:pPr>
              <w:widowControl w:val="0"/>
              <w:spacing w:before="100" w:beforeAutospacing="1" w:line="360" w:lineRule="exact"/>
              <w:jc w:val="center"/>
              <w:rPr>
                <w:rFonts w:hint="eastAsia" w:ascii="宋体" w:hAnsi="宋体"/>
                <w:color w:val="auto"/>
                <w:kern w:val="2"/>
                <w:sz w:val="21"/>
                <w:szCs w:val="21"/>
              </w:rPr>
            </w:pPr>
            <w:bookmarkStart w:id="424" w:name="OLE_LINK147"/>
            <w:r>
              <w:rPr>
                <w:rFonts w:hint="eastAsia" w:eastAsia="Times New Roman"/>
                <w:color w:val="auto"/>
              </w:rPr>
              <w:t>pH</w:t>
            </w:r>
            <w:r>
              <w:rPr>
                <w:rFonts w:hint="eastAsia" w:ascii="宋体" w:hAnsi="宋体" w:cs="宋体"/>
                <w:color w:val="auto"/>
              </w:rPr>
              <w:t xml:space="preserve">、COD、氨氮、总氮、总磷 </w:t>
            </w:r>
            <w:bookmarkEnd w:id="424"/>
          </w:p>
        </w:tc>
        <w:tc>
          <w:tcPr>
            <w:tcW w:w="652" w:type="pct"/>
            <w:noWrap/>
            <w:vAlign w:val="center"/>
          </w:tcPr>
          <w:p w14:paraId="185A334B">
            <w:pPr>
              <w:widowControl w:val="0"/>
              <w:spacing w:before="100" w:beforeAutospacing="1" w:line="360" w:lineRule="exact"/>
              <w:jc w:val="center"/>
              <w:rPr>
                <w:rFonts w:hint="eastAsia" w:ascii="宋体" w:hAnsi="宋体"/>
                <w:color w:val="auto"/>
                <w:kern w:val="2"/>
                <w:sz w:val="21"/>
                <w:szCs w:val="21"/>
              </w:rPr>
            </w:pPr>
            <w:r>
              <w:rPr>
                <w:rFonts w:hint="eastAsia" w:ascii="宋体" w:hAnsi="宋体"/>
                <w:color w:val="auto"/>
                <w:kern w:val="2"/>
                <w:sz w:val="21"/>
                <w:szCs w:val="21"/>
              </w:rPr>
              <w:t>半年</w:t>
            </w:r>
          </w:p>
        </w:tc>
        <w:tc>
          <w:tcPr>
            <w:tcW w:w="896" w:type="pct"/>
            <w:vMerge w:val="continue"/>
            <w:noWrap/>
            <w:vAlign w:val="center"/>
          </w:tcPr>
          <w:p w14:paraId="576E8DAD">
            <w:pPr>
              <w:widowControl w:val="0"/>
              <w:spacing w:before="100" w:beforeAutospacing="1" w:line="360" w:lineRule="exact"/>
              <w:jc w:val="center"/>
              <w:rPr>
                <w:rFonts w:hint="eastAsia" w:ascii="宋体" w:hAnsi="宋体"/>
                <w:color w:val="auto"/>
                <w:kern w:val="2"/>
                <w:sz w:val="21"/>
                <w:szCs w:val="21"/>
              </w:rPr>
            </w:pPr>
          </w:p>
        </w:tc>
        <w:tc>
          <w:tcPr>
            <w:tcW w:w="772" w:type="pct"/>
            <w:vMerge w:val="continue"/>
            <w:noWrap/>
            <w:vAlign w:val="center"/>
          </w:tcPr>
          <w:p w14:paraId="473DFFFC">
            <w:pPr>
              <w:widowControl w:val="0"/>
              <w:spacing w:before="100" w:beforeAutospacing="1" w:line="360" w:lineRule="exact"/>
              <w:jc w:val="center"/>
              <w:rPr>
                <w:rFonts w:hint="eastAsia" w:ascii="宋体" w:hAnsi="宋体"/>
                <w:color w:val="auto"/>
                <w:kern w:val="2"/>
                <w:sz w:val="21"/>
                <w:szCs w:val="21"/>
              </w:rPr>
            </w:pPr>
          </w:p>
        </w:tc>
      </w:tr>
      <w:tr w14:paraId="22D450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5000" w:type="pct"/>
            <w:gridSpan w:val="6"/>
            <w:noWrap/>
            <w:vAlign w:val="center"/>
          </w:tcPr>
          <w:p w14:paraId="19606A22">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噪声</w:t>
            </w:r>
          </w:p>
        </w:tc>
      </w:tr>
      <w:tr w14:paraId="7954995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57" w:type="pct"/>
            <w:noWrap/>
            <w:vAlign w:val="center"/>
          </w:tcPr>
          <w:p w14:paraId="46168B8D">
            <w:pPr>
              <w:widowControl w:val="0"/>
              <w:spacing w:before="100" w:beforeAutospacing="1" w:line="360" w:lineRule="exact"/>
              <w:jc w:val="center"/>
              <w:rPr>
                <w:color w:val="auto"/>
                <w:kern w:val="2"/>
                <w:sz w:val="21"/>
                <w:szCs w:val="21"/>
              </w:rPr>
            </w:pPr>
            <w:r>
              <w:rPr>
                <w:rFonts w:hint="eastAsia"/>
                <w:color w:val="auto"/>
                <w:kern w:val="2"/>
                <w:sz w:val="21"/>
                <w:szCs w:val="21"/>
              </w:rPr>
              <w:t>12</w:t>
            </w:r>
          </w:p>
        </w:tc>
        <w:tc>
          <w:tcPr>
            <w:tcW w:w="1102" w:type="pct"/>
            <w:noWrap/>
            <w:vAlign w:val="center"/>
          </w:tcPr>
          <w:p w14:paraId="69F468D3">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企业边界</w:t>
            </w:r>
          </w:p>
        </w:tc>
        <w:tc>
          <w:tcPr>
            <w:tcW w:w="1221" w:type="pct"/>
            <w:noWrap/>
            <w:vAlign w:val="center"/>
          </w:tcPr>
          <w:p w14:paraId="6066673A">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等效</w:t>
            </w:r>
            <w:r>
              <w:rPr>
                <w:rFonts w:hint="eastAsia"/>
                <w:color w:val="auto"/>
                <w:kern w:val="2"/>
                <w:sz w:val="21"/>
                <w:szCs w:val="21"/>
              </w:rPr>
              <w:t>A</w:t>
            </w:r>
            <w:r>
              <w:rPr>
                <w:rFonts w:hint="eastAsia" w:ascii="宋体" w:hAnsi="宋体"/>
                <w:color w:val="auto"/>
                <w:kern w:val="2"/>
                <w:sz w:val="21"/>
                <w:szCs w:val="21"/>
              </w:rPr>
              <w:t>声级</w:t>
            </w:r>
          </w:p>
        </w:tc>
        <w:tc>
          <w:tcPr>
            <w:tcW w:w="652" w:type="pct"/>
            <w:noWrap/>
            <w:vAlign w:val="center"/>
          </w:tcPr>
          <w:p w14:paraId="53931095">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季度</w:t>
            </w:r>
          </w:p>
        </w:tc>
        <w:tc>
          <w:tcPr>
            <w:tcW w:w="896" w:type="pct"/>
            <w:noWrap/>
            <w:vAlign w:val="center"/>
          </w:tcPr>
          <w:p w14:paraId="4BF00F47">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《工业企业厂界环境噪声排放标准》（</w:t>
            </w:r>
            <w:r>
              <w:rPr>
                <w:rFonts w:hint="eastAsia"/>
                <w:color w:val="auto"/>
                <w:kern w:val="2"/>
                <w:sz w:val="21"/>
                <w:szCs w:val="21"/>
              </w:rPr>
              <w:t>GB12348-2008</w:t>
            </w:r>
            <w:r>
              <w:rPr>
                <w:rFonts w:hint="eastAsia" w:ascii="宋体" w:hAnsi="宋体"/>
                <w:color w:val="auto"/>
                <w:kern w:val="2"/>
                <w:sz w:val="21"/>
                <w:szCs w:val="21"/>
              </w:rPr>
              <w:t>）</w:t>
            </w:r>
            <w:r>
              <w:rPr>
                <w:rFonts w:hint="eastAsia"/>
                <w:color w:val="auto"/>
                <w:kern w:val="2"/>
                <w:sz w:val="21"/>
                <w:szCs w:val="21"/>
              </w:rPr>
              <w:t>3</w:t>
            </w:r>
            <w:r>
              <w:rPr>
                <w:rFonts w:hint="eastAsia" w:ascii="宋体" w:hAnsi="宋体"/>
                <w:color w:val="auto"/>
                <w:kern w:val="2"/>
                <w:sz w:val="21"/>
                <w:szCs w:val="21"/>
              </w:rPr>
              <w:t>类标准</w:t>
            </w:r>
          </w:p>
        </w:tc>
        <w:tc>
          <w:tcPr>
            <w:tcW w:w="772" w:type="pct"/>
            <w:noWrap/>
            <w:vAlign w:val="center"/>
          </w:tcPr>
          <w:p w14:paraId="5386E6E4">
            <w:pPr>
              <w:widowControl w:val="0"/>
              <w:spacing w:before="100" w:beforeAutospacing="1" w:line="360" w:lineRule="exact"/>
              <w:jc w:val="center"/>
              <w:rPr>
                <w:color w:val="auto"/>
                <w:kern w:val="2"/>
                <w:sz w:val="21"/>
                <w:szCs w:val="21"/>
              </w:rPr>
            </w:pPr>
            <w:r>
              <w:rPr>
                <w:rFonts w:hint="eastAsia" w:ascii="宋体" w:hAnsi="宋体"/>
                <w:color w:val="auto"/>
                <w:kern w:val="2"/>
                <w:sz w:val="21"/>
                <w:szCs w:val="21"/>
              </w:rPr>
              <w:t>《排污单位自行监测技术指南 总则》（</w:t>
            </w:r>
            <w:r>
              <w:rPr>
                <w:color w:val="auto"/>
                <w:kern w:val="2"/>
                <w:sz w:val="21"/>
                <w:szCs w:val="21"/>
              </w:rPr>
              <w:t>HJ 819-2017</w:t>
            </w:r>
            <w:r>
              <w:rPr>
                <w:rFonts w:hint="eastAsia" w:ascii="宋体" w:hAnsi="宋体"/>
                <w:color w:val="auto"/>
                <w:kern w:val="2"/>
                <w:sz w:val="21"/>
                <w:szCs w:val="21"/>
              </w:rPr>
              <w:t>）</w:t>
            </w:r>
          </w:p>
        </w:tc>
      </w:tr>
    </w:tbl>
    <w:p w14:paraId="3D8B5049">
      <w:pPr>
        <w:pStyle w:val="1060"/>
        <w:rPr>
          <w:color w:val="auto"/>
        </w:rPr>
      </w:pPr>
    </w:p>
    <w:p w14:paraId="2493C47B">
      <w:pPr>
        <w:pStyle w:val="3"/>
        <w:rPr>
          <w:color w:val="auto"/>
        </w:rPr>
      </w:pPr>
      <w:bookmarkStart w:id="425" w:name="_Toc229930177"/>
      <w:r>
        <w:rPr>
          <w:color w:val="auto"/>
        </w:rPr>
        <w:t>竣工验收管理</w:t>
      </w:r>
      <w:bookmarkEnd w:id="425"/>
    </w:p>
    <w:p w14:paraId="53E572DB">
      <w:pPr>
        <w:pStyle w:val="4"/>
        <w:rPr>
          <w:color w:val="auto"/>
        </w:rPr>
      </w:pPr>
      <w:r>
        <w:rPr>
          <w:rFonts w:hint="eastAsia"/>
          <w:color w:val="auto"/>
        </w:rPr>
        <w:t>竣工验收流程</w:t>
      </w:r>
    </w:p>
    <w:p w14:paraId="24742309">
      <w:pPr>
        <w:pStyle w:val="132"/>
        <w:rPr>
          <w:color w:val="auto"/>
        </w:rPr>
      </w:pPr>
      <w:r>
        <w:rPr>
          <w:color w:val="auto"/>
        </w:rPr>
        <w:t xml:space="preserve">企业自主验收流程示意见图 </w:t>
      </w:r>
      <w:r>
        <w:rPr>
          <w:rFonts w:hint="eastAsia"/>
          <w:color w:val="auto"/>
        </w:rPr>
        <w:t>2.5</w:t>
      </w:r>
      <w:r>
        <w:rPr>
          <w:color w:val="auto"/>
        </w:rPr>
        <w:noBreakHyphen/>
      </w:r>
      <w:r>
        <w:rPr>
          <w:color w:val="auto"/>
        </w:rPr>
        <w:t>1。</w:t>
      </w:r>
    </w:p>
    <w:p w14:paraId="1670E431">
      <w:pPr>
        <w:widowControl w:val="0"/>
        <w:spacing w:line="360" w:lineRule="auto"/>
        <w:jc w:val="both"/>
        <w:rPr>
          <w:color w:val="auto"/>
          <w:kern w:val="2"/>
          <w:sz w:val="24"/>
          <w:szCs w:val="24"/>
        </w:rPr>
      </w:pPr>
      <w:r>
        <w:rPr>
          <w:color w:val="auto"/>
          <w:kern w:val="2"/>
          <w:sz w:val="24"/>
          <w:szCs w:val="24"/>
        </w:rPr>
        <w:drawing>
          <wp:inline distT="0" distB="0" distL="0" distR="0">
            <wp:extent cx="5541010" cy="600075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547590" cy="6007876"/>
                    </a:xfrm>
                    <a:prstGeom prst="rect">
                      <a:avLst/>
                    </a:prstGeom>
                    <a:noFill/>
                    <a:ln>
                      <a:noFill/>
                    </a:ln>
                  </pic:spPr>
                </pic:pic>
              </a:graphicData>
            </a:graphic>
          </wp:inline>
        </w:drawing>
      </w:r>
      <w:r>
        <w:rPr>
          <w:color w:val="auto"/>
          <w:kern w:val="2"/>
          <w:sz w:val="24"/>
          <w:szCs w:val="24"/>
        </w:rPr>
        <w:t xml:space="preserve"> </w:t>
      </w:r>
    </w:p>
    <w:p w14:paraId="03EEF010">
      <w:pPr>
        <w:pStyle w:val="1060"/>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企业自主验收流程示意图</w:t>
      </w:r>
      <w:r>
        <w:rPr>
          <w:color w:val="auto"/>
        </w:rPr>
        <w:t xml:space="preserve"> </w:t>
      </w:r>
    </w:p>
    <w:p w14:paraId="007C5B80">
      <w:pPr>
        <w:pStyle w:val="4"/>
        <w:rPr>
          <w:color w:val="auto"/>
        </w:rPr>
      </w:pPr>
      <w:r>
        <w:rPr>
          <w:rFonts w:hint="eastAsia"/>
          <w:color w:val="auto"/>
        </w:rPr>
        <w:t>环保竣工验收</w:t>
      </w:r>
    </w:p>
    <w:p w14:paraId="3DCEEE21">
      <w:pPr>
        <w:pStyle w:val="132"/>
        <w:rPr>
          <w:color w:val="auto"/>
        </w:rPr>
      </w:pPr>
      <w:r>
        <w:rPr>
          <w:color w:val="auto"/>
        </w:rPr>
        <w:t>根据建设项目环境管理的要求，工程建成后，企业及时组织环境保护设施竣工验收，本项目环保竣工验收企业自主组织实施。</w:t>
      </w:r>
    </w:p>
    <w:p w14:paraId="46923D68">
      <w:pPr>
        <w:pStyle w:val="132"/>
        <w:rPr>
          <w:color w:val="auto"/>
        </w:rPr>
      </w:pPr>
      <w:r>
        <w:rPr>
          <w:color w:val="auto"/>
        </w:rPr>
        <w:t>本项目竣工环境保护验收内容见表</w:t>
      </w:r>
      <w:r>
        <w:rPr>
          <w:rFonts w:hint="eastAsia"/>
          <w:color w:val="auto"/>
        </w:rPr>
        <w:t>9.5.1</w:t>
      </w:r>
      <w:r>
        <w:rPr>
          <w:color w:val="auto"/>
        </w:rPr>
        <w:t>-1。</w:t>
      </w:r>
    </w:p>
    <w:p w14:paraId="734AA6C7">
      <w:pPr>
        <w:rPr>
          <w:color w:val="auto"/>
          <w:kern w:val="2"/>
          <w:sz w:val="24"/>
          <w:szCs w:val="24"/>
        </w:rPr>
        <w:sectPr>
          <w:type w:val="continuous"/>
          <w:pgSz w:w="11906" w:h="16838"/>
          <w:pgMar w:top="1440" w:right="1588" w:bottom="1389" w:left="1588" w:header="737" w:footer="822" w:gutter="0"/>
          <w:cols w:space="720" w:num="1"/>
          <w:docGrid w:type="lines" w:linePitch="312" w:charSpace="0"/>
        </w:sectPr>
      </w:pPr>
    </w:p>
    <w:p w14:paraId="11ED24FE">
      <w:pPr>
        <w:pStyle w:val="1060"/>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9.5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“三同时”验收一览表</w:t>
      </w:r>
    </w:p>
    <w:tbl>
      <w:tblPr>
        <w:tblStyle w:val="1937"/>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Layout w:type="autofit"/>
        <w:tblCellMar>
          <w:top w:w="0" w:type="dxa"/>
          <w:left w:w="28" w:type="dxa"/>
          <w:bottom w:w="0" w:type="dxa"/>
          <w:right w:w="28" w:type="dxa"/>
        </w:tblCellMar>
      </w:tblPr>
      <w:tblGrid>
        <w:gridCol w:w="1042"/>
        <w:gridCol w:w="2228"/>
        <w:gridCol w:w="2137"/>
        <w:gridCol w:w="2423"/>
        <w:gridCol w:w="2137"/>
        <w:gridCol w:w="3751"/>
      </w:tblGrid>
      <w:tr w14:paraId="28AF305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700" w:hRule="atLeast"/>
        </w:trPr>
        <w:tc>
          <w:tcPr>
            <w:tcW w:w="380" w:type="pct"/>
            <w:vAlign w:val="center"/>
          </w:tcPr>
          <w:p w14:paraId="51B0F220">
            <w:pPr>
              <w:pStyle w:val="129"/>
              <w:widowControl w:val="0"/>
              <w:rPr>
                <w:color w:val="auto"/>
              </w:rPr>
            </w:pPr>
            <w:r>
              <w:rPr>
                <w:rFonts w:hint="eastAsia"/>
                <w:color w:val="auto"/>
              </w:rPr>
              <w:t>验收对象</w:t>
            </w:r>
          </w:p>
        </w:tc>
        <w:tc>
          <w:tcPr>
            <w:tcW w:w="812" w:type="pct"/>
            <w:vAlign w:val="center"/>
          </w:tcPr>
          <w:p w14:paraId="0C4584E7">
            <w:pPr>
              <w:pStyle w:val="129"/>
              <w:widowControl w:val="0"/>
              <w:rPr>
                <w:color w:val="auto"/>
              </w:rPr>
            </w:pPr>
            <w:r>
              <w:rPr>
                <w:rFonts w:hint="eastAsia"/>
                <w:color w:val="auto"/>
              </w:rPr>
              <w:t>污染源</w:t>
            </w:r>
          </w:p>
        </w:tc>
        <w:tc>
          <w:tcPr>
            <w:tcW w:w="779" w:type="pct"/>
            <w:vAlign w:val="center"/>
          </w:tcPr>
          <w:p w14:paraId="62084C23">
            <w:pPr>
              <w:pStyle w:val="129"/>
              <w:widowControl w:val="0"/>
              <w:rPr>
                <w:color w:val="auto"/>
              </w:rPr>
            </w:pPr>
            <w:r>
              <w:rPr>
                <w:rFonts w:hint="eastAsia"/>
                <w:color w:val="auto"/>
              </w:rPr>
              <w:t>污染物</w:t>
            </w:r>
            <w:r>
              <w:rPr>
                <w:color w:val="auto"/>
              </w:rPr>
              <w:t>/</w:t>
            </w:r>
            <w:r>
              <w:rPr>
                <w:rFonts w:hint="eastAsia"/>
                <w:color w:val="auto"/>
              </w:rPr>
              <w:t>组成</w:t>
            </w:r>
          </w:p>
        </w:tc>
        <w:tc>
          <w:tcPr>
            <w:tcW w:w="883" w:type="pct"/>
            <w:vAlign w:val="center"/>
          </w:tcPr>
          <w:p w14:paraId="735DB9B9">
            <w:pPr>
              <w:pStyle w:val="129"/>
              <w:widowControl w:val="0"/>
              <w:rPr>
                <w:color w:val="auto"/>
              </w:rPr>
            </w:pPr>
            <w:r>
              <w:rPr>
                <w:rFonts w:hint="eastAsia"/>
                <w:color w:val="auto"/>
              </w:rPr>
              <w:t>验收内容</w:t>
            </w:r>
          </w:p>
        </w:tc>
        <w:tc>
          <w:tcPr>
            <w:tcW w:w="779" w:type="pct"/>
            <w:vAlign w:val="center"/>
          </w:tcPr>
          <w:p w14:paraId="6DAAD455">
            <w:pPr>
              <w:pStyle w:val="129"/>
              <w:widowControl w:val="0"/>
              <w:rPr>
                <w:color w:val="auto"/>
              </w:rPr>
            </w:pPr>
            <w:r>
              <w:rPr>
                <w:rFonts w:hint="eastAsia"/>
                <w:color w:val="auto"/>
              </w:rPr>
              <w:t>验收排放质量浓度</w:t>
            </w:r>
            <w:r>
              <w:rPr>
                <w:color w:val="auto"/>
              </w:rPr>
              <w:t>/</w:t>
            </w:r>
            <w:r>
              <w:rPr>
                <w:rFonts w:hint="eastAsia"/>
                <w:color w:val="auto"/>
              </w:rPr>
              <w:t>（</w:t>
            </w:r>
            <w:r>
              <w:rPr>
                <w:color w:val="auto"/>
              </w:rPr>
              <w:t>mg/m</w:t>
            </w:r>
            <w:r>
              <w:rPr>
                <w:color w:val="auto"/>
                <w:vertAlign w:val="superscript"/>
              </w:rPr>
              <w:t>3</w:t>
            </w:r>
            <w:r>
              <w:rPr>
                <w:rFonts w:hint="eastAsia"/>
                <w:color w:val="auto"/>
              </w:rPr>
              <w:t>）</w:t>
            </w:r>
          </w:p>
        </w:tc>
        <w:tc>
          <w:tcPr>
            <w:tcW w:w="1367" w:type="pct"/>
            <w:vAlign w:val="center"/>
          </w:tcPr>
          <w:p w14:paraId="4DA0B0E5">
            <w:pPr>
              <w:pStyle w:val="129"/>
              <w:widowControl w:val="0"/>
              <w:rPr>
                <w:color w:val="auto"/>
              </w:rPr>
            </w:pPr>
            <w:r>
              <w:rPr>
                <w:rFonts w:hint="eastAsia"/>
                <w:color w:val="auto"/>
              </w:rPr>
              <w:t>验收执行标准</w:t>
            </w:r>
          </w:p>
        </w:tc>
      </w:tr>
      <w:tr w14:paraId="4B08B3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restart"/>
            <w:vAlign w:val="center"/>
          </w:tcPr>
          <w:p w14:paraId="63DD2ED9">
            <w:pPr>
              <w:pStyle w:val="129"/>
              <w:widowControl w:val="0"/>
              <w:rPr>
                <w:color w:val="auto"/>
              </w:rPr>
            </w:pPr>
            <w:r>
              <w:rPr>
                <w:rFonts w:hint="eastAsia"/>
                <w:color w:val="auto"/>
              </w:rPr>
              <w:t>有组织废气处理</w:t>
            </w:r>
          </w:p>
        </w:tc>
        <w:tc>
          <w:tcPr>
            <w:tcW w:w="812" w:type="pct"/>
            <w:vAlign w:val="center"/>
          </w:tcPr>
          <w:p w14:paraId="375B271B">
            <w:pPr>
              <w:pStyle w:val="129"/>
              <w:widowControl w:val="0"/>
              <w:rPr>
                <w:color w:val="auto"/>
              </w:rPr>
            </w:pPr>
            <w:r>
              <w:rPr>
                <w:rFonts w:hint="eastAsia" w:cs="宋体"/>
                <w:color w:val="auto"/>
              </w:rPr>
              <w:t>含氨废气（</w:t>
            </w:r>
            <w:r>
              <w:rPr>
                <w:color w:val="auto"/>
              </w:rPr>
              <w:t>DA001</w:t>
            </w:r>
            <w:r>
              <w:rPr>
                <w:rFonts w:hint="eastAsia" w:cs="宋体"/>
                <w:color w:val="auto"/>
              </w:rPr>
              <w:t>）</w:t>
            </w:r>
          </w:p>
        </w:tc>
        <w:tc>
          <w:tcPr>
            <w:tcW w:w="779" w:type="pct"/>
            <w:vAlign w:val="center"/>
          </w:tcPr>
          <w:p w14:paraId="3EF7FC58">
            <w:pPr>
              <w:pStyle w:val="129"/>
              <w:widowControl w:val="0"/>
              <w:rPr>
                <w:color w:val="auto"/>
              </w:rPr>
            </w:pPr>
            <w:r>
              <w:rPr>
                <w:color w:val="auto"/>
              </w:rPr>
              <w:t>NH</w:t>
            </w:r>
            <w:r>
              <w:rPr>
                <w:color w:val="auto"/>
                <w:vertAlign w:val="subscript"/>
              </w:rPr>
              <w:t>3</w:t>
            </w:r>
          </w:p>
        </w:tc>
        <w:tc>
          <w:tcPr>
            <w:tcW w:w="883" w:type="pct"/>
            <w:vAlign w:val="center"/>
          </w:tcPr>
          <w:p w14:paraId="4A988506">
            <w:pPr>
              <w:pStyle w:val="129"/>
              <w:widowControl w:val="0"/>
              <w:rPr>
                <w:color w:val="auto"/>
              </w:rPr>
            </w:pPr>
            <w:r>
              <w:rPr>
                <w:rFonts w:hint="eastAsia"/>
                <w:color w:val="auto"/>
              </w:rPr>
              <w:t>水洗+17m排气筒</w:t>
            </w:r>
          </w:p>
        </w:tc>
        <w:tc>
          <w:tcPr>
            <w:tcW w:w="779" w:type="pct"/>
            <w:vAlign w:val="center"/>
          </w:tcPr>
          <w:p w14:paraId="583414D7">
            <w:pPr>
              <w:pStyle w:val="129"/>
              <w:widowControl w:val="0"/>
              <w:rPr>
                <w:color w:val="auto"/>
              </w:rPr>
            </w:pPr>
            <w:r>
              <w:rPr>
                <w:rFonts w:hint="eastAsia"/>
                <w:color w:val="auto"/>
              </w:rPr>
              <w:t>10</w:t>
            </w:r>
          </w:p>
        </w:tc>
        <w:tc>
          <w:tcPr>
            <w:tcW w:w="1367" w:type="pct"/>
            <w:vAlign w:val="center"/>
          </w:tcPr>
          <w:p w14:paraId="611057E4">
            <w:pPr>
              <w:pStyle w:val="129"/>
              <w:widowControl w:val="0"/>
              <w:rPr>
                <w:color w:val="auto"/>
              </w:rPr>
            </w:pPr>
            <w:r>
              <w:rPr>
                <w:rFonts w:hint="eastAsia"/>
                <w:color w:val="auto"/>
              </w:rPr>
              <w:t>《无机化学工业污染物排放标准》（GB31573-2015）表4</w:t>
            </w:r>
          </w:p>
        </w:tc>
      </w:tr>
      <w:tr w14:paraId="1B1333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27D0730A">
            <w:pPr>
              <w:pStyle w:val="129"/>
              <w:widowControl w:val="0"/>
              <w:rPr>
                <w:color w:val="auto"/>
              </w:rPr>
            </w:pPr>
          </w:p>
        </w:tc>
        <w:tc>
          <w:tcPr>
            <w:tcW w:w="812" w:type="pct"/>
            <w:vAlign w:val="center"/>
          </w:tcPr>
          <w:p w14:paraId="02DA1E9A">
            <w:pPr>
              <w:pStyle w:val="129"/>
              <w:widowControl w:val="0"/>
              <w:rPr>
                <w:color w:val="auto"/>
              </w:rPr>
            </w:pPr>
            <w:r>
              <w:rPr>
                <w:rFonts w:hint="eastAsia" w:cs="宋体"/>
                <w:color w:val="auto"/>
              </w:rPr>
              <w:t>硫酸铵干燥包装排口（</w:t>
            </w:r>
            <w:r>
              <w:rPr>
                <w:color w:val="auto"/>
              </w:rPr>
              <w:t>DA002</w:t>
            </w:r>
            <w:r>
              <w:rPr>
                <w:rFonts w:hint="eastAsia" w:cs="宋体"/>
                <w:color w:val="auto"/>
              </w:rPr>
              <w:t>）</w:t>
            </w:r>
          </w:p>
        </w:tc>
        <w:tc>
          <w:tcPr>
            <w:tcW w:w="779" w:type="pct"/>
            <w:vAlign w:val="center"/>
          </w:tcPr>
          <w:p w14:paraId="04D4B6DE">
            <w:pPr>
              <w:pStyle w:val="129"/>
              <w:widowControl w:val="0"/>
              <w:rPr>
                <w:color w:val="auto"/>
              </w:rPr>
            </w:pPr>
            <w:r>
              <w:rPr>
                <w:rFonts w:hint="eastAsia"/>
                <w:color w:val="auto"/>
              </w:rPr>
              <w:t>颗粒物</w:t>
            </w:r>
          </w:p>
        </w:tc>
        <w:tc>
          <w:tcPr>
            <w:tcW w:w="883" w:type="pct"/>
            <w:vAlign w:val="center"/>
          </w:tcPr>
          <w:p w14:paraId="6F78099C">
            <w:pPr>
              <w:pStyle w:val="129"/>
              <w:widowControl w:val="0"/>
              <w:rPr>
                <w:color w:val="auto"/>
              </w:rPr>
            </w:pPr>
            <w:r>
              <w:rPr>
                <w:rFonts w:hint="eastAsia"/>
                <w:color w:val="auto"/>
              </w:rPr>
              <w:t>布袋除尘器+17m排气筒</w:t>
            </w:r>
          </w:p>
        </w:tc>
        <w:tc>
          <w:tcPr>
            <w:tcW w:w="779" w:type="pct"/>
            <w:vAlign w:val="center"/>
          </w:tcPr>
          <w:p w14:paraId="6B15A7E3">
            <w:pPr>
              <w:pStyle w:val="129"/>
              <w:widowControl w:val="0"/>
              <w:rPr>
                <w:color w:val="auto"/>
              </w:rPr>
            </w:pPr>
            <w:r>
              <w:rPr>
                <w:rFonts w:hint="eastAsia"/>
                <w:color w:val="auto"/>
              </w:rPr>
              <w:t>10</w:t>
            </w:r>
          </w:p>
        </w:tc>
        <w:tc>
          <w:tcPr>
            <w:tcW w:w="1367" w:type="pct"/>
            <w:vAlign w:val="center"/>
          </w:tcPr>
          <w:p w14:paraId="38D694B2">
            <w:pPr>
              <w:pStyle w:val="129"/>
              <w:widowControl w:val="0"/>
              <w:rPr>
                <w:color w:val="auto"/>
              </w:rPr>
            </w:pPr>
            <w:r>
              <w:rPr>
                <w:rFonts w:hint="eastAsia"/>
                <w:color w:val="auto"/>
              </w:rPr>
              <w:t>《无机化学工业污染物排放标准》（GB31573-2015）表4</w:t>
            </w:r>
          </w:p>
        </w:tc>
      </w:tr>
      <w:tr w14:paraId="0F6D76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4AA8B05E">
            <w:pPr>
              <w:pStyle w:val="129"/>
              <w:widowControl w:val="0"/>
              <w:rPr>
                <w:color w:val="auto"/>
              </w:rPr>
            </w:pPr>
          </w:p>
        </w:tc>
        <w:tc>
          <w:tcPr>
            <w:tcW w:w="812" w:type="pct"/>
            <w:vMerge w:val="restart"/>
            <w:vAlign w:val="center"/>
          </w:tcPr>
          <w:p w14:paraId="4482E2D6">
            <w:pPr>
              <w:pStyle w:val="129"/>
              <w:widowControl w:val="0"/>
              <w:rPr>
                <w:color w:val="auto"/>
              </w:rPr>
            </w:pPr>
            <w:r>
              <w:rPr>
                <w:rFonts w:hint="eastAsia" w:cs="宋体"/>
                <w:color w:val="auto"/>
              </w:rPr>
              <w:t>二氧化碳气（</w:t>
            </w:r>
            <w:r>
              <w:rPr>
                <w:color w:val="auto"/>
              </w:rPr>
              <w:t>DA00</w:t>
            </w:r>
            <w:r>
              <w:rPr>
                <w:rFonts w:hint="eastAsia"/>
                <w:color w:val="auto"/>
              </w:rPr>
              <w:t>3</w:t>
            </w:r>
            <w:r>
              <w:rPr>
                <w:rFonts w:hint="eastAsia" w:cs="宋体"/>
                <w:color w:val="auto"/>
              </w:rPr>
              <w:t>）</w:t>
            </w:r>
          </w:p>
        </w:tc>
        <w:tc>
          <w:tcPr>
            <w:tcW w:w="779" w:type="pct"/>
            <w:vAlign w:val="center"/>
          </w:tcPr>
          <w:p w14:paraId="6C44F9AA">
            <w:pPr>
              <w:pStyle w:val="129"/>
              <w:widowControl w:val="0"/>
              <w:rPr>
                <w:color w:val="auto"/>
              </w:rPr>
            </w:pPr>
            <w:r>
              <w:rPr>
                <w:color w:val="auto"/>
              </w:rPr>
              <w:t>CO</w:t>
            </w:r>
            <w:r>
              <w:rPr>
                <w:color w:val="auto"/>
                <w:vertAlign w:val="subscript"/>
              </w:rPr>
              <w:t>2</w:t>
            </w:r>
          </w:p>
        </w:tc>
        <w:tc>
          <w:tcPr>
            <w:tcW w:w="883" w:type="pct"/>
            <w:vMerge w:val="restart"/>
            <w:vAlign w:val="center"/>
          </w:tcPr>
          <w:p w14:paraId="2D2AEB5D">
            <w:pPr>
              <w:pStyle w:val="129"/>
              <w:widowControl w:val="0"/>
              <w:rPr>
                <w:color w:val="auto"/>
              </w:rPr>
            </w:pPr>
            <w:r>
              <w:rPr>
                <w:rFonts w:hint="eastAsia"/>
                <w:color w:val="auto"/>
              </w:rPr>
              <w:t>17m排气筒</w:t>
            </w:r>
          </w:p>
        </w:tc>
        <w:tc>
          <w:tcPr>
            <w:tcW w:w="779" w:type="pct"/>
            <w:vAlign w:val="center"/>
          </w:tcPr>
          <w:p w14:paraId="62942B52">
            <w:pPr>
              <w:pStyle w:val="129"/>
              <w:widowControl w:val="0"/>
              <w:rPr>
                <w:color w:val="auto"/>
              </w:rPr>
            </w:pPr>
            <w:r>
              <w:rPr>
                <w:rFonts w:hint="eastAsia"/>
                <w:color w:val="auto"/>
              </w:rPr>
              <w:t>/</w:t>
            </w:r>
          </w:p>
        </w:tc>
        <w:tc>
          <w:tcPr>
            <w:tcW w:w="1367" w:type="pct"/>
            <w:vMerge w:val="restart"/>
            <w:vAlign w:val="center"/>
          </w:tcPr>
          <w:p w14:paraId="694ECF24">
            <w:pPr>
              <w:pStyle w:val="129"/>
              <w:widowControl w:val="0"/>
              <w:rPr>
                <w:color w:val="auto"/>
              </w:rPr>
            </w:pPr>
            <w:r>
              <w:rPr>
                <w:rFonts w:hint="eastAsia"/>
                <w:color w:val="auto"/>
              </w:rPr>
              <w:t>《无机化学工业污染物排放标准》（GB31573-2015）表4</w:t>
            </w:r>
          </w:p>
        </w:tc>
      </w:tr>
      <w:tr w14:paraId="30FEC3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756A4E06">
            <w:pPr>
              <w:pStyle w:val="129"/>
              <w:widowControl w:val="0"/>
              <w:rPr>
                <w:color w:val="auto"/>
              </w:rPr>
            </w:pPr>
          </w:p>
        </w:tc>
        <w:tc>
          <w:tcPr>
            <w:tcW w:w="812" w:type="pct"/>
            <w:vMerge w:val="continue"/>
            <w:vAlign w:val="center"/>
          </w:tcPr>
          <w:p w14:paraId="0A40229C">
            <w:pPr>
              <w:pStyle w:val="129"/>
              <w:widowControl w:val="0"/>
              <w:rPr>
                <w:color w:val="auto"/>
              </w:rPr>
            </w:pPr>
          </w:p>
        </w:tc>
        <w:tc>
          <w:tcPr>
            <w:tcW w:w="779" w:type="pct"/>
            <w:vAlign w:val="center"/>
          </w:tcPr>
          <w:p w14:paraId="597C79D6">
            <w:pPr>
              <w:pStyle w:val="129"/>
              <w:widowControl w:val="0"/>
              <w:rPr>
                <w:color w:val="auto"/>
              </w:rPr>
            </w:pPr>
            <w:r>
              <w:rPr>
                <w:color w:val="auto"/>
              </w:rPr>
              <w:t>H</w:t>
            </w:r>
            <w:r>
              <w:rPr>
                <w:color w:val="auto"/>
                <w:vertAlign w:val="subscript"/>
              </w:rPr>
              <w:t>2</w:t>
            </w:r>
            <w:r>
              <w:rPr>
                <w:color w:val="auto"/>
              </w:rPr>
              <w:t>S</w:t>
            </w:r>
          </w:p>
        </w:tc>
        <w:tc>
          <w:tcPr>
            <w:tcW w:w="883" w:type="pct"/>
            <w:vMerge w:val="continue"/>
            <w:vAlign w:val="center"/>
          </w:tcPr>
          <w:p w14:paraId="175AE54E">
            <w:pPr>
              <w:pStyle w:val="129"/>
              <w:widowControl w:val="0"/>
              <w:rPr>
                <w:color w:val="auto"/>
              </w:rPr>
            </w:pPr>
          </w:p>
        </w:tc>
        <w:tc>
          <w:tcPr>
            <w:tcW w:w="779" w:type="pct"/>
            <w:vAlign w:val="center"/>
          </w:tcPr>
          <w:p w14:paraId="151B9DA8">
            <w:pPr>
              <w:pStyle w:val="129"/>
              <w:widowControl w:val="0"/>
              <w:rPr>
                <w:color w:val="auto"/>
              </w:rPr>
            </w:pPr>
            <w:r>
              <w:rPr>
                <w:rFonts w:hint="eastAsia"/>
                <w:color w:val="auto"/>
              </w:rPr>
              <w:t>5</w:t>
            </w:r>
          </w:p>
        </w:tc>
        <w:tc>
          <w:tcPr>
            <w:tcW w:w="1367" w:type="pct"/>
            <w:vMerge w:val="continue"/>
            <w:vAlign w:val="center"/>
          </w:tcPr>
          <w:p w14:paraId="5F7BF1F9">
            <w:pPr>
              <w:pStyle w:val="129"/>
              <w:widowControl w:val="0"/>
              <w:rPr>
                <w:color w:val="auto"/>
              </w:rPr>
            </w:pPr>
          </w:p>
        </w:tc>
      </w:tr>
      <w:tr w14:paraId="237B08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38969B97">
            <w:pPr>
              <w:pStyle w:val="129"/>
              <w:widowControl w:val="0"/>
              <w:rPr>
                <w:color w:val="auto"/>
              </w:rPr>
            </w:pPr>
          </w:p>
        </w:tc>
        <w:tc>
          <w:tcPr>
            <w:tcW w:w="812" w:type="pct"/>
            <w:vMerge w:val="restart"/>
            <w:vAlign w:val="center"/>
          </w:tcPr>
          <w:p w14:paraId="04DBC20E">
            <w:pPr>
              <w:pStyle w:val="129"/>
              <w:widowControl w:val="0"/>
              <w:rPr>
                <w:color w:val="auto"/>
              </w:rPr>
            </w:pPr>
            <w:r>
              <w:rPr>
                <w:rFonts w:hint="eastAsia" w:cs="宋体"/>
                <w:color w:val="auto"/>
              </w:rPr>
              <w:t>碳酸钠干燥包装排口（</w:t>
            </w:r>
            <w:r>
              <w:rPr>
                <w:color w:val="auto"/>
              </w:rPr>
              <w:t>DA004</w:t>
            </w:r>
            <w:r>
              <w:rPr>
                <w:rFonts w:hint="eastAsia" w:cs="宋体"/>
                <w:color w:val="auto"/>
              </w:rPr>
              <w:t>）</w:t>
            </w:r>
          </w:p>
        </w:tc>
        <w:tc>
          <w:tcPr>
            <w:tcW w:w="779" w:type="pct"/>
            <w:vMerge w:val="restart"/>
            <w:vAlign w:val="center"/>
          </w:tcPr>
          <w:p w14:paraId="7DB05086">
            <w:pPr>
              <w:pStyle w:val="129"/>
              <w:widowControl w:val="0"/>
              <w:rPr>
                <w:color w:val="auto"/>
              </w:rPr>
            </w:pPr>
            <w:r>
              <w:rPr>
                <w:rFonts w:hint="eastAsia"/>
                <w:color w:val="auto"/>
              </w:rPr>
              <w:t>颗粒物</w:t>
            </w:r>
          </w:p>
        </w:tc>
        <w:tc>
          <w:tcPr>
            <w:tcW w:w="883" w:type="pct"/>
            <w:vMerge w:val="restart"/>
            <w:vAlign w:val="center"/>
          </w:tcPr>
          <w:p w14:paraId="700E22C8">
            <w:pPr>
              <w:pStyle w:val="129"/>
              <w:widowControl w:val="0"/>
              <w:rPr>
                <w:color w:val="auto"/>
              </w:rPr>
            </w:pPr>
            <w:r>
              <w:rPr>
                <w:rFonts w:hint="eastAsia"/>
                <w:color w:val="auto"/>
              </w:rPr>
              <w:t>布袋除尘器+17m排气筒</w:t>
            </w:r>
          </w:p>
        </w:tc>
        <w:tc>
          <w:tcPr>
            <w:tcW w:w="779" w:type="pct"/>
            <w:vAlign w:val="center"/>
          </w:tcPr>
          <w:p w14:paraId="69594778">
            <w:pPr>
              <w:pStyle w:val="129"/>
              <w:widowControl w:val="0"/>
              <w:rPr>
                <w:color w:val="auto"/>
              </w:rPr>
            </w:pPr>
            <w:r>
              <w:rPr>
                <w:rFonts w:hint="eastAsia"/>
                <w:color w:val="auto"/>
              </w:rPr>
              <w:t>/</w:t>
            </w:r>
          </w:p>
        </w:tc>
        <w:tc>
          <w:tcPr>
            <w:tcW w:w="1367" w:type="pct"/>
            <w:vMerge w:val="restart"/>
            <w:vAlign w:val="center"/>
          </w:tcPr>
          <w:p w14:paraId="2117A754">
            <w:pPr>
              <w:pStyle w:val="129"/>
              <w:widowControl w:val="0"/>
              <w:rPr>
                <w:b/>
                <w:bCs/>
                <w:color w:val="auto"/>
              </w:rPr>
            </w:pPr>
            <w:r>
              <w:rPr>
                <w:rFonts w:hint="eastAsia"/>
                <w:color w:val="auto"/>
              </w:rPr>
              <w:t>《无机化学工业污染物排放标准》（GB31573-2015）表4</w:t>
            </w:r>
          </w:p>
        </w:tc>
      </w:tr>
      <w:tr w14:paraId="263DE7A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41F284F8">
            <w:pPr>
              <w:pStyle w:val="129"/>
              <w:widowControl w:val="0"/>
              <w:rPr>
                <w:color w:val="auto"/>
              </w:rPr>
            </w:pPr>
          </w:p>
        </w:tc>
        <w:tc>
          <w:tcPr>
            <w:tcW w:w="812" w:type="pct"/>
            <w:vMerge w:val="continue"/>
            <w:vAlign w:val="center"/>
          </w:tcPr>
          <w:p w14:paraId="0FE3E86D">
            <w:pPr>
              <w:pStyle w:val="129"/>
              <w:widowControl w:val="0"/>
              <w:rPr>
                <w:color w:val="auto"/>
              </w:rPr>
            </w:pPr>
          </w:p>
        </w:tc>
        <w:tc>
          <w:tcPr>
            <w:tcW w:w="779" w:type="pct"/>
            <w:vMerge w:val="continue"/>
            <w:vAlign w:val="center"/>
          </w:tcPr>
          <w:p w14:paraId="35585844">
            <w:pPr>
              <w:pStyle w:val="129"/>
              <w:widowControl w:val="0"/>
              <w:rPr>
                <w:color w:val="auto"/>
              </w:rPr>
            </w:pPr>
          </w:p>
        </w:tc>
        <w:tc>
          <w:tcPr>
            <w:tcW w:w="883" w:type="pct"/>
            <w:vMerge w:val="continue"/>
            <w:vAlign w:val="center"/>
          </w:tcPr>
          <w:p w14:paraId="193F0B29">
            <w:pPr>
              <w:pStyle w:val="129"/>
              <w:widowControl w:val="0"/>
              <w:rPr>
                <w:color w:val="auto"/>
              </w:rPr>
            </w:pPr>
          </w:p>
        </w:tc>
        <w:tc>
          <w:tcPr>
            <w:tcW w:w="779" w:type="pct"/>
            <w:vAlign w:val="center"/>
          </w:tcPr>
          <w:p w14:paraId="229BF14C">
            <w:pPr>
              <w:pStyle w:val="129"/>
              <w:widowControl w:val="0"/>
              <w:rPr>
                <w:color w:val="auto"/>
              </w:rPr>
            </w:pPr>
            <w:r>
              <w:rPr>
                <w:rFonts w:hint="eastAsia"/>
                <w:color w:val="auto"/>
              </w:rPr>
              <w:t>/</w:t>
            </w:r>
          </w:p>
        </w:tc>
        <w:tc>
          <w:tcPr>
            <w:tcW w:w="1367" w:type="pct"/>
            <w:vMerge w:val="continue"/>
            <w:vAlign w:val="center"/>
          </w:tcPr>
          <w:p w14:paraId="5384BC70">
            <w:pPr>
              <w:pStyle w:val="129"/>
              <w:widowControl w:val="0"/>
              <w:rPr>
                <w:color w:val="auto"/>
              </w:rPr>
            </w:pPr>
          </w:p>
        </w:tc>
      </w:tr>
      <w:tr w14:paraId="027E428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2FEC0E9D">
            <w:pPr>
              <w:pStyle w:val="129"/>
              <w:widowControl w:val="0"/>
              <w:rPr>
                <w:color w:val="auto"/>
              </w:rPr>
            </w:pPr>
          </w:p>
        </w:tc>
        <w:tc>
          <w:tcPr>
            <w:tcW w:w="812" w:type="pct"/>
            <w:vMerge w:val="continue"/>
            <w:vAlign w:val="center"/>
          </w:tcPr>
          <w:p w14:paraId="0DF971EF">
            <w:pPr>
              <w:pStyle w:val="129"/>
              <w:widowControl w:val="0"/>
              <w:rPr>
                <w:color w:val="auto"/>
              </w:rPr>
            </w:pPr>
          </w:p>
        </w:tc>
        <w:tc>
          <w:tcPr>
            <w:tcW w:w="779" w:type="pct"/>
            <w:vMerge w:val="continue"/>
            <w:vAlign w:val="center"/>
          </w:tcPr>
          <w:p w14:paraId="35948995">
            <w:pPr>
              <w:pStyle w:val="129"/>
              <w:widowControl w:val="0"/>
              <w:rPr>
                <w:color w:val="auto"/>
              </w:rPr>
            </w:pPr>
          </w:p>
        </w:tc>
        <w:tc>
          <w:tcPr>
            <w:tcW w:w="883" w:type="pct"/>
            <w:vMerge w:val="continue"/>
            <w:vAlign w:val="center"/>
          </w:tcPr>
          <w:p w14:paraId="1E6EF5F8">
            <w:pPr>
              <w:pStyle w:val="129"/>
              <w:widowControl w:val="0"/>
              <w:rPr>
                <w:color w:val="auto"/>
              </w:rPr>
            </w:pPr>
          </w:p>
        </w:tc>
        <w:tc>
          <w:tcPr>
            <w:tcW w:w="779" w:type="pct"/>
            <w:vAlign w:val="center"/>
          </w:tcPr>
          <w:p w14:paraId="21DEE098">
            <w:pPr>
              <w:pStyle w:val="129"/>
              <w:widowControl w:val="0"/>
              <w:rPr>
                <w:color w:val="auto"/>
              </w:rPr>
            </w:pPr>
            <w:r>
              <w:rPr>
                <w:rFonts w:hint="eastAsia"/>
                <w:color w:val="auto"/>
              </w:rPr>
              <w:t>/</w:t>
            </w:r>
          </w:p>
        </w:tc>
        <w:tc>
          <w:tcPr>
            <w:tcW w:w="1367" w:type="pct"/>
            <w:vMerge w:val="continue"/>
            <w:vAlign w:val="center"/>
          </w:tcPr>
          <w:p w14:paraId="7E5AF537">
            <w:pPr>
              <w:pStyle w:val="129"/>
              <w:widowControl w:val="0"/>
              <w:rPr>
                <w:color w:val="auto"/>
              </w:rPr>
            </w:pPr>
          </w:p>
        </w:tc>
      </w:tr>
      <w:tr w14:paraId="46EE89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40CC19ED">
            <w:pPr>
              <w:pStyle w:val="129"/>
              <w:widowControl w:val="0"/>
              <w:rPr>
                <w:color w:val="auto"/>
              </w:rPr>
            </w:pPr>
          </w:p>
        </w:tc>
        <w:tc>
          <w:tcPr>
            <w:tcW w:w="812" w:type="pct"/>
            <w:vMerge w:val="restart"/>
            <w:vAlign w:val="center"/>
          </w:tcPr>
          <w:p w14:paraId="710B78DB">
            <w:pPr>
              <w:pStyle w:val="129"/>
              <w:widowControl w:val="0"/>
              <w:rPr>
                <w:color w:val="auto"/>
              </w:rPr>
            </w:pPr>
            <w:r>
              <w:rPr>
                <w:rFonts w:hint="eastAsia" w:cs="宋体"/>
                <w:color w:val="auto"/>
              </w:rPr>
              <w:t>水铝石干燥包装排口（</w:t>
            </w:r>
            <w:r>
              <w:rPr>
                <w:color w:val="auto"/>
              </w:rPr>
              <w:t>DA005</w:t>
            </w:r>
            <w:r>
              <w:rPr>
                <w:rFonts w:hint="eastAsia" w:cs="宋体"/>
                <w:color w:val="auto"/>
              </w:rPr>
              <w:t>)</w:t>
            </w:r>
          </w:p>
        </w:tc>
        <w:tc>
          <w:tcPr>
            <w:tcW w:w="779" w:type="pct"/>
            <w:vAlign w:val="center"/>
          </w:tcPr>
          <w:p w14:paraId="60285FA5">
            <w:pPr>
              <w:pStyle w:val="129"/>
              <w:widowControl w:val="0"/>
              <w:rPr>
                <w:color w:val="auto"/>
              </w:rPr>
            </w:pPr>
            <w:r>
              <w:rPr>
                <w:rFonts w:hint="eastAsia"/>
                <w:color w:val="auto"/>
              </w:rPr>
              <w:t>颗粒物</w:t>
            </w:r>
          </w:p>
        </w:tc>
        <w:tc>
          <w:tcPr>
            <w:tcW w:w="883" w:type="pct"/>
            <w:vMerge w:val="restart"/>
            <w:vAlign w:val="center"/>
          </w:tcPr>
          <w:p w14:paraId="07EA20F9">
            <w:pPr>
              <w:pStyle w:val="129"/>
              <w:widowControl w:val="0"/>
              <w:rPr>
                <w:color w:val="auto"/>
              </w:rPr>
            </w:pPr>
            <w:r>
              <w:rPr>
                <w:rFonts w:hint="eastAsia"/>
                <w:color w:val="auto"/>
              </w:rPr>
              <w:t>燃用清洁燃料+低氮燃烧器+布袋除尘器+17m排气筒</w:t>
            </w:r>
          </w:p>
        </w:tc>
        <w:tc>
          <w:tcPr>
            <w:tcW w:w="779" w:type="pct"/>
            <w:vAlign w:val="center"/>
          </w:tcPr>
          <w:p w14:paraId="3BFFB6BE">
            <w:pPr>
              <w:pStyle w:val="129"/>
              <w:widowControl w:val="0"/>
              <w:rPr>
                <w:color w:val="auto"/>
              </w:rPr>
            </w:pPr>
            <w:r>
              <w:rPr>
                <w:rFonts w:hint="eastAsia"/>
                <w:color w:val="auto"/>
              </w:rPr>
              <w:t>10</w:t>
            </w:r>
          </w:p>
        </w:tc>
        <w:tc>
          <w:tcPr>
            <w:tcW w:w="1367" w:type="pct"/>
            <w:vMerge w:val="restart"/>
            <w:vAlign w:val="center"/>
          </w:tcPr>
          <w:p w14:paraId="5C125909">
            <w:pPr>
              <w:pStyle w:val="129"/>
              <w:widowControl w:val="0"/>
              <w:rPr>
                <w:color w:val="auto"/>
              </w:rPr>
            </w:pPr>
            <w:r>
              <w:rPr>
                <w:rFonts w:hint="eastAsia"/>
                <w:color w:val="auto"/>
              </w:rPr>
              <w:t>《无机化学工业污染物排放标准》（GB31573-2015）表4</w:t>
            </w:r>
          </w:p>
        </w:tc>
      </w:tr>
      <w:tr w14:paraId="214DC3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480DCA2A">
            <w:pPr>
              <w:pStyle w:val="129"/>
              <w:widowControl w:val="0"/>
              <w:rPr>
                <w:color w:val="auto"/>
              </w:rPr>
            </w:pPr>
          </w:p>
        </w:tc>
        <w:tc>
          <w:tcPr>
            <w:tcW w:w="812" w:type="pct"/>
            <w:vMerge w:val="continue"/>
            <w:vAlign w:val="center"/>
          </w:tcPr>
          <w:p w14:paraId="54117770">
            <w:pPr>
              <w:pStyle w:val="129"/>
              <w:widowControl w:val="0"/>
              <w:rPr>
                <w:color w:val="auto"/>
              </w:rPr>
            </w:pPr>
          </w:p>
        </w:tc>
        <w:tc>
          <w:tcPr>
            <w:tcW w:w="779" w:type="pct"/>
            <w:vAlign w:val="center"/>
          </w:tcPr>
          <w:p w14:paraId="3D1FD6C9">
            <w:pPr>
              <w:pStyle w:val="129"/>
              <w:widowControl w:val="0"/>
              <w:rPr>
                <w:color w:val="auto"/>
              </w:rPr>
            </w:pPr>
            <w:r>
              <w:rPr>
                <w:color w:val="auto"/>
              </w:rPr>
              <w:t>SO</w:t>
            </w:r>
            <w:r>
              <w:rPr>
                <w:color w:val="auto"/>
                <w:vertAlign w:val="subscript"/>
              </w:rPr>
              <w:t>2</w:t>
            </w:r>
          </w:p>
        </w:tc>
        <w:tc>
          <w:tcPr>
            <w:tcW w:w="883" w:type="pct"/>
            <w:vMerge w:val="continue"/>
            <w:vAlign w:val="center"/>
          </w:tcPr>
          <w:p w14:paraId="097FA15C">
            <w:pPr>
              <w:pStyle w:val="129"/>
              <w:widowControl w:val="0"/>
              <w:rPr>
                <w:color w:val="auto"/>
              </w:rPr>
            </w:pPr>
          </w:p>
        </w:tc>
        <w:tc>
          <w:tcPr>
            <w:tcW w:w="779" w:type="pct"/>
            <w:vAlign w:val="center"/>
          </w:tcPr>
          <w:p w14:paraId="005DECB7">
            <w:pPr>
              <w:pStyle w:val="129"/>
              <w:widowControl w:val="0"/>
              <w:rPr>
                <w:color w:val="auto"/>
              </w:rPr>
            </w:pPr>
            <w:r>
              <w:rPr>
                <w:rFonts w:hint="eastAsia"/>
                <w:color w:val="auto"/>
              </w:rPr>
              <w:t>100</w:t>
            </w:r>
          </w:p>
        </w:tc>
        <w:tc>
          <w:tcPr>
            <w:tcW w:w="1367" w:type="pct"/>
            <w:vMerge w:val="continue"/>
            <w:vAlign w:val="center"/>
          </w:tcPr>
          <w:p w14:paraId="2E4ED4FD">
            <w:pPr>
              <w:pStyle w:val="129"/>
              <w:widowControl w:val="0"/>
              <w:rPr>
                <w:color w:val="auto"/>
              </w:rPr>
            </w:pPr>
          </w:p>
        </w:tc>
      </w:tr>
      <w:tr w14:paraId="36D0145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3F59B7CB">
            <w:pPr>
              <w:pStyle w:val="129"/>
              <w:widowControl w:val="0"/>
              <w:rPr>
                <w:color w:val="auto"/>
              </w:rPr>
            </w:pPr>
          </w:p>
        </w:tc>
        <w:tc>
          <w:tcPr>
            <w:tcW w:w="812" w:type="pct"/>
            <w:vMerge w:val="continue"/>
            <w:vAlign w:val="center"/>
          </w:tcPr>
          <w:p w14:paraId="6FECB3B2">
            <w:pPr>
              <w:pStyle w:val="129"/>
              <w:widowControl w:val="0"/>
              <w:rPr>
                <w:color w:val="auto"/>
              </w:rPr>
            </w:pPr>
          </w:p>
        </w:tc>
        <w:tc>
          <w:tcPr>
            <w:tcW w:w="779" w:type="pct"/>
            <w:vAlign w:val="center"/>
          </w:tcPr>
          <w:p w14:paraId="66B6A268">
            <w:pPr>
              <w:pStyle w:val="129"/>
              <w:widowControl w:val="0"/>
              <w:rPr>
                <w:color w:val="auto"/>
              </w:rPr>
            </w:pPr>
            <w:r>
              <w:rPr>
                <w:color w:val="auto"/>
              </w:rPr>
              <w:t>NO</w:t>
            </w:r>
            <w:r>
              <w:rPr>
                <w:color w:val="auto"/>
                <w:vertAlign w:val="subscript"/>
              </w:rPr>
              <w:t>X</w:t>
            </w:r>
          </w:p>
        </w:tc>
        <w:tc>
          <w:tcPr>
            <w:tcW w:w="883" w:type="pct"/>
            <w:vMerge w:val="continue"/>
            <w:vAlign w:val="center"/>
          </w:tcPr>
          <w:p w14:paraId="07815B9B">
            <w:pPr>
              <w:pStyle w:val="129"/>
              <w:widowControl w:val="0"/>
              <w:rPr>
                <w:color w:val="auto"/>
              </w:rPr>
            </w:pPr>
          </w:p>
        </w:tc>
        <w:tc>
          <w:tcPr>
            <w:tcW w:w="779" w:type="pct"/>
            <w:vAlign w:val="center"/>
          </w:tcPr>
          <w:p w14:paraId="08A40B66">
            <w:pPr>
              <w:pStyle w:val="129"/>
              <w:widowControl w:val="0"/>
              <w:rPr>
                <w:color w:val="auto"/>
              </w:rPr>
            </w:pPr>
            <w:r>
              <w:rPr>
                <w:rFonts w:hint="eastAsia"/>
                <w:color w:val="auto"/>
              </w:rPr>
              <w:t>100</w:t>
            </w:r>
          </w:p>
        </w:tc>
        <w:tc>
          <w:tcPr>
            <w:tcW w:w="1367" w:type="pct"/>
            <w:vMerge w:val="continue"/>
            <w:vAlign w:val="center"/>
          </w:tcPr>
          <w:p w14:paraId="1856037A">
            <w:pPr>
              <w:pStyle w:val="129"/>
              <w:widowControl w:val="0"/>
              <w:rPr>
                <w:color w:val="auto"/>
              </w:rPr>
            </w:pPr>
          </w:p>
        </w:tc>
      </w:tr>
      <w:tr w14:paraId="4917F2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67AA4B10">
            <w:pPr>
              <w:pStyle w:val="129"/>
              <w:widowControl w:val="0"/>
              <w:rPr>
                <w:color w:val="auto"/>
              </w:rPr>
            </w:pPr>
          </w:p>
        </w:tc>
        <w:tc>
          <w:tcPr>
            <w:tcW w:w="812" w:type="pct"/>
            <w:vMerge w:val="continue"/>
            <w:vAlign w:val="center"/>
          </w:tcPr>
          <w:p w14:paraId="0B0E9AC1">
            <w:pPr>
              <w:pStyle w:val="129"/>
              <w:widowControl w:val="0"/>
              <w:rPr>
                <w:color w:val="auto"/>
              </w:rPr>
            </w:pPr>
          </w:p>
        </w:tc>
        <w:tc>
          <w:tcPr>
            <w:tcW w:w="779" w:type="pct"/>
            <w:vAlign w:val="center"/>
          </w:tcPr>
          <w:p w14:paraId="4A538DD8">
            <w:pPr>
              <w:pStyle w:val="129"/>
              <w:widowControl w:val="0"/>
              <w:rPr>
                <w:color w:val="auto"/>
              </w:rPr>
            </w:pPr>
            <w:r>
              <w:rPr>
                <w:color w:val="auto"/>
              </w:rPr>
              <w:t>NOx</w:t>
            </w:r>
          </w:p>
        </w:tc>
        <w:tc>
          <w:tcPr>
            <w:tcW w:w="883" w:type="pct"/>
            <w:vMerge w:val="continue"/>
            <w:vAlign w:val="center"/>
          </w:tcPr>
          <w:p w14:paraId="027565FF">
            <w:pPr>
              <w:pStyle w:val="129"/>
              <w:widowControl w:val="0"/>
              <w:rPr>
                <w:color w:val="auto"/>
              </w:rPr>
            </w:pPr>
          </w:p>
        </w:tc>
        <w:tc>
          <w:tcPr>
            <w:tcW w:w="779" w:type="pct"/>
            <w:vAlign w:val="center"/>
          </w:tcPr>
          <w:p w14:paraId="6CD6A8E6">
            <w:pPr>
              <w:pStyle w:val="129"/>
              <w:widowControl w:val="0"/>
              <w:rPr>
                <w:color w:val="auto"/>
              </w:rPr>
            </w:pPr>
            <w:r>
              <w:rPr>
                <w:rFonts w:hint="eastAsia"/>
                <w:color w:val="auto"/>
              </w:rPr>
              <w:t>100</w:t>
            </w:r>
          </w:p>
        </w:tc>
        <w:tc>
          <w:tcPr>
            <w:tcW w:w="1367" w:type="pct"/>
            <w:vMerge w:val="continue"/>
            <w:vAlign w:val="center"/>
          </w:tcPr>
          <w:p w14:paraId="021A616B">
            <w:pPr>
              <w:pStyle w:val="129"/>
              <w:widowControl w:val="0"/>
              <w:rPr>
                <w:color w:val="auto"/>
              </w:rPr>
            </w:pPr>
          </w:p>
        </w:tc>
      </w:tr>
      <w:tr w14:paraId="1EC5DA1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36C2E8A5">
            <w:pPr>
              <w:pStyle w:val="129"/>
              <w:widowControl w:val="0"/>
              <w:rPr>
                <w:color w:val="auto"/>
              </w:rPr>
            </w:pPr>
          </w:p>
        </w:tc>
        <w:tc>
          <w:tcPr>
            <w:tcW w:w="812" w:type="pct"/>
            <w:vMerge w:val="continue"/>
            <w:vAlign w:val="center"/>
          </w:tcPr>
          <w:p w14:paraId="6E63E598">
            <w:pPr>
              <w:pStyle w:val="129"/>
              <w:widowControl w:val="0"/>
              <w:rPr>
                <w:color w:val="auto"/>
              </w:rPr>
            </w:pPr>
          </w:p>
        </w:tc>
        <w:tc>
          <w:tcPr>
            <w:tcW w:w="779" w:type="pct"/>
            <w:vAlign w:val="center"/>
          </w:tcPr>
          <w:p w14:paraId="096BE864">
            <w:pPr>
              <w:pStyle w:val="129"/>
              <w:widowControl w:val="0"/>
              <w:rPr>
                <w:color w:val="auto"/>
              </w:rPr>
            </w:pPr>
            <w:r>
              <w:rPr>
                <w:color w:val="auto"/>
              </w:rPr>
              <w:t>NH</w:t>
            </w:r>
            <w:r>
              <w:rPr>
                <w:color w:val="auto"/>
                <w:vertAlign w:val="subscript"/>
              </w:rPr>
              <w:t>3</w:t>
            </w:r>
          </w:p>
        </w:tc>
        <w:tc>
          <w:tcPr>
            <w:tcW w:w="883" w:type="pct"/>
            <w:vMerge w:val="continue"/>
            <w:vAlign w:val="center"/>
          </w:tcPr>
          <w:p w14:paraId="0BBEF4A9">
            <w:pPr>
              <w:pStyle w:val="129"/>
              <w:widowControl w:val="0"/>
              <w:rPr>
                <w:color w:val="auto"/>
              </w:rPr>
            </w:pPr>
          </w:p>
        </w:tc>
        <w:tc>
          <w:tcPr>
            <w:tcW w:w="779" w:type="pct"/>
            <w:vAlign w:val="center"/>
          </w:tcPr>
          <w:p w14:paraId="37BCB0F1">
            <w:pPr>
              <w:pStyle w:val="129"/>
              <w:widowControl w:val="0"/>
              <w:rPr>
                <w:color w:val="auto"/>
              </w:rPr>
            </w:pPr>
            <w:r>
              <w:rPr>
                <w:rFonts w:hint="eastAsia"/>
                <w:color w:val="auto"/>
              </w:rPr>
              <w:t>10</w:t>
            </w:r>
          </w:p>
        </w:tc>
        <w:tc>
          <w:tcPr>
            <w:tcW w:w="1367" w:type="pct"/>
            <w:vMerge w:val="continue"/>
            <w:vAlign w:val="center"/>
          </w:tcPr>
          <w:p w14:paraId="5CDCD435">
            <w:pPr>
              <w:pStyle w:val="129"/>
              <w:widowControl w:val="0"/>
              <w:rPr>
                <w:color w:val="auto"/>
              </w:rPr>
            </w:pPr>
          </w:p>
        </w:tc>
      </w:tr>
      <w:tr w14:paraId="6912DE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274D2A62">
            <w:pPr>
              <w:pStyle w:val="129"/>
              <w:widowControl w:val="0"/>
              <w:rPr>
                <w:color w:val="auto"/>
              </w:rPr>
            </w:pPr>
          </w:p>
        </w:tc>
        <w:tc>
          <w:tcPr>
            <w:tcW w:w="812" w:type="pct"/>
            <w:vMerge w:val="continue"/>
            <w:vAlign w:val="center"/>
          </w:tcPr>
          <w:p w14:paraId="565FACA5">
            <w:pPr>
              <w:pStyle w:val="129"/>
              <w:widowControl w:val="0"/>
              <w:rPr>
                <w:color w:val="auto"/>
              </w:rPr>
            </w:pPr>
          </w:p>
        </w:tc>
        <w:tc>
          <w:tcPr>
            <w:tcW w:w="779" w:type="pct"/>
            <w:vAlign w:val="center"/>
          </w:tcPr>
          <w:p w14:paraId="2F6F14E0">
            <w:pPr>
              <w:pStyle w:val="129"/>
              <w:widowControl w:val="0"/>
              <w:rPr>
                <w:color w:val="auto"/>
              </w:rPr>
            </w:pPr>
            <w:r>
              <w:rPr>
                <w:rFonts w:hint="eastAsia"/>
                <w:color w:val="auto"/>
              </w:rPr>
              <w:t>钴及其化合物</w:t>
            </w:r>
          </w:p>
        </w:tc>
        <w:tc>
          <w:tcPr>
            <w:tcW w:w="883" w:type="pct"/>
            <w:vMerge w:val="continue"/>
            <w:vAlign w:val="center"/>
          </w:tcPr>
          <w:p w14:paraId="5380B488">
            <w:pPr>
              <w:pStyle w:val="129"/>
              <w:widowControl w:val="0"/>
              <w:rPr>
                <w:color w:val="auto"/>
              </w:rPr>
            </w:pPr>
          </w:p>
        </w:tc>
        <w:tc>
          <w:tcPr>
            <w:tcW w:w="779" w:type="pct"/>
            <w:vAlign w:val="center"/>
          </w:tcPr>
          <w:p w14:paraId="0B9AB979">
            <w:pPr>
              <w:pStyle w:val="129"/>
              <w:widowControl w:val="0"/>
              <w:rPr>
                <w:color w:val="auto"/>
              </w:rPr>
            </w:pPr>
            <w:r>
              <w:rPr>
                <w:rFonts w:hint="eastAsia"/>
                <w:color w:val="auto"/>
              </w:rPr>
              <w:t>5</w:t>
            </w:r>
          </w:p>
        </w:tc>
        <w:tc>
          <w:tcPr>
            <w:tcW w:w="1367" w:type="pct"/>
            <w:vMerge w:val="continue"/>
            <w:vAlign w:val="center"/>
          </w:tcPr>
          <w:p w14:paraId="49CA184B">
            <w:pPr>
              <w:pStyle w:val="129"/>
              <w:widowControl w:val="0"/>
              <w:rPr>
                <w:color w:val="auto"/>
              </w:rPr>
            </w:pPr>
          </w:p>
        </w:tc>
      </w:tr>
      <w:tr w14:paraId="7BA20C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13DE36CD">
            <w:pPr>
              <w:pStyle w:val="129"/>
              <w:widowControl w:val="0"/>
              <w:rPr>
                <w:color w:val="auto"/>
              </w:rPr>
            </w:pPr>
          </w:p>
        </w:tc>
        <w:tc>
          <w:tcPr>
            <w:tcW w:w="812" w:type="pct"/>
            <w:vMerge w:val="continue"/>
            <w:vAlign w:val="center"/>
          </w:tcPr>
          <w:p w14:paraId="4EE91D48">
            <w:pPr>
              <w:pStyle w:val="129"/>
              <w:widowControl w:val="0"/>
              <w:rPr>
                <w:color w:val="auto"/>
              </w:rPr>
            </w:pPr>
          </w:p>
        </w:tc>
        <w:tc>
          <w:tcPr>
            <w:tcW w:w="779" w:type="pct"/>
            <w:vAlign w:val="center"/>
          </w:tcPr>
          <w:p w14:paraId="60151F95">
            <w:pPr>
              <w:pStyle w:val="129"/>
              <w:widowControl w:val="0"/>
              <w:rPr>
                <w:color w:val="auto"/>
              </w:rPr>
            </w:pPr>
            <w:r>
              <w:rPr>
                <w:rFonts w:hint="eastAsia"/>
                <w:color w:val="auto"/>
              </w:rPr>
              <w:t>钼及其化合物</w:t>
            </w:r>
          </w:p>
        </w:tc>
        <w:tc>
          <w:tcPr>
            <w:tcW w:w="883" w:type="pct"/>
            <w:vMerge w:val="continue"/>
            <w:vAlign w:val="center"/>
          </w:tcPr>
          <w:p w14:paraId="25697B76">
            <w:pPr>
              <w:pStyle w:val="129"/>
              <w:widowControl w:val="0"/>
              <w:rPr>
                <w:color w:val="auto"/>
              </w:rPr>
            </w:pPr>
          </w:p>
        </w:tc>
        <w:tc>
          <w:tcPr>
            <w:tcW w:w="779" w:type="pct"/>
            <w:vAlign w:val="center"/>
          </w:tcPr>
          <w:p w14:paraId="5AB219A9">
            <w:pPr>
              <w:pStyle w:val="129"/>
              <w:widowControl w:val="0"/>
              <w:rPr>
                <w:color w:val="auto"/>
              </w:rPr>
            </w:pPr>
            <w:r>
              <w:rPr>
                <w:rFonts w:hint="eastAsia"/>
                <w:color w:val="auto"/>
              </w:rPr>
              <w:t>5</w:t>
            </w:r>
          </w:p>
        </w:tc>
        <w:tc>
          <w:tcPr>
            <w:tcW w:w="1367" w:type="pct"/>
            <w:vMerge w:val="continue"/>
            <w:vAlign w:val="center"/>
          </w:tcPr>
          <w:p w14:paraId="7D8F4048">
            <w:pPr>
              <w:pStyle w:val="129"/>
              <w:widowControl w:val="0"/>
              <w:rPr>
                <w:color w:val="auto"/>
              </w:rPr>
            </w:pPr>
          </w:p>
        </w:tc>
      </w:tr>
      <w:tr w14:paraId="5ED8F85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12D318D4">
            <w:pPr>
              <w:pStyle w:val="129"/>
              <w:widowControl w:val="0"/>
              <w:rPr>
                <w:color w:val="auto"/>
              </w:rPr>
            </w:pPr>
          </w:p>
        </w:tc>
        <w:tc>
          <w:tcPr>
            <w:tcW w:w="812" w:type="pct"/>
            <w:vMerge w:val="continue"/>
            <w:vAlign w:val="center"/>
          </w:tcPr>
          <w:p w14:paraId="476C4193">
            <w:pPr>
              <w:pStyle w:val="129"/>
              <w:widowControl w:val="0"/>
              <w:rPr>
                <w:color w:val="auto"/>
              </w:rPr>
            </w:pPr>
          </w:p>
        </w:tc>
        <w:tc>
          <w:tcPr>
            <w:tcW w:w="779" w:type="pct"/>
            <w:vAlign w:val="center"/>
          </w:tcPr>
          <w:p w14:paraId="1F1C85F6">
            <w:pPr>
              <w:pStyle w:val="129"/>
              <w:widowControl w:val="0"/>
              <w:rPr>
                <w:color w:val="auto"/>
              </w:rPr>
            </w:pPr>
            <w:r>
              <w:rPr>
                <w:rFonts w:hint="eastAsia"/>
                <w:color w:val="auto"/>
              </w:rPr>
              <w:t>镍及其化合物</w:t>
            </w:r>
          </w:p>
        </w:tc>
        <w:tc>
          <w:tcPr>
            <w:tcW w:w="883" w:type="pct"/>
            <w:vMerge w:val="continue"/>
            <w:vAlign w:val="center"/>
          </w:tcPr>
          <w:p w14:paraId="244BF4E0">
            <w:pPr>
              <w:pStyle w:val="129"/>
              <w:widowControl w:val="0"/>
              <w:rPr>
                <w:color w:val="auto"/>
              </w:rPr>
            </w:pPr>
          </w:p>
        </w:tc>
        <w:tc>
          <w:tcPr>
            <w:tcW w:w="779" w:type="pct"/>
            <w:vAlign w:val="center"/>
          </w:tcPr>
          <w:p w14:paraId="10FE0C4C">
            <w:pPr>
              <w:pStyle w:val="129"/>
              <w:widowControl w:val="0"/>
              <w:rPr>
                <w:color w:val="auto"/>
              </w:rPr>
            </w:pPr>
            <w:r>
              <w:rPr>
                <w:rFonts w:hint="eastAsia"/>
                <w:color w:val="auto"/>
              </w:rPr>
              <w:t>4</w:t>
            </w:r>
          </w:p>
        </w:tc>
        <w:tc>
          <w:tcPr>
            <w:tcW w:w="1367" w:type="pct"/>
            <w:vMerge w:val="continue"/>
            <w:vAlign w:val="center"/>
          </w:tcPr>
          <w:p w14:paraId="7D2A67B1">
            <w:pPr>
              <w:pStyle w:val="129"/>
              <w:widowControl w:val="0"/>
              <w:rPr>
                <w:color w:val="auto"/>
              </w:rPr>
            </w:pPr>
          </w:p>
        </w:tc>
      </w:tr>
      <w:tr w14:paraId="227EC4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44BB47EB">
            <w:pPr>
              <w:pStyle w:val="129"/>
              <w:widowControl w:val="0"/>
              <w:rPr>
                <w:color w:val="auto"/>
              </w:rPr>
            </w:pPr>
          </w:p>
        </w:tc>
        <w:tc>
          <w:tcPr>
            <w:tcW w:w="812" w:type="pct"/>
            <w:vMerge w:val="continue"/>
            <w:vAlign w:val="center"/>
          </w:tcPr>
          <w:p w14:paraId="5FC2CBF3">
            <w:pPr>
              <w:pStyle w:val="129"/>
              <w:widowControl w:val="0"/>
              <w:rPr>
                <w:color w:val="auto"/>
              </w:rPr>
            </w:pPr>
          </w:p>
        </w:tc>
        <w:tc>
          <w:tcPr>
            <w:tcW w:w="779" w:type="pct"/>
            <w:vAlign w:val="center"/>
          </w:tcPr>
          <w:p w14:paraId="4F17115A">
            <w:pPr>
              <w:pStyle w:val="129"/>
              <w:widowControl w:val="0"/>
              <w:rPr>
                <w:color w:val="auto"/>
              </w:rPr>
            </w:pPr>
            <w:r>
              <w:rPr>
                <w:rFonts w:hint="eastAsia"/>
                <w:color w:val="auto"/>
              </w:rPr>
              <w:t>锰及其化合物</w:t>
            </w:r>
          </w:p>
        </w:tc>
        <w:tc>
          <w:tcPr>
            <w:tcW w:w="883" w:type="pct"/>
            <w:vMerge w:val="continue"/>
            <w:vAlign w:val="center"/>
          </w:tcPr>
          <w:p w14:paraId="43018F00">
            <w:pPr>
              <w:pStyle w:val="129"/>
              <w:widowControl w:val="0"/>
              <w:rPr>
                <w:color w:val="auto"/>
              </w:rPr>
            </w:pPr>
          </w:p>
        </w:tc>
        <w:tc>
          <w:tcPr>
            <w:tcW w:w="779" w:type="pct"/>
            <w:vAlign w:val="center"/>
          </w:tcPr>
          <w:p w14:paraId="2DD7BCA8">
            <w:pPr>
              <w:pStyle w:val="129"/>
              <w:widowControl w:val="0"/>
              <w:rPr>
                <w:color w:val="auto"/>
              </w:rPr>
            </w:pPr>
            <w:r>
              <w:rPr>
                <w:rFonts w:hint="eastAsia"/>
                <w:color w:val="auto"/>
              </w:rPr>
              <w:t>5</w:t>
            </w:r>
          </w:p>
        </w:tc>
        <w:tc>
          <w:tcPr>
            <w:tcW w:w="1367" w:type="pct"/>
            <w:vMerge w:val="continue"/>
            <w:vAlign w:val="center"/>
          </w:tcPr>
          <w:p w14:paraId="486D41B6">
            <w:pPr>
              <w:pStyle w:val="129"/>
              <w:widowControl w:val="0"/>
              <w:rPr>
                <w:color w:val="auto"/>
              </w:rPr>
            </w:pPr>
          </w:p>
        </w:tc>
      </w:tr>
      <w:tr w14:paraId="4812A2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743D8800">
            <w:pPr>
              <w:pStyle w:val="129"/>
              <w:widowControl w:val="0"/>
              <w:rPr>
                <w:color w:val="auto"/>
              </w:rPr>
            </w:pPr>
          </w:p>
        </w:tc>
        <w:tc>
          <w:tcPr>
            <w:tcW w:w="812" w:type="pct"/>
            <w:vMerge w:val="continue"/>
            <w:vAlign w:val="center"/>
          </w:tcPr>
          <w:p w14:paraId="77975385">
            <w:pPr>
              <w:pStyle w:val="129"/>
              <w:widowControl w:val="0"/>
              <w:rPr>
                <w:color w:val="auto"/>
              </w:rPr>
            </w:pPr>
          </w:p>
        </w:tc>
        <w:tc>
          <w:tcPr>
            <w:tcW w:w="779" w:type="pct"/>
            <w:vAlign w:val="center"/>
          </w:tcPr>
          <w:p w14:paraId="036C0856">
            <w:pPr>
              <w:pStyle w:val="129"/>
              <w:widowControl w:val="0"/>
              <w:rPr>
                <w:color w:val="auto"/>
              </w:rPr>
            </w:pPr>
            <w:r>
              <w:rPr>
                <w:rFonts w:hint="eastAsia"/>
                <w:color w:val="auto"/>
              </w:rPr>
              <w:t>铜及其化合物</w:t>
            </w:r>
          </w:p>
        </w:tc>
        <w:tc>
          <w:tcPr>
            <w:tcW w:w="883" w:type="pct"/>
            <w:vMerge w:val="continue"/>
            <w:vAlign w:val="center"/>
          </w:tcPr>
          <w:p w14:paraId="628877D3">
            <w:pPr>
              <w:pStyle w:val="129"/>
              <w:widowControl w:val="0"/>
              <w:rPr>
                <w:color w:val="auto"/>
              </w:rPr>
            </w:pPr>
          </w:p>
        </w:tc>
        <w:tc>
          <w:tcPr>
            <w:tcW w:w="779" w:type="pct"/>
            <w:vAlign w:val="center"/>
          </w:tcPr>
          <w:p w14:paraId="2869B66A">
            <w:pPr>
              <w:pStyle w:val="129"/>
              <w:widowControl w:val="0"/>
              <w:rPr>
                <w:color w:val="auto"/>
              </w:rPr>
            </w:pPr>
            <w:r>
              <w:rPr>
                <w:rFonts w:hint="eastAsia"/>
                <w:color w:val="auto"/>
              </w:rPr>
              <w:t>5</w:t>
            </w:r>
          </w:p>
        </w:tc>
        <w:tc>
          <w:tcPr>
            <w:tcW w:w="1367" w:type="pct"/>
            <w:vMerge w:val="continue"/>
            <w:vAlign w:val="center"/>
          </w:tcPr>
          <w:p w14:paraId="7A87D566">
            <w:pPr>
              <w:pStyle w:val="129"/>
              <w:widowControl w:val="0"/>
              <w:rPr>
                <w:color w:val="auto"/>
              </w:rPr>
            </w:pPr>
          </w:p>
        </w:tc>
      </w:tr>
      <w:tr w14:paraId="05B3EFB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0DF264F9">
            <w:pPr>
              <w:pStyle w:val="129"/>
              <w:widowControl w:val="0"/>
              <w:rPr>
                <w:color w:val="auto"/>
              </w:rPr>
            </w:pPr>
          </w:p>
        </w:tc>
        <w:tc>
          <w:tcPr>
            <w:tcW w:w="812" w:type="pct"/>
            <w:vMerge w:val="continue"/>
            <w:vAlign w:val="center"/>
          </w:tcPr>
          <w:p w14:paraId="271859F5">
            <w:pPr>
              <w:pStyle w:val="129"/>
              <w:widowControl w:val="0"/>
              <w:rPr>
                <w:color w:val="auto"/>
              </w:rPr>
            </w:pPr>
          </w:p>
        </w:tc>
        <w:tc>
          <w:tcPr>
            <w:tcW w:w="779" w:type="pct"/>
            <w:vAlign w:val="center"/>
          </w:tcPr>
          <w:p w14:paraId="6C3FDA00">
            <w:pPr>
              <w:pStyle w:val="129"/>
              <w:widowControl w:val="0"/>
              <w:rPr>
                <w:color w:val="auto"/>
              </w:rPr>
            </w:pPr>
            <w:r>
              <w:rPr>
                <w:rFonts w:hint="eastAsia"/>
                <w:color w:val="auto"/>
              </w:rPr>
              <w:t>锆及其化合物</w:t>
            </w:r>
          </w:p>
        </w:tc>
        <w:tc>
          <w:tcPr>
            <w:tcW w:w="883" w:type="pct"/>
            <w:vMerge w:val="continue"/>
            <w:vAlign w:val="center"/>
          </w:tcPr>
          <w:p w14:paraId="689B3592">
            <w:pPr>
              <w:pStyle w:val="129"/>
              <w:widowControl w:val="0"/>
              <w:rPr>
                <w:color w:val="auto"/>
              </w:rPr>
            </w:pPr>
          </w:p>
        </w:tc>
        <w:tc>
          <w:tcPr>
            <w:tcW w:w="779" w:type="pct"/>
            <w:vAlign w:val="center"/>
          </w:tcPr>
          <w:p w14:paraId="256320BF">
            <w:pPr>
              <w:pStyle w:val="129"/>
              <w:widowControl w:val="0"/>
              <w:rPr>
                <w:color w:val="auto"/>
              </w:rPr>
            </w:pPr>
            <w:r>
              <w:rPr>
                <w:rFonts w:hint="eastAsia"/>
                <w:color w:val="auto"/>
              </w:rPr>
              <w:t>5</w:t>
            </w:r>
          </w:p>
        </w:tc>
        <w:tc>
          <w:tcPr>
            <w:tcW w:w="1367" w:type="pct"/>
            <w:vMerge w:val="continue"/>
            <w:vAlign w:val="center"/>
          </w:tcPr>
          <w:p w14:paraId="66EBF8C8">
            <w:pPr>
              <w:pStyle w:val="129"/>
              <w:widowControl w:val="0"/>
              <w:rPr>
                <w:color w:val="auto"/>
              </w:rPr>
            </w:pPr>
          </w:p>
        </w:tc>
      </w:tr>
      <w:tr w14:paraId="73D8E37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630112C1">
            <w:pPr>
              <w:pStyle w:val="129"/>
              <w:widowControl w:val="0"/>
              <w:rPr>
                <w:color w:val="auto"/>
              </w:rPr>
            </w:pPr>
          </w:p>
        </w:tc>
        <w:tc>
          <w:tcPr>
            <w:tcW w:w="812" w:type="pct"/>
            <w:vMerge w:val="continue"/>
            <w:vAlign w:val="center"/>
          </w:tcPr>
          <w:p w14:paraId="3B3961F0">
            <w:pPr>
              <w:pStyle w:val="129"/>
              <w:widowControl w:val="0"/>
              <w:rPr>
                <w:color w:val="auto"/>
              </w:rPr>
            </w:pPr>
          </w:p>
        </w:tc>
        <w:tc>
          <w:tcPr>
            <w:tcW w:w="779" w:type="pct"/>
            <w:vAlign w:val="center"/>
          </w:tcPr>
          <w:p w14:paraId="236EF647">
            <w:pPr>
              <w:pStyle w:val="129"/>
              <w:widowControl w:val="0"/>
              <w:rPr>
                <w:color w:val="auto"/>
              </w:rPr>
            </w:pPr>
            <w:r>
              <w:rPr>
                <w:color w:val="auto"/>
              </w:rPr>
              <w:t>NH</w:t>
            </w:r>
            <w:r>
              <w:rPr>
                <w:color w:val="auto"/>
                <w:vertAlign w:val="subscript"/>
              </w:rPr>
              <w:t>3</w:t>
            </w:r>
          </w:p>
        </w:tc>
        <w:tc>
          <w:tcPr>
            <w:tcW w:w="883" w:type="pct"/>
            <w:vMerge w:val="continue"/>
            <w:vAlign w:val="center"/>
          </w:tcPr>
          <w:p w14:paraId="72EABD35">
            <w:pPr>
              <w:pStyle w:val="129"/>
              <w:widowControl w:val="0"/>
              <w:rPr>
                <w:color w:val="auto"/>
              </w:rPr>
            </w:pPr>
          </w:p>
        </w:tc>
        <w:tc>
          <w:tcPr>
            <w:tcW w:w="779" w:type="pct"/>
            <w:vAlign w:val="center"/>
          </w:tcPr>
          <w:p w14:paraId="32699C08">
            <w:pPr>
              <w:pStyle w:val="129"/>
              <w:widowControl w:val="0"/>
              <w:rPr>
                <w:color w:val="auto"/>
              </w:rPr>
            </w:pPr>
            <w:r>
              <w:rPr>
                <w:rFonts w:hint="eastAsia"/>
                <w:color w:val="auto"/>
              </w:rPr>
              <w:t>20</w:t>
            </w:r>
          </w:p>
        </w:tc>
        <w:tc>
          <w:tcPr>
            <w:tcW w:w="1367" w:type="pct"/>
            <w:vMerge w:val="continue"/>
            <w:vAlign w:val="center"/>
          </w:tcPr>
          <w:p w14:paraId="1893A976">
            <w:pPr>
              <w:pStyle w:val="129"/>
              <w:widowControl w:val="0"/>
              <w:rPr>
                <w:color w:val="auto"/>
              </w:rPr>
            </w:pPr>
          </w:p>
        </w:tc>
      </w:tr>
      <w:tr w14:paraId="409940B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629A3C24">
            <w:pPr>
              <w:pStyle w:val="129"/>
              <w:widowControl w:val="0"/>
              <w:rPr>
                <w:color w:val="auto"/>
              </w:rPr>
            </w:pPr>
          </w:p>
        </w:tc>
        <w:tc>
          <w:tcPr>
            <w:tcW w:w="812" w:type="pct"/>
            <w:vMerge w:val="continue"/>
            <w:vAlign w:val="center"/>
          </w:tcPr>
          <w:p w14:paraId="5202260A">
            <w:pPr>
              <w:pStyle w:val="129"/>
              <w:widowControl w:val="0"/>
              <w:rPr>
                <w:color w:val="auto"/>
              </w:rPr>
            </w:pPr>
          </w:p>
        </w:tc>
        <w:tc>
          <w:tcPr>
            <w:tcW w:w="779" w:type="pct"/>
            <w:vAlign w:val="center"/>
          </w:tcPr>
          <w:p w14:paraId="377A3C3A">
            <w:pPr>
              <w:pStyle w:val="129"/>
              <w:widowControl w:val="0"/>
              <w:rPr>
                <w:color w:val="auto"/>
              </w:rPr>
            </w:pPr>
            <w:r>
              <w:rPr>
                <w:color w:val="auto"/>
              </w:rPr>
              <w:t>NOx</w:t>
            </w:r>
          </w:p>
        </w:tc>
        <w:tc>
          <w:tcPr>
            <w:tcW w:w="883" w:type="pct"/>
            <w:vMerge w:val="continue"/>
            <w:vAlign w:val="center"/>
          </w:tcPr>
          <w:p w14:paraId="67655ACE">
            <w:pPr>
              <w:pStyle w:val="129"/>
              <w:widowControl w:val="0"/>
              <w:rPr>
                <w:color w:val="auto"/>
              </w:rPr>
            </w:pPr>
          </w:p>
        </w:tc>
        <w:tc>
          <w:tcPr>
            <w:tcW w:w="779" w:type="pct"/>
            <w:vAlign w:val="center"/>
          </w:tcPr>
          <w:p w14:paraId="36597398">
            <w:pPr>
              <w:pStyle w:val="129"/>
              <w:widowControl w:val="0"/>
              <w:rPr>
                <w:color w:val="auto"/>
              </w:rPr>
            </w:pPr>
            <w:r>
              <w:rPr>
                <w:rFonts w:hint="eastAsia"/>
                <w:color w:val="auto"/>
              </w:rPr>
              <w:t>100</w:t>
            </w:r>
          </w:p>
        </w:tc>
        <w:tc>
          <w:tcPr>
            <w:tcW w:w="1367" w:type="pct"/>
            <w:vMerge w:val="continue"/>
            <w:vAlign w:val="center"/>
          </w:tcPr>
          <w:p w14:paraId="20B45122">
            <w:pPr>
              <w:pStyle w:val="129"/>
              <w:widowControl w:val="0"/>
              <w:rPr>
                <w:color w:val="auto"/>
              </w:rPr>
            </w:pPr>
          </w:p>
        </w:tc>
      </w:tr>
      <w:tr w14:paraId="080BE9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5253C11C">
            <w:pPr>
              <w:pStyle w:val="129"/>
              <w:widowControl w:val="0"/>
              <w:rPr>
                <w:color w:val="auto"/>
              </w:rPr>
            </w:pPr>
          </w:p>
        </w:tc>
        <w:tc>
          <w:tcPr>
            <w:tcW w:w="812" w:type="pct"/>
            <w:vMerge w:val="restart"/>
            <w:vAlign w:val="center"/>
          </w:tcPr>
          <w:p w14:paraId="72241DD8">
            <w:pPr>
              <w:pStyle w:val="129"/>
              <w:widowControl w:val="0"/>
              <w:rPr>
                <w:color w:val="auto"/>
              </w:rPr>
            </w:pPr>
            <w:r>
              <w:rPr>
                <w:rFonts w:hint="eastAsia"/>
                <w:color w:val="auto"/>
              </w:rPr>
              <w:t>催化剂生产干燥废气总排口(</w:t>
            </w:r>
            <w:r>
              <w:rPr>
                <w:color w:val="auto"/>
              </w:rPr>
              <w:t>DA00</w:t>
            </w:r>
            <w:r>
              <w:rPr>
                <w:rFonts w:hint="eastAsia"/>
                <w:color w:val="auto"/>
              </w:rPr>
              <w:t>6)</w:t>
            </w:r>
          </w:p>
        </w:tc>
        <w:tc>
          <w:tcPr>
            <w:tcW w:w="779" w:type="pct"/>
            <w:vAlign w:val="center"/>
          </w:tcPr>
          <w:p w14:paraId="6E99DD07">
            <w:pPr>
              <w:pStyle w:val="129"/>
              <w:widowControl w:val="0"/>
              <w:rPr>
                <w:color w:val="auto"/>
              </w:rPr>
            </w:pPr>
            <w:r>
              <w:rPr>
                <w:rFonts w:hint="eastAsia"/>
                <w:color w:val="auto"/>
              </w:rPr>
              <w:t>颗粒物</w:t>
            </w:r>
          </w:p>
        </w:tc>
        <w:tc>
          <w:tcPr>
            <w:tcW w:w="883" w:type="pct"/>
            <w:vMerge w:val="restart"/>
            <w:vAlign w:val="center"/>
          </w:tcPr>
          <w:p w14:paraId="1FC15599">
            <w:pPr>
              <w:pStyle w:val="129"/>
              <w:widowControl w:val="0"/>
              <w:rPr>
                <w:color w:val="auto"/>
              </w:rPr>
            </w:pPr>
            <w:r>
              <w:rPr>
                <w:rFonts w:hint="eastAsia"/>
                <w:color w:val="auto"/>
              </w:rPr>
              <w:t>燃用清燃料+低氮燃烧器+17m排气筒</w:t>
            </w:r>
          </w:p>
        </w:tc>
        <w:tc>
          <w:tcPr>
            <w:tcW w:w="779" w:type="pct"/>
            <w:vAlign w:val="center"/>
          </w:tcPr>
          <w:p w14:paraId="56FD9264">
            <w:pPr>
              <w:pStyle w:val="129"/>
              <w:widowControl w:val="0"/>
              <w:rPr>
                <w:color w:val="auto"/>
              </w:rPr>
            </w:pPr>
            <w:r>
              <w:rPr>
                <w:rFonts w:hint="eastAsia"/>
                <w:color w:val="auto"/>
              </w:rPr>
              <w:t>10</w:t>
            </w:r>
          </w:p>
        </w:tc>
        <w:tc>
          <w:tcPr>
            <w:tcW w:w="1367" w:type="pct"/>
            <w:vMerge w:val="restart"/>
            <w:vAlign w:val="center"/>
          </w:tcPr>
          <w:p w14:paraId="58E5EEED">
            <w:pPr>
              <w:pStyle w:val="129"/>
              <w:widowControl w:val="0"/>
              <w:rPr>
                <w:color w:val="auto"/>
              </w:rPr>
            </w:pPr>
            <w:r>
              <w:rPr>
                <w:rFonts w:hint="eastAsia"/>
                <w:color w:val="auto"/>
              </w:rPr>
              <w:t>《无机化学工业污染物排放标准》（GB31573-2015）表4</w:t>
            </w:r>
          </w:p>
        </w:tc>
      </w:tr>
      <w:tr w14:paraId="1D7A276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4C15CA19">
            <w:pPr>
              <w:pStyle w:val="129"/>
              <w:widowControl w:val="0"/>
              <w:rPr>
                <w:color w:val="auto"/>
              </w:rPr>
            </w:pPr>
          </w:p>
        </w:tc>
        <w:tc>
          <w:tcPr>
            <w:tcW w:w="812" w:type="pct"/>
            <w:vMerge w:val="continue"/>
            <w:vAlign w:val="center"/>
          </w:tcPr>
          <w:p w14:paraId="7AF6EC62">
            <w:pPr>
              <w:pStyle w:val="129"/>
              <w:widowControl w:val="0"/>
              <w:rPr>
                <w:color w:val="auto"/>
              </w:rPr>
            </w:pPr>
          </w:p>
        </w:tc>
        <w:tc>
          <w:tcPr>
            <w:tcW w:w="779" w:type="pct"/>
            <w:vAlign w:val="center"/>
          </w:tcPr>
          <w:p w14:paraId="6DD75A7E">
            <w:pPr>
              <w:pStyle w:val="129"/>
              <w:widowControl w:val="0"/>
              <w:rPr>
                <w:color w:val="auto"/>
              </w:rPr>
            </w:pPr>
            <w:r>
              <w:rPr>
                <w:color w:val="auto"/>
              </w:rPr>
              <w:t>SO</w:t>
            </w:r>
            <w:r>
              <w:rPr>
                <w:color w:val="auto"/>
                <w:vertAlign w:val="subscript"/>
              </w:rPr>
              <w:t>2</w:t>
            </w:r>
          </w:p>
        </w:tc>
        <w:tc>
          <w:tcPr>
            <w:tcW w:w="883" w:type="pct"/>
            <w:vMerge w:val="continue"/>
            <w:vAlign w:val="center"/>
          </w:tcPr>
          <w:p w14:paraId="79B78D61">
            <w:pPr>
              <w:pStyle w:val="129"/>
              <w:widowControl w:val="0"/>
              <w:rPr>
                <w:color w:val="auto"/>
              </w:rPr>
            </w:pPr>
          </w:p>
        </w:tc>
        <w:tc>
          <w:tcPr>
            <w:tcW w:w="779" w:type="pct"/>
            <w:vAlign w:val="center"/>
          </w:tcPr>
          <w:p w14:paraId="11B7BAF3">
            <w:pPr>
              <w:pStyle w:val="129"/>
              <w:widowControl w:val="0"/>
              <w:rPr>
                <w:color w:val="auto"/>
              </w:rPr>
            </w:pPr>
            <w:r>
              <w:rPr>
                <w:rFonts w:hint="eastAsia"/>
                <w:color w:val="auto"/>
              </w:rPr>
              <w:t>100</w:t>
            </w:r>
          </w:p>
        </w:tc>
        <w:tc>
          <w:tcPr>
            <w:tcW w:w="1367" w:type="pct"/>
            <w:vMerge w:val="continue"/>
            <w:vAlign w:val="center"/>
          </w:tcPr>
          <w:p w14:paraId="508BC7BB">
            <w:pPr>
              <w:pStyle w:val="129"/>
              <w:widowControl w:val="0"/>
              <w:rPr>
                <w:color w:val="auto"/>
              </w:rPr>
            </w:pPr>
          </w:p>
        </w:tc>
      </w:tr>
      <w:tr w14:paraId="5F6A440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7246656B">
            <w:pPr>
              <w:pStyle w:val="129"/>
              <w:widowControl w:val="0"/>
              <w:rPr>
                <w:color w:val="auto"/>
              </w:rPr>
            </w:pPr>
          </w:p>
        </w:tc>
        <w:tc>
          <w:tcPr>
            <w:tcW w:w="812" w:type="pct"/>
            <w:vMerge w:val="continue"/>
            <w:vAlign w:val="center"/>
          </w:tcPr>
          <w:p w14:paraId="11ADB342">
            <w:pPr>
              <w:pStyle w:val="129"/>
              <w:widowControl w:val="0"/>
              <w:rPr>
                <w:color w:val="auto"/>
              </w:rPr>
            </w:pPr>
          </w:p>
        </w:tc>
        <w:tc>
          <w:tcPr>
            <w:tcW w:w="779" w:type="pct"/>
            <w:vAlign w:val="center"/>
          </w:tcPr>
          <w:p w14:paraId="4FC2A858">
            <w:pPr>
              <w:pStyle w:val="129"/>
              <w:widowControl w:val="0"/>
              <w:rPr>
                <w:color w:val="auto"/>
              </w:rPr>
            </w:pPr>
            <w:r>
              <w:rPr>
                <w:color w:val="auto"/>
              </w:rPr>
              <w:t>NOx</w:t>
            </w:r>
          </w:p>
        </w:tc>
        <w:tc>
          <w:tcPr>
            <w:tcW w:w="883" w:type="pct"/>
            <w:vMerge w:val="continue"/>
            <w:vAlign w:val="center"/>
          </w:tcPr>
          <w:p w14:paraId="79C108BD">
            <w:pPr>
              <w:pStyle w:val="129"/>
              <w:widowControl w:val="0"/>
              <w:rPr>
                <w:color w:val="auto"/>
              </w:rPr>
            </w:pPr>
          </w:p>
        </w:tc>
        <w:tc>
          <w:tcPr>
            <w:tcW w:w="779" w:type="pct"/>
            <w:vAlign w:val="center"/>
          </w:tcPr>
          <w:p w14:paraId="7D793384">
            <w:pPr>
              <w:pStyle w:val="129"/>
              <w:widowControl w:val="0"/>
              <w:rPr>
                <w:color w:val="auto"/>
              </w:rPr>
            </w:pPr>
            <w:r>
              <w:rPr>
                <w:rFonts w:hint="eastAsia"/>
                <w:color w:val="auto"/>
              </w:rPr>
              <w:t>100</w:t>
            </w:r>
          </w:p>
        </w:tc>
        <w:tc>
          <w:tcPr>
            <w:tcW w:w="1367" w:type="pct"/>
            <w:vMerge w:val="continue"/>
            <w:vAlign w:val="center"/>
          </w:tcPr>
          <w:p w14:paraId="2DBA4EB5">
            <w:pPr>
              <w:pStyle w:val="129"/>
              <w:widowControl w:val="0"/>
              <w:rPr>
                <w:color w:val="auto"/>
              </w:rPr>
            </w:pPr>
          </w:p>
        </w:tc>
      </w:tr>
      <w:tr w14:paraId="6711009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0AC19FCF">
            <w:pPr>
              <w:pStyle w:val="129"/>
              <w:widowControl w:val="0"/>
              <w:rPr>
                <w:color w:val="auto"/>
              </w:rPr>
            </w:pPr>
          </w:p>
        </w:tc>
        <w:tc>
          <w:tcPr>
            <w:tcW w:w="812" w:type="pct"/>
            <w:vMerge w:val="restart"/>
            <w:vAlign w:val="center"/>
          </w:tcPr>
          <w:p w14:paraId="411C900E">
            <w:pPr>
              <w:pStyle w:val="129"/>
              <w:widowControl w:val="0"/>
              <w:rPr>
                <w:color w:val="auto"/>
              </w:rPr>
            </w:pPr>
            <w:r>
              <w:rPr>
                <w:rFonts w:hint="eastAsia" w:cs="宋体"/>
                <w:color w:val="auto"/>
              </w:rPr>
              <w:t>催化剂生产焙烧废气总排口（</w:t>
            </w:r>
            <w:r>
              <w:rPr>
                <w:rFonts w:eastAsia="华文楷体"/>
                <w:color w:val="auto"/>
              </w:rPr>
              <w:t>DA007</w:t>
            </w:r>
            <w:r>
              <w:rPr>
                <w:rFonts w:hint="eastAsia" w:cs="宋体"/>
                <w:color w:val="auto"/>
              </w:rPr>
              <w:t>）</w:t>
            </w:r>
          </w:p>
        </w:tc>
        <w:tc>
          <w:tcPr>
            <w:tcW w:w="779" w:type="pct"/>
            <w:vAlign w:val="center"/>
          </w:tcPr>
          <w:p w14:paraId="7FCF4A57">
            <w:pPr>
              <w:pStyle w:val="129"/>
              <w:widowControl w:val="0"/>
              <w:rPr>
                <w:color w:val="auto"/>
              </w:rPr>
            </w:pPr>
            <w:r>
              <w:rPr>
                <w:rFonts w:hint="eastAsia"/>
                <w:color w:val="auto"/>
              </w:rPr>
              <w:t>颗粒物</w:t>
            </w:r>
          </w:p>
        </w:tc>
        <w:tc>
          <w:tcPr>
            <w:tcW w:w="883" w:type="pct"/>
            <w:vMerge w:val="restart"/>
            <w:vAlign w:val="center"/>
          </w:tcPr>
          <w:p w14:paraId="4E63E2F7">
            <w:pPr>
              <w:pStyle w:val="129"/>
              <w:widowControl w:val="0"/>
              <w:rPr>
                <w:color w:val="auto"/>
              </w:rPr>
            </w:pPr>
            <w:r>
              <w:rPr>
                <w:rFonts w:hint="eastAsia" w:cs="宋体"/>
                <w:color w:val="auto"/>
              </w:rPr>
              <w:t>燃用清燃料+</w:t>
            </w:r>
            <w:r>
              <w:rPr>
                <w:color w:val="auto"/>
              </w:rPr>
              <w:t>SCR</w:t>
            </w:r>
            <w:r>
              <w:rPr>
                <w:rFonts w:hint="eastAsia" w:cs="宋体"/>
                <w:color w:val="auto"/>
              </w:rPr>
              <w:t>脱硝+布袋除尘+</w:t>
            </w:r>
            <w:r>
              <w:rPr>
                <w:rFonts w:hint="eastAsia"/>
                <w:color w:val="auto"/>
              </w:rPr>
              <w:t>17m排气筒</w:t>
            </w:r>
          </w:p>
        </w:tc>
        <w:tc>
          <w:tcPr>
            <w:tcW w:w="779" w:type="pct"/>
            <w:vAlign w:val="center"/>
          </w:tcPr>
          <w:p w14:paraId="69070534">
            <w:pPr>
              <w:pStyle w:val="129"/>
              <w:widowControl w:val="0"/>
              <w:rPr>
                <w:color w:val="auto"/>
              </w:rPr>
            </w:pPr>
            <w:r>
              <w:rPr>
                <w:rFonts w:hint="eastAsia"/>
                <w:color w:val="auto"/>
              </w:rPr>
              <w:t>10</w:t>
            </w:r>
          </w:p>
        </w:tc>
        <w:tc>
          <w:tcPr>
            <w:tcW w:w="1367" w:type="pct"/>
            <w:vMerge w:val="restart"/>
            <w:vAlign w:val="center"/>
          </w:tcPr>
          <w:p w14:paraId="4D5F962C">
            <w:pPr>
              <w:pStyle w:val="129"/>
              <w:widowControl w:val="0"/>
              <w:rPr>
                <w:color w:val="auto"/>
              </w:rPr>
            </w:pPr>
            <w:r>
              <w:rPr>
                <w:rFonts w:hint="eastAsia"/>
                <w:color w:val="auto"/>
              </w:rPr>
              <w:t>《无机化学工业污染物排放标准》（GB31573-2015）表4</w:t>
            </w:r>
          </w:p>
        </w:tc>
      </w:tr>
      <w:tr w14:paraId="6A8D45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1251265C">
            <w:pPr>
              <w:pStyle w:val="129"/>
              <w:widowControl w:val="0"/>
              <w:rPr>
                <w:color w:val="auto"/>
              </w:rPr>
            </w:pPr>
          </w:p>
        </w:tc>
        <w:tc>
          <w:tcPr>
            <w:tcW w:w="812" w:type="pct"/>
            <w:vMerge w:val="continue"/>
            <w:vAlign w:val="center"/>
          </w:tcPr>
          <w:p w14:paraId="4E39480D">
            <w:pPr>
              <w:pStyle w:val="129"/>
              <w:widowControl w:val="0"/>
              <w:rPr>
                <w:color w:val="auto"/>
              </w:rPr>
            </w:pPr>
          </w:p>
        </w:tc>
        <w:tc>
          <w:tcPr>
            <w:tcW w:w="779" w:type="pct"/>
            <w:vAlign w:val="center"/>
          </w:tcPr>
          <w:p w14:paraId="068DF025">
            <w:pPr>
              <w:pStyle w:val="129"/>
              <w:widowControl w:val="0"/>
              <w:rPr>
                <w:color w:val="auto"/>
              </w:rPr>
            </w:pPr>
            <w:r>
              <w:rPr>
                <w:rFonts w:hint="eastAsia"/>
                <w:color w:val="auto"/>
              </w:rPr>
              <w:t>钴及其化合物</w:t>
            </w:r>
          </w:p>
        </w:tc>
        <w:tc>
          <w:tcPr>
            <w:tcW w:w="883" w:type="pct"/>
            <w:vMerge w:val="continue"/>
            <w:vAlign w:val="center"/>
          </w:tcPr>
          <w:p w14:paraId="0E42719E">
            <w:pPr>
              <w:pStyle w:val="129"/>
              <w:widowControl w:val="0"/>
              <w:rPr>
                <w:color w:val="auto"/>
              </w:rPr>
            </w:pPr>
          </w:p>
        </w:tc>
        <w:tc>
          <w:tcPr>
            <w:tcW w:w="779" w:type="pct"/>
            <w:vAlign w:val="center"/>
          </w:tcPr>
          <w:p w14:paraId="260D7A64">
            <w:pPr>
              <w:pStyle w:val="129"/>
              <w:widowControl w:val="0"/>
              <w:rPr>
                <w:color w:val="auto"/>
              </w:rPr>
            </w:pPr>
            <w:r>
              <w:rPr>
                <w:rFonts w:hint="eastAsia"/>
                <w:color w:val="auto"/>
              </w:rPr>
              <w:t>5</w:t>
            </w:r>
          </w:p>
        </w:tc>
        <w:tc>
          <w:tcPr>
            <w:tcW w:w="1367" w:type="pct"/>
            <w:vMerge w:val="continue"/>
            <w:vAlign w:val="center"/>
          </w:tcPr>
          <w:p w14:paraId="6E1D0672">
            <w:pPr>
              <w:pStyle w:val="129"/>
              <w:widowControl w:val="0"/>
              <w:rPr>
                <w:color w:val="auto"/>
              </w:rPr>
            </w:pPr>
          </w:p>
        </w:tc>
      </w:tr>
      <w:tr w14:paraId="20EC5E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48AFB2D6">
            <w:pPr>
              <w:pStyle w:val="129"/>
              <w:widowControl w:val="0"/>
              <w:rPr>
                <w:color w:val="auto"/>
              </w:rPr>
            </w:pPr>
          </w:p>
        </w:tc>
        <w:tc>
          <w:tcPr>
            <w:tcW w:w="812" w:type="pct"/>
            <w:vMerge w:val="continue"/>
            <w:vAlign w:val="center"/>
          </w:tcPr>
          <w:p w14:paraId="176CA133">
            <w:pPr>
              <w:pStyle w:val="129"/>
              <w:widowControl w:val="0"/>
              <w:rPr>
                <w:color w:val="auto"/>
              </w:rPr>
            </w:pPr>
          </w:p>
        </w:tc>
        <w:tc>
          <w:tcPr>
            <w:tcW w:w="779" w:type="pct"/>
            <w:vAlign w:val="center"/>
          </w:tcPr>
          <w:p w14:paraId="3D70D2C1">
            <w:pPr>
              <w:pStyle w:val="129"/>
              <w:widowControl w:val="0"/>
              <w:rPr>
                <w:color w:val="auto"/>
              </w:rPr>
            </w:pPr>
            <w:r>
              <w:rPr>
                <w:rFonts w:hint="eastAsia"/>
                <w:color w:val="auto"/>
              </w:rPr>
              <w:t>钼及其化合物</w:t>
            </w:r>
          </w:p>
        </w:tc>
        <w:tc>
          <w:tcPr>
            <w:tcW w:w="883" w:type="pct"/>
            <w:vMerge w:val="continue"/>
            <w:vAlign w:val="center"/>
          </w:tcPr>
          <w:p w14:paraId="2C521CEB">
            <w:pPr>
              <w:pStyle w:val="129"/>
              <w:widowControl w:val="0"/>
              <w:rPr>
                <w:color w:val="auto"/>
              </w:rPr>
            </w:pPr>
          </w:p>
        </w:tc>
        <w:tc>
          <w:tcPr>
            <w:tcW w:w="779" w:type="pct"/>
            <w:vAlign w:val="center"/>
          </w:tcPr>
          <w:p w14:paraId="652C1EF0">
            <w:pPr>
              <w:pStyle w:val="129"/>
              <w:widowControl w:val="0"/>
              <w:rPr>
                <w:color w:val="auto"/>
              </w:rPr>
            </w:pPr>
            <w:r>
              <w:rPr>
                <w:rFonts w:hint="eastAsia"/>
                <w:color w:val="auto"/>
              </w:rPr>
              <w:t>5</w:t>
            </w:r>
          </w:p>
        </w:tc>
        <w:tc>
          <w:tcPr>
            <w:tcW w:w="1367" w:type="pct"/>
            <w:vMerge w:val="continue"/>
            <w:vAlign w:val="center"/>
          </w:tcPr>
          <w:p w14:paraId="68ABC689">
            <w:pPr>
              <w:pStyle w:val="129"/>
              <w:widowControl w:val="0"/>
              <w:rPr>
                <w:color w:val="auto"/>
              </w:rPr>
            </w:pPr>
          </w:p>
        </w:tc>
      </w:tr>
      <w:tr w14:paraId="520397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26F00BBD">
            <w:pPr>
              <w:pStyle w:val="129"/>
              <w:widowControl w:val="0"/>
              <w:rPr>
                <w:color w:val="auto"/>
              </w:rPr>
            </w:pPr>
          </w:p>
        </w:tc>
        <w:tc>
          <w:tcPr>
            <w:tcW w:w="812" w:type="pct"/>
            <w:vMerge w:val="continue"/>
            <w:vAlign w:val="center"/>
          </w:tcPr>
          <w:p w14:paraId="61FF20B5">
            <w:pPr>
              <w:pStyle w:val="129"/>
              <w:widowControl w:val="0"/>
              <w:rPr>
                <w:color w:val="auto"/>
              </w:rPr>
            </w:pPr>
          </w:p>
        </w:tc>
        <w:tc>
          <w:tcPr>
            <w:tcW w:w="779" w:type="pct"/>
            <w:vAlign w:val="center"/>
          </w:tcPr>
          <w:p w14:paraId="1396B1CC">
            <w:pPr>
              <w:pStyle w:val="129"/>
              <w:widowControl w:val="0"/>
              <w:rPr>
                <w:color w:val="auto"/>
              </w:rPr>
            </w:pPr>
            <w:r>
              <w:rPr>
                <w:rFonts w:hint="eastAsia"/>
                <w:color w:val="auto"/>
              </w:rPr>
              <w:t>镍及其化合物</w:t>
            </w:r>
          </w:p>
        </w:tc>
        <w:tc>
          <w:tcPr>
            <w:tcW w:w="883" w:type="pct"/>
            <w:vMerge w:val="continue"/>
            <w:vAlign w:val="center"/>
          </w:tcPr>
          <w:p w14:paraId="172FA41F">
            <w:pPr>
              <w:pStyle w:val="129"/>
              <w:widowControl w:val="0"/>
              <w:rPr>
                <w:color w:val="auto"/>
              </w:rPr>
            </w:pPr>
          </w:p>
        </w:tc>
        <w:tc>
          <w:tcPr>
            <w:tcW w:w="779" w:type="pct"/>
            <w:vAlign w:val="center"/>
          </w:tcPr>
          <w:p w14:paraId="19B7F7E8">
            <w:pPr>
              <w:pStyle w:val="129"/>
              <w:widowControl w:val="0"/>
              <w:rPr>
                <w:color w:val="auto"/>
              </w:rPr>
            </w:pPr>
            <w:r>
              <w:rPr>
                <w:rFonts w:hint="eastAsia"/>
                <w:color w:val="auto"/>
              </w:rPr>
              <w:t>4</w:t>
            </w:r>
          </w:p>
        </w:tc>
        <w:tc>
          <w:tcPr>
            <w:tcW w:w="1367" w:type="pct"/>
            <w:vMerge w:val="continue"/>
            <w:vAlign w:val="center"/>
          </w:tcPr>
          <w:p w14:paraId="41AE2D10">
            <w:pPr>
              <w:pStyle w:val="129"/>
              <w:widowControl w:val="0"/>
              <w:rPr>
                <w:color w:val="auto"/>
              </w:rPr>
            </w:pPr>
          </w:p>
        </w:tc>
      </w:tr>
      <w:tr w14:paraId="1F4A27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6EEA3180">
            <w:pPr>
              <w:pStyle w:val="129"/>
              <w:widowControl w:val="0"/>
              <w:rPr>
                <w:color w:val="auto"/>
              </w:rPr>
            </w:pPr>
          </w:p>
        </w:tc>
        <w:tc>
          <w:tcPr>
            <w:tcW w:w="812" w:type="pct"/>
            <w:vMerge w:val="continue"/>
            <w:vAlign w:val="center"/>
          </w:tcPr>
          <w:p w14:paraId="2979F9FB">
            <w:pPr>
              <w:pStyle w:val="129"/>
              <w:widowControl w:val="0"/>
              <w:rPr>
                <w:color w:val="auto"/>
              </w:rPr>
            </w:pPr>
          </w:p>
        </w:tc>
        <w:tc>
          <w:tcPr>
            <w:tcW w:w="779" w:type="pct"/>
            <w:vAlign w:val="center"/>
          </w:tcPr>
          <w:p w14:paraId="4777DD09">
            <w:pPr>
              <w:pStyle w:val="129"/>
              <w:widowControl w:val="0"/>
              <w:rPr>
                <w:color w:val="auto"/>
              </w:rPr>
            </w:pPr>
            <w:r>
              <w:rPr>
                <w:rFonts w:hint="eastAsia"/>
                <w:color w:val="auto"/>
              </w:rPr>
              <w:t>锰及其化合物</w:t>
            </w:r>
          </w:p>
        </w:tc>
        <w:tc>
          <w:tcPr>
            <w:tcW w:w="883" w:type="pct"/>
            <w:vMerge w:val="continue"/>
            <w:vAlign w:val="center"/>
          </w:tcPr>
          <w:p w14:paraId="5C678DB7">
            <w:pPr>
              <w:pStyle w:val="129"/>
              <w:widowControl w:val="0"/>
              <w:rPr>
                <w:color w:val="auto"/>
              </w:rPr>
            </w:pPr>
          </w:p>
        </w:tc>
        <w:tc>
          <w:tcPr>
            <w:tcW w:w="779" w:type="pct"/>
            <w:vAlign w:val="center"/>
          </w:tcPr>
          <w:p w14:paraId="0BB49175">
            <w:pPr>
              <w:pStyle w:val="129"/>
              <w:widowControl w:val="0"/>
              <w:rPr>
                <w:color w:val="auto"/>
              </w:rPr>
            </w:pPr>
            <w:r>
              <w:rPr>
                <w:rFonts w:hint="eastAsia"/>
                <w:color w:val="auto"/>
              </w:rPr>
              <w:t>5</w:t>
            </w:r>
          </w:p>
        </w:tc>
        <w:tc>
          <w:tcPr>
            <w:tcW w:w="1367" w:type="pct"/>
            <w:vMerge w:val="continue"/>
            <w:vAlign w:val="center"/>
          </w:tcPr>
          <w:p w14:paraId="293CDF2A">
            <w:pPr>
              <w:pStyle w:val="129"/>
              <w:widowControl w:val="0"/>
              <w:rPr>
                <w:color w:val="auto"/>
              </w:rPr>
            </w:pPr>
          </w:p>
        </w:tc>
      </w:tr>
      <w:tr w14:paraId="3547522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7AE59945">
            <w:pPr>
              <w:pStyle w:val="129"/>
              <w:widowControl w:val="0"/>
              <w:rPr>
                <w:color w:val="auto"/>
              </w:rPr>
            </w:pPr>
          </w:p>
        </w:tc>
        <w:tc>
          <w:tcPr>
            <w:tcW w:w="812" w:type="pct"/>
            <w:vMerge w:val="continue"/>
            <w:vAlign w:val="center"/>
          </w:tcPr>
          <w:p w14:paraId="5535D5F0">
            <w:pPr>
              <w:pStyle w:val="129"/>
              <w:widowControl w:val="0"/>
              <w:rPr>
                <w:color w:val="auto"/>
              </w:rPr>
            </w:pPr>
          </w:p>
        </w:tc>
        <w:tc>
          <w:tcPr>
            <w:tcW w:w="779" w:type="pct"/>
            <w:vAlign w:val="center"/>
          </w:tcPr>
          <w:p w14:paraId="0D5D4B5B">
            <w:pPr>
              <w:pStyle w:val="129"/>
              <w:widowControl w:val="0"/>
              <w:rPr>
                <w:color w:val="auto"/>
              </w:rPr>
            </w:pPr>
            <w:r>
              <w:rPr>
                <w:rFonts w:hint="eastAsia"/>
                <w:color w:val="auto"/>
              </w:rPr>
              <w:t>铜及其化合物</w:t>
            </w:r>
          </w:p>
        </w:tc>
        <w:tc>
          <w:tcPr>
            <w:tcW w:w="883" w:type="pct"/>
            <w:vMerge w:val="continue"/>
            <w:vAlign w:val="center"/>
          </w:tcPr>
          <w:p w14:paraId="4F209C81">
            <w:pPr>
              <w:pStyle w:val="129"/>
              <w:widowControl w:val="0"/>
              <w:rPr>
                <w:color w:val="auto"/>
              </w:rPr>
            </w:pPr>
          </w:p>
        </w:tc>
        <w:tc>
          <w:tcPr>
            <w:tcW w:w="779" w:type="pct"/>
            <w:vAlign w:val="center"/>
          </w:tcPr>
          <w:p w14:paraId="3120CE6A">
            <w:pPr>
              <w:pStyle w:val="129"/>
              <w:widowControl w:val="0"/>
              <w:rPr>
                <w:color w:val="auto"/>
              </w:rPr>
            </w:pPr>
            <w:r>
              <w:rPr>
                <w:rFonts w:hint="eastAsia"/>
                <w:color w:val="auto"/>
              </w:rPr>
              <w:t>5</w:t>
            </w:r>
          </w:p>
        </w:tc>
        <w:tc>
          <w:tcPr>
            <w:tcW w:w="1367" w:type="pct"/>
            <w:vMerge w:val="continue"/>
            <w:vAlign w:val="center"/>
          </w:tcPr>
          <w:p w14:paraId="529B9245">
            <w:pPr>
              <w:pStyle w:val="129"/>
              <w:widowControl w:val="0"/>
              <w:rPr>
                <w:color w:val="auto"/>
              </w:rPr>
            </w:pPr>
          </w:p>
        </w:tc>
      </w:tr>
      <w:tr w14:paraId="23376A7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0C26BFDE">
            <w:pPr>
              <w:pStyle w:val="129"/>
              <w:widowControl w:val="0"/>
              <w:rPr>
                <w:color w:val="auto"/>
              </w:rPr>
            </w:pPr>
          </w:p>
        </w:tc>
        <w:tc>
          <w:tcPr>
            <w:tcW w:w="812" w:type="pct"/>
            <w:vMerge w:val="continue"/>
            <w:vAlign w:val="center"/>
          </w:tcPr>
          <w:p w14:paraId="459B4F23">
            <w:pPr>
              <w:pStyle w:val="129"/>
              <w:widowControl w:val="0"/>
              <w:rPr>
                <w:color w:val="auto"/>
              </w:rPr>
            </w:pPr>
          </w:p>
        </w:tc>
        <w:tc>
          <w:tcPr>
            <w:tcW w:w="779" w:type="pct"/>
            <w:vAlign w:val="center"/>
          </w:tcPr>
          <w:p w14:paraId="7237C0FC">
            <w:pPr>
              <w:pStyle w:val="129"/>
              <w:widowControl w:val="0"/>
              <w:rPr>
                <w:color w:val="auto"/>
              </w:rPr>
            </w:pPr>
            <w:r>
              <w:rPr>
                <w:rFonts w:hint="eastAsia"/>
                <w:color w:val="auto"/>
              </w:rPr>
              <w:t>锆及其化合物</w:t>
            </w:r>
          </w:p>
        </w:tc>
        <w:tc>
          <w:tcPr>
            <w:tcW w:w="883" w:type="pct"/>
            <w:vMerge w:val="continue"/>
            <w:vAlign w:val="center"/>
          </w:tcPr>
          <w:p w14:paraId="5FF38A7E">
            <w:pPr>
              <w:pStyle w:val="129"/>
              <w:widowControl w:val="0"/>
              <w:rPr>
                <w:color w:val="auto"/>
              </w:rPr>
            </w:pPr>
          </w:p>
        </w:tc>
        <w:tc>
          <w:tcPr>
            <w:tcW w:w="779" w:type="pct"/>
            <w:vAlign w:val="center"/>
          </w:tcPr>
          <w:p w14:paraId="1D14E2DC">
            <w:pPr>
              <w:pStyle w:val="129"/>
              <w:widowControl w:val="0"/>
              <w:rPr>
                <w:color w:val="auto"/>
              </w:rPr>
            </w:pPr>
            <w:r>
              <w:rPr>
                <w:rFonts w:hint="eastAsia"/>
                <w:color w:val="auto"/>
              </w:rPr>
              <w:t>5</w:t>
            </w:r>
          </w:p>
        </w:tc>
        <w:tc>
          <w:tcPr>
            <w:tcW w:w="1367" w:type="pct"/>
            <w:vMerge w:val="continue"/>
            <w:vAlign w:val="center"/>
          </w:tcPr>
          <w:p w14:paraId="454FD8A7">
            <w:pPr>
              <w:pStyle w:val="129"/>
              <w:widowControl w:val="0"/>
              <w:rPr>
                <w:color w:val="auto"/>
              </w:rPr>
            </w:pPr>
          </w:p>
        </w:tc>
      </w:tr>
      <w:tr w14:paraId="437CAB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1FFD25DD">
            <w:pPr>
              <w:pStyle w:val="129"/>
              <w:widowControl w:val="0"/>
              <w:rPr>
                <w:color w:val="auto"/>
              </w:rPr>
            </w:pPr>
          </w:p>
        </w:tc>
        <w:tc>
          <w:tcPr>
            <w:tcW w:w="812" w:type="pct"/>
            <w:vMerge w:val="continue"/>
            <w:vAlign w:val="center"/>
          </w:tcPr>
          <w:p w14:paraId="4DA24AB4">
            <w:pPr>
              <w:pStyle w:val="129"/>
              <w:widowControl w:val="0"/>
              <w:rPr>
                <w:color w:val="auto"/>
              </w:rPr>
            </w:pPr>
          </w:p>
        </w:tc>
        <w:tc>
          <w:tcPr>
            <w:tcW w:w="779" w:type="pct"/>
            <w:vAlign w:val="center"/>
          </w:tcPr>
          <w:p w14:paraId="6618B6CD">
            <w:pPr>
              <w:pStyle w:val="129"/>
              <w:widowControl w:val="0"/>
              <w:rPr>
                <w:color w:val="auto"/>
              </w:rPr>
            </w:pPr>
            <w:r>
              <w:rPr>
                <w:color w:val="auto"/>
              </w:rPr>
              <w:t>NH</w:t>
            </w:r>
            <w:r>
              <w:rPr>
                <w:color w:val="auto"/>
                <w:vertAlign w:val="subscript"/>
              </w:rPr>
              <w:t>3</w:t>
            </w:r>
          </w:p>
        </w:tc>
        <w:tc>
          <w:tcPr>
            <w:tcW w:w="883" w:type="pct"/>
            <w:vMerge w:val="continue"/>
            <w:vAlign w:val="center"/>
          </w:tcPr>
          <w:p w14:paraId="5D29C763">
            <w:pPr>
              <w:pStyle w:val="129"/>
              <w:widowControl w:val="0"/>
              <w:rPr>
                <w:color w:val="auto"/>
              </w:rPr>
            </w:pPr>
          </w:p>
        </w:tc>
        <w:tc>
          <w:tcPr>
            <w:tcW w:w="779" w:type="pct"/>
            <w:vAlign w:val="center"/>
          </w:tcPr>
          <w:p w14:paraId="26D316E7">
            <w:pPr>
              <w:pStyle w:val="129"/>
              <w:widowControl w:val="0"/>
              <w:rPr>
                <w:color w:val="auto"/>
              </w:rPr>
            </w:pPr>
            <w:r>
              <w:rPr>
                <w:rFonts w:hint="eastAsia"/>
                <w:color w:val="auto"/>
              </w:rPr>
              <w:t>10</w:t>
            </w:r>
          </w:p>
        </w:tc>
        <w:tc>
          <w:tcPr>
            <w:tcW w:w="1367" w:type="pct"/>
            <w:vMerge w:val="continue"/>
            <w:vAlign w:val="center"/>
          </w:tcPr>
          <w:p w14:paraId="0B227204">
            <w:pPr>
              <w:pStyle w:val="129"/>
              <w:widowControl w:val="0"/>
              <w:rPr>
                <w:color w:val="auto"/>
              </w:rPr>
            </w:pPr>
          </w:p>
        </w:tc>
      </w:tr>
      <w:tr w14:paraId="31ABF1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20D08DAA">
            <w:pPr>
              <w:pStyle w:val="129"/>
              <w:widowControl w:val="0"/>
              <w:rPr>
                <w:color w:val="auto"/>
              </w:rPr>
            </w:pPr>
          </w:p>
        </w:tc>
        <w:tc>
          <w:tcPr>
            <w:tcW w:w="812" w:type="pct"/>
            <w:vMerge w:val="continue"/>
            <w:vAlign w:val="center"/>
          </w:tcPr>
          <w:p w14:paraId="7BD76E3F">
            <w:pPr>
              <w:pStyle w:val="129"/>
              <w:widowControl w:val="0"/>
              <w:rPr>
                <w:color w:val="auto"/>
              </w:rPr>
            </w:pPr>
          </w:p>
        </w:tc>
        <w:tc>
          <w:tcPr>
            <w:tcW w:w="779" w:type="pct"/>
            <w:vAlign w:val="center"/>
          </w:tcPr>
          <w:p w14:paraId="12AD6FA2">
            <w:pPr>
              <w:pStyle w:val="129"/>
              <w:widowControl w:val="0"/>
              <w:rPr>
                <w:color w:val="auto"/>
              </w:rPr>
            </w:pPr>
            <w:r>
              <w:rPr>
                <w:color w:val="auto"/>
              </w:rPr>
              <w:t>NOx</w:t>
            </w:r>
          </w:p>
        </w:tc>
        <w:tc>
          <w:tcPr>
            <w:tcW w:w="883" w:type="pct"/>
            <w:vMerge w:val="continue"/>
            <w:vAlign w:val="center"/>
          </w:tcPr>
          <w:p w14:paraId="22A0605C">
            <w:pPr>
              <w:pStyle w:val="129"/>
              <w:widowControl w:val="0"/>
              <w:rPr>
                <w:color w:val="auto"/>
              </w:rPr>
            </w:pPr>
          </w:p>
        </w:tc>
        <w:tc>
          <w:tcPr>
            <w:tcW w:w="779" w:type="pct"/>
            <w:vAlign w:val="center"/>
          </w:tcPr>
          <w:p w14:paraId="7D9D8056">
            <w:pPr>
              <w:pStyle w:val="129"/>
              <w:widowControl w:val="0"/>
              <w:rPr>
                <w:color w:val="auto"/>
              </w:rPr>
            </w:pPr>
            <w:r>
              <w:rPr>
                <w:rFonts w:hint="eastAsia"/>
                <w:color w:val="auto"/>
              </w:rPr>
              <w:t>100</w:t>
            </w:r>
          </w:p>
        </w:tc>
        <w:tc>
          <w:tcPr>
            <w:tcW w:w="1367" w:type="pct"/>
            <w:vMerge w:val="continue"/>
            <w:vAlign w:val="center"/>
          </w:tcPr>
          <w:p w14:paraId="1E51580F">
            <w:pPr>
              <w:pStyle w:val="129"/>
              <w:widowControl w:val="0"/>
              <w:rPr>
                <w:color w:val="auto"/>
              </w:rPr>
            </w:pPr>
          </w:p>
        </w:tc>
      </w:tr>
      <w:tr w14:paraId="5FABBAD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2C68CBDF">
            <w:pPr>
              <w:pStyle w:val="129"/>
              <w:widowControl w:val="0"/>
              <w:rPr>
                <w:color w:val="auto"/>
              </w:rPr>
            </w:pPr>
          </w:p>
        </w:tc>
        <w:tc>
          <w:tcPr>
            <w:tcW w:w="812" w:type="pct"/>
            <w:vMerge w:val="restart"/>
            <w:vAlign w:val="center"/>
          </w:tcPr>
          <w:p w14:paraId="4B6207E6">
            <w:pPr>
              <w:pStyle w:val="129"/>
              <w:widowControl w:val="0"/>
              <w:rPr>
                <w:color w:val="auto"/>
              </w:rPr>
            </w:pPr>
            <w:r>
              <w:rPr>
                <w:rFonts w:hint="eastAsia" w:cs="宋体"/>
                <w:color w:val="auto"/>
              </w:rPr>
              <w:t>混捏、催化剂、载体筛分包装废气总排口（</w:t>
            </w:r>
            <w:r>
              <w:rPr>
                <w:rFonts w:eastAsia="华文楷体"/>
                <w:color w:val="auto"/>
              </w:rPr>
              <w:t>DA00</w:t>
            </w:r>
            <w:r>
              <w:rPr>
                <w:rFonts w:hint="eastAsia" w:eastAsia="华文楷体"/>
                <w:color w:val="auto"/>
              </w:rPr>
              <w:t>8</w:t>
            </w:r>
            <w:r>
              <w:rPr>
                <w:rFonts w:hint="eastAsia" w:cs="宋体"/>
                <w:color w:val="auto"/>
              </w:rPr>
              <w:t>）</w:t>
            </w:r>
          </w:p>
        </w:tc>
        <w:tc>
          <w:tcPr>
            <w:tcW w:w="779" w:type="pct"/>
            <w:vAlign w:val="center"/>
          </w:tcPr>
          <w:p w14:paraId="0AD5CCE3">
            <w:pPr>
              <w:pStyle w:val="129"/>
              <w:widowControl w:val="0"/>
              <w:rPr>
                <w:color w:val="auto"/>
              </w:rPr>
            </w:pPr>
            <w:r>
              <w:rPr>
                <w:rFonts w:hint="eastAsia"/>
                <w:color w:val="auto"/>
              </w:rPr>
              <w:t>颗粒物</w:t>
            </w:r>
          </w:p>
        </w:tc>
        <w:tc>
          <w:tcPr>
            <w:tcW w:w="883" w:type="pct"/>
            <w:vMerge w:val="restart"/>
            <w:vAlign w:val="center"/>
          </w:tcPr>
          <w:p w14:paraId="4721DB22">
            <w:pPr>
              <w:pStyle w:val="129"/>
              <w:widowControl w:val="0"/>
              <w:rPr>
                <w:color w:val="auto"/>
              </w:rPr>
            </w:pPr>
            <w:r>
              <w:rPr>
                <w:rFonts w:hint="eastAsia"/>
                <w:color w:val="auto"/>
              </w:rPr>
              <w:t>布袋除尘+17m排气筒</w:t>
            </w:r>
          </w:p>
        </w:tc>
        <w:tc>
          <w:tcPr>
            <w:tcW w:w="779" w:type="pct"/>
            <w:vAlign w:val="center"/>
          </w:tcPr>
          <w:p w14:paraId="78E089CE">
            <w:pPr>
              <w:pStyle w:val="129"/>
              <w:widowControl w:val="0"/>
              <w:rPr>
                <w:color w:val="auto"/>
              </w:rPr>
            </w:pPr>
            <w:r>
              <w:rPr>
                <w:rFonts w:hint="eastAsia"/>
                <w:color w:val="auto"/>
              </w:rPr>
              <w:t>10</w:t>
            </w:r>
          </w:p>
        </w:tc>
        <w:tc>
          <w:tcPr>
            <w:tcW w:w="1367" w:type="pct"/>
            <w:vMerge w:val="restart"/>
            <w:vAlign w:val="center"/>
          </w:tcPr>
          <w:p w14:paraId="59139799">
            <w:pPr>
              <w:pStyle w:val="129"/>
              <w:widowControl w:val="0"/>
              <w:rPr>
                <w:color w:val="auto"/>
              </w:rPr>
            </w:pPr>
            <w:r>
              <w:rPr>
                <w:rFonts w:hint="eastAsia"/>
                <w:color w:val="auto"/>
              </w:rPr>
              <w:t>《无机化学工业污染物排放标准》（GB31573-2015）表4</w:t>
            </w:r>
          </w:p>
        </w:tc>
      </w:tr>
      <w:tr w14:paraId="3060731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5A2BF0BF">
            <w:pPr>
              <w:pStyle w:val="129"/>
              <w:widowControl w:val="0"/>
              <w:rPr>
                <w:color w:val="auto"/>
              </w:rPr>
            </w:pPr>
          </w:p>
        </w:tc>
        <w:tc>
          <w:tcPr>
            <w:tcW w:w="812" w:type="pct"/>
            <w:vMerge w:val="continue"/>
            <w:vAlign w:val="center"/>
          </w:tcPr>
          <w:p w14:paraId="62BFA806">
            <w:pPr>
              <w:pStyle w:val="129"/>
              <w:widowControl w:val="0"/>
              <w:rPr>
                <w:color w:val="auto"/>
              </w:rPr>
            </w:pPr>
          </w:p>
        </w:tc>
        <w:tc>
          <w:tcPr>
            <w:tcW w:w="779" w:type="pct"/>
            <w:vAlign w:val="center"/>
          </w:tcPr>
          <w:p w14:paraId="6D9DE9CF">
            <w:pPr>
              <w:pStyle w:val="129"/>
              <w:widowControl w:val="0"/>
              <w:rPr>
                <w:color w:val="auto"/>
              </w:rPr>
            </w:pPr>
            <w:r>
              <w:rPr>
                <w:rFonts w:hint="eastAsia"/>
                <w:color w:val="auto"/>
              </w:rPr>
              <w:t>钴及其化合物</w:t>
            </w:r>
          </w:p>
        </w:tc>
        <w:tc>
          <w:tcPr>
            <w:tcW w:w="883" w:type="pct"/>
            <w:vMerge w:val="continue"/>
            <w:vAlign w:val="center"/>
          </w:tcPr>
          <w:p w14:paraId="5E1F9F29">
            <w:pPr>
              <w:pStyle w:val="129"/>
              <w:widowControl w:val="0"/>
              <w:rPr>
                <w:color w:val="auto"/>
              </w:rPr>
            </w:pPr>
          </w:p>
        </w:tc>
        <w:tc>
          <w:tcPr>
            <w:tcW w:w="779" w:type="pct"/>
            <w:vAlign w:val="center"/>
          </w:tcPr>
          <w:p w14:paraId="7E29D68F">
            <w:pPr>
              <w:pStyle w:val="129"/>
              <w:widowControl w:val="0"/>
              <w:rPr>
                <w:color w:val="auto"/>
              </w:rPr>
            </w:pPr>
            <w:r>
              <w:rPr>
                <w:rFonts w:hint="eastAsia"/>
                <w:color w:val="auto"/>
              </w:rPr>
              <w:t>5</w:t>
            </w:r>
          </w:p>
        </w:tc>
        <w:tc>
          <w:tcPr>
            <w:tcW w:w="1367" w:type="pct"/>
            <w:vMerge w:val="continue"/>
            <w:vAlign w:val="center"/>
          </w:tcPr>
          <w:p w14:paraId="26193705">
            <w:pPr>
              <w:pStyle w:val="129"/>
              <w:widowControl w:val="0"/>
              <w:rPr>
                <w:color w:val="auto"/>
              </w:rPr>
            </w:pPr>
          </w:p>
        </w:tc>
      </w:tr>
      <w:tr w14:paraId="06EE710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7F2BFCA3">
            <w:pPr>
              <w:pStyle w:val="129"/>
              <w:widowControl w:val="0"/>
              <w:rPr>
                <w:color w:val="auto"/>
              </w:rPr>
            </w:pPr>
          </w:p>
        </w:tc>
        <w:tc>
          <w:tcPr>
            <w:tcW w:w="812" w:type="pct"/>
            <w:vMerge w:val="continue"/>
            <w:vAlign w:val="center"/>
          </w:tcPr>
          <w:p w14:paraId="5587FDC3">
            <w:pPr>
              <w:pStyle w:val="129"/>
              <w:widowControl w:val="0"/>
              <w:rPr>
                <w:color w:val="auto"/>
              </w:rPr>
            </w:pPr>
          </w:p>
        </w:tc>
        <w:tc>
          <w:tcPr>
            <w:tcW w:w="779" w:type="pct"/>
            <w:vAlign w:val="center"/>
          </w:tcPr>
          <w:p w14:paraId="5D1F081E">
            <w:pPr>
              <w:pStyle w:val="129"/>
              <w:widowControl w:val="0"/>
              <w:rPr>
                <w:color w:val="auto"/>
              </w:rPr>
            </w:pPr>
            <w:r>
              <w:rPr>
                <w:rFonts w:hint="eastAsia"/>
                <w:color w:val="auto"/>
              </w:rPr>
              <w:t>钼及其化合物</w:t>
            </w:r>
          </w:p>
        </w:tc>
        <w:tc>
          <w:tcPr>
            <w:tcW w:w="883" w:type="pct"/>
            <w:vMerge w:val="continue"/>
            <w:vAlign w:val="center"/>
          </w:tcPr>
          <w:p w14:paraId="0A873E6B">
            <w:pPr>
              <w:pStyle w:val="129"/>
              <w:widowControl w:val="0"/>
              <w:rPr>
                <w:color w:val="auto"/>
              </w:rPr>
            </w:pPr>
          </w:p>
        </w:tc>
        <w:tc>
          <w:tcPr>
            <w:tcW w:w="779" w:type="pct"/>
            <w:vAlign w:val="center"/>
          </w:tcPr>
          <w:p w14:paraId="01724858">
            <w:pPr>
              <w:pStyle w:val="129"/>
              <w:widowControl w:val="0"/>
              <w:rPr>
                <w:color w:val="auto"/>
              </w:rPr>
            </w:pPr>
            <w:r>
              <w:rPr>
                <w:rFonts w:hint="eastAsia"/>
                <w:color w:val="auto"/>
              </w:rPr>
              <w:t>5</w:t>
            </w:r>
          </w:p>
        </w:tc>
        <w:tc>
          <w:tcPr>
            <w:tcW w:w="1367" w:type="pct"/>
            <w:vMerge w:val="continue"/>
            <w:vAlign w:val="center"/>
          </w:tcPr>
          <w:p w14:paraId="184E17A9">
            <w:pPr>
              <w:pStyle w:val="129"/>
              <w:widowControl w:val="0"/>
              <w:rPr>
                <w:color w:val="auto"/>
              </w:rPr>
            </w:pPr>
          </w:p>
        </w:tc>
      </w:tr>
      <w:tr w14:paraId="29803F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04722B11">
            <w:pPr>
              <w:pStyle w:val="129"/>
              <w:widowControl w:val="0"/>
              <w:rPr>
                <w:color w:val="auto"/>
              </w:rPr>
            </w:pPr>
          </w:p>
        </w:tc>
        <w:tc>
          <w:tcPr>
            <w:tcW w:w="812" w:type="pct"/>
            <w:vMerge w:val="continue"/>
            <w:vAlign w:val="center"/>
          </w:tcPr>
          <w:p w14:paraId="2AEAD207">
            <w:pPr>
              <w:pStyle w:val="129"/>
              <w:widowControl w:val="0"/>
              <w:rPr>
                <w:color w:val="auto"/>
              </w:rPr>
            </w:pPr>
          </w:p>
        </w:tc>
        <w:tc>
          <w:tcPr>
            <w:tcW w:w="779" w:type="pct"/>
            <w:vAlign w:val="center"/>
          </w:tcPr>
          <w:p w14:paraId="0D882422">
            <w:pPr>
              <w:pStyle w:val="129"/>
              <w:widowControl w:val="0"/>
              <w:rPr>
                <w:color w:val="auto"/>
              </w:rPr>
            </w:pPr>
            <w:r>
              <w:rPr>
                <w:rFonts w:hint="eastAsia"/>
                <w:color w:val="auto"/>
              </w:rPr>
              <w:t>镍及其化合物</w:t>
            </w:r>
          </w:p>
        </w:tc>
        <w:tc>
          <w:tcPr>
            <w:tcW w:w="883" w:type="pct"/>
            <w:vMerge w:val="continue"/>
            <w:vAlign w:val="center"/>
          </w:tcPr>
          <w:p w14:paraId="3ADEF66B">
            <w:pPr>
              <w:pStyle w:val="129"/>
              <w:widowControl w:val="0"/>
              <w:rPr>
                <w:color w:val="auto"/>
              </w:rPr>
            </w:pPr>
          </w:p>
        </w:tc>
        <w:tc>
          <w:tcPr>
            <w:tcW w:w="779" w:type="pct"/>
            <w:vAlign w:val="center"/>
          </w:tcPr>
          <w:p w14:paraId="16A042B3">
            <w:pPr>
              <w:pStyle w:val="129"/>
              <w:widowControl w:val="0"/>
              <w:rPr>
                <w:color w:val="auto"/>
              </w:rPr>
            </w:pPr>
            <w:r>
              <w:rPr>
                <w:rFonts w:hint="eastAsia"/>
                <w:color w:val="auto"/>
              </w:rPr>
              <w:t>4</w:t>
            </w:r>
          </w:p>
        </w:tc>
        <w:tc>
          <w:tcPr>
            <w:tcW w:w="1367" w:type="pct"/>
            <w:vMerge w:val="continue"/>
            <w:vAlign w:val="center"/>
          </w:tcPr>
          <w:p w14:paraId="1D2B8454">
            <w:pPr>
              <w:pStyle w:val="129"/>
              <w:widowControl w:val="0"/>
              <w:rPr>
                <w:color w:val="auto"/>
              </w:rPr>
            </w:pPr>
          </w:p>
        </w:tc>
      </w:tr>
      <w:tr w14:paraId="5F9F31D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3821C795">
            <w:pPr>
              <w:pStyle w:val="129"/>
              <w:widowControl w:val="0"/>
              <w:rPr>
                <w:color w:val="auto"/>
              </w:rPr>
            </w:pPr>
          </w:p>
        </w:tc>
        <w:tc>
          <w:tcPr>
            <w:tcW w:w="812" w:type="pct"/>
            <w:vMerge w:val="continue"/>
            <w:vAlign w:val="center"/>
          </w:tcPr>
          <w:p w14:paraId="02F28077">
            <w:pPr>
              <w:pStyle w:val="129"/>
              <w:widowControl w:val="0"/>
              <w:rPr>
                <w:color w:val="auto"/>
              </w:rPr>
            </w:pPr>
          </w:p>
        </w:tc>
        <w:tc>
          <w:tcPr>
            <w:tcW w:w="779" w:type="pct"/>
            <w:vAlign w:val="center"/>
          </w:tcPr>
          <w:p w14:paraId="2C3706D6">
            <w:pPr>
              <w:pStyle w:val="129"/>
              <w:widowControl w:val="0"/>
              <w:rPr>
                <w:color w:val="auto"/>
              </w:rPr>
            </w:pPr>
            <w:r>
              <w:rPr>
                <w:rFonts w:hint="eastAsia"/>
                <w:color w:val="auto"/>
              </w:rPr>
              <w:t>锰及其化合物</w:t>
            </w:r>
          </w:p>
        </w:tc>
        <w:tc>
          <w:tcPr>
            <w:tcW w:w="883" w:type="pct"/>
            <w:vMerge w:val="continue"/>
            <w:vAlign w:val="center"/>
          </w:tcPr>
          <w:p w14:paraId="560DFCA9">
            <w:pPr>
              <w:pStyle w:val="129"/>
              <w:widowControl w:val="0"/>
              <w:rPr>
                <w:color w:val="auto"/>
              </w:rPr>
            </w:pPr>
          </w:p>
        </w:tc>
        <w:tc>
          <w:tcPr>
            <w:tcW w:w="779" w:type="pct"/>
            <w:vAlign w:val="center"/>
          </w:tcPr>
          <w:p w14:paraId="71A2C3B9">
            <w:pPr>
              <w:pStyle w:val="129"/>
              <w:widowControl w:val="0"/>
              <w:rPr>
                <w:color w:val="auto"/>
              </w:rPr>
            </w:pPr>
            <w:r>
              <w:rPr>
                <w:rFonts w:hint="eastAsia"/>
                <w:color w:val="auto"/>
              </w:rPr>
              <w:t>5</w:t>
            </w:r>
          </w:p>
        </w:tc>
        <w:tc>
          <w:tcPr>
            <w:tcW w:w="1367" w:type="pct"/>
            <w:vMerge w:val="continue"/>
            <w:vAlign w:val="center"/>
          </w:tcPr>
          <w:p w14:paraId="0C3B725E">
            <w:pPr>
              <w:pStyle w:val="129"/>
              <w:widowControl w:val="0"/>
              <w:rPr>
                <w:color w:val="auto"/>
              </w:rPr>
            </w:pPr>
          </w:p>
        </w:tc>
      </w:tr>
      <w:tr w14:paraId="40166AB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794755E6">
            <w:pPr>
              <w:pStyle w:val="129"/>
              <w:widowControl w:val="0"/>
              <w:rPr>
                <w:color w:val="auto"/>
              </w:rPr>
            </w:pPr>
          </w:p>
        </w:tc>
        <w:tc>
          <w:tcPr>
            <w:tcW w:w="812" w:type="pct"/>
            <w:vMerge w:val="continue"/>
            <w:vAlign w:val="center"/>
          </w:tcPr>
          <w:p w14:paraId="40B74820">
            <w:pPr>
              <w:pStyle w:val="129"/>
              <w:widowControl w:val="0"/>
              <w:rPr>
                <w:color w:val="auto"/>
              </w:rPr>
            </w:pPr>
          </w:p>
        </w:tc>
        <w:tc>
          <w:tcPr>
            <w:tcW w:w="779" w:type="pct"/>
            <w:vAlign w:val="center"/>
          </w:tcPr>
          <w:p w14:paraId="5256B8EF">
            <w:pPr>
              <w:pStyle w:val="129"/>
              <w:widowControl w:val="0"/>
              <w:rPr>
                <w:color w:val="auto"/>
              </w:rPr>
            </w:pPr>
            <w:r>
              <w:rPr>
                <w:rFonts w:hint="eastAsia"/>
                <w:color w:val="auto"/>
              </w:rPr>
              <w:t>铜及其化合物</w:t>
            </w:r>
          </w:p>
        </w:tc>
        <w:tc>
          <w:tcPr>
            <w:tcW w:w="883" w:type="pct"/>
            <w:vMerge w:val="continue"/>
            <w:vAlign w:val="center"/>
          </w:tcPr>
          <w:p w14:paraId="64018356">
            <w:pPr>
              <w:pStyle w:val="129"/>
              <w:widowControl w:val="0"/>
              <w:rPr>
                <w:color w:val="auto"/>
              </w:rPr>
            </w:pPr>
          </w:p>
        </w:tc>
        <w:tc>
          <w:tcPr>
            <w:tcW w:w="779" w:type="pct"/>
            <w:vAlign w:val="center"/>
          </w:tcPr>
          <w:p w14:paraId="29186444">
            <w:pPr>
              <w:pStyle w:val="129"/>
              <w:widowControl w:val="0"/>
              <w:rPr>
                <w:color w:val="auto"/>
              </w:rPr>
            </w:pPr>
            <w:r>
              <w:rPr>
                <w:rFonts w:hint="eastAsia"/>
                <w:color w:val="auto"/>
              </w:rPr>
              <w:t>5</w:t>
            </w:r>
          </w:p>
        </w:tc>
        <w:tc>
          <w:tcPr>
            <w:tcW w:w="1367" w:type="pct"/>
            <w:vMerge w:val="continue"/>
            <w:vAlign w:val="center"/>
          </w:tcPr>
          <w:p w14:paraId="27CB5F5E">
            <w:pPr>
              <w:pStyle w:val="129"/>
              <w:widowControl w:val="0"/>
              <w:rPr>
                <w:color w:val="auto"/>
              </w:rPr>
            </w:pPr>
          </w:p>
        </w:tc>
      </w:tr>
      <w:tr w14:paraId="4C0761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3709F3CF">
            <w:pPr>
              <w:pStyle w:val="129"/>
              <w:widowControl w:val="0"/>
              <w:rPr>
                <w:color w:val="auto"/>
              </w:rPr>
            </w:pPr>
          </w:p>
        </w:tc>
        <w:tc>
          <w:tcPr>
            <w:tcW w:w="812" w:type="pct"/>
            <w:vMerge w:val="continue"/>
            <w:vAlign w:val="center"/>
          </w:tcPr>
          <w:p w14:paraId="13DB1E8C">
            <w:pPr>
              <w:pStyle w:val="129"/>
              <w:widowControl w:val="0"/>
              <w:rPr>
                <w:color w:val="auto"/>
              </w:rPr>
            </w:pPr>
          </w:p>
        </w:tc>
        <w:tc>
          <w:tcPr>
            <w:tcW w:w="779" w:type="pct"/>
            <w:vAlign w:val="center"/>
          </w:tcPr>
          <w:p w14:paraId="582FAC3C">
            <w:pPr>
              <w:pStyle w:val="129"/>
              <w:widowControl w:val="0"/>
              <w:rPr>
                <w:color w:val="auto"/>
              </w:rPr>
            </w:pPr>
            <w:r>
              <w:rPr>
                <w:rFonts w:hint="eastAsia"/>
                <w:color w:val="auto"/>
              </w:rPr>
              <w:t>锆及其化合物</w:t>
            </w:r>
          </w:p>
        </w:tc>
        <w:tc>
          <w:tcPr>
            <w:tcW w:w="883" w:type="pct"/>
            <w:vMerge w:val="continue"/>
            <w:vAlign w:val="center"/>
          </w:tcPr>
          <w:p w14:paraId="37EF6FA9">
            <w:pPr>
              <w:pStyle w:val="129"/>
              <w:widowControl w:val="0"/>
              <w:rPr>
                <w:color w:val="auto"/>
              </w:rPr>
            </w:pPr>
          </w:p>
        </w:tc>
        <w:tc>
          <w:tcPr>
            <w:tcW w:w="779" w:type="pct"/>
            <w:vAlign w:val="center"/>
          </w:tcPr>
          <w:p w14:paraId="779B7584">
            <w:pPr>
              <w:pStyle w:val="129"/>
              <w:widowControl w:val="0"/>
              <w:rPr>
                <w:color w:val="auto"/>
              </w:rPr>
            </w:pPr>
            <w:r>
              <w:rPr>
                <w:rFonts w:hint="eastAsia"/>
                <w:color w:val="auto"/>
              </w:rPr>
              <w:t>5</w:t>
            </w:r>
          </w:p>
        </w:tc>
        <w:tc>
          <w:tcPr>
            <w:tcW w:w="1367" w:type="pct"/>
            <w:vMerge w:val="continue"/>
            <w:vAlign w:val="center"/>
          </w:tcPr>
          <w:p w14:paraId="21F841F7">
            <w:pPr>
              <w:pStyle w:val="129"/>
              <w:widowControl w:val="0"/>
              <w:rPr>
                <w:color w:val="auto"/>
              </w:rPr>
            </w:pPr>
          </w:p>
        </w:tc>
      </w:tr>
      <w:tr w14:paraId="380C06E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341" w:hRule="atLeast"/>
        </w:trPr>
        <w:tc>
          <w:tcPr>
            <w:tcW w:w="380" w:type="pct"/>
            <w:vMerge w:val="continue"/>
            <w:vAlign w:val="center"/>
          </w:tcPr>
          <w:p w14:paraId="523BAFA5">
            <w:pPr>
              <w:pStyle w:val="129"/>
              <w:widowControl w:val="0"/>
              <w:rPr>
                <w:color w:val="auto"/>
              </w:rPr>
            </w:pPr>
          </w:p>
        </w:tc>
        <w:tc>
          <w:tcPr>
            <w:tcW w:w="812" w:type="pct"/>
            <w:vMerge w:val="restart"/>
            <w:vAlign w:val="center"/>
          </w:tcPr>
          <w:p w14:paraId="56CE3FCE">
            <w:pPr>
              <w:pStyle w:val="129"/>
              <w:widowControl w:val="0"/>
              <w:rPr>
                <w:color w:val="auto"/>
              </w:rPr>
            </w:pPr>
            <w:r>
              <w:rPr>
                <w:rFonts w:hint="eastAsia"/>
                <w:color w:val="auto"/>
              </w:rPr>
              <w:t>燃气锅炉废气（备用）</w:t>
            </w:r>
            <w:r>
              <w:rPr>
                <w:rFonts w:hint="eastAsia" w:cs="宋体"/>
                <w:color w:val="auto"/>
              </w:rPr>
              <w:t>废气总排口（</w:t>
            </w:r>
            <w:r>
              <w:rPr>
                <w:rFonts w:eastAsia="华文楷体"/>
                <w:color w:val="auto"/>
              </w:rPr>
              <w:t>DA00</w:t>
            </w:r>
            <w:r>
              <w:rPr>
                <w:rFonts w:hint="eastAsia" w:eastAsia="华文楷体"/>
                <w:color w:val="auto"/>
              </w:rPr>
              <w:t>9</w:t>
            </w:r>
            <w:r>
              <w:rPr>
                <w:rFonts w:hint="eastAsia" w:cs="宋体"/>
                <w:color w:val="auto"/>
              </w:rPr>
              <w:t>）</w:t>
            </w:r>
          </w:p>
        </w:tc>
        <w:tc>
          <w:tcPr>
            <w:tcW w:w="779" w:type="pct"/>
            <w:vAlign w:val="center"/>
          </w:tcPr>
          <w:p w14:paraId="4172AD22">
            <w:pPr>
              <w:pStyle w:val="129"/>
              <w:widowControl w:val="0"/>
              <w:rPr>
                <w:color w:val="auto"/>
              </w:rPr>
            </w:pPr>
            <w:r>
              <w:rPr>
                <w:rFonts w:hint="eastAsia"/>
                <w:color w:val="auto"/>
              </w:rPr>
              <w:t>颗粒物</w:t>
            </w:r>
          </w:p>
        </w:tc>
        <w:tc>
          <w:tcPr>
            <w:tcW w:w="883" w:type="pct"/>
            <w:vMerge w:val="restart"/>
            <w:vAlign w:val="center"/>
          </w:tcPr>
          <w:p w14:paraId="6768CF62">
            <w:pPr>
              <w:pStyle w:val="129"/>
              <w:widowControl w:val="0"/>
              <w:rPr>
                <w:color w:val="auto"/>
              </w:rPr>
            </w:pPr>
            <w:r>
              <w:rPr>
                <w:rFonts w:hint="eastAsia"/>
                <w:color w:val="auto"/>
              </w:rPr>
              <w:t>燃用清洁燃料</w:t>
            </w:r>
          </w:p>
        </w:tc>
        <w:tc>
          <w:tcPr>
            <w:tcW w:w="779" w:type="pct"/>
            <w:vAlign w:val="center"/>
          </w:tcPr>
          <w:p w14:paraId="3AE8E13B">
            <w:pPr>
              <w:pStyle w:val="129"/>
              <w:widowControl w:val="0"/>
              <w:rPr>
                <w:color w:val="auto"/>
              </w:rPr>
            </w:pPr>
            <w:r>
              <w:rPr>
                <w:rFonts w:hint="eastAsia"/>
                <w:color w:val="auto"/>
              </w:rPr>
              <w:t>20</w:t>
            </w:r>
          </w:p>
        </w:tc>
        <w:tc>
          <w:tcPr>
            <w:tcW w:w="1367" w:type="pct"/>
            <w:vMerge w:val="restart"/>
            <w:vAlign w:val="center"/>
          </w:tcPr>
          <w:p w14:paraId="13156D3A">
            <w:pPr>
              <w:pStyle w:val="129"/>
              <w:widowControl w:val="0"/>
              <w:rPr>
                <w:color w:val="auto"/>
              </w:rPr>
            </w:pPr>
            <w:r>
              <w:rPr>
                <w:rFonts w:hint="eastAsia"/>
                <w:color w:val="auto"/>
              </w:rPr>
              <w:t>《燃气锅炉大气污染物排放标准》（</w:t>
            </w:r>
            <w:r>
              <w:rPr>
                <w:color w:val="auto"/>
              </w:rPr>
              <w:t>DB6501/T 001-2018</w:t>
            </w:r>
            <w:r>
              <w:rPr>
                <w:rFonts w:hint="eastAsia"/>
                <w:color w:val="auto"/>
              </w:rPr>
              <w:t>）表1</w:t>
            </w:r>
          </w:p>
        </w:tc>
      </w:tr>
      <w:tr w14:paraId="7064575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4072055E">
            <w:pPr>
              <w:pStyle w:val="129"/>
              <w:widowControl w:val="0"/>
              <w:rPr>
                <w:color w:val="auto"/>
              </w:rPr>
            </w:pPr>
          </w:p>
        </w:tc>
        <w:tc>
          <w:tcPr>
            <w:tcW w:w="812" w:type="pct"/>
            <w:vMerge w:val="continue"/>
            <w:vAlign w:val="center"/>
          </w:tcPr>
          <w:p w14:paraId="7144B020">
            <w:pPr>
              <w:pStyle w:val="129"/>
              <w:widowControl w:val="0"/>
              <w:rPr>
                <w:color w:val="auto"/>
              </w:rPr>
            </w:pPr>
          </w:p>
        </w:tc>
        <w:tc>
          <w:tcPr>
            <w:tcW w:w="779" w:type="pct"/>
            <w:vAlign w:val="center"/>
          </w:tcPr>
          <w:p w14:paraId="7325B8AD">
            <w:pPr>
              <w:pStyle w:val="129"/>
              <w:widowControl w:val="0"/>
              <w:rPr>
                <w:color w:val="auto"/>
              </w:rPr>
            </w:pPr>
            <w:r>
              <w:rPr>
                <w:color w:val="auto"/>
              </w:rPr>
              <w:t>SO</w:t>
            </w:r>
            <w:r>
              <w:rPr>
                <w:color w:val="auto"/>
                <w:vertAlign w:val="subscript"/>
              </w:rPr>
              <w:t>2</w:t>
            </w:r>
          </w:p>
        </w:tc>
        <w:tc>
          <w:tcPr>
            <w:tcW w:w="883" w:type="pct"/>
            <w:vMerge w:val="continue"/>
            <w:vAlign w:val="center"/>
          </w:tcPr>
          <w:p w14:paraId="092ACB33">
            <w:pPr>
              <w:pStyle w:val="129"/>
              <w:widowControl w:val="0"/>
              <w:rPr>
                <w:color w:val="auto"/>
              </w:rPr>
            </w:pPr>
          </w:p>
        </w:tc>
        <w:tc>
          <w:tcPr>
            <w:tcW w:w="779" w:type="pct"/>
            <w:vAlign w:val="center"/>
          </w:tcPr>
          <w:p w14:paraId="49C20ADD">
            <w:pPr>
              <w:pStyle w:val="129"/>
              <w:widowControl w:val="0"/>
              <w:rPr>
                <w:color w:val="auto"/>
              </w:rPr>
            </w:pPr>
            <w:r>
              <w:rPr>
                <w:rFonts w:hint="eastAsia"/>
                <w:color w:val="auto"/>
              </w:rPr>
              <w:t>10</w:t>
            </w:r>
          </w:p>
        </w:tc>
        <w:tc>
          <w:tcPr>
            <w:tcW w:w="1367" w:type="pct"/>
            <w:vMerge w:val="continue"/>
            <w:vAlign w:val="center"/>
          </w:tcPr>
          <w:p w14:paraId="3427A7FD">
            <w:pPr>
              <w:pStyle w:val="129"/>
              <w:widowControl w:val="0"/>
              <w:rPr>
                <w:color w:val="auto"/>
              </w:rPr>
            </w:pPr>
          </w:p>
        </w:tc>
      </w:tr>
      <w:tr w14:paraId="460C490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5478B5C5">
            <w:pPr>
              <w:pStyle w:val="129"/>
              <w:widowControl w:val="0"/>
              <w:rPr>
                <w:color w:val="auto"/>
              </w:rPr>
            </w:pPr>
          </w:p>
        </w:tc>
        <w:tc>
          <w:tcPr>
            <w:tcW w:w="812" w:type="pct"/>
            <w:vMerge w:val="continue"/>
            <w:vAlign w:val="center"/>
          </w:tcPr>
          <w:p w14:paraId="35E233E3">
            <w:pPr>
              <w:pStyle w:val="129"/>
              <w:widowControl w:val="0"/>
              <w:rPr>
                <w:color w:val="auto"/>
              </w:rPr>
            </w:pPr>
          </w:p>
        </w:tc>
        <w:tc>
          <w:tcPr>
            <w:tcW w:w="779" w:type="pct"/>
            <w:vAlign w:val="center"/>
          </w:tcPr>
          <w:p w14:paraId="41ED65D4">
            <w:pPr>
              <w:pStyle w:val="129"/>
              <w:widowControl w:val="0"/>
              <w:rPr>
                <w:color w:val="auto"/>
              </w:rPr>
            </w:pPr>
            <w:r>
              <w:rPr>
                <w:color w:val="auto"/>
              </w:rPr>
              <w:t>NO</w:t>
            </w:r>
            <w:r>
              <w:rPr>
                <w:color w:val="auto"/>
                <w:vertAlign w:val="subscript"/>
              </w:rPr>
              <w:t>X</w:t>
            </w:r>
          </w:p>
        </w:tc>
        <w:tc>
          <w:tcPr>
            <w:tcW w:w="883" w:type="pct"/>
            <w:vAlign w:val="center"/>
          </w:tcPr>
          <w:p w14:paraId="4B68521A">
            <w:pPr>
              <w:pStyle w:val="129"/>
              <w:widowControl w:val="0"/>
              <w:rPr>
                <w:color w:val="auto"/>
              </w:rPr>
            </w:pPr>
            <w:r>
              <w:rPr>
                <w:rFonts w:hint="eastAsia"/>
                <w:color w:val="auto"/>
              </w:rPr>
              <w:t>低氮燃烧</w:t>
            </w:r>
          </w:p>
        </w:tc>
        <w:tc>
          <w:tcPr>
            <w:tcW w:w="779" w:type="pct"/>
            <w:vAlign w:val="center"/>
          </w:tcPr>
          <w:p w14:paraId="7C229259">
            <w:pPr>
              <w:pStyle w:val="129"/>
              <w:widowControl w:val="0"/>
              <w:rPr>
                <w:color w:val="auto"/>
              </w:rPr>
            </w:pPr>
            <w:r>
              <w:rPr>
                <w:rFonts w:hint="eastAsia"/>
                <w:color w:val="auto"/>
              </w:rPr>
              <w:t>40</w:t>
            </w:r>
          </w:p>
        </w:tc>
        <w:tc>
          <w:tcPr>
            <w:tcW w:w="1367" w:type="pct"/>
            <w:vMerge w:val="continue"/>
            <w:vAlign w:val="center"/>
          </w:tcPr>
          <w:p w14:paraId="5555578B">
            <w:pPr>
              <w:pStyle w:val="129"/>
              <w:widowControl w:val="0"/>
              <w:rPr>
                <w:color w:val="auto"/>
              </w:rPr>
            </w:pPr>
          </w:p>
        </w:tc>
      </w:tr>
      <w:tr w14:paraId="285507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605ABA6E">
            <w:pPr>
              <w:pStyle w:val="129"/>
              <w:widowControl w:val="0"/>
              <w:rPr>
                <w:color w:val="auto"/>
              </w:rPr>
            </w:pPr>
          </w:p>
        </w:tc>
        <w:tc>
          <w:tcPr>
            <w:tcW w:w="812" w:type="pct"/>
            <w:vMerge w:val="restart"/>
            <w:vAlign w:val="center"/>
          </w:tcPr>
          <w:p w14:paraId="13AEF7D6">
            <w:pPr>
              <w:pStyle w:val="129"/>
              <w:widowControl w:val="0"/>
              <w:rPr>
                <w:color w:val="auto"/>
              </w:rPr>
            </w:pPr>
            <w:r>
              <w:rPr>
                <w:rFonts w:hint="eastAsia"/>
                <w:color w:val="auto"/>
              </w:rPr>
              <w:t>燃气锅炉废气（备用）</w:t>
            </w:r>
            <w:r>
              <w:rPr>
                <w:rFonts w:hint="eastAsia" w:cs="宋体"/>
                <w:color w:val="auto"/>
              </w:rPr>
              <w:t>废气总排口（</w:t>
            </w:r>
            <w:r>
              <w:rPr>
                <w:rFonts w:eastAsia="华文楷体"/>
                <w:color w:val="auto"/>
              </w:rPr>
              <w:t>DA0</w:t>
            </w:r>
            <w:r>
              <w:rPr>
                <w:rFonts w:hint="eastAsia" w:eastAsia="华文楷体"/>
                <w:color w:val="auto"/>
              </w:rPr>
              <w:t>10</w:t>
            </w:r>
            <w:r>
              <w:rPr>
                <w:rFonts w:hint="eastAsia" w:cs="宋体"/>
                <w:color w:val="auto"/>
              </w:rPr>
              <w:t>）</w:t>
            </w:r>
          </w:p>
        </w:tc>
        <w:tc>
          <w:tcPr>
            <w:tcW w:w="779" w:type="pct"/>
            <w:vAlign w:val="center"/>
          </w:tcPr>
          <w:p w14:paraId="3A669978">
            <w:pPr>
              <w:pStyle w:val="129"/>
              <w:widowControl w:val="0"/>
              <w:rPr>
                <w:color w:val="auto"/>
              </w:rPr>
            </w:pPr>
            <w:r>
              <w:rPr>
                <w:rFonts w:hint="eastAsia"/>
                <w:color w:val="auto"/>
              </w:rPr>
              <w:t>颗粒物</w:t>
            </w:r>
          </w:p>
        </w:tc>
        <w:tc>
          <w:tcPr>
            <w:tcW w:w="883" w:type="pct"/>
            <w:vMerge w:val="restart"/>
            <w:vAlign w:val="center"/>
          </w:tcPr>
          <w:p w14:paraId="0D1A6A70">
            <w:pPr>
              <w:pStyle w:val="129"/>
              <w:widowControl w:val="0"/>
              <w:rPr>
                <w:color w:val="auto"/>
              </w:rPr>
            </w:pPr>
            <w:r>
              <w:rPr>
                <w:rFonts w:hint="eastAsia"/>
                <w:color w:val="auto"/>
              </w:rPr>
              <w:t>燃用清洁燃料</w:t>
            </w:r>
          </w:p>
        </w:tc>
        <w:tc>
          <w:tcPr>
            <w:tcW w:w="779" w:type="pct"/>
            <w:vAlign w:val="center"/>
          </w:tcPr>
          <w:p w14:paraId="4971F5FF">
            <w:pPr>
              <w:pStyle w:val="129"/>
              <w:widowControl w:val="0"/>
              <w:rPr>
                <w:color w:val="auto"/>
              </w:rPr>
            </w:pPr>
            <w:r>
              <w:rPr>
                <w:rFonts w:hint="eastAsia"/>
                <w:color w:val="auto"/>
              </w:rPr>
              <w:t>20</w:t>
            </w:r>
          </w:p>
        </w:tc>
        <w:tc>
          <w:tcPr>
            <w:tcW w:w="1367" w:type="pct"/>
            <w:vMerge w:val="continue"/>
            <w:vAlign w:val="center"/>
          </w:tcPr>
          <w:p w14:paraId="33F71107">
            <w:pPr>
              <w:pStyle w:val="129"/>
              <w:widowControl w:val="0"/>
              <w:rPr>
                <w:color w:val="auto"/>
              </w:rPr>
            </w:pPr>
          </w:p>
        </w:tc>
      </w:tr>
      <w:tr w14:paraId="5DB49F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6117DC51">
            <w:pPr>
              <w:pStyle w:val="129"/>
              <w:widowControl w:val="0"/>
              <w:rPr>
                <w:color w:val="auto"/>
              </w:rPr>
            </w:pPr>
          </w:p>
        </w:tc>
        <w:tc>
          <w:tcPr>
            <w:tcW w:w="812" w:type="pct"/>
            <w:vMerge w:val="continue"/>
            <w:vAlign w:val="center"/>
          </w:tcPr>
          <w:p w14:paraId="6B6C01C4">
            <w:pPr>
              <w:pStyle w:val="129"/>
              <w:widowControl w:val="0"/>
              <w:rPr>
                <w:color w:val="auto"/>
              </w:rPr>
            </w:pPr>
          </w:p>
        </w:tc>
        <w:tc>
          <w:tcPr>
            <w:tcW w:w="779" w:type="pct"/>
            <w:vAlign w:val="center"/>
          </w:tcPr>
          <w:p w14:paraId="298C9D16">
            <w:pPr>
              <w:pStyle w:val="129"/>
              <w:widowControl w:val="0"/>
              <w:rPr>
                <w:color w:val="auto"/>
              </w:rPr>
            </w:pPr>
            <w:r>
              <w:rPr>
                <w:color w:val="auto"/>
              </w:rPr>
              <w:t>SO</w:t>
            </w:r>
            <w:r>
              <w:rPr>
                <w:color w:val="auto"/>
                <w:vertAlign w:val="subscript"/>
              </w:rPr>
              <w:t>2</w:t>
            </w:r>
          </w:p>
        </w:tc>
        <w:tc>
          <w:tcPr>
            <w:tcW w:w="883" w:type="pct"/>
            <w:vMerge w:val="continue"/>
            <w:vAlign w:val="center"/>
          </w:tcPr>
          <w:p w14:paraId="12732997">
            <w:pPr>
              <w:pStyle w:val="129"/>
              <w:widowControl w:val="0"/>
              <w:rPr>
                <w:color w:val="auto"/>
              </w:rPr>
            </w:pPr>
          </w:p>
        </w:tc>
        <w:tc>
          <w:tcPr>
            <w:tcW w:w="779" w:type="pct"/>
            <w:vAlign w:val="center"/>
          </w:tcPr>
          <w:p w14:paraId="670F3C1A">
            <w:pPr>
              <w:pStyle w:val="129"/>
              <w:widowControl w:val="0"/>
              <w:rPr>
                <w:color w:val="auto"/>
              </w:rPr>
            </w:pPr>
            <w:r>
              <w:rPr>
                <w:rFonts w:hint="eastAsia"/>
                <w:color w:val="auto"/>
              </w:rPr>
              <w:t>10</w:t>
            </w:r>
          </w:p>
        </w:tc>
        <w:tc>
          <w:tcPr>
            <w:tcW w:w="1367" w:type="pct"/>
            <w:vMerge w:val="continue"/>
            <w:vAlign w:val="center"/>
          </w:tcPr>
          <w:p w14:paraId="4E819EC4">
            <w:pPr>
              <w:pStyle w:val="129"/>
              <w:widowControl w:val="0"/>
              <w:rPr>
                <w:color w:val="auto"/>
              </w:rPr>
            </w:pPr>
          </w:p>
        </w:tc>
      </w:tr>
      <w:tr w14:paraId="79502C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380" w:type="pct"/>
            <w:vMerge w:val="continue"/>
            <w:vAlign w:val="center"/>
          </w:tcPr>
          <w:p w14:paraId="755A59C2">
            <w:pPr>
              <w:pStyle w:val="129"/>
              <w:widowControl w:val="0"/>
              <w:rPr>
                <w:color w:val="auto"/>
              </w:rPr>
            </w:pPr>
          </w:p>
        </w:tc>
        <w:tc>
          <w:tcPr>
            <w:tcW w:w="812" w:type="pct"/>
            <w:vMerge w:val="continue"/>
            <w:vAlign w:val="center"/>
          </w:tcPr>
          <w:p w14:paraId="263270BF">
            <w:pPr>
              <w:pStyle w:val="129"/>
              <w:widowControl w:val="0"/>
              <w:rPr>
                <w:color w:val="auto"/>
              </w:rPr>
            </w:pPr>
          </w:p>
        </w:tc>
        <w:tc>
          <w:tcPr>
            <w:tcW w:w="779" w:type="pct"/>
            <w:vAlign w:val="center"/>
          </w:tcPr>
          <w:p w14:paraId="781C203B">
            <w:pPr>
              <w:pStyle w:val="129"/>
              <w:widowControl w:val="0"/>
              <w:rPr>
                <w:color w:val="auto"/>
              </w:rPr>
            </w:pPr>
            <w:r>
              <w:rPr>
                <w:color w:val="auto"/>
              </w:rPr>
              <w:t>NO</w:t>
            </w:r>
            <w:r>
              <w:rPr>
                <w:color w:val="auto"/>
                <w:vertAlign w:val="subscript"/>
              </w:rPr>
              <w:t>X</w:t>
            </w:r>
          </w:p>
        </w:tc>
        <w:tc>
          <w:tcPr>
            <w:tcW w:w="883" w:type="pct"/>
            <w:vAlign w:val="center"/>
          </w:tcPr>
          <w:p w14:paraId="6A0D7742">
            <w:pPr>
              <w:pStyle w:val="129"/>
              <w:widowControl w:val="0"/>
              <w:rPr>
                <w:color w:val="auto"/>
              </w:rPr>
            </w:pPr>
            <w:r>
              <w:rPr>
                <w:rFonts w:hint="eastAsia"/>
                <w:color w:val="auto"/>
              </w:rPr>
              <w:t>低氮燃烧</w:t>
            </w:r>
          </w:p>
        </w:tc>
        <w:tc>
          <w:tcPr>
            <w:tcW w:w="779" w:type="pct"/>
            <w:vAlign w:val="center"/>
          </w:tcPr>
          <w:p w14:paraId="21A51AAF">
            <w:pPr>
              <w:pStyle w:val="129"/>
              <w:widowControl w:val="0"/>
              <w:rPr>
                <w:color w:val="auto"/>
              </w:rPr>
            </w:pPr>
            <w:r>
              <w:rPr>
                <w:rFonts w:hint="eastAsia"/>
                <w:color w:val="auto"/>
              </w:rPr>
              <w:t>40</w:t>
            </w:r>
          </w:p>
        </w:tc>
        <w:tc>
          <w:tcPr>
            <w:tcW w:w="1367" w:type="pct"/>
            <w:vMerge w:val="continue"/>
            <w:vAlign w:val="center"/>
          </w:tcPr>
          <w:p w14:paraId="55FD8124">
            <w:pPr>
              <w:pStyle w:val="129"/>
              <w:widowControl w:val="0"/>
              <w:rPr>
                <w:color w:val="auto"/>
              </w:rPr>
            </w:pPr>
          </w:p>
        </w:tc>
      </w:tr>
      <w:tr w14:paraId="1C6A54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92" w:type="pct"/>
            <w:gridSpan w:val="2"/>
            <w:vAlign w:val="center"/>
          </w:tcPr>
          <w:p w14:paraId="13C9FB56">
            <w:pPr>
              <w:pStyle w:val="129"/>
              <w:widowControl w:val="0"/>
              <w:rPr>
                <w:color w:val="auto"/>
              </w:rPr>
            </w:pPr>
            <w:r>
              <w:rPr>
                <w:rFonts w:hint="eastAsia"/>
                <w:color w:val="auto"/>
              </w:rPr>
              <w:t>无组织排放</w:t>
            </w:r>
          </w:p>
        </w:tc>
        <w:tc>
          <w:tcPr>
            <w:tcW w:w="779" w:type="pct"/>
            <w:vAlign w:val="center"/>
          </w:tcPr>
          <w:p w14:paraId="46BBCB1D">
            <w:pPr>
              <w:pStyle w:val="129"/>
              <w:widowControl w:val="0"/>
              <w:rPr>
                <w:color w:val="auto"/>
              </w:rPr>
            </w:pPr>
            <w:r>
              <w:rPr>
                <w:color w:val="auto"/>
              </w:rPr>
              <w:t>NH</w:t>
            </w:r>
            <w:r>
              <w:rPr>
                <w:color w:val="auto"/>
                <w:vertAlign w:val="subscript"/>
              </w:rPr>
              <w:t>3</w:t>
            </w:r>
          </w:p>
        </w:tc>
        <w:tc>
          <w:tcPr>
            <w:tcW w:w="883" w:type="pct"/>
            <w:vAlign w:val="center"/>
          </w:tcPr>
          <w:p w14:paraId="2D6BEC35">
            <w:pPr>
              <w:pStyle w:val="129"/>
              <w:widowControl w:val="0"/>
              <w:rPr>
                <w:color w:val="auto"/>
              </w:rPr>
            </w:pPr>
            <w:r>
              <w:rPr>
                <w:color w:val="auto"/>
              </w:rPr>
              <w:t>/</w:t>
            </w:r>
          </w:p>
        </w:tc>
        <w:tc>
          <w:tcPr>
            <w:tcW w:w="779" w:type="pct"/>
            <w:vAlign w:val="center"/>
          </w:tcPr>
          <w:p w14:paraId="20516A79">
            <w:pPr>
              <w:pStyle w:val="129"/>
              <w:widowControl w:val="0"/>
              <w:rPr>
                <w:color w:val="auto"/>
              </w:rPr>
            </w:pPr>
            <w:r>
              <w:rPr>
                <w:rFonts w:hint="eastAsia"/>
                <w:color w:val="auto"/>
              </w:rPr>
              <w:t>0.3</w:t>
            </w:r>
          </w:p>
        </w:tc>
        <w:tc>
          <w:tcPr>
            <w:tcW w:w="1367" w:type="pct"/>
            <w:vAlign w:val="center"/>
          </w:tcPr>
          <w:p w14:paraId="6E6E66CA">
            <w:pPr>
              <w:pStyle w:val="129"/>
              <w:widowControl w:val="0"/>
              <w:rPr>
                <w:color w:val="auto"/>
              </w:rPr>
            </w:pPr>
            <w:r>
              <w:rPr>
                <w:rFonts w:hint="eastAsia"/>
                <w:color w:val="auto"/>
              </w:rPr>
              <w:t>《无机化学工业污染物排放标准》（GB31573-2015）表5</w:t>
            </w:r>
          </w:p>
        </w:tc>
      </w:tr>
      <w:tr w14:paraId="586C56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33" w:hRule="atLeast"/>
        </w:trPr>
        <w:tc>
          <w:tcPr>
            <w:tcW w:w="1192" w:type="pct"/>
            <w:gridSpan w:val="2"/>
            <w:vMerge w:val="restart"/>
            <w:vAlign w:val="center"/>
          </w:tcPr>
          <w:p w14:paraId="3637F1B0">
            <w:pPr>
              <w:pStyle w:val="129"/>
              <w:widowControl w:val="0"/>
              <w:rPr>
                <w:color w:val="auto"/>
              </w:rPr>
            </w:pPr>
            <w:r>
              <w:rPr>
                <w:rFonts w:hint="eastAsia"/>
                <w:color w:val="auto"/>
              </w:rPr>
              <w:t>废水污染物</w:t>
            </w:r>
          </w:p>
        </w:tc>
        <w:tc>
          <w:tcPr>
            <w:tcW w:w="779" w:type="pct"/>
            <w:vAlign w:val="center"/>
          </w:tcPr>
          <w:p w14:paraId="1B3FC235">
            <w:pPr>
              <w:pStyle w:val="129"/>
              <w:widowControl w:val="0"/>
              <w:rPr>
                <w:color w:val="auto"/>
              </w:rPr>
            </w:pPr>
            <w:r>
              <w:rPr>
                <w:rFonts w:hint="eastAsia"/>
                <w:color w:val="auto"/>
              </w:rPr>
              <w:t>TDS</w:t>
            </w:r>
          </w:p>
        </w:tc>
        <w:tc>
          <w:tcPr>
            <w:tcW w:w="883" w:type="pct"/>
            <w:vMerge w:val="restart"/>
            <w:vAlign w:val="center"/>
          </w:tcPr>
          <w:p w14:paraId="780A39DA">
            <w:pPr>
              <w:pStyle w:val="129"/>
              <w:widowControl w:val="0"/>
              <w:rPr>
                <w:color w:val="auto"/>
              </w:rPr>
            </w:pPr>
            <w:r>
              <w:rPr>
                <w:rFonts w:hint="eastAsia"/>
                <w:color w:val="auto"/>
              </w:rPr>
              <w:t>生产废水主要为冷凝水回用至众和公司</w:t>
            </w:r>
          </w:p>
        </w:tc>
        <w:tc>
          <w:tcPr>
            <w:tcW w:w="779" w:type="pct"/>
            <w:vAlign w:val="center"/>
          </w:tcPr>
          <w:p w14:paraId="3B5A4ECA">
            <w:pPr>
              <w:pStyle w:val="129"/>
              <w:widowControl w:val="0"/>
              <w:rPr>
                <w:color w:val="auto"/>
              </w:rPr>
            </w:pPr>
            <w:r>
              <w:rPr>
                <w:color w:val="auto"/>
              </w:rPr>
              <w:t>1000</w:t>
            </w:r>
            <w:r>
              <w:rPr>
                <w:rFonts w:hint="eastAsia"/>
                <w:color w:val="auto"/>
              </w:rPr>
              <w:t>mg/L</w:t>
            </w:r>
          </w:p>
        </w:tc>
        <w:tc>
          <w:tcPr>
            <w:tcW w:w="1367" w:type="pct"/>
            <w:vMerge w:val="restart"/>
            <w:vAlign w:val="center"/>
          </w:tcPr>
          <w:p w14:paraId="128D791F">
            <w:pPr>
              <w:pStyle w:val="129"/>
              <w:widowControl w:val="0"/>
              <w:rPr>
                <w:color w:val="auto"/>
              </w:rPr>
            </w:pPr>
            <w:r>
              <w:rPr>
                <w:rFonts w:hint="eastAsia"/>
                <w:color w:val="auto"/>
              </w:rPr>
              <w:t>《城市污水再生利用工业用水水质》（GB/T 19923-2024）及《无机化学工业污染物排放标准》（GB31573-2015）表2</w:t>
            </w:r>
          </w:p>
        </w:tc>
      </w:tr>
      <w:tr w14:paraId="036682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33" w:hRule="atLeast"/>
        </w:trPr>
        <w:tc>
          <w:tcPr>
            <w:tcW w:w="1192" w:type="pct"/>
            <w:gridSpan w:val="2"/>
            <w:vMerge w:val="continue"/>
            <w:vAlign w:val="center"/>
          </w:tcPr>
          <w:p w14:paraId="4F452DF1">
            <w:pPr>
              <w:pStyle w:val="129"/>
              <w:widowControl w:val="0"/>
              <w:rPr>
                <w:color w:val="auto"/>
              </w:rPr>
            </w:pPr>
          </w:p>
        </w:tc>
        <w:tc>
          <w:tcPr>
            <w:tcW w:w="779" w:type="pct"/>
            <w:vAlign w:val="center"/>
          </w:tcPr>
          <w:p w14:paraId="2C005842">
            <w:pPr>
              <w:pStyle w:val="129"/>
              <w:widowControl w:val="0"/>
              <w:rPr>
                <w:color w:val="auto"/>
              </w:rPr>
            </w:pPr>
            <w:r>
              <w:rPr>
                <w:rFonts w:hint="eastAsia"/>
                <w:color w:val="auto"/>
              </w:rPr>
              <w:t>COD</w:t>
            </w:r>
          </w:p>
        </w:tc>
        <w:tc>
          <w:tcPr>
            <w:tcW w:w="883" w:type="pct"/>
            <w:vMerge w:val="continue"/>
            <w:vAlign w:val="center"/>
          </w:tcPr>
          <w:p w14:paraId="2446B06C">
            <w:pPr>
              <w:pStyle w:val="129"/>
              <w:widowControl w:val="0"/>
              <w:rPr>
                <w:color w:val="auto"/>
              </w:rPr>
            </w:pPr>
          </w:p>
        </w:tc>
        <w:tc>
          <w:tcPr>
            <w:tcW w:w="779" w:type="pct"/>
            <w:vAlign w:val="center"/>
          </w:tcPr>
          <w:p w14:paraId="46EAEDE9">
            <w:pPr>
              <w:pStyle w:val="129"/>
              <w:widowControl w:val="0"/>
              <w:rPr>
                <w:color w:val="auto"/>
              </w:rPr>
            </w:pPr>
            <w:r>
              <w:rPr>
                <w:color w:val="auto"/>
              </w:rPr>
              <w:t>50</w:t>
            </w:r>
            <w:r>
              <w:rPr>
                <w:rFonts w:hint="eastAsia"/>
                <w:color w:val="auto"/>
              </w:rPr>
              <w:t>mg/L</w:t>
            </w:r>
          </w:p>
        </w:tc>
        <w:tc>
          <w:tcPr>
            <w:tcW w:w="1367" w:type="pct"/>
            <w:vMerge w:val="continue"/>
            <w:vAlign w:val="center"/>
          </w:tcPr>
          <w:p w14:paraId="3DB5D2D8">
            <w:pPr>
              <w:pStyle w:val="129"/>
              <w:widowControl w:val="0"/>
              <w:rPr>
                <w:color w:val="auto"/>
              </w:rPr>
            </w:pPr>
          </w:p>
        </w:tc>
      </w:tr>
      <w:tr w14:paraId="0082B1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33" w:hRule="atLeast"/>
        </w:trPr>
        <w:tc>
          <w:tcPr>
            <w:tcW w:w="1192" w:type="pct"/>
            <w:gridSpan w:val="2"/>
            <w:vMerge w:val="continue"/>
            <w:vAlign w:val="center"/>
          </w:tcPr>
          <w:p w14:paraId="0E9942C3">
            <w:pPr>
              <w:pStyle w:val="129"/>
              <w:widowControl w:val="0"/>
              <w:rPr>
                <w:color w:val="auto"/>
              </w:rPr>
            </w:pPr>
          </w:p>
        </w:tc>
        <w:tc>
          <w:tcPr>
            <w:tcW w:w="779" w:type="pct"/>
            <w:vAlign w:val="center"/>
          </w:tcPr>
          <w:p w14:paraId="28A2F23B">
            <w:pPr>
              <w:pStyle w:val="129"/>
              <w:widowControl w:val="0"/>
              <w:rPr>
                <w:color w:val="auto"/>
              </w:rPr>
            </w:pPr>
            <w:r>
              <w:rPr>
                <w:rFonts w:hint="eastAsia"/>
                <w:color w:val="auto"/>
              </w:rPr>
              <w:t>SS</w:t>
            </w:r>
          </w:p>
        </w:tc>
        <w:tc>
          <w:tcPr>
            <w:tcW w:w="883" w:type="pct"/>
            <w:vMerge w:val="restart"/>
            <w:vAlign w:val="center"/>
          </w:tcPr>
          <w:p w14:paraId="0E338E8A">
            <w:pPr>
              <w:pStyle w:val="129"/>
              <w:widowControl w:val="0"/>
              <w:rPr>
                <w:color w:val="auto"/>
              </w:rPr>
            </w:pPr>
            <w:r>
              <w:rPr>
                <w:rFonts w:hint="eastAsia"/>
                <w:color w:val="auto"/>
              </w:rPr>
              <w:t>生活污水排入园区下水管网</w:t>
            </w:r>
          </w:p>
        </w:tc>
        <w:tc>
          <w:tcPr>
            <w:tcW w:w="779" w:type="pct"/>
            <w:vAlign w:val="center"/>
          </w:tcPr>
          <w:p w14:paraId="6AEFF416">
            <w:pPr>
              <w:pStyle w:val="129"/>
              <w:widowControl w:val="0"/>
              <w:rPr>
                <w:color w:val="auto"/>
              </w:rPr>
            </w:pPr>
            <w:r>
              <w:rPr>
                <w:rFonts w:hint="eastAsia"/>
                <w:color w:val="auto"/>
              </w:rPr>
              <w:t>50mg/L</w:t>
            </w:r>
          </w:p>
        </w:tc>
        <w:tc>
          <w:tcPr>
            <w:tcW w:w="1367" w:type="pct"/>
            <w:vMerge w:val="restart"/>
            <w:vAlign w:val="center"/>
          </w:tcPr>
          <w:p w14:paraId="1273D36D">
            <w:pPr>
              <w:pStyle w:val="129"/>
              <w:widowControl w:val="0"/>
              <w:rPr>
                <w:color w:val="auto"/>
              </w:rPr>
            </w:pPr>
            <w:r>
              <w:rPr>
                <w:rFonts w:hint="eastAsia"/>
                <w:color w:val="auto"/>
              </w:rPr>
              <w:t>《污水综合排放标准》（GB/8978-1996）中的三级标准</w:t>
            </w:r>
          </w:p>
        </w:tc>
      </w:tr>
      <w:tr w14:paraId="5D6734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33" w:hRule="atLeast"/>
        </w:trPr>
        <w:tc>
          <w:tcPr>
            <w:tcW w:w="1192" w:type="pct"/>
            <w:gridSpan w:val="2"/>
            <w:vMerge w:val="continue"/>
            <w:vAlign w:val="center"/>
          </w:tcPr>
          <w:p w14:paraId="30E317FD">
            <w:pPr>
              <w:pStyle w:val="129"/>
              <w:widowControl w:val="0"/>
              <w:rPr>
                <w:color w:val="auto"/>
              </w:rPr>
            </w:pPr>
          </w:p>
        </w:tc>
        <w:tc>
          <w:tcPr>
            <w:tcW w:w="779" w:type="pct"/>
            <w:vAlign w:val="center"/>
          </w:tcPr>
          <w:p w14:paraId="131C189C">
            <w:pPr>
              <w:pStyle w:val="129"/>
              <w:widowControl w:val="0"/>
              <w:rPr>
                <w:color w:val="auto"/>
              </w:rPr>
            </w:pPr>
            <w:r>
              <w:rPr>
                <w:rFonts w:hint="eastAsia"/>
                <w:color w:val="auto"/>
              </w:rPr>
              <w:t>COD</w:t>
            </w:r>
          </w:p>
        </w:tc>
        <w:tc>
          <w:tcPr>
            <w:tcW w:w="883" w:type="pct"/>
            <w:vMerge w:val="continue"/>
            <w:vAlign w:val="center"/>
          </w:tcPr>
          <w:p w14:paraId="37E8D387">
            <w:pPr>
              <w:pStyle w:val="129"/>
              <w:widowControl w:val="0"/>
              <w:rPr>
                <w:color w:val="auto"/>
              </w:rPr>
            </w:pPr>
          </w:p>
        </w:tc>
        <w:tc>
          <w:tcPr>
            <w:tcW w:w="779" w:type="pct"/>
            <w:vAlign w:val="center"/>
          </w:tcPr>
          <w:p w14:paraId="7A07C2BC">
            <w:pPr>
              <w:pStyle w:val="129"/>
              <w:widowControl w:val="0"/>
              <w:rPr>
                <w:color w:val="auto"/>
              </w:rPr>
            </w:pPr>
            <w:r>
              <w:rPr>
                <w:rFonts w:hint="eastAsia"/>
                <w:color w:val="auto"/>
              </w:rPr>
              <w:t>50mg/L</w:t>
            </w:r>
          </w:p>
        </w:tc>
        <w:tc>
          <w:tcPr>
            <w:tcW w:w="1367" w:type="pct"/>
            <w:vMerge w:val="continue"/>
            <w:vAlign w:val="center"/>
          </w:tcPr>
          <w:p w14:paraId="16C6A2FB">
            <w:pPr>
              <w:pStyle w:val="129"/>
              <w:widowControl w:val="0"/>
              <w:rPr>
                <w:color w:val="auto"/>
              </w:rPr>
            </w:pPr>
          </w:p>
        </w:tc>
      </w:tr>
      <w:tr w14:paraId="7DBF76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33" w:hRule="atLeast"/>
        </w:trPr>
        <w:tc>
          <w:tcPr>
            <w:tcW w:w="1192" w:type="pct"/>
            <w:gridSpan w:val="2"/>
            <w:vMerge w:val="continue"/>
            <w:vAlign w:val="center"/>
          </w:tcPr>
          <w:p w14:paraId="5B4C5683">
            <w:pPr>
              <w:pStyle w:val="129"/>
              <w:widowControl w:val="0"/>
              <w:rPr>
                <w:color w:val="auto"/>
              </w:rPr>
            </w:pPr>
          </w:p>
        </w:tc>
        <w:tc>
          <w:tcPr>
            <w:tcW w:w="779" w:type="pct"/>
            <w:vAlign w:val="center"/>
          </w:tcPr>
          <w:p w14:paraId="1A9FC293">
            <w:pPr>
              <w:pStyle w:val="129"/>
              <w:widowControl w:val="0"/>
              <w:rPr>
                <w:color w:val="auto"/>
              </w:rPr>
            </w:pPr>
            <w:r>
              <w:rPr>
                <w:rFonts w:hint="eastAsia"/>
                <w:color w:val="auto"/>
              </w:rPr>
              <w:t>pH</w:t>
            </w:r>
          </w:p>
        </w:tc>
        <w:tc>
          <w:tcPr>
            <w:tcW w:w="883" w:type="pct"/>
            <w:vMerge w:val="continue"/>
            <w:vAlign w:val="center"/>
          </w:tcPr>
          <w:p w14:paraId="7DF832DA">
            <w:pPr>
              <w:pStyle w:val="129"/>
              <w:widowControl w:val="0"/>
              <w:rPr>
                <w:color w:val="auto"/>
              </w:rPr>
            </w:pPr>
          </w:p>
        </w:tc>
        <w:tc>
          <w:tcPr>
            <w:tcW w:w="779" w:type="pct"/>
            <w:vAlign w:val="center"/>
          </w:tcPr>
          <w:p w14:paraId="35C3D0E7">
            <w:pPr>
              <w:pStyle w:val="129"/>
              <w:widowControl w:val="0"/>
              <w:rPr>
                <w:color w:val="auto"/>
              </w:rPr>
            </w:pPr>
            <w:r>
              <w:rPr>
                <w:rFonts w:hint="eastAsia"/>
                <w:color w:val="auto"/>
              </w:rPr>
              <w:t>6~9</w:t>
            </w:r>
          </w:p>
        </w:tc>
        <w:tc>
          <w:tcPr>
            <w:tcW w:w="1367" w:type="pct"/>
            <w:vMerge w:val="continue"/>
            <w:vAlign w:val="center"/>
          </w:tcPr>
          <w:p w14:paraId="34320390">
            <w:pPr>
              <w:pStyle w:val="129"/>
              <w:widowControl w:val="0"/>
              <w:rPr>
                <w:color w:val="auto"/>
              </w:rPr>
            </w:pPr>
          </w:p>
        </w:tc>
      </w:tr>
      <w:tr w14:paraId="20A591D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33" w:hRule="atLeast"/>
        </w:trPr>
        <w:tc>
          <w:tcPr>
            <w:tcW w:w="1192" w:type="pct"/>
            <w:gridSpan w:val="2"/>
            <w:vMerge w:val="continue"/>
            <w:vAlign w:val="center"/>
          </w:tcPr>
          <w:p w14:paraId="352DB451">
            <w:pPr>
              <w:pStyle w:val="129"/>
              <w:widowControl w:val="0"/>
              <w:rPr>
                <w:color w:val="auto"/>
              </w:rPr>
            </w:pPr>
          </w:p>
        </w:tc>
        <w:tc>
          <w:tcPr>
            <w:tcW w:w="779" w:type="pct"/>
            <w:vAlign w:val="center"/>
          </w:tcPr>
          <w:p w14:paraId="356B671C">
            <w:pPr>
              <w:pStyle w:val="129"/>
              <w:widowControl w:val="0"/>
              <w:rPr>
                <w:b/>
                <w:bCs/>
                <w:color w:val="auto"/>
              </w:rPr>
            </w:pPr>
            <w:r>
              <w:rPr>
                <w:rFonts w:hint="eastAsia"/>
                <w:color w:val="auto"/>
              </w:rPr>
              <w:t>氨氮</w:t>
            </w:r>
          </w:p>
        </w:tc>
        <w:tc>
          <w:tcPr>
            <w:tcW w:w="883" w:type="pct"/>
            <w:vMerge w:val="continue"/>
            <w:vAlign w:val="center"/>
          </w:tcPr>
          <w:p w14:paraId="745F7549">
            <w:pPr>
              <w:pStyle w:val="129"/>
              <w:widowControl w:val="0"/>
              <w:rPr>
                <w:color w:val="auto"/>
              </w:rPr>
            </w:pPr>
          </w:p>
        </w:tc>
        <w:tc>
          <w:tcPr>
            <w:tcW w:w="779" w:type="pct"/>
            <w:vAlign w:val="center"/>
          </w:tcPr>
          <w:p w14:paraId="0D2362BD">
            <w:pPr>
              <w:pStyle w:val="129"/>
              <w:widowControl w:val="0"/>
              <w:rPr>
                <w:color w:val="auto"/>
              </w:rPr>
            </w:pPr>
            <w:r>
              <w:rPr>
                <w:rFonts w:hint="eastAsia"/>
                <w:color w:val="auto"/>
              </w:rPr>
              <w:t>10mg/L</w:t>
            </w:r>
          </w:p>
        </w:tc>
        <w:tc>
          <w:tcPr>
            <w:tcW w:w="1367" w:type="pct"/>
            <w:vMerge w:val="continue"/>
            <w:vAlign w:val="center"/>
          </w:tcPr>
          <w:p w14:paraId="218FB1D2">
            <w:pPr>
              <w:pStyle w:val="129"/>
              <w:widowControl w:val="0"/>
              <w:rPr>
                <w:color w:val="auto"/>
              </w:rPr>
            </w:pPr>
          </w:p>
        </w:tc>
      </w:tr>
      <w:tr w14:paraId="4C16872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33" w:hRule="atLeast"/>
        </w:trPr>
        <w:tc>
          <w:tcPr>
            <w:tcW w:w="1192" w:type="pct"/>
            <w:gridSpan w:val="2"/>
            <w:vMerge w:val="continue"/>
            <w:vAlign w:val="center"/>
          </w:tcPr>
          <w:p w14:paraId="0AD9BD8E">
            <w:pPr>
              <w:pStyle w:val="129"/>
              <w:widowControl w:val="0"/>
              <w:rPr>
                <w:color w:val="auto"/>
              </w:rPr>
            </w:pPr>
          </w:p>
        </w:tc>
        <w:tc>
          <w:tcPr>
            <w:tcW w:w="779" w:type="pct"/>
            <w:vAlign w:val="center"/>
          </w:tcPr>
          <w:p w14:paraId="5E49A423">
            <w:pPr>
              <w:pStyle w:val="129"/>
              <w:widowControl w:val="0"/>
              <w:rPr>
                <w:color w:val="auto"/>
              </w:rPr>
            </w:pPr>
            <w:r>
              <w:rPr>
                <w:rFonts w:hint="eastAsia"/>
                <w:color w:val="auto"/>
              </w:rPr>
              <w:t>总氮</w:t>
            </w:r>
          </w:p>
        </w:tc>
        <w:tc>
          <w:tcPr>
            <w:tcW w:w="883" w:type="pct"/>
            <w:vMerge w:val="continue"/>
            <w:vAlign w:val="center"/>
          </w:tcPr>
          <w:p w14:paraId="4A2AAB5B">
            <w:pPr>
              <w:pStyle w:val="129"/>
              <w:widowControl w:val="0"/>
              <w:rPr>
                <w:color w:val="auto"/>
              </w:rPr>
            </w:pPr>
          </w:p>
        </w:tc>
        <w:tc>
          <w:tcPr>
            <w:tcW w:w="779" w:type="pct"/>
            <w:vAlign w:val="center"/>
          </w:tcPr>
          <w:p w14:paraId="61FC9753">
            <w:pPr>
              <w:pStyle w:val="129"/>
              <w:widowControl w:val="0"/>
              <w:rPr>
                <w:color w:val="auto"/>
              </w:rPr>
            </w:pPr>
            <w:r>
              <w:rPr>
                <w:rFonts w:hint="eastAsia"/>
                <w:color w:val="auto"/>
              </w:rPr>
              <w:t>20mg/L</w:t>
            </w:r>
          </w:p>
        </w:tc>
        <w:tc>
          <w:tcPr>
            <w:tcW w:w="1367" w:type="pct"/>
            <w:vMerge w:val="continue"/>
            <w:vAlign w:val="center"/>
          </w:tcPr>
          <w:p w14:paraId="3246401E">
            <w:pPr>
              <w:pStyle w:val="129"/>
              <w:widowControl w:val="0"/>
              <w:rPr>
                <w:color w:val="auto"/>
              </w:rPr>
            </w:pPr>
          </w:p>
        </w:tc>
      </w:tr>
      <w:tr w14:paraId="70461E7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rPr>
          <w:trHeight w:val="133" w:hRule="atLeast"/>
        </w:trPr>
        <w:tc>
          <w:tcPr>
            <w:tcW w:w="1192" w:type="pct"/>
            <w:gridSpan w:val="2"/>
            <w:vMerge w:val="continue"/>
            <w:vAlign w:val="center"/>
          </w:tcPr>
          <w:p w14:paraId="174ADABA">
            <w:pPr>
              <w:pStyle w:val="129"/>
              <w:widowControl w:val="0"/>
              <w:rPr>
                <w:color w:val="auto"/>
              </w:rPr>
            </w:pPr>
          </w:p>
        </w:tc>
        <w:tc>
          <w:tcPr>
            <w:tcW w:w="779" w:type="pct"/>
            <w:vAlign w:val="center"/>
          </w:tcPr>
          <w:p w14:paraId="2DB5CDF7">
            <w:pPr>
              <w:pStyle w:val="129"/>
              <w:widowControl w:val="0"/>
              <w:rPr>
                <w:color w:val="auto"/>
              </w:rPr>
            </w:pPr>
            <w:r>
              <w:rPr>
                <w:rFonts w:hint="eastAsia"/>
                <w:color w:val="auto"/>
              </w:rPr>
              <w:t>总磷</w:t>
            </w:r>
          </w:p>
        </w:tc>
        <w:tc>
          <w:tcPr>
            <w:tcW w:w="883" w:type="pct"/>
            <w:vMerge w:val="continue"/>
            <w:vAlign w:val="center"/>
          </w:tcPr>
          <w:p w14:paraId="32AB3FA4">
            <w:pPr>
              <w:pStyle w:val="129"/>
              <w:widowControl w:val="0"/>
              <w:rPr>
                <w:color w:val="auto"/>
              </w:rPr>
            </w:pPr>
          </w:p>
        </w:tc>
        <w:tc>
          <w:tcPr>
            <w:tcW w:w="779" w:type="pct"/>
            <w:vAlign w:val="center"/>
          </w:tcPr>
          <w:p w14:paraId="6EB55848">
            <w:pPr>
              <w:pStyle w:val="129"/>
              <w:widowControl w:val="0"/>
              <w:rPr>
                <w:color w:val="auto"/>
              </w:rPr>
            </w:pPr>
            <w:r>
              <w:rPr>
                <w:rFonts w:hint="eastAsia"/>
                <w:color w:val="auto"/>
              </w:rPr>
              <w:t>0.5mg/L</w:t>
            </w:r>
          </w:p>
        </w:tc>
        <w:tc>
          <w:tcPr>
            <w:tcW w:w="1367" w:type="pct"/>
            <w:vMerge w:val="continue"/>
            <w:vAlign w:val="center"/>
          </w:tcPr>
          <w:p w14:paraId="3E08BCF7">
            <w:pPr>
              <w:pStyle w:val="129"/>
              <w:widowControl w:val="0"/>
              <w:rPr>
                <w:color w:val="auto"/>
              </w:rPr>
            </w:pPr>
          </w:p>
        </w:tc>
      </w:tr>
      <w:tr w14:paraId="0D4231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92" w:type="pct"/>
            <w:gridSpan w:val="2"/>
            <w:vAlign w:val="center"/>
          </w:tcPr>
          <w:p w14:paraId="4D0C2ADA">
            <w:pPr>
              <w:pStyle w:val="129"/>
              <w:widowControl w:val="0"/>
              <w:rPr>
                <w:color w:val="auto"/>
              </w:rPr>
            </w:pPr>
            <w:r>
              <w:rPr>
                <w:rFonts w:hint="eastAsia"/>
                <w:color w:val="auto"/>
              </w:rPr>
              <w:t>噪声</w:t>
            </w:r>
          </w:p>
        </w:tc>
        <w:tc>
          <w:tcPr>
            <w:tcW w:w="779" w:type="pct"/>
            <w:vAlign w:val="center"/>
          </w:tcPr>
          <w:p w14:paraId="66D4C2D6">
            <w:pPr>
              <w:pStyle w:val="129"/>
              <w:widowControl w:val="0"/>
              <w:rPr>
                <w:color w:val="auto"/>
              </w:rPr>
            </w:pPr>
            <w:r>
              <w:rPr>
                <w:rFonts w:hint="eastAsia"/>
                <w:color w:val="auto"/>
              </w:rPr>
              <w:t>机械噪声、空气动力性噪声</w:t>
            </w:r>
          </w:p>
        </w:tc>
        <w:tc>
          <w:tcPr>
            <w:tcW w:w="1662" w:type="pct"/>
            <w:gridSpan w:val="2"/>
            <w:vAlign w:val="center"/>
          </w:tcPr>
          <w:p w14:paraId="0B437D30">
            <w:pPr>
              <w:pStyle w:val="129"/>
              <w:widowControl w:val="0"/>
              <w:rPr>
                <w:color w:val="auto"/>
              </w:rPr>
            </w:pPr>
            <w:r>
              <w:rPr>
                <w:rFonts w:hint="eastAsia"/>
                <w:color w:val="auto"/>
              </w:rPr>
              <w:t>隔声、吸声、减振、消声装置及措施等</w:t>
            </w:r>
          </w:p>
          <w:p w14:paraId="37264E10">
            <w:pPr>
              <w:pStyle w:val="129"/>
              <w:widowControl w:val="0"/>
              <w:rPr>
                <w:color w:val="auto"/>
              </w:rPr>
            </w:pPr>
            <w:r>
              <w:rPr>
                <w:rFonts w:hint="eastAsia"/>
                <w:color w:val="auto"/>
              </w:rPr>
              <w:t>昼间≤65dB(A)</w:t>
            </w:r>
          </w:p>
          <w:p w14:paraId="538D9B6C">
            <w:pPr>
              <w:pStyle w:val="129"/>
              <w:widowControl w:val="0"/>
              <w:rPr>
                <w:color w:val="auto"/>
              </w:rPr>
            </w:pPr>
            <w:r>
              <w:rPr>
                <w:rFonts w:hint="eastAsia"/>
                <w:color w:val="auto"/>
              </w:rPr>
              <w:t>夜间≤55dB(A)</w:t>
            </w:r>
          </w:p>
        </w:tc>
        <w:tc>
          <w:tcPr>
            <w:tcW w:w="1367" w:type="pct"/>
            <w:vAlign w:val="center"/>
          </w:tcPr>
          <w:p w14:paraId="7A904F61">
            <w:pPr>
              <w:pStyle w:val="129"/>
              <w:widowControl w:val="0"/>
              <w:rPr>
                <w:color w:val="auto"/>
              </w:rPr>
            </w:pPr>
            <w:r>
              <w:rPr>
                <w:rFonts w:hint="eastAsia"/>
                <w:color w:val="auto"/>
              </w:rPr>
              <w:t>《工业企业厂界环境噪声排放标准》（</w:t>
            </w:r>
            <w:r>
              <w:rPr>
                <w:color w:val="auto"/>
              </w:rPr>
              <w:t>GB12348-2008</w:t>
            </w:r>
            <w:r>
              <w:rPr>
                <w:rFonts w:hint="eastAsia"/>
                <w:color w:val="auto"/>
              </w:rPr>
              <w:t>）</w:t>
            </w:r>
            <w:r>
              <w:rPr>
                <w:color w:val="auto"/>
              </w:rPr>
              <w:t>3</w:t>
            </w:r>
            <w:r>
              <w:rPr>
                <w:rFonts w:hint="eastAsia"/>
                <w:color w:val="auto"/>
              </w:rPr>
              <w:t>类标准</w:t>
            </w:r>
          </w:p>
        </w:tc>
      </w:tr>
      <w:tr w14:paraId="19378E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92" w:type="pct"/>
            <w:gridSpan w:val="2"/>
            <w:vMerge w:val="restart"/>
            <w:vAlign w:val="center"/>
          </w:tcPr>
          <w:p w14:paraId="3F74BFA0">
            <w:pPr>
              <w:pStyle w:val="129"/>
              <w:widowControl w:val="0"/>
              <w:rPr>
                <w:color w:val="auto"/>
              </w:rPr>
            </w:pPr>
            <w:r>
              <w:rPr>
                <w:rFonts w:hint="eastAsia"/>
                <w:color w:val="auto"/>
              </w:rPr>
              <w:t>固体废物</w:t>
            </w:r>
          </w:p>
        </w:tc>
        <w:tc>
          <w:tcPr>
            <w:tcW w:w="779" w:type="pct"/>
            <w:vAlign w:val="center"/>
          </w:tcPr>
          <w:p w14:paraId="7CE83430">
            <w:pPr>
              <w:pStyle w:val="129"/>
              <w:widowControl w:val="0"/>
              <w:rPr>
                <w:color w:val="auto"/>
              </w:rPr>
            </w:pPr>
            <w:r>
              <w:rPr>
                <w:rFonts w:hint="eastAsia"/>
                <w:color w:val="auto"/>
              </w:rPr>
              <w:t>废膜（危废）</w:t>
            </w:r>
          </w:p>
        </w:tc>
        <w:tc>
          <w:tcPr>
            <w:tcW w:w="1662" w:type="pct"/>
            <w:gridSpan w:val="2"/>
            <w:vAlign w:val="center"/>
          </w:tcPr>
          <w:p w14:paraId="7327182F">
            <w:pPr>
              <w:pStyle w:val="129"/>
              <w:widowControl w:val="0"/>
              <w:rPr>
                <w:color w:val="auto"/>
              </w:rPr>
            </w:pPr>
            <w:r>
              <w:rPr>
                <w:rFonts w:hint="eastAsia"/>
                <w:color w:val="auto"/>
              </w:rPr>
              <w:t>交由有资质的单位处理</w:t>
            </w:r>
          </w:p>
        </w:tc>
        <w:tc>
          <w:tcPr>
            <w:tcW w:w="1367" w:type="pct"/>
            <w:vMerge w:val="restart"/>
            <w:vAlign w:val="center"/>
          </w:tcPr>
          <w:p w14:paraId="3DD7C1EE">
            <w:pPr>
              <w:pStyle w:val="129"/>
              <w:widowControl w:val="0"/>
              <w:rPr>
                <w:color w:val="auto"/>
              </w:rPr>
            </w:pPr>
            <w:r>
              <w:rPr>
                <w:rFonts w:hint="eastAsia"/>
                <w:color w:val="auto"/>
              </w:rPr>
              <w:t>《危险废物贮存污染控制标准》（GB18597－2023）</w:t>
            </w:r>
          </w:p>
        </w:tc>
      </w:tr>
      <w:tr w14:paraId="2D628A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92" w:type="pct"/>
            <w:gridSpan w:val="2"/>
            <w:vMerge w:val="continue"/>
            <w:vAlign w:val="center"/>
          </w:tcPr>
          <w:p w14:paraId="0370B876">
            <w:pPr>
              <w:pStyle w:val="129"/>
              <w:widowControl w:val="0"/>
              <w:rPr>
                <w:color w:val="auto"/>
              </w:rPr>
            </w:pPr>
          </w:p>
        </w:tc>
        <w:tc>
          <w:tcPr>
            <w:tcW w:w="779" w:type="pct"/>
            <w:vAlign w:val="center"/>
          </w:tcPr>
          <w:p w14:paraId="16614A3B">
            <w:pPr>
              <w:pStyle w:val="129"/>
              <w:widowControl w:val="0"/>
              <w:rPr>
                <w:color w:val="auto"/>
              </w:rPr>
            </w:pPr>
            <w:r>
              <w:rPr>
                <w:rFonts w:hint="eastAsia"/>
                <w:color w:val="auto"/>
              </w:rPr>
              <w:t>废机油（危废）</w:t>
            </w:r>
          </w:p>
        </w:tc>
        <w:tc>
          <w:tcPr>
            <w:tcW w:w="1662" w:type="pct"/>
            <w:gridSpan w:val="2"/>
            <w:vAlign w:val="center"/>
          </w:tcPr>
          <w:p w14:paraId="2D69783A">
            <w:pPr>
              <w:pStyle w:val="129"/>
              <w:widowControl w:val="0"/>
              <w:rPr>
                <w:color w:val="auto"/>
              </w:rPr>
            </w:pPr>
            <w:r>
              <w:rPr>
                <w:rFonts w:hint="eastAsia"/>
                <w:color w:val="auto"/>
              </w:rPr>
              <w:t>交由有资质的单位处理</w:t>
            </w:r>
          </w:p>
        </w:tc>
        <w:tc>
          <w:tcPr>
            <w:tcW w:w="1367" w:type="pct"/>
            <w:vMerge w:val="continue"/>
            <w:vAlign w:val="center"/>
          </w:tcPr>
          <w:p w14:paraId="423604CA">
            <w:pPr>
              <w:pStyle w:val="129"/>
              <w:widowControl w:val="0"/>
              <w:rPr>
                <w:color w:val="auto"/>
              </w:rPr>
            </w:pPr>
          </w:p>
        </w:tc>
      </w:tr>
      <w:tr w14:paraId="27F3E2C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92" w:type="pct"/>
            <w:gridSpan w:val="2"/>
            <w:vMerge w:val="continue"/>
            <w:vAlign w:val="center"/>
          </w:tcPr>
          <w:p w14:paraId="3860B2C5">
            <w:pPr>
              <w:pStyle w:val="129"/>
              <w:widowControl w:val="0"/>
              <w:rPr>
                <w:color w:val="auto"/>
              </w:rPr>
            </w:pPr>
          </w:p>
        </w:tc>
        <w:tc>
          <w:tcPr>
            <w:tcW w:w="779" w:type="pct"/>
            <w:vAlign w:val="center"/>
          </w:tcPr>
          <w:p w14:paraId="70B700A3">
            <w:pPr>
              <w:pStyle w:val="129"/>
              <w:widowControl w:val="0"/>
              <w:rPr>
                <w:color w:val="auto"/>
              </w:rPr>
            </w:pPr>
            <w:r>
              <w:rPr>
                <w:rFonts w:hint="eastAsia"/>
                <w:color w:val="auto"/>
              </w:rPr>
              <w:t>废催化剂（危废）</w:t>
            </w:r>
          </w:p>
        </w:tc>
        <w:tc>
          <w:tcPr>
            <w:tcW w:w="1662" w:type="pct"/>
            <w:gridSpan w:val="2"/>
            <w:vAlign w:val="center"/>
          </w:tcPr>
          <w:p w14:paraId="37A05B96">
            <w:pPr>
              <w:pStyle w:val="129"/>
              <w:widowControl w:val="0"/>
              <w:rPr>
                <w:color w:val="auto"/>
              </w:rPr>
            </w:pPr>
            <w:r>
              <w:rPr>
                <w:rFonts w:hint="eastAsia"/>
                <w:color w:val="auto"/>
              </w:rPr>
              <w:t>交由有资质的单位处理</w:t>
            </w:r>
          </w:p>
        </w:tc>
        <w:tc>
          <w:tcPr>
            <w:tcW w:w="1367" w:type="pct"/>
            <w:vMerge w:val="continue"/>
            <w:vAlign w:val="center"/>
          </w:tcPr>
          <w:p w14:paraId="1DE65266">
            <w:pPr>
              <w:pStyle w:val="129"/>
              <w:widowControl w:val="0"/>
              <w:rPr>
                <w:color w:val="auto"/>
              </w:rPr>
            </w:pPr>
          </w:p>
        </w:tc>
      </w:tr>
      <w:tr w14:paraId="76DF28A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92" w:type="pct"/>
            <w:gridSpan w:val="2"/>
            <w:vMerge w:val="continue"/>
            <w:vAlign w:val="center"/>
          </w:tcPr>
          <w:p w14:paraId="524FD052">
            <w:pPr>
              <w:pStyle w:val="129"/>
              <w:widowControl w:val="0"/>
              <w:rPr>
                <w:color w:val="auto"/>
              </w:rPr>
            </w:pPr>
          </w:p>
        </w:tc>
        <w:tc>
          <w:tcPr>
            <w:tcW w:w="779" w:type="pct"/>
            <w:vAlign w:val="center"/>
          </w:tcPr>
          <w:p w14:paraId="5AF7C66F">
            <w:pPr>
              <w:pStyle w:val="129"/>
              <w:widowControl w:val="0"/>
              <w:rPr>
                <w:color w:val="auto"/>
              </w:rPr>
            </w:pPr>
            <w:r>
              <w:rPr>
                <w:rFonts w:hint="eastAsia"/>
                <w:color w:val="auto"/>
              </w:rPr>
              <w:t>生活垃圾</w:t>
            </w:r>
          </w:p>
        </w:tc>
        <w:tc>
          <w:tcPr>
            <w:tcW w:w="1662" w:type="pct"/>
            <w:gridSpan w:val="2"/>
            <w:vAlign w:val="center"/>
          </w:tcPr>
          <w:p w14:paraId="6E8478B2">
            <w:pPr>
              <w:pStyle w:val="129"/>
              <w:widowControl w:val="0"/>
              <w:rPr>
                <w:color w:val="auto"/>
              </w:rPr>
            </w:pPr>
            <w:r>
              <w:rPr>
                <w:rFonts w:hint="eastAsia"/>
                <w:color w:val="auto"/>
              </w:rPr>
              <w:t>园区环卫部门收集处理</w:t>
            </w:r>
          </w:p>
        </w:tc>
        <w:tc>
          <w:tcPr>
            <w:tcW w:w="1367" w:type="pct"/>
            <w:vMerge w:val="restart"/>
            <w:vAlign w:val="center"/>
          </w:tcPr>
          <w:p w14:paraId="6B1745D7">
            <w:pPr>
              <w:pStyle w:val="129"/>
              <w:widowControl w:val="0"/>
              <w:rPr>
                <w:color w:val="auto"/>
              </w:rPr>
            </w:pPr>
            <w:r>
              <w:rPr>
                <w:rFonts w:hint="eastAsia"/>
                <w:color w:val="auto"/>
              </w:rPr>
              <w:t>/</w:t>
            </w:r>
          </w:p>
        </w:tc>
      </w:tr>
      <w:tr w14:paraId="0263CB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Ex>
        <w:tc>
          <w:tcPr>
            <w:tcW w:w="1192" w:type="pct"/>
            <w:gridSpan w:val="2"/>
            <w:vMerge w:val="continue"/>
            <w:vAlign w:val="center"/>
          </w:tcPr>
          <w:p w14:paraId="6A26E5D4">
            <w:pPr>
              <w:pStyle w:val="129"/>
              <w:widowControl w:val="0"/>
              <w:rPr>
                <w:color w:val="auto"/>
              </w:rPr>
            </w:pPr>
          </w:p>
        </w:tc>
        <w:tc>
          <w:tcPr>
            <w:tcW w:w="779" w:type="pct"/>
            <w:vAlign w:val="center"/>
          </w:tcPr>
          <w:p w14:paraId="714BF684">
            <w:pPr>
              <w:pStyle w:val="129"/>
              <w:widowControl w:val="0"/>
              <w:rPr>
                <w:color w:val="auto"/>
              </w:rPr>
            </w:pPr>
            <w:r>
              <w:rPr>
                <w:rFonts w:hint="eastAsia"/>
                <w:color w:val="auto"/>
              </w:rPr>
              <w:t>废滤袋（一般工业固废）</w:t>
            </w:r>
          </w:p>
        </w:tc>
        <w:tc>
          <w:tcPr>
            <w:tcW w:w="1662" w:type="pct"/>
            <w:gridSpan w:val="2"/>
            <w:vAlign w:val="center"/>
          </w:tcPr>
          <w:p w14:paraId="0A3D1380">
            <w:pPr>
              <w:pStyle w:val="129"/>
              <w:widowControl w:val="0"/>
              <w:rPr>
                <w:color w:val="auto"/>
              </w:rPr>
            </w:pPr>
            <w:r>
              <w:rPr>
                <w:rFonts w:hint="eastAsia"/>
                <w:color w:val="auto"/>
              </w:rPr>
              <w:t>从厂家回收利用</w:t>
            </w:r>
          </w:p>
        </w:tc>
        <w:tc>
          <w:tcPr>
            <w:tcW w:w="1367" w:type="pct"/>
            <w:vMerge w:val="continue"/>
            <w:vAlign w:val="center"/>
          </w:tcPr>
          <w:p w14:paraId="6421DE8E">
            <w:pPr>
              <w:pStyle w:val="129"/>
              <w:widowControl w:val="0"/>
              <w:rPr>
                <w:color w:val="auto"/>
              </w:rPr>
            </w:pPr>
          </w:p>
        </w:tc>
      </w:tr>
    </w:tbl>
    <w:p w14:paraId="49790BAC">
      <w:pPr>
        <w:widowControl w:val="0"/>
        <w:tabs>
          <w:tab w:val="left" w:pos="420"/>
        </w:tabs>
        <w:contextualSpacing/>
        <w:jc w:val="center"/>
        <w:rPr>
          <w:rFonts w:eastAsia="黑体"/>
          <w:b/>
          <w:color w:val="auto"/>
          <w:kern w:val="16"/>
          <w:sz w:val="24"/>
          <w:szCs w:val="24"/>
        </w:rPr>
      </w:pPr>
    </w:p>
    <w:p w14:paraId="43C1B2E2">
      <w:pPr>
        <w:widowControl w:val="0"/>
        <w:tabs>
          <w:tab w:val="left" w:pos="420"/>
        </w:tabs>
        <w:contextualSpacing/>
        <w:jc w:val="center"/>
        <w:rPr>
          <w:rFonts w:eastAsia="黑体"/>
          <w:b/>
          <w:color w:val="auto"/>
          <w:kern w:val="16"/>
          <w:sz w:val="24"/>
          <w:szCs w:val="24"/>
        </w:rPr>
      </w:pPr>
      <w:r>
        <w:rPr>
          <w:rFonts w:eastAsia="黑体"/>
          <w:b/>
          <w:color w:val="auto"/>
          <w:kern w:val="16"/>
          <w:sz w:val="24"/>
          <w:szCs w:val="24"/>
        </w:rPr>
        <w:t xml:space="preserve"> </w:t>
      </w:r>
    </w:p>
    <w:p w14:paraId="78F85A12">
      <w:pPr>
        <w:widowControl w:val="0"/>
        <w:tabs>
          <w:tab w:val="left" w:pos="420"/>
        </w:tabs>
        <w:contextualSpacing/>
        <w:jc w:val="center"/>
        <w:rPr>
          <w:rFonts w:eastAsia="黑体"/>
          <w:b/>
          <w:color w:val="auto"/>
          <w:kern w:val="16"/>
          <w:sz w:val="24"/>
          <w:szCs w:val="24"/>
        </w:rPr>
        <w:sectPr>
          <w:type w:val="continuous"/>
          <w:pgSz w:w="16838" w:h="11906" w:orient="landscape"/>
          <w:pgMar w:top="1440" w:right="1588" w:bottom="1389" w:left="1588" w:header="737" w:footer="822" w:gutter="0"/>
          <w:cols w:space="425" w:num="1"/>
          <w:docGrid w:type="lines" w:linePitch="312" w:charSpace="0"/>
        </w:sectPr>
      </w:pPr>
    </w:p>
    <w:bookmarkEnd w:id="412"/>
    <w:p w14:paraId="6AA459CD">
      <w:pPr>
        <w:pStyle w:val="2"/>
        <w:rPr>
          <w:color w:val="auto"/>
        </w:rPr>
      </w:pPr>
      <w:bookmarkStart w:id="426" w:name="_Toc229930178"/>
      <w:r>
        <w:rPr>
          <w:color w:val="auto"/>
        </w:rPr>
        <w:t>结论与建议</w:t>
      </w:r>
      <w:bookmarkEnd w:id="426"/>
    </w:p>
    <w:p w14:paraId="3E15F1A7">
      <w:pPr>
        <w:pStyle w:val="3"/>
        <w:rPr>
          <w:color w:val="auto"/>
        </w:rPr>
      </w:pPr>
      <w:bookmarkStart w:id="427" w:name="_Toc229930179"/>
      <w:r>
        <w:rPr>
          <w:rFonts w:hint="eastAsia"/>
          <w:color w:val="auto"/>
        </w:rPr>
        <w:t>结论</w:t>
      </w:r>
      <w:bookmarkEnd w:id="427"/>
    </w:p>
    <w:p w14:paraId="6AE467E3">
      <w:pPr>
        <w:pStyle w:val="4"/>
        <w:rPr>
          <w:color w:val="auto"/>
        </w:rPr>
      </w:pPr>
      <w:r>
        <w:rPr>
          <w:rFonts w:hint="eastAsia"/>
          <w:color w:val="auto"/>
        </w:rPr>
        <w:t>项目概况</w:t>
      </w:r>
    </w:p>
    <w:p w14:paraId="57724F99">
      <w:pPr>
        <w:pStyle w:val="132"/>
        <w:rPr>
          <w:color w:val="auto"/>
        </w:rPr>
      </w:pPr>
      <w:r>
        <w:rPr>
          <w:rFonts w:hint="eastAsia"/>
          <w:color w:val="auto"/>
        </w:rPr>
        <w:t>新疆斯诺环保科技有限公司危废处置项目</w:t>
      </w:r>
      <w:r>
        <w:rPr>
          <w:rFonts w:hAnsi="宋体"/>
          <w:bCs/>
          <w:color w:val="auto"/>
        </w:rPr>
        <w:t>位于</w:t>
      </w:r>
      <w:r>
        <w:rPr>
          <w:rFonts w:hint="eastAsia"/>
          <w:color w:val="auto"/>
        </w:rPr>
        <w:t>乌鲁木齐甘泉堡经济技术开发区（工业区）化工园区内</w:t>
      </w:r>
      <w:r>
        <w:rPr>
          <w:rFonts w:hint="eastAsia" w:hAnsi="宋体"/>
          <w:bCs/>
          <w:color w:val="auto"/>
        </w:rPr>
        <w:t>，</w:t>
      </w:r>
      <w:r>
        <w:rPr>
          <w:rFonts w:hint="eastAsia"/>
          <w:color w:val="auto"/>
        </w:rPr>
        <w:t>总投资25000 万元，项目占地</w:t>
      </w:r>
      <w:r>
        <w:rPr>
          <w:color w:val="auto"/>
        </w:rPr>
        <w:t>42694.8</w:t>
      </w:r>
      <w:r>
        <w:rPr>
          <w:rFonts w:hint="eastAsia"/>
          <w:color w:val="auto"/>
        </w:rPr>
        <w:t xml:space="preserve"> m</w:t>
      </w:r>
      <w:r>
        <w:rPr>
          <w:rFonts w:hint="eastAsia"/>
          <w:color w:val="auto"/>
          <w:vertAlign w:val="superscript"/>
        </w:rPr>
        <w:t>2</w:t>
      </w:r>
      <w:r>
        <w:rPr>
          <w:rFonts w:hint="eastAsia"/>
          <w:color w:val="auto"/>
        </w:rPr>
        <w:t>。项目主要处理乌鲁木齐</w:t>
      </w:r>
      <w:r>
        <w:rPr>
          <w:color w:val="auto"/>
        </w:rPr>
        <w:t>众荣电子材料科技有限公司及疆内</w:t>
      </w:r>
      <w:r>
        <w:rPr>
          <w:rFonts w:hint="eastAsia"/>
          <w:color w:val="auto"/>
        </w:rPr>
        <w:t>其他电极箔生产厂家产生的废酸、废碱液，设计废酸液年处理能力100万m</w:t>
      </w:r>
      <w:r>
        <w:rPr>
          <w:rFonts w:hint="eastAsia"/>
          <w:color w:val="auto"/>
          <w:vertAlign w:val="superscript"/>
        </w:rPr>
        <w:t>3</w:t>
      </w:r>
      <w:r>
        <w:rPr>
          <w:rFonts w:hint="eastAsia"/>
          <w:color w:val="auto"/>
        </w:rPr>
        <w:t>，废碱液处理能力12万m</w:t>
      </w:r>
      <w:r>
        <w:rPr>
          <w:rFonts w:hint="eastAsia"/>
          <w:color w:val="auto"/>
          <w:vertAlign w:val="superscript"/>
        </w:rPr>
        <w:t>3</w:t>
      </w:r>
      <w:r>
        <w:rPr>
          <w:rFonts w:hint="eastAsia"/>
          <w:color w:val="auto"/>
        </w:rPr>
        <w:t>，通过危险废物资源化利用，副产拟薄水铝石</w:t>
      </w:r>
      <w:r>
        <w:rPr>
          <w:color w:val="auto"/>
        </w:rPr>
        <w:t>、硫酸铵、</w:t>
      </w:r>
      <w:r>
        <w:rPr>
          <w:rFonts w:hint="eastAsia"/>
          <w:color w:val="auto"/>
        </w:rPr>
        <w:t>碳酸钠、液体肥料</w:t>
      </w:r>
      <w:r>
        <w:rPr>
          <w:color w:val="auto"/>
        </w:rPr>
        <w:t>等产品</w:t>
      </w:r>
      <w:r>
        <w:rPr>
          <w:rFonts w:hint="eastAsia"/>
          <w:color w:val="auto"/>
        </w:rPr>
        <w:t>，同时可以产生161万m</w:t>
      </w:r>
      <w:r>
        <w:rPr>
          <w:rFonts w:hint="eastAsia"/>
          <w:color w:val="auto"/>
          <w:vertAlign w:val="superscript"/>
        </w:rPr>
        <w:t>3</w:t>
      </w:r>
      <w:r>
        <w:rPr>
          <w:rFonts w:hint="eastAsia"/>
          <w:color w:val="auto"/>
        </w:rPr>
        <w:t>冷凝水，通过管道回用于</w:t>
      </w:r>
      <w:r>
        <w:rPr>
          <w:color w:val="auto"/>
        </w:rPr>
        <w:t>众荣电子材料科技有限公司</w:t>
      </w:r>
      <w:r>
        <w:rPr>
          <w:rFonts w:hint="eastAsia"/>
          <w:color w:val="auto"/>
        </w:rPr>
        <w:t>。项目利用危险废物处置中产生的拟薄水铝石生产工业催化剂载体，并制成工业催化剂产品。本项目是危险废物综合利用的环保型工程，是</w:t>
      </w:r>
      <w:r>
        <w:rPr>
          <w:color w:val="auto"/>
        </w:rPr>
        <w:t>乌鲁木齐甘泉堡经济技术开发区（工业区）</w:t>
      </w:r>
      <w:r>
        <w:rPr>
          <w:rFonts w:hint="eastAsia"/>
          <w:color w:val="auto"/>
        </w:rPr>
        <w:t>循环经济产业链的组成部分，也是“三废”循环利用的重要一环，对园区产业链延伸、低碳发展具有促进意义。</w:t>
      </w:r>
    </w:p>
    <w:p w14:paraId="57647C38">
      <w:pPr>
        <w:pStyle w:val="4"/>
        <w:rPr>
          <w:color w:val="auto"/>
        </w:rPr>
      </w:pPr>
      <w:r>
        <w:rPr>
          <w:color w:val="auto"/>
        </w:rPr>
        <w:t>产业政策及规划相符性</w:t>
      </w:r>
    </w:p>
    <w:p w14:paraId="44FE4FCD">
      <w:pPr>
        <w:pStyle w:val="132"/>
        <w:rPr>
          <w:color w:val="auto"/>
        </w:rPr>
      </w:pPr>
      <w:r>
        <w:rPr>
          <w:rFonts w:hint="eastAsia"/>
          <w:color w:val="auto"/>
        </w:rPr>
        <w:t>项目为危险废物处置项目，属于</w:t>
      </w:r>
      <w:r>
        <w:rPr>
          <w:color w:val="auto"/>
        </w:rPr>
        <w:t>《产业结构调整指导目录（2024 年本）》</w:t>
      </w:r>
      <w:r>
        <w:rPr>
          <w:rFonts w:hint="eastAsia"/>
          <w:color w:val="auto"/>
        </w:rPr>
        <w:t xml:space="preserve">和《西部地区鼓励类产业目录（2025年本）》的鼓励类：“四十二、环境保护与资源节约综合利用 </w:t>
      </w:r>
      <w:r>
        <w:rPr>
          <w:color w:val="auto"/>
        </w:rPr>
        <w:t>6</w:t>
      </w:r>
      <w:r>
        <w:rPr>
          <w:rFonts w:hint="eastAsia"/>
          <w:color w:val="auto"/>
        </w:rPr>
        <w:t>。危险废弃物处置：危险废物（医疗废物）利用处置中心建设和运营”；项目利用废酸、废碱生产催化剂载体材料，进一步生产工业催化剂，属于鼓励类：“四十二、环境保护与资源节约综合利用 10.工业“三废”循环利用：“三废”综合利用于治理技术、装备和工程”；项目未使用</w:t>
      </w:r>
      <w:r>
        <w:rPr>
          <w:color w:val="auto"/>
        </w:rPr>
        <w:t>《产业结构调整指导目录（2024 年本）》</w:t>
      </w:r>
      <w:r>
        <w:rPr>
          <w:rFonts w:hint="eastAsia"/>
          <w:color w:val="auto"/>
        </w:rPr>
        <w:t>中落后的生产工艺装备，生产的工业催化剂均不属于落后产品，符合国家产业政策要求。</w:t>
      </w:r>
    </w:p>
    <w:p w14:paraId="6B48550B">
      <w:pPr>
        <w:pStyle w:val="132"/>
        <w:rPr>
          <w:color w:val="auto"/>
        </w:rPr>
      </w:pPr>
      <w:r>
        <w:rPr>
          <w:rFonts w:hint="eastAsia"/>
          <w:color w:val="auto"/>
        </w:rPr>
        <w:t>项目符合《空气质量持续改善行动计划》（国发〔2023〕4号）、《水污染防治行动计划》（国发〔2015〕17号）、《土壤污染防治行动计划》（国发〔2016〕31号）、《中共中央 国务院关于深入打好污染防治攻坚战的意见》《新疆维吾尔自治区大气污染防治条例》</w:t>
      </w:r>
      <w:r>
        <w:rPr>
          <w:rFonts w:hint="eastAsia"/>
          <w:color w:val="auto"/>
          <w:lang w:eastAsia="zh-CN"/>
        </w:rPr>
        <w:t>（</w:t>
      </w:r>
      <w:r>
        <w:rPr>
          <w:rFonts w:hint="eastAsia"/>
          <w:color w:val="auto"/>
        </w:rPr>
        <w:t>新疆维吾尔自治区第十三届人民代表大会常务委员会公告第15号）、《新疆维吾尔自治区工业炉窑大气污染综合治理实施方案》。</w:t>
      </w:r>
    </w:p>
    <w:p w14:paraId="50F38493">
      <w:pPr>
        <w:pStyle w:val="132"/>
        <w:rPr>
          <w:color w:val="auto"/>
        </w:rPr>
      </w:pPr>
      <w:r>
        <w:rPr>
          <w:rFonts w:hint="eastAsia"/>
          <w:color w:val="auto"/>
        </w:rPr>
        <w:t>项目符合《关于印发〈新疆维吾尔自治区生态环境分区管控动态更新成果〉的通知》（新环环评发〔2024〕157号</w:t>
      </w:r>
      <w:r>
        <w:rPr>
          <w:color w:val="auto"/>
        </w:rPr>
        <w:t>）</w:t>
      </w:r>
      <w:r>
        <w:rPr>
          <w:rFonts w:hint="eastAsia"/>
          <w:color w:val="auto"/>
        </w:rPr>
        <w:t>、</w:t>
      </w:r>
      <w:r>
        <w:rPr>
          <w:color w:val="auto"/>
        </w:rPr>
        <w:t>《关于印发乌鲁木齐市生态环境分区管控动态更新成果的通知</w:t>
      </w:r>
      <w:r>
        <w:rPr>
          <w:rFonts w:hint="eastAsia"/>
          <w:color w:val="auto"/>
        </w:rPr>
        <w:t>》等相关生态环境分区管控要求。</w:t>
      </w:r>
    </w:p>
    <w:p w14:paraId="2931E5BA">
      <w:pPr>
        <w:pStyle w:val="132"/>
        <w:rPr>
          <w:color w:val="auto"/>
        </w:rPr>
      </w:pPr>
      <w:bookmarkStart w:id="428" w:name="_Toc1169"/>
      <w:bookmarkStart w:id="429" w:name="_Toc335835801"/>
      <w:bookmarkStart w:id="430" w:name="_Toc30344"/>
      <w:r>
        <w:rPr>
          <w:rFonts w:hint="eastAsia"/>
          <w:color w:val="auto"/>
        </w:rPr>
        <w:t>2025年12月，乌鲁木齐甘泉堡经济技术开发区（工业区）经济发展局对项目进行了备案，备案证号：</w:t>
      </w:r>
      <w:r>
        <w:rPr>
          <w:color w:val="auto"/>
        </w:rPr>
        <w:t>25</w:t>
      </w:r>
      <w:r>
        <w:rPr>
          <w:rFonts w:hint="eastAsia"/>
          <w:color w:val="auto"/>
        </w:rPr>
        <w:t>12021177650108000046。</w:t>
      </w:r>
    </w:p>
    <w:p w14:paraId="7A46E0BE">
      <w:pPr>
        <w:pStyle w:val="4"/>
        <w:rPr>
          <w:color w:val="auto"/>
        </w:rPr>
      </w:pPr>
      <w:r>
        <w:rPr>
          <w:color w:val="auto"/>
        </w:rPr>
        <w:t>厂址合理性分析结论</w:t>
      </w:r>
      <w:bookmarkEnd w:id="428"/>
      <w:bookmarkEnd w:id="429"/>
      <w:bookmarkEnd w:id="430"/>
    </w:p>
    <w:p w14:paraId="0C28C081">
      <w:pPr>
        <w:pStyle w:val="132"/>
        <w:ind w:firstLine="464"/>
        <w:rPr>
          <w:color w:val="auto"/>
        </w:rPr>
      </w:pPr>
      <w:r>
        <w:rPr>
          <w:color w:val="auto"/>
          <w:spacing w:val="-4"/>
        </w:rPr>
        <w:t>本项目位于</w:t>
      </w:r>
      <w:r>
        <w:rPr>
          <w:rFonts w:hint="eastAsia"/>
          <w:color w:val="auto"/>
        </w:rPr>
        <w:t>乌鲁木齐甘泉堡经济技术开发区（工业区）化工园区</w:t>
      </w:r>
      <w:r>
        <w:rPr>
          <w:rFonts w:hint="eastAsia"/>
          <w:color w:val="auto"/>
          <w:spacing w:val="-4"/>
        </w:rPr>
        <w:t>内</w:t>
      </w:r>
      <w:r>
        <w:rPr>
          <w:color w:val="auto"/>
        </w:rPr>
        <w:t>，符合园区产业及功能定位，占地为园区规划的三类工业用地，选址符合当地工业园区规划定位和土地利用规划等相关要求。在采取有效污染防治措施，项目建成后，“三废”污染可以控制在较小的程度，对周边环境影响较小，不会改变园区现有环境功能；在采取有效风险防范措施和强化风险管</w:t>
      </w:r>
      <w:r>
        <w:rPr>
          <w:rFonts w:hint="eastAsia"/>
          <w:color w:val="auto"/>
          <w:lang w:eastAsia="zh-CN"/>
        </w:rPr>
        <w:t>理下</w:t>
      </w:r>
      <w:r>
        <w:rPr>
          <w:color w:val="auto"/>
        </w:rPr>
        <w:t>，项目环境风险可降至最低，周围环境质量状况对本项目不会产生明显制约因素，各项污染物可达标排放，因此，从环保角度考虑，评价认为本项目选址可行。</w:t>
      </w:r>
    </w:p>
    <w:p w14:paraId="126DC27F">
      <w:pPr>
        <w:pStyle w:val="4"/>
        <w:rPr>
          <w:color w:val="auto"/>
        </w:rPr>
      </w:pPr>
      <w:r>
        <w:rPr>
          <w:color w:val="auto"/>
        </w:rPr>
        <w:t>环境质量现状结论</w:t>
      </w:r>
    </w:p>
    <w:p w14:paraId="17CB4D5E">
      <w:pPr>
        <w:pStyle w:val="5"/>
        <w:rPr>
          <w:color w:val="auto"/>
        </w:rPr>
      </w:pPr>
      <w:r>
        <w:rPr>
          <w:color w:val="auto"/>
        </w:rPr>
        <w:t>大气环境</w:t>
      </w:r>
    </w:p>
    <w:p w14:paraId="6D63D0B5">
      <w:pPr>
        <w:pStyle w:val="132"/>
        <w:rPr>
          <w:color w:val="auto"/>
        </w:rPr>
      </w:pPr>
      <w:r>
        <w:rPr>
          <w:rFonts w:hint="eastAsia"/>
          <w:color w:val="auto"/>
        </w:rPr>
        <w:t>项目所在区域环境空气质量达标区。</w:t>
      </w:r>
    </w:p>
    <w:p w14:paraId="294AAD7C">
      <w:pPr>
        <w:pStyle w:val="132"/>
        <w:rPr>
          <w:color w:val="auto"/>
        </w:rPr>
      </w:pPr>
      <w:r>
        <w:rPr>
          <w:color w:val="auto"/>
        </w:rPr>
        <w:t>评价区内</w:t>
      </w:r>
      <w:r>
        <w:rPr>
          <w:rFonts w:hint="eastAsia"/>
          <w:color w:val="auto"/>
        </w:rPr>
        <w:t>TSP</w:t>
      </w:r>
      <w:r>
        <w:rPr>
          <w:color w:val="auto"/>
        </w:rPr>
        <w:t>符合</w:t>
      </w:r>
      <w:r>
        <w:rPr>
          <w:rFonts w:hint="eastAsia"/>
          <w:color w:val="auto"/>
        </w:rPr>
        <w:t>《环境空气质量标准》（GB3095-2012）中及修改单表2的二级限值；NH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S、硫酸、HCl</w:t>
      </w:r>
      <w:r>
        <w:rPr>
          <w:color w:val="auto"/>
        </w:rPr>
        <w:t>符合《环境影响评价技术导则大气环境》（HJ2.2-2018）附录D的参考浓度限值</w:t>
      </w:r>
      <w:r>
        <w:rPr>
          <w:rFonts w:hint="eastAsia"/>
          <w:color w:val="auto"/>
        </w:rPr>
        <w:t>，NMHC符合</w:t>
      </w:r>
      <w:r>
        <w:rPr>
          <w:color w:val="auto"/>
        </w:rPr>
        <w:t>《</w:t>
      </w:r>
      <w:r>
        <w:rPr>
          <w:rFonts w:hint="eastAsia"/>
          <w:color w:val="auto"/>
        </w:rPr>
        <w:t>大气污染物</w:t>
      </w:r>
      <w:r>
        <w:rPr>
          <w:color w:val="auto"/>
        </w:rPr>
        <w:t>综合排放</w:t>
      </w:r>
      <w:r>
        <w:rPr>
          <w:rFonts w:hint="eastAsia"/>
          <w:color w:val="auto"/>
        </w:rPr>
        <w:t>标准</w:t>
      </w:r>
      <w:r>
        <w:rPr>
          <w:color w:val="auto"/>
        </w:rPr>
        <w:t>（</w:t>
      </w:r>
      <w:r>
        <w:rPr>
          <w:rFonts w:hint="eastAsia"/>
          <w:color w:val="auto"/>
        </w:rPr>
        <w:t>详解</w:t>
      </w:r>
      <w:r>
        <w:rPr>
          <w:color w:val="auto"/>
        </w:rPr>
        <w:t>）》（</w:t>
      </w:r>
      <w:r>
        <w:rPr>
          <w:rFonts w:hint="eastAsia"/>
          <w:color w:val="auto"/>
        </w:rPr>
        <w:t>GB</w:t>
      </w:r>
      <w:r>
        <w:rPr>
          <w:color w:val="auto"/>
        </w:rPr>
        <w:t>16297-1996</w:t>
      </w:r>
      <w:r>
        <w:rPr>
          <w:rFonts w:hint="eastAsia"/>
          <w:color w:val="auto"/>
        </w:rPr>
        <w:t>）要求。</w:t>
      </w:r>
    </w:p>
    <w:p w14:paraId="30EE4018">
      <w:pPr>
        <w:pStyle w:val="5"/>
        <w:rPr>
          <w:color w:val="auto"/>
        </w:rPr>
      </w:pPr>
      <w:r>
        <w:rPr>
          <w:color w:val="auto"/>
        </w:rPr>
        <w:t>水环境</w:t>
      </w:r>
    </w:p>
    <w:p w14:paraId="3F1DAE96">
      <w:pPr>
        <w:pStyle w:val="132"/>
        <w:rPr>
          <w:color w:val="auto"/>
        </w:rPr>
      </w:pPr>
      <w:r>
        <w:rPr>
          <w:color w:val="auto"/>
        </w:rPr>
        <w:t>由监测结果可知，地下水监测点钠、总硬度、溶解性总固体、硫酸盐、氯化物、氟化物，超标与区域水文地质条件有关，反映的是干旱区浅层地下水的共性。其余监测因子均满足《地下水质量标准》（GB/T14848-2017）中Ⅲ类标准的限值要求。</w:t>
      </w:r>
    </w:p>
    <w:p w14:paraId="70BF9079">
      <w:pPr>
        <w:pStyle w:val="5"/>
        <w:rPr>
          <w:color w:val="auto"/>
        </w:rPr>
      </w:pPr>
      <w:r>
        <w:rPr>
          <w:color w:val="auto"/>
        </w:rPr>
        <w:t>声环境</w:t>
      </w:r>
    </w:p>
    <w:p w14:paraId="001665F3">
      <w:pPr>
        <w:pStyle w:val="132"/>
        <w:rPr>
          <w:color w:val="auto"/>
        </w:rPr>
      </w:pPr>
      <w:r>
        <w:rPr>
          <w:color w:val="auto"/>
        </w:rPr>
        <w:t>厂界昼、夜间噪声均满足《声环境质量标准》（GB 3096-2008）中</w:t>
      </w:r>
      <w:r>
        <w:rPr>
          <w:rFonts w:hint="eastAsia"/>
          <w:color w:val="auto"/>
        </w:rPr>
        <w:t>3</w:t>
      </w:r>
      <w:r>
        <w:rPr>
          <w:color w:val="auto"/>
        </w:rPr>
        <w:t>类标准限值要求。</w:t>
      </w:r>
    </w:p>
    <w:p w14:paraId="7651D5A5">
      <w:pPr>
        <w:pStyle w:val="5"/>
        <w:rPr>
          <w:color w:val="auto"/>
        </w:rPr>
      </w:pPr>
      <w:r>
        <w:rPr>
          <w:color w:val="auto"/>
        </w:rPr>
        <w:t>土壤环境</w:t>
      </w:r>
    </w:p>
    <w:p w14:paraId="3C7E07E4">
      <w:pPr>
        <w:pStyle w:val="132"/>
        <w:rPr>
          <w:color w:val="auto"/>
        </w:rPr>
      </w:pPr>
      <w:r>
        <w:rPr>
          <w:rFonts w:hint="eastAsia"/>
          <w:color w:val="auto"/>
        </w:rPr>
        <w:t>监测期间，</w:t>
      </w:r>
      <w:r>
        <w:rPr>
          <w:color w:val="auto"/>
        </w:rPr>
        <w:t>土壤中各项指标满足《土壤环境质量建设用地土壤污染风险管控标准（试行）》（GB36600-2018）表1建设用地土壤污染风险筛选值第二类用地的限值要求</w:t>
      </w:r>
      <w:r>
        <w:rPr>
          <w:rFonts w:hint="eastAsia"/>
          <w:color w:val="auto"/>
        </w:rPr>
        <w:t>。</w:t>
      </w:r>
    </w:p>
    <w:p w14:paraId="4A017B23">
      <w:pPr>
        <w:pStyle w:val="4"/>
        <w:rPr>
          <w:color w:val="auto"/>
        </w:rPr>
      </w:pPr>
      <w:r>
        <w:rPr>
          <w:color w:val="auto"/>
        </w:rPr>
        <w:t>环境影响预测与评价结论</w:t>
      </w:r>
    </w:p>
    <w:p w14:paraId="35DDC83B">
      <w:pPr>
        <w:pStyle w:val="5"/>
        <w:rPr>
          <w:color w:val="auto"/>
        </w:rPr>
      </w:pPr>
      <w:r>
        <w:rPr>
          <w:color w:val="auto"/>
        </w:rPr>
        <w:t>大气环境</w:t>
      </w:r>
    </w:p>
    <w:p w14:paraId="54AFFB58">
      <w:pPr>
        <w:pStyle w:val="132"/>
        <w:rPr>
          <w:color w:val="auto"/>
        </w:rPr>
      </w:pPr>
      <w:r>
        <w:rPr>
          <w:color w:val="auto"/>
        </w:rPr>
        <w:t>（1）建设工程完成后，各生产工序在各环保设施正常运行条件下，新增污染源正常排放下SO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、PM2.5、NH</w:t>
      </w:r>
      <w:r>
        <w:rPr>
          <w:color w:val="auto"/>
          <w:vertAlign w:val="subscript"/>
        </w:rPr>
        <w:t>3</w:t>
      </w:r>
      <w:r>
        <w:rPr>
          <w:color w:val="auto"/>
        </w:rPr>
        <w:t>、H</w:t>
      </w:r>
      <w:r>
        <w:rPr>
          <w:color w:val="auto"/>
          <w:vertAlign w:val="subscript"/>
        </w:rPr>
        <w:t>2</w:t>
      </w:r>
      <w:r>
        <w:rPr>
          <w:color w:val="auto"/>
        </w:rPr>
        <w:t>S、镍及其化合物、锰及其化合物、TSP污染物短期浓度贡献值的最大浓度占标率≤100%；</w:t>
      </w:r>
    </w:p>
    <w:p w14:paraId="7E4A49D0">
      <w:pPr>
        <w:pStyle w:val="132"/>
        <w:rPr>
          <w:color w:val="auto"/>
        </w:rPr>
      </w:pPr>
      <w:r>
        <w:rPr>
          <w:color w:val="auto"/>
        </w:rPr>
        <w:t>（2）建设工程完成后，各生产工序在各环保设施正常运行条件下，新增污染源正常排放下SO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、TSP年均浓度贡献值的最大浓度占标率≤30%；</w:t>
      </w:r>
    </w:p>
    <w:p w14:paraId="02FEB185">
      <w:pPr>
        <w:pStyle w:val="132"/>
        <w:rPr>
          <w:color w:val="auto"/>
        </w:rPr>
      </w:pPr>
      <w:r>
        <w:rPr>
          <w:color w:val="auto"/>
        </w:rPr>
        <w:t>（3）本项目新增污染源贡献值叠加现状值、在建拟建项目的环境影响后，主要污染物SO</w:t>
      </w:r>
      <w:r>
        <w:rPr>
          <w:color w:val="auto"/>
          <w:vertAlign w:val="subscript"/>
        </w:rPr>
        <w:t>2</w:t>
      </w:r>
      <w:r>
        <w:rPr>
          <w:color w:val="auto"/>
        </w:rPr>
        <w:t>、NO</w:t>
      </w:r>
      <w:r>
        <w:rPr>
          <w:color w:val="auto"/>
          <w:vertAlign w:val="subscript"/>
        </w:rPr>
        <w:t>2</w:t>
      </w:r>
      <w:r>
        <w:rPr>
          <w:color w:val="auto"/>
        </w:rPr>
        <w:t>保证率日平均质量浓度和年平均质量浓度满足《环境空气质量标准》（GB3095-2026）中的二级标准浓度限值；TSP叠加背景值后，短期浓度符合《环境空气质量标准》（GB3095-2026）二级标准；氨、硫化氢、锰及其化合物叠加背景值后，短期浓度满足《环境影响评价技术导则 大气环境》（HJ 2.2-2018）附录D标准；镍及其化合物叠加背景值后，短期浓度满足《大气污染物综合排放标准详解》（国家环境保护局科技标准司制定，1997年第一版）中的小时值0.03mg/m</w:t>
      </w:r>
      <w:r>
        <w:rPr>
          <w:color w:val="auto"/>
          <w:vertAlign w:val="superscript"/>
        </w:rPr>
        <w:t>3</w:t>
      </w:r>
      <w:r>
        <w:rPr>
          <w:color w:val="auto"/>
        </w:rPr>
        <w:t>；</w:t>
      </w:r>
    </w:p>
    <w:p w14:paraId="1A15EDF3">
      <w:pPr>
        <w:pStyle w:val="132"/>
        <w:rPr>
          <w:color w:val="auto"/>
        </w:rPr>
      </w:pPr>
      <w:r>
        <w:rPr>
          <w:rFonts w:hint="eastAsia"/>
          <w:color w:val="auto"/>
        </w:rPr>
        <w:t>（4）PM</w:t>
      </w:r>
      <w:r>
        <w:rPr>
          <w:rFonts w:hint="eastAsia"/>
          <w:color w:val="auto"/>
          <w:vertAlign w:val="subscript"/>
        </w:rPr>
        <w:t>10</w:t>
      </w:r>
      <w:r>
        <w:rPr>
          <w:rFonts w:hint="eastAsia"/>
          <w:color w:val="auto"/>
        </w:rPr>
        <w:t>叠加背景值后，保证率日平均质量浓度和年平均质量浓度均超过《环境空气质量标准》（GB3095-2026）二级标准；PM</w:t>
      </w:r>
      <w:r>
        <w:rPr>
          <w:rFonts w:hint="eastAsia"/>
          <w:color w:val="auto"/>
          <w:vertAlign w:val="subscript"/>
        </w:rPr>
        <w:t>2.5</w:t>
      </w:r>
      <w:r>
        <w:rPr>
          <w:rFonts w:hint="eastAsia"/>
          <w:color w:val="auto"/>
        </w:rPr>
        <w:t>叠加背景值后，年平均质量浓度均符合《环境空气质量标准》（GB3095-2026）二级标准，保证率日平均质量浓度超过《环境空气质量标准》（GB3095-2026）二级标准。</w:t>
      </w:r>
    </w:p>
    <w:p w14:paraId="5656559F">
      <w:pPr>
        <w:pStyle w:val="132"/>
        <w:rPr>
          <w:color w:val="auto"/>
        </w:rPr>
      </w:pPr>
      <w:r>
        <w:rPr>
          <w:rFonts w:hint="eastAsia"/>
          <w:color w:val="auto"/>
        </w:rPr>
        <w:t>采用网格进行区域环境质量变化评价，实施削减后预测范围PM</w:t>
      </w:r>
      <w:r>
        <w:rPr>
          <w:rFonts w:hint="eastAsia"/>
          <w:color w:val="auto"/>
          <w:vertAlign w:val="subscript"/>
        </w:rPr>
        <w:t>10</w:t>
      </w:r>
      <w:r>
        <w:rPr>
          <w:rFonts w:hint="eastAsia"/>
          <w:color w:val="auto"/>
        </w:rPr>
        <w:t>的年平均浓度变化率k=</w:t>
      </w:r>
      <w:r>
        <w:rPr>
          <w:color w:val="auto"/>
        </w:rPr>
        <w:t>-</w:t>
      </w:r>
      <w:r>
        <w:rPr>
          <w:rFonts w:hint="eastAsia"/>
          <w:color w:val="auto"/>
        </w:rPr>
        <w:t>38.11</w:t>
      </w:r>
      <w:r>
        <w:rPr>
          <w:color w:val="auto"/>
        </w:rPr>
        <w:t>%</w:t>
      </w:r>
      <w:r>
        <w:rPr>
          <w:rFonts w:hint="eastAsia"/>
          <w:color w:val="auto"/>
        </w:rPr>
        <w:t>，PM</w:t>
      </w:r>
      <w:r>
        <w:rPr>
          <w:rFonts w:hint="eastAsia"/>
          <w:color w:val="auto"/>
          <w:vertAlign w:val="subscript"/>
        </w:rPr>
        <w:t>2.5</w:t>
      </w:r>
      <w:r>
        <w:rPr>
          <w:rFonts w:hint="eastAsia"/>
          <w:color w:val="auto"/>
        </w:rPr>
        <w:t>的年平均浓度变化率k=</w:t>
      </w:r>
      <w:r>
        <w:rPr>
          <w:color w:val="auto"/>
        </w:rPr>
        <w:t>-38.09%</w:t>
      </w:r>
      <w:r>
        <w:rPr>
          <w:rFonts w:hint="eastAsia"/>
          <w:color w:val="auto"/>
        </w:rPr>
        <w:t>，浓度变化率k</w:t>
      </w:r>
      <w:r>
        <w:rPr>
          <w:color w:val="auto"/>
        </w:rPr>
        <w:t>≤</w:t>
      </w:r>
      <w:r>
        <w:rPr>
          <w:rFonts w:hint="eastAsia"/>
          <w:color w:val="auto"/>
        </w:rPr>
        <w:t>-20%,因此区域环境质量整体改善。</w:t>
      </w:r>
    </w:p>
    <w:p w14:paraId="491FA681">
      <w:pPr>
        <w:pStyle w:val="132"/>
        <w:rPr>
          <w:color w:val="auto"/>
        </w:rPr>
      </w:pPr>
      <w:r>
        <w:rPr>
          <w:rFonts w:hint="eastAsia"/>
          <w:color w:val="auto"/>
        </w:rPr>
        <w:t>（5）若发生非正常工况排放，各污染物短期浓度达标，及时采取措施后，不会造成环境质量大幅下降。但事故时间越长，影响范围越大，会对区域大气环境质量造成一定的影响。项目运营需加强生产管理，避免环保设施事故排放，减少对周围大气环境及敏感目标的影响。</w:t>
      </w:r>
    </w:p>
    <w:p w14:paraId="5E43725C">
      <w:pPr>
        <w:pStyle w:val="132"/>
        <w:rPr>
          <w:color w:val="auto"/>
        </w:rPr>
      </w:pPr>
      <w:r>
        <w:rPr>
          <w:rFonts w:hint="eastAsia"/>
          <w:color w:val="auto"/>
        </w:rPr>
        <w:t>（6）本项目不设置大气防护距离。</w:t>
      </w:r>
    </w:p>
    <w:p w14:paraId="5C8728E8">
      <w:pPr>
        <w:pStyle w:val="132"/>
        <w:rPr>
          <w:color w:val="auto"/>
        </w:rPr>
      </w:pPr>
      <w:r>
        <w:rPr>
          <w:rFonts w:hint="eastAsia"/>
          <w:color w:val="auto"/>
        </w:rPr>
        <w:t>（7）根据评价结论判定依据，本项目同时符合现状环境不达标区域中建设项目环境影响可以接受的四大条件，从大气环境评价角度而言，本项目建设可行。</w:t>
      </w:r>
    </w:p>
    <w:p w14:paraId="4839454A">
      <w:pPr>
        <w:pStyle w:val="5"/>
        <w:rPr>
          <w:color w:val="auto"/>
        </w:rPr>
      </w:pPr>
      <w:r>
        <w:rPr>
          <w:color w:val="auto"/>
        </w:rPr>
        <w:t>水环境</w:t>
      </w:r>
    </w:p>
    <w:p w14:paraId="58240F22">
      <w:pPr>
        <w:pStyle w:val="132"/>
        <w:rPr>
          <w:color w:val="auto"/>
        </w:rPr>
      </w:pPr>
      <w:r>
        <w:rPr>
          <w:rFonts w:hint="eastAsia"/>
          <w:color w:val="auto"/>
        </w:rPr>
        <w:t>经预测COD超标距离和影响距离均在厂界内，没有超出厂界范围，因此废水泄漏主要对厂区内的地下水造成较明显的影响，对厂区外下游的地下水影响较小。因此，在采取防渗等地下水治理措施后，可对地下水含水层的超标范围及污染程度进行有效控制，减少对地下水水质的影响。</w:t>
      </w:r>
    </w:p>
    <w:p w14:paraId="7A6570BA">
      <w:pPr>
        <w:pStyle w:val="132"/>
        <w:rPr>
          <w:color w:val="auto"/>
        </w:rPr>
      </w:pPr>
      <w:r>
        <w:rPr>
          <w:rFonts w:hint="eastAsia"/>
          <w:color w:val="auto"/>
        </w:rPr>
        <w:t>综合可以看出，确保防渗措施和渗漏检测对于防止地下水遭受污染具有非常重要的意义。本项目需要合理布设监控井和设置适当的监控周期，通过各种措施避免跑冒滴漏、非正常工况时的泄漏等事故工况的发生，从源头入手保护地下水。</w:t>
      </w:r>
    </w:p>
    <w:p w14:paraId="20A2868F">
      <w:pPr>
        <w:pStyle w:val="5"/>
        <w:rPr>
          <w:color w:val="auto"/>
        </w:rPr>
      </w:pPr>
      <w:r>
        <w:rPr>
          <w:color w:val="auto"/>
        </w:rPr>
        <w:t>声环境</w:t>
      </w:r>
    </w:p>
    <w:p w14:paraId="1610E083">
      <w:pPr>
        <w:pStyle w:val="132"/>
        <w:rPr>
          <w:color w:val="auto"/>
        </w:rPr>
      </w:pPr>
      <w:r>
        <w:rPr>
          <w:color w:val="auto"/>
        </w:rPr>
        <w:t>本项目厂界噪声预测值均符合《工业企业厂界环境噪声排放标准》（GB12348-2008）3类标准，拟建项目不会降低厂界声环境质量级别，同时项目建设过程中在厂界进行适当的绿化，并加强噪声源的减噪、降噪，则本项目的建设不会对外环境噪声造成显著影响。</w:t>
      </w:r>
    </w:p>
    <w:p w14:paraId="2081BCC9">
      <w:pPr>
        <w:pStyle w:val="5"/>
        <w:rPr>
          <w:color w:val="auto"/>
        </w:rPr>
      </w:pPr>
      <w:r>
        <w:rPr>
          <w:color w:val="auto"/>
        </w:rPr>
        <w:t>固体废物</w:t>
      </w:r>
    </w:p>
    <w:p w14:paraId="2C343187">
      <w:pPr>
        <w:pStyle w:val="132"/>
        <w:rPr>
          <w:color w:val="auto"/>
        </w:rPr>
      </w:pPr>
      <w:r>
        <w:rPr>
          <w:color w:val="auto"/>
        </w:rPr>
        <w:t>加强管理，并在落实好各项污染防治措施和固体废物安全处置措施的前提下，固废处置遵循分类原则、减量化原则、无公害化原则与集中相结合的原则，对工程产生的固废根据种类不同、污染性质不同，对其进行分类收集，定向处置。全厂固体废物处置措施可行，处置方向明确，项目生产运营产生的固体废物不会对外环境造成大的影响。</w:t>
      </w:r>
    </w:p>
    <w:p w14:paraId="695CDEF5">
      <w:pPr>
        <w:pStyle w:val="4"/>
        <w:rPr>
          <w:color w:val="auto"/>
        </w:rPr>
      </w:pPr>
      <w:r>
        <w:rPr>
          <w:color w:val="auto"/>
        </w:rPr>
        <w:t>污染物排放及污染防治措施</w:t>
      </w:r>
    </w:p>
    <w:p w14:paraId="2AE251D2">
      <w:pPr>
        <w:pStyle w:val="5"/>
        <w:rPr>
          <w:color w:val="auto"/>
        </w:rPr>
      </w:pPr>
      <w:r>
        <w:rPr>
          <w:color w:val="auto"/>
        </w:rPr>
        <w:t>废气</w:t>
      </w:r>
    </w:p>
    <w:p w14:paraId="47699F95">
      <w:pPr>
        <w:pStyle w:val="132"/>
        <w:rPr>
          <w:color w:val="auto"/>
        </w:rPr>
      </w:pPr>
      <w:r>
        <w:rPr>
          <w:rFonts w:hint="eastAsia"/>
          <w:color w:val="auto"/>
        </w:rPr>
        <w:t>危险废物处置过程中的废气主要为副产品和中间产物干燥包装过程中产生的颗粒物，具体由硫酸铵、拟薄水铝石、碳酸钠等物料干燥和包装过程产生，通过燃用清洁燃料、布袋除尘等控制措施，废气中颗粒物、二氧化硫、氮氧化物满足《无机化学工业污染物排放标准》（GB31573-2015）及修改单 表4 大气污染物特别排放限值要求。</w:t>
      </w:r>
    </w:p>
    <w:p w14:paraId="3A1BFD1B">
      <w:pPr>
        <w:pStyle w:val="132"/>
        <w:rPr>
          <w:color w:val="auto"/>
        </w:rPr>
      </w:pPr>
      <w:r>
        <w:rPr>
          <w:rFonts w:hint="eastAsia"/>
          <w:color w:val="auto"/>
        </w:rPr>
        <w:t>催化剂生产干燥废气主要含有颗粒物、二氧化硫、氮氧化物，载体焙烧废气和催化剂焙烧废气主要含有颗粒物、氮氧化物、钴及其化合物、钼及其化合物、镍及其化合物、锰及其化合物、铜及其化合物、锆及其化合物，通过燃用清洁燃料、SCR脱硝、布袋除尘等措施，废气中各污染物排放浓度均满足《无机化学工业污染物排放标准》（GB31573-2015）及修改单 表4 大气污染物特别排放限值，焙烧烟气和干燥烟气中颗粒物、二氧化硫、氮氧化物同时需满足关于印发《新疆维吾尔自治区工业炉窑大气污染综合治理实施方案》的通知要求。</w:t>
      </w:r>
    </w:p>
    <w:p w14:paraId="5EC9D6D0">
      <w:pPr>
        <w:pStyle w:val="132"/>
        <w:rPr>
          <w:color w:val="auto"/>
        </w:rPr>
      </w:pPr>
      <w:r>
        <w:rPr>
          <w:color w:val="auto"/>
        </w:rPr>
        <w:t>备用燃气锅炉燃用天然气，采用低氮燃烧+烟气再循环设施，废气中颗粒物、二氧化硫、氮氧化物满足《燃气锅炉大气污染物排放标准》（DB6501/T 001-2018）表1 燃气锅炉大气污染物排放浓度限值要求。</w:t>
      </w:r>
    </w:p>
    <w:p w14:paraId="0042D9E2">
      <w:pPr>
        <w:pStyle w:val="5"/>
        <w:rPr>
          <w:color w:val="auto"/>
        </w:rPr>
      </w:pPr>
      <w:r>
        <w:rPr>
          <w:color w:val="auto"/>
        </w:rPr>
        <w:t>废水</w:t>
      </w:r>
    </w:p>
    <w:p w14:paraId="1FAD714B">
      <w:pPr>
        <w:pStyle w:val="132"/>
        <w:rPr>
          <w:color w:val="auto"/>
        </w:rPr>
      </w:pPr>
      <w:r>
        <w:rPr>
          <w:rFonts w:hint="eastAsia"/>
          <w:color w:val="auto"/>
        </w:rPr>
        <w:t>本项目危险废物处理废水主要为各类副产盐产品的冷凝水，包括硝酸铝废酸液处理冷凝水、硫酸铵蒸发冷凝水、液体肥料2蒸发浓缩冷凝水、碳酸钠浓缩冷凝水、水铝石蒸发冷凝水、氢氧化钠浓缩冷凝水，主要含有少量的盐分，水质满足《无机化学工业污染物排放标准》（GB31573-2015）及修改单和《城市污水再生利用  工业用水水质》（GB/T 19923-2024）要求后通过管道送乌鲁木齐众荣电子材料科技有限公司回用。</w:t>
      </w:r>
    </w:p>
    <w:p w14:paraId="5BE01AF2">
      <w:pPr>
        <w:pStyle w:val="132"/>
        <w:rPr>
          <w:color w:val="auto"/>
        </w:rPr>
      </w:pPr>
      <w:r>
        <w:rPr>
          <w:rFonts w:hint="eastAsia"/>
          <w:color w:val="auto"/>
        </w:rPr>
        <w:t>循环排污水、生活</w:t>
      </w:r>
      <w:r>
        <w:rPr>
          <w:color w:val="auto"/>
        </w:rPr>
        <w:t>污水满足《污水综合排放标准》（GB/8978-1996）中的三级标准后排入园区下水管网最终送甘泉</w:t>
      </w:r>
      <w:r>
        <w:rPr>
          <w:rFonts w:hint="eastAsia"/>
          <w:color w:val="auto"/>
        </w:rPr>
        <w:t>堡南区污水处理厂处理。</w:t>
      </w:r>
    </w:p>
    <w:p w14:paraId="3F768FD4">
      <w:pPr>
        <w:pStyle w:val="5"/>
        <w:rPr>
          <w:color w:val="auto"/>
        </w:rPr>
      </w:pPr>
      <w:r>
        <w:rPr>
          <w:color w:val="auto"/>
        </w:rPr>
        <w:t>固体废物</w:t>
      </w:r>
    </w:p>
    <w:p w14:paraId="427890A8">
      <w:pPr>
        <w:pStyle w:val="132"/>
        <w:rPr>
          <w:color w:val="auto"/>
        </w:rPr>
      </w:pPr>
      <w:r>
        <w:rPr>
          <w:rFonts w:hint="eastAsia"/>
          <w:color w:val="auto"/>
        </w:rPr>
        <w:t>项目产生的废润滑油，属于HW08类危险废物</w:t>
      </w:r>
      <w:r>
        <w:rPr>
          <w:color w:val="auto"/>
        </w:rPr>
        <w:t>送有资质单位处理</w:t>
      </w:r>
      <w:r>
        <w:rPr>
          <w:rFonts w:hint="eastAsia"/>
          <w:color w:val="auto"/>
        </w:rPr>
        <w:t>；危险废物处置产生的杂盐，运营后，企业可对硝酸铵浓液进行固废鉴别，判定固废的处置或综合利用去向，环评阶段，硝酸铵浓液经收集后按危险废物管理，交由有危险废物经营资质的单位处理。危废暂存间按照《危险废物贮存污染控制标准》（GB18597-2023）相关要求设置。</w:t>
      </w:r>
      <w:r>
        <w:rPr>
          <w:color w:val="auto"/>
        </w:rPr>
        <w:t>生活垃圾应及时交由环卫部门统一清运处置</w:t>
      </w:r>
      <w:r>
        <w:rPr>
          <w:rFonts w:hint="eastAsia"/>
          <w:color w:val="auto"/>
        </w:rPr>
        <w:t>。</w:t>
      </w:r>
    </w:p>
    <w:p w14:paraId="2652524D">
      <w:pPr>
        <w:pStyle w:val="5"/>
        <w:rPr>
          <w:color w:val="auto"/>
        </w:rPr>
      </w:pPr>
      <w:r>
        <w:rPr>
          <w:color w:val="auto"/>
        </w:rPr>
        <w:t>噪声</w:t>
      </w:r>
    </w:p>
    <w:p w14:paraId="3F2C2293">
      <w:pPr>
        <w:pStyle w:val="132"/>
        <w:rPr>
          <w:color w:val="auto"/>
        </w:rPr>
      </w:pPr>
      <w:r>
        <w:rPr>
          <w:color w:val="auto"/>
        </w:rPr>
        <w:t>通过采用选用低噪声设备、隔声、减振、消声、厂区绿化、加强管理等方法控制噪声影响。</w:t>
      </w:r>
    </w:p>
    <w:p w14:paraId="1B3729A3">
      <w:pPr>
        <w:pStyle w:val="4"/>
        <w:rPr>
          <w:color w:val="auto"/>
        </w:rPr>
      </w:pPr>
      <w:r>
        <w:rPr>
          <w:color w:val="auto"/>
        </w:rPr>
        <w:t>环境风险评价结论</w:t>
      </w:r>
    </w:p>
    <w:p w14:paraId="2E450997">
      <w:pPr>
        <w:pStyle w:val="132"/>
        <w:rPr>
          <w:color w:val="auto"/>
        </w:rPr>
      </w:pPr>
      <w:r>
        <w:rPr>
          <w:rFonts w:hint="eastAsia"/>
          <w:color w:val="auto"/>
        </w:rPr>
        <w:t>综合环境风险评价分析，本项目事故情况在最不利气象条件下，对周边环境有一定的影响，但对周围的居民区等敏感目标基本无影响。本项目加强管理、严格落实本环评提出的风险防范措施，环境风险处于可控可接受范围内。</w:t>
      </w:r>
    </w:p>
    <w:p w14:paraId="298DA240">
      <w:pPr>
        <w:pStyle w:val="4"/>
        <w:rPr>
          <w:color w:val="auto"/>
        </w:rPr>
      </w:pPr>
      <w:r>
        <w:rPr>
          <w:color w:val="auto"/>
        </w:rPr>
        <w:t>总量控制结论</w:t>
      </w:r>
    </w:p>
    <w:p w14:paraId="39963429">
      <w:pPr>
        <w:pStyle w:val="132"/>
        <w:rPr>
          <w:color w:val="auto"/>
        </w:rPr>
      </w:pPr>
      <w:bookmarkStart w:id="431" w:name="_Hlk202278262"/>
      <w:r>
        <w:rPr>
          <w:color w:val="auto"/>
        </w:rPr>
        <w:t>本项目废气排放需要申请总量为</w:t>
      </w:r>
      <w:r>
        <w:rPr>
          <w:rFonts w:hint="eastAsia"/>
          <w:color w:val="auto"/>
        </w:rPr>
        <w:t>氮氧化物6.354t/a</w:t>
      </w:r>
      <w:r>
        <w:rPr>
          <w:color w:val="auto"/>
        </w:rPr>
        <w:t>。</w:t>
      </w:r>
    </w:p>
    <w:bookmarkEnd w:id="431"/>
    <w:p w14:paraId="525BEA9A">
      <w:pPr>
        <w:pStyle w:val="4"/>
        <w:rPr>
          <w:color w:val="auto"/>
        </w:rPr>
      </w:pPr>
      <w:r>
        <w:rPr>
          <w:color w:val="auto"/>
        </w:rPr>
        <w:t>环境经济损益结论</w:t>
      </w:r>
    </w:p>
    <w:p w14:paraId="2B43EA64">
      <w:pPr>
        <w:pStyle w:val="132"/>
        <w:rPr>
          <w:color w:val="auto"/>
        </w:rPr>
      </w:pPr>
      <w:r>
        <w:rPr>
          <w:color w:val="auto"/>
        </w:rPr>
        <w:t>项目总投资</w:t>
      </w:r>
      <w:r>
        <w:rPr>
          <w:rFonts w:hint="eastAsia"/>
          <w:color w:val="auto"/>
        </w:rPr>
        <w:t>25000</w:t>
      </w:r>
      <w:r>
        <w:rPr>
          <w:color w:val="auto"/>
        </w:rPr>
        <w:t>万元人民币，其中环保投资估算为</w:t>
      </w:r>
      <w:r>
        <w:rPr>
          <w:rFonts w:hint="eastAsia"/>
          <w:color w:val="auto"/>
        </w:rPr>
        <w:t>1697</w:t>
      </w:r>
      <w:r>
        <w:rPr>
          <w:color w:val="auto"/>
        </w:rPr>
        <w:t>万元，占总投资的</w:t>
      </w:r>
      <w:r>
        <w:rPr>
          <w:rFonts w:hint="eastAsia"/>
          <w:color w:val="auto"/>
        </w:rPr>
        <w:t>6.79%</w:t>
      </w:r>
      <w:r>
        <w:rPr>
          <w:color w:val="auto"/>
        </w:rPr>
        <w:t>。投产后各项财务指标均满足本行业要求，项目具有较好的盈利能力，具有较好的经济效益；环保投资合理，通过落实各项措施后可减少污染物的排放、保护环境，较好</w:t>
      </w:r>
      <w:r>
        <w:rPr>
          <w:rFonts w:hint="eastAsia"/>
          <w:color w:val="auto"/>
        </w:rPr>
        <w:t>地</w:t>
      </w:r>
      <w:r>
        <w:rPr>
          <w:color w:val="auto"/>
        </w:rPr>
        <w:t>体现环保效益；同时从为社会创收、增加就业、拉动经济等角度分析，社会效益显著。因此，本项目建成后，可实现经济效益、环境效益和社会效益三方面的统一，项目建设可行。</w:t>
      </w:r>
    </w:p>
    <w:p w14:paraId="6783CD00">
      <w:pPr>
        <w:pStyle w:val="4"/>
        <w:rPr>
          <w:color w:val="auto"/>
        </w:rPr>
      </w:pPr>
      <w:bookmarkStart w:id="432" w:name="_Toc13301835"/>
      <w:r>
        <w:rPr>
          <w:color w:val="auto"/>
        </w:rPr>
        <w:t>环境管理与监测计划</w:t>
      </w:r>
      <w:bookmarkEnd w:id="432"/>
    </w:p>
    <w:p w14:paraId="465C6E90">
      <w:pPr>
        <w:pStyle w:val="132"/>
        <w:rPr>
          <w:color w:val="auto"/>
        </w:rPr>
      </w:pPr>
      <w:r>
        <w:rPr>
          <w:color w:val="auto"/>
        </w:rPr>
        <w:t>建设单位拟设立由法人负责，公司安全环保科负责日常管理工作，逐步形成企业的环境管理机构系统，并制定完善的安全生产管理制度和环境管理计划。</w:t>
      </w:r>
    </w:p>
    <w:p w14:paraId="630A63ED">
      <w:pPr>
        <w:pStyle w:val="132"/>
        <w:rPr>
          <w:color w:val="auto"/>
        </w:rPr>
      </w:pPr>
      <w:r>
        <w:rPr>
          <w:color w:val="auto"/>
        </w:rPr>
        <w:t>评价根据本项目特点，按照</w:t>
      </w:r>
      <w:r>
        <w:rPr>
          <w:rFonts w:hint="eastAsia"/>
          <w:color w:val="auto"/>
        </w:rPr>
        <w:t>《排污单位自行监测技术指南 总则》（HJ819-2017）、《排污单位自行监测技术指南 无机化学工业》（HJ 1138-2020）</w:t>
      </w:r>
      <w:r>
        <w:rPr>
          <w:color w:val="auto"/>
        </w:rPr>
        <w:t>提出了环境监测计划建议，以满足本项目大气、水、噪声等日常监测的需要；同时，根据《中华人民共和国环境保护法》规定，建设项目污染防治设施必须与主体工程同时设计、同时施工、同时投入使用，评价提出了建设项目竣工环保验收清单的建议和排污口规范化管理要求。</w:t>
      </w:r>
    </w:p>
    <w:p w14:paraId="20A85E3B">
      <w:pPr>
        <w:pStyle w:val="4"/>
        <w:rPr>
          <w:color w:val="auto"/>
        </w:rPr>
      </w:pPr>
      <w:r>
        <w:rPr>
          <w:color w:val="auto"/>
        </w:rPr>
        <w:t>公众参与结论</w:t>
      </w:r>
    </w:p>
    <w:p w14:paraId="7633BCD2">
      <w:pPr>
        <w:pStyle w:val="132"/>
        <w:rPr>
          <w:color w:val="auto"/>
        </w:rPr>
      </w:pPr>
      <w:r>
        <w:rPr>
          <w:rFonts w:hint="eastAsia"/>
          <w:color w:val="auto"/>
        </w:rPr>
        <w:t>根据《环境影响评价公众参与办法》（</w:t>
      </w:r>
      <w:r>
        <w:rPr>
          <w:color w:val="auto"/>
        </w:rPr>
        <w:t>生态环境部令第4号</w:t>
      </w:r>
      <w:r>
        <w:rPr>
          <w:rFonts w:hint="eastAsia"/>
          <w:color w:val="auto"/>
        </w:rPr>
        <w:t>）中的有关规定，建设单位在环评编制单位的协助下，在</w:t>
      </w:r>
      <w:r>
        <w:rPr>
          <w:rFonts w:hint="eastAsia"/>
          <w:color w:val="auto"/>
          <w:shd w:val="clear" w:color="auto" w:fill="FFFFFF"/>
          <w:lang w:bidi="ar"/>
        </w:rPr>
        <w:t>乌鲁木齐市生态环境保护产业协会</w:t>
      </w:r>
      <w:r>
        <w:rPr>
          <w:color w:val="auto"/>
        </w:rPr>
        <w:t>网站</w:t>
      </w:r>
      <w:r>
        <w:rPr>
          <w:rFonts w:hint="eastAsia"/>
          <w:color w:val="auto"/>
        </w:rPr>
        <w:t>向公众告知本项目的建设情况，并通过该网站对本项目环境影响报告书（征求意见稿）及其网络公众意见调查表进行公告，同期在新疆法</w:t>
      </w:r>
      <w:r>
        <w:rPr>
          <w:rFonts w:hint="eastAsia"/>
          <w:color w:val="auto"/>
          <w:lang w:val="en-US" w:eastAsia="zh-CN"/>
        </w:rPr>
        <w:t>制</w:t>
      </w:r>
      <w:r>
        <w:rPr>
          <w:rFonts w:hint="eastAsia"/>
          <w:color w:val="auto"/>
        </w:rPr>
        <w:t>报对项目环境影响报告书的环境影响评价信息进行了两次公告。向环境主管部门报送前在网站进行拟报批公示，并单独编制了</w:t>
      </w:r>
      <w:r>
        <w:rPr>
          <w:rFonts w:hint="eastAsia" w:hAnsi="宋体"/>
          <w:bCs/>
          <w:color w:val="auto"/>
        </w:rPr>
        <w:t>《新疆斯诺环保科技有限公司危废处置项目环境影响报告书环境影响报告书</w:t>
      </w:r>
      <w:r>
        <w:rPr>
          <w:rFonts w:hint="eastAsia"/>
          <w:color w:val="auto"/>
        </w:rPr>
        <w:t>公众参与说明》单行本。根据公示及调查情况，本项目公示期间未收到公众提出的反对意见。</w:t>
      </w:r>
    </w:p>
    <w:p w14:paraId="39DFB7C1">
      <w:pPr>
        <w:pStyle w:val="4"/>
        <w:rPr>
          <w:color w:val="auto"/>
        </w:rPr>
      </w:pPr>
      <w:bookmarkStart w:id="433" w:name="_Toc24383003"/>
      <w:bookmarkStart w:id="434" w:name="_Toc52308279"/>
      <w:r>
        <w:rPr>
          <w:rFonts w:hint="eastAsia"/>
          <w:color w:val="auto"/>
        </w:rPr>
        <w:t>综合</w:t>
      </w:r>
      <w:r>
        <w:rPr>
          <w:color w:val="auto"/>
        </w:rPr>
        <w:t>结论</w:t>
      </w:r>
      <w:bookmarkEnd w:id="433"/>
      <w:bookmarkEnd w:id="434"/>
    </w:p>
    <w:p w14:paraId="56993D81">
      <w:pPr>
        <w:pStyle w:val="132"/>
        <w:rPr>
          <w:color w:val="auto"/>
        </w:rPr>
      </w:pPr>
      <w:r>
        <w:rPr>
          <w:color w:val="auto"/>
        </w:rPr>
        <w:t>本项目的建设符合国家有关产业政策及环保政策的要求，符合当地规划、规划环评及环境功能区划要求。本项目采用国内成熟的先进工艺技术及节能环保装备，符合清洁生产要求；采用的各类污染防治措施适合本工程特点，在认真实施环评和设计提出的污染防治措施后，污染物排放均可达到国家相应排放标准要求，能有效减少污染物排放量，对区域环境的影响在可接受范围内。本项目配套建设环境风险防范设施并制定风险应急预案，可有效控制环境风险事故的发生，实现风险可控。本项目建成后对当地经济起到一定促进作用，具有较好的经济效益和社会效益。本项目在严格执行环保“三同时”的基础上，从环境保护的角度出发，本项目的建设是可行的。</w:t>
      </w:r>
    </w:p>
    <w:p w14:paraId="4FD96843">
      <w:pPr>
        <w:pStyle w:val="3"/>
        <w:rPr>
          <w:color w:val="auto"/>
        </w:rPr>
      </w:pPr>
      <w:bookmarkStart w:id="435" w:name="_Toc229930180"/>
      <w:r>
        <w:rPr>
          <w:rFonts w:hint="eastAsia"/>
          <w:color w:val="auto"/>
        </w:rPr>
        <w:t>建议</w:t>
      </w:r>
      <w:bookmarkEnd w:id="435"/>
    </w:p>
    <w:p w14:paraId="6281A97B">
      <w:pPr>
        <w:pStyle w:val="132"/>
        <w:rPr>
          <w:color w:val="auto"/>
        </w:rPr>
      </w:pPr>
      <w:r>
        <w:rPr>
          <w:rFonts w:hint="eastAsia"/>
          <w:color w:val="auto"/>
        </w:rPr>
        <w:t>（1）</w:t>
      </w:r>
      <w:r>
        <w:rPr>
          <w:color w:val="auto"/>
        </w:rPr>
        <w:t>进一步加强安全生产，定期组织安全生产学习，落实项目安全评价中的防范措施，积极了解本工艺生产中先进的事故防范措施，并组织实施。</w:t>
      </w:r>
    </w:p>
    <w:p w14:paraId="234FB70A">
      <w:pPr>
        <w:pStyle w:val="132"/>
        <w:rPr>
          <w:color w:val="auto"/>
        </w:rPr>
      </w:pPr>
      <w:r>
        <w:rPr>
          <w:rFonts w:hint="eastAsia"/>
          <w:color w:val="auto"/>
        </w:rPr>
        <w:t>（2</w:t>
      </w:r>
      <w:r>
        <w:rPr>
          <w:color w:val="auto"/>
        </w:rPr>
        <w:t>）项目运行后，应设专人组织学习清洁生产的有关知识，制定清洁生产制度，落实清洁生产措施，降低生产成本，使本项目达到既保护环境又增加经济效益。</w:t>
      </w:r>
    </w:p>
    <w:p w14:paraId="442DCEED">
      <w:pPr>
        <w:pStyle w:val="132"/>
        <w:rPr>
          <w:color w:val="auto"/>
        </w:rPr>
      </w:pPr>
      <w:r>
        <w:rPr>
          <w:rFonts w:hint="eastAsia"/>
          <w:color w:val="auto"/>
        </w:rPr>
        <w:t>（3</w:t>
      </w:r>
      <w:r>
        <w:rPr>
          <w:color w:val="auto"/>
        </w:rPr>
        <w:t>）要求严格执行本评价提出的环境管理措施。建立并完善环境管理机构，将其</w:t>
      </w:r>
      <w:r>
        <w:rPr>
          <w:rFonts w:hint="eastAsia"/>
          <w:color w:val="auto"/>
        </w:rPr>
        <w:t>纳入</w:t>
      </w:r>
      <w:r>
        <w:rPr>
          <w:color w:val="auto"/>
        </w:rPr>
        <w:t>生产管理的轨道，并积极主动与当地环保部门配合，</w:t>
      </w:r>
      <w:r>
        <w:rPr>
          <w:rFonts w:hint="eastAsia"/>
          <w:color w:val="auto"/>
        </w:rPr>
        <w:t>做好</w:t>
      </w:r>
      <w:r>
        <w:rPr>
          <w:color w:val="auto"/>
        </w:rPr>
        <w:t>各污染源的监测、监督工作。</w:t>
      </w:r>
    </w:p>
    <w:p w14:paraId="2C684133">
      <w:pPr>
        <w:pStyle w:val="132"/>
        <w:rPr>
          <w:color w:val="auto"/>
        </w:rPr>
      </w:pPr>
    </w:p>
    <w:p w14:paraId="369A18F8">
      <w:pPr>
        <w:pStyle w:val="2172"/>
        <w:ind w:firstLine="480"/>
        <w:rPr>
          <w:color w:val="auto"/>
        </w:rPr>
      </w:pPr>
    </w:p>
    <w:p w14:paraId="50BCBAF5">
      <w:pPr>
        <w:pStyle w:val="132"/>
        <w:rPr>
          <w:color w:val="auto"/>
        </w:rPr>
      </w:pPr>
    </w:p>
    <w:sectPr>
      <w:type w:val="continuous"/>
      <w:pgSz w:w="11906" w:h="16838"/>
      <w:pgMar w:top="1440" w:right="1588" w:bottom="1389"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roman"/>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Garamond">
    <w:panose1 w:val="02020404030301010803"/>
    <w:charset w:val="00"/>
    <w:family w:val="roman"/>
    <w:pitch w:val="default"/>
    <w:sig w:usb0="00000287" w:usb1="00000000" w:usb2="00000000" w:usb3="00000000" w:csb0="0000009F" w:csb1="DFD70000"/>
  </w:font>
  <w:font w:name="宋">
    <w:altName w:val="Times New Roman"/>
    <w:panose1 w:val="00000000000000000000"/>
    <w:charset w:val="00"/>
    <w:family w:val="auto"/>
    <w:pitch w:val="default"/>
    <w:sig w:usb0="00000000" w:usb1="00000000" w:usb2="00000000" w:usb3="00000000" w:csb0="00000000" w:csb1="00000000"/>
  </w:font>
  <w:font w:name="汉鼎简书宋">
    <w:altName w:val="宋体"/>
    <w:panose1 w:val="00000000000000000000"/>
    <w:charset w:val="86"/>
    <w:family w:val="modern"/>
    <w:pitch w:val="default"/>
    <w:sig w:usb0="00000000" w:usb1="00000000" w:usb2="00000010" w:usb3="00000000" w:csb0="00040000" w:csb1="00000000"/>
  </w:font>
  <w:font w:name="TimesNewRoman">
    <w:altName w:val="黑体"/>
    <w:panose1 w:val="00000000000000000000"/>
    <w:charset w:val="00"/>
    <w:family w:val="roman"/>
    <w:pitch w:val="default"/>
    <w:sig w:usb0="00000000" w:usb1="00000000" w:usb2="00000010"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MS Shell Dlg">
    <w:altName w:val="Microsoft Sans Serif"/>
    <w:panose1 w:val="020B0604020202020204"/>
    <w:charset w:val="00"/>
    <w:family w:val="swiss"/>
    <w:pitch w:val="default"/>
    <w:sig w:usb0="00000000" w:usb1="00000000" w:usb2="00000029" w:usb3="00000000" w:csb0="000101FF" w:csb1="00000000"/>
  </w:font>
  <w:font w:name="Microsoft Sans Serif">
    <w:panose1 w:val="020B0604020202020204"/>
    <w:charset w:val="00"/>
    <w:family w:val="auto"/>
    <w:pitch w:val="default"/>
    <w:sig w:usb0="E1002AFF" w:usb1="C0000002" w:usb2="00000008"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体">
    <w:altName w:val="宋体"/>
    <w:panose1 w:val="00000000000000000000"/>
    <w:charset w:val="86"/>
    <w:family w:val="roma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Batang">
    <w:panose1 w:val="02030600000101010101"/>
    <w:charset w:val="81"/>
    <w:family w:val="roman"/>
    <w:pitch w:val="default"/>
    <w:sig w:usb0="B00002AF" w:usb1="69D77CFB" w:usb2="00000030" w:usb3="00000000" w:csb0="4008009F" w:csb1="DFD70000"/>
  </w:font>
  <w:font w:name="Symusic">
    <w:altName w:val="Segoe Print"/>
    <w:panose1 w:val="00000400000000000000"/>
    <w:charset w:val="00"/>
    <w:family w:val="auto"/>
    <w:pitch w:val="default"/>
    <w:sig w:usb0="00000000" w:usb1="00000000" w:usb2="00000000" w:usb3="00000000" w:csb0="000001FF" w:csb1="00000000"/>
  </w:font>
  <w:font w:name="华文行楷">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Tunga">
    <w:panose1 w:val="020B0502040204020203"/>
    <w:charset w:val="00"/>
    <w:family w:val="swiss"/>
    <w:pitch w:val="default"/>
    <w:sig w:usb0="00400003"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Franklin Gothic Medium">
    <w:panose1 w:val="020B0603020102020204"/>
    <w:charset w:val="00"/>
    <w:family w:val="swiss"/>
    <w:pitch w:val="default"/>
    <w:sig w:usb0="00000287" w:usb1="00000000" w:usb2="00000000" w:usb3="00000000" w:csb0="2000009F" w:csb1="DFD70000"/>
  </w:font>
  <w:font w:name="New York">
    <w:altName w:val="DejaVu Math TeX Gyre"/>
    <w:panose1 w:val="02040503060506020304"/>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新宋体">
    <w:panose1 w:val="02010609030101010101"/>
    <w:charset w:val="86"/>
    <w:family w:val="modern"/>
    <w:pitch w:val="default"/>
    <w:sig w:usb0="00000003" w:usb1="288F0000" w:usb2="0000000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创艺简楷体">
    <w:altName w:val="黑体"/>
    <w:panose1 w:val="00000000000000000000"/>
    <w:charset w:val="86"/>
    <w:family w:val="auto"/>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长城楷体">
    <w:altName w:val="黑体"/>
    <w:panose1 w:val="00000000000000000000"/>
    <w:charset w:val="86"/>
    <w:family w:val="modern"/>
    <w:pitch w:val="default"/>
    <w:sig w:usb0="00000000" w:usb1="00000000" w:usb2="00000010" w:usb3="00000000" w:csb0="00040000" w:csb1="00000000"/>
  </w:font>
  <w:font w:name="Bodoni PosterCompressed">
    <w:altName w:val="MS PGothic"/>
    <w:panose1 w:val="00000000000000000000"/>
    <w:charset w:val="00"/>
    <w:family w:val="roman"/>
    <w:pitch w:val="default"/>
    <w:sig w:usb0="00000000" w:usb1="00000000" w:usb2="00000000" w:usb3="00000000" w:csb0="00000093" w:csb1="00000000"/>
  </w:font>
  <w:font w:name="MS PGothic">
    <w:panose1 w:val="020B0600070205080204"/>
    <w:charset w:val="80"/>
    <w:family w:val="auto"/>
    <w:pitch w:val="default"/>
    <w:sig w:usb0="E00002FF" w:usb1="6AC7FDFB" w:usb2="00000012" w:usb3="00000000" w:csb0="4002009F" w:csb1="DFD70000"/>
  </w:font>
  <w:font w:name="汉仪中黑简">
    <w:altName w:val="黑体"/>
    <w:panose1 w:val="02010600000101010101"/>
    <w:charset w:val="86"/>
    <w:family w:val="modern"/>
    <w:pitch w:val="default"/>
    <w:sig w:usb0="00000000" w:usb1="00000000" w:usb2="00000002" w:usb3="00000000" w:csb0="00040000" w:csb1="00000000"/>
  </w:font>
  <w:font w:name="华文细黑">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Times New Roman Regular">
    <w:altName w:val="Times New Roman"/>
    <w:panose1 w:val="00000000000000000000"/>
    <w:charset w:val="00"/>
    <w:family w:val="auto"/>
    <w:pitch w:val="default"/>
    <w:sig w:usb0="00000000" w:usb1="00000000" w:usb2="00000009" w:usb3="00000000" w:csb0="400001FF" w:csb1="FFFF0000"/>
  </w:font>
  <w:font w:name="Segoe UI Symbol">
    <w:panose1 w:val="020B0502040204020203"/>
    <w:charset w:val="00"/>
    <w:family w:val="swiss"/>
    <w:pitch w:val="default"/>
    <w:sig w:usb0="8000006F" w:usb1="1200FBEF" w:usb2="0004C000" w:usb3="00000000" w:csb0="00000001" w:csb1="40000000"/>
  </w:font>
  <w:font w:name="华文楷体">
    <w:panose1 w:val="02010600040101010101"/>
    <w:charset w:val="86"/>
    <w:family w:val="auto"/>
    <w:pitch w:val="default"/>
    <w:sig w:usb0="00000287" w:usb1="080F0000" w:usb2="00000000" w:usb3="00000000" w:csb0="0004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F8BC3">
    <w:pPr>
      <w:pStyle w:val="49"/>
      <w:pBdr>
        <w:top w:val="single" w:color="auto" w:sz="8" w:space="2"/>
      </w:pBdr>
      <w:tabs>
        <w:tab w:val="right" w:pos="8364"/>
        <w:tab w:val="clear" w:pos="4153"/>
        <w:tab w:val="clear" w:pos="8306"/>
      </w:tabs>
      <w:ind w:right="-54" w:rightChars="-27" w:firstLine="188" w:firstLineChars="100"/>
      <w:jc w:val="center"/>
      <w:rPr>
        <w:rFonts w:eastAsia="黑体"/>
        <w:spacing w:val="-6"/>
        <w:sz w:val="20"/>
        <w:szCs w:val="20"/>
        <w14:shadow w14:blurRad="50800" w14:dist="38100" w14:dir="2700000" w14:sx="100000" w14:sy="100000" w14:kx="0" w14:ky="0" w14:algn="tl">
          <w14:srgbClr w14:val="000000">
            <w14:alpha w14:val="60000"/>
          </w14:srgbClr>
        </w14:shadow>
      </w:rPr>
    </w:pP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E9C43">
    <w:pPr>
      <w:pStyle w:val="49"/>
      <w:pBdr>
        <w:top w:val="single" w:color="auto" w:sz="8" w:space="2"/>
      </w:pBdr>
      <w:tabs>
        <w:tab w:val="right" w:pos="8364"/>
        <w:tab w:val="clear" w:pos="4153"/>
        <w:tab w:val="clear" w:pos="8306"/>
      </w:tabs>
      <w:ind w:right="-54" w:rightChars="-27" w:firstLine="200" w:firstLineChars="100"/>
      <w:jc w:val="center"/>
      <w:rPr>
        <w:rFonts w:eastAsia="黑体"/>
        <w:spacing w:val="-6"/>
        <w:sz w:val="20"/>
        <w:szCs w:val="20"/>
        <w14:shadow w14:blurRad="50800" w14:dist="38100" w14:dir="2700000" w14:sx="100000" w14:sy="100000" w14:kx="0" w14:ky="0" w14:algn="tl">
          <w14:srgbClr w14:val="000000">
            <w14:alpha w14:val="60000"/>
          </w14:srgbClr>
        </w14:shadow>
      </w:rPr>
    </w:pPr>
    <w:r>
      <w:rPr>
        <w:rFonts w:eastAsia="黑体"/>
        <w:sz w:val="20"/>
        <w:szCs w:val="20"/>
        <w:lang w:val="zh-CN"/>
      </w:rPr>
      <w:fldChar w:fldCharType="begin"/>
    </w:r>
    <w:r>
      <w:rPr>
        <w:rFonts w:eastAsia="黑体"/>
        <w:sz w:val="20"/>
        <w:szCs w:val="20"/>
        <w:lang w:val="zh-CN"/>
      </w:rPr>
      <w:instrText xml:space="preserve"> PAGE   \* MERGEFORMAT </w:instrText>
    </w:r>
    <w:r>
      <w:rPr>
        <w:rFonts w:eastAsia="黑体"/>
        <w:sz w:val="20"/>
        <w:szCs w:val="20"/>
        <w:lang w:val="zh-CN"/>
      </w:rPr>
      <w:fldChar w:fldCharType="separate"/>
    </w:r>
    <w:r>
      <w:rPr>
        <w:rFonts w:eastAsia="黑体"/>
        <w:sz w:val="20"/>
        <w:szCs w:val="20"/>
        <w:lang w:val="zh-CN"/>
      </w:rPr>
      <w:t>128</w:t>
    </w:r>
    <w:r>
      <w:rPr>
        <w:rFonts w:eastAsia="黑体"/>
        <w:sz w:val="20"/>
        <w:szCs w:val="20"/>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AC41D">
    <w:pPr>
      <w:pStyle w:val="49"/>
      <w:pBdr>
        <w:top w:val="single" w:color="auto" w:sz="8" w:space="2"/>
      </w:pBdr>
      <w:tabs>
        <w:tab w:val="right" w:pos="8364"/>
        <w:tab w:val="clear" w:pos="4153"/>
        <w:tab w:val="clear" w:pos="8306"/>
      </w:tabs>
      <w:ind w:right="-54" w:rightChars="-27" w:firstLine="188" w:firstLineChars="100"/>
      <w:rPr>
        <w:rFonts w:eastAsia="黑体"/>
        <w:spacing w:val="-6"/>
        <w:sz w:val="20"/>
        <w:szCs w:val="20"/>
        <w14:shadow w14:blurRad="50800" w14:dist="38100" w14:dir="2700000" w14:sx="100000" w14:sy="100000" w14:kx="0" w14:ky="0" w14:algn="tl">
          <w14:srgbClr w14:val="000000">
            <w14:alpha w14:val="60000"/>
          </w14:srgbClr>
        </w14:shadow>
      </w:rPr>
    </w:pPr>
    <w:r>
      <w:rPr>
        <w:rFonts w:hint="eastAsia" w:hAnsi="黑体" w:eastAsia="黑体"/>
        <w:spacing w:val="-6"/>
        <w:sz w:val="20"/>
        <w:szCs w:val="20"/>
        <w14:shadow w14:blurRad="50800" w14:dist="38100" w14:dir="2700000" w14:sx="100000" w14:sy="100000" w14:kx="0" w14:ky="0" w14:algn="tl">
          <w14:srgbClr w14:val="000000">
            <w14:alpha w14:val="60000"/>
          </w14:srgbClr>
        </w14:shadow>
      </w:rPr>
      <w:t xml:space="preserve">                                                                  </w:t>
    </w:r>
    <w:r>
      <w:rPr>
        <w:rFonts w:eastAsia="黑体"/>
        <w:sz w:val="20"/>
        <w:szCs w:val="20"/>
        <w:lang w:val="zh-CN"/>
      </w:rPr>
      <w:fldChar w:fldCharType="begin"/>
    </w:r>
    <w:r>
      <w:rPr>
        <w:rFonts w:eastAsia="黑体"/>
        <w:sz w:val="20"/>
        <w:szCs w:val="20"/>
        <w:lang w:val="zh-CN"/>
      </w:rPr>
      <w:instrText xml:space="preserve"> PAGE   \* MERGEFORMAT </w:instrText>
    </w:r>
    <w:r>
      <w:rPr>
        <w:rFonts w:eastAsia="黑体"/>
        <w:sz w:val="20"/>
        <w:szCs w:val="20"/>
        <w:lang w:val="zh-CN"/>
      </w:rPr>
      <w:fldChar w:fldCharType="separate"/>
    </w:r>
    <w:r>
      <w:rPr>
        <w:rFonts w:eastAsia="黑体"/>
        <w:sz w:val="20"/>
        <w:szCs w:val="20"/>
        <w:lang w:val="zh-CN"/>
      </w:rPr>
      <w:t>128</w:t>
    </w:r>
    <w:r>
      <w:rPr>
        <w:rFonts w:eastAsia="黑体"/>
        <w:sz w:val="20"/>
        <w:szCs w:val="20"/>
        <w:lang w:val="zh-CN"/>
      </w:rPr>
      <w:fldChar w:fldCharType="end"/>
    </w:r>
    <w:r>
      <w:rPr>
        <w:rFonts w:hint="eastAsia" w:eastAsia="黑体"/>
        <w:spacing w:val="-6"/>
        <w:sz w:val="20"/>
        <w:szCs w:val="20"/>
        <w:lang w:val="zh-CN"/>
        <w14:shadow w14:blurRad="50800" w14:dist="38100" w14:dir="2700000" w14:sx="100000" w14:sy="100000" w14:kx="0" w14:ky="0" w14:algn="tl">
          <w14:srgbClr w14:val="000000">
            <w14:alpha w14:val="60000"/>
          </w14:srgbClr>
        </w14:shadow>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E023C">
    <w:pPr>
      <w:pStyle w:val="49"/>
      <w:pBdr>
        <w:top w:val="single" w:color="auto" w:sz="8" w:space="2"/>
      </w:pBdr>
      <w:tabs>
        <w:tab w:val="right" w:pos="8364"/>
        <w:tab w:val="clear" w:pos="4153"/>
        <w:tab w:val="clear" w:pos="8306"/>
      </w:tabs>
      <w:ind w:right="-54" w:rightChars="-27" w:firstLine="200" w:firstLineChars="100"/>
      <w:jc w:val="center"/>
      <w:rPr>
        <w:rFonts w:eastAsia="黑体"/>
        <w:spacing w:val="-6"/>
        <w:sz w:val="20"/>
        <w:szCs w:val="20"/>
        <w14:shadow w14:blurRad="50800" w14:dist="38100" w14:dir="2700000" w14:sx="100000" w14:sy="100000" w14:kx="0" w14:ky="0" w14:algn="tl">
          <w14:srgbClr w14:val="000000">
            <w14:alpha w14:val="60000"/>
          </w14:srgbClr>
        </w14:shadow>
      </w:rPr>
    </w:pPr>
    <w:r>
      <w:rPr>
        <w:rFonts w:eastAsia="黑体"/>
        <w:sz w:val="20"/>
        <w:szCs w:val="20"/>
        <w:lang w:val="zh-CN"/>
      </w:rPr>
      <w:fldChar w:fldCharType="begin"/>
    </w:r>
    <w:r>
      <w:rPr>
        <w:rFonts w:eastAsia="黑体"/>
        <w:sz w:val="20"/>
        <w:szCs w:val="20"/>
        <w:lang w:val="zh-CN"/>
      </w:rPr>
      <w:instrText xml:space="preserve"> PAGE   \* MERGEFORMAT </w:instrText>
    </w:r>
    <w:r>
      <w:rPr>
        <w:rFonts w:eastAsia="黑体"/>
        <w:sz w:val="20"/>
        <w:szCs w:val="20"/>
        <w:lang w:val="zh-CN"/>
      </w:rPr>
      <w:fldChar w:fldCharType="separate"/>
    </w:r>
    <w:r>
      <w:rPr>
        <w:rFonts w:eastAsia="黑体"/>
        <w:sz w:val="20"/>
        <w:szCs w:val="20"/>
        <w:lang w:val="zh-CN"/>
      </w:rPr>
      <w:t>128</w:t>
    </w:r>
    <w:r>
      <w:rPr>
        <w:rFonts w:eastAsia="黑体"/>
        <w:sz w:val="20"/>
        <w:szCs w:val="20"/>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B79CB">
    <w:pPr>
      <w:pStyle w:val="49"/>
      <w:pBdr>
        <w:top w:val="single" w:color="auto" w:sz="8" w:space="0"/>
      </w:pBdr>
      <w:tabs>
        <w:tab w:val="right" w:pos="8364"/>
        <w:tab w:val="clear" w:pos="4153"/>
        <w:tab w:val="clear" w:pos="8306"/>
      </w:tabs>
      <w:ind w:right="-54" w:rightChars="-27" w:firstLine="188" w:firstLineChars="100"/>
      <w:jc w:val="center"/>
      <w:rPr>
        <w:rFonts w:eastAsia="黑体"/>
        <w:spacing w:val="-6"/>
        <w:sz w:val="20"/>
        <w:szCs w:val="20"/>
        <w14:shadow w14:blurRad="50800" w14:dist="38100" w14:dir="2700000" w14:sx="100000" w14:sy="100000" w14:kx="0" w14:ky="0" w14:algn="tl">
          <w14:srgbClr w14:val="000000">
            <w14:alpha w14:val="60000"/>
          </w14:srgbClr>
        </w14:shadow>
      </w:rPr>
    </w:pP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688E6">
    <w:pPr>
      <w:pStyle w:val="49"/>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42CCE">
    <w:pPr>
      <w:pStyle w:val="49"/>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B2479">
    <w:pPr>
      <w:pStyle w:val="49"/>
      <w:spacing w:before="120"/>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76823">
    <w:pPr>
      <w:pStyle w:val="49"/>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664D">
    <w:pPr>
      <w:pStyle w:val="49"/>
      <w:framePr w:wrap="around" w:vAnchor="text" w:hAnchor="margin" w:xAlign="center" w:y="1"/>
      <w:rPr>
        <w:rStyle w:val="111"/>
      </w:rPr>
    </w:pPr>
    <w:r>
      <w:rPr>
        <w:rStyle w:val="111"/>
      </w:rPr>
      <w:fldChar w:fldCharType="begin"/>
    </w:r>
    <w:r>
      <w:rPr>
        <w:rStyle w:val="111"/>
      </w:rPr>
      <w:instrText xml:space="preserve">PAGE  </w:instrText>
    </w:r>
    <w:r>
      <w:rPr>
        <w:rStyle w:val="111"/>
      </w:rPr>
      <w:fldChar w:fldCharType="end"/>
    </w:r>
  </w:p>
  <w:p w14:paraId="4262807F">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2CDD6">
    <w:pPr>
      <w:pStyle w:val="49"/>
      <w:pBdr>
        <w:top w:val="single" w:color="auto" w:sz="8" w:space="2"/>
      </w:pBdr>
      <w:tabs>
        <w:tab w:val="right" w:pos="8364"/>
        <w:tab w:val="clear" w:pos="4153"/>
        <w:tab w:val="clear" w:pos="8306"/>
      </w:tabs>
      <w:ind w:right="-54" w:rightChars="-27" w:firstLine="188" w:firstLineChars="100"/>
      <w:rPr>
        <w:rFonts w:eastAsia="黑体"/>
        <w:spacing w:val="-6"/>
        <w:sz w:val="20"/>
        <w:szCs w:val="20"/>
        <w14:shadow w14:blurRad="50800" w14:dist="38100" w14:dir="2700000" w14:sx="100000" w14:sy="100000" w14:kx="0" w14:ky="0" w14:algn="tl">
          <w14:srgbClr w14:val="000000">
            <w14:alpha w14:val="60000"/>
          </w14:srgbClr>
        </w14:shadow>
      </w:rPr>
    </w:pPr>
    <w:r>
      <w:rPr>
        <w:rFonts w:hint="eastAsia" w:hAnsi="黑体" w:eastAsia="黑体"/>
        <w:spacing w:val="-6"/>
        <w:sz w:val="20"/>
        <w:szCs w:val="20"/>
        <w14:shadow w14:blurRad="50800" w14:dist="38100" w14:dir="2700000" w14:sx="100000" w14:sy="100000" w14:kx="0" w14:ky="0" w14:algn="tl">
          <w14:srgbClr w14:val="000000">
            <w14:alpha w14:val="60000"/>
          </w14:srgbClr>
        </w14:shadow>
      </w:rPr>
      <w:t xml:space="preserve">                                                                </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r>
      <w:rPr>
        <w:rFonts w:hint="eastAsia" w:eastAsia="黑体"/>
        <w:spacing w:val="-6"/>
        <w:sz w:val="20"/>
        <w:szCs w:val="20"/>
        <w:lang w:val="zh-CN"/>
        <w14:shadow w14:blurRad="50800" w14:dist="38100" w14:dir="2700000" w14:sx="100000" w14:sy="100000" w14:kx="0" w14:ky="0" w14:algn="tl">
          <w14:srgbClr w14:val="000000">
            <w14:alpha w14:val="60000"/>
          </w14:srgbClr>
        </w14:shadow>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C43D5">
    <w:pPr>
      <w:pStyle w:val="49"/>
      <w:pBdr>
        <w:top w:val="single" w:color="auto" w:sz="8" w:space="2"/>
      </w:pBdr>
      <w:tabs>
        <w:tab w:val="right" w:pos="8364"/>
        <w:tab w:val="clear" w:pos="4153"/>
        <w:tab w:val="clear" w:pos="8306"/>
      </w:tabs>
      <w:ind w:right="-54" w:rightChars="-27" w:firstLine="188" w:firstLineChars="100"/>
      <w:rPr>
        <w:rFonts w:eastAsia="黑体"/>
        <w:spacing w:val="-6"/>
        <w:sz w:val="20"/>
        <w:szCs w:val="20"/>
        <w14:shadow w14:blurRad="50800" w14:dist="38100" w14:dir="2700000" w14:sx="100000" w14:sy="100000" w14:kx="0" w14:ky="0" w14:algn="tl">
          <w14:srgbClr w14:val="000000">
            <w14:alpha w14:val="60000"/>
          </w14:srgbClr>
        </w14:shadow>
      </w:rPr>
    </w:pPr>
    <w:r>
      <w:rPr>
        <w:rFonts w:hint="eastAsia" w:hAnsi="黑体" w:eastAsia="黑体"/>
        <w:spacing w:val="-6"/>
        <w:sz w:val="20"/>
        <w:szCs w:val="20"/>
        <w14:shadow w14:blurRad="50800" w14:dist="38100" w14:dir="2700000" w14:sx="100000" w14:sy="100000" w14:kx="0" w14:ky="0" w14:algn="tl">
          <w14:srgbClr w14:val="000000">
            <w14:alpha w14:val="60000"/>
          </w14:srgbClr>
        </w14:shadow>
      </w:rPr>
      <w:t xml:space="preserve">                                          </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r>
      <w:rPr>
        <w:rFonts w:hint="eastAsia" w:eastAsia="黑体"/>
        <w:spacing w:val="-6"/>
        <w:sz w:val="20"/>
        <w:szCs w:val="20"/>
        <w:lang w:val="zh-CN"/>
        <w14:shadow w14:blurRad="50800" w14:dist="38100" w14:dir="2700000" w14:sx="100000" w14:sy="100000" w14:kx="0" w14:ky="0" w14:algn="tl">
          <w14:srgbClr w14:val="000000">
            <w14:alpha w14:val="60000"/>
          </w14:srgbClr>
        </w14:shadow>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BC89D">
    <w:pPr>
      <w:pStyle w:val="49"/>
      <w:pBdr>
        <w:top w:val="single" w:color="auto" w:sz="8" w:space="2"/>
      </w:pBdr>
      <w:tabs>
        <w:tab w:val="right" w:pos="8364"/>
        <w:tab w:val="clear" w:pos="4153"/>
        <w:tab w:val="clear" w:pos="8306"/>
      </w:tabs>
      <w:ind w:right="-54" w:rightChars="-27" w:firstLine="188" w:firstLineChars="100"/>
      <w:rPr>
        <w:rFonts w:eastAsia="黑体"/>
        <w:spacing w:val="-6"/>
        <w:sz w:val="20"/>
        <w:szCs w:val="20"/>
        <w14:shadow w14:blurRad="50800" w14:dist="38100" w14:dir="2700000" w14:sx="100000" w14:sy="100000" w14:kx="0" w14:ky="0" w14:algn="tl">
          <w14:srgbClr w14:val="000000">
            <w14:alpha w14:val="60000"/>
          </w14:srgbClr>
        </w14:shadow>
      </w:rPr>
    </w:pPr>
    <w:r>
      <w:rPr>
        <w:rFonts w:hint="eastAsia" w:hAnsi="黑体" w:eastAsia="黑体"/>
        <w:spacing w:val="-6"/>
        <w:sz w:val="20"/>
        <w:szCs w:val="20"/>
        <w14:shadow w14:blurRad="50800" w14:dist="38100" w14:dir="2700000" w14:sx="100000" w14:sy="100000" w14:kx="0" w14:ky="0" w14:algn="tl">
          <w14:srgbClr w14:val="000000">
            <w14:alpha w14:val="60000"/>
          </w14:srgbClr>
        </w14:shadow>
      </w:rPr>
      <w:t xml:space="preserve">                                                                </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r>
      <w:rPr>
        <w:rFonts w:hint="eastAsia" w:eastAsia="黑体"/>
        <w:spacing w:val="-6"/>
        <w:sz w:val="20"/>
        <w:szCs w:val="20"/>
        <w:lang w:val="zh-CN"/>
        <w14:shadow w14:blurRad="50800" w14:dist="38100" w14:dir="2700000" w14:sx="100000" w14:sy="100000" w14:kx="0" w14:ky="0" w14:algn="tl">
          <w14:srgbClr w14:val="000000">
            <w14:alpha w14:val="60000"/>
          </w14:srgbClr>
        </w14:shadow>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C8E5A">
    <w:pPr>
      <w:pStyle w:val="49"/>
      <w:pBdr>
        <w:top w:val="single" w:color="auto" w:sz="8" w:space="2"/>
      </w:pBdr>
      <w:tabs>
        <w:tab w:val="right" w:pos="8364"/>
        <w:tab w:val="clear" w:pos="4153"/>
        <w:tab w:val="clear" w:pos="8306"/>
      </w:tabs>
      <w:ind w:right="-54" w:rightChars="-27" w:firstLine="188" w:firstLineChars="100"/>
      <w:rPr>
        <w:rFonts w:eastAsia="黑体"/>
        <w:spacing w:val="-6"/>
        <w:sz w:val="20"/>
        <w:szCs w:val="20"/>
        <w14:shadow w14:blurRad="50800" w14:dist="38100" w14:dir="2700000" w14:sx="100000" w14:sy="100000" w14:kx="0" w14:ky="0" w14:algn="tl">
          <w14:srgbClr w14:val="000000">
            <w14:alpha w14:val="60000"/>
          </w14:srgbClr>
        </w14:shadow>
      </w:rPr>
    </w:pPr>
    <w:r>
      <w:rPr>
        <w:rFonts w:hint="eastAsia" w:hAnsi="黑体" w:eastAsia="黑体"/>
        <w:spacing w:val="-6"/>
        <w:sz w:val="20"/>
        <w:szCs w:val="20"/>
        <w14:shadow w14:blurRad="50800" w14:dist="38100" w14:dir="2700000" w14:sx="100000" w14:sy="100000" w14:kx="0" w14:ky="0" w14:algn="tl">
          <w14:srgbClr w14:val="000000">
            <w14:alpha w14:val="60000"/>
          </w14:srgbClr>
        </w14:shadow>
      </w:rPr>
      <w:t xml:space="preserve">                                           </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r>
      <w:rPr>
        <w:rFonts w:hint="eastAsia" w:eastAsia="黑体"/>
        <w:spacing w:val="-6"/>
        <w:sz w:val="20"/>
        <w:szCs w:val="20"/>
        <w:lang w:val="zh-CN"/>
        <w14:shadow w14:blurRad="50800" w14:dist="38100" w14:dir="2700000" w14:sx="100000" w14:sy="100000" w14:kx="0" w14:ky="0" w14:algn="tl">
          <w14:srgbClr w14:val="000000">
            <w14:alpha w14:val="60000"/>
          </w14:srgbClr>
        </w14:shadow>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6E09E">
    <w:pPr>
      <w:pStyle w:val="49"/>
      <w:pBdr>
        <w:top w:val="single" w:color="auto" w:sz="8" w:space="2"/>
      </w:pBdr>
      <w:tabs>
        <w:tab w:val="right" w:pos="8364"/>
        <w:tab w:val="clear" w:pos="4153"/>
        <w:tab w:val="clear" w:pos="8306"/>
      </w:tabs>
      <w:ind w:right="-54" w:rightChars="-27" w:firstLine="188" w:firstLineChars="100"/>
      <w:jc w:val="center"/>
      <w:rPr>
        <w:rFonts w:eastAsia="黑体"/>
        <w:spacing w:val="-6"/>
        <w:sz w:val="20"/>
        <w:szCs w:val="20"/>
        <w14:shadow w14:blurRad="50800" w14:dist="38100" w14:dir="2700000" w14:sx="100000" w14:sy="100000" w14:kx="0" w14:ky="0" w14:algn="tl">
          <w14:srgbClr w14:val="000000">
            <w14:alpha w14:val="60000"/>
          </w14:srgbClr>
        </w14:shadow>
      </w:rPr>
    </w:pP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752EB">
    <w:pPr>
      <w:pStyle w:val="49"/>
      <w:pBdr>
        <w:top w:val="single" w:color="auto" w:sz="8" w:space="2"/>
      </w:pBdr>
      <w:tabs>
        <w:tab w:val="right" w:pos="8364"/>
        <w:tab w:val="clear" w:pos="4153"/>
        <w:tab w:val="clear" w:pos="8306"/>
      </w:tabs>
      <w:ind w:right="-54" w:rightChars="-27" w:firstLine="188" w:firstLineChars="100"/>
      <w:jc w:val="center"/>
      <w:rPr>
        <w:rFonts w:eastAsia="黑体"/>
        <w:spacing w:val="-6"/>
        <w:sz w:val="20"/>
        <w:szCs w:val="20"/>
        <w14:shadow w14:blurRad="50800" w14:dist="38100" w14:dir="2700000" w14:sx="100000" w14:sy="100000" w14:kx="0" w14:ky="0" w14:algn="tl">
          <w14:srgbClr w14:val="000000">
            <w14:alpha w14:val="60000"/>
          </w14:srgbClr>
        </w14:shadow>
      </w:rPr>
    </w:pP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29FC6">
    <w:pPr>
      <w:pStyle w:val="49"/>
      <w:pBdr>
        <w:top w:val="single" w:color="auto" w:sz="8" w:space="2"/>
      </w:pBdr>
      <w:tabs>
        <w:tab w:val="right" w:pos="8364"/>
        <w:tab w:val="clear" w:pos="4153"/>
        <w:tab w:val="clear" w:pos="8306"/>
      </w:tabs>
      <w:ind w:right="-54" w:rightChars="-27" w:firstLine="188" w:firstLineChars="100"/>
      <w:jc w:val="center"/>
      <w:rPr>
        <w:rFonts w:eastAsia="黑体"/>
        <w:spacing w:val="-6"/>
        <w:sz w:val="20"/>
        <w:szCs w:val="20"/>
        <w14:shadow w14:blurRad="50800" w14:dist="38100" w14:dir="2700000" w14:sx="100000" w14:sy="100000" w14:kx="0" w14:ky="0" w14:algn="tl">
          <w14:srgbClr w14:val="000000">
            <w14:alpha w14:val="60000"/>
          </w14:srgbClr>
        </w14:shadow>
      </w:rPr>
    </w:pP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begin"/>
    </w:r>
    <w:r>
      <w:rPr>
        <w:rFonts w:eastAsia="黑体"/>
        <w:spacing w:val="-6"/>
        <w:sz w:val="20"/>
        <w:szCs w:val="20"/>
        <w:lang w:val="zh-CN"/>
        <w14:shadow w14:blurRad="50800" w14:dist="38100" w14:dir="2700000" w14:sx="100000" w14:sy="100000" w14:kx="0" w14:ky="0" w14:algn="tl">
          <w14:srgbClr w14:val="000000">
            <w14:alpha w14:val="60000"/>
          </w14:srgbClr>
        </w14:shadow>
      </w:rPr>
      <w:instrText xml:space="preserve"> PAGE   \* MERGEFORMAT </w:instrTex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separate"/>
    </w:r>
    <w:r>
      <w:rPr>
        <w:rFonts w:eastAsia="黑体"/>
        <w:spacing w:val="-6"/>
        <w:sz w:val="20"/>
        <w:szCs w:val="20"/>
        <w:lang w:val="zh-CN"/>
        <w14:shadow w14:blurRad="50800" w14:dist="38100" w14:dir="2700000" w14:sx="100000" w14:sy="100000" w14:kx="0" w14:ky="0" w14:algn="tl">
          <w14:srgbClr w14:val="000000">
            <w14:alpha w14:val="60000"/>
          </w14:srgbClr>
        </w14:shadow>
      </w:rPr>
      <w:t>128</w:t>
    </w:r>
    <w:r>
      <w:rPr>
        <w:rFonts w:eastAsia="黑体"/>
        <w:spacing w:val="-6"/>
        <w:sz w:val="20"/>
        <w:szCs w:val="20"/>
        <w:lang w:val="zh-CN"/>
        <w14:shadow w14:blurRad="50800" w14:dist="38100" w14:dir="2700000" w14:sx="100000" w14:sy="100000" w14:kx="0" w14:ky="0" w14:algn="tl">
          <w14:srgbClr w14:val="000000">
            <w14:alpha w14:val="60000"/>
          </w14:srgbClr>
        </w14:shadow>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B3314">
    <w:pPr>
      <w:pStyle w:val="5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11AB5">
    <w:pPr>
      <w:pStyle w:val="51"/>
      <w:pBdr>
        <w:top w:val="none" w:color="auto" w:sz="0" w:space="0"/>
        <w:left w:val="none" w:color="auto" w:sz="0" w:space="0"/>
        <w:bottom w:val="none" w:color="auto" w:sz="0" w:space="1"/>
        <w:right w:val="none" w:color="auto" w:sz="0" w:space="0"/>
        <w:between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533F4">
    <w:pPr>
      <w:pStyle w:val="5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A4FD0">
    <w:pPr>
      <w:pStyle w:val="51"/>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C10E0">
    <w:pPr>
      <w:pStyle w:val="5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C428C">
    <w:pPr>
      <w:pStyle w:val="5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942F79"/>
    <w:multiLevelType w:val="multilevel"/>
    <w:tmpl w:val="05942F79"/>
    <w:lvl w:ilvl="0" w:tentative="0">
      <w:start w:val="1"/>
      <w:numFmt w:val="decimal"/>
      <w:suff w:val="nothing"/>
      <w:lvlText w:val="（%1）"/>
      <w:lvlJc w:val="left"/>
      <w:pPr>
        <w:ind w:left="0" w:firstLine="480"/>
      </w:pPr>
      <w:rPr>
        <w:rFonts w:hint="default"/>
        <w:color w:val="000000" w:themeColor="text1"/>
        <w:lang w:val="en-US"/>
        <w14:textFill>
          <w14:solidFill>
            <w14:schemeClr w14:val="tx1"/>
          </w14:solidFill>
        </w14:textFill>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
    <w:nsid w:val="0BCE204E"/>
    <w:multiLevelType w:val="multilevel"/>
    <w:tmpl w:val="0BCE204E"/>
    <w:lvl w:ilvl="0" w:tentative="0">
      <w:start w:val="1"/>
      <w:numFmt w:val="decimalEnclosedCircle"/>
      <w:lvlText w:val="%1"/>
      <w:lvlJc w:val="left"/>
      <w:pPr>
        <w:ind w:left="920" w:hanging="440"/>
      </w:pPr>
      <w:rPr>
        <w:rFonts w:hint="default" w:asciiTheme="minorEastAsia" w:hAnsiTheme="minorEastAsia" w:eastAsiaTheme="minor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0F0B53E9"/>
    <w:multiLevelType w:val="multilevel"/>
    <w:tmpl w:val="0F0B53E9"/>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169162DA"/>
    <w:multiLevelType w:val="multilevel"/>
    <w:tmpl w:val="169162DA"/>
    <w:lvl w:ilvl="0" w:tentative="0">
      <w:start w:val="1"/>
      <w:numFmt w:val="decimal"/>
      <w:pStyle w:val="2"/>
      <w:suff w:val="nothing"/>
      <w:lvlText w:val="第%1章  "/>
      <w:lvlJc w:val="center"/>
      <w:pPr>
        <w:ind w:left="3543" w:firstLine="0"/>
      </w:pPr>
      <w:rPr>
        <w:rFonts w:hint="default" w:ascii="Times New Roman" w:hAnsi="Times New Roman" w:eastAsia="黑体" w:cs="Times New Roman"/>
        <w:b/>
        <w:i w:val="0"/>
        <w:sz w:val="36"/>
        <w:szCs w:val="36"/>
      </w:rPr>
    </w:lvl>
    <w:lvl w:ilvl="1" w:tentative="0">
      <w:start w:val="1"/>
      <w:numFmt w:val="decimal"/>
      <w:pStyle w:val="3"/>
      <w:isLgl/>
      <w:suff w:val="nothing"/>
      <w:lvlText w:val="%1.%2 "/>
      <w:lvlJc w:val="left"/>
      <w:pPr>
        <w:ind w:left="0" w:firstLine="0"/>
      </w:pPr>
      <w:rPr>
        <w:rFonts w:hint="eastAsia"/>
      </w:rPr>
    </w:lvl>
    <w:lvl w:ilvl="2" w:tentative="0">
      <w:start w:val="1"/>
      <w:numFmt w:val="decimal"/>
      <w:pStyle w:val="4"/>
      <w:isLgl/>
      <w:suff w:val="nothing"/>
      <w:lvlText w:val="%1.%2.%3 "/>
      <w:lvlJc w:val="left"/>
      <w:pPr>
        <w:ind w:left="0" w:firstLine="0"/>
      </w:pPr>
      <w:rPr>
        <w:rFonts w:hint="eastAsia" w:cs="Times New Roman"/>
        <w:b/>
        <w:bCs w:val="0"/>
        <w:i w:val="0"/>
        <w:iCs w:val="0"/>
        <w:caps w:val="0"/>
        <w:smallCaps w:val="0"/>
        <w:strike w:val="0"/>
        <w:dstrike w:val="0"/>
        <w:vanish w:val="0"/>
        <w:color w:val="000000"/>
        <w:spacing w:val="0"/>
        <w:position w:val="0"/>
        <w:sz w:val="26"/>
        <w:szCs w:val="26"/>
        <w:u w:val="none"/>
        <w:vertAlign w:val="baseline"/>
        <w14:shadow w14:blurRad="0" w14:dist="0" w14:dir="0" w14:sx="0" w14:sy="0" w14:kx="0" w14:ky="0" w14:algn="none">
          <w14:srgbClr w14:val="000000"/>
        </w14:shadow>
      </w:rPr>
    </w:lvl>
    <w:lvl w:ilvl="3" w:tentative="0">
      <w:start w:val="1"/>
      <w:numFmt w:val="decimal"/>
      <w:pStyle w:val="5"/>
      <w:isLgl/>
      <w:suff w:val="nothing"/>
      <w:lvlText w:val="%1.%2.%3.%4 "/>
      <w:lvlJc w:val="left"/>
      <w:pPr>
        <w:ind w:left="0" w:firstLine="0"/>
      </w:pPr>
    </w:lvl>
    <w:lvl w:ilvl="4" w:tentative="0">
      <w:start w:val="1"/>
      <w:numFmt w:val="decimal"/>
      <w:isLgl/>
      <w:suff w:val="nothing"/>
      <w:lvlText w:val="%1.%2.%3.%4.%5  "/>
      <w:lvlJc w:val="left"/>
      <w:pPr>
        <w:ind w:left="0" w:firstLine="0"/>
      </w:pPr>
      <w:rPr>
        <w:rFonts w:hint="default" w:ascii="Arial" w:hAnsi="Arial" w:eastAsia="黑体" w:cs="Arial"/>
        <w:sz w:val="21"/>
        <w:szCs w:val="21"/>
      </w:rPr>
    </w:lvl>
    <w:lvl w:ilvl="5" w:tentative="0">
      <w:start w:val="1"/>
      <w:numFmt w:val="lowerLetter"/>
      <w:lvlText w:val="%6."/>
      <w:lvlJc w:val="left"/>
      <w:pPr>
        <w:tabs>
          <w:tab w:val="left" w:pos="2275"/>
        </w:tabs>
        <w:ind w:left="0" w:firstLine="0"/>
      </w:pPr>
      <w:rPr>
        <w:rFonts w:hint="eastAsia"/>
      </w:rPr>
    </w:lvl>
    <w:lvl w:ilvl="6" w:tentative="0">
      <w:start w:val="1"/>
      <w:numFmt w:val="lowerRoman"/>
      <w:lvlText w:val="%7."/>
      <w:lvlJc w:val="left"/>
      <w:pPr>
        <w:tabs>
          <w:tab w:val="left" w:pos="2701"/>
        </w:tabs>
        <w:ind w:left="0" w:firstLine="0"/>
      </w:pPr>
      <w:rPr>
        <w:rFonts w:hint="eastAsia"/>
      </w:rPr>
    </w:lvl>
    <w:lvl w:ilvl="7" w:tentative="0">
      <w:start w:val="1"/>
      <w:numFmt w:val="lowerLetter"/>
      <w:lvlText w:val="%8."/>
      <w:lvlJc w:val="left"/>
      <w:pPr>
        <w:tabs>
          <w:tab w:val="left" w:pos="3126"/>
        </w:tabs>
        <w:ind w:left="0" w:firstLine="0"/>
      </w:pPr>
      <w:rPr>
        <w:rFonts w:hint="eastAsia"/>
      </w:rPr>
    </w:lvl>
    <w:lvl w:ilvl="8" w:tentative="0">
      <w:start w:val="1"/>
      <w:numFmt w:val="lowerRoman"/>
      <w:lvlText w:val="%9."/>
      <w:lvlJc w:val="left"/>
      <w:pPr>
        <w:tabs>
          <w:tab w:val="left" w:pos="3551"/>
        </w:tabs>
        <w:ind w:left="0" w:firstLine="0"/>
      </w:pPr>
      <w:rPr>
        <w:rFonts w:hint="eastAsia"/>
      </w:rPr>
    </w:lvl>
  </w:abstractNum>
  <w:abstractNum w:abstractNumId="4">
    <w:nsid w:val="207674B4"/>
    <w:multiLevelType w:val="multilevel"/>
    <w:tmpl w:val="207674B4"/>
    <w:lvl w:ilvl="0" w:tentative="0">
      <w:start w:val="3"/>
      <w:numFmt w:val="decimalEnclosedCircle"/>
      <w:lvlText w:val="%1"/>
      <w:lvlJc w:val="left"/>
      <w:pPr>
        <w:ind w:left="840" w:hanging="360"/>
      </w:pPr>
      <w:rPr>
        <w:rFonts w:hint="default" w:ascii="宋体" w:hAnsi="宋体" w:eastAsia="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217A746A"/>
    <w:multiLevelType w:val="multilevel"/>
    <w:tmpl w:val="217A746A"/>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22233ED2"/>
    <w:multiLevelType w:val="multilevel"/>
    <w:tmpl w:val="22233ED2"/>
    <w:lvl w:ilvl="0" w:tentative="0">
      <w:start w:val="1"/>
      <w:numFmt w:val="decimal"/>
      <w:lvlText w:val="（%1）"/>
      <w:lvlJc w:val="left"/>
      <w:pPr>
        <w:ind w:left="0" w:firstLine="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7">
    <w:nsid w:val="29E021E5"/>
    <w:multiLevelType w:val="multilevel"/>
    <w:tmpl w:val="29E021E5"/>
    <w:lvl w:ilvl="0" w:tentative="0">
      <w:start w:val="1"/>
      <w:numFmt w:val="decimal"/>
      <w:pStyle w:val="499"/>
      <w:lvlText w:val="%1."/>
      <w:lvlJc w:val="left"/>
      <w:pPr>
        <w:tabs>
          <w:tab w:val="left" w:pos="420"/>
        </w:tabs>
        <w:ind w:left="420" w:hanging="420"/>
      </w:pPr>
      <w:rPr>
        <w:rFonts w:hint="eastAsia"/>
      </w:rPr>
    </w:lvl>
    <w:lvl w:ilvl="1" w:tentative="0">
      <w:start w:val="11"/>
      <w:numFmt w:val="decimal"/>
      <w:lvlText w:val="%2."/>
      <w:lvlJc w:val="left"/>
      <w:pPr>
        <w:tabs>
          <w:tab w:val="left" w:pos="585"/>
        </w:tabs>
        <w:ind w:left="585" w:hanging="645"/>
      </w:pPr>
      <w:rPr>
        <w:rFonts w:hint="eastAsia" w:ascii="仿宋_GB2312"/>
        <w:sz w:val="18"/>
      </w:rPr>
    </w:lvl>
    <w:lvl w:ilvl="2" w:tentative="0">
      <w:start w:val="1"/>
      <w:numFmt w:val="decimal"/>
      <w:lvlText w:val="（%3）"/>
      <w:lvlJc w:val="left"/>
      <w:pPr>
        <w:tabs>
          <w:tab w:val="left" w:pos="1080"/>
        </w:tabs>
        <w:ind w:left="1080" w:hanging="720"/>
      </w:pPr>
      <w:rPr>
        <w:rFonts w:hint="default"/>
      </w:rPr>
    </w:lvl>
    <w:lvl w:ilvl="3" w:tentative="0">
      <w:start w:val="3"/>
      <w:numFmt w:val="decimal"/>
      <w:lvlText w:val="（%4）"/>
      <w:lvlJc w:val="left"/>
      <w:pPr>
        <w:tabs>
          <w:tab w:val="left" w:pos="1500"/>
        </w:tabs>
        <w:ind w:left="1500" w:hanging="720"/>
      </w:pPr>
      <w:rPr>
        <w:rFonts w:hint="default"/>
      </w:rPr>
    </w:lvl>
    <w:lvl w:ilvl="4" w:tentative="0">
      <w:start w:val="1"/>
      <w:numFmt w:val="lowerLetter"/>
      <w:lvlText w:val="%5)"/>
      <w:lvlJc w:val="left"/>
      <w:pPr>
        <w:tabs>
          <w:tab w:val="left" w:pos="1620"/>
        </w:tabs>
        <w:ind w:left="1620" w:hanging="420"/>
      </w:pPr>
    </w:lvl>
    <w:lvl w:ilvl="5" w:tentative="0">
      <w:start w:val="1"/>
      <w:numFmt w:val="lowerRoman"/>
      <w:lvlText w:val="%6."/>
      <w:lvlJc w:val="right"/>
      <w:pPr>
        <w:tabs>
          <w:tab w:val="left" w:pos="2040"/>
        </w:tabs>
        <w:ind w:left="2040" w:hanging="420"/>
      </w:pPr>
    </w:lvl>
    <w:lvl w:ilvl="6" w:tentative="0">
      <w:start w:val="1"/>
      <w:numFmt w:val="decimal"/>
      <w:lvlText w:val="%7."/>
      <w:lvlJc w:val="left"/>
      <w:pPr>
        <w:tabs>
          <w:tab w:val="left" w:pos="2460"/>
        </w:tabs>
        <w:ind w:left="2460" w:hanging="420"/>
      </w:pPr>
    </w:lvl>
    <w:lvl w:ilvl="7" w:tentative="0">
      <w:start w:val="1"/>
      <w:numFmt w:val="lowerLetter"/>
      <w:lvlText w:val="%8)"/>
      <w:lvlJc w:val="left"/>
      <w:pPr>
        <w:tabs>
          <w:tab w:val="left" w:pos="2880"/>
        </w:tabs>
        <w:ind w:left="2880" w:hanging="420"/>
      </w:pPr>
    </w:lvl>
    <w:lvl w:ilvl="8" w:tentative="0">
      <w:start w:val="1"/>
      <w:numFmt w:val="lowerRoman"/>
      <w:lvlText w:val="%9."/>
      <w:lvlJc w:val="right"/>
      <w:pPr>
        <w:tabs>
          <w:tab w:val="left" w:pos="3300"/>
        </w:tabs>
        <w:ind w:left="3300" w:hanging="420"/>
      </w:pPr>
    </w:lvl>
  </w:abstractNum>
  <w:abstractNum w:abstractNumId="8">
    <w:nsid w:val="2B273218"/>
    <w:multiLevelType w:val="multilevel"/>
    <w:tmpl w:val="2B273218"/>
    <w:lvl w:ilvl="0" w:tentative="0">
      <w:start w:val="1"/>
      <w:numFmt w:val="decimalEnclosedCircle"/>
      <w:lvlText w:val="%1"/>
      <w:lvlJc w:val="left"/>
      <w:pPr>
        <w:ind w:left="840" w:hanging="360"/>
      </w:pPr>
      <w:rPr>
        <w:rFonts w:hint="default" w:asciiTheme="minorEastAsia" w:hAnsiTheme="minorEastAsia" w:eastAsiaTheme="minor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30667860"/>
    <w:multiLevelType w:val="multilevel"/>
    <w:tmpl w:val="30667860"/>
    <w:lvl w:ilvl="0" w:tentative="0">
      <w:start w:val="1"/>
      <w:numFmt w:val="decimalEnclosedCircle"/>
      <w:lvlText w:val="%1"/>
      <w:lvlJc w:val="left"/>
      <w:pPr>
        <w:ind w:left="920" w:hanging="440"/>
      </w:pPr>
      <w:rPr>
        <w:rFonts w:hint="default" w:asciiTheme="minorEastAsia" w:hAnsiTheme="minorEastAsia" w:eastAsiaTheme="minor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0">
    <w:nsid w:val="326E6709"/>
    <w:multiLevelType w:val="multilevel"/>
    <w:tmpl w:val="326E6709"/>
    <w:lvl w:ilvl="0" w:tentative="0">
      <w:start w:val="1"/>
      <w:numFmt w:val="decimalEnclosedCircle"/>
      <w:lvlText w:val="%1"/>
      <w:lvlJc w:val="left"/>
      <w:pPr>
        <w:ind w:left="840" w:hanging="360"/>
      </w:pPr>
      <w:rPr>
        <w:rFonts w:hint="default" w:asciiTheme="minorEastAsia" w:hAnsiTheme="minorEastAsia" w:eastAsiaTheme="minor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1">
    <w:nsid w:val="33B858AC"/>
    <w:multiLevelType w:val="multilevel"/>
    <w:tmpl w:val="33B858AC"/>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
    <w:nsid w:val="39E12577"/>
    <w:multiLevelType w:val="multilevel"/>
    <w:tmpl w:val="39E12577"/>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3">
    <w:nsid w:val="407218E9"/>
    <w:multiLevelType w:val="multilevel"/>
    <w:tmpl w:val="407218E9"/>
    <w:lvl w:ilvl="0" w:tentative="0">
      <w:start w:val="1"/>
      <w:numFmt w:val="decimal"/>
      <w:suff w:val="nothing"/>
      <w:lvlText w:val="（%1）"/>
      <w:lvlJc w:val="left"/>
      <w:pPr>
        <w:ind w:left="0" w:firstLine="480"/>
      </w:pPr>
      <w:rPr>
        <w:rFonts w:hint="default"/>
        <w:lang w:val="en-U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4">
    <w:nsid w:val="41120F88"/>
    <w:multiLevelType w:val="multilevel"/>
    <w:tmpl w:val="41120F88"/>
    <w:lvl w:ilvl="0" w:tentative="0">
      <w:start w:val="1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567"/>
        </w:tabs>
      </w:pPr>
      <w:rPr>
        <w:rFonts w:hint="eastAsia" w:cs="Times New Roman"/>
      </w:rPr>
    </w:lvl>
    <w:lvl w:ilvl="2" w:tentative="0">
      <w:start w:val="1"/>
      <w:numFmt w:val="decimal"/>
      <w:pStyle w:val="1735"/>
      <w:lvlText w:val="%1.%2.%3"/>
      <w:lvlJc w:val="left"/>
      <w:pPr>
        <w:tabs>
          <w:tab w:val="left" w:pos="2291"/>
        </w:tabs>
        <w:ind w:left="1418" w:hanging="567"/>
      </w:pPr>
      <w:rPr>
        <w:rFonts w:hint="eastAsia" w:cs="Times New Roman"/>
      </w:rPr>
    </w:lvl>
    <w:lvl w:ilvl="3" w:tentative="0">
      <w:start w:val="1"/>
      <w:numFmt w:val="decimal"/>
      <w:lvlText w:val="%1.%2.%3.%4"/>
      <w:lvlJc w:val="left"/>
      <w:pPr>
        <w:tabs>
          <w:tab w:val="left" w:pos="3076"/>
        </w:tabs>
        <w:ind w:left="1984" w:hanging="708"/>
      </w:pPr>
      <w:rPr>
        <w:rFonts w:hint="eastAsia" w:cs="Times New Roman"/>
      </w:rPr>
    </w:lvl>
    <w:lvl w:ilvl="4" w:tentative="0">
      <w:start w:val="1"/>
      <w:numFmt w:val="decimal"/>
      <w:lvlText w:val="%1.%2.%3.%4.%5"/>
      <w:lvlJc w:val="left"/>
      <w:pPr>
        <w:tabs>
          <w:tab w:val="left" w:pos="4221"/>
        </w:tabs>
        <w:ind w:left="2551" w:hanging="850"/>
      </w:pPr>
      <w:rPr>
        <w:rFonts w:hint="eastAsia" w:cs="Times New Roman"/>
      </w:rPr>
    </w:lvl>
    <w:lvl w:ilvl="5" w:tentative="0">
      <w:start w:val="1"/>
      <w:numFmt w:val="decimal"/>
      <w:lvlText w:val="%1.%2.%3.%4.%5.%6"/>
      <w:lvlJc w:val="left"/>
      <w:pPr>
        <w:tabs>
          <w:tab w:val="left" w:pos="5006"/>
        </w:tabs>
        <w:ind w:left="3260" w:hanging="1134"/>
      </w:pPr>
      <w:rPr>
        <w:rFonts w:hint="eastAsia" w:cs="Times New Roman"/>
      </w:rPr>
    </w:lvl>
    <w:lvl w:ilvl="6" w:tentative="0">
      <w:start w:val="1"/>
      <w:numFmt w:val="decimal"/>
      <w:lvlText w:val="%1.%2.%3.%4.%5.%6.%7"/>
      <w:lvlJc w:val="left"/>
      <w:pPr>
        <w:tabs>
          <w:tab w:val="left" w:pos="5791"/>
        </w:tabs>
        <w:ind w:left="3827" w:hanging="1276"/>
      </w:pPr>
      <w:rPr>
        <w:rFonts w:hint="eastAsia" w:cs="Times New Roman"/>
      </w:rPr>
    </w:lvl>
    <w:lvl w:ilvl="7" w:tentative="0">
      <w:start w:val="1"/>
      <w:numFmt w:val="decimal"/>
      <w:lvlText w:val="%1.%2.%3.%4.%5.%6.%7.%8"/>
      <w:lvlJc w:val="left"/>
      <w:pPr>
        <w:tabs>
          <w:tab w:val="left" w:pos="6936"/>
        </w:tabs>
        <w:ind w:left="4394" w:hanging="1418"/>
      </w:pPr>
      <w:rPr>
        <w:rFonts w:hint="eastAsia" w:cs="Times New Roman"/>
      </w:rPr>
    </w:lvl>
    <w:lvl w:ilvl="8" w:tentative="0">
      <w:start w:val="1"/>
      <w:numFmt w:val="decimal"/>
      <w:lvlText w:val="%1.%2.%3.%4.%5.%6.%7.%8.%9"/>
      <w:lvlJc w:val="left"/>
      <w:pPr>
        <w:tabs>
          <w:tab w:val="left" w:pos="7722"/>
        </w:tabs>
        <w:ind w:left="5102" w:hanging="1700"/>
      </w:pPr>
      <w:rPr>
        <w:rFonts w:hint="eastAsia" w:cs="Times New Roman"/>
      </w:rPr>
    </w:lvl>
  </w:abstractNum>
  <w:abstractNum w:abstractNumId="15">
    <w:nsid w:val="48367D3E"/>
    <w:multiLevelType w:val="multilevel"/>
    <w:tmpl w:val="48367D3E"/>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6">
    <w:nsid w:val="4C703903"/>
    <w:multiLevelType w:val="multilevel"/>
    <w:tmpl w:val="4C703903"/>
    <w:lvl w:ilvl="0" w:tentative="0">
      <w:start w:val="1"/>
      <w:numFmt w:val="decimalEnclosedCircle"/>
      <w:lvlText w:val="%1"/>
      <w:lvlJc w:val="left"/>
      <w:pPr>
        <w:ind w:left="840" w:hanging="360"/>
      </w:pPr>
      <w:rPr>
        <w:rFonts w:hint="default" w:asciiTheme="minorEastAsia" w:hAnsiTheme="minorEastAsia" w:eastAsiaTheme="minor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7">
    <w:nsid w:val="4D3062FC"/>
    <w:multiLevelType w:val="multilevel"/>
    <w:tmpl w:val="4D3062FC"/>
    <w:lvl w:ilvl="0" w:tentative="0">
      <w:start w:val="1"/>
      <w:numFmt w:val="decimal"/>
      <w:lvlText w:val="%1、"/>
      <w:lvlJc w:val="left"/>
      <w:pPr>
        <w:ind w:left="786" w:hanging="360"/>
      </w:pPr>
      <w:rPr>
        <w:rFonts w:hint="default"/>
        <w:color w:val="000000" w:themeColor="text1"/>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55987C9B"/>
    <w:multiLevelType w:val="multilevel"/>
    <w:tmpl w:val="55987C9B"/>
    <w:lvl w:ilvl="0" w:tentative="0">
      <w:start w:val="1"/>
      <w:numFmt w:val="bullet"/>
      <w:lvlText w:val=""/>
      <w:lvlJc w:val="left"/>
      <w:pPr>
        <w:tabs>
          <w:tab w:val="left" w:pos="1160"/>
        </w:tabs>
        <w:ind w:left="1784" w:hanging="284"/>
      </w:pPr>
      <w:rPr>
        <w:rFonts w:hint="default" w:ascii="Symbol" w:hAnsi="Symbol"/>
        <w:color w:val="auto"/>
      </w:rPr>
    </w:lvl>
    <w:lvl w:ilvl="1" w:tentative="0">
      <w:start w:val="1"/>
      <w:numFmt w:val="bullet"/>
      <w:pStyle w:val="1111"/>
      <w:lvlText w:val=""/>
      <w:lvlJc w:val="left"/>
      <w:pPr>
        <w:tabs>
          <w:tab w:val="left" w:pos="680"/>
        </w:tabs>
        <w:ind w:left="1304" w:hanging="284"/>
      </w:pPr>
      <w:rPr>
        <w:rFonts w:hint="default" w:ascii="Symbol" w:hAnsi="Symbol"/>
        <w:color w:val="auto"/>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19">
    <w:nsid w:val="59DE6289"/>
    <w:multiLevelType w:val="multilevel"/>
    <w:tmpl w:val="59DE6289"/>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0">
    <w:nsid w:val="65540D6E"/>
    <w:multiLevelType w:val="multilevel"/>
    <w:tmpl w:val="65540D6E"/>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1">
    <w:nsid w:val="65B46C4F"/>
    <w:multiLevelType w:val="multilevel"/>
    <w:tmpl w:val="65B46C4F"/>
    <w:lvl w:ilvl="0" w:tentative="0">
      <w:start w:val="1"/>
      <w:numFmt w:val="decimal"/>
      <w:suff w:val="nothing"/>
      <w:lvlText w:val="（%1）"/>
      <w:lvlJc w:val="left"/>
      <w:pPr>
        <w:ind w:left="0" w:firstLine="480"/>
      </w:pPr>
      <w:rPr>
        <w:rFonts w:hint="default"/>
        <w:lang w:val="en-U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2">
    <w:nsid w:val="65F7F3E1"/>
    <w:multiLevelType w:val="singleLevel"/>
    <w:tmpl w:val="65F7F3E1"/>
    <w:lvl w:ilvl="0" w:tentative="0">
      <w:start w:val="1"/>
      <w:numFmt w:val="decimal"/>
      <w:suff w:val="nothing"/>
      <w:lvlText w:val="（%1）"/>
      <w:lvlJc w:val="left"/>
    </w:lvl>
  </w:abstractNum>
  <w:abstractNum w:abstractNumId="23">
    <w:nsid w:val="6AE175FB"/>
    <w:multiLevelType w:val="multilevel"/>
    <w:tmpl w:val="6AE175FB"/>
    <w:lvl w:ilvl="0" w:tentative="0">
      <w:start w:val="1"/>
      <w:numFmt w:val="decimal"/>
      <w:lvlText w:val="%1."/>
      <w:lvlJc w:val="left"/>
      <w:pPr>
        <w:ind w:left="360" w:hanging="360"/>
      </w:pPr>
      <w:rPr>
        <w:rFonts w:hint="default"/>
      </w:rPr>
    </w:lvl>
    <w:lvl w:ilvl="1" w:tentative="0">
      <w:start w:val="1"/>
      <w:numFmt w:val="lowerLetter"/>
      <w:pStyle w:val="280"/>
      <w:lvlText w:val="%2)"/>
      <w:lvlJc w:val="left"/>
      <w:pPr>
        <w:ind w:left="840" w:hanging="420"/>
      </w:pPr>
    </w:lvl>
    <w:lvl w:ilvl="2" w:tentative="0">
      <w:start w:val="1"/>
      <w:numFmt w:val="lowerRoman"/>
      <w:pStyle w:val="279"/>
      <w:lvlText w:val="%3."/>
      <w:lvlJc w:val="right"/>
      <w:pPr>
        <w:ind w:left="1260" w:hanging="420"/>
      </w:pPr>
    </w:lvl>
    <w:lvl w:ilvl="3" w:tentative="0">
      <w:start w:val="1"/>
      <w:numFmt w:val="decimal"/>
      <w:pStyle w:val="283"/>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B6B27C0"/>
    <w:multiLevelType w:val="singleLevel"/>
    <w:tmpl w:val="6B6B27C0"/>
    <w:lvl w:ilvl="0" w:tentative="0">
      <w:start w:val="1"/>
      <w:numFmt w:val="decimal"/>
      <w:pStyle w:val="420"/>
      <w:lvlText w:val="%1."/>
      <w:lvlJc w:val="left"/>
      <w:pPr>
        <w:tabs>
          <w:tab w:val="left" w:pos="360"/>
        </w:tabs>
        <w:ind w:left="0" w:firstLine="0"/>
      </w:pPr>
      <w:rPr>
        <w:rFonts w:hint="default"/>
      </w:rPr>
    </w:lvl>
  </w:abstractNum>
  <w:abstractNum w:abstractNumId="25">
    <w:nsid w:val="71B91313"/>
    <w:multiLevelType w:val="multilevel"/>
    <w:tmpl w:val="71B91313"/>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6">
    <w:nsid w:val="7CA77762"/>
    <w:multiLevelType w:val="multilevel"/>
    <w:tmpl w:val="7CA77762"/>
    <w:lvl w:ilvl="0" w:tentative="0">
      <w:start w:val="1"/>
      <w:numFmt w:val="decimalEnclosedCircle"/>
      <w:pStyle w:val="1715"/>
      <w:lvlText w:val="%1"/>
      <w:lvlJc w:val="left"/>
      <w:pPr>
        <w:tabs>
          <w:tab w:val="left" w:pos="960"/>
        </w:tabs>
        <w:ind w:left="960" w:hanging="360"/>
      </w:pPr>
      <w:rPr>
        <w:rFonts w:hint="default"/>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27">
    <w:nsid w:val="7D3521BA"/>
    <w:multiLevelType w:val="multilevel"/>
    <w:tmpl w:val="7D3521BA"/>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8">
    <w:nsid w:val="7ED62069"/>
    <w:multiLevelType w:val="multilevel"/>
    <w:tmpl w:val="7ED62069"/>
    <w:lvl w:ilvl="0" w:tentative="0">
      <w:start w:val="1"/>
      <w:numFmt w:val="decimal"/>
      <w:suff w:val="nothing"/>
      <w:lvlText w:val="第%1章  "/>
      <w:lvlJc w:val="center"/>
      <w:pPr>
        <w:ind w:left="1440" w:firstLine="0"/>
      </w:pPr>
      <w:rPr>
        <w:rFonts w:hint="eastAsia" w:ascii="隶书" w:hAnsi="TimesNewRoman" w:eastAsia="隶书" w:cs="TimesNewRoman"/>
        <w:b/>
        <w:i w:val="0"/>
        <w:color w:val="auto"/>
        <w:sz w:val="44"/>
        <w:szCs w:val="44"/>
      </w:rPr>
    </w:lvl>
    <w:lvl w:ilvl="1" w:tentative="0">
      <w:start w:val="1"/>
      <w:numFmt w:val="decimal"/>
      <w:isLgl/>
      <w:suff w:val="nothing"/>
      <w:lvlText w:val="%1.%2 "/>
      <w:lvlJc w:val="left"/>
      <w:pPr>
        <w:ind w:left="0" w:firstLine="0"/>
      </w:pPr>
      <w:rPr>
        <w:rFonts w:hint="eastAsia" w:hAnsi="Franklin Gothic Medium" w:cs="New York"/>
        <w:b/>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656"/>
      <w:isLgl/>
      <w:suff w:val="nothing"/>
      <w:lvlText w:val="%1.%2.%3 "/>
      <w:lvlJc w:val="left"/>
      <w:pPr>
        <w:ind w:left="0" w:firstLine="0"/>
      </w:pPr>
      <w:rPr>
        <w:rFonts w:hint="eastAsia" w:ascii="宋体" w:eastAsia="宋体" w:cs="TimesNewRoman"/>
        <w:b/>
        <w:bCs w:val="0"/>
        <w:i w:val="0"/>
        <w:iCs w:val="0"/>
        <w:caps w:val="0"/>
        <w:smallCaps w:val="0"/>
        <w:strike w:val="0"/>
        <w:dstrike w:val="0"/>
        <w:snapToGrid w:val="0"/>
        <w:vanish w:val="0"/>
        <w:color w:val="auto"/>
        <w:spacing w:val="0"/>
        <w:kern w:val="0"/>
        <w:position w:val="0"/>
        <w:sz w:val="28"/>
        <w:u w:val="none"/>
        <w:vertAlign w:val="baseline"/>
        <w14:shadow w14:blurRad="0" w14:dist="0" w14:dir="0" w14:sx="0" w14:sy="0" w14:kx="0" w14:ky="0" w14:algn="none">
          <w14:srgbClr w14:val="000000"/>
        </w14:shadow>
      </w:rPr>
    </w:lvl>
    <w:lvl w:ilvl="3" w:tentative="0">
      <w:start w:val="1"/>
      <w:numFmt w:val="decimal"/>
      <w:isLgl/>
      <w:suff w:val="nothing"/>
      <w:lvlText w:val="%1.%2.%3.%4 "/>
      <w:lvlJc w:val="left"/>
      <w:pPr>
        <w:ind w:left="0" w:firstLine="0"/>
      </w:pPr>
      <w:rPr>
        <w:rFonts w:hint="eastAsia" w:ascii="宋体" w:eastAsia="宋体" w:cs="TimesNewRoman"/>
        <w:b/>
        <w:i w:val="0"/>
        <w:sz w:val="24"/>
        <w:szCs w:val="24"/>
      </w:rPr>
    </w:lvl>
    <w:lvl w:ilvl="4" w:tentative="0">
      <w:start w:val="1"/>
      <w:numFmt w:val="decimal"/>
      <w:isLgl/>
      <w:suff w:val="nothing"/>
      <w:lvlText w:val="%1.%2.%3.%4.%5  "/>
      <w:lvlJc w:val="left"/>
      <w:pPr>
        <w:ind w:left="2" w:firstLine="0"/>
      </w:pPr>
      <w:rPr>
        <w:rFonts w:hint="default" w:ascii="Arial" w:hAnsi="Arial" w:eastAsia="黑体" w:cs="Arial"/>
        <w:sz w:val="21"/>
        <w:szCs w:val="21"/>
      </w:rPr>
    </w:lvl>
    <w:lvl w:ilvl="5" w:tentative="0">
      <w:start w:val="1"/>
      <w:numFmt w:val="lowerLetter"/>
      <w:lvlText w:val="%6."/>
      <w:lvlJc w:val="left"/>
      <w:pPr>
        <w:tabs>
          <w:tab w:val="left" w:pos="2411"/>
        </w:tabs>
        <w:ind w:left="2411" w:hanging="425"/>
      </w:pPr>
      <w:rPr>
        <w:rFonts w:hint="eastAsia"/>
      </w:rPr>
    </w:lvl>
    <w:lvl w:ilvl="6" w:tentative="0">
      <w:start w:val="1"/>
      <w:numFmt w:val="lowerRoman"/>
      <w:lvlText w:val="%7."/>
      <w:lvlJc w:val="left"/>
      <w:pPr>
        <w:tabs>
          <w:tab w:val="left" w:pos="2837"/>
        </w:tabs>
        <w:ind w:left="2837" w:hanging="426"/>
      </w:pPr>
      <w:rPr>
        <w:rFonts w:hint="eastAsia"/>
      </w:rPr>
    </w:lvl>
    <w:lvl w:ilvl="7" w:tentative="0">
      <w:start w:val="1"/>
      <w:numFmt w:val="lowerLetter"/>
      <w:lvlText w:val="%8."/>
      <w:lvlJc w:val="left"/>
      <w:pPr>
        <w:tabs>
          <w:tab w:val="left" w:pos="3262"/>
        </w:tabs>
        <w:ind w:left="3262" w:hanging="425"/>
      </w:pPr>
      <w:rPr>
        <w:rFonts w:hint="eastAsia"/>
      </w:rPr>
    </w:lvl>
    <w:lvl w:ilvl="8" w:tentative="0">
      <w:start w:val="1"/>
      <w:numFmt w:val="lowerRoman"/>
      <w:lvlText w:val="%9."/>
      <w:lvlJc w:val="left"/>
      <w:pPr>
        <w:tabs>
          <w:tab w:val="left" w:pos="3687"/>
        </w:tabs>
        <w:ind w:left="3687" w:hanging="425"/>
      </w:pPr>
      <w:rPr>
        <w:rFonts w:hint="eastAsia"/>
      </w:rPr>
    </w:lvl>
  </w:abstractNum>
  <w:num w:numId="1">
    <w:abstractNumId w:val="3"/>
  </w:num>
  <w:num w:numId="2">
    <w:abstractNumId w:val="23"/>
  </w:num>
  <w:num w:numId="3">
    <w:abstractNumId w:val="24"/>
  </w:num>
  <w:num w:numId="4">
    <w:abstractNumId w:val="7"/>
  </w:num>
  <w:num w:numId="5">
    <w:abstractNumId w:val="18"/>
  </w:num>
  <w:num w:numId="6">
    <w:abstractNumId w:val="28"/>
  </w:num>
  <w:num w:numId="7">
    <w:abstractNumId w:val="26"/>
  </w:num>
  <w:num w:numId="8">
    <w:abstractNumId w:val="14"/>
  </w:num>
  <w:num w:numId="9">
    <w:abstractNumId w:val="17"/>
  </w:num>
  <w:num w:numId="10">
    <w:abstractNumId w:val="6"/>
  </w:num>
  <w:num w:numId="11">
    <w:abstractNumId w:val="0"/>
  </w:num>
  <w:num w:numId="12">
    <w:abstractNumId w:val="5"/>
  </w:num>
  <w:num w:numId="13">
    <w:abstractNumId w:val="12"/>
  </w:num>
  <w:num w:numId="14">
    <w:abstractNumId w:val="11"/>
  </w:num>
  <w:num w:numId="15">
    <w:abstractNumId w:val="27"/>
  </w:num>
  <w:num w:numId="16">
    <w:abstractNumId w:val="25"/>
  </w:num>
  <w:num w:numId="17">
    <w:abstractNumId w:val="15"/>
  </w:num>
  <w:num w:numId="18">
    <w:abstractNumId w:val="13"/>
  </w:num>
  <w:num w:numId="19">
    <w:abstractNumId w:val="21"/>
  </w:num>
  <w:num w:numId="20">
    <w:abstractNumId w:val="2"/>
  </w:num>
  <w:num w:numId="21">
    <w:abstractNumId w:val="16"/>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9"/>
  </w:num>
  <w:num w:numId="25">
    <w:abstractNumId w:val="1"/>
  </w:num>
  <w:num w:numId="26">
    <w:abstractNumId w:val="19"/>
  </w:num>
  <w:num w:numId="27">
    <w:abstractNumId w:val="4"/>
  </w:num>
  <w:num w:numId="28">
    <w:abstractNumId w:val="20"/>
  </w:num>
  <w:num w:numId="29">
    <w:abstractNumId w:val="1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0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1ODFlNDQ1NTI4NjFmNjMxYzQ4MDhiYzgzZWZkYmYifQ=="/>
  </w:docVars>
  <w:rsids>
    <w:rsidRoot w:val="00172A27"/>
    <w:rsid w:val="0000013C"/>
    <w:rsid w:val="0000040E"/>
    <w:rsid w:val="0000041E"/>
    <w:rsid w:val="000005B4"/>
    <w:rsid w:val="00000D92"/>
    <w:rsid w:val="000011DF"/>
    <w:rsid w:val="00001206"/>
    <w:rsid w:val="00001481"/>
    <w:rsid w:val="0000179C"/>
    <w:rsid w:val="0000193E"/>
    <w:rsid w:val="000024F0"/>
    <w:rsid w:val="0000296A"/>
    <w:rsid w:val="00002F84"/>
    <w:rsid w:val="000034AE"/>
    <w:rsid w:val="0000358B"/>
    <w:rsid w:val="000035E1"/>
    <w:rsid w:val="00003617"/>
    <w:rsid w:val="00004A37"/>
    <w:rsid w:val="00005ECC"/>
    <w:rsid w:val="000060E2"/>
    <w:rsid w:val="0000623A"/>
    <w:rsid w:val="000070F5"/>
    <w:rsid w:val="000071F5"/>
    <w:rsid w:val="0000728D"/>
    <w:rsid w:val="000074C6"/>
    <w:rsid w:val="00007504"/>
    <w:rsid w:val="000076C2"/>
    <w:rsid w:val="0000795D"/>
    <w:rsid w:val="00007E36"/>
    <w:rsid w:val="00010114"/>
    <w:rsid w:val="00010749"/>
    <w:rsid w:val="000116D9"/>
    <w:rsid w:val="00011EBC"/>
    <w:rsid w:val="000125DD"/>
    <w:rsid w:val="0001297E"/>
    <w:rsid w:val="00012B32"/>
    <w:rsid w:val="00012DE3"/>
    <w:rsid w:val="00012F46"/>
    <w:rsid w:val="000132BF"/>
    <w:rsid w:val="00013B8C"/>
    <w:rsid w:val="00013EBF"/>
    <w:rsid w:val="00013F40"/>
    <w:rsid w:val="00014466"/>
    <w:rsid w:val="00014757"/>
    <w:rsid w:val="00014841"/>
    <w:rsid w:val="000160C1"/>
    <w:rsid w:val="000164EA"/>
    <w:rsid w:val="000164ED"/>
    <w:rsid w:val="0001698C"/>
    <w:rsid w:val="00016BC5"/>
    <w:rsid w:val="000173E3"/>
    <w:rsid w:val="000176B4"/>
    <w:rsid w:val="000177B8"/>
    <w:rsid w:val="00020262"/>
    <w:rsid w:val="000203BD"/>
    <w:rsid w:val="000204CE"/>
    <w:rsid w:val="0002088D"/>
    <w:rsid w:val="00021126"/>
    <w:rsid w:val="00021747"/>
    <w:rsid w:val="000218C5"/>
    <w:rsid w:val="00021CA4"/>
    <w:rsid w:val="00021E36"/>
    <w:rsid w:val="00021E5C"/>
    <w:rsid w:val="00022861"/>
    <w:rsid w:val="00022925"/>
    <w:rsid w:val="00022C6B"/>
    <w:rsid w:val="000232F9"/>
    <w:rsid w:val="00023D5D"/>
    <w:rsid w:val="00023DFA"/>
    <w:rsid w:val="00024254"/>
    <w:rsid w:val="0002477B"/>
    <w:rsid w:val="00024847"/>
    <w:rsid w:val="00024BDD"/>
    <w:rsid w:val="00024F7C"/>
    <w:rsid w:val="00025520"/>
    <w:rsid w:val="000259C0"/>
    <w:rsid w:val="00025C81"/>
    <w:rsid w:val="00026FC1"/>
    <w:rsid w:val="000273D5"/>
    <w:rsid w:val="00027418"/>
    <w:rsid w:val="00027629"/>
    <w:rsid w:val="000303DC"/>
    <w:rsid w:val="00030D14"/>
    <w:rsid w:val="00030D31"/>
    <w:rsid w:val="000318A4"/>
    <w:rsid w:val="00031A92"/>
    <w:rsid w:val="00031DB4"/>
    <w:rsid w:val="00031E4C"/>
    <w:rsid w:val="00032164"/>
    <w:rsid w:val="000321A0"/>
    <w:rsid w:val="0003256A"/>
    <w:rsid w:val="00032A35"/>
    <w:rsid w:val="0003338D"/>
    <w:rsid w:val="00034553"/>
    <w:rsid w:val="00034C5E"/>
    <w:rsid w:val="00034D15"/>
    <w:rsid w:val="000357A3"/>
    <w:rsid w:val="0003626C"/>
    <w:rsid w:val="00036677"/>
    <w:rsid w:val="00037135"/>
    <w:rsid w:val="0003732D"/>
    <w:rsid w:val="00037ADD"/>
    <w:rsid w:val="0004046D"/>
    <w:rsid w:val="00040B8D"/>
    <w:rsid w:val="00040E32"/>
    <w:rsid w:val="00041883"/>
    <w:rsid w:val="000419A5"/>
    <w:rsid w:val="00041B45"/>
    <w:rsid w:val="000420CB"/>
    <w:rsid w:val="0004220A"/>
    <w:rsid w:val="000423C2"/>
    <w:rsid w:val="0004272E"/>
    <w:rsid w:val="000428A7"/>
    <w:rsid w:val="00042A3E"/>
    <w:rsid w:val="00042EDD"/>
    <w:rsid w:val="0004315B"/>
    <w:rsid w:val="00043E33"/>
    <w:rsid w:val="0004470F"/>
    <w:rsid w:val="0004482E"/>
    <w:rsid w:val="0004498A"/>
    <w:rsid w:val="00044F37"/>
    <w:rsid w:val="00045BAE"/>
    <w:rsid w:val="00045BBD"/>
    <w:rsid w:val="00045C1E"/>
    <w:rsid w:val="000460AE"/>
    <w:rsid w:val="0004632A"/>
    <w:rsid w:val="000464CC"/>
    <w:rsid w:val="000464EA"/>
    <w:rsid w:val="000466B2"/>
    <w:rsid w:val="00046A7C"/>
    <w:rsid w:val="00046B82"/>
    <w:rsid w:val="00047215"/>
    <w:rsid w:val="00047415"/>
    <w:rsid w:val="00047C97"/>
    <w:rsid w:val="000506E9"/>
    <w:rsid w:val="00050AF4"/>
    <w:rsid w:val="00050B66"/>
    <w:rsid w:val="00050B75"/>
    <w:rsid w:val="0005141D"/>
    <w:rsid w:val="0005151C"/>
    <w:rsid w:val="00052709"/>
    <w:rsid w:val="00052895"/>
    <w:rsid w:val="00052A75"/>
    <w:rsid w:val="00053069"/>
    <w:rsid w:val="0005311A"/>
    <w:rsid w:val="000534B8"/>
    <w:rsid w:val="0005389F"/>
    <w:rsid w:val="00053B03"/>
    <w:rsid w:val="00053E65"/>
    <w:rsid w:val="00053F91"/>
    <w:rsid w:val="00054D03"/>
    <w:rsid w:val="000551FD"/>
    <w:rsid w:val="0005533B"/>
    <w:rsid w:val="0005608E"/>
    <w:rsid w:val="00056162"/>
    <w:rsid w:val="000565D0"/>
    <w:rsid w:val="00056662"/>
    <w:rsid w:val="0005672F"/>
    <w:rsid w:val="00057672"/>
    <w:rsid w:val="00057956"/>
    <w:rsid w:val="00057C3D"/>
    <w:rsid w:val="000616F4"/>
    <w:rsid w:val="0006171F"/>
    <w:rsid w:val="000618E7"/>
    <w:rsid w:val="00061DDC"/>
    <w:rsid w:val="000620FD"/>
    <w:rsid w:val="00062291"/>
    <w:rsid w:val="0006324B"/>
    <w:rsid w:val="000635EB"/>
    <w:rsid w:val="00063850"/>
    <w:rsid w:val="00063DC1"/>
    <w:rsid w:val="00063E47"/>
    <w:rsid w:val="0006460D"/>
    <w:rsid w:val="000646DD"/>
    <w:rsid w:val="00064A4B"/>
    <w:rsid w:val="0006531E"/>
    <w:rsid w:val="00065567"/>
    <w:rsid w:val="00065B53"/>
    <w:rsid w:val="00065C61"/>
    <w:rsid w:val="00065E09"/>
    <w:rsid w:val="00065F72"/>
    <w:rsid w:val="00066A34"/>
    <w:rsid w:val="00066BDF"/>
    <w:rsid w:val="00067079"/>
    <w:rsid w:val="0006727F"/>
    <w:rsid w:val="00067ECB"/>
    <w:rsid w:val="00070302"/>
    <w:rsid w:val="0007099C"/>
    <w:rsid w:val="0007177B"/>
    <w:rsid w:val="000720E8"/>
    <w:rsid w:val="000724C6"/>
    <w:rsid w:val="000728D0"/>
    <w:rsid w:val="00072921"/>
    <w:rsid w:val="00074A85"/>
    <w:rsid w:val="0007501D"/>
    <w:rsid w:val="000754EF"/>
    <w:rsid w:val="00075676"/>
    <w:rsid w:val="00076989"/>
    <w:rsid w:val="00076CAC"/>
    <w:rsid w:val="000774C9"/>
    <w:rsid w:val="00077947"/>
    <w:rsid w:val="00077A7A"/>
    <w:rsid w:val="00077AAE"/>
    <w:rsid w:val="00077CA4"/>
    <w:rsid w:val="00077FB5"/>
    <w:rsid w:val="0008004D"/>
    <w:rsid w:val="0008015F"/>
    <w:rsid w:val="0008081E"/>
    <w:rsid w:val="00080F9C"/>
    <w:rsid w:val="00081484"/>
    <w:rsid w:val="00081702"/>
    <w:rsid w:val="00081CA1"/>
    <w:rsid w:val="00081D4F"/>
    <w:rsid w:val="00082309"/>
    <w:rsid w:val="000825B4"/>
    <w:rsid w:val="00082627"/>
    <w:rsid w:val="000827AF"/>
    <w:rsid w:val="00082B4C"/>
    <w:rsid w:val="000832DA"/>
    <w:rsid w:val="00083386"/>
    <w:rsid w:val="000835C5"/>
    <w:rsid w:val="000839BA"/>
    <w:rsid w:val="0008434C"/>
    <w:rsid w:val="00084A24"/>
    <w:rsid w:val="00084AE8"/>
    <w:rsid w:val="00084DB2"/>
    <w:rsid w:val="00084E3D"/>
    <w:rsid w:val="000853C0"/>
    <w:rsid w:val="0008544E"/>
    <w:rsid w:val="000854F1"/>
    <w:rsid w:val="00085797"/>
    <w:rsid w:val="00086600"/>
    <w:rsid w:val="000866A0"/>
    <w:rsid w:val="0008674C"/>
    <w:rsid w:val="00086D6D"/>
    <w:rsid w:val="00086E28"/>
    <w:rsid w:val="00087B47"/>
    <w:rsid w:val="00090118"/>
    <w:rsid w:val="000909AD"/>
    <w:rsid w:val="00091411"/>
    <w:rsid w:val="00091601"/>
    <w:rsid w:val="00091610"/>
    <w:rsid w:val="00091B0B"/>
    <w:rsid w:val="00092426"/>
    <w:rsid w:val="00092C4B"/>
    <w:rsid w:val="00092D75"/>
    <w:rsid w:val="00092F65"/>
    <w:rsid w:val="00092F68"/>
    <w:rsid w:val="00094D14"/>
    <w:rsid w:val="00094D56"/>
    <w:rsid w:val="0009530F"/>
    <w:rsid w:val="00095705"/>
    <w:rsid w:val="00095DC8"/>
    <w:rsid w:val="00095F95"/>
    <w:rsid w:val="000961F2"/>
    <w:rsid w:val="00096CD6"/>
    <w:rsid w:val="00096CE2"/>
    <w:rsid w:val="00096F3B"/>
    <w:rsid w:val="000977F0"/>
    <w:rsid w:val="0009781B"/>
    <w:rsid w:val="00097C6E"/>
    <w:rsid w:val="000A08BA"/>
    <w:rsid w:val="000A0F6E"/>
    <w:rsid w:val="000A1026"/>
    <w:rsid w:val="000A1412"/>
    <w:rsid w:val="000A17E8"/>
    <w:rsid w:val="000A19FF"/>
    <w:rsid w:val="000A1C0C"/>
    <w:rsid w:val="000A1C78"/>
    <w:rsid w:val="000A2207"/>
    <w:rsid w:val="000A29CF"/>
    <w:rsid w:val="000A2C87"/>
    <w:rsid w:val="000A2E3C"/>
    <w:rsid w:val="000A2E86"/>
    <w:rsid w:val="000A31AE"/>
    <w:rsid w:val="000A33C3"/>
    <w:rsid w:val="000A33C9"/>
    <w:rsid w:val="000A41FF"/>
    <w:rsid w:val="000A46F3"/>
    <w:rsid w:val="000A4D98"/>
    <w:rsid w:val="000A513D"/>
    <w:rsid w:val="000A582E"/>
    <w:rsid w:val="000A6070"/>
    <w:rsid w:val="000A66CF"/>
    <w:rsid w:val="000A68E8"/>
    <w:rsid w:val="000A6A01"/>
    <w:rsid w:val="000A6B70"/>
    <w:rsid w:val="000A6BFC"/>
    <w:rsid w:val="000A6D78"/>
    <w:rsid w:val="000A6E7E"/>
    <w:rsid w:val="000A6E91"/>
    <w:rsid w:val="000A7767"/>
    <w:rsid w:val="000A77FC"/>
    <w:rsid w:val="000A7AF0"/>
    <w:rsid w:val="000A7B23"/>
    <w:rsid w:val="000A7C43"/>
    <w:rsid w:val="000B0563"/>
    <w:rsid w:val="000B05BF"/>
    <w:rsid w:val="000B06F6"/>
    <w:rsid w:val="000B0708"/>
    <w:rsid w:val="000B0E85"/>
    <w:rsid w:val="000B137C"/>
    <w:rsid w:val="000B139C"/>
    <w:rsid w:val="000B1AC0"/>
    <w:rsid w:val="000B1ED1"/>
    <w:rsid w:val="000B23A2"/>
    <w:rsid w:val="000B2424"/>
    <w:rsid w:val="000B353C"/>
    <w:rsid w:val="000B3E41"/>
    <w:rsid w:val="000B4155"/>
    <w:rsid w:val="000B468F"/>
    <w:rsid w:val="000B49BD"/>
    <w:rsid w:val="000B4CC7"/>
    <w:rsid w:val="000B58D1"/>
    <w:rsid w:val="000B609B"/>
    <w:rsid w:val="000B66F6"/>
    <w:rsid w:val="000B6730"/>
    <w:rsid w:val="000B6F32"/>
    <w:rsid w:val="000B708B"/>
    <w:rsid w:val="000B743C"/>
    <w:rsid w:val="000B765B"/>
    <w:rsid w:val="000C002C"/>
    <w:rsid w:val="000C0302"/>
    <w:rsid w:val="000C0428"/>
    <w:rsid w:val="000C0995"/>
    <w:rsid w:val="000C0AB9"/>
    <w:rsid w:val="000C0BA3"/>
    <w:rsid w:val="000C0C34"/>
    <w:rsid w:val="000C113E"/>
    <w:rsid w:val="000C19D7"/>
    <w:rsid w:val="000C1DF9"/>
    <w:rsid w:val="000C221D"/>
    <w:rsid w:val="000C2E77"/>
    <w:rsid w:val="000C30EA"/>
    <w:rsid w:val="000C355B"/>
    <w:rsid w:val="000C372F"/>
    <w:rsid w:val="000C37BF"/>
    <w:rsid w:val="000C39E6"/>
    <w:rsid w:val="000C4689"/>
    <w:rsid w:val="000C4786"/>
    <w:rsid w:val="000C5568"/>
    <w:rsid w:val="000C5A5B"/>
    <w:rsid w:val="000C6630"/>
    <w:rsid w:val="000C67DA"/>
    <w:rsid w:val="000C793A"/>
    <w:rsid w:val="000C7CA1"/>
    <w:rsid w:val="000D02CF"/>
    <w:rsid w:val="000D0712"/>
    <w:rsid w:val="000D0C57"/>
    <w:rsid w:val="000D1182"/>
    <w:rsid w:val="000D17CE"/>
    <w:rsid w:val="000D1CA9"/>
    <w:rsid w:val="000D1DA5"/>
    <w:rsid w:val="000D2B6D"/>
    <w:rsid w:val="000D2F17"/>
    <w:rsid w:val="000D2F37"/>
    <w:rsid w:val="000D32DC"/>
    <w:rsid w:val="000D3320"/>
    <w:rsid w:val="000D3F86"/>
    <w:rsid w:val="000D4BA3"/>
    <w:rsid w:val="000D4CCD"/>
    <w:rsid w:val="000D50B0"/>
    <w:rsid w:val="000D5650"/>
    <w:rsid w:val="000D6224"/>
    <w:rsid w:val="000D6BDA"/>
    <w:rsid w:val="000D6D7D"/>
    <w:rsid w:val="000D703D"/>
    <w:rsid w:val="000D7A76"/>
    <w:rsid w:val="000D7ECF"/>
    <w:rsid w:val="000E0050"/>
    <w:rsid w:val="000E046D"/>
    <w:rsid w:val="000E0480"/>
    <w:rsid w:val="000E09E0"/>
    <w:rsid w:val="000E0E7F"/>
    <w:rsid w:val="000E1217"/>
    <w:rsid w:val="000E14B7"/>
    <w:rsid w:val="000E193B"/>
    <w:rsid w:val="000E1AAA"/>
    <w:rsid w:val="000E1E61"/>
    <w:rsid w:val="000E2A16"/>
    <w:rsid w:val="000E2C81"/>
    <w:rsid w:val="000E2CAB"/>
    <w:rsid w:val="000E2CD1"/>
    <w:rsid w:val="000E30C7"/>
    <w:rsid w:val="000E3925"/>
    <w:rsid w:val="000E3B34"/>
    <w:rsid w:val="000E4283"/>
    <w:rsid w:val="000E47C4"/>
    <w:rsid w:val="000E4F2C"/>
    <w:rsid w:val="000E541D"/>
    <w:rsid w:val="000E5A5D"/>
    <w:rsid w:val="000E5D7C"/>
    <w:rsid w:val="000E607A"/>
    <w:rsid w:val="000E6628"/>
    <w:rsid w:val="000E6DAA"/>
    <w:rsid w:val="000F001F"/>
    <w:rsid w:val="000F0032"/>
    <w:rsid w:val="000F005D"/>
    <w:rsid w:val="000F05E0"/>
    <w:rsid w:val="000F08DC"/>
    <w:rsid w:val="000F0CAA"/>
    <w:rsid w:val="000F1242"/>
    <w:rsid w:val="000F1396"/>
    <w:rsid w:val="000F1D4B"/>
    <w:rsid w:val="000F2735"/>
    <w:rsid w:val="000F2BD6"/>
    <w:rsid w:val="000F2EF6"/>
    <w:rsid w:val="000F2FF0"/>
    <w:rsid w:val="000F38D4"/>
    <w:rsid w:val="000F3A06"/>
    <w:rsid w:val="000F3B19"/>
    <w:rsid w:val="000F3C33"/>
    <w:rsid w:val="000F42FE"/>
    <w:rsid w:val="000F471F"/>
    <w:rsid w:val="000F4B18"/>
    <w:rsid w:val="000F5296"/>
    <w:rsid w:val="000F562C"/>
    <w:rsid w:val="000F565B"/>
    <w:rsid w:val="000F5770"/>
    <w:rsid w:val="000F5C56"/>
    <w:rsid w:val="000F6025"/>
    <w:rsid w:val="000F7549"/>
    <w:rsid w:val="000F767D"/>
    <w:rsid w:val="000F7884"/>
    <w:rsid w:val="000F7EB9"/>
    <w:rsid w:val="001004B7"/>
    <w:rsid w:val="00100A8D"/>
    <w:rsid w:val="00100EAC"/>
    <w:rsid w:val="0010149D"/>
    <w:rsid w:val="00101822"/>
    <w:rsid w:val="00101A06"/>
    <w:rsid w:val="00102306"/>
    <w:rsid w:val="00102314"/>
    <w:rsid w:val="001034AD"/>
    <w:rsid w:val="0010384D"/>
    <w:rsid w:val="00103D04"/>
    <w:rsid w:val="00103DEF"/>
    <w:rsid w:val="001047BF"/>
    <w:rsid w:val="001048BE"/>
    <w:rsid w:val="001050BF"/>
    <w:rsid w:val="0010537C"/>
    <w:rsid w:val="0010578E"/>
    <w:rsid w:val="00105C7A"/>
    <w:rsid w:val="00106AC0"/>
    <w:rsid w:val="00106E45"/>
    <w:rsid w:val="001077EC"/>
    <w:rsid w:val="00110DF1"/>
    <w:rsid w:val="0011163E"/>
    <w:rsid w:val="00112878"/>
    <w:rsid w:val="00112A80"/>
    <w:rsid w:val="00112B56"/>
    <w:rsid w:val="00112F73"/>
    <w:rsid w:val="0011304B"/>
    <w:rsid w:val="001131BF"/>
    <w:rsid w:val="00113720"/>
    <w:rsid w:val="00113EF0"/>
    <w:rsid w:val="00113FDC"/>
    <w:rsid w:val="00114026"/>
    <w:rsid w:val="00114AF2"/>
    <w:rsid w:val="00114FAF"/>
    <w:rsid w:val="00115222"/>
    <w:rsid w:val="00115457"/>
    <w:rsid w:val="00115716"/>
    <w:rsid w:val="00115C99"/>
    <w:rsid w:val="00115D14"/>
    <w:rsid w:val="0011620C"/>
    <w:rsid w:val="00116BB8"/>
    <w:rsid w:val="00117BAD"/>
    <w:rsid w:val="0012046A"/>
    <w:rsid w:val="00120631"/>
    <w:rsid w:val="001206B0"/>
    <w:rsid w:val="00120856"/>
    <w:rsid w:val="00121026"/>
    <w:rsid w:val="001216BB"/>
    <w:rsid w:val="001217C5"/>
    <w:rsid w:val="00121CD2"/>
    <w:rsid w:val="00121FED"/>
    <w:rsid w:val="00122522"/>
    <w:rsid w:val="0012275A"/>
    <w:rsid w:val="001229C8"/>
    <w:rsid w:val="00122A12"/>
    <w:rsid w:val="00122CCF"/>
    <w:rsid w:val="00122EEA"/>
    <w:rsid w:val="00123416"/>
    <w:rsid w:val="00123517"/>
    <w:rsid w:val="001242C0"/>
    <w:rsid w:val="001247F2"/>
    <w:rsid w:val="00124A53"/>
    <w:rsid w:val="00124ABF"/>
    <w:rsid w:val="00124D3C"/>
    <w:rsid w:val="00124D8D"/>
    <w:rsid w:val="001259D5"/>
    <w:rsid w:val="001263E1"/>
    <w:rsid w:val="00126DC7"/>
    <w:rsid w:val="001278F4"/>
    <w:rsid w:val="00127CCE"/>
    <w:rsid w:val="001308F3"/>
    <w:rsid w:val="001311A8"/>
    <w:rsid w:val="001316D1"/>
    <w:rsid w:val="00131E13"/>
    <w:rsid w:val="0013221F"/>
    <w:rsid w:val="0013308E"/>
    <w:rsid w:val="001336CE"/>
    <w:rsid w:val="001336F1"/>
    <w:rsid w:val="00133821"/>
    <w:rsid w:val="00133B5A"/>
    <w:rsid w:val="00133F11"/>
    <w:rsid w:val="00134091"/>
    <w:rsid w:val="00134363"/>
    <w:rsid w:val="00134547"/>
    <w:rsid w:val="00134898"/>
    <w:rsid w:val="00134BC0"/>
    <w:rsid w:val="00134F0C"/>
    <w:rsid w:val="00135CEA"/>
    <w:rsid w:val="00135F7F"/>
    <w:rsid w:val="001364FE"/>
    <w:rsid w:val="001368AF"/>
    <w:rsid w:val="00136D47"/>
    <w:rsid w:val="00136DDC"/>
    <w:rsid w:val="00136EC1"/>
    <w:rsid w:val="00137216"/>
    <w:rsid w:val="0013788B"/>
    <w:rsid w:val="0013794B"/>
    <w:rsid w:val="001379C4"/>
    <w:rsid w:val="001379DA"/>
    <w:rsid w:val="00137D10"/>
    <w:rsid w:val="00137E93"/>
    <w:rsid w:val="001404B0"/>
    <w:rsid w:val="001405D2"/>
    <w:rsid w:val="00140790"/>
    <w:rsid w:val="00140D3C"/>
    <w:rsid w:val="001413EE"/>
    <w:rsid w:val="00141C28"/>
    <w:rsid w:val="00141FEF"/>
    <w:rsid w:val="001420F3"/>
    <w:rsid w:val="00142CFA"/>
    <w:rsid w:val="00142D8C"/>
    <w:rsid w:val="00142E9F"/>
    <w:rsid w:val="0014328B"/>
    <w:rsid w:val="001433BE"/>
    <w:rsid w:val="0014340F"/>
    <w:rsid w:val="00143860"/>
    <w:rsid w:val="001449FE"/>
    <w:rsid w:val="00144ABE"/>
    <w:rsid w:val="0014516D"/>
    <w:rsid w:val="00145281"/>
    <w:rsid w:val="001456C1"/>
    <w:rsid w:val="001458FB"/>
    <w:rsid w:val="0014616E"/>
    <w:rsid w:val="0014687F"/>
    <w:rsid w:val="00146C1D"/>
    <w:rsid w:val="0014718D"/>
    <w:rsid w:val="0014740F"/>
    <w:rsid w:val="001474CF"/>
    <w:rsid w:val="001475AA"/>
    <w:rsid w:val="001479ED"/>
    <w:rsid w:val="00147E40"/>
    <w:rsid w:val="0015019C"/>
    <w:rsid w:val="001502A5"/>
    <w:rsid w:val="001508BE"/>
    <w:rsid w:val="00150B41"/>
    <w:rsid w:val="00150FE0"/>
    <w:rsid w:val="00151785"/>
    <w:rsid w:val="001532B1"/>
    <w:rsid w:val="0015437C"/>
    <w:rsid w:val="001546DE"/>
    <w:rsid w:val="00154799"/>
    <w:rsid w:val="00154D36"/>
    <w:rsid w:val="00154D90"/>
    <w:rsid w:val="0015597C"/>
    <w:rsid w:val="00155BEA"/>
    <w:rsid w:val="00155EFB"/>
    <w:rsid w:val="001568C7"/>
    <w:rsid w:val="0015731E"/>
    <w:rsid w:val="0015751D"/>
    <w:rsid w:val="00160236"/>
    <w:rsid w:val="001602FF"/>
    <w:rsid w:val="00161514"/>
    <w:rsid w:val="00161A1D"/>
    <w:rsid w:val="00161B8E"/>
    <w:rsid w:val="00162320"/>
    <w:rsid w:val="00162698"/>
    <w:rsid w:val="00162744"/>
    <w:rsid w:val="001631DA"/>
    <w:rsid w:val="00163C38"/>
    <w:rsid w:val="00163D0F"/>
    <w:rsid w:val="00163E15"/>
    <w:rsid w:val="001647BA"/>
    <w:rsid w:val="00164ECA"/>
    <w:rsid w:val="001651D2"/>
    <w:rsid w:val="0016549D"/>
    <w:rsid w:val="001658A2"/>
    <w:rsid w:val="00165976"/>
    <w:rsid w:val="0016598A"/>
    <w:rsid w:val="00165A63"/>
    <w:rsid w:val="00166D71"/>
    <w:rsid w:val="00166DDB"/>
    <w:rsid w:val="001671D4"/>
    <w:rsid w:val="00167CA5"/>
    <w:rsid w:val="00167D00"/>
    <w:rsid w:val="00167E51"/>
    <w:rsid w:val="00170699"/>
    <w:rsid w:val="00170740"/>
    <w:rsid w:val="00170B93"/>
    <w:rsid w:val="00170EC2"/>
    <w:rsid w:val="001714CA"/>
    <w:rsid w:val="0017162A"/>
    <w:rsid w:val="00171816"/>
    <w:rsid w:val="00171C01"/>
    <w:rsid w:val="00172019"/>
    <w:rsid w:val="0017214E"/>
    <w:rsid w:val="00172974"/>
    <w:rsid w:val="00172A27"/>
    <w:rsid w:val="00172B20"/>
    <w:rsid w:val="00172D33"/>
    <w:rsid w:val="00172DE4"/>
    <w:rsid w:val="001730E4"/>
    <w:rsid w:val="00174551"/>
    <w:rsid w:val="001745F1"/>
    <w:rsid w:val="00174A4C"/>
    <w:rsid w:val="00174CB9"/>
    <w:rsid w:val="001770D0"/>
    <w:rsid w:val="00177453"/>
    <w:rsid w:val="001778A8"/>
    <w:rsid w:val="00177907"/>
    <w:rsid w:val="0017797A"/>
    <w:rsid w:val="001805CC"/>
    <w:rsid w:val="00180B34"/>
    <w:rsid w:val="00180D33"/>
    <w:rsid w:val="00180F0F"/>
    <w:rsid w:val="0018176F"/>
    <w:rsid w:val="00182509"/>
    <w:rsid w:val="001825B0"/>
    <w:rsid w:val="00182B98"/>
    <w:rsid w:val="001839F9"/>
    <w:rsid w:val="00183B7A"/>
    <w:rsid w:val="001840CC"/>
    <w:rsid w:val="00184629"/>
    <w:rsid w:val="00184A5C"/>
    <w:rsid w:val="00184A5E"/>
    <w:rsid w:val="00184C99"/>
    <w:rsid w:val="00184DA7"/>
    <w:rsid w:val="00185268"/>
    <w:rsid w:val="0018526B"/>
    <w:rsid w:val="0018526F"/>
    <w:rsid w:val="00185409"/>
    <w:rsid w:val="00185972"/>
    <w:rsid w:val="00185B27"/>
    <w:rsid w:val="00185C04"/>
    <w:rsid w:val="00186110"/>
    <w:rsid w:val="00186224"/>
    <w:rsid w:val="00186608"/>
    <w:rsid w:val="00186A0A"/>
    <w:rsid w:val="00186BD6"/>
    <w:rsid w:val="00186FF9"/>
    <w:rsid w:val="001875BA"/>
    <w:rsid w:val="001878AD"/>
    <w:rsid w:val="001879C4"/>
    <w:rsid w:val="00187CE1"/>
    <w:rsid w:val="00190112"/>
    <w:rsid w:val="001906DB"/>
    <w:rsid w:val="00190D1B"/>
    <w:rsid w:val="00190FB8"/>
    <w:rsid w:val="0019133E"/>
    <w:rsid w:val="001919C4"/>
    <w:rsid w:val="00191A6C"/>
    <w:rsid w:val="00191B4A"/>
    <w:rsid w:val="00191C39"/>
    <w:rsid w:val="00191CD0"/>
    <w:rsid w:val="00192192"/>
    <w:rsid w:val="001927B6"/>
    <w:rsid w:val="001930A2"/>
    <w:rsid w:val="0019330D"/>
    <w:rsid w:val="0019347A"/>
    <w:rsid w:val="00193E9F"/>
    <w:rsid w:val="00194497"/>
    <w:rsid w:val="001948A9"/>
    <w:rsid w:val="00194AFA"/>
    <w:rsid w:val="00194DF5"/>
    <w:rsid w:val="0019524D"/>
    <w:rsid w:val="001954BC"/>
    <w:rsid w:val="001956B9"/>
    <w:rsid w:val="0019657D"/>
    <w:rsid w:val="0019738E"/>
    <w:rsid w:val="001978A8"/>
    <w:rsid w:val="001A0000"/>
    <w:rsid w:val="001A0135"/>
    <w:rsid w:val="001A0C23"/>
    <w:rsid w:val="001A0F40"/>
    <w:rsid w:val="001A0FF0"/>
    <w:rsid w:val="001A1C63"/>
    <w:rsid w:val="001A2C6B"/>
    <w:rsid w:val="001A2DE3"/>
    <w:rsid w:val="001A2E5E"/>
    <w:rsid w:val="001A332D"/>
    <w:rsid w:val="001A356D"/>
    <w:rsid w:val="001A3985"/>
    <w:rsid w:val="001A50D7"/>
    <w:rsid w:val="001A691D"/>
    <w:rsid w:val="001A7043"/>
    <w:rsid w:val="001A7CB9"/>
    <w:rsid w:val="001A7FED"/>
    <w:rsid w:val="001B0226"/>
    <w:rsid w:val="001B07BC"/>
    <w:rsid w:val="001B0BCC"/>
    <w:rsid w:val="001B0F96"/>
    <w:rsid w:val="001B1981"/>
    <w:rsid w:val="001B1CAC"/>
    <w:rsid w:val="001B1F5B"/>
    <w:rsid w:val="001B1FC7"/>
    <w:rsid w:val="001B201E"/>
    <w:rsid w:val="001B2485"/>
    <w:rsid w:val="001B24B6"/>
    <w:rsid w:val="001B27D8"/>
    <w:rsid w:val="001B29D2"/>
    <w:rsid w:val="001B31C1"/>
    <w:rsid w:val="001B4241"/>
    <w:rsid w:val="001B45C5"/>
    <w:rsid w:val="001B4989"/>
    <w:rsid w:val="001B4B44"/>
    <w:rsid w:val="001B4C44"/>
    <w:rsid w:val="001B4C69"/>
    <w:rsid w:val="001B4EA6"/>
    <w:rsid w:val="001B6005"/>
    <w:rsid w:val="001B62D2"/>
    <w:rsid w:val="001B6568"/>
    <w:rsid w:val="001B65F9"/>
    <w:rsid w:val="001B695E"/>
    <w:rsid w:val="001B696D"/>
    <w:rsid w:val="001B69FC"/>
    <w:rsid w:val="001B6BF8"/>
    <w:rsid w:val="001B6D21"/>
    <w:rsid w:val="001B6D31"/>
    <w:rsid w:val="001B71A6"/>
    <w:rsid w:val="001B72D1"/>
    <w:rsid w:val="001B74A4"/>
    <w:rsid w:val="001C0048"/>
    <w:rsid w:val="001C04AC"/>
    <w:rsid w:val="001C0531"/>
    <w:rsid w:val="001C1307"/>
    <w:rsid w:val="001C1A2B"/>
    <w:rsid w:val="001C1AA5"/>
    <w:rsid w:val="001C1BE4"/>
    <w:rsid w:val="001C3006"/>
    <w:rsid w:val="001C3075"/>
    <w:rsid w:val="001C329C"/>
    <w:rsid w:val="001C375C"/>
    <w:rsid w:val="001C3BB2"/>
    <w:rsid w:val="001C3C2F"/>
    <w:rsid w:val="001C3E72"/>
    <w:rsid w:val="001C5466"/>
    <w:rsid w:val="001C5A03"/>
    <w:rsid w:val="001C5C39"/>
    <w:rsid w:val="001C5DA7"/>
    <w:rsid w:val="001C61CC"/>
    <w:rsid w:val="001C63E9"/>
    <w:rsid w:val="001C69A6"/>
    <w:rsid w:val="001C6FF0"/>
    <w:rsid w:val="001C72CA"/>
    <w:rsid w:val="001C77DC"/>
    <w:rsid w:val="001C7A5A"/>
    <w:rsid w:val="001D037B"/>
    <w:rsid w:val="001D03F8"/>
    <w:rsid w:val="001D0420"/>
    <w:rsid w:val="001D06AC"/>
    <w:rsid w:val="001D08BD"/>
    <w:rsid w:val="001D08D5"/>
    <w:rsid w:val="001D0EAA"/>
    <w:rsid w:val="001D1689"/>
    <w:rsid w:val="001D16B8"/>
    <w:rsid w:val="001D190F"/>
    <w:rsid w:val="001D1983"/>
    <w:rsid w:val="001D214F"/>
    <w:rsid w:val="001D23F2"/>
    <w:rsid w:val="001D292A"/>
    <w:rsid w:val="001D2B02"/>
    <w:rsid w:val="001D3E5E"/>
    <w:rsid w:val="001D44DB"/>
    <w:rsid w:val="001D48FD"/>
    <w:rsid w:val="001D4C60"/>
    <w:rsid w:val="001D4C96"/>
    <w:rsid w:val="001D4E7D"/>
    <w:rsid w:val="001D52DE"/>
    <w:rsid w:val="001D55D7"/>
    <w:rsid w:val="001D5FC5"/>
    <w:rsid w:val="001D62A8"/>
    <w:rsid w:val="001D68FF"/>
    <w:rsid w:val="001D6924"/>
    <w:rsid w:val="001D6B24"/>
    <w:rsid w:val="001D7513"/>
    <w:rsid w:val="001D7ABA"/>
    <w:rsid w:val="001E0264"/>
    <w:rsid w:val="001E0E8A"/>
    <w:rsid w:val="001E0F5F"/>
    <w:rsid w:val="001E1A11"/>
    <w:rsid w:val="001E1D78"/>
    <w:rsid w:val="001E1DDD"/>
    <w:rsid w:val="001E1F6B"/>
    <w:rsid w:val="001E2C6F"/>
    <w:rsid w:val="001E2E97"/>
    <w:rsid w:val="001E2ECA"/>
    <w:rsid w:val="001E3412"/>
    <w:rsid w:val="001E383D"/>
    <w:rsid w:val="001E38E7"/>
    <w:rsid w:val="001E4B54"/>
    <w:rsid w:val="001E5F9B"/>
    <w:rsid w:val="001E635D"/>
    <w:rsid w:val="001E65E6"/>
    <w:rsid w:val="001E6A9F"/>
    <w:rsid w:val="001E7393"/>
    <w:rsid w:val="001E7AA0"/>
    <w:rsid w:val="001E7EA1"/>
    <w:rsid w:val="001E7F6F"/>
    <w:rsid w:val="001F00B9"/>
    <w:rsid w:val="001F09D9"/>
    <w:rsid w:val="001F0A36"/>
    <w:rsid w:val="001F0DFD"/>
    <w:rsid w:val="001F0FAC"/>
    <w:rsid w:val="001F1317"/>
    <w:rsid w:val="001F1561"/>
    <w:rsid w:val="001F29CA"/>
    <w:rsid w:val="001F2DA1"/>
    <w:rsid w:val="001F3138"/>
    <w:rsid w:val="001F3E3F"/>
    <w:rsid w:val="001F452C"/>
    <w:rsid w:val="001F46DA"/>
    <w:rsid w:val="001F4A08"/>
    <w:rsid w:val="001F5A38"/>
    <w:rsid w:val="001F613E"/>
    <w:rsid w:val="001F6288"/>
    <w:rsid w:val="001F6680"/>
    <w:rsid w:val="001F6B52"/>
    <w:rsid w:val="001F708E"/>
    <w:rsid w:val="001F7316"/>
    <w:rsid w:val="001F739A"/>
    <w:rsid w:val="001F788A"/>
    <w:rsid w:val="001F7A28"/>
    <w:rsid w:val="001F7C27"/>
    <w:rsid w:val="001F7CE2"/>
    <w:rsid w:val="002007D3"/>
    <w:rsid w:val="00200908"/>
    <w:rsid w:val="00200D58"/>
    <w:rsid w:val="00200FC3"/>
    <w:rsid w:val="0020126C"/>
    <w:rsid w:val="00201F16"/>
    <w:rsid w:val="002024A2"/>
    <w:rsid w:val="00202707"/>
    <w:rsid w:val="00202FC2"/>
    <w:rsid w:val="0020310E"/>
    <w:rsid w:val="0020362A"/>
    <w:rsid w:val="00203B6B"/>
    <w:rsid w:val="00203C3D"/>
    <w:rsid w:val="00203FBF"/>
    <w:rsid w:val="002041D3"/>
    <w:rsid w:val="00204739"/>
    <w:rsid w:val="00204A17"/>
    <w:rsid w:val="0020507A"/>
    <w:rsid w:val="00205123"/>
    <w:rsid w:val="00205524"/>
    <w:rsid w:val="00205653"/>
    <w:rsid w:val="00205B93"/>
    <w:rsid w:val="00206419"/>
    <w:rsid w:val="0020670A"/>
    <w:rsid w:val="00206D11"/>
    <w:rsid w:val="00206E64"/>
    <w:rsid w:val="00206FEE"/>
    <w:rsid w:val="00207337"/>
    <w:rsid w:val="002075B4"/>
    <w:rsid w:val="002075F4"/>
    <w:rsid w:val="00207900"/>
    <w:rsid w:val="0021058A"/>
    <w:rsid w:val="002107B7"/>
    <w:rsid w:val="00210C9A"/>
    <w:rsid w:val="00210DE9"/>
    <w:rsid w:val="0021124E"/>
    <w:rsid w:val="002113CE"/>
    <w:rsid w:val="002113F4"/>
    <w:rsid w:val="0021197A"/>
    <w:rsid w:val="00211C1A"/>
    <w:rsid w:val="00211CAC"/>
    <w:rsid w:val="00212311"/>
    <w:rsid w:val="002123CC"/>
    <w:rsid w:val="00212777"/>
    <w:rsid w:val="0021290F"/>
    <w:rsid w:val="00212E28"/>
    <w:rsid w:val="002130FB"/>
    <w:rsid w:val="00213349"/>
    <w:rsid w:val="002133D3"/>
    <w:rsid w:val="0021405A"/>
    <w:rsid w:val="0021419B"/>
    <w:rsid w:val="002144CD"/>
    <w:rsid w:val="0021468D"/>
    <w:rsid w:val="0021488E"/>
    <w:rsid w:val="00214A14"/>
    <w:rsid w:val="00214CEC"/>
    <w:rsid w:val="0021523E"/>
    <w:rsid w:val="0021599F"/>
    <w:rsid w:val="00215AC2"/>
    <w:rsid w:val="00215BF7"/>
    <w:rsid w:val="00215E49"/>
    <w:rsid w:val="00220661"/>
    <w:rsid w:val="00220D56"/>
    <w:rsid w:val="002215B3"/>
    <w:rsid w:val="00221874"/>
    <w:rsid w:val="002221B3"/>
    <w:rsid w:val="002221CC"/>
    <w:rsid w:val="00222261"/>
    <w:rsid w:val="002224F1"/>
    <w:rsid w:val="002225D0"/>
    <w:rsid w:val="002227DC"/>
    <w:rsid w:val="00222C20"/>
    <w:rsid w:val="00222D99"/>
    <w:rsid w:val="0022337F"/>
    <w:rsid w:val="0022356E"/>
    <w:rsid w:val="00223B67"/>
    <w:rsid w:val="00224AE0"/>
    <w:rsid w:val="00225152"/>
    <w:rsid w:val="0022521A"/>
    <w:rsid w:val="0022531F"/>
    <w:rsid w:val="002255B9"/>
    <w:rsid w:val="0022585E"/>
    <w:rsid w:val="00225E99"/>
    <w:rsid w:val="0022632D"/>
    <w:rsid w:val="0022633D"/>
    <w:rsid w:val="002266DA"/>
    <w:rsid w:val="00226875"/>
    <w:rsid w:val="00226A58"/>
    <w:rsid w:val="00226CA5"/>
    <w:rsid w:val="00227927"/>
    <w:rsid w:val="00227F48"/>
    <w:rsid w:val="00231943"/>
    <w:rsid w:val="00231A09"/>
    <w:rsid w:val="002326E7"/>
    <w:rsid w:val="00232D79"/>
    <w:rsid w:val="00232DF7"/>
    <w:rsid w:val="00232F37"/>
    <w:rsid w:val="0023302E"/>
    <w:rsid w:val="0023307F"/>
    <w:rsid w:val="00233106"/>
    <w:rsid w:val="002331CC"/>
    <w:rsid w:val="0023353D"/>
    <w:rsid w:val="00233A5D"/>
    <w:rsid w:val="00233AFB"/>
    <w:rsid w:val="00233CEC"/>
    <w:rsid w:val="00233FE4"/>
    <w:rsid w:val="0023427C"/>
    <w:rsid w:val="002345A7"/>
    <w:rsid w:val="00234603"/>
    <w:rsid w:val="0023499C"/>
    <w:rsid w:val="00234F71"/>
    <w:rsid w:val="00235779"/>
    <w:rsid w:val="00235FB8"/>
    <w:rsid w:val="00236971"/>
    <w:rsid w:val="0023699B"/>
    <w:rsid w:val="00236A1F"/>
    <w:rsid w:val="002370DA"/>
    <w:rsid w:val="0023714D"/>
    <w:rsid w:val="00237790"/>
    <w:rsid w:val="002378B6"/>
    <w:rsid w:val="00240359"/>
    <w:rsid w:val="00240C79"/>
    <w:rsid w:val="00241386"/>
    <w:rsid w:val="002413FD"/>
    <w:rsid w:val="00241F18"/>
    <w:rsid w:val="00241F7A"/>
    <w:rsid w:val="0024209C"/>
    <w:rsid w:val="002420A3"/>
    <w:rsid w:val="0024264D"/>
    <w:rsid w:val="00242793"/>
    <w:rsid w:val="002429C2"/>
    <w:rsid w:val="00242B91"/>
    <w:rsid w:val="00242BD8"/>
    <w:rsid w:val="00242CB6"/>
    <w:rsid w:val="0024389E"/>
    <w:rsid w:val="00243BD5"/>
    <w:rsid w:val="002441B3"/>
    <w:rsid w:val="0024426F"/>
    <w:rsid w:val="00245178"/>
    <w:rsid w:val="002452B2"/>
    <w:rsid w:val="0024586E"/>
    <w:rsid w:val="00245C0B"/>
    <w:rsid w:val="00245C96"/>
    <w:rsid w:val="00246D1A"/>
    <w:rsid w:val="002503E8"/>
    <w:rsid w:val="00250973"/>
    <w:rsid w:val="00250BFD"/>
    <w:rsid w:val="002513EB"/>
    <w:rsid w:val="002514B0"/>
    <w:rsid w:val="00251A2A"/>
    <w:rsid w:val="00251C50"/>
    <w:rsid w:val="002523CB"/>
    <w:rsid w:val="0025250D"/>
    <w:rsid w:val="00252FE1"/>
    <w:rsid w:val="002537F9"/>
    <w:rsid w:val="00253BDD"/>
    <w:rsid w:val="00253F3B"/>
    <w:rsid w:val="00254051"/>
    <w:rsid w:val="0025406B"/>
    <w:rsid w:val="002543BA"/>
    <w:rsid w:val="002543ED"/>
    <w:rsid w:val="002546A1"/>
    <w:rsid w:val="00254C01"/>
    <w:rsid w:val="00255AC0"/>
    <w:rsid w:val="00255B19"/>
    <w:rsid w:val="00255E6C"/>
    <w:rsid w:val="00256BAF"/>
    <w:rsid w:val="00256C69"/>
    <w:rsid w:val="00256CEE"/>
    <w:rsid w:val="00257088"/>
    <w:rsid w:val="00257C9E"/>
    <w:rsid w:val="002601D4"/>
    <w:rsid w:val="0026067B"/>
    <w:rsid w:val="002606B3"/>
    <w:rsid w:val="002609B0"/>
    <w:rsid w:val="00260BD5"/>
    <w:rsid w:val="00260BF4"/>
    <w:rsid w:val="00260EFE"/>
    <w:rsid w:val="00260F56"/>
    <w:rsid w:val="00260FD4"/>
    <w:rsid w:val="00261998"/>
    <w:rsid w:val="00261DED"/>
    <w:rsid w:val="002620BB"/>
    <w:rsid w:val="0026255E"/>
    <w:rsid w:val="0026276B"/>
    <w:rsid w:val="002627E4"/>
    <w:rsid w:val="00263272"/>
    <w:rsid w:val="00263649"/>
    <w:rsid w:val="002636E2"/>
    <w:rsid w:val="00263807"/>
    <w:rsid w:val="00263D14"/>
    <w:rsid w:val="00264323"/>
    <w:rsid w:val="0026444C"/>
    <w:rsid w:val="00264474"/>
    <w:rsid w:val="002646C1"/>
    <w:rsid w:val="00264B5A"/>
    <w:rsid w:val="00264B6F"/>
    <w:rsid w:val="00264BAB"/>
    <w:rsid w:val="00264EB3"/>
    <w:rsid w:val="0026508D"/>
    <w:rsid w:val="00265773"/>
    <w:rsid w:val="002658E7"/>
    <w:rsid w:val="002665E9"/>
    <w:rsid w:val="002666EF"/>
    <w:rsid w:val="00266811"/>
    <w:rsid w:val="00266AE5"/>
    <w:rsid w:val="00266E15"/>
    <w:rsid w:val="00267115"/>
    <w:rsid w:val="002673D2"/>
    <w:rsid w:val="00267CA1"/>
    <w:rsid w:val="00267D26"/>
    <w:rsid w:val="00267E77"/>
    <w:rsid w:val="002703ED"/>
    <w:rsid w:val="00270B4A"/>
    <w:rsid w:val="00270CAC"/>
    <w:rsid w:val="002721E9"/>
    <w:rsid w:val="00272989"/>
    <w:rsid w:val="00272E3F"/>
    <w:rsid w:val="00273287"/>
    <w:rsid w:val="00273473"/>
    <w:rsid w:val="00273A5D"/>
    <w:rsid w:val="00273C4D"/>
    <w:rsid w:val="00274893"/>
    <w:rsid w:val="002751B5"/>
    <w:rsid w:val="00275477"/>
    <w:rsid w:val="00275D67"/>
    <w:rsid w:val="00276379"/>
    <w:rsid w:val="002766B0"/>
    <w:rsid w:val="002768F4"/>
    <w:rsid w:val="00277110"/>
    <w:rsid w:val="002774E9"/>
    <w:rsid w:val="0027750E"/>
    <w:rsid w:val="00277B16"/>
    <w:rsid w:val="00277EF2"/>
    <w:rsid w:val="00280B1E"/>
    <w:rsid w:val="0028166B"/>
    <w:rsid w:val="002816A8"/>
    <w:rsid w:val="002825DC"/>
    <w:rsid w:val="00282977"/>
    <w:rsid w:val="00282986"/>
    <w:rsid w:val="00282BE4"/>
    <w:rsid w:val="00282DF3"/>
    <w:rsid w:val="002844DC"/>
    <w:rsid w:val="00285427"/>
    <w:rsid w:val="00285C89"/>
    <w:rsid w:val="00285DEA"/>
    <w:rsid w:val="00285EB1"/>
    <w:rsid w:val="002861F2"/>
    <w:rsid w:val="002864CC"/>
    <w:rsid w:val="002868CF"/>
    <w:rsid w:val="00286A62"/>
    <w:rsid w:val="00286D41"/>
    <w:rsid w:val="002870AF"/>
    <w:rsid w:val="0028793A"/>
    <w:rsid w:val="00290333"/>
    <w:rsid w:val="0029085D"/>
    <w:rsid w:val="00290A33"/>
    <w:rsid w:val="00290AA0"/>
    <w:rsid w:val="00290B97"/>
    <w:rsid w:val="002911CF"/>
    <w:rsid w:val="0029126A"/>
    <w:rsid w:val="0029181D"/>
    <w:rsid w:val="00291AAB"/>
    <w:rsid w:val="00291C48"/>
    <w:rsid w:val="0029229F"/>
    <w:rsid w:val="002922E1"/>
    <w:rsid w:val="00292542"/>
    <w:rsid w:val="002929FB"/>
    <w:rsid w:val="00292E53"/>
    <w:rsid w:val="00292E8E"/>
    <w:rsid w:val="002935A3"/>
    <w:rsid w:val="00293733"/>
    <w:rsid w:val="00293A4F"/>
    <w:rsid w:val="00293E2D"/>
    <w:rsid w:val="002944C8"/>
    <w:rsid w:val="0029486D"/>
    <w:rsid w:val="00295419"/>
    <w:rsid w:val="00295507"/>
    <w:rsid w:val="002958E7"/>
    <w:rsid w:val="002976E4"/>
    <w:rsid w:val="0029776E"/>
    <w:rsid w:val="002979DC"/>
    <w:rsid w:val="00297A37"/>
    <w:rsid w:val="00297F45"/>
    <w:rsid w:val="002A0613"/>
    <w:rsid w:val="002A0C69"/>
    <w:rsid w:val="002A0D9F"/>
    <w:rsid w:val="002A0EC5"/>
    <w:rsid w:val="002A1372"/>
    <w:rsid w:val="002A1676"/>
    <w:rsid w:val="002A1AD5"/>
    <w:rsid w:val="002A1B94"/>
    <w:rsid w:val="002A1BB8"/>
    <w:rsid w:val="002A1C68"/>
    <w:rsid w:val="002A1D44"/>
    <w:rsid w:val="002A23A7"/>
    <w:rsid w:val="002A24FE"/>
    <w:rsid w:val="002A256B"/>
    <w:rsid w:val="002A28A5"/>
    <w:rsid w:val="002A35EE"/>
    <w:rsid w:val="002A38FC"/>
    <w:rsid w:val="002A393F"/>
    <w:rsid w:val="002A3B07"/>
    <w:rsid w:val="002A3E24"/>
    <w:rsid w:val="002A438B"/>
    <w:rsid w:val="002A4726"/>
    <w:rsid w:val="002A4A3A"/>
    <w:rsid w:val="002A5007"/>
    <w:rsid w:val="002A5A34"/>
    <w:rsid w:val="002A6169"/>
    <w:rsid w:val="002A6995"/>
    <w:rsid w:val="002A6F75"/>
    <w:rsid w:val="002A7144"/>
    <w:rsid w:val="002A73AC"/>
    <w:rsid w:val="002A774F"/>
    <w:rsid w:val="002A7B93"/>
    <w:rsid w:val="002B0317"/>
    <w:rsid w:val="002B0358"/>
    <w:rsid w:val="002B0434"/>
    <w:rsid w:val="002B0767"/>
    <w:rsid w:val="002B09CF"/>
    <w:rsid w:val="002B0C9A"/>
    <w:rsid w:val="002B0E6D"/>
    <w:rsid w:val="002B0E7A"/>
    <w:rsid w:val="002B1003"/>
    <w:rsid w:val="002B1115"/>
    <w:rsid w:val="002B238C"/>
    <w:rsid w:val="002B2500"/>
    <w:rsid w:val="002B2E48"/>
    <w:rsid w:val="002B3157"/>
    <w:rsid w:val="002B33B4"/>
    <w:rsid w:val="002B3DED"/>
    <w:rsid w:val="002B439A"/>
    <w:rsid w:val="002B4AF1"/>
    <w:rsid w:val="002B569E"/>
    <w:rsid w:val="002B5B77"/>
    <w:rsid w:val="002B5CD8"/>
    <w:rsid w:val="002B639A"/>
    <w:rsid w:val="002C0207"/>
    <w:rsid w:val="002C07A9"/>
    <w:rsid w:val="002C141A"/>
    <w:rsid w:val="002C1770"/>
    <w:rsid w:val="002C1BBC"/>
    <w:rsid w:val="002C1CCD"/>
    <w:rsid w:val="002C1FF4"/>
    <w:rsid w:val="002C2002"/>
    <w:rsid w:val="002C28A9"/>
    <w:rsid w:val="002C2929"/>
    <w:rsid w:val="002C3441"/>
    <w:rsid w:val="002C40FC"/>
    <w:rsid w:val="002C4968"/>
    <w:rsid w:val="002C4B7B"/>
    <w:rsid w:val="002C5CC6"/>
    <w:rsid w:val="002C67D4"/>
    <w:rsid w:val="002C68F4"/>
    <w:rsid w:val="002C6A20"/>
    <w:rsid w:val="002C6AE5"/>
    <w:rsid w:val="002C7E9B"/>
    <w:rsid w:val="002D00D5"/>
    <w:rsid w:val="002D0663"/>
    <w:rsid w:val="002D0BEE"/>
    <w:rsid w:val="002D0D4C"/>
    <w:rsid w:val="002D0F9C"/>
    <w:rsid w:val="002D1056"/>
    <w:rsid w:val="002D2228"/>
    <w:rsid w:val="002D2B9D"/>
    <w:rsid w:val="002D2C36"/>
    <w:rsid w:val="002D38AF"/>
    <w:rsid w:val="002D3C8F"/>
    <w:rsid w:val="002D3FC3"/>
    <w:rsid w:val="002D3FEC"/>
    <w:rsid w:val="002D41B4"/>
    <w:rsid w:val="002D458B"/>
    <w:rsid w:val="002D479C"/>
    <w:rsid w:val="002D4D2D"/>
    <w:rsid w:val="002D5430"/>
    <w:rsid w:val="002D602F"/>
    <w:rsid w:val="002D6506"/>
    <w:rsid w:val="002D6F05"/>
    <w:rsid w:val="002D7207"/>
    <w:rsid w:val="002D7C8D"/>
    <w:rsid w:val="002E045F"/>
    <w:rsid w:val="002E0562"/>
    <w:rsid w:val="002E061A"/>
    <w:rsid w:val="002E0751"/>
    <w:rsid w:val="002E1862"/>
    <w:rsid w:val="002E2798"/>
    <w:rsid w:val="002E2EE5"/>
    <w:rsid w:val="002E2F07"/>
    <w:rsid w:val="002E3A52"/>
    <w:rsid w:val="002E4584"/>
    <w:rsid w:val="002E4966"/>
    <w:rsid w:val="002E508A"/>
    <w:rsid w:val="002E522C"/>
    <w:rsid w:val="002E53AD"/>
    <w:rsid w:val="002E53D8"/>
    <w:rsid w:val="002E586C"/>
    <w:rsid w:val="002E5BB3"/>
    <w:rsid w:val="002E5DAD"/>
    <w:rsid w:val="002E5F1B"/>
    <w:rsid w:val="002E6189"/>
    <w:rsid w:val="002E7166"/>
    <w:rsid w:val="002E74EA"/>
    <w:rsid w:val="002E765F"/>
    <w:rsid w:val="002E798A"/>
    <w:rsid w:val="002E7A74"/>
    <w:rsid w:val="002F074E"/>
    <w:rsid w:val="002F0B39"/>
    <w:rsid w:val="002F0E05"/>
    <w:rsid w:val="002F0E50"/>
    <w:rsid w:val="002F158F"/>
    <w:rsid w:val="002F18D5"/>
    <w:rsid w:val="002F20E3"/>
    <w:rsid w:val="002F241A"/>
    <w:rsid w:val="002F2F66"/>
    <w:rsid w:val="002F3D01"/>
    <w:rsid w:val="002F420B"/>
    <w:rsid w:val="002F46B2"/>
    <w:rsid w:val="002F4AB3"/>
    <w:rsid w:val="002F4DBB"/>
    <w:rsid w:val="002F4EC6"/>
    <w:rsid w:val="002F4FF5"/>
    <w:rsid w:val="002F561F"/>
    <w:rsid w:val="002F584A"/>
    <w:rsid w:val="002F5AA2"/>
    <w:rsid w:val="002F5AA7"/>
    <w:rsid w:val="002F5D27"/>
    <w:rsid w:val="002F72A9"/>
    <w:rsid w:val="002F73B2"/>
    <w:rsid w:val="002F7CFC"/>
    <w:rsid w:val="00300044"/>
    <w:rsid w:val="003000C5"/>
    <w:rsid w:val="003001D4"/>
    <w:rsid w:val="00300296"/>
    <w:rsid w:val="00300738"/>
    <w:rsid w:val="00301966"/>
    <w:rsid w:val="00301CCD"/>
    <w:rsid w:val="00301DA3"/>
    <w:rsid w:val="00302222"/>
    <w:rsid w:val="00302318"/>
    <w:rsid w:val="003028C6"/>
    <w:rsid w:val="003029F1"/>
    <w:rsid w:val="00302E28"/>
    <w:rsid w:val="0030302C"/>
    <w:rsid w:val="00303346"/>
    <w:rsid w:val="00303610"/>
    <w:rsid w:val="00303C3B"/>
    <w:rsid w:val="00303CD8"/>
    <w:rsid w:val="00303F83"/>
    <w:rsid w:val="00305182"/>
    <w:rsid w:val="00305653"/>
    <w:rsid w:val="00305731"/>
    <w:rsid w:val="003058F9"/>
    <w:rsid w:val="00305929"/>
    <w:rsid w:val="003059D8"/>
    <w:rsid w:val="003059F9"/>
    <w:rsid w:val="00305A1C"/>
    <w:rsid w:val="003060F2"/>
    <w:rsid w:val="0030624F"/>
    <w:rsid w:val="0030627A"/>
    <w:rsid w:val="003064AE"/>
    <w:rsid w:val="00307350"/>
    <w:rsid w:val="00307671"/>
    <w:rsid w:val="00307B80"/>
    <w:rsid w:val="003105C7"/>
    <w:rsid w:val="0031068B"/>
    <w:rsid w:val="003114B3"/>
    <w:rsid w:val="00311509"/>
    <w:rsid w:val="00311715"/>
    <w:rsid w:val="00311848"/>
    <w:rsid w:val="00311A1C"/>
    <w:rsid w:val="00311FE2"/>
    <w:rsid w:val="0031240D"/>
    <w:rsid w:val="00312668"/>
    <w:rsid w:val="003130B9"/>
    <w:rsid w:val="003139E3"/>
    <w:rsid w:val="00313C20"/>
    <w:rsid w:val="00314295"/>
    <w:rsid w:val="0031429C"/>
    <w:rsid w:val="0031527C"/>
    <w:rsid w:val="00315299"/>
    <w:rsid w:val="00315577"/>
    <w:rsid w:val="00315CDE"/>
    <w:rsid w:val="003162A2"/>
    <w:rsid w:val="00316520"/>
    <w:rsid w:val="003172CF"/>
    <w:rsid w:val="0031752D"/>
    <w:rsid w:val="00317717"/>
    <w:rsid w:val="00317872"/>
    <w:rsid w:val="003203F0"/>
    <w:rsid w:val="00320406"/>
    <w:rsid w:val="00320510"/>
    <w:rsid w:val="003210E6"/>
    <w:rsid w:val="00321668"/>
    <w:rsid w:val="00322C93"/>
    <w:rsid w:val="00323492"/>
    <w:rsid w:val="0032355E"/>
    <w:rsid w:val="003236B5"/>
    <w:rsid w:val="00323AC9"/>
    <w:rsid w:val="00323BF7"/>
    <w:rsid w:val="00323D14"/>
    <w:rsid w:val="00323D21"/>
    <w:rsid w:val="00323E81"/>
    <w:rsid w:val="00324940"/>
    <w:rsid w:val="00324B17"/>
    <w:rsid w:val="00324C87"/>
    <w:rsid w:val="00325BCD"/>
    <w:rsid w:val="00325C1F"/>
    <w:rsid w:val="003263C7"/>
    <w:rsid w:val="0032685B"/>
    <w:rsid w:val="003269A4"/>
    <w:rsid w:val="0032751D"/>
    <w:rsid w:val="00327826"/>
    <w:rsid w:val="00327CA5"/>
    <w:rsid w:val="00327E29"/>
    <w:rsid w:val="003300E0"/>
    <w:rsid w:val="0033075E"/>
    <w:rsid w:val="003309A0"/>
    <w:rsid w:val="00330B4A"/>
    <w:rsid w:val="0033134C"/>
    <w:rsid w:val="00331490"/>
    <w:rsid w:val="0033214C"/>
    <w:rsid w:val="003321A8"/>
    <w:rsid w:val="00332226"/>
    <w:rsid w:val="003327EC"/>
    <w:rsid w:val="00332D38"/>
    <w:rsid w:val="0033328A"/>
    <w:rsid w:val="00333940"/>
    <w:rsid w:val="00333DA0"/>
    <w:rsid w:val="00333F46"/>
    <w:rsid w:val="003340CC"/>
    <w:rsid w:val="00334418"/>
    <w:rsid w:val="00334680"/>
    <w:rsid w:val="003346EA"/>
    <w:rsid w:val="0033495F"/>
    <w:rsid w:val="00334A74"/>
    <w:rsid w:val="00334B40"/>
    <w:rsid w:val="00334F21"/>
    <w:rsid w:val="003361DC"/>
    <w:rsid w:val="003376CD"/>
    <w:rsid w:val="0034039D"/>
    <w:rsid w:val="00340DBE"/>
    <w:rsid w:val="00340DBF"/>
    <w:rsid w:val="00341745"/>
    <w:rsid w:val="00341950"/>
    <w:rsid w:val="00342347"/>
    <w:rsid w:val="00342546"/>
    <w:rsid w:val="0034268A"/>
    <w:rsid w:val="00343419"/>
    <w:rsid w:val="003434E2"/>
    <w:rsid w:val="00343529"/>
    <w:rsid w:val="00343B4D"/>
    <w:rsid w:val="00344AE9"/>
    <w:rsid w:val="003451C7"/>
    <w:rsid w:val="003457E5"/>
    <w:rsid w:val="00345ABC"/>
    <w:rsid w:val="00346B53"/>
    <w:rsid w:val="00346BBE"/>
    <w:rsid w:val="00346BE5"/>
    <w:rsid w:val="0034728F"/>
    <w:rsid w:val="0034759F"/>
    <w:rsid w:val="003475F4"/>
    <w:rsid w:val="00347721"/>
    <w:rsid w:val="00350232"/>
    <w:rsid w:val="00350619"/>
    <w:rsid w:val="00350C0C"/>
    <w:rsid w:val="00350CB1"/>
    <w:rsid w:val="003511DF"/>
    <w:rsid w:val="0035136B"/>
    <w:rsid w:val="003513A0"/>
    <w:rsid w:val="003513DF"/>
    <w:rsid w:val="003519AE"/>
    <w:rsid w:val="003526F1"/>
    <w:rsid w:val="00352D70"/>
    <w:rsid w:val="00352FE9"/>
    <w:rsid w:val="00353878"/>
    <w:rsid w:val="003539E8"/>
    <w:rsid w:val="00353BF4"/>
    <w:rsid w:val="0035434C"/>
    <w:rsid w:val="00354942"/>
    <w:rsid w:val="00354FA2"/>
    <w:rsid w:val="00355567"/>
    <w:rsid w:val="0035574C"/>
    <w:rsid w:val="0035578C"/>
    <w:rsid w:val="003559B1"/>
    <w:rsid w:val="00355A24"/>
    <w:rsid w:val="00355E0A"/>
    <w:rsid w:val="00355E41"/>
    <w:rsid w:val="00356D5D"/>
    <w:rsid w:val="003574D0"/>
    <w:rsid w:val="00357681"/>
    <w:rsid w:val="00360179"/>
    <w:rsid w:val="0036032F"/>
    <w:rsid w:val="00360AE8"/>
    <w:rsid w:val="00360C0C"/>
    <w:rsid w:val="00360E82"/>
    <w:rsid w:val="00361931"/>
    <w:rsid w:val="00362083"/>
    <w:rsid w:val="003623CD"/>
    <w:rsid w:val="00362509"/>
    <w:rsid w:val="00362566"/>
    <w:rsid w:val="00362B48"/>
    <w:rsid w:val="00362E12"/>
    <w:rsid w:val="00362F18"/>
    <w:rsid w:val="0036339E"/>
    <w:rsid w:val="00363471"/>
    <w:rsid w:val="00363BC4"/>
    <w:rsid w:val="00363CDC"/>
    <w:rsid w:val="00363E4D"/>
    <w:rsid w:val="0036472F"/>
    <w:rsid w:val="00364AE5"/>
    <w:rsid w:val="003653ED"/>
    <w:rsid w:val="003657B2"/>
    <w:rsid w:val="00365C00"/>
    <w:rsid w:val="00365CDA"/>
    <w:rsid w:val="003661EB"/>
    <w:rsid w:val="00366837"/>
    <w:rsid w:val="00366A5B"/>
    <w:rsid w:val="00366AB0"/>
    <w:rsid w:val="00366CAF"/>
    <w:rsid w:val="00366DE7"/>
    <w:rsid w:val="00367154"/>
    <w:rsid w:val="0036718F"/>
    <w:rsid w:val="003672D4"/>
    <w:rsid w:val="00367321"/>
    <w:rsid w:val="0036749F"/>
    <w:rsid w:val="003674C9"/>
    <w:rsid w:val="00367FAE"/>
    <w:rsid w:val="0037082E"/>
    <w:rsid w:val="003708AF"/>
    <w:rsid w:val="00370CCA"/>
    <w:rsid w:val="00371585"/>
    <w:rsid w:val="00371703"/>
    <w:rsid w:val="0037219B"/>
    <w:rsid w:val="0037259A"/>
    <w:rsid w:val="0037261E"/>
    <w:rsid w:val="00372E17"/>
    <w:rsid w:val="0037303E"/>
    <w:rsid w:val="003736DA"/>
    <w:rsid w:val="003747F4"/>
    <w:rsid w:val="00374CAB"/>
    <w:rsid w:val="003753D4"/>
    <w:rsid w:val="003753DC"/>
    <w:rsid w:val="003760EB"/>
    <w:rsid w:val="003765E3"/>
    <w:rsid w:val="00376774"/>
    <w:rsid w:val="003768B9"/>
    <w:rsid w:val="00377153"/>
    <w:rsid w:val="00377915"/>
    <w:rsid w:val="00377B71"/>
    <w:rsid w:val="00377C05"/>
    <w:rsid w:val="00380230"/>
    <w:rsid w:val="00380700"/>
    <w:rsid w:val="00380EB2"/>
    <w:rsid w:val="003820A6"/>
    <w:rsid w:val="0038271B"/>
    <w:rsid w:val="00383C0C"/>
    <w:rsid w:val="00383D8F"/>
    <w:rsid w:val="00383FE0"/>
    <w:rsid w:val="0038419C"/>
    <w:rsid w:val="0038430E"/>
    <w:rsid w:val="00384609"/>
    <w:rsid w:val="003846E9"/>
    <w:rsid w:val="00384855"/>
    <w:rsid w:val="00384E53"/>
    <w:rsid w:val="00384E79"/>
    <w:rsid w:val="003854C0"/>
    <w:rsid w:val="00385525"/>
    <w:rsid w:val="00385898"/>
    <w:rsid w:val="00385CEC"/>
    <w:rsid w:val="00385D51"/>
    <w:rsid w:val="003862AA"/>
    <w:rsid w:val="00386CB9"/>
    <w:rsid w:val="00387073"/>
    <w:rsid w:val="00387165"/>
    <w:rsid w:val="00387405"/>
    <w:rsid w:val="00387CAE"/>
    <w:rsid w:val="00387F0E"/>
    <w:rsid w:val="00390067"/>
    <w:rsid w:val="00390CB2"/>
    <w:rsid w:val="00391547"/>
    <w:rsid w:val="0039190B"/>
    <w:rsid w:val="00391BEE"/>
    <w:rsid w:val="003934C1"/>
    <w:rsid w:val="003936C4"/>
    <w:rsid w:val="003937C1"/>
    <w:rsid w:val="003938B4"/>
    <w:rsid w:val="00393940"/>
    <w:rsid w:val="00393F39"/>
    <w:rsid w:val="0039434A"/>
    <w:rsid w:val="00394728"/>
    <w:rsid w:val="00395A11"/>
    <w:rsid w:val="00395E98"/>
    <w:rsid w:val="00397132"/>
    <w:rsid w:val="003975ED"/>
    <w:rsid w:val="003A054F"/>
    <w:rsid w:val="003A0846"/>
    <w:rsid w:val="003A0F21"/>
    <w:rsid w:val="003A108A"/>
    <w:rsid w:val="003A146D"/>
    <w:rsid w:val="003A2A12"/>
    <w:rsid w:val="003A2C6E"/>
    <w:rsid w:val="003A3463"/>
    <w:rsid w:val="003A34ED"/>
    <w:rsid w:val="003A3FFB"/>
    <w:rsid w:val="003A426B"/>
    <w:rsid w:val="003A449A"/>
    <w:rsid w:val="003A48B2"/>
    <w:rsid w:val="003A4B7D"/>
    <w:rsid w:val="003A4FF5"/>
    <w:rsid w:val="003A54F4"/>
    <w:rsid w:val="003A55F9"/>
    <w:rsid w:val="003A5DBC"/>
    <w:rsid w:val="003A60A7"/>
    <w:rsid w:val="003A60E9"/>
    <w:rsid w:val="003A64C5"/>
    <w:rsid w:val="003A6912"/>
    <w:rsid w:val="003A6968"/>
    <w:rsid w:val="003A6B88"/>
    <w:rsid w:val="003A77EB"/>
    <w:rsid w:val="003A7BD2"/>
    <w:rsid w:val="003A7D3D"/>
    <w:rsid w:val="003B0781"/>
    <w:rsid w:val="003B0859"/>
    <w:rsid w:val="003B09F1"/>
    <w:rsid w:val="003B0D94"/>
    <w:rsid w:val="003B11DB"/>
    <w:rsid w:val="003B1253"/>
    <w:rsid w:val="003B2F6B"/>
    <w:rsid w:val="003B39E4"/>
    <w:rsid w:val="003B3AA7"/>
    <w:rsid w:val="003B405A"/>
    <w:rsid w:val="003B40F2"/>
    <w:rsid w:val="003B4263"/>
    <w:rsid w:val="003B447A"/>
    <w:rsid w:val="003B4550"/>
    <w:rsid w:val="003B458E"/>
    <w:rsid w:val="003B45DE"/>
    <w:rsid w:val="003B4B59"/>
    <w:rsid w:val="003B4DF6"/>
    <w:rsid w:val="003B5054"/>
    <w:rsid w:val="003B539C"/>
    <w:rsid w:val="003B55F3"/>
    <w:rsid w:val="003B59E8"/>
    <w:rsid w:val="003B62FD"/>
    <w:rsid w:val="003B6B42"/>
    <w:rsid w:val="003B734A"/>
    <w:rsid w:val="003B749F"/>
    <w:rsid w:val="003B79D8"/>
    <w:rsid w:val="003C02F8"/>
    <w:rsid w:val="003C03B3"/>
    <w:rsid w:val="003C0517"/>
    <w:rsid w:val="003C0681"/>
    <w:rsid w:val="003C0D20"/>
    <w:rsid w:val="003C1F02"/>
    <w:rsid w:val="003C218B"/>
    <w:rsid w:val="003C2331"/>
    <w:rsid w:val="003C33AA"/>
    <w:rsid w:val="003C3F9B"/>
    <w:rsid w:val="003C408A"/>
    <w:rsid w:val="003C46F0"/>
    <w:rsid w:val="003C4A11"/>
    <w:rsid w:val="003C4A30"/>
    <w:rsid w:val="003C5AB6"/>
    <w:rsid w:val="003C5EE5"/>
    <w:rsid w:val="003C5F0C"/>
    <w:rsid w:val="003C6115"/>
    <w:rsid w:val="003C6543"/>
    <w:rsid w:val="003C67F8"/>
    <w:rsid w:val="003C6F7E"/>
    <w:rsid w:val="003C748F"/>
    <w:rsid w:val="003C74FC"/>
    <w:rsid w:val="003C751F"/>
    <w:rsid w:val="003C7C39"/>
    <w:rsid w:val="003D02D2"/>
    <w:rsid w:val="003D0922"/>
    <w:rsid w:val="003D0BCE"/>
    <w:rsid w:val="003D1333"/>
    <w:rsid w:val="003D1593"/>
    <w:rsid w:val="003D1987"/>
    <w:rsid w:val="003D212B"/>
    <w:rsid w:val="003D2403"/>
    <w:rsid w:val="003D2617"/>
    <w:rsid w:val="003D2ED7"/>
    <w:rsid w:val="003D3180"/>
    <w:rsid w:val="003D3291"/>
    <w:rsid w:val="003D32BB"/>
    <w:rsid w:val="003D345E"/>
    <w:rsid w:val="003D38AA"/>
    <w:rsid w:val="003D3E3A"/>
    <w:rsid w:val="003D470D"/>
    <w:rsid w:val="003D4A97"/>
    <w:rsid w:val="003D4FCD"/>
    <w:rsid w:val="003D5241"/>
    <w:rsid w:val="003D5387"/>
    <w:rsid w:val="003D5BB6"/>
    <w:rsid w:val="003D60E0"/>
    <w:rsid w:val="003D6488"/>
    <w:rsid w:val="003D661B"/>
    <w:rsid w:val="003D75C8"/>
    <w:rsid w:val="003E0083"/>
    <w:rsid w:val="003E008A"/>
    <w:rsid w:val="003E0886"/>
    <w:rsid w:val="003E11E9"/>
    <w:rsid w:val="003E1244"/>
    <w:rsid w:val="003E1662"/>
    <w:rsid w:val="003E1FA1"/>
    <w:rsid w:val="003E2F99"/>
    <w:rsid w:val="003E3420"/>
    <w:rsid w:val="003E3D01"/>
    <w:rsid w:val="003E3DD4"/>
    <w:rsid w:val="003E3F2C"/>
    <w:rsid w:val="003E40F9"/>
    <w:rsid w:val="003E4363"/>
    <w:rsid w:val="003E436D"/>
    <w:rsid w:val="003E456C"/>
    <w:rsid w:val="003E50A3"/>
    <w:rsid w:val="003E50FD"/>
    <w:rsid w:val="003E5470"/>
    <w:rsid w:val="003E564C"/>
    <w:rsid w:val="003E5CEE"/>
    <w:rsid w:val="003E6340"/>
    <w:rsid w:val="003E744D"/>
    <w:rsid w:val="003E753B"/>
    <w:rsid w:val="003E7D57"/>
    <w:rsid w:val="003E7EBE"/>
    <w:rsid w:val="003E7EDF"/>
    <w:rsid w:val="003F169A"/>
    <w:rsid w:val="003F1D97"/>
    <w:rsid w:val="003F4026"/>
    <w:rsid w:val="003F43F4"/>
    <w:rsid w:val="003F4526"/>
    <w:rsid w:val="003F4573"/>
    <w:rsid w:val="003F4982"/>
    <w:rsid w:val="003F4A92"/>
    <w:rsid w:val="003F4D7E"/>
    <w:rsid w:val="003F5158"/>
    <w:rsid w:val="003F51F4"/>
    <w:rsid w:val="003F5BF9"/>
    <w:rsid w:val="003F61EF"/>
    <w:rsid w:val="003F63C1"/>
    <w:rsid w:val="003F6B6A"/>
    <w:rsid w:val="003F6BBC"/>
    <w:rsid w:val="003F70EA"/>
    <w:rsid w:val="003F7718"/>
    <w:rsid w:val="003F794F"/>
    <w:rsid w:val="004003B8"/>
    <w:rsid w:val="00400458"/>
    <w:rsid w:val="00400C78"/>
    <w:rsid w:val="00400CB1"/>
    <w:rsid w:val="00400F6E"/>
    <w:rsid w:val="0040134E"/>
    <w:rsid w:val="00401838"/>
    <w:rsid w:val="00401BA8"/>
    <w:rsid w:val="00401C26"/>
    <w:rsid w:val="00401CF4"/>
    <w:rsid w:val="00401D32"/>
    <w:rsid w:val="00402857"/>
    <w:rsid w:val="00402909"/>
    <w:rsid w:val="00402A13"/>
    <w:rsid w:val="00403070"/>
    <w:rsid w:val="00403227"/>
    <w:rsid w:val="00404122"/>
    <w:rsid w:val="004047EF"/>
    <w:rsid w:val="004050E6"/>
    <w:rsid w:val="00405EA4"/>
    <w:rsid w:val="00406201"/>
    <w:rsid w:val="00406527"/>
    <w:rsid w:val="00406569"/>
    <w:rsid w:val="00406DE1"/>
    <w:rsid w:val="004076EB"/>
    <w:rsid w:val="00407EED"/>
    <w:rsid w:val="00410629"/>
    <w:rsid w:val="0041070C"/>
    <w:rsid w:val="00411073"/>
    <w:rsid w:val="00411186"/>
    <w:rsid w:val="0041145F"/>
    <w:rsid w:val="004116BB"/>
    <w:rsid w:val="00411CE1"/>
    <w:rsid w:val="00411D73"/>
    <w:rsid w:val="00412204"/>
    <w:rsid w:val="004124CC"/>
    <w:rsid w:val="00412562"/>
    <w:rsid w:val="00412C70"/>
    <w:rsid w:val="0041342E"/>
    <w:rsid w:val="0041397F"/>
    <w:rsid w:val="00413F82"/>
    <w:rsid w:val="00415FC3"/>
    <w:rsid w:val="00416705"/>
    <w:rsid w:val="00416A0A"/>
    <w:rsid w:val="00416B25"/>
    <w:rsid w:val="00416BA5"/>
    <w:rsid w:val="00420060"/>
    <w:rsid w:val="004204DB"/>
    <w:rsid w:val="0042083E"/>
    <w:rsid w:val="00420AD2"/>
    <w:rsid w:val="00420DD4"/>
    <w:rsid w:val="0042142D"/>
    <w:rsid w:val="004218F3"/>
    <w:rsid w:val="00421CC1"/>
    <w:rsid w:val="00421DB2"/>
    <w:rsid w:val="00421F33"/>
    <w:rsid w:val="00421FE7"/>
    <w:rsid w:val="00422283"/>
    <w:rsid w:val="004226D5"/>
    <w:rsid w:val="00422A34"/>
    <w:rsid w:val="004231B7"/>
    <w:rsid w:val="004232DD"/>
    <w:rsid w:val="004235DA"/>
    <w:rsid w:val="00423D9F"/>
    <w:rsid w:val="00423EFC"/>
    <w:rsid w:val="004240D9"/>
    <w:rsid w:val="004246FC"/>
    <w:rsid w:val="0042486F"/>
    <w:rsid w:val="004248E1"/>
    <w:rsid w:val="00424D0B"/>
    <w:rsid w:val="0042540B"/>
    <w:rsid w:val="0042579E"/>
    <w:rsid w:val="00425822"/>
    <w:rsid w:val="00425E88"/>
    <w:rsid w:val="004260AF"/>
    <w:rsid w:val="00426B8D"/>
    <w:rsid w:val="00427BB2"/>
    <w:rsid w:val="00427E8C"/>
    <w:rsid w:val="00427FC2"/>
    <w:rsid w:val="0043006F"/>
    <w:rsid w:val="004304E8"/>
    <w:rsid w:val="004307E9"/>
    <w:rsid w:val="00430F8A"/>
    <w:rsid w:val="00431878"/>
    <w:rsid w:val="00431BF6"/>
    <w:rsid w:val="0043209A"/>
    <w:rsid w:val="00432F2B"/>
    <w:rsid w:val="0043397F"/>
    <w:rsid w:val="00433AF7"/>
    <w:rsid w:val="00433B7C"/>
    <w:rsid w:val="00433EB6"/>
    <w:rsid w:val="0043401F"/>
    <w:rsid w:val="004342A1"/>
    <w:rsid w:val="00434928"/>
    <w:rsid w:val="00434DB1"/>
    <w:rsid w:val="00435600"/>
    <w:rsid w:val="00435605"/>
    <w:rsid w:val="00435934"/>
    <w:rsid w:val="0043595E"/>
    <w:rsid w:val="00435B85"/>
    <w:rsid w:val="00436394"/>
    <w:rsid w:val="0043650F"/>
    <w:rsid w:val="0043664A"/>
    <w:rsid w:val="00436F27"/>
    <w:rsid w:val="00437674"/>
    <w:rsid w:val="004379B5"/>
    <w:rsid w:val="004407AE"/>
    <w:rsid w:val="00441038"/>
    <w:rsid w:val="00441516"/>
    <w:rsid w:val="004416BE"/>
    <w:rsid w:val="00441CE4"/>
    <w:rsid w:val="00441FBF"/>
    <w:rsid w:val="004428C0"/>
    <w:rsid w:val="00442A5D"/>
    <w:rsid w:val="0044303C"/>
    <w:rsid w:val="0044339A"/>
    <w:rsid w:val="004433BF"/>
    <w:rsid w:val="004434B1"/>
    <w:rsid w:val="00443AEE"/>
    <w:rsid w:val="004444F1"/>
    <w:rsid w:val="0044499E"/>
    <w:rsid w:val="00444F01"/>
    <w:rsid w:val="00445428"/>
    <w:rsid w:val="0044569C"/>
    <w:rsid w:val="00445C92"/>
    <w:rsid w:val="00445CBE"/>
    <w:rsid w:val="0044634A"/>
    <w:rsid w:val="00446670"/>
    <w:rsid w:val="00446943"/>
    <w:rsid w:val="004473A3"/>
    <w:rsid w:val="00450041"/>
    <w:rsid w:val="0045051D"/>
    <w:rsid w:val="00450551"/>
    <w:rsid w:val="00450798"/>
    <w:rsid w:val="00450AA3"/>
    <w:rsid w:val="00450FA5"/>
    <w:rsid w:val="004511AE"/>
    <w:rsid w:val="00451825"/>
    <w:rsid w:val="00451D8D"/>
    <w:rsid w:val="004522BB"/>
    <w:rsid w:val="00452820"/>
    <w:rsid w:val="00453379"/>
    <w:rsid w:val="00453CF5"/>
    <w:rsid w:val="0045416C"/>
    <w:rsid w:val="004547BD"/>
    <w:rsid w:val="00454964"/>
    <w:rsid w:val="004549D4"/>
    <w:rsid w:val="004555EF"/>
    <w:rsid w:val="0045578E"/>
    <w:rsid w:val="00455A14"/>
    <w:rsid w:val="00456166"/>
    <w:rsid w:val="0045658F"/>
    <w:rsid w:val="00456608"/>
    <w:rsid w:val="00456905"/>
    <w:rsid w:val="00456A2B"/>
    <w:rsid w:val="00456F72"/>
    <w:rsid w:val="00456F81"/>
    <w:rsid w:val="0045763F"/>
    <w:rsid w:val="004603D4"/>
    <w:rsid w:val="00460B85"/>
    <w:rsid w:val="00460B9F"/>
    <w:rsid w:val="00460E02"/>
    <w:rsid w:val="00461221"/>
    <w:rsid w:val="00461AE9"/>
    <w:rsid w:val="00461DAE"/>
    <w:rsid w:val="00461F78"/>
    <w:rsid w:val="00461FB1"/>
    <w:rsid w:val="00462122"/>
    <w:rsid w:val="004629FD"/>
    <w:rsid w:val="00462B79"/>
    <w:rsid w:val="00463293"/>
    <w:rsid w:val="004634A9"/>
    <w:rsid w:val="00463E7B"/>
    <w:rsid w:val="00463EF1"/>
    <w:rsid w:val="0046447F"/>
    <w:rsid w:val="00464613"/>
    <w:rsid w:val="00464BF4"/>
    <w:rsid w:val="00464CF6"/>
    <w:rsid w:val="00465C6F"/>
    <w:rsid w:val="00465EEA"/>
    <w:rsid w:val="0046609A"/>
    <w:rsid w:val="004661BE"/>
    <w:rsid w:val="004668DC"/>
    <w:rsid w:val="00467797"/>
    <w:rsid w:val="004677CA"/>
    <w:rsid w:val="004678FD"/>
    <w:rsid w:val="004679BE"/>
    <w:rsid w:val="00467A83"/>
    <w:rsid w:val="00467CE7"/>
    <w:rsid w:val="00467E21"/>
    <w:rsid w:val="00470B06"/>
    <w:rsid w:val="00470D70"/>
    <w:rsid w:val="00471021"/>
    <w:rsid w:val="00471149"/>
    <w:rsid w:val="0047141A"/>
    <w:rsid w:val="004716FA"/>
    <w:rsid w:val="00471993"/>
    <w:rsid w:val="004719AB"/>
    <w:rsid w:val="00471C31"/>
    <w:rsid w:val="00472102"/>
    <w:rsid w:val="00472B03"/>
    <w:rsid w:val="00472EDA"/>
    <w:rsid w:val="0047322A"/>
    <w:rsid w:val="0047384A"/>
    <w:rsid w:val="00474A3E"/>
    <w:rsid w:val="00474AEA"/>
    <w:rsid w:val="00474B08"/>
    <w:rsid w:val="00475792"/>
    <w:rsid w:val="00475E44"/>
    <w:rsid w:val="004761AE"/>
    <w:rsid w:val="004764BF"/>
    <w:rsid w:val="00476A0D"/>
    <w:rsid w:val="004778B1"/>
    <w:rsid w:val="004779F0"/>
    <w:rsid w:val="00480252"/>
    <w:rsid w:val="00480C88"/>
    <w:rsid w:val="00481042"/>
    <w:rsid w:val="00481943"/>
    <w:rsid w:val="004819F5"/>
    <w:rsid w:val="00481DB4"/>
    <w:rsid w:val="00481DC7"/>
    <w:rsid w:val="00482B4A"/>
    <w:rsid w:val="004833DD"/>
    <w:rsid w:val="00483432"/>
    <w:rsid w:val="00483F16"/>
    <w:rsid w:val="00484168"/>
    <w:rsid w:val="0048472C"/>
    <w:rsid w:val="00484F9D"/>
    <w:rsid w:val="004852EC"/>
    <w:rsid w:val="00485517"/>
    <w:rsid w:val="0048572F"/>
    <w:rsid w:val="00485D27"/>
    <w:rsid w:val="00485ED1"/>
    <w:rsid w:val="00486C0E"/>
    <w:rsid w:val="004872A2"/>
    <w:rsid w:val="004877CC"/>
    <w:rsid w:val="00487828"/>
    <w:rsid w:val="00487AD7"/>
    <w:rsid w:val="00490484"/>
    <w:rsid w:val="00490BDC"/>
    <w:rsid w:val="00490FAC"/>
    <w:rsid w:val="00491310"/>
    <w:rsid w:val="0049181D"/>
    <w:rsid w:val="004918D7"/>
    <w:rsid w:val="004924B2"/>
    <w:rsid w:val="0049267D"/>
    <w:rsid w:val="0049312F"/>
    <w:rsid w:val="004932F8"/>
    <w:rsid w:val="0049333C"/>
    <w:rsid w:val="00493414"/>
    <w:rsid w:val="00493607"/>
    <w:rsid w:val="00493F06"/>
    <w:rsid w:val="004943B6"/>
    <w:rsid w:val="004947C1"/>
    <w:rsid w:val="004947E9"/>
    <w:rsid w:val="00494A72"/>
    <w:rsid w:val="00494D4D"/>
    <w:rsid w:val="004951A5"/>
    <w:rsid w:val="00495330"/>
    <w:rsid w:val="00495434"/>
    <w:rsid w:val="0049598A"/>
    <w:rsid w:val="00495A49"/>
    <w:rsid w:val="00496301"/>
    <w:rsid w:val="004963B0"/>
    <w:rsid w:val="004965C7"/>
    <w:rsid w:val="004965CF"/>
    <w:rsid w:val="00496801"/>
    <w:rsid w:val="004968E4"/>
    <w:rsid w:val="00496998"/>
    <w:rsid w:val="00496AB5"/>
    <w:rsid w:val="00496D64"/>
    <w:rsid w:val="004A003B"/>
    <w:rsid w:val="004A0235"/>
    <w:rsid w:val="004A0364"/>
    <w:rsid w:val="004A064A"/>
    <w:rsid w:val="004A14A7"/>
    <w:rsid w:val="004A14DD"/>
    <w:rsid w:val="004A1A92"/>
    <w:rsid w:val="004A1E80"/>
    <w:rsid w:val="004A2025"/>
    <w:rsid w:val="004A232D"/>
    <w:rsid w:val="004A2C6D"/>
    <w:rsid w:val="004A2E5D"/>
    <w:rsid w:val="004A2FAA"/>
    <w:rsid w:val="004A32E6"/>
    <w:rsid w:val="004A389B"/>
    <w:rsid w:val="004A3AF0"/>
    <w:rsid w:val="004A46B6"/>
    <w:rsid w:val="004A49E6"/>
    <w:rsid w:val="004A52F2"/>
    <w:rsid w:val="004A56A5"/>
    <w:rsid w:val="004A6634"/>
    <w:rsid w:val="004A66BB"/>
    <w:rsid w:val="004A6EA8"/>
    <w:rsid w:val="004A6EF8"/>
    <w:rsid w:val="004A717E"/>
    <w:rsid w:val="004A762D"/>
    <w:rsid w:val="004A78E5"/>
    <w:rsid w:val="004A7F00"/>
    <w:rsid w:val="004B0268"/>
    <w:rsid w:val="004B0382"/>
    <w:rsid w:val="004B05D0"/>
    <w:rsid w:val="004B0699"/>
    <w:rsid w:val="004B0AD8"/>
    <w:rsid w:val="004B0DD2"/>
    <w:rsid w:val="004B1089"/>
    <w:rsid w:val="004B13EC"/>
    <w:rsid w:val="004B1895"/>
    <w:rsid w:val="004B192A"/>
    <w:rsid w:val="004B1B65"/>
    <w:rsid w:val="004B1C03"/>
    <w:rsid w:val="004B2042"/>
    <w:rsid w:val="004B21C8"/>
    <w:rsid w:val="004B230B"/>
    <w:rsid w:val="004B299E"/>
    <w:rsid w:val="004B312B"/>
    <w:rsid w:val="004B3203"/>
    <w:rsid w:val="004B3404"/>
    <w:rsid w:val="004B3504"/>
    <w:rsid w:val="004B3511"/>
    <w:rsid w:val="004B3B14"/>
    <w:rsid w:val="004B3F11"/>
    <w:rsid w:val="004B42A9"/>
    <w:rsid w:val="004B476B"/>
    <w:rsid w:val="004B4850"/>
    <w:rsid w:val="004B48F3"/>
    <w:rsid w:val="004B52D4"/>
    <w:rsid w:val="004B5CED"/>
    <w:rsid w:val="004B5EC8"/>
    <w:rsid w:val="004B612A"/>
    <w:rsid w:val="004B6576"/>
    <w:rsid w:val="004B65EB"/>
    <w:rsid w:val="004B66FE"/>
    <w:rsid w:val="004B6812"/>
    <w:rsid w:val="004B6868"/>
    <w:rsid w:val="004B6BB8"/>
    <w:rsid w:val="004B6D38"/>
    <w:rsid w:val="004B6EAA"/>
    <w:rsid w:val="004B72F0"/>
    <w:rsid w:val="004B7434"/>
    <w:rsid w:val="004C006B"/>
    <w:rsid w:val="004C03B2"/>
    <w:rsid w:val="004C046C"/>
    <w:rsid w:val="004C0BA7"/>
    <w:rsid w:val="004C0E50"/>
    <w:rsid w:val="004C1367"/>
    <w:rsid w:val="004C24A7"/>
    <w:rsid w:val="004C2707"/>
    <w:rsid w:val="004C2B78"/>
    <w:rsid w:val="004C31E2"/>
    <w:rsid w:val="004C32D3"/>
    <w:rsid w:val="004C33AE"/>
    <w:rsid w:val="004C3745"/>
    <w:rsid w:val="004C3B44"/>
    <w:rsid w:val="004C4000"/>
    <w:rsid w:val="004C453C"/>
    <w:rsid w:val="004C4DE9"/>
    <w:rsid w:val="004C4F17"/>
    <w:rsid w:val="004C5BDD"/>
    <w:rsid w:val="004C5C9C"/>
    <w:rsid w:val="004C5FDF"/>
    <w:rsid w:val="004C6A4E"/>
    <w:rsid w:val="004C7395"/>
    <w:rsid w:val="004C7C44"/>
    <w:rsid w:val="004D01D4"/>
    <w:rsid w:val="004D031A"/>
    <w:rsid w:val="004D0649"/>
    <w:rsid w:val="004D0D4E"/>
    <w:rsid w:val="004D1352"/>
    <w:rsid w:val="004D1586"/>
    <w:rsid w:val="004D170B"/>
    <w:rsid w:val="004D1A9E"/>
    <w:rsid w:val="004D1B77"/>
    <w:rsid w:val="004D1EAA"/>
    <w:rsid w:val="004D21BA"/>
    <w:rsid w:val="004D2395"/>
    <w:rsid w:val="004D249D"/>
    <w:rsid w:val="004D2ABB"/>
    <w:rsid w:val="004D2B6C"/>
    <w:rsid w:val="004D2F9D"/>
    <w:rsid w:val="004D2FF3"/>
    <w:rsid w:val="004D3032"/>
    <w:rsid w:val="004D324E"/>
    <w:rsid w:val="004D3F96"/>
    <w:rsid w:val="004D3FCC"/>
    <w:rsid w:val="004D476E"/>
    <w:rsid w:val="004D48E7"/>
    <w:rsid w:val="004D592F"/>
    <w:rsid w:val="004D5E92"/>
    <w:rsid w:val="004D6AF1"/>
    <w:rsid w:val="004D6EC7"/>
    <w:rsid w:val="004D7321"/>
    <w:rsid w:val="004D7323"/>
    <w:rsid w:val="004D7400"/>
    <w:rsid w:val="004D7991"/>
    <w:rsid w:val="004D7B2F"/>
    <w:rsid w:val="004D7D4F"/>
    <w:rsid w:val="004D7E9F"/>
    <w:rsid w:val="004E069A"/>
    <w:rsid w:val="004E0A93"/>
    <w:rsid w:val="004E108C"/>
    <w:rsid w:val="004E179E"/>
    <w:rsid w:val="004E18DE"/>
    <w:rsid w:val="004E1A7A"/>
    <w:rsid w:val="004E1AF7"/>
    <w:rsid w:val="004E1BBA"/>
    <w:rsid w:val="004E221D"/>
    <w:rsid w:val="004E30CC"/>
    <w:rsid w:val="004E3253"/>
    <w:rsid w:val="004E38FF"/>
    <w:rsid w:val="004E42C5"/>
    <w:rsid w:val="004E42F2"/>
    <w:rsid w:val="004E4A42"/>
    <w:rsid w:val="004E543F"/>
    <w:rsid w:val="004E56C4"/>
    <w:rsid w:val="004E5C83"/>
    <w:rsid w:val="004E5CAB"/>
    <w:rsid w:val="004E5EAD"/>
    <w:rsid w:val="004E60BD"/>
    <w:rsid w:val="004E618A"/>
    <w:rsid w:val="004E6606"/>
    <w:rsid w:val="004E66D4"/>
    <w:rsid w:val="004E6A35"/>
    <w:rsid w:val="004E6D6D"/>
    <w:rsid w:val="004E72E7"/>
    <w:rsid w:val="004E73FD"/>
    <w:rsid w:val="004E7A98"/>
    <w:rsid w:val="004F0295"/>
    <w:rsid w:val="004F0311"/>
    <w:rsid w:val="004F0381"/>
    <w:rsid w:val="004F03EC"/>
    <w:rsid w:val="004F0795"/>
    <w:rsid w:val="004F1255"/>
    <w:rsid w:val="004F1A20"/>
    <w:rsid w:val="004F1ABF"/>
    <w:rsid w:val="004F24CB"/>
    <w:rsid w:val="004F2B23"/>
    <w:rsid w:val="004F2CEC"/>
    <w:rsid w:val="004F2F13"/>
    <w:rsid w:val="004F3846"/>
    <w:rsid w:val="004F3DED"/>
    <w:rsid w:val="004F3F55"/>
    <w:rsid w:val="004F4232"/>
    <w:rsid w:val="004F55ED"/>
    <w:rsid w:val="004F5A96"/>
    <w:rsid w:val="004F5D61"/>
    <w:rsid w:val="004F5E6E"/>
    <w:rsid w:val="004F62F5"/>
    <w:rsid w:val="004F6999"/>
    <w:rsid w:val="004F69BE"/>
    <w:rsid w:val="004F6FE7"/>
    <w:rsid w:val="004F7322"/>
    <w:rsid w:val="004F79DA"/>
    <w:rsid w:val="004F79F4"/>
    <w:rsid w:val="0050006B"/>
    <w:rsid w:val="00500629"/>
    <w:rsid w:val="00500874"/>
    <w:rsid w:val="005009C8"/>
    <w:rsid w:val="00500AB9"/>
    <w:rsid w:val="00500C4C"/>
    <w:rsid w:val="00500C7F"/>
    <w:rsid w:val="0050113F"/>
    <w:rsid w:val="005014B0"/>
    <w:rsid w:val="00501AC8"/>
    <w:rsid w:val="00502074"/>
    <w:rsid w:val="0050215C"/>
    <w:rsid w:val="0050262A"/>
    <w:rsid w:val="005026C9"/>
    <w:rsid w:val="0050286B"/>
    <w:rsid w:val="00503301"/>
    <w:rsid w:val="00503FEE"/>
    <w:rsid w:val="005041CD"/>
    <w:rsid w:val="00504341"/>
    <w:rsid w:val="0050449B"/>
    <w:rsid w:val="00504AC9"/>
    <w:rsid w:val="00505003"/>
    <w:rsid w:val="0050678C"/>
    <w:rsid w:val="005067E4"/>
    <w:rsid w:val="00506AC8"/>
    <w:rsid w:val="005073CB"/>
    <w:rsid w:val="00507E36"/>
    <w:rsid w:val="0051028B"/>
    <w:rsid w:val="00510701"/>
    <w:rsid w:val="00510CE5"/>
    <w:rsid w:val="00510DC3"/>
    <w:rsid w:val="00510EA9"/>
    <w:rsid w:val="00510EEB"/>
    <w:rsid w:val="0051125D"/>
    <w:rsid w:val="00511342"/>
    <w:rsid w:val="005114B5"/>
    <w:rsid w:val="00511E68"/>
    <w:rsid w:val="005120D1"/>
    <w:rsid w:val="005122B3"/>
    <w:rsid w:val="00512847"/>
    <w:rsid w:val="00512C05"/>
    <w:rsid w:val="0051321D"/>
    <w:rsid w:val="00513550"/>
    <w:rsid w:val="005138AA"/>
    <w:rsid w:val="005138AE"/>
    <w:rsid w:val="005138C9"/>
    <w:rsid w:val="0051413A"/>
    <w:rsid w:val="005143B1"/>
    <w:rsid w:val="00514691"/>
    <w:rsid w:val="00514FA0"/>
    <w:rsid w:val="00515297"/>
    <w:rsid w:val="0051592B"/>
    <w:rsid w:val="00516768"/>
    <w:rsid w:val="00516EC4"/>
    <w:rsid w:val="00517089"/>
    <w:rsid w:val="005171F6"/>
    <w:rsid w:val="00517354"/>
    <w:rsid w:val="00517535"/>
    <w:rsid w:val="005176D8"/>
    <w:rsid w:val="00517CA3"/>
    <w:rsid w:val="00520167"/>
    <w:rsid w:val="00520298"/>
    <w:rsid w:val="005205CD"/>
    <w:rsid w:val="00520A2B"/>
    <w:rsid w:val="00521109"/>
    <w:rsid w:val="00521365"/>
    <w:rsid w:val="005215A8"/>
    <w:rsid w:val="00521D1F"/>
    <w:rsid w:val="0052208B"/>
    <w:rsid w:val="0052276F"/>
    <w:rsid w:val="00522CBE"/>
    <w:rsid w:val="005234E2"/>
    <w:rsid w:val="005239EE"/>
    <w:rsid w:val="00523E92"/>
    <w:rsid w:val="00524286"/>
    <w:rsid w:val="00524784"/>
    <w:rsid w:val="005247EC"/>
    <w:rsid w:val="00524992"/>
    <w:rsid w:val="00524DB0"/>
    <w:rsid w:val="00525306"/>
    <w:rsid w:val="00525396"/>
    <w:rsid w:val="005255D1"/>
    <w:rsid w:val="00525AFA"/>
    <w:rsid w:val="00525E8C"/>
    <w:rsid w:val="005269E8"/>
    <w:rsid w:val="00526A04"/>
    <w:rsid w:val="0052732A"/>
    <w:rsid w:val="00527359"/>
    <w:rsid w:val="005277E9"/>
    <w:rsid w:val="005300BB"/>
    <w:rsid w:val="005303CA"/>
    <w:rsid w:val="0053092D"/>
    <w:rsid w:val="00530A15"/>
    <w:rsid w:val="00530E43"/>
    <w:rsid w:val="00531033"/>
    <w:rsid w:val="00531250"/>
    <w:rsid w:val="00531F51"/>
    <w:rsid w:val="0053258C"/>
    <w:rsid w:val="00532CCF"/>
    <w:rsid w:val="00532DA6"/>
    <w:rsid w:val="005336C7"/>
    <w:rsid w:val="00533E92"/>
    <w:rsid w:val="00533F67"/>
    <w:rsid w:val="0053491F"/>
    <w:rsid w:val="00535264"/>
    <w:rsid w:val="005352EA"/>
    <w:rsid w:val="00535949"/>
    <w:rsid w:val="00536024"/>
    <w:rsid w:val="00536254"/>
    <w:rsid w:val="00536405"/>
    <w:rsid w:val="005369DA"/>
    <w:rsid w:val="00536B85"/>
    <w:rsid w:val="00537177"/>
    <w:rsid w:val="005371E6"/>
    <w:rsid w:val="0053794F"/>
    <w:rsid w:val="00537A50"/>
    <w:rsid w:val="00537DF6"/>
    <w:rsid w:val="0054042E"/>
    <w:rsid w:val="005406FE"/>
    <w:rsid w:val="00540B2A"/>
    <w:rsid w:val="00540C2A"/>
    <w:rsid w:val="00541522"/>
    <w:rsid w:val="00541DC0"/>
    <w:rsid w:val="00541DDA"/>
    <w:rsid w:val="00542E7A"/>
    <w:rsid w:val="0054352A"/>
    <w:rsid w:val="00543858"/>
    <w:rsid w:val="00543E48"/>
    <w:rsid w:val="00544AB9"/>
    <w:rsid w:val="00544E8A"/>
    <w:rsid w:val="00545AA7"/>
    <w:rsid w:val="00545EB2"/>
    <w:rsid w:val="00546132"/>
    <w:rsid w:val="00546E60"/>
    <w:rsid w:val="005478D2"/>
    <w:rsid w:val="0055025B"/>
    <w:rsid w:val="0055102B"/>
    <w:rsid w:val="00551128"/>
    <w:rsid w:val="005511D3"/>
    <w:rsid w:val="005517A1"/>
    <w:rsid w:val="00551C3F"/>
    <w:rsid w:val="005521ED"/>
    <w:rsid w:val="00552347"/>
    <w:rsid w:val="005523DA"/>
    <w:rsid w:val="00552BF4"/>
    <w:rsid w:val="00552DC2"/>
    <w:rsid w:val="0055304B"/>
    <w:rsid w:val="005530D0"/>
    <w:rsid w:val="00553413"/>
    <w:rsid w:val="005534B3"/>
    <w:rsid w:val="005535E6"/>
    <w:rsid w:val="005537C0"/>
    <w:rsid w:val="00553849"/>
    <w:rsid w:val="005538C2"/>
    <w:rsid w:val="00553CCE"/>
    <w:rsid w:val="00554138"/>
    <w:rsid w:val="0055420C"/>
    <w:rsid w:val="005543B3"/>
    <w:rsid w:val="00554541"/>
    <w:rsid w:val="00554563"/>
    <w:rsid w:val="00554822"/>
    <w:rsid w:val="00555013"/>
    <w:rsid w:val="0055524A"/>
    <w:rsid w:val="00556025"/>
    <w:rsid w:val="0055614B"/>
    <w:rsid w:val="00556458"/>
    <w:rsid w:val="0055657F"/>
    <w:rsid w:val="00556D5C"/>
    <w:rsid w:val="005576EB"/>
    <w:rsid w:val="0055781F"/>
    <w:rsid w:val="00557AF8"/>
    <w:rsid w:val="00557DE6"/>
    <w:rsid w:val="00560004"/>
    <w:rsid w:val="00560592"/>
    <w:rsid w:val="0056071E"/>
    <w:rsid w:val="0056080A"/>
    <w:rsid w:val="00560E58"/>
    <w:rsid w:val="005614DB"/>
    <w:rsid w:val="00561CD6"/>
    <w:rsid w:val="00562065"/>
    <w:rsid w:val="005625FC"/>
    <w:rsid w:val="005627D8"/>
    <w:rsid w:val="00562BFC"/>
    <w:rsid w:val="00562E33"/>
    <w:rsid w:val="00563227"/>
    <w:rsid w:val="00563D35"/>
    <w:rsid w:val="005646FD"/>
    <w:rsid w:val="00564C0C"/>
    <w:rsid w:val="00564D87"/>
    <w:rsid w:val="00565426"/>
    <w:rsid w:val="00565584"/>
    <w:rsid w:val="00565A8E"/>
    <w:rsid w:val="00565F51"/>
    <w:rsid w:val="005661D0"/>
    <w:rsid w:val="005662B5"/>
    <w:rsid w:val="005664FF"/>
    <w:rsid w:val="005668B8"/>
    <w:rsid w:val="00566E46"/>
    <w:rsid w:val="00567186"/>
    <w:rsid w:val="00567FC7"/>
    <w:rsid w:val="00570909"/>
    <w:rsid w:val="00570C06"/>
    <w:rsid w:val="005711AE"/>
    <w:rsid w:val="00571201"/>
    <w:rsid w:val="0057184D"/>
    <w:rsid w:val="005718B5"/>
    <w:rsid w:val="00571A3E"/>
    <w:rsid w:val="00571F43"/>
    <w:rsid w:val="00572110"/>
    <w:rsid w:val="00573346"/>
    <w:rsid w:val="005736F4"/>
    <w:rsid w:val="005740D3"/>
    <w:rsid w:val="005741BF"/>
    <w:rsid w:val="00574294"/>
    <w:rsid w:val="005749DA"/>
    <w:rsid w:val="00575585"/>
    <w:rsid w:val="005759B8"/>
    <w:rsid w:val="00576389"/>
    <w:rsid w:val="0057643E"/>
    <w:rsid w:val="005764D0"/>
    <w:rsid w:val="0057655A"/>
    <w:rsid w:val="0057688A"/>
    <w:rsid w:val="00576B57"/>
    <w:rsid w:val="00577FBA"/>
    <w:rsid w:val="005801AD"/>
    <w:rsid w:val="0058031D"/>
    <w:rsid w:val="005813DF"/>
    <w:rsid w:val="00581476"/>
    <w:rsid w:val="00581B8B"/>
    <w:rsid w:val="00581F70"/>
    <w:rsid w:val="00581F91"/>
    <w:rsid w:val="00582D03"/>
    <w:rsid w:val="005832BD"/>
    <w:rsid w:val="005832DA"/>
    <w:rsid w:val="00583307"/>
    <w:rsid w:val="005837DA"/>
    <w:rsid w:val="00583BAC"/>
    <w:rsid w:val="00583CCB"/>
    <w:rsid w:val="00584197"/>
    <w:rsid w:val="00585374"/>
    <w:rsid w:val="00585918"/>
    <w:rsid w:val="005859F8"/>
    <w:rsid w:val="00586299"/>
    <w:rsid w:val="00586394"/>
    <w:rsid w:val="005867B9"/>
    <w:rsid w:val="005871B1"/>
    <w:rsid w:val="00587343"/>
    <w:rsid w:val="0058742C"/>
    <w:rsid w:val="00587A2A"/>
    <w:rsid w:val="00587A59"/>
    <w:rsid w:val="00587A63"/>
    <w:rsid w:val="0059079E"/>
    <w:rsid w:val="00590F8C"/>
    <w:rsid w:val="00591087"/>
    <w:rsid w:val="005910AD"/>
    <w:rsid w:val="005916E8"/>
    <w:rsid w:val="005919B2"/>
    <w:rsid w:val="00591B66"/>
    <w:rsid w:val="00591C07"/>
    <w:rsid w:val="00591C51"/>
    <w:rsid w:val="00591F63"/>
    <w:rsid w:val="00591FE5"/>
    <w:rsid w:val="0059221D"/>
    <w:rsid w:val="00592821"/>
    <w:rsid w:val="00592931"/>
    <w:rsid w:val="0059363B"/>
    <w:rsid w:val="00593A4B"/>
    <w:rsid w:val="00593A8A"/>
    <w:rsid w:val="00593B4D"/>
    <w:rsid w:val="005942AB"/>
    <w:rsid w:val="00594415"/>
    <w:rsid w:val="00594987"/>
    <w:rsid w:val="00594CDF"/>
    <w:rsid w:val="00594DFD"/>
    <w:rsid w:val="005950D8"/>
    <w:rsid w:val="00595ED8"/>
    <w:rsid w:val="00596409"/>
    <w:rsid w:val="005967A5"/>
    <w:rsid w:val="00596F00"/>
    <w:rsid w:val="00597264"/>
    <w:rsid w:val="00597584"/>
    <w:rsid w:val="00597786"/>
    <w:rsid w:val="0059795A"/>
    <w:rsid w:val="005A07C3"/>
    <w:rsid w:val="005A109F"/>
    <w:rsid w:val="005A17A3"/>
    <w:rsid w:val="005A2012"/>
    <w:rsid w:val="005A2180"/>
    <w:rsid w:val="005A24E9"/>
    <w:rsid w:val="005A2601"/>
    <w:rsid w:val="005A2E68"/>
    <w:rsid w:val="005A30D4"/>
    <w:rsid w:val="005A33F3"/>
    <w:rsid w:val="005A41C0"/>
    <w:rsid w:val="005A4641"/>
    <w:rsid w:val="005A4654"/>
    <w:rsid w:val="005A4686"/>
    <w:rsid w:val="005A4775"/>
    <w:rsid w:val="005A4AC0"/>
    <w:rsid w:val="005A4ACC"/>
    <w:rsid w:val="005A4D7A"/>
    <w:rsid w:val="005A54A8"/>
    <w:rsid w:val="005A560C"/>
    <w:rsid w:val="005A583B"/>
    <w:rsid w:val="005A5AA0"/>
    <w:rsid w:val="005A5AB6"/>
    <w:rsid w:val="005A6D48"/>
    <w:rsid w:val="005B06B0"/>
    <w:rsid w:val="005B0BA1"/>
    <w:rsid w:val="005B10BF"/>
    <w:rsid w:val="005B13F8"/>
    <w:rsid w:val="005B2048"/>
    <w:rsid w:val="005B22A2"/>
    <w:rsid w:val="005B2357"/>
    <w:rsid w:val="005B243B"/>
    <w:rsid w:val="005B2A72"/>
    <w:rsid w:val="005B30C3"/>
    <w:rsid w:val="005B393B"/>
    <w:rsid w:val="005B43B7"/>
    <w:rsid w:val="005B45B8"/>
    <w:rsid w:val="005B46F9"/>
    <w:rsid w:val="005B4896"/>
    <w:rsid w:val="005B492C"/>
    <w:rsid w:val="005B4C68"/>
    <w:rsid w:val="005B4C69"/>
    <w:rsid w:val="005B53C0"/>
    <w:rsid w:val="005B5BDB"/>
    <w:rsid w:val="005B5C32"/>
    <w:rsid w:val="005B5EF9"/>
    <w:rsid w:val="005B5F52"/>
    <w:rsid w:val="005B640F"/>
    <w:rsid w:val="005B64C2"/>
    <w:rsid w:val="005B697E"/>
    <w:rsid w:val="005B6F36"/>
    <w:rsid w:val="005B70DE"/>
    <w:rsid w:val="005B73FE"/>
    <w:rsid w:val="005B7558"/>
    <w:rsid w:val="005B76BE"/>
    <w:rsid w:val="005C0285"/>
    <w:rsid w:val="005C140F"/>
    <w:rsid w:val="005C17A1"/>
    <w:rsid w:val="005C2046"/>
    <w:rsid w:val="005C240E"/>
    <w:rsid w:val="005C2584"/>
    <w:rsid w:val="005C28E2"/>
    <w:rsid w:val="005C3539"/>
    <w:rsid w:val="005C38C1"/>
    <w:rsid w:val="005C41E1"/>
    <w:rsid w:val="005C4D9C"/>
    <w:rsid w:val="005C52A5"/>
    <w:rsid w:val="005C54DF"/>
    <w:rsid w:val="005C5766"/>
    <w:rsid w:val="005C61CB"/>
    <w:rsid w:val="005C6370"/>
    <w:rsid w:val="005C689A"/>
    <w:rsid w:val="005C6BE0"/>
    <w:rsid w:val="005C70AF"/>
    <w:rsid w:val="005C7A1F"/>
    <w:rsid w:val="005C7D25"/>
    <w:rsid w:val="005D0019"/>
    <w:rsid w:val="005D00C6"/>
    <w:rsid w:val="005D080C"/>
    <w:rsid w:val="005D0ECB"/>
    <w:rsid w:val="005D1015"/>
    <w:rsid w:val="005D10A8"/>
    <w:rsid w:val="005D11C4"/>
    <w:rsid w:val="005D19A8"/>
    <w:rsid w:val="005D1F1C"/>
    <w:rsid w:val="005D233D"/>
    <w:rsid w:val="005D326A"/>
    <w:rsid w:val="005D367D"/>
    <w:rsid w:val="005D3954"/>
    <w:rsid w:val="005D44AC"/>
    <w:rsid w:val="005D4DD0"/>
    <w:rsid w:val="005D4E50"/>
    <w:rsid w:val="005D59A6"/>
    <w:rsid w:val="005D5EBA"/>
    <w:rsid w:val="005D5F94"/>
    <w:rsid w:val="005D6566"/>
    <w:rsid w:val="005D72F3"/>
    <w:rsid w:val="005D7473"/>
    <w:rsid w:val="005D7D0F"/>
    <w:rsid w:val="005D7EF9"/>
    <w:rsid w:val="005D7FAC"/>
    <w:rsid w:val="005E053C"/>
    <w:rsid w:val="005E0FF6"/>
    <w:rsid w:val="005E1767"/>
    <w:rsid w:val="005E17C9"/>
    <w:rsid w:val="005E1B03"/>
    <w:rsid w:val="005E23BD"/>
    <w:rsid w:val="005E2E59"/>
    <w:rsid w:val="005E2E85"/>
    <w:rsid w:val="005E2FEC"/>
    <w:rsid w:val="005E3482"/>
    <w:rsid w:val="005E378B"/>
    <w:rsid w:val="005E3F67"/>
    <w:rsid w:val="005E417B"/>
    <w:rsid w:val="005E482C"/>
    <w:rsid w:val="005E4BC6"/>
    <w:rsid w:val="005E4D1C"/>
    <w:rsid w:val="005E535A"/>
    <w:rsid w:val="005E53DB"/>
    <w:rsid w:val="005E5458"/>
    <w:rsid w:val="005E55DD"/>
    <w:rsid w:val="005E5A0F"/>
    <w:rsid w:val="005E66F6"/>
    <w:rsid w:val="005E69EA"/>
    <w:rsid w:val="005E6FC4"/>
    <w:rsid w:val="005E75E9"/>
    <w:rsid w:val="005F0749"/>
    <w:rsid w:val="005F07C4"/>
    <w:rsid w:val="005F0CBD"/>
    <w:rsid w:val="005F0E84"/>
    <w:rsid w:val="005F12C5"/>
    <w:rsid w:val="005F149C"/>
    <w:rsid w:val="005F176E"/>
    <w:rsid w:val="005F1F13"/>
    <w:rsid w:val="005F2523"/>
    <w:rsid w:val="005F2958"/>
    <w:rsid w:val="005F319E"/>
    <w:rsid w:val="005F32D0"/>
    <w:rsid w:val="005F3344"/>
    <w:rsid w:val="005F3440"/>
    <w:rsid w:val="005F397E"/>
    <w:rsid w:val="005F3BBB"/>
    <w:rsid w:val="005F3C7E"/>
    <w:rsid w:val="005F4032"/>
    <w:rsid w:val="005F4244"/>
    <w:rsid w:val="005F4357"/>
    <w:rsid w:val="005F4D77"/>
    <w:rsid w:val="005F536D"/>
    <w:rsid w:val="005F56B8"/>
    <w:rsid w:val="005F58B4"/>
    <w:rsid w:val="005F5A82"/>
    <w:rsid w:val="005F60E3"/>
    <w:rsid w:val="005F6525"/>
    <w:rsid w:val="005F6BC2"/>
    <w:rsid w:val="005F6C64"/>
    <w:rsid w:val="005F6C6C"/>
    <w:rsid w:val="005F6CE4"/>
    <w:rsid w:val="005F77F2"/>
    <w:rsid w:val="005F7B45"/>
    <w:rsid w:val="005F7CBA"/>
    <w:rsid w:val="005F7CBE"/>
    <w:rsid w:val="00600FC4"/>
    <w:rsid w:val="0060126D"/>
    <w:rsid w:val="006012E5"/>
    <w:rsid w:val="006015CB"/>
    <w:rsid w:val="00602CEB"/>
    <w:rsid w:val="00602DB4"/>
    <w:rsid w:val="00602DC1"/>
    <w:rsid w:val="00602EED"/>
    <w:rsid w:val="0060325A"/>
    <w:rsid w:val="00603555"/>
    <w:rsid w:val="0060377D"/>
    <w:rsid w:val="00603954"/>
    <w:rsid w:val="00604612"/>
    <w:rsid w:val="0060537A"/>
    <w:rsid w:val="00605E52"/>
    <w:rsid w:val="00605EA6"/>
    <w:rsid w:val="00606207"/>
    <w:rsid w:val="006077A6"/>
    <w:rsid w:val="00607847"/>
    <w:rsid w:val="00607B64"/>
    <w:rsid w:val="00607CD6"/>
    <w:rsid w:val="00607F6B"/>
    <w:rsid w:val="00610376"/>
    <w:rsid w:val="0061077E"/>
    <w:rsid w:val="00610F02"/>
    <w:rsid w:val="00611285"/>
    <w:rsid w:val="0061150B"/>
    <w:rsid w:val="00611920"/>
    <w:rsid w:val="006123D8"/>
    <w:rsid w:val="00612689"/>
    <w:rsid w:val="00612A57"/>
    <w:rsid w:val="00612AB4"/>
    <w:rsid w:val="00612F28"/>
    <w:rsid w:val="00613266"/>
    <w:rsid w:val="0061356E"/>
    <w:rsid w:val="006137D7"/>
    <w:rsid w:val="00613A4D"/>
    <w:rsid w:val="00613BB2"/>
    <w:rsid w:val="00613FD4"/>
    <w:rsid w:val="00614097"/>
    <w:rsid w:val="00614999"/>
    <w:rsid w:val="006149FF"/>
    <w:rsid w:val="00614A3D"/>
    <w:rsid w:val="00614AC4"/>
    <w:rsid w:val="00615188"/>
    <w:rsid w:val="00615564"/>
    <w:rsid w:val="006156DF"/>
    <w:rsid w:val="00615870"/>
    <w:rsid w:val="00615EB5"/>
    <w:rsid w:val="00616006"/>
    <w:rsid w:val="0061655C"/>
    <w:rsid w:val="0061678E"/>
    <w:rsid w:val="0061688D"/>
    <w:rsid w:val="006169F5"/>
    <w:rsid w:val="00616E91"/>
    <w:rsid w:val="00616F56"/>
    <w:rsid w:val="006172A1"/>
    <w:rsid w:val="006174C9"/>
    <w:rsid w:val="006176E7"/>
    <w:rsid w:val="00617975"/>
    <w:rsid w:val="00617CB1"/>
    <w:rsid w:val="00620A2D"/>
    <w:rsid w:val="006211C0"/>
    <w:rsid w:val="00621424"/>
    <w:rsid w:val="00621A10"/>
    <w:rsid w:val="00621FDD"/>
    <w:rsid w:val="00622169"/>
    <w:rsid w:val="00622AB5"/>
    <w:rsid w:val="00622E89"/>
    <w:rsid w:val="00622FA6"/>
    <w:rsid w:val="006231C4"/>
    <w:rsid w:val="00623268"/>
    <w:rsid w:val="0062368A"/>
    <w:rsid w:val="00623BA9"/>
    <w:rsid w:val="00623F58"/>
    <w:rsid w:val="006242FD"/>
    <w:rsid w:val="006244C1"/>
    <w:rsid w:val="00624961"/>
    <w:rsid w:val="0062500D"/>
    <w:rsid w:val="006250D5"/>
    <w:rsid w:val="0062520A"/>
    <w:rsid w:val="006253DD"/>
    <w:rsid w:val="006269B2"/>
    <w:rsid w:val="00626CFD"/>
    <w:rsid w:val="006274EC"/>
    <w:rsid w:val="0062790E"/>
    <w:rsid w:val="00627C83"/>
    <w:rsid w:val="00627D12"/>
    <w:rsid w:val="00627D35"/>
    <w:rsid w:val="00627F3D"/>
    <w:rsid w:val="0063011D"/>
    <w:rsid w:val="006301DA"/>
    <w:rsid w:val="00630206"/>
    <w:rsid w:val="006305E7"/>
    <w:rsid w:val="006309D3"/>
    <w:rsid w:val="00630C90"/>
    <w:rsid w:val="00630D04"/>
    <w:rsid w:val="006318EC"/>
    <w:rsid w:val="00631DD9"/>
    <w:rsid w:val="00631E08"/>
    <w:rsid w:val="00631E4C"/>
    <w:rsid w:val="006329C0"/>
    <w:rsid w:val="0063312E"/>
    <w:rsid w:val="00633602"/>
    <w:rsid w:val="006339C1"/>
    <w:rsid w:val="00634260"/>
    <w:rsid w:val="00634401"/>
    <w:rsid w:val="006344B6"/>
    <w:rsid w:val="0063457A"/>
    <w:rsid w:val="00634E9C"/>
    <w:rsid w:val="0063504F"/>
    <w:rsid w:val="00635440"/>
    <w:rsid w:val="00635AA9"/>
    <w:rsid w:val="00636EC8"/>
    <w:rsid w:val="006374EF"/>
    <w:rsid w:val="00637D02"/>
    <w:rsid w:val="00640C6F"/>
    <w:rsid w:val="00640F35"/>
    <w:rsid w:val="00641381"/>
    <w:rsid w:val="00641844"/>
    <w:rsid w:val="00641A8E"/>
    <w:rsid w:val="00641D3C"/>
    <w:rsid w:val="00641E85"/>
    <w:rsid w:val="00641FE8"/>
    <w:rsid w:val="00642124"/>
    <w:rsid w:val="006421DB"/>
    <w:rsid w:val="0064256D"/>
    <w:rsid w:val="006425AD"/>
    <w:rsid w:val="00642A85"/>
    <w:rsid w:val="00642B36"/>
    <w:rsid w:val="00642C88"/>
    <w:rsid w:val="00643394"/>
    <w:rsid w:val="006435AA"/>
    <w:rsid w:val="0064374B"/>
    <w:rsid w:val="00643BC5"/>
    <w:rsid w:val="00643CE7"/>
    <w:rsid w:val="0064424F"/>
    <w:rsid w:val="00644A3E"/>
    <w:rsid w:val="00644E72"/>
    <w:rsid w:val="00644F09"/>
    <w:rsid w:val="006456E7"/>
    <w:rsid w:val="00645B30"/>
    <w:rsid w:val="00645C20"/>
    <w:rsid w:val="00645D5A"/>
    <w:rsid w:val="00646421"/>
    <w:rsid w:val="006469EB"/>
    <w:rsid w:val="00646E7D"/>
    <w:rsid w:val="00647404"/>
    <w:rsid w:val="0064791C"/>
    <w:rsid w:val="0065056E"/>
    <w:rsid w:val="00650742"/>
    <w:rsid w:val="00650BD5"/>
    <w:rsid w:val="00650F6F"/>
    <w:rsid w:val="0065137B"/>
    <w:rsid w:val="006513D6"/>
    <w:rsid w:val="006518D8"/>
    <w:rsid w:val="00651ADB"/>
    <w:rsid w:val="00651DF0"/>
    <w:rsid w:val="00652591"/>
    <w:rsid w:val="00652657"/>
    <w:rsid w:val="0065335C"/>
    <w:rsid w:val="00653803"/>
    <w:rsid w:val="006538FD"/>
    <w:rsid w:val="0065393A"/>
    <w:rsid w:val="00653E6E"/>
    <w:rsid w:val="0065415D"/>
    <w:rsid w:val="006552E5"/>
    <w:rsid w:val="0065535C"/>
    <w:rsid w:val="00655714"/>
    <w:rsid w:val="00655D16"/>
    <w:rsid w:val="00656174"/>
    <w:rsid w:val="00656B0B"/>
    <w:rsid w:val="00656B75"/>
    <w:rsid w:val="00656E7A"/>
    <w:rsid w:val="00657A40"/>
    <w:rsid w:val="00657A7A"/>
    <w:rsid w:val="00657C1E"/>
    <w:rsid w:val="00657EA1"/>
    <w:rsid w:val="00660158"/>
    <w:rsid w:val="006602A3"/>
    <w:rsid w:val="0066035C"/>
    <w:rsid w:val="00660ACE"/>
    <w:rsid w:val="00661120"/>
    <w:rsid w:val="00661199"/>
    <w:rsid w:val="00661530"/>
    <w:rsid w:val="006615A8"/>
    <w:rsid w:val="00661C23"/>
    <w:rsid w:val="00662266"/>
    <w:rsid w:val="0066265E"/>
    <w:rsid w:val="006627E2"/>
    <w:rsid w:val="00663432"/>
    <w:rsid w:val="006634F3"/>
    <w:rsid w:val="0066390B"/>
    <w:rsid w:val="006640B3"/>
    <w:rsid w:val="006645B3"/>
    <w:rsid w:val="006645DB"/>
    <w:rsid w:val="006645E5"/>
    <w:rsid w:val="006647E5"/>
    <w:rsid w:val="00664AB3"/>
    <w:rsid w:val="00664B19"/>
    <w:rsid w:val="00664FEA"/>
    <w:rsid w:val="00665509"/>
    <w:rsid w:val="00665DAE"/>
    <w:rsid w:val="0066611B"/>
    <w:rsid w:val="0066642E"/>
    <w:rsid w:val="00666622"/>
    <w:rsid w:val="00666659"/>
    <w:rsid w:val="00666B05"/>
    <w:rsid w:val="00667056"/>
    <w:rsid w:val="0066766F"/>
    <w:rsid w:val="006676FE"/>
    <w:rsid w:val="00667736"/>
    <w:rsid w:val="00667809"/>
    <w:rsid w:val="00667F09"/>
    <w:rsid w:val="00670079"/>
    <w:rsid w:val="0067032E"/>
    <w:rsid w:val="00670653"/>
    <w:rsid w:val="0067111B"/>
    <w:rsid w:val="00671179"/>
    <w:rsid w:val="00671AA7"/>
    <w:rsid w:val="00671B1F"/>
    <w:rsid w:val="00671CEF"/>
    <w:rsid w:val="00672104"/>
    <w:rsid w:val="0067372B"/>
    <w:rsid w:val="00673C5F"/>
    <w:rsid w:val="00673D84"/>
    <w:rsid w:val="00673E84"/>
    <w:rsid w:val="006740D8"/>
    <w:rsid w:val="00674689"/>
    <w:rsid w:val="00674E50"/>
    <w:rsid w:val="006753D1"/>
    <w:rsid w:val="00675403"/>
    <w:rsid w:val="00675464"/>
    <w:rsid w:val="00675950"/>
    <w:rsid w:val="006768D0"/>
    <w:rsid w:val="00676DCE"/>
    <w:rsid w:val="006770C3"/>
    <w:rsid w:val="0067745E"/>
    <w:rsid w:val="0067747A"/>
    <w:rsid w:val="00680241"/>
    <w:rsid w:val="006803C1"/>
    <w:rsid w:val="006803E3"/>
    <w:rsid w:val="006803F6"/>
    <w:rsid w:val="006804D4"/>
    <w:rsid w:val="00680DA3"/>
    <w:rsid w:val="00680E97"/>
    <w:rsid w:val="006812FB"/>
    <w:rsid w:val="0068146B"/>
    <w:rsid w:val="00681CED"/>
    <w:rsid w:val="00682866"/>
    <w:rsid w:val="00683FFD"/>
    <w:rsid w:val="00684188"/>
    <w:rsid w:val="0068461B"/>
    <w:rsid w:val="00684AC9"/>
    <w:rsid w:val="006850F3"/>
    <w:rsid w:val="00685133"/>
    <w:rsid w:val="0068581F"/>
    <w:rsid w:val="00685857"/>
    <w:rsid w:val="00685A94"/>
    <w:rsid w:val="00685EE8"/>
    <w:rsid w:val="006867E7"/>
    <w:rsid w:val="00687030"/>
    <w:rsid w:val="0068730A"/>
    <w:rsid w:val="0068753A"/>
    <w:rsid w:val="006875CD"/>
    <w:rsid w:val="00687FE7"/>
    <w:rsid w:val="00690120"/>
    <w:rsid w:val="00690224"/>
    <w:rsid w:val="006903DF"/>
    <w:rsid w:val="006909D6"/>
    <w:rsid w:val="00690BC5"/>
    <w:rsid w:val="00691ABD"/>
    <w:rsid w:val="00691C73"/>
    <w:rsid w:val="006921C7"/>
    <w:rsid w:val="00692281"/>
    <w:rsid w:val="00692574"/>
    <w:rsid w:val="0069278A"/>
    <w:rsid w:val="00692955"/>
    <w:rsid w:val="00693098"/>
    <w:rsid w:val="00693108"/>
    <w:rsid w:val="0069330B"/>
    <w:rsid w:val="00693395"/>
    <w:rsid w:val="0069339C"/>
    <w:rsid w:val="00693410"/>
    <w:rsid w:val="00693F3A"/>
    <w:rsid w:val="00694726"/>
    <w:rsid w:val="0069495F"/>
    <w:rsid w:val="00694B76"/>
    <w:rsid w:val="00694F61"/>
    <w:rsid w:val="00695375"/>
    <w:rsid w:val="00695432"/>
    <w:rsid w:val="00696105"/>
    <w:rsid w:val="00696198"/>
    <w:rsid w:val="006965A8"/>
    <w:rsid w:val="00696798"/>
    <w:rsid w:val="006967DE"/>
    <w:rsid w:val="0069741F"/>
    <w:rsid w:val="00697C53"/>
    <w:rsid w:val="006A0231"/>
    <w:rsid w:val="006A10A6"/>
    <w:rsid w:val="006A18D1"/>
    <w:rsid w:val="006A22D4"/>
    <w:rsid w:val="006A272F"/>
    <w:rsid w:val="006A2E13"/>
    <w:rsid w:val="006A37A7"/>
    <w:rsid w:val="006A388D"/>
    <w:rsid w:val="006A3DAC"/>
    <w:rsid w:val="006A401D"/>
    <w:rsid w:val="006A4134"/>
    <w:rsid w:val="006A41C1"/>
    <w:rsid w:val="006A4BB3"/>
    <w:rsid w:val="006A536F"/>
    <w:rsid w:val="006A542B"/>
    <w:rsid w:val="006A569F"/>
    <w:rsid w:val="006A5B1D"/>
    <w:rsid w:val="006A601C"/>
    <w:rsid w:val="006A6170"/>
    <w:rsid w:val="006A6EF1"/>
    <w:rsid w:val="006A6F44"/>
    <w:rsid w:val="006A715A"/>
    <w:rsid w:val="006A7D2C"/>
    <w:rsid w:val="006B09A0"/>
    <w:rsid w:val="006B14F9"/>
    <w:rsid w:val="006B1BB2"/>
    <w:rsid w:val="006B2167"/>
    <w:rsid w:val="006B286B"/>
    <w:rsid w:val="006B3328"/>
    <w:rsid w:val="006B33CB"/>
    <w:rsid w:val="006B3417"/>
    <w:rsid w:val="006B35AD"/>
    <w:rsid w:val="006B39D5"/>
    <w:rsid w:val="006B3A46"/>
    <w:rsid w:val="006B4163"/>
    <w:rsid w:val="006B4310"/>
    <w:rsid w:val="006B4FDF"/>
    <w:rsid w:val="006B50C4"/>
    <w:rsid w:val="006B5524"/>
    <w:rsid w:val="006B5FAB"/>
    <w:rsid w:val="006B638B"/>
    <w:rsid w:val="006B7E72"/>
    <w:rsid w:val="006C0083"/>
    <w:rsid w:val="006C0928"/>
    <w:rsid w:val="006C0D4E"/>
    <w:rsid w:val="006C16C7"/>
    <w:rsid w:val="006C1741"/>
    <w:rsid w:val="006C2967"/>
    <w:rsid w:val="006C29ED"/>
    <w:rsid w:val="006C3606"/>
    <w:rsid w:val="006C3637"/>
    <w:rsid w:val="006C38A8"/>
    <w:rsid w:val="006C3B9E"/>
    <w:rsid w:val="006C3C6C"/>
    <w:rsid w:val="006C40D8"/>
    <w:rsid w:val="006C4D30"/>
    <w:rsid w:val="006C4DCB"/>
    <w:rsid w:val="006C4FEF"/>
    <w:rsid w:val="006C5170"/>
    <w:rsid w:val="006C5569"/>
    <w:rsid w:val="006C5576"/>
    <w:rsid w:val="006C574D"/>
    <w:rsid w:val="006C5A80"/>
    <w:rsid w:val="006C5EFC"/>
    <w:rsid w:val="006C64B8"/>
    <w:rsid w:val="006C6556"/>
    <w:rsid w:val="006C65A2"/>
    <w:rsid w:val="006C6969"/>
    <w:rsid w:val="006C6BFC"/>
    <w:rsid w:val="006C75C3"/>
    <w:rsid w:val="006C782C"/>
    <w:rsid w:val="006C7C04"/>
    <w:rsid w:val="006C7C62"/>
    <w:rsid w:val="006D0247"/>
    <w:rsid w:val="006D066F"/>
    <w:rsid w:val="006D08AB"/>
    <w:rsid w:val="006D08D8"/>
    <w:rsid w:val="006D099E"/>
    <w:rsid w:val="006D0A67"/>
    <w:rsid w:val="006D104D"/>
    <w:rsid w:val="006D168C"/>
    <w:rsid w:val="006D193A"/>
    <w:rsid w:val="006D21F4"/>
    <w:rsid w:val="006D29FA"/>
    <w:rsid w:val="006D32CC"/>
    <w:rsid w:val="006D36A0"/>
    <w:rsid w:val="006D37BE"/>
    <w:rsid w:val="006D37F8"/>
    <w:rsid w:val="006D388F"/>
    <w:rsid w:val="006D3A9D"/>
    <w:rsid w:val="006D3C1F"/>
    <w:rsid w:val="006D40C7"/>
    <w:rsid w:val="006D4204"/>
    <w:rsid w:val="006D4D87"/>
    <w:rsid w:val="006D5264"/>
    <w:rsid w:val="006D58DF"/>
    <w:rsid w:val="006D5E55"/>
    <w:rsid w:val="006D5FC8"/>
    <w:rsid w:val="006D675C"/>
    <w:rsid w:val="006D71CC"/>
    <w:rsid w:val="006D79D8"/>
    <w:rsid w:val="006D7A76"/>
    <w:rsid w:val="006D7B79"/>
    <w:rsid w:val="006D7E50"/>
    <w:rsid w:val="006E10BE"/>
    <w:rsid w:val="006E1800"/>
    <w:rsid w:val="006E21D3"/>
    <w:rsid w:val="006E24EC"/>
    <w:rsid w:val="006E2585"/>
    <w:rsid w:val="006E25D7"/>
    <w:rsid w:val="006E2613"/>
    <w:rsid w:val="006E2684"/>
    <w:rsid w:val="006E2777"/>
    <w:rsid w:val="006E3480"/>
    <w:rsid w:val="006E4093"/>
    <w:rsid w:val="006E431F"/>
    <w:rsid w:val="006E4642"/>
    <w:rsid w:val="006E4B80"/>
    <w:rsid w:val="006E4B99"/>
    <w:rsid w:val="006E5168"/>
    <w:rsid w:val="006E566D"/>
    <w:rsid w:val="006E5A4B"/>
    <w:rsid w:val="006E5A8A"/>
    <w:rsid w:val="006E5E29"/>
    <w:rsid w:val="006E68D5"/>
    <w:rsid w:val="006E6955"/>
    <w:rsid w:val="006E70E9"/>
    <w:rsid w:val="006E7700"/>
    <w:rsid w:val="006E7889"/>
    <w:rsid w:val="006F01FF"/>
    <w:rsid w:val="006F0BC7"/>
    <w:rsid w:val="006F16E3"/>
    <w:rsid w:val="006F1977"/>
    <w:rsid w:val="006F1F1D"/>
    <w:rsid w:val="006F20F8"/>
    <w:rsid w:val="006F2A38"/>
    <w:rsid w:val="006F2C1C"/>
    <w:rsid w:val="006F2C69"/>
    <w:rsid w:val="006F2D6F"/>
    <w:rsid w:val="006F2EC6"/>
    <w:rsid w:val="006F31B8"/>
    <w:rsid w:val="006F3C25"/>
    <w:rsid w:val="006F484F"/>
    <w:rsid w:val="006F50C2"/>
    <w:rsid w:val="006F5683"/>
    <w:rsid w:val="006F580B"/>
    <w:rsid w:val="006F5947"/>
    <w:rsid w:val="006F5A3C"/>
    <w:rsid w:val="006F6196"/>
    <w:rsid w:val="006F62C4"/>
    <w:rsid w:val="006F6453"/>
    <w:rsid w:val="006F6491"/>
    <w:rsid w:val="006F6A92"/>
    <w:rsid w:val="006F73F0"/>
    <w:rsid w:val="006F7439"/>
    <w:rsid w:val="006F7498"/>
    <w:rsid w:val="00700169"/>
    <w:rsid w:val="007002FB"/>
    <w:rsid w:val="007011F3"/>
    <w:rsid w:val="00701552"/>
    <w:rsid w:val="0070175A"/>
    <w:rsid w:val="00702D42"/>
    <w:rsid w:val="00702F8D"/>
    <w:rsid w:val="007031AC"/>
    <w:rsid w:val="007033FC"/>
    <w:rsid w:val="00703684"/>
    <w:rsid w:val="0070373E"/>
    <w:rsid w:val="00703EF2"/>
    <w:rsid w:val="00703F0B"/>
    <w:rsid w:val="007053CE"/>
    <w:rsid w:val="007059AE"/>
    <w:rsid w:val="007061DF"/>
    <w:rsid w:val="00706642"/>
    <w:rsid w:val="00706F5F"/>
    <w:rsid w:val="00707795"/>
    <w:rsid w:val="00710098"/>
    <w:rsid w:val="00711AB2"/>
    <w:rsid w:val="007121CD"/>
    <w:rsid w:val="0071259B"/>
    <w:rsid w:val="007125ED"/>
    <w:rsid w:val="00712B89"/>
    <w:rsid w:val="00712C10"/>
    <w:rsid w:val="007130EA"/>
    <w:rsid w:val="0071343A"/>
    <w:rsid w:val="00713717"/>
    <w:rsid w:val="0071421A"/>
    <w:rsid w:val="0071574A"/>
    <w:rsid w:val="00716175"/>
    <w:rsid w:val="0071625F"/>
    <w:rsid w:val="007170EE"/>
    <w:rsid w:val="00717A7E"/>
    <w:rsid w:val="00717EA9"/>
    <w:rsid w:val="00720848"/>
    <w:rsid w:val="007213B6"/>
    <w:rsid w:val="00721DEA"/>
    <w:rsid w:val="00721EA4"/>
    <w:rsid w:val="007223CA"/>
    <w:rsid w:val="0072249E"/>
    <w:rsid w:val="00722B67"/>
    <w:rsid w:val="00722C6C"/>
    <w:rsid w:val="00722E1A"/>
    <w:rsid w:val="00722ED0"/>
    <w:rsid w:val="007230FB"/>
    <w:rsid w:val="007235C1"/>
    <w:rsid w:val="007246F9"/>
    <w:rsid w:val="00724CDF"/>
    <w:rsid w:val="007269F7"/>
    <w:rsid w:val="00726C98"/>
    <w:rsid w:val="00727534"/>
    <w:rsid w:val="007276D4"/>
    <w:rsid w:val="007277AF"/>
    <w:rsid w:val="007278F2"/>
    <w:rsid w:val="00727B9B"/>
    <w:rsid w:val="00727BF1"/>
    <w:rsid w:val="00727FA3"/>
    <w:rsid w:val="007307C8"/>
    <w:rsid w:val="00730E70"/>
    <w:rsid w:val="00730EB5"/>
    <w:rsid w:val="00731510"/>
    <w:rsid w:val="007318B5"/>
    <w:rsid w:val="00731EFF"/>
    <w:rsid w:val="007320EC"/>
    <w:rsid w:val="0073234F"/>
    <w:rsid w:val="00732952"/>
    <w:rsid w:val="00732ED6"/>
    <w:rsid w:val="007334D7"/>
    <w:rsid w:val="0073382F"/>
    <w:rsid w:val="00733BCE"/>
    <w:rsid w:val="00733D5A"/>
    <w:rsid w:val="00733EB5"/>
    <w:rsid w:val="00734C2E"/>
    <w:rsid w:val="00735292"/>
    <w:rsid w:val="007353E8"/>
    <w:rsid w:val="00735C19"/>
    <w:rsid w:val="00735FAB"/>
    <w:rsid w:val="007364FF"/>
    <w:rsid w:val="00736C9B"/>
    <w:rsid w:val="0073711D"/>
    <w:rsid w:val="00737A60"/>
    <w:rsid w:val="00737A68"/>
    <w:rsid w:val="00737D95"/>
    <w:rsid w:val="00740220"/>
    <w:rsid w:val="00740372"/>
    <w:rsid w:val="00740D15"/>
    <w:rsid w:val="007410F6"/>
    <w:rsid w:val="0074136E"/>
    <w:rsid w:val="007415EA"/>
    <w:rsid w:val="007417BE"/>
    <w:rsid w:val="00742668"/>
    <w:rsid w:val="00742826"/>
    <w:rsid w:val="00742830"/>
    <w:rsid w:val="00742D66"/>
    <w:rsid w:val="0074352A"/>
    <w:rsid w:val="00743A98"/>
    <w:rsid w:val="00743C41"/>
    <w:rsid w:val="00744396"/>
    <w:rsid w:val="00744A26"/>
    <w:rsid w:val="00744A9A"/>
    <w:rsid w:val="00744EA9"/>
    <w:rsid w:val="0074547C"/>
    <w:rsid w:val="007454A8"/>
    <w:rsid w:val="007459F5"/>
    <w:rsid w:val="00745CF8"/>
    <w:rsid w:val="00746B15"/>
    <w:rsid w:val="007476A4"/>
    <w:rsid w:val="007478BC"/>
    <w:rsid w:val="00747A48"/>
    <w:rsid w:val="00750057"/>
    <w:rsid w:val="007508FD"/>
    <w:rsid w:val="00750AB0"/>
    <w:rsid w:val="007511A5"/>
    <w:rsid w:val="007513A1"/>
    <w:rsid w:val="00751817"/>
    <w:rsid w:val="00751AC3"/>
    <w:rsid w:val="0075269A"/>
    <w:rsid w:val="00752845"/>
    <w:rsid w:val="007528A4"/>
    <w:rsid w:val="00752BD0"/>
    <w:rsid w:val="00752E52"/>
    <w:rsid w:val="007530D4"/>
    <w:rsid w:val="007532C6"/>
    <w:rsid w:val="00753378"/>
    <w:rsid w:val="0075472E"/>
    <w:rsid w:val="00754BB7"/>
    <w:rsid w:val="007550B0"/>
    <w:rsid w:val="0075520E"/>
    <w:rsid w:val="00755CF6"/>
    <w:rsid w:val="00755E35"/>
    <w:rsid w:val="0075627D"/>
    <w:rsid w:val="007564A7"/>
    <w:rsid w:val="007564E2"/>
    <w:rsid w:val="00756619"/>
    <w:rsid w:val="007566B3"/>
    <w:rsid w:val="00756E74"/>
    <w:rsid w:val="007573FF"/>
    <w:rsid w:val="00757D1E"/>
    <w:rsid w:val="00760B4C"/>
    <w:rsid w:val="00761173"/>
    <w:rsid w:val="00761224"/>
    <w:rsid w:val="007615C5"/>
    <w:rsid w:val="00761A19"/>
    <w:rsid w:val="00762959"/>
    <w:rsid w:val="00763202"/>
    <w:rsid w:val="00763BB3"/>
    <w:rsid w:val="00763C26"/>
    <w:rsid w:val="00763F15"/>
    <w:rsid w:val="0076433B"/>
    <w:rsid w:val="00764A71"/>
    <w:rsid w:val="007651A4"/>
    <w:rsid w:val="00765A01"/>
    <w:rsid w:val="00765B79"/>
    <w:rsid w:val="00766A48"/>
    <w:rsid w:val="00766B70"/>
    <w:rsid w:val="007672AB"/>
    <w:rsid w:val="0076760B"/>
    <w:rsid w:val="00767716"/>
    <w:rsid w:val="00767F3E"/>
    <w:rsid w:val="007700F1"/>
    <w:rsid w:val="00770B8A"/>
    <w:rsid w:val="00770CF5"/>
    <w:rsid w:val="007713BE"/>
    <w:rsid w:val="00771586"/>
    <w:rsid w:val="007716DB"/>
    <w:rsid w:val="00771A36"/>
    <w:rsid w:val="0077220F"/>
    <w:rsid w:val="0077233D"/>
    <w:rsid w:val="00772CF3"/>
    <w:rsid w:val="00773397"/>
    <w:rsid w:val="0077348A"/>
    <w:rsid w:val="00773780"/>
    <w:rsid w:val="00773B11"/>
    <w:rsid w:val="00773BBA"/>
    <w:rsid w:val="00773D18"/>
    <w:rsid w:val="0077413F"/>
    <w:rsid w:val="00774AD5"/>
    <w:rsid w:val="00774B65"/>
    <w:rsid w:val="00774B8D"/>
    <w:rsid w:val="00776AEA"/>
    <w:rsid w:val="007772F7"/>
    <w:rsid w:val="00777407"/>
    <w:rsid w:val="0077741D"/>
    <w:rsid w:val="00777984"/>
    <w:rsid w:val="00777A67"/>
    <w:rsid w:val="00780760"/>
    <w:rsid w:val="007807C8"/>
    <w:rsid w:val="0078087D"/>
    <w:rsid w:val="00780B52"/>
    <w:rsid w:val="00780C42"/>
    <w:rsid w:val="0078103A"/>
    <w:rsid w:val="0078171F"/>
    <w:rsid w:val="007819FC"/>
    <w:rsid w:val="0078215A"/>
    <w:rsid w:val="007821FB"/>
    <w:rsid w:val="0078227B"/>
    <w:rsid w:val="00782328"/>
    <w:rsid w:val="00782738"/>
    <w:rsid w:val="007830C8"/>
    <w:rsid w:val="007831EF"/>
    <w:rsid w:val="0078372B"/>
    <w:rsid w:val="00783B1C"/>
    <w:rsid w:val="00783D32"/>
    <w:rsid w:val="007840C1"/>
    <w:rsid w:val="007849C7"/>
    <w:rsid w:val="00784B67"/>
    <w:rsid w:val="0078507E"/>
    <w:rsid w:val="007851F5"/>
    <w:rsid w:val="007855FE"/>
    <w:rsid w:val="00785621"/>
    <w:rsid w:val="0078582E"/>
    <w:rsid w:val="00785EE1"/>
    <w:rsid w:val="007860F3"/>
    <w:rsid w:val="00786269"/>
    <w:rsid w:val="007865D4"/>
    <w:rsid w:val="00786604"/>
    <w:rsid w:val="00786C45"/>
    <w:rsid w:val="00787680"/>
    <w:rsid w:val="00787CA9"/>
    <w:rsid w:val="00790009"/>
    <w:rsid w:val="0079006C"/>
    <w:rsid w:val="007902FB"/>
    <w:rsid w:val="007902FC"/>
    <w:rsid w:val="00790CED"/>
    <w:rsid w:val="007915C6"/>
    <w:rsid w:val="00791A2B"/>
    <w:rsid w:val="00791EB4"/>
    <w:rsid w:val="007922AC"/>
    <w:rsid w:val="00792B33"/>
    <w:rsid w:val="00793B22"/>
    <w:rsid w:val="00793CDD"/>
    <w:rsid w:val="007945CB"/>
    <w:rsid w:val="007947E5"/>
    <w:rsid w:val="007947FD"/>
    <w:rsid w:val="00794886"/>
    <w:rsid w:val="007948A5"/>
    <w:rsid w:val="00794ED7"/>
    <w:rsid w:val="00795447"/>
    <w:rsid w:val="00795594"/>
    <w:rsid w:val="00795CF8"/>
    <w:rsid w:val="00796236"/>
    <w:rsid w:val="007968B8"/>
    <w:rsid w:val="00796915"/>
    <w:rsid w:val="00796A8F"/>
    <w:rsid w:val="00796D96"/>
    <w:rsid w:val="0079765D"/>
    <w:rsid w:val="00797764"/>
    <w:rsid w:val="007978E8"/>
    <w:rsid w:val="007978F8"/>
    <w:rsid w:val="00797CCF"/>
    <w:rsid w:val="007A050C"/>
    <w:rsid w:val="007A091F"/>
    <w:rsid w:val="007A0AD9"/>
    <w:rsid w:val="007A0DD9"/>
    <w:rsid w:val="007A1795"/>
    <w:rsid w:val="007A17B5"/>
    <w:rsid w:val="007A17B8"/>
    <w:rsid w:val="007A18C4"/>
    <w:rsid w:val="007A1C3F"/>
    <w:rsid w:val="007A1C6E"/>
    <w:rsid w:val="007A1D17"/>
    <w:rsid w:val="007A1FA2"/>
    <w:rsid w:val="007A210E"/>
    <w:rsid w:val="007A288C"/>
    <w:rsid w:val="007A28CE"/>
    <w:rsid w:val="007A2BF3"/>
    <w:rsid w:val="007A2D6F"/>
    <w:rsid w:val="007A337A"/>
    <w:rsid w:val="007A33C2"/>
    <w:rsid w:val="007A34E0"/>
    <w:rsid w:val="007A3525"/>
    <w:rsid w:val="007A3BB8"/>
    <w:rsid w:val="007A3E3D"/>
    <w:rsid w:val="007A44FA"/>
    <w:rsid w:val="007A4E3D"/>
    <w:rsid w:val="007A4E5E"/>
    <w:rsid w:val="007A522D"/>
    <w:rsid w:val="007A56C3"/>
    <w:rsid w:val="007A59D3"/>
    <w:rsid w:val="007A5D4B"/>
    <w:rsid w:val="007A65AC"/>
    <w:rsid w:val="007A67D1"/>
    <w:rsid w:val="007A6A2F"/>
    <w:rsid w:val="007A724F"/>
    <w:rsid w:val="007A72F5"/>
    <w:rsid w:val="007A7327"/>
    <w:rsid w:val="007A75E9"/>
    <w:rsid w:val="007A7A22"/>
    <w:rsid w:val="007A7D94"/>
    <w:rsid w:val="007A7E0B"/>
    <w:rsid w:val="007B0505"/>
    <w:rsid w:val="007B0B1A"/>
    <w:rsid w:val="007B0C3C"/>
    <w:rsid w:val="007B0C78"/>
    <w:rsid w:val="007B16AE"/>
    <w:rsid w:val="007B1806"/>
    <w:rsid w:val="007B1A68"/>
    <w:rsid w:val="007B298E"/>
    <w:rsid w:val="007B2FF4"/>
    <w:rsid w:val="007B31DA"/>
    <w:rsid w:val="007B3644"/>
    <w:rsid w:val="007B389C"/>
    <w:rsid w:val="007B3934"/>
    <w:rsid w:val="007B39ED"/>
    <w:rsid w:val="007B3E18"/>
    <w:rsid w:val="007B46A7"/>
    <w:rsid w:val="007B475A"/>
    <w:rsid w:val="007B4A37"/>
    <w:rsid w:val="007B4AFF"/>
    <w:rsid w:val="007B500D"/>
    <w:rsid w:val="007B5069"/>
    <w:rsid w:val="007B521E"/>
    <w:rsid w:val="007B5648"/>
    <w:rsid w:val="007B57BC"/>
    <w:rsid w:val="007B5927"/>
    <w:rsid w:val="007B6737"/>
    <w:rsid w:val="007B7104"/>
    <w:rsid w:val="007B752D"/>
    <w:rsid w:val="007C0181"/>
    <w:rsid w:val="007C1283"/>
    <w:rsid w:val="007C19C4"/>
    <w:rsid w:val="007C2312"/>
    <w:rsid w:val="007C2A53"/>
    <w:rsid w:val="007C2AF7"/>
    <w:rsid w:val="007C2BE6"/>
    <w:rsid w:val="007C2CF8"/>
    <w:rsid w:val="007C2EF4"/>
    <w:rsid w:val="007C3484"/>
    <w:rsid w:val="007C3595"/>
    <w:rsid w:val="007C38CA"/>
    <w:rsid w:val="007C4F71"/>
    <w:rsid w:val="007C5DB4"/>
    <w:rsid w:val="007C613C"/>
    <w:rsid w:val="007C61DE"/>
    <w:rsid w:val="007C71D6"/>
    <w:rsid w:val="007C7843"/>
    <w:rsid w:val="007C7902"/>
    <w:rsid w:val="007D05F4"/>
    <w:rsid w:val="007D07B4"/>
    <w:rsid w:val="007D0BFE"/>
    <w:rsid w:val="007D23EE"/>
    <w:rsid w:val="007D2826"/>
    <w:rsid w:val="007D2899"/>
    <w:rsid w:val="007D3051"/>
    <w:rsid w:val="007D3100"/>
    <w:rsid w:val="007D32C1"/>
    <w:rsid w:val="007D3A19"/>
    <w:rsid w:val="007D3BB0"/>
    <w:rsid w:val="007D462B"/>
    <w:rsid w:val="007D487B"/>
    <w:rsid w:val="007D4FE6"/>
    <w:rsid w:val="007D54CF"/>
    <w:rsid w:val="007D577E"/>
    <w:rsid w:val="007D5A64"/>
    <w:rsid w:val="007D5C14"/>
    <w:rsid w:val="007D6D46"/>
    <w:rsid w:val="007D715F"/>
    <w:rsid w:val="007D7345"/>
    <w:rsid w:val="007D77BF"/>
    <w:rsid w:val="007D7ACF"/>
    <w:rsid w:val="007E0859"/>
    <w:rsid w:val="007E08EA"/>
    <w:rsid w:val="007E1B5B"/>
    <w:rsid w:val="007E2491"/>
    <w:rsid w:val="007E2C74"/>
    <w:rsid w:val="007E2C82"/>
    <w:rsid w:val="007E2CB0"/>
    <w:rsid w:val="007E2EA8"/>
    <w:rsid w:val="007E3509"/>
    <w:rsid w:val="007E3516"/>
    <w:rsid w:val="007E39C9"/>
    <w:rsid w:val="007E4008"/>
    <w:rsid w:val="007E4D8F"/>
    <w:rsid w:val="007E5467"/>
    <w:rsid w:val="007E5B68"/>
    <w:rsid w:val="007E64C1"/>
    <w:rsid w:val="007E699B"/>
    <w:rsid w:val="007E7C63"/>
    <w:rsid w:val="007E7D4C"/>
    <w:rsid w:val="007E7D83"/>
    <w:rsid w:val="007F0034"/>
    <w:rsid w:val="007F04B4"/>
    <w:rsid w:val="007F0550"/>
    <w:rsid w:val="007F055C"/>
    <w:rsid w:val="007F0AC1"/>
    <w:rsid w:val="007F0F22"/>
    <w:rsid w:val="007F2708"/>
    <w:rsid w:val="007F2766"/>
    <w:rsid w:val="007F2ADF"/>
    <w:rsid w:val="007F34F3"/>
    <w:rsid w:val="007F3BAE"/>
    <w:rsid w:val="007F3E17"/>
    <w:rsid w:val="007F4196"/>
    <w:rsid w:val="007F46EE"/>
    <w:rsid w:val="007F5090"/>
    <w:rsid w:val="007F518D"/>
    <w:rsid w:val="007F64E9"/>
    <w:rsid w:val="007F6623"/>
    <w:rsid w:val="007F6628"/>
    <w:rsid w:val="007F6991"/>
    <w:rsid w:val="007F6BB4"/>
    <w:rsid w:val="007F76CB"/>
    <w:rsid w:val="007F7759"/>
    <w:rsid w:val="007F79CC"/>
    <w:rsid w:val="007F7AF2"/>
    <w:rsid w:val="007F7CF8"/>
    <w:rsid w:val="007F7F87"/>
    <w:rsid w:val="00800034"/>
    <w:rsid w:val="00800139"/>
    <w:rsid w:val="00801412"/>
    <w:rsid w:val="00801558"/>
    <w:rsid w:val="00801A76"/>
    <w:rsid w:val="00801F52"/>
    <w:rsid w:val="00801FD1"/>
    <w:rsid w:val="008021B0"/>
    <w:rsid w:val="00802801"/>
    <w:rsid w:val="0080282B"/>
    <w:rsid w:val="00802CAB"/>
    <w:rsid w:val="00802F2D"/>
    <w:rsid w:val="00803D5F"/>
    <w:rsid w:val="0080488C"/>
    <w:rsid w:val="00804C20"/>
    <w:rsid w:val="00804FA2"/>
    <w:rsid w:val="008051B1"/>
    <w:rsid w:val="00805713"/>
    <w:rsid w:val="00805911"/>
    <w:rsid w:val="00805996"/>
    <w:rsid w:val="00805C1A"/>
    <w:rsid w:val="008062D4"/>
    <w:rsid w:val="008067FF"/>
    <w:rsid w:val="00810B32"/>
    <w:rsid w:val="00810D06"/>
    <w:rsid w:val="00810E52"/>
    <w:rsid w:val="00810EB5"/>
    <w:rsid w:val="008112BA"/>
    <w:rsid w:val="0081144F"/>
    <w:rsid w:val="008116F9"/>
    <w:rsid w:val="008122E6"/>
    <w:rsid w:val="0081258C"/>
    <w:rsid w:val="00812DD3"/>
    <w:rsid w:val="0081306D"/>
    <w:rsid w:val="00813280"/>
    <w:rsid w:val="008132A6"/>
    <w:rsid w:val="00813506"/>
    <w:rsid w:val="00814228"/>
    <w:rsid w:val="0081461D"/>
    <w:rsid w:val="00814C2D"/>
    <w:rsid w:val="00814FE9"/>
    <w:rsid w:val="0081518E"/>
    <w:rsid w:val="00815513"/>
    <w:rsid w:val="008155AB"/>
    <w:rsid w:val="00815A9D"/>
    <w:rsid w:val="00815B55"/>
    <w:rsid w:val="00815FA7"/>
    <w:rsid w:val="00815FB9"/>
    <w:rsid w:val="00816961"/>
    <w:rsid w:val="00816B58"/>
    <w:rsid w:val="00817C47"/>
    <w:rsid w:val="008200DA"/>
    <w:rsid w:val="00820142"/>
    <w:rsid w:val="00820227"/>
    <w:rsid w:val="0082035B"/>
    <w:rsid w:val="00820451"/>
    <w:rsid w:val="008205CE"/>
    <w:rsid w:val="00820A87"/>
    <w:rsid w:val="00820EC2"/>
    <w:rsid w:val="008212B3"/>
    <w:rsid w:val="008218BE"/>
    <w:rsid w:val="00821AA3"/>
    <w:rsid w:val="00822AA4"/>
    <w:rsid w:val="008230CA"/>
    <w:rsid w:val="00823562"/>
    <w:rsid w:val="008238BA"/>
    <w:rsid w:val="0082406E"/>
    <w:rsid w:val="00824222"/>
    <w:rsid w:val="0082477D"/>
    <w:rsid w:val="00824D9A"/>
    <w:rsid w:val="0082527D"/>
    <w:rsid w:val="00826DE8"/>
    <w:rsid w:val="008270B1"/>
    <w:rsid w:val="008274DE"/>
    <w:rsid w:val="00827DB6"/>
    <w:rsid w:val="00827EB0"/>
    <w:rsid w:val="00827FC3"/>
    <w:rsid w:val="008304CC"/>
    <w:rsid w:val="00830712"/>
    <w:rsid w:val="00830A47"/>
    <w:rsid w:val="00830B07"/>
    <w:rsid w:val="008315F1"/>
    <w:rsid w:val="008317A0"/>
    <w:rsid w:val="00831C43"/>
    <w:rsid w:val="00831C8D"/>
    <w:rsid w:val="00831C9A"/>
    <w:rsid w:val="0083228A"/>
    <w:rsid w:val="0083277B"/>
    <w:rsid w:val="00832808"/>
    <w:rsid w:val="00832DE3"/>
    <w:rsid w:val="008331D9"/>
    <w:rsid w:val="00833262"/>
    <w:rsid w:val="0083332B"/>
    <w:rsid w:val="00833F81"/>
    <w:rsid w:val="008340FE"/>
    <w:rsid w:val="008341D3"/>
    <w:rsid w:val="008345CA"/>
    <w:rsid w:val="008353A3"/>
    <w:rsid w:val="00835668"/>
    <w:rsid w:val="00835710"/>
    <w:rsid w:val="00835AD3"/>
    <w:rsid w:val="00835EA3"/>
    <w:rsid w:val="008361FA"/>
    <w:rsid w:val="00836262"/>
    <w:rsid w:val="0083651E"/>
    <w:rsid w:val="00837397"/>
    <w:rsid w:val="00837AE5"/>
    <w:rsid w:val="00840047"/>
    <w:rsid w:val="00840DBC"/>
    <w:rsid w:val="00842859"/>
    <w:rsid w:val="00843013"/>
    <w:rsid w:val="00843C22"/>
    <w:rsid w:val="00843CB9"/>
    <w:rsid w:val="00843DD4"/>
    <w:rsid w:val="00843EA9"/>
    <w:rsid w:val="008440B8"/>
    <w:rsid w:val="0084430A"/>
    <w:rsid w:val="00844656"/>
    <w:rsid w:val="008448BB"/>
    <w:rsid w:val="0084492D"/>
    <w:rsid w:val="00844CA4"/>
    <w:rsid w:val="008450AC"/>
    <w:rsid w:val="00845689"/>
    <w:rsid w:val="008458D9"/>
    <w:rsid w:val="00845B12"/>
    <w:rsid w:val="00845D22"/>
    <w:rsid w:val="00845DAD"/>
    <w:rsid w:val="00846051"/>
    <w:rsid w:val="00846B9E"/>
    <w:rsid w:val="00846FB7"/>
    <w:rsid w:val="00847192"/>
    <w:rsid w:val="008474AB"/>
    <w:rsid w:val="0084758D"/>
    <w:rsid w:val="00847829"/>
    <w:rsid w:val="00847C11"/>
    <w:rsid w:val="00850051"/>
    <w:rsid w:val="00850481"/>
    <w:rsid w:val="008504C5"/>
    <w:rsid w:val="008505E0"/>
    <w:rsid w:val="00850DDB"/>
    <w:rsid w:val="00850E84"/>
    <w:rsid w:val="00851743"/>
    <w:rsid w:val="00851A0E"/>
    <w:rsid w:val="008524CE"/>
    <w:rsid w:val="00852EB7"/>
    <w:rsid w:val="00853AF1"/>
    <w:rsid w:val="008545B2"/>
    <w:rsid w:val="00854B42"/>
    <w:rsid w:val="0085544D"/>
    <w:rsid w:val="008557CC"/>
    <w:rsid w:val="00855940"/>
    <w:rsid w:val="00855B6B"/>
    <w:rsid w:val="00855BE9"/>
    <w:rsid w:val="00856142"/>
    <w:rsid w:val="0085673F"/>
    <w:rsid w:val="00856927"/>
    <w:rsid w:val="00856AD9"/>
    <w:rsid w:val="00856B1C"/>
    <w:rsid w:val="00856C4C"/>
    <w:rsid w:val="00856CE9"/>
    <w:rsid w:val="00856DA3"/>
    <w:rsid w:val="00856F2E"/>
    <w:rsid w:val="00857442"/>
    <w:rsid w:val="008576B8"/>
    <w:rsid w:val="008603D3"/>
    <w:rsid w:val="00860462"/>
    <w:rsid w:val="008605CA"/>
    <w:rsid w:val="008605F8"/>
    <w:rsid w:val="008619EF"/>
    <w:rsid w:val="0086205A"/>
    <w:rsid w:val="00862130"/>
    <w:rsid w:val="0086231B"/>
    <w:rsid w:val="00862339"/>
    <w:rsid w:val="00862622"/>
    <w:rsid w:val="00862BCB"/>
    <w:rsid w:val="00862F41"/>
    <w:rsid w:val="0086341C"/>
    <w:rsid w:val="008634A2"/>
    <w:rsid w:val="008640D6"/>
    <w:rsid w:val="0086524C"/>
    <w:rsid w:val="0086549A"/>
    <w:rsid w:val="00865B87"/>
    <w:rsid w:val="00866112"/>
    <w:rsid w:val="00866A5A"/>
    <w:rsid w:val="00867A42"/>
    <w:rsid w:val="00870C97"/>
    <w:rsid w:val="00870CB3"/>
    <w:rsid w:val="008715EB"/>
    <w:rsid w:val="0087207E"/>
    <w:rsid w:val="00872BE3"/>
    <w:rsid w:val="0087384E"/>
    <w:rsid w:val="00873DE1"/>
    <w:rsid w:val="008742E5"/>
    <w:rsid w:val="0087433C"/>
    <w:rsid w:val="0087462B"/>
    <w:rsid w:val="00874818"/>
    <w:rsid w:val="008752FC"/>
    <w:rsid w:val="0087543D"/>
    <w:rsid w:val="008759C6"/>
    <w:rsid w:val="00875E5B"/>
    <w:rsid w:val="00875FC1"/>
    <w:rsid w:val="00876E86"/>
    <w:rsid w:val="00877E22"/>
    <w:rsid w:val="0088001D"/>
    <w:rsid w:val="00880056"/>
    <w:rsid w:val="00880104"/>
    <w:rsid w:val="00880316"/>
    <w:rsid w:val="008803D4"/>
    <w:rsid w:val="00881145"/>
    <w:rsid w:val="008812C4"/>
    <w:rsid w:val="00881658"/>
    <w:rsid w:val="00881A93"/>
    <w:rsid w:val="00881AA3"/>
    <w:rsid w:val="00881B56"/>
    <w:rsid w:val="00882765"/>
    <w:rsid w:val="0088312E"/>
    <w:rsid w:val="00883972"/>
    <w:rsid w:val="00883A33"/>
    <w:rsid w:val="00883B1E"/>
    <w:rsid w:val="00885144"/>
    <w:rsid w:val="0088518F"/>
    <w:rsid w:val="008852B7"/>
    <w:rsid w:val="00885E2A"/>
    <w:rsid w:val="008867C5"/>
    <w:rsid w:val="0088685D"/>
    <w:rsid w:val="008869AD"/>
    <w:rsid w:val="00886A6F"/>
    <w:rsid w:val="00886E07"/>
    <w:rsid w:val="008876EC"/>
    <w:rsid w:val="008876FA"/>
    <w:rsid w:val="00887EC5"/>
    <w:rsid w:val="008906CE"/>
    <w:rsid w:val="00890A42"/>
    <w:rsid w:val="00890E2C"/>
    <w:rsid w:val="00890F0D"/>
    <w:rsid w:val="008911A8"/>
    <w:rsid w:val="008913A5"/>
    <w:rsid w:val="0089191B"/>
    <w:rsid w:val="008924D4"/>
    <w:rsid w:val="00892F53"/>
    <w:rsid w:val="00892F5C"/>
    <w:rsid w:val="00893102"/>
    <w:rsid w:val="008934FA"/>
    <w:rsid w:val="00893F4E"/>
    <w:rsid w:val="00893FC4"/>
    <w:rsid w:val="00894425"/>
    <w:rsid w:val="008946A4"/>
    <w:rsid w:val="00894A5C"/>
    <w:rsid w:val="00894BBB"/>
    <w:rsid w:val="00894C69"/>
    <w:rsid w:val="00894D9B"/>
    <w:rsid w:val="00895079"/>
    <w:rsid w:val="008951B7"/>
    <w:rsid w:val="008951DC"/>
    <w:rsid w:val="0089531A"/>
    <w:rsid w:val="008953BC"/>
    <w:rsid w:val="00895403"/>
    <w:rsid w:val="00895B05"/>
    <w:rsid w:val="00895CAB"/>
    <w:rsid w:val="00895F3D"/>
    <w:rsid w:val="00897125"/>
    <w:rsid w:val="00897385"/>
    <w:rsid w:val="00897779"/>
    <w:rsid w:val="00897FA1"/>
    <w:rsid w:val="008A000E"/>
    <w:rsid w:val="008A02B8"/>
    <w:rsid w:val="008A116A"/>
    <w:rsid w:val="008A1348"/>
    <w:rsid w:val="008A17A6"/>
    <w:rsid w:val="008A2906"/>
    <w:rsid w:val="008A2CB7"/>
    <w:rsid w:val="008A2E54"/>
    <w:rsid w:val="008A2E5C"/>
    <w:rsid w:val="008A2E60"/>
    <w:rsid w:val="008A3009"/>
    <w:rsid w:val="008A30C1"/>
    <w:rsid w:val="008A37A0"/>
    <w:rsid w:val="008A383C"/>
    <w:rsid w:val="008A3DA8"/>
    <w:rsid w:val="008A41F8"/>
    <w:rsid w:val="008A42BB"/>
    <w:rsid w:val="008A4C2B"/>
    <w:rsid w:val="008A5007"/>
    <w:rsid w:val="008A6103"/>
    <w:rsid w:val="008A629E"/>
    <w:rsid w:val="008A63D6"/>
    <w:rsid w:val="008A6CE2"/>
    <w:rsid w:val="008A76AF"/>
    <w:rsid w:val="008B01D4"/>
    <w:rsid w:val="008B058B"/>
    <w:rsid w:val="008B0ACB"/>
    <w:rsid w:val="008B1000"/>
    <w:rsid w:val="008B1666"/>
    <w:rsid w:val="008B1E52"/>
    <w:rsid w:val="008B1EBB"/>
    <w:rsid w:val="008B25FE"/>
    <w:rsid w:val="008B27C6"/>
    <w:rsid w:val="008B399B"/>
    <w:rsid w:val="008B3AF6"/>
    <w:rsid w:val="008B40BB"/>
    <w:rsid w:val="008B4818"/>
    <w:rsid w:val="008B4E3D"/>
    <w:rsid w:val="008B53CC"/>
    <w:rsid w:val="008B6034"/>
    <w:rsid w:val="008B6140"/>
    <w:rsid w:val="008B62AE"/>
    <w:rsid w:val="008B635F"/>
    <w:rsid w:val="008B6D0E"/>
    <w:rsid w:val="008B79A3"/>
    <w:rsid w:val="008B7AB5"/>
    <w:rsid w:val="008B7B81"/>
    <w:rsid w:val="008C03FB"/>
    <w:rsid w:val="008C0F4A"/>
    <w:rsid w:val="008C1D47"/>
    <w:rsid w:val="008C2330"/>
    <w:rsid w:val="008C25F1"/>
    <w:rsid w:val="008C2B99"/>
    <w:rsid w:val="008C2EF0"/>
    <w:rsid w:val="008C3040"/>
    <w:rsid w:val="008C314A"/>
    <w:rsid w:val="008C3464"/>
    <w:rsid w:val="008C4287"/>
    <w:rsid w:val="008C4801"/>
    <w:rsid w:val="008C4A23"/>
    <w:rsid w:val="008C4D8D"/>
    <w:rsid w:val="008C5DA1"/>
    <w:rsid w:val="008C5FAA"/>
    <w:rsid w:val="008C6212"/>
    <w:rsid w:val="008C63C6"/>
    <w:rsid w:val="008C63DF"/>
    <w:rsid w:val="008C6433"/>
    <w:rsid w:val="008C66AB"/>
    <w:rsid w:val="008C69E5"/>
    <w:rsid w:val="008C6E08"/>
    <w:rsid w:val="008C6EDB"/>
    <w:rsid w:val="008C7A44"/>
    <w:rsid w:val="008D0A63"/>
    <w:rsid w:val="008D12EA"/>
    <w:rsid w:val="008D1804"/>
    <w:rsid w:val="008D2012"/>
    <w:rsid w:val="008D25B2"/>
    <w:rsid w:val="008D2B6F"/>
    <w:rsid w:val="008D3788"/>
    <w:rsid w:val="008D3C37"/>
    <w:rsid w:val="008D3D70"/>
    <w:rsid w:val="008D3E6F"/>
    <w:rsid w:val="008D48BE"/>
    <w:rsid w:val="008D57FC"/>
    <w:rsid w:val="008D5984"/>
    <w:rsid w:val="008D59E9"/>
    <w:rsid w:val="008D5E2F"/>
    <w:rsid w:val="008D65DB"/>
    <w:rsid w:val="008D6655"/>
    <w:rsid w:val="008D6743"/>
    <w:rsid w:val="008D67FE"/>
    <w:rsid w:val="008D6C73"/>
    <w:rsid w:val="008D6E4A"/>
    <w:rsid w:val="008D7974"/>
    <w:rsid w:val="008D7EBE"/>
    <w:rsid w:val="008E01CD"/>
    <w:rsid w:val="008E02FD"/>
    <w:rsid w:val="008E14B7"/>
    <w:rsid w:val="008E23BE"/>
    <w:rsid w:val="008E2979"/>
    <w:rsid w:val="008E2F5A"/>
    <w:rsid w:val="008E316C"/>
    <w:rsid w:val="008E3454"/>
    <w:rsid w:val="008E3AA4"/>
    <w:rsid w:val="008E3C07"/>
    <w:rsid w:val="008E4618"/>
    <w:rsid w:val="008E46F0"/>
    <w:rsid w:val="008E470D"/>
    <w:rsid w:val="008E479C"/>
    <w:rsid w:val="008E47D0"/>
    <w:rsid w:val="008E523C"/>
    <w:rsid w:val="008E529E"/>
    <w:rsid w:val="008E529F"/>
    <w:rsid w:val="008E54C4"/>
    <w:rsid w:val="008E6A52"/>
    <w:rsid w:val="008E6C51"/>
    <w:rsid w:val="008E7299"/>
    <w:rsid w:val="008F057C"/>
    <w:rsid w:val="008F0ADD"/>
    <w:rsid w:val="008F1164"/>
    <w:rsid w:val="008F1519"/>
    <w:rsid w:val="008F1711"/>
    <w:rsid w:val="008F1AF3"/>
    <w:rsid w:val="008F1B22"/>
    <w:rsid w:val="008F20A0"/>
    <w:rsid w:val="008F214A"/>
    <w:rsid w:val="008F24B4"/>
    <w:rsid w:val="008F24C4"/>
    <w:rsid w:val="008F250C"/>
    <w:rsid w:val="008F25C9"/>
    <w:rsid w:val="008F2AAE"/>
    <w:rsid w:val="008F308A"/>
    <w:rsid w:val="008F3258"/>
    <w:rsid w:val="008F35D2"/>
    <w:rsid w:val="008F3FEB"/>
    <w:rsid w:val="008F49BD"/>
    <w:rsid w:val="008F4F98"/>
    <w:rsid w:val="008F67DE"/>
    <w:rsid w:val="008F69EF"/>
    <w:rsid w:val="008F6B5A"/>
    <w:rsid w:val="008F7280"/>
    <w:rsid w:val="008F7C98"/>
    <w:rsid w:val="009001F0"/>
    <w:rsid w:val="00900BE4"/>
    <w:rsid w:val="00900F4F"/>
    <w:rsid w:val="009013C8"/>
    <w:rsid w:val="00902903"/>
    <w:rsid w:val="00902B96"/>
    <w:rsid w:val="00902D3A"/>
    <w:rsid w:val="00902F0C"/>
    <w:rsid w:val="00903FBB"/>
    <w:rsid w:val="00904520"/>
    <w:rsid w:val="0090516A"/>
    <w:rsid w:val="0090526F"/>
    <w:rsid w:val="009058FE"/>
    <w:rsid w:val="00906335"/>
    <w:rsid w:val="0090648E"/>
    <w:rsid w:val="00906572"/>
    <w:rsid w:val="00906F07"/>
    <w:rsid w:val="0090718A"/>
    <w:rsid w:val="009077D4"/>
    <w:rsid w:val="00907994"/>
    <w:rsid w:val="00907E14"/>
    <w:rsid w:val="00910059"/>
    <w:rsid w:val="009100C5"/>
    <w:rsid w:val="009108F0"/>
    <w:rsid w:val="00910DAC"/>
    <w:rsid w:val="00910E1A"/>
    <w:rsid w:val="00910F9D"/>
    <w:rsid w:val="00910FEE"/>
    <w:rsid w:val="0091123D"/>
    <w:rsid w:val="009113DC"/>
    <w:rsid w:val="009116AD"/>
    <w:rsid w:val="009119BB"/>
    <w:rsid w:val="00911B3A"/>
    <w:rsid w:val="00912049"/>
    <w:rsid w:val="0091209B"/>
    <w:rsid w:val="009122D9"/>
    <w:rsid w:val="00912919"/>
    <w:rsid w:val="00913811"/>
    <w:rsid w:val="00913B5A"/>
    <w:rsid w:val="00913B61"/>
    <w:rsid w:val="00913E68"/>
    <w:rsid w:val="00914AA1"/>
    <w:rsid w:val="00915E15"/>
    <w:rsid w:val="00916503"/>
    <w:rsid w:val="00916809"/>
    <w:rsid w:val="00916930"/>
    <w:rsid w:val="00916FAF"/>
    <w:rsid w:val="0091710E"/>
    <w:rsid w:val="0091743B"/>
    <w:rsid w:val="00917F21"/>
    <w:rsid w:val="00917F41"/>
    <w:rsid w:val="00917F79"/>
    <w:rsid w:val="009206C4"/>
    <w:rsid w:val="00921408"/>
    <w:rsid w:val="00921976"/>
    <w:rsid w:val="00921A2D"/>
    <w:rsid w:val="0092204B"/>
    <w:rsid w:val="009226AC"/>
    <w:rsid w:val="009228BA"/>
    <w:rsid w:val="00922FCE"/>
    <w:rsid w:val="00923612"/>
    <w:rsid w:val="009237E2"/>
    <w:rsid w:val="009238A4"/>
    <w:rsid w:val="009239B3"/>
    <w:rsid w:val="00923BCA"/>
    <w:rsid w:val="0092506C"/>
    <w:rsid w:val="0092538C"/>
    <w:rsid w:val="0092578D"/>
    <w:rsid w:val="00925DFB"/>
    <w:rsid w:val="00925E23"/>
    <w:rsid w:val="009267DF"/>
    <w:rsid w:val="009267EB"/>
    <w:rsid w:val="00926873"/>
    <w:rsid w:val="00926986"/>
    <w:rsid w:val="00926A34"/>
    <w:rsid w:val="00926C22"/>
    <w:rsid w:val="00927615"/>
    <w:rsid w:val="0093092C"/>
    <w:rsid w:val="00930BA2"/>
    <w:rsid w:val="009316D8"/>
    <w:rsid w:val="00931A58"/>
    <w:rsid w:val="00931B29"/>
    <w:rsid w:val="00931BAC"/>
    <w:rsid w:val="00931E37"/>
    <w:rsid w:val="00933616"/>
    <w:rsid w:val="0093399A"/>
    <w:rsid w:val="00933AE0"/>
    <w:rsid w:val="00933C87"/>
    <w:rsid w:val="0093411A"/>
    <w:rsid w:val="009343E3"/>
    <w:rsid w:val="00934872"/>
    <w:rsid w:val="00935177"/>
    <w:rsid w:val="00935727"/>
    <w:rsid w:val="00935910"/>
    <w:rsid w:val="00935E79"/>
    <w:rsid w:val="009365B2"/>
    <w:rsid w:val="00936BEA"/>
    <w:rsid w:val="00936F4A"/>
    <w:rsid w:val="009401E8"/>
    <w:rsid w:val="009408FF"/>
    <w:rsid w:val="00941962"/>
    <w:rsid w:val="00941EC2"/>
    <w:rsid w:val="00942A54"/>
    <w:rsid w:val="00942B7F"/>
    <w:rsid w:val="009434FF"/>
    <w:rsid w:val="009435D4"/>
    <w:rsid w:val="00943B2E"/>
    <w:rsid w:val="009440CB"/>
    <w:rsid w:val="00944718"/>
    <w:rsid w:val="00944883"/>
    <w:rsid w:val="00944FF7"/>
    <w:rsid w:val="00945198"/>
    <w:rsid w:val="0094579B"/>
    <w:rsid w:val="00945A67"/>
    <w:rsid w:val="00945B7D"/>
    <w:rsid w:val="00945FAC"/>
    <w:rsid w:val="009464D4"/>
    <w:rsid w:val="0094680F"/>
    <w:rsid w:val="00946974"/>
    <w:rsid w:val="0094715B"/>
    <w:rsid w:val="009473E2"/>
    <w:rsid w:val="009475FF"/>
    <w:rsid w:val="00947902"/>
    <w:rsid w:val="00947AB3"/>
    <w:rsid w:val="00947B6D"/>
    <w:rsid w:val="00947B9D"/>
    <w:rsid w:val="00950476"/>
    <w:rsid w:val="009505BA"/>
    <w:rsid w:val="00950AEE"/>
    <w:rsid w:val="009511EB"/>
    <w:rsid w:val="00951380"/>
    <w:rsid w:val="00951B53"/>
    <w:rsid w:val="00951DBD"/>
    <w:rsid w:val="00951E82"/>
    <w:rsid w:val="009520FA"/>
    <w:rsid w:val="0095238E"/>
    <w:rsid w:val="009526F0"/>
    <w:rsid w:val="0095273E"/>
    <w:rsid w:val="009529A4"/>
    <w:rsid w:val="0095373A"/>
    <w:rsid w:val="00953A18"/>
    <w:rsid w:val="00953BDC"/>
    <w:rsid w:val="00953C78"/>
    <w:rsid w:val="00953EA7"/>
    <w:rsid w:val="009548A3"/>
    <w:rsid w:val="00954C37"/>
    <w:rsid w:val="00954FFE"/>
    <w:rsid w:val="009553FD"/>
    <w:rsid w:val="009555F1"/>
    <w:rsid w:val="00955992"/>
    <w:rsid w:val="00955EB6"/>
    <w:rsid w:val="00955F0C"/>
    <w:rsid w:val="00956130"/>
    <w:rsid w:val="00956558"/>
    <w:rsid w:val="00956A32"/>
    <w:rsid w:val="009570EF"/>
    <w:rsid w:val="0095712A"/>
    <w:rsid w:val="00957303"/>
    <w:rsid w:val="0095756D"/>
    <w:rsid w:val="009576BC"/>
    <w:rsid w:val="009577C7"/>
    <w:rsid w:val="00960033"/>
    <w:rsid w:val="009601D5"/>
    <w:rsid w:val="009603E7"/>
    <w:rsid w:val="0096055E"/>
    <w:rsid w:val="0096073A"/>
    <w:rsid w:val="00960CF0"/>
    <w:rsid w:val="00960FBD"/>
    <w:rsid w:val="009610E9"/>
    <w:rsid w:val="00961300"/>
    <w:rsid w:val="00961860"/>
    <w:rsid w:val="009619FE"/>
    <w:rsid w:val="00961BE0"/>
    <w:rsid w:val="00962393"/>
    <w:rsid w:val="0096273A"/>
    <w:rsid w:val="00963632"/>
    <w:rsid w:val="0096393A"/>
    <w:rsid w:val="009639FE"/>
    <w:rsid w:val="00963BF0"/>
    <w:rsid w:val="00963F72"/>
    <w:rsid w:val="00964B78"/>
    <w:rsid w:val="00964D8A"/>
    <w:rsid w:val="009654DB"/>
    <w:rsid w:val="0096559C"/>
    <w:rsid w:val="00965742"/>
    <w:rsid w:val="00965780"/>
    <w:rsid w:val="009658C0"/>
    <w:rsid w:val="00966B98"/>
    <w:rsid w:val="0096743B"/>
    <w:rsid w:val="00967C09"/>
    <w:rsid w:val="00970146"/>
    <w:rsid w:val="0097017C"/>
    <w:rsid w:val="00970703"/>
    <w:rsid w:val="009709BC"/>
    <w:rsid w:val="00970D5E"/>
    <w:rsid w:val="009712B6"/>
    <w:rsid w:val="009714D4"/>
    <w:rsid w:val="00971518"/>
    <w:rsid w:val="009727C7"/>
    <w:rsid w:val="00972C10"/>
    <w:rsid w:val="0097478D"/>
    <w:rsid w:val="00974C01"/>
    <w:rsid w:val="00974D25"/>
    <w:rsid w:val="00974E17"/>
    <w:rsid w:val="009756BD"/>
    <w:rsid w:val="00975C90"/>
    <w:rsid w:val="00975D19"/>
    <w:rsid w:val="00976025"/>
    <w:rsid w:val="00976193"/>
    <w:rsid w:val="00976550"/>
    <w:rsid w:val="0097687B"/>
    <w:rsid w:val="00977409"/>
    <w:rsid w:val="009778AE"/>
    <w:rsid w:val="00977F70"/>
    <w:rsid w:val="009810D7"/>
    <w:rsid w:val="009811A3"/>
    <w:rsid w:val="00981520"/>
    <w:rsid w:val="00981B4B"/>
    <w:rsid w:val="00982031"/>
    <w:rsid w:val="00982352"/>
    <w:rsid w:val="00982971"/>
    <w:rsid w:val="00982A29"/>
    <w:rsid w:val="009832FE"/>
    <w:rsid w:val="009835D8"/>
    <w:rsid w:val="00983673"/>
    <w:rsid w:val="00983BCD"/>
    <w:rsid w:val="009844EC"/>
    <w:rsid w:val="0098451B"/>
    <w:rsid w:val="009848EB"/>
    <w:rsid w:val="00984CD6"/>
    <w:rsid w:val="00984DBC"/>
    <w:rsid w:val="00984EE8"/>
    <w:rsid w:val="00984FAE"/>
    <w:rsid w:val="00985242"/>
    <w:rsid w:val="009856F4"/>
    <w:rsid w:val="00985E89"/>
    <w:rsid w:val="0098645A"/>
    <w:rsid w:val="009869A1"/>
    <w:rsid w:val="009869BB"/>
    <w:rsid w:val="00986C27"/>
    <w:rsid w:val="00986EA8"/>
    <w:rsid w:val="00987612"/>
    <w:rsid w:val="00987BCE"/>
    <w:rsid w:val="009903F9"/>
    <w:rsid w:val="0099071E"/>
    <w:rsid w:val="00990965"/>
    <w:rsid w:val="00990969"/>
    <w:rsid w:val="00990E05"/>
    <w:rsid w:val="00991027"/>
    <w:rsid w:val="009916E0"/>
    <w:rsid w:val="009917C7"/>
    <w:rsid w:val="009921A6"/>
    <w:rsid w:val="009924F3"/>
    <w:rsid w:val="0099258F"/>
    <w:rsid w:val="00992FD4"/>
    <w:rsid w:val="009938DE"/>
    <w:rsid w:val="009945AB"/>
    <w:rsid w:val="009948A1"/>
    <w:rsid w:val="0099497D"/>
    <w:rsid w:val="0099557F"/>
    <w:rsid w:val="00995D3A"/>
    <w:rsid w:val="00996905"/>
    <w:rsid w:val="009969D0"/>
    <w:rsid w:val="00996E0C"/>
    <w:rsid w:val="009970F2"/>
    <w:rsid w:val="0099783C"/>
    <w:rsid w:val="00997A4A"/>
    <w:rsid w:val="00997E32"/>
    <w:rsid w:val="009A0401"/>
    <w:rsid w:val="009A094B"/>
    <w:rsid w:val="009A0A59"/>
    <w:rsid w:val="009A0BBD"/>
    <w:rsid w:val="009A0F88"/>
    <w:rsid w:val="009A19AE"/>
    <w:rsid w:val="009A19E4"/>
    <w:rsid w:val="009A1D4A"/>
    <w:rsid w:val="009A2050"/>
    <w:rsid w:val="009A23C4"/>
    <w:rsid w:val="009A25B3"/>
    <w:rsid w:val="009A2AF4"/>
    <w:rsid w:val="009A2D81"/>
    <w:rsid w:val="009A2EEF"/>
    <w:rsid w:val="009A321D"/>
    <w:rsid w:val="009A358E"/>
    <w:rsid w:val="009A38CA"/>
    <w:rsid w:val="009A3DFA"/>
    <w:rsid w:val="009A3F0E"/>
    <w:rsid w:val="009A3FA3"/>
    <w:rsid w:val="009A3FAD"/>
    <w:rsid w:val="009A4147"/>
    <w:rsid w:val="009A4481"/>
    <w:rsid w:val="009A46CB"/>
    <w:rsid w:val="009A50D2"/>
    <w:rsid w:val="009A5809"/>
    <w:rsid w:val="009A5F24"/>
    <w:rsid w:val="009A6B0A"/>
    <w:rsid w:val="009A715F"/>
    <w:rsid w:val="009A71A6"/>
    <w:rsid w:val="009A79C4"/>
    <w:rsid w:val="009B01B0"/>
    <w:rsid w:val="009B020C"/>
    <w:rsid w:val="009B02D6"/>
    <w:rsid w:val="009B0785"/>
    <w:rsid w:val="009B0CE2"/>
    <w:rsid w:val="009B0D88"/>
    <w:rsid w:val="009B12C4"/>
    <w:rsid w:val="009B1931"/>
    <w:rsid w:val="009B1A72"/>
    <w:rsid w:val="009B24D3"/>
    <w:rsid w:val="009B2918"/>
    <w:rsid w:val="009B2BD1"/>
    <w:rsid w:val="009B37E0"/>
    <w:rsid w:val="009B3BD3"/>
    <w:rsid w:val="009B3DC9"/>
    <w:rsid w:val="009B3FC8"/>
    <w:rsid w:val="009B41AC"/>
    <w:rsid w:val="009B4771"/>
    <w:rsid w:val="009B4EA8"/>
    <w:rsid w:val="009B52CF"/>
    <w:rsid w:val="009B5924"/>
    <w:rsid w:val="009B5D98"/>
    <w:rsid w:val="009B6650"/>
    <w:rsid w:val="009B6E12"/>
    <w:rsid w:val="009B7392"/>
    <w:rsid w:val="009B774A"/>
    <w:rsid w:val="009B77F9"/>
    <w:rsid w:val="009B79B4"/>
    <w:rsid w:val="009B79D1"/>
    <w:rsid w:val="009B7A0A"/>
    <w:rsid w:val="009B7AB1"/>
    <w:rsid w:val="009B7AF1"/>
    <w:rsid w:val="009B7FF2"/>
    <w:rsid w:val="009C093D"/>
    <w:rsid w:val="009C0D13"/>
    <w:rsid w:val="009C0DDD"/>
    <w:rsid w:val="009C116D"/>
    <w:rsid w:val="009C158C"/>
    <w:rsid w:val="009C1CEA"/>
    <w:rsid w:val="009C1D7E"/>
    <w:rsid w:val="009C2024"/>
    <w:rsid w:val="009C24ED"/>
    <w:rsid w:val="009C2502"/>
    <w:rsid w:val="009C2CC2"/>
    <w:rsid w:val="009C3788"/>
    <w:rsid w:val="009C4019"/>
    <w:rsid w:val="009C4482"/>
    <w:rsid w:val="009C466F"/>
    <w:rsid w:val="009C46D4"/>
    <w:rsid w:val="009C4C0D"/>
    <w:rsid w:val="009C5074"/>
    <w:rsid w:val="009C5892"/>
    <w:rsid w:val="009C5D39"/>
    <w:rsid w:val="009C5E33"/>
    <w:rsid w:val="009C6182"/>
    <w:rsid w:val="009C61B8"/>
    <w:rsid w:val="009C771E"/>
    <w:rsid w:val="009C7E03"/>
    <w:rsid w:val="009C7EB2"/>
    <w:rsid w:val="009C7FD8"/>
    <w:rsid w:val="009D02A8"/>
    <w:rsid w:val="009D032A"/>
    <w:rsid w:val="009D078A"/>
    <w:rsid w:val="009D09DB"/>
    <w:rsid w:val="009D0E32"/>
    <w:rsid w:val="009D0E99"/>
    <w:rsid w:val="009D16E2"/>
    <w:rsid w:val="009D1A33"/>
    <w:rsid w:val="009D2149"/>
    <w:rsid w:val="009D2322"/>
    <w:rsid w:val="009D290D"/>
    <w:rsid w:val="009D2996"/>
    <w:rsid w:val="009D2E67"/>
    <w:rsid w:val="009D307D"/>
    <w:rsid w:val="009D457A"/>
    <w:rsid w:val="009D46E8"/>
    <w:rsid w:val="009D47E0"/>
    <w:rsid w:val="009D47E4"/>
    <w:rsid w:val="009D4949"/>
    <w:rsid w:val="009D4F25"/>
    <w:rsid w:val="009D5762"/>
    <w:rsid w:val="009D5EEA"/>
    <w:rsid w:val="009D6106"/>
    <w:rsid w:val="009D70BE"/>
    <w:rsid w:val="009D7509"/>
    <w:rsid w:val="009D7568"/>
    <w:rsid w:val="009D7C11"/>
    <w:rsid w:val="009D7DEB"/>
    <w:rsid w:val="009D7F4B"/>
    <w:rsid w:val="009E0296"/>
    <w:rsid w:val="009E02E9"/>
    <w:rsid w:val="009E0E32"/>
    <w:rsid w:val="009E0EAA"/>
    <w:rsid w:val="009E1747"/>
    <w:rsid w:val="009E1D8B"/>
    <w:rsid w:val="009E22F9"/>
    <w:rsid w:val="009E2AE7"/>
    <w:rsid w:val="009E2B38"/>
    <w:rsid w:val="009E2C82"/>
    <w:rsid w:val="009E31F2"/>
    <w:rsid w:val="009E327E"/>
    <w:rsid w:val="009E3D62"/>
    <w:rsid w:val="009E3EEB"/>
    <w:rsid w:val="009E5448"/>
    <w:rsid w:val="009E5A2F"/>
    <w:rsid w:val="009E5C7E"/>
    <w:rsid w:val="009E6502"/>
    <w:rsid w:val="009E66C9"/>
    <w:rsid w:val="009E6F9E"/>
    <w:rsid w:val="009E7049"/>
    <w:rsid w:val="009E72BA"/>
    <w:rsid w:val="009E7494"/>
    <w:rsid w:val="009E7D6D"/>
    <w:rsid w:val="009F01B4"/>
    <w:rsid w:val="009F0C35"/>
    <w:rsid w:val="009F0EBF"/>
    <w:rsid w:val="009F1967"/>
    <w:rsid w:val="009F1B8C"/>
    <w:rsid w:val="009F1E5F"/>
    <w:rsid w:val="009F2ADC"/>
    <w:rsid w:val="009F2F84"/>
    <w:rsid w:val="009F2F99"/>
    <w:rsid w:val="009F33C9"/>
    <w:rsid w:val="009F353D"/>
    <w:rsid w:val="009F3776"/>
    <w:rsid w:val="009F3780"/>
    <w:rsid w:val="009F3DBC"/>
    <w:rsid w:val="009F42BD"/>
    <w:rsid w:val="009F49D6"/>
    <w:rsid w:val="009F4AD9"/>
    <w:rsid w:val="009F5206"/>
    <w:rsid w:val="009F5490"/>
    <w:rsid w:val="009F5686"/>
    <w:rsid w:val="009F69D5"/>
    <w:rsid w:val="009F6C70"/>
    <w:rsid w:val="009F7B04"/>
    <w:rsid w:val="00A00CB7"/>
    <w:rsid w:val="00A00E29"/>
    <w:rsid w:val="00A00FE3"/>
    <w:rsid w:val="00A010FF"/>
    <w:rsid w:val="00A012FA"/>
    <w:rsid w:val="00A01A78"/>
    <w:rsid w:val="00A02587"/>
    <w:rsid w:val="00A028B5"/>
    <w:rsid w:val="00A02981"/>
    <w:rsid w:val="00A02D09"/>
    <w:rsid w:val="00A039D0"/>
    <w:rsid w:val="00A03C04"/>
    <w:rsid w:val="00A0469A"/>
    <w:rsid w:val="00A055FD"/>
    <w:rsid w:val="00A05612"/>
    <w:rsid w:val="00A05930"/>
    <w:rsid w:val="00A06323"/>
    <w:rsid w:val="00A06624"/>
    <w:rsid w:val="00A06A5F"/>
    <w:rsid w:val="00A06AD2"/>
    <w:rsid w:val="00A06E3D"/>
    <w:rsid w:val="00A0712B"/>
    <w:rsid w:val="00A0777B"/>
    <w:rsid w:val="00A07836"/>
    <w:rsid w:val="00A079E0"/>
    <w:rsid w:val="00A100F5"/>
    <w:rsid w:val="00A1124F"/>
    <w:rsid w:val="00A117B3"/>
    <w:rsid w:val="00A11842"/>
    <w:rsid w:val="00A1204B"/>
    <w:rsid w:val="00A12529"/>
    <w:rsid w:val="00A12711"/>
    <w:rsid w:val="00A127AD"/>
    <w:rsid w:val="00A12822"/>
    <w:rsid w:val="00A13096"/>
    <w:rsid w:val="00A13100"/>
    <w:rsid w:val="00A131F2"/>
    <w:rsid w:val="00A137B5"/>
    <w:rsid w:val="00A13F97"/>
    <w:rsid w:val="00A1477A"/>
    <w:rsid w:val="00A147D0"/>
    <w:rsid w:val="00A14B77"/>
    <w:rsid w:val="00A17327"/>
    <w:rsid w:val="00A1791C"/>
    <w:rsid w:val="00A17DF5"/>
    <w:rsid w:val="00A17F8B"/>
    <w:rsid w:val="00A201BF"/>
    <w:rsid w:val="00A204E0"/>
    <w:rsid w:val="00A206BE"/>
    <w:rsid w:val="00A2089E"/>
    <w:rsid w:val="00A20DFA"/>
    <w:rsid w:val="00A213C7"/>
    <w:rsid w:val="00A2143E"/>
    <w:rsid w:val="00A214D7"/>
    <w:rsid w:val="00A2186A"/>
    <w:rsid w:val="00A21C14"/>
    <w:rsid w:val="00A21CD9"/>
    <w:rsid w:val="00A221B5"/>
    <w:rsid w:val="00A22321"/>
    <w:rsid w:val="00A2299D"/>
    <w:rsid w:val="00A22B00"/>
    <w:rsid w:val="00A22CD9"/>
    <w:rsid w:val="00A22D74"/>
    <w:rsid w:val="00A23289"/>
    <w:rsid w:val="00A234B1"/>
    <w:rsid w:val="00A23DE0"/>
    <w:rsid w:val="00A24A98"/>
    <w:rsid w:val="00A24B0D"/>
    <w:rsid w:val="00A24C1D"/>
    <w:rsid w:val="00A259CA"/>
    <w:rsid w:val="00A26379"/>
    <w:rsid w:val="00A269E6"/>
    <w:rsid w:val="00A26E46"/>
    <w:rsid w:val="00A2729E"/>
    <w:rsid w:val="00A27C4C"/>
    <w:rsid w:val="00A27C5A"/>
    <w:rsid w:val="00A27C8E"/>
    <w:rsid w:val="00A27ED8"/>
    <w:rsid w:val="00A27EE9"/>
    <w:rsid w:val="00A30182"/>
    <w:rsid w:val="00A30291"/>
    <w:rsid w:val="00A30356"/>
    <w:rsid w:val="00A30983"/>
    <w:rsid w:val="00A30ED1"/>
    <w:rsid w:val="00A31B93"/>
    <w:rsid w:val="00A31C58"/>
    <w:rsid w:val="00A31D17"/>
    <w:rsid w:val="00A322A0"/>
    <w:rsid w:val="00A32433"/>
    <w:rsid w:val="00A32919"/>
    <w:rsid w:val="00A32C85"/>
    <w:rsid w:val="00A331D6"/>
    <w:rsid w:val="00A33297"/>
    <w:rsid w:val="00A333F1"/>
    <w:rsid w:val="00A33623"/>
    <w:rsid w:val="00A33B25"/>
    <w:rsid w:val="00A35464"/>
    <w:rsid w:val="00A35793"/>
    <w:rsid w:val="00A357AB"/>
    <w:rsid w:val="00A369BF"/>
    <w:rsid w:val="00A36EAB"/>
    <w:rsid w:val="00A37A24"/>
    <w:rsid w:val="00A40A94"/>
    <w:rsid w:val="00A40D54"/>
    <w:rsid w:val="00A41290"/>
    <w:rsid w:val="00A414AD"/>
    <w:rsid w:val="00A424DC"/>
    <w:rsid w:val="00A42BD5"/>
    <w:rsid w:val="00A42E77"/>
    <w:rsid w:val="00A431AC"/>
    <w:rsid w:val="00A44041"/>
    <w:rsid w:val="00A44473"/>
    <w:rsid w:val="00A44682"/>
    <w:rsid w:val="00A4498D"/>
    <w:rsid w:val="00A456EC"/>
    <w:rsid w:val="00A459D9"/>
    <w:rsid w:val="00A45CC5"/>
    <w:rsid w:val="00A45E9A"/>
    <w:rsid w:val="00A45ED4"/>
    <w:rsid w:val="00A461C9"/>
    <w:rsid w:val="00A4640C"/>
    <w:rsid w:val="00A46A62"/>
    <w:rsid w:val="00A46BFA"/>
    <w:rsid w:val="00A46CD2"/>
    <w:rsid w:val="00A4750D"/>
    <w:rsid w:val="00A47EED"/>
    <w:rsid w:val="00A503A8"/>
    <w:rsid w:val="00A503C8"/>
    <w:rsid w:val="00A50E07"/>
    <w:rsid w:val="00A50E7E"/>
    <w:rsid w:val="00A515B4"/>
    <w:rsid w:val="00A51C6E"/>
    <w:rsid w:val="00A51F21"/>
    <w:rsid w:val="00A5207F"/>
    <w:rsid w:val="00A5229F"/>
    <w:rsid w:val="00A52447"/>
    <w:rsid w:val="00A52D7D"/>
    <w:rsid w:val="00A530E5"/>
    <w:rsid w:val="00A53230"/>
    <w:rsid w:val="00A53334"/>
    <w:rsid w:val="00A53751"/>
    <w:rsid w:val="00A53B65"/>
    <w:rsid w:val="00A54159"/>
    <w:rsid w:val="00A541A1"/>
    <w:rsid w:val="00A5435A"/>
    <w:rsid w:val="00A5441F"/>
    <w:rsid w:val="00A548E0"/>
    <w:rsid w:val="00A54E4B"/>
    <w:rsid w:val="00A55483"/>
    <w:rsid w:val="00A5577F"/>
    <w:rsid w:val="00A55E8C"/>
    <w:rsid w:val="00A56575"/>
    <w:rsid w:val="00A566FF"/>
    <w:rsid w:val="00A5740D"/>
    <w:rsid w:val="00A60240"/>
    <w:rsid w:val="00A60407"/>
    <w:rsid w:val="00A60869"/>
    <w:rsid w:val="00A60899"/>
    <w:rsid w:val="00A610C3"/>
    <w:rsid w:val="00A61757"/>
    <w:rsid w:val="00A61CFD"/>
    <w:rsid w:val="00A623CB"/>
    <w:rsid w:val="00A632C4"/>
    <w:rsid w:val="00A64134"/>
    <w:rsid w:val="00A64202"/>
    <w:rsid w:val="00A6442C"/>
    <w:rsid w:val="00A64769"/>
    <w:rsid w:val="00A64ABC"/>
    <w:rsid w:val="00A6501C"/>
    <w:rsid w:val="00A653B8"/>
    <w:rsid w:val="00A65636"/>
    <w:rsid w:val="00A656BE"/>
    <w:rsid w:val="00A657AB"/>
    <w:rsid w:val="00A65E88"/>
    <w:rsid w:val="00A6676F"/>
    <w:rsid w:val="00A667F3"/>
    <w:rsid w:val="00A669A1"/>
    <w:rsid w:val="00A66DF5"/>
    <w:rsid w:val="00A70344"/>
    <w:rsid w:val="00A7084E"/>
    <w:rsid w:val="00A70C27"/>
    <w:rsid w:val="00A70C2A"/>
    <w:rsid w:val="00A70D8F"/>
    <w:rsid w:val="00A71B23"/>
    <w:rsid w:val="00A71EFF"/>
    <w:rsid w:val="00A72888"/>
    <w:rsid w:val="00A72A59"/>
    <w:rsid w:val="00A72A6A"/>
    <w:rsid w:val="00A72BF3"/>
    <w:rsid w:val="00A7337A"/>
    <w:rsid w:val="00A733B5"/>
    <w:rsid w:val="00A7353E"/>
    <w:rsid w:val="00A73586"/>
    <w:rsid w:val="00A7374E"/>
    <w:rsid w:val="00A73C6A"/>
    <w:rsid w:val="00A73F1A"/>
    <w:rsid w:val="00A74133"/>
    <w:rsid w:val="00A74F42"/>
    <w:rsid w:val="00A751C8"/>
    <w:rsid w:val="00A75996"/>
    <w:rsid w:val="00A75D0A"/>
    <w:rsid w:val="00A75E55"/>
    <w:rsid w:val="00A75EC4"/>
    <w:rsid w:val="00A76BC6"/>
    <w:rsid w:val="00A77027"/>
    <w:rsid w:val="00A77439"/>
    <w:rsid w:val="00A7752F"/>
    <w:rsid w:val="00A777A1"/>
    <w:rsid w:val="00A77837"/>
    <w:rsid w:val="00A77AA5"/>
    <w:rsid w:val="00A77CF2"/>
    <w:rsid w:val="00A77D36"/>
    <w:rsid w:val="00A77F83"/>
    <w:rsid w:val="00A80312"/>
    <w:rsid w:val="00A8061A"/>
    <w:rsid w:val="00A806A8"/>
    <w:rsid w:val="00A80BBA"/>
    <w:rsid w:val="00A80D0A"/>
    <w:rsid w:val="00A8108C"/>
    <w:rsid w:val="00A81097"/>
    <w:rsid w:val="00A8246D"/>
    <w:rsid w:val="00A8284F"/>
    <w:rsid w:val="00A82BC3"/>
    <w:rsid w:val="00A82FCA"/>
    <w:rsid w:val="00A832D2"/>
    <w:rsid w:val="00A83337"/>
    <w:rsid w:val="00A83D7D"/>
    <w:rsid w:val="00A8442E"/>
    <w:rsid w:val="00A84DCB"/>
    <w:rsid w:val="00A8500D"/>
    <w:rsid w:val="00A85364"/>
    <w:rsid w:val="00A85677"/>
    <w:rsid w:val="00A8595E"/>
    <w:rsid w:val="00A86281"/>
    <w:rsid w:val="00A86DDA"/>
    <w:rsid w:val="00A870F2"/>
    <w:rsid w:val="00A875D0"/>
    <w:rsid w:val="00A8765D"/>
    <w:rsid w:val="00A8786A"/>
    <w:rsid w:val="00A87ACF"/>
    <w:rsid w:val="00A87C05"/>
    <w:rsid w:val="00A902EF"/>
    <w:rsid w:val="00A90DB9"/>
    <w:rsid w:val="00A90E0F"/>
    <w:rsid w:val="00A9153B"/>
    <w:rsid w:val="00A91586"/>
    <w:rsid w:val="00A9248C"/>
    <w:rsid w:val="00A9250F"/>
    <w:rsid w:val="00A92992"/>
    <w:rsid w:val="00A92CE4"/>
    <w:rsid w:val="00A93BDB"/>
    <w:rsid w:val="00A93E54"/>
    <w:rsid w:val="00A945A5"/>
    <w:rsid w:val="00A94CF1"/>
    <w:rsid w:val="00A94E8B"/>
    <w:rsid w:val="00A94FBC"/>
    <w:rsid w:val="00A95448"/>
    <w:rsid w:val="00A9546F"/>
    <w:rsid w:val="00A957AC"/>
    <w:rsid w:val="00A95F04"/>
    <w:rsid w:val="00A95F2B"/>
    <w:rsid w:val="00A96A4E"/>
    <w:rsid w:val="00A96C30"/>
    <w:rsid w:val="00A97137"/>
    <w:rsid w:val="00A971FC"/>
    <w:rsid w:val="00A9720B"/>
    <w:rsid w:val="00A973FB"/>
    <w:rsid w:val="00A976EE"/>
    <w:rsid w:val="00A97B53"/>
    <w:rsid w:val="00AA0271"/>
    <w:rsid w:val="00AA0A4F"/>
    <w:rsid w:val="00AA0CB7"/>
    <w:rsid w:val="00AA16A1"/>
    <w:rsid w:val="00AA184E"/>
    <w:rsid w:val="00AA1C70"/>
    <w:rsid w:val="00AA1F78"/>
    <w:rsid w:val="00AA280F"/>
    <w:rsid w:val="00AA2FCE"/>
    <w:rsid w:val="00AA313C"/>
    <w:rsid w:val="00AA326C"/>
    <w:rsid w:val="00AA33B2"/>
    <w:rsid w:val="00AA36B0"/>
    <w:rsid w:val="00AA36FC"/>
    <w:rsid w:val="00AA3CE5"/>
    <w:rsid w:val="00AA4324"/>
    <w:rsid w:val="00AA4868"/>
    <w:rsid w:val="00AA4ADF"/>
    <w:rsid w:val="00AA4B5F"/>
    <w:rsid w:val="00AA4C23"/>
    <w:rsid w:val="00AA5E27"/>
    <w:rsid w:val="00AA60C6"/>
    <w:rsid w:val="00AA60F0"/>
    <w:rsid w:val="00AA65E8"/>
    <w:rsid w:val="00AA6A07"/>
    <w:rsid w:val="00AA6AF7"/>
    <w:rsid w:val="00AA6D8D"/>
    <w:rsid w:val="00AA752D"/>
    <w:rsid w:val="00AA7815"/>
    <w:rsid w:val="00AB04CF"/>
    <w:rsid w:val="00AB0CF3"/>
    <w:rsid w:val="00AB1968"/>
    <w:rsid w:val="00AB1BA0"/>
    <w:rsid w:val="00AB1C63"/>
    <w:rsid w:val="00AB1E20"/>
    <w:rsid w:val="00AB2BBE"/>
    <w:rsid w:val="00AB2E14"/>
    <w:rsid w:val="00AB2FFE"/>
    <w:rsid w:val="00AB32DD"/>
    <w:rsid w:val="00AB3E0B"/>
    <w:rsid w:val="00AB3E4F"/>
    <w:rsid w:val="00AB3E8D"/>
    <w:rsid w:val="00AB3EBE"/>
    <w:rsid w:val="00AB4006"/>
    <w:rsid w:val="00AB410D"/>
    <w:rsid w:val="00AB4110"/>
    <w:rsid w:val="00AB42EE"/>
    <w:rsid w:val="00AB4951"/>
    <w:rsid w:val="00AB4ABF"/>
    <w:rsid w:val="00AB4CA0"/>
    <w:rsid w:val="00AB4CBA"/>
    <w:rsid w:val="00AB4DF4"/>
    <w:rsid w:val="00AB5712"/>
    <w:rsid w:val="00AB5C04"/>
    <w:rsid w:val="00AB6736"/>
    <w:rsid w:val="00AB6E3E"/>
    <w:rsid w:val="00AB6EB1"/>
    <w:rsid w:val="00AB76A9"/>
    <w:rsid w:val="00AB781D"/>
    <w:rsid w:val="00AC08B1"/>
    <w:rsid w:val="00AC1336"/>
    <w:rsid w:val="00AC16A3"/>
    <w:rsid w:val="00AC202C"/>
    <w:rsid w:val="00AC22D8"/>
    <w:rsid w:val="00AC2B15"/>
    <w:rsid w:val="00AC33F2"/>
    <w:rsid w:val="00AC34F5"/>
    <w:rsid w:val="00AC3CBF"/>
    <w:rsid w:val="00AC434F"/>
    <w:rsid w:val="00AC435F"/>
    <w:rsid w:val="00AC4FA9"/>
    <w:rsid w:val="00AC5359"/>
    <w:rsid w:val="00AC561C"/>
    <w:rsid w:val="00AC5761"/>
    <w:rsid w:val="00AC5A1C"/>
    <w:rsid w:val="00AC5B59"/>
    <w:rsid w:val="00AC5EC1"/>
    <w:rsid w:val="00AC5F61"/>
    <w:rsid w:val="00AC66E2"/>
    <w:rsid w:val="00AC6AA8"/>
    <w:rsid w:val="00AC6D94"/>
    <w:rsid w:val="00AC6FD9"/>
    <w:rsid w:val="00AC72AC"/>
    <w:rsid w:val="00AC74D5"/>
    <w:rsid w:val="00AC7D68"/>
    <w:rsid w:val="00AC7D6E"/>
    <w:rsid w:val="00AC7EE9"/>
    <w:rsid w:val="00AD0836"/>
    <w:rsid w:val="00AD0FF2"/>
    <w:rsid w:val="00AD13AE"/>
    <w:rsid w:val="00AD1410"/>
    <w:rsid w:val="00AD17D0"/>
    <w:rsid w:val="00AD1A6D"/>
    <w:rsid w:val="00AD202B"/>
    <w:rsid w:val="00AD2115"/>
    <w:rsid w:val="00AD2739"/>
    <w:rsid w:val="00AD297D"/>
    <w:rsid w:val="00AD2CDD"/>
    <w:rsid w:val="00AD31EB"/>
    <w:rsid w:val="00AD344E"/>
    <w:rsid w:val="00AD3B9B"/>
    <w:rsid w:val="00AD424F"/>
    <w:rsid w:val="00AD44D3"/>
    <w:rsid w:val="00AD486F"/>
    <w:rsid w:val="00AD4BC3"/>
    <w:rsid w:val="00AD4CDF"/>
    <w:rsid w:val="00AD4EFF"/>
    <w:rsid w:val="00AD5539"/>
    <w:rsid w:val="00AD5936"/>
    <w:rsid w:val="00AD595B"/>
    <w:rsid w:val="00AD59F7"/>
    <w:rsid w:val="00AD5BD2"/>
    <w:rsid w:val="00AD60D2"/>
    <w:rsid w:val="00AD653F"/>
    <w:rsid w:val="00AD6BE3"/>
    <w:rsid w:val="00AE02E2"/>
    <w:rsid w:val="00AE03F2"/>
    <w:rsid w:val="00AE0BC6"/>
    <w:rsid w:val="00AE18A4"/>
    <w:rsid w:val="00AE2D96"/>
    <w:rsid w:val="00AE38F3"/>
    <w:rsid w:val="00AE3CCE"/>
    <w:rsid w:val="00AE3E12"/>
    <w:rsid w:val="00AE4A31"/>
    <w:rsid w:val="00AE502A"/>
    <w:rsid w:val="00AE529D"/>
    <w:rsid w:val="00AE537C"/>
    <w:rsid w:val="00AE58BB"/>
    <w:rsid w:val="00AE6156"/>
    <w:rsid w:val="00AE61C1"/>
    <w:rsid w:val="00AE6AE6"/>
    <w:rsid w:val="00AE6C86"/>
    <w:rsid w:val="00AE7203"/>
    <w:rsid w:val="00AE77BA"/>
    <w:rsid w:val="00AF06E8"/>
    <w:rsid w:val="00AF0755"/>
    <w:rsid w:val="00AF1479"/>
    <w:rsid w:val="00AF15D3"/>
    <w:rsid w:val="00AF16C0"/>
    <w:rsid w:val="00AF1776"/>
    <w:rsid w:val="00AF1805"/>
    <w:rsid w:val="00AF1A8B"/>
    <w:rsid w:val="00AF1FF5"/>
    <w:rsid w:val="00AF2D5F"/>
    <w:rsid w:val="00AF30D7"/>
    <w:rsid w:val="00AF31BA"/>
    <w:rsid w:val="00AF330B"/>
    <w:rsid w:val="00AF336C"/>
    <w:rsid w:val="00AF4321"/>
    <w:rsid w:val="00AF4342"/>
    <w:rsid w:val="00AF4FF1"/>
    <w:rsid w:val="00AF5250"/>
    <w:rsid w:val="00AF54E2"/>
    <w:rsid w:val="00AF5637"/>
    <w:rsid w:val="00AF57B6"/>
    <w:rsid w:val="00AF5C32"/>
    <w:rsid w:val="00AF5F6C"/>
    <w:rsid w:val="00AF5FE7"/>
    <w:rsid w:val="00AF6506"/>
    <w:rsid w:val="00AF6722"/>
    <w:rsid w:val="00AF684A"/>
    <w:rsid w:val="00AF6E9D"/>
    <w:rsid w:val="00AF7200"/>
    <w:rsid w:val="00AF7259"/>
    <w:rsid w:val="00AF7449"/>
    <w:rsid w:val="00AF7500"/>
    <w:rsid w:val="00AF7C55"/>
    <w:rsid w:val="00B0159A"/>
    <w:rsid w:val="00B01EE1"/>
    <w:rsid w:val="00B0219A"/>
    <w:rsid w:val="00B02BA2"/>
    <w:rsid w:val="00B0332D"/>
    <w:rsid w:val="00B0355F"/>
    <w:rsid w:val="00B03B0E"/>
    <w:rsid w:val="00B03B6C"/>
    <w:rsid w:val="00B03B98"/>
    <w:rsid w:val="00B0444B"/>
    <w:rsid w:val="00B04C04"/>
    <w:rsid w:val="00B05601"/>
    <w:rsid w:val="00B056B6"/>
    <w:rsid w:val="00B05878"/>
    <w:rsid w:val="00B05D4E"/>
    <w:rsid w:val="00B064AA"/>
    <w:rsid w:val="00B0788F"/>
    <w:rsid w:val="00B079FD"/>
    <w:rsid w:val="00B07CFB"/>
    <w:rsid w:val="00B10333"/>
    <w:rsid w:val="00B10672"/>
    <w:rsid w:val="00B10DE2"/>
    <w:rsid w:val="00B121BE"/>
    <w:rsid w:val="00B125A9"/>
    <w:rsid w:val="00B125CA"/>
    <w:rsid w:val="00B12808"/>
    <w:rsid w:val="00B12AC1"/>
    <w:rsid w:val="00B13216"/>
    <w:rsid w:val="00B137E5"/>
    <w:rsid w:val="00B138E7"/>
    <w:rsid w:val="00B13F61"/>
    <w:rsid w:val="00B143D0"/>
    <w:rsid w:val="00B14661"/>
    <w:rsid w:val="00B14AA0"/>
    <w:rsid w:val="00B14C05"/>
    <w:rsid w:val="00B152C9"/>
    <w:rsid w:val="00B152FB"/>
    <w:rsid w:val="00B15DC9"/>
    <w:rsid w:val="00B15E53"/>
    <w:rsid w:val="00B168A5"/>
    <w:rsid w:val="00B169CB"/>
    <w:rsid w:val="00B16DF2"/>
    <w:rsid w:val="00B170F9"/>
    <w:rsid w:val="00B17970"/>
    <w:rsid w:val="00B20657"/>
    <w:rsid w:val="00B20A8E"/>
    <w:rsid w:val="00B2200D"/>
    <w:rsid w:val="00B221A3"/>
    <w:rsid w:val="00B221B9"/>
    <w:rsid w:val="00B2224E"/>
    <w:rsid w:val="00B22B52"/>
    <w:rsid w:val="00B231E7"/>
    <w:rsid w:val="00B235F4"/>
    <w:rsid w:val="00B24303"/>
    <w:rsid w:val="00B247B2"/>
    <w:rsid w:val="00B24822"/>
    <w:rsid w:val="00B24B94"/>
    <w:rsid w:val="00B257B1"/>
    <w:rsid w:val="00B257E4"/>
    <w:rsid w:val="00B25A4A"/>
    <w:rsid w:val="00B25A6C"/>
    <w:rsid w:val="00B25AF2"/>
    <w:rsid w:val="00B25D2F"/>
    <w:rsid w:val="00B25E21"/>
    <w:rsid w:val="00B2608E"/>
    <w:rsid w:val="00B268EA"/>
    <w:rsid w:val="00B2788A"/>
    <w:rsid w:val="00B30BCE"/>
    <w:rsid w:val="00B30BD6"/>
    <w:rsid w:val="00B30CF5"/>
    <w:rsid w:val="00B31D3A"/>
    <w:rsid w:val="00B31D7C"/>
    <w:rsid w:val="00B31D98"/>
    <w:rsid w:val="00B32486"/>
    <w:rsid w:val="00B325CE"/>
    <w:rsid w:val="00B32C35"/>
    <w:rsid w:val="00B33689"/>
    <w:rsid w:val="00B33782"/>
    <w:rsid w:val="00B33A49"/>
    <w:rsid w:val="00B33C83"/>
    <w:rsid w:val="00B33FF0"/>
    <w:rsid w:val="00B34338"/>
    <w:rsid w:val="00B347FB"/>
    <w:rsid w:val="00B348E2"/>
    <w:rsid w:val="00B34AAF"/>
    <w:rsid w:val="00B34E66"/>
    <w:rsid w:val="00B35715"/>
    <w:rsid w:val="00B35C27"/>
    <w:rsid w:val="00B3608B"/>
    <w:rsid w:val="00B36CE9"/>
    <w:rsid w:val="00B370A8"/>
    <w:rsid w:val="00B3727A"/>
    <w:rsid w:val="00B374EA"/>
    <w:rsid w:val="00B376B2"/>
    <w:rsid w:val="00B37EBD"/>
    <w:rsid w:val="00B40293"/>
    <w:rsid w:val="00B40E82"/>
    <w:rsid w:val="00B41126"/>
    <w:rsid w:val="00B41322"/>
    <w:rsid w:val="00B413DD"/>
    <w:rsid w:val="00B41FCF"/>
    <w:rsid w:val="00B42455"/>
    <w:rsid w:val="00B428B3"/>
    <w:rsid w:val="00B428B4"/>
    <w:rsid w:val="00B42E92"/>
    <w:rsid w:val="00B433BF"/>
    <w:rsid w:val="00B43987"/>
    <w:rsid w:val="00B43B60"/>
    <w:rsid w:val="00B43F18"/>
    <w:rsid w:val="00B44185"/>
    <w:rsid w:val="00B444CE"/>
    <w:rsid w:val="00B445FF"/>
    <w:rsid w:val="00B448A2"/>
    <w:rsid w:val="00B44A8B"/>
    <w:rsid w:val="00B44E19"/>
    <w:rsid w:val="00B45537"/>
    <w:rsid w:val="00B458BC"/>
    <w:rsid w:val="00B459A8"/>
    <w:rsid w:val="00B459C2"/>
    <w:rsid w:val="00B46190"/>
    <w:rsid w:val="00B46650"/>
    <w:rsid w:val="00B4680A"/>
    <w:rsid w:val="00B469BC"/>
    <w:rsid w:val="00B474F2"/>
    <w:rsid w:val="00B478FA"/>
    <w:rsid w:val="00B47D8C"/>
    <w:rsid w:val="00B50076"/>
    <w:rsid w:val="00B50AE0"/>
    <w:rsid w:val="00B50BDA"/>
    <w:rsid w:val="00B511C7"/>
    <w:rsid w:val="00B517FA"/>
    <w:rsid w:val="00B51987"/>
    <w:rsid w:val="00B51BE2"/>
    <w:rsid w:val="00B5236D"/>
    <w:rsid w:val="00B52A80"/>
    <w:rsid w:val="00B52CD5"/>
    <w:rsid w:val="00B53720"/>
    <w:rsid w:val="00B537A2"/>
    <w:rsid w:val="00B53AA0"/>
    <w:rsid w:val="00B53AE8"/>
    <w:rsid w:val="00B53E99"/>
    <w:rsid w:val="00B542E8"/>
    <w:rsid w:val="00B54876"/>
    <w:rsid w:val="00B54C26"/>
    <w:rsid w:val="00B54C5D"/>
    <w:rsid w:val="00B54E3C"/>
    <w:rsid w:val="00B54F8B"/>
    <w:rsid w:val="00B54FEE"/>
    <w:rsid w:val="00B55395"/>
    <w:rsid w:val="00B554C2"/>
    <w:rsid w:val="00B55692"/>
    <w:rsid w:val="00B55725"/>
    <w:rsid w:val="00B55C19"/>
    <w:rsid w:val="00B55E32"/>
    <w:rsid w:val="00B561C7"/>
    <w:rsid w:val="00B561F0"/>
    <w:rsid w:val="00B56F31"/>
    <w:rsid w:val="00B572D6"/>
    <w:rsid w:val="00B579BE"/>
    <w:rsid w:val="00B57C5F"/>
    <w:rsid w:val="00B57DBC"/>
    <w:rsid w:val="00B57E8D"/>
    <w:rsid w:val="00B600F5"/>
    <w:rsid w:val="00B603AD"/>
    <w:rsid w:val="00B60546"/>
    <w:rsid w:val="00B619A0"/>
    <w:rsid w:val="00B61B1E"/>
    <w:rsid w:val="00B624E0"/>
    <w:rsid w:val="00B645E1"/>
    <w:rsid w:val="00B6467D"/>
    <w:rsid w:val="00B64AC5"/>
    <w:rsid w:val="00B65024"/>
    <w:rsid w:val="00B6511F"/>
    <w:rsid w:val="00B654D5"/>
    <w:rsid w:val="00B654DD"/>
    <w:rsid w:val="00B659F9"/>
    <w:rsid w:val="00B65C03"/>
    <w:rsid w:val="00B65FE8"/>
    <w:rsid w:val="00B66362"/>
    <w:rsid w:val="00B66F3A"/>
    <w:rsid w:val="00B678DF"/>
    <w:rsid w:val="00B67940"/>
    <w:rsid w:val="00B67C97"/>
    <w:rsid w:val="00B702C1"/>
    <w:rsid w:val="00B703C5"/>
    <w:rsid w:val="00B7099D"/>
    <w:rsid w:val="00B70F07"/>
    <w:rsid w:val="00B711FD"/>
    <w:rsid w:val="00B7165F"/>
    <w:rsid w:val="00B71B4D"/>
    <w:rsid w:val="00B71C76"/>
    <w:rsid w:val="00B71C84"/>
    <w:rsid w:val="00B71DFB"/>
    <w:rsid w:val="00B7237A"/>
    <w:rsid w:val="00B72501"/>
    <w:rsid w:val="00B72E2A"/>
    <w:rsid w:val="00B72F42"/>
    <w:rsid w:val="00B7349C"/>
    <w:rsid w:val="00B73631"/>
    <w:rsid w:val="00B74BB8"/>
    <w:rsid w:val="00B754DB"/>
    <w:rsid w:val="00B75560"/>
    <w:rsid w:val="00B75B88"/>
    <w:rsid w:val="00B76037"/>
    <w:rsid w:val="00B76061"/>
    <w:rsid w:val="00B761BB"/>
    <w:rsid w:val="00B766BD"/>
    <w:rsid w:val="00B76B54"/>
    <w:rsid w:val="00B76F55"/>
    <w:rsid w:val="00B7716B"/>
    <w:rsid w:val="00B7723C"/>
    <w:rsid w:val="00B775A2"/>
    <w:rsid w:val="00B77F01"/>
    <w:rsid w:val="00B77FAC"/>
    <w:rsid w:val="00B8076E"/>
    <w:rsid w:val="00B811DD"/>
    <w:rsid w:val="00B815A0"/>
    <w:rsid w:val="00B8220E"/>
    <w:rsid w:val="00B82B06"/>
    <w:rsid w:val="00B82C1E"/>
    <w:rsid w:val="00B82EA3"/>
    <w:rsid w:val="00B83363"/>
    <w:rsid w:val="00B8356A"/>
    <w:rsid w:val="00B8375F"/>
    <w:rsid w:val="00B83936"/>
    <w:rsid w:val="00B83C00"/>
    <w:rsid w:val="00B84907"/>
    <w:rsid w:val="00B84A27"/>
    <w:rsid w:val="00B8501D"/>
    <w:rsid w:val="00B850C9"/>
    <w:rsid w:val="00B853A7"/>
    <w:rsid w:val="00B854B9"/>
    <w:rsid w:val="00B8556C"/>
    <w:rsid w:val="00B855CD"/>
    <w:rsid w:val="00B85DDF"/>
    <w:rsid w:val="00B85EE5"/>
    <w:rsid w:val="00B85F8F"/>
    <w:rsid w:val="00B861D7"/>
    <w:rsid w:val="00B8624F"/>
    <w:rsid w:val="00B86EE4"/>
    <w:rsid w:val="00B8778D"/>
    <w:rsid w:val="00B9030D"/>
    <w:rsid w:val="00B908EE"/>
    <w:rsid w:val="00B90A7E"/>
    <w:rsid w:val="00B90D7D"/>
    <w:rsid w:val="00B911C2"/>
    <w:rsid w:val="00B91278"/>
    <w:rsid w:val="00B91420"/>
    <w:rsid w:val="00B91B57"/>
    <w:rsid w:val="00B91CD3"/>
    <w:rsid w:val="00B91F36"/>
    <w:rsid w:val="00B922AA"/>
    <w:rsid w:val="00B924A9"/>
    <w:rsid w:val="00B9278E"/>
    <w:rsid w:val="00B92AC3"/>
    <w:rsid w:val="00B931D4"/>
    <w:rsid w:val="00B93420"/>
    <w:rsid w:val="00B93770"/>
    <w:rsid w:val="00B93789"/>
    <w:rsid w:val="00B93BF1"/>
    <w:rsid w:val="00B9408E"/>
    <w:rsid w:val="00B942F3"/>
    <w:rsid w:val="00B94703"/>
    <w:rsid w:val="00B94F4C"/>
    <w:rsid w:val="00B95B15"/>
    <w:rsid w:val="00B95F7B"/>
    <w:rsid w:val="00B9717C"/>
    <w:rsid w:val="00B9743A"/>
    <w:rsid w:val="00B978B1"/>
    <w:rsid w:val="00B97BD9"/>
    <w:rsid w:val="00BA02F3"/>
    <w:rsid w:val="00BA0345"/>
    <w:rsid w:val="00BA0BC1"/>
    <w:rsid w:val="00BA14C7"/>
    <w:rsid w:val="00BA27CC"/>
    <w:rsid w:val="00BA2DA5"/>
    <w:rsid w:val="00BA2F78"/>
    <w:rsid w:val="00BA31FC"/>
    <w:rsid w:val="00BA353D"/>
    <w:rsid w:val="00BA39DF"/>
    <w:rsid w:val="00BA3DAD"/>
    <w:rsid w:val="00BA40A7"/>
    <w:rsid w:val="00BA48CF"/>
    <w:rsid w:val="00BA4FD7"/>
    <w:rsid w:val="00BA51C8"/>
    <w:rsid w:val="00BA53C4"/>
    <w:rsid w:val="00BA6328"/>
    <w:rsid w:val="00BA743B"/>
    <w:rsid w:val="00BA7656"/>
    <w:rsid w:val="00BA79B4"/>
    <w:rsid w:val="00BA79C9"/>
    <w:rsid w:val="00BB02D5"/>
    <w:rsid w:val="00BB05BD"/>
    <w:rsid w:val="00BB066B"/>
    <w:rsid w:val="00BB097E"/>
    <w:rsid w:val="00BB0AB3"/>
    <w:rsid w:val="00BB0DEF"/>
    <w:rsid w:val="00BB19F9"/>
    <w:rsid w:val="00BB1BA5"/>
    <w:rsid w:val="00BB1DDC"/>
    <w:rsid w:val="00BB258B"/>
    <w:rsid w:val="00BB2808"/>
    <w:rsid w:val="00BB2A44"/>
    <w:rsid w:val="00BB2A4E"/>
    <w:rsid w:val="00BB2E40"/>
    <w:rsid w:val="00BB2E89"/>
    <w:rsid w:val="00BB2F22"/>
    <w:rsid w:val="00BB2F36"/>
    <w:rsid w:val="00BB319A"/>
    <w:rsid w:val="00BB3623"/>
    <w:rsid w:val="00BB3858"/>
    <w:rsid w:val="00BB3CFF"/>
    <w:rsid w:val="00BB408A"/>
    <w:rsid w:val="00BB45BD"/>
    <w:rsid w:val="00BB4B44"/>
    <w:rsid w:val="00BB4C95"/>
    <w:rsid w:val="00BB4D9A"/>
    <w:rsid w:val="00BB4DAB"/>
    <w:rsid w:val="00BB4DB5"/>
    <w:rsid w:val="00BB53A2"/>
    <w:rsid w:val="00BB587A"/>
    <w:rsid w:val="00BB5A5F"/>
    <w:rsid w:val="00BB5BB4"/>
    <w:rsid w:val="00BB5CE3"/>
    <w:rsid w:val="00BB5E61"/>
    <w:rsid w:val="00BB6000"/>
    <w:rsid w:val="00BB67E6"/>
    <w:rsid w:val="00BB6C83"/>
    <w:rsid w:val="00BB6DE7"/>
    <w:rsid w:val="00BB6EAA"/>
    <w:rsid w:val="00BB71C4"/>
    <w:rsid w:val="00BB764B"/>
    <w:rsid w:val="00BB7A52"/>
    <w:rsid w:val="00BC0304"/>
    <w:rsid w:val="00BC113A"/>
    <w:rsid w:val="00BC1718"/>
    <w:rsid w:val="00BC1903"/>
    <w:rsid w:val="00BC1C0A"/>
    <w:rsid w:val="00BC247D"/>
    <w:rsid w:val="00BC307D"/>
    <w:rsid w:val="00BC335F"/>
    <w:rsid w:val="00BC376B"/>
    <w:rsid w:val="00BC39D6"/>
    <w:rsid w:val="00BC3C72"/>
    <w:rsid w:val="00BC4691"/>
    <w:rsid w:val="00BC46C4"/>
    <w:rsid w:val="00BC46E1"/>
    <w:rsid w:val="00BC5806"/>
    <w:rsid w:val="00BC5DBB"/>
    <w:rsid w:val="00BC640A"/>
    <w:rsid w:val="00BC6580"/>
    <w:rsid w:val="00BC6980"/>
    <w:rsid w:val="00BC6A8B"/>
    <w:rsid w:val="00BC6CA1"/>
    <w:rsid w:val="00BC73FA"/>
    <w:rsid w:val="00BC76A7"/>
    <w:rsid w:val="00BC7C8D"/>
    <w:rsid w:val="00BD024A"/>
    <w:rsid w:val="00BD0683"/>
    <w:rsid w:val="00BD06B9"/>
    <w:rsid w:val="00BD0CBA"/>
    <w:rsid w:val="00BD15C9"/>
    <w:rsid w:val="00BD1F8F"/>
    <w:rsid w:val="00BD1FBD"/>
    <w:rsid w:val="00BD22D8"/>
    <w:rsid w:val="00BD292E"/>
    <w:rsid w:val="00BD2A0F"/>
    <w:rsid w:val="00BD2CBF"/>
    <w:rsid w:val="00BD3864"/>
    <w:rsid w:val="00BD39E8"/>
    <w:rsid w:val="00BD3B34"/>
    <w:rsid w:val="00BD3CE7"/>
    <w:rsid w:val="00BD4634"/>
    <w:rsid w:val="00BD4650"/>
    <w:rsid w:val="00BD4B6F"/>
    <w:rsid w:val="00BD4FE1"/>
    <w:rsid w:val="00BD52B8"/>
    <w:rsid w:val="00BD55FD"/>
    <w:rsid w:val="00BD5635"/>
    <w:rsid w:val="00BD5AE2"/>
    <w:rsid w:val="00BD5CED"/>
    <w:rsid w:val="00BD5F11"/>
    <w:rsid w:val="00BD677E"/>
    <w:rsid w:val="00BD6ADB"/>
    <w:rsid w:val="00BD7049"/>
    <w:rsid w:val="00BD72E7"/>
    <w:rsid w:val="00BD74D5"/>
    <w:rsid w:val="00BD7C15"/>
    <w:rsid w:val="00BE071E"/>
    <w:rsid w:val="00BE1E03"/>
    <w:rsid w:val="00BE1E81"/>
    <w:rsid w:val="00BE1FE5"/>
    <w:rsid w:val="00BE20A6"/>
    <w:rsid w:val="00BE20F8"/>
    <w:rsid w:val="00BE224B"/>
    <w:rsid w:val="00BE224D"/>
    <w:rsid w:val="00BE225C"/>
    <w:rsid w:val="00BE2B46"/>
    <w:rsid w:val="00BE314C"/>
    <w:rsid w:val="00BE3695"/>
    <w:rsid w:val="00BE3793"/>
    <w:rsid w:val="00BE3C8C"/>
    <w:rsid w:val="00BE3FD8"/>
    <w:rsid w:val="00BE5005"/>
    <w:rsid w:val="00BE5368"/>
    <w:rsid w:val="00BE56DA"/>
    <w:rsid w:val="00BE5C41"/>
    <w:rsid w:val="00BE5D2C"/>
    <w:rsid w:val="00BE682C"/>
    <w:rsid w:val="00BE6F71"/>
    <w:rsid w:val="00BE71FB"/>
    <w:rsid w:val="00BE7211"/>
    <w:rsid w:val="00BE7441"/>
    <w:rsid w:val="00BE75BC"/>
    <w:rsid w:val="00BE7E56"/>
    <w:rsid w:val="00BE7FCD"/>
    <w:rsid w:val="00BF0C6A"/>
    <w:rsid w:val="00BF10E9"/>
    <w:rsid w:val="00BF176C"/>
    <w:rsid w:val="00BF1785"/>
    <w:rsid w:val="00BF1DBC"/>
    <w:rsid w:val="00BF1EEB"/>
    <w:rsid w:val="00BF3195"/>
    <w:rsid w:val="00BF3245"/>
    <w:rsid w:val="00BF38C5"/>
    <w:rsid w:val="00BF38F7"/>
    <w:rsid w:val="00BF3BCD"/>
    <w:rsid w:val="00BF411B"/>
    <w:rsid w:val="00BF4CFA"/>
    <w:rsid w:val="00BF4F88"/>
    <w:rsid w:val="00BF4FDD"/>
    <w:rsid w:val="00BF5830"/>
    <w:rsid w:val="00BF5E2A"/>
    <w:rsid w:val="00BF663A"/>
    <w:rsid w:val="00BF6B62"/>
    <w:rsid w:val="00BF6F08"/>
    <w:rsid w:val="00BF721A"/>
    <w:rsid w:val="00BF73F5"/>
    <w:rsid w:val="00BF7A30"/>
    <w:rsid w:val="00BF7E42"/>
    <w:rsid w:val="00C008FE"/>
    <w:rsid w:val="00C0098E"/>
    <w:rsid w:val="00C015DD"/>
    <w:rsid w:val="00C01798"/>
    <w:rsid w:val="00C01BBB"/>
    <w:rsid w:val="00C01D22"/>
    <w:rsid w:val="00C0265D"/>
    <w:rsid w:val="00C02848"/>
    <w:rsid w:val="00C03029"/>
    <w:rsid w:val="00C03586"/>
    <w:rsid w:val="00C03EAA"/>
    <w:rsid w:val="00C04441"/>
    <w:rsid w:val="00C049EB"/>
    <w:rsid w:val="00C04AF7"/>
    <w:rsid w:val="00C04C42"/>
    <w:rsid w:val="00C04F0B"/>
    <w:rsid w:val="00C058CA"/>
    <w:rsid w:val="00C05F71"/>
    <w:rsid w:val="00C069F6"/>
    <w:rsid w:val="00C06B5C"/>
    <w:rsid w:val="00C06F2E"/>
    <w:rsid w:val="00C076E5"/>
    <w:rsid w:val="00C07751"/>
    <w:rsid w:val="00C0775B"/>
    <w:rsid w:val="00C07B84"/>
    <w:rsid w:val="00C1010B"/>
    <w:rsid w:val="00C10461"/>
    <w:rsid w:val="00C116D8"/>
    <w:rsid w:val="00C1172B"/>
    <w:rsid w:val="00C11AE4"/>
    <w:rsid w:val="00C11B97"/>
    <w:rsid w:val="00C11F07"/>
    <w:rsid w:val="00C11F5A"/>
    <w:rsid w:val="00C124C1"/>
    <w:rsid w:val="00C128E0"/>
    <w:rsid w:val="00C128EF"/>
    <w:rsid w:val="00C12E27"/>
    <w:rsid w:val="00C1325A"/>
    <w:rsid w:val="00C13D5D"/>
    <w:rsid w:val="00C141BD"/>
    <w:rsid w:val="00C1433D"/>
    <w:rsid w:val="00C14AE0"/>
    <w:rsid w:val="00C14D09"/>
    <w:rsid w:val="00C150F8"/>
    <w:rsid w:val="00C154BE"/>
    <w:rsid w:val="00C1556C"/>
    <w:rsid w:val="00C16295"/>
    <w:rsid w:val="00C164D4"/>
    <w:rsid w:val="00C16554"/>
    <w:rsid w:val="00C17A91"/>
    <w:rsid w:val="00C205F7"/>
    <w:rsid w:val="00C20664"/>
    <w:rsid w:val="00C20988"/>
    <w:rsid w:val="00C2107F"/>
    <w:rsid w:val="00C2154A"/>
    <w:rsid w:val="00C21799"/>
    <w:rsid w:val="00C218E2"/>
    <w:rsid w:val="00C21CCB"/>
    <w:rsid w:val="00C21ED6"/>
    <w:rsid w:val="00C2219E"/>
    <w:rsid w:val="00C22274"/>
    <w:rsid w:val="00C22A92"/>
    <w:rsid w:val="00C22ED7"/>
    <w:rsid w:val="00C23261"/>
    <w:rsid w:val="00C23518"/>
    <w:rsid w:val="00C23566"/>
    <w:rsid w:val="00C2395D"/>
    <w:rsid w:val="00C23B4D"/>
    <w:rsid w:val="00C23D79"/>
    <w:rsid w:val="00C23FDC"/>
    <w:rsid w:val="00C24143"/>
    <w:rsid w:val="00C24177"/>
    <w:rsid w:val="00C24373"/>
    <w:rsid w:val="00C24611"/>
    <w:rsid w:val="00C24907"/>
    <w:rsid w:val="00C24BCA"/>
    <w:rsid w:val="00C25735"/>
    <w:rsid w:val="00C25907"/>
    <w:rsid w:val="00C25D21"/>
    <w:rsid w:val="00C25EAE"/>
    <w:rsid w:val="00C25FD4"/>
    <w:rsid w:val="00C260F3"/>
    <w:rsid w:val="00C262DD"/>
    <w:rsid w:val="00C26A77"/>
    <w:rsid w:val="00C26C5A"/>
    <w:rsid w:val="00C26CB2"/>
    <w:rsid w:val="00C2714A"/>
    <w:rsid w:val="00C27207"/>
    <w:rsid w:val="00C27243"/>
    <w:rsid w:val="00C278B7"/>
    <w:rsid w:val="00C27A20"/>
    <w:rsid w:val="00C27A44"/>
    <w:rsid w:val="00C309C5"/>
    <w:rsid w:val="00C30A3B"/>
    <w:rsid w:val="00C30C5A"/>
    <w:rsid w:val="00C30D3F"/>
    <w:rsid w:val="00C30D50"/>
    <w:rsid w:val="00C31CF1"/>
    <w:rsid w:val="00C3206B"/>
    <w:rsid w:val="00C3207E"/>
    <w:rsid w:val="00C321EE"/>
    <w:rsid w:val="00C32333"/>
    <w:rsid w:val="00C32515"/>
    <w:rsid w:val="00C32924"/>
    <w:rsid w:val="00C32A6F"/>
    <w:rsid w:val="00C32E95"/>
    <w:rsid w:val="00C32FCF"/>
    <w:rsid w:val="00C32FD5"/>
    <w:rsid w:val="00C34001"/>
    <w:rsid w:val="00C34285"/>
    <w:rsid w:val="00C34766"/>
    <w:rsid w:val="00C354FE"/>
    <w:rsid w:val="00C355EA"/>
    <w:rsid w:val="00C3570D"/>
    <w:rsid w:val="00C35839"/>
    <w:rsid w:val="00C35DC5"/>
    <w:rsid w:val="00C370CB"/>
    <w:rsid w:val="00C3753C"/>
    <w:rsid w:val="00C377CD"/>
    <w:rsid w:val="00C4017E"/>
    <w:rsid w:val="00C403BC"/>
    <w:rsid w:val="00C40850"/>
    <w:rsid w:val="00C41146"/>
    <w:rsid w:val="00C42A6F"/>
    <w:rsid w:val="00C439FE"/>
    <w:rsid w:val="00C43DDB"/>
    <w:rsid w:val="00C442DB"/>
    <w:rsid w:val="00C44755"/>
    <w:rsid w:val="00C44E4A"/>
    <w:rsid w:val="00C44E98"/>
    <w:rsid w:val="00C44ECE"/>
    <w:rsid w:val="00C451D9"/>
    <w:rsid w:val="00C459EC"/>
    <w:rsid w:val="00C460F9"/>
    <w:rsid w:val="00C46203"/>
    <w:rsid w:val="00C46272"/>
    <w:rsid w:val="00C46AFE"/>
    <w:rsid w:val="00C46B00"/>
    <w:rsid w:val="00C47417"/>
    <w:rsid w:val="00C47AA0"/>
    <w:rsid w:val="00C47F87"/>
    <w:rsid w:val="00C50306"/>
    <w:rsid w:val="00C5053F"/>
    <w:rsid w:val="00C505AE"/>
    <w:rsid w:val="00C50997"/>
    <w:rsid w:val="00C50C75"/>
    <w:rsid w:val="00C50CAE"/>
    <w:rsid w:val="00C51638"/>
    <w:rsid w:val="00C51A63"/>
    <w:rsid w:val="00C51C81"/>
    <w:rsid w:val="00C51D4F"/>
    <w:rsid w:val="00C51DA1"/>
    <w:rsid w:val="00C520C9"/>
    <w:rsid w:val="00C5276E"/>
    <w:rsid w:val="00C52B3A"/>
    <w:rsid w:val="00C52D4C"/>
    <w:rsid w:val="00C532FF"/>
    <w:rsid w:val="00C53AFC"/>
    <w:rsid w:val="00C53C36"/>
    <w:rsid w:val="00C53EDE"/>
    <w:rsid w:val="00C544CA"/>
    <w:rsid w:val="00C5450E"/>
    <w:rsid w:val="00C54775"/>
    <w:rsid w:val="00C54E8D"/>
    <w:rsid w:val="00C54FCD"/>
    <w:rsid w:val="00C55730"/>
    <w:rsid w:val="00C55751"/>
    <w:rsid w:val="00C562E2"/>
    <w:rsid w:val="00C563E2"/>
    <w:rsid w:val="00C5640B"/>
    <w:rsid w:val="00C5652D"/>
    <w:rsid w:val="00C56562"/>
    <w:rsid w:val="00C56734"/>
    <w:rsid w:val="00C56D49"/>
    <w:rsid w:val="00C5758B"/>
    <w:rsid w:val="00C57906"/>
    <w:rsid w:val="00C57B1B"/>
    <w:rsid w:val="00C57E6B"/>
    <w:rsid w:val="00C57F3C"/>
    <w:rsid w:val="00C6019B"/>
    <w:rsid w:val="00C60303"/>
    <w:rsid w:val="00C603BD"/>
    <w:rsid w:val="00C60DF7"/>
    <w:rsid w:val="00C61152"/>
    <w:rsid w:val="00C61204"/>
    <w:rsid w:val="00C61539"/>
    <w:rsid w:val="00C6171D"/>
    <w:rsid w:val="00C61B54"/>
    <w:rsid w:val="00C61D00"/>
    <w:rsid w:val="00C61F22"/>
    <w:rsid w:val="00C62051"/>
    <w:rsid w:val="00C6217E"/>
    <w:rsid w:val="00C62808"/>
    <w:rsid w:val="00C628FA"/>
    <w:rsid w:val="00C62BE8"/>
    <w:rsid w:val="00C62F50"/>
    <w:rsid w:val="00C630E9"/>
    <w:rsid w:val="00C63340"/>
    <w:rsid w:val="00C637A5"/>
    <w:rsid w:val="00C63A0B"/>
    <w:rsid w:val="00C63ADA"/>
    <w:rsid w:val="00C63D45"/>
    <w:rsid w:val="00C6421C"/>
    <w:rsid w:val="00C644F8"/>
    <w:rsid w:val="00C64537"/>
    <w:rsid w:val="00C64B15"/>
    <w:rsid w:val="00C64B18"/>
    <w:rsid w:val="00C64B38"/>
    <w:rsid w:val="00C65994"/>
    <w:rsid w:val="00C6697D"/>
    <w:rsid w:val="00C66BB6"/>
    <w:rsid w:val="00C66F91"/>
    <w:rsid w:val="00C67299"/>
    <w:rsid w:val="00C674E1"/>
    <w:rsid w:val="00C67792"/>
    <w:rsid w:val="00C67AE0"/>
    <w:rsid w:val="00C67E73"/>
    <w:rsid w:val="00C7091B"/>
    <w:rsid w:val="00C70D9D"/>
    <w:rsid w:val="00C7118C"/>
    <w:rsid w:val="00C7131E"/>
    <w:rsid w:val="00C71401"/>
    <w:rsid w:val="00C7147F"/>
    <w:rsid w:val="00C72331"/>
    <w:rsid w:val="00C738FF"/>
    <w:rsid w:val="00C73DE2"/>
    <w:rsid w:val="00C74548"/>
    <w:rsid w:val="00C74E91"/>
    <w:rsid w:val="00C7519D"/>
    <w:rsid w:val="00C75239"/>
    <w:rsid w:val="00C753FE"/>
    <w:rsid w:val="00C756CB"/>
    <w:rsid w:val="00C75AA8"/>
    <w:rsid w:val="00C761FD"/>
    <w:rsid w:val="00C76711"/>
    <w:rsid w:val="00C768F8"/>
    <w:rsid w:val="00C76A3E"/>
    <w:rsid w:val="00C76DDD"/>
    <w:rsid w:val="00C76E65"/>
    <w:rsid w:val="00C770BD"/>
    <w:rsid w:val="00C77515"/>
    <w:rsid w:val="00C775DE"/>
    <w:rsid w:val="00C775E7"/>
    <w:rsid w:val="00C77A14"/>
    <w:rsid w:val="00C77F4F"/>
    <w:rsid w:val="00C8000B"/>
    <w:rsid w:val="00C80173"/>
    <w:rsid w:val="00C80750"/>
    <w:rsid w:val="00C807FC"/>
    <w:rsid w:val="00C809F4"/>
    <w:rsid w:val="00C80F1D"/>
    <w:rsid w:val="00C8164D"/>
    <w:rsid w:val="00C81D1B"/>
    <w:rsid w:val="00C82094"/>
    <w:rsid w:val="00C8232C"/>
    <w:rsid w:val="00C8249F"/>
    <w:rsid w:val="00C8257B"/>
    <w:rsid w:val="00C83629"/>
    <w:rsid w:val="00C83773"/>
    <w:rsid w:val="00C83C95"/>
    <w:rsid w:val="00C83E4A"/>
    <w:rsid w:val="00C83FC8"/>
    <w:rsid w:val="00C846CC"/>
    <w:rsid w:val="00C84A9A"/>
    <w:rsid w:val="00C84AE2"/>
    <w:rsid w:val="00C84C17"/>
    <w:rsid w:val="00C85466"/>
    <w:rsid w:val="00C85F33"/>
    <w:rsid w:val="00C85F54"/>
    <w:rsid w:val="00C860CF"/>
    <w:rsid w:val="00C861C0"/>
    <w:rsid w:val="00C861F3"/>
    <w:rsid w:val="00C86225"/>
    <w:rsid w:val="00C86354"/>
    <w:rsid w:val="00C868BA"/>
    <w:rsid w:val="00C86F16"/>
    <w:rsid w:val="00C8700A"/>
    <w:rsid w:val="00C87418"/>
    <w:rsid w:val="00C87445"/>
    <w:rsid w:val="00C87800"/>
    <w:rsid w:val="00C878ED"/>
    <w:rsid w:val="00C87921"/>
    <w:rsid w:val="00C87B4A"/>
    <w:rsid w:val="00C9049B"/>
    <w:rsid w:val="00C90CE4"/>
    <w:rsid w:val="00C90D08"/>
    <w:rsid w:val="00C91633"/>
    <w:rsid w:val="00C91918"/>
    <w:rsid w:val="00C9223D"/>
    <w:rsid w:val="00C92B1E"/>
    <w:rsid w:val="00C93A2D"/>
    <w:rsid w:val="00C93B07"/>
    <w:rsid w:val="00C93BE3"/>
    <w:rsid w:val="00C94A50"/>
    <w:rsid w:val="00C94E3A"/>
    <w:rsid w:val="00C94F8F"/>
    <w:rsid w:val="00C95CE5"/>
    <w:rsid w:val="00C96247"/>
    <w:rsid w:val="00C96B69"/>
    <w:rsid w:val="00C971BE"/>
    <w:rsid w:val="00C971CE"/>
    <w:rsid w:val="00C971FA"/>
    <w:rsid w:val="00C976DA"/>
    <w:rsid w:val="00C978EF"/>
    <w:rsid w:val="00C97A3E"/>
    <w:rsid w:val="00C97B46"/>
    <w:rsid w:val="00CA021D"/>
    <w:rsid w:val="00CA0419"/>
    <w:rsid w:val="00CA04FB"/>
    <w:rsid w:val="00CA089E"/>
    <w:rsid w:val="00CA1537"/>
    <w:rsid w:val="00CA157F"/>
    <w:rsid w:val="00CA1AEF"/>
    <w:rsid w:val="00CA1CE9"/>
    <w:rsid w:val="00CA1CEC"/>
    <w:rsid w:val="00CA1F84"/>
    <w:rsid w:val="00CA2028"/>
    <w:rsid w:val="00CA2F20"/>
    <w:rsid w:val="00CA2FBB"/>
    <w:rsid w:val="00CA3050"/>
    <w:rsid w:val="00CA3652"/>
    <w:rsid w:val="00CA3A1D"/>
    <w:rsid w:val="00CA482E"/>
    <w:rsid w:val="00CA51CB"/>
    <w:rsid w:val="00CA56A7"/>
    <w:rsid w:val="00CA5A20"/>
    <w:rsid w:val="00CA5DF2"/>
    <w:rsid w:val="00CA5F76"/>
    <w:rsid w:val="00CA699A"/>
    <w:rsid w:val="00CA6AD3"/>
    <w:rsid w:val="00CA6E68"/>
    <w:rsid w:val="00CA74BE"/>
    <w:rsid w:val="00CA7749"/>
    <w:rsid w:val="00CA7949"/>
    <w:rsid w:val="00CA7B5D"/>
    <w:rsid w:val="00CA7C3E"/>
    <w:rsid w:val="00CA7D65"/>
    <w:rsid w:val="00CB0115"/>
    <w:rsid w:val="00CB01C9"/>
    <w:rsid w:val="00CB0231"/>
    <w:rsid w:val="00CB0317"/>
    <w:rsid w:val="00CB07FD"/>
    <w:rsid w:val="00CB0A8B"/>
    <w:rsid w:val="00CB12E3"/>
    <w:rsid w:val="00CB1AF2"/>
    <w:rsid w:val="00CB1B4A"/>
    <w:rsid w:val="00CB1EF1"/>
    <w:rsid w:val="00CB2D53"/>
    <w:rsid w:val="00CB3312"/>
    <w:rsid w:val="00CB3DFA"/>
    <w:rsid w:val="00CB4176"/>
    <w:rsid w:val="00CB41D2"/>
    <w:rsid w:val="00CB45DE"/>
    <w:rsid w:val="00CB4642"/>
    <w:rsid w:val="00CB470A"/>
    <w:rsid w:val="00CB51D8"/>
    <w:rsid w:val="00CB56AC"/>
    <w:rsid w:val="00CB574D"/>
    <w:rsid w:val="00CB58CB"/>
    <w:rsid w:val="00CB6619"/>
    <w:rsid w:val="00CB6AFA"/>
    <w:rsid w:val="00CB6F52"/>
    <w:rsid w:val="00CB7637"/>
    <w:rsid w:val="00CB7C56"/>
    <w:rsid w:val="00CB7FCC"/>
    <w:rsid w:val="00CC08A1"/>
    <w:rsid w:val="00CC0977"/>
    <w:rsid w:val="00CC133E"/>
    <w:rsid w:val="00CC19DA"/>
    <w:rsid w:val="00CC1BC9"/>
    <w:rsid w:val="00CC2197"/>
    <w:rsid w:val="00CC284B"/>
    <w:rsid w:val="00CC2AC3"/>
    <w:rsid w:val="00CC2F29"/>
    <w:rsid w:val="00CC3161"/>
    <w:rsid w:val="00CC31DC"/>
    <w:rsid w:val="00CC364C"/>
    <w:rsid w:val="00CC37C6"/>
    <w:rsid w:val="00CC3C39"/>
    <w:rsid w:val="00CC3EAD"/>
    <w:rsid w:val="00CC4A96"/>
    <w:rsid w:val="00CC58D9"/>
    <w:rsid w:val="00CC5F7C"/>
    <w:rsid w:val="00CC6194"/>
    <w:rsid w:val="00CC6F44"/>
    <w:rsid w:val="00CC75BC"/>
    <w:rsid w:val="00CC76A9"/>
    <w:rsid w:val="00CC78FB"/>
    <w:rsid w:val="00CC7AB2"/>
    <w:rsid w:val="00CD09B9"/>
    <w:rsid w:val="00CD123A"/>
    <w:rsid w:val="00CD15A6"/>
    <w:rsid w:val="00CD1EC1"/>
    <w:rsid w:val="00CD243C"/>
    <w:rsid w:val="00CD2787"/>
    <w:rsid w:val="00CD2BF7"/>
    <w:rsid w:val="00CD325B"/>
    <w:rsid w:val="00CD353E"/>
    <w:rsid w:val="00CD367B"/>
    <w:rsid w:val="00CD3B65"/>
    <w:rsid w:val="00CD3BCB"/>
    <w:rsid w:val="00CD3E74"/>
    <w:rsid w:val="00CD4843"/>
    <w:rsid w:val="00CD4A39"/>
    <w:rsid w:val="00CD529B"/>
    <w:rsid w:val="00CD52B2"/>
    <w:rsid w:val="00CD597D"/>
    <w:rsid w:val="00CD5A24"/>
    <w:rsid w:val="00CD62B9"/>
    <w:rsid w:val="00CD6D83"/>
    <w:rsid w:val="00CD6E5C"/>
    <w:rsid w:val="00CD7346"/>
    <w:rsid w:val="00CD7370"/>
    <w:rsid w:val="00CD7E4E"/>
    <w:rsid w:val="00CE0525"/>
    <w:rsid w:val="00CE082E"/>
    <w:rsid w:val="00CE09E8"/>
    <w:rsid w:val="00CE0DBE"/>
    <w:rsid w:val="00CE0EA8"/>
    <w:rsid w:val="00CE107F"/>
    <w:rsid w:val="00CE11D4"/>
    <w:rsid w:val="00CE189C"/>
    <w:rsid w:val="00CE2C60"/>
    <w:rsid w:val="00CE3169"/>
    <w:rsid w:val="00CE37F0"/>
    <w:rsid w:val="00CE5837"/>
    <w:rsid w:val="00CE591A"/>
    <w:rsid w:val="00CE6860"/>
    <w:rsid w:val="00CE76F2"/>
    <w:rsid w:val="00CE795C"/>
    <w:rsid w:val="00CE7AEC"/>
    <w:rsid w:val="00CF0C48"/>
    <w:rsid w:val="00CF1172"/>
    <w:rsid w:val="00CF1190"/>
    <w:rsid w:val="00CF1562"/>
    <w:rsid w:val="00CF194D"/>
    <w:rsid w:val="00CF239C"/>
    <w:rsid w:val="00CF276C"/>
    <w:rsid w:val="00CF2834"/>
    <w:rsid w:val="00CF2975"/>
    <w:rsid w:val="00CF2AE8"/>
    <w:rsid w:val="00CF2B5D"/>
    <w:rsid w:val="00CF39A1"/>
    <w:rsid w:val="00CF3BA0"/>
    <w:rsid w:val="00CF3E14"/>
    <w:rsid w:val="00CF4078"/>
    <w:rsid w:val="00CF4148"/>
    <w:rsid w:val="00CF48D6"/>
    <w:rsid w:val="00CF4C89"/>
    <w:rsid w:val="00CF571D"/>
    <w:rsid w:val="00CF572C"/>
    <w:rsid w:val="00CF59D5"/>
    <w:rsid w:val="00CF5B27"/>
    <w:rsid w:val="00CF5EBE"/>
    <w:rsid w:val="00CF7091"/>
    <w:rsid w:val="00CF7CB3"/>
    <w:rsid w:val="00CF7F32"/>
    <w:rsid w:val="00CF7F89"/>
    <w:rsid w:val="00CF7F94"/>
    <w:rsid w:val="00CF7FBD"/>
    <w:rsid w:val="00D00156"/>
    <w:rsid w:val="00D00255"/>
    <w:rsid w:val="00D00692"/>
    <w:rsid w:val="00D01233"/>
    <w:rsid w:val="00D0152D"/>
    <w:rsid w:val="00D015D4"/>
    <w:rsid w:val="00D01EE0"/>
    <w:rsid w:val="00D025CA"/>
    <w:rsid w:val="00D02696"/>
    <w:rsid w:val="00D02749"/>
    <w:rsid w:val="00D030B4"/>
    <w:rsid w:val="00D0459B"/>
    <w:rsid w:val="00D04910"/>
    <w:rsid w:val="00D0498A"/>
    <w:rsid w:val="00D051AA"/>
    <w:rsid w:val="00D05B72"/>
    <w:rsid w:val="00D05C2D"/>
    <w:rsid w:val="00D0608D"/>
    <w:rsid w:val="00D06529"/>
    <w:rsid w:val="00D065EF"/>
    <w:rsid w:val="00D070ED"/>
    <w:rsid w:val="00D071E4"/>
    <w:rsid w:val="00D075CA"/>
    <w:rsid w:val="00D0761A"/>
    <w:rsid w:val="00D077C9"/>
    <w:rsid w:val="00D07A31"/>
    <w:rsid w:val="00D07E5E"/>
    <w:rsid w:val="00D1035C"/>
    <w:rsid w:val="00D107A3"/>
    <w:rsid w:val="00D10D56"/>
    <w:rsid w:val="00D10E76"/>
    <w:rsid w:val="00D12282"/>
    <w:rsid w:val="00D12327"/>
    <w:rsid w:val="00D12794"/>
    <w:rsid w:val="00D12AB8"/>
    <w:rsid w:val="00D13463"/>
    <w:rsid w:val="00D13993"/>
    <w:rsid w:val="00D144FF"/>
    <w:rsid w:val="00D14A48"/>
    <w:rsid w:val="00D14AC0"/>
    <w:rsid w:val="00D14E1D"/>
    <w:rsid w:val="00D154A9"/>
    <w:rsid w:val="00D1562D"/>
    <w:rsid w:val="00D15E70"/>
    <w:rsid w:val="00D15EFE"/>
    <w:rsid w:val="00D164F4"/>
    <w:rsid w:val="00D16AAC"/>
    <w:rsid w:val="00D16CB3"/>
    <w:rsid w:val="00D16FE1"/>
    <w:rsid w:val="00D172D3"/>
    <w:rsid w:val="00D177BC"/>
    <w:rsid w:val="00D17C01"/>
    <w:rsid w:val="00D2002D"/>
    <w:rsid w:val="00D20B02"/>
    <w:rsid w:val="00D20DCB"/>
    <w:rsid w:val="00D20F7B"/>
    <w:rsid w:val="00D211B3"/>
    <w:rsid w:val="00D21514"/>
    <w:rsid w:val="00D21C9F"/>
    <w:rsid w:val="00D2230A"/>
    <w:rsid w:val="00D22AC0"/>
    <w:rsid w:val="00D2309E"/>
    <w:rsid w:val="00D23C68"/>
    <w:rsid w:val="00D23DAC"/>
    <w:rsid w:val="00D241CC"/>
    <w:rsid w:val="00D256CE"/>
    <w:rsid w:val="00D25F9A"/>
    <w:rsid w:val="00D264D1"/>
    <w:rsid w:val="00D26538"/>
    <w:rsid w:val="00D265EC"/>
    <w:rsid w:val="00D26B3E"/>
    <w:rsid w:val="00D27717"/>
    <w:rsid w:val="00D2795B"/>
    <w:rsid w:val="00D27ABD"/>
    <w:rsid w:val="00D27F79"/>
    <w:rsid w:val="00D30161"/>
    <w:rsid w:val="00D309B5"/>
    <w:rsid w:val="00D3108D"/>
    <w:rsid w:val="00D310C8"/>
    <w:rsid w:val="00D3145C"/>
    <w:rsid w:val="00D314DB"/>
    <w:rsid w:val="00D31A0D"/>
    <w:rsid w:val="00D32197"/>
    <w:rsid w:val="00D32481"/>
    <w:rsid w:val="00D3256A"/>
    <w:rsid w:val="00D32786"/>
    <w:rsid w:val="00D32DF0"/>
    <w:rsid w:val="00D32FAC"/>
    <w:rsid w:val="00D33FCE"/>
    <w:rsid w:val="00D3405E"/>
    <w:rsid w:val="00D344B1"/>
    <w:rsid w:val="00D357C6"/>
    <w:rsid w:val="00D35A3A"/>
    <w:rsid w:val="00D36188"/>
    <w:rsid w:val="00D36277"/>
    <w:rsid w:val="00D36407"/>
    <w:rsid w:val="00D366A8"/>
    <w:rsid w:val="00D368AB"/>
    <w:rsid w:val="00D3771C"/>
    <w:rsid w:val="00D40341"/>
    <w:rsid w:val="00D40693"/>
    <w:rsid w:val="00D40BC6"/>
    <w:rsid w:val="00D41098"/>
    <w:rsid w:val="00D41A3F"/>
    <w:rsid w:val="00D41B04"/>
    <w:rsid w:val="00D41CB4"/>
    <w:rsid w:val="00D4253D"/>
    <w:rsid w:val="00D4259C"/>
    <w:rsid w:val="00D426A5"/>
    <w:rsid w:val="00D429EE"/>
    <w:rsid w:val="00D4498B"/>
    <w:rsid w:val="00D45283"/>
    <w:rsid w:val="00D452AF"/>
    <w:rsid w:val="00D453CD"/>
    <w:rsid w:val="00D453F1"/>
    <w:rsid w:val="00D459F7"/>
    <w:rsid w:val="00D46517"/>
    <w:rsid w:val="00D4691E"/>
    <w:rsid w:val="00D46DC5"/>
    <w:rsid w:val="00D46EE4"/>
    <w:rsid w:val="00D46F02"/>
    <w:rsid w:val="00D4717D"/>
    <w:rsid w:val="00D47B1D"/>
    <w:rsid w:val="00D501A5"/>
    <w:rsid w:val="00D50637"/>
    <w:rsid w:val="00D50AB3"/>
    <w:rsid w:val="00D50BED"/>
    <w:rsid w:val="00D51457"/>
    <w:rsid w:val="00D51DA2"/>
    <w:rsid w:val="00D5258E"/>
    <w:rsid w:val="00D52963"/>
    <w:rsid w:val="00D52C78"/>
    <w:rsid w:val="00D52FC6"/>
    <w:rsid w:val="00D535A2"/>
    <w:rsid w:val="00D53833"/>
    <w:rsid w:val="00D53ACC"/>
    <w:rsid w:val="00D53D01"/>
    <w:rsid w:val="00D53E5F"/>
    <w:rsid w:val="00D5451D"/>
    <w:rsid w:val="00D54A3F"/>
    <w:rsid w:val="00D54D98"/>
    <w:rsid w:val="00D550EC"/>
    <w:rsid w:val="00D5514C"/>
    <w:rsid w:val="00D55538"/>
    <w:rsid w:val="00D55F3B"/>
    <w:rsid w:val="00D5648C"/>
    <w:rsid w:val="00D56586"/>
    <w:rsid w:val="00D56772"/>
    <w:rsid w:val="00D567E7"/>
    <w:rsid w:val="00D56C97"/>
    <w:rsid w:val="00D56E3D"/>
    <w:rsid w:val="00D57106"/>
    <w:rsid w:val="00D57330"/>
    <w:rsid w:val="00D578E3"/>
    <w:rsid w:val="00D57BA0"/>
    <w:rsid w:val="00D6023F"/>
    <w:rsid w:val="00D60399"/>
    <w:rsid w:val="00D60CFE"/>
    <w:rsid w:val="00D60E0A"/>
    <w:rsid w:val="00D610D1"/>
    <w:rsid w:val="00D61184"/>
    <w:rsid w:val="00D61528"/>
    <w:rsid w:val="00D6175C"/>
    <w:rsid w:val="00D6186D"/>
    <w:rsid w:val="00D61D48"/>
    <w:rsid w:val="00D61F0A"/>
    <w:rsid w:val="00D61FA9"/>
    <w:rsid w:val="00D63225"/>
    <w:rsid w:val="00D635D1"/>
    <w:rsid w:val="00D6389D"/>
    <w:rsid w:val="00D63E18"/>
    <w:rsid w:val="00D63EF7"/>
    <w:rsid w:val="00D63F32"/>
    <w:rsid w:val="00D6415D"/>
    <w:rsid w:val="00D64267"/>
    <w:rsid w:val="00D64571"/>
    <w:rsid w:val="00D64C37"/>
    <w:rsid w:val="00D65262"/>
    <w:rsid w:val="00D6585C"/>
    <w:rsid w:val="00D65990"/>
    <w:rsid w:val="00D65A98"/>
    <w:rsid w:val="00D66443"/>
    <w:rsid w:val="00D66464"/>
    <w:rsid w:val="00D6646D"/>
    <w:rsid w:val="00D66E99"/>
    <w:rsid w:val="00D66F39"/>
    <w:rsid w:val="00D673BF"/>
    <w:rsid w:val="00D676F8"/>
    <w:rsid w:val="00D6771D"/>
    <w:rsid w:val="00D67CA7"/>
    <w:rsid w:val="00D67F70"/>
    <w:rsid w:val="00D71216"/>
    <w:rsid w:val="00D71F16"/>
    <w:rsid w:val="00D72A52"/>
    <w:rsid w:val="00D730EB"/>
    <w:rsid w:val="00D73807"/>
    <w:rsid w:val="00D73E04"/>
    <w:rsid w:val="00D74118"/>
    <w:rsid w:val="00D746C6"/>
    <w:rsid w:val="00D74B64"/>
    <w:rsid w:val="00D74CFE"/>
    <w:rsid w:val="00D75BAD"/>
    <w:rsid w:val="00D7696D"/>
    <w:rsid w:val="00D76B41"/>
    <w:rsid w:val="00D77306"/>
    <w:rsid w:val="00D779A9"/>
    <w:rsid w:val="00D77AA0"/>
    <w:rsid w:val="00D77C32"/>
    <w:rsid w:val="00D77CEB"/>
    <w:rsid w:val="00D804ED"/>
    <w:rsid w:val="00D806E6"/>
    <w:rsid w:val="00D80780"/>
    <w:rsid w:val="00D80A18"/>
    <w:rsid w:val="00D80B69"/>
    <w:rsid w:val="00D80EBB"/>
    <w:rsid w:val="00D80ECB"/>
    <w:rsid w:val="00D80FFB"/>
    <w:rsid w:val="00D81201"/>
    <w:rsid w:val="00D813CB"/>
    <w:rsid w:val="00D814F2"/>
    <w:rsid w:val="00D82561"/>
    <w:rsid w:val="00D82A37"/>
    <w:rsid w:val="00D82BE0"/>
    <w:rsid w:val="00D830CF"/>
    <w:rsid w:val="00D83181"/>
    <w:rsid w:val="00D83D79"/>
    <w:rsid w:val="00D83DD9"/>
    <w:rsid w:val="00D840AF"/>
    <w:rsid w:val="00D8477C"/>
    <w:rsid w:val="00D85318"/>
    <w:rsid w:val="00D86134"/>
    <w:rsid w:val="00D86357"/>
    <w:rsid w:val="00D86421"/>
    <w:rsid w:val="00D865CA"/>
    <w:rsid w:val="00D86744"/>
    <w:rsid w:val="00D871A2"/>
    <w:rsid w:val="00D87806"/>
    <w:rsid w:val="00D90039"/>
    <w:rsid w:val="00D903A7"/>
    <w:rsid w:val="00D90592"/>
    <w:rsid w:val="00D91057"/>
    <w:rsid w:val="00D91115"/>
    <w:rsid w:val="00D91D29"/>
    <w:rsid w:val="00D9208C"/>
    <w:rsid w:val="00D923D6"/>
    <w:rsid w:val="00D93B60"/>
    <w:rsid w:val="00D93D9D"/>
    <w:rsid w:val="00D94135"/>
    <w:rsid w:val="00D94284"/>
    <w:rsid w:val="00D946B9"/>
    <w:rsid w:val="00D954D7"/>
    <w:rsid w:val="00D95746"/>
    <w:rsid w:val="00D957E8"/>
    <w:rsid w:val="00D95824"/>
    <w:rsid w:val="00D95856"/>
    <w:rsid w:val="00D95DF2"/>
    <w:rsid w:val="00D96089"/>
    <w:rsid w:val="00D962D4"/>
    <w:rsid w:val="00D96975"/>
    <w:rsid w:val="00D96BDF"/>
    <w:rsid w:val="00D96BF0"/>
    <w:rsid w:val="00D97020"/>
    <w:rsid w:val="00D97141"/>
    <w:rsid w:val="00D97BE4"/>
    <w:rsid w:val="00DA06A0"/>
    <w:rsid w:val="00DA0C99"/>
    <w:rsid w:val="00DA0DAD"/>
    <w:rsid w:val="00DA0E88"/>
    <w:rsid w:val="00DA12FE"/>
    <w:rsid w:val="00DA1EB9"/>
    <w:rsid w:val="00DA2E1F"/>
    <w:rsid w:val="00DA333E"/>
    <w:rsid w:val="00DA3593"/>
    <w:rsid w:val="00DA3ABE"/>
    <w:rsid w:val="00DA4CE9"/>
    <w:rsid w:val="00DA4DAF"/>
    <w:rsid w:val="00DA4DD9"/>
    <w:rsid w:val="00DA5276"/>
    <w:rsid w:val="00DA5A2D"/>
    <w:rsid w:val="00DA6D9D"/>
    <w:rsid w:val="00DA74F1"/>
    <w:rsid w:val="00DA7799"/>
    <w:rsid w:val="00DA77A8"/>
    <w:rsid w:val="00DA7CD2"/>
    <w:rsid w:val="00DA7D0B"/>
    <w:rsid w:val="00DA7FC4"/>
    <w:rsid w:val="00DB0679"/>
    <w:rsid w:val="00DB0755"/>
    <w:rsid w:val="00DB099F"/>
    <w:rsid w:val="00DB0A0C"/>
    <w:rsid w:val="00DB0C14"/>
    <w:rsid w:val="00DB0CBD"/>
    <w:rsid w:val="00DB11A7"/>
    <w:rsid w:val="00DB1232"/>
    <w:rsid w:val="00DB1488"/>
    <w:rsid w:val="00DB1546"/>
    <w:rsid w:val="00DB17B7"/>
    <w:rsid w:val="00DB1CFA"/>
    <w:rsid w:val="00DB1D6F"/>
    <w:rsid w:val="00DB2198"/>
    <w:rsid w:val="00DB2764"/>
    <w:rsid w:val="00DB280B"/>
    <w:rsid w:val="00DB28E7"/>
    <w:rsid w:val="00DB2F11"/>
    <w:rsid w:val="00DB388D"/>
    <w:rsid w:val="00DB3ED2"/>
    <w:rsid w:val="00DB3F4B"/>
    <w:rsid w:val="00DB4025"/>
    <w:rsid w:val="00DB4CD3"/>
    <w:rsid w:val="00DB4E7C"/>
    <w:rsid w:val="00DB5AD5"/>
    <w:rsid w:val="00DB5D61"/>
    <w:rsid w:val="00DB62D1"/>
    <w:rsid w:val="00DB6597"/>
    <w:rsid w:val="00DB723D"/>
    <w:rsid w:val="00DB76FD"/>
    <w:rsid w:val="00DB798E"/>
    <w:rsid w:val="00DC0AA0"/>
    <w:rsid w:val="00DC1152"/>
    <w:rsid w:val="00DC15AC"/>
    <w:rsid w:val="00DC1B39"/>
    <w:rsid w:val="00DC1E3B"/>
    <w:rsid w:val="00DC1EEE"/>
    <w:rsid w:val="00DC230D"/>
    <w:rsid w:val="00DC27E6"/>
    <w:rsid w:val="00DC30A2"/>
    <w:rsid w:val="00DC4318"/>
    <w:rsid w:val="00DC4373"/>
    <w:rsid w:val="00DC45D4"/>
    <w:rsid w:val="00DC4A49"/>
    <w:rsid w:val="00DC4B41"/>
    <w:rsid w:val="00DC54C9"/>
    <w:rsid w:val="00DC55E7"/>
    <w:rsid w:val="00DC5687"/>
    <w:rsid w:val="00DC5A60"/>
    <w:rsid w:val="00DC604B"/>
    <w:rsid w:val="00DC660D"/>
    <w:rsid w:val="00DC6B74"/>
    <w:rsid w:val="00DC6DA0"/>
    <w:rsid w:val="00DC72CA"/>
    <w:rsid w:val="00DC771F"/>
    <w:rsid w:val="00DD03EB"/>
    <w:rsid w:val="00DD0C0B"/>
    <w:rsid w:val="00DD0EA4"/>
    <w:rsid w:val="00DD0EE8"/>
    <w:rsid w:val="00DD1AA6"/>
    <w:rsid w:val="00DD1CFB"/>
    <w:rsid w:val="00DD252F"/>
    <w:rsid w:val="00DD2722"/>
    <w:rsid w:val="00DD296E"/>
    <w:rsid w:val="00DD2C1E"/>
    <w:rsid w:val="00DD328D"/>
    <w:rsid w:val="00DD3857"/>
    <w:rsid w:val="00DD489D"/>
    <w:rsid w:val="00DD49EF"/>
    <w:rsid w:val="00DD4C31"/>
    <w:rsid w:val="00DD4C74"/>
    <w:rsid w:val="00DD4EC7"/>
    <w:rsid w:val="00DD524D"/>
    <w:rsid w:val="00DD5591"/>
    <w:rsid w:val="00DD5786"/>
    <w:rsid w:val="00DD6741"/>
    <w:rsid w:val="00DD6756"/>
    <w:rsid w:val="00DD6D06"/>
    <w:rsid w:val="00DD744E"/>
    <w:rsid w:val="00DD77E0"/>
    <w:rsid w:val="00DD7847"/>
    <w:rsid w:val="00DD7AE1"/>
    <w:rsid w:val="00DD7CF0"/>
    <w:rsid w:val="00DE0AD7"/>
    <w:rsid w:val="00DE0B46"/>
    <w:rsid w:val="00DE103F"/>
    <w:rsid w:val="00DE130C"/>
    <w:rsid w:val="00DE1648"/>
    <w:rsid w:val="00DE202A"/>
    <w:rsid w:val="00DE213B"/>
    <w:rsid w:val="00DE24EE"/>
    <w:rsid w:val="00DE2621"/>
    <w:rsid w:val="00DE26B9"/>
    <w:rsid w:val="00DE2861"/>
    <w:rsid w:val="00DE2976"/>
    <w:rsid w:val="00DE2B98"/>
    <w:rsid w:val="00DE2C8B"/>
    <w:rsid w:val="00DE3059"/>
    <w:rsid w:val="00DE32CA"/>
    <w:rsid w:val="00DE35EB"/>
    <w:rsid w:val="00DE3E95"/>
    <w:rsid w:val="00DE4A68"/>
    <w:rsid w:val="00DE4C0D"/>
    <w:rsid w:val="00DE4EDF"/>
    <w:rsid w:val="00DE5303"/>
    <w:rsid w:val="00DE57E9"/>
    <w:rsid w:val="00DE5B97"/>
    <w:rsid w:val="00DE5CC8"/>
    <w:rsid w:val="00DE5FAE"/>
    <w:rsid w:val="00DE6524"/>
    <w:rsid w:val="00DE68B6"/>
    <w:rsid w:val="00DE6938"/>
    <w:rsid w:val="00DE6ADD"/>
    <w:rsid w:val="00DE6BBE"/>
    <w:rsid w:val="00DE6CA7"/>
    <w:rsid w:val="00DE6E0C"/>
    <w:rsid w:val="00DE6E49"/>
    <w:rsid w:val="00DE747E"/>
    <w:rsid w:val="00DE758D"/>
    <w:rsid w:val="00DE7688"/>
    <w:rsid w:val="00DE7BAA"/>
    <w:rsid w:val="00DE7CC9"/>
    <w:rsid w:val="00DE7E9A"/>
    <w:rsid w:val="00DF0F64"/>
    <w:rsid w:val="00DF18EC"/>
    <w:rsid w:val="00DF1920"/>
    <w:rsid w:val="00DF222E"/>
    <w:rsid w:val="00DF2384"/>
    <w:rsid w:val="00DF344C"/>
    <w:rsid w:val="00DF372A"/>
    <w:rsid w:val="00DF3A72"/>
    <w:rsid w:val="00DF430D"/>
    <w:rsid w:val="00DF4677"/>
    <w:rsid w:val="00DF4BB9"/>
    <w:rsid w:val="00DF4F4F"/>
    <w:rsid w:val="00DF50DF"/>
    <w:rsid w:val="00DF5233"/>
    <w:rsid w:val="00DF53D9"/>
    <w:rsid w:val="00DF54F8"/>
    <w:rsid w:val="00DF5596"/>
    <w:rsid w:val="00DF58FA"/>
    <w:rsid w:val="00DF6388"/>
    <w:rsid w:val="00DF6476"/>
    <w:rsid w:val="00DF6614"/>
    <w:rsid w:val="00DF6D55"/>
    <w:rsid w:val="00DF6FAB"/>
    <w:rsid w:val="00DF71DD"/>
    <w:rsid w:val="00DF74D1"/>
    <w:rsid w:val="00DF7EA8"/>
    <w:rsid w:val="00E0063A"/>
    <w:rsid w:val="00E00D81"/>
    <w:rsid w:val="00E00ED0"/>
    <w:rsid w:val="00E01008"/>
    <w:rsid w:val="00E01107"/>
    <w:rsid w:val="00E0272D"/>
    <w:rsid w:val="00E02BAD"/>
    <w:rsid w:val="00E02D9E"/>
    <w:rsid w:val="00E031CC"/>
    <w:rsid w:val="00E0380D"/>
    <w:rsid w:val="00E039B0"/>
    <w:rsid w:val="00E03A75"/>
    <w:rsid w:val="00E03BCE"/>
    <w:rsid w:val="00E04586"/>
    <w:rsid w:val="00E04B42"/>
    <w:rsid w:val="00E04C7B"/>
    <w:rsid w:val="00E04EF7"/>
    <w:rsid w:val="00E050B5"/>
    <w:rsid w:val="00E051E2"/>
    <w:rsid w:val="00E0525D"/>
    <w:rsid w:val="00E0526E"/>
    <w:rsid w:val="00E055BB"/>
    <w:rsid w:val="00E06084"/>
    <w:rsid w:val="00E062F2"/>
    <w:rsid w:val="00E065FB"/>
    <w:rsid w:val="00E0680B"/>
    <w:rsid w:val="00E06CC7"/>
    <w:rsid w:val="00E07DC1"/>
    <w:rsid w:val="00E07F1A"/>
    <w:rsid w:val="00E1085C"/>
    <w:rsid w:val="00E10E30"/>
    <w:rsid w:val="00E116C0"/>
    <w:rsid w:val="00E118FC"/>
    <w:rsid w:val="00E1216A"/>
    <w:rsid w:val="00E125DF"/>
    <w:rsid w:val="00E129B0"/>
    <w:rsid w:val="00E13A54"/>
    <w:rsid w:val="00E13E25"/>
    <w:rsid w:val="00E13EA3"/>
    <w:rsid w:val="00E150AA"/>
    <w:rsid w:val="00E154F8"/>
    <w:rsid w:val="00E1554A"/>
    <w:rsid w:val="00E15BEF"/>
    <w:rsid w:val="00E1638A"/>
    <w:rsid w:val="00E169E9"/>
    <w:rsid w:val="00E16C19"/>
    <w:rsid w:val="00E16D9B"/>
    <w:rsid w:val="00E16EF1"/>
    <w:rsid w:val="00E17867"/>
    <w:rsid w:val="00E17E74"/>
    <w:rsid w:val="00E203EC"/>
    <w:rsid w:val="00E20836"/>
    <w:rsid w:val="00E20B39"/>
    <w:rsid w:val="00E20B68"/>
    <w:rsid w:val="00E20BFB"/>
    <w:rsid w:val="00E20FB1"/>
    <w:rsid w:val="00E21012"/>
    <w:rsid w:val="00E210AA"/>
    <w:rsid w:val="00E212E2"/>
    <w:rsid w:val="00E212EC"/>
    <w:rsid w:val="00E2138A"/>
    <w:rsid w:val="00E2173F"/>
    <w:rsid w:val="00E21996"/>
    <w:rsid w:val="00E21A5C"/>
    <w:rsid w:val="00E22FA0"/>
    <w:rsid w:val="00E2316E"/>
    <w:rsid w:val="00E23857"/>
    <w:rsid w:val="00E2410B"/>
    <w:rsid w:val="00E24288"/>
    <w:rsid w:val="00E247AE"/>
    <w:rsid w:val="00E24937"/>
    <w:rsid w:val="00E24B8B"/>
    <w:rsid w:val="00E24DE1"/>
    <w:rsid w:val="00E250A8"/>
    <w:rsid w:val="00E251E1"/>
    <w:rsid w:val="00E253D3"/>
    <w:rsid w:val="00E256A2"/>
    <w:rsid w:val="00E25784"/>
    <w:rsid w:val="00E261DE"/>
    <w:rsid w:val="00E262CB"/>
    <w:rsid w:val="00E26C36"/>
    <w:rsid w:val="00E26C40"/>
    <w:rsid w:val="00E2737D"/>
    <w:rsid w:val="00E2754B"/>
    <w:rsid w:val="00E27958"/>
    <w:rsid w:val="00E27EFF"/>
    <w:rsid w:val="00E27F1A"/>
    <w:rsid w:val="00E27FAB"/>
    <w:rsid w:val="00E30534"/>
    <w:rsid w:val="00E3123B"/>
    <w:rsid w:val="00E3129F"/>
    <w:rsid w:val="00E3151B"/>
    <w:rsid w:val="00E315F3"/>
    <w:rsid w:val="00E319BC"/>
    <w:rsid w:val="00E31BC7"/>
    <w:rsid w:val="00E31D98"/>
    <w:rsid w:val="00E31F18"/>
    <w:rsid w:val="00E31F3D"/>
    <w:rsid w:val="00E32521"/>
    <w:rsid w:val="00E329A1"/>
    <w:rsid w:val="00E32ED8"/>
    <w:rsid w:val="00E33617"/>
    <w:rsid w:val="00E337BD"/>
    <w:rsid w:val="00E338BE"/>
    <w:rsid w:val="00E33BE9"/>
    <w:rsid w:val="00E33CE3"/>
    <w:rsid w:val="00E34221"/>
    <w:rsid w:val="00E34454"/>
    <w:rsid w:val="00E344F1"/>
    <w:rsid w:val="00E34544"/>
    <w:rsid w:val="00E346CB"/>
    <w:rsid w:val="00E34AB7"/>
    <w:rsid w:val="00E34F10"/>
    <w:rsid w:val="00E35136"/>
    <w:rsid w:val="00E354EB"/>
    <w:rsid w:val="00E35B80"/>
    <w:rsid w:val="00E35BEB"/>
    <w:rsid w:val="00E360A7"/>
    <w:rsid w:val="00E3656C"/>
    <w:rsid w:val="00E3676D"/>
    <w:rsid w:val="00E3698C"/>
    <w:rsid w:val="00E36CE8"/>
    <w:rsid w:val="00E409AE"/>
    <w:rsid w:val="00E40F31"/>
    <w:rsid w:val="00E41069"/>
    <w:rsid w:val="00E4159F"/>
    <w:rsid w:val="00E41B10"/>
    <w:rsid w:val="00E41B71"/>
    <w:rsid w:val="00E41CAF"/>
    <w:rsid w:val="00E41D02"/>
    <w:rsid w:val="00E422C5"/>
    <w:rsid w:val="00E4295C"/>
    <w:rsid w:val="00E42EE0"/>
    <w:rsid w:val="00E434D2"/>
    <w:rsid w:val="00E4350B"/>
    <w:rsid w:val="00E43CA6"/>
    <w:rsid w:val="00E43E02"/>
    <w:rsid w:val="00E4402F"/>
    <w:rsid w:val="00E44309"/>
    <w:rsid w:val="00E4494A"/>
    <w:rsid w:val="00E4519A"/>
    <w:rsid w:val="00E4542B"/>
    <w:rsid w:val="00E45AB2"/>
    <w:rsid w:val="00E45AE1"/>
    <w:rsid w:val="00E46051"/>
    <w:rsid w:val="00E46141"/>
    <w:rsid w:val="00E471DA"/>
    <w:rsid w:val="00E47AF7"/>
    <w:rsid w:val="00E500C6"/>
    <w:rsid w:val="00E5101C"/>
    <w:rsid w:val="00E51425"/>
    <w:rsid w:val="00E518AC"/>
    <w:rsid w:val="00E51F09"/>
    <w:rsid w:val="00E5232E"/>
    <w:rsid w:val="00E52B84"/>
    <w:rsid w:val="00E5301B"/>
    <w:rsid w:val="00E537DA"/>
    <w:rsid w:val="00E539EA"/>
    <w:rsid w:val="00E53AC3"/>
    <w:rsid w:val="00E53B18"/>
    <w:rsid w:val="00E541CF"/>
    <w:rsid w:val="00E54239"/>
    <w:rsid w:val="00E54931"/>
    <w:rsid w:val="00E54E2D"/>
    <w:rsid w:val="00E551AC"/>
    <w:rsid w:val="00E55396"/>
    <w:rsid w:val="00E55ADE"/>
    <w:rsid w:val="00E55C08"/>
    <w:rsid w:val="00E55FEB"/>
    <w:rsid w:val="00E5623F"/>
    <w:rsid w:val="00E56264"/>
    <w:rsid w:val="00E56350"/>
    <w:rsid w:val="00E5649E"/>
    <w:rsid w:val="00E564CF"/>
    <w:rsid w:val="00E5667E"/>
    <w:rsid w:val="00E56D73"/>
    <w:rsid w:val="00E57071"/>
    <w:rsid w:val="00E57BD1"/>
    <w:rsid w:val="00E60194"/>
    <w:rsid w:val="00E6032B"/>
    <w:rsid w:val="00E60534"/>
    <w:rsid w:val="00E60CDA"/>
    <w:rsid w:val="00E60E64"/>
    <w:rsid w:val="00E61AB7"/>
    <w:rsid w:val="00E6213B"/>
    <w:rsid w:val="00E621D1"/>
    <w:rsid w:val="00E62345"/>
    <w:rsid w:val="00E627C6"/>
    <w:rsid w:val="00E62B32"/>
    <w:rsid w:val="00E63C1B"/>
    <w:rsid w:val="00E643B0"/>
    <w:rsid w:val="00E64587"/>
    <w:rsid w:val="00E64652"/>
    <w:rsid w:val="00E64761"/>
    <w:rsid w:val="00E64ACA"/>
    <w:rsid w:val="00E64BBC"/>
    <w:rsid w:val="00E64BD1"/>
    <w:rsid w:val="00E653DD"/>
    <w:rsid w:val="00E65535"/>
    <w:rsid w:val="00E6563C"/>
    <w:rsid w:val="00E65C54"/>
    <w:rsid w:val="00E66084"/>
    <w:rsid w:val="00E6643A"/>
    <w:rsid w:val="00E6652C"/>
    <w:rsid w:val="00E66741"/>
    <w:rsid w:val="00E66F42"/>
    <w:rsid w:val="00E675A9"/>
    <w:rsid w:val="00E676B4"/>
    <w:rsid w:val="00E67FC5"/>
    <w:rsid w:val="00E67FEA"/>
    <w:rsid w:val="00E700BC"/>
    <w:rsid w:val="00E7023F"/>
    <w:rsid w:val="00E70509"/>
    <w:rsid w:val="00E705A3"/>
    <w:rsid w:val="00E709C6"/>
    <w:rsid w:val="00E70ED5"/>
    <w:rsid w:val="00E71225"/>
    <w:rsid w:val="00E71FFF"/>
    <w:rsid w:val="00E7200F"/>
    <w:rsid w:val="00E727E8"/>
    <w:rsid w:val="00E7289B"/>
    <w:rsid w:val="00E72A6F"/>
    <w:rsid w:val="00E73242"/>
    <w:rsid w:val="00E736B5"/>
    <w:rsid w:val="00E73F4C"/>
    <w:rsid w:val="00E74119"/>
    <w:rsid w:val="00E741AF"/>
    <w:rsid w:val="00E745D3"/>
    <w:rsid w:val="00E74EC5"/>
    <w:rsid w:val="00E755C9"/>
    <w:rsid w:val="00E76002"/>
    <w:rsid w:val="00E767C9"/>
    <w:rsid w:val="00E772CF"/>
    <w:rsid w:val="00E77577"/>
    <w:rsid w:val="00E77684"/>
    <w:rsid w:val="00E77A12"/>
    <w:rsid w:val="00E800F1"/>
    <w:rsid w:val="00E802F3"/>
    <w:rsid w:val="00E81040"/>
    <w:rsid w:val="00E8109E"/>
    <w:rsid w:val="00E815FA"/>
    <w:rsid w:val="00E81645"/>
    <w:rsid w:val="00E816C7"/>
    <w:rsid w:val="00E817BD"/>
    <w:rsid w:val="00E82120"/>
    <w:rsid w:val="00E82BDC"/>
    <w:rsid w:val="00E831A4"/>
    <w:rsid w:val="00E831C5"/>
    <w:rsid w:val="00E83210"/>
    <w:rsid w:val="00E83430"/>
    <w:rsid w:val="00E83C32"/>
    <w:rsid w:val="00E84536"/>
    <w:rsid w:val="00E847DA"/>
    <w:rsid w:val="00E849FC"/>
    <w:rsid w:val="00E850F5"/>
    <w:rsid w:val="00E852EE"/>
    <w:rsid w:val="00E85391"/>
    <w:rsid w:val="00E86CC9"/>
    <w:rsid w:val="00E8761A"/>
    <w:rsid w:val="00E87E03"/>
    <w:rsid w:val="00E87FD8"/>
    <w:rsid w:val="00E905D2"/>
    <w:rsid w:val="00E907C6"/>
    <w:rsid w:val="00E90C90"/>
    <w:rsid w:val="00E90ECF"/>
    <w:rsid w:val="00E912AD"/>
    <w:rsid w:val="00E9142E"/>
    <w:rsid w:val="00E921BE"/>
    <w:rsid w:val="00E9294E"/>
    <w:rsid w:val="00E92955"/>
    <w:rsid w:val="00E929FC"/>
    <w:rsid w:val="00E933CC"/>
    <w:rsid w:val="00E9340F"/>
    <w:rsid w:val="00E9360D"/>
    <w:rsid w:val="00E937B8"/>
    <w:rsid w:val="00E940B4"/>
    <w:rsid w:val="00E94936"/>
    <w:rsid w:val="00E94957"/>
    <w:rsid w:val="00E94F58"/>
    <w:rsid w:val="00E95A02"/>
    <w:rsid w:val="00E960B7"/>
    <w:rsid w:val="00E96655"/>
    <w:rsid w:val="00E969A5"/>
    <w:rsid w:val="00E96B56"/>
    <w:rsid w:val="00E96E4E"/>
    <w:rsid w:val="00E970ED"/>
    <w:rsid w:val="00E9726C"/>
    <w:rsid w:val="00E9788A"/>
    <w:rsid w:val="00E97E93"/>
    <w:rsid w:val="00EA0600"/>
    <w:rsid w:val="00EA0B29"/>
    <w:rsid w:val="00EA0EF6"/>
    <w:rsid w:val="00EA0F55"/>
    <w:rsid w:val="00EA1962"/>
    <w:rsid w:val="00EA1D62"/>
    <w:rsid w:val="00EA22D5"/>
    <w:rsid w:val="00EA22E6"/>
    <w:rsid w:val="00EA23E2"/>
    <w:rsid w:val="00EA27E2"/>
    <w:rsid w:val="00EA3797"/>
    <w:rsid w:val="00EA41B5"/>
    <w:rsid w:val="00EA42E1"/>
    <w:rsid w:val="00EA458E"/>
    <w:rsid w:val="00EA45C8"/>
    <w:rsid w:val="00EA462E"/>
    <w:rsid w:val="00EA4A4C"/>
    <w:rsid w:val="00EA4C96"/>
    <w:rsid w:val="00EA4D9A"/>
    <w:rsid w:val="00EA4F09"/>
    <w:rsid w:val="00EA4FCB"/>
    <w:rsid w:val="00EA51F0"/>
    <w:rsid w:val="00EA5335"/>
    <w:rsid w:val="00EA5535"/>
    <w:rsid w:val="00EA5E2C"/>
    <w:rsid w:val="00EA6685"/>
    <w:rsid w:val="00EA6ABB"/>
    <w:rsid w:val="00EA6B0E"/>
    <w:rsid w:val="00EA7294"/>
    <w:rsid w:val="00EB0111"/>
    <w:rsid w:val="00EB02C3"/>
    <w:rsid w:val="00EB05F1"/>
    <w:rsid w:val="00EB0648"/>
    <w:rsid w:val="00EB0872"/>
    <w:rsid w:val="00EB0CDB"/>
    <w:rsid w:val="00EB194C"/>
    <w:rsid w:val="00EB23BB"/>
    <w:rsid w:val="00EB253B"/>
    <w:rsid w:val="00EB2E71"/>
    <w:rsid w:val="00EB30ED"/>
    <w:rsid w:val="00EB34AD"/>
    <w:rsid w:val="00EB351C"/>
    <w:rsid w:val="00EB381E"/>
    <w:rsid w:val="00EB386E"/>
    <w:rsid w:val="00EB3C72"/>
    <w:rsid w:val="00EB3D58"/>
    <w:rsid w:val="00EB42D7"/>
    <w:rsid w:val="00EB43F5"/>
    <w:rsid w:val="00EB45E6"/>
    <w:rsid w:val="00EB53EA"/>
    <w:rsid w:val="00EB59B3"/>
    <w:rsid w:val="00EB645D"/>
    <w:rsid w:val="00EB6875"/>
    <w:rsid w:val="00EB6883"/>
    <w:rsid w:val="00EB68F4"/>
    <w:rsid w:val="00EB6A2F"/>
    <w:rsid w:val="00EB768F"/>
    <w:rsid w:val="00EB7D27"/>
    <w:rsid w:val="00EC03ED"/>
    <w:rsid w:val="00EC096D"/>
    <w:rsid w:val="00EC0A6B"/>
    <w:rsid w:val="00EC1576"/>
    <w:rsid w:val="00EC168A"/>
    <w:rsid w:val="00EC2862"/>
    <w:rsid w:val="00EC345C"/>
    <w:rsid w:val="00EC3571"/>
    <w:rsid w:val="00EC385F"/>
    <w:rsid w:val="00EC3A0C"/>
    <w:rsid w:val="00EC3D65"/>
    <w:rsid w:val="00EC3E41"/>
    <w:rsid w:val="00EC4770"/>
    <w:rsid w:val="00EC49A9"/>
    <w:rsid w:val="00EC4BA4"/>
    <w:rsid w:val="00EC4BAB"/>
    <w:rsid w:val="00EC55D8"/>
    <w:rsid w:val="00EC5BB6"/>
    <w:rsid w:val="00EC66FE"/>
    <w:rsid w:val="00EC688F"/>
    <w:rsid w:val="00EC6A34"/>
    <w:rsid w:val="00EC6BB5"/>
    <w:rsid w:val="00EC7628"/>
    <w:rsid w:val="00EC7A6E"/>
    <w:rsid w:val="00EC7BE8"/>
    <w:rsid w:val="00EC7C14"/>
    <w:rsid w:val="00ED008B"/>
    <w:rsid w:val="00ED02BE"/>
    <w:rsid w:val="00ED0E31"/>
    <w:rsid w:val="00ED1751"/>
    <w:rsid w:val="00ED1CDF"/>
    <w:rsid w:val="00ED38D5"/>
    <w:rsid w:val="00ED3BB8"/>
    <w:rsid w:val="00ED3EF6"/>
    <w:rsid w:val="00ED408C"/>
    <w:rsid w:val="00ED4145"/>
    <w:rsid w:val="00ED48A6"/>
    <w:rsid w:val="00ED531E"/>
    <w:rsid w:val="00ED5999"/>
    <w:rsid w:val="00ED5DFC"/>
    <w:rsid w:val="00ED626D"/>
    <w:rsid w:val="00ED6A25"/>
    <w:rsid w:val="00ED6AE3"/>
    <w:rsid w:val="00ED78E8"/>
    <w:rsid w:val="00ED7AB9"/>
    <w:rsid w:val="00EE0298"/>
    <w:rsid w:val="00EE02D6"/>
    <w:rsid w:val="00EE0BC6"/>
    <w:rsid w:val="00EE0D99"/>
    <w:rsid w:val="00EE125C"/>
    <w:rsid w:val="00EE1B4D"/>
    <w:rsid w:val="00EE2006"/>
    <w:rsid w:val="00EE296C"/>
    <w:rsid w:val="00EE2BC1"/>
    <w:rsid w:val="00EE2C57"/>
    <w:rsid w:val="00EE301A"/>
    <w:rsid w:val="00EE3248"/>
    <w:rsid w:val="00EE324E"/>
    <w:rsid w:val="00EE3816"/>
    <w:rsid w:val="00EE3A4B"/>
    <w:rsid w:val="00EE3B58"/>
    <w:rsid w:val="00EE419C"/>
    <w:rsid w:val="00EE423C"/>
    <w:rsid w:val="00EE4A14"/>
    <w:rsid w:val="00EE4B49"/>
    <w:rsid w:val="00EE4B63"/>
    <w:rsid w:val="00EE517B"/>
    <w:rsid w:val="00EE5260"/>
    <w:rsid w:val="00EE52BD"/>
    <w:rsid w:val="00EE52EB"/>
    <w:rsid w:val="00EE594A"/>
    <w:rsid w:val="00EE5ED0"/>
    <w:rsid w:val="00EE6380"/>
    <w:rsid w:val="00EE653A"/>
    <w:rsid w:val="00EE6706"/>
    <w:rsid w:val="00EE6AF0"/>
    <w:rsid w:val="00EE6D6F"/>
    <w:rsid w:val="00EE73DF"/>
    <w:rsid w:val="00EE746F"/>
    <w:rsid w:val="00EE7B44"/>
    <w:rsid w:val="00EE7C80"/>
    <w:rsid w:val="00EF00DE"/>
    <w:rsid w:val="00EF02FC"/>
    <w:rsid w:val="00EF11BC"/>
    <w:rsid w:val="00EF1401"/>
    <w:rsid w:val="00EF1B70"/>
    <w:rsid w:val="00EF1D4A"/>
    <w:rsid w:val="00EF289E"/>
    <w:rsid w:val="00EF2D9F"/>
    <w:rsid w:val="00EF34E5"/>
    <w:rsid w:val="00EF358A"/>
    <w:rsid w:val="00EF46DD"/>
    <w:rsid w:val="00EF48BB"/>
    <w:rsid w:val="00EF4987"/>
    <w:rsid w:val="00EF4AA4"/>
    <w:rsid w:val="00EF4B87"/>
    <w:rsid w:val="00EF4D7D"/>
    <w:rsid w:val="00EF564C"/>
    <w:rsid w:val="00EF6B94"/>
    <w:rsid w:val="00EF7653"/>
    <w:rsid w:val="00EF791C"/>
    <w:rsid w:val="00EF7B40"/>
    <w:rsid w:val="00EF7C8C"/>
    <w:rsid w:val="00F005E3"/>
    <w:rsid w:val="00F0100B"/>
    <w:rsid w:val="00F01050"/>
    <w:rsid w:val="00F0116C"/>
    <w:rsid w:val="00F018B9"/>
    <w:rsid w:val="00F01D08"/>
    <w:rsid w:val="00F01E80"/>
    <w:rsid w:val="00F02377"/>
    <w:rsid w:val="00F026EF"/>
    <w:rsid w:val="00F02DD9"/>
    <w:rsid w:val="00F03243"/>
    <w:rsid w:val="00F03993"/>
    <w:rsid w:val="00F03C07"/>
    <w:rsid w:val="00F03C94"/>
    <w:rsid w:val="00F04281"/>
    <w:rsid w:val="00F043C8"/>
    <w:rsid w:val="00F04841"/>
    <w:rsid w:val="00F04E51"/>
    <w:rsid w:val="00F05C10"/>
    <w:rsid w:val="00F06D60"/>
    <w:rsid w:val="00F078F5"/>
    <w:rsid w:val="00F07B51"/>
    <w:rsid w:val="00F07B8C"/>
    <w:rsid w:val="00F07DA1"/>
    <w:rsid w:val="00F101D8"/>
    <w:rsid w:val="00F12150"/>
    <w:rsid w:val="00F121AD"/>
    <w:rsid w:val="00F12371"/>
    <w:rsid w:val="00F12499"/>
    <w:rsid w:val="00F12543"/>
    <w:rsid w:val="00F12779"/>
    <w:rsid w:val="00F12A3D"/>
    <w:rsid w:val="00F12E33"/>
    <w:rsid w:val="00F12FA9"/>
    <w:rsid w:val="00F13B0D"/>
    <w:rsid w:val="00F1411B"/>
    <w:rsid w:val="00F141D3"/>
    <w:rsid w:val="00F14AF7"/>
    <w:rsid w:val="00F14D01"/>
    <w:rsid w:val="00F150FA"/>
    <w:rsid w:val="00F15567"/>
    <w:rsid w:val="00F167DE"/>
    <w:rsid w:val="00F16883"/>
    <w:rsid w:val="00F16965"/>
    <w:rsid w:val="00F17B91"/>
    <w:rsid w:val="00F17D71"/>
    <w:rsid w:val="00F17F5B"/>
    <w:rsid w:val="00F20732"/>
    <w:rsid w:val="00F21205"/>
    <w:rsid w:val="00F2170C"/>
    <w:rsid w:val="00F2198C"/>
    <w:rsid w:val="00F22328"/>
    <w:rsid w:val="00F22CB9"/>
    <w:rsid w:val="00F22CC1"/>
    <w:rsid w:val="00F23456"/>
    <w:rsid w:val="00F235A3"/>
    <w:rsid w:val="00F23B10"/>
    <w:rsid w:val="00F23D87"/>
    <w:rsid w:val="00F23ECF"/>
    <w:rsid w:val="00F245A0"/>
    <w:rsid w:val="00F24600"/>
    <w:rsid w:val="00F24897"/>
    <w:rsid w:val="00F25213"/>
    <w:rsid w:val="00F2575A"/>
    <w:rsid w:val="00F261E2"/>
    <w:rsid w:val="00F26DB1"/>
    <w:rsid w:val="00F27481"/>
    <w:rsid w:val="00F27A30"/>
    <w:rsid w:val="00F27FAC"/>
    <w:rsid w:val="00F304C2"/>
    <w:rsid w:val="00F30582"/>
    <w:rsid w:val="00F30882"/>
    <w:rsid w:val="00F30B98"/>
    <w:rsid w:val="00F30EAD"/>
    <w:rsid w:val="00F30EF6"/>
    <w:rsid w:val="00F3110B"/>
    <w:rsid w:val="00F31850"/>
    <w:rsid w:val="00F3189E"/>
    <w:rsid w:val="00F318F4"/>
    <w:rsid w:val="00F31A07"/>
    <w:rsid w:val="00F31B39"/>
    <w:rsid w:val="00F31F97"/>
    <w:rsid w:val="00F31FE7"/>
    <w:rsid w:val="00F321F1"/>
    <w:rsid w:val="00F324CB"/>
    <w:rsid w:val="00F3299E"/>
    <w:rsid w:val="00F32BB9"/>
    <w:rsid w:val="00F32C70"/>
    <w:rsid w:val="00F32E73"/>
    <w:rsid w:val="00F32EAD"/>
    <w:rsid w:val="00F33A16"/>
    <w:rsid w:val="00F34111"/>
    <w:rsid w:val="00F34286"/>
    <w:rsid w:val="00F34483"/>
    <w:rsid w:val="00F3550A"/>
    <w:rsid w:val="00F3550B"/>
    <w:rsid w:val="00F35B83"/>
    <w:rsid w:val="00F35C69"/>
    <w:rsid w:val="00F36461"/>
    <w:rsid w:val="00F36FC8"/>
    <w:rsid w:val="00F3790D"/>
    <w:rsid w:val="00F409EF"/>
    <w:rsid w:val="00F40C73"/>
    <w:rsid w:val="00F40E38"/>
    <w:rsid w:val="00F40F26"/>
    <w:rsid w:val="00F40F3E"/>
    <w:rsid w:val="00F40FCE"/>
    <w:rsid w:val="00F410D5"/>
    <w:rsid w:val="00F41FAC"/>
    <w:rsid w:val="00F42852"/>
    <w:rsid w:val="00F43138"/>
    <w:rsid w:val="00F43176"/>
    <w:rsid w:val="00F4339C"/>
    <w:rsid w:val="00F43BEA"/>
    <w:rsid w:val="00F43F23"/>
    <w:rsid w:val="00F4444C"/>
    <w:rsid w:val="00F44506"/>
    <w:rsid w:val="00F44C6E"/>
    <w:rsid w:val="00F44F0C"/>
    <w:rsid w:val="00F44FEA"/>
    <w:rsid w:val="00F45916"/>
    <w:rsid w:val="00F461DA"/>
    <w:rsid w:val="00F462F9"/>
    <w:rsid w:val="00F4634F"/>
    <w:rsid w:val="00F46627"/>
    <w:rsid w:val="00F46FE8"/>
    <w:rsid w:val="00F4700B"/>
    <w:rsid w:val="00F4711F"/>
    <w:rsid w:val="00F47601"/>
    <w:rsid w:val="00F477AA"/>
    <w:rsid w:val="00F47A2F"/>
    <w:rsid w:val="00F500BB"/>
    <w:rsid w:val="00F506B4"/>
    <w:rsid w:val="00F50D4C"/>
    <w:rsid w:val="00F518EC"/>
    <w:rsid w:val="00F52226"/>
    <w:rsid w:val="00F532E3"/>
    <w:rsid w:val="00F5395A"/>
    <w:rsid w:val="00F53D23"/>
    <w:rsid w:val="00F544F5"/>
    <w:rsid w:val="00F54610"/>
    <w:rsid w:val="00F54891"/>
    <w:rsid w:val="00F54892"/>
    <w:rsid w:val="00F548B1"/>
    <w:rsid w:val="00F54E17"/>
    <w:rsid w:val="00F55540"/>
    <w:rsid w:val="00F55A83"/>
    <w:rsid w:val="00F55EDD"/>
    <w:rsid w:val="00F55FA6"/>
    <w:rsid w:val="00F56279"/>
    <w:rsid w:val="00F56498"/>
    <w:rsid w:val="00F56E43"/>
    <w:rsid w:val="00F575C5"/>
    <w:rsid w:val="00F57741"/>
    <w:rsid w:val="00F57909"/>
    <w:rsid w:val="00F57965"/>
    <w:rsid w:val="00F57D7C"/>
    <w:rsid w:val="00F6068F"/>
    <w:rsid w:val="00F60BA0"/>
    <w:rsid w:val="00F60EB8"/>
    <w:rsid w:val="00F612B7"/>
    <w:rsid w:val="00F61B07"/>
    <w:rsid w:val="00F6222B"/>
    <w:rsid w:val="00F6225F"/>
    <w:rsid w:val="00F62687"/>
    <w:rsid w:val="00F626D3"/>
    <w:rsid w:val="00F62757"/>
    <w:rsid w:val="00F637DF"/>
    <w:rsid w:val="00F63B5B"/>
    <w:rsid w:val="00F63D0C"/>
    <w:rsid w:val="00F63E19"/>
    <w:rsid w:val="00F64772"/>
    <w:rsid w:val="00F64DC5"/>
    <w:rsid w:val="00F650BB"/>
    <w:rsid w:val="00F655FD"/>
    <w:rsid w:val="00F6610E"/>
    <w:rsid w:val="00F66AD7"/>
    <w:rsid w:val="00F66B77"/>
    <w:rsid w:val="00F66F43"/>
    <w:rsid w:val="00F66FE0"/>
    <w:rsid w:val="00F67459"/>
    <w:rsid w:val="00F6769F"/>
    <w:rsid w:val="00F677BB"/>
    <w:rsid w:val="00F67CCB"/>
    <w:rsid w:val="00F70228"/>
    <w:rsid w:val="00F718D5"/>
    <w:rsid w:val="00F72C9A"/>
    <w:rsid w:val="00F740C6"/>
    <w:rsid w:val="00F7426A"/>
    <w:rsid w:val="00F7448A"/>
    <w:rsid w:val="00F74BB3"/>
    <w:rsid w:val="00F755CC"/>
    <w:rsid w:val="00F75A1D"/>
    <w:rsid w:val="00F75BE0"/>
    <w:rsid w:val="00F75C59"/>
    <w:rsid w:val="00F75EA1"/>
    <w:rsid w:val="00F7615C"/>
    <w:rsid w:val="00F762D1"/>
    <w:rsid w:val="00F76769"/>
    <w:rsid w:val="00F77F0B"/>
    <w:rsid w:val="00F802F9"/>
    <w:rsid w:val="00F81085"/>
    <w:rsid w:val="00F8113C"/>
    <w:rsid w:val="00F81B95"/>
    <w:rsid w:val="00F81F2C"/>
    <w:rsid w:val="00F81FAD"/>
    <w:rsid w:val="00F820BC"/>
    <w:rsid w:val="00F825DE"/>
    <w:rsid w:val="00F8261D"/>
    <w:rsid w:val="00F82990"/>
    <w:rsid w:val="00F839DF"/>
    <w:rsid w:val="00F855BB"/>
    <w:rsid w:val="00F85B14"/>
    <w:rsid w:val="00F85EBD"/>
    <w:rsid w:val="00F86915"/>
    <w:rsid w:val="00F86BAE"/>
    <w:rsid w:val="00F86DCC"/>
    <w:rsid w:val="00F86EE5"/>
    <w:rsid w:val="00F8775F"/>
    <w:rsid w:val="00F878D3"/>
    <w:rsid w:val="00F87EC9"/>
    <w:rsid w:val="00F90A1F"/>
    <w:rsid w:val="00F90D70"/>
    <w:rsid w:val="00F911F1"/>
    <w:rsid w:val="00F92947"/>
    <w:rsid w:val="00F92D23"/>
    <w:rsid w:val="00F939D0"/>
    <w:rsid w:val="00F93F37"/>
    <w:rsid w:val="00F94016"/>
    <w:rsid w:val="00F94033"/>
    <w:rsid w:val="00F942EF"/>
    <w:rsid w:val="00F94D6C"/>
    <w:rsid w:val="00F94E8E"/>
    <w:rsid w:val="00F94F38"/>
    <w:rsid w:val="00F959E9"/>
    <w:rsid w:val="00F95D77"/>
    <w:rsid w:val="00F96204"/>
    <w:rsid w:val="00F96A82"/>
    <w:rsid w:val="00F9780B"/>
    <w:rsid w:val="00F97873"/>
    <w:rsid w:val="00F978DD"/>
    <w:rsid w:val="00F97D33"/>
    <w:rsid w:val="00F97D84"/>
    <w:rsid w:val="00F97F29"/>
    <w:rsid w:val="00FA0B55"/>
    <w:rsid w:val="00FA0D55"/>
    <w:rsid w:val="00FA0FF6"/>
    <w:rsid w:val="00FA1CDB"/>
    <w:rsid w:val="00FA26E2"/>
    <w:rsid w:val="00FA27E1"/>
    <w:rsid w:val="00FA29F1"/>
    <w:rsid w:val="00FA3321"/>
    <w:rsid w:val="00FA3E05"/>
    <w:rsid w:val="00FA411D"/>
    <w:rsid w:val="00FA4BF9"/>
    <w:rsid w:val="00FA4C11"/>
    <w:rsid w:val="00FA5175"/>
    <w:rsid w:val="00FA58FF"/>
    <w:rsid w:val="00FA5A13"/>
    <w:rsid w:val="00FA5CA8"/>
    <w:rsid w:val="00FA5EBC"/>
    <w:rsid w:val="00FA5FA2"/>
    <w:rsid w:val="00FA5FA9"/>
    <w:rsid w:val="00FA64BF"/>
    <w:rsid w:val="00FA68C5"/>
    <w:rsid w:val="00FA6C4C"/>
    <w:rsid w:val="00FA6F4D"/>
    <w:rsid w:val="00FA7281"/>
    <w:rsid w:val="00FA7390"/>
    <w:rsid w:val="00FA7BC7"/>
    <w:rsid w:val="00FB018F"/>
    <w:rsid w:val="00FB06D8"/>
    <w:rsid w:val="00FB1503"/>
    <w:rsid w:val="00FB17A1"/>
    <w:rsid w:val="00FB1B72"/>
    <w:rsid w:val="00FB1BFB"/>
    <w:rsid w:val="00FB294B"/>
    <w:rsid w:val="00FB2C7B"/>
    <w:rsid w:val="00FB31E2"/>
    <w:rsid w:val="00FB34A6"/>
    <w:rsid w:val="00FB3C7E"/>
    <w:rsid w:val="00FB3DC8"/>
    <w:rsid w:val="00FB3FE8"/>
    <w:rsid w:val="00FB4291"/>
    <w:rsid w:val="00FB4CF9"/>
    <w:rsid w:val="00FB5211"/>
    <w:rsid w:val="00FB5674"/>
    <w:rsid w:val="00FB5675"/>
    <w:rsid w:val="00FB596C"/>
    <w:rsid w:val="00FB5C33"/>
    <w:rsid w:val="00FB5CA2"/>
    <w:rsid w:val="00FB654B"/>
    <w:rsid w:val="00FB6B93"/>
    <w:rsid w:val="00FB6DF5"/>
    <w:rsid w:val="00FB7053"/>
    <w:rsid w:val="00FC0579"/>
    <w:rsid w:val="00FC06DB"/>
    <w:rsid w:val="00FC0A98"/>
    <w:rsid w:val="00FC15E0"/>
    <w:rsid w:val="00FC17DC"/>
    <w:rsid w:val="00FC24D6"/>
    <w:rsid w:val="00FC24D7"/>
    <w:rsid w:val="00FC27BF"/>
    <w:rsid w:val="00FC28FA"/>
    <w:rsid w:val="00FC342A"/>
    <w:rsid w:val="00FC3A9C"/>
    <w:rsid w:val="00FC4722"/>
    <w:rsid w:val="00FC4A4D"/>
    <w:rsid w:val="00FC4BF9"/>
    <w:rsid w:val="00FC562E"/>
    <w:rsid w:val="00FC579D"/>
    <w:rsid w:val="00FC5B67"/>
    <w:rsid w:val="00FC619A"/>
    <w:rsid w:val="00FC656A"/>
    <w:rsid w:val="00FC7C1C"/>
    <w:rsid w:val="00FD00B9"/>
    <w:rsid w:val="00FD01D5"/>
    <w:rsid w:val="00FD0351"/>
    <w:rsid w:val="00FD0BB1"/>
    <w:rsid w:val="00FD0E43"/>
    <w:rsid w:val="00FD14A9"/>
    <w:rsid w:val="00FD16F3"/>
    <w:rsid w:val="00FD17B7"/>
    <w:rsid w:val="00FD1B11"/>
    <w:rsid w:val="00FD21F4"/>
    <w:rsid w:val="00FD2719"/>
    <w:rsid w:val="00FD2B41"/>
    <w:rsid w:val="00FD2B58"/>
    <w:rsid w:val="00FD2C2D"/>
    <w:rsid w:val="00FD2F1D"/>
    <w:rsid w:val="00FD34EA"/>
    <w:rsid w:val="00FD3D97"/>
    <w:rsid w:val="00FD440D"/>
    <w:rsid w:val="00FD5788"/>
    <w:rsid w:val="00FD6261"/>
    <w:rsid w:val="00FD6968"/>
    <w:rsid w:val="00FD6C68"/>
    <w:rsid w:val="00FD7554"/>
    <w:rsid w:val="00FD7E0B"/>
    <w:rsid w:val="00FE006C"/>
    <w:rsid w:val="00FE05DB"/>
    <w:rsid w:val="00FE104F"/>
    <w:rsid w:val="00FE13D6"/>
    <w:rsid w:val="00FE1628"/>
    <w:rsid w:val="00FE1854"/>
    <w:rsid w:val="00FE196F"/>
    <w:rsid w:val="00FE1F32"/>
    <w:rsid w:val="00FE24A6"/>
    <w:rsid w:val="00FE287C"/>
    <w:rsid w:val="00FE2A34"/>
    <w:rsid w:val="00FE2EAE"/>
    <w:rsid w:val="00FE2F34"/>
    <w:rsid w:val="00FE31F7"/>
    <w:rsid w:val="00FE3298"/>
    <w:rsid w:val="00FE3D04"/>
    <w:rsid w:val="00FE3E4C"/>
    <w:rsid w:val="00FE42B7"/>
    <w:rsid w:val="00FE4747"/>
    <w:rsid w:val="00FE4B2C"/>
    <w:rsid w:val="00FE5284"/>
    <w:rsid w:val="00FE5435"/>
    <w:rsid w:val="00FE5505"/>
    <w:rsid w:val="00FE55AF"/>
    <w:rsid w:val="00FE560D"/>
    <w:rsid w:val="00FE5795"/>
    <w:rsid w:val="00FE5C92"/>
    <w:rsid w:val="00FE5DC3"/>
    <w:rsid w:val="00FE6A2F"/>
    <w:rsid w:val="00FE6E85"/>
    <w:rsid w:val="00FE76EC"/>
    <w:rsid w:val="00FE7A7D"/>
    <w:rsid w:val="00FF0C4C"/>
    <w:rsid w:val="00FF1349"/>
    <w:rsid w:val="00FF1577"/>
    <w:rsid w:val="00FF1946"/>
    <w:rsid w:val="00FF1D26"/>
    <w:rsid w:val="00FF24A6"/>
    <w:rsid w:val="00FF25A1"/>
    <w:rsid w:val="00FF2E19"/>
    <w:rsid w:val="00FF39F8"/>
    <w:rsid w:val="00FF3C42"/>
    <w:rsid w:val="00FF4028"/>
    <w:rsid w:val="00FF415F"/>
    <w:rsid w:val="00FF4302"/>
    <w:rsid w:val="00FF45DB"/>
    <w:rsid w:val="00FF54D9"/>
    <w:rsid w:val="00FF57BE"/>
    <w:rsid w:val="00FF5927"/>
    <w:rsid w:val="00FF63D0"/>
    <w:rsid w:val="00FF642A"/>
    <w:rsid w:val="00FF65E8"/>
    <w:rsid w:val="00FF6EF0"/>
    <w:rsid w:val="00FF6FAF"/>
    <w:rsid w:val="00FF7451"/>
    <w:rsid w:val="00FF7A34"/>
    <w:rsid w:val="00FF7EE6"/>
    <w:rsid w:val="01184623"/>
    <w:rsid w:val="034B01E0"/>
    <w:rsid w:val="05F92C5C"/>
    <w:rsid w:val="09FF6F32"/>
    <w:rsid w:val="0C4D5C9A"/>
    <w:rsid w:val="106712EC"/>
    <w:rsid w:val="12A419F3"/>
    <w:rsid w:val="14654C72"/>
    <w:rsid w:val="14E02568"/>
    <w:rsid w:val="17E468AC"/>
    <w:rsid w:val="1A3D5BCE"/>
    <w:rsid w:val="1A6C11D0"/>
    <w:rsid w:val="1DD01C83"/>
    <w:rsid w:val="1E3F7DC6"/>
    <w:rsid w:val="1E641EA2"/>
    <w:rsid w:val="1F474E9A"/>
    <w:rsid w:val="20CA1CFA"/>
    <w:rsid w:val="2113537C"/>
    <w:rsid w:val="229739FE"/>
    <w:rsid w:val="24D4317A"/>
    <w:rsid w:val="25AD38D9"/>
    <w:rsid w:val="27587635"/>
    <w:rsid w:val="2A165AEA"/>
    <w:rsid w:val="2A8B1DFE"/>
    <w:rsid w:val="2AD63F26"/>
    <w:rsid w:val="2CC6515A"/>
    <w:rsid w:val="305C4226"/>
    <w:rsid w:val="33DF3950"/>
    <w:rsid w:val="36692056"/>
    <w:rsid w:val="38C4326F"/>
    <w:rsid w:val="3FFA779A"/>
    <w:rsid w:val="402472B3"/>
    <w:rsid w:val="40CF2A93"/>
    <w:rsid w:val="41A30162"/>
    <w:rsid w:val="42B80822"/>
    <w:rsid w:val="467512DF"/>
    <w:rsid w:val="490614A3"/>
    <w:rsid w:val="4C320285"/>
    <w:rsid w:val="4DD37C20"/>
    <w:rsid w:val="502B06B2"/>
    <w:rsid w:val="51432E6D"/>
    <w:rsid w:val="53F0623D"/>
    <w:rsid w:val="63D1087E"/>
    <w:rsid w:val="6665561D"/>
    <w:rsid w:val="68880F3A"/>
    <w:rsid w:val="68D11D83"/>
    <w:rsid w:val="71A009C9"/>
    <w:rsid w:val="73FE4ED9"/>
    <w:rsid w:val="7604134D"/>
    <w:rsid w:val="783955CE"/>
    <w:rsid w:val="7A714F2D"/>
    <w:rsid w:val="7E7944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endarrow="block" endarrowlength="long"/>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unhideWhenUsed="0" w:uiPriority="0" w:name="index 3"/>
    <w:lsdException w:qFormat="1" w:unhideWhenUsed="0" w:uiPriority="0" w:name="index 4"/>
    <w:lsdException w:unhideWhenUsed="0" w:uiPriority="0" w:name="index 5"/>
    <w:lsdException w:unhideWhenUsed="0" w:uiPriority="0" w:name="index 6"/>
    <w:lsdException w:qFormat="1" w:unhideWhenUsed="0" w:uiPriority="0" w:name="index 7"/>
    <w:lsdException w:unhideWhenUsed="0" w:uiPriority="0" w:name="index 8"/>
    <w:lsdException w:unhideWhenUsed="0" w:uiPriority="0" w:name="index 9"/>
    <w:lsdException w:qFormat="1" w:unhideWhenUsed="0" w:uiPriority="39" w:semiHidden="0" w:name="toc 1"/>
    <w:lsdException w:qFormat="1" w:unhideWhenUsed="0" w:uiPriority="39" w:semiHidden="0" w:name="toc 2"/>
    <w:lsdException w:qFormat="1" w:unhideWhenUsed="0" w:uiPriority="39" w:name="toc 3"/>
    <w:lsdException w:qFormat="1" w:unhideWhenUsed="0" w:uiPriority="39" w:name="toc 4"/>
    <w:lsdException w:qFormat="1" w:unhideWhenUsed="0" w:uiPriority="39" w:name="toc 5"/>
    <w:lsdException w:qFormat="1" w:unhideWhenUsed="0" w:uiPriority="39" w:name="toc 6"/>
    <w:lsdException w:qFormat="1" w:unhideWhenUsed="0" w:uiPriority="39" w:name="toc 7"/>
    <w:lsdException w:qFormat="1" w:unhideWhenUsed="0" w:uiPriority="39" w:name="toc 8"/>
    <w:lsdException w:qFormat="1" w:unhideWhenUsed="0" w:uiPriority="39" w:name="toc 9"/>
    <w:lsdException w:qFormat="1" w:unhideWhenUsed="0" w:uiPriority="0" w:name="Normal Indent"/>
    <w:lsdException w:qFormat="1" w:unhideWhenUsed="0" w:uiPriority="99" w:name="footnote text"/>
    <w:lsdException w:qFormat="1" w:unhideWhenUsed="0" w:uiPriority="0" w:name="annotation text"/>
    <w:lsdException w:qFormat="1" w:unhideWhenUsed="0" w:uiPriority="0" w:name="header"/>
    <w:lsdException w:qFormat="1" w:unhideWhenUsed="0" w:uiPriority="99"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qFormat="1" w:unhideWhenUsed="0" w:uiPriority="0" w:name="page number"/>
    <w:lsdException w:unhideWhenUsed="0" w:uiPriority="0" w:name="endnote reference"/>
    <w:lsdException w:qFormat="1" w:unhideWhenUsed="0" w:uiPriority="0" w:name="endnote text"/>
    <w:lsdException w:unhideWhenUsed="0" w:uiPriority="0" w:name="table of authorities"/>
    <w:lsdException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semiHidden="0" w:name="Default Paragraph Font"/>
    <w:lsdException w:qFormat="1" w:unhideWhenUsed="0" w:uiPriority="99" w:semiHidden="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99" w:semiHidden="0" w:name="Note Heading"/>
    <w:lsdException w:qFormat="1" w:unhideWhenUsed="0" w:uiPriority="0" w:name="Body Text 2"/>
    <w:lsdException w:qFormat="1" w:unhideWhenUsed="0" w:uiPriority="0" w:name="Body Text 3"/>
    <w:lsdException w:qFormat="1" w:unhideWhenUsed="0" w:uiPriority="99" w:name="Body Text Indent 2"/>
    <w:lsdException w:qFormat="1" w:unhideWhenUsed="0" w:uiPriority="99" w:name="Body Text Indent 3"/>
    <w:lsdException w:qFormat="1" w:unhideWhenUsed="0" w:uiPriority="0" w:name="Block Text"/>
    <w:lsdException w:qFormat="1" w:unhideWhenUsed="0" w:uiPriority="99" w:semiHidden="0" w:name="Hyperlink"/>
    <w:lsdException w:qFormat="1" w:unhideWhenUsed="0" w:uiPriority="99" w:name="FollowedHyperlink"/>
    <w:lsdException w:qFormat="1" w:unhideWhenUsed="0" w:uiPriority="0" w:semiHidden="0" w:name="Strong"/>
    <w:lsdException w:qFormat="1" w:unhideWhenUsed="0" w:uiPriority="0" w:name="Emphasis"/>
    <w:lsdException w:qFormat="1" w:unhideWhenUsed="0" w:uiPriority="0" w:name="Document Map"/>
    <w:lsdException w:qFormat="1" w:unhideWhenUsed="0" w:uiPriority="99" w:semiHidden="0" w:name="Plain Text"/>
    <w:lsdException w:qFormat="1" w:unhideWhenUsed="0" w:uiPriority="0" w:name="E-mail Signature"/>
    <w:lsdException w:qFormat="1" w:unhideWhenUsed="0" w:uiPriority="99" w:semiHidden="0" w:name="Normal (Web)"/>
    <w:lsdException w:qFormat="1" w:unhideWhenUsed="0" w:uiPriority="0" w:name="HTML Acronym"/>
    <w:lsdException w:qFormat="1" w:unhideWhenUsed="0" w:uiPriority="99"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99"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uiPriority="0" w:name="Table Colorful 2"/>
    <w:lsdException w:qFormat="1" w:uiPriority="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iPriority="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name="Table 3D effects 1"/>
    <w:lsdException w:qFormat="1" w:unhideWhenUsed="0" w:uiPriority="0" w:name="Table 3D effects 2"/>
    <w:lsdException w:qFormat="1" w:unhideWhenUsed="0" w:uiPriority="0" w:name="Table 3D effects 3"/>
    <w:lsdException w:uiPriority="0" w:name="Table Contemporary"/>
    <w:lsdException w:qFormat="1" w:uiPriority="0" w:name="Table Elegant"/>
    <w:lsdException w:uiPriority="0" w:name="Table Professional"/>
    <w:lsdException w:qFormat="1" w:uiPriority="0" w:name="Table Subtle 1"/>
    <w:lsdException w:qFormat="1" w:uiPriority="0" w:name="Table Subtle 2"/>
    <w:lsdException w:uiPriority="0" w:name="Table Web 1"/>
    <w:lsdException w:qFormat="1" w:uiPriority="0" w:name="Table Web 2"/>
    <w:lsdException w:qFormat="1" w:uiPriority="0" w:name="Table Web 3"/>
    <w:lsdException w:qFormat="1" w:unhideWhenUsed="0" w:uiPriority="0" w:name="Balloon Text"/>
    <w:lsdException w:qFormat="1" w:unhideWhenUsed="0" w:uiPriority="0" w:semiHidden="0" w:name="Table Grid"/>
    <w:lsdException w:qFormat="1" w:uiPriority="0" w:name="Table Theme"/>
    <w:lsdException w:qFormat="1" w:unhideWhenUsed="0" w:uiPriority="99" w:name="Placeholder Text"/>
    <w:lsdException w:qFormat="1" w:unhideWhenUsed="0" w:uiPriority="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136"/>
    <w:qFormat/>
    <w:uiPriority w:val="0"/>
    <w:pPr>
      <w:numPr>
        <w:ilvl w:val="0"/>
        <w:numId w:val="1"/>
      </w:numPr>
      <w:spacing w:before="156" w:after="156"/>
      <w:ind w:left="0"/>
      <w:jc w:val="center"/>
      <w:outlineLvl w:val="0"/>
    </w:pPr>
    <w:rPr>
      <w:rFonts w:eastAsia="黑体"/>
      <w:b/>
      <w:color w:val="000000" w:themeColor="text1"/>
      <w:sz w:val="36"/>
      <w:szCs w:val="36"/>
      <w14:textFill>
        <w14:solidFill>
          <w14:schemeClr w14:val="tx1"/>
        </w14:solidFill>
      </w14:textFill>
    </w:rPr>
  </w:style>
  <w:style w:type="paragraph" w:styleId="3">
    <w:name w:val="heading 2"/>
    <w:basedOn w:val="1"/>
    <w:next w:val="1"/>
    <w:link w:val="137"/>
    <w:qFormat/>
    <w:uiPriority w:val="0"/>
    <w:pPr>
      <w:numPr>
        <w:ilvl w:val="1"/>
        <w:numId w:val="1"/>
      </w:numPr>
      <w:outlineLvl w:val="1"/>
    </w:pPr>
    <w:rPr>
      <w:rFonts w:eastAsia="黑体"/>
      <w:b/>
      <w:color w:val="000000" w:themeColor="text1"/>
      <w:sz w:val="28"/>
      <w:szCs w:val="30"/>
      <w14:textFill>
        <w14:solidFill>
          <w14:schemeClr w14:val="tx1"/>
        </w14:solidFill>
      </w14:textFill>
    </w:rPr>
  </w:style>
  <w:style w:type="paragraph" w:styleId="4">
    <w:name w:val="heading 3"/>
    <w:basedOn w:val="1"/>
    <w:next w:val="1"/>
    <w:link w:val="126"/>
    <w:qFormat/>
    <w:uiPriority w:val="9"/>
    <w:pPr>
      <w:numPr>
        <w:ilvl w:val="2"/>
        <w:numId w:val="1"/>
      </w:numPr>
      <w:outlineLvl w:val="2"/>
    </w:pPr>
    <w:rPr>
      <w:rFonts w:eastAsia="黑体"/>
      <w:b/>
      <w:sz w:val="26"/>
    </w:rPr>
  </w:style>
  <w:style w:type="paragraph" w:styleId="5">
    <w:name w:val="heading 4"/>
    <w:basedOn w:val="1"/>
    <w:next w:val="1"/>
    <w:link w:val="138"/>
    <w:qFormat/>
    <w:uiPriority w:val="0"/>
    <w:pPr>
      <w:keepNext/>
      <w:keepLines/>
      <w:numPr>
        <w:ilvl w:val="3"/>
        <w:numId w:val="1"/>
      </w:numPr>
      <w:spacing w:line="360" w:lineRule="auto"/>
      <w:outlineLvl w:val="3"/>
    </w:pPr>
    <w:rPr>
      <w:b/>
      <w:bCs/>
      <w:color w:val="000000" w:themeColor="text1"/>
      <w:sz w:val="24"/>
      <w:szCs w:val="28"/>
      <w14:textFill>
        <w14:solidFill>
          <w14:schemeClr w14:val="tx1"/>
        </w14:solidFill>
      </w14:textFill>
    </w:rPr>
  </w:style>
  <w:style w:type="paragraph" w:styleId="6">
    <w:name w:val="heading 5"/>
    <w:basedOn w:val="1"/>
    <w:next w:val="1"/>
    <w:link w:val="139"/>
    <w:qFormat/>
    <w:uiPriority w:val="0"/>
    <w:pPr>
      <w:keepNext/>
      <w:keepLines/>
      <w:tabs>
        <w:tab w:val="left" w:pos="1008"/>
      </w:tabs>
      <w:spacing w:line="372" w:lineRule="auto"/>
      <w:ind w:left="1008"/>
      <w:outlineLvl w:val="4"/>
    </w:pPr>
    <w:rPr>
      <w:b/>
      <w:sz w:val="28"/>
    </w:rPr>
  </w:style>
  <w:style w:type="paragraph" w:styleId="7">
    <w:name w:val="heading 6"/>
    <w:basedOn w:val="1"/>
    <w:next w:val="1"/>
    <w:link w:val="140"/>
    <w:qFormat/>
    <w:uiPriority w:val="0"/>
    <w:pPr>
      <w:keepNext/>
      <w:keepLines/>
      <w:tabs>
        <w:tab w:val="left" w:pos="1151"/>
      </w:tabs>
      <w:spacing w:line="317" w:lineRule="auto"/>
      <w:ind w:left="1151"/>
      <w:outlineLvl w:val="5"/>
    </w:pPr>
    <w:rPr>
      <w:rFonts w:ascii="Arial" w:hAnsi="Arial" w:eastAsia="黑体"/>
      <w:b/>
      <w:sz w:val="24"/>
    </w:rPr>
  </w:style>
  <w:style w:type="paragraph" w:styleId="8">
    <w:name w:val="heading 7"/>
    <w:basedOn w:val="1"/>
    <w:next w:val="1"/>
    <w:link w:val="141"/>
    <w:semiHidden/>
    <w:qFormat/>
    <w:uiPriority w:val="0"/>
    <w:pPr>
      <w:keepNext/>
      <w:keepLines/>
      <w:tabs>
        <w:tab w:val="left" w:pos="1296"/>
      </w:tabs>
      <w:spacing w:line="317" w:lineRule="auto"/>
      <w:ind w:left="1296"/>
      <w:outlineLvl w:val="6"/>
    </w:pPr>
    <w:rPr>
      <w:b/>
      <w:sz w:val="24"/>
    </w:rPr>
  </w:style>
  <w:style w:type="paragraph" w:styleId="9">
    <w:name w:val="heading 8"/>
    <w:basedOn w:val="1"/>
    <w:next w:val="1"/>
    <w:link w:val="271"/>
    <w:semiHidden/>
    <w:qFormat/>
    <w:uiPriority w:val="0"/>
    <w:pPr>
      <w:keepNext/>
      <w:keepLines/>
      <w:tabs>
        <w:tab w:val="left" w:pos="1440"/>
      </w:tabs>
      <w:spacing w:line="317" w:lineRule="auto"/>
      <w:ind w:left="1440"/>
      <w:outlineLvl w:val="7"/>
    </w:pPr>
    <w:rPr>
      <w:rFonts w:ascii="Arial" w:hAnsi="Arial" w:eastAsia="黑体"/>
      <w:sz w:val="24"/>
    </w:rPr>
  </w:style>
  <w:style w:type="paragraph" w:styleId="10">
    <w:name w:val="heading 9"/>
    <w:basedOn w:val="1"/>
    <w:next w:val="1"/>
    <w:link w:val="176"/>
    <w:semiHidden/>
    <w:qFormat/>
    <w:uiPriority w:val="0"/>
    <w:pPr>
      <w:keepNext/>
      <w:keepLines/>
      <w:spacing w:before="240" w:after="64" w:line="320" w:lineRule="auto"/>
      <w:outlineLvl w:val="8"/>
    </w:pPr>
    <w:rPr>
      <w:rFonts w:ascii="Arial" w:hAnsi="Arial" w:eastAsia="黑体"/>
      <w:szCs w:val="21"/>
    </w:rPr>
  </w:style>
  <w:style w:type="character" w:default="1" w:styleId="109">
    <w:name w:val="Default Paragraph Font"/>
    <w:unhideWhenUsed/>
    <w:qFormat/>
    <w:uiPriority w:val="1"/>
  </w:style>
  <w:style w:type="table" w:default="1" w:styleId="82">
    <w:name w:val="Normal Table"/>
    <w:semiHidden/>
    <w:unhideWhenUsed/>
    <w:qFormat/>
    <w:uiPriority w:val="99"/>
    <w:tblPr>
      <w:tblCellMar>
        <w:top w:w="0" w:type="dxa"/>
        <w:left w:w="108" w:type="dxa"/>
        <w:bottom w:w="0" w:type="dxa"/>
        <w:right w:w="108" w:type="dxa"/>
      </w:tblCellMar>
    </w:tblPr>
  </w:style>
  <w:style w:type="paragraph" w:styleId="11">
    <w:name w:val="List 3"/>
    <w:basedOn w:val="1"/>
    <w:semiHidden/>
    <w:qFormat/>
    <w:uiPriority w:val="0"/>
    <w:pPr>
      <w:ind w:left="1260" w:hanging="420"/>
    </w:pPr>
    <w:rPr>
      <w:szCs w:val="24"/>
    </w:rPr>
  </w:style>
  <w:style w:type="paragraph" w:styleId="12">
    <w:name w:val="toc 7"/>
    <w:basedOn w:val="1"/>
    <w:next w:val="1"/>
    <w:semiHidden/>
    <w:qFormat/>
    <w:uiPriority w:val="39"/>
    <w:pPr>
      <w:ind w:left="2520" w:leftChars="1200"/>
    </w:pPr>
    <w:rPr>
      <w:szCs w:val="24"/>
    </w:rPr>
  </w:style>
  <w:style w:type="paragraph" w:styleId="13">
    <w:name w:val="List Number 2"/>
    <w:basedOn w:val="1"/>
    <w:semiHidden/>
    <w:qFormat/>
    <w:uiPriority w:val="0"/>
    <w:pPr>
      <w:tabs>
        <w:tab w:val="left" w:pos="360"/>
      </w:tabs>
      <w:spacing w:line="360" w:lineRule="auto"/>
      <w:ind w:left="360" w:hanging="360" w:firstLineChars="200"/>
    </w:pPr>
    <w:rPr>
      <w:rFonts w:ascii="宋体"/>
      <w:sz w:val="24"/>
    </w:rPr>
  </w:style>
  <w:style w:type="paragraph" w:styleId="14">
    <w:name w:val="Note Heading"/>
    <w:basedOn w:val="1"/>
    <w:next w:val="1"/>
    <w:link w:val="264"/>
    <w:qFormat/>
    <w:uiPriority w:val="99"/>
    <w:pPr>
      <w:spacing w:beforeLines="50" w:afterLines="50"/>
      <w:jc w:val="center"/>
    </w:pPr>
    <w:rPr>
      <w:rFonts w:eastAsia="黑体"/>
      <w:sz w:val="24"/>
      <w:szCs w:val="24"/>
    </w:rPr>
  </w:style>
  <w:style w:type="paragraph" w:styleId="15">
    <w:name w:val="List Bullet 4"/>
    <w:basedOn w:val="1"/>
    <w:semiHidden/>
    <w:qFormat/>
    <w:uiPriority w:val="0"/>
    <w:pPr>
      <w:tabs>
        <w:tab w:val="left" w:pos="1280"/>
      </w:tabs>
      <w:spacing w:line="360" w:lineRule="auto"/>
      <w:ind w:left="1280" w:hanging="720" w:firstLineChars="200"/>
    </w:pPr>
    <w:rPr>
      <w:rFonts w:ascii="宋体"/>
      <w:sz w:val="24"/>
    </w:rPr>
  </w:style>
  <w:style w:type="paragraph" w:styleId="16">
    <w:name w:val="E-mail Signature"/>
    <w:basedOn w:val="1"/>
    <w:link w:val="847"/>
    <w:semiHidden/>
    <w:qFormat/>
    <w:uiPriority w:val="0"/>
    <w:pPr>
      <w:spacing w:line="360" w:lineRule="auto"/>
    </w:pPr>
    <w:rPr>
      <w:sz w:val="24"/>
      <w:szCs w:val="24"/>
    </w:rPr>
  </w:style>
  <w:style w:type="paragraph" w:styleId="17">
    <w:name w:val="List Number"/>
    <w:basedOn w:val="1"/>
    <w:semiHidden/>
    <w:qFormat/>
    <w:uiPriority w:val="0"/>
    <w:pPr>
      <w:tabs>
        <w:tab w:val="left" w:pos="360"/>
      </w:tabs>
      <w:spacing w:line="360" w:lineRule="auto"/>
      <w:ind w:left="360" w:hanging="360" w:firstLineChars="200"/>
    </w:pPr>
    <w:rPr>
      <w:rFonts w:ascii="宋体"/>
      <w:sz w:val="24"/>
    </w:rPr>
  </w:style>
  <w:style w:type="paragraph" w:styleId="18">
    <w:name w:val="Normal Indent"/>
    <w:basedOn w:val="1"/>
    <w:link w:val="203"/>
    <w:semiHidden/>
    <w:qFormat/>
    <w:uiPriority w:val="0"/>
    <w:pPr>
      <w:ind w:firstLine="420" w:firstLineChars="200"/>
    </w:pPr>
  </w:style>
  <w:style w:type="paragraph" w:styleId="19">
    <w:name w:val="caption"/>
    <w:basedOn w:val="1"/>
    <w:next w:val="1"/>
    <w:link w:val="468"/>
    <w:qFormat/>
    <w:uiPriority w:val="0"/>
    <w:pPr>
      <w:jc w:val="center"/>
    </w:pPr>
    <w:rPr>
      <w:rFonts w:ascii="Arial" w:hAnsi="Arial" w:eastAsia="黑体"/>
      <w:b/>
      <w:sz w:val="26"/>
    </w:rPr>
  </w:style>
  <w:style w:type="paragraph" w:styleId="20">
    <w:name w:val="List Bullet"/>
    <w:basedOn w:val="1"/>
    <w:semiHidden/>
    <w:qFormat/>
    <w:uiPriority w:val="0"/>
    <w:pPr>
      <w:tabs>
        <w:tab w:val="left" w:pos="720"/>
      </w:tabs>
      <w:spacing w:line="360" w:lineRule="auto"/>
      <w:ind w:left="720" w:hanging="720" w:firstLineChars="200"/>
    </w:pPr>
    <w:rPr>
      <w:rFonts w:ascii="宋体"/>
      <w:sz w:val="24"/>
    </w:rPr>
  </w:style>
  <w:style w:type="paragraph" w:styleId="21">
    <w:name w:val="envelope address"/>
    <w:basedOn w:val="1"/>
    <w:semiHidden/>
    <w:qFormat/>
    <w:uiPriority w:val="0"/>
    <w:pPr>
      <w:framePr w:w="7920" w:h="1980" w:hRule="exact" w:hSpace="180" w:wrap="around" w:vAnchor="margin" w:hAnchor="page" w:xAlign="center" w:yAlign="bottom"/>
      <w:snapToGrid w:val="0"/>
      <w:spacing w:line="360" w:lineRule="auto"/>
      <w:ind w:left="100" w:leftChars="1400"/>
    </w:pPr>
    <w:rPr>
      <w:rFonts w:ascii="Arial" w:hAnsi="Arial" w:cs="Arial"/>
      <w:sz w:val="24"/>
      <w:szCs w:val="24"/>
    </w:rPr>
  </w:style>
  <w:style w:type="paragraph" w:styleId="22">
    <w:name w:val="Document Map"/>
    <w:basedOn w:val="1"/>
    <w:link w:val="957"/>
    <w:semiHidden/>
    <w:qFormat/>
    <w:uiPriority w:val="0"/>
    <w:pPr>
      <w:shd w:val="clear" w:color="auto" w:fill="000080"/>
    </w:pPr>
  </w:style>
  <w:style w:type="paragraph" w:styleId="23">
    <w:name w:val="toa heading"/>
    <w:basedOn w:val="1"/>
    <w:next w:val="1"/>
    <w:semiHidden/>
    <w:qFormat/>
    <w:uiPriority w:val="0"/>
    <w:pPr>
      <w:spacing w:before="120"/>
    </w:pPr>
    <w:rPr>
      <w:rFonts w:ascii="Arial" w:hAnsi="Arial" w:cs="Arial"/>
      <w:sz w:val="24"/>
      <w:szCs w:val="24"/>
    </w:rPr>
  </w:style>
  <w:style w:type="paragraph" w:styleId="24">
    <w:name w:val="annotation text"/>
    <w:basedOn w:val="1"/>
    <w:link w:val="277"/>
    <w:semiHidden/>
    <w:qFormat/>
    <w:uiPriority w:val="0"/>
  </w:style>
  <w:style w:type="paragraph" w:styleId="25">
    <w:name w:val="Salutation"/>
    <w:basedOn w:val="1"/>
    <w:next w:val="1"/>
    <w:link w:val="323"/>
    <w:semiHidden/>
    <w:qFormat/>
    <w:uiPriority w:val="0"/>
    <w:pPr>
      <w:spacing w:line="360" w:lineRule="auto"/>
      <w:ind w:firstLine="200" w:firstLineChars="200"/>
    </w:pPr>
    <w:rPr>
      <w:rFonts w:ascii="宋体"/>
      <w:sz w:val="24"/>
    </w:rPr>
  </w:style>
  <w:style w:type="paragraph" w:styleId="26">
    <w:name w:val="Body Text 3"/>
    <w:basedOn w:val="1"/>
    <w:link w:val="320"/>
    <w:semiHidden/>
    <w:qFormat/>
    <w:uiPriority w:val="0"/>
    <w:pPr>
      <w:spacing w:line="480" w:lineRule="exact"/>
      <w:ind w:firstLine="200" w:firstLineChars="200"/>
    </w:pPr>
    <w:rPr>
      <w:rFonts w:ascii="宋体" w:hAnsi="宋体"/>
      <w:spacing w:val="10"/>
      <w:sz w:val="30"/>
    </w:rPr>
  </w:style>
  <w:style w:type="paragraph" w:styleId="27">
    <w:name w:val="Closing"/>
    <w:basedOn w:val="1"/>
    <w:link w:val="848"/>
    <w:semiHidden/>
    <w:qFormat/>
    <w:uiPriority w:val="0"/>
    <w:pPr>
      <w:spacing w:line="360" w:lineRule="auto"/>
      <w:ind w:left="100" w:leftChars="2100"/>
    </w:pPr>
    <w:rPr>
      <w:sz w:val="24"/>
      <w:szCs w:val="24"/>
    </w:rPr>
  </w:style>
  <w:style w:type="paragraph" w:styleId="28">
    <w:name w:val="List Bullet 3"/>
    <w:basedOn w:val="1"/>
    <w:semiHidden/>
    <w:qFormat/>
    <w:uiPriority w:val="0"/>
    <w:pPr>
      <w:spacing w:line="360" w:lineRule="auto"/>
      <w:ind w:left="2470" w:firstLine="200" w:firstLineChars="200"/>
    </w:pPr>
    <w:rPr>
      <w:rFonts w:ascii="宋体"/>
      <w:sz w:val="24"/>
    </w:rPr>
  </w:style>
  <w:style w:type="paragraph" w:styleId="29">
    <w:name w:val="Body Text"/>
    <w:basedOn w:val="1"/>
    <w:link w:val="273"/>
    <w:qFormat/>
    <w:uiPriority w:val="99"/>
    <w:pPr>
      <w:spacing w:after="120"/>
    </w:pPr>
  </w:style>
  <w:style w:type="paragraph" w:styleId="30">
    <w:name w:val="Body Text Indent"/>
    <w:basedOn w:val="1"/>
    <w:link w:val="249"/>
    <w:semiHidden/>
    <w:qFormat/>
    <w:uiPriority w:val="0"/>
    <w:pPr>
      <w:spacing w:after="120"/>
      <w:ind w:left="420" w:leftChars="200"/>
    </w:pPr>
  </w:style>
  <w:style w:type="paragraph" w:styleId="31">
    <w:name w:val="List Number 3"/>
    <w:basedOn w:val="1"/>
    <w:semiHidden/>
    <w:qFormat/>
    <w:uiPriority w:val="0"/>
    <w:pPr>
      <w:tabs>
        <w:tab w:val="left" w:pos="960"/>
      </w:tabs>
      <w:spacing w:line="360" w:lineRule="auto"/>
      <w:ind w:left="960" w:hanging="450" w:firstLineChars="200"/>
    </w:pPr>
    <w:rPr>
      <w:rFonts w:ascii="宋体"/>
      <w:sz w:val="24"/>
    </w:rPr>
  </w:style>
  <w:style w:type="paragraph" w:styleId="32">
    <w:name w:val="List 2"/>
    <w:basedOn w:val="1"/>
    <w:semiHidden/>
    <w:qFormat/>
    <w:uiPriority w:val="0"/>
    <w:pPr>
      <w:spacing w:line="360" w:lineRule="auto"/>
      <w:ind w:left="840" w:hanging="420" w:firstLineChars="200"/>
    </w:pPr>
    <w:rPr>
      <w:rFonts w:ascii="宋体" w:eastAsia="仿宋_GB2312"/>
      <w:sz w:val="28"/>
    </w:rPr>
  </w:style>
  <w:style w:type="paragraph" w:styleId="33">
    <w:name w:val="List Continue"/>
    <w:basedOn w:val="1"/>
    <w:semiHidden/>
    <w:qFormat/>
    <w:uiPriority w:val="0"/>
    <w:pPr>
      <w:spacing w:after="120" w:line="360" w:lineRule="auto"/>
      <w:ind w:left="420" w:leftChars="200"/>
    </w:pPr>
    <w:rPr>
      <w:sz w:val="24"/>
      <w:szCs w:val="24"/>
    </w:rPr>
  </w:style>
  <w:style w:type="paragraph" w:styleId="34">
    <w:name w:val="Block Text"/>
    <w:basedOn w:val="1"/>
    <w:semiHidden/>
    <w:qFormat/>
    <w:uiPriority w:val="0"/>
    <w:pPr>
      <w:spacing w:line="360" w:lineRule="auto"/>
      <w:ind w:left="525" w:right="651" w:firstLine="200" w:firstLineChars="200"/>
    </w:pPr>
    <w:rPr>
      <w:rFonts w:ascii="宋体" w:eastAsia="仿宋_GB2312"/>
      <w:sz w:val="32"/>
    </w:rPr>
  </w:style>
  <w:style w:type="paragraph" w:styleId="35">
    <w:name w:val="List Bullet 2"/>
    <w:basedOn w:val="1"/>
    <w:semiHidden/>
    <w:qFormat/>
    <w:uiPriority w:val="0"/>
    <w:pPr>
      <w:tabs>
        <w:tab w:val="left" w:pos="720"/>
      </w:tabs>
      <w:spacing w:line="360" w:lineRule="auto"/>
      <w:ind w:left="720" w:hanging="720" w:firstLineChars="200"/>
    </w:pPr>
    <w:rPr>
      <w:rFonts w:ascii="宋体"/>
      <w:sz w:val="24"/>
    </w:rPr>
  </w:style>
  <w:style w:type="paragraph" w:styleId="36">
    <w:name w:val="HTML Address"/>
    <w:basedOn w:val="1"/>
    <w:link w:val="846"/>
    <w:semiHidden/>
    <w:qFormat/>
    <w:uiPriority w:val="99"/>
    <w:pPr>
      <w:spacing w:line="360" w:lineRule="auto"/>
    </w:pPr>
    <w:rPr>
      <w:i/>
      <w:iCs/>
      <w:sz w:val="24"/>
      <w:szCs w:val="24"/>
    </w:rPr>
  </w:style>
  <w:style w:type="paragraph" w:styleId="37">
    <w:name w:val="index 4"/>
    <w:basedOn w:val="1"/>
    <w:next w:val="1"/>
    <w:semiHidden/>
    <w:qFormat/>
    <w:uiPriority w:val="0"/>
    <w:pPr>
      <w:ind w:left="600" w:leftChars="600"/>
    </w:pPr>
  </w:style>
  <w:style w:type="paragraph" w:styleId="38">
    <w:name w:val="toc 5"/>
    <w:basedOn w:val="1"/>
    <w:next w:val="1"/>
    <w:semiHidden/>
    <w:qFormat/>
    <w:uiPriority w:val="39"/>
    <w:pPr>
      <w:ind w:left="840"/>
    </w:pPr>
    <w:rPr>
      <w:sz w:val="18"/>
      <w:szCs w:val="18"/>
    </w:rPr>
  </w:style>
  <w:style w:type="paragraph" w:styleId="39">
    <w:name w:val="toc 3"/>
    <w:basedOn w:val="1"/>
    <w:next w:val="1"/>
    <w:semiHidden/>
    <w:qFormat/>
    <w:uiPriority w:val="39"/>
    <w:pPr>
      <w:ind w:left="840" w:leftChars="400"/>
    </w:pPr>
    <w:rPr>
      <w:szCs w:val="24"/>
    </w:rPr>
  </w:style>
  <w:style w:type="paragraph" w:styleId="40">
    <w:name w:val="Plain Text"/>
    <w:basedOn w:val="1"/>
    <w:link w:val="194"/>
    <w:qFormat/>
    <w:uiPriority w:val="99"/>
    <w:rPr>
      <w:rFonts w:ascii="黑体" w:hAnsi="宋体" w:eastAsia="黑体"/>
      <w:b/>
      <w:sz w:val="44"/>
      <w:szCs w:val="44"/>
    </w:rPr>
  </w:style>
  <w:style w:type="paragraph" w:styleId="41">
    <w:name w:val="List Bullet 5"/>
    <w:basedOn w:val="1"/>
    <w:semiHidden/>
    <w:qFormat/>
    <w:uiPriority w:val="0"/>
    <w:pPr>
      <w:tabs>
        <w:tab w:val="left" w:pos="902"/>
      </w:tabs>
      <w:spacing w:line="360" w:lineRule="auto"/>
      <w:ind w:left="902" w:hanging="390" w:firstLineChars="200"/>
    </w:pPr>
    <w:rPr>
      <w:rFonts w:ascii="宋体"/>
      <w:sz w:val="24"/>
    </w:rPr>
  </w:style>
  <w:style w:type="paragraph" w:styleId="42">
    <w:name w:val="List Number 4"/>
    <w:basedOn w:val="1"/>
    <w:semiHidden/>
    <w:qFormat/>
    <w:uiPriority w:val="0"/>
    <w:pPr>
      <w:tabs>
        <w:tab w:val="left" w:pos="720"/>
      </w:tabs>
      <w:spacing w:line="360" w:lineRule="auto"/>
      <w:ind w:left="720" w:hanging="720" w:firstLineChars="200"/>
    </w:pPr>
    <w:rPr>
      <w:rFonts w:ascii="宋体"/>
      <w:sz w:val="24"/>
    </w:rPr>
  </w:style>
  <w:style w:type="paragraph" w:styleId="43">
    <w:name w:val="toc 8"/>
    <w:basedOn w:val="1"/>
    <w:next w:val="1"/>
    <w:semiHidden/>
    <w:qFormat/>
    <w:uiPriority w:val="39"/>
    <w:pPr>
      <w:ind w:left="1470"/>
    </w:pPr>
    <w:rPr>
      <w:sz w:val="18"/>
      <w:szCs w:val="18"/>
    </w:rPr>
  </w:style>
  <w:style w:type="paragraph" w:styleId="44">
    <w:name w:val="Date"/>
    <w:basedOn w:val="1"/>
    <w:next w:val="1"/>
    <w:link w:val="272"/>
    <w:semiHidden/>
    <w:qFormat/>
    <w:uiPriority w:val="0"/>
    <w:pPr>
      <w:spacing w:line="360" w:lineRule="auto"/>
      <w:ind w:left="100" w:leftChars="2500" w:firstLine="880" w:firstLineChars="200"/>
    </w:pPr>
    <w:rPr>
      <w:sz w:val="24"/>
      <w:szCs w:val="24"/>
    </w:rPr>
  </w:style>
  <w:style w:type="paragraph" w:styleId="45">
    <w:name w:val="Body Text Indent 2"/>
    <w:basedOn w:val="1"/>
    <w:link w:val="265"/>
    <w:semiHidden/>
    <w:qFormat/>
    <w:uiPriority w:val="99"/>
    <w:pPr>
      <w:spacing w:after="120" w:line="480" w:lineRule="auto"/>
      <w:ind w:left="420" w:leftChars="200"/>
    </w:pPr>
  </w:style>
  <w:style w:type="paragraph" w:styleId="46">
    <w:name w:val="endnote text"/>
    <w:basedOn w:val="1"/>
    <w:link w:val="496"/>
    <w:semiHidden/>
    <w:qFormat/>
    <w:uiPriority w:val="0"/>
    <w:pPr>
      <w:snapToGrid w:val="0"/>
      <w:spacing w:line="300" w:lineRule="auto"/>
      <w:ind w:firstLine="480" w:firstLineChars="200"/>
    </w:pPr>
    <w:rPr>
      <w:szCs w:val="24"/>
    </w:rPr>
  </w:style>
  <w:style w:type="paragraph" w:styleId="47">
    <w:name w:val="List Continue 5"/>
    <w:basedOn w:val="1"/>
    <w:semiHidden/>
    <w:qFormat/>
    <w:uiPriority w:val="0"/>
    <w:pPr>
      <w:spacing w:after="120" w:line="360" w:lineRule="auto"/>
      <w:ind w:left="2100" w:leftChars="1000"/>
    </w:pPr>
    <w:rPr>
      <w:sz w:val="24"/>
      <w:szCs w:val="24"/>
    </w:rPr>
  </w:style>
  <w:style w:type="paragraph" w:styleId="48">
    <w:name w:val="Balloon Text"/>
    <w:basedOn w:val="1"/>
    <w:link w:val="995"/>
    <w:semiHidden/>
    <w:qFormat/>
    <w:uiPriority w:val="0"/>
    <w:rPr>
      <w:sz w:val="18"/>
      <w:szCs w:val="18"/>
    </w:rPr>
  </w:style>
  <w:style w:type="paragraph" w:styleId="49">
    <w:name w:val="footer"/>
    <w:basedOn w:val="1"/>
    <w:link w:val="220"/>
    <w:semiHidden/>
    <w:qFormat/>
    <w:uiPriority w:val="99"/>
    <w:pPr>
      <w:tabs>
        <w:tab w:val="center" w:pos="4153"/>
        <w:tab w:val="right" w:pos="8306"/>
      </w:tabs>
      <w:snapToGrid w:val="0"/>
    </w:pPr>
    <w:rPr>
      <w:sz w:val="18"/>
      <w:szCs w:val="18"/>
    </w:rPr>
  </w:style>
  <w:style w:type="paragraph" w:styleId="50">
    <w:name w:val="envelope return"/>
    <w:basedOn w:val="1"/>
    <w:semiHidden/>
    <w:qFormat/>
    <w:uiPriority w:val="0"/>
    <w:pPr>
      <w:snapToGrid w:val="0"/>
      <w:spacing w:line="360" w:lineRule="auto"/>
    </w:pPr>
    <w:rPr>
      <w:rFonts w:ascii="Arial" w:hAnsi="Arial" w:cs="Arial"/>
      <w:sz w:val="24"/>
      <w:szCs w:val="24"/>
    </w:rPr>
  </w:style>
  <w:style w:type="paragraph" w:styleId="51">
    <w:name w:val="header"/>
    <w:basedOn w:val="1"/>
    <w:link w:val="219"/>
    <w:semiHidden/>
    <w:qFormat/>
    <w:uiPriority w:val="0"/>
    <w:pPr>
      <w:pBdr>
        <w:bottom w:val="single" w:color="auto" w:sz="6" w:space="1"/>
      </w:pBdr>
      <w:tabs>
        <w:tab w:val="center" w:pos="4153"/>
        <w:tab w:val="right" w:pos="8306"/>
      </w:tabs>
      <w:snapToGrid w:val="0"/>
      <w:jc w:val="center"/>
    </w:pPr>
    <w:rPr>
      <w:sz w:val="18"/>
      <w:szCs w:val="18"/>
    </w:rPr>
  </w:style>
  <w:style w:type="paragraph" w:styleId="52">
    <w:name w:val="Signature"/>
    <w:basedOn w:val="1"/>
    <w:link w:val="849"/>
    <w:semiHidden/>
    <w:qFormat/>
    <w:uiPriority w:val="0"/>
    <w:pPr>
      <w:spacing w:line="360" w:lineRule="auto"/>
      <w:ind w:left="100" w:leftChars="2100"/>
    </w:pPr>
    <w:rPr>
      <w:sz w:val="24"/>
      <w:szCs w:val="24"/>
    </w:rPr>
  </w:style>
  <w:style w:type="paragraph" w:styleId="53">
    <w:name w:val="toc 1"/>
    <w:basedOn w:val="1"/>
    <w:next w:val="1"/>
    <w:qFormat/>
    <w:uiPriority w:val="39"/>
    <w:pPr>
      <w:tabs>
        <w:tab w:val="right" w:leader="dot" w:pos="8296"/>
      </w:tabs>
      <w:snapToGrid w:val="0"/>
      <w:spacing w:before="120" w:after="120" w:line="460" w:lineRule="exact"/>
    </w:pPr>
    <w:rPr>
      <w:b/>
      <w:caps/>
      <w:sz w:val="24"/>
    </w:rPr>
  </w:style>
  <w:style w:type="paragraph" w:styleId="54">
    <w:name w:val="List Continue 4"/>
    <w:basedOn w:val="1"/>
    <w:semiHidden/>
    <w:qFormat/>
    <w:uiPriority w:val="0"/>
    <w:pPr>
      <w:spacing w:after="120" w:line="360" w:lineRule="auto"/>
      <w:ind w:left="1680" w:leftChars="800"/>
    </w:pPr>
    <w:rPr>
      <w:sz w:val="24"/>
      <w:szCs w:val="24"/>
    </w:rPr>
  </w:style>
  <w:style w:type="paragraph" w:styleId="55">
    <w:name w:val="toc 4"/>
    <w:basedOn w:val="1"/>
    <w:next w:val="1"/>
    <w:semiHidden/>
    <w:qFormat/>
    <w:uiPriority w:val="39"/>
    <w:pPr>
      <w:ind w:left="630"/>
    </w:pPr>
    <w:rPr>
      <w:sz w:val="18"/>
      <w:szCs w:val="18"/>
    </w:rPr>
  </w:style>
  <w:style w:type="paragraph" w:styleId="56">
    <w:name w:val="index heading"/>
    <w:basedOn w:val="1"/>
    <w:next w:val="57"/>
    <w:semiHidden/>
    <w:qFormat/>
    <w:uiPriority w:val="0"/>
    <w:pPr>
      <w:spacing w:before="120" w:after="120"/>
    </w:pPr>
    <w:rPr>
      <w:rFonts w:ascii="宋体"/>
      <w:b/>
      <w:bCs/>
      <w:i/>
      <w:iCs/>
      <w:szCs w:val="24"/>
    </w:rPr>
  </w:style>
  <w:style w:type="paragraph" w:styleId="57">
    <w:name w:val="index 1"/>
    <w:basedOn w:val="1"/>
    <w:next w:val="1"/>
    <w:semiHidden/>
    <w:qFormat/>
    <w:uiPriority w:val="0"/>
    <w:pPr>
      <w:spacing w:line="480" w:lineRule="exact"/>
      <w:jc w:val="center"/>
    </w:pPr>
    <w:rPr>
      <w:rFonts w:ascii="宋体" w:hAnsi="宋体"/>
      <w:sz w:val="24"/>
    </w:rPr>
  </w:style>
  <w:style w:type="paragraph" w:styleId="58">
    <w:name w:val="Subtitle"/>
    <w:basedOn w:val="1"/>
    <w:link w:val="335"/>
    <w:semiHidden/>
    <w:qFormat/>
    <w:uiPriority w:val="0"/>
    <w:pPr>
      <w:adjustRightInd w:val="0"/>
      <w:snapToGrid w:val="0"/>
      <w:spacing w:before="120" w:after="120" w:line="240" w:lineRule="atLeast"/>
      <w:ind w:firstLine="200" w:firstLineChars="200"/>
      <w:jc w:val="center"/>
      <w:outlineLvl w:val="1"/>
    </w:pPr>
    <w:rPr>
      <w:rFonts w:ascii="宋体" w:eastAsia="黑体"/>
      <w:bCs/>
      <w:kern w:val="28"/>
      <w:sz w:val="24"/>
      <w:szCs w:val="32"/>
    </w:rPr>
  </w:style>
  <w:style w:type="paragraph" w:styleId="59">
    <w:name w:val="List Number 5"/>
    <w:basedOn w:val="1"/>
    <w:semiHidden/>
    <w:qFormat/>
    <w:uiPriority w:val="0"/>
    <w:pPr>
      <w:tabs>
        <w:tab w:val="left" w:pos="720"/>
      </w:tabs>
      <w:spacing w:line="360" w:lineRule="auto"/>
      <w:ind w:left="720" w:hanging="720" w:firstLineChars="200"/>
    </w:pPr>
    <w:rPr>
      <w:rFonts w:ascii="宋体"/>
      <w:sz w:val="24"/>
    </w:rPr>
  </w:style>
  <w:style w:type="paragraph" w:styleId="60">
    <w:name w:val="List"/>
    <w:basedOn w:val="1"/>
    <w:semiHidden/>
    <w:qFormat/>
    <w:uiPriority w:val="0"/>
    <w:pPr>
      <w:adjustRightInd w:val="0"/>
      <w:spacing w:before="60" w:after="60" w:line="360" w:lineRule="auto"/>
      <w:ind w:firstLine="567"/>
      <w:textAlignment w:val="baseline"/>
    </w:pPr>
    <w:rPr>
      <w:rFonts w:ascii="宋体"/>
      <w:sz w:val="28"/>
    </w:rPr>
  </w:style>
  <w:style w:type="paragraph" w:styleId="61">
    <w:name w:val="footnote text"/>
    <w:basedOn w:val="62"/>
    <w:next w:val="62"/>
    <w:link w:val="531"/>
    <w:semiHidden/>
    <w:qFormat/>
    <w:uiPriority w:val="99"/>
    <w:rPr>
      <w:rFonts w:ascii="Times New Roman"/>
      <w:color w:val="auto"/>
      <w:sz w:val="20"/>
    </w:rPr>
  </w:style>
  <w:style w:type="paragraph" w:customStyle="1" w:styleId="62">
    <w:name w:val="Default"/>
    <w:basedOn w:val="1"/>
    <w:link w:val="233"/>
    <w:semiHidden/>
    <w:qFormat/>
    <w:uiPriority w:val="0"/>
    <w:pPr>
      <w:autoSpaceDE w:val="0"/>
      <w:autoSpaceDN w:val="0"/>
      <w:adjustRightInd w:val="0"/>
    </w:pPr>
    <w:rPr>
      <w:rFonts w:ascii="宋体"/>
      <w:color w:val="000000"/>
      <w:sz w:val="24"/>
      <w:szCs w:val="24"/>
    </w:rPr>
  </w:style>
  <w:style w:type="paragraph" w:styleId="63">
    <w:name w:val="toc 6"/>
    <w:basedOn w:val="1"/>
    <w:next w:val="1"/>
    <w:semiHidden/>
    <w:qFormat/>
    <w:uiPriority w:val="39"/>
    <w:pPr>
      <w:ind w:left="2100" w:leftChars="1000"/>
    </w:pPr>
    <w:rPr>
      <w:szCs w:val="24"/>
    </w:rPr>
  </w:style>
  <w:style w:type="paragraph" w:styleId="64">
    <w:name w:val="List 5"/>
    <w:basedOn w:val="1"/>
    <w:semiHidden/>
    <w:qFormat/>
    <w:uiPriority w:val="0"/>
    <w:pPr>
      <w:spacing w:line="360" w:lineRule="auto"/>
      <w:ind w:left="100" w:leftChars="800" w:hanging="200" w:hangingChars="200"/>
    </w:pPr>
    <w:rPr>
      <w:sz w:val="24"/>
      <w:szCs w:val="24"/>
    </w:rPr>
  </w:style>
  <w:style w:type="paragraph" w:styleId="65">
    <w:name w:val="Body Text Indent 3"/>
    <w:basedOn w:val="1"/>
    <w:link w:val="284"/>
    <w:semiHidden/>
    <w:qFormat/>
    <w:uiPriority w:val="99"/>
    <w:pPr>
      <w:spacing w:after="120"/>
      <w:ind w:left="420" w:leftChars="200"/>
    </w:pPr>
    <w:rPr>
      <w:sz w:val="16"/>
      <w:szCs w:val="16"/>
    </w:rPr>
  </w:style>
  <w:style w:type="paragraph" w:styleId="66">
    <w:name w:val="index 7"/>
    <w:basedOn w:val="1"/>
    <w:next w:val="1"/>
    <w:semiHidden/>
    <w:qFormat/>
    <w:uiPriority w:val="0"/>
    <w:pPr>
      <w:adjustRightInd w:val="0"/>
      <w:snapToGrid w:val="0"/>
      <w:spacing w:line="360" w:lineRule="auto"/>
      <w:ind w:left="1200" w:leftChars="1200" w:firstLine="200" w:firstLineChars="200"/>
    </w:pPr>
    <w:rPr>
      <w:sz w:val="24"/>
      <w:szCs w:val="24"/>
    </w:rPr>
  </w:style>
  <w:style w:type="paragraph" w:styleId="67">
    <w:name w:val="table of figures"/>
    <w:basedOn w:val="1"/>
    <w:next w:val="1"/>
    <w:semiHidden/>
    <w:qFormat/>
    <w:uiPriority w:val="0"/>
    <w:pPr>
      <w:adjustRightInd w:val="0"/>
      <w:snapToGrid w:val="0"/>
      <w:spacing w:before="120" w:line="240" w:lineRule="atLeast"/>
      <w:jc w:val="center"/>
    </w:pPr>
    <w:rPr>
      <w:b/>
      <w:sz w:val="24"/>
    </w:rPr>
  </w:style>
  <w:style w:type="paragraph" w:styleId="68">
    <w:name w:val="toc 2"/>
    <w:basedOn w:val="1"/>
    <w:next w:val="1"/>
    <w:qFormat/>
    <w:uiPriority w:val="39"/>
    <w:pPr>
      <w:tabs>
        <w:tab w:val="right" w:leader="dot" w:pos="8296"/>
      </w:tabs>
      <w:snapToGrid w:val="0"/>
      <w:spacing w:line="460" w:lineRule="exact"/>
      <w:ind w:firstLine="482"/>
    </w:pPr>
    <w:rPr>
      <w:smallCaps/>
      <w:sz w:val="24"/>
    </w:rPr>
  </w:style>
  <w:style w:type="paragraph" w:styleId="69">
    <w:name w:val="toc 9"/>
    <w:basedOn w:val="1"/>
    <w:next w:val="1"/>
    <w:semiHidden/>
    <w:qFormat/>
    <w:uiPriority w:val="39"/>
    <w:pPr>
      <w:ind w:left="1680"/>
    </w:pPr>
    <w:rPr>
      <w:sz w:val="18"/>
      <w:szCs w:val="18"/>
    </w:rPr>
  </w:style>
  <w:style w:type="paragraph" w:styleId="70">
    <w:name w:val="Body Text 2"/>
    <w:basedOn w:val="1"/>
    <w:link w:val="221"/>
    <w:semiHidden/>
    <w:qFormat/>
    <w:uiPriority w:val="0"/>
    <w:pPr>
      <w:spacing w:after="120" w:line="480" w:lineRule="auto"/>
    </w:pPr>
  </w:style>
  <w:style w:type="paragraph" w:styleId="71">
    <w:name w:val="List 4"/>
    <w:basedOn w:val="1"/>
    <w:semiHidden/>
    <w:qFormat/>
    <w:uiPriority w:val="0"/>
    <w:pPr>
      <w:spacing w:line="360" w:lineRule="auto"/>
      <w:ind w:left="100" w:leftChars="600" w:hanging="200" w:hangingChars="200"/>
    </w:pPr>
    <w:rPr>
      <w:sz w:val="24"/>
      <w:szCs w:val="24"/>
    </w:rPr>
  </w:style>
  <w:style w:type="paragraph" w:styleId="72">
    <w:name w:val="List Continue 2"/>
    <w:basedOn w:val="1"/>
    <w:semiHidden/>
    <w:qFormat/>
    <w:uiPriority w:val="0"/>
    <w:pPr>
      <w:spacing w:after="120" w:line="360" w:lineRule="auto"/>
      <w:ind w:left="840" w:leftChars="400"/>
    </w:pPr>
    <w:rPr>
      <w:sz w:val="24"/>
      <w:szCs w:val="24"/>
    </w:rPr>
  </w:style>
  <w:style w:type="paragraph" w:styleId="73">
    <w:name w:val="Message Header"/>
    <w:basedOn w:val="1"/>
    <w:link w:val="850"/>
    <w:semiHidden/>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sz w:val="24"/>
      <w:szCs w:val="24"/>
    </w:rPr>
  </w:style>
  <w:style w:type="paragraph" w:styleId="74">
    <w:name w:val="HTML Preformatted"/>
    <w:basedOn w:val="1"/>
    <w:link w:val="302"/>
    <w:semiHidden/>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pPr>
    <w:rPr>
      <w:rFonts w:ascii="宋体" w:hAnsi="宋体"/>
      <w:color w:val="000000"/>
      <w:sz w:val="24"/>
      <w:szCs w:val="21"/>
    </w:rPr>
  </w:style>
  <w:style w:type="paragraph" w:styleId="75">
    <w:name w:val="Normal (Web)"/>
    <w:basedOn w:val="1"/>
    <w:link w:val="1306"/>
    <w:qFormat/>
    <w:uiPriority w:val="99"/>
    <w:rPr>
      <w:sz w:val="24"/>
      <w:szCs w:val="24"/>
    </w:rPr>
  </w:style>
  <w:style w:type="paragraph" w:styleId="76">
    <w:name w:val="List Continue 3"/>
    <w:basedOn w:val="1"/>
    <w:semiHidden/>
    <w:qFormat/>
    <w:uiPriority w:val="0"/>
    <w:pPr>
      <w:spacing w:after="120" w:line="360" w:lineRule="auto"/>
      <w:ind w:left="1260" w:leftChars="600"/>
    </w:pPr>
    <w:rPr>
      <w:sz w:val="24"/>
      <w:szCs w:val="24"/>
    </w:rPr>
  </w:style>
  <w:style w:type="paragraph" w:styleId="77">
    <w:name w:val="index 2"/>
    <w:basedOn w:val="1"/>
    <w:next w:val="1"/>
    <w:semiHidden/>
    <w:qFormat/>
    <w:uiPriority w:val="0"/>
    <w:pPr>
      <w:tabs>
        <w:tab w:val="left" w:pos="907"/>
      </w:tabs>
      <w:adjustRightInd w:val="0"/>
      <w:spacing w:line="280" w:lineRule="exact"/>
      <w:jc w:val="center"/>
      <w:textAlignment w:val="baseline"/>
    </w:pPr>
    <w:rPr>
      <w:rFonts w:ascii="宋体" w:hAnsi="宋体"/>
      <w:color w:val="000000"/>
    </w:rPr>
  </w:style>
  <w:style w:type="paragraph" w:styleId="78">
    <w:name w:val="Title"/>
    <w:basedOn w:val="1"/>
    <w:link w:val="351"/>
    <w:semiHidden/>
    <w:qFormat/>
    <w:uiPriority w:val="0"/>
    <w:pPr>
      <w:spacing w:line="360" w:lineRule="auto"/>
      <w:ind w:left="2866" w:firstLine="883" w:firstLineChars="200"/>
      <w:jc w:val="center"/>
      <w:outlineLvl w:val="0"/>
    </w:pPr>
    <w:rPr>
      <w:rFonts w:ascii="Arial" w:hAnsi="Arial" w:eastAsia="隶书"/>
      <w:b/>
      <w:bCs/>
      <w:sz w:val="44"/>
      <w:szCs w:val="32"/>
    </w:rPr>
  </w:style>
  <w:style w:type="paragraph" w:styleId="79">
    <w:name w:val="annotation subject"/>
    <w:basedOn w:val="24"/>
    <w:next w:val="24"/>
    <w:link w:val="994"/>
    <w:semiHidden/>
    <w:qFormat/>
    <w:uiPriority w:val="99"/>
    <w:rPr>
      <w:b/>
      <w:bCs/>
    </w:rPr>
  </w:style>
  <w:style w:type="paragraph" w:styleId="80">
    <w:name w:val="Body Text First Indent"/>
    <w:basedOn w:val="1"/>
    <w:link w:val="1069"/>
    <w:semiHidden/>
    <w:qFormat/>
    <w:uiPriority w:val="0"/>
    <w:pPr>
      <w:overflowPunct w:val="0"/>
      <w:autoSpaceDE w:val="0"/>
      <w:autoSpaceDN w:val="0"/>
      <w:adjustRightInd w:val="0"/>
      <w:spacing w:line="360" w:lineRule="auto"/>
      <w:ind w:firstLine="539"/>
      <w:textAlignment w:val="baseline"/>
    </w:pPr>
    <w:rPr>
      <w:sz w:val="28"/>
    </w:rPr>
  </w:style>
  <w:style w:type="paragraph" w:styleId="81">
    <w:name w:val="Body Text First Indent 2"/>
    <w:basedOn w:val="30"/>
    <w:link w:val="1075"/>
    <w:semiHidden/>
    <w:qFormat/>
    <w:uiPriority w:val="0"/>
    <w:pPr>
      <w:ind w:firstLine="420" w:firstLineChars="200"/>
    </w:pPr>
    <w:rPr>
      <w:szCs w:val="24"/>
    </w:rPr>
  </w:style>
  <w:style w:type="table" w:styleId="83">
    <w:name w:val="Table Grid"/>
    <w:basedOn w:val="8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table" w:styleId="84">
    <w:name w:val="Table Subtle 1"/>
    <w:basedOn w:val="82"/>
    <w:semiHidden/>
    <w:unhideWhenUsed/>
    <w:qFormat/>
    <w:uiPriority w:val="0"/>
    <w:pPr>
      <w:widowControl w:val="0"/>
      <w:jc w:val="both"/>
    </w:pPr>
    <w:tblPr>
      <w:tblCellMar>
        <w:left w:w="0" w:type="dxa"/>
        <w:right w:w="0"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85">
    <w:name w:val="Table 3D effects 1"/>
    <w:basedOn w:val="82"/>
    <w:semiHidden/>
    <w:qFormat/>
    <w:uiPriority w:val="0"/>
    <w:pPr>
      <w:widowControl w:val="0"/>
      <w:jc w:val="both"/>
    </w:pPr>
    <w:tblPr>
      <w:tblCellMar>
        <w:left w:w="0" w:type="dxa"/>
        <w:right w:w="0"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86">
    <w:name w:val="Table 3D effects 2"/>
    <w:basedOn w:val="82"/>
    <w:semiHidden/>
    <w:qFormat/>
    <w:uiPriority w:val="0"/>
    <w:pPr>
      <w:widowControl w:val="0"/>
      <w:jc w:val="both"/>
    </w:pPr>
    <w:tblPr>
      <w:tblCellMar>
        <w:left w:w="0" w:type="dxa"/>
        <w:right w:w="0"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87">
    <w:name w:val="Table 3D effects 3"/>
    <w:basedOn w:val="82"/>
    <w:semiHidden/>
    <w:qFormat/>
    <w:uiPriority w:val="0"/>
    <w:pPr>
      <w:widowControl w:val="0"/>
      <w:jc w:val="both"/>
    </w:pPr>
    <w:tblPr>
      <w:tblCellMar>
        <w:left w:w="0" w:type="dxa"/>
        <w:right w:w="0"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88">
    <w:name w:val="Table List 2"/>
    <w:basedOn w:val="82"/>
    <w:qFormat/>
    <w:uiPriority w:val="0"/>
    <w:pPr>
      <w:widowControl w:val="0"/>
      <w:spacing w:line="360" w:lineRule="auto"/>
      <w:jc w:val="both"/>
    </w:pPr>
    <w:tblPr>
      <w:tblBorders>
        <w:bottom w:val="single" w:color="808080" w:sz="12" w:space="0"/>
      </w:tblBorders>
      <w:tblCellMar>
        <w:left w:w="0" w:type="dxa"/>
        <w:right w:w="0"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89">
    <w:name w:val="Table List 3"/>
    <w:basedOn w:val="82"/>
    <w:qFormat/>
    <w:uiPriority w:val="0"/>
    <w:pPr>
      <w:widowControl w:val="0"/>
      <w:spacing w:line="360" w:lineRule="auto"/>
      <w:jc w:val="both"/>
    </w:pPr>
    <w:tblPr>
      <w:tblBorders>
        <w:top w:val="single" w:color="000000" w:sz="12" w:space="0"/>
        <w:bottom w:val="single" w:color="000000" w:sz="12" w:space="0"/>
        <w:insideH w:val="single" w:color="000000" w:sz="6" w:space="0"/>
      </w:tblBorders>
      <w:tblCellMar>
        <w:left w:w="0" w:type="dxa"/>
        <w:right w:w="0"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90">
    <w:name w:val="Table List 4"/>
    <w:basedOn w:val="82"/>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left w:w="0" w:type="dxa"/>
        <w:right w:w="0"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91">
    <w:name w:val="Table List 5"/>
    <w:basedOn w:val="82"/>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left w:w="0" w:type="dxa"/>
        <w:right w:w="0"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92">
    <w:name w:val="Table List 6"/>
    <w:basedOn w:val="82"/>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tblBorders>
      <w:tblCellMar>
        <w:left w:w="0" w:type="dxa"/>
        <w:right w:w="0"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93">
    <w:name w:val="Table List 7"/>
    <w:basedOn w:val="82"/>
    <w:qFormat/>
    <w:uiPriority w:val="0"/>
    <w:pPr>
      <w:widowControl w:val="0"/>
      <w:spacing w:line="360" w:lineRule="auto"/>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left w:w="0" w:type="dxa"/>
        <w:right w:w="0"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94">
    <w:name w:val="Table List 8"/>
    <w:basedOn w:val="8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left w:w="0" w:type="dxa"/>
        <w:right w:w="0"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95">
    <w:name w:val="Table Columns 1"/>
    <w:basedOn w:val="82"/>
    <w:qFormat/>
    <w:uiPriority w:val="0"/>
    <w:pPr>
      <w:widowControl w:val="0"/>
      <w:spacing w:line="360" w:lineRule="auto"/>
      <w:jc w:val="both"/>
    </w:pPr>
    <w:rPr>
      <w:b/>
      <w:bCs/>
    </w:rPr>
    <w:tblPr>
      <w:tblBorders>
        <w:top w:val="single" w:color="000000" w:sz="12" w:space="0"/>
        <w:left w:val="single" w:color="000000" w:sz="12" w:space="0"/>
        <w:bottom w:val="single" w:color="000000" w:sz="12" w:space="0"/>
        <w:right w:val="single" w:color="000000" w:sz="12" w:space="0"/>
      </w:tblBorders>
      <w:tblCellMar>
        <w:left w:w="0" w:type="dxa"/>
        <w:right w:w="0"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6">
    <w:name w:val="Table Columns 2"/>
    <w:basedOn w:val="82"/>
    <w:qFormat/>
    <w:uiPriority w:val="0"/>
    <w:pPr>
      <w:widowControl w:val="0"/>
      <w:spacing w:line="360" w:lineRule="auto"/>
      <w:jc w:val="both"/>
    </w:pPr>
    <w:rPr>
      <w:b/>
      <w:bCs/>
    </w:rPr>
    <w:tblPr>
      <w:tblCellMar>
        <w:left w:w="0" w:type="dxa"/>
        <w:right w:w="0"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7">
    <w:name w:val="Table Columns 3"/>
    <w:basedOn w:val="82"/>
    <w:qFormat/>
    <w:uiPriority w:val="0"/>
    <w:pPr>
      <w:widowControl w:val="0"/>
      <w:spacing w:line="360" w:lineRule="auto"/>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left w:w="0" w:type="dxa"/>
        <w:right w:w="0"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98">
    <w:name w:val="Table Columns 4"/>
    <w:basedOn w:val="82"/>
    <w:qFormat/>
    <w:uiPriority w:val="0"/>
    <w:pPr>
      <w:widowControl w:val="0"/>
      <w:spacing w:line="360" w:lineRule="auto"/>
      <w:jc w:val="both"/>
    </w:pPr>
    <w:tblPr>
      <w:tblCellMar>
        <w:left w:w="0" w:type="dxa"/>
        <w:right w:w="0"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99">
    <w:name w:val="Table Columns 5"/>
    <w:basedOn w:val="82"/>
    <w:qFormat/>
    <w:uiPriority w:val="0"/>
    <w:pPr>
      <w:widowControl w:val="0"/>
      <w:spacing w:line="360" w:lineRule="auto"/>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left w:w="0" w:type="dxa"/>
        <w:right w:w="0"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0">
    <w:name w:val="Table Grid 1"/>
    <w:basedOn w:val="8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left w:w="0" w:type="dxa"/>
        <w:right w:w="0"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01">
    <w:name w:val="Table Grid 2"/>
    <w:basedOn w:val="82"/>
    <w:qFormat/>
    <w:uiPriority w:val="0"/>
    <w:pPr>
      <w:widowControl w:val="0"/>
      <w:spacing w:line="360" w:lineRule="auto"/>
      <w:jc w:val="both"/>
    </w:pPr>
    <w:tblPr>
      <w:tblBorders>
        <w:insideH w:val="single" w:color="000000" w:sz="6" w:space="0"/>
        <w:insideV w:val="single" w:color="000000" w:sz="6" w:space="0"/>
      </w:tblBorders>
      <w:tblCellMar>
        <w:left w:w="0" w:type="dxa"/>
        <w:right w:w="0"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02">
    <w:name w:val="Table Grid 3"/>
    <w:basedOn w:val="82"/>
    <w:qFormat/>
    <w:uiPriority w:val="0"/>
    <w:pPr>
      <w:widowControl w:val="0"/>
      <w:spacing w:line="360" w:lineRule="auto"/>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left w:w="0" w:type="dxa"/>
        <w:right w:w="0"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03">
    <w:name w:val="Table Grid 4"/>
    <w:basedOn w:val="82"/>
    <w:qFormat/>
    <w:uiPriority w:val="0"/>
    <w:pPr>
      <w:widowControl w:val="0"/>
      <w:spacing w:line="360" w:lineRule="auto"/>
      <w:jc w:val="both"/>
    </w:pPr>
    <w:tblPr>
      <w:tblBorders>
        <w:left w:val="single" w:color="000000" w:sz="12" w:space="0"/>
        <w:right w:val="single" w:color="000000" w:sz="12" w:space="0"/>
        <w:insideH w:val="single" w:color="000000" w:sz="6" w:space="0"/>
        <w:insideV w:val="single" w:color="000000" w:sz="6" w:space="0"/>
      </w:tblBorders>
      <w:tblCellMar>
        <w:left w:w="0" w:type="dxa"/>
        <w:right w:w="0"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04">
    <w:name w:val="Table Grid 5"/>
    <w:basedOn w:val="82"/>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left w:w="0" w:type="dxa"/>
        <w:right w:w="0"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05">
    <w:name w:val="Table Grid 6"/>
    <w:basedOn w:val="82"/>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left w:w="0" w:type="dxa"/>
        <w:right w:w="0"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06">
    <w:name w:val="Table Grid 7"/>
    <w:basedOn w:val="82"/>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left w:w="0" w:type="dxa"/>
        <w:right w:w="0"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07">
    <w:name w:val="Table Grid 8"/>
    <w:basedOn w:val="82"/>
    <w:qFormat/>
    <w:uiPriority w:val="0"/>
    <w:pPr>
      <w:widowControl w:val="0"/>
      <w:spacing w:line="360" w:lineRule="auto"/>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left w:w="0" w:type="dxa"/>
        <w:right w:w="0"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08">
    <w:name w:val="Table Web 2"/>
    <w:basedOn w:val="82"/>
    <w:semiHidden/>
    <w:unhideWhenUsed/>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left w:w="0" w:type="dxa"/>
        <w:right w:w="0" w:type="dxa"/>
      </w:tblCellMar>
    </w:tblPr>
    <w:trPr>
      <w:tblCellSpacing w:w="20" w:type="dxa"/>
    </w:trPr>
    <w:tcPr>
      <w:shd w:val="clear" w:color="auto" w:fill="auto"/>
    </w:tcPr>
    <w:tblStylePr w:type="firstRow">
      <w:rPr>
        <w:color w:val="auto"/>
      </w:rPr>
      <w:tblPr/>
      <w:tcPr>
        <w:tcBorders>
          <w:tl2br w:val="nil"/>
          <w:tr2bl w:val="nil"/>
        </w:tcBorders>
      </w:tcPr>
    </w:tblStylePr>
  </w:style>
  <w:style w:type="character" w:styleId="110">
    <w:name w:val="Strong"/>
    <w:basedOn w:val="109"/>
    <w:qFormat/>
    <w:uiPriority w:val="0"/>
    <w:rPr>
      <w:b/>
      <w:bCs/>
    </w:rPr>
  </w:style>
  <w:style w:type="character" w:styleId="111">
    <w:name w:val="page number"/>
    <w:basedOn w:val="109"/>
    <w:semiHidden/>
    <w:qFormat/>
    <w:uiPriority w:val="0"/>
  </w:style>
  <w:style w:type="character" w:styleId="112">
    <w:name w:val="FollowedHyperlink"/>
    <w:basedOn w:val="109"/>
    <w:semiHidden/>
    <w:qFormat/>
    <w:uiPriority w:val="99"/>
    <w:rPr>
      <w:color w:val="800080"/>
      <w:u w:val="single"/>
    </w:rPr>
  </w:style>
  <w:style w:type="character" w:styleId="113">
    <w:name w:val="Emphasis"/>
    <w:basedOn w:val="109"/>
    <w:semiHidden/>
    <w:qFormat/>
    <w:uiPriority w:val="0"/>
    <w:rPr>
      <w:color w:val="CC0033"/>
    </w:rPr>
  </w:style>
  <w:style w:type="character" w:styleId="114">
    <w:name w:val="line number"/>
    <w:basedOn w:val="109"/>
    <w:semiHidden/>
    <w:qFormat/>
    <w:uiPriority w:val="0"/>
    <w:rPr>
      <w:rFonts w:eastAsia="宋体"/>
      <w:color w:val="000000"/>
      <w:kern w:val="2"/>
      <w:sz w:val="21"/>
      <w:szCs w:val="21"/>
      <w:lang w:val="en-US" w:eastAsia="zh-CN" w:bidi="ar-SA"/>
    </w:rPr>
  </w:style>
  <w:style w:type="character" w:styleId="115">
    <w:name w:val="HTML Definition"/>
    <w:basedOn w:val="109"/>
    <w:semiHidden/>
    <w:qFormat/>
    <w:uiPriority w:val="0"/>
    <w:rPr>
      <w:rFonts w:eastAsia="宋体"/>
      <w:i/>
      <w:iCs/>
      <w:color w:val="000000"/>
      <w:kern w:val="2"/>
      <w:sz w:val="21"/>
      <w:szCs w:val="21"/>
      <w:lang w:val="en-US" w:eastAsia="zh-CN" w:bidi="ar-SA"/>
    </w:rPr>
  </w:style>
  <w:style w:type="character" w:styleId="116">
    <w:name w:val="HTML Typewriter"/>
    <w:basedOn w:val="109"/>
    <w:semiHidden/>
    <w:qFormat/>
    <w:uiPriority w:val="0"/>
    <w:rPr>
      <w:rFonts w:ascii="Courier New" w:hAnsi="Courier New" w:eastAsia="宋体" w:cs="Courier New"/>
      <w:color w:val="000000"/>
      <w:kern w:val="2"/>
      <w:sz w:val="20"/>
      <w:szCs w:val="20"/>
      <w:lang w:val="en-US" w:eastAsia="zh-CN" w:bidi="ar-SA"/>
    </w:rPr>
  </w:style>
  <w:style w:type="character" w:styleId="117">
    <w:name w:val="HTML Acronym"/>
    <w:basedOn w:val="109"/>
    <w:semiHidden/>
    <w:qFormat/>
    <w:uiPriority w:val="0"/>
    <w:rPr>
      <w:rFonts w:eastAsia="宋体"/>
      <w:color w:val="000000"/>
      <w:kern w:val="2"/>
      <w:sz w:val="21"/>
      <w:szCs w:val="21"/>
      <w:lang w:val="en-US" w:eastAsia="zh-CN" w:bidi="ar-SA"/>
    </w:rPr>
  </w:style>
  <w:style w:type="character" w:styleId="118">
    <w:name w:val="HTML Variable"/>
    <w:basedOn w:val="109"/>
    <w:semiHidden/>
    <w:qFormat/>
    <w:uiPriority w:val="0"/>
    <w:rPr>
      <w:rFonts w:eastAsia="宋体"/>
      <w:i/>
      <w:iCs/>
      <w:color w:val="000000"/>
      <w:kern w:val="2"/>
      <w:sz w:val="21"/>
      <w:szCs w:val="21"/>
      <w:lang w:val="en-US" w:eastAsia="zh-CN" w:bidi="ar-SA"/>
    </w:rPr>
  </w:style>
  <w:style w:type="character" w:styleId="119">
    <w:name w:val="Hyperlink"/>
    <w:basedOn w:val="109"/>
    <w:qFormat/>
    <w:uiPriority w:val="99"/>
    <w:rPr>
      <w:color w:val="0000FF"/>
      <w:u w:val="single"/>
    </w:rPr>
  </w:style>
  <w:style w:type="character" w:styleId="120">
    <w:name w:val="HTML Code"/>
    <w:basedOn w:val="109"/>
    <w:semiHidden/>
    <w:qFormat/>
    <w:uiPriority w:val="0"/>
    <w:rPr>
      <w:rFonts w:ascii="Courier New" w:hAnsi="Courier New" w:eastAsia="宋体" w:cs="Courier New"/>
      <w:color w:val="000000"/>
      <w:kern w:val="2"/>
      <w:sz w:val="20"/>
      <w:szCs w:val="20"/>
      <w:lang w:val="en-US" w:eastAsia="zh-CN" w:bidi="ar-SA"/>
    </w:rPr>
  </w:style>
  <w:style w:type="character" w:styleId="121">
    <w:name w:val="annotation reference"/>
    <w:basedOn w:val="109"/>
    <w:semiHidden/>
    <w:qFormat/>
    <w:uiPriority w:val="0"/>
    <w:rPr>
      <w:sz w:val="21"/>
      <w:szCs w:val="21"/>
    </w:rPr>
  </w:style>
  <w:style w:type="character" w:styleId="122">
    <w:name w:val="HTML Cite"/>
    <w:basedOn w:val="109"/>
    <w:semiHidden/>
    <w:qFormat/>
    <w:uiPriority w:val="0"/>
    <w:rPr>
      <w:rFonts w:eastAsia="宋体"/>
      <w:i/>
      <w:iCs/>
      <w:color w:val="000000"/>
      <w:kern w:val="2"/>
      <w:sz w:val="21"/>
      <w:szCs w:val="21"/>
      <w:lang w:val="en-US" w:eastAsia="zh-CN" w:bidi="ar-SA"/>
    </w:rPr>
  </w:style>
  <w:style w:type="character" w:styleId="123">
    <w:name w:val="footnote reference"/>
    <w:basedOn w:val="109"/>
    <w:semiHidden/>
    <w:qFormat/>
    <w:uiPriority w:val="0"/>
    <w:rPr>
      <w:rFonts w:eastAsia="宋体"/>
      <w:color w:val="000000"/>
      <w:kern w:val="2"/>
      <w:sz w:val="21"/>
      <w:szCs w:val="21"/>
      <w:vertAlign w:val="superscript"/>
      <w:lang w:val="en-US" w:eastAsia="zh-CN" w:bidi="ar-SA"/>
    </w:rPr>
  </w:style>
  <w:style w:type="character" w:styleId="124">
    <w:name w:val="HTML Keyboard"/>
    <w:basedOn w:val="109"/>
    <w:semiHidden/>
    <w:qFormat/>
    <w:uiPriority w:val="0"/>
    <w:rPr>
      <w:rFonts w:ascii="Courier New" w:hAnsi="Courier New" w:eastAsia="宋体" w:cs="Courier New"/>
      <w:color w:val="000000"/>
      <w:kern w:val="2"/>
      <w:sz w:val="20"/>
      <w:szCs w:val="20"/>
      <w:lang w:val="en-US" w:eastAsia="zh-CN" w:bidi="ar-SA"/>
    </w:rPr>
  </w:style>
  <w:style w:type="character" w:styleId="125">
    <w:name w:val="HTML Sample"/>
    <w:basedOn w:val="109"/>
    <w:semiHidden/>
    <w:qFormat/>
    <w:uiPriority w:val="0"/>
    <w:rPr>
      <w:rFonts w:ascii="Courier New" w:hAnsi="Courier New" w:eastAsia="宋体" w:cs="Courier New"/>
      <w:color w:val="000000"/>
      <w:kern w:val="2"/>
      <w:sz w:val="21"/>
      <w:szCs w:val="21"/>
      <w:lang w:val="en-US" w:eastAsia="zh-CN" w:bidi="ar-SA"/>
    </w:rPr>
  </w:style>
  <w:style w:type="character" w:customStyle="1" w:styleId="126">
    <w:name w:val="标题 3 字符"/>
    <w:basedOn w:val="109"/>
    <w:link w:val="4"/>
    <w:qFormat/>
    <w:uiPriority w:val="9"/>
    <w:rPr>
      <w:rFonts w:eastAsia="黑体"/>
      <w:b/>
      <w:sz w:val="26"/>
    </w:rPr>
  </w:style>
  <w:style w:type="paragraph" w:customStyle="1" w:styleId="127">
    <w:name w:val="表格文字"/>
    <w:basedOn w:val="1"/>
    <w:next w:val="1"/>
    <w:link w:val="128"/>
    <w:semiHidden/>
    <w:qFormat/>
    <w:uiPriority w:val="0"/>
    <w:pPr>
      <w:tabs>
        <w:tab w:val="left" w:pos="360"/>
        <w:tab w:val="left" w:pos="1620"/>
      </w:tabs>
      <w:snapToGrid w:val="0"/>
      <w:spacing w:line="460" w:lineRule="exact"/>
      <w:ind w:firstLine="200" w:firstLineChars="200"/>
      <w:jc w:val="center"/>
    </w:pPr>
    <w:rPr>
      <w:rFonts w:ascii="宋体"/>
      <w:sz w:val="24"/>
    </w:rPr>
  </w:style>
  <w:style w:type="character" w:customStyle="1" w:styleId="128">
    <w:name w:val="表格文字 Char"/>
    <w:basedOn w:val="109"/>
    <w:link w:val="127"/>
    <w:semiHidden/>
    <w:qFormat/>
    <w:uiPriority w:val="0"/>
    <w:rPr>
      <w:rFonts w:ascii="宋体"/>
      <w:sz w:val="24"/>
    </w:rPr>
  </w:style>
  <w:style w:type="paragraph" w:customStyle="1" w:styleId="129">
    <w:name w:val="A表内容"/>
    <w:basedOn w:val="130"/>
    <w:link w:val="1063"/>
    <w:qFormat/>
    <w:uiPriority w:val="0"/>
    <w:pPr>
      <w:spacing w:line="360" w:lineRule="exact"/>
      <w:ind w:firstLine="0" w:firstLineChars="0"/>
      <w:jc w:val="center"/>
    </w:pPr>
    <w:rPr>
      <w:rFonts w:ascii="Times New Roman"/>
      <w:sz w:val="21"/>
      <w:szCs w:val="21"/>
    </w:rPr>
  </w:style>
  <w:style w:type="paragraph" w:customStyle="1" w:styleId="130">
    <w:name w:val="正文格式"/>
    <w:basedOn w:val="131"/>
    <w:link w:val="163"/>
    <w:qFormat/>
    <w:uiPriority w:val="0"/>
    <w:pPr>
      <w:spacing w:after="0" w:line="360" w:lineRule="auto"/>
      <w:ind w:firstLine="200" w:firstLineChars="200"/>
    </w:pPr>
    <w:rPr>
      <w:rFonts w:ascii="宋体"/>
      <w:sz w:val="24"/>
      <w:szCs w:val="24"/>
    </w:rPr>
  </w:style>
  <w:style w:type="paragraph" w:customStyle="1" w:styleId="131">
    <w:name w:val="正文文本首行缩进1"/>
    <w:basedOn w:val="29"/>
    <w:link w:val="267"/>
    <w:semiHidden/>
    <w:qFormat/>
    <w:uiPriority w:val="0"/>
    <w:pPr>
      <w:ind w:firstLine="420" w:firstLineChars="100"/>
    </w:pPr>
  </w:style>
  <w:style w:type="paragraph" w:customStyle="1" w:styleId="132">
    <w:name w:val="A正文"/>
    <w:basedOn w:val="130"/>
    <w:link w:val="133"/>
    <w:qFormat/>
    <w:uiPriority w:val="0"/>
    <w:pPr>
      <w:ind w:firstLine="480"/>
      <w:jc w:val="both"/>
    </w:pPr>
    <w:rPr>
      <w:rFonts w:ascii="Times New Roman"/>
      <w:color w:val="000000" w:themeColor="text1"/>
      <w14:textFill>
        <w14:solidFill>
          <w14:schemeClr w14:val="tx1"/>
        </w14:solidFill>
      </w14:textFill>
    </w:rPr>
  </w:style>
  <w:style w:type="character" w:customStyle="1" w:styleId="133">
    <w:name w:val="A正文 Char"/>
    <w:basedOn w:val="109"/>
    <w:link w:val="132"/>
    <w:qFormat/>
    <w:uiPriority w:val="0"/>
    <w:rPr>
      <w:color w:val="000000" w:themeColor="text1"/>
      <w:sz w:val="24"/>
      <w:szCs w:val="24"/>
      <w14:textFill>
        <w14:solidFill>
          <w14:schemeClr w14:val="tx1"/>
        </w14:solidFill>
      </w14:textFill>
    </w:rPr>
  </w:style>
  <w:style w:type="paragraph" w:customStyle="1" w:styleId="134">
    <w:name w:val="标题1"/>
    <w:basedOn w:val="1"/>
    <w:next w:val="1"/>
    <w:link w:val="1051"/>
    <w:semiHidden/>
    <w:qFormat/>
    <w:uiPriority w:val="0"/>
    <w:pPr>
      <w:spacing w:afterLines="50"/>
      <w:ind w:left="6238"/>
      <w:jc w:val="center"/>
      <w:outlineLvl w:val="0"/>
    </w:pPr>
    <w:rPr>
      <w:rFonts w:ascii="黑体" w:eastAsia="黑体" w:cs="宋体"/>
      <w:b/>
      <w:sz w:val="32"/>
      <w:szCs w:val="32"/>
    </w:rPr>
  </w:style>
  <w:style w:type="paragraph" w:customStyle="1" w:styleId="135">
    <w:name w:val="标题4"/>
    <w:basedOn w:val="1"/>
    <w:semiHidden/>
    <w:qFormat/>
    <w:uiPriority w:val="0"/>
    <w:pPr>
      <w:adjustRightInd w:val="0"/>
      <w:snapToGrid w:val="0"/>
      <w:spacing w:line="360" w:lineRule="auto"/>
    </w:pPr>
    <w:rPr>
      <w:rFonts w:ascii="宋体" w:hAnsi="宋体" w:eastAsia="黑体"/>
      <w:sz w:val="24"/>
      <w:szCs w:val="24"/>
    </w:rPr>
  </w:style>
  <w:style w:type="character" w:customStyle="1" w:styleId="136">
    <w:name w:val="标题 1 字符"/>
    <w:basedOn w:val="109"/>
    <w:link w:val="2"/>
    <w:qFormat/>
    <w:uiPriority w:val="99"/>
    <w:rPr>
      <w:rFonts w:eastAsia="黑体"/>
      <w:b/>
      <w:color w:val="000000" w:themeColor="text1"/>
      <w:sz w:val="36"/>
      <w:szCs w:val="36"/>
      <w14:textFill>
        <w14:solidFill>
          <w14:schemeClr w14:val="tx1"/>
        </w14:solidFill>
      </w14:textFill>
    </w:rPr>
  </w:style>
  <w:style w:type="character" w:customStyle="1" w:styleId="137">
    <w:name w:val="标题 2 字符"/>
    <w:basedOn w:val="109"/>
    <w:link w:val="3"/>
    <w:qFormat/>
    <w:uiPriority w:val="99"/>
    <w:rPr>
      <w:rFonts w:eastAsia="黑体"/>
      <w:b/>
      <w:color w:val="000000" w:themeColor="text1"/>
      <w:sz w:val="28"/>
      <w:szCs w:val="30"/>
      <w14:textFill>
        <w14:solidFill>
          <w14:schemeClr w14:val="tx1"/>
        </w14:solidFill>
      </w14:textFill>
    </w:rPr>
  </w:style>
  <w:style w:type="character" w:customStyle="1" w:styleId="138">
    <w:name w:val="标题 4 字符"/>
    <w:basedOn w:val="109"/>
    <w:link w:val="5"/>
    <w:qFormat/>
    <w:uiPriority w:val="0"/>
    <w:rPr>
      <w:b/>
      <w:bCs/>
      <w:color w:val="000000" w:themeColor="text1"/>
      <w:sz w:val="24"/>
      <w:szCs w:val="28"/>
      <w14:textFill>
        <w14:solidFill>
          <w14:schemeClr w14:val="tx1"/>
        </w14:solidFill>
      </w14:textFill>
    </w:rPr>
  </w:style>
  <w:style w:type="character" w:customStyle="1" w:styleId="139">
    <w:name w:val="标题 5 字符"/>
    <w:basedOn w:val="109"/>
    <w:link w:val="6"/>
    <w:semiHidden/>
    <w:qFormat/>
    <w:uiPriority w:val="0"/>
    <w:rPr>
      <w:b/>
      <w:sz w:val="28"/>
    </w:rPr>
  </w:style>
  <w:style w:type="character" w:customStyle="1" w:styleId="140">
    <w:name w:val="标题 6 字符"/>
    <w:basedOn w:val="109"/>
    <w:link w:val="7"/>
    <w:semiHidden/>
    <w:qFormat/>
    <w:uiPriority w:val="0"/>
    <w:rPr>
      <w:rFonts w:ascii="Arial" w:hAnsi="Arial" w:eastAsia="黑体"/>
      <w:b/>
      <w:sz w:val="24"/>
    </w:rPr>
  </w:style>
  <w:style w:type="character" w:customStyle="1" w:styleId="141">
    <w:name w:val="标题 7 字符"/>
    <w:basedOn w:val="109"/>
    <w:link w:val="8"/>
    <w:semiHidden/>
    <w:qFormat/>
    <w:uiPriority w:val="0"/>
    <w:rPr>
      <w:b/>
      <w:sz w:val="24"/>
    </w:rPr>
  </w:style>
  <w:style w:type="paragraph" w:customStyle="1" w:styleId="142">
    <w:name w:val="TOC 标题1"/>
    <w:basedOn w:val="2"/>
    <w:next w:val="1"/>
    <w:semiHidden/>
    <w:qFormat/>
    <w:uiPriority w:val="39"/>
    <w:pPr>
      <w:keepNext/>
      <w:keepLines/>
      <w:numPr>
        <w:numId w:val="0"/>
      </w:numPr>
      <w:spacing w:before="480" w:after="0" w:line="276" w:lineRule="auto"/>
      <w:jc w:val="left"/>
      <w:outlineLvl w:val="9"/>
    </w:pPr>
    <w:rPr>
      <w:rFonts w:ascii="Cambria" w:hAnsi="Cambria" w:eastAsia="宋体"/>
      <w:bCs/>
      <w:color w:val="365F91"/>
      <w:sz w:val="28"/>
      <w:szCs w:val="28"/>
    </w:rPr>
  </w:style>
  <w:style w:type="paragraph" w:customStyle="1" w:styleId="143">
    <w:name w:val="A1"/>
    <w:basedOn w:val="134"/>
    <w:link w:val="1052"/>
    <w:semiHidden/>
    <w:qFormat/>
    <w:uiPriority w:val="0"/>
    <w:pPr>
      <w:adjustRightInd w:val="0"/>
      <w:snapToGrid w:val="0"/>
      <w:spacing w:before="50" w:beforeLines="50" w:after="50" w:line="360" w:lineRule="auto"/>
      <w:ind w:left="0"/>
    </w:pPr>
    <w:rPr>
      <w:rFonts w:ascii="Times New Roman" w:cs="Times New Roman"/>
      <w:color w:val="000000" w:themeColor="text1"/>
      <w:sz w:val="36"/>
      <w:szCs w:val="36"/>
      <w14:textFill>
        <w14:solidFill>
          <w14:schemeClr w14:val="tx1"/>
        </w14:solidFill>
      </w14:textFill>
    </w:rPr>
  </w:style>
  <w:style w:type="paragraph" w:customStyle="1" w:styleId="144">
    <w:name w:val="A2"/>
    <w:basedOn w:val="145"/>
    <w:link w:val="1055"/>
    <w:semiHidden/>
    <w:qFormat/>
    <w:uiPriority w:val="0"/>
    <w:rPr>
      <w:color w:val="000000" w:themeColor="text1"/>
      <w:sz w:val="28"/>
      <w14:textFill>
        <w14:solidFill>
          <w14:schemeClr w14:val="tx1"/>
        </w14:solidFill>
      </w14:textFill>
    </w:rPr>
  </w:style>
  <w:style w:type="paragraph" w:customStyle="1" w:styleId="145">
    <w:name w:val="样式 1.1二级标题"/>
    <w:basedOn w:val="146"/>
    <w:link w:val="1054"/>
    <w:semiHidden/>
    <w:qFormat/>
    <w:uiPriority w:val="0"/>
    <w:pPr>
      <w:spacing w:beforeLines="0"/>
    </w:pPr>
    <w:rPr>
      <w:color w:val="000000"/>
      <w:szCs w:val="30"/>
    </w:rPr>
  </w:style>
  <w:style w:type="paragraph" w:customStyle="1" w:styleId="146">
    <w:name w:val="1.1二级标题"/>
    <w:basedOn w:val="1"/>
    <w:link w:val="1053"/>
    <w:semiHidden/>
    <w:qFormat/>
    <w:uiPriority w:val="0"/>
    <w:pPr>
      <w:spacing w:beforeLines="50" w:line="360" w:lineRule="auto"/>
      <w:outlineLvl w:val="1"/>
    </w:pPr>
    <w:rPr>
      <w:rFonts w:eastAsia="黑体"/>
      <w:b/>
      <w:sz w:val="30"/>
    </w:rPr>
  </w:style>
  <w:style w:type="paragraph" w:customStyle="1" w:styleId="147">
    <w:name w:val="A3"/>
    <w:basedOn w:val="148"/>
    <w:link w:val="1057"/>
    <w:semiHidden/>
    <w:qFormat/>
    <w:uiPriority w:val="0"/>
    <w:rPr>
      <w:color w:val="000000" w:themeColor="text1"/>
      <w:sz w:val="26"/>
      <w14:textFill>
        <w14:solidFill>
          <w14:schemeClr w14:val="tx1"/>
        </w14:solidFill>
      </w14:textFill>
    </w:rPr>
  </w:style>
  <w:style w:type="paragraph" w:customStyle="1" w:styleId="148">
    <w:name w:val="样式1.1.1三级标题"/>
    <w:basedOn w:val="1"/>
    <w:next w:val="1"/>
    <w:link w:val="164"/>
    <w:semiHidden/>
    <w:qFormat/>
    <w:uiPriority w:val="0"/>
    <w:pPr>
      <w:spacing w:line="360" w:lineRule="auto"/>
      <w:outlineLvl w:val="2"/>
    </w:pPr>
    <w:rPr>
      <w:rFonts w:eastAsia="黑体"/>
      <w:b/>
      <w:color w:val="000000"/>
      <w:sz w:val="28"/>
    </w:rPr>
  </w:style>
  <w:style w:type="table" w:customStyle="1" w:styleId="149">
    <w:name w:val="网格型浅色1"/>
    <w:basedOn w:val="82"/>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left w:w="0" w:type="dxa"/>
        <w:right w:w="0" w:type="dxa"/>
      </w:tblCellMar>
    </w:tblPr>
  </w:style>
  <w:style w:type="table" w:customStyle="1" w:styleId="150">
    <w:name w:val="Table Normal"/>
    <w:semiHidden/>
    <w:unhideWhenUsed/>
    <w:qFormat/>
    <w:uiPriority w:val="0"/>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151">
    <w:name w:val="目录 71"/>
    <w:basedOn w:val="1"/>
    <w:next w:val="1"/>
    <w:semiHidden/>
    <w:qFormat/>
    <w:uiPriority w:val="39"/>
    <w:pPr>
      <w:ind w:left="2520" w:leftChars="1200"/>
    </w:pPr>
    <w:rPr>
      <w:szCs w:val="24"/>
    </w:rPr>
  </w:style>
  <w:style w:type="paragraph" w:customStyle="1" w:styleId="152">
    <w:name w:val="目录 51"/>
    <w:basedOn w:val="1"/>
    <w:next w:val="1"/>
    <w:semiHidden/>
    <w:qFormat/>
    <w:uiPriority w:val="39"/>
    <w:pPr>
      <w:ind w:left="1680" w:leftChars="800"/>
    </w:pPr>
    <w:rPr>
      <w:szCs w:val="24"/>
    </w:rPr>
  </w:style>
  <w:style w:type="paragraph" w:customStyle="1" w:styleId="153">
    <w:name w:val="目录 31"/>
    <w:basedOn w:val="1"/>
    <w:next w:val="1"/>
    <w:semiHidden/>
    <w:qFormat/>
    <w:uiPriority w:val="39"/>
    <w:pPr>
      <w:ind w:left="840" w:leftChars="400"/>
    </w:pPr>
    <w:rPr>
      <w:szCs w:val="24"/>
    </w:rPr>
  </w:style>
  <w:style w:type="paragraph" w:customStyle="1" w:styleId="154">
    <w:name w:val="目录 81"/>
    <w:basedOn w:val="1"/>
    <w:next w:val="1"/>
    <w:semiHidden/>
    <w:qFormat/>
    <w:uiPriority w:val="39"/>
    <w:pPr>
      <w:ind w:left="2940" w:leftChars="1400"/>
    </w:pPr>
    <w:rPr>
      <w:szCs w:val="24"/>
    </w:rPr>
  </w:style>
  <w:style w:type="paragraph" w:customStyle="1" w:styleId="155">
    <w:name w:val="正文文本首行缩进 21"/>
    <w:basedOn w:val="30"/>
    <w:link w:val="332"/>
    <w:semiHidden/>
    <w:qFormat/>
    <w:uiPriority w:val="0"/>
    <w:pPr>
      <w:tabs>
        <w:tab w:val="left" w:pos="420"/>
      </w:tabs>
      <w:spacing w:line="360" w:lineRule="auto"/>
      <w:ind w:left="360" w:hanging="360" w:hangingChars="200"/>
    </w:pPr>
    <w:rPr>
      <w:rFonts w:ascii="宋体"/>
      <w:szCs w:val="24"/>
    </w:rPr>
  </w:style>
  <w:style w:type="paragraph" w:customStyle="1" w:styleId="156">
    <w:name w:val="目录 11"/>
    <w:basedOn w:val="1"/>
    <w:next w:val="1"/>
    <w:semiHidden/>
    <w:qFormat/>
    <w:uiPriority w:val="39"/>
    <w:pPr>
      <w:tabs>
        <w:tab w:val="right" w:leader="dot" w:pos="8296"/>
      </w:tabs>
      <w:spacing w:line="360" w:lineRule="auto"/>
    </w:pPr>
    <w:rPr>
      <w:rFonts w:ascii="隶书"/>
      <w:b/>
      <w:sz w:val="24"/>
      <w:szCs w:val="24"/>
    </w:rPr>
  </w:style>
  <w:style w:type="paragraph" w:customStyle="1" w:styleId="157">
    <w:name w:val="目录 41"/>
    <w:basedOn w:val="1"/>
    <w:next w:val="1"/>
    <w:semiHidden/>
    <w:qFormat/>
    <w:uiPriority w:val="39"/>
    <w:pPr>
      <w:ind w:left="1260" w:leftChars="600"/>
    </w:pPr>
    <w:rPr>
      <w:szCs w:val="24"/>
    </w:rPr>
  </w:style>
  <w:style w:type="paragraph" w:customStyle="1" w:styleId="158">
    <w:name w:val="目录 61"/>
    <w:basedOn w:val="1"/>
    <w:next w:val="1"/>
    <w:semiHidden/>
    <w:qFormat/>
    <w:uiPriority w:val="39"/>
    <w:pPr>
      <w:ind w:left="2100" w:leftChars="1000"/>
    </w:pPr>
    <w:rPr>
      <w:szCs w:val="24"/>
    </w:rPr>
  </w:style>
  <w:style w:type="paragraph" w:customStyle="1" w:styleId="159">
    <w:name w:val="目录 21"/>
    <w:basedOn w:val="1"/>
    <w:next w:val="1"/>
    <w:semiHidden/>
    <w:qFormat/>
    <w:uiPriority w:val="39"/>
    <w:pPr>
      <w:ind w:left="420" w:leftChars="200"/>
    </w:pPr>
  </w:style>
  <w:style w:type="paragraph" w:customStyle="1" w:styleId="160">
    <w:name w:val="目录 91"/>
    <w:basedOn w:val="1"/>
    <w:next w:val="1"/>
    <w:semiHidden/>
    <w:qFormat/>
    <w:uiPriority w:val="39"/>
    <w:pPr>
      <w:ind w:left="3360" w:leftChars="1600"/>
    </w:pPr>
    <w:rPr>
      <w:szCs w:val="24"/>
    </w:rPr>
  </w:style>
  <w:style w:type="character" w:customStyle="1" w:styleId="161">
    <w:name w:val="访问过的超链接1"/>
    <w:basedOn w:val="109"/>
    <w:semiHidden/>
    <w:qFormat/>
    <w:uiPriority w:val="99"/>
    <w:rPr>
      <w:color w:val="800080"/>
      <w:u w:val="single"/>
    </w:rPr>
  </w:style>
  <w:style w:type="paragraph" w:customStyle="1" w:styleId="162">
    <w:name w:val="样式 标题1"/>
    <w:basedOn w:val="134"/>
    <w:next w:val="1"/>
    <w:link w:val="199"/>
    <w:semiHidden/>
    <w:qFormat/>
    <w:uiPriority w:val="0"/>
    <w:pPr>
      <w:spacing w:after="156" w:line="360" w:lineRule="auto"/>
    </w:pPr>
    <w:rPr>
      <w:rFonts w:eastAsia="隶书" w:cs="Times New Roman"/>
      <w:bCs/>
      <w:sz w:val="48"/>
      <w:szCs w:val="20"/>
    </w:rPr>
  </w:style>
  <w:style w:type="character" w:customStyle="1" w:styleId="163">
    <w:name w:val="正文格式 Char Char"/>
    <w:basedOn w:val="109"/>
    <w:link w:val="130"/>
    <w:semiHidden/>
    <w:qFormat/>
    <w:uiPriority w:val="0"/>
    <w:rPr>
      <w:rFonts w:ascii="宋体"/>
      <w:sz w:val="24"/>
      <w:szCs w:val="24"/>
    </w:rPr>
  </w:style>
  <w:style w:type="character" w:customStyle="1" w:styleId="164">
    <w:name w:val="样式1.1.1三级标题 Char"/>
    <w:basedOn w:val="109"/>
    <w:link w:val="148"/>
    <w:semiHidden/>
    <w:qFormat/>
    <w:uiPriority w:val="0"/>
    <w:rPr>
      <w:rFonts w:eastAsia="黑体"/>
      <w:b/>
      <w:color w:val="000000"/>
      <w:sz w:val="28"/>
    </w:rPr>
  </w:style>
  <w:style w:type="character" w:customStyle="1" w:styleId="165">
    <w:name w:val="样式 标题4 1.1.1.1 Char"/>
    <w:basedOn w:val="109"/>
    <w:link w:val="166"/>
    <w:semiHidden/>
    <w:qFormat/>
    <w:uiPriority w:val="0"/>
    <w:rPr>
      <w:rFonts w:hAnsi="宋体"/>
      <w:b/>
      <w:bCs/>
      <w:color w:val="000000" w:themeColor="text1"/>
      <w:sz w:val="24"/>
      <w:szCs w:val="28"/>
      <w14:textFill>
        <w14:solidFill>
          <w14:schemeClr w14:val="tx1"/>
        </w14:solidFill>
      </w14:textFill>
    </w:rPr>
  </w:style>
  <w:style w:type="paragraph" w:customStyle="1" w:styleId="166">
    <w:name w:val="样式 标题4 1.1.1.1"/>
    <w:basedOn w:val="5"/>
    <w:next w:val="130"/>
    <w:link w:val="165"/>
    <w:semiHidden/>
    <w:qFormat/>
    <w:uiPriority w:val="0"/>
    <w:pPr>
      <w:ind w:left="142"/>
    </w:pPr>
    <w:rPr>
      <w:rFonts w:hAnsi="宋体"/>
    </w:rPr>
  </w:style>
  <w:style w:type="character" w:customStyle="1" w:styleId="167">
    <w:name w:val="表头标题格式 Char Char"/>
    <w:basedOn w:val="109"/>
    <w:link w:val="168"/>
    <w:semiHidden/>
    <w:qFormat/>
    <w:uiPriority w:val="0"/>
    <w:rPr>
      <w:rFonts w:ascii="黑体" w:hAnsi="宋体" w:eastAsia="黑体"/>
      <w:b/>
      <w:bCs/>
      <w:sz w:val="24"/>
      <w:szCs w:val="24"/>
    </w:rPr>
  </w:style>
  <w:style w:type="paragraph" w:customStyle="1" w:styleId="168">
    <w:name w:val="表头标题格式"/>
    <w:basedOn w:val="1"/>
    <w:link w:val="167"/>
    <w:semiHidden/>
    <w:qFormat/>
    <w:uiPriority w:val="0"/>
    <w:pPr>
      <w:tabs>
        <w:tab w:val="left" w:pos="360"/>
        <w:tab w:val="left" w:pos="1620"/>
      </w:tabs>
      <w:spacing w:line="360" w:lineRule="auto"/>
      <w:jc w:val="center"/>
    </w:pPr>
    <w:rPr>
      <w:rFonts w:ascii="黑体" w:hAnsi="宋体" w:eastAsia="黑体"/>
      <w:b/>
      <w:bCs/>
      <w:sz w:val="24"/>
      <w:szCs w:val="24"/>
    </w:rPr>
  </w:style>
  <w:style w:type="paragraph" w:customStyle="1" w:styleId="169">
    <w:name w:val="维药表格文字"/>
    <w:basedOn w:val="1"/>
    <w:link w:val="170"/>
    <w:semiHidden/>
    <w:qFormat/>
    <w:uiPriority w:val="0"/>
    <w:pPr>
      <w:tabs>
        <w:tab w:val="left" w:pos="720"/>
      </w:tabs>
      <w:spacing w:line="360" w:lineRule="exact"/>
      <w:jc w:val="center"/>
    </w:pPr>
    <w:rPr>
      <w:rFonts w:ascii="宋体" w:hAnsi="宋体"/>
      <w:bCs/>
      <w:szCs w:val="21"/>
    </w:rPr>
  </w:style>
  <w:style w:type="character" w:customStyle="1" w:styleId="170">
    <w:name w:val="维药表格文字 Char"/>
    <w:basedOn w:val="109"/>
    <w:link w:val="169"/>
    <w:semiHidden/>
    <w:qFormat/>
    <w:uiPriority w:val="0"/>
    <w:rPr>
      <w:rFonts w:ascii="宋体" w:hAnsi="宋体"/>
      <w:bCs/>
      <w:szCs w:val="21"/>
    </w:rPr>
  </w:style>
  <w:style w:type="paragraph" w:customStyle="1" w:styleId="171">
    <w:name w:val="Char1"/>
    <w:basedOn w:val="1"/>
    <w:semiHidden/>
    <w:qFormat/>
    <w:uiPriority w:val="0"/>
    <w:rPr>
      <w:szCs w:val="24"/>
    </w:rPr>
  </w:style>
  <w:style w:type="character" w:customStyle="1" w:styleId="172">
    <w:name w:val="单晶硅项目正文 Char"/>
    <w:basedOn w:val="109"/>
    <w:link w:val="173"/>
    <w:semiHidden/>
    <w:qFormat/>
    <w:uiPriority w:val="0"/>
    <w:rPr>
      <w:rFonts w:ascii="宋体" w:hAnsi="宋体"/>
      <w:color w:val="000000"/>
      <w:sz w:val="24"/>
      <w:szCs w:val="24"/>
    </w:rPr>
  </w:style>
  <w:style w:type="paragraph" w:customStyle="1" w:styleId="173">
    <w:name w:val="单晶硅项目正文"/>
    <w:basedOn w:val="1"/>
    <w:link w:val="172"/>
    <w:semiHidden/>
    <w:qFormat/>
    <w:uiPriority w:val="0"/>
    <w:pPr>
      <w:spacing w:line="560" w:lineRule="exact"/>
      <w:ind w:firstLine="480" w:firstLineChars="200"/>
    </w:pPr>
    <w:rPr>
      <w:rFonts w:ascii="宋体" w:hAnsi="宋体"/>
      <w:color w:val="000000"/>
      <w:sz w:val="24"/>
      <w:szCs w:val="24"/>
    </w:rPr>
  </w:style>
  <w:style w:type="paragraph" w:customStyle="1" w:styleId="174">
    <w:name w:val="样式2"/>
    <w:basedOn w:val="1"/>
    <w:link w:val="175"/>
    <w:semiHidden/>
    <w:qFormat/>
    <w:uiPriority w:val="0"/>
    <w:pPr>
      <w:autoSpaceDE w:val="0"/>
      <w:adjustRightInd w:val="0"/>
      <w:spacing w:before="60" w:line="400" w:lineRule="exact"/>
      <w:ind w:firstLine="200" w:firstLineChars="200"/>
    </w:pPr>
    <w:rPr>
      <w:spacing w:val="20"/>
      <w:sz w:val="24"/>
      <w:szCs w:val="24"/>
    </w:rPr>
  </w:style>
  <w:style w:type="character" w:customStyle="1" w:styleId="175">
    <w:name w:val="样式2 Char"/>
    <w:basedOn w:val="109"/>
    <w:link w:val="174"/>
    <w:semiHidden/>
    <w:qFormat/>
    <w:uiPriority w:val="0"/>
    <w:rPr>
      <w:spacing w:val="20"/>
      <w:sz w:val="24"/>
      <w:szCs w:val="24"/>
    </w:rPr>
  </w:style>
  <w:style w:type="character" w:customStyle="1" w:styleId="176">
    <w:name w:val="标题 9 字符"/>
    <w:basedOn w:val="109"/>
    <w:link w:val="10"/>
    <w:semiHidden/>
    <w:qFormat/>
    <w:uiPriority w:val="0"/>
    <w:rPr>
      <w:rFonts w:ascii="Arial" w:hAnsi="Arial" w:eastAsia="黑体"/>
      <w:szCs w:val="21"/>
    </w:rPr>
  </w:style>
  <w:style w:type="character" w:customStyle="1" w:styleId="177">
    <w:name w:val="样式3 Char Char"/>
    <w:basedOn w:val="109"/>
    <w:link w:val="178"/>
    <w:semiHidden/>
    <w:qFormat/>
    <w:uiPriority w:val="0"/>
    <w:rPr>
      <w:b/>
      <w:bCs/>
      <w:color w:val="000000"/>
      <w:spacing w:val="20"/>
      <w:sz w:val="24"/>
      <w:szCs w:val="24"/>
    </w:rPr>
  </w:style>
  <w:style w:type="paragraph" w:customStyle="1" w:styleId="178">
    <w:name w:val="样式3"/>
    <w:basedOn w:val="1"/>
    <w:link w:val="177"/>
    <w:semiHidden/>
    <w:qFormat/>
    <w:uiPriority w:val="0"/>
    <w:pPr>
      <w:spacing w:line="400" w:lineRule="exact"/>
      <w:ind w:firstLine="555"/>
    </w:pPr>
    <w:rPr>
      <w:b/>
      <w:bCs/>
      <w:color w:val="000000"/>
      <w:spacing w:val="20"/>
      <w:sz w:val="24"/>
      <w:szCs w:val="24"/>
    </w:rPr>
  </w:style>
  <w:style w:type="character" w:customStyle="1" w:styleId="179">
    <w:name w:val="样式4 Char Char"/>
    <w:basedOn w:val="109"/>
    <w:semiHidden/>
    <w:qFormat/>
    <w:uiPriority w:val="0"/>
    <w:rPr>
      <w:rFonts w:eastAsia="仿宋_GB2312" w:cs="Times New Roman"/>
      <w:kern w:val="2"/>
      <w:sz w:val="21"/>
      <w:szCs w:val="24"/>
      <w:lang w:val="en-US" w:eastAsia="zh-CN" w:bidi="ar-SA"/>
    </w:rPr>
  </w:style>
  <w:style w:type="paragraph" w:customStyle="1" w:styleId="180">
    <w:name w:val="样式 正文（首行缩进两字） + 左侧:  2 字符1"/>
    <w:basedOn w:val="18"/>
    <w:semiHidden/>
    <w:qFormat/>
    <w:uiPriority w:val="0"/>
    <w:pPr>
      <w:ind w:left="200" w:leftChars="200" w:firstLine="200"/>
    </w:pPr>
    <w:rPr>
      <w:rFonts w:cs="宋体"/>
      <w:spacing w:val="20"/>
      <w:sz w:val="24"/>
    </w:rPr>
  </w:style>
  <w:style w:type="paragraph" w:customStyle="1" w:styleId="181">
    <w:name w:val="表格1"/>
    <w:basedOn w:val="1"/>
    <w:link w:val="2087"/>
    <w:semiHidden/>
    <w:qFormat/>
    <w:uiPriority w:val="0"/>
    <w:rPr>
      <w:sz w:val="24"/>
    </w:rPr>
  </w:style>
  <w:style w:type="paragraph" w:customStyle="1" w:styleId="182">
    <w:name w:val="项目名称"/>
    <w:basedOn w:val="1"/>
    <w:semiHidden/>
    <w:qFormat/>
    <w:uiPriority w:val="0"/>
    <w:pPr>
      <w:jc w:val="center"/>
    </w:pPr>
    <w:rPr>
      <w:rFonts w:cs="Arial"/>
      <w:b/>
      <w:sz w:val="36"/>
      <w:szCs w:val="36"/>
    </w:rPr>
  </w:style>
  <w:style w:type="character" w:customStyle="1" w:styleId="183">
    <w:name w:val="样式17 Char Char"/>
    <w:basedOn w:val="109"/>
    <w:link w:val="184"/>
    <w:semiHidden/>
    <w:qFormat/>
    <w:uiPriority w:val="0"/>
    <w:rPr>
      <w:spacing w:val="20"/>
      <w:sz w:val="24"/>
    </w:rPr>
  </w:style>
  <w:style w:type="paragraph" w:customStyle="1" w:styleId="184">
    <w:name w:val="样式17"/>
    <w:basedOn w:val="1"/>
    <w:link w:val="183"/>
    <w:semiHidden/>
    <w:qFormat/>
    <w:uiPriority w:val="0"/>
    <w:pPr>
      <w:spacing w:line="400" w:lineRule="exact"/>
      <w:ind w:firstLine="200" w:firstLineChars="200"/>
    </w:pPr>
    <w:rPr>
      <w:spacing w:val="20"/>
      <w:sz w:val="24"/>
    </w:rPr>
  </w:style>
  <w:style w:type="paragraph" w:customStyle="1" w:styleId="185">
    <w:name w:val="Char Char Char Char Char Char Char Char Char"/>
    <w:basedOn w:val="1"/>
    <w:semiHidden/>
    <w:qFormat/>
    <w:uiPriority w:val="0"/>
    <w:rPr>
      <w:szCs w:val="24"/>
    </w:rPr>
  </w:style>
  <w:style w:type="character" w:customStyle="1" w:styleId="186">
    <w:name w:val="可研正文 Char"/>
    <w:basedOn w:val="109"/>
    <w:link w:val="187"/>
    <w:semiHidden/>
    <w:qFormat/>
    <w:uiPriority w:val="0"/>
    <w:rPr>
      <w:rFonts w:ascii="Arial Unicode MS" w:hAnsi="Arial Unicode MS"/>
      <w:color w:val="0000FF"/>
      <w:spacing w:val="2"/>
      <w:szCs w:val="24"/>
    </w:rPr>
  </w:style>
  <w:style w:type="paragraph" w:customStyle="1" w:styleId="187">
    <w:name w:val="可研正文"/>
    <w:basedOn w:val="29"/>
    <w:link w:val="186"/>
    <w:semiHidden/>
    <w:qFormat/>
    <w:uiPriority w:val="0"/>
    <w:pPr>
      <w:spacing w:afterLines="50" w:line="360" w:lineRule="auto"/>
      <w:ind w:firstLine="420" w:firstLineChars="200"/>
    </w:pPr>
    <w:rPr>
      <w:rFonts w:ascii="Arial Unicode MS" w:hAnsi="Arial Unicode MS"/>
      <w:color w:val="0000FF"/>
      <w:spacing w:val="2"/>
      <w:szCs w:val="24"/>
    </w:rPr>
  </w:style>
  <w:style w:type="paragraph" w:customStyle="1" w:styleId="188">
    <w:name w:val="表后空行格式"/>
    <w:basedOn w:val="130"/>
    <w:semiHidden/>
    <w:qFormat/>
    <w:uiPriority w:val="0"/>
    <w:pPr>
      <w:widowControl w:val="0"/>
      <w:spacing w:line="240" w:lineRule="exact"/>
      <w:ind w:firstLine="0" w:firstLineChars="0"/>
      <w:jc w:val="both"/>
    </w:pPr>
    <w:rPr>
      <w:spacing w:val="8"/>
      <w:sz w:val="18"/>
    </w:rPr>
  </w:style>
  <w:style w:type="character" w:customStyle="1" w:styleId="189">
    <w:name w:val="样式0001 Char"/>
    <w:basedOn w:val="109"/>
    <w:link w:val="190"/>
    <w:semiHidden/>
    <w:qFormat/>
    <w:uiPriority w:val="0"/>
    <w:rPr>
      <w:rFonts w:ascii="幼圆" w:hAnsi="宋体"/>
      <w:szCs w:val="21"/>
    </w:rPr>
  </w:style>
  <w:style w:type="paragraph" w:customStyle="1" w:styleId="190">
    <w:name w:val="样式0001"/>
    <w:basedOn w:val="1"/>
    <w:link w:val="189"/>
    <w:semiHidden/>
    <w:qFormat/>
    <w:uiPriority w:val="0"/>
    <w:pPr>
      <w:spacing w:line="0" w:lineRule="atLeast"/>
    </w:pPr>
    <w:rPr>
      <w:rFonts w:ascii="幼圆" w:hAnsi="宋体"/>
      <w:szCs w:val="21"/>
    </w:rPr>
  </w:style>
  <w:style w:type="character" w:customStyle="1" w:styleId="191">
    <w:name w:val="表格后空行 Char Char"/>
    <w:basedOn w:val="109"/>
    <w:link w:val="192"/>
    <w:semiHidden/>
    <w:qFormat/>
    <w:uiPriority w:val="0"/>
    <w:rPr>
      <w:rFonts w:ascii="黑体" w:hAnsi="黑体" w:eastAsia="黑体"/>
      <w:color w:val="000000"/>
      <w:szCs w:val="21"/>
      <w:u w:color="000000"/>
      <w:lang w:val="zh-CN"/>
    </w:rPr>
  </w:style>
  <w:style w:type="paragraph" w:customStyle="1" w:styleId="192">
    <w:name w:val="表格后空行"/>
    <w:basedOn w:val="1"/>
    <w:link w:val="191"/>
    <w:semiHidden/>
    <w:qFormat/>
    <w:uiPriority w:val="0"/>
    <w:pPr>
      <w:spacing w:line="240" w:lineRule="exact"/>
      <w:ind w:firstLine="420"/>
      <w:textAlignment w:val="baseline"/>
    </w:pPr>
    <w:rPr>
      <w:rFonts w:ascii="黑体" w:hAnsi="黑体" w:eastAsia="黑体"/>
      <w:color w:val="000000"/>
      <w:szCs w:val="21"/>
      <w:u w:color="000000"/>
      <w:lang w:val="zh-CN"/>
    </w:rPr>
  </w:style>
  <w:style w:type="paragraph" w:customStyle="1" w:styleId="193">
    <w:name w:val="表头 Char Char Char"/>
    <w:basedOn w:val="19"/>
    <w:next w:val="1"/>
    <w:semiHidden/>
    <w:qFormat/>
    <w:uiPriority w:val="0"/>
    <w:pPr>
      <w:adjustRightInd w:val="0"/>
      <w:spacing w:line="360" w:lineRule="auto"/>
      <w:textAlignment w:val="center"/>
    </w:pPr>
    <w:rPr>
      <w:rFonts w:ascii="黑体"/>
      <w:sz w:val="24"/>
    </w:rPr>
  </w:style>
  <w:style w:type="character" w:customStyle="1" w:styleId="194">
    <w:name w:val="纯文本 字符1"/>
    <w:basedOn w:val="109"/>
    <w:link w:val="40"/>
    <w:semiHidden/>
    <w:qFormat/>
    <w:uiPriority w:val="0"/>
    <w:rPr>
      <w:rFonts w:ascii="黑体" w:hAnsi="宋体" w:eastAsia="黑体"/>
      <w:b/>
      <w:sz w:val="44"/>
      <w:szCs w:val="44"/>
    </w:rPr>
  </w:style>
  <w:style w:type="character" w:customStyle="1" w:styleId="195">
    <w:name w:val="Heading 2 Hidden Char"/>
    <w:basedOn w:val="109"/>
    <w:semiHidden/>
    <w:qFormat/>
    <w:uiPriority w:val="0"/>
    <w:rPr>
      <w:rFonts w:eastAsia="宋体"/>
      <w:b/>
      <w:spacing w:val="20"/>
      <w:sz w:val="24"/>
      <w:szCs w:val="24"/>
      <w:lang w:val="en-US" w:eastAsia="zh-CN" w:bidi="ar-SA"/>
    </w:rPr>
  </w:style>
  <w:style w:type="paragraph" w:customStyle="1" w:styleId="196">
    <w:name w:val="样式6"/>
    <w:basedOn w:val="40"/>
    <w:semiHidden/>
    <w:qFormat/>
    <w:uiPriority w:val="0"/>
    <w:pPr>
      <w:tabs>
        <w:tab w:val="left" w:pos="-280"/>
        <w:tab w:val="left" w:pos="-220"/>
      </w:tabs>
    </w:pPr>
    <w:rPr>
      <w:rFonts w:ascii="Times New Roman" w:hAnsi="Times New Roman" w:eastAsia="宋体"/>
      <w:b w:val="0"/>
      <w:sz w:val="24"/>
      <w:szCs w:val="20"/>
    </w:rPr>
  </w:style>
  <w:style w:type="character" w:customStyle="1" w:styleId="197">
    <w:name w:val="改性沥青正文1 Char"/>
    <w:basedOn w:val="109"/>
    <w:link w:val="198"/>
    <w:semiHidden/>
    <w:qFormat/>
    <w:uiPriority w:val="0"/>
    <w:rPr>
      <w:rFonts w:ascii="宋体" w:hAnsi="宋体"/>
      <w:color w:val="FF0000"/>
      <w:sz w:val="24"/>
      <w:szCs w:val="24"/>
    </w:rPr>
  </w:style>
  <w:style w:type="paragraph" w:customStyle="1" w:styleId="198">
    <w:name w:val="改性沥青正文1"/>
    <w:basedOn w:val="1"/>
    <w:link w:val="197"/>
    <w:semiHidden/>
    <w:qFormat/>
    <w:uiPriority w:val="0"/>
    <w:pPr>
      <w:adjustRightInd w:val="0"/>
      <w:snapToGrid w:val="0"/>
      <w:spacing w:line="560" w:lineRule="exact"/>
      <w:ind w:firstLine="482"/>
      <w:textAlignment w:val="baseline"/>
    </w:pPr>
    <w:rPr>
      <w:rFonts w:ascii="宋体" w:hAnsi="宋体"/>
      <w:color w:val="FF0000"/>
      <w:sz w:val="24"/>
      <w:szCs w:val="24"/>
    </w:rPr>
  </w:style>
  <w:style w:type="character" w:customStyle="1" w:styleId="199">
    <w:name w:val="样式 标题1 Char"/>
    <w:basedOn w:val="109"/>
    <w:link w:val="162"/>
    <w:semiHidden/>
    <w:qFormat/>
    <w:uiPriority w:val="0"/>
    <w:rPr>
      <w:rFonts w:ascii="黑体" w:eastAsia="隶书"/>
      <w:b/>
      <w:bCs/>
      <w:sz w:val="48"/>
    </w:rPr>
  </w:style>
  <w:style w:type="paragraph" w:customStyle="1" w:styleId="200">
    <w:name w:val="二级标题！！！"/>
    <w:basedOn w:val="1"/>
    <w:semiHidden/>
    <w:qFormat/>
    <w:uiPriority w:val="0"/>
    <w:pPr>
      <w:spacing w:line="500" w:lineRule="exact"/>
      <w:outlineLvl w:val="1"/>
    </w:pPr>
    <w:rPr>
      <w:rFonts w:ascii="楷体_GB2312" w:hAnsi="宋体" w:eastAsia="楷体_GB2312"/>
      <w:b/>
      <w:sz w:val="28"/>
      <w:szCs w:val="24"/>
    </w:rPr>
  </w:style>
  <w:style w:type="paragraph" w:customStyle="1" w:styleId="201">
    <w:name w:val="正文！"/>
    <w:basedOn w:val="1"/>
    <w:semiHidden/>
    <w:qFormat/>
    <w:uiPriority w:val="0"/>
    <w:pPr>
      <w:spacing w:line="500" w:lineRule="exact"/>
      <w:ind w:firstLine="482"/>
    </w:pPr>
    <w:rPr>
      <w:rFonts w:ascii="楷体_GB2312" w:eastAsia="楷体_GB2312" w:cs="宋体"/>
      <w:sz w:val="24"/>
    </w:rPr>
  </w:style>
  <w:style w:type="paragraph" w:customStyle="1" w:styleId="202">
    <w:name w:val="三级标题！！！"/>
    <w:basedOn w:val="200"/>
    <w:semiHidden/>
    <w:qFormat/>
    <w:uiPriority w:val="0"/>
    <w:pPr>
      <w:outlineLvl w:val="2"/>
    </w:pPr>
    <w:rPr>
      <w:sz w:val="24"/>
      <w:szCs w:val="28"/>
    </w:rPr>
  </w:style>
  <w:style w:type="character" w:customStyle="1" w:styleId="203">
    <w:name w:val="正文缩进 字符1"/>
    <w:basedOn w:val="109"/>
    <w:link w:val="18"/>
    <w:semiHidden/>
    <w:qFormat/>
    <w:uiPriority w:val="0"/>
  </w:style>
  <w:style w:type="paragraph" w:customStyle="1" w:styleId="204">
    <w:name w:val="正文 楷体"/>
    <w:basedOn w:val="1"/>
    <w:link w:val="205"/>
    <w:semiHidden/>
    <w:qFormat/>
    <w:uiPriority w:val="0"/>
    <w:pPr>
      <w:spacing w:line="500" w:lineRule="exact"/>
      <w:ind w:firstLine="200" w:firstLineChars="200"/>
    </w:pPr>
    <w:rPr>
      <w:rFonts w:ascii="楷体_GB2312" w:hAnsi="楷体_GB2312" w:eastAsia="楷体_GB2312" w:cs="宋体"/>
      <w:sz w:val="24"/>
      <w:szCs w:val="24"/>
    </w:rPr>
  </w:style>
  <w:style w:type="character" w:customStyle="1" w:styleId="205">
    <w:name w:val="正文 楷体 Char"/>
    <w:basedOn w:val="109"/>
    <w:link w:val="204"/>
    <w:semiHidden/>
    <w:qFormat/>
    <w:uiPriority w:val="0"/>
    <w:rPr>
      <w:rFonts w:ascii="楷体_GB2312" w:hAnsi="楷体_GB2312" w:eastAsia="楷体_GB2312" w:cs="宋体"/>
      <w:sz w:val="24"/>
      <w:szCs w:val="24"/>
    </w:rPr>
  </w:style>
  <w:style w:type="character" w:customStyle="1" w:styleId="206">
    <w:name w:val="H9 Char"/>
    <w:basedOn w:val="109"/>
    <w:semiHidden/>
    <w:qFormat/>
    <w:uiPriority w:val="0"/>
    <w:rPr>
      <w:rFonts w:ascii="Cambria" w:hAnsi="Cambria" w:eastAsia="宋体" w:cs="Times New Roman"/>
      <w:i/>
      <w:iCs/>
      <w:color w:val="404040"/>
      <w:kern w:val="0"/>
      <w:sz w:val="20"/>
      <w:szCs w:val="20"/>
      <w:lang w:eastAsia="en-US" w:bidi="en-US"/>
    </w:rPr>
  </w:style>
  <w:style w:type="paragraph" w:customStyle="1" w:styleId="207">
    <w:name w:val="表"/>
    <w:basedOn w:val="1"/>
    <w:semiHidden/>
    <w:qFormat/>
    <w:uiPriority w:val="0"/>
    <w:pPr>
      <w:jc w:val="center"/>
    </w:pPr>
    <w:rPr>
      <w:sz w:val="24"/>
      <w:szCs w:val="24"/>
    </w:rPr>
  </w:style>
  <w:style w:type="paragraph" w:customStyle="1" w:styleId="208">
    <w:name w:val="表格文字5号"/>
    <w:basedOn w:val="1"/>
    <w:semiHidden/>
    <w:qFormat/>
    <w:uiPriority w:val="0"/>
    <w:pPr>
      <w:jc w:val="center"/>
    </w:pPr>
    <w:rPr>
      <w:rFonts w:ascii="宋体" w:hAnsi="宋体"/>
      <w:szCs w:val="28"/>
    </w:rPr>
  </w:style>
  <w:style w:type="character" w:customStyle="1" w:styleId="209">
    <w:name w:val="正文A Char"/>
    <w:basedOn w:val="109"/>
    <w:link w:val="210"/>
    <w:semiHidden/>
    <w:qFormat/>
    <w:uiPriority w:val="0"/>
    <w:rPr>
      <w:rFonts w:ascii="华文仿宋" w:hAnsi="华文仿宋"/>
      <w:sz w:val="24"/>
      <w:szCs w:val="24"/>
    </w:rPr>
  </w:style>
  <w:style w:type="paragraph" w:customStyle="1" w:styleId="210">
    <w:name w:val="正文A"/>
    <w:basedOn w:val="1"/>
    <w:link w:val="209"/>
    <w:semiHidden/>
    <w:qFormat/>
    <w:uiPriority w:val="0"/>
    <w:pPr>
      <w:spacing w:line="500" w:lineRule="exact"/>
      <w:ind w:firstLine="480" w:firstLineChars="200"/>
    </w:pPr>
    <w:rPr>
      <w:rFonts w:ascii="华文仿宋" w:hAnsi="华文仿宋"/>
      <w:sz w:val="24"/>
      <w:szCs w:val="24"/>
    </w:rPr>
  </w:style>
  <w:style w:type="character" w:customStyle="1" w:styleId="211">
    <w:name w:val="表后空格 Char"/>
    <w:basedOn w:val="109"/>
    <w:link w:val="212"/>
    <w:semiHidden/>
    <w:qFormat/>
    <w:uiPriority w:val="0"/>
    <w:rPr>
      <w:rFonts w:ascii="楷体_GB2312" w:hAnsi="楷体_GB2312" w:eastAsia="楷体_GB2312" w:cs="宋体"/>
      <w:kern w:val="28"/>
      <w:sz w:val="24"/>
      <w:szCs w:val="22"/>
    </w:rPr>
  </w:style>
  <w:style w:type="paragraph" w:customStyle="1" w:styleId="212">
    <w:name w:val="表后空格"/>
    <w:basedOn w:val="204"/>
    <w:link w:val="211"/>
    <w:semiHidden/>
    <w:qFormat/>
    <w:uiPriority w:val="0"/>
    <w:pPr>
      <w:spacing w:line="240" w:lineRule="exact"/>
      <w:ind w:firstLine="480"/>
    </w:pPr>
    <w:rPr>
      <w:kern w:val="28"/>
      <w:szCs w:val="22"/>
    </w:rPr>
  </w:style>
  <w:style w:type="paragraph" w:customStyle="1" w:styleId="213">
    <w:name w:val="表头！！！"/>
    <w:basedOn w:val="1"/>
    <w:semiHidden/>
    <w:qFormat/>
    <w:uiPriority w:val="0"/>
    <w:pPr>
      <w:spacing w:line="500" w:lineRule="exact"/>
      <w:jc w:val="center"/>
    </w:pPr>
    <w:rPr>
      <w:rFonts w:ascii="楷体_GB2312" w:hAnsi="楷体_GB2312" w:eastAsia="楷体_GB2312" w:cs="楷体_GB2312"/>
      <w:b/>
      <w:sz w:val="24"/>
    </w:rPr>
  </w:style>
  <w:style w:type="character" w:customStyle="1" w:styleId="214">
    <w:name w:val="表头格式 Char"/>
    <w:basedOn w:val="109"/>
    <w:link w:val="215"/>
    <w:semiHidden/>
    <w:qFormat/>
    <w:uiPriority w:val="0"/>
    <w:rPr>
      <w:rFonts w:ascii="黑体" w:hAnsi="宋体" w:eastAsia="黑体"/>
      <w:b/>
      <w:sz w:val="24"/>
      <w:szCs w:val="24"/>
    </w:rPr>
  </w:style>
  <w:style w:type="paragraph" w:customStyle="1" w:styleId="215">
    <w:name w:val="表头格式"/>
    <w:basedOn w:val="1"/>
    <w:link w:val="214"/>
    <w:semiHidden/>
    <w:qFormat/>
    <w:uiPriority w:val="0"/>
    <w:pPr>
      <w:spacing w:line="360" w:lineRule="auto"/>
      <w:jc w:val="center"/>
    </w:pPr>
    <w:rPr>
      <w:rFonts w:ascii="黑体" w:hAnsi="宋体" w:eastAsia="黑体"/>
      <w:b/>
      <w:sz w:val="24"/>
      <w:szCs w:val="24"/>
    </w:rPr>
  </w:style>
  <w:style w:type="character" w:customStyle="1" w:styleId="216">
    <w:name w:val="正文格式 Char"/>
    <w:basedOn w:val="109"/>
    <w:semiHidden/>
    <w:qFormat/>
    <w:uiPriority w:val="0"/>
    <w:rPr>
      <w:rFonts w:ascii="宋体" w:hAnsi="宋体" w:eastAsia="宋体"/>
      <w:bCs/>
      <w:color w:val="000000"/>
      <w:kern w:val="2"/>
      <w:sz w:val="24"/>
      <w:szCs w:val="26"/>
      <w:lang w:val="en-US" w:eastAsia="zh-CN" w:bidi="ar-SA"/>
    </w:rPr>
  </w:style>
  <w:style w:type="paragraph" w:customStyle="1" w:styleId="217">
    <w:name w:val="环评 正文"/>
    <w:basedOn w:val="70"/>
    <w:link w:val="229"/>
    <w:qFormat/>
    <w:uiPriority w:val="0"/>
    <w:pPr>
      <w:spacing w:after="100" w:afterAutospacing="1" w:line="360" w:lineRule="auto"/>
      <w:ind w:firstLine="480" w:firstLineChars="200"/>
    </w:pPr>
    <w:rPr>
      <w:rFonts w:ascii="宋体" w:hAnsi="宋体"/>
      <w:sz w:val="24"/>
      <w:szCs w:val="24"/>
    </w:rPr>
  </w:style>
  <w:style w:type="paragraph" w:customStyle="1" w:styleId="218">
    <w:name w:val="表中文字"/>
    <w:basedOn w:val="1"/>
    <w:link w:val="2354"/>
    <w:semiHidden/>
    <w:qFormat/>
    <w:uiPriority w:val="0"/>
    <w:pPr>
      <w:snapToGrid w:val="0"/>
      <w:spacing w:line="360" w:lineRule="exact"/>
      <w:jc w:val="center"/>
      <w:textAlignment w:val="center"/>
    </w:pPr>
    <w:rPr>
      <w:rFonts w:ascii="宋体" w:hAnsi="宋体" w:cs="宋体"/>
      <w:color w:val="000000"/>
      <w:szCs w:val="21"/>
    </w:rPr>
  </w:style>
  <w:style w:type="character" w:customStyle="1" w:styleId="219">
    <w:name w:val="页眉 字符"/>
    <w:basedOn w:val="109"/>
    <w:link w:val="51"/>
    <w:semiHidden/>
    <w:qFormat/>
    <w:uiPriority w:val="0"/>
    <w:rPr>
      <w:sz w:val="18"/>
      <w:szCs w:val="18"/>
    </w:rPr>
  </w:style>
  <w:style w:type="character" w:customStyle="1" w:styleId="220">
    <w:name w:val="页脚 字符1"/>
    <w:basedOn w:val="109"/>
    <w:link w:val="49"/>
    <w:semiHidden/>
    <w:qFormat/>
    <w:uiPriority w:val="99"/>
    <w:rPr>
      <w:sz w:val="18"/>
      <w:szCs w:val="18"/>
    </w:rPr>
  </w:style>
  <w:style w:type="character" w:customStyle="1" w:styleId="221">
    <w:name w:val="正文文本 2 字符"/>
    <w:basedOn w:val="109"/>
    <w:link w:val="70"/>
    <w:semiHidden/>
    <w:qFormat/>
    <w:uiPriority w:val="0"/>
  </w:style>
  <w:style w:type="paragraph" w:customStyle="1" w:styleId="222">
    <w:name w:val="表头001"/>
    <w:basedOn w:val="75"/>
    <w:semiHidden/>
    <w:qFormat/>
    <w:uiPriority w:val="0"/>
    <w:pPr>
      <w:snapToGrid w:val="0"/>
      <w:spacing w:line="360" w:lineRule="auto"/>
      <w:jc w:val="center"/>
    </w:pPr>
    <w:rPr>
      <w:b/>
      <w:color w:val="000000"/>
    </w:rPr>
  </w:style>
  <w:style w:type="paragraph" w:customStyle="1" w:styleId="223">
    <w:name w:val="Char12"/>
    <w:basedOn w:val="1"/>
    <w:semiHidden/>
    <w:qFormat/>
    <w:uiPriority w:val="0"/>
    <w:rPr>
      <w:szCs w:val="24"/>
    </w:rPr>
  </w:style>
  <w:style w:type="paragraph" w:customStyle="1" w:styleId="224">
    <w:name w:val="Char Char Char Char Char Char Char Char Char2"/>
    <w:basedOn w:val="1"/>
    <w:semiHidden/>
    <w:qFormat/>
    <w:uiPriority w:val="0"/>
    <w:rPr>
      <w:szCs w:val="24"/>
    </w:rPr>
  </w:style>
  <w:style w:type="character" w:customStyle="1" w:styleId="225">
    <w:name w:val="正文-ls Char Char"/>
    <w:basedOn w:val="109"/>
    <w:link w:val="226"/>
    <w:semiHidden/>
    <w:qFormat/>
    <w:uiPriority w:val="0"/>
    <w:rPr>
      <w:rFonts w:hAnsi="宋体"/>
      <w:sz w:val="24"/>
      <w:szCs w:val="24"/>
    </w:rPr>
  </w:style>
  <w:style w:type="paragraph" w:customStyle="1" w:styleId="226">
    <w:name w:val="正文-ls"/>
    <w:basedOn w:val="1"/>
    <w:link w:val="225"/>
    <w:semiHidden/>
    <w:qFormat/>
    <w:uiPriority w:val="0"/>
    <w:pPr>
      <w:spacing w:line="360" w:lineRule="auto"/>
      <w:ind w:firstLine="200" w:firstLineChars="200"/>
    </w:pPr>
    <w:rPr>
      <w:rFonts w:hAnsi="宋体"/>
      <w:sz w:val="24"/>
      <w:szCs w:val="24"/>
    </w:rPr>
  </w:style>
  <w:style w:type="character" w:customStyle="1" w:styleId="227">
    <w:name w:val="表格 Char"/>
    <w:basedOn w:val="109"/>
    <w:link w:val="228"/>
    <w:semiHidden/>
    <w:qFormat/>
    <w:uiPriority w:val="0"/>
    <w:rPr>
      <w:rFonts w:ascii="宋体" w:cs="宋体"/>
      <w:sz w:val="24"/>
      <w:szCs w:val="24"/>
    </w:rPr>
  </w:style>
  <w:style w:type="paragraph" w:customStyle="1" w:styleId="228">
    <w:name w:val="表格"/>
    <w:basedOn w:val="1"/>
    <w:next w:val="1"/>
    <w:link w:val="227"/>
    <w:semiHidden/>
    <w:qFormat/>
    <w:uiPriority w:val="0"/>
    <w:pPr>
      <w:adjustRightInd w:val="0"/>
      <w:snapToGrid w:val="0"/>
      <w:spacing w:line="300" w:lineRule="exact"/>
      <w:jc w:val="center"/>
    </w:pPr>
    <w:rPr>
      <w:rFonts w:ascii="宋体" w:cs="宋体"/>
      <w:sz w:val="24"/>
      <w:szCs w:val="24"/>
    </w:rPr>
  </w:style>
  <w:style w:type="character" w:customStyle="1" w:styleId="229">
    <w:name w:val="环评 正文 Char Char"/>
    <w:basedOn w:val="109"/>
    <w:link w:val="217"/>
    <w:qFormat/>
    <w:uiPriority w:val="0"/>
    <w:rPr>
      <w:rFonts w:ascii="宋体" w:hAnsi="宋体"/>
      <w:sz w:val="24"/>
      <w:szCs w:val="24"/>
    </w:rPr>
  </w:style>
  <w:style w:type="character" w:customStyle="1" w:styleId="230">
    <w:name w:val="报告书正文 Char"/>
    <w:basedOn w:val="109"/>
    <w:link w:val="231"/>
    <w:semiHidden/>
    <w:qFormat/>
    <w:uiPriority w:val="0"/>
    <w:rPr>
      <w:sz w:val="24"/>
      <w:szCs w:val="24"/>
    </w:rPr>
  </w:style>
  <w:style w:type="paragraph" w:customStyle="1" w:styleId="231">
    <w:name w:val="报告书正文"/>
    <w:basedOn w:val="1"/>
    <w:link w:val="230"/>
    <w:semiHidden/>
    <w:qFormat/>
    <w:uiPriority w:val="0"/>
    <w:pPr>
      <w:spacing w:line="360" w:lineRule="auto"/>
      <w:ind w:firstLine="480" w:firstLineChars="200"/>
    </w:pPr>
    <w:rPr>
      <w:sz w:val="24"/>
      <w:szCs w:val="24"/>
    </w:rPr>
  </w:style>
  <w:style w:type="paragraph" w:customStyle="1" w:styleId="232">
    <w:name w:val="兴化美联表头"/>
    <w:basedOn w:val="1"/>
    <w:semiHidden/>
    <w:qFormat/>
    <w:uiPriority w:val="0"/>
    <w:pPr>
      <w:spacing w:line="560" w:lineRule="exact"/>
      <w:ind w:firstLine="720" w:firstLineChars="200"/>
      <w:jc w:val="center"/>
    </w:pPr>
    <w:rPr>
      <w:rFonts w:ascii="黑体" w:hAnsi="宋体" w:eastAsia="黑体" w:cs="宋体"/>
      <w:sz w:val="24"/>
      <w:szCs w:val="24"/>
    </w:rPr>
  </w:style>
  <w:style w:type="character" w:customStyle="1" w:styleId="233">
    <w:name w:val="Default Char"/>
    <w:basedOn w:val="109"/>
    <w:link w:val="62"/>
    <w:semiHidden/>
    <w:qFormat/>
    <w:uiPriority w:val="0"/>
    <w:rPr>
      <w:rFonts w:ascii="宋体"/>
      <w:color w:val="000000"/>
      <w:sz w:val="24"/>
      <w:szCs w:val="24"/>
    </w:rPr>
  </w:style>
  <w:style w:type="paragraph" w:customStyle="1" w:styleId="234">
    <w:name w:val="标题四A"/>
    <w:basedOn w:val="5"/>
    <w:link w:val="235"/>
    <w:semiHidden/>
    <w:qFormat/>
    <w:uiPriority w:val="0"/>
    <w:pPr>
      <w:keepNext w:val="0"/>
      <w:keepLines w:val="0"/>
      <w:numPr>
        <w:ilvl w:val="0"/>
        <w:numId w:val="0"/>
      </w:numPr>
      <w:spacing w:line="500" w:lineRule="exact"/>
    </w:pPr>
    <w:rPr>
      <w:rFonts w:ascii="宋体" w:hAnsi="宋体"/>
      <w:sz w:val="28"/>
    </w:rPr>
  </w:style>
  <w:style w:type="character" w:customStyle="1" w:styleId="235">
    <w:name w:val="标题四A Char"/>
    <w:basedOn w:val="109"/>
    <w:link w:val="234"/>
    <w:semiHidden/>
    <w:qFormat/>
    <w:uiPriority w:val="0"/>
    <w:rPr>
      <w:rFonts w:ascii="宋体" w:hAnsi="宋体"/>
      <w:b/>
      <w:bCs/>
      <w:color w:val="000000" w:themeColor="text1"/>
      <w:sz w:val="28"/>
      <w:szCs w:val="28"/>
      <w14:textFill>
        <w14:solidFill>
          <w14:schemeClr w14:val="tx1"/>
        </w14:solidFill>
      </w14:textFill>
    </w:rPr>
  </w:style>
  <w:style w:type="paragraph" w:customStyle="1" w:styleId="236">
    <w:name w:val="_Style 30"/>
    <w:basedOn w:val="1"/>
    <w:semiHidden/>
    <w:qFormat/>
    <w:uiPriority w:val="0"/>
    <w:rPr>
      <w:rFonts w:ascii="宋体" w:hAnsi="宋体" w:cs="宋体"/>
      <w:sz w:val="24"/>
      <w:szCs w:val="24"/>
    </w:rPr>
  </w:style>
  <w:style w:type="paragraph" w:customStyle="1" w:styleId="237">
    <w:name w:val="5文章(治)"/>
    <w:basedOn w:val="1"/>
    <w:semiHidden/>
    <w:qFormat/>
    <w:uiPriority w:val="0"/>
    <w:pPr>
      <w:spacing w:line="360" w:lineRule="auto"/>
      <w:ind w:firstLine="560" w:firstLineChars="200"/>
    </w:pPr>
    <w:rPr>
      <w:rFonts w:eastAsia="楷体_GB2312"/>
      <w:sz w:val="28"/>
    </w:rPr>
  </w:style>
  <w:style w:type="paragraph" w:customStyle="1" w:styleId="238">
    <w:name w:val="表居中（中文）"/>
    <w:basedOn w:val="1"/>
    <w:semiHidden/>
    <w:qFormat/>
    <w:uiPriority w:val="0"/>
    <w:pPr>
      <w:adjustRightInd w:val="0"/>
      <w:spacing w:line="380" w:lineRule="atLeast"/>
      <w:jc w:val="center"/>
      <w:textAlignment w:val="baseline"/>
    </w:pPr>
    <w:rPr>
      <w:rFonts w:eastAsia="楷体_GB2312"/>
    </w:rPr>
  </w:style>
  <w:style w:type="paragraph" w:customStyle="1" w:styleId="239">
    <w:name w:val="表格内容（中文）"/>
    <w:basedOn w:val="1"/>
    <w:semiHidden/>
    <w:qFormat/>
    <w:uiPriority w:val="0"/>
    <w:pPr>
      <w:adjustRightInd w:val="0"/>
      <w:spacing w:line="380" w:lineRule="atLeast"/>
      <w:ind w:left="113"/>
      <w:textAlignment w:val="baseline"/>
    </w:pPr>
    <w:rPr>
      <w:rFonts w:eastAsia="楷体_GB2312"/>
    </w:rPr>
  </w:style>
  <w:style w:type="character" w:customStyle="1" w:styleId="240">
    <w:name w:val="表头A Char"/>
    <w:basedOn w:val="109"/>
    <w:link w:val="241"/>
    <w:semiHidden/>
    <w:qFormat/>
    <w:uiPriority w:val="0"/>
    <w:rPr>
      <w:b/>
      <w:sz w:val="24"/>
      <w:szCs w:val="24"/>
    </w:rPr>
  </w:style>
  <w:style w:type="paragraph" w:customStyle="1" w:styleId="241">
    <w:name w:val="表头A"/>
    <w:basedOn w:val="1"/>
    <w:link w:val="240"/>
    <w:semiHidden/>
    <w:qFormat/>
    <w:uiPriority w:val="0"/>
    <w:pPr>
      <w:spacing w:line="400" w:lineRule="exact"/>
      <w:jc w:val="center"/>
    </w:pPr>
    <w:rPr>
      <w:b/>
      <w:sz w:val="24"/>
      <w:szCs w:val="24"/>
    </w:rPr>
  </w:style>
  <w:style w:type="paragraph" w:customStyle="1" w:styleId="242">
    <w:name w:val="样式 首行缩进:  2 字符"/>
    <w:basedOn w:val="1"/>
    <w:link w:val="243"/>
    <w:semiHidden/>
    <w:qFormat/>
    <w:uiPriority w:val="0"/>
    <w:pPr>
      <w:spacing w:line="520" w:lineRule="exact"/>
      <w:ind w:firstLine="200" w:firstLineChars="200"/>
    </w:pPr>
    <w:rPr>
      <w:rFonts w:eastAsia="仿宋_GB2312"/>
      <w:sz w:val="24"/>
    </w:rPr>
  </w:style>
  <w:style w:type="character" w:customStyle="1" w:styleId="243">
    <w:name w:val="样式 首行缩进:  2 字符 Char Char"/>
    <w:basedOn w:val="109"/>
    <w:link w:val="242"/>
    <w:semiHidden/>
    <w:qFormat/>
    <w:uiPriority w:val="0"/>
    <w:rPr>
      <w:rFonts w:eastAsia="仿宋_GB2312"/>
      <w:sz w:val="24"/>
    </w:rPr>
  </w:style>
  <w:style w:type="paragraph" w:customStyle="1" w:styleId="244">
    <w:name w:val="表格样式"/>
    <w:basedOn w:val="1"/>
    <w:semiHidden/>
    <w:qFormat/>
    <w:uiPriority w:val="0"/>
    <w:pPr>
      <w:spacing w:line="460" w:lineRule="exact"/>
      <w:jc w:val="center"/>
    </w:pPr>
    <w:rPr>
      <w:rFonts w:ascii="宋体"/>
      <w:sz w:val="24"/>
      <w:szCs w:val="24"/>
    </w:rPr>
  </w:style>
  <w:style w:type="paragraph" w:customStyle="1" w:styleId="245">
    <w:name w:val="表头"/>
    <w:basedOn w:val="1"/>
    <w:link w:val="246"/>
    <w:semiHidden/>
    <w:qFormat/>
    <w:uiPriority w:val="0"/>
    <w:pPr>
      <w:spacing w:line="320" w:lineRule="atLeast"/>
      <w:jc w:val="center"/>
    </w:pPr>
    <w:rPr>
      <w:rFonts w:eastAsia="黑体"/>
      <w:spacing w:val="-10"/>
      <w:szCs w:val="11"/>
    </w:rPr>
  </w:style>
  <w:style w:type="character" w:customStyle="1" w:styleId="246">
    <w:name w:val="表头 Char2"/>
    <w:basedOn w:val="109"/>
    <w:link w:val="245"/>
    <w:semiHidden/>
    <w:qFormat/>
    <w:uiPriority w:val="0"/>
    <w:rPr>
      <w:rFonts w:eastAsia="黑体"/>
      <w:spacing w:val="-10"/>
      <w:szCs w:val="11"/>
    </w:rPr>
  </w:style>
  <w:style w:type="paragraph" w:customStyle="1" w:styleId="247">
    <w:name w:val="表头1"/>
    <w:basedOn w:val="1"/>
    <w:next w:val="1"/>
    <w:link w:val="248"/>
    <w:semiHidden/>
    <w:qFormat/>
    <w:uiPriority w:val="0"/>
    <w:pPr>
      <w:tabs>
        <w:tab w:val="left" w:pos="605"/>
      </w:tabs>
      <w:adjustRightInd w:val="0"/>
      <w:snapToGrid w:val="0"/>
      <w:ind w:firstLine="480" w:firstLineChars="200"/>
      <w:jc w:val="center"/>
    </w:pPr>
    <w:rPr>
      <w:rFonts w:eastAsia="黑体"/>
      <w:sz w:val="24"/>
      <w:szCs w:val="24"/>
    </w:rPr>
  </w:style>
  <w:style w:type="character" w:customStyle="1" w:styleId="248">
    <w:name w:val="表头1 Char"/>
    <w:basedOn w:val="109"/>
    <w:link w:val="247"/>
    <w:semiHidden/>
    <w:qFormat/>
    <w:uiPriority w:val="0"/>
    <w:rPr>
      <w:rFonts w:eastAsia="黑体"/>
      <w:sz w:val="24"/>
      <w:szCs w:val="24"/>
    </w:rPr>
  </w:style>
  <w:style w:type="character" w:customStyle="1" w:styleId="249">
    <w:name w:val="正文文本缩进 字符"/>
    <w:basedOn w:val="109"/>
    <w:link w:val="30"/>
    <w:semiHidden/>
    <w:qFormat/>
    <w:uiPriority w:val="0"/>
  </w:style>
  <w:style w:type="paragraph" w:customStyle="1" w:styleId="250">
    <w:name w:val="院标"/>
    <w:basedOn w:val="1"/>
    <w:semiHidden/>
    <w:qFormat/>
    <w:uiPriority w:val="0"/>
    <w:pPr>
      <w:adjustRightInd w:val="0"/>
      <w:spacing w:line="0" w:lineRule="atLeast"/>
      <w:jc w:val="center"/>
      <w:textAlignment w:val="baseline"/>
    </w:pPr>
    <w:rPr>
      <w:rFonts w:ascii="Arial" w:hAnsi="Arial"/>
      <w:b/>
      <w:sz w:val="24"/>
    </w:rPr>
  </w:style>
  <w:style w:type="paragraph" w:customStyle="1" w:styleId="251">
    <w:name w:val="表编号"/>
    <w:basedOn w:val="1"/>
    <w:next w:val="1"/>
    <w:semiHidden/>
    <w:qFormat/>
    <w:uiPriority w:val="0"/>
    <w:pPr>
      <w:tabs>
        <w:tab w:val="right" w:pos="7995"/>
      </w:tabs>
      <w:adjustRightInd w:val="0"/>
      <w:spacing w:line="0" w:lineRule="atLeast"/>
      <w:ind w:left="227"/>
      <w:textAlignment w:val="baseline"/>
    </w:pPr>
    <w:rPr>
      <w:rFonts w:ascii="Arial" w:hAnsi="Arial"/>
      <w:sz w:val="24"/>
    </w:rPr>
  </w:style>
  <w:style w:type="paragraph" w:customStyle="1" w:styleId="252">
    <w:name w:val="nilo_正文"/>
    <w:basedOn w:val="1"/>
    <w:semiHidden/>
    <w:qFormat/>
    <w:uiPriority w:val="0"/>
    <w:pPr>
      <w:spacing w:line="300" w:lineRule="auto"/>
    </w:pPr>
    <w:rPr>
      <w:szCs w:val="21"/>
    </w:rPr>
  </w:style>
  <w:style w:type="character" w:customStyle="1" w:styleId="253">
    <w:name w:val="表头标题格式 Char"/>
    <w:basedOn w:val="109"/>
    <w:semiHidden/>
    <w:qFormat/>
    <w:uiPriority w:val="0"/>
    <w:rPr>
      <w:rFonts w:ascii="黑体" w:hAnsi="宋体" w:eastAsia="黑体" w:cs="宋体"/>
      <w:b/>
      <w:bCs/>
      <w:kern w:val="2"/>
      <w:sz w:val="24"/>
    </w:rPr>
  </w:style>
  <w:style w:type="paragraph" w:customStyle="1" w:styleId="254">
    <w:name w:val="项目编号"/>
    <w:basedOn w:val="1"/>
    <w:next w:val="1"/>
    <w:semiHidden/>
    <w:qFormat/>
    <w:uiPriority w:val="0"/>
    <w:pPr>
      <w:spacing w:before="120" w:after="120" w:line="360" w:lineRule="auto"/>
    </w:pPr>
    <w:rPr>
      <w:sz w:val="24"/>
    </w:rPr>
  </w:style>
  <w:style w:type="paragraph" w:customStyle="1" w:styleId="255">
    <w:name w:val="Char3"/>
    <w:basedOn w:val="1"/>
    <w:link w:val="256"/>
    <w:semiHidden/>
    <w:qFormat/>
    <w:uiPriority w:val="0"/>
    <w:pPr>
      <w:snapToGrid w:val="0"/>
      <w:spacing w:line="360" w:lineRule="auto"/>
      <w:ind w:firstLine="529" w:firstLineChars="200"/>
    </w:pPr>
    <w:rPr>
      <w:rFonts w:ascii="宋体" w:hAnsi="宋体"/>
      <w:b/>
      <w:szCs w:val="24"/>
    </w:rPr>
  </w:style>
  <w:style w:type="character" w:customStyle="1" w:styleId="256">
    <w:name w:val="Char Char40"/>
    <w:basedOn w:val="109"/>
    <w:link w:val="255"/>
    <w:semiHidden/>
    <w:qFormat/>
    <w:uiPriority w:val="0"/>
    <w:rPr>
      <w:rFonts w:ascii="宋体" w:hAnsi="宋体"/>
      <w:b/>
      <w:szCs w:val="24"/>
    </w:rPr>
  </w:style>
  <w:style w:type="paragraph" w:customStyle="1" w:styleId="257">
    <w:name w:val="表格内字体"/>
    <w:basedOn w:val="1"/>
    <w:link w:val="1944"/>
    <w:semiHidden/>
    <w:qFormat/>
    <w:uiPriority w:val="0"/>
    <w:pPr>
      <w:spacing w:line="360" w:lineRule="exact"/>
      <w:jc w:val="center"/>
      <w:textAlignment w:val="center"/>
    </w:pPr>
    <w:rPr>
      <w:rFonts w:ascii="宋体" w:cs="宋体"/>
      <w:szCs w:val="21"/>
    </w:rPr>
  </w:style>
  <w:style w:type="paragraph" w:customStyle="1" w:styleId="258">
    <w:name w:val="xl24"/>
    <w:basedOn w:val="1"/>
    <w:semiHidden/>
    <w:qFormat/>
    <w:uiPriority w:val="0"/>
    <w:pPr>
      <w:pBdr>
        <w:bottom w:val="single" w:color="auto" w:sz="4" w:space="0"/>
        <w:right w:val="single" w:color="auto" w:sz="4" w:space="0"/>
      </w:pBdr>
      <w:spacing w:before="100" w:beforeAutospacing="1" w:after="100" w:afterAutospacing="1"/>
      <w:jc w:val="center"/>
    </w:pPr>
    <w:rPr>
      <w:szCs w:val="21"/>
    </w:rPr>
  </w:style>
  <w:style w:type="character" w:customStyle="1" w:styleId="259">
    <w:name w:val="正文-ls Char"/>
    <w:basedOn w:val="109"/>
    <w:semiHidden/>
    <w:qFormat/>
    <w:uiPriority w:val="0"/>
    <w:rPr>
      <w:rFonts w:ascii="Times New Roman" w:hAnsi="宋体" w:eastAsia="宋体" w:cs="宋体"/>
      <w:sz w:val="24"/>
      <w:szCs w:val="20"/>
    </w:rPr>
  </w:style>
  <w:style w:type="character" w:customStyle="1" w:styleId="260">
    <w:name w:val="ms-rtefontface-111"/>
    <w:basedOn w:val="109"/>
    <w:semiHidden/>
    <w:qFormat/>
    <w:uiPriority w:val="0"/>
    <w:rPr>
      <w:rFonts w:hint="eastAsia" w:ascii="方正仿宋简体" w:hAnsi="Garamond" w:eastAsia="方正仿宋简体"/>
      <w:sz w:val="32"/>
      <w:szCs w:val="32"/>
    </w:rPr>
  </w:style>
  <w:style w:type="paragraph" w:customStyle="1" w:styleId="261">
    <w:name w:val="正文段落S"/>
    <w:basedOn w:val="1"/>
    <w:semiHidden/>
    <w:qFormat/>
    <w:uiPriority w:val="0"/>
    <w:pPr>
      <w:spacing w:line="360" w:lineRule="auto"/>
      <w:ind w:firstLine="420" w:firstLineChars="200"/>
    </w:pPr>
    <w:rPr>
      <w:rFonts w:eastAsia="仿宋_GB2312"/>
      <w:snapToGrid w:val="0"/>
      <w:sz w:val="24"/>
    </w:rPr>
  </w:style>
  <w:style w:type="paragraph" w:customStyle="1" w:styleId="262">
    <w:name w:val="样式9"/>
    <w:basedOn w:val="1"/>
    <w:link w:val="263"/>
    <w:semiHidden/>
    <w:qFormat/>
    <w:uiPriority w:val="0"/>
    <w:pPr>
      <w:snapToGrid w:val="0"/>
      <w:spacing w:line="360" w:lineRule="auto"/>
      <w:ind w:firstLine="480" w:firstLineChars="200"/>
    </w:pPr>
    <w:rPr>
      <w:sz w:val="24"/>
      <w:szCs w:val="24"/>
    </w:rPr>
  </w:style>
  <w:style w:type="character" w:customStyle="1" w:styleId="263">
    <w:name w:val="样式9 Char"/>
    <w:basedOn w:val="109"/>
    <w:link w:val="262"/>
    <w:semiHidden/>
    <w:qFormat/>
    <w:uiPriority w:val="0"/>
    <w:rPr>
      <w:sz w:val="24"/>
      <w:szCs w:val="24"/>
    </w:rPr>
  </w:style>
  <w:style w:type="character" w:customStyle="1" w:styleId="264">
    <w:name w:val="注释标题 字符"/>
    <w:basedOn w:val="109"/>
    <w:link w:val="14"/>
    <w:semiHidden/>
    <w:qFormat/>
    <w:uiPriority w:val="99"/>
    <w:rPr>
      <w:rFonts w:eastAsia="黑体"/>
      <w:sz w:val="24"/>
      <w:szCs w:val="24"/>
    </w:rPr>
  </w:style>
  <w:style w:type="character" w:customStyle="1" w:styleId="265">
    <w:name w:val="正文文本缩进 2 字符"/>
    <w:basedOn w:val="109"/>
    <w:link w:val="45"/>
    <w:semiHidden/>
    <w:qFormat/>
    <w:uiPriority w:val="99"/>
  </w:style>
  <w:style w:type="paragraph" w:customStyle="1" w:styleId="266">
    <w:name w:val="样式4"/>
    <w:basedOn w:val="18"/>
    <w:semiHidden/>
    <w:qFormat/>
    <w:uiPriority w:val="0"/>
    <w:pPr>
      <w:snapToGrid w:val="0"/>
      <w:spacing w:line="460" w:lineRule="exact"/>
      <w:ind w:firstLine="0" w:firstLineChars="0"/>
    </w:pPr>
    <w:rPr>
      <w:rFonts w:ascii="Arial" w:hAnsi="Arial"/>
      <w:sz w:val="24"/>
      <w:szCs w:val="24"/>
    </w:rPr>
  </w:style>
  <w:style w:type="character" w:customStyle="1" w:styleId="267">
    <w:name w:val="正文文本首行缩进 字符"/>
    <w:basedOn w:val="109"/>
    <w:link w:val="131"/>
    <w:semiHidden/>
    <w:qFormat/>
    <w:uiPriority w:val="0"/>
  </w:style>
  <w:style w:type="paragraph" w:customStyle="1" w:styleId="268">
    <w:name w:val="样式 第一章章节 + 段后: 0.5 行"/>
    <w:basedOn w:val="1"/>
    <w:semiHidden/>
    <w:qFormat/>
    <w:uiPriority w:val="0"/>
    <w:pPr>
      <w:spacing w:afterLines="50" w:line="360" w:lineRule="auto"/>
      <w:jc w:val="center"/>
      <w:outlineLvl w:val="0"/>
    </w:pPr>
    <w:rPr>
      <w:rFonts w:ascii="宋体" w:eastAsia="隶书" w:cs="宋体"/>
      <w:b/>
      <w:bCs/>
      <w:sz w:val="44"/>
    </w:rPr>
  </w:style>
  <w:style w:type="paragraph" w:customStyle="1" w:styleId="269">
    <w:name w:val="Char Char1 Char Char Char Char Char Char Char"/>
    <w:basedOn w:val="1"/>
    <w:semiHidden/>
    <w:qFormat/>
    <w:uiPriority w:val="0"/>
    <w:rPr>
      <w:szCs w:val="24"/>
    </w:rPr>
  </w:style>
  <w:style w:type="paragraph" w:customStyle="1" w:styleId="270">
    <w:name w:val="表内字"/>
    <w:basedOn w:val="1"/>
    <w:semiHidden/>
    <w:qFormat/>
    <w:uiPriority w:val="0"/>
    <w:pPr>
      <w:spacing w:line="320" w:lineRule="exact"/>
      <w:jc w:val="center"/>
    </w:pPr>
    <w:rPr>
      <w:rFonts w:cs="Calibri"/>
      <w:szCs w:val="24"/>
    </w:rPr>
  </w:style>
  <w:style w:type="character" w:customStyle="1" w:styleId="271">
    <w:name w:val="标题 8 字符"/>
    <w:basedOn w:val="109"/>
    <w:link w:val="9"/>
    <w:semiHidden/>
    <w:qFormat/>
    <w:uiPriority w:val="0"/>
    <w:rPr>
      <w:rFonts w:ascii="Arial" w:hAnsi="Arial" w:eastAsia="黑体"/>
      <w:sz w:val="24"/>
    </w:rPr>
  </w:style>
  <w:style w:type="character" w:customStyle="1" w:styleId="272">
    <w:name w:val="日期 字符"/>
    <w:basedOn w:val="109"/>
    <w:link w:val="44"/>
    <w:semiHidden/>
    <w:qFormat/>
    <w:uiPriority w:val="0"/>
    <w:rPr>
      <w:sz w:val="24"/>
      <w:szCs w:val="24"/>
    </w:rPr>
  </w:style>
  <w:style w:type="character" w:customStyle="1" w:styleId="273">
    <w:name w:val="正文文本 字符"/>
    <w:basedOn w:val="109"/>
    <w:link w:val="29"/>
    <w:qFormat/>
    <w:uiPriority w:val="99"/>
  </w:style>
  <w:style w:type="paragraph" w:customStyle="1" w:styleId="274">
    <w:name w:val="列表段落1"/>
    <w:basedOn w:val="1"/>
    <w:semiHidden/>
    <w:qFormat/>
    <w:uiPriority w:val="34"/>
    <w:pPr>
      <w:ind w:firstLine="420" w:firstLineChars="200"/>
    </w:pPr>
  </w:style>
  <w:style w:type="paragraph" w:customStyle="1" w:styleId="275">
    <w:name w:val="正文(首行缩进)"/>
    <w:basedOn w:val="1"/>
    <w:link w:val="276"/>
    <w:qFormat/>
    <w:uiPriority w:val="0"/>
    <w:pPr>
      <w:adjustRightInd w:val="0"/>
      <w:spacing w:line="360" w:lineRule="auto"/>
      <w:ind w:firstLine="540" w:firstLineChars="225"/>
      <w:textAlignment w:val="baseline"/>
    </w:pPr>
    <w:rPr>
      <w:rFonts w:ascii="宋体" w:hAnsi="宋体"/>
      <w:color w:val="000000"/>
      <w:sz w:val="24"/>
      <w:szCs w:val="24"/>
    </w:rPr>
  </w:style>
  <w:style w:type="character" w:customStyle="1" w:styleId="276">
    <w:name w:val="正文(首行缩进) Char"/>
    <w:basedOn w:val="109"/>
    <w:link w:val="275"/>
    <w:semiHidden/>
    <w:qFormat/>
    <w:uiPriority w:val="0"/>
    <w:rPr>
      <w:rFonts w:ascii="宋体" w:hAnsi="宋体"/>
      <w:color w:val="000000"/>
      <w:sz w:val="24"/>
      <w:szCs w:val="24"/>
    </w:rPr>
  </w:style>
  <w:style w:type="character" w:customStyle="1" w:styleId="277">
    <w:name w:val="批注文字 字符1"/>
    <w:basedOn w:val="109"/>
    <w:link w:val="24"/>
    <w:semiHidden/>
    <w:qFormat/>
    <w:uiPriority w:val="0"/>
  </w:style>
  <w:style w:type="character" w:customStyle="1" w:styleId="278">
    <w:name w:val="自定义标题3 Char Char"/>
    <w:basedOn w:val="109"/>
    <w:link w:val="279"/>
    <w:semiHidden/>
    <w:qFormat/>
    <w:uiPriority w:val="0"/>
    <w:rPr>
      <w:b/>
      <w:color w:val="0000FF"/>
      <w:sz w:val="28"/>
    </w:rPr>
  </w:style>
  <w:style w:type="paragraph" w:customStyle="1" w:styleId="279">
    <w:name w:val="自定义标题3"/>
    <w:basedOn w:val="280"/>
    <w:next w:val="1"/>
    <w:link w:val="278"/>
    <w:semiHidden/>
    <w:qFormat/>
    <w:uiPriority w:val="0"/>
    <w:pPr>
      <w:numPr>
        <w:ilvl w:val="2"/>
      </w:numPr>
      <w:tabs>
        <w:tab w:val="left" w:pos="1080"/>
        <w:tab w:val="left" w:pos="1134"/>
        <w:tab w:val="left" w:pos="2847"/>
      </w:tabs>
      <w:spacing w:before="100"/>
    </w:pPr>
  </w:style>
  <w:style w:type="paragraph" w:customStyle="1" w:styleId="280">
    <w:name w:val="自定义标题2"/>
    <w:basedOn w:val="1"/>
    <w:next w:val="279"/>
    <w:link w:val="281"/>
    <w:semiHidden/>
    <w:qFormat/>
    <w:uiPriority w:val="0"/>
    <w:pPr>
      <w:numPr>
        <w:ilvl w:val="1"/>
        <w:numId w:val="2"/>
      </w:numPr>
      <w:tabs>
        <w:tab w:val="left" w:pos="2847"/>
      </w:tabs>
      <w:adjustRightInd w:val="0"/>
      <w:spacing w:before="200" w:line="480" w:lineRule="atLeast"/>
      <w:textAlignment w:val="bottom"/>
    </w:pPr>
    <w:rPr>
      <w:b/>
      <w:color w:val="0000FF"/>
      <w:sz w:val="28"/>
    </w:rPr>
  </w:style>
  <w:style w:type="character" w:customStyle="1" w:styleId="281">
    <w:name w:val="自定义标题2 Char Char Char Char"/>
    <w:basedOn w:val="109"/>
    <w:link w:val="280"/>
    <w:semiHidden/>
    <w:qFormat/>
    <w:uiPriority w:val="0"/>
    <w:rPr>
      <w:b/>
      <w:color w:val="0000FF"/>
      <w:sz w:val="28"/>
    </w:rPr>
  </w:style>
  <w:style w:type="character" w:customStyle="1" w:styleId="282">
    <w:name w:val="自定义标题4 Char Char"/>
    <w:basedOn w:val="109"/>
    <w:link w:val="283"/>
    <w:semiHidden/>
    <w:qFormat/>
    <w:uiPriority w:val="0"/>
    <w:rPr>
      <w:color w:val="008080"/>
      <w:sz w:val="28"/>
    </w:rPr>
  </w:style>
  <w:style w:type="paragraph" w:customStyle="1" w:styleId="283">
    <w:name w:val="自定义标题4"/>
    <w:basedOn w:val="1"/>
    <w:next w:val="1"/>
    <w:link w:val="282"/>
    <w:semiHidden/>
    <w:qFormat/>
    <w:uiPriority w:val="0"/>
    <w:pPr>
      <w:numPr>
        <w:ilvl w:val="3"/>
        <w:numId w:val="2"/>
      </w:numPr>
      <w:tabs>
        <w:tab w:val="left" w:pos="1134"/>
        <w:tab w:val="left" w:pos="1440"/>
      </w:tabs>
      <w:adjustRightInd w:val="0"/>
      <w:spacing w:line="480" w:lineRule="atLeast"/>
      <w:textAlignment w:val="bottom"/>
    </w:pPr>
    <w:rPr>
      <w:color w:val="008080"/>
      <w:sz w:val="28"/>
    </w:rPr>
  </w:style>
  <w:style w:type="character" w:customStyle="1" w:styleId="284">
    <w:name w:val="正文文本缩进 3 字符"/>
    <w:basedOn w:val="109"/>
    <w:link w:val="65"/>
    <w:semiHidden/>
    <w:qFormat/>
    <w:uiPriority w:val="99"/>
    <w:rPr>
      <w:sz w:val="16"/>
      <w:szCs w:val="16"/>
    </w:rPr>
  </w:style>
  <w:style w:type="paragraph" w:customStyle="1" w:styleId="285">
    <w:name w:val="抬头（称呼）"/>
    <w:basedOn w:val="1"/>
    <w:next w:val="1"/>
    <w:semiHidden/>
    <w:qFormat/>
    <w:uiPriority w:val="0"/>
    <w:pPr>
      <w:adjustRightInd w:val="0"/>
      <w:spacing w:line="480" w:lineRule="atLeast"/>
      <w:textAlignment w:val="baseline"/>
    </w:pPr>
    <w:rPr>
      <w:rFonts w:eastAsia="楷体_GB2312"/>
      <w:b/>
      <w:color w:val="0000FF"/>
      <w:sz w:val="32"/>
    </w:rPr>
  </w:style>
  <w:style w:type="character" w:customStyle="1" w:styleId="286">
    <w:name w:val="标题 1 Char2"/>
    <w:basedOn w:val="109"/>
    <w:semiHidden/>
    <w:qFormat/>
    <w:uiPriority w:val="0"/>
    <w:rPr>
      <w:rFonts w:ascii="隶书" w:hAnsi="宋体" w:eastAsia="隶书"/>
      <w:b/>
      <w:kern w:val="2"/>
      <w:sz w:val="44"/>
      <w:szCs w:val="44"/>
      <w:lang w:val="en-US" w:eastAsia="zh-CN" w:bidi="ar-SA"/>
    </w:rPr>
  </w:style>
  <w:style w:type="paragraph" w:customStyle="1" w:styleId="287">
    <w:name w:val="表文字"/>
    <w:basedOn w:val="1"/>
    <w:link w:val="1676"/>
    <w:semiHidden/>
    <w:qFormat/>
    <w:uiPriority w:val="0"/>
    <w:pPr>
      <w:overflowPunct w:val="0"/>
      <w:autoSpaceDE w:val="0"/>
      <w:autoSpaceDN w:val="0"/>
      <w:adjustRightInd w:val="0"/>
      <w:spacing w:line="240" w:lineRule="atLeast"/>
      <w:ind w:firstLine="200" w:firstLineChars="200"/>
      <w:jc w:val="center"/>
      <w:textAlignment w:val="baseline"/>
    </w:pPr>
    <w:rPr>
      <w:rFonts w:ascii="宋体"/>
      <w:sz w:val="24"/>
    </w:rPr>
  </w:style>
  <w:style w:type="paragraph" w:customStyle="1" w:styleId="288">
    <w:name w:val="样式1"/>
    <w:basedOn w:val="1"/>
    <w:semiHidden/>
    <w:qFormat/>
    <w:uiPriority w:val="0"/>
    <w:pPr>
      <w:spacing w:line="360" w:lineRule="auto"/>
      <w:ind w:firstLine="200" w:firstLineChars="200"/>
      <w:jc w:val="center"/>
    </w:pPr>
    <w:rPr>
      <w:rFonts w:ascii="宋体"/>
      <w:sz w:val="24"/>
    </w:rPr>
  </w:style>
  <w:style w:type="paragraph" w:customStyle="1" w:styleId="289">
    <w:name w:val="小四表文左齐"/>
    <w:basedOn w:val="1"/>
    <w:semiHidden/>
    <w:qFormat/>
    <w:uiPriority w:val="0"/>
    <w:pPr>
      <w:adjustRightInd w:val="0"/>
      <w:spacing w:line="360" w:lineRule="auto"/>
      <w:jc w:val="center"/>
      <w:textAlignment w:val="center"/>
    </w:pPr>
    <w:rPr>
      <w:rFonts w:ascii="宋体" w:hAnsi="宋体"/>
      <w:sz w:val="24"/>
      <w:szCs w:val="24"/>
    </w:rPr>
  </w:style>
  <w:style w:type="paragraph" w:customStyle="1" w:styleId="290">
    <w:name w:val="公式样式1"/>
    <w:basedOn w:val="1"/>
    <w:semiHidden/>
    <w:qFormat/>
    <w:uiPriority w:val="0"/>
    <w:pPr>
      <w:spacing w:line="360" w:lineRule="auto"/>
      <w:ind w:firstLine="200" w:firstLineChars="200"/>
      <w:jc w:val="center"/>
    </w:pPr>
    <w:rPr>
      <w:rFonts w:ascii="宋体" w:hAnsi="宋体"/>
      <w:color w:val="FF0000"/>
      <w:sz w:val="24"/>
      <w:szCs w:val="24"/>
    </w:rPr>
  </w:style>
  <w:style w:type="paragraph" w:customStyle="1" w:styleId="291">
    <w:name w:val="标准"/>
    <w:basedOn w:val="1"/>
    <w:semiHidden/>
    <w:qFormat/>
    <w:uiPriority w:val="0"/>
    <w:pPr>
      <w:adjustRightInd w:val="0"/>
      <w:spacing w:line="360" w:lineRule="auto"/>
      <w:ind w:firstLine="200" w:firstLineChars="200"/>
      <w:textAlignment w:val="baseline"/>
    </w:pPr>
    <w:rPr>
      <w:rFonts w:ascii="宋体"/>
      <w:sz w:val="28"/>
    </w:rPr>
  </w:style>
  <w:style w:type="paragraph" w:customStyle="1" w:styleId="292">
    <w:name w:val="样式 居中 首行缩进:  0 字符 Char Char"/>
    <w:basedOn w:val="1"/>
    <w:next w:val="1"/>
    <w:link w:val="293"/>
    <w:semiHidden/>
    <w:qFormat/>
    <w:uiPriority w:val="0"/>
    <w:pPr>
      <w:tabs>
        <w:tab w:val="left" w:pos="9128"/>
      </w:tabs>
      <w:snapToGrid w:val="0"/>
      <w:spacing w:line="360" w:lineRule="auto"/>
      <w:ind w:firstLine="200" w:firstLineChars="200"/>
      <w:jc w:val="center"/>
    </w:pPr>
    <w:rPr>
      <w:rFonts w:ascii="宋体" w:hAnsi="宋体"/>
      <w:color w:val="000000"/>
      <w:sz w:val="18"/>
      <w:szCs w:val="18"/>
    </w:rPr>
  </w:style>
  <w:style w:type="character" w:customStyle="1" w:styleId="293">
    <w:name w:val="样式 居中 首行缩进:  0 字符 Char Char Char"/>
    <w:basedOn w:val="109"/>
    <w:link w:val="292"/>
    <w:semiHidden/>
    <w:qFormat/>
    <w:uiPriority w:val="0"/>
    <w:rPr>
      <w:rFonts w:ascii="宋体" w:hAnsi="宋体"/>
      <w:color w:val="000000"/>
      <w:sz w:val="18"/>
      <w:szCs w:val="18"/>
    </w:rPr>
  </w:style>
  <w:style w:type="paragraph" w:customStyle="1" w:styleId="294">
    <w:name w:val="样式 居中 首行缩进:  0 字符 Char"/>
    <w:basedOn w:val="1"/>
    <w:next w:val="1"/>
    <w:link w:val="295"/>
    <w:semiHidden/>
    <w:qFormat/>
    <w:uiPriority w:val="0"/>
    <w:pPr>
      <w:tabs>
        <w:tab w:val="left" w:pos="9128"/>
      </w:tabs>
      <w:spacing w:line="500" w:lineRule="exact"/>
      <w:ind w:firstLine="200" w:firstLineChars="200"/>
      <w:jc w:val="center"/>
    </w:pPr>
    <w:rPr>
      <w:rFonts w:ascii="宋体" w:eastAsia="仿宋_GB2312"/>
      <w:sz w:val="24"/>
    </w:rPr>
  </w:style>
  <w:style w:type="character" w:customStyle="1" w:styleId="295">
    <w:name w:val="样式 居中 首行缩进:  0 字符 Char Char1"/>
    <w:basedOn w:val="109"/>
    <w:link w:val="294"/>
    <w:semiHidden/>
    <w:qFormat/>
    <w:locked/>
    <w:uiPriority w:val="0"/>
    <w:rPr>
      <w:rFonts w:ascii="宋体" w:eastAsia="仿宋_GB2312"/>
      <w:sz w:val="24"/>
    </w:rPr>
  </w:style>
  <w:style w:type="paragraph" w:customStyle="1" w:styleId="296">
    <w:name w:val="二级无标题条"/>
    <w:basedOn w:val="1"/>
    <w:semiHidden/>
    <w:qFormat/>
    <w:uiPriority w:val="0"/>
    <w:pPr>
      <w:spacing w:line="360" w:lineRule="auto"/>
      <w:ind w:firstLine="200" w:firstLineChars="200"/>
    </w:pPr>
    <w:rPr>
      <w:rFonts w:ascii="宋体"/>
      <w:sz w:val="24"/>
      <w:szCs w:val="24"/>
    </w:rPr>
  </w:style>
  <w:style w:type="paragraph" w:customStyle="1" w:styleId="297">
    <w:name w:val="默认段落字体 Para Char Char Char Char"/>
    <w:basedOn w:val="1"/>
    <w:semiHidden/>
    <w:qFormat/>
    <w:uiPriority w:val="0"/>
    <w:pPr>
      <w:spacing w:line="360" w:lineRule="auto"/>
      <w:ind w:firstLine="200" w:firstLineChars="200"/>
    </w:pPr>
    <w:rPr>
      <w:rFonts w:ascii="宋体"/>
      <w:sz w:val="24"/>
      <w:szCs w:val="24"/>
    </w:rPr>
  </w:style>
  <w:style w:type="paragraph" w:customStyle="1" w:styleId="298">
    <w:name w:val="设计文本"/>
    <w:basedOn w:val="1"/>
    <w:semiHidden/>
    <w:qFormat/>
    <w:uiPriority w:val="0"/>
    <w:pPr>
      <w:spacing w:line="360" w:lineRule="auto"/>
      <w:ind w:firstLine="200" w:firstLineChars="200"/>
      <w:jc w:val="center"/>
    </w:pPr>
    <w:rPr>
      <w:rFonts w:ascii="宋体"/>
      <w:sz w:val="24"/>
    </w:rPr>
  </w:style>
  <w:style w:type="paragraph" w:customStyle="1" w:styleId="299">
    <w:name w:val="xl30"/>
    <w:basedOn w:val="1"/>
    <w:semiHidden/>
    <w:qFormat/>
    <w:uiPriority w:val="0"/>
    <w:pPr>
      <w:pBdr>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宋体" w:hAnsi="宋体"/>
      <w:sz w:val="24"/>
      <w:szCs w:val="24"/>
    </w:rPr>
  </w:style>
  <w:style w:type="character" w:customStyle="1" w:styleId="300">
    <w:name w:val="text"/>
    <w:basedOn w:val="109"/>
    <w:semiHidden/>
    <w:qFormat/>
    <w:uiPriority w:val="0"/>
  </w:style>
  <w:style w:type="paragraph" w:customStyle="1" w:styleId="301">
    <w:name w:val="表体宋旭峰"/>
    <w:basedOn w:val="1"/>
    <w:semiHidden/>
    <w:qFormat/>
    <w:uiPriority w:val="0"/>
    <w:pPr>
      <w:overflowPunct w:val="0"/>
      <w:adjustRightInd w:val="0"/>
      <w:spacing w:line="280" w:lineRule="exact"/>
      <w:jc w:val="center"/>
      <w:textAlignment w:val="baseline"/>
    </w:pPr>
    <w:rPr>
      <w:rFonts w:hAnsi="宋体" w:cs="Courier New"/>
      <w:snapToGrid w:val="0"/>
      <w:color w:val="000000"/>
      <w:kern w:val="24"/>
      <w:szCs w:val="21"/>
      <w:lang w:val="zh-CN"/>
    </w:rPr>
  </w:style>
  <w:style w:type="character" w:customStyle="1" w:styleId="302">
    <w:name w:val="HTML 预设格式 字符"/>
    <w:basedOn w:val="109"/>
    <w:link w:val="74"/>
    <w:semiHidden/>
    <w:qFormat/>
    <w:uiPriority w:val="0"/>
    <w:rPr>
      <w:rFonts w:ascii="宋体" w:hAnsi="宋体"/>
      <w:color w:val="000000"/>
      <w:sz w:val="24"/>
      <w:szCs w:val="21"/>
    </w:rPr>
  </w:style>
  <w:style w:type="paragraph" w:customStyle="1" w:styleId="303">
    <w:name w:val="0"/>
    <w:basedOn w:val="1"/>
    <w:semiHidden/>
    <w:qFormat/>
    <w:uiPriority w:val="0"/>
    <w:pPr>
      <w:snapToGrid w:val="0"/>
      <w:spacing w:line="360" w:lineRule="auto"/>
      <w:ind w:firstLine="200" w:firstLineChars="200"/>
    </w:pPr>
    <w:rPr>
      <w:rFonts w:ascii="宋体"/>
      <w:sz w:val="24"/>
      <w:szCs w:val="21"/>
    </w:rPr>
  </w:style>
  <w:style w:type="paragraph" w:customStyle="1" w:styleId="304">
    <w:name w:val="xl28"/>
    <w:basedOn w:val="1"/>
    <w:semiHidden/>
    <w:qFormat/>
    <w:uiPriority w:val="0"/>
    <w:pPr>
      <w:spacing w:before="100" w:beforeAutospacing="1" w:after="100" w:afterAutospacing="1" w:line="360" w:lineRule="auto"/>
      <w:ind w:firstLine="200" w:firstLineChars="200"/>
    </w:pPr>
    <w:rPr>
      <w:rFonts w:ascii="宋体"/>
      <w:b/>
      <w:sz w:val="32"/>
    </w:rPr>
  </w:style>
  <w:style w:type="paragraph" w:customStyle="1" w:styleId="305">
    <w:name w:val="Char Char Char1 Char Char Char Char Char Char Char Char Char Char Char Char Char Char Char Char Char Char Char"/>
    <w:basedOn w:val="1"/>
    <w:semiHidden/>
    <w:qFormat/>
    <w:uiPriority w:val="0"/>
    <w:pPr>
      <w:spacing w:line="360" w:lineRule="auto"/>
      <w:ind w:firstLine="200" w:firstLineChars="200"/>
    </w:pPr>
    <w:rPr>
      <w:rFonts w:ascii="宋体"/>
      <w:sz w:val="24"/>
      <w:szCs w:val="24"/>
    </w:rPr>
  </w:style>
  <w:style w:type="paragraph" w:customStyle="1" w:styleId="306">
    <w:name w:val="4"/>
    <w:basedOn w:val="1"/>
    <w:next w:val="29"/>
    <w:link w:val="307"/>
    <w:semiHidden/>
    <w:qFormat/>
    <w:uiPriority w:val="0"/>
    <w:pPr>
      <w:spacing w:line="240" w:lineRule="exact"/>
      <w:ind w:firstLine="200" w:firstLineChars="200"/>
      <w:jc w:val="center"/>
    </w:pPr>
    <w:rPr>
      <w:rFonts w:ascii="宋体" w:eastAsia="方正仿宋简体"/>
      <w:w w:val="80"/>
      <w:sz w:val="24"/>
      <w:szCs w:val="24"/>
    </w:rPr>
  </w:style>
  <w:style w:type="character" w:customStyle="1" w:styleId="307">
    <w:name w:val="4 Char"/>
    <w:basedOn w:val="109"/>
    <w:link w:val="306"/>
    <w:semiHidden/>
    <w:qFormat/>
    <w:uiPriority w:val="0"/>
    <w:rPr>
      <w:rFonts w:ascii="宋体" w:eastAsia="方正仿宋简体"/>
      <w:w w:val="80"/>
      <w:sz w:val="24"/>
      <w:szCs w:val="24"/>
    </w:rPr>
  </w:style>
  <w:style w:type="character" w:customStyle="1" w:styleId="308">
    <w:name w:val="正文文本缩进 2 Char Char Char"/>
    <w:basedOn w:val="109"/>
    <w:semiHidden/>
    <w:qFormat/>
    <w:uiPriority w:val="0"/>
    <w:rPr>
      <w:rFonts w:ascii="Arial" w:hAnsi="Arial" w:eastAsia="宋体"/>
      <w:kern w:val="2"/>
      <w:sz w:val="24"/>
      <w:szCs w:val="24"/>
      <w:lang w:val="en-US" w:eastAsia="zh-CN" w:bidi="ar-SA"/>
    </w:rPr>
  </w:style>
  <w:style w:type="paragraph" w:customStyle="1" w:styleId="309">
    <w:name w:val="样式 标题 2 + 段前: 1 行 段后: 0.5 行"/>
    <w:basedOn w:val="3"/>
    <w:semiHidden/>
    <w:qFormat/>
    <w:uiPriority w:val="0"/>
    <w:pPr>
      <w:widowControl w:val="0"/>
      <w:spacing w:beforeLines="100" w:afterLines="50" w:line="360" w:lineRule="auto"/>
      <w:jc w:val="both"/>
    </w:pPr>
    <w:rPr>
      <w:rFonts w:ascii="Arial" w:hAnsi="Arial" w:cs="宋体"/>
      <w:sz w:val="30"/>
      <w:szCs w:val="20"/>
    </w:rPr>
  </w:style>
  <w:style w:type="paragraph" w:customStyle="1" w:styleId="310">
    <w:name w:val="样式 行距: 1.5 倍行距"/>
    <w:basedOn w:val="1"/>
    <w:semiHidden/>
    <w:qFormat/>
    <w:uiPriority w:val="0"/>
    <w:pPr>
      <w:tabs>
        <w:tab w:val="left" w:pos="630"/>
      </w:tabs>
      <w:spacing w:line="360" w:lineRule="auto"/>
      <w:ind w:firstLine="200" w:firstLineChars="200"/>
    </w:pPr>
    <w:rPr>
      <w:rFonts w:ascii="宋体" w:hAnsi="宋体"/>
      <w:color w:val="000000"/>
      <w:sz w:val="24"/>
    </w:rPr>
  </w:style>
  <w:style w:type="paragraph" w:customStyle="1" w:styleId="311">
    <w:name w:val="正文(首行缩进)宋旭峰"/>
    <w:basedOn w:val="18"/>
    <w:link w:val="312"/>
    <w:semiHidden/>
    <w:qFormat/>
    <w:uiPriority w:val="0"/>
    <w:pPr>
      <w:spacing w:line="360" w:lineRule="auto"/>
      <w:ind w:firstLine="480"/>
      <w:contextualSpacing/>
    </w:pPr>
    <w:rPr>
      <w:rFonts w:ascii="宋体"/>
      <w:snapToGrid w:val="0"/>
      <w:sz w:val="24"/>
      <w:szCs w:val="24"/>
    </w:rPr>
  </w:style>
  <w:style w:type="character" w:customStyle="1" w:styleId="312">
    <w:name w:val="正文(首行缩进)宋旭峰 Char Char"/>
    <w:basedOn w:val="109"/>
    <w:link w:val="311"/>
    <w:semiHidden/>
    <w:qFormat/>
    <w:uiPriority w:val="0"/>
    <w:rPr>
      <w:rFonts w:ascii="宋体"/>
      <w:snapToGrid w:val="0"/>
      <w:sz w:val="24"/>
      <w:szCs w:val="24"/>
    </w:rPr>
  </w:style>
  <w:style w:type="character" w:customStyle="1" w:styleId="313">
    <w:name w:val="正文缩进1 Char"/>
    <w:basedOn w:val="109"/>
    <w:semiHidden/>
    <w:qFormat/>
    <w:uiPriority w:val="0"/>
    <w:rPr>
      <w:rFonts w:ascii="宋体" w:eastAsia="宋体"/>
      <w:kern w:val="2"/>
      <w:sz w:val="24"/>
      <w:szCs w:val="24"/>
      <w:lang w:val="en-US" w:eastAsia="zh-CN" w:bidi="ar-SA"/>
    </w:rPr>
  </w:style>
  <w:style w:type="paragraph" w:customStyle="1" w:styleId="314">
    <w:name w:val="Char4"/>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315">
    <w:name w:val="Char Char Char Char Char Char Char Char Char Char Char Char Char Char Char Char"/>
    <w:basedOn w:val="1"/>
    <w:semiHidden/>
    <w:qFormat/>
    <w:uiPriority w:val="0"/>
    <w:pPr>
      <w:spacing w:line="360" w:lineRule="auto"/>
      <w:ind w:firstLine="200" w:firstLineChars="200"/>
    </w:pPr>
    <w:rPr>
      <w:rFonts w:ascii="宋体"/>
      <w:sz w:val="24"/>
      <w:szCs w:val="24"/>
    </w:rPr>
  </w:style>
  <w:style w:type="paragraph" w:customStyle="1" w:styleId="316">
    <w:name w:val="Char Char Char Char"/>
    <w:basedOn w:val="1"/>
    <w:semiHidden/>
    <w:qFormat/>
    <w:uiPriority w:val="0"/>
    <w:pPr>
      <w:spacing w:line="360" w:lineRule="auto"/>
      <w:ind w:firstLine="200" w:firstLineChars="200"/>
    </w:pPr>
    <w:rPr>
      <w:rFonts w:ascii="宋体"/>
      <w:sz w:val="24"/>
      <w:szCs w:val="24"/>
    </w:rPr>
  </w:style>
  <w:style w:type="paragraph" w:customStyle="1" w:styleId="317">
    <w:name w:val="插图"/>
    <w:basedOn w:val="1"/>
    <w:next w:val="1"/>
    <w:semiHidden/>
    <w:qFormat/>
    <w:uiPriority w:val="0"/>
    <w:pPr>
      <w:snapToGrid w:val="0"/>
      <w:spacing w:line="240" w:lineRule="exact"/>
      <w:jc w:val="center"/>
    </w:pPr>
    <w:rPr>
      <w:rFonts w:ascii="宋体"/>
      <w:szCs w:val="21"/>
    </w:rPr>
  </w:style>
  <w:style w:type="paragraph" w:customStyle="1" w:styleId="318">
    <w:name w:val="Char Char Char Char Char Char1 Char"/>
    <w:basedOn w:val="1"/>
    <w:semiHidden/>
    <w:qFormat/>
    <w:uiPriority w:val="0"/>
    <w:pPr>
      <w:spacing w:line="360" w:lineRule="auto"/>
      <w:ind w:firstLine="200" w:firstLineChars="200"/>
    </w:pPr>
    <w:rPr>
      <w:rFonts w:ascii="宋体"/>
      <w:sz w:val="24"/>
      <w:szCs w:val="24"/>
    </w:rPr>
  </w:style>
  <w:style w:type="character" w:customStyle="1" w:styleId="319">
    <w:name w:val="style11"/>
    <w:basedOn w:val="109"/>
    <w:semiHidden/>
    <w:qFormat/>
    <w:uiPriority w:val="0"/>
    <w:rPr>
      <w:rFonts w:cs="Times New Roman"/>
      <w:color w:val="FF0000"/>
    </w:rPr>
  </w:style>
  <w:style w:type="character" w:customStyle="1" w:styleId="320">
    <w:name w:val="正文文本 3 字符"/>
    <w:basedOn w:val="109"/>
    <w:link w:val="26"/>
    <w:semiHidden/>
    <w:qFormat/>
    <w:uiPriority w:val="0"/>
    <w:rPr>
      <w:rFonts w:ascii="宋体" w:hAnsi="宋体"/>
      <w:spacing w:val="10"/>
      <w:sz w:val="30"/>
    </w:rPr>
  </w:style>
  <w:style w:type="character" w:customStyle="1" w:styleId="321">
    <w:name w:val="t31"/>
    <w:basedOn w:val="109"/>
    <w:semiHidden/>
    <w:qFormat/>
    <w:uiPriority w:val="0"/>
    <w:rPr>
      <w:rFonts w:cs="Times New Roman"/>
      <w:color w:val="000000"/>
      <w:sz w:val="20"/>
      <w:szCs w:val="20"/>
    </w:rPr>
  </w:style>
  <w:style w:type="paragraph" w:customStyle="1" w:styleId="322">
    <w:name w:val="content"/>
    <w:basedOn w:val="1"/>
    <w:semiHidden/>
    <w:qFormat/>
    <w:uiPriority w:val="0"/>
    <w:pPr>
      <w:spacing w:before="100" w:beforeAutospacing="1" w:after="100" w:afterAutospacing="1" w:line="360" w:lineRule="auto"/>
      <w:ind w:firstLine="200" w:firstLineChars="200"/>
    </w:pPr>
    <w:rPr>
      <w:rFonts w:ascii="宋体" w:hAnsi="宋体" w:cs="宋体"/>
      <w:sz w:val="22"/>
    </w:rPr>
  </w:style>
  <w:style w:type="character" w:customStyle="1" w:styleId="323">
    <w:name w:val="称呼 字符"/>
    <w:basedOn w:val="109"/>
    <w:link w:val="25"/>
    <w:semiHidden/>
    <w:qFormat/>
    <w:uiPriority w:val="0"/>
    <w:rPr>
      <w:rFonts w:ascii="宋体"/>
      <w:sz w:val="24"/>
    </w:rPr>
  </w:style>
  <w:style w:type="paragraph" w:customStyle="1" w:styleId="324">
    <w:name w:val="章标题"/>
    <w:basedOn w:val="1"/>
    <w:next w:val="1"/>
    <w:semiHidden/>
    <w:qFormat/>
    <w:uiPriority w:val="0"/>
    <w:pPr>
      <w:tabs>
        <w:tab w:val="left" w:pos="903"/>
      </w:tabs>
      <w:spacing w:before="50" w:after="50"/>
      <w:ind w:left="903" w:hanging="315"/>
      <w:outlineLvl w:val="1"/>
    </w:pPr>
    <w:rPr>
      <w:rFonts w:ascii="黑体" w:eastAsia="黑体"/>
    </w:rPr>
  </w:style>
  <w:style w:type="paragraph" w:customStyle="1" w:styleId="325">
    <w:name w:val="前言、引言标题"/>
    <w:basedOn w:val="1"/>
    <w:next w:val="1"/>
    <w:semiHidden/>
    <w:qFormat/>
    <w:uiPriority w:val="0"/>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326">
    <w:name w:val="一级条标题"/>
    <w:basedOn w:val="324"/>
    <w:next w:val="1"/>
    <w:semiHidden/>
    <w:qFormat/>
    <w:uiPriority w:val="0"/>
    <w:pPr>
      <w:tabs>
        <w:tab w:val="left" w:pos="360"/>
        <w:tab w:val="clear" w:pos="903"/>
      </w:tabs>
      <w:spacing w:before="0" w:after="0"/>
      <w:ind w:left="0" w:firstLine="0"/>
      <w:outlineLvl w:val="2"/>
    </w:pPr>
  </w:style>
  <w:style w:type="paragraph" w:customStyle="1" w:styleId="327">
    <w:name w:val="二级条标题"/>
    <w:basedOn w:val="326"/>
    <w:next w:val="1"/>
    <w:semiHidden/>
    <w:qFormat/>
    <w:uiPriority w:val="0"/>
    <w:pPr>
      <w:outlineLvl w:val="3"/>
    </w:pPr>
  </w:style>
  <w:style w:type="paragraph" w:customStyle="1" w:styleId="328">
    <w:name w:val="三级条标题"/>
    <w:basedOn w:val="327"/>
    <w:next w:val="1"/>
    <w:semiHidden/>
    <w:qFormat/>
    <w:uiPriority w:val="0"/>
    <w:pPr>
      <w:widowControl w:val="0"/>
      <w:tabs>
        <w:tab w:val="clear" w:pos="360"/>
      </w:tabs>
      <w:autoSpaceDE w:val="0"/>
      <w:autoSpaceDN w:val="0"/>
      <w:adjustRightInd w:val="0"/>
      <w:outlineLvl w:val="9"/>
    </w:pPr>
    <w:rPr>
      <w:rFonts w:ascii="宋体" w:eastAsia="宋体"/>
      <w:color w:val="000000"/>
      <w:sz w:val="24"/>
      <w:szCs w:val="24"/>
    </w:rPr>
  </w:style>
  <w:style w:type="paragraph" w:customStyle="1" w:styleId="329">
    <w:name w:val="四级条标题"/>
    <w:basedOn w:val="328"/>
    <w:next w:val="1"/>
    <w:semiHidden/>
    <w:qFormat/>
    <w:uiPriority w:val="0"/>
    <w:pPr>
      <w:autoSpaceDE/>
      <w:autoSpaceDN/>
      <w:adjustRightInd/>
      <w:jc w:val="both"/>
    </w:pPr>
    <w:rPr>
      <w:rFonts w:ascii="Calibri" w:hAnsi="Calibri"/>
      <w:color w:val="auto"/>
      <w:kern w:val="2"/>
      <w:sz w:val="21"/>
      <w:szCs w:val="22"/>
    </w:rPr>
  </w:style>
  <w:style w:type="paragraph" w:customStyle="1" w:styleId="330">
    <w:name w:val="五级条标题"/>
    <w:basedOn w:val="329"/>
    <w:next w:val="1"/>
    <w:semiHidden/>
    <w:qFormat/>
    <w:uiPriority w:val="0"/>
    <w:pPr>
      <w:widowControl/>
      <w:tabs>
        <w:tab w:val="left" w:pos="360"/>
      </w:tabs>
      <w:outlineLvl w:val="6"/>
    </w:pPr>
    <w:rPr>
      <w:rFonts w:ascii="黑体" w:hAnsi="Times New Roman" w:eastAsia="黑体"/>
      <w:kern w:val="0"/>
      <w:szCs w:val="20"/>
    </w:rPr>
  </w:style>
  <w:style w:type="paragraph" w:customStyle="1" w:styleId="331">
    <w:name w:val="样式表格"/>
    <w:basedOn w:val="1"/>
    <w:semiHidden/>
    <w:qFormat/>
    <w:uiPriority w:val="0"/>
    <w:pPr>
      <w:spacing w:line="280" w:lineRule="exact"/>
    </w:pPr>
    <w:rPr>
      <w:color w:val="000000"/>
      <w:szCs w:val="21"/>
    </w:rPr>
  </w:style>
  <w:style w:type="character" w:customStyle="1" w:styleId="332">
    <w:name w:val="正文文本首行缩进 2 字符"/>
    <w:basedOn w:val="109"/>
    <w:link w:val="155"/>
    <w:semiHidden/>
    <w:qFormat/>
    <w:uiPriority w:val="0"/>
    <w:rPr>
      <w:rFonts w:ascii="宋体"/>
      <w:szCs w:val="24"/>
    </w:rPr>
  </w:style>
  <w:style w:type="paragraph" w:customStyle="1" w:styleId="333">
    <w:name w:val="xl26"/>
    <w:basedOn w:val="1"/>
    <w:semiHidden/>
    <w:qFormat/>
    <w:uiPriority w:val="0"/>
    <w:pPr>
      <w:spacing w:before="100" w:beforeAutospacing="1" w:after="100" w:afterAutospacing="1" w:line="360" w:lineRule="auto"/>
      <w:ind w:firstLine="200" w:firstLineChars="200"/>
      <w:jc w:val="center"/>
    </w:pPr>
    <w:rPr>
      <w:rFonts w:ascii="宋体" w:hAnsi="宋体"/>
      <w:sz w:val="24"/>
      <w:szCs w:val="24"/>
    </w:rPr>
  </w:style>
  <w:style w:type="paragraph" w:customStyle="1" w:styleId="334">
    <w:name w:val="样式 标题 1 + 加粗"/>
    <w:basedOn w:val="2"/>
    <w:semiHidden/>
    <w:qFormat/>
    <w:uiPriority w:val="0"/>
    <w:pPr>
      <w:spacing w:before="100" w:beforeAutospacing="1" w:after="100" w:afterAutospacing="1" w:line="360" w:lineRule="auto"/>
    </w:pPr>
    <w:rPr>
      <w:sz w:val="32"/>
      <w:vertAlign w:val="superscript"/>
    </w:rPr>
  </w:style>
  <w:style w:type="character" w:customStyle="1" w:styleId="335">
    <w:name w:val="副标题 字符"/>
    <w:basedOn w:val="109"/>
    <w:link w:val="58"/>
    <w:semiHidden/>
    <w:qFormat/>
    <w:uiPriority w:val="0"/>
    <w:rPr>
      <w:rFonts w:ascii="宋体" w:eastAsia="黑体"/>
      <w:bCs/>
      <w:kern w:val="28"/>
      <w:sz w:val="24"/>
      <w:szCs w:val="32"/>
    </w:rPr>
  </w:style>
  <w:style w:type="character" w:customStyle="1" w:styleId="336">
    <w:name w:val="样式4 Char"/>
    <w:basedOn w:val="109"/>
    <w:semiHidden/>
    <w:qFormat/>
    <w:uiPriority w:val="0"/>
    <w:rPr>
      <w:rFonts w:eastAsia="仿宋_GB2312" w:cs="Times New Roman"/>
      <w:kern w:val="2"/>
      <w:sz w:val="21"/>
      <w:lang w:val="en-US" w:eastAsia="zh-CN" w:bidi="ar-SA"/>
    </w:rPr>
  </w:style>
  <w:style w:type="paragraph" w:customStyle="1" w:styleId="337">
    <w:name w:val="样式5"/>
    <w:basedOn w:val="266"/>
    <w:semiHidden/>
    <w:qFormat/>
    <w:uiPriority w:val="0"/>
    <w:pPr>
      <w:widowControl w:val="0"/>
      <w:tabs>
        <w:tab w:val="left" w:pos="9128"/>
      </w:tabs>
      <w:adjustRightInd w:val="0"/>
      <w:spacing w:line="500" w:lineRule="exact"/>
      <w:jc w:val="center"/>
    </w:pPr>
    <w:rPr>
      <w:rFonts w:ascii="Times New Roman" w:hAnsi="Times New Roman"/>
      <w:sz w:val="21"/>
      <w:szCs w:val="20"/>
    </w:rPr>
  </w:style>
  <w:style w:type="character" w:customStyle="1" w:styleId="338">
    <w:name w:val="样式5 Char"/>
    <w:basedOn w:val="336"/>
    <w:semiHidden/>
    <w:qFormat/>
    <w:uiPriority w:val="0"/>
    <w:rPr>
      <w:rFonts w:eastAsia="仿宋_GB2312" w:cs="Times New Roman"/>
      <w:kern w:val="2"/>
      <w:sz w:val="21"/>
      <w:lang w:val="en-US" w:eastAsia="zh-CN" w:bidi="ar-SA"/>
    </w:rPr>
  </w:style>
  <w:style w:type="paragraph" w:customStyle="1" w:styleId="339">
    <w:name w:val="Char Char Char Char Char Char"/>
    <w:basedOn w:val="1"/>
    <w:semiHidden/>
    <w:qFormat/>
    <w:uiPriority w:val="0"/>
    <w:pPr>
      <w:spacing w:line="360" w:lineRule="auto"/>
      <w:ind w:firstLine="200" w:firstLineChars="200"/>
    </w:pPr>
    <w:rPr>
      <w:rFonts w:ascii="宋体"/>
      <w:sz w:val="24"/>
      <w:szCs w:val="24"/>
    </w:rPr>
  </w:style>
  <w:style w:type="paragraph" w:customStyle="1" w:styleId="340">
    <w:name w:val="小节标题"/>
    <w:basedOn w:val="1"/>
    <w:next w:val="1"/>
    <w:semiHidden/>
    <w:qFormat/>
    <w:uiPriority w:val="0"/>
    <w:pPr>
      <w:spacing w:before="175" w:after="102" w:line="782" w:lineRule="atLeast"/>
      <w:ind w:firstLine="200" w:firstLineChars="200"/>
      <w:textAlignment w:val="baseline"/>
    </w:pPr>
    <w:rPr>
      <w:rFonts w:ascii="宋体" w:eastAsia="黑体"/>
      <w:color w:val="000000"/>
      <w:sz w:val="24"/>
      <w:u w:color="000000"/>
    </w:rPr>
  </w:style>
  <w:style w:type="paragraph" w:customStyle="1" w:styleId="341">
    <w:name w:val="正文文字缩进"/>
    <w:basedOn w:val="1"/>
    <w:semiHidden/>
    <w:qFormat/>
    <w:uiPriority w:val="0"/>
    <w:pPr>
      <w:spacing w:line="1360" w:lineRule="atLeast"/>
      <w:ind w:firstLine="719" w:firstLineChars="200"/>
      <w:textAlignment w:val="baseline"/>
    </w:pPr>
    <w:rPr>
      <w:rFonts w:ascii="宋"/>
      <w:color w:val="000000"/>
      <w:sz w:val="30"/>
      <w:u w:color="000000"/>
    </w:rPr>
  </w:style>
  <w:style w:type="paragraph" w:customStyle="1" w:styleId="342">
    <w:name w:val="表格文字居中 Char"/>
    <w:basedOn w:val="131"/>
    <w:semiHidden/>
    <w:qFormat/>
    <w:uiPriority w:val="0"/>
    <w:pPr>
      <w:keepNext/>
      <w:tabs>
        <w:tab w:val="left" w:pos="628"/>
        <w:tab w:val="left" w:pos="1727"/>
        <w:tab w:val="left" w:pos="1884"/>
        <w:tab w:val="left" w:pos="2660"/>
        <w:tab w:val="left" w:pos="4200"/>
      </w:tabs>
      <w:snapToGrid w:val="0"/>
      <w:spacing w:before="100" w:beforeAutospacing="1" w:after="0"/>
      <w:ind w:firstLine="0" w:firstLineChars="200"/>
      <w:jc w:val="center"/>
    </w:pPr>
    <w:rPr>
      <w:rFonts w:ascii="宋体"/>
      <w:bCs/>
      <w:color w:val="000000"/>
      <w:sz w:val="24"/>
      <w:szCs w:val="28"/>
    </w:rPr>
  </w:style>
  <w:style w:type="paragraph" w:customStyle="1" w:styleId="343">
    <w:name w:val="Char Char Char Char Char Char Char Char Char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344">
    <w:name w:val="Char Char Char Char Char Char Char"/>
    <w:basedOn w:val="1"/>
    <w:next w:val="1"/>
    <w:semiHidden/>
    <w:qFormat/>
    <w:uiPriority w:val="0"/>
    <w:pPr>
      <w:spacing w:line="360" w:lineRule="auto"/>
      <w:ind w:firstLine="200" w:firstLineChars="200"/>
    </w:pPr>
    <w:rPr>
      <w:rFonts w:ascii="宋体" w:hAnsi="宋体" w:cs="宋体"/>
      <w:sz w:val="24"/>
      <w:szCs w:val="24"/>
    </w:rPr>
  </w:style>
  <w:style w:type="character" w:customStyle="1" w:styleId="345">
    <w:name w:val="样式 居中 首行缩进:  0 字符 Char Char Char Char"/>
    <w:basedOn w:val="109"/>
    <w:semiHidden/>
    <w:qFormat/>
    <w:uiPriority w:val="0"/>
    <w:rPr>
      <w:rFonts w:ascii="宋体" w:hAnsi="宋体" w:eastAsia="宋体"/>
      <w:color w:val="FF0000"/>
      <w:kern w:val="2"/>
      <w:sz w:val="18"/>
      <w:szCs w:val="18"/>
      <w:lang w:val="en-US" w:eastAsia="zh-CN" w:bidi="ar-SA"/>
    </w:rPr>
  </w:style>
  <w:style w:type="paragraph" w:customStyle="1" w:styleId="346">
    <w:name w:val="默认段落字体 Para Char"/>
    <w:basedOn w:val="1"/>
    <w:next w:val="1"/>
    <w:semiHidden/>
    <w:qFormat/>
    <w:uiPriority w:val="0"/>
    <w:pPr>
      <w:spacing w:line="360" w:lineRule="auto"/>
      <w:ind w:firstLine="200" w:firstLineChars="200"/>
    </w:pPr>
    <w:rPr>
      <w:rFonts w:ascii="宋体" w:hAnsi="宋体" w:cs="宋体"/>
      <w:sz w:val="24"/>
      <w:szCs w:val="24"/>
    </w:rPr>
  </w:style>
  <w:style w:type="character" w:customStyle="1" w:styleId="347">
    <w:name w:val="font14px"/>
    <w:basedOn w:val="109"/>
    <w:semiHidden/>
    <w:qFormat/>
    <w:uiPriority w:val="0"/>
  </w:style>
  <w:style w:type="paragraph" w:customStyle="1" w:styleId="348">
    <w:name w:val="xl25"/>
    <w:basedOn w:val="1"/>
    <w:semiHidden/>
    <w:qFormat/>
    <w:uiPriority w:val="0"/>
    <w:pPr>
      <w:pBdr>
        <w:left w:val="single" w:color="auto" w:sz="4" w:space="0"/>
        <w:right w:val="single" w:color="auto" w:sz="4" w:space="0"/>
      </w:pBdr>
      <w:spacing w:before="100" w:beforeAutospacing="1" w:after="100" w:afterAutospacing="1" w:line="360" w:lineRule="auto"/>
      <w:ind w:firstLine="200" w:firstLineChars="200"/>
      <w:jc w:val="center"/>
    </w:pPr>
    <w:rPr>
      <w:rFonts w:hint="eastAsia" w:ascii="宋体" w:hAnsi="宋体"/>
      <w:sz w:val="24"/>
      <w:szCs w:val="24"/>
    </w:rPr>
  </w:style>
  <w:style w:type="character" w:customStyle="1" w:styleId="349">
    <w:name w:val="s"/>
    <w:basedOn w:val="109"/>
    <w:semiHidden/>
    <w:qFormat/>
    <w:uiPriority w:val="0"/>
  </w:style>
  <w:style w:type="paragraph" w:customStyle="1" w:styleId="350">
    <w:name w:val="xl42"/>
    <w:basedOn w:val="1"/>
    <w:semiHidden/>
    <w:qFormat/>
    <w:uiPriority w:val="0"/>
    <w:pPr>
      <w:pBdr>
        <w:bottom w:val="dotted" w:color="auto" w:sz="4" w:space="0"/>
        <w:right w:val="dotted" w:color="auto" w:sz="4" w:space="0"/>
      </w:pBdr>
      <w:spacing w:before="100" w:beforeAutospacing="1" w:after="100" w:afterAutospacing="1" w:line="360" w:lineRule="auto"/>
      <w:ind w:firstLine="200" w:firstLineChars="200"/>
      <w:jc w:val="center"/>
    </w:pPr>
    <w:rPr>
      <w:rFonts w:ascii="宋体"/>
      <w:sz w:val="24"/>
      <w:szCs w:val="21"/>
    </w:rPr>
  </w:style>
  <w:style w:type="character" w:customStyle="1" w:styleId="351">
    <w:name w:val="标题 字符"/>
    <w:basedOn w:val="109"/>
    <w:link w:val="78"/>
    <w:semiHidden/>
    <w:qFormat/>
    <w:uiPriority w:val="0"/>
    <w:rPr>
      <w:rFonts w:ascii="Arial" w:hAnsi="Arial" w:eastAsia="隶书"/>
      <w:b/>
      <w:bCs/>
      <w:sz w:val="44"/>
      <w:szCs w:val="32"/>
    </w:rPr>
  </w:style>
  <w:style w:type="paragraph" w:customStyle="1" w:styleId="352">
    <w:name w:val="标题 13"/>
    <w:basedOn w:val="1"/>
    <w:semiHidden/>
    <w:qFormat/>
    <w:uiPriority w:val="0"/>
    <w:pPr>
      <w:spacing w:line="360" w:lineRule="auto"/>
      <w:ind w:firstLine="200" w:firstLineChars="200"/>
    </w:pPr>
    <w:rPr>
      <w:rFonts w:ascii="宋体"/>
      <w:sz w:val="24"/>
      <w:szCs w:val="24"/>
    </w:rPr>
  </w:style>
  <w:style w:type="paragraph" w:customStyle="1" w:styleId="353">
    <w:name w:val="标题 12"/>
    <w:basedOn w:val="1"/>
    <w:semiHidden/>
    <w:qFormat/>
    <w:uiPriority w:val="0"/>
    <w:pPr>
      <w:spacing w:line="360" w:lineRule="auto"/>
      <w:ind w:firstLine="200" w:firstLineChars="200"/>
    </w:pPr>
    <w:rPr>
      <w:rFonts w:ascii="宋体"/>
      <w:sz w:val="24"/>
      <w:szCs w:val="24"/>
    </w:rPr>
  </w:style>
  <w:style w:type="paragraph" w:customStyle="1" w:styleId="354">
    <w:name w:val="第一章章节"/>
    <w:basedOn w:val="353"/>
    <w:semiHidden/>
    <w:qFormat/>
    <w:uiPriority w:val="0"/>
    <w:pPr>
      <w:spacing w:afterLines="50"/>
      <w:ind w:left="1622" w:hanging="1622" w:firstLineChars="0"/>
      <w:jc w:val="center"/>
      <w:outlineLvl w:val="0"/>
    </w:pPr>
    <w:rPr>
      <w:rFonts w:eastAsia="隶书"/>
      <w:b/>
      <w:sz w:val="44"/>
      <w:szCs w:val="44"/>
    </w:rPr>
  </w:style>
  <w:style w:type="paragraph" w:customStyle="1" w:styleId="355">
    <w:name w:val="样式 标题 2节H2节标题 1.1二级标题标题 lxb21.1h2第一层条二级标题 Char表标题单位名..."/>
    <w:basedOn w:val="3"/>
    <w:link w:val="356"/>
    <w:semiHidden/>
    <w:qFormat/>
    <w:uiPriority w:val="0"/>
    <w:pPr>
      <w:widowControl w:val="0"/>
      <w:overflowPunct w:val="0"/>
      <w:autoSpaceDE w:val="0"/>
      <w:autoSpaceDN w:val="0"/>
      <w:adjustRightInd w:val="0"/>
      <w:spacing w:beforeLines="50" w:line="360" w:lineRule="auto"/>
      <w:ind w:left="314" w:hanging="314"/>
      <w:jc w:val="both"/>
      <w:textAlignment w:val="baseline"/>
    </w:pPr>
    <w:rPr>
      <w:rFonts w:ascii="黑体"/>
      <w:b w:val="0"/>
      <w:sz w:val="30"/>
    </w:rPr>
  </w:style>
  <w:style w:type="character" w:customStyle="1" w:styleId="356">
    <w:name w:val="样式 标题 2节H2节标题 1.1二级标题标题 lxb21.1h2第一层条二级标题 Char表标题单位名... Char"/>
    <w:basedOn w:val="109"/>
    <w:link w:val="355"/>
    <w:semiHidden/>
    <w:qFormat/>
    <w:uiPriority w:val="0"/>
    <w:rPr>
      <w:rFonts w:ascii="黑体" w:eastAsia="黑体"/>
      <w:color w:val="000000" w:themeColor="text1"/>
      <w:sz w:val="30"/>
      <w:szCs w:val="30"/>
      <w14:textFill>
        <w14:solidFill>
          <w14:schemeClr w14:val="tx1"/>
        </w14:solidFill>
      </w14:textFill>
    </w:rPr>
  </w:style>
  <w:style w:type="paragraph" w:customStyle="1" w:styleId="357">
    <w:name w:val="样式 标题 3H3B Head标题 3 Char条标题1.1.1三级标题标题3h33rd level第二层条..."/>
    <w:basedOn w:val="4"/>
    <w:semiHidden/>
    <w:qFormat/>
    <w:uiPriority w:val="0"/>
    <w:pPr>
      <w:widowControl w:val="0"/>
      <w:spacing w:before="120" w:after="10" w:line="300" w:lineRule="auto"/>
    </w:pPr>
    <w:rPr>
      <w:rFonts w:ascii="宋体" w:hAnsi="黑体" w:cs="宋体"/>
      <w:b w:val="0"/>
      <w:snapToGrid w:val="0"/>
      <w:color w:val="000000"/>
      <w:sz w:val="28"/>
      <w:szCs w:val="28"/>
    </w:rPr>
  </w:style>
  <w:style w:type="paragraph" w:customStyle="1" w:styleId="358">
    <w:name w:val="Char Char Char Char Char Char Char Char Char Char Char Char Char"/>
    <w:basedOn w:val="1"/>
    <w:semiHidden/>
    <w:qFormat/>
    <w:uiPriority w:val="0"/>
    <w:pPr>
      <w:autoSpaceDE w:val="0"/>
      <w:autoSpaceDN w:val="0"/>
      <w:adjustRightInd w:val="0"/>
      <w:snapToGrid w:val="0"/>
      <w:spacing w:before="50" w:after="50" w:line="360" w:lineRule="auto"/>
      <w:ind w:firstLine="560" w:firstLineChars="200"/>
    </w:pPr>
    <w:rPr>
      <w:rFonts w:ascii="宋体" w:eastAsia="仿宋_GB2312"/>
      <w:color w:val="000000"/>
      <w:sz w:val="24"/>
      <w:szCs w:val="24"/>
    </w:rPr>
  </w:style>
  <w:style w:type="paragraph" w:customStyle="1" w:styleId="359">
    <w:name w:val="表格 32"/>
    <w:basedOn w:val="1"/>
    <w:semiHidden/>
    <w:qFormat/>
    <w:uiPriority w:val="0"/>
    <w:pPr>
      <w:autoSpaceDE w:val="0"/>
      <w:autoSpaceDN w:val="0"/>
      <w:adjustRightInd w:val="0"/>
      <w:spacing w:line="360" w:lineRule="auto"/>
      <w:ind w:firstLine="200" w:firstLineChars="200"/>
      <w:jc w:val="center"/>
      <w:textAlignment w:val="baseline"/>
    </w:pPr>
    <w:rPr>
      <w:rFonts w:ascii="宋体"/>
      <w:sz w:val="24"/>
      <w:szCs w:val="24"/>
    </w:rPr>
  </w:style>
  <w:style w:type="paragraph" w:customStyle="1" w:styleId="360">
    <w:name w:val="标题后正文"/>
    <w:basedOn w:val="1"/>
    <w:semiHidden/>
    <w:qFormat/>
    <w:uiPriority w:val="0"/>
    <w:pPr>
      <w:adjustRightInd w:val="0"/>
      <w:spacing w:line="360" w:lineRule="auto"/>
      <w:ind w:firstLine="200" w:firstLineChars="200"/>
      <w:textAlignment w:val="baseline"/>
    </w:pPr>
    <w:rPr>
      <w:rFonts w:ascii="Arial" w:hAnsi="Arial"/>
      <w:snapToGrid w:val="0"/>
      <w:kern w:val="28"/>
      <w:sz w:val="24"/>
    </w:rPr>
  </w:style>
  <w:style w:type="character" w:customStyle="1" w:styleId="361">
    <w:name w:val="文字缩进 Char"/>
    <w:basedOn w:val="109"/>
    <w:semiHidden/>
    <w:qFormat/>
    <w:uiPriority w:val="0"/>
    <w:rPr>
      <w:rFonts w:ascii="宋体" w:hAnsi="Courier New" w:eastAsia="宋体"/>
      <w:kern w:val="2"/>
      <w:sz w:val="21"/>
      <w:lang w:val="en-US" w:eastAsia="zh-CN" w:bidi="ar-SA"/>
    </w:rPr>
  </w:style>
  <w:style w:type="paragraph" w:customStyle="1" w:styleId="362">
    <w:name w:val="3 Char"/>
    <w:basedOn w:val="1"/>
    <w:next w:val="1"/>
    <w:semiHidden/>
    <w:qFormat/>
    <w:uiPriority w:val="0"/>
    <w:pPr>
      <w:spacing w:line="360" w:lineRule="auto"/>
      <w:ind w:firstLine="200" w:firstLineChars="200"/>
    </w:pPr>
    <w:rPr>
      <w:rFonts w:ascii="宋体" w:hAnsi="宋体" w:eastAsia="汉鼎简书宋" w:cs="宋体"/>
      <w:sz w:val="24"/>
      <w:szCs w:val="24"/>
    </w:rPr>
  </w:style>
  <w:style w:type="paragraph" w:customStyle="1" w:styleId="363">
    <w:name w:val="讲稿"/>
    <w:basedOn w:val="1"/>
    <w:semiHidden/>
    <w:qFormat/>
    <w:uiPriority w:val="0"/>
    <w:pPr>
      <w:adjustRightInd w:val="0"/>
      <w:spacing w:line="360" w:lineRule="atLeast"/>
      <w:ind w:firstLine="431"/>
      <w:textAlignment w:val="baseline"/>
    </w:pPr>
    <w:rPr>
      <w:rFonts w:ascii="Arial" w:hAnsi="Arial"/>
    </w:rPr>
  </w:style>
  <w:style w:type="paragraph" w:customStyle="1" w:styleId="364">
    <w:name w:val="流程文字"/>
    <w:basedOn w:val="1"/>
    <w:semiHidden/>
    <w:qFormat/>
    <w:uiPriority w:val="0"/>
    <w:pPr>
      <w:tabs>
        <w:tab w:val="left" w:pos="6480"/>
      </w:tabs>
      <w:topLinePunct/>
      <w:adjustRightInd w:val="0"/>
      <w:snapToGrid w:val="0"/>
      <w:spacing w:line="360" w:lineRule="atLeast"/>
      <w:jc w:val="center"/>
      <w:textAlignment w:val="baseline"/>
    </w:pPr>
    <w:rPr>
      <w:rFonts w:ascii="宋体" w:eastAsia="仿宋_GB2312"/>
    </w:rPr>
  </w:style>
  <w:style w:type="paragraph" w:customStyle="1" w:styleId="365">
    <w:name w:val="表题"/>
    <w:basedOn w:val="1"/>
    <w:link w:val="516"/>
    <w:semiHidden/>
    <w:qFormat/>
    <w:uiPriority w:val="0"/>
    <w:pPr>
      <w:autoSpaceDE w:val="0"/>
      <w:autoSpaceDN w:val="0"/>
      <w:adjustRightInd w:val="0"/>
      <w:spacing w:line="480" w:lineRule="atLeast"/>
      <w:jc w:val="center"/>
      <w:textAlignment w:val="baseline"/>
    </w:pPr>
    <w:rPr>
      <w:rFonts w:ascii="黑体" w:eastAsia="黑体"/>
      <w:kern w:val="16"/>
    </w:rPr>
  </w:style>
  <w:style w:type="paragraph" w:customStyle="1" w:styleId="366">
    <w:name w:val="正文样式3"/>
    <w:basedOn w:val="1"/>
    <w:semiHidden/>
    <w:qFormat/>
    <w:uiPriority w:val="0"/>
    <w:pPr>
      <w:keepLines/>
      <w:adjustRightInd w:val="0"/>
      <w:spacing w:line="20" w:lineRule="atLeast"/>
      <w:jc w:val="center"/>
      <w:textAlignment w:val="baseline"/>
    </w:pPr>
    <w:rPr>
      <w:rFonts w:ascii="宋体"/>
      <w:sz w:val="24"/>
    </w:rPr>
  </w:style>
  <w:style w:type="paragraph" w:customStyle="1" w:styleId="367">
    <w:name w:val="标题符"/>
    <w:basedOn w:val="1"/>
    <w:semiHidden/>
    <w:qFormat/>
    <w:uiPriority w:val="0"/>
    <w:pPr>
      <w:tabs>
        <w:tab w:val="left" w:pos="360"/>
      </w:tabs>
      <w:overflowPunct w:val="0"/>
      <w:snapToGrid w:val="0"/>
      <w:spacing w:line="480" w:lineRule="exact"/>
      <w:ind w:firstLine="560" w:firstLineChars="200"/>
    </w:pPr>
    <w:rPr>
      <w:rFonts w:ascii="Arial" w:hAnsi="Arial" w:eastAsia="仿宋_GB2312"/>
      <w:sz w:val="28"/>
    </w:rPr>
  </w:style>
  <w:style w:type="paragraph" w:customStyle="1" w:styleId="368">
    <w:name w:val="报告"/>
    <w:basedOn w:val="1"/>
    <w:semiHidden/>
    <w:qFormat/>
    <w:uiPriority w:val="0"/>
    <w:pPr>
      <w:adjustRightInd w:val="0"/>
      <w:spacing w:line="360" w:lineRule="auto"/>
      <w:ind w:firstLine="505"/>
      <w:textAlignment w:val="center"/>
    </w:pPr>
    <w:rPr>
      <w:rFonts w:ascii="TimesNewRoman" w:hAnsi="TimesNewRoman"/>
      <w:sz w:val="24"/>
    </w:rPr>
  </w:style>
  <w:style w:type="paragraph" w:customStyle="1" w:styleId="369">
    <w:name w:val="样式 样式 表格标题 + 段前: 0.5 行 + 段前: 0.5 行1"/>
    <w:basedOn w:val="1"/>
    <w:semiHidden/>
    <w:qFormat/>
    <w:uiPriority w:val="0"/>
    <w:pPr>
      <w:autoSpaceDE w:val="0"/>
      <w:autoSpaceDN w:val="0"/>
      <w:adjustRightInd w:val="0"/>
      <w:spacing w:beforeLines="50" w:line="400" w:lineRule="exact"/>
      <w:jc w:val="center"/>
    </w:pPr>
    <w:rPr>
      <w:rFonts w:ascii="黑体" w:eastAsia="黑体" w:cs="宋体"/>
      <w:sz w:val="24"/>
      <w:lang w:val="zh-CN"/>
    </w:rPr>
  </w:style>
  <w:style w:type="character" w:customStyle="1" w:styleId="370">
    <w:name w:val="标题2"/>
    <w:basedOn w:val="109"/>
    <w:semiHidden/>
    <w:qFormat/>
    <w:uiPriority w:val="0"/>
  </w:style>
  <w:style w:type="paragraph" w:customStyle="1" w:styleId="371">
    <w:name w:val="4号两端对齐"/>
    <w:basedOn w:val="1"/>
    <w:semiHidden/>
    <w:qFormat/>
    <w:uiPriority w:val="0"/>
    <w:pPr>
      <w:jc w:val="center"/>
    </w:pPr>
    <w:rPr>
      <w:rFonts w:ascii="宋体" w:hAnsi="宋体"/>
      <w:szCs w:val="24"/>
    </w:rPr>
  </w:style>
  <w:style w:type="paragraph" w:customStyle="1" w:styleId="372">
    <w:name w:val="环评正文"/>
    <w:basedOn w:val="2"/>
    <w:semiHidden/>
    <w:qFormat/>
    <w:uiPriority w:val="0"/>
    <w:pPr>
      <w:spacing w:before="60" w:after="60" w:line="400" w:lineRule="exact"/>
      <w:ind w:firstLine="480"/>
      <w:outlineLvl w:val="9"/>
    </w:pPr>
    <w:rPr>
      <w:rFonts w:eastAsia="仿宋_GB2312"/>
      <w:b w:val="0"/>
      <w:sz w:val="24"/>
      <w:szCs w:val="28"/>
    </w:rPr>
  </w:style>
  <w:style w:type="paragraph" w:customStyle="1" w:styleId="373">
    <w:name w:val="Char Char2"/>
    <w:basedOn w:val="1"/>
    <w:next w:val="1"/>
    <w:semiHidden/>
    <w:qFormat/>
    <w:uiPriority w:val="0"/>
    <w:pPr>
      <w:spacing w:line="360" w:lineRule="auto"/>
      <w:ind w:firstLine="200" w:firstLineChars="200"/>
    </w:pPr>
    <w:rPr>
      <w:rFonts w:ascii="宋体" w:hAnsi="宋体" w:cs="宋体"/>
      <w:sz w:val="24"/>
      <w:szCs w:val="24"/>
    </w:rPr>
  </w:style>
  <w:style w:type="paragraph" w:customStyle="1" w:styleId="374">
    <w:name w:val="font0"/>
    <w:basedOn w:val="1"/>
    <w:qFormat/>
    <w:uiPriority w:val="0"/>
    <w:pPr>
      <w:spacing w:before="100" w:beforeAutospacing="1" w:after="100" w:afterAutospacing="1"/>
    </w:pPr>
    <w:rPr>
      <w:rFonts w:hint="eastAsia" w:ascii="宋体" w:hAnsi="宋体" w:cs="Arial Unicode MS"/>
      <w:sz w:val="24"/>
      <w:szCs w:val="24"/>
    </w:rPr>
  </w:style>
  <w:style w:type="paragraph" w:customStyle="1" w:styleId="375">
    <w:name w:val="font5"/>
    <w:basedOn w:val="1"/>
    <w:qFormat/>
    <w:uiPriority w:val="0"/>
    <w:pPr>
      <w:spacing w:before="100" w:beforeAutospacing="1" w:after="100" w:afterAutospacing="1"/>
    </w:pPr>
    <w:rPr>
      <w:rFonts w:hint="eastAsia" w:ascii="宋体" w:hAnsi="宋体" w:cs="Arial Unicode MS"/>
      <w:sz w:val="18"/>
      <w:szCs w:val="18"/>
    </w:rPr>
  </w:style>
  <w:style w:type="paragraph" w:customStyle="1" w:styleId="376">
    <w:name w:val="font6"/>
    <w:basedOn w:val="1"/>
    <w:qFormat/>
    <w:uiPriority w:val="0"/>
    <w:pPr>
      <w:spacing w:before="100" w:beforeAutospacing="1" w:after="100" w:afterAutospacing="1"/>
    </w:pPr>
    <w:rPr>
      <w:rFonts w:ascii="宋体" w:eastAsia="Arial Unicode MS"/>
      <w:sz w:val="24"/>
      <w:szCs w:val="24"/>
    </w:rPr>
  </w:style>
  <w:style w:type="paragraph" w:customStyle="1" w:styleId="377">
    <w:name w:val="xl27"/>
    <w:basedOn w:val="1"/>
    <w:semiHidden/>
    <w:qFormat/>
    <w:uiPriority w:val="0"/>
    <w:pPr>
      <w:pBdr>
        <w:right w:val="single" w:color="auto" w:sz="4" w:space="0"/>
      </w:pBdr>
      <w:spacing w:before="100" w:beforeAutospacing="1" w:after="100" w:afterAutospacing="1"/>
      <w:jc w:val="center"/>
    </w:pPr>
    <w:rPr>
      <w:rFonts w:ascii="Arial Unicode MS" w:hAnsi="Arial Unicode MS" w:eastAsia="Arial Unicode MS" w:cs="Arial Unicode MS"/>
      <w:sz w:val="24"/>
      <w:szCs w:val="24"/>
    </w:rPr>
  </w:style>
  <w:style w:type="paragraph" w:customStyle="1" w:styleId="378">
    <w:name w:val="xl29"/>
    <w:basedOn w:val="1"/>
    <w:semiHidden/>
    <w:qFormat/>
    <w:uiPriority w:val="0"/>
    <w:pPr>
      <w:spacing w:before="100" w:beforeAutospacing="1" w:after="100" w:afterAutospacing="1"/>
      <w:jc w:val="center"/>
    </w:pPr>
    <w:rPr>
      <w:rFonts w:ascii="Arial Unicode MS" w:hAnsi="Arial Unicode MS" w:eastAsia="Arial Unicode MS" w:cs="Arial Unicode MS"/>
      <w:sz w:val="24"/>
      <w:szCs w:val="24"/>
    </w:rPr>
  </w:style>
  <w:style w:type="paragraph" w:customStyle="1" w:styleId="379">
    <w:name w:val="xl31"/>
    <w:basedOn w:val="1"/>
    <w:semiHidden/>
    <w:qFormat/>
    <w:uiPriority w:val="0"/>
    <w:pPr>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4"/>
      <w:szCs w:val="24"/>
    </w:rPr>
  </w:style>
  <w:style w:type="paragraph" w:customStyle="1" w:styleId="380">
    <w:name w:val="xl32"/>
    <w:basedOn w:val="1"/>
    <w:semiHidden/>
    <w:qFormat/>
    <w:uiPriority w:val="0"/>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381">
    <w:name w:val="xl33"/>
    <w:basedOn w:val="1"/>
    <w:semiHidden/>
    <w:qFormat/>
    <w:uiPriority w:val="0"/>
    <w:pP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382">
    <w:name w:val="xl34"/>
    <w:basedOn w:val="1"/>
    <w:semiHidden/>
    <w:qFormat/>
    <w:uiPriority w:val="0"/>
    <w:pPr>
      <w:pBdr>
        <w:top w:val="single" w:color="auto" w:sz="4" w:space="0"/>
      </w:pBdr>
      <w:spacing w:before="100" w:beforeAutospacing="1" w:after="100" w:afterAutospacing="1"/>
      <w:jc w:val="center"/>
    </w:pPr>
    <w:rPr>
      <w:rFonts w:ascii="Arial Unicode MS" w:hAnsi="Arial Unicode MS" w:eastAsia="Arial Unicode MS" w:cs="Arial Unicode MS"/>
      <w:sz w:val="24"/>
      <w:szCs w:val="24"/>
    </w:rPr>
  </w:style>
  <w:style w:type="paragraph" w:customStyle="1" w:styleId="383">
    <w:name w:val="xl35"/>
    <w:basedOn w:val="1"/>
    <w:semiHidden/>
    <w:qFormat/>
    <w:uiPriority w:val="0"/>
    <w:pPr>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4"/>
      <w:szCs w:val="24"/>
    </w:rPr>
  </w:style>
  <w:style w:type="paragraph" w:customStyle="1" w:styleId="384">
    <w:name w:val="xl36"/>
    <w:basedOn w:val="1"/>
    <w:semiHidden/>
    <w:qFormat/>
    <w:uiPriority w:val="0"/>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385">
    <w:name w:val="xl37"/>
    <w:basedOn w:val="1"/>
    <w:semiHidden/>
    <w:qFormat/>
    <w:uiPriority w:val="0"/>
    <w:pP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386">
    <w:name w:val="font7"/>
    <w:basedOn w:val="1"/>
    <w:qFormat/>
    <w:uiPriority w:val="0"/>
    <w:pPr>
      <w:spacing w:before="100" w:beforeAutospacing="1" w:after="100" w:afterAutospacing="1"/>
    </w:pPr>
    <w:rPr>
      <w:rFonts w:hint="eastAsia" w:ascii="宋体" w:hAnsi="宋体" w:cs="Arial Unicode MS"/>
      <w:sz w:val="24"/>
      <w:szCs w:val="24"/>
    </w:rPr>
  </w:style>
  <w:style w:type="paragraph" w:customStyle="1" w:styleId="387">
    <w:name w:val="font8"/>
    <w:basedOn w:val="1"/>
    <w:qFormat/>
    <w:uiPriority w:val="0"/>
    <w:pPr>
      <w:spacing w:before="100" w:beforeAutospacing="1" w:after="100" w:afterAutospacing="1"/>
    </w:pPr>
    <w:rPr>
      <w:rFonts w:ascii="宋体" w:eastAsia="Arial Unicode MS"/>
      <w:sz w:val="16"/>
      <w:szCs w:val="16"/>
    </w:rPr>
  </w:style>
  <w:style w:type="paragraph" w:customStyle="1" w:styleId="388">
    <w:name w:val="xl38"/>
    <w:basedOn w:val="1"/>
    <w:semiHidden/>
    <w:qFormat/>
    <w:uiPriority w:val="0"/>
    <w:pPr>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character" w:customStyle="1" w:styleId="389">
    <w:name w:val="EmailStyle323"/>
    <w:basedOn w:val="109"/>
    <w:semiHidden/>
    <w:qFormat/>
    <w:uiPriority w:val="0"/>
    <w:rPr>
      <w:rFonts w:ascii="Arial" w:hAnsi="Arial" w:eastAsia="宋体" w:cs="Arial"/>
      <w:color w:val="auto"/>
      <w:sz w:val="20"/>
    </w:rPr>
  </w:style>
  <w:style w:type="character" w:customStyle="1" w:styleId="390">
    <w:name w:val="EmailStyle324"/>
    <w:basedOn w:val="109"/>
    <w:semiHidden/>
    <w:qFormat/>
    <w:uiPriority w:val="0"/>
    <w:rPr>
      <w:rFonts w:ascii="Arial" w:hAnsi="Arial" w:eastAsia="宋体" w:cs="Arial"/>
      <w:color w:val="auto"/>
      <w:sz w:val="20"/>
    </w:rPr>
  </w:style>
  <w:style w:type="paragraph" w:customStyle="1" w:styleId="391">
    <w:name w:val="居中正文"/>
    <w:basedOn w:val="18"/>
    <w:next w:val="18"/>
    <w:semiHidden/>
    <w:qFormat/>
    <w:uiPriority w:val="0"/>
    <w:pPr>
      <w:spacing w:line="540" w:lineRule="exact"/>
      <w:ind w:right="-13" w:rightChars="-6" w:firstLine="200"/>
      <w:jc w:val="center"/>
    </w:pPr>
    <w:rPr>
      <w:rFonts w:ascii="宋体" w:eastAsia="仿宋_GB2312"/>
      <w:sz w:val="28"/>
    </w:rPr>
  </w:style>
  <w:style w:type="paragraph" w:customStyle="1" w:styleId="392">
    <w:name w:val="正文（首行式样2）"/>
    <w:basedOn w:val="18"/>
    <w:link w:val="1180"/>
    <w:semiHidden/>
    <w:qFormat/>
    <w:uiPriority w:val="0"/>
    <w:pPr>
      <w:spacing w:line="540" w:lineRule="exact"/>
      <w:ind w:right="-13" w:rightChars="-6" w:firstLine="560"/>
    </w:pPr>
    <w:rPr>
      <w:rFonts w:ascii="宋体" w:eastAsia="仿宋_GB2312"/>
      <w:sz w:val="28"/>
    </w:rPr>
  </w:style>
  <w:style w:type="paragraph" w:customStyle="1" w:styleId="393">
    <w:name w:val="正文(首行缩进两字2)"/>
    <w:basedOn w:val="18"/>
    <w:semiHidden/>
    <w:qFormat/>
    <w:uiPriority w:val="0"/>
    <w:pPr>
      <w:spacing w:line="480" w:lineRule="exact"/>
      <w:ind w:right="-13" w:rightChars="-6" w:firstLine="560"/>
    </w:pPr>
    <w:rPr>
      <w:rFonts w:ascii="宋体" w:eastAsia="仿宋_GB2312"/>
      <w:sz w:val="28"/>
    </w:rPr>
  </w:style>
  <w:style w:type="paragraph" w:customStyle="1" w:styleId="394">
    <w:name w:val="xl22"/>
    <w:basedOn w:val="1"/>
    <w:semiHidden/>
    <w:qFormat/>
    <w:uiPriority w:val="0"/>
    <w:pP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395">
    <w:name w:val="xl23"/>
    <w:basedOn w:val="1"/>
    <w:semiHidden/>
    <w:qFormat/>
    <w:uiPriority w:val="0"/>
    <w:pP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396">
    <w:name w:val="font9"/>
    <w:basedOn w:val="1"/>
    <w:qFormat/>
    <w:uiPriority w:val="0"/>
    <w:pPr>
      <w:spacing w:before="100" w:beforeAutospacing="1" w:after="100" w:afterAutospacing="1"/>
    </w:pPr>
    <w:rPr>
      <w:rFonts w:ascii="宋体" w:eastAsia="Arial Unicode MS"/>
      <w:sz w:val="22"/>
    </w:rPr>
  </w:style>
  <w:style w:type="paragraph" w:customStyle="1" w:styleId="397">
    <w:name w:val="xl39"/>
    <w:basedOn w:val="1"/>
    <w:semiHidden/>
    <w:qFormat/>
    <w:uiPriority w:val="0"/>
    <w:pPr>
      <w:spacing w:before="100" w:beforeAutospacing="1" w:after="100" w:afterAutospacing="1"/>
      <w:textAlignment w:val="center"/>
    </w:pPr>
    <w:rPr>
      <w:rFonts w:ascii="Arial Unicode MS" w:hAnsi="Arial Unicode MS" w:eastAsia="Arial Unicode MS" w:cs="Arial Unicode MS"/>
      <w:sz w:val="22"/>
    </w:rPr>
  </w:style>
  <w:style w:type="paragraph" w:customStyle="1" w:styleId="398">
    <w:name w:val="xl40"/>
    <w:basedOn w:val="1"/>
    <w:semiHidden/>
    <w:qFormat/>
    <w:uiPriority w:val="0"/>
    <w:pPr>
      <w:spacing w:before="100" w:beforeAutospacing="1" w:after="100" w:afterAutospacing="1"/>
      <w:textAlignment w:val="center"/>
    </w:pPr>
    <w:rPr>
      <w:rFonts w:ascii="Arial Unicode MS" w:hAnsi="Arial Unicode MS" w:eastAsia="Arial Unicode MS" w:cs="Arial Unicode MS"/>
      <w:sz w:val="22"/>
    </w:rPr>
  </w:style>
  <w:style w:type="paragraph" w:customStyle="1" w:styleId="399">
    <w:name w:val="xl41"/>
    <w:basedOn w:val="1"/>
    <w:semiHidden/>
    <w:qFormat/>
    <w:uiPriority w:val="0"/>
    <w:pP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0">
    <w:name w:val="xl43"/>
    <w:basedOn w:val="1"/>
    <w:semiHidden/>
    <w:qFormat/>
    <w:uiPriority w:val="0"/>
    <w:pPr>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1">
    <w:name w:val="xl44"/>
    <w:basedOn w:val="1"/>
    <w:semiHidden/>
    <w:qFormat/>
    <w:uiPriority w:val="0"/>
    <w:pPr>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2">
    <w:name w:val="xl45"/>
    <w:basedOn w:val="1"/>
    <w:semiHidden/>
    <w:qFormat/>
    <w:uiPriority w:val="0"/>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3">
    <w:name w:val="xl46"/>
    <w:basedOn w:val="1"/>
    <w:semiHidden/>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4">
    <w:name w:val="xl47"/>
    <w:basedOn w:val="1"/>
    <w:semiHidden/>
    <w:qFormat/>
    <w:uiPriority w:val="0"/>
    <w:pPr>
      <w:pBdr>
        <w:right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5">
    <w:name w:val="font10"/>
    <w:basedOn w:val="1"/>
    <w:qFormat/>
    <w:uiPriority w:val="0"/>
    <w:pPr>
      <w:spacing w:before="100" w:beforeAutospacing="1" w:after="100" w:afterAutospacing="1"/>
    </w:pPr>
    <w:rPr>
      <w:rFonts w:ascii="宋体" w:eastAsia="Arial Unicode MS"/>
      <w:sz w:val="22"/>
    </w:rPr>
  </w:style>
  <w:style w:type="paragraph" w:customStyle="1" w:styleId="406">
    <w:name w:val="xl48"/>
    <w:basedOn w:val="1"/>
    <w:semiHidden/>
    <w:qFormat/>
    <w:uiPriority w:val="0"/>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7">
    <w:name w:val="xl49"/>
    <w:basedOn w:val="1"/>
    <w:semiHidden/>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8">
    <w:name w:val="xl50"/>
    <w:basedOn w:val="1"/>
    <w:semiHidden/>
    <w:qFormat/>
    <w:uiPriority w:val="0"/>
    <w:pPr>
      <w:pBdr>
        <w:right w:val="single" w:color="auto" w:sz="4" w:space="0"/>
      </w:pBdr>
      <w:spacing w:before="100" w:beforeAutospacing="1" w:after="100" w:afterAutospacing="1"/>
      <w:jc w:val="center"/>
      <w:textAlignment w:val="center"/>
    </w:pPr>
    <w:rPr>
      <w:rFonts w:ascii="Arial Unicode MS" w:hAnsi="Arial Unicode MS" w:eastAsia="Arial Unicode MS" w:cs="Arial Unicode MS"/>
      <w:sz w:val="24"/>
      <w:szCs w:val="24"/>
    </w:rPr>
  </w:style>
  <w:style w:type="paragraph" w:customStyle="1" w:styleId="409">
    <w:name w:val="日期1"/>
    <w:basedOn w:val="1"/>
    <w:next w:val="1"/>
    <w:semiHidden/>
    <w:qFormat/>
    <w:uiPriority w:val="0"/>
    <w:pPr>
      <w:overflowPunct w:val="0"/>
      <w:spacing w:line="360" w:lineRule="auto"/>
      <w:ind w:firstLine="560"/>
    </w:pPr>
    <w:rPr>
      <w:rFonts w:ascii="仿宋_GB2312"/>
      <w:sz w:val="28"/>
    </w:rPr>
  </w:style>
  <w:style w:type="paragraph" w:customStyle="1" w:styleId="410">
    <w:name w:val="正文表格"/>
    <w:basedOn w:val="1"/>
    <w:semiHidden/>
    <w:qFormat/>
    <w:uiPriority w:val="0"/>
    <w:pPr>
      <w:keepNext/>
      <w:keepLines/>
      <w:spacing w:before="80"/>
      <w:jc w:val="center"/>
      <w:textAlignment w:val="bottom"/>
    </w:pPr>
    <w:rPr>
      <w:rFonts w:ascii="宋体"/>
      <w:szCs w:val="24"/>
    </w:rPr>
  </w:style>
  <w:style w:type="paragraph" w:customStyle="1" w:styleId="411">
    <w:name w:val="样式 四号2"/>
    <w:basedOn w:val="1"/>
    <w:semiHidden/>
    <w:qFormat/>
    <w:uiPriority w:val="0"/>
    <w:pPr>
      <w:spacing w:line="440" w:lineRule="exact"/>
      <w:ind w:firstLine="200" w:firstLineChars="200"/>
    </w:pPr>
    <w:rPr>
      <w:rFonts w:ascii="宋体"/>
      <w:sz w:val="28"/>
      <w:szCs w:val="24"/>
    </w:rPr>
  </w:style>
  <w:style w:type="character" w:customStyle="1" w:styleId="412">
    <w:name w:val="Char Char4"/>
    <w:basedOn w:val="109"/>
    <w:semiHidden/>
    <w:qFormat/>
    <w:uiPriority w:val="0"/>
    <w:rPr>
      <w:rFonts w:eastAsia="宋体"/>
      <w:b/>
      <w:bCs/>
      <w:kern w:val="44"/>
      <w:sz w:val="28"/>
      <w:szCs w:val="28"/>
      <w:lang w:val="en-US" w:eastAsia="zh-CN" w:bidi="ar-SA"/>
    </w:rPr>
  </w:style>
  <w:style w:type="paragraph" w:customStyle="1" w:styleId="413">
    <w:name w:val="Char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414">
    <w:name w:val="Char Char Char Char Char Char Char Char Char Char Char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415">
    <w:name w:val="Char Char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416">
    <w:name w:val="Char Char Char Char Char Char Char Char Char Char Char Char1"/>
    <w:basedOn w:val="1"/>
    <w:next w:val="1"/>
    <w:semiHidden/>
    <w:qFormat/>
    <w:uiPriority w:val="0"/>
    <w:pPr>
      <w:spacing w:line="360" w:lineRule="auto"/>
      <w:ind w:firstLine="200" w:firstLineChars="200"/>
    </w:pPr>
    <w:rPr>
      <w:rFonts w:ascii="宋体" w:hAnsi="宋体" w:cs="宋体"/>
      <w:sz w:val="24"/>
      <w:szCs w:val="24"/>
    </w:rPr>
  </w:style>
  <w:style w:type="paragraph" w:customStyle="1" w:styleId="417">
    <w:name w:val="p15"/>
    <w:basedOn w:val="1"/>
    <w:semiHidden/>
    <w:qFormat/>
    <w:uiPriority w:val="0"/>
    <w:rPr>
      <w:rFonts w:ascii="宋体" w:hAnsi="宋体" w:cs="宋体"/>
      <w:szCs w:val="21"/>
    </w:rPr>
  </w:style>
  <w:style w:type="paragraph" w:customStyle="1" w:styleId="418">
    <w:name w:val="p16"/>
    <w:basedOn w:val="1"/>
    <w:semiHidden/>
    <w:qFormat/>
    <w:uiPriority w:val="0"/>
    <w:rPr>
      <w:rFonts w:ascii="宋体" w:hAnsi="宋体" w:cs="宋体"/>
      <w:szCs w:val="21"/>
    </w:rPr>
  </w:style>
  <w:style w:type="paragraph" w:customStyle="1" w:styleId="419">
    <w:name w:val="p0"/>
    <w:basedOn w:val="1"/>
    <w:semiHidden/>
    <w:qFormat/>
    <w:uiPriority w:val="0"/>
    <w:rPr>
      <w:rFonts w:ascii="宋体"/>
      <w:szCs w:val="21"/>
    </w:rPr>
  </w:style>
  <w:style w:type="paragraph" w:customStyle="1" w:styleId="420">
    <w:name w:val="xl66"/>
    <w:basedOn w:val="1"/>
    <w:qFormat/>
    <w:uiPriority w:val="0"/>
    <w:pPr>
      <w:numPr>
        <w:ilvl w:val="0"/>
        <w:numId w:val="3"/>
      </w:numPr>
      <w:pBdr>
        <w:left w:val="single" w:color="auto" w:sz="4" w:space="0"/>
        <w:bottom w:val="single" w:color="auto" w:sz="4" w:space="0"/>
        <w:right w:val="single" w:color="auto" w:sz="4" w:space="0"/>
      </w:pBdr>
      <w:tabs>
        <w:tab w:val="clear" w:pos="360"/>
      </w:tabs>
      <w:spacing w:before="100" w:beforeAutospacing="1" w:after="100" w:afterAutospacing="1"/>
      <w:jc w:val="center"/>
    </w:pPr>
    <w:rPr>
      <w:rFonts w:ascii="宋体"/>
      <w:color w:val="FF0000"/>
      <w:sz w:val="24"/>
      <w:szCs w:val="24"/>
    </w:rPr>
  </w:style>
  <w:style w:type="paragraph" w:customStyle="1" w:styleId="421">
    <w:name w:val="样式 正文首行缩进 2 + (符号) 宋体"/>
    <w:basedOn w:val="155"/>
    <w:link w:val="422"/>
    <w:semiHidden/>
    <w:qFormat/>
    <w:uiPriority w:val="0"/>
    <w:pPr>
      <w:tabs>
        <w:tab w:val="clear" w:pos="420"/>
      </w:tabs>
      <w:spacing w:after="0"/>
      <w:ind w:left="0" w:leftChars="0" w:firstLine="200" w:firstLineChars="200"/>
    </w:pPr>
    <w:rPr>
      <w:sz w:val="24"/>
    </w:rPr>
  </w:style>
  <w:style w:type="character" w:customStyle="1" w:styleId="422">
    <w:name w:val="样式 正文首行缩进 2 + (符号) 宋体 Char"/>
    <w:basedOn w:val="109"/>
    <w:link w:val="421"/>
    <w:semiHidden/>
    <w:qFormat/>
    <w:uiPriority w:val="0"/>
    <w:rPr>
      <w:rFonts w:ascii="宋体"/>
      <w:sz w:val="24"/>
      <w:szCs w:val="24"/>
    </w:rPr>
  </w:style>
  <w:style w:type="paragraph" w:customStyle="1" w:styleId="423">
    <w:name w:val="正文(首行缩进) Char Char Char"/>
    <w:basedOn w:val="1"/>
    <w:link w:val="424"/>
    <w:semiHidden/>
    <w:qFormat/>
    <w:uiPriority w:val="0"/>
    <w:pPr>
      <w:spacing w:line="360" w:lineRule="auto"/>
      <w:ind w:firstLine="480" w:firstLineChars="200"/>
    </w:pPr>
    <w:rPr>
      <w:rFonts w:ascii="宋体"/>
      <w:snapToGrid w:val="0"/>
      <w:sz w:val="24"/>
      <w:szCs w:val="24"/>
    </w:rPr>
  </w:style>
  <w:style w:type="character" w:customStyle="1" w:styleId="424">
    <w:name w:val="正文(首行缩进) Char Char Char Char"/>
    <w:basedOn w:val="109"/>
    <w:link w:val="423"/>
    <w:semiHidden/>
    <w:qFormat/>
    <w:uiPriority w:val="0"/>
    <w:rPr>
      <w:rFonts w:ascii="宋体"/>
      <w:snapToGrid w:val="0"/>
      <w:sz w:val="24"/>
      <w:szCs w:val="24"/>
    </w:rPr>
  </w:style>
  <w:style w:type="paragraph" w:customStyle="1" w:styleId="425">
    <w:name w:val="样式 正文首行缩进 2 + (符号) 宋体 + (符号) 宋体"/>
    <w:basedOn w:val="421"/>
    <w:link w:val="426"/>
    <w:semiHidden/>
    <w:qFormat/>
    <w:uiPriority w:val="0"/>
    <w:pPr/>
  </w:style>
  <w:style w:type="character" w:customStyle="1" w:styleId="426">
    <w:name w:val="样式 正文首行缩进 2 + (符号) 宋体 + (符号) 宋体 Char Char"/>
    <w:basedOn w:val="422"/>
    <w:link w:val="425"/>
    <w:semiHidden/>
    <w:qFormat/>
    <w:uiPriority w:val="0"/>
    <w:rPr>
      <w:rFonts w:ascii="宋体"/>
      <w:sz w:val="24"/>
      <w:szCs w:val="24"/>
    </w:rPr>
  </w:style>
  <w:style w:type="paragraph" w:customStyle="1" w:styleId="427">
    <w:name w:val="环保专篇"/>
    <w:basedOn w:val="1"/>
    <w:link w:val="428"/>
    <w:semiHidden/>
    <w:qFormat/>
    <w:uiPriority w:val="0"/>
    <w:pPr>
      <w:spacing w:line="360" w:lineRule="auto"/>
      <w:ind w:firstLine="200" w:firstLineChars="200"/>
    </w:pPr>
    <w:rPr>
      <w:sz w:val="24"/>
      <w:szCs w:val="24"/>
    </w:rPr>
  </w:style>
  <w:style w:type="character" w:customStyle="1" w:styleId="428">
    <w:name w:val="环保专篇 Char"/>
    <w:basedOn w:val="109"/>
    <w:link w:val="427"/>
    <w:semiHidden/>
    <w:qFormat/>
    <w:uiPriority w:val="0"/>
    <w:rPr>
      <w:sz w:val="24"/>
      <w:szCs w:val="24"/>
    </w:rPr>
  </w:style>
  <w:style w:type="paragraph" w:customStyle="1" w:styleId="429">
    <w:name w:val="表哥标题"/>
    <w:basedOn w:val="1"/>
    <w:semiHidden/>
    <w:qFormat/>
    <w:uiPriority w:val="0"/>
    <w:pPr>
      <w:spacing w:line="360" w:lineRule="auto"/>
      <w:ind w:firstLine="964" w:firstLineChars="400"/>
    </w:pPr>
    <w:rPr>
      <w:rFonts w:ascii="黑体" w:hAnsi="宋体" w:eastAsia="黑体"/>
      <w:b/>
      <w:sz w:val="24"/>
      <w:szCs w:val="24"/>
    </w:rPr>
  </w:style>
  <w:style w:type="paragraph" w:customStyle="1" w:styleId="430">
    <w:name w:val="Char Char1"/>
    <w:basedOn w:val="1"/>
    <w:next w:val="1"/>
    <w:semiHidden/>
    <w:qFormat/>
    <w:uiPriority w:val="0"/>
    <w:pPr>
      <w:spacing w:line="360" w:lineRule="auto"/>
      <w:ind w:firstLine="200" w:firstLineChars="200"/>
    </w:pPr>
    <w:rPr>
      <w:rFonts w:ascii="宋体" w:hAnsi="宋体" w:cs="宋体"/>
      <w:sz w:val="24"/>
      <w:szCs w:val="24"/>
    </w:rPr>
  </w:style>
  <w:style w:type="character" w:customStyle="1" w:styleId="431">
    <w:name w:val="正文(首行缩进)宋旭峰 Char"/>
    <w:basedOn w:val="109"/>
    <w:semiHidden/>
    <w:qFormat/>
    <w:uiPriority w:val="0"/>
    <w:rPr>
      <w:rFonts w:eastAsia="宋体" w:cs="TimesNewRomanPSMT"/>
      <w:snapToGrid/>
      <w:kern w:val="2"/>
      <w:sz w:val="24"/>
      <w:szCs w:val="24"/>
      <w:lang w:val="en-US" w:eastAsia="zh-CN" w:bidi="ar-SA"/>
    </w:rPr>
  </w:style>
  <w:style w:type="character" w:customStyle="1" w:styleId="432">
    <w:name w:val="1.标题 1 Char"/>
    <w:basedOn w:val="109"/>
    <w:semiHidden/>
    <w:qFormat/>
    <w:uiPriority w:val="0"/>
    <w:rPr>
      <w:rFonts w:eastAsia="宋体"/>
      <w:b/>
      <w:bCs/>
      <w:kern w:val="44"/>
      <w:sz w:val="44"/>
      <w:szCs w:val="44"/>
      <w:lang w:val="en-US" w:eastAsia="zh-CN" w:bidi="ar-SA"/>
    </w:rPr>
  </w:style>
  <w:style w:type="paragraph" w:customStyle="1" w:styleId="433">
    <w:name w:val="样式 标题 2节H2节标题 1.1二级标题标题 lxb21.1h2第一层条二级标题 Char表标题单位名...1"/>
    <w:basedOn w:val="3"/>
    <w:semiHidden/>
    <w:qFormat/>
    <w:uiPriority w:val="0"/>
    <w:pPr>
      <w:widowControl w:val="0"/>
      <w:overflowPunct w:val="0"/>
      <w:autoSpaceDE w:val="0"/>
      <w:autoSpaceDN w:val="0"/>
      <w:adjustRightInd w:val="0"/>
      <w:spacing w:beforeLines="50" w:line="360" w:lineRule="auto"/>
      <w:ind w:hanging="1036"/>
      <w:jc w:val="both"/>
      <w:textAlignment w:val="baseline"/>
    </w:pPr>
    <w:rPr>
      <w:rFonts w:ascii="黑体"/>
      <w:kern w:val="32"/>
      <w:sz w:val="30"/>
    </w:rPr>
  </w:style>
  <w:style w:type="paragraph" w:customStyle="1" w:styleId="434">
    <w:name w:val="样式 样式 标题 3H3B Head标题 3 Char条标题1.1.1三级标题标题3h33rd level第二层条... + 加粗"/>
    <w:basedOn w:val="357"/>
    <w:semiHidden/>
    <w:qFormat/>
    <w:uiPriority w:val="0"/>
    <w:rPr>
      <w:b/>
    </w:rPr>
  </w:style>
  <w:style w:type="paragraph" w:customStyle="1" w:styleId="435">
    <w:name w:val="样式 标题 3H3B Head标题 3 Char条标题1.1.1三级标题标题3h33rd level第二层条...1"/>
    <w:basedOn w:val="4"/>
    <w:link w:val="436"/>
    <w:semiHidden/>
    <w:qFormat/>
    <w:uiPriority w:val="0"/>
    <w:pPr>
      <w:widowControl w:val="0"/>
      <w:spacing w:before="120" w:after="10" w:line="300" w:lineRule="auto"/>
    </w:pPr>
    <w:rPr>
      <w:rFonts w:ascii="黑体" w:hAnsi="黑体"/>
      <w:snapToGrid w:val="0"/>
      <w:color w:val="FF0000"/>
      <w:sz w:val="28"/>
      <w:szCs w:val="28"/>
    </w:rPr>
  </w:style>
  <w:style w:type="character" w:customStyle="1" w:styleId="436">
    <w:name w:val="样式 标题 3H3B Head标题 3 Char条标题1.1.1三级标题标题3h33rd level第二层条...1 Char"/>
    <w:basedOn w:val="109"/>
    <w:link w:val="435"/>
    <w:semiHidden/>
    <w:qFormat/>
    <w:uiPriority w:val="0"/>
    <w:rPr>
      <w:rFonts w:ascii="黑体" w:hAnsi="黑体" w:eastAsia="黑体"/>
      <w:b/>
      <w:snapToGrid w:val="0"/>
      <w:color w:val="FF0000"/>
      <w:sz w:val="28"/>
      <w:szCs w:val="28"/>
    </w:rPr>
  </w:style>
  <w:style w:type="paragraph" w:customStyle="1" w:styleId="437">
    <w:name w:val="样式 样式 标题 2节H2节标题 1.1二级标题标题 lxb21.1h2第一层条二级标题 Char表标题单位名... + 宋体..."/>
    <w:basedOn w:val="355"/>
    <w:link w:val="438"/>
    <w:semiHidden/>
    <w:qFormat/>
    <w:uiPriority w:val="0"/>
    <w:pPr>
      <w:ind w:left="0"/>
    </w:pPr>
    <w:rPr>
      <w:rFonts w:ascii="宋体" w:hAnsi="宋体"/>
      <w:sz w:val="24"/>
    </w:rPr>
  </w:style>
  <w:style w:type="character" w:customStyle="1" w:styleId="438">
    <w:name w:val="样式 样式 标题 2节H2节标题 1.1二级标题标题 lxb21.1h2第一层条二级标题 Char表标题单位名... + 宋体... Char"/>
    <w:basedOn w:val="109"/>
    <w:link w:val="437"/>
    <w:semiHidden/>
    <w:qFormat/>
    <w:uiPriority w:val="0"/>
    <w:rPr>
      <w:rFonts w:ascii="宋体" w:hAnsi="宋体" w:eastAsia="黑体"/>
      <w:color w:val="000000" w:themeColor="text1"/>
      <w:sz w:val="24"/>
      <w:szCs w:val="30"/>
      <w14:textFill>
        <w14:solidFill>
          <w14:schemeClr w14:val="tx1"/>
        </w14:solidFill>
      </w14:textFill>
    </w:rPr>
  </w:style>
  <w:style w:type="paragraph" w:customStyle="1" w:styleId="439">
    <w:name w:val="5"/>
    <w:basedOn w:val="1"/>
    <w:link w:val="1441"/>
    <w:semiHidden/>
    <w:qFormat/>
    <w:uiPriority w:val="0"/>
    <w:pPr>
      <w:spacing w:after="120"/>
    </w:pPr>
    <w:rPr>
      <w:rFonts w:ascii="宋体"/>
      <w:sz w:val="28"/>
      <w:szCs w:val="24"/>
    </w:rPr>
  </w:style>
  <w:style w:type="paragraph" w:customStyle="1" w:styleId="440">
    <w:name w:val="样式 居中"/>
    <w:basedOn w:val="1"/>
    <w:next w:val="1"/>
    <w:semiHidden/>
    <w:qFormat/>
    <w:uiPriority w:val="0"/>
    <w:pPr>
      <w:tabs>
        <w:tab w:val="left" w:pos="9128"/>
      </w:tabs>
      <w:spacing w:line="500" w:lineRule="exact"/>
      <w:ind w:firstLine="480" w:firstLineChars="200"/>
      <w:jc w:val="center"/>
    </w:pPr>
    <w:rPr>
      <w:rFonts w:ascii="宋体" w:eastAsia="仿宋_GB2312" w:cs="宋体"/>
    </w:rPr>
  </w:style>
  <w:style w:type="paragraph" w:customStyle="1" w:styleId="441">
    <w:name w:val="样式4 Char Char Char Char Char Char Char"/>
    <w:basedOn w:val="3"/>
    <w:semiHidden/>
    <w:qFormat/>
    <w:uiPriority w:val="0"/>
    <w:pPr>
      <w:widowControl w:val="0"/>
      <w:spacing w:beforeLines="50" w:after="120" w:line="500" w:lineRule="exact"/>
      <w:jc w:val="both"/>
    </w:pPr>
    <w:rPr>
      <w:rFonts w:ascii="Arial" w:hAnsi="Arial"/>
      <w:b w:val="0"/>
      <w:sz w:val="30"/>
    </w:rPr>
  </w:style>
  <w:style w:type="character" w:customStyle="1" w:styleId="442">
    <w:name w:val="样式4 Char Char Char Char Char Char Char Char"/>
    <w:basedOn w:val="109"/>
    <w:semiHidden/>
    <w:qFormat/>
    <w:uiPriority w:val="0"/>
    <w:rPr>
      <w:rFonts w:ascii="Arial" w:hAnsi="Arial" w:eastAsia="黑体"/>
      <w:b/>
      <w:bCs/>
      <w:kern w:val="2"/>
      <w:sz w:val="30"/>
      <w:szCs w:val="32"/>
      <w:lang w:val="en-US" w:eastAsia="zh-CN" w:bidi="ar-SA"/>
    </w:rPr>
  </w:style>
  <w:style w:type="paragraph" w:customStyle="1" w:styleId="443">
    <w:name w:val="样式5 Char Char"/>
    <w:basedOn w:val="178"/>
    <w:semiHidden/>
    <w:qFormat/>
    <w:uiPriority w:val="0"/>
    <w:pPr>
      <w:keepNext/>
      <w:keepLines/>
      <w:spacing w:beforeLines="10" w:afterLines="10" w:line="240" w:lineRule="auto"/>
      <w:ind w:firstLine="0"/>
      <w:jc w:val="center"/>
      <w:outlineLvl w:val="0"/>
    </w:pPr>
    <w:rPr>
      <w:rFonts w:eastAsia="黑体"/>
      <w:b w:val="0"/>
      <w:color w:val="auto"/>
      <w:spacing w:val="0"/>
      <w:kern w:val="44"/>
      <w:sz w:val="28"/>
      <w:szCs w:val="44"/>
    </w:rPr>
  </w:style>
  <w:style w:type="paragraph" w:customStyle="1" w:styleId="444">
    <w:name w:val="样式 样式 普通(网站) + Times New Roman 四号 + 左侧:  2 字符"/>
    <w:basedOn w:val="155"/>
    <w:next w:val="155"/>
    <w:semiHidden/>
    <w:qFormat/>
    <w:uiPriority w:val="0"/>
    <w:pPr>
      <w:tabs>
        <w:tab w:val="clear" w:pos="420"/>
      </w:tabs>
      <w:spacing w:line="480" w:lineRule="auto"/>
      <w:ind w:left="560" w:firstLine="420" w:firstLineChars="200"/>
    </w:pPr>
    <w:rPr>
      <w:rFonts w:cs="宋体"/>
      <w:sz w:val="28"/>
    </w:rPr>
  </w:style>
  <w:style w:type="paragraph" w:customStyle="1" w:styleId="445">
    <w:name w:val="样式 普通(网站) + Times New Roman 四号1"/>
    <w:basedOn w:val="45"/>
    <w:next w:val="45"/>
    <w:semiHidden/>
    <w:qFormat/>
    <w:uiPriority w:val="0"/>
    <w:pPr>
      <w:spacing w:after="0" w:line="240" w:lineRule="auto"/>
      <w:ind w:left="0" w:leftChars="0"/>
      <w:jc w:val="center"/>
    </w:pPr>
    <w:rPr>
      <w:rFonts w:cs="Arial"/>
      <w:b/>
      <w:sz w:val="36"/>
      <w:szCs w:val="36"/>
    </w:rPr>
  </w:style>
  <w:style w:type="paragraph" w:customStyle="1" w:styleId="446">
    <w:name w:val="样式 标题 1 + 黑体 三号 非加粗 段前: 6 磅 段后: 6 磅 行距: 1.5 倍行距"/>
    <w:basedOn w:val="2"/>
    <w:semiHidden/>
    <w:qFormat/>
    <w:uiPriority w:val="0"/>
    <w:pPr>
      <w:spacing w:beforeLines="10" w:afterLines="10" w:line="360" w:lineRule="auto"/>
    </w:pPr>
    <w:rPr>
      <w:rFonts w:ascii="黑体" w:cs="宋体"/>
      <w:sz w:val="32"/>
      <w:szCs w:val="20"/>
    </w:rPr>
  </w:style>
  <w:style w:type="character" w:customStyle="1" w:styleId="447">
    <w:name w:val="font"/>
    <w:basedOn w:val="109"/>
    <w:semiHidden/>
    <w:qFormat/>
    <w:uiPriority w:val="0"/>
  </w:style>
  <w:style w:type="paragraph" w:customStyle="1" w:styleId="448">
    <w:name w:val="a3"/>
    <w:basedOn w:val="1"/>
    <w:semiHidden/>
    <w:qFormat/>
    <w:uiPriority w:val="0"/>
    <w:pPr>
      <w:spacing w:before="100" w:beforeAutospacing="1" w:after="100" w:afterAutospacing="1"/>
    </w:pPr>
    <w:rPr>
      <w:rFonts w:ascii="宋体" w:hAnsi="宋体" w:cs="宋体"/>
      <w:color w:val="000000"/>
      <w:sz w:val="24"/>
      <w:szCs w:val="24"/>
    </w:rPr>
  </w:style>
  <w:style w:type="character" w:customStyle="1" w:styleId="449">
    <w:name w:val="ak1"/>
    <w:basedOn w:val="109"/>
    <w:semiHidden/>
    <w:qFormat/>
    <w:uiPriority w:val="0"/>
    <w:rPr>
      <w:spacing w:val="270"/>
      <w:sz w:val="18"/>
      <w:szCs w:val="18"/>
    </w:rPr>
  </w:style>
  <w:style w:type="character" w:customStyle="1" w:styleId="450">
    <w:name w:val="style8 style50"/>
    <w:basedOn w:val="109"/>
    <w:semiHidden/>
    <w:qFormat/>
    <w:uiPriority w:val="0"/>
  </w:style>
  <w:style w:type="character" w:customStyle="1" w:styleId="451">
    <w:name w:val="linesp"/>
    <w:basedOn w:val="109"/>
    <w:semiHidden/>
    <w:qFormat/>
    <w:uiPriority w:val="0"/>
  </w:style>
  <w:style w:type="paragraph" w:customStyle="1" w:styleId="452">
    <w:name w:val="表格文本 小五 居中"/>
    <w:basedOn w:val="1"/>
    <w:semiHidden/>
    <w:qFormat/>
    <w:uiPriority w:val="0"/>
    <w:pPr>
      <w:adjustRightInd w:val="0"/>
      <w:snapToGrid w:val="0"/>
      <w:jc w:val="center"/>
    </w:pPr>
    <w:rPr>
      <w:rFonts w:ascii="宋体" w:cs="宋体"/>
      <w:color w:val="FF0000"/>
      <w:sz w:val="18"/>
      <w:szCs w:val="18"/>
    </w:rPr>
  </w:style>
  <w:style w:type="paragraph" w:customStyle="1" w:styleId="453">
    <w:name w:val="表格文本 五号 居中 单倍行距"/>
    <w:basedOn w:val="1"/>
    <w:semiHidden/>
    <w:qFormat/>
    <w:uiPriority w:val="0"/>
    <w:pPr>
      <w:keepNext/>
      <w:adjustRightInd w:val="0"/>
      <w:snapToGrid w:val="0"/>
      <w:jc w:val="center"/>
      <w:textAlignment w:val="baseline"/>
    </w:pPr>
    <w:rPr>
      <w:rFonts w:ascii="宋体" w:cs="宋体"/>
    </w:rPr>
  </w:style>
  <w:style w:type="paragraph" w:customStyle="1" w:styleId="454">
    <w:name w:val="标准文本 居中 单倍行距 Char"/>
    <w:basedOn w:val="1"/>
    <w:semiHidden/>
    <w:qFormat/>
    <w:uiPriority w:val="0"/>
    <w:pPr>
      <w:adjustRightInd w:val="0"/>
      <w:snapToGrid w:val="0"/>
      <w:spacing w:before="120" w:line="480" w:lineRule="exact"/>
      <w:jc w:val="center"/>
      <w:textAlignment w:val="center"/>
    </w:pPr>
    <w:rPr>
      <w:rFonts w:ascii="黑体" w:eastAsia="黑体" w:cs="宋体"/>
      <w:b/>
      <w:sz w:val="24"/>
      <w:szCs w:val="24"/>
    </w:rPr>
  </w:style>
  <w:style w:type="paragraph" w:customStyle="1" w:styleId="455">
    <w:name w:val="样式 正文文本缩进 + 首行缩进:  1 字符 行距: 固定值 26 磅"/>
    <w:basedOn w:val="1"/>
    <w:semiHidden/>
    <w:qFormat/>
    <w:uiPriority w:val="0"/>
    <w:pPr>
      <w:spacing w:before="50" w:line="360" w:lineRule="auto"/>
      <w:ind w:firstLine="561"/>
    </w:pPr>
    <w:rPr>
      <w:rFonts w:ascii="宋体"/>
      <w:sz w:val="24"/>
    </w:rPr>
  </w:style>
  <w:style w:type="paragraph" w:customStyle="1" w:styleId="456">
    <w:name w:val="001"/>
    <w:basedOn w:val="1"/>
    <w:semiHidden/>
    <w:qFormat/>
    <w:uiPriority w:val="0"/>
    <w:pPr>
      <w:spacing w:beforeLines="50" w:afterLines="50"/>
      <w:jc w:val="center"/>
    </w:pPr>
    <w:rPr>
      <w:rFonts w:ascii="黑体" w:eastAsia="黑体"/>
      <w:sz w:val="32"/>
      <w:szCs w:val="32"/>
    </w:rPr>
  </w:style>
  <w:style w:type="character" w:customStyle="1" w:styleId="457">
    <w:name w:val="zgl11"/>
    <w:basedOn w:val="109"/>
    <w:semiHidden/>
    <w:qFormat/>
    <w:uiPriority w:val="0"/>
    <w:rPr>
      <w:rFonts w:hint="default" w:ascii="ˎ̥" w:hAnsi="ˎ̥"/>
      <w:color w:val="000000"/>
      <w:sz w:val="27"/>
      <w:szCs w:val="27"/>
      <w:u w:val="none"/>
    </w:rPr>
  </w:style>
  <w:style w:type="paragraph" w:customStyle="1" w:styleId="458">
    <w:name w:val="Char21"/>
    <w:basedOn w:val="1"/>
    <w:semiHidden/>
    <w:qFormat/>
    <w:uiPriority w:val="0"/>
    <w:rPr>
      <w:rFonts w:ascii="宋体"/>
      <w:szCs w:val="24"/>
    </w:rPr>
  </w:style>
  <w:style w:type="paragraph" w:customStyle="1" w:styleId="459">
    <w:name w:val="1 Char Char Char Char"/>
    <w:basedOn w:val="1"/>
    <w:semiHidden/>
    <w:qFormat/>
    <w:uiPriority w:val="0"/>
    <w:pPr>
      <w:spacing w:line="360" w:lineRule="auto"/>
      <w:ind w:firstLine="200" w:firstLineChars="200"/>
    </w:pPr>
    <w:rPr>
      <w:rFonts w:ascii="宋体"/>
    </w:rPr>
  </w:style>
  <w:style w:type="paragraph" w:customStyle="1" w:styleId="460">
    <w:name w:val="Char31"/>
    <w:basedOn w:val="1"/>
    <w:semiHidden/>
    <w:qFormat/>
    <w:uiPriority w:val="0"/>
    <w:rPr>
      <w:rFonts w:ascii="宋体"/>
      <w:szCs w:val="24"/>
    </w:rPr>
  </w:style>
  <w:style w:type="character" w:customStyle="1" w:styleId="461">
    <w:name w:val="apple-style-span"/>
    <w:basedOn w:val="109"/>
    <w:semiHidden/>
    <w:qFormat/>
    <w:uiPriority w:val="0"/>
  </w:style>
  <w:style w:type="character" w:customStyle="1" w:styleId="462">
    <w:name w:val="c1"/>
    <w:basedOn w:val="109"/>
    <w:semiHidden/>
    <w:qFormat/>
    <w:uiPriority w:val="0"/>
    <w:rPr>
      <w:rFonts w:hint="default" w:ascii="ˎ̥" w:hAnsi="ˎ̥"/>
      <w:color w:val="000000"/>
      <w:sz w:val="21"/>
      <w:szCs w:val="21"/>
      <w:u w:val="none"/>
    </w:rPr>
  </w:style>
  <w:style w:type="paragraph" w:customStyle="1" w:styleId="463">
    <w:name w:val="Char11"/>
    <w:basedOn w:val="1"/>
    <w:semiHidden/>
    <w:qFormat/>
    <w:uiPriority w:val="0"/>
    <w:rPr>
      <w:rFonts w:ascii="宋体"/>
      <w:sz w:val="24"/>
      <w:szCs w:val="24"/>
    </w:rPr>
  </w:style>
  <w:style w:type="paragraph" w:customStyle="1" w:styleId="464">
    <w:name w:val="Char Char Char Char Char Char Char Char Char1"/>
    <w:basedOn w:val="1"/>
    <w:semiHidden/>
    <w:qFormat/>
    <w:uiPriority w:val="0"/>
    <w:rPr>
      <w:rFonts w:ascii="宋体"/>
      <w:szCs w:val="24"/>
    </w:rPr>
  </w:style>
  <w:style w:type="character" w:customStyle="1" w:styleId="465">
    <w:name w:val="纯文本 Char Char Char"/>
    <w:basedOn w:val="109"/>
    <w:semiHidden/>
    <w:qFormat/>
    <w:uiPriority w:val="0"/>
    <w:rPr>
      <w:rFonts w:ascii="宋体" w:hAnsi="Courier New" w:eastAsia="宋体" w:cs="Courier New"/>
      <w:kern w:val="2"/>
      <w:sz w:val="24"/>
      <w:szCs w:val="21"/>
      <w:lang w:val="en-US" w:eastAsia="zh-CN" w:bidi="ar-SA"/>
    </w:rPr>
  </w:style>
  <w:style w:type="paragraph" w:customStyle="1" w:styleId="466">
    <w:name w:val="Char Char Char Char Char Char Char Char Char Char Char Char Char Char Char Char Char Char Char Char Char Char Char Char Char Char Char Char Char Char Char Char Char Char Char Char Char Char Char Char Char Char"/>
    <w:basedOn w:val="1"/>
    <w:semiHidden/>
    <w:qFormat/>
    <w:uiPriority w:val="0"/>
    <w:rPr>
      <w:szCs w:val="24"/>
    </w:rPr>
  </w:style>
  <w:style w:type="paragraph" w:customStyle="1" w:styleId="467">
    <w:name w:val="Char Char Char Char Char Char Char Char Char Char Char Char Char Char Char Char Char Char Char Char Char Char Char Char Char Char Char Char Char Char Char Char Char Char Char Char Char Char Char"/>
    <w:basedOn w:val="1"/>
    <w:semiHidden/>
    <w:qFormat/>
    <w:uiPriority w:val="0"/>
    <w:rPr>
      <w:szCs w:val="24"/>
    </w:rPr>
  </w:style>
  <w:style w:type="character" w:customStyle="1" w:styleId="468">
    <w:name w:val="题注 字符1"/>
    <w:basedOn w:val="109"/>
    <w:link w:val="19"/>
    <w:semiHidden/>
    <w:qFormat/>
    <w:uiPriority w:val="0"/>
    <w:rPr>
      <w:rFonts w:ascii="Arial" w:hAnsi="Arial" w:eastAsia="黑体"/>
      <w:b/>
      <w:sz w:val="26"/>
    </w:rPr>
  </w:style>
  <w:style w:type="character" w:customStyle="1" w:styleId="469">
    <w:name w:val="headline-content2"/>
    <w:basedOn w:val="109"/>
    <w:semiHidden/>
    <w:qFormat/>
    <w:uiPriority w:val="0"/>
  </w:style>
  <w:style w:type="paragraph" w:customStyle="1" w:styleId="470">
    <w:name w:val="表格标题1"/>
    <w:basedOn w:val="1"/>
    <w:semiHidden/>
    <w:qFormat/>
    <w:uiPriority w:val="0"/>
    <w:pPr>
      <w:spacing w:line="360" w:lineRule="auto"/>
      <w:jc w:val="center"/>
    </w:pPr>
    <w:rPr>
      <w:rFonts w:ascii="黑体" w:hAnsi="宋体" w:eastAsia="黑体"/>
      <w:b/>
      <w:color w:val="000000"/>
      <w:sz w:val="24"/>
      <w:szCs w:val="24"/>
    </w:rPr>
  </w:style>
  <w:style w:type="paragraph" w:customStyle="1" w:styleId="471">
    <w:name w:val="正文内容"/>
    <w:basedOn w:val="70"/>
    <w:link w:val="472"/>
    <w:semiHidden/>
    <w:qFormat/>
    <w:uiPriority w:val="0"/>
    <w:pPr>
      <w:spacing w:after="0" w:line="240" w:lineRule="auto"/>
    </w:pPr>
  </w:style>
  <w:style w:type="character" w:customStyle="1" w:styleId="472">
    <w:name w:val="正文内容 Char"/>
    <w:basedOn w:val="109"/>
    <w:link w:val="471"/>
    <w:semiHidden/>
    <w:qFormat/>
    <w:uiPriority w:val="0"/>
  </w:style>
  <w:style w:type="character" w:customStyle="1" w:styleId="473">
    <w:name w:val="图表注 Char"/>
    <w:basedOn w:val="109"/>
    <w:semiHidden/>
    <w:qFormat/>
    <w:uiPriority w:val="0"/>
    <w:rPr>
      <w:rFonts w:eastAsia="黑体"/>
      <w:kern w:val="2"/>
      <w:sz w:val="24"/>
      <w:szCs w:val="24"/>
      <w:lang w:val="en-US" w:eastAsia="zh-CN" w:bidi="ar-SA"/>
    </w:rPr>
  </w:style>
  <w:style w:type="paragraph" w:customStyle="1" w:styleId="474">
    <w:name w:val="样式 题注 + 黑体 小四 加粗"/>
    <w:basedOn w:val="19"/>
    <w:link w:val="475"/>
    <w:semiHidden/>
    <w:qFormat/>
    <w:uiPriority w:val="0"/>
    <w:rPr>
      <w:rFonts w:ascii="黑体" w:hAnsi="黑体"/>
      <w:b w:val="0"/>
      <w:bCs/>
      <w:sz w:val="24"/>
    </w:rPr>
  </w:style>
  <w:style w:type="character" w:customStyle="1" w:styleId="475">
    <w:name w:val="样式 题注 + 黑体 小四 加粗 Char"/>
    <w:basedOn w:val="109"/>
    <w:link w:val="474"/>
    <w:semiHidden/>
    <w:qFormat/>
    <w:uiPriority w:val="0"/>
    <w:rPr>
      <w:rFonts w:ascii="黑体" w:hAnsi="黑体" w:eastAsia="黑体"/>
      <w:bCs/>
      <w:sz w:val="24"/>
    </w:rPr>
  </w:style>
  <w:style w:type="paragraph" w:customStyle="1" w:styleId="476">
    <w:name w:val="样式 标题 2 + 黑色"/>
    <w:basedOn w:val="3"/>
    <w:next w:val="155"/>
    <w:link w:val="477"/>
    <w:semiHidden/>
    <w:qFormat/>
    <w:uiPriority w:val="0"/>
    <w:pPr>
      <w:widowControl w:val="0"/>
      <w:tabs>
        <w:tab w:val="left" w:pos="720"/>
      </w:tabs>
      <w:spacing w:before="100" w:beforeAutospacing="1" w:line="360" w:lineRule="auto"/>
      <w:ind w:left="720" w:hanging="720"/>
      <w:jc w:val="both"/>
    </w:pPr>
    <w:rPr>
      <w:rFonts w:ascii="黑体" w:hAnsi="Arial"/>
      <w:color w:val="000000"/>
      <w:kern w:val="18"/>
      <w:sz w:val="30"/>
    </w:rPr>
  </w:style>
  <w:style w:type="character" w:customStyle="1" w:styleId="477">
    <w:name w:val="样式 标题 2 + 黑色 Char"/>
    <w:basedOn w:val="109"/>
    <w:link w:val="476"/>
    <w:semiHidden/>
    <w:qFormat/>
    <w:uiPriority w:val="0"/>
    <w:rPr>
      <w:rFonts w:ascii="黑体" w:hAnsi="Arial" w:eastAsia="黑体"/>
      <w:b/>
      <w:color w:val="000000"/>
      <w:kern w:val="18"/>
      <w:sz w:val="30"/>
      <w:szCs w:val="30"/>
    </w:rPr>
  </w:style>
  <w:style w:type="paragraph" w:customStyle="1" w:styleId="478">
    <w:name w:val="样式 正文首行缩进 2 + 黑体 加粗"/>
    <w:basedOn w:val="155"/>
    <w:next w:val="155"/>
    <w:semiHidden/>
    <w:qFormat/>
    <w:uiPriority w:val="0"/>
    <w:pPr>
      <w:tabs>
        <w:tab w:val="clear" w:pos="420"/>
      </w:tabs>
      <w:spacing w:after="0"/>
      <w:ind w:left="0" w:leftChars="0" w:firstLine="200" w:firstLineChars="200"/>
    </w:pPr>
    <w:rPr>
      <w:rFonts w:hAnsi="黑体"/>
      <w:bCs/>
      <w:sz w:val="24"/>
    </w:rPr>
  </w:style>
  <w:style w:type="paragraph" w:customStyle="1" w:styleId="479">
    <w:name w:val="样式 正文文本缩进 3 +"/>
    <w:basedOn w:val="65"/>
    <w:semiHidden/>
    <w:qFormat/>
    <w:uiPriority w:val="0"/>
    <w:pPr>
      <w:spacing w:after="0" w:line="560" w:lineRule="exact"/>
      <w:ind w:left="0" w:leftChars="0" w:firstLine="200" w:firstLineChars="200"/>
    </w:pPr>
    <w:rPr>
      <w:sz w:val="28"/>
      <w:szCs w:val="24"/>
    </w:rPr>
  </w:style>
  <w:style w:type="paragraph" w:customStyle="1" w:styleId="480">
    <w:name w:val="样式 行距: 固定值 30 磅"/>
    <w:basedOn w:val="1"/>
    <w:semiHidden/>
    <w:qFormat/>
    <w:uiPriority w:val="0"/>
    <w:pPr>
      <w:spacing w:line="600" w:lineRule="exact"/>
      <w:ind w:firstLine="560" w:firstLineChars="200"/>
    </w:pPr>
    <w:rPr>
      <w:rFonts w:ascii="宋体" w:cs="宋体"/>
      <w:szCs w:val="21"/>
    </w:rPr>
  </w:style>
  <w:style w:type="paragraph" w:customStyle="1" w:styleId="481">
    <w:name w:val="样式 样式 正文首行缩进 2 + (符号) 宋体 + (符号) 宋体 + (符号) 宋体 首行缩进:  2 字符"/>
    <w:basedOn w:val="425"/>
    <w:semiHidden/>
    <w:qFormat/>
    <w:uiPriority w:val="0"/>
    <w:pPr>
      <w:spacing w:line="480" w:lineRule="auto"/>
      <w:ind w:firstLine="464"/>
    </w:pPr>
    <w:rPr>
      <w:rFonts w:hAnsi="宋体" w:cs="宋体"/>
      <w:spacing w:val="-4"/>
    </w:rPr>
  </w:style>
  <w:style w:type="paragraph" w:customStyle="1" w:styleId="482">
    <w:name w:val="2"/>
    <w:basedOn w:val="1"/>
    <w:next w:val="40"/>
    <w:semiHidden/>
    <w:qFormat/>
    <w:uiPriority w:val="0"/>
    <w:rPr>
      <w:rFonts w:ascii="宋体" w:hAnsi="Courier New" w:cs="Courier New"/>
      <w:szCs w:val="21"/>
      <w:vertAlign w:val="superscript"/>
    </w:rPr>
  </w:style>
  <w:style w:type="character" w:customStyle="1" w:styleId="483">
    <w:name w:val="Char Char5"/>
    <w:basedOn w:val="109"/>
    <w:semiHidden/>
    <w:qFormat/>
    <w:uiPriority w:val="0"/>
    <w:rPr>
      <w:rFonts w:ascii="宋体" w:hAnsi="宋体" w:eastAsia="宋体" w:cs="Arial"/>
      <w:b/>
      <w:bCs/>
      <w:kern w:val="2"/>
      <w:sz w:val="28"/>
      <w:szCs w:val="28"/>
      <w:lang w:val="en-US" w:eastAsia="zh-CN" w:bidi="ar-SA"/>
    </w:rPr>
  </w:style>
  <w:style w:type="character" w:customStyle="1" w:styleId="484">
    <w:name w:val="正文缩进 Char2"/>
    <w:basedOn w:val="109"/>
    <w:semiHidden/>
    <w:qFormat/>
    <w:uiPriority w:val="0"/>
    <w:rPr>
      <w:rFonts w:ascii="宋体" w:eastAsia="宋体"/>
      <w:kern w:val="2"/>
      <w:sz w:val="24"/>
      <w:szCs w:val="24"/>
      <w:lang w:val="en-US" w:eastAsia="zh-CN" w:bidi="ar-SA"/>
    </w:rPr>
  </w:style>
  <w:style w:type="paragraph" w:customStyle="1" w:styleId="485">
    <w:name w:val="样式 样式表格 + 首行缩进:  0.85 厘米"/>
    <w:basedOn w:val="331"/>
    <w:semiHidden/>
    <w:qFormat/>
    <w:uiPriority w:val="0"/>
    <w:pPr>
      <w:spacing w:line="320" w:lineRule="exact"/>
    </w:pPr>
    <w:rPr>
      <w:rFonts w:cs="宋体"/>
      <w:szCs w:val="20"/>
    </w:rPr>
  </w:style>
  <w:style w:type="paragraph" w:customStyle="1" w:styleId="486">
    <w:name w:val="样式表"/>
    <w:basedOn w:val="19"/>
    <w:link w:val="487"/>
    <w:semiHidden/>
    <w:qFormat/>
    <w:uiPriority w:val="0"/>
    <w:pPr>
      <w:keepNext/>
      <w:spacing w:beforeLines="50" w:afterLines="50" w:line="320" w:lineRule="exact"/>
    </w:pPr>
    <w:rPr>
      <w:b w:val="0"/>
      <w:color w:val="000000"/>
      <w:spacing w:val="8"/>
      <w:sz w:val="24"/>
      <w:szCs w:val="24"/>
    </w:rPr>
  </w:style>
  <w:style w:type="character" w:customStyle="1" w:styleId="487">
    <w:name w:val="样式表 Char"/>
    <w:basedOn w:val="109"/>
    <w:link w:val="486"/>
    <w:semiHidden/>
    <w:qFormat/>
    <w:uiPriority w:val="0"/>
    <w:rPr>
      <w:rFonts w:ascii="Arial" w:hAnsi="Arial" w:eastAsia="黑体"/>
      <w:color w:val="000000"/>
      <w:spacing w:val="8"/>
      <w:sz w:val="24"/>
      <w:szCs w:val="24"/>
    </w:rPr>
  </w:style>
  <w:style w:type="paragraph" w:customStyle="1" w:styleId="488">
    <w:name w:val="段落1"/>
    <w:basedOn w:val="1"/>
    <w:link w:val="489"/>
    <w:semiHidden/>
    <w:qFormat/>
    <w:uiPriority w:val="0"/>
    <w:pPr>
      <w:tabs>
        <w:tab w:val="left" w:pos="180"/>
        <w:tab w:val="left" w:pos="2340"/>
        <w:tab w:val="left" w:pos="3420"/>
        <w:tab w:val="left" w:pos="4140"/>
        <w:tab w:val="left" w:pos="5580"/>
      </w:tabs>
      <w:spacing w:line="440" w:lineRule="exact"/>
      <w:ind w:firstLine="480" w:firstLineChars="200"/>
      <w:outlineLvl w:val="0"/>
    </w:pPr>
    <w:rPr>
      <w:color w:val="000000"/>
      <w:sz w:val="24"/>
      <w:szCs w:val="24"/>
    </w:rPr>
  </w:style>
  <w:style w:type="character" w:customStyle="1" w:styleId="489">
    <w:name w:val="段落1 Char1"/>
    <w:basedOn w:val="109"/>
    <w:link w:val="488"/>
    <w:semiHidden/>
    <w:qFormat/>
    <w:uiPriority w:val="0"/>
    <w:rPr>
      <w:color w:val="000000"/>
      <w:sz w:val="24"/>
      <w:szCs w:val="24"/>
    </w:rPr>
  </w:style>
  <w:style w:type="paragraph" w:customStyle="1" w:styleId="490">
    <w:name w:val="正文3"/>
    <w:basedOn w:val="1"/>
    <w:link w:val="2059"/>
    <w:semiHidden/>
    <w:qFormat/>
    <w:uiPriority w:val="0"/>
    <w:pPr>
      <w:keepNext/>
      <w:adjustRightInd w:val="0"/>
      <w:spacing w:before="160" w:line="300" w:lineRule="auto"/>
      <w:ind w:firstLine="480" w:firstLineChars="200"/>
      <w:jc w:val="center"/>
      <w:textAlignment w:val="baseline"/>
    </w:pPr>
    <w:rPr>
      <w:sz w:val="28"/>
    </w:rPr>
  </w:style>
  <w:style w:type="paragraph" w:customStyle="1" w:styleId="491">
    <w:name w:val="正文样式1"/>
    <w:basedOn w:val="1"/>
    <w:link w:val="564"/>
    <w:semiHidden/>
    <w:qFormat/>
    <w:uiPriority w:val="0"/>
    <w:pPr>
      <w:adjustRightInd w:val="0"/>
      <w:spacing w:before="160" w:line="300" w:lineRule="auto"/>
      <w:ind w:firstLine="3840" w:firstLineChars="1600"/>
      <w:textAlignment w:val="baseline"/>
    </w:pPr>
    <w:rPr>
      <w:snapToGrid w:val="0"/>
      <w:position w:val="-12"/>
      <w:sz w:val="24"/>
    </w:rPr>
  </w:style>
  <w:style w:type="paragraph" w:customStyle="1" w:styleId="492">
    <w:name w:val="表文"/>
    <w:basedOn w:val="1"/>
    <w:semiHidden/>
    <w:qFormat/>
    <w:uiPriority w:val="0"/>
    <w:pPr>
      <w:spacing w:before="40" w:after="40" w:line="300" w:lineRule="auto"/>
      <w:ind w:firstLine="480" w:firstLineChars="200"/>
      <w:jc w:val="center"/>
    </w:pPr>
    <w:rPr>
      <w:sz w:val="18"/>
      <w:szCs w:val="24"/>
    </w:rPr>
  </w:style>
  <w:style w:type="paragraph" w:customStyle="1" w:styleId="493">
    <w:name w:val="封面标题"/>
    <w:basedOn w:val="1"/>
    <w:semiHidden/>
    <w:qFormat/>
    <w:uiPriority w:val="0"/>
    <w:pPr>
      <w:spacing w:beforeLines="50" w:afterLines="50" w:line="300" w:lineRule="auto"/>
      <w:ind w:firstLine="480" w:firstLineChars="200"/>
      <w:jc w:val="center"/>
    </w:pPr>
    <w:rPr>
      <w:b/>
      <w:sz w:val="30"/>
      <w:szCs w:val="24"/>
    </w:rPr>
  </w:style>
  <w:style w:type="paragraph" w:customStyle="1" w:styleId="494">
    <w:name w:val="封面名称日期"/>
    <w:basedOn w:val="1"/>
    <w:semiHidden/>
    <w:qFormat/>
    <w:uiPriority w:val="0"/>
    <w:pPr>
      <w:spacing w:before="160" w:afterLines="50" w:line="300" w:lineRule="auto"/>
      <w:ind w:firstLine="480" w:firstLineChars="200"/>
      <w:jc w:val="center"/>
    </w:pPr>
    <w:rPr>
      <w:b/>
      <w:sz w:val="24"/>
      <w:szCs w:val="24"/>
    </w:rPr>
  </w:style>
  <w:style w:type="paragraph" w:customStyle="1" w:styleId="495">
    <w:name w:val="表格文字2"/>
    <w:basedOn w:val="1"/>
    <w:semiHidden/>
    <w:qFormat/>
    <w:uiPriority w:val="0"/>
    <w:pPr>
      <w:tabs>
        <w:tab w:val="left" w:pos="277"/>
        <w:tab w:val="left" w:pos="600"/>
        <w:tab w:val="left" w:pos="780"/>
        <w:tab w:val="left" w:pos="2517"/>
      </w:tabs>
      <w:adjustRightInd w:val="0"/>
      <w:spacing w:line="300" w:lineRule="auto"/>
      <w:ind w:firstLine="480" w:firstLineChars="200"/>
      <w:jc w:val="center"/>
      <w:textAlignment w:val="baseline"/>
    </w:pPr>
    <w:rPr>
      <w:szCs w:val="21"/>
    </w:rPr>
  </w:style>
  <w:style w:type="character" w:customStyle="1" w:styleId="496">
    <w:name w:val="尾注文本 字符"/>
    <w:basedOn w:val="109"/>
    <w:link w:val="46"/>
    <w:semiHidden/>
    <w:qFormat/>
    <w:uiPriority w:val="0"/>
    <w:rPr>
      <w:szCs w:val="24"/>
    </w:rPr>
  </w:style>
  <w:style w:type="paragraph" w:customStyle="1" w:styleId="497">
    <w:name w:val="表文左对齐"/>
    <w:basedOn w:val="492"/>
    <w:semiHidden/>
    <w:qFormat/>
    <w:uiPriority w:val="0"/>
    <w:pPr>
      <w:adjustRightInd w:val="0"/>
      <w:snapToGrid w:val="0"/>
      <w:spacing w:before="0" w:after="0" w:line="240" w:lineRule="auto"/>
      <w:ind w:firstLine="0" w:firstLineChars="0"/>
      <w:jc w:val="both"/>
    </w:pPr>
    <w:rPr>
      <w:bCs/>
      <w:szCs w:val="18"/>
    </w:rPr>
  </w:style>
  <w:style w:type="paragraph" w:customStyle="1" w:styleId="498">
    <w:name w:val="文字缩进"/>
    <w:basedOn w:val="1"/>
    <w:semiHidden/>
    <w:qFormat/>
    <w:uiPriority w:val="0"/>
    <w:pPr>
      <w:tabs>
        <w:tab w:val="left" w:pos="4802"/>
      </w:tabs>
      <w:adjustRightInd w:val="0"/>
      <w:snapToGrid w:val="0"/>
      <w:ind w:left="1134" w:firstLine="420"/>
    </w:pPr>
    <w:rPr>
      <w:color w:val="000000"/>
      <w:lang w:val="es-ES"/>
    </w:rPr>
  </w:style>
  <w:style w:type="paragraph" w:customStyle="1" w:styleId="499">
    <w:name w:val="法规列表"/>
    <w:basedOn w:val="1"/>
    <w:semiHidden/>
    <w:qFormat/>
    <w:uiPriority w:val="0"/>
    <w:pPr>
      <w:numPr>
        <w:ilvl w:val="0"/>
        <w:numId w:val="4"/>
      </w:numPr>
      <w:spacing w:before="50" w:line="300" w:lineRule="auto"/>
      <w:ind w:firstLine="200" w:firstLineChars="200"/>
    </w:pPr>
    <w:rPr>
      <w:sz w:val="24"/>
      <w:szCs w:val="24"/>
    </w:rPr>
  </w:style>
  <w:style w:type="paragraph" w:customStyle="1" w:styleId="500">
    <w:name w:val="表文小"/>
    <w:basedOn w:val="1"/>
    <w:semiHidden/>
    <w:qFormat/>
    <w:uiPriority w:val="0"/>
    <w:pPr>
      <w:jc w:val="center"/>
    </w:pPr>
    <w:rPr>
      <w:rFonts w:eastAsia="仿宋_GB2312"/>
      <w:sz w:val="15"/>
    </w:rPr>
  </w:style>
  <w:style w:type="paragraph" w:customStyle="1" w:styleId="501">
    <w:name w:val="封2"/>
    <w:basedOn w:val="1"/>
    <w:semiHidden/>
    <w:qFormat/>
    <w:uiPriority w:val="0"/>
    <w:pPr>
      <w:spacing w:before="50" w:line="300" w:lineRule="auto"/>
      <w:ind w:firstLine="480" w:firstLineChars="200"/>
    </w:pPr>
    <w:rPr>
      <w:sz w:val="24"/>
      <w:szCs w:val="24"/>
    </w:rPr>
  </w:style>
  <w:style w:type="paragraph" w:customStyle="1" w:styleId="502">
    <w:name w:val="图形标题"/>
    <w:basedOn w:val="1"/>
    <w:next w:val="1"/>
    <w:semiHidden/>
    <w:qFormat/>
    <w:uiPriority w:val="0"/>
    <w:pPr>
      <w:adjustRightInd w:val="0"/>
      <w:snapToGrid w:val="0"/>
      <w:spacing w:before="120" w:after="120"/>
      <w:jc w:val="center"/>
    </w:pPr>
    <w:rPr>
      <w:rFonts w:ascii="Times" w:hAnsi="Times"/>
      <w:b/>
      <w:color w:val="000000"/>
    </w:rPr>
  </w:style>
  <w:style w:type="paragraph" w:customStyle="1" w:styleId="503">
    <w:name w:val="单元格"/>
    <w:basedOn w:val="1"/>
    <w:semiHidden/>
    <w:qFormat/>
    <w:uiPriority w:val="0"/>
    <w:pPr>
      <w:spacing w:line="300" w:lineRule="auto"/>
      <w:ind w:firstLine="480" w:firstLineChars="200"/>
      <w:jc w:val="center"/>
    </w:pPr>
    <w:rPr>
      <w:rFonts w:hint="eastAsia" w:ascii="黑体" w:eastAsia="黑体"/>
      <w:b/>
      <w:szCs w:val="24"/>
    </w:rPr>
  </w:style>
  <w:style w:type="paragraph" w:customStyle="1" w:styleId="504">
    <w:name w:val="报告标题3"/>
    <w:basedOn w:val="1"/>
    <w:semiHidden/>
    <w:qFormat/>
    <w:uiPriority w:val="0"/>
    <w:pPr>
      <w:tabs>
        <w:tab w:val="left" w:pos="1080"/>
      </w:tabs>
      <w:autoSpaceDE w:val="0"/>
      <w:autoSpaceDN w:val="0"/>
      <w:spacing w:line="300" w:lineRule="auto"/>
      <w:ind w:left="1080" w:hanging="1080" w:firstLineChars="200"/>
      <w:textAlignment w:val="baseline"/>
    </w:pPr>
    <w:rPr>
      <w:rFonts w:ascii="宋体"/>
      <w:b/>
      <w:sz w:val="28"/>
    </w:rPr>
  </w:style>
  <w:style w:type="paragraph" w:customStyle="1" w:styleId="505">
    <w:name w:val="报告表  段"/>
    <w:basedOn w:val="1"/>
    <w:semiHidden/>
    <w:qFormat/>
    <w:uiPriority w:val="0"/>
    <w:pPr>
      <w:adjustRightInd w:val="0"/>
      <w:spacing w:line="360" w:lineRule="auto"/>
      <w:ind w:firstLine="505" w:firstLineChars="200"/>
      <w:textAlignment w:val="baseline"/>
    </w:pPr>
    <w:rPr>
      <w:rFonts w:ascii="宋体"/>
      <w:sz w:val="24"/>
    </w:rPr>
  </w:style>
  <w:style w:type="paragraph" w:customStyle="1" w:styleId="506">
    <w:name w:val="假设列表"/>
    <w:basedOn w:val="1"/>
    <w:semiHidden/>
    <w:qFormat/>
    <w:uiPriority w:val="0"/>
    <w:pPr>
      <w:tabs>
        <w:tab w:val="left" w:pos="900"/>
      </w:tabs>
      <w:spacing w:before="156"/>
      <w:ind w:left="900" w:hanging="420"/>
    </w:pPr>
    <w:rPr>
      <w:rFonts w:ascii="仿宋_GB2312" w:eastAsia="仿宋_GB2312"/>
      <w:sz w:val="24"/>
    </w:rPr>
  </w:style>
  <w:style w:type="paragraph" w:customStyle="1" w:styleId="507">
    <w:name w:val="表格正文"/>
    <w:basedOn w:val="1"/>
    <w:link w:val="1697"/>
    <w:semiHidden/>
    <w:qFormat/>
    <w:uiPriority w:val="0"/>
    <w:pPr>
      <w:jc w:val="center"/>
    </w:pPr>
    <w:rPr>
      <w:rFonts w:ascii="宋体" w:hAnsi="宋体"/>
    </w:rPr>
  </w:style>
  <w:style w:type="paragraph" w:customStyle="1" w:styleId="508">
    <w:name w:val="记录label"/>
    <w:basedOn w:val="1"/>
    <w:semiHidden/>
    <w:qFormat/>
    <w:uiPriority w:val="0"/>
    <w:pPr>
      <w:spacing w:before="120" w:line="300" w:lineRule="auto"/>
      <w:ind w:firstLine="480" w:firstLineChars="200"/>
    </w:pPr>
    <w:rPr>
      <w:rFonts w:ascii="Arial" w:hAnsi="Arial"/>
      <w:color w:val="000000"/>
      <w:szCs w:val="15"/>
      <w:lang w:val="en-GB" w:eastAsia="zh-TW"/>
    </w:rPr>
  </w:style>
  <w:style w:type="paragraph" w:customStyle="1" w:styleId="509">
    <w:name w:val="表格式"/>
    <w:basedOn w:val="60"/>
    <w:semiHidden/>
    <w:qFormat/>
    <w:uiPriority w:val="0"/>
    <w:pPr>
      <w:adjustRightInd/>
      <w:spacing w:before="0" w:after="0" w:line="240" w:lineRule="auto"/>
      <w:ind w:firstLine="0"/>
      <w:textAlignment w:val="auto"/>
    </w:pPr>
    <w:rPr>
      <w:rFonts w:ascii="Calibri" w:hAnsi="Calibri"/>
      <w:kern w:val="2"/>
      <w:sz w:val="21"/>
      <w:szCs w:val="22"/>
    </w:rPr>
  </w:style>
  <w:style w:type="character" w:customStyle="1" w:styleId="510">
    <w:name w:val="第一条1"/>
    <w:basedOn w:val="109"/>
    <w:semiHidden/>
    <w:qFormat/>
    <w:uiPriority w:val="0"/>
    <w:rPr>
      <w:rFonts w:hint="eastAsia" w:ascii="黑体" w:eastAsia="黑体"/>
      <w:spacing w:val="400"/>
      <w:sz w:val="24"/>
      <w:szCs w:val="24"/>
    </w:rPr>
  </w:style>
  <w:style w:type="paragraph" w:customStyle="1" w:styleId="511">
    <w:name w:val="EIA标题1"/>
    <w:basedOn w:val="1"/>
    <w:semiHidden/>
    <w:qFormat/>
    <w:uiPriority w:val="0"/>
    <w:pPr>
      <w:keepNext/>
      <w:keepLines/>
      <w:pageBreakBefore/>
      <w:spacing w:beforeLines="100" w:afterLines="50" w:line="520" w:lineRule="atLeast"/>
      <w:ind w:firstLine="480" w:firstLineChars="200"/>
      <w:jc w:val="center"/>
      <w:outlineLvl w:val="2"/>
    </w:pPr>
    <w:rPr>
      <w:rFonts w:ascii="宋体" w:hAnsi="宋体" w:eastAsia="黑体"/>
      <w:bCs/>
      <w:kern w:val="44"/>
      <w:sz w:val="24"/>
      <w:szCs w:val="24"/>
    </w:rPr>
  </w:style>
  <w:style w:type="paragraph" w:customStyle="1" w:styleId="512">
    <w:name w:val="图名"/>
    <w:basedOn w:val="1"/>
    <w:link w:val="1677"/>
    <w:semiHidden/>
    <w:qFormat/>
    <w:uiPriority w:val="0"/>
    <w:pPr>
      <w:spacing w:line="360" w:lineRule="auto"/>
      <w:ind w:firstLine="480" w:firstLineChars="200"/>
    </w:pPr>
    <w:rPr>
      <w:rFonts w:ascii="黑体" w:eastAsia="黑体"/>
      <w:color w:val="000000"/>
      <w:sz w:val="24"/>
      <w:szCs w:val="24"/>
    </w:rPr>
  </w:style>
  <w:style w:type="character" w:customStyle="1" w:styleId="513">
    <w:name w:val="ggbody1"/>
    <w:basedOn w:val="109"/>
    <w:semiHidden/>
    <w:qFormat/>
    <w:uiPriority w:val="0"/>
  </w:style>
  <w:style w:type="paragraph" w:customStyle="1" w:styleId="514">
    <w:name w:val="a14"/>
    <w:basedOn w:val="1"/>
    <w:semiHidden/>
    <w:qFormat/>
    <w:uiPriority w:val="0"/>
    <w:pPr>
      <w:spacing w:before="100" w:beforeAutospacing="1" w:after="100" w:afterAutospacing="1" w:line="300" w:lineRule="atLeast"/>
      <w:ind w:firstLine="375" w:firstLineChars="200"/>
    </w:pPr>
    <w:rPr>
      <w:rFonts w:ascii="宋体" w:hAnsi="宋体"/>
      <w:szCs w:val="21"/>
    </w:rPr>
  </w:style>
  <w:style w:type="character" w:customStyle="1" w:styleId="515">
    <w:name w:val="ourfont"/>
    <w:basedOn w:val="109"/>
    <w:semiHidden/>
    <w:qFormat/>
    <w:uiPriority w:val="0"/>
  </w:style>
  <w:style w:type="character" w:customStyle="1" w:styleId="516">
    <w:name w:val="表题 Char"/>
    <w:basedOn w:val="109"/>
    <w:link w:val="365"/>
    <w:semiHidden/>
    <w:qFormat/>
    <w:uiPriority w:val="0"/>
    <w:rPr>
      <w:rFonts w:ascii="黑体" w:eastAsia="黑体"/>
      <w:kern w:val="16"/>
    </w:rPr>
  </w:style>
  <w:style w:type="paragraph" w:customStyle="1" w:styleId="517">
    <w:name w:val="样式 标题 3 + (西文) Times New Roman (中文) 宋体 小四 加粗"/>
    <w:basedOn w:val="4"/>
    <w:semiHidden/>
    <w:qFormat/>
    <w:uiPriority w:val="0"/>
    <w:pPr>
      <w:widowControl w:val="0"/>
      <w:adjustRightInd w:val="0"/>
      <w:snapToGrid w:val="0"/>
      <w:spacing w:beforeLines="50" w:afterLines="50" w:line="300" w:lineRule="auto"/>
      <w:textAlignment w:val="baseline"/>
      <w:outlineLvl w:val="9"/>
    </w:pPr>
    <w:rPr>
      <w:rFonts w:ascii="华文仿宋" w:hAnsi="华文仿宋" w:eastAsia="华文仿宋"/>
      <w:snapToGrid w:val="0"/>
      <w:color w:val="000000"/>
      <w:sz w:val="24"/>
    </w:rPr>
  </w:style>
  <w:style w:type="paragraph" w:customStyle="1" w:styleId="518">
    <w:name w:val="简单回函地址"/>
    <w:basedOn w:val="1"/>
    <w:semiHidden/>
    <w:qFormat/>
    <w:uiPriority w:val="0"/>
    <w:pPr>
      <w:spacing w:line="360" w:lineRule="auto"/>
      <w:ind w:firstLine="480" w:firstLineChars="200"/>
      <w:textAlignment w:val="baseline"/>
    </w:pPr>
  </w:style>
  <w:style w:type="paragraph" w:customStyle="1" w:styleId="519">
    <w:name w:val="样式 样式 标题 2节 + (西文) Times New Roman (中文) 宋体 四号 段前: 0.5 行 段后: 0......"/>
    <w:basedOn w:val="1"/>
    <w:semiHidden/>
    <w:qFormat/>
    <w:uiPriority w:val="0"/>
    <w:pPr>
      <w:keepNext/>
      <w:keepLines/>
      <w:adjustRightInd w:val="0"/>
      <w:snapToGrid w:val="0"/>
      <w:spacing w:beforeLines="90" w:afterLines="90" w:line="300" w:lineRule="auto"/>
      <w:ind w:firstLine="480" w:firstLineChars="200"/>
      <w:textAlignment w:val="baseline"/>
    </w:pPr>
    <w:rPr>
      <w:rFonts w:ascii="幼圆" w:eastAsia="幼圆"/>
      <w:b/>
      <w:sz w:val="28"/>
    </w:rPr>
  </w:style>
  <w:style w:type="paragraph" w:customStyle="1" w:styleId="520">
    <w:name w:val="样式 标题 1 + (中文) 宋体 小三 行距: 多倍行距 1.35 字行"/>
    <w:basedOn w:val="2"/>
    <w:semiHidden/>
    <w:qFormat/>
    <w:uiPriority w:val="0"/>
    <w:pPr>
      <w:snapToGrid w:val="0"/>
      <w:spacing w:beforeLines="150" w:afterLines="150" w:line="360" w:lineRule="auto"/>
      <w:contextualSpacing/>
      <w:textAlignment w:val="baseline"/>
      <w:outlineLvl w:val="9"/>
    </w:pPr>
    <w:rPr>
      <w:rFonts w:ascii="幼圆" w:eastAsia="幼圆"/>
      <w:color w:val="0000FF"/>
      <w:szCs w:val="20"/>
    </w:rPr>
  </w:style>
  <w:style w:type="paragraph" w:customStyle="1" w:styleId="521">
    <w:name w:val="样式 标题 4 + (西文) Times New Roman (中文) 宋体 小四"/>
    <w:basedOn w:val="5"/>
    <w:semiHidden/>
    <w:qFormat/>
    <w:uiPriority w:val="0"/>
    <w:pPr>
      <w:keepNext w:val="0"/>
      <w:keepLines w:val="0"/>
      <w:numPr>
        <w:numId w:val="0"/>
      </w:numPr>
      <w:kinsoku w:val="0"/>
      <w:overflowPunct w:val="0"/>
      <w:adjustRightInd w:val="0"/>
      <w:spacing w:beforeLines="25" w:afterLines="25" w:line="400" w:lineRule="exact"/>
      <w:textAlignment w:val="baseline"/>
    </w:pPr>
    <w:rPr>
      <w:rFonts w:ascii="幼圆" w:eastAsia="幼圆"/>
      <w:b w:val="0"/>
      <w:bCs w:val="0"/>
      <w:color w:val="0000FF"/>
      <w:szCs w:val="24"/>
    </w:rPr>
  </w:style>
  <w:style w:type="paragraph" w:customStyle="1" w:styleId="522">
    <w:name w:val="标准书眉_偶数页"/>
    <w:basedOn w:val="1"/>
    <w:next w:val="1"/>
    <w:semiHidden/>
    <w:qFormat/>
    <w:uiPriority w:val="0"/>
    <w:pPr>
      <w:tabs>
        <w:tab w:val="center" w:pos="4154"/>
        <w:tab w:val="right" w:pos="8306"/>
      </w:tabs>
      <w:spacing w:after="120" w:line="360" w:lineRule="auto"/>
      <w:ind w:firstLine="480" w:firstLineChars="200"/>
      <w:textAlignment w:val="baseline"/>
    </w:pPr>
  </w:style>
  <w:style w:type="paragraph" w:customStyle="1" w:styleId="523">
    <w:name w:val="正文新 Char"/>
    <w:basedOn w:val="1"/>
    <w:semiHidden/>
    <w:qFormat/>
    <w:uiPriority w:val="0"/>
    <w:pPr>
      <w:spacing w:line="360" w:lineRule="auto"/>
      <w:ind w:firstLine="480" w:firstLineChars="200"/>
      <w:textAlignment w:val="baseline"/>
    </w:pPr>
    <w:rPr>
      <w:sz w:val="24"/>
    </w:rPr>
  </w:style>
  <w:style w:type="character" w:customStyle="1" w:styleId="524">
    <w:name w:val="px14"/>
    <w:basedOn w:val="109"/>
    <w:semiHidden/>
    <w:qFormat/>
    <w:uiPriority w:val="0"/>
  </w:style>
  <w:style w:type="character" w:customStyle="1" w:styleId="525">
    <w:name w:val="报告正文 Char"/>
    <w:basedOn w:val="109"/>
    <w:link w:val="526"/>
    <w:semiHidden/>
    <w:qFormat/>
    <w:uiPriority w:val="1"/>
    <w:rPr>
      <w:sz w:val="24"/>
      <w:szCs w:val="24"/>
    </w:rPr>
  </w:style>
  <w:style w:type="paragraph" w:customStyle="1" w:styleId="526">
    <w:name w:val="报告正文"/>
    <w:basedOn w:val="1"/>
    <w:link w:val="525"/>
    <w:semiHidden/>
    <w:qFormat/>
    <w:uiPriority w:val="1"/>
    <w:pPr>
      <w:adjustRightInd w:val="0"/>
      <w:spacing w:beforeLines="50" w:afterLines="50" w:line="300" w:lineRule="auto"/>
      <w:ind w:firstLine="482"/>
    </w:pPr>
    <w:rPr>
      <w:sz w:val="24"/>
      <w:szCs w:val="24"/>
    </w:rPr>
  </w:style>
  <w:style w:type="paragraph" w:customStyle="1" w:styleId="527">
    <w:name w:val="正文001"/>
    <w:basedOn w:val="1"/>
    <w:link w:val="528"/>
    <w:semiHidden/>
    <w:qFormat/>
    <w:uiPriority w:val="0"/>
    <w:pPr>
      <w:spacing w:before="60" w:line="360" w:lineRule="auto"/>
      <w:ind w:firstLine="200" w:firstLineChars="200"/>
    </w:pPr>
    <w:rPr>
      <w:rFonts w:ascii="Arial" w:hAnsi="Arial"/>
      <w:sz w:val="24"/>
    </w:rPr>
  </w:style>
  <w:style w:type="character" w:customStyle="1" w:styleId="528">
    <w:name w:val="正文001 Char"/>
    <w:basedOn w:val="109"/>
    <w:link w:val="527"/>
    <w:semiHidden/>
    <w:qFormat/>
    <w:uiPriority w:val="0"/>
    <w:rPr>
      <w:rFonts w:ascii="Arial" w:hAnsi="Arial"/>
      <w:sz w:val="24"/>
    </w:rPr>
  </w:style>
  <w:style w:type="character" w:customStyle="1" w:styleId="529">
    <w:name w:val="fs"/>
    <w:basedOn w:val="109"/>
    <w:semiHidden/>
    <w:qFormat/>
    <w:uiPriority w:val="0"/>
  </w:style>
  <w:style w:type="paragraph" w:customStyle="1" w:styleId="530">
    <w:name w:val="1标题2级"/>
    <w:basedOn w:val="1"/>
    <w:semiHidden/>
    <w:qFormat/>
    <w:uiPriority w:val="0"/>
    <w:pPr>
      <w:snapToGrid w:val="0"/>
      <w:spacing w:line="360" w:lineRule="auto"/>
      <w:outlineLvl w:val="1"/>
    </w:pPr>
    <w:rPr>
      <w:rFonts w:eastAsia="仿宋_GB2312"/>
      <w:b/>
      <w:sz w:val="32"/>
    </w:rPr>
  </w:style>
  <w:style w:type="character" w:customStyle="1" w:styleId="531">
    <w:name w:val="脚注文本 字符"/>
    <w:basedOn w:val="109"/>
    <w:link w:val="61"/>
    <w:semiHidden/>
    <w:qFormat/>
    <w:uiPriority w:val="99"/>
    <w:rPr>
      <w:szCs w:val="24"/>
    </w:rPr>
  </w:style>
  <w:style w:type="paragraph" w:customStyle="1" w:styleId="532">
    <w:name w:val="样式 首行缩进:  2.57 字符"/>
    <w:basedOn w:val="1"/>
    <w:semiHidden/>
    <w:qFormat/>
    <w:uiPriority w:val="0"/>
    <w:pPr>
      <w:ind w:firstLine="720" w:firstLineChars="257"/>
    </w:pPr>
    <w:rPr>
      <w:rFonts w:cs="宋体"/>
      <w:sz w:val="28"/>
    </w:rPr>
  </w:style>
  <w:style w:type="paragraph" w:customStyle="1" w:styleId="533">
    <w:name w:val="Char1 Char Char Char"/>
    <w:basedOn w:val="1"/>
    <w:semiHidden/>
    <w:qFormat/>
    <w:uiPriority w:val="0"/>
    <w:pPr>
      <w:spacing w:line="360" w:lineRule="auto"/>
      <w:ind w:firstLine="200" w:firstLineChars="200"/>
    </w:pPr>
    <w:rPr>
      <w:rFonts w:ascii="宋体" w:hAnsi="宋体" w:cs="宋体"/>
      <w:sz w:val="24"/>
      <w:szCs w:val="24"/>
    </w:rPr>
  </w:style>
  <w:style w:type="paragraph" w:customStyle="1" w:styleId="534">
    <w:name w:val="15"/>
    <w:basedOn w:val="1"/>
    <w:semiHidden/>
    <w:qFormat/>
    <w:uiPriority w:val="0"/>
    <w:pPr>
      <w:snapToGrid w:val="0"/>
      <w:spacing w:before="100" w:beforeAutospacing="1" w:after="100" w:afterAutospacing="1"/>
    </w:pPr>
  </w:style>
  <w:style w:type="paragraph" w:customStyle="1" w:styleId="535">
    <w:name w:val="段落1 Char"/>
    <w:basedOn w:val="1"/>
    <w:semiHidden/>
    <w:qFormat/>
    <w:uiPriority w:val="0"/>
    <w:pPr>
      <w:adjustRightInd w:val="0"/>
      <w:spacing w:line="440" w:lineRule="exact"/>
      <w:ind w:firstLine="200" w:firstLineChars="200"/>
    </w:pPr>
    <w:rPr>
      <w:spacing w:val="8"/>
      <w:sz w:val="24"/>
    </w:rPr>
  </w:style>
  <w:style w:type="paragraph" w:customStyle="1" w:styleId="536">
    <w:name w:val="In Table"/>
    <w:basedOn w:val="1"/>
    <w:semiHidden/>
    <w:qFormat/>
    <w:uiPriority w:val="0"/>
    <w:pPr>
      <w:tabs>
        <w:tab w:val="left" w:pos="2200"/>
        <w:tab w:val="left" w:pos="3960"/>
        <w:tab w:val="left" w:pos="5280"/>
      </w:tabs>
      <w:spacing w:before="96" w:after="96" w:line="0" w:lineRule="atLeast"/>
      <w:jc w:val="center"/>
    </w:pPr>
    <w:rPr>
      <w:rFonts w:ascii="Tahoma" w:hAnsi="Tahoma" w:eastAsia="华文中宋"/>
    </w:rPr>
  </w:style>
  <w:style w:type="paragraph" w:customStyle="1" w:styleId="537">
    <w:name w:val="正文样式"/>
    <w:basedOn w:val="1"/>
    <w:link w:val="538"/>
    <w:semiHidden/>
    <w:qFormat/>
    <w:uiPriority w:val="0"/>
    <w:pPr>
      <w:spacing w:line="360" w:lineRule="auto"/>
      <w:ind w:firstLine="480" w:firstLineChars="200"/>
    </w:pPr>
    <w:rPr>
      <w:rFonts w:ascii="宋体" w:hAnsi="宋体"/>
      <w:color w:val="000000"/>
      <w:sz w:val="24"/>
      <w:szCs w:val="24"/>
    </w:rPr>
  </w:style>
  <w:style w:type="character" w:customStyle="1" w:styleId="538">
    <w:name w:val="正文样式 Char"/>
    <w:basedOn w:val="109"/>
    <w:link w:val="537"/>
    <w:semiHidden/>
    <w:qFormat/>
    <w:uiPriority w:val="0"/>
    <w:rPr>
      <w:rFonts w:ascii="宋体" w:hAnsi="宋体"/>
      <w:color w:val="000000"/>
      <w:sz w:val="24"/>
      <w:szCs w:val="24"/>
    </w:rPr>
  </w:style>
  <w:style w:type="paragraph" w:customStyle="1" w:styleId="539">
    <w:name w:val="韩奇"/>
    <w:basedOn w:val="1"/>
    <w:semiHidden/>
    <w:qFormat/>
    <w:uiPriority w:val="0"/>
    <w:pPr>
      <w:adjustRightInd w:val="0"/>
      <w:spacing w:line="500" w:lineRule="exact"/>
      <w:ind w:firstLine="200" w:firstLineChars="200"/>
      <w:textAlignment w:val="baseline"/>
    </w:pPr>
    <w:rPr>
      <w:rFonts w:eastAsia="楷体_GB2312"/>
      <w:sz w:val="28"/>
    </w:rPr>
  </w:style>
  <w:style w:type="paragraph" w:customStyle="1" w:styleId="540">
    <w:name w:val="AFTERTITLE"/>
    <w:basedOn w:val="1"/>
    <w:semiHidden/>
    <w:qFormat/>
    <w:uiPriority w:val="0"/>
    <w:pPr>
      <w:spacing w:afterLines="25" w:line="360" w:lineRule="atLeast"/>
      <w:ind w:firstLine="200" w:firstLineChars="200"/>
      <w:jc w:val="center"/>
    </w:pPr>
    <w:rPr>
      <w:b/>
      <w:caps/>
      <w:sz w:val="24"/>
      <w:lang w:val="fr-FR"/>
    </w:rPr>
  </w:style>
  <w:style w:type="paragraph" w:customStyle="1" w:styleId="541">
    <w:name w:val="表中正文居中"/>
    <w:basedOn w:val="1"/>
    <w:semiHidden/>
    <w:qFormat/>
    <w:uiPriority w:val="0"/>
    <w:pPr>
      <w:spacing w:before="120" w:after="120" w:line="240" w:lineRule="atLeast"/>
      <w:jc w:val="center"/>
    </w:pPr>
    <w:rPr>
      <w:rFonts w:ascii="宋体"/>
    </w:rPr>
  </w:style>
  <w:style w:type="paragraph" w:customStyle="1" w:styleId="542">
    <w:name w:val="Char Char Char Char Char Char Char Char Char Char Char Char Char Char Char Char1"/>
    <w:basedOn w:val="1"/>
    <w:semiHidden/>
    <w:qFormat/>
    <w:uiPriority w:val="0"/>
    <w:pPr>
      <w:spacing w:line="480" w:lineRule="exact"/>
    </w:pPr>
    <w:rPr>
      <w:rFonts w:ascii="Tahoma" w:hAnsi="Tahoma"/>
      <w:sz w:val="24"/>
    </w:rPr>
  </w:style>
  <w:style w:type="paragraph" w:customStyle="1" w:styleId="543">
    <w:name w:val="表的格式（小四）"/>
    <w:basedOn w:val="1"/>
    <w:semiHidden/>
    <w:qFormat/>
    <w:uiPriority w:val="0"/>
    <w:pPr>
      <w:adjustRightInd w:val="0"/>
      <w:spacing w:line="360" w:lineRule="atLeast"/>
      <w:jc w:val="center"/>
    </w:pPr>
    <w:rPr>
      <w:sz w:val="24"/>
      <w:szCs w:val="24"/>
    </w:rPr>
  </w:style>
  <w:style w:type="character" w:customStyle="1" w:styleId="544">
    <w:name w:val="ziti1"/>
    <w:basedOn w:val="109"/>
    <w:semiHidden/>
    <w:qFormat/>
    <w:uiPriority w:val="0"/>
    <w:rPr>
      <w:rFonts w:cs="Times New Roman"/>
      <w:sz w:val="18"/>
      <w:szCs w:val="18"/>
      <w:u w:val="none"/>
    </w:rPr>
  </w:style>
  <w:style w:type="character" w:customStyle="1" w:styleId="545">
    <w:name w:val="txt31"/>
    <w:basedOn w:val="109"/>
    <w:semiHidden/>
    <w:qFormat/>
    <w:uiPriority w:val="0"/>
    <w:rPr>
      <w:dstrike/>
      <w:sz w:val="18"/>
      <w:u w:val="none"/>
    </w:rPr>
  </w:style>
  <w:style w:type="paragraph" w:customStyle="1" w:styleId="546">
    <w:name w:val="7表格(治)"/>
    <w:basedOn w:val="1"/>
    <w:semiHidden/>
    <w:qFormat/>
    <w:uiPriority w:val="0"/>
    <w:pPr>
      <w:jc w:val="center"/>
    </w:pPr>
    <w:rPr>
      <w:rFonts w:eastAsia="楷体_GB2312"/>
    </w:rPr>
  </w:style>
  <w:style w:type="paragraph" w:customStyle="1" w:styleId="547">
    <w:name w:val="wenzi"/>
    <w:basedOn w:val="1"/>
    <w:semiHidden/>
    <w:qFormat/>
    <w:uiPriority w:val="0"/>
    <w:pPr>
      <w:spacing w:before="100" w:beforeAutospacing="1" w:after="100" w:afterAutospacing="1" w:line="360" w:lineRule="atLeast"/>
    </w:pPr>
    <w:rPr>
      <w:rFonts w:ascii="宋体" w:hAnsi="宋体"/>
      <w:color w:val="000000"/>
      <w:sz w:val="18"/>
      <w:szCs w:val="18"/>
    </w:rPr>
  </w:style>
  <w:style w:type="paragraph" w:customStyle="1" w:styleId="548">
    <w:name w:val="表体"/>
    <w:basedOn w:val="1"/>
    <w:link w:val="1672"/>
    <w:semiHidden/>
    <w:qFormat/>
    <w:uiPriority w:val="0"/>
    <w:pPr>
      <w:overflowPunct w:val="0"/>
      <w:adjustRightInd w:val="0"/>
      <w:spacing w:before="80" w:after="80" w:line="240" w:lineRule="atLeast"/>
      <w:ind w:left="-57" w:right="-57"/>
      <w:jc w:val="center"/>
      <w:textAlignment w:val="baseline"/>
    </w:pPr>
    <w:rPr>
      <w:rFonts w:ascii="宋体"/>
      <w:color w:val="000080"/>
      <w:kern w:val="24"/>
      <w:sz w:val="24"/>
    </w:rPr>
  </w:style>
  <w:style w:type="paragraph" w:customStyle="1" w:styleId="549">
    <w:name w:val="Char Char Char Char1"/>
    <w:basedOn w:val="1"/>
    <w:semiHidden/>
    <w:qFormat/>
    <w:uiPriority w:val="0"/>
    <w:rPr>
      <w:color w:val="000000"/>
      <w:szCs w:val="21"/>
    </w:rPr>
  </w:style>
  <w:style w:type="paragraph" w:customStyle="1" w:styleId="550">
    <w:name w:val="style1 style2"/>
    <w:basedOn w:val="1"/>
    <w:semiHidden/>
    <w:qFormat/>
    <w:uiPriority w:val="0"/>
    <w:pPr>
      <w:spacing w:before="100" w:beforeAutospacing="1" w:after="100" w:afterAutospacing="1"/>
    </w:pPr>
    <w:rPr>
      <w:rFonts w:ascii="宋体" w:hAnsi="宋体" w:cs="宋体"/>
      <w:sz w:val="24"/>
      <w:szCs w:val="24"/>
    </w:rPr>
  </w:style>
  <w:style w:type="paragraph" w:customStyle="1" w:styleId="551">
    <w:name w:val="xl73"/>
    <w:basedOn w:val="1"/>
    <w:qFormat/>
    <w:uiPriority w:val="0"/>
    <w:pPr>
      <w:pBdr>
        <w:bottom w:val="single" w:color="auto" w:sz="8" w:space="0"/>
        <w:right w:val="single" w:color="auto" w:sz="8" w:space="0"/>
      </w:pBdr>
      <w:spacing w:before="100" w:beforeAutospacing="1" w:after="100" w:afterAutospacing="1"/>
    </w:pPr>
    <w:rPr>
      <w:color w:val="000000"/>
      <w:szCs w:val="21"/>
    </w:rPr>
  </w:style>
  <w:style w:type="paragraph" w:customStyle="1" w:styleId="552">
    <w:name w:val="Char Char Char Char Char Char Char1"/>
    <w:basedOn w:val="1"/>
    <w:next w:val="1"/>
    <w:semiHidden/>
    <w:qFormat/>
    <w:uiPriority w:val="0"/>
    <w:pPr>
      <w:snapToGrid w:val="0"/>
      <w:spacing w:line="336" w:lineRule="auto"/>
      <w:ind w:firstLine="200" w:firstLineChars="200"/>
    </w:pPr>
    <w:rPr>
      <w:color w:val="000000"/>
      <w:szCs w:val="21"/>
    </w:rPr>
  </w:style>
  <w:style w:type="paragraph" w:customStyle="1" w:styleId="553">
    <w:name w:val="20100519正文"/>
    <w:basedOn w:val="1"/>
    <w:semiHidden/>
    <w:qFormat/>
    <w:uiPriority w:val="0"/>
    <w:pPr>
      <w:spacing w:line="480" w:lineRule="exact"/>
      <w:ind w:firstLine="200" w:firstLineChars="200"/>
    </w:pPr>
    <w:rPr>
      <w:sz w:val="28"/>
      <w:szCs w:val="28"/>
    </w:rPr>
  </w:style>
  <w:style w:type="paragraph" w:customStyle="1" w:styleId="554">
    <w:name w:val="Char Char Char Char Char Char Char Char2 Char Char Char Char Char Char Char Char Char Char Char Char Char"/>
    <w:basedOn w:val="1"/>
    <w:next w:val="1"/>
    <w:semiHidden/>
    <w:qFormat/>
    <w:uiPriority w:val="0"/>
    <w:pPr>
      <w:spacing w:line="336" w:lineRule="auto"/>
      <w:ind w:firstLine="200" w:firstLineChars="200"/>
    </w:pPr>
    <w:rPr>
      <w:rFonts w:ascii="宋体" w:hAnsi="宋体" w:eastAsia="汉鼎简书宋" w:cs="宋体"/>
      <w:spacing w:val="4"/>
      <w:sz w:val="24"/>
      <w:szCs w:val="24"/>
    </w:rPr>
  </w:style>
  <w:style w:type="paragraph" w:customStyle="1" w:styleId="555">
    <w:name w:val="报告正文文字"/>
    <w:basedOn w:val="1"/>
    <w:semiHidden/>
    <w:qFormat/>
    <w:uiPriority w:val="0"/>
    <w:pPr>
      <w:autoSpaceDE w:val="0"/>
      <w:autoSpaceDN w:val="0"/>
      <w:spacing w:line="360" w:lineRule="auto"/>
      <w:ind w:firstLine="480" w:firstLineChars="200"/>
    </w:pPr>
    <w:rPr>
      <w:rFonts w:ascii="宋体" w:hAnsi="宋体"/>
      <w:color w:val="000000"/>
      <w:spacing w:val="4"/>
      <w:sz w:val="24"/>
    </w:rPr>
  </w:style>
  <w:style w:type="character" w:customStyle="1" w:styleId="556">
    <w:name w:val="ddd"/>
    <w:basedOn w:val="109"/>
    <w:semiHidden/>
    <w:qFormat/>
    <w:uiPriority w:val="0"/>
  </w:style>
  <w:style w:type="character" w:customStyle="1" w:styleId="557">
    <w:name w:val="grame"/>
    <w:basedOn w:val="109"/>
    <w:semiHidden/>
    <w:qFormat/>
    <w:uiPriority w:val="0"/>
  </w:style>
  <w:style w:type="character" w:customStyle="1" w:styleId="558">
    <w:name w:val="textfont11"/>
    <w:basedOn w:val="109"/>
    <w:semiHidden/>
    <w:qFormat/>
    <w:uiPriority w:val="0"/>
    <w:rPr>
      <w:color w:val="000000"/>
      <w:sz w:val="21"/>
      <w:szCs w:val="21"/>
      <w:u w:val="none"/>
    </w:rPr>
  </w:style>
  <w:style w:type="character" w:customStyle="1" w:styleId="559">
    <w:name w:val="正文1 Char1"/>
    <w:basedOn w:val="109"/>
    <w:semiHidden/>
    <w:qFormat/>
    <w:uiPriority w:val="0"/>
    <w:rPr>
      <w:rFonts w:eastAsia="宋体"/>
      <w:snapToGrid/>
      <w:sz w:val="24"/>
      <w:szCs w:val="24"/>
      <w:lang w:val="en-US" w:eastAsia="zh-CN" w:bidi="ar-SA"/>
    </w:rPr>
  </w:style>
  <w:style w:type="character" w:customStyle="1" w:styleId="560">
    <w:name w:val="样式 日期 + 宋体 Char"/>
    <w:basedOn w:val="109"/>
    <w:semiHidden/>
    <w:qFormat/>
    <w:uiPriority w:val="0"/>
    <w:rPr>
      <w:rFonts w:ascii="宋体" w:hAnsi="宋体" w:eastAsia="宋体"/>
      <w:kern w:val="2"/>
      <w:sz w:val="28"/>
      <w:lang w:val="en-GB" w:eastAsia="zh-CN" w:bidi="ar-SA"/>
    </w:rPr>
  </w:style>
  <w:style w:type="character" w:customStyle="1" w:styleId="561">
    <w:name w:val="正文001 Char1"/>
    <w:basedOn w:val="109"/>
    <w:semiHidden/>
    <w:qFormat/>
    <w:uiPriority w:val="0"/>
    <w:rPr>
      <w:rFonts w:ascii="Arial" w:hAnsi="Arial" w:eastAsia="宋体" w:cs="Arial"/>
      <w:kern w:val="2"/>
      <w:sz w:val="24"/>
      <w:lang w:val="en-US" w:eastAsia="zh-CN" w:bidi="ar-SA"/>
    </w:rPr>
  </w:style>
  <w:style w:type="character" w:customStyle="1" w:styleId="562">
    <w:name w:val="postbody1"/>
    <w:basedOn w:val="109"/>
    <w:semiHidden/>
    <w:qFormat/>
    <w:uiPriority w:val="0"/>
    <w:rPr>
      <w:sz w:val="21"/>
      <w:szCs w:val="21"/>
    </w:rPr>
  </w:style>
  <w:style w:type="character" w:customStyle="1" w:styleId="563">
    <w:name w:val="正文1 Char"/>
    <w:basedOn w:val="109"/>
    <w:semiHidden/>
    <w:qFormat/>
    <w:uiPriority w:val="0"/>
    <w:rPr>
      <w:rFonts w:eastAsia="宋体"/>
      <w:color w:val="000000"/>
      <w:kern w:val="2"/>
      <w:sz w:val="24"/>
      <w:szCs w:val="24"/>
      <w:lang w:val="en-US" w:eastAsia="zh-CN" w:bidi="ar-SA"/>
    </w:rPr>
  </w:style>
  <w:style w:type="character" w:customStyle="1" w:styleId="564">
    <w:name w:val="正文样式1 Char"/>
    <w:basedOn w:val="109"/>
    <w:link w:val="491"/>
    <w:semiHidden/>
    <w:qFormat/>
    <w:uiPriority w:val="0"/>
    <w:rPr>
      <w:snapToGrid w:val="0"/>
      <w:position w:val="-12"/>
      <w:sz w:val="24"/>
    </w:rPr>
  </w:style>
  <w:style w:type="character" w:customStyle="1" w:styleId="565">
    <w:name w:val="zy"/>
    <w:basedOn w:val="109"/>
    <w:semiHidden/>
    <w:qFormat/>
    <w:uiPriority w:val="0"/>
  </w:style>
  <w:style w:type="character" w:customStyle="1" w:styleId="566">
    <w:name w:val="defaultfont1"/>
    <w:basedOn w:val="109"/>
    <w:semiHidden/>
    <w:qFormat/>
    <w:uiPriority w:val="0"/>
  </w:style>
  <w:style w:type="character" w:customStyle="1" w:styleId="567">
    <w:name w:val="unnamed31"/>
    <w:basedOn w:val="109"/>
    <w:semiHidden/>
    <w:qFormat/>
    <w:uiPriority w:val="0"/>
    <w:rPr>
      <w:sz w:val="18"/>
    </w:rPr>
  </w:style>
  <w:style w:type="character" w:customStyle="1" w:styleId="568">
    <w:name w:val="段落1 Char Char1"/>
    <w:basedOn w:val="109"/>
    <w:semiHidden/>
    <w:qFormat/>
    <w:uiPriority w:val="0"/>
    <w:rPr>
      <w:rFonts w:eastAsia="宋体"/>
      <w:color w:val="000000"/>
      <w:spacing w:val="8"/>
      <w:sz w:val="24"/>
      <w:szCs w:val="24"/>
      <w:lang w:val="en-US" w:eastAsia="zh-CN" w:bidi="ar-SA"/>
    </w:rPr>
  </w:style>
  <w:style w:type="character" w:customStyle="1" w:styleId="569">
    <w:name w:val="javascript"/>
    <w:basedOn w:val="109"/>
    <w:semiHidden/>
    <w:qFormat/>
    <w:uiPriority w:val="0"/>
  </w:style>
  <w:style w:type="character" w:customStyle="1" w:styleId="570">
    <w:name w:val="f10wentitle"/>
    <w:basedOn w:val="109"/>
    <w:semiHidden/>
    <w:qFormat/>
    <w:uiPriority w:val="0"/>
  </w:style>
  <w:style w:type="character" w:customStyle="1" w:styleId="571">
    <w:name w:val="表 头 Char1"/>
    <w:basedOn w:val="109"/>
    <w:link w:val="572"/>
    <w:semiHidden/>
    <w:qFormat/>
    <w:uiPriority w:val="0"/>
    <w:rPr>
      <w:rFonts w:ascii="宋体" w:hAnsi="宋体" w:eastAsia="黑体"/>
      <w:spacing w:val="10"/>
      <w:sz w:val="24"/>
    </w:rPr>
  </w:style>
  <w:style w:type="paragraph" w:customStyle="1" w:styleId="572">
    <w:name w:val="表 头"/>
    <w:basedOn w:val="1"/>
    <w:link w:val="571"/>
    <w:semiHidden/>
    <w:qFormat/>
    <w:uiPriority w:val="0"/>
    <w:pPr>
      <w:adjustRightInd w:val="0"/>
      <w:spacing w:before="120" w:after="120" w:line="360" w:lineRule="atLeast"/>
      <w:jc w:val="center"/>
    </w:pPr>
    <w:rPr>
      <w:rFonts w:ascii="宋体" w:hAnsi="宋体" w:eastAsia="黑体"/>
      <w:spacing w:val="10"/>
      <w:sz w:val="24"/>
    </w:rPr>
  </w:style>
  <w:style w:type="character" w:customStyle="1" w:styleId="573">
    <w:name w:val="f9wen1"/>
    <w:basedOn w:val="109"/>
    <w:semiHidden/>
    <w:qFormat/>
    <w:uiPriority w:val="0"/>
    <w:rPr>
      <w:dstrike/>
      <w:spacing w:val="12"/>
      <w:sz w:val="18"/>
      <w:u w:val="none"/>
    </w:rPr>
  </w:style>
  <w:style w:type="character" w:customStyle="1" w:styleId="574">
    <w:name w:val="style3"/>
    <w:basedOn w:val="109"/>
    <w:semiHidden/>
    <w:qFormat/>
    <w:uiPriority w:val="0"/>
  </w:style>
  <w:style w:type="character" w:customStyle="1" w:styleId="575">
    <w:name w:val="l_text Char"/>
    <w:basedOn w:val="109"/>
    <w:link w:val="576"/>
    <w:semiHidden/>
    <w:qFormat/>
    <w:uiPriority w:val="0"/>
    <w:rPr>
      <w:sz w:val="28"/>
      <w:szCs w:val="28"/>
      <w:lang w:val="en-GB"/>
    </w:rPr>
  </w:style>
  <w:style w:type="paragraph" w:customStyle="1" w:styleId="576">
    <w:name w:val="l_text"/>
    <w:basedOn w:val="1"/>
    <w:link w:val="575"/>
    <w:semiHidden/>
    <w:qFormat/>
    <w:uiPriority w:val="0"/>
    <w:pPr>
      <w:overflowPunct w:val="0"/>
      <w:autoSpaceDE w:val="0"/>
      <w:autoSpaceDN w:val="0"/>
      <w:adjustRightInd w:val="0"/>
      <w:spacing w:line="480" w:lineRule="exact"/>
      <w:ind w:firstLine="567"/>
      <w:textAlignment w:val="baseline"/>
    </w:pPr>
    <w:rPr>
      <w:sz w:val="28"/>
      <w:szCs w:val="28"/>
      <w:lang w:val="en-GB"/>
    </w:rPr>
  </w:style>
  <w:style w:type="character" w:customStyle="1" w:styleId="577">
    <w:name w:val="样式5 Char1"/>
    <w:basedOn w:val="109"/>
    <w:semiHidden/>
    <w:qFormat/>
    <w:uiPriority w:val="0"/>
    <w:rPr>
      <w:rFonts w:eastAsia="宋体"/>
      <w:kern w:val="2"/>
      <w:sz w:val="24"/>
      <w:szCs w:val="24"/>
      <w:lang w:val="en-US" w:eastAsia="zh-CN" w:bidi="ar-SA"/>
    </w:rPr>
  </w:style>
  <w:style w:type="character" w:customStyle="1" w:styleId="578">
    <w:name w:val="正文样式10 Char"/>
    <w:basedOn w:val="109"/>
    <w:link w:val="579"/>
    <w:semiHidden/>
    <w:qFormat/>
    <w:uiPriority w:val="0"/>
    <w:rPr>
      <w:rFonts w:ascii="宋体" w:hAnsi="宋体"/>
      <w:bCs/>
      <w:color w:val="FF00FF"/>
      <w:sz w:val="24"/>
      <w:lang w:val="zh-CN"/>
    </w:rPr>
  </w:style>
  <w:style w:type="paragraph" w:customStyle="1" w:styleId="579">
    <w:name w:val="正文样式10"/>
    <w:basedOn w:val="1"/>
    <w:link w:val="578"/>
    <w:semiHidden/>
    <w:qFormat/>
    <w:uiPriority w:val="0"/>
    <w:pPr>
      <w:spacing w:line="500" w:lineRule="exact"/>
      <w:ind w:firstLine="480" w:firstLineChars="200"/>
    </w:pPr>
    <w:rPr>
      <w:rFonts w:ascii="宋体" w:hAnsi="宋体"/>
      <w:bCs/>
      <w:color w:val="FF00FF"/>
      <w:sz w:val="24"/>
      <w:lang w:val="zh-CN"/>
    </w:rPr>
  </w:style>
  <w:style w:type="character" w:customStyle="1" w:styleId="580">
    <w:name w:val="default1"/>
    <w:basedOn w:val="109"/>
    <w:semiHidden/>
    <w:qFormat/>
    <w:uiPriority w:val="0"/>
    <w:rPr>
      <w:sz w:val="21"/>
      <w:szCs w:val="21"/>
    </w:rPr>
  </w:style>
  <w:style w:type="character" w:customStyle="1" w:styleId="581">
    <w:name w:val="defaultfont"/>
    <w:basedOn w:val="109"/>
    <w:semiHidden/>
    <w:qFormat/>
    <w:uiPriority w:val="0"/>
  </w:style>
  <w:style w:type="character" w:customStyle="1" w:styleId="582">
    <w:name w:val="red_font1"/>
    <w:basedOn w:val="109"/>
    <w:semiHidden/>
    <w:qFormat/>
    <w:uiPriority w:val="0"/>
    <w:rPr>
      <w:color w:val="FF0000"/>
      <w:sz w:val="18"/>
      <w:szCs w:val="18"/>
      <w:u w:val="none"/>
    </w:rPr>
  </w:style>
  <w:style w:type="character" w:customStyle="1" w:styleId="583">
    <w:name w:val="text1"/>
    <w:basedOn w:val="109"/>
    <w:semiHidden/>
    <w:qFormat/>
    <w:uiPriority w:val="0"/>
    <w:rPr>
      <w:rFonts w:hint="eastAsia" w:ascii="宋体" w:hAnsi="宋体" w:eastAsia="宋体"/>
      <w:color w:val="999999"/>
      <w:sz w:val="18"/>
      <w:szCs w:val="18"/>
      <w:u w:val="none"/>
    </w:rPr>
  </w:style>
  <w:style w:type="character" w:customStyle="1" w:styleId="584">
    <w:name w:val="题注 Char1 Char1"/>
    <w:basedOn w:val="109"/>
    <w:semiHidden/>
    <w:qFormat/>
    <w:uiPriority w:val="0"/>
    <w:rPr>
      <w:rFonts w:ascii="Arial" w:hAnsi="Arial" w:eastAsia="黑体" w:cs="Arial"/>
      <w:color w:val="000000"/>
      <w:spacing w:val="4"/>
      <w:kern w:val="2"/>
      <w:sz w:val="21"/>
      <w:szCs w:val="21"/>
      <w:lang w:val="en-US" w:eastAsia="zh-CN" w:bidi="ar-SA"/>
    </w:rPr>
  </w:style>
  <w:style w:type="character" w:customStyle="1" w:styleId="585">
    <w:name w:val="样式1 Char"/>
    <w:basedOn w:val="109"/>
    <w:semiHidden/>
    <w:qFormat/>
    <w:uiPriority w:val="0"/>
    <w:rPr>
      <w:rFonts w:ascii="Arial" w:hAnsi="Arial" w:eastAsia="宋体"/>
      <w:kern w:val="2"/>
      <w:sz w:val="24"/>
      <w:szCs w:val="24"/>
      <w:lang w:val="en-US" w:eastAsia="zh-CN" w:bidi="ar-SA"/>
    </w:rPr>
  </w:style>
  <w:style w:type="paragraph" w:customStyle="1" w:styleId="586">
    <w:name w:val="xl54"/>
    <w:basedOn w:val="1"/>
    <w:semiHidden/>
    <w:qFormat/>
    <w:uiPriority w:val="0"/>
    <w:pPr>
      <w:pBdr>
        <w:top w:val="single" w:color="auto" w:sz="12" w:space="0"/>
        <w:left w:val="single" w:color="auto" w:sz="12"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587">
    <w:name w:val="wtext"/>
    <w:basedOn w:val="1"/>
    <w:semiHidden/>
    <w:qFormat/>
    <w:uiPriority w:val="0"/>
    <w:pPr>
      <w:spacing w:before="100" w:beforeAutospacing="1" w:after="100" w:afterAutospacing="1"/>
    </w:pPr>
    <w:rPr>
      <w:rFonts w:ascii="Arial Unicode MS" w:hAnsi="Arial Unicode MS" w:eastAsia="Arial Unicode MS" w:cs="Arial Unicode MS"/>
      <w:sz w:val="24"/>
      <w:szCs w:val="24"/>
    </w:rPr>
  </w:style>
  <w:style w:type="paragraph" w:customStyle="1" w:styleId="588">
    <w:name w:val="表内"/>
    <w:basedOn w:val="1"/>
    <w:semiHidden/>
    <w:qFormat/>
    <w:uiPriority w:val="0"/>
    <w:pPr>
      <w:adjustRightInd w:val="0"/>
      <w:ind w:left="-78" w:leftChars="-38" w:hanging="2" w:hangingChars="1"/>
      <w:jc w:val="center"/>
    </w:pPr>
    <w:rPr>
      <w:rFonts w:ascii="宋体" w:hAnsi="宋体"/>
      <w:color w:val="FF0000"/>
      <w:szCs w:val="24"/>
    </w:rPr>
  </w:style>
  <w:style w:type="paragraph" w:customStyle="1" w:styleId="589">
    <w:name w:val="表头名称"/>
    <w:basedOn w:val="18"/>
    <w:semiHidden/>
    <w:qFormat/>
    <w:uiPriority w:val="0"/>
    <w:pPr>
      <w:autoSpaceDE w:val="0"/>
      <w:autoSpaceDN w:val="0"/>
      <w:adjustRightInd w:val="0"/>
      <w:spacing w:line="360" w:lineRule="auto"/>
      <w:ind w:firstLine="0" w:firstLineChars="0"/>
      <w:jc w:val="center"/>
    </w:pPr>
    <w:rPr>
      <w:rFonts w:ascii="黑体" w:hAnsi="宋体" w:eastAsia="黑体"/>
      <w:sz w:val="24"/>
    </w:rPr>
  </w:style>
  <w:style w:type="paragraph" w:customStyle="1" w:styleId="590">
    <w:name w:val="Body Text 22"/>
    <w:basedOn w:val="1"/>
    <w:semiHidden/>
    <w:qFormat/>
    <w:uiPriority w:val="0"/>
    <w:pPr>
      <w:adjustRightInd w:val="0"/>
      <w:spacing w:line="440" w:lineRule="atLeast"/>
      <w:ind w:firstLine="480"/>
      <w:textAlignment w:val="baseline"/>
    </w:pPr>
    <w:rPr>
      <w:rFonts w:eastAsia="仿宋_GB2312"/>
      <w:sz w:val="24"/>
      <w:szCs w:val="24"/>
    </w:rPr>
  </w:style>
  <w:style w:type="paragraph" w:customStyle="1" w:styleId="591">
    <w:name w:val="yz"/>
    <w:basedOn w:val="29"/>
    <w:semiHidden/>
    <w:qFormat/>
    <w:uiPriority w:val="0"/>
    <w:pPr>
      <w:spacing w:after="0"/>
    </w:pPr>
  </w:style>
  <w:style w:type="paragraph" w:customStyle="1" w:styleId="592">
    <w:name w:val="xl53"/>
    <w:basedOn w:val="1"/>
    <w:semiHidden/>
    <w:qFormat/>
    <w:uiPriority w:val="0"/>
    <w:pPr>
      <w:pBdr>
        <w:left w:val="single" w:color="auto" w:sz="8" w:space="0"/>
        <w:bottom w:val="single" w:color="auto" w:sz="8" w:space="0"/>
        <w:right w:val="single" w:color="auto" w:sz="12" w:space="0"/>
      </w:pBdr>
      <w:spacing w:before="100" w:beforeAutospacing="1" w:after="100" w:afterAutospacing="1"/>
      <w:jc w:val="center"/>
    </w:pPr>
    <w:rPr>
      <w:rFonts w:ascii="宋体" w:hAnsi="宋体" w:cs="宋体"/>
      <w:color w:val="000000"/>
      <w:szCs w:val="21"/>
    </w:rPr>
  </w:style>
  <w:style w:type="paragraph" w:customStyle="1" w:styleId="593">
    <w:name w:val="段"/>
    <w:basedOn w:val="1"/>
    <w:semiHidden/>
    <w:qFormat/>
    <w:uiPriority w:val="0"/>
    <w:pPr>
      <w:autoSpaceDE w:val="0"/>
      <w:autoSpaceDN w:val="0"/>
      <w:ind w:firstLine="200" w:firstLineChars="200"/>
    </w:pPr>
    <w:rPr>
      <w:rFonts w:ascii="宋体"/>
    </w:rPr>
  </w:style>
  <w:style w:type="paragraph" w:customStyle="1" w:styleId="594">
    <w:name w:val="个人情况"/>
    <w:basedOn w:val="29"/>
    <w:semiHidden/>
    <w:qFormat/>
    <w:uiPriority w:val="0"/>
    <w:pPr>
      <w:spacing w:after="0"/>
    </w:pPr>
  </w:style>
  <w:style w:type="paragraph" w:customStyle="1" w:styleId="595">
    <w:name w:val="表名"/>
    <w:basedOn w:val="1"/>
    <w:semiHidden/>
    <w:qFormat/>
    <w:uiPriority w:val="0"/>
    <w:pPr>
      <w:overflowPunct w:val="0"/>
      <w:autoSpaceDE w:val="0"/>
      <w:autoSpaceDN w:val="0"/>
      <w:adjustRightInd w:val="0"/>
      <w:spacing w:before="60" w:line="480" w:lineRule="exact"/>
      <w:jc w:val="center"/>
      <w:textAlignment w:val="baseline"/>
    </w:pPr>
    <w:rPr>
      <w:rFonts w:ascii="黑体" w:hAnsi="Arial" w:eastAsia="黑体"/>
      <w:color w:val="000000"/>
      <w:sz w:val="26"/>
      <w:szCs w:val="24"/>
    </w:rPr>
  </w:style>
  <w:style w:type="paragraph" w:customStyle="1" w:styleId="596">
    <w:name w:val="表题行"/>
    <w:basedOn w:val="1"/>
    <w:semiHidden/>
    <w:qFormat/>
    <w:uiPriority w:val="0"/>
    <w:pPr>
      <w:jc w:val="center"/>
    </w:pPr>
    <w:rPr>
      <w:b/>
      <w:bCs/>
      <w:sz w:val="18"/>
      <w:szCs w:val="21"/>
    </w:rPr>
  </w:style>
  <w:style w:type="paragraph" w:customStyle="1" w:styleId="597">
    <w:name w:val="a9"/>
    <w:basedOn w:val="1"/>
    <w:semiHidden/>
    <w:qFormat/>
    <w:uiPriority w:val="0"/>
    <w:pPr>
      <w:snapToGrid w:val="0"/>
      <w:spacing w:before="120" w:after="120" w:line="360" w:lineRule="auto"/>
      <w:ind w:firstLine="480"/>
    </w:pPr>
    <w:rPr>
      <w:sz w:val="24"/>
      <w:szCs w:val="24"/>
    </w:rPr>
  </w:style>
  <w:style w:type="paragraph" w:customStyle="1" w:styleId="598">
    <w:name w:val="样式 宋体 四号 两端对齐 行距: 1.5 倍行距"/>
    <w:basedOn w:val="1"/>
    <w:semiHidden/>
    <w:qFormat/>
    <w:uiPriority w:val="0"/>
    <w:pPr>
      <w:overflowPunct w:val="0"/>
      <w:autoSpaceDE w:val="0"/>
      <w:autoSpaceDN w:val="0"/>
      <w:adjustRightInd w:val="0"/>
      <w:spacing w:line="480" w:lineRule="exact"/>
      <w:ind w:firstLine="200" w:firstLineChars="200"/>
      <w:textAlignment w:val="baseline"/>
    </w:pPr>
    <w:rPr>
      <w:rFonts w:ascii="宋体" w:hAnsi="宋体" w:cs="宋体"/>
      <w:sz w:val="28"/>
      <w:szCs w:val="24"/>
      <w:lang w:val="en-GB"/>
    </w:rPr>
  </w:style>
  <w:style w:type="paragraph" w:customStyle="1" w:styleId="599">
    <w:name w:val="xl52"/>
    <w:basedOn w:val="1"/>
    <w:semiHidden/>
    <w:qFormat/>
    <w:uiPriority w:val="0"/>
    <w:pPr>
      <w:pBdr>
        <w:top w:val="single" w:color="auto" w:sz="12" w:space="0"/>
        <w:left w:val="single" w:color="auto" w:sz="8" w:space="0"/>
        <w:right w:val="single" w:color="auto" w:sz="12" w:space="0"/>
      </w:pBdr>
      <w:spacing w:before="100" w:beforeAutospacing="1" w:after="100" w:afterAutospacing="1"/>
      <w:jc w:val="center"/>
    </w:pPr>
    <w:rPr>
      <w:rFonts w:ascii="宋体" w:hAnsi="宋体" w:cs="宋体"/>
      <w:color w:val="000000"/>
      <w:szCs w:val="21"/>
    </w:rPr>
  </w:style>
  <w:style w:type="paragraph" w:customStyle="1" w:styleId="600">
    <w:name w:val="T表格"/>
    <w:basedOn w:val="62"/>
    <w:next w:val="62"/>
    <w:semiHidden/>
    <w:qFormat/>
    <w:uiPriority w:val="0"/>
    <w:rPr>
      <w:color w:val="auto"/>
      <w:sz w:val="20"/>
      <w:szCs w:val="20"/>
    </w:rPr>
  </w:style>
  <w:style w:type="paragraph" w:customStyle="1" w:styleId="601">
    <w:name w:val="a9cxsplast"/>
    <w:basedOn w:val="1"/>
    <w:semiHidden/>
    <w:qFormat/>
    <w:uiPriority w:val="0"/>
    <w:pPr>
      <w:snapToGrid w:val="0"/>
      <w:spacing w:after="120" w:line="360" w:lineRule="auto"/>
      <w:ind w:firstLine="480"/>
    </w:pPr>
    <w:rPr>
      <w:sz w:val="24"/>
      <w:szCs w:val="24"/>
    </w:rPr>
  </w:style>
  <w:style w:type="paragraph" w:customStyle="1" w:styleId="602">
    <w:name w:val="样式 表格文字 + 首行缩进:  2 字符"/>
    <w:basedOn w:val="127"/>
    <w:semiHidden/>
    <w:qFormat/>
    <w:uiPriority w:val="0"/>
    <w:pPr>
      <w:tabs>
        <w:tab w:val="clear" w:pos="360"/>
        <w:tab w:val="clear" w:pos="1620"/>
      </w:tabs>
      <w:adjustRightInd w:val="0"/>
      <w:spacing w:line="240" w:lineRule="auto"/>
      <w:ind w:firstLine="0" w:firstLineChars="0"/>
    </w:pPr>
    <w:rPr>
      <w:rFonts w:ascii="仿宋_GB2312" w:hAnsi="MS Shell Dlg" w:eastAsia="仿宋_GB2312"/>
      <w:snapToGrid w:val="0"/>
    </w:rPr>
  </w:style>
  <w:style w:type="paragraph" w:customStyle="1" w:styleId="603">
    <w:name w:val="Plain Text1"/>
    <w:basedOn w:val="1"/>
    <w:semiHidden/>
    <w:qFormat/>
    <w:uiPriority w:val="0"/>
    <w:pPr>
      <w:autoSpaceDE w:val="0"/>
      <w:autoSpaceDN w:val="0"/>
      <w:adjustRightInd w:val="0"/>
      <w:textAlignment w:val="baseline"/>
    </w:pPr>
    <w:rPr>
      <w:rFonts w:ascii="宋体" w:hAnsi="Tms Rmn"/>
      <w:szCs w:val="24"/>
    </w:rPr>
  </w:style>
  <w:style w:type="paragraph" w:customStyle="1" w:styleId="604">
    <w:name w:val="样式 段落1 + 左 首行缩进:  2 字符 加宽量  0.3 磅"/>
    <w:basedOn w:val="1"/>
    <w:semiHidden/>
    <w:qFormat/>
    <w:uiPriority w:val="0"/>
    <w:pPr>
      <w:tabs>
        <w:tab w:val="left" w:pos="4254"/>
      </w:tabs>
      <w:adjustRightInd w:val="0"/>
      <w:spacing w:line="440" w:lineRule="exact"/>
      <w:ind w:firstLine="504" w:firstLineChars="200"/>
      <w:textAlignment w:val="baseline"/>
    </w:pPr>
    <w:rPr>
      <w:bCs/>
      <w:color w:val="0000FF"/>
      <w:spacing w:val="6"/>
      <w:sz w:val="24"/>
      <w:szCs w:val="24"/>
    </w:rPr>
  </w:style>
  <w:style w:type="paragraph" w:customStyle="1" w:styleId="605">
    <w:name w:val="y表头"/>
    <w:basedOn w:val="29"/>
    <w:semiHidden/>
    <w:qFormat/>
    <w:uiPriority w:val="0"/>
    <w:pPr>
      <w:spacing w:after="0"/>
    </w:pPr>
  </w:style>
  <w:style w:type="paragraph" w:customStyle="1" w:styleId="606">
    <w:name w:val="默认段落字体 Para Char Char Char Char Char Char1 Char Char Char Char"/>
    <w:basedOn w:val="1"/>
    <w:semiHidden/>
    <w:qFormat/>
    <w:uiPriority w:val="0"/>
    <w:pPr>
      <w:snapToGrid w:val="0"/>
      <w:spacing w:line="360" w:lineRule="auto"/>
      <w:ind w:firstLine="200" w:firstLineChars="200"/>
    </w:pPr>
    <w:rPr>
      <w:rFonts w:eastAsia="仿宋_GB2312"/>
      <w:sz w:val="24"/>
      <w:szCs w:val="24"/>
    </w:rPr>
  </w:style>
  <w:style w:type="paragraph" w:customStyle="1" w:styleId="607">
    <w:name w:val="1文章"/>
    <w:basedOn w:val="1"/>
    <w:semiHidden/>
    <w:qFormat/>
    <w:uiPriority w:val="0"/>
    <w:pPr>
      <w:snapToGrid w:val="0"/>
      <w:spacing w:line="420" w:lineRule="auto"/>
      <w:ind w:firstLine="516"/>
    </w:pPr>
    <w:rPr>
      <w:color w:val="000000"/>
      <w:sz w:val="24"/>
      <w:szCs w:val="24"/>
    </w:rPr>
  </w:style>
  <w:style w:type="paragraph" w:customStyle="1" w:styleId="608">
    <w:name w:val="表格内容格式"/>
    <w:basedOn w:val="1"/>
    <w:semiHidden/>
    <w:qFormat/>
    <w:uiPriority w:val="0"/>
    <w:pPr>
      <w:tabs>
        <w:tab w:val="left" w:pos="1935"/>
      </w:tabs>
      <w:adjustRightInd w:val="0"/>
      <w:ind w:right="-45" w:rightChars="-45"/>
      <w:textAlignment w:val="baseline"/>
    </w:pPr>
    <w:rPr>
      <w:snapToGrid w:val="0"/>
      <w:color w:val="000000"/>
      <w:szCs w:val="24"/>
    </w:rPr>
  </w:style>
  <w:style w:type="paragraph" w:customStyle="1" w:styleId="609">
    <w:name w:val="正文王"/>
    <w:basedOn w:val="40"/>
    <w:semiHidden/>
    <w:qFormat/>
    <w:uiPriority w:val="0"/>
    <w:pPr>
      <w:spacing w:line="440" w:lineRule="exact"/>
    </w:pPr>
    <w:rPr>
      <w:rFonts w:ascii="Arial" w:hAnsi="Arial" w:eastAsia="宋体"/>
      <w:b w:val="0"/>
      <w:sz w:val="24"/>
      <w:szCs w:val="20"/>
    </w:rPr>
  </w:style>
  <w:style w:type="paragraph" w:customStyle="1" w:styleId="610">
    <w:name w:val="表后空行"/>
    <w:basedOn w:val="1"/>
    <w:semiHidden/>
    <w:qFormat/>
    <w:uiPriority w:val="0"/>
    <w:pPr>
      <w:overflowPunct w:val="0"/>
      <w:adjustRightInd w:val="0"/>
      <w:textAlignment w:val="baseline"/>
    </w:pPr>
    <w:rPr>
      <w:color w:val="000000"/>
      <w:kern w:val="28"/>
      <w:sz w:val="10"/>
      <w:szCs w:val="24"/>
    </w:rPr>
  </w:style>
  <w:style w:type="paragraph" w:customStyle="1" w:styleId="611">
    <w:name w:val="a6"/>
    <w:basedOn w:val="1"/>
    <w:semiHidden/>
    <w:qFormat/>
    <w:uiPriority w:val="0"/>
    <w:pPr>
      <w:spacing w:line="280" w:lineRule="atLeast"/>
      <w:ind w:firstLine="360"/>
      <w:jc w:val="center"/>
    </w:pPr>
    <w:rPr>
      <w:color w:val="000000"/>
      <w:sz w:val="18"/>
      <w:szCs w:val="18"/>
    </w:rPr>
  </w:style>
  <w:style w:type="paragraph" w:customStyle="1" w:styleId="612">
    <w:name w:val="表格文字（居中）"/>
    <w:basedOn w:val="1"/>
    <w:semiHidden/>
    <w:qFormat/>
    <w:uiPriority w:val="0"/>
    <w:pPr>
      <w:jc w:val="center"/>
    </w:pPr>
    <w:rPr>
      <w:szCs w:val="21"/>
    </w:rPr>
  </w:style>
  <w:style w:type="paragraph" w:customStyle="1" w:styleId="613">
    <w:name w:val="正文01"/>
    <w:basedOn w:val="3"/>
    <w:semiHidden/>
    <w:qFormat/>
    <w:uiPriority w:val="0"/>
    <w:pPr>
      <w:widowControl w:val="0"/>
      <w:spacing w:before="60" w:line="460" w:lineRule="exact"/>
      <w:ind w:firstLine="200" w:firstLineChars="200"/>
      <w:jc w:val="both"/>
      <w:outlineLvl w:val="9"/>
    </w:pPr>
    <w:rPr>
      <w:b w:val="0"/>
      <w:sz w:val="24"/>
      <w:szCs w:val="24"/>
    </w:rPr>
  </w:style>
  <w:style w:type="paragraph" w:customStyle="1" w:styleId="614">
    <w:name w:val="EIA标题3"/>
    <w:basedOn w:val="4"/>
    <w:semiHidden/>
    <w:qFormat/>
    <w:uiPriority w:val="0"/>
    <w:pPr>
      <w:widowControl w:val="0"/>
      <w:spacing w:beforeLines="50" w:afterLines="50" w:line="440" w:lineRule="exact"/>
    </w:pPr>
    <w:rPr>
      <w:rFonts w:eastAsia="楷体_GB2312"/>
      <w:color w:val="000000"/>
      <w:sz w:val="24"/>
      <w:szCs w:val="24"/>
    </w:rPr>
  </w:style>
  <w:style w:type="paragraph" w:customStyle="1" w:styleId="615">
    <w:name w:val="列表4"/>
    <w:basedOn w:val="1"/>
    <w:semiHidden/>
    <w:qFormat/>
    <w:uiPriority w:val="0"/>
    <w:pPr>
      <w:tabs>
        <w:tab w:val="left" w:pos="720"/>
      </w:tabs>
      <w:overflowPunct w:val="0"/>
      <w:autoSpaceDE w:val="0"/>
      <w:autoSpaceDN w:val="0"/>
      <w:adjustRightInd w:val="0"/>
      <w:spacing w:after="80"/>
      <w:ind w:left="1080"/>
      <w:textAlignment w:val="baseline"/>
    </w:pPr>
    <w:rPr>
      <w:szCs w:val="24"/>
    </w:rPr>
  </w:style>
  <w:style w:type="paragraph" w:customStyle="1" w:styleId="616">
    <w:name w:val="表 头 Char"/>
    <w:basedOn w:val="1"/>
    <w:semiHidden/>
    <w:qFormat/>
    <w:uiPriority w:val="0"/>
    <w:pPr>
      <w:adjustRightInd w:val="0"/>
      <w:spacing w:before="120" w:after="120" w:line="360" w:lineRule="atLeast"/>
      <w:jc w:val="center"/>
    </w:pPr>
    <w:rPr>
      <w:rFonts w:eastAsia="黑体"/>
      <w:spacing w:val="10"/>
      <w:sz w:val="24"/>
      <w:szCs w:val="24"/>
    </w:rPr>
  </w:style>
  <w:style w:type="paragraph" w:customStyle="1" w:styleId="617">
    <w:name w:val="正文文本 31"/>
    <w:basedOn w:val="1"/>
    <w:semiHidden/>
    <w:qFormat/>
    <w:uiPriority w:val="0"/>
    <w:pPr>
      <w:adjustRightInd w:val="0"/>
      <w:spacing w:line="360" w:lineRule="atLeast"/>
      <w:jc w:val="center"/>
      <w:textAlignment w:val="baseline"/>
    </w:pPr>
    <w:rPr>
      <w:rFonts w:ascii="仿宋体" w:hAnsi="宋体" w:eastAsia="仿宋体"/>
      <w:sz w:val="24"/>
      <w:szCs w:val="24"/>
    </w:rPr>
  </w:style>
  <w:style w:type="paragraph" w:customStyle="1" w:styleId="618">
    <w:name w:val="表中"/>
    <w:basedOn w:val="1"/>
    <w:semiHidden/>
    <w:qFormat/>
    <w:uiPriority w:val="0"/>
    <w:pPr>
      <w:spacing w:line="280" w:lineRule="exact"/>
      <w:jc w:val="center"/>
    </w:pPr>
    <w:rPr>
      <w:sz w:val="18"/>
      <w:szCs w:val="18"/>
    </w:rPr>
  </w:style>
  <w:style w:type="paragraph" w:customStyle="1" w:styleId="619">
    <w:name w:val="公式题注"/>
    <w:basedOn w:val="1"/>
    <w:next w:val="1"/>
    <w:semiHidden/>
    <w:qFormat/>
    <w:uiPriority w:val="0"/>
    <w:pPr>
      <w:spacing w:line="0" w:lineRule="atLeast"/>
      <w:jc w:val="right"/>
    </w:pPr>
    <w:rPr>
      <w:rFonts w:eastAsia="黑体"/>
      <w:sz w:val="24"/>
    </w:rPr>
  </w:style>
  <w:style w:type="paragraph" w:customStyle="1" w:styleId="620">
    <w:name w:val="样式 日期 + 宋体 行距: 1.5 倍行距"/>
    <w:basedOn w:val="44"/>
    <w:semiHidden/>
    <w:qFormat/>
    <w:uiPriority w:val="0"/>
    <w:pPr>
      <w:overflowPunct w:val="0"/>
      <w:autoSpaceDE w:val="0"/>
      <w:autoSpaceDN w:val="0"/>
      <w:adjustRightInd w:val="0"/>
      <w:spacing w:line="480" w:lineRule="exact"/>
      <w:ind w:left="0" w:leftChars="0" w:firstLine="200"/>
      <w:textAlignment w:val="baseline"/>
    </w:pPr>
    <w:rPr>
      <w:rFonts w:ascii="宋体" w:hAnsi="宋体" w:cs="宋体"/>
      <w:sz w:val="28"/>
      <w:lang w:val="en-GB"/>
    </w:rPr>
  </w:style>
  <w:style w:type="paragraph" w:customStyle="1" w:styleId="621">
    <w:name w:val="样式 日期 + 宋体 行距: 1.5 倍行距2"/>
    <w:basedOn w:val="44"/>
    <w:semiHidden/>
    <w:qFormat/>
    <w:uiPriority w:val="0"/>
    <w:pPr>
      <w:overflowPunct w:val="0"/>
      <w:autoSpaceDE w:val="0"/>
      <w:autoSpaceDN w:val="0"/>
      <w:adjustRightInd w:val="0"/>
      <w:spacing w:line="480" w:lineRule="exact"/>
      <w:ind w:left="0" w:leftChars="0" w:firstLine="0" w:firstLineChars="0"/>
      <w:textAlignment w:val="baseline"/>
    </w:pPr>
    <w:rPr>
      <w:rFonts w:ascii="宋体" w:hAnsi="宋体" w:cs="宋体"/>
      <w:sz w:val="28"/>
      <w:lang w:val="en-GB"/>
    </w:rPr>
  </w:style>
  <w:style w:type="paragraph" w:customStyle="1" w:styleId="622">
    <w:name w:val="表头2"/>
    <w:basedOn w:val="1"/>
    <w:semiHidden/>
    <w:qFormat/>
    <w:uiPriority w:val="0"/>
    <w:pPr>
      <w:spacing w:line="480" w:lineRule="auto"/>
      <w:jc w:val="center"/>
    </w:pPr>
    <w:rPr>
      <w:rFonts w:ascii="黑体" w:eastAsia="黑体"/>
      <w:color w:val="000000"/>
      <w:szCs w:val="24"/>
    </w:rPr>
  </w:style>
  <w:style w:type="paragraph" w:customStyle="1" w:styleId="623">
    <w:name w:val="首行缩进"/>
    <w:basedOn w:val="1"/>
    <w:semiHidden/>
    <w:qFormat/>
    <w:uiPriority w:val="0"/>
    <w:pPr>
      <w:tabs>
        <w:tab w:val="left" w:pos="-238"/>
      </w:tabs>
      <w:spacing w:line="360" w:lineRule="auto"/>
      <w:ind w:firstLine="480" w:firstLineChars="200"/>
    </w:pPr>
    <w:rPr>
      <w:rFonts w:ascii="宋体" w:hAnsi="宋体"/>
      <w:sz w:val="24"/>
      <w:szCs w:val="24"/>
    </w:rPr>
  </w:style>
  <w:style w:type="paragraph" w:customStyle="1" w:styleId="624">
    <w:name w:val="a9cxspmiddle"/>
    <w:basedOn w:val="1"/>
    <w:semiHidden/>
    <w:qFormat/>
    <w:uiPriority w:val="0"/>
    <w:pPr>
      <w:snapToGrid w:val="0"/>
      <w:spacing w:line="360" w:lineRule="auto"/>
      <w:ind w:firstLine="480"/>
    </w:pPr>
    <w:rPr>
      <w:sz w:val="24"/>
      <w:szCs w:val="24"/>
    </w:rPr>
  </w:style>
  <w:style w:type="paragraph" w:customStyle="1" w:styleId="625">
    <w:name w:val="table"/>
    <w:basedOn w:val="1"/>
    <w:semiHidden/>
    <w:qFormat/>
    <w:uiPriority w:val="0"/>
    <w:pPr>
      <w:overflowPunct w:val="0"/>
      <w:autoSpaceDE w:val="0"/>
      <w:autoSpaceDN w:val="0"/>
      <w:adjustRightInd w:val="0"/>
      <w:spacing w:before="60" w:after="60"/>
      <w:jc w:val="center"/>
      <w:textAlignment w:val="baseline"/>
    </w:pPr>
    <w:rPr>
      <w:rFonts w:ascii="仿宋体" w:eastAsia="仿宋体"/>
      <w:sz w:val="24"/>
      <w:szCs w:val="24"/>
    </w:rPr>
  </w:style>
  <w:style w:type="paragraph" w:customStyle="1" w:styleId="626">
    <w:name w:val="公式"/>
    <w:basedOn w:val="1"/>
    <w:link w:val="2341"/>
    <w:semiHidden/>
    <w:qFormat/>
    <w:uiPriority w:val="0"/>
    <w:pPr>
      <w:keepLines/>
      <w:wordWrap w:val="0"/>
      <w:topLinePunct/>
      <w:ind w:right="-50" w:rightChars="-50" w:firstLine="200" w:firstLineChars="200"/>
      <w:outlineLvl w:val="2"/>
    </w:pPr>
    <w:rPr>
      <w:rFonts w:eastAsia="黑体"/>
      <w:color w:val="000000"/>
      <w:sz w:val="24"/>
      <w:szCs w:val="24"/>
    </w:rPr>
  </w:style>
  <w:style w:type="paragraph" w:customStyle="1" w:styleId="627">
    <w:name w:val="表、图名"/>
    <w:basedOn w:val="1"/>
    <w:link w:val="1020"/>
    <w:semiHidden/>
    <w:qFormat/>
    <w:uiPriority w:val="0"/>
    <w:pPr>
      <w:adjustRightInd w:val="0"/>
      <w:snapToGrid w:val="0"/>
      <w:spacing w:line="360" w:lineRule="auto"/>
      <w:ind w:firstLine="482"/>
      <w:jc w:val="center"/>
    </w:pPr>
    <w:rPr>
      <w:rFonts w:hAnsi="宋体"/>
      <w:b/>
      <w:color w:val="000000"/>
      <w:szCs w:val="21"/>
    </w:rPr>
  </w:style>
  <w:style w:type="paragraph" w:customStyle="1" w:styleId="628">
    <w:name w:val="Bullet_Indent"/>
    <w:basedOn w:val="1"/>
    <w:semiHidden/>
    <w:qFormat/>
    <w:uiPriority w:val="0"/>
    <w:pPr>
      <w:spacing w:after="240"/>
      <w:ind w:left="1440" w:hanging="720"/>
    </w:pPr>
    <w:rPr>
      <w:sz w:val="24"/>
      <w:szCs w:val="24"/>
    </w:rPr>
  </w:style>
  <w:style w:type="paragraph" w:customStyle="1" w:styleId="629">
    <w:name w:val="图标1"/>
    <w:basedOn w:val="1"/>
    <w:semiHidden/>
    <w:qFormat/>
    <w:uiPriority w:val="0"/>
    <w:pPr>
      <w:spacing w:line="0" w:lineRule="atLeast"/>
      <w:jc w:val="center"/>
    </w:pPr>
  </w:style>
  <w:style w:type="paragraph" w:customStyle="1" w:styleId="630">
    <w:name w:val="样式 首行缩进:  0.77 厘米 行距: 固定值 20 磅"/>
    <w:basedOn w:val="1"/>
    <w:semiHidden/>
    <w:qFormat/>
    <w:uiPriority w:val="0"/>
    <w:pPr>
      <w:spacing w:line="360" w:lineRule="auto"/>
      <w:ind w:firstLine="435"/>
    </w:pPr>
    <w:rPr>
      <w:sz w:val="24"/>
      <w:szCs w:val="24"/>
    </w:rPr>
  </w:style>
  <w:style w:type="paragraph" w:customStyle="1" w:styleId="631">
    <w:name w:val="样式 四号 首行缩进:  2 字符"/>
    <w:basedOn w:val="1"/>
    <w:semiHidden/>
    <w:qFormat/>
    <w:uiPriority w:val="0"/>
    <w:pPr>
      <w:spacing w:line="480" w:lineRule="atLeast"/>
      <w:ind w:firstLine="200" w:firstLineChars="200"/>
    </w:pPr>
    <w:rPr>
      <w:sz w:val="24"/>
      <w:szCs w:val="24"/>
    </w:rPr>
  </w:style>
  <w:style w:type="paragraph" w:customStyle="1" w:styleId="632">
    <w:name w:val="图表名称"/>
    <w:basedOn w:val="1"/>
    <w:next w:val="1"/>
    <w:semiHidden/>
    <w:qFormat/>
    <w:uiPriority w:val="0"/>
    <w:pPr>
      <w:spacing w:beforeLines="50" w:afterLines="20" w:line="400" w:lineRule="exact"/>
      <w:ind w:firstLine="471"/>
      <w:jc w:val="center"/>
    </w:pPr>
    <w:rPr>
      <w:rFonts w:ascii="宋体" w:hAnsi="宋体" w:eastAsia="黑体"/>
      <w:sz w:val="24"/>
      <w:szCs w:val="24"/>
    </w:rPr>
  </w:style>
  <w:style w:type="paragraph" w:customStyle="1" w:styleId="633">
    <w:name w:val="Char Char Char Char Char Char1 Char Char Char Char"/>
    <w:basedOn w:val="1"/>
    <w:semiHidden/>
    <w:qFormat/>
    <w:uiPriority w:val="0"/>
    <w:rPr>
      <w:sz w:val="24"/>
      <w:szCs w:val="24"/>
    </w:rPr>
  </w:style>
  <w:style w:type="paragraph" w:customStyle="1" w:styleId="634">
    <w:name w:val="Char Char1 Char Char Char Char Char Char Char Char Char Char Char Char Char Char Char Char Char Char Char Char1 Char"/>
    <w:basedOn w:val="1"/>
    <w:semiHidden/>
    <w:qFormat/>
    <w:uiPriority w:val="0"/>
    <w:pPr>
      <w:spacing w:line="360" w:lineRule="auto"/>
      <w:ind w:firstLine="200" w:firstLineChars="200"/>
    </w:pPr>
    <w:rPr>
      <w:rFonts w:ascii="宋体" w:hAnsi="宋体" w:cs="宋体"/>
      <w:sz w:val="24"/>
      <w:szCs w:val="24"/>
    </w:rPr>
  </w:style>
  <w:style w:type="paragraph" w:customStyle="1" w:styleId="635">
    <w:name w:val="z正文"/>
    <w:basedOn w:val="30"/>
    <w:semiHidden/>
    <w:qFormat/>
    <w:uiPriority w:val="0"/>
    <w:pPr>
      <w:autoSpaceDE w:val="0"/>
      <w:autoSpaceDN w:val="0"/>
      <w:adjustRightInd w:val="0"/>
      <w:snapToGrid w:val="0"/>
      <w:spacing w:after="0" w:line="360" w:lineRule="auto"/>
      <w:ind w:left="0" w:leftChars="0" w:firstLine="200" w:firstLineChars="200"/>
      <w:textAlignment w:val="baseline"/>
    </w:pPr>
    <w:rPr>
      <w:sz w:val="24"/>
      <w:szCs w:val="24"/>
    </w:rPr>
  </w:style>
  <w:style w:type="paragraph" w:customStyle="1" w:styleId="636">
    <w:name w:val="a2"/>
    <w:basedOn w:val="1"/>
    <w:semiHidden/>
    <w:qFormat/>
    <w:uiPriority w:val="0"/>
    <w:pPr>
      <w:spacing w:before="120" w:line="360" w:lineRule="auto"/>
      <w:jc w:val="center"/>
    </w:pPr>
    <w:rPr>
      <w:rFonts w:ascii="黑体" w:eastAsia="黑体"/>
      <w:szCs w:val="21"/>
    </w:rPr>
  </w:style>
  <w:style w:type="paragraph" w:customStyle="1" w:styleId="637">
    <w:name w:val="font12"/>
    <w:basedOn w:val="1"/>
    <w:qFormat/>
    <w:uiPriority w:val="0"/>
    <w:pPr>
      <w:spacing w:before="100" w:beforeAutospacing="1" w:after="100" w:afterAutospacing="1"/>
    </w:pPr>
    <w:rPr>
      <w:rFonts w:ascii="Symbol" w:hAnsi="Symbol" w:cs="宋体"/>
      <w:color w:val="000000"/>
      <w:szCs w:val="21"/>
    </w:rPr>
  </w:style>
  <w:style w:type="paragraph" w:customStyle="1" w:styleId="638">
    <w:name w:val="标准正文"/>
    <w:basedOn w:val="1"/>
    <w:semiHidden/>
    <w:qFormat/>
    <w:uiPriority w:val="0"/>
    <w:pPr>
      <w:spacing w:line="400" w:lineRule="exact"/>
      <w:ind w:firstLine="480"/>
    </w:pPr>
    <w:rPr>
      <w:sz w:val="24"/>
      <w:szCs w:val="24"/>
    </w:rPr>
  </w:style>
  <w:style w:type="paragraph" w:customStyle="1" w:styleId="639">
    <w:name w:val="y表格"/>
    <w:basedOn w:val="29"/>
    <w:semiHidden/>
    <w:qFormat/>
    <w:uiPriority w:val="0"/>
    <w:pPr>
      <w:spacing w:after="0"/>
    </w:pPr>
  </w:style>
  <w:style w:type="paragraph" w:customStyle="1" w:styleId="640">
    <w:name w:val="EIA标题2"/>
    <w:basedOn w:val="3"/>
    <w:semiHidden/>
    <w:qFormat/>
    <w:uiPriority w:val="0"/>
    <w:pPr>
      <w:widowControl w:val="0"/>
      <w:spacing w:before="120" w:after="120" w:line="440" w:lineRule="exact"/>
    </w:pPr>
    <w:rPr>
      <w:b w:val="0"/>
      <w:color w:val="000000"/>
      <w:sz w:val="24"/>
      <w:szCs w:val="24"/>
    </w:rPr>
  </w:style>
  <w:style w:type="paragraph" w:customStyle="1" w:styleId="641">
    <w:name w:val="acee正文"/>
    <w:basedOn w:val="1"/>
    <w:semiHidden/>
    <w:qFormat/>
    <w:uiPriority w:val="0"/>
    <w:pPr>
      <w:spacing w:line="480" w:lineRule="exact"/>
      <w:ind w:firstLine="640" w:firstLineChars="200"/>
    </w:pPr>
    <w:rPr>
      <w:rFonts w:ascii="仿宋_GB2312" w:hAnsi="宋体" w:eastAsia="仿宋_GB2312"/>
      <w:sz w:val="32"/>
      <w:szCs w:val="24"/>
    </w:rPr>
  </w:style>
  <w:style w:type="paragraph" w:customStyle="1" w:styleId="642">
    <w:name w:val="font11"/>
    <w:basedOn w:val="1"/>
    <w:qFormat/>
    <w:uiPriority w:val="0"/>
    <w:pPr>
      <w:spacing w:before="100" w:beforeAutospacing="1" w:after="100" w:afterAutospacing="1"/>
    </w:pPr>
    <w:rPr>
      <w:rFonts w:ascii="宋体" w:hAnsi="宋体" w:cs="宋体"/>
      <w:b/>
      <w:bCs/>
      <w:color w:val="000000"/>
      <w:sz w:val="18"/>
      <w:szCs w:val="18"/>
    </w:rPr>
  </w:style>
  <w:style w:type="paragraph" w:customStyle="1" w:styleId="643">
    <w:name w:val="正文缩近"/>
    <w:basedOn w:val="1"/>
    <w:semiHidden/>
    <w:qFormat/>
    <w:uiPriority w:val="0"/>
    <w:pPr>
      <w:spacing w:line="360" w:lineRule="auto"/>
      <w:ind w:firstLine="560" w:firstLineChars="200"/>
    </w:pPr>
    <w:rPr>
      <w:sz w:val="28"/>
      <w:szCs w:val="28"/>
    </w:rPr>
  </w:style>
  <w:style w:type="paragraph" w:customStyle="1" w:styleId="644">
    <w:name w:val="a7"/>
    <w:basedOn w:val="1"/>
    <w:semiHidden/>
    <w:qFormat/>
    <w:uiPriority w:val="0"/>
    <w:pPr>
      <w:overflowPunct w:val="0"/>
      <w:snapToGrid w:val="0"/>
      <w:spacing w:line="280" w:lineRule="atLeast"/>
      <w:jc w:val="center"/>
    </w:pPr>
    <w:rPr>
      <w:rFonts w:ascii="宋体" w:hAnsi="宋体"/>
      <w:sz w:val="18"/>
      <w:szCs w:val="18"/>
    </w:rPr>
  </w:style>
  <w:style w:type="paragraph" w:customStyle="1" w:styleId="645">
    <w:name w:val="xl51"/>
    <w:basedOn w:val="1"/>
    <w:semiHidden/>
    <w:qFormat/>
    <w:uiPriority w:val="0"/>
    <w:pPr>
      <w:pBdr>
        <w:top w:val="single" w:color="auto" w:sz="12" w:space="0"/>
        <w:left w:val="single" w:color="auto" w:sz="8"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646">
    <w:name w:val="正文段落"/>
    <w:basedOn w:val="1"/>
    <w:semiHidden/>
    <w:qFormat/>
    <w:uiPriority w:val="0"/>
    <w:pPr>
      <w:spacing w:beforeLines="50"/>
      <w:ind w:firstLine="505" w:firstLineChars="200"/>
    </w:pPr>
    <w:rPr>
      <w:sz w:val="24"/>
    </w:rPr>
  </w:style>
  <w:style w:type="paragraph" w:customStyle="1" w:styleId="647">
    <w:name w:val="段落2"/>
    <w:basedOn w:val="1"/>
    <w:semiHidden/>
    <w:qFormat/>
    <w:uiPriority w:val="0"/>
    <w:pPr>
      <w:adjustRightInd w:val="0"/>
      <w:spacing w:line="440" w:lineRule="atLeast"/>
    </w:pPr>
    <w:rPr>
      <w:spacing w:val="6"/>
      <w:sz w:val="28"/>
      <w:szCs w:val="24"/>
    </w:rPr>
  </w:style>
  <w:style w:type="paragraph" w:customStyle="1" w:styleId="648">
    <w:name w:val="xl58"/>
    <w:basedOn w:val="1"/>
    <w:semiHidden/>
    <w:qFormat/>
    <w:uiPriority w:val="0"/>
    <w:pPr>
      <w:pBdr>
        <w:top w:val="single" w:color="auto" w:sz="12" w:space="0"/>
        <w:bottom w:val="single" w:color="auto" w:sz="8"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649">
    <w:name w:val="图文"/>
    <w:basedOn w:val="1"/>
    <w:semiHidden/>
    <w:qFormat/>
    <w:uiPriority w:val="0"/>
    <w:pPr>
      <w:jc w:val="center"/>
    </w:pPr>
    <w:rPr>
      <w:szCs w:val="24"/>
    </w:rPr>
  </w:style>
  <w:style w:type="paragraph" w:customStyle="1" w:styleId="650">
    <w:name w:val="样式 日期 + 宋体"/>
    <w:basedOn w:val="44"/>
    <w:semiHidden/>
    <w:qFormat/>
    <w:uiPriority w:val="0"/>
    <w:pPr>
      <w:overflowPunct w:val="0"/>
      <w:autoSpaceDE w:val="0"/>
      <w:autoSpaceDN w:val="0"/>
      <w:adjustRightInd w:val="0"/>
      <w:spacing w:line="480" w:lineRule="exact"/>
      <w:ind w:left="0" w:leftChars="0" w:firstLine="0" w:firstLineChars="0"/>
      <w:textAlignment w:val="baseline"/>
    </w:pPr>
    <w:rPr>
      <w:rFonts w:ascii="宋体" w:hAnsi="宋体"/>
      <w:sz w:val="28"/>
      <w:lang w:val="en-GB"/>
    </w:rPr>
  </w:style>
  <w:style w:type="paragraph" w:customStyle="1" w:styleId="651">
    <w:name w:val="表格名称"/>
    <w:basedOn w:val="1"/>
    <w:link w:val="1392"/>
    <w:semiHidden/>
    <w:qFormat/>
    <w:uiPriority w:val="0"/>
    <w:pPr>
      <w:keepNext/>
      <w:keepLines/>
      <w:tabs>
        <w:tab w:val="left" w:pos="720"/>
      </w:tabs>
      <w:spacing w:beforeLines="20" w:afterLines="20" w:line="440" w:lineRule="exact"/>
      <w:ind w:firstLine="480"/>
    </w:pPr>
    <w:rPr>
      <w:rFonts w:eastAsia="黑体"/>
      <w:sz w:val="24"/>
      <w:szCs w:val="24"/>
    </w:rPr>
  </w:style>
  <w:style w:type="paragraph" w:customStyle="1" w:styleId="652">
    <w:name w:val="样式 段落1 + 首行缩进:  2 字符"/>
    <w:basedOn w:val="488"/>
    <w:semiHidden/>
    <w:qFormat/>
    <w:uiPriority w:val="0"/>
    <w:pPr>
      <w:widowControl w:val="0"/>
      <w:tabs>
        <w:tab w:val="clear" w:pos="180"/>
        <w:tab w:val="clear" w:pos="3420"/>
        <w:tab w:val="clear" w:pos="4140"/>
        <w:tab w:val="clear" w:pos="5580"/>
      </w:tabs>
      <w:adjustRightInd w:val="0"/>
      <w:spacing w:line="480" w:lineRule="exact"/>
      <w:ind w:firstLine="504"/>
      <w:textAlignment w:val="baseline"/>
    </w:pPr>
    <w:rPr>
      <w:rFonts w:cs="宋体"/>
      <w:spacing w:val="6"/>
      <w:szCs w:val="20"/>
    </w:rPr>
  </w:style>
  <w:style w:type="paragraph" w:customStyle="1" w:styleId="653">
    <w:name w:val="xl57"/>
    <w:basedOn w:val="1"/>
    <w:semiHidden/>
    <w:qFormat/>
    <w:uiPriority w:val="0"/>
    <w:pPr>
      <w:pBdr>
        <w:top w:val="single" w:color="auto" w:sz="12" w:space="0"/>
        <w:bottom w:val="single" w:color="auto" w:sz="8" w:space="0"/>
      </w:pBdr>
      <w:spacing w:before="100" w:beforeAutospacing="1" w:after="100" w:afterAutospacing="1"/>
      <w:jc w:val="center"/>
    </w:pPr>
    <w:rPr>
      <w:rFonts w:ascii="宋体" w:hAnsi="宋体" w:cs="宋体"/>
      <w:color w:val="000000"/>
      <w:szCs w:val="21"/>
    </w:rPr>
  </w:style>
  <w:style w:type="paragraph" w:customStyle="1" w:styleId="654">
    <w:name w:val="EIA正文"/>
    <w:basedOn w:val="1"/>
    <w:semiHidden/>
    <w:qFormat/>
    <w:uiPriority w:val="0"/>
    <w:pPr>
      <w:spacing w:line="360" w:lineRule="auto"/>
      <w:ind w:firstLine="578"/>
    </w:pPr>
    <w:rPr>
      <w:rFonts w:ascii="宋体" w:hAnsi="宋体"/>
      <w:sz w:val="24"/>
      <w:szCs w:val="24"/>
    </w:rPr>
  </w:style>
  <w:style w:type="paragraph" w:customStyle="1" w:styleId="655">
    <w:name w:val="公式说明"/>
    <w:basedOn w:val="1"/>
    <w:link w:val="2342"/>
    <w:semiHidden/>
    <w:qFormat/>
    <w:uiPriority w:val="0"/>
    <w:pPr>
      <w:ind w:firstLine="200" w:firstLineChars="200"/>
    </w:pPr>
    <w:rPr>
      <w:sz w:val="24"/>
    </w:rPr>
  </w:style>
  <w:style w:type="paragraph" w:customStyle="1" w:styleId="656">
    <w:name w:val="河石管道 表格正文"/>
    <w:basedOn w:val="1"/>
    <w:semiHidden/>
    <w:qFormat/>
    <w:uiPriority w:val="0"/>
    <w:pPr>
      <w:jc w:val="center"/>
    </w:pPr>
    <w:rPr>
      <w:sz w:val="18"/>
      <w:szCs w:val="21"/>
    </w:rPr>
  </w:style>
  <w:style w:type="paragraph" w:customStyle="1" w:styleId="657">
    <w:name w:val="WW-正文（首行缩进两字）"/>
    <w:basedOn w:val="1"/>
    <w:semiHidden/>
    <w:qFormat/>
    <w:uiPriority w:val="0"/>
    <w:pPr>
      <w:suppressAutoHyphens/>
      <w:ind w:firstLine="420"/>
    </w:pPr>
    <w:rPr>
      <w:kern w:val="1"/>
      <w:szCs w:val="24"/>
    </w:rPr>
  </w:style>
  <w:style w:type="paragraph" w:customStyle="1" w:styleId="658">
    <w:name w:val="报告书表格"/>
    <w:basedOn w:val="1"/>
    <w:semiHidden/>
    <w:qFormat/>
    <w:uiPriority w:val="0"/>
    <w:pPr>
      <w:adjustRightInd w:val="0"/>
      <w:spacing w:before="60" w:after="60" w:line="240" w:lineRule="atLeast"/>
      <w:jc w:val="center"/>
      <w:textAlignment w:val="baseline"/>
    </w:pPr>
    <w:rPr>
      <w:szCs w:val="24"/>
    </w:rPr>
  </w:style>
  <w:style w:type="paragraph" w:customStyle="1" w:styleId="659">
    <w:name w:val="表1"/>
    <w:basedOn w:val="1"/>
    <w:semiHidden/>
    <w:qFormat/>
    <w:uiPriority w:val="0"/>
    <w:pPr>
      <w:adjustRightInd w:val="0"/>
      <w:spacing w:line="360" w:lineRule="atLeast"/>
      <w:jc w:val="center"/>
      <w:textAlignment w:val="baseline"/>
    </w:pPr>
    <w:rPr>
      <w:rFonts w:eastAsia="黑体"/>
      <w:spacing w:val="10"/>
      <w:sz w:val="28"/>
      <w:szCs w:val="24"/>
    </w:rPr>
  </w:style>
  <w:style w:type="paragraph" w:customStyle="1" w:styleId="660">
    <w:name w:val="1表格"/>
    <w:basedOn w:val="1"/>
    <w:semiHidden/>
    <w:qFormat/>
    <w:uiPriority w:val="0"/>
    <w:pPr>
      <w:snapToGrid w:val="0"/>
      <w:jc w:val="center"/>
    </w:pPr>
    <w:rPr>
      <w:color w:val="000000"/>
      <w:spacing w:val="4"/>
      <w:szCs w:val="24"/>
    </w:rPr>
  </w:style>
  <w:style w:type="paragraph" w:customStyle="1" w:styleId="661">
    <w:name w:val="自定义缩进"/>
    <w:basedOn w:val="1"/>
    <w:semiHidden/>
    <w:qFormat/>
    <w:uiPriority w:val="0"/>
    <w:pPr>
      <w:keepNext/>
      <w:spacing w:line="336" w:lineRule="auto"/>
      <w:ind w:firstLine="480" w:firstLineChars="200"/>
    </w:pPr>
    <w:rPr>
      <w:rFonts w:ascii="宋体" w:hAnsi="宋体"/>
      <w:sz w:val="24"/>
      <w:szCs w:val="24"/>
    </w:rPr>
  </w:style>
  <w:style w:type="paragraph" w:customStyle="1" w:styleId="662">
    <w:name w:val="表1表2"/>
    <w:basedOn w:val="1"/>
    <w:semiHidden/>
    <w:qFormat/>
    <w:uiPriority w:val="0"/>
    <w:pPr>
      <w:autoSpaceDE w:val="0"/>
      <w:autoSpaceDN w:val="0"/>
      <w:adjustRightInd w:val="0"/>
      <w:jc w:val="center"/>
      <w:textAlignment w:val="center"/>
    </w:pPr>
    <w:rPr>
      <w:rFonts w:eastAsia="仿宋_GB2312"/>
      <w:szCs w:val="21"/>
    </w:rPr>
  </w:style>
  <w:style w:type="paragraph" w:customStyle="1" w:styleId="663">
    <w:name w:val="xl56"/>
    <w:basedOn w:val="1"/>
    <w:semiHidden/>
    <w:qFormat/>
    <w:uiPriority w:val="0"/>
    <w:pPr>
      <w:pBdr>
        <w:top w:val="single" w:color="auto" w:sz="12" w:space="0"/>
        <w:left w:val="single" w:color="auto" w:sz="8" w:space="0"/>
        <w:bottom w:val="single" w:color="auto" w:sz="8" w:space="0"/>
      </w:pBdr>
      <w:spacing w:before="100" w:beforeAutospacing="1" w:after="100" w:afterAutospacing="1"/>
      <w:jc w:val="center"/>
    </w:pPr>
    <w:rPr>
      <w:rFonts w:ascii="宋体" w:hAnsi="宋体" w:cs="宋体"/>
      <w:color w:val="000000"/>
      <w:szCs w:val="21"/>
    </w:rPr>
  </w:style>
  <w:style w:type="paragraph" w:customStyle="1" w:styleId="664">
    <w:name w:val="图表名"/>
    <w:basedOn w:val="1"/>
    <w:semiHidden/>
    <w:qFormat/>
    <w:uiPriority w:val="0"/>
    <w:pPr>
      <w:spacing w:beforeLines="30" w:afterLines="20" w:line="440" w:lineRule="exact"/>
      <w:ind w:firstLine="480"/>
    </w:pPr>
    <w:rPr>
      <w:rFonts w:eastAsia="黑体"/>
      <w:sz w:val="24"/>
      <w:szCs w:val="24"/>
    </w:rPr>
  </w:style>
  <w:style w:type="paragraph" w:customStyle="1" w:styleId="665">
    <w:name w:val="Char2 Char Char Char Char Char Char"/>
    <w:basedOn w:val="1"/>
    <w:semiHidden/>
    <w:qFormat/>
    <w:uiPriority w:val="0"/>
    <w:pPr>
      <w:spacing w:line="360" w:lineRule="auto"/>
      <w:ind w:firstLine="200" w:firstLineChars="200"/>
    </w:pPr>
    <w:rPr>
      <w:rFonts w:ascii="宋体" w:hAnsi="宋体" w:cs="宋体"/>
      <w:sz w:val="24"/>
      <w:szCs w:val="24"/>
    </w:rPr>
  </w:style>
  <w:style w:type="paragraph" w:customStyle="1" w:styleId="666">
    <w:name w:val="xl55"/>
    <w:basedOn w:val="1"/>
    <w:semiHidden/>
    <w:qFormat/>
    <w:uiPriority w:val="0"/>
    <w:pPr>
      <w:pBdr>
        <w:left w:val="single" w:color="auto" w:sz="12" w:space="0"/>
        <w:bottom w:val="single" w:color="auto" w:sz="8"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667">
    <w:name w:val="标题样式3"/>
    <w:basedOn w:val="4"/>
    <w:semiHidden/>
    <w:qFormat/>
    <w:uiPriority w:val="0"/>
    <w:pPr>
      <w:tabs>
        <w:tab w:val="left" w:pos="0"/>
      </w:tabs>
      <w:spacing w:before="120" w:after="10" w:line="300" w:lineRule="auto"/>
    </w:pPr>
    <w:rPr>
      <w:rFonts w:ascii="黑体"/>
      <w:color w:val="000000"/>
      <w:sz w:val="24"/>
    </w:rPr>
  </w:style>
  <w:style w:type="paragraph" w:customStyle="1" w:styleId="668">
    <w:name w:val="样式16"/>
    <w:basedOn w:val="331"/>
    <w:link w:val="1652"/>
    <w:semiHidden/>
    <w:qFormat/>
    <w:uiPriority w:val="0"/>
    <w:pPr>
      <w:spacing w:line="240" w:lineRule="auto"/>
      <w:jc w:val="center"/>
    </w:pPr>
  </w:style>
  <w:style w:type="paragraph" w:customStyle="1" w:styleId="669">
    <w:name w:val="文字"/>
    <w:basedOn w:val="1"/>
    <w:link w:val="2084"/>
    <w:semiHidden/>
    <w:qFormat/>
    <w:uiPriority w:val="0"/>
    <w:pPr>
      <w:spacing w:line="360" w:lineRule="auto"/>
      <w:ind w:firstLine="482"/>
    </w:pPr>
    <w:rPr>
      <w:rFonts w:ascii="Arial" w:hAnsi="Arial"/>
      <w:snapToGrid w:val="0"/>
      <w:color w:val="000000"/>
      <w:kern w:val="28"/>
      <w:sz w:val="24"/>
    </w:rPr>
  </w:style>
  <w:style w:type="paragraph" w:customStyle="1" w:styleId="670">
    <w:name w:val="样式 样式表格"/>
    <w:basedOn w:val="331"/>
    <w:semiHidden/>
    <w:qFormat/>
    <w:uiPriority w:val="0"/>
    <w:pPr>
      <w:spacing w:line="240" w:lineRule="exact"/>
      <w:jc w:val="center"/>
    </w:pPr>
    <w:rPr>
      <w:rFonts w:cs="宋体"/>
      <w:szCs w:val="20"/>
    </w:rPr>
  </w:style>
  <w:style w:type="paragraph" w:customStyle="1" w:styleId="671">
    <w:name w:val="样式 样式表格 + 居中"/>
    <w:basedOn w:val="331"/>
    <w:semiHidden/>
    <w:qFormat/>
    <w:uiPriority w:val="0"/>
    <w:pPr>
      <w:spacing w:line="240" w:lineRule="exact"/>
      <w:jc w:val="center"/>
    </w:pPr>
    <w:rPr>
      <w:rFonts w:cs="宋体"/>
      <w:szCs w:val="20"/>
    </w:rPr>
  </w:style>
  <w:style w:type="paragraph" w:customStyle="1" w:styleId="672">
    <w:name w:val="表格文字最后1行"/>
    <w:basedOn w:val="1"/>
    <w:next w:val="1"/>
    <w:semiHidden/>
    <w:qFormat/>
    <w:uiPriority w:val="0"/>
    <w:pPr>
      <w:spacing w:afterLines="20" w:line="264" w:lineRule="auto"/>
      <w:jc w:val="center"/>
    </w:pPr>
    <w:rPr>
      <w:rFonts w:eastAsia="仿宋_GB2312"/>
      <w:szCs w:val="24"/>
    </w:rPr>
  </w:style>
  <w:style w:type="paragraph" w:customStyle="1" w:styleId="673">
    <w:name w:val="样式 样式表格 + 首行缩进:  2 字符"/>
    <w:basedOn w:val="331"/>
    <w:semiHidden/>
    <w:qFormat/>
    <w:uiPriority w:val="0"/>
    <w:pPr>
      <w:spacing w:line="240" w:lineRule="exact"/>
    </w:pPr>
    <w:rPr>
      <w:rFonts w:cs="宋体"/>
      <w:kern w:val="2"/>
      <w:szCs w:val="20"/>
    </w:rPr>
  </w:style>
  <w:style w:type="paragraph" w:customStyle="1" w:styleId="674">
    <w:name w:val="文本框五号加粗 Char"/>
    <w:basedOn w:val="1"/>
    <w:next w:val="1"/>
    <w:semiHidden/>
    <w:qFormat/>
    <w:uiPriority w:val="0"/>
    <w:pPr>
      <w:spacing w:line="300" w:lineRule="auto"/>
      <w:jc w:val="center"/>
    </w:pPr>
    <w:rPr>
      <w:rFonts w:eastAsia="仿宋_GB2312"/>
      <w:b/>
      <w:szCs w:val="24"/>
    </w:rPr>
  </w:style>
  <w:style w:type="character" w:customStyle="1" w:styleId="675">
    <w:name w:val="f151"/>
    <w:basedOn w:val="109"/>
    <w:semiHidden/>
    <w:qFormat/>
    <w:uiPriority w:val="0"/>
    <w:rPr>
      <w:rFonts w:eastAsia="宋体"/>
      <w:color w:val="000000"/>
      <w:kern w:val="2"/>
      <w:sz w:val="23"/>
      <w:szCs w:val="23"/>
      <w:lang w:val="en-US" w:eastAsia="zh-CN" w:bidi="ar-SA"/>
    </w:rPr>
  </w:style>
  <w:style w:type="character" w:customStyle="1" w:styleId="676">
    <w:name w:val="large1"/>
    <w:basedOn w:val="109"/>
    <w:semiHidden/>
    <w:qFormat/>
    <w:uiPriority w:val="0"/>
    <w:rPr>
      <w:rFonts w:hint="eastAsia" w:ascii="宋体" w:hAnsi="宋体" w:eastAsia="宋体"/>
      <w:color w:val="000000"/>
      <w:kern w:val="2"/>
      <w:sz w:val="22"/>
      <w:szCs w:val="22"/>
      <w:lang w:val="en-US" w:eastAsia="zh-CN" w:bidi="ar-SA"/>
    </w:rPr>
  </w:style>
  <w:style w:type="paragraph" w:customStyle="1" w:styleId="677">
    <w:name w:val="表格文字独行"/>
    <w:basedOn w:val="1"/>
    <w:next w:val="1"/>
    <w:semiHidden/>
    <w:qFormat/>
    <w:uiPriority w:val="0"/>
    <w:pPr>
      <w:spacing w:beforeLines="20" w:afterLines="20" w:line="264" w:lineRule="auto"/>
      <w:jc w:val="center"/>
    </w:pPr>
    <w:rPr>
      <w:rFonts w:eastAsia="仿宋_GB2312"/>
      <w:szCs w:val="24"/>
    </w:rPr>
  </w:style>
  <w:style w:type="paragraph" w:customStyle="1" w:styleId="678">
    <w:name w:val="表格文字第1行"/>
    <w:basedOn w:val="1"/>
    <w:next w:val="1"/>
    <w:semiHidden/>
    <w:qFormat/>
    <w:uiPriority w:val="0"/>
    <w:pPr>
      <w:spacing w:beforeLines="20" w:line="264" w:lineRule="auto"/>
      <w:jc w:val="center"/>
    </w:pPr>
    <w:rPr>
      <w:rFonts w:eastAsia="仿宋_GB2312"/>
      <w:szCs w:val="24"/>
    </w:rPr>
  </w:style>
  <w:style w:type="character" w:customStyle="1" w:styleId="679">
    <w:name w:val="正文2 Char"/>
    <w:basedOn w:val="109"/>
    <w:semiHidden/>
    <w:qFormat/>
    <w:uiPriority w:val="0"/>
    <w:rPr>
      <w:rFonts w:eastAsia="宋体"/>
      <w:sz w:val="21"/>
      <w:szCs w:val="24"/>
      <w:lang w:val="en-US" w:eastAsia="zh-CN" w:bidi="ar-SA"/>
    </w:rPr>
  </w:style>
  <w:style w:type="paragraph" w:customStyle="1" w:styleId="680">
    <w:name w:val="a"/>
    <w:basedOn w:val="1"/>
    <w:semiHidden/>
    <w:qFormat/>
    <w:uiPriority w:val="0"/>
    <w:pPr>
      <w:spacing w:before="100" w:beforeAutospacing="1" w:after="100" w:afterAutospacing="1"/>
    </w:pPr>
    <w:rPr>
      <w:rFonts w:ascii="宋体" w:hAnsi="宋体" w:cs="宋体"/>
      <w:sz w:val="24"/>
      <w:szCs w:val="24"/>
    </w:rPr>
  </w:style>
  <w:style w:type="paragraph" w:customStyle="1" w:styleId="681">
    <w:name w:val="样式 样式表格 +"/>
    <w:basedOn w:val="331"/>
    <w:semiHidden/>
    <w:qFormat/>
    <w:uiPriority w:val="0"/>
    <w:pPr>
      <w:spacing w:line="240" w:lineRule="exact"/>
    </w:pPr>
    <w:rPr>
      <w:rFonts w:cs="宋体"/>
      <w:szCs w:val="20"/>
    </w:rPr>
  </w:style>
  <w:style w:type="paragraph" w:customStyle="1" w:styleId="682">
    <w:name w:val="段落"/>
    <w:basedOn w:val="1"/>
    <w:semiHidden/>
    <w:qFormat/>
    <w:uiPriority w:val="0"/>
    <w:pPr>
      <w:adjustRightInd w:val="0"/>
      <w:snapToGrid w:val="0"/>
      <w:spacing w:line="400" w:lineRule="atLeast"/>
      <w:ind w:firstLine="510"/>
    </w:pPr>
    <w:rPr>
      <w:color w:val="000000"/>
      <w:spacing w:val="4"/>
      <w:sz w:val="24"/>
    </w:rPr>
  </w:style>
  <w:style w:type="paragraph" w:customStyle="1" w:styleId="683">
    <w:name w:val="font13"/>
    <w:basedOn w:val="1"/>
    <w:semiHidden/>
    <w:qFormat/>
    <w:uiPriority w:val="0"/>
    <w:pPr>
      <w:spacing w:before="100" w:beforeAutospacing="1" w:after="100" w:afterAutospacing="1"/>
    </w:pPr>
    <w:rPr>
      <w:rFonts w:ascii="宋体" w:hAnsi="宋体" w:cs="宋体"/>
      <w:color w:val="0000FF"/>
      <w:szCs w:val="21"/>
    </w:rPr>
  </w:style>
  <w:style w:type="paragraph" w:customStyle="1" w:styleId="684">
    <w:name w:val="表、图名宋旭峰"/>
    <w:basedOn w:val="1"/>
    <w:semiHidden/>
    <w:qFormat/>
    <w:uiPriority w:val="0"/>
    <w:pPr>
      <w:spacing w:beforeLines="50" w:line="360" w:lineRule="auto"/>
    </w:pPr>
    <w:rPr>
      <w:rFonts w:ascii="黑体" w:eastAsia="黑体"/>
      <w:color w:val="000000"/>
      <w:szCs w:val="21"/>
    </w:rPr>
  </w:style>
  <w:style w:type="paragraph" w:customStyle="1" w:styleId="685">
    <w:name w:val="font14"/>
    <w:basedOn w:val="1"/>
    <w:semiHidden/>
    <w:qFormat/>
    <w:uiPriority w:val="0"/>
    <w:pPr>
      <w:spacing w:before="100" w:beforeAutospacing="1" w:after="100" w:afterAutospacing="1"/>
    </w:pPr>
    <w:rPr>
      <w:color w:val="0000FF"/>
      <w:szCs w:val="21"/>
    </w:rPr>
  </w:style>
  <w:style w:type="paragraph" w:customStyle="1" w:styleId="686">
    <w:name w:val="文本匡小五号 Char Char"/>
    <w:basedOn w:val="1"/>
    <w:semiHidden/>
    <w:qFormat/>
    <w:uiPriority w:val="0"/>
    <w:pPr>
      <w:jc w:val="center"/>
    </w:pPr>
    <w:rPr>
      <w:rFonts w:eastAsia="仿宋_GB2312"/>
      <w:sz w:val="18"/>
      <w:szCs w:val="24"/>
    </w:rPr>
  </w:style>
  <w:style w:type="paragraph" w:customStyle="1" w:styleId="687">
    <w:name w:val="表格五号两端齐"/>
    <w:basedOn w:val="1"/>
    <w:semiHidden/>
    <w:qFormat/>
    <w:uiPriority w:val="0"/>
    <w:pPr>
      <w:spacing w:beforeLines="20" w:afterLines="20" w:line="264" w:lineRule="auto"/>
    </w:pPr>
    <w:rPr>
      <w:rFonts w:eastAsia="仿宋_GB2312"/>
      <w:color w:val="000000"/>
      <w:szCs w:val="21"/>
    </w:rPr>
  </w:style>
  <w:style w:type="paragraph" w:customStyle="1" w:styleId="688">
    <w:name w:val="文本框；六号"/>
    <w:basedOn w:val="686"/>
    <w:semiHidden/>
    <w:qFormat/>
    <w:uiPriority w:val="0"/>
    <w:rPr>
      <w:sz w:val="15"/>
    </w:rPr>
  </w:style>
  <w:style w:type="paragraph" w:customStyle="1" w:styleId="689">
    <w:name w:val="样式 段落1 + 红色"/>
    <w:basedOn w:val="488"/>
    <w:semiHidden/>
    <w:qFormat/>
    <w:uiPriority w:val="0"/>
    <w:pPr>
      <w:spacing w:line="360" w:lineRule="auto"/>
    </w:pPr>
  </w:style>
  <w:style w:type="paragraph" w:customStyle="1" w:styleId="690">
    <w:name w:val="xl59"/>
    <w:basedOn w:val="1"/>
    <w:semiHidden/>
    <w:qFormat/>
    <w:uiPriority w:val="0"/>
    <w:pPr>
      <w:pBdr>
        <w:bottom w:val="single" w:color="auto" w:sz="8" w:space="0"/>
        <w:right w:val="single" w:color="auto" w:sz="8" w:space="0"/>
      </w:pBdr>
      <w:shd w:val="clear" w:color="auto" w:fill="FFFF00"/>
      <w:spacing w:before="100" w:beforeAutospacing="1" w:after="100" w:afterAutospacing="1"/>
    </w:pPr>
    <w:rPr>
      <w:color w:val="000000"/>
      <w:szCs w:val="21"/>
    </w:rPr>
  </w:style>
  <w:style w:type="paragraph" w:customStyle="1" w:styleId="691">
    <w:name w:val="xl60"/>
    <w:basedOn w:val="1"/>
    <w:semiHidden/>
    <w:qFormat/>
    <w:uiPriority w:val="0"/>
    <w:pPr>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center"/>
    </w:pPr>
    <w:rPr>
      <w:color w:val="000000"/>
      <w:szCs w:val="21"/>
    </w:rPr>
  </w:style>
  <w:style w:type="paragraph" w:customStyle="1" w:styleId="692">
    <w:name w:val="xl61"/>
    <w:basedOn w:val="1"/>
    <w:semiHidden/>
    <w:qFormat/>
    <w:uiPriority w:val="0"/>
    <w:pPr>
      <w:pBdr>
        <w:bottom w:val="single" w:color="auto" w:sz="8" w:space="0"/>
      </w:pBdr>
      <w:shd w:val="clear" w:color="auto" w:fill="FFFF00"/>
      <w:spacing w:before="100" w:beforeAutospacing="1" w:after="100" w:afterAutospacing="1"/>
    </w:pPr>
    <w:rPr>
      <w:color w:val="000000"/>
      <w:szCs w:val="21"/>
    </w:rPr>
  </w:style>
  <w:style w:type="paragraph" w:customStyle="1" w:styleId="693">
    <w:name w:val="xl62"/>
    <w:basedOn w:val="1"/>
    <w:semiHidden/>
    <w:qFormat/>
    <w:uiPriority w:val="0"/>
    <w:pPr>
      <w:pBdr>
        <w:bottom w:val="single" w:color="auto" w:sz="8" w:space="0"/>
      </w:pBdr>
      <w:shd w:val="clear" w:color="auto" w:fill="FFFF00"/>
      <w:spacing w:before="100" w:beforeAutospacing="1" w:after="100" w:afterAutospacing="1"/>
    </w:pPr>
    <w:rPr>
      <w:color w:val="000000"/>
      <w:szCs w:val="21"/>
    </w:rPr>
  </w:style>
  <w:style w:type="paragraph" w:customStyle="1" w:styleId="694">
    <w:name w:val="xl63"/>
    <w:basedOn w:val="1"/>
    <w:qFormat/>
    <w:uiPriority w:val="0"/>
    <w:pPr>
      <w:pBdr>
        <w:bottom w:val="single" w:color="auto" w:sz="8" w:space="0"/>
        <w:right w:val="single" w:color="auto" w:sz="8" w:space="0"/>
      </w:pBdr>
      <w:shd w:val="clear" w:color="auto" w:fill="FFFF00"/>
      <w:spacing w:before="100" w:beforeAutospacing="1" w:after="100" w:afterAutospacing="1"/>
      <w:jc w:val="center"/>
    </w:pPr>
    <w:rPr>
      <w:color w:val="000000"/>
      <w:szCs w:val="21"/>
    </w:rPr>
  </w:style>
  <w:style w:type="paragraph" w:customStyle="1" w:styleId="695">
    <w:name w:val="xl64"/>
    <w:basedOn w:val="1"/>
    <w:qFormat/>
    <w:uiPriority w:val="0"/>
    <w:pPr>
      <w:pBdr>
        <w:bottom w:val="single" w:color="auto" w:sz="12" w:space="0"/>
      </w:pBdr>
      <w:spacing w:before="100" w:beforeAutospacing="1" w:after="100" w:afterAutospacing="1"/>
      <w:jc w:val="center"/>
      <w:textAlignment w:val="top"/>
    </w:pPr>
    <w:rPr>
      <w:color w:val="000000"/>
      <w:szCs w:val="21"/>
    </w:rPr>
  </w:style>
  <w:style w:type="paragraph" w:customStyle="1" w:styleId="696">
    <w:name w:val="xl65"/>
    <w:basedOn w:val="1"/>
    <w:qFormat/>
    <w:uiPriority w:val="0"/>
    <w:pPr>
      <w:pBdr>
        <w:bottom w:val="single" w:color="auto" w:sz="12" w:space="0"/>
      </w:pBdr>
      <w:spacing w:before="100" w:beforeAutospacing="1" w:after="100" w:afterAutospacing="1"/>
      <w:jc w:val="center"/>
    </w:pPr>
    <w:rPr>
      <w:rFonts w:ascii="宋体" w:hAnsi="宋体" w:cs="宋体"/>
      <w:sz w:val="24"/>
      <w:szCs w:val="24"/>
    </w:rPr>
  </w:style>
  <w:style w:type="paragraph" w:customStyle="1" w:styleId="697">
    <w:name w:val="xl67"/>
    <w:basedOn w:val="1"/>
    <w:qFormat/>
    <w:uiPriority w:val="0"/>
    <w:pPr>
      <w:pBdr>
        <w:bottom w:val="single" w:color="auto" w:sz="8" w:space="0"/>
        <w:right w:val="single" w:color="auto" w:sz="8" w:space="0"/>
      </w:pBdr>
      <w:spacing w:before="100" w:beforeAutospacing="1" w:after="100" w:afterAutospacing="1"/>
      <w:jc w:val="center"/>
    </w:pPr>
    <w:rPr>
      <w:color w:val="FF0000"/>
      <w:szCs w:val="21"/>
    </w:rPr>
  </w:style>
  <w:style w:type="paragraph" w:customStyle="1" w:styleId="698">
    <w:name w:val="xl68"/>
    <w:basedOn w:val="1"/>
    <w:qFormat/>
    <w:uiPriority w:val="0"/>
    <w:pPr>
      <w:pBdr>
        <w:bottom w:val="single" w:color="auto" w:sz="8" w:space="0"/>
      </w:pBdr>
      <w:spacing w:before="100" w:beforeAutospacing="1" w:after="100" w:afterAutospacing="1"/>
    </w:pPr>
    <w:rPr>
      <w:color w:val="FF0000"/>
      <w:szCs w:val="21"/>
    </w:rPr>
  </w:style>
  <w:style w:type="paragraph" w:customStyle="1" w:styleId="699">
    <w:name w:val="xl69"/>
    <w:basedOn w:val="1"/>
    <w:qFormat/>
    <w:uiPriority w:val="0"/>
    <w:pPr>
      <w:pBdr>
        <w:bottom w:val="single" w:color="auto" w:sz="8" w:space="0"/>
        <w:right w:val="single" w:color="auto" w:sz="8" w:space="0"/>
      </w:pBdr>
      <w:spacing w:before="100" w:beforeAutospacing="1" w:after="100" w:afterAutospacing="1"/>
    </w:pPr>
    <w:rPr>
      <w:color w:val="000000"/>
      <w:szCs w:val="21"/>
    </w:rPr>
  </w:style>
  <w:style w:type="paragraph" w:customStyle="1" w:styleId="700">
    <w:name w:val="xl70"/>
    <w:basedOn w:val="1"/>
    <w:qFormat/>
    <w:uiPriority w:val="0"/>
    <w:pPr>
      <w:pBdr>
        <w:right w:val="single" w:color="auto" w:sz="8" w:space="0"/>
      </w:pBdr>
      <w:shd w:val="clear" w:color="auto" w:fill="FFFF00"/>
      <w:spacing w:before="100" w:beforeAutospacing="1" w:after="100" w:afterAutospacing="1"/>
      <w:jc w:val="center"/>
    </w:pPr>
    <w:rPr>
      <w:color w:val="000000"/>
      <w:szCs w:val="21"/>
    </w:rPr>
  </w:style>
  <w:style w:type="paragraph" w:customStyle="1" w:styleId="701">
    <w:name w:val="xl71"/>
    <w:basedOn w:val="1"/>
    <w:qFormat/>
    <w:uiPriority w:val="0"/>
    <w:pPr>
      <w:pBdr>
        <w:bottom w:val="single" w:color="auto" w:sz="8" w:space="0"/>
        <w:right w:val="single" w:color="auto" w:sz="8" w:space="0"/>
      </w:pBdr>
      <w:spacing w:before="100" w:beforeAutospacing="1" w:after="100" w:afterAutospacing="1"/>
    </w:pPr>
    <w:rPr>
      <w:color w:val="000000"/>
      <w:szCs w:val="21"/>
    </w:rPr>
  </w:style>
  <w:style w:type="paragraph" w:customStyle="1" w:styleId="702">
    <w:name w:val="xl72"/>
    <w:basedOn w:val="1"/>
    <w:qFormat/>
    <w:uiPriority w:val="0"/>
    <w:pPr>
      <w:pBdr>
        <w:bottom w:val="single" w:color="auto" w:sz="8" w:space="0"/>
        <w:right w:val="single" w:color="auto" w:sz="8" w:space="0"/>
      </w:pBdr>
      <w:spacing w:before="100" w:beforeAutospacing="1" w:after="100" w:afterAutospacing="1"/>
    </w:pPr>
    <w:rPr>
      <w:rFonts w:ascii="宋体" w:hAnsi="宋体" w:cs="宋体"/>
      <w:color w:val="000000"/>
      <w:szCs w:val="21"/>
    </w:rPr>
  </w:style>
  <w:style w:type="paragraph" w:customStyle="1" w:styleId="703">
    <w:name w:val="xl74"/>
    <w:basedOn w:val="1"/>
    <w:qFormat/>
    <w:uiPriority w:val="0"/>
    <w:pPr>
      <w:pBdr>
        <w:top w:val="single" w:color="auto" w:sz="12" w:space="0"/>
        <w:left w:val="single" w:color="auto" w:sz="12" w:space="0"/>
        <w:right w:val="single" w:color="auto" w:sz="8" w:space="0"/>
      </w:pBdr>
      <w:spacing w:before="100" w:beforeAutospacing="1" w:after="100" w:afterAutospacing="1"/>
    </w:pPr>
    <w:rPr>
      <w:rFonts w:ascii="宋体" w:hAnsi="宋体" w:cs="宋体"/>
      <w:color w:val="000000"/>
      <w:szCs w:val="21"/>
    </w:rPr>
  </w:style>
  <w:style w:type="paragraph" w:customStyle="1" w:styleId="704">
    <w:name w:val="xl75"/>
    <w:basedOn w:val="1"/>
    <w:qFormat/>
    <w:uiPriority w:val="0"/>
    <w:pPr>
      <w:pBdr>
        <w:bottom w:val="single" w:color="auto" w:sz="8" w:space="0"/>
      </w:pBdr>
      <w:spacing w:before="100" w:beforeAutospacing="1" w:after="100" w:afterAutospacing="1"/>
      <w:jc w:val="center"/>
    </w:pPr>
    <w:rPr>
      <w:color w:val="000000"/>
      <w:szCs w:val="21"/>
    </w:rPr>
  </w:style>
  <w:style w:type="paragraph" w:customStyle="1" w:styleId="705">
    <w:name w:val="xl76"/>
    <w:basedOn w:val="1"/>
    <w:qFormat/>
    <w:uiPriority w:val="0"/>
    <w:pPr>
      <w:pBdr>
        <w:bottom w:val="single" w:color="auto" w:sz="12" w:space="0"/>
      </w:pBdr>
      <w:spacing w:before="100" w:beforeAutospacing="1" w:after="100" w:afterAutospacing="1"/>
    </w:pPr>
    <w:rPr>
      <w:rFonts w:ascii="宋体" w:hAnsi="宋体" w:cs="宋体"/>
      <w:sz w:val="24"/>
      <w:szCs w:val="24"/>
    </w:rPr>
  </w:style>
  <w:style w:type="paragraph" w:customStyle="1" w:styleId="706">
    <w:name w:val="xl77"/>
    <w:basedOn w:val="1"/>
    <w:qFormat/>
    <w:uiPriority w:val="0"/>
    <w:pPr>
      <w:pBdr>
        <w:bottom w:val="single" w:color="auto" w:sz="8" w:space="0"/>
        <w:right w:val="single" w:color="auto" w:sz="8" w:space="0"/>
      </w:pBdr>
      <w:spacing w:before="100" w:beforeAutospacing="1" w:after="100" w:afterAutospacing="1"/>
    </w:pPr>
    <w:rPr>
      <w:color w:val="FF0000"/>
      <w:szCs w:val="21"/>
    </w:rPr>
  </w:style>
  <w:style w:type="paragraph" w:customStyle="1" w:styleId="707">
    <w:name w:val="xl78"/>
    <w:basedOn w:val="1"/>
    <w:qFormat/>
    <w:uiPriority w:val="0"/>
    <w:pPr>
      <w:pBdr>
        <w:bottom w:val="single" w:color="auto" w:sz="8" w:space="0"/>
        <w:right w:val="single" w:color="auto" w:sz="8" w:space="0"/>
      </w:pBdr>
      <w:spacing w:before="100" w:beforeAutospacing="1" w:after="100" w:afterAutospacing="1"/>
    </w:pPr>
    <w:rPr>
      <w:rFonts w:ascii="宋体" w:hAnsi="宋体" w:cs="宋体"/>
      <w:color w:val="0000FF"/>
      <w:szCs w:val="21"/>
    </w:rPr>
  </w:style>
  <w:style w:type="paragraph" w:customStyle="1" w:styleId="708">
    <w:name w:val="xl79"/>
    <w:basedOn w:val="1"/>
    <w:qFormat/>
    <w:uiPriority w:val="0"/>
    <w:pPr>
      <w:pBdr>
        <w:top w:val="single" w:color="auto" w:sz="12" w:space="0"/>
        <w:left w:val="single" w:color="auto" w:sz="12" w:space="0"/>
        <w:right w:val="single" w:color="auto" w:sz="8" w:space="0"/>
      </w:pBdr>
      <w:spacing w:before="100" w:beforeAutospacing="1" w:after="100" w:afterAutospacing="1"/>
    </w:pPr>
    <w:rPr>
      <w:color w:val="000000"/>
      <w:szCs w:val="21"/>
    </w:rPr>
  </w:style>
  <w:style w:type="paragraph" w:customStyle="1" w:styleId="709">
    <w:name w:val="xl80"/>
    <w:basedOn w:val="1"/>
    <w:qFormat/>
    <w:uiPriority w:val="0"/>
    <w:pPr>
      <w:pBdr>
        <w:bottom w:val="single" w:color="auto" w:sz="8" w:space="0"/>
        <w:right w:val="single" w:color="auto" w:sz="8" w:space="0"/>
      </w:pBdr>
      <w:spacing w:before="100" w:beforeAutospacing="1" w:after="100" w:afterAutospacing="1"/>
    </w:pPr>
    <w:rPr>
      <w:color w:val="0000FF"/>
      <w:szCs w:val="21"/>
    </w:rPr>
  </w:style>
  <w:style w:type="paragraph" w:customStyle="1" w:styleId="710">
    <w:name w:val="xl81"/>
    <w:basedOn w:val="1"/>
    <w:qFormat/>
    <w:uiPriority w:val="0"/>
    <w:pPr>
      <w:pBdr>
        <w:left w:val="single" w:color="auto" w:sz="8" w:space="0"/>
        <w:right w:val="single" w:color="auto" w:sz="8" w:space="0"/>
      </w:pBdr>
      <w:spacing w:before="100" w:beforeAutospacing="1" w:after="100" w:afterAutospacing="1"/>
    </w:pPr>
    <w:rPr>
      <w:color w:val="000000"/>
      <w:szCs w:val="21"/>
    </w:rPr>
  </w:style>
  <w:style w:type="paragraph" w:customStyle="1" w:styleId="711">
    <w:name w:val="xl82"/>
    <w:basedOn w:val="1"/>
    <w:qFormat/>
    <w:uiPriority w:val="0"/>
    <w:pPr>
      <w:pBdr>
        <w:bottom w:val="single" w:color="auto" w:sz="8" w:space="0"/>
        <w:right w:val="single" w:color="auto" w:sz="8" w:space="0"/>
      </w:pBdr>
      <w:spacing w:before="100" w:beforeAutospacing="1" w:after="100" w:afterAutospacing="1"/>
    </w:pPr>
    <w:rPr>
      <w:color w:val="000000"/>
      <w:szCs w:val="21"/>
    </w:rPr>
  </w:style>
  <w:style w:type="paragraph" w:customStyle="1" w:styleId="712">
    <w:name w:val="xl83"/>
    <w:basedOn w:val="1"/>
    <w:qFormat/>
    <w:uiPriority w:val="0"/>
    <w:pPr>
      <w:pBdr>
        <w:bottom w:val="single" w:color="auto" w:sz="8" w:space="0"/>
        <w:right w:val="single" w:color="auto" w:sz="8" w:space="0"/>
      </w:pBdr>
      <w:spacing w:before="100" w:beforeAutospacing="1" w:after="100" w:afterAutospacing="1"/>
    </w:pPr>
    <w:rPr>
      <w:color w:val="000000"/>
      <w:szCs w:val="21"/>
    </w:rPr>
  </w:style>
  <w:style w:type="paragraph" w:customStyle="1" w:styleId="713">
    <w:name w:val="样式 样式表格 + 宋体"/>
    <w:basedOn w:val="331"/>
    <w:semiHidden/>
    <w:qFormat/>
    <w:uiPriority w:val="0"/>
    <w:pPr>
      <w:spacing w:line="240" w:lineRule="exact"/>
      <w:ind w:firstLine="420" w:firstLineChars="200"/>
    </w:pPr>
    <w:rPr>
      <w:rFonts w:ascii="宋体" w:hAnsi="宋体" w:cs="宋体"/>
      <w:szCs w:val="20"/>
    </w:rPr>
  </w:style>
  <w:style w:type="paragraph" w:customStyle="1" w:styleId="714">
    <w:name w:val="xl84"/>
    <w:basedOn w:val="1"/>
    <w:qFormat/>
    <w:uiPriority w:val="0"/>
    <w:pPr>
      <w:pBdr>
        <w:left w:val="single" w:color="auto" w:sz="8" w:space="0"/>
      </w:pBdr>
      <w:spacing w:before="100" w:beforeAutospacing="1" w:after="100" w:afterAutospacing="1"/>
      <w:textAlignment w:val="top"/>
    </w:pPr>
    <w:rPr>
      <w:color w:val="000000"/>
      <w:szCs w:val="21"/>
    </w:rPr>
  </w:style>
  <w:style w:type="paragraph" w:customStyle="1" w:styleId="715">
    <w:name w:val="xl85"/>
    <w:basedOn w:val="1"/>
    <w:qFormat/>
    <w:uiPriority w:val="0"/>
    <w:pPr>
      <w:spacing w:before="100" w:beforeAutospacing="1" w:after="100" w:afterAutospacing="1"/>
      <w:textAlignment w:val="top"/>
    </w:pPr>
    <w:rPr>
      <w:color w:val="000000"/>
      <w:szCs w:val="21"/>
    </w:rPr>
  </w:style>
  <w:style w:type="paragraph" w:customStyle="1" w:styleId="716">
    <w:name w:val="xl86"/>
    <w:basedOn w:val="1"/>
    <w:qFormat/>
    <w:uiPriority w:val="0"/>
    <w:pPr>
      <w:pBdr>
        <w:left w:val="single" w:color="auto" w:sz="8" w:space="0"/>
        <w:bottom w:val="single" w:color="auto" w:sz="12" w:space="0"/>
      </w:pBdr>
      <w:spacing w:before="100" w:beforeAutospacing="1" w:after="100" w:afterAutospacing="1"/>
      <w:textAlignment w:val="top"/>
    </w:pPr>
    <w:rPr>
      <w:color w:val="000000"/>
      <w:szCs w:val="21"/>
    </w:rPr>
  </w:style>
  <w:style w:type="paragraph" w:customStyle="1" w:styleId="717">
    <w:name w:val="xl87"/>
    <w:basedOn w:val="1"/>
    <w:qFormat/>
    <w:uiPriority w:val="0"/>
    <w:pPr>
      <w:pBdr>
        <w:bottom w:val="single" w:color="auto" w:sz="12" w:space="0"/>
      </w:pBdr>
      <w:spacing w:before="100" w:beforeAutospacing="1" w:after="100" w:afterAutospacing="1"/>
      <w:textAlignment w:val="top"/>
    </w:pPr>
    <w:rPr>
      <w:color w:val="000000"/>
      <w:szCs w:val="21"/>
    </w:rPr>
  </w:style>
  <w:style w:type="paragraph" w:customStyle="1" w:styleId="718">
    <w:name w:val="xl88"/>
    <w:basedOn w:val="1"/>
    <w:qFormat/>
    <w:uiPriority w:val="0"/>
    <w:pPr>
      <w:pBdr>
        <w:left w:val="single" w:color="auto" w:sz="8" w:space="0"/>
        <w:bottom w:val="single" w:color="auto" w:sz="12" w:space="0"/>
      </w:pBdr>
      <w:spacing w:before="100" w:beforeAutospacing="1" w:after="100" w:afterAutospacing="1"/>
    </w:pPr>
    <w:rPr>
      <w:rFonts w:ascii="宋体" w:hAnsi="宋体" w:cs="宋体"/>
      <w:sz w:val="24"/>
      <w:szCs w:val="24"/>
    </w:rPr>
  </w:style>
  <w:style w:type="paragraph" w:customStyle="1" w:styleId="719">
    <w:name w:val="xl89"/>
    <w:basedOn w:val="1"/>
    <w:qFormat/>
    <w:uiPriority w:val="0"/>
    <w:pPr>
      <w:pBdr>
        <w:left w:val="single" w:color="auto" w:sz="8" w:space="0"/>
        <w:right w:val="single" w:color="auto" w:sz="8" w:space="0"/>
      </w:pBdr>
      <w:spacing w:before="100" w:beforeAutospacing="1" w:after="100" w:afterAutospacing="1"/>
    </w:pPr>
    <w:rPr>
      <w:rFonts w:ascii="宋体" w:hAnsi="宋体" w:cs="宋体"/>
      <w:color w:val="000000"/>
      <w:szCs w:val="21"/>
    </w:rPr>
  </w:style>
  <w:style w:type="paragraph" w:customStyle="1" w:styleId="720">
    <w:name w:val="xl90"/>
    <w:basedOn w:val="1"/>
    <w:qFormat/>
    <w:uiPriority w:val="0"/>
    <w:pPr>
      <w:pBdr>
        <w:top w:val="single" w:color="auto" w:sz="8" w:space="0"/>
        <w:left w:val="single" w:color="auto" w:sz="8" w:space="0"/>
        <w:right w:val="single" w:color="auto" w:sz="12" w:space="0"/>
      </w:pBdr>
      <w:spacing w:before="100" w:beforeAutospacing="1" w:after="100" w:afterAutospacing="1"/>
    </w:pPr>
    <w:rPr>
      <w:color w:val="000000"/>
      <w:szCs w:val="21"/>
    </w:rPr>
  </w:style>
  <w:style w:type="paragraph" w:customStyle="1" w:styleId="721">
    <w:name w:val="xl91"/>
    <w:basedOn w:val="1"/>
    <w:qFormat/>
    <w:uiPriority w:val="0"/>
    <w:pPr>
      <w:pBdr>
        <w:left w:val="single" w:color="auto" w:sz="8" w:space="0"/>
        <w:bottom w:val="single" w:color="auto" w:sz="8" w:space="0"/>
        <w:right w:val="single" w:color="auto" w:sz="12" w:space="0"/>
      </w:pBdr>
      <w:spacing w:before="100" w:beforeAutospacing="1" w:after="100" w:afterAutospacing="1"/>
    </w:pPr>
    <w:rPr>
      <w:color w:val="000000"/>
      <w:szCs w:val="21"/>
    </w:rPr>
  </w:style>
  <w:style w:type="paragraph" w:customStyle="1" w:styleId="722">
    <w:name w:val="xl92"/>
    <w:basedOn w:val="1"/>
    <w:qFormat/>
    <w:uiPriority w:val="0"/>
    <w:pPr>
      <w:pBdr>
        <w:top w:val="single" w:color="auto" w:sz="8" w:space="0"/>
        <w:left w:val="single" w:color="auto" w:sz="8" w:space="0"/>
        <w:right w:val="single" w:color="auto" w:sz="8" w:space="0"/>
      </w:pBdr>
      <w:spacing w:before="100" w:beforeAutospacing="1" w:after="100" w:afterAutospacing="1"/>
    </w:pPr>
    <w:rPr>
      <w:color w:val="000000"/>
      <w:szCs w:val="21"/>
    </w:rPr>
  </w:style>
  <w:style w:type="paragraph" w:customStyle="1" w:styleId="723">
    <w:name w:val="xl93"/>
    <w:basedOn w:val="1"/>
    <w:qFormat/>
    <w:uiPriority w:val="0"/>
    <w:pPr>
      <w:pBdr>
        <w:left w:val="single" w:color="auto" w:sz="8" w:space="0"/>
        <w:bottom w:val="single" w:color="auto" w:sz="8" w:space="0"/>
        <w:right w:val="single" w:color="auto" w:sz="8" w:space="0"/>
      </w:pBdr>
      <w:spacing w:before="100" w:beforeAutospacing="1" w:after="100" w:afterAutospacing="1"/>
    </w:pPr>
    <w:rPr>
      <w:color w:val="000000"/>
      <w:szCs w:val="21"/>
    </w:rPr>
  </w:style>
  <w:style w:type="paragraph" w:customStyle="1" w:styleId="724">
    <w:name w:val="xl94"/>
    <w:basedOn w:val="1"/>
    <w:qFormat/>
    <w:uiPriority w:val="0"/>
    <w:pPr>
      <w:pBdr>
        <w:bottom w:val="single" w:color="auto" w:sz="8" w:space="0"/>
        <w:right w:val="single" w:color="auto" w:sz="8" w:space="0"/>
      </w:pBdr>
      <w:spacing w:before="100" w:beforeAutospacing="1" w:after="100" w:afterAutospacing="1"/>
      <w:textAlignment w:val="top"/>
    </w:pPr>
    <w:rPr>
      <w:color w:val="000000"/>
      <w:szCs w:val="21"/>
    </w:rPr>
  </w:style>
  <w:style w:type="paragraph" w:customStyle="1" w:styleId="725">
    <w:name w:val="xl95"/>
    <w:basedOn w:val="1"/>
    <w:qFormat/>
    <w:uiPriority w:val="0"/>
    <w:pPr>
      <w:pBdr>
        <w:bottom w:val="single" w:color="auto" w:sz="8" w:space="0"/>
        <w:right w:val="single" w:color="auto" w:sz="8" w:space="0"/>
      </w:pBdr>
      <w:spacing w:before="100" w:beforeAutospacing="1" w:after="100" w:afterAutospacing="1"/>
      <w:textAlignment w:val="top"/>
    </w:pPr>
    <w:rPr>
      <w:color w:val="000000"/>
      <w:szCs w:val="21"/>
    </w:rPr>
  </w:style>
  <w:style w:type="paragraph" w:customStyle="1" w:styleId="726">
    <w:name w:val="xl96"/>
    <w:basedOn w:val="1"/>
    <w:qFormat/>
    <w:uiPriority w:val="0"/>
    <w:pPr>
      <w:pBdr>
        <w:left w:val="single" w:color="auto" w:sz="8" w:space="0"/>
        <w:bottom w:val="single" w:color="auto" w:sz="8" w:space="0"/>
        <w:right w:val="single" w:color="auto" w:sz="8" w:space="0"/>
      </w:pBdr>
      <w:spacing w:before="100" w:beforeAutospacing="1" w:after="100" w:afterAutospacing="1"/>
    </w:pPr>
    <w:rPr>
      <w:rFonts w:ascii="宋体" w:hAnsi="宋体" w:cs="宋体"/>
      <w:sz w:val="24"/>
      <w:szCs w:val="24"/>
    </w:rPr>
  </w:style>
  <w:style w:type="paragraph" w:customStyle="1" w:styleId="727">
    <w:name w:val="xl97"/>
    <w:basedOn w:val="1"/>
    <w:qFormat/>
    <w:uiPriority w:val="0"/>
    <w:pPr>
      <w:pBdr>
        <w:bottom w:val="single" w:color="auto" w:sz="8" w:space="0"/>
      </w:pBdr>
      <w:shd w:val="clear" w:color="auto" w:fill="FFFF00"/>
      <w:spacing w:before="100" w:beforeAutospacing="1" w:after="100" w:afterAutospacing="1"/>
    </w:pPr>
    <w:rPr>
      <w:color w:val="000000"/>
      <w:szCs w:val="21"/>
    </w:rPr>
  </w:style>
  <w:style w:type="paragraph" w:customStyle="1" w:styleId="728">
    <w:name w:val="xl98"/>
    <w:basedOn w:val="1"/>
    <w:qFormat/>
    <w:uiPriority w:val="0"/>
    <w:pPr>
      <w:pBdr>
        <w:bottom w:val="single" w:color="auto" w:sz="8" w:space="0"/>
        <w:right w:val="single" w:color="auto" w:sz="8" w:space="0"/>
      </w:pBdr>
      <w:shd w:val="clear" w:color="auto" w:fill="FFFF00"/>
      <w:spacing w:before="100" w:beforeAutospacing="1" w:after="100" w:afterAutospacing="1"/>
      <w:jc w:val="center"/>
    </w:pPr>
    <w:rPr>
      <w:rFonts w:ascii="宋体" w:hAnsi="宋体" w:cs="宋体"/>
      <w:color w:val="000000"/>
      <w:szCs w:val="21"/>
    </w:rPr>
  </w:style>
  <w:style w:type="paragraph" w:customStyle="1" w:styleId="729">
    <w:name w:val="xl99"/>
    <w:basedOn w:val="1"/>
    <w:qFormat/>
    <w:uiPriority w:val="0"/>
    <w:pPr>
      <w:pBdr>
        <w:bottom w:val="single" w:color="auto" w:sz="8" w:space="0"/>
        <w:right w:val="single" w:color="auto" w:sz="8" w:space="0"/>
      </w:pBdr>
      <w:spacing w:before="100" w:beforeAutospacing="1" w:after="100" w:afterAutospacing="1"/>
      <w:ind w:firstLine="200" w:firstLineChars="200"/>
      <w:textAlignment w:val="top"/>
    </w:pPr>
    <w:rPr>
      <w:color w:val="000000"/>
      <w:szCs w:val="21"/>
    </w:rPr>
  </w:style>
  <w:style w:type="paragraph" w:customStyle="1" w:styleId="730">
    <w:name w:val="xl100"/>
    <w:basedOn w:val="1"/>
    <w:qFormat/>
    <w:uiPriority w:val="0"/>
    <w:pPr>
      <w:pBdr>
        <w:left w:val="single" w:color="auto" w:sz="12" w:space="0"/>
        <w:bottom w:val="single" w:color="auto" w:sz="8"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731">
    <w:name w:val="xl101"/>
    <w:basedOn w:val="1"/>
    <w:qFormat/>
    <w:uiPriority w:val="0"/>
    <w:pPr>
      <w:pBdr>
        <w:top w:val="single" w:color="auto" w:sz="8" w:space="0"/>
        <w:left w:val="single" w:color="auto" w:sz="12"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732">
    <w:name w:val="xl102"/>
    <w:basedOn w:val="1"/>
    <w:qFormat/>
    <w:uiPriority w:val="0"/>
    <w:pPr>
      <w:pBdr>
        <w:left w:val="single" w:color="auto" w:sz="12"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733">
    <w:name w:val="xl103"/>
    <w:basedOn w:val="1"/>
    <w:qFormat/>
    <w:uiPriority w:val="0"/>
    <w:pPr>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734">
    <w:name w:val="xl104"/>
    <w:basedOn w:val="1"/>
    <w:qFormat/>
    <w:uiPriority w:val="0"/>
    <w:pPr>
      <w:pBdr>
        <w:top w:val="single" w:color="auto" w:sz="8"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735">
    <w:name w:val="xl105"/>
    <w:basedOn w:val="1"/>
    <w:qFormat/>
    <w:uiPriority w:val="0"/>
    <w:pPr>
      <w:pBdr>
        <w:right w:val="single" w:color="auto" w:sz="8" w:space="0"/>
      </w:pBdr>
      <w:spacing w:before="100" w:beforeAutospacing="1" w:after="100" w:afterAutospacing="1"/>
      <w:jc w:val="center"/>
    </w:pPr>
    <w:rPr>
      <w:rFonts w:ascii="宋体" w:hAnsi="宋体" w:cs="宋体"/>
      <w:color w:val="000000"/>
      <w:szCs w:val="21"/>
    </w:rPr>
  </w:style>
  <w:style w:type="paragraph" w:customStyle="1" w:styleId="736">
    <w:name w:val="xl106"/>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737">
    <w:name w:val="xl107"/>
    <w:basedOn w:val="1"/>
    <w:qFormat/>
    <w:uiPriority w:val="0"/>
    <w:pPr>
      <w:pBdr>
        <w:top w:val="single" w:color="auto" w:sz="8" w:space="0"/>
        <w:left w:val="single" w:color="auto" w:sz="8" w:space="0"/>
        <w:right w:val="single" w:color="auto" w:sz="8" w:space="0"/>
      </w:pBdr>
      <w:spacing w:before="100" w:beforeAutospacing="1" w:after="100" w:afterAutospacing="1"/>
      <w:jc w:val="center"/>
    </w:pPr>
    <w:rPr>
      <w:color w:val="000000"/>
      <w:szCs w:val="21"/>
    </w:rPr>
  </w:style>
  <w:style w:type="paragraph" w:customStyle="1" w:styleId="738">
    <w:name w:val="xl108"/>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color w:val="000000"/>
      <w:szCs w:val="21"/>
    </w:rPr>
  </w:style>
  <w:style w:type="character" w:customStyle="1" w:styleId="739">
    <w:name w:val="样式 仿宋_GB2312 小四2"/>
    <w:basedOn w:val="109"/>
    <w:semiHidden/>
    <w:qFormat/>
    <w:uiPriority w:val="0"/>
    <w:rPr>
      <w:rFonts w:ascii="Times New Roman" w:hAnsi="Times New Roman" w:eastAsia="仿宋_GB2312"/>
      <w:color w:val="000000"/>
      <w:kern w:val="2"/>
      <w:sz w:val="24"/>
      <w:szCs w:val="24"/>
      <w:lang w:val="en-US" w:eastAsia="zh-CN" w:bidi="ar-SA"/>
    </w:rPr>
  </w:style>
  <w:style w:type="character" w:customStyle="1" w:styleId="740">
    <w:name w:val="样式 2 Char"/>
    <w:basedOn w:val="109"/>
    <w:semiHidden/>
    <w:qFormat/>
    <w:uiPriority w:val="0"/>
    <w:rPr>
      <w:rFonts w:eastAsia="黑体"/>
      <w:color w:val="000000"/>
      <w:spacing w:val="10"/>
      <w:kern w:val="2"/>
      <w:sz w:val="30"/>
      <w:szCs w:val="21"/>
      <w:lang w:val="en-US" w:eastAsia="zh-CN" w:bidi="ar-SA"/>
    </w:rPr>
  </w:style>
  <w:style w:type="character" w:customStyle="1" w:styleId="741">
    <w:name w:val="段落1 Char Char"/>
    <w:basedOn w:val="109"/>
    <w:semiHidden/>
    <w:qFormat/>
    <w:uiPriority w:val="0"/>
    <w:rPr>
      <w:rFonts w:eastAsia="宋体"/>
      <w:color w:val="000000"/>
      <w:spacing w:val="8"/>
      <w:kern w:val="2"/>
      <w:sz w:val="24"/>
      <w:szCs w:val="21"/>
      <w:lang w:val="en-US" w:eastAsia="zh-CN" w:bidi="ar-SA"/>
    </w:rPr>
  </w:style>
  <w:style w:type="character" w:customStyle="1" w:styleId="742">
    <w:name w:val="表1 Char"/>
    <w:basedOn w:val="109"/>
    <w:semiHidden/>
    <w:qFormat/>
    <w:uiPriority w:val="0"/>
    <w:rPr>
      <w:rFonts w:eastAsia="黑体"/>
      <w:color w:val="000000"/>
      <w:spacing w:val="10"/>
      <w:kern w:val="2"/>
      <w:sz w:val="24"/>
      <w:szCs w:val="21"/>
      <w:lang w:val="en-US" w:eastAsia="zh-CN" w:bidi="ar-SA"/>
    </w:rPr>
  </w:style>
  <w:style w:type="character" w:customStyle="1" w:styleId="743">
    <w:name w:val="表 头 Char Char"/>
    <w:basedOn w:val="109"/>
    <w:semiHidden/>
    <w:qFormat/>
    <w:uiPriority w:val="0"/>
    <w:rPr>
      <w:rFonts w:eastAsia="黑体"/>
      <w:color w:val="000000"/>
      <w:spacing w:val="10"/>
      <w:kern w:val="2"/>
      <w:sz w:val="24"/>
      <w:szCs w:val="21"/>
      <w:lang w:val="en-US" w:eastAsia="zh-CN" w:bidi="ar-SA"/>
    </w:rPr>
  </w:style>
  <w:style w:type="paragraph" w:customStyle="1" w:styleId="744">
    <w:name w:val="表中字样"/>
    <w:basedOn w:val="1"/>
    <w:semiHidden/>
    <w:qFormat/>
    <w:uiPriority w:val="0"/>
    <w:pPr>
      <w:adjustRightInd w:val="0"/>
      <w:spacing w:line="320" w:lineRule="atLeast"/>
      <w:jc w:val="center"/>
    </w:pPr>
    <w:rPr>
      <w:spacing w:val="4"/>
      <w:sz w:val="24"/>
    </w:rPr>
  </w:style>
  <w:style w:type="paragraph" w:customStyle="1" w:styleId="745">
    <w:name w:val="Phone Number"/>
    <w:basedOn w:val="29"/>
    <w:semiHidden/>
    <w:qFormat/>
    <w:uiPriority w:val="0"/>
    <w:pPr>
      <w:spacing w:after="0"/>
    </w:pPr>
  </w:style>
  <w:style w:type="paragraph" w:customStyle="1" w:styleId="746">
    <w:name w:val="基准脚注"/>
    <w:basedOn w:val="1"/>
    <w:semiHidden/>
    <w:qFormat/>
    <w:uiPriority w:val="0"/>
    <w:pPr>
      <w:tabs>
        <w:tab w:val="left" w:pos="187"/>
      </w:tabs>
      <w:overflowPunct w:val="0"/>
      <w:autoSpaceDE w:val="0"/>
      <w:autoSpaceDN w:val="0"/>
      <w:adjustRightInd w:val="0"/>
      <w:spacing w:line="220" w:lineRule="exact"/>
      <w:ind w:left="187" w:hanging="187"/>
      <w:textAlignment w:val="baseline"/>
    </w:pPr>
    <w:rPr>
      <w:sz w:val="18"/>
    </w:rPr>
  </w:style>
  <w:style w:type="paragraph" w:customStyle="1" w:styleId="747">
    <w:name w:val="保留正文"/>
    <w:basedOn w:val="29"/>
    <w:semiHidden/>
    <w:qFormat/>
    <w:uiPriority w:val="0"/>
    <w:pPr>
      <w:spacing w:after="0"/>
    </w:pPr>
  </w:style>
  <w:style w:type="paragraph" w:customStyle="1" w:styleId="748">
    <w:name w:val="块引用"/>
    <w:basedOn w:val="1"/>
    <w:semiHidden/>
    <w:qFormat/>
    <w:uiPriority w:val="0"/>
    <w:pPr>
      <w:keepLines/>
      <w:overflowPunct w:val="0"/>
      <w:autoSpaceDE w:val="0"/>
      <w:autoSpaceDN w:val="0"/>
      <w:adjustRightInd w:val="0"/>
      <w:ind w:left="360" w:right="360"/>
      <w:jc w:val="center"/>
      <w:textAlignment w:val="baseline"/>
    </w:pPr>
    <w:rPr>
      <w:i/>
    </w:rPr>
  </w:style>
  <w:style w:type="paragraph" w:customStyle="1" w:styleId="749">
    <w:name w:val="图片"/>
    <w:basedOn w:val="29"/>
    <w:semiHidden/>
    <w:qFormat/>
    <w:uiPriority w:val="0"/>
    <w:pPr>
      <w:spacing w:after="0"/>
    </w:pPr>
  </w:style>
  <w:style w:type="paragraph" w:customStyle="1" w:styleId="750">
    <w:name w:val="基准篇眉"/>
    <w:basedOn w:val="1"/>
    <w:semiHidden/>
    <w:qFormat/>
    <w:uiPriority w:val="0"/>
    <w:pPr>
      <w:tabs>
        <w:tab w:val="center" w:pos="3780"/>
        <w:tab w:val="right" w:pos="7560"/>
      </w:tabs>
      <w:overflowPunct w:val="0"/>
      <w:autoSpaceDE w:val="0"/>
      <w:autoSpaceDN w:val="0"/>
      <w:adjustRightInd w:val="0"/>
      <w:textAlignment w:val="baseline"/>
    </w:pPr>
  </w:style>
  <w:style w:type="character" w:customStyle="1" w:styleId="751">
    <w:name w:val="重点引导"/>
    <w:basedOn w:val="109"/>
    <w:semiHidden/>
    <w:qFormat/>
    <w:uiPriority w:val="0"/>
    <w:rPr>
      <w:b/>
      <w:i/>
    </w:rPr>
  </w:style>
  <w:style w:type="paragraph" w:customStyle="1" w:styleId="752">
    <w:name w:val="副题封页"/>
    <w:basedOn w:val="753"/>
    <w:next w:val="29"/>
    <w:semiHidden/>
    <w:qFormat/>
    <w:uiPriority w:val="0"/>
    <w:pPr>
      <w:spacing w:before="240" w:after="480"/>
    </w:pPr>
    <w:rPr>
      <w:rFonts w:ascii="Times New Roman" w:hAnsi="Times New Roman"/>
      <w:b w:val="0"/>
      <w:i/>
      <w:sz w:val="32"/>
    </w:rPr>
  </w:style>
  <w:style w:type="paragraph" w:customStyle="1" w:styleId="753">
    <w:name w:val="主题封页"/>
    <w:basedOn w:val="754"/>
    <w:next w:val="752"/>
    <w:semiHidden/>
    <w:qFormat/>
    <w:uiPriority w:val="0"/>
    <w:pPr>
      <w:spacing w:before="720" w:after="160"/>
      <w:jc w:val="center"/>
    </w:pPr>
    <w:rPr>
      <w:sz w:val="40"/>
    </w:rPr>
  </w:style>
  <w:style w:type="paragraph" w:customStyle="1" w:styleId="754">
    <w:name w:val="基准篇头"/>
    <w:basedOn w:val="1"/>
    <w:semiHidden/>
    <w:qFormat/>
    <w:uiPriority w:val="0"/>
    <w:pPr>
      <w:keepNext/>
      <w:overflowPunct w:val="0"/>
      <w:autoSpaceDE w:val="0"/>
      <w:autoSpaceDN w:val="0"/>
      <w:adjustRightInd w:val="0"/>
      <w:spacing w:before="240" w:after="120"/>
      <w:textAlignment w:val="baseline"/>
    </w:pPr>
    <w:rPr>
      <w:rFonts w:ascii="Arial" w:hAnsi="Arial"/>
      <w:b/>
      <w:sz w:val="36"/>
    </w:rPr>
  </w:style>
  <w:style w:type="character" w:customStyle="1" w:styleId="755">
    <w:name w:val="上标"/>
    <w:basedOn w:val="109"/>
    <w:semiHidden/>
    <w:qFormat/>
    <w:uiPriority w:val="0"/>
    <w:rPr>
      <w:vertAlign w:val="superscript"/>
    </w:rPr>
  </w:style>
  <w:style w:type="paragraph" w:customStyle="1" w:styleId="756">
    <w:name w:val="单位名称"/>
    <w:basedOn w:val="29"/>
    <w:semiHidden/>
    <w:qFormat/>
    <w:uiPriority w:val="0"/>
    <w:pPr>
      <w:spacing w:after="0"/>
    </w:pPr>
  </w:style>
  <w:style w:type="paragraph" w:customStyle="1" w:styleId="757">
    <w:name w:val="主题线"/>
    <w:basedOn w:val="1"/>
    <w:next w:val="29"/>
    <w:semiHidden/>
    <w:qFormat/>
    <w:uiPriority w:val="0"/>
    <w:pPr>
      <w:overflowPunct w:val="0"/>
      <w:autoSpaceDE w:val="0"/>
      <w:autoSpaceDN w:val="0"/>
      <w:adjustRightInd w:val="0"/>
      <w:textAlignment w:val="baseline"/>
    </w:pPr>
    <w:rPr>
      <w:i/>
      <w:u w:val="single"/>
    </w:rPr>
  </w:style>
  <w:style w:type="paragraph" w:customStyle="1" w:styleId="758">
    <w:name w:val="首页脚注"/>
    <w:basedOn w:val="49"/>
    <w:semiHidden/>
    <w:qFormat/>
    <w:uiPriority w:val="0"/>
    <w:pPr>
      <w:tabs>
        <w:tab w:val="clear" w:pos="4153"/>
        <w:tab w:val="clear" w:pos="8306"/>
      </w:tabs>
      <w:snapToGrid/>
      <w:jc w:val="both"/>
    </w:pPr>
    <w:rPr>
      <w:sz w:val="21"/>
      <w:szCs w:val="22"/>
    </w:rPr>
  </w:style>
  <w:style w:type="paragraph" w:customStyle="1" w:styleId="759">
    <w:name w:val="奇数页脚注"/>
    <w:basedOn w:val="49"/>
    <w:semiHidden/>
    <w:qFormat/>
    <w:uiPriority w:val="0"/>
    <w:pPr>
      <w:tabs>
        <w:tab w:val="clear" w:pos="4153"/>
        <w:tab w:val="clear" w:pos="8306"/>
      </w:tabs>
      <w:snapToGrid/>
      <w:jc w:val="both"/>
    </w:pPr>
    <w:rPr>
      <w:sz w:val="21"/>
      <w:szCs w:val="22"/>
    </w:rPr>
  </w:style>
  <w:style w:type="paragraph" w:customStyle="1" w:styleId="760">
    <w:name w:val="首页篇眉"/>
    <w:basedOn w:val="51"/>
    <w:semiHidden/>
    <w:qFormat/>
    <w:uiPriority w:val="0"/>
    <w:pPr>
      <w:keepLines/>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sz w:val="20"/>
      <w:szCs w:val="20"/>
    </w:rPr>
  </w:style>
  <w:style w:type="paragraph" w:customStyle="1" w:styleId="761">
    <w:name w:val="奇数页篇眉"/>
    <w:basedOn w:val="51"/>
    <w:semiHidden/>
    <w:qFormat/>
    <w:uiPriority w:val="0"/>
    <w:pPr>
      <w:keepLines/>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sz w:val="20"/>
      <w:szCs w:val="20"/>
    </w:rPr>
  </w:style>
  <w:style w:type="paragraph" w:customStyle="1" w:styleId="762">
    <w:name w:val="项目符号引导"/>
    <w:basedOn w:val="20"/>
    <w:next w:val="20"/>
    <w:semiHidden/>
    <w:qFormat/>
    <w:uiPriority w:val="0"/>
    <w:pPr>
      <w:tabs>
        <w:tab w:val="clear" w:pos="720"/>
      </w:tabs>
      <w:spacing w:line="240" w:lineRule="auto"/>
      <w:ind w:left="0" w:firstLine="0" w:firstLineChars="0"/>
    </w:pPr>
    <w:rPr>
      <w:rFonts w:ascii="Calibri" w:hAnsi="Calibri"/>
      <w:sz w:val="21"/>
      <w:szCs w:val="22"/>
    </w:rPr>
  </w:style>
  <w:style w:type="paragraph" w:customStyle="1" w:styleId="763">
    <w:name w:val="列表引导"/>
    <w:basedOn w:val="60"/>
    <w:next w:val="60"/>
    <w:semiHidden/>
    <w:qFormat/>
    <w:uiPriority w:val="0"/>
    <w:pPr>
      <w:adjustRightInd/>
      <w:spacing w:before="0" w:after="0" w:line="240" w:lineRule="auto"/>
      <w:ind w:firstLine="0"/>
      <w:textAlignment w:val="auto"/>
    </w:pPr>
    <w:rPr>
      <w:rFonts w:ascii="Calibri" w:hAnsi="Calibri"/>
      <w:kern w:val="2"/>
      <w:sz w:val="21"/>
      <w:szCs w:val="22"/>
    </w:rPr>
  </w:style>
  <w:style w:type="paragraph" w:customStyle="1" w:styleId="764">
    <w:name w:val="列表结尾"/>
    <w:basedOn w:val="60"/>
    <w:next w:val="29"/>
    <w:semiHidden/>
    <w:qFormat/>
    <w:uiPriority w:val="0"/>
    <w:pPr>
      <w:adjustRightInd/>
      <w:spacing w:before="0" w:after="0" w:line="240" w:lineRule="auto"/>
      <w:ind w:firstLine="0"/>
      <w:textAlignment w:val="auto"/>
    </w:pPr>
    <w:rPr>
      <w:rFonts w:ascii="Calibri" w:hAnsi="Calibri"/>
      <w:kern w:val="2"/>
      <w:sz w:val="21"/>
      <w:szCs w:val="22"/>
    </w:rPr>
  </w:style>
  <w:style w:type="paragraph" w:customStyle="1" w:styleId="765">
    <w:name w:val="项目符号结尾"/>
    <w:basedOn w:val="20"/>
    <w:next w:val="29"/>
    <w:semiHidden/>
    <w:qFormat/>
    <w:uiPriority w:val="0"/>
    <w:pPr>
      <w:tabs>
        <w:tab w:val="clear" w:pos="720"/>
      </w:tabs>
      <w:spacing w:line="240" w:lineRule="auto"/>
      <w:ind w:left="0" w:firstLine="0" w:firstLineChars="0"/>
    </w:pPr>
    <w:rPr>
      <w:rFonts w:ascii="Calibri" w:hAnsi="Calibri"/>
      <w:sz w:val="21"/>
      <w:szCs w:val="22"/>
    </w:rPr>
  </w:style>
  <w:style w:type="paragraph" w:customStyle="1" w:styleId="766">
    <w:name w:val="编号引导"/>
    <w:basedOn w:val="17"/>
    <w:next w:val="17"/>
    <w:semiHidden/>
    <w:qFormat/>
    <w:uiPriority w:val="0"/>
    <w:pPr>
      <w:tabs>
        <w:tab w:val="clear" w:pos="360"/>
      </w:tabs>
      <w:spacing w:line="240" w:lineRule="auto"/>
      <w:ind w:left="0" w:firstLine="0" w:firstLineChars="0"/>
    </w:pPr>
    <w:rPr>
      <w:rFonts w:ascii="Calibri" w:hAnsi="Calibri"/>
      <w:sz w:val="21"/>
      <w:szCs w:val="22"/>
    </w:rPr>
  </w:style>
  <w:style w:type="paragraph" w:customStyle="1" w:styleId="767">
    <w:name w:val="编号结尾"/>
    <w:basedOn w:val="17"/>
    <w:next w:val="1"/>
    <w:semiHidden/>
    <w:qFormat/>
    <w:uiPriority w:val="0"/>
    <w:pPr>
      <w:tabs>
        <w:tab w:val="clear" w:pos="360"/>
      </w:tabs>
      <w:spacing w:line="240" w:lineRule="auto"/>
      <w:ind w:left="0" w:firstLine="0" w:firstLineChars="0"/>
    </w:pPr>
    <w:rPr>
      <w:rFonts w:ascii="Calibri" w:hAnsi="Calibri"/>
      <w:sz w:val="21"/>
      <w:szCs w:val="22"/>
    </w:rPr>
  </w:style>
  <w:style w:type="paragraph" w:customStyle="1" w:styleId="768">
    <w:name w:val="文档卷标"/>
    <w:basedOn w:val="754"/>
    <w:semiHidden/>
    <w:qFormat/>
    <w:uiPriority w:val="0"/>
    <w:rPr>
      <w:rFonts w:ascii="Times New Roman" w:hAnsi="Times New Roman"/>
      <w:sz w:val="24"/>
    </w:rPr>
  </w:style>
  <w:style w:type="paragraph" w:customStyle="1" w:styleId="769">
    <w:name w:val="偶数页篇眉"/>
    <w:basedOn w:val="51"/>
    <w:semiHidden/>
    <w:qFormat/>
    <w:uiPriority w:val="0"/>
    <w:pPr>
      <w:keepLines/>
      <w:pBdr>
        <w:bottom w:val="none" w:color="auto" w:sz="0" w:space="0"/>
      </w:pBdr>
      <w:tabs>
        <w:tab w:val="right" w:pos="0"/>
        <w:tab w:val="center" w:pos="4320"/>
        <w:tab w:val="right" w:pos="8640"/>
        <w:tab w:val="clear" w:pos="4153"/>
        <w:tab w:val="clear" w:pos="8306"/>
      </w:tabs>
      <w:overflowPunct w:val="0"/>
      <w:autoSpaceDE w:val="0"/>
      <w:autoSpaceDN w:val="0"/>
      <w:adjustRightInd w:val="0"/>
      <w:snapToGrid/>
      <w:jc w:val="right"/>
      <w:textAlignment w:val="baseline"/>
    </w:pPr>
    <w:rPr>
      <w:sz w:val="20"/>
      <w:szCs w:val="20"/>
    </w:rPr>
  </w:style>
  <w:style w:type="paragraph" w:customStyle="1" w:styleId="770">
    <w:name w:val="偶数页脚注"/>
    <w:basedOn w:val="49"/>
    <w:semiHidden/>
    <w:qFormat/>
    <w:uiPriority w:val="0"/>
    <w:pPr>
      <w:tabs>
        <w:tab w:val="clear" w:pos="4153"/>
        <w:tab w:val="clear" w:pos="8306"/>
      </w:tabs>
      <w:snapToGrid/>
      <w:jc w:val="both"/>
    </w:pPr>
    <w:rPr>
      <w:sz w:val="21"/>
      <w:szCs w:val="22"/>
    </w:rPr>
  </w:style>
  <w:style w:type="character" w:customStyle="1" w:styleId="771">
    <w:name w:val="重点"/>
    <w:basedOn w:val="109"/>
    <w:semiHidden/>
    <w:qFormat/>
    <w:uiPriority w:val="0"/>
    <w:rPr>
      <w:i/>
    </w:rPr>
  </w:style>
  <w:style w:type="paragraph" w:customStyle="1" w:styleId="772">
    <w:name w:val="地址"/>
    <w:basedOn w:val="29"/>
    <w:semiHidden/>
    <w:qFormat/>
    <w:uiPriority w:val="0"/>
    <w:pPr>
      <w:spacing w:after="0"/>
    </w:pPr>
  </w:style>
  <w:style w:type="paragraph" w:customStyle="1" w:styleId="773">
    <w:name w:val="回信地址"/>
    <w:basedOn w:val="772"/>
    <w:semiHidden/>
    <w:qFormat/>
    <w:uiPriority w:val="0"/>
    <w:pPr>
      <w:keepLines/>
      <w:overflowPunct w:val="0"/>
      <w:autoSpaceDE w:val="0"/>
      <w:autoSpaceDN w:val="0"/>
      <w:adjustRightInd w:val="0"/>
      <w:ind w:right="3240"/>
      <w:textAlignment w:val="baseline"/>
    </w:pPr>
  </w:style>
  <w:style w:type="paragraph" w:customStyle="1" w:styleId="774">
    <w:name w:val="姓名"/>
    <w:basedOn w:val="29"/>
    <w:semiHidden/>
    <w:qFormat/>
    <w:uiPriority w:val="0"/>
    <w:pPr>
      <w:spacing w:after="0"/>
    </w:pPr>
  </w:style>
  <w:style w:type="paragraph" w:customStyle="1" w:styleId="775">
    <w:name w:val="目标"/>
    <w:basedOn w:val="29"/>
    <w:semiHidden/>
    <w:qFormat/>
    <w:uiPriority w:val="0"/>
    <w:pPr>
      <w:spacing w:after="0"/>
    </w:pPr>
  </w:style>
  <w:style w:type="paragraph" w:customStyle="1" w:styleId="776">
    <w:name w:val="城市"/>
    <w:basedOn w:val="29"/>
    <w:semiHidden/>
    <w:qFormat/>
    <w:uiPriority w:val="0"/>
    <w:pPr>
      <w:spacing w:after="0"/>
    </w:pPr>
  </w:style>
  <w:style w:type="paragraph" w:customStyle="1" w:styleId="777">
    <w:name w:val="研究单位"/>
    <w:basedOn w:val="29"/>
    <w:semiHidden/>
    <w:qFormat/>
    <w:uiPriority w:val="0"/>
    <w:pPr>
      <w:spacing w:after="0"/>
    </w:pPr>
  </w:style>
  <w:style w:type="paragraph" w:customStyle="1" w:styleId="778">
    <w:name w:val="实现"/>
    <w:basedOn w:val="777"/>
    <w:semiHidden/>
    <w:qFormat/>
    <w:uiPriority w:val="0"/>
    <w:pPr>
      <w:overflowPunct w:val="0"/>
      <w:autoSpaceDE w:val="0"/>
      <w:autoSpaceDN w:val="0"/>
      <w:adjustRightInd w:val="0"/>
      <w:spacing w:after="80"/>
      <w:textAlignment w:val="baseline"/>
    </w:pPr>
  </w:style>
  <w:style w:type="character" w:customStyle="1" w:styleId="779">
    <w:name w:val="职业"/>
    <w:basedOn w:val="109"/>
    <w:semiHidden/>
    <w:qFormat/>
    <w:uiPriority w:val="0"/>
    <w:rPr>
      <w:i/>
    </w:rPr>
  </w:style>
  <w:style w:type="paragraph" w:customStyle="1" w:styleId="780">
    <w:name w:val="列表2"/>
    <w:basedOn w:val="781"/>
    <w:semiHidden/>
    <w:qFormat/>
    <w:uiPriority w:val="0"/>
    <w:pPr>
      <w:tabs>
        <w:tab w:val="left" w:pos="720"/>
      </w:tabs>
      <w:overflowPunct w:val="0"/>
      <w:autoSpaceDE w:val="0"/>
      <w:autoSpaceDN w:val="0"/>
      <w:adjustRightInd w:val="0"/>
      <w:spacing w:after="80"/>
      <w:ind w:left="720"/>
      <w:textAlignment w:val="baseline"/>
    </w:pPr>
    <w:rPr>
      <w:rFonts w:ascii="Times New Roman" w:hAnsi="Times New Roman"/>
      <w:kern w:val="0"/>
      <w:sz w:val="20"/>
      <w:szCs w:val="20"/>
    </w:rPr>
  </w:style>
  <w:style w:type="paragraph" w:customStyle="1" w:styleId="781">
    <w:name w:val="列表1"/>
    <w:basedOn w:val="60"/>
    <w:semiHidden/>
    <w:qFormat/>
    <w:uiPriority w:val="0"/>
    <w:pPr>
      <w:adjustRightInd/>
      <w:spacing w:before="0" w:after="0" w:line="240" w:lineRule="auto"/>
      <w:ind w:firstLine="0"/>
      <w:textAlignment w:val="auto"/>
    </w:pPr>
    <w:rPr>
      <w:rFonts w:ascii="Calibri" w:hAnsi="Calibri"/>
      <w:kern w:val="2"/>
      <w:sz w:val="21"/>
      <w:szCs w:val="22"/>
    </w:rPr>
  </w:style>
  <w:style w:type="paragraph" w:customStyle="1" w:styleId="782">
    <w:name w:val="节副题"/>
    <w:basedOn w:val="3"/>
    <w:semiHidden/>
    <w:qFormat/>
    <w:uiPriority w:val="0"/>
    <w:pPr>
      <w:overflowPunct w:val="0"/>
      <w:autoSpaceDE w:val="0"/>
      <w:autoSpaceDN w:val="0"/>
      <w:adjustRightInd w:val="0"/>
      <w:snapToGrid w:val="0"/>
      <w:spacing w:before="160"/>
      <w:textAlignment w:val="baseline"/>
      <w:outlineLvl w:val="9"/>
    </w:pPr>
    <w:rPr>
      <w:rFonts w:ascii="Arial" w:hAnsi="Arial"/>
      <w:sz w:val="20"/>
      <w:szCs w:val="20"/>
    </w:rPr>
  </w:style>
  <w:style w:type="paragraph" w:customStyle="1" w:styleId="783">
    <w:name w:val="列表3"/>
    <w:basedOn w:val="781"/>
    <w:semiHidden/>
    <w:qFormat/>
    <w:uiPriority w:val="0"/>
    <w:pPr>
      <w:tabs>
        <w:tab w:val="left" w:pos="720"/>
      </w:tabs>
      <w:overflowPunct w:val="0"/>
      <w:autoSpaceDE w:val="0"/>
      <w:autoSpaceDN w:val="0"/>
      <w:adjustRightInd w:val="0"/>
      <w:spacing w:after="80"/>
      <w:ind w:left="1440"/>
      <w:textAlignment w:val="baseline"/>
    </w:pPr>
    <w:rPr>
      <w:rFonts w:ascii="Times New Roman" w:hAnsi="Times New Roman"/>
      <w:kern w:val="0"/>
      <w:sz w:val="20"/>
      <w:szCs w:val="20"/>
    </w:rPr>
  </w:style>
  <w:style w:type="paragraph" w:customStyle="1" w:styleId="784">
    <w:name w:val="列表5"/>
    <w:basedOn w:val="781"/>
    <w:semiHidden/>
    <w:qFormat/>
    <w:uiPriority w:val="0"/>
    <w:pPr>
      <w:tabs>
        <w:tab w:val="left" w:pos="720"/>
      </w:tabs>
      <w:overflowPunct w:val="0"/>
      <w:autoSpaceDE w:val="0"/>
      <w:autoSpaceDN w:val="0"/>
      <w:adjustRightInd w:val="0"/>
      <w:spacing w:after="80"/>
      <w:ind w:left="1800"/>
      <w:textAlignment w:val="baseline"/>
    </w:pPr>
    <w:rPr>
      <w:rFonts w:ascii="Times New Roman" w:hAnsi="Times New Roman"/>
      <w:kern w:val="0"/>
      <w:sz w:val="20"/>
      <w:szCs w:val="20"/>
    </w:rPr>
  </w:style>
  <w:style w:type="paragraph" w:customStyle="1" w:styleId="785">
    <w:name w:val="Address"/>
    <w:basedOn w:val="29"/>
    <w:semiHidden/>
    <w:qFormat/>
    <w:uiPriority w:val="0"/>
    <w:pPr>
      <w:spacing w:after="0"/>
    </w:pPr>
  </w:style>
  <w:style w:type="paragraph" w:customStyle="1" w:styleId="786">
    <w:name w:val="Company Name"/>
    <w:basedOn w:val="29"/>
    <w:semiHidden/>
    <w:qFormat/>
    <w:uiPriority w:val="0"/>
    <w:pPr>
      <w:spacing w:after="0"/>
    </w:pPr>
  </w:style>
  <w:style w:type="paragraph" w:customStyle="1" w:styleId="787">
    <w:name w:val="Document Label"/>
    <w:basedOn w:val="1"/>
    <w:semiHidden/>
    <w:qFormat/>
    <w:uiPriority w:val="0"/>
    <w:pPr>
      <w:keepNext/>
      <w:overflowPunct w:val="0"/>
      <w:autoSpaceDE w:val="0"/>
      <w:autoSpaceDN w:val="0"/>
      <w:adjustRightInd w:val="0"/>
      <w:spacing w:before="240" w:after="360"/>
      <w:textAlignment w:val="baseline"/>
    </w:pPr>
    <w:rPr>
      <w:b/>
      <w:kern w:val="28"/>
      <w:sz w:val="36"/>
    </w:rPr>
  </w:style>
  <w:style w:type="character" w:customStyle="1" w:styleId="788">
    <w:name w:val="强调1"/>
    <w:basedOn w:val="109"/>
    <w:semiHidden/>
    <w:qFormat/>
    <w:uiPriority w:val="0"/>
    <w:rPr>
      <w:i/>
    </w:rPr>
  </w:style>
  <w:style w:type="paragraph" w:customStyle="1" w:styleId="789">
    <w:name w:val="Footer Even"/>
    <w:basedOn w:val="49"/>
    <w:semiHidden/>
    <w:qFormat/>
    <w:uiPriority w:val="0"/>
    <w:pPr>
      <w:tabs>
        <w:tab w:val="clear" w:pos="4153"/>
        <w:tab w:val="clear" w:pos="8306"/>
      </w:tabs>
      <w:snapToGrid/>
      <w:jc w:val="both"/>
    </w:pPr>
    <w:rPr>
      <w:sz w:val="21"/>
      <w:szCs w:val="22"/>
    </w:rPr>
  </w:style>
  <w:style w:type="paragraph" w:customStyle="1" w:styleId="790">
    <w:name w:val="Footer First"/>
    <w:basedOn w:val="49"/>
    <w:semiHidden/>
    <w:qFormat/>
    <w:uiPriority w:val="0"/>
    <w:pPr>
      <w:tabs>
        <w:tab w:val="clear" w:pos="4153"/>
        <w:tab w:val="clear" w:pos="8306"/>
      </w:tabs>
      <w:snapToGrid/>
      <w:jc w:val="both"/>
    </w:pPr>
    <w:rPr>
      <w:sz w:val="21"/>
      <w:szCs w:val="22"/>
    </w:rPr>
  </w:style>
  <w:style w:type="paragraph" w:customStyle="1" w:styleId="791">
    <w:name w:val="Footer Odd"/>
    <w:basedOn w:val="49"/>
    <w:semiHidden/>
    <w:qFormat/>
    <w:uiPriority w:val="0"/>
    <w:pPr>
      <w:tabs>
        <w:tab w:val="clear" w:pos="4153"/>
        <w:tab w:val="clear" w:pos="8306"/>
      </w:tabs>
      <w:snapToGrid/>
      <w:jc w:val="both"/>
    </w:pPr>
    <w:rPr>
      <w:sz w:val="21"/>
      <w:szCs w:val="22"/>
    </w:rPr>
  </w:style>
  <w:style w:type="paragraph" w:customStyle="1" w:styleId="792">
    <w:name w:val="Footnote Base"/>
    <w:basedOn w:val="1"/>
    <w:semiHidden/>
    <w:qFormat/>
    <w:uiPriority w:val="0"/>
    <w:pPr>
      <w:tabs>
        <w:tab w:val="left" w:pos="187"/>
      </w:tabs>
      <w:overflowPunct w:val="0"/>
      <w:autoSpaceDE w:val="0"/>
      <w:autoSpaceDN w:val="0"/>
      <w:adjustRightInd w:val="0"/>
      <w:spacing w:line="220" w:lineRule="exact"/>
      <w:ind w:left="187" w:hanging="187"/>
      <w:textAlignment w:val="baseline"/>
    </w:pPr>
    <w:rPr>
      <w:sz w:val="18"/>
    </w:rPr>
  </w:style>
  <w:style w:type="paragraph" w:customStyle="1" w:styleId="793">
    <w:name w:val="Header Base"/>
    <w:basedOn w:val="1"/>
    <w:semiHidden/>
    <w:qFormat/>
    <w:uiPriority w:val="0"/>
    <w:pPr>
      <w:keepLines/>
      <w:tabs>
        <w:tab w:val="center" w:pos="4320"/>
        <w:tab w:val="right" w:pos="8640"/>
      </w:tabs>
      <w:overflowPunct w:val="0"/>
      <w:autoSpaceDE w:val="0"/>
      <w:autoSpaceDN w:val="0"/>
      <w:adjustRightInd w:val="0"/>
      <w:textAlignment w:val="baseline"/>
    </w:pPr>
  </w:style>
  <w:style w:type="paragraph" w:customStyle="1" w:styleId="794">
    <w:name w:val="Header Even"/>
    <w:basedOn w:val="51"/>
    <w:semiHidden/>
    <w:qFormat/>
    <w:uiPriority w:val="0"/>
    <w:pPr>
      <w:keepLines/>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sz w:val="20"/>
      <w:szCs w:val="20"/>
    </w:rPr>
  </w:style>
  <w:style w:type="paragraph" w:customStyle="1" w:styleId="795">
    <w:name w:val="Header First"/>
    <w:basedOn w:val="51"/>
    <w:semiHidden/>
    <w:qFormat/>
    <w:uiPriority w:val="0"/>
    <w:pPr>
      <w:keepLines/>
      <w:pBdr>
        <w:bottom w:val="none" w:color="auto" w:sz="0" w:space="0"/>
      </w:pBdr>
      <w:tabs>
        <w:tab w:val="center" w:pos="4320"/>
        <w:tab w:val="clear" w:pos="4153"/>
        <w:tab w:val="clear" w:pos="8306"/>
      </w:tabs>
      <w:overflowPunct w:val="0"/>
      <w:autoSpaceDE w:val="0"/>
      <w:autoSpaceDN w:val="0"/>
      <w:adjustRightInd w:val="0"/>
      <w:snapToGrid/>
      <w:textAlignment w:val="baseline"/>
    </w:pPr>
    <w:rPr>
      <w:sz w:val="20"/>
      <w:szCs w:val="20"/>
    </w:rPr>
  </w:style>
  <w:style w:type="paragraph" w:customStyle="1" w:styleId="796">
    <w:name w:val="Header Odd"/>
    <w:basedOn w:val="51"/>
    <w:semiHidden/>
    <w:qFormat/>
    <w:uiPriority w:val="0"/>
    <w:pPr>
      <w:keepLines/>
      <w:pBdr>
        <w:bottom w:val="none" w:color="auto" w:sz="0" w:space="0"/>
      </w:pBdr>
      <w:tabs>
        <w:tab w:val="right" w:pos="0"/>
        <w:tab w:val="center" w:pos="4320"/>
        <w:tab w:val="right" w:pos="8640"/>
        <w:tab w:val="clear" w:pos="4153"/>
        <w:tab w:val="clear" w:pos="8306"/>
      </w:tabs>
      <w:overflowPunct w:val="0"/>
      <w:autoSpaceDE w:val="0"/>
      <w:autoSpaceDN w:val="0"/>
      <w:adjustRightInd w:val="0"/>
      <w:snapToGrid/>
      <w:jc w:val="right"/>
      <w:textAlignment w:val="baseline"/>
    </w:pPr>
    <w:rPr>
      <w:sz w:val="20"/>
      <w:szCs w:val="20"/>
    </w:rPr>
  </w:style>
  <w:style w:type="paragraph" w:customStyle="1" w:styleId="797">
    <w:name w:val="Heading Base"/>
    <w:basedOn w:val="1"/>
    <w:next w:val="29"/>
    <w:semiHidden/>
    <w:qFormat/>
    <w:uiPriority w:val="0"/>
    <w:pPr>
      <w:keepNext/>
      <w:keepLines/>
      <w:overflowPunct w:val="0"/>
      <w:autoSpaceDE w:val="0"/>
      <w:autoSpaceDN w:val="0"/>
      <w:adjustRightInd w:val="0"/>
      <w:spacing w:before="240" w:after="120"/>
      <w:textAlignment w:val="baseline"/>
    </w:pPr>
    <w:rPr>
      <w:rFonts w:ascii="Arial" w:hAnsi="Arial"/>
      <w:b/>
      <w:kern w:val="28"/>
      <w:sz w:val="36"/>
    </w:rPr>
  </w:style>
  <w:style w:type="paragraph" w:customStyle="1" w:styleId="798">
    <w:name w:val="Job Title"/>
    <w:basedOn w:val="29"/>
    <w:semiHidden/>
    <w:qFormat/>
    <w:uiPriority w:val="0"/>
    <w:pPr>
      <w:spacing w:after="0"/>
    </w:pPr>
  </w:style>
  <w:style w:type="character" w:customStyle="1" w:styleId="799">
    <w:name w:val="Lead-in Emphasis"/>
    <w:basedOn w:val="109"/>
    <w:semiHidden/>
    <w:qFormat/>
    <w:uiPriority w:val="0"/>
    <w:rPr>
      <w:b/>
      <w:i/>
    </w:rPr>
  </w:style>
  <w:style w:type="paragraph" w:customStyle="1" w:styleId="800">
    <w:name w:val="List Bullet First"/>
    <w:basedOn w:val="20"/>
    <w:next w:val="20"/>
    <w:semiHidden/>
    <w:qFormat/>
    <w:uiPriority w:val="0"/>
    <w:pPr>
      <w:tabs>
        <w:tab w:val="clear" w:pos="720"/>
      </w:tabs>
      <w:spacing w:line="240" w:lineRule="auto"/>
      <w:ind w:left="0" w:firstLine="0" w:firstLineChars="0"/>
    </w:pPr>
    <w:rPr>
      <w:rFonts w:ascii="Calibri" w:hAnsi="Calibri"/>
      <w:sz w:val="21"/>
      <w:szCs w:val="22"/>
    </w:rPr>
  </w:style>
  <w:style w:type="paragraph" w:customStyle="1" w:styleId="801">
    <w:name w:val="List Bullet Last"/>
    <w:basedOn w:val="20"/>
    <w:next w:val="29"/>
    <w:semiHidden/>
    <w:qFormat/>
    <w:uiPriority w:val="0"/>
    <w:pPr>
      <w:tabs>
        <w:tab w:val="clear" w:pos="720"/>
      </w:tabs>
      <w:spacing w:line="240" w:lineRule="auto"/>
      <w:ind w:left="0" w:firstLine="0" w:firstLineChars="0"/>
    </w:pPr>
    <w:rPr>
      <w:rFonts w:ascii="Calibri" w:hAnsi="Calibri"/>
      <w:sz w:val="21"/>
      <w:szCs w:val="22"/>
    </w:rPr>
  </w:style>
  <w:style w:type="paragraph" w:customStyle="1" w:styleId="802">
    <w:name w:val="List First"/>
    <w:basedOn w:val="60"/>
    <w:next w:val="60"/>
    <w:semiHidden/>
    <w:qFormat/>
    <w:uiPriority w:val="0"/>
    <w:pPr>
      <w:adjustRightInd/>
      <w:spacing w:before="0" w:after="0" w:line="240" w:lineRule="auto"/>
      <w:ind w:firstLine="0"/>
      <w:textAlignment w:val="auto"/>
    </w:pPr>
    <w:rPr>
      <w:rFonts w:ascii="Calibri" w:hAnsi="Calibri"/>
      <w:kern w:val="2"/>
      <w:sz w:val="21"/>
      <w:szCs w:val="22"/>
    </w:rPr>
  </w:style>
  <w:style w:type="paragraph" w:customStyle="1" w:styleId="803">
    <w:name w:val="List Last"/>
    <w:basedOn w:val="60"/>
    <w:next w:val="29"/>
    <w:semiHidden/>
    <w:qFormat/>
    <w:uiPriority w:val="0"/>
    <w:pPr>
      <w:adjustRightInd/>
      <w:spacing w:before="0" w:after="0" w:line="240" w:lineRule="auto"/>
      <w:ind w:firstLine="0"/>
      <w:textAlignment w:val="auto"/>
    </w:pPr>
    <w:rPr>
      <w:rFonts w:ascii="Calibri" w:hAnsi="Calibri"/>
      <w:kern w:val="2"/>
      <w:sz w:val="21"/>
      <w:szCs w:val="22"/>
    </w:rPr>
  </w:style>
  <w:style w:type="paragraph" w:customStyle="1" w:styleId="804">
    <w:name w:val="List Number First"/>
    <w:basedOn w:val="17"/>
    <w:next w:val="17"/>
    <w:semiHidden/>
    <w:qFormat/>
    <w:uiPriority w:val="0"/>
    <w:pPr>
      <w:tabs>
        <w:tab w:val="clear" w:pos="360"/>
      </w:tabs>
      <w:spacing w:line="240" w:lineRule="auto"/>
      <w:ind w:left="0" w:firstLine="0" w:firstLineChars="0"/>
    </w:pPr>
    <w:rPr>
      <w:rFonts w:ascii="Calibri" w:hAnsi="Calibri"/>
      <w:sz w:val="21"/>
      <w:szCs w:val="22"/>
    </w:rPr>
  </w:style>
  <w:style w:type="paragraph" w:customStyle="1" w:styleId="805">
    <w:name w:val="List Number Last"/>
    <w:basedOn w:val="17"/>
    <w:next w:val="29"/>
    <w:semiHidden/>
    <w:qFormat/>
    <w:uiPriority w:val="0"/>
    <w:pPr>
      <w:tabs>
        <w:tab w:val="clear" w:pos="360"/>
      </w:tabs>
      <w:spacing w:line="240" w:lineRule="auto"/>
      <w:ind w:left="0" w:firstLine="0" w:firstLineChars="0"/>
    </w:pPr>
    <w:rPr>
      <w:rFonts w:ascii="Calibri" w:hAnsi="Calibri"/>
      <w:sz w:val="21"/>
      <w:szCs w:val="22"/>
    </w:rPr>
  </w:style>
  <w:style w:type="paragraph" w:customStyle="1" w:styleId="806">
    <w:name w:val="Name"/>
    <w:basedOn w:val="29"/>
    <w:semiHidden/>
    <w:qFormat/>
    <w:uiPriority w:val="0"/>
    <w:pPr>
      <w:spacing w:after="0"/>
    </w:pPr>
  </w:style>
  <w:style w:type="paragraph" w:customStyle="1" w:styleId="807">
    <w:name w:val="Picture"/>
    <w:basedOn w:val="29"/>
    <w:semiHidden/>
    <w:qFormat/>
    <w:uiPriority w:val="0"/>
    <w:pPr>
      <w:spacing w:after="0"/>
    </w:pPr>
  </w:style>
  <w:style w:type="paragraph" w:customStyle="1" w:styleId="808">
    <w:name w:val="Section Heading"/>
    <w:basedOn w:val="797"/>
    <w:next w:val="29"/>
    <w:semiHidden/>
    <w:qFormat/>
    <w:uiPriority w:val="0"/>
    <w:pPr>
      <w:spacing w:after="0"/>
    </w:pPr>
    <w:rPr>
      <w:rFonts w:ascii="Times New Roman" w:hAnsi="Times New Roman"/>
      <w:sz w:val="28"/>
    </w:rPr>
  </w:style>
  <w:style w:type="paragraph" w:customStyle="1" w:styleId="809">
    <w:name w:val="Subtitle Cover"/>
    <w:basedOn w:val="1"/>
    <w:next w:val="29"/>
    <w:semiHidden/>
    <w:qFormat/>
    <w:uiPriority w:val="0"/>
    <w:pPr>
      <w:keepNext/>
      <w:overflowPunct w:val="0"/>
      <w:autoSpaceDE w:val="0"/>
      <w:autoSpaceDN w:val="0"/>
      <w:adjustRightInd w:val="0"/>
      <w:spacing w:before="240" w:after="160"/>
      <w:jc w:val="center"/>
      <w:textAlignment w:val="baseline"/>
    </w:pPr>
    <w:rPr>
      <w:rFonts w:ascii="Arial" w:hAnsi="Arial"/>
      <w:i/>
      <w:kern w:val="28"/>
      <w:sz w:val="36"/>
    </w:rPr>
  </w:style>
  <w:style w:type="character" w:customStyle="1" w:styleId="810">
    <w:name w:val="Superscript"/>
    <w:basedOn w:val="109"/>
    <w:semiHidden/>
    <w:qFormat/>
    <w:uiPriority w:val="0"/>
    <w:rPr>
      <w:vertAlign w:val="superscript"/>
    </w:rPr>
  </w:style>
  <w:style w:type="paragraph" w:customStyle="1" w:styleId="811">
    <w:name w:val="Title Cover"/>
    <w:basedOn w:val="797"/>
    <w:next w:val="1"/>
    <w:semiHidden/>
    <w:qFormat/>
    <w:uiPriority w:val="0"/>
    <w:pPr>
      <w:spacing w:before="720" w:after="160"/>
      <w:jc w:val="center"/>
    </w:pPr>
    <w:rPr>
      <w:sz w:val="48"/>
    </w:rPr>
  </w:style>
  <w:style w:type="paragraph" w:customStyle="1" w:styleId="812">
    <w:name w:val="表中文字1"/>
    <w:basedOn w:val="1"/>
    <w:semiHidden/>
    <w:qFormat/>
    <w:uiPriority w:val="0"/>
    <w:pPr>
      <w:spacing w:line="440" w:lineRule="exact"/>
    </w:pPr>
    <w:rPr>
      <w:sz w:val="28"/>
      <w:szCs w:val="24"/>
    </w:rPr>
  </w:style>
  <w:style w:type="paragraph" w:customStyle="1" w:styleId="813">
    <w:name w:val="段落 Char"/>
    <w:basedOn w:val="1"/>
    <w:semiHidden/>
    <w:qFormat/>
    <w:uiPriority w:val="0"/>
    <w:pPr>
      <w:spacing w:line="440" w:lineRule="exact"/>
      <w:ind w:firstLine="504" w:firstLineChars="200"/>
      <w:textAlignment w:val="baseline"/>
    </w:pPr>
    <w:rPr>
      <w:color w:val="000000"/>
      <w:spacing w:val="6"/>
      <w:kern w:val="24"/>
      <w:sz w:val="24"/>
      <w:szCs w:val="24"/>
    </w:rPr>
  </w:style>
  <w:style w:type="paragraph" w:customStyle="1" w:styleId="814">
    <w:name w:val="字母1"/>
    <w:basedOn w:val="1"/>
    <w:semiHidden/>
    <w:qFormat/>
    <w:uiPriority w:val="0"/>
    <w:pPr>
      <w:spacing w:before="60" w:after="60" w:line="480" w:lineRule="exact"/>
      <w:textAlignment w:val="baseline"/>
    </w:pPr>
    <w:rPr>
      <w:spacing w:val="6"/>
      <w:sz w:val="24"/>
      <w:szCs w:val="24"/>
    </w:rPr>
  </w:style>
  <w:style w:type="paragraph" w:customStyle="1" w:styleId="815">
    <w:name w:val="字母2"/>
    <w:basedOn w:val="1"/>
    <w:semiHidden/>
    <w:qFormat/>
    <w:uiPriority w:val="0"/>
    <w:pPr>
      <w:spacing w:before="60" w:after="60" w:line="440" w:lineRule="exact"/>
      <w:textAlignment w:val="baseline"/>
    </w:pPr>
    <w:rPr>
      <w:spacing w:val="6"/>
      <w:sz w:val="24"/>
      <w:szCs w:val="24"/>
    </w:rPr>
  </w:style>
  <w:style w:type="paragraph" w:customStyle="1" w:styleId="816">
    <w:name w:val="段落黑"/>
    <w:basedOn w:val="1"/>
    <w:semiHidden/>
    <w:qFormat/>
    <w:uiPriority w:val="0"/>
    <w:pPr>
      <w:spacing w:after="60" w:line="440" w:lineRule="exact"/>
      <w:ind w:firstLine="244" w:firstLineChars="100"/>
    </w:pPr>
    <w:rPr>
      <w:rFonts w:eastAsia="黑体"/>
      <w:spacing w:val="2"/>
      <w:sz w:val="24"/>
      <w:szCs w:val="24"/>
    </w:rPr>
  </w:style>
  <w:style w:type="paragraph" w:customStyle="1" w:styleId="817">
    <w:name w:val="表格内容1"/>
    <w:basedOn w:val="40"/>
    <w:semiHidden/>
    <w:qFormat/>
    <w:uiPriority w:val="0"/>
    <w:pPr>
      <w:adjustRightInd w:val="0"/>
      <w:snapToGrid w:val="0"/>
      <w:spacing w:line="360" w:lineRule="exact"/>
      <w:ind w:firstLine="107" w:firstLineChars="51"/>
    </w:pPr>
    <w:rPr>
      <w:rFonts w:ascii="Times New Roman" w:hAnsi="Times New Roman" w:eastAsia="宋体"/>
      <w:b w:val="0"/>
      <w:sz w:val="24"/>
      <w:szCs w:val="24"/>
    </w:rPr>
  </w:style>
  <w:style w:type="character" w:customStyle="1" w:styleId="818">
    <w:name w:val="段落 Char Char"/>
    <w:basedOn w:val="109"/>
    <w:semiHidden/>
    <w:qFormat/>
    <w:uiPriority w:val="0"/>
    <w:rPr>
      <w:rFonts w:eastAsia="宋体"/>
      <w:color w:val="000000"/>
      <w:spacing w:val="6"/>
      <w:kern w:val="24"/>
      <w:sz w:val="24"/>
      <w:szCs w:val="24"/>
      <w:lang w:val="en-US" w:eastAsia="zh-CN" w:bidi="ar-SA"/>
    </w:rPr>
  </w:style>
  <w:style w:type="paragraph" w:customStyle="1" w:styleId="819">
    <w:name w:val="样式 标题 4 + 段前: 0.5 行 段后: 0.5 行"/>
    <w:basedOn w:val="5"/>
    <w:semiHidden/>
    <w:qFormat/>
    <w:uiPriority w:val="0"/>
    <w:pPr>
      <w:keepNext w:val="0"/>
      <w:keepLines w:val="0"/>
      <w:numPr>
        <w:ilvl w:val="0"/>
        <w:numId w:val="0"/>
      </w:numPr>
      <w:kinsoku w:val="0"/>
      <w:overflowPunct w:val="0"/>
      <w:adjustRightInd w:val="0"/>
      <w:spacing w:before="50" w:after="50" w:line="400" w:lineRule="atLeast"/>
    </w:pPr>
    <w:rPr>
      <w:b w:val="0"/>
      <w:bCs w:val="0"/>
      <w:sz w:val="28"/>
    </w:rPr>
  </w:style>
  <w:style w:type="paragraph" w:customStyle="1" w:styleId="820">
    <w:name w:val="样式 段落黑 + 首行缩进:  1 字符"/>
    <w:basedOn w:val="816"/>
    <w:semiHidden/>
    <w:qFormat/>
    <w:uiPriority w:val="0"/>
    <w:pPr>
      <w:spacing w:after="0" w:line="480" w:lineRule="exact"/>
      <w:ind w:firstLine="100"/>
    </w:pPr>
    <w:rPr>
      <w:szCs w:val="20"/>
    </w:rPr>
  </w:style>
  <w:style w:type="paragraph" w:customStyle="1" w:styleId="821">
    <w:name w:val="样式 表格内容 +"/>
    <w:basedOn w:val="40"/>
    <w:semiHidden/>
    <w:qFormat/>
    <w:uiPriority w:val="0"/>
    <w:pPr>
      <w:adjustRightInd w:val="0"/>
      <w:snapToGrid w:val="0"/>
      <w:spacing w:line="320" w:lineRule="exact"/>
      <w:jc w:val="center"/>
    </w:pPr>
    <w:rPr>
      <w:rFonts w:ascii="Times New Roman" w:hAnsi="Times New Roman" w:eastAsia="宋体"/>
      <w:b w:val="0"/>
      <w:sz w:val="24"/>
      <w:szCs w:val="20"/>
    </w:rPr>
  </w:style>
  <w:style w:type="paragraph" w:customStyle="1" w:styleId="822">
    <w:name w:val="样式 标题 4 + 段前: 0.5 行 段后: 0.5 行1"/>
    <w:basedOn w:val="5"/>
    <w:semiHidden/>
    <w:qFormat/>
    <w:uiPriority w:val="0"/>
    <w:pPr>
      <w:keepNext w:val="0"/>
      <w:keepLines w:val="0"/>
      <w:numPr>
        <w:ilvl w:val="0"/>
        <w:numId w:val="0"/>
      </w:numPr>
      <w:kinsoku w:val="0"/>
      <w:overflowPunct w:val="0"/>
      <w:adjustRightInd w:val="0"/>
      <w:spacing w:before="50" w:after="50" w:line="320" w:lineRule="atLeast"/>
    </w:pPr>
    <w:rPr>
      <w:b w:val="0"/>
      <w:bCs w:val="0"/>
      <w:sz w:val="28"/>
    </w:rPr>
  </w:style>
  <w:style w:type="paragraph" w:customStyle="1" w:styleId="823">
    <w:name w:val="样式 标题 2样式 2 + 首行缩进:  2 字符"/>
    <w:basedOn w:val="3"/>
    <w:next w:val="3"/>
    <w:semiHidden/>
    <w:qFormat/>
    <w:uiPriority w:val="0"/>
    <w:pPr>
      <w:widowControl w:val="0"/>
      <w:tabs>
        <w:tab w:val="left" w:pos="0"/>
      </w:tabs>
      <w:adjustRightInd w:val="0"/>
      <w:snapToGrid w:val="0"/>
      <w:spacing w:before="156" w:after="240" w:line="400" w:lineRule="exact"/>
      <w:ind w:left="4536" w:hanging="576"/>
      <w:jc w:val="both"/>
      <w:textAlignment w:val="baseline"/>
    </w:pPr>
    <w:rPr>
      <w:b w:val="0"/>
      <w:spacing w:val="4"/>
      <w:sz w:val="30"/>
    </w:rPr>
  </w:style>
  <w:style w:type="paragraph" w:customStyle="1" w:styleId="824">
    <w:name w:val="样式 标题 2样式 2 + 段后: 7.8 磅"/>
    <w:basedOn w:val="3"/>
    <w:semiHidden/>
    <w:qFormat/>
    <w:uiPriority w:val="0"/>
    <w:pPr>
      <w:widowControl w:val="0"/>
      <w:adjustRightInd w:val="0"/>
      <w:snapToGrid w:val="0"/>
      <w:spacing w:before="156" w:after="240" w:line="400" w:lineRule="exact"/>
      <w:ind w:left="4680"/>
    </w:pPr>
    <w:rPr>
      <w:b w:val="0"/>
      <w:spacing w:val="4"/>
      <w:sz w:val="30"/>
    </w:rPr>
  </w:style>
  <w:style w:type="paragraph" w:customStyle="1" w:styleId="825">
    <w:name w:val="样式 标题 3 + 段后: 7.8 磅"/>
    <w:basedOn w:val="4"/>
    <w:semiHidden/>
    <w:qFormat/>
    <w:uiPriority w:val="0"/>
    <w:pPr>
      <w:widowControl w:val="0"/>
      <w:adjustRightInd w:val="0"/>
      <w:snapToGrid w:val="0"/>
      <w:spacing w:beforeLines="50" w:afterLines="50" w:line="360" w:lineRule="exact"/>
      <w:textAlignment w:val="baseline"/>
    </w:pPr>
    <w:rPr>
      <w:b w:val="0"/>
      <w:color w:val="000000"/>
      <w:spacing w:val="4"/>
      <w:sz w:val="28"/>
      <w:szCs w:val="28"/>
    </w:rPr>
  </w:style>
  <w:style w:type="paragraph" w:customStyle="1" w:styleId="826">
    <w:name w:val="样式 段落1 + 首行缩进:  2 字符 行距: 固定值 21 磅"/>
    <w:basedOn w:val="488"/>
    <w:semiHidden/>
    <w:qFormat/>
    <w:uiPriority w:val="0"/>
    <w:pPr>
      <w:widowControl w:val="0"/>
      <w:tabs>
        <w:tab w:val="clear" w:pos="180"/>
        <w:tab w:val="clear" w:pos="3420"/>
        <w:tab w:val="clear" w:pos="4140"/>
        <w:tab w:val="clear" w:pos="5580"/>
      </w:tabs>
      <w:adjustRightInd w:val="0"/>
      <w:spacing w:line="420" w:lineRule="exact"/>
      <w:ind w:firstLine="504"/>
      <w:textAlignment w:val="baseline"/>
    </w:pPr>
    <w:rPr>
      <w:spacing w:val="6"/>
      <w:kern w:val="2"/>
    </w:rPr>
  </w:style>
  <w:style w:type="character" w:customStyle="1" w:styleId="827">
    <w:name w:val="表 Char"/>
    <w:basedOn w:val="109"/>
    <w:semiHidden/>
    <w:qFormat/>
    <w:uiPriority w:val="0"/>
    <w:rPr>
      <w:rFonts w:eastAsia="黑体"/>
      <w:color w:val="000000"/>
      <w:spacing w:val="10"/>
      <w:kern w:val="2"/>
      <w:sz w:val="24"/>
      <w:szCs w:val="24"/>
      <w:lang w:val="en-US" w:eastAsia="zh-CN" w:bidi="ar-SA"/>
    </w:rPr>
  </w:style>
  <w:style w:type="paragraph" w:customStyle="1" w:styleId="828">
    <w:name w:val="样式 标题 4 + 首行缩进:  0 字符"/>
    <w:basedOn w:val="5"/>
    <w:semiHidden/>
    <w:qFormat/>
    <w:uiPriority w:val="0"/>
    <w:pPr>
      <w:keepNext w:val="0"/>
      <w:keepLines w:val="0"/>
      <w:numPr>
        <w:ilvl w:val="0"/>
        <w:numId w:val="0"/>
      </w:numPr>
      <w:kinsoku w:val="0"/>
      <w:overflowPunct w:val="0"/>
      <w:adjustRightInd w:val="0"/>
      <w:spacing w:before="156" w:after="156" w:line="320" w:lineRule="atLeast"/>
      <w:ind w:left="4680"/>
    </w:pPr>
    <w:rPr>
      <w:b w:val="0"/>
      <w:bCs w:val="0"/>
      <w:spacing w:val="4"/>
      <w:sz w:val="28"/>
      <w:szCs w:val="20"/>
    </w:rPr>
  </w:style>
  <w:style w:type="paragraph" w:customStyle="1" w:styleId="829">
    <w:name w:val="样式 目录 1 + 首行缩进:  2 字符"/>
    <w:basedOn w:val="156"/>
    <w:semiHidden/>
    <w:qFormat/>
    <w:uiPriority w:val="0"/>
    <w:pPr>
      <w:tabs>
        <w:tab w:val="right" w:leader="dot" w:pos="8890"/>
        <w:tab w:val="right" w:leader="dot" w:pos="9174"/>
        <w:tab w:val="clear" w:pos="8296"/>
      </w:tabs>
      <w:spacing w:beforeLines="50" w:afterLines="50" w:line="400" w:lineRule="exact"/>
      <w:textAlignment w:val="baseline"/>
    </w:pPr>
    <w:rPr>
      <w:rFonts w:ascii="Times New Roman" w:eastAsia="黑体"/>
      <w:bCs/>
      <w:caps/>
      <w:sz w:val="28"/>
      <w:szCs w:val="44"/>
    </w:rPr>
  </w:style>
  <w:style w:type="paragraph" w:customStyle="1" w:styleId="830">
    <w:name w:val="样式 段落2 + 10 磅"/>
    <w:basedOn w:val="647"/>
    <w:semiHidden/>
    <w:qFormat/>
    <w:uiPriority w:val="0"/>
    <w:pPr>
      <w:spacing w:before="120" w:after="120" w:line="480" w:lineRule="exact"/>
      <w:textAlignment w:val="baseline"/>
    </w:pPr>
    <w:rPr>
      <w:sz w:val="20"/>
      <w:szCs w:val="20"/>
    </w:rPr>
  </w:style>
  <w:style w:type="paragraph" w:customStyle="1" w:styleId="831">
    <w:name w:val="样式 目录 1 + 段前: 0.5 行 段后: 0.5 行"/>
    <w:basedOn w:val="156"/>
    <w:semiHidden/>
    <w:qFormat/>
    <w:uiPriority w:val="0"/>
    <w:pPr>
      <w:tabs>
        <w:tab w:val="right" w:leader="dot" w:pos="8890"/>
        <w:tab w:val="right" w:leader="dot" w:pos="9174"/>
        <w:tab w:val="clear" w:pos="8296"/>
      </w:tabs>
      <w:spacing w:before="120" w:after="120" w:line="400" w:lineRule="exact"/>
      <w:ind w:firstLine="200" w:firstLineChars="5"/>
      <w:textAlignment w:val="baseline"/>
    </w:pPr>
    <w:rPr>
      <w:rFonts w:ascii="Times New Roman" w:eastAsia="黑体"/>
      <w:bCs/>
      <w:caps/>
      <w:spacing w:val="6"/>
    </w:rPr>
  </w:style>
  <w:style w:type="paragraph" w:customStyle="1" w:styleId="832">
    <w:name w:val="样式 四号 首行缩进:  2 字符 + 首行缩进:  2 字符"/>
    <w:basedOn w:val="1"/>
    <w:semiHidden/>
    <w:qFormat/>
    <w:uiPriority w:val="0"/>
    <w:pPr>
      <w:spacing w:line="440" w:lineRule="exact"/>
      <w:ind w:firstLine="504" w:firstLineChars="200"/>
    </w:pPr>
    <w:rPr>
      <w:rFonts w:ascii="宋体" w:hAnsi="宋体"/>
      <w:spacing w:val="6"/>
      <w:sz w:val="24"/>
      <w:szCs w:val="28"/>
    </w:rPr>
  </w:style>
  <w:style w:type="paragraph" w:customStyle="1" w:styleId="833">
    <w:name w:val="样式 图表名称 + 段前: 0.5 行 段后: 0.2 行"/>
    <w:basedOn w:val="632"/>
    <w:semiHidden/>
    <w:qFormat/>
    <w:uiPriority w:val="0"/>
    <w:rPr>
      <w:rFonts w:ascii="Times New Roman" w:hAnsi="Times New Roman"/>
    </w:rPr>
  </w:style>
  <w:style w:type="paragraph" w:customStyle="1" w:styleId="834">
    <w:name w:val="样式8"/>
    <w:basedOn w:val="3"/>
    <w:link w:val="1449"/>
    <w:semiHidden/>
    <w:qFormat/>
    <w:uiPriority w:val="0"/>
    <w:pPr>
      <w:widowControl w:val="0"/>
      <w:tabs>
        <w:tab w:val="left" w:pos="0"/>
      </w:tabs>
      <w:adjustRightInd w:val="0"/>
      <w:snapToGrid w:val="0"/>
      <w:spacing w:before="120" w:afterLines="50" w:line="416" w:lineRule="atLeast"/>
      <w:ind w:left="4536" w:hanging="576"/>
    </w:pPr>
    <w:rPr>
      <w:b w:val="0"/>
      <w:spacing w:val="10"/>
      <w:sz w:val="30"/>
    </w:rPr>
  </w:style>
  <w:style w:type="character" w:customStyle="1" w:styleId="835">
    <w:name w:val="normaltext1"/>
    <w:basedOn w:val="109"/>
    <w:semiHidden/>
    <w:qFormat/>
    <w:uiPriority w:val="0"/>
    <w:rPr>
      <w:rFonts w:eastAsia="宋体"/>
      <w:color w:val="000000"/>
      <w:kern w:val="2"/>
      <w:sz w:val="21"/>
      <w:szCs w:val="21"/>
      <w:lang w:val="en-US" w:eastAsia="zh-CN" w:bidi="ar-SA"/>
    </w:rPr>
  </w:style>
  <w:style w:type="paragraph" w:customStyle="1" w:styleId="836">
    <w:name w:val="2级标题"/>
    <w:basedOn w:val="1"/>
    <w:semiHidden/>
    <w:qFormat/>
    <w:uiPriority w:val="0"/>
    <w:pPr>
      <w:spacing w:before="60" w:line="460" w:lineRule="exact"/>
      <w:outlineLvl w:val="1"/>
    </w:pPr>
    <w:rPr>
      <w:rFonts w:ascii="Arial" w:hAnsi="Arial" w:cs="Arial"/>
      <w:b/>
      <w:sz w:val="28"/>
    </w:rPr>
  </w:style>
  <w:style w:type="paragraph" w:customStyle="1" w:styleId="837">
    <w:name w:val="1级标题"/>
    <w:basedOn w:val="1"/>
    <w:semiHidden/>
    <w:qFormat/>
    <w:uiPriority w:val="0"/>
    <w:pPr>
      <w:spacing w:before="60" w:line="460" w:lineRule="exact"/>
      <w:outlineLvl w:val="0"/>
    </w:pPr>
    <w:rPr>
      <w:rFonts w:ascii="Arial" w:hAnsi="Arial" w:cs="Arial"/>
      <w:b/>
      <w:sz w:val="32"/>
    </w:rPr>
  </w:style>
  <w:style w:type="paragraph" w:customStyle="1" w:styleId="838">
    <w:name w:val="图文框"/>
    <w:basedOn w:val="1"/>
    <w:semiHidden/>
    <w:qFormat/>
    <w:uiPriority w:val="0"/>
    <w:pPr>
      <w:jc w:val="center"/>
    </w:pPr>
    <w:rPr>
      <w:rFonts w:ascii="宋体" w:hAnsi="宋体"/>
      <w:szCs w:val="21"/>
    </w:rPr>
  </w:style>
  <w:style w:type="paragraph" w:customStyle="1" w:styleId="839">
    <w:name w:val="环标2"/>
    <w:basedOn w:val="3"/>
    <w:semiHidden/>
    <w:qFormat/>
    <w:uiPriority w:val="0"/>
    <w:pPr>
      <w:widowControl w:val="0"/>
      <w:tabs>
        <w:tab w:val="left" w:pos="0"/>
      </w:tabs>
      <w:adjustRightInd w:val="0"/>
      <w:snapToGrid w:val="0"/>
      <w:spacing w:before="120" w:after="120" w:line="312" w:lineRule="atLeast"/>
      <w:ind w:left="4536" w:hanging="576"/>
      <w:textAlignment w:val="baseline"/>
    </w:pPr>
    <w:rPr>
      <w:rFonts w:ascii="黑体" w:hAnsi="Arial"/>
      <w:b w:val="0"/>
      <w:szCs w:val="20"/>
    </w:rPr>
  </w:style>
  <w:style w:type="paragraph" w:customStyle="1" w:styleId="840">
    <w:name w:val="表格文字两端对齐"/>
    <w:basedOn w:val="1"/>
    <w:semiHidden/>
    <w:qFormat/>
    <w:uiPriority w:val="0"/>
    <w:pPr>
      <w:spacing w:line="300" w:lineRule="auto"/>
      <w:jc w:val="center"/>
    </w:pPr>
    <w:rPr>
      <w:rFonts w:ascii="Arial Narrow" w:hAnsi="Arial Narrow" w:eastAsia="仿宋_GB2312"/>
      <w:color w:val="000000"/>
      <w:szCs w:val="24"/>
    </w:rPr>
  </w:style>
  <w:style w:type="character" w:customStyle="1" w:styleId="841">
    <w:name w:val="xin11"/>
    <w:basedOn w:val="109"/>
    <w:semiHidden/>
    <w:qFormat/>
    <w:uiPriority w:val="0"/>
    <w:rPr>
      <w:rFonts w:hint="eastAsia" w:ascii="宋体" w:hAnsi="宋体" w:eastAsia="宋体"/>
      <w:color w:val="666666"/>
      <w:kern w:val="2"/>
      <w:sz w:val="18"/>
      <w:szCs w:val="18"/>
      <w:u w:val="none"/>
      <w:lang w:val="en-US" w:eastAsia="zh-CN" w:bidi="ar-SA"/>
    </w:rPr>
  </w:style>
  <w:style w:type="paragraph" w:customStyle="1" w:styleId="842">
    <w:name w:val="小五居左"/>
    <w:basedOn w:val="1"/>
    <w:semiHidden/>
    <w:qFormat/>
    <w:uiPriority w:val="0"/>
    <w:pPr>
      <w:adjustRightInd w:val="0"/>
      <w:snapToGrid w:val="0"/>
    </w:pPr>
    <w:rPr>
      <w:szCs w:val="21"/>
    </w:rPr>
  </w:style>
  <w:style w:type="paragraph" w:customStyle="1" w:styleId="843">
    <w:name w:val="小五"/>
    <w:basedOn w:val="1"/>
    <w:semiHidden/>
    <w:qFormat/>
    <w:uiPriority w:val="0"/>
    <w:pPr>
      <w:autoSpaceDE w:val="0"/>
      <w:autoSpaceDN w:val="0"/>
      <w:adjustRightInd w:val="0"/>
      <w:snapToGrid w:val="0"/>
      <w:jc w:val="center"/>
    </w:pPr>
    <w:rPr>
      <w:rFonts w:ascii="宋体" w:hAnsi="宋体"/>
      <w:sz w:val="18"/>
      <w:szCs w:val="18"/>
    </w:rPr>
  </w:style>
  <w:style w:type="paragraph" w:customStyle="1" w:styleId="844">
    <w:name w:val="表格文字中对齐"/>
    <w:basedOn w:val="1"/>
    <w:semiHidden/>
    <w:qFormat/>
    <w:uiPriority w:val="0"/>
    <w:pPr>
      <w:spacing w:line="300" w:lineRule="auto"/>
      <w:jc w:val="center"/>
    </w:pPr>
    <w:rPr>
      <w:color w:val="000000"/>
      <w:szCs w:val="24"/>
    </w:rPr>
  </w:style>
  <w:style w:type="paragraph" w:customStyle="1" w:styleId="845">
    <w:name w:val="表中字"/>
    <w:basedOn w:val="1"/>
    <w:semiHidden/>
    <w:qFormat/>
    <w:uiPriority w:val="0"/>
    <w:pPr>
      <w:adjustRightInd w:val="0"/>
      <w:snapToGrid w:val="0"/>
      <w:jc w:val="center"/>
    </w:pPr>
    <w:rPr>
      <w:w w:val="90"/>
    </w:rPr>
  </w:style>
  <w:style w:type="character" w:customStyle="1" w:styleId="846">
    <w:name w:val="HTML 地址 字符"/>
    <w:basedOn w:val="109"/>
    <w:link w:val="36"/>
    <w:semiHidden/>
    <w:qFormat/>
    <w:uiPriority w:val="99"/>
    <w:rPr>
      <w:i/>
      <w:iCs/>
      <w:sz w:val="24"/>
      <w:szCs w:val="24"/>
    </w:rPr>
  </w:style>
  <w:style w:type="character" w:customStyle="1" w:styleId="847">
    <w:name w:val="电子邮件签名 字符"/>
    <w:basedOn w:val="109"/>
    <w:link w:val="16"/>
    <w:semiHidden/>
    <w:qFormat/>
    <w:uiPriority w:val="0"/>
    <w:rPr>
      <w:sz w:val="24"/>
      <w:szCs w:val="24"/>
    </w:rPr>
  </w:style>
  <w:style w:type="character" w:customStyle="1" w:styleId="848">
    <w:name w:val="结束语 字符"/>
    <w:basedOn w:val="109"/>
    <w:link w:val="27"/>
    <w:semiHidden/>
    <w:qFormat/>
    <w:uiPriority w:val="0"/>
    <w:rPr>
      <w:sz w:val="24"/>
      <w:szCs w:val="24"/>
    </w:rPr>
  </w:style>
  <w:style w:type="character" w:customStyle="1" w:styleId="849">
    <w:name w:val="签名 字符"/>
    <w:basedOn w:val="109"/>
    <w:link w:val="52"/>
    <w:semiHidden/>
    <w:qFormat/>
    <w:uiPriority w:val="0"/>
    <w:rPr>
      <w:sz w:val="24"/>
      <w:szCs w:val="24"/>
    </w:rPr>
  </w:style>
  <w:style w:type="character" w:customStyle="1" w:styleId="850">
    <w:name w:val="信息标题 字符"/>
    <w:basedOn w:val="109"/>
    <w:link w:val="73"/>
    <w:semiHidden/>
    <w:qFormat/>
    <w:uiPriority w:val="0"/>
    <w:rPr>
      <w:rFonts w:ascii="Arial" w:hAnsi="Arial"/>
      <w:sz w:val="24"/>
      <w:szCs w:val="24"/>
      <w:shd w:val="pct20" w:color="auto" w:fill="auto"/>
    </w:rPr>
  </w:style>
  <w:style w:type="character" w:customStyle="1" w:styleId="851">
    <w:name w:val="sb1"/>
    <w:basedOn w:val="109"/>
    <w:semiHidden/>
    <w:qFormat/>
    <w:uiPriority w:val="0"/>
    <w:rPr>
      <w:rFonts w:eastAsia="宋体"/>
      <w:color w:val="000000"/>
      <w:kern w:val="2"/>
      <w:sz w:val="15"/>
      <w:szCs w:val="15"/>
      <w:vertAlign w:val="superscript"/>
      <w:lang w:val="en-US" w:eastAsia="zh-CN" w:bidi="ar-SA"/>
    </w:rPr>
  </w:style>
  <w:style w:type="paragraph" w:customStyle="1" w:styleId="852">
    <w:name w:val="纯文本1"/>
    <w:basedOn w:val="1"/>
    <w:semiHidden/>
    <w:qFormat/>
    <w:uiPriority w:val="0"/>
    <w:pPr>
      <w:adjustRightInd w:val="0"/>
      <w:textAlignment w:val="baseline"/>
    </w:pPr>
    <w:rPr>
      <w:rFonts w:ascii="宋体" w:hAnsi="Courier New"/>
    </w:rPr>
  </w:style>
  <w:style w:type="paragraph" w:customStyle="1" w:styleId="853">
    <w:name w:val="表前文字"/>
    <w:basedOn w:val="1"/>
    <w:semiHidden/>
    <w:qFormat/>
    <w:uiPriority w:val="0"/>
    <w:pPr>
      <w:jc w:val="center"/>
    </w:pPr>
    <w:rPr>
      <w:rFonts w:ascii="宋体" w:hAnsi="宋体"/>
      <w:sz w:val="24"/>
      <w:szCs w:val="21"/>
    </w:rPr>
  </w:style>
  <w:style w:type="character" w:customStyle="1" w:styleId="854">
    <w:name w:val="line21"/>
    <w:basedOn w:val="109"/>
    <w:semiHidden/>
    <w:qFormat/>
    <w:uiPriority w:val="0"/>
    <w:rPr>
      <w:rFonts w:eastAsia="宋体"/>
      <w:color w:val="666666"/>
      <w:kern w:val="2"/>
      <w:sz w:val="20"/>
      <w:szCs w:val="20"/>
      <w:u w:val="none"/>
      <w:lang w:val="en-US" w:eastAsia="zh-CN" w:bidi="ar-SA"/>
    </w:rPr>
  </w:style>
  <w:style w:type="paragraph" w:customStyle="1" w:styleId="855">
    <w:name w:val="文本框"/>
    <w:basedOn w:val="1"/>
    <w:semiHidden/>
    <w:qFormat/>
    <w:uiPriority w:val="0"/>
    <w:pPr>
      <w:autoSpaceDE w:val="0"/>
      <w:autoSpaceDN w:val="0"/>
      <w:adjustRightInd w:val="0"/>
    </w:pPr>
    <w:rPr>
      <w:rFonts w:ascii="宋体" w:hAnsi="宋体" w:cs="宋体"/>
      <w:bCs/>
      <w:color w:val="000000"/>
      <w:szCs w:val="21"/>
      <w:lang w:val="zh-CN"/>
    </w:rPr>
  </w:style>
  <w:style w:type="paragraph" w:customStyle="1" w:styleId="856">
    <w:name w:val="文本框图"/>
    <w:basedOn w:val="855"/>
    <w:semiHidden/>
    <w:qFormat/>
    <w:uiPriority w:val="0"/>
    <w:rPr>
      <w:bCs w:val="0"/>
    </w:rPr>
  </w:style>
  <w:style w:type="paragraph" w:customStyle="1" w:styleId="857">
    <w:name w:val="文本框图片"/>
    <w:basedOn w:val="1"/>
    <w:semiHidden/>
    <w:qFormat/>
    <w:uiPriority w:val="0"/>
    <w:pPr>
      <w:autoSpaceDE w:val="0"/>
      <w:autoSpaceDN w:val="0"/>
      <w:adjustRightInd w:val="0"/>
    </w:pPr>
    <w:rPr>
      <w:rFonts w:ascii="宋体" w:hAnsi="宋体" w:cs="宋体"/>
      <w:bCs/>
      <w:color w:val="000000"/>
      <w:szCs w:val="21"/>
      <w:lang w:val="zh-CN"/>
    </w:rPr>
  </w:style>
  <w:style w:type="paragraph" w:customStyle="1" w:styleId="858">
    <w:name w:val="3级标题"/>
    <w:basedOn w:val="1"/>
    <w:link w:val="2352"/>
    <w:semiHidden/>
    <w:qFormat/>
    <w:uiPriority w:val="0"/>
    <w:pPr>
      <w:spacing w:before="300" w:line="460" w:lineRule="exact"/>
      <w:outlineLvl w:val="2"/>
    </w:pPr>
    <w:rPr>
      <w:rFonts w:ascii="Arial" w:hAnsi="Arial"/>
      <w:b/>
      <w:bCs/>
      <w:sz w:val="24"/>
      <w:szCs w:val="28"/>
    </w:rPr>
  </w:style>
  <w:style w:type="paragraph" w:customStyle="1" w:styleId="859">
    <w:name w:val="新正文"/>
    <w:basedOn w:val="1"/>
    <w:semiHidden/>
    <w:qFormat/>
    <w:uiPriority w:val="0"/>
    <w:pPr>
      <w:spacing w:before="60" w:line="460" w:lineRule="exact"/>
      <w:ind w:firstLine="200" w:firstLineChars="200"/>
    </w:pPr>
    <w:rPr>
      <w:sz w:val="24"/>
    </w:rPr>
  </w:style>
  <w:style w:type="character" w:customStyle="1" w:styleId="860">
    <w:name w:val="m11"/>
    <w:basedOn w:val="109"/>
    <w:semiHidden/>
    <w:qFormat/>
    <w:uiPriority w:val="0"/>
    <w:rPr>
      <w:rFonts w:eastAsia="宋体"/>
      <w:color w:val="000000"/>
      <w:kern w:val="2"/>
      <w:sz w:val="21"/>
      <w:szCs w:val="21"/>
      <w:lang w:val="en-US" w:eastAsia="zh-CN" w:bidi="ar-SA"/>
    </w:rPr>
  </w:style>
  <w:style w:type="character" w:customStyle="1" w:styleId="861">
    <w:name w:val="style161"/>
    <w:basedOn w:val="109"/>
    <w:semiHidden/>
    <w:qFormat/>
    <w:uiPriority w:val="0"/>
    <w:rPr>
      <w:rFonts w:eastAsia="宋体"/>
      <w:color w:val="000000"/>
      <w:kern w:val="2"/>
      <w:sz w:val="21"/>
      <w:szCs w:val="21"/>
      <w:lang w:val="en-US" w:eastAsia="zh-CN" w:bidi="ar-SA"/>
    </w:rPr>
  </w:style>
  <w:style w:type="paragraph" w:customStyle="1" w:styleId="862">
    <w:name w:val="报告1"/>
    <w:basedOn w:val="368"/>
    <w:semiHidden/>
    <w:qFormat/>
    <w:uiPriority w:val="0"/>
    <w:pPr>
      <w:textAlignment w:val="auto"/>
    </w:pPr>
    <w:rPr>
      <w:kern w:val="24"/>
    </w:rPr>
  </w:style>
  <w:style w:type="paragraph" w:customStyle="1" w:styleId="863">
    <w:name w:val="body 1"/>
    <w:basedOn w:val="1"/>
    <w:semiHidden/>
    <w:qFormat/>
    <w:uiPriority w:val="0"/>
    <w:pPr>
      <w:adjustRightInd w:val="0"/>
      <w:spacing w:line="360" w:lineRule="atLeast"/>
      <w:textAlignment w:val="baseline"/>
    </w:pPr>
    <w:rPr>
      <w:rFonts w:ascii="華康中楷體" w:eastAsia="華康中楷體"/>
      <w:spacing w:val="60"/>
      <w:sz w:val="24"/>
      <w:lang w:eastAsia="zh-TW"/>
    </w:rPr>
  </w:style>
  <w:style w:type="paragraph" w:customStyle="1" w:styleId="864">
    <w:name w:val="报告表正文"/>
    <w:basedOn w:val="1"/>
    <w:link w:val="1783"/>
    <w:semiHidden/>
    <w:qFormat/>
    <w:uiPriority w:val="0"/>
    <w:pPr>
      <w:adjustRightInd w:val="0"/>
      <w:spacing w:line="312" w:lineRule="auto"/>
      <w:ind w:left="113" w:right="113" w:firstLine="482"/>
    </w:pPr>
    <w:rPr>
      <w:sz w:val="24"/>
    </w:rPr>
  </w:style>
  <w:style w:type="character" w:customStyle="1" w:styleId="865">
    <w:name w:val="biaoti1"/>
    <w:basedOn w:val="109"/>
    <w:semiHidden/>
    <w:qFormat/>
    <w:uiPriority w:val="0"/>
    <w:rPr>
      <w:rFonts w:eastAsia="宋体"/>
      <w:b/>
      <w:bCs/>
      <w:color w:val="000099"/>
      <w:kern w:val="2"/>
      <w:sz w:val="24"/>
      <w:szCs w:val="24"/>
      <w:lang w:val="en-US" w:eastAsia="zh-CN" w:bidi="ar-SA"/>
    </w:rPr>
  </w:style>
  <w:style w:type="paragraph" w:customStyle="1" w:styleId="866">
    <w:name w:val="ST20_1"/>
    <w:basedOn w:val="1"/>
    <w:semiHidden/>
    <w:qFormat/>
    <w:uiPriority w:val="0"/>
    <w:pPr>
      <w:adjustRightInd w:val="0"/>
      <w:jc w:val="center"/>
      <w:textAlignment w:val="baseline"/>
    </w:pPr>
    <w:rPr>
      <w:rFonts w:ascii="宋体"/>
    </w:rPr>
  </w:style>
  <w:style w:type="paragraph" w:customStyle="1" w:styleId="867">
    <w:name w:val="图表标题"/>
    <w:basedOn w:val="1"/>
    <w:link w:val="932"/>
    <w:semiHidden/>
    <w:qFormat/>
    <w:uiPriority w:val="0"/>
    <w:pPr>
      <w:adjustRightInd w:val="0"/>
      <w:snapToGrid w:val="0"/>
      <w:jc w:val="center"/>
    </w:pPr>
    <w:rPr>
      <w:rFonts w:ascii="宋体" w:hAnsi="宋体"/>
      <w:b/>
      <w:sz w:val="24"/>
      <w:szCs w:val="24"/>
    </w:rPr>
  </w:style>
  <w:style w:type="paragraph" w:customStyle="1" w:styleId="868">
    <w:name w:val="Indent1"/>
    <w:basedOn w:val="1"/>
    <w:semiHidden/>
    <w:qFormat/>
    <w:uiPriority w:val="0"/>
    <w:pPr>
      <w:overflowPunct w:val="0"/>
      <w:autoSpaceDE w:val="0"/>
      <w:autoSpaceDN w:val="0"/>
      <w:adjustRightInd w:val="0"/>
      <w:ind w:left="1440" w:hanging="720"/>
      <w:textAlignment w:val="baseline"/>
    </w:pPr>
    <w:rPr>
      <w:rFonts w:ascii="Arial" w:hAnsi="Arial"/>
      <w:sz w:val="22"/>
    </w:rPr>
  </w:style>
  <w:style w:type="paragraph" w:customStyle="1" w:styleId="869">
    <w:name w:val="Document Map1"/>
    <w:basedOn w:val="1"/>
    <w:semiHidden/>
    <w:qFormat/>
    <w:uiPriority w:val="0"/>
    <w:pPr>
      <w:shd w:val="clear" w:color="auto" w:fill="000080"/>
      <w:adjustRightInd w:val="0"/>
      <w:textAlignment w:val="baseline"/>
    </w:pPr>
    <w:rPr>
      <w:rFonts w:ascii="宋体"/>
    </w:rPr>
  </w:style>
  <w:style w:type="paragraph" w:customStyle="1" w:styleId="870">
    <w:name w:val="Body Text 21"/>
    <w:basedOn w:val="1"/>
    <w:semiHidden/>
    <w:qFormat/>
    <w:uiPriority w:val="0"/>
    <w:pPr>
      <w:adjustRightInd w:val="0"/>
      <w:spacing w:line="360" w:lineRule="atLeast"/>
      <w:ind w:firstLine="425"/>
      <w:textAlignment w:val="baseline"/>
    </w:pPr>
    <w:rPr>
      <w:rFonts w:ascii="宋体"/>
      <w:sz w:val="24"/>
    </w:rPr>
  </w:style>
  <w:style w:type="paragraph" w:customStyle="1" w:styleId="871">
    <w:name w:val="IDC A-Head (2nd Line)"/>
    <w:basedOn w:val="1"/>
    <w:next w:val="1"/>
    <w:semiHidden/>
    <w:qFormat/>
    <w:uiPriority w:val="0"/>
    <w:pPr>
      <w:jc w:val="center"/>
    </w:pPr>
    <w:rPr>
      <w:caps/>
      <w:sz w:val="24"/>
    </w:rPr>
  </w:style>
  <w:style w:type="paragraph" w:customStyle="1" w:styleId="872">
    <w:name w:val="样式 (符号) 宋体 小四 居中 行距: 1.5 倍行距"/>
    <w:basedOn w:val="1"/>
    <w:semiHidden/>
    <w:qFormat/>
    <w:uiPriority w:val="0"/>
    <w:pPr>
      <w:spacing w:line="360" w:lineRule="auto"/>
      <w:jc w:val="center"/>
    </w:pPr>
    <w:rPr>
      <w:rFonts w:hAnsi="宋体" w:cs="宋体"/>
      <w:sz w:val="24"/>
    </w:rPr>
  </w:style>
  <w:style w:type="character" w:customStyle="1" w:styleId="873">
    <w:name w:val="表头 Char"/>
    <w:basedOn w:val="109"/>
    <w:semiHidden/>
    <w:qFormat/>
    <w:uiPriority w:val="0"/>
    <w:rPr>
      <w:rFonts w:eastAsia="黑体"/>
      <w:bCs/>
      <w:color w:val="000000"/>
      <w:kern w:val="2"/>
      <w:sz w:val="24"/>
      <w:szCs w:val="21"/>
      <w:lang w:val="en-US" w:eastAsia="zh-CN" w:bidi="ar-SA"/>
    </w:rPr>
  </w:style>
  <w:style w:type="paragraph" w:customStyle="1" w:styleId="874">
    <w:name w:val="样式 燕山正文 + 首行缩进:  3.5 字符2"/>
    <w:basedOn w:val="1"/>
    <w:semiHidden/>
    <w:qFormat/>
    <w:uiPriority w:val="0"/>
    <w:pPr>
      <w:tabs>
        <w:tab w:val="left" w:pos="4680"/>
      </w:tabs>
      <w:adjustRightInd w:val="0"/>
      <w:snapToGrid w:val="0"/>
      <w:spacing w:line="360" w:lineRule="auto"/>
      <w:ind w:firstLine="420" w:firstLineChars="200"/>
    </w:pPr>
    <w:rPr>
      <w:rFonts w:ascii="楷体_GB2312" w:eastAsia="楷体_GB2312"/>
      <w:szCs w:val="21"/>
    </w:rPr>
  </w:style>
  <w:style w:type="paragraph" w:customStyle="1" w:styleId="875">
    <w:name w:val="正文首行缩进＋湿地"/>
    <w:basedOn w:val="1"/>
    <w:semiHidden/>
    <w:qFormat/>
    <w:uiPriority w:val="0"/>
    <w:pPr>
      <w:spacing w:line="440" w:lineRule="exact"/>
      <w:ind w:firstLine="540" w:firstLineChars="225"/>
    </w:pPr>
    <w:rPr>
      <w:rFonts w:ascii="仿宋_GB2312" w:hAnsi="宋体" w:eastAsia="仿宋_GB2312"/>
      <w:sz w:val="28"/>
    </w:rPr>
  </w:style>
  <w:style w:type="paragraph" w:customStyle="1" w:styleId="876">
    <w:name w:val="标题5"/>
    <w:basedOn w:val="1"/>
    <w:next w:val="18"/>
    <w:link w:val="1827"/>
    <w:semiHidden/>
    <w:qFormat/>
    <w:uiPriority w:val="0"/>
    <w:pPr>
      <w:spacing w:line="360" w:lineRule="auto"/>
    </w:pPr>
    <w:rPr>
      <w:rFonts w:ascii="宋体" w:hAnsi="宋体"/>
      <w:b/>
      <w:bCs/>
      <w:sz w:val="24"/>
      <w:szCs w:val="24"/>
    </w:rPr>
  </w:style>
  <w:style w:type="paragraph" w:customStyle="1" w:styleId="877">
    <w:name w:val="样式 表内5 + (符号) 宋体 两端对齐 行距: 单倍行距"/>
    <w:basedOn w:val="1"/>
    <w:semiHidden/>
    <w:qFormat/>
    <w:uiPriority w:val="0"/>
    <w:pPr>
      <w:adjustRightInd w:val="0"/>
      <w:snapToGrid w:val="0"/>
    </w:pPr>
    <w:rPr>
      <w:rFonts w:ascii="宋体" w:hAnsi="宋体" w:eastAsia="楷体_GB2312"/>
    </w:rPr>
  </w:style>
  <w:style w:type="paragraph" w:customStyle="1" w:styleId="878">
    <w:name w:val="首行缩进正文"/>
    <w:basedOn w:val="1"/>
    <w:link w:val="879"/>
    <w:semiHidden/>
    <w:qFormat/>
    <w:uiPriority w:val="0"/>
    <w:pPr>
      <w:adjustRightInd w:val="0"/>
      <w:snapToGrid w:val="0"/>
      <w:spacing w:beforeLines="50" w:line="300" w:lineRule="auto"/>
      <w:ind w:firstLine="480" w:firstLineChars="200"/>
    </w:pPr>
    <w:rPr>
      <w:sz w:val="24"/>
      <w:szCs w:val="24"/>
    </w:rPr>
  </w:style>
  <w:style w:type="character" w:customStyle="1" w:styleId="879">
    <w:name w:val="首行缩进正文 Char1"/>
    <w:basedOn w:val="109"/>
    <w:link w:val="878"/>
    <w:semiHidden/>
    <w:qFormat/>
    <w:uiPriority w:val="0"/>
    <w:rPr>
      <w:sz w:val="24"/>
      <w:szCs w:val="24"/>
    </w:rPr>
  </w:style>
  <w:style w:type="paragraph" w:customStyle="1" w:styleId="880">
    <w:name w:val="图片样式"/>
    <w:basedOn w:val="1"/>
    <w:link w:val="883"/>
    <w:semiHidden/>
    <w:qFormat/>
    <w:uiPriority w:val="0"/>
    <w:pPr>
      <w:jc w:val="center"/>
    </w:pPr>
  </w:style>
  <w:style w:type="paragraph" w:customStyle="1" w:styleId="881">
    <w:name w:val="题注（图、表）"/>
    <w:basedOn w:val="1"/>
    <w:link w:val="882"/>
    <w:semiHidden/>
    <w:qFormat/>
    <w:uiPriority w:val="0"/>
    <w:pPr>
      <w:adjustRightInd w:val="0"/>
      <w:snapToGrid w:val="0"/>
      <w:spacing w:before="160" w:after="156" w:line="400" w:lineRule="exact"/>
      <w:jc w:val="center"/>
    </w:pPr>
    <w:rPr>
      <w:rFonts w:ascii="Arial" w:hAnsi="Arial" w:eastAsia="黑体"/>
      <w:szCs w:val="21"/>
    </w:rPr>
  </w:style>
  <w:style w:type="character" w:customStyle="1" w:styleId="882">
    <w:name w:val="题注（图、表） Char"/>
    <w:basedOn w:val="109"/>
    <w:link w:val="881"/>
    <w:semiHidden/>
    <w:qFormat/>
    <w:uiPriority w:val="0"/>
    <w:rPr>
      <w:rFonts w:ascii="Arial" w:hAnsi="Arial" w:eastAsia="黑体"/>
      <w:szCs w:val="21"/>
    </w:rPr>
  </w:style>
  <w:style w:type="character" w:customStyle="1" w:styleId="883">
    <w:name w:val="图片样式 Char"/>
    <w:basedOn w:val="109"/>
    <w:link w:val="880"/>
    <w:semiHidden/>
    <w:qFormat/>
    <w:uiPriority w:val="0"/>
  </w:style>
  <w:style w:type="character" w:customStyle="1" w:styleId="884">
    <w:name w:val="标题4 Char1"/>
    <w:basedOn w:val="109"/>
    <w:semiHidden/>
    <w:qFormat/>
    <w:uiPriority w:val="0"/>
    <w:rPr>
      <w:rFonts w:eastAsia="楷体_GB2312"/>
      <w:color w:val="000000"/>
      <w:spacing w:val="-16"/>
      <w:kern w:val="2"/>
      <w:sz w:val="28"/>
      <w:szCs w:val="28"/>
      <w:lang w:val="en-US" w:eastAsia="zh-CN" w:bidi="ar-SA"/>
    </w:rPr>
  </w:style>
  <w:style w:type="paragraph" w:customStyle="1" w:styleId="885">
    <w:name w:val="正文0001"/>
    <w:basedOn w:val="1"/>
    <w:semiHidden/>
    <w:qFormat/>
    <w:uiPriority w:val="0"/>
    <w:pPr>
      <w:ind w:firstLine="560" w:firstLineChars="200"/>
    </w:pPr>
    <w:rPr>
      <w:rFonts w:ascii="宋体" w:hAnsi="宋体"/>
      <w:color w:val="000000"/>
      <w:sz w:val="28"/>
      <w:szCs w:val="28"/>
    </w:rPr>
  </w:style>
  <w:style w:type="paragraph" w:customStyle="1" w:styleId="886">
    <w:name w:val="样式10"/>
    <w:basedOn w:val="5"/>
    <w:link w:val="1930"/>
    <w:semiHidden/>
    <w:qFormat/>
    <w:uiPriority w:val="0"/>
    <w:pPr>
      <w:keepNext w:val="0"/>
      <w:keepLines w:val="0"/>
      <w:numPr>
        <w:numId w:val="0"/>
      </w:numPr>
      <w:kinsoku w:val="0"/>
      <w:overflowPunct w:val="0"/>
      <w:adjustRightInd w:val="0"/>
      <w:spacing w:before="156" w:line="400" w:lineRule="atLeast"/>
    </w:pPr>
    <w:rPr>
      <w:b w:val="0"/>
      <w:bCs w:val="0"/>
      <w:szCs w:val="20"/>
    </w:rPr>
  </w:style>
  <w:style w:type="paragraph" w:customStyle="1" w:styleId="887">
    <w:name w:val="样式11"/>
    <w:basedOn w:val="5"/>
    <w:link w:val="1983"/>
    <w:semiHidden/>
    <w:qFormat/>
    <w:uiPriority w:val="0"/>
    <w:pPr>
      <w:keepNext w:val="0"/>
      <w:keepLines w:val="0"/>
      <w:numPr>
        <w:numId w:val="0"/>
      </w:numPr>
      <w:kinsoku w:val="0"/>
      <w:overflowPunct w:val="0"/>
      <w:adjustRightInd w:val="0"/>
      <w:spacing w:before="50" w:after="50" w:line="320" w:lineRule="exact"/>
    </w:pPr>
    <w:rPr>
      <w:b w:val="0"/>
      <w:bCs w:val="0"/>
      <w:szCs w:val="20"/>
    </w:rPr>
  </w:style>
  <w:style w:type="paragraph" w:customStyle="1" w:styleId="888">
    <w:name w:val="样式12"/>
    <w:basedOn w:val="5"/>
    <w:link w:val="1870"/>
    <w:semiHidden/>
    <w:qFormat/>
    <w:uiPriority w:val="0"/>
    <w:pPr>
      <w:keepNext w:val="0"/>
      <w:keepLines w:val="0"/>
      <w:numPr>
        <w:numId w:val="0"/>
      </w:numPr>
      <w:kinsoku w:val="0"/>
      <w:overflowPunct w:val="0"/>
      <w:adjustRightInd w:val="0"/>
      <w:spacing w:after="50" w:line="400" w:lineRule="atLeast"/>
    </w:pPr>
    <w:rPr>
      <w:b w:val="0"/>
      <w:bCs w:val="0"/>
      <w:szCs w:val="20"/>
    </w:rPr>
  </w:style>
  <w:style w:type="paragraph" w:customStyle="1" w:styleId="889">
    <w:name w:val="正文 + 采用"/>
    <w:basedOn w:val="1"/>
    <w:semiHidden/>
    <w:qFormat/>
    <w:uiPriority w:val="0"/>
    <w:pPr>
      <w:adjustRightInd w:val="0"/>
      <w:snapToGrid w:val="0"/>
      <w:spacing w:line="360" w:lineRule="auto"/>
      <w:ind w:firstLine="480" w:firstLineChars="200"/>
    </w:pPr>
    <w:rPr>
      <w:sz w:val="24"/>
      <w:szCs w:val="24"/>
    </w:rPr>
  </w:style>
  <w:style w:type="paragraph" w:customStyle="1" w:styleId="890">
    <w:name w:val="表格编号"/>
    <w:basedOn w:val="889"/>
    <w:next w:val="889"/>
    <w:semiHidden/>
    <w:qFormat/>
    <w:uiPriority w:val="0"/>
    <w:pPr>
      <w:spacing w:line="240" w:lineRule="auto"/>
      <w:ind w:firstLine="0" w:firstLineChars="0"/>
    </w:pPr>
    <w:rPr>
      <w:sz w:val="21"/>
      <w:szCs w:val="21"/>
    </w:rPr>
  </w:style>
  <w:style w:type="paragraph" w:customStyle="1" w:styleId="891">
    <w:name w:val="样式 正文（首行缩进两字） + Times New Roman 首行缩进:  2 字符"/>
    <w:basedOn w:val="18"/>
    <w:semiHidden/>
    <w:qFormat/>
    <w:uiPriority w:val="0"/>
    <w:pPr>
      <w:spacing w:line="360" w:lineRule="auto"/>
      <w:ind w:firstLine="480"/>
    </w:pPr>
    <w:rPr>
      <w:rFonts w:ascii="宋体"/>
      <w:sz w:val="24"/>
      <w:szCs w:val="24"/>
    </w:rPr>
  </w:style>
  <w:style w:type="paragraph" w:customStyle="1" w:styleId="892">
    <w:name w:val="表格 + 小五"/>
    <w:basedOn w:val="228"/>
    <w:semiHidden/>
    <w:qFormat/>
    <w:uiPriority w:val="0"/>
    <w:pPr>
      <w:widowControl w:val="0"/>
      <w:spacing w:line="360" w:lineRule="exact"/>
    </w:pPr>
    <w:rPr>
      <w:rFonts w:ascii="Times New Roman" w:cs="Times New Roman"/>
      <w:sz w:val="18"/>
      <w:szCs w:val="21"/>
    </w:rPr>
  </w:style>
  <w:style w:type="character" w:customStyle="1" w:styleId="893">
    <w:name w:val="表格编号 Char"/>
    <w:basedOn w:val="109"/>
    <w:semiHidden/>
    <w:qFormat/>
    <w:uiPriority w:val="0"/>
    <w:rPr>
      <w:rFonts w:eastAsia="宋体"/>
      <w:color w:val="000000"/>
      <w:kern w:val="2"/>
      <w:sz w:val="21"/>
      <w:szCs w:val="21"/>
      <w:lang w:val="en-US" w:eastAsia="zh-CN" w:bidi="ar-SA"/>
    </w:rPr>
  </w:style>
  <w:style w:type="paragraph" w:customStyle="1" w:styleId="894">
    <w:name w:val="样式 首行缩进:  0.77 厘米 行距: 固定值 20 磅4"/>
    <w:basedOn w:val="1"/>
    <w:semiHidden/>
    <w:qFormat/>
    <w:uiPriority w:val="0"/>
    <w:pPr>
      <w:spacing w:line="440" w:lineRule="exact"/>
      <w:ind w:firstLine="480" w:firstLineChars="200"/>
    </w:pPr>
    <w:rPr>
      <w:rFonts w:ascii="Arial" w:hAnsi="Arial" w:cs="Arial"/>
      <w:color w:val="000000"/>
      <w:sz w:val="24"/>
      <w:szCs w:val="24"/>
    </w:rPr>
  </w:style>
  <w:style w:type="paragraph" w:customStyle="1" w:styleId="895">
    <w:name w:val="CM55"/>
    <w:basedOn w:val="62"/>
    <w:next w:val="62"/>
    <w:semiHidden/>
    <w:qFormat/>
    <w:uiPriority w:val="0"/>
    <w:pPr>
      <w:spacing w:after="470"/>
    </w:pPr>
    <w:rPr>
      <w:rFonts w:ascii="Times New Roman"/>
      <w:color w:val="auto"/>
    </w:rPr>
  </w:style>
  <w:style w:type="paragraph" w:customStyle="1" w:styleId="896">
    <w:name w:val="河石管道 表头8"/>
    <w:basedOn w:val="1"/>
    <w:semiHidden/>
    <w:qFormat/>
    <w:uiPriority w:val="0"/>
    <w:pPr>
      <w:jc w:val="center"/>
    </w:pPr>
    <w:rPr>
      <w:b/>
      <w:bCs/>
      <w:sz w:val="18"/>
    </w:rPr>
  </w:style>
  <w:style w:type="paragraph" w:customStyle="1" w:styleId="897">
    <w:name w:val="CM56"/>
    <w:basedOn w:val="62"/>
    <w:next w:val="62"/>
    <w:semiHidden/>
    <w:qFormat/>
    <w:uiPriority w:val="0"/>
    <w:pPr>
      <w:spacing w:after="598"/>
    </w:pPr>
    <w:rPr>
      <w:rFonts w:ascii="Times New Roman"/>
      <w:color w:val="auto"/>
    </w:rPr>
  </w:style>
  <w:style w:type="paragraph" w:customStyle="1" w:styleId="898">
    <w:name w:val="河石管道 表格正文5"/>
    <w:basedOn w:val="1"/>
    <w:semiHidden/>
    <w:qFormat/>
    <w:uiPriority w:val="0"/>
    <w:pPr>
      <w:spacing w:line="0" w:lineRule="atLeast"/>
    </w:pPr>
    <w:rPr>
      <w:sz w:val="18"/>
    </w:rPr>
  </w:style>
  <w:style w:type="paragraph" w:customStyle="1" w:styleId="899">
    <w:name w:val="CM4"/>
    <w:basedOn w:val="62"/>
    <w:next w:val="62"/>
    <w:semiHidden/>
    <w:qFormat/>
    <w:uiPriority w:val="0"/>
    <w:pPr>
      <w:spacing w:line="463" w:lineRule="atLeast"/>
    </w:pPr>
    <w:rPr>
      <w:rFonts w:ascii="Times New Roman"/>
      <w:color w:val="auto"/>
    </w:rPr>
  </w:style>
  <w:style w:type="paragraph" w:customStyle="1" w:styleId="900">
    <w:name w:val="CM57"/>
    <w:basedOn w:val="62"/>
    <w:next w:val="62"/>
    <w:semiHidden/>
    <w:qFormat/>
    <w:uiPriority w:val="0"/>
    <w:pPr>
      <w:spacing w:after="318"/>
    </w:pPr>
    <w:rPr>
      <w:rFonts w:ascii="Times New Roman"/>
      <w:color w:val="auto"/>
    </w:rPr>
  </w:style>
  <w:style w:type="paragraph" w:customStyle="1" w:styleId="901">
    <w:name w:val="CM58"/>
    <w:basedOn w:val="62"/>
    <w:next w:val="62"/>
    <w:semiHidden/>
    <w:qFormat/>
    <w:uiPriority w:val="0"/>
    <w:pPr>
      <w:spacing w:after="155"/>
    </w:pPr>
    <w:rPr>
      <w:rFonts w:ascii="Times New Roman"/>
      <w:color w:val="auto"/>
    </w:rPr>
  </w:style>
  <w:style w:type="paragraph" w:customStyle="1" w:styleId="902">
    <w:name w:val="CM5"/>
    <w:basedOn w:val="62"/>
    <w:next w:val="62"/>
    <w:semiHidden/>
    <w:qFormat/>
    <w:uiPriority w:val="0"/>
    <w:pPr>
      <w:spacing w:line="460" w:lineRule="atLeast"/>
    </w:pPr>
    <w:rPr>
      <w:rFonts w:ascii="Times New Roman"/>
      <w:color w:val="auto"/>
    </w:rPr>
  </w:style>
  <w:style w:type="paragraph" w:customStyle="1" w:styleId="903">
    <w:name w:val="CM6"/>
    <w:basedOn w:val="62"/>
    <w:next w:val="62"/>
    <w:semiHidden/>
    <w:qFormat/>
    <w:uiPriority w:val="0"/>
    <w:pPr>
      <w:spacing w:line="460" w:lineRule="atLeast"/>
    </w:pPr>
    <w:rPr>
      <w:rFonts w:ascii="Times New Roman"/>
      <w:color w:val="auto"/>
    </w:rPr>
  </w:style>
  <w:style w:type="paragraph" w:customStyle="1" w:styleId="904">
    <w:name w:val="CM7"/>
    <w:basedOn w:val="62"/>
    <w:next w:val="62"/>
    <w:semiHidden/>
    <w:qFormat/>
    <w:uiPriority w:val="0"/>
    <w:pPr>
      <w:spacing w:line="460" w:lineRule="atLeast"/>
    </w:pPr>
    <w:rPr>
      <w:rFonts w:ascii="Times New Roman"/>
      <w:color w:val="auto"/>
    </w:rPr>
  </w:style>
  <w:style w:type="character" w:customStyle="1" w:styleId="905">
    <w:name w:val="题注 Char1 Char"/>
    <w:basedOn w:val="109"/>
    <w:semiHidden/>
    <w:qFormat/>
    <w:uiPriority w:val="0"/>
    <w:rPr>
      <w:rFonts w:eastAsia="宋体" w:cs="Arial"/>
      <w:color w:val="000000"/>
      <w:kern w:val="2"/>
      <w:sz w:val="24"/>
      <w:szCs w:val="21"/>
      <w:lang w:val="en-US" w:eastAsia="zh-CN" w:bidi="ar-SA"/>
    </w:rPr>
  </w:style>
  <w:style w:type="paragraph" w:customStyle="1" w:styleId="906">
    <w:name w:val="表文5号"/>
    <w:basedOn w:val="1"/>
    <w:semiHidden/>
    <w:qFormat/>
    <w:uiPriority w:val="0"/>
    <w:pPr>
      <w:snapToGrid w:val="0"/>
      <w:jc w:val="center"/>
    </w:pPr>
    <w:rPr>
      <w:szCs w:val="21"/>
    </w:rPr>
  </w:style>
  <w:style w:type="paragraph" w:customStyle="1" w:styleId="907">
    <w:name w:val="CM59"/>
    <w:basedOn w:val="62"/>
    <w:next w:val="62"/>
    <w:semiHidden/>
    <w:qFormat/>
    <w:uiPriority w:val="0"/>
    <w:pPr>
      <w:spacing w:after="145"/>
    </w:pPr>
    <w:rPr>
      <w:rFonts w:ascii="Times New Roman"/>
      <w:color w:val="auto"/>
    </w:rPr>
  </w:style>
  <w:style w:type="paragraph" w:customStyle="1" w:styleId="908">
    <w:name w:val="1正文段落"/>
    <w:basedOn w:val="1"/>
    <w:link w:val="1680"/>
    <w:semiHidden/>
    <w:qFormat/>
    <w:uiPriority w:val="0"/>
    <w:pPr>
      <w:spacing w:line="360" w:lineRule="auto"/>
      <w:ind w:firstLine="480" w:firstLineChars="200"/>
    </w:pPr>
    <w:rPr>
      <w:snapToGrid w:val="0"/>
      <w:sz w:val="24"/>
      <w:szCs w:val="24"/>
    </w:rPr>
  </w:style>
  <w:style w:type="paragraph" w:customStyle="1" w:styleId="909">
    <w:name w:val="CM65"/>
    <w:basedOn w:val="62"/>
    <w:next w:val="62"/>
    <w:semiHidden/>
    <w:qFormat/>
    <w:uiPriority w:val="0"/>
    <w:pPr>
      <w:spacing w:after="52"/>
    </w:pPr>
    <w:rPr>
      <w:rFonts w:ascii="Times New Roman"/>
      <w:color w:val="auto"/>
    </w:rPr>
  </w:style>
  <w:style w:type="paragraph" w:customStyle="1" w:styleId="910">
    <w:name w:val="CM61"/>
    <w:basedOn w:val="62"/>
    <w:next w:val="62"/>
    <w:semiHidden/>
    <w:qFormat/>
    <w:uiPriority w:val="0"/>
    <w:pPr>
      <w:spacing w:after="68"/>
    </w:pPr>
    <w:rPr>
      <w:rFonts w:ascii="Times New Roman"/>
      <w:color w:val="auto"/>
    </w:rPr>
  </w:style>
  <w:style w:type="paragraph" w:customStyle="1" w:styleId="911">
    <w:name w:val="CM60"/>
    <w:basedOn w:val="62"/>
    <w:next w:val="62"/>
    <w:semiHidden/>
    <w:qFormat/>
    <w:uiPriority w:val="0"/>
    <w:pPr>
      <w:spacing w:after="240"/>
    </w:pPr>
    <w:rPr>
      <w:rFonts w:ascii="Times New Roman"/>
      <w:color w:val="auto"/>
    </w:rPr>
  </w:style>
  <w:style w:type="paragraph" w:customStyle="1" w:styleId="912">
    <w:name w:val="表格侧编号"/>
    <w:basedOn w:val="1"/>
    <w:next w:val="1"/>
    <w:semiHidden/>
    <w:qFormat/>
    <w:uiPriority w:val="0"/>
    <w:pPr>
      <w:jc w:val="center"/>
    </w:pPr>
    <w:rPr>
      <w:rFonts w:ascii="宋体" w:hAnsi="宋体"/>
      <w:sz w:val="24"/>
      <w:szCs w:val="24"/>
    </w:rPr>
  </w:style>
  <w:style w:type="paragraph" w:customStyle="1" w:styleId="913">
    <w:name w:val="CM63"/>
    <w:basedOn w:val="62"/>
    <w:next w:val="62"/>
    <w:semiHidden/>
    <w:qFormat/>
    <w:uiPriority w:val="0"/>
    <w:pPr>
      <w:spacing w:after="415"/>
    </w:pPr>
    <w:rPr>
      <w:rFonts w:ascii="Times New Roman"/>
      <w:color w:val="auto"/>
    </w:rPr>
  </w:style>
  <w:style w:type="paragraph" w:customStyle="1" w:styleId="914">
    <w:name w:val="CM62"/>
    <w:basedOn w:val="62"/>
    <w:next w:val="62"/>
    <w:semiHidden/>
    <w:qFormat/>
    <w:uiPriority w:val="0"/>
    <w:pPr>
      <w:spacing w:after="185"/>
    </w:pPr>
    <w:rPr>
      <w:rFonts w:ascii="Times New Roman"/>
      <w:color w:val="auto"/>
    </w:rPr>
  </w:style>
  <w:style w:type="paragraph" w:customStyle="1" w:styleId="915">
    <w:name w:val="1.5行"/>
    <w:basedOn w:val="1"/>
    <w:semiHidden/>
    <w:qFormat/>
    <w:uiPriority w:val="0"/>
    <w:pPr>
      <w:adjustRightInd w:val="0"/>
      <w:snapToGrid w:val="0"/>
      <w:spacing w:line="360" w:lineRule="auto"/>
      <w:ind w:firstLine="560" w:firstLineChars="200"/>
    </w:pPr>
    <w:rPr>
      <w:rFonts w:ascii="宋体"/>
      <w:sz w:val="28"/>
      <w:szCs w:val="24"/>
    </w:rPr>
  </w:style>
  <w:style w:type="paragraph" w:customStyle="1" w:styleId="916">
    <w:name w:val="CM64"/>
    <w:basedOn w:val="62"/>
    <w:next w:val="62"/>
    <w:semiHidden/>
    <w:qFormat/>
    <w:uiPriority w:val="0"/>
    <w:pPr>
      <w:spacing w:after="5355"/>
    </w:pPr>
    <w:rPr>
      <w:rFonts w:ascii="Times New Roman"/>
      <w:color w:val="auto"/>
    </w:rPr>
  </w:style>
  <w:style w:type="paragraph" w:customStyle="1" w:styleId="917">
    <w:name w:val="CM35"/>
    <w:basedOn w:val="62"/>
    <w:next w:val="62"/>
    <w:semiHidden/>
    <w:qFormat/>
    <w:uiPriority w:val="0"/>
    <w:pPr>
      <w:spacing w:line="223" w:lineRule="atLeast"/>
    </w:pPr>
    <w:rPr>
      <w:rFonts w:ascii="Times New Roman"/>
      <w:color w:val="auto"/>
    </w:rPr>
  </w:style>
  <w:style w:type="paragraph" w:customStyle="1" w:styleId="918">
    <w:name w:val="CM36"/>
    <w:basedOn w:val="62"/>
    <w:next w:val="62"/>
    <w:semiHidden/>
    <w:qFormat/>
    <w:uiPriority w:val="0"/>
    <w:pPr>
      <w:spacing w:line="266" w:lineRule="atLeast"/>
    </w:pPr>
    <w:rPr>
      <w:rFonts w:ascii="Times New Roman"/>
      <w:color w:val="auto"/>
    </w:rPr>
  </w:style>
  <w:style w:type="paragraph" w:customStyle="1" w:styleId="919">
    <w:name w:val="CM39"/>
    <w:basedOn w:val="62"/>
    <w:next w:val="62"/>
    <w:semiHidden/>
    <w:qFormat/>
    <w:uiPriority w:val="0"/>
    <w:pPr>
      <w:spacing w:line="271" w:lineRule="atLeast"/>
    </w:pPr>
    <w:rPr>
      <w:rFonts w:ascii="Times New Roman"/>
      <w:color w:val="auto"/>
    </w:rPr>
  </w:style>
  <w:style w:type="paragraph" w:customStyle="1" w:styleId="920">
    <w:name w:val="CM40"/>
    <w:basedOn w:val="62"/>
    <w:next w:val="62"/>
    <w:semiHidden/>
    <w:qFormat/>
    <w:uiPriority w:val="0"/>
    <w:pPr>
      <w:spacing w:line="280" w:lineRule="atLeast"/>
    </w:pPr>
    <w:rPr>
      <w:rFonts w:ascii="Times New Roman"/>
      <w:color w:val="auto"/>
    </w:rPr>
  </w:style>
  <w:style w:type="paragraph" w:customStyle="1" w:styleId="921">
    <w:name w:val="CM42"/>
    <w:basedOn w:val="62"/>
    <w:next w:val="62"/>
    <w:semiHidden/>
    <w:qFormat/>
    <w:uiPriority w:val="0"/>
    <w:pPr>
      <w:spacing w:line="236" w:lineRule="atLeast"/>
    </w:pPr>
    <w:rPr>
      <w:rFonts w:ascii="Times New Roman"/>
      <w:color w:val="auto"/>
    </w:rPr>
  </w:style>
  <w:style w:type="paragraph" w:customStyle="1" w:styleId="922">
    <w:name w:val="CM66"/>
    <w:basedOn w:val="62"/>
    <w:next w:val="62"/>
    <w:semiHidden/>
    <w:qFormat/>
    <w:uiPriority w:val="0"/>
    <w:pPr>
      <w:spacing w:after="830"/>
    </w:pPr>
    <w:rPr>
      <w:rFonts w:ascii="Times New Roman"/>
      <w:color w:val="auto"/>
    </w:rPr>
  </w:style>
  <w:style w:type="paragraph" w:customStyle="1" w:styleId="923">
    <w:name w:val="CM44"/>
    <w:basedOn w:val="62"/>
    <w:next w:val="62"/>
    <w:semiHidden/>
    <w:qFormat/>
    <w:uiPriority w:val="0"/>
    <w:rPr>
      <w:rFonts w:ascii="Times New Roman"/>
      <w:color w:val="auto"/>
    </w:rPr>
  </w:style>
  <w:style w:type="paragraph" w:customStyle="1" w:styleId="924">
    <w:name w:val="CM48"/>
    <w:basedOn w:val="62"/>
    <w:next w:val="62"/>
    <w:semiHidden/>
    <w:qFormat/>
    <w:uiPriority w:val="0"/>
    <w:pPr>
      <w:spacing w:line="460" w:lineRule="atLeast"/>
    </w:pPr>
    <w:rPr>
      <w:rFonts w:ascii="Times New Roman"/>
      <w:color w:val="auto"/>
    </w:rPr>
  </w:style>
  <w:style w:type="paragraph" w:customStyle="1" w:styleId="925">
    <w:name w:val="CM49"/>
    <w:basedOn w:val="62"/>
    <w:next w:val="62"/>
    <w:semiHidden/>
    <w:qFormat/>
    <w:uiPriority w:val="0"/>
    <w:pPr>
      <w:spacing w:line="460" w:lineRule="atLeast"/>
    </w:pPr>
    <w:rPr>
      <w:rFonts w:ascii="Times New Roman"/>
      <w:color w:val="auto"/>
    </w:rPr>
  </w:style>
  <w:style w:type="paragraph" w:customStyle="1" w:styleId="926">
    <w:name w:val="表格文字1"/>
    <w:basedOn w:val="1"/>
    <w:semiHidden/>
    <w:qFormat/>
    <w:uiPriority w:val="0"/>
    <w:pPr>
      <w:autoSpaceDE w:val="0"/>
      <w:autoSpaceDN w:val="0"/>
      <w:adjustRightInd w:val="0"/>
      <w:jc w:val="center"/>
    </w:pPr>
    <w:rPr>
      <w:rFonts w:ascii="宋体" w:hAnsi="宋体"/>
      <w:snapToGrid w:val="0"/>
    </w:rPr>
  </w:style>
  <w:style w:type="paragraph" w:customStyle="1" w:styleId="927">
    <w:name w:val="二级标题 Char Char Char"/>
    <w:basedOn w:val="1"/>
    <w:next w:val="1"/>
    <w:semiHidden/>
    <w:qFormat/>
    <w:uiPriority w:val="0"/>
    <w:pPr>
      <w:spacing w:line="529" w:lineRule="exact"/>
      <w:ind w:firstLine="200" w:firstLineChars="200"/>
    </w:pPr>
    <w:rPr>
      <w:rFonts w:ascii="宋体" w:hAnsi="宋体" w:cs="宋体"/>
      <w:sz w:val="24"/>
      <w:szCs w:val="24"/>
    </w:rPr>
  </w:style>
  <w:style w:type="paragraph" w:customStyle="1" w:styleId="928">
    <w:name w:val="Char Char Char1 Char"/>
    <w:basedOn w:val="1"/>
    <w:semiHidden/>
    <w:qFormat/>
    <w:uiPriority w:val="0"/>
    <w:rPr>
      <w:szCs w:val="24"/>
    </w:rPr>
  </w:style>
  <w:style w:type="paragraph" w:customStyle="1" w:styleId="929">
    <w:name w:val="列出段落1"/>
    <w:basedOn w:val="1"/>
    <w:semiHidden/>
    <w:qFormat/>
    <w:uiPriority w:val="0"/>
    <w:pPr>
      <w:ind w:firstLine="420" w:firstLineChars="200"/>
    </w:pPr>
  </w:style>
  <w:style w:type="paragraph" w:customStyle="1" w:styleId="930">
    <w:name w:val="样式 (符号) 宋体 行距: 最小值 12 磅"/>
    <w:basedOn w:val="1"/>
    <w:semiHidden/>
    <w:qFormat/>
    <w:uiPriority w:val="0"/>
    <w:pPr>
      <w:spacing w:line="360" w:lineRule="auto"/>
    </w:pPr>
    <w:rPr>
      <w:rFonts w:hAnsi="宋体" w:cs="宋体"/>
      <w:sz w:val="24"/>
    </w:rPr>
  </w:style>
  <w:style w:type="paragraph" w:customStyle="1" w:styleId="931">
    <w:name w:val="样式 首行缩进:  1.71 字符"/>
    <w:basedOn w:val="1"/>
    <w:semiHidden/>
    <w:qFormat/>
    <w:uiPriority w:val="0"/>
    <w:pPr>
      <w:spacing w:line="360" w:lineRule="auto"/>
      <w:ind w:right="26" w:firstLine="410" w:firstLineChars="171"/>
    </w:pPr>
    <w:rPr>
      <w:rFonts w:hAnsi="宋体"/>
      <w:color w:val="000000"/>
      <w:sz w:val="24"/>
    </w:rPr>
  </w:style>
  <w:style w:type="character" w:customStyle="1" w:styleId="932">
    <w:name w:val="图表标题 Char"/>
    <w:basedOn w:val="109"/>
    <w:link w:val="867"/>
    <w:semiHidden/>
    <w:qFormat/>
    <w:uiPriority w:val="0"/>
    <w:rPr>
      <w:rFonts w:ascii="宋体" w:hAnsi="宋体"/>
      <w:b/>
      <w:sz w:val="24"/>
      <w:szCs w:val="24"/>
    </w:rPr>
  </w:style>
  <w:style w:type="paragraph" w:customStyle="1" w:styleId="933">
    <w:name w:val="xl109"/>
    <w:basedOn w:val="1"/>
    <w:qFormat/>
    <w:uiPriority w:val="0"/>
    <w:pPr>
      <w:pBdr>
        <w:left w:val="single" w:color="auto" w:sz="8" w:space="0"/>
        <w:bottom w:val="single" w:color="auto" w:sz="8" w:space="0"/>
        <w:right w:val="single" w:color="auto" w:sz="8" w:space="0"/>
      </w:pBdr>
      <w:spacing w:before="100" w:beforeAutospacing="1" w:after="100" w:afterAutospacing="1"/>
    </w:pPr>
    <w:rPr>
      <w:color w:val="000000"/>
      <w:szCs w:val="21"/>
    </w:rPr>
  </w:style>
  <w:style w:type="paragraph" w:customStyle="1" w:styleId="934">
    <w:name w:val="xl110"/>
    <w:basedOn w:val="1"/>
    <w:qFormat/>
    <w:uiPriority w:val="0"/>
    <w:pPr>
      <w:pBdr>
        <w:left w:val="single" w:color="auto" w:sz="12" w:space="0"/>
        <w:right w:val="single" w:color="auto" w:sz="8" w:space="0"/>
      </w:pBdr>
      <w:spacing w:before="100" w:beforeAutospacing="1" w:after="100" w:afterAutospacing="1"/>
    </w:pPr>
    <w:rPr>
      <w:rFonts w:ascii="宋体" w:hAnsi="宋体" w:cs="宋体"/>
      <w:color w:val="000000"/>
      <w:szCs w:val="21"/>
    </w:rPr>
  </w:style>
  <w:style w:type="paragraph" w:customStyle="1" w:styleId="935">
    <w:name w:val="xl111"/>
    <w:basedOn w:val="1"/>
    <w:qFormat/>
    <w:uiPriority w:val="0"/>
    <w:pPr>
      <w:pBdr>
        <w:top w:val="single" w:color="auto" w:sz="8" w:space="0"/>
        <w:left w:val="single" w:color="auto" w:sz="8" w:space="0"/>
        <w:right w:val="single" w:color="auto" w:sz="8" w:space="0"/>
      </w:pBdr>
      <w:spacing w:before="100" w:beforeAutospacing="1" w:after="100" w:afterAutospacing="1"/>
      <w:jc w:val="center"/>
    </w:pPr>
    <w:rPr>
      <w:color w:val="000000"/>
      <w:szCs w:val="21"/>
    </w:rPr>
  </w:style>
  <w:style w:type="paragraph" w:customStyle="1" w:styleId="936">
    <w:name w:val="xl112"/>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color w:val="000000"/>
      <w:szCs w:val="21"/>
    </w:rPr>
  </w:style>
  <w:style w:type="paragraph" w:customStyle="1" w:styleId="937">
    <w:name w:val="xl113"/>
    <w:basedOn w:val="1"/>
    <w:qFormat/>
    <w:uiPriority w:val="0"/>
    <w:pPr>
      <w:pBdr>
        <w:top w:val="single" w:color="auto" w:sz="8" w:space="0"/>
        <w:right w:val="single" w:color="auto" w:sz="8" w:space="0"/>
      </w:pBdr>
      <w:spacing w:before="100" w:beforeAutospacing="1" w:after="100" w:afterAutospacing="1"/>
      <w:jc w:val="center"/>
    </w:pPr>
    <w:rPr>
      <w:rFonts w:ascii="宋体" w:hAnsi="宋体" w:cs="宋体"/>
      <w:color w:val="000000"/>
      <w:szCs w:val="21"/>
    </w:rPr>
  </w:style>
  <w:style w:type="paragraph" w:customStyle="1" w:styleId="938">
    <w:name w:val="xl114"/>
    <w:basedOn w:val="1"/>
    <w:qFormat/>
    <w:uiPriority w:val="0"/>
    <w:pPr>
      <w:pBdr>
        <w:top w:val="single" w:color="auto" w:sz="8" w:space="0"/>
        <w:left w:val="single" w:color="auto" w:sz="8" w:space="0"/>
      </w:pBdr>
      <w:spacing w:before="100" w:beforeAutospacing="1" w:after="100" w:afterAutospacing="1"/>
      <w:jc w:val="center"/>
    </w:pPr>
    <w:rPr>
      <w:color w:val="000000"/>
      <w:szCs w:val="21"/>
    </w:rPr>
  </w:style>
  <w:style w:type="paragraph" w:customStyle="1" w:styleId="939">
    <w:name w:val="xl115"/>
    <w:basedOn w:val="1"/>
    <w:qFormat/>
    <w:uiPriority w:val="0"/>
    <w:pPr>
      <w:pBdr>
        <w:left w:val="single" w:color="auto" w:sz="8" w:space="0"/>
        <w:bottom w:val="single" w:color="auto" w:sz="8" w:space="0"/>
      </w:pBdr>
      <w:spacing w:before="100" w:beforeAutospacing="1" w:after="100" w:afterAutospacing="1"/>
      <w:jc w:val="center"/>
    </w:pPr>
    <w:rPr>
      <w:color w:val="000000"/>
      <w:szCs w:val="21"/>
    </w:rPr>
  </w:style>
  <w:style w:type="paragraph" w:customStyle="1" w:styleId="940">
    <w:name w:val="xl116"/>
    <w:basedOn w:val="1"/>
    <w:qFormat/>
    <w:uiPriority w:val="0"/>
    <w:pPr>
      <w:pBdr>
        <w:left w:val="single" w:color="auto" w:sz="8" w:space="0"/>
      </w:pBdr>
      <w:spacing w:before="100" w:beforeAutospacing="1" w:after="100" w:afterAutospacing="1"/>
      <w:jc w:val="center"/>
      <w:textAlignment w:val="top"/>
    </w:pPr>
    <w:rPr>
      <w:color w:val="000000"/>
      <w:szCs w:val="21"/>
    </w:rPr>
  </w:style>
  <w:style w:type="paragraph" w:customStyle="1" w:styleId="941">
    <w:name w:val="xl117"/>
    <w:basedOn w:val="1"/>
    <w:qFormat/>
    <w:uiPriority w:val="0"/>
    <w:pPr>
      <w:spacing w:before="100" w:beforeAutospacing="1" w:after="100" w:afterAutospacing="1"/>
      <w:jc w:val="center"/>
      <w:textAlignment w:val="top"/>
    </w:pPr>
    <w:rPr>
      <w:color w:val="000000"/>
      <w:szCs w:val="21"/>
    </w:rPr>
  </w:style>
  <w:style w:type="paragraph" w:customStyle="1" w:styleId="942">
    <w:name w:val="xl118"/>
    <w:basedOn w:val="1"/>
    <w:qFormat/>
    <w:uiPriority w:val="0"/>
    <w:pPr>
      <w:pBdr>
        <w:right w:val="single" w:color="auto" w:sz="8" w:space="0"/>
      </w:pBdr>
      <w:spacing w:before="100" w:beforeAutospacing="1" w:after="100" w:afterAutospacing="1"/>
      <w:jc w:val="center"/>
      <w:textAlignment w:val="top"/>
    </w:pPr>
    <w:rPr>
      <w:color w:val="000000"/>
      <w:szCs w:val="21"/>
    </w:rPr>
  </w:style>
  <w:style w:type="paragraph" w:customStyle="1" w:styleId="943">
    <w:name w:val="xl119"/>
    <w:basedOn w:val="1"/>
    <w:qFormat/>
    <w:uiPriority w:val="0"/>
    <w:pPr>
      <w:pBdr>
        <w:left w:val="single" w:color="auto" w:sz="8" w:space="0"/>
        <w:bottom w:val="single" w:color="auto" w:sz="12" w:space="0"/>
      </w:pBdr>
      <w:spacing w:before="100" w:beforeAutospacing="1" w:after="100" w:afterAutospacing="1"/>
      <w:jc w:val="center"/>
      <w:textAlignment w:val="top"/>
    </w:pPr>
    <w:rPr>
      <w:color w:val="000000"/>
      <w:szCs w:val="21"/>
    </w:rPr>
  </w:style>
  <w:style w:type="paragraph" w:customStyle="1" w:styleId="944">
    <w:name w:val="xl120"/>
    <w:basedOn w:val="1"/>
    <w:qFormat/>
    <w:uiPriority w:val="0"/>
    <w:pPr>
      <w:pBdr>
        <w:bottom w:val="single" w:color="auto" w:sz="12" w:space="0"/>
      </w:pBdr>
      <w:spacing w:before="100" w:beforeAutospacing="1" w:after="100" w:afterAutospacing="1"/>
      <w:jc w:val="center"/>
      <w:textAlignment w:val="top"/>
    </w:pPr>
    <w:rPr>
      <w:color w:val="000000"/>
      <w:szCs w:val="21"/>
    </w:rPr>
  </w:style>
  <w:style w:type="paragraph" w:customStyle="1" w:styleId="945">
    <w:name w:val="xl121"/>
    <w:basedOn w:val="1"/>
    <w:qFormat/>
    <w:uiPriority w:val="0"/>
    <w:pPr>
      <w:pBdr>
        <w:bottom w:val="single" w:color="auto" w:sz="12" w:space="0"/>
        <w:right w:val="single" w:color="auto" w:sz="8" w:space="0"/>
      </w:pBdr>
      <w:spacing w:before="100" w:beforeAutospacing="1" w:after="100" w:afterAutospacing="1"/>
      <w:jc w:val="center"/>
      <w:textAlignment w:val="top"/>
    </w:pPr>
    <w:rPr>
      <w:color w:val="000000"/>
      <w:szCs w:val="21"/>
    </w:rPr>
  </w:style>
  <w:style w:type="paragraph" w:customStyle="1" w:styleId="946">
    <w:name w:val="xl122"/>
    <w:basedOn w:val="1"/>
    <w:qFormat/>
    <w:uiPriority w:val="0"/>
    <w:pPr>
      <w:pBdr>
        <w:left w:val="single" w:color="auto" w:sz="8" w:space="0"/>
        <w:bottom w:val="single" w:color="auto" w:sz="12" w:space="0"/>
      </w:pBdr>
      <w:spacing w:before="100" w:beforeAutospacing="1" w:after="100" w:afterAutospacing="1"/>
      <w:jc w:val="center"/>
    </w:pPr>
    <w:rPr>
      <w:rFonts w:ascii="宋体" w:hAnsi="宋体" w:cs="宋体"/>
      <w:sz w:val="24"/>
      <w:szCs w:val="24"/>
    </w:rPr>
  </w:style>
  <w:style w:type="paragraph" w:customStyle="1" w:styleId="947">
    <w:name w:val="xl123"/>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top"/>
    </w:pPr>
    <w:rPr>
      <w:color w:val="000000"/>
      <w:szCs w:val="21"/>
    </w:rPr>
  </w:style>
  <w:style w:type="paragraph" w:customStyle="1" w:styleId="948">
    <w:name w:val="xl124"/>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top"/>
    </w:pPr>
    <w:rPr>
      <w:color w:val="000000"/>
      <w:szCs w:val="21"/>
    </w:rPr>
  </w:style>
  <w:style w:type="paragraph" w:customStyle="1" w:styleId="949">
    <w:name w:val="xl125"/>
    <w:basedOn w:val="1"/>
    <w:qFormat/>
    <w:uiPriority w:val="0"/>
    <w:pPr>
      <w:pBdr>
        <w:left w:val="single" w:color="auto" w:sz="8" w:space="0"/>
      </w:pBdr>
      <w:spacing w:before="100" w:beforeAutospacing="1" w:after="100" w:afterAutospacing="1"/>
      <w:jc w:val="center"/>
      <w:textAlignment w:val="top"/>
    </w:pPr>
    <w:rPr>
      <w:rFonts w:ascii="宋体" w:hAnsi="宋体" w:cs="宋体"/>
      <w:color w:val="000000"/>
      <w:szCs w:val="21"/>
    </w:rPr>
  </w:style>
  <w:style w:type="character" w:customStyle="1" w:styleId="950">
    <w:name w:val="h31"/>
    <w:basedOn w:val="109"/>
    <w:semiHidden/>
    <w:qFormat/>
    <w:uiPriority w:val="0"/>
    <w:rPr>
      <w:rFonts w:eastAsia="宋体"/>
      <w:color w:val="000000"/>
      <w:kern w:val="2"/>
      <w:sz w:val="21"/>
      <w:szCs w:val="21"/>
      <w:lang w:val="en-US" w:eastAsia="zh-CN" w:bidi="ar-SA"/>
    </w:rPr>
  </w:style>
  <w:style w:type="paragraph" w:customStyle="1" w:styleId="951">
    <w:name w:val="解  正文"/>
    <w:basedOn w:val="1"/>
    <w:semiHidden/>
    <w:qFormat/>
    <w:uiPriority w:val="0"/>
    <w:pPr>
      <w:adjustRightInd w:val="0"/>
      <w:snapToGrid w:val="0"/>
      <w:spacing w:line="360" w:lineRule="auto"/>
      <w:ind w:firstLine="480" w:firstLineChars="200"/>
    </w:pPr>
    <w:rPr>
      <w:rFonts w:eastAsia="仿宋_GB2312"/>
      <w:sz w:val="24"/>
      <w:szCs w:val="24"/>
    </w:rPr>
  </w:style>
  <w:style w:type="paragraph" w:customStyle="1" w:styleId="952">
    <w:name w:val="默认段落字体 Para Char Char Char Char Char Char Char"/>
    <w:basedOn w:val="1"/>
    <w:semiHidden/>
    <w:qFormat/>
    <w:uiPriority w:val="0"/>
    <w:pPr>
      <w:spacing w:line="360" w:lineRule="auto"/>
      <w:ind w:firstLine="200" w:firstLineChars="200"/>
    </w:pPr>
    <w:rPr>
      <w:rFonts w:ascii="宋体" w:hAnsi="宋体" w:cs="宋体"/>
      <w:sz w:val="24"/>
      <w:szCs w:val="24"/>
    </w:rPr>
  </w:style>
  <w:style w:type="paragraph" w:customStyle="1" w:styleId="953">
    <w:name w:val="表格结尾"/>
    <w:basedOn w:val="1"/>
    <w:next w:val="1"/>
    <w:semiHidden/>
    <w:qFormat/>
    <w:uiPriority w:val="0"/>
    <w:pPr>
      <w:snapToGrid w:val="0"/>
      <w:spacing w:line="0" w:lineRule="atLeast"/>
    </w:pPr>
    <w:rPr>
      <w:rFonts w:ascii="Arial" w:hAnsi="Arial"/>
      <w:sz w:val="10"/>
      <w:szCs w:val="24"/>
    </w:rPr>
  </w:style>
  <w:style w:type="paragraph" w:customStyle="1" w:styleId="954">
    <w:name w:val="图表"/>
    <w:basedOn w:val="127"/>
    <w:semiHidden/>
    <w:qFormat/>
    <w:uiPriority w:val="0"/>
    <w:pPr>
      <w:tabs>
        <w:tab w:val="clear" w:pos="360"/>
        <w:tab w:val="clear" w:pos="1620"/>
      </w:tabs>
      <w:spacing w:line="240" w:lineRule="auto"/>
      <w:ind w:firstLine="0" w:firstLineChars="0"/>
    </w:pPr>
    <w:rPr>
      <w:rFonts w:ascii="Times New Roman" w:eastAsia="仿宋_GB2312"/>
      <w:snapToGrid w:val="0"/>
      <w:color w:val="000000"/>
      <w:spacing w:val="6"/>
      <w:sz w:val="21"/>
      <w:szCs w:val="21"/>
    </w:rPr>
  </w:style>
  <w:style w:type="paragraph" w:customStyle="1" w:styleId="955">
    <w:name w:val="标题111 Char Char Char Char Char Char Char"/>
    <w:basedOn w:val="1"/>
    <w:semiHidden/>
    <w:qFormat/>
    <w:uiPriority w:val="0"/>
    <w:pPr>
      <w:spacing w:before="60" w:line="460" w:lineRule="atLeast"/>
      <w:ind w:firstLine="200" w:firstLineChars="200"/>
    </w:pPr>
    <w:rPr>
      <w:rFonts w:ascii="宋体" w:hAnsi="宋体" w:cs="宋体"/>
      <w:sz w:val="24"/>
      <w:szCs w:val="24"/>
    </w:rPr>
  </w:style>
  <w:style w:type="character" w:customStyle="1" w:styleId="956">
    <w:name w:val="图表注 Char1"/>
    <w:basedOn w:val="109"/>
    <w:semiHidden/>
    <w:qFormat/>
    <w:uiPriority w:val="0"/>
    <w:rPr>
      <w:rFonts w:ascii="Times New Roman" w:hAnsi="Times New Roman" w:eastAsia="宋体" w:cs="Times New Roman"/>
      <w:b/>
      <w:color w:val="000000"/>
      <w:sz w:val="24"/>
      <w:szCs w:val="24"/>
    </w:rPr>
  </w:style>
  <w:style w:type="character" w:customStyle="1" w:styleId="957">
    <w:name w:val="文档结构图 字符"/>
    <w:basedOn w:val="109"/>
    <w:link w:val="22"/>
    <w:semiHidden/>
    <w:qFormat/>
    <w:uiPriority w:val="0"/>
    <w:rPr>
      <w:shd w:val="clear" w:color="auto" w:fill="000080"/>
    </w:rPr>
  </w:style>
  <w:style w:type="paragraph" w:customStyle="1" w:styleId="958">
    <w:name w:val="样式13"/>
    <w:basedOn w:val="19"/>
    <w:link w:val="2027"/>
    <w:semiHidden/>
    <w:qFormat/>
    <w:uiPriority w:val="0"/>
    <w:pPr>
      <w:spacing w:beforeLines="50" w:afterLines="50" w:line="320" w:lineRule="exact"/>
    </w:pPr>
    <w:rPr>
      <w:rFonts w:ascii="Times New Roman" w:hAnsi="Times New Roman" w:eastAsia="Times New Roman"/>
      <w:sz w:val="24"/>
      <w:szCs w:val="24"/>
    </w:rPr>
  </w:style>
  <w:style w:type="paragraph" w:customStyle="1" w:styleId="959">
    <w:name w:val="样式 题注图表注题注 Char1题注 Char Char Char题注 Char11 Char题注 Char11 + ..."/>
    <w:basedOn w:val="19"/>
    <w:semiHidden/>
    <w:qFormat/>
    <w:uiPriority w:val="0"/>
    <w:pPr>
      <w:spacing w:beforeLines="50" w:afterLines="50" w:line="320" w:lineRule="exact"/>
    </w:pPr>
    <w:rPr>
      <w:rFonts w:ascii="Times New Roman" w:hAnsi="Times New Roman" w:eastAsia="Times New Roman" w:cs="宋体"/>
      <w:sz w:val="24"/>
    </w:rPr>
  </w:style>
  <w:style w:type="character" w:customStyle="1" w:styleId="960">
    <w:name w:val="Char Char12"/>
    <w:basedOn w:val="109"/>
    <w:semiHidden/>
    <w:qFormat/>
    <w:uiPriority w:val="0"/>
    <w:rPr>
      <w:rFonts w:eastAsia="宋体"/>
      <w:kern w:val="2"/>
      <w:sz w:val="21"/>
      <w:lang w:val="en-US" w:eastAsia="zh-CN" w:bidi="ar-SA"/>
    </w:rPr>
  </w:style>
  <w:style w:type="paragraph" w:customStyle="1" w:styleId="961">
    <w:name w:val="样式14"/>
    <w:basedOn w:val="488"/>
    <w:semiHidden/>
    <w:qFormat/>
    <w:uiPriority w:val="0"/>
    <w:pPr>
      <w:spacing w:line="480" w:lineRule="exact"/>
      <w:ind w:firstLine="200"/>
    </w:pPr>
  </w:style>
  <w:style w:type="paragraph" w:customStyle="1" w:styleId="962">
    <w:name w:val="样式15"/>
    <w:basedOn w:val="488"/>
    <w:link w:val="1651"/>
    <w:semiHidden/>
    <w:qFormat/>
    <w:uiPriority w:val="0"/>
    <w:pPr>
      <w:ind w:firstLine="200"/>
    </w:pPr>
  </w:style>
  <w:style w:type="paragraph" w:customStyle="1" w:styleId="963">
    <w:name w:val="标题二！！！！！"/>
    <w:basedOn w:val="3"/>
    <w:semiHidden/>
    <w:qFormat/>
    <w:uiPriority w:val="0"/>
    <w:pPr>
      <w:widowControl w:val="0"/>
      <w:spacing w:before="120" w:after="120" w:line="500" w:lineRule="exact"/>
      <w:jc w:val="both"/>
    </w:pPr>
    <w:rPr>
      <w:rFonts w:ascii="楷体_GB2312" w:hAnsi="楷体_GB2312" w:eastAsia="楷体_GB2312" w:cs="楷体_GB2312"/>
      <w:sz w:val="30"/>
    </w:rPr>
  </w:style>
  <w:style w:type="paragraph" w:customStyle="1" w:styleId="964">
    <w:name w:val="样式 标题 4"/>
    <w:basedOn w:val="5"/>
    <w:semiHidden/>
    <w:qFormat/>
    <w:uiPriority w:val="0"/>
    <w:pPr>
      <w:keepNext w:val="0"/>
      <w:keepLines w:val="0"/>
      <w:numPr>
        <w:numId w:val="0"/>
      </w:numPr>
      <w:overflowPunct w:val="0"/>
      <w:autoSpaceDE w:val="0"/>
      <w:autoSpaceDN w:val="0"/>
      <w:adjustRightInd w:val="0"/>
      <w:textAlignment w:val="baseline"/>
    </w:pPr>
    <w:rPr>
      <w:szCs w:val="20"/>
    </w:rPr>
  </w:style>
  <w:style w:type="paragraph" w:customStyle="1" w:styleId="965">
    <w:name w:val="样式 样式 标题 2节H2节标题 1.1 + Times New Roman + 段前: 0.5 行"/>
    <w:basedOn w:val="1"/>
    <w:next w:val="29"/>
    <w:semiHidden/>
    <w:qFormat/>
    <w:uiPriority w:val="0"/>
    <w:pPr>
      <w:keepNext/>
      <w:keepLines/>
      <w:spacing w:beforeLines="50" w:line="360" w:lineRule="auto"/>
      <w:ind w:left="1036" w:hanging="1036"/>
      <w:outlineLvl w:val="1"/>
    </w:pPr>
    <w:rPr>
      <w:rFonts w:eastAsia="黑体" w:cs="宋体"/>
      <w:b/>
      <w:bCs/>
      <w:sz w:val="30"/>
    </w:rPr>
  </w:style>
  <w:style w:type="paragraph" w:customStyle="1" w:styleId="966">
    <w:name w:val="正文！！！！！"/>
    <w:basedOn w:val="1"/>
    <w:link w:val="967"/>
    <w:semiHidden/>
    <w:qFormat/>
    <w:uiPriority w:val="0"/>
    <w:pPr>
      <w:adjustRightInd w:val="0"/>
      <w:snapToGrid w:val="0"/>
      <w:spacing w:line="360" w:lineRule="auto"/>
      <w:ind w:firstLine="200" w:firstLineChars="200"/>
    </w:pPr>
    <w:rPr>
      <w:rFonts w:ascii="宋体" w:hAnsi="宋体"/>
      <w:snapToGrid w:val="0"/>
      <w:sz w:val="24"/>
      <w:szCs w:val="24"/>
    </w:rPr>
  </w:style>
  <w:style w:type="character" w:customStyle="1" w:styleId="967">
    <w:name w:val="正文！！！！！ Char"/>
    <w:basedOn w:val="109"/>
    <w:link w:val="966"/>
    <w:semiHidden/>
    <w:qFormat/>
    <w:uiPriority w:val="0"/>
    <w:rPr>
      <w:rFonts w:ascii="宋体" w:hAnsi="宋体"/>
      <w:snapToGrid w:val="0"/>
      <w:sz w:val="24"/>
      <w:szCs w:val="24"/>
    </w:rPr>
  </w:style>
  <w:style w:type="paragraph" w:customStyle="1" w:styleId="968">
    <w:name w:val="正文（首行缩进）"/>
    <w:basedOn w:val="1"/>
    <w:link w:val="969"/>
    <w:semiHidden/>
    <w:qFormat/>
    <w:uiPriority w:val="0"/>
    <w:pPr>
      <w:snapToGrid w:val="0"/>
      <w:ind w:firstLine="480" w:firstLineChars="200"/>
      <w:jc w:val="center"/>
    </w:pPr>
    <w:rPr>
      <w:rFonts w:eastAsia="黑体"/>
      <w:color w:val="000000"/>
      <w:sz w:val="24"/>
      <w:szCs w:val="24"/>
    </w:rPr>
  </w:style>
  <w:style w:type="character" w:customStyle="1" w:styleId="969">
    <w:name w:val="正文（首行缩进） Char"/>
    <w:basedOn w:val="109"/>
    <w:link w:val="968"/>
    <w:semiHidden/>
    <w:qFormat/>
    <w:uiPriority w:val="0"/>
    <w:rPr>
      <w:rFonts w:eastAsia="黑体"/>
      <w:color w:val="000000"/>
      <w:sz w:val="24"/>
      <w:szCs w:val="24"/>
    </w:rPr>
  </w:style>
  <w:style w:type="paragraph" w:customStyle="1" w:styleId="970">
    <w:name w:val="自定义标题1"/>
    <w:basedOn w:val="1"/>
    <w:next w:val="280"/>
    <w:semiHidden/>
    <w:qFormat/>
    <w:uiPriority w:val="0"/>
    <w:pPr>
      <w:tabs>
        <w:tab w:val="left" w:pos="360"/>
        <w:tab w:val="left" w:pos="567"/>
      </w:tabs>
      <w:adjustRightInd w:val="0"/>
      <w:spacing w:before="400" w:line="480" w:lineRule="atLeast"/>
      <w:textAlignment w:val="bottom"/>
    </w:pPr>
    <w:rPr>
      <w:rFonts w:ascii="Arial" w:hAnsi="Arial" w:eastAsia="黑体"/>
      <w:b/>
      <w:color w:val="0000FF"/>
      <w:sz w:val="32"/>
    </w:rPr>
  </w:style>
  <w:style w:type="paragraph" w:customStyle="1" w:styleId="971">
    <w:name w:val="Char Char Char Char Char Char Char Char Char Char Char Char Char Char Char Char Char Char Char Char Char Char Char Char"/>
    <w:basedOn w:val="1"/>
    <w:semiHidden/>
    <w:qFormat/>
    <w:uiPriority w:val="0"/>
    <w:pPr>
      <w:spacing w:line="360" w:lineRule="auto"/>
    </w:pPr>
    <w:rPr>
      <w:szCs w:val="21"/>
    </w:rPr>
  </w:style>
  <w:style w:type="paragraph" w:customStyle="1" w:styleId="972">
    <w:name w:val="Char Char Char Char Char Char Char Char Char Char Char Char Char Char Char Char Char Char Char Char Char Char Char Char2"/>
    <w:basedOn w:val="1"/>
    <w:semiHidden/>
    <w:qFormat/>
    <w:uiPriority w:val="0"/>
    <w:pPr>
      <w:spacing w:line="360" w:lineRule="auto"/>
    </w:pPr>
    <w:rPr>
      <w:szCs w:val="21"/>
    </w:rPr>
  </w:style>
  <w:style w:type="paragraph" w:customStyle="1" w:styleId="973">
    <w:name w:val="Char Char Char Char Char Char Char Char Char Char Char Char Char Char Char Char Char Char Char Char Char Char Char Char1"/>
    <w:basedOn w:val="1"/>
    <w:semiHidden/>
    <w:qFormat/>
    <w:uiPriority w:val="0"/>
    <w:pPr>
      <w:spacing w:line="360" w:lineRule="auto"/>
    </w:pPr>
    <w:rPr>
      <w:szCs w:val="21"/>
    </w:rPr>
  </w:style>
  <w:style w:type="paragraph" w:customStyle="1" w:styleId="974">
    <w:name w:val="兴化美联正文样式"/>
    <w:basedOn w:val="1"/>
    <w:link w:val="1311"/>
    <w:semiHidden/>
    <w:qFormat/>
    <w:uiPriority w:val="0"/>
    <w:pPr>
      <w:spacing w:line="360" w:lineRule="auto"/>
      <w:ind w:firstLine="480" w:firstLineChars="200"/>
    </w:pPr>
    <w:rPr>
      <w:rFonts w:ascii="宋体" w:hAnsi="宋体" w:cs="宋体"/>
      <w:sz w:val="24"/>
      <w:szCs w:val="24"/>
    </w:rPr>
  </w:style>
  <w:style w:type="paragraph" w:customStyle="1" w:styleId="975">
    <w:name w:val="表格文字居中"/>
    <w:basedOn w:val="1"/>
    <w:next w:val="131"/>
    <w:semiHidden/>
    <w:qFormat/>
    <w:uiPriority w:val="0"/>
    <w:pPr>
      <w:keepNext/>
      <w:tabs>
        <w:tab w:val="left" w:pos="628"/>
        <w:tab w:val="left" w:pos="1727"/>
        <w:tab w:val="left" w:pos="1884"/>
      </w:tabs>
      <w:adjustRightInd w:val="0"/>
      <w:snapToGrid w:val="0"/>
      <w:jc w:val="center"/>
    </w:pPr>
    <w:rPr>
      <w:rFonts w:ascii="宋体" w:hAnsi="宋体" w:cs="Arial"/>
      <w:bCs/>
      <w:color w:val="FF0000"/>
      <w:szCs w:val="21"/>
    </w:rPr>
  </w:style>
  <w:style w:type="character" w:customStyle="1" w:styleId="976">
    <w:name w:val="样式1.1.1三级标题 Char Char"/>
    <w:basedOn w:val="109"/>
    <w:semiHidden/>
    <w:qFormat/>
    <w:uiPriority w:val="0"/>
    <w:rPr>
      <w:rFonts w:ascii="宋体" w:hAnsi="宋体" w:cs="宋体"/>
      <w:b/>
      <w:sz w:val="28"/>
      <w:szCs w:val="24"/>
    </w:rPr>
  </w:style>
  <w:style w:type="paragraph" w:customStyle="1" w:styleId="977">
    <w:name w:val="T正文"/>
    <w:basedOn w:val="1"/>
    <w:link w:val="978"/>
    <w:semiHidden/>
    <w:qFormat/>
    <w:uiPriority w:val="0"/>
    <w:pPr>
      <w:spacing w:line="360" w:lineRule="auto"/>
      <w:ind w:firstLine="480" w:firstLineChars="200"/>
    </w:pPr>
    <w:rPr>
      <w:rFonts w:hAnsi="宋体"/>
      <w:sz w:val="24"/>
      <w:szCs w:val="24"/>
    </w:rPr>
  </w:style>
  <w:style w:type="character" w:customStyle="1" w:styleId="978">
    <w:name w:val="T正文 Char"/>
    <w:basedOn w:val="109"/>
    <w:link w:val="977"/>
    <w:semiHidden/>
    <w:qFormat/>
    <w:uiPriority w:val="0"/>
    <w:rPr>
      <w:rFonts w:hAnsi="宋体"/>
      <w:sz w:val="24"/>
      <w:szCs w:val="24"/>
    </w:rPr>
  </w:style>
  <w:style w:type="paragraph" w:customStyle="1" w:styleId="979">
    <w:name w:val="3"/>
    <w:basedOn w:val="1"/>
    <w:next w:val="29"/>
    <w:semiHidden/>
    <w:qFormat/>
    <w:uiPriority w:val="0"/>
    <w:pPr>
      <w:spacing w:line="240" w:lineRule="exact"/>
      <w:jc w:val="center"/>
    </w:pPr>
    <w:rPr>
      <w:rFonts w:eastAsia="方正仿宋简体"/>
      <w:w w:val="80"/>
      <w:szCs w:val="24"/>
    </w:rPr>
  </w:style>
  <w:style w:type="paragraph" w:customStyle="1" w:styleId="980">
    <w:name w:val="Char Char Char Char Char Char1 Char1"/>
    <w:basedOn w:val="1"/>
    <w:semiHidden/>
    <w:qFormat/>
    <w:uiPriority w:val="0"/>
    <w:rPr>
      <w:szCs w:val="24"/>
    </w:rPr>
  </w:style>
  <w:style w:type="paragraph" w:customStyle="1" w:styleId="981">
    <w:name w:val="J表"/>
    <w:basedOn w:val="1"/>
    <w:link w:val="982"/>
    <w:semiHidden/>
    <w:qFormat/>
    <w:uiPriority w:val="0"/>
    <w:pPr>
      <w:jc w:val="center"/>
    </w:pPr>
    <w:rPr>
      <w:rFonts w:eastAsia="黑体"/>
      <w:color w:val="000000"/>
      <w:sz w:val="24"/>
      <w:szCs w:val="24"/>
    </w:rPr>
  </w:style>
  <w:style w:type="character" w:customStyle="1" w:styleId="982">
    <w:name w:val="J表 Char"/>
    <w:basedOn w:val="109"/>
    <w:link w:val="981"/>
    <w:semiHidden/>
    <w:qFormat/>
    <w:uiPriority w:val="0"/>
    <w:rPr>
      <w:rFonts w:eastAsia="黑体"/>
      <w:color w:val="000000"/>
      <w:sz w:val="24"/>
      <w:szCs w:val="24"/>
    </w:rPr>
  </w:style>
  <w:style w:type="paragraph" w:customStyle="1" w:styleId="983">
    <w:name w:val="！正文"/>
    <w:basedOn w:val="1"/>
    <w:link w:val="1683"/>
    <w:semiHidden/>
    <w:qFormat/>
    <w:uiPriority w:val="0"/>
    <w:pPr>
      <w:spacing w:line="500" w:lineRule="exact"/>
      <w:ind w:firstLine="200" w:firstLineChars="200"/>
    </w:pPr>
    <w:rPr>
      <w:rFonts w:eastAsia="Times New Roman"/>
      <w:sz w:val="24"/>
      <w:szCs w:val="24"/>
    </w:rPr>
  </w:style>
  <w:style w:type="paragraph" w:customStyle="1" w:styleId="984">
    <w:name w:val="样式 样式 宋体 11 磅 首行缩进:  0.8 厘米 行距: 1.5 倍行距 + 首行缩进:  5 字符"/>
    <w:basedOn w:val="1"/>
    <w:semiHidden/>
    <w:qFormat/>
    <w:uiPriority w:val="0"/>
    <w:pPr>
      <w:spacing w:line="360" w:lineRule="auto"/>
      <w:ind w:firstLine="200" w:firstLineChars="200"/>
    </w:pPr>
    <w:rPr>
      <w:rFonts w:ascii="宋体" w:hAnsi="宋体" w:cs="宋体"/>
      <w:sz w:val="24"/>
    </w:rPr>
  </w:style>
  <w:style w:type="paragraph" w:customStyle="1" w:styleId="985">
    <w:name w:val="样式 首行缩进:  2 字符 段前: 0 磅"/>
    <w:basedOn w:val="1"/>
    <w:semiHidden/>
    <w:qFormat/>
    <w:uiPriority w:val="0"/>
    <w:pPr>
      <w:ind w:firstLine="200" w:firstLineChars="200"/>
    </w:pPr>
    <w:rPr>
      <w:rFonts w:hAnsi="宋体"/>
      <w:color w:val="000000"/>
      <w:sz w:val="28"/>
    </w:rPr>
  </w:style>
  <w:style w:type="paragraph" w:customStyle="1" w:styleId="986">
    <w:name w:val="Char Char Char Char Char Char Char Char Char4"/>
    <w:basedOn w:val="1"/>
    <w:semiHidden/>
    <w:qFormat/>
    <w:uiPriority w:val="0"/>
    <w:rPr>
      <w:szCs w:val="24"/>
    </w:rPr>
  </w:style>
  <w:style w:type="paragraph" w:customStyle="1" w:styleId="987">
    <w:name w:val="Char14"/>
    <w:basedOn w:val="1"/>
    <w:semiHidden/>
    <w:qFormat/>
    <w:uiPriority w:val="0"/>
    <w:rPr>
      <w:szCs w:val="24"/>
    </w:rPr>
  </w:style>
  <w:style w:type="paragraph" w:customStyle="1" w:styleId="988">
    <w:name w:val="Char23"/>
    <w:basedOn w:val="1"/>
    <w:semiHidden/>
    <w:qFormat/>
    <w:uiPriority w:val="0"/>
    <w:rPr>
      <w:szCs w:val="24"/>
    </w:rPr>
  </w:style>
  <w:style w:type="paragraph" w:customStyle="1" w:styleId="989">
    <w:name w:val="Char Char22"/>
    <w:basedOn w:val="1"/>
    <w:next w:val="1"/>
    <w:semiHidden/>
    <w:qFormat/>
    <w:uiPriority w:val="0"/>
    <w:pPr>
      <w:spacing w:line="360" w:lineRule="auto"/>
      <w:ind w:firstLine="200" w:firstLineChars="200"/>
    </w:pPr>
    <w:rPr>
      <w:rFonts w:ascii="宋体" w:hAnsi="宋体" w:cs="宋体"/>
      <w:sz w:val="24"/>
      <w:szCs w:val="24"/>
    </w:rPr>
  </w:style>
  <w:style w:type="character" w:customStyle="1" w:styleId="990">
    <w:name w:val="样式 标题 2节H2节标题 1.1二级标题标题 lxb21.1h2第一层条二级标题 Char表标题单位名... Char Char"/>
    <w:basedOn w:val="109"/>
    <w:semiHidden/>
    <w:qFormat/>
    <w:uiPriority w:val="0"/>
    <w:rPr>
      <w:rFonts w:ascii="黑体" w:hAnsi="宋体" w:eastAsia="黑体"/>
      <w:bCs/>
      <w:color w:val="000000"/>
      <w:kern w:val="2"/>
      <w:sz w:val="28"/>
      <w:szCs w:val="28"/>
      <w:lang w:val="en-US" w:eastAsia="zh-CN" w:bidi="ar-SA"/>
    </w:rPr>
  </w:style>
  <w:style w:type="paragraph" w:customStyle="1" w:styleId="991">
    <w:name w:val="内容样式"/>
    <w:basedOn w:val="1"/>
    <w:semiHidden/>
    <w:qFormat/>
    <w:uiPriority w:val="0"/>
    <w:pPr>
      <w:snapToGrid w:val="0"/>
      <w:spacing w:line="360" w:lineRule="auto"/>
    </w:pPr>
    <w:rPr>
      <w:rFonts w:cs="宋体"/>
      <w:sz w:val="24"/>
    </w:rPr>
  </w:style>
  <w:style w:type="paragraph" w:customStyle="1" w:styleId="992">
    <w:name w:val="样式 内容样式 + 首行缩进:  2 字符"/>
    <w:basedOn w:val="991"/>
    <w:semiHidden/>
    <w:qFormat/>
    <w:uiPriority w:val="0"/>
    <w:pPr>
      <w:ind w:firstLine="480" w:firstLineChars="200"/>
    </w:pPr>
    <w:rPr>
      <w:rFonts w:ascii="宋体"/>
      <w:szCs w:val="24"/>
    </w:rPr>
  </w:style>
  <w:style w:type="paragraph" w:customStyle="1" w:styleId="993">
    <w:name w:val="样式 正文样式 + 首行缩进:  0.74 厘米"/>
    <w:basedOn w:val="537"/>
    <w:semiHidden/>
    <w:qFormat/>
    <w:uiPriority w:val="0"/>
    <w:pPr>
      <w:snapToGrid w:val="0"/>
      <w:ind w:firstLine="420" w:firstLineChars="0"/>
    </w:pPr>
    <w:rPr>
      <w:rFonts w:hAnsi="Times New Roman" w:cs="宋体"/>
      <w:snapToGrid w:val="0"/>
      <w:color w:val="auto"/>
      <w:szCs w:val="20"/>
    </w:rPr>
  </w:style>
  <w:style w:type="character" w:customStyle="1" w:styleId="994">
    <w:name w:val="批注主题 字符"/>
    <w:basedOn w:val="109"/>
    <w:link w:val="79"/>
    <w:semiHidden/>
    <w:qFormat/>
    <w:uiPriority w:val="99"/>
    <w:rPr>
      <w:b/>
      <w:bCs/>
    </w:rPr>
  </w:style>
  <w:style w:type="character" w:customStyle="1" w:styleId="995">
    <w:name w:val="批注框文本 字符1"/>
    <w:basedOn w:val="109"/>
    <w:link w:val="48"/>
    <w:semiHidden/>
    <w:qFormat/>
    <w:uiPriority w:val="0"/>
    <w:rPr>
      <w:sz w:val="18"/>
      <w:szCs w:val="18"/>
    </w:rPr>
  </w:style>
  <w:style w:type="paragraph" w:customStyle="1" w:styleId="996">
    <w:name w:val="000000000000000000000000000000000000000"/>
    <w:basedOn w:val="1"/>
    <w:semiHidden/>
    <w:qFormat/>
    <w:uiPriority w:val="0"/>
    <w:pPr>
      <w:jc w:val="center"/>
    </w:pPr>
    <w:rPr>
      <w:rFonts w:ascii="宋体" w:hAnsi="宋体"/>
      <w:szCs w:val="21"/>
    </w:rPr>
  </w:style>
  <w:style w:type="paragraph" w:customStyle="1" w:styleId="997">
    <w:name w:val="集中供热正文"/>
    <w:basedOn w:val="1"/>
    <w:semiHidden/>
    <w:qFormat/>
    <w:uiPriority w:val="0"/>
    <w:pPr>
      <w:snapToGrid w:val="0"/>
      <w:spacing w:line="360" w:lineRule="auto"/>
      <w:ind w:firstLine="420"/>
    </w:pPr>
    <w:rPr>
      <w:rFonts w:ascii="宋体" w:cs="宋体"/>
      <w:snapToGrid w:val="0"/>
      <w:sz w:val="24"/>
    </w:rPr>
  </w:style>
  <w:style w:type="paragraph" w:customStyle="1" w:styleId="998">
    <w:name w:val="标题三！！！！！！！"/>
    <w:basedOn w:val="4"/>
    <w:semiHidden/>
    <w:qFormat/>
    <w:uiPriority w:val="0"/>
    <w:pPr>
      <w:widowControl w:val="0"/>
      <w:spacing w:line="500" w:lineRule="exact"/>
      <w:jc w:val="both"/>
    </w:pPr>
    <w:rPr>
      <w:rFonts w:ascii="楷体_GB2312" w:hAnsi="楷体_GB2312" w:eastAsia="楷体_GB2312" w:cs="楷体_GB2312"/>
      <w:sz w:val="28"/>
      <w:szCs w:val="28"/>
    </w:rPr>
  </w:style>
  <w:style w:type="paragraph" w:customStyle="1" w:styleId="999">
    <w:name w:val="默认段落字体 Para"/>
    <w:basedOn w:val="1"/>
    <w:semiHidden/>
    <w:qFormat/>
    <w:uiPriority w:val="0"/>
  </w:style>
  <w:style w:type="paragraph" w:customStyle="1" w:styleId="1000">
    <w:name w:val="正文!!!!!!!!!!!"/>
    <w:basedOn w:val="204"/>
    <w:link w:val="1001"/>
    <w:semiHidden/>
    <w:qFormat/>
    <w:uiPriority w:val="0"/>
    <w:pPr>
      <w:ind w:firstLine="480"/>
    </w:pPr>
    <w:rPr>
      <w:rFonts w:ascii="华文仿宋" w:hAnsi="华文仿宋" w:eastAsia="华文仿宋" w:cs="Times New Roman"/>
    </w:rPr>
  </w:style>
  <w:style w:type="character" w:customStyle="1" w:styleId="1001">
    <w:name w:val="正文!!!!!!!!!!! Char"/>
    <w:basedOn w:val="109"/>
    <w:link w:val="1000"/>
    <w:semiHidden/>
    <w:qFormat/>
    <w:uiPriority w:val="0"/>
    <w:rPr>
      <w:rFonts w:ascii="华文仿宋" w:hAnsi="华文仿宋" w:eastAsia="华文仿宋"/>
      <w:sz w:val="24"/>
      <w:szCs w:val="24"/>
    </w:rPr>
  </w:style>
  <w:style w:type="paragraph" w:customStyle="1" w:styleId="1002">
    <w:name w:val="样式 标题 31.1.1h3标题03三级标题标题3H33rd level第二层条ReHead 3 WSA三..."/>
    <w:basedOn w:val="5"/>
    <w:semiHidden/>
    <w:qFormat/>
    <w:uiPriority w:val="0"/>
    <w:pPr>
      <w:numPr>
        <w:ilvl w:val="0"/>
        <w:numId w:val="0"/>
      </w:numPr>
    </w:pPr>
    <w:rPr>
      <w:rFonts w:ascii="Arial" w:hAnsi="Arial" w:eastAsia="黑体" w:cs="宋体"/>
      <w:b w:val="0"/>
      <w:bCs w:val="0"/>
      <w:kern w:val="2"/>
      <w:sz w:val="28"/>
      <w:szCs w:val="20"/>
    </w:rPr>
  </w:style>
  <w:style w:type="paragraph" w:customStyle="1" w:styleId="1003">
    <w:name w:val="样式 标题 2节H2（一）Underrubrik1prop2Heading 2 HiddenHeading 2 C..."/>
    <w:basedOn w:val="3"/>
    <w:link w:val="1004"/>
    <w:semiHidden/>
    <w:qFormat/>
    <w:uiPriority w:val="0"/>
    <w:pPr>
      <w:widowControl w:val="0"/>
      <w:spacing w:line="160" w:lineRule="exact"/>
      <w:jc w:val="both"/>
    </w:pPr>
    <w:rPr>
      <w:rFonts w:ascii="宋体" w:hAnsi="宋体"/>
      <w:position w:val="-18"/>
    </w:rPr>
  </w:style>
  <w:style w:type="character" w:customStyle="1" w:styleId="1004">
    <w:name w:val="样式 标题 2节H2（一）Underrubrik1prop2Heading 2 HiddenHeading 2 C... Char"/>
    <w:basedOn w:val="109"/>
    <w:link w:val="1003"/>
    <w:semiHidden/>
    <w:qFormat/>
    <w:uiPriority w:val="0"/>
    <w:rPr>
      <w:rFonts w:ascii="宋体" w:hAnsi="宋体" w:eastAsia="黑体"/>
      <w:b/>
      <w:color w:val="000000" w:themeColor="text1"/>
      <w:position w:val="-18"/>
      <w:sz w:val="28"/>
      <w:szCs w:val="30"/>
      <w14:textFill>
        <w14:solidFill>
          <w14:schemeClr w14:val="tx1"/>
        </w14:solidFill>
      </w14:textFill>
    </w:rPr>
  </w:style>
  <w:style w:type="paragraph" w:customStyle="1" w:styleId="1005">
    <w:name w:val="表内式样"/>
    <w:basedOn w:val="1"/>
    <w:semiHidden/>
    <w:qFormat/>
    <w:uiPriority w:val="0"/>
    <w:pPr>
      <w:topLinePunct/>
      <w:adjustRightInd w:val="0"/>
      <w:snapToGrid w:val="0"/>
      <w:spacing w:line="280" w:lineRule="exact"/>
      <w:jc w:val="center"/>
    </w:pPr>
    <w:rPr>
      <w:kern w:val="21"/>
    </w:rPr>
  </w:style>
  <w:style w:type="paragraph" w:customStyle="1" w:styleId="1006">
    <w:name w:val="特殊标题３"/>
    <w:basedOn w:val="1"/>
    <w:semiHidden/>
    <w:qFormat/>
    <w:uiPriority w:val="0"/>
    <w:pPr>
      <w:overflowPunct w:val="0"/>
      <w:autoSpaceDE w:val="0"/>
      <w:autoSpaceDN w:val="0"/>
      <w:adjustRightInd w:val="0"/>
      <w:spacing w:line="360" w:lineRule="auto"/>
    </w:pPr>
    <w:rPr>
      <w:rFonts w:eastAsia="仿宋_GB2312"/>
      <w:sz w:val="28"/>
    </w:rPr>
  </w:style>
  <w:style w:type="paragraph" w:customStyle="1" w:styleId="1007">
    <w:name w:val="Char Char Char Char Char Char Char Char Char Char Char Char Char Char Char Char3"/>
    <w:basedOn w:val="1"/>
    <w:semiHidden/>
    <w:qFormat/>
    <w:uiPriority w:val="0"/>
  </w:style>
  <w:style w:type="paragraph" w:customStyle="1" w:styleId="1008">
    <w:name w:val="10"/>
    <w:basedOn w:val="1"/>
    <w:next w:val="18"/>
    <w:semiHidden/>
    <w:qFormat/>
    <w:uiPriority w:val="0"/>
    <w:pPr>
      <w:ind w:firstLine="420"/>
    </w:pPr>
    <w:rPr>
      <w:sz w:val="28"/>
    </w:rPr>
  </w:style>
  <w:style w:type="character" w:customStyle="1" w:styleId="1009">
    <w:name w:val="st"/>
    <w:basedOn w:val="109"/>
    <w:semiHidden/>
    <w:qFormat/>
    <w:uiPriority w:val="0"/>
  </w:style>
  <w:style w:type="paragraph" w:customStyle="1" w:styleId="1010">
    <w:name w:val="样式 标题 3标题 3 Char Char标题 3 Char Char Char + 首行缩进:  0 字符"/>
    <w:basedOn w:val="4"/>
    <w:semiHidden/>
    <w:qFormat/>
    <w:uiPriority w:val="0"/>
    <w:pPr>
      <w:adjustRightInd w:val="0"/>
      <w:snapToGrid w:val="0"/>
      <w:spacing w:after="160" w:line="300" w:lineRule="auto"/>
      <w:ind w:firstLine="562" w:firstLineChars="200"/>
    </w:pPr>
    <w:rPr>
      <w:rFonts w:hAnsi="宋体" w:cs="宋体"/>
      <w:color w:val="000000"/>
      <w:sz w:val="28"/>
    </w:rPr>
  </w:style>
  <w:style w:type="paragraph" w:customStyle="1" w:styleId="1011">
    <w:name w:val="2 Char Char Char Char Char Char Char Char Char Char"/>
    <w:basedOn w:val="1"/>
    <w:semiHidden/>
    <w:qFormat/>
    <w:uiPriority w:val="0"/>
    <w:pPr>
      <w:spacing w:line="360" w:lineRule="auto"/>
      <w:ind w:firstLine="200" w:firstLineChars="200"/>
    </w:pPr>
    <w:rPr>
      <w:rFonts w:ascii="宋体" w:hAnsi="宋体" w:cs="宋体"/>
      <w:sz w:val="24"/>
      <w:szCs w:val="24"/>
    </w:rPr>
  </w:style>
  <w:style w:type="character" w:customStyle="1" w:styleId="1012">
    <w:name w:val="apple-converted-space"/>
    <w:basedOn w:val="109"/>
    <w:semiHidden/>
    <w:qFormat/>
    <w:uiPriority w:val="0"/>
  </w:style>
  <w:style w:type="paragraph" w:customStyle="1" w:styleId="1013">
    <w:name w:val="NormalAppendix"/>
    <w:basedOn w:val="1"/>
    <w:semiHidden/>
    <w:qFormat/>
    <w:uiPriority w:val="0"/>
    <w:pPr>
      <w:tabs>
        <w:tab w:val="left" w:pos="1418"/>
      </w:tabs>
      <w:spacing w:before="120" w:after="120"/>
    </w:pPr>
    <w:rPr>
      <w:rFonts w:ascii="Arial" w:hAnsi="Arial"/>
      <w:sz w:val="22"/>
      <w:lang w:val="en-GB" w:eastAsia="en-US"/>
    </w:rPr>
  </w:style>
  <w:style w:type="character" w:customStyle="1" w:styleId="1014">
    <w:name w:val="缩进 Char"/>
    <w:basedOn w:val="109"/>
    <w:link w:val="1015"/>
    <w:semiHidden/>
    <w:qFormat/>
    <w:uiPriority w:val="0"/>
    <w:rPr>
      <w:sz w:val="24"/>
      <w:szCs w:val="24"/>
    </w:rPr>
  </w:style>
  <w:style w:type="paragraph" w:customStyle="1" w:styleId="1015">
    <w:name w:val="缩进"/>
    <w:basedOn w:val="1"/>
    <w:link w:val="1014"/>
    <w:semiHidden/>
    <w:qFormat/>
    <w:uiPriority w:val="0"/>
    <w:pPr>
      <w:spacing w:line="360" w:lineRule="auto"/>
      <w:ind w:firstLine="200" w:firstLineChars="200"/>
    </w:pPr>
    <w:rPr>
      <w:sz w:val="24"/>
      <w:szCs w:val="24"/>
    </w:rPr>
  </w:style>
  <w:style w:type="paragraph" w:customStyle="1" w:styleId="1016">
    <w:name w:val="表格后"/>
    <w:basedOn w:val="1"/>
    <w:next w:val="1"/>
    <w:link w:val="1017"/>
    <w:semiHidden/>
    <w:qFormat/>
    <w:uiPriority w:val="0"/>
    <w:pPr>
      <w:spacing w:beforeLines="50" w:line="360" w:lineRule="auto"/>
      <w:ind w:firstLine="200" w:firstLineChars="200"/>
    </w:pPr>
    <w:rPr>
      <w:sz w:val="24"/>
      <w:szCs w:val="24"/>
    </w:rPr>
  </w:style>
  <w:style w:type="character" w:customStyle="1" w:styleId="1017">
    <w:name w:val="表格后 Char"/>
    <w:basedOn w:val="109"/>
    <w:link w:val="1016"/>
    <w:semiHidden/>
    <w:qFormat/>
    <w:uiPriority w:val="0"/>
    <w:rPr>
      <w:sz w:val="24"/>
      <w:szCs w:val="24"/>
    </w:rPr>
  </w:style>
  <w:style w:type="paragraph" w:customStyle="1" w:styleId="1018">
    <w:name w:val="居中"/>
    <w:basedOn w:val="1"/>
    <w:next w:val="1015"/>
    <w:semiHidden/>
    <w:qFormat/>
    <w:uiPriority w:val="0"/>
    <w:pPr>
      <w:spacing w:line="360" w:lineRule="auto"/>
      <w:jc w:val="center"/>
    </w:pPr>
    <w:rPr>
      <w:sz w:val="24"/>
      <w:szCs w:val="24"/>
      <w:lang w:val="pt-BR"/>
    </w:rPr>
  </w:style>
  <w:style w:type="character" w:customStyle="1" w:styleId="1019">
    <w:name w:val="wagalt"/>
    <w:basedOn w:val="109"/>
    <w:semiHidden/>
    <w:qFormat/>
    <w:uiPriority w:val="0"/>
  </w:style>
  <w:style w:type="character" w:customStyle="1" w:styleId="1020">
    <w:name w:val="表、图名 Char"/>
    <w:basedOn w:val="109"/>
    <w:link w:val="627"/>
    <w:semiHidden/>
    <w:qFormat/>
    <w:uiPriority w:val="0"/>
    <w:rPr>
      <w:rFonts w:hAnsi="宋体"/>
      <w:b/>
      <w:color w:val="000000"/>
      <w:szCs w:val="21"/>
    </w:rPr>
  </w:style>
  <w:style w:type="paragraph" w:customStyle="1" w:styleId="1021">
    <w:name w:val="正文小四"/>
    <w:basedOn w:val="1"/>
    <w:link w:val="1785"/>
    <w:semiHidden/>
    <w:qFormat/>
    <w:uiPriority w:val="0"/>
    <w:pPr>
      <w:spacing w:line="360" w:lineRule="auto"/>
      <w:ind w:firstLine="200" w:firstLineChars="200"/>
    </w:pPr>
    <w:rPr>
      <w:sz w:val="24"/>
      <w:szCs w:val="24"/>
    </w:rPr>
  </w:style>
  <w:style w:type="paragraph" w:customStyle="1" w:styleId="1022">
    <w:name w:val="样式 标题 2 + Times New Roman 小四 自动设置 右侧:  0 磅 行距: 单倍行距"/>
    <w:basedOn w:val="3"/>
    <w:semiHidden/>
    <w:qFormat/>
    <w:uiPriority w:val="0"/>
    <w:pPr>
      <w:widowControl w:val="0"/>
      <w:spacing w:beforeLines="50" w:afterLines="50"/>
      <w:ind w:firstLine="501" w:firstLineChars="200"/>
    </w:pPr>
    <w:rPr>
      <w:rFonts w:hAnsi="宋体" w:cs="宋体"/>
      <w:sz w:val="24"/>
      <w:szCs w:val="20"/>
    </w:rPr>
  </w:style>
  <w:style w:type="paragraph" w:customStyle="1" w:styleId="1023">
    <w:name w:val="标题二!!!!!!!!!!!!!!!!"/>
    <w:basedOn w:val="963"/>
    <w:semiHidden/>
    <w:qFormat/>
    <w:uiPriority w:val="0"/>
    <w:rPr>
      <w:rFonts w:ascii="华文仿宋" w:hAnsi="华文仿宋" w:eastAsia="华文仿宋"/>
    </w:rPr>
  </w:style>
  <w:style w:type="paragraph" w:customStyle="1" w:styleId="1024">
    <w:name w:val="纯文本2"/>
    <w:basedOn w:val="1"/>
    <w:semiHidden/>
    <w:qFormat/>
    <w:uiPriority w:val="0"/>
    <w:pPr>
      <w:tabs>
        <w:tab w:val="left" w:pos="0"/>
        <w:tab w:val="left" w:pos="360"/>
        <w:tab w:val="left" w:pos="540"/>
        <w:tab w:val="left" w:pos="900"/>
      </w:tabs>
      <w:autoSpaceDE w:val="0"/>
      <w:autoSpaceDN w:val="0"/>
      <w:adjustRightInd w:val="0"/>
      <w:snapToGrid w:val="0"/>
      <w:spacing w:line="360" w:lineRule="auto"/>
      <w:ind w:firstLine="480" w:firstLineChars="200"/>
      <w:textAlignment w:val="baseline"/>
    </w:pPr>
    <w:rPr>
      <w:sz w:val="24"/>
      <w:szCs w:val="24"/>
    </w:rPr>
  </w:style>
  <w:style w:type="paragraph" w:customStyle="1" w:styleId="1025">
    <w:name w:val="表格文字样式14"/>
    <w:basedOn w:val="1"/>
    <w:semiHidden/>
    <w:qFormat/>
    <w:uiPriority w:val="0"/>
    <w:pPr>
      <w:overflowPunct w:val="0"/>
      <w:adjustRightInd w:val="0"/>
      <w:snapToGrid w:val="0"/>
      <w:spacing w:line="360" w:lineRule="exact"/>
      <w:jc w:val="center"/>
    </w:pPr>
    <w:rPr>
      <w:rFonts w:ascii="宋体" w:hAnsi="宋体"/>
      <w:bCs/>
      <w:snapToGrid w:val="0"/>
      <w:szCs w:val="21"/>
    </w:rPr>
  </w:style>
  <w:style w:type="paragraph" w:customStyle="1" w:styleId="1026">
    <w:name w:val="reader-word-layer"/>
    <w:basedOn w:val="1"/>
    <w:semiHidden/>
    <w:qFormat/>
    <w:uiPriority w:val="0"/>
    <w:pPr>
      <w:spacing w:before="100" w:beforeAutospacing="1" w:after="100" w:afterAutospacing="1"/>
    </w:pPr>
    <w:rPr>
      <w:rFonts w:ascii="宋体" w:hAnsi="宋体" w:cs="宋体"/>
      <w:sz w:val="24"/>
      <w:szCs w:val="24"/>
    </w:rPr>
  </w:style>
  <w:style w:type="paragraph" w:customStyle="1" w:styleId="1027">
    <w:name w:val="表样式3"/>
    <w:basedOn w:val="1"/>
    <w:semiHidden/>
    <w:qFormat/>
    <w:uiPriority w:val="0"/>
    <w:pPr>
      <w:spacing w:line="280" w:lineRule="exact"/>
      <w:jc w:val="center"/>
    </w:pPr>
    <w:rPr>
      <w:sz w:val="24"/>
      <w:szCs w:val="24"/>
    </w:rPr>
  </w:style>
  <w:style w:type="character" w:customStyle="1" w:styleId="1028">
    <w:name w:val="xl21"/>
    <w:basedOn w:val="109"/>
    <w:semiHidden/>
    <w:qFormat/>
    <w:uiPriority w:val="0"/>
    <w:rPr>
      <w:rFonts w:eastAsia="宋体"/>
      <w:sz w:val="24"/>
      <w:szCs w:val="18"/>
    </w:rPr>
  </w:style>
  <w:style w:type="character" w:styleId="1029">
    <w:name w:val="Placeholder Text"/>
    <w:basedOn w:val="109"/>
    <w:semiHidden/>
    <w:qFormat/>
    <w:uiPriority w:val="99"/>
    <w:rPr>
      <w:color w:val="808080"/>
    </w:rPr>
  </w:style>
  <w:style w:type="paragraph" w:customStyle="1" w:styleId="1030">
    <w:name w:val="Char Char Char Char Char Char Char Char Char3"/>
    <w:basedOn w:val="1"/>
    <w:semiHidden/>
    <w:qFormat/>
    <w:uiPriority w:val="0"/>
    <w:rPr>
      <w:szCs w:val="24"/>
    </w:rPr>
  </w:style>
  <w:style w:type="paragraph" w:customStyle="1" w:styleId="1031">
    <w:name w:val="Char13"/>
    <w:basedOn w:val="1"/>
    <w:semiHidden/>
    <w:qFormat/>
    <w:uiPriority w:val="0"/>
    <w:rPr>
      <w:szCs w:val="24"/>
    </w:rPr>
  </w:style>
  <w:style w:type="paragraph" w:customStyle="1" w:styleId="1032">
    <w:name w:val="Char22"/>
    <w:basedOn w:val="1"/>
    <w:semiHidden/>
    <w:qFormat/>
    <w:uiPriority w:val="0"/>
    <w:rPr>
      <w:szCs w:val="24"/>
    </w:rPr>
  </w:style>
  <w:style w:type="paragraph" w:customStyle="1" w:styleId="1033">
    <w:name w:val="Char Char21"/>
    <w:basedOn w:val="1"/>
    <w:next w:val="1"/>
    <w:semiHidden/>
    <w:qFormat/>
    <w:uiPriority w:val="0"/>
    <w:pPr>
      <w:spacing w:line="360" w:lineRule="auto"/>
      <w:ind w:firstLine="200" w:firstLineChars="200"/>
    </w:pPr>
    <w:rPr>
      <w:rFonts w:ascii="宋体" w:hAnsi="宋体" w:cs="宋体"/>
      <w:sz w:val="24"/>
      <w:szCs w:val="24"/>
    </w:rPr>
  </w:style>
  <w:style w:type="paragraph" w:customStyle="1" w:styleId="1034">
    <w:name w:val="Char Char Char Char Char Char Char Char Char Char Char Char Char Char Char Char2"/>
    <w:basedOn w:val="1"/>
    <w:semiHidden/>
    <w:qFormat/>
    <w:uiPriority w:val="0"/>
  </w:style>
  <w:style w:type="paragraph" w:customStyle="1" w:styleId="1035">
    <w:name w:val="纯文本3"/>
    <w:basedOn w:val="1"/>
    <w:semiHidden/>
    <w:qFormat/>
    <w:uiPriority w:val="0"/>
    <w:pPr>
      <w:tabs>
        <w:tab w:val="left" w:pos="0"/>
        <w:tab w:val="left" w:pos="360"/>
        <w:tab w:val="left" w:pos="540"/>
        <w:tab w:val="left" w:pos="900"/>
      </w:tabs>
      <w:autoSpaceDE w:val="0"/>
      <w:autoSpaceDN w:val="0"/>
      <w:adjustRightInd w:val="0"/>
      <w:snapToGrid w:val="0"/>
      <w:spacing w:line="360" w:lineRule="auto"/>
      <w:ind w:firstLine="480" w:firstLineChars="200"/>
      <w:textAlignment w:val="baseline"/>
    </w:pPr>
    <w:rPr>
      <w:sz w:val="24"/>
      <w:szCs w:val="24"/>
    </w:rPr>
  </w:style>
  <w:style w:type="character" w:customStyle="1" w:styleId="1036">
    <w:name w:val="zhang正文 Char Char"/>
    <w:basedOn w:val="109"/>
    <w:link w:val="1037"/>
    <w:semiHidden/>
    <w:qFormat/>
    <w:uiPriority w:val="0"/>
    <w:rPr>
      <w:sz w:val="24"/>
    </w:rPr>
  </w:style>
  <w:style w:type="paragraph" w:customStyle="1" w:styleId="1037">
    <w:name w:val="zhang正文"/>
    <w:basedOn w:val="1"/>
    <w:link w:val="1036"/>
    <w:semiHidden/>
    <w:qFormat/>
    <w:uiPriority w:val="0"/>
    <w:pPr>
      <w:spacing w:line="360" w:lineRule="auto"/>
      <w:ind w:firstLine="200" w:firstLineChars="200"/>
    </w:pPr>
    <w:rPr>
      <w:sz w:val="24"/>
    </w:rPr>
  </w:style>
  <w:style w:type="character" w:customStyle="1" w:styleId="1038">
    <w:name w:val="正文 Char Char"/>
    <w:basedOn w:val="109"/>
    <w:semiHidden/>
    <w:qFormat/>
    <w:uiPriority w:val="0"/>
    <w:rPr>
      <w:rFonts w:cs="宋体"/>
      <w:kern w:val="2"/>
      <w:sz w:val="24"/>
    </w:rPr>
  </w:style>
  <w:style w:type="paragraph" w:customStyle="1" w:styleId="1039">
    <w:name w:val="T1标题"/>
    <w:basedOn w:val="2"/>
    <w:semiHidden/>
    <w:qFormat/>
    <w:uiPriority w:val="0"/>
    <w:pPr>
      <w:adjustRightInd w:val="0"/>
      <w:spacing w:before="120" w:after="120" w:line="360" w:lineRule="auto"/>
      <w:ind w:left="6238"/>
      <w:textAlignment w:val="baseline"/>
    </w:pPr>
    <w:rPr>
      <w:szCs w:val="20"/>
    </w:rPr>
  </w:style>
  <w:style w:type="paragraph" w:customStyle="1" w:styleId="1040">
    <w:name w:val="T3 标题"/>
    <w:basedOn w:val="4"/>
    <w:semiHidden/>
    <w:qFormat/>
    <w:uiPriority w:val="0"/>
    <w:pPr>
      <w:widowControl w:val="0"/>
      <w:spacing w:line="360" w:lineRule="auto"/>
      <w:ind w:firstLine="316"/>
      <w:jc w:val="both"/>
      <w:textAlignment w:val="baseline"/>
    </w:pPr>
    <w:rPr>
      <w:rFonts w:cs="宋体"/>
      <w:sz w:val="30"/>
    </w:rPr>
  </w:style>
  <w:style w:type="paragraph" w:customStyle="1" w:styleId="1041">
    <w:name w:val="T4标题"/>
    <w:basedOn w:val="1"/>
    <w:semiHidden/>
    <w:qFormat/>
    <w:uiPriority w:val="0"/>
    <w:pPr>
      <w:keepNext/>
      <w:keepLines/>
      <w:tabs>
        <w:tab w:val="left" w:pos="480"/>
      </w:tabs>
      <w:spacing w:line="360" w:lineRule="auto"/>
      <w:ind w:firstLine="284"/>
      <w:outlineLvl w:val="3"/>
    </w:pPr>
    <w:rPr>
      <w:rFonts w:ascii="宋体" w:hAnsi="宋体" w:cs="宋体"/>
      <w:b/>
      <w:bCs/>
      <w:sz w:val="28"/>
      <w:szCs w:val="28"/>
    </w:rPr>
  </w:style>
  <w:style w:type="character" w:customStyle="1" w:styleId="1042">
    <w:name w:val="TT Char Char"/>
    <w:basedOn w:val="109"/>
    <w:link w:val="1043"/>
    <w:semiHidden/>
    <w:qFormat/>
    <w:uiPriority w:val="0"/>
    <w:rPr>
      <w:b/>
      <w:bCs/>
      <w:sz w:val="24"/>
    </w:rPr>
  </w:style>
  <w:style w:type="paragraph" w:customStyle="1" w:styleId="1043">
    <w:name w:val="TT"/>
    <w:basedOn w:val="1037"/>
    <w:link w:val="1042"/>
    <w:semiHidden/>
    <w:qFormat/>
    <w:uiPriority w:val="0"/>
    <w:pPr>
      <w:ind w:firstLine="480"/>
    </w:pPr>
    <w:rPr>
      <w:b/>
      <w:bCs/>
    </w:rPr>
  </w:style>
  <w:style w:type="paragraph" w:customStyle="1" w:styleId="1044">
    <w:name w:val="样式 T3 标题 + 小四"/>
    <w:basedOn w:val="1040"/>
    <w:link w:val="1045"/>
    <w:semiHidden/>
    <w:qFormat/>
    <w:uiPriority w:val="0"/>
    <w:rPr>
      <w:rFonts w:cs="Times New Roman"/>
      <w:sz w:val="24"/>
    </w:rPr>
  </w:style>
  <w:style w:type="character" w:customStyle="1" w:styleId="1045">
    <w:name w:val="样式 T3 标题 + 小四 Char"/>
    <w:basedOn w:val="109"/>
    <w:link w:val="1044"/>
    <w:semiHidden/>
    <w:qFormat/>
    <w:uiPriority w:val="0"/>
    <w:rPr>
      <w:rFonts w:eastAsia="黑体"/>
      <w:b/>
      <w:sz w:val="24"/>
    </w:rPr>
  </w:style>
  <w:style w:type="paragraph" w:customStyle="1" w:styleId="1046">
    <w:name w:val="引用1"/>
    <w:basedOn w:val="1"/>
    <w:next w:val="1"/>
    <w:link w:val="1047"/>
    <w:semiHidden/>
    <w:qFormat/>
    <w:uiPriority w:val="0"/>
    <w:pPr>
      <w:spacing w:beforeLines="25" w:afterLines="10" w:line="360" w:lineRule="auto"/>
      <w:jc w:val="center"/>
    </w:pPr>
    <w:rPr>
      <w:rFonts w:eastAsia="黑体"/>
      <w:iCs/>
    </w:rPr>
  </w:style>
  <w:style w:type="character" w:customStyle="1" w:styleId="1047">
    <w:name w:val="Quote Char"/>
    <w:basedOn w:val="109"/>
    <w:link w:val="1046"/>
    <w:semiHidden/>
    <w:qFormat/>
    <w:locked/>
    <w:uiPriority w:val="0"/>
    <w:rPr>
      <w:rFonts w:eastAsia="黑体"/>
      <w:iCs/>
    </w:rPr>
  </w:style>
  <w:style w:type="character" w:customStyle="1" w:styleId="1048">
    <w:name w:val="样式 宋体"/>
    <w:basedOn w:val="109"/>
    <w:semiHidden/>
    <w:qFormat/>
    <w:uiPriority w:val="0"/>
    <w:rPr>
      <w:rFonts w:cs="Times New Roman"/>
      <w:sz w:val="24"/>
      <w:lang w:eastAsia="zh-CN"/>
    </w:rPr>
  </w:style>
  <w:style w:type="paragraph" w:customStyle="1" w:styleId="1049">
    <w:name w:val="Table Paragraph"/>
    <w:basedOn w:val="1"/>
    <w:semiHidden/>
    <w:qFormat/>
    <w:uiPriority w:val="1"/>
  </w:style>
  <w:style w:type="paragraph" w:customStyle="1" w:styleId="1050">
    <w:name w:val="正文1"/>
    <w:basedOn w:val="1"/>
    <w:link w:val="1889"/>
    <w:semiHidden/>
    <w:qFormat/>
    <w:uiPriority w:val="0"/>
    <w:pPr>
      <w:spacing w:line="360" w:lineRule="auto"/>
      <w:ind w:firstLine="200" w:firstLineChars="200"/>
    </w:pPr>
    <w:rPr>
      <w:rFonts w:cs="宋体"/>
      <w:sz w:val="24"/>
    </w:rPr>
  </w:style>
  <w:style w:type="character" w:customStyle="1" w:styleId="1051">
    <w:name w:val="标题1 Char"/>
    <w:basedOn w:val="109"/>
    <w:link w:val="134"/>
    <w:semiHidden/>
    <w:qFormat/>
    <w:uiPriority w:val="0"/>
    <w:rPr>
      <w:rFonts w:ascii="黑体" w:eastAsia="黑体" w:cs="宋体"/>
      <w:b/>
      <w:sz w:val="32"/>
      <w:szCs w:val="32"/>
    </w:rPr>
  </w:style>
  <w:style w:type="character" w:customStyle="1" w:styleId="1052">
    <w:name w:val="A1 Char"/>
    <w:basedOn w:val="1051"/>
    <w:link w:val="143"/>
    <w:semiHidden/>
    <w:qFormat/>
    <w:uiPriority w:val="0"/>
    <w:rPr>
      <w:rFonts w:ascii="黑体" w:eastAsia="黑体" w:cs="宋体"/>
      <w:color w:val="000000" w:themeColor="text1"/>
      <w:sz w:val="36"/>
      <w:szCs w:val="36"/>
      <w14:textFill>
        <w14:solidFill>
          <w14:schemeClr w14:val="tx1"/>
        </w14:solidFill>
      </w14:textFill>
    </w:rPr>
  </w:style>
  <w:style w:type="character" w:customStyle="1" w:styleId="1053">
    <w:name w:val="1.1二级标题 Char"/>
    <w:basedOn w:val="109"/>
    <w:link w:val="146"/>
    <w:semiHidden/>
    <w:qFormat/>
    <w:uiPriority w:val="0"/>
    <w:rPr>
      <w:rFonts w:eastAsia="黑体"/>
      <w:b/>
      <w:sz w:val="30"/>
    </w:rPr>
  </w:style>
  <w:style w:type="character" w:customStyle="1" w:styleId="1054">
    <w:name w:val="样式 1.1二级标题 Char"/>
    <w:basedOn w:val="1053"/>
    <w:link w:val="145"/>
    <w:semiHidden/>
    <w:qFormat/>
    <w:uiPriority w:val="0"/>
    <w:rPr>
      <w:rFonts w:eastAsia="黑体"/>
      <w:color w:val="000000"/>
      <w:sz w:val="30"/>
      <w:szCs w:val="30"/>
    </w:rPr>
  </w:style>
  <w:style w:type="character" w:customStyle="1" w:styleId="1055">
    <w:name w:val="A2 Char"/>
    <w:basedOn w:val="1054"/>
    <w:link w:val="144"/>
    <w:semiHidden/>
    <w:qFormat/>
    <w:uiPriority w:val="0"/>
    <w:rPr>
      <w:rFonts w:eastAsia="黑体"/>
      <w:color w:val="000000" w:themeColor="text1"/>
      <w:sz w:val="28"/>
      <w:szCs w:val="30"/>
      <w14:textFill>
        <w14:solidFill>
          <w14:schemeClr w14:val="tx1"/>
        </w14:solidFill>
      </w14:textFill>
    </w:rPr>
  </w:style>
  <w:style w:type="paragraph" w:customStyle="1" w:styleId="1056">
    <w:name w:val="a正文"/>
    <w:basedOn w:val="130"/>
    <w:link w:val="1058"/>
    <w:semiHidden/>
    <w:qFormat/>
    <w:uiPriority w:val="0"/>
    <w:pPr>
      <w:ind w:firstLine="480"/>
    </w:pPr>
    <w:rPr>
      <w:rFonts w:ascii="Times New Roman"/>
      <w:color w:val="000000" w:themeColor="text1"/>
      <w14:textFill>
        <w14:solidFill>
          <w14:schemeClr w14:val="tx1"/>
        </w14:solidFill>
      </w14:textFill>
    </w:rPr>
  </w:style>
  <w:style w:type="character" w:customStyle="1" w:styleId="1057">
    <w:name w:val="A3 Char"/>
    <w:basedOn w:val="164"/>
    <w:link w:val="147"/>
    <w:semiHidden/>
    <w:qFormat/>
    <w:uiPriority w:val="0"/>
    <w:rPr>
      <w:rFonts w:eastAsia="黑体"/>
      <w:color w:val="000000" w:themeColor="text1"/>
      <w:sz w:val="26"/>
      <w14:textFill>
        <w14:solidFill>
          <w14:schemeClr w14:val="tx1"/>
        </w14:solidFill>
      </w14:textFill>
    </w:rPr>
  </w:style>
  <w:style w:type="character" w:customStyle="1" w:styleId="1058">
    <w:name w:val="a正文 Char"/>
    <w:basedOn w:val="163"/>
    <w:link w:val="1056"/>
    <w:semiHidden/>
    <w:qFormat/>
    <w:uiPriority w:val="0"/>
    <w:rPr>
      <w:rFonts w:ascii="宋体"/>
      <w:color w:val="000000" w:themeColor="text1"/>
      <w:sz w:val="24"/>
      <w:szCs w:val="24"/>
      <w14:textFill>
        <w14:solidFill>
          <w14:schemeClr w14:val="tx1"/>
        </w14:solidFill>
      </w14:textFill>
    </w:rPr>
  </w:style>
  <w:style w:type="paragraph" w:customStyle="1" w:styleId="1059">
    <w:name w:val="A4"/>
    <w:basedOn w:val="5"/>
    <w:link w:val="1061"/>
    <w:semiHidden/>
    <w:qFormat/>
    <w:uiPriority w:val="0"/>
  </w:style>
  <w:style w:type="paragraph" w:customStyle="1" w:styleId="1060">
    <w:name w:val="A表"/>
    <w:basedOn w:val="1"/>
    <w:link w:val="1062"/>
    <w:autoRedefine/>
    <w:qFormat/>
    <w:uiPriority w:val="0"/>
    <w:pPr>
      <w:spacing w:before="156" w:beforeLines="50"/>
      <w:jc w:val="center"/>
    </w:pPr>
    <w:rPr>
      <w:rFonts w:eastAsia="黑体"/>
      <w:color w:val="000000" w:themeColor="text1"/>
      <w:sz w:val="24"/>
      <w:szCs w:val="24"/>
      <w14:textFill>
        <w14:solidFill>
          <w14:schemeClr w14:val="tx1"/>
        </w14:solidFill>
      </w14:textFill>
    </w:rPr>
  </w:style>
  <w:style w:type="character" w:customStyle="1" w:styleId="1061">
    <w:name w:val="A4 Char"/>
    <w:basedOn w:val="138"/>
    <w:link w:val="1059"/>
    <w:semiHidden/>
    <w:qFormat/>
    <w:uiPriority w:val="0"/>
    <w:rPr>
      <w:color w:val="000000" w:themeColor="text1"/>
      <w:sz w:val="24"/>
      <w:szCs w:val="28"/>
      <w14:textFill>
        <w14:solidFill>
          <w14:schemeClr w14:val="tx1"/>
        </w14:solidFill>
      </w14:textFill>
    </w:rPr>
  </w:style>
  <w:style w:type="character" w:customStyle="1" w:styleId="1062">
    <w:name w:val="A表 Char"/>
    <w:basedOn w:val="109"/>
    <w:link w:val="1060"/>
    <w:qFormat/>
    <w:uiPriority w:val="0"/>
    <w:rPr>
      <w:rFonts w:eastAsia="黑体"/>
      <w:color w:val="000000" w:themeColor="text1"/>
      <w:sz w:val="24"/>
      <w:szCs w:val="24"/>
      <w14:textFill>
        <w14:solidFill>
          <w14:schemeClr w14:val="tx1"/>
        </w14:solidFill>
      </w14:textFill>
    </w:rPr>
  </w:style>
  <w:style w:type="character" w:customStyle="1" w:styleId="1063">
    <w:name w:val="A表内容 Char"/>
    <w:basedOn w:val="163"/>
    <w:link w:val="129"/>
    <w:qFormat/>
    <w:uiPriority w:val="0"/>
    <w:rPr>
      <w:rFonts w:ascii="宋体"/>
      <w:sz w:val="21"/>
      <w:szCs w:val="21"/>
    </w:rPr>
  </w:style>
  <w:style w:type="character" w:customStyle="1" w:styleId="1064">
    <w:name w:val="正文缩进 Char1"/>
    <w:basedOn w:val="109"/>
    <w:semiHidden/>
    <w:qFormat/>
    <w:locked/>
    <w:uiPriority w:val="0"/>
    <w:rPr>
      <w:rFonts w:eastAsia="宋体"/>
      <w:kern w:val="2"/>
      <w:sz w:val="24"/>
      <w:szCs w:val="24"/>
      <w:lang w:val="en-US" w:eastAsia="zh-CN" w:bidi="ar-SA"/>
    </w:rPr>
  </w:style>
  <w:style w:type="paragraph" w:styleId="1065">
    <w:name w:val="List Paragraph"/>
    <w:basedOn w:val="1"/>
    <w:link w:val="1724"/>
    <w:semiHidden/>
    <w:qFormat/>
    <w:uiPriority w:val="99"/>
    <w:pPr>
      <w:ind w:firstLine="420" w:firstLineChars="200"/>
    </w:pPr>
  </w:style>
  <w:style w:type="paragraph" w:customStyle="1" w:styleId="1066">
    <w:name w:val="表格文字样式"/>
    <w:basedOn w:val="1"/>
    <w:semiHidden/>
    <w:qFormat/>
    <w:uiPriority w:val="0"/>
    <w:pPr>
      <w:autoSpaceDE w:val="0"/>
      <w:autoSpaceDN w:val="0"/>
      <w:adjustRightInd w:val="0"/>
      <w:spacing w:line="240" w:lineRule="exact"/>
    </w:pPr>
    <w:rPr>
      <w:rFonts w:ascii="仿宋_GB2312" w:hAnsi="宋体" w:eastAsia="仿宋_GB2312" w:cs="仿宋_GB2312"/>
      <w:sz w:val="24"/>
      <w:szCs w:val="21"/>
    </w:rPr>
  </w:style>
  <w:style w:type="paragraph" w:customStyle="1" w:styleId="1067">
    <w:name w:val="表格方案样式2"/>
    <w:basedOn w:val="1066"/>
    <w:semiHidden/>
    <w:qFormat/>
    <w:uiPriority w:val="0"/>
    <w:pPr>
      <w:widowControl w:val="0"/>
      <w:tabs>
        <w:tab w:val="left" w:pos="567"/>
      </w:tabs>
      <w:autoSpaceDE/>
      <w:autoSpaceDN/>
      <w:adjustRightInd/>
      <w:spacing w:line="240" w:lineRule="auto"/>
      <w:jc w:val="center"/>
    </w:pPr>
    <w:rPr>
      <w:rFonts w:ascii="Times New Roman" w:hAnsi="Times New Roman" w:eastAsia="华文中宋" w:cs="Times New Roman"/>
      <w:kern w:val="2"/>
      <w:szCs w:val="24"/>
    </w:rPr>
  </w:style>
  <w:style w:type="character" w:customStyle="1" w:styleId="1068">
    <w:name w:val="纯文本 Char1"/>
    <w:basedOn w:val="109"/>
    <w:semiHidden/>
    <w:qFormat/>
    <w:uiPriority w:val="0"/>
    <w:rPr>
      <w:rFonts w:ascii="宋体" w:hAnsi="Courier New" w:eastAsia="宋体" w:cs="Courier New"/>
      <w:kern w:val="2"/>
      <w:sz w:val="24"/>
      <w:szCs w:val="21"/>
      <w:lang w:val="en-US" w:eastAsia="zh-CN" w:bidi="ar-SA"/>
    </w:rPr>
  </w:style>
  <w:style w:type="character" w:customStyle="1" w:styleId="1069">
    <w:name w:val="正文文本首行缩进 字符1"/>
    <w:basedOn w:val="273"/>
    <w:link w:val="80"/>
    <w:semiHidden/>
    <w:qFormat/>
    <w:uiPriority w:val="0"/>
    <w:rPr>
      <w:sz w:val="28"/>
    </w:rPr>
  </w:style>
  <w:style w:type="paragraph" w:customStyle="1" w:styleId="1070">
    <w:name w:val="样式 居中 首行缩进:  0 字符"/>
    <w:basedOn w:val="1"/>
    <w:next w:val="1"/>
    <w:link w:val="1982"/>
    <w:semiHidden/>
    <w:qFormat/>
    <w:uiPriority w:val="0"/>
    <w:pPr>
      <w:tabs>
        <w:tab w:val="left" w:pos="9128"/>
      </w:tabs>
      <w:spacing w:line="500" w:lineRule="exact"/>
      <w:jc w:val="center"/>
    </w:pPr>
    <w:rPr>
      <w:rFonts w:eastAsia="仿宋_GB2312"/>
    </w:rPr>
  </w:style>
  <w:style w:type="paragraph" w:customStyle="1" w:styleId="1071">
    <w:name w:val="Char Char Char1 Char Char Char Char Char Char Char Char Char Char Char Char Char Char Char Char Char Char Char1"/>
    <w:basedOn w:val="1"/>
    <w:semiHidden/>
    <w:qFormat/>
    <w:uiPriority w:val="0"/>
    <w:rPr>
      <w:szCs w:val="24"/>
    </w:rPr>
  </w:style>
  <w:style w:type="character" w:customStyle="1" w:styleId="1072">
    <w:name w:val="标题 3 Char1"/>
    <w:basedOn w:val="109"/>
    <w:semiHidden/>
    <w:qFormat/>
    <w:uiPriority w:val="0"/>
    <w:rPr>
      <w:rFonts w:ascii="黑体" w:hAnsi="宋体" w:eastAsia="黑体"/>
      <w:kern w:val="2"/>
      <w:sz w:val="24"/>
      <w:szCs w:val="24"/>
      <w:lang w:val="en-US" w:eastAsia="zh-CN" w:bidi="ar-SA"/>
    </w:rPr>
  </w:style>
  <w:style w:type="paragraph" w:customStyle="1" w:styleId="1073">
    <w:name w:val="标题1-ls"/>
    <w:basedOn w:val="78"/>
    <w:semiHidden/>
    <w:qFormat/>
    <w:uiPriority w:val="0"/>
    <w:pPr>
      <w:spacing w:before="240" w:afterLines="100"/>
      <w:ind w:left="0" w:firstLine="0" w:firstLineChars="0"/>
    </w:pPr>
    <w:rPr>
      <w:rFonts w:ascii="Times New Roman" w:hAnsi="Times New Roman" w:eastAsia="黑体" w:cs="Arial"/>
      <w:bCs w:val="0"/>
      <w:sz w:val="36"/>
    </w:rPr>
  </w:style>
  <w:style w:type="paragraph" w:customStyle="1" w:styleId="1074">
    <w:name w:val="Char"/>
    <w:basedOn w:val="1"/>
    <w:semiHidden/>
    <w:qFormat/>
    <w:uiPriority w:val="0"/>
    <w:rPr>
      <w:rFonts w:ascii="宋体" w:hAnsi="宋体" w:cs="Courier New"/>
      <w:sz w:val="32"/>
      <w:szCs w:val="32"/>
    </w:rPr>
  </w:style>
  <w:style w:type="character" w:customStyle="1" w:styleId="1075">
    <w:name w:val="正文文本首行缩进 2 字符1"/>
    <w:basedOn w:val="249"/>
    <w:link w:val="81"/>
    <w:semiHidden/>
    <w:qFormat/>
    <w:uiPriority w:val="0"/>
    <w:rPr>
      <w:szCs w:val="24"/>
    </w:rPr>
  </w:style>
  <w:style w:type="paragraph" w:customStyle="1" w:styleId="1076">
    <w:name w:val="表左"/>
    <w:basedOn w:val="1"/>
    <w:semiHidden/>
    <w:qFormat/>
    <w:uiPriority w:val="0"/>
    <w:pPr>
      <w:spacing w:line="280" w:lineRule="exact"/>
    </w:pPr>
    <w:rPr>
      <w:rFonts w:ascii="宋体"/>
      <w:color w:val="000000"/>
      <w:sz w:val="18"/>
      <w:szCs w:val="24"/>
    </w:rPr>
  </w:style>
  <w:style w:type="paragraph" w:customStyle="1" w:styleId="1077">
    <w:name w:val="正文仿宋"/>
    <w:basedOn w:val="1"/>
    <w:semiHidden/>
    <w:qFormat/>
    <w:uiPriority w:val="0"/>
    <w:pPr>
      <w:adjustRightInd w:val="0"/>
      <w:snapToGrid w:val="0"/>
      <w:spacing w:line="360" w:lineRule="auto"/>
      <w:ind w:firstLine="567"/>
    </w:pPr>
    <w:rPr>
      <w:rFonts w:eastAsia="仿宋_GB2312"/>
      <w:snapToGrid w:val="0"/>
      <w:sz w:val="24"/>
    </w:rPr>
  </w:style>
  <w:style w:type="character" w:customStyle="1" w:styleId="1078">
    <w:name w:val="题注 Char1"/>
    <w:basedOn w:val="109"/>
    <w:semiHidden/>
    <w:qFormat/>
    <w:uiPriority w:val="0"/>
    <w:rPr>
      <w:rFonts w:eastAsia="仿宋_GB2312"/>
      <w:kern w:val="2"/>
      <w:sz w:val="24"/>
      <w:lang w:val="en-US" w:eastAsia="zh-CN" w:bidi="ar-SA"/>
    </w:rPr>
  </w:style>
  <w:style w:type="paragraph" w:customStyle="1" w:styleId="1079">
    <w:name w:val="依据文字"/>
    <w:basedOn w:val="81"/>
    <w:semiHidden/>
    <w:qFormat/>
    <w:uiPriority w:val="0"/>
    <w:pPr>
      <w:tabs>
        <w:tab w:val="left" w:pos="420"/>
        <w:tab w:val="left" w:pos="870"/>
        <w:tab w:val="left" w:pos="3150"/>
      </w:tabs>
      <w:autoSpaceDE w:val="0"/>
      <w:autoSpaceDN w:val="0"/>
      <w:adjustRightInd w:val="0"/>
      <w:spacing w:before="60" w:after="0" w:line="336" w:lineRule="auto"/>
      <w:ind w:left="0" w:leftChars="0" w:firstLine="527" w:firstLineChars="0"/>
      <w:textAlignment w:val="baseline"/>
    </w:pPr>
    <w:rPr>
      <w:rFonts w:ascii="宋体"/>
      <w:sz w:val="24"/>
      <w:szCs w:val="20"/>
    </w:rPr>
  </w:style>
  <w:style w:type="paragraph" w:customStyle="1" w:styleId="1080">
    <w:name w:val="右侧"/>
    <w:basedOn w:val="1"/>
    <w:semiHidden/>
    <w:qFormat/>
    <w:uiPriority w:val="0"/>
    <w:pPr>
      <w:spacing w:line="280" w:lineRule="exact"/>
      <w:jc w:val="right"/>
    </w:pPr>
    <w:rPr>
      <w:rFonts w:ascii="Batang" w:hAnsi="Batang"/>
      <w:color w:val="000000"/>
      <w:sz w:val="18"/>
    </w:rPr>
  </w:style>
  <w:style w:type="paragraph" w:customStyle="1" w:styleId="1081">
    <w:name w:val="左侧"/>
    <w:basedOn w:val="1"/>
    <w:semiHidden/>
    <w:qFormat/>
    <w:uiPriority w:val="0"/>
    <w:pPr>
      <w:spacing w:line="280" w:lineRule="exact"/>
      <w:jc w:val="center"/>
    </w:pPr>
    <w:rPr>
      <w:rFonts w:ascii="Batang" w:hAnsi="Batang"/>
      <w:color w:val="000000"/>
    </w:rPr>
  </w:style>
  <w:style w:type="paragraph" w:customStyle="1" w:styleId="1082">
    <w:name w:val="纯文本4"/>
    <w:basedOn w:val="1"/>
    <w:semiHidden/>
    <w:qFormat/>
    <w:uiPriority w:val="0"/>
    <w:pPr>
      <w:spacing w:line="240" w:lineRule="atLeast"/>
      <w:jc w:val="center"/>
    </w:pPr>
    <w:rPr>
      <w:rFonts w:ascii="宋体" w:hAnsi="宋体"/>
      <w:bCs/>
      <w:iCs/>
      <w:sz w:val="18"/>
      <w:szCs w:val="18"/>
    </w:rPr>
  </w:style>
  <w:style w:type="paragraph" w:customStyle="1" w:styleId="1083">
    <w:name w:val="右五"/>
    <w:basedOn w:val="1084"/>
    <w:next w:val="1"/>
    <w:semiHidden/>
    <w:qFormat/>
    <w:uiPriority w:val="0"/>
    <w:pPr>
      <w:jc w:val="right"/>
    </w:pPr>
  </w:style>
  <w:style w:type="paragraph" w:customStyle="1" w:styleId="1084">
    <w:name w:val="左五"/>
    <w:basedOn w:val="1"/>
    <w:semiHidden/>
    <w:qFormat/>
    <w:uiPriority w:val="0"/>
    <w:pPr>
      <w:adjustRightInd w:val="0"/>
      <w:snapToGrid w:val="0"/>
      <w:spacing w:line="280" w:lineRule="exact"/>
    </w:pPr>
    <w:rPr>
      <w:rFonts w:ascii="宋体" w:hAnsi="Symusic"/>
      <w:color w:val="000000"/>
      <w:sz w:val="18"/>
      <w:szCs w:val="24"/>
    </w:rPr>
  </w:style>
  <w:style w:type="paragraph" w:customStyle="1" w:styleId="1085">
    <w:name w:val="样式 图表 + 首行缩进:  2 字符1"/>
    <w:basedOn w:val="1"/>
    <w:semiHidden/>
    <w:qFormat/>
    <w:uiPriority w:val="0"/>
    <w:pPr>
      <w:adjustRightInd w:val="0"/>
      <w:snapToGrid w:val="0"/>
      <w:spacing w:beforeLines="20" w:afterLines="20"/>
      <w:ind w:left="-102" w:leftChars="-50" w:right="-105" w:rightChars="-50" w:hanging="3"/>
      <w:jc w:val="center"/>
    </w:pPr>
    <w:rPr>
      <w:rFonts w:eastAsia="仿宋_GB2312"/>
      <w:color w:val="000000"/>
      <w:szCs w:val="24"/>
    </w:rPr>
  </w:style>
  <w:style w:type="paragraph" w:customStyle="1" w:styleId="1086">
    <w:name w:val="Char Char3"/>
    <w:basedOn w:val="1"/>
    <w:semiHidden/>
    <w:qFormat/>
    <w:uiPriority w:val="0"/>
    <w:pPr>
      <w:snapToGrid w:val="0"/>
      <w:spacing w:line="440" w:lineRule="atLeast"/>
    </w:pPr>
    <w:rPr>
      <w:rFonts w:ascii="宋体" w:hAnsi="宋体" w:cs="Courier New"/>
      <w:sz w:val="32"/>
      <w:szCs w:val="32"/>
    </w:rPr>
  </w:style>
  <w:style w:type="paragraph" w:customStyle="1" w:styleId="1087">
    <w:name w:val="正文仿宋小四"/>
    <w:basedOn w:val="1"/>
    <w:semiHidden/>
    <w:qFormat/>
    <w:uiPriority w:val="0"/>
    <w:pPr>
      <w:adjustRightInd w:val="0"/>
      <w:snapToGrid w:val="0"/>
      <w:spacing w:line="360" w:lineRule="auto"/>
      <w:ind w:firstLine="480" w:firstLineChars="200"/>
    </w:pPr>
    <w:rPr>
      <w:rFonts w:eastAsia="仿宋_GB2312"/>
      <w:sz w:val="24"/>
      <w:szCs w:val="24"/>
    </w:rPr>
  </w:style>
  <w:style w:type="paragraph" w:customStyle="1" w:styleId="1088">
    <w:name w:val="正文单倍行距"/>
    <w:basedOn w:val="1"/>
    <w:semiHidden/>
    <w:qFormat/>
    <w:uiPriority w:val="0"/>
    <w:pPr>
      <w:tabs>
        <w:tab w:val="left" w:pos="8640"/>
      </w:tabs>
      <w:snapToGrid w:val="0"/>
      <w:ind w:firstLine="200" w:firstLineChars="200"/>
    </w:pPr>
    <w:rPr>
      <w:rFonts w:eastAsia="仿宋_GB2312"/>
      <w:sz w:val="24"/>
      <w:szCs w:val="24"/>
    </w:rPr>
  </w:style>
  <w:style w:type="character" w:customStyle="1" w:styleId="1089">
    <w:name w:val="样式 仿宋_GB2312 小四 黑色"/>
    <w:basedOn w:val="109"/>
    <w:semiHidden/>
    <w:qFormat/>
    <w:uiPriority w:val="0"/>
    <w:rPr>
      <w:rFonts w:ascii="Times New Roman" w:hAnsi="Times New Roman" w:eastAsia="仿宋_GB2312" w:cs="Courier New"/>
      <w:color w:val="000000"/>
      <w:kern w:val="2"/>
      <w:sz w:val="24"/>
      <w:szCs w:val="24"/>
      <w:lang w:val="en-US" w:eastAsia="zh-CN" w:bidi="ar-SA"/>
    </w:rPr>
  </w:style>
  <w:style w:type="paragraph" w:customStyle="1" w:styleId="1090">
    <w:name w:val="样式 仿宋_GB2312 小四1"/>
    <w:basedOn w:val="1"/>
    <w:semiHidden/>
    <w:qFormat/>
    <w:uiPriority w:val="0"/>
    <w:pPr>
      <w:adjustRightInd w:val="0"/>
      <w:spacing w:line="360" w:lineRule="auto"/>
      <w:ind w:firstLine="480" w:firstLineChars="200"/>
      <w:textAlignment w:val="baseline"/>
    </w:pPr>
    <w:rPr>
      <w:rFonts w:eastAsia="仿宋_GB2312"/>
      <w:sz w:val="24"/>
      <w:szCs w:val="24"/>
    </w:rPr>
  </w:style>
  <w:style w:type="paragraph" w:customStyle="1" w:styleId="1091">
    <w:name w:val="湛江码头表"/>
    <w:basedOn w:val="1"/>
    <w:semiHidden/>
    <w:qFormat/>
    <w:uiPriority w:val="0"/>
    <w:pPr>
      <w:jc w:val="center"/>
    </w:pPr>
    <w:rPr>
      <w:rFonts w:eastAsia="仿宋_GB2312"/>
      <w:szCs w:val="24"/>
      <w:lang w:eastAsia="zh-TW"/>
    </w:rPr>
  </w:style>
  <w:style w:type="paragraph" w:customStyle="1" w:styleId="1092">
    <w:name w:val="注："/>
    <w:basedOn w:val="1"/>
    <w:next w:val="1"/>
    <w:semiHidden/>
    <w:qFormat/>
    <w:uiPriority w:val="0"/>
    <w:pPr>
      <w:tabs>
        <w:tab w:val="left" w:pos="895"/>
      </w:tabs>
      <w:autoSpaceDE w:val="0"/>
      <w:autoSpaceDN w:val="0"/>
      <w:ind w:left="895" w:hanging="420"/>
    </w:pPr>
    <w:rPr>
      <w:rFonts w:ascii="宋体"/>
      <w:sz w:val="18"/>
    </w:rPr>
  </w:style>
  <w:style w:type="character" w:customStyle="1" w:styleId="1093">
    <w:name w:val="样式 (西文) 宋体 (中文) 仿宋_GB2312 黑色"/>
    <w:basedOn w:val="109"/>
    <w:semiHidden/>
    <w:qFormat/>
    <w:uiPriority w:val="0"/>
    <w:rPr>
      <w:rFonts w:ascii="Times New Roman" w:hAnsi="Times New Roman" w:eastAsia="仿宋_GB2312" w:cs="Courier New"/>
      <w:color w:val="000000"/>
      <w:kern w:val="2"/>
      <w:sz w:val="32"/>
      <w:szCs w:val="32"/>
      <w:lang w:val="en-US" w:eastAsia="zh-CN" w:bidi="ar-SA"/>
    </w:rPr>
  </w:style>
  <w:style w:type="paragraph" w:customStyle="1" w:styleId="1094">
    <w:name w:val="样式 正文缩进正文（首行缩进两字）正文（首行缩进两字） Char Char Char Char Char Char Char..."/>
    <w:basedOn w:val="18"/>
    <w:semiHidden/>
    <w:qFormat/>
    <w:uiPriority w:val="0"/>
    <w:pPr>
      <w:tabs>
        <w:tab w:val="left" w:pos="3360"/>
      </w:tabs>
      <w:adjustRightInd w:val="0"/>
      <w:snapToGrid w:val="0"/>
      <w:spacing w:line="360" w:lineRule="auto"/>
      <w:ind w:firstLine="480"/>
      <w:textAlignment w:val="baseline"/>
    </w:pPr>
    <w:rPr>
      <w:rFonts w:ascii="楷体_GB2312" w:eastAsia="楷体_GB2312"/>
      <w:snapToGrid w:val="0"/>
      <w:sz w:val="24"/>
      <w:szCs w:val="24"/>
    </w:rPr>
  </w:style>
  <w:style w:type="paragraph" w:customStyle="1" w:styleId="1095">
    <w:name w:val="正文居中"/>
    <w:basedOn w:val="80"/>
    <w:semiHidden/>
    <w:qFormat/>
    <w:uiPriority w:val="0"/>
    <w:pPr>
      <w:tabs>
        <w:tab w:val="left" w:pos="1960"/>
        <w:tab w:val="left" w:pos="2380"/>
        <w:tab w:val="left" w:pos="3080"/>
      </w:tabs>
      <w:overflowPunct/>
      <w:autoSpaceDE/>
      <w:autoSpaceDN/>
      <w:spacing w:before="48"/>
      <w:ind w:firstLine="464" w:firstLineChars="200"/>
    </w:pPr>
    <w:rPr>
      <w:rFonts w:hAnsi="宋体"/>
      <w:spacing w:val="-4"/>
      <w:sz w:val="24"/>
      <w:szCs w:val="24"/>
      <w:lang w:val="zh-CN"/>
    </w:rPr>
  </w:style>
  <w:style w:type="paragraph" w:customStyle="1" w:styleId="1096">
    <w:name w:val="正文图小四"/>
    <w:basedOn w:val="1"/>
    <w:semiHidden/>
    <w:qFormat/>
    <w:uiPriority w:val="0"/>
    <w:pPr>
      <w:adjustRightInd w:val="0"/>
      <w:snapToGrid w:val="0"/>
      <w:jc w:val="center"/>
      <w:textAlignment w:val="baseline"/>
    </w:pPr>
    <w:rPr>
      <w:rFonts w:ascii="宋体"/>
      <w:sz w:val="24"/>
      <w:szCs w:val="24"/>
    </w:rPr>
  </w:style>
  <w:style w:type="paragraph" w:customStyle="1" w:styleId="1097">
    <w:name w:val="样式 标题 2 + 段后: 0.5 行"/>
    <w:basedOn w:val="3"/>
    <w:semiHidden/>
    <w:qFormat/>
    <w:uiPriority w:val="0"/>
    <w:pPr>
      <w:widowControl w:val="0"/>
      <w:tabs>
        <w:tab w:val="left" w:pos="630"/>
        <w:tab w:val="left" w:pos="840"/>
        <w:tab w:val="left" w:pos="1287"/>
        <w:tab w:val="left" w:pos="3920"/>
        <w:tab w:val="left" w:pos="5670"/>
      </w:tabs>
      <w:adjustRightInd w:val="0"/>
      <w:spacing w:before="60" w:afterLines="50"/>
      <w:ind w:firstLine="567"/>
      <w:contextualSpacing/>
      <w:jc w:val="both"/>
    </w:pPr>
    <w:rPr>
      <w:rFonts w:eastAsia="仿宋_GB2312"/>
      <w:b w:val="0"/>
      <w:color w:val="000000"/>
      <w:sz w:val="30"/>
    </w:rPr>
  </w:style>
  <w:style w:type="paragraph" w:customStyle="1" w:styleId="1098">
    <w:name w:val="样式19"/>
    <w:basedOn w:val="3"/>
    <w:semiHidden/>
    <w:qFormat/>
    <w:uiPriority w:val="0"/>
    <w:pPr>
      <w:widowControl w:val="0"/>
      <w:tabs>
        <w:tab w:val="left" w:pos="630"/>
        <w:tab w:val="left" w:pos="840"/>
        <w:tab w:val="left" w:pos="1287"/>
        <w:tab w:val="left" w:pos="3920"/>
        <w:tab w:val="left" w:pos="5670"/>
      </w:tabs>
      <w:spacing w:before="60" w:after="60" w:line="520" w:lineRule="exact"/>
      <w:ind w:firstLine="567"/>
      <w:contextualSpacing/>
      <w:jc w:val="both"/>
    </w:pPr>
    <w:rPr>
      <w:rFonts w:eastAsia="华文行楷"/>
      <w:b w:val="0"/>
      <w:color w:val="000000"/>
      <w:sz w:val="30"/>
    </w:rPr>
  </w:style>
  <w:style w:type="paragraph" w:customStyle="1" w:styleId="1099">
    <w:name w:val="正文999"/>
    <w:basedOn w:val="1"/>
    <w:semiHidden/>
    <w:qFormat/>
    <w:uiPriority w:val="0"/>
    <w:pPr>
      <w:spacing w:line="360" w:lineRule="auto"/>
      <w:ind w:firstLine="480" w:firstLineChars="200"/>
    </w:pPr>
    <w:rPr>
      <w:rFonts w:ascii="宋体" w:hAnsi="宋体"/>
      <w:sz w:val="24"/>
      <w:szCs w:val="24"/>
    </w:rPr>
  </w:style>
  <w:style w:type="paragraph" w:customStyle="1" w:styleId="1100">
    <w:name w:val="Char Char Char Char Char Char Char Char Char1 Char Char Char Char"/>
    <w:basedOn w:val="1"/>
    <w:semiHidden/>
    <w:qFormat/>
    <w:uiPriority w:val="0"/>
    <w:pPr>
      <w:spacing w:line="360" w:lineRule="auto"/>
      <w:ind w:firstLine="200" w:firstLineChars="200"/>
    </w:pPr>
    <w:rPr>
      <w:rFonts w:ascii="宋体" w:hAnsi="宋体" w:cs="宋体"/>
      <w:sz w:val="24"/>
      <w:szCs w:val="26"/>
    </w:rPr>
  </w:style>
  <w:style w:type="paragraph" w:customStyle="1" w:styleId="1101">
    <w:name w:val="正文（首行缩进两字） Char Char Char Char1 Char11"/>
    <w:basedOn w:val="1"/>
    <w:next w:val="18"/>
    <w:semiHidden/>
    <w:qFormat/>
    <w:uiPriority w:val="0"/>
    <w:pPr>
      <w:spacing w:line="440" w:lineRule="exact"/>
      <w:ind w:firstLine="200" w:firstLineChars="200"/>
    </w:pPr>
    <w:rPr>
      <w:rFonts w:ascii="Arial" w:hAnsi="Arial"/>
      <w:sz w:val="24"/>
      <w:szCs w:val="24"/>
    </w:rPr>
  </w:style>
  <w:style w:type="paragraph" w:customStyle="1" w:styleId="1102">
    <w:name w:val="Char Char Char Char2"/>
    <w:basedOn w:val="1"/>
    <w:semiHidden/>
    <w:qFormat/>
    <w:uiPriority w:val="0"/>
    <w:pPr>
      <w:spacing w:line="360" w:lineRule="auto"/>
      <w:ind w:firstLine="200" w:firstLineChars="200"/>
    </w:pPr>
    <w:rPr>
      <w:rFonts w:ascii="宋体" w:hAnsi="宋体" w:cs="宋体"/>
      <w:sz w:val="24"/>
      <w:szCs w:val="24"/>
    </w:rPr>
  </w:style>
  <w:style w:type="character" w:customStyle="1" w:styleId="1103">
    <w:name w:val="Char Char Char1"/>
    <w:basedOn w:val="109"/>
    <w:semiHidden/>
    <w:qFormat/>
    <w:uiPriority w:val="0"/>
    <w:rPr>
      <w:rFonts w:ascii="黑体" w:hAnsi="宋体" w:eastAsia="黑体"/>
      <w:b/>
      <w:sz w:val="44"/>
      <w:szCs w:val="44"/>
      <w:lang w:val="en-US" w:eastAsia="zh-CN" w:bidi="ar-SA"/>
    </w:rPr>
  </w:style>
  <w:style w:type="character" w:customStyle="1" w:styleId="1104">
    <w:name w:val="标题 3 Char Char1"/>
    <w:basedOn w:val="109"/>
    <w:semiHidden/>
    <w:qFormat/>
    <w:uiPriority w:val="0"/>
    <w:rPr>
      <w:rFonts w:eastAsia="黑体"/>
      <w:kern w:val="2"/>
      <w:sz w:val="24"/>
      <w:szCs w:val="24"/>
      <w:lang w:val="en-US" w:eastAsia="zh-CN" w:bidi="ar-SA"/>
    </w:rPr>
  </w:style>
  <w:style w:type="paragraph" w:customStyle="1" w:styleId="1105">
    <w:name w:val="列出段落2"/>
    <w:basedOn w:val="1"/>
    <w:semiHidden/>
    <w:qFormat/>
    <w:uiPriority w:val="0"/>
    <w:pPr>
      <w:ind w:firstLine="420" w:firstLineChars="200"/>
    </w:pPr>
  </w:style>
  <w:style w:type="paragraph" w:customStyle="1" w:styleId="1106">
    <w:name w:val="Char Char Char Char Char Char Char Char Char Char1"/>
    <w:basedOn w:val="1"/>
    <w:next w:val="1"/>
    <w:semiHidden/>
    <w:qFormat/>
    <w:uiPriority w:val="0"/>
    <w:pPr>
      <w:spacing w:line="360" w:lineRule="auto"/>
      <w:ind w:firstLine="200" w:firstLineChars="200"/>
    </w:pPr>
    <w:rPr>
      <w:rFonts w:ascii="宋体" w:hAnsi="宋体" w:cs="宋体"/>
      <w:sz w:val="24"/>
      <w:szCs w:val="24"/>
    </w:rPr>
  </w:style>
  <w:style w:type="paragraph" w:customStyle="1" w:styleId="1107">
    <w:name w:val="环正文"/>
    <w:basedOn w:val="1"/>
    <w:semiHidden/>
    <w:qFormat/>
    <w:uiPriority w:val="0"/>
    <w:pPr>
      <w:suppressAutoHyphens/>
      <w:spacing w:line="500" w:lineRule="atLeast"/>
      <w:ind w:firstLine="480" w:firstLineChars="200"/>
      <w:textAlignment w:val="baseline"/>
    </w:pPr>
    <w:rPr>
      <w:rFonts w:ascii="仿宋_GB2312" w:hAnsi="宋体" w:eastAsia="仿宋_GB2312"/>
      <w:color w:val="000000"/>
      <w:sz w:val="24"/>
      <w:szCs w:val="24"/>
    </w:rPr>
  </w:style>
  <w:style w:type="paragraph" w:customStyle="1" w:styleId="1108">
    <w:name w:val="环表头"/>
    <w:basedOn w:val="1107"/>
    <w:next w:val="1"/>
    <w:semiHidden/>
    <w:qFormat/>
    <w:uiPriority w:val="0"/>
    <w:pPr>
      <w:spacing w:before="60" w:after="60"/>
      <w:ind w:right="28" w:firstLine="0" w:firstLineChars="0"/>
      <w:jc w:val="center"/>
    </w:pPr>
    <w:rPr>
      <w:rFonts w:ascii="黑体" w:eastAsia="黑体"/>
      <w:color w:val="auto"/>
    </w:rPr>
  </w:style>
  <w:style w:type="paragraph" w:customStyle="1" w:styleId="1109">
    <w:name w:val="表底说明"/>
    <w:basedOn w:val="1"/>
    <w:link w:val="1110"/>
    <w:semiHidden/>
    <w:qFormat/>
    <w:uiPriority w:val="0"/>
    <w:rPr>
      <w:sz w:val="18"/>
      <w:szCs w:val="24"/>
    </w:rPr>
  </w:style>
  <w:style w:type="character" w:customStyle="1" w:styleId="1110">
    <w:name w:val="表底说明 Char"/>
    <w:basedOn w:val="109"/>
    <w:link w:val="1109"/>
    <w:semiHidden/>
    <w:qFormat/>
    <w:uiPriority w:val="0"/>
    <w:rPr>
      <w:sz w:val="18"/>
      <w:szCs w:val="24"/>
    </w:rPr>
  </w:style>
  <w:style w:type="paragraph" w:customStyle="1" w:styleId="1111">
    <w:name w:val="puce"/>
    <w:basedOn w:val="1"/>
    <w:semiHidden/>
    <w:qFormat/>
    <w:uiPriority w:val="0"/>
    <w:pPr>
      <w:numPr>
        <w:ilvl w:val="1"/>
        <w:numId w:val="5"/>
      </w:numPr>
      <w:adjustRightInd w:val="0"/>
      <w:snapToGrid w:val="0"/>
      <w:spacing w:line="360" w:lineRule="auto"/>
    </w:pPr>
    <w:rPr>
      <w:rFonts w:ascii="Arial" w:hAnsi="Arial"/>
      <w:sz w:val="24"/>
    </w:rPr>
  </w:style>
  <w:style w:type="character" w:customStyle="1" w:styleId="1112">
    <w:name w:val="xb"/>
    <w:basedOn w:val="109"/>
    <w:semiHidden/>
    <w:qFormat/>
    <w:uiPriority w:val="0"/>
  </w:style>
  <w:style w:type="character" w:customStyle="1" w:styleId="1113">
    <w:name w:val="hottext"/>
    <w:basedOn w:val="109"/>
    <w:semiHidden/>
    <w:qFormat/>
    <w:uiPriority w:val="0"/>
  </w:style>
  <w:style w:type="character" w:customStyle="1" w:styleId="1114">
    <w:name w:val="da1"/>
    <w:basedOn w:val="109"/>
    <w:semiHidden/>
    <w:qFormat/>
    <w:uiPriority w:val="0"/>
    <w:rPr>
      <w:rFonts w:hint="default"/>
      <w:color w:val="000000"/>
      <w:spacing w:val="360"/>
      <w:sz w:val="21"/>
      <w:szCs w:val="21"/>
      <w:u w:val="none"/>
    </w:rPr>
  </w:style>
  <w:style w:type="character" w:customStyle="1" w:styleId="1115">
    <w:name w:val="正文（首行缩进两字） Char Char Char Char Char Char Char Char Char"/>
    <w:basedOn w:val="109"/>
    <w:semiHidden/>
    <w:qFormat/>
    <w:uiPriority w:val="0"/>
    <w:rPr>
      <w:rFonts w:eastAsia="宋体"/>
      <w:kern w:val="2"/>
      <w:sz w:val="21"/>
      <w:szCs w:val="24"/>
      <w:lang w:val="en-US" w:eastAsia="zh-CN" w:bidi="ar-SA"/>
    </w:rPr>
  </w:style>
  <w:style w:type="paragraph" w:customStyle="1" w:styleId="1116">
    <w:name w:val="样式 正文 首行缩进:  2 字符 + 首行缩进:  2 字符"/>
    <w:basedOn w:val="1"/>
    <w:semiHidden/>
    <w:qFormat/>
    <w:uiPriority w:val="0"/>
    <w:pPr>
      <w:spacing w:line="480" w:lineRule="exact"/>
      <w:ind w:firstLine="560" w:firstLineChars="200"/>
    </w:pPr>
    <w:rPr>
      <w:sz w:val="28"/>
    </w:rPr>
  </w:style>
  <w:style w:type="character" w:customStyle="1" w:styleId="1117">
    <w:name w:val="hottext1"/>
    <w:basedOn w:val="109"/>
    <w:semiHidden/>
    <w:qFormat/>
    <w:uiPriority w:val="0"/>
    <w:rPr>
      <w:rFonts w:hint="eastAsia" w:ascii="宋体" w:hAnsi="宋体" w:eastAsia="宋体"/>
      <w:color w:val="333333"/>
      <w:spacing w:val="260"/>
      <w:sz w:val="20"/>
      <w:szCs w:val="20"/>
      <w:u w:val="none"/>
    </w:rPr>
  </w:style>
  <w:style w:type="paragraph" w:customStyle="1" w:styleId="1118">
    <w:name w:val="封面3"/>
    <w:basedOn w:val="1119"/>
    <w:semiHidden/>
    <w:qFormat/>
    <w:uiPriority w:val="0"/>
    <w:rPr>
      <w:rFonts w:ascii="宋体" w:hAnsi="宋体"/>
      <w:sz w:val="96"/>
      <w:szCs w:val="96"/>
    </w:rPr>
  </w:style>
  <w:style w:type="paragraph" w:customStyle="1" w:styleId="1119">
    <w:name w:val="封面2"/>
    <w:basedOn w:val="1"/>
    <w:semiHidden/>
    <w:qFormat/>
    <w:uiPriority w:val="0"/>
    <w:pPr>
      <w:jc w:val="center"/>
    </w:pPr>
    <w:rPr>
      <w:b/>
      <w:sz w:val="44"/>
      <w:szCs w:val="24"/>
    </w:rPr>
  </w:style>
  <w:style w:type="paragraph" w:customStyle="1" w:styleId="1120">
    <w:name w:val="封面4"/>
    <w:basedOn w:val="1121"/>
    <w:semiHidden/>
    <w:qFormat/>
    <w:uiPriority w:val="0"/>
    <w:pPr>
      <w:snapToGrid w:val="0"/>
      <w:spacing w:line="240" w:lineRule="auto"/>
      <w:jc w:val="center"/>
    </w:pPr>
    <w:rPr>
      <w:sz w:val="36"/>
    </w:rPr>
  </w:style>
  <w:style w:type="paragraph" w:customStyle="1" w:styleId="1121">
    <w:name w:val="封面1"/>
    <w:basedOn w:val="1"/>
    <w:semiHidden/>
    <w:qFormat/>
    <w:uiPriority w:val="0"/>
    <w:pPr>
      <w:spacing w:line="300" w:lineRule="auto"/>
    </w:pPr>
    <w:rPr>
      <w:b/>
      <w:bCs/>
      <w:color w:val="000000"/>
      <w:sz w:val="32"/>
      <w:szCs w:val="24"/>
      <w:bdr w:val="single" w:color="auto" w:sz="4" w:space="0"/>
    </w:rPr>
  </w:style>
  <w:style w:type="paragraph" w:customStyle="1" w:styleId="1122">
    <w:name w:val="责任页"/>
    <w:basedOn w:val="1"/>
    <w:semiHidden/>
    <w:qFormat/>
    <w:uiPriority w:val="0"/>
    <w:pPr>
      <w:spacing w:line="300" w:lineRule="auto"/>
    </w:pPr>
    <w:rPr>
      <w:sz w:val="28"/>
      <w:szCs w:val="24"/>
    </w:rPr>
  </w:style>
  <w:style w:type="paragraph" w:customStyle="1" w:styleId="1123">
    <w:name w:val="封面5"/>
    <w:basedOn w:val="1"/>
    <w:semiHidden/>
    <w:qFormat/>
    <w:uiPriority w:val="0"/>
    <w:pPr>
      <w:snapToGrid w:val="0"/>
    </w:pPr>
    <w:rPr>
      <w:szCs w:val="24"/>
    </w:rPr>
  </w:style>
  <w:style w:type="paragraph" w:customStyle="1" w:styleId="1124">
    <w:name w:val="自制表格"/>
    <w:basedOn w:val="1"/>
    <w:next w:val="1"/>
    <w:semiHidden/>
    <w:qFormat/>
    <w:uiPriority w:val="0"/>
    <w:pPr>
      <w:spacing w:after="120"/>
    </w:pPr>
    <w:rPr>
      <w:rFonts w:ascii="宋体"/>
      <w:kern w:val="10"/>
      <w:sz w:val="28"/>
    </w:rPr>
  </w:style>
  <w:style w:type="paragraph" w:customStyle="1" w:styleId="1125">
    <w:name w:val="表格名和图名"/>
    <w:basedOn w:val="1"/>
    <w:semiHidden/>
    <w:qFormat/>
    <w:uiPriority w:val="0"/>
    <w:pPr>
      <w:spacing w:line="360" w:lineRule="auto"/>
      <w:jc w:val="center"/>
    </w:pPr>
    <w:rPr>
      <w:color w:val="000000"/>
      <w:sz w:val="24"/>
      <w:szCs w:val="24"/>
    </w:rPr>
  </w:style>
  <w:style w:type="character" w:customStyle="1" w:styleId="1126">
    <w:name w:val="aspmaker1"/>
    <w:basedOn w:val="109"/>
    <w:semiHidden/>
    <w:qFormat/>
    <w:uiPriority w:val="0"/>
    <w:rPr>
      <w:rFonts w:hint="default" w:ascii="Verdana" w:hAnsi="Verdana"/>
      <w:sz w:val="20"/>
      <w:szCs w:val="20"/>
    </w:rPr>
  </w:style>
  <w:style w:type="character" w:customStyle="1" w:styleId="1127">
    <w:name w:val="neiyetest1"/>
    <w:basedOn w:val="109"/>
    <w:semiHidden/>
    <w:qFormat/>
    <w:uiPriority w:val="0"/>
    <w:rPr>
      <w:rFonts w:hint="default" w:ascii="ˎ̥" w:hAnsi="ˎ̥"/>
      <w:color w:val="000000"/>
      <w:sz w:val="20"/>
      <w:szCs w:val="20"/>
    </w:rPr>
  </w:style>
  <w:style w:type="character" w:customStyle="1" w:styleId="1128">
    <w:name w:val="slink1"/>
    <w:basedOn w:val="109"/>
    <w:semiHidden/>
    <w:qFormat/>
    <w:uiPriority w:val="0"/>
    <w:rPr>
      <w:rFonts w:hint="default" w:ascii="ˎ̥" w:hAnsi="ˎ̥"/>
      <w:sz w:val="18"/>
      <w:szCs w:val="18"/>
      <w:u w:val="none"/>
    </w:rPr>
  </w:style>
  <w:style w:type="paragraph" w:customStyle="1" w:styleId="1129">
    <w:name w:val="TAB"/>
    <w:basedOn w:val="29"/>
    <w:semiHidden/>
    <w:qFormat/>
    <w:uiPriority w:val="0"/>
    <w:pPr>
      <w:spacing w:before="60" w:after="60"/>
    </w:pPr>
    <w:rPr>
      <w:rFonts w:ascii="Arial" w:hAnsi="Arial"/>
      <w:sz w:val="18"/>
      <w:lang w:eastAsia="fr-FR"/>
    </w:rPr>
  </w:style>
  <w:style w:type="character" w:customStyle="1" w:styleId="1130">
    <w:name w:val="about-left1"/>
    <w:basedOn w:val="109"/>
    <w:semiHidden/>
    <w:qFormat/>
    <w:uiPriority w:val="0"/>
    <w:rPr>
      <w:color w:val="3A3A3A"/>
      <w:spacing w:val="15"/>
      <w:sz w:val="18"/>
      <w:szCs w:val="18"/>
      <w:u w:val="none"/>
    </w:rPr>
  </w:style>
  <w:style w:type="paragraph" w:customStyle="1" w:styleId="1131">
    <w:name w:val="1名"/>
    <w:basedOn w:val="1"/>
    <w:semiHidden/>
    <w:qFormat/>
    <w:uiPriority w:val="0"/>
    <w:pPr>
      <w:spacing w:before="120"/>
    </w:pPr>
    <w:rPr>
      <w:rFonts w:ascii="宋体"/>
      <w:sz w:val="28"/>
    </w:rPr>
  </w:style>
  <w:style w:type="character" w:customStyle="1" w:styleId="1132">
    <w:name w:val="标题3"/>
    <w:basedOn w:val="109"/>
    <w:semiHidden/>
    <w:qFormat/>
    <w:uiPriority w:val="0"/>
  </w:style>
  <w:style w:type="paragraph" w:customStyle="1" w:styleId="1133">
    <w:name w:val="我的正文"/>
    <w:basedOn w:val="1"/>
    <w:semiHidden/>
    <w:qFormat/>
    <w:uiPriority w:val="0"/>
    <w:pPr>
      <w:spacing w:line="440" w:lineRule="exact"/>
      <w:ind w:firstLine="200" w:firstLineChars="200"/>
    </w:pPr>
    <w:rPr>
      <w:sz w:val="24"/>
      <w:szCs w:val="24"/>
    </w:rPr>
  </w:style>
  <w:style w:type="paragraph" w:customStyle="1" w:styleId="1134">
    <w:name w:val="样式 样式 正文首行缩进 + 首行缩进:  2 字符 + 首行缩进:  2 字符"/>
    <w:basedOn w:val="1"/>
    <w:semiHidden/>
    <w:qFormat/>
    <w:uiPriority w:val="0"/>
    <w:pPr>
      <w:topLinePunct/>
      <w:adjustRightInd w:val="0"/>
      <w:snapToGrid w:val="0"/>
      <w:spacing w:line="360" w:lineRule="auto"/>
      <w:ind w:firstLine="480"/>
      <w:textAlignment w:val="baseline"/>
    </w:pPr>
    <w:rPr>
      <w:rFonts w:hAnsi="宋体" w:eastAsia="Times New Roman"/>
      <w:sz w:val="24"/>
    </w:rPr>
  </w:style>
  <w:style w:type="paragraph" w:customStyle="1" w:styleId="1135">
    <w:name w:val="标题 C"/>
    <w:basedOn w:val="1"/>
    <w:semiHidden/>
    <w:qFormat/>
    <w:uiPriority w:val="0"/>
    <w:pPr>
      <w:kinsoku w:val="0"/>
      <w:wordWrap w:val="0"/>
      <w:adjustRightInd w:val="0"/>
      <w:spacing w:before="60" w:after="60" w:line="120" w:lineRule="atLeast"/>
      <w:textAlignment w:val="baseline"/>
    </w:pPr>
    <w:rPr>
      <w:spacing w:val="32"/>
      <w:sz w:val="24"/>
    </w:rPr>
  </w:style>
  <w:style w:type="character" w:customStyle="1" w:styleId="1136">
    <w:name w:val="标题 3 Char Char Char Char Char"/>
    <w:basedOn w:val="109"/>
    <w:semiHidden/>
    <w:qFormat/>
    <w:uiPriority w:val="0"/>
    <w:rPr>
      <w:rFonts w:ascii="宋体" w:hAnsi="宋体" w:eastAsia="宋体"/>
      <w:b/>
      <w:bCs/>
      <w:kern w:val="2"/>
      <w:sz w:val="28"/>
      <w:szCs w:val="32"/>
      <w:lang w:val="en-US" w:eastAsia="zh-CN" w:bidi="ar-SA"/>
    </w:rPr>
  </w:style>
  <w:style w:type="paragraph" w:customStyle="1" w:styleId="1137">
    <w:name w:val="正文标准样式"/>
    <w:basedOn w:val="1"/>
    <w:semiHidden/>
    <w:qFormat/>
    <w:uiPriority w:val="0"/>
    <w:pPr>
      <w:adjustRightInd w:val="0"/>
      <w:spacing w:line="300" w:lineRule="auto"/>
      <w:ind w:firstLine="482"/>
      <w:textAlignment w:val="baseline"/>
    </w:pPr>
    <w:rPr>
      <w:sz w:val="24"/>
    </w:rPr>
  </w:style>
  <w:style w:type="paragraph" w:customStyle="1" w:styleId="1138">
    <w:name w:val="Char Char Char Char Char Char Char Char Char Char Char Char Char Char Char Char Char Char Char Char Char Char Char Char Char Char Char Char Char Char Char Char Char Char Char Char Char Char Char Char Char Char1"/>
    <w:basedOn w:val="1"/>
    <w:next w:val="1"/>
    <w:semiHidden/>
    <w:qFormat/>
    <w:uiPriority w:val="0"/>
    <w:pPr>
      <w:spacing w:line="360" w:lineRule="auto"/>
      <w:ind w:firstLine="200" w:firstLineChars="200"/>
    </w:pPr>
    <w:rPr>
      <w:rFonts w:ascii="宋体" w:hAnsi="宋体" w:cs="宋体"/>
      <w:sz w:val="24"/>
      <w:szCs w:val="24"/>
    </w:rPr>
  </w:style>
  <w:style w:type="character" w:customStyle="1" w:styleId="1139">
    <w:name w:val="flzx_p1"/>
    <w:basedOn w:val="109"/>
    <w:semiHidden/>
    <w:qFormat/>
    <w:uiPriority w:val="0"/>
    <w:rPr>
      <w:rFonts w:hint="default" w:ascii="Arial" w:hAnsi="Arial" w:cs="Arial"/>
      <w:color w:val="003483"/>
      <w:sz w:val="30"/>
      <w:szCs w:val="30"/>
      <w:u w:val="none"/>
    </w:rPr>
  </w:style>
  <w:style w:type="paragraph" w:customStyle="1" w:styleId="1140">
    <w:name w:val="自定义正文"/>
    <w:basedOn w:val="1"/>
    <w:semiHidden/>
    <w:qFormat/>
    <w:uiPriority w:val="0"/>
    <w:pPr>
      <w:adjustRightInd w:val="0"/>
      <w:spacing w:line="360" w:lineRule="auto"/>
      <w:ind w:firstLine="560"/>
    </w:pPr>
    <w:rPr>
      <w:sz w:val="28"/>
    </w:rPr>
  </w:style>
  <w:style w:type="paragraph" w:customStyle="1" w:styleId="1141">
    <w:name w:val="表格，五宋"/>
    <w:basedOn w:val="1"/>
    <w:semiHidden/>
    <w:qFormat/>
    <w:uiPriority w:val="0"/>
    <w:pPr>
      <w:adjustRightInd w:val="0"/>
      <w:spacing w:line="360" w:lineRule="exact"/>
      <w:jc w:val="center"/>
    </w:pPr>
  </w:style>
  <w:style w:type="paragraph" w:customStyle="1" w:styleId="1142">
    <w:name w:val="密级编号"/>
    <w:basedOn w:val="1"/>
    <w:semiHidden/>
    <w:qFormat/>
    <w:uiPriority w:val="0"/>
    <w:pPr>
      <w:adjustRightInd w:val="0"/>
      <w:jc w:val="center"/>
      <w:textAlignment w:val="baseline"/>
    </w:pPr>
    <w:rPr>
      <w:rFonts w:ascii="仿宋_GB2312" w:eastAsia="仿宋_GB2312"/>
      <w:sz w:val="24"/>
    </w:rPr>
  </w:style>
  <w:style w:type="paragraph" w:customStyle="1" w:styleId="1143">
    <w:name w:val="Char Char Char Char Char Char Char Char Char Char Char Char Char Char Char Char Char Char Char Char Char Char Char Char Char Char Char Char Char Char Char Char Char Char Char Char Char Char Char1"/>
    <w:basedOn w:val="1"/>
    <w:semiHidden/>
    <w:qFormat/>
    <w:uiPriority w:val="0"/>
    <w:rPr>
      <w:szCs w:val="24"/>
    </w:rPr>
  </w:style>
  <w:style w:type="paragraph" w:customStyle="1" w:styleId="1144">
    <w:name w:val="样式 正文文本缩进 + 行距: 多倍行距 1.3 字行 Char"/>
    <w:basedOn w:val="30"/>
    <w:semiHidden/>
    <w:qFormat/>
    <w:uiPriority w:val="0"/>
    <w:pPr>
      <w:autoSpaceDE w:val="0"/>
      <w:autoSpaceDN w:val="0"/>
      <w:adjustRightInd w:val="0"/>
      <w:snapToGrid w:val="0"/>
      <w:spacing w:after="0" w:line="360" w:lineRule="auto"/>
      <w:ind w:left="0" w:leftChars="0"/>
      <w:textAlignment w:val="baseline"/>
    </w:pPr>
    <w:rPr>
      <w:rFonts w:ascii="黑体" w:hAnsi="宋体" w:eastAsia="黑体"/>
      <w:b/>
      <w:color w:val="000000"/>
      <w:sz w:val="24"/>
      <w:szCs w:val="24"/>
    </w:rPr>
  </w:style>
  <w:style w:type="character" w:customStyle="1" w:styleId="1145">
    <w:name w:val="样式 楷体 小四"/>
    <w:basedOn w:val="109"/>
    <w:semiHidden/>
    <w:qFormat/>
    <w:uiPriority w:val="0"/>
    <w:rPr>
      <w:rFonts w:ascii="Times New Roman" w:hAnsi="Times New Roman" w:eastAsia="宋体"/>
      <w:sz w:val="24"/>
      <w:szCs w:val="24"/>
    </w:rPr>
  </w:style>
  <w:style w:type="character" w:customStyle="1" w:styleId="1146">
    <w:name w:val="highlight"/>
    <w:basedOn w:val="109"/>
    <w:semiHidden/>
    <w:qFormat/>
    <w:uiPriority w:val="0"/>
  </w:style>
  <w:style w:type="paragraph" w:customStyle="1" w:styleId="1147">
    <w:name w:val="正文(首行缩进) Char Char"/>
    <w:basedOn w:val="1"/>
    <w:semiHidden/>
    <w:qFormat/>
    <w:uiPriority w:val="0"/>
    <w:pPr>
      <w:spacing w:line="360" w:lineRule="auto"/>
      <w:ind w:firstLine="480" w:firstLineChars="200"/>
    </w:pPr>
    <w:rPr>
      <w:snapToGrid w:val="0"/>
      <w:sz w:val="24"/>
      <w:szCs w:val="24"/>
    </w:rPr>
  </w:style>
  <w:style w:type="paragraph" w:customStyle="1" w:styleId="1148">
    <w:name w:val="Char Char Char Char Char Char Char Char Char Char Char"/>
    <w:basedOn w:val="1"/>
    <w:semiHidden/>
    <w:qFormat/>
    <w:uiPriority w:val="0"/>
    <w:rPr>
      <w:szCs w:val="24"/>
    </w:rPr>
  </w:style>
  <w:style w:type="paragraph" w:customStyle="1" w:styleId="1149">
    <w:name w:val="Char Char Char Char Char Char Char Char Char Char Char Char Char Char Char Char Char Char Char Char Char Char Char"/>
    <w:basedOn w:val="1"/>
    <w:semiHidden/>
    <w:qFormat/>
    <w:uiPriority w:val="0"/>
    <w:rPr>
      <w:szCs w:val="24"/>
    </w:rPr>
  </w:style>
  <w:style w:type="paragraph" w:customStyle="1" w:styleId="1150">
    <w:name w:val="Char Char Char Char Char Char Char Char Char Char Char Char Char Char Char Char Char Char Char Char Char Char Char Char Char Char"/>
    <w:basedOn w:val="1"/>
    <w:semiHidden/>
    <w:qFormat/>
    <w:uiPriority w:val="0"/>
    <w:rPr>
      <w:szCs w:val="24"/>
    </w:rPr>
  </w:style>
  <w:style w:type="paragraph" w:customStyle="1" w:styleId="1151">
    <w:name w:val="样式 标题 + 两端对齐 左侧:  2.2 厘米"/>
    <w:basedOn w:val="78"/>
    <w:semiHidden/>
    <w:qFormat/>
    <w:uiPriority w:val="0"/>
    <w:pPr>
      <w:tabs>
        <w:tab w:val="left" w:pos="0"/>
      </w:tabs>
      <w:spacing w:after="100" w:afterAutospacing="1"/>
      <w:ind w:left="1247" w:hanging="57" w:firstLineChars="0"/>
      <w:jc w:val="left"/>
    </w:pPr>
    <w:rPr>
      <w:rFonts w:ascii="楷体_GB2312" w:cs="宋体"/>
      <w:szCs w:val="20"/>
    </w:rPr>
  </w:style>
  <w:style w:type="paragraph" w:customStyle="1" w:styleId="1152">
    <w:name w:val="样式 标题 + 两端对齐 左侧:  2.2 厘米1"/>
    <w:basedOn w:val="78"/>
    <w:semiHidden/>
    <w:qFormat/>
    <w:uiPriority w:val="0"/>
    <w:pPr>
      <w:tabs>
        <w:tab w:val="left" w:pos="0"/>
      </w:tabs>
      <w:spacing w:after="100" w:afterAutospacing="1"/>
      <w:ind w:left="1247" w:hanging="57" w:firstLineChars="0"/>
      <w:jc w:val="both"/>
    </w:pPr>
    <w:rPr>
      <w:rFonts w:ascii="楷体_GB2312" w:cs="宋体"/>
      <w:sz w:val="32"/>
      <w:szCs w:val="20"/>
    </w:rPr>
  </w:style>
  <w:style w:type="paragraph" w:customStyle="1" w:styleId="1153">
    <w:name w:val="样式 标题 + 两端对齐"/>
    <w:basedOn w:val="78"/>
    <w:semiHidden/>
    <w:qFormat/>
    <w:uiPriority w:val="0"/>
    <w:pPr>
      <w:tabs>
        <w:tab w:val="left" w:pos="0"/>
      </w:tabs>
      <w:spacing w:after="100" w:afterAutospacing="1"/>
      <w:ind w:left="57" w:hanging="57" w:firstLineChars="0"/>
    </w:pPr>
    <w:rPr>
      <w:rFonts w:ascii="隶书" w:cs="宋体"/>
      <w:szCs w:val="44"/>
    </w:rPr>
  </w:style>
  <w:style w:type="paragraph" w:customStyle="1" w:styleId="1154">
    <w:name w:val="样式 标题 + 居中"/>
    <w:basedOn w:val="78"/>
    <w:semiHidden/>
    <w:qFormat/>
    <w:uiPriority w:val="0"/>
    <w:pPr>
      <w:tabs>
        <w:tab w:val="left" w:pos="0"/>
      </w:tabs>
      <w:spacing w:after="100" w:afterAutospacing="1"/>
      <w:ind w:left="57" w:hanging="57" w:firstLineChars="0"/>
    </w:pPr>
    <w:rPr>
      <w:rFonts w:ascii="楷体_GB2312" w:cs="宋体"/>
      <w:sz w:val="36"/>
      <w:szCs w:val="20"/>
    </w:rPr>
  </w:style>
  <w:style w:type="paragraph" w:customStyle="1" w:styleId="1155">
    <w:name w:val="Char2"/>
    <w:basedOn w:val="1"/>
    <w:semiHidden/>
    <w:qFormat/>
    <w:uiPriority w:val="0"/>
    <w:rPr>
      <w:szCs w:val="24"/>
    </w:rPr>
  </w:style>
  <w:style w:type="character" w:customStyle="1" w:styleId="1156">
    <w:name w:val="H1 Char"/>
    <w:basedOn w:val="109"/>
    <w:semiHidden/>
    <w:qFormat/>
    <w:uiPriority w:val="0"/>
    <w:rPr>
      <w:rFonts w:eastAsia="隶书"/>
      <w:kern w:val="2"/>
      <w:sz w:val="44"/>
      <w:szCs w:val="24"/>
      <w:lang w:val="en-US" w:eastAsia="zh-CN" w:bidi="ar-SA"/>
    </w:rPr>
  </w:style>
  <w:style w:type="paragraph" w:customStyle="1" w:styleId="1157">
    <w:name w:val="Char32"/>
    <w:basedOn w:val="1"/>
    <w:semiHidden/>
    <w:qFormat/>
    <w:uiPriority w:val="0"/>
    <w:rPr>
      <w:szCs w:val="24"/>
    </w:rPr>
  </w:style>
  <w:style w:type="character" w:customStyle="1" w:styleId="1158">
    <w:name w:val="style21"/>
    <w:basedOn w:val="109"/>
    <w:semiHidden/>
    <w:qFormat/>
    <w:uiPriority w:val="0"/>
    <w:rPr>
      <w:sz w:val="40"/>
      <w:szCs w:val="40"/>
    </w:rPr>
  </w:style>
  <w:style w:type="character" w:customStyle="1" w:styleId="1159">
    <w:name w:val="第一条"/>
    <w:basedOn w:val="109"/>
    <w:semiHidden/>
    <w:qFormat/>
    <w:uiPriority w:val="0"/>
  </w:style>
  <w:style w:type="paragraph" w:customStyle="1" w:styleId="1160">
    <w:name w:val="样式 化工城正文 + 首行缩进:  2 字符 行距: 多倍行距 1.35 字行"/>
    <w:basedOn w:val="1"/>
    <w:semiHidden/>
    <w:qFormat/>
    <w:uiPriority w:val="0"/>
    <w:pPr>
      <w:spacing w:line="324" w:lineRule="auto"/>
      <w:ind w:firstLine="480" w:firstLineChars="200"/>
    </w:pPr>
    <w:rPr>
      <w:rFonts w:ascii="宋体" w:hAnsi="宋体" w:cs="宋体"/>
      <w:sz w:val="24"/>
    </w:rPr>
  </w:style>
  <w:style w:type="paragraph" w:customStyle="1" w:styleId="1161">
    <w:name w:val="Char41"/>
    <w:basedOn w:val="1"/>
    <w:semiHidden/>
    <w:qFormat/>
    <w:uiPriority w:val="0"/>
    <w:rPr>
      <w:szCs w:val="24"/>
    </w:rPr>
  </w:style>
  <w:style w:type="paragraph" w:customStyle="1" w:styleId="1162">
    <w:name w:val="Char15"/>
    <w:basedOn w:val="1"/>
    <w:semiHidden/>
    <w:qFormat/>
    <w:uiPriority w:val="0"/>
    <w:rPr>
      <w:szCs w:val="24"/>
    </w:rPr>
  </w:style>
  <w:style w:type="paragraph" w:customStyle="1" w:styleId="1163">
    <w:name w:val="正文（首行缩进两字）m"/>
    <w:basedOn w:val="18"/>
    <w:semiHidden/>
    <w:qFormat/>
    <w:uiPriority w:val="0"/>
    <w:pPr>
      <w:tabs>
        <w:tab w:val="left" w:pos="1848"/>
        <w:tab w:val="left" w:pos="6061"/>
        <w:tab w:val="left" w:pos="8665"/>
      </w:tabs>
      <w:snapToGrid w:val="0"/>
      <w:spacing w:beforeLines="50" w:line="460" w:lineRule="exact"/>
      <w:ind w:firstLine="480"/>
    </w:pPr>
    <w:rPr>
      <w:rFonts w:ascii="宋体" w:hAnsi="宋体"/>
      <w:sz w:val="24"/>
    </w:rPr>
  </w:style>
  <w:style w:type="paragraph" w:customStyle="1" w:styleId="1164">
    <w:name w:val="Char6"/>
    <w:basedOn w:val="1"/>
    <w:semiHidden/>
    <w:qFormat/>
    <w:uiPriority w:val="0"/>
    <w:rPr>
      <w:szCs w:val="24"/>
    </w:rPr>
  </w:style>
  <w:style w:type="character" w:customStyle="1" w:styleId="1165">
    <w:name w:val="标题2 Char1"/>
    <w:basedOn w:val="109"/>
    <w:semiHidden/>
    <w:qFormat/>
    <w:uiPriority w:val="0"/>
    <w:rPr>
      <w:rFonts w:ascii="Arial" w:hAnsi="Arial" w:eastAsia="黑体"/>
      <w:b/>
      <w:bCs/>
      <w:kern w:val="2"/>
      <w:sz w:val="32"/>
      <w:szCs w:val="32"/>
      <w:lang w:val="en-US" w:eastAsia="zh-CN" w:bidi="ar-SA"/>
    </w:rPr>
  </w:style>
  <w:style w:type="paragraph" w:customStyle="1" w:styleId="1166">
    <w:name w:val="样式 5 + 首行缩进:  2 字符"/>
    <w:basedOn w:val="1"/>
    <w:link w:val="1167"/>
    <w:semiHidden/>
    <w:qFormat/>
    <w:uiPriority w:val="0"/>
    <w:pPr>
      <w:ind w:firstLine="592" w:firstLineChars="200"/>
    </w:pPr>
    <w:rPr>
      <w:rFonts w:ascii="楷体_GB2312" w:hAnsi="宋体" w:eastAsia="楷体_GB2312" w:cs="宋体"/>
      <w:color w:val="000000"/>
      <w:spacing w:val="-2"/>
      <w:sz w:val="30"/>
      <w:szCs w:val="30"/>
    </w:rPr>
  </w:style>
  <w:style w:type="character" w:customStyle="1" w:styleId="1167">
    <w:name w:val="样式 5 + 首行缩进:  2 字符 Char"/>
    <w:basedOn w:val="109"/>
    <w:link w:val="1166"/>
    <w:semiHidden/>
    <w:qFormat/>
    <w:uiPriority w:val="0"/>
    <w:rPr>
      <w:rFonts w:ascii="楷体_GB2312" w:hAnsi="宋体" w:eastAsia="楷体_GB2312" w:cs="宋体"/>
      <w:color w:val="000000"/>
      <w:spacing w:val="-2"/>
      <w:sz w:val="30"/>
      <w:szCs w:val="30"/>
    </w:rPr>
  </w:style>
  <w:style w:type="character" w:customStyle="1" w:styleId="1168">
    <w:name w:val="报告正文 Char Char"/>
    <w:basedOn w:val="109"/>
    <w:semiHidden/>
    <w:qFormat/>
    <w:uiPriority w:val="1"/>
    <w:rPr>
      <w:rFonts w:eastAsia="宋体"/>
      <w:kern w:val="2"/>
      <w:sz w:val="28"/>
      <w:szCs w:val="28"/>
      <w:lang w:val="en-US" w:eastAsia="zh-CN" w:bidi="ar-SA"/>
    </w:rPr>
  </w:style>
  <w:style w:type="paragraph" w:customStyle="1" w:styleId="1169">
    <w:name w:val="表文字 Char"/>
    <w:basedOn w:val="1"/>
    <w:link w:val="1170"/>
    <w:semiHidden/>
    <w:qFormat/>
    <w:uiPriority w:val="0"/>
    <w:pPr>
      <w:keepNext/>
      <w:spacing w:line="240" w:lineRule="exact"/>
    </w:pPr>
    <w:rPr>
      <w:rFonts w:ascii="仿宋_GB2312" w:hAnsi="宋体" w:eastAsia="仿宋_GB2312"/>
      <w:b/>
      <w:bCs/>
      <w:sz w:val="18"/>
      <w:szCs w:val="18"/>
    </w:rPr>
  </w:style>
  <w:style w:type="character" w:customStyle="1" w:styleId="1170">
    <w:name w:val="表文字 Char Char"/>
    <w:basedOn w:val="109"/>
    <w:link w:val="1169"/>
    <w:semiHidden/>
    <w:qFormat/>
    <w:uiPriority w:val="0"/>
    <w:rPr>
      <w:rFonts w:ascii="仿宋_GB2312" w:hAnsi="宋体" w:eastAsia="仿宋_GB2312"/>
      <w:b/>
      <w:bCs/>
      <w:sz w:val="18"/>
      <w:szCs w:val="18"/>
    </w:rPr>
  </w:style>
  <w:style w:type="paragraph" w:customStyle="1" w:styleId="1171">
    <w:name w:val="pvc1.1"/>
    <w:basedOn w:val="3"/>
    <w:next w:val="3"/>
    <w:semiHidden/>
    <w:qFormat/>
    <w:uiPriority w:val="0"/>
    <w:pPr>
      <w:widowControl w:val="0"/>
      <w:tabs>
        <w:tab w:val="left" w:pos="576"/>
        <w:tab w:val="left" w:pos="768"/>
      </w:tabs>
      <w:adjustRightInd w:val="0"/>
      <w:spacing w:beforeLines="100" w:afterLines="100" w:line="324" w:lineRule="auto"/>
      <w:ind w:left="576" w:hanging="576"/>
      <w:jc w:val="both"/>
    </w:pPr>
    <w:rPr>
      <w:rFonts w:ascii="黑体" w:hAnsi="Arial" w:eastAsia="华文中宋" w:cs="宋体"/>
      <w:b w:val="0"/>
      <w:sz w:val="44"/>
      <w:szCs w:val="44"/>
    </w:rPr>
  </w:style>
  <w:style w:type="paragraph" w:customStyle="1" w:styleId="1172">
    <w:name w:val="Char Char Char2 Char Char Char Char Char Char Char Char Char Char"/>
    <w:basedOn w:val="1"/>
    <w:semiHidden/>
    <w:qFormat/>
    <w:uiPriority w:val="0"/>
    <w:rPr>
      <w:szCs w:val="24"/>
    </w:rPr>
  </w:style>
  <w:style w:type="character" w:customStyle="1" w:styleId="1173">
    <w:name w:val="样式 样式 首行缩进:  0.85 厘米 + 段前: 0.5 行 Char1"/>
    <w:basedOn w:val="109"/>
    <w:link w:val="1174"/>
    <w:semiHidden/>
    <w:qFormat/>
    <w:uiPriority w:val="0"/>
    <w:rPr>
      <w:sz w:val="24"/>
    </w:rPr>
  </w:style>
  <w:style w:type="paragraph" w:customStyle="1" w:styleId="1174">
    <w:name w:val="样式 样式 首行缩进:  0.85 厘米 + 段前: 0.5 行"/>
    <w:basedOn w:val="1"/>
    <w:link w:val="1173"/>
    <w:semiHidden/>
    <w:qFormat/>
    <w:uiPriority w:val="0"/>
    <w:pPr>
      <w:spacing w:before="50" w:line="360" w:lineRule="auto"/>
      <w:ind w:firstLine="482"/>
    </w:pPr>
    <w:rPr>
      <w:sz w:val="24"/>
    </w:rPr>
  </w:style>
  <w:style w:type="character" w:customStyle="1" w:styleId="1175">
    <w:name w:val="正文缩进 Char Char Char1"/>
    <w:basedOn w:val="109"/>
    <w:semiHidden/>
    <w:qFormat/>
    <w:uiPriority w:val="0"/>
    <w:rPr>
      <w:rFonts w:eastAsia="宋体"/>
      <w:kern w:val="2"/>
      <w:sz w:val="21"/>
      <w:szCs w:val="24"/>
      <w:lang w:val="en-US" w:eastAsia="zh-CN" w:bidi="ar-SA"/>
    </w:rPr>
  </w:style>
  <w:style w:type="character" w:customStyle="1" w:styleId="1176">
    <w:name w:val="无页眉 Char"/>
    <w:basedOn w:val="109"/>
    <w:semiHidden/>
    <w:qFormat/>
    <w:uiPriority w:val="0"/>
    <w:rPr>
      <w:rFonts w:eastAsia="宋体"/>
      <w:kern w:val="2"/>
      <w:sz w:val="18"/>
      <w:szCs w:val="18"/>
      <w:lang w:val="en-US" w:eastAsia="zh-CN" w:bidi="ar-SA"/>
    </w:rPr>
  </w:style>
  <w:style w:type="character" w:customStyle="1" w:styleId="1177">
    <w:name w:val="EmailStyle12031"/>
    <w:basedOn w:val="109"/>
    <w:semiHidden/>
    <w:qFormat/>
    <w:uiPriority w:val="0"/>
    <w:rPr>
      <w:rFonts w:ascii="Arial" w:hAnsi="Arial" w:eastAsia="宋体" w:cs="Arial"/>
      <w:color w:val="auto"/>
      <w:sz w:val="20"/>
    </w:rPr>
  </w:style>
  <w:style w:type="character" w:customStyle="1" w:styleId="1178">
    <w:name w:val="EmailStyle12041"/>
    <w:basedOn w:val="109"/>
    <w:semiHidden/>
    <w:qFormat/>
    <w:uiPriority w:val="0"/>
    <w:rPr>
      <w:rFonts w:ascii="Arial" w:hAnsi="Arial" w:eastAsia="宋体" w:cs="Arial"/>
      <w:color w:val="auto"/>
      <w:sz w:val="20"/>
    </w:rPr>
  </w:style>
  <w:style w:type="paragraph" w:customStyle="1" w:styleId="1179">
    <w:name w:val="日期2"/>
    <w:basedOn w:val="1"/>
    <w:next w:val="1"/>
    <w:semiHidden/>
    <w:qFormat/>
    <w:uiPriority w:val="0"/>
    <w:pPr>
      <w:overflowPunct w:val="0"/>
      <w:spacing w:line="360" w:lineRule="auto"/>
      <w:ind w:firstLine="560"/>
    </w:pPr>
    <w:rPr>
      <w:rFonts w:ascii="仿宋_GB2312"/>
      <w:sz w:val="28"/>
    </w:rPr>
  </w:style>
  <w:style w:type="character" w:customStyle="1" w:styleId="1180">
    <w:name w:val="正文（首行式样2） Char"/>
    <w:basedOn w:val="109"/>
    <w:link w:val="392"/>
    <w:semiHidden/>
    <w:qFormat/>
    <w:uiPriority w:val="0"/>
    <w:rPr>
      <w:rFonts w:ascii="宋体" w:eastAsia="仿宋_GB2312"/>
      <w:sz w:val="28"/>
    </w:rPr>
  </w:style>
  <w:style w:type="paragraph" w:customStyle="1" w:styleId="1181">
    <w:name w:val="Char Char Char Char Char Char Char2"/>
    <w:basedOn w:val="1"/>
    <w:next w:val="1"/>
    <w:semiHidden/>
    <w:qFormat/>
    <w:uiPriority w:val="0"/>
    <w:pPr>
      <w:spacing w:line="360" w:lineRule="auto"/>
      <w:ind w:firstLine="200" w:firstLineChars="200"/>
    </w:pPr>
    <w:rPr>
      <w:rFonts w:ascii="宋体" w:hAnsi="宋体" w:cs="宋体"/>
      <w:sz w:val="24"/>
      <w:szCs w:val="24"/>
    </w:rPr>
  </w:style>
  <w:style w:type="character" w:customStyle="1" w:styleId="1182">
    <w:name w:val="Char Char41"/>
    <w:basedOn w:val="109"/>
    <w:semiHidden/>
    <w:qFormat/>
    <w:uiPriority w:val="0"/>
    <w:rPr>
      <w:rFonts w:eastAsia="宋体"/>
      <w:b/>
      <w:bCs/>
      <w:kern w:val="44"/>
      <w:sz w:val="28"/>
      <w:szCs w:val="28"/>
      <w:lang w:val="en-US" w:eastAsia="zh-CN" w:bidi="ar-SA"/>
    </w:rPr>
  </w:style>
  <w:style w:type="paragraph" w:customStyle="1" w:styleId="1183">
    <w:name w:val="Char Char Char Char Char Char Char Char Char Char Char Char2"/>
    <w:basedOn w:val="1"/>
    <w:next w:val="1"/>
    <w:semiHidden/>
    <w:qFormat/>
    <w:uiPriority w:val="0"/>
    <w:pPr>
      <w:spacing w:line="360" w:lineRule="auto"/>
      <w:ind w:firstLine="200" w:firstLineChars="200"/>
    </w:pPr>
    <w:rPr>
      <w:rFonts w:ascii="宋体" w:hAnsi="宋体" w:cs="宋体"/>
      <w:sz w:val="24"/>
      <w:szCs w:val="24"/>
    </w:rPr>
  </w:style>
  <w:style w:type="paragraph" w:customStyle="1" w:styleId="1184">
    <w:name w:val="Char Char Char Char Char Char Char Char Char Char Char Char1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1185">
    <w:name w:val="Char Char Char Char Char Char1 Char2"/>
    <w:basedOn w:val="1"/>
    <w:semiHidden/>
    <w:qFormat/>
    <w:uiPriority w:val="0"/>
    <w:rPr>
      <w:szCs w:val="24"/>
    </w:rPr>
  </w:style>
  <w:style w:type="paragraph" w:customStyle="1" w:styleId="1186">
    <w:name w:val="Char Char Char Char Char Char1"/>
    <w:basedOn w:val="1"/>
    <w:semiHidden/>
    <w:qFormat/>
    <w:uiPriority w:val="0"/>
    <w:rPr>
      <w:szCs w:val="24"/>
    </w:rPr>
  </w:style>
  <w:style w:type="paragraph" w:customStyle="1" w:styleId="1187">
    <w:name w:val="Char Char Char Char Char Char Char Char Char Char Char Char Char Char Char Char4"/>
    <w:basedOn w:val="1"/>
    <w:semiHidden/>
    <w:qFormat/>
    <w:uiPriority w:val="0"/>
    <w:rPr>
      <w:szCs w:val="24"/>
    </w:rPr>
  </w:style>
  <w:style w:type="paragraph" w:customStyle="1" w:styleId="1188">
    <w:name w:val="a01"/>
    <w:basedOn w:val="1"/>
    <w:semiHidden/>
    <w:qFormat/>
    <w:uiPriority w:val="0"/>
    <w:pPr>
      <w:spacing w:before="100" w:beforeAutospacing="1" w:after="100" w:afterAutospacing="1" w:line="345" w:lineRule="atLeast"/>
    </w:pPr>
    <w:rPr>
      <w:rFonts w:ascii="宋体" w:hAnsi="宋体" w:cs="宋体"/>
      <w:color w:val="000000"/>
      <w:sz w:val="23"/>
      <w:szCs w:val="23"/>
    </w:rPr>
  </w:style>
  <w:style w:type="paragraph" w:customStyle="1" w:styleId="1189">
    <w:name w:val="样式 表头 + 首行缩进:  2 字符"/>
    <w:basedOn w:val="1"/>
    <w:semiHidden/>
    <w:qFormat/>
    <w:uiPriority w:val="0"/>
    <w:pPr>
      <w:keepNext/>
      <w:tabs>
        <w:tab w:val="left" w:pos="3319"/>
        <w:tab w:val="left" w:pos="3600"/>
      </w:tabs>
      <w:jc w:val="center"/>
    </w:pPr>
    <w:rPr>
      <w:rFonts w:eastAsia="仿宋_GB2312"/>
      <w:b/>
      <w:bCs/>
      <w:color w:val="000000"/>
      <w:sz w:val="24"/>
    </w:rPr>
  </w:style>
  <w:style w:type="paragraph" w:customStyle="1" w:styleId="1190">
    <w:name w:val="报告节"/>
    <w:basedOn w:val="1"/>
    <w:next w:val="1"/>
    <w:semiHidden/>
    <w:qFormat/>
    <w:uiPriority w:val="0"/>
    <w:pPr>
      <w:keepNext/>
      <w:tabs>
        <w:tab w:val="left" w:pos="3319"/>
        <w:tab w:val="left" w:pos="3600"/>
      </w:tabs>
      <w:spacing w:line="720" w:lineRule="auto"/>
      <w:jc w:val="center"/>
      <w:outlineLvl w:val="1"/>
    </w:pPr>
    <w:rPr>
      <w:rFonts w:ascii="仿宋_GB2312" w:eastAsia="仿宋_GB2312"/>
      <w:b/>
      <w:snapToGrid w:val="0"/>
      <w:sz w:val="32"/>
      <w:szCs w:val="32"/>
    </w:rPr>
  </w:style>
  <w:style w:type="paragraph" w:customStyle="1" w:styleId="1191">
    <w:name w:val="报告一"/>
    <w:basedOn w:val="1"/>
    <w:semiHidden/>
    <w:qFormat/>
    <w:uiPriority w:val="0"/>
    <w:pPr>
      <w:keepNext/>
      <w:tabs>
        <w:tab w:val="left" w:pos="3319"/>
        <w:tab w:val="left" w:pos="3600"/>
      </w:tabs>
      <w:ind w:left="560"/>
      <w:outlineLvl w:val="3"/>
    </w:pPr>
    <w:rPr>
      <w:rFonts w:ascii="仿宋_GB2312" w:hAnsi="宋体" w:eastAsia="仿宋_GB2312"/>
      <w:b/>
      <w:bCs/>
      <w:sz w:val="28"/>
      <w:szCs w:val="28"/>
    </w:rPr>
  </w:style>
  <w:style w:type="paragraph" w:customStyle="1" w:styleId="1192">
    <w:name w:val="样式 样式 样式 设计正文 + 首行缩进:  2 字符 + 首行缩进:  2 字符 + 首行缩进:  2 字符"/>
    <w:basedOn w:val="1"/>
    <w:semiHidden/>
    <w:qFormat/>
    <w:uiPriority w:val="0"/>
    <w:pPr>
      <w:keepNext/>
      <w:spacing w:line="360" w:lineRule="auto"/>
      <w:ind w:firstLine="538" w:firstLineChars="192"/>
    </w:pPr>
    <w:rPr>
      <w:rFonts w:ascii="仿宋_GB2312" w:eastAsia="仿宋_GB2312" w:cs="宋体"/>
      <w:sz w:val="28"/>
    </w:rPr>
  </w:style>
  <w:style w:type="character" w:customStyle="1" w:styleId="1193">
    <w:name w:val="样式 首行缩进:  2 字符 Char"/>
    <w:basedOn w:val="109"/>
    <w:semiHidden/>
    <w:qFormat/>
    <w:uiPriority w:val="0"/>
    <w:rPr>
      <w:rFonts w:eastAsia="仿宋_GB2312" w:cs="宋体"/>
      <w:kern w:val="2"/>
      <w:sz w:val="24"/>
      <w:lang w:val="en-US" w:eastAsia="zh-CN" w:bidi="ar-SA"/>
    </w:rPr>
  </w:style>
  <w:style w:type="character" w:customStyle="1" w:styleId="1194">
    <w:name w:val="注释标题 Char1"/>
    <w:basedOn w:val="109"/>
    <w:semiHidden/>
    <w:qFormat/>
    <w:uiPriority w:val="99"/>
    <w:rPr>
      <w:rFonts w:eastAsia="黑体"/>
      <w:kern w:val="2"/>
      <w:sz w:val="24"/>
      <w:szCs w:val="24"/>
      <w:lang w:val="en-US" w:eastAsia="zh-CN" w:bidi="ar-SA"/>
    </w:rPr>
  </w:style>
  <w:style w:type="paragraph" w:customStyle="1" w:styleId="1195">
    <w:name w:val="Char Char Char Char Char Char Char Char Char5"/>
    <w:basedOn w:val="1"/>
    <w:semiHidden/>
    <w:qFormat/>
    <w:uiPriority w:val="0"/>
    <w:rPr>
      <w:szCs w:val="24"/>
    </w:rPr>
  </w:style>
  <w:style w:type="paragraph" w:customStyle="1" w:styleId="1196">
    <w:name w:val="正文表标题"/>
    <w:basedOn w:val="1"/>
    <w:next w:val="593"/>
    <w:semiHidden/>
    <w:qFormat/>
    <w:uiPriority w:val="0"/>
    <w:pPr>
      <w:tabs>
        <w:tab w:val="left" w:pos="720"/>
      </w:tabs>
      <w:ind w:left="720" w:hanging="720"/>
      <w:jc w:val="center"/>
    </w:pPr>
    <w:rPr>
      <w:rFonts w:ascii="黑体" w:eastAsia="黑体"/>
    </w:rPr>
  </w:style>
  <w:style w:type="paragraph" w:customStyle="1" w:styleId="1197">
    <w:name w:val="三级无标题条"/>
    <w:basedOn w:val="1"/>
    <w:semiHidden/>
    <w:qFormat/>
    <w:uiPriority w:val="0"/>
    <w:rPr>
      <w:szCs w:val="24"/>
    </w:rPr>
  </w:style>
  <w:style w:type="paragraph" w:customStyle="1" w:styleId="1198">
    <w:name w:val="四级无标题条"/>
    <w:basedOn w:val="1"/>
    <w:semiHidden/>
    <w:qFormat/>
    <w:uiPriority w:val="0"/>
    <w:rPr>
      <w:szCs w:val="24"/>
    </w:rPr>
  </w:style>
  <w:style w:type="paragraph" w:customStyle="1" w:styleId="1199">
    <w:name w:val="五级无标题条"/>
    <w:basedOn w:val="1"/>
    <w:semiHidden/>
    <w:qFormat/>
    <w:uiPriority w:val="0"/>
    <w:pPr>
      <w:tabs>
        <w:tab w:val="left" w:pos="1740"/>
      </w:tabs>
      <w:ind w:left="1740" w:hanging="420"/>
    </w:pPr>
    <w:rPr>
      <w:szCs w:val="24"/>
    </w:rPr>
  </w:style>
  <w:style w:type="paragraph" w:customStyle="1" w:styleId="1200">
    <w:name w:val="一级无标题条"/>
    <w:basedOn w:val="1"/>
    <w:semiHidden/>
    <w:qFormat/>
    <w:uiPriority w:val="0"/>
    <w:rPr>
      <w:szCs w:val="24"/>
    </w:rPr>
  </w:style>
  <w:style w:type="paragraph" w:customStyle="1" w:styleId="1201">
    <w:name w:val="Char2 Char Char Char"/>
    <w:basedOn w:val="1"/>
    <w:semiHidden/>
    <w:qFormat/>
    <w:uiPriority w:val="0"/>
    <w:pPr>
      <w:spacing w:line="360" w:lineRule="auto"/>
      <w:ind w:firstLine="200" w:firstLineChars="200"/>
    </w:pPr>
    <w:rPr>
      <w:rFonts w:ascii="宋体" w:hAnsi="宋体" w:cs="宋体"/>
      <w:sz w:val="24"/>
      <w:szCs w:val="24"/>
    </w:rPr>
  </w:style>
  <w:style w:type="paragraph" w:customStyle="1" w:styleId="1202">
    <w:name w:val="1 Char Char Char Char Char Char Char"/>
    <w:basedOn w:val="1"/>
    <w:semiHidden/>
    <w:qFormat/>
    <w:uiPriority w:val="0"/>
    <w:pPr>
      <w:spacing w:line="360" w:lineRule="auto"/>
      <w:ind w:firstLine="200" w:firstLineChars="200"/>
    </w:pPr>
    <w:rPr>
      <w:rFonts w:ascii="宋体" w:hAnsi="宋体" w:cs="宋体"/>
      <w:sz w:val="24"/>
      <w:szCs w:val="24"/>
    </w:rPr>
  </w:style>
  <w:style w:type="paragraph" w:customStyle="1" w:styleId="1203">
    <w:name w:val="样式 正文首行缩进 + 黑色 首行缩进:  2 字符1"/>
    <w:basedOn w:val="80"/>
    <w:semiHidden/>
    <w:qFormat/>
    <w:uiPriority w:val="0"/>
    <w:pPr>
      <w:overflowPunct/>
      <w:autoSpaceDE/>
      <w:autoSpaceDN/>
      <w:snapToGrid w:val="0"/>
      <w:spacing w:line="300" w:lineRule="auto"/>
      <w:ind w:firstLine="560" w:firstLineChars="200"/>
      <w:textAlignment w:val="auto"/>
    </w:pPr>
    <w:rPr>
      <w:color w:val="000000"/>
      <w:kern w:val="2"/>
    </w:rPr>
  </w:style>
  <w:style w:type="paragraph" w:customStyle="1" w:styleId="1204">
    <w:name w:val="样式 标题 3H3 + 黑色"/>
    <w:basedOn w:val="4"/>
    <w:link w:val="1205"/>
    <w:semiHidden/>
    <w:qFormat/>
    <w:uiPriority w:val="0"/>
    <w:pPr>
      <w:widowControl w:val="0"/>
      <w:adjustRightInd w:val="0"/>
      <w:snapToGrid w:val="0"/>
      <w:spacing w:line="460" w:lineRule="exact"/>
      <w:ind w:left="720" w:hanging="720"/>
      <w:jc w:val="both"/>
    </w:pPr>
    <w:rPr>
      <w:snapToGrid w:val="0"/>
      <w:color w:val="000000"/>
      <w:sz w:val="24"/>
      <w:szCs w:val="24"/>
    </w:rPr>
  </w:style>
  <w:style w:type="character" w:customStyle="1" w:styleId="1205">
    <w:name w:val="样式 标题 3H3 + 黑色 Char"/>
    <w:basedOn w:val="109"/>
    <w:link w:val="1204"/>
    <w:semiHidden/>
    <w:qFormat/>
    <w:uiPriority w:val="0"/>
    <w:rPr>
      <w:rFonts w:eastAsia="黑体"/>
      <w:b/>
      <w:snapToGrid w:val="0"/>
      <w:color w:val="000000"/>
      <w:sz w:val="24"/>
      <w:szCs w:val="24"/>
    </w:rPr>
  </w:style>
  <w:style w:type="paragraph" w:customStyle="1" w:styleId="1206">
    <w:name w:val="样式 标题 2_Heading 2HEAD_2HEAD_21HEAD_22HEAD_211HEAD_23HEAD_..."/>
    <w:basedOn w:val="3"/>
    <w:link w:val="1207"/>
    <w:semiHidden/>
    <w:qFormat/>
    <w:uiPriority w:val="0"/>
    <w:pPr>
      <w:adjustRightInd w:val="0"/>
      <w:snapToGrid w:val="0"/>
      <w:spacing w:line="460" w:lineRule="exact"/>
      <w:ind w:firstLine="445" w:firstLineChars="196"/>
    </w:pPr>
    <w:rPr>
      <w:rFonts w:hAnsi="宋体"/>
      <w:snapToGrid w:val="0"/>
      <w:color w:val="000000"/>
      <w:sz w:val="24"/>
      <w:szCs w:val="24"/>
    </w:rPr>
  </w:style>
  <w:style w:type="character" w:customStyle="1" w:styleId="1207">
    <w:name w:val="样式 标题 2_Heading 2HEAD_2HEAD_21HEAD_22HEAD_211HEAD_23HEAD_... Char"/>
    <w:basedOn w:val="109"/>
    <w:link w:val="1206"/>
    <w:semiHidden/>
    <w:qFormat/>
    <w:uiPriority w:val="0"/>
    <w:rPr>
      <w:rFonts w:hAnsi="宋体" w:eastAsia="黑体"/>
      <w:b/>
      <w:snapToGrid w:val="0"/>
      <w:color w:val="000000"/>
      <w:sz w:val="24"/>
      <w:szCs w:val="24"/>
    </w:rPr>
  </w:style>
  <w:style w:type="paragraph" w:customStyle="1" w:styleId="1208">
    <w:name w:val="c"/>
    <w:basedOn w:val="1"/>
    <w:semiHidden/>
    <w:qFormat/>
    <w:uiPriority w:val="0"/>
    <w:pPr>
      <w:spacing w:before="100" w:beforeAutospacing="1" w:after="100" w:afterAutospacing="1"/>
    </w:pPr>
    <w:rPr>
      <w:rFonts w:ascii="Arial Unicode MS" w:hAnsi="Arial Unicode MS" w:eastAsia="Arial Unicode MS" w:cs="Arial Unicode MS"/>
      <w:color w:val="000000"/>
      <w:sz w:val="22"/>
    </w:rPr>
  </w:style>
  <w:style w:type="paragraph" w:customStyle="1" w:styleId="1209">
    <w:name w:val="样式 标题 3H3 + 黑色1"/>
    <w:basedOn w:val="4"/>
    <w:link w:val="1210"/>
    <w:semiHidden/>
    <w:qFormat/>
    <w:uiPriority w:val="0"/>
    <w:pPr>
      <w:widowControl w:val="0"/>
      <w:adjustRightInd w:val="0"/>
      <w:snapToGrid w:val="0"/>
      <w:spacing w:line="460" w:lineRule="exact"/>
      <w:ind w:left="720" w:hanging="720"/>
    </w:pPr>
    <w:rPr>
      <w:snapToGrid w:val="0"/>
      <w:color w:val="000000"/>
      <w:sz w:val="24"/>
      <w:szCs w:val="24"/>
    </w:rPr>
  </w:style>
  <w:style w:type="character" w:customStyle="1" w:styleId="1210">
    <w:name w:val="样式 标题 3H3 + 黑色1 Char"/>
    <w:basedOn w:val="109"/>
    <w:link w:val="1209"/>
    <w:semiHidden/>
    <w:qFormat/>
    <w:uiPriority w:val="0"/>
    <w:rPr>
      <w:rFonts w:eastAsia="黑体"/>
      <w:b/>
      <w:snapToGrid w:val="0"/>
      <w:color w:val="000000"/>
      <w:sz w:val="24"/>
      <w:szCs w:val="24"/>
    </w:rPr>
  </w:style>
  <w:style w:type="paragraph" w:customStyle="1" w:styleId="1211">
    <w:name w:val="封面标准文稿编辑信息"/>
    <w:basedOn w:val="1"/>
    <w:semiHidden/>
    <w:qFormat/>
    <w:uiPriority w:val="0"/>
    <w:pPr>
      <w:spacing w:before="180" w:line="180" w:lineRule="exact"/>
      <w:jc w:val="center"/>
    </w:pPr>
    <w:rPr>
      <w:rFonts w:ascii="宋体"/>
    </w:rPr>
  </w:style>
  <w:style w:type="paragraph" w:customStyle="1" w:styleId="1212">
    <w:name w:val="段落 Char1 Char Char Char Char Char Char"/>
    <w:basedOn w:val="1"/>
    <w:link w:val="1213"/>
    <w:semiHidden/>
    <w:qFormat/>
    <w:uiPriority w:val="0"/>
    <w:pPr>
      <w:tabs>
        <w:tab w:val="left" w:pos="1021"/>
      </w:tabs>
      <w:spacing w:line="326" w:lineRule="auto"/>
      <w:ind w:firstLine="480" w:firstLineChars="200"/>
    </w:pPr>
    <w:rPr>
      <w:color w:val="000000"/>
      <w:kern w:val="24"/>
      <w:sz w:val="24"/>
      <w:szCs w:val="24"/>
    </w:rPr>
  </w:style>
  <w:style w:type="character" w:customStyle="1" w:styleId="1213">
    <w:name w:val="段落 Char1 Char Char Char Char Char Char Char"/>
    <w:basedOn w:val="109"/>
    <w:link w:val="1212"/>
    <w:semiHidden/>
    <w:qFormat/>
    <w:uiPriority w:val="0"/>
    <w:rPr>
      <w:color w:val="000000"/>
      <w:kern w:val="24"/>
      <w:sz w:val="24"/>
      <w:szCs w:val="24"/>
    </w:rPr>
  </w:style>
  <w:style w:type="paragraph" w:customStyle="1" w:styleId="1214">
    <w:name w:val="Char Char1 Char"/>
    <w:basedOn w:val="1"/>
    <w:semiHidden/>
    <w:qFormat/>
    <w:uiPriority w:val="0"/>
    <w:rPr>
      <w:rFonts w:ascii="宋体" w:hAnsi="宋体" w:cs="Courier New"/>
      <w:sz w:val="32"/>
      <w:szCs w:val="32"/>
    </w:rPr>
  </w:style>
  <w:style w:type="paragraph" w:customStyle="1" w:styleId="1215">
    <w:name w:val="封面正文"/>
    <w:basedOn w:val="1"/>
    <w:semiHidden/>
    <w:qFormat/>
    <w:uiPriority w:val="0"/>
  </w:style>
  <w:style w:type="paragraph" w:customStyle="1" w:styleId="1216">
    <w:name w:val="_Style 260"/>
    <w:basedOn w:val="1"/>
    <w:next w:val="1"/>
    <w:semiHidden/>
    <w:qFormat/>
    <w:uiPriority w:val="0"/>
    <w:pPr>
      <w:tabs>
        <w:tab w:val="left" w:pos="700"/>
      </w:tabs>
      <w:snapToGrid w:val="0"/>
      <w:spacing w:beforeLines="50" w:line="360" w:lineRule="auto"/>
      <w:ind w:firstLine="424" w:firstLineChars="200"/>
    </w:pPr>
  </w:style>
  <w:style w:type="character" w:customStyle="1" w:styleId="1217">
    <w:name w:val="Char Char13"/>
    <w:basedOn w:val="109"/>
    <w:semiHidden/>
    <w:qFormat/>
    <w:uiPriority w:val="0"/>
    <w:rPr>
      <w:rFonts w:eastAsia="宋体"/>
      <w:kern w:val="2"/>
      <w:sz w:val="21"/>
      <w:szCs w:val="24"/>
      <w:lang w:val="en-US" w:eastAsia="zh-CN" w:bidi="ar-SA"/>
    </w:rPr>
  </w:style>
  <w:style w:type="paragraph" w:customStyle="1" w:styleId="1218">
    <w:name w:val="pic-info"/>
    <w:basedOn w:val="1"/>
    <w:semiHidden/>
    <w:qFormat/>
    <w:uiPriority w:val="0"/>
    <w:pPr>
      <w:spacing w:before="100" w:beforeAutospacing="1" w:after="100" w:afterAutospacing="1"/>
    </w:pPr>
    <w:rPr>
      <w:rFonts w:ascii="宋体" w:hAnsi="宋体" w:cs="宋体"/>
      <w:sz w:val="24"/>
      <w:szCs w:val="24"/>
    </w:rPr>
  </w:style>
  <w:style w:type="character" w:customStyle="1" w:styleId="1219">
    <w:name w:val="纯文本 Char2"/>
    <w:basedOn w:val="109"/>
    <w:semiHidden/>
    <w:qFormat/>
    <w:uiPriority w:val="99"/>
    <w:rPr>
      <w:rFonts w:ascii="宋体" w:hAnsi="Courier New"/>
      <w:kern w:val="2"/>
      <w:sz w:val="28"/>
    </w:rPr>
  </w:style>
  <w:style w:type="paragraph" w:customStyle="1" w:styleId="1220">
    <w:name w:val="Char Char Char1 Char Char Char Char Char Char Char Char Char Char Char Char Char Char Char Char Char Char Char2"/>
    <w:basedOn w:val="1"/>
    <w:semiHidden/>
    <w:qFormat/>
    <w:uiPriority w:val="0"/>
    <w:rPr>
      <w:szCs w:val="24"/>
    </w:rPr>
  </w:style>
  <w:style w:type="paragraph" w:customStyle="1" w:styleId="1221">
    <w:name w:val="纯文本5"/>
    <w:basedOn w:val="1"/>
    <w:semiHidden/>
    <w:qFormat/>
    <w:uiPriority w:val="0"/>
    <w:pPr>
      <w:spacing w:line="240" w:lineRule="atLeast"/>
      <w:jc w:val="center"/>
    </w:pPr>
    <w:rPr>
      <w:rFonts w:ascii="宋体" w:hAnsi="宋体"/>
      <w:bCs/>
      <w:iCs/>
      <w:sz w:val="18"/>
      <w:szCs w:val="18"/>
    </w:rPr>
  </w:style>
  <w:style w:type="paragraph" w:customStyle="1" w:styleId="1222">
    <w:name w:val="Char Char6"/>
    <w:basedOn w:val="1"/>
    <w:semiHidden/>
    <w:qFormat/>
    <w:uiPriority w:val="0"/>
    <w:pPr>
      <w:snapToGrid w:val="0"/>
      <w:spacing w:line="440" w:lineRule="atLeast"/>
    </w:pPr>
    <w:rPr>
      <w:rFonts w:ascii="宋体" w:hAnsi="宋体" w:cs="Courier New"/>
      <w:sz w:val="32"/>
      <w:szCs w:val="32"/>
    </w:rPr>
  </w:style>
  <w:style w:type="paragraph" w:customStyle="1" w:styleId="1223">
    <w:name w:val="Char Char Char Char3"/>
    <w:basedOn w:val="1"/>
    <w:semiHidden/>
    <w:qFormat/>
    <w:uiPriority w:val="0"/>
    <w:pPr>
      <w:spacing w:line="360" w:lineRule="auto"/>
      <w:ind w:firstLine="200" w:firstLineChars="200"/>
    </w:pPr>
    <w:rPr>
      <w:rFonts w:ascii="宋体" w:hAnsi="宋体" w:cs="宋体"/>
      <w:sz w:val="24"/>
      <w:szCs w:val="24"/>
    </w:rPr>
  </w:style>
  <w:style w:type="character" w:customStyle="1" w:styleId="1224">
    <w:name w:val="Char Char Char2"/>
    <w:basedOn w:val="109"/>
    <w:semiHidden/>
    <w:qFormat/>
    <w:uiPriority w:val="0"/>
    <w:rPr>
      <w:rFonts w:ascii="黑体" w:hAnsi="宋体" w:eastAsia="黑体"/>
      <w:b/>
      <w:sz w:val="44"/>
      <w:szCs w:val="44"/>
      <w:lang w:val="en-US" w:eastAsia="zh-CN" w:bidi="ar-SA"/>
    </w:rPr>
  </w:style>
  <w:style w:type="paragraph" w:customStyle="1" w:styleId="1225">
    <w:name w:val="列出段落3"/>
    <w:basedOn w:val="1"/>
    <w:semiHidden/>
    <w:qFormat/>
    <w:uiPriority w:val="0"/>
    <w:pPr>
      <w:ind w:firstLine="420" w:firstLineChars="200"/>
    </w:pPr>
  </w:style>
  <w:style w:type="paragraph" w:customStyle="1" w:styleId="1226">
    <w:name w:val="Char Char Char Char Char Char Char Char Char Char2"/>
    <w:basedOn w:val="1"/>
    <w:next w:val="1"/>
    <w:semiHidden/>
    <w:qFormat/>
    <w:uiPriority w:val="0"/>
    <w:pPr>
      <w:spacing w:line="360" w:lineRule="auto"/>
      <w:ind w:firstLine="200" w:firstLineChars="200"/>
    </w:pPr>
    <w:rPr>
      <w:rFonts w:ascii="宋体" w:hAnsi="宋体" w:cs="宋体"/>
      <w:sz w:val="24"/>
      <w:szCs w:val="24"/>
    </w:rPr>
  </w:style>
  <w:style w:type="paragraph" w:customStyle="1" w:styleId="1227">
    <w:name w:val="Char Char Char Char Char Char Char Char Char Char Char Char Char Char Char Char Char Char Char Char Char Char Char Char Char Char Char Char Char Char Char Char Char Char Char Char Char Char Char Char Char Char2"/>
    <w:basedOn w:val="1"/>
    <w:next w:val="1"/>
    <w:semiHidden/>
    <w:qFormat/>
    <w:uiPriority w:val="0"/>
    <w:pPr>
      <w:spacing w:line="360" w:lineRule="auto"/>
      <w:ind w:firstLine="200" w:firstLineChars="200"/>
    </w:pPr>
    <w:rPr>
      <w:rFonts w:ascii="宋体" w:hAnsi="宋体" w:cs="宋体"/>
      <w:sz w:val="24"/>
      <w:szCs w:val="24"/>
    </w:rPr>
  </w:style>
  <w:style w:type="paragraph" w:customStyle="1" w:styleId="1228">
    <w:name w:val="Char Char Char Char Char Char Char Char Char Char Char Char Char Char Char Char Char Char Char Char Char Char Char Char Char Char Char Char Char Char Char Char Char Char Char Char Char Char Char2"/>
    <w:basedOn w:val="1"/>
    <w:semiHidden/>
    <w:qFormat/>
    <w:uiPriority w:val="0"/>
    <w:rPr>
      <w:szCs w:val="24"/>
    </w:rPr>
  </w:style>
  <w:style w:type="paragraph" w:customStyle="1" w:styleId="1229">
    <w:name w:val="Char Char Char Char Char Char Char Char Char Char Char1"/>
    <w:basedOn w:val="1"/>
    <w:semiHidden/>
    <w:qFormat/>
    <w:uiPriority w:val="0"/>
    <w:rPr>
      <w:szCs w:val="24"/>
    </w:rPr>
  </w:style>
  <w:style w:type="paragraph" w:customStyle="1" w:styleId="1230">
    <w:name w:val="Char Char Char Char Char Char Char Char Char Char Char Char Char Char Char Char Char Char Char Char Char Char Char1"/>
    <w:basedOn w:val="1"/>
    <w:semiHidden/>
    <w:qFormat/>
    <w:uiPriority w:val="0"/>
    <w:rPr>
      <w:szCs w:val="24"/>
    </w:rPr>
  </w:style>
  <w:style w:type="paragraph" w:customStyle="1" w:styleId="1231">
    <w:name w:val="Char Char Char Char Char Char Char Char Char Char Char Char Char Char Char Char Char Char Char Char Char Char Char Char Char Char1"/>
    <w:basedOn w:val="1"/>
    <w:semiHidden/>
    <w:qFormat/>
    <w:uiPriority w:val="0"/>
    <w:rPr>
      <w:szCs w:val="24"/>
    </w:rPr>
  </w:style>
  <w:style w:type="paragraph" w:customStyle="1" w:styleId="1232">
    <w:name w:val="Char24"/>
    <w:basedOn w:val="1"/>
    <w:semiHidden/>
    <w:qFormat/>
    <w:uiPriority w:val="0"/>
    <w:rPr>
      <w:szCs w:val="24"/>
    </w:rPr>
  </w:style>
  <w:style w:type="paragraph" w:customStyle="1" w:styleId="1233">
    <w:name w:val="Char33"/>
    <w:basedOn w:val="1"/>
    <w:semiHidden/>
    <w:qFormat/>
    <w:uiPriority w:val="0"/>
    <w:rPr>
      <w:szCs w:val="24"/>
    </w:rPr>
  </w:style>
  <w:style w:type="paragraph" w:customStyle="1" w:styleId="1234">
    <w:name w:val="Char42"/>
    <w:basedOn w:val="1"/>
    <w:semiHidden/>
    <w:qFormat/>
    <w:uiPriority w:val="0"/>
    <w:rPr>
      <w:szCs w:val="24"/>
    </w:rPr>
  </w:style>
  <w:style w:type="paragraph" w:customStyle="1" w:styleId="1235">
    <w:name w:val="Char16"/>
    <w:basedOn w:val="1"/>
    <w:semiHidden/>
    <w:qFormat/>
    <w:uiPriority w:val="0"/>
    <w:rPr>
      <w:szCs w:val="24"/>
    </w:rPr>
  </w:style>
  <w:style w:type="paragraph" w:customStyle="1" w:styleId="1236">
    <w:name w:val="Char61"/>
    <w:basedOn w:val="1"/>
    <w:semiHidden/>
    <w:qFormat/>
    <w:uiPriority w:val="0"/>
    <w:rPr>
      <w:szCs w:val="24"/>
    </w:rPr>
  </w:style>
  <w:style w:type="character" w:customStyle="1" w:styleId="1237">
    <w:name w:val="EmailStyle1265"/>
    <w:basedOn w:val="109"/>
    <w:semiHidden/>
    <w:qFormat/>
    <w:uiPriority w:val="0"/>
    <w:rPr>
      <w:rFonts w:ascii="Arial" w:hAnsi="Arial" w:eastAsia="宋体" w:cs="Arial"/>
      <w:color w:val="auto"/>
      <w:sz w:val="20"/>
    </w:rPr>
  </w:style>
  <w:style w:type="character" w:customStyle="1" w:styleId="1238">
    <w:name w:val="EmailStyle1266"/>
    <w:basedOn w:val="109"/>
    <w:semiHidden/>
    <w:qFormat/>
    <w:uiPriority w:val="0"/>
    <w:rPr>
      <w:rFonts w:ascii="Arial" w:hAnsi="Arial" w:eastAsia="宋体" w:cs="Arial"/>
      <w:color w:val="auto"/>
      <w:sz w:val="20"/>
    </w:rPr>
  </w:style>
  <w:style w:type="paragraph" w:customStyle="1" w:styleId="1239">
    <w:name w:val="日期3"/>
    <w:basedOn w:val="1"/>
    <w:next w:val="1"/>
    <w:semiHidden/>
    <w:qFormat/>
    <w:uiPriority w:val="0"/>
    <w:pPr>
      <w:overflowPunct w:val="0"/>
      <w:spacing w:line="360" w:lineRule="auto"/>
      <w:ind w:firstLine="560"/>
    </w:pPr>
    <w:rPr>
      <w:rFonts w:ascii="仿宋_GB2312"/>
      <w:sz w:val="28"/>
    </w:rPr>
  </w:style>
  <w:style w:type="paragraph" w:customStyle="1" w:styleId="1240">
    <w:name w:val="Char Char Char Char Char Char Char3"/>
    <w:basedOn w:val="1"/>
    <w:next w:val="1"/>
    <w:semiHidden/>
    <w:qFormat/>
    <w:uiPriority w:val="0"/>
    <w:pPr>
      <w:spacing w:line="360" w:lineRule="auto"/>
      <w:ind w:firstLine="200" w:firstLineChars="200"/>
    </w:pPr>
    <w:rPr>
      <w:rFonts w:ascii="宋体" w:hAnsi="宋体" w:cs="宋体"/>
      <w:sz w:val="24"/>
      <w:szCs w:val="24"/>
    </w:rPr>
  </w:style>
  <w:style w:type="character" w:customStyle="1" w:styleId="1241">
    <w:name w:val="Char Char42"/>
    <w:basedOn w:val="109"/>
    <w:semiHidden/>
    <w:qFormat/>
    <w:uiPriority w:val="0"/>
    <w:rPr>
      <w:rFonts w:eastAsia="宋体"/>
      <w:b/>
      <w:bCs/>
      <w:kern w:val="44"/>
      <w:sz w:val="28"/>
      <w:szCs w:val="28"/>
      <w:lang w:val="en-US" w:eastAsia="zh-CN" w:bidi="ar-SA"/>
    </w:rPr>
  </w:style>
  <w:style w:type="paragraph" w:customStyle="1" w:styleId="1242">
    <w:name w:val="Char Char Char Char Char Char Char Char Char Char Char Char3"/>
    <w:basedOn w:val="1"/>
    <w:next w:val="1"/>
    <w:semiHidden/>
    <w:qFormat/>
    <w:uiPriority w:val="0"/>
    <w:pPr>
      <w:spacing w:line="360" w:lineRule="auto"/>
      <w:ind w:firstLine="200" w:firstLineChars="200"/>
    </w:pPr>
    <w:rPr>
      <w:rFonts w:ascii="宋体" w:hAnsi="宋体" w:cs="宋体"/>
      <w:sz w:val="24"/>
      <w:szCs w:val="24"/>
    </w:rPr>
  </w:style>
  <w:style w:type="paragraph" w:customStyle="1" w:styleId="1243">
    <w:name w:val="Char Char Char Char Char Char Char Char Char Char Char Char1 Char1"/>
    <w:basedOn w:val="1"/>
    <w:next w:val="1"/>
    <w:semiHidden/>
    <w:qFormat/>
    <w:uiPriority w:val="0"/>
    <w:pPr>
      <w:spacing w:line="360" w:lineRule="auto"/>
      <w:ind w:firstLine="200" w:firstLineChars="200"/>
    </w:pPr>
    <w:rPr>
      <w:rFonts w:ascii="宋体" w:hAnsi="宋体" w:cs="宋体"/>
      <w:sz w:val="24"/>
      <w:szCs w:val="24"/>
    </w:rPr>
  </w:style>
  <w:style w:type="paragraph" w:customStyle="1" w:styleId="1244">
    <w:name w:val="Char Char Char Char Char Char1 Char3"/>
    <w:basedOn w:val="1"/>
    <w:semiHidden/>
    <w:qFormat/>
    <w:uiPriority w:val="0"/>
    <w:rPr>
      <w:szCs w:val="24"/>
    </w:rPr>
  </w:style>
  <w:style w:type="paragraph" w:customStyle="1" w:styleId="1245">
    <w:name w:val="Char Char Char Char Char Char2"/>
    <w:basedOn w:val="1"/>
    <w:semiHidden/>
    <w:qFormat/>
    <w:uiPriority w:val="0"/>
    <w:rPr>
      <w:szCs w:val="24"/>
    </w:rPr>
  </w:style>
  <w:style w:type="paragraph" w:customStyle="1" w:styleId="1246">
    <w:name w:val="Char Char Char Char Char Char Char Char Char Char Char Char Char Char Char Char5"/>
    <w:basedOn w:val="1"/>
    <w:semiHidden/>
    <w:qFormat/>
    <w:uiPriority w:val="0"/>
    <w:rPr>
      <w:szCs w:val="24"/>
    </w:rPr>
  </w:style>
  <w:style w:type="paragraph" w:customStyle="1" w:styleId="1247">
    <w:name w:val="Char Char Char Char Char Char Char Char Char6"/>
    <w:basedOn w:val="1"/>
    <w:semiHidden/>
    <w:qFormat/>
    <w:uiPriority w:val="0"/>
    <w:rPr>
      <w:szCs w:val="24"/>
    </w:rPr>
  </w:style>
  <w:style w:type="paragraph" w:customStyle="1" w:styleId="1248">
    <w:name w:val="Char2 Char Char Char1"/>
    <w:basedOn w:val="1"/>
    <w:semiHidden/>
    <w:qFormat/>
    <w:uiPriority w:val="0"/>
    <w:pPr>
      <w:spacing w:line="360" w:lineRule="auto"/>
      <w:ind w:firstLine="200" w:firstLineChars="200"/>
    </w:pPr>
    <w:rPr>
      <w:rFonts w:ascii="宋体" w:hAnsi="宋体" w:cs="宋体"/>
      <w:sz w:val="24"/>
      <w:szCs w:val="24"/>
    </w:rPr>
  </w:style>
  <w:style w:type="paragraph" w:customStyle="1" w:styleId="1249">
    <w:name w:val="Char Char1 Char1"/>
    <w:basedOn w:val="1"/>
    <w:semiHidden/>
    <w:qFormat/>
    <w:uiPriority w:val="0"/>
    <w:rPr>
      <w:rFonts w:ascii="宋体" w:hAnsi="宋体" w:cs="Courier New"/>
      <w:sz w:val="32"/>
      <w:szCs w:val="32"/>
    </w:rPr>
  </w:style>
  <w:style w:type="character" w:customStyle="1" w:styleId="1250">
    <w:name w:val="Char Char131"/>
    <w:basedOn w:val="109"/>
    <w:semiHidden/>
    <w:qFormat/>
    <w:uiPriority w:val="0"/>
    <w:rPr>
      <w:rFonts w:eastAsia="宋体"/>
      <w:kern w:val="2"/>
      <w:sz w:val="21"/>
      <w:szCs w:val="24"/>
      <w:lang w:val="en-US" w:eastAsia="zh-CN" w:bidi="ar-SA"/>
    </w:rPr>
  </w:style>
  <w:style w:type="paragraph" w:customStyle="1" w:styleId="1251">
    <w:name w:val="A表后空格"/>
    <w:basedOn w:val="212"/>
    <w:link w:val="1253"/>
    <w:semiHidden/>
    <w:qFormat/>
    <w:uiPriority w:val="0"/>
    <w:rPr>
      <w:sz w:val="21"/>
    </w:rPr>
  </w:style>
  <w:style w:type="paragraph" w:customStyle="1" w:styleId="1252">
    <w:name w:val="标题4 样式"/>
    <w:basedOn w:val="1"/>
    <w:semiHidden/>
    <w:qFormat/>
    <w:uiPriority w:val="0"/>
    <w:pPr>
      <w:spacing w:line="360" w:lineRule="auto"/>
      <w:outlineLvl w:val="3"/>
    </w:pPr>
    <w:rPr>
      <w:rFonts w:ascii="宋体" w:hAnsi="宋体" w:cs="宋体"/>
      <w:b/>
      <w:bCs/>
      <w:sz w:val="24"/>
    </w:rPr>
  </w:style>
  <w:style w:type="character" w:customStyle="1" w:styleId="1253">
    <w:name w:val="A表后空格 Char"/>
    <w:basedOn w:val="211"/>
    <w:link w:val="1251"/>
    <w:semiHidden/>
    <w:qFormat/>
    <w:uiPriority w:val="0"/>
    <w:rPr>
      <w:rFonts w:ascii="楷体_GB2312" w:hAnsi="楷体_GB2312" w:eastAsia="楷体_GB2312" w:cs="宋体"/>
      <w:kern w:val="28"/>
      <w:sz w:val="21"/>
      <w:szCs w:val="22"/>
    </w:rPr>
  </w:style>
  <w:style w:type="paragraph" w:customStyle="1" w:styleId="1254">
    <w:name w:val="普通(网站)1"/>
    <w:basedOn w:val="1"/>
    <w:semiHidden/>
    <w:qFormat/>
    <w:uiPriority w:val="0"/>
    <w:pPr>
      <w:spacing w:before="100" w:beforeAutospacing="1" w:after="100" w:afterAutospacing="1"/>
    </w:pPr>
    <w:rPr>
      <w:rFonts w:hint="eastAsia" w:ascii="宋体" w:hAnsi="宋体"/>
      <w:sz w:val="24"/>
    </w:rPr>
  </w:style>
  <w:style w:type="paragraph" w:customStyle="1" w:styleId="1255">
    <w:name w:val="A一级"/>
    <w:basedOn w:val="134"/>
    <w:semiHidden/>
    <w:qFormat/>
    <w:uiPriority w:val="0"/>
    <w:pPr>
      <w:spacing w:after="156"/>
      <w:ind w:left="0"/>
    </w:pPr>
    <w:rPr>
      <w:rFonts w:cs="Times New Roman"/>
      <w:sz w:val="36"/>
      <w:szCs w:val="36"/>
    </w:rPr>
  </w:style>
  <w:style w:type="paragraph" w:customStyle="1" w:styleId="1256">
    <w:name w:val="A二级"/>
    <w:basedOn w:val="145"/>
    <w:link w:val="1257"/>
    <w:semiHidden/>
    <w:qFormat/>
    <w:uiPriority w:val="0"/>
    <w:rPr>
      <w:color w:val="auto"/>
    </w:rPr>
  </w:style>
  <w:style w:type="character" w:customStyle="1" w:styleId="1257">
    <w:name w:val="A二级 Char"/>
    <w:basedOn w:val="109"/>
    <w:link w:val="1256"/>
    <w:semiHidden/>
    <w:qFormat/>
    <w:uiPriority w:val="0"/>
    <w:rPr>
      <w:rFonts w:eastAsia="黑体"/>
      <w:b/>
      <w:sz w:val="30"/>
      <w:szCs w:val="30"/>
    </w:rPr>
  </w:style>
  <w:style w:type="paragraph" w:customStyle="1" w:styleId="1258">
    <w:name w:val="A表后空行"/>
    <w:basedOn w:val="132"/>
    <w:link w:val="1259"/>
    <w:semiHidden/>
    <w:qFormat/>
    <w:uiPriority w:val="0"/>
    <w:pPr>
      <w:spacing w:line="240" w:lineRule="auto"/>
      <w:ind w:firstLine="420"/>
    </w:pPr>
    <w:rPr>
      <w:rFonts w:ascii="宋体"/>
      <w:color w:val="auto"/>
      <w:sz w:val="21"/>
      <w:szCs w:val="21"/>
    </w:rPr>
  </w:style>
  <w:style w:type="character" w:customStyle="1" w:styleId="1259">
    <w:name w:val="A表后空行 Char"/>
    <w:basedOn w:val="109"/>
    <w:link w:val="1258"/>
    <w:semiHidden/>
    <w:qFormat/>
    <w:uiPriority w:val="0"/>
    <w:rPr>
      <w:rFonts w:ascii="宋体"/>
      <w:sz w:val="21"/>
      <w:szCs w:val="21"/>
    </w:rPr>
  </w:style>
  <w:style w:type="paragraph" w:customStyle="1" w:styleId="1260">
    <w:name w:val="正文邓"/>
    <w:basedOn w:val="1"/>
    <w:link w:val="1261"/>
    <w:uiPriority w:val="0"/>
    <w:pPr>
      <w:tabs>
        <w:tab w:val="left" w:pos="2304"/>
      </w:tabs>
      <w:adjustRightInd w:val="0"/>
      <w:snapToGrid w:val="0"/>
      <w:spacing w:line="360" w:lineRule="auto"/>
      <w:ind w:firstLine="600" w:firstLineChars="250"/>
    </w:pPr>
    <w:rPr>
      <w:rFonts w:ascii="仿宋" w:hAnsi="仿宋" w:eastAsia="仿宋"/>
      <w:bCs/>
      <w:color w:val="000000"/>
      <w:sz w:val="24"/>
      <w:szCs w:val="24"/>
    </w:rPr>
  </w:style>
  <w:style w:type="character" w:customStyle="1" w:styleId="1261">
    <w:name w:val="正文邓 Char"/>
    <w:basedOn w:val="109"/>
    <w:link w:val="1260"/>
    <w:semiHidden/>
    <w:qFormat/>
    <w:uiPriority w:val="0"/>
    <w:rPr>
      <w:rFonts w:ascii="仿宋" w:hAnsi="仿宋" w:eastAsia="仿宋"/>
      <w:bCs/>
      <w:color w:val="000000"/>
      <w:sz w:val="24"/>
      <w:szCs w:val="24"/>
    </w:rPr>
  </w:style>
  <w:style w:type="paragraph" w:customStyle="1" w:styleId="1262">
    <w:name w:val="邓表后空格"/>
    <w:basedOn w:val="204"/>
    <w:link w:val="1263"/>
    <w:semiHidden/>
    <w:qFormat/>
    <w:uiPriority w:val="0"/>
    <w:pPr>
      <w:spacing w:line="240" w:lineRule="exact"/>
      <w:ind w:firstLine="0" w:firstLineChars="0"/>
    </w:pPr>
    <w:rPr>
      <w:rFonts w:eastAsia="宋体" w:cs="Times New Roman"/>
      <w:sz w:val="18"/>
    </w:rPr>
  </w:style>
  <w:style w:type="character" w:customStyle="1" w:styleId="1263">
    <w:name w:val="邓表后空格 Char"/>
    <w:basedOn w:val="109"/>
    <w:link w:val="1262"/>
    <w:semiHidden/>
    <w:qFormat/>
    <w:uiPriority w:val="0"/>
    <w:rPr>
      <w:rFonts w:ascii="楷体_GB2312" w:hAnsi="楷体_GB2312"/>
      <w:sz w:val="18"/>
      <w:szCs w:val="24"/>
    </w:rPr>
  </w:style>
  <w:style w:type="paragraph" w:customStyle="1" w:styleId="1264">
    <w:name w:val="邓表格文字"/>
    <w:basedOn w:val="1"/>
    <w:link w:val="1670"/>
    <w:semiHidden/>
    <w:qFormat/>
    <w:uiPriority w:val="0"/>
    <w:pPr>
      <w:snapToGrid w:val="0"/>
      <w:spacing w:line="220" w:lineRule="exact"/>
      <w:jc w:val="center"/>
    </w:pPr>
    <w:rPr>
      <w:rFonts w:ascii="宋体" w:hAnsi="宋体"/>
      <w:color w:val="000000"/>
      <w:sz w:val="15"/>
      <w:szCs w:val="15"/>
    </w:rPr>
  </w:style>
  <w:style w:type="paragraph" w:customStyle="1" w:styleId="1265">
    <w:name w:val="邓表头标题"/>
    <w:basedOn w:val="1"/>
    <w:link w:val="1266"/>
    <w:semiHidden/>
    <w:qFormat/>
    <w:uiPriority w:val="0"/>
    <w:pPr>
      <w:snapToGrid w:val="0"/>
      <w:jc w:val="center"/>
    </w:pPr>
    <w:rPr>
      <w:rFonts w:ascii="黑体" w:hAnsi="黑体" w:eastAsia="黑体"/>
      <w:b/>
      <w:bCs/>
      <w:szCs w:val="21"/>
    </w:rPr>
  </w:style>
  <w:style w:type="character" w:customStyle="1" w:styleId="1266">
    <w:name w:val="邓表头标题 Char"/>
    <w:basedOn w:val="109"/>
    <w:link w:val="1265"/>
    <w:semiHidden/>
    <w:qFormat/>
    <w:uiPriority w:val="0"/>
    <w:rPr>
      <w:rFonts w:ascii="黑体" w:hAnsi="黑体" w:eastAsia="黑体"/>
      <w:b/>
      <w:bCs/>
      <w:szCs w:val="21"/>
    </w:rPr>
  </w:style>
  <w:style w:type="paragraph" w:customStyle="1" w:styleId="1267">
    <w:name w:val="邓表后文字说明"/>
    <w:basedOn w:val="1262"/>
    <w:link w:val="1268"/>
    <w:semiHidden/>
    <w:qFormat/>
    <w:uiPriority w:val="0"/>
    <w:pPr>
      <w:snapToGrid w:val="0"/>
      <w:spacing w:line="360" w:lineRule="auto"/>
    </w:pPr>
    <w:rPr>
      <w:rFonts w:ascii="仿宋_GB2312" w:eastAsia="仿宋_GB2312"/>
      <w:color w:val="000000"/>
    </w:rPr>
  </w:style>
  <w:style w:type="character" w:customStyle="1" w:styleId="1268">
    <w:name w:val="邓表后文字说明 Char"/>
    <w:basedOn w:val="1263"/>
    <w:link w:val="1267"/>
    <w:semiHidden/>
    <w:qFormat/>
    <w:uiPriority w:val="0"/>
    <w:rPr>
      <w:rFonts w:ascii="仿宋_GB2312" w:hAnsi="楷体_GB2312" w:eastAsia="仿宋_GB2312"/>
      <w:color w:val="000000"/>
      <w:sz w:val="18"/>
      <w:szCs w:val="24"/>
    </w:rPr>
  </w:style>
  <w:style w:type="paragraph" w:customStyle="1" w:styleId="1269">
    <w:name w:val="Char Char Char1 Char Char Char Char Char Char Char Char Char Char Char Char Char Char Char Char Char Char Char3"/>
    <w:basedOn w:val="1"/>
    <w:semiHidden/>
    <w:qFormat/>
    <w:uiPriority w:val="0"/>
    <w:rPr>
      <w:szCs w:val="24"/>
    </w:rPr>
  </w:style>
  <w:style w:type="paragraph" w:customStyle="1" w:styleId="1270">
    <w:name w:val="纯文本6"/>
    <w:basedOn w:val="1"/>
    <w:semiHidden/>
    <w:qFormat/>
    <w:uiPriority w:val="0"/>
    <w:pPr>
      <w:spacing w:line="240" w:lineRule="atLeast"/>
      <w:jc w:val="center"/>
    </w:pPr>
    <w:rPr>
      <w:rFonts w:ascii="宋体" w:hAnsi="宋体"/>
      <w:bCs/>
      <w:iCs/>
      <w:sz w:val="18"/>
      <w:szCs w:val="18"/>
    </w:rPr>
  </w:style>
  <w:style w:type="paragraph" w:customStyle="1" w:styleId="1271">
    <w:name w:val="Char Char7"/>
    <w:basedOn w:val="1"/>
    <w:semiHidden/>
    <w:qFormat/>
    <w:uiPriority w:val="0"/>
    <w:pPr>
      <w:snapToGrid w:val="0"/>
      <w:spacing w:line="440" w:lineRule="atLeast"/>
    </w:pPr>
    <w:rPr>
      <w:rFonts w:ascii="宋体" w:hAnsi="宋体" w:cs="Courier New"/>
      <w:sz w:val="32"/>
      <w:szCs w:val="32"/>
    </w:rPr>
  </w:style>
  <w:style w:type="paragraph" w:customStyle="1" w:styleId="1272">
    <w:name w:val="Char Char Char Char4"/>
    <w:basedOn w:val="1"/>
    <w:semiHidden/>
    <w:qFormat/>
    <w:uiPriority w:val="0"/>
    <w:pPr>
      <w:spacing w:line="360" w:lineRule="auto"/>
      <w:ind w:firstLine="200" w:firstLineChars="200"/>
    </w:pPr>
    <w:rPr>
      <w:rFonts w:ascii="宋体" w:hAnsi="宋体" w:cs="宋体"/>
      <w:sz w:val="24"/>
      <w:szCs w:val="24"/>
    </w:rPr>
  </w:style>
  <w:style w:type="character" w:customStyle="1" w:styleId="1273">
    <w:name w:val="Char Char Char3"/>
    <w:basedOn w:val="109"/>
    <w:semiHidden/>
    <w:qFormat/>
    <w:uiPriority w:val="0"/>
    <w:rPr>
      <w:rFonts w:ascii="黑体" w:hAnsi="宋体" w:eastAsia="黑体"/>
      <w:b/>
      <w:sz w:val="44"/>
      <w:szCs w:val="44"/>
      <w:lang w:val="en-US" w:eastAsia="zh-CN" w:bidi="ar-SA"/>
    </w:rPr>
  </w:style>
  <w:style w:type="paragraph" w:customStyle="1" w:styleId="1274">
    <w:name w:val="列出段落4"/>
    <w:basedOn w:val="1"/>
    <w:semiHidden/>
    <w:qFormat/>
    <w:uiPriority w:val="0"/>
    <w:pPr>
      <w:ind w:firstLine="420" w:firstLineChars="200"/>
    </w:pPr>
  </w:style>
  <w:style w:type="paragraph" w:customStyle="1" w:styleId="1275">
    <w:name w:val="Char Char Char Char Char Char Char Char Char Char3"/>
    <w:basedOn w:val="1"/>
    <w:next w:val="1"/>
    <w:semiHidden/>
    <w:qFormat/>
    <w:uiPriority w:val="0"/>
    <w:pPr>
      <w:spacing w:line="360" w:lineRule="auto"/>
      <w:ind w:firstLine="200" w:firstLineChars="200"/>
    </w:pPr>
    <w:rPr>
      <w:rFonts w:ascii="宋体" w:hAnsi="宋体" w:cs="宋体"/>
      <w:sz w:val="24"/>
      <w:szCs w:val="24"/>
    </w:rPr>
  </w:style>
  <w:style w:type="paragraph" w:customStyle="1" w:styleId="1276">
    <w:name w:val="Char Char Char Char Char Char Char Char Char Char Char Char Char Char Char Char Char Char Char Char Char Char Char Char Char Char Char Char Char Char Char Char Char Char Char Char Char Char Char Char Char Char3"/>
    <w:basedOn w:val="1"/>
    <w:next w:val="1"/>
    <w:semiHidden/>
    <w:qFormat/>
    <w:uiPriority w:val="0"/>
    <w:pPr>
      <w:spacing w:line="360" w:lineRule="auto"/>
      <w:ind w:firstLine="200" w:firstLineChars="200"/>
    </w:pPr>
    <w:rPr>
      <w:rFonts w:ascii="宋体" w:hAnsi="宋体" w:cs="宋体"/>
      <w:sz w:val="24"/>
      <w:szCs w:val="24"/>
    </w:rPr>
  </w:style>
  <w:style w:type="paragraph" w:customStyle="1" w:styleId="1277">
    <w:name w:val="Char Char Char Char Char Char Char Char Char Char Char Char Char Char Char Char Char Char Char Char Char Char Char Char Char Char Char Char Char Char Char Char Char Char Char Char Char Char Char3"/>
    <w:basedOn w:val="1"/>
    <w:semiHidden/>
    <w:qFormat/>
    <w:uiPriority w:val="0"/>
    <w:rPr>
      <w:szCs w:val="24"/>
    </w:rPr>
  </w:style>
  <w:style w:type="paragraph" w:customStyle="1" w:styleId="1278">
    <w:name w:val="Char Char Char Char Char Char Char Char Char Char Char2"/>
    <w:basedOn w:val="1"/>
    <w:semiHidden/>
    <w:qFormat/>
    <w:uiPriority w:val="0"/>
    <w:rPr>
      <w:szCs w:val="24"/>
    </w:rPr>
  </w:style>
  <w:style w:type="paragraph" w:customStyle="1" w:styleId="1279">
    <w:name w:val="Char Char Char Char Char Char Char Char Char Char Char Char Char Char Char Char Char Char Char Char Char Char Char2"/>
    <w:basedOn w:val="1"/>
    <w:semiHidden/>
    <w:qFormat/>
    <w:uiPriority w:val="0"/>
    <w:rPr>
      <w:szCs w:val="24"/>
    </w:rPr>
  </w:style>
  <w:style w:type="paragraph" w:customStyle="1" w:styleId="1280">
    <w:name w:val="Char Char Char Char Char Char Char Char Char Char Char Char Char Char Char Char Char Char Char Char Char Char Char Char Char Char2"/>
    <w:basedOn w:val="1"/>
    <w:semiHidden/>
    <w:qFormat/>
    <w:uiPriority w:val="0"/>
    <w:rPr>
      <w:szCs w:val="24"/>
    </w:rPr>
  </w:style>
  <w:style w:type="paragraph" w:customStyle="1" w:styleId="1281">
    <w:name w:val="Char25"/>
    <w:basedOn w:val="1"/>
    <w:semiHidden/>
    <w:qFormat/>
    <w:uiPriority w:val="0"/>
    <w:rPr>
      <w:szCs w:val="24"/>
    </w:rPr>
  </w:style>
  <w:style w:type="paragraph" w:customStyle="1" w:styleId="1282">
    <w:name w:val="Char34"/>
    <w:basedOn w:val="1"/>
    <w:semiHidden/>
    <w:qFormat/>
    <w:uiPriority w:val="0"/>
    <w:rPr>
      <w:szCs w:val="24"/>
    </w:rPr>
  </w:style>
  <w:style w:type="paragraph" w:customStyle="1" w:styleId="1283">
    <w:name w:val="Char43"/>
    <w:basedOn w:val="1"/>
    <w:semiHidden/>
    <w:qFormat/>
    <w:uiPriority w:val="0"/>
    <w:rPr>
      <w:szCs w:val="24"/>
    </w:rPr>
  </w:style>
  <w:style w:type="paragraph" w:customStyle="1" w:styleId="1284">
    <w:name w:val="Char17"/>
    <w:basedOn w:val="1"/>
    <w:semiHidden/>
    <w:qFormat/>
    <w:uiPriority w:val="0"/>
    <w:rPr>
      <w:szCs w:val="24"/>
    </w:rPr>
  </w:style>
  <w:style w:type="paragraph" w:customStyle="1" w:styleId="1285">
    <w:name w:val="Char62"/>
    <w:basedOn w:val="1"/>
    <w:semiHidden/>
    <w:qFormat/>
    <w:uiPriority w:val="0"/>
    <w:rPr>
      <w:szCs w:val="24"/>
    </w:rPr>
  </w:style>
  <w:style w:type="character" w:customStyle="1" w:styleId="1286">
    <w:name w:val="EmailStyle1314"/>
    <w:basedOn w:val="109"/>
    <w:semiHidden/>
    <w:qFormat/>
    <w:uiPriority w:val="0"/>
    <w:rPr>
      <w:rFonts w:ascii="Arial" w:hAnsi="Arial" w:eastAsia="宋体" w:cs="Arial"/>
      <w:color w:val="auto"/>
      <w:sz w:val="20"/>
    </w:rPr>
  </w:style>
  <w:style w:type="character" w:customStyle="1" w:styleId="1287">
    <w:name w:val="EmailStyle1315"/>
    <w:basedOn w:val="109"/>
    <w:semiHidden/>
    <w:qFormat/>
    <w:uiPriority w:val="0"/>
    <w:rPr>
      <w:rFonts w:ascii="Arial" w:hAnsi="Arial" w:eastAsia="宋体" w:cs="Arial"/>
      <w:color w:val="auto"/>
      <w:sz w:val="20"/>
    </w:rPr>
  </w:style>
  <w:style w:type="paragraph" w:customStyle="1" w:styleId="1288">
    <w:name w:val="日期4"/>
    <w:basedOn w:val="1"/>
    <w:next w:val="1"/>
    <w:semiHidden/>
    <w:qFormat/>
    <w:uiPriority w:val="0"/>
    <w:pPr>
      <w:overflowPunct w:val="0"/>
      <w:spacing w:line="360" w:lineRule="auto"/>
      <w:ind w:firstLine="560"/>
    </w:pPr>
    <w:rPr>
      <w:rFonts w:ascii="仿宋_GB2312"/>
      <w:sz w:val="28"/>
    </w:rPr>
  </w:style>
  <w:style w:type="paragraph" w:customStyle="1" w:styleId="1289">
    <w:name w:val="Char Char Char Char Char Char Char4"/>
    <w:basedOn w:val="1"/>
    <w:next w:val="1"/>
    <w:semiHidden/>
    <w:qFormat/>
    <w:uiPriority w:val="0"/>
    <w:pPr>
      <w:spacing w:line="360" w:lineRule="auto"/>
      <w:ind w:firstLine="200" w:firstLineChars="200"/>
    </w:pPr>
    <w:rPr>
      <w:rFonts w:ascii="宋体" w:hAnsi="宋体" w:cs="宋体"/>
      <w:sz w:val="24"/>
      <w:szCs w:val="24"/>
    </w:rPr>
  </w:style>
  <w:style w:type="character" w:customStyle="1" w:styleId="1290">
    <w:name w:val="Char Char43"/>
    <w:basedOn w:val="109"/>
    <w:semiHidden/>
    <w:qFormat/>
    <w:uiPriority w:val="0"/>
    <w:rPr>
      <w:rFonts w:eastAsia="宋体"/>
      <w:b/>
      <w:bCs/>
      <w:kern w:val="44"/>
      <w:sz w:val="28"/>
      <w:szCs w:val="28"/>
      <w:lang w:val="en-US" w:eastAsia="zh-CN" w:bidi="ar-SA"/>
    </w:rPr>
  </w:style>
  <w:style w:type="paragraph" w:customStyle="1" w:styleId="1291">
    <w:name w:val="Char Char Char Char Char Char Char Char Char Char Char Char4"/>
    <w:basedOn w:val="1"/>
    <w:next w:val="1"/>
    <w:semiHidden/>
    <w:qFormat/>
    <w:uiPriority w:val="0"/>
    <w:pPr>
      <w:spacing w:line="360" w:lineRule="auto"/>
      <w:ind w:firstLine="200" w:firstLineChars="200"/>
    </w:pPr>
    <w:rPr>
      <w:rFonts w:ascii="宋体" w:hAnsi="宋体" w:cs="宋体"/>
      <w:sz w:val="24"/>
      <w:szCs w:val="24"/>
    </w:rPr>
  </w:style>
  <w:style w:type="paragraph" w:customStyle="1" w:styleId="1292">
    <w:name w:val="Char Char Char Char Char Char Char Char Char Char Char Char1 Char2"/>
    <w:basedOn w:val="1"/>
    <w:next w:val="1"/>
    <w:semiHidden/>
    <w:qFormat/>
    <w:uiPriority w:val="0"/>
    <w:pPr>
      <w:spacing w:line="360" w:lineRule="auto"/>
      <w:ind w:firstLine="200" w:firstLineChars="200"/>
    </w:pPr>
    <w:rPr>
      <w:rFonts w:ascii="宋体" w:hAnsi="宋体" w:cs="宋体"/>
      <w:sz w:val="24"/>
      <w:szCs w:val="24"/>
    </w:rPr>
  </w:style>
  <w:style w:type="paragraph" w:customStyle="1" w:styleId="1293">
    <w:name w:val="Char Char Char Char Char Char1 Char4"/>
    <w:basedOn w:val="1"/>
    <w:semiHidden/>
    <w:qFormat/>
    <w:uiPriority w:val="0"/>
    <w:rPr>
      <w:szCs w:val="24"/>
    </w:rPr>
  </w:style>
  <w:style w:type="paragraph" w:customStyle="1" w:styleId="1294">
    <w:name w:val="Char Char Char Char Char Char3"/>
    <w:basedOn w:val="1"/>
    <w:semiHidden/>
    <w:qFormat/>
    <w:uiPriority w:val="0"/>
    <w:rPr>
      <w:szCs w:val="24"/>
    </w:rPr>
  </w:style>
  <w:style w:type="paragraph" w:customStyle="1" w:styleId="1295">
    <w:name w:val="Char Char Char Char Char Char Char Char Char Char Char Char Char Char Char Char6"/>
    <w:basedOn w:val="1"/>
    <w:semiHidden/>
    <w:qFormat/>
    <w:uiPriority w:val="0"/>
    <w:rPr>
      <w:szCs w:val="24"/>
    </w:rPr>
  </w:style>
  <w:style w:type="paragraph" w:customStyle="1" w:styleId="1296">
    <w:name w:val="Char Char Char Char Char Char Char Char Char7"/>
    <w:basedOn w:val="1"/>
    <w:semiHidden/>
    <w:qFormat/>
    <w:uiPriority w:val="0"/>
    <w:rPr>
      <w:szCs w:val="24"/>
    </w:rPr>
  </w:style>
  <w:style w:type="paragraph" w:customStyle="1" w:styleId="1297">
    <w:name w:val="Char2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298">
    <w:name w:val="Char Char1 Char2"/>
    <w:basedOn w:val="1"/>
    <w:semiHidden/>
    <w:qFormat/>
    <w:uiPriority w:val="0"/>
    <w:rPr>
      <w:rFonts w:ascii="宋体" w:hAnsi="宋体" w:cs="Courier New"/>
      <w:sz w:val="32"/>
      <w:szCs w:val="32"/>
    </w:rPr>
  </w:style>
  <w:style w:type="character" w:customStyle="1" w:styleId="1299">
    <w:name w:val="Char Char132"/>
    <w:basedOn w:val="109"/>
    <w:semiHidden/>
    <w:qFormat/>
    <w:uiPriority w:val="0"/>
    <w:rPr>
      <w:rFonts w:eastAsia="宋体"/>
      <w:kern w:val="2"/>
      <w:sz w:val="21"/>
      <w:szCs w:val="24"/>
      <w:lang w:val="en-US" w:eastAsia="zh-CN" w:bidi="ar-SA"/>
    </w:rPr>
  </w:style>
  <w:style w:type="paragraph" w:customStyle="1" w:styleId="1300">
    <w:name w:val="A三级"/>
    <w:basedOn w:val="148"/>
    <w:link w:val="1301"/>
    <w:semiHidden/>
    <w:qFormat/>
    <w:uiPriority w:val="0"/>
    <w:rPr>
      <w:color w:val="auto"/>
    </w:rPr>
  </w:style>
  <w:style w:type="character" w:customStyle="1" w:styleId="1301">
    <w:name w:val="A三级 Char"/>
    <w:basedOn w:val="109"/>
    <w:link w:val="1300"/>
    <w:semiHidden/>
    <w:qFormat/>
    <w:uiPriority w:val="0"/>
    <w:rPr>
      <w:rFonts w:eastAsia="黑体"/>
      <w:b/>
      <w:sz w:val="28"/>
    </w:rPr>
  </w:style>
  <w:style w:type="paragraph" w:customStyle="1" w:styleId="1302">
    <w:name w:val="A四级"/>
    <w:basedOn w:val="5"/>
    <w:link w:val="1303"/>
    <w:semiHidden/>
    <w:qFormat/>
    <w:uiPriority w:val="0"/>
  </w:style>
  <w:style w:type="character" w:customStyle="1" w:styleId="1303">
    <w:name w:val="A四级 Char"/>
    <w:basedOn w:val="109"/>
    <w:link w:val="1302"/>
    <w:semiHidden/>
    <w:qFormat/>
    <w:uiPriority w:val="0"/>
    <w:rPr>
      <w:b/>
      <w:bCs/>
      <w:color w:val="000000" w:themeColor="text1"/>
      <w:sz w:val="24"/>
      <w:szCs w:val="28"/>
      <w14:textFill>
        <w14:solidFill>
          <w14:schemeClr w14:val="tx1"/>
        </w14:solidFill>
      </w14:textFill>
    </w:rPr>
  </w:style>
  <w:style w:type="paragraph" w:customStyle="1" w:styleId="1304">
    <w:name w:val="A表格后空行"/>
    <w:basedOn w:val="1"/>
    <w:link w:val="1305"/>
    <w:qFormat/>
    <w:uiPriority w:val="0"/>
    <w:pPr>
      <w:autoSpaceDE w:val="0"/>
      <w:autoSpaceDN w:val="0"/>
      <w:adjustRightInd w:val="0"/>
      <w:spacing w:line="240" w:lineRule="exact"/>
    </w:pPr>
    <w:rPr>
      <w:rFonts w:ascii="黑体"/>
      <w:bCs/>
      <w:color w:val="000000"/>
      <w:szCs w:val="28"/>
      <w:lang w:val="zh-CN"/>
    </w:rPr>
  </w:style>
  <w:style w:type="character" w:customStyle="1" w:styleId="1305">
    <w:name w:val="A表格后空行 Char"/>
    <w:basedOn w:val="109"/>
    <w:link w:val="1304"/>
    <w:qFormat/>
    <w:uiPriority w:val="0"/>
    <w:rPr>
      <w:rFonts w:ascii="黑体"/>
      <w:bCs/>
      <w:color w:val="000000"/>
      <w:szCs w:val="28"/>
      <w:lang w:val="zh-CN"/>
    </w:rPr>
  </w:style>
  <w:style w:type="character" w:customStyle="1" w:styleId="1306">
    <w:name w:val="普通(网站) 字符"/>
    <w:basedOn w:val="109"/>
    <w:link w:val="75"/>
    <w:semiHidden/>
    <w:qFormat/>
    <w:uiPriority w:val="99"/>
    <w:rPr>
      <w:sz w:val="24"/>
      <w:szCs w:val="24"/>
    </w:rPr>
  </w:style>
  <w:style w:type="character" w:customStyle="1" w:styleId="1307">
    <w:name w:val="题注 字符"/>
    <w:basedOn w:val="109"/>
    <w:semiHidden/>
    <w:qFormat/>
    <w:uiPriority w:val="0"/>
    <w:rPr>
      <w:rFonts w:ascii="Arial" w:hAnsi="Arial" w:eastAsia="黑体" w:cs="Arial"/>
      <w:kern w:val="2"/>
    </w:rPr>
  </w:style>
  <w:style w:type="character" w:customStyle="1" w:styleId="1308">
    <w:name w:val="样式7 Char"/>
    <w:basedOn w:val="109"/>
    <w:semiHidden/>
    <w:qFormat/>
    <w:uiPriority w:val="0"/>
    <w:rPr>
      <w:rFonts w:ascii="宋体" w:hAnsi="宋体"/>
      <w:bCs/>
      <w:color w:val="000000"/>
      <w:kern w:val="2"/>
      <w:sz w:val="24"/>
      <w:szCs w:val="24"/>
    </w:rPr>
  </w:style>
  <w:style w:type="paragraph" w:customStyle="1" w:styleId="1309">
    <w:name w:val="msonospacing"/>
    <w:basedOn w:val="1"/>
    <w:semiHidden/>
    <w:qFormat/>
    <w:uiPriority w:val="0"/>
    <w:pPr>
      <w:spacing w:line="360" w:lineRule="auto"/>
      <w:jc w:val="center"/>
    </w:pPr>
    <w:rPr>
      <w:rFonts w:eastAsia="黑体"/>
      <w:b/>
      <w:sz w:val="24"/>
      <w:szCs w:val="24"/>
    </w:rPr>
  </w:style>
  <w:style w:type="paragraph" w:customStyle="1" w:styleId="1310">
    <w:name w:val="Char Char Char Char Char Char Char Char Char Char Char Char Char Char Char Char Char Char Char Char Char Char Char Char3"/>
    <w:basedOn w:val="1"/>
    <w:semiHidden/>
    <w:qFormat/>
    <w:uiPriority w:val="0"/>
    <w:pPr>
      <w:spacing w:line="360" w:lineRule="auto"/>
    </w:pPr>
    <w:rPr>
      <w:szCs w:val="21"/>
    </w:rPr>
  </w:style>
  <w:style w:type="character" w:customStyle="1" w:styleId="1311">
    <w:name w:val="兴化美联正文样式 Char"/>
    <w:basedOn w:val="109"/>
    <w:link w:val="974"/>
    <w:semiHidden/>
    <w:qFormat/>
    <w:uiPriority w:val="0"/>
    <w:rPr>
      <w:rFonts w:ascii="宋体" w:hAnsi="宋体" w:cs="宋体"/>
      <w:sz w:val="24"/>
      <w:szCs w:val="24"/>
    </w:rPr>
  </w:style>
  <w:style w:type="paragraph" w:customStyle="1" w:styleId="1312">
    <w:name w:val="样式 行距: 固定值 28 磅"/>
    <w:basedOn w:val="1"/>
    <w:semiHidden/>
    <w:qFormat/>
    <w:uiPriority w:val="0"/>
    <w:pPr>
      <w:spacing w:line="360" w:lineRule="auto"/>
      <w:ind w:firstLine="480" w:firstLineChars="200"/>
    </w:pPr>
    <w:rPr>
      <w:rFonts w:ascii="宋体" w:hAnsi="宋体" w:cs="宋体"/>
      <w:sz w:val="24"/>
      <w:szCs w:val="24"/>
    </w:rPr>
  </w:style>
  <w:style w:type="character" w:customStyle="1" w:styleId="1313">
    <w:name w:val="font21"/>
    <w:basedOn w:val="109"/>
    <w:qFormat/>
    <w:uiPriority w:val="0"/>
    <w:rPr>
      <w:rFonts w:hint="eastAsia" w:ascii="宋体" w:hAnsi="宋体" w:eastAsia="宋体" w:cs="宋体"/>
      <w:color w:val="000000"/>
      <w:sz w:val="21"/>
      <w:szCs w:val="21"/>
      <w:u w:val="none"/>
    </w:rPr>
  </w:style>
  <w:style w:type="character" w:customStyle="1" w:styleId="1314">
    <w:name w:val="bds_more2"/>
    <w:basedOn w:val="109"/>
    <w:semiHidden/>
    <w:qFormat/>
    <w:uiPriority w:val="0"/>
    <w:rPr>
      <w:sz w:val="21"/>
    </w:rPr>
  </w:style>
  <w:style w:type="character" w:customStyle="1" w:styleId="1315">
    <w:name w:val="f_imagecaption"/>
    <w:basedOn w:val="109"/>
    <w:semiHidden/>
    <w:qFormat/>
    <w:uiPriority w:val="0"/>
    <w:rPr>
      <w:b/>
      <w:sz w:val="16"/>
      <w:szCs w:val="16"/>
    </w:rPr>
  </w:style>
  <w:style w:type="character" w:customStyle="1" w:styleId="1316">
    <w:name w:val="样式 标题 2 + 楷体_GB2312 Char"/>
    <w:basedOn w:val="109"/>
    <w:link w:val="1317"/>
    <w:semiHidden/>
    <w:qFormat/>
    <w:uiPriority w:val="0"/>
    <w:rPr>
      <w:rFonts w:ascii="楷体_GB2312" w:hAnsi="楷体_GB2312" w:eastAsia="楷体_GB2312"/>
      <w:b/>
      <w:color w:val="000000" w:themeColor="text1"/>
      <w:sz w:val="30"/>
      <w:szCs w:val="30"/>
      <w14:textFill>
        <w14:solidFill>
          <w14:schemeClr w14:val="tx1"/>
        </w14:solidFill>
      </w14:textFill>
    </w:rPr>
  </w:style>
  <w:style w:type="paragraph" w:customStyle="1" w:styleId="1317">
    <w:name w:val="样式 标题 2 + 楷体_GB2312"/>
    <w:basedOn w:val="3"/>
    <w:link w:val="1316"/>
    <w:semiHidden/>
    <w:qFormat/>
    <w:uiPriority w:val="0"/>
    <w:pPr>
      <w:widowControl w:val="0"/>
      <w:spacing w:before="120" w:after="120" w:line="500" w:lineRule="exact"/>
      <w:jc w:val="both"/>
    </w:pPr>
    <w:rPr>
      <w:rFonts w:ascii="楷体_GB2312" w:hAnsi="楷体_GB2312" w:eastAsia="楷体_GB2312"/>
      <w:sz w:val="30"/>
    </w:rPr>
  </w:style>
  <w:style w:type="character" w:customStyle="1" w:styleId="1318">
    <w:name w:val="正文文本缩进 2 Char1"/>
    <w:basedOn w:val="109"/>
    <w:semiHidden/>
    <w:qFormat/>
    <w:uiPriority w:val="99"/>
    <w:rPr>
      <w:rFonts w:ascii="宋体" w:hAnsi="宋体" w:eastAsia="宋体" w:cs="宋体"/>
      <w:sz w:val="24"/>
      <w:szCs w:val="24"/>
    </w:rPr>
  </w:style>
  <w:style w:type="character" w:customStyle="1" w:styleId="1319">
    <w:name w:val="正文文本 2 Char1"/>
    <w:basedOn w:val="109"/>
    <w:semiHidden/>
    <w:qFormat/>
    <w:uiPriority w:val="0"/>
    <w:rPr>
      <w:rFonts w:ascii="宋体" w:hAnsi="宋体" w:eastAsia="宋体" w:cs="宋体"/>
      <w:spacing w:val="8"/>
      <w:sz w:val="28"/>
      <w:szCs w:val="24"/>
    </w:rPr>
  </w:style>
  <w:style w:type="character" w:customStyle="1" w:styleId="1320">
    <w:name w:val="报告书正文 Char Char"/>
    <w:basedOn w:val="109"/>
    <w:semiHidden/>
    <w:qFormat/>
    <w:uiPriority w:val="0"/>
    <w:rPr>
      <w:rFonts w:eastAsia="宋体"/>
      <w:kern w:val="2"/>
      <w:sz w:val="21"/>
      <w:szCs w:val="24"/>
      <w:lang w:val="en-US" w:eastAsia="zh-CN" w:bidi="ar-SA"/>
    </w:rPr>
  </w:style>
  <w:style w:type="character" w:customStyle="1" w:styleId="1321">
    <w:name w:val="morelink9"/>
    <w:basedOn w:val="109"/>
    <w:semiHidden/>
    <w:qFormat/>
    <w:uiPriority w:val="0"/>
    <w:rPr>
      <w:sz w:val="21"/>
    </w:rPr>
  </w:style>
  <w:style w:type="character" w:customStyle="1" w:styleId="1322">
    <w:name w:val="标题二A Char"/>
    <w:basedOn w:val="109"/>
    <w:link w:val="1323"/>
    <w:semiHidden/>
    <w:qFormat/>
    <w:uiPriority w:val="0"/>
    <w:rPr>
      <w:rFonts w:ascii="宋体" w:hAnsi="宋体" w:eastAsia="黑体"/>
      <w:b/>
      <w:color w:val="000000" w:themeColor="text1"/>
      <w:sz w:val="30"/>
      <w:szCs w:val="30"/>
      <w14:textFill>
        <w14:solidFill>
          <w14:schemeClr w14:val="tx1"/>
        </w14:solidFill>
      </w14:textFill>
    </w:rPr>
  </w:style>
  <w:style w:type="paragraph" w:customStyle="1" w:styleId="1323">
    <w:name w:val="标题二A"/>
    <w:basedOn w:val="3"/>
    <w:link w:val="1322"/>
    <w:semiHidden/>
    <w:qFormat/>
    <w:uiPriority w:val="0"/>
    <w:pPr>
      <w:widowControl w:val="0"/>
      <w:spacing w:line="500" w:lineRule="exact"/>
      <w:jc w:val="both"/>
    </w:pPr>
    <w:rPr>
      <w:rFonts w:ascii="宋体" w:hAnsi="宋体"/>
      <w:sz w:val="30"/>
    </w:rPr>
  </w:style>
  <w:style w:type="character" w:customStyle="1" w:styleId="1324">
    <w:name w:val="标题2 Char Char"/>
    <w:basedOn w:val="109"/>
    <w:semiHidden/>
    <w:qFormat/>
    <w:uiPriority w:val="0"/>
    <w:rPr>
      <w:rFonts w:ascii="宋体" w:hAnsi="Courier New" w:eastAsia="黑体" w:cs="Courier New"/>
      <w:b/>
      <w:bCs/>
      <w:spacing w:val="8"/>
      <w:kern w:val="2"/>
      <w:sz w:val="30"/>
      <w:szCs w:val="21"/>
      <w:lang w:val="en-US" w:eastAsia="zh-CN" w:bidi="ar-SA"/>
    </w:rPr>
  </w:style>
  <w:style w:type="character" w:customStyle="1" w:styleId="1325">
    <w:name w:val="btna-s13"/>
    <w:basedOn w:val="109"/>
    <w:semiHidden/>
    <w:qFormat/>
    <w:uiPriority w:val="0"/>
    <w:rPr>
      <w:color w:val="FFFFFF"/>
      <w:sz w:val="21"/>
      <w:u w:val="none"/>
    </w:rPr>
  </w:style>
  <w:style w:type="character" w:customStyle="1" w:styleId="1326">
    <w:name w:val="f_codeexample"/>
    <w:basedOn w:val="109"/>
    <w:semiHidden/>
    <w:qFormat/>
    <w:uiPriority w:val="0"/>
    <w:rPr>
      <w:rFonts w:ascii="Courier New" w:hAnsi="Courier New" w:cs="Courier New"/>
      <w:color w:val="000000"/>
      <w:sz w:val="16"/>
      <w:szCs w:val="16"/>
    </w:rPr>
  </w:style>
  <w:style w:type="character" w:customStyle="1" w:styleId="1327">
    <w:name w:val="样式 样式 样式 首行缩进:  0.85 厘米 + 段前: 0.5 行 + 宋体 Char"/>
    <w:basedOn w:val="1173"/>
    <w:link w:val="1328"/>
    <w:semiHidden/>
    <w:qFormat/>
    <w:uiPriority w:val="0"/>
    <w:rPr>
      <w:rFonts w:ascii="宋体" w:hAnsi="宋体"/>
      <w:spacing w:val="8"/>
      <w:sz w:val="24"/>
      <w:szCs w:val="24"/>
    </w:rPr>
  </w:style>
  <w:style w:type="paragraph" w:customStyle="1" w:styleId="1328">
    <w:name w:val="样式 样式 样式 首行缩进:  0.85 厘米 + 段前: 0.5 行 + 宋体"/>
    <w:basedOn w:val="1174"/>
    <w:link w:val="1327"/>
    <w:semiHidden/>
    <w:qFormat/>
    <w:uiPriority w:val="0"/>
    <w:rPr>
      <w:rFonts w:ascii="宋体" w:hAnsi="宋体"/>
      <w:spacing w:val="8"/>
      <w:szCs w:val="24"/>
    </w:rPr>
  </w:style>
  <w:style w:type="character" w:customStyle="1" w:styleId="1329">
    <w:name w:val="extendlink8"/>
    <w:basedOn w:val="109"/>
    <w:semiHidden/>
    <w:qFormat/>
    <w:uiPriority w:val="0"/>
    <w:rPr>
      <w:sz w:val="18"/>
      <w:szCs w:val="18"/>
    </w:rPr>
  </w:style>
  <w:style w:type="character" w:customStyle="1" w:styleId="1330">
    <w:name w:val="副标题 Char1"/>
    <w:basedOn w:val="109"/>
    <w:semiHidden/>
    <w:qFormat/>
    <w:uiPriority w:val="11"/>
    <w:rPr>
      <w:rFonts w:ascii="宋体" w:hAnsi="宋体" w:eastAsia="黑体" w:cs="Arial"/>
      <w:bCs/>
      <w:kern w:val="28"/>
      <w:sz w:val="24"/>
      <w:szCs w:val="32"/>
    </w:rPr>
  </w:style>
  <w:style w:type="character" w:customStyle="1" w:styleId="1331">
    <w:name w:val="标题表格 Char"/>
    <w:basedOn w:val="109"/>
    <w:link w:val="1332"/>
    <w:semiHidden/>
    <w:qFormat/>
    <w:uiPriority w:val="0"/>
    <w:rPr>
      <w:rFonts w:ascii="黑体" w:hAnsi="楷体_GB2312" w:eastAsia="黑体" w:cs="宋体"/>
      <w:sz w:val="24"/>
      <w:szCs w:val="24"/>
    </w:rPr>
  </w:style>
  <w:style w:type="paragraph" w:customStyle="1" w:styleId="1332">
    <w:name w:val="标题表格"/>
    <w:basedOn w:val="1"/>
    <w:link w:val="1331"/>
    <w:semiHidden/>
    <w:qFormat/>
    <w:uiPriority w:val="0"/>
    <w:pPr>
      <w:spacing w:beforeLines="50"/>
      <w:jc w:val="center"/>
    </w:pPr>
    <w:rPr>
      <w:rFonts w:ascii="黑体" w:hAnsi="楷体_GB2312" w:eastAsia="黑体" w:cs="宋体"/>
      <w:sz w:val="24"/>
      <w:szCs w:val="24"/>
    </w:rPr>
  </w:style>
  <w:style w:type="character" w:customStyle="1" w:styleId="1333">
    <w:name w:val="页脚 Char1"/>
    <w:basedOn w:val="109"/>
    <w:semiHidden/>
    <w:qFormat/>
    <w:uiPriority w:val="99"/>
    <w:rPr>
      <w:rFonts w:eastAsia="宋体"/>
      <w:kern w:val="2"/>
      <w:sz w:val="18"/>
      <w:lang w:val="en-US" w:eastAsia="zh-CN" w:bidi="ar-SA"/>
    </w:rPr>
  </w:style>
  <w:style w:type="character" w:customStyle="1" w:styleId="1334">
    <w:name w:val="unnamed11"/>
    <w:basedOn w:val="109"/>
    <w:semiHidden/>
    <w:qFormat/>
    <w:uiPriority w:val="0"/>
    <w:rPr>
      <w:rFonts w:eastAsia="宋体"/>
      <w:kern w:val="2"/>
      <w:sz w:val="21"/>
      <w:lang w:val="en-US" w:eastAsia="zh-CN" w:bidi="ar-SA"/>
    </w:rPr>
  </w:style>
  <w:style w:type="character" w:customStyle="1" w:styleId="1335">
    <w:name w:val="表格 Char Char"/>
    <w:basedOn w:val="109"/>
    <w:semiHidden/>
    <w:qFormat/>
    <w:uiPriority w:val="0"/>
    <w:rPr>
      <w:rFonts w:ascii="仿宋_GB2312" w:eastAsia="仿宋_GB2312"/>
      <w:color w:val="000000"/>
      <w:sz w:val="24"/>
      <w:szCs w:val="21"/>
      <w:lang w:val="en-US" w:eastAsia="zh-CN" w:bidi="ar-SA"/>
    </w:rPr>
  </w:style>
  <w:style w:type="character" w:customStyle="1" w:styleId="1336">
    <w:name w:val="bt21"/>
    <w:basedOn w:val="109"/>
    <w:semiHidden/>
    <w:qFormat/>
    <w:uiPriority w:val="0"/>
    <w:rPr>
      <w:rFonts w:hint="eastAsia" w:ascii="黑体" w:eastAsia="黑体"/>
      <w:sz w:val="24"/>
      <w:szCs w:val="24"/>
    </w:rPr>
  </w:style>
  <w:style w:type="character" w:customStyle="1" w:styleId="1337">
    <w:name w:val="btna-s12"/>
    <w:basedOn w:val="109"/>
    <w:semiHidden/>
    <w:qFormat/>
    <w:uiPriority w:val="0"/>
    <w:rPr>
      <w:color w:val="666666"/>
      <w:sz w:val="21"/>
      <w:u w:val="none"/>
    </w:rPr>
  </w:style>
  <w:style w:type="character" w:customStyle="1" w:styleId="1338">
    <w:name w:val="正文(首行缩进)宋旭峰 Char1"/>
    <w:basedOn w:val="109"/>
    <w:semiHidden/>
    <w:qFormat/>
    <w:uiPriority w:val="0"/>
    <w:rPr>
      <w:rFonts w:eastAsia="宋体" w:cs="TimesNewRomanPSMT"/>
      <w:snapToGrid w:val="0"/>
      <w:kern w:val="2"/>
      <w:sz w:val="24"/>
      <w:szCs w:val="24"/>
      <w:lang w:val="en-US" w:eastAsia="zh-CN" w:bidi="ar-SA"/>
    </w:rPr>
  </w:style>
  <w:style w:type="character" w:customStyle="1" w:styleId="1339">
    <w:name w:val="样式 样式 小四 + 首行缩进:  2 字符 段前: 0.5 行 Char"/>
    <w:basedOn w:val="109"/>
    <w:link w:val="1340"/>
    <w:semiHidden/>
    <w:qFormat/>
    <w:uiPriority w:val="0"/>
    <w:rPr>
      <w:sz w:val="24"/>
    </w:rPr>
  </w:style>
  <w:style w:type="paragraph" w:customStyle="1" w:styleId="1340">
    <w:name w:val="样式 样式 小四 + 首行缩进:  2 字符 段前: 0.5 行"/>
    <w:basedOn w:val="1"/>
    <w:link w:val="1339"/>
    <w:semiHidden/>
    <w:qFormat/>
    <w:uiPriority w:val="0"/>
    <w:pPr>
      <w:spacing w:before="50" w:line="360" w:lineRule="auto"/>
      <w:ind w:firstLine="200" w:firstLineChars="200"/>
    </w:pPr>
    <w:rPr>
      <w:sz w:val="24"/>
    </w:rPr>
  </w:style>
  <w:style w:type="character" w:customStyle="1" w:styleId="1341">
    <w:name w:val="样式 正文文本 + (中文) 黑体 红色 Char Char Char Char"/>
    <w:basedOn w:val="109"/>
    <w:link w:val="1342"/>
    <w:semiHidden/>
    <w:qFormat/>
    <w:uiPriority w:val="0"/>
    <w:rPr>
      <w:rFonts w:eastAsia="黑体"/>
      <w:snapToGrid w:val="0"/>
      <w:color w:val="FF0000"/>
      <w:sz w:val="24"/>
    </w:rPr>
  </w:style>
  <w:style w:type="paragraph" w:customStyle="1" w:styleId="1342">
    <w:name w:val="样式 正文文本 + (中文) 黑体 红色 Char Char Char"/>
    <w:basedOn w:val="1"/>
    <w:link w:val="1341"/>
    <w:semiHidden/>
    <w:qFormat/>
    <w:uiPriority w:val="0"/>
    <w:pPr>
      <w:tabs>
        <w:tab w:val="left" w:pos="1800"/>
      </w:tabs>
      <w:snapToGrid w:val="0"/>
      <w:spacing w:before="120" w:after="60" w:line="264" w:lineRule="auto"/>
      <w:ind w:firstLine="200" w:firstLineChars="200"/>
    </w:pPr>
    <w:rPr>
      <w:rFonts w:eastAsia="黑体"/>
      <w:snapToGrid w:val="0"/>
      <w:color w:val="FF0000"/>
      <w:sz w:val="24"/>
    </w:rPr>
  </w:style>
  <w:style w:type="character" w:customStyle="1" w:styleId="1343">
    <w:name w:val="样式 样式 标题 2节H2节标题 1.1二级标题标题 lxb21.1h2第一层条二级标题 Char表标题单位名... + 宋体... Char Char"/>
    <w:basedOn w:val="1344"/>
    <w:semiHidden/>
    <w:qFormat/>
    <w:uiPriority w:val="0"/>
    <w:rPr>
      <w:rFonts w:ascii="宋体" w:hAnsi="宋体" w:eastAsia="黑体"/>
      <w:color w:val="000000"/>
      <w:sz w:val="24"/>
      <w:szCs w:val="28"/>
    </w:rPr>
  </w:style>
  <w:style w:type="character" w:customStyle="1" w:styleId="1344">
    <w:name w:val="样式 标题 2节H2节标题 1.1二级标题标题 lxb21.1h2第一层条二级标题 Char表标题单位名... Char Char Char"/>
    <w:basedOn w:val="109"/>
    <w:semiHidden/>
    <w:qFormat/>
    <w:uiPriority w:val="0"/>
    <w:rPr>
      <w:rFonts w:ascii="黑体" w:hAnsi="宋体" w:eastAsia="黑体"/>
      <w:b/>
      <w:bCs/>
      <w:color w:val="000000"/>
      <w:sz w:val="28"/>
      <w:szCs w:val="28"/>
    </w:rPr>
  </w:style>
  <w:style w:type="character" w:customStyle="1" w:styleId="1345">
    <w:name w:val="btna-s"/>
    <w:basedOn w:val="109"/>
    <w:semiHidden/>
    <w:qFormat/>
    <w:uiPriority w:val="0"/>
    <w:rPr>
      <w:color w:val="FFFFFF"/>
      <w:sz w:val="21"/>
      <w:u w:val="none"/>
    </w:rPr>
  </w:style>
  <w:style w:type="character" w:customStyle="1" w:styleId="1346">
    <w:name w:val="ht正文 Char"/>
    <w:basedOn w:val="109"/>
    <w:link w:val="1347"/>
    <w:semiHidden/>
    <w:qFormat/>
    <w:uiPriority w:val="0"/>
    <w:rPr>
      <w:rFonts w:ascii="宋体"/>
      <w:spacing w:val="4"/>
      <w:sz w:val="24"/>
      <w:szCs w:val="24"/>
    </w:rPr>
  </w:style>
  <w:style w:type="paragraph" w:customStyle="1" w:styleId="1347">
    <w:name w:val="ht正文"/>
    <w:basedOn w:val="1"/>
    <w:link w:val="1346"/>
    <w:semiHidden/>
    <w:qFormat/>
    <w:uiPriority w:val="0"/>
    <w:pPr>
      <w:tabs>
        <w:tab w:val="left" w:pos="3600"/>
      </w:tabs>
      <w:spacing w:line="360" w:lineRule="auto"/>
      <w:ind w:firstLine="496" w:firstLineChars="200"/>
    </w:pPr>
    <w:rPr>
      <w:rFonts w:ascii="宋体"/>
      <w:spacing w:val="4"/>
      <w:sz w:val="24"/>
      <w:szCs w:val="24"/>
    </w:rPr>
  </w:style>
  <w:style w:type="character" w:customStyle="1" w:styleId="1348">
    <w:name w:val="称呼 Char1"/>
    <w:basedOn w:val="109"/>
    <w:semiHidden/>
    <w:qFormat/>
    <w:uiPriority w:val="99"/>
    <w:rPr>
      <w:rFonts w:ascii="宋体" w:hAnsi="宋体" w:eastAsia="宋体" w:cs="宋体"/>
      <w:sz w:val="24"/>
      <w:szCs w:val="24"/>
    </w:rPr>
  </w:style>
  <w:style w:type="character" w:customStyle="1" w:styleId="1349">
    <w:name w:val="标题 9 Char1"/>
    <w:basedOn w:val="109"/>
    <w:semiHidden/>
    <w:qFormat/>
    <w:uiPriority w:val="0"/>
    <w:rPr>
      <w:rFonts w:ascii="Arial" w:hAnsi="Arial" w:eastAsia="黑体" w:cs="宋体"/>
      <w:kern w:val="0"/>
      <w:sz w:val="24"/>
      <w:szCs w:val="21"/>
    </w:rPr>
  </w:style>
  <w:style w:type="character" w:customStyle="1" w:styleId="1350">
    <w:name w:val="正文首行缩进 2 Char1"/>
    <w:basedOn w:val="1351"/>
    <w:semiHidden/>
    <w:qFormat/>
    <w:uiPriority w:val="0"/>
    <w:rPr>
      <w:rFonts w:ascii="宋体" w:hAnsi="宋体" w:eastAsia="宋体" w:cs="宋体"/>
      <w:sz w:val="24"/>
      <w:szCs w:val="24"/>
    </w:rPr>
  </w:style>
  <w:style w:type="character" w:customStyle="1" w:styleId="1351">
    <w:name w:val="正文文本缩进 Char1"/>
    <w:basedOn w:val="109"/>
    <w:semiHidden/>
    <w:qFormat/>
    <w:uiPriority w:val="0"/>
    <w:rPr>
      <w:rFonts w:eastAsia="宋体"/>
    </w:rPr>
  </w:style>
  <w:style w:type="character" w:customStyle="1" w:styleId="1352">
    <w:name w:val="extendlink10"/>
    <w:basedOn w:val="109"/>
    <w:semiHidden/>
    <w:qFormat/>
    <w:uiPriority w:val="0"/>
    <w:rPr>
      <w:rFonts w:ascii="宋体" w:hAnsi="宋体" w:cs="宋体"/>
      <w:sz w:val="18"/>
      <w:szCs w:val="18"/>
    </w:rPr>
  </w:style>
  <w:style w:type="character" w:customStyle="1" w:styleId="1353">
    <w:name w:val="样式 标题 3H3B Head标题 3 Char条标题1.1.1三级标题标题3h33rd level第二层条...1 Char Char"/>
    <w:basedOn w:val="109"/>
    <w:semiHidden/>
    <w:qFormat/>
    <w:uiPriority w:val="0"/>
    <w:rPr>
      <w:rFonts w:eastAsia="黑体"/>
      <w:b/>
      <w:bCs/>
      <w:snapToGrid w:val="0"/>
      <w:color w:val="FF0000"/>
      <w:sz w:val="24"/>
      <w:szCs w:val="24"/>
    </w:rPr>
  </w:style>
  <w:style w:type="character" w:customStyle="1" w:styleId="1354">
    <w:name w:val="morelink11"/>
    <w:basedOn w:val="109"/>
    <w:semiHidden/>
    <w:qFormat/>
    <w:uiPriority w:val="0"/>
    <w:rPr>
      <w:sz w:val="21"/>
    </w:rPr>
  </w:style>
  <w:style w:type="character" w:customStyle="1" w:styleId="1355">
    <w:name w:val="btna-s11"/>
    <w:basedOn w:val="109"/>
    <w:semiHidden/>
    <w:qFormat/>
    <w:uiPriority w:val="0"/>
    <w:rPr>
      <w:sz w:val="21"/>
      <w:u w:val="none"/>
    </w:rPr>
  </w:style>
  <w:style w:type="character" w:customStyle="1" w:styleId="1356">
    <w:name w:val="bi1"/>
    <w:basedOn w:val="109"/>
    <w:semiHidden/>
    <w:qFormat/>
    <w:uiPriority w:val="0"/>
    <w:rPr>
      <w:rFonts w:hint="default" w:eastAsia="宋体"/>
      <w:kern w:val="2"/>
      <w:sz w:val="22"/>
      <w:szCs w:val="22"/>
      <w:lang w:val="en-US" w:eastAsia="zh-CN" w:bidi="ar-SA"/>
    </w:rPr>
  </w:style>
  <w:style w:type="character" w:customStyle="1" w:styleId="1357">
    <w:name w:val="bds_nopic2"/>
    <w:basedOn w:val="109"/>
    <w:semiHidden/>
    <w:qFormat/>
    <w:uiPriority w:val="0"/>
    <w:rPr>
      <w:sz w:val="21"/>
    </w:rPr>
  </w:style>
  <w:style w:type="character" w:customStyle="1" w:styleId="1358">
    <w:name w:val="extendlink9"/>
    <w:basedOn w:val="109"/>
    <w:semiHidden/>
    <w:qFormat/>
    <w:uiPriority w:val="0"/>
    <w:rPr>
      <w:sz w:val="18"/>
      <w:szCs w:val="18"/>
    </w:rPr>
  </w:style>
  <w:style w:type="character" w:customStyle="1" w:styleId="1359">
    <w:name w:val="标题 Char1"/>
    <w:basedOn w:val="109"/>
    <w:semiHidden/>
    <w:qFormat/>
    <w:uiPriority w:val="10"/>
    <w:rPr>
      <w:rFonts w:ascii="Arial" w:hAnsi="Arial" w:eastAsia="隶书" w:cs="Arial"/>
      <w:b/>
      <w:bCs/>
      <w:sz w:val="44"/>
      <w:szCs w:val="32"/>
    </w:rPr>
  </w:style>
  <w:style w:type="character" w:customStyle="1" w:styleId="1360">
    <w:name w:val="标题 3-biao-ls Char"/>
    <w:basedOn w:val="109"/>
    <w:semiHidden/>
    <w:qFormat/>
    <w:uiPriority w:val="0"/>
    <w:rPr>
      <w:rFonts w:ascii="黑体" w:hAnsi="宋体" w:eastAsia="黑体"/>
      <w:kern w:val="2"/>
      <w:sz w:val="24"/>
      <w:szCs w:val="24"/>
      <w:lang w:val="en-US" w:eastAsia="zh-CN" w:bidi="ar-SA"/>
    </w:rPr>
  </w:style>
  <w:style w:type="character" w:customStyle="1" w:styleId="1361">
    <w:name w:val="样式 居中 首行缩进:  0 字符 Char Char Char Char1"/>
    <w:basedOn w:val="109"/>
    <w:semiHidden/>
    <w:qFormat/>
    <w:uiPriority w:val="0"/>
    <w:rPr>
      <w:rFonts w:ascii="宋体" w:hAnsi="宋体" w:eastAsia="宋体"/>
      <w:color w:val="FF0000"/>
      <w:kern w:val="2"/>
      <w:sz w:val="18"/>
      <w:szCs w:val="18"/>
      <w:lang w:val="en-US" w:eastAsia="zh-CN" w:bidi="ar-SA"/>
    </w:rPr>
  </w:style>
  <w:style w:type="character" w:customStyle="1" w:styleId="1362">
    <w:name w:val="btna-s8"/>
    <w:basedOn w:val="109"/>
    <w:semiHidden/>
    <w:qFormat/>
    <w:uiPriority w:val="0"/>
    <w:rPr>
      <w:color w:val="FFFFFF"/>
      <w:sz w:val="21"/>
      <w:u w:val="none"/>
    </w:rPr>
  </w:style>
  <w:style w:type="character" w:customStyle="1" w:styleId="1363">
    <w:name w:val="样式 标题 3H3B Head标题 3 Char条标题1.1.1三级标题标题3h33rd level第二层条...5 Char"/>
    <w:basedOn w:val="109"/>
    <w:link w:val="1364"/>
    <w:semiHidden/>
    <w:qFormat/>
    <w:uiPriority w:val="0"/>
    <w:rPr>
      <w:rFonts w:ascii="宋体" w:eastAsia="黑体"/>
      <w:b/>
      <w:sz w:val="28"/>
      <w:szCs w:val="28"/>
    </w:rPr>
  </w:style>
  <w:style w:type="paragraph" w:customStyle="1" w:styleId="1364">
    <w:name w:val="样式 标题 3H3B Head标题 3 Char条标题1.1.1三级标题标题3h33rd level第二层条...5"/>
    <w:basedOn w:val="4"/>
    <w:next w:val="29"/>
    <w:link w:val="1363"/>
    <w:semiHidden/>
    <w:qFormat/>
    <w:uiPriority w:val="0"/>
    <w:pPr>
      <w:spacing w:line="360" w:lineRule="auto"/>
      <w:ind w:left="870" w:hanging="870"/>
    </w:pPr>
    <w:rPr>
      <w:rFonts w:ascii="宋体"/>
      <w:sz w:val="28"/>
      <w:szCs w:val="28"/>
    </w:rPr>
  </w:style>
  <w:style w:type="character" w:customStyle="1" w:styleId="1365">
    <w:name w:val="Char Char10"/>
    <w:basedOn w:val="109"/>
    <w:semiHidden/>
    <w:qFormat/>
    <w:uiPriority w:val="0"/>
    <w:rPr>
      <w:rFonts w:ascii="宋体" w:hAnsi="宋体" w:eastAsia="宋体" w:cs="宋体"/>
      <w:sz w:val="24"/>
      <w:szCs w:val="24"/>
      <w:lang w:val="en-US" w:eastAsia="zh-CN" w:bidi="ar-SA"/>
    </w:rPr>
  </w:style>
  <w:style w:type="character" w:customStyle="1" w:styleId="1366">
    <w:name w:val="样式 标题1 + (西文) 宋体 小四 黑色 Char"/>
    <w:basedOn w:val="1051"/>
    <w:link w:val="1367"/>
    <w:semiHidden/>
    <w:qFormat/>
    <w:uiPriority w:val="0"/>
    <w:rPr>
      <w:rFonts w:ascii="宋体" w:hAnsi="宋体" w:eastAsia="隶书" w:cs="Tunga"/>
      <w:color w:val="000000"/>
      <w:spacing w:val="8"/>
      <w:sz w:val="36"/>
      <w:szCs w:val="36"/>
    </w:rPr>
  </w:style>
  <w:style w:type="paragraph" w:customStyle="1" w:styleId="1367">
    <w:name w:val="样式 标题1 + (西文) 宋体 小四 黑色"/>
    <w:basedOn w:val="2"/>
    <w:link w:val="1366"/>
    <w:semiHidden/>
    <w:qFormat/>
    <w:uiPriority w:val="0"/>
    <w:pPr>
      <w:adjustRightInd w:val="0"/>
      <w:spacing w:beforeLines="100" w:after="50" w:line="360" w:lineRule="exact"/>
      <w:ind w:left="3703" w:hanging="3703"/>
      <w:textAlignment w:val="center"/>
      <w:outlineLvl w:val="9"/>
    </w:pPr>
    <w:rPr>
      <w:rFonts w:ascii="宋体" w:hAnsi="宋体" w:eastAsia="隶书" w:cs="Tunga"/>
      <w:color w:val="000000"/>
      <w:spacing w:val="8"/>
    </w:rPr>
  </w:style>
  <w:style w:type="character" w:customStyle="1" w:styleId="1368">
    <w:name w:val="17"/>
    <w:basedOn w:val="109"/>
    <w:qFormat/>
    <w:uiPriority w:val="0"/>
    <w:rPr>
      <w:rFonts w:hint="default" w:ascii="Times New Roman" w:hAnsi="Times New Roman" w:cs="Times New Roman"/>
      <w:sz w:val="21"/>
      <w:szCs w:val="21"/>
    </w:rPr>
  </w:style>
  <w:style w:type="character" w:customStyle="1" w:styleId="1369">
    <w:name w:val="正文文本缩进 3 Char1"/>
    <w:basedOn w:val="109"/>
    <w:semiHidden/>
    <w:qFormat/>
    <w:uiPriority w:val="99"/>
    <w:rPr>
      <w:rFonts w:ascii="宋体" w:hAnsi="宋体" w:eastAsia="宋体" w:cs="宋体"/>
      <w:color w:val="000000"/>
      <w:sz w:val="24"/>
      <w:szCs w:val="24"/>
    </w:rPr>
  </w:style>
  <w:style w:type="character" w:customStyle="1" w:styleId="1370">
    <w:name w:val="文字缩进 Char Char"/>
    <w:basedOn w:val="109"/>
    <w:semiHidden/>
    <w:qFormat/>
    <w:locked/>
    <w:uiPriority w:val="0"/>
    <w:rPr>
      <w:rFonts w:ascii="宋体" w:hAnsi="Courier New" w:eastAsia="宋体" w:cs="宋体"/>
      <w:sz w:val="28"/>
      <w:szCs w:val="28"/>
      <w:lang w:val="en-US" w:eastAsia="zh-CN"/>
    </w:rPr>
  </w:style>
  <w:style w:type="character" w:customStyle="1" w:styleId="1371">
    <w:name w:val="ulmenu1"/>
    <w:basedOn w:val="109"/>
    <w:semiHidden/>
    <w:qFormat/>
    <w:uiPriority w:val="0"/>
  </w:style>
  <w:style w:type="character" w:customStyle="1" w:styleId="1372">
    <w:name w:val="4 Char Char"/>
    <w:basedOn w:val="109"/>
    <w:semiHidden/>
    <w:qFormat/>
    <w:uiPriority w:val="0"/>
    <w:rPr>
      <w:rFonts w:eastAsia="方正仿宋简体"/>
      <w:w w:val="80"/>
      <w:kern w:val="2"/>
      <w:sz w:val="24"/>
      <w:szCs w:val="24"/>
    </w:rPr>
  </w:style>
  <w:style w:type="character" w:customStyle="1" w:styleId="1373">
    <w:name w:val="页眉 Char1"/>
    <w:basedOn w:val="109"/>
    <w:semiHidden/>
    <w:qFormat/>
    <w:uiPriority w:val="0"/>
    <w:rPr>
      <w:rFonts w:eastAsia="宋体"/>
      <w:kern w:val="2"/>
      <w:sz w:val="18"/>
      <w:lang w:val="en-US" w:eastAsia="zh-CN" w:bidi="ar-SA"/>
    </w:rPr>
  </w:style>
  <w:style w:type="character" w:customStyle="1" w:styleId="1374">
    <w:name w:val="btna-s15"/>
    <w:basedOn w:val="109"/>
    <w:semiHidden/>
    <w:qFormat/>
    <w:uiPriority w:val="0"/>
    <w:rPr>
      <w:color w:val="000000"/>
      <w:sz w:val="21"/>
      <w:u w:val="none"/>
    </w:rPr>
  </w:style>
  <w:style w:type="character" w:customStyle="1" w:styleId="1375">
    <w:name w:val="样式 标题 3标题 3-ls标题3样式 + 段前: 0.1 行 段后: 0.1 行 Char"/>
    <w:basedOn w:val="109"/>
    <w:link w:val="1376"/>
    <w:semiHidden/>
    <w:qFormat/>
    <w:uiPriority w:val="0"/>
    <w:rPr>
      <w:rFonts w:ascii="宋体" w:eastAsia="黑体" w:cs="宋体"/>
      <w:b/>
      <w:sz w:val="28"/>
    </w:rPr>
  </w:style>
  <w:style w:type="paragraph" w:customStyle="1" w:styleId="1376">
    <w:name w:val="样式 标题 3标题 3-ls标题3样式 + 段前: 0.1 行 段后: 0.1 行"/>
    <w:basedOn w:val="4"/>
    <w:link w:val="1375"/>
    <w:semiHidden/>
    <w:qFormat/>
    <w:uiPriority w:val="0"/>
    <w:pPr>
      <w:spacing w:beforeLines="10" w:afterLines="10" w:line="360" w:lineRule="auto"/>
      <w:ind w:left="870" w:hanging="870"/>
    </w:pPr>
    <w:rPr>
      <w:rFonts w:ascii="宋体" w:cs="宋体"/>
      <w:sz w:val="28"/>
    </w:rPr>
  </w:style>
  <w:style w:type="character" w:customStyle="1" w:styleId="1377">
    <w:name w:val="正文文本 Char1"/>
    <w:basedOn w:val="109"/>
    <w:semiHidden/>
    <w:qFormat/>
    <w:uiPriority w:val="99"/>
    <w:rPr>
      <w:rFonts w:eastAsia="宋体"/>
      <w:kern w:val="2"/>
      <w:sz w:val="21"/>
      <w:lang w:val="en-US" w:eastAsia="zh-CN" w:bidi="ar-SA"/>
    </w:rPr>
  </w:style>
  <w:style w:type="character" w:customStyle="1" w:styleId="1378">
    <w:name w:val="btna-s9"/>
    <w:basedOn w:val="109"/>
    <w:semiHidden/>
    <w:qFormat/>
    <w:uiPriority w:val="0"/>
    <w:rPr>
      <w:color w:val="FFFFFF"/>
      <w:sz w:val="21"/>
      <w:u w:val="none"/>
    </w:rPr>
  </w:style>
  <w:style w:type="character" w:customStyle="1" w:styleId="1379">
    <w:name w:val="批注文字 Char1"/>
    <w:basedOn w:val="109"/>
    <w:semiHidden/>
    <w:qFormat/>
    <w:uiPriority w:val="0"/>
    <w:rPr>
      <w:rFonts w:ascii="宋体" w:hAnsi="宋体" w:eastAsia="宋体" w:cs="宋体"/>
      <w:sz w:val="24"/>
      <w:szCs w:val="24"/>
      <w:lang w:val="en-US" w:eastAsia="zh-CN" w:bidi="ar-SA"/>
    </w:rPr>
  </w:style>
  <w:style w:type="character" w:customStyle="1" w:styleId="1380">
    <w:name w:val="赖氨酸三级标题 Char"/>
    <w:basedOn w:val="109"/>
    <w:link w:val="1381"/>
    <w:semiHidden/>
    <w:qFormat/>
    <w:uiPriority w:val="0"/>
    <w:rPr>
      <w:rFonts w:eastAsia="黑体"/>
      <w:b/>
      <w:sz w:val="28"/>
      <w:szCs w:val="28"/>
    </w:rPr>
  </w:style>
  <w:style w:type="paragraph" w:customStyle="1" w:styleId="1381">
    <w:name w:val="赖氨酸三级标题"/>
    <w:basedOn w:val="4"/>
    <w:link w:val="1380"/>
    <w:semiHidden/>
    <w:qFormat/>
    <w:uiPriority w:val="0"/>
    <w:pPr>
      <w:widowControl w:val="0"/>
      <w:overflowPunct w:val="0"/>
      <w:autoSpaceDE w:val="0"/>
      <w:autoSpaceDN w:val="0"/>
      <w:adjustRightInd w:val="0"/>
      <w:spacing w:before="120" w:line="360" w:lineRule="auto"/>
      <w:jc w:val="both"/>
      <w:textAlignment w:val="baseline"/>
    </w:pPr>
    <w:rPr>
      <w:sz w:val="28"/>
      <w:szCs w:val="28"/>
    </w:rPr>
  </w:style>
  <w:style w:type="character" w:customStyle="1" w:styleId="1382">
    <w:name w:val="样式 样式 首行缩进:  0.85 厘米 + 段前: 0.5 行 Char"/>
    <w:basedOn w:val="1383"/>
    <w:semiHidden/>
    <w:qFormat/>
    <w:uiPriority w:val="0"/>
    <w:rPr>
      <w:rFonts w:eastAsia="宋体"/>
      <w:kern w:val="2"/>
      <w:sz w:val="24"/>
      <w:lang w:val="en-US" w:eastAsia="zh-CN" w:bidi="ar-SA"/>
    </w:rPr>
  </w:style>
  <w:style w:type="character" w:customStyle="1" w:styleId="1383">
    <w:name w:val="样式 首行缩进:  0.85 厘米 Char"/>
    <w:basedOn w:val="109"/>
    <w:semiHidden/>
    <w:qFormat/>
    <w:uiPriority w:val="0"/>
    <w:rPr>
      <w:rFonts w:eastAsia="宋体"/>
      <w:kern w:val="2"/>
      <w:sz w:val="24"/>
      <w:lang w:val="en-US" w:eastAsia="zh-CN" w:bidi="ar-SA"/>
    </w:rPr>
  </w:style>
  <w:style w:type="character" w:customStyle="1" w:styleId="1384">
    <w:name w:val="current"/>
    <w:basedOn w:val="109"/>
    <w:semiHidden/>
    <w:qFormat/>
    <w:uiPriority w:val="0"/>
    <w:rPr>
      <w:b/>
      <w:color w:val="000000"/>
      <w:sz w:val="21"/>
      <w:bdr w:val="single" w:color="E89954" w:sz="6" w:space="0"/>
      <w:shd w:val="clear" w:color="auto" w:fill="E89954"/>
    </w:rPr>
  </w:style>
  <w:style w:type="character" w:customStyle="1" w:styleId="1385">
    <w:name w:val="Ch Char Char1"/>
    <w:basedOn w:val="109"/>
    <w:semiHidden/>
    <w:qFormat/>
    <w:uiPriority w:val="0"/>
    <w:rPr>
      <w:rFonts w:eastAsia="宋体"/>
      <w:b/>
      <w:bCs/>
      <w:kern w:val="44"/>
      <w:sz w:val="44"/>
      <w:szCs w:val="44"/>
      <w:lang w:val="en-US" w:eastAsia="zh-CN" w:bidi="ar-SA"/>
    </w:rPr>
  </w:style>
  <w:style w:type="character" w:customStyle="1" w:styleId="1386">
    <w:name w:val="样式 兴化美联正文样式 + 自动设置 Char"/>
    <w:basedOn w:val="109"/>
    <w:link w:val="1387"/>
    <w:semiHidden/>
    <w:qFormat/>
    <w:uiPriority w:val="0"/>
    <w:rPr>
      <w:rFonts w:ascii="宋体" w:hAnsi="宋体" w:cs="宋体"/>
      <w:sz w:val="24"/>
      <w:szCs w:val="24"/>
    </w:rPr>
  </w:style>
  <w:style w:type="paragraph" w:customStyle="1" w:styleId="1387">
    <w:name w:val="样式 兴化美联正文样式 + 自动设置"/>
    <w:basedOn w:val="974"/>
    <w:link w:val="1386"/>
    <w:semiHidden/>
    <w:qFormat/>
    <w:uiPriority w:val="0"/>
  </w:style>
  <w:style w:type="character" w:customStyle="1" w:styleId="1388">
    <w:name w:val="c2"/>
    <w:basedOn w:val="109"/>
    <w:semiHidden/>
    <w:qFormat/>
    <w:uiPriority w:val="0"/>
    <w:rPr>
      <w:sz w:val="21"/>
    </w:rPr>
  </w:style>
  <w:style w:type="character" w:customStyle="1" w:styleId="1389">
    <w:name w:val="Ch Char Char"/>
    <w:basedOn w:val="109"/>
    <w:semiHidden/>
    <w:qFormat/>
    <w:uiPriority w:val="0"/>
    <w:rPr>
      <w:rFonts w:eastAsia="宋体"/>
      <w:b/>
      <w:bCs/>
      <w:kern w:val="44"/>
      <w:sz w:val="44"/>
      <w:szCs w:val="44"/>
      <w:lang w:val="en-US" w:eastAsia="zh-CN" w:bidi="ar-SA"/>
    </w:rPr>
  </w:style>
  <w:style w:type="character" w:customStyle="1" w:styleId="1390">
    <w:name w:val="样式 兴化美联正文样式 + 红色 Char"/>
    <w:basedOn w:val="1311"/>
    <w:link w:val="1391"/>
    <w:semiHidden/>
    <w:qFormat/>
    <w:uiPriority w:val="0"/>
    <w:rPr>
      <w:rFonts w:ascii="宋体" w:hAnsi="宋体" w:cs="宋体"/>
      <w:color w:val="FF0000"/>
      <w:sz w:val="24"/>
      <w:szCs w:val="24"/>
    </w:rPr>
  </w:style>
  <w:style w:type="paragraph" w:customStyle="1" w:styleId="1391">
    <w:name w:val="样式 兴化美联正文样式 + 红色"/>
    <w:basedOn w:val="974"/>
    <w:link w:val="1390"/>
    <w:semiHidden/>
    <w:qFormat/>
    <w:uiPriority w:val="0"/>
    <w:rPr>
      <w:color w:val="FF0000"/>
    </w:rPr>
  </w:style>
  <w:style w:type="character" w:customStyle="1" w:styleId="1392">
    <w:name w:val="表格名称 Char"/>
    <w:basedOn w:val="109"/>
    <w:link w:val="651"/>
    <w:semiHidden/>
    <w:qFormat/>
    <w:uiPriority w:val="0"/>
    <w:rPr>
      <w:rFonts w:eastAsia="黑体"/>
      <w:sz w:val="24"/>
      <w:szCs w:val="24"/>
    </w:rPr>
  </w:style>
  <w:style w:type="character" w:customStyle="1" w:styleId="1393">
    <w:name w:val="样式 正文首行缩进 2 + (符号) 宋体 Char Char"/>
    <w:basedOn w:val="109"/>
    <w:semiHidden/>
    <w:qFormat/>
    <w:uiPriority w:val="0"/>
    <w:rPr>
      <w:rFonts w:ascii="宋体"/>
      <w:kern w:val="2"/>
      <w:sz w:val="24"/>
      <w:szCs w:val="24"/>
    </w:rPr>
  </w:style>
  <w:style w:type="character" w:customStyle="1" w:styleId="1394">
    <w:name w:val="样式 正文首行缩进 2 + (符号) 宋体 + (符号) 宋体 Char"/>
    <w:basedOn w:val="1393"/>
    <w:semiHidden/>
    <w:qFormat/>
    <w:uiPriority w:val="0"/>
    <w:rPr>
      <w:rFonts w:ascii="宋体"/>
      <w:kern w:val="2"/>
      <w:sz w:val="24"/>
      <w:szCs w:val="24"/>
    </w:rPr>
  </w:style>
  <w:style w:type="character" w:customStyle="1" w:styleId="1395">
    <w:name w:val="btna-s3"/>
    <w:basedOn w:val="109"/>
    <w:semiHidden/>
    <w:qFormat/>
    <w:uiPriority w:val="0"/>
    <w:rPr>
      <w:color w:val="FFFFFF"/>
      <w:sz w:val="21"/>
      <w:u w:val="none"/>
    </w:rPr>
  </w:style>
  <w:style w:type="character" w:customStyle="1" w:styleId="1396">
    <w:name w:val="正文1 Char Char"/>
    <w:basedOn w:val="109"/>
    <w:semiHidden/>
    <w:qFormat/>
    <w:uiPriority w:val="0"/>
    <w:rPr>
      <w:rFonts w:ascii="宋体" w:hAnsi="宋体" w:eastAsia="宋体" w:cs="Times New Roman"/>
      <w:color w:val="000000"/>
      <w:sz w:val="22"/>
      <w:szCs w:val="22"/>
    </w:rPr>
  </w:style>
  <w:style w:type="character" w:customStyle="1" w:styleId="1397">
    <w:name w:val="HTML 预设格式 Char1"/>
    <w:basedOn w:val="109"/>
    <w:semiHidden/>
    <w:qFormat/>
    <w:uiPriority w:val="99"/>
    <w:rPr>
      <w:rFonts w:ascii="宋体" w:hAnsi="宋体" w:eastAsia="宋体" w:cs="宋体"/>
      <w:color w:val="000000"/>
      <w:sz w:val="24"/>
      <w:szCs w:val="21"/>
    </w:rPr>
  </w:style>
  <w:style w:type="character" w:customStyle="1" w:styleId="1398">
    <w:name w:val="18"/>
    <w:basedOn w:val="109"/>
    <w:semiHidden/>
    <w:qFormat/>
    <w:uiPriority w:val="0"/>
    <w:rPr>
      <w:rFonts w:hint="default" w:ascii="Times New Roman" w:hAnsi="Times New Roman" w:cs="Times New Roman"/>
      <w:sz w:val="21"/>
      <w:szCs w:val="21"/>
    </w:rPr>
  </w:style>
  <w:style w:type="character" w:customStyle="1" w:styleId="1399">
    <w:name w:val="标题-ls Char"/>
    <w:basedOn w:val="109"/>
    <w:semiHidden/>
    <w:qFormat/>
    <w:uiPriority w:val="0"/>
    <w:rPr>
      <w:rFonts w:ascii="黑体" w:eastAsia="黑体"/>
      <w:bCs/>
      <w:kern w:val="2"/>
      <w:sz w:val="28"/>
      <w:szCs w:val="28"/>
      <w:lang w:val="en-US" w:eastAsia="zh-CN" w:bidi="ar-SA"/>
    </w:rPr>
  </w:style>
  <w:style w:type="character" w:customStyle="1" w:styleId="1400">
    <w:name w:val="f_courierfixed"/>
    <w:basedOn w:val="109"/>
    <w:semiHidden/>
    <w:qFormat/>
    <w:uiPriority w:val="0"/>
    <w:rPr>
      <w:rFonts w:hint="default" w:ascii="Courier New" w:hAnsi="Courier New" w:cs="Courier New"/>
      <w:color w:val="000000"/>
      <w:sz w:val="18"/>
      <w:szCs w:val="18"/>
    </w:rPr>
  </w:style>
  <w:style w:type="character" w:customStyle="1" w:styleId="1401">
    <w:name w:val="Char Char14"/>
    <w:basedOn w:val="109"/>
    <w:semiHidden/>
    <w:qFormat/>
    <w:uiPriority w:val="0"/>
    <w:rPr>
      <w:rFonts w:ascii="Arial" w:hAnsi="Arial" w:eastAsia="黑体"/>
      <w:b/>
      <w:bCs/>
      <w:kern w:val="2"/>
      <w:sz w:val="32"/>
      <w:szCs w:val="32"/>
      <w:lang w:val="en-US" w:eastAsia="zh-CN" w:bidi="ar-SA"/>
    </w:rPr>
  </w:style>
  <w:style w:type="character" w:customStyle="1" w:styleId="1402">
    <w:name w:val="btna-s5"/>
    <w:basedOn w:val="109"/>
    <w:semiHidden/>
    <w:qFormat/>
    <w:uiPriority w:val="0"/>
    <w:rPr>
      <w:color w:val="FFFFFF"/>
      <w:sz w:val="21"/>
      <w:u w:val="none"/>
    </w:rPr>
  </w:style>
  <w:style w:type="character" w:customStyle="1" w:styleId="1403">
    <w:name w:val="正文文字 2 Char Char1"/>
    <w:basedOn w:val="109"/>
    <w:semiHidden/>
    <w:qFormat/>
    <w:uiPriority w:val="0"/>
    <w:rPr>
      <w:rFonts w:eastAsia="宋体"/>
      <w:kern w:val="2"/>
      <w:sz w:val="21"/>
      <w:szCs w:val="24"/>
      <w:lang w:val="en-US" w:eastAsia="zh-CN" w:bidi="ar-SA"/>
    </w:rPr>
  </w:style>
  <w:style w:type="character" w:customStyle="1" w:styleId="1404">
    <w:name w:val="headline-content"/>
    <w:basedOn w:val="109"/>
    <w:semiHidden/>
    <w:qFormat/>
    <w:uiPriority w:val="0"/>
  </w:style>
  <w:style w:type="character" w:customStyle="1" w:styleId="1405">
    <w:name w:val="btna-s2"/>
    <w:basedOn w:val="109"/>
    <w:semiHidden/>
    <w:qFormat/>
    <w:uiPriority w:val="0"/>
    <w:rPr>
      <w:color w:val="000000"/>
      <w:sz w:val="21"/>
      <w:u w:val="none"/>
    </w:rPr>
  </w:style>
  <w:style w:type="character" w:customStyle="1" w:styleId="1406">
    <w:name w:val="日期 Char1"/>
    <w:basedOn w:val="109"/>
    <w:semiHidden/>
    <w:qFormat/>
    <w:uiPriority w:val="0"/>
    <w:rPr>
      <w:rFonts w:ascii="宋体" w:hAnsi="宋体" w:eastAsia="宋体" w:cs="宋体"/>
      <w:sz w:val="24"/>
      <w:szCs w:val="24"/>
    </w:rPr>
  </w:style>
  <w:style w:type="character" w:customStyle="1" w:styleId="1407">
    <w:name w:val="赖氨酸表头 Char"/>
    <w:basedOn w:val="109"/>
    <w:link w:val="1408"/>
    <w:semiHidden/>
    <w:qFormat/>
    <w:uiPriority w:val="0"/>
    <w:rPr>
      <w:rFonts w:ascii="黑体" w:eastAsia="黑体"/>
      <w:bCs/>
      <w:sz w:val="24"/>
      <w:szCs w:val="24"/>
    </w:rPr>
  </w:style>
  <w:style w:type="paragraph" w:customStyle="1" w:styleId="1408">
    <w:name w:val="赖氨酸表头"/>
    <w:basedOn w:val="1"/>
    <w:link w:val="1407"/>
    <w:semiHidden/>
    <w:qFormat/>
    <w:uiPriority w:val="0"/>
    <w:pPr>
      <w:adjustRightInd w:val="0"/>
      <w:snapToGrid w:val="0"/>
      <w:spacing w:line="560" w:lineRule="exact"/>
      <w:ind w:firstLine="960" w:firstLineChars="400"/>
    </w:pPr>
    <w:rPr>
      <w:rFonts w:ascii="黑体" w:eastAsia="黑体"/>
      <w:bCs/>
      <w:sz w:val="24"/>
      <w:szCs w:val="24"/>
    </w:rPr>
  </w:style>
  <w:style w:type="character" w:customStyle="1" w:styleId="1409">
    <w:name w:val="btna-s14"/>
    <w:basedOn w:val="109"/>
    <w:semiHidden/>
    <w:qFormat/>
    <w:uiPriority w:val="0"/>
    <w:rPr>
      <w:color w:val="FFFFFF"/>
      <w:sz w:val="21"/>
      <w:u w:val="none"/>
    </w:rPr>
  </w:style>
  <w:style w:type="character" w:customStyle="1" w:styleId="1410">
    <w:name w:val="标题 2 Char2"/>
    <w:basedOn w:val="109"/>
    <w:semiHidden/>
    <w:qFormat/>
    <w:uiPriority w:val="0"/>
    <w:rPr>
      <w:rFonts w:ascii="Arial" w:hAnsi="Arial" w:eastAsia="黑体"/>
      <w:b/>
      <w:bCs/>
      <w:kern w:val="2"/>
      <w:sz w:val="32"/>
      <w:szCs w:val="32"/>
    </w:rPr>
  </w:style>
  <w:style w:type="character" w:customStyle="1" w:styleId="1411">
    <w:name w:val="标题 3 Char2"/>
    <w:basedOn w:val="109"/>
    <w:semiHidden/>
    <w:qFormat/>
    <w:uiPriority w:val="0"/>
    <w:rPr>
      <w:rFonts w:ascii="宋体" w:hAnsi="楷体_GB2312" w:cs="楷体_GB2312"/>
      <w:bCs/>
      <w:kern w:val="2"/>
      <w:sz w:val="28"/>
      <w:szCs w:val="28"/>
    </w:rPr>
  </w:style>
  <w:style w:type="character" w:customStyle="1" w:styleId="1412">
    <w:name w:val="bds_more1"/>
    <w:basedOn w:val="109"/>
    <w:semiHidden/>
    <w:qFormat/>
    <w:uiPriority w:val="0"/>
    <w:rPr>
      <w:sz w:val="21"/>
    </w:rPr>
  </w:style>
  <w:style w:type="character" w:customStyle="1" w:styleId="1413">
    <w:name w:val="disabled"/>
    <w:basedOn w:val="109"/>
    <w:semiHidden/>
    <w:qFormat/>
    <w:uiPriority w:val="0"/>
    <w:rPr>
      <w:color w:val="CCCCCC"/>
      <w:sz w:val="21"/>
      <w:bdr w:val="single" w:color="CCCCCC" w:sz="6" w:space="0"/>
    </w:rPr>
  </w:style>
  <w:style w:type="character" w:customStyle="1" w:styleId="1414">
    <w:name w:val="btna-s6"/>
    <w:basedOn w:val="109"/>
    <w:semiHidden/>
    <w:qFormat/>
    <w:uiPriority w:val="0"/>
    <w:rPr>
      <w:color w:val="FFFFFF"/>
      <w:sz w:val="21"/>
      <w:u w:val="none"/>
    </w:rPr>
  </w:style>
  <w:style w:type="character" w:customStyle="1" w:styleId="1415">
    <w:name w:val="表格小 Char"/>
    <w:basedOn w:val="109"/>
    <w:link w:val="1416"/>
    <w:semiHidden/>
    <w:qFormat/>
    <w:uiPriority w:val="0"/>
    <w:rPr>
      <w:rFonts w:ascii="宋体" w:hAnsi="宋体" w:cs="宋体"/>
      <w:sz w:val="18"/>
      <w:szCs w:val="24"/>
    </w:rPr>
  </w:style>
  <w:style w:type="paragraph" w:customStyle="1" w:styleId="1416">
    <w:name w:val="表格小"/>
    <w:basedOn w:val="1"/>
    <w:link w:val="1415"/>
    <w:semiHidden/>
    <w:qFormat/>
    <w:uiPriority w:val="0"/>
    <w:pPr>
      <w:jc w:val="center"/>
    </w:pPr>
    <w:rPr>
      <w:rFonts w:ascii="宋体" w:hAnsi="宋体" w:cs="宋体"/>
      <w:sz w:val="18"/>
      <w:szCs w:val="24"/>
    </w:rPr>
  </w:style>
  <w:style w:type="character" w:customStyle="1" w:styleId="1417">
    <w:name w:val="样式 标题 2 Char"/>
    <w:basedOn w:val="109"/>
    <w:link w:val="1418"/>
    <w:semiHidden/>
    <w:qFormat/>
    <w:uiPriority w:val="0"/>
    <w:rPr>
      <w:rFonts w:ascii="黑体" w:hAnsi="黑体" w:eastAsia="黑体"/>
      <w:b/>
      <w:color w:val="000000"/>
      <w:sz w:val="28"/>
      <w:szCs w:val="30"/>
    </w:rPr>
  </w:style>
  <w:style w:type="paragraph" w:customStyle="1" w:styleId="1418">
    <w:name w:val="样式 标题 2"/>
    <w:basedOn w:val="3"/>
    <w:link w:val="1417"/>
    <w:semiHidden/>
    <w:qFormat/>
    <w:uiPriority w:val="0"/>
    <w:pPr>
      <w:spacing w:line="360" w:lineRule="auto"/>
    </w:pPr>
    <w:rPr>
      <w:rFonts w:ascii="黑体" w:hAnsi="黑体"/>
      <w:color w:val="000000"/>
    </w:rPr>
  </w:style>
  <w:style w:type="character" w:customStyle="1" w:styleId="1419">
    <w:name w:val="正文文本 3 Char1"/>
    <w:basedOn w:val="109"/>
    <w:semiHidden/>
    <w:qFormat/>
    <w:uiPriority w:val="0"/>
    <w:rPr>
      <w:rFonts w:ascii="宋体" w:hAnsi="宋体" w:eastAsia="宋体" w:cs="宋体"/>
      <w:spacing w:val="10"/>
      <w:sz w:val="30"/>
      <w:szCs w:val="24"/>
    </w:rPr>
  </w:style>
  <w:style w:type="character" w:customStyle="1" w:styleId="1420">
    <w:name w:val="p141"/>
    <w:basedOn w:val="109"/>
    <w:semiHidden/>
    <w:qFormat/>
    <w:uiPriority w:val="0"/>
    <w:rPr>
      <w:color w:val="333333"/>
      <w:sz w:val="21"/>
      <w:szCs w:val="21"/>
    </w:rPr>
  </w:style>
  <w:style w:type="character" w:customStyle="1" w:styleId="1421">
    <w:name w:val="btna-s4"/>
    <w:basedOn w:val="109"/>
    <w:semiHidden/>
    <w:qFormat/>
    <w:uiPriority w:val="0"/>
    <w:rPr>
      <w:color w:val="0068B7"/>
      <w:sz w:val="21"/>
      <w:u w:val="none"/>
    </w:rPr>
  </w:style>
  <w:style w:type="character" w:customStyle="1" w:styleId="1422">
    <w:name w:val="样式 标题 3s Char"/>
    <w:basedOn w:val="109"/>
    <w:link w:val="1423"/>
    <w:semiHidden/>
    <w:qFormat/>
    <w:uiPriority w:val="0"/>
    <w:rPr>
      <w:rFonts w:ascii="黑体" w:hAnsi="黑体" w:eastAsia="黑体" w:cs="宋体"/>
      <w:b/>
      <w:sz w:val="24"/>
    </w:rPr>
  </w:style>
  <w:style w:type="paragraph" w:customStyle="1" w:styleId="1423">
    <w:name w:val="样式 标题 3s"/>
    <w:basedOn w:val="4"/>
    <w:link w:val="1422"/>
    <w:semiHidden/>
    <w:qFormat/>
    <w:uiPriority w:val="0"/>
    <w:pPr>
      <w:spacing w:beforeLines="50" w:afterLines="50" w:line="360" w:lineRule="auto"/>
    </w:pPr>
    <w:rPr>
      <w:rFonts w:ascii="黑体" w:hAnsi="黑体" w:cs="宋体"/>
      <w:sz w:val="24"/>
    </w:rPr>
  </w:style>
  <w:style w:type="character" w:customStyle="1" w:styleId="1424">
    <w:name w:val="样式 兴化美联正文样式 + 自动设置2 Char"/>
    <w:basedOn w:val="1311"/>
    <w:link w:val="1425"/>
    <w:semiHidden/>
    <w:qFormat/>
    <w:uiPriority w:val="0"/>
    <w:rPr>
      <w:rFonts w:ascii="宋体" w:hAnsi="宋体" w:cs="宋体"/>
      <w:sz w:val="24"/>
      <w:szCs w:val="24"/>
    </w:rPr>
  </w:style>
  <w:style w:type="paragraph" w:customStyle="1" w:styleId="1425">
    <w:name w:val="样式 兴化美联正文样式 + 自动设置2"/>
    <w:basedOn w:val="974"/>
    <w:link w:val="1424"/>
    <w:semiHidden/>
    <w:qFormat/>
    <w:uiPriority w:val="0"/>
  </w:style>
  <w:style w:type="character" w:customStyle="1" w:styleId="1426">
    <w:name w:val="图题 Char"/>
    <w:basedOn w:val="109"/>
    <w:link w:val="1427"/>
    <w:semiHidden/>
    <w:qFormat/>
    <w:uiPriority w:val="0"/>
    <w:rPr>
      <w:rFonts w:ascii="黑体" w:hAnsi="宋体" w:eastAsia="黑体"/>
      <w:b/>
      <w:bCs/>
      <w:sz w:val="24"/>
      <w:szCs w:val="24"/>
    </w:rPr>
  </w:style>
  <w:style w:type="paragraph" w:customStyle="1" w:styleId="1427">
    <w:name w:val="图题"/>
    <w:basedOn w:val="1"/>
    <w:next w:val="1"/>
    <w:link w:val="1426"/>
    <w:semiHidden/>
    <w:qFormat/>
    <w:uiPriority w:val="0"/>
    <w:pPr>
      <w:spacing w:line="360" w:lineRule="auto"/>
      <w:jc w:val="center"/>
    </w:pPr>
    <w:rPr>
      <w:rFonts w:ascii="黑体" w:hAnsi="宋体" w:eastAsia="黑体"/>
      <w:b/>
      <w:bCs/>
      <w:sz w:val="24"/>
      <w:szCs w:val="24"/>
    </w:rPr>
  </w:style>
  <w:style w:type="character" w:customStyle="1" w:styleId="1428">
    <w:name w:val="extendlink11"/>
    <w:basedOn w:val="109"/>
    <w:semiHidden/>
    <w:qFormat/>
    <w:uiPriority w:val="0"/>
    <w:rPr>
      <w:sz w:val="18"/>
      <w:szCs w:val="18"/>
    </w:rPr>
  </w:style>
  <w:style w:type="character" w:customStyle="1" w:styleId="1429">
    <w:name w:val="正文缩进 Char3"/>
    <w:basedOn w:val="109"/>
    <w:semiHidden/>
    <w:qFormat/>
    <w:uiPriority w:val="0"/>
    <w:rPr>
      <w:rFonts w:eastAsia="宋体"/>
    </w:rPr>
  </w:style>
  <w:style w:type="character" w:customStyle="1" w:styleId="1430">
    <w:name w:val="btna-s10"/>
    <w:basedOn w:val="109"/>
    <w:semiHidden/>
    <w:qFormat/>
    <w:uiPriority w:val="0"/>
    <w:rPr>
      <w:color w:val="FFFFFF"/>
      <w:sz w:val="21"/>
      <w:u w:val="none"/>
    </w:rPr>
  </w:style>
  <w:style w:type="character" w:customStyle="1" w:styleId="1431">
    <w:name w:val="表底说明 Char Char"/>
    <w:basedOn w:val="109"/>
    <w:semiHidden/>
    <w:qFormat/>
    <w:uiPriority w:val="0"/>
    <w:rPr>
      <w:kern w:val="2"/>
      <w:sz w:val="18"/>
      <w:szCs w:val="24"/>
    </w:rPr>
  </w:style>
  <w:style w:type="character" w:customStyle="1" w:styleId="1432">
    <w:name w:val="报告书正文 Char Char1"/>
    <w:basedOn w:val="109"/>
    <w:semiHidden/>
    <w:qFormat/>
    <w:uiPriority w:val="0"/>
    <w:rPr>
      <w:rFonts w:ascii="宋体" w:hAnsi="宋体" w:eastAsia="宋体"/>
      <w:kern w:val="2"/>
      <w:sz w:val="24"/>
      <w:lang w:val="en-US" w:eastAsia="zh-CN" w:bidi="ar-SA"/>
    </w:rPr>
  </w:style>
  <w:style w:type="character" w:customStyle="1" w:styleId="1433">
    <w:name w:val="morelink10"/>
    <w:basedOn w:val="109"/>
    <w:semiHidden/>
    <w:qFormat/>
    <w:uiPriority w:val="0"/>
    <w:rPr>
      <w:sz w:val="21"/>
    </w:rPr>
  </w:style>
  <w:style w:type="character" w:customStyle="1" w:styleId="1434">
    <w:name w:val="个人答复风格"/>
    <w:basedOn w:val="109"/>
    <w:semiHidden/>
    <w:qFormat/>
    <w:uiPriority w:val="0"/>
    <w:rPr>
      <w:rFonts w:ascii="Arial" w:hAnsi="Arial" w:eastAsia="宋体" w:cs="Arial"/>
      <w:color w:val="auto"/>
      <w:spacing w:val="8"/>
      <w:kern w:val="2"/>
      <w:sz w:val="20"/>
      <w:szCs w:val="24"/>
      <w:lang w:val="en-US" w:eastAsia="zh-CN" w:bidi="ar-SA"/>
    </w:rPr>
  </w:style>
  <w:style w:type="character" w:customStyle="1" w:styleId="1435">
    <w:name w:val="个人撰写风格"/>
    <w:basedOn w:val="109"/>
    <w:semiHidden/>
    <w:qFormat/>
    <w:uiPriority w:val="0"/>
    <w:rPr>
      <w:rFonts w:ascii="Arial" w:hAnsi="Arial" w:eastAsia="宋体" w:cs="Arial"/>
      <w:color w:val="auto"/>
      <w:spacing w:val="8"/>
      <w:kern w:val="2"/>
      <w:sz w:val="20"/>
      <w:szCs w:val="24"/>
      <w:lang w:val="en-US" w:eastAsia="zh-CN" w:bidi="ar-SA"/>
    </w:rPr>
  </w:style>
  <w:style w:type="character" w:customStyle="1" w:styleId="1436">
    <w:name w:val="font91"/>
    <w:basedOn w:val="109"/>
    <w:semiHidden/>
    <w:qFormat/>
    <w:uiPriority w:val="0"/>
    <w:rPr>
      <w:rFonts w:hint="eastAsia" w:ascii="宋体" w:hAnsi="宋体" w:eastAsia="宋体"/>
      <w:color w:val="000000"/>
      <w:sz w:val="20"/>
      <w:szCs w:val="20"/>
      <w:u w:val="none"/>
    </w:rPr>
  </w:style>
  <w:style w:type="character" w:customStyle="1" w:styleId="1437">
    <w:name w:val="批注主题 Char1"/>
    <w:basedOn w:val="1379"/>
    <w:semiHidden/>
    <w:qFormat/>
    <w:uiPriority w:val="99"/>
    <w:rPr>
      <w:rFonts w:ascii="宋体" w:hAnsi="宋体" w:eastAsia="宋体" w:cs="宋体"/>
      <w:b/>
      <w:bCs/>
      <w:sz w:val="24"/>
      <w:szCs w:val="24"/>
      <w:lang w:val="en-US" w:eastAsia="zh-CN" w:bidi="ar-SA"/>
    </w:rPr>
  </w:style>
  <w:style w:type="character" w:customStyle="1" w:styleId="1438">
    <w:name w:val="表头标题 Char"/>
    <w:basedOn w:val="109"/>
    <w:link w:val="1439"/>
    <w:semiHidden/>
    <w:qFormat/>
    <w:uiPriority w:val="0"/>
    <w:rPr>
      <w:rFonts w:ascii="黑体" w:eastAsia="黑体"/>
      <w:b/>
      <w:bCs/>
      <w:sz w:val="24"/>
      <w:szCs w:val="24"/>
      <w:lang w:val="zh-CN"/>
    </w:rPr>
  </w:style>
  <w:style w:type="paragraph" w:customStyle="1" w:styleId="1439">
    <w:name w:val="表头标题"/>
    <w:basedOn w:val="1"/>
    <w:link w:val="1438"/>
    <w:semiHidden/>
    <w:qFormat/>
    <w:uiPriority w:val="0"/>
    <w:pPr>
      <w:tabs>
        <w:tab w:val="left" w:pos="905"/>
      </w:tabs>
      <w:spacing w:line="360" w:lineRule="auto"/>
      <w:jc w:val="center"/>
    </w:pPr>
    <w:rPr>
      <w:rFonts w:ascii="黑体" w:eastAsia="黑体"/>
      <w:b/>
      <w:bCs/>
      <w:sz w:val="24"/>
      <w:szCs w:val="24"/>
      <w:lang w:val="zh-CN"/>
    </w:rPr>
  </w:style>
  <w:style w:type="character" w:customStyle="1" w:styleId="1440">
    <w:name w:val="zw1"/>
    <w:basedOn w:val="109"/>
    <w:semiHidden/>
    <w:qFormat/>
    <w:uiPriority w:val="0"/>
    <w:rPr>
      <w:rFonts w:hint="eastAsia" w:ascii="宋体" w:hAnsi="宋体" w:eastAsia="宋体"/>
      <w:sz w:val="22"/>
      <w:szCs w:val="22"/>
    </w:rPr>
  </w:style>
  <w:style w:type="character" w:customStyle="1" w:styleId="1441">
    <w:name w:val="5 Char"/>
    <w:basedOn w:val="109"/>
    <w:link w:val="439"/>
    <w:semiHidden/>
    <w:qFormat/>
    <w:uiPriority w:val="0"/>
    <w:rPr>
      <w:rFonts w:ascii="宋体"/>
      <w:sz w:val="28"/>
      <w:szCs w:val="24"/>
    </w:rPr>
  </w:style>
  <w:style w:type="character" w:customStyle="1" w:styleId="1442">
    <w:name w:val="样式 小四 Char"/>
    <w:basedOn w:val="109"/>
    <w:link w:val="1443"/>
    <w:semiHidden/>
    <w:qFormat/>
    <w:uiPriority w:val="0"/>
    <w:rPr>
      <w:sz w:val="24"/>
    </w:rPr>
  </w:style>
  <w:style w:type="paragraph" w:customStyle="1" w:styleId="1443">
    <w:name w:val="样式 小四"/>
    <w:basedOn w:val="1"/>
    <w:link w:val="1442"/>
    <w:semiHidden/>
    <w:qFormat/>
    <w:uiPriority w:val="0"/>
    <w:pPr>
      <w:spacing w:before="50" w:line="360" w:lineRule="auto"/>
      <w:ind w:firstLine="200" w:firstLineChars="200"/>
    </w:pPr>
    <w:rPr>
      <w:sz w:val="24"/>
    </w:rPr>
  </w:style>
  <w:style w:type="character" w:customStyle="1" w:styleId="1444">
    <w:name w:val="样式 (中文) 仿宋_GB2312 Char"/>
    <w:basedOn w:val="109"/>
    <w:link w:val="1445"/>
    <w:semiHidden/>
    <w:qFormat/>
    <w:uiPriority w:val="0"/>
    <w:rPr>
      <w:rFonts w:ascii="宋体" w:hAnsi="宋体" w:eastAsia="仿宋_GB2312" w:cs="宋体"/>
      <w:snapToGrid w:val="0"/>
      <w:sz w:val="24"/>
      <w:szCs w:val="24"/>
    </w:rPr>
  </w:style>
  <w:style w:type="paragraph" w:customStyle="1" w:styleId="1445">
    <w:name w:val="样式 (中文) 仿宋_GB2312"/>
    <w:basedOn w:val="1"/>
    <w:link w:val="1444"/>
    <w:semiHidden/>
    <w:qFormat/>
    <w:uiPriority w:val="0"/>
    <w:pPr>
      <w:adjustRightInd w:val="0"/>
      <w:snapToGrid w:val="0"/>
      <w:spacing w:before="120" w:line="300" w:lineRule="auto"/>
      <w:ind w:firstLine="482"/>
      <w:textAlignment w:val="baseline"/>
    </w:pPr>
    <w:rPr>
      <w:rFonts w:ascii="宋体" w:hAnsi="宋体" w:eastAsia="仿宋_GB2312" w:cs="宋体"/>
      <w:snapToGrid w:val="0"/>
      <w:sz w:val="24"/>
      <w:szCs w:val="24"/>
    </w:rPr>
  </w:style>
  <w:style w:type="character" w:customStyle="1" w:styleId="1446">
    <w:name w:val="question-title2"/>
    <w:basedOn w:val="109"/>
    <w:semiHidden/>
    <w:qFormat/>
    <w:uiPriority w:val="0"/>
  </w:style>
  <w:style w:type="character" w:customStyle="1" w:styleId="1447">
    <w:name w:val="yyp Char"/>
    <w:basedOn w:val="109"/>
    <w:link w:val="1448"/>
    <w:semiHidden/>
    <w:qFormat/>
    <w:uiPriority w:val="0"/>
    <w:rPr>
      <w:sz w:val="24"/>
      <w:szCs w:val="24"/>
    </w:rPr>
  </w:style>
  <w:style w:type="paragraph" w:customStyle="1" w:styleId="1448">
    <w:name w:val="yyp"/>
    <w:basedOn w:val="80"/>
    <w:link w:val="1447"/>
    <w:semiHidden/>
    <w:qFormat/>
    <w:uiPriority w:val="0"/>
    <w:pPr>
      <w:overflowPunct/>
      <w:autoSpaceDE/>
      <w:autoSpaceDN/>
      <w:adjustRightInd/>
      <w:spacing w:after="120"/>
      <w:ind w:firstLine="480" w:firstLineChars="200"/>
      <w:textAlignment w:val="auto"/>
    </w:pPr>
    <w:rPr>
      <w:sz w:val="24"/>
      <w:szCs w:val="24"/>
    </w:rPr>
  </w:style>
  <w:style w:type="character" w:customStyle="1" w:styleId="1449">
    <w:name w:val="样式8 Char Char"/>
    <w:basedOn w:val="109"/>
    <w:link w:val="834"/>
    <w:semiHidden/>
    <w:qFormat/>
    <w:uiPriority w:val="0"/>
    <w:rPr>
      <w:rFonts w:eastAsia="黑体"/>
      <w:color w:val="000000" w:themeColor="text1"/>
      <w:spacing w:val="10"/>
      <w:sz w:val="30"/>
      <w:szCs w:val="30"/>
      <w14:textFill>
        <w14:solidFill>
          <w14:schemeClr w14:val="tx1"/>
        </w14:solidFill>
      </w14:textFill>
    </w:rPr>
  </w:style>
  <w:style w:type="character" w:customStyle="1" w:styleId="1450">
    <w:name w:val="bds_nopic"/>
    <w:basedOn w:val="109"/>
    <w:semiHidden/>
    <w:qFormat/>
    <w:uiPriority w:val="0"/>
    <w:rPr>
      <w:sz w:val="21"/>
    </w:rPr>
  </w:style>
  <w:style w:type="character" w:customStyle="1" w:styleId="1451">
    <w:name w:val="样式 正文文本 + 红色 Char Char Char Char"/>
    <w:basedOn w:val="109"/>
    <w:link w:val="1452"/>
    <w:semiHidden/>
    <w:qFormat/>
    <w:uiPriority w:val="0"/>
    <w:rPr>
      <w:rFonts w:eastAsia="仿宋_GB2312"/>
      <w:snapToGrid w:val="0"/>
      <w:color w:val="FF0000"/>
      <w:sz w:val="24"/>
    </w:rPr>
  </w:style>
  <w:style w:type="paragraph" w:customStyle="1" w:styleId="1452">
    <w:name w:val="样式 正文文本 + 红色 Char Char Char"/>
    <w:basedOn w:val="1"/>
    <w:link w:val="1451"/>
    <w:semiHidden/>
    <w:qFormat/>
    <w:uiPriority w:val="0"/>
    <w:pPr>
      <w:tabs>
        <w:tab w:val="left" w:pos="1800"/>
      </w:tabs>
      <w:snapToGrid w:val="0"/>
      <w:spacing w:before="120" w:after="60" w:line="264" w:lineRule="auto"/>
      <w:ind w:firstLine="200" w:firstLineChars="200"/>
    </w:pPr>
    <w:rPr>
      <w:rFonts w:eastAsia="仿宋_GB2312"/>
      <w:snapToGrid w:val="0"/>
      <w:color w:val="FF0000"/>
      <w:sz w:val="24"/>
    </w:rPr>
  </w:style>
  <w:style w:type="character" w:customStyle="1" w:styleId="1453">
    <w:name w:val="Char Char61"/>
    <w:basedOn w:val="109"/>
    <w:semiHidden/>
    <w:qFormat/>
    <w:uiPriority w:val="0"/>
    <w:rPr>
      <w:rFonts w:eastAsia="宋体"/>
      <w:b/>
      <w:bCs/>
      <w:kern w:val="44"/>
      <w:sz w:val="44"/>
      <w:szCs w:val="44"/>
      <w:lang w:val="en-US" w:eastAsia="zh-CN" w:bidi="ar-SA"/>
    </w:rPr>
  </w:style>
  <w:style w:type="character" w:customStyle="1" w:styleId="1454">
    <w:name w:val="font01"/>
    <w:basedOn w:val="109"/>
    <w:semiHidden/>
    <w:qFormat/>
    <w:uiPriority w:val="0"/>
    <w:rPr>
      <w:rFonts w:hint="default" w:ascii="Tahoma" w:hAnsi="Tahoma" w:eastAsia="Tahoma" w:cs="Tahoma"/>
      <w:color w:val="000000"/>
      <w:sz w:val="22"/>
      <w:szCs w:val="22"/>
    </w:rPr>
  </w:style>
  <w:style w:type="character" w:customStyle="1" w:styleId="1455">
    <w:name w:val="disabled1"/>
    <w:basedOn w:val="109"/>
    <w:semiHidden/>
    <w:qFormat/>
    <w:uiPriority w:val="0"/>
    <w:rPr>
      <w:color w:val="DDDDDD"/>
      <w:sz w:val="21"/>
      <w:bdr w:val="single" w:color="EEEEEE" w:sz="6" w:space="0"/>
    </w:rPr>
  </w:style>
  <w:style w:type="character" w:customStyle="1" w:styleId="1456">
    <w:name w:val="标题三A Char"/>
    <w:basedOn w:val="109"/>
    <w:link w:val="1457"/>
    <w:semiHidden/>
    <w:qFormat/>
    <w:uiPriority w:val="0"/>
    <w:rPr>
      <w:rFonts w:ascii="宋体" w:hAnsi="宋体" w:eastAsia="黑体"/>
      <w:b/>
      <w:sz w:val="28"/>
      <w:szCs w:val="28"/>
    </w:rPr>
  </w:style>
  <w:style w:type="paragraph" w:customStyle="1" w:styleId="1457">
    <w:name w:val="标题三A"/>
    <w:basedOn w:val="4"/>
    <w:link w:val="1456"/>
    <w:semiHidden/>
    <w:qFormat/>
    <w:uiPriority w:val="0"/>
    <w:pPr>
      <w:widowControl w:val="0"/>
      <w:spacing w:line="500" w:lineRule="exact"/>
      <w:jc w:val="both"/>
    </w:pPr>
    <w:rPr>
      <w:rFonts w:ascii="宋体" w:hAnsi="宋体"/>
      <w:sz w:val="28"/>
      <w:szCs w:val="28"/>
    </w:rPr>
  </w:style>
  <w:style w:type="character" w:customStyle="1" w:styleId="1458">
    <w:name w:val="标题 7 Char1"/>
    <w:basedOn w:val="109"/>
    <w:semiHidden/>
    <w:qFormat/>
    <w:uiPriority w:val="0"/>
    <w:rPr>
      <w:rFonts w:ascii="宋体" w:hAnsi="宋体" w:eastAsia="宋体" w:cs="宋体"/>
      <w:b/>
      <w:bCs/>
      <w:kern w:val="0"/>
      <w:sz w:val="24"/>
      <w:szCs w:val="24"/>
    </w:rPr>
  </w:style>
  <w:style w:type="character" w:customStyle="1" w:styleId="1459">
    <w:name w:val="font61"/>
    <w:basedOn w:val="109"/>
    <w:semiHidden/>
    <w:qFormat/>
    <w:uiPriority w:val="0"/>
    <w:rPr>
      <w:rFonts w:hint="default" w:ascii="Times New Roman" w:hAnsi="Times New Roman" w:cs="Times New Roman"/>
      <w:color w:val="000000"/>
      <w:sz w:val="21"/>
      <w:szCs w:val="21"/>
      <w:u w:val="none"/>
    </w:rPr>
  </w:style>
  <w:style w:type="character" w:customStyle="1" w:styleId="1460">
    <w:name w:val="样式 首行缩进:  0.85 厘米 Char1"/>
    <w:basedOn w:val="109"/>
    <w:link w:val="1461"/>
    <w:semiHidden/>
    <w:qFormat/>
    <w:uiPriority w:val="0"/>
    <w:rPr>
      <w:rFonts w:ascii="楷体_GB2312" w:hAnsi="楷体_GB2312" w:eastAsia="楷体_GB2312"/>
      <w:sz w:val="24"/>
    </w:rPr>
  </w:style>
  <w:style w:type="paragraph" w:customStyle="1" w:styleId="1461">
    <w:name w:val="样式 首行缩进:  0.85 厘米"/>
    <w:basedOn w:val="1"/>
    <w:link w:val="1460"/>
    <w:semiHidden/>
    <w:qFormat/>
    <w:uiPriority w:val="0"/>
    <w:pPr>
      <w:spacing w:line="500" w:lineRule="exact"/>
      <w:ind w:firstLine="200" w:firstLineChars="200"/>
    </w:pPr>
    <w:rPr>
      <w:rFonts w:ascii="楷体_GB2312" w:hAnsi="楷体_GB2312" w:eastAsia="楷体_GB2312"/>
      <w:sz w:val="24"/>
    </w:rPr>
  </w:style>
  <w:style w:type="character" w:customStyle="1" w:styleId="1462">
    <w:name w:val="正文(首行缩进) Char Char Char Char Char"/>
    <w:basedOn w:val="109"/>
    <w:semiHidden/>
    <w:qFormat/>
    <w:uiPriority w:val="0"/>
    <w:rPr>
      <w:snapToGrid w:val="0"/>
      <w:kern w:val="2"/>
      <w:sz w:val="24"/>
      <w:szCs w:val="24"/>
    </w:rPr>
  </w:style>
  <w:style w:type="character" w:customStyle="1" w:styleId="1463">
    <w:name w:val="批注框文本 Char1"/>
    <w:basedOn w:val="109"/>
    <w:semiHidden/>
    <w:qFormat/>
    <w:uiPriority w:val="0"/>
    <w:rPr>
      <w:rFonts w:ascii="宋体" w:hAnsi="宋体" w:eastAsia="宋体" w:cs="宋体"/>
      <w:sz w:val="18"/>
      <w:szCs w:val="18"/>
    </w:rPr>
  </w:style>
  <w:style w:type="character" w:customStyle="1" w:styleId="1464">
    <w:name w:val="morelink8"/>
    <w:basedOn w:val="109"/>
    <w:semiHidden/>
    <w:qFormat/>
    <w:uiPriority w:val="0"/>
    <w:rPr>
      <w:sz w:val="21"/>
    </w:rPr>
  </w:style>
  <w:style w:type="character" w:customStyle="1" w:styleId="1465">
    <w:name w:val="btna-s7"/>
    <w:basedOn w:val="109"/>
    <w:semiHidden/>
    <w:qFormat/>
    <w:uiPriority w:val="0"/>
    <w:rPr>
      <w:color w:val="FFFFFF"/>
      <w:sz w:val="21"/>
      <w:u w:val="none"/>
    </w:rPr>
  </w:style>
  <w:style w:type="character" w:customStyle="1" w:styleId="1466">
    <w:name w:val="样式 段前: 0.5 行 首行缩进:  2 字符 Char"/>
    <w:basedOn w:val="109"/>
    <w:link w:val="1467"/>
    <w:semiHidden/>
    <w:qFormat/>
    <w:uiPriority w:val="0"/>
    <w:rPr>
      <w:sz w:val="24"/>
    </w:rPr>
  </w:style>
  <w:style w:type="paragraph" w:customStyle="1" w:styleId="1467">
    <w:name w:val="样式 段前: 0.5 行 首行缩进:  2 字符"/>
    <w:basedOn w:val="1"/>
    <w:link w:val="1466"/>
    <w:semiHidden/>
    <w:qFormat/>
    <w:uiPriority w:val="0"/>
    <w:pPr>
      <w:spacing w:before="156" w:line="360" w:lineRule="auto"/>
      <w:ind w:firstLine="480" w:firstLineChars="200"/>
    </w:pPr>
    <w:rPr>
      <w:sz w:val="24"/>
    </w:rPr>
  </w:style>
  <w:style w:type="character" w:customStyle="1" w:styleId="1468">
    <w:name w:val="样式 标题 3 Char"/>
    <w:basedOn w:val="109"/>
    <w:link w:val="1469"/>
    <w:semiHidden/>
    <w:qFormat/>
    <w:uiPriority w:val="0"/>
    <w:rPr>
      <w:rFonts w:ascii="黑体" w:eastAsia="黑体" w:cs="宋体"/>
      <w:b/>
      <w:color w:val="FF0000"/>
      <w:sz w:val="24"/>
    </w:rPr>
  </w:style>
  <w:style w:type="paragraph" w:customStyle="1" w:styleId="1469">
    <w:name w:val="样式 标题 3"/>
    <w:basedOn w:val="4"/>
    <w:link w:val="1468"/>
    <w:semiHidden/>
    <w:qFormat/>
    <w:uiPriority w:val="0"/>
    <w:pPr>
      <w:spacing w:line="360" w:lineRule="auto"/>
    </w:pPr>
    <w:rPr>
      <w:rFonts w:ascii="黑体" w:cs="宋体"/>
      <w:color w:val="FF0000"/>
      <w:sz w:val="24"/>
    </w:rPr>
  </w:style>
  <w:style w:type="character" w:customStyle="1" w:styleId="1470">
    <w:name w:val="表格注 Char"/>
    <w:basedOn w:val="109"/>
    <w:link w:val="1471"/>
    <w:semiHidden/>
    <w:qFormat/>
    <w:uiPriority w:val="0"/>
    <w:rPr>
      <w:rFonts w:ascii="宋体" w:hAnsi="宋体" w:cs="宋体"/>
      <w:sz w:val="18"/>
      <w:szCs w:val="24"/>
    </w:rPr>
  </w:style>
  <w:style w:type="paragraph" w:customStyle="1" w:styleId="1471">
    <w:name w:val="表格注"/>
    <w:basedOn w:val="1"/>
    <w:next w:val="1"/>
    <w:link w:val="1470"/>
    <w:semiHidden/>
    <w:qFormat/>
    <w:uiPriority w:val="0"/>
    <w:pPr>
      <w:spacing w:line="240" w:lineRule="exact"/>
    </w:pPr>
    <w:rPr>
      <w:rFonts w:ascii="宋体" w:hAnsi="宋体" w:cs="宋体"/>
      <w:sz w:val="18"/>
      <w:szCs w:val="24"/>
    </w:rPr>
  </w:style>
  <w:style w:type="character" w:customStyle="1" w:styleId="1472">
    <w:name w:val="样式 首行缩进:  2 字符 Char Char Char"/>
    <w:basedOn w:val="109"/>
    <w:semiHidden/>
    <w:qFormat/>
    <w:uiPriority w:val="0"/>
    <w:rPr>
      <w:rFonts w:eastAsia="宋体"/>
      <w:sz w:val="24"/>
    </w:rPr>
  </w:style>
  <w:style w:type="character" w:customStyle="1" w:styleId="1473">
    <w:name w:val="font51"/>
    <w:basedOn w:val="109"/>
    <w:semiHidden/>
    <w:qFormat/>
    <w:uiPriority w:val="0"/>
    <w:rPr>
      <w:rFonts w:hint="eastAsia" w:ascii="宋体" w:hAnsi="宋体" w:eastAsia="宋体" w:cs="宋体"/>
      <w:color w:val="auto"/>
      <w:sz w:val="18"/>
      <w:szCs w:val="18"/>
      <w:u w:val="none"/>
    </w:rPr>
  </w:style>
  <w:style w:type="character" w:customStyle="1" w:styleId="1474">
    <w:name w:val="正文首行缩进 Char1"/>
    <w:basedOn w:val="273"/>
    <w:semiHidden/>
    <w:qFormat/>
    <w:uiPriority w:val="0"/>
    <w:rPr>
      <w:rFonts w:ascii="宋体" w:hAnsi="宋体" w:eastAsia="宋体" w:cs="宋体"/>
      <w:kern w:val="2"/>
      <w:sz w:val="28"/>
      <w:szCs w:val="24"/>
    </w:rPr>
  </w:style>
  <w:style w:type="character" w:customStyle="1" w:styleId="1475">
    <w:name w:val="Char Char11"/>
    <w:basedOn w:val="109"/>
    <w:semiHidden/>
    <w:qFormat/>
    <w:uiPriority w:val="0"/>
    <w:rPr>
      <w:rFonts w:ascii="宋体" w:hAnsi="宋体" w:eastAsia="宋体" w:cs="宋体"/>
      <w:sz w:val="18"/>
      <w:szCs w:val="24"/>
      <w:lang w:val="en-US" w:eastAsia="zh-CN" w:bidi="ar-SA"/>
    </w:rPr>
  </w:style>
  <w:style w:type="character" w:customStyle="1" w:styleId="1476">
    <w:name w:val="标题四 Char"/>
    <w:basedOn w:val="205"/>
    <w:link w:val="1477"/>
    <w:semiHidden/>
    <w:qFormat/>
    <w:uiPriority w:val="0"/>
    <w:rPr>
      <w:rFonts w:ascii="楷体_GB2312" w:hAnsi="Calibri" w:eastAsia="楷体_GB2312" w:cs="宋体"/>
      <w:b/>
      <w:sz w:val="24"/>
      <w:szCs w:val="24"/>
    </w:rPr>
  </w:style>
  <w:style w:type="paragraph" w:customStyle="1" w:styleId="1477">
    <w:name w:val="标题四"/>
    <w:basedOn w:val="204"/>
    <w:link w:val="1476"/>
    <w:semiHidden/>
    <w:qFormat/>
    <w:uiPriority w:val="0"/>
    <w:pPr>
      <w:ind w:firstLine="0" w:firstLineChars="0"/>
    </w:pPr>
    <w:rPr>
      <w:rFonts w:hAnsi="Calibri"/>
      <w:b/>
    </w:rPr>
  </w:style>
  <w:style w:type="character" w:customStyle="1" w:styleId="1478">
    <w:name w:val="16"/>
    <w:basedOn w:val="109"/>
    <w:uiPriority w:val="0"/>
    <w:rPr>
      <w:rFonts w:hint="default" w:ascii="Times New Roman" w:hAnsi="Times New Roman" w:cs="Times New Roman"/>
      <w:sz w:val="21"/>
      <w:szCs w:val="21"/>
    </w:rPr>
  </w:style>
  <w:style w:type="character" w:customStyle="1" w:styleId="1479">
    <w:name w:val="环保专篇 Char Char"/>
    <w:basedOn w:val="109"/>
    <w:semiHidden/>
    <w:qFormat/>
    <w:uiPriority w:val="0"/>
    <w:rPr>
      <w:kern w:val="2"/>
      <w:sz w:val="24"/>
      <w:szCs w:val="24"/>
      <w:lang w:val="en-US" w:eastAsia="zh-CN" w:bidi="ar-SA"/>
    </w:rPr>
  </w:style>
  <w:style w:type="character" w:customStyle="1" w:styleId="1480">
    <w:name w:val="bds_more"/>
    <w:basedOn w:val="109"/>
    <w:semiHidden/>
    <w:qFormat/>
    <w:uiPriority w:val="0"/>
    <w:rPr>
      <w:rFonts w:hint="eastAsia" w:ascii="宋体" w:hAnsi="宋体" w:eastAsia="宋体" w:cs="宋体"/>
      <w:sz w:val="21"/>
    </w:rPr>
  </w:style>
  <w:style w:type="character" w:customStyle="1" w:styleId="1481">
    <w:name w:val="样式 样式 标题 3 + Times New Roman + 段前: 1 行 段后: 1 行 Char Char"/>
    <w:basedOn w:val="109"/>
    <w:semiHidden/>
    <w:qFormat/>
    <w:uiPriority w:val="0"/>
    <w:rPr>
      <w:rFonts w:eastAsia="黑体"/>
      <w:kern w:val="2"/>
      <w:sz w:val="30"/>
      <w:lang w:val="en-US" w:eastAsia="zh-CN" w:bidi="ar-SA"/>
    </w:rPr>
  </w:style>
  <w:style w:type="character" w:customStyle="1" w:styleId="1482">
    <w:name w:val="标准文本 首行缩进: 2 字符 行距: 单倍 Char"/>
    <w:basedOn w:val="109"/>
    <w:link w:val="1483"/>
    <w:semiHidden/>
    <w:qFormat/>
    <w:uiPriority w:val="0"/>
    <w:rPr>
      <w:sz w:val="24"/>
    </w:rPr>
  </w:style>
  <w:style w:type="paragraph" w:customStyle="1" w:styleId="1483">
    <w:name w:val="标准文本 首行缩进: 2 字符 行距: 单倍"/>
    <w:basedOn w:val="1"/>
    <w:link w:val="1482"/>
    <w:semiHidden/>
    <w:qFormat/>
    <w:uiPriority w:val="0"/>
    <w:pPr>
      <w:adjustRightInd w:val="0"/>
      <w:snapToGrid w:val="0"/>
      <w:spacing w:before="163"/>
      <w:ind w:firstLine="480" w:firstLineChars="200"/>
      <w:textAlignment w:val="baseline"/>
    </w:pPr>
    <w:rPr>
      <w:sz w:val="24"/>
    </w:rPr>
  </w:style>
  <w:style w:type="character" w:customStyle="1" w:styleId="1484">
    <w:name w:val="moduletitle_menuitemsel"/>
    <w:basedOn w:val="109"/>
    <w:semiHidden/>
    <w:qFormat/>
    <w:uiPriority w:val="0"/>
    <w:rPr>
      <w:rFonts w:ascii="Tahoma" w:hAnsi="Tahoma" w:eastAsia="Tahoma" w:cs="Tahoma"/>
      <w:b/>
      <w:color w:val="000000"/>
      <w:sz w:val="18"/>
      <w:szCs w:val="18"/>
    </w:rPr>
  </w:style>
  <w:style w:type="character" w:customStyle="1" w:styleId="1485">
    <w:name w:val="font31"/>
    <w:basedOn w:val="109"/>
    <w:uiPriority w:val="0"/>
    <w:rPr>
      <w:rFonts w:hint="eastAsia" w:ascii="宋体" w:hAnsi="宋体" w:eastAsia="宋体"/>
      <w:color w:val="000000"/>
      <w:sz w:val="24"/>
      <w:szCs w:val="24"/>
      <w:u w:val="none"/>
      <w:vertAlign w:val="superscript"/>
    </w:rPr>
  </w:style>
  <w:style w:type="character" w:customStyle="1" w:styleId="1486">
    <w:name w:val="bds_nopic1"/>
    <w:basedOn w:val="109"/>
    <w:semiHidden/>
    <w:qFormat/>
    <w:uiPriority w:val="0"/>
    <w:rPr>
      <w:sz w:val="21"/>
    </w:rPr>
  </w:style>
  <w:style w:type="character" w:customStyle="1" w:styleId="1487">
    <w:name w:val="btna-s1"/>
    <w:basedOn w:val="109"/>
    <w:semiHidden/>
    <w:qFormat/>
    <w:uiPriority w:val="0"/>
    <w:rPr>
      <w:color w:val="FFFFFF"/>
      <w:sz w:val="21"/>
      <w:shd w:val="clear" w:color="auto" w:fill="B2DCF0"/>
    </w:rPr>
  </w:style>
  <w:style w:type="character" w:customStyle="1" w:styleId="1488">
    <w:name w:val="正文 小四 行距: 1.5 倍行距 Char"/>
    <w:basedOn w:val="109"/>
    <w:link w:val="1489"/>
    <w:semiHidden/>
    <w:qFormat/>
    <w:uiPriority w:val="0"/>
    <w:rPr>
      <w:rFonts w:ascii="宋体" w:hAnsi="宋体"/>
      <w:sz w:val="24"/>
    </w:rPr>
  </w:style>
  <w:style w:type="paragraph" w:customStyle="1" w:styleId="1489">
    <w:name w:val="正文 小四 行距: 1.5 倍行距"/>
    <w:basedOn w:val="1"/>
    <w:link w:val="1488"/>
    <w:semiHidden/>
    <w:qFormat/>
    <w:uiPriority w:val="0"/>
    <w:pPr>
      <w:spacing w:line="360" w:lineRule="auto"/>
      <w:ind w:firstLine="480" w:firstLineChars="200"/>
    </w:pPr>
    <w:rPr>
      <w:rFonts w:ascii="宋体" w:hAnsi="宋体"/>
      <w:sz w:val="24"/>
    </w:rPr>
  </w:style>
  <w:style w:type="character" w:customStyle="1" w:styleId="1490">
    <w:name w:val="f_heading1"/>
    <w:basedOn w:val="109"/>
    <w:semiHidden/>
    <w:qFormat/>
    <w:uiPriority w:val="0"/>
    <w:rPr>
      <w:b/>
      <w:color w:val="FFFFFF"/>
      <w:sz w:val="28"/>
      <w:szCs w:val="28"/>
    </w:rPr>
  </w:style>
  <w:style w:type="character" w:customStyle="1" w:styleId="1491">
    <w:name w:val="标题 Char2"/>
    <w:basedOn w:val="109"/>
    <w:semiHidden/>
    <w:qFormat/>
    <w:uiPriority w:val="10"/>
    <w:rPr>
      <w:rFonts w:eastAsia="宋体" w:asciiTheme="majorHAnsi" w:hAnsiTheme="majorHAnsi" w:cstheme="majorBidi"/>
      <w:b/>
      <w:bCs/>
      <w:sz w:val="32"/>
      <w:szCs w:val="32"/>
    </w:rPr>
  </w:style>
  <w:style w:type="paragraph" w:customStyle="1" w:styleId="1492">
    <w:name w:val="样式 样式 样式 标题 3标题3H3h33rd level第二层条头 + 宋体 + 段前: 1 行 + (中文) 宋体"/>
    <w:basedOn w:val="1493"/>
    <w:next w:val="1493"/>
    <w:semiHidden/>
    <w:qFormat/>
    <w:uiPriority w:val="0"/>
    <w:pPr>
      <w:tabs>
        <w:tab w:val="left" w:pos="360"/>
        <w:tab w:val="left" w:pos="863"/>
        <w:tab w:val="left" w:pos="864"/>
        <w:tab w:val="left" w:pos="1800"/>
      </w:tabs>
      <w:spacing w:after="120"/>
      <w:ind w:left="0" w:firstLine="0"/>
    </w:pPr>
    <w:rPr>
      <w:rFonts w:eastAsia="宋体"/>
    </w:rPr>
  </w:style>
  <w:style w:type="paragraph" w:customStyle="1" w:styleId="1493">
    <w:name w:val="样式 标题 4 + 左侧:  -0 厘米 首行缩进:  0 厘米 段后: 1.8 磅"/>
    <w:basedOn w:val="5"/>
    <w:semiHidden/>
    <w:qFormat/>
    <w:uiPriority w:val="0"/>
    <w:pPr>
      <w:numPr>
        <w:ilvl w:val="0"/>
        <w:numId w:val="0"/>
      </w:numPr>
      <w:tabs>
        <w:tab w:val="left" w:pos="863"/>
        <w:tab w:val="left" w:pos="1800"/>
      </w:tabs>
      <w:autoSpaceDE w:val="0"/>
      <w:autoSpaceDN w:val="0"/>
      <w:spacing w:before="240" w:after="36" w:line="312" w:lineRule="auto"/>
      <w:ind w:left="567" w:hanging="568"/>
      <w:textAlignment w:val="bottom"/>
    </w:pPr>
    <w:rPr>
      <w:rFonts w:eastAsia="仿宋_GB2312"/>
      <w:bCs w:val="0"/>
      <w:color w:val="000000"/>
      <w:kern w:val="2"/>
      <w:szCs w:val="20"/>
    </w:rPr>
  </w:style>
  <w:style w:type="character" w:customStyle="1" w:styleId="1494">
    <w:name w:val="HTML 预设格式 Char2"/>
    <w:basedOn w:val="109"/>
    <w:semiHidden/>
    <w:qFormat/>
    <w:uiPriority w:val="99"/>
    <w:rPr>
      <w:rFonts w:ascii="Courier New" w:hAnsi="Courier New" w:eastAsia="宋体" w:cs="Courier New"/>
      <w:sz w:val="20"/>
      <w:szCs w:val="20"/>
    </w:rPr>
  </w:style>
  <w:style w:type="character" w:customStyle="1" w:styleId="1495">
    <w:name w:val="正文文本 2 Char2"/>
    <w:basedOn w:val="109"/>
    <w:semiHidden/>
    <w:qFormat/>
    <w:uiPriority w:val="99"/>
    <w:rPr>
      <w:rFonts w:ascii="Times New Roman" w:hAnsi="Times New Roman" w:eastAsia="宋体" w:cs="Times New Roman"/>
      <w:szCs w:val="21"/>
    </w:rPr>
  </w:style>
  <w:style w:type="paragraph" w:customStyle="1" w:styleId="1496">
    <w:name w:val="小标题(1)"/>
    <w:basedOn w:val="29"/>
    <w:semiHidden/>
    <w:qFormat/>
    <w:uiPriority w:val="0"/>
    <w:pPr>
      <w:adjustRightInd w:val="0"/>
      <w:snapToGrid w:val="0"/>
      <w:spacing w:before="60" w:after="60" w:line="264" w:lineRule="auto"/>
      <w:ind w:firstLine="240" w:firstLineChars="100"/>
      <w:textAlignment w:val="baseline"/>
    </w:pPr>
    <w:rPr>
      <w:rFonts w:eastAsia="仿宋_GB2312"/>
      <w:sz w:val="24"/>
    </w:rPr>
  </w:style>
  <w:style w:type="character" w:customStyle="1" w:styleId="1497">
    <w:name w:val="正文文本缩进 3 Char2"/>
    <w:basedOn w:val="109"/>
    <w:semiHidden/>
    <w:qFormat/>
    <w:uiPriority w:val="99"/>
    <w:rPr>
      <w:rFonts w:ascii="Times New Roman" w:hAnsi="Times New Roman" w:eastAsia="宋体" w:cs="Times New Roman"/>
      <w:sz w:val="16"/>
      <w:szCs w:val="16"/>
    </w:rPr>
  </w:style>
  <w:style w:type="paragraph" w:customStyle="1" w:styleId="1498">
    <w:name w:val="标题 22"/>
    <w:basedOn w:val="1"/>
    <w:semiHidden/>
    <w:qFormat/>
    <w:uiPriority w:val="0"/>
    <w:rPr>
      <w:rFonts w:ascii="宋体" w:hAnsi="宋体" w:cs="宋体"/>
      <w:sz w:val="24"/>
      <w:szCs w:val="24"/>
    </w:rPr>
  </w:style>
  <w:style w:type="paragraph" w:customStyle="1" w:styleId="1499">
    <w:name w:val="reader-word-layer reader-word-s1-4"/>
    <w:basedOn w:val="1"/>
    <w:semiHidden/>
    <w:qFormat/>
    <w:uiPriority w:val="0"/>
    <w:pPr>
      <w:spacing w:before="100" w:beforeAutospacing="1" w:after="100" w:afterAutospacing="1"/>
    </w:pPr>
    <w:rPr>
      <w:rFonts w:ascii="宋体" w:hAnsi="宋体" w:cs="宋体"/>
      <w:sz w:val="24"/>
      <w:szCs w:val="24"/>
    </w:rPr>
  </w:style>
  <w:style w:type="paragraph" w:customStyle="1" w:styleId="1500">
    <w:name w:val="标题三 楷体"/>
    <w:basedOn w:val="4"/>
    <w:semiHidden/>
    <w:qFormat/>
    <w:uiPriority w:val="0"/>
    <w:pPr>
      <w:widowControl w:val="0"/>
      <w:adjustRightInd w:val="0"/>
      <w:spacing w:line="500" w:lineRule="exact"/>
      <w:jc w:val="both"/>
    </w:pPr>
    <w:rPr>
      <w:rFonts w:ascii="楷体_GB2312" w:eastAsia="楷体_GB2312"/>
      <w:snapToGrid w:val="0"/>
      <w:sz w:val="24"/>
      <w:szCs w:val="24"/>
    </w:rPr>
  </w:style>
  <w:style w:type="character" w:customStyle="1" w:styleId="1501">
    <w:name w:val="正文文本 Char2"/>
    <w:basedOn w:val="109"/>
    <w:semiHidden/>
    <w:qFormat/>
    <w:uiPriority w:val="99"/>
  </w:style>
  <w:style w:type="character" w:customStyle="1" w:styleId="1502">
    <w:name w:val="正文首行缩进 Char2"/>
    <w:basedOn w:val="1501"/>
    <w:semiHidden/>
    <w:qFormat/>
    <w:uiPriority w:val="0"/>
  </w:style>
  <w:style w:type="paragraph" w:customStyle="1" w:styleId="1503">
    <w:name w:val="标题三"/>
    <w:basedOn w:val="1"/>
    <w:semiHidden/>
    <w:qFormat/>
    <w:uiPriority w:val="0"/>
    <w:pPr>
      <w:adjustRightInd w:val="0"/>
      <w:snapToGrid w:val="0"/>
      <w:spacing w:line="500" w:lineRule="exact"/>
      <w:outlineLvl w:val="2"/>
    </w:pPr>
    <w:rPr>
      <w:rFonts w:ascii="楷体_GB2312" w:eastAsia="楷体_GB2312"/>
      <w:b/>
      <w:sz w:val="24"/>
      <w:szCs w:val="24"/>
    </w:rPr>
  </w:style>
  <w:style w:type="character" w:customStyle="1" w:styleId="1504">
    <w:name w:val="批注文字 Char2"/>
    <w:basedOn w:val="109"/>
    <w:semiHidden/>
    <w:qFormat/>
    <w:uiPriority w:val="0"/>
  </w:style>
  <w:style w:type="character" w:customStyle="1" w:styleId="1505">
    <w:name w:val="批注主题 Char2"/>
    <w:basedOn w:val="1504"/>
    <w:semiHidden/>
    <w:qFormat/>
    <w:uiPriority w:val="99"/>
    <w:rPr>
      <w:b/>
      <w:bCs/>
    </w:rPr>
  </w:style>
  <w:style w:type="character" w:customStyle="1" w:styleId="1506">
    <w:name w:val="正文文本缩进 Char2"/>
    <w:basedOn w:val="109"/>
    <w:semiHidden/>
    <w:qFormat/>
    <w:uiPriority w:val="99"/>
    <w:rPr>
      <w:rFonts w:ascii="Times New Roman" w:hAnsi="Times New Roman" w:eastAsia="宋体" w:cs="Times New Roman"/>
      <w:szCs w:val="21"/>
    </w:rPr>
  </w:style>
  <w:style w:type="character" w:customStyle="1" w:styleId="1507">
    <w:name w:val="纯文本 Char3"/>
    <w:basedOn w:val="109"/>
    <w:semiHidden/>
    <w:qFormat/>
    <w:uiPriority w:val="99"/>
    <w:rPr>
      <w:rFonts w:ascii="宋体" w:hAnsi="Courier New" w:eastAsia="宋体" w:cs="Courier New"/>
      <w:szCs w:val="21"/>
    </w:rPr>
  </w:style>
  <w:style w:type="character" w:customStyle="1" w:styleId="1508">
    <w:name w:val="注释标题 Char2"/>
    <w:basedOn w:val="109"/>
    <w:semiHidden/>
    <w:qFormat/>
    <w:uiPriority w:val="99"/>
    <w:rPr>
      <w:rFonts w:ascii="Times New Roman" w:hAnsi="Times New Roman" w:eastAsia="宋体" w:cs="Times New Roman"/>
      <w:szCs w:val="21"/>
    </w:rPr>
  </w:style>
  <w:style w:type="character" w:customStyle="1" w:styleId="1509">
    <w:name w:val="正文首行缩进 2 Char2"/>
    <w:basedOn w:val="1506"/>
    <w:semiHidden/>
    <w:qFormat/>
    <w:uiPriority w:val="99"/>
    <w:rPr>
      <w:rFonts w:ascii="Times New Roman" w:hAnsi="Times New Roman" w:eastAsia="宋体" w:cs="Times New Roman"/>
      <w:szCs w:val="21"/>
    </w:rPr>
  </w:style>
  <w:style w:type="character" w:customStyle="1" w:styleId="1510">
    <w:name w:val="日期 Char2"/>
    <w:basedOn w:val="109"/>
    <w:semiHidden/>
    <w:qFormat/>
    <w:uiPriority w:val="99"/>
    <w:rPr>
      <w:rFonts w:ascii="Times New Roman" w:hAnsi="Times New Roman" w:eastAsia="宋体" w:cs="Times New Roman"/>
      <w:szCs w:val="21"/>
    </w:rPr>
  </w:style>
  <w:style w:type="character" w:customStyle="1" w:styleId="1511">
    <w:name w:val="称呼 Char2"/>
    <w:basedOn w:val="109"/>
    <w:semiHidden/>
    <w:qFormat/>
    <w:uiPriority w:val="99"/>
    <w:rPr>
      <w:rFonts w:ascii="Times New Roman" w:hAnsi="Times New Roman" w:eastAsia="宋体" w:cs="Times New Roman"/>
      <w:szCs w:val="21"/>
    </w:rPr>
  </w:style>
  <w:style w:type="character" w:customStyle="1" w:styleId="1512">
    <w:name w:val="文档结构图 Char1"/>
    <w:basedOn w:val="109"/>
    <w:link w:val="1513"/>
    <w:semiHidden/>
    <w:qFormat/>
    <w:uiPriority w:val="0"/>
    <w:rPr>
      <w:rFonts w:ascii="宋体"/>
      <w:sz w:val="18"/>
      <w:szCs w:val="18"/>
    </w:rPr>
  </w:style>
  <w:style w:type="paragraph" w:customStyle="1" w:styleId="1513">
    <w:name w:val="文档结构图1"/>
    <w:basedOn w:val="1"/>
    <w:link w:val="1512"/>
    <w:semiHidden/>
    <w:qFormat/>
    <w:uiPriority w:val="0"/>
    <w:pPr>
      <w:adjustRightInd w:val="0"/>
      <w:snapToGrid w:val="0"/>
      <w:spacing w:line="360" w:lineRule="auto"/>
      <w:ind w:firstLine="200" w:firstLineChars="200"/>
    </w:pPr>
    <w:rPr>
      <w:rFonts w:ascii="宋体"/>
      <w:sz w:val="18"/>
      <w:szCs w:val="18"/>
    </w:rPr>
  </w:style>
  <w:style w:type="character" w:customStyle="1" w:styleId="1514">
    <w:name w:val="批注框文本 Char2"/>
    <w:basedOn w:val="109"/>
    <w:semiHidden/>
    <w:qFormat/>
    <w:uiPriority w:val="99"/>
    <w:rPr>
      <w:sz w:val="18"/>
      <w:szCs w:val="18"/>
    </w:rPr>
  </w:style>
  <w:style w:type="character" w:customStyle="1" w:styleId="1515">
    <w:name w:val="正文文本缩进 2 Char2"/>
    <w:basedOn w:val="109"/>
    <w:semiHidden/>
    <w:qFormat/>
    <w:uiPriority w:val="99"/>
    <w:rPr>
      <w:rFonts w:ascii="Times New Roman" w:hAnsi="Times New Roman" w:eastAsia="宋体" w:cs="Times New Roman"/>
      <w:szCs w:val="21"/>
    </w:rPr>
  </w:style>
  <w:style w:type="character" w:customStyle="1" w:styleId="1516">
    <w:name w:val="正文文本 3 Char2"/>
    <w:basedOn w:val="109"/>
    <w:semiHidden/>
    <w:qFormat/>
    <w:uiPriority w:val="99"/>
    <w:rPr>
      <w:rFonts w:ascii="Times New Roman" w:hAnsi="Times New Roman" w:eastAsia="宋体" w:cs="Times New Roman"/>
      <w:sz w:val="16"/>
      <w:szCs w:val="16"/>
    </w:rPr>
  </w:style>
  <w:style w:type="paragraph" w:customStyle="1" w:styleId="1517">
    <w:name w:val="标2-ls."/>
    <w:basedOn w:val="3"/>
    <w:semiHidden/>
    <w:qFormat/>
    <w:uiPriority w:val="0"/>
    <w:pPr>
      <w:widowControl w:val="0"/>
      <w:spacing w:beforeLines="10" w:afterLines="10" w:line="360" w:lineRule="auto"/>
      <w:jc w:val="both"/>
    </w:pPr>
    <w:rPr>
      <w:rFonts w:cs="宋体"/>
      <w:szCs w:val="20"/>
    </w:rPr>
  </w:style>
  <w:style w:type="character" w:customStyle="1" w:styleId="1518">
    <w:name w:val="副标题 Char2"/>
    <w:basedOn w:val="109"/>
    <w:semiHidden/>
    <w:qFormat/>
    <w:uiPriority w:val="11"/>
    <w:rPr>
      <w:rFonts w:eastAsia="宋体" w:asciiTheme="majorHAnsi" w:hAnsiTheme="majorHAnsi" w:cstheme="majorBidi"/>
      <w:b/>
      <w:bCs/>
      <w:kern w:val="28"/>
      <w:sz w:val="32"/>
      <w:szCs w:val="32"/>
    </w:rPr>
  </w:style>
  <w:style w:type="paragraph" w:customStyle="1" w:styleId="1519">
    <w:name w:val="默认段落字体 Para Char Char Char Char Char Char Char Char Char Char Char Char Char Char Char Char Char Char Char"/>
    <w:basedOn w:val="4"/>
    <w:semiHidden/>
    <w:qFormat/>
    <w:uiPriority w:val="0"/>
    <w:pPr>
      <w:widowControl w:val="0"/>
      <w:tabs>
        <w:tab w:val="left" w:pos="851"/>
        <w:tab w:val="left" w:pos="900"/>
      </w:tabs>
      <w:snapToGrid w:val="0"/>
      <w:spacing w:before="120" w:after="120" w:line="360" w:lineRule="auto"/>
      <w:ind w:left="-12" w:leftChars="-12" w:firstLine="200" w:firstLineChars="200"/>
    </w:pPr>
    <w:rPr>
      <w:rFonts w:ascii="宋体" w:hAnsi="宋体" w:eastAsia="仿宋_GB2312"/>
    </w:rPr>
  </w:style>
  <w:style w:type="paragraph" w:customStyle="1" w:styleId="1520">
    <w:name w:val="标题二！！！"/>
    <w:basedOn w:val="3"/>
    <w:semiHidden/>
    <w:qFormat/>
    <w:uiPriority w:val="0"/>
    <w:pPr>
      <w:widowControl w:val="0"/>
      <w:overflowPunct w:val="0"/>
      <w:autoSpaceDE w:val="0"/>
      <w:autoSpaceDN w:val="0"/>
      <w:adjustRightInd w:val="0"/>
      <w:spacing w:line="500" w:lineRule="exact"/>
      <w:jc w:val="both"/>
      <w:textAlignment w:val="baseline"/>
    </w:pPr>
    <w:rPr>
      <w:rFonts w:ascii="黑体" w:eastAsia="楷体_GB2312" w:cs="宋体"/>
      <w:szCs w:val="20"/>
    </w:rPr>
  </w:style>
  <w:style w:type="paragraph" w:customStyle="1" w:styleId="1521">
    <w:name w:val="样式 标题 2节H2节标题 1.1二级标题标题 lxb21.1h2第一层条二级标题 Char表标题单位名...7"/>
    <w:basedOn w:val="1522"/>
    <w:semiHidden/>
    <w:qFormat/>
    <w:uiPriority w:val="0"/>
    <w:pPr>
      <w:ind w:left="578" w:hanging="578"/>
      <w:outlineLvl w:val="1"/>
    </w:pPr>
    <w:rPr>
      <w:bCs/>
      <w:szCs w:val="20"/>
    </w:rPr>
  </w:style>
  <w:style w:type="paragraph" w:customStyle="1" w:styleId="1522">
    <w:name w:val="标题 21"/>
    <w:basedOn w:val="1"/>
    <w:semiHidden/>
    <w:qFormat/>
    <w:uiPriority w:val="0"/>
    <w:pPr>
      <w:spacing w:beforeLines="50" w:line="360" w:lineRule="auto"/>
      <w:ind w:left="576" w:hanging="576"/>
    </w:pPr>
    <w:rPr>
      <w:rFonts w:ascii="黑体" w:hAnsi="宋体" w:eastAsia="黑体" w:cs="宋体"/>
      <w:b/>
      <w:sz w:val="30"/>
      <w:szCs w:val="24"/>
    </w:rPr>
  </w:style>
  <w:style w:type="paragraph" w:customStyle="1" w:styleId="1523">
    <w:name w:val="样式 标题 3标题3H3h33rd level第二层条头 + 小四 加粗 左侧:  0 厘米 首行缩进:  0...1"/>
    <w:basedOn w:val="4"/>
    <w:semiHidden/>
    <w:qFormat/>
    <w:uiPriority w:val="0"/>
    <w:pPr>
      <w:widowControl w:val="0"/>
      <w:tabs>
        <w:tab w:val="left" w:pos="719"/>
        <w:tab w:val="left" w:pos="1080"/>
      </w:tabs>
      <w:adjustRightInd w:val="0"/>
      <w:snapToGrid w:val="0"/>
      <w:spacing w:before="240" w:after="156"/>
      <w:ind w:left="719" w:hanging="719"/>
      <w:jc w:val="both"/>
      <w:textAlignment w:val="baseline"/>
    </w:pPr>
    <w:rPr>
      <w:rFonts w:eastAsia="仿宋_GB2312"/>
      <w:sz w:val="24"/>
    </w:rPr>
  </w:style>
  <w:style w:type="paragraph" w:customStyle="1" w:styleId="1524">
    <w:name w:val="样式 标题 2标题2H2h2第一层条 + 段前: 7.8 磅"/>
    <w:basedOn w:val="3"/>
    <w:semiHidden/>
    <w:qFormat/>
    <w:uiPriority w:val="0"/>
    <w:pPr>
      <w:widowControl w:val="0"/>
      <w:tabs>
        <w:tab w:val="left" w:pos="576"/>
      </w:tabs>
      <w:adjustRightInd w:val="0"/>
      <w:snapToGrid w:val="0"/>
      <w:spacing w:before="240" w:after="240"/>
      <w:jc w:val="both"/>
    </w:pPr>
    <w:rPr>
      <w:rFonts w:eastAsia="仿宋_GB2312"/>
      <w:sz w:val="24"/>
      <w:szCs w:val="20"/>
    </w:rPr>
  </w:style>
  <w:style w:type="paragraph" w:customStyle="1" w:styleId="1525">
    <w:name w:val="样式 五号 居中 行距: 固定值 16 磅"/>
    <w:basedOn w:val="1"/>
    <w:semiHidden/>
    <w:qFormat/>
    <w:uiPriority w:val="0"/>
    <w:pPr>
      <w:spacing w:line="320" w:lineRule="exact"/>
      <w:jc w:val="center"/>
    </w:pPr>
    <w:rPr>
      <w:rFonts w:ascii="宋体" w:hAnsi="宋体" w:cs="宋体"/>
      <w:sz w:val="24"/>
      <w:szCs w:val="24"/>
    </w:rPr>
  </w:style>
  <w:style w:type="paragraph" w:customStyle="1" w:styleId="1526">
    <w:name w:val="样式 标题 2节H2节标题 1.1二级标题标题 lxb21.1h2第一层条二级标题 Char表标题单位名...6"/>
    <w:basedOn w:val="1522"/>
    <w:semiHidden/>
    <w:qFormat/>
    <w:uiPriority w:val="0"/>
    <w:pPr>
      <w:outlineLvl w:val="1"/>
    </w:pPr>
    <w:rPr>
      <w:bCs/>
      <w:szCs w:val="20"/>
    </w:rPr>
  </w:style>
  <w:style w:type="paragraph" w:customStyle="1" w:styleId="1527">
    <w:name w:val="样式 样式 标题 3 + Times New Roman + 段前: 1 行 段后: 1 行"/>
    <w:basedOn w:val="1"/>
    <w:semiHidden/>
    <w:qFormat/>
    <w:uiPriority w:val="0"/>
    <w:pPr>
      <w:keepNext/>
      <w:keepLines/>
      <w:tabs>
        <w:tab w:val="left" w:pos="280"/>
        <w:tab w:val="left" w:pos="720"/>
      </w:tabs>
      <w:spacing w:before="50" w:after="50"/>
      <w:ind w:left="720" w:hanging="720"/>
      <w:outlineLvl w:val="2"/>
    </w:pPr>
    <w:rPr>
      <w:rFonts w:eastAsia="黑体"/>
      <w:sz w:val="30"/>
      <w:szCs w:val="21"/>
    </w:rPr>
  </w:style>
  <w:style w:type="paragraph" w:customStyle="1" w:styleId="1528">
    <w:name w:val="样式 标题 2 + 两端对齐 左侧: 标题2"/>
    <w:basedOn w:val="3"/>
    <w:next w:val="3"/>
    <w:semiHidden/>
    <w:qFormat/>
    <w:uiPriority w:val="0"/>
    <w:pPr>
      <w:widowControl w:val="0"/>
      <w:tabs>
        <w:tab w:val="left" w:pos="540"/>
      </w:tabs>
      <w:spacing w:before="120" w:after="120" w:line="360" w:lineRule="exact"/>
    </w:pPr>
    <w:rPr>
      <w:color w:val="000000"/>
      <w:szCs w:val="20"/>
    </w:rPr>
  </w:style>
  <w:style w:type="paragraph" w:customStyle="1" w:styleId="1529">
    <w:name w:val="reader-word-layer reader-word-s1-9"/>
    <w:basedOn w:val="1"/>
    <w:semiHidden/>
    <w:qFormat/>
    <w:uiPriority w:val="0"/>
    <w:pPr>
      <w:spacing w:before="100" w:beforeAutospacing="1" w:after="100" w:afterAutospacing="1"/>
    </w:pPr>
    <w:rPr>
      <w:rFonts w:ascii="宋体" w:hAnsi="宋体" w:cs="宋体"/>
      <w:sz w:val="24"/>
      <w:szCs w:val="24"/>
    </w:rPr>
  </w:style>
  <w:style w:type="paragraph" w:customStyle="1" w:styleId="1530">
    <w:name w:val="框图文字1"/>
    <w:basedOn w:val="1"/>
    <w:semiHidden/>
    <w:qFormat/>
    <w:uiPriority w:val="0"/>
    <w:pPr>
      <w:adjustRightInd w:val="0"/>
      <w:snapToGrid w:val="0"/>
      <w:spacing w:before="78"/>
      <w:jc w:val="center"/>
    </w:pPr>
    <w:rPr>
      <w:sz w:val="18"/>
      <w:szCs w:val="21"/>
    </w:rPr>
  </w:style>
  <w:style w:type="paragraph" w:customStyle="1" w:styleId="1531">
    <w:name w:val="biaoti二"/>
    <w:basedOn w:val="4"/>
    <w:semiHidden/>
    <w:qFormat/>
    <w:uiPriority w:val="0"/>
    <w:pPr>
      <w:overflowPunct w:val="0"/>
      <w:adjustRightInd w:val="0"/>
      <w:snapToGrid w:val="0"/>
      <w:spacing w:line="440" w:lineRule="exact"/>
      <w:textAlignment w:val="baseline"/>
    </w:pPr>
    <w:rPr>
      <w:rFonts w:ascii="Arial" w:hAnsi="Arial"/>
      <w:sz w:val="24"/>
      <w:szCs w:val="24"/>
    </w:rPr>
  </w:style>
  <w:style w:type="paragraph" w:customStyle="1" w:styleId="1532">
    <w:name w:val="标准文本：首行缩进2字符+小4+两端对齐+单倍行距"/>
    <w:basedOn w:val="1"/>
    <w:semiHidden/>
    <w:qFormat/>
    <w:uiPriority w:val="0"/>
    <w:pPr>
      <w:adjustRightInd w:val="0"/>
      <w:snapToGrid w:val="0"/>
      <w:ind w:firstLine="200" w:firstLineChars="200"/>
      <w:textAlignment w:val="center"/>
    </w:pPr>
    <w:rPr>
      <w:sz w:val="24"/>
      <w:szCs w:val="21"/>
    </w:rPr>
  </w:style>
  <w:style w:type="paragraph" w:customStyle="1" w:styleId="1533">
    <w:name w:val="样式 正文 楷体 + 首行缩进:  2 字符"/>
    <w:basedOn w:val="204"/>
    <w:semiHidden/>
    <w:qFormat/>
    <w:uiPriority w:val="0"/>
    <w:pPr>
      <w:ind w:firstLine="480"/>
    </w:pPr>
    <w:rPr>
      <w:rFonts w:hAnsi="Times New Roman"/>
    </w:rPr>
  </w:style>
  <w:style w:type="paragraph" w:customStyle="1" w:styleId="1534">
    <w:name w:val="样式 标题 2节H2节标题 1.1二级标题标题 lxb21.1h2第一层条二级标题 Char表标题单位名...3"/>
    <w:basedOn w:val="3"/>
    <w:semiHidden/>
    <w:qFormat/>
    <w:uiPriority w:val="0"/>
    <w:pPr>
      <w:spacing w:beforeLines="50" w:line="360" w:lineRule="auto"/>
      <w:ind w:left="578" w:hanging="578"/>
    </w:pPr>
    <w:rPr>
      <w:rFonts w:ascii="黑体" w:hAnsi="Arial" w:cs="宋体"/>
      <w:sz w:val="30"/>
      <w:szCs w:val="20"/>
    </w:rPr>
  </w:style>
  <w:style w:type="paragraph" w:customStyle="1" w:styleId="1535">
    <w:name w:val="样式 标题 3H3B Head标题 3 Char条标题1.1.1三级标题标题3h33rd level第二层条...3"/>
    <w:basedOn w:val="4"/>
    <w:semiHidden/>
    <w:qFormat/>
    <w:uiPriority w:val="0"/>
    <w:rPr>
      <w:rFonts w:ascii="宋体" w:hAnsi="宋体" w:cs="宋体"/>
      <w:sz w:val="28"/>
      <w:szCs w:val="28"/>
    </w:rPr>
  </w:style>
  <w:style w:type="paragraph" w:customStyle="1" w:styleId="1536">
    <w:name w:val="样式 标题 2节H2节标题 1.1二级标题标题 lxb21.1h2第一层条二级标题 Char表标题单位名...2"/>
    <w:basedOn w:val="3"/>
    <w:semiHidden/>
    <w:qFormat/>
    <w:uiPriority w:val="0"/>
    <w:pPr>
      <w:spacing w:beforeLines="100" w:line="360" w:lineRule="auto"/>
    </w:pPr>
    <w:rPr>
      <w:rFonts w:ascii="黑体" w:hAnsi="Arial" w:cs="宋体"/>
      <w:sz w:val="30"/>
      <w:szCs w:val="20"/>
    </w:rPr>
  </w:style>
  <w:style w:type="paragraph" w:customStyle="1" w:styleId="1537">
    <w:name w:val="单晶硅表头"/>
    <w:basedOn w:val="1"/>
    <w:link w:val="2066"/>
    <w:semiHidden/>
    <w:qFormat/>
    <w:uiPriority w:val="0"/>
    <w:pPr>
      <w:spacing w:line="560" w:lineRule="exact"/>
      <w:jc w:val="center"/>
    </w:pPr>
    <w:rPr>
      <w:rFonts w:ascii="黑体" w:hAnsi="宋体" w:eastAsia="黑体" w:cs="仿宋_GB2312"/>
      <w:sz w:val="24"/>
      <w:szCs w:val="24"/>
      <w14:shadow w14:blurRad="50800" w14:dist="38100" w14:dir="2700000" w14:sx="100000" w14:sy="100000" w14:kx="0" w14:ky="0" w14:algn="tl">
        <w14:srgbClr w14:val="000000">
          <w14:alpha w14:val="60000"/>
        </w14:srgbClr>
      </w14:shadow>
    </w:rPr>
  </w:style>
  <w:style w:type="paragraph" w:customStyle="1" w:styleId="1538">
    <w:name w:val="样式 标题 3头标题3H3h33rd level第二层条标题 3 Char小标题小节标题标题 3 Char ..."/>
    <w:basedOn w:val="4"/>
    <w:semiHidden/>
    <w:qFormat/>
    <w:uiPriority w:val="0"/>
    <w:pPr>
      <w:widowControl w:val="0"/>
      <w:tabs>
        <w:tab w:val="left" w:pos="720"/>
      </w:tabs>
      <w:snapToGrid w:val="0"/>
      <w:spacing w:before="120" w:after="120"/>
      <w:jc w:val="both"/>
    </w:pPr>
    <w:rPr>
      <w:rFonts w:eastAsia="仿宋_GB2312"/>
      <w:sz w:val="24"/>
    </w:rPr>
  </w:style>
  <w:style w:type="paragraph" w:customStyle="1" w:styleId="1539">
    <w:name w:val="样式 样式 标题 3标题3H3h33rd level第二层条头 + 宋体 + 段前: 1 行"/>
    <w:basedOn w:val="1540"/>
    <w:semiHidden/>
    <w:qFormat/>
    <w:uiPriority w:val="0"/>
    <w:pPr>
      <w:tabs>
        <w:tab w:val="left" w:pos="720"/>
      </w:tabs>
      <w:spacing w:before="312"/>
    </w:pPr>
  </w:style>
  <w:style w:type="paragraph" w:customStyle="1" w:styleId="1540">
    <w:name w:val="样式 标题 3标题3H3h33rd level第二层条头 + 宋体"/>
    <w:basedOn w:val="4"/>
    <w:semiHidden/>
    <w:qFormat/>
    <w:uiPriority w:val="0"/>
    <w:pPr>
      <w:widowControl w:val="0"/>
      <w:tabs>
        <w:tab w:val="left" w:pos="720"/>
      </w:tabs>
      <w:spacing w:before="100" w:after="120" w:line="312" w:lineRule="auto"/>
    </w:pPr>
    <w:rPr>
      <w:rFonts w:eastAsia="Times New Roman"/>
      <w:color w:val="000000"/>
      <w:sz w:val="24"/>
    </w:rPr>
  </w:style>
  <w:style w:type="paragraph" w:customStyle="1" w:styleId="1541">
    <w:name w:val="南陵标题 2"/>
    <w:basedOn w:val="3"/>
    <w:semiHidden/>
    <w:qFormat/>
    <w:uiPriority w:val="0"/>
    <w:pPr>
      <w:widowControl w:val="0"/>
      <w:tabs>
        <w:tab w:val="left" w:pos="360"/>
      </w:tabs>
      <w:adjustRightInd w:val="0"/>
      <w:spacing w:before="60" w:after="60" w:line="360" w:lineRule="auto"/>
      <w:ind w:left="576" w:hanging="576"/>
      <w:textAlignment w:val="baseline"/>
    </w:pPr>
    <w:rPr>
      <w:szCs w:val="20"/>
    </w:rPr>
  </w:style>
  <w:style w:type="paragraph" w:customStyle="1" w:styleId="1542">
    <w:name w:val="样式 样式 标题 3标题3H3h33rd level第二层条头 + 宋体 + 段前: 1 行1"/>
    <w:basedOn w:val="1540"/>
    <w:semiHidden/>
    <w:qFormat/>
    <w:uiPriority w:val="0"/>
    <w:pPr>
      <w:spacing w:before="312"/>
    </w:pPr>
  </w:style>
  <w:style w:type="paragraph" w:customStyle="1" w:styleId="1543">
    <w:name w:val="样式 标题二 + 黑体"/>
    <w:basedOn w:val="1544"/>
    <w:semiHidden/>
    <w:qFormat/>
    <w:uiPriority w:val="0"/>
    <w:pPr>
      <w:keepNext/>
      <w:keepLines/>
      <w:tabs>
        <w:tab w:val="left" w:pos="360"/>
        <w:tab w:val="left" w:pos="880"/>
        <w:tab w:val="left" w:pos="2180"/>
        <w:tab w:val="center" w:pos="3430"/>
        <w:tab w:val="left" w:pos="4680"/>
        <w:tab w:val="left" w:pos="5440"/>
      </w:tabs>
      <w:adjustRightInd w:val="0"/>
      <w:snapToGrid w:val="0"/>
      <w:spacing w:beforeLines="100" w:line="360" w:lineRule="auto"/>
      <w:jc w:val="left"/>
      <w:textAlignment w:val="baseline"/>
    </w:pPr>
    <w:rPr>
      <w:rFonts w:ascii="黑体" w:hAnsi="黑体" w:eastAsia="黑体" w:cs="Times New Roman"/>
      <w:b w:val="0"/>
      <w:snapToGrid/>
      <w:sz w:val="30"/>
      <w:szCs w:val="32"/>
    </w:rPr>
  </w:style>
  <w:style w:type="paragraph" w:customStyle="1" w:styleId="1544">
    <w:name w:val="标题二"/>
    <w:basedOn w:val="3"/>
    <w:semiHidden/>
    <w:qFormat/>
    <w:uiPriority w:val="0"/>
    <w:pPr>
      <w:widowControl w:val="0"/>
      <w:spacing w:line="480" w:lineRule="exact"/>
      <w:jc w:val="both"/>
    </w:pPr>
    <w:rPr>
      <w:rFonts w:ascii="楷体_GB2312" w:eastAsia="楷体_GB2312" w:cs="宋体"/>
      <w:snapToGrid w:val="0"/>
      <w:szCs w:val="28"/>
    </w:rPr>
  </w:style>
  <w:style w:type="paragraph" w:customStyle="1" w:styleId="1545">
    <w:name w:val="样式 正文文本 + 红色"/>
    <w:basedOn w:val="29"/>
    <w:semiHidden/>
    <w:qFormat/>
    <w:uiPriority w:val="0"/>
    <w:pPr>
      <w:snapToGrid w:val="0"/>
      <w:spacing w:after="60" w:line="264" w:lineRule="auto"/>
      <w:ind w:firstLine="200" w:firstLineChars="200"/>
    </w:pPr>
    <w:rPr>
      <w:rFonts w:eastAsia="仿宋_GB2312"/>
      <w:snapToGrid w:val="0"/>
      <w:color w:val="FF0000"/>
    </w:rPr>
  </w:style>
  <w:style w:type="paragraph" w:customStyle="1" w:styleId="1546">
    <w:name w:val="标3-ls"/>
    <w:basedOn w:val="4"/>
    <w:semiHidden/>
    <w:qFormat/>
    <w:uiPriority w:val="0"/>
    <w:pPr>
      <w:widowControl w:val="0"/>
      <w:spacing w:beforeLines="10" w:afterLines="10" w:line="360" w:lineRule="auto"/>
      <w:jc w:val="both"/>
    </w:pPr>
    <w:rPr>
      <w:rFonts w:cs="宋体"/>
      <w:b w:val="0"/>
      <w:sz w:val="24"/>
    </w:rPr>
  </w:style>
  <w:style w:type="paragraph" w:customStyle="1" w:styleId="1547">
    <w:name w:val="图目"/>
    <w:basedOn w:val="1"/>
    <w:semiHidden/>
    <w:qFormat/>
    <w:uiPriority w:val="0"/>
    <w:pPr>
      <w:spacing w:line="360" w:lineRule="atLeast"/>
      <w:jc w:val="center"/>
    </w:pPr>
    <w:rPr>
      <w:szCs w:val="21"/>
    </w:rPr>
  </w:style>
  <w:style w:type="paragraph" w:customStyle="1" w:styleId="1548">
    <w:name w:val="样式 标题 3 + 小四 首行缩进:  0 厘米 段前: 6 磅 段后: 6 磅 行距: 固定值 18 磅"/>
    <w:basedOn w:val="4"/>
    <w:semiHidden/>
    <w:qFormat/>
    <w:uiPriority w:val="0"/>
    <w:pPr>
      <w:tabs>
        <w:tab w:val="left" w:pos="5264"/>
      </w:tabs>
      <w:overflowPunct w:val="0"/>
      <w:autoSpaceDE w:val="0"/>
      <w:autoSpaceDN w:val="0"/>
      <w:spacing w:before="156" w:after="120" w:line="360" w:lineRule="exact"/>
      <w:ind w:right="-130"/>
      <w:jc w:val="both"/>
    </w:pPr>
    <w:rPr>
      <w:color w:val="000000"/>
      <w:sz w:val="24"/>
    </w:rPr>
  </w:style>
  <w:style w:type="paragraph" w:customStyle="1" w:styleId="1549">
    <w:name w:val="样式 样式 标题 1一、1.标题 1 + 段前: 1 行 段后: 1 行 + 段前: 1 行 段后: 1 行"/>
    <w:basedOn w:val="1"/>
    <w:semiHidden/>
    <w:qFormat/>
    <w:uiPriority w:val="0"/>
    <w:pPr>
      <w:keepNext/>
      <w:keepLines/>
      <w:tabs>
        <w:tab w:val="left" w:pos="280"/>
      </w:tabs>
      <w:spacing w:before="100" w:after="100" w:line="360" w:lineRule="auto"/>
      <w:ind w:left="2470"/>
      <w:outlineLvl w:val="0"/>
    </w:pPr>
    <w:rPr>
      <w:rFonts w:eastAsia="黑体"/>
      <w:kern w:val="44"/>
      <w:sz w:val="44"/>
      <w:szCs w:val="21"/>
    </w:rPr>
  </w:style>
  <w:style w:type="paragraph" w:customStyle="1" w:styleId="1550">
    <w:name w:val="样式 (西文) 楷体_GB2312 首行缩进:  0.85 厘米1"/>
    <w:basedOn w:val="1"/>
    <w:semiHidden/>
    <w:qFormat/>
    <w:uiPriority w:val="0"/>
    <w:pPr>
      <w:spacing w:line="500" w:lineRule="exact"/>
      <w:ind w:firstLine="200" w:firstLineChars="200"/>
    </w:pPr>
    <w:rPr>
      <w:rFonts w:ascii="楷体_GB2312" w:hAnsi="楷体_GB2312" w:eastAsia="楷体_GB2312" w:cs="楷体_GB2312"/>
      <w:sz w:val="24"/>
      <w:szCs w:val="21"/>
    </w:rPr>
  </w:style>
  <w:style w:type="paragraph" w:customStyle="1" w:styleId="1551">
    <w:name w:val="节标题"/>
    <w:basedOn w:val="1"/>
    <w:next w:val="1"/>
    <w:semiHidden/>
    <w:qFormat/>
    <w:uiPriority w:val="0"/>
    <w:pPr>
      <w:spacing w:line="867" w:lineRule="atLeast"/>
      <w:ind w:firstLine="640" w:firstLineChars="200"/>
      <w:jc w:val="center"/>
      <w:textAlignment w:val="baseline"/>
    </w:pPr>
    <w:rPr>
      <w:rFonts w:hAnsi="宋体"/>
      <w:color w:val="000000"/>
      <w:sz w:val="28"/>
      <w:szCs w:val="24"/>
      <w:u w:color="000000"/>
    </w:rPr>
  </w:style>
  <w:style w:type="paragraph" w:customStyle="1" w:styleId="1552">
    <w:name w:val="Char Char Char Char Char Char Char Char Char Char Char Char1 Char Char Char Char"/>
    <w:basedOn w:val="1"/>
    <w:next w:val="1"/>
    <w:semiHidden/>
    <w:qFormat/>
    <w:uiPriority w:val="0"/>
    <w:pPr>
      <w:spacing w:line="336" w:lineRule="auto"/>
      <w:ind w:firstLine="200" w:firstLineChars="200"/>
    </w:pPr>
    <w:rPr>
      <w:rFonts w:ascii="宋体" w:hAnsi="宋体" w:eastAsia="汉鼎简书宋" w:cs="宋体"/>
      <w:sz w:val="24"/>
      <w:szCs w:val="24"/>
    </w:rPr>
  </w:style>
  <w:style w:type="paragraph" w:customStyle="1" w:styleId="1553">
    <w:name w:val="reader-word-layer reader-word-s1-7"/>
    <w:basedOn w:val="1"/>
    <w:semiHidden/>
    <w:qFormat/>
    <w:uiPriority w:val="0"/>
    <w:pPr>
      <w:spacing w:before="100" w:beforeAutospacing="1" w:after="100" w:afterAutospacing="1"/>
    </w:pPr>
    <w:rPr>
      <w:rFonts w:ascii="宋体" w:hAnsi="宋体" w:cs="宋体"/>
      <w:sz w:val="24"/>
      <w:szCs w:val="24"/>
    </w:rPr>
  </w:style>
  <w:style w:type="paragraph" w:customStyle="1" w:styleId="1554">
    <w:name w:val="列图"/>
    <w:basedOn w:val="60"/>
    <w:next w:val="1"/>
    <w:semiHidden/>
    <w:qFormat/>
    <w:uiPriority w:val="0"/>
    <w:pPr>
      <w:keepLines/>
      <w:adjustRightInd/>
      <w:snapToGrid w:val="0"/>
      <w:spacing w:before="120" w:after="0" w:line="276" w:lineRule="auto"/>
      <w:ind w:firstLine="0"/>
      <w:jc w:val="center"/>
    </w:pPr>
    <w:rPr>
      <w:rFonts w:ascii="Times New Roman"/>
      <w:kern w:val="28"/>
      <w:sz w:val="21"/>
    </w:rPr>
  </w:style>
  <w:style w:type="paragraph" w:customStyle="1" w:styleId="1555">
    <w:name w:val="1.1.1无标"/>
    <w:basedOn w:val="1"/>
    <w:semiHidden/>
    <w:qFormat/>
    <w:uiPriority w:val="0"/>
    <w:pPr>
      <w:ind w:left="300" w:leftChars="300" w:right="300" w:rightChars="300"/>
      <w:jc w:val="center"/>
    </w:pPr>
    <w:rPr>
      <w:rFonts w:ascii="宋体" w:hAnsi="宋体" w:cs="Century"/>
      <w:szCs w:val="24"/>
    </w:rPr>
  </w:style>
  <w:style w:type="paragraph" w:customStyle="1" w:styleId="1556">
    <w:name w:val="表格 23"/>
    <w:basedOn w:val="1"/>
    <w:semiHidden/>
    <w:qFormat/>
    <w:uiPriority w:val="0"/>
    <w:pPr>
      <w:spacing w:beforeLines="50" w:line="300" w:lineRule="auto"/>
      <w:jc w:val="center"/>
    </w:pPr>
    <w:rPr>
      <w:szCs w:val="21"/>
    </w:rPr>
  </w:style>
  <w:style w:type="paragraph" w:customStyle="1" w:styleId="1557">
    <w:name w:val="样式 标题 21 + 段前: 1 行 段后: 1 行"/>
    <w:basedOn w:val="3"/>
    <w:semiHidden/>
    <w:qFormat/>
    <w:uiPriority w:val="0"/>
    <w:pPr>
      <w:widowControl w:val="0"/>
      <w:tabs>
        <w:tab w:val="left" w:pos="280"/>
        <w:tab w:val="left" w:pos="648"/>
      </w:tabs>
      <w:spacing w:before="100" w:after="100"/>
      <w:ind w:left="578" w:hanging="578"/>
      <w:jc w:val="both"/>
    </w:pPr>
    <w:rPr>
      <w:b w:val="0"/>
      <w:sz w:val="36"/>
      <w:szCs w:val="20"/>
    </w:rPr>
  </w:style>
  <w:style w:type="paragraph" w:customStyle="1" w:styleId="1558">
    <w:name w:val="样式 标题 1 + 左侧:  0 厘米 首行缩进:  0 厘米"/>
    <w:basedOn w:val="2"/>
    <w:semiHidden/>
    <w:qFormat/>
    <w:uiPriority w:val="0"/>
    <w:pPr>
      <w:tabs>
        <w:tab w:val="left" w:pos="1200"/>
      </w:tabs>
      <w:spacing w:before="60" w:line="360" w:lineRule="exact"/>
      <w:jc w:val="left"/>
    </w:pPr>
    <w:rPr>
      <w:color w:val="000000"/>
      <w:sz w:val="32"/>
      <w:szCs w:val="20"/>
    </w:rPr>
  </w:style>
  <w:style w:type="paragraph" w:customStyle="1" w:styleId="1559">
    <w:name w:val="样式 表格图文 + 五号 左侧:  0.63 厘米 行距: 1.5 倍行距"/>
    <w:basedOn w:val="228"/>
    <w:semiHidden/>
    <w:qFormat/>
    <w:uiPriority w:val="0"/>
    <w:pPr>
      <w:adjustRightInd/>
      <w:snapToGrid/>
      <w:spacing w:line="240" w:lineRule="auto"/>
    </w:pPr>
    <w:rPr>
      <w:rFonts w:hAnsi="宋体" w:asciiTheme="minorHAnsi" w:cstheme="minorBidi"/>
      <w:sz w:val="21"/>
      <w:szCs w:val="20"/>
    </w:rPr>
  </w:style>
  <w:style w:type="paragraph" w:customStyle="1" w:styleId="1560">
    <w:name w:val="wyp"/>
    <w:basedOn w:val="2"/>
    <w:semiHidden/>
    <w:qFormat/>
    <w:uiPriority w:val="0"/>
    <w:pPr>
      <w:autoSpaceDE w:val="0"/>
      <w:autoSpaceDN w:val="0"/>
      <w:adjustRightInd w:val="0"/>
      <w:spacing w:before="0" w:after="0" w:line="360" w:lineRule="atLeast"/>
      <w:textAlignment w:val="bottom"/>
    </w:pPr>
    <w:rPr>
      <w:b w:val="0"/>
      <w:sz w:val="28"/>
      <w:szCs w:val="20"/>
    </w:rPr>
  </w:style>
  <w:style w:type="paragraph" w:customStyle="1" w:styleId="1561">
    <w:name w:val="样式 兴化美联正文样式 + 自动设置 居中"/>
    <w:basedOn w:val="974"/>
    <w:semiHidden/>
    <w:qFormat/>
    <w:uiPriority w:val="0"/>
    <w:pPr>
      <w:ind w:firstLine="200"/>
      <w:jc w:val="center"/>
    </w:pPr>
    <w:rPr>
      <w:kern w:val="2"/>
      <w:szCs w:val="20"/>
    </w:rPr>
  </w:style>
  <w:style w:type="paragraph" w:customStyle="1" w:styleId="1562">
    <w:name w:val="3级"/>
    <w:basedOn w:val="1"/>
    <w:semiHidden/>
    <w:qFormat/>
    <w:uiPriority w:val="0"/>
    <w:pPr>
      <w:spacing w:beforeLines="50" w:afterLines="50" w:line="360" w:lineRule="auto"/>
      <w:outlineLvl w:val="2"/>
    </w:pPr>
    <w:rPr>
      <w:rFonts w:ascii="黑体" w:hAnsi="宋体" w:eastAsia="黑体" w:cs="宋体"/>
      <w:b/>
      <w:bCs/>
      <w:sz w:val="24"/>
      <w:szCs w:val="24"/>
    </w:rPr>
  </w:style>
  <w:style w:type="paragraph" w:customStyle="1" w:styleId="1563">
    <w:name w:val="2级"/>
    <w:basedOn w:val="3"/>
    <w:semiHidden/>
    <w:qFormat/>
    <w:uiPriority w:val="0"/>
    <w:pPr>
      <w:spacing w:line="348" w:lineRule="auto"/>
    </w:pPr>
    <w:rPr>
      <w:rFonts w:ascii="黑体" w:hAnsi="Arial" w:cs="宋体"/>
      <w:color w:val="FF0000"/>
      <w:szCs w:val="20"/>
    </w:rPr>
  </w:style>
  <w:style w:type="paragraph" w:customStyle="1" w:styleId="1564">
    <w:name w:val="样式 样式 样式 样式 样式 标题 21标题21 Char标题 2 Char Char + Times New Roman 段前...2"/>
    <w:basedOn w:val="1"/>
    <w:semiHidden/>
    <w:qFormat/>
    <w:uiPriority w:val="0"/>
    <w:pPr>
      <w:keepNext/>
      <w:keepLines/>
      <w:tabs>
        <w:tab w:val="left" w:pos="840"/>
      </w:tabs>
      <w:spacing w:before="156" w:after="156"/>
      <w:ind w:left="2470"/>
      <w:outlineLvl w:val="1"/>
    </w:pPr>
    <w:rPr>
      <w:rFonts w:eastAsia="黑体"/>
      <w:sz w:val="30"/>
      <w:szCs w:val="21"/>
    </w:rPr>
  </w:style>
  <w:style w:type="paragraph" w:customStyle="1" w:styleId="1565">
    <w:name w:val="样式 标题 3 + 段前: 1 行"/>
    <w:basedOn w:val="4"/>
    <w:semiHidden/>
    <w:qFormat/>
    <w:uiPriority w:val="0"/>
    <w:pPr>
      <w:widowControl w:val="0"/>
      <w:tabs>
        <w:tab w:val="left" w:pos="720"/>
      </w:tabs>
      <w:adjustRightInd w:val="0"/>
      <w:snapToGrid w:val="0"/>
      <w:spacing w:before="240" w:after="240" w:line="315" w:lineRule="atLeast"/>
      <w:jc w:val="both"/>
      <w:textAlignment w:val="baseline"/>
    </w:pPr>
    <w:rPr>
      <w:rFonts w:ascii="宋体" w:eastAsia="Times New Roman"/>
      <w:sz w:val="24"/>
    </w:rPr>
  </w:style>
  <w:style w:type="paragraph" w:customStyle="1" w:styleId="1566">
    <w:name w:val="表头标题1"/>
    <w:basedOn w:val="1"/>
    <w:semiHidden/>
    <w:qFormat/>
    <w:uiPriority w:val="0"/>
    <w:pPr>
      <w:spacing w:before="156" w:line="360" w:lineRule="auto"/>
      <w:jc w:val="center"/>
    </w:pPr>
    <w:rPr>
      <w:rFonts w:ascii="黑体" w:hAnsi="宋体" w:eastAsia="黑体" w:cs="宋体"/>
      <w:b/>
      <w:bCs/>
      <w:sz w:val="24"/>
      <w:szCs w:val="24"/>
    </w:rPr>
  </w:style>
  <w:style w:type="paragraph" w:customStyle="1" w:styleId="1567">
    <w:name w:val="样式 表格图文 + 五号 左侧:  0.63 厘米 行距: 1.5 倍行距1"/>
    <w:basedOn w:val="228"/>
    <w:semiHidden/>
    <w:qFormat/>
    <w:uiPriority w:val="0"/>
    <w:pPr>
      <w:adjustRightInd/>
      <w:snapToGrid/>
      <w:spacing w:line="240" w:lineRule="auto"/>
    </w:pPr>
    <w:rPr>
      <w:rFonts w:hAnsi="宋体" w:asciiTheme="minorHAnsi" w:cstheme="minorBidi"/>
      <w:sz w:val="21"/>
      <w:szCs w:val="20"/>
    </w:rPr>
  </w:style>
  <w:style w:type="paragraph" w:customStyle="1" w:styleId="1568">
    <w:name w:val="reader-word-layer reader-word-s1-6"/>
    <w:basedOn w:val="1"/>
    <w:semiHidden/>
    <w:qFormat/>
    <w:uiPriority w:val="0"/>
    <w:pPr>
      <w:spacing w:before="100" w:beforeAutospacing="1" w:after="100" w:afterAutospacing="1"/>
    </w:pPr>
    <w:rPr>
      <w:rFonts w:ascii="宋体" w:hAnsi="宋体" w:cs="宋体"/>
      <w:sz w:val="24"/>
      <w:szCs w:val="24"/>
    </w:rPr>
  </w:style>
  <w:style w:type="paragraph" w:customStyle="1" w:styleId="1569">
    <w:name w:val="样式 样式 标题 2节H2节标题 1.1二级标题标题 lxb21.1h2第一层条二级标题 Char表标题单位名...5 + 段前..."/>
    <w:basedOn w:val="1570"/>
    <w:semiHidden/>
    <w:qFormat/>
    <w:uiPriority w:val="0"/>
    <w:pPr>
      <w:spacing w:beforeLines="0"/>
      <w:ind w:left="0" w:firstLine="0"/>
    </w:pPr>
  </w:style>
  <w:style w:type="paragraph" w:customStyle="1" w:styleId="1570">
    <w:name w:val="样式 标题 2节H2节标题 1.1二级标题标题 lxb21.1h2第一层条二级标题 Char表标题单位名...5"/>
    <w:basedOn w:val="3"/>
    <w:semiHidden/>
    <w:qFormat/>
    <w:uiPriority w:val="0"/>
    <w:pPr>
      <w:spacing w:beforeLines="50" w:line="360" w:lineRule="auto"/>
      <w:ind w:left="578" w:hanging="578"/>
    </w:pPr>
    <w:rPr>
      <w:rFonts w:ascii="黑体" w:hAnsi="Arial" w:cs="宋体"/>
      <w:sz w:val="30"/>
      <w:szCs w:val="20"/>
    </w:rPr>
  </w:style>
  <w:style w:type="paragraph" w:customStyle="1" w:styleId="1571">
    <w:name w:val="样式 标题 1§1.章章标题 1章节H1一、一级标题(章)一级标题Ch章节标题b1heading 1H..."/>
    <w:basedOn w:val="2"/>
    <w:semiHidden/>
    <w:qFormat/>
    <w:uiPriority w:val="0"/>
    <w:pPr>
      <w:spacing w:before="360" w:after="60" w:line="480" w:lineRule="auto"/>
    </w:pPr>
    <w:rPr>
      <w:rFonts w:ascii="黑体" w:hAnsi="宋体" w:cs="宋体"/>
    </w:rPr>
  </w:style>
  <w:style w:type="paragraph" w:customStyle="1" w:styleId="1572">
    <w:name w:val="默认段落字体 Para Char Char Char Char Char"/>
    <w:basedOn w:val="1"/>
    <w:semiHidden/>
    <w:qFormat/>
    <w:uiPriority w:val="0"/>
    <w:pPr>
      <w:spacing w:line="360" w:lineRule="auto"/>
      <w:ind w:firstLine="640" w:firstLineChars="200"/>
    </w:pPr>
    <w:rPr>
      <w:sz w:val="24"/>
      <w:szCs w:val="24"/>
    </w:rPr>
  </w:style>
  <w:style w:type="paragraph" w:customStyle="1" w:styleId="1573">
    <w:name w:val="南陵文字 Char"/>
    <w:basedOn w:val="1"/>
    <w:semiHidden/>
    <w:qFormat/>
    <w:uiPriority w:val="0"/>
    <w:pPr>
      <w:adjustRightInd w:val="0"/>
      <w:spacing w:after="120"/>
      <w:ind w:firstLine="482"/>
      <w:textAlignment w:val="baseline"/>
    </w:pPr>
    <w:rPr>
      <w:sz w:val="24"/>
      <w:szCs w:val="21"/>
    </w:rPr>
  </w:style>
  <w:style w:type="paragraph" w:customStyle="1" w:styleId="1574">
    <w:name w:val="9"/>
    <w:basedOn w:val="1"/>
    <w:next w:val="1"/>
    <w:semiHidden/>
    <w:qFormat/>
    <w:uiPriority w:val="0"/>
    <w:pPr>
      <w:ind w:firstLine="480"/>
    </w:pPr>
    <w:rPr>
      <w:color w:val="FF0000"/>
      <w:szCs w:val="21"/>
    </w:rPr>
  </w:style>
  <w:style w:type="paragraph" w:customStyle="1" w:styleId="1575">
    <w:name w:val="样式 标题 2标题2二级 标题 2H2h2第一层条标题 2 Char节标题1 + (中文) 宋体 小四 两端..."/>
    <w:basedOn w:val="3"/>
    <w:semiHidden/>
    <w:qFormat/>
    <w:uiPriority w:val="0"/>
    <w:pPr>
      <w:widowControl w:val="0"/>
      <w:tabs>
        <w:tab w:val="left" w:pos="0"/>
      </w:tabs>
      <w:adjustRightInd w:val="0"/>
      <w:spacing w:before="240" w:after="240" w:line="312" w:lineRule="auto"/>
      <w:ind w:left="-144" w:firstLine="144"/>
      <w:jc w:val="both"/>
      <w:textAlignment w:val="baseline"/>
    </w:pPr>
    <w:rPr>
      <w:sz w:val="24"/>
      <w:szCs w:val="20"/>
    </w:rPr>
  </w:style>
  <w:style w:type="paragraph" w:customStyle="1" w:styleId="1576">
    <w:name w:val="样式 标题 4条标题1.1.1.1款标题1.1.1.1 + (符号) 宋体 黑色 行距: 固定值 28 磅"/>
    <w:basedOn w:val="5"/>
    <w:semiHidden/>
    <w:qFormat/>
    <w:uiPriority w:val="0"/>
    <w:pPr>
      <w:numPr>
        <w:ilvl w:val="0"/>
        <w:numId w:val="0"/>
      </w:numPr>
      <w:spacing w:line="480" w:lineRule="auto"/>
      <w:ind w:left="864" w:hanging="864"/>
    </w:pPr>
    <w:rPr>
      <w:rFonts w:ascii="宋体" w:hAnsi="宋体" w:cs="宋体"/>
      <w:color w:val="000000"/>
      <w:szCs w:val="20"/>
    </w:rPr>
  </w:style>
  <w:style w:type="paragraph" w:customStyle="1" w:styleId="1577">
    <w:name w:val="兴化美联表格"/>
    <w:basedOn w:val="1"/>
    <w:semiHidden/>
    <w:qFormat/>
    <w:uiPriority w:val="0"/>
    <w:pPr>
      <w:jc w:val="center"/>
    </w:pPr>
    <w:rPr>
      <w:rFonts w:ascii="宋体" w:hAnsi="宋体" w:cs="宋体"/>
      <w:szCs w:val="24"/>
    </w:rPr>
  </w:style>
  <w:style w:type="paragraph" w:customStyle="1" w:styleId="1578">
    <w:name w:val="7"/>
    <w:basedOn w:val="1"/>
    <w:next w:val="1"/>
    <w:semiHidden/>
    <w:qFormat/>
    <w:uiPriority w:val="0"/>
    <w:pPr>
      <w:tabs>
        <w:tab w:val="left" w:pos="780"/>
      </w:tabs>
      <w:spacing w:before="120" w:line="300" w:lineRule="auto"/>
      <w:ind w:left="780" w:leftChars="200" w:hanging="360" w:hangingChars="200"/>
      <w:outlineLvl w:val="1"/>
    </w:pPr>
    <w:rPr>
      <w:rFonts w:eastAsia="仿宋_GB2312"/>
      <w:kern w:val="28"/>
      <w:szCs w:val="21"/>
    </w:rPr>
  </w:style>
  <w:style w:type="paragraph" w:customStyle="1" w:styleId="1579">
    <w:name w:val="样式 3级 + 段前: 0.5 行 段后: 0.5 行"/>
    <w:basedOn w:val="1562"/>
    <w:semiHidden/>
    <w:qFormat/>
    <w:uiPriority w:val="0"/>
    <w:pPr>
      <w:spacing w:beforeLines="0" w:afterLines="0"/>
    </w:pPr>
  </w:style>
  <w:style w:type="paragraph" w:customStyle="1" w:styleId="1580">
    <w:name w:val="标题标题 3"/>
    <w:basedOn w:val="3"/>
    <w:semiHidden/>
    <w:qFormat/>
    <w:uiPriority w:val="0"/>
    <w:pPr>
      <w:spacing w:line="360" w:lineRule="auto"/>
    </w:pPr>
    <w:rPr>
      <w:rFonts w:ascii="黑体" w:hAnsi="黑体" w:cs="宋体"/>
      <w:color w:val="000000"/>
      <w:sz w:val="24"/>
    </w:rPr>
  </w:style>
  <w:style w:type="paragraph" w:customStyle="1" w:styleId="1581">
    <w:name w:val="正文4"/>
    <w:basedOn w:val="1"/>
    <w:semiHidden/>
    <w:qFormat/>
    <w:uiPriority w:val="0"/>
    <w:pPr>
      <w:autoSpaceDE w:val="0"/>
      <w:autoSpaceDN w:val="0"/>
      <w:snapToGrid w:val="0"/>
      <w:spacing w:after="160" w:line="440" w:lineRule="exact"/>
      <w:ind w:left="567" w:hanging="567"/>
      <w:textAlignment w:val="bottom"/>
    </w:pPr>
    <w:rPr>
      <w:rFonts w:eastAsia="仿宋_GB2312"/>
      <w:sz w:val="28"/>
      <w:szCs w:val="21"/>
    </w:rPr>
  </w:style>
  <w:style w:type="paragraph" w:customStyle="1" w:styleId="1582">
    <w:name w:val="Char Char Char Char Char Char1 Char Char Char Char Char Char Char Char Char Char Char Char"/>
    <w:basedOn w:val="1"/>
    <w:semiHidden/>
    <w:qFormat/>
    <w:uiPriority w:val="0"/>
    <w:rPr>
      <w:szCs w:val="24"/>
    </w:rPr>
  </w:style>
  <w:style w:type="paragraph" w:customStyle="1" w:styleId="1583">
    <w:name w:val="样式 兴化美联正文样式 + 自动设置1"/>
    <w:basedOn w:val="974"/>
    <w:semiHidden/>
    <w:qFormat/>
    <w:uiPriority w:val="0"/>
    <w:rPr>
      <w:kern w:val="2"/>
    </w:rPr>
  </w:style>
  <w:style w:type="paragraph" w:customStyle="1" w:styleId="1584">
    <w:name w:val="样式 正文文本缩进 3 + 行距: 固定值 19 磅"/>
    <w:basedOn w:val="65"/>
    <w:semiHidden/>
    <w:qFormat/>
    <w:uiPriority w:val="0"/>
    <w:pPr>
      <w:spacing w:line="380" w:lineRule="exact"/>
      <w:ind w:left="0" w:leftChars="0"/>
      <w:jc w:val="center"/>
    </w:pPr>
    <w:rPr>
      <w:rFonts w:cs="宋体"/>
      <w:szCs w:val="20"/>
    </w:rPr>
  </w:style>
  <w:style w:type="paragraph" w:customStyle="1" w:styleId="1585">
    <w:name w:val="小标题@"/>
    <w:basedOn w:val="1"/>
    <w:semiHidden/>
    <w:qFormat/>
    <w:uiPriority w:val="0"/>
    <w:pPr>
      <w:tabs>
        <w:tab w:val="left" w:pos="1800"/>
      </w:tabs>
      <w:spacing w:before="120" w:after="60" w:line="312" w:lineRule="auto"/>
    </w:pPr>
    <w:rPr>
      <w:rFonts w:eastAsia="仿宋_GB2312"/>
      <w:sz w:val="24"/>
      <w:szCs w:val="21"/>
    </w:rPr>
  </w:style>
  <w:style w:type="paragraph" w:customStyle="1" w:styleId="1586">
    <w:name w:val="表中正文"/>
    <w:basedOn w:val="1"/>
    <w:semiHidden/>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szCs w:val="24"/>
    </w:rPr>
  </w:style>
  <w:style w:type="paragraph" w:customStyle="1" w:styleId="1587">
    <w:name w:val="样式 样式 样式 样式 样式 标题 3标题 3 Char + 段前: 1 行 段后: 1 行 + 段前: 1 行 段后: 1 行..."/>
    <w:basedOn w:val="1"/>
    <w:semiHidden/>
    <w:qFormat/>
    <w:uiPriority w:val="0"/>
    <w:pPr>
      <w:keepNext/>
      <w:keepLines/>
      <w:tabs>
        <w:tab w:val="left" w:pos="1860"/>
      </w:tabs>
      <w:spacing w:before="95" w:after="190"/>
      <w:ind w:left="2470"/>
      <w:outlineLvl w:val="2"/>
    </w:pPr>
    <w:rPr>
      <w:rFonts w:eastAsia="黑体"/>
      <w:sz w:val="30"/>
      <w:szCs w:val="21"/>
    </w:rPr>
  </w:style>
  <w:style w:type="paragraph" w:customStyle="1" w:styleId="1588">
    <w:name w:val="样式 纯文本标题2 + 段前: 0.5 行"/>
    <w:basedOn w:val="40"/>
    <w:semiHidden/>
    <w:qFormat/>
    <w:uiPriority w:val="0"/>
    <w:pPr>
      <w:keepNext/>
      <w:keepLines/>
      <w:spacing w:beforeLines="50" w:line="360" w:lineRule="auto"/>
      <w:ind w:left="576" w:hanging="576"/>
      <w:outlineLvl w:val="1"/>
    </w:pPr>
    <w:rPr>
      <w:rFonts w:ascii="宋体" w:hAnsi="Courier New" w:cs="宋体"/>
      <w:bCs/>
      <w:sz w:val="30"/>
      <w:szCs w:val="24"/>
    </w:rPr>
  </w:style>
  <w:style w:type="paragraph" w:customStyle="1" w:styleId="1589">
    <w:name w:val="样式 居中1"/>
    <w:basedOn w:val="1"/>
    <w:semiHidden/>
    <w:qFormat/>
    <w:uiPriority w:val="0"/>
    <w:pPr>
      <w:jc w:val="center"/>
    </w:pPr>
    <w:rPr>
      <w:rFonts w:ascii="宋体" w:hAnsi="宋体" w:cs="宋体"/>
      <w:szCs w:val="21"/>
    </w:rPr>
  </w:style>
  <w:style w:type="paragraph" w:customStyle="1" w:styleId="1590">
    <w:name w:val="正文31"/>
    <w:basedOn w:val="1"/>
    <w:semiHidden/>
    <w:qFormat/>
    <w:uiPriority w:val="0"/>
    <w:pPr>
      <w:autoSpaceDE w:val="0"/>
      <w:autoSpaceDN w:val="0"/>
      <w:snapToGrid w:val="0"/>
      <w:spacing w:after="160" w:line="440" w:lineRule="exact"/>
      <w:ind w:left="567" w:hanging="340"/>
      <w:textAlignment w:val="bottom"/>
    </w:pPr>
    <w:rPr>
      <w:rFonts w:eastAsia="仿宋_GB2312"/>
      <w:color w:val="000000"/>
      <w:sz w:val="28"/>
      <w:szCs w:val="21"/>
    </w:rPr>
  </w:style>
  <w:style w:type="paragraph" w:customStyle="1" w:styleId="1591">
    <w:name w:val="表格文本：5+居中+单倍行距"/>
    <w:basedOn w:val="1532"/>
    <w:semiHidden/>
    <w:qFormat/>
    <w:uiPriority w:val="0"/>
    <w:pPr>
      <w:ind w:firstLine="0" w:firstLineChars="0"/>
      <w:jc w:val="center"/>
    </w:pPr>
    <w:rPr>
      <w:sz w:val="21"/>
    </w:rPr>
  </w:style>
  <w:style w:type="paragraph" w:customStyle="1" w:styleId="1592">
    <w:name w:val="样式 标题 2 + 两端对齐 段前: 12 磅 段后: 12 磅 行距: 多倍行距 1.3 字行"/>
    <w:basedOn w:val="3"/>
    <w:semiHidden/>
    <w:qFormat/>
    <w:uiPriority w:val="0"/>
    <w:pPr>
      <w:widowControl w:val="0"/>
      <w:tabs>
        <w:tab w:val="left" w:pos="576"/>
      </w:tabs>
      <w:spacing w:before="240" w:after="240" w:line="312" w:lineRule="auto"/>
      <w:jc w:val="both"/>
    </w:pPr>
    <w:rPr>
      <w:color w:val="000000"/>
      <w:szCs w:val="20"/>
    </w:rPr>
  </w:style>
  <w:style w:type="paragraph" w:customStyle="1" w:styleId="1593">
    <w:name w:val="样式 样式 兴化美联正文样式 + 自动设置 + 居中"/>
    <w:basedOn w:val="1387"/>
    <w:semiHidden/>
    <w:qFormat/>
    <w:uiPriority w:val="0"/>
    <w:pPr>
      <w:jc w:val="center"/>
    </w:pPr>
    <w:rPr>
      <w:szCs w:val="20"/>
    </w:rPr>
  </w:style>
  <w:style w:type="paragraph" w:customStyle="1" w:styleId="1594">
    <w:name w:val="兴化表格内容"/>
    <w:basedOn w:val="1"/>
    <w:semiHidden/>
    <w:qFormat/>
    <w:uiPriority w:val="0"/>
    <w:pPr>
      <w:jc w:val="center"/>
    </w:pPr>
    <w:rPr>
      <w:rFonts w:ascii="宋体" w:hAnsi="宋体" w:cs="宋体"/>
      <w:sz w:val="24"/>
      <w:szCs w:val="24"/>
    </w:rPr>
  </w:style>
  <w:style w:type="paragraph" w:customStyle="1" w:styleId="1595">
    <w:name w:val="天康正文"/>
    <w:basedOn w:val="1596"/>
    <w:semiHidden/>
    <w:qFormat/>
    <w:uiPriority w:val="0"/>
    <w:pPr>
      <w:spacing w:line="560" w:lineRule="exact"/>
    </w:pPr>
    <w:rPr>
      <w:szCs w:val="20"/>
    </w:rPr>
  </w:style>
  <w:style w:type="paragraph" w:customStyle="1" w:styleId="1596">
    <w:name w:val="正文文本2"/>
    <w:basedOn w:val="70"/>
    <w:next w:val="29"/>
    <w:semiHidden/>
    <w:qFormat/>
    <w:uiPriority w:val="0"/>
    <w:pPr>
      <w:spacing w:after="0" w:line="360" w:lineRule="auto"/>
      <w:ind w:firstLine="200" w:firstLineChars="200"/>
    </w:pPr>
    <w:rPr>
      <w:rFonts w:ascii="宋体" w:hAnsi="宋体" w:cs="宋体"/>
      <w:spacing w:val="8"/>
      <w:sz w:val="24"/>
      <w:szCs w:val="24"/>
    </w:rPr>
  </w:style>
  <w:style w:type="paragraph" w:customStyle="1" w:styleId="1597">
    <w:name w:val="样式 标题 2节H2节标题 1.1二级标题标题 lxb21.1h2第一层条二级标题 Char表标题单位名...4"/>
    <w:basedOn w:val="3"/>
    <w:semiHidden/>
    <w:qFormat/>
    <w:uiPriority w:val="0"/>
    <w:pPr>
      <w:spacing w:beforeLines="50" w:line="360" w:lineRule="auto"/>
      <w:ind w:left="578" w:hanging="578"/>
    </w:pPr>
    <w:rPr>
      <w:rFonts w:ascii="黑体" w:hAnsi="Arial" w:cs="宋体"/>
      <w:sz w:val="30"/>
      <w:szCs w:val="20"/>
    </w:rPr>
  </w:style>
  <w:style w:type="paragraph" w:customStyle="1" w:styleId="1598">
    <w:name w:val="表格文本：5+两端对齐+单倍行距"/>
    <w:basedOn w:val="1591"/>
    <w:semiHidden/>
    <w:qFormat/>
    <w:uiPriority w:val="0"/>
    <w:pPr>
      <w:jc w:val="both"/>
    </w:pPr>
  </w:style>
  <w:style w:type="paragraph" w:customStyle="1" w:styleId="1599">
    <w:name w:val="Char Char1 Char Char Char Char Char Char Char Char Char Char Char"/>
    <w:basedOn w:val="1"/>
    <w:semiHidden/>
    <w:qFormat/>
    <w:uiPriority w:val="0"/>
    <w:rPr>
      <w:rFonts w:ascii="宋体" w:hAnsi="宋体" w:cs="宋体"/>
      <w:sz w:val="24"/>
      <w:szCs w:val="24"/>
    </w:rPr>
  </w:style>
  <w:style w:type="paragraph" w:customStyle="1" w:styleId="1600">
    <w:name w:val="6"/>
    <w:basedOn w:val="1"/>
    <w:next w:val="75"/>
    <w:semiHidden/>
    <w:qFormat/>
    <w:uiPriority w:val="0"/>
    <w:pPr>
      <w:snapToGrid w:val="0"/>
      <w:spacing w:before="100" w:beforeAutospacing="1" w:after="100" w:afterAutospacing="1"/>
    </w:pPr>
    <w:rPr>
      <w:rFonts w:ascii="Arial Unicode MS" w:hAnsi="Arial Unicode MS" w:eastAsia="Arial Unicode MS"/>
      <w:color w:val="000000"/>
      <w:szCs w:val="21"/>
    </w:rPr>
  </w:style>
  <w:style w:type="paragraph" w:customStyle="1" w:styleId="1601">
    <w:name w:val="样式 标题 3标题3H3h33rd level第二层条头 + 小四 加粗 左侧:  0 厘米 首行缩进:  0..."/>
    <w:basedOn w:val="4"/>
    <w:semiHidden/>
    <w:qFormat/>
    <w:uiPriority w:val="0"/>
    <w:pPr>
      <w:widowControl w:val="0"/>
      <w:tabs>
        <w:tab w:val="left" w:pos="607"/>
      </w:tabs>
      <w:adjustRightInd w:val="0"/>
      <w:spacing w:before="312" w:after="156"/>
      <w:ind w:left="607" w:hanging="607"/>
      <w:textAlignment w:val="baseline"/>
    </w:pPr>
    <w:rPr>
      <w:rFonts w:eastAsia="仿宋_GB2312"/>
      <w:sz w:val="24"/>
    </w:rPr>
  </w:style>
  <w:style w:type="paragraph" w:customStyle="1" w:styleId="1602">
    <w:name w:val="1.1.1标题3"/>
    <w:basedOn w:val="4"/>
    <w:next w:val="29"/>
    <w:semiHidden/>
    <w:qFormat/>
    <w:uiPriority w:val="0"/>
    <w:pPr>
      <w:spacing w:line="360" w:lineRule="auto"/>
      <w:ind w:left="720" w:hanging="720"/>
    </w:pPr>
    <w:rPr>
      <w:rFonts w:ascii="宋体" w:hAnsi="宋体" w:cs="宋体"/>
      <w:sz w:val="28"/>
      <w:szCs w:val="28"/>
    </w:rPr>
  </w:style>
  <w:style w:type="paragraph" w:customStyle="1" w:styleId="1603">
    <w:name w:val="Char Char Char Char Char Char Char Char Char1 Char Char Char Char Char Char Char Char Char Char Char Char Char Char Char Char Char Char Char Char Char Char"/>
    <w:basedOn w:val="1"/>
    <w:semiHidden/>
    <w:qFormat/>
    <w:uiPriority w:val="0"/>
    <w:rPr>
      <w:sz w:val="24"/>
      <w:szCs w:val="24"/>
    </w:rPr>
  </w:style>
  <w:style w:type="paragraph" w:customStyle="1" w:styleId="1604">
    <w:name w:val="样式 标题 4 + 段前: 7.8 磅"/>
    <w:basedOn w:val="5"/>
    <w:semiHidden/>
    <w:qFormat/>
    <w:uiPriority w:val="0"/>
    <w:pPr>
      <w:numPr>
        <w:ilvl w:val="0"/>
        <w:numId w:val="0"/>
      </w:numPr>
      <w:tabs>
        <w:tab w:val="left" w:pos="864"/>
      </w:tabs>
      <w:spacing w:before="156" w:line="240" w:lineRule="auto"/>
      <w:ind w:left="864" w:hanging="864"/>
    </w:pPr>
    <w:rPr>
      <w:rFonts w:eastAsia="仿宋_GB2312"/>
      <w:bCs w:val="0"/>
      <w:kern w:val="2"/>
      <w:szCs w:val="20"/>
    </w:rPr>
  </w:style>
  <w:style w:type="paragraph" w:customStyle="1" w:styleId="1605">
    <w:name w:val="样式 标题 3sect1.2.3sect1.2.31h3H3sect1.2.32sect1.2.311sect1...."/>
    <w:basedOn w:val="4"/>
    <w:semiHidden/>
    <w:qFormat/>
    <w:uiPriority w:val="0"/>
    <w:pPr>
      <w:spacing w:line="360" w:lineRule="auto"/>
    </w:pPr>
    <w:rPr>
      <w:rFonts w:ascii="黑体" w:hAnsi="黑体" w:cs="宋体"/>
      <w:color w:val="FF0000"/>
      <w:sz w:val="24"/>
    </w:rPr>
  </w:style>
  <w:style w:type="paragraph" w:customStyle="1" w:styleId="1606">
    <w:name w:val="空行"/>
    <w:basedOn w:val="1"/>
    <w:semiHidden/>
    <w:qFormat/>
    <w:uiPriority w:val="0"/>
    <w:pPr>
      <w:spacing w:line="300" w:lineRule="exact"/>
      <w:ind w:firstLine="482"/>
    </w:pPr>
    <w:rPr>
      <w:sz w:val="24"/>
      <w:szCs w:val="21"/>
    </w:rPr>
  </w:style>
  <w:style w:type="paragraph" w:customStyle="1" w:styleId="1607">
    <w:name w:val="Char Char Char Char Char Char1 Char Char Char"/>
    <w:basedOn w:val="1"/>
    <w:semiHidden/>
    <w:qFormat/>
    <w:uiPriority w:val="0"/>
    <w:rPr>
      <w:rFonts w:ascii="宋体" w:hAnsi="宋体" w:cs="宋体"/>
      <w:sz w:val="24"/>
      <w:szCs w:val="24"/>
    </w:rPr>
  </w:style>
  <w:style w:type="paragraph" w:customStyle="1" w:styleId="1608">
    <w:name w:val="样式 正文缩进 + 首行缩进:  2 字符"/>
    <w:basedOn w:val="18"/>
    <w:semiHidden/>
    <w:qFormat/>
    <w:uiPriority w:val="0"/>
    <w:pPr>
      <w:autoSpaceDE w:val="0"/>
      <w:autoSpaceDN w:val="0"/>
      <w:adjustRightInd w:val="0"/>
      <w:ind w:firstLine="480"/>
    </w:pPr>
    <w:rPr>
      <w:rFonts w:ascii="仿宋_GB2312" w:eastAsia="仿宋_GB2312" w:cs="宋体" w:hAnsiTheme="minorHAnsi"/>
      <w:sz w:val="24"/>
    </w:rPr>
  </w:style>
  <w:style w:type="paragraph" w:customStyle="1" w:styleId="1609">
    <w:name w:val="编号"/>
    <w:basedOn w:val="1"/>
    <w:semiHidden/>
    <w:qFormat/>
    <w:uiPriority w:val="0"/>
    <w:pPr>
      <w:tabs>
        <w:tab w:val="left" w:pos="360"/>
        <w:tab w:val="left" w:pos="1800"/>
      </w:tabs>
      <w:spacing w:line="312" w:lineRule="auto"/>
      <w:ind w:left="360" w:hanging="360"/>
    </w:pPr>
    <w:rPr>
      <w:rFonts w:ascii="Courier New" w:hAnsi="Courier New" w:eastAsia="仿宋_GB2312"/>
      <w:sz w:val="24"/>
      <w:szCs w:val="21"/>
    </w:rPr>
  </w:style>
  <w:style w:type="paragraph" w:customStyle="1" w:styleId="1610">
    <w:name w:val="表头！！！！！！！！！！！！！！！"/>
    <w:basedOn w:val="1"/>
    <w:semiHidden/>
    <w:qFormat/>
    <w:uiPriority w:val="0"/>
    <w:pPr>
      <w:spacing w:line="500" w:lineRule="exact"/>
      <w:jc w:val="center"/>
    </w:pPr>
    <w:rPr>
      <w:rFonts w:ascii="宋体" w:hAnsi="宋体" w:cs="宋体"/>
      <w:b/>
      <w:sz w:val="24"/>
      <w:szCs w:val="24"/>
    </w:rPr>
  </w:style>
  <w:style w:type="paragraph" w:customStyle="1" w:styleId="1611">
    <w:name w:val="表文1"/>
    <w:basedOn w:val="1"/>
    <w:semiHidden/>
    <w:qFormat/>
    <w:uiPriority w:val="0"/>
    <w:pPr>
      <w:autoSpaceDE w:val="0"/>
      <w:autoSpaceDN w:val="0"/>
      <w:adjustRightInd w:val="0"/>
      <w:snapToGrid w:val="0"/>
    </w:pPr>
    <w:rPr>
      <w:szCs w:val="21"/>
    </w:rPr>
  </w:style>
  <w:style w:type="paragraph" w:customStyle="1" w:styleId="1612">
    <w:name w:val="reader-word-layer reader-word-s1-1"/>
    <w:basedOn w:val="1"/>
    <w:semiHidden/>
    <w:qFormat/>
    <w:uiPriority w:val="0"/>
    <w:pPr>
      <w:spacing w:before="100" w:beforeAutospacing="1" w:after="100" w:afterAutospacing="1"/>
    </w:pPr>
    <w:rPr>
      <w:rFonts w:ascii="宋体" w:hAnsi="宋体" w:cs="宋体"/>
      <w:sz w:val="24"/>
      <w:szCs w:val="24"/>
    </w:rPr>
  </w:style>
  <w:style w:type="paragraph" w:customStyle="1" w:styleId="1613">
    <w:name w:val="表格03"/>
    <w:basedOn w:val="1"/>
    <w:semiHidden/>
    <w:qFormat/>
    <w:uiPriority w:val="0"/>
    <w:pPr>
      <w:snapToGrid w:val="0"/>
      <w:spacing w:line="400" w:lineRule="exact"/>
      <w:jc w:val="center"/>
    </w:pPr>
    <w:rPr>
      <w:szCs w:val="21"/>
    </w:rPr>
  </w:style>
  <w:style w:type="paragraph" w:customStyle="1" w:styleId="1614">
    <w:name w:val="三级"/>
    <w:basedOn w:val="4"/>
    <w:next w:val="29"/>
    <w:semiHidden/>
    <w:qFormat/>
    <w:uiPriority w:val="0"/>
    <w:pPr>
      <w:spacing w:line="360" w:lineRule="auto"/>
      <w:ind w:left="870" w:hanging="870"/>
    </w:pPr>
    <w:rPr>
      <w:rFonts w:ascii="宋体" w:hAnsi="宋体" w:cs="宋体"/>
      <w:sz w:val="28"/>
      <w:szCs w:val="28"/>
    </w:rPr>
  </w:style>
  <w:style w:type="paragraph" w:customStyle="1" w:styleId="1615">
    <w:name w:val="样式 标题 2标题2H2h2第一层条 + 黑色"/>
    <w:basedOn w:val="3"/>
    <w:semiHidden/>
    <w:qFormat/>
    <w:uiPriority w:val="0"/>
    <w:pPr>
      <w:widowControl w:val="0"/>
      <w:tabs>
        <w:tab w:val="left" w:pos="1800"/>
      </w:tabs>
      <w:adjustRightInd w:val="0"/>
      <w:spacing w:before="240" w:after="240" w:line="312" w:lineRule="auto"/>
      <w:jc w:val="both"/>
      <w:textAlignment w:val="baseline"/>
    </w:pPr>
    <w:rPr>
      <w:rFonts w:eastAsia="仿宋_GB2312"/>
      <w:color w:val="000000"/>
      <w:sz w:val="24"/>
      <w:szCs w:val="20"/>
    </w:rPr>
  </w:style>
  <w:style w:type="paragraph" w:customStyle="1" w:styleId="1616">
    <w:name w:val="样式 标题 3H3B Head标题 3 Char条标题1.1.1三级标题标题3h33rd level第二层条...4"/>
    <w:basedOn w:val="4"/>
    <w:semiHidden/>
    <w:qFormat/>
    <w:uiPriority w:val="0"/>
    <w:pPr>
      <w:spacing w:before="156" w:line="360" w:lineRule="auto"/>
      <w:ind w:left="870" w:hanging="870"/>
    </w:pPr>
    <w:rPr>
      <w:rFonts w:ascii="宋体" w:hAnsi="宋体" w:cs="宋体"/>
      <w:sz w:val="28"/>
      <w:szCs w:val="28"/>
    </w:rPr>
  </w:style>
  <w:style w:type="paragraph" w:customStyle="1" w:styleId="1617">
    <w:name w:val="样式 样式 标题 4标题3H3h33rd level第二层条头 + 宋体 + 段前: 1 行2"/>
    <w:basedOn w:val="1601"/>
    <w:semiHidden/>
    <w:qFormat/>
    <w:uiPriority w:val="0"/>
    <w:pPr>
      <w:tabs>
        <w:tab w:val="left" w:pos="0"/>
        <w:tab w:val="clear" w:pos="607"/>
      </w:tabs>
      <w:ind w:left="720" w:hanging="720"/>
    </w:pPr>
  </w:style>
  <w:style w:type="paragraph" w:customStyle="1" w:styleId="1618">
    <w:name w:val="reader-word-layer reader-word-s1-5"/>
    <w:basedOn w:val="1"/>
    <w:semiHidden/>
    <w:qFormat/>
    <w:uiPriority w:val="0"/>
    <w:pPr>
      <w:spacing w:before="100" w:beforeAutospacing="1" w:after="100" w:afterAutospacing="1"/>
    </w:pPr>
    <w:rPr>
      <w:rFonts w:ascii="宋体" w:hAnsi="宋体" w:cs="宋体"/>
      <w:sz w:val="24"/>
      <w:szCs w:val="24"/>
    </w:rPr>
  </w:style>
  <w:style w:type="paragraph" w:customStyle="1" w:styleId="1619">
    <w:name w:val="reader-word-layer reader-word-s1-8"/>
    <w:basedOn w:val="1"/>
    <w:semiHidden/>
    <w:qFormat/>
    <w:uiPriority w:val="0"/>
    <w:pPr>
      <w:spacing w:before="100" w:beforeAutospacing="1" w:after="100" w:afterAutospacing="1"/>
    </w:pPr>
    <w:rPr>
      <w:rFonts w:ascii="宋体" w:hAnsi="宋体" w:cs="宋体"/>
      <w:sz w:val="24"/>
      <w:szCs w:val="24"/>
    </w:rPr>
  </w:style>
  <w:style w:type="paragraph" w:customStyle="1" w:styleId="1620">
    <w:name w:val="样式 标题 1"/>
    <w:basedOn w:val="2"/>
    <w:semiHidden/>
    <w:qFormat/>
    <w:uiPriority w:val="0"/>
    <w:pPr>
      <w:spacing w:before="0" w:after="0" w:line="360" w:lineRule="auto"/>
    </w:pPr>
    <w:rPr>
      <w:rFonts w:ascii="宋体" w:hAnsi="宋体" w:cs="宋体"/>
      <w:sz w:val="32"/>
      <w:szCs w:val="20"/>
    </w:rPr>
  </w:style>
  <w:style w:type="paragraph" w:customStyle="1" w:styleId="1621">
    <w:name w:val="正文！！！！！！！！！！！！"/>
    <w:basedOn w:val="1"/>
    <w:semiHidden/>
    <w:qFormat/>
    <w:uiPriority w:val="0"/>
    <w:pPr>
      <w:adjustRightInd w:val="0"/>
      <w:snapToGrid w:val="0"/>
      <w:spacing w:line="500" w:lineRule="exact"/>
      <w:ind w:firstLine="480" w:firstLineChars="200"/>
    </w:pPr>
    <w:rPr>
      <w:rFonts w:ascii="楷体_GB2312" w:hAnsi="宋体" w:eastAsia="楷体_GB2312" w:cs="宋体"/>
      <w:sz w:val="24"/>
      <w:szCs w:val="21"/>
    </w:rPr>
  </w:style>
  <w:style w:type="paragraph" w:customStyle="1" w:styleId="1622">
    <w:name w:val="样式 正文缩进正文（首行缩进两字）正文缩进4正文缩进11正文（首行缩进两字） Char11正文（首行缩进两字） Cha..."/>
    <w:basedOn w:val="18"/>
    <w:semiHidden/>
    <w:qFormat/>
    <w:uiPriority w:val="0"/>
    <w:pPr>
      <w:ind w:firstLine="0" w:firstLineChars="0"/>
    </w:pPr>
    <w:rPr>
      <w:rFonts w:ascii="宋体" w:hAnsi="宋体" w:cs="宋体"/>
    </w:rPr>
  </w:style>
  <w:style w:type="paragraph" w:customStyle="1" w:styleId="1623">
    <w:name w:val="样式 正文文字 +"/>
    <w:basedOn w:val="1"/>
    <w:semiHidden/>
    <w:qFormat/>
    <w:uiPriority w:val="0"/>
    <w:pPr>
      <w:snapToGrid w:val="0"/>
      <w:spacing w:after="60" w:line="264" w:lineRule="auto"/>
      <w:ind w:firstLine="110" w:firstLineChars="110"/>
    </w:pPr>
    <w:rPr>
      <w:rFonts w:eastAsia="仿宋_GB2312"/>
      <w:snapToGrid w:val="0"/>
      <w:szCs w:val="21"/>
    </w:rPr>
  </w:style>
  <w:style w:type="paragraph" w:customStyle="1" w:styleId="1624">
    <w:name w:val="标题 1 + 段前: 0.5 行 段后: 0.5 行1"/>
    <w:basedOn w:val="1"/>
    <w:semiHidden/>
    <w:qFormat/>
    <w:uiPriority w:val="0"/>
    <w:pPr>
      <w:spacing w:before="480" w:after="360" w:line="800" w:lineRule="exact"/>
      <w:outlineLvl w:val="0"/>
    </w:pPr>
    <w:rPr>
      <w:rFonts w:ascii="宋体" w:hAnsi="宋体" w:cs="宋体"/>
      <w:kern w:val="44"/>
      <w:sz w:val="32"/>
      <w:szCs w:val="32"/>
    </w:rPr>
  </w:style>
  <w:style w:type="paragraph" w:customStyle="1" w:styleId="1625">
    <w:name w:val="正文格式28磅"/>
    <w:basedOn w:val="1"/>
    <w:semiHidden/>
    <w:qFormat/>
    <w:uiPriority w:val="0"/>
    <w:pPr>
      <w:spacing w:line="560" w:lineRule="exact"/>
      <w:ind w:firstLine="200" w:firstLineChars="200"/>
    </w:pPr>
    <w:rPr>
      <w:rFonts w:ascii="宋体" w:hAnsi="宋体" w:cs="宋体"/>
      <w:color w:val="000000"/>
      <w:spacing w:val="8"/>
      <w:sz w:val="24"/>
      <w:szCs w:val="24"/>
    </w:rPr>
  </w:style>
  <w:style w:type="paragraph" w:customStyle="1" w:styleId="1626">
    <w:name w:val="样式 标题 2标题2二级 标题 2H2h2第一层条标题 2 Char节标题 + 行距: 1.5 倍行距"/>
    <w:basedOn w:val="3"/>
    <w:semiHidden/>
    <w:qFormat/>
    <w:uiPriority w:val="0"/>
    <w:pPr>
      <w:widowControl w:val="0"/>
      <w:tabs>
        <w:tab w:val="left" w:pos="576"/>
      </w:tabs>
      <w:adjustRightInd w:val="0"/>
      <w:spacing w:before="156" w:after="156" w:line="360" w:lineRule="auto"/>
      <w:textAlignment w:val="baseline"/>
    </w:pPr>
    <w:rPr>
      <w:rFonts w:eastAsia="仿宋_GB2312"/>
      <w:sz w:val="24"/>
      <w:szCs w:val="20"/>
    </w:rPr>
  </w:style>
  <w:style w:type="paragraph" w:customStyle="1" w:styleId="1627">
    <w:name w:val="a表头标题"/>
    <w:basedOn w:val="4"/>
    <w:semiHidden/>
    <w:qFormat/>
    <w:uiPriority w:val="0"/>
    <w:pPr>
      <w:widowControl w:val="0"/>
      <w:overflowPunct w:val="0"/>
      <w:autoSpaceDE w:val="0"/>
      <w:autoSpaceDN w:val="0"/>
      <w:adjustRightInd w:val="0"/>
      <w:spacing w:before="120" w:after="10" w:line="300" w:lineRule="auto"/>
      <w:textAlignment w:val="baseline"/>
      <w:outlineLvl w:val="9"/>
    </w:pPr>
    <w:rPr>
      <w:rFonts w:ascii="楷体_GB2312" w:hAnsi="黑体" w:eastAsia="楷体_GB2312"/>
      <w:snapToGrid w:val="0"/>
      <w:color w:val="000000"/>
      <w:sz w:val="24"/>
      <w:szCs w:val="24"/>
    </w:rPr>
  </w:style>
  <w:style w:type="paragraph" w:customStyle="1" w:styleId="1628">
    <w:name w:val="Char Char Char1 Char Char Char Char Char Char Char Char Char Char Char Char Char Char Char Char Char"/>
    <w:basedOn w:val="1"/>
    <w:semiHidden/>
    <w:qFormat/>
    <w:uiPriority w:val="0"/>
    <w:rPr>
      <w:rFonts w:ascii="宋体" w:hAnsi="宋体" w:cs="宋体"/>
      <w:sz w:val="24"/>
      <w:szCs w:val="24"/>
    </w:rPr>
  </w:style>
  <w:style w:type="paragraph" w:customStyle="1" w:styleId="1629">
    <w:name w:val="样式 标题2 + 段前: 0.5 行"/>
    <w:basedOn w:val="40"/>
    <w:semiHidden/>
    <w:qFormat/>
    <w:uiPriority w:val="0"/>
    <w:pPr>
      <w:spacing w:beforeLines="50" w:line="360" w:lineRule="auto"/>
      <w:ind w:left="576" w:hanging="576"/>
      <w:outlineLvl w:val="1"/>
    </w:pPr>
    <w:rPr>
      <w:rFonts w:hAnsi="Times New Roman" w:cs="宋体"/>
      <w:bCs/>
      <w:sz w:val="30"/>
      <w:szCs w:val="24"/>
    </w:rPr>
  </w:style>
  <w:style w:type="paragraph" w:customStyle="1" w:styleId="1630">
    <w:name w:val="样式 正文格式28磅 + 首行缩进:  2 字符"/>
    <w:basedOn w:val="1625"/>
    <w:semiHidden/>
    <w:qFormat/>
    <w:uiPriority w:val="0"/>
    <w:pPr>
      <w:ind w:firstLine="512"/>
      <w:jc w:val="center"/>
    </w:pPr>
  </w:style>
  <w:style w:type="paragraph" w:customStyle="1" w:styleId="1631">
    <w:name w:val="WPS Plain"/>
    <w:basedOn w:val="1"/>
    <w:semiHidden/>
    <w:qFormat/>
    <w:uiPriority w:val="0"/>
  </w:style>
  <w:style w:type="paragraph" w:customStyle="1" w:styleId="1632">
    <w:name w:val="Char Char Char Char Char Char1 Char Char Char Char Char Char Char Char Char Char Char Char Char Char Char Char"/>
    <w:basedOn w:val="1"/>
    <w:semiHidden/>
    <w:qFormat/>
    <w:uiPriority w:val="0"/>
    <w:rPr>
      <w:szCs w:val="24"/>
    </w:rPr>
  </w:style>
  <w:style w:type="paragraph" w:customStyle="1" w:styleId="1633">
    <w:name w:val="标准文本：小4+居中+单倍行距"/>
    <w:basedOn w:val="1532"/>
    <w:semiHidden/>
    <w:qFormat/>
    <w:uiPriority w:val="0"/>
    <w:pPr>
      <w:ind w:firstLine="0" w:firstLineChars="0"/>
      <w:jc w:val="center"/>
    </w:pPr>
  </w:style>
  <w:style w:type="paragraph" w:customStyle="1" w:styleId="1634">
    <w:name w:val="Char Char Char1 Char Char"/>
    <w:basedOn w:val="1"/>
    <w:semiHidden/>
    <w:qFormat/>
    <w:uiPriority w:val="0"/>
    <w:rPr>
      <w:szCs w:val="24"/>
    </w:rPr>
  </w:style>
  <w:style w:type="paragraph" w:customStyle="1" w:styleId="1635">
    <w:name w:val="正文楷体"/>
    <w:basedOn w:val="1"/>
    <w:semiHidden/>
    <w:qFormat/>
    <w:uiPriority w:val="0"/>
    <w:pPr>
      <w:spacing w:line="500" w:lineRule="exact"/>
      <w:ind w:firstLine="200" w:firstLineChars="200"/>
    </w:pPr>
    <w:rPr>
      <w:rFonts w:ascii="宋体" w:hAnsi="宋体" w:eastAsia="楷体_GB2312"/>
      <w:sz w:val="24"/>
      <w:szCs w:val="24"/>
    </w:rPr>
  </w:style>
  <w:style w:type="paragraph" w:customStyle="1" w:styleId="1636">
    <w:name w:val="编号（2）"/>
    <w:basedOn w:val="1"/>
    <w:semiHidden/>
    <w:qFormat/>
    <w:uiPriority w:val="0"/>
    <w:pPr>
      <w:snapToGrid w:val="0"/>
      <w:spacing w:before="120" w:after="120"/>
    </w:pPr>
    <w:rPr>
      <w:rFonts w:eastAsia="仿宋_GB2312"/>
      <w:sz w:val="24"/>
      <w:szCs w:val="21"/>
    </w:rPr>
  </w:style>
  <w:style w:type="paragraph" w:customStyle="1" w:styleId="1637">
    <w:name w:val="p17"/>
    <w:basedOn w:val="1"/>
    <w:semiHidden/>
    <w:qFormat/>
    <w:uiPriority w:val="0"/>
    <w:pPr>
      <w:adjustRightInd w:val="0"/>
      <w:snapToGrid w:val="0"/>
      <w:spacing w:line="300" w:lineRule="atLeast"/>
      <w:jc w:val="center"/>
    </w:pPr>
    <w:rPr>
      <w:szCs w:val="21"/>
    </w:rPr>
  </w:style>
  <w:style w:type="paragraph" w:customStyle="1" w:styleId="1638">
    <w:name w:val="8"/>
    <w:basedOn w:val="1"/>
    <w:next w:val="1"/>
    <w:semiHidden/>
    <w:qFormat/>
    <w:uiPriority w:val="0"/>
    <w:pPr>
      <w:ind w:firstLine="480"/>
    </w:pPr>
    <w:rPr>
      <w:color w:val="FF0000"/>
      <w:szCs w:val="21"/>
    </w:rPr>
  </w:style>
  <w:style w:type="paragraph" w:customStyle="1" w:styleId="1639">
    <w:name w:val="正文缩进 2字符"/>
    <w:basedOn w:val="1"/>
    <w:semiHidden/>
    <w:qFormat/>
    <w:uiPriority w:val="0"/>
    <w:pPr>
      <w:tabs>
        <w:tab w:val="left" w:pos="1800"/>
        <w:tab w:val="left" w:pos="2160"/>
      </w:tabs>
      <w:snapToGrid w:val="0"/>
      <w:spacing w:before="120" w:after="120" w:line="312" w:lineRule="auto"/>
      <w:ind w:firstLine="480" w:firstLineChars="200"/>
    </w:pPr>
    <w:rPr>
      <w:rFonts w:eastAsia="仿宋_GB2312"/>
      <w:color w:val="000000"/>
      <w:szCs w:val="21"/>
    </w:rPr>
  </w:style>
  <w:style w:type="paragraph" w:customStyle="1" w:styleId="1640">
    <w:name w:val="样式 标题 3标题3H3h33rd level第二层条头 + (西文) 宋体 小四 段前: 12 磅 段后: ..."/>
    <w:basedOn w:val="4"/>
    <w:semiHidden/>
    <w:qFormat/>
    <w:uiPriority w:val="0"/>
    <w:pPr>
      <w:widowControl w:val="0"/>
      <w:tabs>
        <w:tab w:val="left" w:pos="1080"/>
      </w:tabs>
      <w:spacing w:before="240" w:line="413" w:lineRule="auto"/>
      <w:ind w:left="720" w:hanging="1440"/>
      <w:jc w:val="both"/>
    </w:pPr>
    <w:rPr>
      <w:rFonts w:ascii="宋体" w:eastAsia="仿宋_GB2312"/>
      <w:sz w:val="24"/>
    </w:rPr>
  </w:style>
  <w:style w:type="paragraph" w:customStyle="1" w:styleId="1641">
    <w:name w:val="样式 标题 3H3B Head标题 3 Char条标题1.1.1三级标题标题3h33rd level第二层条...2"/>
    <w:basedOn w:val="4"/>
    <w:semiHidden/>
    <w:qFormat/>
    <w:uiPriority w:val="0"/>
    <w:pPr>
      <w:spacing w:line="360" w:lineRule="auto"/>
    </w:pPr>
    <w:rPr>
      <w:rFonts w:ascii="宋体" w:hAnsi="宋体" w:cs="宋体"/>
      <w:sz w:val="28"/>
    </w:rPr>
  </w:style>
  <w:style w:type="paragraph" w:customStyle="1" w:styleId="1642">
    <w:name w:val="表头！！！！"/>
    <w:basedOn w:val="1"/>
    <w:semiHidden/>
    <w:qFormat/>
    <w:uiPriority w:val="0"/>
    <w:pPr>
      <w:spacing w:line="360" w:lineRule="auto"/>
      <w:jc w:val="center"/>
    </w:pPr>
    <w:rPr>
      <w:rFonts w:ascii="楷体_GB2312" w:hAnsi="宋体" w:eastAsia="楷体_GB2312"/>
      <w:b/>
      <w:sz w:val="24"/>
      <w:szCs w:val="24"/>
    </w:rPr>
  </w:style>
  <w:style w:type="paragraph" w:customStyle="1" w:styleId="1643">
    <w:name w:val="zi14"/>
    <w:basedOn w:val="1"/>
    <w:semiHidden/>
    <w:qFormat/>
    <w:uiPriority w:val="0"/>
    <w:pPr>
      <w:spacing w:before="100" w:beforeAutospacing="1" w:after="100" w:afterAutospacing="1"/>
    </w:pPr>
    <w:rPr>
      <w:rFonts w:ascii="宋体" w:hAnsi="宋体" w:cs="宋体"/>
      <w:b/>
      <w:bCs/>
      <w:color w:val="004499"/>
      <w:sz w:val="23"/>
      <w:szCs w:val="23"/>
    </w:rPr>
  </w:style>
  <w:style w:type="paragraph" w:customStyle="1" w:styleId="1644">
    <w:name w:val="样式 标题 3 + 小三 加粗 行距: 固定值 26 磅"/>
    <w:basedOn w:val="4"/>
    <w:semiHidden/>
    <w:qFormat/>
    <w:uiPriority w:val="0"/>
    <w:pPr>
      <w:widowControl w:val="0"/>
      <w:spacing w:line="520" w:lineRule="exact"/>
      <w:jc w:val="both"/>
    </w:pPr>
    <w:rPr>
      <w:rFonts w:cs="宋体"/>
      <w:sz w:val="28"/>
    </w:rPr>
  </w:style>
  <w:style w:type="paragraph" w:customStyle="1" w:styleId="1645">
    <w:name w:val="图表内容"/>
    <w:basedOn w:val="1"/>
    <w:link w:val="1646"/>
    <w:semiHidden/>
    <w:qFormat/>
    <w:uiPriority w:val="0"/>
    <w:pPr>
      <w:adjustRightInd w:val="0"/>
      <w:snapToGrid w:val="0"/>
      <w:jc w:val="center"/>
    </w:pPr>
    <w:rPr>
      <w:rFonts w:eastAsia="仿宋_GB2312"/>
    </w:rPr>
  </w:style>
  <w:style w:type="character" w:customStyle="1" w:styleId="1646">
    <w:name w:val="图表内容 Char"/>
    <w:basedOn w:val="109"/>
    <w:link w:val="1645"/>
    <w:semiHidden/>
    <w:qFormat/>
    <w:uiPriority w:val="0"/>
    <w:rPr>
      <w:rFonts w:eastAsia="仿宋_GB2312"/>
    </w:rPr>
  </w:style>
  <w:style w:type="paragraph" w:customStyle="1" w:styleId="1647">
    <w:name w:val="正文21"/>
    <w:basedOn w:val="1"/>
    <w:semiHidden/>
    <w:qFormat/>
    <w:uiPriority w:val="0"/>
    <w:pPr>
      <w:suppressAutoHyphens/>
      <w:adjustRightInd w:val="0"/>
      <w:snapToGrid w:val="0"/>
      <w:spacing w:line="300" w:lineRule="exact"/>
      <w:jc w:val="center"/>
    </w:pPr>
    <w:rPr>
      <w:snapToGrid w:val="0"/>
    </w:rPr>
  </w:style>
  <w:style w:type="paragraph" w:styleId="1648">
    <w:name w:val="No Spacing"/>
    <w:basedOn w:val="1"/>
    <w:semiHidden/>
    <w:qFormat/>
    <w:uiPriority w:val="0"/>
  </w:style>
  <w:style w:type="paragraph" w:customStyle="1" w:styleId="1649">
    <w:name w:val="正文5"/>
    <w:basedOn w:val="1"/>
    <w:semiHidden/>
    <w:qFormat/>
    <w:uiPriority w:val="0"/>
    <w:rPr>
      <w:szCs w:val="21"/>
    </w:rPr>
  </w:style>
  <w:style w:type="paragraph" w:customStyle="1" w:styleId="1650">
    <w:name w:val="正文6"/>
    <w:basedOn w:val="1"/>
    <w:semiHidden/>
    <w:qFormat/>
    <w:uiPriority w:val="0"/>
    <w:rPr>
      <w:szCs w:val="21"/>
    </w:rPr>
  </w:style>
  <w:style w:type="character" w:customStyle="1" w:styleId="1651">
    <w:name w:val="样式15 Char"/>
    <w:basedOn w:val="976"/>
    <w:link w:val="962"/>
    <w:semiHidden/>
    <w:qFormat/>
    <w:uiPriority w:val="0"/>
    <w:rPr>
      <w:rFonts w:ascii="宋体" w:hAnsi="宋体" w:cs="宋体"/>
      <w:b w:val="0"/>
      <w:color w:val="000000"/>
      <w:sz w:val="24"/>
      <w:szCs w:val="24"/>
    </w:rPr>
  </w:style>
  <w:style w:type="character" w:customStyle="1" w:styleId="1652">
    <w:name w:val="样式16 Char"/>
    <w:basedOn w:val="1053"/>
    <w:link w:val="668"/>
    <w:semiHidden/>
    <w:qFormat/>
    <w:uiPriority w:val="0"/>
    <w:rPr>
      <w:rFonts w:eastAsia="黑体"/>
      <w:b w:val="0"/>
      <w:color w:val="000000"/>
      <w:sz w:val="30"/>
      <w:szCs w:val="21"/>
    </w:rPr>
  </w:style>
  <w:style w:type="paragraph" w:customStyle="1" w:styleId="1653">
    <w:name w:val="表格表题"/>
    <w:basedOn w:val="1"/>
    <w:semiHidden/>
    <w:qFormat/>
    <w:uiPriority w:val="0"/>
    <w:pPr>
      <w:autoSpaceDE w:val="0"/>
      <w:autoSpaceDN w:val="0"/>
      <w:adjustRightInd w:val="0"/>
      <w:spacing w:line="480" w:lineRule="atLeast"/>
      <w:ind w:firstLine="880" w:firstLineChars="200"/>
      <w:jc w:val="center"/>
      <w:textAlignment w:val="baseline"/>
    </w:pPr>
    <w:rPr>
      <w:rFonts w:ascii="黑体" w:eastAsia="黑体"/>
      <w:kern w:val="16"/>
      <w:sz w:val="24"/>
    </w:rPr>
  </w:style>
  <w:style w:type="paragraph" w:customStyle="1" w:styleId="1654">
    <w:name w:val="T3"/>
    <w:basedOn w:val="1"/>
    <w:link w:val="1655"/>
    <w:semiHidden/>
    <w:qFormat/>
    <w:uiPriority w:val="0"/>
    <w:pPr>
      <w:spacing w:line="560" w:lineRule="exact"/>
      <w:outlineLvl w:val="2"/>
    </w:pPr>
    <w:rPr>
      <w:rFonts w:eastAsia="黑体"/>
      <w:b/>
      <w:color w:val="000000"/>
      <w:sz w:val="28"/>
      <w:szCs w:val="28"/>
    </w:rPr>
  </w:style>
  <w:style w:type="character" w:customStyle="1" w:styleId="1655">
    <w:name w:val="T3 Char"/>
    <w:basedOn w:val="109"/>
    <w:link w:val="1654"/>
    <w:semiHidden/>
    <w:qFormat/>
    <w:uiPriority w:val="0"/>
    <w:rPr>
      <w:rFonts w:eastAsia="黑体"/>
      <w:b/>
      <w:color w:val="000000"/>
      <w:sz w:val="28"/>
      <w:szCs w:val="28"/>
    </w:rPr>
  </w:style>
  <w:style w:type="paragraph" w:customStyle="1" w:styleId="1656">
    <w:name w:val="样式 标题 3H3B Head条标题1.1.1h3level_3PIM 3Level 3 HeadHeading..."/>
    <w:basedOn w:val="4"/>
    <w:semiHidden/>
    <w:qFormat/>
    <w:uiPriority w:val="0"/>
    <w:pPr>
      <w:widowControl w:val="0"/>
      <w:numPr>
        <w:numId w:val="6"/>
      </w:numPr>
      <w:spacing w:before="156"/>
      <w:ind w:left="1680" w:hanging="420"/>
      <w:jc w:val="both"/>
    </w:pPr>
    <w:rPr>
      <w:rFonts w:ascii="黑体" w:hAnsi="黑体" w:cs="宋体"/>
      <w:sz w:val="24"/>
    </w:rPr>
  </w:style>
  <w:style w:type="character" w:customStyle="1" w:styleId="1657">
    <w:name w:val="普通(网站) Char1"/>
    <w:basedOn w:val="109"/>
    <w:semiHidden/>
    <w:qFormat/>
    <w:uiPriority w:val="99"/>
    <w:rPr>
      <w:rFonts w:ascii="宋体" w:hAnsi="宋体"/>
      <w:color w:val="000000"/>
      <w:sz w:val="18"/>
      <w:szCs w:val="18"/>
    </w:rPr>
  </w:style>
  <w:style w:type="character" w:customStyle="1" w:styleId="1658">
    <w:name w:val="报告正文 Char Char Char"/>
    <w:basedOn w:val="109"/>
    <w:semiHidden/>
    <w:qFormat/>
    <w:uiPriority w:val="0"/>
    <w:rPr>
      <w:rFonts w:eastAsia="宋体"/>
      <w:kern w:val="2"/>
      <w:sz w:val="28"/>
      <w:szCs w:val="28"/>
      <w:lang w:val="en-US" w:eastAsia="zh-CN" w:bidi="ar-SA"/>
    </w:rPr>
  </w:style>
  <w:style w:type="paragraph" w:customStyle="1" w:styleId="1659">
    <w:name w:val="/表"/>
    <w:basedOn w:val="1"/>
    <w:link w:val="1660"/>
    <w:semiHidden/>
    <w:qFormat/>
    <w:uiPriority w:val="0"/>
    <w:pPr>
      <w:jc w:val="center"/>
    </w:pPr>
    <w:rPr>
      <w:rFonts w:eastAsia="黑体"/>
      <w:color w:val="000000"/>
      <w:sz w:val="24"/>
      <w:szCs w:val="24"/>
    </w:rPr>
  </w:style>
  <w:style w:type="character" w:customStyle="1" w:styleId="1660">
    <w:name w:val="/表 Char"/>
    <w:basedOn w:val="109"/>
    <w:link w:val="1659"/>
    <w:semiHidden/>
    <w:qFormat/>
    <w:uiPriority w:val="0"/>
    <w:rPr>
      <w:rFonts w:eastAsia="黑体"/>
      <w:color w:val="000000"/>
      <w:sz w:val="24"/>
      <w:szCs w:val="24"/>
    </w:rPr>
  </w:style>
  <w:style w:type="paragraph" w:customStyle="1" w:styleId="1661">
    <w:name w:val="Char Char Char Char Char Char Char Char Char Char Char Char Char Char Char Char Char Char Char Char Char Char Char Char5"/>
    <w:basedOn w:val="1"/>
    <w:semiHidden/>
    <w:qFormat/>
    <w:uiPriority w:val="0"/>
    <w:pPr>
      <w:spacing w:line="360" w:lineRule="auto"/>
    </w:pPr>
    <w:rPr>
      <w:szCs w:val="21"/>
    </w:rPr>
  </w:style>
  <w:style w:type="paragraph" w:customStyle="1" w:styleId="1662">
    <w:name w:val="普通(网站)2"/>
    <w:basedOn w:val="1"/>
    <w:semiHidden/>
    <w:qFormat/>
    <w:uiPriority w:val="0"/>
    <w:pPr>
      <w:spacing w:before="100" w:beforeAutospacing="1" w:after="100" w:afterAutospacing="1"/>
    </w:pPr>
    <w:rPr>
      <w:rFonts w:hint="eastAsia" w:ascii="宋体" w:hAnsi="宋体"/>
      <w:sz w:val="24"/>
    </w:rPr>
  </w:style>
  <w:style w:type="paragraph" w:customStyle="1" w:styleId="1663">
    <w:name w:val="正文文本 21"/>
    <w:basedOn w:val="1"/>
    <w:semiHidden/>
    <w:qFormat/>
    <w:uiPriority w:val="0"/>
    <w:pPr>
      <w:spacing w:before="60" w:line="520" w:lineRule="exact"/>
    </w:pPr>
    <w:rPr>
      <w:rFonts w:ascii="宋体"/>
      <w:spacing w:val="8"/>
      <w:sz w:val="28"/>
    </w:rPr>
  </w:style>
  <w:style w:type="paragraph" w:customStyle="1" w:styleId="1664">
    <w:name w:val="【正文】"/>
    <w:basedOn w:val="1"/>
    <w:semiHidden/>
    <w:qFormat/>
    <w:uiPriority w:val="0"/>
    <w:pPr>
      <w:spacing w:line="440" w:lineRule="exact"/>
      <w:ind w:firstLine="544" w:firstLineChars="200"/>
    </w:pPr>
    <w:rPr>
      <w:rFonts w:cs="宋体"/>
      <w:spacing w:val="16"/>
      <w:sz w:val="24"/>
      <w:szCs w:val="24"/>
    </w:rPr>
  </w:style>
  <w:style w:type="paragraph" w:customStyle="1" w:styleId="1665">
    <w:name w:val="邓图后正文"/>
    <w:basedOn w:val="1"/>
    <w:link w:val="1727"/>
    <w:semiHidden/>
    <w:qFormat/>
    <w:uiPriority w:val="0"/>
    <w:pPr>
      <w:snapToGrid w:val="0"/>
      <w:ind w:firstLine="482"/>
      <w:jc w:val="center"/>
    </w:pPr>
    <w:rPr>
      <w:rFonts w:hAnsi="黑体" w:eastAsia="黑体"/>
      <w:bCs/>
      <w:sz w:val="24"/>
      <w:szCs w:val="24"/>
    </w:rPr>
  </w:style>
  <w:style w:type="character" w:customStyle="1" w:styleId="1666">
    <w:name w:val="正文 楷体 Char Char"/>
    <w:basedOn w:val="109"/>
    <w:semiHidden/>
    <w:qFormat/>
    <w:uiPriority w:val="0"/>
    <w:rPr>
      <w:rFonts w:ascii="楷体_GB2312" w:hAnsi="楷体_GB2312" w:eastAsia="楷体_GB2312" w:cs="宋体"/>
      <w:kern w:val="2"/>
      <w:sz w:val="24"/>
      <w:szCs w:val="24"/>
    </w:rPr>
  </w:style>
  <w:style w:type="paragraph" w:customStyle="1" w:styleId="1667">
    <w:name w:val="周晟-正文"/>
    <w:basedOn w:val="1"/>
    <w:link w:val="1668"/>
    <w:semiHidden/>
    <w:qFormat/>
    <w:uiPriority w:val="0"/>
    <w:pPr>
      <w:topLinePunct/>
      <w:spacing w:line="360" w:lineRule="auto"/>
      <w:ind w:firstLine="567" w:firstLineChars="200"/>
    </w:pPr>
    <w:rPr>
      <w:rFonts w:ascii="宋体" w:hAnsi="宋体"/>
      <w:color w:val="0000FF"/>
      <w:sz w:val="24"/>
    </w:rPr>
  </w:style>
  <w:style w:type="character" w:customStyle="1" w:styleId="1668">
    <w:name w:val="周晟-正文 Char Char"/>
    <w:basedOn w:val="109"/>
    <w:link w:val="1667"/>
    <w:semiHidden/>
    <w:qFormat/>
    <w:uiPriority w:val="0"/>
    <w:rPr>
      <w:rFonts w:ascii="宋体" w:hAnsi="宋体"/>
      <w:color w:val="0000FF"/>
      <w:sz w:val="24"/>
    </w:rPr>
  </w:style>
  <w:style w:type="character" w:customStyle="1" w:styleId="1669">
    <w:name w:val="表头标题 Char Char"/>
    <w:basedOn w:val="109"/>
    <w:semiHidden/>
    <w:qFormat/>
    <w:uiPriority w:val="0"/>
    <w:rPr>
      <w:rFonts w:ascii="黑体" w:eastAsia="黑体"/>
      <w:bCs/>
      <w:color w:val="FF0000"/>
      <w:szCs w:val="21"/>
      <w:lang w:val="zh-CN"/>
    </w:rPr>
  </w:style>
  <w:style w:type="character" w:customStyle="1" w:styleId="1670">
    <w:name w:val="邓表格文字 Char"/>
    <w:basedOn w:val="109"/>
    <w:link w:val="1264"/>
    <w:semiHidden/>
    <w:qFormat/>
    <w:uiPriority w:val="0"/>
    <w:rPr>
      <w:rFonts w:ascii="宋体" w:hAnsi="宋体"/>
      <w:color w:val="000000"/>
      <w:sz w:val="15"/>
      <w:szCs w:val="15"/>
    </w:rPr>
  </w:style>
  <w:style w:type="paragraph" w:customStyle="1" w:styleId="1671">
    <w:name w:val="Char Char Char Char Char Char Char Char Char Char Char Char Char Char Char Char Char Char Char Char Char Char Char Char4"/>
    <w:basedOn w:val="1"/>
    <w:semiHidden/>
    <w:qFormat/>
    <w:uiPriority w:val="0"/>
    <w:pPr>
      <w:spacing w:line="360" w:lineRule="auto"/>
    </w:pPr>
    <w:rPr>
      <w:szCs w:val="21"/>
    </w:rPr>
  </w:style>
  <w:style w:type="character" w:customStyle="1" w:styleId="1672">
    <w:name w:val="表体 Char"/>
    <w:basedOn w:val="109"/>
    <w:link w:val="548"/>
    <w:semiHidden/>
    <w:qFormat/>
    <w:uiPriority w:val="0"/>
    <w:rPr>
      <w:rFonts w:ascii="宋体"/>
      <w:color w:val="000080"/>
      <w:kern w:val="24"/>
      <w:sz w:val="24"/>
    </w:rPr>
  </w:style>
  <w:style w:type="paragraph" w:customStyle="1" w:styleId="1673">
    <w:name w:val="表头，alt+D"/>
    <w:basedOn w:val="1"/>
    <w:semiHidden/>
    <w:qFormat/>
    <w:uiPriority w:val="0"/>
    <w:pPr>
      <w:spacing w:before="60" w:after="60" w:line="240" w:lineRule="atLeast"/>
      <w:ind w:left="-113" w:right="-113"/>
      <w:jc w:val="center"/>
      <w:textAlignment w:val="center"/>
    </w:pPr>
    <w:rPr>
      <w:color w:val="808000"/>
      <w:sz w:val="24"/>
      <w:szCs w:val="24"/>
    </w:rPr>
  </w:style>
  <w:style w:type="character" w:customStyle="1" w:styleId="1674">
    <w:name w:val="正文(首行缩进) Char1"/>
    <w:basedOn w:val="109"/>
    <w:semiHidden/>
    <w:qFormat/>
    <w:uiPriority w:val="0"/>
    <w:rPr>
      <w:rFonts w:ascii="Times New Roman" w:hAnsi="Times New Roman"/>
      <w:snapToGrid w:val="0"/>
      <w:color w:val="000000"/>
      <w:sz w:val="24"/>
      <w:szCs w:val="24"/>
    </w:rPr>
  </w:style>
  <w:style w:type="paragraph" w:customStyle="1" w:styleId="1675">
    <w:name w:val="表格内容自定"/>
    <w:basedOn w:val="1"/>
    <w:semiHidden/>
    <w:qFormat/>
    <w:uiPriority w:val="0"/>
    <w:pPr>
      <w:spacing w:line="280" w:lineRule="exact"/>
      <w:jc w:val="center"/>
    </w:pPr>
    <w:rPr>
      <w:sz w:val="18"/>
      <w:szCs w:val="21"/>
    </w:rPr>
  </w:style>
  <w:style w:type="character" w:customStyle="1" w:styleId="1676">
    <w:name w:val="表文字 Char1"/>
    <w:basedOn w:val="109"/>
    <w:link w:val="287"/>
    <w:semiHidden/>
    <w:qFormat/>
    <w:uiPriority w:val="0"/>
    <w:rPr>
      <w:rFonts w:ascii="宋体"/>
      <w:sz w:val="24"/>
    </w:rPr>
  </w:style>
  <w:style w:type="character" w:customStyle="1" w:styleId="1677">
    <w:name w:val="图名 Char"/>
    <w:basedOn w:val="109"/>
    <w:link w:val="512"/>
    <w:semiHidden/>
    <w:qFormat/>
    <w:uiPriority w:val="0"/>
    <w:rPr>
      <w:rFonts w:ascii="黑体" w:eastAsia="黑体"/>
      <w:color w:val="000000"/>
      <w:sz w:val="24"/>
      <w:szCs w:val="24"/>
    </w:rPr>
  </w:style>
  <w:style w:type="character" w:customStyle="1" w:styleId="1678">
    <w:name w:val="样式 仿宋_GB2312 四号"/>
    <w:basedOn w:val="109"/>
    <w:semiHidden/>
    <w:qFormat/>
    <w:uiPriority w:val="0"/>
    <w:rPr>
      <w:rFonts w:ascii="仿宋_GB2312" w:eastAsia="仿宋_GB2312"/>
      <w:sz w:val="28"/>
      <w:szCs w:val="28"/>
    </w:rPr>
  </w:style>
  <w:style w:type="paragraph" w:customStyle="1" w:styleId="1679">
    <w:name w:val="cardlist-value"/>
    <w:basedOn w:val="1"/>
    <w:semiHidden/>
    <w:qFormat/>
    <w:uiPriority w:val="0"/>
    <w:pPr>
      <w:spacing w:before="100" w:beforeAutospacing="1" w:after="100" w:afterAutospacing="1"/>
    </w:pPr>
    <w:rPr>
      <w:rFonts w:ascii="宋体" w:hAnsi="宋体" w:cs="宋体"/>
      <w:sz w:val="24"/>
      <w:szCs w:val="24"/>
    </w:rPr>
  </w:style>
  <w:style w:type="character" w:customStyle="1" w:styleId="1680">
    <w:name w:val="1正文段落 Char"/>
    <w:basedOn w:val="109"/>
    <w:link w:val="908"/>
    <w:semiHidden/>
    <w:qFormat/>
    <w:uiPriority w:val="0"/>
    <w:rPr>
      <w:snapToGrid w:val="0"/>
      <w:sz w:val="24"/>
      <w:szCs w:val="24"/>
    </w:rPr>
  </w:style>
  <w:style w:type="paragraph" w:customStyle="1" w:styleId="1681">
    <w:name w:val="_Style 22"/>
    <w:basedOn w:val="1"/>
    <w:next w:val="29"/>
    <w:semiHidden/>
    <w:qFormat/>
    <w:uiPriority w:val="0"/>
    <w:pPr>
      <w:spacing w:line="240" w:lineRule="exact"/>
      <w:jc w:val="center"/>
    </w:pPr>
    <w:rPr>
      <w:rFonts w:eastAsia="方正仿宋简体"/>
      <w:w w:val="80"/>
    </w:rPr>
  </w:style>
  <w:style w:type="paragraph" w:customStyle="1" w:styleId="1682">
    <w:name w:val="Char Char17"/>
    <w:basedOn w:val="1"/>
    <w:semiHidden/>
    <w:qFormat/>
    <w:uiPriority w:val="0"/>
    <w:rPr>
      <w:szCs w:val="24"/>
    </w:rPr>
  </w:style>
  <w:style w:type="character" w:customStyle="1" w:styleId="1683">
    <w:name w:val="！正文 Char"/>
    <w:basedOn w:val="109"/>
    <w:link w:val="983"/>
    <w:semiHidden/>
    <w:qFormat/>
    <w:uiPriority w:val="0"/>
    <w:rPr>
      <w:rFonts w:eastAsia="Times New Roman"/>
      <w:sz w:val="24"/>
      <w:szCs w:val="24"/>
    </w:rPr>
  </w:style>
  <w:style w:type="paragraph" w:customStyle="1" w:styleId="1684">
    <w:name w:val="中石油正文"/>
    <w:basedOn w:val="1"/>
    <w:semiHidden/>
    <w:qFormat/>
    <w:uiPriority w:val="0"/>
    <w:pPr>
      <w:spacing w:line="560" w:lineRule="exact"/>
      <w:ind w:firstLine="480" w:firstLineChars="200"/>
    </w:pPr>
    <w:rPr>
      <w:rFonts w:ascii="宋体" w:hAnsi="宋体"/>
      <w:sz w:val="24"/>
      <w:szCs w:val="24"/>
    </w:rPr>
  </w:style>
  <w:style w:type="character" w:customStyle="1" w:styleId="1685">
    <w:name w:val="Char Char341"/>
    <w:basedOn w:val="109"/>
    <w:semiHidden/>
    <w:qFormat/>
    <w:uiPriority w:val="0"/>
    <w:rPr>
      <w:rFonts w:ascii="Arial" w:hAnsi="Arial" w:eastAsia="黑体"/>
      <w:b/>
      <w:sz w:val="24"/>
    </w:rPr>
  </w:style>
  <w:style w:type="character" w:customStyle="1" w:styleId="1686">
    <w:name w:val="heading1 Char"/>
    <w:basedOn w:val="109"/>
    <w:semiHidden/>
    <w:qFormat/>
    <w:uiPriority w:val="0"/>
    <w:rPr>
      <w:rFonts w:eastAsia="宋体"/>
      <w:b/>
      <w:bCs/>
      <w:kern w:val="44"/>
      <w:sz w:val="44"/>
      <w:szCs w:val="44"/>
      <w:lang w:val="en-US" w:eastAsia="zh-CN" w:bidi="ar-SA"/>
    </w:rPr>
  </w:style>
  <w:style w:type="paragraph" w:customStyle="1" w:styleId="1687">
    <w:name w:val="Char Char16"/>
    <w:basedOn w:val="1"/>
    <w:semiHidden/>
    <w:qFormat/>
    <w:uiPriority w:val="0"/>
    <w:rPr>
      <w:szCs w:val="24"/>
    </w:rPr>
  </w:style>
  <w:style w:type="paragraph" w:customStyle="1" w:styleId="1688">
    <w:name w:val="Char Char15"/>
    <w:basedOn w:val="1"/>
    <w:semiHidden/>
    <w:qFormat/>
    <w:uiPriority w:val="0"/>
    <w:rPr>
      <w:szCs w:val="24"/>
    </w:rPr>
  </w:style>
  <w:style w:type="paragraph" w:customStyle="1" w:styleId="1689">
    <w:name w:val="Char Char9"/>
    <w:basedOn w:val="1"/>
    <w:semiHidden/>
    <w:qFormat/>
    <w:uiPriority w:val="0"/>
    <w:rPr>
      <w:szCs w:val="24"/>
    </w:rPr>
  </w:style>
  <w:style w:type="paragraph" w:customStyle="1" w:styleId="1690">
    <w:name w:val="正文文本 22"/>
    <w:basedOn w:val="1"/>
    <w:semiHidden/>
    <w:qFormat/>
    <w:uiPriority w:val="0"/>
    <w:pPr>
      <w:adjustRightInd w:val="0"/>
      <w:ind w:firstLine="480"/>
    </w:pPr>
    <w:rPr>
      <w:rFonts w:ascii="Arial Narrow" w:hAnsi="Arial Narrow"/>
      <w:sz w:val="24"/>
    </w:rPr>
  </w:style>
  <w:style w:type="paragraph" w:customStyle="1" w:styleId="1691">
    <w:name w:val="B正文"/>
    <w:basedOn w:val="1"/>
    <w:semiHidden/>
    <w:qFormat/>
    <w:uiPriority w:val="0"/>
    <w:pPr>
      <w:spacing w:line="360" w:lineRule="auto"/>
      <w:ind w:firstLine="200" w:firstLineChars="200"/>
    </w:pPr>
    <w:rPr>
      <w:rFonts w:cs="宋体"/>
      <w:sz w:val="24"/>
      <w:szCs w:val="24"/>
    </w:rPr>
  </w:style>
  <w:style w:type="paragraph" w:customStyle="1" w:styleId="1692">
    <w:name w:val="_Style 4"/>
    <w:basedOn w:val="1"/>
    <w:semiHidden/>
    <w:qFormat/>
    <w:uiPriority w:val="0"/>
  </w:style>
  <w:style w:type="paragraph" w:customStyle="1" w:styleId="1693">
    <w:name w:val="Char Char8"/>
    <w:basedOn w:val="1"/>
    <w:semiHidden/>
    <w:qFormat/>
    <w:uiPriority w:val="0"/>
    <w:rPr>
      <w:szCs w:val="24"/>
    </w:rPr>
  </w:style>
  <w:style w:type="paragraph" w:customStyle="1" w:styleId="1694">
    <w:name w:val="表格内容-巴"/>
    <w:basedOn w:val="1"/>
    <w:semiHidden/>
    <w:qFormat/>
    <w:uiPriority w:val="0"/>
    <w:pPr>
      <w:adjustRightInd w:val="0"/>
      <w:snapToGrid w:val="0"/>
      <w:spacing w:line="0" w:lineRule="atLeast"/>
      <w:jc w:val="center"/>
    </w:pPr>
    <w:rPr>
      <w:rFonts w:cs="黑体"/>
      <w:color w:val="000000"/>
    </w:rPr>
  </w:style>
  <w:style w:type="paragraph" w:customStyle="1" w:styleId="1695">
    <w:name w:val="正文小"/>
    <w:basedOn w:val="1"/>
    <w:next w:val="37"/>
    <w:link w:val="1696"/>
    <w:semiHidden/>
    <w:qFormat/>
    <w:uiPriority w:val="0"/>
    <w:pPr>
      <w:adjustRightInd w:val="0"/>
      <w:snapToGrid w:val="0"/>
      <w:spacing w:line="440" w:lineRule="exact"/>
      <w:ind w:firstLine="567"/>
    </w:pPr>
    <w:rPr>
      <w:sz w:val="24"/>
    </w:rPr>
  </w:style>
  <w:style w:type="character" w:customStyle="1" w:styleId="1696">
    <w:name w:val="正文小 Char"/>
    <w:basedOn w:val="109"/>
    <w:link w:val="1695"/>
    <w:semiHidden/>
    <w:qFormat/>
    <w:uiPriority w:val="0"/>
    <w:rPr>
      <w:sz w:val="24"/>
    </w:rPr>
  </w:style>
  <w:style w:type="character" w:customStyle="1" w:styleId="1697">
    <w:name w:val="表格正文 Char"/>
    <w:basedOn w:val="109"/>
    <w:link w:val="507"/>
    <w:semiHidden/>
    <w:qFormat/>
    <w:uiPriority w:val="0"/>
    <w:rPr>
      <w:rFonts w:ascii="宋体" w:hAnsi="宋体"/>
    </w:rPr>
  </w:style>
  <w:style w:type="paragraph" w:customStyle="1" w:styleId="1698">
    <w:name w:val="周晟-表格文字"/>
    <w:basedOn w:val="1"/>
    <w:semiHidden/>
    <w:qFormat/>
    <w:uiPriority w:val="0"/>
    <w:pPr>
      <w:jc w:val="center"/>
    </w:pPr>
    <w:rPr>
      <w:rFonts w:ascii="宋体" w:hAnsi="宋体" w:eastAsia="新宋体"/>
      <w:kern w:val="24"/>
      <w:szCs w:val="24"/>
    </w:rPr>
  </w:style>
  <w:style w:type="paragraph" w:customStyle="1" w:styleId="1699">
    <w:name w:val="江4标题4"/>
    <w:basedOn w:val="993"/>
    <w:semiHidden/>
    <w:qFormat/>
    <w:uiPriority w:val="0"/>
    <w:pPr>
      <w:adjustRightInd w:val="0"/>
      <w:snapToGrid/>
      <w:ind w:firstLine="0"/>
    </w:pPr>
    <w:rPr>
      <w:rFonts w:ascii="Times New Roman" w:cs="Times New Roman"/>
      <w:b/>
      <w:szCs w:val="24"/>
    </w:rPr>
  </w:style>
  <w:style w:type="paragraph" w:customStyle="1" w:styleId="1700">
    <w:name w:val="江3标题3"/>
    <w:basedOn w:val="4"/>
    <w:semiHidden/>
    <w:qFormat/>
    <w:uiPriority w:val="0"/>
    <w:pPr>
      <w:spacing w:line="360" w:lineRule="auto"/>
    </w:pPr>
    <w:rPr>
      <w:sz w:val="24"/>
      <w:szCs w:val="24"/>
    </w:rPr>
  </w:style>
  <w:style w:type="paragraph" w:customStyle="1" w:styleId="1701">
    <w:name w:val="江表格文字"/>
    <w:basedOn w:val="1"/>
    <w:semiHidden/>
    <w:qFormat/>
    <w:uiPriority w:val="0"/>
    <w:pPr>
      <w:spacing w:line="360" w:lineRule="exact"/>
      <w:contextualSpacing/>
      <w:jc w:val="center"/>
    </w:pPr>
    <w:rPr>
      <w:bCs/>
      <w:szCs w:val="21"/>
    </w:rPr>
  </w:style>
  <w:style w:type="paragraph" w:customStyle="1" w:styleId="1702">
    <w:name w:val="江表头标题"/>
    <w:basedOn w:val="1"/>
    <w:link w:val="1703"/>
    <w:semiHidden/>
    <w:qFormat/>
    <w:uiPriority w:val="0"/>
    <w:pPr>
      <w:spacing w:line="320" w:lineRule="exact"/>
      <w:jc w:val="center"/>
    </w:pPr>
    <w:rPr>
      <w:b/>
      <w:bCs/>
      <w:sz w:val="24"/>
      <w:szCs w:val="21"/>
    </w:rPr>
  </w:style>
  <w:style w:type="character" w:customStyle="1" w:styleId="1703">
    <w:name w:val="江表头标题 Char"/>
    <w:basedOn w:val="109"/>
    <w:link w:val="1702"/>
    <w:semiHidden/>
    <w:qFormat/>
    <w:uiPriority w:val="0"/>
    <w:rPr>
      <w:b/>
      <w:bCs/>
      <w:sz w:val="24"/>
      <w:szCs w:val="21"/>
    </w:rPr>
  </w:style>
  <w:style w:type="paragraph" w:customStyle="1" w:styleId="1704">
    <w:name w:val="江表后空格"/>
    <w:basedOn w:val="204"/>
    <w:link w:val="1705"/>
    <w:semiHidden/>
    <w:qFormat/>
    <w:uiPriority w:val="0"/>
    <w:pPr>
      <w:spacing w:line="240" w:lineRule="exact"/>
      <w:ind w:firstLine="0" w:firstLineChars="0"/>
    </w:pPr>
    <w:rPr>
      <w:rFonts w:eastAsia="宋体" w:cs="Times New Roman"/>
      <w:sz w:val="18"/>
    </w:rPr>
  </w:style>
  <w:style w:type="character" w:customStyle="1" w:styleId="1705">
    <w:name w:val="江表后空格 Char"/>
    <w:basedOn w:val="109"/>
    <w:link w:val="1704"/>
    <w:semiHidden/>
    <w:qFormat/>
    <w:uiPriority w:val="0"/>
    <w:rPr>
      <w:rFonts w:ascii="楷体_GB2312" w:hAnsi="楷体_GB2312"/>
      <w:sz w:val="18"/>
      <w:szCs w:val="24"/>
    </w:rPr>
  </w:style>
  <w:style w:type="paragraph" w:customStyle="1" w:styleId="1706">
    <w:name w:val="表格内正文"/>
    <w:basedOn w:val="1"/>
    <w:semiHidden/>
    <w:qFormat/>
    <w:uiPriority w:val="0"/>
    <w:pPr>
      <w:jc w:val="center"/>
    </w:pPr>
    <w:rPr>
      <w:rFonts w:ascii="Arial" w:hAnsi="Arial" w:cs="Arial"/>
      <w:color w:val="FF0000"/>
      <w:sz w:val="24"/>
      <w:szCs w:val="24"/>
    </w:rPr>
  </w:style>
  <w:style w:type="character" w:customStyle="1" w:styleId="1707">
    <w:name w:val="0正文 Char"/>
    <w:basedOn w:val="109"/>
    <w:link w:val="1708"/>
    <w:semiHidden/>
    <w:qFormat/>
    <w:uiPriority w:val="0"/>
    <w:rPr>
      <w:kern w:val="24"/>
      <w:sz w:val="24"/>
      <w:szCs w:val="24"/>
      <w:lang w:eastAsia="en-US" w:bidi="en-US"/>
    </w:rPr>
  </w:style>
  <w:style w:type="paragraph" w:customStyle="1" w:styleId="1708">
    <w:name w:val="0正文"/>
    <w:basedOn w:val="1"/>
    <w:next w:val="1"/>
    <w:link w:val="1707"/>
    <w:semiHidden/>
    <w:qFormat/>
    <w:uiPriority w:val="0"/>
    <w:pPr>
      <w:suppressAutoHyphens/>
      <w:spacing w:line="360" w:lineRule="auto"/>
      <w:ind w:firstLine="200" w:firstLineChars="200"/>
    </w:pPr>
    <w:rPr>
      <w:kern w:val="24"/>
      <w:sz w:val="24"/>
      <w:szCs w:val="24"/>
      <w:lang w:eastAsia="en-US" w:bidi="en-US"/>
    </w:rPr>
  </w:style>
  <w:style w:type="paragraph" w:customStyle="1" w:styleId="1709">
    <w:name w:val="样式 标题 21.1标题 2节二级标题，黑粗，小三，序号HD2Heading 2 HiddenHeading 2 C..."/>
    <w:basedOn w:val="3"/>
    <w:semiHidden/>
    <w:qFormat/>
    <w:uiPriority w:val="0"/>
    <w:pPr>
      <w:widowControl w:val="0"/>
      <w:spacing w:line="360" w:lineRule="auto"/>
      <w:jc w:val="both"/>
    </w:pPr>
    <w:rPr>
      <w:rFonts w:ascii="Arial" w:hAnsi="Arial"/>
      <w:b w:val="0"/>
      <w:sz w:val="24"/>
      <w:szCs w:val="24"/>
    </w:rPr>
  </w:style>
  <w:style w:type="paragraph" w:customStyle="1" w:styleId="1710">
    <w:name w:val="标题06"/>
    <w:basedOn w:val="1"/>
    <w:semiHidden/>
    <w:qFormat/>
    <w:uiPriority w:val="0"/>
    <w:pPr>
      <w:adjustRightInd w:val="0"/>
      <w:spacing w:before="2040" w:line="400" w:lineRule="atLeast"/>
      <w:textAlignment w:val="baseline"/>
    </w:pPr>
    <w:rPr>
      <w:rFonts w:eastAsia="黑体"/>
      <w:spacing w:val="10"/>
      <w:sz w:val="28"/>
    </w:rPr>
  </w:style>
  <w:style w:type="paragraph" w:customStyle="1" w:styleId="1711">
    <w:name w:val="小标题2"/>
    <w:basedOn w:val="1"/>
    <w:semiHidden/>
    <w:qFormat/>
    <w:uiPriority w:val="0"/>
    <w:pPr>
      <w:tabs>
        <w:tab w:val="left" w:pos="1120"/>
      </w:tabs>
      <w:overflowPunct w:val="0"/>
      <w:adjustRightInd w:val="0"/>
      <w:snapToGrid w:val="0"/>
      <w:spacing w:before="156" w:after="156" w:line="300" w:lineRule="auto"/>
      <w:ind w:left="900" w:hanging="420"/>
    </w:pPr>
    <w:rPr>
      <w:rFonts w:ascii="Arial" w:hAnsi="Arial" w:eastAsia="仿宋_GB2312"/>
      <w:sz w:val="28"/>
    </w:rPr>
  </w:style>
  <w:style w:type="character" w:customStyle="1" w:styleId="1712">
    <w:name w:val="正文格式 Char1"/>
    <w:basedOn w:val="109"/>
    <w:semiHidden/>
    <w:qFormat/>
    <w:uiPriority w:val="0"/>
    <w:rPr>
      <w:rFonts w:ascii="宋体" w:hAnsi="宋体" w:eastAsia="宋体" w:cs="宋体"/>
      <w:sz w:val="24"/>
      <w:szCs w:val="24"/>
      <w:lang w:val="en-US" w:eastAsia="zh-CN" w:bidi="ar-SA"/>
    </w:rPr>
  </w:style>
  <w:style w:type="paragraph" w:customStyle="1" w:styleId="1713">
    <w:name w:val="我的表格文字"/>
    <w:basedOn w:val="1"/>
    <w:link w:val="1714"/>
    <w:semiHidden/>
    <w:qFormat/>
    <w:uiPriority w:val="0"/>
    <w:pPr>
      <w:adjustRightInd w:val="0"/>
      <w:spacing w:line="360" w:lineRule="exact"/>
      <w:jc w:val="center"/>
      <w:textAlignment w:val="center"/>
    </w:pPr>
    <w:rPr>
      <w:rFonts w:ascii="宋体"/>
      <w:caps/>
      <w:szCs w:val="21"/>
    </w:rPr>
  </w:style>
  <w:style w:type="character" w:customStyle="1" w:styleId="1714">
    <w:name w:val="我的表格文字 Char"/>
    <w:basedOn w:val="109"/>
    <w:link w:val="1713"/>
    <w:semiHidden/>
    <w:qFormat/>
    <w:uiPriority w:val="0"/>
    <w:rPr>
      <w:rFonts w:ascii="宋体"/>
      <w:caps/>
      <w:szCs w:val="21"/>
    </w:rPr>
  </w:style>
  <w:style w:type="paragraph" w:customStyle="1" w:styleId="1715">
    <w:name w:val="技术规范"/>
    <w:basedOn w:val="1"/>
    <w:semiHidden/>
    <w:qFormat/>
    <w:uiPriority w:val="0"/>
    <w:pPr>
      <w:numPr>
        <w:ilvl w:val="0"/>
        <w:numId w:val="7"/>
      </w:numPr>
      <w:tabs>
        <w:tab w:val="left" w:pos="360"/>
        <w:tab w:val="clear" w:pos="960"/>
      </w:tabs>
      <w:spacing w:afterLines="50" w:line="360" w:lineRule="auto"/>
      <w:ind w:left="420" w:firstLine="0"/>
    </w:pPr>
    <w:rPr>
      <w:rFonts w:asciiTheme="minorEastAsia" w:hAnsiTheme="minorEastAsia" w:eastAsiaTheme="minorEastAsia"/>
      <w:sz w:val="24"/>
    </w:rPr>
  </w:style>
  <w:style w:type="character" w:customStyle="1" w:styleId="1716">
    <w:name w:val="江正文格式 Char Char"/>
    <w:basedOn w:val="109"/>
    <w:semiHidden/>
    <w:qFormat/>
    <w:uiPriority w:val="0"/>
    <w:rPr>
      <w:rFonts w:ascii="Times New Roman" w:hAnsi="Times New Roman" w:eastAsia="宋体"/>
      <w:kern w:val="2"/>
      <w:sz w:val="24"/>
      <w:szCs w:val="24"/>
      <w:lang w:val="en-US" w:eastAsia="zh-CN" w:bidi="ar-SA"/>
    </w:rPr>
  </w:style>
  <w:style w:type="paragraph" w:customStyle="1" w:styleId="1717">
    <w:name w:val="标题31"/>
    <w:basedOn w:val="1"/>
    <w:semiHidden/>
    <w:qFormat/>
    <w:uiPriority w:val="0"/>
    <w:pPr>
      <w:snapToGrid w:val="0"/>
      <w:spacing w:line="360" w:lineRule="auto"/>
      <w:outlineLvl w:val="2"/>
    </w:pPr>
    <w:rPr>
      <w:rFonts w:eastAsia="黑体" w:asciiTheme="minorHAnsi" w:hAnsiTheme="minorHAnsi" w:cstheme="minorBidi"/>
      <w:b/>
      <w:sz w:val="28"/>
    </w:rPr>
  </w:style>
  <w:style w:type="paragraph" w:customStyle="1" w:styleId="1718">
    <w:name w:val="标题6"/>
    <w:basedOn w:val="1"/>
    <w:semiHidden/>
    <w:qFormat/>
    <w:uiPriority w:val="0"/>
    <w:pPr>
      <w:snapToGrid w:val="0"/>
      <w:spacing w:line="360" w:lineRule="auto"/>
      <w:outlineLvl w:val="5"/>
    </w:pPr>
    <w:rPr>
      <w:rFonts w:eastAsia="黑体" w:asciiTheme="minorHAnsi" w:hAnsiTheme="minorHAnsi" w:cstheme="minorBidi"/>
      <w:b/>
      <w:sz w:val="24"/>
    </w:rPr>
  </w:style>
  <w:style w:type="character" w:customStyle="1" w:styleId="1719">
    <w:name w:val="fontstyle01"/>
    <w:basedOn w:val="109"/>
    <w:semiHidden/>
    <w:qFormat/>
    <w:uiPriority w:val="0"/>
    <w:rPr>
      <w:rFonts w:hint="eastAsia" w:ascii="宋体" w:hAnsi="宋体" w:eastAsia="宋体"/>
      <w:color w:val="000000"/>
      <w:sz w:val="24"/>
      <w:szCs w:val="24"/>
    </w:rPr>
  </w:style>
  <w:style w:type="paragraph" w:customStyle="1" w:styleId="1720">
    <w:name w:val="图后正文"/>
    <w:basedOn w:val="1"/>
    <w:link w:val="1721"/>
    <w:semiHidden/>
    <w:qFormat/>
    <w:uiPriority w:val="0"/>
    <w:pPr>
      <w:adjustRightInd w:val="0"/>
      <w:snapToGrid w:val="0"/>
      <w:spacing w:line="360" w:lineRule="auto"/>
      <w:jc w:val="center"/>
    </w:pPr>
    <w:rPr>
      <w:rFonts w:ascii="黑体" w:hAnsi="黑体" w:eastAsia="黑体"/>
      <w:b/>
      <w:bCs/>
      <w:sz w:val="24"/>
      <w:szCs w:val="24"/>
    </w:rPr>
  </w:style>
  <w:style w:type="character" w:customStyle="1" w:styleId="1721">
    <w:name w:val="图后正文 Char"/>
    <w:basedOn w:val="109"/>
    <w:link w:val="1720"/>
    <w:semiHidden/>
    <w:qFormat/>
    <w:uiPriority w:val="0"/>
    <w:rPr>
      <w:rFonts w:ascii="黑体" w:hAnsi="黑体" w:eastAsia="黑体"/>
      <w:b/>
      <w:bCs/>
      <w:sz w:val="24"/>
      <w:szCs w:val="24"/>
    </w:rPr>
  </w:style>
  <w:style w:type="character" w:customStyle="1" w:styleId="1722">
    <w:name w:val="新冀表头 Char"/>
    <w:basedOn w:val="109"/>
    <w:link w:val="1723"/>
    <w:semiHidden/>
    <w:qFormat/>
    <w:uiPriority w:val="0"/>
    <w:rPr>
      <w:rFonts w:hAnsi="宋体"/>
      <w:b/>
      <w:sz w:val="24"/>
      <w:szCs w:val="24"/>
    </w:rPr>
  </w:style>
  <w:style w:type="paragraph" w:customStyle="1" w:styleId="1723">
    <w:name w:val="新冀表头"/>
    <w:basedOn w:val="1"/>
    <w:link w:val="1722"/>
    <w:semiHidden/>
    <w:qFormat/>
    <w:uiPriority w:val="0"/>
    <w:pPr>
      <w:adjustRightInd w:val="0"/>
      <w:snapToGrid w:val="0"/>
      <w:jc w:val="center"/>
    </w:pPr>
    <w:rPr>
      <w:rFonts w:hAnsi="宋体"/>
      <w:b/>
      <w:sz w:val="24"/>
      <w:szCs w:val="24"/>
    </w:rPr>
  </w:style>
  <w:style w:type="character" w:customStyle="1" w:styleId="1724">
    <w:name w:val="列表段落 字符"/>
    <w:basedOn w:val="109"/>
    <w:link w:val="1065"/>
    <w:semiHidden/>
    <w:qFormat/>
    <w:locked/>
    <w:uiPriority w:val="99"/>
  </w:style>
  <w:style w:type="character" w:customStyle="1" w:styleId="1725">
    <w:name w:val="邓表头 Char"/>
    <w:basedOn w:val="109"/>
    <w:link w:val="1726"/>
    <w:semiHidden/>
    <w:qFormat/>
    <w:uiPriority w:val="0"/>
    <w:rPr>
      <w:rFonts w:hAnsi="宋体" w:eastAsia="Times New Roman"/>
      <w:b/>
      <w:sz w:val="24"/>
      <w:szCs w:val="24"/>
    </w:rPr>
  </w:style>
  <w:style w:type="paragraph" w:customStyle="1" w:styleId="1726">
    <w:name w:val="邓表头"/>
    <w:basedOn w:val="1"/>
    <w:link w:val="1725"/>
    <w:semiHidden/>
    <w:qFormat/>
    <w:uiPriority w:val="0"/>
    <w:pPr>
      <w:adjustRightInd w:val="0"/>
      <w:snapToGrid w:val="0"/>
      <w:ind w:firstLine="200" w:firstLineChars="200"/>
      <w:contextualSpacing/>
      <w:jc w:val="center"/>
    </w:pPr>
    <w:rPr>
      <w:rFonts w:hAnsi="宋体" w:eastAsia="Times New Roman"/>
      <w:b/>
      <w:sz w:val="24"/>
      <w:szCs w:val="24"/>
    </w:rPr>
  </w:style>
  <w:style w:type="character" w:customStyle="1" w:styleId="1727">
    <w:name w:val="邓图后正文 Char"/>
    <w:basedOn w:val="109"/>
    <w:link w:val="1665"/>
    <w:semiHidden/>
    <w:qFormat/>
    <w:uiPriority w:val="0"/>
    <w:rPr>
      <w:rFonts w:hAnsi="黑体" w:eastAsia="黑体"/>
      <w:bCs/>
      <w:sz w:val="24"/>
      <w:szCs w:val="24"/>
    </w:rPr>
  </w:style>
  <w:style w:type="paragraph" w:customStyle="1" w:styleId="1728">
    <w:name w:val="样式 小四 行距: 1.5 倍行距"/>
    <w:basedOn w:val="1"/>
    <w:semiHidden/>
    <w:qFormat/>
    <w:uiPriority w:val="0"/>
    <w:pPr>
      <w:spacing w:line="360" w:lineRule="auto"/>
      <w:ind w:firstLine="599" w:firstLineChars="214"/>
    </w:pPr>
    <w:rPr>
      <w:sz w:val="28"/>
      <w:szCs w:val="28"/>
    </w:rPr>
  </w:style>
  <w:style w:type="character" w:customStyle="1" w:styleId="1729">
    <w:name w:val="缩进 Char Char"/>
    <w:basedOn w:val="109"/>
    <w:semiHidden/>
    <w:qFormat/>
    <w:uiPriority w:val="0"/>
    <w:rPr>
      <w:sz w:val="24"/>
      <w:szCs w:val="24"/>
    </w:rPr>
  </w:style>
  <w:style w:type="character" w:customStyle="1" w:styleId="1730">
    <w:name w:val="条文首行缩进 Char"/>
    <w:basedOn w:val="109"/>
    <w:link w:val="1731"/>
    <w:semiHidden/>
    <w:qFormat/>
    <w:uiPriority w:val="0"/>
    <w:rPr>
      <w:rFonts w:ascii="Arial" w:hAnsi="Arial"/>
      <w:sz w:val="24"/>
      <w:szCs w:val="24"/>
    </w:rPr>
  </w:style>
  <w:style w:type="paragraph" w:customStyle="1" w:styleId="1731">
    <w:name w:val="条文首行缩进"/>
    <w:basedOn w:val="1"/>
    <w:link w:val="1730"/>
    <w:semiHidden/>
    <w:qFormat/>
    <w:uiPriority w:val="0"/>
    <w:pPr>
      <w:ind w:firstLine="480" w:firstLineChars="200"/>
    </w:pPr>
    <w:rPr>
      <w:rFonts w:ascii="Arial" w:hAnsi="Arial"/>
      <w:sz w:val="24"/>
      <w:szCs w:val="24"/>
    </w:rPr>
  </w:style>
  <w:style w:type="character" w:customStyle="1" w:styleId="1732">
    <w:name w:val="1-君邦正文格式 Char"/>
    <w:basedOn w:val="109"/>
    <w:link w:val="1733"/>
    <w:semiHidden/>
    <w:qFormat/>
    <w:uiPriority w:val="0"/>
    <w:rPr>
      <w:bCs/>
      <w:sz w:val="24"/>
    </w:rPr>
  </w:style>
  <w:style w:type="paragraph" w:customStyle="1" w:styleId="1733">
    <w:name w:val="1-君邦正文格式"/>
    <w:basedOn w:val="1"/>
    <w:link w:val="1732"/>
    <w:semiHidden/>
    <w:qFormat/>
    <w:uiPriority w:val="0"/>
    <w:pPr>
      <w:spacing w:after="60" w:line="360" w:lineRule="auto"/>
      <w:ind w:firstLine="480" w:firstLineChars="200"/>
    </w:pPr>
    <w:rPr>
      <w:bCs/>
      <w:sz w:val="24"/>
    </w:rPr>
  </w:style>
  <w:style w:type="paragraph" w:customStyle="1" w:styleId="1734">
    <w:name w:val="1-表格表头"/>
    <w:basedOn w:val="1"/>
    <w:semiHidden/>
    <w:qFormat/>
    <w:uiPriority w:val="0"/>
    <w:pPr>
      <w:adjustRightInd w:val="0"/>
      <w:snapToGrid w:val="0"/>
      <w:spacing w:after="60" w:line="360" w:lineRule="auto"/>
      <w:ind w:firstLine="200" w:firstLineChars="200"/>
      <w:jc w:val="center"/>
    </w:pPr>
    <w:rPr>
      <w:rFonts w:eastAsia="黑体"/>
      <w:b/>
      <w:sz w:val="24"/>
    </w:rPr>
  </w:style>
  <w:style w:type="paragraph" w:customStyle="1" w:styleId="1735">
    <w:name w:val="样式 标题 3三级标题标题3H3h33rd level第二层条ReHead 3 WSA标题03三级标题 3..."/>
    <w:basedOn w:val="1"/>
    <w:semiHidden/>
    <w:qFormat/>
    <w:uiPriority w:val="99"/>
    <w:pPr>
      <w:numPr>
        <w:ilvl w:val="2"/>
        <w:numId w:val="8"/>
      </w:numPr>
      <w:tabs>
        <w:tab w:val="left" w:pos="1860"/>
        <w:tab w:val="clear" w:pos="2291"/>
      </w:tabs>
      <w:adjustRightInd w:val="0"/>
      <w:snapToGrid w:val="0"/>
      <w:ind w:left="1860" w:firstLine="0"/>
    </w:pPr>
    <w:rPr>
      <w:szCs w:val="24"/>
    </w:rPr>
  </w:style>
  <w:style w:type="paragraph" w:customStyle="1" w:styleId="1736">
    <w:name w:val="煤油共炼表头标题"/>
    <w:basedOn w:val="1"/>
    <w:link w:val="1737"/>
    <w:semiHidden/>
    <w:qFormat/>
    <w:uiPriority w:val="99"/>
    <w:pPr>
      <w:snapToGrid w:val="0"/>
      <w:jc w:val="center"/>
    </w:pPr>
    <w:rPr>
      <w:rFonts w:ascii="黑体" w:hAnsi="黑体" w:eastAsia="黑体"/>
      <w:b/>
    </w:rPr>
  </w:style>
  <w:style w:type="character" w:customStyle="1" w:styleId="1737">
    <w:name w:val="煤油共炼表头标题 Char"/>
    <w:basedOn w:val="109"/>
    <w:link w:val="1736"/>
    <w:semiHidden/>
    <w:qFormat/>
    <w:locked/>
    <w:uiPriority w:val="99"/>
    <w:rPr>
      <w:rFonts w:ascii="黑体" w:hAnsi="黑体" w:eastAsia="黑体"/>
      <w:b/>
    </w:rPr>
  </w:style>
  <w:style w:type="character" w:customStyle="1" w:styleId="1738">
    <w:name w:val="煤油共炼表格文字 Char"/>
    <w:basedOn w:val="109"/>
    <w:link w:val="1739"/>
    <w:semiHidden/>
    <w:qFormat/>
    <w:locked/>
    <w:uiPriority w:val="99"/>
    <w:rPr>
      <w:rFonts w:ascii="宋体"/>
    </w:rPr>
  </w:style>
  <w:style w:type="paragraph" w:customStyle="1" w:styleId="1739">
    <w:name w:val="煤油共炼表格文字"/>
    <w:basedOn w:val="1"/>
    <w:link w:val="1738"/>
    <w:semiHidden/>
    <w:qFormat/>
    <w:uiPriority w:val="99"/>
    <w:pPr>
      <w:adjustRightInd w:val="0"/>
      <w:spacing w:line="360" w:lineRule="exact"/>
      <w:jc w:val="center"/>
      <w:textAlignment w:val="center"/>
    </w:pPr>
    <w:rPr>
      <w:rFonts w:ascii="宋体"/>
    </w:rPr>
  </w:style>
  <w:style w:type="paragraph" w:customStyle="1" w:styleId="1740">
    <w:name w:val="表格文字邓"/>
    <w:basedOn w:val="1"/>
    <w:link w:val="1741"/>
    <w:semiHidden/>
    <w:qFormat/>
    <w:uiPriority w:val="99"/>
    <w:pPr>
      <w:snapToGrid w:val="0"/>
      <w:spacing w:line="240" w:lineRule="exact"/>
      <w:jc w:val="center"/>
    </w:pPr>
    <w:rPr>
      <w:rFonts w:ascii="宋体" w:hAnsi="宋体"/>
      <w:snapToGrid w:val="0"/>
      <w:color w:val="000000"/>
    </w:rPr>
  </w:style>
  <w:style w:type="character" w:customStyle="1" w:styleId="1741">
    <w:name w:val="表格文字邓 Char"/>
    <w:basedOn w:val="109"/>
    <w:link w:val="1740"/>
    <w:semiHidden/>
    <w:qFormat/>
    <w:locked/>
    <w:uiPriority w:val="99"/>
    <w:rPr>
      <w:rFonts w:ascii="宋体" w:hAnsi="宋体"/>
      <w:snapToGrid w:val="0"/>
      <w:color w:val="000000"/>
    </w:rPr>
  </w:style>
  <w:style w:type="paragraph" w:customStyle="1" w:styleId="1742">
    <w:name w:val="表格后空行邓"/>
    <w:basedOn w:val="1"/>
    <w:link w:val="1743"/>
    <w:semiHidden/>
    <w:qFormat/>
    <w:uiPriority w:val="99"/>
    <w:pPr>
      <w:spacing w:line="240" w:lineRule="exact"/>
      <w:textAlignment w:val="baseline"/>
    </w:pPr>
    <w:rPr>
      <w:rFonts w:ascii="宋体" w:hAnsi="宋体"/>
      <w:b/>
      <w:color w:val="000000"/>
      <w:u w:color="000000"/>
    </w:rPr>
  </w:style>
  <w:style w:type="character" w:customStyle="1" w:styleId="1743">
    <w:name w:val="表格后空行邓 Char"/>
    <w:basedOn w:val="109"/>
    <w:link w:val="1742"/>
    <w:semiHidden/>
    <w:qFormat/>
    <w:locked/>
    <w:uiPriority w:val="99"/>
    <w:rPr>
      <w:rFonts w:ascii="宋体" w:hAnsi="宋体"/>
      <w:b/>
      <w:color w:val="000000"/>
      <w:u w:color="000000"/>
    </w:rPr>
  </w:style>
  <w:style w:type="paragraph" w:customStyle="1" w:styleId="1744">
    <w:name w:val="煤油共炼图后正文"/>
    <w:basedOn w:val="1"/>
    <w:link w:val="1745"/>
    <w:semiHidden/>
    <w:qFormat/>
    <w:uiPriority w:val="99"/>
    <w:pPr>
      <w:snapToGrid w:val="0"/>
      <w:spacing w:line="360" w:lineRule="auto"/>
      <w:jc w:val="center"/>
    </w:pPr>
    <w:rPr>
      <w:rFonts w:ascii="黑体" w:hAnsi="黑体" w:eastAsia="黑体"/>
      <w:b/>
      <w:bCs/>
      <w:sz w:val="24"/>
      <w:szCs w:val="24"/>
    </w:rPr>
  </w:style>
  <w:style w:type="character" w:customStyle="1" w:styleId="1745">
    <w:name w:val="煤油共炼图后正文 Char"/>
    <w:basedOn w:val="109"/>
    <w:link w:val="1744"/>
    <w:semiHidden/>
    <w:qFormat/>
    <w:locked/>
    <w:uiPriority w:val="99"/>
    <w:rPr>
      <w:rFonts w:ascii="黑体" w:hAnsi="黑体" w:eastAsia="黑体"/>
      <w:b/>
      <w:bCs/>
      <w:sz w:val="24"/>
      <w:szCs w:val="24"/>
    </w:rPr>
  </w:style>
  <w:style w:type="paragraph" w:customStyle="1" w:styleId="1746">
    <w:name w:val="正文我"/>
    <w:basedOn w:val="1"/>
    <w:link w:val="1747"/>
    <w:semiHidden/>
    <w:qFormat/>
    <w:uiPriority w:val="0"/>
    <w:pPr>
      <w:snapToGrid w:val="0"/>
      <w:spacing w:line="360" w:lineRule="auto"/>
      <w:ind w:firstLine="200" w:firstLineChars="200"/>
    </w:pPr>
    <w:rPr>
      <w:rFonts w:ascii="宋体" w:eastAsia="华文中宋"/>
      <w:sz w:val="24"/>
      <w:szCs w:val="21"/>
    </w:rPr>
  </w:style>
  <w:style w:type="character" w:customStyle="1" w:styleId="1747">
    <w:name w:val="正文我 Char"/>
    <w:basedOn w:val="109"/>
    <w:link w:val="1746"/>
    <w:semiHidden/>
    <w:qFormat/>
    <w:locked/>
    <w:uiPriority w:val="0"/>
    <w:rPr>
      <w:rFonts w:ascii="宋体" w:eastAsia="华文中宋"/>
      <w:sz w:val="24"/>
      <w:szCs w:val="21"/>
    </w:rPr>
  </w:style>
  <w:style w:type="character" w:customStyle="1" w:styleId="1748">
    <w:name w:val="Font Style302"/>
    <w:basedOn w:val="109"/>
    <w:semiHidden/>
    <w:qFormat/>
    <w:uiPriority w:val="0"/>
    <w:rPr>
      <w:rFonts w:ascii="宋体" w:eastAsia="宋体"/>
      <w:sz w:val="20"/>
    </w:rPr>
  </w:style>
  <w:style w:type="character" w:customStyle="1" w:styleId="1749">
    <w:name w:val="君邦正文 Char4"/>
    <w:basedOn w:val="109"/>
    <w:semiHidden/>
    <w:qFormat/>
    <w:uiPriority w:val="0"/>
    <w:rPr>
      <w:rFonts w:ascii="宋体" w:hAnsi="宋体" w:eastAsia="宋体" w:cs="宋体"/>
      <w:kern w:val="2"/>
      <w:sz w:val="24"/>
      <w:szCs w:val="24"/>
      <w:lang w:val="en-US" w:eastAsia="zh-CN" w:bidi="ar-SA"/>
    </w:rPr>
  </w:style>
  <w:style w:type="character" w:customStyle="1" w:styleId="1750">
    <w:name w:val="表一 Char Char"/>
    <w:basedOn w:val="109"/>
    <w:link w:val="1751"/>
    <w:semiHidden/>
    <w:qFormat/>
    <w:uiPriority w:val="0"/>
    <w:rPr>
      <w:sz w:val="18"/>
      <w:szCs w:val="18"/>
    </w:rPr>
  </w:style>
  <w:style w:type="paragraph" w:customStyle="1" w:styleId="1751">
    <w:name w:val="表一"/>
    <w:basedOn w:val="1"/>
    <w:link w:val="1750"/>
    <w:semiHidden/>
    <w:qFormat/>
    <w:uiPriority w:val="0"/>
    <w:pPr>
      <w:adjustRightInd w:val="0"/>
      <w:snapToGrid w:val="0"/>
      <w:spacing w:line="360" w:lineRule="auto"/>
      <w:ind w:firstLine="200" w:firstLineChars="200"/>
      <w:jc w:val="center"/>
    </w:pPr>
    <w:rPr>
      <w:sz w:val="18"/>
      <w:szCs w:val="18"/>
    </w:rPr>
  </w:style>
  <w:style w:type="character" w:customStyle="1" w:styleId="1752">
    <w:name w:val="环科所表内格式 Char"/>
    <w:basedOn w:val="109"/>
    <w:link w:val="1753"/>
    <w:semiHidden/>
    <w:qFormat/>
    <w:uiPriority w:val="0"/>
    <w:rPr>
      <w:rFonts w:eastAsia="仿宋_GB2312"/>
      <w:sz w:val="18"/>
    </w:rPr>
  </w:style>
  <w:style w:type="paragraph" w:customStyle="1" w:styleId="1753">
    <w:name w:val="环科所表内格式"/>
    <w:basedOn w:val="1754"/>
    <w:link w:val="1752"/>
    <w:semiHidden/>
    <w:qFormat/>
    <w:uiPriority w:val="0"/>
    <w:rPr>
      <w:rFonts w:eastAsia="仿宋_GB2312"/>
    </w:rPr>
  </w:style>
  <w:style w:type="paragraph" w:customStyle="1" w:styleId="1754">
    <w:name w:val="表内格式"/>
    <w:basedOn w:val="1"/>
    <w:link w:val="1755"/>
    <w:semiHidden/>
    <w:qFormat/>
    <w:uiPriority w:val="0"/>
    <w:pPr>
      <w:adjustRightInd w:val="0"/>
      <w:snapToGrid w:val="0"/>
      <w:spacing w:line="360" w:lineRule="auto"/>
      <w:ind w:firstLine="200" w:firstLineChars="200"/>
      <w:jc w:val="center"/>
    </w:pPr>
    <w:rPr>
      <w:sz w:val="18"/>
    </w:rPr>
  </w:style>
  <w:style w:type="character" w:customStyle="1" w:styleId="1755">
    <w:name w:val="表内格式 Char1"/>
    <w:basedOn w:val="109"/>
    <w:link w:val="1754"/>
    <w:semiHidden/>
    <w:qFormat/>
    <w:uiPriority w:val="0"/>
    <w:rPr>
      <w:sz w:val="18"/>
    </w:rPr>
  </w:style>
  <w:style w:type="character" w:customStyle="1" w:styleId="1756">
    <w:name w:val="HTML 地址 Char1"/>
    <w:basedOn w:val="109"/>
    <w:semiHidden/>
    <w:qFormat/>
    <w:uiPriority w:val="99"/>
    <w:rPr>
      <w:rFonts w:ascii="Times New Roman" w:hAnsi="Times New Roman" w:eastAsia="宋体" w:cs="Times New Roman"/>
      <w:i/>
      <w:iCs/>
      <w:sz w:val="24"/>
      <w:szCs w:val="24"/>
    </w:rPr>
  </w:style>
  <w:style w:type="character" w:customStyle="1" w:styleId="1757">
    <w:name w:val="1-表内样式 Char"/>
    <w:basedOn w:val="109"/>
    <w:link w:val="1758"/>
    <w:semiHidden/>
    <w:qFormat/>
    <w:uiPriority w:val="0"/>
    <w:rPr>
      <w:rFonts w:cs="宋体"/>
      <w:sz w:val="18"/>
      <w:szCs w:val="18"/>
    </w:rPr>
  </w:style>
  <w:style w:type="paragraph" w:customStyle="1" w:styleId="1758">
    <w:name w:val="1-表内样式"/>
    <w:basedOn w:val="1"/>
    <w:link w:val="1757"/>
    <w:semiHidden/>
    <w:qFormat/>
    <w:uiPriority w:val="0"/>
    <w:pPr>
      <w:framePr w:hSpace="181" w:wrap="around" w:vAnchor="page" w:hAnchor="page" w:xAlign="center" w:y="1725"/>
      <w:adjustRightInd w:val="0"/>
      <w:snapToGrid w:val="0"/>
      <w:spacing w:line="360" w:lineRule="auto"/>
      <w:ind w:firstLine="200" w:firstLineChars="200"/>
      <w:jc w:val="center"/>
    </w:pPr>
    <w:rPr>
      <w:rFonts w:cs="宋体"/>
      <w:sz w:val="18"/>
      <w:szCs w:val="18"/>
    </w:rPr>
  </w:style>
  <w:style w:type="character" w:customStyle="1" w:styleId="1759">
    <w:name w:val="m_3"/>
    <w:basedOn w:val="109"/>
    <w:semiHidden/>
    <w:qFormat/>
    <w:uiPriority w:val="0"/>
  </w:style>
  <w:style w:type="character" w:customStyle="1" w:styleId="1760">
    <w:name w:val="君邦正文 Char Char"/>
    <w:basedOn w:val="109"/>
    <w:semiHidden/>
    <w:qFormat/>
    <w:uiPriority w:val="0"/>
    <w:rPr>
      <w:rFonts w:ascii="宋体" w:hAnsi="宋体"/>
      <w:kern w:val="2"/>
      <w:sz w:val="24"/>
      <w:szCs w:val="22"/>
    </w:rPr>
  </w:style>
  <w:style w:type="character" w:customStyle="1" w:styleId="1761">
    <w:name w:val="一级条 Char"/>
    <w:basedOn w:val="109"/>
    <w:semiHidden/>
    <w:qFormat/>
    <w:uiPriority w:val="0"/>
    <w:rPr>
      <w:rFonts w:eastAsia="黑体"/>
      <w:b/>
      <w:color w:val="0000FF"/>
      <w:kern w:val="2"/>
      <w:sz w:val="32"/>
      <w:lang w:bidi="ar-SA"/>
    </w:rPr>
  </w:style>
  <w:style w:type="character" w:customStyle="1" w:styleId="1762">
    <w:name w:val="表头 字元"/>
    <w:basedOn w:val="109"/>
    <w:semiHidden/>
    <w:qFormat/>
    <w:uiPriority w:val="0"/>
    <w:rPr>
      <w:rFonts w:eastAsia="黑体"/>
      <w:kern w:val="2"/>
      <w:sz w:val="24"/>
      <w:szCs w:val="24"/>
    </w:rPr>
  </w:style>
  <w:style w:type="character" w:customStyle="1" w:styleId="1763">
    <w:name w:val="君邦正文 Char2"/>
    <w:basedOn w:val="109"/>
    <w:link w:val="1764"/>
    <w:semiHidden/>
    <w:qFormat/>
    <w:uiPriority w:val="0"/>
    <w:rPr>
      <w:bCs/>
      <w:snapToGrid w:val="0"/>
      <w:sz w:val="24"/>
    </w:rPr>
  </w:style>
  <w:style w:type="paragraph" w:customStyle="1" w:styleId="1764">
    <w:name w:val="君邦正文"/>
    <w:basedOn w:val="1"/>
    <w:link w:val="1763"/>
    <w:semiHidden/>
    <w:qFormat/>
    <w:uiPriority w:val="0"/>
    <w:pPr>
      <w:spacing w:after="60" w:line="360" w:lineRule="auto"/>
      <w:ind w:firstLine="480" w:firstLineChars="200"/>
    </w:pPr>
    <w:rPr>
      <w:bCs/>
      <w:snapToGrid w:val="0"/>
      <w:sz w:val="24"/>
    </w:rPr>
  </w:style>
  <w:style w:type="character" w:customStyle="1" w:styleId="1765">
    <w:name w:val="m_26"/>
    <w:basedOn w:val="109"/>
    <w:semiHidden/>
    <w:qFormat/>
    <w:uiPriority w:val="0"/>
  </w:style>
  <w:style w:type="character" w:customStyle="1" w:styleId="1766">
    <w:name w:val="表头字体 Char1"/>
    <w:basedOn w:val="109"/>
    <w:link w:val="1767"/>
    <w:semiHidden/>
    <w:qFormat/>
    <w:uiPriority w:val="0"/>
    <w:rPr>
      <w:rFonts w:eastAsia="黑体"/>
      <w:b/>
      <w:bCs/>
      <w:color w:val="000000" w:themeColor="text1"/>
      <w:sz w:val="24"/>
      <w:szCs w:val="24"/>
      <w14:textFill>
        <w14:solidFill>
          <w14:schemeClr w14:val="tx1"/>
        </w14:solidFill>
      </w14:textFill>
    </w:rPr>
  </w:style>
  <w:style w:type="paragraph" w:customStyle="1" w:styleId="1767">
    <w:name w:val="表头字体"/>
    <w:basedOn w:val="5"/>
    <w:next w:val="1764"/>
    <w:link w:val="1766"/>
    <w:semiHidden/>
    <w:qFormat/>
    <w:uiPriority w:val="0"/>
    <w:pPr>
      <w:keepNext w:val="0"/>
      <w:keepLines w:val="0"/>
      <w:numPr>
        <w:ilvl w:val="0"/>
        <w:numId w:val="0"/>
      </w:numPr>
      <w:adjustRightInd w:val="0"/>
      <w:snapToGrid w:val="0"/>
      <w:spacing w:line="240" w:lineRule="auto"/>
      <w:jc w:val="center"/>
      <w:outlineLvl w:val="9"/>
    </w:pPr>
    <w:rPr>
      <w:rFonts w:eastAsia="黑体"/>
      <w:szCs w:val="24"/>
    </w:rPr>
  </w:style>
  <w:style w:type="character" w:customStyle="1" w:styleId="1768">
    <w:name w:val="报告表标题 Char"/>
    <w:basedOn w:val="109"/>
    <w:link w:val="1769"/>
    <w:semiHidden/>
    <w:qFormat/>
    <w:uiPriority w:val="0"/>
    <w:rPr>
      <w:b/>
      <w:sz w:val="28"/>
      <w:szCs w:val="28"/>
    </w:rPr>
  </w:style>
  <w:style w:type="paragraph" w:customStyle="1" w:styleId="1769">
    <w:name w:val="报告表标题"/>
    <w:basedOn w:val="1"/>
    <w:next w:val="1"/>
    <w:link w:val="1768"/>
    <w:semiHidden/>
    <w:qFormat/>
    <w:uiPriority w:val="0"/>
    <w:pPr>
      <w:adjustRightInd w:val="0"/>
      <w:snapToGrid w:val="0"/>
      <w:spacing w:line="360" w:lineRule="auto"/>
      <w:ind w:firstLine="200" w:firstLineChars="200"/>
    </w:pPr>
    <w:rPr>
      <w:b/>
      <w:sz w:val="28"/>
      <w:szCs w:val="28"/>
    </w:rPr>
  </w:style>
  <w:style w:type="character" w:customStyle="1" w:styleId="1770">
    <w:name w:val="样式12君邦正文 Char"/>
    <w:basedOn w:val="109"/>
    <w:link w:val="1771"/>
    <w:semiHidden/>
    <w:qFormat/>
    <w:uiPriority w:val="0"/>
    <w:rPr>
      <w:bCs/>
      <w:snapToGrid w:val="0"/>
      <w:sz w:val="24"/>
      <w:szCs w:val="24"/>
    </w:rPr>
  </w:style>
  <w:style w:type="paragraph" w:customStyle="1" w:styleId="1771">
    <w:name w:val="样式12君邦正文"/>
    <w:basedOn w:val="1764"/>
    <w:link w:val="1770"/>
    <w:semiHidden/>
    <w:qFormat/>
    <w:uiPriority w:val="0"/>
    <w:rPr>
      <w:szCs w:val="24"/>
    </w:rPr>
  </w:style>
  <w:style w:type="character" w:customStyle="1" w:styleId="1772">
    <w:name w:val="m_42"/>
    <w:basedOn w:val="109"/>
    <w:semiHidden/>
    <w:qFormat/>
    <w:uiPriority w:val="0"/>
  </w:style>
  <w:style w:type="character" w:customStyle="1" w:styleId="1773">
    <w:name w:val="表格 标题 Char"/>
    <w:basedOn w:val="109"/>
    <w:link w:val="1774"/>
    <w:semiHidden/>
    <w:qFormat/>
    <w:uiPriority w:val="0"/>
    <w:rPr>
      <w:rFonts w:eastAsia="仿宋_GB2312"/>
      <w:b/>
      <w:sz w:val="24"/>
      <w:szCs w:val="24"/>
    </w:rPr>
  </w:style>
  <w:style w:type="paragraph" w:customStyle="1" w:styleId="1774">
    <w:name w:val="表格 标题"/>
    <w:basedOn w:val="1"/>
    <w:link w:val="1773"/>
    <w:semiHidden/>
    <w:qFormat/>
    <w:uiPriority w:val="0"/>
    <w:pPr>
      <w:adjustRightInd w:val="0"/>
      <w:snapToGrid w:val="0"/>
      <w:spacing w:line="500" w:lineRule="exact"/>
      <w:ind w:firstLine="200" w:firstLineChars="200"/>
      <w:jc w:val="center"/>
    </w:pPr>
    <w:rPr>
      <w:rFonts w:eastAsia="仿宋_GB2312"/>
      <w:b/>
      <w:sz w:val="24"/>
      <w:szCs w:val="24"/>
    </w:rPr>
  </w:style>
  <w:style w:type="character" w:customStyle="1" w:styleId="1775">
    <w:name w:val="报告书表头 Char"/>
    <w:basedOn w:val="109"/>
    <w:link w:val="1776"/>
    <w:semiHidden/>
    <w:qFormat/>
    <w:uiPriority w:val="0"/>
    <w:rPr>
      <w:rFonts w:eastAsia="黑体"/>
      <w:b/>
      <w:sz w:val="24"/>
    </w:rPr>
  </w:style>
  <w:style w:type="paragraph" w:customStyle="1" w:styleId="1776">
    <w:name w:val="报告书表头"/>
    <w:basedOn w:val="1"/>
    <w:link w:val="1775"/>
    <w:semiHidden/>
    <w:qFormat/>
    <w:uiPriority w:val="0"/>
    <w:pPr>
      <w:adjustRightInd w:val="0"/>
      <w:snapToGrid w:val="0"/>
      <w:spacing w:line="360" w:lineRule="auto"/>
      <w:ind w:firstLine="200" w:firstLineChars="200"/>
      <w:jc w:val="center"/>
    </w:pPr>
    <w:rPr>
      <w:rFonts w:eastAsia="黑体"/>
      <w:b/>
      <w:sz w:val="24"/>
    </w:rPr>
  </w:style>
  <w:style w:type="character" w:customStyle="1" w:styleId="1777">
    <w:name w:val="m_17"/>
    <w:basedOn w:val="109"/>
    <w:semiHidden/>
    <w:qFormat/>
    <w:uiPriority w:val="0"/>
  </w:style>
  <w:style w:type="character" w:customStyle="1" w:styleId="1778">
    <w:name w:val="m_38"/>
    <w:basedOn w:val="109"/>
    <w:semiHidden/>
    <w:qFormat/>
    <w:uiPriority w:val="0"/>
  </w:style>
  <w:style w:type="character" w:customStyle="1" w:styleId="1779">
    <w:name w:val="m_35"/>
    <w:basedOn w:val="109"/>
    <w:semiHidden/>
    <w:qFormat/>
    <w:uiPriority w:val="0"/>
  </w:style>
  <w:style w:type="character" w:customStyle="1" w:styleId="1780">
    <w:name w:val="纯文本 字符"/>
    <w:basedOn w:val="109"/>
    <w:uiPriority w:val="99"/>
    <w:rPr>
      <w:rFonts w:ascii="宋体" w:hAnsi="Courier New" w:eastAsia="宋体"/>
      <w:kern w:val="2"/>
      <w:sz w:val="21"/>
      <w:lang w:val="en-US" w:eastAsia="zh-CN" w:bidi="ar-SA"/>
    </w:rPr>
  </w:style>
  <w:style w:type="character" w:customStyle="1" w:styleId="1781">
    <w:name w:val="m_36"/>
    <w:basedOn w:val="109"/>
    <w:semiHidden/>
    <w:qFormat/>
    <w:uiPriority w:val="0"/>
  </w:style>
  <w:style w:type="character" w:customStyle="1" w:styleId="1782">
    <w:name w:val="普通文字 Char Char3"/>
    <w:basedOn w:val="109"/>
    <w:semiHidden/>
    <w:qFormat/>
    <w:uiPriority w:val="0"/>
    <w:rPr>
      <w:rFonts w:ascii="宋体" w:hAnsi="Courier New" w:eastAsia="宋体"/>
      <w:kern w:val="2"/>
      <w:sz w:val="21"/>
      <w:lang w:val="en-US" w:eastAsia="zh-CN"/>
    </w:rPr>
  </w:style>
  <w:style w:type="character" w:customStyle="1" w:styleId="1783">
    <w:name w:val="报告表正文 Char1"/>
    <w:basedOn w:val="109"/>
    <w:link w:val="864"/>
    <w:semiHidden/>
    <w:qFormat/>
    <w:uiPriority w:val="0"/>
    <w:rPr>
      <w:sz w:val="24"/>
    </w:rPr>
  </w:style>
  <w:style w:type="character" w:customStyle="1" w:styleId="1784">
    <w:name w:val="脚注文本 Char1"/>
    <w:basedOn w:val="109"/>
    <w:semiHidden/>
    <w:qFormat/>
    <w:uiPriority w:val="99"/>
    <w:rPr>
      <w:rFonts w:ascii="Times New Roman" w:hAnsi="Times New Roman" w:eastAsia="宋体" w:cs="Times New Roman"/>
      <w:sz w:val="18"/>
      <w:szCs w:val="18"/>
    </w:rPr>
  </w:style>
  <w:style w:type="character" w:customStyle="1" w:styleId="1785">
    <w:name w:val="正文小四 Char"/>
    <w:basedOn w:val="109"/>
    <w:link w:val="1021"/>
    <w:semiHidden/>
    <w:qFormat/>
    <w:locked/>
    <w:uiPriority w:val="0"/>
    <w:rPr>
      <w:sz w:val="24"/>
      <w:szCs w:val="24"/>
    </w:rPr>
  </w:style>
  <w:style w:type="character" w:customStyle="1" w:styleId="1786">
    <w:name w:val="123YJ Char Char"/>
    <w:basedOn w:val="109"/>
    <w:semiHidden/>
    <w:qFormat/>
    <w:uiPriority w:val="0"/>
    <w:rPr>
      <w:kern w:val="2"/>
      <w:sz w:val="18"/>
      <w:szCs w:val="18"/>
    </w:rPr>
  </w:style>
  <w:style w:type="character" w:customStyle="1" w:styleId="1787">
    <w:name w:val="样式 表头样式1 + 非加粗 Char"/>
    <w:basedOn w:val="1788"/>
    <w:link w:val="1790"/>
    <w:semiHidden/>
    <w:qFormat/>
    <w:uiPriority w:val="0"/>
    <w:rPr>
      <w:rFonts w:eastAsia="黑体"/>
      <w:sz w:val="24"/>
    </w:rPr>
  </w:style>
  <w:style w:type="character" w:customStyle="1" w:styleId="1788">
    <w:name w:val="表头样式1 Char1"/>
    <w:basedOn w:val="109"/>
    <w:link w:val="1789"/>
    <w:semiHidden/>
    <w:qFormat/>
    <w:uiPriority w:val="0"/>
    <w:rPr>
      <w:rFonts w:eastAsia="黑体"/>
      <w:b/>
      <w:sz w:val="24"/>
    </w:rPr>
  </w:style>
  <w:style w:type="paragraph" w:customStyle="1" w:styleId="1789">
    <w:name w:val="表头样式1"/>
    <w:basedOn w:val="1"/>
    <w:link w:val="1788"/>
    <w:semiHidden/>
    <w:qFormat/>
    <w:uiPriority w:val="0"/>
    <w:pPr>
      <w:adjustRightInd w:val="0"/>
      <w:snapToGrid w:val="0"/>
      <w:spacing w:beforeLines="50" w:line="360" w:lineRule="auto"/>
      <w:ind w:firstLine="200" w:firstLineChars="200"/>
      <w:jc w:val="center"/>
    </w:pPr>
    <w:rPr>
      <w:rFonts w:eastAsia="黑体"/>
      <w:b/>
      <w:sz w:val="24"/>
    </w:rPr>
  </w:style>
  <w:style w:type="paragraph" w:customStyle="1" w:styleId="1790">
    <w:name w:val="样式 表头样式1 + 非加粗"/>
    <w:basedOn w:val="1789"/>
    <w:link w:val="1787"/>
    <w:semiHidden/>
    <w:qFormat/>
    <w:uiPriority w:val="0"/>
    <w:pPr>
      <w:spacing w:beforeLines="0"/>
    </w:pPr>
  </w:style>
  <w:style w:type="character" w:customStyle="1" w:styleId="1791">
    <w:name w:val="字元2 Char"/>
    <w:basedOn w:val="109"/>
    <w:semiHidden/>
    <w:qFormat/>
    <w:uiPriority w:val="0"/>
    <w:rPr>
      <w:rFonts w:eastAsia="宋体"/>
      <w:kern w:val="2"/>
      <w:sz w:val="18"/>
      <w:szCs w:val="18"/>
      <w:lang w:val="en-US" w:eastAsia="zh-CN" w:bidi="ar-SA"/>
    </w:rPr>
  </w:style>
  <w:style w:type="character" w:customStyle="1" w:styleId="1792">
    <w:name w:val="m_16"/>
    <w:basedOn w:val="109"/>
    <w:semiHidden/>
    <w:qFormat/>
    <w:uiPriority w:val="0"/>
  </w:style>
  <w:style w:type="character" w:customStyle="1" w:styleId="1793">
    <w:name w:val="君邦正文2 Char"/>
    <w:basedOn w:val="109"/>
    <w:link w:val="1794"/>
    <w:semiHidden/>
    <w:qFormat/>
    <w:uiPriority w:val="0"/>
    <w:rPr>
      <w:bCs/>
      <w:snapToGrid w:val="0"/>
      <w:sz w:val="24"/>
    </w:rPr>
  </w:style>
  <w:style w:type="paragraph" w:customStyle="1" w:styleId="1794">
    <w:name w:val="君邦正文2"/>
    <w:basedOn w:val="1"/>
    <w:link w:val="1793"/>
    <w:semiHidden/>
    <w:qFormat/>
    <w:uiPriority w:val="0"/>
    <w:pPr>
      <w:spacing w:after="60" w:line="360" w:lineRule="auto"/>
      <w:ind w:firstLine="480" w:firstLineChars="200"/>
    </w:pPr>
    <w:rPr>
      <w:bCs/>
      <w:snapToGrid w:val="0"/>
      <w:sz w:val="24"/>
    </w:rPr>
  </w:style>
  <w:style w:type="character" w:customStyle="1" w:styleId="1795">
    <w:name w:val="tpc_content1"/>
    <w:basedOn w:val="109"/>
    <w:semiHidden/>
    <w:qFormat/>
    <w:uiPriority w:val="0"/>
    <w:rPr>
      <w:sz w:val="20"/>
      <w:szCs w:val="20"/>
    </w:rPr>
  </w:style>
  <w:style w:type="character" w:customStyle="1" w:styleId="1796">
    <w:name w:val="正文（首行缩进两字） Char2"/>
    <w:basedOn w:val="109"/>
    <w:semiHidden/>
    <w:qFormat/>
    <w:uiPriority w:val="0"/>
  </w:style>
  <w:style w:type="character" w:customStyle="1" w:styleId="1797">
    <w:name w:val="表内格式 Char Char"/>
    <w:basedOn w:val="109"/>
    <w:semiHidden/>
    <w:qFormat/>
    <w:uiPriority w:val="0"/>
    <w:rPr>
      <w:rFonts w:ascii="宋体" w:hAnsi="宋体" w:eastAsia="宋体"/>
      <w:kern w:val="2"/>
      <w:sz w:val="21"/>
      <w:lang w:val="en-US" w:eastAsia="zh-CN" w:bidi="ar-SA"/>
    </w:rPr>
  </w:style>
  <w:style w:type="character" w:customStyle="1" w:styleId="1798">
    <w:name w:val="m_33"/>
    <w:basedOn w:val="109"/>
    <w:semiHidden/>
    <w:qFormat/>
    <w:uiPriority w:val="0"/>
  </w:style>
  <w:style w:type="character" w:customStyle="1" w:styleId="1799">
    <w:name w:val="报告表正文 Char"/>
    <w:basedOn w:val="109"/>
    <w:semiHidden/>
    <w:qFormat/>
    <w:uiPriority w:val="0"/>
    <w:rPr>
      <w:rFonts w:eastAsia="楷体_GB2312"/>
      <w:kern w:val="2"/>
      <w:sz w:val="24"/>
      <w:szCs w:val="24"/>
      <w:lang w:val="en-US" w:eastAsia="zh-CN" w:bidi="ar-SA"/>
    </w:rPr>
  </w:style>
  <w:style w:type="character" w:customStyle="1" w:styleId="1800">
    <w:name w:val="样式31 Char"/>
    <w:basedOn w:val="109"/>
    <w:link w:val="1801"/>
    <w:semiHidden/>
    <w:qFormat/>
    <w:uiPriority w:val="0"/>
    <w:rPr>
      <w:rFonts w:eastAsia="黑体" w:cs="Arial"/>
      <w:b/>
      <w:color w:val="000000"/>
      <w:sz w:val="24"/>
      <w:szCs w:val="28"/>
    </w:rPr>
  </w:style>
  <w:style w:type="paragraph" w:customStyle="1" w:styleId="1801">
    <w:name w:val="样式31"/>
    <w:basedOn w:val="4"/>
    <w:link w:val="1800"/>
    <w:semiHidden/>
    <w:qFormat/>
    <w:uiPriority w:val="0"/>
    <w:pPr>
      <w:widowControl w:val="0"/>
      <w:adjustRightInd w:val="0"/>
      <w:snapToGrid w:val="0"/>
      <w:spacing w:line="360" w:lineRule="auto"/>
      <w:ind w:firstLine="200" w:firstLineChars="200"/>
    </w:pPr>
    <w:rPr>
      <w:rFonts w:cs="Arial"/>
      <w:color w:val="000000"/>
      <w:sz w:val="24"/>
      <w:szCs w:val="28"/>
    </w:rPr>
  </w:style>
  <w:style w:type="character" w:customStyle="1" w:styleId="1802">
    <w:name w:val="文本条款 Char1"/>
    <w:basedOn w:val="109"/>
    <w:semiHidden/>
    <w:qFormat/>
    <w:uiPriority w:val="0"/>
    <w:rPr>
      <w:rFonts w:eastAsia="宋体"/>
      <w:kern w:val="2"/>
      <w:sz w:val="24"/>
      <w:lang w:val="en-US" w:eastAsia="zh-CN" w:bidi="ar-SA"/>
    </w:rPr>
  </w:style>
  <w:style w:type="character" w:customStyle="1" w:styleId="1803">
    <w:name w:val="标题5（内标） Char"/>
    <w:basedOn w:val="109"/>
    <w:link w:val="1804"/>
    <w:semiHidden/>
    <w:qFormat/>
    <w:uiPriority w:val="0"/>
    <w:rPr>
      <w:rFonts w:eastAsia="黑体"/>
      <w:b/>
      <w:bCs/>
      <w:sz w:val="24"/>
    </w:rPr>
  </w:style>
  <w:style w:type="paragraph" w:customStyle="1" w:styleId="1804">
    <w:name w:val="标题5（内标）"/>
    <w:basedOn w:val="1"/>
    <w:next w:val="1"/>
    <w:link w:val="1803"/>
    <w:semiHidden/>
    <w:qFormat/>
    <w:uiPriority w:val="0"/>
    <w:pPr>
      <w:adjustRightInd w:val="0"/>
      <w:snapToGrid w:val="0"/>
      <w:spacing w:line="360" w:lineRule="auto"/>
      <w:ind w:left="420" w:hanging="420"/>
      <w:outlineLvl w:val="4"/>
    </w:pPr>
    <w:rPr>
      <w:rFonts w:eastAsia="黑体"/>
      <w:b/>
      <w:bCs/>
      <w:sz w:val="24"/>
    </w:rPr>
  </w:style>
  <w:style w:type="character" w:customStyle="1" w:styleId="1805">
    <w:name w:val="样式 君邦正文 + 蓝色1 Char"/>
    <w:basedOn w:val="109"/>
    <w:link w:val="1806"/>
    <w:semiHidden/>
    <w:qFormat/>
    <w:uiPriority w:val="0"/>
    <w:rPr>
      <w:bCs/>
      <w:snapToGrid w:val="0"/>
      <w:color w:val="0000FF"/>
      <w:sz w:val="24"/>
    </w:rPr>
  </w:style>
  <w:style w:type="paragraph" w:customStyle="1" w:styleId="1806">
    <w:name w:val="样式 君邦正文 + 蓝色1"/>
    <w:basedOn w:val="1764"/>
    <w:link w:val="1805"/>
    <w:semiHidden/>
    <w:qFormat/>
    <w:uiPriority w:val="0"/>
    <w:rPr>
      <w:color w:val="0000FF"/>
    </w:rPr>
  </w:style>
  <w:style w:type="character" w:customStyle="1" w:styleId="1807">
    <w:name w:val="君邦正文 Char1"/>
    <w:basedOn w:val="109"/>
    <w:semiHidden/>
    <w:qFormat/>
    <w:uiPriority w:val="0"/>
    <w:rPr>
      <w:bCs/>
      <w:snapToGrid w:val="0"/>
      <w:sz w:val="24"/>
      <w:lang w:val="en-US" w:eastAsia="zh-CN" w:bidi="ar-SA"/>
    </w:rPr>
  </w:style>
  <w:style w:type="character" w:customStyle="1" w:styleId="1808">
    <w:name w:val="普通文字 Char Char1"/>
    <w:basedOn w:val="109"/>
    <w:semiHidden/>
    <w:qFormat/>
    <w:uiPriority w:val="0"/>
    <w:rPr>
      <w:rFonts w:ascii="宋体" w:hAnsi="Courier New" w:eastAsia="宋体"/>
      <w:kern w:val="2"/>
      <w:sz w:val="21"/>
      <w:lang w:val="en-US" w:eastAsia="zh-CN" w:bidi="ar-SA"/>
    </w:rPr>
  </w:style>
  <w:style w:type="character" w:customStyle="1" w:styleId="1809">
    <w:name w:val="m_48"/>
    <w:basedOn w:val="109"/>
    <w:semiHidden/>
    <w:qFormat/>
    <w:uiPriority w:val="0"/>
  </w:style>
  <w:style w:type="character" w:customStyle="1" w:styleId="1810">
    <w:name w:val="m_32"/>
    <w:basedOn w:val="109"/>
    <w:semiHidden/>
    <w:qFormat/>
    <w:uiPriority w:val="0"/>
  </w:style>
  <w:style w:type="character" w:customStyle="1" w:styleId="1811">
    <w:name w:val="m_20"/>
    <w:basedOn w:val="109"/>
    <w:semiHidden/>
    <w:qFormat/>
    <w:uiPriority w:val="0"/>
  </w:style>
  <w:style w:type="character" w:customStyle="1" w:styleId="1812">
    <w:name w:val="m_19"/>
    <w:basedOn w:val="109"/>
    <w:semiHidden/>
    <w:qFormat/>
    <w:uiPriority w:val="0"/>
  </w:style>
  <w:style w:type="character" w:customStyle="1" w:styleId="1813">
    <w:name w:val="页脚 字符"/>
    <w:basedOn w:val="109"/>
    <w:semiHidden/>
    <w:qFormat/>
    <w:uiPriority w:val="99"/>
  </w:style>
  <w:style w:type="character" w:customStyle="1" w:styleId="1814">
    <w:name w:val="表内格式 Char"/>
    <w:basedOn w:val="109"/>
    <w:semiHidden/>
    <w:qFormat/>
    <w:uiPriority w:val="0"/>
    <w:rPr>
      <w:rFonts w:ascii="Times New Roman" w:hAnsi="Times New Roman"/>
      <w:kern w:val="2"/>
      <w:sz w:val="18"/>
    </w:rPr>
  </w:style>
  <w:style w:type="character" w:customStyle="1" w:styleId="1815">
    <w:name w:val="表格头 Char"/>
    <w:basedOn w:val="109"/>
    <w:link w:val="1816"/>
    <w:semiHidden/>
    <w:qFormat/>
    <w:uiPriority w:val="0"/>
    <w:rPr>
      <w:rFonts w:ascii="Arial" w:hAnsi="Arial"/>
      <w:szCs w:val="21"/>
    </w:rPr>
  </w:style>
  <w:style w:type="paragraph" w:customStyle="1" w:styleId="1816">
    <w:name w:val="表格头"/>
    <w:basedOn w:val="228"/>
    <w:link w:val="1815"/>
    <w:semiHidden/>
    <w:qFormat/>
    <w:uiPriority w:val="0"/>
    <w:pPr>
      <w:widowControl w:val="0"/>
      <w:tabs>
        <w:tab w:val="left" w:pos="432"/>
      </w:tabs>
      <w:spacing w:line="280" w:lineRule="exact"/>
      <w:ind w:left="-20" w:leftChars="-20" w:right="-20" w:rightChars="-20" w:firstLine="200" w:firstLineChars="200"/>
    </w:pPr>
    <w:rPr>
      <w:rFonts w:ascii="Arial" w:hAnsi="Arial" w:cs="Times New Roman"/>
      <w:sz w:val="20"/>
      <w:szCs w:val="21"/>
    </w:rPr>
  </w:style>
  <w:style w:type="character" w:customStyle="1" w:styleId="1817">
    <w:name w:val="user0011"/>
    <w:basedOn w:val="109"/>
    <w:semiHidden/>
    <w:qFormat/>
    <w:uiPriority w:val="0"/>
    <w:rPr>
      <w:sz w:val="18"/>
      <w:szCs w:val="18"/>
    </w:rPr>
  </w:style>
  <w:style w:type="character" w:customStyle="1" w:styleId="1818">
    <w:name w:val="m_18"/>
    <w:basedOn w:val="109"/>
    <w:semiHidden/>
    <w:qFormat/>
    <w:uiPriority w:val="0"/>
  </w:style>
  <w:style w:type="character" w:customStyle="1" w:styleId="1819">
    <w:name w:val="表头、图尾 Char"/>
    <w:basedOn w:val="109"/>
    <w:link w:val="1820"/>
    <w:semiHidden/>
    <w:qFormat/>
    <w:uiPriority w:val="0"/>
    <w:rPr>
      <w:rFonts w:eastAsia="仿宋_GB2312"/>
      <w:b/>
      <w:sz w:val="24"/>
    </w:rPr>
  </w:style>
  <w:style w:type="paragraph" w:customStyle="1" w:styleId="1820">
    <w:name w:val="表头、图尾"/>
    <w:basedOn w:val="1"/>
    <w:next w:val="1"/>
    <w:link w:val="1819"/>
    <w:semiHidden/>
    <w:qFormat/>
    <w:uiPriority w:val="0"/>
    <w:pPr>
      <w:spacing w:line="500" w:lineRule="exact"/>
      <w:jc w:val="center"/>
    </w:pPr>
    <w:rPr>
      <w:rFonts w:eastAsia="仿宋_GB2312"/>
      <w:b/>
      <w:sz w:val="24"/>
    </w:rPr>
  </w:style>
  <w:style w:type="character" w:customStyle="1" w:styleId="1821">
    <w:name w:val="表格标题 Char"/>
    <w:basedOn w:val="109"/>
    <w:link w:val="1822"/>
    <w:semiHidden/>
    <w:qFormat/>
    <w:uiPriority w:val="0"/>
    <w:rPr>
      <w:rFonts w:eastAsia="黑体"/>
      <w:b/>
      <w:color w:val="000000"/>
      <w:sz w:val="24"/>
      <w:szCs w:val="28"/>
    </w:rPr>
  </w:style>
  <w:style w:type="paragraph" w:customStyle="1" w:styleId="1822">
    <w:name w:val="表格标题"/>
    <w:basedOn w:val="1"/>
    <w:link w:val="1821"/>
    <w:semiHidden/>
    <w:qFormat/>
    <w:uiPriority w:val="0"/>
    <w:pPr>
      <w:autoSpaceDE w:val="0"/>
      <w:autoSpaceDN w:val="0"/>
      <w:adjustRightInd w:val="0"/>
      <w:snapToGrid w:val="0"/>
      <w:spacing w:line="360" w:lineRule="auto"/>
      <w:ind w:firstLine="200" w:firstLineChars="200"/>
      <w:jc w:val="center"/>
    </w:pPr>
    <w:rPr>
      <w:rFonts w:eastAsia="黑体"/>
      <w:b/>
      <w:color w:val="000000"/>
      <w:sz w:val="24"/>
      <w:szCs w:val="28"/>
    </w:rPr>
  </w:style>
  <w:style w:type="character" w:customStyle="1" w:styleId="1823">
    <w:name w:val="p121"/>
    <w:basedOn w:val="109"/>
    <w:semiHidden/>
    <w:qFormat/>
    <w:uiPriority w:val="0"/>
    <w:rPr>
      <w:rFonts w:hint="eastAsia" w:ascii="宋体" w:eastAsia="宋体"/>
      <w:b/>
      <w:bCs/>
      <w:color w:val="000000"/>
      <w:sz w:val="18"/>
      <w:szCs w:val="18"/>
    </w:rPr>
  </w:style>
  <w:style w:type="character" w:customStyle="1" w:styleId="1824">
    <w:name w:val="m_0"/>
    <w:basedOn w:val="109"/>
    <w:semiHidden/>
    <w:qFormat/>
    <w:uiPriority w:val="0"/>
  </w:style>
  <w:style w:type="character" w:customStyle="1" w:styleId="1825">
    <w:name w:val="批注文字 字符"/>
    <w:basedOn w:val="109"/>
    <w:semiHidden/>
    <w:qFormat/>
    <w:uiPriority w:val="99"/>
    <w:rPr>
      <w:kern w:val="2"/>
      <w:sz w:val="21"/>
      <w:szCs w:val="24"/>
    </w:rPr>
  </w:style>
  <w:style w:type="character" w:customStyle="1" w:styleId="1826">
    <w:name w:val="君邦正文 Char"/>
    <w:basedOn w:val="109"/>
    <w:semiHidden/>
    <w:qFormat/>
    <w:uiPriority w:val="0"/>
    <w:rPr>
      <w:rFonts w:eastAsia="宋体"/>
      <w:bCs/>
      <w:sz w:val="24"/>
      <w:lang w:val="en-US" w:eastAsia="zh-CN" w:bidi="ar-SA"/>
    </w:rPr>
  </w:style>
  <w:style w:type="character" w:customStyle="1" w:styleId="1827">
    <w:name w:val="标题5 Char"/>
    <w:basedOn w:val="109"/>
    <w:link w:val="876"/>
    <w:semiHidden/>
    <w:qFormat/>
    <w:uiPriority w:val="0"/>
    <w:rPr>
      <w:rFonts w:ascii="宋体" w:hAnsi="宋体"/>
      <w:b/>
      <w:bCs/>
      <w:sz w:val="24"/>
      <w:szCs w:val="24"/>
    </w:rPr>
  </w:style>
  <w:style w:type="paragraph" w:customStyle="1" w:styleId="1828">
    <w:name w:val="1-正文"/>
    <w:basedOn w:val="1764"/>
    <w:semiHidden/>
    <w:qFormat/>
    <w:uiPriority w:val="0"/>
    <w:pPr>
      <w:ind w:firstLine="200"/>
    </w:pPr>
  </w:style>
  <w:style w:type="character" w:customStyle="1" w:styleId="1829">
    <w:name w:val="Char Char35"/>
    <w:basedOn w:val="109"/>
    <w:semiHidden/>
    <w:qFormat/>
    <w:uiPriority w:val="0"/>
    <w:rPr>
      <w:rFonts w:eastAsia="宋体"/>
      <w:kern w:val="2"/>
      <w:sz w:val="18"/>
      <w:szCs w:val="18"/>
      <w:lang w:val="en-US" w:eastAsia="zh-CN" w:bidi="ar-SA"/>
    </w:rPr>
  </w:style>
  <w:style w:type="character" w:customStyle="1" w:styleId="1830">
    <w:name w:val="9pt1"/>
    <w:basedOn w:val="109"/>
    <w:semiHidden/>
    <w:qFormat/>
    <w:uiPriority w:val="0"/>
    <w:rPr>
      <w:rFonts w:hint="default" w:ascii="Arial" w:hAnsi="Arial" w:cs="Arial"/>
      <w:color w:val="000000"/>
      <w:spacing w:val="240"/>
      <w:sz w:val="18"/>
      <w:szCs w:val="18"/>
    </w:rPr>
  </w:style>
  <w:style w:type="character" w:customStyle="1" w:styleId="1831">
    <w:name w:val="m_37"/>
    <w:basedOn w:val="109"/>
    <w:semiHidden/>
    <w:qFormat/>
    <w:uiPriority w:val="0"/>
  </w:style>
  <w:style w:type="character" w:customStyle="1" w:styleId="1832">
    <w:name w:val="报告书 正文 Char"/>
    <w:basedOn w:val="109"/>
    <w:link w:val="1833"/>
    <w:semiHidden/>
    <w:qFormat/>
    <w:uiPriority w:val="0"/>
    <w:rPr>
      <w:rFonts w:eastAsia="仿宋_GB2312"/>
      <w:sz w:val="28"/>
      <w:szCs w:val="24"/>
    </w:rPr>
  </w:style>
  <w:style w:type="paragraph" w:customStyle="1" w:styleId="1833">
    <w:name w:val="报告书 正文"/>
    <w:basedOn w:val="1"/>
    <w:link w:val="1832"/>
    <w:semiHidden/>
    <w:qFormat/>
    <w:uiPriority w:val="0"/>
    <w:pPr>
      <w:adjustRightInd w:val="0"/>
      <w:snapToGrid w:val="0"/>
      <w:spacing w:line="500" w:lineRule="exact"/>
      <w:ind w:firstLine="200" w:firstLineChars="200"/>
    </w:pPr>
    <w:rPr>
      <w:rFonts w:eastAsia="仿宋_GB2312"/>
      <w:sz w:val="28"/>
      <w:szCs w:val="24"/>
    </w:rPr>
  </w:style>
  <w:style w:type="character" w:customStyle="1" w:styleId="1834">
    <w:name w:val="1-君邦报告书表头 Char"/>
    <w:basedOn w:val="109"/>
    <w:link w:val="1835"/>
    <w:semiHidden/>
    <w:qFormat/>
    <w:uiPriority w:val="0"/>
    <w:rPr>
      <w:rFonts w:eastAsia="黑体"/>
      <w:b/>
      <w:sz w:val="24"/>
    </w:rPr>
  </w:style>
  <w:style w:type="paragraph" w:customStyle="1" w:styleId="1835">
    <w:name w:val="1-君邦报告书表头"/>
    <w:basedOn w:val="1"/>
    <w:link w:val="1834"/>
    <w:semiHidden/>
    <w:qFormat/>
    <w:uiPriority w:val="0"/>
    <w:pPr>
      <w:adjustRightInd w:val="0"/>
      <w:snapToGrid w:val="0"/>
      <w:spacing w:beforeLines="50" w:line="360" w:lineRule="auto"/>
      <w:ind w:firstLine="200" w:firstLineChars="200"/>
      <w:jc w:val="center"/>
    </w:pPr>
    <w:rPr>
      <w:rFonts w:eastAsia="黑体"/>
      <w:b/>
      <w:sz w:val="24"/>
    </w:rPr>
  </w:style>
  <w:style w:type="character" w:customStyle="1" w:styleId="1836">
    <w:name w:val="环科院正文 Char"/>
    <w:basedOn w:val="109"/>
    <w:link w:val="1837"/>
    <w:semiHidden/>
    <w:qFormat/>
    <w:uiPriority w:val="0"/>
    <w:rPr>
      <w:snapToGrid w:val="0"/>
      <w:sz w:val="24"/>
      <w:szCs w:val="24"/>
    </w:rPr>
  </w:style>
  <w:style w:type="paragraph" w:customStyle="1" w:styleId="1837">
    <w:name w:val="环科院正文"/>
    <w:basedOn w:val="1"/>
    <w:link w:val="1836"/>
    <w:semiHidden/>
    <w:qFormat/>
    <w:uiPriority w:val="0"/>
    <w:pPr>
      <w:adjustRightInd w:val="0"/>
      <w:snapToGrid w:val="0"/>
      <w:spacing w:line="360" w:lineRule="auto"/>
      <w:ind w:firstLine="480" w:firstLineChars="200"/>
    </w:pPr>
    <w:rPr>
      <w:snapToGrid w:val="0"/>
      <w:sz w:val="24"/>
      <w:szCs w:val="24"/>
    </w:rPr>
  </w:style>
  <w:style w:type="character" w:customStyle="1" w:styleId="1838">
    <w:name w:val="报告书表格中文字 Char"/>
    <w:basedOn w:val="109"/>
    <w:link w:val="1839"/>
    <w:semiHidden/>
    <w:qFormat/>
    <w:uiPriority w:val="0"/>
    <w:rPr>
      <w:rFonts w:cs="宋体"/>
      <w:sz w:val="18"/>
      <w:szCs w:val="18"/>
    </w:rPr>
  </w:style>
  <w:style w:type="paragraph" w:customStyle="1" w:styleId="1839">
    <w:name w:val="报告书表格中文字"/>
    <w:basedOn w:val="1"/>
    <w:link w:val="1838"/>
    <w:semiHidden/>
    <w:qFormat/>
    <w:uiPriority w:val="0"/>
    <w:pPr>
      <w:adjustRightInd w:val="0"/>
      <w:snapToGrid w:val="0"/>
      <w:spacing w:line="360" w:lineRule="auto"/>
      <w:ind w:firstLine="200" w:firstLineChars="200"/>
      <w:jc w:val="center"/>
    </w:pPr>
    <w:rPr>
      <w:rFonts w:cs="宋体"/>
      <w:sz w:val="18"/>
      <w:szCs w:val="18"/>
    </w:rPr>
  </w:style>
  <w:style w:type="character" w:customStyle="1" w:styleId="1840">
    <w:name w:val="fontstyle21"/>
    <w:basedOn w:val="109"/>
    <w:semiHidden/>
    <w:qFormat/>
    <w:uiPriority w:val="0"/>
    <w:rPr>
      <w:rFonts w:hint="eastAsia" w:ascii="宋体" w:hAnsi="宋体" w:eastAsia="宋体"/>
      <w:color w:val="000000"/>
      <w:sz w:val="22"/>
      <w:szCs w:val="22"/>
    </w:rPr>
  </w:style>
  <w:style w:type="character" w:customStyle="1" w:styleId="1841">
    <w:name w:val="m_44"/>
    <w:basedOn w:val="109"/>
    <w:semiHidden/>
    <w:qFormat/>
    <w:uiPriority w:val="0"/>
  </w:style>
  <w:style w:type="character" w:customStyle="1" w:styleId="1842">
    <w:name w:val="意-表格标题 Char"/>
    <w:basedOn w:val="109"/>
    <w:link w:val="1843"/>
    <w:semiHidden/>
    <w:qFormat/>
    <w:uiPriority w:val="0"/>
    <w:rPr>
      <w:rFonts w:eastAsia="黑体"/>
      <w:bCs/>
      <w:sz w:val="24"/>
      <w:szCs w:val="24"/>
    </w:rPr>
  </w:style>
  <w:style w:type="paragraph" w:customStyle="1" w:styleId="1843">
    <w:name w:val="意-表格标题"/>
    <w:basedOn w:val="1"/>
    <w:link w:val="1842"/>
    <w:semiHidden/>
    <w:qFormat/>
    <w:uiPriority w:val="0"/>
    <w:pPr>
      <w:adjustRightInd w:val="0"/>
      <w:snapToGrid w:val="0"/>
      <w:spacing w:beforeLines="50" w:line="360" w:lineRule="auto"/>
      <w:ind w:firstLine="200" w:firstLineChars="200"/>
      <w:jc w:val="center"/>
    </w:pPr>
    <w:rPr>
      <w:rFonts w:eastAsia="黑体"/>
      <w:bCs/>
      <w:sz w:val="24"/>
      <w:szCs w:val="24"/>
    </w:rPr>
  </w:style>
  <w:style w:type="character" w:customStyle="1" w:styleId="1844">
    <w:name w:val="unnamed2"/>
    <w:basedOn w:val="109"/>
    <w:semiHidden/>
    <w:qFormat/>
    <w:uiPriority w:val="0"/>
  </w:style>
  <w:style w:type="character" w:customStyle="1" w:styleId="1845">
    <w:name w:val="m_43"/>
    <w:basedOn w:val="109"/>
    <w:semiHidden/>
    <w:qFormat/>
    <w:uiPriority w:val="0"/>
  </w:style>
  <w:style w:type="character" w:customStyle="1" w:styleId="1846">
    <w:name w:val="表格内文字 Char"/>
    <w:basedOn w:val="109"/>
    <w:link w:val="1847"/>
    <w:semiHidden/>
    <w:qFormat/>
    <w:uiPriority w:val="0"/>
    <w:rPr>
      <w:spacing w:val="6"/>
      <w:sz w:val="24"/>
    </w:rPr>
  </w:style>
  <w:style w:type="paragraph" w:customStyle="1" w:styleId="1847">
    <w:name w:val="表格内文字"/>
    <w:basedOn w:val="1"/>
    <w:link w:val="1846"/>
    <w:semiHidden/>
    <w:qFormat/>
    <w:uiPriority w:val="0"/>
    <w:pPr>
      <w:adjustRightInd w:val="0"/>
      <w:snapToGrid w:val="0"/>
      <w:spacing w:before="80" w:line="240" w:lineRule="exact"/>
      <w:ind w:firstLine="200" w:firstLineChars="200"/>
      <w:jc w:val="center"/>
    </w:pPr>
    <w:rPr>
      <w:spacing w:val="6"/>
      <w:sz w:val="24"/>
    </w:rPr>
  </w:style>
  <w:style w:type="character" w:customStyle="1" w:styleId="1848">
    <w:name w:val="正文缩进 字符"/>
    <w:basedOn w:val="109"/>
    <w:semiHidden/>
    <w:qFormat/>
    <w:uiPriority w:val="0"/>
    <w:rPr>
      <w:rFonts w:eastAsia="宋体"/>
      <w:kern w:val="2"/>
      <w:sz w:val="24"/>
      <w:lang w:val="en-US" w:eastAsia="zh-CN" w:bidi="ar-SA"/>
    </w:rPr>
  </w:style>
  <w:style w:type="character" w:customStyle="1" w:styleId="1849">
    <w:name w:val="君邦正文 Char Char Char Char"/>
    <w:basedOn w:val="109"/>
    <w:semiHidden/>
    <w:qFormat/>
    <w:uiPriority w:val="0"/>
    <w:rPr>
      <w:bCs/>
      <w:snapToGrid w:val="0"/>
      <w:sz w:val="24"/>
      <w:lang w:val="en-US" w:eastAsia="zh-CN" w:bidi="ar-SA"/>
    </w:rPr>
  </w:style>
  <w:style w:type="character" w:customStyle="1" w:styleId="1850">
    <w:name w:val="表内字体 Char"/>
    <w:basedOn w:val="109"/>
    <w:link w:val="1851"/>
    <w:semiHidden/>
    <w:qFormat/>
    <w:uiPriority w:val="0"/>
    <w:rPr>
      <w:sz w:val="18"/>
      <w:szCs w:val="18"/>
    </w:rPr>
  </w:style>
  <w:style w:type="paragraph" w:customStyle="1" w:styleId="1851">
    <w:name w:val="表内字体"/>
    <w:basedOn w:val="1"/>
    <w:link w:val="1850"/>
    <w:semiHidden/>
    <w:qFormat/>
    <w:uiPriority w:val="0"/>
    <w:pPr>
      <w:adjustRightInd w:val="0"/>
      <w:snapToGrid w:val="0"/>
      <w:spacing w:line="360" w:lineRule="auto"/>
      <w:ind w:firstLine="200" w:firstLineChars="200"/>
      <w:jc w:val="center"/>
      <w:textAlignment w:val="baseline"/>
    </w:pPr>
    <w:rPr>
      <w:sz w:val="18"/>
      <w:szCs w:val="18"/>
    </w:rPr>
  </w:style>
  <w:style w:type="character" w:customStyle="1" w:styleId="1852">
    <w:name w:val="样式3 Char"/>
    <w:basedOn w:val="109"/>
    <w:semiHidden/>
    <w:qFormat/>
    <w:uiPriority w:val="0"/>
    <w:rPr>
      <w:rFonts w:eastAsia="黑体"/>
      <w:sz w:val="24"/>
    </w:rPr>
  </w:style>
  <w:style w:type="character" w:customStyle="1" w:styleId="1853">
    <w:name w:val="unnamed21"/>
    <w:basedOn w:val="109"/>
    <w:semiHidden/>
    <w:qFormat/>
    <w:uiPriority w:val="0"/>
    <w:rPr>
      <w:rFonts w:hint="eastAsia" w:ascii="宋体" w:hAnsi="宋体" w:eastAsia="宋体"/>
      <w:sz w:val="18"/>
      <w:szCs w:val="18"/>
      <w:u w:val="none"/>
    </w:rPr>
  </w:style>
  <w:style w:type="character" w:customStyle="1" w:styleId="1854">
    <w:name w:val="表头样式 Char"/>
    <w:basedOn w:val="109"/>
    <w:link w:val="1855"/>
    <w:semiHidden/>
    <w:qFormat/>
    <w:uiPriority w:val="0"/>
    <w:rPr>
      <w:rFonts w:eastAsia="楷体_GB2312"/>
      <w:b/>
      <w:sz w:val="24"/>
      <w:szCs w:val="24"/>
    </w:rPr>
  </w:style>
  <w:style w:type="paragraph" w:customStyle="1" w:styleId="1855">
    <w:name w:val="表头样式"/>
    <w:basedOn w:val="1"/>
    <w:next w:val="864"/>
    <w:link w:val="1854"/>
    <w:semiHidden/>
    <w:qFormat/>
    <w:uiPriority w:val="0"/>
    <w:pPr>
      <w:adjustRightInd w:val="0"/>
      <w:snapToGrid w:val="0"/>
      <w:spacing w:line="360" w:lineRule="auto"/>
      <w:ind w:firstLine="200" w:firstLineChars="200"/>
      <w:jc w:val="center"/>
    </w:pPr>
    <w:rPr>
      <w:rFonts w:eastAsia="楷体_GB2312"/>
      <w:b/>
      <w:sz w:val="24"/>
      <w:szCs w:val="24"/>
    </w:rPr>
  </w:style>
  <w:style w:type="character" w:customStyle="1" w:styleId="1856">
    <w:name w:val="样式 (中文) 楷体_GB2312 小五 居中 Char"/>
    <w:basedOn w:val="109"/>
    <w:link w:val="1857"/>
    <w:semiHidden/>
    <w:qFormat/>
    <w:uiPriority w:val="0"/>
    <w:rPr>
      <w:rFonts w:eastAsia="楷体_GB2312" w:cs="宋体"/>
      <w:sz w:val="18"/>
    </w:rPr>
  </w:style>
  <w:style w:type="paragraph" w:customStyle="1" w:styleId="1857">
    <w:name w:val="样式 (中文) 楷体_GB2312 小五 居中"/>
    <w:basedOn w:val="1"/>
    <w:link w:val="1856"/>
    <w:semiHidden/>
    <w:qFormat/>
    <w:uiPriority w:val="0"/>
    <w:pPr>
      <w:adjustRightInd w:val="0"/>
      <w:snapToGrid w:val="0"/>
      <w:spacing w:line="360" w:lineRule="auto"/>
      <w:ind w:firstLine="200" w:firstLineChars="200"/>
      <w:jc w:val="center"/>
    </w:pPr>
    <w:rPr>
      <w:rFonts w:eastAsia="楷体_GB2312" w:cs="宋体"/>
      <w:sz w:val="18"/>
    </w:rPr>
  </w:style>
  <w:style w:type="character" w:customStyle="1" w:styleId="1858">
    <w:name w:val="copyright1"/>
    <w:basedOn w:val="109"/>
    <w:semiHidden/>
    <w:qFormat/>
    <w:uiPriority w:val="0"/>
    <w:rPr>
      <w:rFonts w:hint="default"/>
      <w:color w:val="000000"/>
    </w:rPr>
  </w:style>
  <w:style w:type="character" w:customStyle="1" w:styleId="1859">
    <w:name w:val="m_5"/>
    <w:basedOn w:val="109"/>
    <w:semiHidden/>
    <w:qFormat/>
    <w:uiPriority w:val="0"/>
  </w:style>
  <w:style w:type="character" w:customStyle="1" w:styleId="1860">
    <w:name w:val="环科院正文 Char Char"/>
    <w:basedOn w:val="109"/>
    <w:semiHidden/>
    <w:qFormat/>
    <w:uiPriority w:val="0"/>
    <w:rPr>
      <w:rFonts w:hAnsi="宋体" w:eastAsia="宋体" w:cs="宋体"/>
      <w:sz w:val="24"/>
      <w:szCs w:val="21"/>
      <w:lang w:val="en-US" w:eastAsia="zh-CN" w:bidi="ar-SA"/>
    </w:rPr>
  </w:style>
  <w:style w:type="character" w:customStyle="1" w:styleId="1861">
    <w:name w:val="unnamed1"/>
    <w:basedOn w:val="109"/>
    <w:semiHidden/>
    <w:qFormat/>
    <w:uiPriority w:val="0"/>
  </w:style>
  <w:style w:type="character" w:customStyle="1" w:styleId="1862">
    <w:name w:val="表头样式1 Char"/>
    <w:basedOn w:val="109"/>
    <w:semiHidden/>
    <w:qFormat/>
    <w:uiPriority w:val="0"/>
    <w:rPr>
      <w:rFonts w:eastAsia="黑体"/>
      <w:b/>
      <w:kern w:val="2"/>
      <w:sz w:val="24"/>
      <w:lang w:val="en-US" w:eastAsia="zh-CN" w:bidi="ar-SA"/>
    </w:rPr>
  </w:style>
  <w:style w:type="character" w:customStyle="1" w:styleId="1863">
    <w:name w:val="keyword1"/>
    <w:basedOn w:val="109"/>
    <w:semiHidden/>
    <w:qFormat/>
    <w:uiPriority w:val="0"/>
    <w:rPr>
      <w:color w:val="FF0000"/>
    </w:rPr>
  </w:style>
  <w:style w:type="character" w:customStyle="1" w:styleId="1864">
    <w:name w:val="m_2"/>
    <w:basedOn w:val="109"/>
    <w:semiHidden/>
    <w:qFormat/>
    <w:uiPriority w:val="0"/>
  </w:style>
  <w:style w:type="character" w:customStyle="1" w:styleId="1865">
    <w:name w:val="isellp"/>
    <w:basedOn w:val="109"/>
    <w:semiHidden/>
    <w:qFormat/>
    <w:uiPriority w:val="0"/>
  </w:style>
  <w:style w:type="character" w:customStyle="1" w:styleId="1866">
    <w:name w:val="君邦正文格式 Char"/>
    <w:basedOn w:val="109"/>
    <w:link w:val="1867"/>
    <w:semiHidden/>
    <w:qFormat/>
    <w:uiPriority w:val="0"/>
    <w:rPr>
      <w:bCs/>
      <w:sz w:val="24"/>
    </w:rPr>
  </w:style>
  <w:style w:type="paragraph" w:customStyle="1" w:styleId="1867">
    <w:name w:val="君邦正文格式"/>
    <w:basedOn w:val="1764"/>
    <w:link w:val="1866"/>
    <w:semiHidden/>
    <w:qFormat/>
    <w:uiPriority w:val="0"/>
    <w:rPr>
      <w:snapToGrid/>
    </w:rPr>
  </w:style>
  <w:style w:type="character" w:customStyle="1" w:styleId="1868">
    <w:name w:val="样式 报告表正文 + (符号) 楷体_GB2312 首行缩进:  2 字符 Char"/>
    <w:basedOn w:val="109"/>
    <w:link w:val="1869"/>
    <w:semiHidden/>
    <w:qFormat/>
    <w:uiPriority w:val="0"/>
    <w:rPr>
      <w:rFonts w:hAnsi="楷体_GB2312" w:eastAsia="楷体_GB2312" w:cs="宋体"/>
      <w:sz w:val="24"/>
      <w:szCs w:val="24"/>
    </w:rPr>
  </w:style>
  <w:style w:type="paragraph" w:customStyle="1" w:styleId="1869">
    <w:name w:val="样式 报告表正文 + (符号) 楷体_GB2312 首行缩进:  2 字符"/>
    <w:basedOn w:val="1"/>
    <w:link w:val="1868"/>
    <w:semiHidden/>
    <w:qFormat/>
    <w:uiPriority w:val="0"/>
    <w:pPr>
      <w:adjustRightInd w:val="0"/>
      <w:snapToGrid w:val="0"/>
      <w:spacing w:line="360" w:lineRule="auto"/>
      <w:ind w:firstLine="480" w:firstLineChars="200"/>
    </w:pPr>
    <w:rPr>
      <w:rFonts w:hAnsi="楷体_GB2312" w:eastAsia="楷体_GB2312" w:cs="宋体"/>
      <w:sz w:val="24"/>
      <w:szCs w:val="24"/>
    </w:rPr>
  </w:style>
  <w:style w:type="character" w:customStyle="1" w:styleId="1870">
    <w:name w:val="样式12 Char"/>
    <w:basedOn w:val="109"/>
    <w:link w:val="888"/>
    <w:semiHidden/>
    <w:qFormat/>
    <w:uiPriority w:val="0"/>
    <w:rPr>
      <w:color w:val="000000" w:themeColor="text1"/>
      <w:sz w:val="24"/>
      <w14:textFill>
        <w14:solidFill>
          <w14:schemeClr w14:val="tx1"/>
        </w14:solidFill>
      </w14:textFill>
    </w:rPr>
  </w:style>
  <w:style w:type="character" w:customStyle="1" w:styleId="1871">
    <w:name w:val="样式30 Char"/>
    <w:basedOn w:val="109"/>
    <w:link w:val="1872"/>
    <w:semiHidden/>
    <w:qFormat/>
    <w:uiPriority w:val="0"/>
    <w:rPr>
      <w:rFonts w:eastAsia="黑体"/>
      <w:b/>
      <w:color w:val="000000" w:themeColor="text1"/>
      <w:sz w:val="28"/>
      <w14:textFill>
        <w14:solidFill>
          <w14:schemeClr w14:val="tx1"/>
        </w14:solidFill>
      </w14:textFill>
    </w:rPr>
  </w:style>
  <w:style w:type="paragraph" w:customStyle="1" w:styleId="1872">
    <w:name w:val="样式30"/>
    <w:basedOn w:val="3"/>
    <w:link w:val="1871"/>
    <w:semiHidden/>
    <w:qFormat/>
    <w:uiPriority w:val="0"/>
    <w:pPr>
      <w:widowControl w:val="0"/>
      <w:pBdr>
        <w:bottom w:val="single" w:color="auto" w:sz="12" w:space="1"/>
      </w:pBdr>
      <w:tabs>
        <w:tab w:val="left" w:pos="567"/>
      </w:tabs>
      <w:adjustRightInd w:val="0"/>
      <w:snapToGrid w:val="0"/>
      <w:spacing w:before="960" w:after="960" w:line="360" w:lineRule="auto"/>
      <w:ind w:left="567" w:hanging="567" w:firstLineChars="200"/>
    </w:pPr>
    <w:rPr>
      <w:szCs w:val="20"/>
    </w:rPr>
  </w:style>
  <w:style w:type="character" w:customStyle="1" w:styleId="1873">
    <w:name w:val="表格 普通文字 Char"/>
    <w:basedOn w:val="109"/>
    <w:link w:val="1874"/>
    <w:semiHidden/>
    <w:qFormat/>
    <w:uiPriority w:val="0"/>
    <w:rPr>
      <w:rFonts w:eastAsia="仿宋_GB2312"/>
      <w:szCs w:val="21"/>
    </w:rPr>
  </w:style>
  <w:style w:type="paragraph" w:customStyle="1" w:styleId="1874">
    <w:name w:val="表格 普通文字"/>
    <w:basedOn w:val="1"/>
    <w:link w:val="1873"/>
    <w:semiHidden/>
    <w:qFormat/>
    <w:uiPriority w:val="0"/>
    <w:pPr>
      <w:jc w:val="center"/>
    </w:pPr>
    <w:rPr>
      <w:rFonts w:eastAsia="仿宋_GB2312"/>
      <w:szCs w:val="21"/>
    </w:rPr>
  </w:style>
  <w:style w:type="character" w:customStyle="1" w:styleId="1875">
    <w:name w:val="bluetxt1"/>
    <w:basedOn w:val="109"/>
    <w:semiHidden/>
    <w:qFormat/>
    <w:uiPriority w:val="0"/>
  </w:style>
  <w:style w:type="character" w:customStyle="1" w:styleId="1876">
    <w:name w:val="duanluo2"/>
    <w:basedOn w:val="109"/>
    <w:semiHidden/>
    <w:qFormat/>
    <w:uiPriority w:val="0"/>
    <w:rPr>
      <w:rFonts w:hint="default" w:ascii="_GB2312" w:hAnsi="_GB2312"/>
      <w:color w:val="000000"/>
      <w:spacing w:val="432"/>
      <w:sz w:val="21"/>
      <w:szCs w:val="21"/>
    </w:rPr>
  </w:style>
  <w:style w:type="character" w:customStyle="1" w:styleId="1877">
    <w:name w:val="m_40"/>
    <w:basedOn w:val="109"/>
    <w:semiHidden/>
    <w:qFormat/>
    <w:uiPriority w:val="0"/>
  </w:style>
  <w:style w:type="character" w:customStyle="1" w:styleId="1878">
    <w:name w:val="正文- Char"/>
    <w:basedOn w:val="109"/>
    <w:link w:val="1879"/>
    <w:semiHidden/>
    <w:qFormat/>
    <w:uiPriority w:val="0"/>
    <w:rPr>
      <w:bCs/>
      <w:sz w:val="24"/>
    </w:rPr>
  </w:style>
  <w:style w:type="paragraph" w:customStyle="1" w:styleId="1879">
    <w:name w:val="正文-"/>
    <w:basedOn w:val="1"/>
    <w:link w:val="1878"/>
    <w:semiHidden/>
    <w:qFormat/>
    <w:uiPriority w:val="0"/>
    <w:pPr>
      <w:adjustRightInd w:val="0"/>
      <w:snapToGrid w:val="0"/>
      <w:spacing w:line="360" w:lineRule="auto"/>
      <w:ind w:firstLine="200" w:firstLineChars="200"/>
    </w:pPr>
    <w:rPr>
      <w:bCs/>
      <w:sz w:val="24"/>
    </w:rPr>
  </w:style>
  <w:style w:type="character" w:customStyle="1" w:styleId="1880">
    <w:name w:val="m_1"/>
    <w:basedOn w:val="109"/>
    <w:semiHidden/>
    <w:qFormat/>
    <w:uiPriority w:val="0"/>
  </w:style>
  <w:style w:type="character" w:customStyle="1" w:styleId="1881">
    <w:name w:val="批注框文本 字符"/>
    <w:basedOn w:val="109"/>
    <w:semiHidden/>
    <w:qFormat/>
    <w:uiPriority w:val="0"/>
    <w:rPr>
      <w:rFonts w:eastAsia="宋体"/>
      <w:sz w:val="18"/>
      <w:szCs w:val="18"/>
    </w:rPr>
  </w:style>
  <w:style w:type="character" w:customStyle="1" w:styleId="1882">
    <w:name w:val="表格不居中 Char"/>
    <w:basedOn w:val="109"/>
    <w:link w:val="1883"/>
    <w:semiHidden/>
    <w:qFormat/>
    <w:uiPriority w:val="0"/>
    <w:rPr>
      <w:sz w:val="18"/>
      <w:szCs w:val="18"/>
    </w:rPr>
  </w:style>
  <w:style w:type="paragraph" w:customStyle="1" w:styleId="1883">
    <w:name w:val="表格不居中"/>
    <w:basedOn w:val="1"/>
    <w:link w:val="1882"/>
    <w:semiHidden/>
    <w:qFormat/>
    <w:uiPriority w:val="0"/>
    <w:pPr>
      <w:adjustRightInd w:val="0"/>
      <w:snapToGrid w:val="0"/>
      <w:spacing w:line="360" w:lineRule="auto"/>
      <w:ind w:firstLine="360" w:firstLineChars="200"/>
    </w:pPr>
    <w:rPr>
      <w:sz w:val="18"/>
      <w:szCs w:val="18"/>
    </w:rPr>
  </w:style>
  <w:style w:type="character" w:customStyle="1" w:styleId="1884">
    <w:name w:val="文本条款 Char"/>
    <w:basedOn w:val="109"/>
    <w:semiHidden/>
    <w:qFormat/>
    <w:uiPriority w:val="0"/>
    <w:rPr>
      <w:rFonts w:eastAsia="宋体"/>
      <w:kern w:val="2"/>
      <w:sz w:val="21"/>
      <w:szCs w:val="24"/>
      <w:lang w:val="en-US" w:eastAsia="zh-CN" w:bidi="ar-SA"/>
    </w:rPr>
  </w:style>
  <w:style w:type="character" w:customStyle="1" w:styleId="1885">
    <w:name w:val="m_34"/>
    <w:basedOn w:val="109"/>
    <w:semiHidden/>
    <w:qFormat/>
    <w:uiPriority w:val="0"/>
  </w:style>
  <w:style w:type="character" w:customStyle="1" w:styleId="1886">
    <w:name w:val="m_10"/>
    <w:basedOn w:val="109"/>
    <w:semiHidden/>
    <w:qFormat/>
    <w:uiPriority w:val="0"/>
  </w:style>
  <w:style w:type="character" w:customStyle="1" w:styleId="1887">
    <w:name w:val="Body text|2_"/>
    <w:basedOn w:val="109"/>
    <w:link w:val="1888"/>
    <w:semiHidden/>
    <w:qFormat/>
    <w:uiPriority w:val="0"/>
    <w:rPr>
      <w:shd w:val="clear" w:color="auto" w:fill="FFFFFF"/>
    </w:rPr>
  </w:style>
  <w:style w:type="paragraph" w:customStyle="1" w:styleId="1888">
    <w:name w:val="Body text|2"/>
    <w:basedOn w:val="1"/>
    <w:link w:val="1887"/>
    <w:semiHidden/>
    <w:qFormat/>
    <w:uiPriority w:val="0"/>
    <w:pPr>
      <w:shd w:val="clear" w:color="auto" w:fill="FFFFFF"/>
      <w:adjustRightInd w:val="0"/>
      <w:snapToGrid w:val="0"/>
      <w:spacing w:line="360" w:lineRule="auto"/>
      <w:ind w:firstLine="200" w:firstLineChars="200"/>
    </w:pPr>
  </w:style>
  <w:style w:type="character" w:customStyle="1" w:styleId="1889">
    <w:name w:val="正文1 字符"/>
    <w:basedOn w:val="109"/>
    <w:link w:val="1050"/>
    <w:semiHidden/>
    <w:qFormat/>
    <w:uiPriority w:val="0"/>
    <w:rPr>
      <w:rFonts w:cs="宋体"/>
      <w:sz w:val="24"/>
    </w:rPr>
  </w:style>
  <w:style w:type="character" w:customStyle="1" w:styleId="1890">
    <w:name w:val="Body text|2 + Arial"/>
    <w:basedOn w:val="1887"/>
    <w:semiHidden/>
    <w:qFormat/>
    <w:uiPriority w:val="0"/>
    <w:rPr>
      <w:rFonts w:ascii="Arial" w:hAnsi="Arial" w:eastAsia="Arial" w:cs="Arial"/>
      <w:i/>
      <w:iCs/>
      <w:color w:val="000000"/>
      <w:spacing w:val="0"/>
      <w:w w:val="100"/>
      <w:position w:val="0"/>
      <w:sz w:val="15"/>
      <w:szCs w:val="15"/>
      <w:shd w:val="clear" w:color="auto" w:fill="FFFFFF"/>
      <w:lang w:val="en-US" w:eastAsia="en-US" w:bidi="en-US"/>
    </w:rPr>
  </w:style>
  <w:style w:type="character" w:customStyle="1" w:styleId="1891">
    <w:name w:val="表格内容 字符"/>
    <w:basedOn w:val="109"/>
    <w:semiHidden/>
    <w:qFormat/>
    <w:uiPriority w:val="0"/>
    <w:rPr>
      <w:rFonts w:ascii="宋体" w:hAnsi="Times New Roman" w:eastAsia="宋体" w:cs="Times New Roman"/>
      <w:bCs/>
      <w:kern w:val="0"/>
      <w:sz w:val="24"/>
      <w:szCs w:val="20"/>
    </w:rPr>
  </w:style>
  <w:style w:type="paragraph" w:customStyle="1" w:styleId="1892">
    <w:name w:val="君邦报告表正文"/>
    <w:basedOn w:val="1"/>
    <w:semiHidden/>
    <w:qFormat/>
    <w:uiPriority w:val="0"/>
    <w:pPr>
      <w:adjustRightInd w:val="0"/>
      <w:snapToGrid w:val="0"/>
      <w:spacing w:line="360" w:lineRule="auto"/>
      <w:ind w:firstLine="480" w:firstLineChars="200"/>
      <w:outlineLvl w:val="2"/>
    </w:pPr>
    <w:rPr>
      <w:rFonts w:eastAsia="楷体_GB2312"/>
      <w:snapToGrid w:val="0"/>
      <w:sz w:val="24"/>
      <w:szCs w:val="24"/>
    </w:rPr>
  </w:style>
  <w:style w:type="paragraph" w:customStyle="1" w:styleId="1893">
    <w:name w:val="Body Text First Indent1"/>
    <w:basedOn w:val="29"/>
    <w:semiHidden/>
    <w:qFormat/>
    <w:uiPriority w:val="0"/>
    <w:pPr>
      <w:adjustRightInd w:val="0"/>
      <w:snapToGrid w:val="0"/>
      <w:spacing w:line="312" w:lineRule="atLeast"/>
      <w:ind w:firstLine="420" w:firstLineChars="200"/>
      <w:textAlignment w:val="baseline"/>
    </w:pPr>
    <w:rPr>
      <w:sz w:val="27"/>
    </w:rPr>
  </w:style>
  <w:style w:type="paragraph" w:customStyle="1" w:styleId="1894">
    <w:name w:val="标题3 Char Char Char Char Char Char1 Char Char Char Char Char Char Char"/>
    <w:basedOn w:val="1"/>
    <w:semiHidden/>
    <w:qFormat/>
    <w:uiPriority w:val="0"/>
    <w:pPr>
      <w:adjustRightInd w:val="0"/>
      <w:snapToGrid w:val="0"/>
      <w:spacing w:afterLines="50" w:line="560" w:lineRule="exact"/>
      <w:ind w:firstLine="200" w:firstLineChars="200"/>
    </w:pPr>
    <w:rPr>
      <w:rFonts w:eastAsia="黑体"/>
      <w:sz w:val="30"/>
      <w:szCs w:val="30"/>
    </w:rPr>
  </w:style>
  <w:style w:type="paragraph" w:customStyle="1" w:styleId="1895">
    <w:name w:val="段落正文"/>
    <w:basedOn w:val="1"/>
    <w:semiHidden/>
    <w:qFormat/>
    <w:uiPriority w:val="0"/>
    <w:pPr>
      <w:spacing w:after="60" w:line="360" w:lineRule="auto"/>
      <w:ind w:firstLine="200" w:firstLineChars="200"/>
    </w:pPr>
    <w:rPr>
      <w:sz w:val="24"/>
      <w:szCs w:val="21"/>
    </w:rPr>
  </w:style>
  <w:style w:type="paragraph" w:customStyle="1" w:styleId="1896">
    <w:name w:val="三级标题"/>
    <w:basedOn w:val="1"/>
    <w:semiHidden/>
    <w:qFormat/>
    <w:uiPriority w:val="0"/>
    <w:pPr>
      <w:spacing w:after="60" w:line="360" w:lineRule="auto"/>
      <w:outlineLvl w:val="2"/>
    </w:pPr>
    <w:rPr>
      <w:b/>
      <w:sz w:val="24"/>
      <w:szCs w:val="21"/>
    </w:rPr>
  </w:style>
  <w:style w:type="paragraph" w:customStyle="1" w:styleId="1897">
    <w:name w:val="Char Char1 Char Char Char Char Char Char Char Char Char Char"/>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1898">
    <w:name w:val="style2"/>
    <w:basedOn w:val="1"/>
    <w:semiHidden/>
    <w:qFormat/>
    <w:uiPriority w:val="0"/>
    <w:pPr>
      <w:adjustRightInd w:val="0"/>
      <w:snapToGrid w:val="0"/>
      <w:spacing w:before="100" w:beforeAutospacing="1" w:after="100" w:afterAutospacing="1" w:line="360" w:lineRule="auto"/>
      <w:ind w:firstLine="200" w:firstLineChars="200"/>
    </w:pPr>
    <w:rPr>
      <w:rFonts w:ascii="宋体" w:hAnsi="宋体"/>
      <w:sz w:val="24"/>
      <w:szCs w:val="28"/>
    </w:rPr>
  </w:style>
  <w:style w:type="paragraph" w:customStyle="1" w:styleId="1899">
    <w:name w:val="图标题"/>
    <w:basedOn w:val="1"/>
    <w:semiHidden/>
    <w:qFormat/>
    <w:uiPriority w:val="0"/>
    <w:pPr>
      <w:tabs>
        <w:tab w:val="left" w:pos="0"/>
      </w:tabs>
      <w:adjustRightInd w:val="0"/>
      <w:snapToGrid w:val="0"/>
      <w:spacing w:line="500" w:lineRule="exact"/>
      <w:ind w:firstLine="200" w:firstLineChars="200"/>
      <w:jc w:val="center"/>
    </w:pPr>
    <w:rPr>
      <w:rFonts w:ascii="Arial" w:hAnsi="Arial" w:eastAsia="黑体"/>
      <w:sz w:val="24"/>
    </w:rPr>
  </w:style>
  <w:style w:type="paragraph" w:customStyle="1" w:styleId="1900">
    <w:name w:val="边个样式-模板"/>
    <w:basedOn w:val="1"/>
    <w:semiHidden/>
    <w:qFormat/>
    <w:uiPriority w:val="0"/>
    <w:pPr>
      <w:adjustRightInd w:val="0"/>
      <w:snapToGrid w:val="0"/>
      <w:spacing w:line="360" w:lineRule="auto"/>
      <w:ind w:firstLine="200" w:firstLineChars="200"/>
      <w:jc w:val="center"/>
    </w:pPr>
    <w:rPr>
      <w:sz w:val="18"/>
    </w:rPr>
  </w:style>
  <w:style w:type="paragraph" w:customStyle="1" w:styleId="1901">
    <w:name w:val="表格2（柞行）"/>
    <w:basedOn w:val="228"/>
    <w:semiHidden/>
    <w:qFormat/>
    <w:uiPriority w:val="0"/>
    <w:pPr>
      <w:widowControl w:val="0"/>
      <w:tabs>
        <w:tab w:val="left" w:pos="360"/>
        <w:tab w:val="left" w:pos="1080"/>
      </w:tabs>
      <w:spacing w:line="320" w:lineRule="exact"/>
      <w:ind w:left="-10" w:leftChars="-20" w:right="-10" w:rightChars="-20" w:firstLine="200" w:firstLineChars="200"/>
    </w:pPr>
    <w:rPr>
      <w:rFonts w:ascii="Arial" w:hAnsi="Arial" w:cstheme="minorBidi"/>
      <w:sz w:val="21"/>
      <w:szCs w:val="21"/>
    </w:rPr>
  </w:style>
  <w:style w:type="paragraph" w:customStyle="1" w:styleId="1902">
    <w:name w:val="表的内容"/>
    <w:basedOn w:val="1"/>
    <w:next w:val="1"/>
    <w:semiHidden/>
    <w:qFormat/>
    <w:uiPriority w:val="0"/>
    <w:pPr>
      <w:adjustRightInd w:val="0"/>
      <w:snapToGrid w:val="0"/>
      <w:spacing w:line="360" w:lineRule="auto"/>
      <w:ind w:firstLine="200" w:firstLineChars="200"/>
    </w:pPr>
    <w:rPr>
      <w:position w:val="-20"/>
      <w:sz w:val="24"/>
      <w:szCs w:val="24"/>
    </w:rPr>
  </w:style>
  <w:style w:type="paragraph" w:customStyle="1" w:styleId="1903">
    <w:name w:val="正文魏"/>
    <w:basedOn w:val="1"/>
    <w:semiHidden/>
    <w:qFormat/>
    <w:uiPriority w:val="0"/>
    <w:pPr>
      <w:adjustRightInd w:val="0"/>
      <w:snapToGrid w:val="0"/>
      <w:spacing w:line="360" w:lineRule="auto"/>
      <w:ind w:firstLine="200" w:firstLineChars="200"/>
    </w:pPr>
    <w:rPr>
      <w:sz w:val="24"/>
      <w:szCs w:val="24"/>
    </w:rPr>
  </w:style>
  <w:style w:type="paragraph" w:customStyle="1" w:styleId="1904">
    <w:name w:val="样式 表头样式1 + 段前: 0.5 行"/>
    <w:basedOn w:val="1789"/>
    <w:semiHidden/>
    <w:qFormat/>
    <w:uiPriority w:val="0"/>
    <w:pPr>
      <w:spacing w:before="120"/>
    </w:pPr>
    <w:rPr>
      <w:rFonts w:cs="宋体"/>
      <w:bCs/>
    </w:rPr>
  </w:style>
  <w:style w:type="paragraph" w:customStyle="1" w:styleId="1905">
    <w:name w:val="君邦表头格式"/>
    <w:basedOn w:val="1"/>
    <w:semiHidden/>
    <w:qFormat/>
    <w:uiPriority w:val="0"/>
    <w:pPr>
      <w:adjustRightInd w:val="0"/>
      <w:snapToGrid w:val="0"/>
      <w:spacing w:beforeLines="50" w:line="360" w:lineRule="auto"/>
      <w:ind w:firstLine="200" w:firstLineChars="200"/>
      <w:jc w:val="center"/>
    </w:pPr>
    <w:rPr>
      <w:rFonts w:eastAsia="黑体" w:cs="宋体"/>
      <w:b/>
      <w:bCs/>
      <w:sz w:val="24"/>
    </w:rPr>
  </w:style>
  <w:style w:type="paragraph" w:customStyle="1" w:styleId="1906">
    <w:name w:val="四级标题"/>
    <w:basedOn w:val="1896"/>
    <w:semiHidden/>
    <w:qFormat/>
    <w:uiPriority w:val="0"/>
    <w:pPr>
      <w:outlineLvl w:val="3"/>
    </w:pPr>
  </w:style>
  <w:style w:type="paragraph" w:customStyle="1" w:styleId="1907">
    <w:name w:val="一级标题"/>
    <w:basedOn w:val="1"/>
    <w:semiHidden/>
    <w:qFormat/>
    <w:uiPriority w:val="0"/>
    <w:pPr>
      <w:pBdr>
        <w:bottom w:val="single" w:color="auto" w:sz="12" w:space="1"/>
      </w:pBdr>
      <w:spacing w:before="960" w:after="960"/>
      <w:outlineLvl w:val="0"/>
    </w:pPr>
    <w:rPr>
      <w:rFonts w:eastAsia="黑体"/>
      <w:b/>
      <w:sz w:val="32"/>
      <w:szCs w:val="21"/>
    </w:rPr>
  </w:style>
  <w:style w:type="paragraph" w:customStyle="1" w:styleId="1908">
    <w:name w:val="目录"/>
    <w:basedOn w:val="1764"/>
    <w:next w:val="1764"/>
    <w:semiHidden/>
    <w:qFormat/>
    <w:uiPriority w:val="0"/>
    <w:pPr>
      <w:widowControl w:val="0"/>
      <w:pBdr>
        <w:bottom w:val="single" w:color="auto" w:sz="12" w:space="1"/>
      </w:pBdr>
      <w:spacing w:before="960" w:after="960"/>
      <w:ind w:firstLine="0" w:firstLineChars="0"/>
      <w:jc w:val="right"/>
    </w:pPr>
    <w:rPr>
      <w:rFonts w:eastAsia="黑体"/>
      <w:b/>
      <w:bCs w:val="0"/>
      <w:i/>
      <w:snapToGrid/>
      <w:sz w:val="32"/>
      <w:szCs w:val="24"/>
    </w:rPr>
  </w:style>
  <w:style w:type="paragraph" w:customStyle="1" w:styleId="1909">
    <w:name w:val="五号"/>
    <w:basedOn w:val="1"/>
    <w:semiHidden/>
    <w:qFormat/>
    <w:uiPriority w:val="0"/>
    <w:pPr>
      <w:adjustRightInd w:val="0"/>
      <w:snapToGrid w:val="0"/>
      <w:spacing w:line="360" w:lineRule="auto"/>
      <w:ind w:firstLine="200" w:firstLineChars="200"/>
    </w:pPr>
    <w:rPr>
      <w:sz w:val="24"/>
      <w:szCs w:val="24"/>
    </w:rPr>
  </w:style>
  <w:style w:type="paragraph" w:customStyle="1" w:styleId="1910">
    <w:name w:val="样式 标题 2 +"/>
    <w:basedOn w:val="3"/>
    <w:semiHidden/>
    <w:qFormat/>
    <w:uiPriority w:val="0"/>
    <w:pPr>
      <w:widowControl w:val="0"/>
      <w:tabs>
        <w:tab w:val="left" w:pos="567"/>
      </w:tabs>
      <w:adjustRightInd w:val="0"/>
      <w:snapToGrid w:val="0"/>
      <w:spacing w:before="120" w:line="360" w:lineRule="auto"/>
      <w:ind w:firstLine="200" w:firstLineChars="200"/>
      <w:textAlignment w:val="baseline"/>
    </w:pPr>
    <w:rPr>
      <w:rFonts w:ascii="宋体" w:hAnsi="宋体"/>
      <w:b w:val="0"/>
      <w:sz w:val="30"/>
    </w:rPr>
  </w:style>
  <w:style w:type="paragraph" w:customStyle="1" w:styleId="1911">
    <w:name w:val="修订1"/>
    <w:basedOn w:val="1"/>
    <w:semiHidden/>
    <w:qFormat/>
    <w:uiPriority w:val="99"/>
    <w:rPr>
      <w:rFonts w:eastAsia="仿宋_GB2312"/>
      <w:sz w:val="28"/>
    </w:rPr>
  </w:style>
  <w:style w:type="paragraph" w:customStyle="1" w:styleId="1912">
    <w:name w:val="Char Char1 Char Char Char Char Char Char Char Char Char Char Char Char Char"/>
    <w:basedOn w:val="5"/>
    <w:semiHidden/>
    <w:qFormat/>
    <w:uiPriority w:val="0"/>
    <w:pPr>
      <w:numPr>
        <w:ilvl w:val="0"/>
        <w:numId w:val="0"/>
      </w:numPr>
      <w:adjustRightInd w:val="0"/>
      <w:snapToGrid w:val="0"/>
      <w:spacing w:before="140" w:line="220" w:lineRule="atLeast"/>
      <w:ind w:left="720" w:hanging="472" w:hangingChars="472"/>
    </w:pPr>
    <w:rPr>
      <w:rFonts w:ascii="黑体" w:hAnsi="Arial" w:eastAsia="黑体"/>
      <w:b w:val="0"/>
      <w:bCs w:val="0"/>
      <w:kern w:val="2"/>
      <w:szCs w:val="20"/>
    </w:rPr>
  </w:style>
  <w:style w:type="paragraph" w:customStyle="1" w:styleId="1913">
    <w:name w:val="样式 标题 4款标题1.1.1段款标题1.1.1.1四四级标题Heading4Subsection4 dash...1"/>
    <w:basedOn w:val="5"/>
    <w:semiHidden/>
    <w:qFormat/>
    <w:uiPriority w:val="0"/>
    <w:pPr>
      <w:numPr>
        <w:ilvl w:val="0"/>
        <w:numId w:val="0"/>
      </w:numPr>
      <w:adjustRightInd w:val="0"/>
      <w:snapToGrid w:val="0"/>
      <w:ind w:hanging="472" w:hangingChars="472"/>
    </w:pPr>
    <w:rPr>
      <w:rFonts w:ascii="Arial" w:hAnsi="Arial"/>
    </w:rPr>
  </w:style>
  <w:style w:type="paragraph" w:customStyle="1" w:styleId="1914">
    <w:name w:val="Char Char1 Char Char Char Char"/>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1915">
    <w:name w:val="_Style 77"/>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1916">
    <w:name w:val="表头样式-模板"/>
    <w:basedOn w:val="1789"/>
    <w:semiHidden/>
    <w:qFormat/>
    <w:uiPriority w:val="0"/>
  </w:style>
  <w:style w:type="paragraph" w:customStyle="1" w:styleId="1917">
    <w:name w:val="表内容"/>
    <w:basedOn w:val="1"/>
    <w:semiHidden/>
    <w:qFormat/>
    <w:uiPriority w:val="0"/>
    <w:pPr>
      <w:adjustRightInd w:val="0"/>
      <w:snapToGrid w:val="0"/>
      <w:spacing w:line="312" w:lineRule="auto"/>
      <w:ind w:firstLine="200" w:firstLineChars="200"/>
      <w:contextualSpacing/>
      <w:jc w:val="center"/>
    </w:pPr>
    <w:rPr>
      <w:rFonts w:eastAsia="Times New Roman"/>
      <w:sz w:val="22"/>
    </w:rPr>
  </w:style>
  <w:style w:type="paragraph" w:customStyle="1" w:styleId="1918">
    <w:name w:val="reader-word-layer reader-word-s3-4"/>
    <w:basedOn w:val="1"/>
    <w:semiHidden/>
    <w:qFormat/>
    <w:uiPriority w:val="0"/>
    <w:pPr>
      <w:adjustRightInd w:val="0"/>
      <w:snapToGrid w:val="0"/>
      <w:spacing w:before="100" w:beforeAutospacing="1" w:after="100" w:afterAutospacing="1" w:line="360" w:lineRule="auto"/>
      <w:ind w:firstLine="200" w:firstLineChars="200"/>
    </w:pPr>
    <w:rPr>
      <w:rFonts w:ascii="宋体" w:hAnsi="宋体" w:cs="宋体"/>
      <w:sz w:val="24"/>
      <w:szCs w:val="24"/>
    </w:rPr>
  </w:style>
  <w:style w:type="paragraph" w:customStyle="1" w:styleId="1919">
    <w:name w:val="表格（5号）"/>
    <w:basedOn w:val="1"/>
    <w:semiHidden/>
    <w:qFormat/>
    <w:uiPriority w:val="0"/>
    <w:pPr>
      <w:tabs>
        <w:tab w:val="left" w:pos="900"/>
      </w:tabs>
      <w:adjustRightInd w:val="0"/>
      <w:snapToGrid w:val="0"/>
      <w:spacing w:line="240" w:lineRule="exact"/>
      <w:ind w:firstLine="200" w:firstLineChars="200"/>
      <w:jc w:val="center"/>
    </w:pPr>
    <w:rPr>
      <w:rFonts w:ascii="Arial" w:hAnsi="Arial"/>
      <w:color w:val="000000"/>
      <w:kern w:val="18"/>
      <w:sz w:val="18"/>
    </w:rPr>
  </w:style>
  <w:style w:type="paragraph" w:customStyle="1" w:styleId="1920">
    <w:name w:val="样式 标题 5一级项1b5 sub-bulletsb4 Char Char4 Char五1)项标5 Cha..."/>
    <w:basedOn w:val="6"/>
    <w:semiHidden/>
    <w:qFormat/>
    <w:uiPriority w:val="0"/>
    <w:pPr>
      <w:keepNext w:val="0"/>
      <w:keepLines w:val="0"/>
      <w:tabs>
        <w:tab w:val="left" w:pos="0"/>
        <w:tab w:val="clear" w:pos="1008"/>
      </w:tabs>
      <w:adjustRightInd w:val="0"/>
      <w:snapToGrid w:val="0"/>
      <w:spacing w:line="360" w:lineRule="auto"/>
      <w:ind w:left="0"/>
    </w:pPr>
    <w:rPr>
      <w:rFonts w:eastAsia="黑体"/>
      <w:bCs/>
      <w:sz w:val="24"/>
    </w:rPr>
  </w:style>
  <w:style w:type="paragraph" w:customStyle="1" w:styleId="1921">
    <w:name w:val="1样式1"/>
    <w:basedOn w:val="2"/>
    <w:semiHidden/>
    <w:qFormat/>
    <w:uiPriority w:val="0"/>
    <w:pPr>
      <w:tabs>
        <w:tab w:val="left" w:pos="360"/>
      </w:tabs>
      <w:adjustRightInd w:val="0"/>
      <w:snapToGrid w:val="0"/>
      <w:spacing w:before="120" w:after="60" w:line="288" w:lineRule="auto"/>
      <w:ind w:left="1770" w:hanging="1770" w:firstLineChars="200"/>
      <w:jc w:val="left"/>
      <w:textAlignment w:val="baseline"/>
    </w:pPr>
    <w:rPr>
      <w:sz w:val="32"/>
      <w:szCs w:val="20"/>
    </w:rPr>
  </w:style>
  <w:style w:type="paragraph" w:customStyle="1" w:styleId="1922">
    <w:name w:val="标题样式4"/>
    <w:basedOn w:val="1"/>
    <w:next w:val="1"/>
    <w:semiHidden/>
    <w:qFormat/>
    <w:uiPriority w:val="0"/>
    <w:pPr>
      <w:tabs>
        <w:tab w:val="left" w:pos="720"/>
      </w:tabs>
      <w:adjustRightInd w:val="0"/>
      <w:snapToGrid w:val="0"/>
      <w:spacing w:line="360" w:lineRule="auto"/>
      <w:ind w:left="720" w:hanging="720" w:firstLineChars="200"/>
      <w:textAlignment w:val="baseline"/>
      <w:outlineLvl w:val="3"/>
    </w:pPr>
    <w:rPr>
      <w:sz w:val="24"/>
      <w:szCs w:val="24"/>
    </w:rPr>
  </w:style>
  <w:style w:type="paragraph" w:customStyle="1" w:styleId="1923">
    <w:name w:val="质报书正文"/>
    <w:basedOn w:val="1"/>
    <w:semiHidden/>
    <w:qFormat/>
    <w:uiPriority w:val="0"/>
    <w:pPr>
      <w:adjustRightInd w:val="0"/>
      <w:snapToGrid w:val="0"/>
      <w:spacing w:line="360" w:lineRule="auto"/>
      <w:ind w:firstLine="200" w:firstLineChars="200"/>
    </w:pPr>
    <w:rPr>
      <w:sz w:val="24"/>
      <w:szCs w:val="24"/>
    </w:rPr>
  </w:style>
  <w:style w:type="paragraph" w:customStyle="1" w:styleId="1924">
    <w:name w:val="君邦正文-模板"/>
    <w:basedOn w:val="1764"/>
    <w:semiHidden/>
    <w:qFormat/>
    <w:uiPriority w:val="0"/>
  </w:style>
  <w:style w:type="paragraph" w:customStyle="1" w:styleId="1925">
    <w:name w:val="君邦目录"/>
    <w:basedOn w:val="1"/>
    <w:semiHidden/>
    <w:qFormat/>
    <w:uiPriority w:val="0"/>
    <w:pPr>
      <w:pBdr>
        <w:bottom w:val="single" w:color="auto" w:sz="12" w:space="1"/>
      </w:pBdr>
      <w:spacing w:before="960" w:after="960" w:line="360" w:lineRule="auto"/>
      <w:ind w:left="567" w:hanging="567"/>
      <w:jc w:val="right"/>
      <w:outlineLvl w:val="1"/>
    </w:pPr>
    <w:rPr>
      <w:rFonts w:eastAsia="黑体"/>
      <w:b/>
      <w:sz w:val="32"/>
    </w:rPr>
  </w:style>
  <w:style w:type="paragraph" w:customStyle="1" w:styleId="1926">
    <w:name w:val="Char7"/>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1927">
    <w:name w:val="环科院标题1"/>
    <w:basedOn w:val="1"/>
    <w:semiHidden/>
    <w:qFormat/>
    <w:uiPriority w:val="0"/>
    <w:pPr>
      <w:tabs>
        <w:tab w:val="left" w:pos="425"/>
      </w:tabs>
      <w:adjustRightInd w:val="0"/>
      <w:snapToGrid w:val="0"/>
      <w:spacing w:line="360" w:lineRule="auto"/>
      <w:ind w:left="425" w:hanging="425" w:firstLineChars="200"/>
    </w:pPr>
    <w:rPr>
      <w:sz w:val="24"/>
      <w:szCs w:val="24"/>
    </w:rPr>
  </w:style>
  <w:style w:type="paragraph" w:customStyle="1" w:styleId="1928">
    <w:name w:val="四级标题-模板"/>
    <w:basedOn w:val="6"/>
    <w:semiHidden/>
    <w:qFormat/>
    <w:uiPriority w:val="0"/>
    <w:pPr>
      <w:keepLines w:val="0"/>
      <w:tabs>
        <w:tab w:val="left" w:pos="720"/>
        <w:tab w:val="left" w:pos="2100"/>
        <w:tab w:val="clear" w:pos="1008"/>
      </w:tabs>
      <w:adjustRightInd w:val="0"/>
      <w:snapToGrid w:val="0"/>
      <w:spacing w:after="60" w:line="360" w:lineRule="auto"/>
      <w:ind w:left="306" w:hanging="306" w:hangingChars="127"/>
    </w:pPr>
    <w:rPr>
      <w:sz w:val="24"/>
    </w:rPr>
  </w:style>
  <w:style w:type="paragraph" w:customStyle="1" w:styleId="1929">
    <w:name w:val="Char3 Char Char Char1"/>
    <w:basedOn w:val="1"/>
    <w:semiHidden/>
    <w:qFormat/>
    <w:uiPriority w:val="0"/>
    <w:pPr>
      <w:adjustRightInd w:val="0"/>
      <w:snapToGrid w:val="0"/>
      <w:spacing w:line="360" w:lineRule="auto"/>
      <w:ind w:firstLine="200" w:firstLineChars="200"/>
    </w:pPr>
    <w:rPr>
      <w:rFonts w:ascii="宋体" w:hAnsi="宋体" w:cs="宋体"/>
      <w:sz w:val="24"/>
      <w:szCs w:val="24"/>
    </w:rPr>
  </w:style>
  <w:style w:type="character" w:customStyle="1" w:styleId="1930">
    <w:name w:val="样式10 Char"/>
    <w:basedOn w:val="109"/>
    <w:link w:val="886"/>
    <w:semiHidden/>
    <w:qFormat/>
    <w:uiPriority w:val="0"/>
    <w:rPr>
      <w:color w:val="000000" w:themeColor="text1"/>
      <w:sz w:val="24"/>
      <w14:textFill>
        <w14:solidFill>
          <w14:schemeClr w14:val="tx1"/>
        </w14:solidFill>
      </w14:textFill>
    </w:rPr>
  </w:style>
  <w:style w:type="paragraph" w:customStyle="1" w:styleId="1931">
    <w:name w:val="正文1 Char + 仿宋_GB2312 四号 首行缩进:  2 字符 Char Char Char Char Ch..."/>
    <w:basedOn w:val="1"/>
    <w:semiHidden/>
    <w:qFormat/>
    <w:uiPriority w:val="0"/>
    <w:pPr>
      <w:suppressLineNumbers/>
      <w:suppressAutoHyphens/>
      <w:topLinePunct/>
      <w:adjustRightInd w:val="0"/>
      <w:snapToGrid w:val="0"/>
      <w:spacing w:line="360" w:lineRule="auto"/>
      <w:ind w:firstLine="480" w:firstLineChars="200"/>
    </w:pPr>
    <w:rPr>
      <w:rFonts w:cs="宋体"/>
      <w:sz w:val="24"/>
    </w:rPr>
  </w:style>
  <w:style w:type="paragraph" w:customStyle="1" w:styleId="1932">
    <w:name w:val="表样式1"/>
    <w:basedOn w:val="1"/>
    <w:semiHidden/>
    <w:qFormat/>
    <w:uiPriority w:val="0"/>
    <w:pPr>
      <w:adjustRightInd w:val="0"/>
      <w:snapToGrid w:val="0"/>
      <w:spacing w:line="360" w:lineRule="exact"/>
      <w:ind w:firstLine="200" w:firstLineChars="200"/>
      <w:jc w:val="center"/>
    </w:pPr>
    <w:rPr>
      <w:bCs/>
      <w:sz w:val="24"/>
      <w:szCs w:val="21"/>
    </w:rPr>
  </w:style>
  <w:style w:type="paragraph" w:customStyle="1" w:styleId="1933">
    <w:name w:val="1-标题1.1-君邦"/>
    <w:basedOn w:val="4"/>
    <w:semiHidden/>
    <w:qFormat/>
    <w:uiPriority w:val="0"/>
    <w:pPr>
      <w:widowControl w:val="0"/>
      <w:tabs>
        <w:tab w:val="left" w:pos="720"/>
        <w:tab w:val="left" w:pos="1713"/>
        <w:tab w:val="left" w:pos="2160"/>
      </w:tabs>
      <w:adjustRightInd w:val="0"/>
      <w:snapToGrid w:val="0"/>
      <w:spacing w:line="360" w:lineRule="auto"/>
      <w:ind w:left="720" w:hanging="720" w:firstLineChars="200"/>
    </w:pPr>
    <w:rPr>
      <w:sz w:val="24"/>
    </w:rPr>
  </w:style>
  <w:style w:type="paragraph" w:customStyle="1" w:styleId="1934">
    <w:name w:val="样式 样式 首行缩进:  2 字符1 + 首行缩进:  2 字符"/>
    <w:basedOn w:val="1"/>
    <w:semiHidden/>
    <w:qFormat/>
    <w:uiPriority w:val="0"/>
    <w:pPr>
      <w:adjustRightInd w:val="0"/>
      <w:snapToGrid w:val="0"/>
      <w:spacing w:line="480" w:lineRule="exact"/>
      <w:ind w:firstLine="200" w:firstLineChars="200"/>
    </w:pPr>
    <w:rPr>
      <w:rFonts w:eastAsia="楷体_GB2312" w:cs="宋体"/>
      <w:sz w:val="24"/>
    </w:rPr>
  </w:style>
  <w:style w:type="paragraph" w:customStyle="1" w:styleId="1935">
    <w:name w:val="表格小五"/>
    <w:basedOn w:val="1"/>
    <w:semiHidden/>
    <w:qFormat/>
    <w:uiPriority w:val="0"/>
    <w:pPr>
      <w:adjustRightInd w:val="0"/>
      <w:snapToGrid w:val="0"/>
      <w:spacing w:line="320" w:lineRule="exact"/>
      <w:ind w:firstLine="200" w:firstLineChars="200"/>
      <w:jc w:val="center"/>
    </w:pPr>
    <w:rPr>
      <w:sz w:val="18"/>
      <w:szCs w:val="24"/>
    </w:rPr>
  </w:style>
  <w:style w:type="paragraph" w:customStyle="1" w:styleId="1936">
    <w:name w:val="图"/>
    <w:basedOn w:val="18"/>
    <w:next w:val="1"/>
    <w:semiHidden/>
    <w:qFormat/>
    <w:uiPriority w:val="0"/>
    <w:pPr>
      <w:adjustRightInd w:val="0"/>
      <w:snapToGrid w:val="0"/>
      <w:spacing w:line="236" w:lineRule="exact"/>
      <w:ind w:firstLine="0" w:firstLineChars="0"/>
    </w:pPr>
    <w:rPr>
      <w:rFonts w:ascii="宋体"/>
      <w:sz w:val="18"/>
      <w:szCs w:val="18"/>
    </w:rPr>
  </w:style>
  <w:style w:type="table" w:customStyle="1" w:styleId="1937">
    <w:name w:val="表格主题2"/>
    <w:basedOn w:val="82"/>
    <w:qFormat/>
    <w:uiPriority w:val="0"/>
    <w:pPr>
      <w:widowControl w:val="0"/>
      <w:jc w:val="center"/>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left w:w="28" w:type="dxa"/>
        <w:right w:w="28" w:type="dxa"/>
      </w:tblCellMar>
    </w:tblPr>
    <w:tcPr>
      <w:vAlign w:val="center"/>
    </w:tcPr>
  </w:style>
  <w:style w:type="character" w:customStyle="1" w:styleId="1938">
    <w:name w:val="标题4（内标2） Char"/>
    <w:basedOn w:val="109"/>
    <w:link w:val="1939"/>
    <w:semiHidden/>
    <w:qFormat/>
    <w:uiPriority w:val="0"/>
    <w:rPr>
      <w:rFonts w:eastAsia="仿宋_GB2312"/>
      <w:sz w:val="28"/>
    </w:rPr>
  </w:style>
  <w:style w:type="paragraph" w:customStyle="1" w:styleId="1939">
    <w:name w:val="标题4（内标2）"/>
    <w:basedOn w:val="19"/>
    <w:next w:val="1"/>
    <w:link w:val="1938"/>
    <w:semiHidden/>
    <w:qFormat/>
    <w:uiPriority w:val="0"/>
    <w:pPr>
      <w:spacing w:line="500" w:lineRule="exact"/>
      <w:ind w:firstLine="562" w:firstLineChars="200"/>
      <w:outlineLvl w:val="3"/>
    </w:pPr>
    <w:rPr>
      <w:rFonts w:ascii="Times New Roman" w:hAnsi="Times New Roman" w:eastAsia="仿宋_GB2312"/>
      <w:b w:val="0"/>
      <w:sz w:val="28"/>
    </w:rPr>
  </w:style>
  <w:style w:type="character" w:customStyle="1" w:styleId="1940">
    <w:name w:val="EmailStyle442"/>
    <w:basedOn w:val="109"/>
    <w:semiHidden/>
    <w:qFormat/>
    <w:uiPriority w:val="0"/>
    <w:rPr>
      <w:rFonts w:ascii="Arial" w:hAnsi="Arial" w:eastAsia="宋体" w:cs="Arial"/>
      <w:color w:val="auto"/>
      <w:sz w:val="20"/>
    </w:rPr>
  </w:style>
  <w:style w:type="character" w:customStyle="1" w:styleId="1941">
    <w:name w:val="HTML 样本1"/>
    <w:basedOn w:val="109"/>
    <w:semiHidden/>
    <w:qFormat/>
    <w:uiPriority w:val="0"/>
    <w:rPr>
      <w:rFonts w:ascii="Courier New" w:hAnsi="Courier New" w:eastAsia="宋体" w:cs="Courier New"/>
      <w:kern w:val="2"/>
      <w:sz w:val="32"/>
      <w:szCs w:val="32"/>
      <w:lang w:val="en-US" w:eastAsia="zh-CN"/>
    </w:rPr>
  </w:style>
  <w:style w:type="character" w:customStyle="1" w:styleId="1942">
    <w:name w:val="DAQO表格标题 Char"/>
    <w:basedOn w:val="109"/>
    <w:link w:val="1943"/>
    <w:semiHidden/>
    <w:qFormat/>
    <w:locked/>
    <w:uiPriority w:val="0"/>
    <w:rPr>
      <w:rFonts w:ascii="黑体" w:eastAsia="黑体"/>
      <w:szCs w:val="24"/>
    </w:rPr>
  </w:style>
  <w:style w:type="paragraph" w:customStyle="1" w:styleId="1943">
    <w:name w:val="DAQO表格标题"/>
    <w:basedOn w:val="1"/>
    <w:link w:val="1942"/>
    <w:semiHidden/>
    <w:qFormat/>
    <w:uiPriority w:val="0"/>
    <w:pPr>
      <w:adjustRightInd w:val="0"/>
      <w:snapToGrid w:val="0"/>
      <w:spacing w:line="336" w:lineRule="auto"/>
      <w:ind w:firstLine="200" w:firstLineChars="200"/>
      <w:jc w:val="center"/>
    </w:pPr>
    <w:rPr>
      <w:rFonts w:ascii="黑体" w:eastAsia="黑体"/>
      <w:szCs w:val="24"/>
    </w:rPr>
  </w:style>
  <w:style w:type="character" w:customStyle="1" w:styleId="1944">
    <w:name w:val="表格内字体 Char"/>
    <w:basedOn w:val="109"/>
    <w:link w:val="257"/>
    <w:semiHidden/>
    <w:qFormat/>
    <w:uiPriority w:val="0"/>
    <w:rPr>
      <w:rFonts w:ascii="宋体" w:cs="宋体"/>
      <w:szCs w:val="21"/>
    </w:rPr>
  </w:style>
  <w:style w:type="character" w:customStyle="1" w:styleId="1945">
    <w:name w:val="批注文字 Char Char"/>
    <w:basedOn w:val="109"/>
    <w:semiHidden/>
    <w:qFormat/>
    <w:uiPriority w:val="0"/>
    <w:rPr>
      <w:rFonts w:ascii="Times New Roman" w:hAnsi="Times New Roman" w:eastAsia="宋体" w:cs="Times New Roman"/>
      <w:szCs w:val="20"/>
    </w:rPr>
  </w:style>
  <w:style w:type="character" w:customStyle="1" w:styleId="1946">
    <w:name w:val="Font Style336"/>
    <w:basedOn w:val="109"/>
    <w:semiHidden/>
    <w:qFormat/>
    <w:uiPriority w:val="0"/>
    <w:rPr>
      <w:rFonts w:ascii="宋体" w:eastAsia="宋体" w:cs="宋体"/>
      <w:sz w:val="16"/>
      <w:szCs w:val="16"/>
    </w:rPr>
  </w:style>
  <w:style w:type="character" w:customStyle="1" w:styleId="1947">
    <w:name w:val="text_edit1"/>
    <w:basedOn w:val="109"/>
    <w:semiHidden/>
    <w:qFormat/>
    <w:uiPriority w:val="0"/>
    <w:rPr>
      <w:color w:val="3366CC"/>
      <w:sz w:val="24"/>
      <w:szCs w:val="24"/>
    </w:rPr>
  </w:style>
  <w:style w:type="character" w:customStyle="1" w:styleId="1948">
    <w:name w:val="表、图名 Char Char"/>
    <w:basedOn w:val="109"/>
    <w:semiHidden/>
    <w:qFormat/>
    <w:uiPriority w:val="0"/>
    <w:rPr>
      <w:rFonts w:ascii="黑体" w:hAnsi="宋体" w:eastAsia="黑体" w:cs="黑体"/>
      <w:b/>
      <w:bCs/>
      <w:szCs w:val="21"/>
    </w:rPr>
  </w:style>
  <w:style w:type="character" w:customStyle="1" w:styleId="1949">
    <w:name w:val="编号-正文章条3级标题和2级条(不进目录) Char"/>
    <w:basedOn w:val="109"/>
    <w:link w:val="1950"/>
    <w:semiHidden/>
    <w:qFormat/>
    <w:uiPriority w:val="0"/>
    <w:rPr>
      <w:rFonts w:ascii="Arial" w:hAnsi="Arial"/>
      <w:sz w:val="24"/>
      <w:szCs w:val="24"/>
    </w:rPr>
  </w:style>
  <w:style w:type="paragraph" w:customStyle="1" w:styleId="1950">
    <w:name w:val="编号-正文章条3级标题和2级条(不进目录)"/>
    <w:basedOn w:val="1"/>
    <w:link w:val="1949"/>
    <w:semiHidden/>
    <w:qFormat/>
    <w:uiPriority w:val="0"/>
    <w:pPr>
      <w:adjustRightInd w:val="0"/>
      <w:snapToGrid w:val="0"/>
      <w:spacing w:line="360" w:lineRule="auto"/>
      <w:ind w:firstLine="200" w:firstLineChars="200"/>
      <w:outlineLvl w:val="2"/>
    </w:pPr>
    <w:rPr>
      <w:rFonts w:ascii="Arial" w:hAnsi="Arial"/>
      <w:sz w:val="24"/>
      <w:szCs w:val="24"/>
    </w:rPr>
  </w:style>
  <w:style w:type="character" w:customStyle="1" w:styleId="1951">
    <w:name w:val="正文(首行缩进)宋旭峰 Char Char Char"/>
    <w:basedOn w:val="109"/>
    <w:semiHidden/>
    <w:qFormat/>
    <w:uiPriority w:val="0"/>
    <w:rPr>
      <w:rFonts w:eastAsia="宋体" w:cs="TimesNewRomanPSMT"/>
      <w:snapToGrid w:val="0"/>
      <w:sz w:val="24"/>
      <w:szCs w:val="24"/>
      <w:lang w:val="en-US" w:eastAsia="zh-CN" w:bidi="ar-SA"/>
    </w:rPr>
  </w:style>
  <w:style w:type="character" w:customStyle="1" w:styleId="1952">
    <w:name w:val="bb"/>
    <w:basedOn w:val="109"/>
    <w:semiHidden/>
    <w:qFormat/>
    <w:uiPriority w:val="0"/>
  </w:style>
  <w:style w:type="character" w:customStyle="1" w:styleId="1953">
    <w:name w:val="标题 Char Char"/>
    <w:basedOn w:val="109"/>
    <w:semiHidden/>
    <w:qFormat/>
    <w:uiPriority w:val="0"/>
    <w:rPr>
      <w:rFonts w:ascii="Cambria" w:hAnsi="Cambria" w:cs="Times New Roman"/>
      <w:b/>
      <w:bCs/>
      <w:kern w:val="2"/>
      <w:sz w:val="32"/>
      <w:szCs w:val="32"/>
    </w:rPr>
  </w:style>
  <w:style w:type="character" w:customStyle="1" w:styleId="1954">
    <w:name w:val="EmailStyle554"/>
    <w:basedOn w:val="109"/>
    <w:semiHidden/>
    <w:qFormat/>
    <w:uiPriority w:val="0"/>
    <w:rPr>
      <w:rFonts w:ascii="Arial" w:hAnsi="Arial" w:eastAsia="宋体" w:cs="Arial"/>
      <w:color w:val="auto"/>
      <w:sz w:val="20"/>
    </w:rPr>
  </w:style>
  <w:style w:type="character" w:customStyle="1" w:styleId="1955">
    <w:name w:val="行号1"/>
    <w:basedOn w:val="109"/>
    <w:semiHidden/>
    <w:qFormat/>
    <w:uiPriority w:val="0"/>
    <w:rPr>
      <w:rFonts w:ascii="宋体" w:hAnsi="宋体" w:eastAsia="宋体" w:cs="Courier New"/>
      <w:kern w:val="2"/>
      <w:sz w:val="32"/>
      <w:szCs w:val="32"/>
      <w:lang w:val="en-US" w:eastAsia="zh-CN"/>
    </w:rPr>
  </w:style>
  <w:style w:type="character" w:customStyle="1" w:styleId="1956">
    <w:name w:val="Font Style347"/>
    <w:basedOn w:val="109"/>
    <w:semiHidden/>
    <w:qFormat/>
    <w:uiPriority w:val="0"/>
    <w:rPr>
      <w:rFonts w:ascii="Times New Roman" w:hAnsi="Times New Roman" w:cs="Times New Roman"/>
      <w:sz w:val="14"/>
      <w:szCs w:val="14"/>
    </w:rPr>
  </w:style>
  <w:style w:type="character" w:customStyle="1" w:styleId="1957">
    <w:name w:val="样式 样式 表格 + (符号) 宋体 五号 居中 + 小五 Char"/>
    <w:basedOn w:val="109"/>
    <w:semiHidden/>
    <w:qFormat/>
    <w:uiPriority w:val="0"/>
    <w:rPr>
      <w:rFonts w:ascii="宋体" w:hAnsi="宋体" w:eastAsia="宋体" w:cs="宋体"/>
      <w:snapToGrid w:val="0"/>
      <w:kern w:val="0"/>
      <w:sz w:val="18"/>
      <w:szCs w:val="21"/>
    </w:rPr>
  </w:style>
  <w:style w:type="character" w:customStyle="1" w:styleId="1958">
    <w:name w:val="签名 Char1"/>
    <w:basedOn w:val="109"/>
    <w:semiHidden/>
    <w:qFormat/>
    <w:uiPriority w:val="99"/>
    <w:rPr>
      <w:sz w:val="24"/>
    </w:rPr>
  </w:style>
  <w:style w:type="character" w:customStyle="1" w:styleId="1959">
    <w:name w:val="EmailStyle443"/>
    <w:basedOn w:val="109"/>
    <w:semiHidden/>
    <w:qFormat/>
    <w:uiPriority w:val="0"/>
    <w:rPr>
      <w:rFonts w:ascii="Arial" w:hAnsi="Arial" w:eastAsia="宋体" w:cs="Arial"/>
      <w:color w:val="auto"/>
      <w:sz w:val="20"/>
    </w:rPr>
  </w:style>
  <w:style w:type="character" w:customStyle="1" w:styleId="1960">
    <w:name w:val="文字 Char"/>
    <w:basedOn w:val="109"/>
    <w:semiHidden/>
    <w:qFormat/>
    <w:uiPriority w:val="0"/>
    <w:rPr>
      <w:rFonts w:ascii="宋体" w:hAnsi="宋体" w:eastAsia="宋体" w:cs="宋体"/>
      <w:kern w:val="0"/>
      <w:sz w:val="28"/>
      <w:szCs w:val="28"/>
    </w:rPr>
  </w:style>
  <w:style w:type="character" w:customStyle="1" w:styleId="1961">
    <w:name w:val="Char Char31"/>
    <w:basedOn w:val="109"/>
    <w:semiHidden/>
    <w:qFormat/>
    <w:uiPriority w:val="0"/>
    <w:rPr>
      <w:rFonts w:eastAsia="宋体"/>
      <w:kern w:val="2"/>
      <w:sz w:val="21"/>
      <w:lang w:val="en-US" w:eastAsia="zh-CN" w:bidi="ar-SA"/>
    </w:rPr>
  </w:style>
  <w:style w:type="character" w:customStyle="1" w:styleId="1962">
    <w:name w:val="1) Char"/>
    <w:basedOn w:val="1963"/>
    <w:semiHidden/>
    <w:qFormat/>
    <w:uiPriority w:val="0"/>
    <w:rPr>
      <w:rFonts w:ascii="宋体" w:hAnsi="宋体" w:eastAsia="宋体" w:cs="宋体"/>
      <w:kern w:val="0"/>
      <w:sz w:val="28"/>
      <w:szCs w:val="20"/>
    </w:rPr>
  </w:style>
  <w:style w:type="character" w:customStyle="1" w:styleId="1963">
    <w:name w:val="a) Char"/>
    <w:basedOn w:val="109"/>
    <w:semiHidden/>
    <w:qFormat/>
    <w:uiPriority w:val="0"/>
    <w:rPr>
      <w:rFonts w:ascii="宋体" w:hAnsi="宋体" w:eastAsia="宋体" w:cs="宋体"/>
      <w:kern w:val="0"/>
      <w:sz w:val="28"/>
      <w:szCs w:val="20"/>
    </w:rPr>
  </w:style>
  <w:style w:type="character" w:customStyle="1" w:styleId="1964">
    <w:name w:val="表格右"/>
    <w:basedOn w:val="109"/>
    <w:semiHidden/>
    <w:qFormat/>
    <w:uiPriority w:val="0"/>
    <w:rPr>
      <w:rFonts w:ascii="宋体" w:hAnsi="宋体" w:eastAsia="宋体"/>
      <w:color w:val="000080"/>
      <w:kern w:val="2"/>
      <w:sz w:val="18"/>
      <w:szCs w:val="24"/>
      <w:lang w:val="en-US" w:eastAsia="zh-CN"/>
    </w:rPr>
  </w:style>
  <w:style w:type="character" w:customStyle="1" w:styleId="1965">
    <w:name w:val="lv3"/>
    <w:basedOn w:val="109"/>
    <w:semiHidden/>
    <w:qFormat/>
    <w:uiPriority w:val="0"/>
    <w:rPr>
      <w:rFonts w:hint="default"/>
      <w:color w:val="2E7713"/>
      <w:spacing w:val="375"/>
      <w:sz w:val="20"/>
      <w:szCs w:val="20"/>
      <w:u w:val="none"/>
    </w:rPr>
  </w:style>
  <w:style w:type="character" w:customStyle="1" w:styleId="1966">
    <w:name w:val="表底说明 Char Char Char Char"/>
    <w:basedOn w:val="109"/>
    <w:semiHidden/>
    <w:qFormat/>
    <w:uiPriority w:val="0"/>
    <w:rPr>
      <w:sz w:val="18"/>
      <w:szCs w:val="24"/>
    </w:rPr>
  </w:style>
  <w:style w:type="character" w:customStyle="1" w:styleId="1967">
    <w:name w:val="页眉 Char Char"/>
    <w:basedOn w:val="109"/>
    <w:semiHidden/>
    <w:qFormat/>
    <w:uiPriority w:val="0"/>
    <w:rPr>
      <w:rFonts w:ascii="Times New Roman" w:hAnsi="Times New Roman" w:eastAsia="宋体" w:cs="Times New Roman"/>
      <w:sz w:val="18"/>
      <w:szCs w:val="18"/>
    </w:rPr>
  </w:style>
  <w:style w:type="character" w:customStyle="1" w:styleId="1968">
    <w:name w:val="EmailStyle5601"/>
    <w:basedOn w:val="109"/>
    <w:semiHidden/>
    <w:qFormat/>
    <w:uiPriority w:val="0"/>
    <w:rPr>
      <w:rFonts w:ascii="Arial" w:hAnsi="Arial" w:eastAsia="宋体" w:cs="Arial"/>
      <w:color w:val="auto"/>
      <w:sz w:val="20"/>
    </w:rPr>
  </w:style>
  <w:style w:type="character" w:customStyle="1" w:styleId="1969">
    <w:name w:val="Font Style303"/>
    <w:basedOn w:val="109"/>
    <w:semiHidden/>
    <w:qFormat/>
    <w:uiPriority w:val="0"/>
    <w:rPr>
      <w:rFonts w:ascii="宋体" w:eastAsia="宋体" w:cs="宋体"/>
      <w:sz w:val="20"/>
      <w:szCs w:val="20"/>
    </w:rPr>
  </w:style>
  <w:style w:type="character" w:customStyle="1" w:styleId="1970">
    <w:name w:val="Char Char27"/>
    <w:basedOn w:val="109"/>
    <w:semiHidden/>
    <w:qFormat/>
    <w:uiPriority w:val="0"/>
    <w:rPr>
      <w:rFonts w:eastAsia="宋体"/>
      <w:kern w:val="2"/>
      <w:sz w:val="18"/>
      <w:szCs w:val="18"/>
      <w:lang w:val="en-US" w:eastAsia="zh-CN" w:bidi="ar-SA"/>
    </w:rPr>
  </w:style>
  <w:style w:type="character" w:customStyle="1" w:styleId="1971">
    <w:name w:val="样式 标题 2节H2节标题 1.1二级标题标题 lxb21.1h2第一层条二级标题 Char表标题单位名... Char Char Char Char Char"/>
    <w:basedOn w:val="109"/>
    <w:semiHidden/>
    <w:qFormat/>
    <w:uiPriority w:val="0"/>
    <w:rPr>
      <w:rFonts w:ascii="黑体" w:hAnsi="宋体" w:eastAsia="黑体"/>
      <w:bCs/>
      <w:color w:val="000000"/>
      <w:sz w:val="28"/>
      <w:szCs w:val="28"/>
    </w:rPr>
  </w:style>
  <w:style w:type="character" w:customStyle="1" w:styleId="1972">
    <w:name w:val="样式 (符号) 宋体 小四 行距: 固定值 26 磅 Char Char Char Char"/>
    <w:basedOn w:val="109"/>
    <w:link w:val="1973"/>
    <w:semiHidden/>
    <w:qFormat/>
    <w:uiPriority w:val="0"/>
    <w:rPr>
      <w:rFonts w:ascii="宋体" w:hAnsi="宋体" w:cs="宋体"/>
      <w:color w:val="000000"/>
      <w:sz w:val="28"/>
      <w:szCs w:val="28"/>
    </w:rPr>
  </w:style>
  <w:style w:type="paragraph" w:customStyle="1" w:styleId="1973">
    <w:name w:val="样式 (符号) 宋体 小四 行距: 固定值 26 磅 Char Char"/>
    <w:basedOn w:val="1"/>
    <w:link w:val="1972"/>
    <w:semiHidden/>
    <w:qFormat/>
    <w:uiPriority w:val="0"/>
    <w:pPr>
      <w:adjustRightInd w:val="0"/>
      <w:snapToGrid w:val="0"/>
      <w:spacing w:line="360" w:lineRule="auto"/>
      <w:ind w:firstLine="480" w:firstLineChars="200"/>
    </w:pPr>
    <w:rPr>
      <w:rFonts w:ascii="宋体" w:hAnsi="宋体" w:cs="宋体"/>
      <w:color w:val="000000"/>
      <w:sz w:val="28"/>
      <w:szCs w:val="28"/>
    </w:rPr>
  </w:style>
  <w:style w:type="character" w:customStyle="1" w:styleId="1974">
    <w:name w:val="标题 1 Char1"/>
    <w:basedOn w:val="109"/>
    <w:semiHidden/>
    <w:qFormat/>
    <w:uiPriority w:val="0"/>
    <w:rPr>
      <w:rFonts w:ascii="Times New Roman" w:hAnsi="Times New Roman" w:eastAsia="宋体" w:cs="Times New Roman"/>
      <w:b/>
      <w:bCs/>
      <w:kern w:val="44"/>
      <w:sz w:val="44"/>
      <w:szCs w:val="44"/>
    </w:rPr>
  </w:style>
  <w:style w:type="character" w:customStyle="1" w:styleId="1975">
    <w:name w:val="articlebody3"/>
    <w:basedOn w:val="109"/>
    <w:semiHidden/>
    <w:qFormat/>
    <w:uiPriority w:val="0"/>
    <w:rPr>
      <w:sz w:val="21"/>
      <w:szCs w:val="21"/>
    </w:rPr>
  </w:style>
  <w:style w:type="character" w:customStyle="1" w:styleId="1976">
    <w:name w:val="样式 正文首行缩进 2 + (符号) 宋体 + (符号) 宋体 Char Char Char"/>
    <w:basedOn w:val="1393"/>
    <w:semiHidden/>
    <w:qFormat/>
    <w:uiPriority w:val="0"/>
    <w:rPr>
      <w:rFonts w:ascii="宋体"/>
      <w:kern w:val="2"/>
      <w:sz w:val="24"/>
      <w:szCs w:val="24"/>
    </w:rPr>
  </w:style>
  <w:style w:type="character" w:customStyle="1" w:styleId="1977">
    <w:name w:val="EmailStyle488"/>
    <w:basedOn w:val="109"/>
    <w:semiHidden/>
    <w:qFormat/>
    <w:uiPriority w:val="0"/>
    <w:rPr>
      <w:rFonts w:ascii="Arial" w:hAnsi="Arial" w:eastAsia="宋体" w:cs="Arial"/>
      <w:color w:val="auto"/>
      <w:sz w:val="20"/>
    </w:rPr>
  </w:style>
  <w:style w:type="character" w:customStyle="1" w:styleId="1978">
    <w:name w:val="未命名11"/>
    <w:basedOn w:val="109"/>
    <w:semiHidden/>
    <w:qFormat/>
    <w:uiPriority w:val="0"/>
    <w:rPr>
      <w:rFonts w:hint="eastAsia" w:ascii="宋体" w:hAnsi="宋体" w:eastAsia="宋体"/>
      <w:sz w:val="18"/>
      <w:szCs w:val="18"/>
    </w:rPr>
  </w:style>
  <w:style w:type="character" w:customStyle="1" w:styleId="1979">
    <w:name w:val="777777777 Char Char Char Char Char Char Char"/>
    <w:basedOn w:val="109"/>
    <w:link w:val="1980"/>
    <w:semiHidden/>
    <w:qFormat/>
    <w:uiPriority w:val="0"/>
    <w:rPr>
      <w:sz w:val="28"/>
    </w:rPr>
  </w:style>
  <w:style w:type="paragraph" w:customStyle="1" w:styleId="1980">
    <w:name w:val="777777777"/>
    <w:basedOn w:val="1"/>
    <w:link w:val="1979"/>
    <w:semiHidden/>
    <w:qFormat/>
    <w:uiPriority w:val="0"/>
    <w:pPr>
      <w:adjustRightInd w:val="0"/>
      <w:snapToGrid w:val="0"/>
      <w:spacing w:line="400" w:lineRule="exact"/>
      <w:ind w:firstLine="560" w:firstLineChars="200"/>
    </w:pPr>
    <w:rPr>
      <w:sz w:val="28"/>
    </w:rPr>
  </w:style>
  <w:style w:type="character" w:customStyle="1" w:styleId="1981">
    <w:name w:val="zimu_111"/>
    <w:basedOn w:val="109"/>
    <w:semiHidden/>
    <w:qFormat/>
    <w:uiPriority w:val="0"/>
    <w:rPr>
      <w:rFonts w:hint="default" w:ascii="Verdana" w:hAnsi="Verdana"/>
      <w:b/>
      <w:bCs/>
      <w:color w:val="0F54A1"/>
      <w:sz w:val="15"/>
      <w:szCs w:val="15"/>
      <w:u w:val="none"/>
    </w:rPr>
  </w:style>
  <w:style w:type="character" w:customStyle="1" w:styleId="1982">
    <w:name w:val="样式 居中 首行缩进:  0 字符 Char Char Char Char Char"/>
    <w:basedOn w:val="109"/>
    <w:link w:val="1070"/>
    <w:semiHidden/>
    <w:qFormat/>
    <w:uiPriority w:val="0"/>
    <w:rPr>
      <w:rFonts w:eastAsia="仿宋_GB2312"/>
    </w:rPr>
  </w:style>
  <w:style w:type="character" w:customStyle="1" w:styleId="1983">
    <w:name w:val="样式11 Char"/>
    <w:basedOn w:val="109"/>
    <w:link w:val="887"/>
    <w:semiHidden/>
    <w:qFormat/>
    <w:uiPriority w:val="0"/>
    <w:rPr>
      <w:color w:val="000000" w:themeColor="text1"/>
      <w:sz w:val="24"/>
      <w14:textFill>
        <w14:solidFill>
          <w14:schemeClr w14:val="tx1"/>
        </w14:solidFill>
      </w14:textFill>
    </w:rPr>
  </w:style>
  <w:style w:type="character" w:customStyle="1" w:styleId="1984">
    <w:name w:val="正文文字缩进 21 Char Char"/>
    <w:basedOn w:val="109"/>
    <w:semiHidden/>
    <w:qFormat/>
    <w:uiPriority w:val="0"/>
    <w:rPr>
      <w:rFonts w:eastAsia="宋体"/>
      <w:kern w:val="2"/>
      <w:sz w:val="21"/>
      <w:szCs w:val="24"/>
      <w:lang w:val="en-US" w:eastAsia="zh-CN" w:bidi="ar-SA"/>
    </w:rPr>
  </w:style>
  <w:style w:type="character" w:customStyle="1" w:styleId="1985">
    <w:name w:val="777777777 Char"/>
    <w:basedOn w:val="109"/>
    <w:semiHidden/>
    <w:qFormat/>
    <w:uiPriority w:val="0"/>
    <w:rPr>
      <w:rFonts w:eastAsia="宋体"/>
      <w:sz w:val="28"/>
    </w:rPr>
  </w:style>
  <w:style w:type="character" w:customStyle="1" w:styleId="1986">
    <w:name w:val="正文(首行缩进) Char Char Char Char Char Char Char"/>
    <w:basedOn w:val="109"/>
    <w:semiHidden/>
    <w:qFormat/>
    <w:uiPriority w:val="0"/>
    <w:rPr>
      <w:snapToGrid w:val="0"/>
      <w:sz w:val="24"/>
      <w:szCs w:val="24"/>
    </w:rPr>
  </w:style>
  <w:style w:type="character" w:customStyle="1" w:styleId="1987">
    <w:name w:val="一标题 Char Char Char"/>
    <w:basedOn w:val="109"/>
    <w:link w:val="1988"/>
    <w:semiHidden/>
    <w:qFormat/>
    <w:uiPriority w:val="0"/>
    <w:rPr>
      <w:sz w:val="28"/>
    </w:rPr>
  </w:style>
  <w:style w:type="paragraph" w:customStyle="1" w:styleId="1988">
    <w:name w:val="一标题 Char"/>
    <w:basedOn w:val="1"/>
    <w:link w:val="1987"/>
    <w:semiHidden/>
    <w:qFormat/>
    <w:uiPriority w:val="0"/>
    <w:pPr>
      <w:adjustRightInd w:val="0"/>
      <w:snapToGrid w:val="0"/>
      <w:spacing w:line="360" w:lineRule="auto"/>
      <w:ind w:firstLine="538" w:firstLineChars="192"/>
    </w:pPr>
    <w:rPr>
      <w:sz w:val="28"/>
    </w:rPr>
  </w:style>
  <w:style w:type="character" w:customStyle="1" w:styleId="1989">
    <w:name w:val="（1）标题 Char"/>
    <w:basedOn w:val="109"/>
    <w:semiHidden/>
    <w:qFormat/>
    <w:uiPriority w:val="0"/>
    <w:rPr>
      <w:rFonts w:eastAsia="宋体"/>
      <w:sz w:val="28"/>
    </w:rPr>
  </w:style>
  <w:style w:type="character" w:customStyle="1" w:styleId="1990">
    <w:name w:val="5 Char Char"/>
    <w:basedOn w:val="109"/>
    <w:semiHidden/>
    <w:qFormat/>
    <w:uiPriority w:val="0"/>
    <w:rPr>
      <w:rFonts w:ascii="楷体_GB2312" w:eastAsia="楷体_GB2312"/>
      <w:sz w:val="30"/>
      <w:szCs w:val="30"/>
    </w:rPr>
  </w:style>
  <w:style w:type="character" w:customStyle="1" w:styleId="1991">
    <w:name w:val="digest1"/>
    <w:basedOn w:val="109"/>
    <w:semiHidden/>
    <w:qFormat/>
    <w:uiPriority w:val="0"/>
    <w:rPr>
      <w:color w:val="393939"/>
      <w:sz w:val="20"/>
      <w:szCs w:val="20"/>
    </w:rPr>
  </w:style>
  <w:style w:type="character" w:customStyle="1" w:styleId="1992">
    <w:name w:val="Font Style375"/>
    <w:basedOn w:val="109"/>
    <w:semiHidden/>
    <w:qFormat/>
    <w:uiPriority w:val="0"/>
    <w:rPr>
      <w:rFonts w:ascii="Times New Roman" w:hAnsi="Times New Roman" w:cs="Times New Roman"/>
      <w:sz w:val="22"/>
      <w:szCs w:val="22"/>
    </w:rPr>
  </w:style>
  <w:style w:type="character" w:customStyle="1" w:styleId="1993">
    <w:name w:val="EmailStyle5091"/>
    <w:basedOn w:val="109"/>
    <w:semiHidden/>
    <w:qFormat/>
    <w:uiPriority w:val="0"/>
    <w:rPr>
      <w:rFonts w:ascii="Arial" w:hAnsi="Arial" w:eastAsia="宋体" w:cs="Arial"/>
      <w:color w:val="auto"/>
      <w:sz w:val="20"/>
    </w:rPr>
  </w:style>
  <w:style w:type="character" w:customStyle="1" w:styleId="1994">
    <w:name w:val="main1"/>
    <w:basedOn w:val="109"/>
    <w:semiHidden/>
    <w:qFormat/>
    <w:uiPriority w:val="0"/>
    <w:rPr>
      <w:rFonts w:hint="default"/>
      <w:color w:val="0033CC"/>
      <w:sz w:val="18"/>
      <w:szCs w:val="18"/>
    </w:rPr>
  </w:style>
  <w:style w:type="character" w:customStyle="1" w:styleId="1995">
    <w:name w:val="s1"/>
    <w:basedOn w:val="109"/>
    <w:semiHidden/>
    <w:qFormat/>
    <w:uiPriority w:val="0"/>
  </w:style>
  <w:style w:type="character" w:customStyle="1" w:styleId="1996">
    <w:name w:val="Font Style374"/>
    <w:basedOn w:val="109"/>
    <w:semiHidden/>
    <w:qFormat/>
    <w:uiPriority w:val="0"/>
    <w:rPr>
      <w:rFonts w:ascii="Times New Roman" w:hAnsi="Times New Roman" w:cs="Times New Roman"/>
      <w:sz w:val="12"/>
      <w:szCs w:val="12"/>
    </w:rPr>
  </w:style>
  <w:style w:type="character" w:customStyle="1" w:styleId="1997">
    <w:name w:val="Font Style399"/>
    <w:basedOn w:val="109"/>
    <w:semiHidden/>
    <w:qFormat/>
    <w:uiPriority w:val="0"/>
    <w:rPr>
      <w:rFonts w:ascii="宋体" w:eastAsia="宋体" w:cs="宋体"/>
      <w:i/>
      <w:iCs/>
      <w:spacing w:val="60"/>
      <w:w w:val="200"/>
      <w:sz w:val="10"/>
      <w:szCs w:val="10"/>
    </w:rPr>
  </w:style>
  <w:style w:type="character" w:customStyle="1" w:styleId="1998">
    <w:name w:val="HTML 定义1"/>
    <w:basedOn w:val="109"/>
    <w:semiHidden/>
    <w:qFormat/>
    <w:uiPriority w:val="0"/>
    <w:rPr>
      <w:rFonts w:ascii="宋体" w:hAnsi="宋体" w:eastAsia="宋体" w:cs="Courier New"/>
      <w:i/>
      <w:iCs/>
      <w:kern w:val="2"/>
      <w:sz w:val="32"/>
      <w:szCs w:val="32"/>
      <w:lang w:val="en-US" w:eastAsia="zh-CN"/>
    </w:rPr>
  </w:style>
  <w:style w:type="character" w:customStyle="1" w:styleId="1999">
    <w:name w:val="EmailStyle555"/>
    <w:basedOn w:val="109"/>
    <w:semiHidden/>
    <w:qFormat/>
    <w:uiPriority w:val="0"/>
    <w:rPr>
      <w:rFonts w:ascii="Arial" w:hAnsi="Arial" w:eastAsia="宋体" w:cs="Arial"/>
      <w:color w:val="auto"/>
      <w:sz w:val="20"/>
    </w:rPr>
  </w:style>
  <w:style w:type="character" w:customStyle="1" w:styleId="2000">
    <w:name w:val="EmailStyle5431"/>
    <w:basedOn w:val="109"/>
    <w:semiHidden/>
    <w:qFormat/>
    <w:uiPriority w:val="0"/>
    <w:rPr>
      <w:rFonts w:ascii="Arial" w:hAnsi="Arial" w:eastAsia="宋体" w:cs="Arial"/>
      <w:color w:val="auto"/>
      <w:sz w:val="20"/>
    </w:rPr>
  </w:style>
  <w:style w:type="character" w:customStyle="1" w:styleId="2001">
    <w:name w:val="样式 标题 3H3B Head标题 3 Char条标题1.1.1三级标题标题3h33rd level第二层条...1 Char Char Char"/>
    <w:basedOn w:val="109"/>
    <w:semiHidden/>
    <w:qFormat/>
    <w:uiPriority w:val="0"/>
    <w:rPr>
      <w:rFonts w:ascii="仿宋_GB2312" w:hAnsi="宋体" w:eastAsia="仿宋_GB2312"/>
      <w:bCs/>
      <w:snapToGrid w:val="0"/>
      <w:color w:val="FF0000"/>
      <w:sz w:val="24"/>
      <w:szCs w:val="24"/>
    </w:rPr>
  </w:style>
  <w:style w:type="character" w:customStyle="1" w:styleId="2002">
    <w:name w:val="表格标题zz Char"/>
    <w:basedOn w:val="109"/>
    <w:link w:val="2003"/>
    <w:semiHidden/>
    <w:qFormat/>
    <w:uiPriority w:val="0"/>
    <w:rPr>
      <w:b/>
      <w:sz w:val="24"/>
      <w:szCs w:val="24"/>
    </w:rPr>
  </w:style>
  <w:style w:type="paragraph" w:customStyle="1" w:styleId="2003">
    <w:name w:val="表格标题zz"/>
    <w:basedOn w:val="1"/>
    <w:link w:val="2002"/>
    <w:semiHidden/>
    <w:qFormat/>
    <w:uiPriority w:val="0"/>
    <w:pPr>
      <w:spacing w:before="120" w:line="360" w:lineRule="auto"/>
      <w:jc w:val="center"/>
    </w:pPr>
    <w:rPr>
      <w:b/>
      <w:sz w:val="24"/>
      <w:szCs w:val="24"/>
    </w:rPr>
  </w:style>
  <w:style w:type="character" w:customStyle="1" w:styleId="2004">
    <w:name w:val="样式 样式 标题 2节H2节标题 1.1二级标题标题 lxb21.1h2第一层条二级标题 Char表标题单位名... + 宋体... Char Char Char"/>
    <w:basedOn w:val="109"/>
    <w:semiHidden/>
    <w:qFormat/>
    <w:uiPriority w:val="0"/>
    <w:rPr>
      <w:rFonts w:ascii="宋体" w:hAnsi="宋体"/>
      <w:b/>
      <w:color w:val="000000"/>
      <w:sz w:val="24"/>
      <w:szCs w:val="28"/>
    </w:rPr>
  </w:style>
  <w:style w:type="character" w:customStyle="1" w:styleId="2005">
    <w:name w:val="line31"/>
    <w:basedOn w:val="109"/>
    <w:semiHidden/>
    <w:qFormat/>
    <w:uiPriority w:val="0"/>
    <w:rPr>
      <w:color w:val="993333"/>
      <w:spacing w:val="360"/>
    </w:rPr>
  </w:style>
  <w:style w:type="character" w:customStyle="1" w:styleId="2006">
    <w:name w:val="777777777 Char Char Char Char Char1"/>
    <w:basedOn w:val="109"/>
    <w:semiHidden/>
    <w:qFormat/>
    <w:uiPriority w:val="0"/>
    <w:rPr>
      <w:rFonts w:eastAsia="宋体"/>
      <w:kern w:val="2"/>
      <w:sz w:val="28"/>
      <w:lang w:val="en-US" w:eastAsia="zh-CN"/>
    </w:rPr>
  </w:style>
  <w:style w:type="character" w:customStyle="1" w:styleId="2007">
    <w:name w:val="标题 2 + 行距: 标题2+首行缩进 0倍 Char"/>
    <w:basedOn w:val="109"/>
    <w:semiHidden/>
    <w:qFormat/>
    <w:uiPriority w:val="0"/>
    <w:rPr>
      <w:rFonts w:ascii="黑体" w:hAnsi="Times New Roman" w:eastAsia="黑体" w:cs="宋体"/>
      <w:kern w:val="0"/>
      <w:sz w:val="30"/>
      <w:szCs w:val="20"/>
    </w:rPr>
  </w:style>
  <w:style w:type="character" w:customStyle="1" w:styleId="2008">
    <w:name w:val="一标题 Char Char"/>
    <w:basedOn w:val="109"/>
    <w:semiHidden/>
    <w:qFormat/>
    <w:uiPriority w:val="0"/>
    <w:rPr>
      <w:rFonts w:eastAsia="宋体"/>
      <w:sz w:val="28"/>
    </w:rPr>
  </w:style>
  <w:style w:type="character" w:customStyle="1" w:styleId="2009">
    <w:name w:val="普通文字 Char Char Char Char Char C Char Char Char Char Char Char Char"/>
    <w:basedOn w:val="109"/>
    <w:semiHidden/>
    <w:qFormat/>
    <w:uiPriority w:val="0"/>
    <w:rPr>
      <w:rFonts w:ascii="宋体" w:hAnsi="Courier New" w:eastAsia="宋体"/>
      <w:kern w:val="2"/>
      <w:sz w:val="28"/>
      <w:lang w:val="en-US" w:eastAsia="zh-CN"/>
    </w:rPr>
  </w:style>
  <w:style w:type="character" w:customStyle="1" w:styleId="2010">
    <w:name w:val="信息标题 Char1"/>
    <w:basedOn w:val="109"/>
    <w:semiHidden/>
    <w:qFormat/>
    <w:uiPriority w:val="99"/>
    <w:rPr>
      <w:rFonts w:asciiTheme="majorHAnsi" w:hAnsiTheme="majorHAnsi" w:eastAsiaTheme="majorEastAsia" w:cstheme="majorBidi"/>
      <w:sz w:val="24"/>
      <w:szCs w:val="24"/>
      <w:shd w:val="pct20" w:color="auto" w:fill="auto"/>
    </w:rPr>
  </w:style>
  <w:style w:type="character" w:customStyle="1" w:styleId="2011">
    <w:name w:val="EmailStyle5081"/>
    <w:basedOn w:val="109"/>
    <w:semiHidden/>
    <w:qFormat/>
    <w:uiPriority w:val="0"/>
    <w:rPr>
      <w:rFonts w:ascii="Arial" w:hAnsi="Arial" w:eastAsia="宋体" w:cs="Arial"/>
      <w:color w:val="auto"/>
      <w:sz w:val="20"/>
    </w:rPr>
  </w:style>
  <w:style w:type="character" w:customStyle="1" w:styleId="2012">
    <w:name w:val="样式 正文首行缩进 2 + (符号) 宋体 Char Char Char Char"/>
    <w:basedOn w:val="109"/>
    <w:semiHidden/>
    <w:qFormat/>
    <w:uiPriority w:val="0"/>
    <w:rPr>
      <w:rFonts w:ascii="宋体"/>
      <w:sz w:val="24"/>
      <w:szCs w:val="24"/>
    </w:rPr>
  </w:style>
  <w:style w:type="paragraph" w:customStyle="1" w:styleId="2013">
    <w:name w:val="正文首行缩进 21"/>
    <w:basedOn w:val="2014"/>
    <w:semiHidden/>
    <w:qFormat/>
    <w:uiPriority w:val="0"/>
    <w:pPr>
      <w:ind w:firstLine="420"/>
    </w:pPr>
  </w:style>
  <w:style w:type="paragraph" w:customStyle="1" w:styleId="2014">
    <w:name w:val="正文文本缩进1"/>
    <w:basedOn w:val="1"/>
    <w:semiHidden/>
    <w:qFormat/>
    <w:uiPriority w:val="0"/>
    <w:pPr>
      <w:adjustRightInd w:val="0"/>
      <w:snapToGrid w:val="0"/>
      <w:spacing w:after="120" w:line="360" w:lineRule="auto"/>
      <w:ind w:left="420" w:leftChars="200" w:firstLine="200" w:firstLineChars="200"/>
    </w:pPr>
    <w:rPr>
      <w:sz w:val="24"/>
      <w:szCs w:val="24"/>
    </w:rPr>
  </w:style>
  <w:style w:type="character" w:customStyle="1" w:styleId="2015">
    <w:name w:val="HTML 变量1"/>
    <w:basedOn w:val="109"/>
    <w:semiHidden/>
    <w:qFormat/>
    <w:uiPriority w:val="0"/>
    <w:rPr>
      <w:rFonts w:ascii="宋体" w:hAnsi="宋体" w:eastAsia="宋体" w:cs="Courier New"/>
      <w:i/>
      <w:iCs/>
      <w:kern w:val="2"/>
      <w:sz w:val="32"/>
      <w:szCs w:val="32"/>
      <w:lang w:val="en-US" w:eastAsia="zh-CN"/>
    </w:rPr>
  </w:style>
  <w:style w:type="character" w:customStyle="1" w:styleId="2016">
    <w:name w:val="样式 标题 2 + 楷体_GB2312 Char Char"/>
    <w:basedOn w:val="109"/>
    <w:semiHidden/>
    <w:qFormat/>
    <w:uiPriority w:val="0"/>
    <w:rPr>
      <w:rFonts w:ascii="楷体_GB2312" w:hAnsi="楷体_GB2312" w:eastAsia="楷体_GB2312"/>
      <w:b/>
      <w:bCs/>
      <w:sz w:val="30"/>
      <w:szCs w:val="32"/>
    </w:rPr>
  </w:style>
  <w:style w:type="character" w:customStyle="1" w:styleId="2017">
    <w:name w:val="EmailStyle489"/>
    <w:basedOn w:val="109"/>
    <w:semiHidden/>
    <w:qFormat/>
    <w:uiPriority w:val="0"/>
    <w:rPr>
      <w:rFonts w:ascii="Arial" w:hAnsi="Arial" w:eastAsia="宋体" w:cs="Arial"/>
      <w:color w:val="auto"/>
      <w:sz w:val="20"/>
    </w:rPr>
  </w:style>
  <w:style w:type="character" w:customStyle="1" w:styleId="2018">
    <w:name w:val="Font Style316"/>
    <w:basedOn w:val="109"/>
    <w:semiHidden/>
    <w:qFormat/>
    <w:uiPriority w:val="0"/>
    <w:rPr>
      <w:rFonts w:ascii="宋体" w:eastAsia="宋体" w:cs="宋体"/>
      <w:b/>
      <w:bCs/>
      <w:sz w:val="20"/>
      <w:szCs w:val="20"/>
    </w:rPr>
  </w:style>
  <w:style w:type="character" w:customStyle="1" w:styleId="2019">
    <w:name w:val=". [(iii)] Char"/>
    <w:basedOn w:val="109"/>
    <w:semiHidden/>
    <w:qFormat/>
    <w:uiPriority w:val="0"/>
    <w:rPr>
      <w:rFonts w:ascii="Arial" w:hAnsi="Arial" w:eastAsia="黑体"/>
      <w:kern w:val="2"/>
      <w:sz w:val="21"/>
      <w:szCs w:val="21"/>
      <w:lang w:val="en-US" w:eastAsia="zh-CN" w:bidi="ar-SA"/>
    </w:rPr>
  </w:style>
  <w:style w:type="character" w:customStyle="1" w:styleId="2020">
    <w:name w:val="k1"/>
    <w:basedOn w:val="109"/>
    <w:semiHidden/>
    <w:qFormat/>
    <w:uiPriority w:val="0"/>
  </w:style>
  <w:style w:type="character" w:customStyle="1" w:styleId="2021">
    <w:name w:val="Font Style322"/>
    <w:basedOn w:val="109"/>
    <w:semiHidden/>
    <w:qFormat/>
    <w:uiPriority w:val="0"/>
    <w:rPr>
      <w:rFonts w:ascii="Times New Roman" w:hAnsi="Times New Roman" w:cs="Times New Roman"/>
      <w:i/>
      <w:iCs/>
      <w:sz w:val="22"/>
      <w:szCs w:val="22"/>
    </w:rPr>
  </w:style>
  <w:style w:type="character" w:customStyle="1" w:styleId="2022">
    <w:name w:val="样式 宋体 小四"/>
    <w:basedOn w:val="109"/>
    <w:semiHidden/>
    <w:qFormat/>
    <w:uiPriority w:val="0"/>
    <w:rPr>
      <w:rFonts w:ascii="楷体_GB2312" w:hAnsi="楷体_GB2312" w:eastAsia="楷体_GB2312" w:cs="楷体_GB2312"/>
      <w:sz w:val="24"/>
      <w:szCs w:val="24"/>
    </w:rPr>
  </w:style>
  <w:style w:type="character" w:customStyle="1" w:styleId="2023">
    <w:name w:val="标题 2 + 行距: 标题2+首行缩进 0倍 Char Char"/>
    <w:basedOn w:val="109"/>
    <w:link w:val="2024"/>
    <w:semiHidden/>
    <w:qFormat/>
    <w:uiPriority w:val="0"/>
    <w:rPr>
      <w:rFonts w:ascii="黑体" w:eastAsia="黑体" w:cs="宋体"/>
      <w:color w:val="000000" w:themeColor="text1"/>
      <w:sz w:val="30"/>
      <w14:textFill>
        <w14:solidFill>
          <w14:schemeClr w14:val="tx1"/>
        </w14:solidFill>
      </w14:textFill>
    </w:rPr>
  </w:style>
  <w:style w:type="paragraph" w:customStyle="1" w:styleId="2024">
    <w:name w:val="标题 2 + 行距: 标题2+首行缩进 0倍"/>
    <w:basedOn w:val="3"/>
    <w:link w:val="2023"/>
    <w:semiHidden/>
    <w:qFormat/>
    <w:uiPriority w:val="0"/>
    <w:pPr>
      <w:tabs>
        <w:tab w:val="left" w:pos="8140"/>
      </w:tabs>
      <w:spacing w:line="360" w:lineRule="auto"/>
    </w:pPr>
    <w:rPr>
      <w:rFonts w:ascii="黑体" w:cs="宋体"/>
      <w:b w:val="0"/>
      <w:sz w:val="30"/>
      <w:szCs w:val="20"/>
    </w:rPr>
  </w:style>
  <w:style w:type="character" w:customStyle="1" w:styleId="2025">
    <w:name w:val="EmailStyle4881"/>
    <w:basedOn w:val="109"/>
    <w:semiHidden/>
    <w:qFormat/>
    <w:uiPriority w:val="0"/>
    <w:rPr>
      <w:rFonts w:ascii="Arial" w:hAnsi="Arial" w:eastAsia="宋体" w:cs="Arial"/>
      <w:color w:val="auto"/>
      <w:sz w:val="20"/>
    </w:rPr>
  </w:style>
  <w:style w:type="character" w:customStyle="1" w:styleId="2026">
    <w:name w:val="批注引用1"/>
    <w:basedOn w:val="109"/>
    <w:semiHidden/>
    <w:qFormat/>
    <w:uiPriority w:val="0"/>
    <w:rPr>
      <w:rFonts w:ascii="宋体" w:hAnsi="宋体" w:eastAsia="宋体" w:cs="Courier New"/>
      <w:kern w:val="2"/>
      <w:sz w:val="21"/>
      <w:szCs w:val="21"/>
      <w:lang w:val="en-US" w:eastAsia="zh-CN"/>
    </w:rPr>
  </w:style>
  <w:style w:type="character" w:customStyle="1" w:styleId="2027">
    <w:name w:val="样式13 Char"/>
    <w:basedOn w:val="165"/>
    <w:link w:val="958"/>
    <w:semiHidden/>
    <w:qFormat/>
    <w:uiPriority w:val="0"/>
    <w:rPr>
      <w:rFonts w:hAnsi="宋体" w:eastAsia="Times New Roman"/>
      <w:bCs w:val="0"/>
      <w:color w:val="000000" w:themeColor="text1"/>
      <w:sz w:val="24"/>
      <w:szCs w:val="24"/>
      <w14:textFill>
        <w14:solidFill>
          <w14:schemeClr w14:val="tx1"/>
        </w14:solidFill>
      </w14:textFill>
    </w:rPr>
  </w:style>
  <w:style w:type="character" w:customStyle="1" w:styleId="2028">
    <w:name w:val="style1"/>
    <w:basedOn w:val="109"/>
    <w:semiHidden/>
    <w:qFormat/>
    <w:uiPriority w:val="0"/>
    <w:rPr>
      <w:rFonts w:hint="default" w:ascii="Tahoma" w:hAnsi="Tahoma" w:cs="Tahoma"/>
    </w:rPr>
  </w:style>
  <w:style w:type="character" w:customStyle="1" w:styleId="2029">
    <w:name w:val="样式 5 + 首行缩进:  2 字符 Char Char"/>
    <w:basedOn w:val="109"/>
    <w:semiHidden/>
    <w:qFormat/>
    <w:uiPriority w:val="0"/>
    <w:rPr>
      <w:rFonts w:ascii="楷体_GB2312" w:hAnsi="宋体" w:eastAsia="楷体_GB2312" w:cs="宋体"/>
      <w:color w:val="000000"/>
      <w:spacing w:val="-2"/>
      <w:sz w:val="30"/>
      <w:szCs w:val="30"/>
    </w:rPr>
  </w:style>
  <w:style w:type="character" w:customStyle="1" w:styleId="2030">
    <w:name w:val="HTML 引文1"/>
    <w:basedOn w:val="109"/>
    <w:semiHidden/>
    <w:qFormat/>
    <w:uiPriority w:val="0"/>
    <w:rPr>
      <w:rFonts w:ascii="宋体" w:hAnsi="宋体" w:eastAsia="宋体" w:cs="Courier New"/>
      <w:i/>
      <w:iCs/>
      <w:kern w:val="2"/>
      <w:sz w:val="32"/>
      <w:szCs w:val="32"/>
      <w:lang w:val="en-US" w:eastAsia="zh-CN"/>
    </w:rPr>
  </w:style>
  <w:style w:type="character" w:customStyle="1" w:styleId="2031">
    <w:name w:val="a1"/>
    <w:basedOn w:val="109"/>
    <w:semiHidden/>
    <w:qFormat/>
    <w:uiPriority w:val="0"/>
    <w:rPr>
      <w:rFonts w:hint="eastAsia" w:ascii="宋体" w:hAnsi="宋体" w:eastAsia="宋体"/>
      <w:color w:val="000000"/>
      <w:spacing w:val="360"/>
      <w:sz w:val="18"/>
      <w:szCs w:val="18"/>
    </w:rPr>
  </w:style>
  <w:style w:type="character" w:customStyle="1" w:styleId="2032">
    <w:name w:val="表号 Char"/>
    <w:basedOn w:val="109"/>
    <w:semiHidden/>
    <w:qFormat/>
    <w:uiPriority w:val="0"/>
    <w:rPr>
      <w:rFonts w:ascii="宋体" w:hAnsi="宋体" w:eastAsia="宋体" w:cs="宋体"/>
      <w:snapToGrid w:val="0"/>
      <w:color w:val="000000"/>
      <w:kern w:val="0"/>
      <w:sz w:val="24"/>
      <w:szCs w:val="24"/>
    </w:rPr>
  </w:style>
  <w:style w:type="character" w:customStyle="1" w:styleId="2033">
    <w:name w:val="（1）标题 Char Char"/>
    <w:basedOn w:val="109"/>
    <w:link w:val="2034"/>
    <w:semiHidden/>
    <w:qFormat/>
    <w:uiPriority w:val="0"/>
    <w:rPr>
      <w:sz w:val="28"/>
    </w:rPr>
  </w:style>
  <w:style w:type="paragraph" w:customStyle="1" w:styleId="2034">
    <w:name w:val="（1）标题"/>
    <w:basedOn w:val="1"/>
    <w:link w:val="2033"/>
    <w:semiHidden/>
    <w:qFormat/>
    <w:uiPriority w:val="0"/>
    <w:pPr>
      <w:adjustRightInd w:val="0"/>
      <w:snapToGrid w:val="0"/>
      <w:spacing w:line="360" w:lineRule="auto"/>
      <w:ind w:firstLine="560" w:firstLineChars="200"/>
    </w:pPr>
    <w:rPr>
      <w:sz w:val="28"/>
    </w:rPr>
  </w:style>
  <w:style w:type="character" w:customStyle="1" w:styleId="2035">
    <w:name w:val="HTML 代码1"/>
    <w:basedOn w:val="109"/>
    <w:semiHidden/>
    <w:qFormat/>
    <w:uiPriority w:val="0"/>
    <w:rPr>
      <w:rFonts w:ascii="Courier New" w:hAnsi="Courier New" w:eastAsia="宋体" w:cs="Courier New"/>
      <w:kern w:val="2"/>
      <w:sz w:val="20"/>
      <w:szCs w:val="20"/>
      <w:lang w:val="en-US" w:eastAsia="zh-CN"/>
    </w:rPr>
  </w:style>
  <w:style w:type="character" w:customStyle="1" w:styleId="2036">
    <w:name w:val="777777777 Char Char Char Char Char Char"/>
    <w:basedOn w:val="109"/>
    <w:semiHidden/>
    <w:qFormat/>
    <w:uiPriority w:val="0"/>
    <w:rPr>
      <w:rFonts w:eastAsia="宋体"/>
      <w:kern w:val="2"/>
      <w:sz w:val="28"/>
      <w:lang w:val="en-US" w:eastAsia="zh-CN"/>
    </w:rPr>
  </w:style>
  <w:style w:type="character" w:customStyle="1" w:styleId="2037">
    <w:name w:val="样式 标题 3 + 宋体 Char Char Char"/>
    <w:basedOn w:val="109"/>
    <w:semiHidden/>
    <w:qFormat/>
    <w:uiPriority w:val="0"/>
    <w:rPr>
      <w:rFonts w:ascii="宋体" w:hAnsi="宋体" w:eastAsia="宋体" w:cs="宋体"/>
      <w:b/>
      <w:bCs/>
      <w:sz w:val="32"/>
      <w:szCs w:val="32"/>
    </w:rPr>
  </w:style>
  <w:style w:type="character" w:customStyle="1" w:styleId="2038">
    <w:name w:val="000 Char"/>
    <w:basedOn w:val="109"/>
    <w:link w:val="2039"/>
    <w:semiHidden/>
    <w:qFormat/>
    <w:uiPriority w:val="0"/>
    <w:rPr>
      <w:sz w:val="24"/>
      <w:szCs w:val="24"/>
    </w:rPr>
  </w:style>
  <w:style w:type="paragraph" w:customStyle="1" w:styleId="2039">
    <w:name w:val="000"/>
    <w:basedOn w:val="1"/>
    <w:link w:val="2038"/>
    <w:semiHidden/>
    <w:qFormat/>
    <w:uiPriority w:val="0"/>
    <w:pPr>
      <w:adjustRightInd w:val="0"/>
      <w:snapToGrid w:val="0"/>
      <w:spacing w:line="360" w:lineRule="auto"/>
      <w:ind w:firstLine="480" w:firstLineChars="200"/>
    </w:pPr>
    <w:rPr>
      <w:sz w:val="24"/>
      <w:szCs w:val="24"/>
    </w:rPr>
  </w:style>
  <w:style w:type="character" w:customStyle="1" w:styleId="2040">
    <w:name w:val="EmailStyle5421"/>
    <w:basedOn w:val="109"/>
    <w:semiHidden/>
    <w:qFormat/>
    <w:uiPriority w:val="0"/>
    <w:rPr>
      <w:rFonts w:ascii="Arial" w:hAnsi="Arial" w:eastAsia="宋体" w:cs="Arial"/>
      <w:color w:val="auto"/>
      <w:sz w:val="20"/>
    </w:rPr>
  </w:style>
  <w:style w:type="character" w:customStyle="1" w:styleId="2041">
    <w:name w:val="表号 Char Char"/>
    <w:basedOn w:val="109"/>
    <w:link w:val="2042"/>
    <w:semiHidden/>
    <w:qFormat/>
    <w:uiPriority w:val="0"/>
    <w:rPr>
      <w:rFonts w:ascii="宋体" w:hAnsi="宋体" w:cs="宋体"/>
      <w:snapToGrid w:val="0"/>
      <w:color w:val="000000"/>
      <w:sz w:val="24"/>
      <w:szCs w:val="24"/>
    </w:rPr>
  </w:style>
  <w:style w:type="paragraph" w:customStyle="1" w:styleId="2042">
    <w:name w:val="表号"/>
    <w:basedOn w:val="1"/>
    <w:link w:val="2041"/>
    <w:semiHidden/>
    <w:qFormat/>
    <w:uiPriority w:val="0"/>
    <w:pPr>
      <w:adjustRightInd w:val="0"/>
      <w:snapToGrid w:val="0"/>
      <w:spacing w:line="360" w:lineRule="auto"/>
      <w:ind w:firstLine="480" w:firstLineChars="200"/>
    </w:pPr>
    <w:rPr>
      <w:rFonts w:ascii="宋体" w:hAnsi="宋体" w:cs="宋体"/>
      <w:snapToGrid w:val="0"/>
      <w:color w:val="000000"/>
      <w:sz w:val="24"/>
      <w:szCs w:val="24"/>
    </w:rPr>
  </w:style>
  <w:style w:type="character" w:customStyle="1" w:styleId="2043">
    <w:name w:val="分目录2 Char Char"/>
    <w:basedOn w:val="2044"/>
    <w:link w:val="2046"/>
    <w:semiHidden/>
    <w:qFormat/>
    <w:uiPriority w:val="0"/>
    <w:rPr>
      <w:snapToGrid w:val="0"/>
      <w:sz w:val="24"/>
    </w:rPr>
  </w:style>
  <w:style w:type="character" w:customStyle="1" w:styleId="2044">
    <w:name w:val="分目录1 Char Char"/>
    <w:basedOn w:val="109"/>
    <w:link w:val="2045"/>
    <w:semiHidden/>
    <w:qFormat/>
    <w:uiPriority w:val="0"/>
    <w:rPr>
      <w:snapToGrid w:val="0"/>
      <w:sz w:val="28"/>
    </w:rPr>
  </w:style>
  <w:style w:type="paragraph" w:customStyle="1" w:styleId="2045">
    <w:name w:val="分目录1"/>
    <w:basedOn w:val="1"/>
    <w:link w:val="2044"/>
    <w:semiHidden/>
    <w:qFormat/>
    <w:uiPriority w:val="0"/>
    <w:pPr>
      <w:tabs>
        <w:tab w:val="right" w:leader="dot" w:pos="8304"/>
      </w:tabs>
      <w:adjustRightInd w:val="0"/>
      <w:snapToGrid w:val="0"/>
      <w:spacing w:line="360" w:lineRule="auto"/>
      <w:ind w:firstLine="200" w:firstLineChars="200"/>
    </w:pPr>
    <w:rPr>
      <w:snapToGrid w:val="0"/>
      <w:sz w:val="28"/>
    </w:rPr>
  </w:style>
  <w:style w:type="paragraph" w:customStyle="1" w:styleId="2046">
    <w:name w:val="分目录2"/>
    <w:basedOn w:val="2045"/>
    <w:link w:val="2043"/>
    <w:semiHidden/>
    <w:qFormat/>
    <w:uiPriority w:val="0"/>
    <w:pPr>
      <w:ind w:firstLine="480"/>
    </w:pPr>
    <w:rPr>
      <w:sz w:val="24"/>
    </w:rPr>
  </w:style>
  <w:style w:type="character" w:customStyle="1" w:styleId="2047">
    <w:name w:val="已访问的超级链接"/>
    <w:basedOn w:val="109"/>
    <w:semiHidden/>
    <w:qFormat/>
    <w:uiPriority w:val="0"/>
    <w:rPr>
      <w:color w:val="800080"/>
      <w:u w:val="single"/>
    </w:rPr>
  </w:style>
  <w:style w:type="character" w:customStyle="1" w:styleId="2048">
    <w:name w:val="Font Style404"/>
    <w:basedOn w:val="109"/>
    <w:semiHidden/>
    <w:qFormat/>
    <w:uiPriority w:val="0"/>
    <w:rPr>
      <w:rFonts w:ascii="宋体" w:eastAsia="宋体" w:cs="宋体"/>
      <w:b/>
      <w:bCs/>
      <w:w w:val="150"/>
      <w:sz w:val="14"/>
      <w:szCs w:val="14"/>
    </w:rPr>
  </w:style>
  <w:style w:type="character" w:customStyle="1" w:styleId="2049">
    <w:name w:val="题注 Char Char"/>
    <w:basedOn w:val="109"/>
    <w:semiHidden/>
    <w:qFormat/>
    <w:uiPriority w:val="0"/>
    <w:rPr>
      <w:rFonts w:ascii="Arial" w:hAnsi="Arial" w:eastAsia="黑体" w:cs="Arial"/>
      <w:kern w:val="2"/>
      <w:lang w:val="en-US" w:eastAsia="zh-CN"/>
    </w:rPr>
  </w:style>
  <w:style w:type="character" w:customStyle="1" w:styleId="2050">
    <w:name w:val="5级正文 Char Char"/>
    <w:basedOn w:val="109"/>
    <w:link w:val="2051"/>
    <w:semiHidden/>
    <w:qFormat/>
    <w:uiPriority w:val="0"/>
    <w:rPr>
      <w:b/>
      <w:sz w:val="24"/>
      <w:szCs w:val="24"/>
    </w:rPr>
  </w:style>
  <w:style w:type="paragraph" w:customStyle="1" w:styleId="2051">
    <w:name w:val="5级正文"/>
    <w:basedOn w:val="1"/>
    <w:next w:val="18"/>
    <w:link w:val="2050"/>
    <w:semiHidden/>
    <w:qFormat/>
    <w:uiPriority w:val="0"/>
    <w:pPr>
      <w:tabs>
        <w:tab w:val="left" w:pos="420"/>
      </w:tabs>
      <w:adjustRightInd w:val="0"/>
      <w:snapToGrid w:val="0"/>
      <w:spacing w:line="360" w:lineRule="auto"/>
      <w:ind w:left="2940" w:firstLine="200" w:firstLineChars="200"/>
      <w:outlineLvl w:val="4"/>
    </w:pPr>
    <w:rPr>
      <w:b/>
      <w:sz w:val="24"/>
      <w:szCs w:val="24"/>
    </w:rPr>
  </w:style>
  <w:style w:type="character" w:customStyle="1" w:styleId="2052">
    <w:name w:val="HTML 打字机1"/>
    <w:basedOn w:val="109"/>
    <w:semiHidden/>
    <w:qFormat/>
    <w:uiPriority w:val="0"/>
    <w:rPr>
      <w:rFonts w:ascii="Courier New" w:hAnsi="Courier New" w:eastAsia="宋体" w:cs="Courier New"/>
      <w:kern w:val="2"/>
      <w:sz w:val="20"/>
      <w:szCs w:val="20"/>
      <w:lang w:val="en-US" w:eastAsia="zh-CN"/>
    </w:rPr>
  </w:style>
  <w:style w:type="character" w:customStyle="1" w:styleId="2053">
    <w:name w:val="HTML 缩写1"/>
    <w:basedOn w:val="109"/>
    <w:semiHidden/>
    <w:qFormat/>
    <w:uiPriority w:val="0"/>
    <w:rPr>
      <w:rFonts w:ascii="宋体" w:hAnsi="宋体" w:eastAsia="宋体" w:cs="Courier New"/>
      <w:kern w:val="2"/>
      <w:sz w:val="32"/>
      <w:szCs w:val="32"/>
      <w:lang w:val="en-US" w:eastAsia="zh-CN"/>
    </w:rPr>
  </w:style>
  <w:style w:type="character" w:customStyle="1" w:styleId="2054">
    <w:name w:val="正文首行缩进 Char Char"/>
    <w:basedOn w:val="109"/>
    <w:semiHidden/>
    <w:qFormat/>
    <w:uiPriority w:val="0"/>
    <w:rPr>
      <w:rFonts w:eastAsia="宋体"/>
      <w:kern w:val="2"/>
      <w:sz w:val="28"/>
      <w:szCs w:val="24"/>
      <w:lang w:val="en-US" w:eastAsia="zh-CN" w:bidi="ar-SA"/>
    </w:rPr>
  </w:style>
  <w:style w:type="character" w:customStyle="1" w:styleId="2055">
    <w:name w:val="样式 样式 表格 + (符号) 宋体 五号 居中 + 小五 Char Char"/>
    <w:basedOn w:val="109"/>
    <w:link w:val="2056"/>
    <w:semiHidden/>
    <w:qFormat/>
    <w:uiPriority w:val="0"/>
    <w:rPr>
      <w:rFonts w:ascii="宋体" w:hAnsi="宋体" w:cs="宋体"/>
      <w:snapToGrid w:val="0"/>
      <w:sz w:val="18"/>
      <w:szCs w:val="21"/>
    </w:rPr>
  </w:style>
  <w:style w:type="paragraph" w:customStyle="1" w:styleId="2056">
    <w:name w:val="样式 样式 表格 + (符号) 宋体 五号 居中 + 小五"/>
    <w:basedOn w:val="1"/>
    <w:link w:val="2055"/>
    <w:semiHidden/>
    <w:qFormat/>
    <w:uiPriority w:val="0"/>
    <w:pPr>
      <w:kinsoku w:val="0"/>
      <w:overflowPunct w:val="0"/>
      <w:adjustRightInd w:val="0"/>
      <w:snapToGrid w:val="0"/>
      <w:spacing w:line="360" w:lineRule="auto"/>
      <w:ind w:firstLine="200" w:firstLineChars="200"/>
      <w:jc w:val="center"/>
    </w:pPr>
    <w:rPr>
      <w:rFonts w:ascii="宋体" w:hAnsi="宋体" w:cs="宋体"/>
      <w:snapToGrid w:val="0"/>
      <w:sz w:val="18"/>
      <w:szCs w:val="21"/>
    </w:rPr>
  </w:style>
  <w:style w:type="character" w:customStyle="1" w:styleId="2057">
    <w:name w:val="正文文本 + 13.5 pt"/>
    <w:basedOn w:val="109"/>
    <w:semiHidden/>
    <w:qFormat/>
    <w:uiPriority w:val="0"/>
    <w:rPr>
      <w:rFonts w:ascii="黑体" w:hAnsi="黑体" w:eastAsia="黑体" w:cs="黑体"/>
      <w:color w:val="000000"/>
      <w:spacing w:val="10"/>
      <w:w w:val="100"/>
      <w:position w:val="0"/>
      <w:sz w:val="27"/>
      <w:szCs w:val="27"/>
      <w:u w:val="none"/>
      <w:lang w:val="zh-CN"/>
    </w:rPr>
  </w:style>
  <w:style w:type="character" w:customStyle="1" w:styleId="2058">
    <w:name w:val="EmailStyle543"/>
    <w:basedOn w:val="109"/>
    <w:semiHidden/>
    <w:qFormat/>
    <w:uiPriority w:val="0"/>
    <w:rPr>
      <w:rFonts w:ascii="Arial" w:hAnsi="Arial" w:eastAsia="宋体" w:cs="Arial"/>
      <w:color w:val="auto"/>
      <w:sz w:val="20"/>
    </w:rPr>
  </w:style>
  <w:style w:type="character" w:customStyle="1" w:styleId="2059">
    <w:name w:val="正文3 Char Char"/>
    <w:basedOn w:val="109"/>
    <w:link w:val="490"/>
    <w:semiHidden/>
    <w:qFormat/>
    <w:uiPriority w:val="0"/>
    <w:rPr>
      <w:sz w:val="28"/>
    </w:rPr>
  </w:style>
  <w:style w:type="character" w:customStyle="1" w:styleId="2060">
    <w:name w:val="正文样式 Char Char"/>
    <w:basedOn w:val="109"/>
    <w:semiHidden/>
    <w:qFormat/>
    <w:uiPriority w:val="0"/>
    <w:rPr>
      <w:rFonts w:ascii="Calibri" w:hAnsi="Calibri" w:eastAsia="宋体" w:cs="Times New Roman"/>
      <w:spacing w:val="4"/>
      <w:sz w:val="24"/>
      <w:szCs w:val="24"/>
    </w:rPr>
  </w:style>
  <w:style w:type="character" w:customStyle="1" w:styleId="2061">
    <w:name w:val="结束语 Char1"/>
    <w:basedOn w:val="109"/>
    <w:semiHidden/>
    <w:qFormat/>
    <w:uiPriority w:val="99"/>
    <w:rPr>
      <w:sz w:val="24"/>
    </w:rPr>
  </w:style>
  <w:style w:type="character" w:customStyle="1" w:styleId="2062">
    <w:name w:val="HTML 键盘1"/>
    <w:basedOn w:val="109"/>
    <w:semiHidden/>
    <w:qFormat/>
    <w:uiPriority w:val="0"/>
    <w:rPr>
      <w:rFonts w:ascii="Courier New" w:hAnsi="Courier New" w:eastAsia="宋体" w:cs="Courier New"/>
      <w:kern w:val="2"/>
      <w:sz w:val="20"/>
      <w:szCs w:val="20"/>
      <w:lang w:val="en-US" w:eastAsia="zh-CN"/>
    </w:rPr>
  </w:style>
  <w:style w:type="character" w:customStyle="1" w:styleId="2063">
    <w:name w:val="EmailStyle5551"/>
    <w:basedOn w:val="109"/>
    <w:semiHidden/>
    <w:qFormat/>
    <w:uiPriority w:val="0"/>
    <w:rPr>
      <w:rFonts w:ascii="Arial" w:hAnsi="Arial" w:eastAsia="宋体" w:cs="Arial"/>
      <w:color w:val="auto"/>
      <w:sz w:val="20"/>
    </w:rPr>
  </w:style>
  <w:style w:type="character" w:customStyle="1" w:styleId="2064">
    <w:name w:val="EmailStyle4891"/>
    <w:basedOn w:val="109"/>
    <w:semiHidden/>
    <w:qFormat/>
    <w:uiPriority w:val="0"/>
    <w:rPr>
      <w:rFonts w:ascii="Arial" w:hAnsi="Arial" w:eastAsia="宋体" w:cs="Arial"/>
      <w:color w:val="auto"/>
      <w:sz w:val="20"/>
    </w:rPr>
  </w:style>
  <w:style w:type="character" w:customStyle="1" w:styleId="2065">
    <w:name w:val="下标"/>
    <w:basedOn w:val="109"/>
    <w:semiHidden/>
    <w:qFormat/>
    <w:uiPriority w:val="0"/>
    <w:rPr>
      <w:sz w:val="24"/>
      <w:vertAlign w:val="subscript"/>
    </w:rPr>
  </w:style>
  <w:style w:type="character" w:customStyle="1" w:styleId="2066">
    <w:name w:val="单晶硅表头 Char"/>
    <w:basedOn w:val="109"/>
    <w:link w:val="1537"/>
    <w:semiHidden/>
    <w:qFormat/>
    <w:uiPriority w:val="0"/>
    <w:rPr>
      <w:rFonts w:ascii="黑体" w:hAnsi="宋体" w:eastAsia="黑体" w:cs="仿宋_GB2312"/>
      <w:sz w:val="24"/>
      <w:szCs w:val="24"/>
      <w14:shadow w14:blurRad="50800" w14:dist="38100" w14:dir="2700000" w14:sx="100000" w14:sy="100000" w14:kx="0" w14:ky="0" w14:algn="tl">
        <w14:srgbClr w14:val="000000">
          <w14:alpha w14:val="60000"/>
        </w14:srgbClr>
      </w14:shadow>
    </w:rPr>
  </w:style>
  <w:style w:type="character" w:customStyle="1" w:styleId="2067">
    <w:name w:val="hf-正文 Char"/>
    <w:basedOn w:val="109"/>
    <w:link w:val="2068"/>
    <w:semiHidden/>
    <w:qFormat/>
    <w:uiPriority w:val="0"/>
    <w:rPr>
      <w:kern w:val="30"/>
      <w:sz w:val="24"/>
      <w:szCs w:val="24"/>
      <w:u w:color="000000"/>
    </w:rPr>
  </w:style>
  <w:style w:type="paragraph" w:customStyle="1" w:styleId="2068">
    <w:name w:val="hf-正文"/>
    <w:basedOn w:val="1"/>
    <w:link w:val="2067"/>
    <w:semiHidden/>
    <w:qFormat/>
    <w:uiPriority w:val="0"/>
    <w:pPr>
      <w:adjustRightInd w:val="0"/>
      <w:snapToGrid w:val="0"/>
      <w:spacing w:line="360" w:lineRule="auto"/>
      <w:ind w:firstLine="470" w:firstLineChars="196"/>
    </w:pPr>
    <w:rPr>
      <w:kern w:val="30"/>
      <w:sz w:val="24"/>
      <w:szCs w:val="24"/>
      <w:u w:color="000000"/>
    </w:rPr>
  </w:style>
  <w:style w:type="character" w:customStyle="1" w:styleId="2069">
    <w:name w:val="环保专篇 Char Char Char Char"/>
    <w:basedOn w:val="109"/>
    <w:semiHidden/>
    <w:qFormat/>
    <w:uiPriority w:val="0"/>
    <w:rPr>
      <w:sz w:val="24"/>
      <w:szCs w:val="24"/>
    </w:rPr>
  </w:style>
  <w:style w:type="character" w:customStyle="1" w:styleId="2070">
    <w:name w:val="1标题 Char Char"/>
    <w:basedOn w:val="109"/>
    <w:link w:val="2071"/>
    <w:semiHidden/>
    <w:qFormat/>
    <w:uiPriority w:val="0"/>
    <w:rPr>
      <w:rFonts w:ascii="宋体" w:hAnsi="宋体"/>
      <w:sz w:val="28"/>
    </w:rPr>
  </w:style>
  <w:style w:type="paragraph" w:customStyle="1" w:styleId="2071">
    <w:name w:val="1标题"/>
    <w:basedOn w:val="1"/>
    <w:link w:val="2070"/>
    <w:semiHidden/>
    <w:qFormat/>
    <w:uiPriority w:val="0"/>
    <w:pPr>
      <w:adjustRightInd w:val="0"/>
      <w:snapToGrid w:val="0"/>
      <w:spacing w:line="360" w:lineRule="auto"/>
      <w:ind w:firstLine="560" w:firstLineChars="200"/>
    </w:pPr>
    <w:rPr>
      <w:rFonts w:ascii="宋体" w:hAnsi="宋体"/>
      <w:sz w:val="28"/>
    </w:rPr>
  </w:style>
  <w:style w:type="character" w:customStyle="1" w:styleId="2072">
    <w:name w:val="redfont"/>
    <w:basedOn w:val="109"/>
    <w:semiHidden/>
    <w:qFormat/>
    <w:uiPriority w:val="0"/>
  </w:style>
  <w:style w:type="character" w:customStyle="1" w:styleId="2073">
    <w:name w:val="EmailStyle4431"/>
    <w:basedOn w:val="109"/>
    <w:semiHidden/>
    <w:qFormat/>
    <w:uiPriority w:val="0"/>
    <w:rPr>
      <w:rFonts w:ascii="Arial" w:hAnsi="Arial" w:eastAsia="宋体" w:cs="Arial"/>
      <w:color w:val="auto"/>
      <w:sz w:val="20"/>
    </w:rPr>
  </w:style>
  <w:style w:type="character" w:customStyle="1" w:styleId="2074">
    <w:name w:val="Char Char32"/>
    <w:basedOn w:val="109"/>
    <w:semiHidden/>
    <w:qFormat/>
    <w:uiPriority w:val="0"/>
    <w:rPr>
      <w:rFonts w:eastAsia="宋体"/>
      <w:kern w:val="2"/>
      <w:sz w:val="21"/>
      <w:lang w:val="en-US" w:eastAsia="zh-CN" w:bidi="ar-SA"/>
    </w:rPr>
  </w:style>
  <w:style w:type="character" w:customStyle="1" w:styleId="2075">
    <w:name w:val="blogsep2"/>
    <w:basedOn w:val="109"/>
    <w:semiHidden/>
    <w:qFormat/>
    <w:uiPriority w:val="0"/>
  </w:style>
  <w:style w:type="character" w:customStyle="1" w:styleId="2076">
    <w:name w:val="中文报告书样式 Char"/>
    <w:basedOn w:val="109"/>
    <w:link w:val="2077"/>
    <w:semiHidden/>
    <w:qFormat/>
    <w:uiPriority w:val="0"/>
    <w:rPr>
      <w:rFonts w:ascii="宋体" w:hAnsi="宋体"/>
      <w:snapToGrid w:val="0"/>
      <w:sz w:val="24"/>
      <w:szCs w:val="24"/>
    </w:rPr>
  </w:style>
  <w:style w:type="paragraph" w:customStyle="1" w:styleId="2077">
    <w:name w:val="中文报告书样式"/>
    <w:basedOn w:val="1"/>
    <w:link w:val="2076"/>
    <w:semiHidden/>
    <w:qFormat/>
    <w:uiPriority w:val="0"/>
    <w:pPr>
      <w:adjustRightInd w:val="0"/>
      <w:snapToGrid w:val="0"/>
      <w:spacing w:line="360" w:lineRule="auto"/>
      <w:ind w:firstLine="480" w:firstLineChars="200"/>
      <w:textAlignment w:val="baseline"/>
    </w:pPr>
    <w:rPr>
      <w:rFonts w:ascii="宋体" w:hAnsi="宋体"/>
      <w:snapToGrid w:val="0"/>
      <w:sz w:val="24"/>
      <w:szCs w:val="24"/>
    </w:rPr>
  </w:style>
  <w:style w:type="character" w:customStyle="1" w:styleId="2078">
    <w:name w:val="Font Style348"/>
    <w:basedOn w:val="109"/>
    <w:semiHidden/>
    <w:qFormat/>
    <w:uiPriority w:val="0"/>
    <w:rPr>
      <w:rFonts w:ascii="宋体" w:eastAsia="宋体" w:cs="宋体"/>
      <w:sz w:val="14"/>
      <w:szCs w:val="14"/>
    </w:rPr>
  </w:style>
  <w:style w:type="character" w:customStyle="1" w:styleId="2079">
    <w:name w:val="正文3 Char"/>
    <w:basedOn w:val="109"/>
    <w:semiHidden/>
    <w:qFormat/>
    <w:uiPriority w:val="0"/>
    <w:rPr>
      <w:rFonts w:ascii="宋体" w:hAnsi="宋体" w:eastAsia="宋体" w:cs="Times New Roman"/>
      <w:bCs/>
      <w:snapToGrid w:val="0"/>
      <w:kern w:val="0"/>
      <w:sz w:val="24"/>
      <w:szCs w:val="28"/>
      <w:lang w:val="zh-CN"/>
    </w:rPr>
  </w:style>
  <w:style w:type="character" w:customStyle="1" w:styleId="2080">
    <w:name w:val="样式 (符号) 宋体 小四 行距: 固定值 26 磅 Char Char Char"/>
    <w:basedOn w:val="109"/>
    <w:semiHidden/>
    <w:qFormat/>
    <w:uiPriority w:val="0"/>
    <w:rPr>
      <w:rFonts w:ascii="宋体" w:hAnsi="宋体" w:eastAsia="宋体" w:cs="宋体"/>
      <w:color w:val="000000"/>
      <w:kern w:val="0"/>
      <w:sz w:val="28"/>
      <w:szCs w:val="28"/>
    </w:rPr>
  </w:style>
  <w:style w:type="character" w:customStyle="1" w:styleId="2081">
    <w:name w:val="1标题 Char"/>
    <w:basedOn w:val="109"/>
    <w:semiHidden/>
    <w:qFormat/>
    <w:uiPriority w:val="0"/>
    <w:rPr>
      <w:rFonts w:ascii="宋体" w:hAnsi="宋体" w:eastAsia="宋体"/>
      <w:sz w:val="28"/>
    </w:rPr>
  </w:style>
  <w:style w:type="character" w:customStyle="1" w:styleId="2082">
    <w:name w:val="表头 Char Char"/>
    <w:basedOn w:val="109"/>
    <w:semiHidden/>
    <w:qFormat/>
    <w:uiPriority w:val="0"/>
    <w:rPr>
      <w:rFonts w:ascii="黑体" w:hAnsi="宋体" w:eastAsia="黑体"/>
      <w:b/>
      <w:color w:val="008080"/>
      <w:kern w:val="2"/>
      <w:sz w:val="24"/>
      <w:szCs w:val="24"/>
      <w:lang w:val="en-US" w:eastAsia="zh-CN" w:bidi="ar-SA"/>
    </w:rPr>
  </w:style>
  <w:style w:type="character" w:customStyle="1" w:styleId="2083">
    <w:name w:val="1正文段落 Char Char"/>
    <w:basedOn w:val="109"/>
    <w:semiHidden/>
    <w:qFormat/>
    <w:uiPriority w:val="0"/>
    <w:rPr>
      <w:snapToGrid w:val="0"/>
      <w:sz w:val="24"/>
      <w:szCs w:val="24"/>
    </w:rPr>
  </w:style>
  <w:style w:type="character" w:customStyle="1" w:styleId="2084">
    <w:name w:val="文字 Char Char"/>
    <w:basedOn w:val="109"/>
    <w:link w:val="669"/>
    <w:semiHidden/>
    <w:qFormat/>
    <w:uiPriority w:val="0"/>
    <w:rPr>
      <w:rFonts w:ascii="Arial" w:hAnsi="Arial"/>
      <w:snapToGrid w:val="0"/>
      <w:color w:val="000000"/>
      <w:kern w:val="28"/>
      <w:sz w:val="24"/>
    </w:rPr>
  </w:style>
  <w:style w:type="character" w:customStyle="1" w:styleId="2085">
    <w:name w:val="正文（首行缩进两字） Char Char Char"/>
    <w:basedOn w:val="109"/>
    <w:semiHidden/>
    <w:qFormat/>
    <w:uiPriority w:val="0"/>
    <w:rPr>
      <w:rFonts w:ascii="Arial" w:hAnsi="Arial" w:eastAsia="宋体"/>
      <w:kern w:val="2"/>
      <w:sz w:val="24"/>
      <w:szCs w:val="24"/>
      <w:lang w:val="en-US" w:eastAsia="zh-CN" w:bidi="ar-SA"/>
    </w:rPr>
  </w:style>
  <w:style w:type="character" w:customStyle="1" w:styleId="2086">
    <w:name w:val="EmailStyle542"/>
    <w:basedOn w:val="109"/>
    <w:semiHidden/>
    <w:qFormat/>
    <w:uiPriority w:val="0"/>
    <w:rPr>
      <w:rFonts w:ascii="Arial" w:hAnsi="Arial" w:eastAsia="宋体" w:cs="Arial"/>
      <w:color w:val="auto"/>
      <w:sz w:val="20"/>
    </w:rPr>
  </w:style>
  <w:style w:type="character" w:customStyle="1" w:styleId="2087">
    <w:name w:val="表格1 Char Char"/>
    <w:basedOn w:val="109"/>
    <w:link w:val="181"/>
    <w:semiHidden/>
    <w:qFormat/>
    <w:uiPriority w:val="0"/>
    <w:rPr>
      <w:sz w:val="24"/>
    </w:rPr>
  </w:style>
  <w:style w:type="character" w:customStyle="1" w:styleId="2088">
    <w:name w:val="fontstyle11"/>
    <w:basedOn w:val="109"/>
    <w:semiHidden/>
    <w:qFormat/>
    <w:uiPriority w:val="0"/>
    <w:rPr>
      <w:rFonts w:ascii="TimesNewRomanPSMT" w:hAnsi="TimesNewRomanPSMT" w:eastAsia="TimesNewRomanPSMT" w:cs="TimesNewRomanPSMT"/>
      <w:color w:val="000000"/>
      <w:sz w:val="24"/>
      <w:szCs w:val="24"/>
    </w:rPr>
  </w:style>
  <w:style w:type="character" w:customStyle="1" w:styleId="2089">
    <w:name w:val="正文文本 + 间距 -2 pt"/>
    <w:basedOn w:val="109"/>
    <w:semiHidden/>
    <w:qFormat/>
    <w:uiPriority w:val="0"/>
    <w:rPr>
      <w:rFonts w:ascii="黑体" w:hAnsi="黑体" w:eastAsia="黑体" w:cs="黑体"/>
      <w:color w:val="000000"/>
      <w:spacing w:val="-40"/>
      <w:w w:val="100"/>
      <w:position w:val="0"/>
      <w:sz w:val="29"/>
      <w:szCs w:val="29"/>
      <w:u w:val="none"/>
      <w:lang w:val="zh-CN"/>
    </w:rPr>
  </w:style>
  <w:style w:type="character" w:customStyle="1" w:styleId="2090">
    <w:name w:val="正文（首行式样2） Char Char"/>
    <w:basedOn w:val="109"/>
    <w:semiHidden/>
    <w:qFormat/>
    <w:uiPriority w:val="0"/>
    <w:rPr>
      <w:rFonts w:eastAsia="仿宋_GB2312"/>
      <w:sz w:val="28"/>
    </w:rPr>
  </w:style>
  <w:style w:type="character" w:customStyle="1" w:styleId="2091">
    <w:name w:val="mainfirst1"/>
    <w:basedOn w:val="109"/>
    <w:semiHidden/>
    <w:qFormat/>
    <w:uiPriority w:val="0"/>
    <w:rPr>
      <w:b/>
      <w:bCs/>
      <w:color w:val="FF0000"/>
      <w:sz w:val="36"/>
      <w:szCs w:val="36"/>
    </w:rPr>
  </w:style>
  <w:style w:type="character" w:customStyle="1" w:styleId="2092">
    <w:name w:val="正文(首行缩进) Char Char Char Char Char Char"/>
    <w:basedOn w:val="109"/>
    <w:semiHidden/>
    <w:qFormat/>
    <w:uiPriority w:val="0"/>
    <w:rPr>
      <w:snapToGrid w:val="0"/>
      <w:sz w:val="24"/>
      <w:szCs w:val="24"/>
    </w:rPr>
  </w:style>
  <w:style w:type="character" w:customStyle="1" w:styleId="2093">
    <w:name w:val="正文（首行缩进两字） Char Char Char Char Char Char Char Char Char Char Char Char Char Char Char"/>
    <w:basedOn w:val="109"/>
    <w:semiHidden/>
    <w:qFormat/>
    <w:uiPriority w:val="0"/>
    <w:rPr>
      <w:rFonts w:eastAsia="宋体"/>
      <w:kern w:val="2"/>
      <w:sz w:val="30"/>
      <w:lang w:val="en-US" w:eastAsia="zh-CN"/>
    </w:rPr>
  </w:style>
  <w:style w:type="character" w:customStyle="1" w:styleId="2094">
    <w:name w:val="highlight1"/>
    <w:basedOn w:val="109"/>
    <w:semiHidden/>
    <w:qFormat/>
    <w:uiPriority w:val="0"/>
    <w:rPr>
      <w:sz w:val="14"/>
      <w:szCs w:val="14"/>
    </w:rPr>
  </w:style>
  <w:style w:type="character" w:customStyle="1" w:styleId="2095">
    <w:name w:val="Font Style339"/>
    <w:basedOn w:val="109"/>
    <w:semiHidden/>
    <w:qFormat/>
    <w:uiPriority w:val="0"/>
    <w:rPr>
      <w:rFonts w:ascii="宋体" w:eastAsia="宋体" w:cs="宋体"/>
      <w:b/>
      <w:bCs/>
      <w:sz w:val="20"/>
      <w:szCs w:val="20"/>
    </w:rPr>
  </w:style>
  <w:style w:type="character" w:customStyle="1" w:styleId="2096">
    <w:name w:val="1) Char Char"/>
    <w:basedOn w:val="2097"/>
    <w:link w:val="2099"/>
    <w:semiHidden/>
    <w:qFormat/>
    <w:uiPriority w:val="0"/>
    <w:rPr>
      <w:rFonts w:ascii="宋体" w:hAnsi="宋体" w:cs="宋体"/>
      <w:sz w:val="28"/>
    </w:rPr>
  </w:style>
  <w:style w:type="character" w:customStyle="1" w:styleId="2097">
    <w:name w:val="a) Char Char"/>
    <w:basedOn w:val="109"/>
    <w:link w:val="2098"/>
    <w:semiHidden/>
    <w:qFormat/>
    <w:uiPriority w:val="0"/>
    <w:rPr>
      <w:rFonts w:ascii="宋体" w:hAnsi="宋体" w:cs="宋体"/>
      <w:sz w:val="28"/>
    </w:rPr>
  </w:style>
  <w:style w:type="paragraph" w:customStyle="1" w:styleId="2098">
    <w:name w:val="a)"/>
    <w:basedOn w:val="1"/>
    <w:link w:val="2097"/>
    <w:semiHidden/>
    <w:qFormat/>
    <w:uiPriority w:val="0"/>
    <w:pPr>
      <w:adjustRightInd w:val="0"/>
      <w:snapToGrid w:val="0"/>
      <w:spacing w:line="360" w:lineRule="auto"/>
      <w:ind w:firstLine="567" w:firstLineChars="200"/>
      <w:textAlignment w:val="baseline"/>
    </w:pPr>
    <w:rPr>
      <w:rFonts w:ascii="宋体" w:hAnsi="宋体" w:cs="宋体"/>
      <w:sz w:val="28"/>
    </w:rPr>
  </w:style>
  <w:style w:type="paragraph" w:customStyle="1" w:styleId="2099">
    <w:name w:val="1)"/>
    <w:basedOn w:val="2098"/>
    <w:link w:val="2096"/>
    <w:semiHidden/>
    <w:qFormat/>
    <w:uiPriority w:val="0"/>
    <w:pPr>
      <w:ind w:firstLine="845"/>
    </w:pPr>
  </w:style>
  <w:style w:type="character" w:customStyle="1" w:styleId="2100">
    <w:name w:val="表格文字 Char Char"/>
    <w:basedOn w:val="109"/>
    <w:semiHidden/>
    <w:qFormat/>
    <w:uiPriority w:val="0"/>
    <w:rPr>
      <w:rFonts w:ascii="宋体" w:hAnsi="Courier New" w:eastAsia="宋体"/>
      <w:sz w:val="28"/>
      <w:lang w:val="en-US" w:eastAsia="zh-CN"/>
    </w:rPr>
  </w:style>
  <w:style w:type="character" w:customStyle="1" w:styleId="2101">
    <w:name w:val="a121"/>
    <w:basedOn w:val="109"/>
    <w:semiHidden/>
    <w:qFormat/>
    <w:uiPriority w:val="0"/>
    <w:rPr>
      <w:rFonts w:hint="default" w:ascii="ˎ̥" w:hAnsi="ˎ̥"/>
      <w:color w:val="004891"/>
      <w:sz w:val="18"/>
      <w:szCs w:val="18"/>
      <w:u w:val="none"/>
    </w:rPr>
  </w:style>
  <w:style w:type="character" w:customStyle="1" w:styleId="2102">
    <w:name w:val="EmailStyle5541"/>
    <w:basedOn w:val="109"/>
    <w:semiHidden/>
    <w:qFormat/>
    <w:uiPriority w:val="0"/>
    <w:rPr>
      <w:rFonts w:ascii="Arial" w:hAnsi="Arial" w:eastAsia="宋体" w:cs="Arial"/>
      <w:color w:val="auto"/>
      <w:sz w:val="20"/>
    </w:rPr>
  </w:style>
  <w:style w:type="character" w:customStyle="1" w:styleId="2103">
    <w:name w:val="分目录1 Char"/>
    <w:basedOn w:val="109"/>
    <w:semiHidden/>
    <w:qFormat/>
    <w:uiPriority w:val="0"/>
    <w:rPr>
      <w:rFonts w:eastAsia="宋体"/>
      <w:snapToGrid w:val="0"/>
      <w:sz w:val="28"/>
    </w:rPr>
  </w:style>
  <w:style w:type="character" w:customStyle="1" w:styleId="2104">
    <w:name w:val="Font Style337"/>
    <w:basedOn w:val="109"/>
    <w:semiHidden/>
    <w:qFormat/>
    <w:uiPriority w:val="0"/>
    <w:rPr>
      <w:rFonts w:ascii="宋体" w:eastAsia="宋体" w:cs="宋体"/>
      <w:sz w:val="22"/>
      <w:szCs w:val="22"/>
    </w:rPr>
  </w:style>
  <w:style w:type="character" w:customStyle="1" w:styleId="2105">
    <w:name w:val="电子邮件签名 Char1"/>
    <w:basedOn w:val="109"/>
    <w:semiHidden/>
    <w:qFormat/>
    <w:uiPriority w:val="99"/>
    <w:rPr>
      <w:sz w:val="24"/>
    </w:rPr>
  </w:style>
  <w:style w:type="character" w:customStyle="1" w:styleId="2106">
    <w:name w:val="分目录2 Char"/>
    <w:basedOn w:val="2103"/>
    <w:semiHidden/>
    <w:qFormat/>
    <w:uiPriority w:val="0"/>
    <w:rPr>
      <w:rFonts w:eastAsia="宋体"/>
      <w:snapToGrid w:val="0"/>
      <w:sz w:val="24"/>
    </w:rPr>
  </w:style>
  <w:style w:type="character" w:customStyle="1" w:styleId="2107">
    <w:name w:val="正文内容 Char Char"/>
    <w:basedOn w:val="109"/>
    <w:semiHidden/>
    <w:qFormat/>
    <w:uiPriority w:val="0"/>
    <w:rPr>
      <w:rFonts w:cs="宋体"/>
      <w:sz w:val="24"/>
    </w:rPr>
  </w:style>
  <w:style w:type="character" w:customStyle="1" w:styleId="2108">
    <w:name w:val="EmailStyle5591"/>
    <w:basedOn w:val="109"/>
    <w:semiHidden/>
    <w:qFormat/>
    <w:uiPriority w:val="0"/>
    <w:rPr>
      <w:rFonts w:ascii="Arial" w:hAnsi="Arial" w:eastAsia="宋体" w:cs="Arial"/>
      <w:color w:val="auto"/>
      <w:sz w:val="20"/>
    </w:rPr>
  </w:style>
  <w:style w:type="character" w:customStyle="1" w:styleId="2109">
    <w:name w:val="nfont6"/>
    <w:basedOn w:val="109"/>
    <w:semiHidden/>
    <w:qFormat/>
    <w:uiPriority w:val="0"/>
    <w:rPr>
      <w:rFonts w:hint="default"/>
      <w:color w:val="FF0000"/>
      <w:spacing w:val="335"/>
      <w:sz w:val="27"/>
      <w:szCs w:val="27"/>
    </w:rPr>
  </w:style>
  <w:style w:type="character" w:customStyle="1" w:styleId="2110">
    <w:name w:val="EmailStyle4421"/>
    <w:basedOn w:val="109"/>
    <w:semiHidden/>
    <w:qFormat/>
    <w:uiPriority w:val="0"/>
    <w:rPr>
      <w:rFonts w:ascii="Arial" w:hAnsi="Arial" w:eastAsia="宋体" w:cs="Arial"/>
      <w:color w:val="auto"/>
      <w:sz w:val="20"/>
    </w:rPr>
  </w:style>
  <w:style w:type="character" w:customStyle="1" w:styleId="2111">
    <w:name w:val="表格题目1 字符"/>
    <w:basedOn w:val="109"/>
    <w:link w:val="2112"/>
    <w:semiHidden/>
    <w:qFormat/>
    <w:uiPriority w:val="0"/>
    <w:rPr>
      <w:rFonts w:eastAsia="黑体"/>
      <w:color w:val="000000"/>
      <w:szCs w:val="24"/>
    </w:rPr>
  </w:style>
  <w:style w:type="paragraph" w:customStyle="1" w:styleId="2112">
    <w:name w:val="表格题目1"/>
    <w:basedOn w:val="1"/>
    <w:link w:val="2111"/>
    <w:semiHidden/>
    <w:qFormat/>
    <w:uiPriority w:val="0"/>
    <w:pPr>
      <w:adjustRightInd w:val="0"/>
      <w:snapToGrid w:val="0"/>
      <w:spacing w:line="360" w:lineRule="exact"/>
      <w:ind w:firstLine="420" w:firstLineChars="200"/>
    </w:pPr>
    <w:rPr>
      <w:rFonts w:eastAsia="黑体"/>
      <w:color w:val="000000"/>
      <w:szCs w:val="24"/>
    </w:rPr>
  </w:style>
  <w:style w:type="character" w:customStyle="1" w:styleId="2113">
    <w:name w:val="正文！！！！！ Char Char"/>
    <w:basedOn w:val="109"/>
    <w:semiHidden/>
    <w:qFormat/>
    <w:uiPriority w:val="0"/>
    <w:rPr>
      <w:rFonts w:ascii="宋体" w:hAnsi="宋体" w:cs="宋体"/>
      <w:snapToGrid w:val="0"/>
      <w:sz w:val="24"/>
      <w:szCs w:val="24"/>
    </w:rPr>
  </w:style>
  <w:style w:type="character" w:customStyle="1" w:styleId="2114">
    <w:name w:val="表格1 Char"/>
    <w:basedOn w:val="109"/>
    <w:semiHidden/>
    <w:qFormat/>
    <w:uiPriority w:val="0"/>
    <w:rPr>
      <w:szCs w:val="24"/>
    </w:rPr>
  </w:style>
  <w:style w:type="character" w:customStyle="1" w:styleId="2115">
    <w:name w:val="标题 5 Char1"/>
    <w:basedOn w:val="109"/>
    <w:semiHidden/>
    <w:qFormat/>
    <w:uiPriority w:val="0"/>
    <w:rPr>
      <w:rFonts w:ascii="宋体" w:hAnsi="宋体" w:eastAsia="宋体" w:cs="宋体"/>
      <w:b/>
      <w:kern w:val="0"/>
      <w:sz w:val="28"/>
      <w:szCs w:val="20"/>
    </w:rPr>
  </w:style>
  <w:style w:type="character" w:customStyle="1" w:styleId="2116">
    <w:name w:val="样式 标题 3 + 宋体 Char Char Char Char"/>
    <w:basedOn w:val="109"/>
    <w:link w:val="2117"/>
    <w:semiHidden/>
    <w:qFormat/>
    <w:uiPriority w:val="0"/>
    <w:rPr>
      <w:rFonts w:ascii="宋体" w:hAnsi="宋体" w:eastAsia="黑体" w:cs="宋体"/>
      <w:b/>
      <w:sz w:val="26"/>
    </w:rPr>
  </w:style>
  <w:style w:type="paragraph" w:customStyle="1" w:styleId="2117">
    <w:name w:val="样式 标题 3 + 宋体 Char Char"/>
    <w:basedOn w:val="4"/>
    <w:link w:val="2116"/>
    <w:semiHidden/>
    <w:qFormat/>
    <w:uiPriority w:val="0"/>
    <w:pPr>
      <w:spacing w:before="200" w:line="420" w:lineRule="auto"/>
    </w:pPr>
    <w:rPr>
      <w:rFonts w:ascii="宋体" w:hAnsi="宋体" w:cs="宋体"/>
    </w:rPr>
  </w:style>
  <w:style w:type="character" w:customStyle="1" w:styleId="2118">
    <w:name w:val="标题4 Char Char"/>
    <w:basedOn w:val="109"/>
    <w:semiHidden/>
    <w:qFormat/>
    <w:uiPriority w:val="0"/>
    <w:rPr>
      <w:sz w:val="28"/>
    </w:rPr>
  </w:style>
  <w:style w:type="character" w:customStyle="1" w:styleId="2119">
    <w:name w:val="样式1 Char Char"/>
    <w:basedOn w:val="109"/>
    <w:semiHidden/>
    <w:qFormat/>
    <w:uiPriority w:val="0"/>
    <w:rPr>
      <w:sz w:val="21"/>
    </w:rPr>
  </w:style>
  <w:style w:type="character" w:customStyle="1" w:styleId="2120">
    <w:name w:val="line41"/>
    <w:basedOn w:val="109"/>
    <w:semiHidden/>
    <w:qFormat/>
    <w:uiPriority w:val="0"/>
    <w:rPr>
      <w:spacing w:val="300"/>
    </w:rPr>
  </w:style>
  <w:style w:type="character" w:customStyle="1" w:styleId="2121">
    <w:name w:val="Font Style338"/>
    <w:basedOn w:val="109"/>
    <w:semiHidden/>
    <w:qFormat/>
    <w:uiPriority w:val="0"/>
    <w:rPr>
      <w:rFonts w:ascii="宋体" w:eastAsia="宋体" w:cs="宋体"/>
      <w:w w:val="120"/>
      <w:sz w:val="18"/>
      <w:szCs w:val="18"/>
    </w:rPr>
  </w:style>
  <w:style w:type="character" w:customStyle="1" w:styleId="2122">
    <w:name w:val="style10"/>
    <w:basedOn w:val="109"/>
    <w:semiHidden/>
    <w:qFormat/>
    <w:uiPriority w:val="0"/>
  </w:style>
  <w:style w:type="paragraph" w:customStyle="1" w:styleId="2123">
    <w:name w:val="HTML 地址1"/>
    <w:basedOn w:val="1"/>
    <w:semiHidden/>
    <w:qFormat/>
    <w:uiPriority w:val="0"/>
    <w:pPr>
      <w:adjustRightInd w:val="0"/>
      <w:snapToGrid w:val="0"/>
      <w:spacing w:line="360" w:lineRule="auto"/>
      <w:ind w:firstLine="200" w:firstLineChars="200"/>
    </w:pPr>
    <w:rPr>
      <w:i/>
      <w:iCs/>
      <w:sz w:val="24"/>
      <w:szCs w:val="24"/>
    </w:rPr>
  </w:style>
  <w:style w:type="paragraph" w:customStyle="1" w:styleId="2124">
    <w:name w:val="6 Char Char Char Char Char Char1 Char"/>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125">
    <w:name w:val="样式 标题 3条标题1.1.1条标题BSH-3W3 + 仿宋_GB2312 非加粗"/>
    <w:basedOn w:val="4"/>
    <w:semiHidden/>
    <w:qFormat/>
    <w:uiPriority w:val="0"/>
    <w:pPr>
      <w:tabs>
        <w:tab w:val="left" w:pos="578"/>
      </w:tabs>
      <w:adjustRightInd w:val="0"/>
      <w:snapToGrid w:val="0"/>
      <w:spacing w:line="360" w:lineRule="auto"/>
    </w:pPr>
    <w:rPr>
      <w:rFonts w:ascii="仿宋_GB2312" w:hAnsi="仿宋_GB2312" w:eastAsia="仿宋_GB2312" w:cs="Arial Unicode MS"/>
      <w:sz w:val="28"/>
    </w:rPr>
  </w:style>
  <w:style w:type="paragraph" w:customStyle="1" w:styleId="2126">
    <w:name w:val="正文86"/>
    <w:basedOn w:val="1"/>
    <w:semiHidden/>
    <w:qFormat/>
    <w:uiPriority w:val="0"/>
    <w:pPr>
      <w:tabs>
        <w:tab w:val="left" w:pos="567"/>
      </w:tabs>
      <w:adjustRightInd w:val="0"/>
      <w:snapToGrid w:val="0"/>
      <w:spacing w:line="500" w:lineRule="exact"/>
      <w:ind w:firstLine="480" w:firstLineChars="200"/>
    </w:pPr>
    <w:rPr>
      <w:rFonts w:ascii="楷体_GB2312" w:eastAsia="楷体_GB2312" w:cs="宋体"/>
      <w:sz w:val="24"/>
      <w:szCs w:val="24"/>
    </w:rPr>
  </w:style>
  <w:style w:type="paragraph" w:customStyle="1" w:styleId="2127">
    <w:name w:val="行左"/>
    <w:basedOn w:val="1"/>
    <w:semiHidden/>
    <w:qFormat/>
    <w:uiPriority w:val="0"/>
    <w:pPr>
      <w:adjustRightInd w:val="0"/>
      <w:snapToGrid w:val="0"/>
      <w:spacing w:line="360" w:lineRule="auto"/>
      <w:ind w:firstLine="480" w:firstLineChars="200"/>
    </w:pPr>
    <w:rPr>
      <w:rFonts w:ascii="仿宋_GB2312" w:hAnsi="宋体" w:eastAsia="仿宋_GB2312" w:cs="宋体"/>
      <w:color w:val="000000"/>
      <w:position w:val="-32"/>
      <w:sz w:val="24"/>
      <w:szCs w:val="24"/>
    </w:rPr>
  </w:style>
  <w:style w:type="paragraph" w:customStyle="1" w:styleId="2128">
    <w:name w:val="列表 41"/>
    <w:basedOn w:val="1"/>
    <w:semiHidden/>
    <w:qFormat/>
    <w:uiPriority w:val="0"/>
    <w:pPr>
      <w:adjustRightInd w:val="0"/>
      <w:snapToGrid w:val="0"/>
      <w:spacing w:line="360" w:lineRule="auto"/>
      <w:ind w:left="100" w:leftChars="600" w:hanging="200" w:hangingChars="200"/>
    </w:pPr>
    <w:rPr>
      <w:sz w:val="24"/>
      <w:szCs w:val="24"/>
    </w:rPr>
  </w:style>
  <w:style w:type="paragraph" w:customStyle="1" w:styleId="2129">
    <w:name w:val="Style43"/>
    <w:basedOn w:val="1"/>
    <w:semiHidden/>
    <w:qFormat/>
    <w:uiPriority w:val="0"/>
    <w:pPr>
      <w:adjustRightInd w:val="0"/>
      <w:snapToGrid w:val="0"/>
      <w:spacing w:line="360" w:lineRule="auto"/>
      <w:ind w:firstLine="200" w:firstLineChars="200"/>
    </w:pPr>
    <w:rPr>
      <w:rFonts w:ascii="宋体"/>
      <w:sz w:val="24"/>
    </w:rPr>
  </w:style>
  <w:style w:type="paragraph" w:customStyle="1" w:styleId="2130">
    <w:name w:val="Char Char Char Char Char Char Char Char Char Char Char Char Char Char Char"/>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131">
    <w:name w:val="777777777 Char Char"/>
    <w:basedOn w:val="1"/>
    <w:semiHidden/>
    <w:qFormat/>
    <w:uiPriority w:val="0"/>
    <w:pPr>
      <w:adjustRightInd w:val="0"/>
      <w:snapToGrid w:val="0"/>
      <w:spacing w:line="400" w:lineRule="exact"/>
      <w:ind w:firstLine="560" w:firstLineChars="200"/>
    </w:pPr>
    <w:rPr>
      <w:rFonts w:ascii="宋体" w:hAnsi="宋体" w:cs="宋体"/>
      <w:sz w:val="28"/>
    </w:rPr>
  </w:style>
  <w:style w:type="paragraph" w:customStyle="1" w:styleId="2132">
    <w:name w:val="bg正文首行缩进"/>
    <w:basedOn w:val="1"/>
    <w:semiHidden/>
    <w:qFormat/>
    <w:uiPriority w:val="0"/>
    <w:pPr>
      <w:adjustRightInd w:val="0"/>
      <w:snapToGrid w:val="0"/>
      <w:spacing w:line="400" w:lineRule="exact"/>
      <w:ind w:firstLine="482" w:firstLineChars="200"/>
    </w:pPr>
    <w:rPr>
      <w:rFonts w:ascii="宋体" w:hAnsi="宋体" w:cs="宋体"/>
      <w:sz w:val="24"/>
    </w:rPr>
  </w:style>
  <w:style w:type="paragraph" w:customStyle="1" w:styleId="2133">
    <w:name w:val="信息标题1"/>
    <w:basedOn w:val="1"/>
    <w:semiHidden/>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360" w:lineRule="auto"/>
      <w:ind w:left="1080" w:leftChars="500" w:hanging="1080" w:hangingChars="500"/>
    </w:pPr>
    <w:rPr>
      <w:rFonts w:ascii="Arial" w:hAnsi="Arial" w:cs="Arial"/>
      <w:sz w:val="24"/>
      <w:szCs w:val="24"/>
      <w:shd w:val="pct20" w:color="auto" w:fill="auto"/>
    </w:rPr>
  </w:style>
  <w:style w:type="paragraph" w:customStyle="1" w:styleId="2134">
    <w:name w:val="12 Char Char Char Char"/>
    <w:basedOn w:val="1"/>
    <w:semiHidden/>
    <w:qFormat/>
    <w:uiPriority w:val="0"/>
    <w:pPr>
      <w:adjustRightInd w:val="0"/>
      <w:snapToGrid w:val="0"/>
      <w:spacing w:line="360" w:lineRule="auto"/>
      <w:ind w:firstLine="200" w:firstLineChars="200"/>
    </w:pPr>
    <w:rPr>
      <w:sz w:val="24"/>
    </w:rPr>
  </w:style>
  <w:style w:type="paragraph" w:customStyle="1" w:styleId="2135">
    <w:name w:val="索引 71"/>
    <w:basedOn w:val="1"/>
    <w:next w:val="1"/>
    <w:semiHidden/>
    <w:qFormat/>
    <w:uiPriority w:val="0"/>
    <w:pPr>
      <w:adjustRightInd w:val="0"/>
      <w:snapToGrid w:val="0"/>
      <w:spacing w:line="360" w:lineRule="auto"/>
      <w:ind w:left="1200" w:leftChars="1200" w:firstLine="200" w:firstLineChars="200"/>
    </w:pPr>
    <w:rPr>
      <w:sz w:val="24"/>
      <w:szCs w:val="24"/>
    </w:rPr>
  </w:style>
  <w:style w:type="paragraph" w:customStyle="1" w:styleId="2136">
    <w:name w:val="样式 正文文本缩进 3 + 小四"/>
    <w:basedOn w:val="2137"/>
    <w:semiHidden/>
    <w:qFormat/>
    <w:uiPriority w:val="0"/>
    <w:pPr>
      <w:spacing w:line="240" w:lineRule="auto"/>
      <w:ind w:right="0" w:rightChars="0" w:firstLine="0" w:firstLineChars="0"/>
    </w:pPr>
    <w:rPr>
      <w:rFonts w:ascii="宋体" w:eastAsia="宋体" w:cs="宋体"/>
      <w:w w:val="90"/>
      <w:sz w:val="24"/>
      <w:szCs w:val="16"/>
    </w:rPr>
  </w:style>
  <w:style w:type="paragraph" w:customStyle="1" w:styleId="2137">
    <w:name w:val="正文文本缩进 31"/>
    <w:basedOn w:val="1"/>
    <w:semiHidden/>
    <w:qFormat/>
    <w:uiPriority w:val="0"/>
    <w:pPr>
      <w:adjustRightInd w:val="0"/>
      <w:snapToGrid w:val="0"/>
      <w:spacing w:line="360" w:lineRule="auto"/>
      <w:ind w:right="69" w:rightChars="33" w:firstLine="560" w:firstLineChars="200"/>
    </w:pPr>
    <w:rPr>
      <w:rFonts w:ascii="仿宋_GB2312" w:hAnsi="宋体" w:eastAsia="仿宋_GB2312"/>
      <w:sz w:val="28"/>
      <w:szCs w:val="24"/>
    </w:rPr>
  </w:style>
  <w:style w:type="paragraph" w:customStyle="1" w:styleId="2138">
    <w:name w:val="列表 21"/>
    <w:basedOn w:val="1"/>
    <w:semiHidden/>
    <w:qFormat/>
    <w:uiPriority w:val="0"/>
    <w:pPr>
      <w:adjustRightInd w:val="0"/>
      <w:snapToGrid w:val="0"/>
      <w:spacing w:line="360" w:lineRule="auto"/>
      <w:ind w:left="840" w:hanging="420" w:firstLineChars="200"/>
    </w:pPr>
    <w:rPr>
      <w:rFonts w:eastAsia="仿宋_GB2312"/>
      <w:sz w:val="28"/>
    </w:rPr>
  </w:style>
  <w:style w:type="paragraph" w:customStyle="1" w:styleId="2139">
    <w:name w:val="正文（自定）"/>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140">
    <w:name w:val="列表接续 51"/>
    <w:basedOn w:val="1"/>
    <w:semiHidden/>
    <w:qFormat/>
    <w:uiPriority w:val="0"/>
    <w:pPr>
      <w:adjustRightInd w:val="0"/>
      <w:snapToGrid w:val="0"/>
      <w:spacing w:after="120" w:line="360" w:lineRule="auto"/>
      <w:ind w:left="2100" w:leftChars="1000" w:firstLine="200" w:firstLineChars="200"/>
    </w:pPr>
    <w:rPr>
      <w:sz w:val="24"/>
      <w:szCs w:val="24"/>
    </w:rPr>
  </w:style>
  <w:style w:type="paragraph" w:customStyle="1" w:styleId="2141">
    <w:name w:val="表内容中"/>
    <w:basedOn w:val="44"/>
    <w:semiHidden/>
    <w:qFormat/>
    <w:uiPriority w:val="0"/>
    <w:pPr>
      <w:spacing w:line="240" w:lineRule="auto"/>
      <w:ind w:left="0" w:leftChars="0" w:firstLine="0" w:firstLineChars="0"/>
      <w:jc w:val="center"/>
    </w:pPr>
    <w:rPr>
      <w:rFonts w:ascii="楷体_GB2312" w:hAnsi="宋体" w:eastAsia="楷体_GB2312"/>
      <w:color w:val="000000"/>
      <w:szCs w:val="20"/>
    </w:rPr>
  </w:style>
  <w:style w:type="paragraph" w:customStyle="1" w:styleId="2142">
    <w:name w:val="C2"/>
    <w:basedOn w:val="1"/>
    <w:semiHidden/>
    <w:qFormat/>
    <w:uiPriority w:val="0"/>
    <w:pPr>
      <w:adjustRightInd w:val="0"/>
      <w:snapToGrid w:val="0"/>
      <w:spacing w:line="360" w:lineRule="auto"/>
      <w:ind w:firstLine="200" w:firstLineChars="200"/>
    </w:pPr>
    <w:rPr>
      <w:sz w:val="28"/>
    </w:rPr>
  </w:style>
  <w:style w:type="paragraph" w:customStyle="1" w:styleId="2143">
    <w:name w:val="注释标题1"/>
    <w:basedOn w:val="18"/>
    <w:next w:val="18"/>
    <w:semiHidden/>
    <w:qFormat/>
    <w:uiPriority w:val="0"/>
    <w:pPr>
      <w:tabs>
        <w:tab w:val="left" w:pos="315"/>
      </w:tabs>
      <w:adjustRightInd w:val="0"/>
      <w:snapToGrid w:val="0"/>
      <w:spacing w:before="120" w:line="360" w:lineRule="auto"/>
      <w:ind w:left="315" w:hanging="315"/>
    </w:pPr>
    <w:rPr>
      <w:rFonts w:ascii="宋体" w:hAnsi="宋体" w:cs="宋体" w:eastAsiaTheme="minorEastAsia"/>
      <w:sz w:val="24"/>
    </w:rPr>
  </w:style>
  <w:style w:type="paragraph" w:customStyle="1" w:styleId="2144">
    <w:name w:val="寄信人地址1"/>
    <w:basedOn w:val="1"/>
    <w:semiHidden/>
    <w:qFormat/>
    <w:uiPriority w:val="0"/>
    <w:pPr>
      <w:adjustRightInd w:val="0"/>
      <w:snapToGrid w:val="0"/>
      <w:spacing w:line="360" w:lineRule="auto"/>
      <w:ind w:firstLine="200" w:firstLineChars="200"/>
    </w:pPr>
    <w:rPr>
      <w:rFonts w:ascii="Arial" w:hAnsi="Arial" w:cs="Arial"/>
      <w:sz w:val="24"/>
      <w:szCs w:val="24"/>
    </w:rPr>
  </w:style>
  <w:style w:type="paragraph" w:customStyle="1" w:styleId="2145">
    <w:name w:val="样式 标题 2W2 +2"/>
    <w:basedOn w:val="3"/>
    <w:semiHidden/>
    <w:qFormat/>
    <w:uiPriority w:val="0"/>
    <w:pPr>
      <w:spacing w:beforeLines="50" w:afterLines="50"/>
      <w:ind w:left="-288"/>
    </w:pPr>
    <w:rPr>
      <w:rFonts w:ascii="黑体" w:hAnsi="宋体" w:cs="宋体"/>
      <w:sz w:val="30"/>
      <w:szCs w:val="20"/>
    </w:rPr>
  </w:style>
  <w:style w:type="paragraph" w:customStyle="1" w:styleId="2146">
    <w:name w:val="文档结构图11"/>
    <w:basedOn w:val="1"/>
    <w:semiHidden/>
    <w:qFormat/>
    <w:uiPriority w:val="0"/>
    <w:pPr>
      <w:shd w:val="clear" w:color="auto" w:fill="000080"/>
      <w:tabs>
        <w:tab w:val="left" w:pos="480"/>
        <w:tab w:val="left" w:pos="1680"/>
        <w:tab w:val="left" w:pos="3960"/>
        <w:tab w:val="left" w:pos="5400"/>
        <w:tab w:val="left" w:pos="6840"/>
      </w:tabs>
      <w:adjustRightInd w:val="0"/>
      <w:snapToGrid w:val="0"/>
      <w:spacing w:line="240" w:lineRule="atLeast"/>
      <w:ind w:firstLine="482" w:firstLineChars="200"/>
      <w:textAlignment w:val="baseline"/>
    </w:pPr>
    <w:rPr>
      <w:rFonts w:ascii="宋体" w:hAnsi="宋体" w:eastAsia="创艺简楷体" w:cs="宋体"/>
      <w:sz w:val="28"/>
    </w:rPr>
  </w:style>
  <w:style w:type="paragraph" w:customStyle="1" w:styleId="2147">
    <w:name w:val="Style104"/>
    <w:basedOn w:val="1"/>
    <w:semiHidden/>
    <w:qFormat/>
    <w:uiPriority w:val="0"/>
    <w:pPr>
      <w:adjustRightInd w:val="0"/>
      <w:snapToGrid w:val="0"/>
      <w:spacing w:line="360" w:lineRule="auto"/>
      <w:ind w:firstLine="200" w:firstLineChars="200"/>
      <w:jc w:val="center"/>
    </w:pPr>
    <w:rPr>
      <w:rFonts w:ascii="宋体"/>
      <w:sz w:val="24"/>
    </w:rPr>
  </w:style>
  <w:style w:type="paragraph" w:customStyle="1" w:styleId="2148">
    <w:name w:val="样式 图表标题 + 两端对齐"/>
    <w:basedOn w:val="867"/>
    <w:semiHidden/>
    <w:qFormat/>
    <w:uiPriority w:val="0"/>
    <w:pPr>
      <w:adjustRightInd/>
      <w:snapToGrid/>
      <w:spacing w:line="260" w:lineRule="exact"/>
      <w:jc w:val="both"/>
    </w:pPr>
    <w:rPr>
      <w:rFonts w:eastAsia="黑体" w:cs="宋体"/>
      <w:b w:val="0"/>
      <w:spacing w:val="-10"/>
    </w:rPr>
  </w:style>
  <w:style w:type="paragraph" w:customStyle="1" w:styleId="2149">
    <w:name w:val="样式 标题 2 + 首行缩进:  2 字符"/>
    <w:basedOn w:val="3"/>
    <w:semiHidden/>
    <w:qFormat/>
    <w:uiPriority w:val="0"/>
    <w:pPr>
      <w:spacing w:beforeLines="50" w:afterLines="50" w:line="360" w:lineRule="auto"/>
      <w:jc w:val="center"/>
    </w:pPr>
    <w:rPr>
      <w:rFonts w:cs="宋体"/>
      <w:sz w:val="30"/>
    </w:rPr>
  </w:style>
  <w:style w:type="paragraph" w:customStyle="1" w:styleId="2150">
    <w:name w:val="正文！！！"/>
    <w:basedOn w:val="1"/>
    <w:semiHidden/>
    <w:qFormat/>
    <w:uiPriority w:val="99"/>
    <w:pPr>
      <w:adjustRightInd w:val="0"/>
      <w:snapToGrid w:val="0"/>
      <w:spacing w:line="500" w:lineRule="exact"/>
      <w:ind w:firstLine="200" w:firstLineChars="200"/>
    </w:pPr>
    <w:rPr>
      <w:rFonts w:ascii="楷体_GB2312" w:hAnsi="宋体" w:eastAsia="楷体_GB2312"/>
      <w:sz w:val="24"/>
      <w:szCs w:val="24"/>
    </w:rPr>
  </w:style>
  <w:style w:type="paragraph" w:customStyle="1" w:styleId="2151">
    <w:name w:val="正文首行缩进1"/>
    <w:basedOn w:val="29"/>
    <w:semiHidden/>
    <w:qFormat/>
    <w:uiPriority w:val="0"/>
    <w:pPr>
      <w:ind w:firstLine="420" w:firstLineChars="100"/>
    </w:pPr>
    <w:rPr>
      <w:sz w:val="18"/>
      <w:szCs w:val="24"/>
    </w:rPr>
  </w:style>
  <w:style w:type="paragraph" w:customStyle="1" w:styleId="2152">
    <w:name w:val="样式 纯文本表格内容纯文本 Char普通文字加粗正文普通文字 Char Char普通文字 Char Char Cha...4"/>
    <w:basedOn w:val="40"/>
    <w:semiHidden/>
    <w:qFormat/>
    <w:uiPriority w:val="0"/>
    <w:pPr>
      <w:spacing w:line="500" w:lineRule="exact"/>
    </w:pPr>
    <w:rPr>
      <w:rFonts w:ascii="宋体" w:eastAsia="楷体_GB2312" w:cs="宋体"/>
      <w:b w:val="0"/>
      <w:sz w:val="24"/>
      <w:szCs w:val="22"/>
    </w:rPr>
  </w:style>
  <w:style w:type="paragraph" w:customStyle="1" w:styleId="2153">
    <w:name w:val="列表接续 21"/>
    <w:basedOn w:val="1"/>
    <w:semiHidden/>
    <w:qFormat/>
    <w:uiPriority w:val="0"/>
    <w:pPr>
      <w:adjustRightInd w:val="0"/>
      <w:snapToGrid w:val="0"/>
      <w:spacing w:after="120" w:line="360" w:lineRule="auto"/>
      <w:ind w:left="840" w:leftChars="400" w:firstLine="200" w:firstLineChars="200"/>
    </w:pPr>
    <w:rPr>
      <w:sz w:val="24"/>
      <w:szCs w:val="24"/>
    </w:rPr>
  </w:style>
  <w:style w:type="paragraph" w:customStyle="1" w:styleId="2154">
    <w:name w:val="HD4"/>
    <w:basedOn w:val="1"/>
    <w:semiHidden/>
    <w:qFormat/>
    <w:uiPriority w:val="0"/>
    <w:pPr>
      <w:adjustRightInd w:val="0"/>
      <w:snapToGrid w:val="0"/>
      <w:spacing w:before="240" w:after="120" w:line="520" w:lineRule="exact"/>
      <w:ind w:firstLine="200" w:firstLineChars="200"/>
    </w:pPr>
    <w:rPr>
      <w:rFonts w:ascii="宋体" w:hAnsi="宋体" w:cs="宋体"/>
      <w:b/>
      <w:sz w:val="28"/>
    </w:rPr>
  </w:style>
  <w:style w:type="paragraph" w:customStyle="1" w:styleId="2155">
    <w:name w:val="TOC 标题111"/>
    <w:basedOn w:val="2"/>
    <w:next w:val="1"/>
    <w:semiHidden/>
    <w:qFormat/>
    <w:uiPriority w:val="39"/>
    <w:pPr>
      <w:spacing w:before="480" w:after="0" w:line="276" w:lineRule="auto"/>
      <w:jc w:val="left"/>
      <w:outlineLvl w:val="9"/>
    </w:pPr>
    <w:rPr>
      <w:rFonts w:ascii="Cambria" w:hAnsi="Cambria"/>
      <w:color w:val="365F91"/>
      <w:sz w:val="28"/>
      <w:szCs w:val="28"/>
    </w:rPr>
  </w:style>
  <w:style w:type="paragraph" w:customStyle="1" w:styleId="2156">
    <w:name w:val="Char Char 字元 字元 字元 Char Char Char Char1"/>
    <w:basedOn w:val="1"/>
    <w:semiHidden/>
    <w:qFormat/>
    <w:uiPriority w:val="0"/>
    <w:pPr>
      <w:adjustRightInd w:val="0"/>
      <w:snapToGrid w:val="0"/>
      <w:spacing w:line="360" w:lineRule="auto"/>
      <w:ind w:firstLine="200" w:firstLineChars="200"/>
    </w:pPr>
    <w:rPr>
      <w:rFonts w:ascii="宋体" w:hAnsi="宋体" w:cs="宋体"/>
      <w:sz w:val="24"/>
    </w:rPr>
  </w:style>
  <w:style w:type="paragraph" w:customStyle="1" w:styleId="2157">
    <w:name w:val="默认段落字体 Para Char3"/>
    <w:basedOn w:val="1"/>
    <w:next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158">
    <w:name w:val="项目符号1"/>
    <w:basedOn w:val="1"/>
    <w:semiHidden/>
    <w:qFormat/>
    <w:uiPriority w:val="0"/>
    <w:pPr>
      <w:tabs>
        <w:tab w:val="left" w:pos="935"/>
      </w:tabs>
      <w:adjustRightInd w:val="0"/>
      <w:snapToGrid w:val="0"/>
      <w:spacing w:before="120" w:after="120" w:line="312" w:lineRule="auto"/>
      <w:ind w:left="935" w:hanging="425" w:firstLineChars="200"/>
    </w:pPr>
    <w:rPr>
      <w:rFonts w:ascii="Arial" w:hAnsi="Arial" w:eastAsia="楷体_GB2312"/>
      <w:b/>
      <w:sz w:val="28"/>
    </w:rPr>
  </w:style>
  <w:style w:type="paragraph" w:customStyle="1" w:styleId="2159">
    <w:name w:val="图片居中"/>
    <w:basedOn w:val="130"/>
    <w:next w:val="130"/>
    <w:semiHidden/>
    <w:qFormat/>
    <w:uiPriority w:val="0"/>
    <w:pPr>
      <w:widowControl w:val="0"/>
      <w:spacing w:line="240" w:lineRule="auto"/>
      <w:ind w:firstLine="0" w:firstLineChars="0"/>
      <w:jc w:val="center"/>
    </w:pPr>
    <w:rPr>
      <w:rFonts w:hAnsi="宋体" w:cs="宋体" w:eastAsiaTheme="minorEastAsia"/>
      <w:sz w:val="21"/>
      <w:szCs w:val="20"/>
    </w:rPr>
  </w:style>
  <w:style w:type="paragraph" w:customStyle="1" w:styleId="2160">
    <w:name w:val="TEXT"/>
    <w:basedOn w:val="1"/>
    <w:semiHidden/>
    <w:qFormat/>
    <w:uiPriority w:val="0"/>
    <w:pPr>
      <w:adjustRightInd w:val="0"/>
      <w:snapToGrid w:val="0"/>
      <w:spacing w:line="440" w:lineRule="exact"/>
      <w:ind w:firstLine="480" w:firstLineChars="200"/>
    </w:pPr>
    <w:rPr>
      <w:rFonts w:cs="宋体"/>
      <w:sz w:val="24"/>
    </w:rPr>
  </w:style>
  <w:style w:type="paragraph" w:customStyle="1" w:styleId="2161">
    <w:name w:val="文本块1"/>
    <w:basedOn w:val="1"/>
    <w:semiHidden/>
    <w:qFormat/>
    <w:uiPriority w:val="0"/>
    <w:pPr>
      <w:adjustRightInd w:val="0"/>
      <w:snapToGrid w:val="0"/>
      <w:spacing w:line="360" w:lineRule="auto"/>
      <w:ind w:left="525" w:right="651" w:firstLine="200" w:firstLineChars="200"/>
    </w:pPr>
    <w:rPr>
      <w:rFonts w:eastAsia="仿宋_GB2312"/>
      <w:sz w:val="32"/>
    </w:rPr>
  </w:style>
  <w:style w:type="paragraph" w:customStyle="1" w:styleId="2162">
    <w:name w:val="1 Char Char Char Char Char Char Char Char Char Char Char Char Char Char Char Char Char Char Char Char Char Char"/>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163">
    <w:name w:val="WPSOffice手动目录 1"/>
    <w:basedOn w:val="1"/>
    <w:semiHidden/>
    <w:qFormat/>
    <w:uiPriority w:val="99"/>
  </w:style>
  <w:style w:type="paragraph" w:customStyle="1" w:styleId="2164">
    <w:name w:val="晏?3"/>
    <w:basedOn w:val="1"/>
    <w:next w:val="1"/>
    <w:semiHidden/>
    <w:qFormat/>
    <w:uiPriority w:val="0"/>
    <w:pPr>
      <w:keepNext/>
      <w:keepLines/>
      <w:adjustRightInd w:val="0"/>
      <w:snapToGrid w:val="0"/>
      <w:spacing w:line="360" w:lineRule="auto"/>
      <w:ind w:firstLine="567" w:firstLineChars="200"/>
      <w:textAlignment w:val="baseline"/>
    </w:pPr>
    <w:rPr>
      <w:rFonts w:ascii="宋体" w:hAnsi="宋体" w:cs="宋体"/>
      <w:b/>
      <w:bCs/>
      <w:sz w:val="28"/>
      <w:szCs w:val="28"/>
    </w:rPr>
  </w:style>
  <w:style w:type="paragraph" w:customStyle="1" w:styleId="2165">
    <w:name w:val="收信人地址1"/>
    <w:basedOn w:val="1"/>
    <w:semiHidden/>
    <w:qFormat/>
    <w:uiPriority w:val="0"/>
    <w:pPr>
      <w:adjustRightInd w:val="0"/>
      <w:snapToGrid w:val="0"/>
      <w:spacing w:line="360" w:lineRule="auto"/>
      <w:ind w:left="100" w:leftChars="1400" w:firstLine="200" w:firstLineChars="200"/>
    </w:pPr>
    <w:rPr>
      <w:rFonts w:ascii="Arial" w:hAnsi="Arial" w:cs="Arial"/>
      <w:sz w:val="24"/>
      <w:szCs w:val="24"/>
    </w:rPr>
  </w:style>
  <w:style w:type="paragraph" w:customStyle="1" w:styleId="2166">
    <w:name w:val="标题样式1"/>
    <w:basedOn w:val="29"/>
    <w:semiHidden/>
    <w:qFormat/>
    <w:uiPriority w:val="0"/>
    <w:pPr>
      <w:adjustRightInd w:val="0"/>
      <w:snapToGrid w:val="0"/>
      <w:spacing w:after="0" w:line="360" w:lineRule="atLeast"/>
      <w:jc w:val="center"/>
      <w:textAlignment w:val="baseline"/>
    </w:pPr>
    <w:rPr>
      <w:rFonts w:ascii="宋体" w:hAnsi="宋体" w:cs="宋体"/>
      <w:b/>
      <w:bCs/>
      <w:snapToGrid w:val="0"/>
      <w:sz w:val="24"/>
    </w:rPr>
  </w:style>
  <w:style w:type="paragraph" w:customStyle="1" w:styleId="2167">
    <w:name w:val="TOC 标题12"/>
    <w:basedOn w:val="2"/>
    <w:next w:val="1"/>
    <w:semiHidden/>
    <w:qFormat/>
    <w:uiPriority w:val="0"/>
    <w:pPr>
      <w:spacing w:before="480" w:after="0" w:line="276" w:lineRule="auto"/>
      <w:jc w:val="left"/>
      <w:outlineLvl w:val="9"/>
    </w:pPr>
    <w:rPr>
      <w:rFonts w:ascii="Cambria" w:hAnsi="Cambria"/>
      <w:color w:val="365F91"/>
      <w:sz w:val="28"/>
      <w:szCs w:val="28"/>
    </w:rPr>
  </w:style>
  <w:style w:type="paragraph" w:customStyle="1" w:styleId="2168">
    <w:name w:val="样式 表格 + 居中"/>
    <w:basedOn w:val="1"/>
    <w:semiHidden/>
    <w:qFormat/>
    <w:uiPriority w:val="0"/>
    <w:pPr>
      <w:kinsoku w:val="0"/>
      <w:overflowPunct w:val="0"/>
      <w:adjustRightInd w:val="0"/>
      <w:snapToGrid w:val="0"/>
      <w:spacing w:line="360" w:lineRule="auto"/>
      <w:ind w:firstLine="200" w:firstLineChars="200"/>
      <w:jc w:val="center"/>
    </w:pPr>
    <w:rPr>
      <w:rFonts w:ascii="宋体" w:hAnsi="宋体" w:cs="宋体"/>
      <w:snapToGrid w:val="0"/>
      <w:color w:val="000000"/>
      <w:sz w:val="24"/>
      <w:szCs w:val="24"/>
    </w:rPr>
  </w:style>
  <w:style w:type="paragraph" w:customStyle="1" w:styleId="2169">
    <w:name w:val="1"/>
    <w:basedOn w:val="1"/>
    <w:next w:val="29"/>
    <w:semiHidden/>
    <w:qFormat/>
    <w:uiPriority w:val="0"/>
    <w:pPr>
      <w:adjustRightInd w:val="0"/>
      <w:snapToGrid w:val="0"/>
      <w:spacing w:line="360" w:lineRule="atLeast"/>
      <w:ind w:firstLine="200" w:firstLineChars="200"/>
      <w:textAlignment w:val="baseline"/>
    </w:pPr>
    <w:rPr>
      <w:rFonts w:ascii="宋体"/>
      <w:sz w:val="24"/>
    </w:rPr>
  </w:style>
  <w:style w:type="paragraph" w:customStyle="1" w:styleId="2170">
    <w:name w:val="称呼1"/>
    <w:basedOn w:val="1"/>
    <w:next w:val="1"/>
    <w:semiHidden/>
    <w:qFormat/>
    <w:uiPriority w:val="0"/>
    <w:pPr>
      <w:adjustRightInd w:val="0"/>
      <w:snapToGrid w:val="0"/>
      <w:spacing w:line="360" w:lineRule="auto"/>
      <w:ind w:firstLine="200" w:firstLineChars="200"/>
    </w:pPr>
    <w:rPr>
      <w:sz w:val="24"/>
      <w:szCs w:val="24"/>
    </w:rPr>
  </w:style>
  <w:style w:type="paragraph" w:customStyle="1" w:styleId="2171">
    <w:name w:val="正文表头"/>
    <w:basedOn w:val="1"/>
    <w:next w:val="410"/>
    <w:semiHidden/>
    <w:qFormat/>
    <w:uiPriority w:val="0"/>
    <w:pPr>
      <w:keepNext/>
      <w:tabs>
        <w:tab w:val="center" w:pos="4253"/>
        <w:tab w:val="right" w:pos="8505"/>
      </w:tabs>
      <w:overflowPunct w:val="0"/>
      <w:adjustRightInd w:val="0"/>
      <w:snapToGrid w:val="0"/>
      <w:spacing w:before="120" w:line="360" w:lineRule="auto"/>
      <w:ind w:firstLine="200" w:firstLineChars="200"/>
      <w:jc w:val="center"/>
      <w:textAlignment w:val="baseline"/>
    </w:pPr>
    <w:rPr>
      <w:rFonts w:ascii="宋体" w:hAnsi="宋体" w:eastAsia="黑体" w:cs="宋体"/>
      <w:sz w:val="28"/>
    </w:rPr>
  </w:style>
  <w:style w:type="paragraph" w:customStyle="1" w:styleId="2172">
    <w:name w:val="样式 小四 黑色 首行缩进:  0.36 厘米 行距: 1.5 倍行距"/>
    <w:basedOn w:val="1"/>
    <w:semiHidden/>
    <w:qFormat/>
    <w:uiPriority w:val="0"/>
    <w:pPr>
      <w:adjustRightInd w:val="0"/>
      <w:snapToGrid w:val="0"/>
      <w:spacing w:line="360" w:lineRule="auto"/>
      <w:ind w:firstLine="200" w:firstLineChars="200"/>
    </w:pPr>
    <w:rPr>
      <w:color w:val="000000"/>
      <w:sz w:val="24"/>
    </w:rPr>
  </w:style>
  <w:style w:type="paragraph" w:customStyle="1" w:styleId="2173">
    <w:name w:val="样式 首行缩进:  2 字符 行距: 1.5 倍行距"/>
    <w:basedOn w:val="1"/>
    <w:semiHidden/>
    <w:qFormat/>
    <w:uiPriority w:val="0"/>
    <w:pPr>
      <w:adjustRightInd w:val="0"/>
      <w:snapToGrid w:val="0"/>
      <w:spacing w:line="360" w:lineRule="auto"/>
      <w:ind w:firstLine="200" w:firstLineChars="200"/>
    </w:pPr>
    <w:rPr>
      <w:rFonts w:ascii="宋体" w:hAnsi="宋体" w:cs="宋体"/>
      <w:sz w:val="28"/>
    </w:rPr>
  </w:style>
  <w:style w:type="paragraph" w:customStyle="1" w:styleId="2174">
    <w:name w:val="12"/>
    <w:basedOn w:val="1"/>
    <w:next w:val="58"/>
    <w:semiHidden/>
    <w:qFormat/>
    <w:uiPriority w:val="0"/>
    <w:pPr>
      <w:adjustRightInd w:val="0"/>
      <w:snapToGrid w:val="0"/>
      <w:spacing w:line="360" w:lineRule="auto"/>
      <w:ind w:firstLine="420" w:firstLineChars="200"/>
      <w:jc w:val="center"/>
    </w:pPr>
    <w:rPr>
      <w:rFonts w:ascii="黑体" w:hAnsi="Arial" w:eastAsia="黑体" w:cs="宋体"/>
      <w:color w:val="000000"/>
      <w:kern w:val="28"/>
      <w:sz w:val="24"/>
      <w:szCs w:val="28"/>
    </w:rPr>
  </w:style>
  <w:style w:type="paragraph" w:customStyle="1" w:styleId="2175">
    <w:name w:val="图标标题"/>
    <w:basedOn w:val="1"/>
    <w:semiHidden/>
    <w:qFormat/>
    <w:uiPriority w:val="0"/>
    <w:pPr>
      <w:adjustRightInd w:val="0"/>
      <w:snapToGrid w:val="0"/>
      <w:spacing w:line="360" w:lineRule="auto"/>
      <w:ind w:firstLine="200" w:firstLineChars="200"/>
      <w:jc w:val="center"/>
    </w:pPr>
    <w:rPr>
      <w:rFonts w:ascii="宋体" w:hAnsi="宋体" w:eastAsia="黑体" w:cs="宋体"/>
      <w:sz w:val="24"/>
      <w:szCs w:val="24"/>
    </w:rPr>
  </w:style>
  <w:style w:type="paragraph" w:customStyle="1" w:styleId="2176">
    <w:name w:val="结束语1"/>
    <w:basedOn w:val="1"/>
    <w:semiHidden/>
    <w:qFormat/>
    <w:uiPriority w:val="0"/>
    <w:pPr>
      <w:adjustRightInd w:val="0"/>
      <w:snapToGrid w:val="0"/>
      <w:spacing w:line="360" w:lineRule="auto"/>
      <w:ind w:left="100" w:leftChars="2100" w:firstLine="200" w:firstLineChars="200"/>
    </w:pPr>
    <w:rPr>
      <w:sz w:val="24"/>
      <w:szCs w:val="24"/>
    </w:rPr>
  </w:style>
  <w:style w:type="paragraph" w:customStyle="1" w:styleId="2177">
    <w:name w:val="Char Char Char1 Char Char Char"/>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178">
    <w:name w:val="正文小四缩"/>
    <w:basedOn w:val="1"/>
    <w:semiHidden/>
    <w:qFormat/>
    <w:uiPriority w:val="0"/>
    <w:pPr>
      <w:adjustRightInd w:val="0"/>
      <w:snapToGrid w:val="0"/>
      <w:spacing w:before="120" w:line="460" w:lineRule="atLeast"/>
      <w:ind w:firstLine="510" w:firstLineChars="200"/>
      <w:textAlignment w:val="baseline"/>
    </w:pPr>
    <w:rPr>
      <w:rFonts w:ascii="仿宋_GB2312" w:hAnsi="宋体" w:eastAsia="仿宋_GB2312" w:cs="宋体"/>
      <w:bCs/>
      <w:sz w:val="28"/>
    </w:rPr>
  </w:style>
  <w:style w:type="paragraph" w:customStyle="1" w:styleId="2179">
    <w:name w:val="Style25"/>
    <w:basedOn w:val="1"/>
    <w:semiHidden/>
    <w:qFormat/>
    <w:uiPriority w:val="0"/>
    <w:pPr>
      <w:adjustRightInd w:val="0"/>
      <w:snapToGrid w:val="0"/>
      <w:spacing w:line="360" w:lineRule="auto"/>
      <w:ind w:firstLine="200" w:firstLineChars="200"/>
      <w:jc w:val="center"/>
    </w:pPr>
    <w:rPr>
      <w:rFonts w:ascii="宋体"/>
      <w:sz w:val="24"/>
    </w:rPr>
  </w:style>
  <w:style w:type="paragraph" w:customStyle="1" w:styleId="2180">
    <w:name w:val="普通段落文字"/>
    <w:basedOn w:val="1"/>
    <w:semiHidden/>
    <w:qFormat/>
    <w:uiPriority w:val="0"/>
    <w:pPr>
      <w:adjustRightInd w:val="0"/>
      <w:snapToGrid w:val="0"/>
      <w:spacing w:line="300" w:lineRule="auto"/>
      <w:ind w:firstLine="567" w:firstLineChars="200"/>
    </w:pPr>
    <w:rPr>
      <w:rFonts w:ascii="宋体" w:hAnsi="宋体" w:cs="宋体"/>
      <w:sz w:val="28"/>
      <w:szCs w:val="28"/>
    </w:rPr>
  </w:style>
  <w:style w:type="paragraph" w:customStyle="1" w:styleId="2181">
    <w:name w:val="13"/>
    <w:basedOn w:val="1"/>
    <w:next w:val="58"/>
    <w:semiHidden/>
    <w:qFormat/>
    <w:uiPriority w:val="0"/>
    <w:pPr>
      <w:adjustRightInd w:val="0"/>
      <w:snapToGrid w:val="0"/>
      <w:spacing w:line="360" w:lineRule="auto"/>
      <w:ind w:firstLine="420" w:firstLineChars="200"/>
      <w:jc w:val="center"/>
    </w:pPr>
    <w:rPr>
      <w:rFonts w:ascii="黑体" w:hAnsi="Arial" w:eastAsia="黑体" w:cs="宋体"/>
      <w:color w:val="000000"/>
      <w:kern w:val="28"/>
      <w:sz w:val="24"/>
      <w:szCs w:val="28"/>
    </w:rPr>
  </w:style>
  <w:style w:type="paragraph" w:customStyle="1" w:styleId="2182">
    <w:name w:val="谏壁标题3（chen）"/>
    <w:basedOn w:val="1"/>
    <w:semiHidden/>
    <w:qFormat/>
    <w:uiPriority w:val="0"/>
    <w:pPr>
      <w:keepNext/>
      <w:keepLines/>
      <w:adjustRightInd w:val="0"/>
      <w:snapToGrid w:val="0"/>
      <w:spacing w:before="100" w:after="120" w:line="360" w:lineRule="auto"/>
      <w:ind w:firstLine="200" w:firstLineChars="200"/>
      <w:outlineLvl w:val="2"/>
    </w:pPr>
    <w:rPr>
      <w:rFonts w:eastAsia="黑体"/>
      <w:sz w:val="30"/>
      <w:szCs w:val="32"/>
    </w:rPr>
  </w:style>
  <w:style w:type="paragraph" w:customStyle="1" w:styleId="2183">
    <w:name w:val="1、"/>
    <w:basedOn w:val="1"/>
    <w:semiHidden/>
    <w:qFormat/>
    <w:uiPriority w:val="0"/>
    <w:pPr>
      <w:adjustRightInd w:val="0"/>
      <w:snapToGrid w:val="0"/>
      <w:spacing w:line="360" w:lineRule="auto"/>
      <w:ind w:firstLine="461" w:firstLineChars="192"/>
    </w:pPr>
    <w:rPr>
      <w:rFonts w:ascii="宋体" w:hAnsi="宋体" w:cs="宋体"/>
      <w:sz w:val="24"/>
    </w:rPr>
  </w:style>
  <w:style w:type="paragraph" w:customStyle="1" w:styleId="2184">
    <w:name w:val="列表编号 51"/>
    <w:basedOn w:val="1"/>
    <w:semiHidden/>
    <w:qFormat/>
    <w:uiPriority w:val="0"/>
    <w:pPr>
      <w:tabs>
        <w:tab w:val="left" w:pos="720"/>
      </w:tabs>
      <w:adjustRightInd w:val="0"/>
      <w:snapToGrid w:val="0"/>
      <w:spacing w:line="360" w:lineRule="auto"/>
      <w:ind w:left="720" w:hanging="720" w:firstLineChars="200"/>
    </w:pPr>
    <w:rPr>
      <w:sz w:val="24"/>
    </w:rPr>
  </w:style>
  <w:style w:type="paragraph" w:customStyle="1" w:styleId="2185">
    <w:name w:val="列表接续1"/>
    <w:basedOn w:val="1"/>
    <w:semiHidden/>
    <w:qFormat/>
    <w:uiPriority w:val="0"/>
    <w:pPr>
      <w:adjustRightInd w:val="0"/>
      <w:snapToGrid w:val="0"/>
      <w:spacing w:after="120" w:line="360" w:lineRule="auto"/>
      <w:ind w:left="420" w:leftChars="200" w:firstLine="200" w:firstLineChars="200"/>
    </w:pPr>
    <w:rPr>
      <w:sz w:val="24"/>
      <w:szCs w:val="24"/>
    </w:rPr>
  </w:style>
  <w:style w:type="paragraph" w:customStyle="1" w:styleId="2186">
    <w:name w:val="正文文本缩进 21"/>
    <w:basedOn w:val="1"/>
    <w:semiHidden/>
    <w:qFormat/>
    <w:uiPriority w:val="0"/>
    <w:pPr>
      <w:adjustRightInd w:val="0"/>
      <w:snapToGrid w:val="0"/>
      <w:spacing w:line="360" w:lineRule="atLeast"/>
      <w:ind w:firstLine="425" w:firstLineChars="200"/>
      <w:textAlignment w:val="baseline"/>
    </w:pPr>
    <w:rPr>
      <w:rFonts w:ascii="宋体" w:hAnsi="宋体" w:cs="宋体"/>
      <w:spacing w:val="20"/>
      <w:sz w:val="24"/>
    </w:rPr>
  </w:style>
  <w:style w:type="paragraph" w:customStyle="1" w:styleId="2187">
    <w:name w:val="样式 标题 2 + 四号"/>
    <w:basedOn w:val="3"/>
    <w:semiHidden/>
    <w:qFormat/>
    <w:uiPriority w:val="0"/>
    <w:pPr>
      <w:spacing w:line="360" w:lineRule="auto"/>
    </w:pPr>
    <w:rPr>
      <w:rFonts w:ascii="Arial" w:hAnsi="Arial" w:cs="宋体"/>
    </w:rPr>
  </w:style>
  <w:style w:type="paragraph" w:customStyle="1" w:styleId="2188">
    <w:name w:val="2.2"/>
    <w:basedOn w:val="1"/>
    <w:semiHidden/>
    <w:qFormat/>
    <w:uiPriority w:val="0"/>
    <w:pPr>
      <w:tabs>
        <w:tab w:val="left" w:pos="709"/>
      </w:tabs>
      <w:adjustRightInd w:val="0"/>
      <w:snapToGrid w:val="0"/>
      <w:spacing w:beforeLines="50" w:afterLines="50" w:line="360" w:lineRule="auto"/>
      <w:ind w:left="709" w:firstLine="200" w:firstLineChars="200"/>
      <w:outlineLvl w:val="2"/>
    </w:pPr>
    <w:rPr>
      <w:b/>
      <w:sz w:val="24"/>
      <w:szCs w:val="24"/>
    </w:rPr>
  </w:style>
  <w:style w:type="paragraph" w:customStyle="1" w:styleId="2189">
    <w:name w:val="Body text|21"/>
    <w:basedOn w:val="1"/>
    <w:semiHidden/>
    <w:qFormat/>
    <w:uiPriority w:val="0"/>
    <w:pPr>
      <w:shd w:val="clear" w:color="auto" w:fill="FFFFFF"/>
      <w:adjustRightInd w:val="0"/>
      <w:snapToGrid w:val="0"/>
      <w:spacing w:before="1640" w:line="312" w:lineRule="exact"/>
      <w:ind w:firstLine="200" w:firstLineChars="200"/>
    </w:pPr>
    <w:rPr>
      <w:rFonts w:ascii="PMingLiU" w:hAnsi="PMingLiU" w:eastAsia="PMingLiU" w:cs="宋体"/>
      <w:color w:val="000000"/>
    </w:rPr>
  </w:style>
  <w:style w:type="paragraph" w:customStyle="1" w:styleId="2190">
    <w:name w:val="Style116"/>
    <w:basedOn w:val="1"/>
    <w:semiHidden/>
    <w:qFormat/>
    <w:uiPriority w:val="0"/>
    <w:pPr>
      <w:adjustRightInd w:val="0"/>
      <w:snapToGrid w:val="0"/>
      <w:spacing w:line="360" w:lineRule="auto"/>
      <w:ind w:firstLine="200" w:firstLineChars="200"/>
    </w:pPr>
    <w:rPr>
      <w:rFonts w:ascii="宋体"/>
      <w:sz w:val="24"/>
    </w:rPr>
  </w:style>
  <w:style w:type="paragraph" w:customStyle="1" w:styleId="2191">
    <w:name w:val="表内5中"/>
    <w:basedOn w:val="1"/>
    <w:semiHidden/>
    <w:qFormat/>
    <w:uiPriority w:val="0"/>
    <w:pPr>
      <w:adjustRightInd w:val="0"/>
      <w:snapToGrid w:val="0"/>
      <w:spacing w:line="360" w:lineRule="auto"/>
      <w:ind w:firstLine="200" w:firstLineChars="200"/>
      <w:jc w:val="center"/>
    </w:pPr>
    <w:rPr>
      <w:rFonts w:ascii="宋体"/>
      <w:sz w:val="24"/>
      <w:szCs w:val="21"/>
    </w:rPr>
  </w:style>
  <w:style w:type="paragraph" w:customStyle="1" w:styleId="2192">
    <w:name w:val="14"/>
    <w:basedOn w:val="1"/>
    <w:next w:val="852"/>
    <w:semiHidden/>
    <w:qFormat/>
    <w:uiPriority w:val="0"/>
    <w:pPr>
      <w:adjustRightInd w:val="0"/>
      <w:snapToGrid w:val="0"/>
      <w:spacing w:line="360" w:lineRule="auto"/>
      <w:ind w:firstLine="200" w:firstLineChars="200"/>
    </w:pPr>
    <w:rPr>
      <w:rFonts w:ascii="宋体" w:hAnsi="Courier New" w:cs="宋体"/>
      <w:sz w:val="24"/>
    </w:rPr>
  </w:style>
  <w:style w:type="paragraph" w:customStyle="1" w:styleId="2193">
    <w:name w:val="_Style 45"/>
    <w:basedOn w:val="1"/>
    <w:semiHidden/>
    <w:qFormat/>
    <w:uiPriority w:val="0"/>
    <w:pPr>
      <w:adjustRightInd w:val="0"/>
      <w:snapToGrid w:val="0"/>
      <w:spacing w:line="360" w:lineRule="auto"/>
      <w:ind w:firstLine="200" w:firstLineChars="200"/>
    </w:pPr>
    <w:rPr>
      <w:sz w:val="28"/>
      <w:szCs w:val="24"/>
    </w:rPr>
  </w:style>
  <w:style w:type="paragraph" w:customStyle="1" w:styleId="2194">
    <w:name w:val="正文应用"/>
    <w:basedOn w:val="1"/>
    <w:semiHidden/>
    <w:qFormat/>
    <w:uiPriority w:val="0"/>
    <w:pPr>
      <w:adjustRightInd w:val="0"/>
      <w:snapToGrid w:val="0"/>
      <w:spacing w:line="360" w:lineRule="auto"/>
      <w:ind w:firstLine="200" w:firstLineChars="200"/>
    </w:pPr>
    <w:rPr>
      <w:sz w:val="24"/>
      <w:szCs w:val="24"/>
    </w:rPr>
  </w:style>
  <w:style w:type="paragraph" w:customStyle="1" w:styleId="2195">
    <w:name w:val="数字编号列项（二级）"/>
    <w:basedOn w:val="1"/>
    <w:semiHidden/>
    <w:qFormat/>
    <w:uiPriority w:val="0"/>
    <w:pPr>
      <w:ind w:left="1260" w:leftChars="400" w:hanging="420" w:hangingChars="200"/>
    </w:pPr>
    <w:rPr>
      <w:rFonts w:ascii="宋体"/>
    </w:rPr>
  </w:style>
  <w:style w:type="paragraph" w:customStyle="1" w:styleId="2196">
    <w:name w:val="样式 首行缩进:  2 字符3"/>
    <w:basedOn w:val="1"/>
    <w:semiHidden/>
    <w:qFormat/>
    <w:uiPriority w:val="0"/>
    <w:pPr>
      <w:adjustRightInd w:val="0"/>
      <w:snapToGrid w:val="0"/>
      <w:spacing w:line="360" w:lineRule="auto"/>
      <w:ind w:firstLine="567" w:firstLineChars="200"/>
    </w:pPr>
    <w:rPr>
      <w:rFonts w:ascii="宋体" w:hAnsi="宋体" w:cs="宋体"/>
      <w:sz w:val="24"/>
      <w:szCs w:val="24"/>
    </w:rPr>
  </w:style>
  <w:style w:type="paragraph" w:customStyle="1" w:styleId="2197">
    <w:name w:val="样式（1）"/>
    <w:basedOn w:val="2034"/>
    <w:semiHidden/>
    <w:qFormat/>
    <w:uiPriority w:val="0"/>
  </w:style>
  <w:style w:type="paragraph" w:customStyle="1" w:styleId="2198">
    <w:name w:val="列表编号 31"/>
    <w:basedOn w:val="1"/>
    <w:semiHidden/>
    <w:qFormat/>
    <w:uiPriority w:val="0"/>
    <w:pPr>
      <w:tabs>
        <w:tab w:val="left" w:pos="960"/>
      </w:tabs>
      <w:adjustRightInd w:val="0"/>
      <w:snapToGrid w:val="0"/>
      <w:spacing w:line="360" w:lineRule="auto"/>
      <w:ind w:left="960" w:hanging="450" w:firstLineChars="200"/>
    </w:pPr>
    <w:rPr>
      <w:sz w:val="24"/>
    </w:rPr>
  </w:style>
  <w:style w:type="paragraph" w:customStyle="1" w:styleId="2199">
    <w:name w:val="2.2.2.1"/>
    <w:basedOn w:val="2188"/>
    <w:semiHidden/>
    <w:qFormat/>
    <w:uiPriority w:val="0"/>
    <w:pPr>
      <w:tabs>
        <w:tab w:val="left" w:pos="851"/>
      </w:tabs>
      <w:ind w:left="851" w:hanging="851"/>
      <w:outlineLvl w:val="3"/>
    </w:pPr>
    <w:rPr>
      <w:b w:val="0"/>
    </w:rPr>
  </w:style>
  <w:style w:type="paragraph" w:customStyle="1" w:styleId="2200">
    <w:name w:val="Style13"/>
    <w:basedOn w:val="1"/>
    <w:semiHidden/>
    <w:qFormat/>
    <w:uiPriority w:val="0"/>
    <w:pPr>
      <w:adjustRightInd w:val="0"/>
      <w:snapToGrid w:val="0"/>
      <w:spacing w:line="360" w:lineRule="auto"/>
      <w:ind w:firstLine="200" w:firstLineChars="200"/>
    </w:pPr>
    <w:rPr>
      <w:rFonts w:ascii="宋体"/>
      <w:sz w:val="24"/>
    </w:rPr>
  </w:style>
  <w:style w:type="paragraph" w:customStyle="1" w:styleId="2201">
    <w:name w:val="（11）标题"/>
    <w:basedOn w:val="1"/>
    <w:semiHidden/>
    <w:qFormat/>
    <w:uiPriority w:val="0"/>
    <w:pPr>
      <w:adjustRightInd w:val="0"/>
      <w:snapToGrid w:val="0"/>
      <w:spacing w:line="360" w:lineRule="auto"/>
      <w:ind w:firstLine="538" w:firstLineChars="192"/>
    </w:pPr>
    <w:rPr>
      <w:rFonts w:ascii="宋体" w:hAnsi="宋体" w:cs="宋体"/>
      <w:sz w:val="28"/>
    </w:rPr>
  </w:style>
  <w:style w:type="paragraph" w:customStyle="1" w:styleId="2202">
    <w:name w:val="表格文字左"/>
    <w:basedOn w:val="1"/>
    <w:semiHidden/>
    <w:qFormat/>
    <w:uiPriority w:val="0"/>
    <w:pPr>
      <w:keepNext/>
      <w:adjustRightInd w:val="0"/>
      <w:snapToGrid w:val="0"/>
      <w:spacing w:line="360" w:lineRule="auto"/>
      <w:ind w:left="56" w:leftChars="20" w:hanging="420" w:firstLineChars="200"/>
    </w:pPr>
    <w:rPr>
      <w:sz w:val="24"/>
      <w:szCs w:val="18"/>
    </w:rPr>
  </w:style>
  <w:style w:type="paragraph" w:customStyle="1" w:styleId="2203">
    <w:name w:val="样式 首行缩进:  2 字符 行距: 固定值 23 磅"/>
    <w:basedOn w:val="1"/>
    <w:semiHidden/>
    <w:qFormat/>
    <w:uiPriority w:val="0"/>
    <w:pPr>
      <w:adjustRightInd w:val="0"/>
      <w:snapToGrid w:val="0"/>
      <w:spacing w:line="460" w:lineRule="exact"/>
      <w:ind w:firstLine="648" w:firstLineChars="200"/>
    </w:pPr>
    <w:rPr>
      <w:rFonts w:ascii="宋体" w:hAnsi="宋体" w:cs="宋体"/>
      <w:sz w:val="24"/>
      <w:szCs w:val="24"/>
    </w:rPr>
  </w:style>
  <w:style w:type="paragraph" w:customStyle="1" w:styleId="2204">
    <w:name w:val="p18"/>
    <w:basedOn w:val="1"/>
    <w:semiHidden/>
    <w:qFormat/>
    <w:uiPriority w:val="0"/>
    <w:pPr>
      <w:adjustRightInd w:val="0"/>
      <w:snapToGrid w:val="0"/>
      <w:spacing w:line="400" w:lineRule="atLeast"/>
      <w:ind w:firstLine="420" w:firstLineChars="200"/>
    </w:pPr>
    <w:rPr>
      <w:sz w:val="24"/>
      <w:szCs w:val="21"/>
    </w:rPr>
  </w:style>
  <w:style w:type="paragraph" w:customStyle="1" w:styleId="2205">
    <w:name w:val="列表 31"/>
    <w:basedOn w:val="1"/>
    <w:semiHidden/>
    <w:qFormat/>
    <w:uiPriority w:val="0"/>
    <w:pPr>
      <w:adjustRightInd w:val="0"/>
      <w:snapToGrid w:val="0"/>
      <w:spacing w:line="360" w:lineRule="auto"/>
      <w:ind w:left="100" w:leftChars="400" w:hanging="200" w:hangingChars="200"/>
    </w:pPr>
    <w:rPr>
      <w:sz w:val="24"/>
      <w:szCs w:val="24"/>
    </w:rPr>
  </w:style>
  <w:style w:type="paragraph" w:customStyle="1" w:styleId="2206">
    <w:name w:val="表格5"/>
    <w:basedOn w:val="1"/>
    <w:semiHidden/>
    <w:qFormat/>
    <w:uiPriority w:val="0"/>
    <w:rPr>
      <w:rFonts w:ascii="宋体" w:hAnsi="宋体"/>
      <w:color w:val="000000"/>
      <w:sz w:val="24"/>
      <w:szCs w:val="24"/>
    </w:rPr>
  </w:style>
  <w:style w:type="paragraph" w:customStyle="1" w:styleId="2207">
    <w:name w:val="表内59"/>
    <w:basedOn w:val="1"/>
    <w:semiHidden/>
    <w:qFormat/>
    <w:uiPriority w:val="0"/>
    <w:pPr>
      <w:adjustRightInd w:val="0"/>
      <w:snapToGrid w:val="0"/>
      <w:spacing w:line="300" w:lineRule="auto"/>
      <w:ind w:firstLine="200" w:firstLineChars="200"/>
      <w:jc w:val="center"/>
    </w:pPr>
    <w:rPr>
      <w:rFonts w:ascii="宋体"/>
      <w:snapToGrid w:val="0"/>
      <w:sz w:val="24"/>
      <w:szCs w:val="21"/>
    </w:rPr>
  </w:style>
  <w:style w:type="paragraph" w:customStyle="1" w:styleId="2208">
    <w:name w:val="Char Char Char2 Char Char Char Char Char Char Char Char Char Char1"/>
    <w:basedOn w:val="1"/>
    <w:semiHidden/>
    <w:qFormat/>
    <w:uiPriority w:val="0"/>
    <w:pPr>
      <w:adjustRightInd w:val="0"/>
      <w:snapToGrid w:val="0"/>
      <w:spacing w:line="360" w:lineRule="auto"/>
      <w:ind w:firstLine="200" w:firstLineChars="200"/>
    </w:pPr>
    <w:rPr>
      <w:sz w:val="24"/>
      <w:szCs w:val="24"/>
    </w:rPr>
  </w:style>
  <w:style w:type="paragraph" w:customStyle="1" w:styleId="2209">
    <w:name w:val="索引 11"/>
    <w:basedOn w:val="1"/>
    <w:next w:val="1"/>
    <w:semiHidden/>
    <w:qFormat/>
    <w:uiPriority w:val="0"/>
    <w:pPr>
      <w:adjustRightInd w:val="0"/>
      <w:snapToGrid w:val="0"/>
      <w:spacing w:line="360" w:lineRule="auto"/>
      <w:ind w:left="-53" w:leftChars="-25" w:right="-1" w:firstLine="200" w:firstLineChars="200"/>
      <w:jc w:val="center"/>
    </w:pPr>
    <w:rPr>
      <w:sz w:val="24"/>
      <w:szCs w:val="21"/>
    </w:rPr>
  </w:style>
  <w:style w:type="paragraph" w:customStyle="1" w:styleId="2210">
    <w:name w:val="12 Char Char Char Char Char Char Char"/>
    <w:basedOn w:val="1"/>
    <w:semiHidden/>
    <w:qFormat/>
    <w:uiPriority w:val="0"/>
    <w:pPr>
      <w:adjustRightInd w:val="0"/>
      <w:snapToGrid w:val="0"/>
      <w:spacing w:line="360" w:lineRule="auto"/>
      <w:ind w:firstLine="200" w:firstLineChars="200"/>
    </w:pPr>
    <w:rPr>
      <w:sz w:val="24"/>
    </w:rPr>
  </w:style>
  <w:style w:type="paragraph" w:customStyle="1" w:styleId="2211">
    <w:name w:val="Char Char Char Char Char Char Char Char Char Char Char Char Char Char Char Char Char Char Char Char Char Char"/>
    <w:basedOn w:val="1"/>
    <w:semiHidden/>
    <w:qFormat/>
    <w:uiPriority w:val="0"/>
    <w:pPr>
      <w:adjustRightInd w:val="0"/>
      <w:snapToGrid w:val="0"/>
      <w:spacing w:after="160" w:line="240" w:lineRule="exact"/>
      <w:ind w:firstLine="200" w:firstLineChars="200"/>
    </w:pPr>
    <w:rPr>
      <w:sz w:val="24"/>
      <w:szCs w:val="24"/>
    </w:rPr>
  </w:style>
  <w:style w:type="paragraph" w:customStyle="1" w:styleId="2212">
    <w:name w:val="插图标题"/>
    <w:basedOn w:val="1"/>
    <w:semiHidden/>
    <w:qFormat/>
    <w:uiPriority w:val="0"/>
    <w:pPr>
      <w:tabs>
        <w:tab w:val="left" w:pos="1134"/>
        <w:tab w:val="right" w:pos="7371"/>
      </w:tabs>
      <w:overflowPunct w:val="0"/>
      <w:adjustRightInd w:val="0"/>
      <w:snapToGrid w:val="0"/>
      <w:spacing w:line="360" w:lineRule="auto"/>
      <w:ind w:firstLine="567" w:firstLineChars="200"/>
      <w:jc w:val="center"/>
      <w:textAlignment w:val="baseline"/>
    </w:pPr>
    <w:rPr>
      <w:rFonts w:ascii="黑体" w:hAnsi="宋体" w:eastAsia="黑体" w:cs="宋体"/>
      <w:sz w:val="28"/>
    </w:rPr>
  </w:style>
  <w:style w:type="paragraph" w:customStyle="1" w:styleId="2213">
    <w:name w:val="表格001"/>
    <w:basedOn w:val="1"/>
    <w:semiHidden/>
    <w:qFormat/>
    <w:uiPriority w:val="0"/>
    <w:pPr>
      <w:adjustRightInd w:val="0"/>
      <w:snapToGrid w:val="0"/>
      <w:spacing w:line="360" w:lineRule="auto"/>
      <w:ind w:firstLine="200" w:firstLineChars="200"/>
      <w:jc w:val="center"/>
    </w:pPr>
    <w:rPr>
      <w:sz w:val="24"/>
    </w:rPr>
  </w:style>
  <w:style w:type="paragraph" w:customStyle="1" w:styleId="2214">
    <w:name w:val="正文文本缩进 22"/>
    <w:basedOn w:val="1"/>
    <w:semiHidden/>
    <w:qFormat/>
    <w:uiPriority w:val="0"/>
    <w:pPr>
      <w:adjustRightInd w:val="0"/>
      <w:snapToGrid w:val="0"/>
      <w:spacing w:beforeLines="30" w:afterLines="30" w:line="360" w:lineRule="auto"/>
      <w:ind w:firstLine="482" w:firstLineChars="200"/>
    </w:pPr>
    <w:rPr>
      <w:sz w:val="24"/>
      <w:szCs w:val="24"/>
    </w:rPr>
  </w:style>
  <w:style w:type="paragraph" w:customStyle="1" w:styleId="2215">
    <w:name w:val="表格内字体711"/>
    <w:basedOn w:val="130"/>
    <w:next w:val="130"/>
    <w:semiHidden/>
    <w:qFormat/>
    <w:uiPriority w:val="0"/>
    <w:pPr>
      <w:widowControl w:val="0"/>
      <w:spacing w:line="240" w:lineRule="auto"/>
      <w:ind w:firstLine="0" w:firstLineChars="0"/>
      <w:jc w:val="center"/>
    </w:pPr>
    <w:rPr>
      <w:rFonts w:hAnsi="宋体" w:eastAsiaTheme="minorEastAsia" w:cstheme="minorBidi"/>
      <w:sz w:val="21"/>
    </w:rPr>
  </w:style>
  <w:style w:type="paragraph" w:customStyle="1" w:styleId="2216">
    <w:name w:val="Char Char Char2 Char Char Char Char Char Char Char Char Char Char2"/>
    <w:basedOn w:val="1"/>
    <w:semiHidden/>
    <w:qFormat/>
    <w:uiPriority w:val="0"/>
    <w:pPr>
      <w:adjustRightInd w:val="0"/>
      <w:snapToGrid w:val="0"/>
      <w:spacing w:line="360" w:lineRule="auto"/>
      <w:ind w:firstLine="200" w:firstLineChars="200"/>
    </w:pPr>
    <w:rPr>
      <w:sz w:val="24"/>
      <w:szCs w:val="24"/>
    </w:rPr>
  </w:style>
  <w:style w:type="paragraph" w:customStyle="1" w:styleId="2217">
    <w:name w:val="样式 正文首行缩进 + 首行缩进:  2 字符"/>
    <w:basedOn w:val="2151"/>
    <w:semiHidden/>
    <w:qFormat/>
    <w:uiPriority w:val="0"/>
    <w:pPr>
      <w:tabs>
        <w:tab w:val="left" w:pos="7020"/>
      </w:tabs>
      <w:adjustRightInd w:val="0"/>
      <w:snapToGrid w:val="0"/>
      <w:spacing w:after="0"/>
      <w:ind w:firstLine="0" w:firstLineChars="0"/>
      <w:jc w:val="center"/>
      <w:textAlignment w:val="center"/>
    </w:pPr>
    <w:rPr>
      <w:rFonts w:ascii="宋体" w:hAnsi="宋体" w:cs="宋体"/>
      <w:snapToGrid w:val="0"/>
      <w:spacing w:val="-6"/>
      <w:sz w:val="24"/>
      <w:szCs w:val="21"/>
    </w:rPr>
  </w:style>
  <w:style w:type="paragraph" w:customStyle="1" w:styleId="2218">
    <w:name w:val="样式 标题 1 + 首行缩进:  2 字符"/>
    <w:basedOn w:val="2"/>
    <w:semiHidden/>
    <w:qFormat/>
    <w:uiPriority w:val="0"/>
    <w:pPr>
      <w:tabs>
        <w:tab w:val="left" w:pos="1152"/>
      </w:tabs>
      <w:spacing w:before="0" w:after="0" w:line="500" w:lineRule="exact"/>
      <w:jc w:val="left"/>
    </w:pPr>
    <w:rPr>
      <w:rFonts w:ascii="宋体" w:hAnsi="宋体" w:cs="宋体"/>
      <w:b w:val="0"/>
      <w:sz w:val="30"/>
      <w:szCs w:val="30"/>
    </w:rPr>
  </w:style>
  <w:style w:type="paragraph" w:customStyle="1" w:styleId="2219">
    <w:name w:val="样式 (符号) 宋体 小四 行距: 固定值 26 磅"/>
    <w:basedOn w:val="1"/>
    <w:semiHidden/>
    <w:qFormat/>
    <w:uiPriority w:val="0"/>
    <w:pPr>
      <w:adjustRightInd w:val="0"/>
      <w:snapToGrid w:val="0"/>
      <w:spacing w:line="280" w:lineRule="exact"/>
      <w:ind w:firstLine="200" w:firstLineChars="200"/>
    </w:pPr>
    <w:rPr>
      <w:rFonts w:ascii="宋体" w:hAnsi="宋体" w:cs="宋体"/>
      <w:bCs/>
      <w:spacing w:val="-8"/>
      <w:sz w:val="18"/>
      <w:szCs w:val="18"/>
    </w:rPr>
  </w:style>
  <w:style w:type="paragraph" w:customStyle="1" w:styleId="2220">
    <w:name w:val="样式 左侧:  0 厘米 首行缩进:  0.85 厘米"/>
    <w:basedOn w:val="1"/>
    <w:semiHidden/>
    <w:qFormat/>
    <w:uiPriority w:val="0"/>
    <w:pPr>
      <w:adjustRightInd w:val="0"/>
      <w:snapToGrid w:val="0"/>
      <w:spacing w:line="360" w:lineRule="auto"/>
      <w:ind w:firstLine="480" w:firstLineChars="200"/>
    </w:pPr>
    <w:rPr>
      <w:rFonts w:ascii="宋体" w:hAnsi="宋体" w:eastAsia="仿宋_GB2312" w:cs="宋体"/>
      <w:sz w:val="24"/>
    </w:rPr>
  </w:style>
  <w:style w:type="paragraph" w:customStyle="1" w:styleId="2221">
    <w:name w:val="样式"/>
    <w:basedOn w:val="1"/>
    <w:semiHidden/>
    <w:qFormat/>
    <w:uiPriority w:val="0"/>
    <w:pPr>
      <w:autoSpaceDE w:val="0"/>
      <w:autoSpaceDN w:val="0"/>
      <w:adjustRightInd w:val="0"/>
    </w:pPr>
    <w:rPr>
      <w:rFonts w:ascii="宋体" w:hAnsi="宋体" w:cs="宋体"/>
      <w:sz w:val="24"/>
      <w:szCs w:val="24"/>
    </w:rPr>
  </w:style>
  <w:style w:type="paragraph" w:customStyle="1" w:styleId="2222">
    <w:name w:val="基准标题"/>
    <w:basedOn w:val="29"/>
    <w:next w:val="29"/>
    <w:semiHidden/>
    <w:qFormat/>
    <w:uiPriority w:val="0"/>
    <w:pPr>
      <w:spacing w:after="0" w:line="280" w:lineRule="exact"/>
      <w:outlineLvl w:val="0"/>
    </w:pPr>
    <w:rPr>
      <w:rFonts w:ascii="宋体" w:hAnsi="宋体" w:cs="宋体"/>
      <w:bCs/>
      <w:spacing w:val="-10"/>
      <w:sz w:val="18"/>
      <w:szCs w:val="24"/>
    </w:rPr>
  </w:style>
  <w:style w:type="paragraph" w:customStyle="1" w:styleId="2223">
    <w:name w:val="Char Char Char Char Char Char Char Char Char Char Char Char Char1"/>
    <w:basedOn w:val="1"/>
    <w:semiHidden/>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4"/>
    </w:rPr>
  </w:style>
  <w:style w:type="paragraph" w:customStyle="1" w:styleId="2224">
    <w:name w:val="标题样式2"/>
    <w:basedOn w:val="3"/>
    <w:semiHidden/>
    <w:qFormat/>
    <w:uiPriority w:val="0"/>
    <w:pPr>
      <w:tabs>
        <w:tab w:val="left" w:pos="4142"/>
        <w:tab w:val="left" w:pos="6833"/>
        <w:tab w:val="left" w:pos="9030"/>
        <w:tab w:val="left" w:pos="9287"/>
      </w:tabs>
      <w:overflowPunct w:val="0"/>
      <w:topLinePunct/>
      <w:autoSpaceDE w:val="0"/>
      <w:autoSpaceDN w:val="0"/>
      <w:adjustRightInd w:val="0"/>
      <w:snapToGrid w:val="0"/>
      <w:spacing w:beforeLines="5" w:afterLines="5" w:line="360" w:lineRule="atLeast"/>
      <w:jc w:val="center"/>
      <w:textAlignment w:val="baseline"/>
      <w:outlineLvl w:val="9"/>
    </w:pPr>
    <w:rPr>
      <w:rFonts w:cs="宋体"/>
      <w:b w:val="0"/>
      <w:snapToGrid w:val="0"/>
      <w:sz w:val="21"/>
      <w:szCs w:val="20"/>
    </w:rPr>
  </w:style>
  <w:style w:type="paragraph" w:customStyle="1" w:styleId="2225">
    <w:name w:val="表－居中列"/>
    <w:basedOn w:val="1"/>
    <w:semiHidden/>
    <w:qFormat/>
    <w:uiPriority w:val="0"/>
    <w:pPr>
      <w:adjustRightInd w:val="0"/>
      <w:snapToGrid w:val="0"/>
      <w:spacing w:line="320" w:lineRule="exact"/>
      <w:ind w:firstLine="200" w:firstLineChars="200"/>
      <w:jc w:val="center"/>
    </w:pPr>
    <w:rPr>
      <w:rFonts w:ascii="楷体_GB2312" w:eastAsia="楷体_GB2312" w:cs="Arial"/>
      <w:snapToGrid w:val="0"/>
      <w:spacing w:val="-20"/>
      <w:sz w:val="24"/>
      <w:szCs w:val="21"/>
      <w:lang w:eastAsia="ja-JP"/>
    </w:rPr>
  </w:style>
  <w:style w:type="paragraph" w:customStyle="1" w:styleId="2226">
    <w:name w:val="列出段落11"/>
    <w:basedOn w:val="1"/>
    <w:semiHidden/>
    <w:qFormat/>
    <w:uiPriority w:val="0"/>
    <w:pPr>
      <w:adjustRightInd w:val="0"/>
      <w:snapToGrid w:val="0"/>
      <w:spacing w:line="360" w:lineRule="auto"/>
      <w:ind w:firstLine="420" w:firstLineChars="200"/>
    </w:pPr>
    <w:rPr>
      <w:sz w:val="24"/>
    </w:rPr>
  </w:style>
  <w:style w:type="paragraph" w:customStyle="1" w:styleId="2227">
    <w:name w:val="Char Char Char Char Char Char Char Char Char Char Char Char12"/>
    <w:basedOn w:val="1"/>
    <w:next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228">
    <w:name w:val="正文文本缩进 311"/>
    <w:basedOn w:val="1"/>
    <w:semiHidden/>
    <w:qFormat/>
    <w:uiPriority w:val="0"/>
    <w:pPr>
      <w:tabs>
        <w:tab w:val="left" w:pos="0"/>
      </w:tabs>
      <w:adjustRightInd w:val="0"/>
      <w:snapToGrid w:val="0"/>
      <w:spacing w:line="396" w:lineRule="atLeast"/>
      <w:ind w:firstLine="560" w:firstLineChars="200"/>
      <w:textAlignment w:val="baseline"/>
    </w:pPr>
    <w:rPr>
      <w:rFonts w:ascii="宋体" w:hAnsi="宋体" w:cs="宋体"/>
      <w:sz w:val="24"/>
    </w:rPr>
  </w:style>
  <w:style w:type="paragraph" w:customStyle="1" w:styleId="2229">
    <w:name w:val="word"/>
    <w:basedOn w:val="1"/>
    <w:semiHidden/>
    <w:qFormat/>
    <w:uiPriority w:val="0"/>
    <w:pPr>
      <w:adjustRightInd w:val="0"/>
      <w:snapToGrid w:val="0"/>
      <w:spacing w:beforeLines="50" w:line="360" w:lineRule="auto"/>
      <w:ind w:firstLine="480" w:firstLineChars="200"/>
    </w:pPr>
    <w:rPr>
      <w:rFonts w:ascii="宋体" w:hAnsi="宋体"/>
      <w:color w:val="0000FF"/>
      <w:sz w:val="24"/>
    </w:rPr>
  </w:style>
  <w:style w:type="paragraph" w:customStyle="1" w:styleId="2230">
    <w:name w:val="2（1.1）"/>
    <w:basedOn w:val="1"/>
    <w:semiHidden/>
    <w:qFormat/>
    <w:uiPriority w:val="0"/>
    <w:pPr>
      <w:tabs>
        <w:tab w:val="left" w:pos="567"/>
      </w:tabs>
      <w:adjustRightInd w:val="0"/>
      <w:snapToGrid w:val="0"/>
      <w:spacing w:beforeLines="100" w:afterLines="100" w:line="360" w:lineRule="auto"/>
      <w:ind w:left="567" w:firstLine="200" w:firstLineChars="200"/>
      <w:outlineLvl w:val="1"/>
    </w:pPr>
    <w:rPr>
      <w:rFonts w:eastAsia="黑体"/>
      <w:b/>
      <w:sz w:val="24"/>
      <w:szCs w:val="24"/>
    </w:rPr>
  </w:style>
  <w:style w:type="paragraph" w:customStyle="1" w:styleId="2231">
    <w:name w:val="样式 标题 2 + 宋体 居中 首行缩进:  2 字符"/>
    <w:basedOn w:val="3"/>
    <w:semiHidden/>
    <w:qFormat/>
    <w:uiPriority w:val="0"/>
    <w:pPr>
      <w:spacing w:line="500" w:lineRule="exact"/>
      <w:ind w:firstLine="601"/>
      <w:jc w:val="center"/>
    </w:pPr>
    <w:rPr>
      <w:rFonts w:ascii="宋体" w:hAnsi="宋体" w:cs="宋体"/>
      <w:sz w:val="30"/>
    </w:rPr>
  </w:style>
  <w:style w:type="paragraph" w:customStyle="1" w:styleId="2232">
    <w:name w:val="pt9"/>
    <w:basedOn w:val="1"/>
    <w:semiHidden/>
    <w:qFormat/>
    <w:uiPriority w:val="0"/>
    <w:pPr>
      <w:adjustRightInd w:val="0"/>
      <w:snapToGrid w:val="0"/>
      <w:spacing w:before="100" w:beforeAutospacing="1" w:after="100" w:afterAutospacing="1" w:line="360" w:lineRule="auto"/>
      <w:ind w:firstLine="200" w:firstLineChars="200"/>
    </w:pPr>
    <w:rPr>
      <w:rFonts w:asciiTheme="minorHAnsi" w:hAnsiTheme="minorHAnsi"/>
      <w:color w:val="000000"/>
      <w:sz w:val="18"/>
      <w:szCs w:val="18"/>
    </w:rPr>
  </w:style>
  <w:style w:type="paragraph" w:customStyle="1" w:styleId="2233">
    <w:name w:val="正文文本缩进 32"/>
    <w:basedOn w:val="1"/>
    <w:semiHidden/>
    <w:qFormat/>
    <w:uiPriority w:val="0"/>
    <w:pPr>
      <w:tabs>
        <w:tab w:val="left" w:pos="0"/>
      </w:tabs>
      <w:adjustRightInd w:val="0"/>
      <w:snapToGrid w:val="0"/>
      <w:spacing w:line="396" w:lineRule="atLeast"/>
      <w:ind w:firstLine="560" w:firstLineChars="200"/>
      <w:textAlignment w:val="baseline"/>
    </w:pPr>
    <w:rPr>
      <w:rFonts w:ascii="宋体" w:hAnsi="宋体" w:cs="宋体"/>
      <w:sz w:val="24"/>
    </w:rPr>
  </w:style>
  <w:style w:type="paragraph" w:customStyle="1" w:styleId="2234">
    <w:name w:val="目录2"/>
    <w:basedOn w:val="1"/>
    <w:next w:val="1"/>
    <w:semiHidden/>
    <w:qFormat/>
    <w:uiPriority w:val="0"/>
    <w:pPr>
      <w:adjustRightInd w:val="0"/>
      <w:snapToGrid w:val="0"/>
      <w:spacing w:line="500" w:lineRule="exact"/>
      <w:ind w:left="700" w:leftChars="100" w:hanging="420" w:hangingChars="150"/>
    </w:pPr>
    <w:rPr>
      <w:rFonts w:ascii="宋体" w:hAnsi="宋体" w:cs="宋体"/>
      <w:sz w:val="28"/>
      <w:szCs w:val="28"/>
    </w:rPr>
  </w:style>
  <w:style w:type="paragraph" w:customStyle="1" w:styleId="2235">
    <w:name w:val="章章"/>
    <w:basedOn w:val="2"/>
    <w:semiHidden/>
    <w:qFormat/>
    <w:uiPriority w:val="0"/>
    <w:pPr>
      <w:spacing w:before="0" w:after="0"/>
      <w:outlineLvl w:val="9"/>
    </w:pPr>
    <w:rPr>
      <w:rFonts w:ascii="宋体" w:hAnsi="宋体" w:cs="宋体"/>
      <w:b w:val="0"/>
      <w:sz w:val="28"/>
      <w:szCs w:val="20"/>
    </w:rPr>
  </w:style>
  <w:style w:type="paragraph" w:customStyle="1" w:styleId="2236">
    <w:name w:val="样式 标题三！！！！"/>
    <w:basedOn w:val="1"/>
    <w:semiHidden/>
    <w:qFormat/>
    <w:uiPriority w:val="0"/>
    <w:pPr>
      <w:autoSpaceDE w:val="0"/>
      <w:autoSpaceDN w:val="0"/>
      <w:adjustRightInd w:val="0"/>
      <w:snapToGrid w:val="0"/>
      <w:spacing w:line="500" w:lineRule="exact"/>
      <w:ind w:firstLine="200" w:firstLineChars="200"/>
      <w:outlineLvl w:val="2"/>
    </w:pPr>
    <w:rPr>
      <w:rFonts w:ascii="楷体_GB2312" w:hAnsi="楷体_GB2312" w:eastAsia="楷体_GB2312" w:cs="楷体_GB2312"/>
      <w:b/>
      <w:bCs/>
      <w:sz w:val="28"/>
      <w:szCs w:val="28"/>
      <w:lang w:val="zh-CN"/>
    </w:rPr>
  </w:style>
  <w:style w:type="paragraph" w:customStyle="1" w:styleId="2237">
    <w:name w:val="Style141"/>
    <w:basedOn w:val="1"/>
    <w:semiHidden/>
    <w:qFormat/>
    <w:uiPriority w:val="0"/>
    <w:pPr>
      <w:adjustRightInd w:val="0"/>
      <w:snapToGrid w:val="0"/>
      <w:spacing w:line="360" w:lineRule="auto"/>
      <w:ind w:firstLine="200" w:firstLineChars="200"/>
    </w:pPr>
    <w:rPr>
      <w:rFonts w:ascii="宋体"/>
      <w:sz w:val="24"/>
    </w:rPr>
  </w:style>
  <w:style w:type="paragraph" w:customStyle="1" w:styleId="2238">
    <w:name w:val="注释标题2"/>
    <w:basedOn w:val="1"/>
    <w:next w:val="1"/>
    <w:semiHidden/>
    <w:qFormat/>
    <w:uiPriority w:val="0"/>
    <w:pPr>
      <w:adjustRightInd w:val="0"/>
      <w:snapToGrid w:val="0"/>
      <w:spacing w:beforeLines="50" w:afterLines="50" w:line="360" w:lineRule="auto"/>
      <w:ind w:firstLine="200" w:firstLineChars="200"/>
      <w:jc w:val="center"/>
    </w:pPr>
    <w:rPr>
      <w:rFonts w:eastAsia="黑体"/>
      <w:sz w:val="24"/>
      <w:szCs w:val="24"/>
    </w:rPr>
  </w:style>
  <w:style w:type="paragraph" w:customStyle="1" w:styleId="2239">
    <w:name w:val="1） Char"/>
    <w:basedOn w:val="1"/>
    <w:semiHidden/>
    <w:qFormat/>
    <w:uiPriority w:val="0"/>
    <w:pPr>
      <w:adjustRightInd w:val="0"/>
      <w:snapToGrid w:val="0"/>
      <w:spacing w:line="400" w:lineRule="exact"/>
      <w:ind w:firstLine="200" w:firstLineChars="200"/>
    </w:pPr>
    <w:rPr>
      <w:rFonts w:ascii="宋体" w:hAnsi="宋体" w:cs="宋体"/>
      <w:sz w:val="28"/>
    </w:rPr>
  </w:style>
  <w:style w:type="paragraph" w:customStyle="1" w:styleId="2240">
    <w:name w:val="无间隔3"/>
    <w:basedOn w:val="1"/>
    <w:semiHidden/>
    <w:qFormat/>
    <w:uiPriority w:val="0"/>
    <w:rPr>
      <w:sz w:val="22"/>
    </w:rPr>
  </w:style>
  <w:style w:type="paragraph" w:customStyle="1" w:styleId="2241">
    <w:name w:val="F08013"/>
    <w:basedOn w:val="1"/>
    <w:semiHidden/>
    <w:qFormat/>
    <w:uiPriority w:val="0"/>
    <w:pPr>
      <w:adjustRightInd w:val="0"/>
      <w:snapToGrid w:val="0"/>
      <w:spacing w:beforeLines="50" w:afterLines="50" w:line="360" w:lineRule="auto"/>
      <w:ind w:firstLine="480" w:firstLineChars="200"/>
    </w:pPr>
    <w:rPr>
      <w:rFonts w:ascii="宋体" w:hAnsi="宋体" w:cs="宋体"/>
      <w:kern w:val="24"/>
      <w:sz w:val="24"/>
      <w:szCs w:val="24"/>
    </w:rPr>
  </w:style>
  <w:style w:type="paragraph" w:customStyle="1" w:styleId="2242">
    <w:name w:val="图例"/>
    <w:basedOn w:val="1"/>
    <w:semiHidden/>
    <w:qFormat/>
    <w:uiPriority w:val="0"/>
    <w:pPr>
      <w:adjustRightInd w:val="0"/>
      <w:snapToGrid w:val="0"/>
      <w:spacing w:before="240" w:after="120" w:line="360" w:lineRule="auto"/>
      <w:ind w:firstLine="200" w:firstLineChars="200"/>
      <w:jc w:val="center"/>
    </w:pPr>
    <w:rPr>
      <w:rFonts w:ascii="宋体" w:hAnsi="宋体" w:eastAsia="楷体_GB2312" w:cs="宋体"/>
      <w:sz w:val="28"/>
      <w:szCs w:val="24"/>
    </w:rPr>
  </w:style>
  <w:style w:type="paragraph" w:customStyle="1" w:styleId="2243">
    <w:name w:val="HTML 预设格式1"/>
    <w:basedOn w:val="1"/>
    <w:semiHidden/>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200" w:firstLineChars="200"/>
    </w:pPr>
    <w:rPr>
      <w:rFonts w:ascii="宋体" w:hAnsi="宋体"/>
      <w:color w:val="000000"/>
      <w:sz w:val="24"/>
      <w:szCs w:val="21"/>
    </w:rPr>
  </w:style>
  <w:style w:type="paragraph" w:customStyle="1" w:styleId="2244">
    <w:name w:val="Char Char Char1 Char Char Char1"/>
    <w:basedOn w:val="1"/>
    <w:semiHidden/>
    <w:qFormat/>
    <w:uiPriority w:val="0"/>
    <w:pPr>
      <w:adjustRightInd w:val="0"/>
      <w:snapToGrid w:val="0"/>
      <w:spacing w:line="360" w:lineRule="auto"/>
      <w:ind w:firstLine="200" w:firstLineChars="200"/>
    </w:pPr>
    <w:rPr>
      <w:rFonts w:ascii="宋体" w:hAnsi="宋体" w:cs="宋体"/>
      <w:sz w:val="24"/>
      <w:szCs w:val="21"/>
    </w:rPr>
  </w:style>
  <w:style w:type="paragraph" w:customStyle="1" w:styleId="2245">
    <w:name w:val="列表编号 21"/>
    <w:basedOn w:val="1"/>
    <w:semiHidden/>
    <w:qFormat/>
    <w:uiPriority w:val="0"/>
    <w:pPr>
      <w:tabs>
        <w:tab w:val="left" w:pos="360"/>
      </w:tabs>
      <w:adjustRightInd w:val="0"/>
      <w:snapToGrid w:val="0"/>
      <w:spacing w:line="360" w:lineRule="auto"/>
      <w:ind w:left="360" w:hanging="360" w:firstLineChars="200"/>
    </w:pPr>
    <w:rPr>
      <w:sz w:val="24"/>
    </w:rPr>
  </w:style>
  <w:style w:type="paragraph" w:customStyle="1" w:styleId="2246">
    <w:name w:val="正文（首行缩进两个字） + 首行缩进:  2 字符"/>
    <w:basedOn w:val="1"/>
    <w:semiHidden/>
    <w:qFormat/>
    <w:uiPriority w:val="0"/>
    <w:pPr>
      <w:adjustRightInd w:val="0"/>
      <w:snapToGrid w:val="0"/>
      <w:spacing w:line="440" w:lineRule="exact"/>
      <w:ind w:firstLine="200" w:firstLineChars="200"/>
    </w:pPr>
    <w:rPr>
      <w:rFonts w:eastAsia="仿宋_GB2312"/>
      <w:sz w:val="24"/>
      <w:lang w:val="zh-CN"/>
    </w:rPr>
  </w:style>
  <w:style w:type="paragraph" w:customStyle="1" w:styleId="2247">
    <w:name w:val="Style61"/>
    <w:basedOn w:val="1"/>
    <w:semiHidden/>
    <w:qFormat/>
    <w:uiPriority w:val="0"/>
    <w:pPr>
      <w:adjustRightInd w:val="0"/>
      <w:snapToGrid w:val="0"/>
      <w:spacing w:line="360" w:lineRule="auto"/>
      <w:ind w:firstLine="200" w:firstLineChars="200"/>
    </w:pPr>
    <w:rPr>
      <w:rFonts w:ascii="宋体"/>
      <w:sz w:val="24"/>
    </w:rPr>
  </w:style>
  <w:style w:type="paragraph" w:customStyle="1" w:styleId="2248">
    <w:name w:val="纯文本11"/>
    <w:basedOn w:val="1"/>
    <w:semiHidden/>
    <w:qFormat/>
    <w:uiPriority w:val="0"/>
    <w:pPr>
      <w:adjustRightInd w:val="0"/>
      <w:snapToGrid w:val="0"/>
      <w:spacing w:line="240" w:lineRule="atLeast"/>
      <w:ind w:firstLine="200" w:firstLineChars="200"/>
      <w:jc w:val="center"/>
    </w:pPr>
    <w:rPr>
      <w:rFonts w:ascii="宋体" w:hAnsi="宋体"/>
      <w:bCs/>
      <w:iCs/>
      <w:sz w:val="18"/>
      <w:szCs w:val="18"/>
    </w:rPr>
  </w:style>
  <w:style w:type="paragraph" w:customStyle="1" w:styleId="2249">
    <w:name w:val="南郊正文"/>
    <w:basedOn w:val="1"/>
    <w:next w:val="1"/>
    <w:semiHidden/>
    <w:qFormat/>
    <w:uiPriority w:val="0"/>
    <w:pPr>
      <w:adjustRightInd w:val="0"/>
      <w:snapToGrid w:val="0"/>
      <w:spacing w:line="360" w:lineRule="auto"/>
      <w:ind w:firstLine="200" w:firstLineChars="200"/>
    </w:pPr>
    <w:rPr>
      <w:rFonts w:eastAsia="仿宋_GB2312" w:cs="宋体"/>
      <w:sz w:val="24"/>
      <w:szCs w:val="21"/>
    </w:rPr>
  </w:style>
  <w:style w:type="paragraph" w:customStyle="1" w:styleId="2250">
    <w:name w:val="签名1"/>
    <w:basedOn w:val="1"/>
    <w:semiHidden/>
    <w:qFormat/>
    <w:uiPriority w:val="0"/>
    <w:pPr>
      <w:adjustRightInd w:val="0"/>
      <w:snapToGrid w:val="0"/>
      <w:spacing w:line="360" w:lineRule="auto"/>
      <w:ind w:left="100" w:leftChars="2100" w:firstLine="200" w:firstLineChars="200"/>
    </w:pPr>
    <w:rPr>
      <w:sz w:val="24"/>
      <w:szCs w:val="24"/>
    </w:rPr>
  </w:style>
  <w:style w:type="paragraph" w:customStyle="1" w:styleId="2251">
    <w:name w:val="表格内容居中"/>
    <w:basedOn w:val="1"/>
    <w:semiHidden/>
    <w:qFormat/>
    <w:uiPriority w:val="0"/>
    <w:pPr>
      <w:adjustRightInd w:val="0"/>
      <w:snapToGrid w:val="0"/>
      <w:jc w:val="center"/>
    </w:pPr>
    <w:rPr>
      <w:snapToGrid w:val="0"/>
      <w:szCs w:val="21"/>
    </w:rPr>
  </w:style>
  <w:style w:type="paragraph" w:customStyle="1" w:styleId="2252">
    <w:name w:val="样式 样式 样式 首行缩进:  2 字符 + 首行缩进:  2 字符 + 首行缩进:  2 字符"/>
    <w:basedOn w:val="1"/>
    <w:semiHidden/>
    <w:qFormat/>
    <w:uiPriority w:val="0"/>
    <w:pPr>
      <w:adjustRightInd w:val="0"/>
      <w:snapToGrid w:val="0"/>
      <w:spacing w:line="360" w:lineRule="auto"/>
      <w:ind w:firstLine="567" w:firstLineChars="200"/>
    </w:pPr>
    <w:rPr>
      <w:rFonts w:ascii="宋体"/>
      <w:sz w:val="27"/>
    </w:rPr>
  </w:style>
  <w:style w:type="paragraph" w:customStyle="1" w:styleId="2253">
    <w:name w:val="注×："/>
    <w:basedOn w:val="1"/>
    <w:semiHidden/>
    <w:qFormat/>
    <w:uiPriority w:val="0"/>
    <w:pPr>
      <w:tabs>
        <w:tab w:val="left" w:pos="630"/>
      </w:tabs>
      <w:autoSpaceDE w:val="0"/>
      <w:autoSpaceDN w:val="0"/>
    </w:pPr>
    <w:rPr>
      <w:rFonts w:ascii="宋体"/>
      <w:sz w:val="18"/>
    </w:rPr>
  </w:style>
  <w:style w:type="paragraph" w:customStyle="1" w:styleId="2254">
    <w:name w:val="样式(a)"/>
    <w:basedOn w:val="1"/>
    <w:semiHidden/>
    <w:qFormat/>
    <w:uiPriority w:val="0"/>
    <w:pPr>
      <w:adjustRightInd w:val="0"/>
      <w:snapToGrid w:val="0"/>
      <w:spacing w:line="360" w:lineRule="auto"/>
      <w:ind w:firstLine="560" w:firstLineChars="200"/>
    </w:pPr>
    <w:rPr>
      <w:rFonts w:ascii="宋体" w:hAnsi="宋体" w:cs="宋体"/>
      <w:sz w:val="28"/>
    </w:rPr>
  </w:style>
  <w:style w:type="paragraph" w:customStyle="1" w:styleId="2255">
    <w:name w:val="样式 标题 3H3B Head标题 3 Char条标题1.1.1三级标题h33rd level第二层条ReH..."/>
    <w:basedOn w:val="4"/>
    <w:semiHidden/>
    <w:qFormat/>
    <w:uiPriority w:val="0"/>
    <w:pPr>
      <w:widowControl w:val="0"/>
      <w:spacing w:line="500" w:lineRule="exact"/>
      <w:jc w:val="both"/>
    </w:pPr>
    <w:rPr>
      <w:rFonts w:ascii="楷体_GB2312" w:hAnsi="楷体_GB2312" w:eastAsia="楷体_GB2312" w:cs="楷体_GB2312"/>
      <w:sz w:val="28"/>
      <w:szCs w:val="28"/>
    </w:rPr>
  </w:style>
  <w:style w:type="paragraph" w:customStyle="1" w:styleId="2256">
    <w:name w:val="样式222"/>
    <w:basedOn w:val="3"/>
    <w:semiHidden/>
    <w:qFormat/>
    <w:uiPriority w:val="0"/>
    <w:pPr>
      <w:ind w:firstLine="560" w:firstLineChars="200"/>
      <w:outlineLvl w:val="9"/>
    </w:pPr>
    <w:rPr>
      <w:rFonts w:ascii="宋体" w:hAnsi="宋体" w:cs="宋体"/>
      <w:b w:val="0"/>
      <w:szCs w:val="20"/>
    </w:rPr>
  </w:style>
  <w:style w:type="paragraph" w:customStyle="1" w:styleId="2257">
    <w:name w:val="样式 宋体 居中 行距: 固定值 16 磅"/>
    <w:basedOn w:val="1"/>
    <w:semiHidden/>
    <w:qFormat/>
    <w:uiPriority w:val="0"/>
    <w:pPr>
      <w:adjustRightInd w:val="0"/>
      <w:snapToGrid w:val="0"/>
      <w:spacing w:line="320" w:lineRule="exact"/>
      <w:ind w:firstLine="200" w:firstLineChars="200"/>
      <w:jc w:val="center"/>
    </w:pPr>
    <w:rPr>
      <w:rFonts w:ascii="楷体_GB2312" w:hAnsi="楷体_GB2312" w:eastAsia="楷体_GB2312" w:cs="楷体_GB2312"/>
      <w:sz w:val="24"/>
      <w:szCs w:val="21"/>
    </w:rPr>
  </w:style>
  <w:style w:type="paragraph" w:customStyle="1" w:styleId="2258">
    <w:name w:val="正文文字首航缩2字"/>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259">
    <w:name w:val="Style97"/>
    <w:basedOn w:val="1"/>
    <w:semiHidden/>
    <w:qFormat/>
    <w:uiPriority w:val="0"/>
    <w:pPr>
      <w:adjustRightInd w:val="0"/>
      <w:snapToGrid w:val="0"/>
      <w:spacing w:line="360" w:lineRule="auto"/>
      <w:ind w:firstLine="200" w:firstLineChars="200"/>
      <w:jc w:val="center"/>
    </w:pPr>
    <w:rPr>
      <w:rFonts w:ascii="宋体"/>
      <w:sz w:val="24"/>
    </w:rPr>
  </w:style>
  <w:style w:type="paragraph" w:customStyle="1" w:styleId="2260">
    <w:name w:val="列表编号 41"/>
    <w:basedOn w:val="1"/>
    <w:semiHidden/>
    <w:qFormat/>
    <w:uiPriority w:val="0"/>
    <w:pPr>
      <w:tabs>
        <w:tab w:val="left" w:pos="720"/>
      </w:tabs>
      <w:adjustRightInd w:val="0"/>
      <w:snapToGrid w:val="0"/>
      <w:spacing w:line="360" w:lineRule="auto"/>
      <w:ind w:left="720" w:hanging="720" w:firstLineChars="200"/>
    </w:pPr>
    <w:rPr>
      <w:sz w:val="24"/>
    </w:rPr>
  </w:style>
  <w:style w:type="paragraph" w:customStyle="1" w:styleId="2261">
    <w:name w:val="样式 标题 3 + 宋体"/>
    <w:basedOn w:val="4"/>
    <w:semiHidden/>
    <w:qFormat/>
    <w:uiPriority w:val="0"/>
    <w:pPr>
      <w:spacing w:before="200" w:line="360" w:lineRule="auto"/>
    </w:pPr>
    <w:rPr>
      <w:rFonts w:ascii="宋体" w:hAnsi="宋体" w:cs="宋体"/>
      <w:b w:val="0"/>
      <w:color w:val="000000"/>
      <w:sz w:val="28"/>
      <w:szCs w:val="28"/>
    </w:rPr>
  </w:style>
  <w:style w:type="paragraph" w:customStyle="1" w:styleId="2262">
    <w:name w:val="Char Char Char1 Char Char Char Char"/>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263">
    <w:name w:val="封面落款"/>
    <w:basedOn w:val="1"/>
    <w:semiHidden/>
    <w:qFormat/>
    <w:uiPriority w:val="0"/>
    <w:pPr>
      <w:tabs>
        <w:tab w:val="left" w:pos="1134"/>
        <w:tab w:val="right" w:pos="7371"/>
      </w:tabs>
      <w:overflowPunct w:val="0"/>
      <w:adjustRightInd w:val="0"/>
      <w:snapToGrid w:val="0"/>
      <w:spacing w:line="360" w:lineRule="auto"/>
      <w:ind w:firstLine="200" w:firstLineChars="200"/>
      <w:jc w:val="center"/>
      <w:textAlignment w:val="baseline"/>
    </w:pPr>
    <w:rPr>
      <w:rFonts w:ascii="宋体" w:hAnsi="宋体" w:eastAsia="黑体" w:cs="宋体"/>
      <w:color w:val="0000FF"/>
      <w:spacing w:val="20"/>
      <w:sz w:val="44"/>
    </w:rPr>
  </w:style>
  <w:style w:type="paragraph" w:customStyle="1" w:styleId="2264">
    <w:name w:val="日期5"/>
    <w:basedOn w:val="1"/>
    <w:next w:val="1"/>
    <w:semiHidden/>
    <w:qFormat/>
    <w:uiPriority w:val="0"/>
    <w:pPr>
      <w:overflowPunct w:val="0"/>
      <w:adjustRightInd w:val="0"/>
      <w:snapToGrid w:val="0"/>
      <w:spacing w:line="360" w:lineRule="auto"/>
      <w:ind w:firstLine="560" w:firstLineChars="200"/>
    </w:pPr>
    <w:rPr>
      <w:rFonts w:ascii="仿宋_GB2312"/>
      <w:sz w:val="28"/>
    </w:rPr>
  </w:style>
  <w:style w:type="paragraph" w:customStyle="1" w:styleId="2265">
    <w:name w:val="样式66"/>
    <w:basedOn w:val="1"/>
    <w:semiHidden/>
    <w:qFormat/>
    <w:uiPriority w:val="0"/>
    <w:pPr>
      <w:adjustRightInd w:val="0"/>
      <w:snapToGrid w:val="0"/>
      <w:spacing w:line="360" w:lineRule="auto"/>
      <w:ind w:firstLine="560" w:firstLineChars="200"/>
    </w:pPr>
    <w:rPr>
      <w:rFonts w:ascii="宋体" w:hAnsi="宋体" w:cs="宋体"/>
      <w:sz w:val="28"/>
    </w:rPr>
  </w:style>
  <w:style w:type="paragraph" w:customStyle="1" w:styleId="2266">
    <w:name w:val="样式 样式 标题 2 + 首行缩进： 0磅 + + 段前: 0.1 行 段后: 0.1 行"/>
    <w:basedOn w:val="1"/>
    <w:semiHidden/>
    <w:qFormat/>
    <w:uiPriority w:val="0"/>
    <w:pPr>
      <w:keepNext/>
      <w:keepLines/>
      <w:tabs>
        <w:tab w:val="left" w:pos="8140"/>
      </w:tabs>
      <w:adjustRightInd w:val="0"/>
      <w:snapToGrid w:val="0"/>
      <w:spacing w:beforeLines="10" w:afterLines="10" w:line="560" w:lineRule="exact"/>
      <w:ind w:firstLine="200" w:firstLineChars="200"/>
      <w:outlineLvl w:val="1"/>
    </w:pPr>
    <w:rPr>
      <w:rFonts w:ascii="宋体" w:hAnsi="宋体" w:eastAsia="黑体" w:cs="宋体"/>
      <w:color w:val="000000"/>
      <w:sz w:val="30"/>
    </w:rPr>
  </w:style>
  <w:style w:type="paragraph" w:customStyle="1" w:styleId="2267">
    <w:name w:val="环评报告书"/>
    <w:basedOn w:val="5"/>
    <w:semiHidden/>
    <w:qFormat/>
    <w:uiPriority w:val="0"/>
    <w:pPr>
      <w:numPr>
        <w:ilvl w:val="0"/>
        <w:numId w:val="0"/>
      </w:numPr>
      <w:tabs>
        <w:tab w:val="left" w:pos="840"/>
        <w:tab w:val="left" w:pos="1080"/>
      </w:tabs>
      <w:adjustRightInd w:val="0"/>
      <w:ind w:left="561" w:hanging="561"/>
      <w:textAlignment w:val="baseline"/>
      <w:outlineLvl w:val="9"/>
    </w:pPr>
    <w:rPr>
      <w:rFonts w:eastAsia="长城楷体" w:cs="宋体"/>
      <w:b w:val="0"/>
      <w:bCs w:val="0"/>
      <w:kern w:val="2"/>
      <w:sz w:val="28"/>
      <w:szCs w:val="20"/>
    </w:rPr>
  </w:style>
  <w:style w:type="paragraph" w:customStyle="1" w:styleId="2268">
    <w:name w:val="Char Char Char2 Char Char Char Char Char Char Char Char Char Char3"/>
    <w:basedOn w:val="1"/>
    <w:semiHidden/>
    <w:qFormat/>
    <w:uiPriority w:val="0"/>
    <w:pPr>
      <w:adjustRightInd w:val="0"/>
      <w:snapToGrid w:val="0"/>
      <w:spacing w:line="360" w:lineRule="auto"/>
      <w:ind w:firstLine="200" w:firstLineChars="200"/>
    </w:pPr>
    <w:rPr>
      <w:sz w:val="24"/>
      <w:szCs w:val="24"/>
    </w:rPr>
  </w:style>
  <w:style w:type="paragraph" w:customStyle="1" w:styleId="2269">
    <w:name w:val="标题 2 + 首行缩进： 0磅"/>
    <w:basedOn w:val="2024"/>
    <w:semiHidden/>
    <w:qFormat/>
    <w:uiPriority w:val="0"/>
  </w:style>
  <w:style w:type="paragraph" w:customStyle="1" w:styleId="2270">
    <w:name w:val="样式 标题 3 + 黑色"/>
    <w:basedOn w:val="4"/>
    <w:semiHidden/>
    <w:qFormat/>
    <w:uiPriority w:val="0"/>
    <w:pPr>
      <w:spacing w:before="100" w:after="100"/>
    </w:pPr>
    <w:rPr>
      <w:rFonts w:ascii="宋体" w:hAnsi="宋体" w:cs="宋体"/>
      <w:color w:val="000000"/>
      <w:sz w:val="24"/>
      <w:szCs w:val="24"/>
    </w:rPr>
  </w:style>
  <w:style w:type="paragraph" w:customStyle="1" w:styleId="2271">
    <w:name w:val="表格内容005"/>
    <w:basedOn w:val="1"/>
    <w:semiHidden/>
    <w:qFormat/>
    <w:uiPriority w:val="0"/>
    <w:pPr>
      <w:tabs>
        <w:tab w:val="left" w:pos="3700"/>
      </w:tabs>
      <w:adjustRightInd w:val="0"/>
      <w:snapToGrid w:val="0"/>
      <w:spacing w:line="360" w:lineRule="auto"/>
      <w:ind w:firstLine="200" w:firstLineChars="200"/>
      <w:jc w:val="center"/>
    </w:pPr>
    <w:rPr>
      <w:rFonts w:ascii="宋体" w:hAnsi="Bodoni PosterCompressed" w:eastAsia="楷体_GB2312"/>
      <w:color w:val="000000"/>
      <w:sz w:val="24"/>
    </w:rPr>
  </w:style>
  <w:style w:type="paragraph" w:customStyle="1" w:styleId="2272">
    <w:name w:val="右5"/>
    <w:basedOn w:val="1"/>
    <w:semiHidden/>
    <w:qFormat/>
    <w:uiPriority w:val="0"/>
    <w:pPr>
      <w:adjustRightInd w:val="0"/>
      <w:snapToGrid w:val="0"/>
      <w:spacing w:line="360" w:lineRule="auto"/>
      <w:ind w:left="42" w:firstLine="200" w:firstLineChars="200"/>
      <w:jc w:val="right"/>
    </w:pPr>
    <w:rPr>
      <w:rFonts w:ascii="宋体" w:hAnsi="宋体" w:cs="宋体"/>
      <w:color w:val="000080"/>
      <w:kern w:val="28"/>
      <w:sz w:val="18"/>
      <w:szCs w:val="18"/>
    </w:rPr>
  </w:style>
  <w:style w:type="paragraph" w:customStyle="1" w:styleId="2273">
    <w:name w:val="文 本"/>
    <w:basedOn w:val="1649"/>
    <w:semiHidden/>
    <w:qFormat/>
    <w:uiPriority w:val="0"/>
    <w:pPr>
      <w:widowControl w:val="0"/>
      <w:adjustRightInd w:val="0"/>
      <w:snapToGrid w:val="0"/>
      <w:spacing w:line="360" w:lineRule="auto"/>
      <w:ind w:firstLine="480" w:firstLineChars="200"/>
    </w:pPr>
    <w:rPr>
      <w:rFonts w:cs="宋体"/>
      <w:sz w:val="24"/>
      <w:szCs w:val="20"/>
    </w:rPr>
  </w:style>
  <w:style w:type="paragraph" w:customStyle="1" w:styleId="2274">
    <w:name w:val="默认段落字体 Para Char1"/>
    <w:basedOn w:val="1"/>
    <w:next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275">
    <w:name w:val="HD1"/>
    <w:basedOn w:val="2"/>
    <w:semiHidden/>
    <w:qFormat/>
    <w:uiPriority w:val="0"/>
    <w:pPr>
      <w:spacing w:before="240" w:after="240" w:line="480" w:lineRule="exact"/>
    </w:pPr>
    <w:rPr>
      <w:rFonts w:ascii="宋体" w:hAnsi="宋体" w:cs="宋体"/>
      <w:b w:val="0"/>
      <w:sz w:val="32"/>
      <w:szCs w:val="20"/>
    </w:rPr>
  </w:style>
  <w:style w:type="paragraph" w:customStyle="1" w:styleId="2276">
    <w:name w:val="样式 样式 标题 1标题1章节H1一、h11st levelSection Headl1H11H12第A章第*...2 + 加粗..."/>
    <w:basedOn w:val="1"/>
    <w:semiHidden/>
    <w:qFormat/>
    <w:uiPriority w:val="0"/>
    <w:pPr>
      <w:keepNext/>
      <w:keepLines/>
      <w:adjustRightInd w:val="0"/>
      <w:snapToGrid w:val="0"/>
      <w:spacing w:before="240" w:after="240" w:line="520" w:lineRule="exact"/>
      <w:ind w:firstLine="200" w:firstLineChars="200"/>
      <w:outlineLvl w:val="0"/>
    </w:pPr>
    <w:rPr>
      <w:rFonts w:ascii="宋体" w:hAnsi="宋体" w:eastAsia="黑体" w:cs="宋体"/>
      <w:b/>
      <w:bCs/>
      <w:color w:val="000000"/>
      <w:sz w:val="32"/>
    </w:rPr>
  </w:style>
  <w:style w:type="paragraph" w:customStyle="1" w:styleId="2277">
    <w:name w:val="Char Char 字元 字元 字元 Char Char Char Char"/>
    <w:basedOn w:val="1"/>
    <w:semiHidden/>
    <w:qFormat/>
    <w:uiPriority w:val="0"/>
    <w:pPr>
      <w:adjustRightInd w:val="0"/>
      <w:snapToGrid w:val="0"/>
      <w:spacing w:line="360" w:lineRule="auto"/>
      <w:ind w:firstLine="200" w:firstLineChars="200"/>
    </w:pPr>
    <w:rPr>
      <w:rFonts w:ascii="宋体" w:hAnsi="宋体" w:cs="宋体"/>
      <w:sz w:val="24"/>
    </w:rPr>
  </w:style>
  <w:style w:type="paragraph" w:customStyle="1" w:styleId="2278">
    <w:name w:val="Style51"/>
    <w:basedOn w:val="1"/>
    <w:semiHidden/>
    <w:qFormat/>
    <w:uiPriority w:val="0"/>
    <w:pPr>
      <w:adjustRightInd w:val="0"/>
      <w:snapToGrid w:val="0"/>
      <w:spacing w:line="360" w:lineRule="auto"/>
      <w:ind w:firstLine="200" w:firstLineChars="200"/>
    </w:pPr>
    <w:rPr>
      <w:rFonts w:ascii="宋体"/>
      <w:sz w:val="24"/>
    </w:rPr>
  </w:style>
  <w:style w:type="paragraph" w:customStyle="1" w:styleId="2279">
    <w:name w:val="Char5"/>
    <w:basedOn w:val="1"/>
    <w:next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280">
    <w:name w:val="（1）"/>
    <w:basedOn w:val="2131"/>
    <w:semiHidden/>
    <w:qFormat/>
    <w:uiPriority w:val="0"/>
  </w:style>
  <w:style w:type="paragraph" w:customStyle="1" w:styleId="2281">
    <w:name w:val="Char Char Char Char Char"/>
    <w:basedOn w:val="1"/>
    <w:semiHidden/>
    <w:qFormat/>
    <w:uiPriority w:val="0"/>
    <w:pPr>
      <w:adjustRightInd w:val="0"/>
      <w:snapToGrid w:val="0"/>
      <w:spacing w:line="360" w:lineRule="auto"/>
      <w:ind w:firstLine="200" w:firstLineChars="200"/>
    </w:pPr>
    <w:rPr>
      <w:sz w:val="24"/>
    </w:rPr>
  </w:style>
  <w:style w:type="paragraph" w:customStyle="1" w:styleId="2282">
    <w:name w:val="表内5中4"/>
    <w:basedOn w:val="1"/>
    <w:semiHidden/>
    <w:qFormat/>
    <w:uiPriority w:val="0"/>
    <w:pPr>
      <w:adjustRightInd w:val="0"/>
      <w:snapToGrid w:val="0"/>
      <w:spacing w:line="360" w:lineRule="auto"/>
      <w:ind w:firstLine="200" w:firstLineChars="200"/>
      <w:jc w:val="center"/>
    </w:pPr>
    <w:rPr>
      <w:rFonts w:ascii="宋体"/>
      <w:bCs/>
      <w:sz w:val="24"/>
    </w:rPr>
  </w:style>
  <w:style w:type="paragraph" w:customStyle="1" w:styleId="2283">
    <w:name w:val="777777777 Char Char Char Char"/>
    <w:basedOn w:val="1"/>
    <w:semiHidden/>
    <w:qFormat/>
    <w:uiPriority w:val="0"/>
    <w:pPr>
      <w:adjustRightInd w:val="0"/>
      <w:snapToGrid w:val="0"/>
      <w:spacing w:line="400" w:lineRule="exact"/>
      <w:ind w:firstLine="560" w:firstLineChars="200"/>
    </w:pPr>
    <w:rPr>
      <w:rFonts w:ascii="宋体" w:hAnsi="宋体" w:cs="宋体"/>
      <w:sz w:val="28"/>
    </w:rPr>
  </w:style>
  <w:style w:type="paragraph" w:customStyle="1" w:styleId="2284">
    <w:name w:val="样式 宋体 首行缩进:  2 字符"/>
    <w:basedOn w:val="1"/>
    <w:semiHidden/>
    <w:qFormat/>
    <w:uiPriority w:val="0"/>
    <w:pPr>
      <w:adjustRightInd w:val="0"/>
      <w:snapToGrid w:val="0"/>
      <w:spacing w:line="360" w:lineRule="auto"/>
      <w:ind w:firstLine="200" w:firstLineChars="200"/>
    </w:pPr>
    <w:rPr>
      <w:rFonts w:ascii="宋体" w:hAnsi="宋体" w:cs="宋体"/>
      <w:sz w:val="24"/>
    </w:rPr>
  </w:style>
  <w:style w:type="paragraph" w:customStyle="1" w:styleId="2285">
    <w:name w:val="批注主题1"/>
    <w:basedOn w:val="24"/>
    <w:next w:val="24"/>
    <w:semiHidden/>
    <w:qFormat/>
    <w:uiPriority w:val="0"/>
    <w:rPr>
      <w:b/>
      <w:bCs/>
      <w:szCs w:val="24"/>
    </w:rPr>
  </w:style>
  <w:style w:type="paragraph" w:customStyle="1" w:styleId="2286">
    <w:name w:val="样式 样式 标题 3 + 首行缩进:  2 字符 + 首行缩进:  0.35 厘米 行距: 固定值 28 磅"/>
    <w:basedOn w:val="1"/>
    <w:semiHidden/>
    <w:qFormat/>
    <w:uiPriority w:val="0"/>
    <w:pPr>
      <w:keepNext/>
      <w:keepLines/>
      <w:adjustRightInd w:val="0"/>
      <w:snapToGrid w:val="0"/>
      <w:spacing w:line="560" w:lineRule="exact"/>
      <w:ind w:firstLine="200" w:firstLineChars="200"/>
      <w:outlineLvl w:val="2"/>
    </w:pPr>
    <w:rPr>
      <w:rFonts w:ascii="宋体" w:hAnsi="宋体" w:cs="宋体"/>
      <w:b/>
      <w:bCs/>
      <w:sz w:val="28"/>
      <w:szCs w:val="28"/>
    </w:rPr>
  </w:style>
  <w:style w:type="paragraph" w:customStyle="1" w:styleId="2287">
    <w:name w:val="样式 宋体 居中"/>
    <w:basedOn w:val="1"/>
    <w:semiHidden/>
    <w:qFormat/>
    <w:uiPriority w:val="0"/>
    <w:pPr>
      <w:adjustRightInd w:val="0"/>
      <w:snapToGrid w:val="0"/>
      <w:spacing w:line="360" w:lineRule="auto"/>
      <w:ind w:firstLine="200" w:firstLineChars="200"/>
      <w:jc w:val="center"/>
    </w:pPr>
    <w:rPr>
      <w:rFonts w:ascii="宋体" w:hAnsi="宋体" w:eastAsia="楷体_GB2312" w:cs="宋体"/>
      <w:sz w:val="24"/>
    </w:rPr>
  </w:style>
  <w:style w:type="paragraph" w:customStyle="1" w:styleId="2288">
    <w:name w:val="Char Char Char Char Char1"/>
    <w:basedOn w:val="1"/>
    <w:semiHidden/>
    <w:qFormat/>
    <w:uiPriority w:val="0"/>
    <w:pPr>
      <w:adjustRightInd w:val="0"/>
      <w:snapToGrid w:val="0"/>
      <w:spacing w:line="360" w:lineRule="auto"/>
      <w:ind w:firstLine="200" w:firstLineChars="200"/>
    </w:pPr>
    <w:rPr>
      <w:sz w:val="24"/>
    </w:rPr>
  </w:style>
  <w:style w:type="paragraph" w:customStyle="1" w:styleId="2289">
    <w:name w:val="Char Char1 Char Char Char Char Char Char Char Char Char Char Char Char Char Char Char Char Char Char Char Char1 Char1"/>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290">
    <w:name w:val="悬挂式正文"/>
    <w:basedOn w:val="1"/>
    <w:semiHidden/>
    <w:qFormat/>
    <w:uiPriority w:val="0"/>
    <w:pPr>
      <w:tabs>
        <w:tab w:val="left" w:pos="1134"/>
        <w:tab w:val="right" w:pos="7371"/>
      </w:tabs>
      <w:overflowPunct w:val="0"/>
      <w:adjustRightInd w:val="0"/>
      <w:snapToGrid w:val="0"/>
      <w:spacing w:line="360" w:lineRule="auto"/>
      <w:ind w:left="1701" w:hanging="1134" w:firstLineChars="200"/>
      <w:textAlignment w:val="baseline"/>
    </w:pPr>
    <w:rPr>
      <w:rFonts w:ascii="宋体" w:hAnsi="宋体" w:cs="宋体"/>
      <w:sz w:val="28"/>
    </w:rPr>
  </w:style>
  <w:style w:type="paragraph" w:customStyle="1" w:styleId="2291">
    <w:name w:val="列表接续 41"/>
    <w:basedOn w:val="1"/>
    <w:semiHidden/>
    <w:qFormat/>
    <w:uiPriority w:val="0"/>
    <w:pPr>
      <w:adjustRightInd w:val="0"/>
      <w:snapToGrid w:val="0"/>
      <w:spacing w:after="120" w:line="360" w:lineRule="auto"/>
      <w:ind w:left="1680" w:leftChars="800" w:firstLine="200" w:firstLineChars="200"/>
    </w:pPr>
    <w:rPr>
      <w:sz w:val="24"/>
      <w:szCs w:val="24"/>
    </w:rPr>
  </w:style>
  <w:style w:type="paragraph" w:customStyle="1" w:styleId="2292">
    <w:name w:val="Style82"/>
    <w:basedOn w:val="1"/>
    <w:semiHidden/>
    <w:qFormat/>
    <w:uiPriority w:val="0"/>
    <w:pPr>
      <w:adjustRightInd w:val="0"/>
      <w:snapToGrid w:val="0"/>
      <w:spacing w:line="360" w:lineRule="auto"/>
      <w:ind w:firstLine="200" w:firstLineChars="200"/>
    </w:pPr>
    <w:rPr>
      <w:rFonts w:ascii="宋体"/>
      <w:sz w:val="24"/>
    </w:rPr>
  </w:style>
  <w:style w:type="paragraph" w:customStyle="1" w:styleId="2293">
    <w:name w:val="图表目录1"/>
    <w:basedOn w:val="1"/>
    <w:next w:val="1"/>
    <w:semiHidden/>
    <w:qFormat/>
    <w:uiPriority w:val="0"/>
    <w:pPr>
      <w:adjustRightInd w:val="0"/>
      <w:snapToGrid w:val="0"/>
      <w:spacing w:before="120" w:line="240" w:lineRule="atLeast"/>
      <w:jc w:val="center"/>
    </w:pPr>
    <w:rPr>
      <w:b/>
      <w:sz w:val="24"/>
    </w:rPr>
  </w:style>
  <w:style w:type="paragraph" w:customStyle="1" w:styleId="2294">
    <w:name w:val="TOC 标题2"/>
    <w:basedOn w:val="2"/>
    <w:next w:val="1"/>
    <w:semiHidden/>
    <w:qFormat/>
    <w:uiPriority w:val="39"/>
    <w:pPr>
      <w:spacing w:before="480" w:after="0" w:line="276" w:lineRule="auto"/>
      <w:jc w:val="left"/>
      <w:outlineLvl w:val="9"/>
    </w:pPr>
    <w:rPr>
      <w:rFonts w:ascii="Cambria" w:hAnsi="Cambria"/>
      <w:color w:val="365F91"/>
      <w:sz w:val="28"/>
      <w:szCs w:val="28"/>
    </w:rPr>
  </w:style>
  <w:style w:type="paragraph" w:customStyle="1" w:styleId="2295">
    <w:name w:val="项目点符号"/>
    <w:basedOn w:val="1"/>
    <w:semiHidden/>
    <w:qFormat/>
    <w:uiPriority w:val="0"/>
    <w:pPr>
      <w:adjustRightInd w:val="0"/>
      <w:snapToGrid w:val="0"/>
      <w:spacing w:line="360" w:lineRule="exact"/>
      <w:ind w:firstLine="200" w:firstLineChars="200"/>
      <w:jc w:val="center"/>
    </w:pPr>
    <w:rPr>
      <w:bCs/>
      <w:spacing w:val="-10"/>
      <w:sz w:val="24"/>
      <w:szCs w:val="21"/>
    </w:rPr>
  </w:style>
  <w:style w:type="paragraph" w:customStyle="1" w:styleId="2296">
    <w:name w:val="Style102"/>
    <w:basedOn w:val="1"/>
    <w:semiHidden/>
    <w:qFormat/>
    <w:uiPriority w:val="0"/>
    <w:pPr>
      <w:adjustRightInd w:val="0"/>
      <w:snapToGrid w:val="0"/>
      <w:spacing w:line="466" w:lineRule="exact"/>
      <w:ind w:firstLine="200" w:firstLineChars="200"/>
      <w:jc w:val="center"/>
    </w:pPr>
    <w:rPr>
      <w:rFonts w:ascii="宋体"/>
      <w:sz w:val="24"/>
    </w:rPr>
  </w:style>
  <w:style w:type="paragraph" w:customStyle="1" w:styleId="2297">
    <w:name w:val="Char Char Char Char Char Char Char Char Char Char Char Char11"/>
    <w:basedOn w:val="1"/>
    <w:next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2298">
    <w:name w:val="正文文本缩进 221"/>
    <w:basedOn w:val="1"/>
    <w:semiHidden/>
    <w:qFormat/>
    <w:uiPriority w:val="0"/>
    <w:pPr>
      <w:adjustRightInd w:val="0"/>
      <w:snapToGrid w:val="0"/>
      <w:spacing w:line="360" w:lineRule="atLeast"/>
      <w:ind w:firstLine="425" w:firstLineChars="200"/>
      <w:textAlignment w:val="baseline"/>
    </w:pPr>
    <w:rPr>
      <w:rFonts w:ascii="宋体" w:hAnsi="宋体" w:cs="宋体"/>
      <w:spacing w:val="20"/>
      <w:sz w:val="24"/>
    </w:rPr>
  </w:style>
  <w:style w:type="paragraph" w:customStyle="1" w:styleId="2299">
    <w:name w:val="样式 (西文) 楷体_GB2312 (中文) 楷体_GB2312 (符号) Arial 四号 黑色 首行缩进:  2 ..."/>
    <w:basedOn w:val="1"/>
    <w:semiHidden/>
    <w:qFormat/>
    <w:uiPriority w:val="0"/>
    <w:pPr>
      <w:adjustRightInd w:val="0"/>
      <w:snapToGrid w:val="0"/>
      <w:spacing w:line="360" w:lineRule="auto"/>
      <w:ind w:firstLine="560" w:firstLineChars="200"/>
    </w:pPr>
    <w:rPr>
      <w:rFonts w:ascii="Arial" w:hAnsi="Arial" w:eastAsia="楷体_GB2312" w:cs="宋体"/>
      <w:color w:val="000000"/>
      <w:sz w:val="28"/>
      <w:szCs w:val="28"/>
    </w:rPr>
  </w:style>
  <w:style w:type="paragraph" w:customStyle="1" w:styleId="2300">
    <w:name w:val="标题一"/>
    <w:basedOn w:val="3"/>
    <w:semiHidden/>
    <w:qFormat/>
    <w:uiPriority w:val="0"/>
    <w:pPr>
      <w:widowControl w:val="0"/>
      <w:spacing w:line="480" w:lineRule="exact"/>
      <w:jc w:val="center"/>
      <w:outlineLvl w:val="0"/>
    </w:pPr>
    <w:rPr>
      <w:rFonts w:ascii="楷体_GB2312" w:eastAsia="楷体_GB2312"/>
      <w:snapToGrid w:val="0"/>
      <w:sz w:val="30"/>
    </w:rPr>
  </w:style>
  <w:style w:type="paragraph" w:customStyle="1" w:styleId="2301">
    <w:name w:val="Char Char24"/>
    <w:basedOn w:val="1"/>
    <w:semiHidden/>
    <w:qFormat/>
    <w:uiPriority w:val="0"/>
    <w:pPr>
      <w:adjustRightInd w:val="0"/>
      <w:snapToGrid w:val="0"/>
      <w:spacing w:line="360" w:lineRule="auto"/>
      <w:ind w:firstLine="200" w:firstLineChars="200"/>
    </w:pPr>
    <w:rPr>
      <w:sz w:val="24"/>
      <w:szCs w:val="24"/>
    </w:rPr>
  </w:style>
  <w:style w:type="paragraph" w:customStyle="1" w:styleId="2302">
    <w:name w:val="Style108"/>
    <w:basedOn w:val="1"/>
    <w:semiHidden/>
    <w:qFormat/>
    <w:uiPriority w:val="0"/>
    <w:pPr>
      <w:adjustRightInd w:val="0"/>
      <w:snapToGrid w:val="0"/>
      <w:spacing w:line="360" w:lineRule="auto"/>
      <w:ind w:firstLine="200" w:firstLineChars="200"/>
    </w:pPr>
    <w:rPr>
      <w:rFonts w:ascii="宋体"/>
      <w:sz w:val="24"/>
    </w:rPr>
  </w:style>
  <w:style w:type="paragraph" w:customStyle="1" w:styleId="2303">
    <w:name w:val="样式 宋体 四号 行距: 1.5 倍行距"/>
    <w:basedOn w:val="1"/>
    <w:semiHidden/>
    <w:qFormat/>
    <w:uiPriority w:val="0"/>
    <w:pPr>
      <w:adjustRightInd w:val="0"/>
      <w:snapToGrid w:val="0"/>
      <w:spacing w:line="360" w:lineRule="auto"/>
      <w:ind w:right="-169" w:firstLine="482" w:firstLineChars="200"/>
    </w:pPr>
    <w:rPr>
      <w:rFonts w:ascii="宋体" w:hAnsi="宋体" w:cs="宋体"/>
      <w:b/>
      <w:sz w:val="24"/>
    </w:rPr>
  </w:style>
  <w:style w:type="paragraph" w:customStyle="1" w:styleId="2304">
    <w:name w:val="HD3"/>
    <w:basedOn w:val="1"/>
    <w:semiHidden/>
    <w:qFormat/>
    <w:uiPriority w:val="0"/>
    <w:pPr>
      <w:keepNext/>
      <w:keepLines/>
      <w:adjustRightInd w:val="0"/>
      <w:snapToGrid w:val="0"/>
      <w:spacing w:before="120" w:after="120" w:line="480" w:lineRule="exact"/>
      <w:ind w:firstLine="200" w:firstLineChars="200"/>
      <w:outlineLvl w:val="4"/>
    </w:pPr>
    <w:rPr>
      <w:rFonts w:ascii="宋体" w:hAnsi="宋体" w:cs="宋体"/>
      <w:b/>
      <w:sz w:val="28"/>
    </w:rPr>
  </w:style>
  <w:style w:type="paragraph" w:customStyle="1" w:styleId="2305">
    <w:name w:val="样式55"/>
    <w:basedOn w:val="1"/>
    <w:semiHidden/>
    <w:qFormat/>
    <w:uiPriority w:val="0"/>
    <w:pPr>
      <w:adjustRightInd w:val="0"/>
      <w:snapToGrid w:val="0"/>
      <w:spacing w:line="360" w:lineRule="auto"/>
      <w:ind w:firstLine="562" w:firstLineChars="200"/>
    </w:pPr>
    <w:rPr>
      <w:rFonts w:ascii="宋体" w:hAnsi="宋体" w:cs="宋体"/>
      <w:b/>
      <w:sz w:val="28"/>
    </w:rPr>
  </w:style>
  <w:style w:type="paragraph" w:customStyle="1" w:styleId="2306">
    <w:name w:val="正文样式暗暗"/>
    <w:basedOn w:val="1"/>
    <w:semiHidden/>
    <w:qFormat/>
    <w:uiPriority w:val="0"/>
    <w:pPr>
      <w:adjustRightInd w:val="0"/>
      <w:snapToGrid w:val="0"/>
      <w:spacing w:line="360" w:lineRule="auto"/>
      <w:ind w:firstLine="420" w:firstLineChars="175"/>
    </w:pPr>
    <w:rPr>
      <w:rFonts w:ascii="宋体" w:hAnsi="宋体" w:cs="宋体"/>
      <w:sz w:val="24"/>
      <w:szCs w:val="24"/>
    </w:rPr>
  </w:style>
  <w:style w:type="paragraph" w:customStyle="1" w:styleId="2307">
    <w:name w:val="(a)"/>
    <w:basedOn w:val="2131"/>
    <w:semiHidden/>
    <w:qFormat/>
    <w:uiPriority w:val="0"/>
  </w:style>
  <w:style w:type="paragraph" w:customStyle="1" w:styleId="2308">
    <w:name w:val="正文样式2"/>
    <w:basedOn w:val="1"/>
    <w:next w:val="366"/>
    <w:semiHidden/>
    <w:qFormat/>
    <w:uiPriority w:val="0"/>
    <w:pPr>
      <w:keepNext/>
      <w:adjustRightInd w:val="0"/>
      <w:snapToGrid w:val="0"/>
      <w:spacing w:line="480" w:lineRule="atLeast"/>
      <w:ind w:firstLine="567" w:firstLineChars="200"/>
      <w:textAlignment w:val="baseline"/>
    </w:pPr>
    <w:rPr>
      <w:rFonts w:ascii="黑体" w:hAnsi="宋体" w:eastAsia="黑体" w:cs="宋体"/>
      <w:sz w:val="28"/>
    </w:rPr>
  </w:style>
  <w:style w:type="paragraph" w:customStyle="1" w:styleId="2309">
    <w:name w:val="表格中"/>
    <w:basedOn w:val="1"/>
    <w:semiHidden/>
    <w:qFormat/>
    <w:uiPriority w:val="0"/>
    <w:pPr>
      <w:adjustRightInd w:val="0"/>
      <w:snapToGrid w:val="0"/>
      <w:spacing w:line="280" w:lineRule="exact"/>
      <w:ind w:firstLine="200" w:firstLineChars="200"/>
      <w:jc w:val="center"/>
    </w:pPr>
    <w:rPr>
      <w:rFonts w:ascii="宋体" w:hAnsi="宋体" w:cs="宋体"/>
      <w:sz w:val="18"/>
    </w:rPr>
  </w:style>
  <w:style w:type="paragraph" w:customStyle="1" w:styleId="2310">
    <w:name w:val="节的样式"/>
    <w:basedOn w:val="1"/>
    <w:semiHidden/>
    <w:qFormat/>
    <w:uiPriority w:val="0"/>
    <w:pPr>
      <w:adjustRightInd w:val="0"/>
      <w:snapToGrid w:val="0"/>
      <w:spacing w:line="360" w:lineRule="auto"/>
      <w:ind w:firstLine="560" w:firstLineChars="200"/>
      <w:jc w:val="center"/>
    </w:pPr>
    <w:rPr>
      <w:rFonts w:ascii="宋体" w:hAnsi="宋体" w:cs="宋体"/>
      <w:sz w:val="28"/>
    </w:rPr>
  </w:style>
  <w:style w:type="paragraph" w:customStyle="1" w:styleId="2311">
    <w:name w:val="样式 标题 4 + (西文) Times New Roman (中文) 楷体_GB2312 非加粗 黑色 首行缩进:  ..."/>
    <w:basedOn w:val="5"/>
    <w:semiHidden/>
    <w:qFormat/>
    <w:uiPriority w:val="0"/>
    <w:pPr>
      <w:numPr>
        <w:ilvl w:val="0"/>
        <w:numId w:val="0"/>
      </w:numPr>
      <w:spacing w:beforeLines="50" w:afterLines="50"/>
      <w:outlineLvl w:val="9"/>
    </w:pPr>
    <w:rPr>
      <w:rFonts w:cs="宋体"/>
      <w:kern w:val="2"/>
      <w:szCs w:val="20"/>
    </w:rPr>
  </w:style>
  <w:style w:type="paragraph" w:customStyle="1" w:styleId="2312">
    <w:name w:val="普通(网站)11"/>
    <w:basedOn w:val="1"/>
    <w:semiHidden/>
    <w:qFormat/>
    <w:uiPriority w:val="0"/>
    <w:pPr>
      <w:adjustRightInd w:val="0"/>
      <w:snapToGrid w:val="0"/>
      <w:spacing w:before="100" w:beforeAutospacing="1" w:after="100" w:afterAutospacing="1" w:line="360" w:lineRule="auto"/>
      <w:ind w:firstLine="200" w:firstLineChars="200"/>
    </w:pPr>
    <w:rPr>
      <w:rFonts w:hint="eastAsia"/>
      <w:sz w:val="24"/>
    </w:rPr>
  </w:style>
  <w:style w:type="paragraph" w:customStyle="1" w:styleId="2313">
    <w:name w:val="列表 51"/>
    <w:basedOn w:val="1"/>
    <w:semiHidden/>
    <w:qFormat/>
    <w:uiPriority w:val="0"/>
    <w:pPr>
      <w:adjustRightInd w:val="0"/>
      <w:snapToGrid w:val="0"/>
      <w:spacing w:line="360" w:lineRule="auto"/>
      <w:ind w:left="100" w:leftChars="800" w:hanging="200" w:hangingChars="200"/>
    </w:pPr>
    <w:rPr>
      <w:sz w:val="24"/>
      <w:szCs w:val="24"/>
    </w:rPr>
  </w:style>
  <w:style w:type="paragraph" w:customStyle="1" w:styleId="2314">
    <w:name w:val="电子邮件签名1"/>
    <w:basedOn w:val="1"/>
    <w:semiHidden/>
    <w:qFormat/>
    <w:uiPriority w:val="0"/>
    <w:pPr>
      <w:adjustRightInd w:val="0"/>
      <w:snapToGrid w:val="0"/>
      <w:spacing w:line="360" w:lineRule="auto"/>
      <w:ind w:firstLine="200" w:firstLineChars="200"/>
    </w:pPr>
    <w:rPr>
      <w:sz w:val="24"/>
      <w:szCs w:val="24"/>
    </w:rPr>
  </w:style>
  <w:style w:type="paragraph" w:customStyle="1" w:styleId="2315">
    <w:name w:val="TOC 标题11"/>
    <w:basedOn w:val="2"/>
    <w:next w:val="1"/>
    <w:semiHidden/>
    <w:qFormat/>
    <w:uiPriority w:val="39"/>
    <w:pPr>
      <w:spacing w:before="480" w:after="0" w:line="276" w:lineRule="auto"/>
      <w:outlineLvl w:val="9"/>
    </w:pPr>
    <w:rPr>
      <w:rFonts w:ascii="Cambria" w:hAnsi="Cambria"/>
      <w:color w:val="365F91"/>
      <w:sz w:val="28"/>
      <w:szCs w:val="28"/>
    </w:rPr>
  </w:style>
  <w:style w:type="paragraph" w:customStyle="1" w:styleId="2316">
    <w:name w:val="标2"/>
    <w:basedOn w:val="3"/>
    <w:next w:val="852"/>
    <w:semiHidden/>
    <w:qFormat/>
    <w:uiPriority w:val="0"/>
    <w:pPr>
      <w:tabs>
        <w:tab w:val="left" w:pos="315"/>
        <w:tab w:val="left" w:pos="1134"/>
        <w:tab w:val="left" w:pos="1400"/>
        <w:tab w:val="center" w:pos="6804"/>
        <w:tab w:val="right" w:pos="7371"/>
      </w:tabs>
      <w:overflowPunct w:val="0"/>
      <w:adjustRightInd w:val="0"/>
      <w:spacing w:line="500" w:lineRule="exact"/>
      <w:ind w:left="1400" w:hanging="420"/>
      <w:textAlignment w:val="baseline"/>
    </w:pPr>
    <w:rPr>
      <w:rFonts w:ascii="Arial" w:hAnsi="Arial" w:cs="宋体"/>
      <w:b w:val="0"/>
      <w:color w:val="FF0000"/>
      <w:szCs w:val="20"/>
    </w:rPr>
  </w:style>
  <w:style w:type="paragraph" w:customStyle="1" w:styleId="2317">
    <w:name w:val="列表接续 31"/>
    <w:basedOn w:val="1"/>
    <w:semiHidden/>
    <w:qFormat/>
    <w:uiPriority w:val="0"/>
    <w:pPr>
      <w:adjustRightInd w:val="0"/>
      <w:snapToGrid w:val="0"/>
      <w:spacing w:after="120" w:line="360" w:lineRule="auto"/>
      <w:ind w:left="1260" w:leftChars="600" w:firstLine="200" w:firstLineChars="200"/>
    </w:pPr>
    <w:rPr>
      <w:sz w:val="24"/>
      <w:szCs w:val="24"/>
    </w:rPr>
  </w:style>
  <w:style w:type="paragraph" w:customStyle="1" w:styleId="2318">
    <w:name w:val="样式 标题 1 + (中文) 黑体 四号 段前: 7.8 磅 段后: 7.8 磅 行距: 多倍行距 1.25 字行"/>
    <w:basedOn w:val="2"/>
    <w:semiHidden/>
    <w:qFormat/>
    <w:uiPriority w:val="0"/>
    <w:pPr>
      <w:spacing w:line="480" w:lineRule="auto"/>
      <w:ind w:firstLine="1800"/>
      <w:jc w:val="left"/>
    </w:pPr>
    <w:rPr>
      <w:rFonts w:ascii="宋体" w:hAnsi="宋体" w:cs="宋体"/>
      <w:color w:val="000000"/>
      <w:sz w:val="30"/>
      <w:szCs w:val="30"/>
    </w:rPr>
  </w:style>
  <w:style w:type="paragraph" w:customStyle="1" w:styleId="2319">
    <w:name w:val="dandan6-13正文"/>
    <w:basedOn w:val="1"/>
    <w:next w:val="1"/>
    <w:semiHidden/>
    <w:qFormat/>
    <w:uiPriority w:val="0"/>
    <w:pPr>
      <w:keepNext/>
      <w:keepLines/>
      <w:adjustRightInd w:val="0"/>
      <w:snapToGrid w:val="0"/>
      <w:spacing w:before="40" w:after="40" w:line="360" w:lineRule="auto"/>
      <w:ind w:firstLine="200" w:firstLineChars="200"/>
      <w:jc w:val="center"/>
      <w:textAlignment w:val="baseline"/>
    </w:pPr>
    <w:rPr>
      <w:rFonts w:cs="宋体"/>
      <w:sz w:val="24"/>
      <w:szCs w:val="28"/>
    </w:rPr>
  </w:style>
  <w:style w:type="paragraph" w:customStyle="1" w:styleId="2320">
    <w:name w:val="文档结构图2"/>
    <w:basedOn w:val="1"/>
    <w:semiHidden/>
    <w:qFormat/>
    <w:uiPriority w:val="0"/>
    <w:pPr>
      <w:shd w:val="clear" w:color="auto" w:fill="000080"/>
      <w:tabs>
        <w:tab w:val="left" w:pos="480"/>
        <w:tab w:val="left" w:pos="1680"/>
        <w:tab w:val="left" w:pos="3960"/>
        <w:tab w:val="left" w:pos="5400"/>
        <w:tab w:val="left" w:pos="6840"/>
      </w:tabs>
      <w:adjustRightInd w:val="0"/>
      <w:snapToGrid w:val="0"/>
      <w:spacing w:line="240" w:lineRule="atLeast"/>
      <w:ind w:firstLine="482" w:firstLineChars="200"/>
      <w:textAlignment w:val="baseline"/>
    </w:pPr>
    <w:rPr>
      <w:rFonts w:ascii="宋体" w:hAnsi="宋体" w:eastAsia="创艺简楷体" w:cs="宋体"/>
      <w:sz w:val="28"/>
    </w:rPr>
  </w:style>
  <w:style w:type="paragraph" w:customStyle="1" w:styleId="2321">
    <w:name w:val="11"/>
    <w:basedOn w:val="1"/>
    <w:next w:val="18"/>
    <w:semiHidden/>
    <w:qFormat/>
    <w:uiPriority w:val="0"/>
    <w:pPr>
      <w:adjustRightInd w:val="0"/>
      <w:snapToGrid w:val="0"/>
      <w:spacing w:line="360" w:lineRule="auto"/>
      <w:ind w:firstLine="420" w:firstLineChars="200"/>
    </w:pPr>
    <w:rPr>
      <w:rFonts w:ascii="宋体" w:hAnsi="宋体" w:cs="宋体"/>
      <w:sz w:val="28"/>
    </w:rPr>
  </w:style>
  <w:style w:type="paragraph" w:customStyle="1" w:styleId="2322">
    <w:name w:val="Style50"/>
    <w:basedOn w:val="1"/>
    <w:semiHidden/>
    <w:qFormat/>
    <w:uiPriority w:val="0"/>
    <w:pPr>
      <w:adjustRightInd w:val="0"/>
      <w:snapToGrid w:val="0"/>
      <w:spacing w:line="360" w:lineRule="auto"/>
      <w:ind w:firstLine="200" w:firstLineChars="200"/>
    </w:pPr>
    <w:rPr>
      <w:rFonts w:ascii="宋体"/>
      <w:sz w:val="24"/>
    </w:rPr>
  </w:style>
  <w:style w:type="paragraph" w:customStyle="1" w:styleId="2323">
    <w:name w:val="正文样式一"/>
    <w:basedOn w:val="1"/>
    <w:semiHidden/>
    <w:qFormat/>
    <w:uiPriority w:val="0"/>
    <w:pPr>
      <w:adjustRightInd w:val="0"/>
      <w:snapToGrid w:val="0"/>
      <w:spacing w:line="400" w:lineRule="atLeast"/>
      <w:ind w:firstLine="510" w:firstLineChars="200"/>
      <w:textAlignment w:val="baseline"/>
    </w:pPr>
    <w:rPr>
      <w:rFonts w:ascii="宋体" w:hAnsi="宋体" w:cs="宋体"/>
      <w:sz w:val="24"/>
    </w:rPr>
  </w:style>
  <w:style w:type="paragraph" w:customStyle="1" w:styleId="2324">
    <w:name w:val="标题7"/>
    <w:basedOn w:val="1"/>
    <w:semiHidden/>
    <w:qFormat/>
    <w:uiPriority w:val="0"/>
    <w:pPr>
      <w:adjustRightInd w:val="0"/>
      <w:snapToGrid w:val="0"/>
      <w:spacing w:line="360" w:lineRule="auto"/>
    </w:pPr>
    <w:rPr>
      <w:sz w:val="24"/>
      <w:szCs w:val="24"/>
    </w:rPr>
  </w:style>
  <w:style w:type="character" w:customStyle="1" w:styleId="2325">
    <w:name w:val="表格固有文字 Char"/>
    <w:basedOn w:val="109"/>
    <w:link w:val="2326"/>
    <w:semiHidden/>
    <w:qFormat/>
    <w:locked/>
    <w:uiPriority w:val="0"/>
    <w:rPr>
      <w:sz w:val="24"/>
      <w:szCs w:val="24"/>
    </w:rPr>
  </w:style>
  <w:style w:type="paragraph" w:customStyle="1" w:styleId="2326">
    <w:name w:val="表格固有文字"/>
    <w:basedOn w:val="1"/>
    <w:link w:val="2325"/>
    <w:semiHidden/>
    <w:qFormat/>
    <w:uiPriority w:val="0"/>
    <w:pPr>
      <w:adjustRightInd w:val="0"/>
      <w:snapToGrid w:val="0"/>
      <w:spacing w:line="360" w:lineRule="auto"/>
      <w:ind w:firstLine="200" w:firstLineChars="200"/>
      <w:jc w:val="center"/>
    </w:pPr>
    <w:rPr>
      <w:sz w:val="24"/>
      <w:szCs w:val="24"/>
    </w:rPr>
  </w:style>
  <w:style w:type="paragraph" w:customStyle="1" w:styleId="2327">
    <w:name w:val="正文啊"/>
    <w:basedOn w:val="1"/>
    <w:semiHidden/>
    <w:qFormat/>
    <w:uiPriority w:val="0"/>
    <w:pPr>
      <w:spacing w:line="360" w:lineRule="auto"/>
      <w:ind w:firstLine="200" w:firstLineChars="200"/>
    </w:pPr>
    <w:rPr>
      <w:rFonts w:ascii="宋体"/>
      <w:sz w:val="24"/>
    </w:rPr>
  </w:style>
  <w:style w:type="paragraph" w:customStyle="1" w:styleId="2328">
    <w:name w:val="Char Char Char Char Char Char Char Char Char8"/>
    <w:basedOn w:val="1"/>
    <w:semiHidden/>
    <w:qFormat/>
    <w:uiPriority w:val="0"/>
    <w:rPr>
      <w:szCs w:val="24"/>
    </w:rPr>
  </w:style>
  <w:style w:type="character" w:customStyle="1" w:styleId="2329">
    <w:name w:val="hps"/>
    <w:basedOn w:val="109"/>
    <w:semiHidden/>
    <w:qFormat/>
    <w:uiPriority w:val="99"/>
    <w:rPr>
      <w:rFonts w:cs="Times New Roman"/>
    </w:rPr>
  </w:style>
  <w:style w:type="paragraph" w:customStyle="1" w:styleId="2330">
    <w:name w:val="表注"/>
    <w:basedOn w:val="1"/>
    <w:link w:val="2350"/>
    <w:semiHidden/>
    <w:qFormat/>
    <w:uiPriority w:val="0"/>
    <w:pPr>
      <w:topLinePunct/>
      <w:adjustRightInd w:val="0"/>
      <w:spacing w:line="240" w:lineRule="exact"/>
    </w:pPr>
    <w:rPr>
      <w:rFonts w:eastAsia="仿宋"/>
      <w:color w:val="000000"/>
      <w:kern w:val="16"/>
      <w:sz w:val="16"/>
      <w:szCs w:val="16"/>
    </w:rPr>
  </w:style>
  <w:style w:type="paragraph" w:customStyle="1" w:styleId="2331">
    <w:name w:val="文献分类号"/>
    <w:basedOn w:val="1"/>
    <w:semiHidden/>
    <w:qFormat/>
    <w:uiPriority w:val="0"/>
    <w:pPr>
      <w:framePr w:hSpace="180" w:vSpace="180" w:wrap="around" w:vAnchor="margin" w:hAnchor="margin" w:y="1" w:anchorLock="1"/>
      <w:textAlignment w:val="center"/>
    </w:pPr>
    <w:rPr>
      <w:rFonts w:eastAsia="黑体"/>
    </w:rPr>
  </w:style>
  <w:style w:type="character" w:customStyle="1" w:styleId="2332">
    <w:name w:val="图注 Char"/>
    <w:basedOn w:val="109"/>
    <w:link w:val="2333"/>
    <w:semiHidden/>
    <w:qFormat/>
    <w:locked/>
    <w:uiPriority w:val="0"/>
    <w:rPr>
      <w:rFonts w:ascii="Cambria" w:hAnsi="Cambria" w:eastAsia="黑体"/>
      <w:b/>
      <w:sz w:val="15"/>
      <w:szCs w:val="15"/>
    </w:rPr>
  </w:style>
  <w:style w:type="paragraph" w:customStyle="1" w:styleId="2333">
    <w:name w:val="图注"/>
    <w:basedOn w:val="19"/>
    <w:link w:val="2332"/>
    <w:semiHidden/>
    <w:qFormat/>
    <w:uiPriority w:val="0"/>
    <w:pPr>
      <w:adjustRightInd w:val="0"/>
      <w:snapToGrid w:val="0"/>
      <w:ind w:firstLine="301"/>
      <w:jc w:val="left"/>
    </w:pPr>
    <w:rPr>
      <w:rFonts w:ascii="Cambria" w:hAnsi="Cambria"/>
      <w:sz w:val="15"/>
      <w:szCs w:val="15"/>
    </w:rPr>
  </w:style>
  <w:style w:type="paragraph" w:customStyle="1" w:styleId="2334">
    <w:name w:val="表格备注"/>
    <w:basedOn w:val="1"/>
    <w:link w:val="2335"/>
    <w:semiHidden/>
    <w:qFormat/>
    <w:uiPriority w:val="0"/>
    <w:pPr>
      <w:adjustRightInd w:val="0"/>
      <w:snapToGrid w:val="0"/>
      <w:ind w:firstLine="200" w:firstLineChars="200"/>
    </w:pPr>
    <w:rPr>
      <w:rFonts w:eastAsia="仿宋_GB2312"/>
    </w:rPr>
  </w:style>
  <w:style w:type="character" w:customStyle="1" w:styleId="2335">
    <w:name w:val="表格备注 Char"/>
    <w:basedOn w:val="109"/>
    <w:link w:val="2334"/>
    <w:semiHidden/>
    <w:qFormat/>
    <w:uiPriority w:val="0"/>
    <w:rPr>
      <w:rFonts w:eastAsia="仿宋_GB2312"/>
    </w:rPr>
  </w:style>
  <w:style w:type="paragraph" w:customStyle="1" w:styleId="2336">
    <w:name w:val="正文-协议"/>
    <w:basedOn w:val="1"/>
    <w:link w:val="2337"/>
    <w:semiHidden/>
    <w:qFormat/>
    <w:uiPriority w:val="0"/>
    <w:pPr>
      <w:topLinePunct/>
      <w:adjustRightInd w:val="0"/>
      <w:snapToGrid w:val="0"/>
      <w:spacing w:line="620" w:lineRule="exact"/>
      <w:ind w:firstLine="200" w:firstLineChars="200"/>
    </w:pPr>
    <w:rPr>
      <w:kern w:val="21"/>
      <w:sz w:val="28"/>
      <w:szCs w:val="21"/>
    </w:rPr>
  </w:style>
  <w:style w:type="character" w:customStyle="1" w:styleId="2337">
    <w:name w:val="正文-协议 Char"/>
    <w:basedOn w:val="109"/>
    <w:link w:val="2336"/>
    <w:semiHidden/>
    <w:qFormat/>
    <w:uiPriority w:val="0"/>
    <w:rPr>
      <w:kern w:val="21"/>
      <w:sz w:val="28"/>
      <w:szCs w:val="21"/>
    </w:rPr>
  </w:style>
  <w:style w:type="paragraph" w:customStyle="1" w:styleId="2338">
    <w:name w:val="标题2-协议"/>
    <w:basedOn w:val="1"/>
    <w:link w:val="2339"/>
    <w:semiHidden/>
    <w:qFormat/>
    <w:uiPriority w:val="0"/>
    <w:pPr>
      <w:keepNext/>
      <w:keepLines/>
      <w:topLinePunct/>
      <w:adjustRightInd w:val="0"/>
      <w:snapToGrid w:val="0"/>
      <w:spacing w:line="720" w:lineRule="auto"/>
      <w:outlineLvl w:val="1"/>
    </w:pPr>
    <w:rPr>
      <w:rFonts w:ascii="Arial" w:hAnsi="Arial" w:eastAsia="汉仪中黑简"/>
      <w:kern w:val="26"/>
      <w:sz w:val="26"/>
      <w:szCs w:val="26"/>
    </w:rPr>
  </w:style>
  <w:style w:type="character" w:customStyle="1" w:styleId="2339">
    <w:name w:val="标题2-协议 Char"/>
    <w:basedOn w:val="109"/>
    <w:link w:val="2338"/>
    <w:semiHidden/>
    <w:qFormat/>
    <w:uiPriority w:val="0"/>
    <w:rPr>
      <w:rFonts w:ascii="Arial" w:hAnsi="Arial" w:eastAsia="汉仪中黑简"/>
      <w:kern w:val="26"/>
      <w:sz w:val="26"/>
      <w:szCs w:val="26"/>
    </w:rPr>
  </w:style>
  <w:style w:type="character" w:customStyle="1" w:styleId="2340">
    <w:name w:val="copied"/>
    <w:basedOn w:val="109"/>
    <w:semiHidden/>
    <w:qFormat/>
    <w:uiPriority w:val="0"/>
  </w:style>
  <w:style w:type="character" w:customStyle="1" w:styleId="2341">
    <w:name w:val="公式 Char"/>
    <w:basedOn w:val="109"/>
    <w:link w:val="626"/>
    <w:semiHidden/>
    <w:qFormat/>
    <w:uiPriority w:val="0"/>
    <w:rPr>
      <w:rFonts w:eastAsia="黑体"/>
      <w:color w:val="000000"/>
      <w:sz w:val="24"/>
      <w:szCs w:val="24"/>
    </w:rPr>
  </w:style>
  <w:style w:type="character" w:customStyle="1" w:styleId="2342">
    <w:name w:val="公式说明 Char"/>
    <w:basedOn w:val="109"/>
    <w:link w:val="655"/>
    <w:semiHidden/>
    <w:qFormat/>
    <w:uiPriority w:val="0"/>
    <w:rPr>
      <w:sz w:val="24"/>
    </w:rPr>
  </w:style>
  <w:style w:type="paragraph" w:customStyle="1" w:styleId="2343">
    <w:name w:val="修订2"/>
    <w:basedOn w:val="1"/>
    <w:hidden/>
    <w:semiHidden/>
    <w:qFormat/>
    <w:uiPriority w:val="99"/>
    <w:rPr>
      <w:rFonts w:eastAsia="仿宋_GB2312"/>
      <w:sz w:val="28"/>
    </w:rPr>
  </w:style>
  <w:style w:type="paragraph" w:customStyle="1" w:styleId="2344">
    <w:name w:val="tgt2"/>
    <w:basedOn w:val="1"/>
    <w:semiHidden/>
    <w:qFormat/>
    <w:uiPriority w:val="0"/>
    <w:pPr>
      <w:adjustRightInd w:val="0"/>
      <w:snapToGrid w:val="0"/>
      <w:spacing w:after="150" w:line="360" w:lineRule="auto"/>
    </w:pPr>
    <w:rPr>
      <w:rFonts w:ascii="宋体" w:hAnsi="宋体" w:cs="宋体"/>
      <w:b/>
      <w:bCs/>
      <w:sz w:val="36"/>
      <w:szCs w:val="36"/>
    </w:rPr>
  </w:style>
  <w:style w:type="paragraph" w:customStyle="1" w:styleId="2345">
    <w:name w:val="MTDisplayEquation"/>
    <w:basedOn w:val="1"/>
    <w:next w:val="1"/>
    <w:link w:val="2346"/>
    <w:semiHidden/>
    <w:qFormat/>
    <w:uiPriority w:val="0"/>
    <w:pPr>
      <w:tabs>
        <w:tab w:val="center" w:pos="4160"/>
        <w:tab w:val="right" w:pos="8320"/>
      </w:tabs>
      <w:adjustRightInd w:val="0"/>
      <w:snapToGrid w:val="0"/>
      <w:spacing w:line="620" w:lineRule="exact"/>
      <w:ind w:firstLine="560" w:firstLineChars="200"/>
    </w:pPr>
    <w:rPr>
      <w:rFonts w:eastAsia="仿宋_GB2312"/>
      <w:sz w:val="28"/>
    </w:rPr>
  </w:style>
  <w:style w:type="character" w:customStyle="1" w:styleId="2346">
    <w:name w:val="MTDisplayEquation Char"/>
    <w:basedOn w:val="109"/>
    <w:link w:val="2345"/>
    <w:semiHidden/>
    <w:qFormat/>
    <w:uiPriority w:val="0"/>
    <w:rPr>
      <w:rFonts w:eastAsia="仿宋_GB2312"/>
      <w:sz w:val="28"/>
    </w:rPr>
  </w:style>
  <w:style w:type="paragraph" w:customStyle="1" w:styleId="2347">
    <w:name w:val="定义"/>
    <w:basedOn w:val="1"/>
    <w:next w:val="1"/>
    <w:link w:val="2348"/>
    <w:semiHidden/>
    <w:qFormat/>
    <w:uiPriority w:val="0"/>
    <w:pPr>
      <w:adjustRightInd w:val="0"/>
      <w:snapToGrid w:val="0"/>
      <w:spacing w:line="620" w:lineRule="exact"/>
      <w:ind w:firstLine="200" w:firstLineChars="200"/>
    </w:pPr>
    <w:rPr>
      <w:rFonts w:eastAsia="黑体"/>
      <w:sz w:val="28"/>
    </w:rPr>
  </w:style>
  <w:style w:type="character" w:customStyle="1" w:styleId="2348">
    <w:name w:val="定义 Char"/>
    <w:basedOn w:val="109"/>
    <w:link w:val="2347"/>
    <w:semiHidden/>
    <w:qFormat/>
    <w:uiPriority w:val="0"/>
    <w:rPr>
      <w:rFonts w:eastAsia="黑体"/>
      <w:sz w:val="28"/>
    </w:rPr>
  </w:style>
  <w:style w:type="character" w:customStyle="1" w:styleId="2349">
    <w:name w:val="不明显强调1"/>
    <w:basedOn w:val="109"/>
    <w:semiHidden/>
    <w:qFormat/>
    <w:uiPriority w:val="19"/>
    <w:rPr>
      <w:i/>
      <w:iCs/>
      <w:color w:val="808080"/>
    </w:rPr>
  </w:style>
  <w:style w:type="character" w:customStyle="1" w:styleId="2350">
    <w:name w:val="表注 Char"/>
    <w:basedOn w:val="109"/>
    <w:link w:val="2330"/>
    <w:semiHidden/>
    <w:qFormat/>
    <w:uiPriority w:val="0"/>
    <w:rPr>
      <w:rFonts w:eastAsia="仿宋"/>
      <w:color w:val="000000"/>
      <w:kern w:val="16"/>
      <w:sz w:val="16"/>
      <w:szCs w:val="16"/>
    </w:rPr>
  </w:style>
  <w:style w:type="paragraph" w:customStyle="1" w:styleId="2351">
    <w:name w:val="周晟-标题3"/>
    <w:basedOn w:val="1667"/>
    <w:next w:val="1667"/>
    <w:semiHidden/>
    <w:qFormat/>
    <w:uiPriority w:val="0"/>
    <w:pPr>
      <w:ind w:firstLine="0" w:firstLineChars="0"/>
    </w:pPr>
    <w:rPr>
      <w:rFonts w:ascii="黑体" w:hAnsi="黑体" w:eastAsia="黑体"/>
      <w:color w:val="auto"/>
    </w:rPr>
  </w:style>
  <w:style w:type="character" w:customStyle="1" w:styleId="2352">
    <w:name w:val="3级标题 Char"/>
    <w:basedOn w:val="109"/>
    <w:link w:val="858"/>
    <w:semiHidden/>
    <w:qFormat/>
    <w:uiPriority w:val="0"/>
    <w:rPr>
      <w:rFonts w:ascii="Arial" w:hAnsi="Arial"/>
      <w:b/>
      <w:bCs/>
      <w:sz w:val="24"/>
      <w:szCs w:val="28"/>
    </w:rPr>
  </w:style>
  <w:style w:type="paragraph" w:customStyle="1" w:styleId="2353">
    <w:name w:val="大纲正文"/>
    <w:basedOn w:val="1"/>
    <w:semiHidden/>
    <w:qFormat/>
    <w:uiPriority w:val="0"/>
    <w:pPr>
      <w:adjustRightInd w:val="0"/>
      <w:snapToGrid w:val="0"/>
      <w:spacing w:afterLines="50" w:line="300" w:lineRule="auto"/>
      <w:ind w:firstLine="480" w:firstLineChars="200"/>
    </w:pPr>
    <w:rPr>
      <w:rFonts w:ascii="黑体" w:hAnsi="Tahoma"/>
      <w:sz w:val="24"/>
      <w:szCs w:val="32"/>
    </w:rPr>
  </w:style>
  <w:style w:type="character" w:customStyle="1" w:styleId="2354">
    <w:name w:val="表中文字 Char1"/>
    <w:basedOn w:val="109"/>
    <w:link w:val="218"/>
    <w:semiHidden/>
    <w:qFormat/>
    <w:uiPriority w:val="0"/>
    <w:rPr>
      <w:rFonts w:ascii="宋体" w:hAnsi="宋体" w:cs="宋体"/>
      <w:color w:val="000000"/>
      <w:szCs w:val="21"/>
    </w:rPr>
  </w:style>
  <w:style w:type="paragraph" w:customStyle="1" w:styleId="2355">
    <w:name w:val="图表后空行"/>
    <w:basedOn w:val="1"/>
    <w:next w:val="1"/>
    <w:semiHidden/>
    <w:qFormat/>
    <w:uiPriority w:val="0"/>
    <w:pPr>
      <w:ind w:firstLine="200"/>
    </w:pPr>
    <w:rPr>
      <w:rFonts w:cstheme="minorBidi"/>
      <w:sz w:val="18"/>
      <w:szCs w:val="24"/>
    </w:rPr>
  </w:style>
  <w:style w:type="character" w:customStyle="1" w:styleId="2356">
    <w:name w:val="批注文字 Char"/>
    <w:basedOn w:val="109"/>
    <w:semiHidden/>
    <w:qFormat/>
    <w:uiPriority w:val="0"/>
    <w:rPr>
      <w:rFonts w:eastAsia="仿宋"/>
      <w:color w:val="000000"/>
      <w:kern w:val="1"/>
      <w:sz w:val="32"/>
      <w:lang w:val="zh-CN"/>
    </w:rPr>
  </w:style>
  <w:style w:type="paragraph" w:customStyle="1" w:styleId="2357">
    <w:name w:val="Table Text"/>
    <w:basedOn w:val="1"/>
    <w:semiHidden/>
    <w:qFormat/>
    <w:uiPriority w:val="0"/>
    <w:rPr>
      <w:rFonts w:ascii="宋体" w:hAnsi="宋体" w:cs="宋体"/>
      <w:szCs w:val="21"/>
      <w:lang w:eastAsia="en-US"/>
    </w:rPr>
  </w:style>
  <w:style w:type="character" w:customStyle="1" w:styleId="2358">
    <w:name w:val="环评 正文 字符"/>
    <w:basedOn w:val="109"/>
    <w:semiHidden/>
    <w:qFormat/>
    <w:uiPriority w:val="0"/>
    <w:rPr>
      <w:bCs/>
      <w:sz w:val="24"/>
      <w:szCs w:val="24"/>
    </w:rPr>
  </w:style>
  <w:style w:type="character" w:customStyle="1" w:styleId="2359">
    <w:name w:val="题注 字符4"/>
    <w:basedOn w:val="109"/>
    <w:semiHidden/>
    <w:qFormat/>
    <w:uiPriority w:val="0"/>
    <w:rPr>
      <w:b/>
      <w:kern w:val="2"/>
      <w:sz w:val="24"/>
    </w:rPr>
  </w:style>
  <w:style w:type="paragraph" w:customStyle="1" w:styleId="2360">
    <w:name w:val="正文首行缩进21"/>
    <w:basedOn w:val="29"/>
    <w:semiHidden/>
    <w:qFormat/>
    <w:uiPriority w:val="0"/>
    <w:pPr>
      <w:overflowPunct w:val="0"/>
      <w:autoSpaceDE w:val="0"/>
      <w:autoSpaceDN w:val="0"/>
      <w:adjustRightInd w:val="0"/>
      <w:spacing w:before="100" w:beforeAutospacing="1" w:line="360" w:lineRule="auto"/>
      <w:ind w:firstLine="539"/>
      <w:textAlignment w:val="baseline"/>
    </w:pPr>
    <w:rPr>
      <w:sz w:val="28"/>
      <w:szCs w:val="28"/>
    </w:rPr>
  </w:style>
  <w:style w:type="paragraph" w:customStyle="1" w:styleId="2361">
    <w:name w:val="msonormal"/>
    <w:basedOn w:val="1"/>
    <w:uiPriority w:val="0"/>
    <w:pPr>
      <w:spacing w:before="100" w:beforeAutospacing="1" w:after="100" w:afterAutospacing="1"/>
    </w:pPr>
    <w:rPr>
      <w:rFonts w:ascii="宋体" w:hAnsi="宋体" w:cs="宋体"/>
      <w:sz w:val="24"/>
      <w:szCs w:val="24"/>
    </w:rPr>
  </w:style>
  <w:style w:type="paragraph" w:customStyle="1" w:styleId="2362">
    <w:name w:val="TOC 标题3"/>
    <w:basedOn w:val="2"/>
    <w:next w:val="1"/>
    <w:semiHidden/>
    <w:qFormat/>
    <w:uiPriority w:val="39"/>
    <w:pPr>
      <w:spacing w:before="480" w:after="0" w:line="276" w:lineRule="auto"/>
      <w:jc w:val="left"/>
      <w:outlineLvl w:val="9"/>
    </w:pPr>
    <w:rPr>
      <w:rFonts w:ascii="Cambria" w:hAnsi="Cambria"/>
      <w:color w:val="365F91"/>
      <w:sz w:val="28"/>
      <w:szCs w:val="28"/>
    </w:rPr>
  </w:style>
  <w:style w:type="paragraph" w:customStyle="1" w:styleId="2363">
    <w:name w:val="修订21"/>
    <w:basedOn w:val="1"/>
    <w:semiHidden/>
    <w:qFormat/>
    <w:uiPriority w:val="99"/>
    <w:rPr>
      <w:rFonts w:eastAsia="仿宋_GB2312"/>
      <w:sz w:val="28"/>
    </w:rPr>
  </w:style>
  <w:style w:type="paragraph" w:customStyle="1" w:styleId="2364">
    <w:name w:val="正文7"/>
    <w:basedOn w:val="1"/>
    <w:semiHidden/>
    <w:qFormat/>
    <w:uiPriority w:val="0"/>
    <w:rPr>
      <w:szCs w:val="21"/>
    </w:rPr>
  </w:style>
  <w:style w:type="character" w:customStyle="1" w:styleId="2365">
    <w:name w:val="不明显强调11"/>
    <w:basedOn w:val="109"/>
    <w:semiHidden/>
    <w:qFormat/>
    <w:uiPriority w:val="19"/>
    <w:rPr>
      <w:i/>
      <w:iCs/>
      <w:color w:val="808080"/>
    </w:rPr>
  </w:style>
  <w:style w:type="character" w:customStyle="1" w:styleId="2366">
    <w:name w:val="环评 正文 Char"/>
    <w:basedOn w:val="109"/>
    <w:semiHidden/>
    <w:qFormat/>
    <w:uiPriority w:val="0"/>
    <w:rPr>
      <w:rFonts w:ascii="Times New Roman" w:hAnsi="Times New Roman" w:eastAsia="宋体"/>
      <w:bCs/>
      <w:sz w:val="24"/>
      <w:szCs w:val="24"/>
    </w:rPr>
  </w:style>
  <w:style w:type="character" w:customStyle="1" w:styleId="2367">
    <w:name w:val="text_rubyg"/>
    <w:basedOn w:val="109"/>
    <w:semiHidden/>
    <w:qFormat/>
    <w:uiPriority w:val="0"/>
  </w:style>
  <w:style w:type="paragraph" w:customStyle="1" w:styleId="2368">
    <w:name w:val="正文8"/>
    <w:basedOn w:val="1"/>
    <w:semiHidden/>
    <w:qFormat/>
    <w:uiPriority w:val="0"/>
    <w:rPr>
      <w:szCs w:val="21"/>
    </w:rPr>
  </w:style>
  <w:style w:type="character" w:customStyle="1" w:styleId="2369">
    <w:name w:val="珍珍环评正文 Char"/>
    <w:basedOn w:val="109"/>
    <w:link w:val="2370"/>
    <w:semiHidden/>
    <w:qFormat/>
    <w:uiPriority w:val="0"/>
    <w:rPr>
      <w:rFonts w:ascii="宋体" w:hAnsi="宋体" w:cs="宋体"/>
      <w:sz w:val="24"/>
      <w:szCs w:val="24"/>
    </w:rPr>
  </w:style>
  <w:style w:type="paragraph" w:customStyle="1" w:styleId="2370">
    <w:name w:val="珍珍环评正文"/>
    <w:basedOn w:val="1"/>
    <w:link w:val="2369"/>
    <w:semiHidden/>
    <w:qFormat/>
    <w:uiPriority w:val="0"/>
    <w:pPr>
      <w:adjustRightInd w:val="0"/>
      <w:spacing w:line="360" w:lineRule="auto"/>
      <w:ind w:firstLine="480" w:firstLineChars="200"/>
    </w:pPr>
    <w:rPr>
      <w:rFonts w:ascii="宋体" w:hAnsi="宋体" w:cs="宋体"/>
      <w:sz w:val="24"/>
      <w:szCs w:val="24"/>
    </w:rPr>
  </w:style>
  <w:style w:type="paragraph" w:customStyle="1" w:styleId="2371">
    <w:name w:val="正文首行缩进2"/>
    <w:basedOn w:val="29"/>
    <w:semiHidden/>
    <w:qFormat/>
    <w:uiPriority w:val="0"/>
    <w:pPr>
      <w:overflowPunct w:val="0"/>
      <w:autoSpaceDE w:val="0"/>
      <w:autoSpaceDN w:val="0"/>
      <w:adjustRightInd w:val="0"/>
      <w:spacing w:before="100" w:beforeAutospacing="1" w:line="360" w:lineRule="auto"/>
      <w:ind w:firstLine="539"/>
      <w:textAlignment w:val="baseline"/>
    </w:pPr>
    <w:rPr>
      <w:sz w:val="28"/>
      <w:szCs w:val="28"/>
    </w:rPr>
  </w:style>
  <w:style w:type="paragraph" w:customStyle="1" w:styleId="2372">
    <w:name w:val="修订3"/>
    <w:basedOn w:val="1"/>
    <w:hidden/>
    <w:semiHidden/>
    <w:qFormat/>
    <w:uiPriority w:val="99"/>
    <w:rPr>
      <w:rFonts w:eastAsia="仿宋_GB2312"/>
      <w:sz w:val="28"/>
    </w:rPr>
  </w:style>
  <w:style w:type="character" w:customStyle="1" w:styleId="2373">
    <w:name w:val="不明显强调2"/>
    <w:basedOn w:val="109"/>
    <w:semiHidden/>
    <w:qFormat/>
    <w:uiPriority w:val="19"/>
    <w:rPr>
      <w:i/>
      <w:iCs/>
      <w:color w:val="808080"/>
    </w:rPr>
  </w:style>
  <w:style w:type="paragraph" w:customStyle="1" w:styleId="2374">
    <w:name w:val="正文首行缩进3"/>
    <w:basedOn w:val="29"/>
    <w:semiHidden/>
    <w:qFormat/>
    <w:uiPriority w:val="0"/>
    <w:pPr>
      <w:overflowPunct w:val="0"/>
      <w:autoSpaceDE w:val="0"/>
      <w:autoSpaceDN w:val="0"/>
      <w:adjustRightInd w:val="0"/>
      <w:spacing w:before="100" w:beforeAutospacing="1" w:line="360" w:lineRule="auto"/>
      <w:ind w:firstLine="539"/>
      <w:textAlignment w:val="baseline"/>
    </w:pPr>
    <w:rPr>
      <w:sz w:val="28"/>
      <w:szCs w:val="28"/>
    </w:rPr>
  </w:style>
  <w:style w:type="table" w:customStyle="1" w:styleId="2375">
    <w:name w:val="表三维效果 21"/>
    <w:basedOn w:val="82"/>
    <w:semiHidden/>
    <w:qFormat/>
    <w:uiPriority w:val="0"/>
    <w:pPr>
      <w:widowControl w:val="0"/>
      <w:jc w:val="both"/>
    </w:pPr>
    <w:tblPr>
      <w:tblCellMar>
        <w:left w:w="0" w:type="dxa"/>
        <w:right w:w="0" w:type="dxa"/>
      </w:tblCellMar>
    </w:tbl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376">
    <w:name w:val="表三维效果 31"/>
    <w:basedOn w:val="82"/>
    <w:semiHidden/>
    <w:qFormat/>
    <w:uiPriority w:val="0"/>
    <w:pPr>
      <w:widowControl w:val="0"/>
      <w:jc w:val="both"/>
    </w:pPr>
    <w:tblPr>
      <w:tblCellMar>
        <w:left w:w="0" w:type="dxa"/>
        <w:right w:w="0"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paragraph" w:customStyle="1" w:styleId="2377">
    <w:name w:val="任表头"/>
    <w:basedOn w:val="1"/>
    <w:next w:val="1"/>
    <w:link w:val="2379"/>
    <w:semiHidden/>
    <w:qFormat/>
    <w:uiPriority w:val="0"/>
    <w:pPr>
      <w:adjustRightInd w:val="0"/>
      <w:spacing w:line="360" w:lineRule="auto"/>
      <w:contextualSpacing/>
      <w:jc w:val="center"/>
    </w:pPr>
    <w:rPr>
      <w:rFonts w:cstheme="minorBidi"/>
      <w:b/>
      <w:sz w:val="24"/>
      <w:szCs w:val="24"/>
      <w:lang w:eastAsia="en-US"/>
    </w:rPr>
  </w:style>
  <w:style w:type="paragraph" w:customStyle="1" w:styleId="2378">
    <w:name w:val="任表格文字"/>
    <w:basedOn w:val="1"/>
    <w:next w:val="1"/>
    <w:semiHidden/>
    <w:qFormat/>
    <w:uiPriority w:val="0"/>
    <w:pPr>
      <w:spacing w:line="360" w:lineRule="exact"/>
      <w:jc w:val="center"/>
    </w:pPr>
    <w:rPr>
      <w:snapToGrid w:val="0"/>
      <w:color w:val="000000"/>
      <w:szCs w:val="18"/>
    </w:rPr>
  </w:style>
  <w:style w:type="character" w:customStyle="1" w:styleId="2379">
    <w:name w:val="任表头 Char"/>
    <w:basedOn w:val="109"/>
    <w:link w:val="2377"/>
    <w:semiHidden/>
    <w:qFormat/>
    <w:uiPriority w:val="0"/>
    <w:rPr>
      <w:rFonts w:cstheme="minorBidi"/>
      <w:b/>
      <w:sz w:val="24"/>
      <w:szCs w:val="24"/>
      <w:lang w:eastAsia="en-US"/>
    </w:rPr>
  </w:style>
  <w:style w:type="character" w:customStyle="1" w:styleId="2380">
    <w:name w:val="表中文字X Char"/>
    <w:link w:val="2381"/>
    <w:semiHidden/>
    <w:qFormat/>
    <w:locked/>
    <w:uiPriority w:val="0"/>
    <w:rPr>
      <w:color w:val="000000"/>
      <w:kern w:val="2"/>
      <w:sz w:val="21"/>
      <w:szCs w:val="24"/>
    </w:rPr>
  </w:style>
  <w:style w:type="paragraph" w:customStyle="1" w:styleId="2381">
    <w:name w:val="表中文字X"/>
    <w:next w:val="1"/>
    <w:link w:val="2380"/>
    <w:semiHidden/>
    <w:qFormat/>
    <w:uiPriority w:val="0"/>
    <w:pPr>
      <w:spacing w:line="340" w:lineRule="exact"/>
      <w:jc w:val="center"/>
    </w:pPr>
    <w:rPr>
      <w:rFonts w:ascii="Times New Roman" w:hAnsi="Times New Roman" w:eastAsia="宋体" w:cs="Times New Roman"/>
      <w:color w:val="000000"/>
      <w:kern w:val="2"/>
      <w:sz w:val="21"/>
      <w:szCs w:val="24"/>
      <w:lang w:val="en-US" w:eastAsia="zh-CN" w:bidi="ar-SA"/>
    </w:rPr>
  </w:style>
  <w:style w:type="paragraph" w:customStyle="1" w:styleId="2382">
    <w:name w:val="图表后空行X"/>
    <w:next w:val="1"/>
    <w:semiHidden/>
    <w:qFormat/>
    <w:uiPriority w:val="0"/>
    <w:pPr>
      <w:ind w:firstLine="200"/>
    </w:pPr>
    <w:rPr>
      <w:rFonts w:ascii="Times New Roman" w:hAnsi="Times New Roman" w:eastAsia="宋体" w:cs="Times New Roman"/>
      <w:kern w:val="2"/>
      <w:sz w:val="18"/>
      <w:szCs w:val="24"/>
      <w:lang w:val="en-US" w:eastAsia="zh-CN" w:bidi="ar-SA"/>
    </w:rPr>
  </w:style>
  <w:style w:type="character" w:customStyle="1" w:styleId="2383">
    <w:name w:val="YJ正文* 字符"/>
    <w:link w:val="2384"/>
    <w:semiHidden/>
    <w:qFormat/>
    <w:uiPriority w:val="0"/>
    <w:rPr>
      <w:rFonts w:ascii="宋体" w:hAnsi="宋体"/>
      <w:sz w:val="24"/>
      <w:szCs w:val="24"/>
    </w:rPr>
  </w:style>
  <w:style w:type="paragraph" w:customStyle="1" w:styleId="2384">
    <w:name w:val="YJ正文*"/>
    <w:basedOn w:val="1"/>
    <w:link w:val="2383"/>
    <w:semiHidden/>
    <w:qFormat/>
    <w:uiPriority w:val="0"/>
    <w:pPr>
      <w:widowControl w:val="0"/>
      <w:spacing w:line="500" w:lineRule="exact"/>
      <w:ind w:firstLine="200" w:firstLineChars="200"/>
      <w:jc w:val="both"/>
    </w:pPr>
    <w:rPr>
      <w:rFonts w:ascii="宋体" w:hAnsi="宋体"/>
      <w:sz w:val="24"/>
      <w:szCs w:val="24"/>
    </w:rPr>
  </w:style>
  <w:style w:type="paragraph" w:customStyle="1" w:styleId="2385">
    <w:name w:val="B图表标题"/>
    <w:basedOn w:val="1"/>
    <w:semiHidden/>
    <w:qFormat/>
    <w:uiPriority w:val="0"/>
    <w:pPr>
      <w:jc w:val="center"/>
    </w:pPr>
    <w:rPr>
      <w:rFonts w:ascii="宋体" w:hAnsi="宋体" w:cs="宋体"/>
      <w:b/>
      <w:sz w:val="24"/>
      <w:szCs w:val="24"/>
    </w:rPr>
  </w:style>
  <w:style w:type="paragraph" w:customStyle="1" w:styleId="2386">
    <w:name w:val="B表内字"/>
    <w:basedOn w:val="1"/>
    <w:semiHidden/>
    <w:qFormat/>
    <w:uiPriority w:val="0"/>
    <w:pPr>
      <w:jc w:val="center"/>
    </w:pPr>
    <w:rPr>
      <w:rFonts w:ascii="宋体" w:hAnsi="宋体" w:cs="宋体"/>
      <w:sz w:val="21"/>
      <w:szCs w:val="24"/>
    </w:rPr>
  </w:style>
  <w:style w:type="character" w:customStyle="1" w:styleId="2387">
    <w:name w:val="卓能 正文 字符"/>
    <w:link w:val="2388"/>
    <w:semiHidden/>
    <w:qFormat/>
    <w:locked/>
    <w:uiPriority w:val="0"/>
    <w:rPr>
      <w:sz w:val="24"/>
      <w:szCs w:val="24"/>
    </w:rPr>
  </w:style>
  <w:style w:type="paragraph" w:customStyle="1" w:styleId="2388">
    <w:name w:val="卓能 正文"/>
    <w:basedOn w:val="70"/>
    <w:link w:val="2387"/>
    <w:semiHidden/>
    <w:qFormat/>
    <w:uiPriority w:val="0"/>
    <w:pPr>
      <w:widowControl w:val="0"/>
      <w:tabs>
        <w:tab w:val="left" w:pos="1535"/>
      </w:tabs>
      <w:adjustRightInd w:val="0"/>
      <w:spacing w:after="0" w:line="360" w:lineRule="auto"/>
      <w:ind w:firstLine="480" w:firstLineChars="200"/>
      <w:jc w:val="both"/>
    </w:pPr>
    <w:rPr>
      <w:sz w:val="24"/>
      <w:szCs w:val="24"/>
      <w:shd w:val="clear" w:color="auto" w:fill="FFFFFF"/>
    </w:rPr>
  </w:style>
  <w:style w:type="paragraph" w:customStyle="1" w:styleId="2389">
    <w:name w:val="AA正文"/>
    <w:basedOn w:val="1"/>
    <w:link w:val="2390"/>
    <w:semiHidden/>
    <w:qFormat/>
    <w:uiPriority w:val="0"/>
    <w:pPr>
      <w:spacing w:line="360" w:lineRule="auto"/>
      <w:ind w:firstLine="480" w:firstLineChars="200"/>
      <w:jc w:val="both"/>
    </w:pPr>
    <w:rPr>
      <w:color w:val="000000"/>
      <w:sz w:val="24"/>
      <w:szCs w:val="24"/>
    </w:rPr>
  </w:style>
  <w:style w:type="character" w:customStyle="1" w:styleId="2390">
    <w:name w:val="AA正文 字符"/>
    <w:basedOn w:val="109"/>
    <w:link w:val="2389"/>
    <w:semiHidden/>
    <w:qFormat/>
    <w:uiPriority w:val="0"/>
    <w:rPr>
      <w:color w:val="000000"/>
      <w:sz w:val="24"/>
      <w:szCs w:val="24"/>
    </w:rPr>
  </w:style>
  <w:style w:type="paragraph" w:customStyle="1" w:styleId="2391">
    <w:name w:val="AA表"/>
    <w:basedOn w:val="1"/>
    <w:link w:val="2392"/>
    <w:semiHidden/>
    <w:qFormat/>
    <w:uiPriority w:val="0"/>
    <w:pPr>
      <w:spacing w:beforeLines="50"/>
      <w:jc w:val="center"/>
    </w:pPr>
    <w:rPr>
      <w:rFonts w:eastAsia="黑体"/>
      <w:color w:val="000000"/>
      <w:sz w:val="23"/>
      <w:szCs w:val="24"/>
    </w:rPr>
  </w:style>
  <w:style w:type="character" w:customStyle="1" w:styleId="2392">
    <w:name w:val="AA表 字符"/>
    <w:basedOn w:val="109"/>
    <w:link w:val="2391"/>
    <w:semiHidden/>
    <w:qFormat/>
    <w:uiPriority w:val="0"/>
    <w:rPr>
      <w:rFonts w:eastAsia="黑体"/>
      <w:color w:val="000000"/>
      <w:sz w:val="23"/>
      <w:szCs w:val="24"/>
    </w:rPr>
  </w:style>
  <w:style w:type="paragraph" w:customStyle="1" w:styleId="2393">
    <w:name w:val="AA表内容"/>
    <w:basedOn w:val="1"/>
    <w:link w:val="2394"/>
    <w:semiHidden/>
    <w:qFormat/>
    <w:uiPriority w:val="0"/>
    <w:pPr>
      <w:spacing w:line="360" w:lineRule="exact"/>
      <w:jc w:val="center"/>
    </w:pPr>
    <w:rPr>
      <w:sz w:val="21"/>
      <w:szCs w:val="21"/>
    </w:rPr>
  </w:style>
  <w:style w:type="character" w:customStyle="1" w:styleId="2394">
    <w:name w:val="AA表内容 字符"/>
    <w:basedOn w:val="109"/>
    <w:link w:val="2393"/>
    <w:semiHidden/>
    <w:qFormat/>
    <w:uiPriority w:val="0"/>
    <w:rPr>
      <w:sz w:val="21"/>
      <w:szCs w:val="21"/>
    </w:rPr>
  </w:style>
  <w:style w:type="paragraph" w:customStyle="1" w:styleId="2395">
    <w:name w:val="AA表格后空行"/>
    <w:basedOn w:val="1"/>
    <w:link w:val="2396"/>
    <w:semiHidden/>
    <w:qFormat/>
    <w:uiPriority w:val="0"/>
    <w:pPr>
      <w:autoSpaceDE w:val="0"/>
      <w:autoSpaceDN w:val="0"/>
      <w:adjustRightInd w:val="0"/>
      <w:spacing w:line="240" w:lineRule="exact"/>
    </w:pPr>
    <w:rPr>
      <w:rFonts w:ascii="黑体"/>
      <w:bCs/>
      <w:color w:val="000000"/>
      <w:szCs w:val="28"/>
      <w:lang w:val="zh-CN"/>
    </w:rPr>
  </w:style>
  <w:style w:type="character" w:customStyle="1" w:styleId="2396">
    <w:name w:val="AA表格后空行 字符"/>
    <w:basedOn w:val="109"/>
    <w:link w:val="2395"/>
    <w:semiHidden/>
    <w:qFormat/>
    <w:uiPriority w:val="0"/>
    <w:rPr>
      <w:rFonts w:ascii="黑体"/>
      <w:bCs/>
      <w:color w:val="000000"/>
      <w:szCs w:val="28"/>
      <w:lang w:val="zh-CN"/>
    </w:rPr>
  </w:style>
  <w:style w:type="table" w:customStyle="1" w:styleId="2397">
    <w:name w:val="表格主题28"/>
    <w:basedOn w:val="82"/>
    <w:qFormat/>
    <w:uiPriority w:val="0"/>
    <w:pPr>
      <w:widowControl w:val="0"/>
      <w:jc w:val="center"/>
    </w:pPr>
    <w:tblPr>
      <w:tblBorders>
        <w:top w:val="single" w:color="404040" w:sz="12" w:space="0"/>
        <w:left w:val="single" w:color="404040" w:sz="12" w:space="0"/>
        <w:bottom w:val="single" w:color="404040" w:sz="12" w:space="0"/>
        <w:right w:val="single" w:color="404040" w:sz="12" w:space="0"/>
        <w:insideH w:val="single" w:color="404040" w:sz="6" w:space="0"/>
        <w:insideV w:val="single" w:color="404040" w:sz="6" w:space="0"/>
      </w:tblBorders>
      <w:tblCellMar>
        <w:left w:w="28" w:type="dxa"/>
        <w:right w:w="28" w:type="dxa"/>
      </w:tblCellMar>
    </w:tblPr>
    <w:tcPr>
      <w:vAlign w:val="center"/>
    </w:tcPr>
  </w:style>
  <w:style w:type="paragraph" w:customStyle="1" w:styleId="2398">
    <w:name w:val="正文9"/>
    <w:semiHidden/>
    <w:qFormat/>
    <w:uiPriority w:val="0"/>
    <w:pPr>
      <w:jc w:val="both"/>
    </w:pPr>
    <w:rPr>
      <w:rFonts w:ascii="Times New Roman" w:hAnsi="Times New Roman" w:eastAsia="宋体" w:cs="Times New Roman"/>
      <w:kern w:val="2"/>
      <w:sz w:val="21"/>
      <w:szCs w:val="21"/>
      <w:lang w:val="en-US" w:eastAsia="zh-CN" w:bidi="ar-SA"/>
    </w:rPr>
  </w:style>
  <w:style w:type="table" w:customStyle="1" w:styleId="2399">
    <w:name w:val="表格主题21"/>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table" w:customStyle="1" w:styleId="2400">
    <w:name w:val="表格主题22"/>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table" w:customStyle="1" w:styleId="2401">
    <w:name w:val="表格主题23"/>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table" w:customStyle="1" w:styleId="2402">
    <w:name w:val="表格主题24"/>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character" w:customStyle="1" w:styleId="2403">
    <w:name w:val="煤制烯烃 正文 Char"/>
    <w:link w:val="2404"/>
    <w:semiHidden/>
    <w:qFormat/>
    <w:locked/>
    <w:uiPriority w:val="99"/>
    <w:rPr>
      <w:snapToGrid w:val="0"/>
      <w:color w:val="000000"/>
      <w:sz w:val="24"/>
      <w:szCs w:val="24"/>
    </w:rPr>
  </w:style>
  <w:style w:type="paragraph" w:customStyle="1" w:styleId="2404">
    <w:name w:val="煤制烯烃 正文"/>
    <w:basedOn w:val="70"/>
    <w:link w:val="2403"/>
    <w:semiHidden/>
    <w:qFormat/>
    <w:uiPriority w:val="99"/>
    <w:pPr>
      <w:widowControl w:val="0"/>
      <w:adjustRightInd w:val="0"/>
      <w:spacing w:after="0" w:line="360" w:lineRule="auto"/>
      <w:ind w:firstLine="480" w:firstLineChars="200"/>
      <w:jc w:val="both"/>
    </w:pPr>
    <w:rPr>
      <w:snapToGrid w:val="0"/>
      <w:color w:val="000000"/>
      <w:sz w:val="24"/>
      <w:szCs w:val="24"/>
    </w:rPr>
  </w:style>
  <w:style w:type="paragraph" w:customStyle="1" w:styleId="2405">
    <w:name w:val="xl126"/>
    <w:basedOn w:val="1"/>
    <w:uiPriority w:val="0"/>
    <w:pPr>
      <w:pBdr>
        <w:left w:val="single" w:color="auto" w:sz="4" w:space="0"/>
        <w:bottom w:val="single" w:color="auto" w:sz="4" w:space="0"/>
      </w:pBdr>
      <w:spacing w:before="100" w:beforeAutospacing="1" w:after="100" w:afterAutospacing="1"/>
      <w:jc w:val="center"/>
    </w:pPr>
    <w:rPr>
      <w:sz w:val="21"/>
      <w:szCs w:val="21"/>
    </w:rPr>
  </w:style>
  <w:style w:type="paragraph" w:customStyle="1" w:styleId="2406">
    <w:name w:val="xl127"/>
    <w:basedOn w:val="1"/>
    <w:uiPriority w:val="0"/>
    <w:pPr>
      <w:pBdr>
        <w:bottom w:val="single" w:color="auto" w:sz="4" w:space="0"/>
      </w:pBdr>
      <w:spacing w:before="100" w:beforeAutospacing="1" w:after="100" w:afterAutospacing="1"/>
      <w:jc w:val="center"/>
    </w:pPr>
    <w:rPr>
      <w:sz w:val="21"/>
      <w:szCs w:val="21"/>
    </w:rPr>
  </w:style>
  <w:style w:type="paragraph" w:customStyle="1" w:styleId="2407">
    <w:name w:val="xl128"/>
    <w:basedOn w:val="1"/>
    <w:uiPriority w:val="0"/>
    <w:pPr>
      <w:pBdr>
        <w:bottom w:val="single" w:color="auto" w:sz="4" w:space="0"/>
        <w:right w:val="single" w:color="auto" w:sz="4" w:space="0"/>
      </w:pBdr>
      <w:spacing w:before="100" w:beforeAutospacing="1" w:after="100" w:afterAutospacing="1"/>
      <w:jc w:val="center"/>
    </w:pPr>
    <w:rPr>
      <w:sz w:val="21"/>
      <w:szCs w:val="21"/>
    </w:rPr>
  </w:style>
  <w:style w:type="paragraph" w:customStyle="1" w:styleId="2408">
    <w:name w:val="xl129"/>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1"/>
      <w:szCs w:val="21"/>
    </w:rPr>
  </w:style>
  <w:style w:type="paragraph" w:customStyle="1" w:styleId="2409">
    <w:name w:val="xl130"/>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1"/>
      <w:szCs w:val="21"/>
    </w:rPr>
  </w:style>
  <w:style w:type="paragraph" w:customStyle="1" w:styleId="2410">
    <w:name w:val="xl131"/>
    <w:basedOn w:val="1"/>
    <w:uiPriority w:val="0"/>
    <w:pPr>
      <w:pBdr>
        <w:top w:val="single" w:color="auto" w:sz="4" w:space="0"/>
        <w:left w:val="single" w:color="auto" w:sz="4" w:space="0"/>
        <w:bottom w:val="single" w:color="auto" w:sz="4" w:space="0"/>
      </w:pBdr>
      <w:spacing w:before="100" w:beforeAutospacing="1" w:after="100" w:afterAutospacing="1"/>
      <w:jc w:val="center"/>
    </w:pPr>
    <w:rPr>
      <w:sz w:val="21"/>
      <w:szCs w:val="21"/>
    </w:rPr>
  </w:style>
  <w:style w:type="paragraph" w:customStyle="1" w:styleId="2411">
    <w:name w:val="xl132"/>
    <w:basedOn w:val="1"/>
    <w:uiPriority w:val="0"/>
    <w:pPr>
      <w:pBdr>
        <w:top w:val="single" w:color="auto" w:sz="4" w:space="0"/>
        <w:bottom w:val="single" w:color="auto" w:sz="4" w:space="0"/>
      </w:pBdr>
      <w:spacing w:before="100" w:beforeAutospacing="1" w:after="100" w:afterAutospacing="1"/>
      <w:jc w:val="center"/>
    </w:pPr>
    <w:rPr>
      <w:sz w:val="21"/>
      <w:szCs w:val="21"/>
    </w:rPr>
  </w:style>
  <w:style w:type="paragraph" w:customStyle="1" w:styleId="2412">
    <w:name w:val="xl133"/>
    <w:basedOn w:val="1"/>
    <w:uiPriority w:val="0"/>
    <w:pPr>
      <w:pBdr>
        <w:top w:val="single" w:color="auto" w:sz="4" w:space="0"/>
        <w:bottom w:val="single" w:color="auto" w:sz="4" w:space="0"/>
        <w:right w:val="single" w:color="auto" w:sz="4" w:space="0"/>
      </w:pBdr>
      <w:spacing w:before="100" w:beforeAutospacing="1" w:after="100" w:afterAutospacing="1"/>
      <w:jc w:val="center"/>
    </w:pPr>
    <w:rPr>
      <w:sz w:val="21"/>
      <w:szCs w:val="21"/>
    </w:rPr>
  </w:style>
  <w:style w:type="paragraph" w:customStyle="1" w:styleId="2413">
    <w:name w:val="xl134"/>
    <w:basedOn w:val="1"/>
    <w:uiPriority w:val="0"/>
    <w:pPr>
      <w:pBdr>
        <w:top w:val="single" w:color="auto" w:sz="4" w:space="0"/>
        <w:left w:val="single" w:color="auto" w:sz="4" w:space="0"/>
        <w:bottom w:val="single" w:color="auto" w:sz="4" w:space="0"/>
      </w:pBdr>
      <w:spacing w:before="100" w:beforeAutospacing="1" w:after="100" w:afterAutospacing="1"/>
      <w:jc w:val="center"/>
    </w:pPr>
    <w:rPr>
      <w:rFonts w:ascii="宋体" w:hAnsi="宋体" w:cs="宋体"/>
      <w:sz w:val="21"/>
      <w:szCs w:val="21"/>
    </w:rPr>
  </w:style>
  <w:style w:type="paragraph" w:customStyle="1" w:styleId="2414">
    <w:name w:val="xl135"/>
    <w:basedOn w:val="1"/>
    <w:uiPriority w:val="0"/>
    <w:pPr>
      <w:pBdr>
        <w:top w:val="single" w:color="auto" w:sz="4" w:space="0"/>
        <w:bottom w:val="single" w:color="auto" w:sz="4" w:space="0"/>
      </w:pBdr>
      <w:spacing w:before="100" w:beforeAutospacing="1" w:after="100" w:afterAutospacing="1"/>
      <w:jc w:val="center"/>
    </w:pPr>
    <w:rPr>
      <w:rFonts w:ascii="宋体" w:hAnsi="宋体" w:cs="宋体"/>
      <w:sz w:val="21"/>
      <w:szCs w:val="21"/>
    </w:rPr>
  </w:style>
  <w:style w:type="paragraph" w:customStyle="1" w:styleId="2415">
    <w:name w:val="xl136"/>
    <w:basedOn w:val="1"/>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1"/>
      <w:szCs w:val="21"/>
    </w:rPr>
  </w:style>
  <w:style w:type="paragraph" w:customStyle="1" w:styleId="2416">
    <w:name w:val="xl137"/>
    <w:basedOn w:val="1"/>
    <w:uiPriority w:val="0"/>
    <w:pPr>
      <w:pBdr>
        <w:top w:val="single" w:color="auto" w:sz="4" w:space="0"/>
        <w:left w:val="single" w:color="auto" w:sz="4" w:space="0"/>
      </w:pBdr>
      <w:spacing w:before="100" w:beforeAutospacing="1" w:after="100" w:afterAutospacing="1"/>
      <w:jc w:val="center"/>
    </w:pPr>
    <w:rPr>
      <w:rFonts w:ascii="宋体" w:hAnsi="宋体" w:cs="宋体"/>
      <w:sz w:val="21"/>
      <w:szCs w:val="21"/>
    </w:rPr>
  </w:style>
  <w:style w:type="paragraph" w:customStyle="1" w:styleId="2417">
    <w:name w:val="xl138"/>
    <w:basedOn w:val="1"/>
    <w:uiPriority w:val="0"/>
    <w:pPr>
      <w:pBdr>
        <w:top w:val="single" w:color="auto" w:sz="4" w:space="0"/>
        <w:left w:val="single" w:color="auto" w:sz="4" w:space="0"/>
        <w:right w:val="single" w:color="auto" w:sz="4" w:space="0"/>
      </w:pBdr>
      <w:spacing w:before="100" w:beforeAutospacing="1" w:after="100" w:afterAutospacing="1"/>
      <w:jc w:val="center"/>
    </w:pPr>
    <w:rPr>
      <w:sz w:val="21"/>
      <w:szCs w:val="21"/>
    </w:rPr>
  </w:style>
  <w:style w:type="paragraph" w:customStyle="1" w:styleId="2418">
    <w:name w:val="xl139"/>
    <w:basedOn w:val="1"/>
    <w:uiPriority w:val="0"/>
    <w:pPr>
      <w:pBdr>
        <w:left w:val="single" w:color="auto" w:sz="4" w:space="0"/>
        <w:right w:val="single" w:color="auto" w:sz="4" w:space="0"/>
      </w:pBdr>
      <w:spacing w:before="100" w:beforeAutospacing="1" w:after="100" w:afterAutospacing="1"/>
      <w:jc w:val="center"/>
    </w:pPr>
    <w:rPr>
      <w:sz w:val="21"/>
      <w:szCs w:val="21"/>
    </w:rPr>
  </w:style>
  <w:style w:type="paragraph" w:customStyle="1" w:styleId="2419">
    <w:name w:val="xl140"/>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1"/>
      <w:szCs w:val="21"/>
    </w:rPr>
  </w:style>
  <w:style w:type="paragraph" w:customStyle="1" w:styleId="2420">
    <w:name w:val="xl141"/>
    <w:basedOn w:val="1"/>
    <w:uiPriority w:val="0"/>
    <w:pPr>
      <w:pBdr>
        <w:top w:val="single" w:color="auto" w:sz="4" w:space="0"/>
        <w:left w:val="single" w:color="auto" w:sz="4" w:space="0"/>
        <w:right w:val="single" w:color="auto" w:sz="4" w:space="0"/>
      </w:pBdr>
      <w:spacing w:before="100" w:beforeAutospacing="1" w:after="100" w:afterAutospacing="1"/>
      <w:jc w:val="center"/>
    </w:pPr>
    <w:rPr>
      <w:sz w:val="21"/>
      <w:szCs w:val="21"/>
    </w:rPr>
  </w:style>
  <w:style w:type="paragraph" w:customStyle="1" w:styleId="2421">
    <w:name w:val="xl142"/>
    <w:basedOn w:val="1"/>
    <w:uiPriority w:val="0"/>
    <w:pPr>
      <w:pBdr>
        <w:left w:val="single" w:color="auto" w:sz="4" w:space="0"/>
        <w:right w:val="single" w:color="auto" w:sz="4" w:space="0"/>
      </w:pBdr>
      <w:spacing w:before="100" w:beforeAutospacing="1" w:after="100" w:afterAutospacing="1"/>
      <w:jc w:val="center"/>
    </w:pPr>
    <w:rPr>
      <w:sz w:val="21"/>
      <w:szCs w:val="21"/>
    </w:rPr>
  </w:style>
  <w:style w:type="paragraph" w:customStyle="1" w:styleId="2422">
    <w:name w:val="xl143"/>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1"/>
      <w:szCs w:val="21"/>
    </w:rPr>
  </w:style>
  <w:style w:type="paragraph" w:customStyle="1" w:styleId="2423">
    <w:name w:val="东华表头"/>
    <w:basedOn w:val="1"/>
    <w:uiPriority w:val="0"/>
    <w:pPr>
      <w:widowControl w:val="0"/>
      <w:tabs>
        <w:tab w:val="left" w:pos="420"/>
      </w:tabs>
      <w:ind w:firstLine="482" w:firstLineChars="200"/>
      <w:contextualSpacing/>
      <w:jc w:val="center"/>
    </w:pPr>
    <w:rPr>
      <w:rFonts w:eastAsia="黑体"/>
      <w:b/>
      <w:kern w:val="16"/>
      <w:sz w:val="24"/>
      <w:szCs w:val="24"/>
    </w:rPr>
  </w:style>
  <w:style w:type="table" w:customStyle="1" w:styleId="2424">
    <w:name w:val="网格型4"/>
    <w:basedOn w:val="82"/>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网格型1"/>
    <w:basedOn w:val="82"/>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26">
    <w:name w:val="图格式"/>
    <w:basedOn w:val="1"/>
    <w:qFormat/>
    <w:uiPriority w:val="0"/>
    <w:pPr>
      <w:widowControl w:val="0"/>
      <w:adjustRightInd w:val="0"/>
      <w:snapToGrid w:val="0"/>
      <w:spacing w:beforeLines="25" w:after="100" w:afterAutospacing="1"/>
      <w:jc w:val="center"/>
    </w:pPr>
    <w:rPr>
      <w:rFonts w:cs="楷体_GB2312"/>
      <w:b/>
      <w:sz w:val="21"/>
      <w:szCs w:val="21"/>
    </w:rPr>
  </w:style>
  <w:style w:type="paragraph" w:customStyle="1" w:styleId="2427">
    <w:name w:val="康义图正文"/>
    <w:basedOn w:val="130"/>
    <w:qFormat/>
    <w:uiPriority w:val="0"/>
    <w:pPr>
      <w:tabs>
        <w:tab w:val="left" w:pos="420"/>
      </w:tabs>
      <w:adjustRightInd w:val="0"/>
      <w:snapToGrid w:val="0"/>
      <w:spacing w:before="100" w:beforeAutospacing="1"/>
      <w:ind w:firstLine="0" w:firstLineChars="0"/>
      <w:jc w:val="center"/>
    </w:pPr>
    <w:rPr>
      <w:color w:val="000000"/>
    </w:rPr>
  </w:style>
  <w:style w:type="table" w:customStyle="1" w:styleId="2428">
    <w:name w:val="表格主题25"/>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table" w:customStyle="1" w:styleId="2429">
    <w:name w:val="表格主题26"/>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table" w:customStyle="1" w:styleId="2430">
    <w:name w:val="表格主题27"/>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table" w:customStyle="1" w:styleId="2431">
    <w:name w:val="表格主题29"/>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paragraph" w:customStyle="1" w:styleId="243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2433">
    <w:name w:val="表格文"/>
    <w:basedOn w:val="127"/>
    <w:qFormat/>
    <w:uiPriority w:val="0"/>
    <w:pPr>
      <w:widowControl w:val="0"/>
      <w:tabs>
        <w:tab w:val="clear" w:pos="360"/>
        <w:tab w:val="clear" w:pos="1620"/>
      </w:tabs>
      <w:snapToGrid/>
      <w:spacing w:line="240" w:lineRule="atLeast"/>
      <w:ind w:firstLine="0" w:firstLineChars="0"/>
    </w:pPr>
    <w:rPr>
      <w:rFonts w:ascii="Times New Roman"/>
      <w:color w:val="000000"/>
      <w:sz w:val="21"/>
      <w:szCs w:val="21"/>
    </w:rPr>
  </w:style>
  <w:style w:type="paragraph" w:customStyle="1" w:styleId="2434">
    <w:name w:val="font1"/>
    <w:basedOn w:val="1"/>
    <w:qFormat/>
    <w:uiPriority w:val="0"/>
    <w:pPr>
      <w:spacing w:before="100" w:beforeAutospacing="1" w:after="100" w:afterAutospacing="1"/>
    </w:pPr>
    <w:rPr>
      <w:rFonts w:ascii="宋体" w:hAnsi="宋体" w:cs="宋体"/>
      <w:color w:val="000000"/>
      <w:sz w:val="21"/>
      <w:szCs w:val="21"/>
    </w:rPr>
  </w:style>
  <w:style w:type="paragraph" w:customStyle="1" w:styleId="2435">
    <w:name w:val="font2"/>
    <w:basedOn w:val="1"/>
    <w:qFormat/>
    <w:uiPriority w:val="0"/>
    <w:pPr>
      <w:spacing w:before="100" w:beforeAutospacing="1" w:after="100" w:afterAutospacing="1"/>
    </w:pPr>
    <w:rPr>
      <w:rFonts w:ascii="宋体" w:hAnsi="宋体" w:cs="宋体"/>
      <w:color w:val="000000"/>
      <w:sz w:val="22"/>
      <w:szCs w:val="22"/>
    </w:rPr>
  </w:style>
  <w:style w:type="paragraph" w:customStyle="1" w:styleId="2436">
    <w:name w:val="et2"/>
    <w:basedOn w:val="1"/>
    <w:qFormat/>
    <w:uiPriority w:val="0"/>
    <w:pPr>
      <w:spacing w:before="100" w:beforeAutospacing="1" w:after="100" w:afterAutospacing="1"/>
    </w:pPr>
    <w:rPr>
      <w:rFonts w:ascii="宋体" w:hAnsi="宋体" w:cs="宋体"/>
      <w:sz w:val="24"/>
      <w:szCs w:val="24"/>
    </w:rPr>
  </w:style>
  <w:style w:type="paragraph" w:customStyle="1" w:styleId="2437">
    <w:name w:val="et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sz w:val="21"/>
      <w:szCs w:val="21"/>
    </w:rPr>
  </w:style>
  <w:style w:type="paragraph" w:customStyle="1" w:styleId="2438">
    <w:name w:val="et4"/>
    <w:basedOn w:val="1"/>
    <w:qFormat/>
    <w:uiPriority w:val="0"/>
    <w:pPr>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color w:val="000000"/>
      <w:sz w:val="21"/>
      <w:szCs w:val="21"/>
    </w:rPr>
  </w:style>
  <w:style w:type="paragraph" w:customStyle="1" w:styleId="2439">
    <w:name w:val="et5"/>
    <w:basedOn w:val="1"/>
    <w:qFormat/>
    <w:uiPriority w:val="0"/>
    <w:pPr>
      <w:pBdr>
        <w:top w:val="single" w:color="000000" w:sz="4" w:space="0"/>
        <w:bottom w:val="single" w:color="000000" w:sz="4" w:space="0"/>
      </w:pBdr>
      <w:spacing w:before="100" w:beforeAutospacing="1" w:after="100" w:afterAutospacing="1"/>
      <w:jc w:val="center"/>
    </w:pPr>
    <w:rPr>
      <w:rFonts w:ascii="宋体" w:hAnsi="宋体" w:cs="宋体"/>
      <w:color w:val="000000"/>
      <w:sz w:val="21"/>
      <w:szCs w:val="21"/>
    </w:rPr>
  </w:style>
  <w:style w:type="paragraph" w:customStyle="1" w:styleId="2440">
    <w:name w:val="et6"/>
    <w:basedOn w:val="1"/>
    <w:qFormat/>
    <w:uiPriority w:val="0"/>
    <w:pPr>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sz w:val="21"/>
      <w:szCs w:val="21"/>
    </w:rPr>
  </w:style>
  <w:style w:type="paragraph" w:customStyle="1" w:styleId="2441">
    <w:name w:val="et7"/>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color w:val="000000"/>
      <w:sz w:val="21"/>
      <w:szCs w:val="21"/>
    </w:rPr>
  </w:style>
  <w:style w:type="paragraph" w:customStyle="1" w:styleId="2442">
    <w:name w:val="et8"/>
    <w:basedOn w:val="1"/>
    <w:qFormat/>
    <w:uiPriority w:val="0"/>
    <w:pPr>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sz w:val="24"/>
      <w:szCs w:val="24"/>
    </w:rPr>
  </w:style>
  <w:style w:type="paragraph" w:customStyle="1" w:styleId="2443">
    <w:name w:val="et9"/>
    <w:basedOn w:val="1"/>
    <w:qFormat/>
    <w:uiPriority w:val="0"/>
    <w:pPr>
      <w:pBdr>
        <w:top w:val="single" w:color="000000" w:sz="4" w:space="0"/>
        <w:bottom w:val="single" w:color="000000" w:sz="4" w:space="0"/>
      </w:pBdr>
      <w:spacing w:before="100" w:beforeAutospacing="1" w:after="100" w:afterAutospacing="1"/>
      <w:jc w:val="center"/>
    </w:pPr>
    <w:rPr>
      <w:rFonts w:ascii="宋体" w:hAnsi="宋体" w:cs="宋体"/>
      <w:sz w:val="24"/>
      <w:szCs w:val="24"/>
    </w:rPr>
  </w:style>
  <w:style w:type="paragraph" w:customStyle="1" w:styleId="2444">
    <w:name w:val="et10"/>
    <w:basedOn w:val="1"/>
    <w:qFormat/>
    <w:uiPriority w:val="0"/>
    <w:pPr>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45">
    <w:name w:val="et1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46">
    <w:name w:val="et1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47">
    <w:name w:val="et13"/>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color w:val="000000"/>
      <w:sz w:val="21"/>
      <w:szCs w:val="21"/>
    </w:rPr>
  </w:style>
  <w:style w:type="paragraph" w:customStyle="1" w:styleId="2448">
    <w:name w:val="et1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49">
    <w:name w:val="et15"/>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sz w:val="21"/>
      <w:szCs w:val="21"/>
    </w:rPr>
  </w:style>
  <w:style w:type="paragraph" w:customStyle="1" w:styleId="2450">
    <w:name w:val="et16"/>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51">
    <w:name w:val="et17"/>
    <w:basedOn w:val="1"/>
    <w:qFormat/>
    <w:uiPriority w:val="0"/>
    <w:pPr>
      <w:pBdr>
        <w:top w:val="single" w:color="000000" w:sz="4" w:space="0"/>
        <w:left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52">
    <w:name w:val="et18"/>
    <w:basedOn w:val="1"/>
    <w:qFormat/>
    <w:uiPriority w:val="0"/>
    <w:pPr>
      <w:pBdr>
        <w:top w:val="single" w:color="000000" w:sz="4" w:space="0"/>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53">
    <w:name w:val="et19"/>
    <w:basedOn w:val="1"/>
    <w:qFormat/>
    <w:uiPriority w:val="0"/>
    <w:pPr>
      <w:pBdr>
        <w:top w:val="single" w:color="000000" w:sz="4" w:space="0"/>
        <w:left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54">
    <w:name w:val="et20"/>
    <w:basedOn w:val="1"/>
    <w:qFormat/>
    <w:uiPriority w:val="0"/>
    <w:pPr>
      <w:pBdr>
        <w:top w:val="single" w:color="000000" w:sz="4" w:space="0"/>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55">
    <w:name w:val="et21"/>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56">
    <w:name w:val="et2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sz w:val="24"/>
      <w:szCs w:val="24"/>
    </w:rPr>
  </w:style>
  <w:style w:type="paragraph" w:customStyle="1" w:styleId="2457">
    <w:name w:val="et23"/>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58">
    <w:name w:val="et24"/>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59">
    <w:name w:val="et25"/>
    <w:basedOn w:val="1"/>
    <w:qFormat/>
    <w:uiPriority w:val="0"/>
    <w:pPr>
      <w:pBdr>
        <w:left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60">
    <w:name w:val="et26"/>
    <w:basedOn w:val="1"/>
    <w:qFormat/>
    <w:uiPriority w:val="0"/>
    <w:pPr>
      <w:pBdr>
        <w:left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61">
    <w:name w:val="et27"/>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62">
    <w:name w:val="et28"/>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63">
    <w:name w:val="et29"/>
    <w:basedOn w:val="1"/>
    <w:qFormat/>
    <w:uiPriority w:val="0"/>
    <w:pPr>
      <w:pBdr>
        <w:top w:val="single" w:color="000000" w:sz="4" w:space="0"/>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64">
    <w:name w:val="et30"/>
    <w:basedOn w:val="1"/>
    <w:qFormat/>
    <w:uiPriority w:val="0"/>
    <w:pPr>
      <w:pBdr>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65">
    <w:name w:val="et31"/>
    <w:basedOn w:val="1"/>
    <w:qFormat/>
    <w:uiPriority w:val="0"/>
    <w:pPr>
      <w:pBdr>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466">
    <w:name w:val="et32"/>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67">
    <w:name w:val="et33"/>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68">
    <w:name w:val="et34"/>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69">
    <w:name w:val="et3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70">
    <w:name w:val="et3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sz w:val="24"/>
      <w:szCs w:val="24"/>
    </w:rPr>
  </w:style>
  <w:style w:type="paragraph" w:customStyle="1" w:styleId="2471">
    <w:name w:val="et3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sz w:val="24"/>
      <w:szCs w:val="24"/>
    </w:rPr>
  </w:style>
  <w:style w:type="paragraph" w:customStyle="1" w:styleId="2472">
    <w:name w:val="et38"/>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73">
    <w:name w:val="et3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74">
    <w:name w:val="et4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75">
    <w:name w:val="et41"/>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76">
    <w:name w:val="et42"/>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77">
    <w:name w:val="et43"/>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78">
    <w:name w:val="et44"/>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79">
    <w:name w:val="et45"/>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80">
    <w:name w:val="et46"/>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81">
    <w:name w:val="et47"/>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82">
    <w:name w:val="et48"/>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83">
    <w:name w:val="et4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84">
    <w:name w:val="et50"/>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85">
    <w:name w:val="et51"/>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486">
    <w:name w:val="et52"/>
    <w:basedOn w:val="1"/>
    <w:qFormat/>
    <w:uiPriority w:val="0"/>
    <w:pPr>
      <w:pBdr>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87">
    <w:name w:val="et53"/>
    <w:basedOn w:val="1"/>
    <w:qFormat/>
    <w:uiPriority w:val="0"/>
    <w:pPr>
      <w:pBdr>
        <w:top w:val="single" w:color="000000" w:sz="4" w:space="0"/>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88">
    <w:name w:val="et54"/>
    <w:basedOn w:val="1"/>
    <w:qFormat/>
    <w:uiPriority w:val="0"/>
    <w:pPr>
      <w:pBdr>
        <w:top w:val="single" w:color="000000" w:sz="4" w:space="0"/>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89">
    <w:name w:val="et55"/>
    <w:basedOn w:val="1"/>
    <w:qFormat/>
    <w:uiPriority w:val="0"/>
    <w:pPr>
      <w:pBdr>
        <w:top w:val="single" w:color="000000" w:sz="4" w:space="0"/>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0">
    <w:name w:val="et56"/>
    <w:basedOn w:val="1"/>
    <w:qFormat/>
    <w:uiPriority w:val="0"/>
    <w:pPr>
      <w:pBdr>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1">
    <w:name w:val="et57"/>
    <w:basedOn w:val="1"/>
    <w:qFormat/>
    <w:uiPriority w:val="0"/>
    <w:pPr>
      <w:pBdr>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2">
    <w:name w:val="et58"/>
    <w:basedOn w:val="1"/>
    <w:qFormat/>
    <w:uiPriority w:val="0"/>
    <w:pPr>
      <w:pBdr>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3">
    <w:name w:val="et59"/>
    <w:basedOn w:val="1"/>
    <w:qFormat/>
    <w:uiPriority w:val="0"/>
    <w:pPr>
      <w:pBdr>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4">
    <w:name w:val="et60"/>
    <w:basedOn w:val="1"/>
    <w:qFormat/>
    <w:uiPriority w:val="0"/>
    <w:pPr>
      <w:pBdr>
        <w:top w:val="single" w:color="000000" w:sz="4" w:space="0"/>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5">
    <w:name w:val="et61"/>
    <w:basedOn w:val="1"/>
    <w:qFormat/>
    <w:uiPriority w:val="0"/>
    <w:pPr>
      <w:pBdr>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6">
    <w:name w:val="et62"/>
    <w:basedOn w:val="1"/>
    <w:qFormat/>
    <w:uiPriority w:val="0"/>
    <w:pPr>
      <w:pBdr>
        <w:top w:val="single" w:color="000000" w:sz="4" w:space="0"/>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7">
    <w:name w:val="et63"/>
    <w:basedOn w:val="1"/>
    <w:qFormat/>
    <w:uiPriority w:val="0"/>
    <w:pPr>
      <w:pBdr>
        <w:top w:val="single" w:color="000000" w:sz="4" w:space="0"/>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8">
    <w:name w:val="et64"/>
    <w:basedOn w:val="1"/>
    <w:qFormat/>
    <w:uiPriority w:val="0"/>
    <w:pPr>
      <w:pBdr>
        <w:top w:val="single" w:color="000000" w:sz="4" w:space="0"/>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499">
    <w:name w:val="et65"/>
    <w:basedOn w:val="1"/>
    <w:qFormat/>
    <w:uiPriority w:val="0"/>
    <w:pPr>
      <w:pBdr>
        <w:top w:val="single" w:color="000000" w:sz="4" w:space="0"/>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00">
    <w:name w:val="et66"/>
    <w:basedOn w:val="1"/>
    <w:qFormat/>
    <w:uiPriority w:val="0"/>
    <w:pPr>
      <w:pBdr>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01">
    <w:name w:val="et67"/>
    <w:basedOn w:val="1"/>
    <w:qFormat/>
    <w:uiPriority w:val="0"/>
    <w:pPr>
      <w:pBdr>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02">
    <w:name w:val="et68"/>
    <w:basedOn w:val="1"/>
    <w:qFormat/>
    <w:uiPriority w:val="0"/>
    <w:pPr>
      <w:pBdr>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03">
    <w:name w:val="et69"/>
    <w:basedOn w:val="1"/>
    <w:qFormat/>
    <w:uiPriority w:val="0"/>
    <w:pPr>
      <w:pBdr>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04">
    <w:name w:val="et7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05">
    <w:name w:val="et71"/>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06">
    <w:name w:val="et72"/>
    <w:basedOn w:val="1"/>
    <w:qFormat/>
    <w:uiPriority w:val="0"/>
    <w:pPr>
      <w:pBdr>
        <w:top w:val="single" w:color="000000" w:sz="4" w:space="0"/>
        <w:left w:val="single" w:color="000000" w:sz="4" w:space="0"/>
        <w:right w:val="single" w:color="000000" w:sz="4" w:space="0"/>
      </w:pBdr>
      <w:spacing w:before="100" w:beforeAutospacing="1" w:after="100" w:afterAutospacing="1"/>
    </w:pPr>
    <w:rPr>
      <w:rFonts w:ascii="宋体" w:hAnsi="宋体" w:cs="宋体"/>
      <w:sz w:val="24"/>
      <w:szCs w:val="24"/>
    </w:rPr>
  </w:style>
  <w:style w:type="paragraph" w:customStyle="1" w:styleId="2507">
    <w:name w:val="et73"/>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08">
    <w:name w:val="et74"/>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09">
    <w:name w:val="et7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10">
    <w:name w:val="et76"/>
    <w:basedOn w:val="1"/>
    <w:qFormat/>
    <w:uiPriority w:val="0"/>
    <w:pPr>
      <w:pBdr>
        <w:top w:val="single" w:color="000000" w:sz="4" w:space="0"/>
        <w:left w:val="single" w:color="000000" w:sz="4" w:space="0"/>
        <w:right w:val="single" w:color="000000" w:sz="4" w:space="0"/>
      </w:pBdr>
      <w:spacing w:before="100" w:beforeAutospacing="1" w:after="100" w:afterAutospacing="1"/>
    </w:pPr>
    <w:rPr>
      <w:rFonts w:ascii="宋体" w:hAnsi="宋体" w:cs="宋体"/>
      <w:sz w:val="24"/>
      <w:szCs w:val="24"/>
    </w:rPr>
  </w:style>
  <w:style w:type="paragraph" w:customStyle="1" w:styleId="2511">
    <w:name w:val="et7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sz w:val="24"/>
      <w:szCs w:val="24"/>
    </w:rPr>
  </w:style>
  <w:style w:type="paragraph" w:customStyle="1" w:styleId="2512">
    <w:name w:val="et78"/>
    <w:basedOn w:val="1"/>
    <w:qFormat/>
    <w:uiPriority w:val="0"/>
    <w:pPr>
      <w:pBdr>
        <w:left w:val="single" w:color="000000" w:sz="4" w:space="0"/>
        <w:right w:val="single" w:color="000000" w:sz="4" w:space="0"/>
      </w:pBdr>
      <w:shd w:val="clear" w:color="auto" w:fill="FEE796"/>
      <w:spacing w:before="100" w:beforeAutospacing="1" w:after="100" w:afterAutospacing="1"/>
    </w:pPr>
    <w:rPr>
      <w:rFonts w:ascii="宋体" w:hAnsi="宋体" w:cs="宋体"/>
      <w:sz w:val="24"/>
      <w:szCs w:val="24"/>
    </w:rPr>
  </w:style>
  <w:style w:type="paragraph" w:customStyle="1" w:styleId="2513">
    <w:name w:val="et79"/>
    <w:basedOn w:val="1"/>
    <w:qFormat/>
    <w:uiPriority w:val="0"/>
    <w:pPr>
      <w:pBdr>
        <w:top w:val="single" w:color="000000" w:sz="4" w:space="0"/>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14">
    <w:name w:val="et80"/>
    <w:basedOn w:val="1"/>
    <w:qFormat/>
    <w:uiPriority w:val="0"/>
    <w:pPr>
      <w:pBdr>
        <w:top w:val="single" w:color="000000" w:sz="4" w:space="0"/>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15">
    <w:name w:val="et81"/>
    <w:basedOn w:val="1"/>
    <w:qFormat/>
    <w:uiPriority w:val="0"/>
    <w:pPr>
      <w:pBdr>
        <w:left w:val="single" w:color="000000" w:sz="4" w:space="0"/>
        <w:bottom w:val="single" w:color="000000" w:sz="4" w:space="0"/>
        <w:right w:val="single" w:color="000000" w:sz="4" w:space="0"/>
      </w:pBdr>
      <w:shd w:val="clear" w:color="auto" w:fill="FEE796"/>
      <w:spacing w:before="100" w:beforeAutospacing="1" w:after="100" w:afterAutospacing="1"/>
    </w:pPr>
    <w:rPr>
      <w:rFonts w:ascii="宋体" w:hAnsi="宋体" w:cs="宋体"/>
      <w:sz w:val="24"/>
      <w:szCs w:val="24"/>
    </w:rPr>
  </w:style>
  <w:style w:type="paragraph" w:customStyle="1" w:styleId="2516">
    <w:name w:val="et82"/>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17">
    <w:name w:val="et83"/>
    <w:basedOn w:val="1"/>
    <w:qFormat/>
    <w:uiPriority w:val="0"/>
    <w:pPr>
      <w:pBdr>
        <w:top w:val="single" w:color="000000" w:sz="4" w:space="0"/>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518">
    <w:name w:val="et84"/>
    <w:basedOn w:val="1"/>
    <w:qFormat/>
    <w:uiPriority w:val="0"/>
    <w:pPr>
      <w:pBdr>
        <w:top w:val="single" w:color="000000" w:sz="4" w:space="0"/>
        <w:left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519">
    <w:name w:val="et85"/>
    <w:basedOn w:val="1"/>
    <w:qFormat/>
    <w:uiPriority w:val="0"/>
    <w:pPr>
      <w:pBdr>
        <w:top w:val="single" w:color="000000" w:sz="4" w:space="0"/>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520">
    <w:name w:val="et86"/>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21">
    <w:name w:val="et87"/>
    <w:basedOn w:val="1"/>
    <w:qFormat/>
    <w:uiPriority w:val="0"/>
    <w:pPr>
      <w:pBdr>
        <w:left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522">
    <w:name w:val="et88"/>
    <w:basedOn w:val="1"/>
    <w:qFormat/>
    <w:uiPriority w:val="0"/>
    <w:pPr>
      <w:pBdr>
        <w:left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523">
    <w:name w:val="et89"/>
    <w:basedOn w:val="1"/>
    <w:qFormat/>
    <w:uiPriority w:val="0"/>
    <w:pPr>
      <w:pBdr>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524">
    <w:name w:val="et90"/>
    <w:basedOn w:val="1"/>
    <w:qFormat/>
    <w:uiPriority w:val="0"/>
    <w:pPr>
      <w:pBdr>
        <w:left w:val="single" w:color="000000" w:sz="4" w:space="0"/>
        <w:bottom w:val="single" w:color="000000" w:sz="4" w:space="0"/>
        <w:right w:val="single" w:color="000000" w:sz="4" w:space="0"/>
      </w:pBdr>
      <w:shd w:val="clear" w:color="auto" w:fill="F4B7BE"/>
      <w:spacing w:before="100" w:beforeAutospacing="1" w:after="100" w:afterAutospacing="1"/>
      <w:jc w:val="center"/>
    </w:pPr>
    <w:rPr>
      <w:rFonts w:ascii="宋体" w:hAnsi="宋体" w:cs="宋体"/>
      <w:sz w:val="24"/>
      <w:szCs w:val="24"/>
    </w:rPr>
  </w:style>
  <w:style w:type="paragraph" w:customStyle="1" w:styleId="2525">
    <w:name w:val="et91"/>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26">
    <w:name w:val="et92"/>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27">
    <w:name w:val="et93"/>
    <w:basedOn w:val="1"/>
    <w:qFormat/>
    <w:uiPriority w:val="0"/>
    <w:pPr>
      <w:pBdr>
        <w:top w:val="single" w:color="000000" w:sz="4" w:space="0"/>
        <w:left w:val="single" w:color="000000" w:sz="4" w:space="0"/>
        <w:bottom w:val="single" w:color="000000" w:sz="4" w:space="0"/>
        <w:right w:val="single" w:color="000000" w:sz="4" w:space="0"/>
      </w:pBdr>
      <w:shd w:val="clear" w:color="auto" w:fill="A8EAE4"/>
      <w:spacing w:before="100" w:beforeAutospacing="1" w:after="100" w:afterAutospacing="1"/>
      <w:jc w:val="center"/>
    </w:pPr>
    <w:rPr>
      <w:rFonts w:ascii="宋体" w:hAnsi="宋体" w:cs="宋体"/>
      <w:sz w:val="24"/>
      <w:szCs w:val="24"/>
    </w:rPr>
  </w:style>
  <w:style w:type="paragraph" w:customStyle="1" w:styleId="2528">
    <w:name w:val="et94"/>
    <w:basedOn w:val="1"/>
    <w:qFormat/>
    <w:uiPriority w:val="0"/>
    <w:pPr>
      <w:pBdr>
        <w:top w:val="single" w:color="000000" w:sz="4" w:space="0"/>
        <w:left w:val="single" w:color="000000" w:sz="4" w:space="0"/>
        <w:bottom w:val="single" w:color="000000" w:sz="4" w:space="0"/>
        <w:right w:val="single" w:color="000000" w:sz="4" w:space="0"/>
      </w:pBdr>
      <w:shd w:val="clear" w:color="auto" w:fill="A8EAE4"/>
      <w:spacing w:before="100" w:beforeAutospacing="1" w:after="100" w:afterAutospacing="1"/>
      <w:jc w:val="center"/>
    </w:pPr>
    <w:rPr>
      <w:rFonts w:ascii="宋体" w:hAnsi="宋体" w:cs="宋体"/>
      <w:sz w:val="24"/>
      <w:szCs w:val="24"/>
    </w:rPr>
  </w:style>
  <w:style w:type="paragraph" w:customStyle="1" w:styleId="2529">
    <w:name w:val="et95"/>
    <w:basedOn w:val="1"/>
    <w:qFormat/>
    <w:uiPriority w:val="0"/>
    <w:pPr>
      <w:pBdr>
        <w:top w:val="single" w:color="000000" w:sz="4" w:space="0"/>
        <w:left w:val="single" w:color="000000" w:sz="4" w:space="0"/>
        <w:bottom w:val="single" w:color="000000" w:sz="4" w:space="0"/>
        <w:right w:val="single" w:color="000000" w:sz="4" w:space="0"/>
      </w:pBdr>
      <w:shd w:val="clear" w:color="auto" w:fill="A8EAE4"/>
      <w:spacing w:before="100" w:beforeAutospacing="1" w:after="100" w:afterAutospacing="1"/>
      <w:jc w:val="center"/>
    </w:pPr>
    <w:rPr>
      <w:rFonts w:ascii="宋体" w:hAnsi="宋体" w:cs="宋体"/>
      <w:sz w:val="24"/>
      <w:szCs w:val="24"/>
    </w:rPr>
  </w:style>
  <w:style w:type="paragraph" w:customStyle="1" w:styleId="2530">
    <w:name w:val="et96"/>
    <w:basedOn w:val="1"/>
    <w:qFormat/>
    <w:uiPriority w:val="0"/>
    <w:pPr>
      <w:pBdr>
        <w:top w:val="single" w:color="000000" w:sz="4" w:space="0"/>
        <w:left w:val="single" w:color="000000" w:sz="4" w:space="0"/>
        <w:bottom w:val="single" w:color="000000" w:sz="4" w:space="0"/>
        <w:right w:val="single" w:color="000000" w:sz="4" w:space="0"/>
      </w:pBdr>
      <w:shd w:val="clear" w:color="auto" w:fill="A8EAE4"/>
      <w:spacing w:before="100" w:beforeAutospacing="1" w:after="100" w:afterAutospacing="1"/>
    </w:pPr>
    <w:rPr>
      <w:rFonts w:ascii="宋体" w:hAnsi="宋体" w:cs="宋体"/>
      <w:sz w:val="24"/>
      <w:szCs w:val="24"/>
    </w:rPr>
  </w:style>
  <w:style w:type="paragraph" w:customStyle="1" w:styleId="2531">
    <w:name w:val="et97"/>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32">
    <w:name w:val="et98"/>
    <w:basedOn w:val="1"/>
    <w:qFormat/>
    <w:uiPriority w:val="0"/>
    <w:pPr>
      <w:pBdr>
        <w:top w:val="single" w:color="000000" w:sz="4" w:space="0"/>
        <w:left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33">
    <w:name w:val="et99"/>
    <w:basedOn w:val="1"/>
    <w:qFormat/>
    <w:uiPriority w:val="0"/>
    <w:pPr>
      <w:pBdr>
        <w:top w:val="single" w:color="000000" w:sz="4" w:space="0"/>
        <w:left w:val="single" w:color="000000" w:sz="4" w:space="0"/>
        <w:bottom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34">
    <w:name w:val="et100"/>
    <w:basedOn w:val="1"/>
    <w:qFormat/>
    <w:uiPriority w:val="0"/>
    <w:pPr>
      <w:pBdr>
        <w:top w:val="single" w:color="000000" w:sz="4" w:space="0"/>
        <w:left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35">
    <w:name w:val="et101"/>
    <w:basedOn w:val="1"/>
    <w:qFormat/>
    <w:uiPriority w:val="0"/>
    <w:pPr>
      <w:pBdr>
        <w:top w:val="single" w:color="000000" w:sz="4" w:space="0"/>
        <w:left w:val="single" w:color="000000" w:sz="4" w:space="0"/>
        <w:bottom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36">
    <w:name w:val="et102"/>
    <w:basedOn w:val="1"/>
    <w:qFormat/>
    <w:uiPriority w:val="0"/>
    <w:pPr>
      <w:pBdr>
        <w:top w:val="single" w:color="000000" w:sz="4" w:space="0"/>
        <w:left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37">
    <w:name w:val="et103"/>
    <w:basedOn w:val="1"/>
    <w:qFormat/>
    <w:uiPriority w:val="0"/>
    <w:pPr>
      <w:pBdr>
        <w:left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38">
    <w:name w:val="et104"/>
    <w:basedOn w:val="1"/>
    <w:qFormat/>
    <w:uiPriority w:val="0"/>
    <w:pPr>
      <w:pBdr>
        <w:left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39">
    <w:name w:val="et105"/>
    <w:basedOn w:val="1"/>
    <w:qFormat/>
    <w:uiPriority w:val="0"/>
    <w:pPr>
      <w:pBdr>
        <w:left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40">
    <w:name w:val="et106"/>
    <w:basedOn w:val="1"/>
    <w:qFormat/>
    <w:uiPriority w:val="0"/>
    <w:pPr>
      <w:pBdr>
        <w:left w:val="single" w:color="000000" w:sz="4" w:space="0"/>
        <w:bottom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41">
    <w:name w:val="et107"/>
    <w:basedOn w:val="1"/>
    <w:qFormat/>
    <w:uiPriority w:val="0"/>
    <w:pPr>
      <w:pBdr>
        <w:left w:val="single" w:color="000000" w:sz="4" w:space="0"/>
        <w:bottom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42">
    <w:name w:val="et108"/>
    <w:basedOn w:val="1"/>
    <w:qFormat/>
    <w:uiPriority w:val="0"/>
    <w:pPr>
      <w:pBdr>
        <w:left w:val="single" w:color="000000" w:sz="4" w:space="0"/>
        <w:bottom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43">
    <w:name w:val="et109"/>
    <w:basedOn w:val="1"/>
    <w:qFormat/>
    <w:uiPriority w:val="0"/>
    <w:pPr>
      <w:pBdr>
        <w:top w:val="single" w:color="000000" w:sz="4" w:space="0"/>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44">
    <w:name w:val="et110"/>
    <w:basedOn w:val="1"/>
    <w:qFormat/>
    <w:uiPriority w:val="0"/>
    <w:pPr>
      <w:pBdr>
        <w:top w:val="single" w:color="000000" w:sz="4" w:space="0"/>
        <w:left w:val="single" w:color="000000" w:sz="4" w:space="0"/>
        <w:bottom w:val="single" w:color="000000" w:sz="4" w:space="0"/>
        <w:right w:val="single" w:color="000000" w:sz="4" w:space="0"/>
      </w:pBdr>
      <w:shd w:val="clear" w:color="auto" w:fill="FEE796"/>
      <w:spacing w:before="100" w:beforeAutospacing="1" w:after="100" w:afterAutospacing="1"/>
    </w:pPr>
    <w:rPr>
      <w:rFonts w:ascii="宋体" w:hAnsi="宋体" w:cs="宋体"/>
      <w:sz w:val="24"/>
      <w:szCs w:val="24"/>
    </w:rPr>
  </w:style>
  <w:style w:type="paragraph" w:customStyle="1" w:styleId="2545">
    <w:name w:val="et111"/>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46">
    <w:name w:val="et112"/>
    <w:basedOn w:val="1"/>
    <w:qFormat/>
    <w:uiPriority w:val="0"/>
    <w:pPr>
      <w:pBdr>
        <w:left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47">
    <w:name w:val="et113"/>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48">
    <w:name w:val="et114"/>
    <w:basedOn w:val="1"/>
    <w:qFormat/>
    <w:uiPriority w:val="0"/>
    <w:pPr>
      <w:pBdr>
        <w:top w:val="single" w:color="000000" w:sz="4" w:space="0"/>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49">
    <w:name w:val="et115"/>
    <w:basedOn w:val="1"/>
    <w:qFormat/>
    <w:uiPriority w:val="0"/>
    <w:pPr>
      <w:pBdr>
        <w:top w:val="single" w:color="000000" w:sz="4" w:space="0"/>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50">
    <w:name w:val="et11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sz w:val="24"/>
      <w:szCs w:val="24"/>
    </w:rPr>
  </w:style>
  <w:style w:type="paragraph" w:customStyle="1" w:styleId="2551">
    <w:name w:val="et117"/>
    <w:basedOn w:val="1"/>
    <w:qFormat/>
    <w:uiPriority w:val="0"/>
    <w:pPr>
      <w:pBdr>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52">
    <w:name w:val="et118"/>
    <w:basedOn w:val="1"/>
    <w:qFormat/>
    <w:uiPriority w:val="0"/>
    <w:pPr>
      <w:pBdr>
        <w:left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53">
    <w:name w:val="et119"/>
    <w:basedOn w:val="1"/>
    <w:qFormat/>
    <w:uiPriority w:val="0"/>
    <w:pPr>
      <w:pBdr>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54">
    <w:name w:val="et120"/>
    <w:basedOn w:val="1"/>
    <w:qFormat/>
    <w:uiPriority w:val="0"/>
    <w:pPr>
      <w:pBdr>
        <w:left w:val="single" w:color="000000" w:sz="4" w:space="0"/>
        <w:bottom w:val="single" w:color="000000" w:sz="4" w:space="0"/>
        <w:right w:val="single" w:color="000000" w:sz="4" w:space="0"/>
      </w:pBdr>
      <w:shd w:val="clear" w:color="auto" w:fill="FEE796"/>
      <w:spacing w:before="100" w:beforeAutospacing="1" w:after="100" w:afterAutospacing="1"/>
      <w:jc w:val="center"/>
    </w:pPr>
    <w:rPr>
      <w:rFonts w:ascii="宋体" w:hAnsi="宋体" w:cs="宋体"/>
      <w:sz w:val="24"/>
      <w:szCs w:val="24"/>
    </w:rPr>
  </w:style>
  <w:style w:type="paragraph" w:customStyle="1" w:styleId="2555">
    <w:name w:val="et121"/>
    <w:basedOn w:val="1"/>
    <w:qFormat/>
    <w:uiPriority w:val="0"/>
    <w:pPr>
      <w:pBdr>
        <w:top w:val="single" w:color="000000" w:sz="4" w:space="0"/>
        <w:left w:val="single" w:color="000000" w:sz="4" w:space="0"/>
        <w:bottom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56">
    <w:name w:val="et122"/>
    <w:basedOn w:val="1"/>
    <w:qFormat/>
    <w:uiPriority w:val="0"/>
    <w:pPr>
      <w:pBdr>
        <w:top w:val="single" w:color="000000" w:sz="4" w:space="0"/>
        <w:left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57">
    <w:name w:val="et123"/>
    <w:basedOn w:val="1"/>
    <w:qFormat/>
    <w:uiPriority w:val="0"/>
    <w:pPr>
      <w:pBdr>
        <w:left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58">
    <w:name w:val="et124"/>
    <w:basedOn w:val="1"/>
    <w:qFormat/>
    <w:uiPriority w:val="0"/>
    <w:pPr>
      <w:pBdr>
        <w:left w:val="single" w:color="000000" w:sz="4" w:space="0"/>
        <w:bottom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59">
    <w:name w:val="et125"/>
    <w:basedOn w:val="1"/>
    <w:qFormat/>
    <w:uiPriority w:val="0"/>
    <w:pPr>
      <w:pBdr>
        <w:top w:val="single" w:color="000000" w:sz="4" w:space="0"/>
        <w:left w:val="single" w:color="000000" w:sz="4" w:space="0"/>
        <w:bottom w:val="single" w:color="000000" w:sz="4" w:space="0"/>
        <w:right w:val="single" w:color="000000" w:sz="4" w:space="0"/>
      </w:pBdr>
      <w:shd w:val="clear" w:color="auto" w:fill="C9E4B4"/>
      <w:spacing w:before="100" w:beforeAutospacing="1" w:after="100" w:afterAutospacing="1"/>
      <w:jc w:val="center"/>
    </w:pPr>
    <w:rPr>
      <w:rFonts w:ascii="宋体" w:hAnsi="宋体" w:cs="宋体"/>
      <w:sz w:val="24"/>
      <w:szCs w:val="24"/>
    </w:rPr>
  </w:style>
  <w:style w:type="paragraph" w:customStyle="1" w:styleId="2560">
    <w:name w:val="et12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sz w:val="24"/>
      <w:szCs w:val="24"/>
    </w:rPr>
  </w:style>
  <w:style w:type="paragraph" w:customStyle="1" w:styleId="2561">
    <w:name w:val="et127"/>
    <w:basedOn w:val="1"/>
    <w:qFormat/>
    <w:uiPriority w:val="0"/>
    <w:pPr>
      <w:pBdr>
        <w:top w:val="single" w:color="000000" w:sz="4" w:space="0"/>
        <w:left w:val="single" w:color="000000" w:sz="4" w:space="0"/>
        <w:bottom w:val="single" w:color="000000" w:sz="4" w:space="0"/>
        <w:right w:val="single" w:color="000000" w:sz="4" w:space="0"/>
      </w:pBdr>
      <w:shd w:val="clear" w:color="auto" w:fill="A8EAE4"/>
      <w:spacing w:before="100" w:beforeAutospacing="1" w:after="100" w:afterAutospacing="1"/>
      <w:jc w:val="center"/>
    </w:pPr>
    <w:rPr>
      <w:rFonts w:ascii="宋体" w:hAnsi="宋体" w:cs="宋体"/>
      <w:sz w:val="24"/>
      <w:szCs w:val="24"/>
    </w:rPr>
  </w:style>
  <w:style w:type="paragraph" w:customStyle="1" w:styleId="2562">
    <w:name w:val="xl144"/>
    <w:basedOn w:val="1"/>
    <w:qFormat/>
    <w:uiPriority w:val="0"/>
    <w:pPr>
      <w:pBdr>
        <w:left w:val="single" w:color="auto" w:sz="4" w:space="0"/>
        <w:right w:val="single" w:color="auto" w:sz="4" w:space="0"/>
      </w:pBdr>
      <w:shd w:val="clear" w:color="000000" w:fill="FEE796"/>
      <w:spacing w:before="100" w:beforeAutospacing="1" w:after="100" w:afterAutospacing="1"/>
      <w:jc w:val="center"/>
    </w:pPr>
    <w:rPr>
      <w:rFonts w:ascii="宋体" w:hAnsi="宋体" w:cs="宋体"/>
      <w:sz w:val="24"/>
      <w:szCs w:val="24"/>
    </w:rPr>
  </w:style>
  <w:style w:type="paragraph" w:customStyle="1" w:styleId="2563">
    <w:name w:val="xl145"/>
    <w:basedOn w:val="1"/>
    <w:qFormat/>
    <w:uiPriority w:val="0"/>
    <w:pPr>
      <w:pBdr>
        <w:left w:val="single" w:color="auto" w:sz="4" w:space="0"/>
        <w:bottom w:val="single" w:color="auto" w:sz="4" w:space="0"/>
        <w:right w:val="single" w:color="auto" w:sz="4" w:space="0"/>
      </w:pBdr>
      <w:shd w:val="clear" w:color="000000" w:fill="FEE796"/>
      <w:spacing w:before="100" w:beforeAutospacing="1" w:after="100" w:afterAutospacing="1"/>
      <w:jc w:val="center"/>
    </w:pPr>
    <w:rPr>
      <w:rFonts w:ascii="宋体" w:hAnsi="宋体" w:cs="宋体"/>
      <w:sz w:val="24"/>
      <w:szCs w:val="24"/>
    </w:rPr>
  </w:style>
  <w:style w:type="paragraph" w:customStyle="1" w:styleId="2564">
    <w:name w:val="xl146"/>
    <w:basedOn w:val="1"/>
    <w:qFormat/>
    <w:uiPriority w:val="0"/>
    <w:pPr>
      <w:pBdr>
        <w:top w:val="single" w:color="auto" w:sz="4" w:space="0"/>
        <w:left w:val="single" w:color="auto" w:sz="4" w:space="0"/>
        <w:right w:val="single" w:color="auto" w:sz="4" w:space="0"/>
      </w:pBdr>
      <w:shd w:val="clear" w:color="000000" w:fill="C9E4B4"/>
      <w:spacing w:before="100" w:beforeAutospacing="1" w:after="100" w:afterAutospacing="1"/>
      <w:jc w:val="center"/>
    </w:pPr>
    <w:rPr>
      <w:rFonts w:ascii="宋体" w:hAnsi="宋体" w:cs="宋体"/>
      <w:sz w:val="24"/>
      <w:szCs w:val="24"/>
    </w:rPr>
  </w:style>
  <w:style w:type="paragraph" w:customStyle="1" w:styleId="2565">
    <w:name w:val="xl147"/>
    <w:basedOn w:val="1"/>
    <w:qFormat/>
    <w:uiPriority w:val="0"/>
    <w:pPr>
      <w:pBdr>
        <w:left w:val="single" w:color="auto" w:sz="4" w:space="0"/>
        <w:right w:val="single" w:color="auto" w:sz="4" w:space="0"/>
      </w:pBdr>
      <w:shd w:val="clear" w:color="000000" w:fill="C9E4B4"/>
      <w:spacing w:before="100" w:beforeAutospacing="1" w:after="100" w:afterAutospacing="1"/>
      <w:jc w:val="center"/>
    </w:pPr>
    <w:rPr>
      <w:rFonts w:ascii="宋体" w:hAnsi="宋体" w:cs="宋体"/>
      <w:sz w:val="24"/>
      <w:szCs w:val="24"/>
    </w:rPr>
  </w:style>
  <w:style w:type="paragraph" w:customStyle="1" w:styleId="2566">
    <w:name w:val="xl148"/>
    <w:basedOn w:val="1"/>
    <w:qFormat/>
    <w:uiPriority w:val="0"/>
    <w:pPr>
      <w:pBdr>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sz w:val="24"/>
      <w:szCs w:val="24"/>
    </w:rPr>
  </w:style>
  <w:style w:type="paragraph" w:customStyle="1" w:styleId="2567">
    <w:name w:val="xl149"/>
    <w:basedOn w:val="1"/>
    <w:qFormat/>
    <w:uiPriority w:val="0"/>
    <w:pPr>
      <w:pBdr>
        <w:top w:val="single" w:color="auto" w:sz="4" w:space="0"/>
        <w:left w:val="single" w:color="auto" w:sz="4" w:space="0"/>
        <w:right w:val="single" w:color="auto" w:sz="4" w:space="0"/>
      </w:pBdr>
      <w:shd w:val="clear" w:color="000000" w:fill="FEE796"/>
      <w:spacing w:before="100" w:beforeAutospacing="1" w:after="100" w:afterAutospacing="1"/>
      <w:jc w:val="center"/>
    </w:pPr>
    <w:rPr>
      <w:rFonts w:ascii="宋体" w:hAnsi="宋体" w:cs="宋体"/>
      <w:sz w:val="24"/>
      <w:szCs w:val="24"/>
    </w:rPr>
  </w:style>
  <w:style w:type="paragraph" w:customStyle="1" w:styleId="2568">
    <w:name w:val="xl150"/>
    <w:basedOn w:val="1"/>
    <w:qFormat/>
    <w:uiPriority w:val="0"/>
    <w:pPr>
      <w:pBdr>
        <w:left w:val="single" w:color="auto" w:sz="4" w:space="0"/>
        <w:right w:val="single" w:color="auto" w:sz="4" w:space="0"/>
      </w:pBdr>
      <w:shd w:val="clear" w:color="000000" w:fill="FEE796"/>
      <w:spacing w:before="100" w:beforeAutospacing="1" w:after="100" w:afterAutospacing="1"/>
      <w:jc w:val="center"/>
    </w:pPr>
    <w:rPr>
      <w:rFonts w:ascii="宋体" w:hAnsi="宋体" w:cs="宋体"/>
      <w:sz w:val="24"/>
      <w:szCs w:val="24"/>
    </w:rPr>
  </w:style>
  <w:style w:type="paragraph" w:customStyle="1" w:styleId="2569">
    <w:name w:val="xl151"/>
    <w:basedOn w:val="1"/>
    <w:qFormat/>
    <w:uiPriority w:val="0"/>
    <w:pPr>
      <w:pBdr>
        <w:left w:val="single" w:color="auto" w:sz="4" w:space="0"/>
        <w:bottom w:val="single" w:color="auto" w:sz="4" w:space="0"/>
        <w:right w:val="single" w:color="auto" w:sz="4" w:space="0"/>
      </w:pBdr>
      <w:shd w:val="clear" w:color="000000" w:fill="FEE796"/>
      <w:spacing w:before="100" w:beforeAutospacing="1" w:after="100" w:afterAutospacing="1"/>
      <w:jc w:val="center"/>
    </w:pPr>
    <w:rPr>
      <w:rFonts w:ascii="宋体" w:hAnsi="宋体" w:cs="宋体"/>
      <w:sz w:val="24"/>
      <w:szCs w:val="24"/>
    </w:rPr>
  </w:style>
  <w:style w:type="paragraph" w:customStyle="1" w:styleId="2570">
    <w:name w:val="xl152"/>
    <w:basedOn w:val="1"/>
    <w:qFormat/>
    <w:uiPriority w:val="0"/>
    <w:pPr>
      <w:pBdr>
        <w:top w:val="single" w:color="auto" w:sz="4" w:space="0"/>
        <w:left w:val="single" w:color="auto" w:sz="4" w:space="0"/>
        <w:right w:val="single" w:color="auto" w:sz="4" w:space="0"/>
      </w:pBdr>
      <w:shd w:val="clear" w:color="000000" w:fill="C9E4B4"/>
      <w:spacing w:before="100" w:beforeAutospacing="1" w:after="100" w:afterAutospacing="1"/>
      <w:jc w:val="center"/>
    </w:pPr>
    <w:rPr>
      <w:rFonts w:ascii="宋体" w:hAnsi="宋体" w:cs="宋体"/>
      <w:sz w:val="24"/>
      <w:szCs w:val="24"/>
    </w:rPr>
  </w:style>
  <w:style w:type="paragraph" w:customStyle="1" w:styleId="2571">
    <w:name w:val="xl153"/>
    <w:basedOn w:val="1"/>
    <w:qFormat/>
    <w:uiPriority w:val="0"/>
    <w:pPr>
      <w:pBdr>
        <w:left w:val="single" w:color="auto" w:sz="4" w:space="0"/>
        <w:right w:val="single" w:color="auto" w:sz="4" w:space="0"/>
      </w:pBdr>
      <w:shd w:val="clear" w:color="000000" w:fill="C9E4B4"/>
      <w:spacing w:before="100" w:beforeAutospacing="1" w:after="100" w:afterAutospacing="1"/>
      <w:jc w:val="center"/>
    </w:pPr>
    <w:rPr>
      <w:rFonts w:ascii="宋体" w:hAnsi="宋体" w:cs="宋体"/>
      <w:sz w:val="24"/>
      <w:szCs w:val="24"/>
    </w:rPr>
  </w:style>
  <w:style w:type="paragraph" w:customStyle="1" w:styleId="2572">
    <w:name w:val="xl154"/>
    <w:basedOn w:val="1"/>
    <w:qFormat/>
    <w:uiPriority w:val="0"/>
    <w:pPr>
      <w:pBdr>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sz w:val="24"/>
      <w:szCs w:val="24"/>
    </w:rPr>
  </w:style>
  <w:style w:type="paragraph" w:customStyle="1" w:styleId="2573">
    <w:name w:val="xl155"/>
    <w:basedOn w:val="1"/>
    <w:qFormat/>
    <w:uiPriority w:val="0"/>
    <w:pPr>
      <w:pBdr>
        <w:left w:val="single" w:color="auto" w:sz="4" w:space="0"/>
        <w:right w:val="single" w:color="auto" w:sz="4" w:space="0"/>
      </w:pBdr>
      <w:spacing w:before="100" w:beforeAutospacing="1" w:after="100" w:afterAutospacing="1"/>
      <w:jc w:val="center"/>
    </w:pPr>
    <w:rPr>
      <w:rFonts w:ascii="宋体" w:hAnsi="宋体" w:cs="宋体"/>
      <w:sz w:val="21"/>
      <w:szCs w:val="21"/>
    </w:rPr>
  </w:style>
  <w:style w:type="paragraph" w:customStyle="1" w:styleId="2574">
    <w:name w:val="xl156"/>
    <w:basedOn w:val="1"/>
    <w:qFormat/>
    <w:uiPriority w:val="0"/>
    <w:pPr>
      <w:pBdr>
        <w:top w:val="single" w:color="auto" w:sz="4" w:space="0"/>
        <w:bottom w:val="single" w:color="auto" w:sz="4" w:space="0"/>
      </w:pBdr>
      <w:spacing w:before="100" w:beforeAutospacing="1" w:after="100" w:afterAutospacing="1"/>
      <w:jc w:val="center"/>
    </w:pPr>
    <w:rPr>
      <w:rFonts w:ascii="宋体" w:hAnsi="宋体" w:cs="宋体"/>
      <w:sz w:val="24"/>
      <w:szCs w:val="24"/>
    </w:rPr>
  </w:style>
  <w:style w:type="paragraph" w:customStyle="1" w:styleId="2575">
    <w:name w:val="xl157"/>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宋体" w:hAnsi="宋体" w:cs="宋体"/>
      <w:sz w:val="21"/>
      <w:szCs w:val="21"/>
    </w:rPr>
  </w:style>
  <w:style w:type="paragraph" w:customStyle="1" w:styleId="2576">
    <w:name w:val="xl158"/>
    <w:basedOn w:val="1"/>
    <w:qFormat/>
    <w:uiPriority w:val="0"/>
    <w:pPr>
      <w:pBdr>
        <w:top w:val="single" w:color="auto" w:sz="4" w:space="0"/>
        <w:bottom w:val="single" w:color="auto" w:sz="4" w:space="0"/>
      </w:pBdr>
      <w:spacing w:before="100" w:beforeAutospacing="1" w:after="100" w:afterAutospacing="1"/>
      <w:jc w:val="center"/>
    </w:pPr>
    <w:rPr>
      <w:rFonts w:ascii="宋体" w:hAnsi="宋体" w:cs="宋体"/>
      <w:sz w:val="21"/>
      <w:szCs w:val="21"/>
    </w:rPr>
  </w:style>
  <w:style w:type="paragraph" w:customStyle="1" w:styleId="2577">
    <w:name w:val="xl159"/>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1"/>
      <w:szCs w:val="21"/>
    </w:rPr>
  </w:style>
  <w:style w:type="paragraph" w:customStyle="1" w:styleId="2578">
    <w:name w:val="xl160"/>
    <w:basedOn w:val="1"/>
    <w:qFormat/>
    <w:uiPriority w:val="0"/>
    <w:pPr>
      <w:pBdr>
        <w:top w:val="single" w:color="auto" w:sz="4" w:space="0"/>
        <w:left w:val="single" w:color="auto" w:sz="4" w:space="0"/>
        <w:right w:val="single" w:color="auto" w:sz="4" w:space="0"/>
      </w:pBdr>
      <w:shd w:val="clear" w:color="000000" w:fill="F4B7BE"/>
      <w:spacing w:before="100" w:beforeAutospacing="1" w:after="100" w:afterAutospacing="1"/>
      <w:jc w:val="center"/>
    </w:pPr>
    <w:rPr>
      <w:rFonts w:ascii="宋体" w:hAnsi="宋体" w:cs="宋体"/>
      <w:sz w:val="24"/>
      <w:szCs w:val="24"/>
    </w:rPr>
  </w:style>
  <w:style w:type="paragraph" w:customStyle="1" w:styleId="2579">
    <w:name w:val="xl161"/>
    <w:basedOn w:val="1"/>
    <w:qFormat/>
    <w:uiPriority w:val="0"/>
    <w:pPr>
      <w:pBdr>
        <w:left w:val="single" w:color="auto" w:sz="4" w:space="0"/>
        <w:right w:val="single" w:color="auto" w:sz="4" w:space="0"/>
      </w:pBdr>
      <w:shd w:val="clear" w:color="000000" w:fill="F4B7BE"/>
      <w:spacing w:before="100" w:beforeAutospacing="1" w:after="100" w:afterAutospacing="1"/>
      <w:jc w:val="center"/>
    </w:pPr>
    <w:rPr>
      <w:rFonts w:ascii="宋体" w:hAnsi="宋体" w:cs="宋体"/>
      <w:sz w:val="24"/>
      <w:szCs w:val="24"/>
    </w:rPr>
  </w:style>
  <w:style w:type="paragraph" w:customStyle="1" w:styleId="2580">
    <w:name w:val="xl162"/>
    <w:basedOn w:val="1"/>
    <w:qFormat/>
    <w:uiPriority w:val="0"/>
    <w:pPr>
      <w:pBdr>
        <w:left w:val="single" w:color="auto" w:sz="4" w:space="0"/>
        <w:bottom w:val="single" w:color="auto" w:sz="4" w:space="0"/>
        <w:right w:val="single" w:color="auto" w:sz="4" w:space="0"/>
      </w:pBdr>
      <w:shd w:val="clear" w:color="000000" w:fill="F4B7BE"/>
      <w:spacing w:before="100" w:beforeAutospacing="1" w:after="100" w:afterAutospacing="1"/>
      <w:jc w:val="center"/>
    </w:pPr>
    <w:rPr>
      <w:rFonts w:ascii="宋体" w:hAnsi="宋体" w:cs="宋体"/>
      <w:sz w:val="24"/>
      <w:szCs w:val="24"/>
    </w:rPr>
  </w:style>
  <w:style w:type="table" w:customStyle="1" w:styleId="2581">
    <w:name w:val="表格主题210"/>
    <w:basedOn w:val="82"/>
    <w:qFormat/>
    <w:uiPriority w:val="0"/>
    <w:pPr>
      <w:widowControl w:val="0"/>
      <w:jc w:val="center"/>
    </w:pPr>
    <w:rPr>
      <w:rFonts w:eastAsia="Times New Roman"/>
    </w:rPr>
    <w:tblP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left w:w="28" w:type="dxa"/>
        <w:right w:w="28" w:type="dxa"/>
      </w:tblCellMar>
    </w:tblPr>
    <w:tcPr>
      <w:vAlign w:val="center"/>
    </w:tcPr>
  </w:style>
  <w:style w:type="paragraph" w:customStyle="1" w:styleId="2582">
    <w:name w:val="钛-表格文字"/>
    <w:next w:val="1"/>
    <w:qFormat/>
    <w:uiPriority w:val="0"/>
    <w:pPr>
      <w:spacing w:line="340" w:lineRule="exact"/>
      <w:jc w:val="center"/>
    </w:pPr>
    <w:rPr>
      <w:rFonts w:ascii="Times New Roman" w:hAnsi="Times New Roman" w:eastAsia="宋体" w:cs="Times New Roman"/>
      <w:color w:val="00000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6" Type="http://schemas.openxmlformats.org/officeDocument/2006/relationships/fontTable" Target="fontTable.xml"/><Relationship Id="rId85" Type="http://schemas.openxmlformats.org/officeDocument/2006/relationships/customXml" Target="../customXml/item3.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4.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jpeg"/><Relationship Id="rId66" Type="http://schemas.openxmlformats.org/officeDocument/2006/relationships/image" Target="media/image39.jpeg"/><Relationship Id="rId65" Type="http://schemas.openxmlformats.org/officeDocument/2006/relationships/image" Target="media/image38.png"/><Relationship Id="rId64" Type="http://schemas.openxmlformats.org/officeDocument/2006/relationships/image" Target="media/image37.jpeg"/><Relationship Id="rId63" Type="http://schemas.openxmlformats.org/officeDocument/2006/relationships/image" Target="media/image36.jpe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jpeg"/><Relationship Id="rId6" Type="http://schemas.openxmlformats.org/officeDocument/2006/relationships/footer" Target="footer2.xml"/><Relationship Id="rId59" Type="http://schemas.openxmlformats.org/officeDocument/2006/relationships/image" Target="media/image32.jpe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jpe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jpeg"/><Relationship Id="rId47" Type="http://schemas.openxmlformats.org/officeDocument/2006/relationships/image" Target="media/image20.png"/><Relationship Id="rId46" Type="http://schemas.openxmlformats.org/officeDocument/2006/relationships/image" Target="media/image19.jpeg"/><Relationship Id="rId45" Type="http://schemas.openxmlformats.org/officeDocument/2006/relationships/image" Target="media/image18.png"/><Relationship Id="rId44" Type="http://schemas.openxmlformats.org/officeDocument/2006/relationships/image" Target="media/image17.jpeg"/><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wmf"/><Relationship Id="rId28" Type="http://schemas.openxmlformats.org/officeDocument/2006/relationships/oleObject" Target="embeddings/oleObject1.bin"/><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header" Target="header6.xml"/><Relationship Id="rId22" Type="http://schemas.openxmlformats.org/officeDocument/2006/relationships/header" Target="header5.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header" Target="header3.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de3e61a1-206d-4c7e-9459-17b53a31bc22</errorID>
      <errorWord>资源节约综合利用</errorWord>
      <group>L1_Political</group>
      <groupName>政治性问题</groupName>
      <ability>L2_Keyword</ability>
      <abilityName>固定表述</abilityName>
      <candidateList>
        <item>资源节约集约利用</item>
      </candidateList>
      <explain>词汇“资源节约集约利用”在特定场景下为固定表述形式，请确认此处的“资源节约综合利用”是否存在不当。</explain>
      <paraID>49FF30B2</paraID>
      <start>72</start>
      <end>80</end>
      <status>ignored</status>
      <modifiedWord/>
      <trackRevisions>false</trackRevisions>
    </reviewItem>
    <reviewItem>
      <errorID>45a29736-5689-4748-b5c3-5d0309d080d4</errorID>
      <errorWord>资源节约综合利用</errorWord>
      <group>L1_Political</group>
      <groupName>政治性问题</groupName>
      <ability>L2_Keyword</ability>
      <abilityName>固定表述</abilityName>
      <candidateList>
        <item>资源节约集约利用</item>
      </candidateList>
      <explain>词汇“资源节约集约利用”在特定场景下为固定表述形式，请确认此处的“资源节约综合利用”是否存在不当。</explain>
      <paraID>49FF30B2</paraID>
      <start>160</start>
      <end>168</end>
      <status>ignored</status>
      <modifiedWord/>
      <trackRevisions>false</trackRevisions>
    </reviewItem>
    <reviewItem>
      <errorID>3f105b2d-fde5-4085-9e58-6f085e89e193</errorID>
      <errorWord>，</errorWord>
      <group>L1_Word</group>
      <groupName>字词问题</groupName>
      <ability>L2_Typo</ability>
      <abilityName>字词错误</abilityName>
      <candidateList>
        <item>，对</item>
      </candidateList>
      <explain/>
      <paraID>2D1BF8EB</paraID>
      <start>127</start>
      <end>128</end>
      <status>ignored</status>
      <modifiedWord/>
      <trackRevisions>false</trackRevisions>
    </reviewItem>
    <reviewItem>
      <errorID>703ac1fd-a474-4d20-b609-d157699aa70f</errorID>
      <errorWord>(</errorWord>
      <group>L1_Format</group>
      <groupName>格式问题</groupName>
      <ability>L2_HalfPunc</ability>
      <abilityName>全半角检查</abilityName>
      <candidateList>
        <item>（</item>
      </candidateList>
      <explain>文本全半角错误。</explain>
      <paraID> 8CD1A85</paraID>
      <start>25</start>
      <end>26</end>
      <status>ignored</status>
      <modifiedWord/>
      <trackRevisions>false</trackRevisions>
    </reviewItem>
    <reviewItem>
      <errorID>2fe762f4-3fb2-4a43-824c-490167aaec35</errorID>
      <errorWord>)</errorWord>
      <group>L1_Format</group>
      <groupName>格式问题</groupName>
      <ability>L2_HalfPunc</ability>
      <abilityName>全半角检查</abilityName>
      <candidateList>
        <item>）</item>
      </candidateList>
      <explain>文本全半角错误。</explain>
      <paraID> 8CD1A85</paraID>
      <start>29</start>
      <end>30</end>
      <status>ignored</status>
      <modifiedWord/>
      <trackRevisions>false</trackRevisions>
    </reviewItem>
    <reviewItem>
      <errorID>57934ecf-3716-49de-ba2b-d2f93d42d52e</errorID>
      <errorWord>(</errorWord>
      <group>L1_Format</group>
      <groupName>格式问题</groupName>
      <ability>L2_HalfPunc</ability>
      <abilityName>全半角检查</abilityName>
      <candidateList>
        <item>（</item>
      </candidateList>
      <explain>文本全半角错误。</explain>
      <paraID>236AB956</paraID>
      <start>1</start>
      <end>2</end>
      <status>ignored</status>
      <modifiedWord/>
      <trackRevisions>false</trackRevisions>
    </reviewItem>
    <reviewItem>
      <errorID>7412b8cd-e509-473a-8ad3-cc7ac5257a72</errorID>
      <errorWord>)</errorWord>
      <group>L1_Format</group>
      <groupName>格式问题</groupName>
      <ability>L2_HalfPunc</ability>
      <abilityName>全半角检查</abilityName>
      <candidateList>
        <item>）</item>
      </candidateList>
      <explain>文本全半角错误。</explain>
      <paraID>236AB956</paraID>
      <start>5</start>
      <end>6</end>
      <status>ignored</status>
      <modifiedWord/>
      <trackRevisions>false</trackRevisions>
    </reviewItem>
    <reviewItem>
      <errorID>797d3b3d-4f34-4a92-8d28-b78531fd6d1b</errorID>
      <errorWord>(</errorWord>
      <group>L1_Format</group>
      <groupName>格式问题</groupName>
      <ability>L2_HalfPunc</ability>
      <abilityName>全半角检查</abilityName>
      <candidateList>
        <item>（</item>
      </candidateList>
      <explain>文本全半角错误。</explain>
      <paraID>236AB956</paraID>
      <start>20</start>
      <end>21</end>
      <status>ignored</status>
      <modifiedWord/>
      <trackRevisions>false</trackRevisions>
    </reviewItem>
    <reviewItem>
      <errorID>8a0b517d-2817-4d66-913f-f1fe02d62803</errorID>
      <errorWord>)</errorWord>
      <group>L1_Format</group>
      <groupName>格式问题</groupName>
      <ability>L2_HalfPunc</ability>
      <abilityName>全半角检查</abilityName>
      <candidateList>
        <item>）</item>
      </candidateList>
      <explain>文本全半角错误。</explain>
      <paraID>236AB956</paraID>
      <start>50</start>
      <end>51</end>
      <status>ignored</status>
      <modifiedWord/>
      <trackRevisions>false</trackRevisions>
    </reviewItem>
    <reviewItem>
      <errorID>d7c4bcfb-19e4-47f2-b2e4-8dbf8fd9c9e5</errorID>
      <errorWord>(</errorWord>
      <group>L1_Format</group>
      <groupName>格式问题</groupName>
      <ability>L2_HalfPunc</ability>
      <abilityName>全半角检查</abilityName>
      <candidateList>
        <item>（</item>
      </candidateList>
      <explain>文本全半角错误。</explain>
      <paraID>236AB956</paraID>
      <start>138</start>
      <end>139</end>
      <status>ignored</status>
      <modifiedWord/>
      <trackRevisions>false</trackRevisions>
    </reviewItem>
    <reviewItem>
      <errorID>b3ef4388-217d-4eb8-9b77-70c60192537d</errorID>
      <errorWord>)</errorWord>
      <group>L1_Format</group>
      <groupName>格式问题</groupName>
      <ability>L2_HalfPunc</ability>
      <abilityName>全半角检查</abilityName>
      <candidateList>
        <item>）</item>
      </candidateList>
      <explain>文本全半角错误。</explain>
      <paraID>236AB956</paraID>
      <start>142</start>
      <end>143</end>
      <status>ignored</status>
      <modifiedWord/>
      <trackRevisions>false</trackRevisions>
    </reviewItem>
    <reviewItem>
      <errorID>56c97898-3c89-47c2-8bb1-ca3aea94af54</errorID>
      <errorWord>(</errorWord>
      <group>L1_Format</group>
      <groupName>格式问题</groupName>
      <ability>L2_HalfPunc</ability>
      <abilityName>全半角检查</abilityName>
      <candidateList>
        <item>（</item>
      </candidateList>
      <explain>文本全半角错误。</explain>
      <paraID>236AB956</paraID>
      <start>285</start>
      <end>286</end>
      <status>ignored</status>
      <modifiedWord/>
      <trackRevisions>false</trackRevisions>
    </reviewItem>
    <reviewItem>
      <errorID>14e84d89-693f-4c08-9bce-1a45e4c31b0f</errorID>
      <errorWord>)</errorWord>
      <group>L1_Format</group>
      <groupName>格式问题</groupName>
      <ability>L2_HalfPunc</ability>
      <abilityName>全半角检查</abilityName>
      <candidateList>
        <item>）</item>
      </candidateList>
      <explain>文本全半角错误。</explain>
      <paraID>236AB956</paraID>
      <start>289</start>
      <end>290</end>
      <status>ignored</status>
      <modifiedWord/>
      <trackRevisions>false</trackRevisions>
    </reviewItem>
    <reviewItem>
      <errorID>50075b18-3761-44b8-ab5a-459153d7ebd2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769B4EF4</paraID>
      <start>24</start>
      <end>25</end>
      <status>ignored</status>
      <modifiedWord/>
      <trackRevisions>false</trackRevisions>
    </reviewItem>
    <reviewItem>
      <errorID>aec2a979-8336-432d-acbf-403ebee0c00b</errorID>
      <errorWord>》</errorWord>
      <group>L1_Word</group>
      <groupName>字词问题</groupName>
      <ability>L2_Typo</ability>
      <abilityName>字词错误</abilityName>
      <candidateList>
        <item>》等</item>
      </candidateList>
      <explain/>
      <paraID>769B4EF4</paraID>
      <start>57</start>
      <end>58</end>
      <status>ignored</status>
      <modifiedWord/>
      <trackRevisions>false</trackRevisions>
    </reviewItem>
    <reviewItem>
      <errorID>a3789570-953a-4691-8a3e-a60c89fb8132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3F30CC18</paraID>
      <start>25</start>
      <end>26</end>
      <status>ignored</status>
      <modifiedWord/>
      <trackRevisions>false</trackRevisions>
    </reviewItem>
    <reviewItem>
      <errorID>4410b376-18f4-4124-a4fc-296e99add675</errorID>
      <errorWord>(</errorWord>
      <group>L1_Format</group>
      <groupName>格式问题</groupName>
      <ability>L2_HalfPunc</ability>
      <abilityName>全半角检查</abilityName>
      <candidateList>
        <item>（</item>
      </candidateList>
      <explain>文本全半角错误。</explain>
      <paraID>65B13288</paraID>
      <start>110</start>
      <end>111</end>
      <status>ignored</status>
      <modifiedWord/>
      <trackRevisions>false</trackRevisions>
    </reviewItem>
    <reviewItem>
      <errorID>1ece546b-ef4d-4fc4-9031-b51857c49140</errorID>
      <errorWord>)</errorWord>
      <group>L1_Format</group>
      <groupName>格式问题</groupName>
      <ability>L2_HalfPunc</ability>
      <abilityName>全半角检查</abilityName>
      <candidateList>
        <item>）</item>
      </candidateList>
      <explain>文本全半角错误。</explain>
      <paraID>65B13288</paraID>
      <start>115</start>
      <end>116</end>
      <status>ignored</status>
      <modifiedWord/>
      <trackRevisions>false</trackRevisions>
    </reviewItem>
    <reviewItem>
      <errorID>ea5302df-db6c-4b4c-b272-d322398643a6</errorID>
      <errorWord>制订</errorWord>
      <group>L1_Word</group>
      <groupName>字词问题</groupName>
      <ability>L2_Typo</ability>
      <abilityName>字词错误</abilityName>
      <candidateList>
        <item>制定</item>
      </candidateList>
      <explain>〈动〉定出（法律、规程、政策等）：～宪法｜～学会章程。</explain>
      <paraID>65B13288</paraID>
      <start>156</start>
      <end>158</end>
      <status>ignored</status>
      <modifiedWord/>
      <trackRevisions>false</trackRevisions>
    </reviewItem>
    <reviewItem>
      <errorID>b0823d8c-d161-43f3-8cbe-825ef3a20abe</errorID>
      <errorWord>(</errorWord>
      <group>L1_Format</group>
      <groupName>格式问题</groupName>
      <ability>L2_HalfPunc</ability>
      <abilityName>全半角检查</abilityName>
      <candidateList>
        <item>（</item>
      </candidateList>
      <explain>文本全半角错误。</explain>
      <paraID>65B13288</paraID>
      <start>214</start>
      <end>215</end>
      <status>ignored</status>
      <modifiedWord/>
      <trackRevisions>false</trackRevisions>
    </reviewItem>
    <reviewItem>
      <errorID>5be53dfa-3989-4bbb-a4ec-6e69aec6646c</errorID>
      <errorWord>)</errorWord>
      <group>L1_Format</group>
      <groupName>格式问题</groupName>
      <ability>L2_HalfPunc</ability>
      <abilityName>全半角检查</abilityName>
      <candidateList>
        <item>）</item>
      </candidateList>
      <explain>文本全半角错误。</explain>
      <paraID>65B13288</paraID>
      <start>216</start>
      <end>217</end>
      <status>ignored</status>
      <modifiedWord/>
      <trackRevisions>false</trackRevisions>
    </reviewItem>
    <reviewItem>
      <errorID>d2b2d468-10aa-4cda-a11f-9ee86e8bf3fb</errorID>
      <errorWord>外逸</errorWord>
      <group>L1_Word</group>
      <groupName>字词问题</groupName>
      <ability>L2_Typo</ability>
      <abilityName>字词错误</abilityName>
      <candidateList>
        <item>外溢</item>
      </candidateList>
      <explain/>
      <paraID> D50970D</paraID>
      <start>189</start>
      <end>191</end>
      <status>ignored</status>
      <modifiedWord/>
      <trackRevisions>false</trackRevisions>
    </reviewItem>
    <reviewItem>
      <errorID>fd093a3b-0979-4bcf-b773-889c01bcd67a</errorID>
      <errorWord>新兴工业化</errorWord>
      <group>L1_Political</group>
      <groupName>政治性问题</groupName>
      <ability>L2_Keyword</ability>
      <abilityName>固定表述</abilityName>
      <candidateList>
        <item>新型工业化</item>
      </candidateList>
      <explain>词汇“新型工业化”在特定场景下为固定表述形式，请确认此处的“新兴工业化”是否存在不当。</explain>
      <paraID>3881A170</paraID>
      <start>72</start>
      <end>77</end>
      <status>ignored</status>
      <modifiedWord/>
      <trackRevisions>false</trackRevisions>
    </reviewItem>
    <reviewItem>
      <errorID>85ec5cfe-3c07-4f16-a711-8723ad3f1f4d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71FACD22</paraID>
      <start>71</start>
      <end>72</end>
      <status>ignored</status>
      <modifiedWord/>
      <trackRevisions>false</trackRevisions>
    </reviewItem>
    <reviewItem>
      <errorID>95506fce-fc6a-4a60-aa8b-fe2b979b2956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3B296EE3</paraID>
      <start>0</start>
      <end>2</end>
      <status>ignored</status>
      <modifiedWord/>
      <trackRevisions>false</trackRevisions>
    </reviewItem>
    <reviewItem>
      <errorID>c50a41c0-b94c-4afb-b4df-28c8f90c7f70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56F72C05</paraID>
      <start>0</start>
      <end>2</end>
      <status>ignored</status>
      <modifiedWord/>
      <trackRevisions>false</trackRevisions>
    </reviewItem>
    <reviewItem>
      <errorID>b89e49ac-39dd-4371-8aec-190256303705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BD50B4</paraID>
      <start>0</start>
      <end>2</end>
      <status>ignored</status>
      <modifiedWord/>
      <trackRevisions>false</trackRevisions>
    </reviewItem>
    <reviewItem>
      <errorID>ddcf589b-b1f2-40f1-a61e-4cac7fb4cf7e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619D474F</paraID>
      <start>0</start>
      <end>2</end>
      <status>ignored</status>
      <modifiedWord/>
      <trackRevisions>false</trackRevisions>
    </reviewItem>
    <reviewItem>
      <errorID>ed83666f-c919-45e7-815c-c95a2a839a6e</errorID>
      <errorWord>．</errorWord>
      <group>L1_Word</group>
      <groupName>字词问题</groupName>
      <ability>L2_Typo</ability>
      <abilityName>字词错误</abilityName>
      <candidateList>
        <item>．在</item>
      </candidateList>
      <explain/>
      <paraID>58326E07</paraID>
      <start>1</start>
      <end>2</end>
      <status>ignored</status>
      <modifiedWord/>
      <trackRevisions>false</trackRevisions>
    </reviewItem>
    <reviewItem>
      <errorID>1c145087-2b22-480b-9439-f09f1ad27daf</errorID>
      <errorWord>(</errorWord>
      <group>L1_Format</group>
      <groupName>格式问题</groupName>
      <ability>L2_HalfPunc</ability>
      <abilityName>全半角检查</abilityName>
      <candidateList>
        <item>（</item>
      </candidateList>
      <explain>文本全半角错误。</explain>
      <paraID>50A7AE47</paraID>
      <start>25</start>
      <end>26</end>
      <status>ignored</status>
      <modifiedWord/>
      <trackRevisions>false</trackRevisions>
    </reviewItem>
    <reviewItem>
      <errorID>7f89d468-86e9-467d-9eb3-4c4317ca5b95</errorID>
      <errorWord>)</errorWord>
      <group>L1_Format</group>
      <groupName>格式问题</groupName>
      <ability>L2_HalfPunc</ability>
      <abilityName>全半角检查</abilityName>
      <candidateList>
        <item>）</item>
      </candidateList>
      <explain>文本全半角错误。</explain>
      <paraID>50A7AE47</paraID>
      <start>43</start>
      <end>44</end>
      <status>ignored</status>
      <modifiedWord/>
      <trackRevisions>false</trackRevisions>
    </reviewItem>
    <reviewItem>
      <errorID>90724d13-2fcd-4b9d-9778-ff1fff768411</errorID>
      <errorWord>（</errorWord>
      <group>L1_Format</group>
      <groupName>格式问题</groupName>
      <ability>L2_HalfPunc</ability>
      <abilityName>全半角检查</abilityName>
      <candidateList>
        <item>(</item>
      </candidateList>
      <explain>文本全半角错误。</explain>
      <paraID>6528B24D</paraID>
      <start>0</start>
      <end>1</end>
      <status>ignored</status>
      <modifiedWord/>
      <trackRevisions>false</trackRevisions>
    </reviewItem>
    <reviewItem>
      <errorID>7f6ab395-ee2c-4a7d-a61c-1369316a91b9</errorID>
      <errorWord>）</errorWord>
      <group>L1_Format</group>
      <groupName>格式问题</groupName>
      <ability>L2_HalfPunc</ability>
      <abilityName>全半角检查</abilityName>
      <candidateList>
        <item>)</item>
      </candidateList>
      <explain>文本全半角错误。</explain>
      <paraID>6528B24D</paraID>
      <start>6</start>
      <end>7</end>
      <status>ignored</status>
      <modifiedWord/>
      <trackRevisions>false</trackRevisions>
    </reviewItem>
    <reviewItem>
      <errorID>25d0f178-d188-4380-8920-004adfd6383d</errorID>
      <errorWord>(</errorWord>
      <group>L1_Format</group>
      <groupName>格式问题</groupName>
      <ability>L2_HalfPunc</ability>
      <abilityName>全半角检查</abilityName>
      <candidateList>
        <item>（</item>
      </candidateList>
      <explain>文本全半角错误。</explain>
      <paraID> 5DBB140</paraID>
      <start>3</start>
      <end>4</end>
      <status>ignored</status>
      <modifiedWord/>
      <trackRevisions>false</trackRevisions>
    </reviewItem>
    <reviewItem>
      <errorID>8b0274bc-3068-4ede-89b3-d5db8878f365</errorID>
      <errorWord>)</errorWord>
      <group>L1_Format</group>
      <groupName>格式问题</groupName>
      <ability>L2_HalfPunc</ability>
      <abilityName>全半角检查</abilityName>
      <candidateList>
        <item>）</item>
      </candidateList>
      <explain>文本全半角错误。</explain>
      <paraID> 5DBB140</paraID>
      <start>5</start>
      <end>6</end>
      <status>ignored</status>
      <modifiedWord/>
      <trackRevisions>false</trackRevisions>
    </reviewItem>
    <reviewItem>
      <errorID>6e6a0349-884d-40ba-afbc-81ea400eb3db</errorID>
      <errorWord>(</errorWord>
      <group>L1_Format</group>
      <groupName>格式问题</groupName>
      <ability>L2_HalfPunc</ability>
      <abilityName>全半角检查</abilityName>
      <candidateList>
        <item>（</item>
      </candidateList>
      <explain>文本全半角错误。</explain>
      <paraID>685655D2</paraID>
      <start>4</start>
      <end>5</end>
      <status>ignored</status>
      <modifiedWord/>
      <trackRevisions>false</trackRevisions>
    </reviewItem>
    <reviewItem>
      <errorID>f100e2f9-53d5-48fb-aff1-144e223f0a8c</errorID>
      <errorWord>)</errorWord>
      <group>L1_Format</group>
      <groupName>格式问题</groupName>
      <ability>L2_HalfPunc</ability>
      <abilityName>全半角检查</abilityName>
      <candidateList>
        <item>）</item>
      </candidateList>
      <explain>文本全半角错误。</explain>
      <paraID>685655D2</paraID>
      <start>6</start>
      <end>7</end>
      <status>ignored</status>
      <modifiedWord/>
      <trackRevisions>false</trackRevisions>
    </reviewItem>
    <reviewItem>
      <errorID>9d78b96b-e61e-432e-b6cf-9a405eda3938</errorID>
      <errorWord>(</errorWord>
      <group>L1_Format</group>
      <groupName>格式问题</groupName>
      <ability>L2_HalfPunc</ability>
      <abilityName>全半角检查</abilityName>
      <candidateList>
        <item>（</item>
      </candidateList>
      <explain>文本全半角错误。</explain>
      <paraID>532759A4</paraID>
      <start>4</start>
      <end>5</end>
      <status>ignored</status>
      <modifiedWord/>
      <trackRevisions>false</trackRevisions>
    </reviewItem>
    <reviewItem>
      <errorID>a4c0da42-06f7-4a6a-a034-b10cce71cbfc</errorID>
      <errorWord>)</errorWord>
      <group>L1_Format</group>
      <groupName>格式问题</groupName>
      <ability>L2_HalfPunc</ability>
      <abilityName>全半角检查</abilityName>
      <candidateList>
        <item>）</item>
      </candidateList>
      <explain>文本全半角错误。</explain>
      <paraID>532759A4</paraID>
      <start>6</start>
      <end>7</end>
      <status>ignored</status>
      <modifiedWord/>
      <trackRevisions>false</trackRevisions>
    </reviewItem>
    <reviewItem>
      <errorID>128d7b9d-5768-4607-9a38-23f3bbce9ca7</errorID>
      <errorWord>(</errorWord>
      <group>L1_Format</group>
      <groupName>格式问题</groupName>
      <ability>L2_HalfPunc</ability>
      <abilityName>全半角检查</abilityName>
      <candidateList>
        <item>（</item>
      </candidateList>
      <explain>文本全半角错误。</explain>
      <paraID>27A6C830</paraID>
      <start>4</start>
      <end>5</end>
      <status>ignored</status>
      <modifiedWord/>
      <trackRevisions>false</trackRevisions>
    </reviewItem>
    <reviewItem>
      <errorID>643bab4f-72ce-4ed3-9a6f-aa476ee06b60</errorID>
      <errorWord>)</errorWord>
      <group>L1_Format</group>
      <groupName>格式问题</groupName>
      <ability>L2_HalfPunc</ability>
      <abilityName>全半角检查</abilityName>
      <candidateList>
        <item>）</item>
      </candidateList>
      <explain>文本全半角错误。</explain>
      <paraID>27A6C830</paraID>
      <start>6</start>
      <end>7</end>
      <status>ignored</status>
      <modifiedWord/>
      <trackRevisions>false</trackRevisions>
    </reviewItem>
    <reviewItem>
      <errorID>54eb3321-9b8e-4e22-9355-1ac0f9db4e49</errorID>
      <errorWord>85、</errorWord>
      <group>L1_Format</group>
      <groupName>格式问题</groupName>
      <ability>L2_Ordinal</ability>
      <abilityName>序号格式</abilityName>
      <candidateList>
        <item>85.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6C423F4E</paraID>
      <start>0</start>
      <end>3</end>
      <status>ignored</status>
      <modifiedWord/>
      <trackRevisions>false</trackRevisions>
    </reviewItem>
    <reviewItem>
      <errorID>aa45327f-8475-486a-9492-5330db91215c</errorID>
      <errorWord>-</errorWord>
      <group>L1_Format</group>
      <groupName>格式问题</groupName>
      <ability>L2_HalfPunc</ability>
      <abilityName>全半角检查</abilityName>
      <candidateList>
        <item>－</item>
      </candidateList>
      <explain>文本全半角错误。</explain>
      <paraID>36FEB3FA</paraID>
      <start>3</start>
      <end>4</end>
      <status>ignored</status>
      <modifiedWord/>
      <trackRevisions>false</trackRevisions>
    </reviewItem>
    <reviewItem>
      <errorID>0135b985-4eec-46d9-a25d-1c02c7de04a3</errorID>
      <errorWord>(</errorWord>
      <group>L1_Format</group>
      <groupName>格式问题</groupName>
      <ability>L2_HalfPunc</ability>
      <abilityName>全半角检查</abilityName>
      <candidateList>
        <item>（</item>
      </candidateList>
      <explain>文本全半角错误。</explain>
      <paraID>6782A192</paraID>
      <start>11</start>
      <end>12</end>
      <status>ignored</status>
      <modifiedWord/>
      <trackRevisions>false</trackRevisions>
    </reviewItem>
    <reviewItem>
      <errorID>a597a969-8f0c-4a29-bed8-22a055d5a895</errorID>
      <errorWord>)</errorWord>
      <group>L1_Format</group>
      <groupName>格式问题</groupName>
      <ability>L2_HalfPunc</ability>
      <abilityName>全半角检查</abilityName>
      <candidateList>
        <item>）</item>
      </candidateList>
      <explain>文本全半角错误。</explain>
      <paraID>6782A192</paraID>
      <start>26</start>
      <end>27</end>
      <status>ignored</status>
      <modifiedWord/>
      <trackRevisions>false</trackRevisions>
    </reviewItem>
    <reviewItem>
      <errorID>1e940771-0c84-438f-8492-8d92f62136a4</errorID>
      <errorWord>(</errorWord>
      <group>L1_Format</group>
      <groupName>格式问题</groupName>
      <ability>L2_HalfPunc</ability>
      <abilityName>全半角检查</abilityName>
      <candidateList>
        <item>（</item>
      </candidateList>
      <explain>文本全半角错误。</explain>
      <paraID>6782A192</paraID>
      <start>56</start>
      <end>57</end>
      <status>ignored</status>
      <modifiedWord/>
      <trackRevisions>false</trackRevisions>
    </reviewItem>
    <reviewItem>
      <errorID>1b10d8bc-9aff-4c05-8f0a-72ca77287c3b</errorID>
      <errorWord>)</errorWord>
      <group>L1_Format</group>
      <groupName>格式问题</groupName>
      <ability>L2_HalfPunc</ability>
      <abilityName>全半角检查</abilityName>
      <candidateList>
        <item>）</item>
      </candidateList>
      <explain>文本全半角错误。</explain>
      <paraID>6782A192</paraID>
      <start>71</start>
      <end>72</end>
      <status>ignored</status>
      <modifiedWord/>
      <trackRevisions>false</trackRevisions>
    </reviewItem>
    <reviewItem>
      <errorID>806e63de-3d02-4472-aaa3-714797f95f0b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4605200D</paraID>
      <start>0</start>
      <end>2</end>
      <status>ignored</status>
      <modifiedWord/>
      <trackRevisions>false</trackRevisions>
    </reviewItem>
    <reviewItem>
      <errorID>11e10b20-91fb-410f-80f5-8993e9af183e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5CDCC2F5</paraID>
      <start>0</start>
      <end>2</end>
      <status>ignored</status>
      <modifiedWord/>
      <trackRevisions>false</trackRevisions>
    </reviewItem>
    <reviewItem>
      <errorID>1cbc6ae6-8db7-4077-b154-81e221e36d26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630E675</paraID>
      <start>0</start>
      <end>2</end>
      <status>ignored</status>
      <modifiedWord/>
      <trackRevisions>false</trackRevisions>
    </reviewItem>
    <reviewItem>
      <errorID>a7a1541a-1ada-4e70-bb02-a9fd17668827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54D1B66B</paraID>
      <start>0</start>
      <end>2</end>
      <status>ignored</status>
      <modifiedWord/>
      <trackRevisions>false</trackRevisions>
    </reviewItem>
    <reviewItem>
      <errorID>b458ff46-1c0f-4bcb-b2a9-8df660808797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D06E23</paraID>
      <start>0</start>
      <end>2</end>
      <status>ignored</status>
      <modifiedWord/>
      <trackRevisions>false</trackRevisions>
    </reviewItem>
    <reviewItem>
      <errorID>0650e056-10d0-4b50-a345-de402e7337cd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6EB83995</paraID>
      <start>0</start>
      <end>2</end>
      <status>ignored</status>
      <modifiedWord/>
      <trackRevisions>false</trackRevisions>
    </reviewItem>
    <reviewItem>
      <errorID>0fd3abf2-4d9b-4b2d-80a3-49a4a60a0fc9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5E2EE9BA</paraID>
      <start>0</start>
      <end>2</end>
      <status>ignored</status>
      <modifiedWord/>
      <trackRevisions>false</trackRevisions>
    </reviewItem>
    <reviewItem>
      <errorID>946e278f-89ec-49d1-9a6a-e9bf49f1f2ba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6334A695</paraID>
      <start>0</start>
      <end>2</end>
      <status>ignored</status>
      <modifiedWord/>
      <trackRevisions>false</trackRevisions>
    </reviewItem>
    <reviewItem>
      <errorID>e0b374e9-ea38-436a-84b9-3f6f3a9a2c44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55E7979</paraID>
      <start>0</start>
      <end>2</end>
      <status>ignored</status>
      <modifiedWord/>
      <trackRevisions>false</trackRevisions>
    </reviewItem>
    <reviewItem>
      <errorID>2f503220-ea5d-4cac-8aa9-9adcec0c1df7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7AD0CFC5</paraID>
      <start>0</start>
      <end>2</end>
      <status>ignored</status>
      <modifiedWord/>
      <trackRevisions>false</trackRevisions>
    </reviewItem>
    <reviewItem>
      <errorID>ad8f9a69-87e7-4cd0-bf98-ff357b775731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5C6C9A45</paraID>
      <start>0</start>
      <end>2</end>
      <status>ignored</status>
      <modifiedWord/>
      <trackRevisions>false</trackRevisions>
    </reviewItem>
    <reviewItem>
      <errorID>d90b10de-ad35-44dc-a549-8a8f2d024e6f</errorID>
      <errorWord>(</errorWord>
      <group>L1_Format</group>
      <groupName>格式问题</groupName>
      <ability>L2_HalfPunc</ability>
      <abilityName>全半角检查</abilityName>
      <candidateList>
        <item>（</item>
      </candidateList>
      <explain>文本全半角错误。</explain>
      <paraID>7612D8CF</paraID>
      <start>11</start>
      <end>12</end>
      <status>ignored</status>
      <modifiedWord/>
      <trackRevisions>false</trackRevisions>
    </reviewItem>
    <reviewItem>
      <errorID>b0f9b661-4829-46cc-be4e-6684c2e94a42</errorID>
      <errorWord>)</errorWord>
      <group>L1_Format</group>
      <groupName>格式问题</groupName>
      <ability>L2_HalfPunc</ability>
      <abilityName>全半角检查</abilityName>
      <candidateList>
        <item>）</item>
      </candidateList>
      <explain>文本全半角错误。</explain>
      <paraID>7612D8CF</paraID>
      <start>13</start>
      <end>14</end>
      <status>ignored</status>
      <modifiedWord/>
      <trackRevisions>false</trackRevisions>
    </reviewItem>
    <reviewItem>
      <errorID>e7af9ee0-69ca-4939-9673-6b2d286ed847</errorID>
      <errorWord>～</errorWord>
      <group>L1_Format</group>
      <groupName>格式问题</groupName>
      <ability>L2_HalfPunc</ability>
      <abilityName>全半角检查</abilityName>
      <candidateList>
        <item>~</item>
      </candidateList>
      <explain>文本全半角错误。</explain>
      <paraID>2BEF2896</paraID>
      <start>1</start>
      <end>2</end>
      <status>ignored</status>
      <modifiedWord/>
      <trackRevisions>false</trackRevisions>
    </reviewItem>
    <reviewItem>
      <errorID>dbf32d2b-9245-4195-be62-21011f36f8d9</errorID>
      <errorWord>(</errorWord>
      <group>L1_Format</group>
      <groupName>格式问题</groupName>
      <ability>L2_HalfPunc</ability>
      <abilityName>全半角检查</abilityName>
      <candidateList>
        <item>（</item>
      </candidateList>
      <explain>文本全半角错误。</explain>
      <paraID> BE6446A</paraID>
      <start>17</start>
      <end>18</end>
      <status>ignored</status>
      <modifiedWord/>
      <trackRevisions>false</trackRevisions>
    </reviewItem>
    <reviewItem>
      <errorID>a8a3d2d6-3192-40bd-97aa-7baa2e132582</errorID>
      <errorWord>)</errorWord>
      <group>L1_Format</group>
      <groupName>格式问题</groupName>
      <ability>L2_HalfPunc</ability>
      <abilityName>全半角检查</abilityName>
      <candidateList>
        <item>）</item>
      </candidateList>
      <explain>文本全半角错误。</explain>
      <paraID> BE6446A</paraID>
      <start>31</start>
      <end>32</end>
      <status>ignored</status>
      <modifiedWord/>
      <trackRevisions>false</trackRevisions>
    </reviewItem>
    <reviewItem>
      <errorID>443fda3e-1825-4067-b545-9a69b19ba81a</errorID>
      <errorWord>(</errorWord>
      <group>L1_Format</group>
      <groupName>格式问题</groupName>
      <ability>L2_HalfPunc</ability>
      <abilityName>全半角检查</abilityName>
      <candidateList>
        <item>（</item>
      </candidateList>
      <explain>文本全半角错误。</explain>
      <paraID>1BDB5706</paraID>
      <start>24</start>
      <end>25</end>
      <status>ignored</status>
      <modifiedWord/>
      <trackRevisions>false</trackRevisions>
    </reviewItem>
    <reviewItem>
      <errorID>f8acbdc4-891a-49f0-b464-ac786fec3029</errorID>
      <errorWord>)</errorWord>
      <group>L1_Format</group>
      <groupName>格式问题</groupName>
      <ability>L2_HalfPunc</ability>
      <abilityName>全半角检查</abilityName>
      <candidateList>
        <item>）</item>
      </candidateList>
      <explain>文本全半角错误。</explain>
      <paraID>1BDB5706</paraID>
      <start>37</start>
      <end>38</end>
      <status>ignored</status>
      <modifiedWord/>
      <trackRevisions>false</trackRevisions>
    </reviewItem>
    <reviewItem>
      <errorID>c6879fef-f13e-4216-b49c-3a1ecc72dd02</errorID>
      <errorWord>IV</errorWord>
      <group>L1_Knowledge</group>
      <groupName>知识性问题</groupName>
      <ability>L2_Knowledge</ability>
      <abilityName>其他知识</abilityName>
      <candidateList>
        <item>Ⅳ</item>
      </candidateList>
      <explain/>
      <paraID>6AFEE087</paraID>
      <start>25</start>
      <end>27</end>
      <status>ignored</status>
      <modifiedWord/>
      <trackRevisions>false</trackRevisions>
    </reviewItem>
    <reviewItem>
      <errorID>aa5d9af2-94bb-499c-93c1-a5fa506bc9c6</errorID>
      <errorWord>（</errorWord>
      <group>L1_Format</group>
      <groupName>格式问题</groupName>
      <ability>L2_HalfPunc</ability>
      <abilityName>全半角检查</abilityName>
      <candidateList>
        <item>(</item>
      </candidateList>
      <explain>文本全半角错误。</explain>
      <paraID>5DCCD91A</paraID>
      <start>0</start>
      <end>1</end>
      <status>ignored</status>
      <modifiedWord/>
      <trackRevisions>false</trackRevisions>
    </reviewItem>
    <reviewItem>
      <errorID>beb5f173-5d7f-4cf0-afdb-4a0cc156df52</errorID>
      <errorWord>～</errorWord>
      <group>L1_Format</group>
      <groupName>格式问题</groupName>
      <ability>L2_HalfPunc</ability>
      <abilityName>全半角检查</abilityName>
      <candidateList>
        <item>~</item>
      </candidateList>
      <explain>文本全半角错误。</explain>
      <paraID>5DCCD91A</paraID>
      <start>4</start>
      <end>5</end>
      <status>ignored</status>
      <modifiedWord/>
      <trackRevisions>false</trackRevisions>
    </reviewItem>
    <reviewItem>
      <errorID>efe2adbe-38a9-4adf-9c19-652d22e8a52a</errorID>
      <errorWord>）</errorWord>
      <group>L1_Format</group>
      <groupName>格式问题</groupName>
      <ability>L2_HalfPunc</ability>
      <abilityName>全半角检查</abilityName>
      <candidateList>
        <item>)</item>
      </candidateList>
      <explain>文本全半角错误。</explain>
      <paraID>5DCCD91A</paraID>
      <start>8</start>
      <end>9</end>
      <status>ignored</status>
      <modifiedWord/>
      <trackRevisions>false</trackRevisions>
    </reviewItem>
    <reviewItem>
      <errorID>5bee4d24-cd7a-4f98-b378-380676d6831c</errorID>
      <errorWord>：</errorWord>
      <group>L1_Format</group>
      <groupName>格式问题</groupName>
      <ability>L2_HalfPunc</ability>
      <abilityName>全半角检查</abilityName>
      <candidateList>
        <item>:</item>
      </candidateList>
      <explain>文本全半角错误。</explain>
      <paraID> 2E4D942</paraID>
      <start>3</start>
      <end>4</end>
      <status>ignored</status>
      <modifiedWord/>
      <trackRevisions>false</trackRevisions>
    </reviewItem>
    <reviewItem>
      <errorID>674fa1fe-a2be-4c4d-b267-6401dd3893a6</errorID>
      <errorWord>：</errorWord>
      <group>L1_Format</group>
      <groupName>格式问题</groupName>
      <ability>L2_HalfPunc</ability>
      <abilityName>全半角检查</abilityName>
      <candidateList>
        <item>:</item>
      </candidateList>
      <explain>文本全半角错误。</explain>
      <paraID>41D3D81A</paraID>
      <start>3</start>
      <end>4</end>
      <status>ignored</status>
      <modifiedWord/>
      <trackRevisions>false</trackRevisions>
    </reviewItem>
    <reviewItem>
      <errorID>83101328-a919-4054-a3cc-0ea429e7392e</errorID>
      <errorWord>：</errorWord>
      <group>L1_Format</group>
      <groupName>格式问题</groupName>
      <ability>L2_HalfPunc</ability>
      <abilityName>全半角检查</abilityName>
      <candidateList>
        <item>:</item>
      </candidateList>
      <explain>文本全半角错误。</explain>
      <paraID>77163AA7</paraID>
      <start>3</start>
      <end>4</end>
      <status>ignored</status>
      <modifiedWord/>
      <trackRevisions>false</trackRevisions>
    </reviewItem>
    <reviewItem>
      <errorID>006772bc-cbae-43f6-81d0-d0823a75f2b2</errorID>
      <errorWord>：</errorWord>
      <group>L1_Format</group>
      <groupName>格式问题</groupName>
      <ability>L2_HalfPunc</ability>
      <abilityName>全半角检查</abilityName>
      <candidateList>
        <item>:</item>
      </candidateList>
      <explain>文本全半角错误。</explain>
      <paraID>2AD51760</paraID>
      <start>3</start>
      <end>4</end>
      <status>ignored</status>
      <modifiedWord/>
      <trackRevisions>false</trackRevisions>
    </reviewItem>
    <reviewItem>
      <errorID>caa9d268-583f-4417-8aea-9b1346e8fa49</errorID>
      <errorWord>：</errorWord>
      <group>L1_Format</group>
      <groupName>格式问题</groupName>
      <ability>L2_HalfPunc</ability>
      <abilityName>全半角检查</abilityName>
      <candidateList>
        <item>:</item>
      </candidateList>
      <explain>文本全半角错误。</explain>
      <paraID>4BEE7758</paraID>
      <start>3</start>
      <end>4</end>
      <status>ignored</status>
      <modifiedWord/>
      <trackRevisions>false</trackRevisions>
    </reviewItem>
    <reviewItem>
      <errorID>fc630959-90ea-44c5-a560-a7534733099d</errorID>
      <errorWord>(</errorWord>
      <group>L1_Format</group>
      <groupName>格式问题</groupName>
      <ability>L2_HalfPunc</ability>
      <abilityName>全半角检查</abilityName>
      <candidateList>
        <item>（</item>
      </candidateList>
      <explain>文本全半角错误。</explain>
      <paraID>5C8C0E80</paraID>
      <start>3</start>
      <end>4</end>
      <status>ignored</status>
      <modifiedWord/>
      <trackRevisions>false</trackRevisions>
    </reviewItem>
    <reviewItem>
      <errorID>e6e41ed9-a797-4193-bfcf-f05475ce1b7f</errorID>
      <errorWord>(</errorWord>
      <group>L1_Format</group>
      <groupName>格式问题</groupName>
      <ability>L2_HalfPunc</ability>
      <abilityName>全半角检查</abilityName>
      <candidateList>
        <item>（</item>
      </candidateList>
      <explain>文本全半角错误。</explain>
      <paraID>1F3E2966</paraID>
      <start>7</start>
      <end>8</end>
      <status>ignored</status>
      <modifiedWord/>
      <trackRevisions>false</trackRevisions>
    </reviewItem>
    <reviewItem>
      <errorID>a519d326-ce89-48b1-b1db-ad16d1b69bed</errorID>
      <errorWord>)</errorWord>
      <group>L1_Format</group>
      <groupName>格式问题</groupName>
      <ability>L2_HalfPunc</ability>
      <abilityName>全半角检查</abilityName>
      <candidateList>
        <item>）</item>
      </candidateList>
      <explain>文本全半角错误。</explain>
      <paraID>1F3E2966</paraID>
      <start>10</start>
      <end>11</end>
      <status>ignored</status>
      <modifiedWord/>
      <trackRevisions>false</trackRevisions>
    </reviewItem>
    <reviewItem>
      <errorID>1d3b6ee4-228d-4566-bd4d-50680bc7c446</errorID>
      <errorWord>(</errorWord>
      <group>L1_Format</group>
      <groupName>格式问题</groupName>
      <ability>L2_HalfPunc</ability>
      <abilityName>全半角检查</abilityName>
      <candidateList>
        <item>（</item>
      </candidateList>
      <explain>文本全半角错误。</explain>
      <paraID>2BB85098</paraID>
      <start>7</start>
      <end>8</end>
      <status>ignored</status>
      <modifiedWord/>
      <trackRevisions>false</trackRevisions>
    </reviewItem>
    <reviewItem>
      <errorID>7391da33-7312-4c47-8aee-8563e676f296</errorID>
      <errorWord>)</errorWord>
      <group>L1_Format</group>
      <groupName>格式问题</groupName>
      <ability>L2_HalfPunc</ability>
      <abilityName>全半角检查</abilityName>
      <candidateList>
        <item>）</item>
      </candidateList>
      <explain>文本全半角错误。</explain>
      <paraID>2BB85098</paraID>
      <start>10</start>
      <end>11</end>
      <status>ignored</status>
      <modifiedWord/>
      <trackRevisions>false</trackRevisions>
    </reviewItem>
    <reviewItem>
      <errorID>2080b51a-b179-46f8-b8ae-bb29bcef9eb5</errorID>
      <errorWord>(</errorWord>
      <group>L1_Format</group>
      <groupName>格式问题</groupName>
      <ability>L2_HalfPunc</ability>
      <abilityName>全半角检查</abilityName>
      <candidateList>
        <item>（</item>
      </candidateList>
      <explain>文本全半角错误。</explain>
      <paraID>3C34D8BB</paraID>
      <start>39</start>
      <end>40</end>
      <status>ignored</status>
      <modifiedWord/>
      <trackRevisions>false</trackRevisions>
    </reviewItem>
    <reviewItem>
      <errorID>7dd214db-20a5-435f-b372-c34bc4dae861</errorID>
      <errorWord>)</errorWord>
      <group>L1_Format</group>
      <groupName>格式问题</groupName>
      <ability>L2_HalfPunc</ability>
      <abilityName>全半角检查</abilityName>
      <candidateList>
        <item>）</item>
      </candidateList>
      <explain>文本全半角错误。</explain>
      <paraID>3C34D8BB</paraID>
      <start>42</start>
      <end>43</end>
      <status>ignored</status>
      <modifiedWord/>
      <trackRevisions>false</trackRevisions>
    </reviewItem>
    <reviewItem>
      <errorID>e6f6fafd-c069-4d15-b265-527abc2e5918</errorID>
      <errorWord>(</errorWord>
      <group>L1_Format</group>
      <groupName>格式问题</groupName>
      <ability>L2_HalfPunc</ability>
      <abilityName>全半角检查</abilityName>
      <candidateList>
        <item>（</item>
      </candidateList>
      <explain>文本全半角错误。</explain>
      <paraID>3C34D8BB</paraID>
      <start>50</start>
      <end>51</end>
      <status>ignored</status>
      <modifiedWord/>
      <trackRevisions>false</trackRevisions>
    </reviewItem>
    <reviewItem>
      <errorID>adc81f13-e3e9-4a98-8256-640656a77c12</errorID>
      <errorWord>)</errorWord>
      <group>L1_Format</group>
      <groupName>格式问题</groupName>
      <ability>L2_HalfPunc</ability>
      <abilityName>全半角检查</abilityName>
      <candidateList>
        <item>）</item>
      </candidateList>
      <explain>文本全半角错误。</explain>
      <paraID>3C34D8BB</paraID>
      <start>53</start>
      <end>54</end>
      <status>ignored</status>
      <modifiedWord/>
      <trackRevisions>false</trackRevisions>
    </reviewItem>
    <reviewItem>
      <errorID>6a1335de-9eb0-4850-bab5-8dbb27a36f4e</errorID>
      <errorWord>(</errorWord>
      <group>L1_Format</group>
      <groupName>格式问题</groupName>
      <ability>L2_HalfPunc</ability>
      <abilityName>全半角检查</abilityName>
      <candidateList>
        <item>（</item>
      </candidateList>
      <explain>文本全半角错误。</explain>
      <paraID> BFAB7E0</paraID>
      <start>4</start>
      <end>5</end>
      <status>ignored</status>
      <modifiedWord/>
      <trackRevisions>false</trackRevisions>
    </reviewItem>
    <reviewItem>
      <errorID>3e1c6ceb-f740-4e52-b07a-801a02e4a851</errorID>
      <errorWord>)</errorWord>
      <group>L1_Format</group>
      <groupName>格式问题</groupName>
      <ability>L2_HalfPunc</ability>
      <abilityName>全半角检查</abilityName>
      <candidateList>
        <item>）</item>
      </candidateList>
      <explain>文本全半角错误。</explain>
      <paraID> BFAB7E0</paraID>
      <start>19</start>
      <end>20</end>
      <status>ignored</status>
      <modifiedWord/>
      <trackRevisions>false</trackRevisions>
    </reviewItem>
    <reviewItem>
      <errorID>c8fd473c-f884-411c-9614-5c6cbcaf6bfb</errorID>
      <errorWord>(</errorWord>
      <group>L1_Format</group>
      <groupName>格式问题</groupName>
      <ability>L2_HalfPunc</ability>
      <abilityName>全半角检查</abilityName>
      <candidateList>
        <item>（</item>
      </candidateList>
      <explain>文本全半角错误。</explain>
      <paraID> 78DE664</paraID>
      <start>4</start>
      <end>5</end>
      <status>ignored</status>
      <modifiedWord/>
      <trackRevisions>false</trackRevisions>
    </reviewItem>
    <reviewItem>
      <errorID>a0120a02-f133-4a03-a2fd-8b152a5ed709</errorID>
      <errorWord>)</errorWord>
      <group>L1_Format</group>
      <groupName>格式问题</groupName>
      <ability>L2_HalfPunc</ability>
      <abilityName>全半角检查</abilityName>
      <candidateList>
        <item>）</item>
      </candidateList>
      <explain>文本全半角错误。</explain>
      <paraID> 78DE664</paraID>
      <start>19</start>
      <end>20</end>
      <status>ignored</status>
      <modifiedWord/>
      <trackRevisions>false</trackRevisions>
    </reviewItem>
    <reviewItem>
      <errorID>21a0f850-508f-4ef0-b171-f5f975c4d832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78DE664</paraID>
      <start>20</start>
      <end>21</end>
      <status>ignored</status>
      <modifiedWord/>
      <trackRevisions>false</trackRevisions>
    </reviewItem>
    <reviewItem>
      <errorID>6b1cfa42-82ee-45fa-93e3-93f54ff4e1e1</errorID>
      <errorWord>(</errorWord>
      <group>L1_Format</group>
      <groupName>格式问题</groupName>
      <ability>L2_HalfPunc</ability>
      <abilityName>全半角检查</abilityName>
      <candidateList>
        <item>（</item>
      </candidateList>
      <explain>文本全半角错误。</explain>
      <paraID>37C30D7A</paraID>
      <start>4</start>
      <end>5</end>
      <status>ignored</status>
      <modifiedWord/>
      <trackRevisions>false</trackRevisions>
    </reviewItem>
    <reviewItem>
      <errorID>53861aff-c4a8-4ecb-87cf-67a0f00f8948</errorID>
      <errorWord>)</errorWord>
      <group>L1_Format</group>
      <groupName>格式问题</groupName>
      <ability>L2_HalfPunc</ability>
      <abilityName>全半角检查</abilityName>
      <candidateList>
        <item>）</item>
      </candidateList>
      <explain>文本全半角错误。</explain>
      <paraID>37C30D7A</paraID>
      <start>18</start>
      <end>19</end>
      <status>ignored</status>
      <modifiedWord/>
      <trackRevisions>false</trackRevisions>
    </reviewItem>
    <reviewItem>
      <errorID>10b70d20-13c6-4d20-b364-42e04bbc7b74</errorID>
      <errorWord>)</errorWord>
      <group>L1_Format</group>
      <groupName>格式问题</groupName>
      <ability>L2_HalfPunc</ability>
      <abilityName>全半角检查</abilityName>
      <candidateList>
        <item>）</item>
      </candidateList>
      <explain>文本全半角错误。</explain>
      <paraID>5C4113B9</paraID>
      <start>11</start>
      <end>12</end>
      <status>ignored</status>
      <modifiedWord/>
      <trackRevisions>false</trackRevisions>
    </reviewItem>
    <reviewItem>
      <errorID>fab732eb-196c-4038-8669-202e9c9cf0f2</errorID>
      <errorWord>(</errorWord>
      <group>L1_Format</group>
      <groupName>格式问题</groupName>
      <ability>L2_HalfPunc</ability>
      <abilityName>全半角检查</abilityName>
      <candidateList>
        <item>（</item>
      </candidateList>
      <explain>文本全半角错误。</explain>
      <paraID>48691C3F</paraID>
      <start>4</start>
      <end>5</end>
      <status>ignored</status>
      <modifiedWord/>
      <trackRevisions>false</trackRevisions>
    </reviewItem>
    <reviewItem>
      <errorID>2e99d79c-ac96-4075-994d-a664bf5f92b7</errorID>
      <errorWord>)</errorWord>
      <group>L1_Format</group>
      <groupName>格式问题</groupName>
      <ability>L2_HalfPunc</ability>
      <abilityName>全半角检查</abilityName>
      <candidateList>
        <item>）</item>
      </candidateList>
      <explain>文本全半角错误。</explain>
      <paraID>48691C3F</paraID>
      <start>16</start>
      <end>17</end>
      <status>ignored</status>
      <modifiedWord/>
      <trackRevisions>false</trackRevisions>
    </reviewItem>
    <reviewItem>
      <errorID>e8c1c16b-29e3-429b-8ec4-f997b0c4f00f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1AA64099</paraID>
      <start>4</start>
      <end>5</end>
      <status>ignored</status>
      <modifiedWord/>
      <trackRevisions>false</trackRevisions>
    </reviewItem>
    <reviewItem>
      <errorID>24f861df-ab15-4b75-beef-df534f06cf9f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528E92C7</paraID>
      <start>0</start>
      <end>1</end>
      <status>ignored</status>
      <modifiedWord/>
      <trackRevisions>false</trackRevisions>
    </reviewItem>
    <reviewItem>
      <errorID>f887cb92-7838-4263-9eb7-1fdc0a213441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42A1BB27</paraID>
      <start>0</start>
      <end>1</end>
      <status>ignored</status>
      <modifiedWord/>
      <trackRevisions>false</trackRevisions>
    </reviewItem>
    <reviewItem>
      <errorID>c0e05f07-defc-4190-b5ed-470611957cb9</errorID>
      <errorWord>硝酸钯</errorWord>
      <group>L1_Word</group>
      <groupName>字词问题</groupName>
      <ability>L2_Typo</ability>
      <abilityName>字词错误</abilityName>
      <candidateList>
        <item>硝酸钠</item>
      </candidateList>
      <explain>存在发音相近字词的误用。</explain>
      <paraID>317E5B24</paraID>
      <start>0</start>
      <end>3</end>
      <status>ignored</status>
      <modifiedWord/>
      <trackRevisions>false</trackRevisions>
    </reviewItem>
    <reviewItem>
      <errorID>177b9220-389b-4e02-a8dc-35dc721d989c</errorID>
      <errorWord>～</errorWord>
      <group>L1_Format</group>
      <groupName>格式问题</groupName>
      <ability>L2_HalfPunc</ability>
      <abilityName>全半角检查</abilityName>
      <candidateList>
        <item>~</item>
      </candidateList>
      <explain>文本全半角错误。</explain>
      <paraID>6DC25CBA</paraID>
      <start>3</start>
      <end>4</end>
      <status>ignored</status>
      <modifiedWord/>
      <trackRevisions>false</trackRevisions>
    </reviewItem>
    <reviewItem>
      <errorID>ba4612d7-ed6c-4581-90a1-1b875618bcb6</errorID>
      <errorWord>硝酸钯</errorWord>
      <group>L1_Word</group>
      <groupName>字词问题</groupName>
      <ability>L2_Typo</ability>
      <abilityName>字词错误</abilityName>
      <candidateList>
        <item>硝酸钠</item>
      </candidateList>
      <explain>存在发音相近字词的误用。</explain>
      <paraID> 9C550E0</paraID>
      <start>0</start>
      <end>3</end>
      <status>ignored</status>
      <modifiedWord/>
      <trackRevisions>false</trackRevisions>
    </reviewItem>
    <reviewItem>
      <errorID>f672acd8-fa6f-4b37-b57d-e7469ee7a731</errorID>
      <errorWord>～</errorWord>
      <group>L1_Format</group>
      <groupName>格式问题</groupName>
      <ability>L2_HalfPunc</ability>
      <abilityName>全半角检查</abilityName>
      <candidateList>
        <item>~</item>
      </candidateList>
      <explain>文本全半角错误。</explain>
      <paraID>25154950</paraID>
      <start>3</start>
      <end>4</end>
      <status>ignored</status>
      <modifiedWord/>
      <trackRevisions>false</trackRevisions>
    </reviewItem>
    <reviewItem>
      <errorID>057c48cb-9b04-4f46-a7c5-864a86b667eb</errorID>
      <errorWord>)</errorWord>
      <group>L1_Format</group>
      <groupName>格式问题</groupName>
      <ability>L2_HalfPunc</ability>
      <abilityName>全半角检查</abilityName>
      <candidateList>
        <item>）</item>
      </candidateList>
      <explain>文本全半角错误。</explain>
      <paraID>2146E9AF</paraID>
      <start>15</start>
      <end>16</end>
      <status>ignored</status>
      <modifiedWord/>
      <trackRevisions>false</trackRevisions>
    </reviewItem>
    <reviewItem>
      <errorID>7ca0c2d0-52bd-4f4d-a818-761e68e265bf</errorID>
      <errorWord>（</errorWord>
      <group>L1_Format</group>
      <groupName>格式问题</groupName>
      <ability>L2_HalfPunc</ability>
      <abilityName>全半角检查</abilityName>
      <candidateList>
        <item>(</item>
      </candidateList>
      <explain>文本全半角错误。</explain>
      <paraID>3DBB8344</paraID>
      <start>0</start>
      <end>1</end>
      <status>ignored</status>
      <modifiedWord/>
      <trackRevisions>false</trackRevisions>
    </reviewItem>
    <reviewItem>
      <errorID>cf9d8926-207c-45e8-abb2-f61f4ce38b00</errorID>
      <errorWord>）</errorWord>
      <group>L1_Format</group>
      <groupName>格式问题</groupName>
      <ability>L2_HalfPunc</ability>
      <abilityName>全半角检查</abilityName>
      <candidateList>
        <item>)</item>
      </candidateList>
      <explain>文本全半角错误。</explain>
      <paraID>3DBB8344</paraID>
      <start>4</start>
      <end>5</end>
      <status>ignored</status>
      <modifiedWord/>
      <trackRevisions>false</trackRevisions>
    </reviewItem>
    <reviewItem>
      <errorID>d63f594a-a087-4612-8261-0f52f1d5d9ed</errorID>
      <errorWord>（</errorWord>
      <group>L1_Format</group>
      <groupName>格式问题</groupName>
      <ability>L2_HalfPunc</ability>
      <abilityName>全半角检查</abilityName>
      <candidateList>
        <item>(</item>
      </candidateList>
      <explain>文本全半角错误。</explain>
      <paraID>5EA8C987</paraID>
      <start>0</start>
      <end>1</end>
      <status>ignored</status>
      <modifiedWord/>
      <trackRevisions>false</trackRevisions>
    </reviewItem>
    <reviewItem>
      <errorID>310fc78e-09b9-4dbf-b4c4-08d247d6131b</errorID>
      <errorWord>）</errorWord>
      <group>L1_Format</group>
      <groupName>格式问题</groupName>
      <ability>L2_HalfPunc</ability>
      <abilityName>全半角检查</abilityName>
      <candidateList>
        <item>)</item>
      </candidateList>
      <explain>文本全半角错误。</explain>
      <paraID>5EA8C987</paraID>
      <start>5</start>
      <end>6</end>
      <status>ignored</status>
      <modifiedWord/>
      <trackRevisions>false</trackRevisions>
    </reviewItem>
    <reviewItem>
      <errorID>3131a8af-0618-4b63-bfc9-47a26a1bff3a</errorID>
      <errorWord>（</errorWord>
      <group>L1_Format</group>
      <groupName>格式问题</groupName>
      <ability>L2_HalfPunc</ability>
      <abilityName>全半角检查</abilityName>
      <candidateList>
        <item>(</item>
      </candidateList>
      <explain>文本全半角错误。</explain>
      <paraID>492655F5</paraID>
      <start>0</start>
      <end>1</end>
      <status>ignored</status>
      <modifiedWord/>
      <trackRevisions>false</trackRevisions>
    </reviewItem>
    <reviewItem>
      <errorID>bab7d5d3-6ea9-4723-8998-1f81eeb968ce</errorID>
      <errorWord>）</errorWord>
      <group>L1_Format</group>
      <groupName>格式问题</groupName>
      <ability>L2_HalfPunc</ability>
      <abilityName>全半角检查</abilityName>
      <candidateList>
        <item>)</item>
      </candidateList>
      <explain>文本全半角错误。</explain>
      <paraID>492655F5</paraID>
      <start>5</start>
      <end>6</end>
      <status>ignored</status>
      <modifiedWord/>
      <trackRevisions>false</trackRevisions>
    </reviewItem>
    <reviewItem>
      <errorID>b77536bd-163c-4166-b615-c01ada3608d2</errorID>
      <errorWord>（</errorWord>
      <group>L1_Format</group>
      <groupName>格式问题</groupName>
      <ability>L2_HalfPunc</ability>
      <abilityName>全半角检查</abilityName>
      <candidateList>
        <item>(</item>
      </candidateList>
      <explain>文本全半角错误。</explain>
      <paraID>7EFDB66A</paraID>
      <start>0</start>
      <end>1</end>
      <status>ignored</status>
      <modifiedWord/>
      <trackRevisions>false</trackRevisions>
    </reviewItem>
    <reviewItem>
      <errorID>05942741-f934-4475-aafb-292f363168cc</errorID>
      <errorWord>）</errorWord>
      <group>L1_Format</group>
      <groupName>格式问题</groupName>
      <ability>L2_HalfPunc</ability>
      <abilityName>全半角检查</abilityName>
      <candidateList>
        <item>)</item>
      </candidateList>
      <explain>文本全半角错误。</explain>
      <paraID>7EFDB66A</paraID>
      <start>5</start>
      <end>6</end>
      <status>ignored</status>
      <modifiedWord/>
      <trackRevisions>false</trackRevisions>
    </reviewItem>
    <reviewItem>
      <errorID>5ddcd5b1-9311-4b12-964d-3fa148a189c9</errorID>
      <errorWord>（</errorWord>
      <group>L1_Format</group>
      <groupName>格式问题</groupName>
      <ability>L2_HalfPunc</ability>
      <abilityName>全半角检查</abilityName>
      <candidateList>
        <item>(</item>
      </candidateList>
      <explain>文本全半角错误。</explain>
      <paraID>4CE2DB25</paraID>
      <start>4</start>
      <end>5</end>
      <status>ignored</status>
      <modifiedWord/>
      <trackRevisions>false</trackRevisions>
    </reviewItem>
    <reviewItem>
      <errorID>3b8dc63d-52a1-43d9-906b-e29c073d7c0c</errorID>
      <errorWord>）</errorWord>
      <group>L1_Format</group>
      <groupName>格式问题</groupName>
      <ability>L2_HalfPunc</ability>
      <abilityName>全半角检查</abilityName>
      <candidateList>
        <item>)</item>
      </candidateList>
      <explain>文本全半角错误。</explain>
      <paraID>4CE2DB25</paraID>
      <start>15</start>
      <end>16</end>
      <status>ignored</status>
      <modifiedWord/>
      <trackRevisions>false</trackRevisions>
    </reviewItem>
    <reviewItem>
      <errorID>ad964ba3-47d3-4128-acda-ee8ee803f71c</errorID>
      <errorWord>（</errorWord>
      <group>L1_Format</group>
      <groupName>格式问题</groupName>
      <ability>L2_HalfPunc</ability>
      <abilityName>全半角检查</abilityName>
      <candidateList>
        <item>(</item>
      </candidateList>
      <explain>文本全半角错误。</explain>
      <paraID>5740C04B</paraID>
      <start>4</start>
      <end>5</end>
      <status>ignored</status>
      <modifiedWord/>
      <trackRevisions>false</trackRevisions>
    </reviewItem>
    <reviewItem>
      <errorID>853867bf-5872-4a26-a9bc-eff14113ac78</errorID>
      <errorWord>）</errorWord>
      <group>L1_Format</group>
      <groupName>格式问题</groupName>
      <ability>L2_HalfPunc</ability>
      <abilityName>全半角检查</abilityName>
      <candidateList>
        <item>)</item>
      </candidateList>
      <explain>文本全半角错误。</explain>
      <paraID>5740C04B</paraID>
      <start>15</start>
      <end>16</end>
      <status>ignored</status>
      <modifiedWord/>
      <trackRevisions>false</trackRevisions>
    </reviewItem>
    <reviewItem>
      <errorID>162314ce-3d6b-4b09-b1b9-d8ccf6402295</errorID>
      <errorWord>（</errorWord>
      <group>L1_Format</group>
      <groupName>格式问题</groupName>
      <ability>L2_HalfPunc</ability>
      <abilityName>全半角检查</abilityName>
      <candidateList>
        <item>(</item>
      </candidateList>
      <explain>文本全半角错误。</explain>
      <paraID> BF3E6BA</paraID>
      <start>4</start>
      <end>5</end>
      <status>ignored</status>
      <modifiedWord/>
      <trackRevisions>false</trackRevisions>
    </reviewItem>
    <reviewItem>
      <errorID>a570ad64-1ed3-4b68-b9a3-c8590a40126a</errorID>
      <errorWord>）</errorWord>
      <group>L1_Format</group>
      <groupName>格式问题</groupName>
      <ability>L2_HalfPunc</ability>
      <abilityName>全半角检查</abilityName>
      <candidateList>
        <item>)</item>
      </candidateList>
      <explain>文本全半角错误。</explain>
      <paraID> BF3E6BA</paraID>
      <start>15</start>
      <end>16</end>
      <status>ignored</status>
      <modifiedWord/>
      <trackRevisions>false</trackRevisions>
    </reviewItem>
    <reviewItem>
      <errorID>1aa1db89-adda-4630-9340-75ea8570ebcf</errorID>
      <errorWord>)</errorWord>
      <group>L1_Format</group>
      <groupName>格式问题</groupName>
      <ability>L2_HalfPunc</ability>
      <abilityName>全半角检查</abilityName>
      <candidateList>
        <item>）</item>
      </candidateList>
      <explain>文本全半角错误。</explain>
      <paraID>13E4F92A</paraID>
      <start>64</start>
      <end>65</end>
      <status>ignored</status>
      <modifiedWord/>
      <trackRevisions>false</trackRevisions>
    </reviewItem>
    <reviewItem>
      <errorID>047a667b-2229-47de-8b62-d3660952ed8f</errorID>
      <errorWord>：</errorWord>
      <group>L1_Format</group>
      <groupName>格式问题</groupName>
      <ability>L2_HalfPunc</ability>
      <abilityName>全半角检查</abilityName>
      <candidateList>
        <item>:</item>
      </candidateList>
      <explain>文本全半角错误。</explain>
      <paraID>54386888</paraID>
      <start>1</start>
      <end>2</end>
      <status>ignored</status>
      <modifiedWord/>
      <trackRevisions>false</trackRevisions>
    </reviewItem>
    <reviewItem>
      <errorID>252ff39f-f9eb-4580-b513-8e1163763887</errorID>
      <errorWord>：</errorWord>
      <group>L1_Format</group>
      <groupName>格式问题</groupName>
      <ability>L2_HalfPunc</ability>
      <abilityName>全半角检查</abilityName>
      <candidateList>
        <item>:</item>
      </candidateList>
      <explain>文本全半角错误。</explain>
      <paraID>130EFBE8</paraID>
      <start>1</start>
      <end>2</end>
      <status>ignored</status>
      <modifiedWord/>
      <trackRevisions>false</trackRevisions>
    </reviewItem>
    <reviewItem>
      <errorID>0c8927f2-0dde-492d-bcc4-bb983974ec3d</errorID>
      <errorWord>：</errorWord>
      <group>L1_Format</group>
      <groupName>格式问题</groupName>
      <ability>L2_HalfPunc</ability>
      <abilityName>全半角检查</abilityName>
      <candidateList>
        <item>:</item>
      </candidateList>
      <explain>文本全半角错误。</explain>
      <paraID>40E2A63C</paraID>
      <start>1</start>
      <end>2</end>
      <status>ignored</status>
      <modifiedWord/>
      <trackRevisions>false</trackRevisions>
    </reviewItem>
    <reviewItem>
      <errorID>ff37618c-307d-4de7-b900-0beb260dd213</errorID>
      <errorWord>：</errorWord>
      <group>L1_Format</group>
      <groupName>格式问题</groupName>
      <ability>L2_HalfPunc</ability>
      <abilityName>全半角检查</abilityName>
      <candidateList>
        <item>:</item>
      </candidateList>
      <explain>文本全半角错误。</explain>
      <paraID>1FB1DBF9</paraID>
      <start>1</start>
      <end>2</end>
      <status>ignored</status>
      <modifiedWord/>
      <trackRevisions>false</trackRevisions>
    </reviewItem>
    <reviewItem>
      <errorID>e831643c-0fe4-4305-a840-c652193b4a9f</errorID>
      <errorWord>：</errorWord>
      <group>L1_Format</group>
      <groupName>格式问题</groupName>
      <ability>L2_HalfPunc</ability>
      <abilityName>全半角检查</abilityName>
      <candidateList>
        <item>:</item>
      </candidateList>
      <explain>文本全半角错误。</explain>
      <paraID> 5509D80</paraID>
      <start>1</start>
      <end>2</end>
      <status>ignored</status>
      <modifiedWord/>
      <trackRevisions>false</trackRevisions>
    </reviewItem>
    <reviewItem>
      <errorID>6b799f2c-6697-4344-b59e-5ee93f55dee3</errorID>
      <errorWord>：</errorWord>
      <group>L1_Format</group>
      <groupName>格式问题</groupName>
      <ability>L2_HalfPunc</ability>
      <abilityName>全半角检查</abilityName>
      <candidateList>
        <item>:</item>
      </candidateList>
      <explain>文本全半角错误。</explain>
      <paraID>  B6FA44</paraID>
      <start>1</start>
      <end>2</end>
      <status>ignored</status>
      <modifiedWord/>
      <trackRevisions>false</trackRevisions>
    </reviewItem>
    <reviewItem>
      <errorID>9811b60c-e0ff-487b-99ce-3ce385998817</errorID>
      <errorWord>：</errorWord>
      <group>L1_Format</group>
      <groupName>格式问题</groupName>
      <ability>L2_HalfPunc</ability>
      <abilityName>全半角检查</abilityName>
      <candidateList>
        <item>:</item>
      </candidateList>
      <explain>文本全半角错误。</explain>
      <paraID>46311759</paraID>
      <start>1</start>
      <end>2</end>
      <status>ignored</status>
      <modifiedWord/>
      <trackRevisions>false</trackRevisions>
    </reviewItem>
    <reviewItem>
      <errorID>ff4a0d2b-e438-4dbc-aa02-2de0136ac006</errorID>
      <errorWord>：</errorWord>
      <group>L1_Format</group>
      <groupName>格式问题</groupName>
      <ability>L2_HalfPunc</ability>
      <abilityName>全半角检查</abilityName>
      <candidateList>
        <item>:</item>
      </candidateList>
      <explain>文本全半角错误。</explain>
      <paraID>64599639</paraID>
      <start>1</start>
      <end>2</end>
      <status>ignored</status>
      <modifiedWord/>
      <trackRevisions>false</trackRevisions>
    </reviewItem>
    <reviewItem>
      <errorID>d133fd09-5e91-47c3-b997-3a4e16a52c5e</errorID>
      <errorWord>：</errorWord>
      <group>L1_Format</group>
      <groupName>格式问题</groupName>
      <ability>L2_HalfPunc</ability>
      <abilityName>全半角检查</abilityName>
      <candidateList>
        <item>:</item>
      </candidateList>
      <explain>文本全半角错误。</explain>
      <paraID>5BE4E59E</paraID>
      <start>1</start>
      <end>2</end>
      <status>ignored</status>
      <modifiedWord/>
      <trackRevisions>false</trackRevisions>
    </reviewItem>
    <reviewItem>
      <errorID>2ff62695-a71c-4144-ac4d-7a1c2b3e2b38</errorID>
      <errorWord>：</errorWord>
      <group>L1_Format</group>
      <groupName>格式问题</groupName>
      <ability>L2_HalfPunc</ability>
      <abilityName>全半角检查</abilityName>
      <candidateList>
        <item>:</item>
      </candidateList>
      <explain>文本全半角错误。</explain>
      <paraID>433FE0CC</paraID>
      <start>1</start>
      <end>2</end>
      <status>ignored</status>
      <modifiedWord/>
      <trackRevisions>false</trackRevisions>
    </reviewItem>
    <reviewItem>
      <errorID>518fcdb7-6f4a-4376-8421-4276268574a5</errorID>
      <errorWord>：</errorWord>
      <group>L1_Format</group>
      <groupName>格式问题</groupName>
      <ability>L2_HalfPunc</ability>
      <abilityName>全半角检查</abilityName>
      <candidateList>
        <item>:</item>
      </candidateList>
      <explain>文本全半角错误。</explain>
      <paraID> 49FD4DE</paraID>
      <start>1</start>
      <end>2</end>
      <status>ignored</status>
      <modifiedWord/>
      <trackRevisions>false</trackRevisions>
    </reviewItem>
    <reviewItem>
      <errorID>a61b942a-4c3f-42de-8c32-7a216f37a652</errorID>
      <errorWord>：</errorWord>
      <group>L1_Format</group>
      <groupName>格式问题</groupName>
      <ability>L2_HalfPunc</ability>
      <abilityName>全半角检查</abilityName>
      <candidateList>
        <item>:</item>
      </candidateList>
      <explain>文本全半角错误。</explain>
      <paraID> 2B60B90</paraID>
      <start>1</start>
      <end>2</end>
      <status>ignored</status>
      <modifiedWord/>
      <trackRevisions>false</trackRevisions>
    </reviewItem>
    <reviewItem>
      <errorID>b718901a-ae7d-4623-99d0-e0a3280a90de</errorID>
      <errorWord>：</errorWord>
      <group>L1_Format</group>
      <groupName>格式问题</groupName>
      <ability>L2_HalfPunc</ability>
      <abilityName>全半角检查</abilityName>
      <candidateList>
        <item>:</item>
      </candidateList>
      <explain>文本全半角错误。</explain>
      <paraID> 67CC900</paraID>
      <start>1</start>
      <end>2</end>
      <status>ignored</status>
      <modifiedWord/>
      <trackRevisions>false</trackRevisions>
    </reviewItem>
    <reviewItem>
      <errorID>f65d9870-ed6b-41b2-b4f3-9c93dd01290e</errorID>
      <errorWord>：</errorWord>
      <group>L1_Format</group>
      <groupName>格式问题</groupName>
      <ability>L2_HalfPunc</ability>
      <abilityName>全半角检查</abilityName>
      <candidateList>
        <item>:</item>
      </candidateList>
      <explain>文本全半角错误。</explain>
      <paraID>7C37CB21</paraID>
      <start>1</start>
      <end>2</end>
      <status>ignored</status>
      <modifiedWord/>
      <trackRevisions>false</trackRevisions>
    </reviewItem>
    <reviewItem>
      <errorID>b850a06b-39d8-4a05-9454-eafc146ba3dc</errorID>
      <errorWord>：</errorWord>
      <group>L1_Format</group>
      <groupName>格式问题</groupName>
      <ability>L2_HalfPunc</ability>
      <abilityName>全半角检查</abilityName>
      <candidateList>
        <item>:</item>
      </candidateList>
      <explain>文本全半角错误。</explain>
      <paraID> 378B1CB</paraID>
      <start>1</start>
      <end>2</end>
      <status>ignored</status>
      <modifiedWord/>
      <trackRevisions>false</trackRevisions>
    </reviewItem>
    <reviewItem>
      <errorID>a1675261-5b76-4cc9-a0fc-ef67fd9383d2</errorID>
      <errorWord>：</errorWord>
      <group>L1_Format</group>
      <groupName>格式问题</groupName>
      <ability>L2_HalfPunc</ability>
      <abilityName>全半角检查</abilityName>
      <candidateList>
        <item>:</item>
      </candidateList>
      <explain>文本全半角错误。</explain>
      <paraID>1202E513</paraID>
      <start>1</start>
      <end>2</end>
      <status>ignored</status>
      <modifiedWord/>
      <trackRevisions>false</trackRevisions>
    </reviewItem>
    <reviewItem>
      <errorID>a0911497-7f6f-41a7-af78-563868b84ebe</errorID>
      <errorWord>：</errorWord>
      <group>L1_Format</group>
      <groupName>格式问题</groupName>
      <ability>L2_HalfPunc</ability>
      <abilityName>全半角检查</abilityName>
      <candidateList>
        <item>:</item>
      </candidateList>
      <explain>文本全半角错误。</explain>
      <paraID> 973678D</paraID>
      <start>1</start>
      <end>2</end>
      <status>ignored</status>
      <modifiedWord/>
      <trackRevisions>false</trackRevisions>
    </reviewItem>
    <reviewItem>
      <errorID>4a3a8688-a95c-4d8e-88cc-b995aa46e4ad</errorID>
      <errorWord>：</errorWord>
      <group>L1_Format</group>
      <groupName>格式问题</groupName>
      <ability>L2_HalfPunc</ability>
      <abilityName>全半角检查</abilityName>
      <candidateList>
        <item>:</item>
      </candidateList>
      <explain>文本全半角错误。</explain>
      <paraID>2B583B34</paraID>
      <start>1</start>
      <end>2</end>
      <status>ignored</status>
      <modifiedWord/>
      <trackRevisions>false</trackRevisions>
    </reviewItem>
    <reviewItem>
      <errorID>6e160dc6-4ddc-4298-871d-271cea1bbffd</errorID>
      <errorWord>：</errorWord>
      <group>L1_Format</group>
      <groupName>格式问题</groupName>
      <ability>L2_HalfPunc</ability>
      <abilityName>全半角检查</abilityName>
      <candidateList>
        <item>:</item>
      </candidateList>
      <explain>文本全半角错误。</explain>
      <paraID>72E40F75</paraID>
      <start>1</start>
      <end>2</end>
      <status>ignored</status>
      <modifiedWord/>
      <trackRevisions>false</trackRevisions>
    </reviewItem>
    <reviewItem>
      <errorID>7c4f87a3-524a-4266-8c8a-598899bad502</errorID>
      <errorWord>,</errorWord>
      <group>L1_Format</group>
      <groupName>格式问题</groupName>
      <ability>L2_HalfPunc</ability>
      <abilityName>全半角检查</abilityName>
      <candidateList>
        <item>，</item>
      </candidateList>
      <explain>文本全半角错误。</explain>
      <paraID>33824AEC</paraID>
      <start>5</start>
      <end>6</end>
      <status>ignored</status>
      <modifiedWord/>
      <trackRevisions>false</trackRevisions>
    </reviewItem>
    <reviewItem>
      <errorID>c2936b1c-0c2e-4315-9e75-07df902f7bde</errorID>
      <errorWord>,</errorWord>
      <group>L1_Format</group>
      <groupName>格式问题</groupName>
      <ability>L2_HalfPunc</ability>
      <abilityName>全半角检查</abilityName>
      <candidateList>
        <item>，</item>
      </candidateList>
      <explain>文本全半角错误。</explain>
      <paraID>33824AEC</paraID>
      <start>15</start>
      <end>16</end>
      <status>ignored</status>
      <modifiedWord/>
      <trackRevisions>false</trackRevisions>
    </reviewItem>
    <reviewItem>
      <errorID>e0fb7c90-0332-461d-88aa-3a93277e11cf</errorID>
      <errorWord>,</errorWord>
      <group>L1_Format</group>
      <groupName>格式问题</groupName>
      <ability>L2_HalfPunc</ability>
      <abilityName>全半角检查</abilityName>
      <candidateList>
        <item>，</item>
      </candidateList>
      <explain>文本全半角错误。</explain>
      <paraID>7A631DB8</paraID>
      <start>4</start>
      <end>5</end>
      <status>ignored</status>
      <modifiedWord/>
      <trackRevisions>false</trackRevisions>
    </reviewItem>
    <reviewItem>
      <errorID>d3d28af9-c874-46cf-867d-d3eea6146d42</errorID>
      <errorWord>(</errorWord>
      <group>L1_Format</group>
      <groupName>格式问题</groupName>
      <ability>L2_HalfPunc</ability>
      <abilityName>全半角检查</abilityName>
      <candidateList>
        <item>（</item>
      </candidateList>
      <explain>文本全半角错误。</explain>
      <paraID>7A631DB8</paraID>
      <start>40</start>
      <end>41</end>
      <status>ignored</status>
      <modifiedWord/>
      <trackRevisions>false</trackRevisions>
    </reviewItem>
    <reviewItem>
      <errorID>afbfb916-1383-4159-b18e-0f8170d89a13</errorID>
      <errorWord>)</errorWord>
      <group>L1_Format</group>
      <groupName>格式问题</groupName>
      <ability>L2_HalfPunc</ability>
      <abilityName>全半角检查</abilityName>
      <candidateList>
        <item>）</item>
      </candidateList>
      <explain>文本全半角错误。</explain>
      <paraID>7A631DB8</paraID>
      <start>45</start>
      <end>46</end>
      <status>ignored</status>
      <modifiedWord/>
      <trackRevisions>false</trackRevisions>
    </reviewItem>
    <reviewItem>
      <errorID>723a3897-e63f-4ab7-9a83-c2a7da971985</errorID>
      <errorWord>,</errorWord>
      <group>L1_Format</group>
      <groupName>格式问题</groupName>
      <ability>L2_HalfPunc</ability>
      <abilityName>全半角检查</abilityName>
      <candidateList>
        <item>，</item>
      </candidateList>
      <explain>文本全半角错误。</explain>
      <paraID>47781B85</paraID>
      <start>5</start>
      <end>6</end>
      <status>ignored</status>
      <modifiedWord/>
      <trackRevisions>false</trackRevisions>
    </reviewItem>
    <reviewItem>
      <errorID>22c3e615-b882-47d2-98fd-504a831efada</errorID>
      <errorWord>(</errorWord>
      <group>L1_Format</group>
      <groupName>格式问题</groupName>
      <ability>L2_HalfPunc</ability>
      <abilityName>全半角检查</abilityName>
      <candidateList>
        <item>（</item>
      </candidateList>
      <explain>文本全半角错误。</explain>
      <paraID>65C4AAEF</paraID>
      <start>31</start>
      <end>32</end>
      <status>ignored</status>
      <modifiedWord/>
      <trackRevisions>false</trackRevisions>
    </reviewItem>
    <reviewItem>
      <errorID>792bcba0-14dc-4ace-80df-0da04dfddc94</errorID>
      <errorWord>)</errorWord>
      <group>L1_Format</group>
      <groupName>格式问题</groupName>
      <ability>L2_HalfPunc</ability>
      <abilityName>全半角检查</abilityName>
      <candidateList>
        <item>）</item>
      </candidateList>
      <explain>文本全半角错误。</explain>
      <paraID>65C4AAEF</paraID>
      <start>40</start>
      <end>41</end>
      <status>ignored</status>
      <modifiedWord/>
      <trackRevisions>false</trackRevisions>
    </reviewItem>
    <reviewItem>
      <errorID>1aef0b19-d29b-492a-8841-69cb184cf269</errorID>
      <errorWord>,</errorWord>
      <group>L1_Format</group>
      <groupName>格式问题</groupName>
      <ability>L2_HalfPunc</ability>
      <abilityName>全半角检查</abilityName>
      <candidateList>
        <item>，</item>
      </candidateList>
      <explain>文本全半角错误。</explain>
      <paraID> 2024457</paraID>
      <start>5</start>
      <end>6</end>
      <status>ignored</status>
      <modifiedWord/>
      <trackRevisions>false</trackRevisions>
    </reviewItem>
    <reviewItem>
      <errorID>a3a5cfa7-94e4-4a3b-a7d0-5f64ab264a6d</errorID>
      <errorWord>,</errorWord>
      <group>L1_Format</group>
      <groupName>格式问题</groupName>
      <ability>L2_HalfPunc</ability>
      <abilityName>全半角检查</abilityName>
      <candidateList>
        <item>，</item>
      </candidateList>
      <explain>文本全半角错误。</explain>
      <paraID> 2024457</paraID>
      <start>15</start>
      <end>16</end>
      <status>ignored</status>
      <modifiedWord/>
      <trackRevisions>false</trackRevisions>
    </reviewItem>
    <reviewItem>
      <errorID>86080f72-d11b-4353-8f0a-394e6880f432</errorID>
      <errorWord>,</errorWord>
      <group>L1_Format</group>
      <groupName>格式问题</groupName>
      <ability>L2_HalfPunc</ability>
      <abilityName>全半角检查</abilityName>
      <candidateList>
        <item>，</item>
      </candidateList>
      <explain>文本全半角错误。</explain>
      <paraID>2C0473EE</paraID>
      <start>5</start>
      <end>6</end>
      <status>ignored</status>
      <modifiedWord/>
      <trackRevisions>false</trackRevisions>
    </reviewItem>
    <reviewItem>
      <errorID>524a1972-aaa0-4eec-90c9-d48abda079b2</errorID>
      <errorWord>,</errorWord>
      <group>L1_Format</group>
      <groupName>格式问题</groupName>
      <ability>L2_HalfPunc</ability>
      <abilityName>全半角检查</abilityName>
      <candidateList>
        <item>，</item>
      </candidateList>
      <explain>文本全半角错误。</explain>
      <paraID>41E03F64</paraID>
      <start>7</start>
      <end>8</end>
      <status>ignored</status>
      <modifiedWord/>
      <trackRevisions>false</trackRevisions>
    </reviewItem>
    <reviewItem>
      <errorID>7f77188e-639d-476e-8cde-6e0a2e9a1e38</errorID>
      <errorWord>)</errorWord>
      <group>L1_Format</group>
      <groupName>格式问题</groupName>
      <ability>L2_HalfPunc</ability>
      <abilityName>全半角检查</abilityName>
      <candidateList>
        <item>）</item>
      </candidateList>
      <explain>文本全半角错误。</explain>
      <paraID> FE8C1A0</paraID>
      <start>63</start>
      <end>64</end>
      <status>ignored</status>
      <modifiedWord/>
      <trackRevisions>false</trackRevisions>
    </reviewItem>
    <reviewItem>
      <errorID>f188a5d8-6e8c-48e3-ab9b-4ba3ff3a9f7f</errorID>
      <errorWord>年平</errorWord>
      <group>L1_Word</group>
      <groupName>字词问题</groupName>
      <ability>L2_Typo</ability>
      <abilityName>字词错误</abilityName>
      <candidateList>
        <item>平均</item>
      </candidateList>
      <explain/>
      <paraID>64DE664A</paraID>
      <start>222</start>
      <end>224</end>
      <status>ignored</status>
      <modifiedWord/>
      <trackRevisions>false</trackRevisions>
    </reviewItem>
    <reviewItem>
      <errorID>8be31269-656f-4630-852f-6ea876bace83</errorID>
      <errorWord>年平</errorWord>
      <group>L1_Word</group>
      <groupName>字词问题</groupName>
      <ability>L2_Typo</ability>
      <abilityName>字词错误</abilityName>
      <candidateList>
        <item>平均</item>
      </candidateList>
      <explain/>
      <paraID>64DE664A</paraID>
      <start>323</start>
      <end>325</end>
      <status>ignored</status>
      <modifiedWord/>
      <trackRevisions>false</trackRevisions>
    </reviewItem>
    <reviewItem>
      <errorID>ddcbfc04-4496-4b5c-962c-249e33bf32f7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C6CBEAF</paraID>
      <start>43</start>
      <end>44</end>
      <status>ignored</status>
      <modifiedWord/>
      <trackRevisions>false</trackRevisions>
    </reviewItem>
    <reviewItem>
      <errorID>ce495f68-b615-4020-99fa-70bc09a95f27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42DC06AE</paraID>
      <start>126</start>
      <end>127</end>
      <status>ignored</status>
      <modifiedWord/>
      <trackRevisions>false</trackRevisions>
    </reviewItem>
    <reviewItem>
      <errorID>f1531194-c459-420f-aea9-2958657a62f0</errorID>
      <errorWord>高新技术产业区</errorWord>
      <group>L1_Word</group>
      <groupName>字词问题</groupName>
      <ability>L2_Typo</ability>
      <abilityName>字词错误</abilityName>
      <candidateList>
        <item>高新技术产业开发区</item>
      </candidateList>
      <explain/>
      <paraID>42DC06AE</paraID>
      <start>370</start>
      <end>377</end>
      <status>ignored</status>
      <modifiedWord/>
      <trackRevisions>false</trackRevisions>
    </reviewItem>
    <reviewItem>
      <errorID>b488ab34-e2bb-493e-bee3-9d2b9da602db</errorID>
      <errorWord>高新技术产业区</errorWord>
      <group>L1_Word</group>
      <groupName>字词问题</groupName>
      <ability>L2_Typo</ability>
      <abilityName>字词错误</abilityName>
      <candidateList>
        <item>高新技术产业开发区</item>
      </candidateList>
      <explain/>
      <paraID>42DC06AE</paraID>
      <start>448</start>
      <end>455</end>
      <status>ignored</status>
      <modifiedWord/>
      <trackRevisions>false</trackRevisions>
    </reviewItem>
    <reviewItem>
      <errorID>39829131-3f40-4ae3-9307-20ac6deb421b</errorID>
      <errorWord>，</errorWord>
      <group>L1_Word</group>
      <groupName>字词问题</groupName>
      <ability>L2_Typo</ability>
      <abilityName>字词错误</abilityName>
      <candidateList>
        <item>，是</item>
      </candidateList>
      <explain/>
      <paraID>1109C6A3</paraID>
      <start>54</start>
      <end>55</end>
      <status>ignored</status>
      <modifiedWord/>
      <trackRevisions>false</trackRevisions>
    </reviewItem>
    <reviewItem>
      <errorID>88575db4-2e1b-4a96-b5d4-c6202f1d22a7</errorID>
      <errorWord>，</errorWord>
      <group>L1_Word</group>
      <groupName>字词问题</groupName>
      <ability>L2_Typo</ability>
      <abilityName>字词错误</abilityName>
      <candidateList>
        <item>，是</item>
      </candidateList>
      <explain/>
      <paraID>1109C6A3</paraID>
      <start>74</start>
      <end>75</end>
      <status>ignored</status>
      <modifiedWord/>
      <trackRevisions>false</trackRevisions>
    </reviewItem>
    <reviewItem>
      <errorID>52582128-5415-4f72-b653-1eb0dd5c8f57</errorID>
      <errorWord>高新技术产业区</errorWord>
      <group>L1_Word</group>
      <groupName>字词问题</groupName>
      <ability>L2_Typo</ability>
      <abilityName>字词错误</abilityName>
      <candidateList>
        <item>高新技术产业开发区</item>
      </candidateList>
      <explain/>
      <paraID>1E038A0C</paraID>
      <start>5</start>
      <end>12</end>
      <status>ignored</status>
      <modifiedWord/>
      <trackRevisions>false</trackRevisions>
    </reviewItem>
    <reviewItem>
      <errorID>563e7611-3115-4ac7-9723-a2c8fc15d6aa</errorID>
      <errorWord>(</errorWord>
      <group>L1_Format</group>
      <groupName>格式问题</groupName>
      <ability>L2_HalfPunc</ability>
      <abilityName>全半角检查</abilityName>
      <candidateList>
        <item>（</item>
      </candidateList>
      <explain>文本全半角错误。</explain>
      <paraID> B3C3A73</paraID>
      <start>82</start>
      <end>83</end>
      <status>ignored</status>
      <modifiedWord/>
      <trackRevisions>false</trackRevisions>
    </reviewItem>
    <reviewItem>
      <errorID>5c97ab21-5569-4e72-bc47-ea2362ce6364</errorID>
      <errorWord>)</errorWord>
      <group>L1_Format</group>
      <groupName>格式问题</groupName>
      <ability>L2_HalfPunc</ability>
      <abilityName>全半角检查</abilityName>
      <candidateList>
        <item>）</item>
      </candidateList>
      <explain>文本全半角错误。</explain>
      <paraID> B3C3A73</paraID>
      <start>84</start>
      <end>85</end>
      <status>ignored</status>
      <modifiedWord/>
      <trackRevisions>false</trackRevisions>
    </reviewItem>
    <reviewItem>
      <errorID>5338813c-7836-489b-976b-9c84f1e106c5</errorID>
      <errorWord>(</errorWord>
      <group>L1_Format</group>
      <groupName>格式问题</groupName>
      <ability>L2_HalfPunc</ability>
      <abilityName>全半角检查</abilityName>
      <candidateList>
        <item>（</item>
      </candidateList>
      <explain>文本全半角错误。</explain>
      <paraID>209B06E0</paraID>
      <start>59</start>
      <end>60</end>
      <status>ignored</status>
      <modifiedWord/>
      <trackRevisions>false</trackRevisions>
    </reviewItem>
    <reviewItem>
      <errorID>061dbe72-27c1-4530-8ade-bcd1a12e1b7c</errorID>
      <errorWord>)</errorWord>
      <group>L1_Format</group>
      <groupName>格式问题</groupName>
      <ability>L2_HalfPunc</ability>
      <abilityName>全半角检查</abilityName>
      <candidateList>
        <item>）</item>
      </candidateList>
      <explain>文本全半角错误。</explain>
      <paraID>209B06E0</paraID>
      <start>61</start>
      <end>62</end>
      <status>ignored</status>
      <modifiedWord/>
      <trackRevisions>false</trackRevisions>
    </reviewItem>
    <reviewItem>
      <errorID>bb2be256-75f3-4324-b694-f3cfecd73bac</errorID>
      <errorWord>(</errorWord>
      <group>L1_Format</group>
      <groupName>格式问题</groupName>
      <ability>L2_HalfPunc</ability>
      <abilityName>全半角检查</abilityName>
      <candidateList>
        <item>（</item>
      </candidateList>
      <explain>文本全半角错误。</explain>
      <paraID>209B06E0</paraID>
      <start>68</start>
      <end>69</end>
      <status>ignored</status>
      <modifiedWord/>
      <trackRevisions>false</trackRevisions>
    </reviewItem>
    <reviewItem>
      <errorID>968b6946-078b-4aa0-8cb5-366389383b61</errorID>
      <errorWord>)</errorWord>
      <group>L1_Format</group>
      <groupName>格式问题</groupName>
      <ability>L2_HalfPunc</ability>
      <abilityName>全半角检查</abilityName>
      <candidateList>
        <item>）</item>
      </candidateList>
      <explain>文本全半角错误。</explain>
      <paraID>209B06E0</paraID>
      <start>70</start>
      <end>71</end>
      <status>ignored</status>
      <modifiedWord/>
      <trackRevisions>false</trackRevisions>
    </reviewItem>
    <reviewItem>
      <errorID>2814af35-8781-448a-ba10-a7a1445e9125</errorID>
      <errorWord>(</errorWord>
      <group>L1_Format</group>
      <groupName>格式问题</groupName>
      <ability>L2_HalfPunc</ability>
      <abilityName>全半角检查</abilityName>
      <candidateList>
        <item>（</item>
      </candidateList>
      <explain>文本全半角错误。</explain>
      <paraID>2B4B132E</paraID>
      <start>55</start>
      <end>56</end>
      <status>ignored</status>
      <modifiedWord/>
      <trackRevisions>false</trackRevisions>
    </reviewItem>
    <reviewItem>
      <errorID>32b9cd3f-274f-4b66-a2d3-30a07c44b852</errorID>
      <errorWord>)</errorWord>
      <group>L1_Format</group>
      <groupName>格式问题</groupName>
      <ability>L2_HalfPunc</ability>
      <abilityName>全半角检查</abilityName>
      <candidateList>
        <item>）</item>
      </candidateList>
      <explain>文本全半角错误。</explain>
      <paraID>2B4B132E</paraID>
      <start>58</start>
      <end>59</end>
      <status>ignored</status>
      <modifiedWord/>
      <trackRevisions>false</trackRevisions>
    </reviewItem>
    <reviewItem>
      <errorID>be624edd-81b0-4421-98e5-3301a12d7149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1982E79A</paraID>
      <start>0</start>
      <end>2</end>
      <status>ignored</status>
      <modifiedWord/>
      <trackRevisions>false</trackRevisions>
    </reviewItem>
    <reviewItem>
      <errorID>0272ba1b-ea34-4ed4-8f0e-f9191b464ad2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18800DDD</paraID>
      <start>0</start>
      <end>2</end>
      <status>ignored</status>
      <modifiedWord/>
      <trackRevisions>false</trackRevisions>
    </reviewItem>
    <reviewItem>
      <errorID>ffb3315c-ef27-4113-8caa-e3a9599c3b54</errorID>
      <errorWord>(</errorWord>
      <group>L1_Format</group>
      <groupName>格式问题</groupName>
      <ability>L2_HalfPunc</ability>
      <abilityName>全半角检查</abilityName>
      <candidateList>
        <item>（</item>
      </candidateList>
      <explain>文本全半角错误。</explain>
      <paraID>6A98290B</paraID>
      <start>95</start>
      <end>96</end>
      <status>ignored</status>
      <modifiedWord/>
      <trackRevisions>false</trackRevisions>
    </reviewItem>
    <reviewItem>
      <errorID>192d8ed1-b1b7-4003-8fc6-c7a911565b35</errorID>
      <errorWord>)</errorWord>
      <group>L1_Format</group>
      <groupName>格式问题</groupName>
      <ability>L2_HalfPunc</ability>
      <abilityName>全半角检查</abilityName>
      <candidateList>
        <item>）</item>
      </candidateList>
      <explain>文本全半角错误。</explain>
      <paraID>6A98290B</paraID>
      <start>110</start>
      <end>111</end>
      <status>ignored</status>
      <modifiedWord/>
      <trackRevisions>false</trackRevisions>
    </reviewItem>
    <reviewItem>
      <errorID>fdd3a3fb-f7c8-4eb9-87b6-10944126c4ee</errorID>
      <errorWord>(</errorWord>
      <group>L1_Format</group>
      <groupName>格式问题</groupName>
      <ability>L2_HalfPunc</ability>
      <abilityName>全半角检查</abilityName>
      <candidateList>
        <item>（</item>
      </candidateList>
      <explain>文本全半角错误。</explain>
      <paraID>6A98290B</paraID>
      <start>153</start>
      <end>154</end>
      <status>ignored</status>
      <modifiedWord/>
      <trackRevisions>false</trackRevisions>
    </reviewItem>
    <reviewItem>
      <errorID>2cd3d7d8-11a3-4a93-90f8-e4dba3825ebc</errorID>
      <errorWord>)</errorWord>
      <group>L1_Format</group>
      <groupName>格式问题</groupName>
      <ability>L2_HalfPunc</ability>
      <abilityName>全半角检查</abilityName>
      <candidateList>
        <item>）</item>
      </candidateList>
      <explain>文本全半角错误。</explain>
      <paraID>6A98290B</paraID>
      <start>169</start>
      <end>170</end>
      <status>ignored</status>
      <modifiedWord/>
      <trackRevisions>false</trackRevisions>
    </reviewItem>
    <reviewItem>
      <errorID>b4ffe7fc-0b4e-484f-8b94-0480ad3af60a</errorID>
      <errorWord>(</errorWord>
      <group>L1_Format</group>
      <groupName>格式问题</groupName>
      <ability>L2_HalfPunc</ability>
      <abilityName>全半角检查</abilityName>
      <candidateList>
        <item>（</item>
      </candidateList>
      <explain>文本全半角错误。</explain>
      <paraID>6A98290B</paraID>
      <start>214</start>
      <end>215</end>
      <status>ignored</status>
      <modifiedWord/>
      <trackRevisions>false</trackRevisions>
    </reviewItem>
    <reviewItem>
      <errorID>16ebb85c-bf92-4ff4-847a-ee75d22bf988</errorID>
      <errorWord>)</errorWord>
      <group>L1_Format</group>
      <groupName>格式问题</groupName>
      <ability>L2_HalfPunc</ability>
      <abilityName>全半角检查</abilityName>
      <candidateList>
        <item>）</item>
      </candidateList>
      <explain>文本全半角错误。</explain>
      <paraID>6A98290B</paraID>
      <start>228</start>
      <end>229</end>
      <status>ignored</status>
      <modifiedWord/>
      <trackRevisions>false</trackRevisions>
    </reviewItem>
    <reviewItem>
      <errorID>a4653150-74dd-4892-89d8-9168aeac4927</errorID>
      <errorWord>(</errorWord>
      <group>L1_Format</group>
      <groupName>格式问题</groupName>
      <ability>L2_HalfPunc</ability>
      <abilityName>全半角检查</abilityName>
      <candidateList>
        <item>（</item>
      </candidateList>
      <explain>文本全半角错误。</explain>
      <paraID>6A98290B</paraID>
      <start>440</start>
      <end>441</end>
      <status>ignored</status>
      <modifiedWord/>
      <trackRevisions>false</trackRevisions>
    </reviewItem>
    <reviewItem>
      <errorID>92477dbd-7237-478d-b431-0a83f1bfd06d</errorID>
      <errorWord>(</errorWord>
      <group>L1_Format</group>
      <groupName>格式问题</groupName>
      <ability>L2_HalfPunc</ability>
      <abilityName>全半角检查</abilityName>
      <candidateList>
        <item>（</item>
      </candidateList>
      <explain>文本全半角错误。</explain>
      <paraID>6A98290B</paraID>
      <start>492</start>
      <end>493</end>
      <status>ignored</status>
      <modifiedWord/>
      <trackRevisions>false</trackRevisions>
    </reviewItem>
    <reviewItem>
      <errorID>d002a738-1a38-452c-a3d2-b42021c5b20e</errorID>
      <errorWord>)</errorWord>
      <group>L1_Format</group>
      <groupName>格式问题</groupName>
      <ability>L2_HalfPunc</ability>
      <abilityName>全半角检查</abilityName>
      <candidateList>
        <item>）</item>
      </candidateList>
      <explain>文本全半角错误。</explain>
      <paraID>6A98290B</paraID>
      <start>507</start>
      <end>508</end>
      <status>ignored</status>
      <modifiedWord/>
      <trackRevisions>false</trackRevisions>
    </reviewItem>
    <reviewItem>
      <errorID>c71de361-65ac-45df-8136-98bc9f8fd0a7</errorID>
      <errorWord>(</errorWord>
      <group>L1_Format</group>
      <groupName>格式问题</groupName>
      <ability>L2_HalfPunc</ability>
      <abilityName>全半角检查</abilityName>
      <candidateList>
        <item>（</item>
      </candidateList>
      <explain>文本全半角错误。</explain>
      <paraID>6A98290B</paraID>
      <start>536</start>
      <end>537</end>
      <status>ignored</status>
      <modifiedWord/>
      <trackRevisions>false</trackRevisions>
    </reviewItem>
    <reviewItem>
      <errorID>f44fc8e8-4067-4da3-bace-0d506f0b10a1</errorID>
      <errorWord>)</errorWord>
      <group>L1_Format</group>
      <groupName>格式问题</groupName>
      <ability>L2_HalfPunc</ability>
      <abilityName>全半角检查</abilityName>
      <candidateList>
        <item>）</item>
      </candidateList>
      <explain>文本全半角错误。</explain>
      <paraID>6A98290B</paraID>
      <start>549</start>
      <end>550</end>
      <status>ignored</status>
      <modifiedWord/>
      <trackRevisions>false</trackRevisions>
    </reviewItem>
    <reviewItem>
      <errorID>54cbaf48-d855-47b4-8419-f157e3aa25dc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371BFF7D</paraID>
      <start>0</start>
      <end>2</end>
      <status>ignored</status>
      <modifiedWord/>
      <trackRevisions>false</trackRevisions>
    </reviewItem>
    <reviewItem>
      <errorID>7407b5ba-e2b4-48f2-a9f5-a9f03f7942d7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2F6A9DB8</paraID>
      <start>0</start>
      <end>2</end>
      <status>ignored</status>
      <modifiedWord/>
      <trackRevisions>false</trackRevisions>
    </reviewItem>
    <reviewItem>
      <errorID>2569163a-b121-4adc-97fc-441b1c0dcc03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3E579F9B</paraID>
      <start>0</start>
      <end>2</end>
      <status>ignored</status>
      <modifiedWord/>
      <trackRevisions>false</trackRevisions>
    </reviewItem>
    <reviewItem>
      <errorID>1ac98029-0b42-4f59-9c90-6a27564968e3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27FB0625</paraID>
      <start>0</start>
      <end>2</end>
      <status>ignored</status>
      <modifiedWord/>
      <trackRevisions>false</trackRevisions>
    </reviewItem>
    <reviewItem>
      <errorID>34f5008b-d678-4136-83f8-72dd44432114</errorID>
      <errorWord>(</errorWord>
      <group>L1_Format</group>
      <groupName>格式问题</groupName>
      <ability>L2_HalfPunc</ability>
      <abilityName>全半角检查</abilityName>
      <candidateList>
        <item>（</item>
      </candidateList>
      <explain>文本全半角错误。</explain>
      <paraID> C095EAC</paraID>
      <start>316</start>
      <end>317</end>
      <status>ignored</status>
      <modifiedWord/>
      <trackRevisions>false</trackRevisions>
    </reviewItem>
    <reviewItem>
      <errorID>2fc1ac3c-63a7-4eb5-8a82-bc9645393613</errorID>
      <errorWord>(</errorWord>
      <group>L1_Format</group>
      <groupName>格式问题</groupName>
      <ability>L2_HalfPunc</ability>
      <abilityName>全半角检查</abilityName>
      <candidateList>
        <item>（</item>
      </candidateList>
      <explain>文本全半角错误。</explain>
      <paraID> C095EAC</paraID>
      <start>368</start>
      <end>369</end>
      <status>ignored</status>
      <modifiedWord/>
      <trackRevisions>false</trackRevisions>
    </reviewItem>
    <reviewItem>
      <errorID>8919192a-35d2-4f3a-9e41-2542a54a303b</errorID>
      <errorWord>)</errorWord>
      <group>L1_Format</group>
      <groupName>格式问题</groupName>
      <ability>L2_HalfPunc</ability>
      <abilityName>全半角检查</abilityName>
      <candidateList>
        <item>）</item>
      </candidateList>
      <explain>文本全半角错误。</explain>
      <paraID> C095EAC</paraID>
      <start>383</start>
      <end>384</end>
      <status>ignored</status>
      <modifiedWord/>
      <trackRevisions>false</trackRevisions>
    </reviewItem>
    <reviewItem>
      <errorID>c768f6fd-942e-491c-9cbb-147aa696df8d</errorID>
      <errorWord>(</errorWord>
      <group>L1_Format</group>
      <groupName>格式问题</groupName>
      <ability>L2_HalfPunc</ability>
      <abilityName>全半角检查</abilityName>
      <candidateList>
        <item>（</item>
      </candidateList>
      <explain>文本全半角错误。</explain>
      <paraID> C095EAC</paraID>
      <start>412</start>
      <end>413</end>
      <status>ignored</status>
      <modifiedWord/>
      <trackRevisions>false</trackRevisions>
    </reviewItem>
    <reviewItem>
      <errorID>106a512a-bae7-4d66-9210-f68fd4bfab36</errorID>
      <errorWord>)</errorWord>
      <group>L1_Format</group>
      <groupName>格式问题</groupName>
      <ability>L2_HalfPunc</ability>
      <abilityName>全半角检查</abilityName>
      <candidateList>
        <item>）</item>
      </candidateList>
      <explain>文本全半角错误。</explain>
      <paraID> C095EAC</paraID>
      <start>425</start>
      <end>426</end>
      <status>ignored</status>
      <modifiedWord/>
      <trackRevisions>false</trackRevisions>
    </reviewItem>
    <reviewItem>
      <errorID>526dd058-370e-4984-9984-697cbf67dfd6</errorID>
      <errorWord>固废物</errorWord>
      <group>L1_Word</group>
      <groupName>字词问题</groupName>
      <ability>L2_Typo</ability>
      <abilityName>字词错误</abilityName>
      <candidateList>
        <item>固体废物</item>
      </candidateList>
      <explain/>
      <paraID>713E40B0</paraID>
      <start>86</start>
      <end>89</end>
      <status>ignored</status>
      <modifiedWord/>
      <trackRevisions>false</trackRevisions>
    </reviewItem>
    <reviewItem>
      <errorID>069535f8-e8b1-4705-9b14-bd696bf253db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2BCDB9B</paraID>
      <start>145</start>
      <end>146</end>
      <status>ignored</status>
      <modifiedWord/>
      <trackRevisions>false</trackRevisions>
    </reviewItem>
    <reviewItem>
      <errorID>8daca80e-8ee0-41a5-97ee-4a55d1646e93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512028A2</paraID>
      <start>116</start>
      <end>117</end>
      <status>ignored</status>
      <modifiedWord/>
      <trackRevisions>false</trackRevisions>
    </reviewItem>
    <reviewItem>
      <errorID>2ac7b6d9-3115-4516-bce7-9c9bfa60121a</errorID>
      <errorWord>（</errorWord>
      <group>L1_Format</group>
      <groupName>格式问题</groupName>
      <ability>L2_HalfPunc</ability>
      <abilityName>全半角检查</abilityName>
      <candidateList>
        <item>(</item>
      </candidateList>
      <explain>文本全半角错误。</explain>
      <paraID>568E7FA7</paraID>
      <start>0</start>
      <end>1</end>
      <status>ignored</status>
      <modifiedWord/>
      <trackRevisions>false</trackRevisions>
    </reviewItem>
    <reviewItem>
      <errorID>5d5eaa84-33e7-49e7-81bc-0cf44873e529</errorID>
      <errorWord>）</errorWord>
      <group>L1_Format</group>
      <groupName>格式问题</groupName>
      <ability>L2_HalfPunc</ability>
      <abilityName>全半角检查</abilityName>
      <candidateList>
        <item>)</item>
      </candidateList>
      <explain>文本全半角错误。</explain>
      <paraID>568E7FA7</paraID>
      <start>7</start>
      <end>8</end>
      <status>ignored</status>
      <modifiedWord/>
      <trackRevisions>false</trackRevisions>
    </reviewItem>
    <reviewItem>
      <errorID>8ab038ac-0a18-471d-8438-6b2742351ea7</errorID>
      <errorWord>(</errorWord>
      <group>L1_Format</group>
      <groupName>格式问题</groupName>
      <ability>L2_HalfPunc</ability>
      <abilityName>全半角检查</abilityName>
      <candidateList>
        <item>（</item>
      </candidateList>
      <explain>文本全半角错误。</explain>
      <paraID>6D18C694</paraID>
      <start>76</start>
      <end>77</end>
      <status>ignored</status>
      <modifiedWord/>
      <trackRevisions>false</trackRevisions>
    </reviewItem>
    <reviewItem>
      <errorID>62851d9d-3c43-474d-8e38-fe65202c1033</errorID>
      <errorWord>)</errorWord>
      <group>L1_Format</group>
      <groupName>格式问题</groupName>
      <ability>L2_HalfPunc</ability>
      <abilityName>全半角检查</abilityName>
      <candidateList>
        <item>）</item>
      </candidateList>
      <explain>文本全半角错误。</explain>
      <paraID>6D18C694</paraID>
      <start>79</start>
      <end>80</end>
      <status>ignored</status>
      <modifiedWord/>
      <trackRevisions>false</trackRevisions>
    </reviewItem>
    <reviewItem>
      <errorID>5156ec76-2775-4049-b535-f5fcc26bf9ba</errorID>
      <errorWord>，</errorWord>
      <group>L1_Format</group>
      <groupName>格式问题</groupName>
      <ability>L2_HalfPunc</ability>
      <abilityName>全半角检查</abilityName>
      <candidateList>
        <item>, </item>
      </candidateList>
      <explain>文本全半角错误。</explain>
      <paraID>1473BF7E</paraID>
      <start>13</start>
      <end>14</end>
      <status>ignored</status>
      <modifiedWord/>
      <trackRevisions>false</trackRevisions>
    </reviewItem>
    <reviewItem>
      <errorID>79eaa44e-7d1a-49d4-bff3-a61214c690d6</errorID>
      <errorWord>，</errorWord>
      <group>L1_Format</group>
      <groupName>格式问题</groupName>
      <ability>L2_HalfPunc</ability>
      <abilityName>全半角检查</abilityName>
      <candidateList>
        <item>, </item>
      </candidateList>
      <explain>文本全半角错误。</explain>
      <paraID>6D565A78</paraID>
      <start>13</start>
      <end>14</end>
      <status>ignored</status>
      <modifiedWord/>
      <trackRevisions>false</trackRevisions>
    </reviewItem>
    <reviewItem>
      <errorID>e546a5f7-da95-44a5-bbd5-6a6d2d89e634</errorID>
      <errorWord>，</errorWord>
      <group>L1_Format</group>
      <groupName>格式问题</groupName>
      <ability>L2_HalfPunc</ability>
      <abilityName>全半角检查</abilityName>
      <candidateList>
        <item>, </item>
      </candidateList>
      <explain>文本全半角错误。</explain>
      <paraID>5A391F10</paraID>
      <start>13</start>
      <end>14</end>
      <status>ignored</status>
      <modifiedWord/>
      <trackRevisions>false</trackRevisions>
    </reviewItem>
    <reviewItem>
      <errorID>a8e68d5f-fc3f-483f-9c25-d3fb4771d7e8</errorID>
      <errorWord>，</errorWord>
      <group>L1_Format</group>
      <groupName>格式问题</groupName>
      <ability>L2_HalfPunc</ability>
      <abilityName>全半角检查</abilityName>
      <candidateList>
        <item>, </item>
      </candidateList>
      <explain>文本全半角错误。</explain>
      <paraID>107183C6</paraID>
      <start>13</start>
      <end>14</end>
      <status>ignored</status>
      <modifiedWord/>
      <trackRevisions>false</trackRevisions>
    </reviewItem>
    <reviewItem>
      <errorID>9b41e1dd-ab41-419b-9357-d1a0fbcada2c</errorID>
      <errorWord>：</errorWord>
      <group>L1_Format</group>
      <groupName>格式问题</groupName>
      <ability>L2_HalfPunc</ability>
      <abilityName>全半角检查</abilityName>
      <candidateList>
        <item>:</item>
      </candidateList>
      <explain>文本全半角错误。</explain>
      <paraID>47AD8591</paraID>
      <start>67</start>
      <end>68</end>
      <status>ignored</status>
      <modifiedWord/>
      <trackRevisions>false</trackRevisions>
    </reviewItem>
    <reviewItem>
      <errorID>4dde5f04-f1c9-4576-ad7b-44bdf626db43</errorID>
      <errorWord>：</errorWord>
      <group>L1_Format</group>
      <groupName>格式问题</groupName>
      <ability>L2_HalfPunc</ability>
      <abilityName>全半角检查</abilityName>
      <candidateList>
        <item>:</item>
      </candidateList>
      <explain>文本全半角错误。</explain>
      <paraID>47AD8591</paraID>
      <start>73</start>
      <end>74</end>
      <status>ignored</status>
      <modifiedWord/>
      <trackRevisions>false</trackRevisions>
    </reviewItem>
    <reviewItem>
      <errorID>332a154d-f65f-4a77-8ded-c40e50580858</errorID>
      <errorWord>：</errorWord>
      <group>L1_Format</group>
      <groupName>格式问题</groupName>
      <ability>L2_HalfPunc</ability>
      <abilityName>全半角检查</abilityName>
      <candidateList>
        <item>:</item>
      </candidateList>
      <explain>文本全半角错误。</explain>
      <paraID>47AD8591</paraID>
      <start>81</start>
      <end>82</end>
      <status>ignored</status>
      <modifiedWord/>
      <trackRevisions>false</trackRevisions>
    </reviewItem>
    <reviewItem>
      <errorID>b6085313-ced2-4755-8a28-e4f22bb17a89</errorID>
      <errorWord>：</errorWord>
      <group>L1_Format</group>
      <groupName>格式问题</groupName>
      <ability>L2_HalfPunc</ability>
      <abilityName>全半角检查</abilityName>
      <candidateList>
        <item>:</item>
      </candidateList>
      <explain>文本全半角错误。</explain>
      <paraID>47AD8591</paraID>
      <start>86</start>
      <end>87</end>
      <status>ignored</status>
      <modifiedWord/>
      <trackRevisions>false</trackRevisions>
    </reviewItem>
    <reviewItem>
      <errorID>040ce185-a89f-4bf9-8ea8-00e0ab11a847</errorID>
      <errorWord>（</errorWord>
      <group>L1_Punc</group>
      <groupName>标点问题</groupName>
      <ability>L2_Punc</ability>
      <abilityName>标点符号检查</abilityName>
      <candidateList/>
      <explain>同一形式括号套用。</explain>
      <paraID>67038298</paraID>
      <start>30</start>
      <end>31</end>
      <status>ignored</status>
      <modifiedWord/>
      <trackRevisions>false</trackRevisions>
    </reviewItem>
    <reviewItem>
      <errorID>d141760e-b16d-4448-98ac-7357dd171bc1</errorID>
      <errorWord>）</errorWord>
      <group>L1_Punc</group>
      <groupName>标点问题</groupName>
      <ability>L2_Punc</ability>
      <abilityName>标点符号检查</abilityName>
      <candidateList/>
      <explain>同一形式括号套用。</explain>
      <paraID>67038298</paraID>
      <start>32</start>
      <end>33</end>
      <status>ignored</status>
      <modifiedWord/>
      <trackRevisions>false</trackRevisions>
    </reviewItem>
    <reviewItem>
      <errorID>be73c816-8035-45b9-832e-72b578bc8af3</errorID>
      <errorWord>沉砂池</errorWord>
      <group>L1_Word</group>
      <groupName>字词问题</groupName>
      <ability>L2_Typo</ability>
      <abilityName>字词错误</abilityName>
      <candidateList>
        <item>沉沙池</item>
      </candidateList>
      <explain>存在发音相同字词的误用。</explain>
      <paraID> A2B2F50</paraID>
      <start>231</start>
      <end>234</end>
      <status>ignored</status>
      <modifiedWord/>
      <trackRevisions>false</trackRevisions>
    </reviewItem>
    <reviewItem>
      <errorID>21aefbbc-b65d-4329-b3f0-d7dfe836a02e</errorID>
      <errorWord>(</errorWord>
      <group>L1_Format</group>
      <groupName>格式问题</groupName>
      <ability>L2_HalfPunc</ability>
      <abilityName>全半角检查</abilityName>
      <candidateList>
        <item>（</item>
      </candidateList>
      <explain>文本全半角错误。</explain>
      <paraID>77DF4B22</paraID>
      <start>2</start>
      <end>3</end>
      <status>ignored</status>
      <modifiedWord/>
      <trackRevisions>false</trackRevisions>
    </reviewItem>
    <reviewItem>
      <errorID>c1fb1566-13e8-4dfb-9432-ab46645145f3</errorID>
      <errorWord>(</errorWord>
      <group>L1_Format</group>
      <groupName>格式问题</groupName>
      <ability>L2_HalfPunc</ability>
      <abilityName>全半角检查</abilityName>
      <candidateList>
        <item>（</item>
      </candidateList>
      <explain>文本全半角错误。</explain>
      <paraID>2730E583</paraID>
      <start>2</start>
      <end>3</end>
      <status>ignored</status>
      <modifiedWord/>
      <trackRevisions>false</trackRevisions>
    </reviewItem>
    <reviewItem>
      <errorID>f5c1f481-7e45-46e0-98aa-8e2b4f44c694</errorID>
      <errorWord>)</errorWord>
      <group>L1_Format</group>
      <groupName>格式问题</groupName>
      <ability>L2_HalfPunc</ability>
      <abilityName>全半角检查</abilityName>
      <candidateList>
        <item>）</item>
      </candidateList>
      <explain>文本全半角错误。</explain>
      <paraID>2730E583</paraID>
      <start>4</start>
      <end>5</end>
      <status>ignored</status>
      <modifiedWord/>
      <trackRevisions>false</trackRevisions>
    </reviewItem>
    <reviewItem>
      <errorID>560c7fe8-8421-4609-966b-a8015bcb6703</errorID>
      <errorWord>(</errorWord>
      <group>L1_Format</group>
      <groupName>格式问题</groupName>
      <ability>L2_HalfPunc</ability>
      <abilityName>全半角检查</abilityName>
      <candidateList>
        <item>（</item>
      </candidateList>
      <explain>文本全半角错误。</explain>
      <paraID>35B8EF85</paraID>
      <start>2</start>
      <end>3</end>
      <status>ignored</status>
      <modifiedWord/>
      <trackRevisions>false</trackRevisions>
    </reviewItem>
    <reviewItem>
      <errorID>d251201b-6bf7-4c9e-8171-5f01bc289be2</errorID>
      <errorWord>)</errorWord>
      <group>L1_Format</group>
      <groupName>格式问题</groupName>
      <ability>L2_HalfPunc</ability>
      <abilityName>全半角检查</abilityName>
      <candidateList>
        <item>）</item>
      </candidateList>
      <explain>文本全半角错误。</explain>
      <paraID>35B8EF85</paraID>
      <start>4</start>
      <end>5</end>
      <status>ignored</status>
      <modifiedWord/>
      <trackRevisions>false</trackRevisions>
    </reviewItem>
    <reviewItem>
      <errorID>83f41fd0-93b8-42d0-b0af-a8fd77799521</errorID>
      <errorWord>(</errorWord>
      <group>L1_Format</group>
      <groupName>格式问题</groupName>
      <ability>L2_HalfPunc</ability>
      <abilityName>全半角检查</abilityName>
      <candidateList>
        <item>（</item>
      </candidateList>
      <explain>文本全半角错误。</explain>
      <paraID>454691C4</paraID>
      <start>2</start>
      <end>3</end>
      <status>ignored</status>
      <modifiedWord/>
      <trackRevisions>false</trackRevisions>
    </reviewItem>
    <reviewItem>
      <errorID>b2019db1-5204-45d5-a1da-6747648d992f</errorID>
      <errorWord>)</errorWord>
      <group>L1_Format</group>
      <groupName>格式问题</groupName>
      <ability>L2_HalfPunc</ability>
      <abilityName>全半角检查</abilityName>
      <candidateList>
        <item>）</item>
      </candidateList>
      <explain>文本全半角错误。</explain>
      <paraID>454691C4</paraID>
      <start>4</start>
      <end>5</end>
      <status>ignored</status>
      <modifiedWord/>
      <trackRevisions>false</trackRevisions>
    </reviewItem>
    <reviewItem>
      <errorID>53e7c7bb-f834-4792-b08b-cfb5551ee633</errorID>
      <errorWord>(</errorWord>
      <group>L1_Format</group>
      <groupName>格式问题</groupName>
      <ability>L2_HalfPunc</ability>
      <abilityName>全半角检查</abilityName>
      <candidateList>
        <item>（</item>
      </candidateList>
      <explain>文本全半角错误。</explain>
      <paraID> DEC484F</paraID>
      <start>73</start>
      <end>74</end>
      <status>ignored</status>
      <modifiedWord/>
      <trackRevisions>false</trackRevisions>
    </reviewItem>
    <reviewItem>
      <errorID>e18ee83e-87b0-4f42-aa55-acc17b943d43</errorID>
      <errorWord>)</errorWord>
      <group>L1_Format</group>
      <groupName>格式问题</groupName>
      <ability>L2_HalfPunc</ability>
      <abilityName>全半角检查</abilityName>
      <candidateList>
        <item>）</item>
      </candidateList>
      <explain>文本全半角错误。</explain>
      <paraID> DEC484F</paraID>
      <start>75</start>
      <end>76</end>
      <status>ignored</status>
      <modifiedWord/>
      <trackRevisions>false</trackRevisions>
    </reviewItem>
    <reviewItem>
      <errorID>af853ce7-5f5a-4f9f-8bb8-66f30b11b55b</errorID>
      <errorWord>海拔高度</errorWord>
      <group>L1_Word</group>
      <groupName>字词问题</groupName>
      <ability>L2_Typo</ability>
      <abilityName>字词错误</abilityName>
      <candidateList>
        <item>海拔</item>
      </candidateList>
      <explain>〈名〉从平均海平面起算的高度。</explain>
      <paraID>414347A3</paraID>
      <start>0</start>
      <end>4</end>
      <status>ignored</status>
      <modifiedWord/>
      <trackRevisions>false</trackRevisions>
    </reviewItem>
    <reviewItem>
      <errorID>41136538-e163-4c17-8907-322d4e1cc0ed</errorID>
      <errorWord>,</errorWord>
      <group>L1_Format</group>
      <groupName>格式问题</groupName>
      <ability>L2_HalfPunc</ability>
      <abilityName>全半角检查</abilityName>
      <candidateList>
        <item>，</item>
      </candidateList>
      <explain>文本全半角错误。</explain>
      <paraID>6414842F</paraID>
      <start>125</start>
      <end>126</end>
      <status>ignored</status>
      <modifiedWord/>
      <trackRevisions>false</trackRevisions>
    </reviewItem>
    <reviewItem>
      <errorID>6e3d1171-ae5b-49ce-9fa7-f33b35d7d42e</errorID>
      <errorWord>,</errorWord>
      <group>L1_Format</group>
      <groupName>格式问题</groupName>
      <ability>L2_HalfPunc</ability>
      <abilityName>全半角检查</abilityName>
      <candidateList>
        <item>，</item>
      </candidateList>
      <explain>文本全半角错误。</explain>
      <paraID>1EC52D29</paraID>
      <start>125</start>
      <end>126</end>
      <status>ignored</status>
      <modifiedWord/>
      <trackRevisions>false</trackRevisions>
    </reviewItem>
    <reviewItem>
      <errorID>d535c294-44c7-4f69-ae3d-054df1cb249a</errorID>
      <errorWord>,</errorWord>
      <group>L1_Format</group>
      <groupName>格式问题</groupName>
      <ability>L2_HalfPunc</ability>
      <abilityName>全半角检查</abilityName>
      <candidateList>
        <item>，</item>
      </candidateList>
      <explain>文本全半角错误。</explain>
      <paraID>5ECE1F0D</paraID>
      <start>84</start>
      <end>85</end>
      <status>ignored</status>
      <modifiedWord/>
      <trackRevisions>false</trackRevisions>
    </reviewItem>
    <reviewItem>
      <errorID>e5d12882-f3f2-4d3a-9a10-80fef14473d0</errorID>
      <errorWord>x，</errorWord>
      <group>L1_Format</group>
      <groupName>格式问题</groupName>
      <ability>L2_Ordinal</ability>
      <abilityName>序号格式</abilityName>
      <candidateList>
        <item>x.</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437031D</paraID>
      <start>0</start>
      <end>2</end>
      <status>ignored</status>
      <modifiedWord/>
      <trackRevisions>false</trackRevisions>
    </reviewItem>
    <reviewItem>
      <errorID>1766b79e-5fba-41d9-8d97-c9696cae0ec4</errorID>
      <errorWord>）</errorWord>
      <group>L1_Format</group>
      <groupName>格式问题</groupName>
      <ability>L2_HalfPunc</ability>
      <abilityName>全半角检查</abilityName>
      <candidateList>
        <item>)</item>
      </candidateList>
      <explain>文本全半角错误。</explain>
      <paraID>581916E7</paraID>
      <start>65</start>
      <end>66</end>
      <status>ignored</status>
      <modifiedWord/>
      <trackRevisions>false</trackRevisions>
    </reviewItem>
    <reviewItem>
      <errorID>6982001f-aeb5-42f7-9740-0d7c4596601c</errorID>
      <errorWord>）</errorWord>
      <group>L1_Format</group>
      <groupName>格式问题</groupName>
      <ability>L2_HalfPunc</ability>
      <abilityName>全半角检查</abilityName>
      <candidateList>
        <item>)</item>
      </candidateList>
      <explain>文本全半角错误。</explain>
      <paraID>581916E7</paraID>
      <start>111</start>
      <end>112</end>
      <status>ignored</status>
      <modifiedWord/>
      <trackRevisions>false</trackRevisions>
    </reviewItem>
    <reviewItem>
      <errorID>33bbae93-b876-41c0-825f-8d2b4e1b443d</errorID>
      <errorWord>(</errorWord>
      <group>L1_Format</group>
      <groupName>格式问题</groupName>
      <ability>L2_HalfPunc</ability>
      <abilityName>全半角检查</abilityName>
      <candidateList>
        <item>（</item>
      </candidateList>
      <explain>文本全半角错误。</explain>
      <paraID>740FF700</paraID>
      <start>134</start>
      <end>135</end>
      <status>ignored</status>
      <modifiedWord/>
      <trackRevisions>false</trackRevisions>
    </reviewItem>
    <reviewItem>
      <errorID>4ceb9b49-15b2-46af-8ae6-eab12639f4ce</errorID>
      <errorWord>)</errorWord>
      <group>L1_Format</group>
      <groupName>格式问题</groupName>
      <ability>L2_HalfPunc</ability>
      <abilityName>全半角检查</abilityName>
      <candidateList>
        <item>）</item>
      </candidateList>
      <explain>文本全半角错误。</explain>
      <paraID>740FF700</paraID>
      <start>137</start>
      <end>138</end>
      <status>ignored</status>
      <modifiedWord/>
      <trackRevisions>false</trackRevisions>
    </reviewItem>
    <reviewItem>
      <errorID>0224aedf-8b3f-4960-9488-a6df8d767510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3363939E</paraID>
      <start>55</start>
      <end>56</end>
      <status>ignored</status>
      <modifiedWord/>
      <trackRevisions>false</trackRevisions>
    </reviewItem>
    <reviewItem>
      <errorID>6555af0c-6586-42b8-a858-763f6439caa1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679B045</paraID>
      <start>139</start>
      <end>140</end>
      <status>ignored</status>
      <modifiedWord/>
      <trackRevisions>false</trackRevisions>
    </reviewItem>
    <reviewItem>
      <errorID>3004ec79-c59e-4adc-af31-3ae3dfda122d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679B045</paraID>
      <start>172</start>
      <end>173</end>
      <status>ignored</status>
      <modifiedWord/>
      <trackRevisions>false</trackRevisions>
    </reviewItem>
    <reviewItem>
      <errorID>74dd7e3c-62b7-4b3c-8180-15db82aba537</errorID>
      <errorWord>（</errorWord>
      <group>L1_Format</group>
      <groupName>格式问题</groupName>
      <ability>L2_HalfPunc</ability>
      <abilityName>全半角检查</abilityName>
      <candidateList>
        <item>(</item>
      </candidateList>
      <explain>文本全半角错误。</explain>
      <paraID> B56C76B</paraID>
      <start>0</start>
      <end>1</end>
      <status>ignored</status>
      <modifiedWord/>
      <trackRevisions>false</trackRevisions>
    </reviewItem>
    <reviewItem>
      <errorID>d463742c-758f-4c35-a37c-f419b6eaab71</errorID>
      <errorWord>）</errorWord>
      <group>L1_Format</group>
      <groupName>格式问题</groupName>
      <ability>L2_HalfPunc</ability>
      <abilityName>全半角检查</abilityName>
      <candidateList>
        <item>)</item>
      </candidateList>
      <explain>文本全半角错误。</explain>
      <paraID> B56C76B</paraID>
      <start>8</start>
      <end>9</end>
      <status>ignored</status>
      <modifiedWord/>
      <trackRevisions>false</trackRevisions>
    </reviewItem>
    <reviewItem>
      <errorID>833bcf41-e48c-411e-b2df-5c1c27b1a9f4</errorID>
      <errorWord>（\</errorWord>
      <group>L1_Punc</group>
      <groupName>标点问题</groupName>
      <ability>L2_Punc</ability>
      <abilityName>标点符号检查</abilityName>
      <candidateList>
        <item>（</item>
      </candidateList>
      <explain/>
      <paraID>45A98F46</paraID>
      <start>4</start>
      <end>6</end>
      <status>ignored</status>
      <modifiedWord/>
      <trackRevisions>false</trackRevisions>
    </reviewItem>
    <reviewItem>
      <errorID>1254dde4-75e0-4738-adc2-94fef2dcf7f3</errorID>
      <errorWord>（\</errorWord>
      <group>L1_Punc</group>
      <groupName>标点问题</groupName>
      <ability>L2_Punc</ability>
      <abilityName>标点符号检查</abilityName>
      <candidateList>
        <item>（</item>
      </candidateList>
      <explain/>
      <paraID>45A98F46</paraID>
      <start>10</start>
      <end>12</end>
      <status>ignored</status>
      <modifiedWord/>
      <trackRevisions>false</trackRevisions>
    </reviewItem>
    <reviewItem>
      <errorID>b787d985-e3ac-404f-984d-90d6352677b3</errorID>
      <errorWord>（\</errorWord>
      <group>L1_Punc</group>
      <groupName>标点问题</groupName>
      <ability>L2_Punc</ability>
      <abilityName>标点符号检查</abilityName>
      <candidateList>
        <item>（</item>
      </candidateList>
      <explain/>
      <paraID>45A98F46</paraID>
      <start>16</start>
      <end>18</end>
      <status>ignored</status>
      <modifiedWord/>
      <trackRevisions>false</trackRevisions>
    </reviewItem>
    <reviewItem>
      <errorID>abc58b7a-8fcb-4198-8875-db783cf2e3ff</errorID>
      <errorWord>）</errorWord>
      <group>L1_Format</group>
      <groupName>格式问题</groupName>
      <ability>L2_HalfPunc</ability>
      <abilityName>全半角检查</abilityName>
      <candidateList>
        <item>)</item>
      </candidateList>
      <explain>文本全半角错误。</explain>
      <paraID>7AA95949</paraID>
      <start>1</start>
      <end>2</end>
      <status>ignored</status>
      <modifiedWord/>
      <trackRevisions>false</trackRevisions>
    </reviewItem>
    <reviewItem>
      <errorID>5d51f778-afc3-41ce-b285-fa6c7b9ca2f4</errorID>
      <errorWord>；</errorWord>
      <group>L1_Format</group>
      <groupName>格式问题</groupName>
      <ability>L2_HalfPunc</ability>
      <abilityName>全半角检查</abilityName>
      <candidateList>
        <item>; </item>
      </candidateList>
      <explain>文本全半角错误。</explain>
      <paraID>7AA95949</paraID>
      <start>3</start>
      <end>4</end>
      <status>ignored</status>
      <modifiedWord/>
      <trackRevisions>false</trackRevisions>
    </reviewItem>
    <reviewItem>
      <errorID>5efc4f4c-b9b3-4a51-9497-74b0f5d62548</errorID>
      <errorWord>）</errorWord>
      <group>L1_Format</group>
      <groupName>格式问题</groupName>
      <ability>L2_HalfPunc</ability>
      <abilityName>全半角检查</abilityName>
      <candidateList>
        <item>)</item>
      </candidateList>
      <explain>文本全半角错误。</explain>
      <paraID>7AA95949</paraID>
      <start>5</start>
      <end>6</end>
      <status>ignored</status>
      <modifiedWord/>
      <trackRevisions>false</trackRevisions>
    </reviewItem>
    <reviewItem>
      <errorID>9d8f7402-3451-4a73-8658-fee1b3015731</errorID>
      <errorWord>；</errorWord>
      <group>L1_Format</group>
      <groupName>格式问题</groupName>
      <ability>L2_HalfPunc</ability>
      <abilityName>全半角检查</abilityName>
      <candidateList>
        <item>; </item>
      </candidateList>
      <explain>文本全半角错误。</explain>
      <paraID>7AA95949</paraID>
      <start>7</start>
      <end>8</end>
      <status>ignored</status>
      <modifiedWord/>
      <trackRevisions>false</trackRevisions>
    </reviewItem>
    <reviewItem>
      <errorID>9cb2e765-b981-4de9-82e3-680be73ae9ba</errorID>
      <errorWord>）</errorWord>
      <group>L1_Format</group>
      <groupName>格式问题</groupName>
      <ability>L2_HalfPunc</ability>
      <abilityName>全半角检查</abilityName>
      <candidateList>
        <item>)</item>
      </candidateList>
      <explain>文本全半角错误。</explain>
      <paraID>7AA95949</paraID>
      <start>9</start>
      <end>10</end>
      <status>ignored</status>
      <modifiedWord/>
      <trackRevisions>false</trackRevisions>
    </reviewItem>
    <reviewItem>
      <errorID>27363ed8-f829-44f4-8b5c-faf2f7b2093c</errorID>
      <errorWord>；</errorWord>
      <group>L1_Format</group>
      <groupName>格式问题</groupName>
      <ability>L2_HalfPunc</ability>
      <abilityName>全半角检查</abilityName>
      <candidateList>
        <item>; </item>
      </candidateList>
      <explain>文本全半角错误。</explain>
      <paraID>7AA95949</paraID>
      <start>11</start>
      <end>12</end>
      <status>ignored</status>
      <modifiedWord/>
      <trackRevisions>false</trackRevisions>
    </reviewItem>
    <reviewItem>
      <errorID>c1c3f2b0-87f5-4ea1-80d4-0e445e3657bb</errorID>
      <errorWord>）</errorWord>
      <group>L1_Format</group>
      <groupName>格式问题</groupName>
      <ability>L2_HalfPunc</ability>
      <abilityName>全半角检查</abilityName>
      <candidateList>
        <item>)</item>
      </candidateList>
      <explain>文本全半角错误。</explain>
      <paraID>7AA95949</paraID>
      <start>13</start>
      <end>14</end>
      <status>ignored</status>
      <modifiedWord/>
      <trackRevisions>false</trackRevisions>
    </reviewItem>
    <reviewItem>
      <errorID>dfb17232-9bc8-4c5f-9ddb-127f975eff1f</errorID>
      <errorWord>)</errorWord>
      <group>L1_Format</group>
      <groupName>格式问题</groupName>
      <ability>L2_HalfPunc</ability>
      <abilityName>全半角检查</abilityName>
      <candidateList>
        <item>）</item>
      </candidateList>
      <explain>文本全半角错误。</explain>
      <paraID>5270712B</paraID>
      <start>103</start>
      <end>104</end>
      <status>ignored</status>
      <modifiedWord/>
      <trackRevisions>false</trackRevisions>
    </reviewItem>
    <reviewItem>
      <errorID>673c8f5a-e78f-4ed2-8995-737166176953</errorID>
      <errorWord>)</errorWord>
      <group>L1_Format</group>
      <groupName>格式问题</groupName>
      <ability>L2_HalfPunc</ability>
      <abilityName>全半角检查</abilityName>
      <candidateList>
        <item>）</item>
      </candidateList>
      <explain>文本全半角错误。</explain>
      <paraID>5270712B</paraID>
      <start>113</start>
      <end>114</end>
      <status>ignored</status>
      <modifiedWord/>
      <trackRevisions>false</trackRevisions>
    </reviewItem>
    <reviewItem>
      <errorID>06568ebe-4ef8-4c7b-9a4f-8da9c58fe67e</errorID>
      <errorWord>（</errorWord>
      <group>L1_Format</group>
      <groupName>格式问题</groupName>
      <ability>L2_HalfPunc</ability>
      <abilityName>全半角检查</abilityName>
      <candidateList>
        <item>(</item>
      </candidateList>
      <explain>文本全半角错误。</explain>
      <paraID> E90849F</paraID>
      <start>0</start>
      <end>1</end>
      <status>ignored</status>
      <modifiedWord/>
      <trackRevisions>false</trackRevisions>
    </reviewItem>
    <reviewItem>
      <errorID>40e80ef0-5717-45c6-aab6-8c4ed598d462</errorID>
      <errorWord>）</errorWord>
      <group>L1_Format</group>
      <groupName>格式问题</groupName>
      <ability>L2_HalfPunc</ability>
      <abilityName>全半角检查</abilityName>
      <candidateList>
        <item>)</item>
      </candidateList>
      <explain>文本全半角错误。</explain>
      <paraID> E90849F</paraID>
      <start>11</start>
      <end>12</end>
      <status>ignored</status>
      <modifiedWord/>
      <trackRevisions>false</trackRevisions>
    </reviewItem>
    <reviewItem>
      <errorID>0230950a-1284-457e-af2f-f31eaaf876f1</errorID>
      <errorWord>（</errorWord>
      <group>L1_Format</group>
      <groupName>格式问题</groupName>
      <ability>L2_HalfPunc</ability>
      <abilityName>全半角检查</abilityName>
      <candidateList>
        <item>(</item>
      </candidateList>
      <explain>文本全半角错误。</explain>
      <paraID>5C8707C4</paraID>
      <start>0</start>
      <end>1</end>
      <status>ignored</status>
      <modifiedWord/>
      <trackRevisions>false</trackRevisions>
    </reviewItem>
    <reviewItem>
      <errorID>d337892b-8d75-48b8-94dd-713710e2b7cf</errorID>
      <errorWord>）</errorWord>
      <group>L1_Format</group>
      <groupName>格式问题</groupName>
      <ability>L2_HalfPunc</ability>
      <abilityName>全半角检查</abilityName>
      <candidateList>
        <item>)</item>
      </candidateList>
      <explain>文本全半角错误。</explain>
      <paraID>5C8707C4</paraID>
      <start>12</start>
      <end>13</end>
      <status>ignored</status>
      <modifiedWord/>
      <trackRevisions>false</trackRevisions>
    </reviewItem>
    <reviewItem>
      <errorID>d4b04b73-3600-42c0-9e6f-07ff029da94a</errorID>
      <errorWord>（</errorWord>
      <group>L1_Format</group>
      <groupName>格式问题</groupName>
      <ability>L2_HalfPunc</ability>
      <abilityName>全半角检查</abilityName>
      <candidateList>
        <item>(</item>
      </candidateList>
      <explain>文本全半角错误。</explain>
      <paraID>2145DB6D</paraID>
      <start>0</start>
      <end>1</end>
      <status>ignored</status>
      <modifiedWord/>
      <trackRevisions>false</trackRevisions>
    </reviewItem>
    <reviewItem>
      <errorID>4ffb7f36-d10f-494d-ba2c-59659259dd16</errorID>
      <errorWord>）</errorWord>
      <group>L1_Format</group>
      <groupName>格式问题</groupName>
      <ability>L2_HalfPunc</ability>
      <abilityName>全半角检查</abilityName>
      <candidateList>
        <item>)</item>
      </candidateList>
      <explain>文本全半角错误。</explain>
      <paraID>2145DB6D</paraID>
      <start>11</start>
      <end>12</end>
      <status>ignored</status>
      <modifiedWord/>
      <trackRevisions>false</trackRevisions>
    </reviewItem>
    <reviewItem>
      <errorID>44d221ec-7520-4295-a0f2-4a1331dbda8b</errorID>
      <errorWord>（</errorWord>
      <group>L1_Format</group>
      <groupName>格式问题</groupName>
      <ability>L2_HalfPunc</ability>
      <abilityName>全半角检查</abilityName>
      <candidateList>
        <item>(</item>
      </candidateList>
      <explain>文本全半角错误。</explain>
      <paraID>478F7A91</paraID>
      <start>0</start>
      <end>1</end>
      <status>ignored</status>
      <modifiedWord/>
      <trackRevisions>false</trackRevisions>
    </reviewItem>
    <reviewItem>
      <errorID>7288b9eb-35a5-42a3-bb79-b4b35042396f</errorID>
      <errorWord>）</errorWord>
      <group>L1_Format</group>
      <groupName>格式问题</groupName>
      <ability>L2_HalfPunc</ability>
      <abilityName>全半角检查</abilityName>
      <candidateList>
        <item>)</item>
      </candidateList>
      <explain>文本全半角错误。</explain>
      <paraID>478F7A91</paraID>
      <start>11</start>
      <end>12</end>
      <status>ignored</status>
      <modifiedWord/>
      <trackRevisions>false</trackRevisions>
    </reviewItem>
    <reviewItem>
      <errorID>8d7d6f89-53f4-4dd3-98cb-23bff3f80986</errorID>
      <errorWord>抛洒</errorWord>
      <group>L1_Word</group>
      <groupName>字词问题</groupName>
      <ability>L2_Typo</ability>
      <abilityName>字词错误</abilityName>
      <candidateList>
        <item>抛撒</item>
      </candidateList>
      <explain/>
      <paraID>68BA5B37</paraID>
      <start>237</start>
      <end>239</end>
      <status>modified</status>
      <modifiedWord>抛撒</modifiedWord>
      <trackRevisions>false</trackRevisions>
    </reviewItem>
    <reviewItem>
      <errorID>e444ec25-33ca-4a5a-956f-12d0d57fda53</errorID>
      <errorWord>砂子</errorWord>
      <group>L1_Word</group>
      <groupName>字词问题</groupName>
      <ability>L2_Typo</ability>
      <abilityName>字词错误</abilityName>
      <candidateList>
        <item>沙子</item>
      </candidateList>
      <explain/>
      <paraID> C6B652E</paraID>
      <start>73</start>
      <end>75</end>
      <status>ignored</status>
      <modifiedWord/>
      <trackRevisions>false</trackRevisions>
    </reviewItem>
    <reviewItem>
      <errorID>c593bd0e-b1c0-43b7-85af-546172a46f57</errorID>
      <errorWord>（</errorWord>
      <group>L1_Punc</group>
      <groupName>标点问题</groupName>
      <ability>L2_Punc</ability>
      <abilityName>标点符号检查</abilityName>
      <candidateList/>
      <explain>同一形式括号套用。</explain>
      <paraID>2831A697</paraID>
      <start>47</start>
      <end>48</end>
      <status>ignored</status>
      <modifiedWord/>
      <trackRevisions>false</trackRevisions>
    </reviewItem>
    <reviewItem>
      <errorID>1b963f6f-e88a-4d8f-b917-3888c7c3bb47</errorID>
      <errorWord>）</errorWord>
      <group>L1_Punc</group>
      <groupName>标点问题</groupName>
      <ability>L2_Punc</ability>
      <abilityName>标点符号检查</abilityName>
      <candidateList/>
      <explain>同一形式括号套用。</explain>
      <paraID>2831A697</paraID>
      <start>54</start>
      <end>55</end>
      <status>ignored</status>
      <modifiedWord/>
      <trackRevisions>false</trackRevisions>
    </reviewItem>
    <reviewItem>
      <errorID>cf0605d3-27c3-4dd7-b230-4fc0f492a90f</errorID>
      <errorWord>拌合站</errorWord>
      <group>L1_Word</group>
      <groupName>字词问题</groupName>
      <ability>L2_Typo</ability>
      <abilityName>字词错误</abilityName>
      <candidateList>
        <item>拌和站</item>
      </candidateList>
      <explain>存在发音相同字词的误用。</explain>
      <paraID>4E682AD4</paraID>
      <start>19</start>
      <end>22</end>
      <status>ignored</status>
      <modifiedWord/>
      <trackRevisions>false</trackRevisions>
    </reviewItem>
    <reviewItem>
      <errorID>ee25ea98-7a66-4778-8ad6-aac13e564dd7</errorID>
      <errorWord>(</errorWord>
      <group>L1_Format</group>
      <groupName>格式问题</groupName>
      <ability>L2_HalfPunc</ability>
      <abilityName>全半角检查</abilityName>
      <candidateList>
        <item>（</item>
      </candidateList>
      <explain>文本全半角错误。</explain>
      <paraID>28A8EE63</paraID>
      <start>389</start>
      <end>390</end>
      <status>ignored</status>
      <modifiedWord/>
      <trackRevisions>false</trackRevisions>
    </reviewItem>
    <reviewItem>
      <errorID>b530e268-3a0d-4db7-9a36-3933e318157d</errorID>
      <errorWord>(</errorWord>
      <group>L1_Format</group>
      <groupName>格式问题</groupName>
      <ability>L2_HalfPunc</ability>
      <abilityName>全半角检查</abilityName>
      <candidateList>
        <item>（</item>
      </candidateList>
      <explain>文本全半角错误。</explain>
      <paraID>28A8EE63</paraID>
      <start>441</start>
      <end>442</end>
      <status>ignored</status>
      <modifiedWord/>
      <trackRevisions>false</trackRevisions>
    </reviewItem>
    <reviewItem>
      <errorID>14f57f1d-4922-4670-ad6e-9a0aea2156cb</errorID>
      <errorWord>)</errorWord>
      <group>L1_Format</group>
      <groupName>格式问题</groupName>
      <ability>L2_HalfPunc</ability>
      <abilityName>全半角检查</abilityName>
      <candidateList>
        <item>）</item>
      </candidateList>
      <explain>文本全半角错误。</explain>
      <paraID>28A8EE63</paraID>
      <start>456</start>
      <end>457</end>
      <status>ignored</status>
      <modifiedWord/>
      <trackRevisions>false</trackRevisions>
    </reviewItem>
    <reviewItem>
      <errorID>5d7aa890-4152-4b51-a37b-100ba842a77c</errorID>
      <errorWord>(</errorWord>
      <group>L1_Format</group>
      <groupName>格式问题</groupName>
      <ability>L2_HalfPunc</ability>
      <abilityName>全半角检查</abilityName>
      <candidateList>
        <item>（</item>
      </candidateList>
      <explain>文本全半角错误。</explain>
      <paraID>28A8EE63</paraID>
      <start>485</start>
      <end>486</end>
      <status>ignored</status>
      <modifiedWord/>
      <trackRevisions>false</trackRevisions>
    </reviewItem>
    <reviewItem>
      <errorID>56c8ac6f-65b9-4c84-a5d0-ead9d5ce6dff</errorID>
      <errorWord>)</errorWord>
      <group>L1_Format</group>
      <groupName>格式问题</groupName>
      <ability>L2_HalfPunc</ability>
      <abilityName>全半角检查</abilityName>
      <candidateList>
        <item>）</item>
      </candidateList>
      <explain>文本全半角错误。</explain>
      <paraID>28A8EE63</paraID>
      <start>498</start>
      <end>499</end>
      <status>ignored</status>
      <modifiedWord/>
      <trackRevisions>false</trackRevisions>
    </reviewItem>
    <reviewItem>
      <errorID>384e0569-16da-4f7c-9f01-494b4683bd3d</errorID>
      <errorWord>(</errorWord>
      <group>L1_Format</group>
      <groupName>格式问题</groupName>
      <ability>L2_HalfPunc</ability>
      <abilityName>全半角检查</abilityName>
      <candidateList>
        <item>（</item>
      </candidateList>
      <explain>文本全半角错误。</explain>
      <paraID>2D4D98B9</paraID>
      <start>138</start>
      <end>139</end>
      <status>ignored</status>
      <modifiedWord/>
      <trackRevisions>false</trackRevisions>
    </reviewItem>
    <reviewItem>
      <errorID>6c97a809-8e3d-4b29-b462-912f2eef6315</errorID>
      <errorWord>)</errorWord>
      <group>L1_Format</group>
      <groupName>格式问题</groupName>
      <ability>L2_HalfPunc</ability>
      <abilityName>全半角检查</abilityName>
      <candidateList>
        <item>）</item>
      </candidateList>
      <explain>文本全半角错误。</explain>
      <paraID>2D4D98B9</paraID>
      <start>150</start>
      <end>151</end>
      <status>ignored</status>
      <modifiedWord/>
      <trackRevisions>false</trackRevisions>
    </reviewItem>
    <reviewItem>
      <errorID>a2904f1f-1104-4f12-95ae-21d560e845e2</errorID>
      <errorWord>)</errorWord>
      <group>L1_Format</group>
      <groupName>格式问题</groupName>
      <ability>L2_HalfPunc</ability>
      <abilityName>全半角检查</abilityName>
      <candidateList>
        <item>）</item>
      </candidateList>
      <explain>文本全半角错误。</explain>
      <paraID>60CD64BD</paraID>
      <start>74</start>
      <end>75</end>
      <status>ignored</status>
      <modifiedWord/>
      <trackRevisions>false</trackRevisions>
    </reviewItem>
    <reviewItem>
      <errorID>1de04c4b-84fe-4fb4-b6f7-5056b92e5269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60CD64BD</paraID>
      <start>113</start>
      <end>114</end>
      <status>ignored</status>
      <modifiedWord/>
      <trackRevisions>false</trackRevisions>
    </reviewItem>
    <reviewItem>
      <errorID>9f8612cd-6197-4045-a156-5ab7c1420f34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429E91F5</paraID>
      <start>39</start>
      <end>40</end>
      <status>ignored</status>
      <modifiedWord/>
      <trackRevisions>false</trackRevisions>
    </reviewItem>
    <reviewItem>
      <errorID>31e6a162-3284-42a5-bd3c-a7549d9a968a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66BC51E5</paraID>
      <start>87</start>
      <end>88</end>
      <status>ignored</status>
      <modifiedWord/>
      <trackRevisions>false</trackRevisions>
    </reviewItem>
    <reviewItem>
      <errorID>45fbf36c-ded3-4576-ada4-6a3ece67b567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21D2BC2D</paraID>
      <start>98</start>
      <end>99</end>
      <status>ignored</status>
      <modifiedWord/>
      <trackRevisions>false</trackRevisions>
    </reviewItem>
    <reviewItem>
      <errorID>04ef8638-2967-4793-a9e7-5a9c16c3b909</errorID>
      <errorWord>)</errorWord>
      <group>L1_Format</group>
      <groupName>格式问题</groupName>
      <ability>L2_HalfPunc</ability>
      <abilityName>全半角检查</abilityName>
      <candidateList>
        <item>）</item>
      </candidateList>
      <explain>文本全半角错误。</explain>
      <paraID>10EA1F41</paraID>
      <start>63</start>
      <end>64</end>
      <status>ignored</status>
      <modifiedWord/>
      <trackRevisions>false</trackRevisions>
    </reviewItem>
    <reviewItem>
      <errorID>e89775b1-86fc-40dd-bcae-92f4b5f9e29b</errorID>
      <errorWord>（</errorWord>
      <group>L1_Format</group>
      <groupName>格式问题</groupName>
      <ability>L2_HalfPunc</ability>
      <abilityName>全半角检查</abilityName>
      <candidateList>
        <item>(</item>
      </candidateList>
      <explain>文本全半角错误。</explain>
      <paraID>3FA77880</paraID>
      <start>4</start>
      <end>5</end>
      <status>ignored</status>
      <modifiedWord/>
      <trackRevisions>false</trackRevisions>
    </reviewItem>
    <reviewItem>
      <errorID>cf816c6b-5e3a-4637-8fea-807cca7dd84a</errorID>
      <errorWord>）</errorWord>
      <group>L1_Format</group>
      <groupName>格式问题</groupName>
      <ability>L2_HalfPunc</ability>
      <abilityName>全半角检查</abilityName>
      <candidateList>
        <item>)</item>
      </candidateList>
      <explain>文本全半角错误。</explain>
      <paraID>3FA77880</paraID>
      <start>15</start>
      <end>16</end>
      <status>ignored</status>
      <modifiedWord/>
      <trackRevisions>false</trackRevisions>
    </reviewItem>
    <reviewItem>
      <errorID>46d813a8-54e0-4753-816c-26d8dd9344e8</errorID>
      <errorWord>（</errorWord>
      <group>L1_Format</group>
      <groupName>格式问题</groupName>
      <ability>L2_HalfPunc</ability>
      <abilityName>全半角检查</abilityName>
      <candidateList>
        <item>(</item>
      </candidateList>
      <explain>文本全半角错误。</explain>
      <paraID>778351C5</paraID>
      <start>4</start>
      <end>5</end>
      <status>ignored</status>
      <modifiedWord/>
      <trackRevisions>false</trackRevisions>
    </reviewItem>
    <reviewItem>
      <errorID>4e8d0a17-be4c-4095-a2f7-cc875c01781d</errorID>
      <errorWord>）</errorWord>
      <group>L1_Format</group>
      <groupName>格式问题</groupName>
      <ability>L2_HalfPunc</ability>
      <abilityName>全半角检查</abilityName>
      <candidateList>
        <item>)</item>
      </candidateList>
      <explain>文本全半角错误。</explain>
      <paraID>778351C5</paraID>
      <start>15</start>
      <end>16</end>
      <status>ignored</status>
      <modifiedWord/>
      <trackRevisions>false</trackRevisions>
    </reviewItem>
    <reviewItem>
      <errorID>bcbf4d05-d320-4cb6-a06a-897ad71d8542</errorID>
      <errorWord>（</errorWord>
      <group>L1_Format</group>
      <groupName>格式问题</groupName>
      <ability>L2_HalfPunc</ability>
      <abilityName>全半角检查</abilityName>
      <candidateList>
        <item>(</item>
      </candidateList>
      <explain>文本全半角错误。</explain>
      <paraID>43A38193</paraID>
      <start>4</start>
      <end>5</end>
      <status>ignored</status>
      <modifiedWord/>
      <trackRevisions>false</trackRevisions>
    </reviewItem>
    <reviewItem>
      <errorID>9df49073-c4cb-41cc-9e9d-0ac3fd7c5275</errorID>
      <errorWord>）</errorWord>
      <group>L1_Format</group>
      <groupName>格式问题</groupName>
      <ability>L2_HalfPunc</ability>
      <abilityName>全半角检查</abilityName>
      <candidateList>
        <item>)</item>
      </candidateList>
      <explain>文本全半角错误。</explain>
      <paraID>43A38193</paraID>
      <start>15</start>
      <end>16</end>
      <status>ignored</status>
      <modifiedWord/>
      <trackRevisions>false</trackRevisions>
    </reviewItem>
    <reviewItem>
      <errorID>d388768d-1ecf-4d50-ab56-aa67e4c9ca97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C0F9DA5</paraID>
      <start>147</start>
      <end>148</end>
      <status>ignored</status>
      <modifiedWord/>
      <trackRevisions>false</trackRevisions>
    </reviewItem>
    <reviewItem>
      <errorID>7ca6e992-1126-4b94-a219-ff5211f995a6</errorID>
      <errorWord>(</errorWord>
      <group>L1_Format</group>
      <groupName>格式问题</groupName>
      <ability>L2_HalfPunc</ability>
      <abilityName>全半角检查</abilityName>
      <candidateList>
        <item>（</item>
      </candidateList>
      <explain>文本全半角错误。</explain>
      <paraID>134CFC5D</paraID>
      <start>64</start>
      <end>65</end>
      <status>ignored</status>
      <modifiedWord/>
      <trackRevisions>false</trackRevisions>
    </reviewItem>
    <reviewItem>
      <errorID>2f3e4d89-f69f-4358-9dda-2d7c2f286f46</errorID>
      <errorWord>(</errorWord>
      <group>L1_Format</group>
      <groupName>格式问题</groupName>
      <ability>L2_HalfPunc</ability>
      <abilityName>全半角检查</abilityName>
      <candidateList>
        <item>（</item>
      </candidateList>
      <explain>文本全半角错误。</explain>
      <paraID>6A715C5E</paraID>
      <start>138</start>
      <end>139</end>
      <status>ignored</status>
      <modifiedWord/>
      <trackRevisions>false</trackRevisions>
    </reviewItem>
    <reviewItem>
      <errorID>c5c9fc26-59aa-46ac-9cac-88dcae3cba21</errorID>
      <errorWord>)</errorWord>
      <group>L1_Format</group>
      <groupName>格式问题</groupName>
      <ability>L2_HalfPunc</ability>
      <abilityName>全半角检查</abilityName>
      <candidateList>
        <item>）</item>
      </candidateList>
      <explain>文本全半角错误。</explain>
      <paraID>6A715C5E</paraID>
      <start>150</start>
      <end>151</end>
      <status>ignored</status>
      <modifiedWord/>
      <trackRevisions>false</trackRevisions>
    </reviewItem>
    <reviewItem>
      <errorID>878fd899-bab6-4e73-951e-55b43b59b9d4</errorID>
      <errorWord>：</errorWord>
      <group>L1_Format</group>
      <groupName>格式问题</groupName>
      <ability>L2_HalfPunc</ability>
      <abilityName>全半角检查</abilityName>
      <candidateList>
        <item>:</item>
      </candidateList>
      <explain>文本全半角错误。</explain>
      <paraID>4A92342A</paraID>
      <start>235</start>
      <end>236</end>
      <status>ignored</status>
      <modifiedWord/>
      <trackRevisions>false</trackRevisions>
    </reviewItem>
    <reviewItem>
      <errorID>ec42ec2f-7445-4c39-bdfe-8953c8298a02</errorID>
      <errorWord>，…</errorWord>
      <group>L1_Punc</group>
      <groupName>标点问题</groupName>
      <ability>L2_Punc</ability>
      <abilityName>标点符号检查</abilityName>
      <candidateList>
        <item>，</item>
      </candidateList>
      <explain/>
      <paraID>36751399</paraID>
      <start>8</start>
      <end>10</end>
      <status>ignored</status>
      <modifiedWord/>
      <trackRevisions>false</trackRevisions>
    </reviewItem>
    <reviewItem>
      <errorID>2e940475-d010-4bc6-8ab2-38da33769662</errorID>
      <errorWord>，…</errorWord>
      <group>L1_Punc</group>
      <groupName>标点问题</groupName>
      <ability>L2_Punc</ability>
      <abilityName>标点符号检查</abilityName>
      <candidateList>
        <item>，</item>
      </candidateList>
      <explain/>
      <paraID>447DB6D0</paraID>
      <start>5</start>
      <end>7</end>
      <status>ignored</status>
      <modifiedWord/>
      <trackRevisions>false</trackRevisions>
    </reviewItem>
    <reviewItem>
      <errorID>e1cd4c80-d620-4611-8f68-3db938e1cc11</errorID>
      <errorWord>(</errorWord>
      <group>L1_Format</group>
      <groupName>格式问题</groupName>
      <ability>L2_HalfPunc</ability>
      <abilityName>全半角检查</abilityName>
      <candidateList>
        <item>（</item>
      </candidateList>
      <explain>文本全半角错误。</explain>
      <paraID>2533C58F</paraID>
      <start>15</start>
      <end>16</end>
      <status>ignored</status>
      <modifiedWord/>
      <trackRevisions>false</trackRevisions>
    </reviewItem>
    <reviewItem>
      <errorID>f15fc9ba-019f-416d-94ae-132159a92b42</errorID>
      <errorWord>)</errorWord>
      <group>L1_Format</group>
      <groupName>格式问题</groupName>
      <ability>L2_HalfPunc</ability>
      <abilityName>全半角检查</abilityName>
      <candidateList>
        <item>）</item>
      </candidateList>
      <explain>文本全半角错误。</explain>
      <paraID>2533C58F</paraID>
      <start>18</start>
      <end>19</end>
      <status>ignored</status>
      <modifiedWord/>
      <trackRevisions>false</trackRevisions>
    </reviewItem>
    <reviewItem>
      <errorID>d65d0317-e00b-4795-a54d-ec8f0c5e2b6d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4A2D37E3</paraID>
      <start>0</start>
      <end>2</end>
      <status>ignored</status>
      <modifiedWord/>
      <trackRevisions>false</trackRevisions>
    </reviewItem>
    <reviewItem>
      <errorID>589cf5cd-bc0a-4700-bf96-9877846711c0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7289F78D</paraID>
      <start>38</start>
      <end>39</end>
      <status>ignored</status>
      <modifiedWord/>
      <trackRevisions>false</trackRevisions>
    </reviewItem>
    <reviewItem>
      <errorID>a14a0416-16ac-4f62-a6f9-d72c4fc33b35</errorID>
      <errorWord>III</errorWord>
      <group>L1_Word</group>
      <groupName>字词问题</groupName>
      <ability>L2_Typo</ability>
      <abilityName>字词错误</abilityName>
      <candidateList>
        <item>Ⅲ</item>
      </candidateList>
      <explain/>
      <paraID>30E39391</paraID>
      <start>0</start>
      <end>3</end>
      <status>ignored</status>
      <modifiedWord/>
      <trackRevisions>false</trackRevisions>
    </reviewItem>
    <reviewItem>
      <errorID>d0c678ae-5778-4787-9b73-994e3fee9855</errorID>
      <errorWord>III</errorWord>
      <group>L1_Word</group>
      <groupName>字词问题</groupName>
      <ability>L2_Typo</ability>
      <abilityName>字词错误</abilityName>
      <candidateList>
        <item>Ⅲ</item>
      </candidateList>
      <explain/>
      <paraID>25A0F885</paraID>
      <start>0</start>
      <end>3</end>
      <status>ignored</status>
      <modifiedWord/>
      <trackRevisions>false</trackRevisions>
    </reviewItem>
    <reviewItem>
      <errorID>6600e085-f534-4cc2-a372-0767cca62601</errorID>
      <errorWord>III</errorWord>
      <group>L1_Word</group>
      <groupName>字词问题</groupName>
      <ability>L2_Typo</ability>
      <abilityName>字词错误</abilityName>
      <candidateList>
        <item>Ⅲ</item>
      </candidateList>
      <explain/>
      <paraID>27521AB5</paraID>
      <start>0</start>
      <end>3</end>
      <status>ignored</status>
      <modifiedWord/>
      <trackRevisions>false</trackRevisions>
    </reviewItem>
    <reviewItem>
      <errorID>89d307a7-d206-460b-8d85-2cdfade24070</errorID>
      <errorWord>III</errorWord>
      <group>L1_Word</group>
      <groupName>字词问题</groupName>
      <ability>L2_Typo</ability>
      <abilityName>字词错误</abilityName>
      <candidateList>
        <item>Ⅲ</item>
      </candidateList>
      <explain/>
      <paraID>13D749F4</paraID>
      <start>0</start>
      <end>3</end>
      <status>ignored</status>
      <modifiedWord/>
      <trackRevisions>false</trackRevisions>
    </reviewItem>
    <reviewItem>
      <errorID>68af57fa-357b-4459-ac8b-8e3b136a2fd1</errorID>
      <errorWord>III</errorWord>
      <group>L1_Word</group>
      <groupName>字词问题</groupName>
      <ability>L2_Typo</ability>
      <abilityName>字词错误</abilityName>
      <candidateList>
        <item>Ⅲ</item>
      </candidateList>
      <explain/>
      <paraID>5E63911C</paraID>
      <start>0</start>
      <end>3</end>
      <status>ignored</status>
      <modifiedWord/>
      <trackRevisions>false</trackRevisions>
    </reviewItem>
    <reviewItem>
      <errorID>eb9256c3-95ea-4f34-8b8e-849925299a1e</errorID>
      <errorWord>III</errorWord>
      <group>L1_Word</group>
      <groupName>字词问题</groupName>
      <ability>L2_Typo</ability>
      <abilityName>字词错误</abilityName>
      <candidateList>
        <item>Ⅲ</item>
      </candidateList>
      <explain/>
      <paraID>2CC2D7BC</paraID>
      <start>0</start>
      <end>3</end>
      <status>ignored</status>
      <modifiedWord/>
      <trackRevisions>false</trackRevisions>
    </reviewItem>
    <reviewItem>
      <errorID>e0bdd94f-4341-43ed-8476-20e40b9d6e79</errorID>
      <errorWord>IV</errorWord>
      <group>L1_Knowledge</group>
      <groupName>知识性问题</groupName>
      <ability>L2_Knowledge</ability>
      <abilityName>其他知识</abilityName>
      <candidateList>
        <item>Ⅳ</item>
      </candidateList>
      <explain/>
      <paraID> B367C97</paraID>
      <start>2</start>
      <end>4</end>
      <status>ignored</status>
      <modifiedWord/>
      <trackRevisions>false</trackRevisions>
    </reviewItem>
    <reviewItem>
      <errorID>6ba782b5-295e-480c-bf10-4a8b68c7a114</errorID>
      <errorWord>IV</errorWord>
      <group>L1_Knowledge</group>
      <groupName>知识性问题</groupName>
      <ability>L2_Knowledge</ability>
      <abilityName>其他知识</abilityName>
      <candidateList>
        <item>Ⅳ</item>
      </candidateList>
      <explain/>
      <paraID>32A439EB</paraID>
      <start>0</start>
      <end>2</end>
      <status>ignored</status>
      <modifiedWord/>
      <trackRevisions>false</trackRevisions>
    </reviewItem>
    <reviewItem>
      <errorID>2b04c569-27f5-428f-97ff-5a22f96aeaf9</errorID>
      <errorWord>(</errorWord>
      <group>L1_Format</group>
      <groupName>格式问题</groupName>
      <ability>L2_HalfPunc</ability>
      <abilityName>全半角检查</abilityName>
      <candidateList>
        <item>（</item>
      </candidateList>
      <explain>文本全半角错误。</explain>
      <paraID>5B2E5461</paraID>
      <start>62</start>
      <end>63</end>
      <status>ignored</status>
      <modifiedWord/>
      <trackRevisions>false</trackRevisions>
    </reviewItem>
    <reviewItem>
      <errorID>ec6de154-1c08-48c4-b39b-2cf49171ab08</errorID>
      <errorWord>)</errorWord>
      <group>L1_Format</group>
      <groupName>格式问题</groupName>
      <ability>L2_HalfPunc</ability>
      <abilityName>全半角检查</abilityName>
      <candidateList>
        <item>）</item>
      </candidateList>
      <explain>文本全半角错误。</explain>
      <paraID>5B2E5461</paraID>
      <start>64</start>
      <end>65</end>
      <status>ignored</status>
      <modifiedWord/>
      <trackRevisions>false</trackRevisions>
    </reviewItem>
    <reviewItem>
      <errorID>eab9a21d-a103-4084-8bed-b9e504ceb8bc</errorID>
      <errorWord>：</errorWord>
      <group>L1_Format</group>
      <groupName>格式问题</groupName>
      <ability>L2_HalfPunc</ability>
      <abilityName>全半角检查</abilityName>
      <candidateList>
        <item>:</item>
      </candidateList>
      <explain>文本全半角错误。</explain>
      <paraID>29294BF8</paraID>
      <start>4</start>
      <end>5</end>
      <status>ignored</status>
      <modifiedWord/>
      <trackRevisions>false</trackRevisions>
    </reviewItem>
    <reviewItem>
      <errorID>9373abf3-67cd-4ce2-9876-d8d0cc07fb2d</errorID>
      <errorWord>：</errorWord>
      <group>L1_Format</group>
      <groupName>格式问题</groupName>
      <ability>L2_HalfPunc</ability>
      <abilityName>全半角检查</abilityName>
      <candidateList>
        <item>:</item>
      </candidateList>
      <explain>文本全半角错误。</explain>
      <paraID>29294BF8</paraID>
      <start>20</start>
      <end>21</end>
      <status>ignored</status>
      <modifiedWord/>
      <trackRevisions>false</trackRevisions>
    </reviewItem>
    <reviewItem>
      <errorID>efdfebf0-e474-4b0d-94f0-a66e5eae6683</errorID>
      <errorWord>(</errorWord>
      <group>L1_Format</group>
      <groupName>格式问题</groupName>
      <ability>L2_HalfPunc</ability>
      <abilityName>全半角检查</abilityName>
      <candidateList>
        <item>（</item>
      </candidateList>
      <explain>文本全半角错误。</explain>
      <paraID>29294BF8</paraID>
      <start>44</start>
      <end>45</end>
      <status>ignored</status>
      <modifiedWord/>
      <trackRevisions>false</trackRevisions>
    </reviewItem>
    <reviewItem>
      <errorID>e4148306-b115-42c6-a6c0-ed64b071c986</errorID>
      <errorWord>)</errorWord>
      <group>L1_Format</group>
      <groupName>格式问题</groupName>
      <ability>L2_HalfPunc</ability>
      <abilityName>全半角检查</abilityName>
      <candidateList>
        <item>）</item>
      </candidateList>
      <explain>文本全半角错误。</explain>
      <paraID>29294BF8</paraID>
      <start>49</start>
      <end>50</end>
      <status>ignored</status>
      <modifiedWord/>
      <trackRevisions>false</trackRevisions>
    </reviewItem>
    <reviewItem>
      <errorID>be44646e-5123-4e79-aa21-7b467c4723b2</errorID>
      <errorWord>,</errorWord>
      <group>L1_Format</group>
      <groupName>格式问题</groupName>
      <ability>L2_HalfPunc</ability>
      <abilityName>全半角检查</abilityName>
      <candidateList>
        <item>，</item>
      </candidateList>
      <explain>文本全半角错误。</explain>
      <paraID>30544269</paraID>
      <start>18</start>
      <end>19</end>
      <status>ignored</status>
      <modifiedWord/>
      <trackRevisions>false</trackRevisions>
    </reviewItem>
    <reviewItem>
      <errorID>cf889f3f-e208-4849-8bae-1c64f2fb11b8</errorID>
      <errorWord>：</errorWord>
      <group>L1_Format</group>
      <groupName>格式问题</groupName>
      <ability>L2_HalfPunc</ability>
      <abilityName>全半角检查</abilityName>
      <candidateList>
        <item>:</item>
      </candidateList>
      <explain>文本全半角错误。</explain>
      <paraID>2153DC39</paraID>
      <start>4</start>
      <end>5</end>
      <status>ignored</status>
      <modifiedWord/>
      <trackRevisions>false</trackRevisions>
    </reviewItem>
    <reviewItem>
      <errorID>bc161154-5aff-4c06-a499-8e75cabfcf24</errorID>
      <errorWord>(</errorWord>
      <group>L1_Format</group>
      <groupName>格式问题</groupName>
      <ability>L2_HalfPunc</ability>
      <abilityName>全半角检查</abilityName>
      <candidateList>
        <item>（</item>
      </candidateList>
      <explain>文本全半角错误。</explain>
      <paraID>2153DC39</paraID>
      <start>14</start>
      <end>15</end>
      <status>ignored</status>
      <modifiedWord/>
      <trackRevisions>false</trackRevisions>
    </reviewItem>
    <reviewItem>
      <errorID>03a1ed27-4462-4ca8-b7af-62a6cb44b243</errorID>
      <errorWord>)</errorWord>
      <group>L1_Format</group>
      <groupName>格式问题</groupName>
      <ability>L2_HalfPunc</ability>
      <abilityName>全半角检查</abilityName>
      <candidateList>
        <item>）</item>
      </candidateList>
      <explain>文本全半角错误。</explain>
      <paraID>2153DC39</paraID>
      <start>19</start>
      <end>20</end>
      <status>ignored</status>
      <modifiedWord/>
      <trackRevisions>false</trackRevisions>
    </reviewItem>
    <reviewItem>
      <errorID>0a51d210-03b0-420c-94c7-385e2c48ccb6</errorID>
      <errorWord>(</errorWord>
      <group>L1_Format</group>
      <groupName>格式问题</groupName>
      <ability>L2_HalfPunc</ability>
      <abilityName>全半角检查</abilityName>
      <candidateList>
        <item>（</item>
      </candidateList>
      <explain>文本全半角错误。</explain>
      <paraID>5656644A</paraID>
      <start>28</start>
      <end>29</end>
      <status>ignored</status>
      <modifiedWord/>
      <trackRevisions>false</trackRevisions>
    </reviewItem>
    <reviewItem>
      <errorID>fe32854a-6af5-4067-9d15-4de2940aad8f</errorID>
      <errorWord>)</errorWord>
      <group>L1_Format</group>
      <groupName>格式问题</groupName>
      <ability>L2_HalfPunc</ability>
      <abilityName>全半角检查</abilityName>
      <candidateList>
        <item>）</item>
      </candidateList>
      <explain>文本全半角错误。</explain>
      <paraID>5656644A</paraID>
      <start>32</start>
      <end>33</end>
      <status>ignored</status>
      <modifiedWord/>
      <trackRevisions>false</trackRevisions>
    </reviewItem>
    <reviewItem>
      <errorID>ae26ddc4-c95a-4df3-a452-564bb3d556eb</errorID>
      <errorWord>)</errorWord>
      <group>L1_Format</group>
      <groupName>格式问题</groupName>
      <ability>L2_HalfPunc</ability>
      <abilityName>全半角检查</abilityName>
      <candidateList>
        <item>）</item>
      </candidateList>
      <explain>文本全半角错误。</explain>
      <paraID>5656644A</paraID>
      <start>43</start>
      <end>44</end>
      <status>ignored</status>
      <modifiedWord/>
      <trackRevisions>false</trackRevisions>
    </reviewItem>
    <reviewItem>
      <errorID>48c1b4c1-bc74-40a1-a92a-a0c535c03a44</errorID>
      <errorWord>(</errorWord>
      <group>L1_Format</group>
      <groupName>格式问题</groupName>
      <ability>L2_HalfPunc</ability>
      <abilityName>全半角检查</abilityName>
      <candidateList>
        <item>（</item>
      </candidateList>
      <explain>文本全半角错误。</explain>
      <paraID>5656644A</paraID>
      <start>47</start>
      <end>48</end>
      <status>ignored</status>
      <modifiedWord/>
      <trackRevisions>false</trackRevisions>
    </reviewItem>
    <reviewItem>
      <errorID>439ac3ad-7b1e-48fe-9666-dbe845bf0ea5</errorID>
      <errorWord>)</errorWord>
      <group>L1_Format</group>
      <groupName>格式问题</groupName>
      <ability>L2_HalfPunc</ability>
      <abilityName>全半角检查</abilityName>
      <candidateList>
        <item>）</item>
      </candidateList>
      <explain>文本全半角错误。</explain>
      <paraID>5656644A</paraID>
      <start>49</start>
      <end>50</end>
      <status>ignored</status>
      <modifiedWord/>
      <trackRevisions>false</trackRevisions>
    </reviewItem>
    <reviewItem>
      <errorID>057eeec7-6bc8-4eb4-8cb0-c515e550d9b4</errorID>
      <errorWord>：</errorWord>
      <group>L1_Format</group>
      <groupName>格式问题</groupName>
      <ability>L2_HalfPunc</ability>
      <abilityName>全半角检查</abilityName>
      <candidateList>
        <item>:</item>
      </candidateList>
      <explain>文本全半角错误。</explain>
      <paraID>7A697580</paraID>
      <start>4</start>
      <end>5</end>
      <status>ignored</status>
      <modifiedWord/>
      <trackRevisions>false</trackRevisions>
    </reviewItem>
    <reviewItem>
      <errorID>08972733-9ef5-49c4-b602-1b7b706b05f5</errorID>
      <errorWord>(</errorWord>
      <group>L1_Format</group>
      <groupName>格式问题</groupName>
      <ability>L2_HalfPunc</ability>
      <abilityName>全半角检查</abilityName>
      <candidateList>
        <item>（</item>
      </candidateList>
      <explain>文本全半角错误。</explain>
      <paraID>7A697580</paraID>
      <start>13</start>
      <end>14</end>
      <status>ignored</status>
      <modifiedWord/>
      <trackRevisions>false</trackRevisions>
    </reviewItem>
    <reviewItem>
      <errorID>7cb6fd8c-ed4c-44d7-b8dc-e507944f2749</errorID>
      <errorWord>)</errorWord>
      <group>L1_Format</group>
      <groupName>格式问题</groupName>
      <ability>L2_HalfPunc</ability>
      <abilityName>全半角检查</abilityName>
      <candidateList>
        <item>）</item>
      </candidateList>
      <explain>文本全半角错误。</explain>
      <paraID>7A697580</paraID>
      <start>18</start>
      <end>19</end>
      <status>ignored</status>
      <modifiedWord/>
      <trackRevisions>false</trackRevisions>
    </reviewItem>
    <reviewItem>
      <errorID>bf67eb80-74aa-4eb7-8a82-b0ba7420033b</errorID>
      <errorWord>(</errorWord>
      <group>L1_Format</group>
      <groupName>格式问题</groupName>
      <ability>L2_HalfPunc</ability>
      <abilityName>全半角检查</abilityName>
      <candidateList>
        <item>（</item>
      </candidateList>
      <explain>文本全半角错误。</explain>
      <paraID>7FFCDC95</paraID>
      <start>16</start>
      <end>17</end>
      <status>ignored</status>
      <modifiedWord/>
      <trackRevisions>false</trackRevisions>
    </reviewItem>
    <reviewItem>
      <errorID>c26e9f27-171e-4ef1-ae88-bd18a143a3cb</errorID>
      <errorWord>)</errorWord>
      <group>L1_Format</group>
      <groupName>格式问题</groupName>
      <ability>L2_HalfPunc</ability>
      <abilityName>全半角检查</abilityName>
      <candidateList>
        <item>）</item>
      </candidateList>
      <explain>文本全半角错误。</explain>
      <paraID>7FFCDC95</paraID>
      <start>18</start>
      <end>19</end>
      <status>ignored</status>
      <modifiedWord/>
      <trackRevisions>false</trackRevisions>
    </reviewItem>
    <reviewItem>
      <errorID>99388cae-387f-4dc5-9ca7-e444318902bb</errorID>
      <errorWord>：</errorWord>
      <group>L1_Format</group>
      <groupName>格式问题</groupName>
      <ability>L2_HalfPunc</ability>
      <abilityName>全半角检查</abilityName>
      <candidateList>
        <item>:</item>
      </candidateList>
      <explain>文本全半角错误。</explain>
      <paraID>611AAD24</paraID>
      <start>4</start>
      <end>5</end>
      <status>ignored</status>
      <modifiedWord/>
      <trackRevisions>false</trackRevisions>
    </reviewItem>
    <reviewItem>
      <errorID>c6e93fd7-ee09-4b64-84a6-bdb658038304</errorID>
      <errorWord>(</errorWord>
      <group>L1_Format</group>
      <groupName>格式问题</groupName>
      <ability>L2_HalfPunc</ability>
      <abilityName>全半角检查</abilityName>
      <candidateList>
        <item>（</item>
      </candidateList>
      <explain>文本全半角错误。</explain>
      <paraID>611AAD24</paraID>
      <start>13</start>
      <end>14</end>
      <status>ignored</status>
      <modifiedWord/>
      <trackRevisions>false</trackRevisions>
    </reviewItem>
    <reviewItem>
      <errorID>4d7da10e-99ec-4c32-b6be-c855fea3dfa8</errorID>
      <errorWord>)</errorWord>
      <group>L1_Format</group>
      <groupName>格式问题</groupName>
      <ability>L2_HalfPunc</ability>
      <abilityName>全半角检查</abilityName>
      <candidateList>
        <item>）</item>
      </candidateList>
      <explain>文本全半角错误。</explain>
      <paraID>611AAD24</paraID>
      <start>18</start>
      <end>19</end>
      <status>ignored</status>
      <modifiedWord/>
      <trackRevisions>false</trackRevisions>
    </reviewItem>
    <reviewItem>
      <errorID>f56e8930-de22-4648-b556-d30badef2f44</errorID>
      <errorWord>：</errorWord>
      <group>L1_Format</group>
      <groupName>格式问题</groupName>
      <ability>L2_HalfPunc</ability>
      <abilityName>全半角检查</abilityName>
      <candidateList>
        <item>:</item>
      </candidateList>
      <explain>文本全半角错误。</explain>
      <paraID> 6BFBE51</paraID>
      <start>4</start>
      <end>5</end>
      <status>ignored</status>
      <modifiedWord/>
      <trackRevisions>false</trackRevisions>
    </reviewItem>
    <reviewItem>
      <errorID>2e084c96-7867-4d9e-a667-6a50303b1326</errorID>
      <errorWord>(</errorWord>
      <group>L1_Format</group>
      <groupName>格式问题</groupName>
      <ability>L2_HalfPunc</ability>
      <abilityName>全半角检查</abilityName>
      <candidateList>
        <item>（</item>
      </candidateList>
      <explain>文本全半角错误。</explain>
      <paraID> 6BFBE51</paraID>
      <start>14</start>
      <end>15</end>
      <status>ignored</status>
      <modifiedWord/>
      <trackRevisions>false</trackRevisions>
    </reviewItem>
    <reviewItem>
      <errorID>e5797c57-37e7-416c-98d0-774339fd52d8</errorID>
      <errorWord>)</errorWord>
      <group>L1_Format</group>
      <groupName>格式问题</groupName>
      <ability>L2_HalfPunc</ability>
      <abilityName>全半角检查</abilityName>
      <candidateList>
        <item>）</item>
      </candidateList>
      <explain>文本全半角错误。</explain>
      <paraID> 6BFBE51</paraID>
      <start>19</start>
      <end>20</end>
      <status>ignored</status>
      <modifiedWord/>
      <trackRevisions>false</trackRevisions>
    </reviewItem>
    <reviewItem>
      <errorID>7262700b-07ee-430b-a423-88ceca57f025</errorID>
      <errorWord>(</errorWord>
      <group>L1_Format</group>
      <groupName>格式问题</groupName>
      <ability>L2_HalfPunc</ability>
      <abilityName>全半角检查</abilityName>
      <candidateList>
        <item>（</item>
      </candidateList>
      <explain>文本全半角错误。</explain>
      <paraID>40ABC884</paraID>
      <start>11</start>
      <end>12</end>
      <status>ignored</status>
      <modifiedWord/>
      <trackRevisions>false</trackRevisions>
    </reviewItem>
    <reviewItem>
      <errorID>5906f904-9182-418e-b966-959a849e6fd5</errorID>
      <errorWord>)</errorWord>
      <group>L1_Format</group>
      <groupName>格式问题</groupName>
      <ability>L2_HalfPunc</ability>
      <abilityName>全半角检查</abilityName>
      <candidateList>
        <item>）</item>
      </candidateList>
      <explain>文本全半角错误。</explain>
      <paraID>40ABC884</paraID>
      <start>13</start>
      <end>14</end>
      <status>ignored</status>
      <modifiedWord/>
      <trackRevisions>false</trackRevisions>
    </reviewItem>
    <reviewItem>
      <errorID>55009f9e-4138-4a66-a063-683883964b12</errorID>
      <errorWord>：</errorWord>
      <group>L1_Format</group>
      <groupName>格式问题</groupName>
      <ability>L2_HalfPunc</ability>
      <abilityName>全半角检查</abilityName>
      <candidateList>
        <item>:</item>
      </candidateList>
      <explain>文本全半角错误。</explain>
      <paraID>54A5F33A</paraID>
      <start>15</start>
      <end>16</end>
      <status>ignored</status>
      <modifiedWord/>
      <trackRevisions>false</trackRevisions>
    </reviewItem>
    <reviewItem>
      <errorID>795ebbce-a96b-460c-91c9-b953a546d209</errorID>
      <errorWord>：</errorWord>
      <group>L1_Format</group>
      <groupName>格式问题</groupName>
      <ability>L2_HalfPunc</ability>
      <abilityName>全半角检查</abilityName>
      <candidateList>
        <item>:</item>
      </candidateList>
      <explain>文本全半角错误。</explain>
      <paraID>1C827C85</paraID>
      <start>4</start>
      <end>5</end>
      <status>ignored</status>
      <modifiedWord/>
      <trackRevisions>false</trackRevisions>
    </reviewItem>
    <reviewItem>
      <errorID>1ac4ec1e-30cf-4fb8-8732-3969c2186767</errorID>
      <errorWord>(</errorWord>
      <group>L1_Format</group>
      <groupName>格式问题</groupName>
      <ability>L2_HalfPunc</ability>
      <abilityName>全半角检查</abilityName>
      <candidateList>
        <item>（</item>
      </candidateList>
      <explain>文本全半角错误。</explain>
      <paraID>1C827C85</paraID>
      <start>14</start>
      <end>15</end>
      <status>ignored</status>
      <modifiedWord/>
      <trackRevisions>false</trackRevisions>
    </reviewItem>
    <reviewItem>
      <errorID>a5d8b6cf-41ee-4d6b-ba2d-45fe6d764d41</errorID>
      <errorWord>)</errorWord>
      <group>L1_Format</group>
      <groupName>格式问题</groupName>
      <ability>L2_HalfPunc</ability>
      <abilityName>全半角检查</abilityName>
      <candidateList>
        <item>）</item>
      </candidateList>
      <explain>文本全半角错误。</explain>
      <paraID>1C827C85</paraID>
      <start>19</start>
      <end>20</end>
      <status>ignored</status>
      <modifiedWord/>
      <trackRevisions>false</trackRevisions>
    </reviewItem>
    <reviewItem>
      <errorID>54ee97bf-37b5-4675-aad9-03592cfbfe52</errorID>
      <errorWord>（</errorWord>
      <group>L1_Format</group>
      <groupName>格式问题</groupName>
      <ability>L2_HalfPunc</ability>
      <abilityName>全半角检查</abilityName>
      <candidateList>
        <item>(</item>
      </candidateList>
      <explain>文本全半角错误。</explain>
      <paraID>385B23E2</paraID>
      <start>10</start>
      <end>11</end>
      <status>ignored</status>
      <modifiedWord/>
      <trackRevisions>false</trackRevisions>
    </reviewItem>
    <reviewItem>
      <errorID>1d9d6dd3-d059-4931-8d22-4d63c55ec1ce</errorID>
      <errorWord>）</errorWord>
      <group>L1_Format</group>
      <groupName>格式问题</groupName>
      <ability>L2_HalfPunc</ability>
      <abilityName>全半角检查</abilityName>
      <candidateList>
        <item>)</item>
      </candidateList>
      <explain>文本全半角错误。</explain>
      <paraID>385B23E2</paraID>
      <start>14</start>
      <end>15</end>
      <status>ignored</status>
      <modifiedWord/>
      <trackRevisions>false</trackRevisions>
    </reviewItem>
    <reviewItem>
      <errorID>c71f4a2f-4788-436f-ab5e-a6b665196ca6</errorID>
      <errorWord>（</errorWord>
      <group>L1_Format</group>
      <groupName>格式问题</groupName>
      <ability>L2_HalfPunc</ability>
      <abilityName>全半角检查</abilityName>
      <candidateList>
        <item>(</item>
      </candidateList>
      <explain>文本全半角错误。</explain>
      <paraID>1B7C5671</paraID>
      <start>10</start>
      <end>11</end>
      <status>ignored</status>
      <modifiedWord/>
      <trackRevisions>false</trackRevisions>
    </reviewItem>
    <reviewItem>
      <errorID>217eff58-ae8e-4ce1-80d9-705dcaeda52c</errorID>
      <errorWord>）</errorWord>
      <group>L1_Format</group>
      <groupName>格式问题</groupName>
      <ability>L2_HalfPunc</ability>
      <abilityName>全半角检查</abilityName>
      <candidateList>
        <item>)</item>
      </candidateList>
      <explain>文本全半角错误。</explain>
      <paraID>1B7C5671</paraID>
      <start>14</start>
      <end>15</end>
      <status>ignored</status>
      <modifiedWord/>
      <trackRevisions>false</trackRevisions>
    </reviewItem>
    <reviewItem>
      <errorID>6fbbc4a3-bada-4218-99b1-4380c6a1268f</errorID>
      <errorWord>（</errorWord>
      <group>L1_Format</group>
      <groupName>格式问题</groupName>
      <ability>L2_HalfPunc</ability>
      <abilityName>全半角检查</abilityName>
      <candidateList>
        <item>(</item>
      </candidateList>
      <explain>文本全半角错误。</explain>
      <paraID>4F362FB6</paraID>
      <start>10</start>
      <end>11</end>
      <status>ignored</status>
      <modifiedWord/>
      <trackRevisions>false</trackRevisions>
    </reviewItem>
    <reviewItem>
      <errorID>5a1e26fd-9774-48be-9060-bf985dac3841</errorID>
      <errorWord>）</errorWord>
      <group>L1_Format</group>
      <groupName>格式问题</groupName>
      <ability>L2_HalfPunc</ability>
      <abilityName>全半角检查</abilityName>
      <candidateList>
        <item>)</item>
      </candidateList>
      <explain>文本全半角错误。</explain>
      <paraID>4F362FB6</paraID>
      <start>14</start>
      <end>15</end>
      <status>ignored</status>
      <modifiedWord/>
      <trackRevisions>false</trackRevisions>
    </reviewItem>
    <reviewItem>
      <errorID>7ccfced1-b711-4eeb-b666-4bc334d58b55</errorID>
      <errorWord>（</errorWord>
      <group>L1_Format</group>
      <groupName>格式问题</groupName>
      <ability>L2_HalfPunc</ability>
      <abilityName>全半角检查</abilityName>
      <candidateList>
        <item>(</item>
      </candidateList>
      <explain>文本全半角错误。</explain>
      <paraID>6CD13B45</paraID>
      <start>9</start>
      <end>10</end>
      <status>ignored</status>
      <modifiedWord/>
      <trackRevisions>false</trackRevisions>
    </reviewItem>
    <reviewItem>
      <errorID>11a3b7e0-78ba-4463-aa55-b00a1d9831b5</errorID>
      <errorWord>）</errorWord>
      <group>L1_Format</group>
      <groupName>格式问题</groupName>
      <ability>L2_HalfPunc</ability>
      <abilityName>全半角检查</abilityName>
      <candidateList>
        <item>)</item>
      </candidateList>
      <explain>文本全半角错误。</explain>
      <paraID>6CD13B45</paraID>
      <start>13</start>
      <end>14</end>
      <status>ignored</status>
      <modifiedWord/>
      <trackRevisions>false</trackRevisions>
    </reviewItem>
    <reviewItem>
      <errorID>9079fb32-2ee6-409f-a069-c806c3817be3</errorID>
      <errorWord>（</errorWord>
      <group>L1_Format</group>
      <groupName>格式问题</groupName>
      <ability>L2_HalfPunc</ability>
      <abilityName>全半角检查</abilityName>
      <candidateList>
        <item>(</item>
      </candidateList>
      <explain>文本全半角错误。</explain>
      <paraID>7B9D60A3</paraID>
      <start>10</start>
      <end>11</end>
      <status>ignored</status>
      <modifiedWord/>
      <trackRevisions>false</trackRevisions>
    </reviewItem>
    <reviewItem>
      <errorID>c3119dbc-18df-4e71-b90a-0a93babae530</errorID>
      <errorWord>）</errorWord>
      <group>L1_Format</group>
      <groupName>格式问题</groupName>
      <ability>L2_HalfPunc</ability>
      <abilityName>全半角检查</abilityName>
      <candidateList>
        <item>)</item>
      </candidateList>
      <explain>文本全半角错误。</explain>
      <paraID>7B9D60A3</paraID>
      <start>14</start>
      <end>15</end>
      <status>ignored</status>
      <modifiedWord/>
      <trackRevisions>false</trackRevisions>
    </reviewItem>
    <reviewItem>
      <errorID>185c6cd4-ecbe-427b-81e2-8b6e1696cc0c</errorID>
      <errorWord>（</errorWord>
      <group>L1_Format</group>
      <groupName>格式问题</groupName>
      <ability>L2_HalfPunc</ability>
      <abilityName>全半角检查</abilityName>
      <candidateList>
        <item>(</item>
      </candidateList>
      <explain>文本全半角错误。</explain>
      <paraID>5F913AAF</paraID>
      <start>10</start>
      <end>11</end>
      <status>ignored</status>
      <modifiedWord/>
      <trackRevisions>false</trackRevisions>
    </reviewItem>
    <reviewItem>
      <errorID>b27927bd-3234-4c44-8de3-4a61b0090bd5</errorID>
      <errorWord>）</errorWord>
      <group>L1_Format</group>
      <groupName>格式问题</groupName>
      <ability>L2_HalfPunc</ability>
      <abilityName>全半角检查</abilityName>
      <candidateList>
        <item>)</item>
      </candidateList>
      <explain>文本全半角错误。</explain>
      <paraID>5F913AAF</paraID>
      <start>14</start>
      <end>15</end>
      <status>ignored</status>
      <modifiedWord/>
      <trackRevisions>false</trackRevisions>
    </reviewItem>
    <reviewItem>
      <errorID>83122b97-5043-440c-8a3b-31dc30639f19</errorID>
      <errorWord>)</errorWord>
      <group>L1_Format</group>
      <groupName>格式问题</groupName>
      <ability>L2_HalfPunc</ability>
      <abilityName>全半角检查</abilityName>
      <candidateList>
        <item>）</item>
      </candidateList>
      <explain>文本全半角错误。</explain>
      <paraID>  B48FCE</paraID>
      <start>17</start>
      <end>18</end>
      <status>ignored</status>
      <modifiedWord/>
      <trackRevisions>false</trackRevisions>
    </reviewItem>
    <reviewItem>
      <errorID>65ce0db8-5e65-4ba7-a05f-b3403ddf4e62</errorID>
      <errorWord>(</errorWord>
      <group>L1_Format</group>
      <groupName>格式问题</groupName>
      <ability>L2_HalfPunc</ability>
      <abilityName>全半角检查</abilityName>
      <candidateList>
        <item>（</item>
      </candidateList>
      <explain>文本全半角错误。</explain>
      <paraID> DC4992D</paraID>
      <start>5</start>
      <end>6</end>
      <status>ignored</status>
      <modifiedWord/>
      <trackRevisions>false</trackRevisions>
    </reviewItem>
    <reviewItem>
      <errorID>915637b6-fc95-4cfa-b079-a857dd92c1e8</errorID>
      <errorWord>)</errorWord>
      <group>L1_Format</group>
      <groupName>格式问题</groupName>
      <ability>L2_HalfPunc</ability>
      <abilityName>全半角检查</abilityName>
      <candidateList>
        <item>）</item>
      </candidateList>
      <explain>文本全半角错误。</explain>
      <paraID> DC4992D</paraID>
      <start>8</start>
      <end>9</end>
      <status>ignored</status>
      <modifiedWord/>
      <trackRevisions>false</trackRevisions>
    </reviewItem>
    <reviewItem>
      <errorID>0a6e6e55-cd9a-4c8b-ba56-9fe51471f3e1</errorID>
      <errorWord>：</errorWord>
      <group>L1_Format</group>
      <groupName>格式问题</groupName>
      <ability>L2_HalfPunc</ability>
      <abilityName>全半角检查</abilityName>
      <candidateList>
        <item>:</item>
      </candidateList>
      <explain>文本全半角错误。</explain>
      <paraID>7D00BA1C</paraID>
      <start>2</start>
      <end>3</end>
      <status>ignored</status>
      <modifiedWord/>
      <trackRevisions>false</trackRevisions>
    </reviewItem>
    <reviewItem>
      <errorID>7f05ac42-de6b-47ca-b3c3-52a1d91351f0</errorID>
      <errorWord>年平</errorWord>
      <group>L1_Word</group>
      <groupName>字词问题</groupName>
      <ability>L2_Typo</ability>
      <abilityName>字词错误</abilityName>
      <candidateList>
        <item>平均</item>
      </candidateList>
      <explain/>
      <paraID>7480A59D</paraID>
      <start>179</start>
      <end>181</end>
      <status>ignored</status>
      <modifiedWord/>
      <trackRevisions>false</trackRevisions>
    </reviewItem>
    <reviewItem>
      <errorID>30c1b857-0d08-4f3f-8dcd-f9e4168c7697</errorID>
      <errorWord>(</errorWord>
      <group>L1_Format</group>
      <groupName>格式问题</groupName>
      <ability>L2_HalfPunc</ability>
      <abilityName>全半角检查</abilityName>
      <candidateList>
        <item>（</item>
      </candidateList>
      <explain>文本全半角错误。</explain>
      <paraID>63E2AEFD</paraID>
      <start>4</start>
      <end>5</end>
      <status>ignored</status>
      <modifiedWord/>
      <trackRevisions>false</trackRevisions>
    </reviewItem>
    <reviewItem>
      <errorID>ff6937d1-ad41-4a00-b6a9-2aa87a335238</errorID>
      <errorWord>)</errorWord>
      <group>L1_Format</group>
      <groupName>格式问题</groupName>
      <ability>L2_HalfPunc</ability>
      <abilityName>全半角检查</abilityName>
      <candidateList>
        <item>）</item>
      </candidateList>
      <explain>文本全半角错误。</explain>
      <paraID>63E2AEFD</paraID>
      <start>10</start>
      <end>11</end>
      <status>ignored</status>
      <modifiedWord/>
      <trackRevisions>false</trackRevisions>
    </reviewItem>
    <reviewItem>
      <errorID>3854310f-43ac-43bc-8d6b-a9b0d8490d0f</errorID>
      <errorWord>(</errorWord>
      <group>L1_Format</group>
      <groupName>格式问题</groupName>
      <ability>L2_HalfPunc</ability>
      <abilityName>全半角检查</abilityName>
      <candidateList>
        <item>（</item>
      </candidateList>
      <explain>文本全半角错误。</explain>
      <paraID>6E9A2B94</paraID>
      <start>4</start>
      <end>5</end>
      <status>ignored</status>
      <modifiedWord/>
      <trackRevisions>false</trackRevisions>
    </reviewItem>
    <reviewItem>
      <errorID>fbd643d0-666e-43a1-855a-2f0ee2625036</errorID>
      <errorWord>)</errorWord>
      <group>L1_Format</group>
      <groupName>格式问题</groupName>
      <ability>L2_HalfPunc</ability>
      <abilityName>全半角检查</abilityName>
      <candidateList>
        <item>）</item>
      </candidateList>
      <explain>文本全半角错误。</explain>
      <paraID>6E9A2B94</paraID>
      <start>10</start>
      <end>11</end>
      <status>ignored</status>
      <modifiedWord/>
      <trackRevisions>false</trackRevisions>
    </reviewItem>
    <reviewItem>
      <errorID>a6992ada-4ac9-45b7-82e7-5938dd0ca799</errorID>
      <errorWord>(</errorWord>
      <group>L1_Format</group>
      <groupName>格式问题</groupName>
      <ability>L2_HalfPunc</ability>
      <abilityName>全半角检查</abilityName>
      <candidateList>
        <item>（</item>
      </candidateList>
      <explain>文本全半角错误。</explain>
      <paraID> AE23577</paraID>
      <start>3</start>
      <end>4</end>
      <status>ignored</status>
      <modifiedWord/>
      <trackRevisions>false</trackRevisions>
    </reviewItem>
    <reviewItem>
      <errorID>c5a627ac-e108-4197-ae5b-4b23cda4e113</errorID>
      <errorWord>)</errorWord>
      <group>L1_Format</group>
      <groupName>格式问题</groupName>
      <ability>L2_HalfPunc</ability>
      <abilityName>全半角检查</abilityName>
      <candidateList>
        <item>）</item>
      </candidateList>
      <explain>文本全半角错误。</explain>
      <paraID> AE23577</paraID>
      <start>5</start>
      <end>6</end>
      <status>ignored</status>
      <modifiedWord/>
      <trackRevisions>false</trackRevisions>
    </reviewItem>
    <reviewItem>
      <errorID>5c9bcdae-3ade-4ea0-8148-5bbcbdf9d6eb</errorID>
      <errorWord>(</errorWord>
      <group>L1_Format</group>
      <groupName>格式问题</groupName>
      <ability>L2_HalfPunc</ability>
      <abilityName>全半角检查</abilityName>
      <candidateList>
        <item>（</item>
      </candidateList>
      <explain>文本全半角错误。</explain>
      <paraID>2329DDCA</paraID>
      <start>3</start>
      <end>4</end>
      <status>ignored</status>
      <modifiedWord/>
      <trackRevisions>false</trackRevisions>
    </reviewItem>
    <reviewItem>
      <errorID>38907052-1c5e-4ea4-a71c-d36c0eed9b2d</errorID>
      <errorWord>)</errorWord>
      <group>L1_Format</group>
      <groupName>格式问题</groupName>
      <ability>L2_HalfPunc</ability>
      <abilityName>全半角检查</abilityName>
      <candidateList>
        <item>）</item>
      </candidateList>
      <explain>文本全半角错误。</explain>
      <paraID>2329DDCA</paraID>
      <start>5</start>
      <end>6</end>
      <status>ignored</status>
      <modifiedWord/>
      <trackRevisions>false</trackRevisions>
    </reviewItem>
    <reviewItem>
      <errorID>566899c6-6cf1-43ae-91d5-a19e2e5a8201</errorID>
      <errorWord>(</errorWord>
      <group>L1_Format</group>
      <groupName>格式问题</groupName>
      <ability>L2_HalfPunc</ability>
      <abilityName>全半角检查</abilityName>
      <candidateList>
        <item>（</item>
      </candidateList>
      <explain>文本全半角错误。</explain>
      <paraID>182E53C5</paraID>
      <start>4</start>
      <end>5</end>
      <status>ignored</status>
      <modifiedWord/>
      <trackRevisions>false</trackRevisions>
    </reviewItem>
    <reviewItem>
      <errorID>01f5f8e9-cde2-449a-97a0-57448c3e11c4</errorID>
      <errorWord>)</errorWord>
      <group>L1_Format</group>
      <groupName>格式问题</groupName>
      <ability>L2_HalfPunc</ability>
      <abilityName>全半角检查</abilityName>
      <candidateList>
        <item>）</item>
      </candidateList>
      <explain>文本全半角错误。</explain>
      <paraID>182E53C5</paraID>
      <start>6</start>
      <end>7</end>
      <status>ignored</status>
      <modifiedWord/>
      <trackRevisions>false</trackRevisions>
    </reviewItem>
    <reviewItem>
      <errorID>f520f3d2-97c7-419a-b189-ac02ad91fa00</errorID>
      <errorWord>、，</errorWord>
      <group>L1_Punc</group>
      <groupName>标点问题</groupName>
      <ability>L2_Punc</ability>
      <abilityName>标点符号检查</abilityName>
      <candidateList>
        <item>、</item>
      </candidateList>
      <explain/>
      <paraID>1C65E7DD</paraID>
      <start>79</start>
      <end>81</end>
      <status>ignored</status>
      <modifiedWord/>
      <trackRevisions>false</trackRevisions>
    </reviewItem>
    <reviewItem>
      <errorID>64d8a80c-7d36-4547-a5f3-7f8aaf1b04c8</errorID>
      <errorWord>(</errorWord>
      <group>L1_Format</group>
      <groupName>格式问题</groupName>
      <ability>L2_HalfPunc</ability>
      <abilityName>全半角检查</abilityName>
      <candidateList>
        <item>（</item>
      </candidateList>
      <explain>文本全半角错误。</explain>
      <paraID>56154A59</paraID>
      <start>4</start>
      <end>5</end>
      <status>ignored</status>
      <modifiedWord/>
      <trackRevisions>false</trackRevisions>
    </reviewItem>
    <reviewItem>
      <errorID>7c705032-d34a-427a-8356-9a5a14662e0b</errorID>
      <errorWord>)</errorWord>
      <group>L1_Format</group>
      <groupName>格式问题</groupName>
      <ability>L2_HalfPunc</ability>
      <abilityName>全半角检查</abilityName>
      <candidateList>
        <item>）</item>
      </candidateList>
      <explain>文本全半角错误。</explain>
      <paraID>56154A59</paraID>
      <start>10</start>
      <end>11</end>
      <status>ignored</status>
      <modifiedWord/>
      <trackRevisions>false</trackRevisions>
    </reviewItem>
    <reviewItem>
      <errorID>0f42de71-d77d-46eb-ac63-ebcb62572823</errorID>
      <errorWord>(</errorWord>
      <group>L1_Format</group>
      <groupName>格式问题</groupName>
      <ability>L2_HalfPunc</ability>
      <abilityName>全半角检查</abilityName>
      <candidateList>
        <item>（</item>
      </candidateList>
      <explain>文本全半角错误。</explain>
      <paraID>3CA197CF</paraID>
      <start>4</start>
      <end>5</end>
      <status>ignored</status>
      <modifiedWord/>
      <trackRevisions>false</trackRevisions>
    </reviewItem>
    <reviewItem>
      <errorID>6358127f-d64c-4109-a66b-07bdf5d47b8b</errorID>
      <errorWord>)</errorWord>
      <group>L1_Format</group>
      <groupName>格式问题</groupName>
      <ability>L2_HalfPunc</ability>
      <abilityName>全半角检查</abilityName>
      <candidateList>
        <item>）</item>
      </candidateList>
      <explain>文本全半角错误。</explain>
      <paraID>3CA197CF</paraID>
      <start>10</start>
      <end>11</end>
      <status>ignored</status>
      <modifiedWord/>
      <trackRevisions>false</trackRevisions>
    </reviewItem>
    <reviewItem>
      <errorID>1a3ddf05-758c-4c85-8f15-dbec0b04998b</errorID>
      <errorWord>(</errorWord>
      <group>L1_Format</group>
      <groupName>格式问题</groupName>
      <ability>L2_HalfPunc</ability>
      <abilityName>全半角检查</abilityName>
      <candidateList>
        <item>（</item>
      </candidateList>
      <explain>文本全半角错误。</explain>
      <paraID>3A3DB782</paraID>
      <start>3</start>
      <end>4</end>
      <status>ignored</status>
      <modifiedWord/>
      <trackRevisions>false</trackRevisions>
    </reviewItem>
    <reviewItem>
      <errorID>fb1c2f20-9136-4d6a-8bfd-b3c141869760</errorID>
      <errorWord>)</errorWord>
      <group>L1_Format</group>
      <groupName>格式问题</groupName>
      <ability>L2_HalfPunc</ability>
      <abilityName>全半角检查</abilityName>
      <candidateList>
        <item>）</item>
      </candidateList>
      <explain>文本全半角错误。</explain>
      <paraID>3A3DB782</paraID>
      <start>5</start>
      <end>6</end>
      <status>ignored</status>
      <modifiedWord/>
      <trackRevisions>false</trackRevisions>
    </reviewItem>
    <reviewItem>
      <errorID>a0b69d57-83b7-47e3-a98b-2aaea4612f2e</errorID>
      <errorWord>(</errorWord>
      <group>L1_Format</group>
      <groupName>格式问题</groupName>
      <ability>L2_HalfPunc</ability>
      <abilityName>全半角检查</abilityName>
      <candidateList>
        <item>（</item>
      </candidateList>
      <explain>文本全半角错误。</explain>
      <paraID>6CB5C280</paraID>
      <start>3</start>
      <end>4</end>
      <status>ignored</status>
      <modifiedWord/>
      <trackRevisions>false</trackRevisions>
    </reviewItem>
    <reviewItem>
      <errorID>4b0c4942-6d0f-4afe-bfb4-e8e89c53ccce</errorID>
      <errorWord>)</errorWord>
      <group>L1_Format</group>
      <groupName>格式问题</groupName>
      <ability>L2_HalfPunc</ability>
      <abilityName>全半角检查</abilityName>
      <candidateList>
        <item>）</item>
      </candidateList>
      <explain>文本全半角错误。</explain>
      <paraID>6CB5C280</paraID>
      <start>5</start>
      <end>6</end>
      <status>ignored</status>
      <modifiedWord/>
      <trackRevisions>false</trackRevisions>
    </reviewItem>
    <reviewItem>
      <errorID>53e0349d-10c2-4e43-8574-b5c3ee6ceb17</errorID>
      <errorWord>(</errorWord>
      <group>L1_Format</group>
      <groupName>格式问题</groupName>
      <ability>L2_HalfPunc</ability>
      <abilityName>全半角检查</abilityName>
      <candidateList>
        <item>（</item>
      </candidateList>
      <explain>文本全半角错误。</explain>
      <paraID>13F3A542</paraID>
      <start>4</start>
      <end>5</end>
      <status>ignored</status>
      <modifiedWord/>
      <trackRevisions>false</trackRevisions>
    </reviewItem>
    <reviewItem>
      <errorID>2beb03ad-af5c-4d8b-a902-2a98ec3adc6d</errorID>
      <errorWord>)</errorWord>
      <group>L1_Format</group>
      <groupName>格式问题</groupName>
      <ability>L2_HalfPunc</ability>
      <abilityName>全半角检查</abilityName>
      <candidateList>
        <item>）</item>
      </candidateList>
      <explain>文本全半角错误。</explain>
      <paraID>13F3A542</paraID>
      <start>6</start>
      <end>7</end>
      <status>ignored</status>
      <modifiedWord/>
      <trackRevisions>false</trackRevisions>
    </reviewItem>
    <reviewItem>
      <errorID>091fb45a-c59d-4da8-9a2a-07c69d87d6d6</errorID>
      <errorWord>(</errorWord>
      <group>L1_Format</group>
      <groupName>格式问题</groupName>
      <ability>L2_HalfPunc</ability>
      <abilityName>全半角检查</abilityName>
      <candidateList>
        <item>（</item>
      </candidateList>
      <explain>文本全半角错误。</explain>
      <paraID>325C1214</paraID>
      <start>4</start>
      <end>5</end>
      <status>ignored</status>
      <modifiedWord/>
      <trackRevisions>false</trackRevisions>
    </reviewItem>
    <reviewItem>
      <errorID>d73ca9d8-e1b0-409e-8238-dce9d6d07c7a</errorID>
      <errorWord>)</errorWord>
      <group>L1_Format</group>
      <groupName>格式问题</groupName>
      <ability>L2_HalfPunc</ability>
      <abilityName>全半角检查</abilityName>
      <candidateList>
        <item>）</item>
      </candidateList>
      <explain>文本全半角错误。</explain>
      <paraID>325C1214</paraID>
      <start>10</start>
      <end>11</end>
      <status>ignored</status>
      <modifiedWord/>
      <trackRevisions>false</trackRevisions>
    </reviewItem>
    <reviewItem>
      <errorID>7d979a6e-57a4-4e2d-a4e2-2c577e0c3600</errorID>
      <errorWord>(</errorWord>
      <group>L1_Format</group>
      <groupName>格式问题</groupName>
      <ability>L2_HalfPunc</ability>
      <abilityName>全半角检查</abilityName>
      <candidateList>
        <item>（</item>
      </candidateList>
      <explain>文本全半角错误。</explain>
      <paraID>39AB0AE4</paraID>
      <start>4</start>
      <end>5</end>
      <status>ignored</status>
      <modifiedWord/>
      <trackRevisions>false</trackRevisions>
    </reviewItem>
    <reviewItem>
      <errorID>40c8db78-d945-418a-bdb5-8ddc8fbe6d65</errorID>
      <errorWord>)</errorWord>
      <group>L1_Format</group>
      <groupName>格式问题</groupName>
      <ability>L2_HalfPunc</ability>
      <abilityName>全半角检查</abilityName>
      <candidateList>
        <item>）</item>
      </candidateList>
      <explain>文本全半角错误。</explain>
      <paraID>39AB0AE4</paraID>
      <start>10</start>
      <end>11</end>
      <status>ignored</status>
      <modifiedWord/>
      <trackRevisions>false</trackRevisions>
    </reviewItem>
    <reviewItem>
      <errorID>5ab11085-b67a-4a36-a061-0bba1b79c0ec</errorID>
      <errorWord>(</errorWord>
      <group>L1_Format</group>
      <groupName>格式问题</groupName>
      <ability>L2_HalfPunc</ability>
      <abilityName>全半角检查</abilityName>
      <candidateList>
        <item>（</item>
      </candidateList>
      <explain>文本全半角错误。</explain>
      <paraID>47FCF6BF</paraID>
      <start>3</start>
      <end>4</end>
      <status>ignored</status>
      <modifiedWord/>
      <trackRevisions>false</trackRevisions>
    </reviewItem>
    <reviewItem>
      <errorID>8593a200-db9e-4cc7-b3a8-a2812d6b95c7</errorID>
      <errorWord>)</errorWord>
      <group>L1_Format</group>
      <groupName>格式问题</groupName>
      <ability>L2_HalfPunc</ability>
      <abilityName>全半角检查</abilityName>
      <candidateList>
        <item>）</item>
      </candidateList>
      <explain>文本全半角错误。</explain>
      <paraID>47FCF6BF</paraID>
      <start>5</start>
      <end>6</end>
      <status>ignored</status>
      <modifiedWord/>
      <trackRevisions>false</trackRevisions>
    </reviewItem>
    <reviewItem>
      <errorID>b4c7ebd6-d655-4a0d-8247-bc0eaf67613e</errorID>
      <errorWord>(</errorWord>
      <group>L1_Format</group>
      <groupName>格式问题</groupName>
      <ability>L2_HalfPunc</ability>
      <abilityName>全半角检查</abilityName>
      <candidateList>
        <item>（</item>
      </candidateList>
      <explain>文本全半角错误。</explain>
      <paraID>4E92C9F6</paraID>
      <start>3</start>
      <end>4</end>
      <status>ignored</status>
      <modifiedWord/>
      <trackRevisions>false</trackRevisions>
    </reviewItem>
    <reviewItem>
      <errorID>ed4eb402-c523-44d0-ba25-f3c8c5bdd8e4</errorID>
      <errorWord>)</errorWord>
      <group>L1_Format</group>
      <groupName>格式问题</groupName>
      <ability>L2_HalfPunc</ability>
      <abilityName>全半角检查</abilityName>
      <candidateList>
        <item>）</item>
      </candidateList>
      <explain>文本全半角错误。</explain>
      <paraID>4E92C9F6</paraID>
      <start>5</start>
      <end>6</end>
      <status>ignored</status>
      <modifiedWord/>
      <trackRevisions>false</trackRevisions>
    </reviewItem>
    <reviewItem>
      <errorID>31c02e9a-594a-4f9e-bb9e-ae74777eb929</errorID>
      <errorWord>(</errorWord>
      <group>L1_Format</group>
      <groupName>格式问题</groupName>
      <ability>L2_HalfPunc</ability>
      <abilityName>全半角检查</abilityName>
      <candidateList>
        <item>（</item>
      </candidateList>
      <explain>文本全半角错误。</explain>
      <paraID>705AD4A1</paraID>
      <start>4</start>
      <end>5</end>
      <status>ignored</status>
      <modifiedWord/>
      <trackRevisions>false</trackRevisions>
    </reviewItem>
    <reviewItem>
      <errorID>b8b23b3f-bce8-4600-baf3-12ac87e9b4a2</errorID>
      <errorWord>)</errorWord>
      <group>L1_Format</group>
      <groupName>格式问题</groupName>
      <ability>L2_HalfPunc</ability>
      <abilityName>全半角检查</abilityName>
      <candidateList>
        <item>）</item>
      </candidateList>
      <explain>文本全半角错误。</explain>
      <paraID>705AD4A1</paraID>
      <start>6</start>
      <end>7</end>
      <status>ignored</status>
      <modifiedWord/>
      <trackRevisions>false</trackRevisions>
    </reviewItem>
    <reviewItem>
      <errorID>52fde7e1-188e-4868-ae8f-5d9983f0e65a</errorID>
      <errorWord>降低</errorWord>
      <group>L1_Grammar</group>
      <groupName>语法问题</groupName>
      <ability>L2_Grammar</ability>
      <abilityName>语法错误</abilityName>
      <candidateList>
        <item>防止</item>
      </candidateList>
      <explain>“降低～发生”搭配不当，建议修改为“防止～发生”。</explain>
      <paraID>6839F893</paraID>
      <start>41</start>
      <end>43</end>
      <status>ignored</status>
      <modifiedWord/>
      <trackRevisions>false</trackRevisions>
    </reviewItem>
    <reviewItem>
      <errorID>5b1b37d1-1f35-4012-8c21-40059bccf46f</errorID>
      <errorWord>)</errorWord>
      <group>L1_Format</group>
      <groupName>格式问题</groupName>
      <ability>L2_HalfPunc</ability>
      <abilityName>全半角检查</abilityName>
      <candidateList>
        <item>）</item>
      </candidateList>
      <explain>文本全半角错误。</explain>
      <paraID>706AFE5A</paraID>
      <start>100</start>
      <end>101</end>
      <status>ignored</status>
      <modifiedWord/>
      <trackRevisions>false</trackRevisions>
    </reviewItem>
    <reviewItem>
      <errorID>3a9d5561-b98b-45ab-9d53-fc877d5275a3</errorID>
      <errorWord>年平均</errorWord>
      <group>L1_Word</group>
      <groupName>字词问题</groupName>
      <ability>L2_Typo</ability>
      <abilityName>字词错误</abilityName>
      <candidateList>
        <item>平均年</item>
      </candidateList>
      <explain/>
      <paraID>48571CC2</paraID>
      <start>2</start>
      <end>5</end>
      <status>ignored</status>
      <modifiedWord/>
      <trackRevisions>false</trackRevisions>
    </reviewItem>
    <reviewItem>
      <errorID>799242c8-976a-40b2-8daf-c82039af0c57</errorID>
      <errorWord>(</errorWord>
      <group>L1_Format</group>
      <groupName>格式问题</groupName>
      <ability>L2_HalfPunc</ability>
      <abilityName>全半角检查</abilityName>
      <candidateList>
        <item>（</item>
      </candidateList>
      <explain>文本全半角错误。</explain>
      <paraID>42F44F74</paraID>
      <start>50</start>
      <end>51</end>
      <status>ignored</status>
      <modifiedWord/>
      <trackRevisions>false</trackRevisions>
    </reviewItem>
    <reviewItem>
      <errorID>f1fc7ef1-5732-46a3-bd58-01325beb86d9</errorID>
      <errorWord>)</errorWord>
      <group>L1_Format</group>
      <groupName>格式问题</groupName>
      <ability>L2_HalfPunc</ability>
      <abilityName>全半角检查</abilityName>
      <candidateList>
        <item>）</item>
      </candidateList>
      <explain>文本全半角错误。</explain>
      <paraID>42F44F74</paraID>
      <start>79</start>
      <end>80</end>
      <status>ignored</status>
      <modifiedWord/>
      <trackRevisions>false</trackRevisions>
    </reviewItem>
    <reviewItem>
      <errorID>393ab095-d356-4111-b648-e26f0af350ce</errorID>
      <errorWord>制订</errorWord>
      <group>L1_Grammar</group>
      <groupName>语法问题</groupName>
      <ability>L2_Grammar</ability>
      <abilityName>语法错误</abilityName>
      <candidateList>
        <item>实施</item>
      </candidateList>
      <explain>“制订～项目”搭配不当，建议修改为“实施～项目”。</explain>
      <paraID>42F44F74</paraID>
      <start>173</start>
      <end>175</end>
      <status>ignored</status>
      <modifiedWord/>
      <trackRevisions>false</trackRevisions>
    </reviewItem>
    <reviewItem>
      <errorID>b50f75e4-23a2-4788-8560-ad366ab38ab6</errorID>
      <errorWord>收到</errorWord>
      <group>L1_Word</group>
      <groupName>字词问题</groupName>
      <ability>L2_Typo</ability>
      <abilityName>字词错误</abilityName>
      <candidateList>
        <item>受到</item>
      </candidateList>
      <explain/>
      <paraID>65918C99</paraID>
      <start>24</start>
      <end>26</end>
      <status>ignored</status>
      <modifiedWord/>
      <trackRevisions>false</trackRevisions>
    </reviewItem>
    <reviewItem>
      <errorID>19494dbe-758e-4a9c-88d2-a98bd0d4fa82</errorID>
      <errorWord>见</errorWord>
      <group>L1_Word</group>
      <groupName>字词问题</groupName>
      <ability>L2_Typo</ability>
      <abilityName>字词错误</abilityName>
      <candidateList>
        <item>见下</item>
      </candidateList>
      <explain/>
      <paraID>3E47113E</paraID>
      <start>9</start>
      <end>10</end>
      <status>ignored</status>
      <modifiedWord/>
      <trackRevisions>false</trackRevisions>
    </reviewItem>
    <reviewItem>
      <errorID>34043db5-1703-43b2-9998-cd309e074d31</errorID>
      <errorWord>（</errorWord>
      <group>L1_Format</group>
      <groupName>格式问题</groupName>
      <ability>L2_HalfPunc</ability>
      <abilityName>全半角检查</abilityName>
      <candidateList>
        <item>(</item>
      </candidateList>
      <explain>文本全半角错误。</explain>
      <paraID>2DCE1BB1</paraID>
      <start>0</start>
      <end>1</end>
      <status>ignored</status>
      <modifiedWord/>
      <trackRevisions>false</trackRevisions>
    </reviewItem>
    <reviewItem>
      <errorID>3ebe46d0-6d53-4654-a642-2f6d4c6f6a42</errorID>
      <errorWord>）</errorWord>
      <group>L1_Format</group>
      <groupName>格式问题</groupName>
      <ability>L2_HalfPunc</ability>
      <abilityName>全半角检查</abilityName>
      <candidateList>
        <item>)</item>
      </candidateList>
      <explain>文本全半角错误。</explain>
      <paraID>2DCE1BB1</paraID>
      <start>6</start>
      <end>7</end>
      <status>ignored</status>
      <modifiedWord/>
      <trackRevisions>false</trackRevisions>
    </reviewItem>
    <reviewItem>
      <errorID>4ea4b0bc-3775-497a-bcc3-5f3d5bac30bf</errorID>
      <errorWord>)</errorWord>
      <group>L1_Format</group>
      <groupName>格式问题</groupName>
      <ability>L2_HalfPunc</ability>
      <abilityName>全半角检查</abilityName>
      <candidateList>
        <item>）</item>
      </candidateList>
      <explain>文本全半角错误。</explain>
      <paraID>477511BE</paraID>
      <start>15</start>
      <end>16</end>
      <status>ignored</status>
      <modifiedWord/>
      <trackRevisions>false</trackRevisions>
    </reviewItem>
    <reviewItem>
      <errorID>f9c7f523-2b20-4071-be1d-54ba57c03da7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3309B36</paraID>
      <start>0</start>
      <end>2</end>
      <status>ignored</status>
      <modifiedWord/>
      <trackRevisions>false</trackRevisions>
    </reviewItem>
    <reviewItem>
      <errorID>90060d40-f815-417e-b72b-aae19c9d41a4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7ABF07A8</paraID>
      <start>0</start>
      <end>2</end>
      <status>ignored</status>
      <modifiedWord/>
      <trackRevisions>false</trackRevisions>
    </reviewItem>
    <reviewItem>
      <errorID>5caa0ba2-f68b-4d71-9bac-786a0efc70b2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D95BC36</paraID>
      <start>0</start>
      <end>2</end>
      <status>ignored</status>
      <modifiedWord/>
      <trackRevisions>false</trackRevisions>
    </reviewItem>
    <reviewItem>
      <errorID>8b9db12a-51cf-4fd1-843c-f2149ef1ef2a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446217B1</paraID>
      <start>0</start>
      <end>2</end>
      <status>ignored</status>
      <modifiedWord/>
      <trackRevisions>false</trackRevisions>
    </reviewItem>
    <reviewItem>
      <errorID>e9039cd0-0099-4630-a5bb-3fa476651d0d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4FBAA33F</paraID>
      <start>0</start>
      <end>2</end>
      <status>ignored</status>
      <modifiedWord/>
      <trackRevisions>false</trackRevisions>
    </reviewItem>
    <reviewItem>
      <errorID>17bf0377-1cbb-4ce1-9a44-307553bc30ef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461585C6</paraID>
      <start>0</start>
      <end>2</end>
      <status>ignored</status>
      <modifiedWord/>
      <trackRevisions>false</trackRevisions>
    </reviewItem>
    <reviewItem>
      <errorID>e4304a09-7ea3-435b-8188-15652c320ee7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69427B9F</paraID>
      <start>0</start>
      <end>2</end>
      <status>ignored</status>
      <modifiedWord/>
      <trackRevisions>false</trackRevisions>
    </reviewItem>
    <reviewItem>
      <errorID>250bdf47-b196-4efc-8364-bbda60aa4efc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368D82E4</paraID>
      <start>0</start>
      <end>2</end>
      <status>ignored</status>
      <modifiedWord/>
      <trackRevisions>false</trackRevisions>
    </reviewItem>
    <reviewItem>
      <errorID>3367eac8-ac4a-40e3-9334-57002ca0e162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6DE32F87</paraID>
      <start>0</start>
      <end>2</end>
      <status>ignored</status>
      <modifiedWord/>
      <trackRevisions>false</trackRevisions>
    </reviewItem>
    <reviewItem>
      <errorID>78c6d0e5-4791-4835-b737-60d0bbcef34b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3FA351EB</paraID>
      <start>0</start>
      <end>2</end>
      <status>ignored</status>
      <modifiedWord/>
      <trackRevisions>false</trackRevisions>
    </reviewItem>
    <reviewItem>
      <errorID>2433616f-9434-4f4a-8b41-4bce522fd37d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5D5181F4</paraID>
      <start>0</start>
      <end>2</end>
      <status>ignored</status>
      <modifiedWord/>
      <trackRevisions>false</trackRevisions>
    </reviewItem>
    <reviewItem>
      <errorID>512b9497-d2ff-46a7-b4bf-391e2c6bd17f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1AF34B87</paraID>
      <start>0</start>
      <end>2</end>
      <status>ignored</status>
      <modifiedWord/>
      <trackRevisions>false</trackRevisions>
    </reviewItem>
    <reviewItem>
      <errorID>1adfa0bc-0746-40a3-a144-6458e24f882b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2A54460</paraID>
      <start>0</start>
      <end>2</end>
      <status>ignored</status>
      <modifiedWord/>
      <trackRevisions>false</trackRevisions>
    </reviewItem>
    <reviewItem>
      <errorID>a33b3f10-7168-4c79-848b-ccd924e10cc2</errorID>
      <errorWord>(</errorWord>
      <group>L1_Format</group>
      <groupName>格式问题</groupName>
      <ability>L2_HalfPunc</ability>
      <abilityName>全半角检查</abilityName>
      <candidateList>
        <item>（</item>
      </candidateList>
      <explain>文本全半角错误。</explain>
      <paraID>12B20B20</paraID>
      <start>4</start>
      <end>5</end>
      <status>ignored</status>
      <modifiedWord/>
      <trackRevisions>false</trackRevisions>
    </reviewItem>
    <reviewItem>
      <errorID>18bd4b36-3e17-4cd7-8965-80e9c0462946</errorID>
      <errorWord>)</errorWord>
      <group>L1_Format</group>
      <groupName>格式问题</groupName>
      <ability>L2_HalfPunc</ability>
      <abilityName>全半角检查</abilityName>
      <candidateList>
        <item>）</item>
      </candidateList>
      <explain>文本全半角错误。</explain>
      <paraID>12B20B20</paraID>
      <start>12</start>
      <end>13</end>
      <status>ignored</status>
      <modifiedWord/>
      <trackRevisions>false</trackRevisions>
    </reviewItem>
    <reviewItem>
      <errorID>68a66d3b-8bea-4c8e-bebc-ba5950efed03</errorID>
      <errorWord>(</errorWord>
      <group>L1_Format</group>
      <groupName>格式问题</groupName>
      <ability>L2_HalfPunc</ability>
      <abilityName>全半角检查</abilityName>
      <candidateList>
        <item>（</item>
      </candidateList>
      <explain>文本全半角错误。</explain>
      <paraID>7DA1A12C</paraID>
      <start>76</start>
      <end>77</end>
      <status>ignored</status>
      <modifiedWord/>
      <trackRevisions>false</trackRevisions>
    </reviewItem>
    <reviewItem>
      <errorID>dd675a60-1f98-4ac8-a4f6-b5d34e536e7b</errorID>
      <errorWord>)</errorWord>
      <group>L1_Format</group>
      <groupName>格式问题</groupName>
      <ability>L2_HalfPunc</ability>
      <abilityName>全半角检查</abilityName>
      <candidateList>
        <item>）</item>
      </candidateList>
      <explain>文本全半角错误。</explain>
      <paraID>7DA1A12C</paraID>
      <start>79</start>
      <end>80</end>
      <status>ignored</status>
      <modifiedWord/>
      <trackRevisions>false</trackRevisions>
    </reviewItem>
    <reviewItem>
      <errorID>3beecfd0-3b78-45b4-9046-a8f722b9ea79</errorID>
      <errorWord>)</errorWord>
      <group>L1_Format</group>
      <groupName>格式问题</groupName>
      <ability>L2_HalfPunc</ability>
      <abilityName>全半角检查</abilityName>
      <candidateList>
        <item>）</item>
      </candidateList>
      <explain>文本全半角错误。</explain>
      <paraID>710B78DB</paraID>
      <start>15</start>
      <end>16</end>
      <status>ignored</status>
      <modifiedWord/>
      <trackRevisions>false</trackRevisions>
    </reviewItem>
    <reviewItem>
      <errorID>2571b6c0-f232-47ff-9a95-5301bb4d37a9</errorID>
      <errorWord>(</errorWord>
      <group>L1_Format</group>
      <groupName>格式问题</groupName>
      <ability>L2_HalfPunc</ability>
      <abilityName>全半角检查</abilityName>
      <candidateList>
        <item>（</item>
      </candidateList>
      <explain>文本全半角错误。</explain>
      <paraID>72241DD8</paraID>
      <start>12</start>
      <end>13</end>
      <status>ignored</status>
      <modifiedWord/>
      <trackRevisions>false</trackRevisions>
    </reviewItem>
    <reviewItem>
      <errorID>eb8f5523-2a1c-4537-8262-a1b0238d4e77</errorID>
      <errorWord>)</errorWord>
      <group>L1_Format</group>
      <groupName>格式问题</groupName>
      <ability>L2_HalfPunc</ability>
      <abilityName>全半角检查</abilityName>
      <candidateList>
        <item>）</item>
      </candidateList>
      <explain>文本全半角错误。</explain>
      <paraID>72241DD8</paraID>
      <start>18</start>
      <end>19</end>
      <status>ignored</status>
      <modifiedWord/>
      <trackRevisions>false</trackRevisions>
    </reviewItem>
    <reviewItem>
      <errorID>035086a0-e47e-4c34-92dd-b9353cf01275</errorID>
      <errorWord>资源节约综合利用</errorWord>
      <group>L1_Political</group>
      <groupName>政治性问题</groupName>
      <ability>L2_Keyword</ability>
      <abilityName>固定表述</abilityName>
      <candidateList>
        <item>资源节约集约利用</item>
      </candidateList>
      <explain>词汇“资源节约集约利用”在特定场景下为固定表述形式，请确认此处的“资源节约综合利用”是否存在不当。</explain>
      <paraID>44FE4FCD</paraID>
      <start>72</start>
      <end>80</end>
      <status>ignored</status>
      <modifiedWord/>
      <trackRevisions>false</trackRevisions>
    </reviewItem>
    <reviewItem>
      <errorID>fe78d4da-e467-4a78-a086-a07e52c75844</errorID>
      <errorWord>资源节约综合利用</errorWord>
      <group>L1_Political</group>
      <groupName>政治性问题</groupName>
      <ability>L2_Keyword</ability>
      <abilityName>固定表述</abilityName>
      <candidateList>
        <item>资源节约集约利用</item>
      </candidateList>
      <explain>词汇“资源节约集约利用”在特定场景下为固定表述形式，请确认此处的“资源节约综合利用”是否存在不当。</explain>
      <paraID>44FE4FCD</paraID>
      <start>160</start>
      <end>168</end>
      <status>ignored</status>
      <modifiedWord/>
      <trackRevisions>false</trackRevisions>
    </reviewItem>
    <reviewItem>
      <errorID>de665f9f-3bdf-4308-b7d0-9d2aa530a534</errorID>
      <errorWord>,</errorWord>
      <group>L1_Format</group>
      <groupName>格式问题</groupName>
      <ability>L2_HalfPunc</ability>
      <abilityName>全半角检查</abilityName>
      <candidateList>
        <item>，</item>
      </candidateList>
      <explain>文本全半角错误。</explain>
      <paraID>5656559F</paraID>
      <start>84</start>
      <end>85</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F1B7F6-85FB-4FE6-B8C3-C6B065093805}">
  <ds:schemaRefs/>
</ds:datastoreItem>
</file>

<file path=customXml/itemProps3.xml><?xml version="1.0" encoding="utf-8"?>
<ds:datastoreItem xmlns:ds="http://schemas.openxmlformats.org/officeDocument/2006/customXml" ds:itemID="{4f823ed1-1593-48b3-a296-1a09f700ec8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302</Pages>
  <Words>27338</Words>
  <Characters>30666</Characters>
  <Lines>2241</Lines>
  <Paragraphs>631</Paragraphs>
  <TotalTime>100</TotalTime>
  <ScaleCrop>false</ScaleCrop>
  <LinksUpToDate>false</LinksUpToDate>
  <CharactersWithSpaces>31041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2026-05-15T01:56:00Z</dcterms:created>
  <dc:creator>微软用户</dc:creator>
  <cp:lastModifiedBy>LinKang</cp:lastModifiedBy>
  <cp:lastPrinted>2026-05-14T02:22:00Z</cp:lastPrinted>
  <dcterms:modified xsi:type="dcterms:W3CDTF">2026-05-21T10:33:46Z</dcterms:modified>
  <dc:title>目  录</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5D7F582EDA0C476E868353CE1829C7AA_13</vt:lpwstr>
  </property>
  <property fmtid="{D5CDD505-2E9C-101B-9397-08002B2CF9AE}" pid="4" name="KSOTemplateDocerSaveRecord">
    <vt:lpwstr>eyJoZGlkIjoiNWFlMmM2NDk4NmQ2NGZkNDg0YTI4NTAyMzE0YmExNzMiLCJ1c2VySWQiOiIxMDQzNDQ3MjQ0In0=</vt:lpwstr>
  </property>
</Properties>
</file>